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6E4866" w:rsidRPr="002043E0" w:rsidP="00A85EDB" w14:paraId="50E84E0E" w14:textId="71D8F920">
      <w:pPr>
        <w:pStyle w:val="7125"/>
        <w:spacing w:before="0" w:after="100"/>
        <w:ind w:left="4082"/>
        <w:rPr>
          <w:spacing w:val="18"/>
          <w:sz w:val="44"/>
          <w:szCs w:val="44"/>
          <w:rtl/>
        </w:rPr>
      </w:pPr>
      <w:r w:rsidRPr="002043E0">
        <w:rPr>
          <w:rFonts w:hint="cs"/>
          <w:spacing w:val="18"/>
          <w:sz w:val="44"/>
          <w:szCs w:val="44"/>
          <w:rtl/>
        </w:rPr>
        <w:t>מבקר המדינה</w:t>
      </w:r>
    </w:p>
    <w:p w:rsidR="00942429" w:rsidRPr="00D33E52" w:rsidP="00D33E52" w14:paraId="0B1A35EB" w14:textId="6E14EF74">
      <w:pPr>
        <w:pStyle w:val="7125"/>
        <w:spacing w:before="0" w:after="0" w:line="240" w:lineRule="auto"/>
        <w:ind w:left="3912"/>
        <w:jc w:val="center"/>
        <w:rPr>
          <w:spacing w:val="36"/>
          <w:sz w:val="31"/>
          <w:szCs w:val="31"/>
          <w:rtl/>
        </w:rPr>
      </w:pPr>
      <w:r w:rsidRPr="00D33E52">
        <w:rPr>
          <w:rFonts w:hint="cs"/>
          <w:sz w:val="31"/>
          <w:szCs w:val="31"/>
          <w:rtl/>
        </w:rPr>
        <w:t>דוח על הביקורת</w:t>
      </w:r>
      <w:r w:rsidRPr="00D33E52">
        <w:rPr>
          <w:rFonts w:hint="cs"/>
          <w:spacing w:val="36"/>
          <w:sz w:val="31"/>
          <w:szCs w:val="31"/>
          <w:rtl/>
        </w:rPr>
        <w:t xml:space="preserve"> </w:t>
      </w:r>
      <w:r w:rsidRPr="00D33E52">
        <w:rPr>
          <w:rFonts w:hint="cs"/>
          <w:sz w:val="31"/>
          <w:szCs w:val="31"/>
          <w:rtl/>
        </w:rPr>
        <w:t>בשלטון המקומי</w:t>
      </w:r>
      <w:r w:rsidRPr="00D33E52" w:rsidR="00D33E52">
        <w:rPr>
          <w:rFonts w:hint="cs"/>
          <w:sz w:val="31"/>
          <w:szCs w:val="31"/>
          <w:rtl/>
        </w:rPr>
        <w:t xml:space="preserve"> 2023</w:t>
      </w:r>
    </w:p>
    <w:p w:rsidR="006E4866" w:rsidRPr="00CF6692" w:rsidP="00D33E52" w14:paraId="7B0762C6" w14:textId="596FC8E9">
      <w:pPr>
        <w:pStyle w:val="7125"/>
        <w:spacing w:before="60" w:after="0"/>
        <w:ind w:left="4083" w:hanging="1"/>
        <w:rPr>
          <w:b w:val="0"/>
          <w:bCs w:val="0"/>
          <w:spacing w:val="22"/>
          <w:sz w:val="25"/>
          <w:szCs w:val="25"/>
          <w:rtl/>
        </w:rPr>
      </w:pPr>
      <w:r>
        <w:rPr>
          <w:rFonts w:hint="cs"/>
          <w:b w:val="0"/>
          <w:bCs w:val="0"/>
          <w:spacing w:val="20"/>
          <w:sz w:val="25"/>
          <w:szCs w:val="25"/>
          <w:rtl/>
        </w:rPr>
        <w:t>תמוז</w:t>
      </w:r>
      <w:r w:rsidRPr="00CF6692">
        <w:rPr>
          <w:rFonts w:hint="cs"/>
          <w:b w:val="0"/>
          <w:bCs w:val="0"/>
          <w:spacing w:val="20"/>
          <w:sz w:val="25"/>
          <w:szCs w:val="25"/>
          <w:rtl/>
        </w:rPr>
        <w:t xml:space="preserve"> התשפ״ג | </w:t>
      </w:r>
      <w:r>
        <w:rPr>
          <w:rFonts w:hint="cs"/>
          <w:b w:val="0"/>
          <w:bCs w:val="0"/>
          <w:spacing w:val="22"/>
          <w:sz w:val="25"/>
          <w:szCs w:val="25"/>
          <w:rtl/>
        </w:rPr>
        <w:t>יולי</w:t>
      </w:r>
      <w:r w:rsidRPr="00CF6692">
        <w:rPr>
          <w:rFonts w:hint="cs"/>
          <w:b w:val="0"/>
          <w:bCs w:val="0"/>
          <w:spacing w:val="22"/>
          <w:sz w:val="25"/>
          <w:szCs w:val="25"/>
          <w:rtl/>
        </w:rPr>
        <w:t xml:space="preserve"> 2023</w:t>
      </w:r>
    </w:p>
    <w:p w:rsidR="0047129E" w:rsidRPr="00F925CA" w:rsidP="00F925CA" w14:paraId="1B1FA9EF" w14:textId="65653126">
      <w:pPr>
        <w:pStyle w:val="7125"/>
        <w:spacing w:before="120" w:after="0"/>
        <w:ind w:left="4083" w:hanging="1"/>
        <w:rPr>
          <w:b w:val="0"/>
          <w:bCs w:val="0"/>
          <w:spacing w:val="196"/>
          <w:sz w:val="24"/>
          <w:szCs w:val="24"/>
          <w:rtl/>
        </w:rPr>
      </w:pPr>
      <w:r w:rsidRPr="00F925CA">
        <w:rPr>
          <w:rFonts w:hint="cs"/>
          <w:b w:val="0"/>
          <w:bCs w:val="0"/>
          <w:noProof/>
          <w:spacing w:val="196"/>
          <w:sz w:val="28"/>
          <w:rtl/>
          <w:lang w:val="he-IL"/>
        </w:rPr>
        <mc:AlternateContent>
          <mc:Choice Requires="wps">
            <w:drawing>
              <wp:anchor distT="0" distB="0" distL="114300" distR="114300" simplePos="0" relativeHeight="251680768" behindDoc="0" locked="0" layoutInCell="1" allowOverlap="1">
                <wp:simplePos x="0" y="0"/>
                <wp:positionH relativeFrom="column">
                  <wp:posOffset>110195</wp:posOffset>
                </wp:positionH>
                <wp:positionV relativeFrom="paragraph">
                  <wp:posOffset>60399</wp:posOffset>
                </wp:positionV>
                <wp:extent cx="2050932" cy="0"/>
                <wp:effectExtent l="0" t="0" r="6985" b="12700"/>
                <wp:wrapNone/>
                <wp:docPr id="20"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050932"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81792" from="8.7pt,4.75pt" to="170.2pt,4.75pt" strokecolor="#00305f" strokeweight="1pt"/>
            </w:pict>
          </mc:Fallback>
        </mc:AlternateContent>
      </w:r>
      <w:r w:rsidRPr="00F925CA">
        <w:rPr>
          <w:rFonts w:hint="cs"/>
          <w:b w:val="0"/>
          <w:bCs w:val="0"/>
          <w:spacing w:val="196"/>
          <w:sz w:val="28"/>
          <w:rtl/>
        </w:rPr>
        <w:t>כרך ראשון</w:t>
      </w:r>
    </w:p>
    <w:p w:rsidR="000304A1" w:rsidRPr="0047129E" w:rsidP="002B39F7" w14:paraId="38B37098" w14:textId="52C4C583">
      <w:pPr>
        <w:pStyle w:val="7125"/>
        <w:spacing w:before="120" w:after="0"/>
        <w:rPr>
          <w:spacing w:val="194"/>
          <w:rtl/>
        </w:rPr>
      </w:pPr>
    </w:p>
    <w:p w:rsidR="00E82EA3" w:rsidRPr="00A76A67" w:rsidP="000304A1" w14:paraId="74C4190E" w14:textId="214D9756">
      <w:pPr>
        <w:pStyle w:val="7125"/>
        <w:spacing w:before="120" w:after="0"/>
        <w:ind w:left="4536" w:right="142" w:hanging="1"/>
        <w:rPr>
          <w:spacing w:val="274"/>
        </w:rPr>
      </w:pPr>
      <w:r w:rsidRPr="00A76A67">
        <w:rPr>
          <w:spacing w:val="274"/>
          <w:rtl/>
        </w:rPr>
        <w:br w:type="page"/>
      </w:r>
    </w:p>
    <w:p w:rsidR="0019167B" w14:paraId="0C3CB364" w14:textId="44616C9A">
      <w:pPr>
        <w:bidi w:val="0"/>
        <w:spacing w:after="200" w:line="276" w:lineRule="auto"/>
        <w:rPr>
          <w:rFonts w:ascii="Tahoma" w:hAnsi="Tahoma" w:cs="Tahoma"/>
          <w:color w:val="00305F"/>
          <w:spacing w:val="86"/>
          <w:sz w:val="40"/>
          <w:szCs w:val="34"/>
          <w:rtl/>
        </w:rPr>
      </w:pPr>
      <w:r>
        <w:rPr>
          <w:b/>
          <w:bCs/>
          <w:noProof/>
          <w:spacing w:val="86"/>
          <w:rtl/>
          <w:lang w:val="he-IL"/>
        </w:rPr>
        <mc:AlternateContent>
          <mc:Choice Requires="wps">
            <w:drawing>
              <wp:anchor distT="0" distB="0" distL="114300" distR="114300" simplePos="0" relativeHeight="251672576" behindDoc="0" locked="0" layoutInCell="1" allowOverlap="1">
                <wp:simplePos x="0" y="0"/>
                <wp:positionH relativeFrom="column">
                  <wp:posOffset>2420962</wp:posOffset>
                </wp:positionH>
                <wp:positionV relativeFrom="paragraph">
                  <wp:posOffset>6957060</wp:posOffset>
                </wp:positionV>
                <wp:extent cx="2904154" cy="895350"/>
                <wp:effectExtent l="0" t="0" r="4445" b="6350"/>
                <wp:wrapNone/>
                <wp:docPr id="2"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7" style="width:228.65pt;height:70.5pt;margin-top:547.8pt;margin-left:190.65pt;mso-height-percent:0;mso-height-relative:margin;mso-width-percent:0;mso-width-relative:margin;mso-wrap-distance-bottom:0;mso-wrap-distance-left:9pt;mso-wrap-distance-right:9pt;mso-wrap-distance-top:0;mso-wrap-style:square;position:absolute;visibility:visible;v-text-anchor:middle;z-index:251673600" fillcolor="white" stroked="f" strokeweight="2pt"/>
            </w:pict>
          </mc:Fallback>
        </mc:AlternateContent>
      </w:r>
      <w:r>
        <w:rPr>
          <w:b/>
          <w:bCs/>
          <w:noProof/>
          <w:spacing w:val="86"/>
          <w:rtl/>
          <w:lang w:val="he-IL"/>
        </w:rPr>
        <mc:AlternateContent>
          <mc:Choice Requires="wps">
            <w:drawing>
              <wp:anchor distT="0" distB="0" distL="114300" distR="114300" simplePos="0" relativeHeight="251660288" behindDoc="0" locked="0" layoutInCell="1" allowOverlap="1">
                <wp:simplePos x="0" y="0"/>
                <wp:positionH relativeFrom="column">
                  <wp:posOffset>-1543441</wp:posOffset>
                </wp:positionH>
                <wp:positionV relativeFrom="paragraph">
                  <wp:posOffset>-986008</wp:posOffset>
                </wp:positionV>
                <wp:extent cx="6957109" cy="1512276"/>
                <wp:effectExtent l="0" t="0" r="2540" b="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6957109" cy="15122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8" style="width:547.8pt;height:119.1pt;margin-top:-77.65pt;margin-left:-121.55pt;mso-height-percent:0;mso-height-relative:margin;mso-width-percent:0;mso-width-relative:margin;mso-wrap-distance-bottom:0;mso-wrap-distance-left:9pt;mso-wrap-distance-right:9pt;mso-wrap-distance-top:0;mso-wrap-style:square;position:absolute;visibility:visible;v-text-anchor:middle;z-index:251661312" fillcolor="white" stroked="f" strokeweight="2pt"/>
            </w:pict>
          </mc:Fallback>
        </mc:AlternateContent>
      </w:r>
      <w:r>
        <w:rPr>
          <w:b/>
          <w:bCs/>
          <w:spacing w:val="86"/>
          <w:rtl/>
        </w:rPr>
        <w:br w:type="page"/>
      </w:r>
    </w:p>
    <w:p w:rsidR="00E82EA3" w:rsidP="00B535DF" w14:paraId="1F4B8C82" w14:textId="77777777">
      <w:pPr>
        <w:pStyle w:val="7125"/>
        <w:spacing w:before="120"/>
        <w:ind w:hanging="1"/>
        <w:jc w:val="right"/>
        <w:rPr>
          <w:b w:val="0"/>
          <w:bCs w:val="0"/>
          <w:spacing w:val="86"/>
          <w:rtl/>
        </w:rPr>
        <w:sectPr w:rsidSect="000F765F">
          <w:headerReference w:type="even" r:id="rId10"/>
          <w:headerReference w:type="default" r:id="rId11"/>
          <w:footerReference w:type="even" r:id="rId12"/>
          <w:footerReference w:type="default" r:id="rId13"/>
          <w:headerReference w:type="first" r:id="rId14"/>
          <w:footnotePr>
            <w:numRestart w:val="eachSect"/>
          </w:footnotePr>
          <w:pgSz w:w="11906" w:h="16838" w:code="9"/>
          <w:pgMar w:top="3062" w:right="2268" w:bottom="2552" w:left="2126" w:header="1134" w:footer="1361" w:gutter="0"/>
          <w:pgNumType w:start="1"/>
          <w:cols w:space="720"/>
          <w:titlePg/>
          <w:bidi/>
          <w:rtlGutter/>
          <w:docGrid w:linePitch="272"/>
        </w:sectPr>
      </w:pPr>
    </w:p>
    <w:p w:rsidR="00E82EA3" w:rsidP="00B535DF" w14:paraId="2691CAFE" w14:textId="54743EAA">
      <w:pPr>
        <w:pStyle w:val="7125"/>
        <w:spacing w:before="120"/>
        <w:ind w:hanging="1"/>
        <w:jc w:val="right"/>
        <w:rPr>
          <w:b w:val="0"/>
          <w:bCs w:val="0"/>
          <w:spacing w:val="86"/>
        </w:rPr>
      </w:pPr>
      <w:r>
        <w:rPr>
          <w:noProof/>
          <w:color w:val="002060"/>
          <w:sz w:val="18"/>
          <w:szCs w:val="18"/>
        </w:rPr>
        <w:drawing>
          <wp:anchor distT="0" distB="0" distL="114300" distR="114300" simplePos="0" relativeHeight="251658240" behindDoc="0" locked="0" layoutInCell="1" allowOverlap="1">
            <wp:simplePos x="0" y="0"/>
            <wp:positionH relativeFrom="column">
              <wp:posOffset>2055744</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6"/>
                    <pic:cNvPicPr/>
                  </pic:nvPicPr>
                  <pic:blipFill>
                    <a:blip xmlns:r="http://schemas.openxmlformats.org/officeDocument/2006/relationships" r:embed="rId15"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A76E5A" w:rsidP="00B535DF" w14:paraId="789EDB20" w14:textId="53B43FCA">
      <w:pPr>
        <w:pStyle w:val="7125"/>
        <w:spacing w:before="120"/>
        <w:ind w:hanging="1"/>
        <w:jc w:val="right"/>
        <w:rPr>
          <w:b w:val="0"/>
          <w:bCs w:val="0"/>
          <w:spacing w:val="86"/>
          <w:rtl/>
        </w:rPr>
      </w:pPr>
    </w:p>
    <w:p w:rsidR="000F0FAA" w:rsidP="000F0FAA" w14:paraId="6107C4ED" w14:textId="5453D83C">
      <w:pPr>
        <w:pStyle w:val="12021"/>
        <w:spacing w:before="480"/>
        <w:rPr>
          <w:sz w:val="52"/>
          <w:szCs w:val="52"/>
          <w:rtl/>
        </w:rPr>
      </w:pPr>
    </w:p>
    <w:p w:rsidR="006E4866" w:rsidRPr="00D33E52" w:rsidP="00D33E52" w14:paraId="29C716DA" w14:textId="0783CA39">
      <w:pPr>
        <w:pStyle w:val="12021"/>
        <w:spacing w:before="480"/>
        <w:ind w:left="57"/>
        <w:rPr>
          <w:spacing w:val="24"/>
          <w:sz w:val="66"/>
          <w:szCs w:val="66"/>
          <w:rtl/>
        </w:rPr>
      </w:pPr>
      <w:r w:rsidRPr="00D33E52">
        <w:rPr>
          <w:rFonts w:hint="cs"/>
          <w:spacing w:val="24"/>
          <w:sz w:val="66"/>
          <w:szCs w:val="66"/>
          <w:rtl/>
        </w:rPr>
        <w:t>מבקר המדינה</w:t>
      </w:r>
    </w:p>
    <w:p w:rsidR="00B93971" w:rsidRPr="00D33E52" w:rsidP="00D33E52" w14:paraId="6BECFCB7" w14:textId="53413CC3">
      <w:pPr>
        <w:pStyle w:val="12021"/>
        <w:spacing w:before="120" w:line="240" w:lineRule="auto"/>
        <w:ind w:left="57"/>
        <w:rPr>
          <w:sz w:val="45"/>
          <w:szCs w:val="45"/>
          <w:rtl/>
        </w:rPr>
      </w:pPr>
      <w:r w:rsidRPr="00D33E52">
        <w:rPr>
          <w:sz w:val="45"/>
          <w:szCs w:val="45"/>
          <w:rtl/>
        </w:rPr>
        <w:t>דוח על הביקורת</w:t>
      </w:r>
      <w:r w:rsidRPr="00D33E52" w:rsidR="00D33E52">
        <w:rPr>
          <w:rFonts w:hint="cs"/>
          <w:sz w:val="45"/>
          <w:szCs w:val="45"/>
          <w:rtl/>
        </w:rPr>
        <w:t xml:space="preserve"> </w:t>
      </w:r>
      <w:r w:rsidRPr="00D33E52" w:rsidR="00D33E52">
        <w:rPr>
          <w:sz w:val="45"/>
          <w:szCs w:val="45"/>
          <w:rtl/>
        </w:rPr>
        <w:br/>
      </w:r>
      <w:r w:rsidRPr="00D33E52">
        <w:rPr>
          <w:sz w:val="45"/>
          <w:szCs w:val="45"/>
          <w:rtl/>
        </w:rPr>
        <w:t>בשלטון המקומי</w:t>
      </w:r>
      <w:r w:rsidRPr="00D33E52" w:rsidR="00D33E52">
        <w:rPr>
          <w:rFonts w:hint="cs"/>
          <w:sz w:val="45"/>
          <w:szCs w:val="45"/>
          <w:rtl/>
        </w:rPr>
        <w:t xml:space="preserve"> 2023</w:t>
      </w:r>
    </w:p>
    <w:p w:rsidR="006E4866" w:rsidRPr="00D33E52" w:rsidP="006E4866" w14:paraId="55C4625D" w14:textId="0E73B641">
      <w:pPr>
        <w:pStyle w:val="7125"/>
        <w:spacing w:before="0" w:after="120"/>
        <w:ind w:left="1" w:hanging="1"/>
        <w:jc w:val="center"/>
        <w:rPr>
          <w:b w:val="0"/>
          <w:bCs w:val="0"/>
          <w:spacing w:val="44"/>
          <w:sz w:val="34"/>
          <w:rtl/>
        </w:rPr>
      </w:pPr>
      <w:r w:rsidRPr="00D33E52">
        <w:rPr>
          <w:rFonts w:hint="cs"/>
          <w:b w:val="0"/>
          <w:bCs w:val="0"/>
          <w:noProof/>
          <w:spacing w:val="44"/>
          <w:sz w:val="34"/>
          <w:rtl/>
        </w:rPr>
        <w:t>תמוז</w:t>
      </w:r>
      <w:r w:rsidRPr="00D33E52">
        <w:rPr>
          <w:b w:val="0"/>
          <w:bCs w:val="0"/>
          <w:noProof/>
          <w:spacing w:val="44"/>
          <w:sz w:val="34"/>
          <w:rtl/>
        </w:rPr>
        <w:t xml:space="preserve"> התשפ״ג | </w:t>
      </w:r>
      <w:r w:rsidRPr="00D33E52">
        <w:rPr>
          <w:rFonts w:hint="cs"/>
          <w:b w:val="0"/>
          <w:bCs w:val="0"/>
          <w:noProof/>
          <w:spacing w:val="44"/>
          <w:sz w:val="34"/>
          <w:rtl/>
        </w:rPr>
        <w:t>יולי</w:t>
      </w:r>
      <w:r w:rsidRPr="00D33E52">
        <w:rPr>
          <w:b w:val="0"/>
          <w:bCs w:val="0"/>
          <w:noProof/>
          <w:spacing w:val="44"/>
          <w:sz w:val="34"/>
          <w:rtl/>
        </w:rPr>
        <w:t xml:space="preserve"> 2023</w:t>
      </w:r>
    </w:p>
    <w:p w:rsidR="003D3B44" w:rsidRPr="00D33E52" w:rsidP="00686976" w14:paraId="1073F646" w14:textId="69FE7A53">
      <w:pPr>
        <w:pStyle w:val="7125"/>
        <w:ind w:left="324" w:hanging="1"/>
        <w:jc w:val="center"/>
        <w:rPr>
          <w:b w:val="0"/>
          <w:bCs w:val="0"/>
          <w:spacing w:val="334"/>
          <w:sz w:val="42"/>
          <w:szCs w:val="42"/>
          <w:rtl/>
        </w:rPr>
      </w:pPr>
      <w:r w:rsidRPr="00D33E52">
        <w:rPr>
          <w:rFonts w:hint="cs"/>
          <w:b w:val="0"/>
          <w:bCs w:val="0"/>
          <w:noProof/>
          <w:spacing w:val="334"/>
          <w:sz w:val="32"/>
          <w:szCs w:val="32"/>
          <w:rtl/>
        </w:rPr>
        <mc:AlternateContent>
          <mc:Choice Requires="wps">
            <w:drawing>
              <wp:anchor distT="0" distB="0" distL="114300" distR="114300" simplePos="0" relativeHeight="251682816" behindDoc="0" locked="0" layoutInCell="1" allowOverlap="1">
                <wp:simplePos x="0" y="0"/>
                <wp:positionH relativeFrom="column">
                  <wp:posOffset>821010</wp:posOffset>
                </wp:positionH>
                <wp:positionV relativeFrom="paragraph">
                  <wp:posOffset>41585</wp:posOffset>
                </wp:positionV>
                <wp:extent cx="2988531" cy="0"/>
                <wp:effectExtent l="12700" t="12700" r="8890" b="12700"/>
                <wp:wrapNone/>
                <wp:docPr id="23" name="Straight Connector 580"/>
                <wp:cNvGraphicFramePr/>
                <a:graphic xmlns:a="http://schemas.openxmlformats.org/drawingml/2006/main">
                  <a:graphicData uri="http://schemas.microsoft.com/office/word/2010/wordprocessingShape">
                    <wps:wsp xmlns:wps="http://schemas.microsoft.com/office/word/2010/wordprocessingShape">
                      <wps:cNvCnPr/>
                      <wps:spPr>
                        <a:xfrm flipH="1">
                          <a:off x="0" y="0"/>
                          <a:ext cx="2988531"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0" o:spid="_x0000_s1029" style="flip:x;mso-width-percent:0;mso-width-relative:margin;mso-wrap-distance-bottom:0;mso-wrap-distance-left:9pt;mso-wrap-distance-right:9pt;mso-wrap-distance-top:0;mso-wrap-style:square;position:absolute;visibility:visible;z-index:251683840" from="64.65pt,3.25pt" to="299.95pt,3.25pt" strokecolor="#00305f" strokeweight="1.5pt"/>
            </w:pict>
          </mc:Fallback>
        </mc:AlternateContent>
      </w:r>
      <w:r w:rsidRPr="00D33E52">
        <w:rPr>
          <w:rFonts w:hint="cs"/>
          <w:b w:val="0"/>
          <w:bCs w:val="0"/>
          <w:spacing w:val="334"/>
          <w:sz w:val="42"/>
          <w:szCs w:val="42"/>
          <w:rtl/>
        </w:rPr>
        <w:t>כרך ראשון</w:t>
      </w:r>
    </w:p>
    <w:p w:rsidR="005414ED" w:rsidP="00BA14FE" w14:paraId="500A1AEF" w14:textId="77777777">
      <w:pPr>
        <w:spacing w:line="240" w:lineRule="atLeast"/>
        <w:rPr>
          <w:rFonts w:ascii="Tahoma" w:hAnsi="Tahoma" w:cs="Tahoma"/>
          <w:sz w:val="22"/>
          <w:szCs w:val="22"/>
          <w:rtl/>
        </w:rPr>
      </w:pPr>
    </w:p>
    <w:p w:rsidR="009C0D3F" w:rsidP="00BA14FE" w14:paraId="4A9449C4" w14:textId="50389F28">
      <w:pPr>
        <w:spacing w:line="240" w:lineRule="atLeast"/>
        <w:rPr>
          <w:rFonts w:ascii="Tahoma" w:hAnsi="Tahoma" w:cs="Tahoma"/>
          <w:sz w:val="22"/>
          <w:szCs w:val="22"/>
          <w:rtl/>
        </w:rPr>
      </w:pPr>
    </w:p>
    <w:p w:rsidR="000F1AFB" w:rsidP="00BA14FE" w14:paraId="54FBE4CD" w14:textId="2750E2DF">
      <w:pPr>
        <w:spacing w:line="240" w:lineRule="atLeast"/>
        <w:rPr>
          <w:rFonts w:ascii="Tahoma" w:hAnsi="Tahoma" w:cs="Tahoma"/>
          <w:sz w:val="22"/>
          <w:szCs w:val="22"/>
          <w:rtl/>
        </w:rPr>
      </w:pPr>
    </w:p>
    <w:p w:rsidR="001309F2" w:rsidP="00BA14FE" w14:paraId="1C4099CE" w14:textId="77777777">
      <w:pPr>
        <w:spacing w:line="240" w:lineRule="atLeast"/>
        <w:rPr>
          <w:rFonts w:ascii="Tahoma" w:hAnsi="Tahoma" w:cs="Tahoma"/>
          <w:sz w:val="22"/>
          <w:szCs w:val="22"/>
          <w:rtl/>
        </w:rPr>
      </w:pPr>
    </w:p>
    <w:p w:rsidR="00A76A67" w:rsidP="00BA14FE" w14:paraId="509D967C" w14:textId="16F433A6">
      <w:pPr>
        <w:spacing w:line="240" w:lineRule="atLeast"/>
        <w:rPr>
          <w:rFonts w:ascii="Tahoma" w:hAnsi="Tahoma" w:cs="Tahoma"/>
          <w:sz w:val="22"/>
          <w:szCs w:val="22"/>
          <w:rtl/>
        </w:rPr>
      </w:pPr>
    </w:p>
    <w:p w:rsidR="00B93971" w:rsidP="00BA14FE" w14:paraId="27D1ABB3" w14:textId="77777777">
      <w:pPr>
        <w:spacing w:line="240" w:lineRule="atLeast"/>
        <w:rPr>
          <w:rFonts w:ascii="Tahoma" w:hAnsi="Tahoma" w:cs="Tahoma"/>
          <w:sz w:val="22"/>
          <w:szCs w:val="22"/>
          <w:rtl/>
        </w:rPr>
      </w:pPr>
    </w:p>
    <w:p w:rsidR="00B93971" w:rsidP="00BA14FE" w14:paraId="7E6B676C" w14:textId="77777777">
      <w:pPr>
        <w:spacing w:line="240" w:lineRule="atLeast"/>
        <w:rPr>
          <w:rFonts w:ascii="Tahoma" w:hAnsi="Tahoma" w:cs="Tahoma"/>
          <w:sz w:val="22"/>
          <w:szCs w:val="22"/>
          <w:rtl/>
        </w:rPr>
      </w:pPr>
    </w:p>
    <w:p w:rsidR="00496A6C" w:rsidP="00BA14FE" w14:paraId="316E189C" w14:textId="67B2F714">
      <w:pPr>
        <w:spacing w:line="240" w:lineRule="atLeast"/>
        <w:rPr>
          <w:rFonts w:ascii="Tahoma" w:hAnsi="Tahoma" w:cs="Tahoma"/>
          <w:sz w:val="22"/>
          <w:szCs w:val="22"/>
          <w:rtl/>
        </w:rPr>
      </w:pPr>
    </w:p>
    <w:p w:rsidR="00496A6C" w:rsidP="00BA14FE" w14:paraId="57BDB55F" w14:textId="77777777">
      <w:pPr>
        <w:spacing w:line="240" w:lineRule="atLeast"/>
        <w:rPr>
          <w:rFonts w:ascii="Tahoma" w:hAnsi="Tahoma" w:cs="Tahoma"/>
          <w:sz w:val="22"/>
          <w:szCs w:val="22"/>
          <w:rtl/>
        </w:rPr>
      </w:pPr>
    </w:p>
    <w:p w:rsidR="009C0D3F" w:rsidP="00BA14FE" w14:paraId="4FCD524B" w14:textId="60FFEA80">
      <w:pPr>
        <w:spacing w:line="240" w:lineRule="atLeast"/>
        <w:rPr>
          <w:rFonts w:ascii="Tahoma" w:hAnsi="Tahoma" w:cs="Tahoma"/>
          <w:sz w:val="22"/>
          <w:szCs w:val="22"/>
          <w:rtl/>
        </w:rPr>
      </w:pPr>
    </w:p>
    <w:p w:rsidR="009C0D3F" w:rsidP="00BA14FE" w14:paraId="735E4AA0" w14:textId="654F6AFB">
      <w:pPr>
        <w:spacing w:line="240" w:lineRule="atLeast"/>
        <w:rPr>
          <w:rFonts w:ascii="Tahoma" w:hAnsi="Tahoma" w:cs="Tahoma"/>
          <w:sz w:val="22"/>
          <w:szCs w:val="22"/>
          <w:rtl/>
        </w:rPr>
      </w:pPr>
    </w:p>
    <w:p w:rsidR="009C0D3F" w:rsidP="00BA14FE" w14:paraId="220D50AA" w14:textId="3E9BAD46">
      <w:pPr>
        <w:spacing w:line="240" w:lineRule="atLeast"/>
        <w:rPr>
          <w:rFonts w:ascii="Tahoma" w:hAnsi="Tahoma" w:cs="Tahoma"/>
          <w:sz w:val="22"/>
          <w:szCs w:val="22"/>
          <w:rtl/>
        </w:rPr>
      </w:pPr>
    </w:p>
    <w:p w:rsidR="009C0D3F" w:rsidP="00BA14FE" w14:paraId="14A3F766" w14:textId="452FC34A">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659264" behindDoc="0" locked="0" layoutInCell="1" allowOverlap="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9C0D3F" w:rsidP="00BA14FE" w14:paraId="260836E0" w14:textId="25800577">
      <w:pPr>
        <w:spacing w:line="240" w:lineRule="atLeast"/>
        <w:rPr>
          <w:rFonts w:ascii="Tahoma" w:hAnsi="Tahoma" w:cs="Tahoma"/>
          <w:sz w:val="22"/>
          <w:szCs w:val="22"/>
          <w:rtl/>
        </w:rPr>
      </w:pPr>
    </w:p>
    <w:p w:rsidR="009C0D3F" w:rsidP="00BA14FE" w14:paraId="11198336" w14:textId="77777777">
      <w:pPr>
        <w:spacing w:line="240" w:lineRule="atLeast"/>
        <w:rPr>
          <w:rFonts w:ascii="Tahoma" w:hAnsi="Tahoma" w:cs="Tahoma"/>
          <w:sz w:val="22"/>
          <w:szCs w:val="22"/>
          <w:rtl/>
        </w:rPr>
      </w:pPr>
    </w:p>
    <w:p w:rsidR="009C0D3F" w:rsidP="00BA14FE" w14:paraId="0B4A98AF" w14:textId="77777777">
      <w:pPr>
        <w:spacing w:line="240" w:lineRule="atLeast"/>
        <w:rPr>
          <w:rFonts w:ascii="Tahoma" w:hAnsi="Tahoma" w:cs="Tahoma"/>
          <w:sz w:val="22"/>
          <w:szCs w:val="22"/>
          <w:rtl/>
        </w:rPr>
      </w:pPr>
    </w:p>
    <w:p w:rsidR="009C0D3F" w:rsidP="00BA14FE" w14:paraId="1552CA9B" w14:textId="423AEFBF">
      <w:pPr>
        <w:spacing w:line="240" w:lineRule="atLeast"/>
        <w:rPr>
          <w:rFonts w:ascii="Tahoma" w:hAnsi="Tahoma" w:cs="Tahoma"/>
          <w:sz w:val="22"/>
          <w:szCs w:val="22"/>
          <w:rtl/>
        </w:rPr>
      </w:pPr>
    </w:p>
    <w:p w:rsidR="009C0D3F" w:rsidP="00BA14FE" w14:paraId="6303BB99" w14:textId="77777777">
      <w:pPr>
        <w:spacing w:line="240" w:lineRule="atLeast"/>
        <w:rPr>
          <w:rFonts w:ascii="Tahoma" w:hAnsi="Tahoma" w:cs="Tahoma"/>
          <w:sz w:val="22"/>
          <w:szCs w:val="22"/>
          <w:rtl/>
        </w:rPr>
      </w:pPr>
    </w:p>
    <w:p w:rsidR="00977579" w:rsidRPr="00112923" w:rsidP="00112923" w14:paraId="721366B6" w14:textId="15089780">
      <w:pPr>
        <w:spacing w:line="240" w:lineRule="atLeast"/>
        <w:jc w:val="center"/>
        <w:rPr>
          <w:rFonts w:ascii="Tahoma" w:hAnsi="Tahoma" w:cs="Tahoma"/>
          <w:sz w:val="24"/>
          <w:rtl/>
        </w:rPr>
      </w:pPr>
      <w:r>
        <w:rPr>
          <w:rFonts w:ascii="Tahoma" w:hAnsi="Tahoma" w:cs="Tahoma" w:hint="cs"/>
          <w:sz w:val="24"/>
          <w:rtl/>
        </w:rPr>
        <w:t xml:space="preserve">משרד מבקר המדינה ונציב תלונות הציבור | </w:t>
      </w:r>
      <w:r w:rsidRPr="009C0D3F" w:rsidR="009C0D3F">
        <w:rPr>
          <w:rFonts w:ascii="Tahoma" w:hAnsi="Tahoma" w:cs="Tahoma" w:hint="cs"/>
          <w:sz w:val="24"/>
          <w:rtl/>
        </w:rPr>
        <w:t>ירושלים</w:t>
      </w:r>
      <w:r w:rsidR="00D6278C">
        <w:rPr>
          <w:rFonts w:ascii="Tahoma" w:hAnsi="Tahoma" w:cs="Tahoma"/>
          <w:sz w:val="24"/>
        </w:rPr>
        <w:t xml:space="preserve"> </w:t>
      </w:r>
    </w:p>
    <w:p w:rsidR="00112923" w:rsidP="00977579" w14:paraId="57967539" w14:textId="77777777">
      <w:pPr>
        <w:pStyle w:val="7190"/>
        <w:jc w:val="center"/>
        <w:rPr>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977579" w:rsidP="00977579" w14:paraId="6E269C4C" w14:textId="0C00A03C">
      <w:pPr>
        <w:pStyle w:val="7190"/>
        <w:jc w:val="center"/>
        <w:rPr>
          <w:rtl/>
        </w:rPr>
      </w:pPr>
    </w:p>
    <w:p w:rsidR="00977579" w:rsidP="00977579" w14:paraId="72E5F3ED" w14:textId="4010413A">
      <w:pPr>
        <w:pStyle w:val="7190"/>
        <w:jc w:val="center"/>
        <w:rPr>
          <w:rtl/>
        </w:rPr>
      </w:pPr>
    </w:p>
    <w:p w:rsidR="00977579" w:rsidP="00977579" w14:paraId="7848AF06" w14:textId="1287F91D">
      <w:pPr>
        <w:pStyle w:val="7190"/>
        <w:jc w:val="center"/>
        <w:rPr>
          <w:rtl/>
        </w:rPr>
      </w:pPr>
    </w:p>
    <w:p w:rsidR="00977579" w:rsidP="00977579" w14:paraId="28239249" w14:textId="4D992115">
      <w:pPr>
        <w:pStyle w:val="7190"/>
        <w:jc w:val="center"/>
        <w:rPr>
          <w:rtl/>
        </w:rPr>
      </w:pPr>
    </w:p>
    <w:p w:rsidR="00977579" w:rsidP="00977579" w14:paraId="2BD7E89C" w14:textId="452E1B23">
      <w:pPr>
        <w:pStyle w:val="7190"/>
        <w:jc w:val="center"/>
        <w:rPr>
          <w:rtl/>
        </w:rPr>
      </w:pPr>
    </w:p>
    <w:p w:rsidR="00977579" w:rsidP="00977579" w14:paraId="3FAA902E" w14:textId="7005D448">
      <w:pPr>
        <w:pStyle w:val="7190"/>
        <w:jc w:val="center"/>
        <w:rPr>
          <w:rtl/>
        </w:rPr>
      </w:pPr>
    </w:p>
    <w:p w:rsidR="00977579" w:rsidP="00977579" w14:paraId="38B1896A" w14:textId="1F76384F">
      <w:pPr>
        <w:pStyle w:val="7190"/>
        <w:jc w:val="center"/>
        <w:rPr>
          <w:rtl/>
        </w:rPr>
      </w:pPr>
    </w:p>
    <w:p w:rsidR="00977579" w:rsidP="00977579" w14:paraId="01A36B8C" w14:textId="50F5C785">
      <w:pPr>
        <w:pStyle w:val="7190"/>
        <w:jc w:val="center"/>
        <w:rPr>
          <w:rtl/>
        </w:rPr>
      </w:pPr>
    </w:p>
    <w:p w:rsidR="00977579" w:rsidP="00977579" w14:paraId="3A77EDEA" w14:textId="366F9679">
      <w:pPr>
        <w:pStyle w:val="7190"/>
        <w:jc w:val="center"/>
        <w:rPr>
          <w:rtl/>
        </w:rPr>
      </w:pPr>
    </w:p>
    <w:p w:rsidR="00977579" w:rsidP="00977579" w14:paraId="5F1CDA5D" w14:textId="2C9215FB">
      <w:pPr>
        <w:pStyle w:val="7190"/>
        <w:jc w:val="center"/>
        <w:rPr>
          <w:rtl/>
        </w:rPr>
      </w:pPr>
    </w:p>
    <w:p w:rsidR="000F1AFB" w:rsidP="00977579" w14:paraId="3A6AB924" w14:textId="1CCAEB5C">
      <w:pPr>
        <w:pStyle w:val="7190"/>
        <w:jc w:val="center"/>
        <w:rPr>
          <w:rtl/>
        </w:rPr>
      </w:pPr>
    </w:p>
    <w:p w:rsidR="00977579" w:rsidP="00977579" w14:paraId="0ED334DA" w14:textId="77777777">
      <w:pPr>
        <w:pStyle w:val="7190"/>
        <w:jc w:val="center"/>
        <w:rPr>
          <w:rtl/>
        </w:rPr>
      </w:pPr>
    </w:p>
    <w:p w:rsidR="00977579" w:rsidP="00977579" w14:paraId="14128F0E" w14:textId="0E1563F2">
      <w:pPr>
        <w:pStyle w:val="7190"/>
        <w:jc w:val="center"/>
        <w:rPr>
          <w:rtl/>
        </w:rPr>
      </w:pPr>
    </w:p>
    <w:p w:rsidR="00977579" w:rsidP="00977579" w14:paraId="4B4B6DD3" w14:textId="3CB2F28D">
      <w:pPr>
        <w:pStyle w:val="7190"/>
        <w:jc w:val="center"/>
        <w:rPr>
          <w:rtl/>
        </w:rPr>
      </w:pPr>
    </w:p>
    <w:p w:rsidR="00977579" w:rsidP="00977579" w14:paraId="374143FF" w14:textId="4FA7E829">
      <w:pPr>
        <w:pStyle w:val="7190"/>
        <w:jc w:val="center"/>
        <w:rPr>
          <w:rtl/>
        </w:rPr>
      </w:pPr>
    </w:p>
    <w:p w:rsidR="00977579" w:rsidP="00977579" w14:paraId="1B0BEFAC" w14:textId="70A506A1">
      <w:pPr>
        <w:pStyle w:val="7190"/>
        <w:jc w:val="center"/>
        <w:rPr>
          <w:rtl/>
        </w:rPr>
      </w:pPr>
    </w:p>
    <w:p w:rsidR="00064016" w:rsidP="00064016" w14:paraId="62C72E9D" w14:textId="0F640E52">
      <w:pPr>
        <w:pStyle w:val="7190"/>
        <w:spacing w:after="120"/>
        <w:jc w:val="center"/>
        <w:rPr>
          <w:rtl/>
        </w:rPr>
      </w:pPr>
    </w:p>
    <w:p w:rsidR="00064016" w:rsidP="00064016" w14:paraId="4DCD00B7" w14:textId="2640AF55">
      <w:pPr>
        <w:pStyle w:val="7190"/>
        <w:spacing w:after="120"/>
        <w:jc w:val="center"/>
        <w:rPr>
          <w:rtl/>
        </w:rPr>
      </w:pPr>
    </w:p>
    <w:p w:rsidR="00064016" w:rsidRPr="00064016" w:rsidP="00064016" w14:paraId="132AAB22" w14:textId="22719A9E">
      <w:pPr>
        <w:pStyle w:val="7190"/>
        <w:spacing w:after="120"/>
        <w:jc w:val="center"/>
      </w:pPr>
      <w:r w:rsidRPr="00064016">
        <w:rPr>
          <w:rtl/>
        </w:rPr>
        <w:t xml:space="preserve">מס' קטלוגי </w:t>
      </w:r>
      <w:r w:rsidR="002043E0">
        <w:t>L</w:t>
      </w:r>
      <w:r w:rsidR="00D6278C">
        <w:t>-</w:t>
      </w:r>
      <w:r w:rsidR="006F45A4">
        <w:t>00</w:t>
      </w:r>
      <w:r w:rsidR="002043E0">
        <w:t>1</w:t>
      </w:r>
      <w:r w:rsidRPr="00064016">
        <w:rPr>
          <w:rtl/>
        </w:rPr>
        <w:t>-</w:t>
      </w:r>
      <w:r w:rsidR="006F45A4">
        <w:t>2023</w:t>
      </w:r>
    </w:p>
    <w:p w:rsidR="00064016" w:rsidRPr="00064016" w:rsidP="00064016" w14:paraId="66F3EDD3" w14:textId="6F44093D">
      <w:pPr>
        <w:pStyle w:val="7190"/>
        <w:jc w:val="center"/>
        <w:rPr>
          <w:rtl/>
        </w:rPr>
      </w:pPr>
      <w:r w:rsidRPr="00064016">
        <w:t xml:space="preserve">ISSN </w:t>
      </w:r>
      <w:r w:rsidR="002043E0">
        <w:t>0793</w:t>
      </w:r>
      <w:r w:rsidRPr="00064016">
        <w:t>-</w:t>
      </w:r>
      <w:r w:rsidR="002043E0">
        <w:t>1948</w:t>
      </w:r>
    </w:p>
    <w:p w:rsidR="00064016" w:rsidP="00064016" w14:paraId="52E2FCF4" w14:textId="77777777">
      <w:pPr>
        <w:pStyle w:val="7190"/>
        <w:spacing w:after="0"/>
        <w:jc w:val="center"/>
      </w:pPr>
      <w:r>
        <w:rPr>
          <w:rtl/>
        </w:rPr>
        <w:t xml:space="preserve">דוח זה מובא גם באתר האינטרנט של </w:t>
      </w:r>
      <w:r>
        <w:br/>
      </w:r>
      <w:r>
        <w:rPr>
          <w:rtl/>
        </w:rPr>
        <w:t>משרד מבקר המדינה</w:t>
      </w:r>
    </w:p>
    <w:p w:rsidR="00064016" w:rsidRPr="00064016" w:rsidP="00064016" w14:paraId="690EF9D9" w14:textId="44B52660">
      <w:pPr>
        <w:pStyle w:val="7190"/>
        <w:jc w:val="center"/>
        <w:rPr>
          <w:rtl/>
        </w:rPr>
      </w:pPr>
      <w:hyperlink r:id="rId17" w:history="1">
        <w:r w:rsidRPr="00064016">
          <w:t>www.mevaker.gov.il</w:t>
        </w:r>
      </w:hyperlink>
    </w:p>
    <w:p w:rsidR="00064016" w:rsidP="00064016" w14:paraId="62D700AA" w14:textId="3A3498A0">
      <w:pPr>
        <w:pStyle w:val="7190"/>
        <w:jc w:val="center"/>
        <w:rPr>
          <w:rtl/>
        </w:rPr>
      </w:pPr>
    </w:p>
    <w:p w:rsidR="009C0D3F" w:rsidP="00064016" w14:paraId="3AEEC7F7" w14:textId="72C74CC6">
      <w:pPr>
        <w:pStyle w:val="7190"/>
        <w:jc w:val="center"/>
        <w:rPr>
          <w:rtl/>
        </w:rPr>
      </w:pPr>
      <w:r>
        <w:rPr>
          <w:rFonts w:hint="cs"/>
          <w:rtl/>
        </w:rPr>
        <w:t xml:space="preserve">עיצוב גרפי: </w:t>
      </w:r>
      <w:r w:rsidR="00DB5E51">
        <w:rPr>
          <w:rFonts w:hint="cs"/>
          <w:rtl/>
        </w:rPr>
        <w:t xml:space="preserve">צוות אי.אר דיזיין </w:t>
      </w:r>
    </w:p>
    <w:p w:rsidR="00421B27" w:rsidRPr="009C0D3F" w:rsidP="00064016" w14:paraId="4570961E" w14:textId="7CE366E1">
      <w:pPr>
        <w:pStyle w:val="7190"/>
        <w:jc w:val="center"/>
        <w:rPr>
          <w:sz w:val="24"/>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AA5AC3" w:rsidRPr="00C04B74" w:rsidP="00AA5AC3" w14:paraId="1F6B6266" w14:textId="77777777">
      <w:pPr>
        <w:pStyle w:val="71316"/>
        <w:rPr>
          <w:sz w:val="36"/>
          <w:szCs w:val="36"/>
          <w:rtl/>
        </w:rPr>
      </w:pPr>
      <w:r w:rsidRPr="00107944">
        <w:rPr>
          <w:rFonts w:hint="cs"/>
          <w:b w:val="0"/>
          <w:bCs w:val="0"/>
          <w:noProof/>
          <w:spacing w:val="112"/>
          <w:rtl/>
          <w:lang w:val="he-IL"/>
        </w:rPr>
        <mc:AlternateContent>
          <mc:Choice Requires="wps">
            <w:drawing>
              <wp:anchor distT="0" distB="0" distL="114300" distR="114300" simplePos="0" relativeHeight="251674624" behindDoc="0" locked="0" layoutInCell="1" allowOverlap="1">
                <wp:simplePos x="0" y="0"/>
                <wp:positionH relativeFrom="column">
                  <wp:posOffset>3116580</wp:posOffset>
                </wp:positionH>
                <wp:positionV relativeFrom="paragraph">
                  <wp:posOffset>489322</wp:posOffset>
                </wp:positionV>
                <wp:extent cx="1531620" cy="0"/>
                <wp:effectExtent l="0" t="0" r="17780" b="12700"/>
                <wp:wrapNone/>
                <wp:docPr id="9"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30" style="flip:x;mso-width-percent:0;mso-width-relative:margin;mso-wrap-distance-bottom:0;mso-wrap-distance-left:9pt;mso-wrap-distance-right:9pt;mso-wrap-distance-top:0;mso-wrap-style:square;position:absolute;visibility:visible;z-index:251675648" from="245.4pt,38.55pt" to="366pt,38.55pt" strokecolor="#00305f" strokeweight="1pt"/>
            </w:pict>
          </mc:Fallback>
        </mc:AlternateContent>
      </w:r>
      <w:r w:rsidRPr="00C04B74">
        <w:rPr>
          <w:rFonts w:hint="cs"/>
          <w:sz w:val="36"/>
          <w:szCs w:val="36"/>
          <w:rtl/>
        </w:rPr>
        <w:t>תוכן העניינים</w:t>
      </w:r>
    </w:p>
    <w:p w:rsidR="00AA5AC3" w:rsidRPr="009758C5" w:rsidP="0028030F" w14:paraId="75AA99AD" w14:textId="00A72034">
      <w:pPr>
        <w:pStyle w:val="71316"/>
        <w:spacing w:before="120" w:after="120"/>
        <w:rPr>
          <w:b w:val="0"/>
          <w:bCs w:val="0"/>
          <w:spacing w:val="112"/>
          <w:rtl/>
        </w:rPr>
      </w:pPr>
      <w:r>
        <w:rPr>
          <w:b w:val="0"/>
          <w:bCs w:val="0"/>
          <w:noProof/>
          <w:spacing w:val="112"/>
          <w:rtl/>
          <w:lang w:val="he-IL"/>
        </w:rPr>
        <mc:AlternateContent>
          <mc:Choice Requires="wps">
            <w:drawing>
              <wp:anchor distT="0" distB="0" distL="114300" distR="114300" simplePos="0" relativeHeight="251684864" behindDoc="0" locked="0" layoutInCell="1" allowOverlap="1">
                <wp:simplePos x="0" y="0"/>
                <wp:positionH relativeFrom="column">
                  <wp:posOffset>-724898</wp:posOffset>
                </wp:positionH>
                <wp:positionV relativeFrom="paragraph">
                  <wp:posOffset>6944088</wp:posOffset>
                </wp:positionV>
                <wp:extent cx="914400" cy="240393"/>
                <wp:effectExtent l="12700" t="12700" r="12700" b="13970"/>
                <wp:wrapNone/>
                <wp:docPr id="16" name="מלבן 16"/>
                <wp:cNvGraphicFramePr/>
                <a:graphic xmlns:a="http://schemas.openxmlformats.org/drawingml/2006/main">
                  <a:graphicData uri="http://schemas.microsoft.com/office/word/2010/wordprocessingShape">
                    <wps:wsp xmlns:wps="http://schemas.microsoft.com/office/word/2010/wordprocessingShape">
                      <wps:cNvSpPr/>
                      <wps:spPr>
                        <a:xfrm>
                          <a:off x="0" y="0"/>
                          <a:ext cx="914400" cy="2403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6" o:spid="_x0000_s1031" style="width:1in;height:18.95pt;margin-top:546.8pt;margin-left:-57.1pt;mso-height-percent:0;mso-height-relative:margin;mso-wrap-distance-bottom:0;mso-wrap-distance-left:9pt;mso-wrap-distance-right:9pt;mso-wrap-distance-top:0;mso-wrap-style:square;position:absolute;visibility:visible;v-text-anchor:middle;z-index:251685888" fillcolor="white" strokecolor="white" strokeweight="2pt"/>
            </w:pict>
          </mc:Fallback>
        </mc:AlternateConten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9"/>
        <w:gridCol w:w="1121"/>
      </w:tblGrid>
      <w:tr w14:paraId="557F71C2" w14:textId="77777777" w:rsidTr="00B6233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39" w:type="dxa"/>
          </w:tcPr>
          <w:p w:rsidR="006E4866" w:rsidRPr="00C237BB" w:rsidP="00F36578" w14:paraId="26ABB394" w14:textId="32572DAF">
            <w:pPr>
              <w:pStyle w:val="7190"/>
              <w:spacing w:after="0"/>
              <w:rPr>
                <w:b/>
                <w:bCs/>
                <w:color w:val="00305F"/>
                <w:sz w:val="22"/>
                <w:szCs w:val="22"/>
                <w:rtl/>
              </w:rPr>
            </w:pPr>
            <w:r w:rsidRPr="006E2138">
              <w:rPr>
                <w:rFonts w:hint="cs"/>
                <w:color w:val="00305F"/>
                <w:spacing w:val="112"/>
                <w:sz w:val="32"/>
                <w:szCs w:val="32"/>
                <w:rtl/>
              </w:rPr>
              <w:t>כרך ראשון</w:t>
            </w:r>
          </w:p>
        </w:tc>
        <w:tc>
          <w:tcPr>
            <w:tcW w:w="1121" w:type="dxa"/>
          </w:tcPr>
          <w:p w:rsidR="006E4866" w:rsidP="006E4866" w14:paraId="24150577" w14:textId="77777777">
            <w:pPr>
              <w:widowControl w:val="0"/>
              <w:spacing w:before="280" w:after="400" w:line="260" w:lineRule="exact"/>
              <w:rPr>
                <w:rFonts w:ascii="Arial" w:hAnsi="Arial" w:cs="Tahoma"/>
                <w:color w:val="000000"/>
                <w:sz w:val="24"/>
                <w:szCs w:val="18"/>
                <w:rtl/>
              </w:rPr>
            </w:pPr>
          </w:p>
        </w:tc>
      </w:tr>
      <w:tr w14:paraId="09D9C205" w14:textId="77777777" w:rsidTr="00B6233D">
        <w:tblPrEx>
          <w:tblW w:w="0" w:type="auto"/>
          <w:tblLook w:val="04A0"/>
        </w:tblPrEx>
        <w:tc>
          <w:tcPr>
            <w:tcW w:w="6239" w:type="dxa"/>
          </w:tcPr>
          <w:p w:rsidR="00AA5AC3" w:rsidRPr="00C237BB" w:rsidP="00F36578" w14:paraId="3E8D413A" w14:textId="77777777">
            <w:pPr>
              <w:pStyle w:val="7190"/>
              <w:spacing w:after="100"/>
              <w:rPr>
                <w:b/>
                <w:bCs/>
                <w:rtl/>
              </w:rPr>
            </w:pPr>
            <w:r w:rsidRPr="00C237BB">
              <w:rPr>
                <w:rFonts w:hint="cs"/>
                <w:b/>
                <w:bCs/>
                <w:color w:val="00305F"/>
                <w:sz w:val="22"/>
                <w:szCs w:val="22"/>
                <w:rtl/>
              </w:rPr>
              <w:t>פתח דבר</w:t>
            </w:r>
          </w:p>
        </w:tc>
        <w:tc>
          <w:tcPr>
            <w:tcW w:w="1121" w:type="dxa"/>
          </w:tcPr>
          <w:p w:rsidR="00AA5AC3" w:rsidRPr="003A4571" w:rsidP="00F36578" w14:paraId="4C0C2AFB" w14:textId="5FC1A0EC">
            <w:pPr>
              <w:widowControl w:val="0"/>
              <w:spacing w:after="100" w:line="260" w:lineRule="exact"/>
              <w:rPr>
                <w:rFonts w:ascii="Arial" w:hAnsi="Arial" w:cs="Tahoma"/>
                <w:color w:val="000000"/>
                <w:sz w:val="24"/>
                <w:szCs w:val="18"/>
                <w:rtl/>
              </w:rPr>
            </w:pPr>
            <w:r>
              <w:rPr>
                <w:rFonts w:ascii="Arial" w:hAnsi="Arial" w:cs="Tahoma" w:hint="cs"/>
                <w:color w:val="000000"/>
                <w:sz w:val="24"/>
                <w:szCs w:val="18"/>
                <w:rtl/>
              </w:rPr>
              <w:t>7</w:t>
            </w:r>
          </w:p>
        </w:tc>
      </w:tr>
      <w:tr w14:paraId="73B2210C" w14:textId="77777777" w:rsidTr="00B6233D">
        <w:tblPrEx>
          <w:tblW w:w="0" w:type="auto"/>
          <w:tblLook w:val="04A0"/>
        </w:tblPrEx>
        <w:tc>
          <w:tcPr>
            <w:tcW w:w="6239" w:type="dxa"/>
          </w:tcPr>
          <w:p w:rsidR="00AA5AC3" w:rsidRPr="00C237BB" w:rsidP="00B6233D" w14:paraId="01F4DD56" w14:textId="3DB5772A">
            <w:pPr>
              <w:pStyle w:val="7190"/>
              <w:spacing w:before="100" w:after="100"/>
              <w:rPr>
                <w:b/>
                <w:bCs/>
                <w:rtl/>
              </w:rPr>
            </w:pPr>
            <w:r w:rsidRPr="00C237BB">
              <w:rPr>
                <w:rFonts w:hint="eastAsia"/>
                <w:b/>
                <w:bCs/>
                <w:color w:val="00305F"/>
                <w:sz w:val="22"/>
                <w:szCs w:val="22"/>
                <w:rtl/>
                <w:lang w:bidi="ar-SA"/>
              </w:rPr>
              <w:t>المقدمة</w:t>
            </w:r>
            <w:r w:rsidR="00A81021">
              <w:rPr>
                <w:rFonts w:hint="cs"/>
                <w:b/>
                <w:bCs/>
                <w:rtl/>
              </w:rPr>
              <w:t xml:space="preserve"> </w:t>
            </w:r>
          </w:p>
        </w:tc>
        <w:tc>
          <w:tcPr>
            <w:tcW w:w="1121" w:type="dxa"/>
          </w:tcPr>
          <w:p w:rsidR="00AA5AC3" w:rsidRPr="003A4571" w:rsidP="00B6233D" w14:paraId="29DBE377" w14:textId="4A92E8EA">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13</w:t>
            </w:r>
          </w:p>
        </w:tc>
      </w:tr>
      <w:tr w14:paraId="60B9C88A" w14:textId="77777777" w:rsidTr="00B6233D">
        <w:tblPrEx>
          <w:tblW w:w="0" w:type="auto"/>
          <w:tblLook w:val="04A0"/>
        </w:tblPrEx>
        <w:tc>
          <w:tcPr>
            <w:tcW w:w="6239" w:type="dxa"/>
          </w:tcPr>
          <w:p w:rsidR="00AA5AC3" w:rsidRPr="00C237BB" w:rsidP="00B6233D" w14:paraId="13AAD1E2" w14:textId="77777777">
            <w:pPr>
              <w:pStyle w:val="7190"/>
              <w:spacing w:before="100" w:after="100"/>
              <w:rPr>
                <w:b/>
                <w:bCs/>
                <w:color w:val="00305F"/>
                <w:sz w:val="22"/>
                <w:szCs w:val="22"/>
                <w:lang w:bidi="ar-SA"/>
              </w:rPr>
            </w:pPr>
            <w:r w:rsidRPr="00C237BB">
              <w:rPr>
                <w:b/>
                <w:bCs/>
                <w:color w:val="00305F"/>
                <w:sz w:val="22"/>
                <w:szCs w:val="22"/>
                <w:lang w:bidi="ar-SA"/>
              </w:rPr>
              <w:t>Foreword</w:t>
            </w:r>
          </w:p>
        </w:tc>
        <w:tc>
          <w:tcPr>
            <w:tcW w:w="1121" w:type="dxa"/>
          </w:tcPr>
          <w:p w:rsidR="00AA5AC3" w:rsidP="00B6233D" w14:paraId="1B427CC8" w14:textId="4D5D25D9">
            <w:pPr>
              <w:widowControl w:val="0"/>
              <w:spacing w:before="100" w:after="100" w:line="260" w:lineRule="exact"/>
              <w:rPr>
                <w:rFonts w:ascii="Arial" w:hAnsi="Arial" w:cs="Tahoma"/>
                <w:color w:val="000000"/>
                <w:sz w:val="24"/>
                <w:szCs w:val="18"/>
              </w:rPr>
            </w:pPr>
            <w:r>
              <w:rPr>
                <w:rFonts w:ascii="Arial" w:hAnsi="Arial" w:cs="Tahoma" w:hint="cs"/>
                <w:color w:val="000000"/>
                <w:sz w:val="24"/>
                <w:szCs w:val="18"/>
                <w:rtl/>
              </w:rPr>
              <w:t>420</w:t>
            </w:r>
          </w:p>
        </w:tc>
      </w:tr>
      <w:tr w14:paraId="051BA125"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92"/>
        </w:trPr>
        <w:tc>
          <w:tcPr>
            <w:tcW w:w="7360" w:type="dxa"/>
            <w:gridSpan w:val="2"/>
            <w:tcBorders>
              <w:top w:val="nil"/>
              <w:left w:val="nil"/>
              <w:bottom w:val="nil"/>
              <w:right w:val="nil"/>
            </w:tcBorders>
          </w:tcPr>
          <w:p w:rsidR="00AA5AC3" w:rsidRPr="00D20731" w:rsidP="006E4866" w14:paraId="41E18E44" w14:textId="5B67BBC5">
            <w:pPr>
              <w:pStyle w:val="7190"/>
              <w:spacing w:before="520" w:after="240"/>
              <w:rPr>
                <w:rFonts w:eastAsia="Times New Roman"/>
                <w:color w:val="00305F"/>
                <w:sz w:val="26"/>
                <w:szCs w:val="26"/>
                <w:rtl/>
              </w:rPr>
            </w:pPr>
            <w:r w:rsidRPr="00D20731">
              <w:rPr>
                <w:rFonts w:hint="cs"/>
                <w:color w:val="00305F"/>
                <w:sz w:val="26"/>
                <w:szCs w:val="26"/>
                <w:rtl/>
              </w:rPr>
              <w:t xml:space="preserve">פרק ראשון | </w:t>
            </w:r>
            <w:r w:rsidR="00E30827">
              <w:rPr>
                <w:rFonts w:hint="cs"/>
                <w:b/>
                <w:bCs/>
                <w:color w:val="00305F"/>
                <w:sz w:val="26"/>
                <w:szCs w:val="26"/>
                <w:rtl/>
              </w:rPr>
              <w:t xml:space="preserve">ביקורת </w:t>
            </w:r>
            <w:r w:rsidR="00DA2309">
              <w:rPr>
                <w:rFonts w:hint="cs"/>
                <w:b/>
                <w:bCs/>
                <w:color w:val="00305F"/>
                <w:sz w:val="26"/>
                <w:szCs w:val="26"/>
                <w:rtl/>
              </w:rPr>
              <w:t>פיננסית</w:t>
            </w:r>
          </w:p>
        </w:tc>
      </w:tr>
      <w:tr w14:paraId="761777EF"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AA5AC3" w:rsidRPr="00924D92" w:rsidP="00E30827" w14:paraId="1001C523" w14:textId="5F0FC753">
            <w:pPr>
              <w:spacing w:before="80" w:after="80" w:line="260" w:lineRule="exact"/>
              <w:rPr>
                <w:rFonts w:ascii="Arial" w:hAnsi="Arial" w:cs="Tahoma"/>
                <w:color w:val="000000"/>
                <w:sz w:val="24"/>
                <w:szCs w:val="18"/>
                <w:rtl/>
              </w:rPr>
            </w:pPr>
            <w:r w:rsidRPr="004B3A69">
              <w:rPr>
                <w:rFonts w:ascii="Arial" w:hAnsi="Arial" w:cs="Tahoma"/>
                <w:color w:val="000000"/>
                <w:sz w:val="24"/>
                <w:szCs w:val="18"/>
                <w:rtl/>
              </w:rPr>
              <w:t>ת</w:t>
            </w:r>
            <w:r w:rsidRPr="004B3A69">
              <w:rPr>
                <w:rFonts w:ascii="Arial" w:hAnsi="Arial" w:cs="Tahoma" w:hint="cs"/>
                <w:color w:val="000000"/>
                <w:sz w:val="24"/>
                <w:szCs w:val="18"/>
                <w:rtl/>
              </w:rPr>
              <w:t>ו</w:t>
            </w:r>
            <w:r w:rsidRPr="004B3A69">
              <w:rPr>
                <w:rFonts w:ascii="Arial" w:hAnsi="Arial" w:cs="Tahoma"/>
                <w:color w:val="000000"/>
                <w:sz w:val="24"/>
                <w:szCs w:val="18"/>
                <w:rtl/>
              </w:rPr>
              <w:t>כניות הבראה ברשויות מקומיות</w:t>
            </w:r>
            <w:r w:rsidRPr="004B3A69">
              <w:rPr>
                <w:rFonts w:ascii="Arial" w:hAnsi="Arial" w:cs="Tahoma" w:hint="cs"/>
                <w:color w:val="000000"/>
                <w:sz w:val="24"/>
                <w:szCs w:val="18"/>
                <w:rtl/>
              </w:rPr>
              <w:t xml:space="preserve">  </w:t>
            </w:r>
          </w:p>
        </w:tc>
        <w:tc>
          <w:tcPr>
            <w:tcW w:w="1121" w:type="dxa"/>
            <w:tcBorders>
              <w:top w:val="nil"/>
              <w:left w:val="nil"/>
              <w:bottom w:val="nil"/>
              <w:right w:val="nil"/>
            </w:tcBorders>
          </w:tcPr>
          <w:p w:rsidR="00AA5AC3" w:rsidRPr="00136CC3" w:rsidP="00B6233D" w14:paraId="2EF48823" w14:textId="29A2AAC4">
            <w:pPr>
              <w:pStyle w:val="7190"/>
              <w:widowControl w:val="0"/>
              <w:spacing w:before="80" w:after="80"/>
              <w:rPr>
                <w:rFonts w:ascii="Arial" w:hAnsi="Arial"/>
                <w:color w:val="000000"/>
                <w:sz w:val="24"/>
                <w:rtl/>
              </w:rPr>
            </w:pPr>
            <w:r>
              <w:rPr>
                <w:rFonts w:ascii="Arial" w:hAnsi="Arial" w:hint="cs"/>
                <w:color w:val="000000"/>
                <w:sz w:val="24"/>
                <w:rtl/>
              </w:rPr>
              <w:t>21</w:t>
            </w:r>
          </w:p>
        </w:tc>
      </w:tr>
      <w:tr w14:paraId="45ACA03A"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F36578" w:rsidRPr="00F36578" w:rsidP="00E30827" w14:paraId="03A9CA86" w14:textId="1FB0EE96">
            <w:pPr>
              <w:spacing w:line="360" w:lineRule="auto"/>
              <w:rPr>
                <w:rFonts w:ascii="Arial" w:hAnsi="Arial" w:cs="Tahoma"/>
                <w:color w:val="000000"/>
                <w:sz w:val="24"/>
                <w:szCs w:val="18"/>
                <w:rtl/>
              </w:rPr>
            </w:pPr>
            <w:r w:rsidRPr="004B3A69">
              <w:rPr>
                <w:rFonts w:ascii="Arial" w:hAnsi="Arial" w:cs="Tahoma" w:hint="cs"/>
                <w:color w:val="000000"/>
                <w:sz w:val="24"/>
                <w:szCs w:val="18"/>
                <w:rtl/>
              </w:rPr>
              <w:t>ביקורת פיננסית ברשויות מקומיות איתנות</w:t>
            </w:r>
          </w:p>
        </w:tc>
        <w:tc>
          <w:tcPr>
            <w:tcW w:w="1121" w:type="dxa"/>
            <w:tcBorders>
              <w:top w:val="nil"/>
              <w:left w:val="nil"/>
              <w:bottom w:val="nil"/>
              <w:right w:val="nil"/>
            </w:tcBorders>
          </w:tcPr>
          <w:p w:rsidR="00F36578" w:rsidP="00B6233D" w14:paraId="23CB3493" w14:textId="0B29306A">
            <w:pPr>
              <w:pStyle w:val="7190"/>
              <w:widowControl w:val="0"/>
              <w:spacing w:before="80" w:after="80"/>
              <w:rPr>
                <w:rFonts w:ascii="Arial" w:hAnsi="Arial"/>
                <w:color w:val="000000"/>
                <w:sz w:val="24"/>
                <w:rtl/>
              </w:rPr>
            </w:pPr>
            <w:r>
              <w:rPr>
                <w:rFonts w:ascii="Arial" w:hAnsi="Arial" w:hint="cs"/>
                <w:color w:val="000000"/>
                <w:sz w:val="24"/>
                <w:rtl/>
              </w:rPr>
              <w:t>113</w:t>
            </w:r>
          </w:p>
        </w:tc>
      </w:tr>
      <w:tr w14:paraId="57F6FB9F"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F36578" w:rsidRPr="00E30827" w:rsidP="00E30827" w14:paraId="497CC1A5" w14:textId="56309373">
            <w:pPr>
              <w:spacing w:line="360" w:lineRule="auto"/>
              <w:rPr>
                <w:rFonts w:ascii="Arial" w:hAnsi="Arial" w:cs="Tahoma"/>
                <w:color w:val="000000"/>
                <w:sz w:val="24"/>
                <w:szCs w:val="18"/>
                <w:rtl/>
              </w:rPr>
            </w:pPr>
            <w:r w:rsidRPr="004B3A69">
              <w:rPr>
                <w:rFonts w:ascii="Arial" w:hAnsi="Arial" w:cs="Tahoma" w:hint="cs"/>
                <w:color w:val="000000"/>
                <w:sz w:val="24"/>
                <w:szCs w:val="18"/>
                <w:rtl/>
              </w:rPr>
              <w:t>ארנונה ברשויות המקומיות - אסדרה, הטלה ומתן הנחות</w:t>
            </w:r>
          </w:p>
        </w:tc>
        <w:tc>
          <w:tcPr>
            <w:tcW w:w="1121" w:type="dxa"/>
            <w:tcBorders>
              <w:top w:val="nil"/>
              <w:left w:val="nil"/>
              <w:bottom w:val="nil"/>
              <w:right w:val="nil"/>
            </w:tcBorders>
          </w:tcPr>
          <w:p w:rsidR="00F36578" w:rsidP="00B6233D" w14:paraId="521DB008" w14:textId="20F52E35">
            <w:pPr>
              <w:pStyle w:val="7190"/>
              <w:widowControl w:val="0"/>
              <w:spacing w:before="80" w:after="80"/>
              <w:rPr>
                <w:rFonts w:ascii="Arial" w:hAnsi="Arial"/>
                <w:color w:val="000000"/>
                <w:sz w:val="24"/>
                <w:rtl/>
              </w:rPr>
            </w:pPr>
            <w:r>
              <w:rPr>
                <w:rFonts w:ascii="Arial" w:hAnsi="Arial" w:hint="cs"/>
                <w:color w:val="000000"/>
                <w:sz w:val="24"/>
                <w:rtl/>
              </w:rPr>
              <w:t>243</w:t>
            </w:r>
          </w:p>
        </w:tc>
      </w:tr>
      <w:tr w14:paraId="39744A3C"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162526" w:rsidRPr="00F36578" w:rsidP="00E30827" w14:paraId="1769B04B" w14:textId="0AF7B1AF">
            <w:pPr>
              <w:spacing w:line="360" w:lineRule="auto"/>
              <w:rPr>
                <w:rFonts w:ascii="Arial" w:hAnsi="Arial" w:cs="Tahoma"/>
                <w:color w:val="000000"/>
                <w:sz w:val="24"/>
                <w:szCs w:val="18"/>
                <w:rtl/>
              </w:rPr>
            </w:pPr>
            <w:r w:rsidRPr="004B3A69">
              <w:rPr>
                <w:rFonts w:ascii="Arial" w:hAnsi="Arial" w:cs="Tahoma" w:hint="cs"/>
                <w:color w:val="000000"/>
                <w:sz w:val="24"/>
                <w:szCs w:val="18"/>
                <w:rtl/>
              </w:rPr>
              <w:t>ארנונה ברשויות המקומיות - השירות לתושב</w:t>
            </w:r>
          </w:p>
        </w:tc>
        <w:tc>
          <w:tcPr>
            <w:tcW w:w="1121" w:type="dxa"/>
            <w:tcBorders>
              <w:top w:val="nil"/>
              <w:left w:val="nil"/>
              <w:bottom w:val="nil"/>
              <w:right w:val="nil"/>
            </w:tcBorders>
          </w:tcPr>
          <w:p w:rsidR="00162526" w:rsidP="00162526" w14:paraId="4C9CE119" w14:textId="23D5B562">
            <w:pPr>
              <w:pStyle w:val="7190"/>
              <w:widowControl w:val="0"/>
              <w:spacing w:before="80" w:after="80"/>
              <w:rPr>
                <w:rFonts w:ascii="Arial" w:hAnsi="Arial"/>
                <w:color w:val="000000"/>
                <w:sz w:val="24"/>
                <w:rtl/>
              </w:rPr>
            </w:pPr>
            <w:r>
              <w:rPr>
                <w:rFonts w:ascii="Arial" w:hAnsi="Arial" w:hint="cs"/>
                <w:color w:val="000000"/>
                <w:sz w:val="24"/>
                <w:rtl/>
              </w:rPr>
              <w:t>339</w:t>
            </w:r>
          </w:p>
        </w:tc>
      </w:tr>
      <w:tr w14:paraId="74B0A3E0"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FD5CD0" w:rsidRPr="00FD5CD0" w:rsidP="00162526" w14:paraId="251CAFA7" w14:textId="56652D8A">
            <w:pPr>
              <w:pStyle w:val="7190"/>
              <w:spacing w:before="600" w:after="120"/>
              <w:rPr>
                <w:color w:val="00305F"/>
                <w:spacing w:val="112"/>
                <w:sz w:val="32"/>
                <w:szCs w:val="32"/>
                <w:rtl/>
              </w:rPr>
            </w:pPr>
            <w:r w:rsidRPr="006E2138">
              <w:rPr>
                <w:rFonts w:hint="cs"/>
                <w:color w:val="00305F"/>
                <w:spacing w:val="112"/>
                <w:sz w:val="32"/>
                <w:szCs w:val="32"/>
                <w:rtl/>
              </w:rPr>
              <w:t>כרך שני</w:t>
            </w:r>
          </w:p>
        </w:tc>
        <w:tc>
          <w:tcPr>
            <w:tcW w:w="1121" w:type="dxa"/>
            <w:tcBorders>
              <w:top w:val="nil"/>
              <w:left w:val="nil"/>
              <w:bottom w:val="nil"/>
              <w:right w:val="nil"/>
            </w:tcBorders>
          </w:tcPr>
          <w:p w:rsidR="00FD5CD0" w:rsidRPr="00FD5CD0" w:rsidP="00FD5CD0" w14:paraId="588B57B5" w14:textId="77777777">
            <w:pPr>
              <w:pStyle w:val="7190"/>
              <w:spacing w:before="360" w:after="120"/>
              <w:rPr>
                <w:color w:val="00305F"/>
                <w:spacing w:val="112"/>
                <w:sz w:val="32"/>
                <w:szCs w:val="32"/>
                <w:rtl/>
              </w:rPr>
            </w:pPr>
          </w:p>
        </w:tc>
      </w:tr>
      <w:tr w14:paraId="295FD509"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7360" w:type="dxa"/>
            <w:gridSpan w:val="2"/>
            <w:tcBorders>
              <w:top w:val="nil"/>
              <w:left w:val="nil"/>
              <w:bottom w:val="nil"/>
              <w:right w:val="nil"/>
            </w:tcBorders>
          </w:tcPr>
          <w:p w:rsidR="00AA5AC3" w:rsidRPr="00D20731" w:rsidP="006E4866" w14:paraId="0C5B65DF" w14:textId="4A1C073E">
            <w:pPr>
              <w:pStyle w:val="71316"/>
              <w:spacing w:before="380" w:after="200" w:line="240" w:lineRule="auto"/>
              <w:rPr>
                <w:rFonts w:ascii="Arial" w:hAnsi="Arial"/>
                <w:b w:val="0"/>
                <w:bCs w:val="0"/>
                <w:color w:val="000000"/>
                <w:sz w:val="26"/>
                <w:szCs w:val="26"/>
                <w:rtl/>
              </w:rPr>
            </w:pPr>
            <w:r w:rsidRPr="00D20731">
              <w:rPr>
                <w:rFonts w:hint="cs"/>
                <w:b w:val="0"/>
                <w:bCs w:val="0"/>
                <w:sz w:val="26"/>
                <w:szCs w:val="26"/>
                <w:rtl/>
              </w:rPr>
              <w:t>פרק שני |</w:t>
            </w:r>
            <w:r w:rsidRPr="00D20731">
              <w:rPr>
                <w:rFonts w:hint="cs"/>
                <w:sz w:val="26"/>
                <w:szCs w:val="26"/>
                <w:rtl/>
              </w:rPr>
              <w:t xml:space="preserve"> </w:t>
            </w:r>
            <w:r w:rsidR="005C552F">
              <w:rPr>
                <w:rFonts w:hint="cs"/>
                <w:sz w:val="26"/>
                <w:szCs w:val="26"/>
                <w:rtl/>
              </w:rPr>
              <w:t>ביקורת</w:t>
            </w:r>
            <w:r w:rsidR="005F2377">
              <w:rPr>
                <w:rFonts w:hint="cs"/>
                <w:sz w:val="26"/>
                <w:szCs w:val="26"/>
                <w:rtl/>
              </w:rPr>
              <w:t xml:space="preserve"> </w:t>
            </w:r>
            <w:r w:rsidR="005C552F">
              <w:rPr>
                <w:rFonts w:hint="cs"/>
                <w:sz w:val="26"/>
                <w:szCs w:val="26"/>
                <w:rtl/>
              </w:rPr>
              <w:t>חברתית</w:t>
            </w:r>
            <w:r>
              <w:rPr>
                <w:rFonts w:hint="cs"/>
                <w:sz w:val="26"/>
                <w:szCs w:val="26"/>
                <w:rtl/>
              </w:rPr>
              <w:t xml:space="preserve"> </w:t>
            </w:r>
          </w:p>
        </w:tc>
      </w:tr>
      <w:tr w14:paraId="0AB466E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691701" w:rsidP="00691701" w14:paraId="44A6400E" w14:textId="6A6E7913">
            <w:pPr>
              <w:spacing w:before="80" w:after="80" w:line="260" w:lineRule="exact"/>
              <w:rPr>
                <w:rFonts w:ascii="Arial" w:hAnsi="Arial" w:cs="Tahoma"/>
                <w:color w:val="000000"/>
                <w:sz w:val="24"/>
                <w:szCs w:val="18"/>
                <w:rtl/>
              </w:rPr>
            </w:pPr>
            <w:r w:rsidRPr="00AF523D">
              <w:rPr>
                <w:rFonts w:ascii="Arial" w:hAnsi="Arial" w:cs="Tahoma" w:hint="cs"/>
                <w:color w:val="000000"/>
                <w:sz w:val="24"/>
                <w:szCs w:val="18"/>
                <w:rtl/>
              </w:rPr>
              <w:t xml:space="preserve">השירותים שמספקות הרשויות המקומיות לאנשים עם מוגבלות - </w:t>
            </w:r>
            <w:r>
              <w:rPr>
                <w:rFonts w:ascii="Arial" w:hAnsi="Arial" w:cs="Tahoma"/>
                <w:color w:val="000000"/>
                <w:sz w:val="24"/>
                <w:szCs w:val="18"/>
                <w:rtl/>
              </w:rPr>
              <w:br/>
            </w:r>
            <w:r w:rsidRPr="00AF523D">
              <w:rPr>
                <w:rFonts w:ascii="Arial" w:hAnsi="Arial" w:cs="Tahoma" w:hint="cs"/>
                <w:color w:val="000000"/>
                <w:sz w:val="24"/>
                <w:szCs w:val="18"/>
                <w:rtl/>
              </w:rPr>
              <w:t>מרכז מול פריפריה</w:t>
            </w:r>
          </w:p>
        </w:tc>
        <w:tc>
          <w:tcPr>
            <w:tcW w:w="1121" w:type="dxa"/>
            <w:tcBorders>
              <w:top w:val="nil"/>
              <w:left w:val="nil"/>
              <w:bottom w:val="nil"/>
              <w:right w:val="nil"/>
            </w:tcBorders>
          </w:tcPr>
          <w:p w:rsidR="00AA5AC3" w:rsidP="00B6233D" w14:paraId="38F42ECE" w14:textId="27AF9DCB">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431</w:t>
            </w:r>
          </w:p>
        </w:tc>
      </w:tr>
      <w:tr w14:paraId="2CD436F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691701" w:rsidP="00691701" w14:paraId="28F2C690" w14:textId="2CAA8A8B">
            <w:pPr>
              <w:spacing w:before="80" w:after="80" w:line="260" w:lineRule="exact"/>
              <w:rPr>
                <w:rFonts w:ascii="Arial" w:hAnsi="Arial" w:cs="Tahoma"/>
                <w:color w:val="000000"/>
                <w:sz w:val="24"/>
                <w:szCs w:val="18"/>
                <w:rtl/>
              </w:rPr>
            </w:pPr>
            <w:r w:rsidRPr="00AF523D">
              <w:rPr>
                <w:rFonts w:ascii="Arial" w:hAnsi="Arial" w:cs="Tahoma"/>
                <w:color w:val="000000"/>
                <w:sz w:val="24"/>
                <w:szCs w:val="18"/>
                <w:rtl/>
              </w:rPr>
              <w:t>טיפול הרשויות המקומיות באזרחים הוותיקים שבתחום שיפוטן</w:t>
            </w:r>
            <w:r w:rsidRPr="00AF523D">
              <w:rPr>
                <w:rFonts w:ascii="Arial" w:hAnsi="Arial" w:cs="Tahoma" w:hint="cs"/>
                <w:color w:val="000000"/>
                <w:sz w:val="24"/>
                <w:szCs w:val="18"/>
                <w:rtl/>
              </w:rPr>
              <w:t xml:space="preserve"> </w:t>
            </w:r>
          </w:p>
        </w:tc>
        <w:tc>
          <w:tcPr>
            <w:tcW w:w="1121" w:type="dxa"/>
            <w:tcBorders>
              <w:top w:val="nil"/>
              <w:left w:val="nil"/>
              <w:bottom w:val="nil"/>
              <w:right w:val="nil"/>
            </w:tcBorders>
          </w:tcPr>
          <w:p w:rsidR="00A739CF" w:rsidP="00A739CF" w14:paraId="04B848F9" w14:textId="2BF965FB">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617</w:t>
            </w:r>
          </w:p>
        </w:tc>
      </w:tr>
      <w:tr w14:paraId="2AA8C4DB"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5C552F" w:rsidP="00691701" w14:paraId="742FE848" w14:textId="52210C66">
            <w:pPr>
              <w:spacing w:before="80" w:after="80" w:line="260" w:lineRule="exact"/>
              <w:rPr>
                <w:rFonts w:ascii="Arial" w:hAnsi="Arial" w:cs="Tahoma"/>
                <w:color w:val="000000"/>
                <w:sz w:val="24"/>
                <w:szCs w:val="18"/>
                <w:rtl/>
              </w:rPr>
            </w:pPr>
            <w:r w:rsidRPr="00AF523D">
              <w:rPr>
                <w:rFonts w:ascii="Arial" w:hAnsi="Arial" w:cs="Tahoma" w:hint="cs"/>
                <w:color w:val="000000"/>
                <w:sz w:val="24"/>
                <w:szCs w:val="18"/>
                <w:rtl/>
              </w:rPr>
              <w:t>פעילות הרשויות המקומיות לשיפור הישגים לימודיים</w:t>
            </w:r>
          </w:p>
        </w:tc>
        <w:tc>
          <w:tcPr>
            <w:tcW w:w="1121" w:type="dxa"/>
            <w:tcBorders>
              <w:top w:val="nil"/>
              <w:left w:val="nil"/>
              <w:bottom w:val="nil"/>
              <w:right w:val="nil"/>
            </w:tcBorders>
          </w:tcPr>
          <w:p w:rsidR="001C1DE0" w:rsidP="001C1DE0" w14:paraId="6CEF1295" w14:textId="20B77627">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713</w:t>
            </w:r>
          </w:p>
        </w:tc>
      </w:tr>
      <w:tr w14:paraId="4A321804"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691701" w:rsidP="00691701" w14:paraId="51065B37" w14:textId="4D45F905">
            <w:pPr>
              <w:spacing w:before="80" w:after="80" w:line="260" w:lineRule="exact"/>
              <w:rPr>
                <w:rFonts w:ascii="Arial" w:hAnsi="Arial" w:cs="Tahoma"/>
                <w:color w:val="000000"/>
                <w:sz w:val="24"/>
                <w:szCs w:val="18"/>
                <w:rtl/>
              </w:rPr>
            </w:pPr>
            <w:r w:rsidRPr="00AF523D">
              <w:rPr>
                <w:rFonts w:ascii="Arial" w:hAnsi="Arial" w:cs="Tahoma"/>
                <w:color w:val="000000"/>
                <w:sz w:val="24"/>
                <w:szCs w:val="18"/>
                <w:rtl/>
              </w:rPr>
              <w:t>השירות הווטרינרי ברשויות המקומיות - הפיקוח על בשר ומוצריו</w:t>
            </w:r>
          </w:p>
        </w:tc>
        <w:tc>
          <w:tcPr>
            <w:tcW w:w="1121" w:type="dxa"/>
            <w:tcBorders>
              <w:top w:val="nil"/>
              <w:left w:val="nil"/>
              <w:bottom w:val="nil"/>
              <w:right w:val="nil"/>
            </w:tcBorders>
          </w:tcPr>
          <w:p w:rsidR="001C1DE0" w:rsidP="001C1DE0" w14:paraId="7BE63953" w14:textId="36E2CEA5">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795</w:t>
            </w:r>
          </w:p>
        </w:tc>
      </w:tr>
      <w:tr w14:paraId="52C083E1"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691701" w:rsidP="00691701" w14:paraId="0181C15B" w14:textId="1FF94B98">
            <w:pPr>
              <w:spacing w:before="80" w:after="80" w:line="260" w:lineRule="exact"/>
              <w:rPr>
                <w:rFonts w:ascii="Arial" w:hAnsi="Arial" w:cs="Tahoma"/>
                <w:color w:val="000000"/>
                <w:sz w:val="24"/>
                <w:szCs w:val="18"/>
                <w:rtl/>
              </w:rPr>
            </w:pPr>
            <w:r w:rsidRPr="00AF523D">
              <w:rPr>
                <w:rFonts w:ascii="Arial" w:hAnsi="Arial" w:cs="Tahoma" w:hint="cs"/>
                <w:color w:val="000000"/>
                <w:sz w:val="24"/>
                <w:szCs w:val="18"/>
                <w:rtl/>
              </w:rPr>
              <w:t xml:space="preserve">ספורט עממי ברשויות המקומיות - תכנון והשקעה  </w:t>
            </w:r>
          </w:p>
        </w:tc>
        <w:tc>
          <w:tcPr>
            <w:tcW w:w="1121" w:type="dxa"/>
            <w:tcBorders>
              <w:top w:val="nil"/>
              <w:left w:val="nil"/>
              <w:bottom w:val="nil"/>
              <w:right w:val="nil"/>
            </w:tcBorders>
          </w:tcPr>
          <w:p w:rsidR="001C1DE0" w:rsidRPr="005F2377" w:rsidP="001C1DE0" w14:paraId="69E35F00" w14:textId="3800AE73">
            <w:pPr>
              <w:pStyle w:val="71316"/>
              <w:spacing w:before="80" w:after="80" w:line="240" w:lineRule="auto"/>
              <w:rPr>
                <w:rFonts w:ascii="Arial" w:hAnsi="Arial" w:eastAsiaTheme="minorHAnsi"/>
                <w:b w:val="0"/>
                <w:bCs w:val="0"/>
                <w:color w:val="000000"/>
                <w:sz w:val="24"/>
                <w:szCs w:val="18"/>
                <w:rtl/>
              </w:rPr>
            </w:pPr>
            <w:r>
              <w:rPr>
                <w:rFonts w:ascii="Arial" w:hAnsi="Arial" w:eastAsiaTheme="minorHAnsi" w:hint="cs"/>
                <w:b w:val="0"/>
                <w:bCs w:val="0"/>
                <w:color w:val="000000"/>
                <w:sz w:val="24"/>
                <w:szCs w:val="18"/>
                <w:rtl/>
              </w:rPr>
              <w:t>887</w:t>
            </w:r>
          </w:p>
        </w:tc>
      </w:tr>
      <w:tr w14:paraId="27DF3D8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FD5CD0" w:rsidP="001C1DE0" w14:paraId="5D563E04" w14:textId="35FB9FF3">
            <w:pPr>
              <w:pStyle w:val="7190"/>
              <w:spacing w:before="600" w:after="120"/>
              <w:rPr>
                <w:color w:val="00305F"/>
                <w:spacing w:val="112"/>
                <w:sz w:val="32"/>
                <w:szCs w:val="32"/>
                <w:rtl/>
              </w:rPr>
            </w:pPr>
            <w:r w:rsidRPr="006E2138">
              <w:rPr>
                <w:rFonts w:hint="cs"/>
                <w:color w:val="00305F"/>
                <w:spacing w:val="112"/>
                <w:sz w:val="32"/>
                <w:szCs w:val="32"/>
                <w:rtl/>
              </w:rPr>
              <w:t xml:space="preserve">כרך </w:t>
            </w:r>
            <w:r>
              <w:rPr>
                <w:rFonts w:hint="cs"/>
                <w:color w:val="00305F"/>
                <w:spacing w:val="112"/>
                <w:sz w:val="32"/>
                <w:szCs w:val="32"/>
                <w:rtl/>
              </w:rPr>
              <w:t>שלישי</w:t>
            </w:r>
          </w:p>
        </w:tc>
        <w:tc>
          <w:tcPr>
            <w:tcW w:w="1121" w:type="dxa"/>
            <w:tcBorders>
              <w:top w:val="nil"/>
              <w:left w:val="nil"/>
              <w:bottom w:val="nil"/>
              <w:right w:val="nil"/>
            </w:tcBorders>
          </w:tcPr>
          <w:p w:rsidR="001C1DE0" w:rsidRPr="00FD5CD0" w:rsidP="001C1DE0" w14:paraId="50960F8C" w14:textId="77777777">
            <w:pPr>
              <w:pStyle w:val="7190"/>
              <w:spacing w:before="360" w:after="120"/>
              <w:rPr>
                <w:color w:val="00305F"/>
                <w:spacing w:val="112"/>
                <w:sz w:val="32"/>
                <w:szCs w:val="32"/>
                <w:rtl/>
              </w:rPr>
            </w:pPr>
          </w:p>
        </w:tc>
      </w:tr>
      <w:tr w14:paraId="498BDE85"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44727D" w:rsidP="001C1DE0" w14:paraId="3A47814A" w14:textId="045BF5F4">
            <w:pPr>
              <w:spacing w:before="380" w:after="200" w:line="260" w:lineRule="exact"/>
              <w:rPr>
                <w:rFonts w:ascii="Arial" w:hAnsi="Arial" w:cs="Tahoma"/>
                <w:color w:val="000000"/>
                <w:sz w:val="24"/>
                <w:szCs w:val="18"/>
                <w:rtl/>
              </w:rPr>
            </w:pPr>
            <w:r w:rsidRPr="006E2138">
              <w:rPr>
                <w:rFonts w:ascii="Tahoma" w:eastAsia="Times New Roman" w:hAnsi="Tahoma" w:cs="Tahoma" w:hint="cs"/>
                <w:color w:val="00305F"/>
                <w:sz w:val="26"/>
                <w:szCs w:val="26"/>
                <w:rtl/>
              </w:rPr>
              <w:t xml:space="preserve">פרק </w:t>
            </w:r>
            <w:r w:rsidR="00691701">
              <w:rPr>
                <w:rFonts w:ascii="Tahoma" w:eastAsia="Times New Roman" w:hAnsi="Tahoma" w:cs="Tahoma" w:hint="cs"/>
                <w:color w:val="00305F"/>
                <w:sz w:val="26"/>
                <w:szCs w:val="26"/>
                <w:rtl/>
              </w:rPr>
              <w:t>שלישי</w:t>
            </w:r>
            <w:r w:rsidRPr="006E2138">
              <w:rPr>
                <w:rFonts w:ascii="Tahoma" w:eastAsia="Times New Roman" w:hAnsi="Tahoma" w:cs="Tahoma" w:hint="cs"/>
                <w:color w:val="00305F"/>
                <w:sz w:val="26"/>
                <w:szCs w:val="26"/>
                <w:rtl/>
              </w:rPr>
              <w:t xml:space="preserve"> | </w:t>
            </w:r>
            <w:r w:rsidR="00691701">
              <w:rPr>
                <w:rFonts w:ascii="Tahoma" w:eastAsia="Times New Roman" w:hAnsi="Tahoma" w:cs="Tahoma" w:hint="cs"/>
                <w:b/>
                <w:bCs/>
                <w:color w:val="00305F"/>
                <w:sz w:val="26"/>
                <w:szCs w:val="26"/>
                <w:rtl/>
              </w:rPr>
              <w:t>תכנון ובנייה ותשתיות</w:t>
            </w:r>
          </w:p>
        </w:tc>
        <w:tc>
          <w:tcPr>
            <w:tcW w:w="1121" w:type="dxa"/>
            <w:tcBorders>
              <w:top w:val="nil"/>
              <w:left w:val="nil"/>
              <w:bottom w:val="nil"/>
              <w:right w:val="nil"/>
            </w:tcBorders>
          </w:tcPr>
          <w:p w:rsidR="001C1DE0" w:rsidP="001C1DE0" w14:paraId="6437BE49" w14:textId="77777777">
            <w:pPr>
              <w:pStyle w:val="71316"/>
              <w:spacing w:before="380" w:after="200" w:line="240" w:lineRule="auto"/>
              <w:rPr>
                <w:rFonts w:ascii="Arial" w:hAnsi="Arial" w:eastAsiaTheme="minorHAnsi"/>
                <w:b w:val="0"/>
                <w:bCs w:val="0"/>
                <w:color w:val="000000"/>
                <w:sz w:val="24"/>
                <w:szCs w:val="18"/>
                <w:rtl/>
              </w:rPr>
            </w:pPr>
          </w:p>
        </w:tc>
      </w:tr>
      <w:tr w14:paraId="76277170"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691701" w:rsidP="00691701" w14:paraId="1F487F23" w14:textId="733D1F28">
            <w:pPr>
              <w:spacing w:before="80" w:after="80" w:line="260" w:lineRule="exact"/>
              <w:rPr>
                <w:rFonts w:ascii="Arial" w:hAnsi="Arial" w:cs="Tahoma"/>
                <w:color w:val="000000"/>
                <w:sz w:val="24"/>
                <w:szCs w:val="18"/>
                <w:rtl/>
              </w:rPr>
            </w:pPr>
            <w:r w:rsidRPr="00AF523D">
              <w:rPr>
                <w:rFonts w:ascii="Arial" w:hAnsi="Arial" w:cs="Tahoma"/>
                <w:color w:val="000000"/>
                <w:sz w:val="24"/>
                <w:szCs w:val="18"/>
                <w:rtl/>
              </w:rPr>
              <w:t>ניהול של נכסי מקרקעין בידי רשויות מקומיות</w:t>
            </w:r>
            <w:r w:rsidRPr="00AF523D">
              <w:rPr>
                <w:rFonts w:ascii="Arial" w:hAnsi="Arial" w:cs="Tahoma" w:hint="cs"/>
                <w:color w:val="000000"/>
                <w:sz w:val="24"/>
                <w:szCs w:val="18"/>
                <w:rtl/>
              </w:rPr>
              <w:t xml:space="preserve"> </w:t>
            </w:r>
          </w:p>
        </w:tc>
        <w:tc>
          <w:tcPr>
            <w:tcW w:w="1121" w:type="dxa"/>
            <w:tcBorders>
              <w:top w:val="nil"/>
              <w:left w:val="nil"/>
              <w:bottom w:val="nil"/>
              <w:right w:val="nil"/>
            </w:tcBorders>
          </w:tcPr>
          <w:p w:rsidR="001C1DE0" w:rsidP="001C1DE0" w14:paraId="3B42363C" w14:textId="37330851">
            <w:pPr>
              <w:pStyle w:val="71316"/>
              <w:spacing w:before="80" w:after="80" w:line="240" w:lineRule="auto"/>
              <w:rPr>
                <w:rFonts w:ascii="Arial" w:hAnsi="Arial" w:eastAsiaTheme="minorHAnsi"/>
                <w:b w:val="0"/>
                <w:bCs w:val="0"/>
                <w:color w:val="000000"/>
                <w:sz w:val="24"/>
                <w:szCs w:val="18"/>
                <w:rtl/>
              </w:rPr>
            </w:pPr>
            <w:r>
              <w:rPr>
                <w:rFonts w:ascii="Arial" w:hAnsi="Arial" w:hint="cs"/>
                <w:b w:val="0"/>
                <w:bCs w:val="0"/>
                <w:color w:val="000000"/>
                <w:sz w:val="18"/>
                <w:szCs w:val="18"/>
                <w:rtl/>
              </w:rPr>
              <w:t>1023</w:t>
            </w:r>
          </w:p>
        </w:tc>
      </w:tr>
      <w:tr w14:paraId="17D422F4"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2C22BA" w:rsidP="00691701" w14:paraId="1A305F74" w14:textId="42802A55">
            <w:pPr>
              <w:spacing w:before="80" w:after="80" w:line="260" w:lineRule="exact"/>
              <w:rPr>
                <w:rFonts w:ascii="Arial" w:hAnsi="Arial" w:cs="Tahoma"/>
                <w:color w:val="000000"/>
                <w:sz w:val="24"/>
                <w:szCs w:val="18"/>
                <w:rtl/>
              </w:rPr>
            </w:pPr>
            <w:r w:rsidRPr="00AF523D">
              <w:rPr>
                <w:rFonts w:ascii="Arial" w:hAnsi="Arial" w:cs="Tahoma" w:hint="cs"/>
                <w:color w:val="000000"/>
                <w:sz w:val="24"/>
                <w:szCs w:val="18"/>
                <w:rtl/>
              </w:rPr>
              <w:t>תכנון נקודתי ברשויות מקומיות</w:t>
            </w:r>
          </w:p>
        </w:tc>
        <w:tc>
          <w:tcPr>
            <w:tcW w:w="1121" w:type="dxa"/>
            <w:tcBorders>
              <w:top w:val="nil"/>
              <w:left w:val="nil"/>
              <w:bottom w:val="nil"/>
              <w:right w:val="nil"/>
            </w:tcBorders>
          </w:tcPr>
          <w:p w:rsidR="001C1DE0" w:rsidP="001C1DE0" w14:paraId="4CCAB6D0" w14:textId="0FB191EC">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1141</w:t>
            </w:r>
          </w:p>
        </w:tc>
      </w:tr>
      <w:tr w14:paraId="67A89B40"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691701" w:rsidP="00691701" w14:paraId="2E1DA4E4" w14:textId="3696E0D0">
            <w:pPr>
              <w:spacing w:before="80" w:after="80" w:line="260" w:lineRule="exact"/>
              <w:rPr>
                <w:rFonts w:ascii="Arial" w:hAnsi="Arial" w:cs="Tahoma"/>
                <w:color w:val="000000"/>
                <w:sz w:val="24"/>
                <w:szCs w:val="18"/>
                <w:rtl/>
              </w:rPr>
            </w:pPr>
            <w:r w:rsidRPr="00AF523D">
              <w:rPr>
                <w:rFonts w:ascii="Arial" w:hAnsi="Arial" w:cs="Tahoma"/>
                <w:color w:val="000000"/>
                <w:sz w:val="24"/>
                <w:szCs w:val="18"/>
                <w:rtl/>
              </w:rPr>
              <w:t>תחזוקת דרכים על ידי רשויות מקומיות</w:t>
            </w:r>
          </w:p>
        </w:tc>
        <w:tc>
          <w:tcPr>
            <w:tcW w:w="1121" w:type="dxa"/>
            <w:tcBorders>
              <w:top w:val="nil"/>
              <w:left w:val="nil"/>
              <w:bottom w:val="nil"/>
              <w:right w:val="nil"/>
            </w:tcBorders>
          </w:tcPr>
          <w:p w:rsidR="001C1DE0" w:rsidP="001C1DE0" w14:paraId="424B8E8D" w14:textId="2B5389BB">
            <w:pPr>
              <w:pStyle w:val="71316"/>
              <w:spacing w:before="80" w:after="80" w:line="240" w:lineRule="auto"/>
              <w:rPr>
                <w:rFonts w:ascii="Arial" w:hAnsi="Arial" w:eastAsiaTheme="minorHAnsi"/>
                <w:b w:val="0"/>
                <w:bCs w:val="0"/>
                <w:color w:val="000000"/>
                <w:sz w:val="24"/>
                <w:szCs w:val="18"/>
                <w:rtl/>
              </w:rPr>
            </w:pPr>
            <w:r>
              <w:rPr>
                <w:rFonts w:ascii="Arial" w:hAnsi="Arial" w:eastAsiaTheme="minorHAnsi" w:hint="cs"/>
                <w:b w:val="0"/>
                <w:bCs w:val="0"/>
                <w:color w:val="000000"/>
                <w:sz w:val="24"/>
                <w:szCs w:val="18"/>
                <w:rtl/>
              </w:rPr>
              <w:t>1297</w:t>
            </w:r>
          </w:p>
        </w:tc>
      </w:tr>
      <w:tr w14:paraId="417C47D1"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44727D" w:rsidP="00691701" w14:paraId="42C296F2" w14:textId="4C4D4ED0">
            <w:pPr>
              <w:spacing w:before="80" w:after="80" w:line="260" w:lineRule="exact"/>
              <w:rPr>
                <w:rFonts w:ascii="Arial" w:hAnsi="Arial" w:cs="Tahoma"/>
                <w:color w:val="000000"/>
                <w:sz w:val="24"/>
                <w:szCs w:val="18"/>
                <w:rtl/>
              </w:rPr>
            </w:pPr>
            <w:r w:rsidRPr="00AF523D">
              <w:rPr>
                <w:rFonts w:ascii="Arial" w:hAnsi="Arial" w:cs="Tahoma"/>
                <w:color w:val="000000"/>
                <w:sz w:val="24"/>
                <w:szCs w:val="18"/>
                <w:rtl/>
              </w:rPr>
              <w:t>תחזוקה ובטיחות של מוסדות חינוך - בתי ספר על</w:t>
            </w:r>
            <w:r w:rsidRPr="00AF523D">
              <w:rPr>
                <w:rFonts w:ascii="Arial" w:hAnsi="Arial" w:cs="Tahoma" w:hint="cs"/>
                <w:color w:val="000000"/>
                <w:sz w:val="24"/>
                <w:szCs w:val="18"/>
                <w:rtl/>
              </w:rPr>
              <w:t>-</w:t>
            </w:r>
            <w:r w:rsidRPr="00AF523D">
              <w:rPr>
                <w:rFonts w:ascii="Arial" w:hAnsi="Arial" w:cs="Tahoma"/>
                <w:color w:val="000000"/>
                <w:sz w:val="24"/>
                <w:szCs w:val="18"/>
                <w:rtl/>
              </w:rPr>
              <w:t>יסודיים</w:t>
            </w:r>
          </w:p>
        </w:tc>
        <w:tc>
          <w:tcPr>
            <w:tcW w:w="1121" w:type="dxa"/>
            <w:tcBorders>
              <w:top w:val="nil"/>
              <w:left w:val="nil"/>
              <w:bottom w:val="nil"/>
              <w:right w:val="nil"/>
            </w:tcBorders>
          </w:tcPr>
          <w:p w:rsidR="001C1DE0" w:rsidP="001C1DE0" w14:paraId="3E258C18" w14:textId="65F5EC15">
            <w:pPr>
              <w:pStyle w:val="71316"/>
              <w:spacing w:before="80" w:after="80" w:line="240" w:lineRule="auto"/>
              <w:rPr>
                <w:rFonts w:ascii="Arial" w:hAnsi="Arial" w:eastAsiaTheme="minorHAnsi"/>
                <w:b w:val="0"/>
                <w:bCs w:val="0"/>
                <w:color w:val="000000"/>
                <w:sz w:val="24"/>
                <w:szCs w:val="18"/>
                <w:rtl/>
              </w:rPr>
            </w:pPr>
            <w:r>
              <w:rPr>
                <w:rFonts w:ascii="Arial" w:hAnsi="Arial" w:eastAsiaTheme="minorHAnsi" w:hint="cs"/>
                <w:b w:val="0"/>
                <w:bCs w:val="0"/>
                <w:color w:val="000000"/>
                <w:sz w:val="24"/>
                <w:szCs w:val="18"/>
                <w:rtl/>
              </w:rPr>
              <w:t>1407</w:t>
            </w:r>
          </w:p>
        </w:tc>
      </w:tr>
      <w:tr w14:paraId="791897BC"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2C22BA" w:rsidRPr="00C24DD2" w:rsidP="002C22BA" w14:paraId="522C8B70" w14:textId="0AE14230">
            <w:pPr>
              <w:spacing w:before="80" w:after="80" w:line="260" w:lineRule="exact"/>
              <w:rPr>
                <w:rFonts w:ascii="Arial" w:hAnsi="Arial" w:cs="Tahoma"/>
                <w:color w:val="000000"/>
                <w:sz w:val="24"/>
                <w:szCs w:val="18"/>
                <w:rtl/>
              </w:rPr>
            </w:pPr>
          </w:p>
        </w:tc>
        <w:tc>
          <w:tcPr>
            <w:tcW w:w="1121" w:type="dxa"/>
            <w:tcBorders>
              <w:top w:val="nil"/>
              <w:left w:val="nil"/>
              <w:bottom w:val="nil"/>
              <w:right w:val="nil"/>
            </w:tcBorders>
          </w:tcPr>
          <w:p w:rsidR="002C22BA" w:rsidP="002C22BA" w14:paraId="11EE2BF2" w14:textId="38FE8676">
            <w:pPr>
              <w:pStyle w:val="71316"/>
              <w:spacing w:before="80" w:after="80" w:line="240" w:lineRule="auto"/>
              <w:rPr>
                <w:rFonts w:ascii="Arial" w:hAnsi="Arial" w:eastAsiaTheme="minorHAnsi"/>
                <w:b w:val="0"/>
                <w:bCs w:val="0"/>
                <w:color w:val="000000"/>
                <w:sz w:val="24"/>
                <w:szCs w:val="18"/>
                <w:rtl/>
              </w:rPr>
            </w:pPr>
          </w:p>
        </w:tc>
      </w:tr>
      <w:tr w14:paraId="09F68714"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FD5CD0" w:rsidRPr="00FD5CD0" w:rsidP="00FD5CD0" w14:paraId="0CC7287D" w14:textId="7A6138E7">
            <w:pPr>
              <w:pStyle w:val="7190"/>
              <w:spacing w:before="360" w:after="120"/>
              <w:rPr>
                <w:color w:val="00305F"/>
                <w:spacing w:val="112"/>
                <w:sz w:val="32"/>
                <w:szCs w:val="32"/>
                <w:rtl/>
              </w:rPr>
            </w:pPr>
            <w:r w:rsidRPr="006E2138">
              <w:rPr>
                <w:rFonts w:hint="cs"/>
                <w:color w:val="00305F"/>
                <w:spacing w:val="112"/>
                <w:sz w:val="32"/>
                <w:szCs w:val="32"/>
                <w:rtl/>
              </w:rPr>
              <w:t xml:space="preserve">כרך </w:t>
            </w:r>
            <w:r>
              <w:rPr>
                <w:rFonts w:hint="cs"/>
                <w:color w:val="00305F"/>
                <w:spacing w:val="112"/>
                <w:sz w:val="32"/>
                <w:szCs w:val="32"/>
                <w:rtl/>
              </w:rPr>
              <w:t>רביעי</w:t>
            </w:r>
          </w:p>
        </w:tc>
        <w:tc>
          <w:tcPr>
            <w:tcW w:w="1121" w:type="dxa"/>
            <w:tcBorders>
              <w:top w:val="nil"/>
              <w:left w:val="nil"/>
              <w:bottom w:val="nil"/>
              <w:right w:val="nil"/>
            </w:tcBorders>
          </w:tcPr>
          <w:p w:rsidR="00FD5CD0" w:rsidRPr="00FD5CD0" w:rsidP="00FD5CD0" w14:paraId="4F68FE74" w14:textId="77777777">
            <w:pPr>
              <w:pStyle w:val="7190"/>
              <w:spacing w:before="360" w:after="120"/>
              <w:rPr>
                <w:color w:val="00305F"/>
                <w:spacing w:val="112"/>
                <w:sz w:val="32"/>
                <w:szCs w:val="32"/>
                <w:rtl/>
              </w:rPr>
            </w:pPr>
          </w:p>
        </w:tc>
      </w:tr>
      <w:tr w14:paraId="63B02B4A"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FD5CD0" w:rsidRPr="00C24DD2" w:rsidP="00FD5CD0" w14:paraId="51A8C30F" w14:textId="19449C4F">
            <w:pPr>
              <w:spacing w:before="380" w:after="200" w:line="260" w:lineRule="exact"/>
              <w:rPr>
                <w:rFonts w:ascii="Arial" w:hAnsi="Arial" w:cs="Tahoma"/>
                <w:color w:val="000000"/>
                <w:sz w:val="24"/>
                <w:szCs w:val="18"/>
                <w:rtl/>
              </w:rPr>
            </w:pPr>
            <w:r w:rsidRPr="006E2138">
              <w:rPr>
                <w:rFonts w:ascii="Tahoma" w:eastAsia="Times New Roman" w:hAnsi="Tahoma" w:cs="Tahoma" w:hint="cs"/>
                <w:color w:val="00305F"/>
                <w:sz w:val="26"/>
                <w:szCs w:val="26"/>
                <w:rtl/>
              </w:rPr>
              <w:t xml:space="preserve">פרק </w:t>
            </w:r>
            <w:r w:rsidR="00691701">
              <w:rPr>
                <w:rFonts w:ascii="Tahoma" w:eastAsia="Times New Roman" w:hAnsi="Tahoma" w:cs="Tahoma" w:hint="cs"/>
                <w:color w:val="00305F"/>
                <w:sz w:val="26"/>
                <w:szCs w:val="26"/>
                <w:rtl/>
              </w:rPr>
              <w:t>רביעי</w:t>
            </w:r>
            <w:r w:rsidRPr="006E2138">
              <w:rPr>
                <w:rFonts w:ascii="Tahoma" w:eastAsia="Times New Roman" w:hAnsi="Tahoma" w:cs="Tahoma" w:hint="cs"/>
                <w:color w:val="00305F"/>
                <w:sz w:val="26"/>
                <w:szCs w:val="26"/>
                <w:rtl/>
              </w:rPr>
              <w:t xml:space="preserve"> | </w:t>
            </w:r>
            <w:r w:rsidR="00691701">
              <w:rPr>
                <w:rFonts w:ascii="Tahoma" w:eastAsia="Times New Roman" w:hAnsi="Tahoma" w:cs="Tahoma" w:hint="cs"/>
                <w:b/>
                <w:bCs/>
                <w:color w:val="00305F"/>
                <w:sz w:val="26"/>
                <w:szCs w:val="26"/>
                <w:rtl/>
              </w:rPr>
              <w:t>ביקורת מעקב</w:t>
            </w:r>
          </w:p>
        </w:tc>
        <w:tc>
          <w:tcPr>
            <w:tcW w:w="1121" w:type="dxa"/>
            <w:tcBorders>
              <w:top w:val="nil"/>
              <w:left w:val="nil"/>
              <w:bottom w:val="nil"/>
              <w:right w:val="nil"/>
            </w:tcBorders>
          </w:tcPr>
          <w:p w:rsidR="00FD5CD0" w:rsidP="00FD5CD0" w14:paraId="52500A83" w14:textId="77777777">
            <w:pPr>
              <w:pStyle w:val="71316"/>
              <w:spacing w:before="380" w:after="200" w:line="240" w:lineRule="auto"/>
              <w:rPr>
                <w:rFonts w:ascii="Arial" w:hAnsi="Arial"/>
                <w:b w:val="0"/>
                <w:bCs w:val="0"/>
                <w:color w:val="000000"/>
                <w:sz w:val="18"/>
                <w:szCs w:val="18"/>
                <w:rtl/>
              </w:rPr>
            </w:pPr>
          </w:p>
        </w:tc>
      </w:tr>
      <w:tr w14:paraId="35DFCC2C"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691701" w:rsidP="00691701" w14:paraId="56637619" w14:textId="56976862">
            <w:pPr>
              <w:spacing w:before="80" w:after="80" w:line="260" w:lineRule="exact"/>
              <w:rPr>
                <w:rFonts w:ascii="Arial" w:hAnsi="Arial" w:cs="Tahoma"/>
                <w:color w:val="000000"/>
                <w:sz w:val="24"/>
                <w:szCs w:val="18"/>
                <w:rtl/>
              </w:rPr>
            </w:pPr>
            <w:r w:rsidRPr="00AF523D">
              <w:rPr>
                <w:rFonts w:ascii="Arial" w:hAnsi="Arial" w:cs="Tahoma" w:hint="cs"/>
                <w:color w:val="000000"/>
                <w:sz w:val="24"/>
                <w:szCs w:val="18"/>
                <w:rtl/>
              </w:rPr>
              <w:t>המבקר ברשות המקומית - תפקידו והתנהלותו - ביקורת מעקב</w:t>
            </w:r>
          </w:p>
        </w:tc>
        <w:tc>
          <w:tcPr>
            <w:tcW w:w="1121" w:type="dxa"/>
            <w:tcBorders>
              <w:top w:val="nil"/>
              <w:left w:val="nil"/>
              <w:bottom w:val="nil"/>
              <w:right w:val="nil"/>
            </w:tcBorders>
          </w:tcPr>
          <w:p w:rsidR="001C1DE0" w:rsidRPr="00FD5CD0" w:rsidP="001C1DE0" w14:paraId="40B68A2E" w14:textId="6ADC7CC3">
            <w:pPr>
              <w:spacing w:before="80" w:after="80" w:line="260" w:lineRule="exact"/>
              <w:rPr>
                <w:rFonts w:ascii="Arial" w:hAnsi="Arial" w:cs="Tahoma"/>
                <w:color w:val="000000"/>
                <w:sz w:val="24"/>
                <w:szCs w:val="18"/>
                <w:rtl/>
              </w:rPr>
            </w:pPr>
            <w:r>
              <w:rPr>
                <w:rFonts w:ascii="Arial" w:hAnsi="Arial" w:cs="Tahoma" w:hint="cs"/>
                <w:color w:val="000000"/>
                <w:sz w:val="24"/>
                <w:szCs w:val="18"/>
                <w:rtl/>
              </w:rPr>
              <w:t>1497</w:t>
            </w:r>
          </w:p>
        </w:tc>
      </w:tr>
      <w:tr w14:paraId="4F614E92"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C24DD2" w:rsidP="00691701" w14:paraId="37B87722" w14:textId="626A399C">
            <w:pPr>
              <w:spacing w:before="80" w:after="80" w:line="260" w:lineRule="exact"/>
              <w:rPr>
                <w:rFonts w:ascii="Arial" w:hAnsi="Arial" w:cs="Tahoma"/>
                <w:color w:val="000000"/>
                <w:sz w:val="24"/>
                <w:szCs w:val="18"/>
                <w:rtl/>
              </w:rPr>
            </w:pPr>
            <w:r w:rsidRPr="00AF523D">
              <w:rPr>
                <w:rFonts w:ascii="Arial" w:hAnsi="Arial" w:cs="Tahoma" w:hint="cs"/>
                <w:color w:val="000000"/>
                <w:sz w:val="24"/>
                <w:szCs w:val="18"/>
                <w:rtl/>
              </w:rPr>
              <w:t>טיפול הרשויות המקומיות בהטרדות מיניות ובמניעתן - ביקורת מעקב</w:t>
            </w:r>
          </w:p>
        </w:tc>
        <w:tc>
          <w:tcPr>
            <w:tcW w:w="1121" w:type="dxa"/>
            <w:tcBorders>
              <w:top w:val="nil"/>
              <w:left w:val="nil"/>
              <w:bottom w:val="nil"/>
              <w:right w:val="nil"/>
            </w:tcBorders>
          </w:tcPr>
          <w:p w:rsidR="001C1DE0" w:rsidP="001C1DE0" w14:paraId="3ABF13A4" w14:textId="05134FFA">
            <w:pPr>
              <w:pStyle w:val="71316"/>
              <w:spacing w:before="80" w:after="80" w:line="240" w:lineRule="auto"/>
              <w:rPr>
                <w:rFonts w:ascii="Arial" w:hAnsi="Arial" w:eastAsiaTheme="minorHAnsi"/>
                <w:b w:val="0"/>
                <w:bCs w:val="0"/>
                <w:color w:val="000000"/>
                <w:sz w:val="24"/>
                <w:szCs w:val="18"/>
                <w:rtl/>
              </w:rPr>
            </w:pPr>
            <w:r>
              <w:rPr>
                <w:rFonts w:ascii="Arial" w:hAnsi="Arial" w:eastAsiaTheme="minorHAnsi" w:hint="cs"/>
                <w:b w:val="0"/>
                <w:bCs w:val="0"/>
                <w:color w:val="000000"/>
                <w:sz w:val="24"/>
                <w:szCs w:val="18"/>
                <w:rtl/>
              </w:rPr>
              <w:t>1595</w:t>
            </w:r>
          </w:p>
        </w:tc>
      </w:tr>
      <w:tr w14:paraId="4FF749FB"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691701" w:rsidP="00691701" w14:paraId="0E35E935" w14:textId="01340182">
            <w:pPr>
              <w:spacing w:before="80" w:after="80" w:line="260" w:lineRule="exact"/>
              <w:rPr>
                <w:rFonts w:ascii="Arial" w:hAnsi="Arial" w:cs="Tahoma"/>
                <w:color w:val="000000"/>
                <w:sz w:val="24"/>
                <w:szCs w:val="18"/>
                <w:rtl/>
              </w:rPr>
            </w:pPr>
            <w:r w:rsidRPr="00AF523D">
              <w:rPr>
                <w:rFonts w:ascii="Arial" w:hAnsi="Arial" w:cs="Tahoma" w:hint="cs"/>
                <w:color w:val="000000"/>
                <w:sz w:val="24"/>
                <w:szCs w:val="18"/>
                <w:rtl/>
              </w:rPr>
              <w:t>העסקת יועצים חיצוניים על ידי רשויות מקומיות - ביקורת מעקב</w:t>
            </w:r>
          </w:p>
        </w:tc>
        <w:tc>
          <w:tcPr>
            <w:tcW w:w="1121" w:type="dxa"/>
            <w:tcBorders>
              <w:top w:val="nil"/>
              <w:left w:val="nil"/>
              <w:bottom w:val="nil"/>
              <w:right w:val="nil"/>
            </w:tcBorders>
          </w:tcPr>
          <w:p w:rsidR="001C1DE0" w:rsidP="001C1DE0" w14:paraId="45405485" w14:textId="67F9F76F">
            <w:pPr>
              <w:pStyle w:val="71316"/>
              <w:spacing w:before="80" w:after="80" w:line="240" w:lineRule="auto"/>
              <w:rPr>
                <w:rFonts w:ascii="Arial" w:hAnsi="Arial"/>
                <w:b w:val="0"/>
                <w:bCs w:val="0"/>
                <w:color w:val="000000"/>
                <w:sz w:val="18"/>
                <w:szCs w:val="18"/>
                <w:rtl/>
              </w:rPr>
            </w:pPr>
            <w:r>
              <w:rPr>
                <w:rFonts w:ascii="Arial" w:hAnsi="Arial" w:eastAsiaTheme="minorHAnsi" w:hint="cs"/>
                <w:b w:val="0"/>
                <w:bCs w:val="0"/>
                <w:color w:val="000000"/>
                <w:sz w:val="24"/>
                <w:szCs w:val="18"/>
                <w:rtl/>
              </w:rPr>
              <w:t>1653</w:t>
            </w:r>
          </w:p>
        </w:tc>
      </w:tr>
      <w:tr w14:paraId="71ED2DA7"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1C1DE0" w:rsidRPr="00355162" w:rsidP="00691701" w14:paraId="684833AC" w14:textId="058F0A17">
            <w:pPr>
              <w:spacing w:before="80" w:after="80" w:line="260" w:lineRule="exact"/>
              <w:rPr>
                <w:rFonts w:ascii="Arial" w:hAnsi="Arial" w:cs="Tahoma"/>
                <w:color w:val="000000"/>
                <w:sz w:val="24"/>
                <w:szCs w:val="18"/>
                <w:rtl/>
              </w:rPr>
            </w:pPr>
            <w:r w:rsidRPr="00AF523D">
              <w:rPr>
                <w:rFonts w:ascii="Arial" w:hAnsi="Arial" w:cs="Tahoma" w:hint="cs"/>
                <w:color w:val="000000"/>
                <w:sz w:val="24"/>
                <w:szCs w:val="18"/>
                <w:rtl/>
              </w:rPr>
              <w:t xml:space="preserve">פעולות להגברת הבטיחות בדרכים בתחומיהן של רשויות מקומיות </w:t>
            </w:r>
            <w:r>
              <w:rPr>
                <w:rFonts w:ascii="Arial" w:hAnsi="Arial" w:cs="Tahoma"/>
                <w:color w:val="000000"/>
                <w:sz w:val="24"/>
                <w:szCs w:val="18"/>
                <w:rtl/>
              </w:rPr>
              <w:br/>
            </w:r>
            <w:r w:rsidRPr="00AF523D">
              <w:rPr>
                <w:rFonts w:ascii="Arial" w:hAnsi="Arial" w:cs="Tahoma" w:hint="cs"/>
                <w:color w:val="000000"/>
                <w:sz w:val="24"/>
                <w:szCs w:val="18"/>
                <w:rtl/>
              </w:rPr>
              <w:t>בחברה הערבית - ביקורת מעקב</w:t>
            </w:r>
          </w:p>
        </w:tc>
        <w:tc>
          <w:tcPr>
            <w:tcW w:w="1121" w:type="dxa"/>
            <w:tcBorders>
              <w:top w:val="nil"/>
              <w:left w:val="nil"/>
              <w:bottom w:val="nil"/>
              <w:right w:val="nil"/>
            </w:tcBorders>
          </w:tcPr>
          <w:p w:rsidR="001C1DE0" w:rsidP="001C1DE0" w14:paraId="34F33962" w14:textId="47C946BF">
            <w:pPr>
              <w:pStyle w:val="71316"/>
              <w:spacing w:before="80" w:after="80" w:line="240" w:lineRule="auto"/>
              <w:rPr>
                <w:rFonts w:ascii="Arial" w:hAnsi="Arial"/>
                <w:b w:val="0"/>
                <w:bCs w:val="0"/>
                <w:color w:val="000000"/>
                <w:sz w:val="18"/>
                <w:szCs w:val="18"/>
                <w:rtl/>
              </w:rPr>
            </w:pPr>
            <w:r>
              <w:rPr>
                <w:rFonts w:ascii="Arial" w:hAnsi="Arial" w:eastAsiaTheme="minorHAnsi" w:hint="cs"/>
                <w:b w:val="0"/>
                <w:bCs w:val="0"/>
                <w:color w:val="000000"/>
                <w:sz w:val="24"/>
                <w:szCs w:val="18"/>
                <w:rtl/>
              </w:rPr>
              <w:t>1707</w:t>
            </w:r>
          </w:p>
        </w:tc>
      </w:tr>
    </w:tbl>
    <w:p w:rsidR="00C32F9F" w:rsidRPr="00691701" w:rsidP="00691701" w14:paraId="7AE6AB30" w14:textId="4E6C4D9F">
      <w:pPr>
        <w:bidi w:val="0"/>
        <w:spacing w:after="200" w:line="276" w:lineRule="auto"/>
        <w:rPr>
          <w:rtl/>
        </w:rPr>
        <w:sectPr w:rsidSect="00A8428C">
          <w:headerReference w:type="default" r:id="rId18"/>
          <w:footnotePr>
            <w:numRestart w:val="eachSect"/>
          </w:footnotePr>
          <w:type w:val="continuous"/>
          <w:pgSz w:w="11906" w:h="16838" w:code="9"/>
          <w:pgMar w:top="3062" w:right="2268" w:bottom="2552" w:left="2268" w:header="1134" w:footer="1361" w:gutter="0"/>
          <w:cols w:space="708"/>
          <w:bidi/>
          <w:rtlGutter/>
          <w:docGrid w:linePitch="360"/>
        </w:sectPr>
      </w:pPr>
      <w:r>
        <w:rPr>
          <w:noProof/>
          <w:rtl/>
          <w:lang w:val="he-IL"/>
        </w:rPr>
        <mc:AlternateContent>
          <mc:Choice Requires="wps">
            <w:drawing>
              <wp:anchor distT="0" distB="0" distL="114300" distR="114300" simplePos="0" relativeHeight="251676672" behindDoc="0" locked="0" layoutInCell="1" allowOverlap="1">
                <wp:simplePos x="0" y="0"/>
                <wp:positionH relativeFrom="column">
                  <wp:posOffset>3302635</wp:posOffset>
                </wp:positionH>
                <wp:positionV relativeFrom="paragraph">
                  <wp:posOffset>2395876</wp:posOffset>
                </wp:positionV>
                <wp:extent cx="2134507" cy="782048"/>
                <wp:effectExtent l="12700" t="12700" r="12065" b="18415"/>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2134507" cy="7820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8" o:spid="_x0000_s1032" style="width:168.05pt;height:61.6pt;margin-top:188.65pt;margin-left:260.05pt;mso-height-percent:0;mso-height-relative:margin;mso-width-percent:0;mso-width-relative:margin;mso-wrap-distance-bottom:0;mso-wrap-distance-left:9pt;mso-wrap-distance-right:9pt;mso-wrap-distance-top:0;mso-wrap-style:square;position:absolute;visibility:visible;v-text-anchor:middle;z-index:251677696" fillcolor="white" strokecolor="white" strokeweight="2pt"/>
            </w:pict>
          </mc:Fallback>
        </mc:AlternateContent>
      </w:r>
      <w:r>
        <w:rPr>
          <w:noProof/>
          <w:rtl/>
          <w:lang w:val="he-IL"/>
        </w:rPr>
        <mc:AlternateContent>
          <mc:Choice Requires="wps">
            <w:drawing>
              <wp:anchor distT="0" distB="0" distL="114300" distR="114300" simplePos="0" relativeHeight="251692032" behindDoc="0" locked="0" layoutInCell="1" allowOverlap="1">
                <wp:simplePos x="0" y="0"/>
                <wp:positionH relativeFrom="column">
                  <wp:posOffset>-1434465</wp:posOffset>
                </wp:positionH>
                <wp:positionV relativeFrom="paragraph">
                  <wp:posOffset>976682</wp:posOffset>
                </wp:positionV>
                <wp:extent cx="7579818" cy="712177"/>
                <wp:effectExtent l="12700" t="12700" r="15240" b="12065"/>
                <wp:wrapNone/>
                <wp:docPr id="1680440417" name="מלבן 1680440417"/>
                <wp:cNvGraphicFramePr/>
                <a:graphic xmlns:a="http://schemas.openxmlformats.org/drawingml/2006/main">
                  <a:graphicData uri="http://schemas.microsoft.com/office/word/2010/wordprocessingShape">
                    <wps:wsp xmlns:wps="http://schemas.microsoft.com/office/word/2010/wordprocessingShape">
                      <wps:cNvSpPr/>
                      <wps:spPr>
                        <a:xfrm>
                          <a:off x="0" y="0"/>
                          <a:ext cx="7579818" cy="7121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680440417" o:spid="_x0000_s1033" style="width:596.85pt;height:56.1pt;margin-top:76.9pt;margin-left:-112.95pt;mso-width-percent:0;mso-width-relative:margin;mso-wrap-distance-bottom:0;mso-wrap-distance-left:9pt;mso-wrap-distance-right:9pt;mso-wrap-distance-top:0;mso-wrap-style:square;position:absolute;visibility:visible;v-text-anchor:middle;z-index:251693056" fillcolor="white" strokecolor="white" strokeweight="2pt"/>
            </w:pict>
          </mc:Fallback>
        </mc:AlternateContent>
      </w:r>
      <w:r w:rsidR="004D01DF">
        <w:rPr>
          <w:noProof/>
          <w:rtl/>
          <w:lang w:val="he-IL"/>
        </w:rPr>
        <mc:AlternateContent>
          <mc:Choice Requires="wps">
            <w:drawing>
              <wp:anchor distT="0" distB="0" distL="114300" distR="114300" simplePos="0" relativeHeight="251678720" behindDoc="0" locked="0" layoutInCell="1" allowOverlap="1">
                <wp:simplePos x="0" y="0"/>
                <wp:positionH relativeFrom="column">
                  <wp:posOffset>2147570</wp:posOffset>
                </wp:positionH>
                <wp:positionV relativeFrom="paragraph">
                  <wp:posOffset>7095888</wp:posOffset>
                </wp:positionV>
                <wp:extent cx="3166389" cy="728420"/>
                <wp:effectExtent l="12700" t="12700" r="8890" b="8255"/>
                <wp:wrapNone/>
                <wp:docPr id="11" name="מלבן 11"/>
                <wp:cNvGraphicFramePr/>
                <a:graphic xmlns:a="http://schemas.openxmlformats.org/drawingml/2006/main">
                  <a:graphicData uri="http://schemas.microsoft.com/office/word/2010/wordprocessingShape">
                    <wps:wsp xmlns:wps="http://schemas.microsoft.com/office/word/2010/wordprocessingShape">
                      <wps:cNvSpPr/>
                      <wps:spPr>
                        <a:xfrm>
                          <a:off x="0" y="0"/>
                          <a:ext cx="3166389" cy="728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1" o:spid="_x0000_s1034" style="width:249.3pt;height:57.35pt;margin-top:558.75pt;margin-left:169.1pt;mso-width-percent:0;mso-width-relative:margin;mso-wrap-distance-bottom:0;mso-wrap-distance-left:9pt;mso-wrap-distance-right:9pt;mso-wrap-distance-top:0;mso-wrap-style:square;position:absolute;visibility:visible;v-text-anchor:middle;z-index:251679744" fillcolor="white" strokecolor="white" strokeweight="2pt"/>
            </w:pict>
          </mc:Fallback>
        </mc:AlternateContent>
      </w:r>
      <w:r w:rsidR="004D01DF">
        <w:rPr>
          <w:rtl/>
        </w:rPr>
        <w:br w:type="page"/>
      </w:r>
    </w:p>
    <w:p w:rsidR="00047E7B" w:rsidP="0001268F" w14:paraId="7990FA4C" w14:textId="6419295A">
      <w:pPr>
        <w:pStyle w:val="71316"/>
        <w:spacing w:after="360"/>
        <w:rPr>
          <w:rtl/>
        </w:rPr>
      </w:pPr>
      <w:r>
        <w:rPr>
          <w:rFonts w:hint="cs"/>
          <w:rtl/>
        </w:rPr>
        <w:t>פתח דבר</w:t>
      </w:r>
    </w:p>
    <w:p w:rsidR="00DA2309" w:rsidP="0093407E" w14:paraId="74A59A40" w14:textId="77777777">
      <w:pPr>
        <w:pStyle w:val="7190"/>
        <w:rPr>
          <w:rtl/>
        </w:rPr>
      </w:pPr>
      <w:r w:rsidRPr="006D7241">
        <w:rPr>
          <w:b/>
          <w:bCs/>
          <w:rtl/>
        </w:rPr>
        <w:t xml:space="preserve">הדוח על הביקורת בשלטון המקומי לשנת </w:t>
      </w:r>
      <w:r>
        <w:rPr>
          <w:rFonts w:hint="cs"/>
          <w:b/>
          <w:bCs/>
          <w:rtl/>
        </w:rPr>
        <w:t>2023</w:t>
      </w:r>
      <w:r w:rsidRPr="006D7241">
        <w:rPr>
          <w:b/>
          <w:bCs/>
          <w:rtl/>
        </w:rPr>
        <w:t xml:space="preserve"> </w:t>
      </w:r>
      <w:r>
        <w:rPr>
          <w:rFonts w:hint="cs"/>
          <w:rtl/>
        </w:rPr>
        <w:t>עוסק ב</w:t>
      </w:r>
      <w:r>
        <w:rPr>
          <w:rtl/>
        </w:rPr>
        <w:t xml:space="preserve">מגוון </w:t>
      </w:r>
      <w:r w:rsidRPr="00382B3A">
        <w:rPr>
          <w:rFonts w:eastAsia="Calibri"/>
          <w:rtl/>
        </w:rPr>
        <w:t>נושאים</w:t>
      </w:r>
      <w:r>
        <w:rPr>
          <w:rtl/>
        </w:rPr>
        <w:t xml:space="preserve"> העומדים בליבת העשייה של הרשויות המקומיות</w:t>
      </w:r>
      <w:r>
        <w:rPr>
          <w:rFonts w:hint="cs"/>
          <w:rtl/>
        </w:rPr>
        <w:t xml:space="preserve">. </w:t>
      </w:r>
    </w:p>
    <w:p w:rsidR="00DA2309" w:rsidRPr="00D3150E" w:rsidP="0093407E" w14:paraId="101B6CFC" w14:textId="148633C5">
      <w:pPr>
        <w:pStyle w:val="7190"/>
        <w:rPr>
          <w:spacing w:val="-2"/>
          <w:rtl/>
        </w:rPr>
      </w:pPr>
      <w:r w:rsidRPr="00D3150E">
        <w:rPr>
          <w:spacing w:val="-2"/>
          <w:rtl/>
        </w:rPr>
        <w:t xml:space="preserve">השלטון המקומי בישראל אמון על אספקת שירותים </w:t>
      </w:r>
      <w:r w:rsidRPr="00D3150E">
        <w:rPr>
          <w:rFonts w:eastAsia="Calibri"/>
          <w:spacing w:val="-2"/>
          <w:rtl/>
        </w:rPr>
        <w:t>ממלכתיים</w:t>
      </w:r>
      <w:r w:rsidRPr="00D3150E">
        <w:rPr>
          <w:spacing w:val="-2"/>
          <w:rtl/>
        </w:rPr>
        <w:t xml:space="preserve"> ומקומיים לתושבי</w:t>
      </w:r>
      <w:r w:rsidRPr="00D3150E">
        <w:rPr>
          <w:rFonts w:hint="cs"/>
          <w:spacing w:val="-2"/>
          <w:rtl/>
        </w:rPr>
        <w:t>ו,</w:t>
      </w:r>
      <w:r w:rsidRPr="00D3150E">
        <w:rPr>
          <w:spacing w:val="-2"/>
          <w:rtl/>
        </w:rPr>
        <w:t xml:space="preserve"> ד</w:t>
      </w:r>
      <w:r w:rsidR="00493430">
        <w:rPr>
          <w:rFonts w:hint="cs"/>
          <w:spacing w:val="-2"/>
          <w:rtl/>
        </w:rPr>
        <w:t>ו</w:t>
      </w:r>
      <w:r w:rsidRPr="00D3150E">
        <w:rPr>
          <w:spacing w:val="-2"/>
          <w:rtl/>
        </w:rPr>
        <w:t>אג לרווחת</w:t>
      </w:r>
      <w:r w:rsidRPr="00D3150E">
        <w:rPr>
          <w:rFonts w:hint="cs"/>
          <w:spacing w:val="-2"/>
          <w:rtl/>
        </w:rPr>
        <w:t>ם ו</w:t>
      </w:r>
      <w:r w:rsidR="009C77A3">
        <w:rPr>
          <w:rFonts w:hint="cs"/>
          <w:spacing w:val="-2"/>
          <w:rtl/>
        </w:rPr>
        <w:t>נותן</w:t>
      </w:r>
      <w:r w:rsidRPr="00D3150E">
        <w:rPr>
          <w:rFonts w:hint="cs"/>
          <w:spacing w:val="-2"/>
          <w:rtl/>
        </w:rPr>
        <w:t xml:space="preserve"> </w:t>
      </w:r>
      <w:r w:rsidRPr="00D3150E">
        <w:rPr>
          <w:spacing w:val="-2"/>
          <w:rtl/>
        </w:rPr>
        <w:t>מענה לצורכיהם היום-יומיים</w:t>
      </w:r>
      <w:r w:rsidRPr="00D3150E">
        <w:rPr>
          <w:rFonts w:hint="cs"/>
          <w:spacing w:val="-2"/>
          <w:rtl/>
        </w:rPr>
        <w:t>. השלטון המקומי</w:t>
      </w:r>
      <w:r w:rsidRPr="00D3150E">
        <w:rPr>
          <w:spacing w:val="-2"/>
          <w:rtl/>
        </w:rPr>
        <w:t xml:space="preserve"> אחראי </w:t>
      </w:r>
      <w:r w:rsidRPr="00D3150E">
        <w:rPr>
          <w:rFonts w:hint="cs"/>
          <w:spacing w:val="-2"/>
          <w:rtl/>
        </w:rPr>
        <w:t xml:space="preserve">הן </w:t>
      </w:r>
      <w:r w:rsidRPr="00D3150E">
        <w:rPr>
          <w:spacing w:val="-2"/>
          <w:rtl/>
        </w:rPr>
        <w:t>לתשתית ה</w:t>
      </w:r>
      <w:r w:rsidRPr="00D3150E">
        <w:rPr>
          <w:rFonts w:hint="cs"/>
          <w:spacing w:val="-2"/>
          <w:rtl/>
        </w:rPr>
        <w:t>פיזית</w:t>
      </w:r>
      <w:r w:rsidRPr="00D3150E">
        <w:rPr>
          <w:spacing w:val="-2"/>
          <w:rtl/>
        </w:rPr>
        <w:t xml:space="preserve"> </w:t>
      </w:r>
      <w:r w:rsidRPr="00D3150E">
        <w:rPr>
          <w:rFonts w:hint="cs"/>
          <w:spacing w:val="-2"/>
          <w:rtl/>
        </w:rPr>
        <w:t>-</w:t>
      </w:r>
      <w:r w:rsidRPr="00D3150E">
        <w:rPr>
          <w:spacing w:val="-2"/>
          <w:rtl/>
        </w:rPr>
        <w:t xml:space="preserve"> סלילת כבישים מקומיים, בניית ערים ותכנונן, מערכות ביוב, תברואה ומים</w:t>
      </w:r>
      <w:r w:rsidRPr="00D3150E">
        <w:rPr>
          <w:rFonts w:hint="cs"/>
          <w:spacing w:val="-2"/>
          <w:rtl/>
        </w:rPr>
        <w:t>,</w:t>
      </w:r>
      <w:r w:rsidRPr="00D3150E">
        <w:rPr>
          <w:spacing w:val="-2"/>
          <w:rtl/>
        </w:rPr>
        <w:t xml:space="preserve"> ו</w:t>
      </w:r>
      <w:r w:rsidRPr="00D3150E">
        <w:rPr>
          <w:rFonts w:hint="cs"/>
          <w:spacing w:val="-2"/>
          <w:rtl/>
        </w:rPr>
        <w:t>הן</w:t>
      </w:r>
      <w:r w:rsidRPr="00D3150E">
        <w:rPr>
          <w:spacing w:val="-2"/>
          <w:rtl/>
        </w:rPr>
        <w:t xml:space="preserve"> לתשתית ה</w:t>
      </w:r>
      <w:r w:rsidRPr="00D3150E">
        <w:rPr>
          <w:rFonts w:hint="cs"/>
          <w:spacing w:val="-2"/>
          <w:rtl/>
        </w:rPr>
        <w:t>חברתית</w:t>
      </w:r>
      <w:r w:rsidR="009E1B31">
        <w:rPr>
          <w:spacing w:val="-2"/>
          <w:rtl/>
        </w:rPr>
        <w:br/>
      </w:r>
      <w:r w:rsidRPr="00D3150E">
        <w:rPr>
          <w:rFonts w:hint="cs"/>
          <w:spacing w:val="-2"/>
          <w:rtl/>
        </w:rPr>
        <w:t>-</w:t>
      </w:r>
      <w:r w:rsidRPr="00D3150E">
        <w:rPr>
          <w:spacing w:val="-2"/>
          <w:rtl/>
        </w:rPr>
        <w:t xml:space="preserve"> שירותי רווחה </w:t>
      </w:r>
      <w:r w:rsidRPr="00D3150E">
        <w:rPr>
          <w:rFonts w:hint="cs"/>
          <w:spacing w:val="-2"/>
          <w:rtl/>
        </w:rPr>
        <w:t>ו</w:t>
      </w:r>
      <w:r w:rsidRPr="00D3150E">
        <w:rPr>
          <w:spacing w:val="-2"/>
          <w:rtl/>
        </w:rPr>
        <w:t xml:space="preserve">שירותי חינוך, תרבות וספורט. </w:t>
      </w:r>
      <w:r w:rsidRPr="00D3150E">
        <w:rPr>
          <w:rFonts w:hint="cs"/>
          <w:spacing w:val="-2"/>
          <w:rtl/>
        </w:rPr>
        <w:t>ל</w:t>
      </w:r>
      <w:r w:rsidRPr="00D3150E">
        <w:rPr>
          <w:spacing w:val="-2"/>
          <w:rtl/>
        </w:rPr>
        <w:t xml:space="preserve">רשות המקומית </w:t>
      </w:r>
      <w:r w:rsidRPr="00D3150E">
        <w:rPr>
          <w:rFonts w:hint="cs"/>
          <w:spacing w:val="-2"/>
          <w:rtl/>
        </w:rPr>
        <w:t xml:space="preserve">יש </w:t>
      </w:r>
      <w:r w:rsidRPr="00D3150E">
        <w:rPr>
          <w:spacing w:val="-2"/>
          <w:rtl/>
        </w:rPr>
        <w:t xml:space="preserve">מידה רבה של אוטונומיה </w:t>
      </w:r>
      <w:r w:rsidRPr="00D3150E">
        <w:rPr>
          <w:rFonts w:hint="cs"/>
          <w:spacing w:val="-2"/>
          <w:rtl/>
        </w:rPr>
        <w:t>בקבלת ההחלטות ב</w:t>
      </w:r>
      <w:r w:rsidRPr="00D3150E">
        <w:rPr>
          <w:spacing w:val="-2"/>
          <w:rtl/>
        </w:rPr>
        <w:t>תחומי אחריות</w:t>
      </w:r>
      <w:r w:rsidRPr="00D3150E">
        <w:rPr>
          <w:rFonts w:hint="eastAsia"/>
          <w:spacing w:val="-2"/>
          <w:rtl/>
        </w:rPr>
        <w:t>ה</w:t>
      </w:r>
      <w:r w:rsidRPr="00D3150E">
        <w:rPr>
          <w:rFonts w:hint="cs"/>
          <w:spacing w:val="-2"/>
          <w:rtl/>
        </w:rPr>
        <w:t>,</w:t>
      </w:r>
      <w:r w:rsidRPr="00D3150E">
        <w:rPr>
          <w:spacing w:val="-2"/>
          <w:rtl/>
        </w:rPr>
        <w:t xml:space="preserve"> </w:t>
      </w:r>
      <w:r w:rsidRPr="00D3150E">
        <w:rPr>
          <w:rFonts w:hint="cs"/>
          <w:spacing w:val="-2"/>
          <w:rtl/>
        </w:rPr>
        <w:t xml:space="preserve">בכל הנוגע </w:t>
      </w:r>
      <w:r w:rsidRPr="00D3150E">
        <w:rPr>
          <w:spacing w:val="-2"/>
          <w:rtl/>
        </w:rPr>
        <w:t xml:space="preserve">לדרכים ולאמצעים למימוש תחומי אחריות אלה ולמשאבים הנדרשים </w:t>
      </w:r>
      <w:r w:rsidRPr="00D3150E">
        <w:rPr>
          <w:rFonts w:hint="cs"/>
          <w:spacing w:val="-2"/>
          <w:rtl/>
        </w:rPr>
        <w:t>לכך</w:t>
      </w:r>
      <w:r w:rsidRPr="00D3150E">
        <w:rPr>
          <w:spacing w:val="-2"/>
          <w:rtl/>
        </w:rPr>
        <w:t xml:space="preserve"> </w:t>
      </w:r>
      <w:r w:rsidRPr="00D3150E">
        <w:rPr>
          <w:rFonts w:hint="cs"/>
          <w:spacing w:val="-2"/>
          <w:rtl/>
        </w:rPr>
        <w:t>וכן ל</w:t>
      </w:r>
      <w:r w:rsidRPr="00D3150E">
        <w:rPr>
          <w:spacing w:val="-2"/>
          <w:rtl/>
        </w:rPr>
        <w:t>קביעת סדרי העדיפויות</w:t>
      </w:r>
      <w:r w:rsidRPr="00D3150E">
        <w:rPr>
          <w:rFonts w:hint="cs"/>
          <w:spacing w:val="-2"/>
          <w:rtl/>
        </w:rPr>
        <w:t xml:space="preserve"> לפעולות בתחומים אלה</w:t>
      </w:r>
      <w:r w:rsidRPr="00D3150E">
        <w:rPr>
          <w:spacing w:val="-2"/>
          <w:rtl/>
        </w:rPr>
        <w:t xml:space="preserve">. </w:t>
      </w:r>
      <w:r w:rsidRPr="00D3150E">
        <w:rPr>
          <w:rFonts w:hint="cs"/>
          <w:spacing w:val="-2"/>
          <w:rtl/>
        </w:rPr>
        <w:t>זאת ועוד</w:t>
      </w:r>
      <w:r w:rsidRPr="00D3150E">
        <w:rPr>
          <w:spacing w:val="-2"/>
          <w:rtl/>
        </w:rPr>
        <w:t xml:space="preserve">, </w:t>
      </w:r>
      <w:r w:rsidRPr="00D3150E">
        <w:rPr>
          <w:rFonts w:hint="eastAsia"/>
          <w:spacing w:val="-2"/>
          <w:rtl/>
        </w:rPr>
        <w:t>הרשות</w:t>
      </w:r>
      <w:r w:rsidRPr="00D3150E">
        <w:rPr>
          <w:rFonts w:hint="cs"/>
          <w:spacing w:val="-2"/>
          <w:rtl/>
        </w:rPr>
        <w:t xml:space="preserve"> המקומית משמשת נאמן הציבור בכל פעולותיה, וככזאת היא מחויבת להפעיל את סמכותה בהתאם להוראות החוק.</w:t>
      </w:r>
    </w:p>
    <w:p w:rsidR="00DA2309" w:rsidP="0093407E" w14:paraId="0730AA09" w14:textId="77777777">
      <w:pPr>
        <w:pStyle w:val="7190"/>
        <w:rPr>
          <w:rtl/>
        </w:rPr>
      </w:pPr>
      <w:r w:rsidRPr="00CD28D2">
        <w:rPr>
          <w:rtl/>
        </w:rPr>
        <w:t>בהתאם לחזו</w:t>
      </w:r>
      <w:r w:rsidRPr="00CD28D2">
        <w:rPr>
          <w:rFonts w:hint="cs"/>
          <w:rtl/>
        </w:rPr>
        <w:t>ן מבקר המדינה ונציב תלונות הציבור</w:t>
      </w:r>
      <w:r w:rsidRPr="00CD28D2">
        <w:rPr>
          <w:rtl/>
        </w:rPr>
        <w:t xml:space="preserve">, </w:t>
      </w:r>
      <w:r>
        <w:rPr>
          <w:rFonts w:hint="cs"/>
          <w:rtl/>
        </w:rPr>
        <w:t>אנו פועלים</w:t>
      </w:r>
      <w:r w:rsidRPr="00CD28D2">
        <w:rPr>
          <w:rtl/>
        </w:rPr>
        <w:t xml:space="preserve"> למצֵב את ביקורת המדינה כביקורת </w:t>
      </w:r>
      <w:r w:rsidRPr="00CD28D2">
        <w:rPr>
          <w:rFonts w:hint="cs"/>
          <w:rtl/>
        </w:rPr>
        <w:t>המניעה לפעולה, ביקורת חדשנית</w:t>
      </w:r>
      <w:r w:rsidRPr="00CD28D2">
        <w:rPr>
          <w:rtl/>
        </w:rPr>
        <w:t>, רלוונטית ואפקטיבית, העוסקת בתחומי הליבה של הגוף המבוקר</w:t>
      </w:r>
      <w:r w:rsidRPr="00CD28D2">
        <w:rPr>
          <w:rFonts w:hint="cs"/>
          <w:rtl/>
        </w:rPr>
        <w:t xml:space="preserve"> ומ</w:t>
      </w:r>
      <w:r w:rsidRPr="00CD28D2">
        <w:rPr>
          <w:rtl/>
        </w:rPr>
        <w:t>תמקדת הן בנושאי</w:t>
      </w:r>
      <w:r w:rsidRPr="00CD28D2">
        <w:rPr>
          <w:rFonts w:hint="cs"/>
          <w:rtl/>
        </w:rPr>
        <w:t>ם</w:t>
      </w:r>
      <w:r w:rsidRPr="00CD28D2">
        <w:rPr>
          <w:rtl/>
        </w:rPr>
        <w:t xml:space="preserve"> בעלי אופי חברתי </w:t>
      </w:r>
      <w:r w:rsidRPr="00CD28D2">
        <w:rPr>
          <w:rFonts w:hint="cs"/>
          <w:rtl/>
        </w:rPr>
        <w:t>וב</w:t>
      </w:r>
      <w:r w:rsidRPr="00CD28D2">
        <w:rPr>
          <w:rtl/>
        </w:rPr>
        <w:t xml:space="preserve">שירות לאזרח והן בסיכונים המהותיים המשפיעים על פעילות המבוקרים. זאת לצד נושאים הנוגעים למינהל תקין ולטוהר המידות. </w:t>
      </w:r>
    </w:p>
    <w:p w:rsidR="00DA2309" w:rsidRPr="00CD28D2" w:rsidP="0093407E" w14:paraId="70F7CE5E" w14:textId="77777777">
      <w:pPr>
        <w:pStyle w:val="7190"/>
        <w:rPr>
          <w:rFonts w:eastAsia="Calibri"/>
          <w:rtl/>
        </w:rPr>
      </w:pPr>
      <w:r>
        <w:rPr>
          <w:rFonts w:hint="cs"/>
          <w:rtl/>
        </w:rPr>
        <w:t xml:space="preserve">פרקי הדוח </w:t>
      </w:r>
      <w:r w:rsidRPr="00420E6B">
        <w:rPr>
          <w:rFonts w:eastAsia="Calibri" w:hint="cs"/>
          <w:rtl/>
        </w:rPr>
        <w:t>מעל</w:t>
      </w:r>
      <w:r>
        <w:rPr>
          <w:rFonts w:eastAsia="Calibri" w:hint="cs"/>
          <w:rtl/>
        </w:rPr>
        <w:t>ים</w:t>
      </w:r>
      <w:r w:rsidRPr="00420E6B">
        <w:rPr>
          <w:rFonts w:eastAsia="Calibri" w:hint="cs"/>
          <w:rtl/>
        </w:rPr>
        <w:t xml:space="preserve"> על סדר היום הציבורי ממצאי ביקורת חשובים הנוגעים ל</w:t>
      </w:r>
      <w:r>
        <w:rPr>
          <w:rFonts w:eastAsia="Calibri" w:hint="cs"/>
          <w:rtl/>
        </w:rPr>
        <w:t xml:space="preserve">מגוון תחומים, ובכללם רווחת הפרט, השירות לתושב, </w:t>
      </w:r>
      <w:r w:rsidRPr="0093407E">
        <w:rPr>
          <w:rFonts w:hint="cs"/>
          <w:rtl/>
        </w:rPr>
        <w:t>יעילות</w:t>
      </w:r>
      <w:r>
        <w:rPr>
          <w:rFonts w:eastAsia="Calibri" w:hint="cs"/>
          <w:rtl/>
        </w:rPr>
        <w:t xml:space="preserve"> תוכניות הבראה, גביית ארנונה, השירות הווטרינרי, תכנון ובנייה ותחזוקת תשתיות.</w:t>
      </w:r>
      <w:r w:rsidRPr="00E261FB">
        <w:rPr>
          <w:rFonts w:eastAsia="Calibri" w:hint="cs"/>
          <w:rtl/>
        </w:rPr>
        <w:t xml:space="preserve"> </w:t>
      </w:r>
      <w:r>
        <w:rPr>
          <w:rFonts w:eastAsia="Calibri" w:hint="cs"/>
          <w:rtl/>
        </w:rPr>
        <w:t>להלן סקירה של כמה מהפרקים הכלולים בדוח זה:</w:t>
      </w:r>
    </w:p>
    <w:p w:rsidR="00DA2309" w:rsidRPr="00EF0616" w:rsidP="00D3150E" w14:paraId="6DB4E7B4" w14:textId="20FCBE09">
      <w:pPr>
        <w:pStyle w:val="7190"/>
        <w:ind w:left="397"/>
        <w:rPr>
          <w:rtl/>
        </w:rPr>
      </w:pPr>
      <w:r w:rsidRPr="00EF0616">
        <w:rPr>
          <w:rFonts w:hint="cs"/>
          <w:rtl/>
        </w:rPr>
        <w:t>ת</w:t>
      </w:r>
      <w:r>
        <w:rPr>
          <w:rFonts w:hint="cs"/>
          <w:rtl/>
        </w:rPr>
        <w:t>ו</w:t>
      </w:r>
      <w:r w:rsidRPr="00EF0616">
        <w:rPr>
          <w:rFonts w:hint="cs"/>
          <w:rtl/>
        </w:rPr>
        <w:t xml:space="preserve">כנית </w:t>
      </w:r>
      <w:r w:rsidRPr="00382B3A">
        <w:rPr>
          <w:rFonts w:eastAsia="Calibri" w:hint="cs"/>
          <w:rtl/>
        </w:rPr>
        <w:t>הבראה</w:t>
      </w:r>
      <w:r w:rsidRPr="00EF0616">
        <w:rPr>
          <w:rFonts w:hint="cs"/>
          <w:rtl/>
        </w:rPr>
        <w:t xml:space="preserve"> </w:t>
      </w:r>
      <w:r w:rsidRPr="00EF0616">
        <w:rPr>
          <w:rtl/>
        </w:rPr>
        <w:t>נועדה להוביל לפתרון כולל לגירעונות ברשויות המקומיות, כך שתתאפשר בין היתר אספקה של שירותים מוניציפליים באופן שוויוני וביעילות מ</w:t>
      </w:r>
      <w:r>
        <w:rPr>
          <w:rFonts w:hint="cs"/>
          <w:rtl/>
        </w:rPr>
        <w:t>ְ</w:t>
      </w:r>
      <w:r w:rsidRPr="00EF0616">
        <w:rPr>
          <w:rtl/>
        </w:rPr>
        <w:t>רב</w:t>
      </w:r>
      <w:r>
        <w:rPr>
          <w:rFonts w:hint="cs"/>
          <w:rtl/>
        </w:rPr>
        <w:t>ּ</w:t>
      </w:r>
      <w:r w:rsidRPr="00EF0616">
        <w:rPr>
          <w:rtl/>
        </w:rPr>
        <w:t>ית לכלל תושבי המדינה. בשנים 2011 - 2020 פעלו 71 רשויות מקומיות במסגרת ת</w:t>
      </w:r>
      <w:r>
        <w:rPr>
          <w:rFonts w:hint="cs"/>
          <w:rtl/>
        </w:rPr>
        <w:t>ו</w:t>
      </w:r>
      <w:r w:rsidRPr="00EF0616">
        <w:rPr>
          <w:rtl/>
        </w:rPr>
        <w:t xml:space="preserve">כניות הבראה. </w:t>
      </w:r>
      <w:r w:rsidRPr="00EF0616">
        <w:rPr>
          <w:rFonts w:hint="cs"/>
          <w:rtl/>
        </w:rPr>
        <w:t xml:space="preserve">מהביקורת בנושא </w:t>
      </w:r>
      <w:r w:rsidRPr="00EF0616">
        <w:rPr>
          <w:b/>
          <w:bCs/>
          <w:rtl/>
        </w:rPr>
        <w:t>תוכניות הבראה ברשויות מקומיות</w:t>
      </w:r>
      <w:r w:rsidRPr="00EF0616">
        <w:rPr>
          <w:rFonts w:hint="cs"/>
          <w:rtl/>
        </w:rPr>
        <w:t xml:space="preserve"> עולה כי ארבע הרשויות ה</w:t>
      </w:r>
      <w:r w:rsidRPr="00EF0616">
        <w:rPr>
          <w:rtl/>
        </w:rPr>
        <w:t>מקומיות</w:t>
      </w:r>
      <w:r>
        <w:rPr>
          <w:rFonts w:hint="cs"/>
          <w:rtl/>
        </w:rPr>
        <w:t xml:space="preserve"> שנבדקו</w:t>
      </w:r>
      <w:r w:rsidRPr="00EF0616">
        <w:rPr>
          <w:rtl/>
        </w:rPr>
        <w:t xml:space="preserve"> - בוסתאן אל-מרג', בית אריה, ג'יסר א-זרקא, וסאג'ור - </w:t>
      </w:r>
      <w:r w:rsidRPr="00EF0616">
        <w:rPr>
          <w:rFonts w:hint="cs"/>
          <w:rtl/>
        </w:rPr>
        <w:t xml:space="preserve">לא עמדו ב-84 מתוך 186 מהדרישות שנקבעו באבני הדרך וביעדים הנוספים שהוגדרו להן במסגרת 13 תוכניות ההבראה, </w:t>
      </w:r>
      <w:r>
        <w:rPr>
          <w:rFonts w:hint="cs"/>
          <w:rtl/>
        </w:rPr>
        <w:t>ובשל כך</w:t>
      </w:r>
      <w:r w:rsidRPr="00EF0616">
        <w:rPr>
          <w:rFonts w:hint="cs"/>
          <w:rtl/>
        </w:rPr>
        <w:t xml:space="preserve"> הן לא קיבלו הלוואות ומענקים. כתוצאה מכך הרשויות לא הצליחו להגיע לאיזון שנתי בתקציב הרגיל, והן המשיכו להתנהל עם גירעונות נצברים,</w:t>
      </w:r>
      <w:r w:rsidRPr="00460507">
        <w:rPr>
          <w:rtl/>
        </w:rPr>
        <w:t xml:space="preserve"> </w:t>
      </w:r>
      <w:r w:rsidRPr="00EF0616">
        <w:rPr>
          <w:rtl/>
        </w:rPr>
        <w:t xml:space="preserve">למרות המענקים </w:t>
      </w:r>
      <w:r>
        <w:rPr>
          <w:rFonts w:hint="cs"/>
          <w:rtl/>
        </w:rPr>
        <w:t xml:space="preserve">שהועברו אליהן </w:t>
      </w:r>
      <w:r w:rsidRPr="00EF0616">
        <w:rPr>
          <w:rtl/>
        </w:rPr>
        <w:t>בסכום כולל של 62.9 מיליון ש"ח ולמרות ההלוואות שניתנו להן בסכום כולל של כ-42.2 מיליון ש"ח.</w:t>
      </w:r>
      <w:r w:rsidRPr="00EF0616">
        <w:rPr>
          <w:rFonts w:hint="cs"/>
          <w:rtl/>
        </w:rPr>
        <w:t xml:space="preserve"> יוצא אפוא כי המנגנון שאימץ משרד הפנים להבראת אותן רשויות ולשיפור תפקודן אינו אפקטיבי דיו.</w:t>
      </w:r>
      <w:r>
        <w:rPr>
          <w:rFonts w:hint="cs"/>
          <w:rtl/>
        </w:rPr>
        <w:t xml:space="preserve"> </w:t>
      </w:r>
      <w:r w:rsidRPr="00EF0616">
        <w:rPr>
          <w:rtl/>
        </w:rPr>
        <w:t>הכישלון רב השנים בת</w:t>
      </w:r>
      <w:r w:rsidRPr="00EF0616">
        <w:rPr>
          <w:rFonts w:hint="cs"/>
          <w:rtl/>
        </w:rPr>
        <w:t>ו</w:t>
      </w:r>
      <w:r w:rsidRPr="00EF0616">
        <w:rPr>
          <w:rtl/>
        </w:rPr>
        <w:t>כני</w:t>
      </w:r>
      <w:r w:rsidRPr="00EF0616">
        <w:rPr>
          <w:rFonts w:hint="cs"/>
          <w:rtl/>
        </w:rPr>
        <w:t>ו</w:t>
      </w:r>
      <w:r w:rsidRPr="00EF0616">
        <w:rPr>
          <w:rtl/>
        </w:rPr>
        <w:t xml:space="preserve">ת ההבראה מחדד </w:t>
      </w:r>
      <w:r w:rsidRPr="00EF0616">
        <w:rPr>
          <w:rFonts w:hint="cs"/>
          <w:rtl/>
        </w:rPr>
        <w:t xml:space="preserve">את </w:t>
      </w:r>
      <w:r w:rsidRPr="00EF0616">
        <w:rPr>
          <w:rtl/>
        </w:rPr>
        <w:t xml:space="preserve">הצורך בבחינה יסודית של מתכונתן הנוכחית. </w:t>
      </w:r>
      <w:r w:rsidRPr="00EF0616">
        <w:rPr>
          <w:rFonts w:hint="cs"/>
          <w:rtl/>
        </w:rPr>
        <w:t xml:space="preserve">על הרשויות המקומיות להגדיל את שיעורי הגבייה הנמוכים </w:t>
      </w:r>
      <w:r w:rsidRPr="00382B3A">
        <w:rPr>
          <w:rFonts w:hint="cs"/>
          <w:rtl/>
        </w:rPr>
        <w:t>של הארנונה (תשלומים שוטפים וחובות),</w:t>
      </w:r>
      <w:r w:rsidRPr="00EF0616">
        <w:rPr>
          <w:rFonts w:hint="cs"/>
          <w:rtl/>
        </w:rPr>
        <w:t xml:space="preserve"> </w:t>
      </w:r>
      <w:r>
        <w:rPr>
          <w:rFonts w:hint="cs"/>
          <w:rtl/>
        </w:rPr>
        <w:t>בייחוד</w:t>
      </w:r>
      <w:r w:rsidRPr="00EF0616">
        <w:rPr>
          <w:rFonts w:hint="cs"/>
          <w:rtl/>
        </w:rPr>
        <w:t xml:space="preserve"> </w:t>
      </w:r>
      <w:r>
        <w:rPr>
          <w:rFonts w:hint="cs"/>
          <w:rtl/>
        </w:rPr>
        <w:t xml:space="preserve">המועצה המקומית </w:t>
      </w:r>
      <w:r w:rsidRPr="00EF0616">
        <w:rPr>
          <w:rFonts w:hint="cs"/>
          <w:rtl/>
        </w:rPr>
        <w:t>ג'יסר א-זרקא (35%) ו</w:t>
      </w:r>
      <w:r>
        <w:rPr>
          <w:rFonts w:hint="cs"/>
          <w:rtl/>
        </w:rPr>
        <w:t xml:space="preserve">המועצה המקומית </w:t>
      </w:r>
      <w:r w:rsidRPr="00EF0616">
        <w:rPr>
          <w:rFonts w:hint="cs"/>
          <w:rtl/>
        </w:rPr>
        <w:t>סאג'ור (</w:t>
      </w:r>
      <w:r w:rsidRPr="00382B3A">
        <w:rPr>
          <w:rFonts w:hint="cs"/>
          <w:rtl/>
        </w:rPr>
        <w:t>28%); לערוך</w:t>
      </w:r>
      <w:r w:rsidRPr="00EF0616">
        <w:rPr>
          <w:rFonts w:hint="cs"/>
          <w:rtl/>
        </w:rPr>
        <w:t xml:space="preserve"> סקרי נכסים במועד ולעמוד בכל </w:t>
      </w:r>
      <w:r w:rsidRPr="00EF0616">
        <w:rPr>
          <w:rtl/>
        </w:rPr>
        <w:t>היעדים שנקבעו לה</w:t>
      </w:r>
      <w:r w:rsidRPr="00EF0616">
        <w:rPr>
          <w:rFonts w:hint="cs"/>
          <w:rtl/>
        </w:rPr>
        <w:t>ן</w:t>
      </w:r>
      <w:r w:rsidRPr="00EF0616">
        <w:rPr>
          <w:rtl/>
        </w:rPr>
        <w:t xml:space="preserve"> </w:t>
      </w:r>
      <w:r w:rsidRPr="00EF0616">
        <w:rPr>
          <w:rFonts w:hint="cs"/>
          <w:rtl/>
        </w:rPr>
        <w:t>בתוכניות ההבראה. אשר למועצה האזורית בוסתאן אל-מרג</w:t>
      </w:r>
      <w:r w:rsidRPr="00EF0616">
        <w:rPr>
          <w:rtl/>
        </w:rPr>
        <w:t>'</w:t>
      </w:r>
      <w:r w:rsidRPr="00EF0616">
        <w:rPr>
          <w:rFonts w:hint="cs"/>
          <w:rtl/>
        </w:rPr>
        <w:t xml:space="preserve"> ולמועצה המקומית בית אריה, עליהן להגדיל את גביית יתר ההכנסות העצמיות.</w:t>
      </w:r>
      <w:r>
        <w:rPr>
          <w:rFonts w:hint="cs"/>
          <w:rtl/>
        </w:rPr>
        <w:t xml:space="preserve"> </w:t>
      </w:r>
      <w:r w:rsidRPr="00EF0616">
        <w:rPr>
          <w:rtl/>
        </w:rPr>
        <w:t xml:space="preserve">משרד מבקר המדינה ממליץ למשרד </w:t>
      </w:r>
      <w:r w:rsidRPr="00EF0616">
        <w:rPr>
          <w:rFonts w:hint="cs"/>
          <w:rtl/>
        </w:rPr>
        <w:t xml:space="preserve">הפנים </w:t>
      </w:r>
      <w:r w:rsidRPr="00EF0616">
        <w:rPr>
          <w:rtl/>
        </w:rPr>
        <w:t xml:space="preserve">לערוך הליך של למידה והפקת לקחים ולבחון אילו צעדים ואמצעים נוספים יש לנקוט כדי לסייע לרשויות המקומיות </w:t>
      </w:r>
      <w:r w:rsidRPr="00EF0616">
        <w:rPr>
          <w:rtl/>
        </w:rPr>
        <w:t>ולתושביהן</w:t>
      </w:r>
      <w:r w:rsidRPr="00EF0616">
        <w:rPr>
          <w:rFonts w:hint="cs"/>
          <w:rtl/>
        </w:rPr>
        <w:t>.</w:t>
      </w:r>
      <w:r w:rsidRPr="00EF0616">
        <w:rPr>
          <w:rtl/>
        </w:rPr>
        <w:t xml:space="preserve"> </w:t>
      </w:r>
      <w:r w:rsidRPr="00EF0616">
        <w:rPr>
          <w:rFonts w:hint="cs"/>
          <w:rtl/>
        </w:rPr>
        <w:t xml:space="preserve">כמו כן מומלץ לשקול </w:t>
      </w:r>
      <w:r w:rsidRPr="00EF0616">
        <w:rPr>
          <w:rtl/>
        </w:rPr>
        <w:t xml:space="preserve">שינוי </w:t>
      </w:r>
      <w:r w:rsidRPr="00EF0616">
        <w:rPr>
          <w:rFonts w:hint="cs"/>
          <w:rtl/>
        </w:rPr>
        <w:t>ב</w:t>
      </w:r>
      <w:r w:rsidRPr="00EF0616">
        <w:rPr>
          <w:rtl/>
        </w:rPr>
        <w:t>מתכונת ת</w:t>
      </w:r>
      <w:r w:rsidRPr="00EF0616">
        <w:rPr>
          <w:rFonts w:hint="cs"/>
          <w:rtl/>
        </w:rPr>
        <w:t>ו</w:t>
      </w:r>
      <w:r w:rsidRPr="00EF0616">
        <w:rPr>
          <w:rtl/>
        </w:rPr>
        <w:t>כניות ההבראה לרשויות, בייחוד לנוכח אחריותו של משרד הפנים וסמכויותיו</w:t>
      </w:r>
      <w:r w:rsidRPr="00EF0616">
        <w:rPr>
          <w:rFonts w:hint="cs"/>
          <w:rtl/>
        </w:rPr>
        <w:t xml:space="preserve">, כדי שרשויות אלה יצאו לעצמאות כלכלית וניהולית. </w:t>
      </w:r>
    </w:p>
    <w:p w:rsidR="00DA2309" w:rsidRPr="00EF0616" w:rsidP="00D3150E" w14:paraId="5029D276" w14:textId="16B7E8C8">
      <w:pPr>
        <w:pStyle w:val="7190"/>
        <w:ind w:left="397"/>
        <w:rPr>
          <w:rtl/>
        </w:rPr>
      </w:pPr>
      <w:bookmarkStart w:id="0" w:name="_Hlk134938434"/>
      <w:r w:rsidRPr="00EF0616">
        <w:rPr>
          <w:rtl/>
        </w:rPr>
        <w:t xml:space="preserve">הארנונה </w:t>
      </w:r>
      <w:r w:rsidRPr="00382B3A">
        <w:rPr>
          <w:rFonts w:eastAsia="Calibri"/>
          <w:rtl/>
        </w:rPr>
        <w:t>היא</w:t>
      </w:r>
      <w:r w:rsidRPr="00EF0616">
        <w:rPr>
          <w:rtl/>
        </w:rPr>
        <w:t xml:space="preserve"> המס העיקרי שהרשויות המקומיות בישראל גובות, </w:t>
      </w:r>
      <w:r w:rsidRPr="00382B3A">
        <w:rPr>
          <w:rtl/>
        </w:rPr>
        <w:t>וה</w:t>
      </w:r>
      <w:r w:rsidRPr="00382B3A">
        <w:rPr>
          <w:rFonts w:hint="cs"/>
          <w:rtl/>
        </w:rPr>
        <w:t>י</w:t>
      </w:r>
      <w:r w:rsidRPr="00382B3A">
        <w:rPr>
          <w:rtl/>
        </w:rPr>
        <w:t>א ה</w:t>
      </w:r>
      <w:r w:rsidRPr="00EF0616">
        <w:rPr>
          <w:rtl/>
        </w:rPr>
        <w:t xml:space="preserve">מקור העיקרי למימון ההוצאות </w:t>
      </w:r>
      <w:r>
        <w:rPr>
          <w:rFonts w:hint="cs"/>
          <w:rtl/>
        </w:rPr>
        <w:t xml:space="preserve">עבור </w:t>
      </w:r>
      <w:r w:rsidRPr="00EF0616">
        <w:rPr>
          <w:rtl/>
        </w:rPr>
        <w:t xml:space="preserve">ביצוע </w:t>
      </w:r>
      <w:r w:rsidRPr="00382B3A">
        <w:rPr>
          <w:rtl/>
        </w:rPr>
        <w:t>תפקידיהן ו</w:t>
      </w:r>
      <w:r w:rsidRPr="00382B3A">
        <w:rPr>
          <w:rFonts w:hint="cs"/>
          <w:rtl/>
        </w:rPr>
        <w:t>עבור</w:t>
      </w:r>
      <w:r>
        <w:rPr>
          <w:rFonts w:hint="cs"/>
          <w:rtl/>
        </w:rPr>
        <w:t xml:space="preserve"> </w:t>
      </w:r>
      <w:r w:rsidRPr="00EF0616">
        <w:rPr>
          <w:rtl/>
        </w:rPr>
        <w:t>אספקת שירותים ממלכתיים ומקומיים לתושביהן. להכנסות מארנונה יש השפעה ניכרת על יכולתן של הרשויות המקומיות לספק שירותים, לחזק את העצמאות הכלכלית שלהן ולהפחית את תלותן בשלטון המרכזי.</w:t>
      </w:r>
      <w:r w:rsidRPr="00EF0616">
        <w:rPr>
          <w:rFonts w:hint="cs"/>
          <w:rtl/>
        </w:rPr>
        <w:t xml:space="preserve"> בביקורת בנושא</w:t>
      </w:r>
      <w:r>
        <w:rPr>
          <w:rFonts w:hint="cs"/>
          <w:rtl/>
        </w:rPr>
        <w:t xml:space="preserve"> </w:t>
      </w:r>
      <w:r w:rsidRPr="0047367B">
        <w:rPr>
          <w:b/>
          <w:bCs/>
          <w:rtl/>
        </w:rPr>
        <w:t>ארנונה ברשויות המקומיות - אסדרה, הטלה ומתן הנחות</w:t>
      </w:r>
      <w:r w:rsidRPr="00EF0616">
        <w:rPr>
          <w:rFonts w:hint="cs"/>
          <w:rtl/>
        </w:rPr>
        <w:t xml:space="preserve"> הועלה כי בשנת 2020 חייבו הרשויות המקומיות את בעלי הנכסים שבתחום שיפוטן בארנונה בסך </w:t>
      </w:r>
      <w:r w:rsidR="00270E99">
        <w:rPr>
          <w:rtl/>
        </w:rPr>
        <w:br/>
      </w:r>
      <w:r w:rsidRPr="00EF0616">
        <w:rPr>
          <w:rFonts w:hint="cs"/>
          <w:rtl/>
        </w:rPr>
        <w:t>כ</w:t>
      </w:r>
      <w:r w:rsidRPr="00EF0616">
        <w:rPr>
          <w:rtl/>
        </w:rPr>
        <w:t>-</w:t>
      </w:r>
      <w:r w:rsidRPr="00EF0616">
        <w:rPr>
          <w:rFonts w:hint="cs"/>
          <w:rtl/>
        </w:rPr>
        <w:t>34.6 מיליארד ש"ח</w:t>
      </w:r>
      <w:r w:rsidRPr="00EF0616">
        <w:rPr>
          <w:rtl/>
        </w:rPr>
        <w:t>,</w:t>
      </w:r>
      <w:r w:rsidRPr="00EF0616">
        <w:rPr>
          <w:rFonts w:hint="cs"/>
          <w:rtl/>
        </w:rPr>
        <w:t xml:space="preserve"> ו</w:t>
      </w:r>
      <w:r w:rsidRPr="00EF0616">
        <w:rPr>
          <w:rFonts w:hint="eastAsia"/>
          <w:rtl/>
        </w:rPr>
        <w:t>מכלל</w:t>
      </w:r>
      <w:r w:rsidRPr="00EF0616">
        <w:rPr>
          <w:rtl/>
        </w:rPr>
        <w:t xml:space="preserve"> </w:t>
      </w:r>
      <w:r w:rsidRPr="00EF0616">
        <w:rPr>
          <w:rFonts w:hint="eastAsia"/>
          <w:rtl/>
        </w:rPr>
        <w:t>זה</w:t>
      </w:r>
      <w:r w:rsidRPr="00EF0616">
        <w:rPr>
          <w:rFonts w:hint="cs"/>
          <w:rtl/>
        </w:rPr>
        <w:t xml:space="preserve"> גבו כ</w:t>
      </w:r>
      <w:r w:rsidRPr="00EF0616">
        <w:rPr>
          <w:rtl/>
        </w:rPr>
        <w:t>-</w:t>
      </w:r>
      <w:r w:rsidRPr="00EF0616">
        <w:rPr>
          <w:rFonts w:hint="cs"/>
          <w:rtl/>
        </w:rPr>
        <w:t>24.2 מיליארד ש"ח שהיו כ-60% מהכנסותיהן העצמיות.</w:t>
      </w:r>
      <w:bookmarkEnd w:id="0"/>
      <w:r>
        <w:rPr>
          <w:rFonts w:hint="cs"/>
          <w:rtl/>
        </w:rPr>
        <w:t xml:space="preserve"> </w:t>
      </w:r>
      <w:r w:rsidRPr="00480A36">
        <w:rPr>
          <w:rtl/>
        </w:rPr>
        <w:t xml:space="preserve">יתרת החייבים בארנונה ברשויות המקומיות </w:t>
      </w:r>
      <w:r>
        <w:rPr>
          <w:rFonts w:hint="cs"/>
          <w:rtl/>
        </w:rPr>
        <w:t>ב</w:t>
      </w:r>
      <w:r w:rsidRPr="00480A36">
        <w:rPr>
          <w:rtl/>
        </w:rPr>
        <w:t>סוף שנת 2020</w:t>
      </w:r>
      <w:r>
        <w:rPr>
          <w:rFonts w:hint="cs"/>
          <w:rtl/>
        </w:rPr>
        <w:t xml:space="preserve"> הייתה 31.7 מיליארד ש"ח.</w:t>
      </w:r>
      <w:r w:rsidRPr="00EF0616">
        <w:rPr>
          <w:rFonts w:hint="cs"/>
          <w:rtl/>
        </w:rPr>
        <w:t xml:space="preserve"> בביקורת הועלו ליקויים בתחומ</w:t>
      </w:r>
      <w:r w:rsidRPr="00EF0616">
        <w:rPr>
          <w:rFonts w:hint="eastAsia"/>
          <w:rtl/>
        </w:rPr>
        <w:t>י</w:t>
      </w:r>
      <w:r w:rsidRPr="00EF0616">
        <w:rPr>
          <w:rFonts w:hint="cs"/>
          <w:rtl/>
        </w:rPr>
        <w:t xml:space="preserve"> אסדרת הארנונה, צווי הארנונה והטלתה, שיטת מדידת שטחי הנכסים וחיובם, הגשת בקשות לאישור חריג לשינויי בארנונה והטיפול בהן, גביית הארנונה וטיפול בחובות ומתן הנחות. </w:t>
      </w:r>
      <w:r w:rsidRPr="00EF0616">
        <w:rPr>
          <w:rtl/>
        </w:rPr>
        <w:t>ממצאי הביקורת מלמדים כי תחום הארנונה</w:t>
      </w:r>
      <w:r w:rsidRPr="00EF0616">
        <w:rPr>
          <w:rFonts w:hint="cs"/>
          <w:rtl/>
        </w:rPr>
        <w:t xml:space="preserve"> </w:t>
      </w:r>
      <w:r w:rsidRPr="00EF0616">
        <w:rPr>
          <w:rFonts w:hint="eastAsia"/>
          <w:rtl/>
        </w:rPr>
        <w:t>דורש</w:t>
      </w:r>
      <w:r w:rsidRPr="00EF0616">
        <w:rPr>
          <w:rtl/>
        </w:rPr>
        <w:t xml:space="preserve"> </w:t>
      </w:r>
      <w:r w:rsidRPr="00EF0616">
        <w:rPr>
          <w:rFonts w:hint="eastAsia"/>
          <w:rtl/>
        </w:rPr>
        <w:t>אסדרה</w:t>
      </w:r>
      <w:r w:rsidRPr="00EF0616">
        <w:rPr>
          <w:rtl/>
        </w:rPr>
        <w:t>,</w:t>
      </w:r>
      <w:r w:rsidRPr="00EF0616">
        <w:rPr>
          <w:rFonts w:hint="cs"/>
          <w:rtl/>
        </w:rPr>
        <w:t xml:space="preserve"> </w:t>
      </w:r>
      <w:r w:rsidRPr="00EF0616">
        <w:rPr>
          <w:rtl/>
        </w:rPr>
        <w:t>בין היתר בשל ריבוי סיווגים, תעריפים ושיטות מדידה, ו</w:t>
      </w:r>
      <w:r>
        <w:rPr>
          <w:rFonts w:hint="cs"/>
          <w:rtl/>
        </w:rPr>
        <w:t xml:space="preserve">הוא </w:t>
      </w:r>
      <w:r w:rsidRPr="00EF0616">
        <w:rPr>
          <w:rtl/>
        </w:rPr>
        <w:t>מתאפיין בחוסר אחידות ו</w:t>
      </w:r>
      <w:r w:rsidRPr="00EF0616">
        <w:rPr>
          <w:rFonts w:hint="eastAsia"/>
          <w:rtl/>
        </w:rPr>
        <w:t>ב</w:t>
      </w:r>
      <w:r w:rsidRPr="00EF0616">
        <w:rPr>
          <w:rtl/>
        </w:rPr>
        <w:t xml:space="preserve">אי-שוויוניות. משרדי הפנים והאוצר היו ערים לליקויים ולעיוותים המאפיינים את מערך הארנונה ברשויות המקומיות, ובמשך השנים הוקמו ועדות </w:t>
      </w:r>
      <w:r w:rsidRPr="00EF0616">
        <w:rPr>
          <w:rFonts w:hint="cs"/>
          <w:rtl/>
        </w:rPr>
        <w:t>בין-משרדיות</w:t>
      </w:r>
      <w:r w:rsidRPr="00EF0616">
        <w:rPr>
          <w:rtl/>
        </w:rPr>
        <w:t xml:space="preserve"> לתיקונם, אך המלצות הוועדות לא יושמו.</w:t>
      </w:r>
      <w:r w:rsidRPr="00EF0616">
        <w:rPr>
          <w:rFonts w:hint="cs"/>
          <w:rtl/>
        </w:rPr>
        <w:t xml:space="preserve"> על </w:t>
      </w:r>
      <w:r w:rsidRPr="00EF0616">
        <w:rPr>
          <w:rtl/>
        </w:rPr>
        <w:t>עיריות אשדוד,</w:t>
      </w:r>
      <w:r w:rsidRPr="00EF0616">
        <w:rPr>
          <w:rFonts w:hint="cs"/>
          <w:rtl/>
        </w:rPr>
        <w:t xml:space="preserve"> </w:t>
      </w:r>
      <w:r w:rsidRPr="00EF0616">
        <w:rPr>
          <w:rtl/>
        </w:rPr>
        <w:t>כפר סבא</w:t>
      </w:r>
      <w:r w:rsidRPr="00EF0616">
        <w:rPr>
          <w:rFonts w:hint="cs"/>
          <w:rtl/>
        </w:rPr>
        <w:t xml:space="preserve"> </w:t>
      </w:r>
      <w:r w:rsidRPr="00EF0616">
        <w:rPr>
          <w:rtl/>
        </w:rPr>
        <w:t>ונוף</w:t>
      </w:r>
      <w:r w:rsidRPr="00EF0616">
        <w:rPr>
          <w:rFonts w:hint="cs"/>
          <w:rtl/>
        </w:rPr>
        <w:t xml:space="preserve"> </w:t>
      </w:r>
      <w:r w:rsidRPr="00EF0616">
        <w:rPr>
          <w:rtl/>
        </w:rPr>
        <w:t xml:space="preserve">הגליל, המועצות המקומיות קריית טבעון וריינה והמועצה האזורית עמק יזרעאל - לפעול לתיקון הליקויים ולבחינת ההמלצות שעלו בדוח, לפי העניין, ובין היתר </w:t>
      </w:r>
      <w:r w:rsidRPr="00EF0616">
        <w:rPr>
          <w:rFonts w:hint="eastAsia"/>
          <w:rtl/>
        </w:rPr>
        <w:t>עליהן</w:t>
      </w:r>
      <w:r w:rsidRPr="00EF0616">
        <w:rPr>
          <w:rtl/>
        </w:rPr>
        <w:t xml:space="preserve"> </w:t>
      </w:r>
      <w:r w:rsidRPr="00EF0616">
        <w:rPr>
          <w:rFonts w:hint="eastAsia"/>
          <w:rtl/>
        </w:rPr>
        <w:t>לפעול</w:t>
      </w:r>
      <w:r w:rsidRPr="00EF0616">
        <w:rPr>
          <w:rtl/>
        </w:rPr>
        <w:t xml:space="preserve"> </w:t>
      </w:r>
      <w:r w:rsidRPr="00EF0616">
        <w:rPr>
          <w:rFonts w:hint="eastAsia"/>
          <w:rtl/>
        </w:rPr>
        <w:t>להגדלת</w:t>
      </w:r>
      <w:r w:rsidRPr="00EF0616">
        <w:rPr>
          <w:rtl/>
        </w:rPr>
        <w:t xml:space="preserve"> שיעורי גביית הארנונה</w:t>
      </w:r>
      <w:r w:rsidRPr="00EF0616">
        <w:rPr>
          <w:rFonts w:hint="cs"/>
          <w:rtl/>
        </w:rPr>
        <w:t xml:space="preserve"> (העומדת על כ-792 מיליון ש"ח בשש הרשויות) ו</w:t>
      </w:r>
      <w:r w:rsidRPr="00EF0616">
        <w:rPr>
          <w:rtl/>
        </w:rPr>
        <w:t>למתן הנחות על בסיס חוקי תוך הקפדה על שקיפות ושוויוניות.</w:t>
      </w:r>
      <w:r w:rsidRPr="00480A36">
        <w:rPr>
          <w:rtl/>
        </w:rPr>
        <w:t xml:space="preserve"> </w:t>
      </w:r>
      <w:r w:rsidRPr="00EF0616">
        <w:rPr>
          <w:rtl/>
        </w:rPr>
        <w:t>על משרדי הפנים והאוצר לבחון את ממצאי</w:t>
      </w:r>
      <w:r>
        <w:rPr>
          <w:rFonts w:hint="cs"/>
          <w:rtl/>
        </w:rPr>
        <w:t xml:space="preserve"> הביקורת</w:t>
      </w:r>
      <w:r w:rsidRPr="00EF0616">
        <w:rPr>
          <w:rtl/>
        </w:rPr>
        <w:t>, לדון בהמלצות של הוועדות והצוותים הבין-משרדיים שהוקמו לאורך השנים</w:t>
      </w:r>
      <w:r w:rsidR="001D5633">
        <w:rPr>
          <w:rFonts w:hint="cs"/>
          <w:rtl/>
        </w:rPr>
        <w:t xml:space="preserve"> </w:t>
      </w:r>
      <w:r w:rsidRPr="00EF0616">
        <w:rPr>
          <w:rtl/>
        </w:rPr>
        <w:t>ולפעול במשותף להסדרת תחום הארנונה בישראל על כל היבטיו.</w:t>
      </w:r>
    </w:p>
    <w:p w:rsidR="00DA2309" w:rsidRPr="00480A36" w:rsidP="00D3150E" w14:paraId="6F7BCC43" w14:textId="286B0D93">
      <w:pPr>
        <w:pStyle w:val="7190"/>
        <w:ind w:left="397"/>
        <w:rPr>
          <w:rtl/>
        </w:rPr>
      </w:pPr>
      <w:r>
        <w:rPr>
          <w:rFonts w:hint="cs"/>
          <w:rtl/>
        </w:rPr>
        <w:t xml:space="preserve">דוח זה כולל גם פרק בנושא </w:t>
      </w:r>
      <w:r w:rsidRPr="00EF0616">
        <w:rPr>
          <w:b/>
          <w:bCs/>
          <w:rtl/>
        </w:rPr>
        <w:t>ארנונה ברשויות המקומיות - השירות לתושב</w:t>
      </w:r>
      <w:r w:rsidR="001D5633">
        <w:rPr>
          <w:rFonts w:hint="cs"/>
          <w:b/>
          <w:bCs/>
          <w:rtl/>
        </w:rPr>
        <w:t>,</w:t>
      </w:r>
      <w:r w:rsidRPr="007E42EB">
        <w:rPr>
          <w:rtl/>
        </w:rPr>
        <w:t xml:space="preserve"> </w:t>
      </w:r>
      <w:r>
        <w:rPr>
          <w:rFonts w:hint="cs"/>
          <w:rtl/>
        </w:rPr>
        <w:t xml:space="preserve">שבו </w:t>
      </w:r>
      <w:r w:rsidRPr="007E42EB">
        <w:rPr>
          <w:rtl/>
        </w:rPr>
        <w:t>הועלו ליקויים בכל הקשור להיקף ולאיכות של השירות המקוון, של השירות הטלפוני ושל השירות הפרונטלי שהרשויות מציעות לתושביהן בתחום הארנונה ו</w:t>
      </w:r>
      <w:r>
        <w:rPr>
          <w:rFonts w:hint="cs"/>
          <w:rtl/>
        </w:rPr>
        <w:t xml:space="preserve">כן </w:t>
      </w:r>
      <w:r w:rsidRPr="007E42EB">
        <w:rPr>
          <w:rtl/>
        </w:rPr>
        <w:t xml:space="preserve">למידע שהן מפרסמות לציבור על זכויותיו וחובותיו בנושא </w:t>
      </w:r>
      <w:r>
        <w:rPr>
          <w:rFonts w:hint="cs"/>
          <w:rtl/>
        </w:rPr>
        <w:t>ה</w:t>
      </w:r>
      <w:r w:rsidRPr="007E42EB">
        <w:rPr>
          <w:rtl/>
        </w:rPr>
        <w:t xml:space="preserve">ארנונה, הן במדיה הדיגיטלית והן בהודעות המופצות לבתי התושבים בדואר. ממצאי הביקורת מלמדים כי הרשויות המקומיות שנבדקו נבדלות ביניהן במידה ניכרת </w:t>
      </w:r>
      <w:r>
        <w:rPr>
          <w:rFonts w:hint="cs"/>
          <w:rtl/>
        </w:rPr>
        <w:t>ב</w:t>
      </w:r>
      <w:r w:rsidRPr="007E42EB">
        <w:rPr>
          <w:rtl/>
        </w:rPr>
        <w:t>שירות המקוון הזמין באתריהן במרשתת, וכי למרות פעולות הרשויות המקומיות שנבדקו לעידוד המעבר משוברי תשלום המופצים בדואר לשוברי תשלום דיגיטליים, מרבית הנישומים בתחומי שיפוטן עדיין מקבלים את הודעות תשלום הארנונה באמצעות הדואר.</w:t>
      </w:r>
    </w:p>
    <w:p w:rsidR="00DA2309" w:rsidRPr="00D3150E" w:rsidP="00D3150E" w14:paraId="7B58068B" w14:textId="77777777">
      <w:pPr>
        <w:pStyle w:val="7190"/>
        <w:ind w:left="397"/>
        <w:rPr>
          <w:spacing w:val="-2"/>
          <w:rtl/>
        </w:rPr>
      </w:pPr>
      <w:r w:rsidRPr="00D3150E">
        <w:rPr>
          <w:spacing w:val="-2"/>
          <w:rtl/>
        </w:rPr>
        <w:t>הזדקנות האוכלוסייה היא תופעה כלל-עולמית המציבה אתגרים חדשים בפני גורמי מקצוע בתחומי החברה, הרווחה והרפואה. גם בישראל ניכרת מגמת עלייה בתוחלת החיים, ולשלטון המקומי תפקיד מרכזי במתן שירותים לאוכלוסיית האזרחים הוותיקים ובפיתוח פתרונות לצרכיה הייחודיים.</w:t>
      </w:r>
      <w:r w:rsidRPr="00D3150E">
        <w:rPr>
          <w:rFonts w:hint="cs"/>
          <w:spacing w:val="-2"/>
          <w:rtl/>
        </w:rPr>
        <w:t xml:space="preserve"> דוח זה כולל פרק בנושא </w:t>
      </w:r>
      <w:r w:rsidRPr="00D3150E">
        <w:rPr>
          <w:b/>
          <w:bCs/>
          <w:spacing w:val="-2"/>
          <w:rtl/>
        </w:rPr>
        <w:t>טיפול הרשויות המקומיות באזרחים הוותיקים שבתחום שיפוטן</w:t>
      </w:r>
      <w:r w:rsidRPr="00D3150E">
        <w:rPr>
          <w:rFonts w:hint="cs"/>
          <w:spacing w:val="-2"/>
          <w:rtl/>
        </w:rPr>
        <w:t xml:space="preserve">. בישראל חיים 1.16 מיליון אזרחים ותיקים, ושיעורם באוכלוסייה הכללית הוא 12%. הועלה כי </w:t>
      </w:r>
      <w:r w:rsidRPr="00D3150E">
        <w:rPr>
          <w:spacing w:val="-2"/>
          <w:rtl/>
        </w:rPr>
        <w:t>גובה התקציב השנתי לאזרח ותיק שהקצה משרד הרווחה בשנת 2021 ברשויות המקומיות שנבדקו</w:t>
      </w:r>
      <w:r w:rsidRPr="00D3150E">
        <w:rPr>
          <w:rFonts w:hint="cs"/>
          <w:spacing w:val="-2"/>
          <w:rtl/>
        </w:rPr>
        <w:t xml:space="preserve"> היה בין 141 ל-772 ש"ח.</w:t>
      </w:r>
      <w:r w:rsidRPr="00D3150E">
        <w:rPr>
          <w:spacing w:val="-2"/>
          <w:rtl/>
        </w:rPr>
        <w:t xml:space="preserve"> ממצאי הביקורת מעידים שהרשויות המקומיות שנבדקו לא ערכו סקרי צרכים ושביעות רצון ולא הכינו תוכניות אב להיערכות להזדקנות האוכלוסייה. מספר המשתתפים הממוצע בחודש במרכזי היום </w:t>
      </w:r>
      <w:r w:rsidRPr="00D3150E">
        <w:rPr>
          <w:rFonts w:hint="cs"/>
          <w:spacing w:val="-2"/>
          <w:rtl/>
        </w:rPr>
        <w:t>וב</w:t>
      </w:r>
      <w:r w:rsidRPr="00D3150E">
        <w:rPr>
          <w:spacing w:val="-2"/>
          <w:rtl/>
        </w:rPr>
        <w:t xml:space="preserve">מועדונים מועשרים ברשויות המקומיות שנבדקו נמוך ונע בין 9% ל-30% מהאזרחים הוותיקים המטופלים במחלקות </w:t>
      </w:r>
      <w:r w:rsidRPr="00D3150E">
        <w:rPr>
          <w:rFonts w:eastAsia="Calibri"/>
          <w:spacing w:val="-2"/>
          <w:rtl/>
        </w:rPr>
        <w:t>הרווחה</w:t>
      </w:r>
      <w:r w:rsidRPr="00D3150E">
        <w:rPr>
          <w:rFonts w:hint="cs"/>
          <w:spacing w:val="-2"/>
          <w:rtl/>
        </w:rPr>
        <w:t>.</w:t>
      </w:r>
      <w:r w:rsidRPr="00D3150E">
        <w:rPr>
          <w:spacing w:val="-2"/>
          <w:rtl/>
        </w:rPr>
        <w:t xml:space="preserve"> בעניין הנגשת המידע לאזרחים הוותיקים ומיצוי זכויותיהם עלה כי המידע באתרי המרשתת של הרשויות המקומיות אינו בולט ואינו זמין בקלות עבור אוכלוסיית האזרחים הוותיקים, וכי לא כולם ערים לזכויותיהם. עוד נמצא כי מספר המטופלים הממוצע למשרת עובד סוציאלי ביחידות לאזרחים ותיקים ברשויות </w:t>
      </w:r>
      <w:r w:rsidRPr="00D3150E">
        <w:rPr>
          <w:rFonts w:hint="cs"/>
          <w:spacing w:val="-2"/>
          <w:rtl/>
        </w:rPr>
        <w:t xml:space="preserve">האמורות היה 126 - 444, וכי </w:t>
      </w:r>
      <w:r w:rsidRPr="00D3150E">
        <w:rPr>
          <w:spacing w:val="-2"/>
          <w:rtl/>
        </w:rPr>
        <w:t>משרד הרווחה לא קבע את המספר המרבי של אזרחים ותיקים מטופלים למשרת עובד סוציאלי ולא הגדיר דרישות ניסיון והכשרה ייעודיים לעובדים סוציאליים המטפלים באזרחים ותיקים.</w:t>
      </w:r>
      <w:r w:rsidRPr="00D3150E">
        <w:rPr>
          <w:rFonts w:hint="cs"/>
          <w:spacing w:val="-2"/>
          <w:rtl/>
        </w:rPr>
        <w:t xml:space="preserve"> </w:t>
      </w:r>
      <w:r w:rsidRPr="00D3150E">
        <w:rPr>
          <w:spacing w:val="-2"/>
          <w:rtl/>
        </w:rPr>
        <w:t xml:space="preserve">מסקר האזרחים הוותיקים שערך משרד מבקר המדינה עלה כי 42% מהם </w:t>
      </w:r>
      <w:r w:rsidRPr="00D3150E">
        <w:rPr>
          <w:rFonts w:hint="cs"/>
          <w:spacing w:val="-2"/>
          <w:rtl/>
        </w:rPr>
        <w:t>אינם</w:t>
      </w:r>
      <w:r w:rsidRPr="00D3150E">
        <w:rPr>
          <w:spacing w:val="-2"/>
          <w:rtl/>
        </w:rPr>
        <w:t xml:space="preserve"> מכירים את פעילויות הפנאי שמספקות הרשויות המקומיות</w:t>
      </w:r>
      <w:r w:rsidRPr="00D3150E">
        <w:rPr>
          <w:rFonts w:hint="cs"/>
          <w:spacing w:val="-2"/>
          <w:rtl/>
        </w:rPr>
        <w:t>,</w:t>
      </w:r>
      <w:r w:rsidRPr="00D3150E">
        <w:rPr>
          <w:spacing w:val="-2"/>
          <w:rtl/>
        </w:rPr>
        <w:t xml:space="preserve"> וכי 64% מהאזרחים הוותיקים המכירים את הפעילויות משתתפים בהן; מרבית האזרחים הוותיקים (63%) בוחרים שלא להשתתף במסגרות המוצעות להם בשל חוסר עניין. מומלץ שהרשויות המקומיות ירחיבו את ערוצי הקשר עם האזרחים הוותיקים שבתחום שיפוטן וישפרו את הנגשת המידע עבורם. עוד מומלץ למפות את הצרכים של אוכלוסיית האזרחים הוותיקים ולהכין תוכניות אב שיכללו מטרות ויעדים ארוכי טווח, שעל פיהם ייקבעו המענים לצרכים של אוכלוסייה זו, ששיעורה באוכלוסייה צפוי להמשיך לגדול בשנים הבאות.</w:t>
      </w:r>
    </w:p>
    <w:p w:rsidR="00DA2309" w:rsidP="00D3150E" w14:paraId="7B000B63" w14:textId="7C1E5D47">
      <w:pPr>
        <w:pStyle w:val="7190"/>
        <w:ind w:left="397"/>
        <w:rPr>
          <w:rtl/>
        </w:rPr>
      </w:pPr>
      <w:r w:rsidRPr="000D520E">
        <w:rPr>
          <w:rtl/>
        </w:rPr>
        <w:t>בשנת 2020 חיו בישראל כ-1.6 מיליון אנשים עם מוגבלות, שהם כ-</w:t>
      </w:r>
      <w:r w:rsidR="00BF2285">
        <w:rPr>
          <w:rFonts w:hint="cs"/>
          <w:rtl/>
        </w:rPr>
        <w:t>17</w:t>
      </w:r>
      <w:r w:rsidRPr="000D520E">
        <w:rPr>
          <w:rtl/>
        </w:rPr>
        <w:t xml:space="preserve">% מכלל האוכלוסייה. </w:t>
      </w:r>
      <w:r>
        <w:rPr>
          <w:rFonts w:hint="cs"/>
          <w:rtl/>
        </w:rPr>
        <w:t xml:space="preserve">במסגרת הביקורת בנושא </w:t>
      </w:r>
      <w:r w:rsidRPr="007E5829">
        <w:rPr>
          <w:b/>
          <w:bCs/>
          <w:rtl/>
        </w:rPr>
        <w:t xml:space="preserve">השירותים שמספקות הרשויות המקומיות לאנשים עם מוגבלות - מרכז מול </w:t>
      </w:r>
      <w:r w:rsidRPr="00276D2F">
        <w:rPr>
          <w:b/>
          <w:bCs/>
          <w:rtl/>
        </w:rPr>
        <w:t>פריפריה</w:t>
      </w:r>
      <w:r>
        <w:rPr>
          <w:rFonts w:hint="cs"/>
          <w:rtl/>
        </w:rPr>
        <w:t xml:space="preserve"> </w:t>
      </w:r>
      <w:r w:rsidRPr="007E5829">
        <w:rPr>
          <w:rtl/>
        </w:rPr>
        <w:t>התקיימו ארבעה מפגשים מקוונים של קבוצות מיקוד שבהם השתתפו אנשים עם מוגבלות, הורים לילדים עם מוגבלות מיישובים במרכז הארץ, הורים לילדים ולבוגרים עם מוגבלות מיישובים בפריפריה וכן אחים ואחיות של אנשים עם מוגבלות.</w:t>
      </w:r>
      <w:r>
        <w:rPr>
          <w:rFonts w:hint="cs"/>
          <w:rtl/>
        </w:rPr>
        <w:t xml:space="preserve"> הביקורת העלתה כי </w:t>
      </w:r>
      <w:r w:rsidRPr="000D520E">
        <w:rPr>
          <w:rtl/>
        </w:rPr>
        <w:t xml:space="preserve">מגוון השירותים המיועדים לאנשים עם מוגבלות והיקף כוח האדם העוסק בתחום ברשויות הפריפריה מצומצמים לעומת </w:t>
      </w:r>
      <w:r>
        <w:rPr>
          <w:rFonts w:hint="cs"/>
          <w:rtl/>
        </w:rPr>
        <w:t xml:space="preserve">השירותים הללו והיקף כוח האדם העוסק בתחום </w:t>
      </w:r>
      <w:r w:rsidRPr="000D520E">
        <w:rPr>
          <w:rtl/>
        </w:rPr>
        <w:t>ברשויות המרכז. ברשויות הפריפריה מספרם של המועדונים החברתיים</w:t>
      </w:r>
      <w:r w:rsidRPr="00E41BAB">
        <w:rPr>
          <w:rtl/>
        </w:rPr>
        <w:t xml:space="preserve"> </w:t>
      </w:r>
      <w:r w:rsidRPr="000D520E">
        <w:rPr>
          <w:rtl/>
        </w:rPr>
        <w:t>קטן, היציאה לנופשונים ממומשת בהן באופן חלקי</w:t>
      </w:r>
      <w:r>
        <w:rPr>
          <w:rFonts w:hint="cs"/>
          <w:rtl/>
        </w:rPr>
        <w:t>,</w:t>
      </w:r>
      <w:r w:rsidRPr="000D520E">
        <w:rPr>
          <w:rtl/>
        </w:rPr>
        <w:t xml:space="preserve"> ובמרביתן אין גורם מתכלל מקצועי לתחום המוגבלות.</w:t>
      </w:r>
      <w:r>
        <w:rPr>
          <w:rFonts w:hint="cs"/>
          <w:rtl/>
        </w:rPr>
        <w:t xml:space="preserve"> </w:t>
      </w:r>
      <w:r>
        <w:rPr>
          <w:rtl/>
        </w:rPr>
        <w:t xml:space="preserve">עוד נמצא כי יותר מחמש שנים לא התאים משרד הרווחה את הוראות </w:t>
      </w:r>
      <w:r>
        <w:rPr>
          <w:rFonts w:hint="cs"/>
          <w:rtl/>
        </w:rPr>
        <w:t>תקנון העבודה הסוציאלית</w:t>
      </w:r>
      <w:r>
        <w:rPr>
          <w:rtl/>
        </w:rPr>
        <w:t>, את התעריפים, את השירותים ואת מערכות המידע לתפיסה שלשמה הוקם מינהל המוגבלויות</w:t>
      </w:r>
      <w:r>
        <w:rPr>
          <w:rFonts w:hint="cs"/>
          <w:rtl/>
        </w:rPr>
        <w:t xml:space="preserve"> במשרד הרווחה</w:t>
      </w:r>
      <w:r>
        <w:rPr>
          <w:rtl/>
        </w:rPr>
        <w:t xml:space="preserve">, ולפיה הטיפול באנשים עם מוגבלות ייעשה על בסיס תפקוד ולא על פי האבחנה הרפואית. </w:t>
      </w:r>
      <w:r w:rsidRPr="007E5829">
        <w:rPr>
          <w:rtl/>
        </w:rPr>
        <w:t xml:space="preserve">בשנת 2021 כ-26% מהרשויות המקומיות בישראל שבהן רוב התושבים יהודים לא עמדו ביעד הייצוג ההולם במלואו, ובקרב רשויות שרוב תושביהן לא-יהודים - 62% מהן לא עמדו ביעד הייצוג ההולם במלואו. </w:t>
      </w:r>
      <w:r>
        <w:rPr>
          <w:rFonts w:hint="cs"/>
          <w:rtl/>
        </w:rPr>
        <w:t xml:space="preserve">כמו כן </w:t>
      </w:r>
      <w:r w:rsidRPr="007E5829">
        <w:rPr>
          <w:rtl/>
        </w:rPr>
        <w:t xml:space="preserve">קיימים הבדלים ניכרים בין הרשויות בהעסקת עו"סים ייעודיים לתחום המוגבלויות - 78% מהרשויות המדורגות באשכול פריפריאלי גבוה מעסיקות עו"סים המטפלים רק בתחום המוגבלויות לעומת 15% </w:t>
      </w:r>
      <w:r>
        <w:rPr>
          <w:rFonts w:hint="cs"/>
          <w:rtl/>
        </w:rPr>
        <w:t>מה</w:t>
      </w:r>
      <w:r w:rsidRPr="007E5829">
        <w:rPr>
          <w:rtl/>
        </w:rPr>
        <w:t>רשויות המדורגות באשכול פריפרי</w:t>
      </w:r>
      <w:r>
        <w:rPr>
          <w:rFonts w:hint="cs"/>
          <w:rtl/>
        </w:rPr>
        <w:t>א</w:t>
      </w:r>
      <w:r w:rsidRPr="007E5829">
        <w:rPr>
          <w:rtl/>
        </w:rPr>
        <w:t xml:space="preserve">לי נמוך. מנהלי </w:t>
      </w:r>
      <w:r>
        <w:rPr>
          <w:rFonts w:hint="cs"/>
          <w:rtl/>
        </w:rPr>
        <w:t>המחלקות לשירותים חברתיים</w:t>
      </w:r>
      <w:r w:rsidRPr="007E5829">
        <w:rPr>
          <w:rtl/>
        </w:rPr>
        <w:t xml:space="preserve"> והעו"סים העוסקים בתחומי המוגבלות פעלו במקרים שהונחו לפתחם, </w:t>
      </w:r>
      <w:r>
        <w:rPr>
          <w:rFonts w:hint="cs"/>
          <w:rtl/>
        </w:rPr>
        <w:t>ולא היו</w:t>
      </w:r>
      <w:r w:rsidRPr="007E5829">
        <w:rPr>
          <w:rtl/>
        </w:rPr>
        <w:t xml:space="preserve"> פנויים להרחיב את מעגל הזכאים ומיצוי זכויותיהם של האנשים שלא פנו </w:t>
      </w:r>
      <w:r>
        <w:rPr>
          <w:rFonts w:hint="cs"/>
          <w:rtl/>
        </w:rPr>
        <w:t>למחלקות</w:t>
      </w:r>
      <w:r w:rsidRPr="007E5829">
        <w:rPr>
          <w:rtl/>
        </w:rPr>
        <w:t xml:space="preserve"> ביוזמתם.</w:t>
      </w:r>
      <w:r>
        <w:rPr>
          <w:rFonts w:hint="cs"/>
          <w:rtl/>
        </w:rPr>
        <w:t xml:space="preserve"> </w:t>
      </w:r>
      <w:r>
        <w:rPr>
          <w:rtl/>
        </w:rPr>
        <w:t xml:space="preserve">המצב כפי שהוא משתקף בביקורת זו מחייב את משרד הרווחה לפעול להרחבת השירותים הניתנים לאוכלוסיית האנשים עם מוגבלות, להתאים את השירותים והתעריפים לתפיסה החדשה של המשרד ולייחד מחשבה כוללת לנושא המוגנות של אנשים עם מוגבלות. מומלץ כי הגופים המופקדים על תחום המוגבלות - </w:t>
      </w:r>
      <w:r>
        <w:rPr>
          <w:rFonts w:hint="cs"/>
          <w:rtl/>
        </w:rPr>
        <w:t>ו</w:t>
      </w:r>
      <w:r>
        <w:rPr>
          <w:rtl/>
        </w:rPr>
        <w:t xml:space="preserve">בהם הרשויות המקומיות ומשרדי הרווחה, החינוך והפנים - יעמדו על הסיבות שהובילו לפערים הקיימים בין הרשויות ויגבשו פתרונות שיצמצמו פערים אלה. </w:t>
      </w:r>
      <w:r>
        <w:rPr>
          <w:rFonts w:hint="cs"/>
          <w:rtl/>
        </w:rPr>
        <w:t xml:space="preserve">בנושא הנגשת השירותים - </w:t>
      </w:r>
      <w:r>
        <w:rPr>
          <w:rtl/>
        </w:rPr>
        <w:t>לרשויות המקומיות מומלץ לנקוט פעילות יזומה</w:t>
      </w:r>
      <w:r>
        <w:rPr>
          <w:rFonts w:hint="cs"/>
          <w:rtl/>
        </w:rPr>
        <w:t>,</w:t>
      </w:r>
      <w:r>
        <w:rPr>
          <w:rtl/>
        </w:rPr>
        <w:t xml:space="preserve"> ובשיתוף משרד הרווחה לאמץ פתרונות </w:t>
      </w:r>
      <w:r>
        <w:rPr>
          <w:rFonts w:hint="cs"/>
          <w:rtl/>
        </w:rPr>
        <w:t>שיאפשרו</w:t>
      </w:r>
      <w:r>
        <w:rPr>
          <w:rtl/>
        </w:rPr>
        <w:t xml:space="preserve"> את הנגשת השירותים. כל אלה יביאו לשיפור ברמת השירותים שמספקות הרשויות המקומיות לאנשים עם מוגבלות ולהפחתת הנטל הבירוקרטי המוטל עליהם ועל בני משפחותיהם.</w:t>
      </w:r>
    </w:p>
    <w:p w:rsidR="00DA2309" w:rsidRPr="00D3150E" w:rsidP="00D3150E" w14:paraId="4BC1CFC6" w14:textId="58628A91">
      <w:pPr>
        <w:pStyle w:val="7190"/>
        <w:ind w:left="397"/>
        <w:rPr>
          <w:spacing w:val="-2"/>
          <w:rtl/>
        </w:rPr>
      </w:pPr>
      <w:r w:rsidRPr="00D3150E">
        <w:rPr>
          <w:spacing w:val="-2"/>
          <w:rtl/>
        </w:rPr>
        <w:t xml:space="preserve">לפעילות גופנית תרומה משמעותית לבני האדם, שכן היא גורמת להרגשה טובה, תורמת למניעת השמנה ומחלות כרוניות שונות ומשפרת את מצבם הגופני והנפשי הן של אנשים בריאים והן של הסובלים מבעיות בריאותיות, בכל גיל. לרשויות המקומיות </w:t>
      </w:r>
      <w:r w:rsidRPr="00D3150E">
        <w:rPr>
          <w:rFonts w:hint="cs"/>
          <w:spacing w:val="-2"/>
          <w:rtl/>
        </w:rPr>
        <w:t xml:space="preserve">יכולת </w:t>
      </w:r>
      <w:r w:rsidRPr="00D3150E">
        <w:rPr>
          <w:spacing w:val="-2"/>
          <w:rtl/>
        </w:rPr>
        <w:t xml:space="preserve">השפעה רבה על בריאות תושביהן בהיבטים של פעילות גופנית ושמירה על אורח חיים בריא, הן באמצעות תכנון המרחב </w:t>
      </w:r>
      <w:r w:rsidRPr="00D3150E">
        <w:rPr>
          <w:rFonts w:hint="cs"/>
          <w:spacing w:val="-2"/>
          <w:rtl/>
        </w:rPr>
        <w:t>ה</w:t>
      </w:r>
      <w:r w:rsidRPr="00D3150E">
        <w:rPr>
          <w:spacing w:val="-2"/>
          <w:rtl/>
        </w:rPr>
        <w:t>ציבורי שבתחומן והן בהשקעה ובארגון של פעילויות ספורט עממי.</w:t>
      </w:r>
      <w:r w:rsidRPr="00D3150E">
        <w:rPr>
          <w:rFonts w:hint="cs"/>
          <w:spacing w:val="-2"/>
          <w:sz w:val="19"/>
          <w:szCs w:val="19"/>
          <w:rtl/>
        </w:rPr>
        <w:t xml:space="preserve"> </w:t>
      </w:r>
      <w:r w:rsidRPr="00D3150E">
        <w:rPr>
          <w:rFonts w:hint="cs"/>
          <w:spacing w:val="-2"/>
          <w:rtl/>
        </w:rPr>
        <w:t>בביקורת בנושא</w:t>
      </w:r>
      <w:r w:rsidRPr="00D3150E">
        <w:rPr>
          <w:rFonts w:hint="cs"/>
          <w:spacing w:val="-2"/>
          <w:sz w:val="19"/>
          <w:szCs w:val="19"/>
          <w:rtl/>
        </w:rPr>
        <w:t xml:space="preserve"> </w:t>
      </w:r>
      <w:r w:rsidRPr="00D3150E">
        <w:rPr>
          <w:b/>
          <w:bCs/>
          <w:spacing w:val="-2"/>
          <w:rtl/>
        </w:rPr>
        <w:t>ספורט עממי ברשויות המקומיות - תכנון והשקעה</w:t>
      </w:r>
      <w:r w:rsidRPr="00D3150E">
        <w:rPr>
          <w:b/>
          <w:bCs/>
          <w:spacing w:val="-2"/>
          <w:sz w:val="19"/>
          <w:szCs w:val="19"/>
          <w:rtl/>
        </w:rPr>
        <w:t xml:space="preserve"> </w:t>
      </w:r>
      <w:r w:rsidRPr="00D3150E">
        <w:rPr>
          <w:spacing w:val="-2"/>
          <w:rtl/>
        </w:rPr>
        <w:t xml:space="preserve">נמצא כי תקציב התמיכות הכולל שהעביר מינהל הספורט בשנים 2019 - 2021 גדל בשיעור של כ-29% </w:t>
      </w:r>
      <w:r w:rsidR="00D3150E">
        <w:rPr>
          <w:spacing w:val="-2"/>
          <w:rtl/>
        </w:rPr>
        <w:br/>
      </w:r>
      <w:r w:rsidRPr="00D3150E">
        <w:rPr>
          <w:spacing w:val="-2"/>
          <w:rtl/>
        </w:rPr>
        <w:t xml:space="preserve">(מכ-389.5 מיליון ש"ח לכ-504 מיליון ש"ח), ואילו תקציב סל הספורט לרשויות המקומיות, שהוא עיקר התמיכה התקציבית של מינהל הספורט בפעילויות הספורט העממי ברשויות המקומיות, גדל באותן שנים בשיעור של כ-9.5% בלבד (מכ-52.8 מיליון ש"ח לכ-57.8 מיליון ש"ח). עוד נמצא כי חלקו של סל הספורט מתוך סך התמיכות של מינהל הספורט פחת </w:t>
      </w:r>
      <w:r w:rsidR="00270E99">
        <w:rPr>
          <w:spacing w:val="-2"/>
          <w:rtl/>
        </w:rPr>
        <w:br/>
      </w:r>
      <w:r w:rsidRPr="00D3150E">
        <w:rPr>
          <w:spacing w:val="-2"/>
          <w:rtl/>
        </w:rPr>
        <w:t>מ-13.6% בשנת 2019 ל-11.5% בשנת 2021. נמצא</w:t>
      </w:r>
      <w:r w:rsidRPr="00D3150E">
        <w:rPr>
          <w:rFonts w:hint="cs"/>
          <w:spacing w:val="-2"/>
          <w:rtl/>
        </w:rPr>
        <w:t xml:space="preserve"> גם</w:t>
      </w:r>
      <w:r w:rsidRPr="00D3150E">
        <w:rPr>
          <w:spacing w:val="-2"/>
          <w:rtl/>
        </w:rPr>
        <w:t xml:space="preserve"> כי עד מועד סיום הביקורת כ-70% מהרשויות המקומיות לא הצטרפו לתוכנית </w:t>
      </w:r>
      <w:r w:rsidRPr="00D3150E">
        <w:rPr>
          <w:rFonts w:hint="cs"/>
          <w:spacing w:val="-2"/>
          <w:rtl/>
        </w:rPr>
        <w:t xml:space="preserve">הלאומית </w:t>
      </w:r>
      <w:r w:rsidRPr="00D3150E">
        <w:rPr>
          <w:spacing w:val="-2"/>
          <w:rtl/>
        </w:rPr>
        <w:t>לקידום אורח חיים פעיל ובריא שאישרה הממשלה בנובמבר 2011.</w:t>
      </w:r>
      <w:r w:rsidRPr="00D3150E">
        <w:rPr>
          <w:rFonts w:hint="cs"/>
          <w:spacing w:val="-2"/>
          <w:rtl/>
        </w:rPr>
        <w:t xml:space="preserve"> משאלון שהפיץ משרד מבקר המדינה עלה כי</w:t>
      </w:r>
      <w:r w:rsidRPr="00D3150E">
        <w:rPr>
          <w:spacing w:val="-2"/>
          <w:rtl/>
        </w:rPr>
        <w:t xml:space="preserve"> 78% מהמשיבים העריכו שהרשות המקומית מעודדת את התושבים לעסוק בפעילות גופנית במידה בינונית (39%) ומועטה (39%), ו-22% מהמשיבים העריכו שהרשות המקומית מעודדת את התושבים לעסוק בפעילות גופנית במידה רבה. נמצא כי 41% היו מרוצים במידה מועטה מהיצע פעילויות הספורט שמארגנת הרשות, 27% במידה בינונית ו-12% בלבד היו מרוצים</w:t>
      </w:r>
      <w:r w:rsidRPr="00D3150E">
        <w:rPr>
          <w:rFonts w:hint="cs"/>
          <w:spacing w:val="-2"/>
          <w:rtl/>
        </w:rPr>
        <w:t xml:space="preserve"> מההיצע</w:t>
      </w:r>
      <w:r w:rsidRPr="00D3150E">
        <w:rPr>
          <w:spacing w:val="-2"/>
          <w:rtl/>
        </w:rPr>
        <w:t xml:space="preserve"> במידה רבה.</w:t>
      </w:r>
      <w:r w:rsidRPr="00D3150E">
        <w:rPr>
          <w:rFonts w:hint="cs"/>
          <w:spacing w:val="-2"/>
          <w:rtl/>
        </w:rPr>
        <w:t xml:space="preserve"> עוד עלה כי </w:t>
      </w:r>
      <w:r w:rsidRPr="00D3150E">
        <w:rPr>
          <w:spacing w:val="-2"/>
          <w:rtl/>
        </w:rPr>
        <w:t xml:space="preserve">התמיכה השנתית הממוצעת לתושב של מינהל הספורט באמצעות רכיבי סל הספורט הקשורים לספורט עממי בשנים 2018 - 2021 ברשויות שנבדקו נעה בין 1.2 ש"ח ל-9.7 ש"ח לתושב. </w:t>
      </w:r>
      <w:r w:rsidRPr="00D3150E">
        <w:rPr>
          <w:rFonts w:hint="cs"/>
          <w:spacing w:val="-2"/>
          <w:rtl/>
        </w:rPr>
        <w:t xml:space="preserve">הביקורת הצביעה </w:t>
      </w:r>
      <w:r w:rsidRPr="00D3150E">
        <w:rPr>
          <w:spacing w:val="-2"/>
          <w:rtl/>
        </w:rPr>
        <w:t>על השונוּת במספר, במגוון ובאופן הפריסה של מתקני הספורט ברשויות ועל חוסר במתקנים בכמה מהן. יוצא אפוא כי הרשויות המקומיות פועלות לקידום הספורט העממי בהתאם ליכולתן הכלכלית ולפי סדרי העדיפויות שהן קובעות לעצמן, אף שהן רואות בכך נושא בעל חשיבות רבה לטובת התושבים. מומלץ כי הגורמים הרלוונטיים - ובהם משרד התרבות והספורט, משרד הבריאות, משרד החינוך ונציגי הרשויות המקומיות - ישקלו הקמת גוף מתאם או מרכֵּז שיגבש מדיניות לאומית כוללת וארוכת טווח לקידום הספורט העממי בקרב תושבי ישראל, לשם הגדלת מספר התושבים הפעילים בספורט ולמען בריאותם ורווחתם</w:t>
      </w:r>
      <w:r w:rsidRPr="00D3150E">
        <w:rPr>
          <w:rFonts w:hint="cs"/>
          <w:spacing w:val="-2"/>
          <w:rtl/>
        </w:rPr>
        <w:t xml:space="preserve"> של כלל התושבים</w:t>
      </w:r>
      <w:r w:rsidRPr="00D3150E">
        <w:rPr>
          <w:spacing w:val="-2"/>
          <w:rtl/>
        </w:rPr>
        <w:t>. עוד מומלץ כי בהיעדר מדיניות ואסטרטגיה לאומית לקידום הספורט העממי, הרשויות המקומיות ינצלו את כלֵי התכנון העומדים לרשותן לקידום אורח חיים פעיל ובריא בקרב תושביהן, יבדקו את הצרכים ואת הרצונות של התושבים לשם קבלת החלטות מיטביות בארגון הפעילויות של הספורט העממי ובהשקעה במתקני ספורט ויפעלו על פי תוכניות סדורות שיאמצו. כמו כן מומלץ כי הרשויות המקומיות יפרסמו לתושביהן את המידע על מתקני הספורט שבתחומן ויאפשרו להם להשתמש במתקנים אלו באופן שוויוני ועל פי קריטריונים ברורים.</w:t>
      </w:r>
    </w:p>
    <w:p w:rsidR="00DA2309" w:rsidP="00D3150E" w14:paraId="654CADAD" w14:textId="0784C2F6">
      <w:pPr>
        <w:pStyle w:val="7190"/>
        <w:ind w:left="397"/>
        <w:rPr>
          <w:rtl/>
        </w:rPr>
      </w:pPr>
      <w:r>
        <w:rPr>
          <w:rtl/>
        </w:rPr>
        <w:t xml:space="preserve">הזכות </w:t>
      </w:r>
      <w:r w:rsidRPr="00382B3A">
        <w:rPr>
          <w:rFonts w:eastAsia="Calibri"/>
          <w:rtl/>
        </w:rPr>
        <w:t>לחינוך</w:t>
      </w:r>
      <w:r>
        <w:rPr>
          <w:rtl/>
        </w:rPr>
        <w:t xml:space="preserve"> נחשבת זכות יסוד במדינת ישראל ובעולם. לפיכך יש חשיבות רבה בהקמת מערכת חינוך ובתמיכה בה כחלק מהשירות לאזרחים. השקעה בתחזוקה מיטבית של מוסדות החינוך, איתור מפגעי בטיחות בתחומם וטיפול בהם</w:t>
      </w:r>
      <w:r w:rsidR="001D5633">
        <w:rPr>
          <w:rFonts w:hint="cs"/>
          <w:rtl/>
        </w:rPr>
        <w:t xml:space="preserve"> </w:t>
      </w:r>
      <w:r>
        <w:rPr>
          <w:rtl/>
        </w:rPr>
        <w:t>הם תנאי שעל הרשויות המקומיות לקיימו כדי לשמור על שלומם של כל הבאים בשערי המוסדות ולהבטיח סביבה לימודית נאותה, וכך לחתור לשיפור הישגי התלמידים.</w:t>
      </w:r>
      <w:r>
        <w:rPr>
          <w:rFonts w:hint="cs"/>
          <w:rtl/>
        </w:rPr>
        <w:t xml:space="preserve"> בביקורת בנושא </w:t>
      </w:r>
      <w:r w:rsidRPr="008F3AAE">
        <w:rPr>
          <w:b/>
          <w:bCs/>
          <w:rtl/>
        </w:rPr>
        <w:t>תחזוקה ובטיחות של מוסדות חינוך - בתי ספר על</w:t>
      </w:r>
      <w:r>
        <w:rPr>
          <w:rFonts w:hint="cs"/>
          <w:b/>
          <w:bCs/>
          <w:rtl/>
        </w:rPr>
        <w:t>-</w:t>
      </w:r>
      <w:r w:rsidRPr="008F3AAE">
        <w:rPr>
          <w:b/>
          <w:bCs/>
          <w:rtl/>
        </w:rPr>
        <w:t>יסודיים</w:t>
      </w:r>
      <w:r>
        <w:rPr>
          <w:rFonts w:hint="cs"/>
          <w:b/>
          <w:bCs/>
          <w:rtl/>
        </w:rPr>
        <w:t xml:space="preserve"> </w:t>
      </w:r>
      <w:r>
        <w:rPr>
          <w:rtl/>
        </w:rPr>
        <w:t>הועלו ליקויים שונים בתחום תחזוקת בתי הספר, ובהם נזילות ורטיבות, שירותים מוזנחים</w:t>
      </w:r>
      <w:r>
        <w:rPr>
          <w:rFonts w:hint="cs"/>
          <w:rtl/>
        </w:rPr>
        <w:t>,</w:t>
      </w:r>
      <w:r>
        <w:rPr>
          <w:rtl/>
        </w:rPr>
        <w:t xml:space="preserve"> מזגנים לא-תקינים, תקלות בחשמל ובתאורה, מחסור בשטחי הצללה, שולחנות וכיסאות ישנים ומחסור במרחבי למידה. כמו כן נמצאו ליקויי בטיחות בבתי הספר שנבדקו, ובכללם ליקויי בטיחות חוזרים במבדקים השנתיים, אי</w:t>
      </w:r>
      <w:r>
        <w:rPr>
          <w:rFonts w:hint="cs"/>
          <w:rtl/>
        </w:rPr>
        <w:t>-</w:t>
      </w:r>
      <w:r>
        <w:rPr>
          <w:rtl/>
        </w:rPr>
        <w:t>הקפדה על עריכת מלוא הבדיקות התקופתיות הנדרשות ובתדירות הנדרשת למבנים ולמתקנים, וכן ליקויים ממושכים בחיבור לחשמל, בדרכי הגישה לבתי הספר וליקויי בטיחות במעבדות.</w:t>
      </w:r>
      <w:r>
        <w:rPr>
          <w:rFonts w:hint="cs"/>
          <w:rtl/>
        </w:rPr>
        <w:t xml:space="preserve"> </w:t>
      </w:r>
      <w:r>
        <w:rPr>
          <w:rtl/>
        </w:rPr>
        <w:t xml:space="preserve">משרד מבקר המדינה ממליץ לרשויות המקומיות שנבדקו לשפר ולהגביר את פעילותן </w:t>
      </w:r>
      <w:r>
        <w:rPr>
          <w:rFonts w:hint="cs"/>
          <w:rtl/>
        </w:rPr>
        <w:t xml:space="preserve">בכל הנוגע </w:t>
      </w:r>
      <w:r>
        <w:rPr>
          <w:rtl/>
        </w:rPr>
        <w:t xml:space="preserve">לתחזוקת מוסדות החינוך ואת טיפולן </w:t>
      </w:r>
      <w:r>
        <w:rPr>
          <w:rFonts w:hint="cs"/>
          <w:rtl/>
        </w:rPr>
        <w:t>ב</w:t>
      </w:r>
      <w:r>
        <w:rPr>
          <w:rtl/>
        </w:rPr>
        <w:t xml:space="preserve">הסדרת מפגעי הבטיחות למען הבטחת סביבה לימודית מיטבית ובטוחה לתלמידיהן. על הרשויות המקומיות לקבוע נוהלי עבודה המגדירים את יחסי הגומלין ואת חלוקת האחריות בין הגורמים המעורבים בנושא; לבצע בקרה ופיקוח על הטיפול בפניות בנושא התחזוקה והבטיחות בבתי הספר; לערוך את כל בדיקות הבטיחות התקופתיות ולדאוג לקבלת כל אישורי הבטיחות המקצועיים בהתאם להנחיות משרד החינוך. </w:t>
      </w:r>
    </w:p>
    <w:p w:rsidR="00DA2309" w:rsidP="00D3150E" w14:paraId="49AFC261" w14:textId="77777777">
      <w:pPr>
        <w:pStyle w:val="7190"/>
        <w:ind w:left="397"/>
        <w:rPr>
          <w:b/>
          <w:bCs/>
          <w:rtl/>
        </w:rPr>
      </w:pPr>
      <w:r w:rsidRPr="00053CEB">
        <w:rPr>
          <w:rFonts w:hint="cs"/>
          <w:b/>
          <w:rtl/>
        </w:rPr>
        <w:t xml:space="preserve">מעקב אחר תיקון ליקויים שהועלו </w:t>
      </w:r>
      <w:r w:rsidRPr="0093407E">
        <w:rPr>
          <w:rFonts w:hint="cs"/>
          <w:rtl/>
        </w:rPr>
        <w:t>בדוחות</w:t>
      </w:r>
      <w:r w:rsidRPr="00053CEB">
        <w:rPr>
          <w:rFonts w:hint="cs"/>
          <w:b/>
          <w:rtl/>
        </w:rPr>
        <w:t xml:space="preserve"> קודמים הוא כלי חשוב שמטרתו לוודא כי הגופים המבוקרים אכן </w:t>
      </w:r>
      <w:r w:rsidRPr="00382B3A">
        <w:rPr>
          <w:rFonts w:eastAsia="Calibri" w:hint="cs"/>
          <w:rtl/>
        </w:rPr>
        <w:t>תיקנו</w:t>
      </w:r>
      <w:r w:rsidRPr="00053CEB">
        <w:rPr>
          <w:rFonts w:hint="cs"/>
          <w:b/>
          <w:rtl/>
        </w:rPr>
        <w:t xml:space="preserve"> את הנדרש. לפיכך פעלנו להרחיב את היקף ביקורות המעקב ולשכלל את אופן ביצוען. בדוח זה מובאים ממצאים של </w:t>
      </w:r>
      <w:r>
        <w:rPr>
          <w:rFonts w:hint="cs"/>
          <w:b/>
          <w:rtl/>
        </w:rPr>
        <w:t>ארבע</w:t>
      </w:r>
      <w:r w:rsidRPr="00053CEB">
        <w:rPr>
          <w:rFonts w:hint="cs"/>
          <w:b/>
          <w:rtl/>
        </w:rPr>
        <w:t xml:space="preserve"> ביקור</w:t>
      </w:r>
      <w:r>
        <w:rPr>
          <w:rFonts w:hint="cs"/>
          <w:b/>
          <w:rtl/>
        </w:rPr>
        <w:t>ו</w:t>
      </w:r>
      <w:r w:rsidRPr="00053CEB">
        <w:rPr>
          <w:rFonts w:hint="cs"/>
          <w:b/>
          <w:rtl/>
        </w:rPr>
        <w:t xml:space="preserve">ת מעקב: </w:t>
      </w:r>
      <w:r w:rsidRPr="00FF44BC">
        <w:rPr>
          <w:b/>
          <w:bCs/>
          <w:rtl/>
        </w:rPr>
        <w:t>המבקר ברשות המקומית - תפקידו והתנהלותו</w:t>
      </w:r>
      <w:r>
        <w:rPr>
          <w:rFonts w:hint="cs"/>
          <w:b/>
          <w:bCs/>
          <w:rtl/>
        </w:rPr>
        <w:t>;</w:t>
      </w:r>
      <w:r w:rsidRPr="00FF44BC">
        <w:rPr>
          <w:b/>
          <w:bCs/>
          <w:rtl/>
        </w:rPr>
        <w:t xml:space="preserve"> טיפול הרשויות המקומיות בהטרדות מיניות ובמניעתן</w:t>
      </w:r>
      <w:r>
        <w:rPr>
          <w:rFonts w:hint="cs"/>
          <w:b/>
          <w:bCs/>
          <w:rtl/>
        </w:rPr>
        <w:t>;</w:t>
      </w:r>
      <w:r w:rsidRPr="00FF44BC">
        <w:rPr>
          <w:b/>
          <w:bCs/>
          <w:rtl/>
        </w:rPr>
        <w:t xml:space="preserve"> העסקת יועצים חיצוניים על ידי רשויות מקומיות</w:t>
      </w:r>
      <w:r>
        <w:rPr>
          <w:rFonts w:hint="cs"/>
          <w:b/>
          <w:bCs/>
          <w:rtl/>
        </w:rPr>
        <w:t xml:space="preserve">; </w:t>
      </w:r>
      <w:r w:rsidRPr="00FF44BC">
        <w:rPr>
          <w:b/>
          <w:bCs/>
          <w:rtl/>
        </w:rPr>
        <w:t>פעולות להגברת הבטיחות בדרכים בתחומיהן של רשויות מקומיות בחברה הערבית</w:t>
      </w:r>
      <w:r>
        <w:rPr>
          <w:rFonts w:hint="cs"/>
          <w:b/>
          <w:bCs/>
          <w:rtl/>
        </w:rPr>
        <w:t>.</w:t>
      </w:r>
    </w:p>
    <w:p w:rsidR="00DA2309" w:rsidRPr="00053CEB" w:rsidP="0093407E" w14:paraId="76C0D8BA" w14:textId="77777777">
      <w:pPr>
        <w:pStyle w:val="7190"/>
        <w:rPr>
          <w:b/>
          <w:rtl/>
        </w:rPr>
      </w:pPr>
      <w:r w:rsidRPr="00053CEB">
        <w:rPr>
          <w:rFonts w:hint="cs"/>
          <w:b/>
          <w:rtl/>
        </w:rPr>
        <w:t xml:space="preserve">הדוח מקיף נושאים מגוונים, ומבוא זה עוסק רק במקצת הפרקים המופיעים בו. כל אחד ואחד מפרקי </w:t>
      </w:r>
      <w:r>
        <w:rPr>
          <w:rFonts w:hint="cs"/>
          <w:b/>
          <w:rtl/>
        </w:rPr>
        <w:t>ה</w:t>
      </w:r>
      <w:r w:rsidRPr="00053CEB">
        <w:rPr>
          <w:rFonts w:hint="cs"/>
          <w:b/>
          <w:rtl/>
        </w:rPr>
        <w:t xml:space="preserve">דוח </w:t>
      </w:r>
      <w:r w:rsidRPr="00382B3A">
        <w:rPr>
          <w:rFonts w:eastAsia="Calibri" w:hint="cs"/>
          <w:rtl/>
        </w:rPr>
        <w:t>פותח</w:t>
      </w:r>
      <w:r w:rsidRPr="00053CEB">
        <w:rPr>
          <w:rFonts w:hint="cs"/>
          <w:b/>
          <w:rtl/>
        </w:rPr>
        <w:t xml:space="preserve"> לפני הציבור, </w:t>
      </w:r>
      <w:r w:rsidRPr="0093407E">
        <w:rPr>
          <w:rFonts w:hint="cs"/>
          <w:rtl/>
        </w:rPr>
        <w:t>ובתוכו</w:t>
      </w:r>
      <w:r w:rsidRPr="00053CEB">
        <w:rPr>
          <w:rFonts w:hint="cs"/>
          <w:b/>
          <w:rtl/>
        </w:rPr>
        <w:t xml:space="preserve"> מקבלי ההחלטות, צוהר לפעילות ה</w:t>
      </w:r>
      <w:r>
        <w:rPr>
          <w:rFonts w:hint="cs"/>
          <w:b/>
          <w:rtl/>
        </w:rPr>
        <w:t xml:space="preserve">שלטון המקומי בישראל, שכן </w:t>
      </w:r>
      <w:r w:rsidRPr="00F9077D">
        <w:rPr>
          <w:b/>
          <w:rtl/>
        </w:rPr>
        <w:t xml:space="preserve">לשירותים שהרשות המקומית מספקת יש השפעה ישירה על איכות חייהם ורווחתם של התושבים ועל מצבם הכלכלי והחברתי. </w:t>
      </w:r>
    </w:p>
    <w:p w:rsidR="00DA2309" w:rsidRPr="00053CEB" w:rsidP="0093407E" w14:paraId="5F476170" w14:textId="77777777">
      <w:pPr>
        <w:pStyle w:val="7190"/>
        <w:rPr>
          <w:bCs/>
          <w:rtl/>
        </w:rPr>
      </w:pPr>
      <w:r w:rsidRPr="00053CEB">
        <w:rPr>
          <w:rFonts w:hint="cs"/>
          <w:bCs/>
          <w:rtl/>
        </w:rPr>
        <w:t xml:space="preserve">הכנתו של הדוח הצריכה מאמץ רב של עובדי </w:t>
      </w:r>
      <w:r>
        <w:rPr>
          <w:rFonts w:hint="cs"/>
          <w:bCs/>
          <w:rtl/>
        </w:rPr>
        <w:t xml:space="preserve">החטיבה לביקורת השלטון המקומי ושל עובדים בחטיבת המטה </w:t>
      </w:r>
      <w:r w:rsidRPr="0093407E">
        <w:rPr>
          <w:rFonts w:hint="cs"/>
          <w:b/>
          <w:bCs/>
          <w:rtl/>
        </w:rPr>
        <w:t>במשרד</w:t>
      </w:r>
      <w:r w:rsidRPr="00053CEB">
        <w:rPr>
          <w:rFonts w:hint="cs"/>
          <w:bCs/>
          <w:rtl/>
        </w:rPr>
        <w:t xml:space="preserve"> מבקר המדינה</w:t>
      </w:r>
      <w:r>
        <w:rPr>
          <w:rFonts w:hint="cs"/>
          <w:bCs/>
          <w:rtl/>
        </w:rPr>
        <w:t>. כל אלה</w:t>
      </w:r>
      <w:r w:rsidRPr="00053CEB">
        <w:rPr>
          <w:rFonts w:hint="cs"/>
          <w:bCs/>
          <w:rtl/>
        </w:rPr>
        <w:t xml:space="preserve"> עמלו על הכנתו במלוא המקצועיות, היסודיות, ההגינות והקפדנות, </w:t>
      </w:r>
      <w:r>
        <w:rPr>
          <w:rFonts w:hint="cs"/>
          <w:bCs/>
          <w:rtl/>
        </w:rPr>
        <w:t xml:space="preserve">והם </w:t>
      </w:r>
      <w:r w:rsidRPr="00053CEB">
        <w:rPr>
          <w:rFonts w:hint="cs"/>
          <w:bCs/>
          <w:rtl/>
        </w:rPr>
        <w:t>ממלאים את תפקידם הציבורי מתוך הרגשת שליחות של ממש. תודתי נתונה להם.</w:t>
      </w:r>
    </w:p>
    <w:p w:rsidR="00A0272B" w:rsidRPr="004076CC" w:rsidP="0093407E" w14:paraId="74C7DE95" w14:textId="5071E7EB">
      <w:pPr>
        <w:pStyle w:val="7190"/>
      </w:pPr>
      <w:r w:rsidRPr="00053CEB">
        <w:rPr>
          <w:rFonts w:hint="cs"/>
          <w:b/>
          <w:rtl/>
        </w:rPr>
        <w:t xml:space="preserve">חובתם של </w:t>
      </w:r>
      <w:r w:rsidRPr="00382B3A">
        <w:rPr>
          <w:rFonts w:eastAsia="Calibri" w:hint="cs"/>
          <w:rtl/>
        </w:rPr>
        <w:t>הגופים</w:t>
      </w:r>
      <w:r w:rsidRPr="00053CEB">
        <w:rPr>
          <w:rFonts w:hint="cs"/>
          <w:b/>
          <w:rtl/>
        </w:rPr>
        <w:t xml:space="preserve"> המבוקרים היא לפעול בדרך מהירה ויעילה לתיקון הליקויים שהועלו בדוח זה כדי לקדם את השירות הציבורי </w:t>
      </w:r>
      <w:r w:rsidRPr="0093407E">
        <w:rPr>
          <w:rFonts w:hint="cs"/>
          <w:rtl/>
        </w:rPr>
        <w:t>בישראל</w:t>
      </w:r>
      <w:r w:rsidRPr="00053CEB">
        <w:rPr>
          <w:rFonts w:hint="cs"/>
          <w:b/>
          <w:rtl/>
        </w:rPr>
        <w:t xml:space="preserve"> ובכך גם לשפר את איכות החיים של תושבי ישראל</w:t>
      </w:r>
      <w:r w:rsidRPr="004076CC" w:rsidR="00654139">
        <w:rPr>
          <w:rFonts w:hint="cs"/>
          <w:rtl/>
        </w:rPr>
        <w:t xml:space="preserve">. </w:t>
      </w:r>
    </w:p>
    <w:p w:rsidR="0093407E" w:rsidP="00A0272B" w14:paraId="560EF040" w14:textId="77777777">
      <w:pPr>
        <w:spacing w:line="240" w:lineRule="exact"/>
        <w:rPr>
          <w:rFonts w:ascii="Tahoma" w:eastAsia="Calibri" w:hAnsi="Tahoma" w:cs="Tahoma"/>
          <w:sz w:val="18"/>
          <w:szCs w:val="18"/>
        </w:rPr>
      </w:pPr>
    </w:p>
    <w:p w:rsidR="004076CC" w:rsidRPr="006613B0" w:rsidP="00A0272B" w14:paraId="05160B30" w14:textId="77777777">
      <w:pPr>
        <w:spacing w:line="240" w:lineRule="exact"/>
        <w:rPr>
          <w:rFonts w:ascii="Tahoma" w:eastAsia="Calibri" w:hAnsi="Tahoma" w:cs="Tahoma"/>
          <w:sz w:val="18"/>
          <w:szCs w:val="18"/>
          <w:rtl/>
        </w:rPr>
      </w:pPr>
    </w:p>
    <w:p w:rsidR="00A0272B" w:rsidRPr="00D70CA7" w:rsidP="00A0272B" w14:paraId="32B2E14E" w14:textId="77777777">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06083"/>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תמונה 29"/>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06083"/>
                    </a:xfrm>
                    <a:prstGeom prst="rect">
                      <a:avLst/>
                    </a:prstGeom>
                  </pic:spPr>
                </pic:pic>
              </a:graphicData>
            </a:graphic>
          </wp:inline>
        </w:drawing>
      </w:r>
    </w:p>
    <w:p w:rsidR="00A0272B" w:rsidRPr="001A7FEE" w:rsidP="00A0272B" w14:paraId="137A4BD3" w14:textId="77777777">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rsidR="00A0272B" w:rsidRPr="001A7FEE" w:rsidP="00CA1F53" w14:paraId="55BB9300" w14:textId="77777777">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rsidR="004076CC" w:rsidRPr="0001268F" w:rsidP="0001268F" w14:paraId="5765A0CF" w14:textId="2B7E90F3">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rsidR="0093407E" w:rsidP="00A0272B" w14:paraId="123B364C" w14:textId="77777777">
      <w:pPr>
        <w:pStyle w:val="7190"/>
        <w:spacing w:line="360" w:lineRule="auto"/>
        <w:rPr>
          <w:rtl/>
        </w:rPr>
      </w:pPr>
    </w:p>
    <w:p w:rsidR="0001268F" w:rsidP="00A0272B" w14:paraId="51BE340D" w14:textId="5149EC52">
      <w:pPr>
        <w:pStyle w:val="7190"/>
        <w:spacing w:line="360" w:lineRule="auto"/>
      </w:pPr>
      <w:r w:rsidRPr="00720CC7">
        <w:rPr>
          <w:rFonts w:hint="cs"/>
          <w:rtl/>
        </w:rPr>
        <w:t xml:space="preserve">ירושלים, </w:t>
      </w:r>
      <w:r w:rsidR="00DD6839">
        <w:rPr>
          <w:rFonts w:hint="cs"/>
          <w:rtl/>
        </w:rPr>
        <w:t>תמוז</w:t>
      </w:r>
      <w:r w:rsidRPr="00720CC7">
        <w:rPr>
          <w:rFonts w:hint="cs"/>
          <w:rtl/>
        </w:rPr>
        <w:t xml:space="preserve"> התש</w:t>
      </w:r>
      <w:r w:rsidR="00F347C5">
        <w:rPr>
          <w:rFonts w:hint="cs"/>
          <w:rtl/>
        </w:rPr>
        <w:t>פ</w:t>
      </w:r>
      <w:r w:rsidRPr="00720CC7">
        <w:rPr>
          <w:rFonts w:hint="cs"/>
          <w:rtl/>
        </w:rPr>
        <w:t>"</w:t>
      </w:r>
      <w:r w:rsidR="00F347C5">
        <w:rPr>
          <w:rFonts w:hint="cs"/>
          <w:rtl/>
        </w:rPr>
        <w:t>ג</w:t>
      </w:r>
      <w:r w:rsidRPr="00720CC7">
        <w:rPr>
          <w:rFonts w:hint="cs"/>
          <w:rtl/>
        </w:rPr>
        <w:t xml:space="preserve">, </w:t>
      </w:r>
      <w:r w:rsidR="00DD6839">
        <w:rPr>
          <w:rFonts w:hint="cs"/>
          <w:rtl/>
        </w:rPr>
        <w:t>יולי</w:t>
      </w:r>
      <w:r w:rsidRPr="00720CC7">
        <w:rPr>
          <w:rFonts w:hint="cs"/>
          <w:rtl/>
        </w:rPr>
        <w:t xml:space="preserve"> </w:t>
      </w:r>
      <w:r w:rsidR="00BE3F2A">
        <w:rPr>
          <w:rFonts w:hint="cs"/>
          <w:rtl/>
        </w:rPr>
        <w:t>202</w:t>
      </w:r>
      <w:r w:rsidR="00FE5CCB">
        <w:rPr>
          <w:rFonts w:hint="cs"/>
          <w:rtl/>
        </w:rPr>
        <w:t>3</w:t>
      </w:r>
    </w:p>
    <w:p w:rsidR="00DD6839" w14:paraId="1D0F75F0" w14:textId="3E55C2D4">
      <w:pPr>
        <w:bidi w:val="0"/>
        <w:spacing w:after="200" w:line="276" w:lineRule="auto"/>
        <w:rPr>
          <w:rFonts w:ascii="Tahoma" w:hAnsi="Tahoma" w:cs="Tahoma"/>
          <w:color w:val="0D0D0D" w:themeColor="text1" w:themeTint="F2"/>
          <w:sz w:val="18"/>
          <w:szCs w:val="18"/>
        </w:rPr>
      </w:pPr>
      <w:r>
        <w:br w:type="page"/>
      </w:r>
      <w:r w:rsidR="0093407E">
        <w:rPr>
          <w:rFonts w:ascii="Tahoma" w:hAnsi="Tahoma" w:cs="Tahoma"/>
          <w:noProof/>
          <w:color w:val="0D0D0D" w:themeColor="text1" w:themeTint="F2"/>
          <w:sz w:val="18"/>
          <w:szCs w:val="18"/>
        </w:rPr>
        <mc:AlternateContent>
          <mc:Choice Requires="wps">
            <w:drawing>
              <wp:anchor distT="0" distB="0" distL="114300" distR="114300" simplePos="0" relativeHeight="251687936" behindDoc="0" locked="0" layoutInCell="1" allowOverlap="1">
                <wp:simplePos x="0" y="0"/>
                <wp:positionH relativeFrom="column">
                  <wp:posOffset>-1435030</wp:posOffset>
                </wp:positionH>
                <wp:positionV relativeFrom="paragraph">
                  <wp:posOffset>-887468</wp:posOffset>
                </wp:positionV>
                <wp:extent cx="6126701" cy="1133061"/>
                <wp:effectExtent l="12700" t="12700" r="7620" b="10160"/>
                <wp:wrapNone/>
                <wp:docPr id="552795869"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6126701" cy="113306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 o:spid="_x0000_s1035" style="width:482.4pt;height:89.2pt;margin-top:-69.9pt;margin-left:-113pt;mso-wrap-distance-bottom:0;mso-wrap-distance-left:9pt;mso-wrap-distance-right:9pt;mso-wrap-distance-top:0;mso-wrap-style:square;position:absolute;visibility:visible;v-text-anchor:middle;z-index:251688960" fillcolor="white" strokecolor="white" strokeweight="2pt"/>
            </w:pict>
          </mc:Fallback>
        </mc:AlternateContent>
      </w:r>
      <w:r>
        <w:rPr>
          <w:rFonts w:ascii="Tahoma" w:hAnsi="Tahoma" w:cs="Tahoma"/>
          <w:noProof/>
          <w:color w:val="0D0D0D" w:themeColor="text1" w:themeTint="F2"/>
          <w:sz w:val="18"/>
          <w:szCs w:val="18"/>
        </w:rPr>
        <mc:AlternateContent>
          <mc:Choice Requires="wps">
            <w:drawing>
              <wp:anchor distT="0" distB="0" distL="114300" distR="114300" simplePos="0" relativeHeight="251689984" behindDoc="0" locked="0" layoutInCell="1" allowOverlap="1">
                <wp:simplePos x="0" y="0"/>
                <wp:positionH relativeFrom="column">
                  <wp:posOffset>4118721</wp:posOffset>
                </wp:positionH>
                <wp:positionV relativeFrom="paragraph">
                  <wp:posOffset>6715346</wp:posOffset>
                </wp:positionV>
                <wp:extent cx="1056971" cy="1133061"/>
                <wp:effectExtent l="12700" t="12700" r="10160" b="10160"/>
                <wp:wrapNone/>
                <wp:docPr id="101641861"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1056971" cy="113306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3" o:spid="_x0000_s1036" style="width:83.25pt;height:89.2pt;margin-top:528.75pt;margin-left:324.3pt;mso-width-percent:0;mso-width-relative:margin;mso-wrap-distance-bottom:0;mso-wrap-distance-left:9pt;mso-wrap-distance-right:9pt;mso-wrap-distance-top:0;mso-wrap-style:square;position:absolute;visibility:visible;v-text-anchor:middle;z-index:251691008" fillcolor="white" strokecolor="white" strokeweight="2pt"/>
            </w:pict>
          </mc:Fallback>
        </mc:AlternateContent>
      </w:r>
      <w:r>
        <w:rPr>
          <w:rFonts w:ascii="Tahoma" w:hAnsi="Tahoma" w:cs="Tahoma"/>
          <w:color w:val="0D0D0D" w:themeColor="text1" w:themeTint="F2"/>
          <w:sz w:val="18"/>
          <w:szCs w:val="18"/>
        </w:rPr>
        <w:br w:type="page"/>
      </w:r>
    </w:p>
    <w:p w:rsidR="0001268F" w14:paraId="2C84C9B5" w14:textId="77777777">
      <w:pPr>
        <w:bidi w:val="0"/>
        <w:spacing w:after="200" w:line="276" w:lineRule="auto"/>
        <w:rPr>
          <w:rFonts w:ascii="Tahoma" w:hAnsi="Tahoma" w:cs="Tahoma"/>
          <w:color w:val="0D0D0D" w:themeColor="text1" w:themeTint="F2"/>
          <w:sz w:val="18"/>
          <w:szCs w:val="18"/>
        </w:rPr>
      </w:pPr>
    </w:p>
    <w:p w:rsidR="002567BE" w:rsidRPr="007D6A9A" w:rsidP="007D6A9A" w14:paraId="2AEFF398" w14:textId="3AA9CFD9">
      <w:pPr>
        <w:pStyle w:val="71316"/>
        <w:spacing w:before="240" w:after="360"/>
        <w:rPr>
          <w:sz w:val="34"/>
          <w:szCs w:val="34"/>
          <w:rtl/>
        </w:rPr>
      </w:pPr>
      <w:r w:rsidRPr="007D6A9A">
        <w:rPr>
          <w:sz w:val="34"/>
          <w:szCs w:val="34"/>
          <w:rtl/>
        </w:rPr>
        <w:t xml:space="preserve">المقدمة </w:t>
      </w:r>
      <w:r w:rsidRPr="007D6A9A" w:rsidR="00D1100E">
        <w:rPr>
          <w:rFonts w:hint="cs"/>
          <w:sz w:val="34"/>
          <w:szCs w:val="34"/>
          <w:rtl/>
        </w:rPr>
        <w:t xml:space="preserve"> </w:t>
      </w:r>
    </w:p>
    <w:p w:rsidR="00696D27" w:rsidRPr="00696D27" w:rsidP="00696D27" w14:paraId="1C22D181" w14:textId="77777777">
      <w:pPr>
        <w:pStyle w:val="7190"/>
        <w:rPr>
          <w:b/>
          <w:rtl/>
          <w:lang w:val="ar"/>
        </w:rPr>
      </w:pPr>
      <w:r w:rsidRPr="00696D27">
        <w:rPr>
          <w:b/>
          <w:bCs/>
          <w:rtl/>
          <w:lang w:val="ar" w:bidi="ar-JO"/>
        </w:rPr>
        <w:t>تقرير</w:t>
      </w:r>
      <w:r w:rsidRPr="00696D27">
        <w:rPr>
          <w:b/>
          <w:bCs/>
          <w:rtl/>
          <w:lang w:val="ar"/>
        </w:rPr>
        <w:t xml:space="preserve"> </w:t>
      </w:r>
      <w:r w:rsidRPr="00696D27">
        <w:rPr>
          <w:b/>
          <w:bCs/>
          <w:rtl/>
          <w:lang w:val="ar" w:bidi="ar-JO"/>
        </w:rPr>
        <w:t>مراقبة</w:t>
      </w:r>
      <w:r w:rsidRPr="00696D27">
        <w:rPr>
          <w:b/>
          <w:bCs/>
          <w:rtl/>
          <w:lang w:val="ar"/>
        </w:rPr>
        <w:t xml:space="preserve"> </w:t>
      </w:r>
      <w:r w:rsidRPr="00696D27">
        <w:rPr>
          <w:b/>
          <w:bCs/>
          <w:rtl/>
          <w:lang w:val="ar" w:bidi="ar-JO"/>
        </w:rPr>
        <w:t>السلطات</w:t>
      </w:r>
      <w:r w:rsidRPr="00696D27">
        <w:rPr>
          <w:b/>
          <w:bCs/>
          <w:rtl/>
          <w:lang w:val="ar"/>
        </w:rPr>
        <w:t xml:space="preserve"> </w:t>
      </w:r>
      <w:r w:rsidRPr="00696D27">
        <w:rPr>
          <w:b/>
          <w:bCs/>
          <w:rtl/>
          <w:lang w:val="ar" w:bidi="ar-JO"/>
        </w:rPr>
        <w:t>المحلية</w:t>
      </w:r>
      <w:r w:rsidRPr="00696D27">
        <w:rPr>
          <w:b/>
          <w:bCs/>
          <w:rtl/>
          <w:lang w:val="ar"/>
        </w:rPr>
        <w:t xml:space="preserve"> </w:t>
      </w:r>
      <w:r w:rsidRPr="00696D27">
        <w:rPr>
          <w:b/>
          <w:bCs/>
          <w:rtl/>
          <w:lang w:val="ar" w:bidi="ar-JO"/>
        </w:rPr>
        <w:t>في</w:t>
      </w:r>
      <w:r w:rsidRPr="00696D27">
        <w:rPr>
          <w:b/>
          <w:bCs/>
          <w:rtl/>
          <w:lang w:val="ar"/>
        </w:rPr>
        <w:t xml:space="preserve"> </w:t>
      </w:r>
      <w:r w:rsidRPr="00696D27">
        <w:rPr>
          <w:b/>
          <w:bCs/>
          <w:rtl/>
          <w:lang w:val="ar" w:bidi="ar-JO"/>
        </w:rPr>
        <w:t>إسرائيل</w:t>
      </w:r>
      <w:r w:rsidRPr="00696D27">
        <w:rPr>
          <w:b/>
          <w:bCs/>
          <w:rtl/>
          <w:lang w:val="ar"/>
        </w:rPr>
        <w:t xml:space="preserve"> </w:t>
      </w:r>
      <w:r w:rsidRPr="00696D27">
        <w:rPr>
          <w:b/>
          <w:bCs/>
          <w:rtl/>
          <w:lang w:val="ar" w:bidi="ar-JO"/>
        </w:rPr>
        <w:t>لعام</w:t>
      </w:r>
      <w:r w:rsidRPr="00696D27">
        <w:rPr>
          <w:b/>
          <w:bCs/>
          <w:rtl/>
          <w:lang w:val="ar"/>
        </w:rPr>
        <w:t xml:space="preserve"> 2023</w:t>
      </w:r>
      <w:r w:rsidRPr="00696D27">
        <w:rPr>
          <w:rFonts w:hint="cs"/>
          <w:rtl/>
          <w:lang w:val="ar"/>
        </w:rPr>
        <w:t xml:space="preserve"> </w:t>
      </w:r>
      <w:r w:rsidRPr="00696D27">
        <w:rPr>
          <w:rFonts w:hint="cs"/>
          <w:b/>
          <w:rtl/>
          <w:lang w:val="ar" w:bidi="ar-JO"/>
        </w:rPr>
        <w:t>يتناول</w:t>
      </w:r>
      <w:r w:rsidRPr="00696D27">
        <w:rPr>
          <w:rFonts w:hint="cs"/>
          <w:b/>
          <w:rtl/>
          <w:lang w:val="ar"/>
        </w:rPr>
        <w:t xml:space="preserve"> </w:t>
      </w:r>
      <w:r w:rsidRPr="00696D27">
        <w:rPr>
          <w:rFonts w:hint="cs"/>
          <w:b/>
          <w:color w:val="0D0D0D"/>
          <w:rtl/>
          <w:lang w:val="ar" w:bidi="ar-JO"/>
        </w:rPr>
        <w:t>مجموعة</w:t>
      </w:r>
      <w:r w:rsidRPr="00696D27">
        <w:rPr>
          <w:rFonts w:hint="cs"/>
          <w:b/>
          <w:rtl/>
          <w:lang w:val="ar"/>
        </w:rPr>
        <w:t xml:space="preserve"> </w:t>
      </w:r>
      <w:r w:rsidRPr="00696D27">
        <w:rPr>
          <w:rFonts w:hint="cs"/>
          <w:b/>
          <w:rtl/>
          <w:lang w:val="ar" w:bidi="ar-JO"/>
        </w:rPr>
        <w:t>من</w:t>
      </w:r>
      <w:r w:rsidRPr="00696D27">
        <w:rPr>
          <w:rFonts w:hint="cs"/>
          <w:b/>
          <w:rtl/>
          <w:lang w:val="ar"/>
        </w:rPr>
        <w:t xml:space="preserve"> </w:t>
      </w:r>
      <w:r w:rsidRPr="00696D27">
        <w:rPr>
          <w:rFonts w:hint="cs"/>
          <w:b/>
          <w:rtl/>
          <w:lang w:val="ar" w:bidi="ar-JO"/>
        </w:rPr>
        <w:t>القضايا</w:t>
      </w:r>
      <w:r w:rsidRPr="00696D27">
        <w:rPr>
          <w:rFonts w:hint="cs"/>
          <w:b/>
          <w:rtl/>
          <w:lang w:val="ar"/>
        </w:rPr>
        <w:t xml:space="preserve"> </w:t>
      </w:r>
      <w:r w:rsidRPr="00696D27">
        <w:rPr>
          <w:rFonts w:hint="cs"/>
          <w:b/>
          <w:rtl/>
          <w:lang w:val="ar" w:bidi="ar-JO"/>
        </w:rPr>
        <w:t>التي</w:t>
      </w:r>
      <w:r w:rsidRPr="00696D27">
        <w:rPr>
          <w:rFonts w:hint="cs"/>
          <w:b/>
          <w:rtl/>
          <w:lang w:val="ar"/>
        </w:rPr>
        <w:t xml:space="preserve"> </w:t>
      </w:r>
      <w:r w:rsidRPr="00696D27">
        <w:rPr>
          <w:rFonts w:hint="cs"/>
          <w:b/>
          <w:rtl/>
          <w:lang w:val="ar" w:bidi="ar-JO"/>
        </w:rPr>
        <w:t>تقع</w:t>
      </w:r>
      <w:r w:rsidRPr="00696D27">
        <w:rPr>
          <w:rFonts w:hint="cs"/>
          <w:b/>
          <w:rtl/>
          <w:lang w:val="ar"/>
        </w:rPr>
        <w:t xml:space="preserve"> </w:t>
      </w:r>
      <w:r w:rsidRPr="00696D27">
        <w:rPr>
          <w:rFonts w:hint="cs"/>
          <w:b/>
          <w:rtl/>
          <w:lang w:val="ar" w:bidi="ar-JO"/>
        </w:rPr>
        <w:t>في</w:t>
      </w:r>
      <w:r w:rsidRPr="00696D27">
        <w:rPr>
          <w:rFonts w:hint="cs"/>
          <w:b/>
          <w:rtl/>
          <w:lang w:val="ar"/>
        </w:rPr>
        <w:t xml:space="preserve"> </w:t>
      </w:r>
      <w:r w:rsidRPr="00696D27">
        <w:rPr>
          <w:rFonts w:hint="cs"/>
          <w:b/>
          <w:rtl/>
          <w:lang w:val="ar" w:bidi="ar-JO"/>
        </w:rPr>
        <w:t>صميم</w:t>
      </w:r>
      <w:r w:rsidRPr="00696D27">
        <w:rPr>
          <w:rFonts w:hint="cs"/>
          <w:b/>
          <w:rtl/>
          <w:lang w:val="ar"/>
        </w:rPr>
        <w:t xml:space="preserve"> </w:t>
      </w:r>
      <w:r w:rsidRPr="00696D27">
        <w:rPr>
          <w:rFonts w:hint="cs"/>
          <w:b/>
          <w:rtl/>
          <w:lang w:val="ar" w:bidi="ar-JO"/>
        </w:rPr>
        <w:t>عمل</w:t>
      </w:r>
      <w:r w:rsidRPr="00696D27">
        <w:rPr>
          <w:rFonts w:hint="cs"/>
          <w:b/>
          <w:rtl/>
          <w:lang w:val="ar"/>
        </w:rPr>
        <w:t xml:space="preserve"> </w:t>
      </w:r>
      <w:r w:rsidRPr="00696D27">
        <w:rPr>
          <w:rFonts w:hint="cs"/>
          <w:b/>
          <w:rtl/>
          <w:lang w:val="ar" w:bidi="ar-JO"/>
        </w:rPr>
        <w:t>السلطات</w:t>
      </w:r>
      <w:r w:rsidRPr="00696D27">
        <w:rPr>
          <w:rFonts w:hint="cs"/>
          <w:b/>
          <w:rtl/>
          <w:lang w:val="ar"/>
        </w:rPr>
        <w:t xml:space="preserve"> </w:t>
      </w:r>
      <w:r w:rsidRPr="00696D27">
        <w:rPr>
          <w:rFonts w:hint="cs"/>
          <w:b/>
          <w:rtl/>
          <w:lang w:val="ar" w:bidi="ar-JO"/>
        </w:rPr>
        <w:t>المحلية</w:t>
      </w:r>
      <w:r w:rsidRPr="00696D27">
        <w:rPr>
          <w:rFonts w:hint="cs"/>
          <w:b/>
          <w:rtl/>
          <w:lang w:val="ar"/>
        </w:rPr>
        <w:t xml:space="preserve">. </w:t>
      </w:r>
    </w:p>
    <w:p w:rsidR="00696D27" w:rsidRPr="00696D27" w:rsidP="00696D27" w14:paraId="7ECBF45D" w14:textId="77777777">
      <w:pPr>
        <w:pStyle w:val="7190"/>
        <w:rPr>
          <w:b/>
          <w:rtl/>
          <w:lang w:val="ar"/>
        </w:rPr>
      </w:pPr>
      <w:r w:rsidRPr="00696D27">
        <w:rPr>
          <w:rFonts w:hint="cs"/>
          <w:b/>
          <w:rtl/>
          <w:lang w:val="ar" w:bidi="ar-JO"/>
        </w:rPr>
        <w:t>حيث</w:t>
      </w:r>
      <w:r w:rsidRPr="00696D27">
        <w:rPr>
          <w:rFonts w:hint="cs"/>
          <w:b/>
          <w:rtl/>
          <w:lang w:val="ar"/>
        </w:rPr>
        <w:t xml:space="preserve"> </w:t>
      </w:r>
      <w:r w:rsidRPr="00696D27">
        <w:rPr>
          <w:rFonts w:hint="cs"/>
          <w:b/>
          <w:rtl/>
          <w:lang w:val="ar" w:bidi="ar-JO"/>
        </w:rPr>
        <w:t>تتولى</w:t>
      </w:r>
      <w:r w:rsidRPr="00696D27">
        <w:rPr>
          <w:rFonts w:hint="cs"/>
          <w:b/>
          <w:rtl/>
          <w:lang w:val="ar"/>
        </w:rPr>
        <w:t xml:space="preserve"> </w:t>
      </w:r>
      <w:r w:rsidRPr="00696D27">
        <w:rPr>
          <w:rFonts w:hint="cs"/>
          <w:b/>
          <w:rtl/>
          <w:lang w:val="ar" w:bidi="ar-JO"/>
        </w:rPr>
        <w:t>السلطات</w:t>
      </w:r>
      <w:r w:rsidRPr="00696D27">
        <w:rPr>
          <w:rFonts w:hint="cs"/>
          <w:b/>
          <w:rtl/>
          <w:lang w:val="ar"/>
        </w:rPr>
        <w:t xml:space="preserve"> </w:t>
      </w:r>
      <w:r w:rsidRPr="00696D27">
        <w:rPr>
          <w:rFonts w:hint="cs"/>
          <w:b/>
          <w:rtl/>
          <w:lang w:val="ar" w:bidi="ar-JO"/>
        </w:rPr>
        <w:t>المحلية</w:t>
      </w:r>
      <w:r w:rsidRPr="00696D27">
        <w:rPr>
          <w:rFonts w:hint="cs"/>
          <w:b/>
          <w:rtl/>
          <w:lang w:val="ar"/>
        </w:rPr>
        <w:t xml:space="preserve"> </w:t>
      </w:r>
      <w:r w:rsidRPr="00696D27">
        <w:rPr>
          <w:rFonts w:hint="cs"/>
          <w:b/>
          <w:rtl/>
          <w:lang w:val="ar" w:bidi="ar-JO"/>
        </w:rPr>
        <w:t>في</w:t>
      </w:r>
      <w:r w:rsidRPr="00696D27">
        <w:rPr>
          <w:rFonts w:hint="cs"/>
          <w:b/>
          <w:rtl/>
          <w:lang w:val="ar"/>
        </w:rPr>
        <w:t xml:space="preserve"> </w:t>
      </w:r>
      <w:r w:rsidRPr="00696D27">
        <w:rPr>
          <w:rFonts w:hint="cs"/>
          <w:b/>
          <w:rtl/>
          <w:lang w:val="ar" w:bidi="ar-JO"/>
        </w:rPr>
        <w:t>إسرائيل</w:t>
      </w:r>
      <w:r w:rsidRPr="00696D27">
        <w:rPr>
          <w:rFonts w:hint="cs"/>
          <w:b/>
          <w:rtl/>
          <w:lang w:val="ar"/>
        </w:rPr>
        <w:t xml:space="preserve"> </w:t>
      </w:r>
      <w:r w:rsidRPr="00696D27">
        <w:rPr>
          <w:rFonts w:hint="cs"/>
          <w:b/>
          <w:rtl/>
          <w:lang w:val="ar" w:bidi="ar-JO"/>
        </w:rPr>
        <w:t>مسؤولية</w:t>
      </w:r>
      <w:r w:rsidRPr="00696D27">
        <w:rPr>
          <w:rFonts w:hint="cs"/>
          <w:b/>
          <w:rtl/>
          <w:lang w:val="ar"/>
        </w:rPr>
        <w:t xml:space="preserve"> </w:t>
      </w:r>
      <w:r w:rsidRPr="00696D27">
        <w:rPr>
          <w:rFonts w:hint="cs"/>
          <w:b/>
          <w:rtl/>
          <w:lang w:val="ar" w:bidi="ar-JO"/>
        </w:rPr>
        <w:t>توفير</w:t>
      </w:r>
      <w:r w:rsidRPr="00696D27">
        <w:rPr>
          <w:rFonts w:hint="cs"/>
          <w:b/>
          <w:rtl/>
          <w:lang w:val="ar"/>
        </w:rPr>
        <w:t xml:space="preserve"> </w:t>
      </w:r>
      <w:r w:rsidRPr="00696D27">
        <w:rPr>
          <w:rFonts w:hint="cs"/>
          <w:b/>
          <w:rtl/>
          <w:lang w:val="ar" w:bidi="ar-JO"/>
        </w:rPr>
        <w:t>الخدمات</w:t>
      </w:r>
      <w:r w:rsidRPr="00696D27">
        <w:rPr>
          <w:rFonts w:hint="cs"/>
          <w:b/>
          <w:rtl/>
          <w:lang w:val="ar"/>
        </w:rPr>
        <w:t xml:space="preserve"> </w:t>
      </w:r>
      <w:r w:rsidRPr="00696D27">
        <w:rPr>
          <w:rFonts w:hint="cs"/>
          <w:b/>
          <w:color w:val="0D0D0D"/>
          <w:rtl/>
          <w:lang w:val="ar" w:bidi="ar-JO"/>
        </w:rPr>
        <w:t>الحكومية</w:t>
      </w:r>
      <w:r w:rsidRPr="00696D27">
        <w:rPr>
          <w:rFonts w:hint="cs"/>
          <w:b/>
          <w:rtl/>
          <w:lang w:val="ar"/>
        </w:rPr>
        <w:t xml:space="preserve"> </w:t>
      </w:r>
      <w:r w:rsidRPr="00696D27">
        <w:rPr>
          <w:rFonts w:hint="cs"/>
          <w:b/>
          <w:rtl/>
          <w:lang w:val="ar" w:bidi="ar-JO"/>
        </w:rPr>
        <w:t>والمحلية</w:t>
      </w:r>
      <w:r w:rsidRPr="00696D27">
        <w:rPr>
          <w:rFonts w:hint="cs"/>
          <w:b/>
          <w:rtl/>
          <w:lang w:val="ar"/>
        </w:rPr>
        <w:t xml:space="preserve"> </w:t>
      </w:r>
      <w:r w:rsidRPr="00696D27">
        <w:rPr>
          <w:rFonts w:hint="cs"/>
          <w:b/>
          <w:rtl/>
          <w:lang w:val="ar" w:bidi="ar-JO"/>
        </w:rPr>
        <w:t>لسكانها،</w:t>
      </w:r>
      <w:r w:rsidRPr="00696D27">
        <w:rPr>
          <w:rFonts w:hint="cs"/>
          <w:b/>
          <w:rtl/>
          <w:lang w:val="ar"/>
        </w:rPr>
        <w:t xml:space="preserve"> </w:t>
      </w:r>
      <w:r w:rsidRPr="00696D27">
        <w:rPr>
          <w:rFonts w:hint="cs"/>
          <w:b/>
          <w:rtl/>
          <w:lang w:val="ar" w:bidi="ar-JO"/>
        </w:rPr>
        <w:t>والاعتناء</w:t>
      </w:r>
      <w:r w:rsidRPr="00696D27">
        <w:rPr>
          <w:rFonts w:hint="cs"/>
          <w:b/>
          <w:rtl/>
          <w:lang w:val="ar"/>
        </w:rPr>
        <w:t xml:space="preserve"> </w:t>
      </w:r>
      <w:r w:rsidRPr="00696D27">
        <w:rPr>
          <w:rFonts w:hint="cs"/>
          <w:b/>
          <w:rtl/>
          <w:lang w:val="ar" w:bidi="ar-JO"/>
        </w:rPr>
        <w:t>برفاهيتهم</w:t>
      </w:r>
      <w:r w:rsidRPr="00696D27">
        <w:rPr>
          <w:rFonts w:hint="cs"/>
          <w:b/>
          <w:rtl/>
          <w:lang w:val="ar"/>
        </w:rPr>
        <w:t xml:space="preserve"> </w:t>
      </w:r>
      <w:r w:rsidRPr="00696D27">
        <w:rPr>
          <w:rFonts w:hint="cs"/>
          <w:b/>
          <w:rtl/>
          <w:lang w:val="ar" w:bidi="ar-JO"/>
        </w:rPr>
        <w:t>وتلبية</w:t>
      </w:r>
      <w:r w:rsidRPr="00696D27">
        <w:rPr>
          <w:rFonts w:hint="cs"/>
          <w:b/>
          <w:rtl/>
          <w:lang w:val="ar"/>
        </w:rPr>
        <w:t xml:space="preserve"> </w:t>
      </w:r>
      <w:r w:rsidRPr="00696D27">
        <w:rPr>
          <w:rFonts w:hint="cs"/>
          <w:b/>
          <w:rtl/>
          <w:lang w:val="ar" w:bidi="ar-JO"/>
        </w:rPr>
        <w:t>احتياجاتهم</w:t>
      </w:r>
      <w:r w:rsidRPr="00696D27">
        <w:rPr>
          <w:rFonts w:hint="cs"/>
          <w:b/>
          <w:rtl/>
          <w:lang w:val="ar"/>
        </w:rPr>
        <w:t xml:space="preserve"> </w:t>
      </w:r>
      <w:r w:rsidRPr="00696D27">
        <w:rPr>
          <w:rFonts w:hint="cs"/>
          <w:b/>
          <w:rtl/>
          <w:lang w:val="ar" w:bidi="ar-JO"/>
        </w:rPr>
        <w:t>اليومية</w:t>
      </w:r>
      <w:r w:rsidRPr="00696D27">
        <w:rPr>
          <w:rFonts w:hint="cs"/>
          <w:b/>
          <w:rtl/>
          <w:lang w:val="ar"/>
        </w:rPr>
        <w:t xml:space="preserve">. </w:t>
      </w:r>
      <w:r w:rsidRPr="00696D27">
        <w:rPr>
          <w:rFonts w:hint="cs"/>
          <w:b/>
          <w:rtl/>
          <w:lang w:val="ar" w:bidi="ar-JO"/>
        </w:rPr>
        <w:t>السلطات</w:t>
      </w:r>
      <w:r w:rsidRPr="00696D27">
        <w:rPr>
          <w:rFonts w:hint="cs"/>
          <w:b/>
          <w:rtl/>
          <w:lang w:val="ar"/>
        </w:rPr>
        <w:t xml:space="preserve"> </w:t>
      </w:r>
      <w:r w:rsidRPr="00696D27">
        <w:rPr>
          <w:rFonts w:hint="cs"/>
          <w:b/>
          <w:rtl/>
          <w:lang w:val="ar" w:bidi="ar-JO"/>
        </w:rPr>
        <w:t>المحلية</w:t>
      </w:r>
      <w:r w:rsidRPr="00696D27">
        <w:rPr>
          <w:rFonts w:hint="cs"/>
          <w:b/>
          <w:rtl/>
          <w:lang w:val="ar"/>
        </w:rPr>
        <w:t xml:space="preserve"> </w:t>
      </w:r>
      <w:r w:rsidRPr="00696D27">
        <w:rPr>
          <w:rFonts w:hint="cs"/>
          <w:b/>
          <w:rtl/>
          <w:lang w:val="ar" w:bidi="ar-JO"/>
        </w:rPr>
        <w:t>مسؤولة</w:t>
      </w:r>
      <w:r w:rsidRPr="00696D27">
        <w:rPr>
          <w:rFonts w:hint="cs"/>
          <w:b/>
          <w:rtl/>
          <w:lang w:val="ar"/>
        </w:rPr>
        <w:t xml:space="preserve"> </w:t>
      </w:r>
      <w:r w:rsidRPr="00696D27">
        <w:rPr>
          <w:rFonts w:hint="cs"/>
          <w:b/>
          <w:rtl/>
          <w:lang w:val="ar" w:bidi="ar-JO"/>
        </w:rPr>
        <w:t>أيضا عن</w:t>
      </w:r>
      <w:r w:rsidRPr="00696D27">
        <w:rPr>
          <w:rFonts w:hint="cs"/>
          <w:b/>
          <w:rtl/>
          <w:lang w:val="ar"/>
        </w:rPr>
        <w:t xml:space="preserve"> </w:t>
      </w:r>
      <w:r w:rsidRPr="00696D27">
        <w:rPr>
          <w:rFonts w:hint="cs"/>
          <w:b/>
          <w:rtl/>
          <w:lang w:val="ar" w:bidi="ar-JO"/>
        </w:rPr>
        <w:t>كل</w:t>
      </w:r>
      <w:r w:rsidRPr="00696D27">
        <w:rPr>
          <w:rFonts w:hint="cs"/>
          <w:b/>
          <w:rtl/>
          <w:lang w:val="ar"/>
        </w:rPr>
        <w:t xml:space="preserve"> </w:t>
      </w:r>
      <w:r w:rsidRPr="00696D27">
        <w:rPr>
          <w:rFonts w:hint="cs"/>
          <w:b/>
          <w:rtl/>
          <w:lang w:val="ar" w:bidi="ar-JO"/>
        </w:rPr>
        <w:t>من</w:t>
      </w:r>
      <w:r w:rsidRPr="00696D27">
        <w:rPr>
          <w:rFonts w:hint="cs"/>
          <w:b/>
          <w:rtl/>
          <w:lang w:val="ar"/>
        </w:rPr>
        <w:t xml:space="preserve"> </w:t>
      </w:r>
      <w:r w:rsidRPr="00696D27">
        <w:rPr>
          <w:rFonts w:hint="cs"/>
          <w:b/>
          <w:rtl/>
          <w:lang w:val="ar" w:bidi="ar-JO"/>
        </w:rPr>
        <w:t>البنية</w:t>
      </w:r>
      <w:r w:rsidRPr="00696D27">
        <w:rPr>
          <w:rFonts w:hint="cs"/>
          <w:b/>
          <w:rtl/>
          <w:lang w:val="ar"/>
        </w:rPr>
        <w:t xml:space="preserve"> </w:t>
      </w:r>
      <w:r w:rsidRPr="00696D27">
        <w:rPr>
          <w:rFonts w:hint="cs"/>
          <w:b/>
          <w:rtl/>
          <w:lang w:val="ar" w:bidi="ar-JO"/>
        </w:rPr>
        <w:t>التحتية</w:t>
      </w:r>
      <w:r w:rsidRPr="00696D27">
        <w:rPr>
          <w:rFonts w:hint="cs"/>
          <w:b/>
          <w:rtl/>
          <w:lang w:val="ar"/>
        </w:rPr>
        <w:t xml:space="preserve"> </w:t>
      </w:r>
      <w:r w:rsidRPr="00696D27">
        <w:rPr>
          <w:rFonts w:hint="cs"/>
          <w:b/>
          <w:rtl/>
          <w:lang w:val="ar" w:bidi="ar-JO"/>
        </w:rPr>
        <w:t>الفعلية</w:t>
      </w:r>
      <w:r w:rsidRPr="00696D27">
        <w:rPr>
          <w:rFonts w:hint="cs"/>
          <w:b/>
          <w:rtl/>
          <w:lang w:val="ar"/>
        </w:rPr>
        <w:t xml:space="preserve"> - </w:t>
      </w:r>
      <w:r w:rsidRPr="00696D27">
        <w:rPr>
          <w:rFonts w:hint="cs"/>
          <w:b/>
          <w:rtl/>
          <w:lang w:val="ar" w:bidi="ar-JO"/>
        </w:rPr>
        <w:t>تعبيد</w:t>
      </w:r>
      <w:r w:rsidRPr="00696D27">
        <w:rPr>
          <w:rFonts w:hint="cs"/>
          <w:b/>
          <w:rtl/>
          <w:lang w:val="ar"/>
        </w:rPr>
        <w:t xml:space="preserve"> </w:t>
      </w:r>
      <w:r w:rsidRPr="00696D27">
        <w:rPr>
          <w:rFonts w:hint="cs"/>
          <w:b/>
          <w:rtl/>
          <w:lang w:val="ar" w:bidi="ar-JO"/>
        </w:rPr>
        <w:t>الطرق</w:t>
      </w:r>
      <w:r w:rsidRPr="00696D27">
        <w:rPr>
          <w:rFonts w:hint="cs"/>
          <w:b/>
          <w:rtl/>
          <w:lang w:val="ar"/>
        </w:rPr>
        <w:t xml:space="preserve"> </w:t>
      </w:r>
      <w:r w:rsidRPr="00696D27">
        <w:rPr>
          <w:rFonts w:hint="cs"/>
          <w:b/>
          <w:rtl/>
          <w:lang w:val="ar" w:bidi="ar-JO"/>
        </w:rPr>
        <w:t>المحلية،</w:t>
      </w:r>
      <w:r w:rsidRPr="00696D27">
        <w:rPr>
          <w:rFonts w:hint="cs"/>
          <w:b/>
          <w:rtl/>
          <w:lang w:val="ar"/>
        </w:rPr>
        <w:t xml:space="preserve"> </w:t>
      </w:r>
      <w:r w:rsidRPr="00696D27">
        <w:rPr>
          <w:rFonts w:hint="cs"/>
          <w:b/>
          <w:rtl/>
          <w:lang w:val="ar" w:bidi="ar-JO"/>
        </w:rPr>
        <w:t>وبناء</w:t>
      </w:r>
      <w:r w:rsidRPr="00696D27">
        <w:rPr>
          <w:rFonts w:hint="cs"/>
          <w:b/>
          <w:rtl/>
          <w:lang w:val="ar"/>
        </w:rPr>
        <w:t xml:space="preserve"> </w:t>
      </w:r>
      <w:r w:rsidRPr="00696D27">
        <w:rPr>
          <w:rFonts w:hint="cs"/>
          <w:b/>
          <w:rtl/>
          <w:lang w:val="ar" w:bidi="ar-JO"/>
        </w:rPr>
        <w:t>وتخطيط</w:t>
      </w:r>
      <w:r w:rsidRPr="00696D27">
        <w:rPr>
          <w:rFonts w:hint="cs"/>
          <w:b/>
          <w:rtl/>
          <w:lang w:val="ar"/>
        </w:rPr>
        <w:t xml:space="preserve"> </w:t>
      </w:r>
      <w:r w:rsidRPr="00696D27">
        <w:rPr>
          <w:rFonts w:hint="cs"/>
          <w:b/>
          <w:rtl/>
          <w:lang w:val="ar" w:bidi="ar-JO"/>
        </w:rPr>
        <w:t>المدن،</w:t>
      </w:r>
      <w:r w:rsidRPr="00696D27">
        <w:rPr>
          <w:rFonts w:hint="cs"/>
          <w:b/>
          <w:rtl/>
          <w:lang w:val="ar"/>
        </w:rPr>
        <w:t xml:space="preserve"> </w:t>
      </w:r>
      <w:r w:rsidRPr="00696D27">
        <w:rPr>
          <w:rFonts w:hint="cs"/>
          <w:b/>
          <w:rtl/>
          <w:lang w:val="ar" w:bidi="ar-JO"/>
        </w:rPr>
        <w:t>وأنظمة</w:t>
      </w:r>
      <w:r w:rsidRPr="00696D27">
        <w:rPr>
          <w:rFonts w:hint="cs"/>
          <w:b/>
          <w:rtl/>
          <w:lang w:val="ar"/>
        </w:rPr>
        <w:t xml:space="preserve"> </w:t>
      </w:r>
      <w:r w:rsidRPr="00696D27">
        <w:rPr>
          <w:rFonts w:hint="cs"/>
          <w:b/>
          <w:rtl/>
          <w:lang w:val="ar" w:bidi="ar-JO"/>
        </w:rPr>
        <w:t>الصرف</w:t>
      </w:r>
      <w:r w:rsidRPr="00696D27">
        <w:rPr>
          <w:rFonts w:hint="cs"/>
          <w:b/>
          <w:rtl/>
          <w:lang w:val="ar"/>
        </w:rPr>
        <w:t xml:space="preserve"> </w:t>
      </w:r>
      <w:r w:rsidRPr="00696D27">
        <w:rPr>
          <w:rFonts w:hint="cs"/>
          <w:b/>
          <w:rtl/>
          <w:lang w:val="ar" w:bidi="ar-JO"/>
        </w:rPr>
        <w:t>الصحي،</w:t>
      </w:r>
      <w:r w:rsidRPr="00696D27">
        <w:rPr>
          <w:rFonts w:hint="cs"/>
          <w:b/>
          <w:rtl/>
          <w:lang w:val="ar"/>
        </w:rPr>
        <w:t xml:space="preserve"> </w:t>
      </w:r>
      <w:r w:rsidRPr="00696D27">
        <w:rPr>
          <w:rFonts w:hint="cs"/>
          <w:b/>
          <w:rtl/>
          <w:lang w:val="ar" w:bidi="ar-JO"/>
        </w:rPr>
        <w:t>وتصريف</w:t>
      </w:r>
      <w:r w:rsidRPr="00696D27">
        <w:rPr>
          <w:rFonts w:hint="cs"/>
          <w:b/>
          <w:rtl/>
          <w:lang w:val="ar"/>
        </w:rPr>
        <w:t xml:space="preserve"> </w:t>
      </w:r>
      <w:r w:rsidRPr="00696D27">
        <w:rPr>
          <w:rFonts w:hint="cs"/>
          <w:b/>
          <w:rtl/>
          <w:lang w:val="ar" w:bidi="ar-JO"/>
        </w:rPr>
        <w:t>مياه</w:t>
      </w:r>
      <w:r w:rsidRPr="00696D27">
        <w:rPr>
          <w:rFonts w:hint="cs"/>
          <w:b/>
          <w:rtl/>
          <w:lang w:val="ar"/>
        </w:rPr>
        <w:t xml:space="preserve"> </w:t>
      </w:r>
      <w:r w:rsidRPr="00696D27">
        <w:rPr>
          <w:rFonts w:hint="cs"/>
          <w:b/>
          <w:rtl/>
          <w:lang w:val="ar" w:bidi="ar-JO"/>
        </w:rPr>
        <w:t>المجاري،</w:t>
      </w:r>
      <w:r w:rsidRPr="00696D27">
        <w:rPr>
          <w:rFonts w:hint="cs"/>
          <w:b/>
          <w:rtl/>
          <w:lang w:val="ar"/>
        </w:rPr>
        <w:t xml:space="preserve"> </w:t>
      </w:r>
      <w:r w:rsidRPr="00696D27">
        <w:rPr>
          <w:rFonts w:hint="cs"/>
          <w:b/>
          <w:rtl/>
          <w:lang w:val="ar" w:bidi="ar-JO"/>
        </w:rPr>
        <w:t>والبنية</w:t>
      </w:r>
      <w:r w:rsidRPr="00696D27">
        <w:rPr>
          <w:rFonts w:hint="cs"/>
          <w:b/>
          <w:rtl/>
          <w:lang w:val="ar"/>
        </w:rPr>
        <w:t xml:space="preserve"> </w:t>
      </w:r>
      <w:r w:rsidRPr="00696D27">
        <w:rPr>
          <w:rFonts w:hint="cs"/>
          <w:b/>
          <w:rtl/>
          <w:lang w:val="ar" w:bidi="ar-JO"/>
        </w:rPr>
        <w:t>التحتية</w:t>
      </w:r>
      <w:r w:rsidRPr="00696D27">
        <w:rPr>
          <w:rFonts w:hint="cs"/>
          <w:b/>
          <w:rtl/>
          <w:lang w:val="ar"/>
        </w:rPr>
        <w:t xml:space="preserve"> </w:t>
      </w:r>
      <w:r w:rsidRPr="00696D27">
        <w:rPr>
          <w:rFonts w:hint="cs"/>
          <w:b/>
          <w:rtl/>
          <w:lang w:val="ar" w:bidi="ar-JO"/>
        </w:rPr>
        <w:t>الاجتماعية</w:t>
      </w:r>
      <w:r w:rsidRPr="00696D27">
        <w:rPr>
          <w:rFonts w:hint="cs"/>
          <w:b/>
          <w:rtl/>
          <w:lang w:val="ar"/>
        </w:rPr>
        <w:t xml:space="preserve"> - </w:t>
      </w:r>
      <w:r w:rsidRPr="00696D27">
        <w:rPr>
          <w:rFonts w:hint="cs"/>
          <w:b/>
          <w:rtl/>
          <w:lang w:val="ar" w:bidi="ar-JO"/>
        </w:rPr>
        <w:t>الخدمات</w:t>
      </w:r>
      <w:r w:rsidRPr="00696D27">
        <w:rPr>
          <w:rFonts w:hint="cs"/>
          <w:b/>
          <w:rtl/>
          <w:lang w:val="ar"/>
        </w:rPr>
        <w:t xml:space="preserve"> </w:t>
      </w:r>
      <w:r w:rsidRPr="00696D27">
        <w:rPr>
          <w:rFonts w:hint="cs"/>
          <w:b/>
          <w:rtl/>
          <w:lang w:val="ar" w:bidi="ar-JO"/>
        </w:rPr>
        <w:t>الاجتماعية،</w:t>
      </w:r>
      <w:r w:rsidRPr="00696D27">
        <w:rPr>
          <w:rFonts w:hint="cs"/>
          <w:b/>
          <w:rtl/>
          <w:lang w:val="ar"/>
        </w:rPr>
        <w:t xml:space="preserve"> </w:t>
      </w:r>
      <w:r w:rsidRPr="00696D27">
        <w:rPr>
          <w:rFonts w:hint="cs"/>
          <w:b/>
          <w:rtl/>
          <w:lang w:val="ar" w:bidi="ar-JO"/>
        </w:rPr>
        <w:t>والخدمات</w:t>
      </w:r>
      <w:r w:rsidRPr="00696D27">
        <w:rPr>
          <w:rFonts w:hint="cs"/>
          <w:b/>
          <w:rtl/>
          <w:lang w:val="ar"/>
        </w:rPr>
        <w:t xml:space="preserve"> </w:t>
      </w:r>
      <w:r w:rsidRPr="00696D27">
        <w:rPr>
          <w:rFonts w:hint="cs"/>
          <w:b/>
          <w:rtl/>
          <w:lang w:val="ar" w:bidi="ar-JO"/>
        </w:rPr>
        <w:t>التعليمية،</w:t>
      </w:r>
      <w:r w:rsidRPr="00696D27">
        <w:rPr>
          <w:rFonts w:hint="cs"/>
          <w:b/>
          <w:rtl/>
          <w:lang w:val="ar"/>
        </w:rPr>
        <w:t xml:space="preserve"> </w:t>
      </w:r>
      <w:r w:rsidRPr="00696D27">
        <w:rPr>
          <w:rFonts w:hint="cs"/>
          <w:b/>
          <w:rtl/>
          <w:lang w:val="ar" w:bidi="ar-JO"/>
        </w:rPr>
        <w:t>والثقافية</w:t>
      </w:r>
      <w:r w:rsidRPr="00696D27">
        <w:rPr>
          <w:rFonts w:hint="cs"/>
          <w:b/>
          <w:rtl/>
          <w:lang w:val="ar"/>
        </w:rPr>
        <w:t xml:space="preserve"> </w:t>
      </w:r>
      <w:r w:rsidRPr="00696D27">
        <w:rPr>
          <w:rFonts w:hint="cs"/>
          <w:b/>
          <w:rtl/>
          <w:lang w:val="ar" w:bidi="ar-JO"/>
        </w:rPr>
        <w:t>والرياضية</w:t>
      </w:r>
      <w:r w:rsidRPr="00696D27">
        <w:rPr>
          <w:rFonts w:hint="cs"/>
          <w:b/>
          <w:rtl/>
          <w:lang w:val="ar"/>
        </w:rPr>
        <w:t xml:space="preserve">. </w:t>
      </w:r>
      <w:r w:rsidRPr="00696D27">
        <w:rPr>
          <w:rFonts w:hint="cs"/>
          <w:b/>
          <w:rtl/>
          <w:lang w:val="ar" w:bidi="ar-JO"/>
        </w:rPr>
        <w:t>تتمتع السلطة المحلية بقدر كبير من الاستقلالية في اتخاذ القرارات الواقعة ضمن نطاق مسؤولياتها، في كل ما يتعلق بطرق ووسائل ممارسة هذه المسؤوليات والموارد اللازمة لأجل ذلك وكذلك بتحديد أولويات الإجراءات في هذه المجالات. فضلاً عن ذلك</w:t>
      </w:r>
      <w:r w:rsidRPr="00696D27">
        <w:rPr>
          <w:rFonts w:hint="cs"/>
          <w:b/>
          <w:rtl/>
          <w:lang w:val="ar"/>
        </w:rPr>
        <w:t xml:space="preserve"> </w:t>
      </w:r>
      <w:r w:rsidRPr="00696D27">
        <w:rPr>
          <w:rFonts w:hint="cs"/>
          <w:b/>
          <w:rtl/>
          <w:lang w:val="ar" w:bidi="ar-JO"/>
        </w:rPr>
        <w:t>تعمل</w:t>
      </w:r>
      <w:r w:rsidRPr="00696D27">
        <w:rPr>
          <w:rFonts w:hint="cs"/>
          <w:b/>
          <w:rtl/>
          <w:lang w:val="ar"/>
        </w:rPr>
        <w:t xml:space="preserve"> </w:t>
      </w:r>
      <w:r w:rsidRPr="00696D27">
        <w:rPr>
          <w:rFonts w:hint="cs"/>
          <w:b/>
          <w:rtl/>
          <w:lang w:val="ar" w:bidi="ar-JO"/>
        </w:rPr>
        <w:t>السلطة</w:t>
      </w:r>
      <w:r w:rsidRPr="00696D27">
        <w:rPr>
          <w:rFonts w:hint="cs"/>
          <w:b/>
          <w:rtl/>
          <w:lang w:val="ar"/>
        </w:rPr>
        <w:t xml:space="preserve"> </w:t>
      </w:r>
      <w:r w:rsidRPr="00696D27">
        <w:rPr>
          <w:rFonts w:hint="cs"/>
          <w:b/>
          <w:rtl/>
          <w:lang w:val="ar" w:bidi="ar-JO"/>
        </w:rPr>
        <w:t>المحلية</w:t>
      </w:r>
      <w:r w:rsidRPr="00696D27">
        <w:rPr>
          <w:rFonts w:hint="cs"/>
          <w:b/>
          <w:rtl/>
          <w:lang w:val="ar"/>
        </w:rPr>
        <w:t xml:space="preserve"> </w:t>
      </w:r>
      <w:r w:rsidRPr="00696D27">
        <w:rPr>
          <w:rFonts w:hint="cs"/>
          <w:b/>
          <w:rtl/>
          <w:lang w:val="ar" w:bidi="ar-JO"/>
        </w:rPr>
        <w:t>كوصي</w:t>
      </w:r>
      <w:r w:rsidRPr="00696D27">
        <w:rPr>
          <w:rFonts w:hint="cs"/>
          <w:b/>
          <w:rtl/>
          <w:lang w:val="ar"/>
        </w:rPr>
        <w:t xml:space="preserve"> </w:t>
      </w:r>
      <w:r w:rsidRPr="00696D27">
        <w:rPr>
          <w:rFonts w:hint="cs"/>
          <w:b/>
          <w:rtl/>
          <w:lang w:val="ar" w:bidi="ar-JO"/>
        </w:rPr>
        <w:t>عام</w:t>
      </w:r>
      <w:r w:rsidRPr="00696D27">
        <w:rPr>
          <w:rFonts w:hint="cs"/>
          <w:b/>
          <w:rtl/>
          <w:lang w:val="ar"/>
        </w:rPr>
        <w:t xml:space="preserve"> </w:t>
      </w:r>
      <w:r w:rsidRPr="00696D27">
        <w:rPr>
          <w:rFonts w:hint="cs"/>
          <w:b/>
          <w:rtl/>
          <w:lang w:val="ar" w:bidi="ar-JO"/>
        </w:rPr>
        <w:t>في</w:t>
      </w:r>
      <w:r w:rsidRPr="00696D27">
        <w:rPr>
          <w:rFonts w:hint="cs"/>
          <w:b/>
          <w:rtl/>
          <w:lang w:val="ar"/>
        </w:rPr>
        <w:t xml:space="preserve"> </w:t>
      </w:r>
      <w:r w:rsidRPr="00696D27">
        <w:rPr>
          <w:rFonts w:hint="cs"/>
          <w:b/>
          <w:rtl/>
          <w:lang w:val="ar" w:bidi="ar-JO"/>
        </w:rPr>
        <w:t>جميع</w:t>
      </w:r>
      <w:r w:rsidRPr="00696D27">
        <w:rPr>
          <w:rFonts w:hint="cs"/>
          <w:b/>
          <w:rtl/>
          <w:lang w:val="ar"/>
        </w:rPr>
        <w:t xml:space="preserve"> </w:t>
      </w:r>
      <w:r w:rsidRPr="00696D27">
        <w:rPr>
          <w:rFonts w:hint="cs"/>
          <w:b/>
          <w:rtl/>
          <w:lang w:val="ar" w:bidi="ar-JO"/>
        </w:rPr>
        <w:t>أنشطتها،</w:t>
      </w:r>
      <w:r w:rsidRPr="00696D27">
        <w:rPr>
          <w:rFonts w:hint="cs"/>
          <w:b/>
          <w:rtl/>
          <w:lang w:val="ar"/>
        </w:rPr>
        <w:t xml:space="preserve"> </w:t>
      </w:r>
      <w:r w:rsidRPr="00696D27">
        <w:rPr>
          <w:rFonts w:hint="cs"/>
          <w:b/>
          <w:rtl/>
          <w:lang w:val="ar" w:bidi="ar-JO"/>
        </w:rPr>
        <w:t>وبالتالي</w:t>
      </w:r>
      <w:r w:rsidRPr="00696D27">
        <w:rPr>
          <w:rFonts w:hint="cs"/>
          <w:b/>
          <w:rtl/>
          <w:lang w:val="ar"/>
        </w:rPr>
        <w:t xml:space="preserve"> </w:t>
      </w:r>
      <w:r w:rsidRPr="00696D27">
        <w:rPr>
          <w:rFonts w:hint="cs"/>
          <w:b/>
          <w:rtl/>
          <w:lang w:val="ar" w:bidi="ar-JO"/>
        </w:rPr>
        <w:t>فهي</w:t>
      </w:r>
      <w:r w:rsidRPr="00696D27">
        <w:rPr>
          <w:rFonts w:hint="cs"/>
          <w:b/>
          <w:rtl/>
          <w:lang w:val="ar"/>
        </w:rPr>
        <w:t xml:space="preserve"> </w:t>
      </w:r>
      <w:r w:rsidRPr="00696D27">
        <w:rPr>
          <w:rFonts w:hint="cs"/>
          <w:b/>
          <w:rtl/>
          <w:lang w:val="ar" w:bidi="ar-JO"/>
        </w:rPr>
        <w:t>ملزمة</w:t>
      </w:r>
      <w:r w:rsidRPr="00696D27">
        <w:rPr>
          <w:rFonts w:hint="cs"/>
          <w:b/>
          <w:rtl/>
          <w:lang w:val="ar"/>
        </w:rPr>
        <w:t xml:space="preserve"> </w:t>
      </w:r>
      <w:r w:rsidRPr="00696D27">
        <w:rPr>
          <w:rFonts w:hint="cs"/>
          <w:b/>
          <w:rtl/>
          <w:lang w:val="ar" w:bidi="ar-JO"/>
        </w:rPr>
        <w:t>بممارسة</w:t>
      </w:r>
      <w:r w:rsidRPr="00696D27">
        <w:rPr>
          <w:rFonts w:hint="cs"/>
          <w:b/>
          <w:rtl/>
          <w:lang w:val="ar"/>
        </w:rPr>
        <w:t xml:space="preserve"> </w:t>
      </w:r>
      <w:r w:rsidRPr="00696D27">
        <w:rPr>
          <w:rFonts w:hint="cs"/>
          <w:b/>
          <w:rtl/>
          <w:lang w:val="ar" w:bidi="ar-JO"/>
        </w:rPr>
        <w:t>صلاحيتها</w:t>
      </w:r>
      <w:r w:rsidRPr="00696D27">
        <w:rPr>
          <w:rFonts w:hint="cs"/>
          <w:b/>
          <w:rtl/>
          <w:lang w:val="ar"/>
        </w:rPr>
        <w:t xml:space="preserve"> </w:t>
      </w:r>
      <w:r w:rsidRPr="00696D27">
        <w:rPr>
          <w:rFonts w:hint="cs"/>
          <w:b/>
          <w:rtl/>
          <w:lang w:val="ar" w:bidi="ar-JO"/>
        </w:rPr>
        <w:t>وفقًا</w:t>
      </w:r>
      <w:r w:rsidRPr="00696D27">
        <w:rPr>
          <w:rFonts w:hint="cs"/>
          <w:b/>
          <w:rtl/>
          <w:lang w:val="ar"/>
        </w:rPr>
        <w:t xml:space="preserve"> </w:t>
      </w:r>
      <w:r w:rsidRPr="00696D27">
        <w:rPr>
          <w:rFonts w:hint="cs"/>
          <w:b/>
          <w:rtl/>
          <w:lang w:val="ar" w:bidi="ar-JO"/>
        </w:rPr>
        <w:t>لأحكام</w:t>
      </w:r>
      <w:r w:rsidRPr="00696D27">
        <w:rPr>
          <w:rFonts w:hint="cs"/>
          <w:b/>
          <w:rtl/>
          <w:lang w:val="ar"/>
        </w:rPr>
        <w:t xml:space="preserve"> </w:t>
      </w:r>
      <w:r w:rsidRPr="00696D27">
        <w:rPr>
          <w:rFonts w:hint="cs"/>
          <w:b/>
          <w:rtl/>
          <w:lang w:val="ar" w:bidi="ar-JO"/>
        </w:rPr>
        <w:t>القانون</w:t>
      </w:r>
      <w:r w:rsidRPr="00696D27">
        <w:rPr>
          <w:rFonts w:hint="cs"/>
          <w:b/>
          <w:rtl/>
          <w:lang w:val="ar"/>
        </w:rPr>
        <w:t>.</w:t>
      </w:r>
    </w:p>
    <w:p w:rsidR="00696D27" w:rsidRPr="00696D27" w:rsidP="00696D27" w14:paraId="716A7DF5" w14:textId="77777777">
      <w:pPr>
        <w:pStyle w:val="7190"/>
        <w:rPr>
          <w:b/>
          <w:rtl/>
          <w:lang w:val="ar"/>
        </w:rPr>
      </w:pPr>
      <w:r w:rsidRPr="00696D27">
        <w:rPr>
          <w:b/>
          <w:rtl/>
          <w:lang w:val="ar" w:bidi="ar-JO"/>
        </w:rPr>
        <w:t>وفقًا</w:t>
      </w:r>
      <w:r w:rsidRPr="00696D27">
        <w:rPr>
          <w:b/>
          <w:rtl/>
          <w:lang w:val="ar"/>
        </w:rPr>
        <w:t xml:space="preserve"> </w:t>
      </w:r>
      <w:r w:rsidRPr="00696D27">
        <w:rPr>
          <w:b/>
          <w:rtl/>
          <w:lang w:val="ar" w:bidi="ar-JO"/>
        </w:rPr>
        <w:t>لرؤية</w:t>
      </w:r>
      <w:r w:rsidRPr="00696D27">
        <w:rPr>
          <w:b/>
          <w:rtl/>
          <w:lang w:val="ar"/>
        </w:rPr>
        <w:t xml:space="preserve"> </w:t>
      </w:r>
      <w:r w:rsidRPr="00696D27">
        <w:rPr>
          <w:b/>
          <w:rtl/>
          <w:lang w:val="ar" w:bidi="ar-JO"/>
        </w:rPr>
        <w:t>مراقب</w:t>
      </w:r>
      <w:r w:rsidRPr="00696D27">
        <w:rPr>
          <w:b/>
          <w:rtl/>
          <w:lang w:val="ar"/>
        </w:rPr>
        <w:t xml:space="preserve"> </w:t>
      </w:r>
      <w:r w:rsidRPr="00696D27">
        <w:rPr>
          <w:b/>
          <w:rtl/>
          <w:lang w:val="ar" w:bidi="ar-JO"/>
        </w:rPr>
        <w:t>الدولة</w:t>
      </w:r>
      <w:r w:rsidRPr="00696D27">
        <w:rPr>
          <w:b/>
          <w:rtl/>
          <w:lang w:val="ar"/>
        </w:rPr>
        <w:t xml:space="preserve"> </w:t>
      </w:r>
      <w:r w:rsidRPr="00696D27">
        <w:rPr>
          <w:b/>
          <w:rtl/>
          <w:lang w:val="ar" w:bidi="ar-JO"/>
        </w:rPr>
        <w:t>ومفوض</w:t>
      </w:r>
      <w:r w:rsidRPr="00696D27">
        <w:rPr>
          <w:b/>
          <w:rtl/>
          <w:lang w:val="ar"/>
        </w:rPr>
        <w:t xml:space="preserve"> </w:t>
      </w:r>
      <w:r w:rsidRPr="00696D27">
        <w:rPr>
          <w:b/>
          <w:rtl/>
          <w:lang w:val="ar" w:bidi="ar-JO"/>
        </w:rPr>
        <w:t>شكاوى</w:t>
      </w:r>
      <w:r w:rsidRPr="00696D27">
        <w:rPr>
          <w:b/>
          <w:rtl/>
          <w:lang w:val="ar"/>
        </w:rPr>
        <w:t xml:space="preserve"> </w:t>
      </w:r>
      <w:r w:rsidRPr="00696D27">
        <w:rPr>
          <w:b/>
          <w:rtl/>
          <w:lang w:val="ar" w:bidi="ar-JO"/>
        </w:rPr>
        <w:t>الجمهور،</w:t>
      </w:r>
      <w:r w:rsidRPr="00696D27">
        <w:rPr>
          <w:b/>
          <w:rtl/>
          <w:lang w:val="ar"/>
        </w:rPr>
        <w:t xml:space="preserve"> </w:t>
      </w:r>
      <w:r w:rsidRPr="00696D27">
        <w:rPr>
          <w:b/>
          <w:rtl/>
          <w:lang w:val="ar" w:bidi="ar-JO"/>
        </w:rPr>
        <w:t>نعمل</w:t>
      </w:r>
      <w:r w:rsidRPr="00696D27">
        <w:rPr>
          <w:b/>
          <w:rtl/>
          <w:lang w:val="ar"/>
        </w:rPr>
        <w:t xml:space="preserve"> </w:t>
      </w:r>
      <w:r w:rsidRPr="00696D27">
        <w:rPr>
          <w:b/>
          <w:rtl/>
          <w:lang w:val="ar" w:bidi="ar-JO"/>
        </w:rPr>
        <w:t>على</w:t>
      </w:r>
      <w:r w:rsidRPr="00696D27">
        <w:rPr>
          <w:b/>
          <w:rtl/>
          <w:lang w:val="ar"/>
        </w:rPr>
        <w:t xml:space="preserve"> </w:t>
      </w:r>
      <w:r w:rsidRPr="00696D27">
        <w:rPr>
          <w:b/>
          <w:rtl/>
          <w:lang w:val="ar" w:bidi="ar-JO"/>
        </w:rPr>
        <w:t>وضع</w:t>
      </w:r>
      <w:r w:rsidRPr="00696D27">
        <w:rPr>
          <w:b/>
          <w:rtl/>
          <w:lang w:val="ar"/>
        </w:rPr>
        <w:t xml:space="preserve"> </w:t>
      </w:r>
      <w:r w:rsidRPr="00696D27">
        <w:rPr>
          <w:b/>
          <w:rtl/>
          <w:lang w:val="ar" w:bidi="ar-JO"/>
        </w:rPr>
        <w:t>مراقبة</w:t>
      </w:r>
      <w:r w:rsidRPr="00696D27">
        <w:rPr>
          <w:b/>
          <w:rtl/>
          <w:lang w:val="ar"/>
        </w:rPr>
        <w:t xml:space="preserve"> </w:t>
      </w:r>
      <w:r w:rsidRPr="00696D27">
        <w:rPr>
          <w:b/>
          <w:rtl/>
          <w:lang w:val="ar" w:bidi="ar-JO"/>
        </w:rPr>
        <w:t>الدولة</w:t>
      </w:r>
      <w:r w:rsidRPr="00696D27">
        <w:rPr>
          <w:b/>
          <w:rtl/>
          <w:lang w:val="ar"/>
        </w:rPr>
        <w:t xml:space="preserve"> </w:t>
      </w:r>
      <w:r w:rsidRPr="00696D27">
        <w:rPr>
          <w:b/>
          <w:rtl/>
          <w:lang w:val="ar" w:bidi="ar-JO"/>
        </w:rPr>
        <w:t>باعتبارها</w:t>
      </w:r>
      <w:r w:rsidRPr="00696D27">
        <w:rPr>
          <w:b/>
          <w:rtl/>
          <w:lang w:val="ar"/>
        </w:rPr>
        <w:t xml:space="preserve"> </w:t>
      </w:r>
      <w:r w:rsidRPr="00696D27">
        <w:rPr>
          <w:b/>
          <w:rtl/>
          <w:lang w:val="ar" w:bidi="ar-JO"/>
        </w:rPr>
        <w:t>مراقبة</w:t>
      </w:r>
      <w:r w:rsidRPr="00696D27">
        <w:rPr>
          <w:b/>
          <w:rtl/>
          <w:lang w:val="ar"/>
        </w:rPr>
        <w:t xml:space="preserve"> </w:t>
      </w:r>
      <w:r w:rsidRPr="00696D27">
        <w:rPr>
          <w:rFonts w:hint="cs"/>
          <w:b/>
          <w:rtl/>
          <w:lang w:val="ar" w:bidi="ar-JO"/>
        </w:rPr>
        <w:t>تحث</w:t>
      </w:r>
      <w:r w:rsidRPr="00696D27">
        <w:rPr>
          <w:b/>
          <w:rtl/>
          <w:lang w:val="ar"/>
        </w:rPr>
        <w:t xml:space="preserve"> </w:t>
      </w:r>
      <w:r w:rsidRPr="00696D27">
        <w:rPr>
          <w:b/>
          <w:rtl/>
          <w:lang w:val="ar" w:bidi="ar-JO"/>
        </w:rPr>
        <w:t>على</w:t>
      </w:r>
      <w:r w:rsidRPr="00696D27">
        <w:rPr>
          <w:b/>
          <w:rtl/>
          <w:lang w:val="ar"/>
        </w:rPr>
        <w:t xml:space="preserve"> </w:t>
      </w:r>
      <w:r w:rsidRPr="00696D27">
        <w:rPr>
          <w:b/>
          <w:rtl/>
          <w:lang w:val="ar" w:bidi="ar-JO"/>
        </w:rPr>
        <w:t>العمل،</w:t>
      </w:r>
      <w:r w:rsidRPr="00696D27">
        <w:rPr>
          <w:b/>
          <w:rtl/>
          <w:lang w:val="ar"/>
        </w:rPr>
        <w:t xml:space="preserve"> </w:t>
      </w:r>
      <w:r w:rsidRPr="00696D27">
        <w:rPr>
          <w:b/>
          <w:rtl/>
          <w:lang w:val="ar" w:bidi="ar-JO"/>
        </w:rPr>
        <w:t>مبتكرة</w:t>
      </w:r>
      <w:r w:rsidRPr="00696D27">
        <w:rPr>
          <w:rFonts w:hint="cs"/>
          <w:b/>
          <w:rtl/>
          <w:lang w:val="ar" w:bidi="ar-JO"/>
        </w:rPr>
        <w:t>،</w:t>
      </w:r>
      <w:r w:rsidRPr="00696D27">
        <w:rPr>
          <w:b/>
          <w:rtl/>
          <w:lang w:val="ar"/>
        </w:rPr>
        <w:t xml:space="preserve"> </w:t>
      </w:r>
      <w:r w:rsidRPr="00696D27">
        <w:rPr>
          <w:b/>
          <w:rtl/>
          <w:lang w:val="ar" w:bidi="ar-JO"/>
        </w:rPr>
        <w:t>ذات</w:t>
      </w:r>
      <w:r w:rsidRPr="00696D27">
        <w:rPr>
          <w:b/>
          <w:rtl/>
          <w:lang w:val="ar"/>
        </w:rPr>
        <w:t xml:space="preserve"> </w:t>
      </w:r>
      <w:r w:rsidRPr="00696D27">
        <w:rPr>
          <w:b/>
          <w:rtl/>
          <w:lang w:val="ar" w:bidi="ar-JO"/>
        </w:rPr>
        <w:t>صلة</w:t>
      </w:r>
      <w:r w:rsidRPr="00696D27">
        <w:rPr>
          <w:b/>
          <w:rtl/>
          <w:lang w:val="ar"/>
        </w:rPr>
        <w:t xml:space="preserve"> </w:t>
      </w:r>
      <w:r w:rsidRPr="00696D27">
        <w:rPr>
          <w:b/>
          <w:rtl/>
          <w:lang w:val="ar" w:bidi="ar-JO"/>
        </w:rPr>
        <w:t>بالواقع</w:t>
      </w:r>
      <w:r w:rsidRPr="00696D27">
        <w:rPr>
          <w:b/>
          <w:rtl/>
          <w:lang w:val="ar"/>
        </w:rPr>
        <w:t xml:space="preserve"> </w:t>
      </w:r>
      <w:r w:rsidRPr="00696D27">
        <w:rPr>
          <w:b/>
          <w:rtl/>
          <w:lang w:val="ar" w:bidi="ar-JO"/>
        </w:rPr>
        <w:t>وفعالة</w:t>
      </w:r>
      <w:r w:rsidRPr="00696D27">
        <w:rPr>
          <w:b/>
          <w:rtl/>
          <w:lang w:val="ar"/>
        </w:rPr>
        <w:t xml:space="preserve"> </w:t>
      </w:r>
      <w:r w:rsidRPr="00696D27">
        <w:rPr>
          <w:b/>
          <w:rtl/>
          <w:lang w:val="ar" w:bidi="ar-JO"/>
        </w:rPr>
        <w:t>والتي</w:t>
      </w:r>
      <w:r w:rsidRPr="00696D27">
        <w:rPr>
          <w:b/>
          <w:rtl/>
          <w:lang w:val="ar"/>
        </w:rPr>
        <w:t xml:space="preserve"> </w:t>
      </w:r>
      <w:r w:rsidRPr="00696D27">
        <w:rPr>
          <w:b/>
          <w:rtl/>
          <w:lang w:val="ar" w:bidi="ar-JO"/>
        </w:rPr>
        <w:t>تتعامل</w:t>
      </w:r>
      <w:r w:rsidRPr="00696D27">
        <w:rPr>
          <w:b/>
          <w:rtl/>
          <w:lang w:val="ar"/>
        </w:rPr>
        <w:t xml:space="preserve"> </w:t>
      </w:r>
      <w:r w:rsidRPr="00696D27">
        <w:rPr>
          <w:b/>
          <w:rtl/>
          <w:lang w:val="ar" w:bidi="ar-JO"/>
        </w:rPr>
        <w:t>مع</w:t>
      </w:r>
      <w:r w:rsidRPr="00696D27">
        <w:rPr>
          <w:b/>
          <w:rtl/>
          <w:lang w:val="ar"/>
        </w:rPr>
        <w:t xml:space="preserve"> </w:t>
      </w:r>
      <w:r w:rsidRPr="00696D27">
        <w:rPr>
          <w:b/>
          <w:rtl/>
          <w:lang w:val="ar" w:bidi="ar-JO"/>
        </w:rPr>
        <w:t>المجالات</w:t>
      </w:r>
      <w:r w:rsidRPr="00696D27">
        <w:rPr>
          <w:b/>
          <w:rtl/>
          <w:lang w:val="ar"/>
        </w:rPr>
        <w:t xml:space="preserve"> </w:t>
      </w:r>
      <w:r w:rsidRPr="00696D27">
        <w:rPr>
          <w:b/>
          <w:rtl/>
          <w:lang w:val="ar" w:bidi="ar-JO"/>
        </w:rPr>
        <w:t>الأساسية</w:t>
      </w:r>
      <w:r w:rsidRPr="00696D27">
        <w:rPr>
          <w:b/>
          <w:rtl/>
          <w:lang w:val="ar"/>
        </w:rPr>
        <w:t xml:space="preserve"> </w:t>
      </w:r>
      <w:r w:rsidRPr="00696D27">
        <w:rPr>
          <w:b/>
          <w:rtl/>
          <w:lang w:val="ar" w:bidi="ar-JO"/>
        </w:rPr>
        <w:t>للهيئة</w:t>
      </w:r>
      <w:r w:rsidRPr="00696D27">
        <w:rPr>
          <w:b/>
          <w:rtl/>
          <w:lang w:val="ar"/>
        </w:rPr>
        <w:t xml:space="preserve"> </w:t>
      </w:r>
      <w:r w:rsidRPr="00696D27">
        <w:rPr>
          <w:b/>
          <w:rtl/>
          <w:lang w:val="ar" w:bidi="ar-JO"/>
        </w:rPr>
        <w:t>الخاضعة</w:t>
      </w:r>
      <w:r w:rsidRPr="00696D27">
        <w:rPr>
          <w:b/>
          <w:rtl/>
          <w:lang w:val="ar"/>
        </w:rPr>
        <w:t xml:space="preserve"> </w:t>
      </w:r>
      <w:r w:rsidRPr="00696D27">
        <w:rPr>
          <w:b/>
          <w:rtl/>
          <w:lang w:val="ar" w:bidi="ar-JO"/>
        </w:rPr>
        <w:t>للمراقبة</w:t>
      </w:r>
      <w:r w:rsidRPr="00696D27">
        <w:rPr>
          <w:b/>
          <w:rtl/>
          <w:lang w:val="ar"/>
        </w:rPr>
        <w:t xml:space="preserve"> </w:t>
      </w:r>
      <w:r w:rsidRPr="00696D27">
        <w:rPr>
          <w:b/>
          <w:rtl/>
          <w:lang w:val="ar" w:bidi="ar-JO"/>
        </w:rPr>
        <w:t>وتركز</w:t>
      </w:r>
      <w:r w:rsidRPr="00696D27">
        <w:rPr>
          <w:b/>
          <w:rtl/>
          <w:lang w:val="ar"/>
        </w:rPr>
        <w:t xml:space="preserve"> </w:t>
      </w:r>
      <w:r w:rsidRPr="00696D27">
        <w:rPr>
          <w:b/>
          <w:rtl/>
          <w:lang w:val="ar" w:bidi="ar-JO"/>
        </w:rPr>
        <w:t>على</w:t>
      </w:r>
      <w:r w:rsidRPr="00696D27">
        <w:rPr>
          <w:b/>
          <w:rtl/>
          <w:lang w:val="ar"/>
        </w:rPr>
        <w:t xml:space="preserve"> </w:t>
      </w:r>
      <w:r w:rsidRPr="00696D27">
        <w:rPr>
          <w:b/>
          <w:rtl/>
          <w:lang w:val="ar" w:bidi="ar-JO"/>
        </w:rPr>
        <w:t>كل</w:t>
      </w:r>
      <w:r w:rsidRPr="00696D27">
        <w:rPr>
          <w:b/>
          <w:rtl/>
          <w:lang w:val="ar"/>
        </w:rPr>
        <w:t xml:space="preserve"> </w:t>
      </w:r>
      <w:r w:rsidRPr="00696D27">
        <w:rPr>
          <w:b/>
          <w:rtl/>
          <w:lang w:val="ar" w:bidi="ar-JO"/>
        </w:rPr>
        <w:t>من</w:t>
      </w:r>
      <w:r w:rsidRPr="00696D27">
        <w:rPr>
          <w:b/>
          <w:rtl/>
          <w:lang w:val="ar"/>
        </w:rPr>
        <w:t xml:space="preserve"> </w:t>
      </w:r>
      <w:r w:rsidRPr="00696D27">
        <w:rPr>
          <w:b/>
          <w:rtl/>
          <w:lang w:val="ar" w:bidi="ar-JO"/>
        </w:rPr>
        <w:t>القضايا</w:t>
      </w:r>
      <w:r w:rsidRPr="00696D27">
        <w:rPr>
          <w:b/>
          <w:rtl/>
          <w:lang w:val="ar"/>
        </w:rPr>
        <w:t xml:space="preserve"> </w:t>
      </w:r>
      <w:r w:rsidRPr="00696D27">
        <w:rPr>
          <w:b/>
          <w:rtl/>
          <w:lang w:val="ar" w:bidi="ar-JO"/>
        </w:rPr>
        <w:t>ذات</w:t>
      </w:r>
      <w:r w:rsidRPr="00696D27">
        <w:rPr>
          <w:b/>
          <w:rtl/>
          <w:lang w:val="ar"/>
        </w:rPr>
        <w:t xml:space="preserve"> </w:t>
      </w:r>
      <w:r w:rsidRPr="00696D27">
        <w:rPr>
          <w:b/>
          <w:rtl/>
          <w:lang w:val="ar" w:bidi="ar-JO"/>
        </w:rPr>
        <w:t>الطبيعة</w:t>
      </w:r>
      <w:r w:rsidRPr="00696D27">
        <w:rPr>
          <w:b/>
          <w:rtl/>
          <w:lang w:val="ar"/>
        </w:rPr>
        <w:t xml:space="preserve"> </w:t>
      </w:r>
      <w:r w:rsidRPr="00696D27">
        <w:rPr>
          <w:b/>
          <w:rtl/>
          <w:lang w:val="ar" w:bidi="ar-JO"/>
        </w:rPr>
        <w:t>الاجتماعية</w:t>
      </w:r>
      <w:r w:rsidRPr="00696D27">
        <w:rPr>
          <w:b/>
          <w:rtl/>
          <w:lang w:val="ar"/>
        </w:rPr>
        <w:t xml:space="preserve"> </w:t>
      </w:r>
      <w:r w:rsidRPr="00696D27">
        <w:rPr>
          <w:b/>
          <w:rtl/>
          <w:lang w:val="ar" w:bidi="ar-JO"/>
        </w:rPr>
        <w:t>وخدمة</w:t>
      </w:r>
      <w:r w:rsidRPr="00696D27">
        <w:rPr>
          <w:b/>
          <w:rtl/>
          <w:lang w:val="ar"/>
        </w:rPr>
        <w:t xml:space="preserve"> </w:t>
      </w:r>
      <w:r w:rsidRPr="00696D27">
        <w:rPr>
          <w:b/>
          <w:rtl/>
          <w:lang w:val="ar" w:bidi="ar-JO"/>
        </w:rPr>
        <w:t>المواطن</w:t>
      </w:r>
      <w:r w:rsidRPr="00696D27">
        <w:rPr>
          <w:b/>
          <w:rtl/>
          <w:lang w:val="ar"/>
        </w:rPr>
        <w:t xml:space="preserve"> </w:t>
      </w:r>
      <w:r w:rsidRPr="00696D27">
        <w:rPr>
          <w:b/>
          <w:rtl/>
          <w:lang w:val="ar" w:bidi="ar-JO"/>
        </w:rPr>
        <w:t>وكذلك</w:t>
      </w:r>
      <w:r w:rsidRPr="00696D27">
        <w:rPr>
          <w:b/>
          <w:rtl/>
          <w:lang w:val="ar"/>
        </w:rPr>
        <w:t xml:space="preserve"> </w:t>
      </w:r>
      <w:r w:rsidRPr="00696D27">
        <w:rPr>
          <w:b/>
          <w:rtl/>
          <w:lang w:val="ar" w:bidi="ar-JO"/>
        </w:rPr>
        <w:t>المخاطر</w:t>
      </w:r>
      <w:r w:rsidRPr="00696D27">
        <w:rPr>
          <w:b/>
          <w:rtl/>
          <w:lang w:val="ar"/>
        </w:rPr>
        <w:t xml:space="preserve"> </w:t>
      </w:r>
      <w:r w:rsidRPr="00696D27">
        <w:rPr>
          <w:b/>
          <w:rtl/>
          <w:lang w:val="ar" w:bidi="ar-JO"/>
        </w:rPr>
        <w:t>الملموسة</w:t>
      </w:r>
      <w:r w:rsidRPr="00696D27">
        <w:rPr>
          <w:b/>
          <w:rtl/>
          <w:lang w:val="ar"/>
        </w:rPr>
        <w:t xml:space="preserve"> </w:t>
      </w:r>
      <w:r w:rsidRPr="00696D27">
        <w:rPr>
          <w:b/>
          <w:rtl/>
          <w:lang w:val="ar" w:bidi="ar-JO"/>
        </w:rPr>
        <w:t>التي</w:t>
      </w:r>
      <w:r w:rsidRPr="00696D27">
        <w:rPr>
          <w:b/>
          <w:rtl/>
          <w:lang w:val="ar"/>
        </w:rPr>
        <w:t xml:space="preserve"> </w:t>
      </w:r>
      <w:r w:rsidRPr="00696D27">
        <w:rPr>
          <w:b/>
          <w:rtl/>
          <w:lang w:val="ar" w:bidi="ar-JO"/>
        </w:rPr>
        <w:t>تؤثر</w:t>
      </w:r>
      <w:r w:rsidRPr="00696D27">
        <w:rPr>
          <w:b/>
          <w:rtl/>
          <w:lang w:val="ar"/>
        </w:rPr>
        <w:t xml:space="preserve"> </w:t>
      </w:r>
      <w:r w:rsidRPr="00696D27">
        <w:rPr>
          <w:b/>
          <w:rtl/>
          <w:lang w:val="ar" w:bidi="ar-JO"/>
        </w:rPr>
        <w:t>على</w:t>
      </w:r>
      <w:r w:rsidRPr="00696D27">
        <w:rPr>
          <w:b/>
          <w:rtl/>
          <w:lang w:val="ar"/>
        </w:rPr>
        <w:t xml:space="preserve"> </w:t>
      </w:r>
      <w:r w:rsidRPr="00696D27">
        <w:rPr>
          <w:b/>
          <w:rtl/>
          <w:lang w:val="ar" w:bidi="ar-JO"/>
        </w:rPr>
        <w:t>نشاط</w:t>
      </w:r>
      <w:r w:rsidRPr="00696D27">
        <w:rPr>
          <w:b/>
          <w:rtl/>
          <w:lang w:val="ar"/>
        </w:rPr>
        <w:t xml:space="preserve"> </w:t>
      </w:r>
      <w:r w:rsidRPr="00696D27">
        <w:rPr>
          <w:b/>
          <w:rtl/>
          <w:lang w:val="ar" w:bidi="ar-JO"/>
        </w:rPr>
        <w:t>الجهات</w:t>
      </w:r>
      <w:r w:rsidRPr="00696D27">
        <w:rPr>
          <w:b/>
          <w:rtl/>
          <w:lang w:val="ar"/>
        </w:rPr>
        <w:t xml:space="preserve"> </w:t>
      </w:r>
      <w:r w:rsidRPr="00696D27">
        <w:rPr>
          <w:b/>
          <w:rtl/>
          <w:lang w:val="ar" w:bidi="ar-JO"/>
        </w:rPr>
        <w:t>الخاضعة</w:t>
      </w:r>
      <w:r w:rsidRPr="00696D27">
        <w:rPr>
          <w:b/>
          <w:rtl/>
          <w:lang w:val="ar"/>
        </w:rPr>
        <w:t xml:space="preserve"> </w:t>
      </w:r>
      <w:r w:rsidRPr="00696D27">
        <w:rPr>
          <w:b/>
          <w:rtl/>
          <w:lang w:val="ar" w:bidi="ar-JO"/>
        </w:rPr>
        <w:t>للمراقبة</w:t>
      </w:r>
      <w:r w:rsidRPr="00696D27">
        <w:rPr>
          <w:b/>
          <w:rtl/>
          <w:lang w:val="ar"/>
        </w:rPr>
        <w:t xml:space="preserve">. </w:t>
      </w:r>
      <w:r w:rsidRPr="00696D27">
        <w:rPr>
          <w:b/>
          <w:rtl/>
          <w:lang w:val="ar" w:bidi="ar-JO"/>
        </w:rPr>
        <w:t>هذا</w:t>
      </w:r>
      <w:r w:rsidRPr="00696D27">
        <w:rPr>
          <w:b/>
          <w:rtl/>
          <w:lang w:val="ar"/>
        </w:rPr>
        <w:t xml:space="preserve"> </w:t>
      </w:r>
      <w:r w:rsidRPr="00696D27">
        <w:rPr>
          <w:b/>
          <w:rtl/>
          <w:lang w:val="ar" w:bidi="ar-JO"/>
        </w:rPr>
        <w:t>إلى</w:t>
      </w:r>
      <w:r w:rsidRPr="00696D27">
        <w:rPr>
          <w:b/>
          <w:rtl/>
          <w:lang w:val="ar"/>
        </w:rPr>
        <w:t xml:space="preserve"> </w:t>
      </w:r>
      <w:r w:rsidRPr="00696D27">
        <w:rPr>
          <w:b/>
          <w:rtl/>
          <w:lang w:val="ar" w:bidi="ar-JO"/>
        </w:rPr>
        <w:t>جانب</w:t>
      </w:r>
      <w:r w:rsidRPr="00696D27">
        <w:rPr>
          <w:b/>
          <w:rtl/>
          <w:lang w:val="ar"/>
        </w:rPr>
        <w:t xml:space="preserve"> </w:t>
      </w:r>
      <w:r w:rsidRPr="00696D27">
        <w:rPr>
          <w:b/>
          <w:rtl/>
          <w:lang w:val="ar" w:bidi="ar-JO"/>
        </w:rPr>
        <w:t>القضايا</w:t>
      </w:r>
      <w:r w:rsidRPr="00696D27">
        <w:rPr>
          <w:b/>
          <w:rtl/>
          <w:lang w:val="ar"/>
        </w:rPr>
        <w:t xml:space="preserve"> </w:t>
      </w:r>
      <w:r w:rsidRPr="00696D27">
        <w:rPr>
          <w:b/>
          <w:rtl/>
          <w:lang w:val="ar" w:bidi="ar-JO"/>
        </w:rPr>
        <w:t>المتعلقة</w:t>
      </w:r>
      <w:r w:rsidRPr="00696D27">
        <w:rPr>
          <w:b/>
          <w:rtl/>
          <w:lang w:val="ar"/>
        </w:rPr>
        <w:t xml:space="preserve"> </w:t>
      </w:r>
      <w:r w:rsidRPr="00696D27">
        <w:rPr>
          <w:b/>
          <w:rtl/>
          <w:lang w:val="ar" w:bidi="ar-JO"/>
        </w:rPr>
        <w:t>بالإدارة</w:t>
      </w:r>
      <w:r w:rsidRPr="00696D27">
        <w:rPr>
          <w:b/>
          <w:rtl/>
          <w:lang w:val="ar"/>
        </w:rPr>
        <w:t xml:space="preserve"> </w:t>
      </w:r>
      <w:r w:rsidRPr="00696D27">
        <w:rPr>
          <w:b/>
          <w:rtl/>
          <w:lang w:val="ar" w:bidi="ar-JO"/>
        </w:rPr>
        <w:t>السليمة</w:t>
      </w:r>
      <w:r w:rsidRPr="00696D27">
        <w:rPr>
          <w:b/>
          <w:rtl/>
          <w:lang w:val="ar"/>
        </w:rPr>
        <w:t xml:space="preserve"> </w:t>
      </w:r>
      <w:r w:rsidRPr="00696D27">
        <w:rPr>
          <w:b/>
          <w:rtl/>
          <w:lang w:val="ar" w:bidi="ar-JO"/>
        </w:rPr>
        <w:t>والنزاهة</w:t>
      </w:r>
      <w:r w:rsidRPr="00696D27">
        <w:rPr>
          <w:b/>
          <w:rtl/>
          <w:lang w:val="ar"/>
        </w:rPr>
        <w:t xml:space="preserve">. </w:t>
      </w:r>
    </w:p>
    <w:p w:rsidR="00696D27" w:rsidRPr="00D33657" w:rsidP="00696D27" w14:paraId="1D6F08AE" w14:textId="77777777">
      <w:pPr>
        <w:pStyle w:val="7190"/>
        <w:rPr>
          <w:b/>
          <w:spacing w:val="-2"/>
          <w:rtl/>
          <w:lang w:val="ar"/>
        </w:rPr>
      </w:pPr>
      <w:r w:rsidRPr="00D33657">
        <w:rPr>
          <w:rFonts w:hint="cs"/>
          <w:b/>
          <w:spacing w:val="-2"/>
          <w:rtl/>
          <w:lang w:val="ar" w:bidi="ar-JO"/>
        </w:rPr>
        <w:t>وضعت</w:t>
      </w:r>
      <w:r w:rsidRPr="00D33657">
        <w:rPr>
          <w:rFonts w:hint="cs"/>
          <w:b/>
          <w:spacing w:val="-2"/>
          <w:rtl/>
          <w:lang w:val="ar"/>
        </w:rPr>
        <w:t xml:space="preserve"> </w:t>
      </w:r>
      <w:r w:rsidRPr="00D33657">
        <w:rPr>
          <w:rFonts w:hint="cs"/>
          <w:b/>
          <w:spacing w:val="-2"/>
          <w:rtl/>
          <w:lang w:val="ar" w:bidi="ar-JO"/>
        </w:rPr>
        <w:t>فصول</w:t>
      </w:r>
      <w:r w:rsidRPr="00D33657">
        <w:rPr>
          <w:rFonts w:hint="cs"/>
          <w:b/>
          <w:spacing w:val="-2"/>
          <w:rtl/>
          <w:lang w:val="ar"/>
        </w:rPr>
        <w:t xml:space="preserve"> </w:t>
      </w:r>
      <w:r w:rsidRPr="00D33657">
        <w:rPr>
          <w:rFonts w:hint="cs"/>
          <w:b/>
          <w:spacing w:val="-2"/>
          <w:rtl/>
          <w:lang w:val="ar" w:bidi="ar-JO"/>
        </w:rPr>
        <w:t>التقرير</w:t>
      </w:r>
      <w:r w:rsidRPr="00D33657">
        <w:rPr>
          <w:rFonts w:hint="cs"/>
          <w:b/>
          <w:spacing w:val="-2"/>
          <w:rtl/>
          <w:lang w:val="ar"/>
        </w:rPr>
        <w:t xml:space="preserve"> </w:t>
      </w:r>
      <w:r w:rsidRPr="00D33657">
        <w:rPr>
          <w:rFonts w:hint="cs"/>
          <w:b/>
          <w:spacing w:val="-2"/>
          <w:rtl/>
          <w:lang w:val="ar" w:bidi="ar-JO"/>
        </w:rPr>
        <w:t>على</w:t>
      </w:r>
      <w:r w:rsidRPr="00D33657">
        <w:rPr>
          <w:rFonts w:hint="cs"/>
          <w:b/>
          <w:spacing w:val="-2"/>
          <w:rtl/>
          <w:lang w:val="ar"/>
        </w:rPr>
        <w:t xml:space="preserve"> </w:t>
      </w:r>
      <w:r w:rsidRPr="00D33657">
        <w:rPr>
          <w:rFonts w:hint="cs"/>
          <w:b/>
          <w:spacing w:val="-2"/>
          <w:rtl/>
          <w:lang w:val="ar" w:bidi="ar-JO"/>
        </w:rPr>
        <w:t>جدول</w:t>
      </w:r>
      <w:r w:rsidRPr="00D33657">
        <w:rPr>
          <w:rFonts w:hint="cs"/>
          <w:b/>
          <w:spacing w:val="-2"/>
          <w:rtl/>
          <w:lang w:val="ar"/>
        </w:rPr>
        <w:t xml:space="preserve"> </w:t>
      </w:r>
      <w:r w:rsidRPr="00D33657">
        <w:rPr>
          <w:rFonts w:hint="cs"/>
          <w:b/>
          <w:spacing w:val="-2"/>
          <w:rtl/>
          <w:lang w:val="ar" w:bidi="ar-JO"/>
        </w:rPr>
        <w:t>الأعمال</w:t>
      </w:r>
      <w:r w:rsidRPr="00D33657">
        <w:rPr>
          <w:rFonts w:hint="cs"/>
          <w:b/>
          <w:spacing w:val="-2"/>
          <w:rtl/>
          <w:lang w:val="ar"/>
        </w:rPr>
        <w:t xml:space="preserve"> </w:t>
      </w:r>
      <w:r w:rsidRPr="00D33657">
        <w:rPr>
          <w:rFonts w:hint="cs"/>
          <w:b/>
          <w:spacing w:val="-2"/>
          <w:rtl/>
          <w:lang w:val="ar" w:bidi="ar-JO"/>
        </w:rPr>
        <w:t>العام</w:t>
      </w:r>
      <w:r w:rsidRPr="00D33657">
        <w:rPr>
          <w:rFonts w:hint="cs"/>
          <w:b/>
          <w:spacing w:val="-2"/>
          <w:rtl/>
          <w:lang w:val="ar"/>
        </w:rPr>
        <w:t xml:space="preserve"> </w:t>
      </w:r>
      <w:r w:rsidRPr="00D33657">
        <w:rPr>
          <w:rFonts w:hint="cs"/>
          <w:b/>
          <w:spacing w:val="-2"/>
          <w:rtl/>
          <w:lang w:val="ar" w:bidi="ar-JO"/>
        </w:rPr>
        <w:t>نتائج</w:t>
      </w:r>
      <w:r w:rsidRPr="00D33657">
        <w:rPr>
          <w:rFonts w:hint="cs"/>
          <w:b/>
          <w:spacing w:val="-2"/>
          <w:rtl/>
          <w:lang w:val="ar"/>
        </w:rPr>
        <w:t xml:space="preserve"> </w:t>
      </w:r>
      <w:r w:rsidRPr="00D33657">
        <w:rPr>
          <w:rFonts w:hint="cs"/>
          <w:b/>
          <w:spacing w:val="-2"/>
          <w:rtl/>
          <w:lang w:val="ar" w:bidi="ar-JO"/>
        </w:rPr>
        <w:t>مراقبة</w:t>
      </w:r>
      <w:r w:rsidRPr="00D33657">
        <w:rPr>
          <w:rFonts w:hint="cs"/>
          <w:b/>
          <w:spacing w:val="-2"/>
          <w:rtl/>
          <w:lang w:val="ar"/>
        </w:rPr>
        <w:t xml:space="preserve"> </w:t>
      </w:r>
      <w:r w:rsidRPr="00D33657">
        <w:rPr>
          <w:rFonts w:hint="cs"/>
          <w:b/>
          <w:spacing w:val="-2"/>
          <w:rtl/>
          <w:lang w:val="ar" w:bidi="ar-JO"/>
        </w:rPr>
        <w:t>هامة</w:t>
      </w:r>
      <w:r w:rsidRPr="00D33657">
        <w:rPr>
          <w:rFonts w:hint="cs"/>
          <w:b/>
          <w:spacing w:val="-2"/>
          <w:rtl/>
          <w:lang w:val="ar"/>
        </w:rPr>
        <w:t xml:space="preserve"> </w:t>
      </w:r>
      <w:r w:rsidRPr="00D33657">
        <w:rPr>
          <w:rFonts w:hint="cs"/>
          <w:b/>
          <w:spacing w:val="-2"/>
          <w:rtl/>
          <w:lang w:val="ar" w:bidi="ar-JO"/>
        </w:rPr>
        <w:t>تمس</w:t>
      </w:r>
      <w:r w:rsidRPr="00D33657">
        <w:rPr>
          <w:rFonts w:hint="cs"/>
          <w:b/>
          <w:spacing w:val="-2"/>
          <w:rtl/>
          <w:lang w:val="ar"/>
        </w:rPr>
        <w:t xml:space="preserve"> </w:t>
      </w:r>
      <w:r w:rsidRPr="00D33657">
        <w:rPr>
          <w:rFonts w:hint="cs"/>
          <w:b/>
          <w:spacing w:val="-2"/>
          <w:rtl/>
          <w:lang w:val="ar" w:bidi="ar-JO"/>
        </w:rPr>
        <w:t>مجموعة</w:t>
      </w:r>
      <w:r w:rsidRPr="00D33657">
        <w:rPr>
          <w:rFonts w:hint="cs"/>
          <w:b/>
          <w:spacing w:val="-2"/>
          <w:rtl/>
          <w:lang w:val="ar"/>
        </w:rPr>
        <w:t xml:space="preserve"> </w:t>
      </w:r>
      <w:r w:rsidRPr="00D33657">
        <w:rPr>
          <w:rFonts w:hint="cs"/>
          <w:b/>
          <w:spacing w:val="-2"/>
          <w:rtl/>
          <w:lang w:val="ar" w:bidi="ar-JO"/>
        </w:rPr>
        <w:t>متنوعة</w:t>
      </w:r>
      <w:r w:rsidRPr="00D33657">
        <w:rPr>
          <w:rFonts w:hint="cs"/>
          <w:b/>
          <w:spacing w:val="-2"/>
          <w:rtl/>
          <w:lang w:val="ar"/>
        </w:rPr>
        <w:t xml:space="preserve"> </w:t>
      </w:r>
      <w:r w:rsidRPr="00D33657">
        <w:rPr>
          <w:rFonts w:hint="cs"/>
          <w:b/>
          <w:spacing w:val="-2"/>
          <w:rtl/>
          <w:lang w:val="ar" w:bidi="ar-JO"/>
        </w:rPr>
        <w:t>من</w:t>
      </w:r>
      <w:r w:rsidRPr="00D33657">
        <w:rPr>
          <w:rFonts w:hint="cs"/>
          <w:b/>
          <w:spacing w:val="-2"/>
          <w:rtl/>
          <w:lang w:val="ar"/>
        </w:rPr>
        <w:t xml:space="preserve"> </w:t>
      </w:r>
      <w:r w:rsidRPr="00D33657">
        <w:rPr>
          <w:rFonts w:hint="cs"/>
          <w:b/>
          <w:spacing w:val="-2"/>
          <w:rtl/>
          <w:lang w:val="ar" w:bidi="ar-JO"/>
        </w:rPr>
        <w:t>المجالات،</w:t>
      </w:r>
      <w:r w:rsidRPr="00D33657">
        <w:rPr>
          <w:rFonts w:hint="cs"/>
          <w:b/>
          <w:spacing w:val="-2"/>
          <w:rtl/>
          <w:lang w:val="ar"/>
        </w:rPr>
        <w:t xml:space="preserve"> </w:t>
      </w:r>
      <w:r w:rsidRPr="00D33657">
        <w:rPr>
          <w:rFonts w:hint="cs"/>
          <w:b/>
          <w:spacing w:val="-2"/>
          <w:rtl/>
          <w:lang w:val="ar" w:bidi="ar-JO"/>
        </w:rPr>
        <w:t>بما</w:t>
      </w:r>
      <w:r w:rsidRPr="00D33657">
        <w:rPr>
          <w:rFonts w:hint="cs"/>
          <w:b/>
          <w:spacing w:val="-2"/>
          <w:rtl/>
          <w:lang w:val="ar"/>
        </w:rPr>
        <w:t xml:space="preserve"> </w:t>
      </w:r>
      <w:r w:rsidRPr="00D33657">
        <w:rPr>
          <w:rFonts w:hint="cs"/>
          <w:b/>
          <w:spacing w:val="-2"/>
          <w:rtl/>
          <w:lang w:val="ar" w:bidi="ar-JO"/>
        </w:rPr>
        <w:t>في</w:t>
      </w:r>
      <w:r w:rsidRPr="00D33657">
        <w:rPr>
          <w:rFonts w:hint="cs"/>
          <w:b/>
          <w:spacing w:val="-2"/>
          <w:rtl/>
          <w:lang w:val="ar"/>
        </w:rPr>
        <w:t xml:space="preserve"> </w:t>
      </w:r>
      <w:r w:rsidRPr="00D33657">
        <w:rPr>
          <w:rFonts w:hint="cs"/>
          <w:b/>
          <w:spacing w:val="-2"/>
          <w:rtl/>
          <w:lang w:val="ar" w:bidi="ar-JO"/>
        </w:rPr>
        <w:t>ذلك</w:t>
      </w:r>
      <w:r w:rsidRPr="00D33657">
        <w:rPr>
          <w:rFonts w:hint="cs"/>
          <w:b/>
          <w:spacing w:val="-2"/>
          <w:rtl/>
          <w:lang w:val="ar"/>
        </w:rPr>
        <w:t xml:space="preserve"> </w:t>
      </w:r>
      <w:r w:rsidRPr="00D33657">
        <w:rPr>
          <w:rFonts w:hint="cs"/>
          <w:b/>
          <w:spacing w:val="-2"/>
          <w:rtl/>
          <w:lang w:val="ar" w:bidi="ar-JO"/>
        </w:rPr>
        <w:t>رفاهية</w:t>
      </w:r>
      <w:r w:rsidRPr="00D33657">
        <w:rPr>
          <w:rFonts w:hint="cs"/>
          <w:b/>
          <w:spacing w:val="-2"/>
          <w:rtl/>
          <w:lang w:val="ar"/>
        </w:rPr>
        <w:t xml:space="preserve"> </w:t>
      </w:r>
      <w:r w:rsidRPr="00D33657">
        <w:rPr>
          <w:rFonts w:hint="cs"/>
          <w:b/>
          <w:spacing w:val="-2"/>
          <w:rtl/>
          <w:lang w:val="ar" w:bidi="ar-JO"/>
        </w:rPr>
        <w:t>الفرد،</w:t>
      </w:r>
      <w:r w:rsidRPr="00D33657">
        <w:rPr>
          <w:rFonts w:hint="cs"/>
          <w:b/>
          <w:spacing w:val="-2"/>
          <w:rtl/>
          <w:lang w:val="ar"/>
        </w:rPr>
        <w:t xml:space="preserve"> </w:t>
      </w:r>
      <w:r w:rsidRPr="00D33657">
        <w:rPr>
          <w:rFonts w:hint="cs"/>
          <w:b/>
          <w:spacing w:val="-2"/>
          <w:rtl/>
          <w:lang w:val="ar" w:bidi="ar-JO"/>
        </w:rPr>
        <w:t>الخدمة</w:t>
      </w:r>
      <w:r w:rsidRPr="00D33657">
        <w:rPr>
          <w:rFonts w:hint="cs"/>
          <w:b/>
          <w:spacing w:val="-2"/>
          <w:rtl/>
          <w:lang w:val="ar"/>
        </w:rPr>
        <w:t xml:space="preserve"> </w:t>
      </w:r>
      <w:r w:rsidRPr="00D33657">
        <w:rPr>
          <w:rFonts w:hint="cs"/>
          <w:b/>
          <w:spacing w:val="-2"/>
          <w:rtl/>
          <w:lang w:val="ar" w:bidi="ar-JO"/>
        </w:rPr>
        <w:t>للمواطن،</w:t>
      </w:r>
      <w:r w:rsidRPr="00D33657">
        <w:rPr>
          <w:rFonts w:hint="cs"/>
          <w:b/>
          <w:spacing w:val="-2"/>
          <w:rtl/>
          <w:lang w:val="ar"/>
        </w:rPr>
        <w:t xml:space="preserve"> </w:t>
      </w:r>
      <w:r w:rsidRPr="00D33657">
        <w:rPr>
          <w:rFonts w:hint="cs"/>
          <w:b/>
          <w:spacing w:val="-2"/>
          <w:rtl/>
          <w:lang w:val="ar" w:bidi="ar-JO"/>
        </w:rPr>
        <w:t>فعالية</w:t>
      </w:r>
      <w:r w:rsidRPr="00D33657">
        <w:rPr>
          <w:rFonts w:hint="cs"/>
          <w:b/>
          <w:spacing w:val="-2"/>
          <w:rtl/>
          <w:lang w:val="ar"/>
        </w:rPr>
        <w:t xml:space="preserve"> </w:t>
      </w:r>
      <w:r w:rsidRPr="00D33657">
        <w:rPr>
          <w:rFonts w:hint="cs"/>
          <w:b/>
          <w:spacing w:val="-2"/>
          <w:rtl/>
          <w:lang w:val="ar" w:bidi="ar-JO"/>
        </w:rPr>
        <w:t>خطط</w:t>
      </w:r>
      <w:r w:rsidRPr="00D33657">
        <w:rPr>
          <w:rFonts w:hint="cs"/>
          <w:b/>
          <w:spacing w:val="-2"/>
          <w:rtl/>
          <w:lang w:val="ar"/>
        </w:rPr>
        <w:t xml:space="preserve"> </w:t>
      </w:r>
      <w:r w:rsidRPr="00D33657">
        <w:rPr>
          <w:rFonts w:hint="cs"/>
          <w:b/>
          <w:spacing w:val="-2"/>
          <w:rtl/>
          <w:lang w:val="ar" w:bidi="ar-JO"/>
        </w:rPr>
        <w:t>الإنعاش،</w:t>
      </w:r>
      <w:r w:rsidRPr="00D33657">
        <w:rPr>
          <w:rFonts w:hint="cs"/>
          <w:b/>
          <w:spacing w:val="-2"/>
          <w:rtl/>
          <w:lang w:val="ar"/>
        </w:rPr>
        <w:t xml:space="preserve"> </w:t>
      </w:r>
      <w:r w:rsidRPr="00D33657">
        <w:rPr>
          <w:rFonts w:hint="cs"/>
          <w:b/>
          <w:spacing w:val="-2"/>
          <w:rtl/>
          <w:lang w:val="ar" w:bidi="ar-JO"/>
        </w:rPr>
        <w:t>تحصيل</w:t>
      </w:r>
      <w:r w:rsidRPr="00D33657">
        <w:rPr>
          <w:rFonts w:hint="cs"/>
          <w:b/>
          <w:spacing w:val="-2"/>
          <w:rtl/>
          <w:lang w:val="ar"/>
        </w:rPr>
        <w:t xml:space="preserve"> </w:t>
      </w:r>
      <w:r w:rsidRPr="00D33657">
        <w:rPr>
          <w:rFonts w:hint="cs"/>
          <w:b/>
          <w:spacing w:val="-2"/>
          <w:rtl/>
          <w:lang w:val="ar" w:bidi="ar-JO"/>
        </w:rPr>
        <w:t>ضرائب</w:t>
      </w:r>
      <w:r w:rsidRPr="00D33657">
        <w:rPr>
          <w:rFonts w:hint="cs"/>
          <w:b/>
          <w:spacing w:val="-2"/>
          <w:rtl/>
          <w:lang w:val="ar"/>
        </w:rPr>
        <w:t xml:space="preserve"> </w:t>
      </w:r>
      <w:r w:rsidRPr="00D33657">
        <w:rPr>
          <w:rFonts w:hint="cs"/>
          <w:b/>
          <w:spacing w:val="-2"/>
          <w:rtl/>
          <w:lang w:val="ar" w:bidi="ar-JO"/>
        </w:rPr>
        <w:t>البلدية،</w:t>
      </w:r>
      <w:r w:rsidRPr="00D33657">
        <w:rPr>
          <w:rFonts w:hint="cs"/>
          <w:b/>
          <w:spacing w:val="-2"/>
          <w:rtl/>
          <w:lang w:val="ar"/>
        </w:rPr>
        <w:t xml:space="preserve"> </w:t>
      </w:r>
      <w:r w:rsidRPr="00D33657">
        <w:rPr>
          <w:rFonts w:hint="cs"/>
          <w:b/>
          <w:spacing w:val="-2"/>
          <w:rtl/>
          <w:lang w:val="ar" w:bidi="ar-JO"/>
        </w:rPr>
        <w:t>الخدمة</w:t>
      </w:r>
      <w:r w:rsidRPr="00D33657">
        <w:rPr>
          <w:rFonts w:hint="cs"/>
          <w:b/>
          <w:spacing w:val="-2"/>
          <w:rtl/>
          <w:lang w:val="ar"/>
        </w:rPr>
        <w:t xml:space="preserve"> </w:t>
      </w:r>
      <w:r w:rsidRPr="00D33657">
        <w:rPr>
          <w:rFonts w:hint="cs"/>
          <w:b/>
          <w:spacing w:val="-2"/>
          <w:rtl/>
          <w:lang w:val="ar" w:bidi="ar-JO"/>
        </w:rPr>
        <w:t>البيطرية،</w:t>
      </w:r>
      <w:r w:rsidRPr="00D33657">
        <w:rPr>
          <w:rFonts w:hint="cs"/>
          <w:b/>
          <w:spacing w:val="-2"/>
          <w:rtl/>
          <w:lang w:val="ar"/>
        </w:rPr>
        <w:t xml:space="preserve"> </w:t>
      </w:r>
      <w:r w:rsidRPr="00D33657">
        <w:rPr>
          <w:rFonts w:hint="cs"/>
          <w:b/>
          <w:spacing w:val="-2"/>
          <w:rtl/>
          <w:lang w:val="ar" w:bidi="ar-JO"/>
        </w:rPr>
        <w:t>والتخطيط</w:t>
      </w:r>
      <w:r w:rsidRPr="00D33657">
        <w:rPr>
          <w:rFonts w:hint="cs"/>
          <w:b/>
          <w:spacing w:val="-2"/>
          <w:rtl/>
          <w:lang w:val="ar"/>
        </w:rPr>
        <w:t xml:space="preserve"> </w:t>
      </w:r>
      <w:r w:rsidRPr="00D33657">
        <w:rPr>
          <w:rFonts w:hint="cs"/>
          <w:b/>
          <w:spacing w:val="-2"/>
          <w:rtl/>
          <w:lang w:val="ar" w:bidi="ar-JO"/>
        </w:rPr>
        <w:t>والبناء</w:t>
      </w:r>
      <w:r w:rsidRPr="00D33657">
        <w:rPr>
          <w:rFonts w:hint="cs"/>
          <w:b/>
          <w:spacing w:val="-2"/>
          <w:rtl/>
          <w:lang w:val="ar"/>
        </w:rPr>
        <w:t xml:space="preserve"> </w:t>
      </w:r>
      <w:r w:rsidRPr="00D33657">
        <w:rPr>
          <w:rFonts w:hint="cs"/>
          <w:b/>
          <w:spacing w:val="-2"/>
          <w:rtl/>
          <w:lang w:val="ar" w:bidi="ar-JO"/>
        </w:rPr>
        <w:t>وصيانة</w:t>
      </w:r>
      <w:r w:rsidRPr="00D33657">
        <w:rPr>
          <w:rFonts w:hint="cs"/>
          <w:b/>
          <w:spacing w:val="-2"/>
          <w:rtl/>
          <w:lang w:val="ar"/>
        </w:rPr>
        <w:t xml:space="preserve"> </w:t>
      </w:r>
      <w:r w:rsidRPr="00D33657">
        <w:rPr>
          <w:rFonts w:hint="cs"/>
          <w:b/>
          <w:spacing w:val="-2"/>
          <w:rtl/>
          <w:lang w:val="ar" w:bidi="ar-JO"/>
        </w:rPr>
        <w:t>البنى</w:t>
      </w:r>
      <w:r w:rsidRPr="00D33657">
        <w:rPr>
          <w:rFonts w:hint="cs"/>
          <w:b/>
          <w:spacing w:val="-2"/>
          <w:rtl/>
          <w:lang w:val="ar"/>
        </w:rPr>
        <w:t xml:space="preserve"> </w:t>
      </w:r>
      <w:r w:rsidRPr="00D33657">
        <w:rPr>
          <w:rFonts w:hint="cs"/>
          <w:b/>
          <w:spacing w:val="-2"/>
          <w:rtl/>
          <w:lang w:val="ar" w:bidi="ar-JO"/>
        </w:rPr>
        <w:t>التحتية</w:t>
      </w:r>
      <w:r w:rsidRPr="00D33657">
        <w:rPr>
          <w:rFonts w:hint="cs"/>
          <w:b/>
          <w:spacing w:val="-2"/>
          <w:rtl/>
          <w:lang w:val="ar"/>
        </w:rPr>
        <w:t xml:space="preserve">. </w:t>
      </w:r>
      <w:r w:rsidRPr="00D33657">
        <w:rPr>
          <w:rFonts w:hint="cs"/>
          <w:b/>
          <w:spacing w:val="-2"/>
          <w:rtl/>
          <w:lang w:val="ar" w:bidi="ar-JO"/>
        </w:rPr>
        <w:t>فيما</w:t>
      </w:r>
      <w:r w:rsidRPr="00D33657">
        <w:rPr>
          <w:rFonts w:hint="cs"/>
          <w:b/>
          <w:spacing w:val="-2"/>
          <w:rtl/>
          <w:lang w:val="ar"/>
        </w:rPr>
        <w:t xml:space="preserve"> </w:t>
      </w:r>
      <w:r w:rsidRPr="00D33657">
        <w:rPr>
          <w:rFonts w:hint="cs"/>
          <w:b/>
          <w:spacing w:val="-2"/>
          <w:rtl/>
          <w:lang w:val="ar" w:bidi="ar-JO"/>
        </w:rPr>
        <w:t>يلي</w:t>
      </w:r>
      <w:r w:rsidRPr="00D33657">
        <w:rPr>
          <w:rFonts w:hint="cs"/>
          <w:b/>
          <w:spacing w:val="-2"/>
          <w:rtl/>
          <w:lang w:val="ar"/>
        </w:rPr>
        <w:t xml:space="preserve"> </w:t>
      </w:r>
      <w:r w:rsidRPr="00D33657">
        <w:rPr>
          <w:rFonts w:hint="cs"/>
          <w:b/>
          <w:spacing w:val="-2"/>
          <w:rtl/>
          <w:lang w:val="ar" w:bidi="ar-JO"/>
        </w:rPr>
        <w:t>استعراض</w:t>
      </w:r>
      <w:r w:rsidRPr="00D33657">
        <w:rPr>
          <w:rFonts w:hint="cs"/>
          <w:b/>
          <w:spacing w:val="-2"/>
          <w:rtl/>
          <w:lang w:val="ar"/>
        </w:rPr>
        <w:t xml:space="preserve"> </w:t>
      </w:r>
      <w:r w:rsidRPr="00D33657">
        <w:rPr>
          <w:rFonts w:hint="cs"/>
          <w:b/>
          <w:spacing w:val="-2"/>
          <w:rtl/>
          <w:lang w:val="ar" w:bidi="ar-JO"/>
        </w:rPr>
        <w:t>لبعض</w:t>
      </w:r>
      <w:r w:rsidRPr="00D33657">
        <w:rPr>
          <w:rFonts w:hint="cs"/>
          <w:b/>
          <w:spacing w:val="-2"/>
          <w:rtl/>
          <w:lang w:val="ar"/>
        </w:rPr>
        <w:t xml:space="preserve"> </w:t>
      </w:r>
      <w:r w:rsidRPr="00D33657">
        <w:rPr>
          <w:rFonts w:hint="cs"/>
          <w:b/>
          <w:spacing w:val="-2"/>
          <w:rtl/>
          <w:lang w:val="ar" w:bidi="ar-JO"/>
        </w:rPr>
        <w:t>الفصول</w:t>
      </w:r>
      <w:r w:rsidRPr="00D33657">
        <w:rPr>
          <w:rFonts w:hint="cs"/>
          <w:b/>
          <w:spacing w:val="-2"/>
          <w:rtl/>
          <w:lang w:val="ar"/>
        </w:rPr>
        <w:t xml:space="preserve"> </w:t>
      </w:r>
      <w:r w:rsidRPr="00D33657">
        <w:rPr>
          <w:rFonts w:hint="cs"/>
          <w:b/>
          <w:spacing w:val="-2"/>
          <w:rtl/>
          <w:lang w:val="ar" w:bidi="ar-JO"/>
        </w:rPr>
        <w:t>المدرجة</w:t>
      </w:r>
      <w:r w:rsidRPr="00D33657">
        <w:rPr>
          <w:rFonts w:hint="cs"/>
          <w:b/>
          <w:spacing w:val="-2"/>
          <w:rtl/>
          <w:lang w:val="ar"/>
        </w:rPr>
        <w:t xml:space="preserve"> </w:t>
      </w:r>
      <w:r w:rsidRPr="00D33657">
        <w:rPr>
          <w:rFonts w:hint="cs"/>
          <w:b/>
          <w:spacing w:val="-2"/>
          <w:rtl/>
          <w:lang w:val="ar" w:bidi="ar-JO"/>
        </w:rPr>
        <w:t>على</w:t>
      </w:r>
      <w:r w:rsidRPr="00D33657">
        <w:rPr>
          <w:rFonts w:hint="cs"/>
          <w:b/>
          <w:spacing w:val="-2"/>
          <w:rtl/>
          <w:lang w:val="ar"/>
        </w:rPr>
        <w:t xml:space="preserve"> </w:t>
      </w:r>
      <w:r w:rsidRPr="00D33657">
        <w:rPr>
          <w:rFonts w:hint="cs"/>
          <w:b/>
          <w:spacing w:val="-2"/>
          <w:rtl/>
          <w:lang w:val="ar" w:bidi="ar-JO"/>
        </w:rPr>
        <w:t>هذا</w:t>
      </w:r>
      <w:r w:rsidRPr="00D33657">
        <w:rPr>
          <w:rFonts w:hint="cs"/>
          <w:b/>
          <w:spacing w:val="-2"/>
          <w:rtl/>
          <w:lang w:val="ar"/>
        </w:rPr>
        <w:t xml:space="preserve"> </w:t>
      </w:r>
      <w:r w:rsidRPr="00D33657">
        <w:rPr>
          <w:rFonts w:hint="cs"/>
          <w:b/>
          <w:spacing w:val="-2"/>
          <w:rtl/>
          <w:lang w:val="ar" w:bidi="ar-JO"/>
        </w:rPr>
        <w:t>التقرير</w:t>
      </w:r>
      <w:r w:rsidRPr="00D33657">
        <w:rPr>
          <w:rFonts w:hint="cs"/>
          <w:b/>
          <w:spacing w:val="-2"/>
          <w:rtl/>
          <w:lang w:val="ar"/>
        </w:rPr>
        <w:t>:</w:t>
      </w:r>
    </w:p>
    <w:p w:rsidR="00696D27" w:rsidRPr="00EF0616" w:rsidP="00696D27" w14:paraId="47ACCB9C" w14:textId="77777777">
      <w:pPr>
        <w:pStyle w:val="7190"/>
        <w:ind w:left="397"/>
        <w:rPr>
          <w:rtl/>
        </w:rPr>
      </w:pPr>
      <w:r w:rsidRPr="00D33657">
        <w:rPr>
          <w:rFonts w:hint="cs"/>
          <w:rtl/>
          <w:lang w:bidi="ar-JO"/>
        </w:rPr>
        <w:t>تهدف</w:t>
      </w:r>
      <w:r w:rsidRPr="00D33657">
        <w:rPr>
          <w:rFonts w:hint="cs"/>
          <w:rtl/>
        </w:rPr>
        <w:t xml:space="preserve"> </w:t>
      </w:r>
      <w:r w:rsidRPr="00D33657">
        <w:rPr>
          <w:rFonts w:hint="cs"/>
          <w:rtl/>
          <w:lang w:bidi="ar-JO"/>
        </w:rPr>
        <w:t>خطة</w:t>
      </w:r>
      <w:r w:rsidRPr="00D33657">
        <w:rPr>
          <w:rFonts w:hint="cs"/>
          <w:rtl/>
        </w:rPr>
        <w:t xml:space="preserve"> </w:t>
      </w:r>
      <w:r w:rsidRPr="00D33657">
        <w:rPr>
          <w:rFonts w:hint="cs"/>
          <w:rtl/>
          <w:lang w:bidi="ar-JO"/>
        </w:rPr>
        <w:t>الإنعاش</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التوصل</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حل</w:t>
      </w:r>
      <w:r w:rsidRPr="00D33657">
        <w:rPr>
          <w:rFonts w:hint="cs"/>
          <w:rtl/>
        </w:rPr>
        <w:t xml:space="preserve"> </w:t>
      </w:r>
      <w:r w:rsidRPr="00D33657">
        <w:rPr>
          <w:rFonts w:hint="cs"/>
          <w:rtl/>
          <w:lang w:bidi="ar-JO"/>
        </w:rPr>
        <w:t>شامل</w:t>
      </w:r>
      <w:r w:rsidRPr="00D33657">
        <w:rPr>
          <w:rFonts w:hint="cs"/>
          <w:rtl/>
        </w:rPr>
        <w:t xml:space="preserve"> </w:t>
      </w:r>
      <w:r w:rsidRPr="00D33657">
        <w:rPr>
          <w:rFonts w:hint="cs"/>
          <w:rtl/>
          <w:lang w:bidi="ar-JO"/>
        </w:rPr>
        <w:t>لعجز</w:t>
      </w:r>
      <w:r w:rsidRPr="00D33657">
        <w:rPr>
          <w:rFonts w:hint="cs"/>
          <w:rtl/>
        </w:rPr>
        <w:t xml:space="preserve"> </w:t>
      </w:r>
      <w:r w:rsidRPr="00D33657">
        <w:rPr>
          <w:rFonts w:hint="cs"/>
          <w:rtl/>
          <w:lang w:bidi="ar-JO"/>
        </w:rPr>
        <w:t>السلطة</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بحيث</w:t>
      </w:r>
      <w:r w:rsidRPr="00D33657">
        <w:rPr>
          <w:rFonts w:hint="cs"/>
          <w:rtl/>
        </w:rPr>
        <w:t xml:space="preserve"> </w:t>
      </w:r>
      <w:r w:rsidRPr="00D33657">
        <w:rPr>
          <w:rFonts w:hint="cs"/>
          <w:rtl/>
          <w:lang w:bidi="ar-JO"/>
        </w:rPr>
        <w:t>يكون</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الممكن،</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بين</w:t>
      </w:r>
      <w:r w:rsidRPr="00D33657">
        <w:rPr>
          <w:rFonts w:hint="cs"/>
          <w:rtl/>
        </w:rPr>
        <w:t xml:space="preserve"> </w:t>
      </w:r>
      <w:r w:rsidRPr="00D33657">
        <w:rPr>
          <w:rFonts w:hint="cs"/>
          <w:rtl/>
          <w:lang w:bidi="ar-JO"/>
        </w:rPr>
        <w:t>أمور</w:t>
      </w:r>
      <w:r w:rsidRPr="00D33657">
        <w:rPr>
          <w:rFonts w:hint="cs"/>
          <w:rtl/>
        </w:rPr>
        <w:t xml:space="preserve"> </w:t>
      </w:r>
      <w:r w:rsidRPr="00D33657">
        <w:rPr>
          <w:rFonts w:hint="cs"/>
          <w:rtl/>
          <w:lang w:bidi="ar-JO"/>
        </w:rPr>
        <w:t>أخرى،</w:t>
      </w:r>
      <w:r w:rsidRPr="00D33657">
        <w:rPr>
          <w:rFonts w:hint="cs"/>
          <w:rtl/>
        </w:rPr>
        <w:t xml:space="preserve"> </w:t>
      </w:r>
      <w:r w:rsidRPr="00D33657">
        <w:rPr>
          <w:rFonts w:hint="cs"/>
          <w:rtl/>
          <w:lang w:bidi="ar-JO"/>
        </w:rPr>
        <w:t>تقديم</w:t>
      </w:r>
      <w:r w:rsidRPr="00D33657">
        <w:rPr>
          <w:rFonts w:hint="cs"/>
          <w:rtl/>
        </w:rPr>
        <w:t xml:space="preserve"> </w:t>
      </w:r>
      <w:r w:rsidRPr="00D33657">
        <w:rPr>
          <w:rFonts w:hint="cs"/>
          <w:rtl/>
          <w:lang w:bidi="ar-JO"/>
        </w:rPr>
        <w:t>الخدمات</w:t>
      </w:r>
      <w:r w:rsidRPr="00D33657">
        <w:rPr>
          <w:rFonts w:hint="cs"/>
          <w:rtl/>
        </w:rPr>
        <w:t xml:space="preserve"> </w:t>
      </w:r>
      <w:r w:rsidRPr="00D33657">
        <w:rPr>
          <w:rFonts w:hint="cs"/>
          <w:rtl/>
          <w:lang w:bidi="ar-JO"/>
        </w:rPr>
        <w:t>البلدية</w:t>
      </w:r>
      <w:r w:rsidRPr="00D33657">
        <w:rPr>
          <w:rFonts w:hint="cs"/>
          <w:rtl/>
        </w:rPr>
        <w:t xml:space="preserve"> </w:t>
      </w:r>
      <w:r w:rsidRPr="00D33657">
        <w:rPr>
          <w:rFonts w:hint="cs"/>
          <w:rtl/>
          <w:lang w:bidi="ar-JO"/>
        </w:rPr>
        <w:t>بطريقة</w:t>
      </w:r>
      <w:r w:rsidRPr="00D33657">
        <w:rPr>
          <w:rFonts w:hint="cs"/>
          <w:rtl/>
        </w:rPr>
        <w:t xml:space="preserve"> </w:t>
      </w:r>
      <w:r w:rsidRPr="00D33657">
        <w:rPr>
          <w:rFonts w:hint="cs"/>
          <w:rtl/>
          <w:lang w:bidi="ar-JO"/>
        </w:rPr>
        <w:t>منصفة</w:t>
      </w:r>
      <w:r w:rsidRPr="00D33657">
        <w:rPr>
          <w:rFonts w:hint="cs"/>
          <w:rtl/>
        </w:rPr>
        <w:t xml:space="preserve"> </w:t>
      </w:r>
      <w:r w:rsidRPr="00D33657">
        <w:rPr>
          <w:rFonts w:hint="cs"/>
          <w:rtl/>
          <w:lang w:bidi="ar-JO"/>
        </w:rPr>
        <w:t>وفعالة</w:t>
      </w:r>
      <w:r w:rsidRPr="00D33657">
        <w:rPr>
          <w:rFonts w:hint="cs"/>
          <w:rtl/>
        </w:rPr>
        <w:t xml:space="preserve"> </w:t>
      </w:r>
      <w:r w:rsidRPr="00D33657">
        <w:rPr>
          <w:rFonts w:hint="cs"/>
          <w:rtl/>
          <w:lang w:bidi="ar-JO"/>
        </w:rPr>
        <w:t>لجميع</w:t>
      </w:r>
      <w:r w:rsidRPr="00D33657">
        <w:rPr>
          <w:rFonts w:hint="cs"/>
          <w:rtl/>
        </w:rPr>
        <w:t xml:space="preserve"> </w:t>
      </w:r>
      <w:r w:rsidRPr="00D33657">
        <w:rPr>
          <w:rFonts w:hint="cs"/>
          <w:rtl/>
          <w:lang w:bidi="ar-JO"/>
        </w:rPr>
        <w:t>سكان</w:t>
      </w:r>
      <w:r w:rsidRPr="00D33657">
        <w:rPr>
          <w:rFonts w:hint="cs"/>
          <w:rtl/>
        </w:rPr>
        <w:t xml:space="preserve"> </w:t>
      </w:r>
      <w:r w:rsidRPr="00D33657">
        <w:rPr>
          <w:rFonts w:hint="cs"/>
          <w:rtl/>
          <w:lang w:bidi="ar-JO"/>
        </w:rPr>
        <w:t>السلطة</w:t>
      </w:r>
      <w:r w:rsidRPr="00D33657">
        <w:rPr>
          <w:rFonts w:hint="cs"/>
          <w:rtl/>
        </w:rPr>
        <w:t xml:space="preserve">. </w:t>
      </w:r>
      <w:r w:rsidRPr="00D33657">
        <w:rPr>
          <w:rFonts w:hint="cs"/>
          <w:rtl/>
          <w:lang w:bidi="ar-JO"/>
        </w:rPr>
        <w:t>بين</w:t>
      </w:r>
      <w:r w:rsidRPr="00D33657">
        <w:rPr>
          <w:rFonts w:hint="cs"/>
          <w:rtl/>
        </w:rPr>
        <w:t xml:space="preserve"> </w:t>
      </w:r>
      <w:r w:rsidRPr="00D33657">
        <w:rPr>
          <w:rFonts w:hint="cs"/>
          <w:rtl/>
          <w:lang w:bidi="ar-JO"/>
        </w:rPr>
        <w:t>عاميْ</w:t>
      </w:r>
      <w:r w:rsidRPr="00D33657">
        <w:rPr>
          <w:rFonts w:hint="cs"/>
          <w:rtl/>
        </w:rPr>
        <w:t xml:space="preserve"> 2011 </w:t>
      </w:r>
      <w:r w:rsidRPr="00D33657">
        <w:rPr>
          <w:rFonts w:hint="cs"/>
          <w:rtl/>
          <w:lang w:bidi="ar-JO"/>
        </w:rPr>
        <w:t>و</w:t>
      </w:r>
      <w:r w:rsidRPr="00D33657">
        <w:rPr>
          <w:rFonts w:hint="cs"/>
          <w:rtl/>
        </w:rPr>
        <w:t xml:space="preserve"> 2020</w:t>
      </w:r>
      <w:r w:rsidRPr="00D33657">
        <w:rPr>
          <w:rFonts w:hint="cs"/>
          <w:rtl/>
          <w:lang w:bidi="ar-JO"/>
        </w:rPr>
        <w:t>،</w:t>
      </w:r>
      <w:r w:rsidRPr="00D33657">
        <w:rPr>
          <w:rFonts w:hint="cs"/>
          <w:rtl/>
        </w:rPr>
        <w:t xml:space="preserve"> </w:t>
      </w:r>
      <w:r w:rsidRPr="00D33657">
        <w:rPr>
          <w:rFonts w:hint="cs"/>
          <w:rtl/>
          <w:lang w:bidi="ar-JO"/>
        </w:rPr>
        <w:t>عملت</w:t>
      </w:r>
      <w:r w:rsidRPr="00D33657">
        <w:rPr>
          <w:rFonts w:hint="cs"/>
          <w:rtl/>
        </w:rPr>
        <w:t xml:space="preserve"> 71 </w:t>
      </w:r>
      <w:r w:rsidRPr="00D33657">
        <w:rPr>
          <w:rFonts w:hint="cs"/>
          <w:rtl/>
          <w:lang w:bidi="ar-JO"/>
        </w:rPr>
        <w:t>سلطة</w:t>
      </w:r>
      <w:r w:rsidRPr="00D33657">
        <w:rPr>
          <w:rFonts w:hint="cs"/>
          <w:rtl/>
        </w:rPr>
        <w:t xml:space="preserve"> </w:t>
      </w:r>
      <w:r w:rsidRPr="00D33657">
        <w:rPr>
          <w:rFonts w:hint="cs"/>
          <w:rtl/>
          <w:lang w:bidi="ar-JO"/>
        </w:rPr>
        <w:t>محلية</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إطار</w:t>
      </w:r>
      <w:r w:rsidRPr="00D33657">
        <w:rPr>
          <w:rFonts w:hint="cs"/>
          <w:rtl/>
        </w:rPr>
        <w:t xml:space="preserve"> </w:t>
      </w:r>
      <w:r w:rsidRPr="00D33657">
        <w:rPr>
          <w:rFonts w:hint="cs"/>
          <w:rtl/>
          <w:lang w:bidi="ar-JO"/>
        </w:rPr>
        <w:t>خطة</w:t>
      </w:r>
      <w:r w:rsidRPr="00D33657">
        <w:rPr>
          <w:rFonts w:hint="cs"/>
          <w:rtl/>
        </w:rPr>
        <w:t xml:space="preserve"> </w:t>
      </w:r>
      <w:r w:rsidRPr="00D33657">
        <w:rPr>
          <w:rFonts w:hint="cs"/>
          <w:rtl/>
          <w:lang w:bidi="ar-JO"/>
        </w:rPr>
        <w:t>إنعاش</w:t>
      </w:r>
      <w:r w:rsidRPr="00D33657">
        <w:rPr>
          <w:rFonts w:hint="cs"/>
          <w:rtl/>
        </w:rPr>
        <w:t xml:space="preserve">. </w:t>
      </w:r>
      <w:r w:rsidRPr="00D33657">
        <w:rPr>
          <w:rFonts w:hint="cs"/>
          <w:rtl/>
          <w:lang w:bidi="ar-JO"/>
        </w:rPr>
        <w:t>يتبين</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عملية</w:t>
      </w:r>
      <w:r w:rsidRPr="00D33657">
        <w:rPr>
          <w:rFonts w:hint="cs"/>
          <w:rtl/>
        </w:rPr>
        <w:t xml:space="preserve"> </w:t>
      </w:r>
      <w:r w:rsidRPr="00D33657">
        <w:rPr>
          <w:rFonts w:hint="cs"/>
          <w:rtl/>
          <w:lang w:bidi="ar-JO"/>
        </w:rPr>
        <w:t>المراقبة</w:t>
      </w:r>
      <w:r w:rsidRPr="00D33657">
        <w:rPr>
          <w:rFonts w:hint="cs"/>
          <w:rtl/>
        </w:rPr>
        <w:t xml:space="preserve"> </w:t>
      </w:r>
      <w:r w:rsidRPr="00D33657">
        <w:rPr>
          <w:rFonts w:hint="cs"/>
          <w:rtl/>
          <w:lang w:bidi="ar-JO"/>
        </w:rPr>
        <w:t>لموضوع</w:t>
      </w:r>
      <w:r w:rsidRPr="00EF0616">
        <w:rPr>
          <w:rFonts w:hint="cs"/>
          <w:rtl/>
          <w:lang w:val="ar"/>
        </w:rPr>
        <w:t xml:space="preserve"> </w:t>
      </w:r>
      <w:r w:rsidRPr="00D33657">
        <w:rPr>
          <w:bCs/>
          <w:rtl/>
          <w:lang w:val="ar" w:bidi="ar-JO"/>
        </w:rPr>
        <w:t>خطط</w:t>
      </w:r>
      <w:r w:rsidRPr="00D33657">
        <w:rPr>
          <w:bCs/>
          <w:rtl/>
          <w:lang w:val="ar"/>
        </w:rPr>
        <w:t xml:space="preserve"> </w:t>
      </w:r>
      <w:r w:rsidRPr="00D33657">
        <w:rPr>
          <w:bCs/>
          <w:rtl/>
          <w:lang w:val="ar" w:bidi="ar-JO"/>
        </w:rPr>
        <w:t>الإنعاش</w:t>
      </w:r>
      <w:r w:rsidRPr="00D33657">
        <w:rPr>
          <w:bCs/>
          <w:rtl/>
          <w:lang w:val="ar"/>
        </w:rPr>
        <w:t xml:space="preserve"> </w:t>
      </w:r>
      <w:r w:rsidRPr="00D33657">
        <w:rPr>
          <w:bCs/>
          <w:rtl/>
          <w:lang w:val="ar" w:bidi="ar-JO"/>
        </w:rPr>
        <w:t>المتبعة</w:t>
      </w:r>
      <w:r w:rsidRPr="00D33657">
        <w:rPr>
          <w:bCs/>
          <w:rtl/>
          <w:lang w:val="ar"/>
        </w:rPr>
        <w:t xml:space="preserve"> </w:t>
      </w:r>
      <w:r w:rsidRPr="00D33657">
        <w:rPr>
          <w:bCs/>
          <w:rtl/>
          <w:lang w:val="ar" w:bidi="ar-JO"/>
        </w:rPr>
        <w:t>لدى</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rFonts w:hint="cs"/>
          <w:rtl/>
        </w:rPr>
        <w:t xml:space="preserve"> </w:t>
      </w:r>
      <w:r w:rsidRPr="00D33657">
        <w:rPr>
          <w:rFonts w:hint="cs"/>
          <w:rtl/>
          <w:lang w:bidi="ar-JO"/>
        </w:rPr>
        <w:t>أن</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الأربع</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تم</w:t>
      </w:r>
      <w:r w:rsidRPr="00D33657">
        <w:rPr>
          <w:rFonts w:hint="cs"/>
          <w:rtl/>
        </w:rPr>
        <w:t xml:space="preserve"> </w:t>
      </w:r>
      <w:r w:rsidRPr="00D33657">
        <w:rPr>
          <w:rFonts w:hint="cs"/>
          <w:rtl/>
          <w:lang w:bidi="ar-JO"/>
        </w:rPr>
        <w:t>فحصها</w:t>
      </w:r>
      <w:r w:rsidRPr="00D33657">
        <w:rPr>
          <w:rFonts w:hint="cs"/>
          <w:rtl/>
        </w:rPr>
        <w:t xml:space="preserve"> </w:t>
      </w:r>
      <w:r w:rsidRPr="00D33657">
        <w:rPr>
          <w:rFonts w:hint="cs"/>
          <w:rtl/>
          <w:lang w:bidi="ar-JO"/>
        </w:rPr>
        <w:t>وهي</w:t>
      </w:r>
      <w:r w:rsidRPr="00D33657">
        <w:rPr>
          <w:rFonts w:hint="cs"/>
          <w:rtl/>
        </w:rPr>
        <w:t xml:space="preserve"> </w:t>
      </w:r>
      <w:r w:rsidRPr="00D33657">
        <w:rPr>
          <w:rFonts w:hint="cs"/>
          <w:rtl/>
          <w:lang w:bidi="ar-JO"/>
        </w:rPr>
        <w:t>بستان</w:t>
      </w:r>
      <w:r w:rsidRPr="00D33657">
        <w:rPr>
          <w:rFonts w:hint="cs"/>
          <w:rtl/>
        </w:rPr>
        <w:t xml:space="preserve"> </w:t>
      </w:r>
      <w:r w:rsidRPr="00D33657">
        <w:rPr>
          <w:rFonts w:hint="cs"/>
          <w:rtl/>
          <w:lang w:bidi="ar-JO"/>
        </w:rPr>
        <w:t>المرج،</w:t>
      </w:r>
      <w:r w:rsidRPr="00D33657">
        <w:rPr>
          <w:rFonts w:hint="cs"/>
          <w:rtl/>
        </w:rPr>
        <w:t xml:space="preserve"> </w:t>
      </w:r>
      <w:r w:rsidRPr="00D33657">
        <w:rPr>
          <w:rFonts w:hint="cs"/>
          <w:rtl/>
          <w:lang w:bidi="ar-JO"/>
        </w:rPr>
        <w:t>بيت</w:t>
      </w:r>
      <w:r w:rsidRPr="00D33657">
        <w:rPr>
          <w:rFonts w:hint="cs"/>
          <w:rtl/>
        </w:rPr>
        <w:t xml:space="preserve"> </w:t>
      </w:r>
      <w:r w:rsidRPr="00D33657">
        <w:rPr>
          <w:rFonts w:hint="cs"/>
          <w:rtl/>
          <w:lang w:bidi="ar-JO"/>
        </w:rPr>
        <w:t>أرييه،</w:t>
      </w:r>
      <w:r w:rsidRPr="00D33657">
        <w:rPr>
          <w:rFonts w:hint="cs"/>
          <w:rtl/>
        </w:rPr>
        <w:t xml:space="preserve"> </w:t>
      </w:r>
      <w:r w:rsidRPr="00D33657">
        <w:rPr>
          <w:rFonts w:hint="cs"/>
          <w:rtl/>
          <w:lang w:bidi="ar-JO"/>
        </w:rPr>
        <w:t>جسر</w:t>
      </w:r>
      <w:r w:rsidRPr="00D33657">
        <w:rPr>
          <w:rFonts w:hint="cs"/>
          <w:rtl/>
        </w:rPr>
        <w:t xml:space="preserve"> </w:t>
      </w:r>
      <w:r w:rsidRPr="00D33657">
        <w:rPr>
          <w:rFonts w:hint="cs"/>
          <w:rtl/>
          <w:lang w:bidi="ar-JO"/>
        </w:rPr>
        <w:t>الزرقاء،</w:t>
      </w:r>
      <w:r w:rsidRPr="00D33657">
        <w:rPr>
          <w:rFonts w:hint="cs"/>
          <w:rtl/>
        </w:rPr>
        <w:t xml:space="preserve"> </w:t>
      </w:r>
      <w:r w:rsidRPr="00D33657">
        <w:rPr>
          <w:rFonts w:hint="cs"/>
          <w:rtl/>
          <w:lang w:bidi="ar-JO"/>
        </w:rPr>
        <w:t>وساجور</w:t>
      </w:r>
      <w:r w:rsidRPr="00D33657">
        <w:rPr>
          <w:rFonts w:hint="cs"/>
          <w:rtl/>
        </w:rPr>
        <w:t xml:space="preserve"> - </w:t>
      </w:r>
      <w:r w:rsidRPr="00D33657">
        <w:rPr>
          <w:rFonts w:hint="cs"/>
          <w:rtl/>
          <w:lang w:bidi="ar-JO"/>
        </w:rPr>
        <w:t>لم</w:t>
      </w:r>
      <w:r w:rsidRPr="00D33657">
        <w:rPr>
          <w:rFonts w:hint="cs"/>
          <w:rtl/>
        </w:rPr>
        <w:t xml:space="preserve"> </w:t>
      </w:r>
      <w:r w:rsidRPr="00D33657">
        <w:rPr>
          <w:rFonts w:hint="cs"/>
          <w:rtl/>
          <w:lang w:bidi="ar-JO"/>
        </w:rPr>
        <w:t>تستوفِ</w:t>
      </w:r>
      <w:r w:rsidRPr="00D33657">
        <w:rPr>
          <w:rFonts w:hint="cs"/>
          <w:rtl/>
        </w:rPr>
        <w:t xml:space="preserve"> 84 </w:t>
      </w:r>
      <w:r w:rsidRPr="00D33657">
        <w:rPr>
          <w:rFonts w:hint="cs"/>
          <w:rtl/>
          <w:lang w:bidi="ar-JO"/>
        </w:rPr>
        <w:t>من</w:t>
      </w:r>
      <w:r w:rsidRPr="00D33657">
        <w:rPr>
          <w:rFonts w:hint="cs"/>
          <w:rtl/>
        </w:rPr>
        <w:t xml:space="preserve"> 186 </w:t>
      </w:r>
      <w:r w:rsidRPr="00D33657">
        <w:rPr>
          <w:rFonts w:hint="cs"/>
          <w:rtl/>
          <w:lang w:bidi="ar-JO"/>
        </w:rPr>
        <w:t>من</w:t>
      </w:r>
      <w:r w:rsidRPr="00D33657">
        <w:rPr>
          <w:rFonts w:hint="cs"/>
          <w:rtl/>
        </w:rPr>
        <w:t xml:space="preserve"> </w:t>
      </w:r>
      <w:r w:rsidRPr="00D33657">
        <w:rPr>
          <w:rFonts w:hint="cs"/>
          <w:rtl/>
          <w:lang w:bidi="ar-JO"/>
        </w:rPr>
        <w:t>المتطلبات</w:t>
      </w:r>
      <w:r w:rsidRPr="00D33657">
        <w:rPr>
          <w:rFonts w:hint="cs"/>
          <w:rtl/>
        </w:rPr>
        <w:t xml:space="preserve"> </w:t>
      </w:r>
      <w:r w:rsidRPr="00D33657">
        <w:rPr>
          <w:rFonts w:hint="cs"/>
          <w:rtl/>
          <w:lang w:bidi="ar-JO"/>
        </w:rPr>
        <w:t>المحددة</w:t>
      </w:r>
      <w:r w:rsidRPr="00D33657">
        <w:rPr>
          <w:rFonts w:hint="cs"/>
          <w:rtl/>
        </w:rPr>
        <w:t xml:space="preserve"> </w:t>
      </w:r>
      <w:r w:rsidRPr="00D33657">
        <w:rPr>
          <w:rFonts w:hint="cs"/>
          <w:rtl/>
          <w:lang w:bidi="ar-JO"/>
        </w:rPr>
        <w:t>لها</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إطار</w:t>
      </w:r>
      <w:r w:rsidRPr="00D33657">
        <w:rPr>
          <w:rFonts w:hint="cs"/>
          <w:rtl/>
        </w:rPr>
        <w:t xml:space="preserve"> </w:t>
      </w:r>
      <w:r w:rsidRPr="00D33657">
        <w:rPr>
          <w:rFonts w:hint="cs"/>
          <w:rtl/>
          <w:lang w:bidi="ar-JO"/>
        </w:rPr>
        <w:t>خطط</w:t>
      </w:r>
      <w:r w:rsidRPr="00D33657">
        <w:rPr>
          <w:rFonts w:hint="cs"/>
          <w:rtl/>
        </w:rPr>
        <w:t xml:space="preserve"> </w:t>
      </w:r>
      <w:r w:rsidRPr="00D33657">
        <w:rPr>
          <w:rFonts w:hint="cs"/>
          <w:rtl/>
          <w:lang w:bidi="ar-JO"/>
        </w:rPr>
        <w:t>الإنعاش</w:t>
      </w:r>
      <w:r w:rsidRPr="00D33657">
        <w:rPr>
          <w:rFonts w:hint="cs"/>
          <w:rtl/>
        </w:rPr>
        <w:t xml:space="preserve"> </w:t>
      </w:r>
      <w:r w:rsidRPr="00D33657">
        <w:rPr>
          <w:rFonts w:hint="cs"/>
          <w:rtl/>
          <w:lang w:bidi="ar-JO"/>
        </w:rPr>
        <w:t>الـ</w:t>
      </w:r>
      <w:r w:rsidRPr="00D33657">
        <w:rPr>
          <w:rFonts w:hint="cs"/>
          <w:rtl/>
        </w:rPr>
        <w:t xml:space="preserve"> 13</w:t>
      </w:r>
      <w:r w:rsidRPr="00D33657">
        <w:rPr>
          <w:rFonts w:hint="cs"/>
          <w:rtl/>
          <w:lang w:bidi="ar-JO"/>
        </w:rPr>
        <w:t>،</w:t>
      </w:r>
      <w:r w:rsidRPr="00D33657">
        <w:rPr>
          <w:rFonts w:hint="cs"/>
          <w:rtl/>
        </w:rPr>
        <w:t xml:space="preserve"> </w:t>
      </w:r>
      <w:r w:rsidRPr="00D33657">
        <w:rPr>
          <w:rFonts w:hint="cs"/>
          <w:rtl/>
          <w:lang w:bidi="ar-JO"/>
        </w:rPr>
        <w:t>ولذلك</w:t>
      </w:r>
      <w:r w:rsidRPr="00D33657">
        <w:rPr>
          <w:rFonts w:hint="cs"/>
          <w:rtl/>
        </w:rPr>
        <w:t xml:space="preserve"> </w:t>
      </w:r>
      <w:r w:rsidRPr="00D33657">
        <w:rPr>
          <w:rFonts w:hint="cs"/>
          <w:rtl/>
          <w:lang w:bidi="ar-JO"/>
        </w:rPr>
        <w:t>لم</w:t>
      </w:r>
      <w:r w:rsidRPr="00D33657">
        <w:rPr>
          <w:rFonts w:hint="cs"/>
          <w:rtl/>
        </w:rPr>
        <w:t xml:space="preserve"> </w:t>
      </w:r>
      <w:r w:rsidRPr="00D33657">
        <w:rPr>
          <w:rFonts w:hint="cs"/>
          <w:rtl/>
          <w:lang w:bidi="ar-JO"/>
        </w:rPr>
        <w:t>تحصل</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قروض</w:t>
      </w:r>
      <w:r w:rsidRPr="00D33657">
        <w:rPr>
          <w:rFonts w:hint="cs"/>
          <w:rtl/>
        </w:rPr>
        <w:t xml:space="preserve"> </w:t>
      </w:r>
      <w:r w:rsidRPr="00D33657">
        <w:rPr>
          <w:rFonts w:hint="cs"/>
          <w:rtl/>
          <w:lang w:bidi="ar-JO"/>
        </w:rPr>
        <w:t>ومنح</w:t>
      </w:r>
      <w:r w:rsidRPr="00D33657">
        <w:rPr>
          <w:rFonts w:hint="cs"/>
          <w:rtl/>
        </w:rPr>
        <w:t xml:space="preserve">. </w:t>
      </w:r>
      <w:r w:rsidRPr="00D33657">
        <w:rPr>
          <w:rFonts w:hint="cs"/>
          <w:rtl/>
          <w:lang w:bidi="ar-JO"/>
        </w:rPr>
        <w:t>ونتيجة</w:t>
      </w:r>
      <w:r w:rsidRPr="00D33657">
        <w:rPr>
          <w:rFonts w:hint="cs"/>
          <w:rtl/>
        </w:rPr>
        <w:t xml:space="preserve"> </w:t>
      </w:r>
      <w:r w:rsidRPr="00D33657">
        <w:rPr>
          <w:rFonts w:hint="cs"/>
          <w:rtl/>
          <w:lang w:bidi="ar-JO"/>
        </w:rPr>
        <w:t>لذلك،</w:t>
      </w:r>
      <w:r w:rsidRPr="00D33657">
        <w:rPr>
          <w:rFonts w:hint="cs"/>
          <w:rtl/>
        </w:rPr>
        <w:t xml:space="preserve"> </w:t>
      </w:r>
      <w:r w:rsidRPr="00D33657">
        <w:rPr>
          <w:rFonts w:hint="cs"/>
          <w:rtl/>
          <w:lang w:bidi="ar-JO"/>
        </w:rPr>
        <w:t>فشلت</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الوصول</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موازنة</w:t>
      </w:r>
      <w:r w:rsidRPr="00D33657">
        <w:rPr>
          <w:rFonts w:hint="cs"/>
          <w:rtl/>
        </w:rPr>
        <w:t xml:space="preserve"> </w:t>
      </w:r>
      <w:r w:rsidRPr="00D33657">
        <w:rPr>
          <w:rFonts w:hint="cs"/>
          <w:rtl/>
          <w:lang w:bidi="ar-JO"/>
        </w:rPr>
        <w:t>سنوية</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الميزانية</w:t>
      </w:r>
      <w:r w:rsidRPr="00D33657">
        <w:rPr>
          <w:rFonts w:hint="cs"/>
          <w:rtl/>
        </w:rPr>
        <w:t xml:space="preserve"> </w:t>
      </w:r>
      <w:r w:rsidRPr="00D33657">
        <w:rPr>
          <w:rFonts w:hint="cs"/>
          <w:rtl/>
          <w:lang w:bidi="ar-JO"/>
        </w:rPr>
        <w:t>العادية،</w:t>
      </w:r>
      <w:r w:rsidRPr="00D33657">
        <w:rPr>
          <w:rFonts w:hint="cs"/>
          <w:rtl/>
        </w:rPr>
        <w:t xml:space="preserve"> </w:t>
      </w:r>
      <w:r w:rsidRPr="00D33657">
        <w:rPr>
          <w:rFonts w:hint="cs"/>
          <w:rtl/>
          <w:lang w:bidi="ar-JO"/>
        </w:rPr>
        <w:t>واستمرت</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إدارة</w:t>
      </w:r>
      <w:r w:rsidRPr="00D33657">
        <w:rPr>
          <w:rFonts w:hint="cs"/>
          <w:rtl/>
        </w:rPr>
        <w:t xml:space="preserve"> </w:t>
      </w:r>
      <w:r w:rsidRPr="00D33657">
        <w:rPr>
          <w:rFonts w:hint="cs"/>
          <w:rtl/>
          <w:lang w:bidi="ar-JO"/>
        </w:rPr>
        <w:t>العجز</w:t>
      </w:r>
      <w:r w:rsidRPr="00D33657">
        <w:rPr>
          <w:rFonts w:hint="cs"/>
          <w:rtl/>
        </w:rPr>
        <w:t xml:space="preserve"> </w:t>
      </w:r>
      <w:r w:rsidRPr="00D33657">
        <w:rPr>
          <w:rFonts w:hint="cs"/>
          <w:rtl/>
          <w:lang w:bidi="ar-JO"/>
        </w:rPr>
        <w:t>المتراكم،</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الرغم</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المنح</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قدمت</w:t>
      </w:r>
      <w:r w:rsidRPr="00D33657">
        <w:rPr>
          <w:rFonts w:hint="cs"/>
          <w:rtl/>
        </w:rPr>
        <w:t xml:space="preserve"> </w:t>
      </w:r>
      <w:r w:rsidRPr="00D33657">
        <w:rPr>
          <w:rFonts w:hint="cs"/>
          <w:rtl/>
          <w:lang w:bidi="ar-JO"/>
        </w:rPr>
        <w:t>لها</w:t>
      </w:r>
      <w:r w:rsidRPr="00D33657">
        <w:rPr>
          <w:rFonts w:hint="cs"/>
          <w:rtl/>
        </w:rPr>
        <w:t xml:space="preserve"> </w:t>
      </w:r>
      <w:r w:rsidRPr="00D33657">
        <w:rPr>
          <w:rFonts w:hint="cs"/>
          <w:rtl/>
          <w:lang w:bidi="ar-JO"/>
        </w:rPr>
        <w:t>بمبلغ</w:t>
      </w:r>
      <w:r w:rsidRPr="00D33657">
        <w:rPr>
          <w:rFonts w:hint="cs"/>
          <w:rtl/>
        </w:rPr>
        <w:t xml:space="preserve"> 62.9 </w:t>
      </w:r>
      <w:r w:rsidRPr="00D33657">
        <w:rPr>
          <w:rFonts w:hint="cs"/>
          <w:rtl/>
          <w:lang w:bidi="ar-JO"/>
        </w:rPr>
        <w:t>مليون</w:t>
      </w:r>
      <w:r w:rsidRPr="00D33657">
        <w:rPr>
          <w:rFonts w:hint="cs"/>
          <w:rtl/>
        </w:rPr>
        <w:t xml:space="preserve"> </w:t>
      </w:r>
      <w:r w:rsidRPr="00D33657">
        <w:rPr>
          <w:rFonts w:hint="cs"/>
          <w:rtl/>
          <w:lang w:bidi="ar-JO"/>
        </w:rPr>
        <w:t>شيكل</w:t>
      </w:r>
      <w:r w:rsidRPr="00D33657">
        <w:rPr>
          <w:rFonts w:hint="cs"/>
          <w:rtl/>
        </w:rPr>
        <w:t xml:space="preserve"> </w:t>
      </w:r>
      <w:r w:rsidRPr="00D33657">
        <w:rPr>
          <w:rFonts w:hint="cs"/>
          <w:rtl/>
          <w:lang w:bidi="ar-JO"/>
        </w:rPr>
        <w:t>جديد</w:t>
      </w:r>
      <w:r w:rsidRPr="00D33657">
        <w:rPr>
          <w:rFonts w:hint="cs"/>
          <w:rtl/>
        </w:rPr>
        <w:t xml:space="preserve"> </w:t>
      </w:r>
      <w:r w:rsidRPr="00D33657">
        <w:rPr>
          <w:rFonts w:hint="cs"/>
          <w:rtl/>
          <w:lang w:bidi="ar-JO"/>
        </w:rPr>
        <w:t>إجمالاً</w:t>
      </w:r>
      <w:r w:rsidRPr="00D33657">
        <w:rPr>
          <w:rFonts w:hint="cs"/>
          <w:rtl/>
        </w:rPr>
        <w:t xml:space="preserve"> </w:t>
      </w:r>
      <w:r w:rsidRPr="00D33657">
        <w:rPr>
          <w:rFonts w:hint="cs"/>
          <w:rtl/>
          <w:lang w:bidi="ar-JO"/>
        </w:rPr>
        <w:t>وعلى</w:t>
      </w:r>
      <w:r w:rsidRPr="00D33657">
        <w:rPr>
          <w:rFonts w:hint="cs"/>
          <w:rtl/>
        </w:rPr>
        <w:t xml:space="preserve"> </w:t>
      </w:r>
      <w:r w:rsidRPr="00D33657">
        <w:rPr>
          <w:rFonts w:hint="cs"/>
          <w:rtl/>
          <w:lang w:bidi="ar-JO"/>
        </w:rPr>
        <w:t>الرغم</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القروض</w:t>
      </w:r>
      <w:r w:rsidRPr="00D33657">
        <w:rPr>
          <w:rFonts w:hint="cs"/>
          <w:rtl/>
        </w:rPr>
        <w:t xml:space="preserve"> </w:t>
      </w:r>
      <w:r w:rsidRPr="00D33657">
        <w:rPr>
          <w:rFonts w:hint="cs"/>
          <w:rtl/>
          <w:lang w:bidi="ar-JO"/>
        </w:rPr>
        <w:t>الممنوحة</w:t>
      </w:r>
      <w:r w:rsidRPr="00D33657">
        <w:rPr>
          <w:rFonts w:hint="cs"/>
          <w:rtl/>
        </w:rPr>
        <w:t xml:space="preserve"> </w:t>
      </w:r>
      <w:r w:rsidRPr="00D33657">
        <w:rPr>
          <w:rFonts w:hint="cs"/>
          <w:rtl/>
          <w:lang w:bidi="ar-JO"/>
        </w:rPr>
        <w:t>لها</w:t>
      </w:r>
      <w:r w:rsidRPr="00D33657">
        <w:rPr>
          <w:rFonts w:hint="cs"/>
          <w:rtl/>
        </w:rPr>
        <w:t xml:space="preserve"> </w:t>
      </w:r>
      <w:r w:rsidRPr="00D33657">
        <w:rPr>
          <w:rFonts w:hint="cs"/>
          <w:rtl/>
          <w:lang w:bidi="ar-JO"/>
        </w:rPr>
        <w:t>بمبلغ</w:t>
      </w:r>
      <w:r w:rsidRPr="00D33657">
        <w:rPr>
          <w:rFonts w:hint="cs"/>
          <w:rtl/>
        </w:rPr>
        <w:t xml:space="preserve"> 42.2 </w:t>
      </w:r>
      <w:r w:rsidRPr="00D33657">
        <w:rPr>
          <w:rFonts w:hint="cs"/>
          <w:rtl/>
          <w:lang w:bidi="ar-JO"/>
        </w:rPr>
        <w:t>مليون</w:t>
      </w:r>
      <w:r w:rsidRPr="00D33657">
        <w:rPr>
          <w:rFonts w:hint="cs"/>
          <w:rtl/>
        </w:rPr>
        <w:t xml:space="preserve"> </w:t>
      </w:r>
      <w:r w:rsidRPr="00D33657">
        <w:rPr>
          <w:rFonts w:hint="cs"/>
          <w:rtl/>
          <w:lang w:bidi="ar-JO"/>
        </w:rPr>
        <w:t>شيكل</w:t>
      </w:r>
      <w:r w:rsidRPr="00D33657">
        <w:rPr>
          <w:rFonts w:hint="cs"/>
          <w:rtl/>
        </w:rPr>
        <w:t xml:space="preserve"> </w:t>
      </w:r>
      <w:r w:rsidRPr="00D33657">
        <w:rPr>
          <w:rFonts w:hint="cs"/>
          <w:rtl/>
          <w:lang w:bidi="ar-JO"/>
        </w:rPr>
        <w:t>جديد</w:t>
      </w:r>
      <w:r w:rsidRPr="00D33657">
        <w:rPr>
          <w:rFonts w:hint="cs"/>
          <w:rtl/>
        </w:rPr>
        <w:t xml:space="preserve"> </w:t>
      </w:r>
      <w:r w:rsidRPr="00D33657">
        <w:rPr>
          <w:rFonts w:hint="cs"/>
          <w:rtl/>
          <w:lang w:bidi="ar-JO"/>
        </w:rPr>
        <w:t>إجمالاً</w:t>
      </w:r>
      <w:r w:rsidRPr="00D33657">
        <w:rPr>
          <w:rFonts w:hint="cs"/>
          <w:rtl/>
        </w:rPr>
        <w:t xml:space="preserve">. </w:t>
      </w:r>
      <w:r w:rsidRPr="00D33657">
        <w:rPr>
          <w:rFonts w:hint="cs"/>
          <w:rtl/>
          <w:lang w:bidi="ar-JO"/>
        </w:rPr>
        <w:t>وبالتالي،</w:t>
      </w:r>
      <w:r w:rsidRPr="00D33657">
        <w:rPr>
          <w:rFonts w:hint="cs"/>
          <w:rtl/>
        </w:rPr>
        <w:t xml:space="preserve"> </w:t>
      </w:r>
      <w:r w:rsidRPr="00D33657">
        <w:rPr>
          <w:rFonts w:hint="cs"/>
          <w:rtl/>
          <w:lang w:bidi="ar-JO"/>
        </w:rPr>
        <w:t>فإن</w:t>
      </w:r>
      <w:r w:rsidRPr="00D33657">
        <w:rPr>
          <w:rFonts w:hint="cs"/>
          <w:rtl/>
        </w:rPr>
        <w:t xml:space="preserve"> </w:t>
      </w:r>
      <w:r w:rsidRPr="00D33657">
        <w:rPr>
          <w:rFonts w:hint="cs"/>
          <w:rtl/>
          <w:lang w:bidi="ar-JO"/>
        </w:rPr>
        <w:t>الآلية</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اعتمدتها</w:t>
      </w:r>
      <w:r w:rsidRPr="00D33657">
        <w:rPr>
          <w:rFonts w:hint="cs"/>
          <w:rtl/>
        </w:rPr>
        <w:t xml:space="preserve"> </w:t>
      </w:r>
      <w:r w:rsidRPr="00D33657">
        <w:rPr>
          <w:rFonts w:hint="cs"/>
          <w:rtl/>
          <w:lang w:bidi="ar-JO"/>
        </w:rPr>
        <w:t>وزارة</w:t>
      </w:r>
      <w:r w:rsidRPr="00D33657">
        <w:rPr>
          <w:rFonts w:hint="cs"/>
          <w:rtl/>
        </w:rPr>
        <w:t xml:space="preserve"> </w:t>
      </w:r>
      <w:r w:rsidRPr="00D33657">
        <w:rPr>
          <w:rFonts w:hint="cs"/>
          <w:rtl/>
          <w:lang w:bidi="ar-JO"/>
        </w:rPr>
        <w:t>الداخلية</w:t>
      </w:r>
      <w:r w:rsidRPr="00D33657">
        <w:rPr>
          <w:rFonts w:hint="cs"/>
          <w:rtl/>
        </w:rPr>
        <w:t xml:space="preserve"> </w:t>
      </w:r>
      <w:r w:rsidRPr="00D33657">
        <w:rPr>
          <w:rFonts w:hint="cs"/>
          <w:rtl/>
          <w:lang w:bidi="ar-JO"/>
        </w:rPr>
        <w:t>لإنعاش</w:t>
      </w:r>
      <w:r w:rsidRPr="00D33657">
        <w:rPr>
          <w:rFonts w:hint="cs"/>
          <w:rtl/>
        </w:rPr>
        <w:t xml:space="preserve"> </w:t>
      </w:r>
      <w:r w:rsidRPr="00D33657">
        <w:rPr>
          <w:rFonts w:hint="cs"/>
          <w:rtl/>
          <w:lang w:bidi="ar-JO"/>
        </w:rPr>
        <w:t>تلك</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وتحسين</w:t>
      </w:r>
      <w:r w:rsidRPr="00D33657">
        <w:rPr>
          <w:rFonts w:hint="cs"/>
          <w:rtl/>
        </w:rPr>
        <w:t xml:space="preserve"> </w:t>
      </w:r>
      <w:r w:rsidRPr="00D33657">
        <w:rPr>
          <w:rFonts w:hint="cs"/>
          <w:rtl/>
          <w:lang w:bidi="ar-JO"/>
        </w:rPr>
        <w:t>أدائها</w:t>
      </w:r>
      <w:r w:rsidRPr="00D33657">
        <w:rPr>
          <w:rFonts w:hint="cs"/>
          <w:rtl/>
        </w:rPr>
        <w:t xml:space="preserve"> </w:t>
      </w:r>
      <w:r w:rsidRPr="00D33657">
        <w:rPr>
          <w:rFonts w:hint="cs"/>
          <w:rtl/>
          <w:lang w:bidi="ar-JO"/>
        </w:rPr>
        <w:t>ليست</w:t>
      </w:r>
      <w:r w:rsidRPr="00D33657">
        <w:rPr>
          <w:rFonts w:hint="cs"/>
          <w:rtl/>
        </w:rPr>
        <w:t xml:space="preserve"> </w:t>
      </w:r>
      <w:r w:rsidRPr="00D33657">
        <w:rPr>
          <w:rFonts w:hint="cs"/>
          <w:rtl/>
          <w:lang w:bidi="ar-JO"/>
        </w:rPr>
        <w:t>فعالة</w:t>
      </w:r>
      <w:r w:rsidRPr="00D33657">
        <w:rPr>
          <w:rFonts w:hint="cs"/>
          <w:rtl/>
        </w:rPr>
        <w:t xml:space="preserve"> </w:t>
      </w:r>
      <w:r w:rsidRPr="00D33657">
        <w:rPr>
          <w:rFonts w:hint="cs"/>
          <w:rtl/>
          <w:lang w:bidi="ar-JO"/>
        </w:rPr>
        <w:t>بما</w:t>
      </w:r>
      <w:r w:rsidRPr="00D33657">
        <w:rPr>
          <w:rFonts w:hint="cs"/>
          <w:rtl/>
        </w:rPr>
        <w:t xml:space="preserve"> </w:t>
      </w:r>
      <w:r w:rsidRPr="00D33657">
        <w:rPr>
          <w:rFonts w:hint="cs"/>
          <w:rtl/>
          <w:lang w:bidi="ar-JO"/>
        </w:rPr>
        <w:t>فيه</w:t>
      </w:r>
      <w:r w:rsidRPr="00D33657">
        <w:rPr>
          <w:rFonts w:hint="cs"/>
          <w:rtl/>
        </w:rPr>
        <w:t xml:space="preserve"> </w:t>
      </w:r>
      <w:r w:rsidRPr="00D33657">
        <w:rPr>
          <w:rFonts w:hint="cs"/>
          <w:rtl/>
          <w:lang w:bidi="ar-JO"/>
        </w:rPr>
        <w:t>الكفاية</w:t>
      </w:r>
      <w:r w:rsidRPr="00D33657">
        <w:rPr>
          <w:rFonts w:hint="cs"/>
          <w:rtl/>
        </w:rPr>
        <w:t xml:space="preserve">. </w:t>
      </w:r>
      <w:r w:rsidRPr="00D33657">
        <w:rPr>
          <w:rFonts w:hint="cs"/>
          <w:rtl/>
          <w:lang w:bidi="ar-JO"/>
        </w:rPr>
        <w:t>إن</w:t>
      </w:r>
      <w:r w:rsidRPr="00D33657">
        <w:rPr>
          <w:rFonts w:hint="cs"/>
          <w:rtl/>
        </w:rPr>
        <w:t xml:space="preserve"> </w:t>
      </w:r>
      <w:r w:rsidRPr="00D33657">
        <w:rPr>
          <w:rFonts w:hint="cs"/>
          <w:rtl/>
          <w:lang w:bidi="ar-JO"/>
        </w:rPr>
        <w:t>الفشل</w:t>
      </w:r>
      <w:r w:rsidRPr="00D33657">
        <w:rPr>
          <w:rFonts w:hint="cs"/>
          <w:rtl/>
        </w:rPr>
        <w:t xml:space="preserve"> </w:t>
      </w:r>
      <w:r w:rsidRPr="00D33657">
        <w:rPr>
          <w:rFonts w:hint="cs"/>
          <w:rtl/>
          <w:lang w:bidi="ar-JO"/>
        </w:rPr>
        <w:t>المستمر</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مدى</w:t>
      </w:r>
      <w:r w:rsidRPr="00D33657">
        <w:rPr>
          <w:rFonts w:hint="cs"/>
          <w:rtl/>
        </w:rPr>
        <w:t xml:space="preserve"> </w:t>
      </w:r>
      <w:r w:rsidRPr="00D33657">
        <w:rPr>
          <w:rFonts w:hint="cs"/>
          <w:rtl/>
          <w:lang w:bidi="ar-JO"/>
        </w:rPr>
        <w:t>سنين</w:t>
      </w:r>
      <w:r w:rsidRPr="00D33657">
        <w:rPr>
          <w:rFonts w:hint="cs"/>
          <w:rtl/>
        </w:rPr>
        <w:t xml:space="preserve"> </w:t>
      </w:r>
      <w:r w:rsidRPr="00D33657">
        <w:rPr>
          <w:rFonts w:hint="cs"/>
          <w:rtl/>
          <w:lang w:bidi="ar-JO"/>
        </w:rPr>
        <w:t>طويلة</w:t>
      </w:r>
      <w:r w:rsidRPr="00D33657">
        <w:rPr>
          <w:rFonts w:hint="cs"/>
          <w:rtl/>
        </w:rPr>
        <w:t xml:space="preserve"> </w:t>
      </w:r>
      <w:r w:rsidRPr="00D33657">
        <w:rPr>
          <w:rFonts w:hint="cs"/>
          <w:rtl/>
          <w:lang w:bidi="ar-JO"/>
        </w:rPr>
        <w:t>لخطط</w:t>
      </w:r>
      <w:r w:rsidRPr="00D33657">
        <w:rPr>
          <w:rFonts w:hint="cs"/>
          <w:rtl/>
        </w:rPr>
        <w:t xml:space="preserve"> </w:t>
      </w:r>
      <w:r w:rsidRPr="00D33657">
        <w:rPr>
          <w:rFonts w:hint="cs"/>
          <w:rtl/>
          <w:lang w:bidi="ar-JO"/>
        </w:rPr>
        <w:t>الإنعاش</w:t>
      </w:r>
      <w:r w:rsidRPr="00D33657">
        <w:rPr>
          <w:rFonts w:hint="cs"/>
          <w:rtl/>
        </w:rPr>
        <w:t xml:space="preserve"> </w:t>
      </w:r>
      <w:r w:rsidRPr="00D33657">
        <w:rPr>
          <w:rFonts w:hint="cs"/>
          <w:rtl/>
          <w:lang w:bidi="ar-JO"/>
        </w:rPr>
        <w:t>يؤكد</w:t>
      </w:r>
      <w:r w:rsidRPr="00D33657">
        <w:rPr>
          <w:rFonts w:hint="cs"/>
          <w:rtl/>
        </w:rPr>
        <w:t xml:space="preserve"> </w:t>
      </w:r>
      <w:r w:rsidRPr="00D33657">
        <w:rPr>
          <w:rFonts w:hint="cs"/>
          <w:rtl/>
          <w:lang w:bidi="ar-JO"/>
        </w:rPr>
        <w:t>الحاجة</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فحص</w:t>
      </w:r>
      <w:r w:rsidRPr="00D33657">
        <w:rPr>
          <w:rFonts w:hint="cs"/>
          <w:rtl/>
        </w:rPr>
        <w:t xml:space="preserve"> </w:t>
      </w:r>
      <w:r w:rsidRPr="00D33657">
        <w:rPr>
          <w:rFonts w:hint="cs"/>
          <w:rtl/>
          <w:lang w:bidi="ar-JO"/>
        </w:rPr>
        <w:t>جوهري</w:t>
      </w:r>
      <w:r w:rsidRPr="00D33657">
        <w:rPr>
          <w:rFonts w:hint="cs"/>
          <w:rtl/>
        </w:rPr>
        <w:t xml:space="preserve"> </w:t>
      </w:r>
      <w:r w:rsidRPr="00D33657">
        <w:rPr>
          <w:rFonts w:hint="cs"/>
          <w:rtl/>
          <w:lang w:bidi="ar-JO"/>
        </w:rPr>
        <w:t>لشكلها</w:t>
      </w:r>
      <w:r w:rsidRPr="00D33657">
        <w:rPr>
          <w:rFonts w:hint="cs"/>
          <w:rtl/>
        </w:rPr>
        <w:t xml:space="preserve"> </w:t>
      </w:r>
      <w:r w:rsidRPr="00D33657">
        <w:rPr>
          <w:rFonts w:hint="cs"/>
          <w:rtl/>
          <w:lang w:bidi="ar-JO"/>
        </w:rPr>
        <w:t>الحالي</w:t>
      </w:r>
      <w:r w:rsidRPr="00D33657">
        <w:rPr>
          <w:rFonts w:hint="cs"/>
          <w:rtl/>
        </w:rPr>
        <w:t xml:space="preserve">. </w:t>
      </w:r>
      <w:r w:rsidRPr="00D33657">
        <w:rPr>
          <w:rFonts w:hint="cs"/>
          <w:rtl/>
          <w:lang w:bidi="ar-JO"/>
        </w:rPr>
        <w:t>يجب</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زيادة</w:t>
      </w:r>
      <w:r w:rsidRPr="00D33657">
        <w:rPr>
          <w:rFonts w:hint="cs"/>
          <w:rtl/>
        </w:rPr>
        <w:t xml:space="preserve"> </w:t>
      </w:r>
      <w:r w:rsidRPr="00D33657">
        <w:rPr>
          <w:rFonts w:hint="cs"/>
          <w:rtl/>
          <w:lang w:bidi="ar-JO"/>
        </w:rPr>
        <w:t>معدلات</w:t>
      </w:r>
      <w:r w:rsidRPr="00D33657">
        <w:rPr>
          <w:rFonts w:hint="cs"/>
          <w:rtl/>
        </w:rPr>
        <w:t xml:space="preserve"> </w:t>
      </w:r>
      <w:r w:rsidRPr="00D33657">
        <w:rPr>
          <w:rFonts w:hint="cs"/>
          <w:rtl/>
          <w:lang w:bidi="ar-JO"/>
        </w:rPr>
        <w:t>التحصيل</w:t>
      </w:r>
      <w:r w:rsidRPr="00D33657">
        <w:rPr>
          <w:rFonts w:hint="cs"/>
          <w:rtl/>
        </w:rPr>
        <w:t xml:space="preserve"> </w:t>
      </w:r>
      <w:r w:rsidRPr="00D33657">
        <w:rPr>
          <w:rFonts w:hint="cs"/>
          <w:rtl/>
          <w:lang w:bidi="ar-JO"/>
        </w:rPr>
        <w:t>المنخفضة</w:t>
      </w:r>
      <w:r w:rsidRPr="00D33657">
        <w:rPr>
          <w:rFonts w:hint="cs"/>
          <w:rtl/>
        </w:rPr>
        <w:t xml:space="preserve"> </w:t>
      </w:r>
      <w:r w:rsidRPr="00D33657">
        <w:rPr>
          <w:rFonts w:hint="cs"/>
          <w:rtl/>
          <w:lang w:bidi="ar-JO"/>
        </w:rPr>
        <w:t>لضريبة</w:t>
      </w:r>
      <w:r w:rsidRPr="00D33657">
        <w:rPr>
          <w:rFonts w:hint="cs"/>
          <w:rtl/>
        </w:rPr>
        <w:t xml:space="preserve"> </w:t>
      </w:r>
      <w:r w:rsidRPr="00D33657">
        <w:rPr>
          <w:rFonts w:hint="cs"/>
          <w:rtl/>
          <w:lang w:bidi="ar-JO"/>
        </w:rPr>
        <w:t>البلدية</w:t>
      </w:r>
      <w:r w:rsidRPr="00D33657">
        <w:rPr>
          <w:rFonts w:hint="cs"/>
          <w:rtl/>
        </w:rPr>
        <w:t xml:space="preserve"> (</w:t>
      </w:r>
      <w:r w:rsidRPr="00D33657">
        <w:rPr>
          <w:rFonts w:hint="cs"/>
          <w:rtl/>
          <w:lang w:bidi="ar-JO"/>
        </w:rPr>
        <w:t>الجارية</w:t>
      </w:r>
      <w:r w:rsidRPr="00D33657">
        <w:rPr>
          <w:rFonts w:hint="cs"/>
          <w:rtl/>
        </w:rPr>
        <w:t xml:space="preserve"> </w:t>
      </w:r>
      <w:r w:rsidRPr="00D33657">
        <w:rPr>
          <w:rFonts w:hint="cs"/>
          <w:rtl/>
          <w:lang w:bidi="ar-JO"/>
        </w:rPr>
        <w:t>والديون</w:t>
      </w:r>
      <w:r w:rsidRPr="00D33657">
        <w:rPr>
          <w:rFonts w:hint="cs"/>
          <w:rtl/>
        </w:rPr>
        <w:t xml:space="preserve"> </w:t>
      </w:r>
      <w:r w:rsidRPr="00D33657">
        <w:rPr>
          <w:rFonts w:hint="cs"/>
          <w:rtl/>
          <w:lang w:bidi="ar-JO"/>
        </w:rPr>
        <w:t>المستحقة</w:t>
      </w:r>
      <w:r w:rsidRPr="00D33657">
        <w:rPr>
          <w:rFonts w:hint="cs"/>
          <w:rtl/>
        </w:rPr>
        <w:t>)</w:t>
      </w:r>
      <w:r w:rsidRPr="00D33657">
        <w:rPr>
          <w:rFonts w:hint="cs"/>
          <w:rtl/>
          <w:lang w:bidi="ar-JO"/>
        </w:rPr>
        <w:t>،</w:t>
      </w:r>
      <w:r w:rsidRPr="00D33657">
        <w:rPr>
          <w:rFonts w:hint="cs"/>
          <w:rtl/>
        </w:rPr>
        <w:t xml:space="preserve"> </w:t>
      </w:r>
      <w:r w:rsidRPr="00D33657">
        <w:rPr>
          <w:rFonts w:hint="cs"/>
          <w:rtl/>
          <w:lang w:bidi="ar-JO"/>
        </w:rPr>
        <w:t>وخاصة</w:t>
      </w:r>
      <w:r w:rsidRPr="00D33657">
        <w:rPr>
          <w:rFonts w:hint="cs"/>
          <w:rtl/>
        </w:rPr>
        <w:t xml:space="preserve"> </w:t>
      </w:r>
      <w:r w:rsidRPr="00D33657">
        <w:rPr>
          <w:rFonts w:hint="cs"/>
          <w:rtl/>
          <w:lang w:bidi="ar-JO"/>
        </w:rPr>
        <w:t>المجلس</w:t>
      </w:r>
      <w:r w:rsidRPr="00D33657">
        <w:rPr>
          <w:rFonts w:hint="cs"/>
          <w:rtl/>
        </w:rPr>
        <w:t xml:space="preserve"> </w:t>
      </w:r>
      <w:r w:rsidRPr="00D33657">
        <w:rPr>
          <w:rFonts w:hint="cs"/>
          <w:rtl/>
          <w:lang w:bidi="ar-JO"/>
        </w:rPr>
        <w:t>المحلي</w:t>
      </w:r>
      <w:r w:rsidRPr="00D33657">
        <w:rPr>
          <w:rFonts w:hint="cs"/>
          <w:rtl/>
        </w:rPr>
        <w:t xml:space="preserve"> </w:t>
      </w:r>
      <w:r w:rsidRPr="00D33657">
        <w:rPr>
          <w:rFonts w:hint="cs"/>
          <w:rtl/>
          <w:lang w:bidi="ar-JO"/>
        </w:rPr>
        <w:t>جسر</w:t>
      </w:r>
      <w:r w:rsidRPr="00D33657">
        <w:rPr>
          <w:rFonts w:hint="cs"/>
          <w:rtl/>
        </w:rPr>
        <w:t xml:space="preserve"> </w:t>
      </w:r>
      <w:r w:rsidRPr="00D33657">
        <w:rPr>
          <w:rFonts w:hint="cs"/>
          <w:rtl/>
          <w:lang w:bidi="ar-JO"/>
        </w:rPr>
        <w:t>الزرقاء</w:t>
      </w:r>
      <w:r w:rsidRPr="00D33657">
        <w:rPr>
          <w:rFonts w:hint="cs"/>
          <w:rtl/>
        </w:rPr>
        <w:t xml:space="preserve"> (35%) </w:t>
      </w:r>
      <w:r w:rsidRPr="00D33657">
        <w:rPr>
          <w:rFonts w:hint="cs"/>
          <w:rtl/>
          <w:lang w:bidi="ar-JO"/>
        </w:rPr>
        <w:t>والمجلس</w:t>
      </w:r>
      <w:r w:rsidRPr="00D33657">
        <w:rPr>
          <w:rFonts w:hint="cs"/>
          <w:rtl/>
        </w:rPr>
        <w:t xml:space="preserve"> </w:t>
      </w:r>
      <w:r w:rsidRPr="00D33657">
        <w:rPr>
          <w:rFonts w:hint="cs"/>
          <w:rtl/>
          <w:lang w:bidi="ar-JO"/>
        </w:rPr>
        <w:t>المحلي</w:t>
      </w:r>
      <w:r w:rsidRPr="00D33657">
        <w:rPr>
          <w:rFonts w:hint="cs"/>
          <w:rtl/>
        </w:rPr>
        <w:t xml:space="preserve"> </w:t>
      </w:r>
      <w:r w:rsidRPr="00D33657">
        <w:rPr>
          <w:rFonts w:hint="cs"/>
          <w:rtl/>
          <w:lang w:bidi="ar-JO"/>
        </w:rPr>
        <w:t>ساجور</w:t>
      </w:r>
      <w:r w:rsidRPr="00D33657">
        <w:rPr>
          <w:rFonts w:hint="cs"/>
          <w:rtl/>
        </w:rPr>
        <w:t xml:space="preserve"> (28%)</w:t>
      </w:r>
      <w:r w:rsidRPr="00D33657">
        <w:rPr>
          <w:rFonts w:hint="cs"/>
          <w:rtl/>
          <w:lang w:bidi="ar-JO"/>
        </w:rPr>
        <w:t>،</w:t>
      </w:r>
      <w:r w:rsidRPr="00D33657">
        <w:rPr>
          <w:rFonts w:hint="cs"/>
          <w:rtl/>
        </w:rPr>
        <w:t xml:space="preserve"> </w:t>
      </w:r>
      <w:r w:rsidRPr="00D33657">
        <w:rPr>
          <w:rFonts w:hint="cs"/>
          <w:rtl/>
          <w:lang w:bidi="ar-JO"/>
        </w:rPr>
        <w:t>وإجراء</w:t>
      </w:r>
      <w:r w:rsidRPr="00D33657">
        <w:rPr>
          <w:rFonts w:hint="cs"/>
          <w:rtl/>
        </w:rPr>
        <w:t xml:space="preserve"> </w:t>
      </w:r>
      <w:r w:rsidRPr="00D33657">
        <w:rPr>
          <w:rFonts w:hint="cs"/>
          <w:rtl/>
          <w:lang w:bidi="ar-JO"/>
        </w:rPr>
        <w:t>مسوحات</w:t>
      </w:r>
      <w:r w:rsidRPr="00D33657">
        <w:rPr>
          <w:rFonts w:hint="cs"/>
          <w:rtl/>
        </w:rPr>
        <w:t xml:space="preserve"> </w:t>
      </w:r>
      <w:r w:rsidRPr="00D33657">
        <w:rPr>
          <w:rFonts w:hint="cs"/>
          <w:rtl/>
          <w:lang w:bidi="ar-JO"/>
        </w:rPr>
        <w:t>عقارية</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الوقت</w:t>
      </w:r>
      <w:r w:rsidRPr="00D33657">
        <w:rPr>
          <w:rFonts w:hint="cs"/>
          <w:rtl/>
        </w:rPr>
        <w:t xml:space="preserve"> </w:t>
      </w:r>
      <w:r w:rsidRPr="00D33657">
        <w:rPr>
          <w:rFonts w:hint="cs"/>
          <w:rtl/>
          <w:lang w:bidi="ar-JO"/>
        </w:rPr>
        <w:t>المناسب</w:t>
      </w:r>
      <w:r w:rsidRPr="00D33657">
        <w:rPr>
          <w:rFonts w:hint="cs"/>
          <w:rtl/>
        </w:rPr>
        <w:t xml:space="preserve"> </w:t>
      </w:r>
      <w:r w:rsidRPr="00D33657">
        <w:rPr>
          <w:rFonts w:hint="cs"/>
          <w:rtl/>
          <w:lang w:bidi="ar-JO"/>
        </w:rPr>
        <w:t>وتحقيق</w:t>
      </w:r>
      <w:r w:rsidRPr="00D33657">
        <w:rPr>
          <w:rFonts w:hint="cs"/>
          <w:rtl/>
        </w:rPr>
        <w:t xml:space="preserve"> </w:t>
      </w:r>
      <w:r w:rsidRPr="00D33657">
        <w:rPr>
          <w:rFonts w:hint="cs"/>
          <w:rtl/>
          <w:lang w:bidi="ar-JO"/>
        </w:rPr>
        <w:t>جميع</w:t>
      </w:r>
      <w:r w:rsidRPr="00D33657">
        <w:rPr>
          <w:rFonts w:hint="cs"/>
          <w:rtl/>
        </w:rPr>
        <w:t xml:space="preserve"> </w:t>
      </w:r>
      <w:r w:rsidRPr="00D33657">
        <w:rPr>
          <w:rFonts w:hint="cs"/>
          <w:rtl/>
          <w:lang w:bidi="ar-JO"/>
        </w:rPr>
        <w:t>الأهداف</w:t>
      </w:r>
      <w:r w:rsidRPr="00D33657">
        <w:rPr>
          <w:rFonts w:hint="cs"/>
          <w:rtl/>
        </w:rPr>
        <w:t xml:space="preserve"> </w:t>
      </w:r>
      <w:r w:rsidRPr="00D33657">
        <w:rPr>
          <w:rFonts w:hint="cs"/>
          <w:rtl/>
          <w:lang w:bidi="ar-JO"/>
        </w:rPr>
        <w:t>المحددة</w:t>
      </w:r>
      <w:r w:rsidRPr="00D33657">
        <w:rPr>
          <w:rFonts w:hint="cs"/>
          <w:rtl/>
        </w:rPr>
        <w:t xml:space="preserve"> </w:t>
      </w:r>
      <w:r w:rsidRPr="00D33657">
        <w:rPr>
          <w:rFonts w:hint="cs"/>
          <w:rtl/>
          <w:lang w:bidi="ar-JO"/>
        </w:rPr>
        <w:t>لها</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خطط</w:t>
      </w:r>
      <w:r w:rsidRPr="00D33657">
        <w:rPr>
          <w:rFonts w:hint="cs"/>
          <w:rtl/>
        </w:rPr>
        <w:t xml:space="preserve"> </w:t>
      </w:r>
      <w:r w:rsidRPr="00D33657">
        <w:rPr>
          <w:rFonts w:hint="cs"/>
          <w:rtl/>
          <w:lang w:bidi="ar-JO"/>
        </w:rPr>
        <w:t>الإنعاش</w:t>
      </w:r>
      <w:r w:rsidRPr="00D33657">
        <w:rPr>
          <w:rFonts w:hint="cs"/>
          <w:rtl/>
        </w:rPr>
        <w:t xml:space="preserve">. </w:t>
      </w:r>
      <w:r w:rsidRPr="00D33657">
        <w:rPr>
          <w:rFonts w:hint="cs"/>
          <w:rtl/>
          <w:lang w:bidi="ar-JO"/>
        </w:rPr>
        <w:t>أما</w:t>
      </w:r>
      <w:r w:rsidRPr="00D33657">
        <w:rPr>
          <w:rFonts w:hint="cs"/>
          <w:rtl/>
        </w:rPr>
        <w:t xml:space="preserve"> </w:t>
      </w:r>
      <w:r w:rsidRPr="00D33657">
        <w:rPr>
          <w:rFonts w:hint="cs"/>
          <w:rtl/>
          <w:lang w:bidi="ar-JO"/>
        </w:rPr>
        <w:t>بالنسبة</w:t>
      </w:r>
      <w:r w:rsidRPr="00D33657">
        <w:rPr>
          <w:rFonts w:hint="cs"/>
          <w:rtl/>
        </w:rPr>
        <w:t xml:space="preserve"> </w:t>
      </w:r>
      <w:r w:rsidRPr="00D33657">
        <w:rPr>
          <w:rFonts w:hint="cs"/>
          <w:rtl/>
          <w:lang w:bidi="ar-JO"/>
        </w:rPr>
        <w:t>لمجلس</w:t>
      </w:r>
      <w:r w:rsidRPr="00D33657">
        <w:rPr>
          <w:rFonts w:hint="cs"/>
          <w:rtl/>
        </w:rPr>
        <w:t xml:space="preserve"> </w:t>
      </w:r>
      <w:r w:rsidRPr="00D33657">
        <w:rPr>
          <w:rFonts w:hint="cs"/>
          <w:rtl/>
          <w:lang w:bidi="ar-JO"/>
        </w:rPr>
        <w:t>بستان</w:t>
      </w:r>
      <w:r w:rsidRPr="00D33657">
        <w:rPr>
          <w:rFonts w:hint="cs"/>
          <w:rtl/>
        </w:rPr>
        <w:t xml:space="preserve"> </w:t>
      </w:r>
      <w:r w:rsidRPr="00D33657">
        <w:rPr>
          <w:rFonts w:hint="cs"/>
          <w:rtl/>
          <w:lang w:bidi="ar-JO"/>
        </w:rPr>
        <w:t>المرج</w:t>
      </w:r>
      <w:r w:rsidRPr="00D33657">
        <w:rPr>
          <w:rFonts w:hint="cs"/>
          <w:rtl/>
        </w:rPr>
        <w:t xml:space="preserve"> </w:t>
      </w:r>
      <w:r w:rsidRPr="00D33657">
        <w:rPr>
          <w:rFonts w:hint="cs"/>
          <w:rtl/>
          <w:lang w:bidi="ar-JO"/>
        </w:rPr>
        <w:t>الإقليمي</w:t>
      </w:r>
      <w:r w:rsidRPr="00D33657">
        <w:rPr>
          <w:rFonts w:hint="cs"/>
          <w:rtl/>
        </w:rPr>
        <w:t xml:space="preserve"> </w:t>
      </w:r>
      <w:r w:rsidRPr="00D33657">
        <w:rPr>
          <w:rFonts w:hint="cs"/>
          <w:rtl/>
          <w:lang w:bidi="ar-JO"/>
        </w:rPr>
        <w:t>والمجلس</w:t>
      </w:r>
      <w:r w:rsidRPr="00D33657">
        <w:rPr>
          <w:rFonts w:hint="cs"/>
          <w:rtl/>
        </w:rPr>
        <w:t xml:space="preserve"> </w:t>
      </w:r>
      <w:r w:rsidRPr="00D33657">
        <w:rPr>
          <w:rFonts w:hint="cs"/>
          <w:rtl/>
          <w:lang w:bidi="ar-JO"/>
        </w:rPr>
        <w:t>المحلي</w:t>
      </w:r>
      <w:r w:rsidRPr="00D33657">
        <w:rPr>
          <w:rFonts w:hint="cs"/>
          <w:rtl/>
        </w:rPr>
        <w:t xml:space="preserve"> </w:t>
      </w:r>
      <w:r w:rsidRPr="00D33657">
        <w:rPr>
          <w:rFonts w:hint="cs"/>
          <w:rtl/>
          <w:lang w:bidi="ar-JO"/>
        </w:rPr>
        <w:t>بيت</w:t>
      </w:r>
      <w:r w:rsidRPr="00D33657">
        <w:rPr>
          <w:rFonts w:hint="cs"/>
          <w:rtl/>
        </w:rPr>
        <w:t xml:space="preserve"> </w:t>
      </w:r>
      <w:r w:rsidRPr="00D33657">
        <w:rPr>
          <w:rFonts w:hint="cs"/>
          <w:rtl/>
          <w:lang w:bidi="ar-JO"/>
        </w:rPr>
        <w:t>أرييه،</w:t>
      </w:r>
      <w:r w:rsidRPr="00D33657">
        <w:rPr>
          <w:rFonts w:hint="cs"/>
          <w:rtl/>
        </w:rPr>
        <w:t xml:space="preserve"> </w:t>
      </w:r>
      <w:r w:rsidRPr="00D33657">
        <w:rPr>
          <w:rFonts w:hint="cs"/>
          <w:rtl/>
          <w:lang w:bidi="ar-JO"/>
        </w:rPr>
        <w:t>فيجب</w:t>
      </w:r>
      <w:r w:rsidRPr="00D33657">
        <w:rPr>
          <w:rFonts w:hint="cs"/>
          <w:rtl/>
        </w:rPr>
        <w:t xml:space="preserve"> </w:t>
      </w:r>
      <w:r w:rsidRPr="00D33657">
        <w:rPr>
          <w:rFonts w:hint="cs"/>
          <w:rtl/>
          <w:lang w:bidi="ar-JO"/>
        </w:rPr>
        <w:t>عليهما</w:t>
      </w:r>
      <w:r w:rsidRPr="00D33657">
        <w:rPr>
          <w:rFonts w:hint="cs"/>
          <w:rtl/>
        </w:rPr>
        <w:t xml:space="preserve"> </w:t>
      </w:r>
      <w:r w:rsidRPr="00D33657">
        <w:rPr>
          <w:rFonts w:hint="cs"/>
          <w:rtl/>
          <w:lang w:bidi="ar-JO"/>
        </w:rPr>
        <w:t>زيادة</w:t>
      </w:r>
      <w:r w:rsidRPr="00D33657">
        <w:rPr>
          <w:rFonts w:hint="cs"/>
          <w:rtl/>
        </w:rPr>
        <w:t xml:space="preserve"> </w:t>
      </w:r>
      <w:r w:rsidRPr="00D33657">
        <w:rPr>
          <w:rFonts w:hint="cs"/>
          <w:rtl/>
          <w:lang w:bidi="ar-JO"/>
        </w:rPr>
        <w:t>تحصيل</w:t>
      </w:r>
      <w:r w:rsidRPr="00D33657">
        <w:rPr>
          <w:rFonts w:hint="cs"/>
          <w:rtl/>
        </w:rPr>
        <w:t xml:space="preserve"> </w:t>
      </w:r>
      <w:r w:rsidRPr="00D33657">
        <w:rPr>
          <w:rFonts w:hint="cs"/>
          <w:rtl/>
          <w:lang w:bidi="ar-JO"/>
        </w:rPr>
        <w:t>بقية</w:t>
      </w:r>
      <w:r w:rsidRPr="00D33657">
        <w:rPr>
          <w:rFonts w:hint="cs"/>
          <w:rtl/>
        </w:rPr>
        <w:t xml:space="preserve"> </w:t>
      </w:r>
      <w:r w:rsidRPr="00D33657">
        <w:rPr>
          <w:rFonts w:hint="cs"/>
          <w:rtl/>
          <w:lang w:bidi="ar-JO"/>
        </w:rPr>
        <w:t>المدخولات</w:t>
      </w:r>
      <w:r w:rsidRPr="00D33657">
        <w:rPr>
          <w:rFonts w:hint="cs"/>
          <w:rtl/>
        </w:rPr>
        <w:t xml:space="preserve"> </w:t>
      </w:r>
      <w:r w:rsidRPr="00D33657">
        <w:rPr>
          <w:rFonts w:hint="cs"/>
          <w:rtl/>
          <w:lang w:bidi="ar-JO"/>
        </w:rPr>
        <w:t>الذاتية</w:t>
      </w:r>
      <w:r w:rsidRPr="00D33657">
        <w:rPr>
          <w:rFonts w:hint="cs"/>
          <w:rtl/>
        </w:rPr>
        <w:t>.</w:t>
      </w:r>
      <w:r w:rsidRPr="00D33657">
        <w:rPr>
          <w:rFonts w:hint="cs"/>
          <w:rtl/>
          <w:lang w:bidi="ar-JO"/>
        </w:rPr>
        <w:t xml:space="preserve"> يوصي</w:t>
      </w:r>
      <w:r w:rsidRPr="00D33657">
        <w:rPr>
          <w:rFonts w:hint="cs"/>
          <w:rtl/>
        </w:rPr>
        <w:t xml:space="preserve"> </w:t>
      </w:r>
      <w:r w:rsidRPr="00D33657">
        <w:rPr>
          <w:rFonts w:hint="cs"/>
          <w:rtl/>
          <w:lang w:bidi="ar-JO"/>
        </w:rPr>
        <w:t>مكتب</w:t>
      </w:r>
      <w:r w:rsidRPr="00D33657">
        <w:rPr>
          <w:rFonts w:hint="cs"/>
          <w:rtl/>
        </w:rPr>
        <w:t xml:space="preserve"> </w:t>
      </w:r>
      <w:r w:rsidRPr="00D33657">
        <w:rPr>
          <w:rFonts w:hint="cs"/>
          <w:rtl/>
          <w:lang w:bidi="ar-JO"/>
        </w:rPr>
        <w:t>مراقب</w:t>
      </w:r>
      <w:r w:rsidRPr="00D33657">
        <w:rPr>
          <w:rFonts w:hint="cs"/>
          <w:rtl/>
        </w:rPr>
        <w:t xml:space="preserve"> </w:t>
      </w:r>
      <w:r w:rsidRPr="00D33657">
        <w:rPr>
          <w:rFonts w:hint="cs"/>
          <w:rtl/>
          <w:lang w:bidi="ar-JO"/>
        </w:rPr>
        <w:t>الدولة</w:t>
      </w:r>
      <w:r w:rsidRPr="00D33657">
        <w:rPr>
          <w:rFonts w:hint="cs"/>
          <w:rtl/>
        </w:rPr>
        <w:t xml:space="preserve"> </w:t>
      </w:r>
      <w:r w:rsidRPr="00D33657">
        <w:rPr>
          <w:rFonts w:hint="cs"/>
          <w:rtl/>
          <w:lang w:bidi="ar-JO"/>
        </w:rPr>
        <w:t>وزارة</w:t>
      </w:r>
      <w:r w:rsidRPr="00D33657">
        <w:rPr>
          <w:rFonts w:hint="cs"/>
          <w:rtl/>
        </w:rPr>
        <w:t xml:space="preserve"> </w:t>
      </w:r>
      <w:r w:rsidRPr="00D33657">
        <w:rPr>
          <w:rFonts w:hint="cs"/>
          <w:rtl/>
          <w:lang w:bidi="ar-JO"/>
        </w:rPr>
        <w:t>الداخلية</w:t>
      </w:r>
      <w:r w:rsidRPr="00D33657">
        <w:rPr>
          <w:rFonts w:hint="cs"/>
          <w:rtl/>
        </w:rPr>
        <w:t xml:space="preserve"> </w:t>
      </w:r>
      <w:r w:rsidRPr="00D33657">
        <w:rPr>
          <w:rFonts w:hint="cs"/>
          <w:rtl/>
          <w:lang w:bidi="ar-JO"/>
        </w:rPr>
        <w:t>بأن</w:t>
      </w:r>
      <w:r w:rsidRPr="00D33657">
        <w:rPr>
          <w:rFonts w:hint="cs"/>
          <w:rtl/>
        </w:rPr>
        <w:t xml:space="preserve"> </w:t>
      </w:r>
      <w:r w:rsidRPr="00D33657">
        <w:rPr>
          <w:rFonts w:hint="cs"/>
          <w:rtl/>
          <w:lang w:bidi="ar-JO"/>
        </w:rPr>
        <w:t>تقوم</w:t>
      </w:r>
      <w:r w:rsidRPr="00D33657">
        <w:rPr>
          <w:rFonts w:hint="cs"/>
          <w:rtl/>
        </w:rPr>
        <w:t xml:space="preserve"> </w:t>
      </w:r>
      <w:r w:rsidRPr="00D33657">
        <w:rPr>
          <w:rFonts w:hint="cs"/>
          <w:rtl/>
          <w:lang w:bidi="ar-JO"/>
        </w:rPr>
        <w:t>بعملية</w:t>
      </w:r>
      <w:r w:rsidRPr="00D33657">
        <w:rPr>
          <w:rFonts w:hint="cs"/>
          <w:rtl/>
        </w:rPr>
        <w:t xml:space="preserve"> </w:t>
      </w:r>
      <w:r w:rsidRPr="00D33657">
        <w:rPr>
          <w:rFonts w:hint="cs"/>
          <w:rtl/>
          <w:lang w:bidi="ar-JO"/>
        </w:rPr>
        <w:t>تعلم</w:t>
      </w:r>
      <w:r w:rsidRPr="00D33657">
        <w:rPr>
          <w:rFonts w:hint="cs"/>
          <w:rtl/>
        </w:rPr>
        <w:t xml:space="preserve"> </w:t>
      </w:r>
      <w:r w:rsidRPr="00D33657">
        <w:rPr>
          <w:rFonts w:hint="cs"/>
          <w:rtl/>
          <w:lang w:bidi="ar-JO"/>
        </w:rPr>
        <w:t>واستخلاص</w:t>
      </w:r>
      <w:r w:rsidRPr="00D33657">
        <w:rPr>
          <w:rFonts w:hint="cs"/>
          <w:rtl/>
        </w:rPr>
        <w:t xml:space="preserve"> </w:t>
      </w:r>
      <w:r w:rsidRPr="00D33657">
        <w:rPr>
          <w:rFonts w:hint="cs"/>
          <w:rtl/>
          <w:lang w:bidi="ar-JO"/>
        </w:rPr>
        <w:t>العبر</w:t>
      </w:r>
      <w:r w:rsidRPr="00D33657">
        <w:rPr>
          <w:rFonts w:hint="cs"/>
          <w:rtl/>
        </w:rPr>
        <w:t xml:space="preserve"> </w:t>
      </w:r>
      <w:r w:rsidRPr="00D33657">
        <w:rPr>
          <w:rFonts w:hint="cs"/>
          <w:rtl/>
          <w:lang w:bidi="ar-JO"/>
        </w:rPr>
        <w:t>ودراسة</w:t>
      </w:r>
      <w:r w:rsidRPr="00D33657">
        <w:rPr>
          <w:rFonts w:hint="cs"/>
          <w:rtl/>
        </w:rPr>
        <w:t xml:space="preserve"> </w:t>
      </w:r>
      <w:r w:rsidRPr="00D33657">
        <w:rPr>
          <w:rFonts w:hint="cs"/>
          <w:rtl/>
          <w:lang w:bidi="ar-JO"/>
        </w:rPr>
        <w:t>الخطوات</w:t>
      </w:r>
      <w:r w:rsidRPr="00D33657">
        <w:rPr>
          <w:rFonts w:hint="cs"/>
          <w:rtl/>
        </w:rPr>
        <w:t xml:space="preserve"> </w:t>
      </w:r>
      <w:r w:rsidRPr="00D33657">
        <w:rPr>
          <w:rFonts w:hint="cs"/>
          <w:rtl/>
          <w:lang w:bidi="ar-JO"/>
        </w:rPr>
        <w:t>والتدابير</w:t>
      </w:r>
      <w:r w:rsidRPr="00D33657">
        <w:rPr>
          <w:rFonts w:hint="cs"/>
          <w:rtl/>
        </w:rPr>
        <w:t xml:space="preserve"> </w:t>
      </w:r>
      <w:r w:rsidRPr="00D33657">
        <w:rPr>
          <w:rFonts w:hint="cs"/>
          <w:rtl/>
          <w:lang w:bidi="ar-JO"/>
        </w:rPr>
        <w:t>الإضافية</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ينبغي</w:t>
      </w:r>
      <w:r w:rsidRPr="00D33657">
        <w:rPr>
          <w:rFonts w:hint="cs"/>
          <w:rtl/>
        </w:rPr>
        <w:t xml:space="preserve"> </w:t>
      </w:r>
      <w:r w:rsidRPr="00D33657">
        <w:rPr>
          <w:rFonts w:hint="cs"/>
          <w:rtl/>
          <w:lang w:bidi="ar-JO"/>
        </w:rPr>
        <w:t>اتخاذها</w:t>
      </w:r>
      <w:r w:rsidRPr="00D33657">
        <w:rPr>
          <w:rFonts w:hint="cs"/>
          <w:rtl/>
        </w:rPr>
        <w:t xml:space="preserve"> </w:t>
      </w:r>
      <w:r w:rsidRPr="00D33657">
        <w:rPr>
          <w:rFonts w:hint="cs"/>
          <w:rtl/>
          <w:lang w:bidi="ar-JO"/>
        </w:rPr>
        <w:t>لمساعدة</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وسكانها</w:t>
      </w:r>
      <w:r w:rsidRPr="00D33657">
        <w:rPr>
          <w:rFonts w:hint="cs"/>
          <w:rtl/>
        </w:rPr>
        <w:t xml:space="preserve">. </w:t>
      </w:r>
      <w:r w:rsidRPr="00D33657">
        <w:rPr>
          <w:rFonts w:hint="cs"/>
          <w:rtl/>
          <w:lang w:bidi="ar-JO"/>
        </w:rPr>
        <w:t>كما</w:t>
      </w:r>
      <w:r w:rsidRPr="00D33657">
        <w:rPr>
          <w:rFonts w:hint="cs"/>
          <w:rtl/>
        </w:rPr>
        <w:t xml:space="preserve"> </w:t>
      </w:r>
      <w:r w:rsidRPr="00D33657">
        <w:rPr>
          <w:rFonts w:hint="cs"/>
          <w:rtl/>
          <w:lang w:bidi="ar-JO"/>
        </w:rPr>
        <w:t>ويوصى</w:t>
      </w:r>
      <w:r w:rsidRPr="00D33657">
        <w:rPr>
          <w:rFonts w:hint="cs"/>
          <w:rtl/>
        </w:rPr>
        <w:t xml:space="preserve"> </w:t>
      </w:r>
      <w:r w:rsidRPr="00D33657">
        <w:rPr>
          <w:rFonts w:hint="cs"/>
          <w:rtl/>
          <w:lang w:bidi="ar-JO"/>
        </w:rPr>
        <w:t>بالنظر</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إمكانية</w:t>
      </w:r>
      <w:r w:rsidRPr="00D33657">
        <w:rPr>
          <w:rFonts w:hint="cs"/>
          <w:rtl/>
        </w:rPr>
        <w:t xml:space="preserve"> </w:t>
      </w:r>
      <w:r w:rsidRPr="00D33657">
        <w:rPr>
          <w:rFonts w:hint="cs"/>
          <w:rtl/>
          <w:lang w:bidi="ar-JO"/>
        </w:rPr>
        <w:t>تغيير</w:t>
      </w:r>
      <w:r w:rsidRPr="00D33657">
        <w:rPr>
          <w:rFonts w:hint="cs"/>
          <w:rtl/>
        </w:rPr>
        <w:t xml:space="preserve"> </w:t>
      </w:r>
      <w:r w:rsidRPr="00D33657">
        <w:rPr>
          <w:rFonts w:hint="cs"/>
          <w:rtl/>
          <w:lang w:bidi="ar-JO"/>
        </w:rPr>
        <w:t>شكل</w:t>
      </w:r>
      <w:r w:rsidRPr="00D33657">
        <w:rPr>
          <w:rFonts w:hint="cs"/>
          <w:rtl/>
        </w:rPr>
        <w:t xml:space="preserve"> </w:t>
      </w:r>
      <w:r w:rsidRPr="00D33657">
        <w:rPr>
          <w:rFonts w:hint="cs"/>
          <w:rtl/>
          <w:lang w:bidi="ar-JO"/>
        </w:rPr>
        <w:t>خطط</w:t>
      </w:r>
      <w:r w:rsidRPr="00D33657">
        <w:rPr>
          <w:rFonts w:hint="cs"/>
          <w:rtl/>
        </w:rPr>
        <w:t xml:space="preserve"> </w:t>
      </w:r>
      <w:r w:rsidRPr="00D33657">
        <w:rPr>
          <w:rFonts w:hint="cs"/>
          <w:rtl/>
          <w:lang w:bidi="ar-JO"/>
        </w:rPr>
        <w:t>الإنعاش</w:t>
      </w:r>
      <w:r w:rsidRPr="00D33657">
        <w:rPr>
          <w:rFonts w:hint="cs"/>
          <w:rtl/>
        </w:rPr>
        <w:t xml:space="preserve"> </w:t>
      </w:r>
      <w:r w:rsidRPr="00D33657">
        <w:rPr>
          <w:rFonts w:hint="cs"/>
          <w:rtl/>
          <w:lang w:bidi="ar-JO"/>
        </w:rPr>
        <w:t>للسلطات،</w:t>
      </w:r>
      <w:r w:rsidRPr="00D33657">
        <w:rPr>
          <w:rFonts w:hint="cs"/>
          <w:rtl/>
        </w:rPr>
        <w:t xml:space="preserve"> </w:t>
      </w:r>
      <w:r w:rsidRPr="00D33657">
        <w:rPr>
          <w:rFonts w:hint="cs"/>
          <w:rtl/>
          <w:lang w:bidi="ar-JO"/>
        </w:rPr>
        <w:t>خاصة</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ضوء</w:t>
      </w:r>
      <w:r w:rsidRPr="00D33657">
        <w:rPr>
          <w:rFonts w:hint="cs"/>
          <w:rtl/>
        </w:rPr>
        <w:t xml:space="preserve"> </w:t>
      </w:r>
      <w:r w:rsidRPr="00D33657">
        <w:rPr>
          <w:rFonts w:hint="cs"/>
          <w:rtl/>
          <w:lang w:bidi="ar-JO"/>
        </w:rPr>
        <w:t>مسؤولية</w:t>
      </w:r>
      <w:r w:rsidRPr="00D33657">
        <w:rPr>
          <w:rFonts w:hint="cs"/>
          <w:rtl/>
        </w:rPr>
        <w:t xml:space="preserve"> </w:t>
      </w:r>
      <w:r w:rsidRPr="00D33657">
        <w:rPr>
          <w:rFonts w:hint="cs"/>
          <w:rtl/>
          <w:lang w:bidi="ar-JO"/>
        </w:rPr>
        <w:t>وزارة</w:t>
      </w:r>
      <w:r w:rsidRPr="00D33657">
        <w:rPr>
          <w:rFonts w:hint="cs"/>
          <w:rtl/>
        </w:rPr>
        <w:t xml:space="preserve"> </w:t>
      </w:r>
      <w:r w:rsidRPr="00D33657">
        <w:rPr>
          <w:rFonts w:hint="cs"/>
          <w:rtl/>
          <w:lang w:bidi="ar-JO"/>
        </w:rPr>
        <w:t>الداخلية</w:t>
      </w:r>
      <w:r w:rsidRPr="00D33657">
        <w:rPr>
          <w:rFonts w:hint="cs"/>
          <w:rtl/>
        </w:rPr>
        <w:t xml:space="preserve"> </w:t>
      </w:r>
      <w:r w:rsidRPr="00D33657">
        <w:rPr>
          <w:rFonts w:hint="cs"/>
          <w:rtl/>
          <w:lang w:bidi="ar-JO"/>
        </w:rPr>
        <w:t>وصلاحياتها،</w:t>
      </w:r>
      <w:r w:rsidRPr="00D33657">
        <w:rPr>
          <w:rFonts w:hint="cs"/>
          <w:rtl/>
        </w:rPr>
        <w:t xml:space="preserve"> </w:t>
      </w:r>
      <w:r w:rsidRPr="00D33657">
        <w:rPr>
          <w:rFonts w:hint="cs"/>
          <w:rtl/>
          <w:lang w:bidi="ar-JO"/>
        </w:rPr>
        <w:t>حتى</w:t>
      </w:r>
      <w:r w:rsidRPr="00D33657">
        <w:rPr>
          <w:rFonts w:hint="cs"/>
          <w:rtl/>
        </w:rPr>
        <w:t xml:space="preserve"> </w:t>
      </w:r>
      <w:r w:rsidRPr="00D33657">
        <w:rPr>
          <w:rFonts w:hint="cs"/>
          <w:rtl/>
          <w:lang w:bidi="ar-JO"/>
        </w:rPr>
        <w:t>تحقق</w:t>
      </w:r>
      <w:r w:rsidRPr="00D33657">
        <w:rPr>
          <w:rFonts w:hint="cs"/>
          <w:rtl/>
        </w:rPr>
        <w:t xml:space="preserve"> </w:t>
      </w:r>
      <w:r w:rsidRPr="00D33657">
        <w:rPr>
          <w:rFonts w:hint="cs"/>
          <w:rtl/>
          <w:lang w:bidi="ar-JO"/>
        </w:rPr>
        <w:t>هذه</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الاستقلال</w:t>
      </w:r>
      <w:r w:rsidRPr="00D33657">
        <w:rPr>
          <w:rFonts w:hint="cs"/>
          <w:rtl/>
        </w:rPr>
        <w:t xml:space="preserve"> </w:t>
      </w:r>
      <w:r w:rsidRPr="00D33657">
        <w:rPr>
          <w:rFonts w:hint="cs"/>
          <w:rtl/>
          <w:lang w:bidi="ar-JO"/>
        </w:rPr>
        <w:t>المالي</w:t>
      </w:r>
      <w:r w:rsidRPr="00D33657">
        <w:rPr>
          <w:rFonts w:hint="cs"/>
          <w:rtl/>
        </w:rPr>
        <w:t xml:space="preserve"> </w:t>
      </w:r>
      <w:r w:rsidRPr="00D33657">
        <w:rPr>
          <w:rFonts w:hint="cs"/>
          <w:rtl/>
          <w:lang w:bidi="ar-JO"/>
        </w:rPr>
        <w:t>والإداري</w:t>
      </w:r>
      <w:r w:rsidRPr="00D33657">
        <w:rPr>
          <w:rFonts w:hint="cs"/>
          <w:rtl/>
        </w:rPr>
        <w:t>.</w:t>
      </w:r>
    </w:p>
    <w:p w:rsidR="00696D27" w:rsidRPr="00D33657" w:rsidP="00696D27" w14:paraId="4B0BF5B0" w14:textId="77777777">
      <w:pPr>
        <w:pStyle w:val="7190"/>
        <w:ind w:left="397"/>
      </w:pP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Fonts w:hint="cs"/>
          <w:rtl/>
          <w:lang w:bidi="ar-JO"/>
        </w:rPr>
        <w:t>(</w:t>
      </w:r>
      <w:r w:rsidRPr="00D33657">
        <w:rPr>
          <w:rFonts w:hint="cs"/>
          <w:rtl/>
          <w:lang w:bidi="ar-AE"/>
        </w:rPr>
        <w:t>ال</w:t>
      </w:r>
      <w:r w:rsidRPr="00D33657">
        <w:rPr>
          <w:rFonts w:hint="cs"/>
          <w:rtl/>
          <w:lang w:bidi="ar-JO"/>
        </w:rPr>
        <w:t xml:space="preserve">أرنونة) </w:t>
      </w:r>
      <w:r w:rsidRPr="00D33657">
        <w:rPr>
          <w:rtl/>
          <w:lang w:bidi="ar-JO"/>
        </w:rPr>
        <w:t>هي</w:t>
      </w:r>
      <w:r w:rsidRPr="00D33657">
        <w:rPr>
          <w:rtl/>
        </w:rPr>
        <w:t xml:space="preserve"> </w:t>
      </w:r>
      <w:r w:rsidRPr="00D33657">
        <w:rPr>
          <w:rtl/>
          <w:lang w:bidi="ar-JO"/>
        </w:rPr>
        <w:t>الضريبة</w:t>
      </w:r>
      <w:r w:rsidRPr="00D33657">
        <w:rPr>
          <w:rtl/>
        </w:rPr>
        <w:t xml:space="preserve"> </w:t>
      </w:r>
      <w:r w:rsidRPr="00D33657">
        <w:rPr>
          <w:rtl/>
          <w:lang w:bidi="ar-JO"/>
        </w:rPr>
        <w:t>الرئيسية</w:t>
      </w:r>
      <w:r w:rsidRPr="00D33657">
        <w:rPr>
          <w:rtl/>
        </w:rPr>
        <w:t xml:space="preserve"> </w:t>
      </w:r>
      <w:r w:rsidRPr="00D33657">
        <w:rPr>
          <w:rtl/>
          <w:lang w:bidi="ar-JO"/>
        </w:rPr>
        <w:t>التي</w:t>
      </w:r>
      <w:r w:rsidRPr="00D33657">
        <w:rPr>
          <w:rtl/>
        </w:rPr>
        <w:t xml:space="preserve"> </w:t>
      </w:r>
      <w:r w:rsidRPr="00D33657">
        <w:rPr>
          <w:rtl/>
          <w:lang w:bidi="ar-JO"/>
        </w:rPr>
        <w:t>تقوم</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w:t>
      </w:r>
      <w:r w:rsidRPr="00D33657">
        <w:rPr>
          <w:rtl/>
          <w:lang w:bidi="ar-JO"/>
        </w:rPr>
        <w:t>بتحصيلها،</w:t>
      </w:r>
      <w:r w:rsidRPr="00D33657">
        <w:rPr>
          <w:rtl/>
        </w:rPr>
        <w:t xml:space="preserve"> </w:t>
      </w:r>
      <w:r w:rsidRPr="00D33657">
        <w:rPr>
          <w:rtl/>
          <w:lang w:bidi="ar-JO"/>
        </w:rPr>
        <w:t>وهي</w:t>
      </w:r>
      <w:r w:rsidRPr="00D33657">
        <w:rPr>
          <w:rtl/>
        </w:rPr>
        <w:t xml:space="preserve"> </w:t>
      </w:r>
      <w:r w:rsidRPr="00D33657">
        <w:rPr>
          <w:rtl/>
          <w:lang w:bidi="ar-JO"/>
        </w:rPr>
        <w:t>المصدر</w:t>
      </w:r>
      <w:r w:rsidRPr="00D33657">
        <w:rPr>
          <w:rtl/>
        </w:rPr>
        <w:t xml:space="preserve"> </w:t>
      </w:r>
      <w:r w:rsidRPr="00D33657">
        <w:rPr>
          <w:rtl/>
          <w:lang w:bidi="ar-JO"/>
        </w:rPr>
        <w:t>الرئيسي</w:t>
      </w:r>
      <w:r w:rsidRPr="00D33657">
        <w:rPr>
          <w:rtl/>
        </w:rPr>
        <w:t xml:space="preserve"> </w:t>
      </w:r>
      <w:r w:rsidRPr="00D33657">
        <w:rPr>
          <w:rtl/>
          <w:lang w:bidi="ar-JO"/>
        </w:rPr>
        <w:t>لتمويل</w:t>
      </w:r>
      <w:r w:rsidRPr="00D33657">
        <w:rPr>
          <w:rtl/>
        </w:rPr>
        <w:t xml:space="preserve"> </w:t>
      </w:r>
      <w:r w:rsidRPr="00D33657">
        <w:rPr>
          <w:rtl/>
          <w:lang w:bidi="ar-JO"/>
        </w:rPr>
        <w:t>نفقات</w:t>
      </w:r>
      <w:r w:rsidRPr="00D33657">
        <w:rPr>
          <w:rtl/>
        </w:rPr>
        <w:t xml:space="preserve"> </w:t>
      </w:r>
      <w:r w:rsidRPr="00D33657">
        <w:rPr>
          <w:rtl/>
          <w:lang w:bidi="ar-JO"/>
        </w:rPr>
        <w:t>أداء</w:t>
      </w:r>
      <w:r w:rsidRPr="00D33657">
        <w:rPr>
          <w:rtl/>
        </w:rPr>
        <w:t xml:space="preserve"> </w:t>
      </w:r>
      <w:r w:rsidRPr="00D33657">
        <w:rPr>
          <w:rtl/>
          <w:lang w:bidi="ar-JO"/>
        </w:rPr>
        <w:t>وظائفها</w:t>
      </w:r>
      <w:r w:rsidRPr="00D33657">
        <w:rPr>
          <w:rtl/>
        </w:rPr>
        <w:t xml:space="preserve"> </w:t>
      </w:r>
      <w:r w:rsidRPr="00D33657">
        <w:rPr>
          <w:rFonts w:hint="cs"/>
          <w:rtl/>
          <w:lang w:bidi="ar-JO"/>
        </w:rPr>
        <w:t>ولتقديم</w:t>
      </w:r>
      <w:r w:rsidRPr="00D33657">
        <w:rPr>
          <w:rtl/>
        </w:rPr>
        <w:t xml:space="preserve"> </w:t>
      </w:r>
      <w:r w:rsidRPr="00D33657">
        <w:rPr>
          <w:rtl/>
          <w:lang w:bidi="ar-JO"/>
        </w:rPr>
        <w:t>الخدمات</w:t>
      </w:r>
      <w:r w:rsidRPr="00D33657">
        <w:rPr>
          <w:rtl/>
        </w:rPr>
        <w:t xml:space="preserve"> </w:t>
      </w:r>
      <w:r w:rsidRPr="00D33657">
        <w:rPr>
          <w:rtl/>
          <w:lang w:bidi="ar-JO"/>
        </w:rPr>
        <w:t>الحكومية</w:t>
      </w:r>
      <w:r w:rsidRPr="00D33657">
        <w:rPr>
          <w:rtl/>
        </w:rPr>
        <w:t xml:space="preserve"> </w:t>
      </w:r>
      <w:r w:rsidRPr="00D33657">
        <w:rPr>
          <w:rtl/>
          <w:lang w:bidi="ar-JO"/>
        </w:rPr>
        <w:t>والمحلية</w:t>
      </w:r>
      <w:r w:rsidRPr="00D33657">
        <w:rPr>
          <w:rtl/>
        </w:rPr>
        <w:t xml:space="preserve"> </w:t>
      </w:r>
      <w:r w:rsidRPr="00D33657">
        <w:rPr>
          <w:rtl/>
          <w:lang w:bidi="ar-JO"/>
        </w:rPr>
        <w:t>لسكانها</w:t>
      </w:r>
      <w:r w:rsidRPr="00D33657">
        <w:rPr>
          <w:rtl/>
        </w:rPr>
        <w:t xml:space="preserve">. </w:t>
      </w:r>
      <w:r w:rsidRPr="00D33657">
        <w:rPr>
          <w:rtl/>
          <w:lang w:bidi="ar-JO"/>
        </w:rPr>
        <w:t>للدخل</w:t>
      </w:r>
      <w:r w:rsidRPr="00D33657">
        <w:rPr>
          <w:rtl/>
        </w:rPr>
        <w:t xml:space="preserve"> </w:t>
      </w:r>
      <w:r w:rsidRPr="00D33657">
        <w:rPr>
          <w:rtl/>
          <w:lang w:bidi="ar-JO"/>
        </w:rPr>
        <w:t>من</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تأثير</w:t>
      </w:r>
      <w:r w:rsidRPr="00D33657">
        <w:rPr>
          <w:rtl/>
        </w:rPr>
        <w:t xml:space="preserve"> </w:t>
      </w:r>
      <w:r w:rsidRPr="00D33657">
        <w:rPr>
          <w:rtl/>
          <w:lang w:bidi="ar-JO"/>
        </w:rPr>
        <w:t>كبير</w:t>
      </w:r>
      <w:r w:rsidRPr="00D33657">
        <w:rPr>
          <w:rtl/>
        </w:rPr>
        <w:t xml:space="preserve"> </w:t>
      </w:r>
      <w:r w:rsidRPr="00D33657">
        <w:rPr>
          <w:rtl/>
          <w:lang w:bidi="ar-JO"/>
        </w:rPr>
        <w:t>على</w:t>
      </w:r>
      <w:r w:rsidRPr="00D33657">
        <w:rPr>
          <w:rtl/>
        </w:rPr>
        <w:t xml:space="preserve"> </w:t>
      </w:r>
      <w:r w:rsidRPr="00D33657">
        <w:rPr>
          <w:rtl/>
          <w:lang w:bidi="ar-JO"/>
        </w:rPr>
        <w:t>قدرة</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على</w:t>
      </w:r>
      <w:r w:rsidRPr="00D33657">
        <w:rPr>
          <w:rtl/>
        </w:rPr>
        <w:t xml:space="preserve"> </w:t>
      </w:r>
      <w:r w:rsidRPr="00D33657">
        <w:rPr>
          <w:rtl/>
          <w:lang w:bidi="ar-JO"/>
        </w:rPr>
        <w:t>تقديم</w:t>
      </w:r>
      <w:r w:rsidRPr="00D33657">
        <w:rPr>
          <w:rtl/>
        </w:rPr>
        <w:t xml:space="preserve"> </w:t>
      </w:r>
      <w:r w:rsidRPr="00D33657">
        <w:rPr>
          <w:rtl/>
          <w:lang w:bidi="ar-JO"/>
        </w:rPr>
        <w:t>الخدمات</w:t>
      </w:r>
      <w:r w:rsidRPr="00D33657">
        <w:rPr>
          <w:rtl/>
        </w:rPr>
        <w:t xml:space="preserve"> </w:t>
      </w:r>
      <w:r w:rsidRPr="00D33657">
        <w:rPr>
          <w:rtl/>
          <w:lang w:bidi="ar-JO"/>
        </w:rPr>
        <w:t>وتعزيز</w:t>
      </w:r>
      <w:r w:rsidRPr="00D33657">
        <w:rPr>
          <w:rtl/>
        </w:rPr>
        <w:t xml:space="preserve"> </w:t>
      </w:r>
      <w:r w:rsidRPr="00D33657">
        <w:rPr>
          <w:rtl/>
          <w:lang w:bidi="ar-JO"/>
        </w:rPr>
        <w:t>استقلالها</w:t>
      </w:r>
      <w:r w:rsidRPr="00D33657">
        <w:rPr>
          <w:rtl/>
        </w:rPr>
        <w:t xml:space="preserve"> </w:t>
      </w:r>
      <w:r w:rsidRPr="00D33657">
        <w:rPr>
          <w:rtl/>
          <w:lang w:bidi="ar-JO"/>
        </w:rPr>
        <w:t>الاقتصادي</w:t>
      </w:r>
      <w:r w:rsidRPr="00D33657">
        <w:rPr>
          <w:rtl/>
        </w:rPr>
        <w:t xml:space="preserve"> </w:t>
      </w:r>
      <w:r w:rsidRPr="00D33657">
        <w:rPr>
          <w:rtl/>
          <w:lang w:bidi="ar-JO"/>
        </w:rPr>
        <w:t>وتقليل</w:t>
      </w:r>
      <w:r w:rsidRPr="00D33657">
        <w:rPr>
          <w:rtl/>
        </w:rPr>
        <w:t xml:space="preserve"> </w:t>
      </w:r>
      <w:r w:rsidRPr="00D33657">
        <w:rPr>
          <w:rtl/>
          <w:lang w:bidi="ar-JO"/>
        </w:rPr>
        <w:t>اعتمادها</w:t>
      </w:r>
      <w:r w:rsidRPr="00D33657">
        <w:rPr>
          <w:rtl/>
        </w:rPr>
        <w:t xml:space="preserve"> </w:t>
      </w:r>
      <w:r w:rsidRPr="00D33657">
        <w:rPr>
          <w:rtl/>
          <w:lang w:bidi="ar-JO"/>
        </w:rPr>
        <w:t>على</w:t>
      </w:r>
      <w:r w:rsidRPr="00D33657">
        <w:rPr>
          <w:rtl/>
        </w:rPr>
        <w:t xml:space="preserve"> </w:t>
      </w:r>
      <w:r w:rsidRPr="00D33657">
        <w:rPr>
          <w:rtl/>
          <w:lang w:bidi="ar-JO"/>
        </w:rPr>
        <w:t>الحكومة</w:t>
      </w:r>
      <w:r w:rsidRPr="00D33657">
        <w:rPr>
          <w:rtl/>
        </w:rPr>
        <w:t xml:space="preserve"> </w:t>
      </w:r>
      <w:r w:rsidRPr="00D33657">
        <w:rPr>
          <w:rtl/>
          <w:lang w:bidi="ar-JO"/>
        </w:rPr>
        <w:t>المركزية</w:t>
      </w:r>
      <w:r w:rsidRPr="00D33657">
        <w:rPr>
          <w:rtl/>
        </w:rPr>
        <w:t xml:space="preserve">. </w:t>
      </w:r>
      <w:r w:rsidRPr="00D33657">
        <w:rPr>
          <w:rtl/>
          <w:lang w:bidi="ar-JO"/>
        </w:rPr>
        <w:t>تبين</w:t>
      </w:r>
      <w:r w:rsidRPr="00D33657">
        <w:rPr>
          <w:rtl/>
        </w:rPr>
        <w:t xml:space="preserve"> </w:t>
      </w:r>
      <w:r w:rsidRPr="00D33657">
        <w:rPr>
          <w:rtl/>
          <w:lang w:bidi="ar-JO"/>
        </w:rPr>
        <w:t>من</w:t>
      </w:r>
      <w:r w:rsidRPr="00D33657">
        <w:rPr>
          <w:rtl/>
        </w:rPr>
        <w:t xml:space="preserve"> </w:t>
      </w:r>
      <w:r w:rsidRPr="00D33657">
        <w:rPr>
          <w:rtl/>
          <w:lang w:bidi="ar-JO"/>
        </w:rPr>
        <w:t>عملية</w:t>
      </w:r>
      <w:r w:rsidRPr="00D33657">
        <w:rPr>
          <w:rtl/>
        </w:rPr>
        <w:t xml:space="preserve"> </w:t>
      </w:r>
      <w:r w:rsidRPr="00D33657">
        <w:rPr>
          <w:rtl/>
          <w:lang w:bidi="ar-JO"/>
        </w:rPr>
        <w:t>مراقبة</w:t>
      </w:r>
      <w:r w:rsidRPr="00D33657">
        <w:rPr>
          <w:rtl/>
        </w:rPr>
        <w:t xml:space="preserve"> </w:t>
      </w:r>
      <w:r w:rsidRPr="00D33657">
        <w:rPr>
          <w:rtl/>
          <w:lang w:bidi="ar-JO"/>
        </w:rPr>
        <w:t>قضية</w:t>
      </w:r>
      <w:r w:rsidRPr="00EF0616">
        <w:rPr>
          <w:rtl/>
          <w:lang w:val="ar"/>
        </w:rPr>
        <w:t xml:space="preserve"> </w:t>
      </w:r>
      <w:r w:rsidRPr="00D33657">
        <w:rPr>
          <w:bCs/>
          <w:rtl/>
          <w:lang w:val="ar" w:bidi="ar-JO"/>
        </w:rPr>
        <w:t>ضريبة</w:t>
      </w:r>
      <w:r w:rsidRPr="00D33657">
        <w:rPr>
          <w:bCs/>
          <w:rtl/>
          <w:lang w:val="ar"/>
        </w:rPr>
        <w:t xml:space="preserve"> </w:t>
      </w:r>
      <w:r w:rsidRPr="00D33657">
        <w:rPr>
          <w:bCs/>
          <w:rtl/>
          <w:lang w:val="ar" w:bidi="ar-JO"/>
        </w:rPr>
        <w:t>البلدية</w:t>
      </w:r>
      <w:r w:rsidRPr="00D33657">
        <w:rPr>
          <w:bCs/>
          <w:rtl/>
          <w:lang w:val="ar"/>
        </w:rPr>
        <w:t xml:space="preserve"> </w:t>
      </w:r>
      <w:r w:rsidRPr="00D33657">
        <w:rPr>
          <w:bCs/>
          <w:rtl/>
          <w:lang w:val="ar" w:bidi="ar-JO"/>
        </w:rPr>
        <w:t>لدى</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bCs/>
          <w:rtl/>
          <w:lang w:val="ar"/>
        </w:rPr>
        <w:t xml:space="preserve"> - </w:t>
      </w:r>
      <w:r w:rsidRPr="00D33657">
        <w:rPr>
          <w:bCs/>
          <w:rtl/>
          <w:lang w:val="ar" w:bidi="ar-JO"/>
        </w:rPr>
        <w:t>تنظيم،</w:t>
      </w:r>
      <w:r w:rsidRPr="00D33657">
        <w:rPr>
          <w:bCs/>
          <w:rtl/>
          <w:lang w:val="ar"/>
        </w:rPr>
        <w:t xml:space="preserve"> </w:t>
      </w:r>
      <w:r w:rsidRPr="00D33657">
        <w:rPr>
          <w:bCs/>
          <w:rtl/>
          <w:lang w:val="ar" w:bidi="ar-JO"/>
        </w:rPr>
        <w:t>فرض</w:t>
      </w:r>
      <w:r w:rsidRPr="00D33657">
        <w:rPr>
          <w:bCs/>
          <w:rtl/>
          <w:lang w:val="ar"/>
        </w:rPr>
        <w:t xml:space="preserve"> </w:t>
      </w:r>
      <w:r w:rsidRPr="00D33657">
        <w:rPr>
          <w:bCs/>
          <w:rtl/>
          <w:lang w:val="ar" w:bidi="ar-JO"/>
        </w:rPr>
        <w:t>وتقديم</w:t>
      </w:r>
      <w:r w:rsidRPr="00D33657">
        <w:rPr>
          <w:bCs/>
          <w:rtl/>
          <w:lang w:val="ar"/>
        </w:rPr>
        <w:t xml:space="preserve"> </w:t>
      </w:r>
      <w:r w:rsidRPr="00D33657">
        <w:rPr>
          <w:bCs/>
          <w:rtl/>
          <w:lang w:val="ar" w:bidi="ar-JO"/>
        </w:rPr>
        <w:t>خصومات</w:t>
      </w:r>
      <w:r w:rsidRPr="00D33657">
        <w:rPr>
          <w:b/>
          <w:color w:val="0D0D0D"/>
          <w:rtl/>
          <w:lang w:val="ar" w:bidi="ar-JO"/>
        </w:rPr>
        <w:t>،</w:t>
      </w:r>
      <w:r w:rsidRPr="00D33657">
        <w:rPr>
          <w:rtl/>
        </w:rPr>
        <w:t xml:space="preserve"> </w:t>
      </w:r>
      <w:r w:rsidRPr="00D33657">
        <w:rPr>
          <w:rtl/>
          <w:lang w:bidi="ar-JO"/>
        </w:rPr>
        <w:t>أنه</w:t>
      </w:r>
      <w:r w:rsidRPr="00D33657">
        <w:rPr>
          <w:rtl/>
        </w:rPr>
        <w:t xml:space="preserve"> </w:t>
      </w:r>
      <w:r w:rsidRPr="00D33657">
        <w:rPr>
          <w:rtl/>
          <w:lang w:bidi="ar-JO"/>
        </w:rPr>
        <w:t>في</w:t>
      </w:r>
      <w:r w:rsidRPr="00D33657">
        <w:rPr>
          <w:rtl/>
        </w:rPr>
        <w:t xml:space="preserve"> </w:t>
      </w:r>
      <w:r w:rsidRPr="00D33657">
        <w:rPr>
          <w:rtl/>
          <w:lang w:bidi="ar-JO"/>
        </w:rPr>
        <w:t>عام</w:t>
      </w:r>
      <w:r w:rsidRPr="00D33657">
        <w:rPr>
          <w:rtl/>
        </w:rPr>
        <w:t xml:space="preserve"> 2020</w:t>
      </w:r>
      <w:r w:rsidRPr="00D33657">
        <w:rPr>
          <w:rtl/>
          <w:lang w:bidi="ar-JO"/>
        </w:rPr>
        <w:t>،</w:t>
      </w:r>
      <w:r w:rsidRPr="00D33657">
        <w:rPr>
          <w:rtl/>
        </w:rPr>
        <w:t xml:space="preserve"> </w:t>
      </w:r>
      <w:r w:rsidRPr="00D33657">
        <w:rPr>
          <w:rtl/>
          <w:lang w:bidi="ar-JO"/>
        </w:rPr>
        <w:t>فرضت</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على</w:t>
      </w:r>
      <w:r w:rsidRPr="00D33657">
        <w:rPr>
          <w:rtl/>
        </w:rPr>
        <w:t xml:space="preserve"> </w:t>
      </w:r>
      <w:r w:rsidRPr="00D33657">
        <w:rPr>
          <w:rtl/>
          <w:lang w:bidi="ar-JO"/>
        </w:rPr>
        <w:t>مالكي</w:t>
      </w:r>
      <w:r w:rsidRPr="00D33657">
        <w:rPr>
          <w:rtl/>
        </w:rPr>
        <w:t xml:space="preserve"> </w:t>
      </w:r>
      <w:r w:rsidRPr="00D33657">
        <w:rPr>
          <w:rtl/>
          <w:lang w:bidi="ar-JO"/>
        </w:rPr>
        <w:t>العقارات</w:t>
      </w:r>
      <w:r w:rsidRPr="00D33657">
        <w:rPr>
          <w:rtl/>
        </w:rPr>
        <w:t xml:space="preserve"> </w:t>
      </w:r>
      <w:r w:rsidRPr="00D33657">
        <w:rPr>
          <w:rtl/>
          <w:lang w:bidi="ar-JO"/>
        </w:rPr>
        <w:t>الواقعة</w:t>
      </w:r>
      <w:r w:rsidRPr="00D33657">
        <w:rPr>
          <w:rtl/>
        </w:rPr>
        <w:t xml:space="preserve"> </w:t>
      </w:r>
      <w:r w:rsidRPr="00D33657">
        <w:rPr>
          <w:rtl/>
          <w:lang w:bidi="ar-JO"/>
        </w:rPr>
        <w:t>ضمن</w:t>
      </w:r>
      <w:r w:rsidRPr="00D33657">
        <w:rPr>
          <w:rtl/>
        </w:rPr>
        <w:t xml:space="preserve"> </w:t>
      </w:r>
      <w:r w:rsidRPr="00D33657">
        <w:rPr>
          <w:rtl/>
          <w:lang w:bidi="ar-JO"/>
        </w:rPr>
        <w:t>نطاق</w:t>
      </w:r>
      <w:r w:rsidRPr="00D33657">
        <w:rPr>
          <w:rtl/>
        </w:rPr>
        <w:t xml:space="preserve"> </w:t>
      </w:r>
      <w:r w:rsidRPr="00D33657">
        <w:rPr>
          <w:rtl/>
          <w:lang w:bidi="ar-JO"/>
        </w:rPr>
        <w:t>اختصاصها</w:t>
      </w:r>
      <w:r w:rsidRPr="00D33657">
        <w:rPr>
          <w:rtl/>
        </w:rPr>
        <w:t xml:space="preserve"> </w:t>
      </w:r>
      <w:r w:rsidRPr="00D33657">
        <w:rPr>
          <w:rtl/>
          <w:lang w:bidi="ar-JO"/>
        </w:rPr>
        <w:t>ضريبة</w:t>
      </w:r>
      <w:r w:rsidRPr="00D33657">
        <w:rPr>
          <w:rtl/>
        </w:rPr>
        <w:t xml:space="preserve"> </w:t>
      </w:r>
      <w:r w:rsidRPr="00D33657">
        <w:rPr>
          <w:rtl/>
          <w:lang w:bidi="ar-JO"/>
        </w:rPr>
        <w:t>بلدية</w:t>
      </w:r>
      <w:r w:rsidRPr="00D33657">
        <w:rPr>
          <w:rtl/>
        </w:rPr>
        <w:t xml:space="preserve"> </w:t>
      </w:r>
      <w:r w:rsidRPr="00D33657">
        <w:rPr>
          <w:rFonts w:hint="cs"/>
          <w:rtl/>
          <w:lang w:bidi="ar-JO"/>
        </w:rPr>
        <w:t xml:space="preserve">بمجموع </w:t>
      </w:r>
      <w:r w:rsidRPr="00D33657">
        <w:rPr>
          <w:rtl/>
          <w:lang w:bidi="ar-JO"/>
        </w:rPr>
        <w:t>حوالي</w:t>
      </w:r>
      <w:r w:rsidRPr="00D33657">
        <w:rPr>
          <w:rtl/>
        </w:rPr>
        <w:t xml:space="preserve"> 34.6 </w:t>
      </w:r>
      <w:r w:rsidRPr="00D33657">
        <w:rPr>
          <w:rtl/>
          <w:lang w:bidi="ar-JO"/>
        </w:rPr>
        <w:t>مليار</w:t>
      </w:r>
      <w:r w:rsidRPr="00D33657">
        <w:rPr>
          <w:rtl/>
        </w:rPr>
        <w:t xml:space="preserve"> </w:t>
      </w:r>
      <w:r w:rsidRPr="00D33657">
        <w:rPr>
          <w:rtl/>
          <w:lang w:bidi="ar-JO"/>
        </w:rPr>
        <w:t>شيكل،</w:t>
      </w:r>
      <w:r w:rsidRPr="00D33657">
        <w:rPr>
          <w:rtl/>
        </w:rPr>
        <w:t xml:space="preserve"> </w:t>
      </w:r>
      <w:r w:rsidRPr="00D33657">
        <w:rPr>
          <w:rtl/>
          <w:lang w:bidi="ar-JO"/>
        </w:rPr>
        <w:t>حيث</w:t>
      </w:r>
      <w:r w:rsidRPr="00D33657">
        <w:rPr>
          <w:rtl/>
        </w:rPr>
        <w:t xml:space="preserve"> </w:t>
      </w:r>
      <w:r w:rsidRPr="00D33657">
        <w:rPr>
          <w:rtl/>
          <w:lang w:bidi="ar-JO"/>
        </w:rPr>
        <w:t>تم</w:t>
      </w:r>
      <w:r w:rsidRPr="00D33657">
        <w:rPr>
          <w:rtl/>
        </w:rPr>
        <w:t xml:space="preserve"> </w:t>
      </w:r>
      <w:r w:rsidRPr="00D33657">
        <w:rPr>
          <w:rtl/>
          <w:lang w:bidi="ar-JO"/>
        </w:rPr>
        <w:t>تحصيل</w:t>
      </w:r>
      <w:r w:rsidRPr="00D33657">
        <w:rPr>
          <w:rtl/>
        </w:rPr>
        <w:t xml:space="preserve"> </w:t>
      </w:r>
      <w:r w:rsidRPr="00D33657">
        <w:rPr>
          <w:rtl/>
          <w:lang w:bidi="ar-JO"/>
        </w:rPr>
        <w:t>من</w:t>
      </w:r>
      <w:r w:rsidRPr="00D33657">
        <w:rPr>
          <w:rtl/>
        </w:rPr>
        <w:t xml:space="preserve"> </w:t>
      </w:r>
      <w:r w:rsidRPr="00D33657">
        <w:rPr>
          <w:rtl/>
          <w:lang w:bidi="ar-JO"/>
        </w:rPr>
        <w:t>مجموع</w:t>
      </w:r>
      <w:r w:rsidRPr="00D33657">
        <w:rPr>
          <w:rtl/>
        </w:rPr>
        <w:t xml:space="preserve"> </w:t>
      </w:r>
      <w:r w:rsidRPr="00D33657">
        <w:rPr>
          <w:rtl/>
          <w:lang w:bidi="ar-JO"/>
        </w:rPr>
        <w:t>ذلك</w:t>
      </w:r>
      <w:r w:rsidRPr="00D33657">
        <w:rPr>
          <w:rtl/>
        </w:rPr>
        <w:t xml:space="preserve"> </w:t>
      </w:r>
      <w:r w:rsidRPr="00D33657">
        <w:rPr>
          <w:rtl/>
          <w:lang w:bidi="ar-JO"/>
        </w:rPr>
        <w:t>مبلغ</w:t>
      </w:r>
      <w:r w:rsidRPr="00D33657">
        <w:rPr>
          <w:rtl/>
        </w:rPr>
        <w:t xml:space="preserve"> 24.2 </w:t>
      </w:r>
      <w:r w:rsidRPr="00D33657">
        <w:rPr>
          <w:rtl/>
          <w:lang w:bidi="ar-JO"/>
        </w:rPr>
        <w:t>مليار</w:t>
      </w:r>
      <w:r w:rsidRPr="00D33657">
        <w:rPr>
          <w:rtl/>
        </w:rPr>
        <w:t xml:space="preserve"> </w:t>
      </w:r>
      <w:r w:rsidRPr="00D33657">
        <w:rPr>
          <w:rtl/>
          <w:lang w:bidi="ar-JO"/>
        </w:rPr>
        <w:t>شيكل</w:t>
      </w:r>
      <w:r w:rsidRPr="00D33657">
        <w:rPr>
          <w:rtl/>
        </w:rPr>
        <w:t xml:space="preserve"> </w:t>
      </w:r>
      <w:r w:rsidRPr="00D33657">
        <w:rPr>
          <w:rtl/>
          <w:lang w:bidi="ar-JO"/>
        </w:rPr>
        <w:t>تقريبًا،</w:t>
      </w:r>
      <w:r w:rsidRPr="00D33657">
        <w:rPr>
          <w:rtl/>
        </w:rPr>
        <w:t xml:space="preserve"> </w:t>
      </w:r>
      <w:r w:rsidRPr="00D33657">
        <w:rPr>
          <w:rtl/>
          <w:lang w:bidi="ar-JO"/>
        </w:rPr>
        <w:t>وهو</w:t>
      </w:r>
      <w:r w:rsidRPr="00D33657">
        <w:rPr>
          <w:rtl/>
        </w:rPr>
        <w:t xml:space="preserve"> </w:t>
      </w:r>
      <w:r w:rsidRPr="00D33657">
        <w:rPr>
          <w:rtl/>
          <w:lang w:bidi="ar-JO"/>
        </w:rPr>
        <w:t>ما</w:t>
      </w:r>
      <w:r w:rsidRPr="00D33657">
        <w:rPr>
          <w:rtl/>
        </w:rPr>
        <w:t xml:space="preserve"> </w:t>
      </w:r>
      <w:r w:rsidRPr="00D33657">
        <w:rPr>
          <w:rtl/>
          <w:lang w:bidi="ar-JO"/>
        </w:rPr>
        <w:t>يمثل</w:t>
      </w:r>
      <w:r w:rsidRPr="00D33657">
        <w:rPr>
          <w:rtl/>
        </w:rPr>
        <w:t xml:space="preserve"> </w:t>
      </w:r>
      <w:r w:rsidRPr="00D33657">
        <w:rPr>
          <w:rtl/>
          <w:lang w:bidi="ar-JO"/>
        </w:rPr>
        <w:t>حوالي</w:t>
      </w:r>
      <w:r w:rsidRPr="00D33657">
        <w:rPr>
          <w:rtl/>
        </w:rPr>
        <w:t xml:space="preserve"> 60% </w:t>
      </w:r>
      <w:r w:rsidRPr="00D33657">
        <w:rPr>
          <w:rtl/>
          <w:lang w:bidi="ar-JO"/>
        </w:rPr>
        <w:t>من</w:t>
      </w:r>
      <w:r w:rsidRPr="00D33657">
        <w:rPr>
          <w:rtl/>
        </w:rPr>
        <w:t xml:space="preserve"> </w:t>
      </w:r>
      <w:r w:rsidRPr="00D33657">
        <w:rPr>
          <w:rtl/>
          <w:lang w:bidi="ar-JO"/>
        </w:rPr>
        <w:t>دخلها</w:t>
      </w:r>
      <w:r w:rsidRPr="00D33657">
        <w:rPr>
          <w:rtl/>
        </w:rPr>
        <w:t xml:space="preserve"> </w:t>
      </w:r>
      <w:r w:rsidRPr="00D33657">
        <w:rPr>
          <w:rtl/>
          <w:lang w:bidi="ar-JO"/>
        </w:rPr>
        <w:t>الذاتي</w:t>
      </w:r>
      <w:r w:rsidRPr="00D33657">
        <w:rPr>
          <w:rtl/>
        </w:rPr>
        <w:t xml:space="preserve">. </w:t>
      </w:r>
      <w:r w:rsidRPr="00D33657">
        <w:rPr>
          <w:rtl/>
          <w:lang w:bidi="ar-JO"/>
        </w:rPr>
        <w:t>بلغ</w:t>
      </w:r>
      <w:r w:rsidRPr="00D33657">
        <w:rPr>
          <w:rtl/>
        </w:rPr>
        <w:t xml:space="preserve"> </w:t>
      </w:r>
      <w:r w:rsidRPr="00D33657">
        <w:rPr>
          <w:rtl/>
          <w:lang w:bidi="ar-JO"/>
        </w:rPr>
        <w:t>رصيد</w:t>
      </w:r>
      <w:r w:rsidRPr="00D33657">
        <w:rPr>
          <w:rtl/>
        </w:rPr>
        <w:t xml:space="preserve"> </w:t>
      </w:r>
      <w:r w:rsidRPr="00D33657">
        <w:rPr>
          <w:rtl/>
          <w:lang w:bidi="ar-JO"/>
        </w:rPr>
        <w:t>المدينين</w:t>
      </w:r>
      <w:r w:rsidRPr="00D33657">
        <w:rPr>
          <w:rtl/>
        </w:rPr>
        <w:t xml:space="preserve"> </w:t>
      </w:r>
      <w:r w:rsidRPr="00D33657">
        <w:rPr>
          <w:rtl/>
          <w:lang w:bidi="ar-JO"/>
        </w:rPr>
        <w:t>بضريبة</w:t>
      </w:r>
      <w:r w:rsidRPr="00D33657">
        <w:rPr>
          <w:rtl/>
        </w:rPr>
        <w:t xml:space="preserve"> </w:t>
      </w:r>
      <w:r w:rsidRPr="00D33657">
        <w:rPr>
          <w:rtl/>
          <w:lang w:bidi="ar-JO"/>
        </w:rPr>
        <w:t>البلدية</w:t>
      </w:r>
      <w:r w:rsidRPr="00D33657">
        <w:rPr>
          <w:rtl/>
        </w:rPr>
        <w:t xml:space="preserve"> </w:t>
      </w:r>
      <w:r w:rsidRPr="00D33657">
        <w:rPr>
          <w:rtl/>
          <w:lang w:bidi="ar-JO"/>
        </w:rPr>
        <w:t>لدى</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في</w:t>
      </w:r>
      <w:r w:rsidRPr="00D33657">
        <w:rPr>
          <w:rtl/>
        </w:rPr>
        <w:t xml:space="preserve"> </w:t>
      </w:r>
      <w:r w:rsidRPr="00D33657">
        <w:rPr>
          <w:rtl/>
          <w:lang w:bidi="ar-JO"/>
        </w:rPr>
        <w:t>نهاية</w:t>
      </w:r>
      <w:r w:rsidRPr="00D33657">
        <w:rPr>
          <w:rtl/>
        </w:rPr>
        <w:t xml:space="preserve"> </w:t>
      </w:r>
      <w:r w:rsidRPr="00D33657">
        <w:rPr>
          <w:rtl/>
          <w:lang w:bidi="ar-JO"/>
        </w:rPr>
        <w:t>عام</w:t>
      </w:r>
      <w:r w:rsidRPr="00D33657">
        <w:rPr>
          <w:rtl/>
        </w:rPr>
        <w:t xml:space="preserve"> 2020 31.7 </w:t>
      </w:r>
      <w:r w:rsidRPr="00D33657">
        <w:rPr>
          <w:rtl/>
          <w:lang w:bidi="ar-JO"/>
        </w:rPr>
        <w:t>مليار</w:t>
      </w:r>
      <w:r w:rsidRPr="00D33657">
        <w:rPr>
          <w:rtl/>
        </w:rPr>
        <w:t xml:space="preserve"> </w:t>
      </w:r>
      <w:r w:rsidRPr="00D33657">
        <w:rPr>
          <w:rtl/>
          <w:lang w:bidi="ar-JO"/>
        </w:rPr>
        <w:t>شيكل</w:t>
      </w:r>
      <w:r w:rsidRPr="00D33657">
        <w:rPr>
          <w:rtl/>
        </w:rPr>
        <w:t xml:space="preserve">. </w:t>
      </w:r>
      <w:r w:rsidRPr="00D33657">
        <w:rPr>
          <w:rtl/>
          <w:lang w:bidi="ar-JO"/>
        </w:rPr>
        <w:t>خلال</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تم</w:t>
      </w:r>
      <w:r w:rsidRPr="00D33657">
        <w:rPr>
          <w:rtl/>
        </w:rPr>
        <w:t xml:space="preserve"> </w:t>
      </w:r>
      <w:r w:rsidRPr="00D33657">
        <w:rPr>
          <w:rtl/>
          <w:lang w:bidi="ar-JO"/>
        </w:rPr>
        <w:t>الكشف</w:t>
      </w:r>
      <w:r w:rsidRPr="00D33657">
        <w:rPr>
          <w:rtl/>
        </w:rPr>
        <w:t xml:space="preserve"> </w:t>
      </w:r>
      <w:r w:rsidRPr="00D33657">
        <w:rPr>
          <w:rtl/>
          <w:lang w:bidi="ar-JO"/>
        </w:rPr>
        <w:t>عن</w:t>
      </w:r>
      <w:r w:rsidRPr="00D33657">
        <w:rPr>
          <w:rtl/>
        </w:rPr>
        <w:t xml:space="preserve"> </w:t>
      </w:r>
      <w:r w:rsidRPr="00D33657">
        <w:rPr>
          <w:rtl/>
          <w:lang w:bidi="ar-JO"/>
        </w:rPr>
        <w:t>أوجه</w:t>
      </w:r>
      <w:r w:rsidRPr="00D33657">
        <w:rPr>
          <w:rtl/>
        </w:rPr>
        <w:t xml:space="preserve"> </w:t>
      </w:r>
      <w:r w:rsidRPr="00D33657">
        <w:rPr>
          <w:rtl/>
          <w:lang w:bidi="ar-JO"/>
        </w:rPr>
        <w:t>قصور</w:t>
      </w:r>
      <w:r w:rsidRPr="00D33657">
        <w:rPr>
          <w:rtl/>
        </w:rPr>
        <w:t xml:space="preserve"> </w:t>
      </w:r>
      <w:r w:rsidRPr="00D33657">
        <w:rPr>
          <w:rtl/>
          <w:lang w:bidi="ar-JO"/>
        </w:rPr>
        <w:t>في</w:t>
      </w:r>
      <w:r w:rsidRPr="00D33657">
        <w:rPr>
          <w:rtl/>
        </w:rPr>
        <w:t xml:space="preserve"> </w:t>
      </w:r>
      <w:r w:rsidRPr="00D33657">
        <w:rPr>
          <w:rtl/>
          <w:lang w:bidi="ar-JO"/>
        </w:rPr>
        <w:t>مجالات</w:t>
      </w:r>
      <w:r w:rsidRPr="00D33657">
        <w:rPr>
          <w:rtl/>
        </w:rPr>
        <w:t xml:space="preserve"> </w:t>
      </w:r>
      <w:r w:rsidRPr="00D33657">
        <w:rPr>
          <w:rtl/>
          <w:lang w:bidi="ar-JO"/>
        </w:rPr>
        <w:t>تنظيم</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والأوامر</w:t>
      </w:r>
      <w:r w:rsidRPr="00D33657">
        <w:rPr>
          <w:rtl/>
        </w:rPr>
        <w:t xml:space="preserve"> </w:t>
      </w:r>
      <w:r w:rsidRPr="00D33657">
        <w:rPr>
          <w:rtl/>
          <w:lang w:bidi="ar-JO"/>
        </w:rPr>
        <w:t>المتعلقة</w:t>
      </w:r>
      <w:r w:rsidRPr="00D33657">
        <w:rPr>
          <w:rtl/>
        </w:rPr>
        <w:t xml:space="preserve"> </w:t>
      </w:r>
      <w:r w:rsidRPr="00D33657">
        <w:rPr>
          <w:rtl/>
          <w:lang w:bidi="ar-JO"/>
        </w:rPr>
        <w:t>بضريبة</w:t>
      </w:r>
      <w:r w:rsidRPr="00D33657">
        <w:rPr>
          <w:rtl/>
        </w:rPr>
        <w:t xml:space="preserve"> </w:t>
      </w:r>
      <w:r w:rsidRPr="00D33657">
        <w:rPr>
          <w:rtl/>
          <w:lang w:bidi="ar-JO"/>
        </w:rPr>
        <w:t>البلدية</w:t>
      </w:r>
      <w:r w:rsidRPr="00D33657">
        <w:rPr>
          <w:rtl/>
        </w:rPr>
        <w:t xml:space="preserve"> </w:t>
      </w:r>
      <w:r w:rsidRPr="00D33657">
        <w:rPr>
          <w:rtl/>
          <w:lang w:bidi="ar-JO"/>
        </w:rPr>
        <w:t>وفرضها،</w:t>
      </w:r>
      <w:r w:rsidRPr="00D33657">
        <w:rPr>
          <w:rtl/>
        </w:rPr>
        <w:t xml:space="preserve"> </w:t>
      </w:r>
      <w:r w:rsidRPr="00D33657">
        <w:rPr>
          <w:rtl/>
          <w:lang w:bidi="ar-JO"/>
        </w:rPr>
        <w:t>وطريقة</w:t>
      </w:r>
      <w:r w:rsidRPr="00D33657">
        <w:rPr>
          <w:rtl/>
        </w:rPr>
        <w:t xml:space="preserve"> </w:t>
      </w:r>
      <w:r w:rsidRPr="00D33657">
        <w:rPr>
          <w:rtl/>
          <w:lang w:bidi="ar-JO"/>
        </w:rPr>
        <w:t>قياس</w:t>
      </w:r>
      <w:r w:rsidRPr="00D33657">
        <w:rPr>
          <w:rtl/>
        </w:rPr>
        <w:t xml:space="preserve"> </w:t>
      </w:r>
      <w:r w:rsidRPr="00D33657">
        <w:rPr>
          <w:rtl/>
          <w:lang w:bidi="ar-JO"/>
        </w:rPr>
        <w:t>مناطق</w:t>
      </w:r>
      <w:r w:rsidRPr="00D33657">
        <w:rPr>
          <w:rtl/>
        </w:rPr>
        <w:t xml:space="preserve"> </w:t>
      </w:r>
      <w:r w:rsidRPr="00D33657">
        <w:rPr>
          <w:rFonts w:hint="cs"/>
          <w:rtl/>
          <w:lang w:bidi="ar-JO"/>
        </w:rPr>
        <w:t>الأصول وفرض الرسوم عليها</w:t>
      </w:r>
      <w:r w:rsidRPr="00D33657">
        <w:rPr>
          <w:rtl/>
          <w:lang w:bidi="ar-JO"/>
        </w:rPr>
        <w:t>،</w:t>
      </w:r>
      <w:r w:rsidRPr="00D33657">
        <w:rPr>
          <w:rtl/>
        </w:rPr>
        <w:t xml:space="preserve"> </w:t>
      </w:r>
      <w:r w:rsidRPr="00D33657">
        <w:rPr>
          <w:rtl/>
          <w:lang w:bidi="ar-JO"/>
        </w:rPr>
        <w:t>وتقديم</w:t>
      </w:r>
      <w:r w:rsidRPr="00D33657">
        <w:rPr>
          <w:rtl/>
        </w:rPr>
        <w:t xml:space="preserve"> </w:t>
      </w:r>
      <w:r w:rsidRPr="00D33657">
        <w:rPr>
          <w:rtl/>
          <w:lang w:bidi="ar-JO"/>
        </w:rPr>
        <w:t>طلبات</w:t>
      </w:r>
      <w:r w:rsidRPr="00D33657">
        <w:rPr>
          <w:rtl/>
        </w:rPr>
        <w:t xml:space="preserve"> </w:t>
      </w:r>
      <w:r w:rsidRPr="00D33657">
        <w:rPr>
          <w:rtl/>
          <w:lang w:bidi="ar-JO"/>
        </w:rPr>
        <w:t>الموافقة</w:t>
      </w:r>
      <w:r w:rsidRPr="00D33657">
        <w:rPr>
          <w:rtl/>
        </w:rPr>
        <w:t xml:space="preserve"> </w:t>
      </w:r>
      <w:r w:rsidRPr="00D33657">
        <w:rPr>
          <w:rtl/>
          <w:lang w:bidi="ar-JO"/>
        </w:rPr>
        <w:t>الاستثنائية</w:t>
      </w:r>
      <w:r w:rsidRPr="00D33657">
        <w:rPr>
          <w:rtl/>
        </w:rPr>
        <w:t xml:space="preserve"> </w:t>
      </w:r>
      <w:r w:rsidRPr="00D33657">
        <w:rPr>
          <w:rtl/>
          <w:lang w:bidi="ar-JO"/>
        </w:rPr>
        <w:t>على</w:t>
      </w:r>
      <w:r w:rsidRPr="00D33657">
        <w:rPr>
          <w:rtl/>
        </w:rPr>
        <w:t xml:space="preserve"> </w:t>
      </w:r>
      <w:r w:rsidRPr="00D33657">
        <w:rPr>
          <w:rtl/>
          <w:lang w:bidi="ar-JO"/>
        </w:rPr>
        <w:t>التغييرات</w:t>
      </w:r>
      <w:r w:rsidRPr="00D33657">
        <w:rPr>
          <w:rtl/>
        </w:rPr>
        <w:t xml:space="preserve"> </w:t>
      </w:r>
      <w:r w:rsidRPr="00D33657">
        <w:rPr>
          <w:rtl/>
          <w:lang w:bidi="ar-JO"/>
        </w:rPr>
        <w:t>في</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ومعالجتها،</w:t>
      </w:r>
      <w:r w:rsidRPr="00D33657">
        <w:rPr>
          <w:rtl/>
        </w:rPr>
        <w:t xml:space="preserve"> </w:t>
      </w:r>
      <w:r w:rsidRPr="00D33657">
        <w:rPr>
          <w:rtl/>
          <w:lang w:bidi="ar-JO"/>
        </w:rPr>
        <w:t>وتحصيل</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والتعامل</w:t>
      </w:r>
      <w:r w:rsidRPr="00D33657">
        <w:rPr>
          <w:rtl/>
        </w:rPr>
        <w:t xml:space="preserve"> </w:t>
      </w:r>
      <w:r w:rsidRPr="00D33657">
        <w:rPr>
          <w:rtl/>
          <w:lang w:bidi="ar-JO"/>
        </w:rPr>
        <w:t>مع</w:t>
      </w:r>
      <w:r w:rsidRPr="00D33657">
        <w:rPr>
          <w:rtl/>
        </w:rPr>
        <w:t xml:space="preserve"> </w:t>
      </w:r>
      <w:r w:rsidRPr="00D33657">
        <w:rPr>
          <w:rtl/>
          <w:lang w:bidi="ar-JO"/>
        </w:rPr>
        <w:t>الديون</w:t>
      </w:r>
      <w:r w:rsidRPr="00D33657">
        <w:rPr>
          <w:rtl/>
        </w:rPr>
        <w:t xml:space="preserve"> </w:t>
      </w:r>
      <w:r w:rsidRPr="00D33657">
        <w:rPr>
          <w:rtl/>
          <w:lang w:bidi="ar-JO"/>
        </w:rPr>
        <w:t>وتوفير</w:t>
      </w:r>
      <w:r w:rsidRPr="00D33657">
        <w:rPr>
          <w:rtl/>
        </w:rPr>
        <w:t xml:space="preserve"> </w:t>
      </w:r>
      <w:r w:rsidRPr="00D33657">
        <w:rPr>
          <w:rtl/>
          <w:lang w:bidi="ar-JO"/>
        </w:rPr>
        <w:t>الخصومات</w:t>
      </w:r>
      <w:r w:rsidRPr="00D33657">
        <w:rPr>
          <w:rtl/>
        </w:rPr>
        <w:t xml:space="preserve">. </w:t>
      </w:r>
      <w:r w:rsidRPr="00D33657">
        <w:rPr>
          <w:rtl/>
          <w:lang w:bidi="ar-JO"/>
        </w:rPr>
        <w:t>تشير</w:t>
      </w:r>
      <w:r w:rsidRPr="00D33657">
        <w:rPr>
          <w:rtl/>
        </w:rPr>
        <w:t xml:space="preserve"> </w:t>
      </w:r>
      <w:r w:rsidRPr="00D33657">
        <w:rPr>
          <w:rtl/>
          <w:lang w:bidi="ar-JO"/>
        </w:rPr>
        <w:t>نتائج</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إلى</w:t>
      </w:r>
      <w:r w:rsidRPr="00D33657">
        <w:rPr>
          <w:rtl/>
        </w:rPr>
        <w:t xml:space="preserve"> </w:t>
      </w:r>
      <w:r w:rsidRPr="00D33657">
        <w:rPr>
          <w:rtl/>
          <w:lang w:bidi="ar-JO"/>
        </w:rPr>
        <w:t>أن</w:t>
      </w:r>
      <w:r w:rsidRPr="00D33657">
        <w:rPr>
          <w:rtl/>
        </w:rPr>
        <w:t xml:space="preserve"> </w:t>
      </w:r>
      <w:r w:rsidRPr="00D33657">
        <w:rPr>
          <w:rtl/>
          <w:lang w:bidi="ar-JO"/>
        </w:rPr>
        <w:t>مجال</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يتطلب</w:t>
      </w:r>
      <w:r w:rsidRPr="00D33657">
        <w:rPr>
          <w:rtl/>
        </w:rPr>
        <w:t xml:space="preserve"> </w:t>
      </w:r>
      <w:r w:rsidRPr="00D33657">
        <w:rPr>
          <w:rtl/>
          <w:lang w:bidi="ar-JO"/>
        </w:rPr>
        <w:t>التنظيم،</w:t>
      </w:r>
      <w:r w:rsidRPr="00D33657">
        <w:rPr>
          <w:rtl/>
        </w:rPr>
        <w:t xml:space="preserve"> </w:t>
      </w:r>
      <w:r w:rsidRPr="00D33657">
        <w:rPr>
          <w:rtl/>
          <w:lang w:bidi="ar-JO"/>
        </w:rPr>
        <w:t>من</w:t>
      </w:r>
      <w:r w:rsidRPr="00D33657">
        <w:rPr>
          <w:rtl/>
        </w:rPr>
        <w:t xml:space="preserve"> </w:t>
      </w:r>
      <w:r w:rsidRPr="00D33657">
        <w:rPr>
          <w:rtl/>
          <w:lang w:bidi="ar-JO"/>
        </w:rPr>
        <w:t>بين</w:t>
      </w:r>
      <w:r w:rsidRPr="00D33657">
        <w:rPr>
          <w:rtl/>
        </w:rPr>
        <w:t xml:space="preserve"> </w:t>
      </w:r>
      <w:r w:rsidRPr="00D33657">
        <w:rPr>
          <w:rtl/>
          <w:lang w:bidi="ar-JO"/>
        </w:rPr>
        <w:t>أمور</w:t>
      </w:r>
      <w:r w:rsidRPr="00D33657">
        <w:rPr>
          <w:rtl/>
        </w:rPr>
        <w:t xml:space="preserve"> </w:t>
      </w:r>
      <w:r w:rsidRPr="00D33657">
        <w:rPr>
          <w:rtl/>
          <w:lang w:bidi="ar-JO"/>
        </w:rPr>
        <w:t>أخرى،</w:t>
      </w:r>
      <w:r w:rsidRPr="00D33657">
        <w:rPr>
          <w:rtl/>
        </w:rPr>
        <w:t xml:space="preserve"> </w:t>
      </w:r>
      <w:r w:rsidRPr="00D33657">
        <w:rPr>
          <w:rtl/>
          <w:lang w:bidi="ar-JO"/>
        </w:rPr>
        <w:t>بسبب</w:t>
      </w:r>
      <w:r w:rsidRPr="00D33657">
        <w:rPr>
          <w:rtl/>
        </w:rPr>
        <w:t xml:space="preserve"> </w:t>
      </w:r>
      <w:r w:rsidRPr="00D33657">
        <w:rPr>
          <w:rtl/>
          <w:lang w:bidi="ar-JO"/>
        </w:rPr>
        <w:t>تعدد</w:t>
      </w:r>
      <w:r w:rsidRPr="00D33657">
        <w:rPr>
          <w:rtl/>
        </w:rPr>
        <w:t xml:space="preserve"> </w:t>
      </w:r>
      <w:r w:rsidRPr="00D33657">
        <w:rPr>
          <w:rtl/>
          <w:lang w:bidi="ar-JO"/>
        </w:rPr>
        <w:t>التصنيفات</w:t>
      </w:r>
      <w:r w:rsidRPr="00D33657">
        <w:rPr>
          <w:rtl/>
        </w:rPr>
        <w:t xml:space="preserve"> </w:t>
      </w:r>
      <w:r w:rsidRPr="00D33657">
        <w:rPr>
          <w:rtl/>
          <w:lang w:bidi="ar-JO"/>
        </w:rPr>
        <w:t>والمعدلات</w:t>
      </w:r>
      <w:r w:rsidRPr="00D33657">
        <w:rPr>
          <w:rtl/>
        </w:rPr>
        <w:t xml:space="preserve"> </w:t>
      </w:r>
      <w:r w:rsidRPr="00D33657">
        <w:rPr>
          <w:rtl/>
          <w:lang w:bidi="ar-JO"/>
        </w:rPr>
        <w:t>وطرق</w:t>
      </w:r>
      <w:r w:rsidRPr="00D33657">
        <w:rPr>
          <w:rtl/>
        </w:rPr>
        <w:t xml:space="preserve"> </w:t>
      </w:r>
      <w:r w:rsidRPr="00D33657">
        <w:rPr>
          <w:rtl/>
          <w:lang w:bidi="ar-JO"/>
        </w:rPr>
        <w:t>القياس،</w:t>
      </w:r>
      <w:r w:rsidRPr="00D33657">
        <w:rPr>
          <w:rtl/>
        </w:rPr>
        <w:t xml:space="preserve"> </w:t>
      </w:r>
      <w:r w:rsidRPr="00D33657">
        <w:rPr>
          <w:rtl/>
          <w:lang w:bidi="ar-JO"/>
        </w:rPr>
        <w:t>ويتميز</w:t>
      </w:r>
      <w:r w:rsidRPr="00D33657">
        <w:rPr>
          <w:rtl/>
        </w:rPr>
        <w:t xml:space="preserve"> </w:t>
      </w:r>
      <w:r w:rsidRPr="00D33657">
        <w:rPr>
          <w:rtl/>
          <w:lang w:bidi="ar-JO"/>
        </w:rPr>
        <w:t>بعدم</w:t>
      </w:r>
      <w:r w:rsidRPr="00D33657">
        <w:rPr>
          <w:rtl/>
        </w:rPr>
        <w:t xml:space="preserve"> </w:t>
      </w:r>
      <w:r w:rsidRPr="00D33657">
        <w:rPr>
          <w:rtl/>
          <w:lang w:bidi="ar-JO"/>
        </w:rPr>
        <w:t>التجانس</w:t>
      </w:r>
      <w:r w:rsidRPr="00D33657">
        <w:rPr>
          <w:rtl/>
        </w:rPr>
        <w:t xml:space="preserve"> </w:t>
      </w:r>
      <w:r w:rsidRPr="00D33657">
        <w:rPr>
          <w:rtl/>
          <w:lang w:bidi="ar-JO"/>
        </w:rPr>
        <w:t>وبعدم</w:t>
      </w:r>
      <w:r w:rsidRPr="00D33657">
        <w:rPr>
          <w:rtl/>
        </w:rPr>
        <w:t xml:space="preserve"> </w:t>
      </w:r>
      <w:r w:rsidRPr="00D33657">
        <w:rPr>
          <w:rtl/>
          <w:lang w:bidi="ar-JO"/>
        </w:rPr>
        <w:t>المساواة</w:t>
      </w:r>
      <w:r w:rsidRPr="00D33657">
        <w:rPr>
          <w:rtl/>
        </w:rPr>
        <w:t xml:space="preserve">. </w:t>
      </w:r>
      <w:r w:rsidRPr="00D33657">
        <w:rPr>
          <w:rtl/>
          <w:lang w:bidi="ar-JO"/>
        </w:rPr>
        <w:t>كانت</w:t>
      </w:r>
      <w:r w:rsidRPr="00D33657">
        <w:rPr>
          <w:rtl/>
        </w:rPr>
        <w:t xml:space="preserve"> </w:t>
      </w:r>
      <w:r w:rsidRPr="00D33657">
        <w:rPr>
          <w:rtl/>
          <w:lang w:bidi="ar-JO"/>
        </w:rPr>
        <w:t>وزارة</w:t>
      </w:r>
      <w:r w:rsidRPr="00D33657">
        <w:rPr>
          <w:rtl/>
        </w:rPr>
        <w:t xml:space="preserve"> </w:t>
      </w:r>
      <w:r w:rsidRPr="00D33657">
        <w:rPr>
          <w:rtl/>
          <w:lang w:bidi="ar-JO"/>
        </w:rPr>
        <w:t>الداخلية</w:t>
      </w:r>
      <w:r w:rsidRPr="00D33657">
        <w:rPr>
          <w:rtl/>
        </w:rPr>
        <w:t xml:space="preserve"> </w:t>
      </w:r>
      <w:r w:rsidRPr="00D33657">
        <w:rPr>
          <w:rtl/>
          <w:lang w:bidi="ar-JO"/>
        </w:rPr>
        <w:t>والمالية</w:t>
      </w:r>
      <w:r w:rsidRPr="00D33657">
        <w:rPr>
          <w:rtl/>
        </w:rPr>
        <w:t xml:space="preserve"> </w:t>
      </w:r>
      <w:r w:rsidRPr="00D33657">
        <w:rPr>
          <w:rtl/>
          <w:lang w:bidi="ar-JO"/>
        </w:rPr>
        <w:t>على</w:t>
      </w:r>
      <w:r w:rsidRPr="00D33657">
        <w:rPr>
          <w:rtl/>
        </w:rPr>
        <w:t xml:space="preserve"> </w:t>
      </w:r>
      <w:r w:rsidRPr="00D33657">
        <w:rPr>
          <w:rtl/>
          <w:lang w:bidi="ar-JO"/>
        </w:rPr>
        <w:t>علم</w:t>
      </w:r>
      <w:r w:rsidRPr="00D33657">
        <w:rPr>
          <w:rtl/>
        </w:rPr>
        <w:t xml:space="preserve"> </w:t>
      </w:r>
      <w:r w:rsidRPr="00D33657">
        <w:rPr>
          <w:rtl/>
          <w:lang w:bidi="ar-JO"/>
        </w:rPr>
        <w:t>بأوجه</w:t>
      </w:r>
      <w:r w:rsidRPr="00D33657">
        <w:rPr>
          <w:rtl/>
        </w:rPr>
        <w:t xml:space="preserve"> </w:t>
      </w:r>
      <w:r w:rsidRPr="00D33657">
        <w:rPr>
          <w:rtl/>
          <w:lang w:bidi="ar-JO"/>
        </w:rPr>
        <w:t>القصور</w:t>
      </w:r>
      <w:r w:rsidRPr="00D33657">
        <w:rPr>
          <w:rtl/>
        </w:rPr>
        <w:t xml:space="preserve"> </w:t>
      </w:r>
      <w:r w:rsidRPr="00D33657">
        <w:rPr>
          <w:rtl/>
          <w:lang w:bidi="ar-JO"/>
        </w:rPr>
        <w:t>والتشوهات</w:t>
      </w:r>
      <w:r w:rsidRPr="00D33657">
        <w:rPr>
          <w:rtl/>
        </w:rPr>
        <w:t xml:space="preserve"> </w:t>
      </w:r>
      <w:r w:rsidRPr="00D33657">
        <w:rPr>
          <w:rtl/>
          <w:lang w:bidi="ar-JO"/>
        </w:rPr>
        <w:t>التي</w:t>
      </w:r>
      <w:r w:rsidRPr="00D33657">
        <w:rPr>
          <w:rtl/>
        </w:rPr>
        <w:t xml:space="preserve"> </w:t>
      </w:r>
      <w:r w:rsidRPr="00D33657">
        <w:rPr>
          <w:rtl/>
          <w:lang w:bidi="ar-JO"/>
        </w:rPr>
        <w:t>تميز</w:t>
      </w:r>
      <w:r w:rsidRPr="00D33657">
        <w:rPr>
          <w:rtl/>
        </w:rPr>
        <w:t xml:space="preserve"> </w:t>
      </w:r>
      <w:r w:rsidRPr="00D33657">
        <w:rPr>
          <w:rtl/>
          <w:lang w:bidi="ar-JO"/>
        </w:rPr>
        <w:t>نظام</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حيث</w:t>
      </w:r>
      <w:r w:rsidRPr="00D33657">
        <w:rPr>
          <w:rtl/>
        </w:rPr>
        <w:t xml:space="preserve"> </w:t>
      </w:r>
      <w:r w:rsidRPr="00D33657">
        <w:rPr>
          <w:rtl/>
          <w:lang w:bidi="ar-JO"/>
        </w:rPr>
        <w:t>وعلى</w:t>
      </w:r>
      <w:r w:rsidRPr="00D33657">
        <w:rPr>
          <w:rtl/>
        </w:rPr>
        <w:t xml:space="preserve"> </w:t>
      </w:r>
      <w:r w:rsidRPr="00D33657">
        <w:rPr>
          <w:rtl/>
          <w:lang w:bidi="ar-JO"/>
        </w:rPr>
        <w:t>مر</w:t>
      </w:r>
      <w:r w:rsidRPr="00D33657">
        <w:rPr>
          <w:rtl/>
        </w:rPr>
        <w:t xml:space="preserve"> </w:t>
      </w:r>
      <w:r w:rsidRPr="00D33657">
        <w:rPr>
          <w:rtl/>
          <w:lang w:bidi="ar-JO"/>
        </w:rPr>
        <w:t>السنين،</w:t>
      </w:r>
      <w:r w:rsidRPr="00D33657">
        <w:rPr>
          <w:rtl/>
        </w:rPr>
        <w:t xml:space="preserve"> </w:t>
      </w:r>
      <w:r w:rsidRPr="00D33657">
        <w:rPr>
          <w:rtl/>
          <w:lang w:bidi="ar-JO"/>
        </w:rPr>
        <w:t>تم</w:t>
      </w:r>
      <w:r w:rsidRPr="00D33657">
        <w:rPr>
          <w:rtl/>
        </w:rPr>
        <w:t xml:space="preserve"> </w:t>
      </w:r>
      <w:r w:rsidRPr="00D33657">
        <w:rPr>
          <w:rtl/>
          <w:lang w:bidi="ar-JO"/>
        </w:rPr>
        <w:t>تشكيل</w:t>
      </w:r>
      <w:r w:rsidRPr="00D33657">
        <w:rPr>
          <w:rtl/>
        </w:rPr>
        <w:t xml:space="preserve"> </w:t>
      </w:r>
      <w:r w:rsidRPr="00D33657">
        <w:rPr>
          <w:rtl/>
          <w:lang w:bidi="ar-JO"/>
        </w:rPr>
        <w:t>لجان</w:t>
      </w:r>
      <w:r w:rsidRPr="00D33657">
        <w:rPr>
          <w:rtl/>
        </w:rPr>
        <w:t xml:space="preserve"> </w:t>
      </w:r>
      <w:r w:rsidRPr="00D33657">
        <w:rPr>
          <w:rtl/>
          <w:lang w:bidi="ar-JO"/>
        </w:rPr>
        <w:t>مشتركة</w:t>
      </w:r>
      <w:r w:rsidRPr="00D33657">
        <w:rPr>
          <w:rtl/>
        </w:rPr>
        <w:t xml:space="preserve"> </w:t>
      </w:r>
      <w:r w:rsidRPr="00D33657">
        <w:rPr>
          <w:rtl/>
          <w:lang w:bidi="ar-JO"/>
        </w:rPr>
        <w:t>للوزارات</w:t>
      </w:r>
      <w:r w:rsidRPr="00D33657">
        <w:rPr>
          <w:rtl/>
        </w:rPr>
        <w:t xml:space="preserve"> </w:t>
      </w:r>
      <w:r w:rsidRPr="00D33657">
        <w:rPr>
          <w:rtl/>
          <w:lang w:bidi="ar-JO"/>
        </w:rPr>
        <w:t>لتصحيحها،</w:t>
      </w:r>
      <w:r w:rsidRPr="00D33657">
        <w:rPr>
          <w:rtl/>
        </w:rPr>
        <w:t xml:space="preserve"> </w:t>
      </w:r>
      <w:r w:rsidRPr="00D33657">
        <w:rPr>
          <w:rtl/>
          <w:lang w:bidi="ar-JO"/>
        </w:rPr>
        <w:t>ولكن</w:t>
      </w:r>
      <w:r w:rsidRPr="00D33657">
        <w:rPr>
          <w:rtl/>
        </w:rPr>
        <w:t xml:space="preserve"> </w:t>
      </w:r>
      <w:r w:rsidRPr="00D33657">
        <w:rPr>
          <w:rtl/>
          <w:lang w:bidi="ar-JO"/>
        </w:rPr>
        <w:t>لم</w:t>
      </w:r>
      <w:r w:rsidRPr="00D33657">
        <w:rPr>
          <w:rtl/>
        </w:rPr>
        <w:t xml:space="preserve"> </w:t>
      </w:r>
      <w:r w:rsidRPr="00D33657">
        <w:rPr>
          <w:rtl/>
          <w:lang w:bidi="ar-JO"/>
        </w:rPr>
        <w:t>يتم</w:t>
      </w:r>
      <w:r w:rsidRPr="00D33657">
        <w:rPr>
          <w:rtl/>
        </w:rPr>
        <w:t xml:space="preserve"> </w:t>
      </w:r>
      <w:r w:rsidRPr="00D33657">
        <w:rPr>
          <w:rtl/>
          <w:lang w:bidi="ar-JO"/>
        </w:rPr>
        <w:t>تنفيذ</w:t>
      </w:r>
      <w:r w:rsidRPr="00D33657">
        <w:rPr>
          <w:rtl/>
        </w:rPr>
        <w:t xml:space="preserve"> </w:t>
      </w:r>
      <w:r w:rsidRPr="00D33657">
        <w:rPr>
          <w:rtl/>
          <w:lang w:bidi="ar-JO"/>
        </w:rPr>
        <w:t>توصيات</w:t>
      </w:r>
      <w:r w:rsidRPr="00D33657">
        <w:rPr>
          <w:rtl/>
        </w:rPr>
        <w:t xml:space="preserve"> </w:t>
      </w:r>
      <w:r w:rsidRPr="00D33657">
        <w:rPr>
          <w:rtl/>
          <w:lang w:bidi="ar-JO"/>
        </w:rPr>
        <w:t>اللجان</w:t>
      </w:r>
      <w:r w:rsidRPr="00D33657">
        <w:rPr>
          <w:rtl/>
        </w:rPr>
        <w:t xml:space="preserve">. </w:t>
      </w:r>
      <w:r w:rsidRPr="00D33657">
        <w:rPr>
          <w:rtl/>
          <w:lang w:bidi="ar-JO"/>
        </w:rPr>
        <w:t>يجب</w:t>
      </w:r>
      <w:r w:rsidRPr="00D33657">
        <w:rPr>
          <w:rtl/>
        </w:rPr>
        <w:t xml:space="preserve"> </w:t>
      </w:r>
      <w:r w:rsidRPr="00D33657">
        <w:rPr>
          <w:rtl/>
          <w:lang w:bidi="ar-JO"/>
        </w:rPr>
        <w:t>على</w:t>
      </w:r>
      <w:r w:rsidRPr="00D33657">
        <w:rPr>
          <w:rtl/>
        </w:rPr>
        <w:t xml:space="preserve"> </w:t>
      </w:r>
      <w:r w:rsidRPr="00D33657">
        <w:rPr>
          <w:rtl/>
          <w:lang w:bidi="ar-JO"/>
        </w:rPr>
        <w:t>بلديات</w:t>
      </w:r>
      <w:r w:rsidRPr="00D33657">
        <w:rPr>
          <w:rtl/>
        </w:rPr>
        <w:t xml:space="preserve"> </w:t>
      </w:r>
      <w:r w:rsidRPr="00D33657">
        <w:rPr>
          <w:rtl/>
          <w:lang w:bidi="ar-JO"/>
        </w:rPr>
        <w:t>أشدود</w:t>
      </w:r>
      <w:r w:rsidRPr="00D33657">
        <w:rPr>
          <w:rtl/>
        </w:rPr>
        <w:t xml:space="preserve"> </w:t>
      </w:r>
      <w:r w:rsidRPr="00D33657">
        <w:rPr>
          <w:rtl/>
          <w:lang w:bidi="ar-JO"/>
        </w:rPr>
        <w:t>وكفار</w:t>
      </w:r>
      <w:r w:rsidRPr="00D33657">
        <w:rPr>
          <w:rtl/>
        </w:rPr>
        <w:t xml:space="preserve"> </w:t>
      </w:r>
      <w:r w:rsidRPr="00D33657">
        <w:rPr>
          <w:rtl/>
          <w:lang w:bidi="ar-JO"/>
        </w:rPr>
        <w:t>سابا</w:t>
      </w:r>
      <w:r w:rsidRPr="00D33657">
        <w:rPr>
          <w:rtl/>
        </w:rPr>
        <w:t xml:space="preserve"> </w:t>
      </w:r>
      <w:r w:rsidRPr="00D33657">
        <w:rPr>
          <w:rtl/>
          <w:lang w:bidi="ar-JO"/>
        </w:rPr>
        <w:t>ونوف</w:t>
      </w:r>
      <w:r w:rsidRPr="00D33657">
        <w:rPr>
          <w:rtl/>
        </w:rPr>
        <w:t xml:space="preserve"> </w:t>
      </w:r>
      <w:r w:rsidRPr="00D33657">
        <w:rPr>
          <w:rtl/>
          <w:lang w:bidi="ar-JO"/>
        </w:rPr>
        <w:t>هجليل</w:t>
      </w:r>
      <w:r w:rsidRPr="00D33657">
        <w:rPr>
          <w:rtl/>
        </w:rPr>
        <w:t xml:space="preserve"> </w:t>
      </w:r>
      <w:r w:rsidRPr="00D33657">
        <w:rPr>
          <w:rtl/>
          <w:lang w:bidi="ar-JO"/>
        </w:rPr>
        <w:t>والمجالس</w:t>
      </w:r>
      <w:r w:rsidRPr="00D33657">
        <w:rPr>
          <w:rtl/>
        </w:rPr>
        <w:t xml:space="preserve"> </w:t>
      </w:r>
      <w:r w:rsidRPr="00D33657">
        <w:rPr>
          <w:rtl/>
          <w:lang w:bidi="ar-JO"/>
        </w:rPr>
        <w:t>المحلية</w:t>
      </w:r>
      <w:r w:rsidRPr="00D33657">
        <w:rPr>
          <w:rtl/>
        </w:rPr>
        <w:t xml:space="preserve"> </w:t>
      </w:r>
      <w:r w:rsidRPr="00D33657">
        <w:rPr>
          <w:rtl/>
          <w:lang w:bidi="ar-JO"/>
        </w:rPr>
        <w:t>كريات</w:t>
      </w:r>
      <w:r w:rsidRPr="00D33657">
        <w:rPr>
          <w:rtl/>
        </w:rPr>
        <w:t xml:space="preserve"> </w:t>
      </w:r>
      <w:r w:rsidRPr="00D33657">
        <w:rPr>
          <w:rFonts w:hint="cs"/>
          <w:rtl/>
          <w:lang w:bidi="ar-JO"/>
        </w:rPr>
        <w:t xml:space="preserve">طبعون </w:t>
      </w:r>
      <w:r w:rsidRPr="00D33657">
        <w:rPr>
          <w:rtl/>
          <w:lang w:bidi="ar-JO"/>
        </w:rPr>
        <w:t>و</w:t>
      </w:r>
      <w:r w:rsidRPr="00D33657">
        <w:rPr>
          <w:rFonts w:hint="cs"/>
          <w:rtl/>
          <w:lang w:bidi="ar-JO"/>
        </w:rPr>
        <w:t>الرينة</w:t>
      </w:r>
      <w:r w:rsidRPr="00D33657">
        <w:rPr>
          <w:rtl/>
        </w:rPr>
        <w:t xml:space="preserve"> </w:t>
      </w:r>
      <w:r w:rsidRPr="00D33657">
        <w:rPr>
          <w:rtl/>
          <w:lang w:bidi="ar-JO"/>
        </w:rPr>
        <w:t>والمجلس</w:t>
      </w:r>
      <w:r w:rsidRPr="00D33657">
        <w:rPr>
          <w:rtl/>
        </w:rPr>
        <w:t xml:space="preserve"> </w:t>
      </w:r>
      <w:r w:rsidRPr="00D33657">
        <w:rPr>
          <w:rtl/>
          <w:lang w:bidi="ar-JO"/>
        </w:rPr>
        <w:t>الإقليمي</w:t>
      </w:r>
      <w:r w:rsidRPr="00D33657">
        <w:rPr>
          <w:rtl/>
        </w:rPr>
        <w:t xml:space="preserve"> </w:t>
      </w:r>
      <w:r w:rsidRPr="00D33657">
        <w:rPr>
          <w:rtl/>
          <w:lang w:bidi="ar-JO"/>
        </w:rPr>
        <w:t>وادي</w:t>
      </w:r>
      <w:r w:rsidRPr="00D33657">
        <w:rPr>
          <w:rtl/>
        </w:rPr>
        <w:t xml:space="preserve"> </w:t>
      </w:r>
      <w:r w:rsidRPr="00D33657">
        <w:rPr>
          <w:rtl/>
          <w:lang w:bidi="ar-JO"/>
        </w:rPr>
        <w:t>يزرعيل</w:t>
      </w:r>
      <w:r w:rsidRPr="00D33657">
        <w:rPr>
          <w:rtl/>
        </w:rPr>
        <w:t xml:space="preserve"> </w:t>
      </w:r>
      <w:r w:rsidRPr="00D33657">
        <w:rPr>
          <w:rtl/>
          <w:lang w:bidi="ar-JO"/>
        </w:rPr>
        <w:t>العمل</w:t>
      </w:r>
      <w:r w:rsidRPr="00D33657">
        <w:rPr>
          <w:rtl/>
        </w:rPr>
        <w:t xml:space="preserve"> </w:t>
      </w:r>
      <w:r w:rsidRPr="00D33657">
        <w:rPr>
          <w:rtl/>
          <w:lang w:bidi="ar-JO"/>
        </w:rPr>
        <w:t>على</w:t>
      </w:r>
      <w:r w:rsidRPr="00D33657">
        <w:rPr>
          <w:rtl/>
        </w:rPr>
        <w:t xml:space="preserve"> </w:t>
      </w:r>
      <w:r w:rsidRPr="00D33657">
        <w:rPr>
          <w:rtl/>
          <w:lang w:bidi="ar-JO"/>
        </w:rPr>
        <w:t>تصحيح</w:t>
      </w:r>
      <w:r w:rsidRPr="00D33657">
        <w:rPr>
          <w:rtl/>
        </w:rPr>
        <w:t xml:space="preserve"> </w:t>
      </w:r>
      <w:r w:rsidRPr="00D33657">
        <w:rPr>
          <w:rtl/>
          <w:lang w:bidi="ar-JO"/>
        </w:rPr>
        <w:t>أوجه</w:t>
      </w:r>
      <w:r w:rsidRPr="00D33657">
        <w:rPr>
          <w:rtl/>
        </w:rPr>
        <w:t xml:space="preserve"> </w:t>
      </w:r>
      <w:r w:rsidRPr="00D33657">
        <w:rPr>
          <w:rtl/>
          <w:lang w:bidi="ar-JO"/>
        </w:rPr>
        <w:t>القصور</w:t>
      </w:r>
      <w:r w:rsidRPr="00D33657">
        <w:rPr>
          <w:rtl/>
        </w:rPr>
        <w:t xml:space="preserve"> </w:t>
      </w:r>
      <w:r w:rsidRPr="00D33657">
        <w:rPr>
          <w:rtl/>
          <w:lang w:bidi="ar-JO"/>
        </w:rPr>
        <w:t>ودراسة</w:t>
      </w:r>
      <w:r w:rsidRPr="00D33657">
        <w:rPr>
          <w:rtl/>
        </w:rPr>
        <w:t xml:space="preserve"> </w:t>
      </w:r>
      <w:r w:rsidRPr="00D33657">
        <w:rPr>
          <w:rtl/>
          <w:lang w:bidi="ar-JO"/>
        </w:rPr>
        <w:t>التوصيات</w:t>
      </w:r>
      <w:r w:rsidRPr="00D33657">
        <w:rPr>
          <w:rtl/>
        </w:rPr>
        <w:t xml:space="preserve"> </w:t>
      </w:r>
      <w:r w:rsidRPr="00D33657">
        <w:rPr>
          <w:rtl/>
          <w:lang w:bidi="ar-JO"/>
        </w:rPr>
        <w:t>الواردة</w:t>
      </w:r>
      <w:r w:rsidRPr="00D33657">
        <w:rPr>
          <w:rtl/>
        </w:rPr>
        <w:t xml:space="preserve"> </w:t>
      </w:r>
      <w:r w:rsidRPr="00D33657">
        <w:rPr>
          <w:rtl/>
          <w:lang w:bidi="ar-JO"/>
        </w:rPr>
        <w:t>في</w:t>
      </w:r>
      <w:r w:rsidRPr="00D33657">
        <w:rPr>
          <w:rtl/>
        </w:rPr>
        <w:t xml:space="preserve"> </w:t>
      </w:r>
      <w:r w:rsidRPr="00D33657">
        <w:rPr>
          <w:rtl/>
          <w:lang w:bidi="ar-JO"/>
        </w:rPr>
        <w:t>التقرير،</w:t>
      </w:r>
      <w:r w:rsidRPr="00D33657">
        <w:rPr>
          <w:rtl/>
        </w:rPr>
        <w:t xml:space="preserve"> </w:t>
      </w:r>
      <w:r w:rsidRPr="00D33657">
        <w:rPr>
          <w:rtl/>
          <w:lang w:bidi="ar-JO"/>
        </w:rPr>
        <w:t>ومن</w:t>
      </w:r>
      <w:r w:rsidRPr="00D33657">
        <w:rPr>
          <w:rtl/>
        </w:rPr>
        <w:t xml:space="preserve"> </w:t>
      </w:r>
      <w:r w:rsidRPr="00D33657">
        <w:rPr>
          <w:rtl/>
          <w:lang w:bidi="ar-JO"/>
        </w:rPr>
        <w:t>بين</w:t>
      </w:r>
      <w:r w:rsidRPr="00D33657">
        <w:rPr>
          <w:rtl/>
        </w:rPr>
        <w:t xml:space="preserve"> </w:t>
      </w:r>
      <w:r w:rsidRPr="00D33657">
        <w:rPr>
          <w:rtl/>
          <w:lang w:bidi="ar-JO"/>
        </w:rPr>
        <w:t>أمور</w:t>
      </w:r>
      <w:r w:rsidRPr="00D33657">
        <w:rPr>
          <w:rtl/>
        </w:rPr>
        <w:t xml:space="preserve"> </w:t>
      </w:r>
      <w:r w:rsidRPr="00D33657">
        <w:rPr>
          <w:rtl/>
          <w:lang w:bidi="ar-JO"/>
        </w:rPr>
        <w:t>أخرى</w:t>
      </w:r>
      <w:r w:rsidRPr="00D33657">
        <w:rPr>
          <w:rtl/>
        </w:rPr>
        <w:t xml:space="preserve"> </w:t>
      </w:r>
      <w:r w:rsidRPr="00D33657">
        <w:rPr>
          <w:rtl/>
          <w:lang w:bidi="ar-JO"/>
        </w:rPr>
        <w:t>يجب</w:t>
      </w:r>
      <w:r w:rsidRPr="00D33657">
        <w:rPr>
          <w:rtl/>
        </w:rPr>
        <w:t xml:space="preserve"> </w:t>
      </w:r>
      <w:r w:rsidRPr="00D33657">
        <w:rPr>
          <w:rtl/>
          <w:lang w:bidi="ar-JO"/>
        </w:rPr>
        <w:t>أن</w:t>
      </w:r>
      <w:r w:rsidRPr="00D33657">
        <w:rPr>
          <w:rtl/>
        </w:rPr>
        <w:t xml:space="preserve"> </w:t>
      </w:r>
      <w:r w:rsidRPr="00D33657">
        <w:rPr>
          <w:rtl/>
          <w:lang w:bidi="ar-JO"/>
        </w:rPr>
        <w:t>تعمل</w:t>
      </w:r>
      <w:r w:rsidRPr="00D33657">
        <w:rPr>
          <w:rtl/>
        </w:rPr>
        <w:t xml:space="preserve"> </w:t>
      </w:r>
      <w:r w:rsidRPr="00D33657">
        <w:rPr>
          <w:rtl/>
          <w:lang w:bidi="ar-JO"/>
        </w:rPr>
        <w:t>على</w:t>
      </w:r>
      <w:r w:rsidRPr="00D33657">
        <w:rPr>
          <w:rtl/>
        </w:rPr>
        <w:t xml:space="preserve"> </w:t>
      </w:r>
      <w:r w:rsidRPr="00D33657">
        <w:rPr>
          <w:rtl/>
          <w:lang w:bidi="ar-JO"/>
        </w:rPr>
        <w:t>زيادة</w:t>
      </w:r>
      <w:r w:rsidRPr="00D33657">
        <w:rPr>
          <w:rtl/>
        </w:rPr>
        <w:t xml:space="preserve"> </w:t>
      </w:r>
      <w:r w:rsidRPr="00D33657">
        <w:rPr>
          <w:rtl/>
          <w:lang w:bidi="ar-JO"/>
        </w:rPr>
        <w:t>معدلات</w:t>
      </w:r>
      <w:r w:rsidRPr="00D33657">
        <w:rPr>
          <w:rtl/>
        </w:rPr>
        <w:t xml:space="preserve"> </w:t>
      </w:r>
      <w:r w:rsidRPr="00D33657">
        <w:rPr>
          <w:rtl/>
          <w:lang w:bidi="ar-JO"/>
        </w:rPr>
        <w:t>تحصيل</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التي</w:t>
      </w:r>
      <w:r w:rsidRPr="00D33657">
        <w:rPr>
          <w:rtl/>
        </w:rPr>
        <w:t xml:space="preserve"> </w:t>
      </w:r>
      <w:r w:rsidRPr="00D33657">
        <w:rPr>
          <w:rtl/>
          <w:lang w:bidi="ar-JO"/>
        </w:rPr>
        <w:t>تبلغ</w:t>
      </w:r>
      <w:r w:rsidRPr="00D33657">
        <w:rPr>
          <w:rtl/>
        </w:rPr>
        <w:t xml:space="preserve"> </w:t>
      </w:r>
      <w:r w:rsidRPr="00D33657">
        <w:rPr>
          <w:rtl/>
          <w:lang w:bidi="ar-JO"/>
        </w:rPr>
        <w:t>حوالي</w:t>
      </w:r>
      <w:r w:rsidRPr="00D33657">
        <w:rPr>
          <w:rtl/>
        </w:rPr>
        <w:t xml:space="preserve"> 792 </w:t>
      </w:r>
      <w:r w:rsidRPr="00D33657">
        <w:rPr>
          <w:rtl/>
          <w:lang w:bidi="ar-JO"/>
        </w:rPr>
        <w:t>مليون</w:t>
      </w:r>
      <w:r w:rsidRPr="00D33657">
        <w:rPr>
          <w:rtl/>
        </w:rPr>
        <w:t xml:space="preserve"> </w:t>
      </w:r>
      <w:r w:rsidRPr="00D33657">
        <w:rPr>
          <w:rtl/>
          <w:lang w:bidi="ar-JO"/>
        </w:rPr>
        <w:t>شيكل</w:t>
      </w:r>
      <w:r w:rsidRPr="00D33657">
        <w:rPr>
          <w:rtl/>
        </w:rPr>
        <w:t xml:space="preserve">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الست</w:t>
      </w:r>
      <w:r w:rsidRPr="00D33657">
        <w:rPr>
          <w:rtl/>
        </w:rPr>
        <w:t xml:space="preserve">) </w:t>
      </w:r>
      <w:r w:rsidRPr="00D33657">
        <w:rPr>
          <w:rtl/>
          <w:lang w:bidi="ar-JO"/>
        </w:rPr>
        <w:t>وتقديم</w:t>
      </w:r>
      <w:r w:rsidRPr="00D33657">
        <w:rPr>
          <w:rtl/>
        </w:rPr>
        <w:t xml:space="preserve"> </w:t>
      </w:r>
      <w:r w:rsidRPr="00D33657">
        <w:rPr>
          <w:rtl/>
          <w:lang w:bidi="ar-JO"/>
        </w:rPr>
        <w:t>خصومات</w:t>
      </w:r>
      <w:r w:rsidRPr="00D33657">
        <w:rPr>
          <w:rtl/>
        </w:rPr>
        <w:t xml:space="preserve"> </w:t>
      </w:r>
      <w:r w:rsidRPr="00D33657">
        <w:rPr>
          <w:rtl/>
          <w:lang w:bidi="ar-JO"/>
        </w:rPr>
        <w:t>على</w:t>
      </w:r>
      <w:r w:rsidRPr="00D33657">
        <w:rPr>
          <w:rtl/>
        </w:rPr>
        <w:t xml:space="preserve"> </w:t>
      </w:r>
      <w:r w:rsidRPr="00D33657">
        <w:rPr>
          <w:rtl/>
          <w:lang w:bidi="ar-JO"/>
        </w:rPr>
        <w:t>أساس</w:t>
      </w:r>
      <w:r w:rsidRPr="00D33657">
        <w:rPr>
          <w:rtl/>
        </w:rPr>
        <w:t xml:space="preserve"> </w:t>
      </w:r>
      <w:r w:rsidRPr="00D33657">
        <w:rPr>
          <w:rtl/>
          <w:lang w:bidi="ar-JO"/>
        </w:rPr>
        <w:t>قانوني</w:t>
      </w:r>
      <w:r w:rsidRPr="00D33657">
        <w:rPr>
          <w:rtl/>
        </w:rPr>
        <w:t xml:space="preserve"> </w:t>
      </w:r>
      <w:r w:rsidRPr="00D33657">
        <w:rPr>
          <w:rtl/>
          <w:lang w:bidi="ar-JO"/>
        </w:rPr>
        <w:t>مع</w:t>
      </w:r>
      <w:r w:rsidRPr="00D33657">
        <w:rPr>
          <w:rtl/>
        </w:rPr>
        <w:t xml:space="preserve"> </w:t>
      </w:r>
      <w:r w:rsidRPr="00D33657">
        <w:rPr>
          <w:rtl/>
          <w:lang w:bidi="ar-JO"/>
        </w:rPr>
        <w:t>ضمان</w:t>
      </w:r>
      <w:r w:rsidRPr="00D33657">
        <w:rPr>
          <w:rtl/>
        </w:rPr>
        <w:t xml:space="preserve"> </w:t>
      </w:r>
      <w:r w:rsidRPr="00D33657">
        <w:rPr>
          <w:rtl/>
          <w:lang w:bidi="ar-JO"/>
        </w:rPr>
        <w:t>الشفافية</w:t>
      </w:r>
      <w:r w:rsidRPr="00D33657">
        <w:rPr>
          <w:rtl/>
        </w:rPr>
        <w:t xml:space="preserve"> </w:t>
      </w:r>
      <w:r w:rsidRPr="00D33657">
        <w:rPr>
          <w:rtl/>
          <w:lang w:bidi="ar-JO"/>
        </w:rPr>
        <w:t>والمساواة</w:t>
      </w:r>
      <w:r w:rsidRPr="00D33657">
        <w:rPr>
          <w:rtl/>
        </w:rPr>
        <w:t xml:space="preserve">. </w:t>
      </w:r>
      <w:r w:rsidRPr="00D33657">
        <w:rPr>
          <w:rtl/>
          <w:lang w:bidi="ar-JO"/>
        </w:rPr>
        <w:t>يجب</w:t>
      </w:r>
      <w:r w:rsidRPr="00D33657">
        <w:rPr>
          <w:rtl/>
        </w:rPr>
        <w:t xml:space="preserve"> </w:t>
      </w:r>
      <w:r w:rsidRPr="00D33657">
        <w:rPr>
          <w:rtl/>
          <w:lang w:bidi="ar-JO"/>
        </w:rPr>
        <w:t>على</w:t>
      </w:r>
      <w:r w:rsidRPr="00D33657">
        <w:rPr>
          <w:rtl/>
        </w:rPr>
        <w:t xml:space="preserve"> </w:t>
      </w:r>
      <w:r w:rsidRPr="00D33657">
        <w:rPr>
          <w:rtl/>
          <w:lang w:bidi="ar-JO"/>
        </w:rPr>
        <w:t>وزارتي</w:t>
      </w:r>
      <w:r w:rsidRPr="00D33657">
        <w:rPr>
          <w:rtl/>
        </w:rPr>
        <w:t xml:space="preserve"> </w:t>
      </w:r>
      <w:r w:rsidRPr="00D33657">
        <w:rPr>
          <w:rtl/>
          <w:lang w:bidi="ar-JO"/>
        </w:rPr>
        <w:t>الداخلية</w:t>
      </w:r>
      <w:r w:rsidRPr="00D33657">
        <w:rPr>
          <w:rtl/>
        </w:rPr>
        <w:t xml:space="preserve"> </w:t>
      </w:r>
      <w:r w:rsidRPr="00D33657">
        <w:rPr>
          <w:rtl/>
          <w:lang w:bidi="ar-JO"/>
        </w:rPr>
        <w:t>والمالية</w:t>
      </w:r>
      <w:r w:rsidRPr="00D33657">
        <w:rPr>
          <w:rtl/>
        </w:rPr>
        <w:t xml:space="preserve"> </w:t>
      </w:r>
      <w:r w:rsidRPr="00D33657">
        <w:rPr>
          <w:rtl/>
          <w:lang w:bidi="ar-JO"/>
        </w:rPr>
        <w:t>دراسة</w:t>
      </w:r>
      <w:r w:rsidRPr="00D33657">
        <w:rPr>
          <w:rtl/>
        </w:rPr>
        <w:t xml:space="preserve"> </w:t>
      </w:r>
      <w:r w:rsidRPr="00D33657">
        <w:rPr>
          <w:rtl/>
          <w:lang w:bidi="ar-JO"/>
        </w:rPr>
        <w:t>نتائج</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ومناقشة</w:t>
      </w:r>
      <w:r w:rsidRPr="00D33657">
        <w:rPr>
          <w:rtl/>
        </w:rPr>
        <w:t xml:space="preserve"> </w:t>
      </w:r>
      <w:r w:rsidRPr="00D33657">
        <w:rPr>
          <w:rtl/>
          <w:lang w:bidi="ar-JO"/>
        </w:rPr>
        <w:t>توصيات</w:t>
      </w:r>
      <w:r w:rsidRPr="00D33657">
        <w:rPr>
          <w:rtl/>
        </w:rPr>
        <w:t xml:space="preserve"> </w:t>
      </w:r>
      <w:r w:rsidRPr="00D33657">
        <w:rPr>
          <w:rtl/>
          <w:lang w:bidi="ar-JO"/>
        </w:rPr>
        <w:t>اللجان</w:t>
      </w:r>
      <w:r w:rsidRPr="00D33657">
        <w:rPr>
          <w:rtl/>
        </w:rPr>
        <w:t xml:space="preserve"> </w:t>
      </w:r>
      <w:r w:rsidRPr="00D33657">
        <w:rPr>
          <w:rtl/>
          <w:lang w:bidi="ar-JO"/>
        </w:rPr>
        <w:t>والفرق</w:t>
      </w:r>
      <w:r w:rsidRPr="00D33657">
        <w:rPr>
          <w:rtl/>
        </w:rPr>
        <w:t xml:space="preserve"> </w:t>
      </w:r>
      <w:r w:rsidRPr="00D33657">
        <w:rPr>
          <w:rtl/>
          <w:lang w:bidi="ar-JO"/>
        </w:rPr>
        <w:t>الوزارية</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تشكيلها</w:t>
      </w:r>
      <w:r w:rsidRPr="00D33657">
        <w:rPr>
          <w:rtl/>
        </w:rPr>
        <w:t xml:space="preserve"> </w:t>
      </w:r>
      <w:r w:rsidRPr="00D33657">
        <w:rPr>
          <w:rtl/>
          <w:lang w:bidi="ar-JO"/>
        </w:rPr>
        <w:t>على</w:t>
      </w:r>
      <w:r w:rsidRPr="00D33657">
        <w:rPr>
          <w:rtl/>
        </w:rPr>
        <w:t xml:space="preserve"> </w:t>
      </w:r>
      <w:r w:rsidRPr="00D33657">
        <w:rPr>
          <w:rtl/>
          <w:lang w:bidi="ar-JO"/>
        </w:rPr>
        <w:t>مر</w:t>
      </w:r>
      <w:r w:rsidRPr="00D33657">
        <w:rPr>
          <w:rtl/>
        </w:rPr>
        <w:t xml:space="preserve"> </w:t>
      </w:r>
      <w:r w:rsidRPr="00D33657">
        <w:rPr>
          <w:rtl/>
          <w:lang w:bidi="ar-JO"/>
        </w:rPr>
        <w:t>السنين،</w:t>
      </w:r>
      <w:r w:rsidRPr="00D33657">
        <w:rPr>
          <w:rtl/>
        </w:rPr>
        <w:t xml:space="preserve"> </w:t>
      </w:r>
      <w:r w:rsidRPr="00D33657">
        <w:rPr>
          <w:rtl/>
          <w:lang w:bidi="ar-JO"/>
        </w:rPr>
        <w:t>والعمل</w:t>
      </w:r>
      <w:r w:rsidRPr="00D33657">
        <w:rPr>
          <w:rtl/>
        </w:rPr>
        <w:t xml:space="preserve"> </w:t>
      </w:r>
      <w:r w:rsidRPr="00D33657">
        <w:rPr>
          <w:rtl/>
          <w:lang w:bidi="ar-JO"/>
        </w:rPr>
        <w:t>بشكل</w:t>
      </w:r>
      <w:r w:rsidRPr="00D33657">
        <w:rPr>
          <w:rtl/>
        </w:rPr>
        <w:t xml:space="preserve"> </w:t>
      </w:r>
      <w:r w:rsidRPr="00D33657">
        <w:rPr>
          <w:rtl/>
          <w:lang w:bidi="ar-JO"/>
        </w:rPr>
        <w:t>مشترك</w:t>
      </w:r>
      <w:r w:rsidRPr="00D33657">
        <w:rPr>
          <w:rtl/>
        </w:rPr>
        <w:t xml:space="preserve"> </w:t>
      </w:r>
      <w:r w:rsidRPr="00D33657">
        <w:rPr>
          <w:rtl/>
          <w:lang w:bidi="ar-JO"/>
        </w:rPr>
        <w:t>لتنظيم</w:t>
      </w:r>
      <w:r w:rsidRPr="00D33657">
        <w:rPr>
          <w:rtl/>
        </w:rPr>
        <w:t xml:space="preserve"> </w:t>
      </w:r>
      <w:r w:rsidRPr="00D33657">
        <w:rPr>
          <w:rtl/>
          <w:lang w:bidi="ar-JO"/>
        </w:rPr>
        <w:t>مجال</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w:t>
      </w:r>
      <w:r w:rsidRPr="00D33657">
        <w:rPr>
          <w:rtl/>
          <w:lang w:bidi="ar-JO"/>
        </w:rPr>
        <w:t>من</w:t>
      </w:r>
      <w:r w:rsidRPr="00D33657">
        <w:rPr>
          <w:rtl/>
        </w:rPr>
        <w:t xml:space="preserve"> </w:t>
      </w:r>
      <w:r w:rsidRPr="00D33657">
        <w:rPr>
          <w:rtl/>
          <w:lang w:bidi="ar-JO"/>
        </w:rPr>
        <w:t>جميع</w:t>
      </w:r>
      <w:r w:rsidRPr="00D33657">
        <w:rPr>
          <w:rtl/>
        </w:rPr>
        <w:t xml:space="preserve"> </w:t>
      </w:r>
      <w:r w:rsidRPr="00D33657">
        <w:rPr>
          <w:rtl/>
          <w:lang w:bidi="ar-JO"/>
        </w:rPr>
        <w:t>جوانبه</w:t>
      </w:r>
      <w:r w:rsidRPr="00D33657">
        <w:rPr>
          <w:rtl/>
        </w:rPr>
        <w:t>.</w:t>
      </w:r>
    </w:p>
    <w:p w:rsidR="00696D27" w:rsidRPr="00D33657" w:rsidP="00696D27" w14:paraId="24DD4EDC" w14:textId="7B357A4E">
      <w:pPr>
        <w:pStyle w:val="7190"/>
        <w:ind w:left="397"/>
        <w:rPr>
          <w:rtl/>
        </w:rPr>
      </w:pPr>
      <w:r w:rsidRPr="00D33657">
        <w:rPr>
          <w:rFonts w:hint="cs"/>
          <w:rtl/>
          <w:lang w:bidi="ar-JO"/>
        </w:rPr>
        <w:t>يتضمن</w:t>
      </w:r>
      <w:r w:rsidRPr="00D33657">
        <w:rPr>
          <w:rFonts w:hint="cs"/>
          <w:rtl/>
        </w:rPr>
        <w:t xml:space="preserve"> </w:t>
      </w:r>
      <w:r w:rsidRPr="00D33657">
        <w:rPr>
          <w:rFonts w:hint="cs"/>
          <w:rtl/>
          <w:lang w:bidi="ar-JO"/>
        </w:rPr>
        <w:t>هذا</w:t>
      </w:r>
      <w:r w:rsidRPr="00D33657">
        <w:rPr>
          <w:rFonts w:hint="cs"/>
          <w:rtl/>
        </w:rPr>
        <w:t xml:space="preserve"> </w:t>
      </w:r>
      <w:r w:rsidRPr="00D33657">
        <w:rPr>
          <w:rFonts w:hint="cs"/>
          <w:rtl/>
          <w:lang w:bidi="ar-JO"/>
        </w:rPr>
        <w:t>التقرير</w:t>
      </w:r>
      <w:r w:rsidRPr="00D33657">
        <w:rPr>
          <w:rFonts w:hint="cs"/>
          <w:rtl/>
        </w:rPr>
        <w:t xml:space="preserve"> </w:t>
      </w:r>
      <w:r w:rsidRPr="00D33657">
        <w:rPr>
          <w:rFonts w:hint="cs"/>
          <w:rtl/>
          <w:lang w:bidi="ar-JO"/>
        </w:rPr>
        <w:t>أيضًا</w:t>
      </w:r>
      <w:r w:rsidRPr="00D33657">
        <w:rPr>
          <w:rFonts w:hint="cs"/>
          <w:rtl/>
        </w:rPr>
        <w:t xml:space="preserve"> </w:t>
      </w:r>
      <w:r w:rsidRPr="00D33657">
        <w:rPr>
          <w:rFonts w:hint="cs"/>
          <w:rtl/>
          <w:lang w:bidi="ar-JO"/>
        </w:rPr>
        <w:t>فصلاً</w:t>
      </w:r>
      <w:r w:rsidRPr="00D33657">
        <w:rPr>
          <w:rFonts w:hint="cs"/>
          <w:rtl/>
        </w:rPr>
        <w:t xml:space="preserve"> </w:t>
      </w:r>
      <w:r w:rsidRPr="00D33657">
        <w:rPr>
          <w:rFonts w:hint="cs"/>
          <w:rtl/>
          <w:lang w:bidi="ar-JO"/>
        </w:rPr>
        <w:t>عن</w:t>
      </w:r>
      <w:r w:rsidRPr="00D33657">
        <w:rPr>
          <w:rFonts w:hint="cs"/>
          <w:rtl/>
        </w:rPr>
        <w:t xml:space="preserve"> </w:t>
      </w:r>
      <w:r w:rsidRPr="00D33657">
        <w:rPr>
          <w:rFonts w:hint="cs"/>
          <w:rtl/>
          <w:lang w:bidi="ar-JO"/>
        </w:rPr>
        <w:t>مسألة</w:t>
      </w:r>
      <w:r>
        <w:rPr>
          <w:rFonts w:hint="cs"/>
          <w:rtl/>
          <w:lang w:val="ar"/>
        </w:rPr>
        <w:t xml:space="preserve"> </w:t>
      </w:r>
      <w:r w:rsidRPr="00D33657">
        <w:rPr>
          <w:bCs/>
          <w:rtl/>
          <w:lang w:val="ar" w:bidi="ar-JO"/>
        </w:rPr>
        <w:t>الضرائب</w:t>
      </w:r>
      <w:r w:rsidRPr="00D33657">
        <w:rPr>
          <w:bCs/>
          <w:rtl/>
          <w:lang w:val="ar"/>
        </w:rPr>
        <w:t xml:space="preserve"> </w:t>
      </w:r>
      <w:r w:rsidRPr="00D33657">
        <w:rPr>
          <w:bCs/>
          <w:rtl/>
          <w:lang w:val="ar" w:bidi="ar-JO"/>
        </w:rPr>
        <w:t>البلدية</w:t>
      </w:r>
      <w:r w:rsidRPr="00D33657">
        <w:rPr>
          <w:bCs/>
          <w:rtl/>
          <w:lang w:val="ar"/>
        </w:rPr>
        <w:t xml:space="preserve"> </w:t>
      </w:r>
      <w:r w:rsidRPr="00D33657">
        <w:rPr>
          <w:bCs/>
          <w:rtl/>
          <w:lang w:val="ar" w:bidi="ar-JO"/>
        </w:rPr>
        <w:t>لدى</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bCs/>
          <w:rtl/>
          <w:lang w:val="ar"/>
        </w:rPr>
        <w:t xml:space="preserve"> - </w:t>
      </w:r>
      <w:r w:rsidRPr="00D33657">
        <w:rPr>
          <w:bCs/>
          <w:rtl/>
          <w:lang w:val="ar" w:bidi="ar-JO"/>
        </w:rPr>
        <w:t>الخدمة</w:t>
      </w:r>
      <w:r w:rsidRPr="00D33657">
        <w:rPr>
          <w:bCs/>
          <w:rtl/>
          <w:lang w:val="ar"/>
        </w:rPr>
        <w:t xml:space="preserve"> </w:t>
      </w:r>
      <w:r w:rsidRPr="00D33657">
        <w:rPr>
          <w:rFonts w:hint="cs"/>
          <w:bCs/>
          <w:rtl/>
          <w:lang w:val="ar" w:bidi="ar-JO"/>
        </w:rPr>
        <w:t>للمواطن</w:t>
      </w:r>
      <w:r w:rsidRPr="00D33657">
        <w:rPr>
          <w:rFonts w:hint="cs"/>
          <w:rtl/>
        </w:rPr>
        <w:t xml:space="preserve"> </w:t>
      </w:r>
      <w:r w:rsidRPr="00D33657">
        <w:rPr>
          <w:rFonts w:hint="cs"/>
          <w:rtl/>
          <w:lang w:bidi="ar-JO"/>
        </w:rPr>
        <w:t>حيث</w:t>
      </w:r>
      <w:r w:rsidRPr="00D33657">
        <w:rPr>
          <w:rFonts w:hint="cs"/>
          <w:rtl/>
        </w:rPr>
        <w:t xml:space="preserve"> </w:t>
      </w:r>
      <w:r w:rsidRPr="00D33657">
        <w:rPr>
          <w:rFonts w:hint="cs"/>
          <w:rtl/>
          <w:lang w:bidi="ar-JO"/>
        </w:rPr>
        <w:t>أثيرت</w:t>
      </w:r>
      <w:r w:rsidRPr="00D33657">
        <w:rPr>
          <w:rFonts w:hint="cs"/>
          <w:rtl/>
        </w:rPr>
        <w:t xml:space="preserve"> </w:t>
      </w:r>
      <w:r w:rsidRPr="00D33657">
        <w:rPr>
          <w:rFonts w:hint="cs"/>
          <w:rtl/>
          <w:lang w:bidi="ar-JO"/>
        </w:rPr>
        <w:t>أوجه</w:t>
      </w:r>
      <w:r w:rsidRPr="00D33657">
        <w:rPr>
          <w:rFonts w:hint="cs"/>
          <w:rtl/>
        </w:rPr>
        <w:t xml:space="preserve"> </w:t>
      </w:r>
      <w:r w:rsidRPr="00D33657">
        <w:rPr>
          <w:rFonts w:hint="cs"/>
          <w:rtl/>
          <w:lang w:bidi="ar-JO"/>
        </w:rPr>
        <w:t>قصور</w:t>
      </w:r>
      <w:r w:rsidRPr="00D33657">
        <w:rPr>
          <w:rFonts w:hint="cs"/>
          <w:rtl/>
        </w:rPr>
        <w:t xml:space="preserve"> </w:t>
      </w:r>
      <w:r w:rsidRPr="00D33657">
        <w:rPr>
          <w:rFonts w:hint="cs"/>
          <w:rtl/>
          <w:lang w:bidi="ar-JO"/>
        </w:rPr>
        <w:t>فيما</w:t>
      </w:r>
      <w:r w:rsidRPr="00D33657">
        <w:rPr>
          <w:rFonts w:hint="cs"/>
          <w:rtl/>
        </w:rPr>
        <w:t xml:space="preserve"> </w:t>
      </w:r>
      <w:r w:rsidRPr="00D33657">
        <w:rPr>
          <w:rFonts w:hint="cs"/>
          <w:rtl/>
          <w:lang w:bidi="ar-JO"/>
        </w:rPr>
        <w:t>يتعلق</w:t>
      </w:r>
      <w:r w:rsidRPr="00D33657">
        <w:rPr>
          <w:rFonts w:hint="cs"/>
          <w:rtl/>
        </w:rPr>
        <w:t xml:space="preserve"> </w:t>
      </w:r>
      <w:r w:rsidRPr="00D33657">
        <w:rPr>
          <w:rFonts w:hint="cs"/>
          <w:rtl/>
          <w:lang w:bidi="ar-JO"/>
        </w:rPr>
        <w:t>بنطاق</w:t>
      </w:r>
      <w:r w:rsidRPr="00D33657">
        <w:rPr>
          <w:rFonts w:hint="cs"/>
          <w:rtl/>
        </w:rPr>
        <w:t xml:space="preserve"> </w:t>
      </w:r>
      <w:r w:rsidRPr="00D33657">
        <w:rPr>
          <w:rFonts w:hint="cs"/>
          <w:rtl/>
          <w:lang w:bidi="ar-JO"/>
        </w:rPr>
        <w:t>وجودة</w:t>
      </w:r>
      <w:r w:rsidRPr="00D33657">
        <w:rPr>
          <w:rFonts w:hint="cs"/>
          <w:rtl/>
        </w:rPr>
        <w:t xml:space="preserve"> </w:t>
      </w:r>
      <w:r w:rsidRPr="00D33657">
        <w:rPr>
          <w:rFonts w:hint="cs"/>
          <w:rtl/>
          <w:lang w:bidi="ar-JO"/>
        </w:rPr>
        <w:t>الخدمة</w:t>
      </w:r>
      <w:r w:rsidRPr="00D33657">
        <w:rPr>
          <w:rFonts w:hint="cs"/>
          <w:rtl/>
        </w:rPr>
        <w:t xml:space="preserve"> </w:t>
      </w:r>
      <w:r w:rsidRPr="00D33657">
        <w:rPr>
          <w:rFonts w:hint="cs"/>
          <w:rtl/>
          <w:lang w:bidi="ar-JO"/>
        </w:rPr>
        <w:t>عبر</w:t>
      </w:r>
      <w:r w:rsidRPr="00D33657">
        <w:rPr>
          <w:rFonts w:hint="cs"/>
          <w:rtl/>
        </w:rPr>
        <w:t xml:space="preserve"> </w:t>
      </w:r>
      <w:r w:rsidRPr="00D33657">
        <w:rPr>
          <w:rFonts w:hint="cs"/>
          <w:rtl/>
          <w:lang w:bidi="ar-JO"/>
        </w:rPr>
        <w:t>الإنترنت</w:t>
      </w:r>
      <w:r w:rsidRPr="00D33657">
        <w:rPr>
          <w:rFonts w:hint="cs"/>
          <w:rtl/>
        </w:rPr>
        <w:t xml:space="preserve"> </w:t>
      </w:r>
      <w:r w:rsidRPr="00D33657">
        <w:rPr>
          <w:rFonts w:hint="cs"/>
          <w:rtl/>
          <w:lang w:bidi="ar-JO"/>
        </w:rPr>
        <w:t>والخدمة</w:t>
      </w:r>
      <w:r w:rsidRPr="00D33657">
        <w:rPr>
          <w:rFonts w:hint="cs"/>
          <w:rtl/>
        </w:rPr>
        <w:t xml:space="preserve"> </w:t>
      </w:r>
      <w:r w:rsidRPr="00D33657">
        <w:rPr>
          <w:rFonts w:hint="cs"/>
          <w:rtl/>
          <w:lang w:bidi="ar-JO"/>
        </w:rPr>
        <w:t>الهاتفية</w:t>
      </w:r>
      <w:r w:rsidRPr="00D33657">
        <w:rPr>
          <w:rFonts w:hint="cs"/>
          <w:rtl/>
        </w:rPr>
        <w:t xml:space="preserve"> </w:t>
      </w:r>
      <w:r w:rsidRPr="00D33657">
        <w:rPr>
          <w:rFonts w:hint="cs"/>
          <w:rtl/>
          <w:lang w:bidi="ar-JO"/>
        </w:rPr>
        <w:t>والخدمة</w:t>
      </w:r>
      <w:r w:rsidRPr="00D33657">
        <w:rPr>
          <w:rFonts w:hint="cs"/>
          <w:rtl/>
        </w:rPr>
        <w:t xml:space="preserve"> </w:t>
      </w:r>
      <w:r w:rsidRPr="00D33657">
        <w:rPr>
          <w:rFonts w:hint="cs"/>
          <w:rtl/>
          <w:lang w:bidi="ar-JO"/>
        </w:rPr>
        <w:t>الوجاهية</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تقدمها</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لسكانها</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مجال</w:t>
      </w:r>
      <w:r w:rsidRPr="00D33657">
        <w:rPr>
          <w:rFonts w:hint="cs"/>
          <w:rtl/>
        </w:rPr>
        <w:t xml:space="preserve"> </w:t>
      </w:r>
      <w:r w:rsidRPr="00D33657">
        <w:rPr>
          <w:rFonts w:hint="cs"/>
          <w:rtl/>
          <w:lang w:bidi="ar-JO"/>
        </w:rPr>
        <w:t>ضريبة</w:t>
      </w:r>
      <w:r w:rsidRPr="00D33657">
        <w:rPr>
          <w:rFonts w:hint="cs"/>
          <w:rtl/>
        </w:rPr>
        <w:t xml:space="preserve"> </w:t>
      </w:r>
      <w:r w:rsidRPr="00D33657">
        <w:rPr>
          <w:rFonts w:hint="cs"/>
          <w:rtl/>
          <w:lang w:bidi="ar-JO"/>
        </w:rPr>
        <w:t>البلدية،</w:t>
      </w:r>
      <w:r w:rsidRPr="00D33657">
        <w:rPr>
          <w:rFonts w:hint="cs"/>
          <w:rtl/>
        </w:rPr>
        <w:t xml:space="preserve"> </w:t>
      </w:r>
      <w:r w:rsidRPr="00D33657">
        <w:rPr>
          <w:rFonts w:hint="cs"/>
          <w:rtl/>
          <w:lang w:bidi="ar-JO"/>
        </w:rPr>
        <w:t>وكذلك</w:t>
      </w:r>
      <w:r w:rsidRPr="00D33657">
        <w:rPr>
          <w:rFonts w:hint="cs"/>
          <w:rtl/>
        </w:rPr>
        <w:t xml:space="preserve"> </w:t>
      </w:r>
      <w:r w:rsidRPr="00D33657">
        <w:rPr>
          <w:rFonts w:hint="cs"/>
          <w:rtl/>
          <w:lang w:bidi="ar-JO"/>
        </w:rPr>
        <w:t>المعلومات</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تنشرها</w:t>
      </w:r>
      <w:r w:rsidRPr="00D33657">
        <w:rPr>
          <w:rFonts w:hint="cs"/>
          <w:rtl/>
        </w:rPr>
        <w:t xml:space="preserve"> </w:t>
      </w:r>
      <w:r w:rsidRPr="00D33657">
        <w:rPr>
          <w:rFonts w:hint="cs"/>
          <w:rtl/>
          <w:lang w:bidi="ar-JO"/>
        </w:rPr>
        <w:t>للجمهور</w:t>
      </w:r>
      <w:r w:rsidRPr="00D33657">
        <w:rPr>
          <w:rFonts w:hint="cs"/>
          <w:rtl/>
        </w:rPr>
        <w:t xml:space="preserve"> </w:t>
      </w:r>
      <w:r w:rsidRPr="00D33657">
        <w:rPr>
          <w:rFonts w:hint="cs"/>
          <w:rtl/>
          <w:lang w:bidi="ar-JO"/>
        </w:rPr>
        <w:t>حول</w:t>
      </w:r>
      <w:r w:rsidRPr="00D33657">
        <w:rPr>
          <w:rFonts w:hint="cs"/>
          <w:rtl/>
        </w:rPr>
        <w:t xml:space="preserve"> </w:t>
      </w:r>
      <w:r w:rsidRPr="00D33657">
        <w:rPr>
          <w:rFonts w:hint="cs"/>
          <w:rtl/>
          <w:lang w:bidi="ar-JO"/>
        </w:rPr>
        <w:t>حقوقهم</w:t>
      </w:r>
      <w:r w:rsidRPr="00D33657">
        <w:rPr>
          <w:rFonts w:hint="cs"/>
          <w:rtl/>
        </w:rPr>
        <w:t xml:space="preserve"> </w:t>
      </w:r>
      <w:r w:rsidRPr="00D33657">
        <w:rPr>
          <w:rFonts w:hint="cs"/>
          <w:rtl/>
          <w:lang w:bidi="ar-JO"/>
        </w:rPr>
        <w:t>وواجباتهم</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موضوع</w:t>
      </w:r>
      <w:r w:rsidRPr="00D33657">
        <w:rPr>
          <w:rFonts w:hint="cs"/>
          <w:rtl/>
        </w:rPr>
        <w:t xml:space="preserve"> </w:t>
      </w:r>
      <w:r w:rsidRPr="00D33657">
        <w:rPr>
          <w:rFonts w:hint="cs"/>
          <w:rtl/>
          <w:lang w:bidi="ar-JO"/>
        </w:rPr>
        <w:t>ضريبة</w:t>
      </w:r>
      <w:r w:rsidRPr="00D33657">
        <w:rPr>
          <w:rFonts w:hint="cs"/>
          <w:rtl/>
        </w:rPr>
        <w:t xml:space="preserve"> </w:t>
      </w:r>
      <w:r w:rsidRPr="00D33657">
        <w:rPr>
          <w:rFonts w:hint="cs"/>
          <w:rtl/>
          <w:lang w:bidi="ar-JO"/>
        </w:rPr>
        <w:t>البلدية،</w:t>
      </w:r>
      <w:r w:rsidRPr="00D33657">
        <w:rPr>
          <w:rFonts w:hint="cs"/>
          <w:rtl/>
        </w:rPr>
        <w:t xml:space="preserve"> </w:t>
      </w:r>
      <w:r w:rsidRPr="00D33657">
        <w:rPr>
          <w:rFonts w:hint="cs"/>
          <w:rtl/>
          <w:lang w:bidi="ar-JO"/>
        </w:rPr>
        <w:t>سواء</w:t>
      </w:r>
      <w:r w:rsidRPr="00D33657">
        <w:rPr>
          <w:rFonts w:hint="cs"/>
          <w:rtl/>
        </w:rPr>
        <w:t xml:space="preserve"> </w:t>
      </w:r>
      <w:r w:rsidRPr="00D33657">
        <w:rPr>
          <w:rFonts w:hint="cs"/>
          <w:rtl/>
          <w:lang w:bidi="ar-JO"/>
        </w:rPr>
        <w:t>عبر</w:t>
      </w:r>
      <w:r w:rsidRPr="00D33657">
        <w:rPr>
          <w:rFonts w:hint="cs"/>
          <w:rtl/>
        </w:rPr>
        <w:t xml:space="preserve"> </w:t>
      </w:r>
      <w:r w:rsidRPr="00D33657">
        <w:rPr>
          <w:rFonts w:hint="cs"/>
          <w:rtl/>
          <w:lang w:bidi="ar-JO"/>
        </w:rPr>
        <w:t>الوسائط</w:t>
      </w:r>
      <w:r w:rsidRPr="00D33657">
        <w:rPr>
          <w:rFonts w:hint="cs"/>
          <w:rtl/>
        </w:rPr>
        <w:t xml:space="preserve"> </w:t>
      </w:r>
      <w:r w:rsidRPr="00D33657">
        <w:rPr>
          <w:rFonts w:hint="cs"/>
          <w:rtl/>
          <w:lang w:bidi="ar-JO"/>
        </w:rPr>
        <w:t>الرقمية</w:t>
      </w:r>
      <w:r w:rsidRPr="00D33657">
        <w:rPr>
          <w:rFonts w:hint="cs"/>
          <w:rtl/>
        </w:rPr>
        <w:t xml:space="preserve"> </w:t>
      </w:r>
      <w:r w:rsidRPr="00D33657">
        <w:rPr>
          <w:rFonts w:hint="cs"/>
          <w:rtl/>
          <w:lang w:bidi="ar-JO"/>
        </w:rPr>
        <w:t>أو</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خلال</w:t>
      </w:r>
      <w:r w:rsidRPr="00D33657">
        <w:rPr>
          <w:rFonts w:hint="cs"/>
          <w:rtl/>
        </w:rPr>
        <w:t xml:space="preserve"> </w:t>
      </w:r>
      <w:r w:rsidRPr="00D33657">
        <w:rPr>
          <w:rFonts w:hint="cs"/>
          <w:rtl/>
          <w:lang w:bidi="ar-JO"/>
        </w:rPr>
        <w:t>البلاغات</w:t>
      </w:r>
      <w:r w:rsidRPr="00D33657">
        <w:rPr>
          <w:rFonts w:hint="cs"/>
          <w:rtl/>
        </w:rPr>
        <w:t xml:space="preserve"> </w:t>
      </w:r>
      <w:r w:rsidRPr="00D33657">
        <w:rPr>
          <w:rFonts w:hint="cs"/>
          <w:rtl/>
          <w:lang w:bidi="ar-JO"/>
        </w:rPr>
        <w:t>الموزعة</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منازل</w:t>
      </w:r>
      <w:r w:rsidRPr="00D33657">
        <w:rPr>
          <w:rFonts w:hint="cs"/>
          <w:rtl/>
        </w:rPr>
        <w:t xml:space="preserve"> </w:t>
      </w:r>
      <w:r w:rsidRPr="00D33657">
        <w:rPr>
          <w:rFonts w:hint="cs"/>
          <w:rtl/>
          <w:lang w:bidi="ar-JO"/>
        </w:rPr>
        <w:t>السكان</w:t>
      </w:r>
      <w:r w:rsidRPr="00D33657">
        <w:rPr>
          <w:rFonts w:hint="cs"/>
          <w:rtl/>
        </w:rPr>
        <w:t xml:space="preserve"> </w:t>
      </w:r>
      <w:r w:rsidRPr="00D33657">
        <w:rPr>
          <w:rFonts w:hint="cs"/>
          <w:rtl/>
          <w:lang w:bidi="ar-JO"/>
        </w:rPr>
        <w:t>عن</w:t>
      </w:r>
      <w:r w:rsidRPr="00D33657">
        <w:rPr>
          <w:rFonts w:hint="cs"/>
          <w:rtl/>
        </w:rPr>
        <w:t xml:space="preserve"> </w:t>
      </w:r>
      <w:r w:rsidRPr="00D33657">
        <w:rPr>
          <w:rFonts w:hint="cs"/>
          <w:rtl/>
          <w:lang w:bidi="ar-JO"/>
        </w:rPr>
        <w:t>طريق</w:t>
      </w:r>
      <w:r w:rsidRPr="00D33657">
        <w:rPr>
          <w:rFonts w:hint="cs"/>
          <w:rtl/>
        </w:rPr>
        <w:t xml:space="preserve"> </w:t>
      </w:r>
      <w:r w:rsidRPr="00D33657">
        <w:rPr>
          <w:rFonts w:hint="cs"/>
          <w:rtl/>
          <w:lang w:bidi="ar-JO"/>
        </w:rPr>
        <w:t>البريد</w:t>
      </w:r>
      <w:r w:rsidRPr="00D33657">
        <w:rPr>
          <w:rFonts w:hint="cs"/>
          <w:rtl/>
        </w:rPr>
        <w:t xml:space="preserve">. </w:t>
      </w:r>
      <w:r w:rsidRPr="00D33657">
        <w:rPr>
          <w:rFonts w:hint="cs"/>
          <w:rtl/>
          <w:lang w:bidi="ar-JO"/>
        </w:rPr>
        <w:t>حيث</w:t>
      </w:r>
      <w:r w:rsidRPr="00D33657">
        <w:rPr>
          <w:rFonts w:hint="cs"/>
          <w:rtl/>
        </w:rPr>
        <w:t xml:space="preserve"> </w:t>
      </w:r>
      <w:r w:rsidRPr="00D33657">
        <w:rPr>
          <w:rFonts w:hint="cs"/>
          <w:rtl/>
          <w:lang w:bidi="ar-JO"/>
        </w:rPr>
        <w:t>تشير</w:t>
      </w:r>
      <w:r w:rsidRPr="00D33657">
        <w:rPr>
          <w:rFonts w:hint="cs"/>
          <w:rtl/>
        </w:rPr>
        <w:t xml:space="preserve"> </w:t>
      </w:r>
      <w:r w:rsidRPr="00D33657">
        <w:rPr>
          <w:rFonts w:hint="cs"/>
          <w:rtl/>
          <w:lang w:bidi="ar-JO"/>
        </w:rPr>
        <w:t>نتائج</w:t>
      </w:r>
      <w:r w:rsidRPr="00D33657">
        <w:rPr>
          <w:rFonts w:hint="cs"/>
          <w:rtl/>
        </w:rPr>
        <w:t xml:space="preserve"> </w:t>
      </w:r>
      <w:r w:rsidRPr="00D33657">
        <w:rPr>
          <w:rFonts w:hint="cs"/>
          <w:rtl/>
          <w:lang w:bidi="ar-JO"/>
        </w:rPr>
        <w:t>عملية</w:t>
      </w:r>
      <w:r w:rsidRPr="00D33657">
        <w:rPr>
          <w:rFonts w:hint="cs"/>
          <w:rtl/>
        </w:rPr>
        <w:t xml:space="preserve"> </w:t>
      </w:r>
      <w:r w:rsidRPr="00D33657">
        <w:rPr>
          <w:rFonts w:hint="cs"/>
          <w:rtl/>
          <w:lang w:bidi="ar-JO"/>
        </w:rPr>
        <w:t>المراقبة</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أن</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تم</w:t>
      </w:r>
      <w:r w:rsidRPr="00D33657">
        <w:rPr>
          <w:rFonts w:hint="cs"/>
          <w:rtl/>
        </w:rPr>
        <w:t xml:space="preserve"> </w:t>
      </w:r>
      <w:r w:rsidRPr="00D33657">
        <w:rPr>
          <w:rFonts w:hint="cs"/>
          <w:rtl/>
          <w:lang w:bidi="ar-JO"/>
        </w:rPr>
        <w:t>فحصها</w:t>
      </w:r>
      <w:r w:rsidRPr="00D33657">
        <w:rPr>
          <w:rFonts w:hint="cs"/>
          <w:rtl/>
        </w:rPr>
        <w:t xml:space="preserve"> </w:t>
      </w:r>
      <w:r w:rsidRPr="00D33657">
        <w:rPr>
          <w:rFonts w:hint="cs"/>
          <w:rtl/>
          <w:lang w:bidi="ar-JO"/>
        </w:rPr>
        <w:t>تختلف</w:t>
      </w:r>
      <w:r w:rsidRPr="00D33657">
        <w:rPr>
          <w:rFonts w:hint="cs"/>
          <w:rtl/>
        </w:rPr>
        <w:t xml:space="preserve"> </w:t>
      </w:r>
      <w:r w:rsidRPr="00D33657">
        <w:rPr>
          <w:rFonts w:hint="cs"/>
          <w:rtl/>
          <w:lang w:bidi="ar-JO"/>
        </w:rPr>
        <w:t>بشكل</w:t>
      </w:r>
      <w:r w:rsidRPr="00D33657">
        <w:rPr>
          <w:rFonts w:hint="cs"/>
          <w:rtl/>
        </w:rPr>
        <w:t xml:space="preserve"> </w:t>
      </w:r>
      <w:r w:rsidRPr="00D33657">
        <w:rPr>
          <w:rFonts w:hint="cs"/>
          <w:rtl/>
          <w:lang w:bidi="ar-JO"/>
        </w:rPr>
        <w:t>ملحوظ</w:t>
      </w:r>
      <w:r w:rsidRPr="00D33657">
        <w:rPr>
          <w:rFonts w:hint="cs"/>
          <w:rtl/>
        </w:rPr>
        <w:t xml:space="preserve"> </w:t>
      </w:r>
      <w:r w:rsidRPr="00D33657">
        <w:rPr>
          <w:rFonts w:hint="cs"/>
          <w:rtl/>
          <w:lang w:bidi="ar-JO"/>
        </w:rPr>
        <w:t>عن</w:t>
      </w:r>
      <w:r w:rsidRPr="00D33657">
        <w:rPr>
          <w:rFonts w:hint="cs"/>
          <w:rtl/>
        </w:rPr>
        <w:t xml:space="preserve"> </w:t>
      </w:r>
      <w:r w:rsidRPr="00D33657">
        <w:rPr>
          <w:rFonts w:hint="cs"/>
          <w:rtl/>
          <w:lang w:bidi="ar-JO"/>
        </w:rPr>
        <w:t>بعضها</w:t>
      </w:r>
      <w:r w:rsidRPr="00D33657">
        <w:rPr>
          <w:rFonts w:hint="cs"/>
          <w:rtl/>
        </w:rPr>
        <w:t xml:space="preserve"> </w:t>
      </w:r>
      <w:r w:rsidRPr="00D33657">
        <w:rPr>
          <w:rFonts w:hint="cs"/>
          <w:rtl/>
          <w:lang w:bidi="ar-JO"/>
        </w:rPr>
        <w:t>البعض</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الخدمة</w:t>
      </w:r>
      <w:r w:rsidRPr="00D33657">
        <w:rPr>
          <w:rFonts w:hint="cs"/>
          <w:rtl/>
        </w:rPr>
        <w:t xml:space="preserve"> </w:t>
      </w:r>
      <w:r w:rsidRPr="00D33657">
        <w:rPr>
          <w:rFonts w:hint="cs"/>
          <w:rtl/>
          <w:lang w:bidi="ar-JO"/>
        </w:rPr>
        <w:t>المتاحة</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مواقعها</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شبكة</w:t>
      </w:r>
      <w:r w:rsidRPr="00D33657">
        <w:rPr>
          <w:rFonts w:hint="cs"/>
          <w:rtl/>
        </w:rPr>
        <w:t xml:space="preserve"> </w:t>
      </w:r>
      <w:r w:rsidRPr="00D33657">
        <w:rPr>
          <w:rFonts w:hint="cs"/>
          <w:rtl/>
          <w:lang w:bidi="ar-JO"/>
        </w:rPr>
        <w:t>الإنترنت،</w:t>
      </w:r>
      <w:r w:rsidRPr="00D33657">
        <w:rPr>
          <w:rFonts w:hint="cs"/>
          <w:rtl/>
        </w:rPr>
        <w:t xml:space="preserve"> </w:t>
      </w:r>
      <w:r w:rsidRPr="00D33657">
        <w:rPr>
          <w:rFonts w:hint="cs"/>
          <w:rtl/>
          <w:lang w:bidi="ar-JO"/>
        </w:rPr>
        <w:t>وأنه</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الرغم</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الإجراءات</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اتخذتها</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والتي</w:t>
      </w:r>
      <w:r w:rsidRPr="00D33657">
        <w:rPr>
          <w:rFonts w:hint="cs"/>
          <w:rtl/>
        </w:rPr>
        <w:t xml:space="preserve"> </w:t>
      </w:r>
      <w:r w:rsidRPr="00D33657">
        <w:rPr>
          <w:rFonts w:hint="cs"/>
          <w:rtl/>
          <w:lang w:bidi="ar-JO"/>
        </w:rPr>
        <w:t>تم</w:t>
      </w:r>
      <w:r w:rsidRPr="00D33657">
        <w:rPr>
          <w:rFonts w:hint="cs"/>
          <w:rtl/>
        </w:rPr>
        <w:t xml:space="preserve"> </w:t>
      </w:r>
      <w:r w:rsidRPr="00D33657">
        <w:rPr>
          <w:rFonts w:hint="cs"/>
          <w:rtl/>
          <w:lang w:bidi="ar-JO"/>
        </w:rPr>
        <w:t>فحصها</w:t>
      </w:r>
      <w:r w:rsidRPr="00D33657">
        <w:rPr>
          <w:rFonts w:hint="cs"/>
          <w:rtl/>
        </w:rPr>
        <w:t xml:space="preserve"> </w:t>
      </w:r>
      <w:r w:rsidRPr="00D33657">
        <w:rPr>
          <w:rFonts w:hint="cs"/>
          <w:rtl/>
          <w:lang w:bidi="ar-JO"/>
        </w:rPr>
        <w:t>لتشجيع</w:t>
      </w:r>
      <w:r w:rsidRPr="00D33657">
        <w:rPr>
          <w:rFonts w:hint="cs"/>
          <w:rtl/>
        </w:rPr>
        <w:t xml:space="preserve"> </w:t>
      </w:r>
      <w:r w:rsidRPr="00D33657">
        <w:rPr>
          <w:rFonts w:hint="cs"/>
          <w:rtl/>
          <w:lang w:bidi="ar-JO"/>
        </w:rPr>
        <w:t>الانتقال</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قسائم</w:t>
      </w:r>
      <w:r w:rsidRPr="00D33657">
        <w:rPr>
          <w:rFonts w:hint="cs"/>
          <w:rtl/>
        </w:rPr>
        <w:t xml:space="preserve"> </w:t>
      </w:r>
      <w:r w:rsidRPr="00D33657">
        <w:rPr>
          <w:rFonts w:hint="cs"/>
          <w:rtl/>
          <w:lang w:bidi="ar-JO"/>
        </w:rPr>
        <w:t>الدفع</w:t>
      </w:r>
      <w:r w:rsidRPr="00D33657">
        <w:rPr>
          <w:rFonts w:hint="cs"/>
          <w:rtl/>
        </w:rPr>
        <w:t xml:space="preserve"> </w:t>
      </w:r>
      <w:r w:rsidRPr="00D33657">
        <w:rPr>
          <w:rFonts w:hint="cs"/>
          <w:rtl/>
          <w:lang w:bidi="ar-JO"/>
        </w:rPr>
        <w:t>الموزعة</w:t>
      </w:r>
      <w:r w:rsidRPr="00D33657">
        <w:rPr>
          <w:rFonts w:hint="cs"/>
          <w:rtl/>
        </w:rPr>
        <w:t xml:space="preserve"> </w:t>
      </w:r>
      <w:r w:rsidRPr="00D33657">
        <w:rPr>
          <w:rFonts w:hint="cs"/>
          <w:rtl/>
          <w:lang w:bidi="ar-JO"/>
        </w:rPr>
        <w:t>بالبريد</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قسائم</w:t>
      </w:r>
      <w:r w:rsidRPr="00D33657">
        <w:rPr>
          <w:rFonts w:hint="cs"/>
          <w:rtl/>
        </w:rPr>
        <w:t xml:space="preserve"> </w:t>
      </w:r>
      <w:r w:rsidRPr="00D33657">
        <w:rPr>
          <w:rFonts w:hint="cs"/>
          <w:rtl/>
          <w:lang w:bidi="ar-JO"/>
        </w:rPr>
        <w:t>الدفع</w:t>
      </w:r>
      <w:r w:rsidRPr="00D33657">
        <w:rPr>
          <w:rFonts w:hint="cs"/>
          <w:rtl/>
        </w:rPr>
        <w:t xml:space="preserve"> </w:t>
      </w:r>
      <w:r w:rsidRPr="00D33657">
        <w:rPr>
          <w:rFonts w:hint="cs"/>
          <w:rtl/>
          <w:lang w:bidi="ar-JO"/>
        </w:rPr>
        <w:t>الرقمية،</w:t>
      </w:r>
      <w:r w:rsidRPr="00D33657">
        <w:rPr>
          <w:rFonts w:hint="cs"/>
          <w:rtl/>
        </w:rPr>
        <w:t xml:space="preserve"> </w:t>
      </w:r>
      <w:r w:rsidRPr="00D33657">
        <w:rPr>
          <w:rFonts w:hint="cs"/>
          <w:rtl/>
          <w:lang w:bidi="ar-JO"/>
        </w:rPr>
        <w:t>فإن</w:t>
      </w:r>
      <w:r w:rsidRPr="00D33657">
        <w:rPr>
          <w:rFonts w:hint="cs"/>
          <w:rtl/>
        </w:rPr>
        <w:t xml:space="preserve"> </w:t>
      </w:r>
      <w:r w:rsidRPr="00D33657">
        <w:rPr>
          <w:rFonts w:hint="cs"/>
          <w:rtl/>
          <w:lang w:bidi="ar-JO"/>
        </w:rPr>
        <w:t>معظم</w:t>
      </w:r>
      <w:r w:rsidRPr="00D33657">
        <w:rPr>
          <w:rFonts w:hint="cs"/>
          <w:rtl/>
        </w:rPr>
        <w:t xml:space="preserve"> </w:t>
      </w:r>
      <w:r w:rsidRPr="00D33657">
        <w:rPr>
          <w:rFonts w:hint="cs"/>
          <w:rtl/>
          <w:lang w:bidi="ar-JO"/>
        </w:rPr>
        <w:t>دافعي</w:t>
      </w:r>
      <w:r w:rsidRPr="00D33657">
        <w:rPr>
          <w:rFonts w:hint="cs"/>
          <w:rtl/>
        </w:rPr>
        <w:t xml:space="preserve"> </w:t>
      </w:r>
      <w:r w:rsidRPr="00D33657">
        <w:rPr>
          <w:rFonts w:hint="cs"/>
          <w:rtl/>
          <w:lang w:bidi="ar-JO"/>
        </w:rPr>
        <w:t>الضرائب</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سكان</w:t>
      </w:r>
      <w:r w:rsidRPr="00D33657">
        <w:rPr>
          <w:rFonts w:hint="cs"/>
          <w:rtl/>
        </w:rPr>
        <w:t xml:space="preserve"> </w:t>
      </w:r>
      <w:r w:rsidRPr="00D33657">
        <w:rPr>
          <w:rFonts w:hint="cs"/>
          <w:rtl/>
          <w:lang w:bidi="ar-JO"/>
        </w:rPr>
        <w:t>المناطق</w:t>
      </w:r>
      <w:r w:rsidRPr="00D33657">
        <w:rPr>
          <w:rFonts w:hint="cs"/>
          <w:rtl/>
        </w:rPr>
        <w:t xml:space="preserve"> </w:t>
      </w:r>
      <w:r w:rsidRPr="00D33657">
        <w:rPr>
          <w:rFonts w:hint="cs"/>
          <w:rtl/>
          <w:lang w:bidi="ar-JO"/>
        </w:rPr>
        <w:t>الواقعة</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مجال</w:t>
      </w:r>
      <w:r w:rsidRPr="00D33657">
        <w:rPr>
          <w:rFonts w:hint="cs"/>
          <w:rtl/>
        </w:rPr>
        <w:t xml:space="preserve"> </w:t>
      </w:r>
      <w:r w:rsidRPr="00D33657">
        <w:rPr>
          <w:rFonts w:hint="cs"/>
          <w:rtl/>
          <w:lang w:bidi="ar-JO"/>
        </w:rPr>
        <w:t>اختصاصها</w:t>
      </w:r>
      <w:r w:rsidRPr="00D33657">
        <w:rPr>
          <w:rFonts w:hint="cs"/>
          <w:rtl/>
        </w:rPr>
        <w:t xml:space="preserve"> </w:t>
      </w:r>
      <w:r w:rsidRPr="00D33657">
        <w:rPr>
          <w:rFonts w:hint="cs"/>
          <w:rtl/>
          <w:lang w:bidi="ar-JO"/>
        </w:rPr>
        <w:t>لا</w:t>
      </w:r>
      <w:r w:rsidRPr="00D33657">
        <w:rPr>
          <w:rFonts w:hint="cs"/>
          <w:rtl/>
        </w:rPr>
        <w:t xml:space="preserve"> </w:t>
      </w:r>
      <w:r w:rsidRPr="00D33657">
        <w:rPr>
          <w:rFonts w:hint="cs"/>
          <w:rtl/>
          <w:lang w:bidi="ar-JO"/>
        </w:rPr>
        <w:t>يزالون</w:t>
      </w:r>
      <w:r w:rsidRPr="00D33657">
        <w:rPr>
          <w:rFonts w:hint="cs"/>
          <w:rtl/>
        </w:rPr>
        <w:t xml:space="preserve"> </w:t>
      </w:r>
      <w:r w:rsidRPr="00D33657">
        <w:rPr>
          <w:rFonts w:hint="cs"/>
          <w:rtl/>
          <w:lang w:bidi="ar-JO"/>
        </w:rPr>
        <w:t>يتلقون</w:t>
      </w:r>
      <w:r w:rsidRPr="00D33657">
        <w:rPr>
          <w:rFonts w:hint="cs"/>
          <w:rtl/>
        </w:rPr>
        <w:t xml:space="preserve"> </w:t>
      </w:r>
      <w:r w:rsidRPr="00D33657">
        <w:rPr>
          <w:rFonts w:hint="cs"/>
          <w:rtl/>
          <w:lang w:bidi="ar-JO"/>
        </w:rPr>
        <w:t>بلاغات</w:t>
      </w:r>
      <w:r w:rsidRPr="00D33657">
        <w:rPr>
          <w:rFonts w:hint="cs"/>
          <w:rtl/>
        </w:rPr>
        <w:t xml:space="preserve"> </w:t>
      </w:r>
      <w:r w:rsidRPr="00D33657">
        <w:rPr>
          <w:rFonts w:hint="cs"/>
          <w:rtl/>
          <w:lang w:bidi="ar-JO"/>
        </w:rPr>
        <w:t>دفع</w:t>
      </w:r>
      <w:r w:rsidRPr="00D33657">
        <w:rPr>
          <w:rFonts w:hint="cs"/>
          <w:rtl/>
        </w:rPr>
        <w:t xml:space="preserve"> </w:t>
      </w:r>
      <w:r w:rsidRPr="00D33657">
        <w:rPr>
          <w:rFonts w:hint="cs"/>
          <w:rtl/>
          <w:lang w:bidi="ar-JO"/>
        </w:rPr>
        <w:t>ضريبة</w:t>
      </w:r>
      <w:r w:rsidRPr="00D33657">
        <w:rPr>
          <w:rFonts w:hint="cs"/>
          <w:rtl/>
        </w:rPr>
        <w:t xml:space="preserve"> </w:t>
      </w:r>
      <w:r w:rsidRPr="00D33657">
        <w:rPr>
          <w:rFonts w:hint="cs"/>
          <w:rtl/>
          <w:lang w:bidi="ar-JO"/>
        </w:rPr>
        <w:t>البلدية</w:t>
      </w:r>
      <w:r w:rsidRPr="00D33657">
        <w:rPr>
          <w:rFonts w:hint="cs"/>
          <w:rtl/>
        </w:rPr>
        <w:t xml:space="preserve"> </w:t>
      </w:r>
      <w:r w:rsidRPr="00D33657">
        <w:rPr>
          <w:rFonts w:hint="cs"/>
          <w:rtl/>
          <w:lang w:bidi="ar-JO"/>
        </w:rPr>
        <w:t>عن</w:t>
      </w:r>
      <w:r w:rsidRPr="00D33657">
        <w:rPr>
          <w:rFonts w:hint="cs"/>
          <w:rtl/>
        </w:rPr>
        <w:t xml:space="preserve"> </w:t>
      </w:r>
      <w:r w:rsidRPr="00D33657">
        <w:rPr>
          <w:rFonts w:hint="cs"/>
          <w:rtl/>
          <w:lang w:bidi="ar-JO"/>
        </w:rPr>
        <w:t>طريق</w:t>
      </w:r>
      <w:r w:rsidRPr="00D33657">
        <w:rPr>
          <w:rFonts w:hint="cs"/>
          <w:rtl/>
        </w:rPr>
        <w:t xml:space="preserve"> </w:t>
      </w:r>
      <w:r w:rsidRPr="00D33657">
        <w:rPr>
          <w:rFonts w:hint="cs"/>
          <w:rtl/>
          <w:lang w:bidi="ar-JO"/>
        </w:rPr>
        <w:t>البريد</w:t>
      </w:r>
      <w:r w:rsidRPr="00D33657">
        <w:rPr>
          <w:rFonts w:hint="cs"/>
          <w:rtl/>
        </w:rPr>
        <w:t>.</w:t>
      </w:r>
    </w:p>
    <w:p w:rsidR="00696D27" w:rsidP="00696D27" w14:paraId="1E53CFD5" w14:textId="41507B36">
      <w:pPr>
        <w:pStyle w:val="7190"/>
        <w:ind w:left="397"/>
        <w:rPr>
          <w:rtl/>
        </w:rPr>
      </w:pPr>
      <w:r w:rsidRPr="00D33657">
        <w:rPr>
          <w:rtl/>
          <w:lang w:bidi="ar-JO"/>
        </w:rPr>
        <w:t>شيخوخة</w:t>
      </w:r>
      <w:r w:rsidRPr="00D33657">
        <w:rPr>
          <w:rtl/>
        </w:rPr>
        <w:t xml:space="preserve"> </w:t>
      </w:r>
      <w:r w:rsidRPr="00D33657">
        <w:rPr>
          <w:rtl/>
          <w:lang w:bidi="ar-JO"/>
        </w:rPr>
        <w:t>السكان</w:t>
      </w:r>
      <w:r w:rsidRPr="00D33657">
        <w:rPr>
          <w:rtl/>
        </w:rPr>
        <w:t xml:space="preserve"> </w:t>
      </w:r>
      <w:r w:rsidRPr="00D33657">
        <w:rPr>
          <w:rtl/>
          <w:lang w:bidi="ar-JO"/>
        </w:rPr>
        <w:t>هي</w:t>
      </w:r>
      <w:r w:rsidRPr="00D33657">
        <w:rPr>
          <w:rtl/>
        </w:rPr>
        <w:t xml:space="preserve"> </w:t>
      </w:r>
      <w:r w:rsidRPr="00D33657">
        <w:rPr>
          <w:rtl/>
          <w:lang w:bidi="ar-JO"/>
        </w:rPr>
        <w:t>ظاهرة</w:t>
      </w:r>
      <w:r w:rsidRPr="00D33657">
        <w:rPr>
          <w:rtl/>
        </w:rPr>
        <w:t xml:space="preserve"> </w:t>
      </w:r>
      <w:r w:rsidRPr="00D33657">
        <w:rPr>
          <w:rtl/>
          <w:lang w:bidi="ar-JO"/>
        </w:rPr>
        <w:t>عالمية</w:t>
      </w:r>
      <w:r w:rsidRPr="00D33657">
        <w:rPr>
          <w:rtl/>
        </w:rPr>
        <w:t xml:space="preserve"> </w:t>
      </w:r>
      <w:r w:rsidRPr="00D33657">
        <w:rPr>
          <w:rtl/>
          <w:lang w:bidi="ar-JO"/>
        </w:rPr>
        <w:t>تطرح</w:t>
      </w:r>
      <w:r w:rsidRPr="00D33657">
        <w:rPr>
          <w:rtl/>
        </w:rPr>
        <w:t xml:space="preserve"> </w:t>
      </w:r>
      <w:r w:rsidRPr="00D33657">
        <w:rPr>
          <w:rtl/>
          <w:lang w:bidi="ar-JO"/>
        </w:rPr>
        <w:t>تحديات</w:t>
      </w:r>
      <w:r w:rsidRPr="00D33657">
        <w:rPr>
          <w:rtl/>
        </w:rPr>
        <w:t xml:space="preserve"> </w:t>
      </w:r>
      <w:r w:rsidRPr="00D33657">
        <w:rPr>
          <w:rtl/>
          <w:lang w:bidi="ar-JO"/>
        </w:rPr>
        <w:t>جديدة</w:t>
      </w:r>
      <w:r w:rsidRPr="00D33657">
        <w:rPr>
          <w:rtl/>
        </w:rPr>
        <w:t xml:space="preserve"> </w:t>
      </w:r>
      <w:r w:rsidRPr="00D33657">
        <w:rPr>
          <w:rtl/>
          <w:lang w:bidi="ar-JO"/>
        </w:rPr>
        <w:t>على</w:t>
      </w:r>
      <w:r w:rsidRPr="00D33657">
        <w:rPr>
          <w:rtl/>
        </w:rPr>
        <w:t xml:space="preserve"> </w:t>
      </w:r>
      <w:r w:rsidRPr="00D33657">
        <w:rPr>
          <w:rtl/>
          <w:lang w:bidi="ar-JO"/>
        </w:rPr>
        <w:t>الجهات</w:t>
      </w:r>
      <w:r w:rsidRPr="00D33657">
        <w:rPr>
          <w:rtl/>
        </w:rPr>
        <w:t xml:space="preserve"> </w:t>
      </w:r>
      <w:r w:rsidRPr="00D33657">
        <w:rPr>
          <w:rtl/>
          <w:lang w:bidi="ar-JO"/>
        </w:rPr>
        <w:t>المهنية</w:t>
      </w:r>
      <w:r w:rsidRPr="00D33657">
        <w:rPr>
          <w:rtl/>
        </w:rPr>
        <w:t xml:space="preserve"> </w:t>
      </w:r>
      <w:r w:rsidRPr="00D33657">
        <w:rPr>
          <w:rtl/>
          <w:lang w:bidi="ar-JO"/>
        </w:rPr>
        <w:t>في</w:t>
      </w:r>
      <w:r w:rsidRPr="00D33657">
        <w:rPr>
          <w:rtl/>
        </w:rPr>
        <w:t xml:space="preserve"> </w:t>
      </w:r>
      <w:r w:rsidRPr="00D33657">
        <w:rPr>
          <w:rtl/>
          <w:lang w:bidi="ar-JO"/>
        </w:rPr>
        <w:t>مجالات</w:t>
      </w:r>
      <w:r w:rsidRPr="00D33657">
        <w:rPr>
          <w:rtl/>
        </w:rPr>
        <w:t xml:space="preserve"> </w:t>
      </w:r>
      <w:r w:rsidRPr="00D33657">
        <w:rPr>
          <w:rtl/>
          <w:lang w:bidi="ar-JO"/>
        </w:rPr>
        <w:t>الاجتماع،</w:t>
      </w:r>
      <w:r w:rsidRPr="00D33657">
        <w:rPr>
          <w:rtl/>
        </w:rPr>
        <w:t xml:space="preserve"> </w:t>
      </w:r>
      <w:r w:rsidRPr="00D33657">
        <w:rPr>
          <w:rtl/>
          <w:lang w:bidi="ar-JO"/>
        </w:rPr>
        <w:t>والرفاه</w:t>
      </w:r>
      <w:r w:rsidRPr="00D33657">
        <w:rPr>
          <w:rtl/>
        </w:rPr>
        <w:t xml:space="preserve"> </w:t>
      </w:r>
      <w:r w:rsidRPr="00D33657">
        <w:rPr>
          <w:rtl/>
          <w:lang w:bidi="ar-JO"/>
        </w:rPr>
        <w:t>والطب</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w:t>
      </w:r>
      <w:r w:rsidRPr="00D33657">
        <w:rPr>
          <w:rtl/>
          <w:lang w:bidi="ar-JO"/>
        </w:rPr>
        <w:t>أيضًا</w:t>
      </w:r>
      <w:r w:rsidRPr="00D33657">
        <w:rPr>
          <w:rtl/>
        </w:rPr>
        <w:t xml:space="preserve"> </w:t>
      </w:r>
      <w:r w:rsidRPr="00D33657">
        <w:rPr>
          <w:rFonts w:hint="cs"/>
          <w:rtl/>
          <w:lang w:bidi="ar-JO"/>
        </w:rPr>
        <w:t xml:space="preserve">هناك </w:t>
      </w:r>
      <w:r w:rsidRPr="00D33657">
        <w:rPr>
          <w:rtl/>
          <w:lang w:bidi="ar-JO"/>
        </w:rPr>
        <w:t>زيادة</w:t>
      </w:r>
      <w:r w:rsidRPr="00D33657">
        <w:rPr>
          <w:rtl/>
        </w:rPr>
        <w:t xml:space="preserve"> </w:t>
      </w:r>
      <w:r w:rsidRPr="00D33657">
        <w:rPr>
          <w:rFonts w:hint="cs"/>
          <w:rtl/>
          <w:lang w:bidi="ar-JO"/>
        </w:rPr>
        <w:t xml:space="preserve">في </w:t>
      </w:r>
      <w:r w:rsidRPr="00D33657">
        <w:rPr>
          <w:rtl/>
          <w:lang w:bidi="ar-JO"/>
        </w:rPr>
        <w:t>متوسط</w:t>
      </w:r>
      <w:r w:rsidRPr="00D33657">
        <w:rPr>
          <w:rtl/>
        </w:rPr>
        <w:t xml:space="preserve"> </w:t>
      </w:r>
      <w:r w:rsidRPr="00D33657">
        <w:rPr>
          <w:rtl/>
          <w:lang w:bidi="ar-JO"/>
        </w:rPr>
        <w:t>العمر</w:t>
      </w:r>
      <w:r w:rsidRPr="00D33657">
        <w:rPr>
          <w:rtl/>
        </w:rPr>
        <w:t xml:space="preserve"> </w:t>
      </w:r>
      <w:r w:rsidRPr="00D33657">
        <w:rPr>
          <w:rtl/>
          <w:lang w:bidi="ar-JO"/>
        </w:rPr>
        <w:t>المتوقع،</w:t>
      </w:r>
      <w:r w:rsidRPr="00D33657">
        <w:rPr>
          <w:rtl/>
        </w:rPr>
        <w:t xml:space="preserve"> </w:t>
      </w:r>
      <w:r w:rsidRPr="00D33657">
        <w:rPr>
          <w:rFonts w:hint="cs"/>
          <w:rtl/>
          <w:lang w:bidi="ar-JO"/>
        </w:rPr>
        <w:t>و</w:t>
      </w:r>
      <w:r w:rsidRPr="00D33657">
        <w:rPr>
          <w:rtl/>
          <w:lang w:bidi="ar-JO"/>
        </w:rPr>
        <w:t>تلعب</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دورًا</w:t>
      </w:r>
      <w:r w:rsidRPr="00D33657">
        <w:rPr>
          <w:rtl/>
        </w:rPr>
        <w:t xml:space="preserve"> </w:t>
      </w:r>
      <w:r w:rsidRPr="00D33657">
        <w:rPr>
          <w:rtl/>
          <w:lang w:bidi="ar-JO"/>
        </w:rPr>
        <w:t>مركزيًا</w:t>
      </w:r>
      <w:r w:rsidRPr="00D33657">
        <w:rPr>
          <w:rtl/>
        </w:rPr>
        <w:t xml:space="preserve"> </w:t>
      </w:r>
      <w:r w:rsidRPr="00D33657">
        <w:rPr>
          <w:rtl/>
          <w:lang w:bidi="ar-JO"/>
        </w:rPr>
        <w:t>في</w:t>
      </w:r>
      <w:r w:rsidRPr="00D33657">
        <w:rPr>
          <w:rtl/>
        </w:rPr>
        <w:t xml:space="preserve"> </w:t>
      </w:r>
      <w:r w:rsidRPr="00D33657">
        <w:rPr>
          <w:rtl/>
          <w:lang w:bidi="ar-JO"/>
        </w:rPr>
        <w:t>تقديم</w:t>
      </w:r>
      <w:r w:rsidRPr="00D33657">
        <w:rPr>
          <w:rtl/>
        </w:rPr>
        <w:t xml:space="preserve"> </w:t>
      </w:r>
      <w:r w:rsidRPr="00D33657">
        <w:rPr>
          <w:rtl/>
          <w:lang w:bidi="ar-JO"/>
        </w:rPr>
        <w:t>الخدمات</w:t>
      </w:r>
      <w:r w:rsidRPr="00D33657">
        <w:rPr>
          <w:rtl/>
        </w:rPr>
        <w:t xml:space="preserve"> </w:t>
      </w:r>
      <w:r w:rsidRPr="00D33657">
        <w:rPr>
          <w:rtl/>
          <w:lang w:bidi="ar-JO"/>
        </w:rPr>
        <w:t>لفئة</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وفي</w:t>
      </w:r>
      <w:r w:rsidRPr="00D33657">
        <w:rPr>
          <w:rtl/>
        </w:rPr>
        <w:t xml:space="preserve"> </w:t>
      </w:r>
      <w:r w:rsidRPr="00D33657">
        <w:rPr>
          <w:rtl/>
          <w:lang w:bidi="ar-JO"/>
        </w:rPr>
        <w:t>تطوير</w:t>
      </w:r>
      <w:r w:rsidRPr="00D33657">
        <w:rPr>
          <w:rtl/>
        </w:rPr>
        <w:t xml:space="preserve"> </w:t>
      </w:r>
      <w:r w:rsidRPr="00D33657">
        <w:rPr>
          <w:rtl/>
          <w:lang w:bidi="ar-JO"/>
        </w:rPr>
        <w:t>حلول</w:t>
      </w:r>
      <w:r w:rsidRPr="00D33657">
        <w:rPr>
          <w:rtl/>
        </w:rPr>
        <w:t xml:space="preserve"> </w:t>
      </w:r>
      <w:r w:rsidRPr="00D33657">
        <w:rPr>
          <w:rtl/>
          <w:lang w:bidi="ar-JO"/>
        </w:rPr>
        <w:t>تناسب</w:t>
      </w:r>
      <w:r w:rsidRPr="00D33657">
        <w:rPr>
          <w:rtl/>
        </w:rPr>
        <w:t xml:space="preserve"> </w:t>
      </w:r>
      <w:r w:rsidRPr="00D33657">
        <w:rPr>
          <w:rtl/>
          <w:lang w:bidi="ar-JO"/>
        </w:rPr>
        <w:t>احتياجاتها</w:t>
      </w:r>
      <w:r w:rsidRPr="00D33657">
        <w:rPr>
          <w:rtl/>
        </w:rPr>
        <w:t xml:space="preserve"> </w:t>
      </w:r>
      <w:r w:rsidRPr="00D33657">
        <w:rPr>
          <w:rtl/>
          <w:lang w:bidi="ar-JO"/>
        </w:rPr>
        <w:t>الفريدة</w:t>
      </w:r>
      <w:r w:rsidRPr="00D33657">
        <w:rPr>
          <w:rtl/>
        </w:rPr>
        <w:t xml:space="preserve">. </w:t>
      </w:r>
      <w:r w:rsidRPr="00D33657">
        <w:rPr>
          <w:rtl/>
          <w:lang w:bidi="ar-JO"/>
        </w:rPr>
        <w:t>ويتضمن</w:t>
      </w:r>
      <w:r w:rsidRPr="00D33657">
        <w:rPr>
          <w:rtl/>
        </w:rPr>
        <w:t xml:space="preserve"> </w:t>
      </w:r>
      <w:r w:rsidRPr="00D33657">
        <w:rPr>
          <w:rtl/>
          <w:lang w:bidi="ar-JO"/>
        </w:rPr>
        <w:t>هذا</w:t>
      </w:r>
      <w:r w:rsidRPr="00D33657">
        <w:rPr>
          <w:rtl/>
        </w:rPr>
        <w:t xml:space="preserve"> </w:t>
      </w:r>
      <w:r w:rsidRPr="00D33657">
        <w:rPr>
          <w:rtl/>
          <w:lang w:bidi="ar-JO"/>
        </w:rPr>
        <w:t>التقرير</w:t>
      </w:r>
      <w:r w:rsidRPr="00D33657">
        <w:rPr>
          <w:rtl/>
        </w:rPr>
        <w:t xml:space="preserve"> </w:t>
      </w:r>
      <w:r w:rsidRPr="00D33657">
        <w:rPr>
          <w:rtl/>
          <w:lang w:bidi="ar-JO"/>
        </w:rPr>
        <w:t>فصلاً</w:t>
      </w:r>
      <w:r w:rsidRPr="00D33657">
        <w:rPr>
          <w:rtl/>
        </w:rPr>
        <w:t xml:space="preserve"> </w:t>
      </w:r>
      <w:r w:rsidRPr="00D33657">
        <w:rPr>
          <w:rtl/>
          <w:lang w:bidi="ar-JO"/>
        </w:rPr>
        <w:t>حول</w:t>
      </w:r>
      <w:r>
        <w:rPr>
          <w:rtl/>
          <w:lang w:val="ar"/>
        </w:rPr>
        <w:t xml:space="preserve"> </w:t>
      </w:r>
      <w:r w:rsidRPr="00D33657">
        <w:rPr>
          <w:bCs/>
          <w:rtl/>
          <w:lang w:val="ar" w:bidi="ar-JO"/>
        </w:rPr>
        <w:t>معاملة</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bCs/>
          <w:rtl/>
          <w:lang w:val="ar"/>
        </w:rPr>
        <w:t xml:space="preserve"> </w:t>
      </w:r>
      <w:r w:rsidRPr="00D33657">
        <w:rPr>
          <w:bCs/>
          <w:rtl/>
          <w:lang w:val="ar" w:bidi="ar-JO"/>
        </w:rPr>
        <w:t>للمواطنين</w:t>
      </w:r>
      <w:r w:rsidRPr="00D33657">
        <w:rPr>
          <w:bCs/>
          <w:rtl/>
          <w:lang w:val="ar"/>
        </w:rPr>
        <w:t xml:space="preserve"> </w:t>
      </w:r>
      <w:r w:rsidRPr="00D33657">
        <w:rPr>
          <w:bCs/>
          <w:rtl/>
          <w:lang w:val="ar" w:bidi="ar-JO"/>
        </w:rPr>
        <w:t>المخضرمين</w:t>
      </w:r>
      <w:r w:rsidRPr="00D33657">
        <w:rPr>
          <w:bCs/>
          <w:rtl/>
          <w:lang w:val="ar"/>
        </w:rPr>
        <w:t xml:space="preserve"> </w:t>
      </w:r>
      <w:r w:rsidRPr="00D33657">
        <w:rPr>
          <w:bCs/>
          <w:rtl/>
          <w:lang w:val="ar" w:bidi="ar-JO"/>
        </w:rPr>
        <w:t>الذين</w:t>
      </w:r>
      <w:r w:rsidRPr="00D33657">
        <w:rPr>
          <w:bCs/>
          <w:rtl/>
          <w:lang w:val="ar"/>
        </w:rPr>
        <w:t xml:space="preserve"> </w:t>
      </w:r>
      <w:r w:rsidRPr="00D33657">
        <w:rPr>
          <w:bCs/>
          <w:rtl/>
          <w:lang w:val="ar" w:bidi="ar-JO"/>
        </w:rPr>
        <w:t>يسكنون</w:t>
      </w:r>
      <w:r w:rsidRPr="00D33657">
        <w:rPr>
          <w:bCs/>
          <w:rtl/>
          <w:lang w:val="ar"/>
        </w:rPr>
        <w:t xml:space="preserve"> </w:t>
      </w:r>
      <w:r w:rsidRPr="00D33657">
        <w:rPr>
          <w:bCs/>
          <w:rtl/>
          <w:lang w:val="ar" w:bidi="ar-JO"/>
        </w:rPr>
        <w:t>في</w:t>
      </w:r>
      <w:r w:rsidRPr="00D33657">
        <w:rPr>
          <w:bCs/>
          <w:rtl/>
          <w:lang w:val="ar"/>
        </w:rPr>
        <w:t xml:space="preserve"> </w:t>
      </w:r>
      <w:r w:rsidRPr="00D33657">
        <w:rPr>
          <w:bCs/>
          <w:rtl/>
          <w:lang w:val="ar" w:bidi="ar-JO"/>
        </w:rPr>
        <w:t>المناطق</w:t>
      </w:r>
      <w:r w:rsidRPr="00D33657">
        <w:rPr>
          <w:bCs/>
          <w:rtl/>
          <w:lang w:val="ar"/>
        </w:rPr>
        <w:t xml:space="preserve"> </w:t>
      </w:r>
      <w:r w:rsidRPr="00D33657">
        <w:rPr>
          <w:bCs/>
          <w:rtl/>
          <w:lang w:val="ar" w:bidi="ar-JO"/>
        </w:rPr>
        <w:t>الواقعة</w:t>
      </w:r>
      <w:r w:rsidRPr="00D33657">
        <w:rPr>
          <w:bCs/>
          <w:rtl/>
          <w:lang w:val="ar"/>
        </w:rPr>
        <w:t xml:space="preserve"> </w:t>
      </w:r>
      <w:r w:rsidRPr="00D33657">
        <w:rPr>
          <w:bCs/>
          <w:rtl/>
          <w:lang w:val="ar" w:bidi="ar-JO"/>
        </w:rPr>
        <w:t>ضمن</w:t>
      </w:r>
      <w:r w:rsidRPr="00D33657">
        <w:rPr>
          <w:bCs/>
          <w:rtl/>
          <w:lang w:val="ar"/>
        </w:rPr>
        <w:t xml:space="preserve"> </w:t>
      </w:r>
      <w:r w:rsidRPr="00D33657">
        <w:rPr>
          <w:rFonts w:hint="cs"/>
          <w:bCs/>
          <w:rtl/>
          <w:lang w:val="ar" w:bidi="ar-JO"/>
        </w:rPr>
        <w:t>نطاقها</w:t>
      </w:r>
      <w:r w:rsidRPr="00D33657">
        <w:rPr>
          <w:bCs/>
          <w:rtl/>
          <w:lang w:val="ar"/>
        </w:rPr>
        <w:t>.</w:t>
      </w:r>
      <w:r>
        <w:rPr>
          <w:rtl/>
          <w:lang w:val="ar"/>
        </w:rPr>
        <w:t xml:space="preserve"> </w:t>
      </w:r>
      <w:r w:rsidRPr="00D33657">
        <w:rPr>
          <w:rtl/>
          <w:lang w:bidi="ar-JO"/>
        </w:rPr>
        <w:t>يسكن</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1.16 </w:t>
      </w:r>
      <w:r w:rsidRPr="00D33657">
        <w:rPr>
          <w:rtl/>
          <w:lang w:bidi="ar-JO"/>
        </w:rPr>
        <w:t>مليون</w:t>
      </w:r>
      <w:r w:rsidRPr="00D33657">
        <w:rPr>
          <w:rtl/>
        </w:rPr>
        <w:t xml:space="preserve"> </w:t>
      </w:r>
      <w:r w:rsidRPr="00D33657">
        <w:rPr>
          <w:rtl/>
          <w:lang w:bidi="ar-JO"/>
        </w:rPr>
        <w:t>شخص</w:t>
      </w:r>
      <w:r w:rsidRPr="00D33657">
        <w:rPr>
          <w:rtl/>
        </w:rPr>
        <w:t xml:space="preserve"> </w:t>
      </w:r>
      <w:r w:rsidRPr="00D33657">
        <w:rPr>
          <w:rtl/>
          <w:lang w:bidi="ar-JO"/>
        </w:rPr>
        <w:t>من</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و</w:t>
      </w:r>
      <w:r w:rsidRPr="00D33657">
        <w:rPr>
          <w:rFonts w:hint="cs"/>
          <w:rtl/>
          <w:lang w:bidi="ar-JO"/>
        </w:rPr>
        <w:t>نسبتهم</w:t>
      </w:r>
      <w:r w:rsidRPr="00D33657">
        <w:rPr>
          <w:rtl/>
        </w:rPr>
        <w:t xml:space="preserve"> </w:t>
      </w:r>
      <w:r w:rsidRPr="00D33657">
        <w:rPr>
          <w:rtl/>
          <w:lang w:bidi="ar-JO"/>
        </w:rPr>
        <w:t>من</w:t>
      </w:r>
      <w:r w:rsidRPr="00D33657">
        <w:rPr>
          <w:rtl/>
        </w:rPr>
        <w:t xml:space="preserve"> </w:t>
      </w:r>
      <w:r w:rsidRPr="00D33657">
        <w:rPr>
          <w:rtl/>
          <w:lang w:bidi="ar-JO"/>
        </w:rPr>
        <w:t>عامة</w:t>
      </w:r>
      <w:r w:rsidRPr="00D33657">
        <w:rPr>
          <w:rtl/>
        </w:rPr>
        <w:t xml:space="preserve"> </w:t>
      </w:r>
      <w:r w:rsidRPr="00D33657">
        <w:rPr>
          <w:rtl/>
          <w:lang w:bidi="ar-JO"/>
        </w:rPr>
        <w:t>السكان</w:t>
      </w:r>
      <w:r w:rsidRPr="00D33657">
        <w:rPr>
          <w:rtl/>
        </w:rPr>
        <w:t xml:space="preserve"> </w:t>
      </w:r>
      <w:r w:rsidRPr="00D33657">
        <w:rPr>
          <w:rtl/>
          <w:lang w:bidi="ar-JO"/>
        </w:rPr>
        <w:t>هي</w:t>
      </w:r>
      <w:r w:rsidRPr="00D33657">
        <w:rPr>
          <w:rtl/>
        </w:rPr>
        <w:t xml:space="preserve"> 12%. </w:t>
      </w:r>
      <w:r w:rsidRPr="00D33657">
        <w:rPr>
          <w:rtl/>
          <w:lang w:bidi="ar-JO"/>
        </w:rPr>
        <w:t>تمت</w:t>
      </w:r>
      <w:r w:rsidRPr="00D33657">
        <w:rPr>
          <w:rtl/>
        </w:rPr>
        <w:t xml:space="preserve"> </w:t>
      </w:r>
      <w:r w:rsidRPr="00D33657">
        <w:rPr>
          <w:rtl/>
          <w:lang w:bidi="ar-JO"/>
        </w:rPr>
        <w:t>الإشارة</w:t>
      </w:r>
      <w:r w:rsidRPr="00D33657">
        <w:rPr>
          <w:rtl/>
        </w:rPr>
        <w:t xml:space="preserve"> </w:t>
      </w:r>
      <w:r w:rsidRPr="00D33657">
        <w:rPr>
          <w:rtl/>
          <w:lang w:bidi="ar-JO"/>
        </w:rPr>
        <w:t>إلى</w:t>
      </w:r>
      <w:r w:rsidRPr="00D33657">
        <w:rPr>
          <w:rtl/>
        </w:rPr>
        <w:t xml:space="preserve"> </w:t>
      </w:r>
      <w:r w:rsidRPr="00D33657">
        <w:rPr>
          <w:rtl/>
          <w:lang w:bidi="ar-JO"/>
        </w:rPr>
        <w:t>أن</w:t>
      </w:r>
      <w:r w:rsidRPr="00D33657">
        <w:rPr>
          <w:rtl/>
        </w:rPr>
        <w:t xml:space="preserve"> </w:t>
      </w:r>
      <w:r w:rsidRPr="00D33657">
        <w:rPr>
          <w:rtl/>
          <w:lang w:bidi="ar-JO"/>
        </w:rPr>
        <w:t>قدر</w:t>
      </w:r>
      <w:r w:rsidRPr="00D33657">
        <w:rPr>
          <w:rtl/>
        </w:rPr>
        <w:t xml:space="preserve"> </w:t>
      </w:r>
      <w:r w:rsidRPr="00D33657">
        <w:rPr>
          <w:rtl/>
          <w:lang w:bidi="ar-JO"/>
        </w:rPr>
        <w:t>الميزانية</w:t>
      </w:r>
      <w:r w:rsidRPr="00D33657">
        <w:rPr>
          <w:rtl/>
        </w:rPr>
        <w:t xml:space="preserve"> </w:t>
      </w:r>
      <w:r w:rsidRPr="00D33657">
        <w:rPr>
          <w:rtl/>
          <w:lang w:bidi="ar-JO"/>
        </w:rPr>
        <w:t>السنوية</w:t>
      </w:r>
      <w:r w:rsidRPr="00D33657">
        <w:rPr>
          <w:rtl/>
        </w:rPr>
        <w:t xml:space="preserve"> </w:t>
      </w:r>
      <w:r w:rsidRPr="00D33657">
        <w:rPr>
          <w:rtl/>
          <w:lang w:bidi="ar-JO"/>
        </w:rPr>
        <w:t>لمواطن</w:t>
      </w:r>
      <w:r w:rsidRPr="00D33657">
        <w:rPr>
          <w:rtl/>
        </w:rPr>
        <w:t xml:space="preserve"> </w:t>
      </w:r>
      <w:r w:rsidRPr="00D33657">
        <w:rPr>
          <w:rtl/>
          <w:lang w:bidi="ar-JO"/>
        </w:rPr>
        <w:t>مخضرم</w:t>
      </w:r>
      <w:r w:rsidRPr="00D33657">
        <w:rPr>
          <w:rtl/>
        </w:rPr>
        <w:t xml:space="preserve"> </w:t>
      </w:r>
      <w:r w:rsidRPr="00D33657">
        <w:rPr>
          <w:rtl/>
          <w:lang w:bidi="ar-JO"/>
        </w:rPr>
        <w:t>التي</w:t>
      </w:r>
      <w:r w:rsidRPr="00D33657">
        <w:rPr>
          <w:rtl/>
        </w:rPr>
        <w:t xml:space="preserve"> </w:t>
      </w:r>
      <w:r w:rsidRPr="00D33657">
        <w:rPr>
          <w:rtl/>
          <w:lang w:bidi="ar-JO"/>
        </w:rPr>
        <w:t>رصدتها</w:t>
      </w:r>
      <w:r w:rsidRPr="00D33657">
        <w:rPr>
          <w:rtl/>
        </w:rPr>
        <w:t xml:space="preserve"> </w:t>
      </w:r>
      <w:r w:rsidRPr="00D33657">
        <w:rPr>
          <w:rtl/>
          <w:lang w:bidi="ar-JO"/>
        </w:rPr>
        <w:t>وزارة</w:t>
      </w:r>
      <w:r w:rsidRPr="00D33657">
        <w:rPr>
          <w:rtl/>
        </w:rPr>
        <w:t xml:space="preserve"> </w:t>
      </w:r>
      <w:r w:rsidRPr="00D33657">
        <w:rPr>
          <w:rtl/>
          <w:lang w:bidi="ar-JO"/>
        </w:rPr>
        <w:t>الرفاه</w:t>
      </w:r>
      <w:r w:rsidRPr="00D33657">
        <w:rPr>
          <w:rtl/>
        </w:rPr>
        <w:t xml:space="preserve"> </w:t>
      </w:r>
      <w:r w:rsidRPr="00D33657">
        <w:rPr>
          <w:rtl/>
          <w:lang w:bidi="ar-JO"/>
        </w:rPr>
        <w:t>في</w:t>
      </w:r>
      <w:r w:rsidRPr="00D33657">
        <w:rPr>
          <w:rtl/>
        </w:rPr>
        <w:t xml:space="preserve"> </w:t>
      </w:r>
      <w:r w:rsidRPr="00D33657">
        <w:rPr>
          <w:rtl/>
          <w:lang w:bidi="ar-JO"/>
        </w:rPr>
        <w:t>عام</w:t>
      </w:r>
      <w:r w:rsidRPr="00D33657">
        <w:rPr>
          <w:rtl/>
        </w:rPr>
        <w:t xml:space="preserve"> 2021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فحصها</w:t>
      </w:r>
      <w:r w:rsidRPr="00D33657">
        <w:rPr>
          <w:rtl/>
        </w:rPr>
        <w:t xml:space="preserve"> </w:t>
      </w:r>
      <w:r w:rsidRPr="00D33657">
        <w:rPr>
          <w:rtl/>
          <w:lang w:bidi="ar-JO"/>
        </w:rPr>
        <w:t>قد</w:t>
      </w:r>
      <w:r w:rsidRPr="00D33657">
        <w:rPr>
          <w:rtl/>
        </w:rPr>
        <w:t xml:space="preserve"> </w:t>
      </w:r>
      <w:r w:rsidRPr="00D33657">
        <w:rPr>
          <w:rtl/>
          <w:lang w:bidi="ar-JO"/>
        </w:rPr>
        <w:t>تراوح</w:t>
      </w:r>
      <w:r w:rsidRPr="00D33657">
        <w:rPr>
          <w:rtl/>
        </w:rPr>
        <w:t xml:space="preserve"> </w:t>
      </w:r>
      <w:r w:rsidRPr="00D33657">
        <w:rPr>
          <w:rtl/>
          <w:lang w:bidi="ar-JO"/>
        </w:rPr>
        <w:t>بين</w:t>
      </w:r>
      <w:r w:rsidRPr="00D33657">
        <w:rPr>
          <w:rtl/>
        </w:rPr>
        <w:t xml:space="preserve"> 141 </w:t>
      </w:r>
      <w:r w:rsidRPr="00D33657">
        <w:rPr>
          <w:rtl/>
          <w:lang w:bidi="ar-JO"/>
        </w:rPr>
        <w:t>شيكل</w:t>
      </w:r>
      <w:r w:rsidRPr="00D33657">
        <w:rPr>
          <w:rtl/>
        </w:rPr>
        <w:t xml:space="preserve"> </w:t>
      </w:r>
      <w:r w:rsidRPr="00D33657">
        <w:rPr>
          <w:rtl/>
          <w:lang w:bidi="ar-JO"/>
        </w:rPr>
        <w:t>و</w:t>
      </w:r>
      <w:r w:rsidRPr="00D33657">
        <w:rPr>
          <w:rtl/>
        </w:rPr>
        <w:t xml:space="preserve"> 772 </w:t>
      </w:r>
      <w:r w:rsidRPr="00D33657">
        <w:rPr>
          <w:rtl/>
          <w:lang w:bidi="ar-JO"/>
        </w:rPr>
        <w:t>شيكل</w:t>
      </w:r>
      <w:r w:rsidRPr="00D33657">
        <w:rPr>
          <w:rtl/>
        </w:rPr>
        <w:t xml:space="preserve">. </w:t>
      </w:r>
      <w:r w:rsidRPr="00D33657">
        <w:rPr>
          <w:rtl/>
          <w:lang w:bidi="ar-JO"/>
        </w:rPr>
        <w:t>وتدل</w:t>
      </w:r>
      <w:r w:rsidRPr="00D33657">
        <w:rPr>
          <w:rtl/>
        </w:rPr>
        <w:t xml:space="preserve"> </w:t>
      </w:r>
      <w:r w:rsidRPr="00D33657">
        <w:rPr>
          <w:rtl/>
          <w:lang w:bidi="ar-JO"/>
        </w:rPr>
        <w:t>نتائج</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إلى</w:t>
      </w:r>
      <w:r w:rsidRPr="00D33657">
        <w:rPr>
          <w:rtl/>
        </w:rPr>
        <w:t xml:space="preserve"> </w:t>
      </w:r>
      <w:r w:rsidRPr="00D33657">
        <w:rPr>
          <w:rtl/>
          <w:lang w:bidi="ar-JO"/>
        </w:rPr>
        <w:t>أن</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التي</w:t>
      </w:r>
      <w:r w:rsidRPr="00D33657">
        <w:rPr>
          <w:rtl/>
        </w:rPr>
        <w:t xml:space="preserve"> </w:t>
      </w:r>
      <w:r w:rsidRPr="00D33657">
        <w:rPr>
          <w:rtl/>
          <w:lang w:bidi="ar-JO"/>
        </w:rPr>
        <w:t>شملها</w:t>
      </w:r>
      <w:r w:rsidRPr="00D33657">
        <w:rPr>
          <w:rtl/>
        </w:rPr>
        <w:t xml:space="preserve"> </w:t>
      </w:r>
      <w:r w:rsidRPr="00D33657">
        <w:rPr>
          <w:rtl/>
          <w:lang w:bidi="ar-JO"/>
        </w:rPr>
        <w:t>التدقيق</w:t>
      </w:r>
      <w:r w:rsidRPr="00D33657">
        <w:rPr>
          <w:rtl/>
        </w:rPr>
        <w:t xml:space="preserve"> </w:t>
      </w:r>
      <w:r w:rsidRPr="00D33657">
        <w:rPr>
          <w:rtl/>
          <w:lang w:bidi="ar-JO"/>
        </w:rPr>
        <w:t>لم</w:t>
      </w:r>
      <w:r w:rsidRPr="00D33657">
        <w:rPr>
          <w:rtl/>
        </w:rPr>
        <w:t xml:space="preserve"> </w:t>
      </w:r>
      <w:r w:rsidRPr="00D33657">
        <w:rPr>
          <w:rtl/>
          <w:lang w:bidi="ar-JO"/>
        </w:rPr>
        <w:t>تجرِ</w:t>
      </w:r>
      <w:r w:rsidRPr="00D33657">
        <w:rPr>
          <w:rtl/>
        </w:rPr>
        <w:t xml:space="preserve"> </w:t>
      </w:r>
      <w:r w:rsidRPr="00D33657">
        <w:rPr>
          <w:rtl/>
          <w:lang w:bidi="ar-JO"/>
        </w:rPr>
        <w:t>دراسات</w:t>
      </w:r>
      <w:r w:rsidRPr="00D33657">
        <w:rPr>
          <w:rtl/>
        </w:rPr>
        <w:t xml:space="preserve"> </w:t>
      </w:r>
      <w:r w:rsidRPr="00D33657">
        <w:rPr>
          <w:rtl/>
          <w:lang w:bidi="ar-JO"/>
        </w:rPr>
        <w:t>استقصائية</w:t>
      </w:r>
      <w:r w:rsidRPr="00D33657">
        <w:rPr>
          <w:rtl/>
        </w:rPr>
        <w:t xml:space="preserve"> </w:t>
      </w:r>
      <w:r w:rsidRPr="00D33657">
        <w:rPr>
          <w:rtl/>
          <w:lang w:bidi="ar-JO"/>
        </w:rPr>
        <w:t>للاحتياجات</w:t>
      </w:r>
      <w:r w:rsidRPr="00D33657">
        <w:rPr>
          <w:rtl/>
        </w:rPr>
        <w:t xml:space="preserve"> </w:t>
      </w:r>
      <w:r w:rsidRPr="00D33657">
        <w:rPr>
          <w:rtl/>
          <w:lang w:bidi="ar-JO"/>
        </w:rPr>
        <w:t>والرضا</w:t>
      </w:r>
      <w:r w:rsidRPr="00D33657">
        <w:rPr>
          <w:rtl/>
        </w:rPr>
        <w:t xml:space="preserve"> </w:t>
      </w:r>
      <w:r w:rsidRPr="00D33657">
        <w:rPr>
          <w:rtl/>
          <w:lang w:bidi="ar-JO"/>
        </w:rPr>
        <w:t>ولم</w:t>
      </w:r>
      <w:r w:rsidRPr="00D33657">
        <w:rPr>
          <w:rtl/>
        </w:rPr>
        <w:t xml:space="preserve"> </w:t>
      </w:r>
      <w:r w:rsidRPr="00D33657">
        <w:rPr>
          <w:rtl/>
          <w:lang w:bidi="ar-JO"/>
        </w:rPr>
        <w:t>تضع</w:t>
      </w:r>
      <w:r w:rsidRPr="00D33657">
        <w:rPr>
          <w:rtl/>
        </w:rPr>
        <w:t xml:space="preserve"> </w:t>
      </w:r>
      <w:r w:rsidRPr="00D33657">
        <w:rPr>
          <w:rtl/>
          <w:lang w:bidi="ar-JO"/>
        </w:rPr>
        <w:t>خططًا</w:t>
      </w:r>
      <w:r w:rsidRPr="00D33657">
        <w:rPr>
          <w:rtl/>
        </w:rPr>
        <w:t xml:space="preserve"> </w:t>
      </w:r>
      <w:r w:rsidRPr="00D33657">
        <w:rPr>
          <w:rtl/>
          <w:lang w:bidi="ar-JO"/>
        </w:rPr>
        <w:t>رئيسية</w:t>
      </w:r>
      <w:r w:rsidRPr="00D33657">
        <w:rPr>
          <w:rtl/>
        </w:rPr>
        <w:t xml:space="preserve"> </w:t>
      </w:r>
      <w:r w:rsidRPr="00D33657">
        <w:rPr>
          <w:rtl/>
          <w:lang w:bidi="ar-JO"/>
        </w:rPr>
        <w:t>استعدادًا</w:t>
      </w:r>
      <w:r w:rsidRPr="00D33657">
        <w:rPr>
          <w:rtl/>
        </w:rPr>
        <w:t xml:space="preserve"> </w:t>
      </w:r>
      <w:r w:rsidRPr="00D33657">
        <w:rPr>
          <w:rtl/>
          <w:lang w:bidi="ar-JO"/>
        </w:rPr>
        <w:t>لشيخوخة</w:t>
      </w:r>
      <w:r w:rsidRPr="00D33657">
        <w:rPr>
          <w:rtl/>
        </w:rPr>
        <w:t xml:space="preserve"> </w:t>
      </w:r>
      <w:r w:rsidRPr="00D33657">
        <w:rPr>
          <w:rtl/>
          <w:lang w:bidi="ar-JO"/>
        </w:rPr>
        <w:t>السكان</w:t>
      </w:r>
      <w:r w:rsidRPr="00D33657">
        <w:rPr>
          <w:rtl/>
        </w:rPr>
        <w:t xml:space="preserve">. </w:t>
      </w:r>
      <w:r w:rsidRPr="00D33657">
        <w:rPr>
          <w:rtl/>
          <w:lang w:bidi="ar-JO"/>
        </w:rPr>
        <w:t>متوسط</w:t>
      </w:r>
      <w:r w:rsidRPr="00D33657">
        <w:rPr>
          <w:rtl/>
        </w:rPr>
        <w:t xml:space="preserve"> </w:t>
      </w:r>
      <w:r w:rsidRPr="00D33657">
        <w:rPr>
          <w:rtl/>
          <w:lang w:bidi="ar-JO"/>
        </w:rPr>
        <w:t>عدد</w:t>
      </w:r>
      <w:r w:rsidRPr="00D33657">
        <w:rPr>
          <w:rtl/>
        </w:rPr>
        <w:t xml:space="preserve"> </w:t>
      </w:r>
      <w:r w:rsidRPr="00D33657">
        <w:rPr>
          <w:rtl/>
          <w:lang w:bidi="ar-JO"/>
        </w:rPr>
        <w:t>المشاركين</w:t>
      </w:r>
      <w:r w:rsidRPr="00D33657">
        <w:rPr>
          <w:rtl/>
        </w:rPr>
        <w:t xml:space="preserve"> </w:t>
      </w:r>
      <w:r w:rsidRPr="00D33657">
        <w:rPr>
          <w:rtl/>
          <w:lang w:bidi="ar-JO"/>
        </w:rPr>
        <w:t>شهريا</w:t>
      </w:r>
      <w:r w:rsidRPr="00D33657">
        <w:rPr>
          <w:rtl/>
        </w:rPr>
        <w:t xml:space="preserve"> </w:t>
      </w:r>
      <w:r w:rsidRPr="00D33657">
        <w:rPr>
          <w:rtl/>
          <w:lang w:bidi="ar-JO"/>
        </w:rPr>
        <w:t>في</w:t>
      </w:r>
      <w:r w:rsidRPr="00D33657">
        <w:rPr>
          <w:rtl/>
        </w:rPr>
        <w:t xml:space="preserve"> </w:t>
      </w:r>
      <w:r w:rsidRPr="00D33657">
        <w:rPr>
          <w:rtl/>
          <w:lang w:bidi="ar-JO"/>
        </w:rPr>
        <w:t>المراكز</w:t>
      </w:r>
      <w:r w:rsidRPr="00D33657">
        <w:rPr>
          <w:rtl/>
        </w:rPr>
        <w:t xml:space="preserve"> </w:t>
      </w:r>
      <w:r w:rsidRPr="00D33657">
        <w:rPr>
          <w:rtl/>
          <w:lang w:bidi="ar-JO"/>
        </w:rPr>
        <w:t>النهارية</w:t>
      </w:r>
      <w:r w:rsidRPr="00D33657">
        <w:rPr>
          <w:rtl/>
        </w:rPr>
        <w:t xml:space="preserve"> </w:t>
      </w:r>
      <w:r w:rsidRPr="00D33657">
        <w:rPr>
          <w:rtl/>
          <w:lang w:bidi="ar-JO"/>
        </w:rPr>
        <w:t>وأندية</w:t>
      </w:r>
      <w:r w:rsidRPr="00D33657">
        <w:rPr>
          <w:rtl/>
        </w:rPr>
        <w:t xml:space="preserve"> </w:t>
      </w:r>
      <w:r w:rsidRPr="00D33657">
        <w:rPr>
          <w:rtl/>
          <w:lang w:bidi="ar-JO"/>
        </w:rPr>
        <w:t>الإغناء</w:t>
      </w:r>
      <w:r w:rsidRPr="00D33657">
        <w:rPr>
          <w:rtl/>
        </w:rPr>
        <w:t xml:space="preserve">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التدقيق</w:t>
      </w:r>
      <w:r w:rsidRPr="00D33657">
        <w:rPr>
          <w:rtl/>
        </w:rPr>
        <w:t xml:space="preserve"> </w:t>
      </w:r>
      <w:r w:rsidRPr="00D33657">
        <w:rPr>
          <w:rtl/>
          <w:lang w:bidi="ar-JO"/>
        </w:rPr>
        <w:t>فيها</w:t>
      </w:r>
      <w:r w:rsidRPr="00D33657">
        <w:rPr>
          <w:rtl/>
        </w:rPr>
        <w:t xml:space="preserve"> </w:t>
      </w:r>
      <w:r w:rsidRPr="00D33657">
        <w:rPr>
          <w:rtl/>
          <w:lang w:bidi="ar-JO"/>
        </w:rPr>
        <w:t>منخفض</w:t>
      </w:r>
      <w:r w:rsidRPr="00D33657">
        <w:rPr>
          <w:rtl/>
        </w:rPr>
        <w:t xml:space="preserve"> </w:t>
      </w:r>
      <w:r w:rsidRPr="00D33657">
        <w:rPr>
          <w:rtl/>
          <w:lang w:bidi="ar-JO"/>
        </w:rPr>
        <w:t>ويتراوح</w:t>
      </w:r>
      <w:r w:rsidRPr="00D33657">
        <w:rPr>
          <w:rtl/>
        </w:rPr>
        <w:t xml:space="preserve"> </w:t>
      </w:r>
      <w:r w:rsidRPr="00D33657">
        <w:rPr>
          <w:rtl/>
          <w:lang w:bidi="ar-JO"/>
        </w:rPr>
        <w:t>من</w:t>
      </w:r>
      <w:r w:rsidRPr="00D33657">
        <w:rPr>
          <w:rtl/>
        </w:rPr>
        <w:t xml:space="preserve"> 9% </w:t>
      </w:r>
      <w:r w:rsidRPr="00D33657">
        <w:rPr>
          <w:rtl/>
          <w:lang w:bidi="ar-JO"/>
        </w:rPr>
        <w:t>إلى</w:t>
      </w:r>
      <w:r w:rsidRPr="00D33657">
        <w:rPr>
          <w:rtl/>
        </w:rPr>
        <w:t xml:space="preserve"> 30% </w:t>
      </w:r>
      <w:r w:rsidRPr="00D33657">
        <w:rPr>
          <w:rtl/>
          <w:lang w:bidi="ar-JO"/>
        </w:rPr>
        <w:t>من</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الذين</w:t>
      </w:r>
      <w:r w:rsidRPr="00D33657">
        <w:rPr>
          <w:rtl/>
        </w:rPr>
        <w:t xml:space="preserve"> </w:t>
      </w:r>
      <w:r w:rsidRPr="00D33657">
        <w:rPr>
          <w:rtl/>
          <w:lang w:bidi="ar-JO"/>
        </w:rPr>
        <w:t>تتم</w:t>
      </w:r>
      <w:r w:rsidRPr="00D33657">
        <w:rPr>
          <w:rtl/>
        </w:rPr>
        <w:t xml:space="preserve"> </w:t>
      </w:r>
      <w:r w:rsidRPr="00D33657">
        <w:rPr>
          <w:rtl/>
          <w:lang w:bidi="ar-JO"/>
        </w:rPr>
        <w:t>معالجتهم</w:t>
      </w:r>
      <w:r w:rsidRPr="00D33657">
        <w:rPr>
          <w:rtl/>
        </w:rPr>
        <w:t xml:space="preserve"> </w:t>
      </w:r>
      <w:r w:rsidRPr="00D33657">
        <w:rPr>
          <w:rtl/>
          <w:lang w:bidi="ar-JO"/>
        </w:rPr>
        <w:t>من</w:t>
      </w:r>
      <w:r w:rsidRPr="00D33657">
        <w:rPr>
          <w:rtl/>
        </w:rPr>
        <w:t xml:space="preserve"> </w:t>
      </w:r>
      <w:r w:rsidRPr="00D33657">
        <w:rPr>
          <w:rtl/>
          <w:lang w:bidi="ar-JO"/>
        </w:rPr>
        <w:t>قبل</w:t>
      </w:r>
      <w:r w:rsidRPr="00D33657">
        <w:rPr>
          <w:rtl/>
        </w:rPr>
        <w:t xml:space="preserve"> </w:t>
      </w:r>
      <w:r w:rsidRPr="00D33657">
        <w:rPr>
          <w:rtl/>
          <w:lang w:bidi="ar-JO"/>
        </w:rPr>
        <w:t>أقسام</w:t>
      </w:r>
      <w:r w:rsidRPr="00D33657">
        <w:rPr>
          <w:rtl/>
        </w:rPr>
        <w:t xml:space="preserve"> </w:t>
      </w:r>
      <w:r w:rsidRPr="00D33657">
        <w:rPr>
          <w:rtl/>
          <w:lang w:bidi="ar-JO"/>
        </w:rPr>
        <w:t>الشؤون</w:t>
      </w:r>
      <w:r w:rsidRPr="00D33657">
        <w:rPr>
          <w:rtl/>
        </w:rPr>
        <w:t xml:space="preserve"> </w:t>
      </w:r>
      <w:r w:rsidRPr="00D33657">
        <w:rPr>
          <w:rtl/>
          <w:lang w:bidi="ar-JO"/>
        </w:rPr>
        <w:t>الاجتماعية</w:t>
      </w:r>
      <w:r w:rsidRPr="00D33657">
        <w:rPr>
          <w:rtl/>
        </w:rPr>
        <w:t xml:space="preserve">. </w:t>
      </w:r>
      <w:r w:rsidRPr="00D33657">
        <w:rPr>
          <w:rtl/>
          <w:lang w:bidi="ar-JO"/>
        </w:rPr>
        <w:t>فيما</w:t>
      </w:r>
      <w:r w:rsidRPr="00D33657">
        <w:rPr>
          <w:rtl/>
        </w:rPr>
        <w:t xml:space="preserve"> </w:t>
      </w:r>
      <w:r w:rsidRPr="00D33657">
        <w:rPr>
          <w:rtl/>
          <w:lang w:bidi="ar-JO"/>
        </w:rPr>
        <w:t>يخص</w:t>
      </w:r>
      <w:r w:rsidRPr="00D33657">
        <w:rPr>
          <w:rtl/>
        </w:rPr>
        <w:t xml:space="preserve"> </w:t>
      </w:r>
      <w:r w:rsidRPr="00D33657">
        <w:rPr>
          <w:rtl/>
          <w:lang w:bidi="ar-JO"/>
        </w:rPr>
        <w:t>مسألة</w:t>
      </w:r>
      <w:r w:rsidRPr="00D33657">
        <w:rPr>
          <w:rtl/>
        </w:rPr>
        <w:t xml:space="preserve"> </w:t>
      </w:r>
      <w:r w:rsidRPr="00D33657">
        <w:rPr>
          <w:rtl/>
          <w:lang w:bidi="ar-JO"/>
        </w:rPr>
        <w:t>إتاحة</w:t>
      </w:r>
      <w:r w:rsidRPr="00D33657">
        <w:rPr>
          <w:rtl/>
        </w:rPr>
        <w:t xml:space="preserve"> </w:t>
      </w:r>
      <w:r w:rsidRPr="00D33657">
        <w:rPr>
          <w:rtl/>
          <w:lang w:bidi="ar-JO"/>
        </w:rPr>
        <w:t>وصول</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إلى</w:t>
      </w:r>
      <w:r w:rsidRPr="00D33657">
        <w:rPr>
          <w:rtl/>
        </w:rPr>
        <w:t xml:space="preserve"> </w:t>
      </w:r>
      <w:r w:rsidRPr="00D33657">
        <w:rPr>
          <w:rtl/>
          <w:lang w:bidi="ar-JO"/>
        </w:rPr>
        <w:t>المعلومات</w:t>
      </w:r>
      <w:r w:rsidRPr="00D33657">
        <w:rPr>
          <w:rtl/>
        </w:rPr>
        <w:t xml:space="preserve"> </w:t>
      </w:r>
      <w:r w:rsidRPr="00D33657">
        <w:rPr>
          <w:rtl/>
          <w:lang w:bidi="ar-JO"/>
        </w:rPr>
        <w:t>وممارسة</w:t>
      </w:r>
      <w:r w:rsidRPr="00D33657">
        <w:rPr>
          <w:rtl/>
        </w:rPr>
        <w:t xml:space="preserve"> </w:t>
      </w:r>
      <w:r w:rsidRPr="00D33657">
        <w:rPr>
          <w:rtl/>
          <w:lang w:bidi="ar-JO"/>
        </w:rPr>
        <w:t>حقوقهم،</w:t>
      </w:r>
      <w:r w:rsidRPr="00D33657">
        <w:rPr>
          <w:rtl/>
        </w:rPr>
        <w:t xml:space="preserve"> </w:t>
      </w:r>
      <w:r w:rsidRPr="00D33657">
        <w:rPr>
          <w:rtl/>
          <w:lang w:bidi="ar-JO"/>
        </w:rPr>
        <w:t>تبين</w:t>
      </w:r>
      <w:r w:rsidRPr="00D33657">
        <w:rPr>
          <w:rtl/>
        </w:rPr>
        <w:t xml:space="preserve"> </w:t>
      </w:r>
      <w:r w:rsidRPr="00D33657">
        <w:rPr>
          <w:rtl/>
          <w:lang w:bidi="ar-JO"/>
        </w:rPr>
        <w:t>أن</w:t>
      </w:r>
      <w:r w:rsidRPr="00D33657">
        <w:rPr>
          <w:rtl/>
        </w:rPr>
        <w:t xml:space="preserve"> </w:t>
      </w:r>
      <w:r w:rsidRPr="00D33657">
        <w:rPr>
          <w:rtl/>
          <w:lang w:bidi="ar-JO"/>
        </w:rPr>
        <w:t>المعلومات</w:t>
      </w:r>
      <w:r w:rsidRPr="00D33657">
        <w:rPr>
          <w:rtl/>
        </w:rPr>
        <w:t xml:space="preserve"> </w:t>
      </w:r>
      <w:r w:rsidRPr="00D33657">
        <w:rPr>
          <w:rtl/>
          <w:lang w:bidi="ar-JO"/>
        </w:rPr>
        <w:t>الواردة</w:t>
      </w:r>
      <w:r w:rsidRPr="00D33657">
        <w:rPr>
          <w:rtl/>
        </w:rPr>
        <w:t xml:space="preserve"> </w:t>
      </w:r>
      <w:r w:rsidRPr="00D33657">
        <w:rPr>
          <w:rtl/>
          <w:lang w:bidi="ar-JO"/>
        </w:rPr>
        <w:t>على</w:t>
      </w:r>
      <w:r w:rsidRPr="00D33657">
        <w:rPr>
          <w:rtl/>
        </w:rPr>
        <w:t xml:space="preserve"> </w:t>
      </w:r>
      <w:r w:rsidRPr="00D33657">
        <w:rPr>
          <w:rtl/>
          <w:lang w:bidi="ar-JO"/>
        </w:rPr>
        <w:t>مواقع</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على</w:t>
      </w:r>
      <w:r w:rsidRPr="00D33657">
        <w:rPr>
          <w:rtl/>
        </w:rPr>
        <w:t xml:space="preserve"> </w:t>
      </w:r>
      <w:r w:rsidRPr="00D33657">
        <w:rPr>
          <w:rtl/>
          <w:lang w:bidi="ar-JO"/>
        </w:rPr>
        <w:t>شبكة</w:t>
      </w:r>
      <w:r w:rsidRPr="00D33657">
        <w:rPr>
          <w:rtl/>
        </w:rPr>
        <w:t xml:space="preserve"> </w:t>
      </w:r>
      <w:r w:rsidRPr="00D33657">
        <w:rPr>
          <w:rtl/>
          <w:lang w:bidi="ar-JO"/>
        </w:rPr>
        <w:t>الإنترنت</w:t>
      </w:r>
      <w:r w:rsidRPr="00D33657">
        <w:rPr>
          <w:rtl/>
        </w:rPr>
        <w:t xml:space="preserve"> </w:t>
      </w:r>
      <w:r w:rsidRPr="00D33657">
        <w:rPr>
          <w:rtl/>
          <w:lang w:bidi="ar-JO"/>
        </w:rPr>
        <w:t>ليست</w:t>
      </w:r>
      <w:r w:rsidRPr="00D33657">
        <w:rPr>
          <w:rtl/>
        </w:rPr>
        <w:t xml:space="preserve"> </w:t>
      </w:r>
      <w:r w:rsidRPr="00D33657">
        <w:rPr>
          <w:rtl/>
          <w:lang w:bidi="ar-JO"/>
        </w:rPr>
        <w:t>بارزة</w:t>
      </w:r>
      <w:r w:rsidRPr="00D33657">
        <w:rPr>
          <w:rtl/>
        </w:rPr>
        <w:t xml:space="preserve"> </w:t>
      </w:r>
      <w:r w:rsidRPr="00D33657">
        <w:rPr>
          <w:rtl/>
          <w:lang w:bidi="ar-JO"/>
        </w:rPr>
        <w:t>وليست</w:t>
      </w:r>
      <w:r w:rsidRPr="00D33657">
        <w:rPr>
          <w:rtl/>
        </w:rPr>
        <w:t xml:space="preserve"> </w:t>
      </w:r>
      <w:r w:rsidRPr="00D33657">
        <w:rPr>
          <w:rtl/>
          <w:lang w:bidi="ar-JO"/>
        </w:rPr>
        <w:t>متاحة</w:t>
      </w:r>
      <w:r w:rsidRPr="00D33657">
        <w:rPr>
          <w:rtl/>
        </w:rPr>
        <w:t xml:space="preserve"> </w:t>
      </w:r>
      <w:r w:rsidRPr="00D33657">
        <w:rPr>
          <w:rtl/>
          <w:lang w:bidi="ar-JO"/>
        </w:rPr>
        <w:t>بسهولة</w:t>
      </w:r>
      <w:r w:rsidRPr="00D33657">
        <w:rPr>
          <w:rtl/>
        </w:rPr>
        <w:t xml:space="preserve"> </w:t>
      </w:r>
      <w:r w:rsidRPr="00D33657">
        <w:rPr>
          <w:rtl/>
          <w:lang w:bidi="ar-JO"/>
        </w:rPr>
        <w:t>أمام</w:t>
      </w:r>
      <w:r w:rsidRPr="00D33657">
        <w:rPr>
          <w:rtl/>
        </w:rPr>
        <w:t xml:space="preserve"> </w:t>
      </w:r>
      <w:r w:rsidRPr="00D33657">
        <w:rPr>
          <w:rtl/>
          <w:lang w:bidi="ar-JO"/>
        </w:rPr>
        <w:t>فئة</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وأنه</w:t>
      </w:r>
      <w:r w:rsidRPr="00D33657">
        <w:rPr>
          <w:rtl/>
        </w:rPr>
        <w:t xml:space="preserve"> </w:t>
      </w:r>
      <w:r w:rsidRPr="00D33657">
        <w:rPr>
          <w:rtl/>
          <w:lang w:bidi="ar-JO"/>
        </w:rPr>
        <w:t>ليس</w:t>
      </w:r>
      <w:r w:rsidRPr="00D33657">
        <w:rPr>
          <w:rtl/>
        </w:rPr>
        <w:t xml:space="preserve"> </w:t>
      </w:r>
      <w:r w:rsidRPr="00D33657">
        <w:rPr>
          <w:rtl/>
          <w:lang w:bidi="ar-JO"/>
        </w:rPr>
        <w:t>الجميع</w:t>
      </w:r>
      <w:r w:rsidRPr="00D33657">
        <w:rPr>
          <w:rtl/>
        </w:rPr>
        <w:t xml:space="preserve"> </w:t>
      </w:r>
      <w:r w:rsidRPr="00D33657">
        <w:rPr>
          <w:rtl/>
          <w:lang w:bidi="ar-JO"/>
        </w:rPr>
        <w:t>على</w:t>
      </w:r>
      <w:r w:rsidRPr="00D33657">
        <w:rPr>
          <w:rtl/>
        </w:rPr>
        <w:t xml:space="preserve"> </w:t>
      </w:r>
      <w:r w:rsidRPr="00D33657">
        <w:rPr>
          <w:rtl/>
          <w:lang w:bidi="ar-JO"/>
        </w:rPr>
        <w:t>علم</w:t>
      </w:r>
      <w:r w:rsidRPr="00D33657">
        <w:rPr>
          <w:rtl/>
        </w:rPr>
        <w:t xml:space="preserve"> </w:t>
      </w:r>
      <w:r w:rsidRPr="00D33657">
        <w:rPr>
          <w:rtl/>
          <w:lang w:bidi="ar-JO"/>
        </w:rPr>
        <w:t>بحقوقهم</w:t>
      </w:r>
      <w:r w:rsidRPr="00D33657">
        <w:rPr>
          <w:rtl/>
        </w:rPr>
        <w:t xml:space="preserve">. </w:t>
      </w:r>
      <w:r w:rsidRPr="00D33657">
        <w:rPr>
          <w:rtl/>
          <w:lang w:bidi="ar-JO"/>
        </w:rPr>
        <w:t>كما</w:t>
      </w:r>
      <w:r w:rsidRPr="00D33657">
        <w:rPr>
          <w:rtl/>
        </w:rPr>
        <w:t xml:space="preserve"> </w:t>
      </w:r>
      <w:r w:rsidRPr="00D33657">
        <w:rPr>
          <w:rtl/>
          <w:lang w:bidi="ar-JO"/>
        </w:rPr>
        <w:t>وُجد</w:t>
      </w:r>
      <w:r w:rsidRPr="00D33657">
        <w:rPr>
          <w:rtl/>
        </w:rPr>
        <w:t xml:space="preserve"> </w:t>
      </w:r>
      <w:r w:rsidRPr="00D33657">
        <w:rPr>
          <w:rtl/>
          <w:lang w:bidi="ar-JO"/>
        </w:rPr>
        <w:t>أن</w:t>
      </w:r>
      <w:r w:rsidRPr="00D33657">
        <w:rPr>
          <w:rtl/>
        </w:rPr>
        <w:t xml:space="preserve"> </w:t>
      </w:r>
      <w:r w:rsidRPr="00D33657">
        <w:rPr>
          <w:rtl/>
          <w:lang w:bidi="ar-JO"/>
        </w:rPr>
        <w:t>متوسط</w:t>
      </w:r>
      <w:r w:rsidRPr="00D33657">
        <w:rPr>
          <w:rtl/>
        </w:rPr>
        <w:t xml:space="preserve"> </w:t>
      </w:r>
      <w:r w:rsidRPr="00D33657">
        <w:rPr>
          <w:rtl/>
          <w:lang w:bidi="ar-JO"/>
        </w:rPr>
        <w:t>عدد</w:t>
      </w:r>
      <w:r w:rsidRPr="00D33657">
        <w:rPr>
          <w:rtl/>
        </w:rPr>
        <w:t xml:space="preserve"> </w:t>
      </w:r>
      <w:r w:rsidRPr="00D33657">
        <w:rPr>
          <w:rtl/>
          <w:lang w:bidi="ar-JO"/>
        </w:rPr>
        <w:t>المرضى</w:t>
      </w:r>
      <w:r w:rsidRPr="00D33657">
        <w:rPr>
          <w:rtl/>
        </w:rPr>
        <w:t xml:space="preserve"> </w:t>
      </w:r>
      <w:r w:rsidRPr="00D33657">
        <w:rPr>
          <w:rtl/>
          <w:lang w:bidi="ar-JO"/>
        </w:rPr>
        <w:t>مقابل</w:t>
      </w:r>
      <w:r w:rsidRPr="00D33657">
        <w:rPr>
          <w:rtl/>
        </w:rPr>
        <w:t xml:space="preserve"> </w:t>
      </w:r>
      <w:r w:rsidRPr="00D33657">
        <w:rPr>
          <w:rtl/>
          <w:lang w:bidi="ar-JO"/>
        </w:rPr>
        <w:t>منصب</w:t>
      </w:r>
      <w:r w:rsidRPr="00D33657">
        <w:rPr>
          <w:rtl/>
        </w:rPr>
        <w:t xml:space="preserve"> </w:t>
      </w:r>
      <w:r w:rsidRPr="00D33657">
        <w:rPr>
          <w:rtl/>
          <w:lang w:bidi="ar-JO"/>
        </w:rPr>
        <w:t>الأخصائي</w:t>
      </w:r>
      <w:r w:rsidRPr="00D33657">
        <w:rPr>
          <w:rtl/>
        </w:rPr>
        <w:t xml:space="preserve"> </w:t>
      </w:r>
      <w:r w:rsidRPr="00D33657">
        <w:rPr>
          <w:rtl/>
          <w:lang w:bidi="ar-JO"/>
        </w:rPr>
        <w:t>الاجتماعي</w:t>
      </w:r>
      <w:r w:rsidRPr="00D33657">
        <w:rPr>
          <w:rtl/>
        </w:rPr>
        <w:t xml:space="preserve"> </w:t>
      </w:r>
      <w:r w:rsidRPr="00D33657">
        <w:rPr>
          <w:rtl/>
          <w:lang w:bidi="ar-JO"/>
        </w:rPr>
        <w:t>في</w:t>
      </w:r>
      <w:r w:rsidRPr="00D33657">
        <w:rPr>
          <w:rtl/>
        </w:rPr>
        <w:t xml:space="preserve"> </w:t>
      </w:r>
      <w:r w:rsidRPr="00D33657">
        <w:rPr>
          <w:rtl/>
          <w:lang w:bidi="ar-JO"/>
        </w:rPr>
        <w:t>وحدات</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المذكورة</w:t>
      </w:r>
      <w:r w:rsidRPr="00D33657">
        <w:rPr>
          <w:rtl/>
        </w:rPr>
        <w:t xml:space="preserve"> </w:t>
      </w:r>
      <w:r w:rsidRPr="00D33657">
        <w:rPr>
          <w:rtl/>
          <w:lang w:bidi="ar-JO"/>
        </w:rPr>
        <w:t>كان</w:t>
      </w:r>
      <w:r w:rsidRPr="00D33657">
        <w:rPr>
          <w:rtl/>
        </w:rPr>
        <w:t xml:space="preserve"> 126 - 444</w:t>
      </w:r>
      <w:r w:rsidRPr="00D33657">
        <w:rPr>
          <w:rtl/>
          <w:lang w:bidi="ar-JO"/>
        </w:rPr>
        <w:t>،</w:t>
      </w:r>
      <w:r w:rsidRPr="00D33657">
        <w:rPr>
          <w:rtl/>
        </w:rPr>
        <w:t xml:space="preserve"> </w:t>
      </w:r>
      <w:r w:rsidRPr="00D33657">
        <w:rPr>
          <w:rtl/>
          <w:lang w:bidi="ar-JO"/>
        </w:rPr>
        <w:t>وأن</w:t>
      </w:r>
      <w:r w:rsidRPr="00D33657">
        <w:rPr>
          <w:rtl/>
        </w:rPr>
        <w:t xml:space="preserve"> </w:t>
      </w:r>
      <w:r w:rsidRPr="00D33657">
        <w:rPr>
          <w:rtl/>
          <w:lang w:bidi="ar-JO"/>
        </w:rPr>
        <w:t>وزارة</w:t>
      </w:r>
      <w:r w:rsidRPr="00D33657">
        <w:rPr>
          <w:rtl/>
        </w:rPr>
        <w:t xml:space="preserve"> </w:t>
      </w:r>
      <w:r w:rsidRPr="00D33657">
        <w:rPr>
          <w:rtl/>
          <w:lang w:bidi="ar-JO"/>
        </w:rPr>
        <w:t>الرفاه</w:t>
      </w:r>
      <w:r w:rsidRPr="00D33657">
        <w:rPr>
          <w:rtl/>
        </w:rPr>
        <w:t xml:space="preserve"> </w:t>
      </w:r>
      <w:r w:rsidRPr="00D33657">
        <w:rPr>
          <w:rtl/>
          <w:lang w:bidi="ar-JO"/>
        </w:rPr>
        <w:t>لم</w:t>
      </w:r>
      <w:r w:rsidRPr="00D33657">
        <w:rPr>
          <w:rtl/>
        </w:rPr>
        <w:t xml:space="preserve"> </w:t>
      </w:r>
      <w:r w:rsidRPr="00D33657">
        <w:rPr>
          <w:rtl/>
          <w:lang w:bidi="ar-JO"/>
        </w:rPr>
        <w:t>تحدد</w:t>
      </w:r>
      <w:r w:rsidRPr="00D33657">
        <w:rPr>
          <w:rtl/>
        </w:rPr>
        <w:t xml:space="preserve"> </w:t>
      </w:r>
      <w:r w:rsidRPr="00D33657">
        <w:rPr>
          <w:rtl/>
          <w:lang w:bidi="ar-JO"/>
        </w:rPr>
        <w:t>الحد</w:t>
      </w:r>
      <w:r w:rsidRPr="00D33657">
        <w:rPr>
          <w:rtl/>
        </w:rPr>
        <w:t xml:space="preserve"> </w:t>
      </w:r>
      <w:r w:rsidRPr="00D33657">
        <w:rPr>
          <w:rtl/>
          <w:lang w:bidi="ar-JO"/>
        </w:rPr>
        <w:t>الأقصى</w:t>
      </w:r>
      <w:r w:rsidRPr="00D33657">
        <w:rPr>
          <w:rtl/>
        </w:rPr>
        <w:t xml:space="preserve"> </w:t>
      </w:r>
      <w:r w:rsidRPr="00D33657">
        <w:rPr>
          <w:rtl/>
          <w:lang w:bidi="ar-JO"/>
        </w:rPr>
        <w:t>لعدد</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الذين</w:t>
      </w:r>
      <w:r w:rsidRPr="00D33657">
        <w:rPr>
          <w:rtl/>
        </w:rPr>
        <w:t xml:space="preserve"> </w:t>
      </w:r>
      <w:r w:rsidRPr="00D33657">
        <w:rPr>
          <w:rtl/>
          <w:lang w:bidi="ar-JO"/>
        </w:rPr>
        <w:t>تتم</w:t>
      </w:r>
      <w:r w:rsidRPr="00D33657">
        <w:rPr>
          <w:rtl/>
        </w:rPr>
        <w:t xml:space="preserve"> </w:t>
      </w:r>
      <w:r w:rsidRPr="00D33657">
        <w:rPr>
          <w:rtl/>
          <w:lang w:bidi="ar-JO"/>
        </w:rPr>
        <w:t>معالجتهم</w:t>
      </w:r>
      <w:r w:rsidRPr="00D33657">
        <w:rPr>
          <w:rtl/>
        </w:rPr>
        <w:t xml:space="preserve"> </w:t>
      </w:r>
      <w:r w:rsidRPr="00D33657">
        <w:rPr>
          <w:rtl/>
          <w:lang w:bidi="ar-JO"/>
        </w:rPr>
        <w:t>من</w:t>
      </w:r>
      <w:r w:rsidRPr="00D33657">
        <w:rPr>
          <w:rtl/>
        </w:rPr>
        <w:t xml:space="preserve"> </w:t>
      </w:r>
      <w:r w:rsidRPr="00D33657">
        <w:rPr>
          <w:rtl/>
          <w:lang w:bidi="ar-JO"/>
        </w:rPr>
        <w:t>قبل</w:t>
      </w:r>
      <w:r w:rsidRPr="00D33657">
        <w:rPr>
          <w:rtl/>
        </w:rPr>
        <w:t xml:space="preserve"> </w:t>
      </w:r>
      <w:r w:rsidRPr="00D33657">
        <w:rPr>
          <w:rtl/>
          <w:lang w:bidi="ar-JO"/>
        </w:rPr>
        <w:t>العامل</w:t>
      </w:r>
      <w:r w:rsidRPr="00D33657">
        <w:rPr>
          <w:rtl/>
        </w:rPr>
        <w:t xml:space="preserve"> </w:t>
      </w:r>
      <w:r w:rsidRPr="00D33657">
        <w:rPr>
          <w:rtl/>
          <w:lang w:bidi="ar-JO"/>
        </w:rPr>
        <w:t>الاجتماعي</w:t>
      </w:r>
      <w:r w:rsidRPr="00D33657">
        <w:rPr>
          <w:rtl/>
        </w:rPr>
        <w:t xml:space="preserve"> </w:t>
      </w:r>
      <w:r w:rsidRPr="00D33657">
        <w:rPr>
          <w:rtl/>
          <w:lang w:bidi="ar-JO"/>
        </w:rPr>
        <w:t>ولم</w:t>
      </w:r>
      <w:r w:rsidRPr="00D33657">
        <w:rPr>
          <w:rtl/>
        </w:rPr>
        <w:t xml:space="preserve"> </w:t>
      </w:r>
      <w:r w:rsidRPr="00D33657">
        <w:rPr>
          <w:rtl/>
          <w:lang w:bidi="ar-JO"/>
        </w:rPr>
        <w:t>تحدد</w:t>
      </w:r>
      <w:r w:rsidRPr="00D33657">
        <w:rPr>
          <w:rtl/>
        </w:rPr>
        <w:t xml:space="preserve"> </w:t>
      </w:r>
      <w:r w:rsidRPr="00D33657">
        <w:rPr>
          <w:rtl/>
          <w:lang w:bidi="ar-JO"/>
        </w:rPr>
        <w:t>متطلبات</w:t>
      </w:r>
      <w:r w:rsidRPr="00D33657">
        <w:rPr>
          <w:rtl/>
        </w:rPr>
        <w:t xml:space="preserve"> </w:t>
      </w:r>
      <w:r w:rsidRPr="00D33657">
        <w:rPr>
          <w:rtl/>
          <w:lang w:bidi="ar-JO"/>
        </w:rPr>
        <w:t>التجربة</w:t>
      </w:r>
      <w:r w:rsidRPr="00D33657">
        <w:rPr>
          <w:rtl/>
        </w:rPr>
        <w:t xml:space="preserve"> </w:t>
      </w:r>
      <w:r w:rsidRPr="00D33657">
        <w:rPr>
          <w:rtl/>
          <w:lang w:bidi="ar-JO"/>
        </w:rPr>
        <w:t>والتدريب</w:t>
      </w:r>
      <w:r w:rsidRPr="00D33657">
        <w:rPr>
          <w:rtl/>
        </w:rPr>
        <w:t xml:space="preserve"> </w:t>
      </w:r>
      <w:r w:rsidRPr="00D33657">
        <w:rPr>
          <w:rtl/>
          <w:lang w:bidi="ar-JO"/>
        </w:rPr>
        <w:t>الخاصة</w:t>
      </w:r>
      <w:r w:rsidRPr="00D33657">
        <w:rPr>
          <w:rtl/>
        </w:rPr>
        <w:t xml:space="preserve"> </w:t>
      </w:r>
      <w:r w:rsidRPr="00D33657">
        <w:rPr>
          <w:rtl/>
          <w:lang w:bidi="ar-JO"/>
        </w:rPr>
        <w:t>بالعمال</w:t>
      </w:r>
      <w:r w:rsidRPr="00D33657">
        <w:rPr>
          <w:rtl/>
        </w:rPr>
        <w:t xml:space="preserve"> </w:t>
      </w:r>
      <w:r w:rsidRPr="00D33657">
        <w:rPr>
          <w:rtl/>
          <w:lang w:bidi="ar-JO"/>
        </w:rPr>
        <w:t>الاجتماعيين</w:t>
      </w:r>
      <w:r w:rsidRPr="00D33657">
        <w:rPr>
          <w:rtl/>
        </w:rPr>
        <w:t xml:space="preserve"> </w:t>
      </w:r>
      <w:r w:rsidRPr="00D33657">
        <w:rPr>
          <w:rtl/>
          <w:lang w:bidi="ar-JO"/>
        </w:rPr>
        <w:t>الذين</w:t>
      </w:r>
      <w:r w:rsidRPr="00D33657">
        <w:rPr>
          <w:rtl/>
        </w:rPr>
        <w:t xml:space="preserve"> </w:t>
      </w:r>
      <w:r w:rsidRPr="00D33657">
        <w:rPr>
          <w:rtl/>
          <w:lang w:bidi="ar-JO"/>
        </w:rPr>
        <w:t>يعالجون</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وجدت</w:t>
      </w:r>
      <w:r w:rsidRPr="00D33657">
        <w:rPr>
          <w:rtl/>
        </w:rPr>
        <w:t xml:space="preserve"> </w:t>
      </w:r>
      <w:r w:rsidRPr="00D33657">
        <w:rPr>
          <w:rtl/>
          <w:lang w:bidi="ar-JO"/>
        </w:rPr>
        <w:t>دراسة</w:t>
      </w:r>
      <w:r w:rsidRPr="00D33657">
        <w:rPr>
          <w:rtl/>
        </w:rPr>
        <w:t xml:space="preserve"> </w:t>
      </w:r>
      <w:r w:rsidRPr="00D33657">
        <w:rPr>
          <w:rtl/>
          <w:lang w:bidi="ar-JO"/>
        </w:rPr>
        <w:t>استقصائية</w:t>
      </w:r>
      <w:r w:rsidRPr="00D33657">
        <w:rPr>
          <w:rtl/>
        </w:rPr>
        <w:t xml:space="preserve"> </w:t>
      </w:r>
      <w:r w:rsidRPr="00D33657">
        <w:rPr>
          <w:rtl/>
          <w:lang w:bidi="ar-JO"/>
        </w:rPr>
        <w:t>للمواطنين</w:t>
      </w:r>
      <w:r w:rsidRPr="00D33657">
        <w:rPr>
          <w:rtl/>
        </w:rPr>
        <w:t xml:space="preserve"> </w:t>
      </w:r>
      <w:r w:rsidRPr="00D33657">
        <w:rPr>
          <w:rtl/>
          <w:lang w:bidi="ar-JO"/>
        </w:rPr>
        <w:t>المخضرمين</w:t>
      </w:r>
      <w:r w:rsidRPr="00D33657">
        <w:rPr>
          <w:rtl/>
        </w:rPr>
        <w:t xml:space="preserve"> </w:t>
      </w:r>
      <w:r w:rsidRPr="00D33657">
        <w:rPr>
          <w:rtl/>
          <w:lang w:bidi="ar-JO"/>
        </w:rPr>
        <w:t>أجراها</w:t>
      </w:r>
      <w:r w:rsidRPr="00D33657">
        <w:rPr>
          <w:rtl/>
        </w:rPr>
        <w:t xml:space="preserve"> </w:t>
      </w:r>
      <w:r w:rsidRPr="00D33657">
        <w:rPr>
          <w:rtl/>
          <w:lang w:bidi="ar-JO"/>
        </w:rPr>
        <w:t>مكتب</w:t>
      </w:r>
      <w:r w:rsidRPr="00D33657">
        <w:rPr>
          <w:rtl/>
        </w:rPr>
        <w:t xml:space="preserve"> </w:t>
      </w:r>
      <w:r w:rsidRPr="00D33657">
        <w:rPr>
          <w:rtl/>
          <w:lang w:bidi="ar-JO"/>
        </w:rPr>
        <w:t>مراقب</w:t>
      </w:r>
      <w:r w:rsidRPr="00D33657">
        <w:rPr>
          <w:rtl/>
        </w:rPr>
        <w:t xml:space="preserve"> </w:t>
      </w:r>
      <w:r w:rsidRPr="00D33657">
        <w:rPr>
          <w:rtl/>
          <w:lang w:bidi="ar-JO"/>
        </w:rPr>
        <w:t>الدولة</w:t>
      </w:r>
      <w:r w:rsidRPr="00D33657">
        <w:rPr>
          <w:rtl/>
        </w:rPr>
        <w:t xml:space="preserve"> </w:t>
      </w:r>
      <w:r w:rsidRPr="00D33657">
        <w:rPr>
          <w:rtl/>
          <w:lang w:bidi="ar-JO"/>
        </w:rPr>
        <w:t>أن</w:t>
      </w:r>
      <w:r w:rsidRPr="00D33657">
        <w:rPr>
          <w:rtl/>
        </w:rPr>
        <w:t xml:space="preserve"> 42% </w:t>
      </w:r>
      <w:r w:rsidRPr="00D33657">
        <w:rPr>
          <w:rtl/>
          <w:lang w:bidi="ar-JO"/>
        </w:rPr>
        <w:t>منهم</w:t>
      </w:r>
      <w:r w:rsidRPr="00D33657">
        <w:rPr>
          <w:rtl/>
        </w:rPr>
        <w:t xml:space="preserve"> </w:t>
      </w:r>
      <w:r w:rsidRPr="00D33657">
        <w:rPr>
          <w:rtl/>
          <w:lang w:bidi="ar-JO"/>
        </w:rPr>
        <w:t>ليسوا</w:t>
      </w:r>
      <w:r w:rsidRPr="00D33657">
        <w:rPr>
          <w:rtl/>
        </w:rPr>
        <w:t xml:space="preserve"> </w:t>
      </w:r>
      <w:r w:rsidRPr="00D33657">
        <w:rPr>
          <w:rtl/>
          <w:lang w:bidi="ar-JO"/>
        </w:rPr>
        <w:t>على</w:t>
      </w:r>
      <w:r w:rsidRPr="00D33657">
        <w:rPr>
          <w:rtl/>
        </w:rPr>
        <w:t xml:space="preserve"> </w:t>
      </w:r>
      <w:r w:rsidRPr="00D33657">
        <w:rPr>
          <w:rtl/>
          <w:lang w:bidi="ar-JO"/>
        </w:rPr>
        <w:t>دراية</w:t>
      </w:r>
      <w:r w:rsidRPr="00D33657">
        <w:rPr>
          <w:rtl/>
        </w:rPr>
        <w:t xml:space="preserve"> </w:t>
      </w:r>
      <w:r w:rsidRPr="00D33657">
        <w:rPr>
          <w:rtl/>
          <w:lang w:bidi="ar-JO"/>
        </w:rPr>
        <w:t>بالأنشطة</w:t>
      </w:r>
      <w:r w:rsidRPr="00D33657">
        <w:rPr>
          <w:rtl/>
        </w:rPr>
        <w:t xml:space="preserve"> </w:t>
      </w:r>
      <w:r w:rsidRPr="00D33657">
        <w:rPr>
          <w:rtl/>
          <w:lang w:bidi="ar-JO"/>
        </w:rPr>
        <w:t>الترفيهية</w:t>
      </w:r>
      <w:r w:rsidRPr="00D33657">
        <w:rPr>
          <w:rtl/>
        </w:rPr>
        <w:t xml:space="preserve"> </w:t>
      </w:r>
      <w:r w:rsidRPr="00D33657">
        <w:rPr>
          <w:rtl/>
          <w:lang w:bidi="ar-JO"/>
        </w:rPr>
        <w:t>التي</w:t>
      </w:r>
      <w:r w:rsidRPr="00D33657">
        <w:rPr>
          <w:rtl/>
        </w:rPr>
        <w:t xml:space="preserve"> </w:t>
      </w:r>
      <w:r w:rsidRPr="00D33657">
        <w:rPr>
          <w:rtl/>
          <w:lang w:bidi="ar-JO"/>
        </w:rPr>
        <w:t>تقدمها</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وأن</w:t>
      </w:r>
      <w:r w:rsidRPr="00D33657">
        <w:rPr>
          <w:rtl/>
        </w:rPr>
        <w:t xml:space="preserve"> 64% </w:t>
      </w:r>
      <w:r w:rsidRPr="00D33657">
        <w:rPr>
          <w:rtl/>
          <w:lang w:bidi="ar-JO"/>
        </w:rPr>
        <w:t>من</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المطلعين</w:t>
      </w:r>
      <w:r w:rsidRPr="00D33657">
        <w:rPr>
          <w:rtl/>
        </w:rPr>
        <w:t xml:space="preserve"> </w:t>
      </w:r>
      <w:r w:rsidRPr="00D33657">
        <w:rPr>
          <w:rtl/>
          <w:lang w:bidi="ar-JO"/>
        </w:rPr>
        <w:t>على</w:t>
      </w:r>
      <w:r w:rsidRPr="00D33657">
        <w:rPr>
          <w:rtl/>
        </w:rPr>
        <w:t xml:space="preserve"> </w:t>
      </w:r>
      <w:r w:rsidRPr="00D33657">
        <w:rPr>
          <w:rtl/>
          <w:lang w:bidi="ar-JO"/>
        </w:rPr>
        <w:t>الأنشطة</w:t>
      </w:r>
      <w:r w:rsidRPr="00D33657">
        <w:rPr>
          <w:rtl/>
        </w:rPr>
        <w:t xml:space="preserve"> </w:t>
      </w:r>
      <w:r w:rsidRPr="00D33657">
        <w:rPr>
          <w:rtl/>
          <w:lang w:bidi="ar-JO"/>
        </w:rPr>
        <w:t>يشاركون</w:t>
      </w:r>
      <w:r w:rsidRPr="00D33657">
        <w:rPr>
          <w:rtl/>
        </w:rPr>
        <w:t xml:space="preserve"> </w:t>
      </w:r>
      <w:r w:rsidRPr="00D33657">
        <w:rPr>
          <w:rtl/>
          <w:lang w:bidi="ar-JO"/>
        </w:rPr>
        <w:t>فيها؛</w:t>
      </w:r>
      <w:r w:rsidRPr="00D33657">
        <w:rPr>
          <w:rtl/>
        </w:rPr>
        <w:t xml:space="preserve"> </w:t>
      </w:r>
      <w:r w:rsidRPr="00D33657">
        <w:rPr>
          <w:rtl/>
          <w:lang w:bidi="ar-JO"/>
        </w:rPr>
        <w:t>يختار</w:t>
      </w:r>
      <w:r w:rsidRPr="00D33657">
        <w:rPr>
          <w:rtl/>
        </w:rPr>
        <w:t xml:space="preserve"> </w:t>
      </w:r>
      <w:r w:rsidRPr="00D33657">
        <w:rPr>
          <w:rtl/>
          <w:lang w:bidi="ar-JO"/>
        </w:rPr>
        <w:t>معظم</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(63%) </w:t>
      </w:r>
      <w:r w:rsidRPr="00D33657">
        <w:rPr>
          <w:rtl/>
          <w:lang w:bidi="ar-JO"/>
        </w:rPr>
        <w:t>عدم</w:t>
      </w:r>
      <w:r w:rsidRPr="00D33657">
        <w:rPr>
          <w:rtl/>
        </w:rPr>
        <w:t xml:space="preserve"> </w:t>
      </w:r>
      <w:r w:rsidRPr="00D33657">
        <w:rPr>
          <w:rtl/>
          <w:lang w:bidi="ar-JO"/>
        </w:rPr>
        <w:t>المشاركة</w:t>
      </w:r>
      <w:r w:rsidRPr="00D33657">
        <w:rPr>
          <w:rtl/>
        </w:rPr>
        <w:t xml:space="preserve"> </w:t>
      </w:r>
      <w:r w:rsidRPr="00D33657">
        <w:rPr>
          <w:rtl/>
          <w:lang w:bidi="ar-JO"/>
        </w:rPr>
        <w:t>في</w:t>
      </w:r>
      <w:r w:rsidRPr="00D33657">
        <w:rPr>
          <w:rtl/>
        </w:rPr>
        <w:t xml:space="preserve"> </w:t>
      </w:r>
      <w:r w:rsidRPr="00D33657">
        <w:rPr>
          <w:rtl/>
          <w:lang w:bidi="ar-JO"/>
        </w:rPr>
        <w:t>الأطر</w:t>
      </w:r>
      <w:r w:rsidRPr="00D33657">
        <w:rPr>
          <w:rtl/>
        </w:rPr>
        <w:t xml:space="preserve"> </w:t>
      </w:r>
      <w:r w:rsidRPr="00D33657">
        <w:rPr>
          <w:rtl/>
          <w:lang w:bidi="ar-JO"/>
        </w:rPr>
        <w:t>المقدمة</w:t>
      </w:r>
      <w:r w:rsidRPr="00D33657">
        <w:rPr>
          <w:rtl/>
        </w:rPr>
        <w:t xml:space="preserve"> </w:t>
      </w:r>
      <w:r w:rsidRPr="00D33657">
        <w:rPr>
          <w:rtl/>
          <w:lang w:bidi="ar-JO"/>
        </w:rPr>
        <w:t>لهم</w:t>
      </w:r>
      <w:r w:rsidRPr="00D33657">
        <w:rPr>
          <w:rtl/>
        </w:rPr>
        <w:t xml:space="preserve"> </w:t>
      </w:r>
      <w:r w:rsidRPr="00D33657">
        <w:rPr>
          <w:rtl/>
          <w:lang w:bidi="ar-JO"/>
        </w:rPr>
        <w:t>بسبب</w:t>
      </w:r>
      <w:r w:rsidRPr="00D33657">
        <w:rPr>
          <w:rtl/>
        </w:rPr>
        <w:t xml:space="preserve"> </w:t>
      </w:r>
      <w:r w:rsidRPr="00D33657">
        <w:rPr>
          <w:rtl/>
          <w:lang w:bidi="ar-JO"/>
        </w:rPr>
        <w:t>قلة</w:t>
      </w:r>
      <w:r w:rsidRPr="00D33657">
        <w:rPr>
          <w:rtl/>
        </w:rPr>
        <w:t xml:space="preserve"> </w:t>
      </w:r>
      <w:r w:rsidRPr="00D33657">
        <w:rPr>
          <w:rtl/>
          <w:lang w:bidi="ar-JO"/>
        </w:rPr>
        <w:t>الاهتمام</w:t>
      </w:r>
      <w:r w:rsidRPr="00D33657">
        <w:rPr>
          <w:rtl/>
        </w:rPr>
        <w:t xml:space="preserve">. </w:t>
      </w:r>
      <w:r w:rsidRPr="00D33657">
        <w:rPr>
          <w:rtl/>
          <w:lang w:bidi="ar-JO"/>
        </w:rPr>
        <w:t>يوصى</w:t>
      </w:r>
      <w:r w:rsidRPr="00D33657">
        <w:rPr>
          <w:rtl/>
        </w:rPr>
        <w:t xml:space="preserve"> </w:t>
      </w:r>
      <w:r w:rsidRPr="00D33657">
        <w:rPr>
          <w:rtl/>
          <w:lang w:bidi="ar-JO"/>
        </w:rPr>
        <w:t>بأن</w:t>
      </w:r>
      <w:r w:rsidRPr="00D33657">
        <w:rPr>
          <w:rtl/>
        </w:rPr>
        <w:t xml:space="preserve"> </w:t>
      </w:r>
      <w:r w:rsidRPr="00D33657">
        <w:rPr>
          <w:rtl/>
          <w:lang w:bidi="ar-JO"/>
        </w:rPr>
        <w:t>توسع</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قنوات</w:t>
      </w:r>
      <w:r w:rsidRPr="00D33657">
        <w:rPr>
          <w:rtl/>
        </w:rPr>
        <w:t xml:space="preserve"> </w:t>
      </w:r>
      <w:r w:rsidRPr="00D33657">
        <w:rPr>
          <w:rtl/>
          <w:lang w:bidi="ar-JO"/>
        </w:rPr>
        <w:t>الاتصال</w:t>
      </w:r>
      <w:r w:rsidRPr="00D33657">
        <w:rPr>
          <w:rtl/>
        </w:rPr>
        <w:t xml:space="preserve"> </w:t>
      </w:r>
      <w:r w:rsidRPr="00D33657">
        <w:rPr>
          <w:rtl/>
          <w:lang w:bidi="ar-JO"/>
        </w:rPr>
        <w:t>مع</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الذين</w:t>
      </w:r>
      <w:r w:rsidRPr="00D33657">
        <w:rPr>
          <w:rtl/>
        </w:rPr>
        <w:t xml:space="preserve"> </w:t>
      </w:r>
      <w:r w:rsidRPr="00D33657">
        <w:rPr>
          <w:rtl/>
          <w:lang w:bidi="ar-JO"/>
        </w:rPr>
        <w:t>يسكنون</w:t>
      </w:r>
      <w:r w:rsidRPr="00D33657">
        <w:rPr>
          <w:rtl/>
        </w:rPr>
        <w:t xml:space="preserve"> </w:t>
      </w:r>
      <w:r w:rsidRPr="00D33657">
        <w:rPr>
          <w:rtl/>
          <w:lang w:bidi="ar-JO"/>
        </w:rPr>
        <w:t>في</w:t>
      </w:r>
      <w:r w:rsidRPr="00D33657">
        <w:rPr>
          <w:rtl/>
        </w:rPr>
        <w:t xml:space="preserve"> </w:t>
      </w:r>
      <w:r w:rsidRPr="00D33657">
        <w:rPr>
          <w:rtl/>
          <w:lang w:bidi="ar-JO"/>
        </w:rPr>
        <w:t>المناطق</w:t>
      </w:r>
      <w:r w:rsidRPr="00D33657">
        <w:rPr>
          <w:rtl/>
        </w:rPr>
        <w:t xml:space="preserve"> </w:t>
      </w:r>
      <w:r w:rsidRPr="00D33657">
        <w:rPr>
          <w:rtl/>
          <w:lang w:bidi="ar-JO"/>
        </w:rPr>
        <w:t>الواقعة</w:t>
      </w:r>
      <w:r w:rsidRPr="00D33657">
        <w:rPr>
          <w:rtl/>
        </w:rPr>
        <w:t xml:space="preserve"> </w:t>
      </w:r>
      <w:r w:rsidRPr="00D33657">
        <w:rPr>
          <w:rtl/>
          <w:lang w:bidi="ar-JO"/>
        </w:rPr>
        <w:t>ضمن</w:t>
      </w:r>
      <w:r w:rsidRPr="00D33657">
        <w:rPr>
          <w:rtl/>
        </w:rPr>
        <w:t xml:space="preserve"> </w:t>
      </w:r>
      <w:r w:rsidRPr="00D33657">
        <w:rPr>
          <w:rtl/>
          <w:lang w:bidi="ar-JO"/>
        </w:rPr>
        <w:t>نطاق</w:t>
      </w:r>
      <w:r w:rsidRPr="00D33657">
        <w:rPr>
          <w:rtl/>
        </w:rPr>
        <w:t xml:space="preserve"> </w:t>
      </w:r>
      <w:r w:rsidRPr="00D33657">
        <w:rPr>
          <w:rtl/>
          <w:lang w:bidi="ar-JO"/>
        </w:rPr>
        <w:t>اختصاصها</w:t>
      </w:r>
      <w:r w:rsidRPr="00D33657">
        <w:rPr>
          <w:rtl/>
        </w:rPr>
        <w:t xml:space="preserve"> </w:t>
      </w:r>
      <w:r w:rsidRPr="00D33657">
        <w:rPr>
          <w:rtl/>
          <w:lang w:bidi="ar-JO"/>
        </w:rPr>
        <w:t>وتحسّن</w:t>
      </w:r>
      <w:r w:rsidRPr="00D33657">
        <w:rPr>
          <w:rtl/>
        </w:rPr>
        <w:t xml:space="preserve"> </w:t>
      </w:r>
      <w:r w:rsidRPr="00D33657">
        <w:rPr>
          <w:rtl/>
          <w:lang w:bidi="ar-JO"/>
        </w:rPr>
        <w:t>إمكانية</w:t>
      </w:r>
      <w:r w:rsidRPr="00D33657">
        <w:rPr>
          <w:rtl/>
        </w:rPr>
        <w:t xml:space="preserve"> </w:t>
      </w:r>
      <w:r w:rsidRPr="00D33657">
        <w:rPr>
          <w:rtl/>
          <w:lang w:bidi="ar-JO"/>
        </w:rPr>
        <w:t>وصولهم</w:t>
      </w:r>
      <w:r w:rsidRPr="00D33657">
        <w:rPr>
          <w:rtl/>
        </w:rPr>
        <w:t xml:space="preserve"> </w:t>
      </w:r>
      <w:r w:rsidRPr="00D33657">
        <w:rPr>
          <w:rtl/>
          <w:lang w:bidi="ar-JO"/>
        </w:rPr>
        <w:t>إلى</w:t>
      </w:r>
      <w:r w:rsidRPr="00D33657">
        <w:rPr>
          <w:rtl/>
        </w:rPr>
        <w:t xml:space="preserve"> </w:t>
      </w:r>
      <w:r w:rsidRPr="00D33657">
        <w:rPr>
          <w:rtl/>
          <w:lang w:bidi="ar-JO"/>
        </w:rPr>
        <w:t>المعلومات</w:t>
      </w:r>
      <w:r w:rsidRPr="00D33657">
        <w:rPr>
          <w:rtl/>
        </w:rPr>
        <w:t xml:space="preserve">. </w:t>
      </w:r>
      <w:r w:rsidRPr="00D33657">
        <w:rPr>
          <w:rtl/>
          <w:lang w:bidi="ar-JO"/>
        </w:rPr>
        <w:t>كما</w:t>
      </w:r>
      <w:r w:rsidRPr="00D33657">
        <w:rPr>
          <w:rtl/>
        </w:rPr>
        <w:t xml:space="preserve"> </w:t>
      </w:r>
      <w:r w:rsidRPr="00D33657">
        <w:rPr>
          <w:rtl/>
          <w:lang w:bidi="ar-JO"/>
        </w:rPr>
        <w:t>ويوصى</w:t>
      </w:r>
      <w:r w:rsidRPr="00D33657">
        <w:rPr>
          <w:rtl/>
        </w:rPr>
        <w:t xml:space="preserve"> </w:t>
      </w:r>
      <w:r w:rsidRPr="00D33657">
        <w:rPr>
          <w:rtl/>
          <w:lang w:bidi="ar-JO"/>
        </w:rPr>
        <w:t>بمسح</w:t>
      </w:r>
      <w:r w:rsidRPr="00D33657">
        <w:rPr>
          <w:rtl/>
        </w:rPr>
        <w:t xml:space="preserve"> </w:t>
      </w:r>
      <w:r w:rsidRPr="00D33657">
        <w:rPr>
          <w:rtl/>
          <w:lang w:bidi="ar-JO"/>
        </w:rPr>
        <w:t>احتياجات</w:t>
      </w:r>
      <w:r w:rsidRPr="00D33657">
        <w:rPr>
          <w:rtl/>
        </w:rPr>
        <w:t xml:space="preserve"> </w:t>
      </w:r>
      <w:r w:rsidRPr="00D33657">
        <w:rPr>
          <w:rtl/>
          <w:lang w:bidi="ar-JO"/>
        </w:rPr>
        <w:t>فئة</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وإعداد</w:t>
      </w:r>
      <w:r w:rsidRPr="00D33657">
        <w:rPr>
          <w:rtl/>
        </w:rPr>
        <w:t xml:space="preserve"> </w:t>
      </w:r>
      <w:r w:rsidRPr="00D33657">
        <w:rPr>
          <w:rtl/>
          <w:lang w:bidi="ar-JO"/>
        </w:rPr>
        <w:t>خطط</w:t>
      </w:r>
      <w:r w:rsidRPr="00D33657">
        <w:rPr>
          <w:rtl/>
        </w:rPr>
        <w:t xml:space="preserve"> </w:t>
      </w:r>
      <w:r w:rsidRPr="00D33657">
        <w:rPr>
          <w:rtl/>
          <w:lang w:bidi="ar-JO"/>
        </w:rPr>
        <w:t>رئيسية</w:t>
      </w:r>
      <w:r w:rsidRPr="00D33657">
        <w:rPr>
          <w:rtl/>
        </w:rPr>
        <w:t xml:space="preserve"> </w:t>
      </w:r>
      <w:r w:rsidRPr="00D33657">
        <w:rPr>
          <w:rtl/>
          <w:lang w:bidi="ar-JO"/>
        </w:rPr>
        <w:t>تتضمن</w:t>
      </w:r>
      <w:r w:rsidRPr="00D33657">
        <w:rPr>
          <w:rtl/>
        </w:rPr>
        <w:t xml:space="preserve"> </w:t>
      </w:r>
      <w:r w:rsidRPr="00D33657">
        <w:rPr>
          <w:rtl/>
          <w:lang w:bidi="ar-JO"/>
        </w:rPr>
        <w:t>أهدافًا</w:t>
      </w:r>
      <w:r w:rsidRPr="00D33657">
        <w:rPr>
          <w:rtl/>
        </w:rPr>
        <w:t xml:space="preserve"> </w:t>
      </w:r>
      <w:r w:rsidRPr="00D33657">
        <w:rPr>
          <w:rtl/>
          <w:lang w:bidi="ar-JO"/>
        </w:rPr>
        <w:t>وغايات</w:t>
      </w:r>
      <w:r w:rsidRPr="00D33657">
        <w:rPr>
          <w:rtl/>
        </w:rPr>
        <w:t xml:space="preserve"> </w:t>
      </w:r>
      <w:r w:rsidRPr="00D33657">
        <w:rPr>
          <w:rtl/>
          <w:lang w:bidi="ar-JO"/>
        </w:rPr>
        <w:t>طويلة</w:t>
      </w:r>
      <w:r w:rsidRPr="00D33657">
        <w:rPr>
          <w:rtl/>
        </w:rPr>
        <w:t xml:space="preserve"> </w:t>
      </w:r>
      <w:r w:rsidRPr="00D33657">
        <w:rPr>
          <w:rtl/>
          <w:lang w:bidi="ar-JO"/>
        </w:rPr>
        <w:t>الأجل،</w:t>
      </w:r>
      <w:r w:rsidRPr="00D33657">
        <w:rPr>
          <w:rtl/>
        </w:rPr>
        <w:t xml:space="preserve"> </w:t>
      </w:r>
      <w:r w:rsidRPr="00D33657">
        <w:rPr>
          <w:rtl/>
          <w:lang w:bidi="ar-JO"/>
        </w:rPr>
        <w:t>التي</w:t>
      </w:r>
      <w:r w:rsidRPr="00D33657">
        <w:rPr>
          <w:rtl/>
        </w:rPr>
        <w:t xml:space="preserve"> </w:t>
      </w:r>
      <w:r w:rsidRPr="00D33657">
        <w:rPr>
          <w:rtl/>
          <w:lang w:bidi="ar-JO"/>
        </w:rPr>
        <w:t>سيتم</w:t>
      </w:r>
      <w:r w:rsidRPr="00D33657">
        <w:rPr>
          <w:rtl/>
        </w:rPr>
        <w:t xml:space="preserve"> </w:t>
      </w:r>
      <w:r w:rsidRPr="00D33657">
        <w:rPr>
          <w:rtl/>
          <w:lang w:bidi="ar-JO"/>
        </w:rPr>
        <w:t>بموجبها</w:t>
      </w:r>
      <w:r w:rsidRPr="00D33657">
        <w:rPr>
          <w:rtl/>
        </w:rPr>
        <w:t xml:space="preserve"> </w:t>
      </w:r>
      <w:r w:rsidRPr="00D33657">
        <w:rPr>
          <w:rtl/>
          <w:lang w:bidi="ar-JO"/>
        </w:rPr>
        <w:t>تحديد</w:t>
      </w:r>
      <w:r w:rsidRPr="00D33657">
        <w:rPr>
          <w:rtl/>
        </w:rPr>
        <w:t xml:space="preserve"> </w:t>
      </w:r>
      <w:r w:rsidRPr="00D33657">
        <w:rPr>
          <w:rtl/>
          <w:lang w:bidi="ar-JO"/>
        </w:rPr>
        <w:t>طرق</w:t>
      </w:r>
      <w:r w:rsidRPr="00D33657">
        <w:rPr>
          <w:rtl/>
        </w:rPr>
        <w:t xml:space="preserve"> </w:t>
      </w:r>
      <w:r w:rsidRPr="00D33657">
        <w:rPr>
          <w:rtl/>
          <w:lang w:bidi="ar-JO"/>
        </w:rPr>
        <w:t>الاستجابة</w:t>
      </w:r>
      <w:r w:rsidRPr="00D33657">
        <w:rPr>
          <w:rtl/>
        </w:rPr>
        <w:t xml:space="preserve"> </w:t>
      </w:r>
      <w:r w:rsidRPr="00D33657">
        <w:rPr>
          <w:rtl/>
          <w:lang w:bidi="ar-JO"/>
        </w:rPr>
        <w:t>لاحتياجات</w:t>
      </w:r>
      <w:r w:rsidRPr="00D33657">
        <w:rPr>
          <w:rtl/>
        </w:rPr>
        <w:t xml:space="preserve"> </w:t>
      </w:r>
      <w:r w:rsidRPr="00D33657">
        <w:rPr>
          <w:rtl/>
          <w:lang w:bidi="ar-JO"/>
        </w:rPr>
        <w:t>هؤلاء</w:t>
      </w:r>
      <w:r w:rsidRPr="00D33657">
        <w:rPr>
          <w:rtl/>
        </w:rPr>
        <w:t xml:space="preserve"> </w:t>
      </w:r>
      <w:r w:rsidRPr="00D33657">
        <w:rPr>
          <w:rtl/>
          <w:lang w:bidi="ar-JO"/>
        </w:rPr>
        <w:t>السكان،</w:t>
      </w:r>
      <w:r w:rsidRPr="00D33657">
        <w:rPr>
          <w:rtl/>
        </w:rPr>
        <w:t xml:space="preserve"> </w:t>
      </w:r>
      <w:r w:rsidRPr="00D33657">
        <w:rPr>
          <w:rtl/>
          <w:lang w:bidi="ar-JO"/>
        </w:rPr>
        <w:t>الذين</w:t>
      </w:r>
      <w:r w:rsidRPr="00D33657">
        <w:rPr>
          <w:rtl/>
        </w:rPr>
        <w:t xml:space="preserve"> </w:t>
      </w:r>
      <w:r w:rsidRPr="00D33657">
        <w:rPr>
          <w:rtl/>
          <w:lang w:bidi="ar-JO"/>
        </w:rPr>
        <w:t>من</w:t>
      </w:r>
      <w:r w:rsidRPr="00D33657">
        <w:rPr>
          <w:rtl/>
        </w:rPr>
        <w:t xml:space="preserve"> </w:t>
      </w:r>
      <w:r w:rsidRPr="00D33657">
        <w:rPr>
          <w:rtl/>
          <w:lang w:bidi="ar-JO"/>
        </w:rPr>
        <w:t>المتوقع</w:t>
      </w:r>
      <w:r w:rsidRPr="00D33657">
        <w:rPr>
          <w:rtl/>
        </w:rPr>
        <w:t xml:space="preserve"> </w:t>
      </w:r>
      <w:r w:rsidRPr="00D33657">
        <w:rPr>
          <w:rtl/>
          <w:lang w:bidi="ar-JO"/>
        </w:rPr>
        <w:t>أن</w:t>
      </w:r>
      <w:r w:rsidRPr="00D33657">
        <w:rPr>
          <w:rtl/>
        </w:rPr>
        <w:t xml:space="preserve"> </w:t>
      </w:r>
      <w:r w:rsidRPr="00D33657">
        <w:rPr>
          <w:rtl/>
          <w:lang w:bidi="ar-JO"/>
        </w:rPr>
        <w:t>تستمر</w:t>
      </w:r>
      <w:r w:rsidRPr="00D33657">
        <w:rPr>
          <w:rtl/>
        </w:rPr>
        <w:t xml:space="preserve"> </w:t>
      </w:r>
      <w:r w:rsidRPr="00D33657">
        <w:rPr>
          <w:rFonts w:hint="cs"/>
          <w:rtl/>
          <w:lang w:bidi="ar-JO"/>
        </w:rPr>
        <w:t>نسبتهم</w:t>
      </w:r>
      <w:r w:rsidRPr="00D33657">
        <w:rPr>
          <w:rtl/>
        </w:rPr>
        <w:t xml:space="preserve"> </w:t>
      </w:r>
      <w:r w:rsidRPr="00D33657">
        <w:rPr>
          <w:rtl/>
          <w:lang w:bidi="ar-JO"/>
        </w:rPr>
        <w:t>من</w:t>
      </w:r>
      <w:r w:rsidRPr="00D33657">
        <w:rPr>
          <w:rtl/>
        </w:rPr>
        <w:t xml:space="preserve"> </w:t>
      </w:r>
      <w:r w:rsidRPr="00D33657">
        <w:rPr>
          <w:rtl/>
          <w:lang w:bidi="ar-JO"/>
        </w:rPr>
        <w:t>السكان</w:t>
      </w:r>
      <w:r w:rsidRPr="00D33657">
        <w:rPr>
          <w:rtl/>
        </w:rPr>
        <w:t xml:space="preserve"> </w:t>
      </w:r>
      <w:r w:rsidRPr="00D33657">
        <w:rPr>
          <w:rtl/>
          <w:lang w:bidi="ar-JO"/>
        </w:rPr>
        <w:t>في</w:t>
      </w:r>
      <w:r w:rsidRPr="00D33657">
        <w:rPr>
          <w:rtl/>
        </w:rPr>
        <w:t xml:space="preserve"> </w:t>
      </w:r>
      <w:r w:rsidRPr="00D33657">
        <w:rPr>
          <w:rtl/>
          <w:lang w:bidi="ar-JO"/>
        </w:rPr>
        <w:t>النمو</w:t>
      </w:r>
      <w:r w:rsidRPr="00D33657">
        <w:rPr>
          <w:rtl/>
        </w:rPr>
        <w:t xml:space="preserve"> </w:t>
      </w:r>
      <w:r w:rsidRPr="00D33657">
        <w:rPr>
          <w:rtl/>
          <w:lang w:bidi="ar-JO"/>
        </w:rPr>
        <w:t>خلال</w:t>
      </w:r>
      <w:r w:rsidRPr="00D33657">
        <w:rPr>
          <w:rtl/>
        </w:rPr>
        <w:t xml:space="preserve"> </w:t>
      </w:r>
      <w:r w:rsidRPr="00D33657">
        <w:rPr>
          <w:rtl/>
          <w:lang w:bidi="ar-JO"/>
        </w:rPr>
        <w:t>السنوات</w:t>
      </w:r>
      <w:r w:rsidRPr="00D33657">
        <w:rPr>
          <w:rtl/>
        </w:rPr>
        <w:t xml:space="preserve"> </w:t>
      </w:r>
      <w:r w:rsidRPr="00D33657">
        <w:rPr>
          <w:rtl/>
          <w:lang w:bidi="ar-JO"/>
        </w:rPr>
        <w:t>المقبلة</w:t>
      </w:r>
      <w:r w:rsidRPr="00D33657">
        <w:rPr>
          <w:rtl/>
        </w:rPr>
        <w:t>.</w:t>
      </w:r>
    </w:p>
    <w:p w:rsidR="00696D27" w:rsidRPr="00D33657" w:rsidP="00696D27" w14:paraId="1058D30F" w14:textId="67C397D2">
      <w:pPr>
        <w:pStyle w:val="7190"/>
        <w:ind w:left="397"/>
        <w:rPr>
          <w:rtl/>
        </w:rPr>
      </w:pPr>
      <w:r w:rsidRPr="00D33657">
        <w:rPr>
          <w:rtl/>
          <w:lang w:bidi="ar-JO"/>
        </w:rPr>
        <w:t>خلال</w:t>
      </w:r>
      <w:r w:rsidRPr="00D33657">
        <w:rPr>
          <w:rtl/>
        </w:rPr>
        <w:t xml:space="preserve"> </w:t>
      </w:r>
      <w:r w:rsidRPr="00D33657">
        <w:rPr>
          <w:rtl/>
          <w:lang w:bidi="ar-JO"/>
        </w:rPr>
        <w:t>عام</w:t>
      </w:r>
      <w:r w:rsidRPr="00D33657">
        <w:rPr>
          <w:rtl/>
        </w:rPr>
        <w:t xml:space="preserve"> 2020</w:t>
      </w:r>
      <w:r w:rsidRPr="00D33657">
        <w:rPr>
          <w:rtl/>
          <w:lang w:bidi="ar-JO"/>
        </w:rPr>
        <w:t>،</w:t>
      </w:r>
      <w:r w:rsidRPr="00D33657">
        <w:rPr>
          <w:rtl/>
        </w:rPr>
        <w:t xml:space="preserve"> </w:t>
      </w:r>
      <w:r w:rsidRPr="00D33657">
        <w:rPr>
          <w:rtl/>
          <w:lang w:bidi="ar-JO"/>
        </w:rPr>
        <w:t>سكن</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1.6 </w:t>
      </w:r>
      <w:r w:rsidRPr="00D33657">
        <w:rPr>
          <w:rtl/>
          <w:lang w:bidi="ar-JO"/>
        </w:rPr>
        <w:t>مليون</w:t>
      </w:r>
      <w:r w:rsidRPr="00D33657">
        <w:rPr>
          <w:rtl/>
        </w:rPr>
        <w:t xml:space="preserve"> </w:t>
      </w:r>
      <w:r w:rsidRPr="00D33657">
        <w:rPr>
          <w:rtl/>
          <w:lang w:bidi="ar-JO"/>
        </w:rPr>
        <w:t>شخص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الذين</w:t>
      </w:r>
      <w:r w:rsidRPr="00D33657">
        <w:rPr>
          <w:rtl/>
        </w:rPr>
        <w:t xml:space="preserve"> </w:t>
      </w:r>
      <w:r w:rsidRPr="00D33657">
        <w:rPr>
          <w:rtl/>
          <w:lang w:bidi="ar-JO"/>
        </w:rPr>
        <w:t>يشكلون</w:t>
      </w:r>
      <w:r w:rsidRPr="00D33657">
        <w:rPr>
          <w:rtl/>
        </w:rPr>
        <w:t xml:space="preserve"> </w:t>
      </w:r>
      <w:r w:rsidRPr="00D33657">
        <w:rPr>
          <w:rtl/>
          <w:lang w:bidi="ar-JO"/>
        </w:rPr>
        <w:t>حوالي</w:t>
      </w:r>
      <w:r w:rsidRPr="00D33657">
        <w:rPr>
          <w:rtl/>
        </w:rPr>
        <w:t xml:space="preserve"> </w:t>
      </w:r>
      <w:r w:rsidR="00BF2285">
        <w:rPr>
          <w:rFonts w:hint="cs"/>
          <w:rtl/>
        </w:rPr>
        <w:t>17</w:t>
      </w:r>
      <w:r w:rsidRPr="00D33657">
        <w:rPr>
          <w:rtl/>
        </w:rPr>
        <w:t xml:space="preserve">% </w:t>
      </w:r>
      <w:r w:rsidRPr="00D33657">
        <w:rPr>
          <w:rtl/>
          <w:lang w:bidi="ar-JO"/>
        </w:rPr>
        <w:t>من</w:t>
      </w:r>
      <w:r w:rsidRPr="00D33657">
        <w:rPr>
          <w:rtl/>
        </w:rPr>
        <w:t xml:space="preserve"> </w:t>
      </w:r>
      <w:r w:rsidRPr="00D33657">
        <w:rPr>
          <w:rtl/>
          <w:lang w:bidi="ar-JO"/>
        </w:rPr>
        <w:t>إجمالي</w:t>
      </w:r>
      <w:r w:rsidRPr="00D33657">
        <w:rPr>
          <w:rtl/>
        </w:rPr>
        <w:t xml:space="preserve"> </w:t>
      </w:r>
      <w:r w:rsidRPr="00D33657">
        <w:rPr>
          <w:rtl/>
          <w:lang w:bidi="ar-JO"/>
        </w:rPr>
        <w:t>السكان</w:t>
      </w:r>
      <w:r w:rsidRPr="00D33657">
        <w:rPr>
          <w:rtl/>
        </w:rPr>
        <w:t xml:space="preserve">. </w:t>
      </w:r>
      <w:r w:rsidRPr="00D33657">
        <w:rPr>
          <w:rtl/>
          <w:lang w:bidi="ar-JO"/>
        </w:rPr>
        <w:t>كجزء</w:t>
      </w:r>
      <w:r w:rsidRPr="00D33657">
        <w:rPr>
          <w:rtl/>
        </w:rPr>
        <w:t xml:space="preserve"> </w:t>
      </w:r>
      <w:r w:rsidRPr="00D33657">
        <w:rPr>
          <w:rtl/>
          <w:lang w:bidi="ar-JO"/>
        </w:rPr>
        <w:t>من</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في</w:t>
      </w:r>
      <w:r w:rsidRPr="00D33657">
        <w:rPr>
          <w:rtl/>
        </w:rPr>
        <w:t xml:space="preserve"> </w:t>
      </w:r>
      <w:r w:rsidRPr="00D33657">
        <w:rPr>
          <w:rtl/>
          <w:lang w:bidi="ar-JO"/>
        </w:rPr>
        <w:t>موضوع</w:t>
      </w:r>
      <w:r w:rsidRPr="000D520E">
        <w:rPr>
          <w:rtl/>
          <w:lang w:val="ar"/>
        </w:rPr>
        <w:t xml:space="preserve"> </w:t>
      </w:r>
      <w:r w:rsidRPr="00D33657">
        <w:rPr>
          <w:bCs/>
          <w:rtl/>
          <w:lang w:val="ar" w:bidi="ar-JO"/>
        </w:rPr>
        <w:t>الخدمات</w:t>
      </w:r>
      <w:r w:rsidRPr="00D33657">
        <w:rPr>
          <w:bCs/>
          <w:rtl/>
          <w:lang w:val="ar"/>
        </w:rPr>
        <w:t xml:space="preserve"> </w:t>
      </w:r>
      <w:r w:rsidRPr="00D33657">
        <w:rPr>
          <w:bCs/>
          <w:rtl/>
          <w:lang w:val="ar" w:bidi="ar-JO"/>
        </w:rPr>
        <w:t>التي</w:t>
      </w:r>
      <w:r w:rsidRPr="00D33657">
        <w:rPr>
          <w:bCs/>
          <w:rtl/>
          <w:lang w:val="ar"/>
        </w:rPr>
        <w:t xml:space="preserve"> </w:t>
      </w:r>
      <w:r w:rsidRPr="00D33657">
        <w:rPr>
          <w:bCs/>
          <w:rtl/>
          <w:lang w:val="ar" w:bidi="ar-JO"/>
        </w:rPr>
        <w:t>تقدمها</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bCs/>
          <w:rtl/>
          <w:lang w:val="ar"/>
        </w:rPr>
        <w:t xml:space="preserve"> </w:t>
      </w:r>
      <w:r w:rsidRPr="00D33657">
        <w:rPr>
          <w:bCs/>
          <w:rtl/>
          <w:lang w:val="ar" w:bidi="ar-JO"/>
        </w:rPr>
        <w:t>للأشخاص</w:t>
      </w:r>
      <w:r w:rsidRPr="00D33657">
        <w:rPr>
          <w:bCs/>
          <w:rtl/>
          <w:lang w:val="ar"/>
        </w:rPr>
        <w:t xml:space="preserve"> </w:t>
      </w:r>
      <w:r w:rsidRPr="00D33657">
        <w:rPr>
          <w:bCs/>
          <w:rtl/>
          <w:lang w:val="ar" w:bidi="ar-JO"/>
        </w:rPr>
        <w:t>من</w:t>
      </w:r>
      <w:r w:rsidRPr="00D33657">
        <w:rPr>
          <w:bCs/>
          <w:rtl/>
          <w:lang w:val="ar"/>
        </w:rPr>
        <w:t xml:space="preserve"> </w:t>
      </w:r>
      <w:r w:rsidRPr="00D33657">
        <w:rPr>
          <w:bCs/>
          <w:rtl/>
          <w:lang w:val="ar" w:bidi="ar-JO"/>
        </w:rPr>
        <w:t>ذوي</w:t>
      </w:r>
      <w:r w:rsidRPr="00D33657">
        <w:rPr>
          <w:bCs/>
          <w:rtl/>
          <w:lang w:val="ar"/>
        </w:rPr>
        <w:t xml:space="preserve"> </w:t>
      </w:r>
      <w:r w:rsidRPr="00D33657">
        <w:rPr>
          <w:bCs/>
          <w:rtl/>
          <w:lang w:val="ar" w:bidi="ar-JO"/>
        </w:rPr>
        <w:t>الاحتياجات</w:t>
      </w:r>
      <w:r w:rsidRPr="00D33657">
        <w:rPr>
          <w:bCs/>
          <w:rtl/>
          <w:lang w:val="ar"/>
        </w:rPr>
        <w:t xml:space="preserve"> </w:t>
      </w:r>
      <w:r w:rsidRPr="00D33657">
        <w:rPr>
          <w:bCs/>
          <w:rtl/>
          <w:lang w:val="ar" w:bidi="ar-JO"/>
        </w:rPr>
        <w:t>الخاصة</w:t>
      </w:r>
      <w:r w:rsidRPr="00D33657">
        <w:rPr>
          <w:bCs/>
          <w:rtl/>
          <w:lang w:val="ar"/>
        </w:rPr>
        <w:t xml:space="preserve"> - </w:t>
      </w:r>
      <w:r w:rsidRPr="00D33657">
        <w:rPr>
          <w:bCs/>
          <w:rtl/>
          <w:lang w:val="ar" w:bidi="ar-JO"/>
        </w:rPr>
        <w:t>المنطقة</w:t>
      </w:r>
      <w:r w:rsidRPr="00D33657">
        <w:rPr>
          <w:bCs/>
          <w:rtl/>
          <w:lang w:val="ar"/>
        </w:rPr>
        <w:t xml:space="preserve"> </w:t>
      </w:r>
      <w:r w:rsidRPr="00D33657">
        <w:rPr>
          <w:bCs/>
          <w:rtl/>
          <w:lang w:val="ar" w:bidi="ar-JO"/>
        </w:rPr>
        <w:t>الوسطى</w:t>
      </w:r>
      <w:r w:rsidRPr="00D33657">
        <w:rPr>
          <w:bCs/>
          <w:rtl/>
          <w:lang w:val="ar"/>
        </w:rPr>
        <w:t xml:space="preserve"> </w:t>
      </w:r>
      <w:r w:rsidRPr="00D33657">
        <w:rPr>
          <w:bCs/>
          <w:rtl/>
          <w:lang w:val="ar" w:bidi="ar-JO"/>
        </w:rPr>
        <w:t>مقابل</w:t>
      </w:r>
      <w:r w:rsidRPr="00D33657">
        <w:rPr>
          <w:bCs/>
          <w:rtl/>
          <w:lang w:val="ar"/>
        </w:rPr>
        <w:t xml:space="preserve"> </w:t>
      </w:r>
      <w:r w:rsidRPr="00D33657">
        <w:rPr>
          <w:bCs/>
          <w:rtl/>
          <w:lang w:val="ar" w:bidi="ar-JO"/>
        </w:rPr>
        <w:t>المناطق</w:t>
      </w:r>
      <w:r w:rsidRPr="00D33657">
        <w:rPr>
          <w:bCs/>
          <w:rtl/>
          <w:lang w:val="ar"/>
        </w:rPr>
        <w:t xml:space="preserve"> </w:t>
      </w:r>
      <w:r w:rsidRPr="00D33657">
        <w:rPr>
          <w:bCs/>
          <w:rtl/>
          <w:lang w:val="ar" w:bidi="ar-JO"/>
        </w:rPr>
        <w:t>الريفية</w:t>
      </w:r>
      <w:r w:rsidRPr="000D520E">
        <w:rPr>
          <w:rtl/>
          <w:lang w:val="ar"/>
        </w:rPr>
        <w:t xml:space="preserve"> </w:t>
      </w:r>
      <w:r w:rsidRPr="00D33657">
        <w:rPr>
          <w:rtl/>
          <w:lang w:bidi="ar-JO"/>
        </w:rPr>
        <w:t>عُقدت</w:t>
      </w:r>
      <w:r w:rsidRPr="00D33657">
        <w:rPr>
          <w:rtl/>
        </w:rPr>
        <w:t xml:space="preserve"> </w:t>
      </w:r>
      <w:r w:rsidRPr="00D33657">
        <w:rPr>
          <w:rtl/>
          <w:lang w:bidi="ar-JO"/>
        </w:rPr>
        <w:t>أربعة</w:t>
      </w:r>
      <w:r w:rsidRPr="00D33657">
        <w:rPr>
          <w:rtl/>
        </w:rPr>
        <w:t xml:space="preserve"> </w:t>
      </w:r>
      <w:r w:rsidRPr="00D33657">
        <w:rPr>
          <w:rtl/>
          <w:lang w:bidi="ar-JO"/>
        </w:rPr>
        <w:t>لقاءات</w:t>
      </w:r>
      <w:r w:rsidRPr="00D33657">
        <w:rPr>
          <w:rtl/>
        </w:rPr>
        <w:t xml:space="preserve"> </w:t>
      </w:r>
      <w:r w:rsidRPr="00D33657">
        <w:rPr>
          <w:rtl/>
          <w:lang w:bidi="ar-JO"/>
        </w:rPr>
        <w:t>لمجموعات</w:t>
      </w:r>
      <w:r w:rsidRPr="00D33657">
        <w:rPr>
          <w:rtl/>
        </w:rPr>
        <w:t xml:space="preserve"> </w:t>
      </w:r>
      <w:r w:rsidRPr="00D33657">
        <w:rPr>
          <w:rtl/>
          <w:lang w:bidi="ar-JO"/>
        </w:rPr>
        <w:t>تركيز</w:t>
      </w:r>
      <w:r w:rsidRPr="00D33657">
        <w:rPr>
          <w:rtl/>
        </w:rPr>
        <w:t xml:space="preserve"> </w:t>
      </w:r>
      <w:r w:rsidRPr="00D33657">
        <w:rPr>
          <w:rtl/>
          <w:lang w:bidi="ar-JO"/>
        </w:rPr>
        <w:t>عبر</w:t>
      </w:r>
      <w:r w:rsidRPr="00D33657">
        <w:rPr>
          <w:rtl/>
        </w:rPr>
        <w:t xml:space="preserve"> </w:t>
      </w:r>
      <w:r w:rsidRPr="00D33657">
        <w:rPr>
          <w:rtl/>
          <w:lang w:bidi="ar-JO"/>
        </w:rPr>
        <w:t>الإنترنت</w:t>
      </w:r>
      <w:r w:rsidRPr="00D33657">
        <w:rPr>
          <w:rtl/>
        </w:rPr>
        <w:t xml:space="preserve"> </w:t>
      </w:r>
      <w:r w:rsidRPr="00D33657">
        <w:rPr>
          <w:rtl/>
          <w:lang w:bidi="ar-JO"/>
        </w:rPr>
        <w:t>والتي</w:t>
      </w:r>
      <w:r w:rsidRPr="00D33657">
        <w:rPr>
          <w:rtl/>
        </w:rPr>
        <w:t xml:space="preserve"> </w:t>
      </w:r>
      <w:r w:rsidRPr="00D33657">
        <w:rPr>
          <w:rtl/>
          <w:lang w:bidi="ar-JO"/>
        </w:rPr>
        <w:t>حضرها</w:t>
      </w:r>
      <w:r w:rsidRPr="00D33657">
        <w:rPr>
          <w:rtl/>
        </w:rPr>
        <w:t xml:space="preserve"> </w:t>
      </w:r>
      <w:r w:rsidRPr="00D33657">
        <w:rPr>
          <w:rFonts w:hint="cs"/>
          <w:rtl/>
          <w:lang w:bidi="ar-JO"/>
        </w:rPr>
        <w:t>أ</w:t>
      </w:r>
      <w:r w:rsidRPr="00D33657">
        <w:rPr>
          <w:rtl/>
          <w:lang w:bidi="ar-JO"/>
        </w:rPr>
        <w:t>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وآباء</w:t>
      </w:r>
      <w:r w:rsidRPr="00D33657">
        <w:rPr>
          <w:rtl/>
        </w:rPr>
        <w:t xml:space="preserve"> </w:t>
      </w:r>
      <w:r w:rsidRPr="00D33657">
        <w:rPr>
          <w:rtl/>
          <w:lang w:bidi="ar-JO"/>
        </w:rPr>
        <w:t>لأطفال</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من</w:t>
      </w:r>
      <w:r w:rsidRPr="00D33657">
        <w:rPr>
          <w:rtl/>
        </w:rPr>
        <w:t xml:space="preserve"> </w:t>
      </w:r>
      <w:r w:rsidRPr="00D33657">
        <w:rPr>
          <w:rtl/>
          <w:lang w:bidi="ar-JO"/>
        </w:rPr>
        <w:t>سكان</w:t>
      </w:r>
      <w:r w:rsidRPr="00D33657">
        <w:rPr>
          <w:rtl/>
        </w:rPr>
        <w:t xml:space="preserve"> </w:t>
      </w:r>
      <w:r w:rsidRPr="00D33657">
        <w:rPr>
          <w:rtl/>
          <w:lang w:bidi="ar-JO"/>
        </w:rPr>
        <w:t>البلدات</w:t>
      </w:r>
      <w:r w:rsidRPr="00D33657">
        <w:rPr>
          <w:rtl/>
        </w:rPr>
        <w:t xml:space="preserve"> </w:t>
      </w:r>
      <w:r w:rsidRPr="00D33657">
        <w:rPr>
          <w:rtl/>
          <w:lang w:bidi="ar-JO"/>
        </w:rPr>
        <w:t>في</w:t>
      </w:r>
      <w:r w:rsidRPr="00D33657">
        <w:rPr>
          <w:rtl/>
        </w:rPr>
        <w:t xml:space="preserve"> </w:t>
      </w:r>
      <w:r w:rsidRPr="00D33657">
        <w:rPr>
          <w:rtl/>
          <w:lang w:bidi="ar-JO"/>
        </w:rPr>
        <w:t>المنطقة</w:t>
      </w:r>
      <w:r w:rsidRPr="00D33657">
        <w:rPr>
          <w:rtl/>
        </w:rPr>
        <w:t xml:space="preserve"> </w:t>
      </w:r>
      <w:r w:rsidRPr="00D33657">
        <w:rPr>
          <w:rtl/>
          <w:lang w:bidi="ar-JO"/>
        </w:rPr>
        <w:t>الوسطى،</w:t>
      </w:r>
      <w:r w:rsidRPr="00D33657">
        <w:rPr>
          <w:rtl/>
        </w:rPr>
        <w:t xml:space="preserve"> </w:t>
      </w:r>
      <w:r w:rsidRPr="00D33657">
        <w:rPr>
          <w:rtl/>
          <w:lang w:bidi="ar-JO"/>
        </w:rPr>
        <w:t>وآباء</w:t>
      </w:r>
      <w:r w:rsidRPr="00D33657">
        <w:rPr>
          <w:rtl/>
        </w:rPr>
        <w:t xml:space="preserve"> </w:t>
      </w:r>
      <w:r w:rsidRPr="00D33657">
        <w:rPr>
          <w:rtl/>
          <w:lang w:bidi="ar-JO"/>
        </w:rPr>
        <w:t>لأطفال</w:t>
      </w:r>
      <w:r w:rsidRPr="00D33657">
        <w:rPr>
          <w:rtl/>
        </w:rPr>
        <w:t xml:space="preserve"> </w:t>
      </w:r>
      <w:r w:rsidRPr="00D33657">
        <w:rPr>
          <w:rtl/>
          <w:lang w:bidi="ar-JO"/>
        </w:rPr>
        <w:t>وبالغين</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من</w:t>
      </w:r>
      <w:r w:rsidRPr="00D33657">
        <w:rPr>
          <w:rtl/>
        </w:rPr>
        <w:t xml:space="preserve"> </w:t>
      </w:r>
      <w:r w:rsidRPr="00D33657">
        <w:rPr>
          <w:rtl/>
          <w:lang w:bidi="ar-JO"/>
        </w:rPr>
        <w:t>سكان</w:t>
      </w:r>
      <w:r w:rsidRPr="00D33657">
        <w:rPr>
          <w:rtl/>
        </w:rPr>
        <w:t xml:space="preserve"> </w:t>
      </w:r>
      <w:r w:rsidRPr="00D33657">
        <w:rPr>
          <w:rtl/>
          <w:lang w:bidi="ar-JO"/>
        </w:rPr>
        <w:t>البلدات</w:t>
      </w:r>
      <w:r w:rsidRPr="00D33657">
        <w:rPr>
          <w:rtl/>
        </w:rPr>
        <w:t xml:space="preserve"> </w:t>
      </w:r>
      <w:r w:rsidRPr="00D33657">
        <w:rPr>
          <w:rtl/>
          <w:lang w:bidi="ar-JO"/>
        </w:rPr>
        <w:t>في</w:t>
      </w:r>
      <w:r w:rsidRPr="00D33657">
        <w:rPr>
          <w:rtl/>
        </w:rPr>
        <w:t xml:space="preserve"> </w:t>
      </w:r>
      <w:r w:rsidRPr="00D33657">
        <w:rPr>
          <w:rtl/>
          <w:lang w:bidi="ar-JO"/>
        </w:rPr>
        <w:t>المناطق</w:t>
      </w:r>
      <w:r w:rsidRPr="00D33657">
        <w:rPr>
          <w:rtl/>
        </w:rPr>
        <w:t xml:space="preserve"> </w:t>
      </w:r>
      <w:r w:rsidRPr="00D33657">
        <w:rPr>
          <w:rtl/>
          <w:lang w:bidi="ar-JO"/>
        </w:rPr>
        <w:t>الريفية</w:t>
      </w:r>
      <w:r w:rsidRPr="00D33657">
        <w:rPr>
          <w:rtl/>
        </w:rPr>
        <w:t xml:space="preserve"> </w:t>
      </w:r>
      <w:r w:rsidRPr="00D33657">
        <w:rPr>
          <w:rtl/>
          <w:lang w:bidi="ar-JO"/>
        </w:rPr>
        <w:t>وكذلك</w:t>
      </w:r>
      <w:r w:rsidRPr="00D33657">
        <w:rPr>
          <w:rtl/>
        </w:rPr>
        <w:t xml:space="preserve"> </w:t>
      </w:r>
      <w:r w:rsidRPr="00D33657">
        <w:rPr>
          <w:rtl/>
          <w:lang w:bidi="ar-JO"/>
        </w:rPr>
        <w:t>أشقاء</w:t>
      </w:r>
      <w:r w:rsidRPr="00D33657">
        <w:rPr>
          <w:rtl/>
        </w:rPr>
        <w:t xml:space="preserve"> </w:t>
      </w:r>
      <w:r w:rsidRPr="00D33657">
        <w:rPr>
          <w:rtl/>
          <w:lang w:bidi="ar-JO"/>
        </w:rPr>
        <w:t>وشقيقات</w:t>
      </w:r>
      <w:r w:rsidRPr="00D33657">
        <w:rPr>
          <w:rtl/>
        </w:rPr>
        <w:t xml:space="preserve"> </w:t>
      </w:r>
      <w:r w:rsidRPr="00D33657">
        <w:rPr>
          <w:rtl/>
          <w:lang w:bidi="ar-JO"/>
        </w:rPr>
        <w:t>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ووجدت</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أن</w:t>
      </w:r>
      <w:r w:rsidRPr="00D33657">
        <w:rPr>
          <w:rtl/>
        </w:rPr>
        <w:t xml:space="preserve"> </w:t>
      </w:r>
      <w:r w:rsidRPr="00D33657">
        <w:rPr>
          <w:rtl/>
          <w:lang w:bidi="ar-JO"/>
        </w:rPr>
        <w:t>نطاق</w:t>
      </w:r>
      <w:r w:rsidRPr="00D33657">
        <w:rPr>
          <w:rtl/>
        </w:rPr>
        <w:t xml:space="preserve"> </w:t>
      </w:r>
      <w:r w:rsidRPr="00D33657">
        <w:rPr>
          <w:rtl/>
          <w:lang w:bidi="ar-JO"/>
        </w:rPr>
        <w:t>الخدمات</w:t>
      </w:r>
      <w:r w:rsidRPr="00D33657">
        <w:rPr>
          <w:rtl/>
        </w:rPr>
        <w:t xml:space="preserve"> </w:t>
      </w:r>
      <w:r w:rsidRPr="00D33657">
        <w:rPr>
          <w:rtl/>
          <w:lang w:bidi="ar-JO"/>
        </w:rPr>
        <w:t>المخصصة</w:t>
      </w:r>
      <w:r w:rsidRPr="00D33657">
        <w:rPr>
          <w:rtl/>
        </w:rPr>
        <w:t xml:space="preserve"> </w:t>
      </w:r>
      <w:r w:rsidRPr="00D33657">
        <w:rPr>
          <w:rtl/>
          <w:lang w:bidi="ar-JO"/>
        </w:rPr>
        <w:t>للأشخاص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ونطاق</w:t>
      </w:r>
      <w:r w:rsidRPr="00D33657">
        <w:rPr>
          <w:rtl/>
        </w:rPr>
        <w:t xml:space="preserve"> </w:t>
      </w:r>
      <w:r w:rsidRPr="00D33657">
        <w:rPr>
          <w:rtl/>
          <w:lang w:bidi="ar-JO"/>
        </w:rPr>
        <w:t>القوى</w:t>
      </w:r>
      <w:r w:rsidRPr="00D33657">
        <w:rPr>
          <w:rtl/>
        </w:rPr>
        <w:t xml:space="preserve"> </w:t>
      </w:r>
      <w:r w:rsidRPr="00D33657">
        <w:rPr>
          <w:rtl/>
          <w:lang w:bidi="ar-JO"/>
        </w:rPr>
        <w:t>العاملة</w:t>
      </w:r>
      <w:r w:rsidRPr="00D33657">
        <w:rPr>
          <w:rtl/>
        </w:rPr>
        <w:t xml:space="preserve"> </w:t>
      </w:r>
      <w:r w:rsidRPr="00D33657">
        <w:rPr>
          <w:rtl/>
          <w:lang w:bidi="ar-JO"/>
        </w:rPr>
        <w:t>في</w:t>
      </w:r>
      <w:r w:rsidRPr="00D33657">
        <w:rPr>
          <w:rtl/>
        </w:rPr>
        <w:t xml:space="preserve"> </w:t>
      </w:r>
      <w:r w:rsidRPr="00D33657">
        <w:rPr>
          <w:rtl/>
          <w:lang w:bidi="ar-JO"/>
        </w:rPr>
        <w:t>هذا</w:t>
      </w:r>
      <w:r w:rsidRPr="00D33657">
        <w:rPr>
          <w:rtl/>
        </w:rPr>
        <w:t xml:space="preserve"> </w:t>
      </w:r>
      <w:r w:rsidRPr="00D33657">
        <w:rPr>
          <w:rtl/>
          <w:lang w:bidi="ar-JO"/>
        </w:rPr>
        <w:t>المجال</w:t>
      </w:r>
      <w:r w:rsidRPr="00D33657">
        <w:rPr>
          <w:rtl/>
        </w:rPr>
        <w:t xml:space="preserve"> </w:t>
      </w:r>
      <w:r w:rsidRPr="00D33657">
        <w:rPr>
          <w:rtl/>
          <w:lang w:bidi="ar-JO"/>
        </w:rPr>
        <w:t>لدى</w:t>
      </w:r>
      <w:r w:rsidRPr="00D33657">
        <w:rPr>
          <w:rtl/>
        </w:rPr>
        <w:t xml:space="preserve"> </w:t>
      </w:r>
      <w:r w:rsidRPr="00D33657">
        <w:rPr>
          <w:rtl/>
          <w:lang w:bidi="ar-JO"/>
        </w:rPr>
        <w:t>سلطات</w:t>
      </w:r>
      <w:r w:rsidRPr="00D33657">
        <w:rPr>
          <w:rtl/>
        </w:rPr>
        <w:t xml:space="preserve"> </w:t>
      </w:r>
      <w:r w:rsidRPr="00D33657">
        <w:rPr>
          <w:rtl/>
          <w:lang w:bidi="ar-JO"/>
        </w:rPr>
        <w:t>المناطق</w:t>
      </w:r>
      <w:r w:rsidRPr="00D33657">
        <w:rPr>
          <w:rtl/>
        </w:rPr>
        <w:t xml:space="preserve"> </w:t>
      </w:r>
      <w:r w:rsidRPr="00D33657">
        <w:rPr>
          <w:rtl/>
          <w:lang w:bidi="ar-JO"/>
        </w:rPr>
        <w:t>الريفية</w:t>
      </w:r>
      <w:r w:rsidRPr="00D33657">
        <w:rPr>
          <w:rtl/>
        </w:rPr>
        <w:t xml:space="preserve"> </w:t>
      </w:r>
      <w:r w:rsidRPr="00D33657">
        <w:rPr>
          <w:rtl/>
          <w:lang w:bidi="ar-JO"/>
        </w:rPr>
        <w:t>محدودة</w:t>
      </w:r>
      <w:r w:rsidRPr="00D33657">
        <w:rPr>
          <w:rtl/>
        </w:rPr>
        <w:t xml:space="preserve"> </w:t>
      </w:r>
      <w:r w:rsidRPr="00D33657">
        <w:rPr>
          <w:rtl/>
          <w:lang w:bidi="ar-JO"/>
        </w:rPr>
        <w:t>مقارنة</w:t>
      </w:r>
      <w:r w:rsidRPr="00D33657">
        <w:rPr>
          <w:rtl/>
        </w:rPr>
        <w:t xml:space="preserve"> </w:t>
      </w:r>
      <w:r w:rsidRPr="00D33657">
        <w:rPr>
          <w:rtl/>
          <w:lang w:bidi="ar-JO"/>
        </w:rPr>
        <w:t>بهذه</w:t>
      </w:r>
      <w:r w:rsidRPr="00D33657">
        <w:rPr>
          <w:rtl/>
        </w:rPr>
        <w:t xml:space="preserve"> </w:t>
      </w:r>
      <w:r w:rsidRPr="00D33657">
        <w:rPr>
          <w:rtl/>
          <w:lang w:bidi="ar-JO"/>
        </w:rPr>
        <w:t>الخدمات</w:t>
      </w:r>
      <w:r w:rsidRPr="00D33657">
        <w:rPr>
          <w:rtl/>
        </w:rPr>
        <w:t xml:space="preserve"> </w:t>
      </w:r>
      <w:r w:rsidRPr="00D33657">
        <w:rPr>
          <w:rtl/>
          <w:lang w:bidi="ar-JO"/>
        </w:rPr>
        <w:t>ونطاق</w:t>
      </w:r>
      <w:r w:rsidRPr="00D33657">
        <w:rPr>
          <w:rtl/>
        </w:rPr>
        <w:t xml:space="preserve"> </w:t>
      </w:r>
      <w:r w:rsidRPr="00D33657">
        <w:rPr>
          <w:rtl/>
          <w:lang w:bidi="ar-JO"/>
        </w:rPr>
        <w:t>القوى</w:t>
      </w:r>
      <w:r w:rsidRPr="00D33657">
        <w:rPr>
          <w:rtl/>
        </w:rPr>
        <w:t xml:space="preserve"> </w:t>
      </w:r>
      <w:r w:rsidRPr="00D33657">
        <w:rPr>
          <w:rtl/>
          <w:lang w:bidi="ar-JO"/>
        </w:rPr>
        <w:t>العاملة</w:t>
      </w:r>
      <w:r w:rsidRPr="00D33657">
        <w:rPr>
          <w:rtl/>
        </w:rPr>
        <w:t xml:space="preserve"> </w:t>
      </w:r>
      <w:r w:rsidRPr="00D33657">
        <w:rPr>
          <w:rtl/>
          <w:lang w:bidi="ar-JO"/>
        </w:rPr>
        <w:t>المنخرطة</w:t>
      </w:r>
      <w:r w:rsidRPr="00D33657">
        <w:rPr>
          <w:rtl/>
        </w:rPr>
        <w:t xml:space="preserve"> </w:t>
      </w:r>
      <w:r w:rsidRPr="00D33657">
        <w:rPr>
          <w:rtl/>
          <w:lang w:bidi="ar-JO"/>
        </w:rPr>
        <w:t>في</w:t>
      </w:r>
      <w:r w:rsidRPr="00D33657">
        <w:rPr>
          <w:rtl/>
        </w:rPr>
        <w:t xml:space="preserve"> </w:t>
      </w:r>
      <w:r w:rsidRPr="00D33657">
        <w:rPr>
          <w:rtl/>
          <w:lang w:bidi="ar-JO"/>
        </w:rPr>
        <w:t>هذا</w:t>
      </w:r>
      <w:r w:rsidRPr="00D33657">
        <w:rPr>
          <w:rtl/>
        </w:rPr>
        <w:t xml:space="preserve"> </w:t>
      </w:r>
      <w:r w:rsidRPr="00D33657">
        <w:rPr>
          <w:rtl/>
          <w:lang w:bidi="ar-JO"/>
        </w:rPr>
        <w:t>المجال</w:t>
      </w:r>
      <w:r w:rsidRPr="00D33657">
        <w:rPr>
          <w:rtl/>
        </w:rPr>
        <w:t xml:space="preserve"> </w:t>
      </w:r>
      <w:r w:rsidRPr="00D33657">
        <w:rPr>
          <w:rtl/>
          <w:lang w:bidi="ar-JO"/>
        </w:rPr>
        <w:t>في</w:t>
      </w:r>
      <w:r w:rsidRPr="00D33657">
        <w:rPr>
          <w:rtl/>
        </w:rPr>
        <w:t xml:space="preserve"> </w:t>
      </w:r>
      <w:r w:rsidRPr="00D33657">
        <w:rPr>
          <w:rtl/>
          <w:lang w:bidi="ar-JO"/>
        </w:rPr>
        <w:t>سلطات</w:t>
      </w:r>
      <w:r w:rsidRPr="00D33657">
        <w:rPr>
          <w:rtl/>
        </w:rPr>
        <w:t xml:space="preserve"> </w:t>
      </w:r>
      <w:r w:rsidRPr="00D33657">
        <w:rPr>
          <w:rtl/>
          <w:lang w:bidi="ar-JO"/>
        </w:rPr>
        <w:t>المنطقة</w:t>
      </w:r>
      <w:r w:rsidRPr="00D33657">
        <w:rPr>
          <w:rtl/>
        </w:rPr>
        <w:t xml:space="preserve"> </w:t>
      </w:r>
      <w:r w:rsidRPr="00D33657">
        <w:rPr>
          <w:rtl/>
          <w:lang w:bidi="ar-JO"/>
        </w:rPr>
        <w:t>الوسطى</w:t>
      </w:r>
      <w:r w:rsidRPr="00D33657">
        <w:rPr>
          <w:rtl/>
        </w:rPr>
        <w:t xml:space="preserve">. </w:t>
      </w:r>
      <w:r w:rsidRPr="00D33657">
        <w:rPr>
          <w:rtl/>
          <w:lang w:bidi="ar-JO"/>
        </w:rPr>
        <w:t>في</w:t>
      </w:r>
      <w:r w:rsidRPr="00D33657">
        <w:rPr>
          <w:rtl/>
        </w:rPr>
        <w:t xml:space="preserve"> </w:t>
      </w:r>
      <w:r w:rsidRPr="00D33657">
        <w:rPr>
          <w:rtl/>
          <w:lang w:bidi="ar-JO"/>
        </w:rPr>
        <w:t>سلطات</w:t>
      </w:r>
      <w:r w:rsidRPr="00D33657">
        <w:rPr>
          <w:rtl/>
        </w:rPr>
        <w:t xml:space="preserve"> </w:t>
      </w:r>
      <w:r w:rsidRPr="00D33657">
        <w:rPr>
          <w:rtl/>
          <w:lang w:bidi="ar-JO"/>
        </w:rPr>
        <w:t>المناطق</w:t>
      </w:r>
      <w:r w:rsidRPr="00D33657">
        <w:rPr>
          <w:rtl/>
        </w:rPr>
        <w:t xml:space="preserve"> </w:t>
      </w:r>
      <w:r w:rsidRPr="00D33657">
        <w:rPr>
          <w:rtl/>
          <w:lang w:bidi="ar-JO"/>
        </w:rPr>
        <w:t>الريفية،</w:t>
      </w:r>
      <w:r w:rsidRPr="00D33657">
        <w:rPr>
          <w:rtl/>
        </w:rPr>
        <w:t xml:space="preserve"> </w:t>
      </w:r>
      <w:r w:rsidRPr="00D33657">
        <w:rPr>
          <w:rtl/>
          <w:lang w:bidi="ar-JO"/>
        </w:rPr>
        <w:t>تبين</w:t>
      </w:r>
      <w:r w:rsidRPr="00D33657">
        <w:rPr>
          <w:rFonts w:hint="cs"/>
          <w:rtl/>
        </w:rPr>
        <w:t xml:space="preserve"> </w:t>
      </w:r>
      <w:r w:rsidRPr="00D33657">
        <w:rPr>
          <w:rFonts w:hint="cs"/>
          <w:rtl/>
          <w:lang w:bidi="ar-JO"/>
        </w:rPr>
        <w:t xml:space="preserve">أن </w:t>
      </w:r>
      <w:r w:rsidRPr="00D33657">
        <w:rPr>
          <w:rtl/>
          <w:lang w:bidi="ar-JO"/>
        </w:rPr>
        <w:t>عدد</w:t>
      </w:r>
      <w:r w:rsidRPr="00D33657">
        <w:rPr>
          <w:rtl/>
        </w:rPr>
        <w:t xml:space="preserve"> </w:t>
      </w:r>
      <w:r w:rsidRPr="00D33657">
        <w:rPr>
          <w:rtl/>
          <w:lang w:bidi="ar-JO"/>
        </w:rPr>
        <w:t>النوادي</w:t>
      </w:r>
      <w:r w:rsidRPr="00D33657">
        <w:rPr>
          <w:rtl/>
        </w:rPr>
        <w:t xml:space="preserve"> </w:t>
      </w:r>
      <w:r w:rsidRPr="00D33657">
        <w:rPr>
          <w:rtl/>
          <w:lang w:bidi="ar-JO"/>
        </w:rPr>
        <w:t>الاجتماعية</w:t>
      </w:r>
      <w:r w:rsidRPr="00D33657">
        <w:rPr>
          <w:rtl/>
        </w:rPr>
        <w:t xml:space="preserve"> </w:t>
      </w:r>
      <w:r w:rsidRPr="00D33657">
        <w:rPr>
          <w:rtl/>
          <w:lang w:bidi="ar-JO"/>
        </w:rPr>
        <w:t>صغيرًا،</w:t>
      </w:r>
      <w:r w:rsidRPr="00D33657">
        <w:rPr>
          <w:rtl/>
        </w:rPr>
        <w:t xml:space="preserve"> </w:t>
      </w:r>
      <w:r w:rsidRPr="00D33657">
        <w:rPr>
          <w:rtl/>
          <w:lang w:bidi="ar-JO"/>
        </w:rPr>
        <w:t>ويتم</w:t>
      </w:r>
      <w:r w:rsidRPr="00D33657">
        <w:rPr>
          <w:rtl/>
        </w:rPr>
        <w:t xml:space="preserve"> </w:t>
      </w:r>
      <w:r w:rsidRPr="00D33657">
        <w:rPr>
          <w:rtl/>
          <w:lang w:bidi="ar-JO"/>
        </w:rPr>
        <w:t>تحقيق</w:t>
      </w:r>
      <w:r w:rsidRPr="00D33657">
        <w:rPr>
          <w:rtl/>
        </w:rPr>
        <w:t xml:space="preserve"> </w:t>
      </w:r>
      <w:r w:rsidRPr="00D33657">
        <w:rPr>
          <w:rtl/>
          <w:lang w:bidi="ar-JO"/>
        </w:rPr>
        <w:t>الانطلاق</w:t>
      </w:r>
      <w:r w:rsidRPr="00D33657">
        <w:rPr>
          <w:rtl/>
        </w:rPr>
        <w:t xml:space="preserve"> </w:t>
      </w:r>
      <w:r w:rsidRPr="00D33657">
        <w:rPr>
          <w:rtl/>
          <w:lang w:bidi="ar-JO"/>
        </w:rPr>
        <w:t>إلى</w:t>
      </w:r>
      <w:r w:rsidRPr="00D33657">
        <w:rPr>
          <w:rtl/>
        </w:rPr>
        <w:t xml:space="preserve"> </w:t>
      </w:r>
      <w:r w:rsidRPr="00D33657">
        <w:rPr>
          <w:rtl/>
          <w:lang w:bidi="ar-JO"/>
        </w:rPr>
        <w:t>بيوت</w:t>
      </w:r>
      <w:r w:rsidRPr="00D33657">
        <w:rPr>
          <w:rtl/>
        </w:rPr>
        <w:t xml:space="preserve"> </w:t>
      </w:r>
      <w:r w:rsidRPr="00D33657">
        <w:rPr>
          <w:rtl/>
          <w:lang w:bidi="ar-JO"/>
        </w:rPr>
        <w:t>النقاهة</w:t>
      </w:r>
      <w:r w:rsidRPr="00D33657">
        <w:rPr>
          <w:rtl/>
        </w:rPr>
        <w:t xml:space="preserve"> </w:t>
      </w:r>
      <w:r w:rsidRPr="00D33657">
        <w:rPr>
          <w:rtl/>
          <w:lang w:bidi="ar-JO"/>
        </w:rPr>
        <w:t>جزئيا،</w:t>
      </w:r>
      <w:r w:rsidRPr="00D33657">
        <w:rPr>
          <w:rtl/>
        </w:rPr>
        <w:t xml:space="preserve"> </w:t>
      </w:r>
      <w:r w:rsidRPr="00D33657">
        <w:rPr>
          <w:rtl/>
          <w:lang w:bidi="ar-JO"/>
        </w:rPr>
        <w:t>وفي</w:t>
      </w:r>
      <w:r w:rsidRPr="00D33657">
        <w:rPr>
          <w:rtl/>
        </w:rPr>
        <w:t xml:space="preserve"> </w:t>
      </w:r>
      <w:r w:rsidRPr="00D33657">
        <w:rPr>
          <w:rtl/>
          <w:lang w:bidi="ar-JO"/>
        </w:rPr>
        <w:t>معظمها</w:t>
      </w:r>
      <w:r w:rsidRPr="00D33657">
        <w:rPr>
          <w:rtl/>
        </w:rPr>
        <w:t xml:space="preserve"> </w:t>
      </w:r>
      <w:r w:rsidRPr="00D33657">
        <w:rPr>
          <w:rtl/>
          <w:lang w:bidi="ar-JO"/>
        </w:rPr>
        <w:t>لا</w:t>
      </w:r>
      <w:r w:rsidRPr="00D33657">
        <w:rPr>
          <w:rtl/>
        </w:rPr>
        <w:t xml:space="preserve"> </w:t>
      </w:r>
      <w:r w:rsidRPr="00D33657">
        <w:rPr>
          <w:rtl/>
          <w:lang w:bidi="ar-JO"/>
        </w:rPr>
        <w:t>توجد</w:t>
      </w:r>
      <w:r w:rsidRPr="00D33657">
        <w:rPr>
          <w:rtl/>
        </w:rPr>
        <w:t xml:space="preserve"> </w:t>
      </w:r>
      <w:r w:rsidRPr="00D33657">
        <w:rPr>
          <w:rtl/>
          <w:lang w:bidi="ar-JO"/>
        </w:rPr>
        <w:t>جهة</w:t>
      </w:r>
      <w:r w:rsidRPr="00D33657">
        <w:rPr>
          <w:rtl/>
        </w:rPr>
        <w:t xml:space="preserve"> </w:t>
      </w:r>
      <w:r w:rsidRPr="00D33657">
        <w:rPr>
          <w:rtl/>
          <w:lang w:bidi="ar-JO"/>
        </w:rPr>
        <w:t>تنسيق</w:t>
      </w:r>
      <w:r w:rsidRPr="00D33657">
        <w:rPr>
          <w:rtl/>
        </w:rPr>
        <w:t xml:space="preserve"> </w:t>
      </w:r>
      <w:r w:rsidRPr="00D33657">
        <w:rPr>
          <w:rtl/>
          <w:lang w:bidi="ar-JO"/>
        </w:rPr>
        <w:t>مهنية</w:t>
      </w:r>
      <w:r w:rsidRPr="00D33657">
        <w:rPr>
          <w:rtl/>
        </w:rPr>
        <w:t xml:space="preserve"> </w:t>
      </w:r>
      <w:r w:rsidRPr="00D33657">
        <w:rPr>
          <w:rtl/>
          <w:lang w:bidi="ar-JO"/>
        </w:rPr>
        <w:t>في</w:t>
      </w:r>
      <w:r w:rsidRPr="00D33657">
        <w:rPr>
          <w:rtl/>
        </w:rPr>
        <w:t xml:space="preserve"> </w:t>
      </w:r>
      <w:r w:rsidRPr="00D33657">
        <w:rPr>
          <w:rtl/>
          <w:lang w:bidi="ar-JO"/>
        </w:rPr>
        <w:t>مجال</w:t>
      </w:r>
      <w:r w:rsidRPr="00D33657">
        <w:rPr>
          <w:rtl/>
        </w:rPr>
        <w:t xml:space="preserve"> </w:t>
      </w:r>
      <w:r w:rsidRPr="00D33657">
        <w:rPr>
          <w:rtl/>
          <w:lang w:bidi="ar-JO"/>
        </w:rPr>
        <w:t>الإعاقات</w:t>
      </w:r>
      <w:r w:rsidRPr="00D33657">
        <w:rPr>
          <w:rtl/>
        </w:rPr>
        <w:t xml:space="preserve">. </w:t>
      </w:r>
      <w:r w:rsidRPr="00D33657">
        <w:rPr>
          <w:rtl/>
          <w:lang w:bidi="ar-JO"/>
        </w:rPr>
        <w:t>تبين</w:t>
      </w:r>
      <w:r w:rsidRPr="00D33657">
        <w:rPr>
          <w:rtl/>
        </w:rPr>
        <w:t xml:space="preserve"> </w:t>
      </w:r>
      <w:r w:rsidRPr="00D33657">
        <w:rPr>
          <w:rtl/>
          <w:lang w:bidi="ar-JO"/>
        </w:rPr>
        <w:t>أيضًا</w:t>
      </w:r>
      <w:r w:rsidRPr="00D33657">
        <w:rPr>
          <w:rtl/>
        </w:rPr>
        <w:t xml:space="preserve"> </w:t>
      </w:r>
      <w:r w:rsidRPr="00D33657">
        <w:rPr>
          <w:rtl/>
          <w:lang w:bidi="ar-JO"/>
        </w:rPr>
        <w:t>أن</w:t>
      </w:r>
      <w:r w:rsidRPr="00D33657">
        <w:rPr>
          <w:rtl/>
        </w:rPr>
        <w:t xml:space="preserve"> </w:t>
      </w:r>
      <w:r w:rsidRPr="00D33657">
        <w:rPr>
          <w:rtl/>
          <w:lang w:bidi="ar-JO"/>
        </w:rPr>
        <w:t>وزارة</w:t>
      </w:r>
      <w:r w:rsidRPr="00D33657">
        <w:rPr>
          <w:rtl/>
        </w:rPr>
        <w:t xml:space="preserve"> </w:t>
      </w:r>
      <w:r w:rsidRPr="00D33657">
        <w:rPr>
          <w:rtl/>
          <w:lang w:bidi="ar-JO"/>
        </w:rPr>
        <w:t>الرفاه</w:t>
      </w:r>
      <w:r w:rsidRPr="00D33657">
        <w:rPr>
          <w:rtl/>
        </w:rPr>
        <w:t xml:space="preserve"> </w:t>
      </w:r>
      <w:r w:rsidRPr="00D33657">
        <w:rPr>
          <w:rtl/>
          <w:lang w:bidi="ar-JO"/>
        </w:rPr>
        <w:t>لم</w:t>
      </w:r>
      <w:r w:rsidRPr="00D33657">
        <w:rPr>
          <w:rtl/>
        </w:rPr>
        <w:t xml:space="preserve"> </w:t>
      </w:r>
      <w:r w:rsidRPr="00D33657">
        <w:rPr>
          <w:rtl/>
          <w:lang w:bidi="ar-JO"/>
        </w:rPr>
        <w:t>تقم</w:t>
      </w:r>
      <w:r w:rsidRPr="00D33657">
        <w:rPr>
          <w:rtl/>
        </w:rPr>
        <w:t xml:space="preserve"> </w:t>
      </w:r>
      <w:r w:rsidRPr="00D33657">
        <w:rPr>
          <w:rtl/>
          <w:lang w:bidi="ar-JO"/>
        </w:rPr>
        <w:t>منذ</w:t>
      </w:r>
      <w:r w:rsidRPr="00D33657">
        <w:rPr>
          <w:rtl/>
        </w:rPr>
        <w:t xml:space="preserve"> </w:t>
      </w:r>
      <w:r w:rsidRPr="00D33657">
        <w:rPr>
          <w:rtl/>
          <w:lang w:bidi="ar-JO"/>
        </w:rPr>
        <w:t>أكثر</w:t>
      </w:r>
      <w:r w:rsidRPr="00D33657">
        <w:rPr>
          <w:rtl/>
        </w:rPr>
        <w:t xml:space="preserve"> </w:t>
      </w:r>
      <w:r w:rsidRPr="00D33657">
        <w:rPr>
          <w:rtl/>
          <w:lang w:bidi="ar-JO"/>
        </w:rPr>
        <w:t>من</w:t>
      </w:r>
      <w:r w:rsidRPr="00D33657">
        <w:rPr>
          <w:rtl/>
        </w:rPr>
        <w:t xml:space="preserve"> </w:t>
      </w:r>
      <w:r w:rsidRPr="00D33657">
        <w:rPr>
          <w:rtl/>
          <w:lang w:bidi="ar-JO"/>
        </w:rPr>
        <w:t>خمس</w:t>
      </w:r>
      <w:r w:rsidRPr="00D33657">
        <w:rPr>
          <w:rtl/>
        </w:rPr>
        <w:t xml:space="preserve"> </w:t>
      </w:r>
      <w:r w:rsidRPr="00D33657">
        <w:rPr>
          <w:rtl/>
          <w:lang w:bidi="ar-JO"/>
        </w:rPr>
        <w:t>سنوات</w:t>
      </w:r>
      <w:r w:rsidRPr="00D33657">
        <w:rPr>
          <w:rtl/>
        </w:rPr>
        <w:t xml:space="preserve"> </w:t>
      </w:r>
      <w:r w:rsidRPr="00D33657">
        <w:rPr>
          <w:rtl/>
          <w:lang w:bidi="ar-JO"/>
        </w:rPr>
        <w:t>بتكييف</w:t>
      </w:r>
      <w:r w:rsidRPr="00D33657">
        <w:rPr>
          <w:rtl/>
        </w:rPr>
        <w:t xml:space="preserve"> </w:t>
      </w:r>
      <w:r w:rsidRPr="00D33657">
        <w:rPr>
          <w:rtl/>
          <w:lang w:bidi="ar-JO"/>
        </w:rPr>
        <w:t>أحكام</w:t>
      </w:r>
      <w:r w:rsidRPr="00D33657">
        <w:rPr>
          <w:rtl/>
        </w:rPr>
        <w:t xml:space="preserve"> </w:t>
      </w:r>
      <w:r w:rsidRPr="00D33657">
        <w:rPr>
          <w:rtl/>
          <w:lang w:bidi="ar-JO"/>
        </w:rPr>
        <w:t>اللائحة</w:t>
      </w:r>
      <w:r w:rsidRPr="00D33657">
        <w:rPr>
          <w:rtl/>
        </w:rPr>
        <w:t xml:space="preserve"> </w:t>
      </w:r>
      <w:r w:rsidRPr="00D33657">
        <w:rPr>
          <w:rtl/>
          <w:lang w:bidi="ar-JO"/>
        </w:rPr>
        <w:t>الداخلية</w:t>
      </w:r>
      <w:r w:rsidRPr="00D33657">
        <w:rPr>
          <w:rtl/>
        </w:rPr>
        <w:t xml:space="preserve"> </w:t>
      </w:r>
      <w:r w:rsidRPr="00D33657">
        <w:rPr>
          <w:rtl/>
          <w:lang w:bidi="ar-JO"/>
        </w:rPr>
        <w:t>للعمل</w:t>
      </w:r>
      <w:r w:rsidRPr="00D33657">
        <w:rPr>
          <w:rtl/>
        </w:rPr>
        <w:t xml:space="preserve"> </w:t>
      </w:r>
      <w:r w:rsidRPr="00D33657">
        <w:rPr>
          <w:rtl/>
          <w:lang w:bidi="ar-JO"/>
        </w:rPr>
        <w:t>الاجتماعي</w:t>
      </w:r>
      <w:r w:rsidRPr="00D33657">
        <w:rPr>
          <w:rtl/>
        </w:rPr>
        <w:t xml:space="preserve"> </w:t>
      </w:r>
      <w:r w:rsidRPr="00D33657">
        <w:rPr>
          <w:rtl/>
          <w:lang w:bidi="ar-JO"/>
        </w:rPr>
        <w:t>والأسعار</w:t>
      </w:r>
      <w:r w:rsidRPr="00D33657">
        <w:rPr>
          <w:rtl/>
        </w:rPr>
        <w:t xml:space="preserve"> </w:t>
      </w:r>
      <w:r w:rsidRPr="00D33657">
        <w:rPr>
          <w:rtl/>
          <w:lang w:bidi="ar-JO"/>
        </w:rPr>
        <w:t>والخدمات</w:t>
      </w:r>
      <w:r w:rsidRPr="00D33657">
        <w:rPr>
          <w:rtl/>
        </w:rPr>
        <w:t xml:space="preserve"> </w:t>
      </w:r>
      <w:r w:rsidRPr="00D33657">
        <w:rPr>
          <w:rtl/>
          <w:lang w:bidi="ar-JO"/>
        </w:rPr>
        <w:t>ونظم</w:t>
      </w:r>
      <w:r w:rsidRPr="00D33657">
        <w:rPr>
          <w:rtl/>
        </w:rPr>
        <w:t xml:space="preserve"> </w:t>
      </w:r>
      <w:r w:rsidRPr="00D33657">
        <w:rPr>
          <w:rtl/>
          <w:lang w:bidi="ar-JO"/>
        </w:rPr>
        <w:t>المعلومات</w:t>
      </w:r>
      <w:r w:rsidRPr="00D33657">
        <w:rPr>
          <w:rtl/>
        </w:rPr>
        <w:t xml:space="preserve"> </w:t>
      </w:r>
      <w:r w:rsidRPr="00D33657">
        <w:rPr>
          <w:rtl/>
          <w:lang w:bidi="ar-JO"/>
        </w:rPr>
        <w:t>مع</w:t>
      </w:r>
      <w:r w:rsidRPr="00D33657">
        <w:rPr>
          <w:rtl/>
        </w:rPr>
        <w:t xml:space="preserve"> </w:t>
      </w:r>
      <w:r w:rsidRPr="00D33657">
        <w:rPr>
          <w:rtl/>
          <w:lang w:bidi="ar-JO"/>
        </w:rPr>
        <w:t>المفهوم</w:t>
      </w:r>
      <w:r w:rsidRPr="00D33657">
        <w:rPr>
          <w:rtl/>
        </w:rPr>
        <w:t xml:space="preserve"> </w:t>
      </w:r>
      <w:r w:rsidRPr="00D33657">
        <w:rPr>
          <w:rtl/>
          <w:lang w:bidi="ar-JO"/>
        </w:rPr>
        <w:t>الذي</w:t>
      </w:r>
      <w:r w:rsidRPr="00D33657">
        <w:rPr>
          <w:rtl/>
        </w:rPr>
        <w:t xml:space="preserve"> </w:t>
      </w:r>
      <w:r w:rsidRPr="00D33657">
        <w:rPr>
          <w:rtl/>
          <w:lang w:bidi="ar-JO"/>
        </w:rPr>
        <w:t>أنشئت</w:t>
      </w:r>
      <w:r w:rsidRPr="00D33657">
        <w:rPr>
          <w:rtl/>
        </w:rPr>
        <w:t xml:space="preserve"> </w:t>
      </w:r>
      <w:r w:rsidRPr="00D33657">
        <w:rPr>
          <w:rtl/>
          <w:lang w:bidi="ar-JO"/>
        </w:rPr>
        <w:t>من</w:t>
      </w:r>
      <w:r w:rsidRPr="00D33657">
        <w:rPr>
          <w:rtl/>
        </w:rPr>
        <w:t xml:space="preserve"> </w:t>
      </w:r>
      <w:r w:rsidRPr="00D33657">
        <w:rPr>
          <w:rtl/>
          <w:lang w:bidi="ar-JO"/>
        </w:rPr>
        <w:t>أجله</w:t>
      </w:r>
      <w:r w:rsidRPr="00D33657">
        <w:rPr>
          <w:rtl/>
        </w:rPr>
        <w:t xml:space="preserve"> </w:t>
      </w:r>
      <w:r w:rsidRPr="00D33657">
        <w:rPr>
          <w:rtl/>
          <w:lang w:bidi="ar-JO"/>
        </w:rPr>
        <w:t>إدارة</w:t>
      </w:r>
      <w:r w:rsidRPr="00D33657">
        <w:rPr>
          <w:rtl/>
        </w:rPr>
        <w:t xml:space="preserve"> </w:t>
      </w:r>
      <w:r w:rsidRPr="00D33657">
        <w:rPr>
          <w:rtl/>
          <w:lang w:bidi="ar-JO"/>
        </w:rPr>
        <w:t>الإعاقات</w:t>
      </w:r>
      <w:r w:rsidRPr="00D33657">
        <w:rPr>
          <w:rtl/>
        </w:rPr>
        <w:t xml:space="preserve"> </w:t>
      </w:r>
      <w:r w:rsidRPr="00D33657">
        <w:rPr>
          <w:rtl/>
          <w:lang w:bidi="ar-JO"/>
        </w:rPr>
        <w:t>التابعة</w:t>
      </w:r>
      <w:r w:rsidRPr="00D33657">
        <w:rPr>
          <w:rtl/>
        </w:rPr>
        <w:t xml:space="preserve"> </w:t>
      </w:r>
      <w:r w:rsidRPr="00D33657">
        <w:rPr>
          <w:rtl/>
          <w:lang w:bidi="ar-JO"/>
        </w:rPr>
        <w:t>لوزارة</w:t>
      </w:r>
      <w:r w:rsidRPr="00D33657">
        <w:rPr>
          <w:rtl/>
        </w:rPr>
        <w:t xml:space="preserve"> </w:t>
      </w:r>
      <w:r w:rsidRPr="00D33657">
        <w:rPr>
          <w:rtl/>
          <w:lang w:bidi="ar-JO"/>
        </w:rPr>
        <w:t>الرفاه،</w:t>
      </w:r>
      <w:r w:rsidRPr="00D33657">
        <w:rPr>
          <w:rtl/>
        </w:rPr>
        <w:t xml:space="preserve"> </w:t>
      </w:r>
      <w:r w:rsidRPr="00D33657">
        <w:rPr>
          <w:rtl/>
          <w:lang w:bidi="ar-JO"/>
        </w:rPr>
        <w:t>والذي</w:t>
      </w:r>
      <w:r w:rsidRPr="00D33657">
        <w:rPr>
          <w:rtl/>
        </w:rPr>
        <w:t xml:space="preserve"> </w:t>
      </w:r>
      <w:r w:rsidRPr="00D33657">
        <w:rPr>
          <w:rtl/>
          <w:lang w:bidi="ar-JO"/>
        </w:rPr>
        <w:t>بموجبه</w:t>
      </w:r>
      <w:r w:rsidRPr="00D33657">
        <w:rPr>
          <w:rtl/>
        </w:rPr>
        <w:t xml:space="preserve"> </w:t>
      </w:r>
      <w:r w:rsidRPr="00D33657">
        <w:rPr>
          <w:rtl/>
          <w:lang w:bidi="ar-JO"/>
        </w:rPr>
        <w:t>يتم</w:t>
      </w:r>
      <w:r w:rsidRPr="00D33657">
        <w:rPr>
          <w:rtl/>
        </w:rPr>
        <w:t xml:space="preserve"> </w:t>
      </w:r>
      <w:r w:rsidRPr="00D33657">
        <w:rPr>
          <w:rtl/>
          <w:lang w:bidi="ar-JO"/>
        </w:rPr>
        <w:t>علاج</w:t>
      </w:r>
      <w:r w:rsidRPr="00D33657">
        <w:rPr>
          <w:rtl/>
        </w:rPr>
        <w:t xml:space="preserve"> </w:t>
      </w:r>
      <w:r w:rsidRPr="00D33657">
        <w:rPr>
          <w:rtl/>
          <w:lang w:bidi="ar-JO"/>
        </w:rPr>
        <w:t>الأشخاص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على</w:t>
      </w:r>
      <w:r w:rsidRPr="00D33657">
        <w:rPr>
          <w:rtl/>
        </w:rPr>
        <w:t xml:space="preserve"> </w:t>
      </w:r>
      <w:r w:rsidRPr="00D33657">
        <w:rPr>
          <w:rtl/>
          <w:lang w:bidi="ar-JO"/>
        </w:rPr>
        <w:t>أساس</w:t>
      </w:r>
      <w:r w:rsidRPr="00D33657">
        <w:rPr>
          <w:rtl/>
        </w:rPr>
        <w:t xml:space="preserve"> </w:t>
      </w:r>
      <w:r w:rsidRPr="00D33657">
        <w:rPr>
          <w:rtl/>
          <w:lang w:bidi="ar-JO"/>
        </w:rPr>
        <w:t>الوظيفة</w:t>
      </w:r>
      <w:r w:rsidRPr="00D33657">
        <w:rPr>
          <w:rtl/>
        </w:rPr>
        <w:t xml:space="preserve"> </w:t>
      </w:r>
      <w:r w:rsidRPr="00D33657">
        <w:rPr>
          <w:rtl/>
          <w:lang w:bidi="ar-JO"/>
        </w:rPr>
        <w:t>وليس</w:t>
      </w:r>
      <w:r w:rsidRPr="00D33657">
        <w:rPr>
          <w:rtl/>
        </w:rPr>
        <w:t xml:space="preserve"> </w:t>
      </w:r>
      <w:r w:rsidRPr="00D33657">
        <w:rPr>
          <w:rtl/>
          <w:lang w:bidi="ar-JO"/>
        </w:rPr>
        <w:t>وفقًا</w:t>
      </w:r>
      <w:r w:rsidRPr="00D33657">
        <w:rPr>
          <w:rtl/>
        </w:rPr>
        <w:t xml:space="preserve"> </w:t>
      </w:r>
      <w:r w:rsidRPr="00D33657">
        <w:rPr>
          <w:rtl/>
          <w:lang w:bidi="ar-JO"/>
        </w:rPr>
        <w:t>للتشخيص</w:t>
      </w:r>
      <w:r w:rsidRPr="00D33657">
        <w:rPr>
          <w:rtl/>
        </w:rPr>
        <w:t xml:space="preserve"> </w:t>
      </w:r>
      <w:r w:rsidRPr="00D33657">
        <w:rPr>
          <w:rtl/>
          <w:lang w:bidi="ar-JO"/>
        </w:rPr>
        <w:t>الطبي</w:t>
      </w:r>
      <w:r w:rsidRPr="00D33657">
        <w:rPr>
          <w:rtl/>
        </w:rPr>
        <w:t xml:space="preserve">. </w:t>
      </w:r>
      <w:r w:rsidRPr="00D33657">
        <w:rPr>
          <w:rtl/>
          <w:lang w:bidi="ar-JO"/>
        </w:rPr>
        <w:t>في</w:t>
      </w:r>
      <w:r w:rsidRPr="00D33657">
        <w:rPr>
          <w:rtl/>
        </w:rPr>
        <w:t xml:space="preserve"> </w:t>
      </w:r>
      <w:r w:rsidRPr="00D33657">
        <w:rPr>
          <w:rtl/>
          <w:lang w:bidi="ar-JO"/>
        </w:rPr>
        <w:t>عام</w:t>
      </w:r>
      <w:r w:rsidRPr="00D33657">
        <w:rPr>
          <w:rtl/>
        </w:rPr>
        <w:t xml:space="preserve"> 2021</w:t>
      </w:r>
      <w:r w:rsidRPr="00D33657">
        <w:rPr>
          <w:rtl/>
          <w:lang w:bidi="ar-JO"/>
        </w:rPr>
        <w:t>،</w:t>
      </w:r>
      <w:r w:rsidRPr="00D33657">
        <w:rPr>
          <w:rtl/>
        </w:rPr>
        <w:t xml:space="preserve"> </w:t>
      </w:r>
      <w:r w:rsidRPr="00D33657">
        <w:rPr>
          <w:rtl/>
          <w:lang w:bidi="ar-JO"/>
        </w:rPr>
        <w:t>لم</w:t>
      </w:r>
      <w:r w:rsidRPr="00D33657">
        <w:rPr>
          <w:rtl/>
        </w:rPr>
        <w:t xml:space="preserve"> </w:t>
      </w:r>
      <w:r w:rsidRPr="00D33657">
        <w:rPr>
          <w:rFonts w:hint="cs"/>
          <w:rtl/>
          <w:lang w:bidi="ar-JO"/>
        </w:rPr>
        <w:t>تحقق</w:t>
      </w:r>
      <w:r w:rsidRPr="00D33657">
        <w:rPr>
          <w:rtl/>
        </w:rPr>
        <w:t xml:space="preserve"> </w:t>
      </w:r>
      <w:r w:rsidRPr="00D33657">
        <w:rPr>
          <w:rtl/>
          <w:lang w:bidi="ar-JO"/>
        </w:rPr>
        <w:t>حوالي</w:t>
      </w:r>
      <w:r w:rsidRPr="00D33657">
        <w:rPr>
          <w:rtl/>
        </w:rPr>
        <w:t xml:space="preserve"> 26% </w:t>
      </w:r>
      <w:r w:rsidRPr="00D33657">
        <w:rPr>
          <w:rtl/>
          <w:lang w:bidi="ar-JO"/>
        </w:rPr>
        <w:t>من</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w:t>
      </w:r>
      <w:r w:rsidRPr="00D33657">
        <w:rPr>
          <w:rtl/>
          <w:lang w:bidi="ar-JO"/>
        </w:rPr>
        <w:t>التي</w:t>
      </w:r>
      <w:r w:rsidRPr="00D33657">
        <w:rPr>
          <w:rtl/>
        </w:rPr>
        <w:t xml:space="preserve"> </w:t>
      </w:r>
      <w:r w:rsidRPr="001D5633" w:rsidR="001D5633">
        <w:rPr>
          <w:rtl/>
          <w:lang w:bidi="ar-JO"/>
        </w:rPr>
        <w:t>يكون</w:t>
      </w:r>
      <w:r w:rsidR="001D5633">
        <w:rPr>
          <w:rFonts w:hint="cs"/>
          <w:rtl/>
        </w:rPr>
        <w:t xml:space="preserve"> </w:t>
      </w:r>
      <w:r w:rsidRPr="00D33657">
        <w:rPr>
          <w:rtl/>
          <w:lang w:bidi="ar-JO"/>
        </w:rPr>
        <w:t>غالبية</w:t>
      </w:r>
      <w:r w:rsidRPr="00D33657">
        <w:rPr>
          <w:rtl/>
        </w:rPr>
        <w:t xml:space="preserve"> </w:t>
      </w:r>
      <w:r w:rsidRPr="00D33657">
        <w:rPr>
          <w:rtl/>
          <w:lang w:bidi="ar-JO"/>
        </w:rPr>
        <w:t>سكانها</w:t>
      </w:r>
      <w:r w:rsidRPr="00D33657">
        <w:rPr>
          <w:rtl/>
        </w:rPr>
        <w:t xml:space="preserve"> </w:t>
      </w:r>
      <w:r w:rsidRPr="00D33657">
        <w:rPr>
          <w:rtl/>
          <w:lang w:bidi="ar-JO"/>
        </w:rPr>
        <w:t>من</w:t>
      </w:r>
      <w:r w:rsidRPr="00D33657">
        <w:rPr>
          <w:rtl/>
        </w:rPr>
        <w:t xml:space="preserve"> </w:t>
      </w:r>
      <w:r w:rsidRPr="00D33657">
        <w:rPr>
          <w:rtl/>
          <w:lang w:bidi="ar-JO"/>
        </w:rPr>
        <w:t>اليهود</w:t>
      </w:r>
      <w:r w:rsidRPr="00D33657">
        <w:rPr>
          <w:rtl/>
        </w:rPr>
        <w:t xml:space="preserve"> </w:t>
      </w:r>
      <w:r w:rsidRPr="00D33657">
        <w:rPr>
          <w:rtl/>
          <w:lang w:bidi="ar-JO"/>
        </w:rPr>
        <w:t>هدف</w:t>
      </w:r>
      <w:r w:rsidRPr="00D33657">
        <w:rPr>
          <w:rtl/>
        </w:rPr>
        <w:t xml:space="preserve"> </w:t>
      </w:r>
      <w:r w:rsidRPr="00D33657">
        <w:rPr>
          <w:rtl/>
          <w:lang w:bidi="ar-JO"/>
        </w:rPr>
        <w:t>التمثيل</w:t>
      </w:r>
      <w:r w:rsidRPr="00D33657">
        <w:rPr>
          <w:rtl/>
        </w:rPr>
        <w:t xml:space="preserve"> </w:t>
      </w:r>
      <w:r w:rsidRPr="00D33657">
        <w:rPr>
          <w:rtl/>
          <w:lang w:bidi="ar-JO"/>
        </w:rPr>
        <w:t>المناسب</w:t>
      </w:r>
      <w:r w:rsidRPr="00D33657">
        <w:rPr>
          <w:rtl/>
        </w:rPr>
        <w:t xml:space="preserve"> </w:t>
      </w:r>
      <w:r w:rsidRPr="00D33657">
        <w:rPr>
          <w:rtl/>
          <w:lang w:bidi="ar-JO"/>
        </w:rPr>
        <w:t>بالكامل،</w:t>
      </w:r>
      <w:r w:rsidRPr="00D33657">
        <w:rPr>
          <w:rtl/>
        </w:rPr>
        <w:t xml:space="preserve"> </w:t>
      </w:r>
      <w:r w:rsidRPr="00D33657">
        <w:rPr>
          <w:rtl/>
          <w:lang w:bidi="ar-JO"/>
        </w:rPr>
        <w:t>في</w:t>
      </w:r>
      <w:r w:rsidRPr="00D33657">
        <w:rPr>
          <w:rtl/>
        </w:rPr>
        <w:t xml:space="preserve"> </w:t>
      </w:r>
      <w:r w:rsidRPr="00D33657">
        <w:rPr>
          <w:rtl/>
          <w:lang w:bidi="ar-JO"/>
        </w:rPr>
        <w:t>حين</w:t>
      </w:r>
      <w:r w:rsidRPr="00D33657">
        <w:rPr>
          <w:rtl/>
        </w:rPr>
        <w:t xml:space="preserve"> </w:t>
      </w:r>
      <w:r w:rsidRPr="00D33657">
        <w:rPr>
          <w:rtl/>
          <w:lang w:bidi="ar-JO"/>
        </w:rPr>
        <w:t>لم</w:t>
      </w:r>
      <w:r w:rsidRPr="00D33657">
        <w:rPr>
          <w:rtl/>
        </w:rPr>
        <w:t xml:space="preserve"> </w:t>
      </w:r>
      <w:r w:rsidRPr="00D33657">
        <w:rPr>
          <w:rtl/>
          <w:lang w:bidi="ar-JO"/>
        </w:rPr>
        <w:t>يحقق</w:t>
      </w:r>
      <w:r w:rsidRPr="00D33657">
        <w:rPr>
          <w:rtl/>
        </w:rPr>
        <w:t xml:space="preserve"> 62% </w:t>
      </w:r>
      <w:r w:rsidRPr="00D33657">
        <w:rPr>
          <w:rtl/>
          <w:lang w:bidi="ar-JO"/>
        </w:rPr>
        <w:t>من</w:t>
      </w:r>
      <w:r w:rsidRPr="00D33657">
        <w:rPr>
          <w:rtl/>
        </w:rPr>
        <w:t xml:space="preserve"> </w:t>
      </w:r>
      <w:r w:rsidRPr="00D33657">
        <w:rPr>
          <w:rtl/>
          <w:lang w:bidi="ar-JO"/>
        </w:rPr>
        <w:t>بين</w:t>
      </w:r>
      <w:r w:rsidRPr="00D33657">
        <w:rPr>
          <w:rtl/>
        </w:rPr>
        <w:t xml:space="preserve"> </w:t>
      </w:r>
      <w:r w:rsidRPr="00D33657">
        <w:rPr>
          <w:rtl/>
          <w:lang w:bidi="ar-JO"/>
        </w:rPr>
        <w:t>السلطات</w:t>
      </w:r>
      <w:r w:rsidRPr="00D33657">
        <w:rPr>
          <w:rtl/>
        </w:rPr>
        <w:t xml:space="preserve"> </w:t>
      </w:r>
      <w:r w:rsidRPr="00D33657">
        <w:rPr>
          <w:rtl/>
          <w:lang w:bidi="ar-JO"/>
        </w:rPr>
        <w:t>التي</w:t>
      </w:r>
      <w:r w:rsidRPr="00D33657">
        <w:rPr>
          <w:rtl/>
        </w:rPr>
        <w:t xml:space="preserve"> </w:t>
      </w:r>
      <w:r w:rsidRPr="001D5633" w:rsidR="001D5633">
        <w:rPr>
          <w:rtl/>
          <w:lang w:bidi="ar-JO"/>
        </w:rPr>
        <w:t>يكون</w:t>
      </w:r>
      <w:r w:rsidR="001D5633">
        <w:rPr>
          <w:rFonts w:hint="cs"/>
          <w:rtl/>
        </w:rPr>
        <w:t xml:space="preserve"> </w:t>
      </w:r>
      <w:r w:rsidRPr="00D33657">
        <w:rPr>
          <w:rtl/>
          <w:lang w:bidi="ar-JO"/>
        </w:rPr>
        <w:t>غالبية</w:t>
      </w:r>
      <w:r w:rsidRPr="00D33657">
        <w:rPr>
          <w:rtl/>
        </w:rPr>
        <w:t xml:space="preserve"> </w:t>
      </w:r>
      <w:r w:rsidRPr="00D33657">
        <w:rPr>
          <w:rtl/>
          <w:lang w:bidi="ar-JO"/>
        </w:rPr>
        <w:t>سكانها</w:t>
      </w:r>
      <w:r w:rsidRPr="00D33657">
        <w:rPr>
          <w:rtl/>
        </w:rPr>
        <w:t xml:space="preserve"> </w:t>
      </w:r>
      <w:r w:rsidRPr="00D33657">
        <w:rPr>
          <w:rtl/>
          <w:lang w:bidi="ar-JO"/>
        </w:rPr>
        <w:t>من</w:t>
      </w:r>
      <w:r w:rsidRPr="00D33657">
        <w:rPr>
          <w:rtl/>
        </w:rPr>
        <w:t xml:space="preserve"> </w:t>
      </w:r>
      <w:r w:rsidRPr="00D33657">
        <w:rPr>
          <w:rtl/>
          <w:lang w:bidi="ar-JO"/>
        </w:rPr>
        <w:t>غير</w:t>
      </w:r>
      <w:r w:rsidRPr="00D33657">
        <w:rPr>
          <w:rtl/>
        </w:rPr>
        <w:t xml:space="preserve"> </w:t>
      </w:r>
      <w:r w:rsidRPr="00D33657">
        <w:rPr>
          <w:rtl/>
          <w:lang w:bidi="ar-JO"/>
        </w:rPr>
        <w:t>اليهود،</w:t>
      </w:r>
      <w:r w:rsidRPr="00D33657">
        <w:rPr>
          <w:rtl/>
        </w:rPr>
        <w:t xml:space="preserve"> </w:t>
      </w:r>
      <w:r w:rsidRPr="00D33657">
        <w:rPr>
          <w:rtl/>
          <w:lang w:bidi="ar-JO"/>
        </w:rPr>
        <w:t>هدف</w:t>
      </w:r>
      <w:r w:rsidRPr="00D33657">
        <w:rPr>
          <w:rtl/>
        </w:rPr>
        <w:t xml:space="preserve"> </w:t>
      </w:r>
      <w:r w:rsidRPr="00D33657">
        <w:rPr>
          <w:rtl/>
          <w:lang w:bidi="ar-JO"/>
        </w:rPr>
        <w:t>التمثيل</w:t>
      </w:r>
      <w:r w:rsidRPr="00D33657">
        <w:rPr>
          <w:rtl/>
        </w:rPr>
        <w:t xml:space="preserve"> </w:t>
      </w:r>
      <w:r w:rsidRPr="00D33657">
        <w:rPr>
          <w:rtl/>
          <w:lang w:bidi="ar-JO"/>
        </w:rPr>
        <w:t>المناسب</w:t>
      </w:r>
      <w:r w:rsidRPr="00D33657">
        <w:rPr>
          <w:rtl/>
        </w:rPr>
        <w:t xml:space="preserve"> </w:t>
      </w:r>
      <w:r w:rsidRPr="00D33657">
        <w:rPr>
          <w:rtl/>
          <w:lang w:bidi="ar-JO"/>
        </w:rPr>
        <w:t>بالكامل</w:t>
      </w:r>
      <w:r w:rsidRPr="00D33657">
        <w:rPr>
          <w:rtl/>
        </w:rPr>
        <w:t xml:space="preserve">. </w:t>
      </w:r>
      <w:r w:rsidRPr="00D33657">
        <w:rPr>
          <w:rtl/>
          <w:lang w:bidi="ar-JO"/>
        </w:rPr>
        <w:t>هناك</w:t>
      </w:r>
      <w:r w:rsidRPr="00D33657">
        <w:rPr>
          <w:rtl/>
        </w:rPr>
        <w:t xml:space="preserve"> </w:t>
      </w:r>
      <w:r w:rsidRPr="00D33657">
        <w:rPr>
          <w:rtl/>
          <w:lang w:bidi="ar-JO"/>
        </w:rPr>
        <w:t>أيضًا</w:t>
      </w:r>
      <w:r w:rsidRPr="00D33657">
        <w:rPr>
          <w:rtl/>
        </w:rPr>
        <w:t xml:space="preserve"> </w:t>
      </w:r>
      <w:r w:rsidRPr="00D33657">
        <w:rPr>
          <w:rtl/>
          <w:lang w:bidi="ar-JO"/>
        </w:rPr>
        <w:t>اختلافات</w:t>
      </w:r>
      <w:r w:rsidRPr="00D33657">
        <w:rPr>
          <w:rtl/>
        </w:rPr>
        <w:t xml:space="preserve"> </w:t>
      </w:r>
      <w:r w:rsidRPr="00D33657">
        <w:rPr>
          <w:rtl/>
          <w:lang w:bidi="ar-JO"/>
        </w:rPr>
        <w:t>كبيرة</w:t>
      </w:r>
      <w:r w:rsidRPr="00D33657">
        <w:rPr>
          <w:rtl/>
        </w:rPr>
        <w:t xml:space="preserve"> </w:t>
      </w:r>
      <w:r w:rsidRPr="00D33657">
        <w:rPr>
          <w:rtl/>
          <w:lang w:bidi="ar-JO"/>
        </w:rPr>
        <w:t>بين</w:t>
      </w:r>
      <w:r w:rsidRPr="00D33657">
        <w:rPr>
          <w:rtl/>
        </w:rPr>
        <w:t xml:space="preserve"> </w:t>
      </w:r>
      <w:r w:rsidRPr="00D33657">
        <w:rPr>
          <w:rtl/>
          <w:lang w:bidi="ar-JO"/>
        </w:rPr>
        <w:t>السلطات</w:t>
      </w:r>
      <w:r w:rsidRPr="00D33657">
        <w:rPr>
          <w:rtl/>
        </w:rPr>
        <w:t xml:space="preserve"> </w:t>
      </w:r>
      <w:r w:rsidRPr="00D33657">
        <w:rPr>
          <w:rtl/>
          <w:lang w:bidi="ar-JO"/>
        </w:rPr>
        <w:t>في</w:t>
      </w:r>
      <w:r w:rsidRPr="00D33657">
        <w:rPr>
          <w:rtl/>
        </w:rPr>
        <w:t xml:space="preserve"> </w:t>
      </w:r>
      <w:r w:rsidRPr="00D33657">
        <w:rPr>
          <w:rtl/>
          <w:lang w:bidi="ar-JO"/>
        </w:rPr>
        <w:t>توظيف</w:t>
      </w:r>
      <w:r w:rsidRPr="00D33657">
        <w:rPr>
          <w:rtl/>
        </w:rPr>
        <w:t xml:space="preserve"> </w:t>
      </w:r>
      <w:r w:rsidRPr="00D33657">
        <w:rPr>
          <w:rtl/>
          <w:lang w:bidi="ar-JO"/>
        </w:rPr>
        <w:t>العمال</w:t>
      </w:r>
      <w:r w:rsidRPr="00D33657">
        <w:rPr>
          <w:rtl/>
        </w:rPr>
        <w:t xml:space="preserve"> </w:t>
      </w:r>
      <w:r w:rsidRPr="00D33657">
        <w:rPr>
          <w:rtl/>
          <w:lang w:bidi="ar-JO"/>
        </w:rPr>
        <w:t>الاجتماعيين</w:t>
      </w:r>
      <w:r w:rsidRPr="00D33657">
        <w:rPr>
          <w:rtl/>
        </w:rPr>
        <w:t xml:space="preserve"> </w:t>
      </w:r>
      <w:r w:rsidRPr="00D33657">
        <w:rPr>
          <w:rtl/>
          <w:lang w:bidi="ar-JO"/>
        </w:rPr>
        <w:t>المتخصصين</w:t>
      </w:r>
      <w:r w:rsidRPr="00D33657">
        <w:rPr>
          <w:rtl/>
        </w:rPr>
        <w:t xml:space="preserve"> </w:t>
      </w:r>
      <w:r w:rsidRPr="00D33657">
        <w:rPr>
          <w:rtl/>
          <w:lang w:bidi="ar-JO"/>
        </w:rPr>
        <w:t>في</w:t>
      </w:r>
      <w:r w:rsidRPr="00D33657">
        <w:rPr>
          <w:rtl/>
        </w:rPr>
        <w:t xml:space="preserve"> </w:t>
      </w:r>
      <w:r w:rsidRPr="00D33657">
        <w:rPr>
          <w:rtl/>
          <w:lang w:bidi="ar-JO"/>
        </w:rPr>
        <w:t>مجال</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- 78% </w:t>
      </w:r>
      <w:r w:rsidRPr="00D33657">
        <w:rPr>
          <w:rtl/>
          <w:lang w:bidi="ar-JO"/>
        </w:rPr>
        <w:t>من</w:t>
      </w:r>
      <w:r w:rsidRPr="00D33657">
        <w:rPr>
          <w:rtl/>
        </w:rPr>
        <w:t xml:space="preserve"> </w:t>
      </w:r>
      <w:r w:rsidRPr="00D33657">
        <w:rPr>
          <w:rtl/>
          <w:lang w:bidi="ar-JO"/>
        </w:rPr>
        <w:t>السلطات</w:t>
      </w:r>
      <w:r w:rsidRPr="00D33657">
        <w:rPr>
          <w:rtl/>
        </w:rPr>
        <w:t xml:space="preserve"> </w:t>
      </w:r>
      <w:r w:rsidRPr="00D33657">
        <w:rPr>
          <w:rtl/>
          <w:lang w:bidi="ar-JO"/>
        </w:rPr>
        <w:t>المصنفة</w:t>
      </w:r>
      <w:r w:rsidRPr="00D33657">
        <w:rPr>
          <w:rtl/>
        </w:rPr>
        <w:t xml:space="preserve"> </w:t>
      </w:r>
      <w:r w:rsidRPr="00D33657">
        <w:rPr>
          <w:rtl/>
          <w:lang w:bidi="ar-JO"/>
        </w:rPr>
        <w:t>في</w:t>
      </w:r>
      <w:r w:rsidRPr="00D33657">
        <w:rPr>
          <w:rtl/>
        </w:rPr>
        <w:t xml:space="preserve"> </w:t>
      </w:r>
      <w:r w:rsidRPr="00D33657">
        <w:rPr>
          <w:rtl/>
          <w:lang w:bidi="ar-JO"/>
        </w:rPr>
        <w:t>عنقود</w:t>
      </w:r>
      <w:r w:rsidRPr="00D33657">
        <w:rPr>
          <w:rtl/>
        </w:rPr>
        <w:t xml:space="preserve"> </w:t>
      </w:r>
      <w:r w:rsidRPr="00D33657">
        <w:rPr>
          <w:rtl/>
          <w:lang w:bidi="ar-JO"/>
        </w:rPr>
        <w:t>ريفي</w:t>
      </w:r>
      <w:r w:rsidRPr="00D33657">
        <w:rPr>
          <w:rtl/>
        </w:rPr>
        <w:t xml:space="preserve"> </w:t>
      </w:r>
      <w:r w:rsidRPr="00D33657">
        <w:rPr>
          <w:rtl/>
          <w:lang w:bidi="ar-JO"/>
        </w:rPr>
        <w:t>عالٍ</w:t>
      </w:r>
      <w:r w:rsidRPr="00D33657">
        <w:rPr>
          <w:rtl/>
        </w:rPr>
        <w:t xml:space="preserve"> </w:t>
      </w:r>
      <w:r w:rsidRPr="00D33657">
        <w:rPr>
          <w:rtl/>
          <w:lang w:bidi="ar-JO"/>
        </w:rPr>
        <w:t>تشغل</w:t>
      </w:r>
      <w:r w:rsidRPr="00D33657">
        <w:rPr>
          <w:rtl/>
        </w:rPr>
        <w:t xml:space="preserve"> </w:t>
      </w:r>
      <w:r w:rsidRPr="00D33657">
        <w:rPr>
          <w:rtl/>
          <w:lang w:bidi="ar-JO"/>
        </w:rPr>
        <w:t>عمالاً</w:t>
      </w:r>
      <w:r w:rsidRPr="00D33657">
        <w:rPr>
          <w:rtl/>
        </w:rPr>
        <w:t xml:space="preserve"> </w:t>
      </w:r>
      <w:r w:rsidRPr="00D33657">
        <w:rPr>
          <w:rtl/>
          <w:lang w:bidi="ar-JO"/>
        </w:rPr>
        <w:t>اجتماعيين</w:t>
      </w:r>
      <w:r w:rsidRPr="00D33657">
        <w:rPr>
          <w:rtl/>
        </w:rPr>
        <w:t xml:space="preserve"> </w:t>
      </w:r>
      <w:r w:rsidRPr="00D33657">
        <w:rPr>
          <w:rtl/>
          <w:lang w:bidi="ar-JO"/>
        </w:rPr>
        <w:t>يتعاملون</w:t>
      </w:r>
      <w:r w:rsidRPr="00D33657">
        <w:rPr>
          <w:rtl/>
        </w:rPr>
        <w:t xml:space="preserve"> </w:t>
      </w:r>
      <w:r w:rsidRPr="00D33657">
        <w:rPr>
          <w:rtl/>
          <w:lang w:bidi="ar-JO"/>
        </w:rPr>
        <w:t>فقط</w:t>
      </w:r>
      <w:r w:rsidRPr="00D33657">
        <w:rPr>
          <w:rtl/>
        </w:rPr>
        <w:t xml:space="preserve"> </w:t>
      </w:r>
      <w:r w:rsidRPr="00D33657">
        <w:rPr>
          <w:rtl/>
          <w:lang w:bidi="ar-JO"/>
        </w:rPr>
        <w:t>مع</w:t>
      </w:r>
      <w:r w:rsidRPr="00D33657">
        <w:rPr>
          <w:rtl/>
        </w:rPr>
        <w:t xml:space="preserve"> </w:t>
      </w:r>
      <w:r w:rsidRPr="00D33657">
        <w:rPr>
          <w:rtl/>
          <w:lang w:bidi="ar-JO"/>
        </w:rPr>
        <w:t>مجال</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مقارنة</w:t>
      </w:r>
      <w:r w:rsidRPr="00D33657">
        <w:rPr>
          <w:rtl/>
        </w:rPr>
        <w:t xml:space="preserve"> </w:t>
      </w:r>
      <w:r w:rsidRPr="00D33657">
        <w:rPr>
          <w:rtl/>
          <w:lang w:bidi="ar-JO"/>
        </w:rPr>
        <w:t>بـ</w:t>
      </w:r>
      <w:r w:rsidRPr="00D33657">
        <w:rPr>
          <w:rtl/>
        </w:rPr>
        <w:t xml:space="preserve"> 15% </w:t>
      </w:r>
      <w:r w:rsidRPr="00D33657">
        <w:rPr>
          <w:rtl/>
          <w:lang w:bidi="ar-JO"/>
        </w:rPr>
        <w:t>من</w:t>
      </w:r>
      <w:r w:rsidRPr="00D33657">
        <w:rPr>
          <w:rtl/>
        </w:rPr>
        <w:t xml:space="preserve"> </w:t>
      </w:r>
      <w:r w:rsidRPr="00D33657">
        <w:rPr>
          <w:rtl/>
          <w:lang w:bidi="ar-JO"/>
        </w:rPr>
        <w:t>السلطات</w:t>
      </w:r>
      <w:r w:rsidRPr="00D33657">
        <w:rPr>
          <w:rtl/>
        </w:rPr>
        <w:t xml:space="preserve"> </w:t>
      </w:r>
      <w:r w:rsidRPr="00D33657">
        <w:rPr>
          <w:rtl/>
          <w:lang w:bidi="ar-JO"/>
        </w:rPr>
        <w:t>المصنفة</w:t>
      </w:r>
      <w:r w:rsidRPr="00D33657">
        <w:rPr>
          <w:rtl/>
        </w:rPr>
        <w:t xml:space="preserve"> </w:t>
      </w:r>
      <w:r w:rsidRPr="00D33657">
        <w:rPr>
          <w:rtl/>
          <w:lang w:bidi="ar-JO"/>
        </w:rPr>
        <w:t>في</w:t>
      </w:r>
      <w:r w:rsidRPr="00D33657">
        <w:rPr>
          <w:rtl/>
        </w:rPr>
        <w:t xml:space="preserve"> </w:t>
      </w:r>
      <w:r w:rsidRPr="00D33657">
        <w:rPr>
          <w:rtl/>
          <w:lang w:bidi="ar-JO"/>
        </w:rPr>
        <w:t>عنقود ريفي</w:t>
      </w:r>
      <w:r w:rsidRPr="00D33657">
        <w:rPr>
          <w:rtl/>
        </w:rPr>
        <w:t xml:space="preserve"> </w:t>
      </w:r>
      <w:r w:rsidRPr="00D33657">
        <w:rPr>
          <w:rtl/>
          <w:lang w:bidi="ar-JO"/>
        </w:rPr>
        <w:t>منخفض</w:t>
      </w:r>
      <w:r w:rsidRPr="00D33657">
        <w:rPr>
          <w:rtl/>
        </w:rPr>
        <w:t xml:space="preserve">. </w:t>
      </w:r>
      <w:r w:rsidRPr="00D33657">
        <w:rPr>
          <w:rtl/>
          <w:lang w:bidi="ar-JO"/>
        </w:rPr>
        <w:t>لقد</w:t>
      </w:r>
      <w:r w:rsidRPr="00D33657">
        <w:rPr>
          <w:rtl/>
        </w:rPr>
        <w:t xml:space="preserve"> </w:t>
      </w:r>
      <w:r w:rsidRPr="00D33657">
        <w:rPr>
          <w:rtl/>
          <w:lang w:bidi="ar-JO"/>
        </w:rPr>
        <w:t>كان</w:t>
      </w:r>
      <w:r w:rsidRPr="00D33657">
        <w:rPr>
          <w:rtl/>
        </w:rPr>
        <w:t xml:space="preserve"> </w:t>
      </w:r>
      <w:r w:rsidRPr="00D33657">
        <w:rPr>
          <w:rtl/>
          <w:lang w:bidi="ar-JO"/>
        </w:rPr>
        <w:t>مديرو</w:t>
      </w:r>
      <w:r w:rsidRPr="00D33657">
        <w:rPr>
          <w:rtl/>
        </w:rPr>
        <w:t xml:space="preserve"> </w:t>
      </w:r>
      <w:r w:rsidRPr="00D33657">
        <w:rPr>
          <w:rtl/>
          <w:lang w:bidi="ar-JO"/>
        </w:rPr>
        <w:t>أقسام</w:t>
      </w:r>
      <w:r w:rsidRPr="00D33657">
        <w:rPr>
          <w:rtl/>
        </w:rPr>
        <w:t xml:space="preserve"> </w:t>
      </w:r>
      <w:r w:rsidRPr="00D33657">
        <w:rPr>
          <w:rtl/>
          <w:lang w:bidi="ar-JO"/>
        </w:rPr>
        <w:t>الخدمات</w:t>
      </w:r>
      <w:r w:rsidRPr="00D33657">
        <w:rPr>
          <w:rtl/>
        </w:rPr>
        <w:t xml:space="preserve"> </w:t>
      </w:r>
      <w:r w:rsidRPr="00D33657">
        <w:rPr>
          <w:rtl/>
          <w:lang w:bidi="ar-JO"/>
        </w:rPr>
        <w:t>الاجتماعية</w:t>
      </w:r>
      <w:r w:rsidRPr="00D33657">
        <w:rPr>
          <w:rtl/>
        </w:rPr>
        <w:t xml:space="preserve"> </w:t>
      </w:r>
      <w:r w:rsidRPr="00D33657">
        <w:rPr>
          <w:rtl/>
          <w:lang w:bidi="ar-JO"/>
        </w:rPr>
        <w:t>والعمال</w:t>
      </w:r>
      <w:r w:rsidRPr="00D33657">
        <w:rPr>
          <w:rtl/>
        </w:rPr>
        <w:t xml:space="preserve"> </w:t>
      </w:r>
      <w:r w:rsidRPr="00D33657">
        <w:rPr>
          <w:rtl/>
          <w:lang w:bidi="ar-JO"/>
        </w:rPr>
        <w:t>الاجتماعيين</w:t>
      </w:r>
      <w:r w:rsidRPr="00D33657">
        <w:rPr>
          <w:rtl/>
        </w:rPr>
        <w:t xml:space="preserve"> </w:t>
      </w:r>
      <w:r w:rsidRPr="00D33657">
        <w:rPr>
          <w:rtl/>
          <w:lang w:bidi="ar-JO"/>
        </w:rPr>
        <w:t>الذين</w:t>
      </w:r>
      <w:r w:rsidRPr="00D33657">
        <w:rPr>
          <w:rtl/>
        </w:rPr>
        <w:t xml:space="preserve"> </w:t>
      </w:r>
      <w:r w:rsidRPr="00D33657">
        <w:rPr>
          <w:rtl/>
          <w:lang w:bidi="ar-JO"/>
        </w:rPr>
        <w:t>يتعاملون</w:t>
      </w:r>
      <w:r w:rsidRPr="00D33657">
        <w:rPr>
          <w:rtl/>
        </w:rPr>
        <w:t xml:space="preserve"> </w:t>
      </w:r>
      <w:r w:rsidRPr="00D33657">
        <w:rPr>
          <w:rtl/>
          <w:lang w:bidi="ar-JO"/>
        </w:rPr>
        <w:t>مع</w:t>
      </w:r>
      <w:r w:rsidRPr="00D33657">
        <w:rPr>
          <w:rtl/>
        </w:rPr>
        <w:t xml:space="preserve"> </w:t>
      </w:r>
      <w:r w:rsidRPr="00D33657">
        <w:rPr>
          <w:rtl/>
          <w:lang w:bidi="ar-JO"/>
        </w:rPr>
        <w:t>مجالات</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منشغلين</w:t>
      </w:r>
      <w:r w:rsidRPr="00D33657">
        <w:rPr>
          <w:rtl/>
        </w:rPr>
        <w:t xml:space="preserve"> </w:t>
      </w:r>
      <w:r w:rsidRPr="00D33657">
        <w:rPr>
          <w:rtl/>
          <w:lang w:bidi="ar-JO"/>
        </w:rPr>
        <w:t>في</w:t>
      </w:r>
      <w:r w:rsidRPr="00D33657">
        <w:rPr>
          <w:rtl/>
        </w:rPr>
        <w:t xml:space="preserve"> </w:t>
      </w:r>
      <w:r w:rsidRPr="00D33657">
        <w:rPr>
          <w:rtl/>
          <w:lang w:bidi="ar-JO"/>
        </w:rPr>
        <w:t>الحالات</w:t>
      </w:r>
      <w:r w:rsidRPr="00D33657">
        <w:rPr>
          <w:rtl/>
        </w:rPr>
        <w:t xml:space="preserve"> </w:t>
      </w:r>
      <w:r w:rsidRPr="00D33657">
        <w:rPr>
          <w:rtl/>
          <w:lang w:bidi="ar-JO"/>
        </w:rPr>
        <w:t>التي</w:t>
      </w:r>
      <w:r w:rsidRPr="00D33657">
        <w:rPr>
          <w:rtl/>
        </w:rPr>
        <w:t xml:space="preserve"> </w:t>
      </w:r>
      <w:r w:rsidRPr="00D33657">
        <w:rPr>
          <w:rtl/>
          <w:lang w:bidi="ar-JO"/>
        </w:rPr>
        <w:t>عُرضت</w:t>
      </w:r>
      <w:r w:rsidRPr="00D33657">
        <w:rPr>
          <w:rtl/>
        </w:rPr>
        <w:t xml:space="preserve"> </w:t>
      </w:r>
      <w:r w:rsidRPr="00D33657">
        <w:rPr>
          <w:rtl/>
          <w:lang w:bidi="ar-JO"/>
        </w:rPr>
        <w:t>عليهم،</w:t>
      </w:r>
      <w:r w:rsidRPr="00D33657">
        <w:rPr>
          <w:rtl/>
        </w:rPr>
        <w:t xml:space="preserve"> </w:t>
      </w:r>
      <w:r w:rsidRPr="00D33657">
        <w:rPr>
          <w:rtl/>
          <w:lang w:bidi="ar-JO"/>
        </w:rPr>
        <w:t>ولم</w:t>
      </w:r>
      <w:r w:rsidRPr="00D33657">
        <w:rPr>
          <w:rtl/>
        </w:rPr>
        <w:t xml:space="preserve"> </w:t>
      </w:r>
      <w:r w:rsidRPr="00D33657">
        <w:rPr>
          <w:rtl/>
          <w:lang w:bidi="ar-JO"/>
        </w:rPr>
        <w:t>يكونوا</w:t>
      </w:r>
      <w:r w:rsidRPr="00D33657">
        <w:rPr>
          <w:rtl/>
        </w:rPr>
        <w:t xml:space="preserve"> </w:t>
      </w:r>
      <w:r w:rsidRPr="00D33657">
        <w:rPr>
          <w:rtl/>
          <w:lang w:bidi="ar-JO"/>
        </w:rPr>
        <w:t>متاحين</w:t>
      </w:r>
      <w:r w:rsidRPr="00D33657">
        <w:rPr>
          <w:rtl/>
        </w:rPr>
        <w:t xml:space="preserve"> </w:t>
      </w:r>
      <w:r w:rsidRPr="00D33657">
        <w:rPr>
          <w:rtl/>
          <w:lang w:bidi="ar-JO"/>
        </w:rPr>
        <w:t>لتوسيع</w:t>
      </w:r>
      <w:r w:rsidRPr="00D33657">
        <w:rPr>
          <w:rtl/>
        </w:rPr>
        <w:t xml:space="preserve"> </w:t>
      </w:r>
      <w:r w:rsidRPr="00D33657">
        <w:rPr>
          <w:rtl/>
          <w:lang w:bidi="ar-JO"/>
        </w:rPr>
        <w:t>دائرة</w:t>
      </w:r>
      <w:r w:rsidRPr="00D33657">
        <w:rPr>
          <w:rtl/>
        </w:rPr>
        <w:t xml:space="preserve"> </w:t>
      </w:r>
      <w:r w:rsidRPr="00D33657">
        <w:rPr>
          <w:rtl/>
          <w:lang w:bidi="ar-JO"/>
        </w:rPr>
        <w:t>الأشخاص</w:t>
      </w:r>
      <w:r w:rsidRPr="00D33657">
        <w:rPr>
          <w:rtl/>
        </w:rPr>
        <w:t xml:space="preserve"> </w:t>
      </w:r>
      <w:r w:rsidRPr="00D33657">
        <w:rPr>
          <w:rtl/>
          <w:lang w:bidi="ar-JO"/>
        </w:rPr>
        <w:t>المستحقين</w:t>
      </w:r>
      <w:r w:rsidRPr="00D33657">
        <w:rPr>
          <w:rtl/>
        </w:rPr>
        <w:t xml:space="preserve"> </w:t>
      </w:r>
      <w:r w:rsidRPr="00D33657">
        <w:rPr>
          <w:rtl/>
          <w:lang w:bidi="ar-JO"/>
        </w:rPr>
        <w:t>وتحصيل</w:t>
      </w:r>
      <w:r w:rsidRPr="00D33657">
        <w:rPr>
          <w:rtl/>
        </w:rPr>
        <w:t xml:space="preserve"> </w:t>
      </w:r>
      <w:r w:rsidRPr="00D33657">
        <w:rPr>
          <w:rtl/>
          <w:lang w:bidi="ar-JO"/>
        </w:rPr>
        <w:t>حقوق</w:t>
      </w:r>
      <w:r w:rsidRPr="00D33657">
        <w:rPr>
          <w:rtl/>
        </w:rPr>
        <w:t xml:space="preserve"> </w:t>
      </w:r>
      <w:r w:rsidRPr="00D33657">
        <w:rPr>
          <w:rtl/>
          <w:lang w:bidi="ar-JO"/>
        </w:rPr>
        <w:t>الأشخاص</w:t>
      </w:r>
      <w:r w:rsidRPr="00D33657">
        <w:rPr>
          <w:rtl/>
        </w:rPr>
        <w:t xml:space="preserve"> </w:t>
      </w:r>
      <w:r w:rsidRPr="00D33657">
        <w:rPr>
          <w:rtl/>
          <w:lang w:bidi="ar-JO"/>
        </w:rPr>
        <w:t>الذين</w:t>
      </w:r>
      <w:r w:rsidRPr="00D33657">
        <w:rPr>
          <w:rtl/>
        </w:rPr>
        <w:t xml:space="preserve"> </w:t>
      </w:r>
      <w:r w:rsidRPr="00D33657">
        <w:rPr>
          <w:rtl/>
          <w:lang w:bidi="ar-JO"/>
        </w:rPr>
        <w:t>لم</w:t>
      </w:r>
      <w:r w:rsidRPr="00D33657">
        <w:rPr>
          <w:rtl/>
        </w:rPr>
        <w:t xml:space="preserve"> </w:t>
      </w:r>
      <w:r w:rsidRPr="00D33657">
        <w:rPr>
          <w:rtl/>
          <w:lang w:bidi="ar-JO"/>
        </w:rPr>
        <w:t>يتصلوا</w:t>
      </w:r>
      <w:r w:rsidRPr="00D33657">
        <w:rPr>
          <w:rtl/>
        </w:rPr>
        <w:t xml:space="preserve"> </w:t>
      </w:r>
      <w:r w:rsidRPr="00D33657">
        <w:rPr>
          <w:rtl/>
          <w:lang w:bidi="ar-JO"/>
        </w:rPr>
        <w:t>بالأقسام</w:t>
      </w:r>
      <w:r w:rsidRPr="00D33657">
        <w:rPr>
          <w:rtl/>
        </w:rPr>
        <w:t xml:space="preserve"> </w:t>
      </w:r>
      <w:r w:rsidRPr="00D33657">
        <w:rPr>
          <w:rtl/>
          <w:lang w:bidi="ar-JO"/>
        </w:rPr>
        <w:t>بمبادرة</w:t>
      </w:r>
      <w:r w:rsidRPr="00D33657">
        <w:rPr>
          <w:rtl/>
        </w:rPr>
        <w:t xml:space="preserve"> </w:t>
      </w:r>
      <w:r w:rsidRPr="00D33657">
        <w:rPr>
          <w:rtl/>
          <w:lang w:bidi="ar-JO"/>
        </w:rPr>
        <w:t>منهم</w:t>
      </w:r>
      <w:r w:rsidRPr="00D33657">
        <w:rPr>
          <w:rtl/>
        </w:rPr>
        <w:t xml:space="preserve">. </w:t>
      </w:r>
      <w:r w:rsidRPr="00D33657">
        <w:rPr>
          <w:rtl/>
          <w:lang w:bidi="ar-JO"/>
        </w:rPr>
        <w:t>يتطلب</w:t>
      </w:r>
      <w:r w:rsidRPr="00D33657">
        <w:rPr>
          <w:rtl/>
        </w:rPr>
        <w:t xml:space="preserve"> </w:t>
      </w:r>
      <w:r w:rsidRPr="00D33657">
        <w:rPr>
          <w:rtl/>
          <w:lang w:bidi="ar-JO"/>
        </w:rPr>
        <w:t>الوضع</w:t>
      </w:r>
      <w:r w:rsidRPr="00D33657">
        <w:rPr>
          <w:rtl/>
        </w:rPr>
        <w:t xml:space="preserve"> </w:t>
      </w:r>
      <w:r w:rsidRPr="00D33657">
        <w:rPr>
          <w:rtl/>
          <w:lang w:bidi="ar-JO"/>
        </w:rPr>
        <w:t>كما</w:t>
      </w:r>
      <w:r w:rsidRPr="00D33657">
        <w:rPr>
          <w:rtl/>
        </w:rPr>
        <w:t xml:space="preserve"> </w:t>
      </w:r>
      <w:r w:rsidRPr="00D33657">
        <w:rPr>
          <w:rtl/>
          <w:lang w:bidi="ar-JO"/>
        </w:rPr>
        <w:t>يتضح</w:t>
      </w:r>
      <w:r w:rsidRPr="00D33657">
        <w:rPr>
          <w:rtl/>
        </w:rPr>
        <w:t xml:space="preserve"> </w:t>
      </w:r>
      <w:r w:rsidRPr="00D33657">
        <w:rPr>
          <w:rtl/>
          <w:lang w:bidi="ar-JO"/>
        </w:rPr>
        <w:t>من</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هذه</w:t>
      </w:r>
      <w:r w:rsidRPr="00D33657">
        <w:rPr>
          <w:rtl/>
        </w:rPr>
        <w:t xml:space="preserve"> </w:t>
      </w:r>
      <w:r w:rsidRPr="00D33657">
        <w:rPr>
          <w:rtl/>
          <w:lang w:bidi="ar-JO"/>
        </w:rPr>
        <w:t>من</w:t>
      </w:r>
      <w:r w:rsidRPr="00D33657">
        <w:rPr>
          <w:rtl/>
        </w:rPr>
        <w:t xml:space="preserve"> </w:t>
      </w:r>
      <w:r w:rsidRPr="00D33657">
        <w:rPr>
          <w:rtl/>
          <w:lang w:bidi="ar-JO"/>
        </w:rPr>
        <w:t>وزارة</w:t>
      </w:r>
      <w:r w:rsidRPr="00D33657">
        <w:rPr>
          <w:rtl/>
        </w:rPr>
        <w:t xml:space="preserve"> </w:t>
      </w:r>
      <w:r w:rsidRPr="00D33657">
        <w:rPr>
          <w:rtl/>
          <w:lang w:bidi="ar-JO"/>
        </w:rPr>
        <w:t>الرفاه</w:t>
      </w:r>
      <w:r w:rsidRPr="00D33657">
        <w:rPr>
          <w:rtl/>
        </w:rPr>
        <w:t xml:space="preserve"> </w:t>
      </w:r>
      <w:r w:rsidRPr="00D33657">
        <w:rPr>
          <w:rtl/>
          <w:lang w:bidi="ar-JO"/>
        </w:rPr>
        <w:t>العمل</w:t>
      </w:r>
      <w:r w:rsidRPr="00D33657">
        <w:rPr>
          <w:rtl/>
        </w:rPr>
        <w:t xml:space="preserve"> </w:t>
      </w:r>
      <w:r w:rsidRPr="00D33657">
        <w:rPr>
          <w:rtl/>
          <w:lang w:bidi="ar-JO"/>
        </w:rPr>
        <w:t>على</w:t>
      </w:r>
      <w:r w:rsidRPr="00D33657">
        <w:rPr>
          <w:rtl/>
        </w:rPr>
        <w:t xml:space="preserve"> </w:t>
      </w:r>
      <w:r w:rsidRPr="00D33657">
        <w:rPr>
          <w:rtl/>
          <w:lang w:bidi="ar-JO"/>
        </w:rPr>
        <w:t>توسيع</w:t>
      </w:r>
      <w:r w:rsidRPr="00D33657">
        <w:rPr>
          <w:rtl/>
        </w:rPr>
        <w:t xml:space="preserve"> </w:t>
      </w:r>
      <w:r w:rsidRPr="00D33657">
        <w:rPr>
          <w:rtl/>
          <w:lang w:bidi="ar-JO"/>
        </w:rPr>
        <w:t>الخدمات</w:t>
      </w:r>
      <w:r w:rsidRPr="00D33657">
        <w:rPr>
          <w:rtl/>
        </w:rPr>
        <w:t xml:space="preserve"> </w:t>
      </w:r>
      <w:r w:rsidRPr="00D33657">
        <w:rPr>
          <w:rtl/>
          <w:lang w:bidi="ar-JO"/>
        </w:rPr>
        <w:t>المقدمة</w:t>
      </w:r>
      <w:r w:rsidRPr="00D33657">
        <w:rPr>
          <w:rtl/>
        </w:rPr>
        <w:t xml:space="preserve"> </w:t>
      </w:r>
      <w:r w:rsidRPr="00D33657">
        <w:rPr>
          <w:rtl/>
          <w:lang w:bidi="ar-JO"/>
        </w:rPr>
        <w:t>لفئة</w:t>
      </w:r>
      <w:r w:rsidRPr="00D33657">
        <w:rPr>
          <w:rtl/>
        </w:rPr>
        <w:t xml:space="preserve"> </w:t>
      </w:r>
      <w:r w:rsidRPr="00D33657">
        <w:rPr>
          <w:rtl/>
          <w:lang w:bidi="ar-JO"/>
        </w:rPr>
        <w:t>الأشخاص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وتكييف</w:t>
      </w:r>
      <w:r w:rsidRPr="00D33657">
        <w:rPr>
          <w:rtl/>
        </w:rPr>
        <w:t xml:space="preserve"> </w:t>
      </w:r>
      <w:r w:rsidRPr="00D33657">
        <w:rPr>
          <w:rtl/>
          <w:lang w:bidi="ar-JO"/>
        </w:rPr>
        <w:t>الخدمات</w:t>
      </w:r>
      <w:r w:rsidRPr="00D33657">
        <w:rPr>
          <w:rtl/>
        </w:rPr>
        <w:t xml:space="preserve"> </w:t>
      </w:r>
      <w:r w:rsidRPr="00D33657">
        <w:rPr>
          <w:rtl/>
          <w:lang w:bidi="ar-JO"/>
        </w:rPr>
        <w:t>والأسعار</w:t>
      </w:r>
      <w:r w:rsidRPr="00D33657">
        <w:rPr>
          <w:rtl/>
        </w:rPr>
        <w:t xml:space="preserve"> </w:t>
      </w:r>
      <w:r w:rsidRPr="00D33657">
        <w:rPr>
          <w:rtl/>
          <w:lang w:bidi="ar-JO"/>
        </w:rPr>
        <w:t>مع</w:t>
      </w:r>
      <w:r w:rsidRPr="00D33657">
        <w:rPr>
          <w:rtl/>
        </w:rPr>
        <w:t xml:space="preserve"> </w:t>
      </w:r>
      <w:r w:rsidRPr="00D33657">
        <w:rPr>
          <w:rtl/>
          <w:lang w:bidi="ar-JO"/>
        </w:rPr>
        <w:t>المفهوم</w:t>
      </w:r>
      <w:r w:rsidRPr="00D33657">
        <w:rPr>
          <w:rtl/>
        </w:rPr>
        <w:t xml:space="preserve"> </w:t>
      </w:r>
      <w:r w:rsidRPr="00D33657">
        <w:rPr>
          <w:rtl/>
          <w:lang w:bidi="ar-JO"/>
        </w:rPr>
        <w:t>الجديد</w:t>
      </w:r>
      <w:r w:rsidRPr="00D33657">
        <w:rPr>
          <w:rtl/>
        </w:rPr>
        <w:t xml:space="preserve"> </w:t>
      </w:r>
      <w:r w:rsidRPr="00D33657">
        <w:rPr>
          <w:rtl/>
          <w:lang w:bidi="ar-JO"/>
        </w:rPr>
        <w:t>للوزارة</w:t>
      </w:r>
      <w:r w:rsidRPr="00D33657">
        <w:rPr>
          <w:rtl/>
        </w:rPr>
        <w:t xml:space="preserve"> </w:t>
      </w:r>
      <w:r w:rsidRPr="00D33657">
        <w:rPr>
          <w:rtl/>
          <w:lang w:bidi="ar-JO"/>
        </w:rPr>
        <w:t>وتكريس</w:t>
      </w:r>
      <w:r w:rsidRPr="00D33657">
        <w:rPr>
          <w:rtl/>
        </w:rPr>
        <w:t xml:space="preserve"> </w:t>
      </w:r>
      <w:r w:rsidRPr="00D33657">
        <w:rPr>
          <w:rtl/>
          <w:lang w:bidi="ar-JO"/>
        </w:rPr>
        <w:t>التفكير</w:t>
      </w:r>
      <w:r w:rsidRPr="00D33657">
        <w:rPr>
          <w:rtl/>
        </w:rPr>
        <w:t xml:space="preserve"> </w:t>
      </w:r>
      <w:r w:rsidRPr="00D33657">
        <w:rPr>
          <w:rtl/>
          <w:lang w:bidi="ar-JO"/>
        </w:rPr>
        <w:t>الشامل</w:t>
      </w:r>
      <w:r w:rsidRPr="00D33657">
        <w:rPr>
          <w:rtl/>
        </w:rPr>
        <w:t xml:space="preserve"> </w:t>
      </w:r>
      <w:r w:rsidRPr="00D33657">
        <w:rPr>
          <w:rtl/>
          <w:lang w:bidi="ar-JO"/>
        </w:rPr>
        <w:t>لقضية</w:t>
      </w:r>
      <w:r w:rsidRPr="00D33657">
        <w:rPr>
          <w:rtl/>
        </w:rPr>
        <w:t xml:space="preserve"> </w:t>
      </w:r>
      <w:r w:rsidRPr="00D33657">
        <w:rPr>
          <w:rtl/>
          <w:lang w:bidi="ar-JO"/>
        </w:rPr>
        <w:t>حماية</w:t>
      </w:r>
      <w:r w:rsidRPr="00D33657">
        <w:rPr>
          <w:rtl/>
        </w:rPr>
        <w:t xml:space="preserve"> </w:t>
      </w:r>
      <w:r w:rsidRPr="00D33657">
        <w:rPr>
          <w:rtl/>
          <w:lang w:bidi="ar-JO"/>
        </w:rPr>
        <w:t>الأشخاص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يوصى</w:t>
      </w:r>
      <w:r w:rsidRPr="00D33657">
        <w:rPr>
          <w:rtl/>
        </w:rPr>
        <w:t xml:space="preserve"> </w:t>
      </w:r>
      <w:r w:rsidRPr="00D33657">
        <w:rPr>
          <w:rtl/>
          <w:lang w:bidi="ar-JO"/>
        </w:rPr>
        <w:t>بأن</w:t>
      </w:r>
      <w:r w:rsidRPr="00D33657">
        <w:rPr>
          <w:rtl/>
        </w:rPr>
        <w:t xml:space="preserve"> </w:t>
      </w:r>
      <w:r w:rsidRPr="00D33657">
        <w:rPr>
          <w:rtl/>
          <w:lang w:bidi="ar-JO"/>
        </w:rPr>
        <w:t>تقوم</w:t>
      </w:r>
      <w:r w:rsidRPr="00D33657">
        <w:rPr>
          <w:rtl/>
        </w:rPr>
        <w:t xml:space="preserve"> </w:t>
      </w:r>
      <w:r w:rsidRPr="00D33657">
        <w:rPr>
          <w:rtl/>
          <w:lang w:bidi="ar-JO"/>
        </w:rPr>
        <w:t>الهيئات</w:t>
      </w:r>
      <w:r w:rsidRPr="00D33657">
        <w:rPr>
          <w:rtl/>
        </w:rPr>
        <w:t xml:space="preserve"> </w:t>
      </w:r>
      <w:r w:rsidRPr="00D33657">
        <w:rPr>
          <w:rtl/>
          <w:lang w:bidi="ar-JO"/>
        </w:rPr>
        <w:t>المسؤولة</w:t>
      </w:r>
      <w:r w:rsidRPr="00D33657">
        <w:rPr>
          <w:rtl/>
        </w:rPr>
        <w:t xml:space="preserve"> </w:t>
      </w:r>
      <w:r w:rsidRPr="00D33657">
        <w:rPr>
          <w:rtl/>
          <w:lang w:bidi="ar-JO"/>
        </w:rPr>
        <w:t>عن</w:t>
      </w:r>
      <w:r w:rsidRPr="00D33657">
        <w:rPr>
          <w:rtl/>
        </w:rPr>
        <w:t xml:space="preserve"> </w:t>
      </w:r>
      <w:r w:rsidRPr="00D33657">
        <w:rPr>
          <w:rtl/>
          <w:lang w:bidi="ar-JO"/>
        </w:rPr>
        <w:t>مجال</w:t>
      </w:r>
      <w:r w:rsidRPr="00D33657">
        <w:rPr>
          <w:rtl/>
        </w:rPr>
        <w:t xml:space="preserve"> </w:t>
      </w:r>
      <w:r w:rsidRPr="00D33657">
        <w:rPr>
          <w:rtl/>
          <w:lang w:bidi="ar-JO"/>
        </w:rPr>
        <w:t>الإعاقة</w:t>
      </w:r>
      <w:r w:rsidRPr="00D33657">
        <w:rPr>
          <w:rtl/>
        </w:rPr>
        <w:t xml:space="preserve"> - </w:t>
      </w:r>
      <w:r w:rsidRPr="00D33657">
        <w:rPr>
          <w:rtl/>
          <w:lang w:bidi="ar-JO"/>
        </w:rPr>
        <w:t>بما</w:t>
      </w:r>
      <w:r w:rsidRPr="00D33657">
        <w:rPr>
          <w:rtl/>
        </w:rPr>
        <w:t xml:space="preserve"> </w:t>
      </w:r>
      <w:r w:rsidRPr="00D33657">
        <w:rPr>
          <w:rtl/>
          <w:lang w:bidi="ar-JO"/>
        </w:rPr>
        <w:t>في</w:t>
      </w:r>
      <w:r w:rsidRPr="00D33657">
        <w:rPr>
          <w:rtl/>
        </w:rPr>
        <w:t xml:space="preserve"> </w:t>
      </w:r>
      <w:r w:rsidRPr="00D33657">
        <w:rPr>
          <w:rtl/>
          <w:lang w:bidi="ar-JO"/>
        </w:rPr>
        <w:t>ذلك</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ووزارات</w:t>
      </w:r>
      <w:r w:rsidRPr="00D33657">
        <w:rPr>
          <w:rtl/>
        </w:rPr>
        <w:t xml:space="preserve"> </w:t>
      </w:r>
      <w:r w:rsidRPr="00D33657">
        <w:rPr>
          <w:rtl/>
          <w:lang w:bidi="ar-JO"/>
        </w:rPr>
        <w:t>الرفاه</w:t>
      </w:r>
      <w:r w:rsidRPr="00D33657">
        <w:rPr>
          <w:rtl/>
        </w:rPr>
        <w:t xml:space="preserve"> </w:t>
      </w:r>
      <w:r w:rsidRPr="00D33657">
        <w:rPr>
          <w:rtl/>
          <w:lang w:bidi="ar-JO"/>
        </w:rPr>
        <w:t>والتربية</w:t>
      </w:r>
      <w:r w:rsidRPr="00D33657">
        <w:rPr>
          <w:rtl/>
        </w:rPr>
        <w:t xml:space="preserve"> </w:t>
      </w:r>
      <w:r w:rsidRPr="00D33657">
        <w:rPr>
          <w:rtl/>
          <w:lang w:bidi="ar-JO"/>
        </w:rPr>
        <w:t>والتعليم</w:t>
      </w:r>
      <w:r w:rsidRPr="00D33657">
        <w:rPr>
          <w:rtl/>
        </w:rPr>
        <w:t xml:space="preserve"> </w:t>
      </w:r>
      <w:r w:rsidRPr="00D33657">
        <w:rPr>
          <w:rtl/>
          <w:lang w:bidi="ar-JO"/>
        </w:rPr>
        <w:t>والداخلية</w:t>
      </w:r>
      <w:r w:rsidRPr="00D33657">
        <w:rPr>
          <w:rtl/>
        </w:rPr>
        <w:t xml:space="preserve"> - </w:t>
      </w:r>
      <w:r w:rsidRPr="00D33657">
        <w:rPr>
          <w:rtl/>
          <w:lang w:bidi="ar-JO"/>
        </w:rPr>
        <w:t>بالوقوف</w:t>
      </w:r>
      <w:r w:rsidRPr="00D33657">
        <w:rPr>
          <w:rtl/>
        </w:rPr>
        <w:t xml:space="preserve"> </w:t>
      </w:r>
      <w:r w:rsidRPr="00D33657">
        <w:rPr>
          <w:rtl/>
          <w:lang w:bidi="ar-JO"/>
        </w:rPr>
        <w:t>على</w:t>
      </w:r>
      <w:r w:rsidRPr="00D33657">
        <w:rPr>
          <w:rtl/>
        </w:rPr>
        <w:t xml:space="preserve"> </w:t>
      </w:r>
      <w:r w:rsidRPr="00D33657">
        <w:rPr>
          <w:rtl/>
          <w:lang w:bidi="ar-JO"/>
        </w:rPr>
        <w:t>الأسباب</w:t>
      </w:r>
      <w:r w:rsidRPr="00D33657">
        <w:rPr>
          <w:rtl/>
        </w:rPr>
        <w:t xml:space="preserve"> </w:t>
      </w:r>
      <w:r w:rsidRPr="00D33657">
        <w:rPr>
          <w:rtl/>
          <w:lang w:bidi="ar-JO"/>
        </w:rPr>
        <w:t>التي</w:t>
      </w:r>
      <w:r w:rsidRPr="00D33657">
        <w:rPr>
          <w:rtl/>
        </w:rPr>
        <w:t xml:space="preserve"> </w:t>
      </w:r>
      <w:r w:rsidRPr="00D33657">
        <w:rPr>
          <w:rtl/>
          <w:lang w:bidi="ar-JO"/>
        </w:rPr>
        <w:t>أدت</w:t>
      </w:r>
      <w:r w:rsidRPr="00D33657">
        <w:rPr>
          <w:rtl/>
        </w:rPr>
        <w:t xml:space="preserve"> </w:t>
      </w:r>
      <w:r w:rsidRPr="00D33657">
        <w:rPr>
          <w:rtl/>
          <w:lang w:bidi="ar-JO"/>
        </w:rPr>
        <w:t>إلى</w:t>
      </w:r>
      <w:r w:rsidRPr="00D33657">
        <w:rPr>
          <w:rtl/>
        </w:rPr>
        <w:t xml:space="preserve"> </w:t>
      </w:r>
      <w:r w:rsidRPr="00D33657">
        <w:rPr>
          <w:rtl/>
          <w:lang w:bidi="ar-JO"/>
        </w:rPr>
        <w:t>الفجوات</w:t>
      </w:r>
      <w:r w:rsidRPr="00D33657">
        <w:rPr>
          <w:rtl/>
        </w:rPr>
        <w:t xml:space="preserve"> </w:t>
      </w:r>
      <w:r w:rsidRPr="00D33657">
        <w:rPr>
          <w:rtl/>
          <w:lang w:bidi="ar-JO"/>
        </w:rPr>
        <w:t>القائمة</w:t>
      </w:r>
      <w:r w:rsidRPr="00D33657">
        <w:rPr>
          <w:rtl/>
        </w:rPr>
        <w:t xml:space="preserve"> </w:t>
      </w:r>
      <w:r w:rsidRPr="00D33657">
        <w:rPr>
          <w:rtl/>
          <w:lang w:bidi="ar-JO"/>
        </w:rPr>
        <w:t>بين</w:t>
      </w:r>
      <w:r w:rsidRPr="00D33657">
        <w:rPr>
          <w:rtl/>
        </w:rPr>
        <w:t xml:space="preserve"> </w:t>
      </w:r>
      <w:r w:rsidRPr="00D33657">
        <w:rPr>
          <w:rtl/>
          <w:lang w:bidi="ar-JO"/>
        </w:rPr>
        <w:t>السلطات</w:t>
      </w:r>
      <w:r w:rsidRPr="00D33657">
        <w:rPr>
          <w:rtl/>
        </w:rPr>
        <w:t xml:space="preserve"> </w:t>
      </w:r>
      <w:r w:rsidRPr="00D33657">
        <w:rPr>
          <w:rtl/>
          <w:lang w:bidi="ar-JO"/>
        </w:rPr>
        <w:t>وصياغة</w:t>
      </w:r>
      <w:r w:rsidRPr="00D33657">
        <w:rPr>
          <w:rtl/>
        </w:rPr>
        <w:t xml:space="preserve"> </w:t>
      </w:r>
      <w:r w:rsidRPr="00D33657">
        <w:rPr>
          <w:rtl/>
          <w:lang w:bidi="ar-JO"/>
        </w:rPr>
        <w:t>حلول</w:t>
      </w:r>
      <w:r w:rsidRPr="00D33657">
        <w:rPr>
          <w:rtl/>
        </w:rPr>
        <w:t xml:space="preserve"> </w:t>
      </w:r>
      <w:r w:rsidRPr="00D33657">
        <w:rPr>
          <w:rtl/>
          <w:lang w:bidi="ar-JO"/>
        </w:rPr>
        <w:t>من</w:t>
      </w:r>
      <w:r w:rsidRPr="00D33657">
        <w:rPr>
          <w:rtl/>
        </w:rPr>
        <w:t xml:space="preserve"> </w:t>
      </w:r>
      <w:r w:rsidRPr="00D33657">
        <w:rPr>
          <w:rtl/>
          <w:lang w:bidi="ar-JO"/>
        </w:rPr>
        <w:t>شأنها</w:t>
      </w:r>
      <w:r w:rsidRPr="00D33657">
        <w:rPr>
          <w:rtl/>
        </w:rPr>
        <w:t xml:space="preserve"> </w:t>
      </w:r>
      <w:r w:rsidRPr="00D33657">
        <w:rPr>
          <w:rtl/>
          <w:lang w:bidi="ar-JO"/>
        </w:rPr>
        <w:t>تقليص</w:t>
      </w:r>
      <w:r w:rsidRPr="00D33657">
        <w:rPr>
          <w:rtl/>
        </w:rPr>
        <w:t xml:space="preserve"> </w:t>
      </w:r>
      <w:r w:rsidRPr="00D33657">
        <w:rPr>
          <w:rtl/>
          <w:lang w:bidi="ar-JO"/>
        </w:rPr>
        <w:t>هذه</w:t>
      </w:r>
      <w:r w:rsidRPr="00D33657">
        <w:rPr>
          <w:rtl/>
        </w:rPr>
        <w:t xml:space="preserve"> </w:t>
      </w:r>
      <w:r w:rsidRPr="00D33657">
        <w:rPr>
          <w:rtl/>
          <w:lang w:bidi="ar-JO"/>
        </w:rPr>
        <w:t>الفجوات</w:t>
      </w:r>
      <w:r w:rsidRPr="00D33657">
        <w:rPr>
          <w:rtl/>
        </w:rPr>
        <w:t xml:space="preserve">. </w:t>
      </w:r>
      <w:r w:rsidRPr="00D33657">
        <w:rPr>
          <w:rtl/>
          <w:lang w:bidi="ar-JO"/>
        </w:rPr>
        <w:t>فيما</w:t>
      </w:r>
      <w:r w:rsidRPr="00D33657">
        <w:rPr>
          <w:rtl/>
        </w:rPr>
        <w:t xml:space="preserve"> </w:t>
      </w:r>
      <w:r w:rsidRPr="00D33657">
        <w:rPr>
          <w:rtl/>
          <w:lang w:bidi="ar-JO"/>
        </w:rPr>
        <w:t>يتعلق</w:t>
      </w:r>
      <w:r w:rsidRPr="00D33657">
        <w:rPr>
          <w:rtl/>
        </w:rPr>
        <w:t xml:space="preserve"> </w:t>
      </w:r>
      <w:r w:rsidRPr="00D33657">
        <w:rPr>
          <w:rtl/>
          <w:lang w:bidi="ar-JO"/>
        </w:rPr>
        <w:t>بمسألة</w:t>
      </w:r>
      <w:r w:rsidRPr="00D33657">
        <w:rPr>
          <w:rtl/>
        </w:rPr>
        <w:t xml:space="preserve"> </w:t>
      </w:r>
      <w:r w:rsidRPr="00D33657">
        <w:rPr>
          <w:rtl/>
          <w:lang w:bidi="ar-JO"/>
        </w:rPr>
        <w:t>إتاحة</w:t>
      </w:r>
      <w:r w:rsidRPr="00D33657">
        <w:rPr>
          <w:rtl/>
        </w:rPr>
        <w:t xml:space="preserve"> </w:t>
      </w:r>
      <w:r w:rsidRPr="00D33657">
        <w:rPr>
          <w:rtl/>
          <w:lang w:bidi="ar-JO"/>
        </w:rPr>
        <w:t>الوصول</w:t>
      </w:r>
      <w:r w:rsidRPr="00D33657">
        <w:rPr>
          <w:rtl/>
        </w:rPr>
        <w:t xml:space="preserve"> </w:t>
      </w:r>
      <w:r w:rsidRPr="00D33657">
        <w:rPr>
          <w:rtl/>
          <w:lang w:bidi="ar-JO"/>
        </w:rPr>
        <w:t>إلى</w:t>
      </w:r>
      <w:r w:rsidRPr="00D33657">
        <w:rPr>
          <w:rtl/>
        </w:rPr>
        <w:t xml:space="preserve"> </w:t>
      </w:r>
      <w:r w:rsidRPr="00D33657">
        <w:rPr>
          <w:rtl/>
          <w:lang w:bidi="ar-JO"/>
        </w:rPr>
        <w:t>الخدمات</w:t>
      </w:r>
      <w:r w:rsidRPr="00D33657">
        <w:rPr>
          <w:rtl/>
        </w:rPr>
        <w:t xml:space="preserve"> - </w:t>
      </w:r>
      <w:r w:rsidRPr="00D33657">
        <w:rPr>
          <w:rtl/>
          <w:lang w:bidi="ar-JO"/>
        </w:rPr>
        <w:t>تُنصح</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باتخاذ</w:t>
      </w:r>
      <w:r w:rsidRPr="00D33657">
        <w:rPr>
          <w:rtl/>
        </w:rPr>
        <w:t xml:space="preserve"> </w:t>
      </w:r>
      <w:r w:rsidRPr="00D33657">
        <w:rPr>
          <w:rtl/>
          <w:lang w:bidi="ar-JO"/>
        </w:rPr>
        <w:t>إجراءات</w:t>
      </w:r>
      <w:r w:rsidRPr="00D33657">
        <w:rPr>
          <w:rtl/>
        </w:rPr>
        <w:t xml:space="preserve"> </w:t>
      </w:r>
      <w:r w:rsidRPr="00D33657">
        <w:rPr>
          <w:rtl/>
          <w:lang w:bidi="ar-JO"/>
        </w:rPr>
        <w:t>استباقية،</w:t>
      </w:r>
      <w:r w:rsidRPr="00D33657">
        <w:rPr>
          <w:rtl/>
        </w:rPr>
        <w:t xml:space="preserve"> </w:t>
      </w:r>
      <w:r w:rsidRPr="00D33657">
        <w:rPr>
          <w:rtl/>
          <w:lang w:bidi="ar-JO"/>
        </w:rPr>
        <w:t>وبالتعاون</w:t>
      </w:r>
      <w:r w:rsidRPr="00D33657">
        <w:rPr>
          <w:rtl/>
        </w:rPr>
        <w:t xml:space="preserve"> </w:t>
      </w:r>
      <w:r w:rsidRPr="00D33657">
        <w:rPr>
          <w:rtl/>
          <w:lang w:bidi="ar-JO"/>
        </w:rPr>
        <w:t>مع</w:t>
      </w:r>
      <w:r w:rsidRPr="00D33657">
        <w:rPr>
          <w:rtl/>
        </w:rPr>
        <w:t xml:space="preserve"> </w:t>
      </w:r>
      <w:r w:rsidRPr="00D33657">
        <w:rPr>
          <w:rtl/>
          <w:lang w:bidi="ar-JO"/>
        </w:rPr>
        <w:t>وزارة</w:t>
      </w:r>
      <w:r w:rsidRPr="00D33657">
        <w:rPr>
          <w:rtl/>
        </w:rPr>
        <w:t xml:space="preserve"> </w:t>
      </w:r>
      <w:r w:rsidRPr="00D33657">
        <w:rPr>
          <w:rtl/>
          <w:lang w:bidi="ar-JO"/>
        </w:rPr>
        <w:t>الرفاه</w:t>
      </w:r>
      <w:r w:rsidRPr="00D33657">
        <w:rPr>
          <w:rtl/>
        </w:rPr>
        <w:t xml:space="preserve"> </w:t>
      </w:r>
      <w:r w:rsidRPr="00D33657">
        <w:rPr>
          <w:rtl/>
          <w:lang w:bidi="ar-JO"/>
        </w:rPr>
        <w:t>اعتماد</w:t>
      </w:r>
      <w:r w:rsidRPr="00D33657">
        <w:rPr>
          <w:rtl/>
        </w:rPr>
        <w:t xml:space="preserve"> </w:t>
      </w:r>
      <w:r w:rsidRPr="00D33657">
        <w:rPr>
          <w:rtl/>
          <w:lang w:bidi="ar-JO"/>
        </w:rPr>
        <w:t>حلول</w:t>
      </w:r>
      <w:r w:rsidRPr="00D33657">
        <w:rPr>
          <w:rtl/>
        </w:rPr>
        <w:t xml:space="preserve"> </w:t>
      </w:r>
      <w:r w:rsidRPr="00D33657">
        <w:rPr>
          <w:rtl/>
          <w:lang w:bidi="ar-JO"/>
        </w:rPr>
        <w:t>من</w:t>
      </w:r>
      <w:r w:rsidRPr="00D33657">
        <w:rPr>
          <w:rtl/>
        </w:rPr>
        <w:t xml:space="preserve"> </w:t>
      </w:r>
      <w:r w:rsidRPr="00D33657">
        <w:rPr>
          <w:rtl/>
          <w:lang w:bidi="ar-JO"/>
        </w:rPr>
        <w:t>شأنها</w:t>
      </w:r>
      <w:r w:rsidRPr="00D33657">
        <w:rPr>
          <w:rtl/>
        </w:rPr>
        <w:t xml:space="preserve"> </w:t>
      </w:r>
      <w:r w:rsidRPr="00D33657">
        <w:rPr>
          <w:rtl/>
          <w:lang w:bidi="ar-JO"/>
        </w:rPr>
        <w:t>إتاحة</w:t>
      </w:r>
      <w:r w:rsidRPr="00D33657">
        <w:rPr>
          <w:rtl/>
        </w:rPr>
        <w:t xml:space="preserve"> </w:t>
      </w:r>
      <w:r w:rsidRPr="00D33657">
        <w:rPr>
          <w:rtl/>
          <w:lang w:bidi="ar-JO"/>
        </w:rPr>
        <w:t>إمكانية</w:t>
      </w:r>
      <w:r w:rsidRPr="00D33657">
        <w:rPr>
          <w:rtl/>
        </w:rPr>
        <w:t xml:space="preserve"> </w:t>
      </w:r>
      <w:r w:rsidRPr="00D33657">
        <w:rPr>
          <w:rtl/>
          <w:lang w:bidi="ar-JO"/>
        </w:rPr>
        <w:t>الوصول</w:t>
      </w:r>
      <w:r w:rsidRPr="00D33657">
        <w:rPr>
          <w:rtl/>
        </w:rPr>
        <w:t xml:space="preserve"> </w:t>
      </w:r>
      <w:r w:rsidRPr="00D33657">
        <w:rPr>
          <w:rtl/>
          <w:lang w:bidi="ar-JO"/>
        </w:rPr>
        <w:t>إلى</w:t>
      </w:r>
      <w:r w:rsidRPr="00D33657">
        <w:rPr>
          <w:rtl/>
        </w:rPr>
        <w:t xml:space="preserve"> </w:t>
      </w:r>
      <w:r w:rsidRPr="00D33657">
        <w:rPr>
          <w:rtl/>
          <w:lang w:bidi="ar-JO"/>
        </w:rPr>
        <w:t>الخدمات</w:t>
      </w:r>
      <w:r w:rsidRPr="00D33657">
        <w:rPr>
          <w:rtl/>
        </w:rPr>
        <w:t xml:space="preserve">. </w:t>
      </w:r>
      <w:r w:rsidRPr="00D33657">
        <w:rPr>
          <w:rtl/>
          <w:lang w:bidi="ar-JO"/>
        </w:rPr>
        <w:t>سيؤدي</w:t>
      </w:r>
      <w:r w:rsidRPr="00D33657">
        <w:rPr>
          <w:rtl/>
        </w:rPr>
        <w:t xml:space="preserve"> </w:t>
      </w:r>
      <w:r w:rsidRPr="00D33657">
        <w:rPr>
          <w:rtl/>
          <w:lang w:bidi="ar-JO"/>
        </w:rPr>
        <w:t>كل</w:t>
      </w:r>
      <w:r w:rsidRPr="00D33657">
        <w:rPr>
          <w:rtl/>
        </w:rPr>
        <w:t xml:space="preserve"> </w:t>
      </w:r>
      <w:r w:rsidRPr="00D33657">
        <w:rPr>
          <w:rtl/>
          <w:lang w:bidi="ar-JO"/>
        </w:rPr>
        <w:t>ذلك</w:t>
      </w:r>
      <w:r w:rsidRPr="00D33657">
        <w:rPr>
          <w:rtl/>
        </w:rPr>
        <w:t xml:space="preserve"> </w:t>
      </w:r>
      <w:r w:rsidRPr="00D33657">
        <w:rPr>
          <w:rtl/>
          <w:lang w:bidi="ar-JO"/>
        </w:rPr>
        <w:t>إلى</w:t>
      </w:r>
      <w:r w:rsidRPr="00D33657">
        <w:rPr>
          <w:rtl/>
        </w:rPr>
        <w:t xml:space="preserve"> </w:t>
      </w:r>
      <w:r w:rsidRPr="00D33657">
        <w:rPr>
          <w:rtl/>
          <w:lang w:bidi="ar-JO"/>
        </w:rPr>
        <w:t>تحسين</w:t>
      </w:r>
      <w:r w:rsidRPr="00D33657">
        <w:rPr>
          <w:rtl/>
        </w:rPr>
        <w:t xml:space="preserve"> </w:t>
      </w:r>
      <w:r w:rsidRPr="00D33657">
        <w:rPr>
          <w:rtl/>
          <w:lang w:bidi="ar-JO"/>
        </w:rPr>
        <w:t>مستوى</w:t>
      </w:r>
      <w:r w:rsidRPr="00D33657">
        <w:rPr>
          <w:rtl/>
        </w:rPr>
        <w:t xml:space="preserve"> </w:t>
      </w:r>
      <w:r w:rsidRPr="00D33657">
        <w:rPr>
          <w:rtl/>
          <w:lang w:bidi="ar-JO"/>
        </w:rPr>
        <w:t>الخدمات</w:t>
      </w:r>
      <w:r w:rsidRPr="00D33657">
        <w:rPr>
          <w:rtl/>
        </w:rPr>
        <w:t xml:space="preserve"> </w:t>
      </w:r>
      <w:r w:rsidRPr="00D33657">
        <w:rPr>
          <w:rtl/>
          <w:lang w:bidi="ar-JO"/>
        </w:rPr>
        <w:t>التي</w:t>
      </w:r>
      <w:r w:rsidRPr="00D33657">
        <w:rPr>
          <w:rtl/>
        </w:rPr>
        <w:t xml:space="preserve"> </w:t>
      </w:r>
      <w:r w:rsidRPr="00D33657">
        <w:rPr>
          <w:rtl/>
          <w:lang w:bidi="ar-JO"/>
        </w:rPr>
        <w:t>تقدمها</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للأشخاص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وإلى</w:t>
      </w:r>
      <w:r w:rsidRPr="00D33657">
        <w:rPr>
          <w:rtl/>
        </w:rPr>
        <w:t xml:space="preserve"> </w:t>
      </w:r>
      <w:r w:rsidRPr="00D33657">
        <w:rPr>
          <w:rtl/>
          <w:lang w:bidi="ar-JO"/>
        </w:rPr>
        <w:t>تخفيف</w:t>
      </w:r>
      <w:r w:rsidRPr="00D33657">
        <w:rPr>
          <w:rtl/>
        </w:rPr>
        <w:t xml:space="preserve"> </w:t>
      </w:r>
      <w:r w:rsidRPr="00D33657">
        <w:rPr>
          <w:rtl/>
          <w:lang w:bidi="ar-JO"/>
        </w:rPr>
        <w:t>العبء</w:t>
      </w:r>
      <w:r w:rsidRPr="00D33657">
        <w:rPr>
          <w:rtl/>
        </w:rPr>
        <w:t xml:space="preserve"> </w:t>
      </w:r>
      <w:r w:rsidRPr="00D33657">
        <w:rPr>
          <w:rtl/>
          <w:lang w:bidi="ar-JO"/>
        </w:rPr>
        <w:t>البيروقراطي</w:t>
      </w:r>
      <w:r w:rsidRPr="00D33657">
        <w:rPr>
          <w:rtl/>
        </w:rPr>
        <w:t xml:space="preserve"> </w:t>
      </w:r>
      <w:r w:rsidRPr="00D33657">
        <w:rPr>
          <w:rtl/>
          <w:lang w:bidi="ar-JO"/>
        </w:rPr>
        <w:t>المفروض</w:t>
      </w:r>
      <w:r w:rsidRPr="00D33657">
        <w:rPr>
          <w:rtl/>
        </w:rPr>
        <w:t xml:space="preserve"> </w:t>
      </w:r>
      <w:r w:rsidRPr="00D33657">
        <w:rPr>
          <w:rtl/>
          <w:lang w:bidi="ar-JO"/>
        </w:rPr>
        <w:t>عليهم</w:t>
      </w:r>
      <w:r w:rsidRPr="00D33657">
        <w:rPr>
          <w:rtl/>
        </w:rPr>
        <w:t xml:space="preserve"> </w:t>
      </w:r>
      <w:r w:rsidRPr="00D33657">
        <w:rPr>
          <w:rtl/>
          <w:lang w:bidi="ar-JO"/>
        </w:rPr>
        <w:t>وعلى</w:t>
      </w:r>
      <w:r w:rsidRPr="00D33657">
        <w:rPr>
          <w:rtl/>
        </w:rPr>
        <w:t xml:space="preserve"> </w:t>
      </w:r>
      <w:r w:rsidRPr="00D33657">
        <w:rPr>
          <w:rtl/>
          <w:lang w:bidi="ar-JO"/>
        </w:rPr>
        <w:t>أفراد</w:t>
      </w:r>
      <w:r w:rsidRPr="00D33657">
        <w:rPr>
          <w:rtl/>
        </w:rPr>
        <w:t xml:space="preserve"> </w:t>
      </w:r>
      <w:r w:rsidRPr="00D33657">
        <w:rPr>
          <w:rtl/>
          <w:lang w:bidi="ar-JO"/>
        </w:rPr>
        <w:t>عائلاتهم</w:t>
      </w:r>
      <w:r w:rsidRPr="00D33657">
        <w:rPr>
          <w:rtl/>
        </w:rPr>
        <w:t>.</w:t>
      </w:r>
    </w:p>
    <w:p w:rsidR="00696D27" w:rsidRPr="00D33657" w:rsidP="00696D27" w14:paraId="3AA58E29" w14:textId="2095B92A">
      <w:pPr>
        <w:pStyle w:val="7190"/>
        <w:ind w:left="397"/>
        <w:rPr>
          <w:rtl/>
        </w:rPr>
      </w:pPr>
      <w:r w:rsidRPr="00D33657">
        <w:rPr>
          <w:rtl/>
          <w:lang w:bidi="ar-JO"/>
        </w:rPr>
        <w:t>يفيد</w:t>
      </w:r>
      <w:r w:rsidRPr="00D33657">
        <w:rPr>
          <w:rtl/>
        </w:rPr>
        <w:t xml:space="preserve"> </w:t>
      </w:r>
      <w:r w:rsidRPr="00D33657">
        <w:rPr>
          <w:rtl/>
          <w:lang w:bidi="ar-JO"/>
        </w:rPr>
        <w:t>النشاط</w:t>
      </w:r>
      <w:r w:rsidRPr="00D33657">
        <w:rPr>
          <w:rtl/>
        </w:rPr>
        <w:t xml:space="preserve"> </w:t>
      </w:r>
      <w:r w:rsidRPr="00D33657">
        <w:rPr>
          <w:rtl/>
          <w:lang w:bidi="ar-JO"/>
        </w:rPr>
        <w:t>البدني</w:t>
      </w:r>
      <w:r w:rsidRPr="00D33657">
        <w:rPr>
          <w:rtl/>
        </w:rPr>
        <w:t xml:space="preserve"> </w:t>
      </w:r>
      <w:r w:rsidRPr="00D33657">
        <w:rPr>
          <w:rtl/>
          <w:lang w:bidi="ar-JO"/>
        </w:rPr>
        <w:t>بشكل</w:t>
      </w:r>
      <w:r w:rsidRPr="00D33657">
        <w:rPr>
          <w:rtl/>
        </w:rPr>
        <w:t xml:space="preserve"> </w:t>
      </w:r>
      <w:r w:rsidRPr="00D33657">
        <w:rPr>
          <w:rtl/>
          <w:lang w:bidi="ar-JO"/>
        </w:rPr>
        <w:t>كبير</w:t>
      </w:r>
      <w:r w:rsidRPr="00D33657">
        <w:rPr>
          <w:rtl/>
        </w:rPr>
        <w:t xml:space="preserve"> </w:t>
      </w:r>
      <w:r w:rsidRPr="00D33657">
        <w:rPr>
          <w:rtl/>
          <w:lang w:bidi="ar-JO"/>
        </w:rPr>
        <w:t>صحة</w:t>
      </w:r>
      <w:r w:rsidRPr="00D33657">
        <w:rPr>
          <w:rtl/>
        </w:rPr>
        <w:t xml:space="preserve"> </w:t>
      </w:r>
      <w:r w:rsidRPr="00D33657">
        <w:rPr>
          <w:rtl/>
          <w:lang w:bidi="ar-JO"/>
        </w:rPr>
        <w:t>الإنسان،</w:t>
      </w:r>
      <w:r w:rsidRPr="00D33657">
        <w:rPr>
          <w:rtl/>
        </w:rPr>
        <w:t xml:space="preserve"> </w:t>
      </w:r>
      <w:r w:rsidRPr="00D33657">
        <w:rPr>
          <w:rtl/>
          <w:lang w:bidi="ar-JO"/>
        </w:rPr>
        <w:t>حيث</w:t>
      </w:r>
      <w:r w:rsidRPr="00D33657">
        <w:rPr>
          <w:rtl/>
        </w:rPr>
        <w:t xml:space="preserve"> </w:t>
      </w:r>
      <w:r w:rsidRPr="00D33657">
        <w:rPr>
          <w:rtl/>
          <w:lang w:bidi="ar-JO"/>
        </w:rPr>
        <w:t>يجعل</w:t>
      </w:r>
      <w:r w:rsidRPr="00D33657">
        <w:rPr>
          <w:rtl/>
        </w:rPr>
        <w:t xml:space="preserve"> </w:t>
      </w:r>
      <w:r w:rsidRPr="00D33657">
        <w:rPr>
          <w:rtl/>
          <w:lang w:bidi="ar-JO"/>
        </w:rPr>
        <w:t>الناس</w:t>
      </w:r>
      <w:r w:rsidRPr="00D33657">
        <w:rPr>
          <w:rtl/>
        </w:rPr>
        <w:t xml:space="preserve"> </w:t>
      </w:r>
      <w:r w:rsidRPr="00D33657">
        <w:rPr>
          <w:rtl/>
          <w:lang w:bidi="ar-JO"/>
        </w:rPr>
        <w:t>يشعرون</w:t>
      </w:r>
      <w:r w:rsidRPr="00D33657">
        <w:rPr>
          <w:rtl/>
        </w:rPr>
        <w:t xml:space="preserve"> </w:t>
      </w:r>
      <w:r w:rsidRPr="00D33657">
        <w:rPr>
          <w:rtl/>
          <w:lang w:bidi="ar-JO"/>
        </w:rPr>
        <w:t>بالرضا،</w:t>
      </w:r>
      <w:r w:rsidRPr="00D33657">
        <w:rPr>
          <w:rtl/>
        </w:rPr>
        <w:t xml:space="preserve"> </w:t>
      </w:r>
      <w:r w:rsidRPr="00D33657">
        <w:rPr>
          <w:rtl/>
          <w:lang w:bidi="ar-JO"/>
        </w:rPr>
        <w:t>ويساهم</w:t>
      </w:r>
      <w:r w:rsidRPr="00D33657">
        <w:rPr>
          <w:rtl/>
        </w:rPr>
        <w:t xml:space="preserve"> </w:t>
      </w:r>
      <w:r w:rsidRPr="00D33657">
        <w:rPr>
          <w:rtl/>
          <w:lang w:bidi="ar-JO"/>
        </w:rPr>
        <w:t>في</w:t>
      </w:r>
      <w:r w:rsidRPr="00D33657">
        <w:rPr>
          <w:rtl/>
        </w:rPr>
        <w:t xml:space="preserve"> </w:t>
      </w:r>
      <w:r w:rsidRPr="00D33657">
        <w:rPr>
          <w:rtl/>
          <w:lang w:bidi="ar-JO"/>
        </w:rPr>
        <w:t>الوقاية</w:t>
      </w:r>
      <w:r w:rsidRPr="00D33657">
        <w:rPr>
          <w:rtl/>
        </w:rPr>
        <w:t xml:space="preserve"> </w:t>
      </w:r>
      <w:r w:rsidRPr="00D33657">
        <w:rPr>
          <w:rtl/>
          <w:lang w:bidi="ar-JO"/>
        </w:rPr>
        <w:t>من</w:t>
      </w:r>
      <w:r w:rsidRPr="00D33657">
        <w:rPr>
          <w:rtl/>
        </w:rPr>
        <w:t xml:space="preserve"> </w:t>
      </w:r>
      <w:r w:rsidRPr="00D33657">
        <w:rPr>
          <w:rtl/>
          <w:lang w:bidi="ar-JO"/>
        </w:rPr>
        <w:t>السمنة</w:t>
      </w:r>
      <w:r w:rsidRPr="00D33657">
        <w:rPr>
          <w:rtl/>
        </w:rPr>
        <w:t xml:space="preserve"> </w:t>
      </w:r>
      <w:r w:rsidRPr="00D33657">
        <w:rPr>
          <w:rtl/>
          <w:lang w:bidi="ar-JO"/>
        </w:rPr>
        <w:t>والأمراض</w:t>
      </w:r>
      <w:r w:rsidRPr="00D33657">
        <w:rPr>
          <w:rtl/>
        </w:rPr>
        <w:t xml:space="preserve"> </w:t>
      </w:r>
      <w:r w:rsidRPr="00D33657">
        <w:rPr>
          <w:rtl/>
          <w:lang w:bidi="ar-JO"/>
        </w:rPr>
        <w:t>المزمنة</w:t>
      </w:r>
      <w:r w:rsidRPr="00D33657">
        <w:rPr>
          <w:rtl/>
        </w:rPr>
        <w:t xml:space="preserve"> </w:t>
      </w:r>
      <w:r w:rsidRPr="00D33657">
        <w:rPr>
          <w:rtl/>
          <w:lang w:bidi="ar-JO"/>
        </w:rPr>
        <w:t>المختلفة</w:t>
      </w:r>
      <w:r w:rsidRPr="00D33657">
        <w:rPr>
          <w:rtl/>
        </w:rPr>
        <w:t xml:space="preserve"> </w:t>
      </w:r>
      <w:r w:rsidRPr="00D33657">
        <w:rPr>
          <w:rtl/>
          <w:lang w:bidi="ar-JO"/>
        </w:rPr>
        <w:t>ويحسّن</w:t>
      </w:r>
      <w:r w:rsidRPr="00D33657">
        <w:rPr>
          <w:rtl/>
        </w:rPr>
        <w:t xml:space="preserve"> </w:t>
      </w:r>
      <w:r w:rsidRPr="00D33657">
        <w:rPr>
          <w:rtl/>
          <w:lang w:bidi="ar-JO"/>
        </w:rPr>
        <w:t>الحالة</w:t>
      </w:r>
      <w:r w:rsidRPr="00D33657">
        <w:rPr>
          <w:rtl/>
        </w:rPr>
        <w:t xml:space="preserve"> </w:t>
      </w:r>
      <w:r w:rsidRPr="00D33657">
        <w:rPr>
          <w:rtl/>
          <w:lang w:bidi="ar-JO"/>
        </w:rPr>
        <w:t>الجسدية</w:t>
      </w:r>
      <w:r w:rsidRPr="00D33657">
        <w:rPr>
          <w:rtl/>
        </w:rPr>
        <w:t xml:space="preserve"> </w:t>
      </w:r>
      <w:r w:rsidRPr="00D33657">
        <w:rPr>
          <w:rtl/>
          <w:lang w:bidi="ar-JO"/>
        </w:rPr>
        <w:t>والعقلية</w:t>
      </w:r>
      <w:r w:rsidRPr="00D33657">
        <w:rPr>
          <w:rtl/>
        </w:rPr>
        <w:t xml:space="preserve"> </w:t>
      </w:r>
      <w:r w:rsidRPr="00D33657">
        <w:rPr>
          <w:rtl/>
          <w:lang w:bidi="ar-JO"/>
        </w:rPr>
        <w:t>لكل</w:t>
      </w:r>
      <w:r w:rsidRPr="00D33657">
        <w:rPr>
          <w:rtl/>
        </w:rPr>
        <w:t xml:space="preserve"> </w:t>
      </w:r>
      <w:r w:rsidRPr="00D33657">
        <w:rPr>
          <w:rtl/>
          <w:lang w:bidi="ar-JO"/>
        </w:rPr>
        <w:t>من</w:t>
      </w:r>
      <w:r w:rsidRPr="00D33657">
        <w:rPr>
          <w:rtl/>
        </w:rPr>
        <w:t xml:space="preserve"> </w:t>
      </w:r>
      <w:r w:rsidRPr="00D33657">
        <w:rPr>
          <w:rtl/>
          <w:lang w:bidi="ar-JO"/>
        </w:rPr>
        <w:t>الأشخاص</w:t>
      </w:r>
      <w:r w:rsidRPr="00D33657">
        <w:rPr>
          <w:rtl/>
        </w:rPr>
        <w:t xml:space="preserve"> </w:t>
      </w:r>
      <w:r w:rsidRPr="00D33657">
        <w:rPr>
          <w:rtl/>
          <w:lang w:bidi="ar-JO"/>
        </w:rPr>
        <w:t>الأصحاء</w:t>
      </w:r>
      <w:r w:rsidRPr="00D33657">
        <w:rPr>
          <w:rtl/>
        </w:rPr>
        <w:t xml:space="preserve"> </w:t>
      </w:r>
      <w:r w:rsidRPr="00D33657">
        <w:rPr>
          <w:rtl/>
          <w:lang w:bidi="ar-JO"/>
        </w:rPr>
        <w:t>والذين</w:t>
      </w:r>
      <w:r w:rsidRPr="00D33657">
        <w:rPr>
          <w:rtl/>
        </w:rPr>
        <w:t xml:space="preserve"> </w:t>
      </w:r>
      <w:r w:rsidRPr="00D33657">
        <w:rPr>
          <w:rtl/>
          <w:lang w:bidi="ar-JO"/>
        </w:rPr>
        <w:t>يعانون</w:t>
      </w:r>
      <w:r w:rsidRPr="00D33657">
        <w:rPr>
          <w:rtl/>
        </w:rPr>
        <w:t xml:space="preserve"> </w:t>
      </w:r>
      <w:r w:rsidRPr="00D33657">
        <w:rPr>
          <w:rtl/>
          <w:lang w:bidi="ar-JO"/>
        </w:rPr>
        <w:t>من</w:t>
      </w:r>
      <w:r w:rsidRPr="00D33657">
        <w:rPr>
          <w:rtl/>
        </w:rPr>
        <w:t xml:space="preserve"> </w:t>
      </w:r>
      <w:r w:rsidRPr="00D33657">
        <w:rPr>
          <w:rtl/>
          <w:lang w:bidi="ar-JO"/>
        </w:rPr>
        <w:t>مشاكل</w:t>
      </w:r>
      <w:r w:rsidRPr="00D33657">
        <w:rPr>
          <w:rtl/>
        </w:rPr>
        <w:t xml:space="preserve"> </w:t>
      </w:r>
      <w:r w:rsidRPr="00D33657">
        <w:rPr>
          <w:rtl/>
          <w:lang w:bidi="ar-JO"/>
        </w:rPr>
        <w:t>صحية،</w:t>
      </w:r>
      <w:r w:rsidRPr="00D33657">
        <w:rPr>
          <w:rtl/>
        </w:rPr>
        <w:t xml:space="preserve"> </w:t>
      </w:r>
      <w:r w:rsidRPr="00D33657">
        <w:rPr>
          <w:rtl/>
          <w:lang w:bidi="ar-JO"/>
        </w:rPr>
        <w:t>مهما</w:t>
      </w:r>
      <w:r w:rsidRPr="00D33657">
        <w:rPr>
          <w:rtl/>
        </w:rPr>
        <w:t xml:space="preserve"> </w:t>
      </w:r>
      <w:r w:rsidRPr="00D33657">
        <w:rPr>
          <w:rtl/>
          <w:lang w:bidi="ar-JO"/>
        </w:rPr>
        <w:t>كانت</w:t>
      </w:r>
      <w:r w:rsidRPr="00D33657">
        <w:rPr>
          <w:rtl/>
        </w:rPr>
        <w:t xml:space="preserve"> </w:t>
      </w:r>
      <w:r w:rsidRPr="00D33657">
        <w:rPr>
          <w:rtl/>
          <w:lang w:bidi="ar-JO"/>
        </w:rPr>
        <w:t>أعمارهم</w:t>
      </w:r>
      <w:r w:rsidRPr="00D33657">
        <w:rPr>
          <w:rtl/>
        </w:rPr>
        <w:t xml:space="preserve">. </w:t>
      </w:r>
      <w:r w:rsidRPr="00D33657">
        <w:rPr>
          <w:rtl/>
          <w:lang w:bidi="ar-JO"/>
        </w:rPr>
        <w:t>تتمتع</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بالقدرة</w:t>
      </w:r>
      <w:r w:rsidRPr="00D33657">
        <w:rPr>
          <w:rtl/>
        </w:rPr>
        <w:t xml:space="preserve"> </w:t>
      </w:r>
      <w:r w:rsidRPr="00D33657">
        <w:rPr>
          <w:rtl/>
          <w:lang w:bidi="ar-JO"/>
        </w:rPr>
        <w:t>على</w:t>
      </w:r>
      <w:r w:rsidRPr="00D33657">
        <w:rPr>
          <w:rtl/>
        </w:rPr>
        <w:t xml:space="preserve"> </w:t>
      </w:r>
      <w:r w:rsidRPr="00D33657">
        <w:rPr>
          <w:rtl/>
          <w:lang w:bidi="ar-JO"/>
        </w:rPr>
        <w:t>إحداث</w:t>
      </w:r>
      <w:r w:rsidRPr="00D33657">
        <w:rPr>
          <w:rtl/>
        </w:rPr>
        <w:t xml:space="preserve"> </w:t>
      </w:r>
      <w:r w:rsidRPr="00D33657">
        <w:rPr>
          <w:rtl/>
          <w:lang w:bidi="ar-JO"/>
        </w:rPr>
        <w:t>تأثير</w:t>
      </w:r>
      <w:r w:rsidRPr="00D33657">
        <w:rPr>
          <w:rtl/>
        </w:rPr>
        <w:t xml:space="preserve"> </w:t>
      </w:r>
      <w:r w:rsidRPr="00D33657">
        <w:rPr>
          <w:rtl/>
          <w:lang w:bidi="ar-JO"/>
        </w:rPr>
        <w:t>كبير</w:t>
      </w:r>
      <w:r w:rsidRPr="00D33657">
        <w:rPr>
          <w:rtl/>
        </w:rPr>
        <w:t xml:space="preserve"> </w:t>
      </w:r>
      <w:r w:rsidRPr="00D33657">
        <w:rPr>
          <w:rtl/>
          <w:lang w:bidi="ar-JO"/>
        </w:rPr>
        <w:t>على</w:t>
      </w:r>
      <w:r w:rsidRPr="00D33657">
        <w:rPr>
          <w:rtl/>
        </w:rPr>
        <w:t xml:space="preserve"> </w:t>
      </w:r>
      <w:r w:rsidRPr="00D33657">
        <w:rPr>
          <w:rtl/>
          <w:lang w:bidi="ar-JO"/>
        </w:rPr>
        <w:t>صحة</w:t>
      </w:r>
      <w:r w:rsidRPr="00D33657">
        <w:rPr>
          <w:rtl/>
        </w:rPr>
        <w:t xml:space="preserve"> </w:t>
      </w:r>
      <w:r w:rsidRPr="00D33657">
        <w:rPr>
          <w:rtl/>
          <w:lang w:bidi="ar-JO"/>
        </w:rPr>
        <w:t>سكانها</w:t>
      </w:r>
      <w:r w:rsidRPr="00D33657">
        <w:rPr>
          <w:rtl/>
        </w:rPr>
        <w:t xml:space="preserve"> </w:t>
      </w:r>
      <w:r w:rsidRPr="00D33657">
        <w:rPr>
          <w:rtl/>
          <w:lang w:bidi="ar-JO"/>
        </w:rPr>
        <w:t>من</w:t>
      </w:r>
      <w:r w:rsidRPr="00D33657">
        <w:rPr>
          <w:rtl/>
        </w:rPr>
        <w:t xml:space="preserve"> </w:t>
      </w:r>
      <w:r w:rsidRPr="00D33657">
        <w:rPr>
          <w:rtl/>
          <w:lang w:bidi="ar-JO"/>
        </w:rPr>
        <w:t>حيث</w:t>
      </w:r>
      <w:r w:rsidRPr="00D33657">
        <w:rPr>
          <w:rtl/>
        </w:rPr>
        <w:t xml:space="preserve"> </w:t>
      </w:r>
      <w:r w:rsidRPr="00D33657">
        <w:rPr>
          <w:rtl/>
          <w:lang w:bidi="ar-JO"/>
        </w:rPr>
        <w:t>النشاط</w:t>
      </w:r>
      <w:r w:rsidRPr="00D33657">
        <w:rPr>
          <w:rtl/>
        </w:rPr>
        <w:t xml:space="preserve"> </w:t>
      </w:r>
      <w:r w:rsidRPr="00D33657">
        <w:rPr>
          <w:rtl/>
          <w:lang w:bidi="ar-JO"/>
        </w:rPr>
        <w:t>البدني</w:t>
      </w:r>
      <w:r w:rsidRPr="00D33657">
        <w:rPr>
          <w:rtl/>
        </w:rPr>
        <w:t xml:space="preserve"> </w:t>
      </w:r>
      <w:r w:rsidRPr="00D33657">
        <w:rPr>
          <w:rtl/>
          <w:lang w:bidi="ar-JO"/>
        </w:rPr>
        <w:t>والحفاظ</w:t>
      </w:r>
      <w:r w:rsidRPr="00D33657">
        <w:rPr>
          <w:rtl/>
        </w:rPr>
        <w:t xml:space="preserve"> </w:t>
      </w:r>
      <w:r w:rsidRPr="00D33657">
        <w:rPr>
          <w:rtl/>
          <w:lang w:bidi="ar-JO"/>
        </w:rPr>
        <w:t>على</w:t>
      </w:r>
      <w:r w:rsidRPr="00D33657">
        <w:rPr>
          <w:rtl/>
        </w:rPr>
        <w:t xml:space="preserve"> </w:t>
      </w:r>
      <w:r w:rsidRPr="00D33657">
        <w:rPr>
          <w:rtl/>
          <w:lang w:bidi="ar-JO"/>
        </w:rPr>
        <w:t>نمط</w:t>
      </w:r>
      <w:r w:rsidRPr="00D33657">
        <w:rPr>
          <w:rtl/>
        </w:rPr>
        <w:t xml:space="preserve"> </w:t>
      </w:r>
      <w:r w:rsidRPr="00D33657">
        <w:rPr>
          <w:rtl/>
          <w:lang w:bidi="ar-JO"/>
        </w:rPr>
        <w:t>حياة</w:t>
      </w:r>
      <w:r w:rsidRPr="00D33657">
        <w:rPr>
          <w:rtl/>
        </w:rPr>
        <w:t xml:space="preserve"> </w:t>
      </w:r>
      <w:r w:rsidRPr="00D33657">
        <w:rPr>
          <w:rtl/>
          <w:lang w:bidi="ar-JO"/>
        </w:rPr>
        <w:t>صحي،</w:t>
      </w:r>
      <w:r w:rsidRPr="00D33657">
        <w:rPr>
          <w:rtl/>
        </w:rPr>
        <w:t xml:space="preserve"> </w:t>
      </w:r>
      <w:r w:rsidRPr="00D33657">
        <w:rPr>
          <w:rtl/>
          <w:lang w:bidi="ar-JO"/>
        </w:rPr>
        <w:t>سواء</w:t>
      </w:r>
      <w:r w:rsidRPr="00D33657">
        <w:rPr>
          <w:rtl/>
        </w:rPr>
        <w:t xml:space="preserve"> </w:t>
      </w:r>
      <w:r w:rsidRPr="00D33657">
        <w:rPr>
          <w:rtl/>
          <w:lang w:bidi="ar-JO"/>
        </w:rPr>
        <w:t>من</w:t>
      </w:r>
      <w:r w:rsidRPr="00D33657">
        <w:rPr>
          <w:rtl/>
        </w:rPr>
        <w:t xml:space="preserve"> </w:t>
      </w:r>
      <w:r w:rsidRPr="00D33657">
        <w:rPr>
          <w:rtl/>
          <w:lang w:bidi="ar-JO"/>
        </w:rPr>
        <w:t>خلال</w:t>
      </w:r>
      <w:r w:rsidRPr="00D33657">
        <w:rPr>
          <w:rtl/>
        </w:rPr>
        <w:t xml:space="preserve"> </w:t>
      </w:r>
      <w:r w:rsidRPr="00D33657">
        <w:rPr>
          <w:rtl/>
          <w:lang w:bidi="ar-JO"/>
        </w:rPr>
        <w:t>تخطيط</w:t>
      </w:r>
      <w:r w:rsidRPr="00D33657">
        <w:rPr>
          <w:rtl/>
        </w:rPr>
        <w:t xml:space="preserve"> </w:t>
      </w:r>
      <w:r w:rsidRPr="00D33657">
        <w:rPr>
          <w:rtl/>
          <w:lang w:bidi="ar-JO"/>
        </w:rPr>
        <w:t>الحيز</w:t>
      </w:r>
      <w:r w:rsidRPr="00D33657">
        <w:rPr>
          <w:rtl/>
        </w:rPr>
        <w:t xml:space="preserve"> </w:t>
      </w:r>
      <w:r w:rsidRPr="00D33657">
        <w:rPr>
          <w:rtl/>
          <w:lang w:bidi="ar-JO"/>
        </w:rPr>
        <w:t>العام</w:t>
      </w:r>
      <w:r w:rsidRPr="00D33657">
        <w:rPr>
          <w:rtl/>
        </w:rPr>
        <w:t xml:space="preserve"> </w:t>
      </w:r>
      <w:r w:rsidRPr="00D33657">
        <w:rPr>
          <w:rtl/>
          <w:lang w:bidi="ar-JO"/>
        </w:rPr>
        <w:t>في</w:t>
      </w:r>
      <w:r w:rsidRPr="00D33657">
        <w:rPr>
          <w:rtl/>
        </w:rPr>
        <w:t xml:space="preserve"> </w:t>
      </w:r>
      <w:r w:rsidRPr="00D33657">
        <w:rPr>
          <w:rtl/>
          <w:lang w:bidi="ar-JO"/>
        </w:rPr>
        <w:t>منطقتها</w:t>
      </w:r>
      <w:r w:rsidRPr="00D33657">
        <w:rPr>
          <w:rtl/>
        </w:rPr>
        <w:t xml:space="preserve"> </w:t>
      </w:r>
      <w:r w:rsidRPr="00D33657">
        <w:rPr>
          <w:rtl/>
          <w:lang w:bidi="ar-JO"/>
        </w:rPr>
        <w:t>أو</w:t>
      </w:r>
      <w:r w:rsidRPr="00D33657">
        <w:rPr>
          <w:rtl/>
        </w:rPr>
        <w:t xml:space="preserve"> </w:t>
      </w:r>
      <w:r w:rsidRPr="00D33657">
        <w:rPr>
          <w:rtl/>
          <w:lang w:bidi="ar-JO"/>
        </w:rPr>
        <w:t>استثمار</w:t>
      </w:r>
      <w:r w:rsidRPr="00D33657">
        <w:rPr>
          <w:rtl/>
        </w:rPr>
        <w:t xml:space="preserve"> </w:t>
      </w:r>
      <w:r w:rsidRPr="00D33657">
        <w:rPr>
          <w:rtl/>
          <w:lang w:bidi="ar-JO"/>
        </w:rPr>
        <w:t>وتنظيم</w:t>
      </w:r>
      <w:r w:rsidRPr="00D33657">
        <w:rPr>
          <w:rtl/>
        </w:rPr>
        <w:t xml:space="preserve"> </w:t>
      </w:r>
      <w:r w:rsidRPr="00D33657">
        <w:rPr>
          <w:rtl/>
          <w:lang w:bidi="ar-JO"/>
        </w:rPr>
        <w:t>الأنشطة</w:t>
      </w:r>
      <w:r w:rsidRPr="00D33657">
        <w:rPr>
          <w:rtl/>
        </w:rPr>
        <w:t xml:space="preserve"> </w:t>
      </w:r>
      <w:r w:rsidRPr="00D33657">
        <w:rPr>
          <w:rtl/>
          <w:lang w:bidi="ar-JO"/>
        </w:rPr>
        <w:t>الرياضية</w:t>
      </w:r>
      <w:r w:rsidRPr="00D33657">
        <w:rPr>
          <w:rtl/>
        </w:rPr>
        <w:t xml:space="preserve"> </w:t>
      </w:r>
      <w:r w:rsidRPr="00D33657">
        <w:rPr>
          <w:rtl/>
          <w:lang w:bidi="ar-JO"/>
        </w:rPr>
        <w:t>الشعبية</w:t>
      </w:r>
      <w:r w:rsidRPr="00D33657">
        <w:rPr>
          <w:rtl/>
        </w:rPr>
        <w:t xml:space="preserve">. </w:t>
      </w:r>
      <w:r w:rsidRPr="00D33657">
        <w:rPr>
          <w:rtl/>
          <w:lang w:bidi="ar-JO"/>
        </w:rPr>
        <w:t>عملية</w:t>
      </w:r>
      <w:r w:rsidRPr="00D33657">
        <w:rPr>
          <w:rtl/>
        </w:rPr>
        <w:t xml:space="preserve"> </w:t>
      </w:r>
      <w:r w:rsidRPr="00D33657">
        <w:rPr>
          <w:rtl/>
          <w:lang w:bidi="ar-JO"/>
        </w:rPr>
        <w:t>مراقبة</w:t>
      </w:r>
      <w:r w:rsidRPr="00D33657">
        <w:rPr>
          <w:rtl/>
        </w:rPr>
        <w:t xml:space="preserve"> </w:t>
      </w:r>
      <w:r w:rsidRPr="00D33657">
        <w:rPr>
          <w:rtl/>
          <w:lang w:bidi="ar-JO"/>
        </w:rPr>
        <w:t>في</w:t>
      </w:r>
      <w:r w:rsidRPr="00D33657">
        <w:rPr>
          <w:rtl/>
        </w:rPr>
        <w:t xml:space="preserve"> </w:t>
      </w:r>
      <w:r w:rsidRPr="00D33657">
        <w:rPr>
          <w:rtl/>
          <w:lang w:bidi="ar-JO"/>
        </w:rPr>
        <w:t>موضوع</w:t>
      </w:r>
      <w:r w:rsidRPr="00652586">
        <w:rPr>
          <w:rtl/>
          <w:lang w:val="ar"/>
        </w:rPr>
        <w:t xml:space="preserve"> </w:t>
      </w:r>
      <w:r w:rsidRPr="00D33657">
        <w:rPr>
          <w:bCs/>
          <w:rtl/>
          <w:lang w:val="ar" w:bidi="ar-JO"/>
        </w:rPr>
        <w:t>الرياضة</w:t>
      </w:r>
      <w:r w:rsidRPr="00D33657">
        <w:rPr>
          <w:bCs/>
          <w:rtl/>
          <w:lang w:val="ar"/>
        </w:rPr>
        <w:t xml:space="preserve"> </w:t>
      </w:r>
      <w:r w:rsidRPr="00D33657">
        <w:rPr>
          <w:bCs/>
          <w:rtl/>
          <w:lang w:val="ar" w:bidi="ar-JO"/>
        </w:rPr>
        <w:t>الشعبية</w:t>
      </w:r>
      <w:r w:rsidRPr="00D33657">
        <w:rPr>
          <w:bCs/>
          <w:rtl/>
          <w:lang w:val="ar"/>
        </w:rPr>
        <w:t xml:space="preserve"> </w:t>
      </w:r>
      <w:r w:rsidRPr="00D33657">
        <w:rPr>
          <w:bCs/>
          <w:rtl/>
          <w:lang w:val="ar" w:bidi="ar-JO"/>
        </w:rPr>
        <w:t>في</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bCs/>
          <w:rtl/>
          <w:lang w:val="ar"/>
        </w:rPr>
        <w:t xml:space="preserve"> - </w:t>
      </w:r>
      <w:r w:rsidRPr="00D33657">
        <w:rPr>
          <w:bCs/>
          <w:rtl/>
          <w:lang w:val="ar" w:bidi="ar-JO"/>
        </w:rPr>
        <w:t>التخطيط</w:t>
      </w:r>
      <w:r w:rsidRPr="00D33657">
        <w:rPr>
          <w:bCs/>
          <w:rtl/>
          <w:lang w:val="ar"/>
        </w:rPr>
        <w:t xml:space="preserve"> </w:t>
      </w:r>
      <w:r w:rsidRPr="00D33657">
        <w:rPr>
          <w:bCs/>
          <w:rtl/>
          <w:lang w:val="ar" w:bidi="ar-JO"/>
        </w:rPr>
        <w:t>والاستثمار</w:t>
      </w:r>
      <w:r w:rsidRPr="00652586">
        <w:rPr>
          <w:rtl/>
          <w:lang w:val="ar"/>
        </w:rPr>
        <w:t xml:space="preserve"> </w:t>
      </w:r>
      <w:r w:rsidRPr="00D33657">
        <w:rPr>
          <w:rtl/>
          <w:lang w:bidi="ar-JO"/>
        </w:rPr>
        <w:t>وجد</w:t>
      </w:r>
      <w:r w:rsidRPr="00D33657">
        <w:rPr>
          <w:rtl/>
        </w:rPr>
        <w:t xml:space="preserve"> </w:t>
      </w:r>
      <w:r w:rsidRPr="00D33657">
        <w:rPr>
          <w:rtl/>
          <w:lang w:bidi="ar-JO"/>
        </w:rPr>
        <w:t>أن</w:t>
      </w:r>
      <w:r w:rsidRPr="00D33657">
        <w:rPr>
          <w:rtl/>
        </w:rPr>
        <w:t xml:space="preserve"> </w:t>
      </w:r>
      <w:r w:rsidRPr="00D33657">
        <w:rPr>
          <w:rtl/>
          <w:lang w:bidi="ar-JO"/>
        </w:rPr>
        <w:t>إجمالي</w:t>
      </w:r>
      <w:r w:rsidRPr="00D33657">
        <w:rPr>
          <w:rtl/>
        </w:rPr>
        <w:t xml:space="preserve"> </w:t>
      </w:r>
      <w:r w:rsidRPr="00D33657">
        <w:rPr>
          <w:rtl/>
          <w:lang w:bidi="ar-JO"/>
        </w:rPr>
        <w:t>ميزانية</w:t>
      </w:r>
      <w:r w:rsidRPr="00D33657">
        <w:rPr>
          <w:rtl/>
        </w:rPr>
        <w:t xml:space="preserve"> </w:t>
      </w:r>
      <w:r w:rsidRPr="00D33657">
        <w:rPr>
          <w:rtl/>
          <w:lang w:bidi="ar-JO"/>
        </w:rPr>
        <w:t>الدعم</w:t>
      </w:r>
      <w:r w:rsidRPr="00D33657">
        <w:rPr>
          <w:rtl/>
        </w:rPr>
        <w:t xml:space="preserve"> </w:t>
      </w:r>
      <w:r w:rsidRPr="00D33657">
        <w:rPr>
          <w:rtl/>
          <w:lang w:bidi="ar-JO"/>
        </w:rPr>
        <w:t>التي</w:t>
      </w:r>
      <w:r w:rsidRPr="00D33657">
        <w:rPr>
          <w:rtl/>
        </w:rPr>
        <w:t xml:space="preserve"> </w:t>
      </w:r>
      <w:r w:rsidRPr="00D33657">
        <w:rPr>
          <w:rtl/>
          <w:lang w:bidi="ar-JO"/>
        </w:rPr>
        <w:t>أقرتها</w:t>
      </w:r>
      <w:r w:rsidRPr="00D33657">
        <w:rPr>
          <w:rtl/>
        </w:rPr>
        <w:t xml:space="preserve"> </w:t>
      </w:r>
      <w:r w:rsidRPr="00D33657">
        <w:rPr>
          <w:rtl/>
          <w:lang w:bidi="ar-JO"/>
        </w:rPr>
        <w:t>الإدارة</w:t>
      </w:r>
      <w:r w:rsidRPr="00D33657">
        <w:rPr>
          <w:rtl/>
        </w:rPr>
        <w:t xml:space="preserve"> </w:t>
      </w:r>
      <w:r w:rsidRPr="00D33657">
        <w:rPr>
          <w:rtl/>
          <w:lang w:bidi="ar-JO"/>
        </w:rPr>
        <w:t>الرياضية</w:t>
      </w:r>
      <w:r w:rsidRPr="00D33657">
        <w:rPr>
          <w:rtl/>
        </w:rPr>
        <w:t xml:space="preserve"> </w:t>
      </w:r>
      <w:r w:rsidRPr="00D33657">
        <w:rPr>
          <w:rtl/>
          <w:lang w:bidi="ar-JO"/>
        </w:rPr>
        <w:t>بين</w:t>
      </w:r>
      <w:r w:rsidRPr="00D33657">
        <w:rPr>
          <w:rtl/>
        </w:rPr>
        <w:t xml:space="preserve"> </w:t>
      </w:r>
      <w:r w:rsidRPr="00D33657">
        <w:rPr>
          <w:rtl/>
          <w:lang w:bidi="ar-JO"/>
        </w:rPr>
        <w:t>عاميْ</w:t>
      </w:r>
      <w:r w:rsidRPr="00D33657">
        <w:rPr>
          <w:rtl/>
        </w:rPr>
        <w:t xml:space="preserve"> 2019 </w:t>
      </w:r>
      <w:r w:rsidRPr="00D33657">
        <w:rPr>
          <w:rtl/>
          <w:lang w:bidi="ar-JO"/>
        </w:rPr>
        <w:t>و</w:t>
      </w:r>
      <w:r w:rsidRPr="00D33657">
        <w:rPr>
          <w:rtl/>
        </w:rPr>
        <w:t xml:space="preserve">2021 </w:t>
      </w:r>
      <w:r w:rsidRPr="00D33657">
        <w:rPr>
          <w:rtl/>
          <w:lang w:bidi="ar-JO"/>
        </w:rPr>
        <w:t>زادت</w:t>
      </w:r>
      <w:r w:rsidRPr="00D33657">
        <w:rPr>
          <w:rtl/>
        </w:rPr>
        <w:t xml:space="preserve"> </w:t>
      </w:r>
      <w:r w:rsidRPr="00D33657">
        <w:rPr>
          <w:rtl/>
          <w:lang w:bidi="ar-JO"/>
        </w:rPr>
        <w:t>بنسبة</w:t>
      </w:r>
      <w:r w:rsidRPr="00D33657">
        <w:rPr>
          <w:rtl/>
        </w:rPr>
        <w:t xml:space="preserve"> </w:t>
      </w:r>
      <w:r w:rsidRPr="00D33657">
        <w:rPr>
          <w:rtl/>
          <w:lang w:bidi="ar-JO"/>
        </w:rPr>
        <w:t>نحو</w:t>
      </w:r>
      <w:r w:rsidRPr="00D33657">
        <w:rPr>
          <w:rtl/>
        </w:rPr>
        <w:t xml:space="preserve"> 29% (</w:t>
      </w:r>
      <w:r w:rsidRPr="00D33657">
        <w:rPr>
          <w:rtl/>
          <w:lang w:bidi="ar-JO"/>
        </w:rPr>
        <w:t>من</w:t>
      </w:r>
      <w:r w:rsidRPr="00D33657">
        <w:rPr>
          <w:rtl/>
        </w:rPr>
        <w:t xml:space="preserve"> 389.5 </w:t>
      </w:r>
      <w:r w:rsidRPr="00D33657">
        <w:rPr>
          <w:rtl/>
          <w:lang w:bidi="ar-JO"/>
        </w:rPr>
        <w:t>مليون</w:t>
      </w:r>
      <w:r w:rsidRPr="00D33657">
        <w:rPr>
          <w:rtl/>
        </w:rPr>
        <w:t xml:space="preserve"> </w:t>
      </w:r>
      <w:r w:rsidRPr="00D33657">
        <w:rPr>
          <w:rtl/>
          <w:lang w:bidi="ar-JO"/>
        </w:rPr>
        <w:t>شيكل</w:t>
      </w:r>
      <w:r w:rsidRPr="00D33657">
        <w:rPr>
          <w:rtl/>
        </w:rPr>
        <w:t xml:space="preserve"> </w:t>
      </w:r>
      <w:r w:rsidRPr="00D33657">
        <w:rPr>
          <w:rtl/>
          <w:lang w:bidi="ar-JO"/>
        </w:rPr>
        <w:t>إلى</w:t>
      </w:r>
      <w:r w:rsidRPr="00D33657">
        <w:rPr>
          <w:rtl/>
        </w:rPr>
        <w:t xml:space="preserve"> 504 </w:t>
      </w:r>
      <w:r w:rsidRPr="00D33657">
        <w:rPr>
          <w:rtl/>
          <w:lang w:bidi="ar-JO"/>
        </w:rPr>
        <w:t>ملايين</w:t>
      </w:r>
      <w:r w:rsidRPr="00D33657">
        <w:rPr>
          <w:rtl/>
        </w:rPr>
        <w:t xml:space="preserve"> </w:t>
      </w:r>
      <w:r w:rsidRPr="00D33657">
        <w:rPr>
          <w:rtl/>
          <w:lang w:bidi="ar-JO"/>
        </w:rPr>
        <w:t>شيكل</w:t>
      </w:r>
      <w:r w:rsidRPr="00D33657">
        <w:rPr>
          <w:rtl/>
        </w:rPr>
        <w:t>)</w:t>
      </w:r>
      <w:r w:rsidRPr="00D33657">
        <w:rPr>
          <w:rtl/>
          <w:lang w:bidi="ar-JO"/>
        </w:rPr>
        <w:t>،</w:t>
      </w:r>
      <w:r w:rsidRPr="00D33657">
        <w:rPr>
          <w:rtl/>
        </w:rPr>
        <w:t xml:space="preserve"> </w:t>
      </w:r>
      <w:r w:rsidRPr="00D33657">
        <w:rPr>
          <w:rtl/>
          <w:lang w:bidi="ar-JO"/>
        </w:rPr>
        <w:t>في</w:t>
      </w:r>
      <w:r w:rsidRPr="00D33657">
        <w:rPr>
          <w:rtl/>
        </w:rPr>
        <w:t xml:space="preserve"> </w:t>
      </w:r>
      <w:r w:rsidRPr="00D33657">
        <w:rPr>
          <w:rtl/>
          <w:lang w:bidi="ar-JO"/>
        </w:rPr>
        <w:t>حين</w:t>
      </w:r>
      <w:r w:rsidRPr="00D33657">
        <w:rPr>
          <w:rtl/>
        </w:rPr>
        <w:t xml:space="preserve"> </w:t>
      </w:r>
      <w:r w:rsidRPr="00D33657">
        <w:rPr>
          <w:rtl/>
          <w:lang w:bidi="ar-JO"/>
        </w:rPr>
        <w:t>أن</w:t>
      </w:r>
      <w:r w:rsidRPr="00D33657">
        <w:rPr>
          <w:rtl/>
        </w:rPr>
        <w:t xml:space="preserve"> </w:t>
      </w:r>
      <w:r w:rsidRPr="00D33657">
        <w:rPr>
          <w:rtl/>
          <w:lang w:bidi="ar-JO"/>
        </w:rPr>
        <w:t>ميزانية</w:t>
      </w:r>
      <w:r w:rsidRPr="00D33657">
        <w:rPr>
          <w:rtl/>
        </w:rPr>
        <w:t xml:space="preserve"> </w:t>
      </w:r>
      <w:r w:rsidRPr="00D33657">
        <w:rPr>
          <w:rtl/>
          <w:lang w:bidi="ar-JO"/>
        </w:rPr>
        <w:t>السلة</w:t>
      </w:r>
      <w:r w:rsidRPr="00D33657">
        <w:rPr>
          <w:rtl/>
        </w:rPr>
        <w:t xml:space="preserve"> </w:t>
      </w:r>
      <w:r w:rsidRPr="00D33657">
        <w:rPr>
          <w:rtl/>
          <w:lang w:bidi="ar-JO"/>
        </w:rPr>
        <w:t>الرياضية</w:t>
      </w:r>
      <w:r w:rsidRPr="00D33657">
        <w:rPr>
          <w:rtl/>
        </w:rPr>
        <w:t xml:space="preserve"> </w:t>
      </w:r>
      <w:r w:rsidRPr="00D33657">
        <w:rPr>
          <w:rtl/>
          <w:lang w:bidi="ar-JO"/>
        </w:rPr>
        <w:t>للسلطات</w:t>
      </w:r>
      <w:r w:rsidRPr="00D33657">
        <w:rPr>
          <w:rtl/>
        </w:rPr>
        <w:t xml:space="preserve"> </w:t>
      </w:r>
      <w:r w:rsidRPr="00D33657">
        <w:rPr>
          <w:rtl/>
          <w:lang w:bidi="ar-JO"/>
        </w:rPr>
        <w:t>المحلية،</w:t>
      </w:r>
      <w:r w:rsidRPr="00D33657">
        <w:rPr>
          <w:rtl/>
        </w:rPr>
        <w:t xml:space="preserve"> </w:t>
      </w:r>
      <w:r w:rsidRPr="00D33657">
        <w:rPr>
          <w:rtl/>
          <w:lang w:bidi="ar-JO"/>
        </w:rPr>
        <w:t>والتي</w:t>
      </w:r>
      <w:r w:rsidRPr="00D33657">
        <w:rPr>
          <w:rtl/>
        </w:rPr>
        <w:t xml:space="preserve"> </w:t>
      </w:r>
      <w:r w:rsidRPr="00D33657">
        <w:rPr>
          <w:rtl/>
          <w:lang w:bidi="ar-JO"/>
        </w:rPr>
        <w:t>تُعد</w:t>
      </w:r>
      <w:r w:rsidRPr="00D33657">
        <w:rPr>
          <w:rtl/>
        </w:rPr>
        <w:t xml:space="preserve"> </w:t>
      </w:r>
      <w:r w:rsidRPr="00D33657">
        <w:rPr>
          <w:rtl/>
          <w:lang w:bidi="ar-JO"/>
        </w:rPr>
        <w:t>الدعم</w:t>
      </w:r>
      <w:r w:rsidRPr="00D33657">
        <w:rPr>
          <w:rtl/>
        </w:rPr>
        <w:t xml:space="preserve"> </w:t>
      </w:r>
      <w:r w:rsidRPr="00D33657">
        <w:rPr>
          <w:rtl/>
          <w:lang w:bidi="ar-JO"/>
        </w:rPr>
        <w:t>الرئيسي</w:t>
      </w:r>
      <w:r w:rsidRPr="00D33657">
        <w:rPr>
          <w:rtl/>
        </w:rPr>
        <w:t xml:space="preserve"> </w:t>
      </w:r>
      <w:r w:rsidRPr="00D33657">
        <w:rPr>
          <w:rtl/>
          <w:lang w:bidi="ar-JO"/>
        </w:rPr>
        <w:t>للميزانية</w:t>
      </w:r>
      <w:r w:rsidRPr="00D33657">
        <w:rPr>
          <w:rtl/>
        </w:rPr>
        <w:t xml:space="preserve"> </w:t>
      </w:r>
      <w:r w:rsidRPr="00D33657">
        <w:rPr>
          <w:rtl/>
          <w:lang w:bidi="ar-JO"/>
        </w:rPr>
        <w:t>من</w:t>
      </w:r>
      <w:r w:rsidRPr="00D33657">
        <w:rPr>
          <w:rtl/>
        </w:rPr>
        <w:t xml:space="preserve"> </w:t>
      </w:r>
      <w:r w:rsidRPr="00D33657">
        <w:rPr>
          <w:rtl/>
          <w:lang w:bidi="ar-JO"/>
        </w:rPr>
        <w:t>الإدارة</w:t>
      </w:r>
      <w:r w:rsidRPr="00D33657">
        <w:rPr>
          <w:rtl/>
        </w:rPr>
        <w:t xml:space="preserve"> </w:t>
      </w:r>
      <w:r w:rsidRPr="00D33657">
        <w:rPr>
          <w:rtl/>
          <w:lang w:bidi="ar-JO"/>
        </w:rPr>
        <w:t>الرياضية</w:t>
      </w:r>
      <w:r w:rsidRPr="00D33657">
        <w:rPr>
          <w:rtl/>
        </w:rPr>
        <w:t xml:space="preserve"> </w:t>
      </w:r>
      <w:r w:rsidRPr="00D33657">
        <w:rPr>
          <w:rtl/>
          <w:lang w:bidi="ar-JO"/>
        </w:rPr>
        <w:t>لأنشطة</w:t>
      </w:r>
      <w:r w:rsidRPr="00D33657">
        <w:rPr>
          <w:rtl/>
        </w:rPr>
        <w:t xml:space="preserve"> </w:t>
      </w:r>
      <w:r w:rsidRPr="00D33657">
        <w:rPr>
          <w:rtl/>
          <w:lang w:bidi="ar-JO"/>
        </w:rPr>
        <w:t>الرياضة</w:t>
      </w:r>
      <w:r w:rsidRPr="00D33657">
        <w:rPr>
          <w:rtl/>
        </w:rPr>
        <w:t xml:space="preserve"> </w:t>
      </w:r>
      <w:r w:rsidRPr="00D33657">
        <w:rPr>
          <w:rtl/>
          <w:lang w:bidi="ar-JO"/>
        </w:rPr>
        <w:t>الشعبية</w:t>
      </w:r>
      <w:r w:rsidRPr="00D33657">
        <w:rPr>
          <w:rtl/>
        </w:rPr>
        <w:t xml:space="preserve"> </w:t>
      </w:r>
      <w:r w:rsidRPr="00D33657">
        <w:rPr>
          <w:rtl/>
          <w:lang w:bidi="ar-JO"/>
        </w:rPr>
        <w:t>لدى</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نمت</w:t>
      </w:r>
      <w:r w:rsidRPr="00D33657">
        <w:rPr>
          <w:rtl/>
        </w:rPr>
        <w:t xml:space="preserve"> </w:t>
      </w:r>
      <w:r w:rsidRPr="00D33657">
        <w:rPr>
          <w:rtl/>
          <w:lang w:bidi="ar-JO"/>
        </w:rPr>
        <w:t>خلال</w:t>
      </w:r>
      <w:r w:rsidRPr="00D33657">
        <w:rPr>
          <w:rtl/>
        </w:rPr>
        <w:t xml:space="preserve"> </w:t>
      </w:r>
      <w:r w:rsidRPr="00D33657">
        <w:rPr>
          <w:rtl/>
          <w:lang w:bidi="ar-JO"/>
        </w:rPr>
        <w:t>تلك</w:t>
      </w:r>
      <w:r w:rsidRPr="00D33657">
        <w:rPr>
          <w:rtl/>
        </w:rPr>
        <w:t xml:space="preserve"> </w:t>
      </w:r>
      <w:r w:rsidRPr="00D33657">
        <w:rPr>
          <w:rtl/>
          <w:lang w:bidi="ar-JO"/>
        </w:rPr>
        <w:t>السنوات</w:t>
      </w:r>
      <w:r w:rsidRPr="00D33657">
        <w:rPr>
          <w:rtl/>
        </w:rPr>
        <w:t xml:space="preserve"> </w:t>
      </w:r>
      <w:r w:rsidRPr="00D33657">
        <w:rPr>
          <w:rtl/>
          <w:lang w:bidi="ar-JO"/>
        </w:rPr>
        <w:t>بنسبة</w:t>
      </w:r>
      <w:r w:rsidRPr="00D33657">
        <w:rPr>
          <w:rtl/>
        </w:rPr>
        <w:t xml:space="preserve"> </w:t>
      </w:r>
      <w:r w:rsidRPr="00D33657">
        <w:rPr>
          <w:rtl/>
          <w:lang w:bidi="ar-JO"/>
        </w:rPr>
        <w:t>حوالي</w:t>
      </w:r>
      <w:r w:rsidRPr="00D33657">
        <w:rPr>
          <w:rtl/>
        </w:rPr>
        <w:t xml:space="preserve"> 9.5% </w:t>
      </w:r>
      <w:r w:rsidRPr="00D33657">
        <w:rPr>
          <w:rtl/>
          <w:lang w:bidi="ar-JO"/>
        </w:rPr>
        <w:t>فقط</w:t>
      </w:r>
      <w:r w:rsidRPr="00D33657">
        <w:rPr>
          <w:rtl/>
        </w:rPr>
        <w:t xml:space="preserve"> (</w:t>
      </w:r>
      <w:r w:rsidRPr="00D33657">
        <w:rPr>
          <w:rtl/>
          <w:lang w:bidi="ar-JO"/>
        </w:rPr>
        <w:t>من</w:t>
      </w:r>
      <w:r w:rsidRPr="00D33657">
        <w:rPr>
          <w:rtl/>
        </w:rPr>
        <w:t xml:space="preserve"> </w:t>
      </w:r>
      <w:r w:rsidRPr="00D33657">
        <w:rPr>
          <w:rtl/>
          <w:lang w:bidi="ar-JO"/>
        </w:rPr>
        <w:t>حوالي</w:t>
      </w:r>
      <w:r w:rsidRPr="00D33657">
        <w:rPr>
          <w:rtl/>
        </w:rPr>
        <w:t xml:space="preserve"> 52.8 </w:t>
      </w:r>
      <w:r w:rsidRPr="00D33657">
        <w:rPr>
          <w:rtl/>
          <w:lang w:bidi="ar-JO"/>
        </w:rPr>
        <w:t>مليون</w:t>
      </w:r>
      <w:r w:rsidRPr="00D33657">
        <w:rPr>
          <w:rtl/>
        </w:rPr>
        <w:t xml:space="preserve"> </w:t>
      </w:r>
      <w:r w:rsidRPr="00D33657">
        <w:rPr>
          <w:rtl/>
          <w:lang w:bidi="ar-JO"/>
        </w:rPr>
        <w:t>شيكل</w:t>
      </w:r>
      <w:r w:rsidRPr="00D33657">
        <w:rPr>
          <w:rtl/>
        </w:rPr>
        <w:t xml:space="preserve"> </w:t>
      </w:r>
      <w:r w:rsidRPr="00D33657">
        <w:rPr>
          <w:rtl/>
          <w:lang w:bidi="ar-JO"/>
        </w:rPr>
        <w:t>إلى</w:t>
      </w:r>
      <w:r w:rsidRPr="00D33657">
        <w:rPr>
          <w:rtl/>
        </w:rPr>
        <w:t xml:space="preserve"> </w:t>
      </w:r>
      <w:r w:rsidRPr="00D33657">
        <w:rPr>
          <w:rtl/>
          <w:lang w:bidi="ar-JO"/>
        </w:rPr>
        <w:t>حوالي</w:t>
      </w:r>
      <w:r w:rsidRPr="00D33657">
        <w:rPr>
          <w:rtl/>
        </w:rPr>
        <w:t xml:space="preserve"> 57.8 </w:t>
      </w:r>
      <w:r w:rsidRPr="00D33657">
        <w:rPr>
          <w:rtl/>
          <w:lang w:bidi="ar-JO"/>
        </w:rPr>
        <w:t>مليون</w:t>
      </w:r>
      <w:r w:rsidRPr="00D33657">
        <w:rPr>
          <w:rtl/>
        </w:rPr>
        <w:t xml:space="preserve"> </w:t>
      </w:r>
      <w:r w:rsidRPr="00D33657">
        <w:rPr>
          <w:rtl/>
          <w:lang w:bidi="ar-JO"/>
        </w:rPr>
        <w:t>شيكل</w:t>
      </w:r>
      <w:r w:rsidRPr="00D33657">
        <w:rPr>
          <w:rtl/>
        </w:rPr>
        <w:t xml:space="preserve">). </w:t>
      </w:r>
      <w:r w:rsidRPr="00D33657">
        <w:rPr>
          <w:rtl/>
          <w:lang w:bidi="ar-JO"/>
        </w:rPr>
        <w:t>كما</w:t>
      </w:r>
      <w:r w:rsidRPr="00D33657">
        <w:rPr>
          <w:rtl/>
        </w:rPr>
        <w:t xml:space="preserve"> </w:t>
      </w:r>
      <w:r w:rsidRPr="00D33657">
        <w:rPr>
          <w:rtl/>
          <w:lang w:bidi="ar-JO"/>
        </w:rPr>
        <w:t>وُجد</w:t>
      </w:r>
      <w:r w:rsidRPr="00D33657">
        <w:rPr>
          <w:rtl/>
        </w:rPr>
        <w:t xml:space="preserve"> </w:t>
      </w:r>
      <w:r w:rsidRPr="00D33657">
        <w:rPr>
          <w:rtl/>
          <w:lang w:bidi="ar-JO"/>
        </w:rPr>
        <w:t>أن</w:t>
      </w:r>
      <w:r w:rsidRPr="00D33657">
        <w:rPr>
          <w:rtl/>
        </w:rPr>
        <w:t xml:space="preserve"> </w:t>
      </w:r>
      <w:r w:rsidRPr="00D33657">
        <w:rPr>
          <w:rtl/>
          <w:lang w:bidi="ar-JO"/>
        </w:rPr>
        <w:t>حصة</w:t>
      </w:r>
      <w:r w:rsidRPr="00D33657">
        <w:rPr>
          <w:rtl/>
        </w:rPr>
        <w:t xml:space="preserve"> </w:t>
      </w:r>
      <w:r w:rsidRPr="00D33657">
        <w:rPr>
          <w:rtl/>
          <w:lang w:bidi="ar-JO"/>
        </w:rPr>
        <w:t>السلة</w:t>
      </w:r>
      <w:r w:rsidRPr="00D33657">
        <w:rPr>
          <w:rtl/>
        </w:rPr>
        <w:t xml:space="preserve"> </w:t>
      </w:r>
      <w:r w:rsidRPr="00D33657">
        <w:rPr>
          <w:rtl/>
          <w:lang w:bidi="ar-JO"/>
        </w:rPr>
        <w:t>الرياضية</w:t>
      </w:r>
      <w:r w:rsidRPr="00D33657">
        <w:rPr>
          <w:rtl/>
        </w:rPr>
        <w:t xml:space="preserve"> </w:t>
      </w:r>
      <w:r w:rsidRPr="00D33657">
        <w:rPr>
          <w:rtl/>
          <w:lang w:bidi="ar-JO"/>
        </w:rPr>
        <w:t>من</w:t>
      </w:r>
      <w:r w:rsidRPr="00D33657">
        <w:rPr>
          <w:rtl/>
        </w:rPr>
        <w:t xml:space="preserve"> </w:t>
      </w:r>
      <w:r w:rsidRPr="00D33657">
        <w:rPr>
          <w:rtl/>
          <w:lang w:bidi="ar-JO"/>
        </w:rPr>
        <w:t>إجمالي</w:t>
      </w:r>
      <w:r w:rsidRPr="00D33657">
        <w:rPr>
          <w:rtl/>
        </w:rPr>
        <w:t xml:space="preserve"> </w:t>
      </w:r>
      <w:r w:rsidRPr="00D33657">
        <w:rPr>
          <w:rtl/>
          <w:lang w:bidi="ar-JO"/>
        </w:rPr>
        <w:t>دعم</w:t>
      </w:r>
      <w:r w:rsidRPr="00D33657">
        <w:rPr>
          <w:rtl/>
        </w:rPr>
        <w:t xml:space="preserve"> </w:t>
      </w:r>
      <w:r w:rsidRPr="00D33657">
        <w:rPr>
          <w:rtl/>
          <w:lang w:bidi="ar-JO"/>
        </w:rPr>
        <w:t>الإدارة</w:t>
      </w:r>
      <w:r w:rsidRPr="00D33657">
        <w:rPr>
          <w:rtl/>
        </w:rPr>
        <w:t xml:space="preserve"> </w:t>
      </w:r>
      <w:r w:rsidRPr="00D33657">
        <w:rPr>
          <w:rtl/>
          <w:lang w:bidi="ar-JO"/>
        </w:rPr>
        <w:t>الرياضية</w:t>
      </w:r>
      <w:r w:rsidRPr="00D33657">
        <w:rPr>
          <w:rtl/>
        </w:rPr>
        <w:t xml:space="preserve"> </w:t>
      </w:r>
      <w:r w:rsidRPr="00D33657">
        <w:rPr>
          <w:rtl/>
          <w:lang w:bidi="ar-JO"/>
        </w:rPr>
        <w:t>انخفضت</w:t>
      </w:r>
      <w:r w:rsidRPr="00D33657">
        <w:rPr>
          <w:rtl/>
        </w:rPr>
        <w:t xml:space="preserve"> </w:t>
      </w:r>
      <w:r w:rsidRPr="00D33657">
        <w:rPr>
          <w:rtl/>
          <w:lang w:bidi="ar-JO"/>
        </w:rPr>
        <w:t>من</w:t>
      </w:r>
      <w:r w:rsidRPr="00D33657">
        <w:rPr>
          <w:rtl/>
        </w:rPr>
        <w:t xml:space="preserve"> 13.6% </w:t>
      </w:r>
      <w:r w:rsidRPr="00D33657">
        <w:rPr>
          <w:rtl/>
          <w:lang w:bidi="ar-JO"/>
        </w:rPr>
        <w:t>في</w:t>
      </w:r>
      <w:r w:rsidRPr="00D33657">
        <w:rPr>
          <w:rtl/>
        </w:rPr>
        <w:t xml:space="preserve"> </w:t>
      </w:r>
      <w:r w:rsidRPr="00D33657">
        <w:rPr>
          <w:rtl/>
          <w:lang w:bidi="ar-JO"/>
        </w:rPr>
        <w:t>عام</w:t>
      </w:r>
      <w:r w:rsidRPr="00D33657">
        <w:rPr>
          <w:rtl/>
        </w:rPr>
        <w:t xml:space="preserve"> 2019 </w:t>
      </w:r>
      <w:r w:rsidRPr="00D33657">
        <w:rPr>
          <w:rtl/>
          <w:lang w:bidi="ar-JO"/>
        </w:rPr>
        <w:t>إلى</w:t>
      </w:r>
      <w:r w:rsidRPr="00D33657">
        <w:rPr>
          <w:rtl/>
        </w:rPr>
        <w:t xml:space="preserve"> 11.5% </w:t>
      </w:r>
      <w:r w:rsidRPr="00D33657">
        <w:rPr>
          <w:rtl/>
          <w:lang w:bidi="ar-JO"/>
        </w:rPr>
        <w:t>في</w:t>
      </w:r>
      <w:r w:rsidRPr="00D33657">
        <w:rPr>
          <w:rtl/>
        </w:rPr>
        <w:t xml:space="preserve"> </w:t>
      </w:r>
      <w:r w:rsidRPr="00D33657">
        <w:rPr>
          <w:rtl/>
          <w:lang w:bidi="ar-JO"/>
        </w:rPr>
        <w:t>عام</w:t>
      </w:r>
      <w:r w:rsidRPr="00D33657">
        <w:rPr>
          <w:rtl/>
        </w:rPr>
        <w:t xml:space="preserve"> 2021. </w:t>
      </w:r>
      <w:r w:rsidRPr="00D33657">
        <w:rPr>
          <w:rtl/>
          <w:lang w:bidi="ar-JO"/>
        </w:rPr>
        <w:t>ووُجد</w:t>
      </w:r>
      <w:r w:rsidRPr="00D33657">
        <w:rPr>
          <w:rtl/>
        </w:rPr>
        <w:t xml:space="preserve"> </w:t>
      </w:r>
      <w:r w:rsidRPr="00D33657">
        <w:rPr>
          <w:rtl/>
          <w:lang w:bidi="ar-JO"/>
        </w:rPr>
        <w:t>أيضًا</w:t>
      </w:r>
      <w:r w:rsidRPr="00D33657">
        <w:rPr>
          <w:rtl/>
        </w:rPr>
        <w:t xml:space="preserve"> </w:t>
      </w:r>
      <w:r w:rsidRPr="00D33657">
        <w:rPr>
          <w:rtl/>
          <w:lang w:bidi="ar-JO"/>
        </w:rPr>
        <w:t>أنه</w:t>
      </w:r>
      <w:r w:rsidRPr="00D33657">
        <w:rPr>
          <w:rtl/>
        </w:rPr>
        <w:t xml:space="preserve"> </w:t>
      </w:r>
      <w:r w:rsidRPr="00D33657">
        <w:rPr>
          <w:rtl/>
          <w:lang w:bidi="ar-JO"/>
        </w:rPr>
        <w:t>حتى</w:t>
      </w:r>
      <w:r w:rsidRPr="00D33657">
        <w:rPr>
          <w:rtl/>
        </w:rPr>
        <w:t xml:space="preserve"> </w:t>
      </w:r>
      <w:r w:rsidRPr="00D33657">
        <w:rPr>
          <w:rtl/>
          <w:lang w:bidi="ar-JO"/>
        </w:rPr>
        <w:t>موعد</w:t>
      </w:r>
      <w:r w:rsidRPr="00D33657">
        <w:rPr>
          <w:rtl/>
        </w:rPr>
        <w:t xml:space="preserve"> </w:t>
      </w:r>
      <w:r w:rsidRPr="00D33657">
        <w:rPr>
          <w:rtl/>
          <w:lang w:bidi="ar-JO"/>
        </w:rPr>
        <w:t>نهاية</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لم</w:t>
      </w:r>
      <w:r w:rsidRPr="00D33657">
        <w:rPr>
          <w:rtl/>
        </w:rPr>
        <w:t xml:space="preserve"> </w:t>
      </w:r>
      <w:r w:rsidRPr="00D33657">
        <w:rPr>
          <w:rtl/>
          <w:lang w:bidi="ar-JO"/>
        </w:rPr>
        <w:t>تنضم</w:t>
      </w:r>
      <w:r w:rsidRPr="00D33657">
        <w:rPr>
          <w:rtl/>
        </w:rPr>
        <w:t xml:space="preserve"> </w:t>
      </w:r>
      <w:r w:rsidRPr="00D33657">
        <w:rPr>
          <w:rtl/>
          <w:lang w:bidi="ar-JO"/>
        </w:rPr>
        <w:t>حوالي</w:t>
      </w:r>
      <w:r w:rsidRPr="00D33657">
        <w:rPr>
          <w:rtl/>
        </w:rPr>
        <w:t xml:space="preserve"> 70% </w:t>
      </w:r>
      <w:r w:rsidRPr="00D33657">
        <w:rPr>
          <w:rtl/>
          <w:lang w:bidi="ar-JO"/>
        </w:rPr>
        <w:t>من</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إلى</w:t>
      </w:r>
      <w:r w:rsidRPr="00D33657">
        <w:rPr>
          <w:rtl/>
        </w:rPr>
        <w:t xml:space="preserve"> </w:t>
      </w:r>
      <w:r w:rsidRPr="00D33657">
        <w:rPr>
          <w:rtl/>
          <w:lang w:bidi="ar-JO"/>
        </w:rPr>
        <w:t>الخطة</w:t>
      </w:r>
      <w:r w:rsidRPr="00D33657">
        <w:rPr>
          <w:rtl/>
        </w:rPr>
        <w:t xml:space="preserve"> </w:t>
      </w:r>
      <w:r w:rsidRPr="00D33657">
        <w:rPr>
          <w:rtl/>
          <w:lang w:bidi="ar-JO"/>
        </w:rPr>
        <w:t>الوطنية</w:t>
      </w:r>
      <w:r w:rsidRPr="00D33657">
        <w:rPr>
          <w:rtl/>
        </w:rPr>
        <w:t xml:space="preserve"> </w:t>
      </w:r>
      <w:r w:rsidRPr="00D33657">
        <w:rPr>
          <w:rtl/>
          <w:lang w:bidi="ar-JO"/>
        </w:rPr>
        <w:t>لتعزيز</w:t>
      </w:r>
      <w:r w:rsidRPr="00D33657">
        <w:rPr>
          <w:rtl/>
        </w:rPr>
        <w:t xml:space="preserve"> </w:t>
      </w:r>
      <w:r w:rsidRPr="00D33657">
        <w:rPr>
          <w:rtl/>
          <w:lang w:bidi="ar-JO"/>
        </w:rPr>
        <w:t>نمط</w:t>
      </w:r>
      <w:r w:rsidRPr="00D33657">
        <w:rPr>
          <w:rtl/>
        </w:rPr>
        <w:t xml:space="preserve"> </w:t>
      </w:r>
      <w:r w:rsidRPr="00D33657">
        <w:rPr>
          <w:rtl/>
          <w:lang w:bidi="ar-JO"/>
        </w:rPr>
        <w:t>الحياة</w:t>
      </w:r>
      <w:r w:rsidRPr="00D33657">
        <w:rPr>
          <w:rtl/>
        </w:rPr>
        <w:t xml:space="preserve"> </w:t>
      </w:r>
      <w:r w:rsidRPr="00D33657">
        <w:rPr>
          <w:rtl/>
          <w:lang w:bidi="ar-JO"/>
        </w:rPr>
        <w:t>النشط</w:t>
      </w:r>
      <w:r w:rsidRPr="00D33657">
        <w:rPr>
          <w:rtl/>
        </w:rPr>
        <w:t xml:space="preserve"> </w:t>
      </w:r>
      <w:r w:rsidRPr="00D33657">
        <w:rPr>
          <w:rtl/>
          <w:lang w:bidi="ar-JO"/>
        </w:rPr>
        <w:t>والصحي</w:t>
      </w:r>
      <w:r w:rsidRPr="00D33657">
        <w:rPr>
          <w:rtl/>
        </w:rPr>
        <w:t xml:space="preserve"> </w:t>
      </w:r>
      <w:r w:rsidRPr="00D33657">
        <w:rPr>
          <w:rtl/>
          <w:lang w:bidi="ar-JO"/>
        </w:rPr>
        <w:t>التي</w:t>
      </w:r>
      <w:r w:rsidRPr="00D33657">
        <w:rPr>
          <w:rtl/>
        </w:rPr>
        <w:t xml:space="preserve"> </w:t>
      </w:r>
      <w:r w:rsidRPr="00D33657">
        <w:rPr>
          <w:rtl/>
          <w:lang w:bidi="ar-JO"/>
        </w:rPr>
        <w:t>وافقت</w:t>
      </w:r>
      <w:r w:rsidRPr="00D33657">
        <w:rPr>
          <w:rtl/>
        </w:rPr>
        <w:t xml:space="preserve"> </w:t>
      </w:r>
      <w:r w:rsidRPr="00D33657">
        <w:rPr>
          <w:rtl/>
          <w:lang w:bidi="ar-JO"/>
        </w:rPr>
        <w:t>عليها</w:t>
      </w:r>
      <w:r w:rsidRPr="00D33657">
        <w:rPr>
          <w:rtl/>
        </w:rPr>
        <w:t xml:space="preserve"> </w:t>
      </w:r>
      <w:r w:rsidRPr="00D33657">
        <w:rPr>
          <w:rtl/>
          <w:lang w:bidi="ar-JO"/>
        </w:rPr>
        <w:t>الحكومة</w:t>
      </w:r>
      <w:r w:rsidRPr="00D33657">
        <w:rPr>
          <w:rtl/>
        </w:rPr>
        <w:t xml:space="preserve"> </w:t>
      </w:r>
      <w:r w:rsidRPr="00D33657">
        <w:rPr>
          <w:rtl/>
          <w:lang w:bidi="ar-JO"/>
        </w:rPr>
        <w:t>في</w:t>
      </w:r>
      <w:r w:rsidRPr="00D33657">
        <w:rPr>
          <w:rtl/>
        </w:rPr>
        <w:t xml:space="preserve"> </w:t>
      </w:r>
      <w:r w:rsidRPr="00D33657">
        <w:rPr>
          <w:rtl/>
          <w:lang w:bidi="ar-JO"/>
        </w:rPr>
        <w:t>نوفمبر</w:t>
      </w:r>
      <w:r w:rsidRPr="00D33657">
        <w:rPr>
          <w:rtl/>
        </w:rPr>
        <w:t xml:space="preserve"> 2011. </w:t>
      </w:r>
      <w:r w:rsidRPr="00D33657">
        <w:rPr>
          <w:rtl/>
          <w:lang w:bidi="ar-JO"/>
        </w:rPr>
        <w:t>كشف</w:t>
      </w:r>
      <w:r w:rsidRPr="00D33657">
        <w:rPr>
          <w:rtl/>
        </w:rPr>
        <w:t xml:space="preserve"> </w:t>
      </w:r>
      <w:r w:rsidRPr="00D33657">
        <w:rPr>
          <w:rtl/>
          <w:lang w:bidi="ar-JO"/>
        </w:rPr>
        <w:t>استبيان</w:t>
      </w:r>
      <w:r w:rsidRPr="00D33657">
        <w:rPr>
          <w:rtl/>
        </w:rPr>
        <w:t xml:space="preserve"> </w:t>
      </w:r>
      <w:r w:rsidRPr="00D33657">
        <w:rPr>
          <w:rtl/>
          <w:lang w:bidi="ar-JO"/>
        </w:rPr>
        <w:t>صادر</w:t>
      </w:r>
      <w:r w:rsidRPr="00D33657">
        <w:rPr>
          <w:rtl/>
        </w:rPr>
        <w:t xml:space="preserve"> </w:t>
      </w:r>
      <w:r w:rsidRPr="00D33657">
        <w:rPr>
          <w:rtl/>
          <w:lang w:bidi="ar-JO"/>
        </w:rPr>
        <w:t>عن</w:t>
      </w:r>
      <w:r w:rsidRPr="00D33657">
        <w:rPr>
          <w:rtl/>
        </w:rPr>
        <w:t xml:space="preserve"> </w:t>
      </w:r>
      <w:r w:rsidRPr="00D33657">
        <w:rPr>
          <w:rtl/>
          <w:lang w:bidi="ar-JO"/>
        </w:rPr>
        <w:t>مكتب</w:t>
      </w:r>
      <w:r w:rsidRPr="00D33657">
        <w:rPr>
          <w:rtl/>
        </w:rPr>
        <w:t xml:space="preserve"> </w:t>
      </w:r>
      <w:r w:rsidRPr="00D33657">
        <w:rPr>
          <w:rtl/>
          <w:lang w:bidi="ar-JO"/>
        </w:rPr>
        <w:t>مراقب</w:t>
      </w:r>
      <w:r w:rsidRPr="00D33657">
        <w:rPr>
          <w:rtl/>
        </w:rPr>
        <w:t xml:space="preserve"> </w:t>
      </w:r>
      <w:r w:rsidRPr="00D33657">
        <w:rPr>
          <w:rtl/>
          <w:lang w:bidi="ar-JO"/>
        </w:rPr>
        <w:t>الدولة</w:t>
      </w:r>
      <w:r w:rsidRPr="00D33657">
        <w:rPr>
          <w:rtl/>
        </w:rPr>
        <w:t xml:space="preserve"> </w:t>
      </w:r>
      <w:r w:rsidRPr="00D33657">
        <w:rPr>
          <w:rtl/>
          <w:lang w:bidi="ar-JO"/>
        </w:rPr>
        <w:t>أن</w:t>
      </w:r>
      <w:r w:rsidRPr="00D33657">
        <w:rPr>
          <w:rtl/>
        </w:rPr>
        <w:t xml:space="preserve"> 78% </w:t>
      </w:r>
      <w:r w:rsidRPr="00D33657">
        <w:rPr>
          <w:rtl/>
          <w:lang w:bidi="ar-JO"/>
        </w:rPr>
        <w:t>من</w:t>
      </w:r>
      <w:r w:rsidRPr="00D33657">
        <w:rPr>
          <w:rtl/>
        </w:rPr>
        <w:t xml:space="preserve"> </w:t>
      </w:r>
      <w:r w:rsidRPr="00D33657">
        <w:rPr>
          <w:rtl/>
          <w:lang w:bidi="ar-JO"/>
        </w:rPr>
        <w:t>المجيبين</w:t>
      </w:r>
      <w:r w:rsidRPr="00D33657">
        <w:rPr>
          <w:rtl/>
        </w:rPr>
        <w:t xml:space="preserve"> </w:t>
      </w:r>
      <w:r w:rsidRPr="00D33657">
        <w:rPr>
          <w:rtl/>
          <w:lang w:bidi="ar-JO"/>
        </w:rPr>
        <w:t>قدروا</w:t>
      </w:r>
      <w:r w:rsidRPr="00D33657">
        <w:rPr>
          <w:rtl/>
        </w:rPr>
        <w:t xml:space="preserve"> </w:t>
      </w:r>
      <w:r w:rsidRPr="00D33657">
        <w:rPr>
          <w:rtl/>
          <w:lang w:bidi="ar-JO"/>
        </w:rPr>
        <w:t>أن</w:t>
      </w:r>
      <w:r w:rsidRPr="00D33657">
        <w:rPr>
          <w:rtl/>
        </w:rPr>
        <w:t xml:space="preserve"> </w:t>
      </w:r>
      <w:r w:rsidRPr="00D33657">
        <w:rPr>
          <w:rtl/>
          <w:lang w:bidi="ar-JO"/>
        </w:rPr>
        <w:t>السلطة</w:t>
      </w:r>
      <w:r w:rsidRPr="00D33657">
        <w:rPr>
          <w:rtl/>
        </w:rPr>
        <w:t xml:space="preserve"> </w:t>
      </w:r>
      <w:r w:rsidRPr="00D33657">
        <w:rPr>
          <w:rtl/>
          <w:lang w:bidi="ar-JO"/>
        </w:rPr>
        <w:t>المحلية</w:t>
      </w:r>
      <w:r w:rsidRPr="00D33657">
        <w:rPr>
          <w:rtl/>
        </w:rPr>
        <w:t xml:space="preserve"> </w:t>
      </w:r>
      <w:r w:rsidRPr="00D33657">
        <w:rPr>
          <w:rtl/>
          <w:lang w:bidi="ar-JO"/>
        </w:rPr>
        <w:t>تشجع</w:t>
      </w:r>
      <w:r w:rsidRPr="00D33657">
        <w:rPr>
          <w:rtl/>
        </w:rPr>
        <w:t xml:space="preserve"> </w:t>
      </w:r>
      <w:r w:rsidRPr="00D33657">
        <w:rPr>
          <w:rtl/>
          <w:lang w:bidi="ar-JO"/>
        </w:rPr>
        <w:t>السكان</w:t>
      </w:r>
      <w:r w:rsidRPr="00D33657">
        <w:rPr>
          <w:rtl/>
        </w:rPr>
        <w:t xml:space="preserve"> </w:t>
      </w:r>
      <w:r w:rsidRPr="00D33657">
        <w:rPr>
          <w:rtl/>
          <w:lang w:bidi="ar-JO"/>
        </w:rPr>
        <w:t>على</w:t>
      </w:r>
      <w:r w:rsidRPr="00D33657">
        <w:rPr>
          <w:rtl/>
        </w:rPr>
        <w:t xml:space="preserve"> </w:t>
      </w:r>
      <w:r w:rsidRPr="00D33657">
        <w:rPr>
          <w:rtl/>
          <w:lang w:bidi="ar-JO"/>
        </w:rPr>
        <w:t>ممارسة</w:t>
      </w:r>
      <w:r w:rsidRPr="00D33657">
        <w:rPr>
          <w:rtl/>
        </w:rPr>
        <w:t xml:space="preserve"> </w:t>
      </w:r>
      <w:r w:rsidRPr="00D33657">
        <w:rPr>
          <w:rtl/>
          <w:lang w:bidi="ar-JO"/>
        </w:rPr>
        <w:t>النشاط</w:t>
      </w:r>
      <w:r w:rsidRPr="00D33657">
        <w:rPr>
          <w:rtl/>
        </w:rPr>
        <w:t xml:space="preserve"> </w:t>
      </w:r>
      <w:r w:rsidRPr="00D33657">
        <w:rPr>
          <w:rtl/>
          <w:lang w:bidi="ar-JO"/>
        </w:rPr>
        <w:t>البدني</w:t>
      </w:r>
      <w:r w:rsidRPr="00D33657">
        <w:rPr>
          <w:rtl/>
        </w:rPr>
        <w:t xml:space="preserve"> </w:t>
      </w:r>
      <w:r w:rsidRPr="00D33657">
        <w:rPr>
          <w:rtl/>
          <w:lang w:bidi="ar-JO"/>
        </w:rPr>
        <w:t>بشكل</w:t>
      </w:r>
      <w:r w:rsidRPr="00D33657">
        <w:rPr>
          <w:rtl/>
        </w:rPr>
        <w:t xml:space="preserve"> </w:t>
      </w:r>
      <w:r w:rsidRPr="00D33657">
        <w:rPr>
          <w:rtl/>
          <w:lang w:bidi="ar-JO"/>
        </w:rPr>
        <w:t>معتدل</w:t>
      </w:r>
      <w:r w:rsidRPr="00D33657">
        <w:rPr>
          <w:rtl/>
        </w:rPr>
        <w:t xml:space="preserve"> (39%) </w:t>
      </w:r>
      <w:r w:rsidRPr="00D33657">
        <w:rPr>
          <w:rtl/>
          <w:lang w:bidi="ar-JO"/>
        </w:rPr>
        <w:t>وقليل</w:t>
      </w:r>
      <w:r w:rsidRPr="00D33657">
        <w:rPr>
          <w:rtl/>
        </w:rPr>
        <w:t xml:space="preserve"> (39%)</w:t>
      </w:r>
      <w:r w:rsidRPr="00D33657">
        <w:rPr>
          <w:rtl/>
          <w:lang w:bidi="ar-JO"/>
        </w:rPr>
        <w:t>،</w:t>
      </w:r>
      <w:r w:rsidRPr="00D33657">
        <w:rPr>
          <w:rtl/>
        </w:rPr>
        <w:t xml:space="preserve"> </w:t>
      </w:r>
      <w:r w:rsidRPr="00D33657">
        <w:rPr>
          <w:rtl/>
          <w:lang w:bidi="ar-JO"/>
        </w:rPr>
        <w:t>في</w:t>
      </w:r>
      <w:r w:rsidRPr="00D33657">
        <w:rPr>
          <w:rtl/>
        </w:rPr>
        <w:t xml:space="preserve"> </w:t>
      </w:r>
      <w:r w:rsidRPr="00D33657">
        <w:rPr>
          <w:rtl/>
          <w:lang w:bidi="ar-JO"/>
        </w:rPr>
        <w:t>حين</w:t>
      </w:r>
      <w:r w:rsidRPr="00D33657">
        <w:rPr>
          <w:rtl/>
        </w:rPr>
        <w:t xml:space="preserve"> </w:t>
      </w:r>
      <w:r w:rsidRPr="00D33657">
        <w:rPr>
          <w:rtl/>
          <w:lang w:bidi="ar-JO"/>
        </w:rPr>
        <w:t>قدر</w:t>
      </w:r>
      <w:r w:rsidRPr="00D33657">
        <w:rPr>
          <w:rtl/>
        </w:rPr>
        <w:t xml:space="preserve"> 22% </w:t>
      </w:r>
      <w:r w:rsidRPr="00D33657">
        <w:rPr>
          <w:rtl/>
          <w:lang w:bidi="ar-JO"/>
        </w:rPr>
        <w:t>من</w:t>
      </w:r>
      <w:r w:rsidRPr="00D33657">
        <w:rPr>
          <w:rtl/>
        </w:rPr>
        <w:t xml:space="preserve"> </w:t>
      </w:r>
      <w:r w:rsidRPr="00D33657">
        <w:rPr>
          <w:rtl/>
          <w:lang w:bidi="ar-JO"/>
        </w:rPr>
        <w:t>المجيبين</w:t>
      </w:r>
      <w:r w:rsidRPr="00D33657">
        <w:rPr>
          <w:rtl/>
        </w:rPr>
        <w:t xml:space="preserve"> </w:t>
      </w:r>
      <w:r w:rsidRPr="00D33657">
        <w:rPr>
          <w:rtl/>
          <w:lang w:bidi="ar-JO"/>
        </w:rPr>
        <w:t>أن</w:t>
      </w:r>
      <w:r w:rsidRPr="00D33657">
        <w:rPr>
          <w:rtl/>
        </w:rPr>
        <w:t xml:space="preserve"> </w:t>
      </w:r>
      <w:r w:rsidRPr="00D33657">
        <w:rPr>
          <w:rtl/>
          <w:lang w:bidi="ar-JO"/>
        </w:rPr>
        <w:t>السلطة</w:t>
      </w:r>
      <w:r w:rsidRPr="00D33657">
        <w:rPr>
          <w:rtl/>
        </w:rPr>
        <w:t xml:space="preserve"> </w:t>
      </w:r>
      <w:r w:rsidRPr="00D33657">
        <w:rPr>
          <w:rtl/>
          <w:lang w:bidi="ar-JO"/>
        </w:rPr>
        <w:t>المحلية</w:t>
      </w:r>
      <w:r w:rsidRPr="00D33657">
        <w:rPr>
          <w:rtl/>
        </w:rPr>
        <w:t xml:space="preserve"> </w:t>
      </w:r>
      <w:r w:rsidRPr="00D33657">
        <w:rPr>
          <w:rtl/>
          <w:lang w:bidi="ar-JO"/>
        </w:rPr>
        <w:t>تشجع</w:t>
      </w:r>
      <w:r w:rsidRPr="00D33657">
        <w:rPr>
          <w:rtl/>
        </w:rPr>
        <w:t xml:space="preserve"> </w:t>
      </w:r>
      <w:r w:rsidRPr="00D33657">
        <w:rPr>
          <w:rtl/>
          <w:lang w:bidi="ar-JO"/>
        </w:rPr>
        <w:t>السكان</w:t>
      </w:r>
      <w:r w:rsidRPr="00D33657">
        <w:rPr>
          <w:rtl/>
        </w:rPr>
        <w:t xml:space="preserve"> </w:t>
      </w:r>
      <w:r w:rsidRPr="00D33657">
        <w:rPr>
          <w:rtl/>
          <w:lang w:bidi="ar-JO"/>
        </w:rPr>
        <w:t>على</w:t>
      </w:r>
      <w:r w:rsidRPr="00D33657">
        <w:rPr>
          <w:rtl/>
        </w:rPr>
        <w:t xml:space="preserve"> </w:t>
      </w:r>
      <w:r w:rsidRPr="00D33657">
        <w:rPr>
          <w:rtl/>
          <w:lang w:bidi="ar-JO"/>
        </w:rPr>
        <w:t>ممارسة</w:t>
      </w:r>
      <w:r w:rsidRPr="00D33657">
        <w:rPr>
          <w:rtl/>
        </w:rPr>
        <w:t xml:space="preserve"> </w:t>
      </w:r>
      <w:r w:rsidRPr="00D33657">
        <w:rPr>
          <w:rtl/>
          <w:lang w:bidi="ar-JO"/>
        </w:rPr>
        <w:t>النشاط</w:t>
      </w:r>
      <w:r w:rsidRPr="00D33657">
        <w:rPr>
          <w:rtl/>
        </w:rPr>
        <w:t xml:space="preserve"> </w:t>
      </w:r>
      <w:r w:rsidRPr="00D33657">
        <w:rPr>
          <w:rtl/>
          <w:lang w:bidi="ar-JO"/>
        </w:rPr>
        <w:t>البدني</w:t>
      </w:r>
      <w:r w:rsidRPr="00D33657">
        <w:rPr>
          <w:rtl/>
        </w:rPr>
        <w:t xml:space="preserve"> </w:t>
      </w:r>
      <w:r w:rsidRPr="00D33657">
        <w:rPr>
          <w:rtl/>
          <w:lang w:bidi="ar-JO"/>
        </w:rPr>
        <w:t>إلى</w:t>
      </w:r>
      <w:r w:rsidRPr="00D33657">
        <w:rPr>
          <w:rtl/>
        </w:rPr>
        <w:t xml:space="preserve"> </w:t>
      </w:r>
      <w:r w:rsidRPr="00D33657">
        <w:rPr>
          <w:rtl/>
          <w:lang w:bidi="ar-JO"/>
        </w:rPr>
        <w:t>حد</w:t>
      </w:r>
      <w:r w:rsidRPr="00D33657">
        <w:rPr>
          <w:rtl/>
        </w:rPr>
        <w:t xml:space="preserve"> </w:t>
      </w:r>
      <w:r w:rsidRPr="00D33657">
        <w:rPr>
          <w:rtl/>
          <w:lang w:bidi="ar-JO"/>
        </w:rPr>
        <w:t>كبير</w:t>
      </w:r>
      <w:r w:rsidRPr="00D33657">
        <w:rPr>
          <w:rtl/>
        </w:rPr>
        <w:t xml:space="preserve">. </w:t>
      </w:r>
      <w:r w:rsidRPr="00D33657">
        <w:rPr>
          <w:rtl/>
          <w:lang w:bidi="ar-JO"/>
        </w:rPr>
        <w:t>ووُجد</w:t>
      </w:r>
      <w:r w:rsidRPr="00D33657">
        <w:rPr>
          <w:rtl/>
        </w:rPr>
        <w:t xml:space="preserve"> </w:t>
      </w:r>
      <w:r w:rsidRPr="00D33657">
        <w:rPr>
          <w:rtl/>
          <w:lang w:bidi="ar-JO"/>
        </w:rPr>
        <w:t>أن</w:t>
      </w:r>
      <w:r w:rsidRPr="00D33657">
        <w:rPr>
          <w:rtl/>
        </w:rPr>
        <w:t xml:space="preserve"> 41% </w:t>
      </w:r>
      <w:r w:rsidRPr="00D33657">
        <w:rPr>
          <w:rtl/>
          <w:lang w:bidi="ar-JO"/>
        </w:rPr>
        <w:t>كانوا</w:t>
      </w:r>
      <w:r w:rsidRPr="00D33657">
        <w:rPr>
          <w:rtl/>
        </w:rPr>
        <w:t xml:space="preserve"> </w:t>
      </w:r>
      <w:r w:rsidRPr="00D33657">
        <w:rPr>
          <w:rtl/>
          <w:lang w:bidi="ar-JO"/>
        </w:rPr>
        <w:t>راضين</w:t>
      </w:r>
      <w:r w:rsidRPr="00D33657">
        <w:rPr>
          <w:rtl/>
        </w:rPr>
        <w:t xml:space="preserve"> </w:t>
      </w:r>
      <w:r w:rsidRPr="00D33657">
        <w:rPr>
          <w:rtl/>
          <w:lang w:bidi="ar-JO"/>
        </w:rPr>
        <w:t>إلى</w:t>
      </w:r>
      <w:r w:rsidRPr="00D33657">
        <w:rPr>
          <w:rtl/>
        </w:rPr>
        <w:t xml:space="preserve"> </w:t>
      </w:r>
      <w:r w:rsidRPr="00D33657">
        <w:rPr>
          <w:rtl/>
          <w:lang w:bidi="ar-JO"/>
        </w:rPr>
        <w:t>حد</w:t>
      </w:r>
      <w:r w:rsidRPr="00D33657">
        <w:rPr>
          <w:rtl/>
        </w:rPr>
        <w:t xml:space="preserve"> </w:t>
      </w:r>
      <w:r w:rsidRPr="00D33657">
        <w:rPr>
          <w:rtl/>
          <w:lang w:bidi="ar-JO"/>
        </w:rPr>
        <w:t>قليل</w:t>
      </w:r>
      <w:r w:rsidRPr="00D33657">
        <w:rPr>
          <w:rtl/>
        </w:rPr>
        <w:t xml:space="preserve"> </w:t>
      </w:r>
      <w:r w:rsidRPr="00D33657">
        <w:rPr>
          <w:rtl/>
          <w:lang w:bidi="ar-JO"/>
        </w:rPr>
        <w:t>عن</w:t>
      </w:r>
      <w:r w:rsidRPr="00D33657">
        <w:rPr>
          <w:rtl/>
        </w:rPr>
        <w:t xml:space="preserve"> </w:t>
      </w:r>
      <w:r w:rsidRPr="00D33657">
        <w:rPr>
          <w:rtl/>
          <w:lang w:bidi="ar-JO"/>
        </w:rPr>
        <w:t>الأنشطة</w:t>
      </w:r>
      <w:r w:rsidRPr="00D33657">
        <w:rPr>
          <w:rtl/>
        </w:rPr>
        <w:t xml:space="preserve"> </w:t>
      </w:r>
      <w:r w:rsidRPr="00D33657">
        <w:rPr>
          <w:rtl/>
          <w:lang w:bidi="ar-JO"/>
        </w:rPr>
        <w:t>الرياضية</w:t>
      </w:r>
      <w:r w:rsidRPr="00D33657">
        <w:rPr>
          <w:rtl/>
        </w:rPr>
        <w:t xml:space="preserve"> </w:t>
      </w:r>
      <w:r w:rsidRPr="00D33657">
        <w:rPr>
          <w:rtl/>
          <w:lang w:bidi="ar-JO"/>
        </w:rPr>
        <w:t>المتوفرة</w:t>
      </w:r>
      <w:r w:rsidRPr="00D33657">
        <w:rPr>
          <w:rtl/>
        </w:rPr>
        <w:t xml:space="preserve"> </w:t>
      </w:r>
      <w:r w:rsidRPr="00D33657">
        <w:rPr>
          <w:rtl/>
          <w:lang w:bidi="ar-JO"/>
        </w:rPr>
        <w:t>التي</w:t>
      </w:r>
      <w:r w:rsidRPr="00D33657">
        <w:rPr>
          <w:rtl/>
        </w:rPr>
        <w:t xml:space="preserve"> </w:t>
      </w:r>
      <w:r w:rsidRPr="00D33657">
        <w:rPr>
          <w:rtl/>
          <w:lang w:bidi="ar-JO"/>
        </w:rPr>
        <w:t>تنظمها</w:t>
      </w:r>
      <w:r w:rsidRPr="00D33657">
        <w:rPr>
          <w:rtl/>
        </w:rPr>
        <w:t xml:space="preserve"> </w:t>
      </w:r>
      <w:r w:rsidRPr="00D33657">
        <w:rPr>
          <w:rtl/>
          <w:lang w:bidi="ar-JO"/>
        </w:rPr>
        <w:t>السلطة،</w:t>
      </w:r>
      <w:r w:rsidRPr="00D33657">
        <w:rPr>
          <w:rtl/>
        </w:rPr>
        <w:t xml:space="preserve"> </w:t>
      </w:r>
      <w:r w:rsidRPr="00D33657">
        <w:rPr>
          <w:rtl/>
          <w:lang w:bidi="ar-JO"/>
        </w:rPr>
        <w:t>و</w:t>
      </w:r>
      <w:r w:rsidRPr="00D33657">
        <w:rPr>
          <w:rtl/>
        </w:rPr>
        <w:t xml:space="preserve"> 27% </w:t>
      </w:r>
      <w:r w:rsidRPr="00D33657">
        <w:rPr>
          <w:rtl/>
          <w:lang w:bidi="ar-JO"/>
        </w:rPr>
        <w:t>بشكل</w:t>
      </w:r>
      <w:r w:rsidRPr="00D33657">
        <w:rPr>
          <w:rtl/>
        </w:rPr>
        <w:t xml:space="preserve"> </w:t>
      </w:r>
      <w:r w:rsidRPr="00D33657">
        <w:rPr>
          <w:rtl/>
          <w:lang w:bidi="ar-JO"/>
        </w:rPr>
        <w:t>معتدل</w:t>
      </w:r>
      <w:r w:rsidRPr="00D33657">
        <w:rPr>
          <w:rtl/>
        </w:rPr>
        <w:t xml:space="preserve"> </w:t>
      </w:r>
      <w:r w:rsidRPr="00D33657">
        <w:rPr>
          <w:rtl/>
          <w:lang w:bidi="ar-JO"/>
        </w:rPr>
        <w:t>و</w:t>
      </w:r>
      <w:r w:rsidRPr="00D33657">
        <w:rPr>
          <w:rtl/>
        </w:rPr>
        <w:t xml:space="preserve"> 12% </w:t>
      </w:r>
      <w:r w:rsidRPr="00D33657">
        <w:rPr>
          <w:rtl/>
          <w:lang w:bidi="ar-JO"/>
        </w:rPr>
        <w:t>فقط</w:t>
      </w:r>
      <w:r w:rsidRPr="00D33657">
        <w:rPr>
          <w:rtl/>
        </w:rPr>
        <w:t xml:space="preserve"> </w:t>
      </w:r>
      <w:r w:rsidRPr="00D33657">
        <w:rPr>
          <w:rtl/>
          <w:lang w:bidi="ar-JO"/>
        </w:rPr>
        <w:t>كانوا</w:t>
      </w:r>
      <w:r w:rsidRPr="00D33657">
        <w:rPr>
          <w:rtl/>
        </w:rPr>
        <w:t xml:space="preserve"> </w:t>
      </w:r>
      <w:r w:rsidRPr="00D33657">
        <w:rPr>
          <w:rtl/>
          <w:lang w:bidi="ar-JO"/>
        </w:rPr>
        <w:t>راضين</w:t>
      </w:r>
      <w:r w:rsidRPr="00D33657">
        <w:rPr>
          <w:rtl/>
        </w:rPr>
        <w:t xml:space="preserve"> </w:t>
      </w:r>
      <w:r w:rsidRPr="00D33657">
        <w:rPr>
          <w:rtl/>
          <w:lang w:bidi="ar-JO"/>
        </w:rPr>
        <w:t>جدًا</w:t>
      </w:r>
      <w:r w:rsidRPr="00D33657">
        <w:rPr>
          <w:rtl/>
        </w:rPr>
        <w:t xml:space="preserve"> </w:t>
      </w:r>
      <w:r w:rsidRPr="00D33657">
        <w:rPr>
          <w:rtl/>
          <w:lang w:bidi="ar-JO"/>
        </w:rPr>
        <w:t>عن</w:t>
      </w:r>
      <w:r w:rsidRPr="00D33657">
        <w:rPr>
          <w:rtl/>
        </w:rPr>
        <w:t xml:space="preserve"> </w:t>
      </w:r>
      <w:r w:rsidRPr="00D33657">
        <w:rPr>
          <w:rtl/>
          <w:lang w:bidi="ar-JO"/>
        </w:rPr>
        <w:t>العرض</w:t>
      </w:r>
      <w:r w:rsidRPr="00D33657">
        <w:rPr>
          <w:rtl/>
        </w:rPr>
        <w:t xml:space="preserve">. </w:t>
      </w:r>
      <w:r w:rsidRPr="00D33657">
        <w:rPr>
          <w:rtl/>
          <w:lang w:bidi="ar-JO"/>
        </w:rPr>
        <w:t>كما</w:t>
      </w:r>
      <w:r w:rsidRPr="00D33657">
        <w:rPr>
          <w:rtl/>
        </w:rPr>
        <w:t xml:space="preserve"> </w:t>
      </w:r>
      <w:r w:rsidRPr="00D33657">
        <w:rPr>
          <w:rtl/>
          <w:lang w:bidi="ar-JO"/>
        </w:rPr>
        <w:t>وتبين</w:t>
      </w:r>
      <w:r w:rsidRPr="00D33657">
        <w:rPr>
          <w:rtl/>
        </w:rPr>
        <w:t xml:space="preserve"> </w:t>
      </w:r>
      <w:r w:rsidRPr="00D33657">
        <w:rPr>
          <w:rtl/>
          <w:lang w:bidi="ar-JO"/>
        </w:rPr>
        <w:t>أن</w:t>
      </w:r>
      <w:r w:rsidRPr="00D33657">
        <w:rPr>
          <w:rtl/>
        </w:rPr>
        <w:t xml:space="preserve"> </w:t>
      </w:r>
      <w:r w:rsidRPr="00D33657">
        <w:rPr>
          <w:rtl/>
          <w:lang w:bidi="ar-JO"/>
        </w:rPr>
        <w:t>متوسط</w:t>
      </w:r>
      <w:r w:rsidRPr="00D33657">
        <w:rPr>
          <w:rtl/>
        </w:rPr>
        <w:t xml:space="preserve"> </w:t>
      </w:r>
      <w:r w:rsidRPr="00D33657">
        <w:rPr>
          <w:rtl/>
          <w:lang w:bidi="ar-JO"/>
        </w:rPr>
        <w:t>الدعم</w:t>
      </w:r>
      <w:r w:rsidRPr="00D33657">
        <w:rPr>
          <w:rtl/>
        </w:rPr>
        <w:t xml:space="preserve"> </w:t>
      </w:r>
      <w:r w:rsidRPr="00D33657">
        <w:rPr>
          <w:rtl/>
          <w:lang w:bidi="ar-JO"/>
        </w:rPr>
        <w:t>السنوي</w:t>
      </w:r>
      <w:r w:rsidRPr="00D33657">
        <w:rPr>
          <w:rtl/>
        </w:rPr>
        <w:t xml:space="preserve"> </w:t>
      </w:r>
      <w:r w:rsidRPr="00D33657">
        <w:rPr>
          <w:rtl/>
          <w:lang w:bidi="ar-JO"/>
        </w:rPr>
        <w:t>لكل</w:t>
      </w:r>
      <w:r w:rsidRPr="00D33657">
        <w:rPr>
          <w:rtl/>
        </w:rPr>
        <w:t xml:space="preserve"> </w:t>
      </w:r>
      <w:r w:rsidRPr="00D33657">
        <w:rPr>
          <w:rFonts w:hint="cs"/>
          <w:rtl/>
          <w:lang w:bidi="ar-JO"/>
        </w:rPr>
        <w:t>مواطن</w:t>
      </w:r>
      <w:r w:rsidRPr="00D33657">
        <w:rPr>
          <w:rtl/>
        </w:rPr>
        <w:t xml:space="preserve"> </w:t>
      </w:r>
      <w:r w:rsidRPr="00D33657">
        <w:rPr>
          <w:rtl/>
          <w:lang w:bidi="ar-JO"/>
        </w:rPr>
        <w:t>من</w:t>
      </w:r>
      <w:r w:rsidRPr="00D33657">
        <w:rPr>
          <w:rtl/>
        </w:rPr>
        <w:t xml:space="preserve"> </w:t>
      </w:r>
      <w:r w:rsidRPr="00D33657">
        <w:rPr>
          <w:rtl/>
          <w:lang w:bidi="ar-JO"/>
        </w:rPr>
        <w:t>قبل</w:t>
      </w:r>
      <w:r w:rsidRPr="00D33657">
        <w:rPr>
          <w:rtl/>
        </w:rPr>
        <w:t xml:space="preserve"> </w:t>
      </w:r>
      <w:r w:rsidRPr="00D33657">
        <w:rPr>
          <w:rtl/>
          <w:lang w:bidi="ar-JO"/>
        </w:rPr>
        <w:t>الإدارة</w:t>
      </w:r>
      <w:r w:rsidRPr="00D33657">
        <w:rPr>
          <w:rtl/>
        </w:rPr>
        <w:t xml:space="preserve"> </w:t>
      </w:r>
      <w:r w:rsidRPr="00D33657">
        <w:rPr>
          <w:rtl/>
          <w:lang w:bidi="ar-JO"/>
        </w:rPr>
        <w:t>الرياضية</w:t>
      </w:r>
      <w:r w:rsidRPr="00D33657">
        <w:rPr>
          <w:rtl/>
        </w:rPr>
        <w:t xml:space="preserve"> </w:t>
      </w:r>
      <w:r w:rsidRPr="00D33657">
        <w:rPr>
          <w:rtl/>
          <w:lang w:bidi="ar-JO"/>
        </w:rPr>
        <w:t>من</w:t>
      </w:r>
      <w:r w:rsidRPr="00D33657">
        <w:rPr>
          <w:rtl/>
        </w:rPr>
        <w:t xml:space="preserve"> </w:t>
      </w:r>
      <w:r w:rsidRPr="00D33657">
        <w:rPr>
          <w:rtl/>
          <w:lang w:bidi="ar-JO"/>
        </w:rPr>
        <w:t>خلال</w:t>
      </w:r>
      <w:r w:rsidRPr="00D33657">
        <w:rPr>
          <w:rtl/>
        </w:rPr>
        <w:t xml:space="preserve"> </w:t>
      </w:r>
      <w:r w:rsidRPr="00D33657">
        <w:rPr>
          <w:rtl/>
          <w:lang w:bidi="ar-JO"/>
        </w:rPr>
        <w:t>عناصر</w:t>
      </w:r>
      <w:r w:rsidRPr="00D33657">
        <w:rPr>
          <w:rtl/>
        </w:rPr>
        <w:t xml:space="preserve"> </w:t>
      </w:r>
      <w:r w:rsidRPr="00D33657">
        <w:rPr>
          <w:rtl/>
          <w:lang w:bidi="ar-JO"/>
        </w:rPr>
        <w:t>السلة</w:t>
      </w:r>
      <w:r w:rsidRPr="00D33657">
        <w:rPr>
          <w:rtl/>
        </w:rPr>
        <w:t xml:space="preserve"> </w:t>
      </w:r>
      <w:r w:rsidRPr="00D33657">
        <w:rPr>
          <w:rtl/>
          <w:lang w:bidi="ar-JO"/>
        </w:rPr>
        <w:t>الرياضية</w:t>
      </w:r>
      <w:r w:rsidRPr="00D33657">
        <w:rPr>
          <w:rtl/>
        </w:rPr>
        <w:t xml:space="preserve"> </w:t>
      </w:r>
      <w:r w:rsidRPr="00D33657">
        <w:rPr>
          <w:rtl/>
          <w:lang w:bidi="ar-JO"/>
        </w:rPr>
        <w:t>المتعلقة</w:t>
      </w:r>
      <w:r w:rsidRPr="00D33657">
        <w:rPr>
          <w:rtl/>
        </w:rPr>
        <w:t xml:space="preserve"> </w:t>
      </w:r>
      <w:r w:rsidRPr="00D33657">
        <w:rPr>
          <w:rtl/>
          <w:lang w:bidi="ar-JO"/>
        </w:rPr>
        <w:t>بالرياضات</w:t>
      </w:r>
      <w:r w:rsidRPr="00D33657">
        <w:rPr>
          <w:rtl/>
        </w:rPr>
        <w:t xml:space="preserve"> </w:t>
      </w:r>
      <w:r w:rsidRPr="00D33657">
        <w:rPr>
          <w:rtl/>
          <w:lang w:bidi="ar-JO"/>
        </w:rPr>
        <w:t>الشعبية</w:t>
      </w:r>
      <w:r w:rsidRPr="00D33657">
        <w:rPr>
          <w:rtl/>
        </w:rPr>
        <w:t xml:space="preserve"> </w:t>
      </w:r>
      <w:r w:rsidRPr="00D33657">
        <w:rPr>
          <w:rtl/>
          <w:lang w:bidi="ar-JO"/>
        </w:rPr>
        <w:t>في</w:t>
      </w:r>
      <w:r w:rsidRPr="00D33657">
        <w:rPr>
          <w:rtl/>
        </w:rPr>
        <w:t xml:space="preserve"> </w:t>
      </w:r>
      <w:r w:rsidRPr="00D33657">
        <w:rPr>
          <w:rtl/>
          <w:lang w:bidi="ar-JO"/>
        </w:rPr>
        <w:t>الأعوام</w:t>
      </w:r>
      <w:r w:rsidRPr="00D33657">
        <w:rPr>
          <w:rtl/>
        </w:rPr>
        <w:t xml:space="preserve"> 20</w:t>
      </w:r>
      <w:r w:rsidR="001D5633">
        <w:rPr>
          <w:rFonts w:hint="cs"/>
          <w:rtl/>
        </w:rPr>
        <w:t>21</w:t>
      </w:r>
      <w:r w:rsidRPr="00D33657">
        <w:rPr>
          <w:rtl/>
        </w:rPr>
        <w:t>-20</w:t>
      </w:r>
      <w:r w:rsidR="001D5633">
        <w:rPr>
          <w:rFonts w:hint="cs"/>
          <w:rtl/>
        </w:rPr>
        <w:t>18</w:t>
      </w:r>
      <w:r w:rsidRPr="00D33657">
        <w:rPr>
          <w:rtl/>
        </w:rPr>
        <w:t xml:space="preserve"> </w:t>
      </w:r>
      <w:r w:rsidRPr="00D33657">
        <w:rPr>
          <w:rtl/>
          <w:lang w:bidi="ar-JO"/>
        </w:rPr>
        <w:t>لدى</w:t>
      </w:r>
      <w:r w:rsidRPr="00D33657">
        <w:rPr>
          <w:rtl/>
        </w:rPr>
        <w:t xml:space="preserve"> </w:t>
      </w:r>
      <w:r w:rsidRPr="00D33657">
        <w:rPr>
          <w:rtl/>
          <w:lang w:bidi="ar-JO"/>
        </w:rPr>
        <w:t>السلطات</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فحصها</w:t>
      </w:r>
      <w:r w:rsidRPr="00D33657">
        <w:rPr>
          <w:rtl/>
        </w:rPr>
        <w:t xml:space="preserve"> </w:t>
      </w:r>
      <w:r w:rsidRPr="00D33657">
        <w:rPr>
          <w:rtl/>
          <w:lang w:bidi="ar-JO"/>
        </w:rPr>
        <w:t>تراوح</w:t>
      </w:r>
      <w:r w:rsidRPr="00D33657">
        <w:rPr>
          <w:rtl/>
        </w:rPr>
        <w:t xml:space="preserve"> </w:t>
      </w:r>
      <w:r w:rsidRPr="00D33657">
        <w:rPr>
          <w:rtl/>
          <w:lang w:bidi="ar-JO"/>
        </w:rPr>
        <w:t>بين</w:t>
      </w:r>
      <w:r w:rsidRPr="00D33657">
        <w:rPr>
          <w:rtl/>
        </w:rPr>
        <w:t xml:space="preserve"> 1.2 </w:t>
      </w:r>
      <w:r w:rsidRPr="00D33657">
        <w:rPr>
          <w:rtl/>
          <w:lang w:bidi="ar-JO"/>
        </w:rPr>
        <w:t>شيكل</w:t>
      </w:r>
      <w:r w:rsidRPr="00D33657">
        <w:rPr>
          <w:rtl/>
        </w:rPr>
        <w:t xml:space="preserve"> </w:t>
      </w:r>
      <w:r w:rsidRPr="00D33657">
        <w:rPr>
          <w:rtl/>
          <w:lang w:bidi="ar-JO"/>
        </w:rPr>
        <w:t>و</w:t>
      </w:r>
      <w:r w:rsidRPr="00D33657">
        <w:rPr>
          <w:rtl/>
        </w:rPr>
        <w:t xml:space="preserve"> 9.7 </w:t>
      </w:r>
      <w:r w:rsidRPr="00D33657">
        <w:rPr>
          <w:rtl/>
          <w:lang w:bidi="ar-JO"/>
        </w:rPr>
        <w:t>شيكل</w:t>
      </w:r>
      <w:r w:rsidRPr="00D33657">
        <w:rPr>
          <w:rtl/>
        </w:rPr>
        <w:t xml:space="preserve"> </w:t>
      </w:r>
      <w:r w:rsidRPr="00D33657">
        <w:rPr>
          <w:rtl/>
          <w:lang w:bidi="ar-JO"/>
        </w:rPr>
        <w:t>لكل</w:t>
      </w:r>
      <w:r w:rsidRPr="00D33657">
        <w:rPr>
          <w:rtl/>
        </w:rPr>
        <w:t xml:space="preserve"> </w:t>
      </w:r>
      <w:r w:rsidRPr="00D33657">
        <w:rPr>
          <w:rFonts w:hint="cs"/>
          <w:rtl/>
          <w:lang w:bidi="ar-JO"/>
        </w:rPr>
        <w:t>مواطن</w:t>
      </w:r>
      <w:r w:rsidRPr="00D33657">
        <w:rPr>
          <w:rtl/>
        </w:rPr>
        <w:t xml:space="preserve">. </w:t>
      </w:r>
      <w:r w:rsidRPr="00D33657">
        <w:rPr>
          <w:rtl/>
          <w:lang w:bidi="ar-JO"/>
        </w:rPr>
        <w:t>وأشارت</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إلى</w:t>
      </w:r>
      <w:r w:rsidRPr="00D33657">
        <w:rPr>
          <w:rtl/>
        </w:rPr>
        <w:t xml:space="preserve"> </w:t>
      </w:r>
      <w:r w:rsidRPr="00D33657">
        <w:rPr>
          <w:rtl/>
          <w:lang w:bidi="ar-JO"/>
        </w:rPr>
        <w:t>التباين</w:t>
      </w:r>
      <w:r w:rsidRPr="00D33657">
        <w:rPr>
          <w:rtl/>
        </w:rPr>
        <w:t xml:space="preserve"> </w:t>
      </w:r>
      <w:r w:rsidRPr="00D33657">
        <w:rPr>
          <w:rtl/>
          <w:lang w:bidi="ar-JO"/>
        </w:rPr>
        <w:t>في</w:t>
      </w:r>
      <w:r w:rsidRPr="00D33657">
        <w:rPr>
          <w:rtl/>
        </w:rPr>
        <w:t xml:space="preserve"> </w:t>
      </w:r>
      <w:r w:rsidRPr="00D33657">
        <w:rPr>
          <w:rtl/>
          <w:lang w:bidi="ar-JO"/>
        </w:rPr>
        <w:t>عدد</w:t>
      </w:r>
      <w:r w:rsidRPr="00D33657">
        <w:rPr>
          <w:rtl/>
        </w:rPr>
        <w:t xml:space="preserve"> </w:t>
      </w:r>
      <w:r w:rsidRPr="00D33657">
        <w:rPr>
          <w:rtl/>
          <w:lang w:bidi="ar-JO"/>
        </w:rPr>
        <w:t>وتنوع</w:t>
      </w:r>
      <w:r w:rsidRPr="00D33657">
        <w:rPr>
          <w:rtl/>
        </w:rPr>
        <w:t xml:space="preserve"> </w:t>
      </w:r>
      <w:r w:rsidRPr="00D33657">
        <w:rPr>
          <w:rtl/>
          <w:lang w:bidi="ar-JO"/>
        </w:rPr>
        <w:t>وطريقة</w:t>
      </w:r>
      <w:r w:rsidRPr="00D33657">
        <w:rPr>
          <w:rtl/>
        </w:rPr>
        <w:t xml:space="preserve"> </w:t>
      </w:r>
      <w:r w:rsidRPr="00D33657">
        <w:rPr>
          <w:rtl/>
          <w:lang w:bidi="ar-JO"/>
        </w:rPr>
        <w:t>نشر</w:t>
      </w:r>
      <w:r w:rsidRPr="00D33657">
        <w:rPr>
          <w:rtl/>
        </w:rPr>
        <w:t xml:space="preserve"> </w:t>
      </w:r>
      <w:r w:rsidRPr="00D33657">
        <w:rPr>
          <w:rtl/>
          <w:lang w:bidi="ar-JO"/>
        </w:rPr>
        <w:t>المرافق</w:t>
      </w:r>
      <w:r w:rsidRPr="00D33657">
        <w:rPr>
          <w:rtl/>
        </w:rPr>
        <w:t xml:space="preserve"> </w:t>
      </w:r>
      <w:r w:rsidRPr="00D33657">
        <w:rPr>
          <w:rtl/>
          <w:lang w:bidi="ar-JO"/>
        </w:rPr>
        <w:t>الرياضية</w:t>
      </w:r>
      <w:r w:rsidRPr="00D33657">
        <w:rPr>
          <w:rtl/>
        </w:rPr>
        <w:t xml:space="preserve">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ونقص</w:t>
      </w:r>
      <w:r w:rsidRPr="00D33657">
        <w:rPr>
          <w:rtl/>
        </w:rPr>
        <w:t xml:space="preserve"> </w:t>
      </w:r>
      <w:r w:rsidRPr="00D33657">
        <w:rPr>
          <w:rtl/>
          <w:lang w:bidi="ar-JO"/>
        </w:rPr>
        <w:t>المرافق</w:t>
      </w:r>
      <w:r w:rsidRPr="00D33657">
        <w:rPr>
          <w:rtl/>
        </w:rPr>
        <w:t xml:space="preserve"> </w:t>
      </w:r>
      <w:r w:rsidRPr="00D33657">
        <w:rPr>
          <w:rtl/>
          <w:lang w:bidi="ar-JO"/>
        </w:rPr>
        <w:t>في</w:t>
      </w:r>
      <w:r w:rsidRPr="00D33657">
        <w:rPr>
          <w:rtl/>
        </w:rPr>
        <w:t xml:space="preserve"> </w:t>
      </w:r>
      <w:r w:rsidRPr="00D33657">
        <w:rPr>
          <w:rtl/>
          <w:lang w:bidi="ar-JO"/>
        </w:rPr>
        <w:t>بعضها</w:t>
      </w:r>
      <w:r w:rsidRPr="00D33657">
        <w:rPr>
          <w:rtl/>
        </w:rPr>
        <w:t xml:space="preserve">. </w:t>
      </w:r>
      <w:r w:rsidRPr="00D33657">
        <w:rPr>
          <w:rtl/>
          <w:lang w:bidi="ar-JO"/>
        </w:rPr>
        <w:t>بالتالي</w:t>
      </w:r>
      <w:r w:rsidRPr="00D33657">
        <w:rPr>
          <w:rtl/>
        </w:rPr>
        <w:t xml:space="preserve"> </w:t>
      </w:r>
      <w:r w:rsidRPr="00D33657">
        <w:rPr>
          <w:rtl/>
          <w:lang w:bidi="ar-JO"/>
        </w:rPr>
        <w:t>اتضح</w:t>
      </w:r>
      <w:r w:rsidRPr="00D33657">
        <w:rPr>
          <w:rtl/>
        </w:rPr>
        <w:t xml:space="preserve"> </w:t>
      </w:r>
      <w:r w:rsidRPr="00D33657">
        <w:rPr>
          <w:rtl/>
          <w:lang w:bidi="ar-JO"/>
        </w:rPr>
        <w:t>أن</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تعمل</w:t>
      </w:r>
      <w:r w:rsidRPr="00D33657">
        <w:rPr>
          <w:rtl/>
        </w:rPr>
        <w:t xml:space="preserve"> </w:t>
      </w:r>
      <w:r w:rsidRPr="00D33657">
        <w:rPr>
          <w:rtl/>
          <w:lang w:bidi="ar-JO"/>
        </w:rPr>
        <w:t>على</w:t>
      </w:r>
      <w:r w:rsidRPr="00D33657">
        <w:rPr>
          <w:rtl/>
        </w:rPr>
        <w:t xml:space="preserve"> </w:t>
      </w:r>
      <w:r w:rsidRPr="00D33657">
        <w:rPr>
          <w:rtl/>
          <w:lang w:bidi="ar-JO"/>
        </w:rPr>
        <w:t>الترويج</w:t>
      </w:r>
      <w:r w:rsidRPr="00D33657">
        <w:rPr>
          <w:rtl/>
        </w:rPr>
        <w:t xml:space="preserve"> </w:t>
      </w:r>
      <w:r w:rsidRPr="00D33657">
        <w:rPr>
          <w:rtl/>
          <w:lang w:bidi="ar-JO"/>
        </w:rPr>
        <w:t>للرياضة</w:t>
      </w:r>
      <w:r w:rsidRPr="00D33657">
        <w:rPr>
          <w:rtl/>
        </w:rPr>
        <w:t xml:space="preserve"> </w:t>
      </w:r>
      <w:r w:rsidRPr="00D33657">
        <w:rPr>
          <w:rtl/>
          <w:lang w:bidi="ar-JO"/>
        </w:rPr>
        <w:t>الشعبية</w:t>
      </w:r>
      <w:r w:rsidRPr="00D33657">
        <w:rPr>
          <w:rtl/>
        </w:rPr>
        <w:t xml:space="preserve"> </w:t>
      </w:r>
      <w:r w:rsidRPr="00D33657">
        <w:rPr>
          <w:rtl/>
          <w:lang w:bidi="ar-JO"/>
        </w:rPr>
        <w:t>وفقًا</w:t>
      </w:r>
      <w:r w:rsidRPr="00D33657">
        <w:rPr>
          <w:rtl/>
        </w:rPr>
        <w:t xml:space="preserve"> </w:t>
      </w:r>
      <w:r w:rsidRPr="00D33657">
        <w:rPr>
          <w:rtl/>
          <w:lang w:bidi="ar-JO"/>
        </w:rPr>
        <w:t>لقدرتها</w:t>
      </w:r>
      <w:r w:rsidRPr="00D33657">
        <w:rPr>
          <w:rtl/>
        </w:rPr>
        <w:t xml:space="preserve"> </w:t>
      </w:r>
      <w:r w:rsidRPr="00D33657">
        <w:rPr>
          <w:rtl/>
          <w:lang w:bidi="ar-JO"/>
        </w:rPr>
        <w:t>الاقتصادية</w:t>
      </w:r>
      <w:r w:rsidRPr="00D33657">
        <w:rPr>
          <w:rtl/>
        </w:rPr>
        <w:t xml:space="preserve"> </w:t>
      </w:r>
      <w:r w:rsidRPr="00D33657">
        <w:rPr>
          <w:rtl/>
          <w:lang w:bidi="ar-JO"/>
        </w:rPr>
        <w:t>وحسب</w:t>
      </w:r>
      <w:r w:rsidRPr="00D33657">
        <w:rPr>
          <w:rtl/>
        </w:rPr>
        <w:t xml:space="preserve"> </w:t>
      </w:r>
      <w:r w:rsidRPr="00D33657">
        <w:rPr>
          <w:rtl/>
          <w:lang w:bidi="ar-JO"/>
        </w:rPr>
        <w:t>الأولويات</w:t>
      </w:r>
      <w:r w:rsidRPr="00D33657">
        <w:rPr>
          <w:rtl/>
        </w:rPr>
        <w:t xml:space="preserve"> </w:t>
      </w:r>
      <w:r w:rsidRPr="00D33657">
        <w:rPr>
          <w:rtl/>
          <w:lang w:bidi="ar-JO"/>
        </w:rPr>
        <w:t>التي</w:t>
      </w:r>
      <w:r w:rsidRPr="00D33657">
        <w:rPr>
          <w:rtl/>
        </w:rPr>
        <w:t xml:space="preserve"> </w:t>
      </w:r>
      <w:r w:rsidRPr="00D33657">
        <w:rPr>
          <w:rtl/>
          <w:lang w:bidi="ar-JO"/>
        </w:rPr>
        <w:t>حددتها</w:t>
      </w:r>
      <w:r w:rsidRPr="00D33657">
        <w:rPr>
          <w:rtl/>
        </w:rPr>
        <w:t xml:space="preserve"> </w:t>
      </w:r>
      <w:r w:rsidRPr="00D33657">
        <w:rPr>
          <w:rtl/>
          <w:lang w:bidi="ar-JO"/>
        </w:rPr>
        <w:t>لنفسها،</w:t>
      </w:r>
      <w:r w:rsidRPr="00D33657">
        <w:rPr>
          <w:rtl/>
        </w:rPr>
        <w:t xml:space="preserve"> </w:t>
      </w:r>
      <w:r w:rsidRPr="00D33657">
        <w:rPr>
          <w:rtl/>
          <w:lang w:bidi="ar-JO"/>
        </w:rPr>
        <w:t>على</w:t>
      </w:r>
      <w:r w:rsidRPr="00D33657">
        <w:rPr>
          <w:rtl/>
        </w:rPr>
        <w:t xml:space="preserve"> </w:t>
      </w:r>
      <w:r w:rsidRPr="00D33657">
        <w:rPr>
          <w:rtl/>
          <w:lang w:bidi="ar-JO"/>
        </w:rPr>
        <w:t>الرغم</w:t>
      </w:r>
      <w:r w:rsidRPr="00D33657">
        <w:rPr>
          <w:rtl/>
        </w:rPr>
        <w:t xml:space="preserve"> </w:t>
      </w:r>
      <w:r w:rsidRPr="00D33657">
        <w:rPr>
          <w:rtl/>
          <w:lang w:bidi="ar-JO"/>
        </w:rPr>
        <w:t>من</w:t>
      </w:r>
      <w:r w:rsidRPr="00D33657">
        <w:rPr>
          <w:rtl/>
        </w:rPr>
        <w:t xml:space="preserve"> </w:t>
      </w:r>
      <w:r w:rsidRPr="00D33657">
        <w:rPr>
          <w:rtl/>
          <w:lang w:bidi="ar-JO"/>
        </w:rPr>
        <w:t>أنها</w:t>
      </w:r>
      <w:r w:rsidRPr="00D33657">
        <w:rPr>
          <w:rtl/>
        </w:rPr>
        <w:t xml:space="preserve"> </w:t>
      </w:r>
      <w:r w:rsidRPr="00D33657">
        <w:rPr>
          <w:rtl/>
          <w:lang w:bidi="ar-JO"/>
        </w:rPr>
        <w:t>ترى</w:t>
      </w:r>
      <w:r w:rsidRPr="00D33657">
        <w:rPr>
          <w:rtl/>
        </w:rPr>
        <w:t xml:space="preserve"> </w:t>
      </w:r>
      <w:r w:rsidRPr="00D33657">
        <w:rPr>
          <w:rtl/>
          <w:lang w:bidi="ar-JO"/>
        </w:rPr>
        <w:t>في</w:t>
      </w:r>
      <w:r w:rsidRPr="00D33657">
        <w:rPr>
          <w:rtl/>
        </w:rPr>
        <w:t xml:space="preserve"> </w:t>
      </w:r>
      <w:r w:rsidRPr="00D33657">
        <w:rPr>
          <w:rtl/>
          <w:lang w:bidi="ar-JO"/>
        </w:rPr>
        <w:t>ذلك</w:t>
      </w:r>
      <w:r w:rsidRPr="00D33657">
        <w:rPr>
          <w:rtl/>
        </w:rPr>
        <w:t xml:space="preserve"> </w:t>
      </w:r>
      <w:r w:rsidRPr="00D33657">
        <w:rPr>
          <w:rtl/>
          <w:lang w:bidi="ar-JO"/>
        </w:rPr>
        <w:t>قضية</w:t>
      </w:r>
      <w:r w:rsidRPr="00D33657">
        <w:rPr>
          <w:rtl/>
        </w:rPr>
        <w:t xml:space="preserve"> </w:t>
      </w:r>
      <w:r w:rsidRPr="00D33657">
        <w:rPr>
          <w:rtl/>
          <w:lang w:bidi="ar-JO"/>
        </w:rPr>
        <w:t>ذات</w:t>
      </w:r>
      <w:r w:rsidRPr="00D33657">
        <w:rPr>
          <w:rtl/>
        </w:rPr>
        <w:t xml:space="preserve"> </w:t>
      </w:r>
      <w:r w:rsidRPr="00D33657">
        <w:rPr>
          <w:rtl/>
          <w:lang w:bidi="ar-JO"/>
        </w:rPr>
        <w:t>أهمية</w:t>
      </w:r>
      <w:r w:rsidRPr="00D33657">
        <w:rPr>
          <w:rtl/>
        </w:rPr>
        <w:t xml:space="preserve"> </w:t>
      </w:r>
      <w:r w:rsidRPr="00D33657">
        <w:rPr>
          <w:rtl/>
          <w:lang w:bidi="ar-JO"/>
        </w:rPr>
        <w:t>كبيرة</w:t>
      </w:r>
      <w:r w:rsidRPr="00D33657">
        <w:rPr>
          <w:rtl/>
        </w:rPr>
        <w:t xml:space="preserve"> </w:t>
      </w:r>
      <w:r w:rsidRPr="00D33657">
        <w:rPr>
          <w:rtl/>
          <w:lang w:bidi="ar-JO"/>
        </w:rPr>
        <w:t>لصالح</w:t>
      </w:r>
      <w:r w:rsidRPr="00D33657">
        <w:rPr>
          <w:rtl/>
        </w:rPr>
        <w:t xml:space="preserve"> </w:t>
      </w:r>
      <w:r w:rsidRPr="00D33657">
        <w:rPr>
          <w:rtl/>
          <w:lang w:bidi="ar-JO"/>
        </w:rPr>
        <w:t>السكان</w:t>
      </w:r>
      <w:r w:rsidRPr="00D33657">
        <w:rPr>
          <w:rtl/>
        </w:rPr>
        <w:t xml:space="preserve">. </w:t>
      </w:r>
      <w:r w:rsidRPr="00D33657">
        <w:rPr>
          <w:rtl/>
          <w:lang w:bidi="ar-JO"/>
        </w:rPr>
        <w:t>يوصى</w:t>
      </w:r>
      <w:r w:rsidRPr="00D33657">
        <w:rPr>
          <w:rtl/>
        </w:rPr>
        <w:t xml:space="preserve"> </w:t>
      </w:r>
      <w:r w:rsidRPr="00D33657">
        <w:rPr>
          <w:rtl/>
          <w:lang w:bidi="ar-JO"/>
        </w:rPr>
        <w:t>بأن</w:t>
      </w:r>
      <w:r w:rsidRPr="00D33657">
        <w:rPr>
          <w:rtl/>
        </w:rPr>
        <w:t xml:space="preserve"> </w:t>
      </w:r>
      <w:r w:rsidRPr="00D33657">
        <w:rPr>
          <w:rtl/>
          <w:lang w:bidi="ar-JO"/>
        </w:rPr>
        <w:t>تنظر</w:t>
      </w:r>
      <w:r w:rsidRPr="00D33657">
        <w:rPr>
          <w:rtl/>
        </w:rPr>
        <w:t xml:space="preserve"> </w:t>
      </w:r>
      <w:r w:rsidRPr="00D33657">
        <w:rPr>
          <w:rtl/>
          <w:lang w:bidi="ar-JO"/>
        </w:rPr>
        <w:t>الجهات</w:t>
      </w:r>
      <w:r w:rsidRPr="00D33657">
        <w:rPr>
          <w:rtl/>
        </w:rPr>
        <w:t xml:space="preserve"> </w:t>
      </w:r>
      <w:r w:rsidRPr="00D33657">
        <w:rPr>
          <w:rtl/>
          <w:lang w:bidi="ar-JO"/>
        </w:rPr>
        <w:t>المعنية</w:t>
      </w:r>
      <w:r w:rsidRPr="00D33657">
        <w:rPr>
          <w:rtl/>
        </w:rPr>
        <w:t xml:space="preserve"> - </w:t>
      </w:r>
      <w:r w:rsidRPr="00D33657">
        <w:rPr>
          <w:rtl/>
          <w:lang w:bidi="ar-JO"/>
        </w:rPr>
        <w:t>بما</w:t>
      </w:r>
      <w:r w:rsidRPr="00D33657">
        <w:rPr>
          <w:rtl/>
        </w:rPr>
        <w:t xml:space="preserve"> </w:t>
      </w:r>
      <w:r w:rsidRPr="00D33657">
        <w:rPr>
          <w:rtl/>
          <w:lang w:bidi="ar-JO"/>
        </w:rPr>
        <w:t>في</w:t>
      </w:r>
      <w:r w:rsidRPr="00D33657">
        <w:rPr>
          <w:rtl/>
        </w:rPr>
        <w:t xml:space="preserve"> </w:t>
      </w:r>
      <w:r w:rsidRPr="00D33657">
        <w:rPr>
          <w:rtl/>
          <w:lang w:bidi="ar-JO"/>
        </w:rPr>
        <w:t>ذلك</w:t>
      </w:r>
      <w:r w:rsidRPr="00D33657">
        <w:rPr>
          <w:rtl/>
        </w:rPr>
        <w:t xml:space="preserve"> </w:t>
      </w:r>
      <w:r w:rsidRPr="00D33657">
        <w:rPr>
          <w:rtl/>
          <w:lang w:bidi="ar-JO"/>
        </w:rPr>
        <w:t>وزارة</w:t>
      </w:r>
      <w:r w:rsidRPr="00D33657">
        <w:rPr>
          <w:rtl/>
        </w:rPr>
        <w:t xml:space="preserve"> </w:t>
      </w:r>
      <w:r w:rsidRPr="00D33657">
        <w:rPr>
          <w:rtl/>
          <w:lang w:bidi="ar-JO"/>
        </w:rPr>
        <w:t>الثقافة</w:t>
      </w:r>
      <w:r w:rsidRPr="00D33657">
        <w:rPr>
          <w:rtl/>
        </w:rPr>
        <w:t xml:space="preserve"> </w:t>
      </w:r>
      <w:r w:rsidRPr="00D33657">
        <w:rPr>
          <w:rtl/>
          <w:lang w:bidi="ar-JO"/>
        </w:rPr>
        <w:t>والرياضة</w:t>
      </w:r>
      <w:r w:rsidRPr="00D33657">
        <w:rPr>
          <w:rtl/>
        </w:rPr>
        <w:t xml:space="preserve"> </w:t>
      </w:r>
      <w:r w:rsidRPr="00D33657">
        <w:rPr>
          <w:rtl/>
          <w:lang w:bidi="ar-JO"/>
        </w:rPr>
        <w:t>ووزارة</w:t>
      </w:r>
      <w:r w:rsidRPr="00D33657">
        <w:rPr>
          <w:rtl/>
        </w:rPr>
        <w:t xml:space="preserve"> </w:t>
      </w:r>
      <w:r w:rsidRPr="00D33657">
        <w:rPr>
          <w:rtl/>
          <w:lang w:bidi="ar-JO"/>
        </w:rPr>
        <w:t>الصحة</w:t>
      </w:r>
      <w:r w:rsidRPr="00D33657">
        <w:rPr>
          <w:rtl/>
        </w:rPr>
        <w:t xml:space="preserve"> </w:t>
      </w:r>
      <w:r w:rsidRPr="00D33657">
        <w:rPr>
          <w:rtl/>
          <w:lang w:bidi="ar-JO"/>
        </w:rPr>
        <w:t>ووزارة</w:t>
      </w:r>
      <w:r w:rsidRPr="00D33657">
        <w:rPr>
          <w:rtl/>
        </w:rPr>
        <w:t xml:space="preserve"> </w:t>
      </w:r>
      <w:r w:rsidRPr="00D33657">
        <w:rPr>
          <w:rtl/>
          <w:lang w:bidi="ar-JO"/>
        </w:rPr>
        <w:t>التربية</w:t>
      </w:r>
      <w:r w:rsidRPr="00D33657">
        <w:rPr>
          <w:rtl/>
        </w:rPr>
        <w:t xml:space="preserve"> </w:t>
      </w:r>
      <w:r w:rsidRPr="00D33657">
        <w:rPr>
          <w:rtl/>
          <w:lang w:bidi="ar-JO"/>
        </w:rPr>
        <w:t>والتعليم</w:t>
      </w:r>
      <w:r w:rsidRPr="00D33657">
        <w:rPr>
          <w:rtl/>
        </w:rPr>
        <w:t xml:space="preserve"> </w:t>
      </w:r>
      <w:r w:rsidRPr="00D33657">
        <w:rPr>
          <w:rtl/>
          <w:lang w:bidi="ar-JO"/>
        </w:rPr>
        <w:t>وممثلي</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 </w:t>
      </w:r>
      <w:r w:rsidRPr="00D33657">
        <w:rPr>
          <w:rtl/>
          <w:lang w:bidi="ar-JO"/>
        </w:rPr>
        <w:t>في</w:t>
      </w:r>
      <w:r w:rsidRPr="00D33657">
        <w:rPr>
          <w:rtl/>
        </w:rPr>
        <w:t xml:space="preserve"> </w:t>
      </w:r>
      <w:r w:rsidRPr="00D33657">
        <w:rPr>
          <w:rtl/>
          <w:lang w:bidi="ar-JO"/>
        </w:rPr>
        <w:t>إنشاء</w:t>
      </w:r>
      <w:r w:rsidRPr="00D33657">
        <w:rPr>
          <w:rtl/>
        </w:rPr>
        <w:t xml:space="preserve"> </w:t>
      </w:r>
      <w:r w:rsidRPr="00D33657">
        <w:rPr>
          <w:rtl/>
          <w:lang w:bidi="ar-JO"/>
        </w:rPr>
        <w:t>هيئة</w:t>
      </w:r>
      <w:r w:rsidRPr="00D33657">
        <w:rPr>
          <w:rtl/>
        </w:rPr>
        <w:t xml:space="preserve"> </w:t>
      </w:r>
      <w:r w:rsidRPr="00D33657">
        <w:rPr>
          <w:rtl/>
          <w:lang w:bidi="ar-JO"/>
        </w:rPr>
        <w:t>تنسيق</w:t>
      </w:r>
      <w:r w:rsidRPr="00D33657">
        <w:rPr>
          <w:rtl/>
        </w:rPr>
        <w:t xml:space="preserve"> </w:t>
      </w:r>
      <w:r w:rsidRPr="00D33657">
        <w:rPr>
          <w:rtl/>
          <w:lang w:bidi="ar-JO"/>
        </w:rPr>
        <w:t>أو</w:t>
      </w:r>
      <w:r w:rsidRPr="00D33657">
        <w:rPr>
          <w:rtl/>
        </w:rPr>
        <w:t xml:space="preserve"> </w:t>
      </w:r>
      <w:r w:rsidRPr="00D33657">
        <w:rPr>
          <w:rtl/>
          <w:lang w:bidi="ar-JO"/>
        </w:rPr>
        <w:t>مركز</w:t>
      </w:r>
      <w:r w:rsidRPr="00D33657">
        <w:rPr>
          <w:rtl/>
        </w:rPr>
        <w:t xml:space="preserve"> </w:t>
      </w:r>
      <w:r w:rsidRPr="00D33657">
        <w:rPr>
          <w:rtl/>
          <w:lang w:bidi="ar-JO"/>
        </w:rPr>
        <w:t>سيقوم</w:t>
      </w:r>
      <w:r w:rsidRPr="00D33657">
        <w:rPr>
          <w:rtl/>
        </w:rPr>
        <w:t xml:space="preserve"> </w:t>
      </w:r>
      <w:r w:rsidRPr="00D33657">
        <w:rPr>
          <w:rtl/>
          <w:lang w:bidi="ar-JO"/>
        </w:rPr>
        <w:t>بصياغة</w:t>
      </w:r>
      <w:r w:rsidRPr="00D33657">
        <w:rPr>
          <w:rtl/>
        </w:rPr>
        <w:t xml:space="preserve"> </w:t>
      </w:r>
      <w:r w:rsidRPr="00D33657">
        <w:rPr>
          <w:rtl/>
          <w:lang w:bidi="ar-JO"/>
        </w:rPr>
        <w:t>سياسة</w:t>
      </w:r>
      <w:r w:rsidRPr="00D33657">
        <w:rPr>
          <w:rtl/>
        </w:rPr>
        <w:t xml:space="preserve"> </w:t>
      </w:r>
      <w:r w:rsidRPr="00D33657">
        <w:rPr>
          <w:rtl/>
          <w:lang w:bidi="ar-JO"/>
        </w:rPr>
        <w:t>وطنية</w:t>
      </w:r>
      <w:r w:rsidRPr="00D33657">
        <w:rPr>
          <w:rtl/>
        </w:rPr>
        <w:t xml:space="preserve"> </w:t>
      </w:r>
      <w:r w:rsidRPr="00D33657">
        <w:rPr>
          <w:rtl/>
          <w:lang w:bidi="ar-JO"/>
        </w:rPr>
        <w:t>شاملة</w:t>
      </w:r>
      <w:r w:rsidRPr="00D33657">
        <w:rPr>
          <w:rtl/>
        </w:rPr>
        <w:t xml:space="preserve"> </w:t>
      </w:r>
      <w:r w:rsidRPr="00D33657">
        <w:rPr>
          <w:rtl/>
          <w:lang w:bidi="ar-JO"/>
        </w:rPr>
        <w:t>وطويلة</w:t>
      </w:r>
      <w:r w:rsidRPr="00D33657">
        <w:rPr>
          <w:rtl/>
        </w:rPr>
        <w:t xml:space="preserve"> </w:t>
      </w:r>
      <w:r w:rsidRPr="00D33657">
        <w:rPr>
          <w:rtl/>
          <w:lang w:bidi="ar-JO"/>
        </w:rPr>
        <w:t>الأجل</w:t>
      </w:r>
      <w:r w:rsidRPr="00D33657">
        <w:rPr>
          <w:rtl/>
        </w:rPr>
        <w:t xml:space="preserve"> </w:t>
      </w:r>
      <w:r w:rsidRPr="00D33657">
        <w:rPr>
          <w:rtl/>
          <w:lang w:bidi="ar-JO"/>
        </w:rPr>
        <w:t>يُعنى</w:t>
      </w:r>
      <w:r w:rsidRPr="00D33657">
        <w:rPr>
          <w:rtl/>
        </w:rPr>
        <w:t xml:space="preserve"> </w:t>
      </w:r>
      <w:r w:rsidRPr="00D33657">
        <w:rPr>
          <w:rtl/>
          <w:lang w:bidi="ar-JO"/>
        </w:rPr>
        <w:t>بالترويج</w:t>
      </w:r>
      <w:r w:rsidRPr="00D33657">
        <w:rPr>
          <w:rtl/>
        </w:rPr>
        <w:t xml:space="preserve"> </w:t>
      </w:r>
      <w:r w:rsidRPr="00D33657">
        <w:rPr>
          <w:rtl/>
          <w:lang w:bidi="ar-JO"/>
        </w:rPr>
        <w:t>للرياضة</w:t>
      </w:r>
      <w:r w:rsidRPr="00D33657">
        <w:rPr>
          <w:rtl/>
        </w:rPr>
        <w:t xml:space="preserve"> </w:t>
      </w:r>
      <w:r w:rsidRPr="00D33657">
        <w:rPr>
          <w:rtl/>
          <w:lang w:bidi="ar-JO"/>
        </w:rPr>
        <w:t>الشعبية</w:t>
      </w:r>
      <w:r w:rsidRPr="00D33657">
        <w:rPr>
          <w:rtl/>
        </w:rPr>
        <w:t xml:space="preserve"> </w:t>
      </w:r>
      <w:r w:rsidRPr="00D33657">
        <w:rPr>
          <w:rtl/>
          <w:lang w:bidi="ar-JO"/>
        </w:rPr>
        <w:t>بين</w:t>
      </w:r>
      <w:r w:rsidRPr="00D33657">
        <w:rPr>
          <w:rtl/>
        </w:rPr>
        <w:t xml:space="preserve"> </w:t>
      </w:r>
      <w:r w:rsidRPr="00D33657">
        <w:rPr>
          <w:rtl/>
          <w:lang w:bidi="ar-JO"/>
        </w:rPr>
        <w:t>السكان</w:t>
      </w:r>
      <w:r w:rsidRPr="00D33657">
        <w:rPr>
          <w:rtl/>
        </w:rPr>
        <w:t xml:space="preserve"> </w:t>
      </w:r>
      <w:r w:rsidRPr="00D33657">
        <w:rPr>
          <w:rtl/>
          <w:lang w:bidi="ar-JO"/>
        </w:rPr>
        <w:t>الإسرائيليين،</w:t>
      </w:r>
      <w:r w:rsidRPr="00D33657">
        <w:rPr>
          <w:rtl/>
        </w:rPr>
        <w:t xml:space="preserve"> </w:t>
      </w:r>
      <w:r w:rsidRPr="00D33657">
        <w:rPr>
          <w:rtl/>
          <w:lang w:bidi="ar-JO"/>
        </w:rPr>
        <w:t>من</w:t>
      </w:r>
      <w:r w:rsidRPr="00D33657">
        <w:rPr>
          <w:rtl/>
        </w:rPr>
        <w:t xml:space="preserve"> </w:t>
      </w:r>
      <w:r w:rsidRPr="00D33657">
        <w:rPr>
          <w:rtl/>
          <w:lang w:bidi="ar-JO"/>
        </w:rPr>
        <w:t>أجل</w:t>
      </w:r>
      <w:r w:rsidRPr="00D33657">
        <w:rPr>
          <w:rtl/>
        </w:rPr>
        <w:t xml:space="preserve"> </w:t>
      </w:r>
      <w:r w:rsidRPr="00D33657">
        <w:rPr>
          <w:rtl/>
          <w:lang w:bidi="ar-JO"/>
        </w:rPr>
        <w:t>زيادة</w:t>
      </w:r>
      <w:r w:rsidRPr="00D33657">
        <w:rPr>
          <w:rtl/>
        </w:rPr>
        <w:t xml:space="preserve"> </w:t>
      </w:r>
      <w:r w:rsidRPr="00D33657">
        <w:rPr>
          <w:rtl/>
          <w:lang w:bidi="ar-JO"/>
        </w:rPr>
        <w:t>عدد</w:t>
      </w:r>
      <w:r w:rsidRPr="00D33657">
        <w:rPr>
          <w:rtl/>
        </w:rPr>
        <w:t xml:space="preserve"> </w:t>
      </w:r>
      <w:r w:rsidRPr="00D33657">
        <w:rPr>
          <w:rtl/>
          <w:lang w:bidi="ar-JO"/>
        </w:rPr>
        <w:t>السكان</w:t>
      </w:r>
      <w:r w:rsidRPr="00D33657">
        <w:rPr>
          <w:rtl/>
        </w:rPr>
        <w:t xml:space="preserve"> </w:t>
      </w:r>
      <w:r w:rsidRPr="00D33657">
        <w:rPr>
          <w:rtl/>
          <w:lang w:bidi="ar-JO"/>
        </w:rPr>
        <w:t>النشطين</w:t>
      </w:r>
      <w:r w:rsidRPr="00D33657">
        <w:rPr>
          <w:rtl/>
        </w:rPr>
        <w:t xml:space="preserve"> </w:t>
      </w:r>
      <w:r w:rsidRPr="00D33657">
        <w:rPr>
          <w:rtl/>
          <w:lang w:bidi="ar-JO"/>
        </w:rPr>
        <w:t>في</w:t>
      </w:r>
      <w:r w:rsidRPr="00D33657">
        <w:rPr>
          <w:rtl/>
        </w:rPr>
        <w:t xml:space="preserve"> </w:t>
      </w:r>
      <w:r w:rsidRPr="00D33657">
        <w:rPr>
          <w:rtl/>
          <w:lang w:bidi="ar-JO"/>
        </w:rPr>
        <w:t>الرياضة</w:t>
      </w:r>
      <w:r w:rsidRPr="00D33657">
        <w:rPr>
          <w:rtl/>
        </w:rPr>
        <w:t xml:space="preserve"> </w:t>
      </w:r>
      <w:r w:rsidRPr="00D33657">
        <w:rPr>
          <w:rtl/>
          <w:lang w:bidi="ar-JO"/>
        </w:rPr>
        <w:t>وصحة</w:t>
      </w:r>
      <w:r w:rsidRPr="00D33657">
        <w:rPr>
          <w:rtl/>
        </w:rPr>
        <w:t xml:space="preserve"> </w:t>
      </w:r>
      <w:r w:rsidRPr="00D33657">
        <w:rPr>
          <w:rtl/>
          <w:lang w:bidi="ar-JO"/>
        </w:rPr>
        <w:t>ورفاه</w:t>
      </w:r>
      <w:r w:rsidRPr="00D33657">
        <w:rPr>
          <w:rtl/>
        </w:rPr>
        <w:t xml:space="preserve"> </w:t>
      </w:r>
      <w:r w:rsidRPr="00D33657">
        <w:rPr>
          <w:rtl/>
          <w:lang w:bidi="ar-JO"/>
        </w:rPr>
        <w:t>جميع</w:t>
      </w:r>
      <w:r w:rsidRPr="00D33657">
        <w:rPr>
          <w:rtl/>
        </w:rPr>
        <w:t xml:space="preserve"> </w:t>
      </w:r>
      <w:r w:rsidRPr="00D33657">
        <w:rPr>
          <w:rtl/>
          <w:lang w:bidi="ar-JO"/>
        </w:rPr>
        <w:t>السكان</w:t>
      </w:r>
      <w:r w:rsidRPr="00D33657">
        <w:rPr>
          <w:rtl/>
        </w:rPr>
        <w:t xml:space="preserve">. </w:t>
      </w:r>
      <w:r w:rsidRPr="00D33657">
        <w:rPr>
          <w:rtl/>
          <w:lang w:bidi="ar-JO"/>
        </w:rPr>
        <w:t>كما</w:t>
      </w:r>
      <w:r w:rsidRPr="00D33657">
        <w:rPr>
          <w:rtl/>
        </w:rPr>
        <w:t xml:space="preserve"> </w:t>
      </w:r>
      <w:r w:rsidRPr="00D33657">
        <w:rPr>
          <w:rtl/>
          <w:lang w:bidi="ar-JO"/>
        </w:rPr>
        <w:t>ويوصى</w:t>
      </w:r>
      <w:r w:rsidRPr="00D33657">
        <w:rPr>
          <w:rtl/>
        </w:rPr>
        <w:t xml:space="preserve"> </w:t>
      </w:r>
      <w:r w:rsidRPr="00D33657">
        <w:rPr>
          <w:rtl/>
          <w:lang w:bidi="ar-JO"/>
        </w:rPr>
        <w:t>بأن</w:t>
      </w:r>
      <w:r w:rsidRPr="00D33657">
        <w:rPr>
          <w:rtl/>
        </w:rPr>
        <w:t xml:space="preserve"> </w:t>
      </w:r>
      <w:r w:rsidRPr="00D33657">
        <w:rPr>
          <w:rtl/>
          <w:lang w:bidi="ar-JO"/>
        </w:rPr>
        <w:t>تستخدم</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في</w:t>
      </w:r>
      <w:r w:rsidRPr="00D33657">
        <w:rPr>
          <w:rtl/>
        </w:rPr>
        <w:t xml:space="preserve"> </w:t>
      </w:r>
      <w:r w:rsidRPr="00D33657">
        <w:rPr>
          <w:rtl/>
          <w:lang w:bidi="ar-JO"/>
        </w:rPr>
        <w:t>غياب</w:t>
      </w:r>
      <w:r w:rsidRPr="00D33657">
        <w:rPr>
          <w:rtl/>
        </w:rPr>
        <w:t xml:space="preserve"> </w:t>
      </w:r>
      <w:r w:rsidRPr="00D33657">
        <w:rPr>
          <w:rtl/>
          <w:lang w:bidi="ar-JO"/>
        </w:rPr>
        <w:t>سياسة</w:t>
      </w:r>
      <w:r w:rsidRPr="00D33657">
        <w:rPr>
          <w:rtl/>
        </w:rPr>
        <w:t xml:space="preserve"> </w:t>
      </w:r>
      <w:r w:rsidRPr="00D33657">
        <w:rPr>
          <w:rtl/>
          <w:lang w:bidi="ar-JO"/>
        </w:rPr>
        <w:t>واستراتيجية</w:t>
      </w:r>
      <w:r w:rsidRPr="00D33657">
        <w:rPr>
          <w:rtl/>
        </w:rPr>
        <w:t xml:space="preserve"> </w:t>
      </w:r>
      <w:r w:rsidRPr="00D33657">
        <w:rPr>
          <w:rtl/>
          <w:lang w:bidi="ar-JO"/>
        </w:rPr>
        <w:t>وطنيتين</w:t>
      </w:r>
      <w:r w:rsidRPr="00D33657">
        <w:rPr>
          <w:rtl/>
        </w:rPr>
        <w:t xml:space="preserve"> </w:t>
      </w:r>
      <w:r w:rsidRPr="00D33657">
        <w:rPr>
          <w:rtl/>
          <w:lang w:bidi="ar-JO"/>
        </w:rPr>
        <w:t>للترويج</w:t>
      </w:r>
      <w:r w:rsidRPr="00D33657">
        <w:rPr>
          <w:rtl/>
        </w:rPr>
        <w:t xml:space="preserve"> </w:t>
      </w:r>
      <w:r w:rsidRPr="00D33657">
        <w:rPr>
          <w:rtl/>
          <w:lang w:bidi="ar-JO"/>
        </w:rPr>
        <w:t>للرياضة</w:t>
      </w:r>
      <w:r w:rsidRPr="00D33657">
        <w:rPr>
          <w:rtl/>
        </w:rPr>
        <w:t xml:space="preserve"> </w:t>
      </w:r>
      <w:r w:rsidRPr="00D33657">
        <w:rPr>
          <w:rtl/>
          <w:lang w:bidi="ar-JO"/>
        </w:rPr>
        <w:t>الشعبية،</w:t>
      </w:r>
      <w:r w:rsidRPr="00D33657">
        <w:rPr>
          <w:rtl/>
        </w:rPr>
        <w:t xml:space="preserve"> </w:t>
      </w:r>
      <w:r w:rsidRPr="00D33657">
        <w:rPr>
          <w:rtl/>
          <w:lang w:bidi="ar-JO"/>
        </w:rPr>
        <w:t>جميع</w:t>
      </w:r>
      <w:r w:rsidRPr="00D33657">
        <w:rPr>
          <w:rtl/>
        </w:rPr>
        <w:t xml:space="preserve"> </w:t>
      </w:r>
      <w:r w:rsidRPr="00D33657">
        <w:rPr>
          <w:rtl/>
          <w:lang w:bidi="ar-JO"/>
        </w:rPr>
        <w:t>أدوات</w:t>
      </w:r>
      <w:r w:rsidRPr="00D33657">
        <w:rPr>
          <w:rtl/>
        </w:rPr>
        <w:t xml:space="preserve"> </w:t>
      </w:r>
      <w:r w:rsidRPr="00D33657">
        <w:rPr>
          <w:rtl/>
          <w:lang w:bidi="ar-JO"/>
        </w:rPr>
        <w:t>التخطيط</w:t>
      </w:r>
      <w:r w:rsidRPr="00D33657">
        <w:rPr>
          <w:rtl/>
        </w:rPr>
        <w:t xml:space="preserve"> </w:t>
      </w:r>
      <w:r w:rsidRPr="00D33657">
        <w:rPr>
          <w:rtl/>
          <w:lang w:bidi="ar-JO"/>
        </w:rPr>
        <w:t>المتاحة</w:t>
      </w:r>
      <w:r w:rsidRPr="00D33657">
        <w:rPr>
          <w:rtl/>
        </w:rPr>
        <w:t xml:space="preserve"> </w:t>
      </w:r>
      <w:r w:rsidRPr="00D33657">
        <w:rPr>
          <w:rtl/>
          <w:lang w:bidi="ar-JO"/>
        </w:rPr>
        <w:t>لديها</w:t>
      </w:r>
      <w:r w:rsidRPr="00D33657">
        <w:rPr>
          <w:rtl/>
        </w:rPr>
        <w:t xml:space="preserve"> </w:t>
      </w:r>
      <w:r w:rsidRPr="00D33657">
        <w:rPr>
          <w:rtl/>
          <w:lang w:bidi="ar-JO"/>
        </w:rPr>
        <w:t>للترويج</w:t>
      </w:r>
      <w:r w:rsidRPr="00D33657">
        <w:rPr>
          <w:rtl/>
        </w:rPr>
        <w:t xml:space="preserve"> </w:t>
      </w:r>
      <w:r w:rsidRPr="00D33657">
        <w:rPr>
          <w:rtl/>
          <w:lang w:bidi="ar-JO"/>
        </w:rPr>
        <w:t>لأسلوب</w:t>
      </w:r>
      <w:r w:rsidRPr="00D33657">
        <w:rPr>
          <w:rtl/>
        </w:rPr>
        <w:t xml:space="preserve"> </w:t>
      </w:r>
      <w:r w:rsidRPr="00D33657">
        <w:rPr>
          <w:rtl/>
          <w:lang w:bidi="ar-JO"/>
        </w:rPr>
        <w:t>حياة</w:t>
      </w:r>
      <w:r w:rsidRPr="00D33657">
        <w:rPr>
          <w:rtl/>
        </w:rPr>
        <w:t xml:space="preserve"> </w:t>
      </w:r>
      <w:r w:rsidRPr="00D33657">
        <w:rPr>
          <w:rtl/>
          <w:lang w:bidi="ar-JO"/>
        </w:rPr>
        <w:t>نشط</w:t>
      </w:r>
      <w:r w:rsidRPr="00D33657">
        <w:rPr>
          <w:rtl/>
        </w:rPr>
        <w:t xml:space="preserve"> </w:t>
      </w:r>
      <w:r w:rsidRPr="00D33657">
        <w:rPr>
          <w:rtl/>
          <w:lang w:bidi="ar-JO"/>
        </w:rPr>
        <w:t>وصحي</w:t>
      </w:r>
      <w:r w:rsidRPr="00D33657">
        <w:rPr>
          <w:rtl/>
        </w:rPr>
        <w:t xml:space="preserve"> </w:t>
      </w:r>
      <w:r w:rsidRPr="00D33657">
        <w:rPr>
          <w:rtl/>
          <w:lang w:bidi="ar-JO"/>
        </w:rPr>
        <w:t>بين</w:t>
      </w:r>
      <w:r w:rsidRPr="00D33657">
        <w:rPr>
          <w:rtl/>
        </w:rPr>
        <w:t xml:space="preserve"> </w:t>
      </w:r>
      <w:r w:rsidRPr="00D33657">
        <w:rPr>
          <w:rtl/>
          <w:lang w:bidi="ar-JO"/>
        </w:rPr>
        <w:t>سكانها،</w:t>
      </w:r>
      <w:r w:rsidRPr="00D33657">
        <w:rPr>
          <w:rtl/>
        </w:rPr>
        <w:t xml:space="preserve"> </w:t>
      </w:r>
      <w:r w:rsidRPr="00D33657">
        <w:rPr>
          <w:rtl/>
          <w:lang w:bidi="ar-JO"/>
        </w:rPr>
        <w:t>ودراسة</w:t>
      </w:r>
      <w:r w:rsidRPr="00D33657">
        <w:rPr>
          <w:rtl/>
        </w:rPr>
        <w:t xml:space="preserve"> </w:t>
      </w:r>
      <w:r w:rsidRPr="00D33657">
        <w:rPr>
          <w:rtl/>
          <w:lang w:bidi="ar-JO"/>
        </w:rPr>
        <w:t>احتياجات</w:t>
      </w:r>
      <w:r w:rsidRPr="00D33657">
        <w:rPr>
          <w:rtl/>
        </w:rPr>
        <w:t xml:space="preserve"> </w:t>
      </w:r>
      <w:r w:rsidRPr="00D33657">
        <w:rPr>
          <w:rtl/>
          <w:lang w:bidi="ar-JO"/>
        </w:rPr>
        <w:t>السكان</w:t>
      </w:r>
      <w:r w:rsidRPr="00D33657">
        <w:rPr>
          <w:rtl/>
        </w:rPr>
        <w:t xml:space="preserve"> </w:t>
      </w:r>
      <w:r w:rsidRPr="00D33657">
        <w:rPr>
          <w:rtl/>
          <w:lang w:bidi="ar-JO"/>
        </w:rPr>
        <w:t>ورغباتهم</w:t>
      </w:r>
      <w:r w:rsidRPr="00D33657">
        <w:rPr>
          <w:rtl/>
        </w:rPr>
        <w:t xml:space="preserve"> </w:t>
      </w:r>
      <w:r w:rsidRPr="00D33657">
        <w:rPr>
          <w:rtl/>
          <w:lang w:bidi="ar-JO"/>
        </w:rPr>
        <w:t>من</w:t>
      </w:r>
      <w:r w:rsidRPr="00D33657">
        <w:rPr>
          <w:rtl/>
        </w:rPr>
        <w:t xml:space="preserve"> </w:t>
      </w:r>
      <w:r w:rsidRPr="00D33657">
        <w:rPr>
          <w:rtl/>
          <w:lang w:bidi="ar-JO"/>
        </w:rPr>
        <w:t>أجل</w:t>
      </w:r>
      <w:r w:rsidRPr="00D33657">
        <w:rPr>
          <w:rtl/>
        </w:rPr>
        <w:t xml:space="preserve"> </w:t>
      </w:r>
      <w:r w:rsidRPr="00D33657">
        <w:rPr>
          <w:rtl/>
          <w:lang w:bidi="ar-JO"/>
        </w:rPr>
        <w:t>اتخاذ</w:t>
      </w:r>
      <w:r w:rsidRPr="00D33657">
        <w:rPr>
          <w:rtl/>
        </w:rPr>
        <w:t xml:space="preserve"> </w:t>
      </w:r>
      <w:r w:rsidRPr="00D33657">
        <w:rPr>
          <w:rtl/>
          <w:lang w:bidi="ar-JO"/>
        </w:rPr>
        <w:t>القرارات</w:t>
      </w:r>
      <w:r w:rsidRPr="00D33657">
        <w:rPr>
          <w:rtl/>
        </w:rPr>
        <w:t xml:space="preserve"> </w:t>
      </w:r>
      <w:r w:rsidRPr="00D33657">
        <w:rPr>
          <w:rtl/>
          <w:lang w:bidi="ar-JO"/>
        </w:rPr>
        <w:t>المثلى</w:t>
      </w:r>
      <w:r w:rsidRPr="00D33657">
        <w:rPr>
          <w:rtl/>
        </w:rPr>
        <w:t xml:space="preserve"> </w:t>
      </w:r>
      <w:r w:rsidRPr="00D33657">
        <w:rPr>
          <w:rtl/>
          <w:lang w:bidi="ar-JO"/>
        </w:rPr>
        <w:t>في</w:t>
      </w:r>
      <w:r w:rsidRPr="00D33657">
        <w:rPr>
          <w:rtl/>
        </w:rPr>
        <w:t xml:space="preserve"> </w:t>
      </w:r>
      <w:r w:rsidRPr="00D33657">
        <w:rPr>
          <w:rtl/>
          <w:lang w:bidi="ar-JO"/>
        </w:rPr>
        <w:t>تنظيم</w:t>
      </w:r>
      <w:r w:rsidRPr="00D33657">
        <w:rPr>
          <w:rtl/>
        </w:rPr>
        <w:t xml:space="preserve"> </w:t>
      </w:r>
      <w:r w:rsidRPr="00D33657">
        <w:rPr>
          <w:rtl/>
          <w:lang w:bidi="ar-JO"/>
        </w:rPr>
        <w:t>الأنشطة</w:t>
      </w:r>
      <w:r w:rsidRPr="00D33657">
        <w:rPr>
          <w:rtl/>
        </w:rPr>
        <w:t xml:space="preserve"> </w:t>
      </w:r>
      <w:r w:rsidRPr="00D33657">
        <w:rPr>
          <w:rtl/>
          <w:lang w:bidi="ar-JO"/>
        </w:rPr>
        <w:t>الرياضية</w:t>
      </w:r>
      <w:r w:rsidRPr="00D33657">
        <w:rPr>
          <w:rtl/>
        </w:rPr>
        <w:t xml:space="preserve"> </w:t>
      </w:r>
      <w:r w:rsidRPr="00D33657">
        <w:rPr>
          <w:rtl/>
          <w:lang w:bidi="ar-JO"/>
        </w:rPr>
        <w:t>الشعبية</w:t>
      </w:r>
      <w:r w:rsidRPr="00D33657">
        <w:rPr>
          <w:rtl/>
        </w:rPr>
        <w:t xml:space="preserve"> </w:t>
      </w:r>
      <w:r w:rsidRPr="00D33657">
        <w:rPr>
          <w:rtl/>
          <w:lang w:bidi="ar-JO"/>
        </w:rPr>
        <w:t>والاستثمار</w:t>
      </w:r>
      <w:r w:rsidRPr="00D33657">
        <w:rPr>
          <w:rtl/>
        </w:rPr>
        <w:t xml:space="preserve"> </w:t>
      </w:r>
      <w:r w:rsidRPr="00D33657">
        <w:rPr>
          <w:rtl/>
          <w:lang w:bidi="ar-JO"/>
        </w:rPr>
        <w:t>في</w:t>
      </w:r>
      <w:r w:rsidRPr="00D33657">
        <w:rPr>
          <w:rtl/>
        </w:rPr>
        <w:t xml:space="preserve"> </w:t>
      </w:r>
      <w:r w:rsidRPr="00D33657">
        <w:rPr>
          <w:rtl/>
          <w:lang w:bidi="ar-JO"/>
        </w:rPr>
        <w:t>المرافق</w:t>
      </w:r>
      <w:r w:rsidRPr="00D33657">
        <w:rPr>
          <w:rtl/>
        </w:rPr>
        <w:t xml:space="preserve"> </w:t>
      </w:r>
      <w:r w:rsidRPr="00D33657">
        <w:rPr>
          <w:rtl/>
          <w:lang w:bidi="ar-JO"/>
        </w:rPr>
        <w:t>الرياضية،</w:t>
      </w:r>
      <w:r w:rsidRPr="00D33657">
        <w:rPr>
          <w:rtl/>
        </w:rPr>
        <w:t xml:space="preserve"> </w:t>
      </w:r>
      <w:r w:rsidRPr="00D33657">
        <w:rPr>
          <w:rtl/>
          <w:lang w:bidi="ar-JO"/>
        </w:rPr>
        <w:t>والعمل</w:t>
      </w:r>
      <w:r w:rsidRPr="00D33657">
        <w:rPr>
          <w:rtl/>
        </w:rPr>
        <w:t xml:space="preserve"> </w:t>
      </w:r>
      <w:r w:rsidRPr="00D33657">
        <w:rPr>
          <w:rtl/>
          <w:lang w:bidi="ar-JO"/>
        </w:rPr>
        <w:t>حسب</w:t>
      </w:r>
      <w:r w:rsidRPr="00D33657">
        <w:rPr>
          <w:rtl/>
        </w:rPr>
        <w:t xml:space="preserve"> </w:t>
      </w:r>
      <w:r w:rsidRPr="00D33657">
        <w:rPr>
          <w:rtl/>
          <w:lang w:bidi="ar-JO"/>
        </w:rPr>
        <w:t>الخطط</w:t>
      </w:r>
      <w:r w:rsidRPr="00D33657">
        <w:rPr>
          <w:rtl/>
        </w:rPr>
        <w:t xml:space="preserve"> </w:t>
      </w:r>
      <w:r w:rsidRPr="00D33657">
        <w:rPr>
          <w:rtl/>
          <w:lang w:bidi="ar-JO"/>
        </w:rPr>
        <w:t>المرتبة</w:t>
      </w:r>
      <w:r w:rsidRPr="00D33657">
        <w:rPr>
          <w:rtl/>
        </w:rPr>
        <w:t xml:space="preserve"> </w:t>
      </w:r>
      <w:r w:rsidRPr="00D33657">
        <w:rPr>
          <w:rtl/>
          <w:lang w:bidi="ar-JO"/>
        </w:rPr>
        <w:t>التي</w:t>
      </w:r>
      <w:r w:rsidRPr="00D33657">
        <w:rPr>
          <w:rtl/>
        </w:rPr>
        <w:t xml:space="preserve"> </w:t>
      </w:r>
      <w:r w:rsidRPr="00D33657">
        <w:rPr>
          <w:rtl/>
          <w:lang w:bidi="ar-JO"/>
        </w:rPr>
        <w:t>ستعتمدها</w:t>
      </w:r>
      <w:r w:rsidRPr="00D33657">
        <w:rPr>
          <w:rtl/>
        </w:rPr>
        <w:t xml:space="preserve">. </w:t>
      </w:r>
      <w:r w:rsidRPr="00D33657">
        <w:rPr>
          <w:rtl/>
          <w:lang w:bidi="ar-JO"/>
        </w:rPr>
        <w:t>كذلك</w:t>
      </w:r>
      <w:r w:rsidRPr="00D33657">
        <w:rPr>
          <w:rtl/>
        </w:rPr>
        <w:t xml:space="preserve"> </w:t>
      </w:r>
      <w:r w:rsidRPr="00D33657">
        <w:rPr>
          <w:rtl/>
          <w:lang w:bidi="ar-JO"/>
        </w:rPr>
        <w:t>يوصى</w:t>
      </w:r>
      <w:r w:rsidRPr="00D33657">
        <w:rPr>
          <w:rtl/>
        </w:rPr>
        <w:t xml:space="preserve"> </w:t>
      </w:r>
      <w:r w:rsidRPr="00D33657">
        <w:rPr>
          <w:rtl/>
          <w:lang w:bidi="ar-JO"/>
        </w:rPr>
        <w:t>بأن</w:t>
      </w:r>
      <w:r w:rsidRPr="00D33657">
        <w:rPr>
          <w:rtl/>
        </w:rPr>
        <w:t xml:space="preserve"> </w:t>
      </w:r>
      <w:r w:rsidRPr="00D33657">
        <w:rPr>
          <w:rtl/>
          <w:lang w:bidi="ar-JO"/>
        </w:rPr>
        <w:t>تنشر</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أمام</w:t>
      </w:r>
      <w:r w:rsidRPr="00D33657">
        <w:rPr>
          <w:rtl/>
        </w:rPr>
        <w:t xml:space="preserve"> </w:t>
      </w:r>
      <w:r w:rsidRPr="00D33657">
        <w:rPr>
          <w:rtl/>
          <w:lang w:bidi="ar-JO"/>
        </w:rPr>
        <w:t>سكانها</w:t>
      </w:r>
      <w:r w:rsidRPr="00D33657">
        <w:rPr>
          <w:rtl/>
        </w:rPr>
        <w:t xml:space="preserve"> </w:t>
      </w:r>
      <w:r w:rsidRPr="00D33657">
        <w:rPr>
          <w:rtl/>
          <w:lang w:bidi="ar-JO"/>
        </w:rPr>
        <w:t>المعلومات</w:t>
      </w:r>
      <w:r w:rsidRPr="00D33657">
        <w:rPr>
          <w:rtl/>
        </w:rPr>
        <w:t xml:space="preserve"> </w:t>
      </w:r>
      <w:r w:rsidRPr="00D33657">
        <w:rPr>
          <w:rtl/>
          <w:lang w:bidi="ar-JO"/>
        </w:rPr>
        <w:t>المتعلقة</w:t>
      </w:r>
      <w:r w:rsidRPr="00D33657">
        <w:rPr>
          <w:rtl/>
        </w:rPr>
        <w:t xml:space="preserve"> </w:t>
      </w:r>
      <w:r w:rsidRPr="00D33657">
        <w:rPr>
          <w:rtl/>
          <w:lang w:bidi="ar-JO"/>
        </w:rPr>
        <w:t>بالمرافق</w:t>
      </w:r>
      <w:r w:rsidRPr="00D33657">
        <w:rPr>
          <w:rtl/>
        </w:rPr>
        <w:t xml:space="preserve"> </w:t>
      </w:r>
      <w:r w:rsidRPr="00D33657">
        <w:rPr>
          <w:rtl/>
          <w:lang w:bidi="ar-JO"/>
        </w:rPr>
        <w:t>الرياضية</w:t>
      </w:r>
      <w:r w:rsidRPr="00D33657">
        <w:rPr>
          <w:rtl/>
        </w:rPr>
        <w:t xml:space="preserve"> </w:t>
      </w:r>
      <w:r w:rsidRPr="00D33657">
        <w:rPr>
          <w:rtl/>
          <w:lang w:bidi="ar-JO"/>
        </w:rPr>
        <w:t>في</w:t>
      </w:r>
      <w:r w:rsidRPr="00D33657">
        <w:rPr>
          <w:rtl/>
        </w:rPr>
        <w:t xml:space="preserve"> </w:t>
      </w:r>
      <w:r w:rsidRPr="00D33657">
        <w:rPr>
          <w:rtl/>
          <w:lang w:bidi="ar-JO"/>
        </w:rPr>
        <w:t>منطقتها</w:t>
      </w:r>
      <w:r w:rsidRPr="00D33657">
        <w:rPr>
          <w:rtl/>
        </w:rPr>
        <w:t xml:space="preserve"> </w:t>
      </w:r>
      <w:r w:rsidRPr="00D33657">
        <w:rPr>
          <w:rtl/>
          <w:lang w:bidi="ar-JO"/>
        </w:rPr>
        <w:t>وتسمح</w:t>
      </w:r>
      <w:r w:rsidRPr="00D33657">
        <w:rPr>
          <w:rtl/>
        </w:rPr>
        <w:t xml:space="preserve"> </w:t>
      </w:r>
      <w:r w:rsidRPr="00D33657">
        <w:rPr>
          <w:rtl/>
          <w:lang w:bidi="ar-JO"/>
        </w:rPr>
        <w:t>لهم</w:t>
      </w:r>
      <w:r w:rsidRPr="00D33657">
        <w:rPr>
          <w:rtl/>
        </w:rPr>
        <w:t xml:space="preserve"> </w:t>
      </w:r>
      <w:r w:rsidRPr="00D33657">
        <w:rPr>
          <w:rtl/>
          <w:lang w:bidi="ar-JO"/>
        </w:rPr>
        <w:t>باستخدام</w:t>
      </w:r>
      <w:r w:rsidRPr="00D33657">
        <w:rPr>
          <w:rtl/>
        </w:rPr>
        <w:t xml:space="preserve"> </w:t>
      </w:r>
      <w:r w:rsidRPr="00D33657">
        <w:rPr>
          <w:rtl/>
          <w:lang w:bidi="ar-JO"/>
        </w:rPr>
        <w:t>هذه</w:t>
      </w:r>
      <w:r w:rsidRPr="00D33657">
        <w:rPr>
          <w:rtl/>
        </w:rPr>
        <w:t xml:space="preserve"> </w:t>
      </w:r>
      <w:r w:rsidRPr="00D33657">
        <w:rPr>
          <w:rtl/>
          <w:lang w:bidi="ar-JO"/>
        </w:rPr>
        <w:t>المرافق</w:t>
      </w:r>
      <w:r w:rsidRPr="00D33657">
        <w:rPr>
          <w:rtl/>
        </w:rPr>
        <w:t xml:space="preserve"> </w:t>
      </w:r>
      <w:r w:rsidRPr="00D33657">
        <w:rPr>
          <w:rtl/>
          <w:lang w:bidi="ar-JO"/>
        </w:rPr>
        <w:t>بشكل</w:t>
      </w:r>
      <w:r w:rsidRPr="00D33657">
        <w:rPr>
          <w:rtl/>
        </w:rPr>
        <w:t xml:space="preserve"> </w:t>
      </w:r>
      <w:r w:rsidRPr="00D33657">
        <w:rPr>
          <w:rtl/>
          <w:lang w:bidi="ar-JO"/>
        </w:rPr>
        <w:t>منصف</w:t>
      </w:r>
      <w:r w:rsidRPr="00D33657">
        <w:rPr>
          <w:rtl/>
        </w:rPr>
        <w:t xml:space="preserve"> </w:t>
      </w:r>
      <w:r w:rsidRPr="00D33657">
        <w:rPr>
          <w:rtl/>
          <w:lang w:bidi="ar-JO"/>
        </w:rPr>
        <w:t>ووفقًا</w:t>
      </w:r>
      <w:r w:rsidRPr="00D33657">
        <w:rPr>
          <w:rtl/>
        </w:rPr>
        <w:t xml:space="preserve"> </w:t>
      </w:r>
      <w:r w:rsidRPr="00D33657">
        <w:rPr>
          <w:rtl/>
          <w:lang w:bidi="ar-JO"/>
        </w:rPr>
        <w:t>لمعايير</w:t>
      </w:r>
      <w:r w:rsidRPr="00D33657">
        <w:rPr>
          <w:rtl/>
        </w:rPr>
        <w:t xml:space="preserve"> </w:t>
      </w:r>
      <w:r w:rsidRPr="00D33657">
        <w:rPr>
          <w:rtl/>
          <w:lang w:bidi="ar-JO"/>
        </w:rPr>
        <w:t>واضحة</w:t>
      </w:r>
      <w:r w:rsidRPr="00D33657">
        <w:rPr>
          <w:rtl/>
        </w:rPr>
        <w:t>.</w:t>
      </w:r>
    </w:p>
    <w:p w:rsidR="00696D27" w:rsidRPr="00D33657" w:rsidP="00696D27" w14:paraId="7C4B9F12" w14:textId="77777777">
      <w:pPr>
        <w:pStyle w:val="7190"/>
        <w:ind w:left="397"/>
        <w:rPr>
          <w:rtl/>
        </w:rPr>
      </w:pPr>
      <w:r w:rsidRPr="00D33657">
        <w:rPr>
          <w:rtl/>
          <w:lang w:bidi="ar-JO"/>
        </w:rPr>
        <w:t>يُعتبر</w:t>
      </w:r>
      <w:r w:rsidRPr="00D33657">
        <w:rPr>
          <w:rtl/>
        </w:rPr>
        <w:t xml:space="preserve"> </w:t>
      </w:r>
      <w:r w:rsidRPr="00D33657">
        <w:rPr>
          <w:rtl/>
          <w:lang w:bidi="ar-JO"/>
        </w:rPr>
        <w:t>الحق</w:t>
      </w:r>
      <w:r w:rsidRPr="00D33657">
        <w:rPr>
          <w:rtl/>
        </w:rPr>
        <w:t xml:space="preserve"> </w:t>
      </w:r>
      <w:r w:rsidRPr="00D33657">
        <w:rPr>
          <w:rtl/>
          <w:lang w:bidi="ar-JO"/>
        </w:rPr>
        <w:t>في</w:t>
      </w:r>
      <w:r w:rsidRPr="00D33657">
        <w:rPr>
          <w:rtl/>
        </w:rPr>
        <w:t xml:space="preserve"> </w:t>
      </w:r>
      <w:r w:rsidRPr="00D33657">
        <w:rPr>
          <w:rtl/>
          <w:lang w:bidi="ar-JO"/>
        </w:rPr>
        <w:t>التعليم</w:t>
      </w:r>
      <w:r w:rsidRPr="00D33657">
        <w:rPr>
          <w:rtl/>
        </w:rPr>
        <w:t xml:space="preserve"> </w:t>
      </w:r>
      <w:r w:rsidRPr="00D33657">
        <w:rPr>
          <w:rtl/>
          <w:lang w:bidi="ar-JO"/>
        </w:rPr>
        <w:t>حقًا</w:t>
      </w:r>
      <w:r w:rsidRPr="00D33657">
        <w:rPr>
          <w:rtl/>
        </w:rPr>
        <w:t xml:space="preserve"> </w:t>
      </w:r>
      <w:r w:rsidRPr="00D33657">
        <w:rPr>
          <w:rtl/>
          <w:lang w:bidi="ar-JO"/>
        </w:rPr>
        <w:t>أساسيًا</w:t>
      </w:r>
      <w:r w:rsidRPr="00D33657">
        <w:rPr>
          <w:rtl/>
        </w:rPr>
        <w:t xml:space="preserve"> </w:t>
      </w:r>
      <w:r w:rsidRPr="00D33657">
        <w:rPr>
          <w:rtl/>
          <w:lang w:bidi="ar-JO"/>
        </w:rPr>
        <w:t>في</w:t>
      </w:r>
      <w:r w:rsidRPr="00D33657">
        <w:rPr>
          <w:rtl/>
        </w:rPr>
        <w:t xml:space="preserve"> </w:t>
      </w:r>
      <w:r w:rsidRPr="00D33657">
        <w:rPr>
          <w:rtl/>
          <w:lang w:bidi="ar-JO"/>
        </w:rPr>
        <w:t>دولة</w:t>
      </w:r>
      <w:r w:rsidRPr="00D33657">
        <w:rPr>
          <w:rtl/>
        </w:rPr>
        <w:t xml:space="preserve"> </w:t>
      </w:r>
      <w:r w:rsidRPr="00D33657">
        <w:rPr>
          <w:rtl/>
          <w:lang w:bidi="ar-JO"/>
        </w:rPr>
        <w:t>إسرائيل</w:t>
      </w:r>
      <w:r w:rsidRPr="00D33657">
        <w:rPr>
          <w:rtl/>
        </w:rPr>
        <w:t xml:space="preserve"> </w:t>
      </w:r>
      <w:r w:rsidRPr="00D33657">
        <w:rPr>
          <w:rtl/>
          <w:lang w:bidi="ar-JO"/>
        </w:rPr>
        <w:t>وحول</w:t>
      </w:r>
      <w:r w:rsidRPr="00D33657">
        <w:rPr>
          <w:rtl/>
        </w:rPr>
        <w:t xml:space="preserve"> </w:t>
      </w:r>
      <w:r w:rsidRPr="00D33657">
        <w:rPr>
          <w:rtl/>
          <w:lang w:bidi="ar-JO"/>
        </w:rPr>
        <w:t>العالم</w:t>
      </w:r>
      <w:r w:rsidRPr="00D33657">
        <w:rPr>
          <w:rtl/>
        </w:rPr>
        <w:t xml:space="preserve">. </w:t>
      </w:r>
      <w:r w:rsidRPr="00D33657">
        <w:rPr>
          <w:rtl/>
          <w:lang w:bidi="ar-JO"/>
        </w:rPr>
        <w:t>لذلك</w:t>
      </w:r>
      <w:r w:rsidRPr="00D33657">
        <w:rPr>
          <w:rtl/>
        </w:rPr>
        <w:t xml:space="preserve"> </w:t>
      </w:r>
      <w:r w:rsidRPr="00D33657">
        <w:rPr>
          <w:rtl/>
          <w:lang w:bidi="ar-JO"/>
        </w:rPr>
        <w:t>من</w:t>
      </w:r>
      <w:r w:rsidRPr="00D33657">
        <w:rPr>
          <w:rtl/>
        </w:rPr>
        <w:t xml:space="preserve"> </w:t>
      </w:r>
      <w:r w:rsidRPr="00D33657">
        <w:rPr>
          <w:rFonts w:hint="cs"/>
          <w:rtl/>
          <w:lang w:bidi="ar-JO"/>
        </w:rPr>
        <w:t>المهم</w:t>
      </w:r>
      <w:r w:rsidRPr="00D33657">
        <w:rPr>
          <w:rFonts w:hint="cs"/>
          <w:rtl/>
        </w:rPr>
        <w:t xml:space="preserve"> </w:t>
      </w:r>
      <w:r w:rsidRPr="00D33657">
        <w:rPr>
          <w:rtl/>
          <w:lang w:bidi="ar-JO"/>
        </w:rPr>
        <w:t>إنشاء</w:t>
      </w:r>
      <w:r w:rsidRPr="00D33657">
        <w:rPr>
          <w:rtl/>
        </w:rPr>
        <w:t xml:space="preserve"> </w:t>
      </w:r>
      <w:r w:rsidRPr="00D33657">
        <w:rPr>
          <w:rtl/>
          <w:lang w:bidi="ar-JO"/>
        </w:rPr>
        <w:t>جهاز</w:t>
      </w:r>
      <w:r w:rsidRPr="00D33657">
        <w:rPr>
          <w:rtl/>
        </w:rPr>
        <w:t xml:space="preserve"> </w:t>
      </w:r>
      <w:r w:rsidRPr="00D33657">
        <w:rPr>
          <w:rtl/>
          <w:lang w:bidi="ar-JO"/>
        </w:rPr>
        <w:t>تربية</w:t>
      </w:r>
      <w:r w:rsidRPr="00D33657">
        <w:rPr>
          <w:rtl/>
        </w:rPr>
        <w:t xml:space="preserve"> </w:t>
      </w:r>
      <w:r w:rsidRPr="00D33657">
        <w:rPr>
          <w:rtl/>
          <w:lang w:bidi="ar-JO"/>
        </w:rPr>
        <w:t>وتعليم</w:t>
      </w:r>
      <w:r w:rsidRPr="00D33657">
        <w:rPr>
          <w:rtl/>
        </w:rPr>
        <w:t xml:space="preserve"> </w:t>
      </w:r>
      <w:r w:rsidRPr="00D33657">
        <w:rPr>
          <w:rtl/>
          <w:lang w:bidi="ar-JO"/>
        </w:rPr>
        <w:t>ودعمه</w:t>
      </w:r>
      <w:r w:rsidRPr="00D33657">
        <w:rPr>
          <w:rtl/>
        </w:rPr>
        <w:t xml:space="preserve"> </w:t>
      </w:r>
      <w:r w:rsidRPr="00D33657">
        <w:rPr>
          <w:rtl/>
          <w:lang w:bidi="ar-JO"/>
        </w:rPr>
        <w:t>كجزء</w:t>
      </w:r>
      <w:r w:rsidRPr="00D33657">
        <w:rPr>
          <w:rtl/>
        </w:rPr>
        <w:t xml:space="preserve"> </w:t>
      </w:r>
      <w:r w:rsidRPr="00D33657">
        <w:rPr>
          <w:rtl/>
          <w:lang w:bidi="ar-JO"/>
        </w:rPr>
        <w:t>من</w:t>
      </w:r>
      <w:r w:rsidRPr="00D33657">
        <w:rPr>
          <w:rtl/>
        </w:rPr>
        <w:t xml:space="preserve"> </w:t>
      </w:r>
      <w:r w:rsidRPr="00D33657">
        <w:rPr>
          <w:rtl/>
          <w:lang w:bidi="ar-JO"/>
        </w:rPr>
        <w:t>خدمة</w:t>
      </w:r>
      <w:r w:rsidRPr="00D33657">
        <w:rPr>
          <w:rtl/>
        </w:rPr>
        <w:t xml:space="preserve"> </w:t>
      </w:r>
      <w:r w:rsidRPr="00D33657">
        <w:rPr>
          <w:rtl/>
          <w:lang w:bidi="ar-JO"/>
        </w:rPr>
        <w:t>المواطنين</w:t>
      </w:r>
      <w:r w:rsidRPr="00D33657">
        <w:rPr>
          <w:rtl/>
        </w:rPr>
        <w:t xml:space="preserve">. </w:t>
      </w:r>
      <w:r w:rsidRPr="00D33657">
        <w:rPr>
          <w:rtl/>
          <w:lang w:bidi="ar-JO"/>
        </w:rPr>
        <w:t>الاستثمار</w:t>
      </w:r>
      <w:r w:rsidRPr="00D33657">
        <w:rPr>
          <w:rtl/>
        </w:rPr>
        <w:t xml:space="preserve"> </w:t>
      </w:r>
      <w:r w:rsidRPr="00D33657">
        <w:rPr>
          <w:rtl/>
          <w:lang w:bidi="ar-JO"/>
        </w:rPr>
        <w:t>في</w:t>
      </w:r>
      <w:r w:rsidRPr="00D33657">
        <w:rPr>
          <w:rtl/>
        </w:rPr>
        <w:t xml:space="preserve"> </w:t>
      </w:r>
      <w:r w:rsidRPr="00D33657">
        <w:rPr>
          <w:rtl/>
          <w:lang w:bidi="ar-JO"/>
        </w:rPr>
        <w:t>الصيانة</w:t>
      </w:r>
      <w:r w:rsidRPr="00D33657">
        <w:rPr>
          <w:rtl/>
        </w:rPr>
        <w:t xml:space="preserve"> </w:t>
      </w:r>
      <w:r w:rsidRPr="00D33657">
        <w:rPr>
          <w:rtl/>
          <w:lang w:bidi="ar-JO"/>
        </w:rPr>
        <w:t>المثلى</w:t>
      </w:r>
      <w:r w:rsidRPr="00D33657">
        <w:rPr>
          <w:rtl/>
        </w:rPr>
        <w:t xml:space="preserve"> </w:t>
      </w:r>
      <w:r w:rsidRPr="00D33657">
        <w:rPr>
          <w:rtl/>
          <w:lang w:bidi="ar-JO"/>
        </w:rPr>
        <w:t>للمؤسسات</w:t>
      </w:r>
      <w:r w:rsidRPr="00D33657">
        <w:rPr>
          <w:rtl/>
        </w:rPr>
        <w:t xml:space="preserve"> </w:t>
      </w:r>
      <w:r w:rsidRPr="00D33657">
        <w:rPr>
          <w:rtl/>
          <w:lang w:bidi="ar-JO"/>
        </w:rPr>
        <w:t>التعليمية،</w:t>
      </w:r>
      <w:r w:rsidRPr="00D33657">
        <w:rPr>
          <w:rtl/>
        </w:rPr>
        <w:t xml:space="preserve"> </w:t>
      </w:r>
      <w:r w:rsidRPr="00D33657">
        <w:rPr>
          <w:rtl/>
          <w:lang w:bidi="ar-JO"/>
        </w:rPr>
        <w:t>والكشف</w:t>
      </w:r>
      <w:r w:rsidRPr="00D33657">
        <w:rPr>
          <w:rtl/>
        </w:rPr>
        <w:t xml:space="preserve"> </w:t>
      </w:r>
      <w:r w:rsidRPr="00D33657">
        <w:rPr>
          <w:rtl/>
          <w:lang w:bidi="ar-JO"/>
        </w:rPr>
        <w:t>عن</w:t>
      </w:r>
      <w:r w:rsidRPr="00D33657">
        <w:rPr>
          <w:rtl/>
        </w:rPr>
        <w:t xml:space="preserve"> </w:t>
      </w:r>
      <w:r w:rsidRPr="00D33657">
        <w:rPr>
          <w:rtl/>
          <w:lang w:bidi="ar-JO"/>
        </w:rPr>
        <w:t>مخاطر</w:t>
      </w:r>
      <w:r w:rsidRPr="00D33657">
        <w:rPr>
          <w:rtl/>
        </w:rPr>
        <w:t xml:space="preserve"> </w:t>
      </w:r>
      <w:r w:rsidRPr="00D33657">
        <w:rPr>
          <w:rtl/>
          <w:lang w:bidi="ar-JO"/>
        </w:rPr>
        <w:t>السلامة</w:t>
      </w:r>
      <w:r w:rsidRPr="00D33657">
        <w:rPr>
          <w:rtl/>
        </w:rPr>
        <w:t xml:space="preserve"> </w:t>
      </w:r>
      <w:r w:rsidRPr="00D33657">
        <w:rPr>
          <w:rFonts w:hint="cs"/>
          <w:rtl/>
          <w:lang w:bidi="ar-JO"/>
        </w:rPr>
        <w:t>فيها</w:t>
      </w:r>
      <w:r w:rsidRPr="00D33657">
        <w:rPr>
          <w:rtl/>
        </w:rPr>
        <w:t xml:space="preserve"> </w:t>
      </w:r>
      <w:r w:rsidRPr="00D33657">
        <w:rPr>
          <w:rtl/>
          <w:lang w:bidi="ar-JO"/>
        </w:rPr>
        <w:t>ومعالجتها،</w:t>
      </w:r>
      <w:r w:rsidRPr="00D33657">
        <w:rPr>
          <w:rtl/>
        </w:rPr>
        <w:t xml:space="preserve"> </w:t>
      </w:r>
      <w:r w:rsidRPr="00D33657">
        <w:rPr>
          <w:rtl/>
          <w:lang w:bidi="ar-JO"/>
        </w:rPr>
        <w:t>هي</w:t>
      </w:r>
      <w:r w:rsidRPr="00D33657">
        <w:rPr>
          <w:rtl/>
        </w:rPr>
        <w:t xml:space="preserve"> </w:t>
      </w:r>
      <w:r w:rsidRPr="00D33657">
        <w:rPr>
          <w:rtl/>
          <w:lang w:bidi="ar-JO"/>
        </w:rPr>
        <w:t>شرط</w:t>
      </w:r>
      <w:r w:rsidRPr="00D33657">
        <w:rPr>
          <w:rtl/>
        </w:rPr>
        <w:t xml:space="preserve"> </w:t>
      </w:r>
      <w:r w:rsidRPr="00D33657">
        <w:rPr>
          <w:rtl/>
          <w:lang w:bidi="ar-JO"/>
        </w:rPr>
        <w:t>يجب</w:t>
      </w:r>
      <w:r w:rsidRPr="00D33657">
        <w:rPr>
          <w:rtl/>
        </w:rPr>
        <w:t xml:space="preserve"> </w:t>
      </w:r>
      <w:r w:rsidRPr="00D33657">
        <w:rPr>
          <w:rtl/>
          <w:lang w:bidi="ar-JO"/>
        </w:rPr>
        <w:t>على</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الوفاء</w:t>
      </w:r>
      <w:r w:rsidRPr="00D33657">
        <w:rPr>
          <w:rtl/>
        </w:rPr>
        <w:t xml:space="preserve"> </w:t>
      </w:r>
      <w:r w:rsidRPr="00D33657">
        <w:rPr>
          <w:rtl/>
          <w:lang w:bidi="ar-JO"/>
        </w:rPr>
        <w:t>به</w:t>
      </w:r>
      <w:r w:rsidRPr="00D33657">
        <w:rPr>
          <w:rtl/>
        </w:rPr>
        <w:t xml:space="preserve"> </w:t>
      </w:r>
      <w:r w:rsidRPr="00D33657">
        <w:rPr>
          <w:rtl/>
          <w:lang w:bidi="ar-JO"/>
        </w:rPr>
        <w:t>من</w:t>
      </w:r>
      <w:r w:rsidRPr="00D33657">
        <w:rPr>
          <w:rtl/>
        </w:rPr>
        <w:t xml:space="preserve"> </w:t>
      </w:r>
      <w:r w:rsidRPr="00D33657">
        <w:rPr>
          <w:rtl/>
          <w:lang w:bidi="ar-JO"/>
        </w:rPr>
        <w:t>أجل</w:t>
      </w:r>
      <w:r w:rsidRPr="00D33657">
        <w:rPr>
          <w:rtl/>
        </w:rPr>
        <w:t xml:space="preserve"> </w:t>
      </w:r>
      <w:r w:rsidRPr="00D33657">
        <w:rPr>
          <w:rtl/>
          <w:lang w:bidi="ar-JO"/>
        </w:rPr>
        <w:t>الحفاظ</w:t>
      </w:r>
      <w:r w:rsidRPr="00D33657">
        <w:rPr>
          <w:rtl/>
        </w:rPr>
        <w:t xml:space="preserve"> </w:t>
      </w:r>
      <w:r w:rsidRPr="00D33657">
        <w:rPr>
          <w:rtl/>
          <w:lang w:bidi="ar-JO"/>
        </w:rPr>
        <w:t>على</w:t>
      </w:r>
      <w:r w:rsidRPr="00D33657">
        <w:rPr>
          <w:rtl/>
        </w:rPr>
        <w:t xml:space="preserve"> </w:t>
      </w:r>
      <w:r w:rsidRPr="00D33657">
        <w:rPr>
          <w:rtl/>
          <w:lang w:bidi="ar-JO"/>
        </w:rPr>
        <w:t>سلامة</w:t>
      </w:r>
      <w:r w:rsidRPr="00D33657">
        <w:rPr>
          <w:rtl/>
        </w:rPr>
        <w:t xml:space="preserve"> </w:t>
      </w:r>
      <w:r w:rsidRPr="00D33657">
        <w:rPr>
          <w:rtl/>
          <w:lang w:bidi="ar-JO"/>
        </w:rPr>
        <w:t>جميع</w:t>
      </w:r>
      <w:r w:rsidRPr="00D33657">
        <w:rPr>
          <w:rtl/>
        </w:rPr>
        <w:t xml:space="preserve"> </w:t>
      </w:r>
      <w:r w:rsidRPr="00D33657">
        <w:rPr>
          <w:rtl/>
          <w:lang w:bidi="ar-JO"/>
        </w:rPr>
        <w:t>القادمين</w:t>
      </w:r>
      <w:r w:rsidRPr="00D33657">
        <w:rPr>
          <w:rtl/>
        </w:rPr>
        <w:t xml:space="preserve"> </w:t>
      </w:r>
      <w:r w:rsidRPr="00D33657">
        <w:rPr>
          <w:rtl/>
          <w:lang w:bidi="ar-JO"/>
        </w:rPr>
        <w:t>على</w:t>
      </w:r>
      <w:r w:rsidRPr="00D33657">
        <w:rPr>
          <w:rtl/>
        </w:rPr>
        <w:t xml:space="preserve"> </w:t>
      </w:r>
      <w:r w:rsidRPr="00D33657">
        <w:rPr>
          <w:rtl/>
          <w:lang w:bidi="ar-JO"/>
        </w:rPr>
        <w:t>أبواب</w:t>
      </w:r>
      <w:r w:rsidRPr="00D33657">
        <w:rPr>
          <w:rtl/>
        </w:rPr>
        <w:t xml:space="preserve"> </w:t>
      </w:r>
      <w:r w:rsidRPr="00D33657">
        <w:rPr>
          <w:rtl/>
          <w:lang w:bidi="ar-JO"/>
        </w:rPr>
        <w:t>المؤسسات</w:t>
      </w:r>
      <w:r w:rsidRPr="00D33657">
        <w:rPr>
          <w:rtl/>
        </w:rPr>
        <w:t xml:space="preserve"> </w:t>
      </w:r>
      <w:r w:rsidRPr="00D33657">
        <w:rPr>
          <w:rtl/>
          <w:lang w:bidi="ar-JO"/>
        </w:rPr>
        <w:t>وضمان</w:t>
      </w:r>
      <w:r w:rsidRPr="00D33657">
        <w:rPr>
          <w:rtl/>
        </w:rPr>
        <w:t xml:space="preserve"> </w:t>
      </w:r>
      <w:r w:rsidRPr="00D33657">
        <w:rPr>
          <w:rtl/>
          <w:lang w:bidi="ar-JO"/>
        </w:rPr>
        <w:t>بيئة</w:t>
      </w:r>
      <w:r w:rsidRPr="00D33657">
        <w:rPr>
          <w:rtl/>
        </w:rPr>
        <w:t xml:space="preserve"> </w:t>
      </w:r>
      <w:r w:rsidRPr="00D33657">
        <w:rPr>
          <w:rtl/>
          <w:lang w:bidi="ar-JO"/>
        </w:rPr>
        <w:t>تعليمية</w:t>
      </w:r>
      <w:r w:rsidRPr="00D33657">
        <w:rPr>
          <w:rtl/>
        </w:rPr>
        <w:t xml:space="preserve"> </w:t>
      </w:r>
      <w:r w:rsidRPr="00D33657">
        <w:rPr>
          <w:rtl/>
          <w:lang w:bidi="ar-JO"/>
        </w:rPr>
        <w:t>مناسبة،</w:t>
      </w:r>
      <w:r w:rsidRPr="00D33657">
        <w:rPr>
          <w:rtl/>
        </w:rPr>
        <w:t xml:space="preserve"> </w:t>
      </w:r>
      <w:r w:rsidRPr="00D33657">
        <w:rPr>
          <w:rtl/>
          <w:lang w:bidi="ar-JO"/>
        </w:rPr>
        <w:t>وبالتالي</w:t>
      </w:r>
      <w:r w:rsidRPr="00D33657">
        <w:rPr>
          <w:rtl/>
        </w:rPr>
        <w:t xml:space="preserve"> </w:t>
      </w:r>
      <w:r w:rsidRPr="00D33657">
        <w:rPr>
          <w:rtl/>
          <w:lang w:bidi="ar-JO"/>
        </w:rPr>
        <w:t>السعي</w:t>
      </w:r>
      <w:r w:rsidRPr="00D33657">
        <w:rPr>
          <w:rtl/>
        </w:rPr>
        <w:t xml:space="preserve"> </w:t>
      </w:r>
      <w:r w:rsidRPr="00D33657">
        <w:rPr>
          <w:rtl/>
          <w:lang w:bidi="ar-JO"/>
        </w:rPr>
        <w:t>لتحسين</w:t>
      </w:r>
      <w:r w:rsidRPr="00D33657">
        <w:rPr>
          <w:rtl/>
        </w:rPr>
        <w:t xml:space="preserve"> </w:t>
      </w:r>
      <w:r w:rsidRPr="00D33657">
        <w:rPr>
          <w:rtl/>
          <w:lang w:bidi="ar-JO"/>
        </w:rPr>
        <w:t>تحصيل</w:t>
      </w:r>
      <w:r w:rsidRPr="00D33657">
        <w:rPr>
          <w:rtl/>
        </w:rPr>
        <w:t xml:space="preserve"> </w:t>
      </w:r>
      <w:r w:rsidRPr="00D33657">
        <w:rPr>
          <w:rtl/>
          <w:lang w:bidi="ar-JO"/>
        </w:rPr>
        <w:t>الطلاب</w:t>
      </w:r>
      <w:r w:rsidRPr="00D33657">
        <w:rPr>
          <w:rtl/>
        </w:rPr>
        <w:t xml:space="preserve">. </w:t>
      </w:r>
      <w:r w:rsidRPr="00D33657">
        <w:rPr>
          <w:rtl/>
          <w:lang w:bidi="ar-JO"/>
        </w:rPr>
        <w:t>تم</w:t>
      </w:r>
      <w:r w:rsidRPr="00D33657">
        <w:rPr>
          <w:rtl/>
        </w:rPr>
        <w:t xml:space="preserve"> </w:t>
      </w:r>
      <w:r w:rsidRPr="00D33657">
        <w:rPr>
          <w:rtl/>
          <w:lang w:bidi="ar-JO"/>
        </w:rPr>
        <w:t>من</w:t>
      </w:r>
      <w:r w:rsidRPr="00D33657">
        <w:rPr>
          <w:rtl/>
        </w:rPr>
        <w:t xml:space="preserve"> </w:t>
      </w:r>
      <w:r w:rsidRPr="00D33657">
        <w:rPr>
          <w:rtl/>
          <w:lang w:bidi="ar-JO"/>
        </w:rPr>
        <w:t>خلال</w:t>
      </w:r>
      <w:r w:rsidRPr="00D33657">
        <w:rPr>
          <w:rtl/>
        </w:rPr>
        <w:t xml:space="preserve"> </w:t>
      </w:r>
      <w:r w:rsidRPr="00D33657">
        <w:rPr>
          <w:rtl/>
          <w:lang w:bidi="ar-JO"/>
        </w:rPr>
        <w:t>عملية</w:t>
      </w:r>
      <w:r w:rsidRPr="00D33657">
        <w:rPr>
          <w:rtl/>
        </w:rPr>
        <w:t xml:space="preserve"> </w:t>
      </w:r>
      <w:r w:rsidRPr="00D33657">
        <w:rPr>
          <w:rtl/>
          <w:lang w:bidi="ar-JO"/>
        </w:rPr>
        <w:t>مراقبة</w:t>
      </w:r>
      <w:r w:rsidRPr="00D33657">
        <w:rPr>
          <w:rtl/>
        </w:rPr>
        <w:t xml:space="preserve"> </w:t>
      </w:r>
      <w:r w:rsidRPr="00D33657">
        <w:rPr>
          <w:rtl/>
          <w:lang w:bidi="ar-JO"/>
        </w:rPr>
        <w:t>في</w:t>
      </w:r>
      <w:r w:rsidRPr="00D33657">
        <w:rPr>
          <w:rtl/>
        </w:rPr>
        <w:t xml:space="preserve"> </w:t>
      </w:r>
      <w:r w:rsidRPr="00D33657">
        <w:rPr>
          <w:rtl/>
          <w:lang w:bidi="ar-JO"/>
        </w:rPr>
        <w:t>موضوع</w:t>
      </w:r>
      <w:r>
        <w:rPr>
          <w:rtl/>
          <w:lang w:val="ar"/>
        </w:rPr>
        <w:t xml:space="preserve"> </w:t>
      </w:r>
      <w:r w:rsidRPr="00D33657">
        <w:rPr>
          <w:bCs/>
          <w:rtl/>
          <w:lang w:val="ar" w:bidi="ar-JO"/>
        </w:rPr>
        <w:t>صيانة</w:t>
      </w:r>
      <w:r w:rsidRPr="00D33657">
        <w:rPr>
          <w:bCs/>
          <w:rtl/>
          <w:lang w:val="ar"/>
        </w:rPr>
        <w:t xml:space="preserve"> </w:t>
      </w:r>
      <w:r w:rsidRPr="00D33657">
        <w:rPr>
          <w:bCs/>
          <w:rtl/>
          <w:lang w:val="ar" w:bidi="ar-JO"/>
        </w:rPr>
        <w:t>وسلامة</w:t>
      </w:r>
      <w:r w:rsidRPr="00D33657">
        <w:rPr>
          <w:bCs/>
          <w:rtl/>
          <w:lang w:val="ar"/>
        </w:rPr>
        <w:t xml:space="preserve"> </w:t>
      </w:r>
      <w:r w:rsidRPr="00D33657">
        <w:rPr>
          <w:bCs/>
          <w:rtl/>
          <w:lang w:val="ar" w:bidi="ar-JO"/>
        </w:rPr>
        <w:t>المؤسسات</w:t>
      </w:r>
      <w:r w:rsidRPr="00D33657">
        <w:rPr>
          <w:bCs/>
          <w:rtl/>
          <w:lang w:val="ar"/>
        </w:rPr>
        <w:t xml:space="preserve"> </w:t>
      </w:r>
      <w:r w:rsidRPr="00D33657">
        <w:rPr>
          <w:bCs/>
          <w:rtl/>
          <w:lang w:val="ar" w:bidi="ar-JO"/>
        </w:rPr>
        <w:t>التعليمية</w:t>
      </w:r>
      <w:r w:rsidRPr="00D33657">
        <w:rPr>
          <w:bCs/>
          <w:rtl/>
          <w:lang w:val="ar"/>
        </w:rPr>
        <w:t xml:space="preserve"> - </w:t>
      </w:r>
      <w:r w:rsidRPr="00D33657">
        <w:rPr>
          <w:bCs/>
          <w:rtl/>
          <w:lang w:val="ar" w:bidi="ar-JO"/>
        </w:rPr>
        <w:t>المدارس</w:t>
      </w:r>
      <w:r w:rsidRPr="00D33657">
        <w:rPr>
          <w:bCs/>
          <w:rtl/>
          <w:lang w:val="ar"/>
        </w:rPr>
        <w:t xml:space="preserve"> </w:t>
      </w:r>
      <w:r w:rsidRPr="00D33657">
        <w:rPr>
          <w:bCs/>
          <w:rtl/>
          <w:lang w:val="ar" w:bidi="ar-JO"/>
        </w:rPr>
        <w:t>الثانوية</w:t>
      </w:r>
      <w:r>
        <w:rPr>
          <w:rtl/>
          <w:lang w:val="ar"/>
        </w:rPr>
        <w:t xml:space="preserve"> </w:t>
      </w:r>
      <w:r w:rsidRPr="00D33657">
        <w:rPr>
          <w:rtl/>
          <w:lang w:bidi="ar-JO"/>
        </w:rPr>
        <w:t>الكشف</w:t>
      </w:r>
      <w:r w:rsidRPr="00D33657">
        <w:rPr>
          <w:rtl/>
        </w:rPr>
        <w:t xml:space="preserve"> </w:t>
      </w:r>
      <w:r w:rsidRPr="00D33657">
        <w:rPr>
          <w:rtl/>
          <w:lang w:bidi="ar-JO"/>
        </w:rPr>
        <w:t>عن</w:t>
      </w:r>
      <w:r w:rsidRPr="00D33657">
        <w:rPr>
          <w:rtl/>
        </w:rPr>
        <w:t xml:space="preserve"> </w:t>
      </w:r>
      <w:r w:rsidRPr="00D33657">
        <w:rPr>
          <w:rtl/>
          <w:lang w:bidi="ar-JO"/>
        </w:rPr>
        <w:t>أوجه</w:t>
      </w:r>
      <w:r w:rsidRPr="00D33657">
        <w:rPr>
          <w:rtl/>
        </w:rPr>
        <w:t xml:space="preserve"> </w:t>
      </w:r>
      <w:r w:rsidRPr="00D33657">
        <w:rPr>
          <w:rtl/>
          <w:lang w:bidi="ar-JO"/>
        </w:rPr>
        <w:t>قصور</w:t>
      </w:r>
      <w:r w:rsidRPr="00D33657">
        <w:rPr>
          <w:rtl/>
        </w:rPr>
        <w:t xml:space="preserve"> </w:t>
      </w:r>
      <w:r w:rsidRPr="00D33657">
        <w:rPr>
          <w:rtl/>
          <w:lang w:bidi="ar-JO"/>
        </w:rPr>
        <w:t>مختلفة</w:t>
      </w:r>
      <w:r w:rsidRPr="00D33657">
        <w:rPr>
          <w:rtl/>
        </w:rPr>
        <w:t xml:space="preserve"> </w:t>
      </w:r>
      <w:r w:rsidRPr="00D33657">
        <w:rPr>
          <w:rtl/>
          <w:lang w:bidi="ar-JO"/>
        </w:rPr>
        <w:t>في</w:t>
      </w:r>
      <w:r w:rsidRPr="00D33657">
        <w:rPr>
          <w:rtl/>
        </w:rPr>
        <w:t xml:space="preserve"> </w:t>
      </w:r>
      <w:r w:rsidRPr="00D33657">
        <w:rPr>
          <w:rtl/>
          <w:lang w:bidi="ar-JO"/>
        </w:rPr>
        <w:t>مجال</w:t>
      </w:r>
      <w:r w:rsidRPr="00D33657">
        <w:rPr>
          <w:rtl/>
        </w:rPr>
        <w:t xml:space="preserve"> </w:t>
      </w:r>
      <w:r w:rsidRPr="00D33657">
        <w:rPr>
          <w:rtl/>
          <w:lang w:bidi="ar-JO"/>
        </w:rPr>
        <w:t>صيانة</w:t>
      </w:r>
      <w:r w:rsidRPr="00D33657">
        <w:rPr>
          <w:rtl/>
        </w:rPr>
        <w:t xml:space="preserve"> </w:t>
      </w:r>
      <w:r w:rsidRPr="00D33657">
        <w:rPr>
          <w:rtl/>
          <w:lang w:bidi="ar-JO"/>
        </w:rPr>
        <w:t>المدارس،</w:t>
      </w:r>
      <w:r w:rsidRPr="00D33657">
        <w:rPr>
          <w:rtl/>
        </w:rPr>
        <w:t xml:space="preserve"> </w:t>
      </w:r>
      <w:r w:rsidRPr="00D33657">
        <w:rPr>
          <w:rtl/>
          <w:lang w:bidi="ar-JO"/>
        </w:rPr>
        <w:t>بما</w:t>
      </w:r>
      <w:r w:rsidRPr="00D33657">
        <w:rPr>
          <w:rtl/>
        </w:rPr>
        <w:t xml:space="preserve"> </w:t>
      </w:r>
      <w:r w:rsidRPr="00D33657">
        <w:rPr>
          <w:rtl/>
          <w:lang w:bidi="ar-JO"/>
        </w:rPr>
        <w:t>في</w:t>
      </w:r>
      <w:r w:rsidRPr="00D33657">
        <w:rPr>
          <w:rtl/>
        </w:rPr>
        <w:t xml:space="preserve"> </w:t>
      </w:r>
      <w:r w:rsidRPr="00D33657">
        <w:rPr>
          <w:rtl/>
          <w:lang w:bidi="ar-JO"/>
        </w:rPr>
        <w:t>ذلك</w:t>
      </w:r>
      <w:r w:rsidRPr="00D33657">
        <w:rPr>
          <w:rtl/>
        </w:rPr>
        <w:t xml:space="preserve"> </w:t>
      </w:r>
      <w:r w:rsidRPr="00D33657">
        <w:rPr>
          <w:rtl/>
          <w:lang w:bidi="ar-JO"/>
        </w:rPr>
        <w:t>التسريبات</w:t>
      </w:r>
      <w:r w:rsidRPr="00D33657">
        <w:rPr>
          <w:rtl/>
        </w:rPr>
        <w:t xml:space="preserve"> </w:t>
      </w:r>
      <w:r w:rsidRPr="00D33657">
        <w:rPr>
          <w:rtl/>
          <w:lang w:bidi="ar-JO"/>
        </w:rPr>
        <w:t>والرطوبة،</w:t>
      </w:r>
      <w:r w:rsidRPr="00D33657">
        <w:rPr>
          <w:rtl/>
        </w:rPr>
        <w:t xml:space="preserve"> </w:t>
      </w:r>
      <w:r w:rsidRPr="00D33657">
        <w:rPr>
          <w:rtl/>
          <w:lang w:bidi="ar-JO"/>
        </w:rPr>
        <w:t>والمراحيض</w:t>
      </w:r>
      <w:r w:rsidRPr="00D33657">
        <w:rPr>
          <w:rtl/>
        </w:rPr>
        <w:t xml:space="preserve"> </w:t>
      </w:r>
      <w:r w:rsidRPr="00D33657">
        <w:rPr>
          <w:rtl/>
          <w:lang w:bidi="ar-JO"/>
        </w:rPr>
        <w:t>المهملة،</w:t>
      </w:r>
      <w:r w:rsidRPr="00D33657">
        <w:rPr>
          <w:rtl/>
        </w:rPr>
        <w:t xml:space="preserve"> </w:t>
      </w:r>
      <w:r w:rsidRPr="00D33657">
        <w:rPr>
          <w:rtl/>
          <w:lang w:bidi="ar-JO"/>
        </w:rPr>
        <w:t>ومكيفات</w:t>
      </w:r>
      <w:r w:rsidRPr="00D33657">
        <w:rPr>
          <w:rtl/>
        </w:rPr>
        <w:t xml:space="preserve"> </w:t>
      </w:r>
      <w:r w:rsidRPr="00D33657">
        <w:rPr>
          <w:rtl/>
          <w:lang w:bidi="ar-JO"/>
        </w:rPr>
        <w:t>الهواء</w:t>
      </w:r>
      <w:r w:rsidRPr="00D33657">
        <w:rPr>
          <w:rtl/>
        </w:rPr>
        <w:t xml:space="preserve"> </w:t>
      </w:r>
      <w:r w:rsidRPr="00D33657">
        <w:rPr>
          <w:rtl/>
          <w:lang w:bidi="ar-JO"/>
        </w:rPr>
        <w:t>غير</w:t>
      </w:r>
      <w:r w:rsidRPr="00D33657">
        <w:rPr>
          <w:rtl/>
        </w:rPr>
        <w:t xml:space="preserve"> </w:t>
      </w:r>
      <w:r w:rsidRPr="00D33657">
        <w:rPr>
          <w:rtl/>
          <w:lang w:bidi="ar-JO"/>
        </w:rPr>
        <w:t>الصالحة،</w:t>
      </w:r>
      <w:r w:rsidRPr="00D33657">
        <w:rPr>
          <w:rtl/>
        </w:rPr>
        <w:t xml:space="preserve"> </w:t>
      </w:r>
      <w:r w:rsidRPr="00D33657">
        <w:rPr>
          <w:rtl/>
          <w:lang w:bidi="ar-JO"/>
        </w:rPr>
        <w:t>وأعطال</w:t>
      </w:r>
      <w:r w:rsidRPr="00D33657">
        <w:rPr>
          <w:rtl/>
        </w:rPr>
        <w:t xml:space="preserve"> </w:t>
      </w:r>
      <w:r w:rsidRPr="00D33657">
        <w:rPr>
          <w:rtl/>
          <w:lang w:bidi="ar-JO"/>
        </w:rPr>
        <w:t>الكهرباء</w:t>
      </w:r>
      <w:r w:rsidRPr="00D33657">
        <w:rPr>
          <w:rtl/>
        </w:rPr>
        <w:t xml:space="preserve"> </w:t>
      </w:r>
      <w:r w:rsidRPr="00D33657">
        <w:rPr>
          <w:rtl/>
          <w:lang w:bidi="ar-JO"/>
        </w:rPr>
        <w:t>والإنارة،</w:t>
      </w:r>
      <w:r w:rsidRPr="00D33657">
        <w:rPr>
          <w:rtl/>
        </w:rPr>
        <w:t xml:space="preserve"> </w:t>
      </w:r>
      <w:r w:rsidRPr="00D33657">
        <w:rPr>
          <w:rtl/>
          <w:lang w:bidi="ar-JO"/>
        </w:rPr>
        <w:t>ونقص</w:t>
      </w:r>
      <w:r w:rsidRPr="00D33657">
        <w:rPr>
          <w:rtl/>
        </w:rPr>
        <w:t xml:space="preserve"> </w:t>
      </w:r>
      <w:r w:rsidRPr="00D33657">
        <w:rPr>
          <w:rtl/>
          <w:lang w:bidi="ar-JO"/>
        </w:rPr>
        <w:t>مناطق</w:t>
      </w:r>
      <w:r w:rsidRPr="00D33657">
        <w:rPr>
          <w:rtl/>
        </w:rPr>
        <w:t xml:space="preserve"> </w:t>
      </w:r>
      <w:r w:rsidRPr="00D33657">
        <w:rPr>
          <w:rtl/>
          <w:lang w:bidi="ar-JO"/>
        </w:rPr>
        <w:t>التظليل،</w:t>
      </w:r>
      <w:r w:rsidRPr="00D33657">
        <w:rPr>
          <w:rtl/>
        </w:rPr>
        <w:t xml:space="preserve"> </w:t>
      </w:r>
      <w:r w:rsidRPr="00D33657">
        <w:rPr>
          <w:rtl/>
          <w:lang w:bidi="ar-JO"/>
        </w:rPr>
        <w:t>والمكاتب</w:t>
      </w:r>
      <w:r w:rsidRPr="00D33657">
        <w:rPr>
          <w:rtl/>
        </w:rPr>
        <w:t xml:space="preserve"> </w:t>
      </w:r>
      <w:r w:rsidRPr="00D33657">
        <w:rPr>
          <w:rtl/>
          <w:lang w:bidi="ar-JO"/>
        </w:rPr>
        <w:t>والكراسي</w:t>
      </w:r>
      <w:r w:rsidRPr="00D33657">
        <w:rPr>
          <w:rtl/>
        </w:rPr>
        <w:t xml:space="preserve"> </w:t>
      </w:r>
      <w:r w:rsidRPr="00D33657">
        <w:rPr>
          <w:rtl/>
          <w:lang w:bidi="ar-JO"/>
        </w:rPr>
        <w:t>القديمة،</w:t>
      </w:r>
      <w:r w:rsidRPr="00D33657">
        <w:rPr>
          <w:rtl/>
        </w:rPr>
        <w:t xml:space="preserve"> </w:t>
      </w:r>
      <w:r w:rsidRPr="00D33657">
        <w:rPr>
          <w:rtl/>
          <w:lang w:bidi="ar-JO"/>
        </w:rPr>
        <w:t>ونقص</w:t>
      </w:r>
      <w:r w:rsidRPr="00D33657">
        <w:rPr>
          <w:rtl/>
        </w:rPr>
        <w:t xml:space="preserve"> </w:t>
      </w:r>
      <w:r w:rsidRPr="00D33657">
        <w:rPr>
          <w:rtl/>
          <w:lang w:bidi="ar-JO"/>
        </w:rPr>
        <w:t>مساحات</w:t>
      </w:r>
      <w:r w:rsidRPr="00D33657">
        <w:rPr>
          <w:rtl/>
        </w:rPr>
        <w:t xml:space="preserve"> </w:t>
      </w:r>
      <w:r w:rsidRPr="00D33657">
        <w:rPr>
          <w:rtl/>
          <w:lang w:bidi="ar-JO"/>
        </w:rPr>
        <w:t>التعلم</w:t>
      </w:r>
      <w:r w:rsidRPr="00D33657">
        <w:rPr>
          <w:rtl/>
        </w:rPr>
        <w:t xml:space="preserve">. </w:t>
      </w:r>
      <w:r w:rsidRPr="00D33657">
        <w:rPr>
          <w:rtl/>
          <w:lang w:bidi="ar-JO"/>
        </w:rPr>
        <w:t>كما</w:t>
      </w:r>
      <w:r w:rsidRPr="00D33657">
        <w:rPr>
          <w:rtl/>
        </w:rPr>
        <w:t xml:space="preserve"> </w:t>
      </w:r>
      <w:r w:rsidRPr="00D33657">
        <w:rPr>
          <w:rtl/>
          <w:lang w:bidi="ar-JO"/>
        </w:rPr>
        <w:t>تم</w:t>
      </w:r>
      <w:r w:rsidRPr="00D33657">
        <w:rPr>
          <w:rtl/>
        </w:rPr>
        <w:t xml:space="preserve"> </w:t>
      </w:r>
      <w:r w:rsidRPr="00D33657">
        <w:rPr>
          <w:rtl/>
          <w:lang w:bidi="ar-JO"/>
        </w:rPr>
        <w:t>العثور</w:t>
      </w:r>
      <w:r w:rsidRPr="00D33657">
        <w:rPr>
          <w:rtl/>
        </w:rPr>
        <w:t xml:space="preserve"> </w:t>
      </w:r>
      <w:r w:rsidRPr="00D33657">
        <w:rPr>
          <w:rtl/>
          <w:lang w:bidi="ar-JO"/>
        </w:rPr>
        <w:t>على</w:t>
      </w:r>
      <w:r w:rsidRPr="00D33657">
        <w:rPr>
          <w:rtl/>
        </w:rPr>
        <w:t xml:space="preserve"> </w:t>
      </w:r>
      <w:r w:rsidRPr="00D33657">
        <w:rPr>
          <w:rtl/>
          <w:lang w:bidi="ar-JO"/>
        </w:rPr>
        <w:t>أوجه</w:t>
      </w:r>
      <w:r w:rsidRPr="00D33657">
        <w:rPr>
          <w:rtl/>
        </w:rPr>
        <w:t xml:space="preserve"> </w:t>
      </w:r>
      <w:r w:rsidRPr="00D33657">
        <w:rPr>
          <w:rtl/>
          <w:lang w:bidi="ar-JO"/>
        </w:rPr>
        <w:t>قصور</w:t>
      </w:r>
      <w:r w:rsidRPr="00D33657">
        <w:rPr>
          <w:rtl/>
        </w:rPr>
        <w:t xml:space="preserve"> </w:t>
      </w:r>
      <w:r w:rsidRPr="00D33657">
        <w:rPr>
          <w:rtl/>
          <w:lang w:bidi="ar-JO"/>
        </w:rPr>
        <w:t>متعلقة</w:t>
      </w:r>
      <w:r w:rsidRPr="00D33657">
        <w:rPr>
          <w:rtl/>
        </w:rPr>
        <w:t xml:space="preserve"> </w:t>
      </w:r>
      <w:r w:rsidRPr="00D33657">
        <w:rPr>
          <w:rtl/>
          <w:lang w:bidi="ar-JO"/>
        </w:rPr>
        <w:t>بالسلامة</w:t>
      </w:r>
      <w:r w:rsidRPr="00D33657">
        <w:rPr>
          <w:rtl/>
        </w:rPr>
        <w:t xml:space="preserve"> </w:t>
      </w:r>
      <w:r w:rsidRPr="00D33657">
        <w:rPr>
          <w:rtl/>
          <w:lang w:bidi="ar-JO"/>
        </w:rPr>
        <w:t>في</w:t>
      </w:r>
      <w:r w:rsidRPr="00D33657">
        <w:rPr>
          <w:rtl/>
        </w:rPr>
        <w:t xml:space="preserve"> </w:t>
      </w:r>
      <w:r w:rsidRPr="00D33657">
        <w:rPr>
          <w:rtl/>
          <w:lang w:bidi="ar-JO"/>
        </w:rPr>
        <w:t>المدارس</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التدقيق</w:t>
      </w:r>
      <w:r w:rsidRPr="00D33657">
        <w:rPr>
          <w:rtl/>
        </w:rPr>
        <w:t xml:space="preserve"> </w:t>
      </w:r>
      <w:r w:rsidRPr="00D33657">
        <w:rPr>
          <w:rtl/>
          <w:lang w:bidi="ar-JO"/>
        </w:rPr>
        <w:t>فيها،</w:t>
      </w:r>
      <w:r w:rsidRPr="00D33657">
        <w:rPr>
          <w:rtl/>
        </w:rPr>
        <w:t xml:space="preserve"> </w:t>
      </w:r>
      <w:r w:rsidRPr="00D33657">
        <w:rPr>
          <w:rtl/>
          <w:lang w:bidi="ar-JO"/>
        </w:rPr>
        <w:t>بما</w:t>
      </w:r>
      <w:r w:rsidRPr="00D33657">
        <w:rPr>
          <w:rtl/>
        </w:rPr>
        <w:t xml:space="preserve"> </w:t>
      </w:r>
      <w:r w:rsidRPr="00D33657">
        <w:rPr>
          <w:rtl/>
          <w:lang w:bidi="ar-JO"/>
        </w:rPr>
        <w:t>في</w:t>
      </w:r>
      <w:r w:rsidRPr="00D33657">
        <w:rPr>
          <w:rtl/>
        </w:rPr>
        <w:t xml:space="preserve"> </w:t>
      </w:r>
      <w:r w:rsidRPr="00D33657">
        <w:rPr>
          <w:rtl/>
          <w:lang w:bidi="ar-JO"/>
        </w:rPr>
        <w:t>ذلك</w:t>
      </w:r>
      <w:r w:rsidRPr="00D33657">
        <w:rPr>
          <w:rtl/>
        </w:rPr>
        <w:t xml:space="preserve"> </w:t>
      </w:r>
      <w:r w:rsidRPr="00D33657">
        <w:rPr>
          <w:rtl/>
          <w:lang w:bidi="ar-JO"/>
        </w:rPr>
        <w:t>أوجه</w:t>
      </w:r>
      <w:r w:rsidRPr="00D33657">
        <w:rPr>
          <w:rtl/>
        </w:rPr>
        <w:t xml:space="preserve"> </w:t>
      </w:r>
      <w:r w:rsidRPr="00D33657">
        <w:rPr>
          <w:rtl/>
          <w:lang w:bidi="ar-JO"/>
        </w:rPr>
        <w:t>القصور</w:t>
      </w:r>
      <w:r w:rsidRPr="00D33657">
        <w:rPr>
          <w:rtl/>
        </w:rPr>
        <w:t xml:space="preserve"> </w:t>
      </w:r>
      <w:r w:rsidRPr="00D33657">
        <w:rPr>
          <w:rtl/>
          <w:lang w:bidi="ar-JO"/>
        </w:rPr>
        <w:t>المتكررة</w:t>
      </w:r>
      <w:r w:rsidRPr="00D33657">
        <w:rPr>
          <w:rtl/>
        </w:rPr>
        <w:t xml:space="preserve"> </w:t>
      </w:r>
      <w:r w:rsidRPr="00D33657">
        <w:rPr>
          <w:rtl/>
          <w:lang w:bidi="ar-JO"/>
        </w:rPr>
        <w:t>في</w:t>
      </w:r>
      <w:r w:rsidRPr="00D33657">
        <w:rPr>
          <w:rtl/>
        </w:rPr>
        <w:t xml:space="preserve"> </w:t>
      </w:r>
      <w:r w:rsidRPr="00D33657">
        <w:rPr>
          <w:rtl/>
          <w:lang w:bidi="ar-JO"/>
        </w:rPr>
        <w:t>السلامة</w:t>
      </w:r>
      <w:r w:rsidRPr="00D33657">
        <w:rPr>
          <w:rtl/>
        </w:rPr>
        <w:t xml:space="preserve"> </w:t>
      </w:r>
      <w:r w:rsidRPr="00D33657">
        <w:rPr>
          <w:rtl/>
          <w:lang w:bidi="ar-JO"/>
        </w:rPr>
        <w:t>في</w:t>
      </w:r>
      <w:r w:rsidRPr="00D33657">
        <w:rPr>
          <w:rtl/>
        </w:rPr>
        <w:t xml:space="preserve"> </w:t>
      </w:r>
      <w:r w:rsidRPr="00D33657">
        <w:rPr>
          <w:rtl/>
          <w:lang w:bidi="ar-JO"/>
        </w:rPr>
        <w:t>الاختبارات</w:t>
      </w:r>
      <w:r w:rsidRPr="00D33657">
        <w:rPr>
          <w:rtl/>
        </w:rPr>
        <w:t xml:space="preserve"> </w:t>
      </w:r>
      <w:r w:rsidRPr="00D33657">
        <w:rPr>
          <w:rtl/>
          <w:lang w:bidi="ar-JO"/>
        </w:rPr>
        <w:t>السنوية،</w:t>
      </w:r>
      <w:r w:rsidRPr="00D33657">
        <w:rPr>
          <w:rtl/>
        </w:rPr>
        <w:t xml:space="preserve"> </w:t>
      </w:r>
      <w:r w:rsidRPr="00D33657">
        <w:rPr>
          <w:rtl/>
          <w:lang w:bidi="ar-JO"/>
        </w:rPr>
        <w:t>وعدم</w:t>
      </w:r>
      <w:r w:rsidRPr="00D33657">
        <w:rPr>
          <w:rtl/>
        </w:rPr>
        <w:t xml:space="preserve"> </w:t>
      </w:r>
      <w:r w:rsidRPr="00D33657">
        <w:rPr>
          <w:rtl/>
          <w:lang w:bidi="ar-JO"/>
        </w:rPr>
        <w:t>الحرص</w:t>
      </w:r>
      <w:r w:rsidRPr="00D33657">
        <w:rPr>
          <w:rtl/>
        </w:rPr>
        <w:t xml:space="preserve"> </w:t>
      </w:r>
      <w:r w:rsidRPr="00D33657">
        <w:rPr>
          <w:rtl/>
          <w:lang w:bidi="ar-JO"/>
        </w:rPr>
        <w:t>على</w:t>
      </w:r>
      <w:r w:rsidRPr="00D33657">
        <w:rPr>
          <w:rtl/>
        </w:rPr>
        <w:t xml:space="preserve"> </w:t>
      </w:r>
      <w:r w:rsidRPr="00D33657">
        <w:rPr>
          <w:rtl/>
          <w:lang w:bidi="ar-JO"/>
        </w:rPr>
        <w:t>إجراء</w:t>
      </w:r>
      <w:r w:rsidRPr="00D33657">
        <w:rPr>
          <w:rtl/>
        </w:rPr>
        <w:t xml:space="preserve"> </w:t>
      </w:r>
      <w:r w:rsidRPr="00D33657">
        <w:rPr>
          <w:rtl/>
          <w:lang w:bidi="ar-JO"/>
        </w:rPr>
        <w:t>عمليات</w:t>
      </w:r>
      <w:r w:rsidRPr="00D33657">
        <w:rPr>
          <w:rtl/>
        </w:rPr>
        <w:t xml:space="preserve"> </w:t>
      </w:r>
      <w:r w:rsidRPr="00D33657">
        <w:rPr>
          <w:rtl/>
          <w:lang w:bidi="ar-JO"/>
        </w:rPr>
        <w:t>التفتيش</w:t>
      </w:r>
      <w:r w:rsidRPr="00D33657">
        <w:rPr>
          <w:rtl/>
        </w:rPr>
        <w:t xml:space="preserve"> </w:t>
      </w:r>
      <w:r w:rsidRPr="00D33657">
        <w:rPr>
          <w:rtl/>
          <w:lang w:bidi="ar-JO"/>
        </w:rPr>
        <w:t>الدورية</w:t>
      </w:r>
      <w:r w:rsidRPr="00D33657">
        <w:rPr>
          <w:rtl/>
        </w:rPr>
        <w:t xml:space="preserve"> </w:t>
      </w:r>
      <w:r w:rsidRPr="00D33657">
        <w:rPr>
          <w:rtl/>
          <w:lang w:bidi="ar-JO"/>
        </w:rPr>
        <w:t>بأكملها</w:t>
      </w:r>
      <w:r w:rsidRPr="00D33657">
        <w:rPr>
          <w:rtl/>
        </w:rPr>
        <w:t xml:space="preserve"> </w:t>
      </w:r>
      <w:r w:rsidRPr="00D33657">
        <w:rPr>
          <w:rtl/>
          <w:lang w:bidi="ar-JO"/>
        </w:rPr>
        <w:t>وحسب</w:t>
      </w:r>
      <w:r w:rsidRPr="00D33657">
        <w:rPr>
          <w:rtl/>
        </w:rPr>
        <w:t xml:space="preserve"> </w:t>
      </w:r>
      <w:r w:rsidRPr="00D33657">
        <w:rPr>
          <w:rtl/>
          <w:lang w:bidi="ar-JO"/>
        </w:rPr>
        <w:t>التكرار</w:t>
      </w:r>
      <w:r w:rsidRPr="00D33657">
        <w:rPr>
          <w:rtl/>
        </w:rPr>
        <w:t xml:space="preserve"> </w:t>
      </w:r>
      <w:r w:rsidRPr="00D33657">
        <w:rPr>
          <w:rtl/>
          <w:lang w:bidi="ar-JO"/>
        </w:rPr>
        <w:t>اللازم</w:t>
      </w:r>
      <w:r w:rsidRPr="00D33657">
        <w:rPr>
          <w:rtl/>
        </w:rPr>
        <w:t xml:space="preserve"> </w:t>
      </w:r>
      <w:r w:rsidRPr="00D33657">
        <w:rPr>
          <w:rtl/>
          <w:lang w:bidi="ar-JO"/>
        </w:rPr>
        <w:t>للمباني</w:t>
      </w:r>
      <w:r w:rsidRPr="00D33657">
        <w:rPr>
          <w:rtl/>
        </w:rPr>
        <w:t xml:space="preserve"> </w:t>
      </w:r>
      <w:r w:rsidRPr="00D33657">
        <w:rPr>
          <w:rtl/>
          <w:lang w:bidi="ar-JO"/>
        </w:rPr>
        <w:t>والمرافق،</w:t>
      </w:r>
      <w:r w:rsidRPr="00D33657">
        <w:rPr>
          <w:rtl/>
        </w:rPr>
        <w:t xml:space="preserve"> </w:t>
      </w:r>
      <w:r w:rsidRPr="00D33657">
        <w:rPr>
          <w:rtl/>
          <w:lang w:bidi="ar-JO"/>
        </w:rPr>
        <w:t>فضلاً</w:t>
      </w:r>
      <w:r w:rsidRPr="00D33657">
        <w:rPr>
          <w:rtl/>
        </w:rPr>
        <w:t xml:space="preserve"> </w:t>
      </w:r>
      <w:r w:rsidRPr="00D33657">
        <w:rPr>
          <w:rtl/>
          <w:lang w:bidi="ar-JO"/>
        </w:rPr>
        <w:t>عن</w:t>
      </w:r>
      <w:r w:rsidRPr="00D33657">
        <w:rPr>
          <w:rtl/>
        </w:rPr>
        <w:t xml:space="preserve"> </w:t>
      </w:r>
      <w:r w:rsidRPr="00D33657">
        <w:rPr>
          <w:rtl/>
          <w:lang w:bidi="ar-JO"/>
        </w:rPr>
        <w:t>أوجه</w:t>
      </w:r>
      <w:r w:rsidRPr="00D33657">
        <w:rPr>
          <w:rtl/>
        </w:rPr>
        <w:t xml:space="preserve"> </w:t>
      </w:r>
      <w:r w:rsidRPr="00D33657">
        <w:rPr>
          <w:rtl/>
          <w:lang w:bidi="ar-JO"/>
        </w:rPr>
        <w:t>القصور</w:t>
      </w:r>
      <w:r w:rsidRPr="00D33657">
        <w:rPr>
          <w:rtl/>
        </w:rPr>
        <w:t xml:space="preserve"> </w:t>
      </w:r>
      <w:r w:rsidRPr="00D33657">
        <w:rPr>
          <w:rtl/>
          <w:lang w:bidi="ar-JO"/>
        </w:rPr>
        <w:t>الطويلة</w:t>
      </w:r>
      <w:r w:rsidRPr="00D33657">
        <w:rPr>
          <w:rtl/>
        </w:rPr>
        <w:t xml:space="preserve"> </w:t>
      </w:r>
      <w:r w:rsidRPr="00D33657">
        <w:rPr>
          <w:rtl/>
          <w:lang w:bidi="ar-JO"/>
        </w:rPr>
        <w:t>في</w:t>
      </w:r>
      <w:r w:rsidRPr="00D33657">
        <w:rPr>
          <w:rtl/>
        </w:rPr>
        <w:t xml:space="preserve"> </w:t>
      </w:r>
      <w:r w:rsidRPr="00D33657">
        <w:rPr>
          <w:rtl/>
          <w:lang w:bidi="ar-JO"/>
        </w:rPr>
        <w:t>التوصيل</w:t>
      </w:r>
      <w:r w:rsidRPr="00D33657">
        <w:rPr>
          <w:rtl/>
        </w:rPr>
        <w:t xml:space="preserve"> </w:t>
      </w:r>
      <w:r w:rsidRPr="00D33657">
        <w:rPr>
          <w:rtl/>
          <w:lang w:bidi="ar-JO"/>
        </w:rPr>
        <w:t>الكهربائي،</w:t>
      </w:r>
      <w:r w:rsidRPr="00D33657">
        <w:rPr>
          <w:rtl/>
        </w:rPr>
        <w:t xml:space="preserve"> </w:t>
      </w:r>
      <w:r w:rsidRPr="00D33657">
        <w:rPr>
          <w:rtl/>
          <w:lang w:bidi="ar-JO"/>
        </w:rPr>
        <w:t>وطرق</w:t>
      </w:r>
      <w:r w:rsidRPr="00D33657">
        <w:rPr>
          <w:rtl/>
        </w:rPr>
        <w:t xml:space="preserve"> </w:t>
      </w:r>
      <w:r w:rsidRPr="00D33657">
        <w:rPr>
          <w:rtl/>
          <w:lang w:bidi="ar-JO"/>
        </w:rPr>
        <w:t>الوصول</w:t>
      </w:r>
      <w:r w:rsidRPr="00D33657">
        <w:rPr>
          <w:rtl/>
        </w:rPr>
        <w:t xml:space="preserve"> </w:t>
      </w:r>
      <w:r w:rsidRPr="00D33657">
        <w:rPr>
          <w:rtl/>
          <w:lang w:bidi="ar-JO"/>
        </w:rPr>
        <w:t>إلى</w:t>
      </w:r>
      <w:r w:rsidRPr="00D33657">
        <w:rPr>
          <w:rtl/>
        </w:rPr>
        <w:t xml:space="preserve"> </w:t>
      </w:r>
      <w:r w:rsidRPr="00D33657">
        <w:rPr>
          <w:rtl/>
          <w:lang w:bidi="ar-JO"/>
        </w:rPr>
        <w:t>المدارس،</w:t>
      </w:r>
      <w:r w:rsidRPr="00D33657">
        <w:rPr>
          <w:rtl/>
        </w:rPr>
        <w:t xml:space="preserve"> </w:t>
      </w:r>
      <w:r w:rsidRPr="00D33657">
        <w:rPr>
          <w:rtl/>
          <w:lang w:bidi="ar-JO"/>
        </w:rPr>
        <w:t>وأوجه</w:t>
      </w:r>
      <w:r w:rsidRPr="00D33657">
        <w:rPr>
          <w:rtl/>
        </w:rPr>
        <w:t xml:space="preserve"> </w:t>
      </w:r>
      <w:r w:rsidRPr="00D33657">
        <w:rPr>
          <w:rtl/>
          <w:lang w:bidi="ar-JO"/>
        </w:rPr>
        <w:t>القصور</w:t>
      </w:r>
      <w:r w:rsidRPr="00D33657">
        <w:rPr>
          <w:rtl/>
        </w:rPr>
        <w:t xml:space="preserve"> </w:t>
      </w:r>
      <w:r w:rsidRPr="00D33657">
        <w:rPr>
          <w:rtl/>
          <w:lang w:bidi="ar-JO"/>
        </w:rPr>
        <w:t>في</w:t>
      </w:r>
      <w:r w:rsidRPr="00D33657">
        <w:rPr>
          <w:rtl/>
        </w:rPr>
        <w:t xml:space="preserve"> </w:t>
      </w:r>
      <w:r w:rsidRPr="00D33657">
        <w:rPr>
          <w:rtl/>
          <w:lang w:bidi="ar-JO"/>
        </w:rPr>
        <w:t>السلامة</w:t>
      </w:r>
      <w:r w:rsidRPr="00D33657">
        <w:rPr>
          <w:rtl/>
        </w:rPr>
        <w:t xml:space="preserve"> </w:t>
      </w:r>
      <w:r w:rsidRPr="00D33657">
        <w:rPr>
          <w:rtl/>
          <w:lang w:bidi="ar-JO"/>
        </w:rPr>
        <w:t>في</w:t>
      </w:r>
      <w:r w:rsidRPr="00D33657">
        <w:rPr>
          <w:rtl/>
        </w:rPr>
        <w:t xml:space="preserve"> </w:t>
      </w:r>
      <w:r w:rsidRPr="00D33657">
        <w:rPr>
          <w:rtl/>
          <w:lang w:bidi="ar-JO"/>
        </w:rPr>
        <w:t>المختبرات</w:t>
      </w:r>
      <w:r w:rsidRPr="00D33657">
        <w:rPr>
          <w:rtl/>
        </w:rPr>
        <w:t xml:space="preserve">. </w:t>
      </w:r>
      <w:r w:rsidRPr="00D33657">
        <w:rPr>
          <w:rtl/>
          <w:lang w:bidi="ar-JO"/>
        </w:rPr>
        <w:t>ويوصي</w:t>
      </w:r>
      <w:r w:rsidRPr="00D33657">
        <w:rPr>
          <w:rtl/>
        </w:rPr>
        <w:t xml:space="preserve"> </w:t>
      </w:r>
      <w:r w:rsidRPr="00D33657">
        <w:rPr>
          <w:rtl/>
          <w:lang w:bidi="ar-JO"/>
        </w:rPr>
        <w:t>مكتب</w:t>
      </w:r>
      <w:r w:rsidRPr="00D33657">
        <w:rPr>
          <w:rtl/>
        </w:rPr>
        <w:t xml:space="preserve"> </w:t>
      </w:r>
      <w:r w:rsidRPr="00D33657">
        <w:rPr>
          <w:rtl/>
          <w:lang w:bidi="ar-JO"/>
        </w:rPr>
        <w:t>المراقب</w:t>
      </w:r>
      <w:r w:rsidRPr="00D33657">
        <w:rPr>
          <w:rtl/>
        </w:rPr>
        <w:t xml:space="preserve"> </w:t>
      </w:r>
      <w:r w:rsidRPr="00D33657">
        <w:rPr>
          <w:rFonts w:hint="cs"/>
          <w:rtl/>
          <w:lang w:bidi="ar-JO"/>
        </w:rPr>
        <w:t>الدولة</w:t>
      </w:r>
      <w:r w:rsidRPr="00D33657">
        <w:rPr>
          <w:rtl/>
        </w:rPr>
        <w:t xml:space="preserve"> </w:t>
      </w:r>
      <w:r w:rsidRPr="00D33657">
        <w:rPr>
          <w:rtl/>
          <w:lang w:bidi="ar-JO"/>
        </w:rPr>
        <w:t>بأن</w:t>
      </w:r>
      <w:r w:rsidRPr="00D33657">
        <w:rPr>
          <w:rtl/>
        </w:rPr>
        <w:t xml:space="preserve"> </w:t>
      </w:r>
      <w:r w:rsidRPr="00D33657">
        <w:rPr>
          <w:rtl/>
          <w:lang w:bidi="ar-JO"/>
        </w:rPr>
        <w:t>تقوم</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التدقيق</w:t>
      </w:r>
      <w:r w:rsidRPr="00D33657">
        <w:rPr>
          <w:rtl/>
        </w:rPr>
        <w:t xml:space="preserve"> </w:t>
      </w:r>
      <w:r w:rsidRPr="00D33657">
        <w:rPr>
          <w:rtl/>
          <w:lang w:bidi="ar-JO"/>
        </w:rPr>
        <w:t>فيها</w:t>
      </w:r>
      <w:r w:rsidRPr="00D33657">
        <w:rPr>
          <w:rtl/>
        </w:rPr>
        <w:t xml:space="preserve"> </w:t>
      </w:r>
      <w:r w:rsidRPr="00D33657">
        <w:rPr>
          <w:rtl/>
          <w:lang w:bidi="ar-JO"/>
        </w:rPr>
        <w:t>بتحسين</w:t>
      </w:r>
      <w:r w:rsidRPr="00D33657">
        <w:rPr>
          <w:rtl/>
        </w:rPr>
        <w:t xml:space="preserve"> </w:t>
      </w:r>
      <w:r w:rsidRPr="00D33657">
        <w:rPr>
          <w:rtl/>
          <w:lang w:bidi="ar-JO"/>
        </w:rPr>
        <w:t>وزيادة</w:t>
      </w:r>
      <w:r w:rsidRPr="00D33657">
        <w:rPr>
          <w:rtl/>
        </w:rPr>
        <w:t xml:space="preserve"> </w:t>
      </w:r>
      <w:r w:rsidRPr="00D33657">
        <w:rPr>
          <w:rtl/>
          <w:lang w:bidi="ar-JO"/>
        </w:rPr>
        <w:t>أنشطتها</w:t>
      </w:r>
      <w:r w:rsidRPr="00D33657">
        <w:rPr>
          <w:rtl/>
        </w:rPr>
        <w:t xml:space="preserve"> </w:t>
      </w:r>
      <w:r w:rsidRPr="00D33657">
        <w:rPr>
          <w:rtl/>
          <w:lang w:bidi="ar-JO"/>
        </w:rPr>
        <w:t>فيما</w:t>
      </w:r>
      <w:r w:rsidRPr="00D33657">
        <w:rPr>
          <w:rtl/>
        </w:rPr>
        <w:t xml:space="preserve"> </w:t>
      </w:r>
      <w:r w:rsidRPr="00D33657">
        <w:rPr>
          <w:rtl/>
          <w:lang w:bidi="ar-JO"/>
        </w:rPr>
        <w:t>يتعلق</w:t>
      </w:r>
      <w:r w:rsidRPr="00D33657">
        <w:rPr>
          <w:rtl/>
        </w:rPr>
        <w:t xml:space="preserve"> </w:t>
      </w:r>
      <w:r w:rsidRPr="00D33657">
        <w:rPr>
          <w:rtl/>
          <w:lang w:bidi="ar-JO"/>
        </w:rPr>
        <w:t>بصيانة</w:t>
      </w:r>
      <w:r w:rsidRPr="00D33657">
        <w:rPr>
          <w:rtl/>
        </w:rPr>
        <w:t xml:space="preserve"> </w:t>
      </w:r>
      <w:r w:rsidRPr="00D33657">
        <w:rPr>
          <w:rtl/>
          <w:lang w:bidi="ar-JO"/>
        </w:rPr>
        <w:t>المؤسسات</w:t>
      </w:r>
      <w:r w:rsidRPr="00D33657">
        <w:rPr>
          <w:rtl/>
        </w:rPr>
        <w:t xml:space="preserve"> </w:t>
      </w:r>
      <w:r w:rsidRPr="00D33657">
        <w:rPr>
          <w:rtl/>
          <w:lang w:bidi="ar-JO"/>
        </w:rPr>
        <w:t>التعليمية</w:t>
      </w:r>
      <w:r w:rsidRPr="00D33657">
        <w:rPr>
          <w:rtl/>
        </w:rPr>
        <w:t xml:space="preserve"> </w:t>
      </w:r>
      <w:r w:rsidRPr="00D33657">
        <w:rPr>
          <w:rtl/>
          <w:lang w:bidi="ar-JO"/>
        </w:rPr>
        <w:t>ومعالجتها</w:t>
      </w:r>
      <w:r w:rsidRPr="00D33657">
        <w:rPr>
          <w:rtl/>
        </w:rPr>
        <w:t xml:space="preserve"> </w:t>
      </w:r>
      <w:r w:rsidRPr="00D33657">
        <w:rPr>
          <w:rtl/>
          <w:lang w:bidi="ar-JO"/>
        </w:rPr>
        <w:t>لتنظيم</w:t>
      </w:r>
      <w:r w:rsidRPr="00D33657">
        <w:rPr>
          <w:rtl/>
        </w:rPr>
        <w:t xml:space="preserve"> </w:t>
      </w:r>
      <w:r w:rsidRPr="00D33657">
        <w:rPr>
          <w:rtl/>
          <w:lang w:bidi="ar-JO"/>
        </w:rPr>
        <w:t>مخاطر</w:t>
      </w:r>
      <w:r w:rsidRPr="00D33657">
        <w:rPr>
          <w:rtl/>
        </w:rPr>
        <w:t xml:space="preserve"> </w:t>
      </w:r>
      <w:r w:rsidRPr="00D33657">
        <w:rPr>
          <w:rtl/>
          <w:lang w:bidi="ar-JO"/>
        </w:rPr>
        <w:t>السلامة</w:t>
      </w:r>
      <w:r w:rsidRPr="00D33657">
        <w:rPr>
          <w:rtl/>
        </w:rPr>
        <w:t xml:space="preserve"> </w:t>
      </w:r>
      <w:r w:rsidRPr="00D33657">
        <w:rPr>
          <w:rtl/>
          <w:lang w:bidi="ar-JO"/>
        </w:rPr>
        <w:t>من</w:t>
      </w:r>
      <w:r w:rsidRPr="00D33657">
        <w:rPr>
          <w:rtl/>
        </w:rPr>
        <w:t xml:space="preserve"> </w:t>
      </w:r>
      <w:r w:rsidRPr="00D33657">
        <w:rPr>
          <w:rtl/>
          <w:lang w:bidi="ar-JO"/>
        </w:rPr>
        <w:t>أجل</w:t>
      </w:r>
      <w:r w:rsidRPr="00D33657">
        <w:rPr>
          <w:rtl/>
        </w:rPr>
        <w:t xml:space="preserve"> </w:t>
      </w:r>
      <w:r w:rsidRPr="00D33657">
        <w:rPr>
          <w:rtl/>
          <w:lang w:bidi="ar-JO"/>
        </w:rPr>
        <w:t>ضمان</w:t>
      </w:r>
      <w:r w:rsidRPr="00D33657">
        <w:rPr>
          <w:rtl/>
        </w:rPr>
        <w:t xml:space="preserve"> </w:t>
      </w:r>
      <w:r w:rsidRPr="00D33657">
        <w:rPr>
          <w:rtl/>
          <w:lang w:bidi="ar-JO"/>
        </w:rPr>
        <w:t>بيئة</w:t>
      </w:r>
      <w:r w:rsidRPr="00D33657">
        <w:rPr>
          <w:rtl/>
        </w:rPr>
        <w:t xml:space="preserve"> </w:t>
      </w:r>
      <w:r w:rsidRPr="00D33657">
        <w:rPr>
          <w:rtl/>
          <w:lang w:bidi="ar-JO"/>
        </w:rPr>
        <w:t>تعليمية</w:t>
      </w:r>
      <w:r w:rsidRPr="00D33657">
        <w:rPr>
          <w:rtl/>
        </w:rPr>
        <w:t xml:space="preserve"> </w:t>
      </w:r>
      <w:r w:rsidRPr="00D33657">
        <w:rPr>
          <w:rtl/>
          <w:lang w:bidi="ar-JO"/>
        </w:rPr>
        <w:t>مثالية</w:t>
      </w:r>
      <w:r w:rsidRPr="00D33657">
        <w:rPr>
          <w:rtl/>
        </w:rPr>
        <w:t xml:space="preserve"> </w:t>
      </w:r>
      <w:r w:rsidRPr="00D33657">
        <w:rPr>
          <w:rtl/>
          <w:lang w:bidi="ar-JO"/>
        </w:rPr>
        <w:t>وآمنة</w:t>
      </w:r>
      <w:r w:rsidRPr="00D33657">
        <w:rPr>
          <w:rtl/>
        </w:rPr>
        <w:t xml:space="preserve"> </w:t>
      </w:r>
      <w:r w:rsidRPr="00D33657">
        <w:rPr>
          <w:rtl/>
          <w:lang w:bidi="ar-JO"/>
        </w:rPr>
        <w:t>لطلابها</w:t>
      </w:r>
      <w:r w:rsidRPr="00D33657">
        <w:rPr>
          <w:rtl/>
        </w:rPr>
        <w:t xml:space="preserve">. </w:t>
      </w:r>
      <w:r w:rsidRPr="00D33657">
        <w:rPr>
          <w:rtl/>
          <w:lang w:bidi="ar-JO"/>
        </w:rPr>
        <w:t>يجب</w:t>
      </w:r>
      <w:r w:rsidRPr="00D33657">
        <w:rPr>
          <w:rtl/>
        </w:rPr>
        <w:t xml:space="preserve"> </w:t>
      </w:r>
      <w:r w:rsidRPr="00D33657">
        <w:rPr>
          <w:rtl/>
          <w:lang w:bidi="ar-JO"/>
        </w:rPr>
        <w:t>على</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وضع</w:t>
      </w:r>
      <w:r w:rsidRPr="00D33657">
        <w:rPr>
          <w:rtl/>
        </w:rPr>
        <w:t xml:space="preserve"> </w:t>
      </w:r>
      <w:r w:rsidRPr="00D33657">
        <w:rPr>
          <w:rtl/>
          <w:lang w:bidi="ar-JO"/>
        </w:rPr>
        <w:t>ممارسات</w:t>
      </w:r>
      <w:r w:rsidRPr="00D33657">
        <w:rPr>
          <w:rtl/>
        </w:rPr>
        <w:t xml:space="preserve"> </w:t>
      </w:r>
      <w:r w:rsidRPr="00D33657">
        <w:rPr>
          <w:rtl/>
          <w:lang w:bidi="ar-JO"/>
        </w:rPr>
        <w:t>عمل</w:t>
      </w:r>
      <w:r w:rsidRPr="00D33657">
        <w:rPr>
          <w:rtl/>
        </w:rPr>
        <w:t xml:space="preserve"> </w:t>
      </w:r>
      <w:r w:rsidRPr="00D33657">
        <w:rPr>
          <w:rtl/>
          <w:lang w:bidi="ar-JO"/>
        </w:rPr>
        <w:t>تحدد</w:t>
      </w:r>
      <w:r w:rsidRPr="00D33657">
        <w:rPr>
          <w:rtl/>
        </w:rPr>
        <w:t xml:space="preserve"> </w:t>
      </w:r>
      <w:r w:rsidRPr="00D33657">
        <w:rPr>
          <w:rtl/>
          <w:lang w:bidi="ar-JO"/>
        </w:rPr>
        <w:t>العلاقات</w:t>
      </w:r>
      <w:r w:rsidRPr="00D33657">
        <w:rPr>
          <w:rtl/>
        </w:rPr>
        <w:t xml:space="preserve"> </w:t>
      </w:r>
      <w:r w:rsidRPr="00D33657">
        <w:rPr>
          <w:rtl/>
          <w:lang w:bidi="ar-JO"/>
        </w:rPr>
        <w:t>وتقسيم</w:t>
      </w:r>
      <w:r w:rsidRPr="00D33657">
        <w:rPr>
          <w:rtl/>
        </w:rPr>
        <w:t xml:space="preserve"> </w:t>
      </w:r>
      <w:r w:rsidRPr="00D33657">
        <w:rPr>
          <w:rtl/>
          <w:lang w:bidi="ar-JO"/>
        </w:rPr>
        <w:t>المسؤولية</w:t>
      </w:r>
      <w:r w:rsidRPr="00D33657">
        <w:rPr>
          <w:rtl/>
        </w:rPr>
        <w:t xml:space="preserve"> </w:t>
      </w:r>
      <w:r w:rsidRPr="00D33657">
        <w:rPr>
          <w:rtl/>
          <w:lang w:bidi="ar-JO"/>
        </w:rPr>
        <w:t>بين</w:t>
      </w:r>
      <w:r w:rsidRPr="00D33657">
        <w:rPr>
          <w:rtl/>
        </w:rPr>
        <w:t xml:space="preserve"> </w:t>
      </w:r>
      <w:r w:rsidRPr="00D33657">
        <w:rPr>
          <w:rtl/>
          <w:lang w:bidi="ar-JO"/>
        </w:rPr>
        <w:t>الجهات</w:t>
      </w:r>
      <w:r w:rsidRPr="00D33657">
        <w:rPr>
          <w:rtl/>
        </w:rPr>
        <w:t xml:space="preserve"> </w:t>
      </w:r>
      <w:r w:rsidRPr="00D33657">
        <w:rPr>
          <w:rtl/>
          <w:lang w:bidi="ar-JO"/>
        </w:rPr>
        <w:t>الضالعة</w:t>
      </w:r>
      <w:r w:rsidRPr="00D33657">
        <w:rPr>
          <w:rtl/>
        </w:rPr>
        <w:t xml:space="preserve"> </w:t>
      </w:r>
      <w:r w:rsidRPr="00D33657">
        <w:rPr>
          <w:rtl/>
          <w:lang w:bidi="ar-JO"/>
        </w:rPr>
        <w:t>في</w:t>
      </w:r>
      <w:r w:rsidRPr="00D33657">
        <w:rPr>
          <w:rtl/>
        </w:rPr>
        <w:t xml:space="preserve"> </w:t>
      </w:r>
      <w:r w:rsidRPr="00D33657">
        <w:rPr>
          <w:rtl/>
          <w:lang w:bidi="ar-JO"/>
        </w:rPr>
        <w:t>هذا</w:t>
      </w:r>
      <w:r w:rsidRPr="00D33657">
        <w:rPr>
          <w:rtl/>
        </w:rPr>
        <w:t xml:space="preserve"> </w:t>
      </w:r>
      <w:r w:rsidRPr="00D33657">
        <w:rPr>
          <w:rtl/>
          <w:lang w:bidi="ar-JO"/>
        </w:rPr>
        <w:t>الموضوع؛</w:t>
      </w:r>
      <w:r w:rsidRPr="00D33657">
        <w:rPr>
          <w:rtl/>
        </w:rPr>
        <w:t xml:space="preserve"> </w:t>
      </w:r>
      <w:r w:rsidRPr="00D33657">
        <w:rPr>
          <w:rtl/>
          <w:lang w:bidi="ar-JO"/>
        </w:rPr>
        <w:t>مراقبة</w:t>
      </w:r>
      <w:r w:rsidRPr="00D33657">
        <w:rPr>
          <w:rtl/>
        </w:rPr>
        <w:t xml:space="preserve"> </w:t>
      </w:r>
      <w:r w:rsidRPr="00D33657">
        <w:rPr>
          <w:rtl/>
          <w:lang w:bidi="ar-JO"/>
        </w:rPr>
        <w:t>والإشراف</w:t>
      </w:r>
      <w:r w:rsidRPr="00D33657">
        <w:rPr>
          <w:rtl/>
        </w:rPr>
        <w:t xml:space="preserve"> </w:t>
      </w:r>
      <w:r w:rsidRPr="00D33657">
        <w:rPr>
          <w:rtl/>
          <w:lang w:bidi="ar-JO"/>
        </w:rPr>
        <w:t>على</w:t>
      </w:r>
      <w:r w:rsidRPr="00D33657">
        <w:rPr>
          <w:rtl/>
        </w:rPr>
        <w:t xml:space="preserve"> </w:t>
      </w:r>
      <w:r w:rsidRPr="00D33657">
        <w:rPr>
          <w:rtl/>
          <w:lang w:bidi="ar-JO"/>
        </w:rPr>
        <w:t>التعامل</w:t>
      </w:r>
      <w:r w:rsidRPr="00D33657">
        <w:rPr>
          <w:rtl/>
        </w:rPr>
        <w:t xml:space="preserve"> </w:t>
      </w:r>
      <w:r w:rsidRPr="00D33657">
        <w:rPr>
          <w:rtl/>
          <w:lang w:bidi="ar-JO"/>
        </w:rPr>
        <w:t>مع</w:t>
      </w:r>
      <w:r w:rsidRPr="00D33657">
        <w:rPr>
          <w:rtl/>
        </w:rPr>
        <w:t xml:space="preserve"> </w:t>
      </w:r>
      <w:r w:rsidRPr="00D33657">
        <w:rPr>
          <w:rtl/>
          <w:lang w:bidi="ar-JO"/>
        </w:rPr>
        <w:t>معالجة</w:t>
      </w:r>
      <w:r w:rsidRPr="00D33657">
        <w:rPr>
          <w:rtl/>
        </w:rPr>
        <w:t xml:space="preserve"> </w:t>
      </w:r>
      <w:r w:rsidRPr="00D33657">
        <w:rPr>
          <w:rtl/>
          <w:lang w:bidi="ar-JO"/>
        </w:rPr>
        <w:t>الاستفسارات</w:t>
      </w:r>
      <w:r w:rsidRPr="00D33657">
        <w:rPr>
          <w:rtl/>
        </w:rPr>
        <w:t xml:space="preserve"> </w:t>
      </w:r>
      <w:r w:rsidRPr="00D33657">
        <w:rPr>
          <w:rtl/>
          <w:lang w:bidi="ar-JO"/>
        </w:rPr>
        <w:t>المتعلقة</w:t>
      </w:r>
      <w:r w:rsidRPr="00D33657">
        <w:rPr>
          <w:rtl/>
        </w:rPr>
        <w:t xml:space="preserve"> </w:t>
      </w:r>
      <w:r w:rsidRPr="00D33657">
        <w:rPr>
          <w:rtl/>
          <w:lang w:bidi="ar-JO"/>
        </w:rPr>
        <w:t>بالصيانة</w:t>
      </w:r>
      <w:r w:rsidRPr="00D33657">
        <w:rPr>
          <w:rtl/>
        </w:rPr>
        <w:t xml:space="preserve"> </w:t>
      </w:r>
      <w:r w:rsidRPr="00D33657">
        <w:rPr>
          <w:rtl/>
          <w:lang w:bidi="ar-JO"/>
        </w:rPr>
        <w:t>والسلامة</w:t>
      </w:r>
      <w:r w:rsidRPr="00D33657">
        <w:rPr>
          <w:rtl/>
        </w:rPr>
        <w:t xml:space="preserve"> </w:t>
      </w:r>
      <w:r w:rsidRPr="00D33657">
        <w:rPr>
          <w:rtl/>
          <w:lang w:bidi="ar-JO"/>
        </w:rPr>
        <w:t>في</w:t>
      </w:r>
      <w:r w:rsidRPr="00D33657">
        <w:rPr>
          <w:rtl/>
        </w:rPr>
        <w:t xml:space="preserve"> </w:t>
      </w:r>
      <w:r w:rsidRPr="00D33657">
        <w:rPr>
          <w:rtl/>
          <w:lang w:bidi="ar-JO"/>
        </w:rPr>
        <w:t>المدارس؛</w:t>
      </w:r>
      <w:r w:rsidRPr="00D33657">
        <w:rPr>
          <w:rtl/>
        </w:rPr>
        <w:t xml:space="preserve"> </w:t>
      </w:r>
      <w:r w:rsidRPr="00D33657">
        <w:rPr>
          <w:rtl/>
          <w:lang w:bidi="ar-JO"/>
        </w:rPr>
        <w:t>إجراء</w:t>
      </w:r>
      <w:r w:rsidRPr="00D33657">
        <w:rPr>
          <w:rtl/>
        </w:rPr>
        <w:t xml:space="preserve"> </w:t>
      </w:r>
      <w:r w:rsidRPr="00D33657">
        <w:rPr>
          <w:rtl/>
          <w:lang w:bidi="ar-JO"/>
        </w:rPr>
        <w:t>جميع</w:t>
      </w:r>
      <w:r w:rsidRPr="00D33657">
        <w:rPr>
          <w:rtl/>
        </w:rPr>
        <w:t xml:space="preserve"> </w:t>
      </w:r>
      <w:r w:rsidRPr="00D33657">
        <w:rPr>
          <w:rtl/>
          <w:lang w:bidi="ar-JO"/>
        </w:rPr>
        <w:t>فحوصات</w:t>
      </w:r>
      <w:r w:rsidRPr="00D33657">
        <w:rPr>
          <w:rtl/>
        </w:rPr>
        <w:t xml:space="preserve"> </w:t>
      </w:r>
      <w:r w:rsidRPr="00D33657">
        <w:rPr>
          <w:rtl/>
          <w:lang w:bidi="ar-JO"/>
        </w:rPr>
        <w:t>السلامة</w:t>
      </w:r>
      <w:r w:rsidRPr="00D33657">
        <w:rPr>
          <w:rtl/>
        </w:rPr>
        <w:t xml:space="preserve"> </w:t>
      </w:r>
      <w:r w:rsidRPr="00D33657">
        <w:rPr>
          <w:rtl/>
          <w:lang w:bidi="ar-JO"/>
        </w:rPr>
        <w:t>الدورية</w:t>
      </w:r>
      <w:r w:rsidRPr="00D33657">
        <w:rPr>
          <w:rtl/>
        </w:rPr>
        <w:t xml:space="preserve"> </w:t>
      </w:r>
      <w:r w:rsidRPr="00D33657">
        <w:rPr>
          <w:rtl/>
          <w:lang w:bidi="ar-JO"/>
        </w:rPr>
        <w:t>والتأكد</w:t>
      </w:r>
      <w:r w:rsidRPr="00D33657">
        <w:rPr>
          <w:rtl/>
        </w:rPr>
        <w:t xml:space="preserve"> </w:t>
      </w:r>
      <w:r w:rsidRPr="00D33657">
        <w:rPr>
          <w:rtl/>
          <w:lang w:bidi="ar-JO"/>
        </w:rPr>
        <w:t>من</w:t>
      </w:r>
      <w:r w:rsidRPr="00D33657">
        <w:rPr>
          <w:rtl/>
        </w:rPr>
        <w:t xml:space="preserve"> </w:t>
      </w:r>
      <w:r w:rsidRPr="00D33657">
        <w:rPr>
          <w:rtl/>
          <w:lang w:bidi="ar-JO"/>
        </w:rPr>
        <w:t>الحصول</w:t>
      </w:r>
      <w:r w:rsidRPr="00D33657">
        <w:rPr>
          <w:rtl/>
        </w:rPr>
        <w:t xml:space="preserve"> </w:t>
      </w:r>
      <w:r w:rsidRPr="00D33657">
        <w:rPr>
          <w:rtl/>
          <w:lang w:bidi="ar-JO"/>
        </w:rPr>
        <w:t>على</w:t>
      </w:r>
      <w:r w:rsidRPr="00D33657">
        <w:rPr>
          <w:rtl/>
        </w:rPr>
        <w:t xml:space="preserve"> </w:t>
      </w:r>
      <w:r w:rsidRPr="00D33657">
        <w:rPr>
          <w:rtl/>
          <w:lang w:bidi="ar-JO"/>
        </w:rPr>
        <w:t>جميع</w:t>
      </w:r>
      <w:r w:rsidRPr="00D33657">
        <w:rPr>
          <w:rtl/>
        </w:rPr>
        <w:t xml:space="preserve"> </w:t>
      </w:r>
      <w:r w:rsidRPr="00D33657">
        <w:rPr>
          <w:rtl/>
          <w:lang w:bidi="ar-JO"/>
        </w:rPr>
        <w:t>شهادات</w:t>
      </w:r>
      <w:r w:rsidRPr="00D33657">
        <w:rPr>
          <w:rtl/>
        </w:rPr>
        <w:t xml:space="preserve"> </w:t>
      </w:r>
      <w:r w:rsidRPr="00D33657">
        <w:rPr>
          <w:rtl/>
          <w:lang w:bidi="ar-JO"/>
        </w:rPr>
        <w:t>السلامة</w:t>
      </w:r>
      <w:r w:rsidRPr="00D33657">
        <w:rPr>
          <w:rtl/>
        </w:rPr>
        <w:t xml:space="preserve"> </w:t>
      </w:r>
      <w:r w:rsidRPr="00D33657">
        <w:rPr>
          <w:rtl/>
          <w:lang w:bidi="ar-JO"/>
        </w:rPr>
        <w:t>المهنية</w:t>
      </w:r>
      <w:r w:rsidRPr="00D33657">
        <w:rPr>
          <w:rtl/>
        </w:rPr>
        <w:t xml:space="preserve"> </w:t>
      </w:r>
      <w:r w:rsidRPr="00D33657">
        <w:rPr>
          <w:rtl/>
          <w:lang w:bidi="ar-JO"/>
        </w:rPr>
        <w:t>وفقًا</w:t>
      </w:r>
      <w:r w:rsidRPr="00D33657">
        <w:rPr>
          <w:rtl/>
        </w:rPr>
        <w:t xml:space="preserve"> </w:t>
      </w:r>
      <w:r w:rsidRPr="00D33657">
        <w:rPr>
          <w:rtl/>
          <w:lang w:bidi="ar-JO"/>
        </w:rPr>
        <w:t>لإرشادات</w:t>
      </w:r>
      <w:r w:rsidRPr="00D33657">
        <w:rPr>
          <w:rtl/>
        </w:rPr>
        <w:t xml:space="preserve"> </w:t>
      </w:r>
      <w:r w:rsidRPr="00D33657">
        <w:rPr>
          <w:rtl/>
          <w:lang w:bidi="ar-JO"/>
        </w:rPr>
        <w:t>وزارة</w:t>
      </w:r>
      <w:r w:rsidRPr="00D33657">
        <w:rPr>
          <w:rtl/>
        </w:rPr>
        <w:t xml:space="preserve"> </w:t>
      </w:r>
      <w:r w:rsidRPr="00D33657">
        <w:rPr>
          <w:rtl/>
          <w:lang w:bidi="ar-JO"/>
        </w:rPr>
        <w:t>التربية</w:t>
      </w:r>
      <w:r w:rsidRPr="00D33657">
        <w:rPr>
          <w:rtl/>
        </w:rPr>
        <w:t xml:space="preserve"> </w:t>
      </w:r>
      <w:r w:rsidRPr="00D33657">
        <w:rPr>
          <w:rtl/>
          <w:lang w:bidi="ar-JO"/>
        </w:rPr>
        <w:t>والتعليم</w:t>
      </w:r>
      <w:r w:rsidRPr="00D33657">
        <w:rPr>
          <w:rtl/>
        </w:rPr>
        <w:t xml:space="preserve">. </w:t>
      </w:r>
    </w:p>
    <w:p w:rsidR="00696D27" w:rsidRPr="00D33657" w:rsidP="00696D27" w14:paraId="7C22701E" w14:textId="77777777">
      <w:pPr>
        <w:pStyle w:val="7190"/>
        <w:ind w:left="397"/>
        <w:rPr>
          <w:bCs/>
          <w:rtl/>
          <w:lang w:val="ar"/>
        </w:rPr>
      </w:pPr>
      <w:r w:rsidRPr="00D33657">
        <w:rPr>
          <w:rFonts w:hint="cs"/>
          <w:rtl/>
          <w:lang w:bidi="ar-JO"/>
        </w:rPr>
        <w:t>متابعة</w:t>
      </w:r>
      <w:r w:rsidRPr="00D33657">
        <w:rPr>
          <w:rFonts w:hint="cs"/>
          <w:rtl/>
        </w:rPr>
        <w:t xml:space="preserve"> </w:t>
      </w:r>
      <w:r w:rsidRPr="00D33657">
        <w:rPr>
          <w:rFonts w:hint="cs"/>
          <w:rtl/>
          <w:lang w:bidi="ar-JO"/>
        </w:rPr>
        <w:t>تصحيح</w:t>
      </w:r>
      <w:r w:rsidRPr="00D33657">
        <w:rPr>
          <w:rFonts w:hint="cs"/>
          <w:rtl/>
        </w:rPr>
        <w:t xml:space="preserve"> </w:t>
      </w:r>
      <w:r w:rsidRPr="00D33657">
        <w:rPr>
          <w:rFonts w:hint="cs"/>
          <w:rtl/>
          <w:lang w:bidi="ar-JO"/>
        </w:rPr>
        <w:t>أوجه</w:t>
      </w:r>
      <w:r w:rsidRPr="00D33657">
        <w:rPr>
          <w:rFonts w:hint="cs"/>
          <w:rtl/>
        </w:rPr>
        <w:t xml:space="preserve"> </w:t>
      </w:r>
      <w:r w:rsidRPr="00D33657">
        <w:rPr>
          <w:rFonts w:hint="cs"/>
          <w:rtl/>
          <w:lang w:bidi="ar-JO"/>
        </w:rPr>
        <w:t>القصور</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تم</w:t>
      </w:r>
      <w:r w:rsidRPr="00D33657">
        <w:rPr>
          <w:rFonts w:hint="cs"/>
          <w:rtl/>
        </w:rPr>
        <w:t xml:space="preserve"> </w:t>
      </w:r>
      <w:r w:rsidRPr="00D33657">
        <w:rPr>
          <w:rFonts w:hint="cs"/>
          <w:rtl/>
          <w:lang w:bidi="ar-JO"/>
        </w:rPr>
        <w:t>الكشف</w:t>
      </w:r>
      <w:r w:rsidRPr="00D33657">
        <w:rPr>
          <w:rFonts w:hint="cs"/>
          <w:rtl/>
        </w:rPr>
        <w:t xml:space="preserve"> </w:t>
      </w:r>
      <w:r w:rsidRPr="00D33657">
        <w:rPr>
          <w:rFonts w:hint="cs"/>
          <w:rtl/>
          <w:lang w:bidi="ar-JO"/>
        </w:rPr>
        <w:t>عنها</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التقارير</w:t>
      </w:r>
      <w:r w:rsidRPr="00D33657">
        <w:rPr>
          <w:rFonts w:hint="cs"/>
          <w:rtl/>
        </w:rPr>
        <w:t xml:space="preserve"> </w:t>
      </w:r>
      <w:r w:rsidRPr="00D33657">
        <w:rPr>
          <w:rFonts w:hint="cs"/>
          <w:rtl/>
          <w:lang w:bidi="ar-JO"/>
        </w:rPr>
        <w:t>السابقة</w:t>
      </w:r>
      <w:r w:rsidRPr="00D33657">
        <w:rPr>
          <w:rFonts w:hint="cs"/>
          <w:rtl/>
        </w:rPr>
        <w:t xml:space="preserve"> </w:t>
      </w:r>
      <w:r w:rsidRPr="00D33657">
        <w:rPr>
          <w:rFonts w:hint="cs"/>
          <w:rtl/>
          <w:lang w:bidi="ar-JO"/>
        </w:rPr>
        <w:t>هي</w:t>
      </w:r>
      <w:r w:rsidRPr="00D33657">
        <w:rPr>
          <w:rFonts w:hint="cs"/>
          <w:rtl/>
        </w:rPr>
        <w:t xml:space="preserve"> </w:t>
      </w:r>
      <w:r w:rsidRPr="00D33657">
        <w:rPr>
          <w:rFonts w:hint="cs"/>
          <w:rtl/>
          <w:lang w:bidi="ar-JO"/>
        </w:rPr>
        <w:t>أداة</w:t>
      </w:r>
      <w:r w:rsidRPr="00D33657">
        <w:rPr>
          <w:rFonts w:hint="cs"/>
          <w:rtl/>
        </w:rPr>
        <w:t xml:space="preserve"> </w:t>
      </w:r>
      <w:r w:rsidRPr="00D33657">
        <w:rPr>
          <w:rFonts w:hint="cs"/>
          <w:rtl/>
          <w:lang w:bidi="ar-JO"/>
        </w:rPr>
        <w:t>هامة</w:t>
      </w:r>
      <w:r w:rsidRPr="00D33657">
        <w:rPr>
          <w:rFonts w:hint="cs"/>
          <w:rtl/>
        </w:rPr>
        <w:t xml:space="preserve"> </w:t>
      </w:r>
      <w:r w:rsidRPr="00D33657">
        <w:rPr>
          <w:rFonts w:hint="cs"/>
          <w:rtl/>
          <w:lang w:bidi="ar-JO"/>
        </w:rPr>
        <w:t>تهدف</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ضمان</w:t>
      </w:r>
      <w:r w:rsidRPr="00D33657">
        <w:rPr>
          <w:rFonts w:hint="cs"/>
          <w:rtl/>
        </w:rPr>
        <w:t xml:space="preserve"> </w:t>
      </w:r>
      <w:r w:rsidRPr="00D33657">
        <w:rPr>
          <w:rFonts w:hint="cs"/>
          <w:rtl/>
          <w:lang w:bidi="ar-JO"/>
        </w:rPr>
        <w:t>قيام</w:t>
      </w:r>
      <w:r w:rsidRPr="00D33657">
        <w:rPr>
          <w:rFonts w:hint="cs"/>
          <w:rtl/>
        </w:rPr>
        <w:t xml:space="preserve"> </w:t>
      </w:r>
      <w:r w:rsidRPr="00D33657">
        <w:rPr>
          <w:rFonts w:hint="cs"/>
          <w:rtl/>
          <w:lang w:bidi="ar-JO"/>
        </w:rPr>
        <w:t>الهيئات</w:t>
      </w:r>
      <w:r w:rsidRPr="00D33657">
        <w:rPr>
          <w:rFonts w:hint="cs"/>
          <w:rtl/>
        </w:rPr>
        <w:t xml:space="preserve"> </w:t>
      </w:r>
      <w:r w:rsidRPr="00D33657">
        <w:rPr>
          <w:rFonts w:hint="cs"/>
          <w:rtl/>
          <w:lang w:bidi="ar-JO"/>
        </w:rPr>
        <w:t>الخاضعة</w:t>
      </w:r>
      <w:r w:rsidRPr="00D33657">
        <w:rPr>
          <w:rFonts w:hint="cs"/>
          <w:rtl/>
        </w:rPr>
        <w:t xml:space="preserve"> </w:t>
      </w:r>
      <w:r w:rsidRPr="00D33657">
        <w:rPr>
          <w:rFonts w:hint="cs"/>
          <w:rtl/>
          <w:lang w:bidi="ar-JO"/>
        </w:rPr>
        <w:t>للمراقبة</w:t>
      </w:r>
      <w:r w:rsidRPr="00D33657">
        <w:rPr>
          <w:rFonts w:hint="cs"/>
          <w:rtl/>
        </w:rPr>
        <w:t xml:space="preserve"> </w:t>
      </w:r>
      <w:r w:rsidRPr="00D33657">
        <w:rPr>
          <w:rFonts w:hint="cs"/>
          <w:rtl/>
          <w:lang w:bidi="ar-JO"/>
        </w:rPr>
        <w:t>بتصحيح</w:t>
      </w:r>
      <w:r w:rsidRPr="00D33657">
        <w:rPr>
          <w:rFonts w:hint="cs"/>
          <w:rtl/>
        </w:rPr>
        <w:t xml:space="preserve"> </w:t>
      </w:r>
      <w:r w:rsidRPr="00D33657">
        <w:rPr>
          <w:rFonts w:hint="cs"/>
          <w:rtl/>
          <w:lang w:bidi="ar-JO"/>
        </w:rPr>
        <w:t>ما</w:t>
      </w:r>
      <w:r w:rsidRPr="00D33657">
        <w:rPr>
          <w:rFonts w:hint="cs"/>
          <w:rtl/>
        </w:rPr>
        <w:t xml:space="preserve"> </w:t>
      </w:r>
      <w:r w:rsidRPr="00D33657">
        <w:rPr>
          <w:rFonts w:hint="cs"/>
          <w:rtl/>
          <w:lang w:bidi="ar-JO"/>
        </w:rPr>
        <w:t>هو</w:t>
      </w:r>
      <w:r w:rsidRPr="00D33657">
        <w:rPr>
          <w:rFonts w:hint="cs"/>
          <w:rtl/>
        </w:rPr>
        <w:t xml:space="preserve"> </w:t>
      </w:r>
      <w:r w:rsidRPr="00D33657">
        <w:rPr>
          <w:rFonts w:hint="cs"/>
          <w:rtl/>
          <w:lang w:bidi="ar-JO"/>
        </w:rPr>
        <w:t>مطلوب</w:t>
      </w:r>
      <w:r w:rsidRPr="00D33657">
        <w:rPr>
          <w:rFonts w:hint="cs"/>
          <w:rtl/>
        </w:rPr>
        <w:t xml:space="preserve"> </w:t>
      </w:r>
      <w:r w:rsidRPr="00D33657">
        <w:rPr>
          <w:rFonts w:hint="cs"/>
          <w:rtl/>
          <w:lang w:bidi="ar-JO"/>
        </w:rPr>
        <w:t>بالفعل</w:t>
      </w:r>
      <w:r w:rsidRPr="00D33657">
        <w:rPr>
          <w:rFonts w:hint="cs"/>
          <w:rtl/>
        </w:rPr>
        <w:t xml:space="preserve">. </w:t>
      </w:r>
      <w:r w:rsidRPr="00D33657">
        <w:rPr>
          <w:rFonts w:hint="cs"/>
          <w:rtl/>
          <w:lang w:bidi="ar-JO"/>
        </w:rPr>
        <w:t>ولذلك</w:t>
      </w:r>
      <w:r w:rsidRPr="00D33657">
        <w:rPr>
          <w:rFonts w:hint="cs"/>
          <w:rtl/>
        </w:rPr>
        <w:t xml:space="preserve"> </w:t>
      </w:r>
      <w:r w:rsidRPr="00D33657">
        <w:rPr>
          <w:rFonts w:hint="cs"/>
          <w:rtl/>
          <w:lang w:bidi="ar-JO"/>
        </w:rPr>
        <w:t>عملنا</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توسيع</w:t>
      </w:r>
      <w:r w:rsidRPr="00D33657">
        <w:rPr>
          <w:rFonts w:hint="cs"/>
          <w:rtl/>
        </w:rPr>
        <w:t xml:space="preserve"> </w:t>
      </w:r>
      <w:r w:rsidRPr="00D33657">
        <w:rPr>
          <w:rFonts w:hint="cs"/>
          <w:rtl/>
          <w:lang w:bidi="ar-JO"/>
        </w:rPr>
        <w:t>نطاق</w:t>
      </w:r>
      <w:r w:rsidRPr="00D33657">
        <w:rPr>
          <w:rFonts w:hint="cs"/>
          <w:rtl/>
        </w:rPr>
        <w:t xml:space="preserve"> </w:t>
      </w:r>
      <w:r w:rsidRPr="00D33657">
        <w:rPr>
          <w:rFonts w:hint="cs"/>
          <w:rtl/>
          <w:lang w:bidi="ar-JO"/>
        </w:rPr>
        <w:t>عمليات</w:t>
      </w:r>
      <w:r w:rsidRPr="00D33657">
        <w:rPr>
          <w:rFonts w:hint="cs"/>
          <w:rtl/>
        </w:rPr>
        <w:t xml:space="preserve"> </w:t>
      </w:r>
      <w:r w:rsidRPr="00D33657">
        <w:rPr>
          <w:rFonts w:hint="cs"/>
          <w:rtl/>
          <w:lang w:bidi="ar-JO"/>
        </w:rPr>
        <w:t>مراقبة</w:t>
      </w:r>
      <w:r w:rsidRPr="00D33657">
        <w:rPr>
          <w:rFonts w:hint="cs"/>
          <w:rtl/>
        </w:rPr>
        <w:t xml:space="preserve"> </w:t>
      </w:r>
      <w:r w:rsidRPr="00D33657">
        <w:rPr>
          <w:rFonts w:hint="cs"/>
          <w:rtl/>
          <w:lang w:bidi="ar-JO"/>
        </w:rPr>
        <w:t>المتابعة</w:t>
      </w:r>
      <w:r w:rsidRPr="00D33657">
        <w:rPr>
          <w:rFonts w:hint="cs"/>
          <w:rtl/>
        </w:rPr>
        <w:t xml:space="preserve"> </w:t>
      </w:r>
      <w:r w:rsidRPr="00D33657">
        <w:rPr>
          <w:rFonts w:hint="cs"/>
          <w:rtl/>
          <w:lang w:bidi="ar-JO"/>
        </w:rPr>
        <w:t>وتحسين</w:t>
      </w:r>
      <w:r w:rsidRPr="00D33657">
        <w:rPr>
          <w:rFonts w:hint="cs"/>
          <w:rtl/>
        </w:rPr>
        <w:t xml:space="preserve"> </w:t>
      </w:r>
      <w:r w:rsidRPr="00D33657">
        <w:rPr>
          <w:rFonts w:hint="cs"/>
          <w:rtl/>
          <w:lang w:bidi="ar-JO"/>
        </w:rPr>
        <w:t>طريقة</w:t>
      </w:r>
      <w:r w:rsidRPr="00D33657">
        <w:rPr>
          <w:rFonts w:hint="cs"/>
          <w:rtl/>
        </w:rPr>
        <w:t xml:space="preserve"> </w:t>
      </w:r>
      <w:r w:rsidRPr="00D33657">
        <w:rPr>
          <w:rFonts w:hint="cs"/>
          <w:rtl/>
          <w:lang w:bidi="ar-JO"/>
        </w:rPr>
        <w:t>تنفيذها</w:t>
      </w:r>
      <w:r w:rsidRPr="00D33657">
        <w:rPr>
          <w:rFonts w:hint="cs"/>
          <w:rtl/>
        </w:rPr>
        <w:t xml:space="preserve">. </w:t>
      </w:r>
      <w:r w:rsidRPr="00D33657">
        <w:rPr>
          <w:rFonts w:hint="cs"/>
          <w:rtl/>
          <w:lang w:bidi="ar-JO"/>
        </w:rPr>
        <w:t>يحتوي</w:t>
      </w:r>
      <w:r w:rsidRPr="00D33657">
        <w:rPr>
          <w:rFonts w:hint="cs"/>
          <w:rtl/>
        </w:rPr>
        <w:t xml:space="preserve"> </w:t>
      </w:r>
      <w:r w:rsidRPr="00D33657">
        <w:rPr>
          <w:rFonts w:hint="cs"/>
          <w:rtl/>
          <w:lang w:bidi="ar-JO"/>
        </w:rPr>
        <w:t>هذا</w:t>
      </w:r>
      <w:r w:rsidRPr="00D33657">
        <w:rPr>
          <w:rFonts w:hint="cs"/>
          <w:rtl/>
        </w:rPr>
        <w:t xml:space="preserve"> </w:t>
      </w:r>
      <w:r w:rsidRPr="00D33657">
        <w:rPr>
          <w:rFonts w:hint="cs"/>
          <w:rtl/>
          <w:lang w:bidi="ar-JO"/>
        </w:rPr>
        <w:t>التقرير</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نتائج</w:t>
      </w:r>
      <w:r w:rsidRPr="00D33657">
        <w:rPr>
          <w:rFonts w:hint="cs"/>
          <w:rtl/>
        </w:rPr>
        <w:t xml:space="preserve"> </w:t>
      </w:r>
      <w:r w:rsidRPr="00D33657">
        <w:rPr>
          <w:rFonts w:hint="cs"/>
          <w:rtl/>
          <w:lang w:bidi="ar-JO"/>
        </w:rPr>
        <w:t>أربع</w:t>
      </w:r>
      <w:r w:rsidRPr="00D33657">
        <w:rPr>
          <w:rFonts w:hint="cs"/>
          <w:rtl/>
        </w:rPr>
        <w:t xml:space="preserve"> </w:t>
      </w:r>
      <w:r w:rsidRPr="00D33657">
        <w:rPr>
          <w:rFonts w:hint="cs"/>
          <w:rtl/>
          <w:lang w:bidi="ar-JO"/>
        </w:rPr>
        <w:t>عمليات</w:t>
      </w:r>
      <w:r w:rsidRPr="00D33657">
        <w:rPr>
          <w:rFonts w:hint="cs"/>
          <w:rtl/>
        </w:rPr>
        <w:t xml:space="preserve"> </w:t>
      </w:r>
      <w:r w:rsidRPr="00D33657">
        <w:rPr>
          <w:rFonts w:hint="cs"/>
          <w:rtl/>
          <w:lang w:bidi="ar-JO"/>
        </w:rPr>
        <w:t>مراقبة</w:t>
      </w:r>
      <w:r w:rsidRPr="00D33657">
        <w:rPr>
          <w:rFonts w:hint="cs"/>
          <w:rtl/>
        </w:rPr>
        <w:t xml:space="preserve"> </w:t>
      </w:r>
      <w:r w:rsidRPr="00D33657">
        <w:rPr>
          <w:rFonts w:hint="cs"/>
          <w:rtl/>
          <w:lang w:bidi="ar-JO"/>
        </w:rPr>
        <w:t>للمتابعة</w:t>
      </w:r>
      <w:r w:rsidRPr="00D33657">
        <w:rPr>
          <w:rFonts w:hint="cs"/>
          <w:rtl/>
        </w:rPr>
        <w:t>:</w:t>
      </w:r>
      <w:r w:rsidRPr="00053CEB">
        <w:rPr>
          <w:rFonts w:hint="cs"/>
          <w:b/>
          <w:rtl/>
          <w:lang w:val="ar"/>
        </w:rPr>
        <w:t xml:space="preserve"> </w:t>
      </w:r>
      <w:r w:rsidRPr="001F3568">
        <w:rPr>
          <w:rFonts w:hint="cs"/>
          <w:bCs/>
          <w:rtl/>
          <w:lang w:val="ar" w:bidi="ar-JO"/>
        </w:rPr>
        <w:t>مراقب</w:t>
      </w:r>
      <w:r w:rsidRPr="001F3568">
        <w:rPr>
          <w:rFonts w:hint="cs"/>
          <w:bCs/>
          <w:rtl/>
          <w:lang w:val="ar"/>
        </w:rPr>
        <w:t xml:space="preserve"> </w:t>
      </w:r>
      <w:r w:rsidRPr="001F3568">
        <w:rPr>
          <w:rFonts w:hint="cs"/>
          <w:bCs/>
          <w:rtl/>
          <w:lang w:val="ar" w:bidi="ar-JO"/>
        </w:rPr>
        <w:t>السلطة</w:t>
      </w:r>
      <w:r w:rsidRPr="001F3568">
        <w:rPr>
          <w:rFonts w:hint="cs"/>
          <w:bCs/>
          <w:rtl/>
          <w:lang w:val="ar"/>
        </w:rPr>
        <w:t xml:space="preserve"> </w:t>
      </w:r>
      <w:r w:rsidRPr="001F3568">
        <w:rPr>
          <w:rFonts w:hint="cs"/>
          <w:bCs/>
          <w:rtl/>
          <w:lang w:val="ar" w:bidi="ar-JO"/>
        </w:rPr>
        <w:t>المحلية</w:t>
      </w:r>
      <w:r w:rsidRPr="001F3568">
        <w:rPr>
          <w:rFonts w:hint="cs"/>
          <w:bCs/>
          <w:rtl/>
          <w:lang w:val="ar"/>
        </w:rPr>
        <w:t xml:space="preserve"> - </w:t>
      </w:r>
      <w:r w:rsidRPr="001F3568">
        <w:rPr>
          <w:rFonts w:hint="cs"/>
          <w:bCs/>
          <w:rtl/>
          <w:lang w:val="ar" w:bidi="ar-JO"/>
        </w:rPr>
        <w:t>دوره</w:t>
      </w:r>
      <w:r w:rsidRPr="001F3568">
        <w:rPr>
          <w:rFonts w:hint="cs"/>
          <w:bCs/>
          <w:rtl/>
          <w:lang w:val="ar"/>
        </w:rPr>
        <w:t xml:space="preserve"> </w:t>
      </w:r>
      <w:r w:rsidRPr="001F3568">
        <w:rPr>
          <w:rFonts w:hint="cs"/>
          <w:bCs/>
          <w:rtl/>
          <w:lang w:val="ar" w:bidi="ar-JO"/>
        </w:rPr>
        <w:t>وسلوكه؛</w:t>
      </w:r>
      <w:r w:rsidRPr="001F3568">
        <w:rPr>
          <w:rFonts w:hint="cs"/>
          <w:bCs/>
          <w:rtl/>
          <w:lang w:val="ar"/>
        </w:rPr>
        <w:t xml:space="preserve"> </w:t>
      </w:r>
      <w:r w:rsidRPr="001F3568">
        <w:rPr>
          <w:rFonts w:hint="cs"/>
          <w:bCs/>
          <w:rtl/>
          <w:lang w:val="ar" w:bidi="ar-JO"/>
        </w:rPr>
        <w:t>تعامل</w:t>
      </w:r>
      <w:r w:rsidRPr="001F3568">
        <w:rPr>
          <w:rFonts w:hint="cs"/>
          <w:bCs/>
          <w:rtl/>
          <w:lang w:val="ar"/>
        </w:rPr>
        <w:t xml:space="preserve"> </w:t>
      </w:r>
      <w:r w:rsidRPr="001F3568">
        <w:rPr>
          <w:rFonts w:hint="cs"/>
          <w:bCs/>
          <w:rtl/>
          <w:lang w:val="ar" w:bidi="ar-JO"/>
        </w:rPr>
        <w:t>السلطات</w:t>
      </w:r>
      <w:r w:rsidRPr="001F3568">
        <w:rPr>
          <w:rFonts w:hint="cs"/>
          <w:bCs/>
          <w:rtl/>
          <w:lang w:val="ar"/>
        </w:rPr>
        <w:t xml:space="preserve"> </w:t>
      </w:r>
      <w:r w:rsidRPr="001F3568">
        <w:rPr>
          <w:rFonts w:hint="cs"/>
          <w:bCs/>
          <w:rtl/>
          <w:lang w:val="ar" w:bidi="ar-JO"/>
        </w:rPr>
        <w:t>المحلية</w:t>
      </w:r>
      <w:r w:rsidRPr="001F3568">
        <w:rPr>
          <w:rFonts w:hint="cs"/>
          <w:bCs/>
          <w:rtl/>
          <w:lang w:val="ar"/>
        </w:rPr>
        <w:t xml:space="preserve"> </w:t>
      </w:r>
      <w:r w:rsidRPr="001F3568">
        <w:rPr>
          <w:rFonts w:hint="cs"/>
          <w:bCs/>
          <w:rtl/>
          <w:lang w:val="ar" w:bidi="ar-JO"/>
        </w:rPr>
        <w:t>مع</w:t>
      </w:r>
      <w:r w:rsidRPr="001F3568">
        <w:rPr>
          <w:rFonts w:hint="cs"/>
          <w:bCs/>
          <w:rtl/>
          <w:lang w:val="ar"/>
        </w:rPr>
        <w:t xml:space="preserve"> </w:t>
      </w:r>
      <w:r w:rsidRPr="001F3568">
        <w:rPr>
          <w:rFonts w:hint="cs"/>
          <w:bCs/>
          <w:rtl/>
          <w:lang w:val="ar" w:bidi="ar-JO"/>
        </w:rPr>
        <w:t>حالات</w:t>
      </w:r>
      <w:r w:rsidRPr="001F3568">
        <w:rPr>
          <w:rFonts w:hint="cs"/>
          <w:bCs/>
          <w:rtl/>
          <w:lang w:val="ar"/>
        </w:rPr>
        <w:t xml:space="preserve"> </w:t>
      </w:r>
      <w:r w:rsidRPr="001F3568">
        <w:rPr>
          <w:rFonts w:hint="cs"/>
          <w:bCs/>
          <w:rtl/>
          <w:lang w:val="ar" w:bidi="ar-JO"/>
        </w:rPr>
        <w:t>التحرش</w:t>
      </w:r>
      <w:r w:rsidRPr="001F3568">
        <w:rPr>
          <w:rFonts w:hint="cs"/>
          <w:bCs/>
          <w:rtl/>
          <w:lang w:val="ar"/>
        </w:rPr>
        <w:t xml:space="preserve"> </w:t>
      </w:r>
      <w:r w:rsidRPr="001F3568">
        <w:rPr>
          <w:rFonts w:hint="cs"/>
          <w:bCs/>
          <w:rtl/>
          <w:lang w:val="ar" w:bidi="ar-JO"/>
        </w:rPr>
        <w:t>الجنسي</w:t>
      </w:r>
      <w:r w:rsidRPr="001F3568">
        <w:rPr>
          <w:rFonts w:hint="cs"/>
          <w:bCs/>
          <w:rtl/>
          <w:lang w:val="ar"/>
        </w:rPr>
        <w:t xml:space="preserve"> </w:t>
      </w:r>
      <w:r w:rsidRPr="001F3568">
        <w:rPr>
          <w:rFonts w:hint="cs"/>
          <w:bCs/>
          <w:rtl/>
          <w:lang w:val="ar" w:bidi="ar-JO"/>
        </w:rPr>
        <w:t>ومنعها؛</w:t>
      </w:r>
      <w:r w:rsidRPr="001F3568">
        <w:rPr>
          <w:rFonts w:hint="cs"/>
          <w:bCs/>
          <w:rtl/>
          <w:lang w:val="ar"/>
        </w:rPr>
        <w:t xml:space="preserve"> </w:t>
      </w:r>
      <w:r w:rsidRPr="001F3568">
        <w:rPr>
          <w:rFonts w:hint="cs"/>
          <w:bCs/>
          <w:rtl/>
          <w:lang w:val="ar" w:bidi="ar-JO"/>
        </w:rPr>
        <w:t>تشغيل</w:t>
      </w:r>
      <w:r w:rsidRPr="001F3568">
        <w:rPr>
          <w:rFonts w:hint="cs"/>
          <w:bCs/>
          <w:rtl/>
          <w:lang w:val="ar"/>
        </w:rPr>
        <w:t xml:space="preserve"> </w:t>
      </w:r>
      <w:r w:rsidRPr="001F3568">
        <w:rPr>
          <w:rFonts w:hint="cs"/>
          <w:bCs/>
          <w:rtl/>
          <w:lang w:val="ar" w:bidi="ar-JO"/>
        </w:rPr>
        <w:t>استشاريين</w:t>
      </w:r>
      <w:r w:rsidRPr="001F3568">
        <w:rPr>
          <w:rFonts w:hint="cs"/>
          <w:bCs/>
          <w:rtl/>
          <w:lang w:val="ar"/>
        </w:rPr>
        <w:t xml:space="preserve"> </w:t>
      </w:r>
      <w:r w:rsidRPr="001F3568">
        <w:rPr>
          <w:rFonts w:hint="cs"/>
          <w:bCs/>
          <w:rtl/>
          <w:lang w:val="ar" w:bidi="ar-JO"/>
        </w:rPr>
        <w:t>خارجيين</w:t>
      </w:r>
      <w:r w:rsidRPr="001F3568">
        <w:rPr>
          <w:rFonts w:hint="cs"/>
          <w:bCs/>
          <w:rtl/>
          <w:lang w:val="ar"/>
        </w:rPr>
        <w:t xml:space="preserve"> </w:t>
      </w:r>
      <w:r w:rsidRPr="001F3568">
        <w:rPr>
          <w:rFonts w:hint="cs"/>
          <w:bCs/>
          <w:rtl/>
          <w:lang w:val="ar" w:bidi="ar-JO"/>
        </w:rPr>
        <w:t>من</w:t>
      </w:r>
      <w:r w:rsidRPr="001F3568">
        <w:rPr>
          <w:rFonts w:hint="cs"/>
          <w:bCs/>
          <w:rtl/>
          <w:lang w:val="ar"/>
        </w:rPr>
        <w:t xml:space="preserve"> </w:t>
      </w:r>
      <w:r w:rsidRPr="001F3568">
        <w:rPr>
          <w:rFonts w:hint="cs"/>
          <w:bCs/>
          <w:rtl/>
          <w:lang w:val="ar" w:bidi="ar-JO"/>
        </w:rPr>
        <w:t>قبل</w:t>
      </w:r>
      <w:r w:rsidRPr="001F3568">
        <w:rPr>
          <w:rFonts w:hint="cs"/>
          <w:bCs/>
          <w:rtl/>
          <w:lang w:val="ar"/>
        </w:rPr>
        <w:t xml:space="preserve"> </w:t>
      </w:r>
      <w:r w:rsidRPr="001F3568">
        <w:rPr>
          <w:rFonts w:hint="cs"/>
          <w:bCs/>
          <w:rtl/>
          <w:lang w:val="ar" w:bidi="ar-JO"/>
        </w:rPr>
        <w:t>السلطات</w:t>
      </w:r>
      <w:r w:rsidRPr="001F3568">
        <w:rPr>
          <w:rFonts w:hint="cs"/>
          <w:bCs/>
          <w:rtl/>
          <w:lang w:val="ar"/>
        </w:rPr>
        <w:t xml:space="preserve"> </w:t>
      </w:r>
      <w:r w:rsidRPr="001F3568">
        <w:rPr>
          <w:rFonts w:hint="cs"/>
          <w:bCs/>
          <w:rtl/>
          <w:lang w:val="ar" w:bidi="ar-JO"/>
        </w:rPr>
        <w:t>المحلية؛</w:t>
      </w:r>
      <w:r w:rsidRPr="001F3568">
        <w:rPr>
          <w:rFonts w:hint="cs"/>
          <w:bCs/>
          <w:rtl/>
          <w:lang w:val="ar"/>
        </w:rPr>
        <w:t xml:space="preserve"> </w:t>
      </w:r>
      <w:r w:rsidRPr="001F3568">
        <w:rPr>
          <w:rFonts w:hint="cs"/>
          <w:bCs/>
          <w:rtl/>
          <w:lang w:val="ar" w:bidi="ar-JO"/>
        </w:rPr>
        <w:t>إجراءات</w:t>
      </w:r>
      <w:r w:rsidRPr="001F3568">
        <w:rPr>
          <w:rFonts w:hint="cs"/>
          <w:bCs/>
          <w:rtl/>
          <w:lang w:val="ar"/>
        </w:rPr>
        <w:t xml:space="preserve"> </w:t>
      </w:r>
      <w:r w:rsidRPr="001F3568">
        <w:rPr>
          <w:rFonts w:hint="cs"/>
          <w:bCs/>
          <w:rtl/>
          <w:lang w:val="ar" w:bidi="ar-JO"/>
        </w:rPr>
        <w:t>لزيادة</w:t>
      </w:r>
      <w:r w:rsidRPr="001F3568">
        <w:rPr>
          <w:rFonts w:hint="cs"/>
          <w:bCs/>
          <w:rtl/>
          <w:lang w:val="ar"/>
        </w:rPr>
        <w:t xml:space="preserve"> </w:t>
      </w:r>
      <w:r w:rsidRPr="001F3568">
        <w:rPr>
          <w:rFonts w:hint="cs"/>
          <w:bCs/>
          <w:rtl/>
          <w:lang w:val="ar" w:bidi="ar-JO"/>
        </w:rPr>
        <w:t>السلامة</w:t>
      </w:r>
      <w:r w:rsidRPr="001F3568">
        <w:rPr>
          <w:rFonts w:hint="cs"/>
          <w:bCs/>
          <w:rtl/>
          <w:lang w:val="ar"/>
        </w:rPr>
        <w:t xml:space="preserve"> </w:t>
      </w:r>
      <w:r w:rsidRPr="001F3568">
        <w:rPr>
          <w:rFonts w:hint="cs"/>
          <w:bCs/>
          <w:rtl/>
          <w:lang w:val="ar" w:bidi="ar-JO"/>
        </w:rPr>
        <w:t>على</w:t>
      </w:r>
      <w:r w:rsidRPr="001F3568">
        <w:rPr>
          <w:rFonts w:hint="cs"/>
          <w:bCs/>
          <w:rtl/>
          <w:lang w:val="ar"/>
        </w:rPr>
        <w:t xml:space="preserve"> </w:t>
      </w:r>
      <w:r w:rsidRPr="001F3568">
        <w:rPr>
          <w:rFonts w:hint="cs"/>
          <w:bCs/>
          <w:rtl/>
          <w:lang w:val="ar" w:bidi="ar-JO"/>
        </w:rPr>
        <w:t>الطرق</w:t>
      </w:r>
      <w:r w:rsidRPr="001F3568">
        <w:rPr>
          <w:rFonts w:hint="cs"/>
          <w:bCs/>
          <w:rtl/>
          <w:lang w:val="ar"/>
        </w:rPr>
        <w:t xml:space="preserve"> </w:t>
      </w:r>
      <w:r w:rsidRPr="001F3568">
        <w:rPr>
          <w:rFonts w:hint="cs"/>
          <w:bCs/>
          <w:rtl/>
          <w:lang w:val="ar" w:bidi="ar-JO"/>
        </w:rPr>
        <w:t>في</w:t>
      </w:r>
      <w:r w:rsidRPr="001F3568">
        <w:rPr>
          <w:rFonts w:hint="cs"/>
          <w:bCs/>
          <w:rtl/>
          <w:lang w:val="ar"/>
        </w:rPr>
        <w:t xml:space="preserve"> </w:t>
      </w:r>
      <w:r w:rsidRPr="001F3568">
        <w:rPr>
          <w:rFonts w:hint="cs"/>
          <w:bCs/>
          <w:rtl/>
          <w:lang w:val="ar" w:bidi="ar-JO"/>
        </w:rPr>
        <w:t>مناطق</w:t>
      </w:r>
      <w:r w:rsidRPr="001F3568">
        <w:rPr>
          <w:rFonts w:hint="cs"/>
          <w:bCs/>
          <w:rtl/>
          <w:lang w:val="ar"/>
        </w:rPr>
        <w:t xml:space="preserve"> </w:t>
      </w:r>
      <w:r w:rsidRPr="001F3568">
        <w:rPr>
          <w:rFonts w:hint="cs"/>
          <w:bCs/>
          <w:rtl/>
          <w:lang w:val="ar" w:bidi="ar-JO"/>
        </w:rPr>
        <w:t>السلطات</w:t>
      </w:r>
      <w:r w:rsidRPr="001F3568">
        <w:rPr>
          <w:rFonts w:hint="cs"/>
          <w:bCs/>
          <w:rtl/>
          <w:lang w:val="ar"/>
        </w:rPr>
        <w:t xml:space="preserve"> </w:t>
      </w:r>
      <w:r w:rsidRPr="001F3568">
        <w:rPr>
          <w:rFonts w:hint="cs"/>
          <w:bCs/>
          <w:rtl/>
          <w:lang w:val="ar" w:bidi="ar-JO"/>
        </w:rPr>
        <w:t>المحلية</w:t>
      </w:r>
      <w:r w:rsidRPr="001F3568">
        <w:rPr>
          <w:rFonts w:hint="cs"/>
          <w:bCs/>
          <w:rtl/>
          <w:lang w:val="ar"/>
        </w:rPr>
        <w:t xml:space="preserve"> </w:t>
      </w:r>
      <w:r w:rsidRPr="001F3568">
        <w:rPr>
          <w:rFonts w:hint="cs"/>
          <w:bCs/>
          <w:rtl/>
          <w:lang w:val="ar" w:bidi="ar-JO"/>
        </w:rPr>
        <w:t>في</w:t>
      </w:r>
      <w:r w:rsidRPr="001F3568">
        <w:rPr>
          <w:rFonts w:hint="cs"/>
          <w:bCs/>
          <w:rtl/>
          <w:lang w:val="ar"/>
        </w:rPr>
        <w:t xml:space="preserve"> </w:t>
      </w:r>
      <w:r w:rsidRPr="001F3568">
        <w:rPr>
          <w:rFonts w:hint="cs"/>
          <w:bCs/>
          <w:rtl/>
          <w:lang w:val="ar" w:bidi="ar-JO"/>
        </w:rPr>
        <w:t>المجتمع</w:t>
      </w:r>
      <w:r w:rsidRPr="001F3568">
        <w:rPr>
          <w:rFonts w:hint="cs"/>
          <w:bCs/>
          <w:rtl/>
          <w:lang w:val="ar"/>
        </w:rPr>
        <w:t xml:space="preserve"> </w:t>
      </w:r>
      <w:r w:rsidRPr="001F3568">
        <w:rPr>
          <w:rFonts w:hint="cs"/>
          <w:bCs/>
          <w:rtl/>
          <w:lang w:val="ar" w:bidi="ar-JO"/>
        </w:rPr>
        <w:t>العربي</w:t>
      </w:r>
      <w:r w:rsidRPr="001F3568">
        <w:rPr>
          <w:rFonts w:hint="cs"/>
          <w:bCs/>
          <w:rtl/>
          <w:lang w:val="ar"/>
        </w:rPr>
        <w:t>.</w:t>
      </w:r>
    </w:p>
    <w:p w:rsidR="00696D27" w:rsidRPr="00D33657" w:rsidP="00696D27" w14:paraId="50343565" w14:textId="77777777">
      <w:pPr>
        <w:pStyle w:val="7190"/>
        <w:rPr>
          <w:b/>
          <w:rtl/>
          <w:lang w:val="ar"/>
        </w:rPr>
      </w:pPr>
      <w:r w:rsidRPr="00053CEB">
        <w:rPr>
          <w:rFonts w:hint="cs"/>
          <w:b/>
          <w:rtl/>
          <w:lang w:val="ar" w:bidi="ar-JO"/>
        </w:rPr>
        <w:t>يغطي</w:t>
      </w:r>
      <w:r w:rsidRPr="00053CEB">
        <w:rPr>
          <w:rFonts w:hint="cs"/>
          <w:b/>
          <w:rtl/>
          <w:lang w:val="ar"/>
        </w:rPr>
        <w:t xml:space="preserve"> </w:t>
      </w:r>
      <w:r w:rsidRPr="00053CEB">
        <w:rPr>
          <w:rFonts w:hint="cs"/>
          <w:b/>
          <w:rtl/>
          <w:lang w:val="ar" w:bidi="ar-JO"/>
        </w:rPr>
        <w:t>التقرير</w:t>
      </w:r>
      <w:r w:rsidRPr="00053CEB">
        <w:rPr>
          <w:rFonts w:hint="cs"/>
          <w:b/>
          <w:rtl/>
          <w:lang w:val="ar"/>
        </w:rPr>
        <w:t xml:space="preserve"> </w:t>
      </w:r>
      <w:r w:rsidRPr="00053CEB">
        <w:rPr>
          <w:rFonts w:hint="cs"/>
          <w:b/>
          <w:rtl/>
          <w:lang w:val="ar" w:bidi="ar-JO"/>
        </w:rPr>
        <w:t>مجموعة</w:t>
      </w:r>
      <w:r w:rsidRPr="00053CEB">
        <w:rPr>
          <w:rFonts w:hint="cs"/>
          <w:b/>
          <w:rtl/>
          <w:lang w:val="ar"/>
        </w:rPr>
        <w:t xml:space="preserve"> </w:t>
      </w:r>
      <w:r w:rsidRPr="00053CEB">
        <w:rPr>
          <w:rFonts w:hint="cs"/>
          <w:b/>
          <w:rtl/>
          <w:lang w:val="ar" w:bidi="ar-JO"/>
        </w:rPr>
        <w:t>متنوعة</w:t>
      </w:r>
      <w:r w:rsidRPr="00053CEB">
        <w:rPr>
          <w:rFonts w:hint="cs"/>
          <w:b/>
          <w:rtl/>
          <w:lang w:val="ar"/>
        </w:rPr>
        <w:t xml:space="preserve"> </w:t>
      </w:r>
      <w:r w:rsidRPr="00053CEB">
        <w:rPr>
          <w:rFonts w:hint="cs"/>
          <w:b/>
          <w:rtl/>
          <w:lang w:val="ar" w:bidi="ar-JO"/>
        </w:rPr>
        <w:t>من</w:t>
      </w:r>
      <w:r w:rsidRPr="00053CEB">
        <w:rPr>
          <w:rFonts w:hint="cs"/>
          <w:b/>
          <w:rtl/>
          <w:lang w:val="ar"/>
        </w:rPr>
        <w:t xml:space="preserve"> </w:t>
      </w:r>
      <w:r w:rsidRPr="00053CEB">
        <w:rPr>
          <w:rFonts w:hint="cs"/>
          <w:b/>
          <w:rtl/>
          <w:lang w:val="ar" w:bidi="ar-JO"/>
        </w:rPr>
        <w:t>المواضيع،</w:t>
      </w:r>
      <w:r w:rsidRPr="00053CEB">
        <w:rPr>
          <w:rFonts w:hint="cs"/>
          <w:b/>
          <w:rtl/>
          <w:lang w:val="ar"/>
        </w:rPr>
        <w:t xml:space="preserve"> </w:t>
      </w:r>
      <w:r w:rsidRPr="00053CEB">
        <w:rPr>
          <w:rFonts w:hint="cs"/>
          <w:b/>
          <w:rtl/>
          <w:lang w:val="ar" w:bidi="ar-JO"/>
        </w:rPr>
        <w:t>حيث</w:t>
      </w:r>
      <w:r w:rsidRPr="00053CEB">
        <w:rPr>
          <w:rFonts w:hint="cs"/>
          <w:b/>
          <w:rtl/>
          <w:lang w:val="ar"/>
        </w:rPr>
        <w:t xml:space="preserve"> </w:t>
      </w:r>
      <w:r w:rsidRPr="00053CEB">
        <w:rPr>
          <w:rFonts w:hint="cs"/>
          <w:b/>
          <w:rtl/>
          <w:lang w:val="ar" w:bidi="ar-JO"/>
        </w:rPr>
        <w:t>لا</w:t>
      </w:r>
      <w:r w:rsidRPr="00053CEB">
        <w:rPr>
          <w:rFonts w:hint="cs"/>
          <w:b/>
          <w:rtl/>
          <w:lang w:val="ar"/>
        </w:rPr>
        <w:t xml:space="preserve"> </w:t>
      </w:r>
      <w:r w:rsidRPr="00053CEB">
        <w:rPr>
          <w:rFonts w:hint="cs"/>
          <w:b/>
          <w:rtl/>
          <w:lang w:val="ar" w:bidi="ar-JO"/>
        </w:rPr>
        <w:t>تتناول</w:t>
      </w:r>
      <w:r w:rsidRPr="00053CEB">
        <w:rPr>
          <w:rFonts w:hint="cs"/>
          <w:b/>
          <w:rtl/>
          <w:lang w:val="ar"/>
        </w:rPr>
        <w:t xml:space="preserve"> </w:t>
      </w:r>
      <w:r w:rsidRPr="00053CEB">
        <w:rPr>
          <w:rFonts w:hint="cs"/>
          <w:b/>
          <w:rtl/>
          <w:lang w:val="ar" w:bidi="ar-JO"/>
        </w:rPr>
        <w:t>هذه</w:t>
      </w:r>
      <w:r w:rsidRPr="00053CEB">
        <w:rPr>
          <w:rFonts w:hint="cs"/>
          <w:b/>
          <w:rtl/>
          <w:lang w:val="ar"/>
        </w:rPr>
        <w:t xml:space="preserve"> </w:t>
      </w:r>
      <w:r w:rsidRPr="00053CEB">
        <w:rPr>
          <w:rFonts w:hint="cs"/>
          <w:b/>
          <w:rtl/>
          <w:lang w:val="ar" w:bidi="ar-JO"/>
        </w:rPr>
        <w:t>المقدمة</w:t>
      </w:r>
      <w:r w:rsidRPr="00053CEB">
        <w:rPr>
          <w:rFonts w:hint="cs"/>
          <w:b/>
          <w:rtl/>
          <w:lang w:val="ar"/>
        </w:rPr>
        <w:t xml:space="preserve"> </w:t>
      </w:r>
      <w:r w:rsidRPr="00053CEB">
        <w:rPr>
          <w:rFonts w:hint="cs"/>
          <w:b/>
          <w:rtl/>
          <w:lang w:val="ar" w:bidi="ar-JO"/>
        </w:rPr>
        <w:t>سوى</w:t>
      </w:r>
      <w:r w:rsidRPr="00053CEB">
        <w:rPr>
          <w:rFonts w:hint="cs"/>
          <w:b/>
          <w:rtl/>
          <w:lang w:val="ar"/>
        </w:rPr>
        <w:t xml:space="preserve"> </w:t>
      </w:r>
      <w:r w:rsidRPr="00053CEB">
        <w:rPr>
          <w:rFonts w:hint="cs"/>
          <w:b/>
          <w:rtl/>
          <w:lang w:val="ar" w:bidi="ar-JO"/>
        </w:rPr>
        <w:t>عدد</w:t>
      </w:r>
      <w:r w:rsidRPr="00053CEB">
        <w:rPr>
          <w:rFonts w:hint="cs"/>
          <w:b/>
          <w:rtl/>
          <w:lang w:val="ar"/>
        </w:rPr>
        <w:t xml:space="preserve"> </w:t>
      </w:r>
      <w:r w:rsidRPr="00053CEB">
        <w:rPr>
          <w:rFonts w:hint="cs"/>
          <w:b/>
          <w:rtl/>
          <w:lang w:val="ar" w:bidi="ar-JO"/>
        </w:rPr>
        <w:t>قليل</w:t>
      </w:r>
      <w:r w:rsidRPr="00053CEB">
        <w:rPr>
          <w:rFonts w:hint="cs"/>
          <w:b/>
          <w:rtl/>
          <w:lang w:val="ar"/>
        </w:rPr>
        <w:t xml:space="preserve"> </w:t>
      </w:r>
      <w:r w:rsidRPr="00053CEB">
        <w:rPr>
          <w:rFonts w:hint="cs"/>
          <w:b/>
          <w:rtl/>
          <w:lang w:val="ar" w:bidi="ar-JO"/>
        </w:rPr>
        <w:t>من</w:t>
      </w:r>
      <w:r w:rsidRPr="00053CEB">
        <w:rPr>
          <w:rFonts w:hint="cs"/>
          <w:b/>
          <w:rtl/>
          <w:lang w:val="ar"/>
        </w:rPr>
        <w:t xml:space="preserve"> </w:t>
      </w:r>
      <w:r w:rsidRPr="00053CEB">
        <w:rPr>
          <w:rFonts w:hint="cs"/>
          <w:b/>
          <w:rtl/>
          <w:lang w:val="ar" w:bidi="ar-JO"/>
        </w:rPr>
        <w:t>الفصول</w:t>
      </w:r>
      <w:r w:rsidRPr="00053CEB">
        <w:rPr>
          <w:rFonts w:hint="cs"/>
          <w:b/>
          <w:rtl/>
          <w:lang w:val="ar"/>
        </w:rPr>
        <w:t xml:space="preserve"> </w:t>
      </w:r>
      <w:r w:rsidRPr="00053CEB">
        <w:rPr>
          <w:rFonts w:hint="cs"/>
          <w:b/>
          <w:rtl/>
          <w:lang w:val="ar" w:bidi="ar-JO"/>
        </w:rPr>
        <w:t>الواردة</w:t>
      </w:r>
      <w:r w:rsidRPr="00053CEB">
        <w:rPr>
          <w:rFonts w:hint="cs"/>
          <w:b/>
          <w:rtl/>
          <w:lang w:val="ar"/>
        </w:rPr>
        <w:t xml:space="preserve"> </w:t>
      </w:r>
      <w:r w:rsidRPr="00053CEB">
        <w:rPr>
          <w:rFonts w:hint="cs"/>
          <w:b/>
          <w:rtl/>
          <w:lang w:val="ar" w:bidi="ar-JO"/>
        </w:rPr>
        <w:t>فيه</w:t>
      </w:r>
      <w:r w:rsidRPr="00053CEB">
        <w:rPr>
          <w:rFonts w:hint="cs"/>
          <w:b/>
          <w:rtl/>
          <w:lang w:val="ar"/>
        </w:rPr>
        <w:t xml:space="preserve">. </w:t>
      </w:r>
      <w:r w:rsidRPr="00053CEB">
        <w:rPr>
          <w:rFonts w:hint="cs"/>
          <w:b/>
          <w:rtl/>
          <w:lang w:val="ar" w:bidi="ar-JO"/>
        </w:rPr>
        <w:t>يسلط</w:t>
      </w:r>
      <w:r w:rsidRPr="00053CEB">
        <w:rPr>
          <w:rFonts w:hint="cs"/>
          <w:b/>
          <w:rtl/>
          <w:lang w:val="ar"/>
        </w:rPr>
        <w:t xml:space="preserve"> </w:t>
      </w:r>
      <w:r w:rsidRPr="00053CEB">
        <w:rPr>
          <w:rFonts w:hint="cs"/>
          <w:b/>
          <w:rtl/>
          <w:lang w:val="ar" w:bidi="ar-JO"/>
        </w:rPr>
        <w:t>كل</w:t>
      </w:r>
      <w:r w:rsidRPr="00053CEB">
        <w:rPr>
          <w:rFonts w:hint="cs"/>
          <w:b/>
          <w:rtl/>
          <w:lang w:val="ar"/>
        </w:rPr>
        <w:t xml:space="preserve"> </w:t>
      </w:r>
      <w:r w:rsidRPr="00053CEB">
        <w:rPr>
          <w:rFonts w:hint="cs"/>
          <w:b/>
          <w:rtl/>
          <w:lang w:val="ar" w:bidi="ar-JO"/>
        </w:rPr>
        <w:t>فصل</w:t>
      </w:r>
      <w:r w:rsidRPr="00053CEB">
        <w:rPr>
          <w:rFonts w:hint="cs"/>
          <w:b/>
          <w:rtl/>
          <w:lang w:val="ar"/>
        </w:rPr>
        <w:t xml:space="preserve"> </w:t>
      </w:r>
      <w:r w:rsidRPr="00053CEB">
        <w:rPr>
          <w:rFonts w:hint="cs"/>
          <w:b/>
          <w:rtl/>
          <w:lang w:val="ar" w:bidi="ar-JO"/>
        </w:rPr>
        <w:t>من</w:t>
      </w:r>
      <w:r w:rsidRPr="00053CEB">
        <w:rPr>
          <w:rFonts w:hint="cs"/>
          <w:b/>
          <w:rtl/>
          <w:lang w:val="ar"/>
        </w:rPr>
        <w:t xml:space="preserve"> </w:t>
      </w:r>
      <w:r w:rsidRPr="00053CEB">
        <w:rPr>
          <w:rFonts w:hint="cs"/>
          <w:b/>
          <w:rtl/>
          <w:lang w:val="ar" w:bidi="ar-JO"/>
        </w:rPr>
        <w:t>فصول</w:t>
      </w:r>
      <w:r w:rsidRPr="00053CEB">
        <w:rPr>
          <w:rFonts w:hint="cs"/>
          <w:b/>
          <w:rtl/>
          <w:lang w:val="ar"/>
        </w:rPr>
        <w:t xml:space="preserve"> </w:t>
      </w:r>
      <w:r w:rsidRPr="00053CEB">
        <w:rPr>
          <w:rFonts w:hint="cs"/>
          <w:b/>
          <w:rtl/>
          <w:lang w:val="ar" w:bidi="ar-JO"/>
        </w:rPr>
        <w:t>التقرير</w:t>
      </w:r>
      <w:r w:rsidRPr="00053CEB">
        <w:rPr>
          <w:rFonts w:hint="cs"/>
          <w:b/>
          <w:rtl/>
          <w:lang w:val="ar"/>
        </w:rPr>
        <w:t xml:space="preserve"> </w:t>
      </w:r>
      <w:r w:rsidRPr="00053CEB">
        <w:rPr>
          <w:rFonts w:hint="cs"/>
          <w:b/>
          <w:rtl/>
          <w:lang w:val="ar" w:bidi="ar-JO"/>
        </w:rPr>
        <w:t>أمام</w:t>
      </w:r>
      <w:r w:rsidRPr="00053CEB">
        <w:rPr>
          <w:rFonts w:hint="cs"/>
          <w:b/>
          <w:rtl/>
          <w:lang w:val="ar"/>
        </w:rPr>
        <w:t xml:space="preserve"> </w:t>
      </w:r>
      <w:r w:rsidRPr="00053CEB">
        <w:rPr>
          <w:rFonts w:hint="cs"/>
          <w:b/>
          <w:rtl/>
          <w:lang w:val="ar" w:bidi="ar-JO"/>
        </w:rPr>
        <w:t>الجمهور،</w:t>
      </w:r>
      <w:r w:rsidRPr="00053CEB">
        <w:rPr>
          <w:rFonts w:hint="cs"/>
          <w:b/>
          <w:rtl/>
          <w:lang w:val="ar"/>
        </w:rPr>
        <w:t xml:space="preserve"> </w:t>
      </w:r>
      <w:r w:rsidRPr="00053CEB">
        <w:rPr>
          <w:rFonts w:hint="cs"/>
          <w:b/>
          <w:rtl/>
          <w:lang w:val="ar" w:bidi="ar-JO"/>
        </w:rPr>
        <w:t>وبضمنه</w:t>
      </w:r>
      <w:r w:rsidRPr="00053CEB">
        <w:rPr>
          <w:rFonts w:hint="cs"/>
          <w:b/>
          <w:rtl/>
          <w:lang w:val="ar"/>
        </w:rPr>
        <w:t xml:space="preserve"> </w:t>
      </w:r>
      <w:r w:rsidRPr="00053CEB">
        <w:rPr>
          <w:rFonts w:hint="cs"/>
          <w:b/>
          <w:rtl/>
          <w:lang w:val="ar" w:bidi="ar-JO"/>
        </w:rPr>
        <w:t>صناع</w:t>
      </w:r>
      <w:r w:rsidRPr="00053CEB">
        <w:rPr>
          <w:rFonts w:hint="cs"/>
          <w:b/>
          <w:rtl/>
          <w:lang w:val="ar"/>
        </w:rPr>
        <w:t xml:space="preserve"> </w:t>
      </w:r>
      <w:r w:rsidRPr="00053CEB">
        <w:rPr>
          <w:rFonts w:hint="cs"/>
          <w:b/>
          <w:rtl/>
          <w:lang w:val="ar" w:bidi="ar-JO"/>
        </w:rPr>
        <w:t>القرار،</w:t>
      </w:r>
      <w:r w:rsidRPr="00053CEB">
        <w:rPr>
          <w:rFonts w:hint="cs"/>
          <w:b/>
          <w:rtl/>
          <w:lang w:val="ar"/>
        </w:rPr>
        <w:t xml:space="preserve"> </w:t>
      </w:r>
      <w:r w:rsidRPr="00053CEB">
        <w:rPr>
          <w:rFonts w:hint="cs"/>
          <w:b/>
          <w:rtl/>
          <w:lang w:val="ar" w:bidi="ar-JO"/>
        </w:rPr>
        <w:t>الضوء</w:t>
      </w:r>
      <w:r w:rsidRPr="00053CEB">
        <w:rPr>
          <w:rFonts w:hint="cs"/>
          <w:b/>
          <w:rtl/>
          <w:lang w:val="ar"/>
        </w:rPr>
        <w:t xml:space="preserve"> </w:t>
      </w:r>
      <w:r w:rsidRPr="00053CEB">
        <w:rPr>
          <w:rFonts w:hint="cs"/>
          <w:b/>
          <w:rtl/>
          <w:lang w:val="ar" w:bidi="ar-JO"/>
        </w:rPr>
        <w:t>على</w:t>
      </w:r>
      <w:r w:rsidRPr="00053CEB">
        <w:rPr>
          <w:rFonts w:hint="cs"/>
          <w:b/>
          <w:rtl/>
          <w:lang w:val="ar"/>
        </w:rPr>
        <w:t xml:space="preserve"> </w:t>
      </w:r>
      <w:r w:rsidRPr="00053CEB">
        <w:rPr>
          <w:rFonts w:hint="cs"/>
          <w:b/>
          <w:rtl/>
          <w:lang w:val="ar" w:bidi="ar-JO"/>
        </w:rPr>
        <w:t>أنشطة</w:t>
      </w:r>
      <w:r w:rsidRPr="00053CEB">
        <w:rPr>
          <w:rFonts w:hint="cs"/>
          <w:b/>
          <w:rtl/>
          <w:lang w:val="ar"/>
        </w:rPr>
        <w:t xml:space="preserve"> </w:t>
      </w:r>
      <w:r w:rsidRPr="00053CEB">
        <w:rPr>
          <w:rFonts w:hint="cs"/>
          <w:b/>
          <w:rtl/>
          <w:lang w:val="ar" w:bidi="ar-JO"/>
        </w:rPr>
        <w:t>السلطات</w:t>
      </w:r>
      <w:r w:rsidRPr="00053CEB">
        <w:rPr>
          <w:rFonts w:hint="cs"/>
          <w:b/>
          <w:rtl/>
          <w:lang w:val="ar"/>
        </w:rPr>
        <w:t xml:space="preserve"> </w:t>
      </w:r>
      <w:r w:rsidRPr="00053CEB">
        <w:rPr>
          <w:rFonts w:hint="cs"/>
          <w:b/>
          <w:rtl/>
          <w:lang w:val="ar" w:bidi="ar-JO"/>
        </w:rPr>
        <w:t>المحلية</w:t>
      </w:r>
      <w:r w:rsidRPr="00053CEB">
        <w:rPr>
          <w:rFonts w:hint="cs"/>
          <w:b/>
          <w:rtl/>
          <w:lang w:val="ar"/>
        </w:rPr>
        <w:t xml:space="preserve"> </w:t>
      </w:r>
      <w:r w:rsidRPr="00053CEB">
        <w:rPr>
          <w:rFonts w:hint="cs"/>
          <w:b/>
          <w:rtl/>
          <w:lang w:val="ar" w:bidi="ar-JO"/>
        </w:rPr>
        <w:t>في</w:t>
      </w:r>
      <w:r w:rsidRPr="00053CEB">
        <w:rPr>
          <w:rFonts w:hint="cs"/>
          <w:b/>
          <w:rtl/>
          <w:lang w:val="ar"/>
        </w:rPr>
        <w:t xml:space="preserve"> </w:t>
      </w:r>
      <w:r w:rsidRPr="00053CEB">
        <w:rPr>
          <w:rFonts w:hint="cs"/>
          <w:b/>
          <w:rtl/>
          <w:lang w:val="ar" w:bidi="ar-JO"/>
        </w:rPr>
        <w:t>إسرائيل،</w:t>
      </w:r>
      <w:r w:rsidRPr="00053CEB">
        <w:rPr>
          <w:rFonts w:hint="cs"/>
          <w:b/>
          <w:rtl/>
          <w:lang w:val="ar"/>
        </w:rPr>
        <w:t xml:space="preserve"> </w:t>
      </w:r>
      <w:r w:rsidRPr="00053CEB">
        <w:rPr>
          <w:rFonts w:hint="cs"/>
          <w:b/>
          <w:rtl/>
          <w:lang w:val="ar" w:bidi="ar-JO"/>
        </w:rPr>
        <w:t>حيث</w:t>
      </w:r>
      <w:r w:rsidRPr="00053CEB">
        <w:rPr>
          <w:rFonts w:hint="cs"/>
          <w:b/>
          <w:rtl/>
          <w:lang w:val="ar"/>
        </w:rPr>
        <w:t xml:space="preserve"> </w:t>
      </w:r>
      <w:r w:rsidRPr="00053CEB">
        <w:rPr>
          <w:rFonts w:hint="cs"/>
          <w:b/>
          <w:rtl/>
          <w:lang w:val="ar" w:bidi="ar-JO"/>
        </w:rPr>
        <w:t>أن</w:t>
      </w:r>
      <w:r w:rsidRPr="00053CEB">
        <w:rPr>
          <w:rFonts w:hint="cs"/>
          <w:b/>
          <w:rtl/>
          <w:lang w:val="ar"/>
        </w:rPr>
        <w:t xml:space="preserve"> </w:t>
      </w:r>
      <w:r w:rsidRPr="00053CEB">
        <w:rPr>
          <w:rFonts w:hint="cs"/>
          <w:b/>
          <w:rtl/>
          <w:lang w:val="ar" w:bidi="ar-JO"/>
        </w:rPr>
        <w:t>الخدمات</w:t>
      </w:r>
      <w:r w:rsidRPr="00053CEB">
        <w:rPr>
          <w:rFonts w:hint="cs"/>
          <w:b/>
          <w:rtl/>
          <w:lang w:val="ar"/>
        </w:rPr>
        <w:t xml:space="preserve"> </w:t>
      </w:r>
      <w:r w:rsidRPr="00053CEB">
        <w:rPr>
          <w:rFonts w:hint="cs"/>
          <w:b/>
          <w:rtl/>
          <w:lang w:val="ar" w:bidi="ar-JO"/>
        </w:rPr>
        <w:t>التي</w:t>
      </w:r>
      <w:r w:rsidRPr="00053CEB">
        <w:rPr>
          <w:rFonts w:hint="cs"/>
          <w:b/>
          <w:rtl/>
          <w:lang w:val="ar"/>
        </w:rPr>
        <w:t xml:space="preserve"> </w:t>
      </w:r>
      <w:r w:rsidRPr="00053CEB">
        <w:rPr>
          <w:rFonts w:hint="cs"/>
          <w:b/>
          <w:rtl/>
          <w:lang w:val="ar" w:bidi="ar-JO"/>
        </w:rPr>
        <w:t>تقدمها</w:t>
      </w:r>
      <w:r w:rsidRPr="00053CEB">
        <w:rPr>
          <w:rFonts w:hint="cs"/>
          <w:b/>
          <w:rtl/>
          <w:lang w:val="ar"/>
        </w:rPr>
        <w:t xml:space="preserve"> </w:t>
      </w:r>
      <w:r w:rsidRPr="00053CEB">
        <w:rPr>
          <w:rFonts w:hint="cs"/>
          <w:b/>
          <w:rtl/>
          <w:lang w:val="ar" w:bidi="ar-JO"/>
        </w:rPr>
        <w:t>السلطة</w:t>
      </w:r>
      <w:r w:rsidRPr="00053CEB">
        <w:rPr>
          <w:rFonts w:hint="cs"/>
          <w:b/>
          <w:rtl/>
          <w:lang w:val="ar"/>
        </w:rPr>
        <w:t xml:space="preserve"> </w:t>
      </w:r>
      <w:r w:rsidRPr="00053CEB">
        <w:rPr>
          <w:rFonts w:hint="cs"/>
          <w:b/>
          <w:rtl/>
          <w:lang w:val="ar" w:bidi="ar-JO"/>
        </w:rPr>
        <w:t>المحلية</w:t>
      </w:r>
      <w:r w:rsidRPr="00053CEB">
        <w:rPr>
          <w:rFonts w:hint="cs"/>
          <w:b/>
          <w:rtl/>
          <w:lang w:val="ar"/>
        </w:rPr>
        <w:t xml:space="preserve"> </w:t>
      </w:r>
      <w:r w:rsidRPr="00053CEB">
        <w:rPr>
          <w:rFonts w:hint="cs"/>
          <w:b/>
          <w:rtl/>
          <w:lang w:val="ar" w:bidi="ar-JO"/>
        </w:rPr>
        <w:t>لها</w:t>
      </w:r>
      <w:r w:rsidRPr="00053CEB">
        <w:rPr>
          <w:rFonts w:hint="cs"/>
          <w:b/>
          <w:rtl/>
          <w:lang w:val="ar"/>
        </w:rPr>
        <w:t xml:space="preserve"> </w:t>
      </w:r>
      <w:r w:rsidRPr="00D33657">
        <w:rPr>
          <w:rFonts w:hint="cs"/>
          <w:b/>
          <w:color w:val="0D0D0D"/>
          <w:rtl/>
          <w:lang w:val="ar" w:bidi="ar-JO"/>
        </w:rPr>
        <w:t>تأثير</w:t>
      </w:r>
      <w:r w:rsidRPr="00053CEB">
        <w:rPr>
          <w:rFonts w:hint="cs"/>
          <w:b/>
          <w:rtl/>
          <w:lang w:val="ar"/>
        </w:rPr>
        <w:t xml:space="preserve"> </w:t>
      </w:r>
      <w:r w:rsidRPr="00053CEB">
        <w:rPr>
          <w:rFonts w:hint="cs"/>
          <w:b/>
          <w:rtl/>
          <w:lang w:val="ar" w:bidi="ar-JO"/>
        </w:rPr>
        <w:t>مباشر</w:t>
      </w:r>
      <w:r w:rsidRPr="00053CEB">
        <w:rPr>
          <w:rFonts w:hint="cs"/>
          <w:b/>
          <w:rtl/>
          <w:lang w:val="ar"/>
        </w:rPr>
        <w:t xml:space="preserve"> </w:t>
      </w:r>
      <w:r w:rsidRPr="00053CEB">
        <w:rPr>
          <w:rFonts w:hint="cs"/>
          <w:b/>
          <w:rtl/>
          <w:lang w:val="ar" w:bidi="ar-JO"/>
        </w:rPr>
        <w:t>على</w:t>
      </w:r>
      <w:r w:rsidRPr="00053CEB">
        <w:rPr>
          <w:rFonts w:hint="cs"/>
          <w:b/>
          <w:rtl/>
          <w:lang w:val="ar"/>
        </w:rPr>
        <w:t xml:space="preserve"> </w:t>
      </w:r>
      <w:r w:rsidRPr="00053CEB">
        <w:rPr>
          <w:rFonts w:hint="cs"/>
          <w:b/>
          <w:rtl/>
          <w:lang w:val="ar" w:bidi="ar-JO"/>
        </w:rPr>
        <w:t>نوعية</w:t>
      </w:r>
      <w:r w:rsidRPr="00053CEB">
        <w:rPr>
          <w:rFonts w:hint="cs"/>
          <w:b/>
          <w:rtl/>
          <w:lang w:val="ar"/>
        </w:rPr>
        <w:t xml:space="preserve"> </w:t>
      </w:r>
      <w:r w:rsidRPr="00053CEB">
        <w:rPr>
          <w:rFonts w:hint="cs"/>
          <w:b/>
          <w:rtl/>
          <w:lang w:val="ar" w:bidi="ar-JO"/>
        </w:rPr>
        <w:t>حياة</w:t>
      </w:r>
      <w:r w:rsidRPr="00053CEB">
        <w:rPr>
          <w:rFonts w:hint="cs"/>
          <w:b/>
          <w:rtl/>
          <w:lang w:val="ar"/>
        </w:rPr>
        <w:t xml:space="preserve"> </w:t>
      </w:r>
      <w:r w:rsidRPr="00053CEB">
        <w:rPr>
          <w:rFonts w:hint="cs"/>
          <w:b/>
          <w:rtl/>
          <w:lang w:val="ar" w:bidi="ar-JO"/>
        </w:rPr>
        <w:t>السكان</w:t>
      </w:r>
      <w:r w:rsidRPr="00053CEB">
        <w:rPr>
          <w:rFonts w:hint="cs"/>
          <w:b/>
          <w:rtl/>
          <w:lang w:val="ar"/>
        </w:rPr>
        <w:t xml:space="preserve"> </w:t>
      </w:r>
      <w:r w:rsidRPr="00D33657">
        <w:rPr>
          <w:rFonts w:hint="cs"/>
          <w:b/>
          <w:rtl/>
          <w:lang w:val="ar" w:bidi="ar-JO"/>
        </w:rPr>
        <w:t xml:space="preserve">ورفاهيتهم </w:t>
      </w:r>
      <w:r w:rsidRPr="00053CEB">
        <w:rPr>
          <w:rFonts w:hint="cs"/>
          <w:b/>
          <w:rtl/>
          <w:lang w:val="ar" w:bidi="ar-JO"/>
        </w:rPr>
        <w:t>ووضعهم</w:t>
      </w:r>
      <w:r w:rsidRPr="00053CEB">
        <w:rPr>
          <w:rFonts w:hint="cs"/>
          <w:b/>
          <w:rtl/>
          <w:lang w:val="ar"/>
        </w:rPr>
        <w:t xml:space="preserve"> </w:t>
      </w:r>
      <w:r w:rsidRPr="00053CEB">
        <w:rPr>
          <w:rFonts w:hint="cs"/>
          <w:b/>
          <w:rtl/>
          <w:lang w:val="ar" w:bidi="ar-JO"/>
        </w:rPr>
        <w:t>الاقتصادي</w:t>
      </w:r>
      <w:r w:rsidRPr="00053CEB">
        <w:rPr>
          <w:rFonts w:hint="cs"/>
          <w:b/>
          <w:rtl/>
          <w:lang w:val="ar"/>
        </w:rPr>
        <w:t xml:space="preserve"> </w:t>
      </w:r>
      <w:r w:rsidRPr="00053CEB">
        <w:rPr>
          <w:rFonts w:hint="cs"/>
          <w:b/>
          <w:rtl/>
          <w:lang w:val="ar" w:bidi="ar-JO"/>
        </w:rPr>
        <w:t>والاجتماعي</w:t>
      </w:r>
      <w:r w:rsidRPr="00053CEB">
        <w:rPr>
          <w:rFonts w:hint="cs"/>
          <w:b/>
          <w:rtl/>
          <w:lang w:val="ar"/>
        </w:rPr>
        <w:t xml:space="preserve">. </w:t>
      </w:r>
    </w:p>
    <w:p w:rsidR="00696D27" w:rsidRPr="00D33657" w:rsidP="00696D27" w14:paraId="2B1758FA" w14:textId="77777777">
      <w:pPr>
        <w:pStyle w:val="7190"/>
        <w:rPr>
          <w:bCs/>
          <w:rtl/>
          <w:lang w:val="ar"/>
        </w:rPr>
      </w:pPr>
      <w:r w:rsidRPr="00053CEB">
        <w:rPr>
          <w:rFonts w:hint="cs"/>
          <w:bCs/>
          <w:rtl/>
          <w:lang w:val="ar" w:bidi="ar-JO"/>
        </w:rPr>
        <w:t>استلزم</w:t>
      </w:r>
      <w:r w:rsidRPr="00053CEB">
        <w:rPr>
          <w:rFonts w:hint="cs"/>
          <w:bCs/>
          <w:rtl/>
          <w:lang w:val="ar"/>
        </w:rPr>
        <w:t xml:space="preserve"> </w:t>
      </w:r>
      <w:r w:rsidRPr="00053CEB">
        <w:rPr>
          <w:rFonts w:hint="cs"/>
          <w:bCs/>
          <w:rtl/>
          <w:lang w:val="ar" w:bidi="ar-JO"/>
        </w:rPr>
        <w:t>إعداد</w:t>
      </w:r>
      <w:r w:rsidRPr="00053CEB">
        <w:rPr>
          <w:rFonts w:hint="cs"/>
          <w:bCs/>
          <w:rtl/>
          <w:lang w:val="ar"/>
        </w:rPr>
        <w:t xml:space="preserve"> </w:t>
      </w:r>
      <w:r w:rsidRPr="00053CEB">
        <w:rPr>
          <w:rFonts w:hint="cs"/>
          <w:bCs/>
          <w:rtl/>
          <w:lang w:val="ar" w:bidi="ar-JO"/>
        </w:rPr>
        <w:t>التقرير</w:t>
      </w:r>
      <w:r w:rsidRPr="00053CEB">
        <w:rPr>
          <w:rFonts w:hint="cs"/>
          <w:bCs/>
          <w:rtl/>
          <w:lang w:val="ar"/>
        </w:rPr>
        <w:t xml:space="preserve"> </w:t>
      </w:r>
      <w:r w:rsidRPr="00053CEB">
        <w:rPr>
          <w:rFonts w:hint="cs"/>
          <w:bCs/>
          <w:rtl/>
          <w:lang w:val="ar" w:bidi="ar-JO"/>
        </w:rPr>
        <w:t>بذل</w:t>
      </w:r>
      <w:r w:rsidRPr="00053CEB">
        <w:rPr>
          <w:rFonts w:hint="cs"/>
          <w:bCs/>
          <w:rtl/>
          <w:lang w:val="ar"/>
        </w:rPr>
        <w:t xml:space="preserve"> </w:t>
      </w:r>
      <w:r w:rsidRPr="00053CEB">
        <w:rPr>
          <w:rFonts w:hint="cs"/>
          <w:bCs/>
          <w:rtl/>
          <w:lang w:val="ar" w:bidi="ar-JO"/>
        </w:rPr>
        <w:t>قدر</w:t>
      </w:r>
      <w:r w:rsidRPr="00053CEB">
        <w:rPr>
          <w:rFonts w:hint="cs"/>
          <w:bCs/>
          <w:rtl/>
          <w:lang w:val="ar"/>
        </w:rPr>
        <w:t xml:space="preserve"> </w:t>
      </w:r>
      <w:r w:rsidRPr="00053CEB">
        <w:rPr>
          <w:rFonts w:hint="cs"/>
          <w:bCs/>
          <w:rtl/>
          <w:lang w:val="ar" w:bidi="ar-JO"/>
        </w:rPr>
        <w:t>كبير</w:t>
      </w:r>
      <w:r w:rsidRPr="00053CEB">
        <w:rPr>
          <w:rFonts w:hint="cs"/>
          <w:bCs/>
          <w:rtl/>
          <w:lang w:val="ar"/>
        </w:rPr>
        <w:t xml:space="preserve"> </w:t>
      </w:r>
      <w:r w:rsidRPr="00053CEB">
        <w:rPr>
          <w:rFonts w:hint="cs"/>
          <w:bCs/>
          <w:rtl/>
          <w:lang w:val="ar" w:bidi="ar-JO"/>
        </w:rPr>
        <w:t>من</w:t>
      </w:r>
      <w:r w:rsidRPr="00053CEB">
        <w:rPr>
          <w:rFonts w:hint="cs"/>
          <w:bCs/>
          <w:rtl/>
          <w:lang w:val="ar"/>
        </w:rPr>
        <w:t xml:space="preserve"> </w:t>
      </w:r>
      <w:r w:rsidRPr="00053CEB">
        <w:rPr>
          <w:rFonts w:hint="cs"/>
          <w:bCs/>
          <w:rtl/>
          <w:lang w:val="ar" w:bidi="ar-JO"/>
        </w:rPr>
        <w:t>الجهد</w:t>
      </w:r>
      <w:r w:rsidRPr="00053CEB">
        <w:rPr>
          <w:rFonts w:hint="cs"/>
          <w:bCs/>
          <w:rtl/>
          <w:lang w:val="ar"/>
        </w:rPr>
        <w:t xml:space="preserve"> </w:t>
      </w:r>
      <w:r w:rsidRPr="00053CEB">
        <w:rPr>
          <w:rFonts w:hint="cs"/>
          <w:bCs/>
          <w:rtl/>
          <w:lang w:val="ar" w:bidi="ar-JO"/>
        </w:rPr>
        <w:t>من</w:t>
      </w:r>
      <w:r w:rsidRPr="00053CEB">
        <w:rPr>
          <w:rFonts w:hint="cs"/>
          <w:bCs/>
          <w:rtl/>
          <w:lang w:val="ar"/>
        </w:rPr>
        <w:t xml:space="preserve"> </w:t>
      </w:r>
      <w:r w:rsidRPr="00053CEB">
        <w:rPr>
          <w:rFonts w:hint="cs"/>
          <w:bCs/>
          <w:rtl/>
          <w:lang w:val="ar" w:bidi="ar-JO"/>
        </w:rPr>
        <w:t>جانب</w:t>
      </w:r>
      <w:r w:rsidRPr="00053CEB">
        <w:rPr>
          <w:rFonts w:hint="cs"/>
          <w:bCs/>
          <w:rtl/>
          <w:lang w:val="ar"/>
        </w:rPr>
        <w:t xml:space="preserve"> </w:t>
      </w:r>
      <w:r w:rsidRPr="00053CEB">
        <w:rPr>
          <w:rFonts w:hint="cs"/>
          <w:bCs/>
          <w:rtl/>
          <w:lang w:val="ar" w:bidi="ar-JO"/>
        </w:rPr>
        <w:t>موظفي</w:t>
      </w:r>
      <w:r w:rsidRPr="00053CEB">
        <w:rPr>
          <w:rFonts w:hint="cs"/>
          <w:bCs/>
          <w:rtl/>
          <w:lang w:val="ar"/>
        </w:rPr>
        <w:t xml:space="preserve"> </w:t>
      </w:r>
      <w:r w:rsidRPr="00053CEB">
        <w:rPr>
          <w:rFonts w:hint="cs"/>
          <w:bCs/>
          <w:rtl/>
          <w:lang w:val="ar" w:bidi="ar-JO"/>
        </w:rPr>
        <w:t>شعبة</w:t>
      </w:r>
      <w:r w:rsidRPr="00053CEB">
        <w:rPr>
          <w:rFonts w:hint="cs"/>
          <w:bCs/>
          <w:rtl/>
          <w:lang w:val="ar"/>
        </w:rPr>
        <w:t xml:space="preserve"> </w:t>
      </w:r>
      <w:r w:rsidRPr="00053CEB">
        <w:rPr>
          <w:rFonts w:hint="cs"/>
          <w:bCs/>
          <w:rtl/>
          <w:lang w:val="ar" w:bidi="ar-JO"/>
        </w:rPr>
        <w:t>مراقبة</w:t>
      </w:r>
      <w:r w:rsidRPr="00053CEB">
        <w:rPr>
          <w:rFonts w:hint="cs"/>
          <w:bCs/>
          <w:rtl/>
          <w:lang w:val="ar"/>
        </w:rPr>
        <w:t xml:space="preserve"> </w:t>
      </w:r>
      <w:r w:rsidRPr="00053CEB">
        <w:rPr>
          <w:rFonts w:hint="cs"/>
          <w:bCs/>
          <w:rtl/>
          <w:lang w:val="ar" w:bidi="ar-JO"/>
        </w:rPr>
        <w:t>السلطات</w:t>
      </w:r>
      <w:r w:rsidRPr="00053CEB">
        <w:rPr>
          <w:rFonts w:hint="cs"/>
          <w:bCs/>
          <w:rtl/>
          <w:lang w:val="ar"/>
        </w:rPr>
        <w:t xml:space="preserve"> </w:t>
      </w:r>
      <w:r w:rsidRPr="00053CEB">
        <w:rPr>
          <w:rFonts w:hint="cs"/>
          <w:bCs/>
          <w:rtl/>
          <w:lang w:val="ar" w:bidi="ar-JO"/>
        </w:rPr>
        <w:t>المحلية</w:t>
      </w:r>
      <w:r w:rsidRPr="00053CEB">
        <w:rPr>
          <w:rFonts w:hint="cs"/>
          <w:bCs/>
          <w:rtl/>
          <w:lang w:val="ar"/>
        </w:rPr>
        <w:t xml:space="preserve"> </w:t>
      </w:r>
      <w:r w:rsidRPr="00053CEB">
        <w:rPr>
          <w:rFonts w:hint="cs"/>
          <w:bCs/>
          <w:rtl/>
          <w:lang w:val="ar" w:bidi="ar-JO"/>
        </w:rPr>
        <w:t>وموظفي</w:t>
      </w:r>
      <w:r w:rsidRPr="00053CEB">
        <w:rPr>
          <w:rFonts w:hint="cs"/>
          <w:bCs/>
          <w:rtl/>
          <w:lang w:val="ar"/>
        </w:rPr>
        <w:t xml:space="preserve"> </w:t>
      </w:r>
      <w:r w:rsidRPr="00053CEB">
        <w:rPr>
          <w:rFonts w:hint="cs"/>
          <w:bCs/>
          <w:rtl/>
          <w:lang w:val="ar" w:bidi="ar-JO"/>
        </w:rPr>
        <w:t>الشعبة</w:t>
      </w:r>
      <w:r w:rsidRPr="00053CEB">
        <w:rPr>
          <w:rFonts w:hint="cs"/>
          <w:bCs/>
          <w:rtl/>
          <w:lang w:val="ar"/>
        </w:rPr>
        <w:t xml:space="preserve"> </w:t>
      </w:r>
      <w:r w:rsidRPr="00053CEB">
        <w:rPr>
          <w:rFonts w:hint="cs"/>
          <w:bCs/>
          <w:rtl/>
          <w:lang w:val="ar" w:bidi="ar-JO"/>
        </w:rPr>
        <w:t>الإدارية</w:t>
      </w:r>
      <w:r w:rsidRPr="00053CEB">
        <w:rPr>
          <w:rFonts w:hint="cs"/>
          <w:bCs/>
          <w:rtl/>
          <w:lang w:val="ar"/>
        </w:rPr>
        <w:t xml:space="preserve"> </w:t>
      </w:r>
      <w:r w:rsidRPr="00053CEB">
        <w:rPr>
          <w:rFonts w:hint="cs"/>
          <w:bCs/>
          <w:rtl/>
          <w:lang w:val="ar" w:bidi="ar-JO"/>
        </w:rPr>
        <w:t>في</w:t>
      </w:r>
      <w:r w:rsidRPr="00053CEB">
        <w:rPr>
          <w:rFonts w:hint="cs"/>
          <w:bCs/>
          <w:rtl/>
          <w:lang w:val="ar"/>
        </w:rPr>
        <w:t xml:space="preserve"> </w:t>
      </w:r>
      <w:r w:rsidRPr="00053CEB">
        <w:rPr>
          <w:rFonts w:hint="cs"/>
          <w:bCs/>
          <w:rtl/>
          <w:lang w:val="ar" w:bidi="ar-JO"/>
        </w:rPr>
        <w:t>مكتب</w:t>
      </w:r>
      <w:r w:rsidRPr="00053CEB">
        <w:rPr>
          <w:rFonts w:hint="cs"/>
          <w:bCs/>
          <w:rtl/>
          <w:lang w:val="ar"/>
        </w:rPr>
        <w:t xml:space="preserve"> </w:t>
      </w:r>
      <w:r w:rsidRPr="00053CEB">
        <w:rPr>
          <w:rFonts w:hint="cs"/>
          <w:bCs/>
          <w:rtl/>
          <w:lang w:val="ar" w:bidi="ar-JO"/>
        </w:rPr>
        <w:t>مراقب</w:t>
      </w:r>
      <w:r w:rsidRPr="00053CEB">
        <w:rPr>
          <w:rFonts w:hint="cs"/>
          <w:bCs/>
          <w:rtl/>
          <w:lang w:val="ar"/>
        </w:rPr>
        <w:t xml:space="preserve"> </w:t>
      </w:r>
      <w:r w:rsidRPr="00053CEB">
        <w:rPr>
          <w:rFonts w:hint="cs"/>
          <w:bCs/>
          <w:rtl/>
          <w:lang w:val="ar" w:bidi="ar-JO"/>
        </w:rPr>
        <w:t>الدولة</w:t>
      </w:r>
      <w:r w:rsidRPr="00053CEB">
        <w:rPr>
          <w:rFonts w:hint="cs"/>
          <w:bCs/>
          <w:rtl/>
          <w:lang w:val="ar"/>
        </w:rPr>
        <w:t xml:space="preserve">. </w:t>
      </w:r>
      <w:r w:rsidRPr="00D33657">
        <w:rPr>
          <w:rFonts w:hint="cs"/>
          <w:bCs/>
          <w:rtl/>
          <w:lang w:val="ar" w:bidi="ar-JO"/>
        </w:rPr>
        <w:t xml:space="preserve">الذين </w:t>
      </w:r>
      <w:r w:rsidRPr="00053CEB">
        <w:rPr>
          <w:rFonts w:hint="cs"/>
          <w:bCs/>
          <w:rtl/>
          <w:lang w:val="ar" w:bidi="ar-JO"/>
        </w:rPr>
        <w:t>عملوا</w:t>
      </w:r>
      <w:r w:rsidRPr="00053CEB">
        <w:rPr>
          <w:rFonts w:hint="cs"/>
          <w:bCs/>
          <w:rtl/>
          <w:lang w:val="ar"/>
        </w:rPr>
        <w:t xml:space="preserve"> </w:t>
      </w:r>
      <w:r w:rsidRPr="00053CEB">
        <w:rPr>
          <w:rFonts w:hint="cs"/>
          <w:bCs/>
          <w:rtl/>
          <w:lang w:val="ar" w:bidi="ar-JO"/>
        </w:rPr>
        <w:t>على</w:t>
      </w:r>
      <w:r w:rsidRPr="00053CEB">
        <w:rPr>
          <w:rFonts w:hint="cs"/>
          <w:bCs/>
          <w:rtl/>
          <w:lang w:val="ar"/>
        </w:rPr>
        <w:t xml:space="preserve"> </w:t>
      </w:r>
      <w:r w:rsidRPr="00053CEB">
        <w:rPr>
          <w:rFonts w:hint="cs"/>
          <w:bCs/>
          <w:rtl/>
          <w:lang w:val="ar" w:bidi="ar-JO"/>
        </w:rPr>
        <w:t>إعداده</w:t>
      </w:r>
      <w:r w:rsidRPr="00053CEB">
        <w:rPr>
          <w:rFonts w:hint="cs"/>
          <w:bCs/>
          <w:rtl/>
          <w:lang w:val="ar"/>
        </w:rPr>
        <w:t xml:space="preserve"> </w:t>
      </w:r>
      <w:r w:rsidRPr="00053CEB">
        <w:rPr>
          <w:rFonts w:hint="cs"/>
          <w:bCs/>
          <w:rtl/>
          <w:lang w:val="ar" w:bidi="ar-JO"/>
        </w:rPr>
        <w:t>بمنتهى</w:t>
      </w:r>
      <w:r w:rsidRPr="00053CEB">
        <w:rPr>
          <w:rFonts w:hint="cs"/>
          <w:bCs/>
          <w:rtl/>
          <w:lang w:val="ar"/>
        </w:rPr>
        <w:t xml:space="preserve"> </w:t>
      </w:r>
      <w:r w:rsidRPr="00D33657">
        <w:rPr>
          <w:rFonts w:hint="cs"/>
          <w:bCs/>
          <w:color w:val="0D0D0D"/>
          <w:rtl/>
          <w:lang w:val="ar" w:bidi="ar-JO"/>
        </w:rPr>
        <w:t>المهنية</w:t>
      </w:r>
      <w:r w:rsidRPr="00053CEB">
        <w:rPr>
          <w:rFonts w:hint="cs"/>
          <w:bCs/>
          <w:rtl/>
          <w:lang w:val="ar"/>
        </w:rPr>
        <w:t xml:space="preserve"> </w:t>
      </w:r>
      <w:r w:rsidRPr="00053CEB">
        <w:rPr>
          <w:rFonts w:hint="cs"/>
          <w:bCs/>
          <w:rtl/>
          <w:lang w:val="ar" w:bidi="ar-JO"/>
        </w:rPr>
        <w:t>والدقة</w:t>
      </w:r>
      <w:r w:rsidRPr="00053CEB">
        <w:rPr>
          <w:rFonts w:hint="cs"/>
          <w:bCs/>
          <w:rtl/>
          <w:lang w:val="ar"/>
        </w:rPr>
        <w:t xml:space="preserve"> </w:t>
      </w:r>
      <w:r w:rsidRPr="00053CEB">
        <w:rPr>
          <w:rFonts w:hint="cs"/>
          <w:bCs/>
          <w:rtl/>
          <w:lang w:val="ar" w:bidi="ar-JO"/>
        </w:rPr>
        <w:t>والإنصاف</w:t>
      </w:r>
      <w:r w:rsidRPr="00053CEB">
        <w:rPr>
          <w:rFonts w:hint="cs"/>
          <w:bCs/>
          <w:rtl/>
          <w:lang w:val="ar"/>
        </w:rPr>
        <w:t xml:space="preserve"> </w:t>
      </w:r>
      <w:r w:rsidRPr="00053CEB">
        <w:rPr>
          <w:rFonts w:hint="cs"/>
          <w:bCs/>
          <w:rtl/>
          <w:lang w:val="ar" w:bidi="ar-JO"/>
        </w:rPr>
        <w:t>والحرص،</w:t>
      </w:r>
      <w:r w:rsidRPr="00053CEB">
        <w:rPr>
          <w:rFonts w:hint="cs"/>
          <w:bCs/>
          <w:rtl/>
          <w:lang w:val="ar"/>
        </w:rPr>
        <w:t xml:space="preserve"> </w:t>
      </w:r>
      <w:r w:rsidRPr="00053CEB">
        <w:rPr>
          <w:rFonts w:hint="cs"/>
          <w:bCs/>
          <w:rtl/>
          <w:lang w:val="ar" w:bidi="ar-JO"/>
        </w:rPr>
        <w:t>وهم</w:t>
      </w:r>
      <w:r w:rsidRPr="00053CEB">
        <w:rPr>
          <w:rFonts w:hint="cs"/>
          <w:bCs/>
          <w:rtl/>
          <w:lang w:val="ar"/>
        </w:rPr>
        <w:t xml:space="preserve"> </w:t>
      </w:r>
      <w:r w:rsidRPr="00053CEB">
        <w:rPr>
          <w:rFonts w:hint="cs"/>
          <w:bCs/>
          <w:rtl/>
          <w:lang w:val="ar" w:bidi="ar-JO"/>
        </w:rPr>
        <w:t>يؤدون</w:t>
      </w:r>
      <w:r w:rsidRPr="00053CEB">
        <w:rPr>
          <w:rFonts w:hint="cs"/>
          <w:bCs/>
          <w:rtl/>
          <w:lang w:val="ar"/>
        </w:rPr>
        <w:t xml:space="preserve"> </w:t>
      </w:r>
      <w:r w:rsidRPr="00053CEB">
        <w:rPr>
          <w:rFonts w:hint="cs"/>
          <w:bCs/>
          <w:rtl/>
          <w:lang w:val="ar" w:bidi="ar-JO"/>
        </w:rPr>
        <w:t>واجباتهم</w:t>
      </w:r>
      <w:r w:rsidRPr="00053CEB">
        <w:rPr>
          <w:rFonts w:hint="cs"/>
          <w:bCs/>
          <w:rtl/>
          <w:lang w:val="ar"/>
        </w:rPr>
        <w:t xml:space="preserve"> </w:t>
      </w:r>
      <w:r w:rsidRPr="00053CEB">
        <w:rPr>
          <w:rFonts w:hint="cs"/>
          <w:bCs/>
          <w:rtl/>
          <w:lang w:val="ar" w:bidi="ar-JO"/>
        </w:rPr>
        <w:t>العامة</w:t>
      </w:r>
      <w:r w:rsidRPr="00053CEB">
        <w:rPr>
          <w:rFonts w:hint="cs"/>
          <w:bCs/>
          <w:rtl/>
          <w:lang w:val="ar"/>
        </w:rPr>
        <w:t xml:space="preserve"> </w:t>
      </w:r>
      <w:r w:rsidRPr="00053CEB">
        <w:rPr>
          <w:rFonts w:hint="cs"/>
          <w:bCs/>
          <w:rtl/>
          <w:lang w:val="ar" w:bidi="ar-JO"/>
        </w:rPr>
        <w:t>انطلاقًا</w:t>
      </w:r>
      <w:r w:rsidRPr="00053CEB">
        <w:rPr>
          <w:rFonts w:hint="cs"/>
          <w:bCs/>
          <w:rtl/>
          <w:lang w:val="ar"/>
        </w:rPr>
        <w:t xml:space="preserve"> </w:t>
      </w:r>
      <w:r w:rsidRPr="00D33657">
        <w:rPr>
          <w:rFonts w:hint="cs"/>
          <w:bCs/>
          <w:rtl/>
          <w:lang w:val="ar" w:bidi="ar-JO"/>
        </w:rPr>
        <w:t xml:space="preserve">من </w:t>
      </w:r>
      <w:r w:rsidRPr="00053CEB">
        <w:rPr>
          <w:rFonts w:hint="cs"/>
          <w:bCs/>
          <w:rtl/>
          <w:lang w:val="ar" w:bidi="ar-JO"/>
        </w:rPr>
        <w:t>الشعور</w:t>
      </w:r>
      <w:r w:rsidRPr="00053CEB">
        <w:rPr>
          <w:rFonts w:hint="cs"/>
          <w:bCs/>
          <w:rtl/>
          <w:lang w:val="ar"/>
        </w:rPr>
        <w:t xml:space="preserve"> </w:t>
      </w:r>
      <w:r w:rsidRPr="00053CEB">
        <w:rPr>
          <w:rFonts w:hint="cs"/>
          <w:bCs/>
          <w:rtl/>
          <w:lang w:val="ar" w:bidi="ar-JO"/>
        </w:rPr>
        <w:t>الحقيقي</w:t>
      </w:r>
      <w:r w:rsidRPr="00053CEB">
        <w:rPr>
          <w:rFonts w:hint="cs"/>
          <w:bCs/>
          <w:rtl/>
          <w:lang w:val="ar"/>
        </w:rPr>
        <w:t xml:space="preserve"> </w:t>
      </w:r>
      <w:r w:rsidRPr="00053CEB">
        <w:rPr>
          <w:rFonts w:hint="cs"/>
          <w:bCs/>
          <w:rtl/>
          <w:lang w:val="ar" w:bidi="ar-JO"/>
        </w:rPr>
        <w:t>بالرسالة</w:t>
      </w:r>
      <w:r w:rsidRPr="00053CEB">
        <w:rPr>
          <w:rFonts w:hint="cs"/>
          <w:bCs/>
          <w:rtl/>
          <w:lang w:val="ar"/>
        </w:rPr>
        <w:t xml:space="preserve">. </w:t>
      </w:r>
      <w:r w:rsidRPr="00053CEB">
        <w:rPr>
          <w:rFonts w:hint="cs"/>
          <w:bCs/>
          <w:rtl/>
          <w:lang w:val="ar" w:bidi="ar-JO"/>
        </w:rPr>
        <w:t>أنا</w:t>
      </w:r>
      <w:r w:rsidRPr="00053CEB">
        <w:rPr>
          <w:rFonts w:hint="cs"/>
          <w:bCs/>
          <w:rtl/>
          <w:lang w:val="ar"/>
        </w:rPr>
        <w:t xml:space="preserve"> </w:t>
      </w:r>
      <w:r w:rsidRPr="00053CEB">
        <w:rPr>
          <w:rFonts w:hint="cs"/>
          <w:bCs/>
          <w:rtl/>
          <w:lang w:val="ar" w:bidi="ar-JO"/>
        </w:rPr>
        <w:t>ممتن</w:t>
      </w:r>
      <w:r w:rsidRPr="00053CEB">
        <w:rPr>
          <w:rFonts w:hint="cs"/>
          <w:bCs/>
          <w:rtl/>
          <w:lang w:val="ar"/>
        </w:rPr>
        <w:t xml:space="preserve"> </w:t>
      </w:r>
      <w:r w:rsidRPr="00053CEB">
        <w:rPr>
          <w:rFonts w:hint="cs"/>
          <w:bCs/>
          <w:rtl/>
          <w:lang w:val="ar" w:bidi="ar-JO"/>
        </w:rPr>
        <w:t>لهم</w:t>
      </w:r>
      <w:r w:rsidRPr="00053CEB">
        <w:rPr>
          <w:rFonts w:hint="cs"/>
          <w:bCs/>
          <w:rtl/>
          <w:lang w:val="ar"/>
        </w:rPr>
        <w:t>.</w:t>
      </w:r>
    </w:p>
    <w:p w:rsidR="00C16588" w:rsidRPr="007D6A9A" w:rsidP="00696D27" w14:paraId="383312AD" w14:textId="39BD322E">
      <w:pPr>
        <w:pStyle w:val="7193"/>
        <w:spacing w:line="288" w:lineRule="auto"/>
      </w:pPr>
      <w:r w:rsidRPr="00053CEB">
        <w:rPr>
          <w:rFonts w:hint="cs"/>
          <w:b/>
          <w:rtl/>
          <w:lang w:val="ar" w:bidi="ar-JO"/>
        </w:rPr>
        <w:t>إن</w:t>
      </w:r>
      <w:r w:rsidRPr="00053CEB">
        <w:rPr>
          <w:rFonts w:hint="cs"/>
          <w:b/>
          <w:rtl/>
          <w:lang w:val="ar"/>
        </w:rPr>
        <w:t xml:space="preserve"> </w:t>
      </w:r>
      <w:r w:rsidRPr="00053CEB">
        <w:rPr>
          <w:rFonts w:hint="cs"/>
          <w:b/>
          <w:rtl/>
          <w:lang w:val="ar" w:bidi="ar-JO"/>
        </w:rPr>
        <w:t>واجب</w:t>
      </w:r>
      <w:r w:rsidRPr="00053CEB">
        <w:rPr>
          <w:rFonts w:hint="cs"/>
          <w:b/>
          <w:rtl/>
          <w:lang w:val="ar"/>
        </w:rPr>
        <w:t xml:space="preserve"> </w:t>
      </w:r>
      <w:r w:rsidRPr="00053CEB">
        <w:rPr>
          <w:rFonts w:hint="cs"/>
          <w:b/>
          <w:rtl/>
          <w:lang w:val="ar" w:bidi="ar-JO"/>
        </w:rPr>
        <w:t>الهيئات</w:t>
      </w:r>
      <w:r w:rsidRPr="00053CEB">
        <w:rPr>
          <w:rFonts w:hint="cs"/>
          <w:b/>
          <w:rtl/>
          <w:lang w:val="ar"/>
        </w:rPr>
        <w:t xml:space="preserve"> </w:t>
      </w:r>
      <w:r w:rsidRPr="00053CEB">
        <w:rPr>
          <w:rFonts w:hint="cs"/>
          <w:b/>
          <w:rtl/>
          <w:lang w:val="ar" w:bidi="ar-JO"/>
        </w:rPr>
        <w:t>الخاضعة</w:t>
      </w:r>
      <w:r w:rsidRPr="00053CEB">
        <w:rPr>
          <w:rFonts w:hint="cs"/>
          <w:b/>
          <w:rtl/>
          <w:lang w:val="ar"/>
        </w:rPr>
        <w:t xml:space="preserve"> </w:t>
      </w:r>
      <w:r w:rsidRPr="00053CEB">
        <w:rPr>
          <w:rFonts w:hint="cs"/>
          <w:b/>
          <w:rtl/>
          <w:lang w:val="ar" w:bidi="ar-JO"/>
        </w:rPr>
        <w:t>للمراقبة</w:t>
      </w:r>
      <w:r w:rsidRPr="00053CEB">
        <w:rPr>
          <w:rFonts w:hint="cs"/>
          <w:b/>
          <w:rtl/>
          <w:lang w:val="ar"/>
        </w:rPr>
        <w:t xml:space="preserve"> </w:t>
      </w:r>
      <w:r w:rsidRPr="00053CEB">
        <w:rPr>
          <w:rFonts w:hint="cs"/>
          <w:b/>
          <w:rtl/>
          <w:lang w:val="ar" w:bidi="ar-JO"/>
        </w:rPr>
        <w:t>هو</w:t>
      </w:r>
      <w:r w:rsidRPr="00053CEB">
        <w:rPr>
          <w:rFonts w:hint="cs"/>
          <w:b/>
          <w:rtl/>
          <w:lang w:val="ar"/>
        </w:rPr>
        <w:t xml:space="preserve"> </w:t>
      </w:r>
      <w:r w:rsidRPr="00053CEB">
        <w:rPr>
          <w:rFonts w:hint="cs"/>
          <w:b/>
          <w:rtl/>
          <w:lang w:val="ar" w:bidi="ar-JO"/>
        </w:rPr>
        <w:t>التصرف</w:t>
      </w:r>
      <w:r w:rsidRPr="00053CEB">
        <w:rPr>
          <w:rFonts w:hint="cs"/>
          <w:b/>
          <w:rtl/>
          <w:lang w:val="ar"/>
        </w:rPr>
        <w:t xml:space="preserve"> </w:t>
      </w:r>
      <w:r w:rsidRPr="00D33657">
        <w:rPr>
          <w:rFonts w:hint="cs"/>
          <w:b/>
          <w:color w:val="0D0D0D"/>
          <w:rtl/>
          <w:lang w:val="ar" w:bidi="ar-JO"/>
        </w:rPr>
        <w:t>بطريقة</w:t>
      </w:r>
      <w:r w:rsidRPr="00053CEB">
        <w:rPr>
          <w:rFonts w:hint="cs"/>
          <w:b/>
          <w:rtl/>
          <w:lang w:val="ar"/>
        </w:rPr>
        <w:t xml:space="preserve"> </w:t>
      </w:r>
      <w:r w:rsidRPr="00053CEB">
        <w:rPr>
          <w:rFonts w:hint="cs"/>
          <w:b/>
          <w:rtl/>
          <w:lang w:val="ar" w:bidi="ar-JO"/>
        </w:rPr>
        <w:t>سريعة</w:t>
      </w:r>
      <w:r w:rsidRPr="00053CEB">
        <w:rPr>
          <w:rFonts w:hint="cs"/>
          <w:b/>
          <w:rtl/>
          <w:lang w:val="ar"/>
        </w:rPr>
        <w:t xml:space="preserve"> </w:t>
      </w:r>
      <w:r w:rsidRPr="00053CEB">
        <w:rPr>
          <w:rFonts w:hint="cs"/>
          <w:b/>
          <w:rtl/>
          <w:lang w:val="ar" w:bidi="ar-JO"/>
        </w:rPr>
        <w:t>وناجعة</w:t>
      </w:r>
      <w:r w:rsidRPr="00053CEB">
        <w:rPr>
          <w:rFonts w:hint="cs"/>
          <w:b/>
          <w:rtl/>
          <w:lang w:val="ar"/>
        </w:rPr>
        <w:t xml:space="preserve"> </w:t>
      </w:r>
      <w:r w:rsidRPr="00053CEB">
        <w:rPr>
          <w:rFonts w:hint="cs"/>
          <w:b/>
          <w:rtl/>
          <w:lang w:val="ar" w:bidi="ar-JO"/>
        </w:rPr>
        <w:t>لتصحيح</w:t>
      </w:r>
      <w:r w:rsidRPr="00053CEB">
        <w:rPr>
          <w:rFonts w:hint="cs"/>
          <w:b/>
          <w:rtl/>
          <w:lang w:val="ar"/>
        </w:rPr>
        <w:t xml:space="preserve"> </w:t>
      </w:r>
      <w:r w:rsidRPr="00053CEB">
        <w:rPr>
          <w:rFonts w:hint="cs"/>
          <w:b/>
          <w:rtl/>
          <w:lang w:val="ar" w:bidi="ar-JO"/>
        </w:rPr>
        <w:t>أوجه</w:t>
      </w:r>
      <w:r w:rsidRPr="00053CEB">
        <w:rPr>
          <w:rFonts w:hint="cs"/>
          <w:b/>
          <w:rtl/>
          <w:lang w:val="ar"/>
        </w:rPr>
        <w:t xml:space="preserve"> </w:t>
      </w:r>
      <w:r w:rsidRPr="00053CEB">
        <w:rPr>
          <w:rFonts w:hint="cs"/>
          <w:b/>
          <w:rtl/>
          <w:lang w:val="ar" w:bidi="ar-JO"/>
        </w:rPr>
        <w:t>القصور</w:t>
      </w:r>
      <w:r w:rsidRPr="00053CEB">
        <w:rPr>
          <w:rFonts w:hint="cs"/>
          <w:b/>
          <w:rtl/>
          <w:lang w:val="ar"/>
        </w:rPr>
        <w:t xml:space="preserve"> </w:t>
      </w:r>
      <w:r w:rsidRPr="00053CEB">
        <w:rPr>
          <w:rFonts w:hint="cs"/>
          <w:b/>
          <w:rtl/>
          <w:lang w:val="ar" w:bidi="ar-JO"/>
        </w:rPr>
        <w:t>التي</w:t>
      </w:r>
      <w:r w:rsidRPr="00053CEB">
        <w:rPr>
          <w:rFonts w:hint="cs"/>
          <w:b/>
          <w:rtl/>
          <w:lang w:val="ar"/>
        </w:rPr>
        <w:t xml:space="preserve"> </w:t>
      </w:r>
      <w:r w:rsidRPr="00053CEB">
        <w:rPr>
          <w:rFonts w:hint="cs"/>
          <w:b/>
          <w:rtl/>
          <w:lang w:val="ar" w:bidi="ar-JO"/>
        </w:rPr>
        <w:t>تم</w:t>
      </w:r>
      <w:r w:rsidRPr="00053CEB">
        <w:rPr>
          <w:rFonts w:hint="cs"/>
          <w:b/>
          <w:rtl/>
          <w:lang w:val="ar"/>
        </w:rPr>
        <w:t xml:space="preserve"> </w:t>
      </w:r>
      <w:r w:rsidRPr="00053CEB">
        <w:rPr>
          <w:rFonts w:hint="cs"/>
          <w:b/>
          <w:rtl/>
          <w:lang w:val="ar" w:bidi="ar-JO"/>
        </w:rPr>
        <w:t>التطرق</w:t>
      </w:r>
      <w:r w:rsidRPr="00053CEB">
        <w:rPr>
          <w:rFonts w:hint="cs"/>
          <w:b/>
          <w:rtl/>
          <w:lang w:val="ar"/>
        </w:rPr>
        <w:t xml:space="preserve"> </w:t>
      </w:r>
      <w:r w:rsidRPr="00053CEB">
        <w:rPr>
          <w:rFonts w:hint="cs"/>
          <w:b/>
          <w:rtl/>
          <w:lang w:val="ar" w:bidi="ar-JO"/>
        </w:rPr>
        <w:t>إليها</w:t>
      </w:r>
      <w:r w:rsidRPr="00053CEB">
        <w:rPr>
          <w:rFonts w:hint="cs"/>
          <w:b/>
          <w:rtl/>
          <w:lang w:val="ar"/>
        </w:rPr>
        <w:t xml:space="preserve"> </w:t>
      </w:r>
      <w:r w:rsidRPr="00053CEB">
        <w:rPr>
          <w:rFonts w:hint="cs"/>
          <w:b/>
          <w:rtl/>
          <w:lang w:val="ar" w:bidi="ar-JO"/>
        </w:rPr>
        <w:t>في</w:t>
      </w:r>
      <w:r w:rsidRPr="00053CEB">
        <w:rPr>
          <w:rFonts w:hint="cs"/>
          <w:b/>
          <w:rtl/>
          <w:lang w:val="ar"/>
        </w:rPr>
        <w:t xml:space="preserve"> </w:t>
      </w:r>
      <w:r w:rsidRPr="00053CEB">
        <w:rPr>
          <w:rFonts w:hint="cs"/>
          <w:b/>
          <w:rtl/>
          <w:lang w:val="ar" w:bidi="ar-JO"/>
        </w:rPr>
        <w:t>هذا</w:t>
      </w:r>
      <w:r w:rsidRPr="00053CEB">
        <w:rPr>
          <w:rFonts w:hint="cs"/>
          <w:b/>
          <w:rtl/>
          <w:lang w:val="ar"/>
        </w:rPr>
        <w:t xml:space="preserve"> </w:t>
      </w:r>
      <w:r w:rsidRPr="00053CEB">
        <w:rPr>
          <w:rFonts w:hint="cs"/>
          <w:b/>
          <w:rtl/>
          <w:lang w:val="ar" w:bidi="ar-JO"/>
        </w:rPr>
        <w:t>التقرير</w:t>
      </w:r>
      <w:r w:rsidRPr="00053CEB">
        <w:rPr>
          <w:rFonts w:hint="cs"/>
          <w:b/>
          <w:rtl/>
          <w:lang w:val="ar"/>
        </w:rPr>
        <w:t xml:space="preserve"> </w:t>
      </w:r>
      <w:r w:rsidRPr="00053CEB">
        <w:rPr>
          <w:rFonts w:hint="cs"/>
          <w:b/>
          <w:rtl/>
          <w:lang w:val="ar" w:bidi="ar-JO"/>
        </w:rPr>
        <w:t>من</w:t>
      </w:r>
      <w:r w:rsidRPr="00053CEB">
        <w:rPr>
          <w:rFonts w:hint="cs"/>
          <w:b/>
          <w:rtl/>
          <w:lang w:val="ar"/>
        </w:rPr>
        <w:t xml:space="preserve"> </w:t>
      </w:r>
      <w:r w:rsidRPr="00053CEB">
        <w:rPr>
          <w:rFonts w:hint="cs"/>
          <w:b/>
          <w:rtl/>
          <w:lang w:val="ar" w:bidi="ar-JO"/>
        </w:rPr>
        <w:t>أجل</w:t>
      </w:r>
      <w:r w:rsidRPr="00053CEB">
        <w:rPr>
          <w:rFonts w:hint="cs"/>
          <w:b/>
          <w:rtl/>
          <w:lang w:val="ar"/>
        </w:rPr>
        <w:t xml:space="preserve"> </w:t>
      </w:r>
      <w:r w:rsidRPr="00053CEB">
        <w:rPr>
          <w:rFonts w:hint="cs"/>
          <w:b/>
          <w:rtl/>
          <w:lang w:val="ar" w:bidi="ar-JO"/>
        </w:rPr>
        <w:t>تعزيز</w:t>
      </w:r>
      <w:r w:rsidRPr="00053CEB">
        <w:rPr>
          <w:rFonts w:hint="cs"/>
          <w:b/>
          <w:rtl/>
          <w:lang w:val="ar"/>
        </w:rPr>
        <w:t xml:space="preserve"> </w:t>
      </w:r>
      <w:r w:rsidRPr="00053CEB">
        <w:rPr>
          <w:rFonts w:hint="cs"/>
          <w:b/>
          <w:rtl/>
          <w:lang w:val="ar" w:bidi="ar-JO"/>
        </w:rPr>
        <w:t>الخدمة</w:t>
      </w:r>
      <w:r w:rsidRPr="00053CEB">
        <w:rPr>
          <w:rFonts w:hint="cs"/>
          <w:b/>
          <w:rtl/>
          <w:lang w:val="ar"/>
        </w:rPr>
        <w:t xml:space="preserve"> </w:t>
      </w:r>
      <w:r w:rsidRPr="00053CEB">
        <w:rPr>
          <w:rFonts w:hint="cs"/>
          <w:b/>
          <w:rtl/>
          <w:lang w:val="ar" w:bidi="ar-JO"/>
        </w:rPr>
        <w:t>العامة</w:t>
      </w:r>
      <w:r w:rsidRPr="00053CEB">
        <w:rPr>
          <w:rFonts w:hint="cs"/>
          <w:b/>
          <w:rtl/>
          <w:lang w:val="ar"/>
        </w:rPr>
        <w:t xml:space="preserve"> </w:t>
      </w:r>
      <w:r w:rsidRPr="00053CEB">
        <w:rPr>
          <w:rFonts w:hint="cs"/>
          <w:b/>
          <w:rtl/>
          <w:lang w:val="ar" w:bidi="ar-JO"/>
        </w:rPr>
        <w:t>في</w:t>
      </w:r>
      <w:r w:rsidRPr="00053CEB">
        <w:rPr>
          <w:rFonts w:hint="cs"/>
          <w:b/>
          <w:rtl/>
          <w:lang w:val="ar"/>
        </w:rPr>
        <w:t xml:space="preserve"> </w:t>
      </w:r>
      <w:r w:rsidRPr="00053CEB">
        <w:rPr>
          <w:rFonts w:hint="cs"/>
          <w:b/>
          <w:rtl/>
          <w:lang w:val="ar" w:bidi="ar-JO"/>
        </w:rPr>
        <w:t>إسرائيل</w:t>
      </w:r>
      <w:r w:rsidRPr="00053CEB">
        <w:rPr>
          <w:rFonts w:hint="cs"/>
          <w:b/>
          <w:rtl/>
          <w:lang w:val="ar"/>
        </w:rPr>
        <w:t xml:space="preserve"> </w:t>
      </w:r>
      <w:r w:rsidRPr="00053CEB">
        <w:rPr>
          <w:rFonts w:hint="cs"/>
          <w:b/>
          <w:rtl/>
          <w:lang w:val="ar" w:bidi="ar-JO"/>
        </w:rPr>
        <w:t>وبالتالي</w:t>
      </w:r>
      <w:r w:rsidRPr="00053CEB">
        <w:rPr>
          <w:rFonts w:hint="cs"/>
          <w:b/>
          <w:rtl/>
          <w:lang w:val="ar"/>
        </w:rPr>
        <w:t xml:space="preserve"> </w:t>
      </w:r>
      <w:r w:rsidRPr="00053CEB">
        <w:rPr>
          <w:rFonts w:hint="cs"/>
          <w:b/>
          <w:rtl/>
          <w:lang w:val="ar" w:bidi="ar-JO"/>
        </w:rPr>
        <w:t>تحسين</w:t>
      </w:r>
      <w:r w:rsidRPr="00053CEB">
        <w:rPr>
          <w:rFonts w:hint="cs"/>
          <w:b/>
          <w:rtl/>
          <w:lang w:val="ar"/>
        </w:rPr>
        <w:t xml:space="preserve"> </w:t>
      </w:r>
      <w:r w:rsidRPr="00053CEB">
        <w:rPr>
          <w:rFonts w:hint="cs"/>
          <w:b/>
          <w:rtl/>
          <w:lang w:val="ar" w:bidi="ar-JO"/>
        </w:rPr>
        <w:t>جودة</w:t>
      </w:r>
      <w:r w:rsidRPr="00053CEB">
        <w:rPr>
          <w:rFonts w:hint="cs"/>
          <w:b/>
          <w:rtl/>
          <w:lang w:val="ar"/>
        </w:rPr>
        <w:t xml:space="preserve"> </w:t>
      </w:r>
      <w:r w:rsidRPr="00053CEB">
        <w:rPr>
          <w:rFonts w:hint="cs"/>
          <w:b/>
          <w:rtl/>
          <w:lang w:val="ar" w:bidi="ar-JO"/>
        </w:rPr>
        <w:t>حياة</w:t>
      </w:r>
      <w:r w:rsidRPr="00053CEB">
        <w:rPr>
          <w:rFonts w:hint="cs"/>
          <w:b/>
          <w:rtl/>
          <w:lang w:val="ar"/>
        </w:rPr>
        <w:t xml:space="preserve"> </w:t>
      </w:r>
      <w:r w:rsidRPr="00053CEB">
        <w:rPr>
          <w:rFonts w:hint="cs"/>
          <w:b/>
          <w:rtl/>
          <w:lang w:val="ar" w:bidi="ar-JO"/>
        </w:rPr>
        <w:t>سكان</w:t>
      </w:r>
      <w:r w:rsidRPr="00053CEB">
        <w:rPr>
          <w:rFonts w:hint="cs"/>
          <w:b/>
          <w:rtl/>
          <w:lang w:val="ar"/>
        </w:rPr>
        <w:t xml:space="preserve"> </w:t>
      </w:r>
      <w:r w:rsidRPr="00053CEB">
        <w:rPr>
          <w:rFonts w:hint="cs"/>
          <w:b/>
          <w:rtl/>
          <w:lang w:val="ar" w:bidi="ar-JO"/>
        </w:rPr>
        <w:t>إسرائيل</w:t>
      </w:r>
      <w:r w:rsidRPr="007D6A9A">
        <w:rPr>
          <w:rtl/>
        </w:rPr>
        <w:t>.</w:t>
      </w:r>
    </w:p>
    <w:p w:rsidR="00C16588" w:rsidP="00C16588" w14:paraId="1A603A70" w14:textId="77777777">
      <w:pPr>
        <w:pStyle w:val="7193"/>
        <w:spacing w:line="324" w:lineRule="auto"/>
        <w:rPr>
          <w:rFonts w:eastAsia="Calibri" w:asciiTheme="majorBidi" w:hAnsiTheme="majorBidi" w:cstheme="majorBidi"/>
          <w:color w:val="auto"/>
          <w:sz w:val="24"/>
          <w:szCs w:val="24"/>
        </w:rPr>
      </w:pPr>
    </w:p>
    <w:p w:rsidR="00C16588" w:rsidRPr="00CE2FC6" w:rsidP="00C16588" w14:paraId="78AE8804" w14:textId="77777777">
      <w:pPr>
        <w:pStyle w:val="7193"/>
        <w:spacing w:line="324" w:lineRule="auto"/>
        <w:rPr>
          <w:rFonts w:eastAsia="Calibri" w:asciiTheme="majorBidi" w:hAnsiTheme="majorBidi" w:cstheme="majorBidi"/>
          <w:color w:val="auto"/>
          <w:sz w:val="24"/>
          <w:szCs w:val="24"/>
          <w:rtl/>
        </w:rPr>
      </w:pPr>
    </w:p>
    <w:p w:rsidR="00C16588" w:rsidP="00C16588" w14:paraId="5AA4FD88" w14:textId="77777777">
      <w:pPr>
        <w:widowControl w:val="0"/>
        <w:spacing w:after="120" w:line="276" w:lineRule="auto"/>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86912" behindDoc="0" locked="0" layoutInCell="1" allowOverlap="1">
            <wp:simplePos x="0" y="0"/>
            <wp:positionH relativeFrom="column">
              <wp:posOffset>611554</wp:posOffset>
            </wp:positionH>
            <wp:positionV relativeFrom="paragraph">
              <wp:posOffset>93248</wp:posOffset>
            </wp:positionV>
            <wp:extent cx="1213485" cy="382905"/>
            <wp:effectExtent l="0" t="0" r="5715" b="0"/>
            <wp:wrapSquare wrapText="bothSides"/>
            <wp:docPr id="5" name="תמונה 1" descr="תמונה שמכילה אומנות קליפיפ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1" descr="תמונה שמכילה אומנות קליפיפם&#10;&#10;התיאור נוצר באופן אוטומטי"/>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13485" cy="382905"/>
                    </a:xfrm>
                    <a:prstGeom prst="rect">
                      <a:avLst/>
                    </a:prstGeom>
                  </pic:spPr>
                </pic:pic>
              </a:graphicData>
            </a:graphic>
            <wp14:sizeRelH relativeFrom="margin">
              <wp14:pctWidth>0</wp14:pctWidth>
            </wp14:sizeRelH>
            <wp14:sizeRelV relativeFrom="margin">
              <wp14:pctHeight>0</wp14:pctHeight>
            </wp14:sizeRelV>
          </wp:anchor>
        </w:drawing>
      </w:r>
    </w:p>
    <w:p w:rsidR="00C16588" w:rsidP="00C16588" w14:paraId="069F42D2" w14:textId="77777777">
      <w:pPr>
        <w:widowControl w:val="0"/>
        <w:spacing w:after="180" w:line="276" w:lineRule="auto"/>
        <w:ind w:left="3402"/>
        <w:jc w:val="center"/>
        <w:rPr>
          <w:rFonts w:asciiTheme="majorBidi" w:hAnsiTheme="majorBidi" w:cstheme="majorBidi"/>
          <w:b/>
          <w:bCs/>
          <w:sz w:val="24"/>
          <w:rtl/>
          <w:lang w:eastAsia="he-IL"/>
        </w:rPr>
      </w:pPr>
    </w:p>
    <w:p w:rsidR="00C16588" w:rsidRPr="0058401C" w:rsidP="00696D27" w14:paraId="26D321CC" w14:textId="77777777">
      <w:pPr>
        <w:pStyle w:val="7190"/>
        <w:spacing w:after="120"/>
        <w:ind w:left="3402"/>
        <w:jc w:val="center"/>
        <w:rPr>
          <w:b/>
          <w:bCs/>
        </w:rPr>
      </w:pPr>
      <w:r w:rsidRPr="0058401C">
        <w:rPr>
          <w:b/>
          <w:bCs/>
          <w:rtl/>
        </w:rPr>
        <w:t>متنياهو أنجلمان</w:t>
      </w:r>
    </w:p>
    <w:p w:rsidR="00C16588" w:rsidP="00C16588" w14:paraId="0CC448BC" w14:textId="77777777">
      <w:pPr>
        <w:pStyle w:val="7190"/>
        <w:ind w:left="3402"/>
        <w:jc w:val="center"/>
        <w:rPr>
          <w:rtl/>
        </w:rPr>
      </w:pPr>
      <w:r w:rsidRPr="0058401C">
        <w:rPr>
          <w:rtl/>
        </w:rPr>
        <w:t>مراقِب الدولة</w:t>
      </w:r>
      <w:r w:rsidRPr="0058401C">
        <w:rPr>
          <w:rtl/>
        </w:rPr>
        <w:br/>
        <w:t>ومفوَّض شكاوى الجمهور</w:t>
      </w:r>
    </w:p>
    <w:p w:rsidR="00B832CB" w:rsidP="00F26B27" w14:paraId="012247E0" w14:textId="77777777">
      <w:pPr>
        <w:pStyle w:val="7190"/>
      </w:pPr>
    </w:p>
    <w:p w:rsidR="00B832CB" w:rsidP="00F26B27" w14:paraId="020D4B08" w14:textId="77777777">
      <w:pPr>
        <w:pStyle w:val="7190"/>
      </w:pPr>
    </w:p>
    <w:p w:rsidR="00F26B27" w:rsidRPr="00A31C6E" w:rsidP="00F26B27" w14:paraId="0B9DE654" w14:textId="1B2C001E">
      <w:pPr>
        <w:pStyle w:val="7190"/>
        <w:rPr>
          <w:rtl/>
        </w:rPr>
      </w:pPr>
      <w:r w:rsidRPr="00A31C6E">
        <w:rPr>
          <w:rFonts w:hint="cs"/>
          <w:rtl/>
        </w:rPr>
        <w:t>أورشليم القدس، تمّوز 2023</w:t>
      </w:r>
    </w:p>
    <w:p w:rsidR="00F26B27" w:rsidRPr="0058401C" w:rsidP="00C16588" w14:paraId="3D0BE005" w14:textId="77777777">
      <w:pPr>
        <w:pStyle w:val="7190"/>
        <w:ind w:left="3402"/>
        <w:jc w:val="center"/>
        <w:rPr>
          <w:rtl/>
        </w:rPr>
      </w:pPr>
    </w:p>
    <w:p w:rsidR="00C16588" w:rsidP="00C16588" w14:paraId="6126FB8F" w14:textId="77777777">
      <w:pPr>
        <w:spacing w:after="360" w:line="276" w:lineRule="auto"/>
        <w:ind w:left="424"/>
        <w:rPr>
          <w:rFonts w:ascii="Tahoma" w:hAnsi="Tahoma" w:cs="Tahoma"/>
          <w:sz w:val="16"/>
          <w:szCs w:val="20"/>
          <w:lang w:bidi="ar-SA"/>
        </w:rPr>
      </w:pPr>
    </w:p>
    <w:p w:rsidR="00C16588" w14:paraId="2F8D7DAF" w14:textId="4D039AE6">
      <w:pPr>
        <w:bidi w:val="0"/>
        <w:spacing w:after="200" w:line="276" w:lineRule="auto"/>
        <w:rPr>
          <w:rFonts w:ascii="Tahoma" w:hAnsi="Tahoma" w:cs="Tahoma"/>
          <w:sz w:val="16"/>
          <w:szCs w:val="20"/>
          <w:rtl/>
          <w:lang w:bidi="ar-SA"/>
        </w:rPr>
      </w:pPr>
      <w:r>
        <w:rPr>
          <w:rFonts w:ascii="Tahoma" w:hAnsi="Tahoma" w:cs="Tahoma"/>
          <w:sz w:val="16"/>
          <w:szCs w:val="20"/>
          <w:rtl/>
          <w:lang w:bidi="ar-SA"/>
        </w:rPr>
        <w:br w:type="page"/>
      </w:r>
    </w:p>
    <w:p w:rsidR="00C16588" w:rsidRPr="00C16588" w:rsidP="00C16588" w14:paraId="409370D7" w14:textId="77777777">
      <w:pPr>
        <w:spacing w:after="360" w:line="276" w:lineRule="auto"/>
        <w:rPr>
          <w:rFonts w:ascii="Tahoma" w:hAnsi="Tahoma" w:cs="Tahoma"/>
          <w:sz w:val="16"/>
          <w:szCs w:val="20"/>
          <w:rtl/>
          <w:lang w:bidi="ar-SA"/>
        </w:rPr>
      </w:pPr>
    </w:p>
    <w:p w:rsidR="00C16588" w:rsidRPr="0058401C" w:rsidP="00C16588" w14:paraId="621B6928" w14:textId="77777777">
      <w:pPr>
        <w:pStyle w:val="7190"/>
      </w:pPr>
      <w:r w:rsidRPr="0058401C">
        <w:rPr>
          <w:rFonts w:hint="cs"/>
          <w:rtl/>
        </w:rPr>
        <w:t>أورشليم القدس, أيَار 2023</w:t>
      </w:r>
    </w:p>
    <w:p w:rsidR="007D4879" w:rsidP="000960BA" w14:paraId="125F06A1" w14:textId="2D453F9F">
      <w:pPr>
        <w:spacing w:line="240" w:lineRule="atLeast"/>
        <w:jc w:val="center"/>
        <w:rPr>
          <w:rFonts w:ascii="Tahoma" w:hAnsi="Tahoma" w:cs="Tahoma"/>
          <w:sz w:val="22"/>
          <w:szCs w:val="22"/>
          <w:rtl/>
        </w:rPr>
        <w:sectPr w:rsidSect="00691701">
          <w:headerReference w:type="even" r:id="rId21"/>
          <w:headerReference w:type="default" r:id="rId22"/>
          <w:footerReference w:type="default" r:id="rId23"/>
          <w:headerReference w:type="first" r:id="rId24"/>
          <w:footerReference w:type="first" r:id="rId25"/>
          <w:footnotePr>
            <w:numRestart w:val="eachSect"/>
          </w:footnotePr>
          <w:pgSz w:w="11906" w:h="16838" w:code="9"/>
          <w:pgMar w:top="3062" w:right="2268" w:bottom="2552" w:left="2268" w:header="1134" w:footer="1361" w:gutter="0"/>
          <w:pgNumType w:start="7"/>
          <w:cols w:space="720"/>
          <w:titlePg/>
          <w:bidi/>
          <w:rtlGutter/>
          <w:docGrid w:linePitch="272"/>
        </w:sectPr>
      </w:pPr>
      <w:r w:rsidRPr="0030415A">
        <w:rPr>
          <w:rFonts w:ascii="Tahoma" w:hAnsi="Tahoma" w:cs="Tahoma"/>
          <w:noProof/>
          <w:sz w:val="22"/>
          <w:szCs w:val="22"/>
          <w:rtl/>
        </w:rPr>
        <mc:AlternateContent>
          <mc:Choice Requires="wps">
            <w:drawing>
              <wp:anchor distT="45720" distB="45720" distL="114300" distR="114300" simplePos="0" relativeHeight="251666432" behindDoc="0" locked="0" layoutInCell="1" allowOverlap="1">
                <wp:simplePos x="0" y="0"/>
                <wp:positionH relativeFrom="column">
                  <wp:posOffset>282575</wp:posOffset>
                </wp:positionH>
                <wp:positionV relativeFrom="paragraph">
                  <wp:posOffset>259080</wp:posOffset>
                </wp:positionV>
                <wp:extent cx="4133850" cy="4273550"/>
                <wp:effectExtent l="0" t="0" r="6350" b="6350"/>
                <wp:wrapSquare wrapText="bothSides"/>
                <wp:docPr id="3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33850" cy="4273550"/>
                        </a:xfrm>
                        <a:prstGeom prst="rect">
                          <a:avLst/>
                        </a:prstGeom>
                        <a:solidFill>
                          <a:srgbClr val="00305F"/>
                        </a:solidFill>
                        <a:ln w="9525">
                          <a:noFill/>
                          <a:miter lim="800000"/>
                          <a:headEnd/>
                          <a:tailEnd/>
                        </a:ln>
                      </wps:spPr>
                      <wps:txbx>
                        <w:txbxContent>
                          <w:p w:rsidR="007D4879" w:rsidP="007D4879" w14:textId="77777777">
                            <w:pPr>
                              <w:ind w:left="2268"/>
                              <w:rPr>
                                <w:rFonts w:ascii="Tahoma" w:hAnsi="Tahoma" w:cs="Tahoma"/>
                                <w:sz w:val="18"/>
                                <w:szCs w:val="18"/>
                                <w:rtl/>
                              </w:rPr>
                            </w:pPr>
                          </w:p>
                          <w:p w:rsidR="007D4879" w:rsidP="007D4879" w14:textId="77777777">
                            <w:pPr>
                              <w:ind w:left="2268"/>
                              <w:rPr>
                                <w:rFonts w:ascii="Tahoma" w:hAnsi="Tahoma" w:cs="Tahoma"/>
                                <w:sz w:val="18"/>
                                <w:szCs w:val="18"/>
                                <w:rtl/>
                              </w:rPr>
                            </w:pPr>
                          </w:p>
                          <w:p w:rsidR="007D4879" w:rsidRPr="00B93971" w:rsidP="00B93971" w14:textId="1B42442E">
                            <w:pPr>
                              <w:pStyle w:val="a44"/>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דוח על הביקורת בשלטון המקומי</w:t>
                            </w:r>
                            <w:r w:rsidR="00F2251E">
                              <w:rPr>
                                <w:spacing w:val="-4"/>
                              </w:rPr>
                              <w:t xml:space="preserve">| </w:t>
                            </w:r>
                            <w:r w:rsidR="001D5633">
                              <w:rPr>
                                <w:rFonts w:hint="cs"/>
                                <w:spacing w:val="-4"/>
                                <w:rtl/>
                              </w:rPr>
                              <w:t xml:space="preserve"> </w:t>
                            </w:r>
                            <w:r w:rsidR="001D5633">
                              <w:rPr>
                                <w:spacing w:val="-4"/>
                                <w:rtl/>
                              </w:rPr>
                              <w:br/>
                            </w:r>
                            <w:r w:rsidRPr="00087F13">
                              <w:rPr>
                                <w:rFonts w:hint="cs"/>
                                <w:spacing w:val="-4"/>
                                <w:rtl/>
                              </w:rPr>
                              <w:t>התשפ״ג-2023</w:t>
                            </w:r>
                          </w:p>
                          <w:p w:rsidR="00536511" w:rsidP="007D4879" w14:textId="33DF3CB3">
                            <w:pPr>
                              <w:ind w:left="2268"/>
                              <w:rPr>
                                <w:rtl/>
                              </w:rPr>
                            </w:pPr>
                          </w:p>
                          <w:p w:rsidR="00CA1F53" w:rsidP="007D4879" w14:textId="77777777">
                            <w:pPr>
                              <w:ind w:left="2268"/>
                            </w:pPr>
                          </w:p>
                          <w:p w:rsidR="00B832CB" w:rsidP="007D4879" w14:textId="77777777">
                            <w:pPr>
                              <w:ind w:left="2268"/>
                              <w:rPr>
                                <w:rtl/>
                              </w:rPr>
                            </w:pPr>
                          </w:p>
                          <w:p w:rsidR="007D4879" w:rsidP="007D4879" w14:textId="644AD440">
                            <w:pPr>
                              <w:ind w:left="2268"/>
                              <w:rPr>
                                <w:rFonts w:ascii="Tahoma" w:hAnsi="Tahoma" w:eastAsiaTheme="minorEastAsia" w:cs="Tahoma"/>
                                <w:color w:val="FFFFFF" w:themeColor="background1"/>
                                <w:sz w:val="36"/>
                                <w:szCs w:val="36"/>
                              </w:rPr>
                            </w:pPr>
                            <w:r>
                              <w:rPr>
                                <w:rFonts w:ascii="Tahoma" w:hAnsi="Tahoma" w:eastAsiaTheme="minorEastAsia" w:cs="Tahoma" w:hint="cs"/>
                                <w:color w:val="FFFFFF" w:themeColor="background1"/>
                                <w:sz w:val="36"/>
                                <w:szCs w:val="36"/>
                                <w:rtl/>
                              </w:rPr>
                              <w:t>פרק</w:t>
                            </w:r>
                            <w:r w:rsidRPr="007D4879">
                              <w:rPr>
                                <w:rFonts w:ascii="Tahoma" w:hAnsi="Tahoma" w:eastAsiaTheme="minorEastAsia" w:cs="Tahoma" w:hint="cs"/>
                                <w:color w:val="FFFFFF" w:themeColor="background1"/>
                                <w:sz w:val="36"/>
                                <w:szCs w:val="36"/>
                                <w:rtl/>
                              </w:rPr>
                              <w:t xml:space="preserve"> ראשון</w:t>
                            </w:r>
                          </w:p>
                          <w:p w:rsidR="00B56214" w:rsidRPr="00097DDD" w:rsidP="00B832CB" w14:textId="476BCA5A">
                            <w:pPr>
                              <w:spacing w:before="240" w:line="240" w:lineRule="auto"/>
                              <w:ind w:left="2268"/>
                              <w:jc w:val="left"/>
                              <w:rPr>
                                <w:rFonts w:ascii="Tahoma" w:hAnsi="Tahoma" w:cs="Tahoma"/>
                                <w:b/>
                                <w:bCs/>
                                <w:color w:val="FFFFFF" w:themeColor="background1"/>
                                <w:sz w:val="60"/>
                                <w:szCs w:val="60"/>
                                <w:rtl/>
                              </w:rPr>
                            </w:pPr>
                            <w:r>
                              <w:rPr>
                                <w:rFonts w:ascii="Tahoma" w:hAnsi="Tahoma" w:cs="Tahoma" w:hint="cs"/>
                                <w:b/>
                                <w:bCs/>
                                <w:color w:val="FFFFFF" w:themeColor="background1"/>
                                <w:sz w:val="60"/>
                                <w:szCs w:val="60"/>
                                <w:rtl/>
                              </w:rPr>
                              <w:t>ביקורת</w:t>
                            </w:r>
                            <w:r w:rsidR="00466367">
                              <w:rPr>
                                <w:rFonts w:ascii="Tahoma" w:hAnsi="Tahoma" w:cs="Tahoma" w:hint="cs"/>
                                <w:b/>
                                <w:bCs/>
                                <w:color w:val="FFFFFF" w:themeColor="background1"/>
                                <w:sz w:val="60"/>
                                <w:szCs w:val="60"/>
                                <w:rtl/>
                              </w:rPr>
                              <w:t xml:space="preserve"> </w:t>
                            </w:r>
                            <w:r w:rsidR="00C32B44">
                              <w:rPr>
                                <w:rFonts w:ascii="Tahoma" w:hAnsi="Tahoma" w:cs="Tahoma" w:hint="cs"/>
                                <w:b/>
                                <w:bCs/>
                                <w:color w:val="FFFFFF" w:themeColor="background1"/>
                                <w:sz w:val="60"/>
                                <w:szCs w:val="60"/>
                                <w:rtl/>
                              </w:rPr>
                              <w:t>פ</w:t>
                            </w:r>
                            <w:r w:rsidR="001D5633">
                              <w:rPr>
                                <w:rFonts w:ascii="Tahoma" w:hAnsi="Tahoma" w:cs="Tahoma" w:hint="cs"/>
                                <w:b/>
                                <w:bCs/>
                                <w:color w:val="FFFFFF" w:themeColor="background1"/>
                                <w:sz w:val="60"/>
                                <w:szCs w:val="60"/>
                                <w:rtl/>
                              </w:rPr>
                              <w:t>י</w:t>
                            </w:r>
                            <w:r w:rsidR="00C32B44">
                              <w:rPr>
                                <w:rFonts w:ascii="Tahoma" w:hAnsi="Tahoma" w:cs="Tahoma" w:hint="cs"/>
                                <w:b/>
                                <w:bCs/>
                                <w:color w:val="FFFFFF" w:themeColor="background1"/>
                                <w:sz w:val="60"/>
                                <w:szCs w:val="60"/>
                                <w:rtl/>
                              </w:rPr>
                              <w:t>ננסית</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width:325.5pt;height:336.5pt;margin-top:20.4pt;margin-left:22.25pt;mso-height-percent:0;mso-height-relative:margin;mso-width-percent:0;mso-width-relative:margin;mso-wrap-distance-bottom:3.6pt;mso-wrap-distance-left:9pt;mso-wrap-distance-right:9pt;mso-wrap-distance-top:3.6pt;mso-wrap-style:square;position:absolute;visibility:visible;v-text-anchor:top;z-index:251667456" fillcolor="#00305f" stroked="f">
                <v:textbox>
                  <w:txbxContent>
                    <w:p w:rsidR="007D4879" w:rsidP="007D4879" w14:paraId="03FB1104" w14:textId="77777777">
                      <w:pPr>
                        <w:ind w:left="2268"/>
                        <w:rPr>
                          <w:rFonts w:ascii="Tahoma" w:hAnsi="Tahoma" w:cs="Tahoma"/>
                          <w:sz w:val="18"/>
                          <w:szCs w:val="18"/>
                          <w:rtl/>
                        </w:rPr>
                      </w:pPr>
                    </w:p>
                    <w:p w:rsidR="007D4879" w:rsidP="007D4879" w14:paraId="51C88AB6" w14:textId="77777777">
                      <w:pPr>
                        <w:ind w:left="2268"/>
                        <w:rPr>
                          <w:rFonts w:ascii="Tahoma" w:hAnsi="Tahoma" w:cs="Tahoma"/>
                          <w:sz w:val="18"/>
                          <w:szCs w:val="18"/>
                          <w:rtl/>
                        </w:rPr>
                      </w:pPr>
                    </w:p>
                    <w:p w:rsidR="007D4879" w:rsidRPr="00B93971" w:rsidP="00B93971" w14:paraId="2A6FA640" w14:textId="1B42442E">
                      <w:pPr>
                        <w:pStyle w:val="a44"/>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דוח על הביקורת בשלטון המקומי</w:t>
                      </w:r>
                      <w:r w:rsidR="00F2251E">
                        <w:rPr>
                          <w:spacing w:val="-4"/>
                        </w:rPr>
                        <w:t xml:space="preserve">| </w:t>
                      </w:r>
                      <w:r w:rsidR="001D5633">
                        <w:rPr>
                          <w:rFonts w:hint="cs"/>
                          <w:spacing w:val="-4"/>
                          <w:rtl/>
                        </w:rPr>
                        <w:t xml:space="preserve"> </w:t>
                      </w:r>
                      <w:r w:rsidR="001D5633">
                        <w:rPr>
                          <w:spacing w:val="-4"/>
                          <w:rtl/>
                        </w:rPr>
                        <w:br/>
                      </w:r>
                      <w:r w:rsidRPr="00087F13">
                        <w:rPr>
                          <w:rFonts w:hint="cs"/>
                          <w:spacing w:val="-4"/>
                          <w:rtl/>
                        </w:rPr>
                        <w:t>התשפ״ג-2023</w:t>
                      </w:r>
                    </w:p>
                    <w:p w:rsidR="00536511" w:rsidP="007D4879" w14:paraId="0F528BDE" w14:textId="33DF3CB3">
                      <w:pPr>
                        <w:ind w:left="2268"/>
                        <w:rPr>
                          <w:rtl/>
                        </w:rPr>
                      </w:pPr>
                    </w:p>
                    <w:p w:rsidR="00CA1F53" w:rsidP="007D4879" w14:paraId="0B9A6B56" w14:textId="77777777">
                      <w:pPr>
                        <w:ind w:left="2268"/>
                      </w:pPr>
                    </w:p>
                    <w:p w:rsidR="00B832CB" w:rsidP="007D4879" w14:paraId="3D7087D4" w14:textId="77777777">
                      <w:pPr>
                        <w:ind w:left="2268"/>
                        <w:rPr>
                          <w:rtl/>
                        </w:rPr>
                      </w:pPr>
                    </w:p>
                    <w:p w:rsidR="007D4879" w:rsidP="007D4879" w14:paraId="5F8B0EA8" w14:textId="644AD440">
                      <w:pPr>
                        <w:ind w:left="2268"/>
                        <w:rPr>
                          <w:rFonts w:ascii="Tahoma" w:hAnsi="Tahoma" w:eastAsiaTheme="minorEastAsia" w:cs="Tahoma"/>
                          <w:color w:val="FFFFFF" w:themeColor="background1"/>
                          <w:sz w:val="36"/>
                          <w:szCs w:val="36"/>
                        </w:rPr>
                      </w:pPr>
                      <w:r>
                        <w:rPr>
                          <w:rFonts w:ascii="Tahoma" w:hAnsi="Tahoma" w:eastAsiaTheme="minorEastAsia" w:cs="Tahoma" w:hint="cs"/>
                          <w:color w:val="FFFFFF" w:themeColor="background1"/>
                          <w:sz w:val="36"/>
                          <w:szCs w:val="36"/>
                          <w:rtl/>
                        </w:rPr>
                        <w:t>פרק</w:t>
                      </w:r>
                      <w:r w:rsidRPr="007D4879">
                        <w:rPr>
                          <w:rFonts w:ascii="Tahoma" w:hAnsi="Tahoma" w:eastAsiaTheme="minorEastAsia" w:cs="Tahoma" w:hint="cs"/>
                          <w:color w:val="FFFFFF" w:themeColor="background1"/>
                          <w:sz w:val="36"/>
                          <w:szCs w:val="36"/>
                          <w:rtl/>
                        </w:rPr>
                        <w:t xml:space="preserve"> ראשון</w:t>
                      </w:r>
                    </w:p>
                    <w:p w:rsidR="00B56214" w:rsidRPr="00097DDD" w:rsidP="00B832CB" w14:paraId="6FC485C7" w14:textId="476BCA5A">
                      <w:pPr>
                        <w:spacing w:before="240" w:line="240" w:lineRule="auto"/>
                        <w:ind w:left="2268"/>
                        <w:jc w:val="left"/>
                        <w:rPr>
                          <w:rFonts w:ascii="Tahoma" w:hAnsi="Tahoma" w:cs="Tahoma"/>
                          <w:b/>
                          <w:bCs/>
                          <w:color w:val="FFFFFF" w:themeColor="background1"/>
                          <w:sz w:val="60"/>
                          <w:szCs w:val="60"/>
                          <w:rtl/>
                        </w:rPr>
                      </w:pPr>
                      <w:r>
                        <w:rPr>
                          <w:rFonts w:ascii="Tahoma" w:hAnsi="Tahoma" w:cs="Tahoma" w:hint="cs"/>
                          <w:b/>
                          <w:bCs/>
                          <w:color w:val="FFFFFF" w:themeColor="background1"/>
                          <w:sz w:val="60"/>
                          <w:szCs w:val="60"/>
                          <w:rtl/>
                        </w:rPr>
                        <w:t>ביקורת</w:t>
                      </w:r>
                      <w:r w:rsidR="00466367">
                        <w:rPr>
                          <w:rFonts w:ascii="Tahoma" w:hAnsi="Tahoma" w:cs="Tahoma" w:hint="cs"/>
                          <w:b/>
                          <w:bCs/>
                          <w:color w:val="FFFFFF" w:themeColor="background1"/>
                          <w:sz w:val="60"/>
                          <w:szCs w:val="60"/>
                          <w:rtl/>
                        </w:rPr>
                        <w:t xml:space="preserve"> </w:t>
                      </w:r>
                      <w:r w:rsidR="00C32B44">
                        <w:rPr>
                          <w:rFonts w:ascii="Tahoma" w:hAnsi="Tahoma" w:cs="Tahoma" w:hint="cs"/>
                          <w:b/>
                          <w:bCs/>
                          <w:color w:val="FFFFFF" w:themeColor="background1"/>
                          <w:sz w:val="60"/>
                          <w:szCs w:val="60"/>
                          <w:rtl/>
                        </w:rPr>
                        <w:t>פ</w:t>
                      </w:r>
                      <w:r w:rsidR="001D5633">
                        <w:rPr>
                          <w:rFonts w:ascii="Tahoma" w:hAnsi="Tahoma" w:cs="Tahoma" w:hint="cs"/>
                          <w:b/>
                          <w:bCs/>
                          <w:color w:val="FFFFFF" w:themeColor="background1"/>
                          <w:sz w:val="60"/>
                          <w:szCs w:val="60"/>
                          <w:rtl/>
                        </w:rPr>
                        <w:t>י</w:t>
                      </w:r>
                      <w:r w:rsidR="00C32B44">
                        <w:rPr>
                          <w:rFonts w:ascii="Tahoma" w:hAnsi="Tahoma" w:cs="Tahoma" w:hint="cs"/>
                          <w:b/>
                          <w:bCs/>
                          <w:color w:val="FFFFFF" w:themeColor="background1"/>
                          <w:sz w:val="60"/>
                          <w:szCs w:val="60"/>
                          <w:rtl/>
                        </w:rPr>
                        <w:t>ננסית</w:t>
                      </w:r>
                    </w:p>
                  </w:txbxContent>
                </v:textbox>
                <w10:wrap type="square"/>
              </v:shape>
            </w:pict>
          </mc:Fallback>
        </mc:AlternateContent>
      </w:r>
      <w:r w:rsidR="008A3B36">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3072814</wp:posOffset>
                </wp:positionH>
                <wp:positionV relativeFrom="paragraph">
                  <wp:posOffset>369765</wp:posOffset>
                </wp:positionV>
                <wp:extent cx="0" cy="3530991"/>
                <wp:effectExtent l="25400" t="0" r="25400" b="25400"/>
                <wp:wrapNone/>
                <wp:docPr id="3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53099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38" style="mso-height-percent:0;mso-height-relative:margin;mso-wrap-distance-bottom:0;mso-wrap-distance-left:9pt;mso-wrap-distance-right:9pt;mso-wrap-distance-top:0;mso-wrap-style:square;position:absolute;visibility:visible;z-index:251671552" from="241.95pt,29.1pt" to="241.95pt,307.15pt" strokecolor="white" strokeweight="4pt"/>
            </w:pict>
          </mc:Fallback>
        </mc:AlternateContent>
      </w:r>
      <w:r w:rsidR="007D4879">
        <w:rPr>
          <w:rFonts w:ascii="Tahoma" w:hAnsi="Tahoma" w:cs="Tahoma"/>
          <w:noProof/>
          <w:szCs w:val="18"/>
        </w:rPr>
        <mc:AlternateContent>
          <mc:Choice Requires="wps">
            <w:drawing>
              <wp:anchor distT="0" distB="0" distL="114300" distR="114300" simplePos="0" relativeHeight="251664384" behindDoc="0" locked="0" layoutInCell="1" allowOverlap="1">
                <wp:simplePos x="0" y="0"/>
                <wp:positionH relativeFrom="column">
                  <wp:posOffset>-15163846</wp:posOffset>
                </wp:positionH>
                <wp:positionV relativeFrom="paragraph">
                  <wp:posOffset>-5918996</wp:posOffset>
                </wp:positionV>
                <wp:extent cx="20269200" cy="15478699"/>
                <wp:effectExtent l="12700" t="12700" r="12700" b="15875"/>
                <wp:wrapNone/>
                <wp:docPr id="33"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9"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5408" fillcolor="#00305f" strokecolor="#00305f" strokeweight="2pt"/>
            </w:pict>
          </mc:Fallback>
        </mc:AlternateContent>
      </w:r>
      <w:r w:rsidR="007D4879">
        <w:rPr>
          <w:rFonts w:hint="cs"/>
          <w:noProof/>
          <w:rtl/>
          <w:lang w:val="he-IL"/>
        </w:rPr>
        <w:drawing>
          <wp:anchor distT="0" distB="0" distL="114300" distR="114300" simplePos="0" relativeHeight="251668480"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47" name="Picture 26"/>
            <wp:cNvGraphicFramePr/>
            <a:graphic xmlns:a="http://schemas.openxmlformats.org/drawingml/2006/main">
              <a:graphicData uri="http://schemas.openxmlformats.org/drawingml/2006/picture">
                <pic:pic xmlns:pic="http://schemas.openxmlformats.org/drawingml/2006/picture">
                  <pic:nvPicPr>
                    <pic:cNvPr id="47" name="Picture 956"/>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Pr="0030415A" w:rsidR="007D4879">
        <w:rPr>
          <w:rFonts w:ascii="Tahoma" w:hAnsi="Tahoma" w:cs="Tahoma"/>
          <w:noProof/>
          <w:sz w:val="22"/>
          <w:szCs w:val="22"/>
          <w:rtl/>
        </w:rPr>
        <mc:AlternateContent>
          <mc:Choice Requires="wps">
            <w:drawing>
              <wp:anchor distT="0" distB="0" distL="114300" distR="114300" simplePos="0" relativeHeight="251662336"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34"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40" style="mso-wrap-distance-bottom:0;mso-wrap-distance-left:9pt;mso-wrap-distance-right:9pt;mso-wrap-distance-top:0;mso-wrap-style:square;position:absolute;visibility:visible;z-index:251663360" from="564.25pt,22.15pt" to="564.25pt,198.2pt" strokecolor="white" strokeweight="3.5pt"/>
            </w:pict>
          </mc:Fallback>
        </mc:AlternateContent>
      </w:r>
      <w:r w:rsidR="007D4879">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0"/>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652A94" w:rsidRPr="00652A94" w:rsidP="000960BA" w14:paraId="05AB505B" w14:textId="43579BAF">
      <w:pPr>
        <w:rPr>
          <w:rFonts w:ascii="Tahoma" w:hAnsi="Tahoma" w:cs="Tahoma"/>
          <w:sz w:val="24"/>
        </w:rPr>
      </w:pPr>
    </w:p>
    <w:sectPr w:rsidSect="00384CCC">
      <w:headerReference w:type="default" r:id="rId27"/>
      <w:footerReference w:type="default" r:id="rId28"/>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94235" w14:paraId="52594DFA" w14:textId="77777777">
      <w:pPr>
        <w:spacing w:line="240" w:lineRule="auto"/>
      </w:pPr>
      <w:r>
        <w:separator/>
      </w:r>
    </w:p>
    <w:p w:rsidR="00F94235" w14:paraId="47116250" w14:textId="77777777"/>
  </w:endnote>
  <w:endnote w:type="continuationSeparator" w:id="1">
    <w:p w:rsidR="00F94235" w14:paraId="63D0B5E3" w14:textId="77777777">
      <w:pPr>
        <w:spacing w:line="240" w:lineRule="auto"/>
      </w:pPr>
      <w:r>
        <w:continuationSeparator/>
      </w:r>
    </w:p>
    <w:p w:rsidR="00F94235" w14:paraId="58DEC3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F9F" w:rsidP="00C32F9F" w14:paraId="54875072" w14:textId="77777777">
    <w:pPr>
      <w:pStyle w:val="Footer"/>
      <w:spacing w:after="120" w:line="312" w:lineRule="auto"/>
      <w:ind w:left="-510"/>
      <w:jc w:val="left"/>
      <w:rPr>
        <w:rFonts w:ascii="Tahoma" w:hAnsi="Tahoma" w:cs="Tahoma"/>
        <w:sz w:val="18"/>
        <w:szCs w:val="18"/>
        <w:rtl/>
      </w:rPr>
    </w:pPr>
  </w:p>
  <w:p w:rsidR="00C32F9F" w:rsidP="00C32F9F" w14:paraId="6625F86F"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8</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421B27" w:rsidRPr="00C32F9F" w:rsidP="00C32F9F" w14:paraId="54BADE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F9F" w:rsidP="00C32F9F" w14:paraId="38A2E589"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32F9F" w:rsidRPr="00C32F9F" w:rsidP="00C32F9F" w14:paraId="310092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FBC" w:rsidP="006F6FBC" w14:paraId="54E7EE55"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7D4879" w:rsidRPr="006F6FBC" w:rsidP="006F6FBC" w14:paraId="2FB1586D" w14:textId="50B543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FBC" w:rsidP="006F6FBC" w14:paraId="6F9013B1"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22653" w:rsidRPr="006F6FBC" w:rsidP="006F6FBC" w14:paraId="4D32497F" w14:textId="25775F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RPr="00F533CF" w:rsidP="000960BA" w14:paraId="2117287C" w14:textId="10F44229">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4235" w:rsidP="00C23CC9" w14:paraId="2C229AA6" w14:textId="77777777">
      <w:pPr>
        <w:spacing w:line="240" w:lineRule="auto"/>
      </w:pPr>
      <w:r>
        <w:separator/>
      </w:r>
    </w:p>
  </w:footnote>
  <w:footnote w:type="continuationSeparator" w:id="1">
    <w:p w:rsidR="00F94235" w:rsidP="00C23CC9" w14:paraId="29A4A019" w14:textId="77777777">
      <w:pPr>
        <w:spacing w:line="240" w:lineRule="auto"/>
      </w:pPr>
      <w:r>
        <w:continuationSeparator/>
      </w:r>
    </w:p>
    <w:p w:rsidR="00F94235" w14:paraId="2B9EB0D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14:paraId="5CDEE855" w14:textId="55C8974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F2565F" w14:paraId="5465C61E" w14:textId="0B61943C">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54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82EA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7255AF" w14:paraId="268AFC17" w14:textId="52018CDE">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0272B" w14:paraId="3BA5282B" w14:textId="48BA833E">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DA4697" w:rsidP="00A33696" w14:paraId="0929BB0C" w14:textId="0BB42EA0">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1552" from="-122.4pt,30.05pt" to="362.75pt,30.05pt" strokecolor="#0d0d0d" strokeweight="0.25pt"/>
          </w:pict>
        </mc:Fallback>
      </mc:AlternateContent>
    </w:r>
    <w:r w:rsidR="00587631">
      <w:rPr>
        <w:rFonts w:ascii="Tahoma" w:hAnsi="Tahoma" w:cs="Tahoma"/>
        <w:noProof/>
        <w:color w:val="002060"/>
        <w:sz w:val="18"/>
        <w:szCs w:val="18"/>
      </w:rPr>
      <w:drawing>
        <wp:anchor distT="0" distB="0" distL="114300" distR="114300" simplePos="0" relativeHeight="251669504"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sidR="00587631">
      <w:rPr>
        <w:rFonts w:ascii="Tahoma" w:hAnsi="Tahoma" w:cs="Tahoma"/>
        <w:noProof/>
        <w:color w:val="002060"/>
        <w:sz w:val="18"/>
        <w:szCs w:val="18"/>
      </w:rPr>
      <mc:AlternateContent>
        <mc:Choice Requires="wps">
          <w:drawing>
            <wp:anchor distT="0" distB="0" distL="114300" distR="114300" simplePos="0" relativeHeight="251667456"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A4697" w:rsidRPr="00587631" w:rsidP="006637B9"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1" type="#_x0000_t202" style="width:261.2pt;height:22.1pt;margin-top:5.85pt;margin-left:107.6pt;mso-wrap-distance-bottom:0;mso-wrap-distance-left:9pt;mso-wrap-distance-right:9pt;mso-wrap-distance-top:0;mso-wrap-style:square;position:absolute;visibility:visible;v-text-anchor:top;z-index:251668480" stroked="f">
              <v:textbox style="mso-fit-shape-to-text:t">
                <w:txbxContent>
                  <w:p w:rsidR="00DA4697" w:rsidRPr="00587631" w:rsidP="006637B9" w14:paraId="7647DFBB"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14:paraId="1C6E1265" w14:textId="3F303209">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526AC" w14:paraId="18DE0C7A" w14:textId="26DB997D">
    <w:pPr>
      <w:pStyle w:val="Header"/>
      <w:tabs>
        <w:tab w:val="left" w:pos="493"/>
        <w:tab w:val="center" w:pos="4111"/>
        <w:tab w:val="clear" w:pos="4153"/>
        <w:tab w:val="right" w:pos="7478"/>
        <w:tab w:val="right" w:pos="8222"/>
        <w:tab w:val="clear" w:pos="8306"/>
      </w:tabs>
      <w:jc w:val="left"/>
      <w:rPr>
        <w:rtl/>
      </w:rPr>
    </w:pPr>
  </w:p>
  <w:p w:rsidR="00DA4697" w:rsidP="00005B23" w14:paraId="1172F310" w14:textId="0B0E20C9">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70528" from="-4.4pt,50.4pt" to="524.85pt,50.4pt" strokecolor="#0d0d0d" strokeweight="0.25pt"/>
          </w:pict>
        </mc:Fallback>
      </mc:AlternateContent>
    </w:r>
  </w:p>
  <w:p w:rsidR="00DA4697" w:rsidRPr="001526AC" w:rsidP="00005B23" w14:paraId="7C0E7E90" w14:textId="380C7A4A">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90224" cy="259080"/>
              <wp:effectExtent l="0" t="0" r="18415" b="762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90224" cy="259080"/>
                      </a:xfrm>
                      <a:prstGeom prst="rect">
                        <a:avLst/>
                      </a:prstGeom>
                      <a:solidFill>
                        <a:srgbClr val="FFFFFF"/>
                      </a:solidFill>
                      <a:ln w="9525">
                        <a:solidFill>
                          <a:schemeClr val="bg1"/>
                        </a:solidFill>
                        <a:miter lim="800000"/>
                        <a:headEnd/>
                        <a:tailEnd/>
                      </a:ln>
                    </wps:spPr>
                    <wps:txbx>
                      <w:txbxContent>
                        <w:p w:rsidR="00FE5CCB" w:rsidRPr="00136A3E" w:rsidP="00FE5CCB"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DA4697" w:rsidRPr="00FE5CCB" w:rsidP="00FE5CCB" w14:textId="3721DC5B">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3.5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FE5CCB" w:rsidRPr="00136A3E" w:rsidP="00FE5CCB" w14:paraId="598144C9"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DA4697" w:rsidRPr="00FE5CCB" w:rsidP="00FE5CCB" w14:paraId="1CF273F4" w14:textId="3721DC5B">
                    <w:pPr>
                      <w:bidi w:val="0"/>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E5A" w:rsidRPr="00003712" w:rsidP="00003712" w14:paraId="767AEAC6" w14:textId="736ABF5F">
    <w:pPr>
      <w:pStyle w:val="Header"/>
      <w:tabs>
        <w:tab w:val="left" w:pos="493"/>
        <w:tab w:val="center" w:pos="4111"/>
        <w:tab w:val="clear" w:pos="4153"/>
        <w:tab w:val="right" w:pos="7478"/>
        <w:tab w:val="right" w:pos="8222"/>
        <w:tab w:val="clear" w:pos="8306"/>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105" w:rsidP="001526AC" w14:paraId="0B18CF71"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667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D6105"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8784" filled="f" strokecolor="#a5a5a5" strokeweight="0.25pt">
              <v:stroke dashstyle="longDash"/>
              <v:textbox>
                <w:txbxContent>
                  <w:p w:rsidR="004D6105" w:rsidRPr="00DE3ECA" w:rsidP="00C86967" w14:paraId="624F7C0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4D6105" w:rsidP="001526AC" w14:paraId="51DAD23B" w14:textId="77777777">
    <w:pPr>
      <w:pStyle w:val="Header"/>
      <w:tabs>
        <w:tab w:val="left" w:pos="493"/>
        <w:tab w:val="center" w:pos="4111"/>
        <w:tab w:val="clear" w:pos="4153"/>
        <w:tab w:val="right" w:pos="7478"/>
        <w:tab w:val="right" w:pos="8222"/>
        <w:tab w:val="clear" w:pos="8306"/>
      </w:tabs>
      <w:jc w:val="left"/>
      <w:rPr>
        <w:rtl/>
      </w:rPr>
    </w:pPr>
  </w:p>
  <w:p w:rsidR="004D6105" w:rsidP="00005B23" w14:paraId="52BFF368"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6" style="flip:x;mso-height-percent:0;mso-height-relative:margin;mso-width-percent:0;mso-width-relative:margin;mso-wrap-distance-bottom:0;mso-wrap-distance-left:9pt;mso-wrap-distance-right:9pt;mso-wrap-distance-top:0;mso-wrap-style:square;position:absolute;visibility:visible;z-index:251700224" from="-4.4pt,50.4pt" to="524.85pt,50.4pt" strokecolor="#0d0d0d" strokeweight="0.25pt"/>
          </w:pict>
        </mc:Fallback>
      </mc:AlternateContent>
    </w:r>
  </w:p>
  <w:p w:rsidR="004D6105" w:rsidRPr="001526AC" w:rsidP="00005B23" w14:paraId="28E9ABA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3600"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B93971" w:rsidRPr="00136A3E" w:rsidP="00B93971" w14:textId="77777777">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p w:rsidR="004D6105" w:rsidRPr="00B93971"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7"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74624" strokecolor="white">
              <v:textbox>
                <w:txbxContent>
                  <w:p w:rsidR="00B93971" w:rsidRPr="00136A3E" w:rsidP="00B93971" w14:paraId="60AEF565" w14:textId="77777777">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p w:rsidR="004D6105" w:rsidRPr="00B93971" w:rsidP="00B244B0" w14:paraId="606A8C54" w14:textId="77777777">
                    <w:pPr>
                      <w:jc w:val="right"/>
                      <w:rPr>
                        <w:color w:val="0D0D0D" w:themeColor="text1" w:themeTint="F2"/>
                        <w:sz w:val="16"/>
                        <w:szCs w:val="16"/>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8CF" w:rsidP="00B708CF" w14:paraId="27766550"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B708CF" w:rsidP="00B708CF" w14:paraId="0419838F"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807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9"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708CF" w:rsidRPr="00DE3ECA" w:rsidP="00B708CF"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4688" filled="f" strokecolor="#a5a5a5" strokeweight="0.25pt">
              <v:stroke dashstyle="longDash"/>
              <v:textbox>
                <w:txbxContent>
                  <w:p w:rsidR="00B708CF" w:rsidRPr="00DE3ECA" w:rsidP="00B708CF" w14:paraId="121F26BE"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B708CF" w:rsidP="00B708CF" w14:paraId="61D8C217"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B708CF" w:rsidP="00B708CF" w14:paraId="539ACE96" w14:textId="77777777">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7D4879" w:rsidRPr="00B708CF" w:rsidP="00B708CF" w14:paraId="45F53B68" w14:textId="7515091A">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78720"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4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9" style="flip:x;mso-height-percent:0;mso-height-relative:margin;mso-width-percent:0;mso-width-relative:margin;mso-wrap-distance-bottom:0;mso-wrap-distance-left:9pt;mso-wrap-distance-right:9pt;mso-wrap-distance-top:0;mso-wrap-style:square;position:absolute;visibility:visible;z-index:251679744" from="-122.4pt,30.05pt" to="362.75pt,30.05pt" strokecolor="#0d0d0d" strokeweight="0.25pt"/>
          </w:pict>
        </mc:Fallback>
      </mc:AlternateContent>
    </w:r>
    <w:r>
      <w:rPr>
        <w:rFonts w:ascii="Tahoma" w:hAnsi="Tahoma" w:cs="Tahoma"/>
        <w:noProof/>
        <w:color w:val="002060"/>
        <w:sz w:val="18"/>
        <w:szCs w:val="18"/>
      </w:rPr>
      <w:drawing>
        <wp:anchor distT="0" distB="0" distL="114300" distR="114300" simplePos="0" relativeHeight="251684864"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43" name="תמונה 43"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תמונה 43" descr="תמונה שמכילה לוגו&#10;&#10;התיאור נוצר באופן אוטומטי"/>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82816"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4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B708CF" w:rsidRPr="00587631" w:rsidP="00B708CF"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60" type="#_x0000_t202" style="width:261.2pt;height:22.1pt;margin-top:5.85pt;margin-left:107.6pt;mso-wrap-distance-bottom:0;mso-wrap-distance-left:9pt;mso-wrap-distance-right:9pt;mso-wrap-distance-top:0;mso-wrap-style:square;position:absolute;visibility:visible;v-text-anchor:top;z-index:251683840" stroked="f">
              <v:textbox style="mso-fit-shape-to-text:t">
                <w:txbxContent>
                  <w:p w:rsidR="00B708CF" w:rsidRPr="00587631" w:rsidP="00B708CF" w14:paraId="501DEF69"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FBC" w:rsidP="006F6FBC" w14:paraId="18D545AC"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817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0"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6F6FBC" w:rsidRPr="00DE3ECA" w:rsidP="006F6FBC"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7280" filled="f" strokecolor="#a5a5a5" strokeweight="0.25pt">
              <v:stroke dashstyle="longDash"/>
              <v:textbox>
                <w:txbxContent>
                  <w:p w:rsidR="006F6FBC" w:rsidRPr="00DE3ECA" w:rsidP="006F6FBC" w14:paraId="6F5E1467"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6F6FBC" w:rsidP="006F6FBC" w14:paraId="48DE8D5C" w14:textId="77777777">
    <w:pPr>
      <w:pStyle w:val="Header"/>
      <w:tabs>
        <w:tab w:val="left" w:pos="493"/>
        <w:tab w:val="center" w:pos="4111"/>
        <w:tab w:val="clear" w:pos="4153"/>
        <w:tab w:val="right" w:pos="7478"/>
        <w:tab w:val="right" w:pos="8222"/>
        <w:tab w:val="clear" w:pos="8306"/>
      </w:tabs>
      <w:jc w:val="left"/>
      <w:rPr>
        <w:rtl/>
      </w:rPr>
    </w:pPr>
  </w:p>
  <w:p w:rsidR="006F6FBC" w:rsidP="006F6FBC" w14:paraId="1CE1CCE7"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97152"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50" name="תמונה 50"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תמונה 50" descr="תמונה שמכילה לוגו&#10;&#10;התיאור נוצר באופן אוטומטי"/>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44"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62"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7D4879" w:rsidRPr="006F6FBC" w:rsidP="006F6FBC" w14:paraId="6C4C705A" w14:textId="6203F50E">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5104"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B93971" w:rsidRPr="00136A3E" w:rsidP="00B93971" w14:textId="77777777">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p w:rsidR="006F6FBC" w:rsidRPr="00B93971" w:rsidP="006F6FBC"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96128" strokecolor="white">
              <v:textbox>
                <w:txbxContent>
                  <w:p w:rsidR="00B93971" w:rsidRPr="00136A3E" w:rsidP="00B93971" w14:paraId="522009C7" w14:textId="77777777">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p w:rsidR="006F6FBC" w:rsidRPr="00B93971" w:rsidP="006F6FBC" w14:paraId="7EFF07A5" w14:textId="77777777">
                    <w:pPr>
                      <w:jc w:val="right"/>
                      <w:rPr>
                        <w:color w:val="0D0D0D" w:themeColor="text1" w:themeTint="F2"/>
                        <w:sz w:val="16"/>
                        <w:szCs w:val="16"/>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FBC" w:rsidP="006F6FBC" w14:paraId="47E49550"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5"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6F6FBC" w:rsidRPr="00DE3ECA" w:rsidP="006F6FBC"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4"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6F6FBC" w:rsidRPr="00DE3ECA" w:rsidP="006F6FBC" w14:paraId="31B0F472"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6F6FBC" w:rsidP="006F6FBC" w14:paraId="2740F26F" w14:textId="77777777">
    <w:pPr>
      <w:pStyle w:val="Header"/>
      <w:tabs>
        <w:tab w:val="left" w:pos="493"/>
        <w:tab w:val="center" w:pos="4111"/>
        <w:tab w:val="clear" w:pos="4153"/>
        <w:tab w:val="right" w:pos="7478"/>
        <w:tab w:val="right" w:pos="8222"/>
        <w:tab w:val="clear" w:pos="8306"/>
      </w:tabs>
      <w:jc w:val="left"/>
      <w:rPr>
        <w:rtl/>
      </w:rPr>
    </w:pPr>
  </w:p>
  <w:p w:rsidR="006F6FBC" w:rsidP="006F6FBC" w14:paraId="01A15409"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8998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2" name="תמונה 32"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תמונה 32" descr="תמונה שמכילה לוגו&#10;&#10;התיאור נוצר באופן אוטומטי"/>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6"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65" style="flip:x;mso-height-percent:0;mso-height-relative:margin;mso-width-percent:0;mso-width-relative:margin;mso-wrap-distance-bottom:0;mso-wrap-distance-left:9pt;mso-wrap-distance-right:9pt;mso-wrap-distance-top:0;mso-wrap-style:square;position:absolute;visibility:visible;z-index:251686912" from="-4.4pt,50.4pt" to="524.85pt,50.4pt" strokecolor="#0d0d0d" strokeweight="0.25pt"/>
          </w:pict>
        </mc:Fallback>
      </mc:AlternateContent>
    </w:r>
  </w:p>
  <w:p w:rsidR="000F765F" w:rsidRPr="006F6FBC" w:rsidP="006F6FBC" w14:paraId="481467A4" w14:textId="216C87F6">
    <w:pPr>
      <w:pStyle w:val="Header"/>
      <w:tabs>
        <w:tab w:val="left" w:pos="493"/>
        <w:tab w:val="center" w:pos="4111"/>
        <w:tab w:val="clear" w:pos="4153"/>
        <w:tab w:val="right" w:pos="7478"/>
        <w:tab w:val="right" w:pos="8222"/>
        <w:tab w:val="clear" w:pos="8306"/>
      </w:tabs>
      <w:jc w:val="left"/>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3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B93971" w:rsidRPr="00136A3E" w:rsidP="00B93971" w14:textId="77777777">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p w:rsidR="006F6FBC" w:rsidRPr="00B93971" w:rsidP="006F6FBC"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6"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88960" strokecolor="white">
              <v:textbox>
                <w:txbxContent>
                  <w:p w:rsidR="00B93971" w:rsidRPr="00136A3E" w:rsidP="00B93971" w14:paraId="7C7C6BD3" w14:textId="77777777">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p w:rsidR="006F6FBC" w:rsidRPr="00B93971" w:rsidP="006F6FBC" w14:paraId="198CC169" w14:textId="77777777">
                    <w:pPr>
                      <w:jc w:val="right"/>
                      <w:rPr>
                        <w:color w:val="0D0D0D" w:themeColor="text1" w:themeTint="F2"/>
                        <w:sz w:val="16"/>
                        <w:szCs w:val="16"/>
                      </w:rPr>
                    </w:pP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RPr="001526AC" w:rsidP="00005B23" w14:paraId="08AF4C85" w14:textId="0CC9D8A7">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3">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4">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6">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59BD5E6B"/>
    <w:multiLevelType w:val="hybridMultilevel"/>
    <w:tmpl w:val="4CA487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4">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6">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4"/>
  </w:num>
  <w:num w:numId="2">
    <w:abstractNumId w:val="9"/>
  </w:num>
  <w:num w:numId="3">
    <w:abstractNumId w:val="16"/>
  </w:num>
  <w:num w:numId="4">
    <w:abstractNumId w:val="12"/>
  </w:num>
  <w:num w:numId="5">
    <w:abstractNumId w:val="7"/>
  </w:num>
  <w:num w:numId="6">
    <w:abstractNumId w:val="8"/>
  </w:num>
  <w:num w:numId="7">
    <w:abstractNumId w:val="17"/>
  </w:num>
  <w:num w:numId="8">
    <w:abstractNumId w:val="0"/>
  </w:num>
  <w:num w:numId="9">
    <w:abstractNumId w:val="10"/>
  </w:num>
  <w:num w:numId="10">
    <w:abstractNumId w:val="2"/>
  </w:num>
  <w:num w:numId="11">
    <w:abstractNumId w:val="13"/>
  </w:num>
  <w:num w:numId="12">
    <w:abstractNumId w:val="1"/>
  </w:num>
  <w:num w:numId="13">
    <w:abstractNumId w:val="3"/>
  </w:num>
  <w:num w:numId="14">
    <w:abstractNumId w:val="15"/>
  </w:num>
  <w:num w:numId="15">
    <w:abstractNumId w:val="5"/>
  </w:num>
  <w:num w:numId="16">
    <w:abstractNumId w:val="6"/>
  </w:num>
  <w:num w:numId="17">
    <w:abstractNumId w:val="11"/>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63"/>
  <w:proofState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712"/>
    <w:rsid w:val="00003926"/>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268F"/>
    <w:rsid w:val="0001355D"/>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BB"/>
    <w:rsid w:val="000303C9"/>
    <w:rsid w:val="000304A1"/>
    <w:rsid w:val="00031886"/>
    <w:rsid w:val="00031990"/>
    <w:rsid w:val="00031C68"/>
    <w:rsid w:val="00031C69"/>
    <w:rsid w:val="00031CEB"/>
    <w:rsid w:val="00032932"/>
    <w:rsid w:val="00032F4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4"/>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2D21"/>
    <w:rsid w:val="000532AA"/>
    <w:rsid w:val="00053AA7"/>
    <w:rsid w:val="00053CEB"/>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E8A"/>
    <w:rsid w:val="00074F31"/>
    <w:rsid w:val="00076758"/>
    <w:rsid w:val="00076ED7"/>
    <w:rsid w:val="00076FCC"/>
    <w:rsid w:val="0007717F"/>
    <w:rsid w:val="0007762A"/>
    <w:rsid w:val="00077B79"/>
    <w:rsid w:val="00080072"/>
    <w:rsid w:val="00081D0E"/>
    <w:rsid w:val="000824F8"/>
    <w:rsid w:val="00082C66"/>
    <w:rsid w:val="000833E9"/>
    <w:rsid w:val="0008345D"/>
    <w:rsid w:val="00083692"/>
    <w:rsid w:val="00083FD0"/>
    <w:rsid w:val="00084E3A"/>
    <w:rsid w:val="00085086"/>
    <w:rsid w:val="00085A22"/>
    <w:rsid w:val="00085B99"/>
    <w:rsid w:val="00086221"/>
    <w:rsid w:val="00086738"/>
    <w:rsid w:val="00086BCD"/>
    <w:rsid w:val="00087F13"/>
    <w:rsid w:val="0009022D"/>
    <w:rsid w:val="00090633"/>
    <w:rsid w:val="000907D0"/>
    <w:rsid w:val="000911E5"/>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E65"/>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3AF6"/>
    <w:rsid w:val="000D4B88"/>
    <w:rsid w:val="000D520E"/>
    <w:rsid w:val="000D53BB"/>
    <w:rsid w:val="000D5698"/>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93B"/>
    <w:rsid w:val="000F6F38"/>
    <w:rsid w:val="000F765F"/>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09B"/>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7B3"/>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526"/>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6BA2"/>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4362"/>
    <w:rsid w:val="00195BC7"/>
    <w:rsid w:val="00195D82"/>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1DE0"/>
    <w:rsid w:val="001C2CAD"/>
    <w:rsid w:val="001C308D"/>
    <w:rsid w:val="001C3187"/>
    <w:rsid w:val="001C3232"/>
    <w:rsid w:val="001C34D5"/>
    <w:rsid w:val="001C3C99"/>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5633"/>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3568"/>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2DA"/>
    <w:rsid w:val="002043E0"/>
    <w:rsid w:val="00204D56"/>
    <w:rsid w:val="00205724"/>
    <w:rsid w:val="002064F7"/>
    <w:rsid w:val="00206509"/>
    <w:rsid w:val="00206BDB"/>
    <w:rsid w:val="0021058F"/>
    <w:rsid w:val="0021135F"/>
    <w:rsid w:val="0021150C"/>
    <w:rsid w:val="002120DB"/>
    <w:rsid w:val="00212638"/>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CA8"/>
    <w:rsid w:val="00226F2D"/>
    <w:rsid w:val="0022705A"/>
    <w:rsid w:val="00227E88"/>
    <w:rsid w:val="0023004B"/>
    <w:rsid w:val="002301B6"/>
    <w:rsid w:val="00230B94"/>
    <w:rsid w:val="00231C3C"/>
    <w:rsid w:val="00231DC5"/>
    <w:rsid w:val="00232836"/>
    <w:rsid w:val="00233774"/>
    <w:rsid w:val="002338F8"/>
    <w:rsid w:val="00234167"/>
    <w:rsid w:val="00234AB5"/>
    <w:rsid w:val="00234D93"/>
    <w:rsid w:val="00234F9B"/>
    <w:rsid w:val="0023589B"/>
    <w:rsid w:val="00235AEE"/>
    <w:rsid w:val="00235D75"/>
    <w:rsid w:val="002364D6"/>
    <w:rsid w:val="002366CE"/>
    <w:rsid w:val="002375D3"/>
    <w:rsid w:val="0024001A"/>
    <w:rsid w:val="00240887"/>
    <w:rsid w:val="00240AFF"/>
    <w:rsid w:val="002419F2"/>
    <w:rsid w:val="00241BE5"/>
    <w:rsid w:val="00243951"/>
    <w:rsid w:val="00243E20"/>
    <w:rsid w:val="00244096"/>
    <w:rsid w:val="0024417D"/>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9AC"/>
    <w:rsid w:val="00261C84"/>
    <w:rsid w:val="00262A9E"/>
    <w:rsid w:val="00263521"/>
    <w:rsid w:val="00263A1E"/>
    <w:rsid w:val="00263DB7"/>
    <w:rsid w:val="00265428"/>
    <w:rsid w:val="002654D1"/>
    <w:rsid w:val="00265EEE"/>
    <w:rsid w:val="00266618"/>
    <w:rsid w:val="00270E99"/>
    <w:rsid w:val="0027101D"/>
    <w:rsid w:val="0027121E"/>
    <w:rsid w:val="0027188F"/>
    <w:rsid w:val="00272B88"/>
    <w:rsid w:val="002739B2"/>
    <w:rsid w:val="00273A52"/>
    <w:rsid w:val="0027424D"/>
    <w:rsid w:val="00275375"/>
    <w:rsid w:val="00275A79"/>
    <w:rsid w:val="00276563"/>
    <w:rsid w:val="00276D2F"/>
    <w:rsid w:val="00276D55"/>
    <w:rsid w:val="00277114"/>
    <w:rsid w:val="00277246"/>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87E45"/>
    <w:rsid w:val="00290B29"/>
    <w:rsid w:val="00290C01"/>
    <w:rsid w:val="00291775"/>
    <w:rsid w:val="002920D3"/>
    <w:rsid w:val="002925CD"/>
    <w:rsid w:val="00292772"/>
    <w:rsid w:val="00292A58"/>
    <w:rsid w:val="00293FC3"/>
    <w:rsid w:val="00294784"/>
    <w:rsid w:val="00294AF0"/>
    <w:rsid w:val="00296A9F"/>
    <w:rsid w:val="002970CC"/>
    <w:rsid w:val="00297B77"/>
    <w:rsid w:val="00297FD7"/>
    <w:rsid w:val="002A04CC"/>
    <w:rsid w:val="002A1117"/>
    <w:rsid w:val="002A18D6"/>
    <w:rsid w:val="002A2132"/>
    <w:rsid w:val="002A2C5A"/>
    <w:rsid w:val="002A33B9"/>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9F7"/>
    <w:rsid w:val="002B3A8C"/>
    <w:rsid w:val="002B55FA"/>
    <w:rsid w:val="002B5C10"/>
    <w:rsid w:val="002B5D65"/>
    <w:rsid w:val="002B637F"/>
    <w:rsid w:val="002B65DC"/>
    <w:rsid w:val="002B6FB4"/>
    <w:rsid w:val="002C06EB"/>
    <w:rsid w:val="002C1D86"/>
    <w:rsid w:val="002C1EE0"/>
    <w:rsid w:val="002C22BA"/>
    <w:rsid w:val="002C28D3"/>
    <w:rsid w:val="002C2B0E"/>
    <w:rsid w:val="002C316A"/>
    <w:rsid w:val="002C33C5"/>
    <w:rsid w:val="002C3B87"/>
    <w:rsid w:val="002C4139"/>
    <w:rsid w:val="002C4302"/>
    <w:rsid w:val="002C4F9F"/>
    <w:rsid w:val="002C54FF"/>
    <w:rsid w:val="002C578E"/>
    <w:rsid w:val="002C58AD"/>
    <w:rsid w:val="002C6153"/>
    <w:rsid w:val="002C65B3"/>
    <w:rsid w:val="002C6763"/>
    <w:rsid w:val="002C6D22"/>
    <w:rsid w:val="002C70A2"/>
    <w:rsid w:val="002C7D35"/>
    <w:rsid w:val="002D0C0C"/>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707E"/>
    <w:rsid w:val="002E70B8"/>
    <w:rsid w:val="002E7528"/>
    <w:rsid w:val="002E76D3"/>
    <w:rsid w:val="002E7C1A"/>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1800"/>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EBC"/>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3F0"/>
    <w:rsid w:val="00353B1C"/>
    <w:rsid w:val="0035448A"/>
    <w:rsid w:val="00355162"/>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2B3A"/>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6E61"/>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6CC"/>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0E6B"/>
    <w:rsid w:val="0042151A"/>
    <w:rsid w:val="00421B27"/>
    <w:rsid w:val="00421D2C"/>
    <w:rsid w:val="0042232C"/>
    <w:rsid w:val="00422F81"/>
    <w:rsid w:val="004234FC"/>
    <w:rsid w:val="0042429B"/>
    <w:rsid w:val="0042545B"/>
    <w:rsid w:val="00425C95"/>
    <w:rsid w:val="00425D9F"/>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5BB"/>
    <w:rsid w:val="004436F7"/>
    <w:rsid w:val="00443B39"/>
    <w:rsid w:val="00443D1B"/>
    <w:rsid w:val="0044419E"/>
    <w:rsid w:val="00444597"/>
    <w:rsid w:val="0044459F"/>
    <w:rsid w:val="004453BB"/>
    <w:rsid w:val="00445522"/>
    <w:rsid w:val="0044619B"/>
    <w:rsid w:val="00446802"/>
    <w:rsid w:val="00446FDC"/>
    <w:rsid w:val="004470C5"/>
    <w:rsid w:val="0044727D"/>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507"/>
    <w:rsid w:val="00460B1C"/>
    <w:rsid w:val="004617CF"/>
    <w:rsid w:val="004622BB"/>
    <w:rsid w:val="00462348"/>
    <w:rsid w:val="00463683"/>
    <w:rsid w:val="00464C2F"/>
    <w:rsid w:val="00464D56"/>
    <w:rsid w:val="00464DF0"/>
    <w:rsid w:val="00465562"/>
    <w:rsid w:val="00465DDF"/>
    <w:rsid w:val="004661DB"/>
    <w:rsid w:val="00466367"/>
    <w:rsid w:val="00466B28"/>
    <w:rsid w:val="00467D5E"/>
    <w:rsid w:val="004700DC"/>
    <w:rsid w:val="0047012B"/>
    <w:rsid w:val="004705A4"/>
    <w:rsid w:val="00470ACC"/>
    <w:rsid w:val="00471164"/>
    <w:rsid w:val="0047126F"/>
    <w:rsid w:val="0047129E"/>
    <w:rsid w:val="00471752"/>
    <w:rsid w:val="00471AA2"/>
    <w:rsid w:val="00471E18"/>
    <w:rsid w:val="00471FC6"/>
    <w:rsid w:val="0047228C"/>
    <w:rsid w:val="0047367B"/>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0A36"/>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430"/>
    <w:rsid w:val="004937CC"/>
    <w:rsid w:val="004939B6"/>
    <w:rsid w:val="00493AE1"/>
    <w:rsid w:val="00493CBE"/>
    <w:rsid w:val="004940D7"/>
    <w:rsid w:val="004942BB"/>
    <w:rsid w:val="004945A4"/>
    <w:rsid w:val="00494C49"/>
    <w:rsid w:val="00495214"/>
    <w:rsid w:val="004955D7"/>
    <w:rsid w:val="0049574B"/>
    <w:rsid w:val="00495F37"/>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3A69"/>
    <w:rsid w:val="004B4756"/>
    <w:rsid w:val="004B5F7A"/>
    <w:rsid w:val="004B6164"/>
    <w:rsid w:val="004B63AE"/>
    <w:rsid w:val="004B7C1A"/>
    <w:rsid w:val="004C056A"/>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5C6"/>
    <w:rsid w:val="004D38B0"/>
    <w:rsid w:val="004D3AAD"/>
    <w:rsid w:val="004D4C8A"/>
    <w:rsid w:val="004D562B"/>
    <w:rsid w:val="004D581B"/>
    <w:rsid w:val="004D5AD1"/>
    <w:rsid w:val="004D6027"/>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4E5"/>
    <w:rsid w:val="00511F6D"/>
    <w:rsid w:val="005130A4"/>
    <w:rsid w:val="0051326F"/>
    <w:rsid w:val="00513A75"/>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4289"/>
    <w:rsid w:val="005250BC"/>
    <w:rsid w:val="005254F8"/>
    <w:rsid w:val="005259CE"/>
    <w:rsid w:val="00526053"/>
    <w:rsid w:val="005265D4"/>
    <w:rsid w:val="00526812"/>
    <w:rsid w:val="0052721A"/>
    <w:rsid w:val="005274E2"/>
    <w:rsid w:val="00527518"/>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9C8"/>
    <w:rsid w:val="00580C5C"/>
    <w:rsid w:val="00580DA8"/>
    <w:rsid w:val="00580F79"/>
    <w:rsid w:val="0058142E"/>
    <w:rsid w:val="00581795"/>
    <w:rsid w:val="00582865"/>
    <w:rsid w:val="00583B95"/>
    <w:rsid w:val="0058401C"/>
    <w:rsid w:val="005850FD"/>
    <w:rsid w:val="0058597D"/>
    <w:rsid w:val="00585BB5"/>
    <w:rsid w:val="00585F34"/>
    <w:rsid w:val="005869A9"/>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2E6"/>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6413"/>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2F"/>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0326"/>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377"/>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956"/>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3DC4"/>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586"/>
    <w:rsid w:val="00652A94"/>
    <w:rsid w:val="00652BC3"/>
    <w:rsid w:val="006531CB"/>
    <w:rsid w:val="00653453"/>
    <w:rsid w:val="00653E4D"/>
    <w:rsid w:val="00653F03"/>
    <w:rsid w:val="00654139"/>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3B0"/>
    <w:rsid w:val="006624D4"/>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976"/>
    <w:rsid w:val="00686E12"/>
    <w:rsid w:val="00690E56"/>
    <w:rsid w:val="0069165A"/>
    <w:rsid w:val="00691701"/>
    <w:rsid w:val="00691B4D"/>
    <w:rsid w:val="0069249C"/>
    <w:rsid w:val="00692613"/>
    <w:rsid w:val="00692C1D"/>
    <w:rsid w:val="0069335D"/>
    <w:rsid w:val="00694C3C"/>
    <w:rsid w:val="00696D27"/>
    <w:rsid w:val="00697E8B"/>
    <w:rsid w:val="006A040F"/>
    <w:rsid w:val="006A1039"/>
    <w:rsid w:val="006A1046"/>
    <w:rsid w:val="006A21AF"/>
    <w:rsid w:val="006A29E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9CD"/>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2E"/>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0FB"/>
    <w:rsid w:val="006D4161"/>
    <w:rsid w:val="006D5CCE"/>
    <w:rsid w:val="006D60EF"/>
    <w:rsid w:val="006D6131"/>
    <w:rsid w:val="006D66B2"/>
    <w:rsid w:val="006D6CC0"/>
    <w:rsid w:val="006D6DC4"/>
    <w:rsid w:val="006D7241"/>
    <w:rsid w:val="006D76F3"/>
    <w:rsid w:val="006D786C"/>
    <w:rsid w:val="006D795F"/>
    <w:rsid w:val="006D79E4"/>
    <w:rsid w:val="006D7BA7"/>
    <w:rsid w:val="006E07AA"/>
    <w:rsid w:val="006E123A"/>
    <w:rsid w:val="006E1791"/>
    <w:rsid w:val="006E2138"/>
    <w:rsid w:val="006E24C0"/>
    <w:rsid w:val="006E2874"/>
    <w:rsid w:val="006E2C4B"/>
    <w:rsid w:val="006E3521"/>
    <w:rsid w:val="006E36C3"/>
    <w:rsid w:val="006E3788"/>
    <w:rsid w:val="006E3C03"/>
    <w:rsid w:val="006E42E4"/>
    <w:rsid w:val="006E4684"/>
    <w:rsid w:val="006E4866"/>
    <w:rsid w:val="006E4869"/>
    <w:rsid w:val="006E4ABF"/>
    <w:rsid w:val="006E52CE"/>
    <w:rsid w:val="006E57B4"/>
    <w:rsid w:val="006E585B"/>
    <w:rsid w:val="006E5FB1"/>
    <w:rsid w:val="006E6297"/>
    <w:rsid w:val="006E632D"/>
    <w:rsid w:val="006E638B"/>
    <w:rsid w:val="006E6560"/>
    <w:rsid w:val="006E663F"/>
    <w:rsid w:val="006E67D8"/>
    <w:rsid w:val="006E6CC2"/>
    <w:rsid w:val="006E6E66"/>
    <w:rsid w:val="006E787E"/>
    <w:rsid w:val="006F0215"/>
    <w:rsid w:val="006F10E1"/>
    <w:rsid w:val="006F11DD"/>
    <w:rsid w:val="006F161B"/>
    <w:rsid w:val="006F18DD"/>
    <w:rsid w:val="006F19AA"/>
    <w:rsid w:val="006F19AB"/>
    <w:rsid w:val="006F26FB"/>
    <w:rsid w:val="006F281D"/>
    <w:rsid w:val="006F285F"/>
    <w:rsid w:val="006F3142"/>
    <w:rsid w:val="006F347B"/>
    <w:rsid w:val="006F3536"/>
    <w:rsid w:val="006F3A6E"/>
    <w:rsid w:val="006F45A4"/>
    <w:rsid w:val="006F4A1E"/>
    <w:rsid w:val="006F4D90"/>
    <w:rsid w:val="006F6FBC"/>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555"/>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3952"/>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2C0"/>
    <w:rsid w:val="00760B67"/>
    <w:rsid w:val="00760F3C"/>
    <w:rsid w:val="00761CE2"/>
    <w:rsid w:val="00761E1F"/>
    <w:rsid w:val="00761E43"/>
    <w:rsid w:val="007628A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6B5A"/>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755"/>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25F5"/>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371"/>
    <w:rsid w:val="007D14D7"/>
    <w:rsid w:val="007D15AE"/>
    <w:rsid w:val="007D16B5"/>
    <w:rsid w:val="007D1D12"/>
    <w:rsid w:val="007D1D95"/>
    <w:rsid w:val="007D337B"/>
    <w:rsid w:val="007D4382"/>
    <w:rsid w:val="007D4879"/>
    <w:rsid w:val="007D4931"/>
    <w:rsid w:val="007D56D2"/>
    <w:rsid w:val="007D5C93"/>
    <w:rsid w:val="007D61B8"/>
    <w:rsid w:val="007D6945"/>
    <w:rsid w:val="007D6A9A"/>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42EB"/>
    <w:rsid w:val="007E5629"/>
    <w:rsid w:val="007E5829"/>
    <w:rsid w:val="007E5AD7"/>
    <w:rsid w:val="007E5B59"/>
    <w:rsid w:val="007E66B0"/>
    <w:rsid w:val="007E68C3"/>
    <w:rsid w:val="007E69A8"/>
    <w:rsid w:val="007E6E5C"/>
    <w:rsid w:val="007E714E"/>
    <w:rsid w:val="007E72D9"/>
    <w:rsid w:val="007E750F"/>
    <w:rsid w:val="007E7D7C"/>
    <w:rsid w:val="007F02E3"/>
    <w:rsid w:val="007F1517"/>
    <w:rsid w:val="007F1621"/>
    <w:rsid w:val="007F16B7"/>
    <w:rsid w:val="007F1B5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2F2E"/>
    <w:rsid w:val="00803382"/>
    <w:rsid w:val="00803CE5"/>
    <w:rsid w:val="00804642"/>
    <w:rsid w:val="008050AB"/>
    <w:rsid w:val="0080539E"/>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961"/>
    <w:rsid w:val="00823E80"/>
    <w:rsid w:val="00824844"/>
    <w:rsid w:val="00824AA0"/>
    <w:rsid w:val="00825A1B"/>
    <w:rsid w:val="00825AAA"/>
    <w:rsid w:val="0082763E"/>
    <w:rsid w:val="00831AF4"/>
    <w:rsid w:val="00831C86"/>
    <w:rsid w:val="00831FC6"/>
    <w:rsid w:val="008327D7"/>
    <w:rsid w:val="00832A1F"/>
    <w:rsid w:val="00833E19"/>
    <w:rsid w:val="00834535"/>
    <w:rsid w:val="00834E18"/>
    <w:rsid w:val="00834E9C"/>
    <w:rsid w:val="00834F0B"/>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30C"/>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D7EA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3AAE"/>
    <w:rsid w:val="008F4578"/>
    <w:rsid w:val="008F49E7"/>
    <w:rsid w:val="008F4A1B"/>
    <w:rsid w:val="008F4A43"/>
    <w:rsid w:val="008F4BA0"/>
    <w:rsid w:val="008F4D58"/>
    <w:rsid w:val="008F4F60"/>
    <w:rsid w:val="008F5110"/>
    <w:rsid w:val="008F51BE"/>
    <w:rsid w:val="008F51FC"/>
    <w:rsid w:val="008F5316"/>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07E"/>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429"/>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A8B"/>
    <w:rsid w:val="00962B87"/>
    <w:rsid w:val="00962E13"/>
    <w:rsid w:val="00962FF1"/>
    <w:rsid w:val="009630CE"/>
    <w:rsid w:val="009641AD"/>
    <w:rsid w:val="009642EC"/>
    <w:rsid w:val="009647A2"/>
    <w:rsid w:val="00965427"/>
    <w:rsid w:val="00965842"/>
    <w:rsid w:val="0096653F"/>
    <w:rsid w:val="009665FC"/>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2497"/>
    <w:rsid w:val="00982C61"/>
    <w:rsid w:val="00982CD1"/>
    <w:rsid w:val="0098342A"/>
    <w:rsid w:val="00983AE1"/>
    <w:rsid w:val="00983E85"/>
    <w:rsid w:val="009854B6"/>
    <w:rsid w:val="00985829"/>
    <w:rsid w:val="00985D15"/>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4C66"/>
    <w:rsid w:val="009A78B3"/>
    <w:rsid w:val="009B0A9C"/>
    <w:rsid w:val="009B10AE"/>
    <w:rsid w:val="009B1240"/>
    <w:rsid w:val="009B1690"/>
    <w:rsid w:val="009B18D7"/>
    <w:rsid w:val="009B1956"/>
    <w:rsid w:val="009B23EE"/>
    <w:rsid w:val="009B2769"/>
    <w:rsid w:val="009B3610"/>
    <w:rsid w:val="009B37D3"/>
    <w:rsid w:val="009B39FC"/>
    <w:rsid w:val="009B4169"/>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3ED"/>
    <w:rsid w:val="009C5D49"/>
    <w:rsid w:val="009C718C"/>
    <w:rsid w:val="009C7345"/>
    <w:rsid w:val="009C77A3"/>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1B31"/>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0B7"/>
    <w:rsid w:val="009F711E"/>
    <w:rsid w:val="009F7F2B"/>
    <w:rsid w:val="00A0001D"/>
    <w:rsid w:val="00A01037"/>
    <w:rsid w:val="00A0119C"/>
    <w:rsid w:val="00A017D4"/>
    <w:rsid w:val="00A01C9C"/>
    <w:rsid w:val="00A01F05"/>
    <w:rsid w:val="00A02543"/>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C6E"/>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37BA5"/>
    <w:rsid w:val="00A408EB"/>
    <w:rsid w:val="00A4133B"/>
    <w:rsid w:val="00A4189A"/>
    <w:rsid w:val="00A41A4E"/>
    <w:rsid w:val="00A42346"/>
    <w:rsid w:val="00A42565"/>
    <w:rsid w:val="00A42621"/>
    <w:rsid w:val="00A434E0"/>
    <w:rsid w:val="00A436D2"/>
    <w:rsid w:val="00A43752"/>
    <w:rsid w:val="00A4391C"/>
    <w:rsid w:val="00A43D25"/>
    <w:rsid w:val="00A443B8"/>
    <w:rsid w:val="00A44F9F"/>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6B4"/>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0DC3"/>
    <w:rsid w:val="00A81021"/>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5EDB"/>
    <w:rsid w:val="00A86EC4"/>
    <w:rsid w:val="00A86ED1"/>
    <w:rsid w:val="00A86F9B"/>
    <w:rsid w:val="00A915F4"/>
    <w:rsid w:val="00A91687"/>
    <w:rsid w:val="00A917A9"/>
    <w:rsid w:val="00A91C36"/>
    <w:rsid w:val="00A91D41"/>
    <w:rsid w:val="00A920C7"/>
    <w:rsid w:val="00A93F51"/>
    <w:rsid w:val="00A94E3A"/>
    <w:rsid w:val="00A96010"/>
    <w:rsid w:val="00A9684D"/>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1DB"/>
    <w:rsid w:val="00AF2612"/>
    <w:rsid w:val="00AF3889"/>
    <w:rsid w:val="00AF39DC"/>
    <w:rsid w:val="00AF3BD3"/>
    <w:rsid w:val="00AF3F13"/>
    <w:rsid w:val="00AF3FE3"/>
    <w:rsid w:val="00AF4A53"/>
    <w:rsid w:val="00AF4F33"/>
    <w:rsid w:val="00AF523D"/>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3CCE"/>
    <w:rsid w:val="00B03E09"/>
    <w:rsid w:val="00B04880"/>
    <w:rsid w:val="00B04DC3"/>
    <w:rsid w:val="00B04EED"/>
    <w:rsid w:val="00B0529B"/>
    <w:rsid w:val="00B05E03"/>
    <w:rsid w:val="00B0644E"/>
    <w:rsid w:val="00B06719"/>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55F"/>
    <w:rsid w:val="00B27998"/>
    <w:rsid w:val="00B308E1"/>
    <w:rsid w:val="00B30FEF"/>
    <w:rsid w:val="00B31D3D"/>
    <w:rsid w:val="00B32623"/>
    <w:rsid w:val="00B331DC"/>
    <w:rsid w:val="00B33BCF"/>
    <w:rsid w:val="00B34C0E"/>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214"/>
    <w:rsid w:val="00B563AF"/>
    <w:rsid w:val="00B563E9"/>
    <w:rsid w:val="00B56902"/>
    <w:rsid w:val="00B56922"/>
    <w:rsid w:val="00B56B70"/>
    <w:rsid w:val="00B57983"/>
    <w:rsid w:val="00B604C8"/>
    <w:rsid w:val="00B60ED0"/>
    <w:rsid w:val="00B62189"/>
    <w:rsid w:val="00B6233D"/>
    <w:rsid w:val="00B625B6"/>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8CF"/>
    <w:rsid w:val="00B709B8"/>
    <w:rsid w:val="00B7140B"/>
    <w:rsid w:val="00B7275C"/>
    <w:rsid w:val="00B72D75"/>
    <w:rsid w:val="00B72F97"/>
    <w:rsid w:val="00B73774"/>
    <w:rsid w:val="00B739E0"/>
    <w:rsid w:val="00B741EF"/>
    <w:rsid w:val="00B747A2"/>
    <w:rsid w:val="00B75001"/>
    <w:rsid w:val="00B75D6E"/>
    <w:rsid w:val="00B75F72"/>
    <w:rsid w:val="00B76DC1"/>
    <w:rsid w:val="00B77CFD"/>
    <w:rsid w:val="00B77D0F"/>
    <w:rsid w:val="00B800B7"/>
    <w:rsid w:val="00B80425"/>
    <w:rsid w:val="00B80488"/>
    <w:rsid w:val="00B805C4"/>
    <w:rsid w:val="00B806D4"/>
    <w:rsid w:val="00B81548"/>
    <w:rsid w:val="00B81633"/>
    <w:rsid w:val="00B81F81"/>
    <w:rsid w:val="00B82FF5"/>
    <w:rsid w:val="00B831BA"/>
    <w:rsid w:val="00B832CB"/>
    <w:rsid w:val="00B83A38"/>
    <w:rsid w:val="00B83D46"/>
    <w:rsid w:val="00B84363"/>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DDB"/>
    <w:rsid w:val="00B92F85"/>
    <w:rsid w:val="00B933BC"/>
    <w:rsid w:val="00B93791"/>
    <w:rsid w:val="00B93921"/>
    <w:rsid w:val="00B93971"/>
    <w:rsid w:val="00B945A2"/>
    <w:rsid w:val="00B94702"/>
    <w:rsid w:val="00B962AB"/>
    <w:rsid w:val="00B966B6"/>
    <w:rsid w:val="00B96C66"/>
    <w:rsid w:val="00B97B6F"/>
    <w:rsid w:val="00BA05AF"/>
    <w:rsid w:val="00BA0622"/>
    <w:rsid w:val="00BA096B"/>
    <w:rsid w:val="00BA13D0"/>
    <w:rsid w:val="00BA14FE"/>
    <w:rsid w:val="00BA164D"/>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285"/>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588"/>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4DD2"/>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44"/>
    <w:rsid w:val="00C32B66"/>
    <w:rsid w:val="00C32F9F"/>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2AA"/>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363E"/>
    <w:rsid w:val="00C544CC"/>
    <w:rsid w:val="00C546E7"/>
    <w:rsid w:val="00C55114"/>
    <w:rsid w:val="00C56262"/>
    <w:rsid w:val="00C56F3D"/>
    <w:rsid w:val="00C56F60"/>
    <w:rsid w:val="00C56F81"/>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320"/>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77E05"/>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6F1"/>
    <w:rsid w:val="00C9091D"/>
    <w:rsid w:val="00C90FA2"/>
    <w:rsid w:val="00C91CA5"/>
    <w:rsid w:val="00C91D17"/>
    <w:rsid w:val="00C91D26"/>
    <w:rsid w:val="00C92267"/>
    <w:rsid w:val="00C92D31"/>
    <w:rsid w:val="00C94342"/>
    <w:rsid w:val="00C94857"/>
    <w:rsid w:val="00C94C05"/>
    <w:rsid w:val="00C959C2"/>
    <w:rsid w:val="00C95BC5"/>
    <w:rsid w:val="00C95DEA"/>
    <w:rsid w:val="00C95FCA"/>
    <w:rsid w:val="00C96183"/>
    <w:rsid w:val="00C974ED"/>
    <w:rsid w:val="00C976AC"/>
    <w:rsid w:val="00C97A8D"/>
    <w:rsid w:val="00CA0083"/>
    <w:rsid w:val="00CA04C0"/>
    <w:rsid w:val="00CA0837"/>
    <w:rsid w:val="00CA0BD9"/>
    <w:rsid w:val="00CA1F53"/>
    <w:rsid w:val="00CA302A"/>
    <w:rsid w:val="00CA4064"/>
    <w:rsid w:val="00CA41D2"/>
    <w:rsid w:val="00CA4753"/>
    <w:rsid w:val="00CA4D91"/>
    <w:rsid w:val="00CA4F20"/>
    <w:rsid w:val="00CA5908"/>
    <w:rsid w:val="00CA5D21"/>
    <w:rsid w:val="00CA5EF9"/>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28D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EE4"/>
    <w:rsid w:val="00CE2FC6"/>
    <w:rsid w:val="00CE3262"/>
    <w:rsid w:val="00CE3346"/>
    <w:rsid w:val="00CE3797"/>
    <w:rsid w:val="00CE3ADA"/>
    <w:rsid w:val="00CE4025"/>
    <w:rsid w:val="00CE41CB"/>
    <w:rsid w:val="00CE48D3"/>
    <w:rsid w:val="00CE498F"/>
    <w:rsid w:val="00CE4D6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6692"/>
    <w:rsid w:val="00CF7C31"/>
    <w:rsid w:val="00D00CF6"/>
    <w:rsid w:val="00D013E2"/>
    <w:rsid w:val="00D01F80"/>
    <w:rsid w:val="00D0208A"/>
    <w:rsid w:val="00D025CC"/>
    <w:rsid w:val="00D028B3"/>
    <w:rsid w:val="00D0293C"/>
    <w:rsid w:val="00D02DA7"/>
    <w:rsid w:val="00D03020"/>
    <w:rsid w:val="00D0304E"/>
    <w:rsid w:val="00D04EC9"/>
    <w:rsid w:val="00D053C2"/>
    <w:rsid w:val="00D05E0E"/>
    <w:rsid w:val="00D06218"/>
    <w:rsid w:val="00D066C4"/>
    <w:rsid w:val="00D104AC"/>
    <w:rsid w:val="00D10566"/>
    <w:rsid w:val="00D105A1"/>
    <w:rsid w:val="00D1100E"/>
    <w:rsid w:val="00D11B4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05F7"/>
    <w:rsid w:val="00D3150E"/>
    <w:rsid w:val="00D3182A"/>
    <w:rsid w:val="00D32136"/>
    <w:rsid w:val="00D3222B"/>
    <w:rsid w:val="00D3227D"/>
    <w:rsid w:val="00D330D8"/>
    <w:rsid w:val="00D33197"/>
    <w:rsid w:val="00D33567"/>
    <w:rsid w:val="00D33657"/>
    <w:rsid w:val="00D33E52"/>
    <w:rsid w:val="00D33EEE"/>
    <w:rsid w:val="00D341A7"/>
    <w:rsid w:val="00D34B4B"/>
    <w:rsid w:val="00D35236"/>
    <w:rsid w:val="00D35305"/>
    <w:rsid w:val="00D3579C"/>
    <w:rsid w:val="00D364BB"/>
    <w:rsid w:val="00D36F29"/>
    <w:rsid w:val="00D36FDE"/>
    <w:rsid w:val="00D37121"/>
    <w:rsid w:val="00D376AA"/>
    <w:rsid w:val="00D37ED3"/>
    <w:rsid w:val="00D40043"/>
    <w:rsid w:val="00D401D5"/>
    <w:rsid w:val="00D40502"/>
    <w:rsid w:val="00D40A47"/>
    <w:rsid w:val="00D41051"/>
    <w:rsid w:val="00D410F8"/>
    <w:rsid w:val="00D417AE"/>
    <w:rsid w:val="00D41AF1"/>
    <w:rsid w:val="00D41B6F"/>
    <w:rsid w:val="00D41E88"/>
    <w:rsid w:val="00D43902"/>
    <w:rsid w:val="00D446AE"/>
    <w:rsid w:val="00D457ED"/>
    <w:rsid w:val="00D462D9"/>
    <w:rsid w:val="00D468B0"/>
    <w:rsid w:val="00D46A98"/>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15C2"/>
    <w:rsid w:val="00D721EC"/>
    <w:rsid w:val="00D726CE"/>
    <w:rsid w:val="00D72788"/>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09"/>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EC8"/>
    <w:rsid w:val="00DD1F41"/>
    <w:rsid w:val="00DD2321"/>
    <w:rsid w:val="00DD26CC"/>
    <w:rsid w:val="00DD3543"/>
    <w:rsid w:val="00DD3766"/>
    <w:rsid w:val="00DD380F"/>
    <w:rsid w:val="00DD503F"/>
    <w:rsid w:val="00DD514C"/>
    <w:rsid w:val="00DD65E4"/>
    <w:rsid w:val="00DD6839"/>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4D00"/>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89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1FB"/>
    <w:rsid w:val="00E262A9"/>
    <w:rsid w:val="00E2688C"/>
    <w:rsid w:val="00E2693C"/>
    <w:rsid w:val="00E2710F"/>
    <w:rsid w:val="00E27916"/>
    <w:rsid w:val="00E3047D"/>
    <w:rsid w:val="00E3066D"/>
    <w:rsid w:val="00E30827"/>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BAB"/>
    <w:rsid w:val="00E41DD4"/>
    <w:rsid w:val="00E4219A"/>
    <w:rsid w:val="00E424A0"/>
    <w:rsid w:val="00E42698"/>
    <w:rsid w:val="00E4274A"/>
    <w:rsid w:val="00E43B12"/>
    <w:rsid w:val="00E43E66"/>
    <w:rsid w:val="00E443AB"/>
    <w:rsid w:val="00E444BC"/>
    <w:rsid w:val="00E4510E"/>
    <w:rsid w:val="00E45623"/>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A7C59"/>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06E"/>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0616"/>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817"/>
    <w:rsid w:val="00F02FF5"/>
    <w:rsid w:val="00F03379"/>
    <w:rsid w:val="00F0345E"/>
    <w:rsid w:val="00F03FC4"/>
    <w:rsid w:val="00F04AC7"/>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9A2"/>
    <w:rsid w:val="00F21AB6"/>
    <w:rsid w:val="00F223D5"/>
    <w:rsid w:val="00F2251E"/>
    <w:rsid w:val="00F22653"/>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B27"/>
    <w:rsid w:val="00F26C19"/>
    <w:rsid w:val="00F27A70"/>
    <w:rsid w:val="00F31867"/>
    <w:rsid w:val="00F3192A"/>
    <w:rsid w:val="00F322C3"/>
    <w:rsid w:val="00F32553"/>
    <w:rsid w:val="00F32690"/>
    <w:rsid w:val="00F327CE"/>
    <w:rsid w:val="00F332ED"/>
    <w:rsid w:val="00F33552"/>
    <w:rsid w:val="00F335AB"/>
    <w:rsid w:val="00F33C8D"/>
    <w:rsid w:val="00F347C5"/>
    <w:rsid w:val="00F348D1"/>
    <w:rsid w:val="00F35955"/>
    <w:rsid w:val="00F36578"/>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D1C"/>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2A7F"/>
    <w:rsid w:val="00F83228"/>
    <w:rsid w:val="00F834A7"/>
    <w:rsid w:val="00F847A0"/>
    <w:rsid w:val="00F85D19"/>
    <w:rsid w:val="00F860A3"/>
    <w:rsid w:val="00F864FC"/>
    <w:rsid w:val="00F86808"/>
    <w:rsid w:val="00F8760E"/>
    <w:rsid w:val="00F8773E"/>
    <w:rsid w:val="00F9077D"/>
    <w:rsid w:val="00F9082B"/>
    <w:rsid w:val="00F9142D"/>
    <w:rsid w:val="00F915A4"/>
    <w:rsid w:val="00F918AF"/>
    <w:rsid w:val="00F91EF0"/>
    <w:rsid w:val="00F92104"/>
    <w:rsid w:val="00F9227B"/>
    <w:rsid w:val="00F925CA"/>
    <w:rsid w:val="00F92C47"/>
    <w:rsid w:val="00F93676"/>
    <w:rsid w:val="00F93A3D"/>
    <w:rsid w:val="00F93C99"/>
    <w:rsid w:val="00F93DA5"/>
    <w:rsid w:val="00F93DCD"/>
    <w:rsid w:val="00F94009"/>
    <w:rsid w:val="00F9412A"/>
    <w:rsid w:val="00F94235"/>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5CD0"/>
    <w:rsid w:val="00FD620D"/>
    <w:rsid w:val="00FD64B8"/>
    <w:rsid w:val="00FD667B"/>
    <w:rsid w:val="00FD7162"/>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CCB"/>
    <w:rsid w:val="00FE5E25"/>
    <w:rsid w:val="00FE6AE8"/>
    <w:rsid w:val="00FE70D5"/>
    <w:rsid w:val="00FE7127"/>
    <w:rsid w:val="00FF041F"/>
    <w:rsid w:val="00FF0C67"/>
    <w:rsid w:val="00FF0E6A"/>
    <w:rsid w:val="00FF0F69"/>
    <w:rsid w:val="00FF1623"/>
    <w:rsid w:val="00FF21EF"/>
    <w:rsid w:val="00FF25C7"/>
    <w:rsid w:val="00FF2A34"/>
    <w:rsid w:val="00FF3BF7"/>
    <w:rsid w:val="00FF44BC"/>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fr,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16"/>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 w:type="numbering" w:customStyle="1" w:styleId="131">
    <w:name w:val="ללא רשימה1"/>
    <w:uiPriority w:val="99"/>
    <w:semiHidden/>
    <w:unhideWhenUsed/>
    <w:rsid w:val="00C16588"/>
  </w:style>
  <w:style w:type="numbering" w:customStyle="1" w:styleId="1111">
    <w:name w:val="ללא רשימה11"/>
    <w:next w:val="NoList"/>
    <w:uiPriority w:val="99"/>
    <w:semiHidden/>
    <w:unhideWhenUsed/>
    <w:rsid w:val="00C16588"/>
  </w:style>
  <w:style w:type="numbering" w:customStyle="1" w:styleId="223">
    <w:name w:val="ללא רשימה2"/>
    <w:next w:val="NoList"/>
    <w:uiPriority w:val="99"/>
    <w:semiHidden/>
    <w:unhideWhenUsed/>
    <w:rsid w:val="00C1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6.jpeg"/><Relationship Id="rId8" Type="http://schemas.openxmlformats.org/officeDocument/2006/relationships/customXml" Target="../customXml/item3.xml"/><Relationship Id="rId2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dit.mevaker.gov.il/" TargetMode="External"/><Relationship Id="rId25" Type="http://schemas.openxmlformats.org/officeDocument/2006/relationships/footer" Target="footer4.xml"/><Relationship Id="rId7" Type="http://schemas.openxmlformats.org/officeDocument/2006/relationships/customXml" Target="../customXml/item2.xml"/><Relationship Id="rId16" Type="http://schemas.openxmlformats.org/officeDocument/2006/relationships/image" Target="media/image2.jpeg"/><Relationship Id="rId2" Type="http://schemas.openxmlformats.org/officeDocument/2006/relationships/endnotes" Target="endnotes.xm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6" Type="http://schemas.openxmlformats.org/officeDocument/2006/relationships/customXml" Target="../customXml/item1.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footer" Target="footer5.xml"/><Relationship Id="rId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styles" Target="styl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numbering" Target="numbering.xml"/><Relationship Id="rId4" Type="http://schemas.openxmlformats.org/officeDocument/2006/relationships/webSettings" Target="webSettings.xml"/><Relationship Id="rId9" Type="http://schemas.openxmlformats.org/officeDocument/2006/relationships/customXml" Target="../customXml/item4.xml"/></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2.jpeg" /></Relationships>
</file>

<file path=word/_rels/header5.xml.rels><?xml version="1.0" encoding="utf-8" standalone="yes"?><Relationships xmlns="http://schemas.openxmlformats.org/package/2006/relationships"><Relationship Id="rId1" Type="http://schemas.openxmlformats.org/officeDocument/2006/relationships/image" Target="media/image1.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header7.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7.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752C1F46-035A-44B2-B9ED-3DB7D9B13EC1}"/>
</file>

<file path=customXml/itemProps3.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4.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