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0304A1" w:rsidRPr="0047129E" w:rsidP="0092199D">
      <w:pPr>
        <w:pStyle w:val="7125"/>
        <w:spacing w:before="0" w:after="0"/>
        <w:ind w:left="4082"/>
        <w:rPr>
          <w:spacing w:val="16"/>
          <w:sz w:val="33"/>
          <w:szCs w:val="33"/>
          <w:rtl/>
        </w:rPr>
      </w:pPr>
      <w:r w:rsidRPr="0047129E">
        <w:rPr>
          <w:rFonts w:hint="cs"/>
          <w:spacing w:val="16"/>
          <w:sz w:val="33"/>
          <w:szCs w:val="33"/>
          <w:rtl/>
        </w:rPr>
        <w:t>דוח מבקר המדינה</w:t>
      </w:r>
    </w:p>
    <w:p w:rsidR="0047129E" w:rsidRPr="00F605A1" w:rsidP="001309F2">
      <w:pPr>
        <w:pStyle w:val="7125"/>
        <w:spacing w:before="0" w:after="0"/>
        <w:ind w:left="4083" w:hanging="1"/>
        <w:rPr>
          <w:b w:val="0"/>
          <w:bCs w:val="0"/>
          <w:spacing w:val="2"/>
          <w:sz w:val="24"/>
          <w:szCs w:val="24"/>
          <w:rtl/>
        </w:rPr>
      </w:pPr>
      <w:r w:rsidRPr="00F605A1">
        <w:rPr>
          <w:rFonts w:hint="cs"/>
          <w:b w:val="0"/>
          <w:bCs w:val="0"/>
          <w:spacing w:val="2"/>
          <w:sz w:val="24"/>
          <w:szCs w:val="24"/>
          <w:rtl/>
        </w:rPr>
        <w:t xml:space="preserve">חשוון </w:t>
      </w:r>
      <w:r w:rsidRPr="00F605A1">
        <w:rPr>
          <w:rFonts w:hint="cs"/>
          <w:b w:val="0"/>
          <w:bCs w:val="0"/>
          <w:spacing w:val="2"/>
          <w:sz w:val="24"/>
          <w:szCs w:val="24"/>
          <w:rtl/>
        </w:rPr>
        <w:t>התשפ״ג</w:t>
      </w:r>
      <w:r w:rsidRPr="00F605A1">
        <w:rPr>
          <w:rFonts w:hint="cs"/>
          <w:b w:val="0"/>
          <w:bCs w:val="0"/>
          <w:spacing w:val="2"/>
          <w:sz w:val="24"/>
          <w:szCs w:val="24"/>
          <w:rtl/>
        </w:rPr>
        <w:t xml:space="preserve"> | </w:t>
      </w:r>
      <w:r w:rsidRPr="00F605A1" w:rsidR="00F605A1">
        <w:rPr>
          <w:rFonts w:hint="cs"/>
          <w:b w:val="0"/>
          <w:bCs w:val="0"/>
          <w:spacing w:val="2"/>
          <w:sz w:val="24"/>
          <w:szCs w:val="24"/>
          <w:rtl/>
        </w:rPr>
        <w:t>נובמבר</w:t>
      </w:r>
      <w:r w:rsidRPr="00F605A1">
        <w:rPr>
          <w:rFonts w:hint="cs"/>
          <w:b w:val="0"/>
          <w:bCs w:val="0"/>
          <w:spacing w:val="2"/>
          <w:sz w:val="24"/>
          <w:szCs w:val="24"/>
          <w:rtl/>
        </w:rPr>
        <w:t xml:space="preserve"> 2022</w:t>
      </w:r>
    </w:p>
    <w:p w:rsidR="000304A1" w:rsidRPr="0047129E" w:rsidP="0047129E">
      <w:pPr>
        <w:pStyle w:val="7125"/>
        <w:spacing w:before="120" w:after="0"/>
        <w:ind w:left="4083" w:hanging="1"/>
        <w:rPr>
          <w:spacing w:val="194"/>
          <w:rtl/>
        </w:rPr>
      </w:pPr>
      <w:r w:rsidRPr="0047129E">
        <w:rPr>
          <w:rFonts w:hint="cs"/>
          <w:b w:val="0"/>
          <w:bCs w:val="0"/>
          <w:noProof/>
          <w:spacing w:val="194"/>
          <w:sz w:val="28"/>
          <w:rtl/>
        </w:rPr>
        <mc:AlternateContent>
          <mc:Choice Requires="wps">
            <w:drawing>
              <wp:anchor distT="0" distB="0" distL="114300" distR="114300" simplePos="0" relativeHeight="251666432" behindDoc="0" locked="0" layoutInCell="1" allowOverlap="1">
                <wp:simplePos x="0" y="0"/>
                <wp:positionH relativeFrom="column">
                  <wp:posOffset>141585</wp:posOffset>
                </wp:positionH>
                <wp:positionV relativeFrom="paragraph">
                  <wp:posOffset>45606</wp:posOffset>
                </wp:positionV>
                <wp:extent cx="2015728" cy="0"/>
                <wp:effectExtent l="0" t="0" r="16510" b="12700"/>
                <wp:wrapNone/>
                <wp:docPr id="20"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01572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67456" from="11.15pt,3.6pt" to="169.85pt,3.6pt" strokecolor="#00305f" strokeweight="1pt"/>
            </w:pict>
          </mc:Fallback>
        </mc:AlternateContent>
      </w:r>
      <w:r w:rsidRPr="0047129E">
        <w:rPr>
          <w:rFonts w:hint="cs"/>
          <w:b w:val="0"/>
          <w:bCs w:val="0"/>
          <w:spacing w:val="194"/>
          <w:sz w:val="28"/>
          <w:rtl/>
        </w:rPr>
        <w:t>כרך ראשון</w:t>
      </w:r>
    </w:p>
    <w:p w:rsidR="00E82EA3" w:rsidRPr="00A76A67" w:rsidP="000304A1">
      <w:pPr>
        <w:pStyle w:val="7125"/>
        <w:spacing w:before="120" w:after="0"/>
        <w:ind w:left="4536" w:right="142" w:hanging="1"/>
        <w:rPr>
          <w:spacing w:val="274"/>
        </w:rPr>
      </w:pPr>
      <w:r w:rsidRPr="00A76A67">
        <w:rPr>
          <w:spacing w:val="274"/>
          <w:rtl/>
        </w:rPr>
        <w:br w:type="page"/>
      </w:r>
    </w:p>
    <w:p w:rsidR="0019167B">
      <w:pPr>
        <w:bidi w:val="0"/>
        <w:spacing w:after="200" w:line="276" w:lineRule="auto"/>
        <w:rPr>
          <w:rFonts w:ascii="Tahoma" w:hAnsi="Tahoma" w:cs="Tahoma"/>
          <w:color w:val="00305F"/>
          <w:spacing w:val="86"/>
          <w:sz w:val="40"/>
          <w:szCs w:val="34"/>
          <w:rtl/>
        </w:rPr>
      </w:pPr>
      <w:r>
        <w:rPr>
          <w:b/>
          <w:bCs/>
          <w:noProof/>
          <w:spacing w:val="86"/>
          <w:rtl/>
        </w:rPr>
        <mc:AlternateContent>
          <mc:Choice Requires="wps">
            <w:drawing>
              <wp:anchor distT="0" distB="0" distL="114300" distR="114300" simplePos="0" relativeHeight="251664384" behindDoc="0" locked="0" layoutInCell="1" allowOverlap="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7" style="width:228.65pt;height:70.5pt;margin-top:547.8pt;margin-left:197.55pt;mso-height-percent:0;mso-height-relative:margin;mso-width-percent:0;mso-width-relative:margin;mso-wrap-distance-bottom:0;mso-wrap-distance-left:9pt;mso-wrap-distance-right:9pt;mso-wrap-distance-top:0;mso-wrap-style:square;position:absolute;visibility:visible;v-text-anchor:middle;z-index:251665408" fillcolor="white" stroked="f" strokeweight="2pt"/>
            </w:pict>
          </mc:Fallback>
        </mc:AlternateContent>
      </w:r>
      <w:r>
        <w:rPr>
          <w:b/>
          <w:bCs/>
          <w:noProof/>
          <w:spacing w:val="86"/>
          <w:rtl/>
        </w:rPr>
        <mc:AlternateContent>
          <mc:Choice Requires="wps">
            <w:drawing>
              <wp:anchor distT="0" distB="0" distL="114300" distR="114300" simplePos="0" relativeHeight="251660288" behindDoc="0" locked="0" layoutInCell="1" allowOverlap="1">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8" style="width:583.75pt;height:70.5pt;margin-top:-62.5pt;margin-left:-196.7pt;mso-height-percent:0;mso-height-relative:margin;mso-wrap-distance-bottom:0;mso-wrap-distance-left:9pt;mso-wrap-distance-right:9pt;mso-wrap-distance-top:0;mso-wrap-style:square;position:absolute;visibility:visible;v-text-anchor:middle;z-index:251661312" fillcolor="white" stroked="f" strokeweight="2pt"/>
            </w:pict>
          </mc:Fallback>
        </mc:AlternateContent>
      </w:r>
      <w:r>
        <w:rPr>
          <w:b/>
          <w:bCs/>
          <w:spacing w:val="86"/>
          <w:rtl/>
        </w:rPr>
        <w:br w:type="page"/>
      </w:r>
    </w:p>
    <w:p w:rsidR="00E82EA3" w:rsidP="00B535DF">
      <w:pPr>
        <w:pStyle w:val="7125"/>
        <w:spacing w:before="120"/>
        <w:ind w:hanging="1"/>
        <w:jc w:val="right"/>
        <w:rPr>
          <w:b w:val="0"/>
          <w:bCs w:val="0"/>
          <w:spacing w:val="86"/>
          <w:rtl/>
        </w:rPr>
        <w:sectPr w:rsidSect="00A76A6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3062" w:right="2268" w:bottom="2552" w:left="2126" w:header="1134" w:footer="1361" w:gutter="0"/>
          <w:cols w:space="720"/>
          <w:titlePg/>
          <w:bidi/>
          <w:rtlGutter/>
          <w:docGrid w:linePitch="272"/>
        </w:sectPr>
      </w:pPr>
    </w:p>
    <w:p w:rsidR="00E82EA3" w:rsidP="00B535DF">
      <w:pPr>
        <w:pStyle w:val="7125"/>
        <w:spacing w:before="120"/>
        <w:ind w:hanging="1"/>
        <w:jc w:val="right"/>
        <w:rPr>
          <w:b w:val="0"/>
          <w:bCs w:val="0"/>
          <w:spacing w:val="86"/>
        </w:rPr>
      </w:pPr>
      <w:r>
        <w:rPr>
          <w:noProof/>
          <w:color w:val="002060"/>
          <w:sz w:val="18"/>
          <w:szCs w:val="18"/>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6"/>
                    <pic:cNvPicPr/>
                  </pic:nvPicPr>
                  <pic:blipFill>
                    <a:blip xmlns:r="http://schemas.openxmlformats.org/officeDocument/2006/relationships" r:embed="rId16"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A76E5A" w:rsidP="00B535DF">
      <w:pPr>
        <w:pStyle w:val="7125"/>
        <w:spacing w:before="120"/>
        <w:ind w:hanging="1"/>
        <w:jc w:val="right"/>
        <w:rPr>
          <w:b w:val="0"/>
          <w:bCs w:val="0"/>
          <w:spacing w:val="86"/>
          <w:rtl/>
        </w:rPr>
      </w:pPr>
    </w:p>
    <w:p w:rsidR="000F0FAA" w:rsidP="000F0FAA">
      <w:pPr>
        <w:pStyle w:val="12021"/>
        <w:spacing w:before="480"/>
        <w:rPr>
          <w:sz w:val="52"/>
          <w:szCs w:val="52"/>
          <w:rtl/>
        </w:rPr>
      </w:pPr>
    </w:p>
    <w:p w:rsidR="005414ED" w:rsidP="000F0FAA">
      <w:pPr>
        <w:pStyle w:val="12021"/>
        <w:spacing w:before="480"/>
        <w:rPr>
          <w:sz w:val="52"/>
          <w:szCs w:val="52"/>
          <w:rtl/>
        </w:rPr>
      </w:pPr>
    </w:p>
    <w:p w:rsidR="009C0D3F" w:rsidRPr="003D3B44" w:rsidP="003D3B44">
      <w:pPr>
        <w:pStyle w:val="12021"/>
        <w:spacing w:before="480"/>
        <w:rPr>
          <w:sz w:val="52"/>
          <w:szCs w:val="52"/>
          <w:rtl/>
        </w:rPr>
      </w:pPr>
      <w:r w:rsidRPr="003D3B44">
        <w:rPr>
          <w:rFonts w:hint="cs"/>
          <w:sz w:val="52"/>
          <w:szCs w:val="52"/>
          <w:rtl/>
        </w:rPr>
        <w:t xml:space="preserve">דוח </w:t>
      </w:r>
      <w:r w:rsidRPr="003D3B44" w:rsidR="00C32B66">
        <w:rPr>
          <w:rFonts w:hint="cs"/>
          <w:sz w:val="52"/>
          <w:szCs w:val="52"/>
          <w:rtl/>
        </w:rPr>
        <w:t>מבקר המדינה</w:t>
      </w:r>
    </w:p>
    <w:p w:rsidR="0047129E" w:rsidRPr="00F605A1" w:rsidP="001309F2">
      <w:pPr>
        <w:pStyle w:val="7125"/>
        <w:spacing w:before="0"/>
        <w:ind w:left="1" w:hanging="1"/>
        <w:jc w:val="center"/>
        <w:rPr>
          <w:b w:val="0"/>
          <w:bCs w:val="0"/>
          <w:spacing w:val="16"/>
          <w:sz w:val="32"/>
          <w:szCs w:val="32"/>
          <w:rtl/>
        </w:rPr>
      </w:pPr>
      <w:r w:rsidRPr="00F605A1">
        <w:rPr>
          <w:rFonts w:hint="cs"/>
          <w:b w:val="0"/>
          <w:bCs w:val="0"/>
          <w:noProof/>
          <w:spacing w:val="16"/>
          <w:sz w:val="32"/>
          <w:szCs w:val="32"/>
          <w:rtl/>
        </w:rPr>
        <mc:AlternateContent>
          <mc:Choice Requires="wps">
            <w:drawing>
              <wp:anchor distT="0" distB="0" distL="114300" distR="114300" simplePos="0" relativeHeight="251668480" behindDoc="0" locked="0" layoutInCell="1" allowOverlap="1">
                <wp:simplePos x="0" y="0"/>
                <wp:positionH relativeFrom="column">
                  <wp:posOffset>870585</wp:posOffset>
                </wp:positionH>
                <wp:positionV relativeFrom="paragraph">
                  <wp:posOffset>409247</wp:posOffset>
                </wp:positionV>
                <wp:extent cx="2934970" cy="0"/>
                <wp:effectExtent l="12700" t="12700" r="11430" b="12700"/>
                <wp:wrapNone/>
                <wp:docPr id="23" name="Straight Connector 580"/>
                <wp:cNvGraphicFramePr/>
                <a:graphic xmlns:a="http://schemas.openxmlformats.org/drawingml/2006/main">
                  <a:graphicData uri="http://schemas.microsoft.com/office/word/2010/wordprocessingShape">
                    <wps:wsp xmlns:wps="http://schemas.microsoft.com/office/word/2010/wordprocessingShape">
                      <wps:cNvCnPr/>
                      <wps:spPr>
                        <a:xfrm flipH="1">
                          <a:off x="0" y="0"/>
                          <a:ext cx="293497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0" o:spid="_x0000_s1029" style="flip:x;mso-width-percent:0;mso-width-relative:margin;mso-wrap-distance-bottom:0;mso-wrap-distance-left:9pt;mso-wrap-distance-right:9pt;mso-wrap-distance-top:0;mso-wrap-style:square;position:absolute;visibility:visible;z-index:251669504" from="68.55pt,32.2pt" to="299.65pt,32.2pt" strokecolor="#00305f" strokeweight="1.5pt"/>
            </w:pict>
          </mc:Fallback>
        </mc:AlternateContent>
      </w:r>
      <w:r w:rsidRPr="00F605A1" w:rsidR="004942BB">
        <w:rPr>
          <w:rFonts w:hint="cs"/>
          <w:b w:val="0"/>
          <w:bCs w:val="0"/>
          <w:spacing w:val="16"/>
          <w:sz w:val="32"/>
          <w:szCs w:val="32"/>
          <w:rtl/>
        </w:rPr>
        <w:t>חשוון</w:t>
      </w:r>
      <w:r w:rsidRPr="00F605A1">
        <w:rPr>
          <w:rFonts w:hint="cs"/>
          <w:b w:val="0"/>
          <w:bCs w:val="0"/>
          <w:spacing w:val="16"/>
          <w:sz w:val="32"/>
          <w:szCs w:val="32"/>
          <w:rtl/>
        </w:rPr>
        <w:t xml:space="preserve"> </w:t>
      </w:r>
      <w:r w:rsidRPr="00F605A1">
        <w:rPr>
          <w:rFonts w:hint="cs"/>
          <w:b w:val="0"/>
          <w:bCs w:val="0"/>
          <w:spacing w:val="16"/>
          <w:sz w:val="32"/>
          <w:szCs w:val="32"/>
          <w:rtl/>
        </w:rPr>
        <w:t>התש</w:t>
      </w:r>
      <w:r w:rsidRPr="00F605A1" w:rsidR="004942BB">
        <w:rPr>
          <w:rFonts w:hint="cs"/>
          <w:b w:val="0"/>
          <w:bCs w:val="0"/>
          <w:spacing w:val="16"/>
          <w:sz w:val="32"/>
          <w:szCs w:val="32"/>
          <w:rtl/>
        </w:rPr>
        <w:t>פ</w:t>
      </w:r>
      <w:r w:rsidRPr="00F605A1">
        <w:rPr>
          <w:rFonts w:hint="cs"/>
          <w:b w:val="0"/>
          <w:bCs w:val="0"/>
          <w:spacing w:val="16"/>
          <w:sz w:val="32"/>
          <w:szCs w:val="32"/>
          <w:rtl/>
        </w:rPr>
        <w:t>״</w:t>
      </w:r>
      <w:r w:rsidRPr="00F605A1" w:rsidR="004942BB">
        <w:rPr>
          <w:rFonts w:hint="cs"/>
          <w:b w:val="0"/>
          <w:bCs w:val="0"/>
          <w:spacing w:val="16"/>
          <w:sz w:val="32"/>
          <w:szCs w:val="32"/>
          <w:rtl/>
        </w:rPr>
        <w:t>ג</w:t>
      </w:r>
      <w:r w:rsidRPr="00F605A1">
        <w:rPr>
          <w:rFonts w:hint="cs"/>
          <w:b w:val="0"/>
          <w:bCs w:val="0"/>
          <w:spacing w:val="16"/>
          <w:sz w:val="32"/>
          <w:szCs w:val="32"/>
          <w:rtl/>
        </w:rPr>
        <w:t xml:space="preserve"> | </w:t>
      </w:r>
      <w:r w:rsidRPr="00F605A1" w:rsidR="00F605A1">
        <w:rPr>
          <w:rFonts w:hint="cs"/>
          <w:b w:val="0"/>
          <w:bCs w:val="0"/>
          <w:spacing w:val="16"/>
          <w:sz w:val="32"/>
          <w:szCs w:val="32"/>
          <w:rtl/>
        </w:rPr>
        <w:t>נובמבר</w:t>
      </w:r>
      <w:r w:rsidRPr="00F605A1">
        <w:rPr>
          <w:rFonts w:hint="cs"/>
          <w:b w:val="0"/>
          <w:bCs w:val="0"/>
          <w:spacing w:val="16"/>
          <w:sz w:val="32"/>
          <w:szCs w:val="32"/>
          <w:rtl/>
        </w:rPr>
        <w:t xml:space="preserve"> 2022</w:t>
      </w:r>
    </w:p>
    <w:p w:rsidR="003D3B44" w:rsidRPr="003D3B44" w:rsidP="00074CE4">
      <w:pPr>
        <w:pStyle w:val="7125"/>
        <w:ind w:left="284" w:hanging="1"/>
        <w:jc w:val="center"/>
        <w:rPr>
          <w:b w:val="0"/>
          <w:bCs w:val="0"/>
          <w:spacing w:val="332"/>
          <w:sz w:val="42"/>
          <w:szCs w:val="42"/>
          <w:rtl/>
        </w:rPr>
      </w:pPr>
      <w:r w:rsidRPr="003D3B44">
        <w:rPr>
          <w:rFonts w:hint="cs"/>
          <w:b w:val="0"/>
          <w:bCs w:val="0"/>
          <w:spacing w:val="332"/>
          <w:sz w:val="42"/>
          <w:szCs w:val="42"/>
          <w:rtl/>
        </w:rPr>
        <w:t>כרך ראשון</w:t>
      </w:r>
    </w:p>
    <w:p w:rsidR="005414ED"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0F1AFB" w:rsidP="00BA14FE">
      <w:pPr>
        <w:spacing w:line="240" w:lineRule="atLeast"/>
        <w:rPr>
          <w:rFonts w:ascii="Tahoma" w:hAnsi="Tahoma" w:cs="Tahoma"/>
          <w:sz w:val="22"/>
          <w:szCs w:val="22"/>
          <w:rtl/>
        </w:rPr>
      </w:pPr>
    </w:p>
    <w:p w:rsidR="001309F2" w:rsidP="00BA14FE">
      <w:pPr>
        <w:spacing w:line="240" w:lineRule="atLeast"/>
        <w:rPr>
          <w:rFonts w:ascii="Tahoma" w:hAnsi="Tahoma" w:cs="Tahoma"/>
          <w:sz w:val="22"/>
          <w:szCs w:val="22"/>
          <w:rtl/>
        </w:rPr>
      </w:pPr>
    </w:p>
    <w:p w:rsidR="000F1AFB" w:rsidP="00BA14FE">
      <w:pPr>
        <w:spacing w:line="240" w:lineRule="atLeast"/>
        <w:rPr>
          <w:rFonts w:ascii="Tahoma" w:hAnsi="Tahoma" w:cs="Tahoma"/>
          <w:sz w:val="22"/>
          <w:szCs w:val="22"/>
          <w:rtl/>
        </w:rPr>
      </w:pPr>
    </w:p>
    <w:p w:rsidR="000F1AFB" w:rsidP="00BA14FE">
      <w:pPr>
        <w:spacing w:line="240" w:lineRule="atLeast"/>
        <w:rPr>
          <w:rFonts w:ascii="Tahoma" w:hAnsi="Tahoma" w:cs="Tahoma"/>
          <w:sz w:val="22"/>
          <w:szCs w:val="22"/>
          <w:rtl/>
        </w:rPr>
      </w:pPr>
    </w:p>
    <w:p w:rsidR="005414ED" w:rsidP="00BA14FE">
      <w:pPr>
        <w:spacing w:line="240" w:lineRule="atLeast"/>
        <w:rPr>
          <w:rFonts w:ascii="Tahoma" w:hAnsi="Tahoma" w:cs="Tahoma"/>
          <w:sz w:val="22"/>
          <w:szCs w:val="22"/>
          <w:rtl/>
        </w:rPr>
      </w:pPr>
    </w:p>
    <w:p w:rsidR="005414ED" w:rsidP="00BA14FE">
      <w:pPr>
        <w:spacing w:line="240" w:lineRule="atLeast"/>
        <w:rPr>
          <w:rFonts w:ascii="Tahoma" w:hAnsi="Tahoma" w:cs="Tahoma"/>
          <w:sz w:val="22"/>
          <w:szCs w:val="22"/>
          <w:rtl/>
        </w:rPr>
      </w:pPr>
    </w:p>
    <w:p w:rsidR="00A76A67" w:rsidP="00BA14FE">
      <w:pPr>
        <w:spacing w:line="240" w:lineRule="atLeast"/>
        <w:rPr>
          <w:rFonts w:ascii="Tahoma" w:hAnsi="Tahoma" w:cs="Tahoma"/>
          <w:sz w:val="22"/>
          <w:szCs w:val="22"/>
          <w:rtl/>
        </w:rPr>
      </w:pPr>
    </w:p>
    <w:p w:rsidR="00496A6C" w:rsidP="00BA14FE">
      <w:pPr>
        <w:spacing w:line="240" w:lineRule="atLeast"/>
        <w:rPr>
          <w:rFonts w:ascii="Tahoma" w:hAnsi="Tahoma" w:cs="Tahoma"/>
          <w:sz w:val="22"/>
          <w:szCs w:val="22"/>
          <w:rtl/>
        </w:rPr>
      </w:pPr>
    </w:p>
    <w:p w:rsidR="00496A6C"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r>
        <w:rPr>
          <w:rFonts w:ascii="Tahoma" w:hAnsi="Tahoma" w:cs="Tahoma"/>
          <w:noProof/>
          <w:sz w:val="22"/>
          <w:szCs w:val="22"/>
          <w:rtl/>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77579" w:rsidRPr="00112923" w:rsidP="00112923">
      <w:pPr>
        <w:spacing w:line="240" w:lineRule="atLeast"/>
        <w:jc w:val="center"/>
        <w:rPr>
          <w:rFonts w:ascii="Tahoma" w:hAnsi="Tahoma" w:cs="Tahoma"/>
          <w:sz w:val="24"/>
          <w:rtl/>
        </w:rPr>
      </w:pPr>
      <w:r>
        <w:rPr>
          <w:rFonts w:ascii="Tahoma" w:hAnsi="Tahoma" w:cs="Tahoma" w:hint="cs"/>
          <w:sz w:val="24"/>
          <w:rtl/>
        </w:rPr>
        <w:t xml:space="preserve">משרד מבקר המדינה ונציב תלונות הציבור | </w:t>
      </w:r>
      <w:r w:rsidRPr="009C0D3F" w:rsidR="009C0D3F">
        <w:rPr>
          <w:rFonts w:ascii="Tahoma" w:hAnsi="Tahoma" w:cs="Tahoma" w:hint="cs"/>
          <w:sz w:val="24"/>
          <w:rtl/>
        </w:rPr>
        <w:t>ירושלים</w:t>
      </w:r>
      <w:r w:rsidR="00D6278C">
        <w:rPr>
          <w:rFonts w:ascii="Tahoma" w:hAnsi="Tahoma" w:cs="Tahoma"/>
          <w:sz w:val="24"/>
        </w:rPr>
        <w:t xml:space="preserve"> </w:t>
      </w:r>
    </w:p>
    <w:p w:rsidR="00112923" w:rsidP="00977579">
      <w:pPr>
        <w:pStyle w:val="7190"/>
        <w:jc w:val="center"/>
        <w:rPr>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0F1AFB" w:rsidP="00977579">
      <w:pPr>
        <w:pStyle w:val="7190"/>
        <w:jc w:val="center"/>
        <w:rPr>
          <w:rtl/>
        </w:rPr>
      </w:pPr>
    </w:p>
    <w:p w:rsidR="000F1AFB" w:rsidP="00977579">
      <w:pPr>
        <w:pStyle w:val="7190"/>
        <w:jc w:val="center"/>
        <w:rPr>
          <w:rtl/>
        </w:rPr>
      </w:pPr>
    </w:p>
    <w:p w:rsidR="000F1AFB"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977579" w:rsidP="00977579">
      <w:pPr>
        <w:pStyle w:val="7190"/>
        <w:jc w:val="center"/>
        <w:rPr>
          <w:rtl/>
        </w:rPr>
      </w:pPr>
    </w:p>
    <w:p w:rsidR="00064016" w:rsidP="00064016">
      <w:pPr>
        <w:pStyle w:val="7190"/>
        <w:spacing w:after="120"/>
        <w:jc w:val="center"/>
        <w:rPr>
          <w:rtl/>
        </w:rPr>
      </w:pPr>
    </w:p>
    <w:p w:rsidR="00064016" w:rsidP="00064016">
      <w:pPr>
        <w:pStyle w:val="7190"/>
        <w:spacing w:after="120"/>
        <w:jc w:val="center"/>
        <w:rPr>
          <w:rtl/>
        </w:rPr>
      </w:pPr>
    </w:p>
    <w:p w:rsidR="00064016" w:rsidRPr="00064016" w:rsidP="00064016">
      <w:pPr>
        <w:pStyle w:val="7190"/>
        <w:spacing w:after="120"/>
        <w:jc w:val="center"/>
      </w:pPr>
      <w:r w:rsidRPr="00064016">
        <w:rPr>
          <w:rtl/>
        </w:rPr>
        <w:t xml:space="preserve">מס' קטלוגי </w:t>
      </w:r>
      <w:r w:rsidR="00BE3F2A">
        <w:t>A</w:t>
      </w:r>
      <w:r w:rsidR="00D6278C">
        <w:t>-</w:t>
      </w:r>
      <w:r w:rsidR="00D11B41">
        <w:t>003</w:t>
      </w:r>
      <w:r w:rsidRPr="00064016">
        <w:rPr>
          <w:rtl/>
        </w:rPr>
        <w:t>-</w:t>
      </w:r>
      <w:r w:rsidR="00D6278C">
        <w:t>2022</w:t>
      </w:r>
    </w:p>
    <w:p w:rsidR="00064016" w:rsidRPr="00064016" w:rsidP="00064016">
      <w:pPr>
        <w:pStyle w:val="7190"/>
        <w:jc w:val="center"/>
        <w:rPr>
          <w:rtl/>
        </w:rPr>
      </w:pPr>
      <w:r w:rsidRPr="00064016">
        <w:t xml:space="preserve">ISSN </w:t>
      </w:r>
      <w:r w:rsidR="005777F4">
        <w:t>0334</w:t>
      </w:r>
      <w:r w:rsidRPr="00064016">
        <w:t>-</w:t>
      </w:r>
      <w:r w:rsidR="00D11B41">
        <w:t>9713</w:t>
      </w:r>
    </w:p>
    <w:p w:rsidR="00064016" w:rsidP="00064016">
      <w:pPr>
        <w:pStyle w:val="7190"/>
        <w:spacing w:after="0"/>
        <w:jc w:val="center"/>
      </w:pPr>
      <w:r>
        <w:rPr>
          <w:rtl/>
        </w:rPr>
        <w:t xml:space="preserve">דוח זה מובא גם באתר האינטרנט של </w:t>
      </w:r>
      <w:r>
        <w:br/>
      </w:r>
      <w:r>
        <w:rPr>
          <w:rtl/>
        </w:rPr>
        <w:t>משרד מבקר המדינה</w:t>
      </w:r>
    </w:p>
    <w:p w:rsidR="00064016" w:rsidRPr="00064016" w:rsidP="00064016">
      <w:pPr>
        <w:pStyle w:val="7190"/>
        <w:jc w:val="center"/>
        <w:rPr>
          <w:rtl/>
        </w:rPr>
      </w:pPr>
      <w:hyperlink r:id="rId18" w:history="1">
        <w:r w:rsidRPr="00064016" w:rsidR="007A4C76">
          <w:t>www.mevaker.gov.il</w:t>
        </w:r>
      </w:hyperlink>
    </w:p>
    <w:p w:rsidR="00064016" w:rsidP="00064016">
      <w:pPr>
        <w:pStyle w:val="7190"/>
        <w:jc w:val="center"/>
        <w:rPr>
          <w:rtl/>
        </w:rPr>
      </w:pPr>
    </w:p>
    <w:p w:rsidR="009C0D3F" w:rsidP="00064016">
      <w:pPr>
        <w:pStyle w:val="7190"/>
        <w:jc w:val="center"/>
        <w:rPr>
          <w:rtl/>
        </w:rPr>
      </w:pPr>
      <w:r>
        <w:rPr>
          <w:rFonts w:hint="cs"/>
          <w:rtl/>
        </w:rPr>
        <w:t xml:space="preserve">עיצוב גרפי: </w:t>
      </w:r>
      <w:r w:rsidR="00DB5E51">
        <w:rPr>
          <w:rFonts w:hint="cs"/>
          <w:rtl/>
        </w:rPr>
        <w:t xml:space="preserve">צוות </w:t>
      </w:r>
      <w:r w:rsidR="00DB5E51">
        <w:rPr>
          <w:rFonts w:hint="cs"/>
          <w:rtl/>
        </w:rPr>
        <w:t>אי.אר</w:t>
      </w:r>
      <w:r w:rsidR="00DB5E51">
        <w:rPr>
          <w:rFonts w:hint="cs"/>
          <w:rtl/>
        </w:rPr>
        <w:t xml:space="preserve"> </w:t>
      </w:r>
      <w:r w:rsidR="00DB5E51">
        <w:rPr>
          <w:rFonts w:hint="cs"/>
          <w:rtl/>
        </w:rPr>
        <w:t>דיזיין</w:t>
      </w:r>
      <w:r w:rsidR="00DB5E51">
        <w:rPr>
          <w:rFonts w:hint="cs"/>
          <w:rtl/>
        </w:rPr>
        <w:t xml:space="preserve"> בע״מ</w:t>
      </w:r>
    </w:p>
    <w:p w:rsidR="00421B27" w:rsidRPr="009C0D3F" w:rsidP="00064016">
      <w:pPr>
        <w:pStyle w:val="7190"/>
        <w:jc w:val="center"/>
        <w:rPr>
          <w:sz w:val="24"/>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AA5AC3" w:rsidRPr="00C04B74" w:rsidP="00AA5AC3">
      <w:pPr>
        <w:pStyle w:val="71316"/>
        <w:rPr>
          <w:sz w:val="36"/>
          <w:szCs w:val="36"/>
          <w:rtl/>
        </w:rPr>
      </w:pPr>
      <w:r w:rsidRPr="00107944">
        <w:rPr>
          <w:rFonts w:hint="cs"/>
          <w:b w:val="0"/>
          <w:bCs w:val="0"/>
          <w:noProof/>
          <w:spacing w:val="112"/>
          <w:rtl/>
        </w:rPr>
        <mc:AlternateContent>
          <mc:Choice Requires="wps">
            <w:drawing>
              <wp:anchor distT="0" distB="0" distL="114300" distR="114300" simplePos="0" relativeHeight="251670528" behindDoc="0" locked="0" layoutInCell="1" allowOverlap="1">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0" style="flip:x;mso-width-percent:0;mso-width-relative:margin;mso-wrap-distance-bottom:0;mso-wrap-distance-left:9pt;mso-wrap-distance-right:9pt;mso-wrap-distance-top:0;mso-wrap-style:square;position:absolute;visibility:visible;z-index:251671552" from="245.4pt,38.55pt" to="366pt,38.55pt" strokecolor="#00305f" strokeweight="1pt"/>
            </w:pict>
          </mc:Fallback>
        </mc:AlternateContent>
      </w:r>
      <w:r w:rsidRPr="00C04B74">
        <w:rPr>
          <w:rFonts w:hint="cs"/>
          <w:sz w:val="36"/>
          <w:szCs w:val="36"/>
          <w:rtl/>
        </w:rPr>
        <w:t>תוכן העניינים</w:t>
      </w:r>
    </w:p>
    <w:p w:rsidR="00AA5AC3" w:rsidRPr="009758C5" w:rsidP="0028030F">
      <w:pPr>
        <w:pStyle w:val="71316"/>
        <w:spacing w:before="120" w:after="120"/>
        <w:rPr>
          <w:b w:val="0"/>
          <w:bCs w:val="0"/>
          <w:spacing w:val="11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1121"/>
      </w:tblGrid>
      <w:tr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9" w:type="dxa"/>
          </w:tcPr>
          <w:p w:rsidR="00B421E7" w:rsidRPr="006E2138" w:rsidP="003F4DCD">
            <w:pPr>
              <w:pStyle w:val="7190"/>
              <w:spacing w:before="240" w:after="480"/>
              <w:rPr>
                <w:b/>
                <w:bCs/>
                <w:color w:val="00305F"/>
                <w:sz w:val="32"/>
                <w:szCs w:val="32"/>
                <w:rtl/>
              </w:rPr>
            </w:pPr>
            <w:r w:rsidRPr="006E2138">
              <w:rPr>
                <w:rFonts w:hint="cs"/>
                <w:color w:val="00305F"/>
                <w:spacing w:val="112"/>
                <w:sz w:val="32"/>
                <w:szCs w:val="32"/>
                <w:rtl/>
              </w:rPr>
              <w:t>כרך ראשון</w:t>
            </w:r>
          </w:p>
        </w:tc>
        <w:tc>
          <w:tcPr>
            <w:tcW w:w="1121" w:type="dxa"/>
          </w:tcPr>
          <w:p w:rsidR="00B421E7" w:rsidP="003F4DCD">
            <w:pPr>
              <w:widowControl w:val="0"/>
              <w:spacing w:before="240" w:after="480" w:line="260" w:lineRule="exact"/>
              <w:rPr>
                <w:rFonts w:ascii="Arial" w:hAnsi="Arial" w:cs="Tahoma"/>
                <w:color w:val="000000"/>
                <w:sz w:val="24"/>
                <w:szCs w:val="18"/>
                <w:rtl/>
              </w:rPr>
            </w:pPr>
          </w:p>
        </w:tc>
      </w:tr>
      <w:tr w:rsidTr="00B6233D">
        <w:tblPrEx>
          <w:tblW w:w="0" w:type="auto"/>
          <w:tblLook w:val="04A0"/>
        </w:tblPrEx>
        <w:tc>
          <w:tcPr>
            <w:tcW w:w="6239" w:type="dxa"/>
          </w:tcPr>
          <w:p w:rsidR="00AA5AC3" w:rsidRPr="00C237BB" w:rsidP="003F4DCD">
            <w:pPr>
              <w:pStyle w:val="7190"/>
              <w:spacing w:before="240" w:after="100"/>
              <w:rPr>
                <w:b/>
                <w:bCs/>
                <w:rtl/>
              </w:rPr>
            </w:pPr>
            <w:r w:rsidRPr="00C237BB">
              <w:rPr>
                <w:rFonts w:hint="cs"/>
                <w:b/>
                <w:bCs/>
                <w:color w:val="00305F"/>
                <w:sz w:val="22"/>
                <w:szCs w:val="22"/>
                <w:rtl/>
              </w:rPr>
              <w:t>פתח דבר</w:t>
            </w:r>
          </w:p>
        </w:tc>
        <w:tc>
          <w:tcPr>
            <w:tcW w:w="1121" w:type="dxa"/>
          </w:tcPr>
          <w:p w:rsidR="00AA5AC3" w:rsidRPr="003A4571" w:rsidP="003F4DCD">
            <w:pPr>
              <w:widowControl w:val="0"/>
              <w:spacing w:before="240" w:after="100" w:line="260" w:lineRule="exact"/>
              <w:rPr>
                <w:rFonts w:ascii="Arial" w:hAnsi="Arial" w:cs="Tahoma"/>
                <w:color w:val="000000"/>
                <w:sz w:val="24"/>
                <w:szCs w:val="18"/>
                <w:rtl/>
              </w:rPr>
            </w:pPr>
            <w:r>
              <w:rPr>
                <w:rFonts w:ascii="Arial" w:hAnsi="Arial" w:cs="Tahoma" w:hint="cs"/>
                <w:color w:val="000000"/>
                <w:sz w:val="24"/>
                <w:szCs w:val="18"/>
                <w:rtl/>
              </w:rPr>
              <w:t>9</w:t>
            </w:r>
          </w:p>
        </w:tc>
      </w:tr>
      <w:tr w:rsidTr="00B6233D">
        <w:tblPrEx>
          <w:tblW w:w="0" w:type="auto"/>
          <w:tblLook w:val="04A0"/>
        </w:tblPrEx>
        <w:tc>
          <w:tcPr>
            <w:tcW w:w="6239" w:type="dxa"/>
          </w:tcPr>
          <w:p w:rsidR="00AA5AC3" w:rsidRPr="00C237BB" w:rsidP="00B6233D">
            <w:pPr>
              <w:pStyle w:val="7190"/>
              <w:spacing w:before="100" w:after="100"/>
              <w:rPr>
                <w:b/>
                <w:bCs/>
                <w:rtl/>
              </w:rPr>
            </w:pPr>
            <w:r w:rsidRPr="00C237BB">
              <w:rPr>
                <w:rFonts w:hint="eastAsia"/>
                <w:b/>
                <w:bCs/>
                <w:color w:val="00305F"/>
                <w:sz w:val="22"/>
                <w:szCs w:val="22"/>
                <w:rtl/>
                <w:lang w:bidi="ar-SA"/>
              </w:rPr>
              <w:t>المقدمة</w:t>
            </w:r>
          </w:p>
        </w:tc>
        <w:tc>
          <w:tcPr>
            <w:tcW w:w="1121" w:type="dxa"/>
          </w:tcPr>
          <w:p w:rsidR="00AA5AC3" w:rsidRPr="003A4571" w:rsidP="00B6233D">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15</w:t>
            </w:r>
          </w:p>
        </w:tc>
      </w:tr>
      <w:tr w:rsidTr="00B6233D">
        <w:tblPrEx>
          <w:tblW w:w="0" w:type="auto"/>
          <w:tblLook w:val="04A0"/>
        </w:tblPrEx>
        <w:tc>
          <w:tcPr>
            <w:tcW w:w="6239" w:type="dxa"/>
          </w:tcPr>
          <w:p w:rsidR="00AA5AC3" w:rsidRPr="00C237BB" w:rsidP="00B6233D">
            <w:pPr>
              <w:pStyle w:val="7190"/>
              <w:spacing w:before="100" w:after="100"/>
              <w:rPr>
                <w:b/>
                <w:bCs/>
                <w:color w:val="00305F"/>
                <w:sz w:val="22"/>
                <w:szCs w:val="22"/>
                <w:lang w:bidi="ar-SA"/>
              </w:rPr>
            </w:pPr>
            <w:r w:rsidRPr="00C237BB">
              <w:rPr>
                <w:b/>
                <w:bCs/>
                <w:color w:val="00305F"/>
                <w:sz w:val="22"/>
                <w:szCs w:val="22"/>
                <w:lang w:bidi="ar-SA"/>
              </w:rPr>
              <w:t>Foreword</w:t>
            </w:r>
          </w:p>
        </w:tc>
        <w:tc>
          <w:tcPr>
            <w:tcW w:w="1121" w:type="dxa"/>
          </w:tcPr>
          <w:p w:rsidR="00AA5AC3" w:rsidP="00B6233D">
            <w:pPr>
              <w:widowControl w:val="0"/>
              <w:spacing w:before="100" w:after="100" w:line="260" w:lineRule="exact"/>
              <w:rPr>
                <w:rFonts w:ascii="Arial" w:hAnsi="Arial" w:cs="Tahoma"/>
                <w:color w:val="000000"/>
                <w:sz w:val="24"/>
                <w:szCs w:val="18"/>
              </w:rPr>
            </w:pPr>
            <w:r>
              <w:rPr>
                <w:rFonts w:ascii="Arial" w:hAnsi="Arial" w:cs="Tahoma" w:hint="cs"/>
                <w:color w:val="000000"/>
                <w:sz w:val="24"/>
                <w:szCs w:val="18"/>
                <w:rtl/>
              </w:rPr>
              <w:t>584</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2"/>
        </w:trPr>
        <w:tc>
          <w:tcPr>
            <w:tcW w:w="7360" w:type="dxa"/>
            <w:gridSpan w:val="2"/>
            <w:tcBorders>
              <w:top w:val="nil"/>
              <w:left w:val="nil"/>
              <w:bottom w:val="nil"/>
              <w:right w:val="nil"/>
            </w:tcBorders>
          </w:tcPr>
          <w:p w:rsidR="00AA5AC3" w:rsidRPr="00D20731" w:rsidP="003F4DCD">
            <w:pPr>
              <w:pStyle w:val="7190"/>
              <w:spacing w:before="600" w:after="240"/>
              <w:rPr>
                <w:rFonts w:eastAsia="Times New Roman"/>
                <w:color w:val="00305F"/>
                <w:sz w:val="26"/>
                <w:szCs w:val="26"/>
                <w:rtl/>
              </w:rPr>
            </w:pPr>
            <w:r w:rsidRPr="00D20731">
              <w:rPr>
                <w:rFonts w:hint="cs"/>
                <w:color w:val="00305F"/>
                <w:sz w:val="26"/>
                <w:szCs w:val="26"/>
                <w:rtl/>
              </w:rPr>
              <w:t xml:space="preserve">פרק ראשון | </w:t>
            </w:r>
            <w:r>
              <w:rPr>
                <w:rFonts w:hint="cs"/>
                <w:b/>
                <w:bCs/>
                <w:color w:val="00305F"/>
                <w:sz w:val="26"/>
                <w:szCs w:val="26"/>
                <w:rtl/>
              </w:rPr>
              <w:t>נושאים מערכתיים</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AA5AC3" w:rsidRPr="00924D92" w:rsidP="00924D92">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 xml:space="preserve">הלוואות </w:t>
            </w:r>
            <w:r w:rsidRPr="006670B7">
              <w:rPr>
                <w:rFonts w:ascii="Arial" w:hAnsi="Arial" w:cs="Tahoma" w:hint="cs"/>
                <w:color w:val="000000"/>
                <w:sz w:val="24"/>
                <w:szCs w:val="18"/>
                <w:rtl/>
              </w:rPr>
              <w:t>ומקורות אשראי של גופים שונים</w:t>
            </w:r>
          </w:p>
        </w:tc>
        <w:tc>
          <w:tcPr>
            <w:tcW w:w="1121" w:type="dxa"/>
            <w:tcBorders>
              <w:top w:val="nil"/>
              <w:left w:val="nil"/>
              <w:bottom w:val="nil"/>
              <w:right w:val="nil"/>
            </w:tcBorders>
          </w:tcPr>
          <w:p w:rsidR="00AA5AC3" w:rsidRPr="00136CC3" w:rsidP="00B6233D">
            <w:pPr>
              <w:pStyle w:val="7190"/>
              <w:widowControl w:val="0"/>
              <w:spacing w:before="80" w:after="80"/>
              <w:rPr>
                <w:rFonts w:ascii="Arial" w:hAnsi="Arial"/>
                <w:color w:val="000000"/>
                <w:sz w:val="24"/>
                <w:rtl/>
              </w:rPr>
            </w:pPr>
            <w:r>
              <w:rPr>
                <w:rFonts w:ascii="Arial" w:hAnsi="Arial" w:hint="cs"/>
                <w:color w:val="000000"/>
                <w:sz w:val="24"/>
                <w:rtl/>
              </w:rPr>
              <w:t>25</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136CC3" w:rsidP="00924D92">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 xml:space="preserve">מבנה </w:t>
            </w:r>
            <w:r w:rsidRPr="006670B7">
              <w:rPr>
                <w:rFonts w:ascii="Arial" w:hAnsi="Arial" w:cs="Tahoma" w:hint="cs"/>
                <w:color w:val="000000"/>
                <w:sz w:val="24"/>
                <w:szCs w:val="18"/>
                <w:rtl/>
              </w:rPr>
              <w:t>השכר</w:t>
            </w:r>
            <w:r w:rsidRPr="006670B7">
              <w:rPr>
                <w:rFonts w:ascii="Arial" w:hAnsi="Arial" w:cs="Tahoma"/>
                <w:color w:val="000000"/>
                <w:sz w:val="24"/>
                <w:szCs w:val="18"/>
                <w:rtl/>
              </w:rPr>
              <w:t xml:space="preserve"> </w:t>
            </w:r>
            <w:r w:rsidRPr="006670B7">
              <w:rPr>
                <w:rFonts w:ascii="Arial" w:hAnsi="Arial" w:cs="Tahoma" w:hint="cs"/>
                <w:color w:val="000000"/>
                <w:sz w:val="24"/>
                <w:szCs w:val="18"/>
                <w:rtl/>
              </w:rPr>
              <w:t>וההעסקה</w:t>
            </w:r>
            <w:r w:rsidRPr="006670B7">
              <w:rPr>
                <w:rFonts w:ascii="Arial" w:hAnsi="Arial" w:cs="Tahoma"/>
                <w:color w:val="000000"/>
                <w:sz w:val="24"/>
                <w:szCs w:val="18"/>
                <w:rtl/>
              </w:rPr>
              <w:t xml:space="preserve"> בשירות </w:t>
            </w:r>
            <w:r w:rsidRPr="006670B7">
              <w:rPr>
                <w:rFonts w:ascii="Arial" w:hAnsi="Arial" w:cs="Tahoma" w:hint="cs"/>
                <w:color w:val="000000"/>
                <w:sz w:val="24"/>
                <w:szCs w:val="18"/>
                <w:rtl/>
              </w:rPr>
              <w:t>הציבורי</w:t>
            </w:r>
          </w:p>
        </w:tc>
        <w:tc>
          <w:tcPr>
            <w:tcW w:w="1121" w:type="dxa"/>
            <w:tcBorders>
              <w:top w:val="nil"/>
              <w:left w:val="nil"/>
              <w:bottom w:val="nil"/>
              <w:right w:val="nil"/>
            </w:tcBorders>
          </w:tcPr>
          <w:p w:rsidR="00AA5AC3" w:rsidRPr="00DB7CD9" w:rsidP="00B6233D">
            <w:pPr>
              <w:widowControl w:val="0"/>
              <w:spacing w:before="80" w:after="80" w:line="240" w:lineRule="auto"/>
              <w:rPr>
                <w:rFonts w:ascii="Arial" w:hAnsi="Arial" w:cs="Tahoma"/>
                <w:color w:val="000000"/>
                <w:sz w:val="24"/>
                <w:szCs w:val="18"/>
                <w:rtl/>
              </w:rPr>
            </w:pPr>
            <w:r>
              <w:rPr>
                <w:rFonts w:ascii="Arial" w:hAnsi="Arial" w:cs="Tahoma" w:hint="cs"/>
                <w:color w:val="000000"/>
                <w:sz w:val="24"/>
                <w:szCs w:val="18"/>
                <w:rtl/>
              </w:rPr>
              <w:t>107</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AA5AC3" w:rsidRPr="00D20731" w:rsidP="00924D92">
            <w:pPr>
              <w:pStyle w:val="71316"/>
              <w:spacing w:before="480" w:after="200" w:line="240" w:lineRule="auto"/>
              <w:rPr>
                <w:rFonts w:ascii="Arial" w:hAnsi="Arial"/>
                <w:b w:val="0"/>
                <w:bCs w:val="0"/>
                <w:color w:val="000000"/>
                <w:sz w:val="26"/>
                <w:szCs w:val="26"/>
                <w:rtl/>
              </w:rPr>
            </w:pPr>
            <w:r w:rsidRPr="00D20731">
              <w:rPr>
                <w:rFonts w:hint="cs"/>
                <w:b w:val="0"/>
                <w:bCs w:val="0"/>
                <w:sz w:val="26"/>
                <w:szCs w:val="26"/>
                <w:rtl/>
              </w:rPr>
              <w:t>פרק שני |</w:t>
            </w:r>
            <w:r w:rsidRPr="00D20731">
              <w:rPr>
                <w:rFonts w:hint="cs"/>
                <w:sz w:val="26"/>
                <w:szCs w:val="26"/>
                <w:rtl/>
              </w:rPr>
              <w:t xml:space="preserve"> </w:t>
            </w:r>
            <w:r>
              <w:rPr>
                <w:rFonts w:hint="cs"/>
                <w:sz w:val="26"/>
                <w:szCs w:val="26"/>
                <w:rtl/>
              </w:rPr>
              <w:t xml:space="preserve">משרדי </w:t>
            </w:r>
            <w:r w:rsidR="00F605A1">
              <w:rPr>
                <w:rFonts w:hint="cs"/>
                <w:sz w:val="26"/>
                <w:szCs w:val="26"/>
                <w:rtl/>
              </w:rPr>
              <w:t>ה</w:t>
            </w:r>
            <w:r>
              <w:rPr>
                <w:rFonts w:hint="cs"/>
                <w:sz w:val="26"/>
                <w:szCs w:val="26"/>
                <w:rtl/>
              </w:rPr>
              <w:t>ממשלה</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B7140B" w:rsidP="00B7140B">
            <w:pPr>
              <w:pStyle w:val="7190"/>
              <w:spacing w:before="200" w:after="80"/>
              <w:rPr>
                <w:rFonts w:ascii="Arial" w:hAnsi="Arial"/>
                <w:color w:val="000000"/>
                <w:sz w:val="22"/>
                <w:szCs w:val="22"/>
                <w:rtl/>
              </w:rPr>
            </w:pPr>
            <w:r w:rsidRPr="00B7140B">
              <w:rPr>
                <w:rFonts w:hint="cs"/>
                <w:b/>
                <w:bCs/>
                <w:color w:val="00305F"/>
                <w:sz w:val="22"/>
                <w:szCs w:val="22"/>
                <w:rtl/>
              </w:rPr>
              <w:t xml:space="preserve">משרד </w:t>
            </w:r>
            <w:r w:rsidRPr="00B7140B" w:rsidR="00924D92">
              <w:rPr>
                <w:rFonts w:hint="cs"/>
                <w:b/>
                <w:bCs/>
                <w:color w:val="00305F"/>
                <w:sz w:val="22"/>
                <w:szCs w:val="22"/>
                <w:rtl/>
              </w:rPr>
              <w:t>האוצר</w:t>
            </w:r>
          </w:p>
        </w:tc>
        <w:tc>
          <w:tcPr>
            <w:tcW w:w="1121" w:type="dxa"/>
            <w:tcBorders>
              <w:top w:val="nil"/>
              <w:left w:val="nil"/>
              <w:bottom w:val="nil"/>
              <w:right w:val="nil"/>
            </w:tcBorders>
          </w:tcPr>
          <w:p w:rsidR="00AA5AC3" w:rsidRPr="00B7140B" w:rsidP="00B7140B">
            <w:pPr>
              <w:pStyle w:val="71316"/>
              <w:spacing w:before="200" w:after="80" w:line="240" w:lineRule="auto"/>
              <w:rPr>
                <w:rFonts w:ascii="Arial" w:hAnsi="Arial"/>
                <w:b w:val="0"/>
                <w:bCs w:val="0"/>
                <w:color w:val="000000"/>
                <w:sz w:val="22"/>
                <w:szCs w:val="22"/>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924D92" w:rsidP="00924D92">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מינהל</w:t>
            </w:r>
            <w:r w:rsidRPr="006670B7">
              <w:rPr>
                <w:rFonts w:ascii="Arial" w:hAnsi="Arial" w:cs="Tahoma"/>
                <w:color w:val="000000"/>
                <w:sz w:val="24"/>
                <w:szCs w:val="18"/>
                <w:rtl/>
              </w:rPr>
              <w:t xml:space="preserve"> הרכב הממשלתי</w:t>
            </w:r>
          </w:p>
        </w:tc>
        <w:tc>
          <w:tcPr>
            <w:tcW w:w="1121" w:type="dxa"/>
            <w:tcBorders>
              <w:top w:val="nil"/>
              <w:left w:val="nil"/>
              <w:bottom w:val="nil"/>
              <w:right w:val="nil"/>
            </w:tcBorders>
          </w:tcPr>
          <w:p w:rsidR="00AA5AC3" w:rsidP="00B6233D">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261</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B7140B" w:rsidP="00B7140B">
            <w:pPr>
              <w:spacing w:before="200" w:after="80"/>
              <w:rPr>
                <w:b/>
                <w:bCs/>
                <w:color w:val="00305F"/>
                <w:sz w:val="18"/>
                <w:szCs w:val="18"/>
                <w:rtl/>
              </w:rPr>
            </w:pPr>
            <w:r w:rsidRPr="00B7140B">
              <w:rPr>
                <w:rFonts w:ascii="Tahoma" w:hAnsi="Tahoma" w:cs="Tahoma" w:hint="cs"/>
                <w:b/>
                <w:bCs/>
                <w:color w:val="00305F"/>
                <w:sz w:val="18"/>
                <w:szCs w:val="18"/>
                <w:rtl/>
              </w:rPr>
              <w:t>רשות המיסים בישראל</w:t>
            </w:r>
          </w:p>
        </w:tc>
        <w:tc>
          <w:tcPr>
            <w:tcW w:w="1121" w:type="dxa"/>
            <w:tcBorders>
              <w:top w:val="nil"/>
              <w:left w:val="nil"/>
              <w:bottom w:val="nil"/>
              <w:right w:val="nil"/>
            </w:tcBorders>
          </w:tcPr>
          <w:p w:rsidR="00AA5AC3" w:rsidRPr="00B7140B" w:rsidP="00B7140B">
            <w:pPr>
              <w:pStyle w:val="71316"/>
              <w:spacing w:before="200" w:after="8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924D92"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 xml:space="preserve">השירות </w:t>
            </w:r>
            <w:r w:rsidRPr="006670B7">
              <w:rPr>
                <w:rFonts w:ascii="Arial" w:hAnsi="Arial" w:cs="Tahoma" w:hint="cs"/>
                <w:color w:val="000000"/>
                <w:sz w:val="24"/>
                <w:szCs w:val="18"/>
                <w:rtl/>
              </w:rPr>
              <w:t>לציבור</w:t>
            </w:r>
            <w:r w:rsidRPr="006670B7">
              <w:rPr>
                <w:rFonts w:ascii="Arial" w:hAnsi="Arial" w:cs="Tahoma"/>
                <w:color w:val="000000"/>
                <w:sz w:val="24"/>
                <w:szCs w:val="18"/>
                <w:rtl/>
              </w:rPr>
              <w:t xml:space="preserve"> ברשות המיסים - </w:t>
            </w:r>
            <w:r w:rsidRPr="006670B7">
              <w:rPr>
                <w:rFonts w:ascii="Arial" w:hAnsi="Arial" w:cs="Tahoma" w:hint="cs"/>
                <w:color w:val="000000"/>
                <w:sz w:val="24"/>
                <w:szCs w:val="18"/>
                <w:rtl/>
              </w:rPr>
              <w:t>ביקורת מעקב מורחבת</w:t>
            </w:r>
          </w:p>
        </w:tc>
        <w:tc>
          <w:tcPr>
            <w:tcW w:w="1121" w:type="dxa"/>
            <w:tcBorders>
              <w:top w:val="nil"/>
              <w:left w:val="nil"/>
              <w:bottom w:val="nil"/>
              <w:right w:val="nil"/>
            </w:tcBorders>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361</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924D92" w:rsidP="00A739CF">
            <w:pPr>
              <w:spacing w:before="80" w:after="80" w:line="260" w:lineRule="exact"/>
              <w:rPr>
                <w:rFonts w:ascii="Arial" w:hAnsi="Arial" w:cs="Tahoma"/>
                <w:color w:val="000000"/>
                <w:sz w:val="24"/>
                <w:szCs w:val="18"/>
                <w:rtl/>
              </w:rPr>
            </w:pPr>
            <w:r w:rsidRPr="006670B7">
              <w:rPr>
                <w:rFonts w:ascii="Arial" w:hAnsi="Arial" w:cs="Tahoma" w:hint="cs"/>
                <w:color w:val="000000"/>
                <w:sz w:val="24"/>
                <w:szCs w:val="18"/>
                <w:rtl/>
              </w:rPr>
              <w:t>היבטי מועילות של מערכת המס</w:t>
            </w:r>
          </w:p>
        </w:tc>
        <w:tc>
          <w:tcPr>
            <w:tcW w:w="1121" w:type="dxa"/>
            <w:tcBorders>
              <w:top w:val="nil"/>
              <w:left w:val="nil"/>
              <w:bottom w:val="nil"/>
              <w:right w:val="nil"/>
            </w:tcBorders>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437</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6E2138" w:rsidRPr="006670B7" w:rsidP="003F4DCD">
            <w:pPr>
              <w:spacing w:before="1320" w:after="240" w:line="260" w:lineRule="exact"/>
              <w:rPr>
                <w:rFonts w:ascii="Arial" w:hAnsi="Arial" w:cs="Tahoma"/>
                <w:color w:val="000000"/>
                <w:sz w:val="24"/>
                <w:szCs w:val="18"/>
                <w:rtl/>
              </w:rPr>
            </w:pPr>
          </w:p>
        </w:tc>
        <w:tc>
          <w:tcPr>
            <w:tcW w:w="1121" w:type="dxa"/>
            <w:tcBorders>
              <w:top w:val="nil"/>
              <w:left w:val="nil"/>
              <w:bottom w:val="nil"/>
              <w:right w:val="nil"/>
            </w:tcBorders>
          </w:tcPr>
          <w:p w:rsidR="006E2138" w:rsidP="003F4DCD">
            <w:pPr>
              <w:pStyle w:val="71316"/>
              <w:spacing w:before="1320" w:after="24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B421E7" w:rsidRPr="00B421E7" w:rsidP="003F4DCD">
            <w:pPr>
              <w:pStyle w:val="7190"/>
              <w:spacing w:before="0" w:after="400"/>
              <w:rPr>
                <w:spacing w:val="112"/>
                <w:sz w:val="32"/>
                <w:szCs w:val="32"/>
                <w:rtl/>
              </w:rPr>
            </w:pPr>
            <w:r w:rsidRPr="006E2138">
              <w:rPr>
                <w:rFonts w:hint="cs"/>
                <w:color w:val="00305F"/>
                <w:spacing w:val="112"/>
                <w:sz w:val="32"/>
                <w:szCs w:val="32"/>
                <w:rtl/>
              </w:rPr>
              <w:t>כרך שני</w:t>
            </w:r>
          </w:p>
        </w:tc>
        <w:tc>
          <w:tcPr>
            <w:tcW w:w="1121" w:type="dxa"/>
            <w:tcBorders>
              <w:top w:val="nil"/>
              <w:left w:val="nil"/>
              <w:bottom w:val="nil"/>
              <w:right w:val="nil"/>
            </w:tcBorders>
          </w:tcPr>
          <w:p w:rsidR="00B421E7" w:rsidP="003F4DCD">
            <w:pPr>
              <w:pStyle w:val="71316"/>
              <w:spacing w:before="0" w:after="40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6E2138" w:rsidRPr="00B7140B" w:rsidP="00B421E7">
            <w:pPr>
              <w:spacing w:before="200" w:after="80" w:line="260" w:lineRule="exact"/>
              <w:rPr>
                <w:rFonts w:ascii="Tahoma" w:hAnsi="Tahoma" w:cs="Tahoma"/>
                <w:b/>
                <w:bCs/>
                <w:color w:val="00305F"/>
                <w:sz w:val="18"/>
                <w:szCs w:val="18"/>
                <w:rtl/>
              </w:rPr>
            </w:pPr>
            <w:r w:rsidRPr="006E2138">
              <w:rPr>
                <w:rFonts w:ascii="Tahoma" w:eastAsia="Times New Roman" w:hAnsi="Tahoma" w:cs="Tahoma" w:hint="cs"/>
                <w:color w:val="00305F"/>
                <w:sz w:val="26"/>
                <w:szCs w:val="26"/>
                <w:rtl/>
              </w:rPr>
              <w:t xml:space="preserve">פרק שני | </w:t>
            </w:r>
            <w:r w:rsidRPr="006E2138">
              <w:rPr>
                <w:rFonts w:ascii="Tahoma" w:eastAsia="Times New Roman" w:hAnsi="Tahoma" w:cs="Tahoma" w:hint="cs"/>
                <w:b/>
                <w:bCs/>
                <w:color w:val="00305F"/>
                <w:sz w:val="26"/>
                <w:szCs w:val="26"/>
                <w:rtl/>
              </w:rPr>
              <w:t>משרדי הממשלה</w:t>
            </w:r>
            <w:r>
              <w:rPr>
                <w:rFonts w:ascii="Tahoma" w:eastAsia="Times New Roman" w:hAnsi="Tahoma" w:cs="Tahoma" w:hint="cs"/>
                <w:b/>
                <w:bCs/>
                <w:color w:val="00305F"/>
                <w:sz w:val="26"/>
                <w:szCs w:val="26"/>
                <w:rtl/>
              </w:rPr>
              <w:t xml:space="preserve"> - המשך</w:t>
            </w:r>
          </w:p>
        </w:tc>
        <w:tc>
          <w:tcPr>
            <w:tcW w:w="1121" w:type="dxa"/>
            <w:tcBorders>
              <w:top w:val="nil"/>
              <w:left w:val="nil"/>
              <w:bottom w:val="nil"/>
              <w:right w:val="nil"/>
            </w:tcBorders>
          </w:tcPr>
          <w:p w:rsidR="006E2138" w:rsidP="00B6233D">
            <w:pPr>
              <w:pStyle w:val="71316"/>
              <w:spacing w:before="80" w:after="8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B421E7" w:rsidRPr="006670B7" w:rsidP="00B421E7">
            <w:pPr>
              <w:spacing w:before="200" w:after="80" w:line="260" w:lineRule="exact"/>
              <w:rPr>
                <w:rFonts w:ascii="Arial" w:hAnsi="Arial" w:cs="Tahoma"/>
                <w:color w:val="000000"/>
                <w:sz w:val="24"/>
                <w:szCs w:val="18"/>
                <w:rtl/>
              </w:rPr>
            </w:pPr>
            <w:r w:rsidRPr="00B7140B">
              <w:rPr>
                <w:rFonts w:ascii="Tahoma" w:hAnsi="Tahoma" w:cs="Tahoma" w:hint="cs"/>
                <w:b/>
                <w:bCs/>
                <w:color w:val="00305F"/>
                <w:sz w:val="18"/>
                <w:szCs w:val="18"/>
                <w:rtl/>
              </w:rPr>
              <w:t>רשות המיסים בישראל</w:t>
            </w:r>
            <w:r w:rsidR="006E2138">
              <w:rPr>
                <w:rFonts w:ascii="Tahoma" w:hAnsi="Tahoma" w:cs="Tahoma" w:hint="cs"/>
                <w:b/>
                <w:bCs/>
                <w:color w:val="00305F"/>
                <w:sz w:val="18"/>
                <w:szCs w:val="18"/>
                <w:rtl/>
              </w:rPr>
              <w:t xml:space="preserve"> - המשך</w:t>
            </w:r>
          </w:p>
        </w:tc>
        <w:tc>
          <w:tcPr>
            <w:tcW w:w="1121" w:type="dxa"/>
            <w:tcBorders>
              <w:top w:val="nil"/>
              <w:left w:val="nil"/>
              <w:bottom w:val="nil"/>
              <w:right w:val="nil"/>
            </w:tcBorders>
          </w:tcPr>
          <w:p w:rsidR="00B421E7" w:rsidP="00B6233D">
            <w:pPr>
              <w:pStyle w:val="71316"/>
              <w:spacing w:before="80" w:after="8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924D92" w:rsidRPr="00924D92" w:rsidP="00924D92">
            <w:pPr>
              <w:spacing w:before="80" w:after="80" w:line="260" w:lineRule="exact"/>
              <w:rPr>
                <w:rFonts w:ascii="Arial" w:hAnsi="Arial" w:cs="Tahoma"/>
                <w:color w:val="000000"/>
                <w:sz w:val="24"/>
                <w:szCs w:val="18"/>
                <w:rtl/>
              </w:rPr>
            </w:pPr>
            <w:r w:rsidRPr="006670B7">
              <w:rPr>
                <w:rFonts w:ascii="Arial" w:hAnsi="Arial" w:cs="Tahoma" w:hint="cs"/>
                <w:color w:val="000000"/>
                <w:sz w:val="24"/>
                <w:szCs w:val="18"/>
                <w:rtl/>
              </w:rPr>
              <w:t>פעילות יחידת שירות עיבודים ממוכנים ברשות המיסים</w:t>
            </w:r>
          </w:p>
        </w:tc>
        <w:tc>
          <w:tcPr>
            <w:tcW w:w="1121" w:type="dxa"/>
            <w:tcBorders>
              <w:top w:val="nil"/>
              <w:left w:val="nil"/>
              <w:bottom w:val="nil"/>
              <w:right w:val="nil"/>
            </w:tcBorders>
          </w:tcPr>
          <w:p w:rsidR="00924D92" w:rsidP="00B6233D">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597</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B7140B" w:rsidP="00A739CF">
            <w:pPr>
              <w:spacing w:before="200"/>
              <w:rPr>
                <w:b/>
                <w:bCs/>
                <w:color w:val="00305F"/>
                <w:sz w:val="22"/>
                <w:szCs w:val="22"/>
                <w:rtl/>
              </w:rPr>
            </w:pPr>
            <w:r w:rsidRPr="00B7140B">
              <w:rPr>
                <w:rFonts w:ascii="Tahoma" w:hAnsi="Tahoma" w:cs="Tahoma" w:hint="cs"/>
                <w:b/>
                <w:bCs/>
                <w:color w:val="00305F"/>
                <w:sz w:val="22"/>
                <w:szCs w:val="22"/>
                <w:rtl/>
              </w:rPr>
              <w:t xml:space="preserve">משרד </w:t>
            </w:r>
            <w:r w:rsidRPr="00B7140B">
              <w:rPr>
                <w:rFonts w:ascii="Tahoma" w:hAnsi="Tahoma" w:cs="Tahoma" w:hint="cs"/>
                <w:b/>
                <w:bCs/>
                <w:color w:val="00305F"/>
                <w:sz w:val="22"/>
                <w:szCs w:val="22"/>
                <w:rtl/>
              </w:rPr>
              <w:t>האנרגייה</w:t>
            </w:r>
          </w:p>
        </w:tc>
        <w:tc>
          <w:tcPr>
            <w:tcW w:w="1121" w:type="dxa"/>
            <w:tcBorders>
              <w:top w:val="nil"/>
              <w:left w:val="nil"/>
              <w:bottom w:val="nil"/>
              <w:right w:val="nil"/>
            </w:tcBorders>
          </w:tcPr>
          <w:p w:rsidR="00A739CF" w:rsidRPr="00B7140B" w:rsidP="00A739CF">
            <w:pPr>
              <w:pStyle w:val="71316"/>
              <w:spacing w:before="200" w:after="80" w:line="240" w:lineRule="auto"/>
              <w:rPr>
                <w:rFonts w:ascii="Arial" w:hAnsi="Arial"/>
                <w:b w:val="0"/>
                <w:bCs w:val="0"/>
                <w:color w:val="000000"/>
                <w:sz w:val="22"/>
                <w:szCs w:val="22"/>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B7140B" w:rsidP="00A739CF">
            <w:pPr>
              <w:spacing w:before="80" w:after="80"/>
              <w:rPr>
                <w:rFonts w:ascii="Tahoma" w:hAnsi="Tahoma" w:cs="Tahoma"/>
                <w:b/>
                <w:bCs/>
                <w:color w:val="00305F"/>
                <w:sz w:val="18"/>
                <w:szCs w:val="18"/>
                <w:rtl/>
              </w:rPr>
            </w:pPr>
            <w:r w:rsidRPr="00B7140B">
              <w:rPr>
                <w:rFonts w:ascii="Tahoma" w:hAnsi="Tahoma" w:cs="Tahoma" w:hint="cs"/>
                <w:b/>
                <w:bCs/>
                <w:color w:val="00305F"/>
                <w:sz w:val="18"/>
                <w:szCs w:val="18"/>
                <w:rtl/>
              </w:rPr>
              <w:t>רשות הגז הטבעי</w:t>
            </w:r>
          </w:p>
        </w:tc>
        <w:tc>
          <w:tcPr>
            <w:tcW w:w="1121" w:type="dxa"/>
            <w:tcBorders>
              <w:top w:val="nil"/>
              <w:left w:val="nil"/>
              <w:bottom w:val="nil"/>
              <w:right w:val="nil"/>
            </w:tcBorders>
          </w:tcPr>
          <w:p w:rsidR="00A739CF" w:rsidRPr="00B7140B" w:rsidP="00A739CF">
            <w:pPr>
              <w:pStyle w:val="71316"/>
              <w:spacing w:before="80" w:after="8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353B1C"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רשת החלוקה של הגז הטבעי</w:t>
            </w:r>
          </w:p>
        </w:tc>
        <w:tc>
          <w:tcPr>
            <w:tcW w:w="1121" w:type="dxa"/>
            <w:tcBorders>
              <w:top w:val="nil"/>
              <w:left w:val="nil"/>
              <w:bottom w:val="nil"/>
              <w:right w:val="nil"/>
            </w:tcBorders>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701</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B7140B" w:rsidP="00A739CF">
            <w:pPr>
              <w:spacing w:before="200" w:after="80"/>
              <w:rPr>
                <w:b/>
                <w:bCs/>
                <w:color w:val="00305F"/>
                <w:sz w:val="22"/>
                <w:szCs w:val="22"/>
                <w:rtl/>
              </w:rPr>
            </w:pPr>
            <w:r w:rsidRPr="00B7140B">
              <w:rPr>
                <w:rFonts w:ascii="Tahoma" w:hAnsi="Tahoma" w:cs="Tahoma" w:hint="cs"/>
                <w:b/>
                <w:bCs/>
                <w:color w:val="00305F"/>
                <w:sz w:val="22"/>
                <w:szCs w:val="22"/>
                <w:rtl/>
              </w:rPr>
              <w:t>משרד הכלכלה והתעשייה</w:t>
            </w:r>
          </w:p>
        </w:tc>
        <w:tc>
          <w:tcPr>
            <w:tcW w:w="1121" w:type="dxa"/>
            <w:tcBorders>
              <w:top w:val="nil"/>
              <w:left w:val="nil"/>
              <w:bottom w:val="nil"/>
              <w:right w:val="nil"/>
            </w:tcBorders>
          </w:tcPr>
          <w:p w:rsidR="00A739CF" w:rsidRPr="00B7140B" w:rsidP="00A739CF">
            <w:pPr>
              <w:pStyle w:val="71316"/>
              <w:spacing w:before="200" w:after="80" w:line="240" w:lineRule="auto"/>
              <w:rPr>
                <w:rFonts w:ascii="Arial" w:hAnsi="Arial"/>
                <w:b w:val="0"/>
                <w:bCs w:val="0"/>
                <w:color w:val="000000"/>
                <w:sz w:val="22"/>
                <w:szCs w:val="22"/>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353B1C" w:rsidP="00A739CF">
            <w:pPr>
              <w:spacing w:before="80" w:after="80" w:line="260" w:lineRule="exact"/>
              <w:rPr>
                <w:rtl/>
              </w:rPr>
            </w:pPr>
            <w:r w:rsidRPr="006670B7">
              <w:rPr>
                <w:rFonts w:ascii="Arial" w:hAnsi="Arial" w:cs="Tahoma" w:hint="cs"/>
                <w:color w:val="000000"/>
                <w:sz w:val="24"/>
                <w:szCs w:val="18"/>
                <w:rtl/>
              </w:rPr>
              <w:t>התמודדות הממשלה עם הגידול במסחר המקוון - ביקורת מעקב</w:t>
            </w:r>
          </w:p>
        </w:tc>
        <w:tc>
          <w:tcPr>
            <w:tcW w:w="1121" w:type="dxa"/>
            <w:tcBorders>
              <w:top w:val="nil"/>
              <w:left w:val="nil"/>
              <w:bottom w:val="nil"/>
              <w:right w:val="nil"/>
            </w:tcBorders>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817</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353B1C"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סוגיות בהגנה על הצרכן</w:t>
            </w:r>
          </w:p>
        </w:tc>
        <w:tc>
          <w:tcPr>
            <w:tcW w:w="1121" w:type="dxa"/>
            <w:tcBorders>
              <w:top w:val="nil"/>
              <w:left w:val="nil"/>
              <w:bottom w:val="nil"/>
              <w:right w:val="nil"/>
            </w:tcBorders>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895</w:t>
            </w:r>
          </w:p>
        </w:tc>
      </w:tr>
      <w:tr w:rsidTr="006670B7">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4D01DF" w:rsidRPr="00B421E7" w:rsidP="003F4DCD">
            <w:pPr>
              <w:pStyle w:val="7190"/>
              <w:spacing w:before="800" w:after="400"/>
              <w:rPr>
                <w:spacing w:val="112"/>
                <w:sz w:val="32"/>
                <w:szCs w:val="32"/>
                <w:rtl/>
              </w:rPr>
            </w:pPr>
            <w:r w:rsidRPr="006E2138">
              <w:rPr>
                <w:rFonts w:hint="cs"/>
                <w:color w:val="00305F"/>
                <w:spacing w:val="112"/>
                <w:sz w:val="32"/>
                <w:szCs w:val="32"/>
                <w:rtl/>
              </w:rPr>
              <w:t>כרך שלישי</w:t>
            </w:r>
          </w:p>
        </w:tc>
        <w:tc>
          <w:tcPr>
            <w:tcW w:w="1121" w:type="dxa"/>
            <w:tcBorders>
              <w:top w:val="nil"/>
              <w:left w:val="nil"/>
              <w:bottom w:val="nil"/>
              <w:right w:val="nil"/>
            </w:tcBorders>
          </w:tcPr>
          <w:p w:rsidR="004D01DF" w:rsidP="003F4DCD">
            <w:pPr>
              <w:pStyle w:val="71316"/>
              <w:spacing w:before="800" w:after="400" w:line="240" w:lineRule="auto"/>
              <w:rPr>
                <w:rFonts w:ascii="Arial" w:hAnsi="Arial"/>
                <w:b w:val="0"/>
                <w:bCs w:val="0"/>
                <w:color w:val="000000"/>
                <w:sz w:val="18"/>
                <w:szCs w:val="18"/>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6E2138" w:rsidRPr="00B7140B" w:rsidP="006E2138">
            <w:pPr>
              <w:tabs>
                <w:tab w:val="right" w:pos="12"/>
                <w:tab w:val="right" w:pos="156"/>
              </w:tabs>
              <w:spacing w:before="200" w:after="200"/>
              <w:rPr>
                <w:rFonts w:ascii="Tahoma" w:hAnsi="Tahoma" w:cs="Tahoma"/>
                <w:b/>
                <w:bCs/>
                <w:color w:val="00305F"/>
                <w:sz w:val="22"/>
                <w:szCs w:val="22"/>
                <w:rtl/>
              </w:rPr>
            </w:pPr>
            <w:r w:rsidRPr="006E2138">
              <w:rPr>
                <w:rFonts w:ascii="Tahoma" w:eastAsia="Times New Roman" w:hAnsi="Tahoma" w:cs="Tahoma" w:hint="cs"/>
                <w:color w:val="00305F"/>
                <w:sz w:val="26"/>
                <w:szCs w:val="26"/>
                <w:rtl/>
              </w:rPr>
              <w:t xml:space="preserve">פרק שני | </w:t>
            </w:r>
            <w:r w:rsidRPr="006E2138">
              <w:rPr>
                <w:rFonts w:ascii="Tahoma" w:eastAsia="Times New Roman" w:hAnsi="Tahoma" w:cs="Tahoma" w:hint="cs"/>
                <w:b/>
                <w:bCs/>
                <w:color w:val="00305F"/>
                <w:sz w:val="26"/>
                <w:szCs w:val="26"/>
                <w:rtl/>
              </w:rPr>
              <w:t>משרדי הממשלה</w:t>
            </w:r>
            <w:r>
              <w:rPr>
                <w:rFonts w:ascii="Tahoma" w:eastAsia="Times New Roman" w:hAnsi="Tahoma" w:cs="Tahoma" w:hint="cs"/>
                <w:b/>
                <w:bCs/>
                <w:color w:val="00305F"/>
                <w:sz w:val="26"/>
                <w:szCs w:val="26"/>
                <w:rtl/>
              </w:rPr>
              <w:t xml:space="preserve"> - המשך</w:t>
            </w:r>
          </w:p>
        </w:tc>
        <w:tc>
          <w:tcPr>
            <w:tcW w:w="1121" w:type="dxa"/>
            <w:tcBorders>
              <w:top w:val="nil"/>
              <w:left w:val="nil"/>
              <w:bottom w:val="nil"/>
              <w:right w:val="nil"/>
            </w:tcBorders>
          </w:tcPr>
          <w:p w:rsidR="006E2138" w:rsidRPr="00B7140B" w:rsidP="00B7140B">
            <w:pPr>
              <w:pStyle w:val="71316"/>
              <w:spacing w:before="200" w:after="80" w:line="240" w:lineRule="auto"/>
              <w:rPr>
                <w:rFonts w:ascii="Arial" w:hAnsi="Arial"/>
                <w:b w:val="0"/>
                <w:bCs w:val="0"/>
                <w:color w:val="000000"/>
                <w:sz w:val="22"/>
                <w:szCs w:val="22"/>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B7140B" w:rsidP="00A739CF">
            <w:pPr>
              <w:tabs>
                <w:tab w:val="right" w:pos="12"/>
                <w:tab w:val="right" w:pos="156"/>
              </w:tabs>
              <w:spacing w:before="200" w:after="80"/>
              <w:rPr>
                <w:rFonts w:ascii="Tahoma" w:hAnsi="Tahoma" w:cs="Tahoma"/>
                <w:b/>
                <w:bCs/>
                <w:color w:val="00305F"/>
                <w:sz w:val="22"/>
                <w:szCs w:val="22"/>
                <w:rtl/>
              </w:rPr>
            </w:pPr>
            <w:r w:rsidRPr="00B7140B">
              <w:rPr>
                <w:rFonts w:ascii="Tahoma" w:hAnsi="Tahoma" w:cs="Tahoma" w:hint="cs"/>
                <w:b/>
                <w:bCs/>
                <w:color w:val="00305F"/>
                <w:sz w:val="22"/>
                <w:szCs w:val="22"/>
                <w:rtl/>
              </w:rPr>
              <w:t xml:space="preserve">משרד התחבורה והבטיחות בדרכים </w:t>
            </w:r>
          </w:p>
        </w:tc>
        <w:tc>
          <w:tcPr>
            <w:tcW w:w="1121" w:type="dxa"/>
            <w:tcBorders>
              <w:top w:val="nil"/>
              <w:left w:val="nil"/>
              <w:bottom w:val="nil"/>
              <w:right w:val="nil"/>
            </w:tcBorders>
          </w:tcPr>
          <w:p w:rsidR="00A739CF" w:rsidRPr="00B7140B" w:rsidP="00A739CF">
            <w:pPr>
              <w:pStyle w:val="71316"/>
              <w:spacing w:before="200" w:after="80" w:line="240" w:lineRule="auto"/>
              <w:rPr>
                <w:rFonts w:ascii="Arial" w:hAnsi="Arial"/>
                <w:b w:val="0"/>
                <w:bCs w:val="0"/>
                <w:color w:val="000000"/>
                <w:sz w:val="22"/>
                <w:szCs w:val="22"/>
                <w:rtl/>
              </w:rPr>
            </w:pP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353B1C"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התקדמות פרויקט הר</w:t>
            </w:r>
            <w:r w:rsidRPr="006670B7">
              <w:rPr>
                <w:rFonts w:ascii="Arial" w:hAnsi="Arial" w:cs="Tahoma" w:hint="cs"/>
                <w:color w:val="000000"/>
                <w:sz w:val="24"/>
                <w:szCs w:val="18"/>
                <w:rtl/>
              </w:rPr>
              <w:t>כבת הקלה</w:t>
            </w:r>
            <w:r w:rsidRPr="006670B7">
              <w:rPr>
                <w:rFonts w:ascii="Arial" w:hAnsi="Arial" w:cs="Tahoma"/>
                <w:color w:val="000000"/>
                <w:sz w:val="24"/>
                <w:szCs w:val="18"/>
                <w:rtl/>
              </w:rPr>
              <w:t xml:space="preserve"> בגוש דן</w:t>
            </w:r>
          </w:p>
        </w:tc>
        <w:tc>
          <w:tcPr>
            <w:tcW w:w="1121" w:type="dxa"/>
            <w:tcBorders>
              <w:top w:val="nil"/>
              <w:left w:val="nil"/>
              <w:bottom w:val="nil"/>
              <w:right w:val="nil"/>
            </w:tcBorders>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1065</w:t>
            </w:r>
          </w:p>
        </w:tc>
      </w:tr>
      <w:tr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739CF" w:rsidRPr="00353B1C"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השירות לנוסעים ברכבת הקלה בירושלים - ביקורת מעקב</w:t>
            </w:r>
          </w:p>
        </w:tc>
        <w:tc>
          <w:tcPr>
            <w:tcW w:w="1121" w:type="dxa"/>
            <w:tcBorders>
              <w:top w:val="nil"/>
              <w:left w:val="nil"/>
              <w:bottom w:val="nil"/>
              <w:right w:val="nil"/>
            </w:tcBorders>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1195</w:t>
            </w:r>
          </w:p>
        </w:tc>
      </w:tr>
      <w:tr w:rsidTr="00B6233D">
        <w:tblPrEx>
          <w:tblW w:w="0" w:type="auto"/>
          <w:tblLook w:val="04A0"/>
        </w:tblPrEx>
        <w:trPr>
          <w:trHeight w:val="292"/>
        </w:trPr>
        <w:tc>
          <w:tcPr>
            <w:tcW w:w="7360" w:type="dxa"/>
            <w:gridSpan w:val="2"/>
          </w:tcPr>
          <w:p w:rsidR="00AA5AC3" w:rsidRPr="003F4DCD" w:rsidP="00353B1C">
            <w:pPr>
              <w:pStyle w:val="7190"/>
              <w:spacing w:before="480" w:after="200" w:line="276" w:lineRule="auto"/>
              <w:rPr>
                <w:rFonts w:eastAsia="Times New Roman"/>
                <w:color w:val="00305F"/>
                <w:spacing w:val="-8"/>
                <w:sz w:val="26"/>
                <w:szCs w:val="26"/>
                <w:rtl/>
              </w:rPr>
            </w:pPr>
            <w:r w:rsidRPr="003F4DCD">
              <w:rPr>
                <w:rFonts w:hint="cs"/>
                <w:color w:val="00305F"/>
                <w:spacing w:val="-8"/>
                <w:sz w:val="26"/>
                <w:szCs w:val="26"/>
                <w:rtl/>
              </w:rPr>
              <w:t xml:space="preserve">פרק שלישי | </w:t>
            </w:r>
            <w:r w:rsidRPr="003F4DCD">
              <w:rPr>
                <w:rFonts w:hint="cs"/>
                <w:b/>
                <w:bCs/>
                <w:color w:val="00305F"/>
                <w:spacing w:val="-8"/>
                <w:sz w:val="26"/>
                <w:szCs w:val="26"/>
                <w:rtl/>
              </w:rPr>
              <w:t>מוסדות המדינה, חברות ממשלתיות ותאגידים</w:t>
            </w:r>
          </w:p>
        </w:tc>
      </w:tr>
      <w:tr w:rsidTr="00B6233D">
        <w:tblPrEx>
          <w:tblW w:w="0" w:type="auto"/>
          <w:tblLook w:val="04A0"/>
        </w:tblPrEx>
        <w:tc>
          <w:tcPr>
            <w:tcW w:w="6239" w:type="dxa"/>
          </w:tcPr>
          <w:p w:rsidR="00A739CF" w:rsidRPr="00B7140B" w:rsidP="00A739CF">
            <w:pPr>
              <w:tabs>
                <w:tab w:val="right" w:pos="12"/>
                <w:tab w:val="right" w:pos="156"/>
              </w:tabs>
              <w:spacing w:before="200" w:after="80"/>
              <w:outlineLvl w:val="0"/>
              <w:rPr>
                <w:rFonts w:ascii="Tahoma" w:hAnsi="Tahoma" w:cs="Tahoma"/>
                <w:b/>
                <w:bCs/>
                <w:color w:val="00305F"/>
                <w:sz w:val="22"/>
                <w:szCs w:val="22"/>
                <w:rtl/>
              </w:rPr>
            </w:pPr>
            <w:r w:rsidRPr="00B7140B">
              <w:rPr>
                <w:rFonts w:ascii="Tahoma" w:hAnsi="Tahoma" w:cs="Tahoma" w:hint="cs"/>
                <w:b/>
                <w:bCs/>
                <w:color w:val="00305F"/>
                <w:sz w:val="22"/>
                <w:szCs w:val="22"/>
                <w:rtl/>
              </w:rPr>
              <w:t>בנק ישראל</w:t>
            </w:r>
          </w:p>
        </w:tc>
        <w:tc>
          <w:tcPr>
            <w:tcW w:w="1121" w:type="dxa"/>
          </w:tcPr>
          <w:p w:rsidR="00A739CF" w:rsidRPr="00B7140B" w:rsidP="00A739CF">
            <w:pPr>
              <w:pStyle w:val="7190"/>
              <w:spacing w:before="200" w:after="80"/>
              <w:rPr>
                <w:b/>
                <w:bCs/>
                <w:color w:val="00305F"/>
                <w:sz w:val="22"/>
                <w:szCs w:val="22"/>
                <w:rtl/>
              </w:rPr>
            </w:pPr>
          </w:p>
        </w:tc>
      </w:tr>
      <w:tr w:rsidTr="00B6233D">
        <w:tblPrEx>
          <w:tblW w:w="0" w:type="auto"/>
          <w:tblLook w:val="04A0"/>
        </w:tblPrEx>
        <w:trPr>
          <w:trHeight w:val="340"/>
        </w:trPr>
        <w:tc>
          <w:tcPr>
            <w:tcW w:w="6239" w:type="dxa"/>
          </w:tcPr>
          <w:p w:rsidR="00A739CF" w:rsidRPr="00353B1C"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בנקאות דיגיטלית</w:t>
            </w:r>
          </w:p>
        </w:tc>
        <w:tc>
          <w:tcPr>
            <w:tcW w:w="1121" w:type="dxa"/>
          </w:tcPr>
          <w:p w:rsidR="00A739CF" w:rsidRPr="008D4A5C" w:rsidP="00A739CF">
            <w:pPr>
              <w:widowControl w:val="0"/>
              <w:spacing w:before="80" w:after="80" w:line="240" w:lineRule="auto"/>
              <w:rPr>
                <w:rFonts w:ascii="Arial" w:hAnsi="Arial" w:cs="Tahoma"/>
                <w:color w:val="000000"/>
                <w:sz w:val="18"/>
                <w:szCs w:val="18"/>
                <w:rtl/>
              </w:rPr>
            </w:pPr>
            <w:r>
              <w:rPr>
                <w:rFonts w:ascii="Arial" w:hAnsi="Arial" w:cs="Tahoma" w:hint="cs"/>
                <w:color w:val="000000"/>
                <w:sz w:val="18"/>
                <w:szCs w:val="18"/>
                <w:rtl/>
              </w:rPr>
              <w:t>1287</w:t>
            </w:r>
          </w:p>
        </w:tc>
      </w:tr>
      <w:tr w:rsidTr="00B6233D">
        <w:tblPrEx>
          <w:tblW w:w="0" w:type="auto"/>
          <w:tblLook w:val="04A0"/>
        </w:tblPrEx>
        <w:trPr>
          <w:trHeight w:val="289"/>
        </w:trPr>
        <w:tc>
          <w:tcPr>
            <w:tcW w:w="6239" w:type="dxa"/>
          </w:tcPr>
          <w:p w:rsidR="00A739CF" w:rsidRPr="00B7140B" w:rsidP="00A739CF">
            <w:pPr>
              <w:tabs>
                <w:tab w:val="right" w:pos="12"/>
                <w:tab w:val="right" w:pos="156"/>
              </w:tabs>
              <w:spacing w:before="200" w:after="80"/>
              <w:outlineLvl w:val="0"/>
              <w:rPr>
                <w:rFonts w:ascii="Tahoma" w:hAnsi="Tahoma" w:cs="Tahoma"/>
                <w:b/>
                <w:bCs/>
                <w:color w:val="00305F"/>
                <w:sz w:val="22"/>
                <w:szCs w:val="22"/>
              </w:rPr>
            </w:pPr>
            <w:r w:rsidRPr="00B7140B">
              <w:rPr>
                <w:rFonts w:ascii="Tahoma" w:hAnsi="Tahoma" w:cs="Tahoma" w:hint="cs"/>
                <w:b/>
                <w:bCs/>
                <w:color w:val="00305F"/>
                <w:sz w:val="22"/>
                <w:szCs w:val="22"/>
                <w:rtl/>
              </w:rPr>
              <w:t xml:space="preserve">חברת דואר ישראל בע״מ </w:t>
            </w:r>
          </w:p>
        </w:tc>
        <w:tc>
          <w:tcPr>
            <w:tcW w:w="1121" w:type="dxa"/>
          </w:tcPr>
          <w:p w:rsidR="00A739CF" w:rsidRPr="00B7140B" w:rsidP="00A739CF">
            <w:pPr>
              <w:widowControl w:val="0"/>
              <w:spacing w:before="200" w:after="80" w:line="240" w:lineRule="auto"/>
              <w:rPr>
                <w:rFonts w:ascii="Arial" w:hAnsi="Arial" w:cs="Tahoma"/>
                <w:color w:val="000000"/>
                <w:sz w:val="22"/>
                <w:szCs w:val="22"/>
                <w:rtl/>
              </w:rPr>
            </w:pPr>
          </w:p>
        </w:tc>
      </w:tr>
      <w:tr w:rsidTr="00B6233D">
        <w:tblPrEx>
          <w:tblW w:w="0" w:type="auto"/>
          <w:tblLook w:val="04A0"/>
        </w:tblPrEx>
        <w:trPr>
          <w:trHeight w:val="340"/>
        </w:trPr>
        <w:tc>
          <w:tcPr>
            <w:tcW w:w="6239" w:type="dxa"/>
          </w:tcPr>
          <w:p w:rsidR="00A739CF" w:rsidRPr="00A83142" w:rsidP="00A739CF">
            <w:pPr>
              <w:spacing w:before="80" w:after="80" w:line="260" w:lineRule="exact"/>
              <w:rPr>
                <w:rFonts w:ascii="Arial" w:hAnsi="Arial" w:cs="Tahoma"/>
                <w:color w:val="000000"/>
                <w:sz w:val="24"/>
                <w:szCs w:val="18"/>
                <w:rtl/>
              </w:rPr>
            </w:pPr>
            <w:r w:rsidRPr="006670B7">
              <w:rPr>
                <w:rFonts w:ascii="Arial" w:hAnsi="Arial" w:cs="Tahoma" w:hint="cs"/>
                <w:color w:val="000000"/>
                <w:sz w:val="24"/>
                <w:szCs w:val="18"/>
                <w:rtl/>
              </w:rPr>
              <w:t>חברת דואר ישראל בע"מ - הטיפול בדואר בין-לאומי - ביקורת מעקב</w:t>
            </w:r>
          </w:p>
        </w:tc>
        <w:tc>
          <w:tcPr>
            <w:tcW w:w="1121" w:type="dxa"/>
          </w:tcPr>
          <w:p w:rsidR="00A739CF" w:rsidRPr="008D4A5C" w:rsidP="00A739CF">
            <w:pPr>
              <w:pStyle w:val="71316"/>
              <w:spacing w:before="80" w:after="80" w:line="240" w:lineRule="auto"/>
              <w:rPr>
                <w:b w:val="0"/>
                <w:bCs w:val="0"/>
                <w:sz w:val="18"/>
                <w:szCs w:val="18"/>
                <w:rtl/>
              </w:rPr>
            </w:pPr>
            <w:r>
              <w:rPr>
                <w:rFonts w:ascii="Arial" w:hAnsi="Arial" w:hint="cs"/>
                <w:b w:val="0"/>
                <w:bCs w:val="0"/>
                <w:color w:val="000000"/>
                <w:sz w:val="18"/>
                <w:szCs w:val="18"/>
                <w:rtl/>
              </w:rPr>
              <w:t>1413</w:t>
            </w:r>
          </w:p>
        </w:tc>
      </w:tr>
      <w:tr w:rsidTr="00B6233D">
        <w:tblPrEx>
          <w:tblW w:w="0" w:type="auto"/>
          <w:tblLook w:val="04A0"/>
        </w:tblPrEx>
        <w:trPr>
          <w:trHeight w:val="340"/>
        </w:trPr>
        <w:tc>
          <w:tcPr>
            <w:tcW w:w="6239" w:type="dxa"/>
          </w:tcPr>
          <w:p w:rsidR="00A739CF" w:rsidRPr="006670B7" w:rsidP="00A739CF">
            <w:pPr>
              <w:spacing w:before="200" w:after="80" w:line="260" w:lineRule="exact"/>
              <w:rPr>
                <w:rFonts w:ascii="Arial" w:hAnsi="Arial" w:cs="Tahoma"/>
                <w:color w:val="000000"/>
                <w:sz w:val="24"/>
                <w:szCs w:val="18"/>
                <w:rtl/>
              </w:rPr>
            </w:pPr>
            <w:r w:rsidRPr="00B7140B">
              <w:rPr>
                <w:rFonts w:ascii="Tahoma" w:hAnsi="Tahoma" w:cs="Tahoma" w:hint="cs"/>
                <w:b/>
                <w:bCs/>
                <w:color w:val="00305F"/>
                <w:sz w:val="22"/>
                <w:szCs w:val="22"/>
                <w:rtl/>
              </w:rPr>
              <w:t xml:space="preserve">חברת </w:t>
            </w:r>
            <w:r>
              <w:rPr>
                <w:rFonts w:ascii="Tahoma" w:hAnsi="Tahoma" w:cs="Tahoma" w:hint="cs"/>
                <w:b/>
                <w:bCs/>
                <w:color w:val="00305F"/>
                <w:sz w:val="22"/>
                <w:szCs w:val="22"/>
                <w:rtl/>
              </w:rPr>
              <w:t>החשמל</w:t>
            </w:r>
            <w:r w:rsidRPr="00B7140B">
              <w:rPr>
                <w:rFonts w:ascii="Tahoma" w:hAnsi="Tahoma" w:cs="Tahoma" w:hint="cs"/>
                <w:b/>
                <w:bCs/>
                <w:color w:val="00305F"/>
                <w:sz w:val="22"/>
                <w:szCs w:val="22"/>
                <w:rtl/>
              </w:rPr>
              <w:t xml:space="preserve"> </w:t>
            </w:r>
            <w:r>
              <w:rPr>
                <w:rFonts w:ascii="Tahoma" w:hAnsi="Tahoma" w:cs="Tahoma" w:hint="cs"/>
                <w:b/>
                <w:bCs/>
                <w:color w:val="00305F"/>
                <w:sz w:val="22"/>
                <w:szCs w:val="22"/>
                <w:rtl/>
              </w:rPr>
              <w:t>ל</w:t>
            </w:r>
            <w:r w:rsidRPr="00B7140B">
              <w:rPr>
                <w:rFonts w:ascii="Tahoma" w:hAnsi="Tahoma" w:cs="Tahoma" w:hint="cs"/>
                <w:b/>
                <w:bCs/>
                <w:color w:val="00305F"/>
                <w:sz w:val="22"/>
                <w:szCs w:val="22"/>
                <w:rtl/>
              </w:rPr>
              <w:t>ישראל</w:t>
            </w:r>
            <w:r>
              <w:rPr>
                <w:rFonts w:ascii="Tahoma" w:hAnsi="Tahoma" w:cs="Tahoma" w:hint="cs"/>
                <w:b/>
                <w:bCs/>
                <w:color w:val="00305F"/>
                <w:sz w:val="22"/>
                <w:szCs w:val="22"/>
                <w:rtl/>
              </w:rPr>
              <w:t xml:space="preserve"> בע״מ</w:t>
            </w:r>
          </w:p>
        </w:tc>
        <w:tc>
          <w:tcPr>
            <w:tcW w:w="1121" w:type="dxa"/>
          </w:tcPr>
          <w:p w:rsidR="00A739CF" w:rsidP="00A739CF">
            <w:pPr>
              <w:pStyle w:val="71316"/>
              <w:spacing w:before="200" w:after="80" w:line="240" w:lineRule="auto"/>
              <w:rPr>
                <w:rFonts w:ascii="Arial" w:hAnsi="Arial"/>
                <w:b w:val="0"/>
                <w:bCs w:val="0"/>
                <w:color w:val="000000"/>
                <w:sz w:val="18"/>
                <w:szCs w:val="18"/>
                <w:rtl/>
              </w:rPr>
            </w:pPr>
          </w:p>
        </w:tc>
      </w:tr>
      <w:tr w:rsidTr="00B6233D">
        <w:tblPrEx>
          <w:tblW w:w="0" w:type="auto"/>
          <w:tblLook w:val="04A0"/>
        </w:tblPrEx>
        <w:trPr>
          <w:trHeight w:val="340"/>
        </w:trPr>
        <w:tc>
          <w:tcPr>
            <w:tcW w:w="6239" w:type="dxa"/>
          </w:tcPr>
          <w:p w:rsidR="00A739CF" w:rsidRPr="006670B7"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התייעלות בח</w:t>
            </w:r>
            <w:r w:rsidRPr="006670B7">
              <w:rPr>
                <w:rFonts w:ascii="Arial" w:hAnsi="Arial" w:cs="Tahoma" w:hint="cs"/>
                <w:color w:val="000000"/>
                <w:sz w:val="24"/>
                <w:szCs w:val="18"/>
                <w:rtl/>
              </w:rPr>
              <w:t>ברת החשמל לישראל בע"מ</w:t>
            </w:r>
          </w:p>
        </w:tc>
        <w:tc>
          <w:tcPr>
            <w:tcW w:w="1121" w:type="dxa"/>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1469</w:t>
            </w:r>
          </w:p>
        </w:tc>
      </w:tr>
      <w:tr w:rsidTr="00B6233D">
        <w:tblPrEx>
          <w:tblW w:w="0" w:type="auto"/>
          <w:tblLook w:val="04A0"/>
        </w:tblPrEx>
        <w:trPr>
          <w:trHeight w:val="340"/>
        </w:trPr>
        <w:tc>
          <w:tcPr>
            <w:tcW w:w="6239" w:type="dxa"/>
          </w:tcPr>
          <w:p w:rsidR="00A739CF" w:rsidRPr="006670B7" w:rsidP="00A739CF">
            <w:pPr>
              <w:spacing w:before="80" w:after="80" w:line="260" w:lineRule="exact"/>
              <w:rPr>
                <w:rFonts w:ascii="Arial" w:hAnsi="Arial" w:cs="Tahoma"/>
                <w:color w:val="000000"/>
                <w:sz w:val="24"/>
                <w:szCs w:val="18"/>
                <w:rtl/>
              </w:rPr>
            </w:pPr>
            <w:r w:rsidRPr="006670B7">
              <w:rPr>
                <w:rFonts w:ascii="Arial" w:hAnsi="Arial" w:cs="Tahoma" w:hint="cs"/>
                <w:color w:val="000000"/>
                <w:sz w:val="24"/>
                <w:szCs w:val="18"/>
                <w:rtl/>
              </w:rPr>
              <w:t>שימור והסבה של תחנות ייצור חשמל בפחם</w:t>
            </w:r>
          </w:p>
        </w:tc>
        <w:tc>
          <w:tcPr>
            <w:tcW w:w="1121" w:type="dxa"/>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1575</w:t>
            </w:r>
          </w:p>
        </w:tc>
      </w:tr>
      <w:tr w:rsidTr="006670B7">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4D01DF" w:rsidRPr="00B421E7" w:rsidP="003F4DCD">
            <w:pPr>
              <w:pStyle w:val="7190"/>
              <w:spacing w:before="840" w:after="400"/>
              <w:rPr>
                <w:spacing w:val="112"/>
                <w:sz w:val="32"/>
                <w:szCs w:val="32"/>
                <w:rtl/>
              </w:rPr>
            </w:pPr>
            <w:r w:rsidRPr="006E2138">
              <w:rPr>
                <w:rFonts w:hint="cs"/>
                <w:color w:val="00305F"/>
                <w:spacing w:val="112"/>
                <w:sz w:val="32"/>
                <w:szCs w:val="32"/>
                <w:rtl/>
              </w:rPr>
              <w:t>כרך רביעי</w:t>
            </w:r>
          </w:p>
        </w:tc>
        <w:tc>
          <w:tcPr>
            <w:tcW w:w="1121" w:type="dxa"/>
            <w:tcBorders>
              <w:top w:val="nil"/>
              <w:left w:val="nil"/>
              <w:bottom w:val="nil"/>
              <w:right w:val="nil"/>
            </w:tcBorders>
          </w:tcPr>
          <w:p w:rsidR="004D01DF" w:rsidP="003F4DCD">
            <w:pPr>
              <w:pStyle w:val="71316"/>
              <w:spacing w:before="840" w:after="400" w:line="240" w:lineRule="auto"/>
              <w:rPr>
                <w:rFonts w:ascii="Arial" w:hAnsi="Arial"/>
                <w:b w:val="0"/>
                <w:bCs w:val="0"/>
                <w:color w:val="000000"/>
                <w:sz w:val="18"/>
                <w:szCs w:val="18"/>
                <w:rtl/>
              </w:rPr>
            </w:pPr>
          </w:p>
        </w:tc>
      </w:tr>
      <w:tr w:rsidTr="00C31232">
        <w:tblPrEx>
          <w:tblW w:w="0" w:type="auto"/>
          <w:tblLook w:val="04A0"/>
        </w:tblPrEx>
        <w:trPr>
          <w:trHeight w:val="289"/>
        </w:trPr>
        <w:tc>
          <w:tcPr>
            <w:tcW w:w="7360" w:type="dxa"/>
            <w:gridSpan w:val="2"/>
          </w:tcPr>
          <w:p w:rsidR="009F6435" w:rsidRPr="00B7140B" w:rsidP="009F6435">
            <w:pPr>
              <w:pStyle w:val="71316"/>
              <w:spacing w:before="120" w:after="200" w:line="240" w:lineRule="auto"/>
              <w:rPr>
                <w:b w:val="0"/>
                <w:bCs w:val="0"/>
                <w:sz w:val="22"/>
                <w:szCs w:val="22"/>
                <w:rtl/>
              </w:rPr>
            </w:pPr>
            <w:r w:rsidRPr="000E4C98">
              <w:rPr>
                <w:rFonts w:hint="cs"/>
                <w:b w:val="0"/>
                <w:bCs w:val="0"/>
                <w:spacing w:val="-8"/>
                <w:sz w:val="26"/>
                <w:szCs w:val="26"/>
                <w:rtl/>
              </w:rPr>
              <w:t>פרק שלישי |</w:t>
            </w:r>
            <w:r w:rsidRPr="003F4DCD">
              <w:rPr>
                <w:rFonts w:hint="cs"/>
                <w:spacing w:val="-8"/>
                <w:sz w:val="26"/>
                <w:szCs w:val="26"/>
                <w:rtl/>
              </w:rPr>
              <w:t xml:space="preserve"> מוסדות המדינה, חברות ממשלתיות ותאגידים</w:t>
            </w:r>
            <w:r>
              <w:rPr>
                <w:rFonts w:hint="cs"/>
                <w:spacing w:val="-8"/>
                <w:sz w:val="26"/>
                <w:szCs w:val="26"/>
                <w:rtl/>
              </w:rPr>
              <w:t xml:space="preserve"> -     </w:t>
            </w:r>
            <w:r>
              <w:rPr>
                <w:spacing w:val="-8"/>
                <w:sz w:val="26"/>
                <w:szCs w:val="26"/>
                <w:rtl/>
              </w:rPr>
              <w:br/>
            </w:r>
            <w:r>
              <w:rPr>
                <w:rFonts w:hint="cs"/>
                <w:spacing w:val="-8"/>
                <w:sz w:val="26"/>
                <w:szCs w:val="26"/>
                <w:rtl/>
              </w:rPr>
              <w:t xml:space="preserve">                     המשך</w:t>
            </w:r>
          </w:p>
        </w:tc>
      </w:tr>
      <w:tr w:rsidTr="00B6233D">
        <w:tblPrEx>
          <w:tblW w:w="0" w:type="auto"/>
          <w:tblLook w:val="04A0"/>
        </w:tblPrEx>
        <w:trPr>
          <w:trHeight w:val="289"/>
        </w:trPr>
        <w:tc>
          <w:tcPr>
            <w:tcW w:w="6239" w:type="dxa"/>
          </w:tcPr>
          <w:p w:rsidR="00A739CF" w:rsidRPr="00B7140B" w:rsidP="00A739CF">
            <w:pPr>
              <w:tabs>
                <w:tab w:val="right" w:pos="12"/>
                <w:tab w:val="right" w:pos="156"/>
              </w:tabs>
              <w:spacing w:before="200" w:after="80"/>
              <w:rPr>
                <w:rFonts w:ascii="Tahoma" w:hAnsi="Tahoma" w:cs="Tahoma"/>
                <w:b/>
                <w:bCs/>
                <w:color w:val="00305F"/>
                <w:sz w:val="22"/>
                <w:szCs w:val="22"/>
                <w:rtl/>
              </w:rPr>
            </w:pPr>
            <w:r w:rsidRPr="00B7140B">
              <w:rPr>
                <w:rFonts w:ascii="Tahoma" w:hAnsi="Tahoma" w:cs="Tahoma" w:hint="cs"/>
                <w:b/>
                <w:bCs/>
                <w:color w:val="00305F"/>
                <w:sz w:val="22"/>
                <w:szCs w:val="22"/>
                <w:rtl/>
              </w:rPr>
              <w:t>חברת תשתיות אנרגיה</w:t>
            </w:r>
          </w:p>
        </w:tc>
        <w:tc>
          <w:tcPr>
            <w:tcW w:w="1121" w:type="dxa"/>
          </w:tcPr>
          <w:p w:rsidR="00A739CF" w:rsidRPr="00B7140B" w:rsidP="00A739CF">
            <w:pPr>
              <w:pStyle w:val="71316"/>
              <w:spacing w:before="200" w:after="80" w:line="240" w:lineRule="auto"/>
              <w:rPr>
                <w:b w:val="0"/>
                <w:bCs w:val="0"/>
                <w:sz w:val="22"/>
                <w:szCs w:val="22"/>
                <w:rtl/>
              </w:rPr>
            </w:pPr>
          </w:p>
        </w:tc>
      </w:tr>
      <w:tr w:rsidTr="00B6233D">
        <w:tblPrEx>
          <w:tblW w:w="0" w:type="auto"/>
          <w:tblLook w:val="04A0"/>
        </w:tblPrEx>
        <w:trPr>
          <w:trHeight w:val="340"/>
        </w:trPr>
        <w:tc>
          <w:tcPr>
            <w:tcW w:w="6239" w:type="dxa"/>
          </w:tcPr>
          <w:p w:rsidR="00A739CF" w:rsidRPr="00A83142" w:rsidP="00A739CF">
            <w:pPr>
              <w:spacing w:before="80" w:after="80" w:line="260" w:lineRule="exact"/>
              <w:rPr>
                <w:rFonts w:ascii="Arial" w:hAnsi="Arial" w:cs="Tahoma"/>
                <w:color w:val="000000"/>
                <w:sz w:val="24"/>
                <w:szCs w:val="18"/>
                <w:rtl/>
              </w:rPr>
            </w:pPr>
            <w:r w:rsidRPr="006670B7">
              <w:rPr>
                <w:rFonts w:ascii="Arial" w:hAnsi="Arial" w:cs="Tahoma" w:hint="cs"/>
                <w:color w:val="000000"/>
                <w:sz w:val="24"/>
                <w:szCs w:val="18"/>
                <w:rtl/>
              </w:rPr>
              <w:t>חברת תשתיות אנרגיה בע"מ - ביקורת פיננסית</w:t>
            </w:r>
          </w:p>
        </w:tc>
        <w:tc>
          <w:tcPr>
            <w:tcW w:w="1121" w:type="dxa"/>
          </w:tcPr>
          <w:p w:rsidR="00A739CF" w:rsidRPr="008D4A5C" w:rsidP="00A739CF">
            <w:pPr>
              <w:pStyle w:val="71316"/>
              <w:spacing w:before="80" w:after="86" w:line="240" w:lineRule="auto"/>
              <w:rPr>
                <w:b w:val="0"/>
                <w:bCs w:val="0"/>
                <w:sz w:val="18"/>
                <w:szCs w:val="18"/>
                <w:rtl/>
              </w:rPr>
            </w:pPr>
            <w:r>
              <w:rPr>
                <w:rFonts w:ascii="Arial" w:hAnsi="Arial" w:hint="cs"/>
                <w:b w:val="0"/>
                <w:bCs w:val="0"/>
                <w:color w:val="000000"/>
                <w:sz w:val="18"/>
                <w:szCs w:val="18"/>
                <w:rtl/>
              </w:rPr>
              <w:t>1649</w:t>
            </w:r>
          </w:p>
        </w:tc>
      </w:tr>
      <w:tr w:rsidTr="00B6233D">
        <w:tblPrEx>
          <w:tblW w:w="0" w:type="auto"/>
          <w:tblLook w:val="04A0"/>
        </w:tblPrEx>
        <w:trPr>
          <w:trHeight w:val="340"/>
        </w:trPr>
        <w:tc>
          <w:tcPr>
            <w:tcW w:w="6239" w:type="dxa"/>
          </w:tcPr>
          <w:p w:rsidR="00A739CF" w:rsidRPr="00B7140B" w:rsidP="00A739CF">
            <w:pPr>
              <w:tabs>
                <w:tab w:val="right" w:pos="12"/>
                <w:tab w:val="right" w:pos="156"/>
              </w:tabs>
              <w:spacing w:before="200" w:after="80"/>
              <w:outlineLvl w:val="0"/>
              <w:rPr>
                <w:rFonts w:ascii="Tahoma" w:hAnsi="Tahoma" w:cs="Tahoma"/>
                <w:b/>
                <w:bCs/>
                <w:color w:val="00305F"/>
                <w:sz w:val="22"/>
                <w:szCs w:val="22"/>
                <w:rtl/>
              </w:rPr>
            </w:pPr>
            <w:r w:rsidRPr="00B7140B">
              <w:rPr>
                <w:rFonts w:ascii="Tahoma" w:hAnsi="Tahoma" w:cs="Tahoma" w:hint="cs"/>
                <w:b/>
                <w:bCs/>
                <w:color w:val="00305F"/>
                <w:sz w:val="22"/>
                <w:szCs w:val="22"/>
                <w:rtl/>
              </w:rPr>
              <w:t>חברת נתיבי איילון</w:t>
            </w:r>
          </w:p>
        </w:tc>
        <w:tc>
          <w:tcPr>
            <w:tcW w:w="1121" w:type="dxa"/>
          </w:tcPr>
          <w:p w:rsidR="00A739CF" w:rsidRPr="00B7140B" w:rsidP="00A739CF">
            <w:pPr>
              <w:pStyle w:val="71316"/>
              <w:spacing w:before="200" w:after="80" w:line="240" w:lineRule="auto"/>
              <w:rPr>
                <w:rFonts w:ascii="Arial" w:hAnsi="Arial"/>
                <w:b w:val="0"/>
                <w:bCs w:val="0"/>
                <w:color w:val="000000"/>
                <w:sz w:val="22"/>
                <w:szCs w:val="22"/>
                <w:rtl/>
              </w:rPr>
            </w:pPr>
          </w:p>
        </w:tc>
      </w:tr>
      <w:tr w:rsidTr="00B6233D">
        <w:tblPrEx>
          <w:tblW w:w="0" w:type="auto"/>
          <w:tblLook w:val="04A0"/>
        </w:tblPrEx>
        <w:trPr>
          <w:trHeight w:val="340"/>
        </w:trPr>
        <w:tc>
          <w:tcPr>
            <w:tcW w:w="6239" w:type="dxa"/>
          </w:tcPr>
          <w:p w:rsidR="00A739CF" w:rsidRPr="00A83142"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 xml:space="preserve">חברת נתיבי איילון בע"מ </w:t>
            </w:r>
            <w:r w:rsidRPr="006670B7">
              <w:rPr>
                <w:rFonts w:ascii="Arial" w:hAnsi="Arial" w:cs="Tahoma" w:hint="cs"/>
                <w:color w:val="000000"/>
                <w:sz w:val="24"/>
                <w:szCs w:val="18"/>
                <w:rtl/>
              </w:rPr>
              <w:t>-</w:t>
            </w:r>
            <w:r w:rsidRPr="006670B7">
              <w:rPr>
                <w:rFonts w:ascii="Arial" w:hAnsi="Arial" w:cs="Tahoma"/>
                <w:color w:val="000000"/>
                <w:sz w:val="24"/>
                <w:szCs w:val="18"/>
                <w:rtl/>
              </w:rPr>
              <w:t xml:space="preserve"> התארגנות מחדש והיבטים פיננסיים</w:t>
            </w:r>
          </w:p>
        </w:tc>
        <w:tc>
          <w:tcPr>
            <w:tcW w:w="1121" w:type="dxa"/>
          </w:tcPr>
          <w:p w:rsidR="00A739CF" w:rsidRPr="001309F2"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1737</w:t>
            </w:r>
          </w:p>
        </w:tc>
      </w:tr>
      <w:tr w:rsidTr="00B6233D">
        <w:tblPrEx>
          <w:tblW w:w="0" w:type="auto"/>
          <w:tblLook w:val="04A0"/>
        </w:tblPrEx>
        <w:trPr>
          <w:trHeight w:val="340"/>
        </w:trPr>
        <w:tc>
          <w:tcPr>
            <w:tcW w:w="6239" w:type="dxa"/>
          </w:tcPr>
          <w:p w:rsidR="00A739CF" w:rsidRPr="00B7140B" w:rsidP="00A739CF">
            <w:pPr>
              <w:tabs>
                <w:tab w:val="right" w:pos="12"/>
                <w:tab w:val="right" w:pos="156"/>
              </w:tabs>
              <w:spacing w:before="200" w:after="80"/>
              <w:rPr>
                <w:rFonts w:ascii="Tahoma" w:hAnsi="Tahoma" w:cs="Tahoma"/>
                <w:b/>
                <w:bCs/>
                <w:color w:val="00305F"/>
                <w:sz w:val="22"/>
                <w:szCs w:val="22"/>
                <w:rtl/>
              </w:rPr>
            </w:pPr>
            <w:r w:rsidRPr="00B7140B">
              <w:rPr>
                <w:rFonts w:ascii="Tahoma" w:hAnsi="Tahoma" w:cs="Tahoma" w:hint="cs"/>
                <w:b/>
                <w:bCs/>
                <w:color w:val="00305F"/>
                <w:sz w:val="22"/>
                <w:szCs w:val="22"/>
                <w:rtl/>
              </w:rPr>
              <w:t>רשות שוק ההון, ביטוח וחיסכון</w:t>
            </w:r>
          </w:p>
        </w:tc>
        <w:tc>
          <w:tcPr>
            <w:tcW w:w="1121" w:type="dxa"/>
          </w:tcPr>
          <w:p w:rsidR="00A739CF" w:rsidRPr="00B7140B" w:rsidP="00A739CF">
            <w:pPr>
              <w:pStyle w:val="71316"/>
              <w:spacing w:before="200" w:after="80" w:line="240" w:lineRule="auto"/>
              <w:rPr>
                <w:rFonts w:ascii="Arial" w:hAnsi="Arial"/>
                <w:b w:val="0"/>
                <w:bCs w:val="0"/>
                <w:color w:val="000000"/>
                <w:sz w:val="22"/>
                <w:szCs w:val="22"/>
                <w:rtl/>
              </w:rPr>
            </w:pPr>
          </w:p>
        </w:tc>
      </w:tr>
      <w:tr w:rsidTr="00B6233D">
        <w:tblPrEx>
          <w:tblW w:w="0" w:type="auto"/>
          <w:tblLook w:val="04A0"/>
        </w:tblPrEx>
        <w:trPr>
          <w:trHeight w:val="340"/>
        </w:trPr>
        <w:tc>
          <w:tcPr>
            <w:tcW w:w="6239" w:type="dxa"/>
          </w:tcPr>
          <w:p w:rsidR="00A739CF" w:rsidRPr="00A83142"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 xml:space="preserve">היבטים </w:t>
            </w:r>
            <w:r w:rsidRPr="006670B7">
              <w:rPr>
                <w:rFonts w:ascii="Arial" w:hAnsi="Arial" w:cs="Tahoma"/>
                <w:color w:val="000000"/>
                <w:sz w:val="24"/>
                <w:szCs w:val="18"/>
                <w:rtl/>
              </w:rPr>
              <w:t>בפנסי</w:t>
            </w:r>
            <w:r w:rsidRPr="006670B7">
              <w:rPr>
                <w:rFonts w:ascii="Arial" w:hAnsi="Arial" w:cs="Tahoma" w:hint="cs"/>
                <w:color w:val="000000"/>
                <w:sz w:val="24"/>
                <w:szCs w:val="18"/>
                <w:rtl/>
              </w:rPr>
              <w:t>י</w:t>
            </w:r>
            <w:r w:rsidRPr="006670B7">
              <w:rPr>
                <w:rFonts w:ascii="Arial" w:hAnsi="Arial" w:cs="Tahoma"/>
                <w:color w:val="000000"/>
                <w:sz w:val="24"/>
                <w:szCs w:val="18"/>
                <w:rtl/>
              </w:rPr>
              <w:t>ה</w:t>
            </w:r>
            <w:r w:rsidRPr="006670B7">
              <w:rPr>
                <w:rFonts w:ascii="Arial" w:hAnsi="Arial" w:cs="Tahoma"/>
                <w:color w:val="000000"/>
                <w:sz w:val="24"/>
                <w:szCs w:val="18"/>
                <w:rtl/>
              </w:rPr>
              <w:t xml:space="preserve"> הצוברת ו</w:t>
            </w:r>
            <w:r w:rsidRPr="006670B7">
              <w:rPr>
                <w:rFonts w:ascii="Arial" w:hAnsi="Arial" w:cs="Tahoma" w:hint="cs"/>
                <w:color w:val="000000"/>
                <w:sz w:val="24"/>
                <w:szCs w:val="18"/>
                <w:rtl/>
              </w:rPr>
              <w:t>ב</w:t>
            </w:r>
            <w:r w:rsidRPr="006670B7">
              <w:rPr>
                <w:rFonts w:ascii="Arial" w:hAnsi="Arial" w:cs="Tahoma"/>
                <w:color w:val="000000"/>
                <w:sz w:val="24"/>
                <w:szCs w:val="18"/>
                <w:rtl/>
              </w:rPr>
              <w:t xml:space="preserve">שוק ההפצה הפנסיוני </w:t>
            </w:r>
            <w:r w:rsidRPr="006670B7">
              <w:rPr>
                <w:rFonts w:ascii="Arial" w:hAnsi="Arial" w:cs="Tahoma" w:hint="cs"/>
                <w:color w:val="000000"/>
                <w:sz w:val="24"/>
                <w:szCs w:val="18"/>
                <w:rtl/>
              </w:rPr>
              <w:t>-</w:t>
            </w:r>
            <w:r w:rsidRPr="006670B7">
              <w:rPr>
                <w:rFonts w:ascii="Arial" w:hAnsi="Arial" w:cs="Tahoma"/>
                <w:color w:val="000000"/>
                <w:sz w:val="24"/>
                <w:szCs w:val="18"/>
                <w:rtl/>
              </w:rPr>
              <w:t xml:space="preserve"> ביקורת מעקב</w:t>
            </w:r>
          </w:p>
        </w:tc>
        <w:tc>
          <w:tcPr>
            <w:tcW w:w="1121" w:type="dxa"/>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1827</w:t>
            </w:r>
          </w:p>
        </w:tc>
      </w:tr>
      <w:tr w:rsidTr="00B6233D">
        <w:tblPrEx>
          <w:tblW w:w="0" w:type="auto"/>
          <w:tblLook w:val="04A0"/>
        </w:tblPrEx>
        <w:trPr>
          <w:trHeight w:val="340"/>
        </w:trPr>
        <w:tc>
          <w:tcPr>
            <w:tcW w:w="6239" w:type="dxa"/>
          </w:tcPr>
          <w:p w:rsidR="00A739CF" w:rsidRPr="00B7140B" w:rsidP="00A739CF">
            <w:pPr>
              <w:spacing w:before="200" w:after="80" w:line="260" w:lineRule="exact"/>
              <w:rPr>
                <w:rFonts w:ascii="Arial" w:hAnsi="Arial" w:cs="Tahoma"/>
                <w:color w:val="000000"/>
                <w:sz w:val="22"/>
                <w:szCs w:val="22"/>
                <w:rtl/>
              </w:rPr>
            </w:pPr>
            <w:r w:rsidRPr="00B7140B">
              <w:rPr>
                <w:rFonts w:ascii="Tahoma" w:hAnsi="Tahoma" w:cs="Tahoma" w:hint="cs"/>
                <w:b/>
                <w:bCs/>
                <w:color w:val="00305F"/>
                <w:sz w:val="22"/>
                <w:szCs w:val="22"/>
                <w:rtl/>
              </w:rPr>
              <w:t>הרשות הממשלתית למים ולביוב</w:t>
            </w:r>
          </w:p>
        </w:tc>
        <w:tc>
          <w:tcPr>
            <w:tcW w:w="1121" w:type="dxa"/>
          </w:tcPr>
          <w:p w:rsidR="00A739CF" w:rsidRPr="00B7140B" w:rsidP="00A739CF">
            <w:pPr>
              <w:pStyle w:val="71316"/>
              <w:spacing w:before="200" w:after="80" w:line="240" w:lineRule="auto"/>
              <w:rPr>
                <w:rFonts w:ascii="Arial" w:hAnsi="Arial"/>
                <w:b w:val="0"/>
                <w:bCs w:val="0"/>
                <w:color w:val="000000"/>
                <w:sz w:val="22"/>
                <w:szCs w:val="22"/>
                <w:rtl/>
              </w:rPr>
            </w:pPr>
          </w:p>
        </w:tc>
      </w:tr>
      <w:tr w:rsidTr="00B6233D">
        <w:tblPrEx>
          <w:tblW w:w="0" w:type="auto"/>
          <w:tblLook w:val="04A0"/>
        </w:tblPrEx>
        <w:trPr>
          <w:trHeight w:val="340"/>
        </w:trPr>
        <w:tc>
          <w:tcPr>
            <w:tcW w:w="6239" w:type="dxa"/>
          </w:tcPr>
          <w:p w:rsidR="00A739CF" w:rsidRPr="006670B7" w:rsidP="00A739CF">
            <w:pPr>
              <w:spacing w:before="80" w:after="80" w:line="260" w:lineRule="exact"/>
              <w:rPr>
                <w:rFonts w:ascii="Arial" w:hAnsi="Arial" w:cs="Tahoma"/>
                <w:color w:val="000000"/>
                <w:sz w:val="24"/>
                <w:szCs w:val="18"/>
                <w:rtl/>
              </w:rPr>
            </w:pPr>
            <w:r w:rsidRPr="006670B7">
              <w:rPr>
                <w:rFonts w:ascii="Arial" w:hAnsi="Arial" w:cs="Tahoma"/>
                <w:color w:val="000000"/>
                <w:sz w:val="24"/>
                <w:szCs w:val="18"/>
                <w:rtl/>
              </w:rPr>
              <w:t>אספקת מי שתי</w:t>
            </w:r>
            <w:r w:rsidRPr="006670B7">
              <w:rPr>
                <w:rFonts w:ascii="Arial" w:hAnsi="Arial" w:cs="Tahoma" w:hint="cs"/>
                <w:color w:val="000000"/>
                <w:sz w:val="24"/>
                <w:szCs w:val="18"/>
                <w:rtl/>
              </w:rPr>
              <w:t>י</w:t>
            </w:r>
            <w:r w:rsidRPr="006670B7">
              <w:rPr>
                <w:rFonts w:ascii="Arial" w:hAnsi="Arial" w:cs="Tahoma"/>
                <w:color w:val="000000"/>
                <w:sz w:val="24"/>
                <w:szCs w:val="18"/>
                <w:rtl/>
              </w:rPr>
              <w:t>ה ב</w:t>
            </w:r>
            <w:r w:rsidRPr="006670B7">
              <w:rPr>
                <w:rFonts w:ascii="Arial" w:hAnsi="Arial" w:cs="Tahoma" w:hint="cs"/>
                <w:color w:val="000000"/>
                <w:sz w:val="24"/>
                <w:szCs w:val="18"/>
                <w:rtl/>
              </w:rPr>
              <w:t xml:space="preserve">שעת </w:t>
            </w:r>
            <w:r w:rsidRPr="006670B7">
              <w:rPr>
                <w:rFonts w:ascii="Arial" w:hAnsi="Arial" w:cs="Tahoma"/>
                <w:color w:val="000000"/>
                <w:sz w:val="24"/>
                <w:szCs w:val="18"/>
                <w:rtl/>
              </w:rPr>
              <w:t xml:space="preserve">חירום </w:t>
            </w:r>
          </w:p>
        </w:tc>
        <w:tc>
          <w:tcPr>
            <w:tcW w:w="1121" w:type="dxa"/>
          </w:tcPr>
          <w:p w:rsidR="00A739CF" w:rsidP="00A739C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1877</w:t>
            </w:r>
          </w:p>
        </w:tc>
      </w:tr>
      <w:tr w:rsidTr="00B6233D">
        <w:tblPrEx>
          <w:tblW w:w="0" w:type="auto"/>
          <w:tblLook w:val="04A0"/>
        </w:tblPrEx>
        <w:trPr>
          <w:trHeight w:val="340"/>
        </w:trPr>
        <w:tc>
          <w:tcPr>
            <w:tcW w:w="6239" w:type="dxa"/>
          </w:tcPr>
          <w:p w:rsidR="00A739CF" w:rsidRPr="00B7140B" w:rsidP="00A739CF">
            <w:pPr>
              <w:spacing w:before="200" w:after="80" w:line="260" w:lineRule="exact"/>
              <w:rPr>
                <w:rFonts w:ascii="Arial" w:hAnsi="Arial" w:cs="Tahoma"/>
                <w:color w:val="000000"/>
                <w:sz w:val="22"/>
                <w:szCs w:val="22"/>
                <w:rtl/>
              </w:rPr>
            </w:pPr>
            <w:r w:rsidRPr="00B7140B">
              <w:rPr>
                <w:rFonts w:ascii="Tahoma" w:hAnsi="Tahoma" w:cs="Tahoma" w:hint="cs"/>
                <w:b/>
                <w:bCs/>
                <w:color w:val="00305F"/>
                <w:sz w:val="22"/>
                <w:szCs w:val="22"/>
                <w:rtl/>
              </w:rPr>
              <w:t>רשות שדות התעופה</w:t>
            </w:r>
          </w:p>
        </w:tc>
        <w:tc>
          <w:tcPr>
            <w:tcW w:w="1121" w:type="dxa"/>
          </w:tcPr>
          <w:p w:rsidR="00A739CF" w:rsidRPr="00B7140B" w:rsidP="00A739CF">
            <w:pPr>
              <w:pStyle w:val="71316"/>
              <w:spacing w:before="200" w:after="80" w:line="240" w:lineRule="auto"/>
              <w:rPr>
                <w:rFonts w:ascii="Arial" w:hAnsi="Arial"/>
                <w:b w:val="0"/>
                <w:bCs w:val="0"/>
                <w:color w:val="000000"/>
                <w:sz w:val="22"/>
                <w:szCs w:val="22"/>
                <w:rtl/>
              </w:rPr>
            </w:pPr>
          </w:p>
        </w:tc>
      </w:tr>
      <w:tr w:rsidTr="00B6233D">
        <w:tblPrEx>
          <w:tblW w:w="0" w:type="auto"/>
          <w:tblLook w:val="04A0"/>
        </w:tblPrEx>
        <w:trPr>
          <w:trHeight w:val="340"/>
        </w:trPr>
        <w:tc>
          <w:tcPr>
            <w:tcW w:w="6239" w:type="dxa"/>
          </w:tcPr>
          <w:p w:rsidR="00A739CF" w:rsidRPr="006670B7" w:rsidP="00A739CF">
            <w:pPr>
              <w:spacing w:before="80" w:line="260" w:lineRule="exact"/>
              <w:rPr>
                <w:rFonts w:ascii="Arial" w:hAnsi="Arial" w:cs="Tahoma"/>
                <w:color w:val="000000"/>
                <w:sz w:val="24"/>
                <w:szCs w:val="18"/>
                <w:rtl/>
              </w:rPr>
            </w:pPr>
            <w:r w:rsidRPr="006670B7">
              <w:rPr>
                <w:rFonts w:ascii="Arial" w:hAnsi="Arial" w:cs="Tahoma"/>
                <w:color w:val="000000"/>
                <w:sz w:val="24"/>
                <w:szCs w:val="18"/>
                <w:rtl/>
              </w:rPr>
              <w:t>בטיחות התעופה האזרחית</w:t>
            </w:r>
          </w:p>
        </w:tc>
        <w:tc>
          <w:tcPr>
            <w:tcW w:w="1121" w:type="dxa"/>
          </w:tcPr>
          <w:p w:rsidR="00A739CF" w:rsidP="00D401D5">
            <w:pPr>
              <w:pStyle w:val="71316"/>
              <w:spacing w:before="80" w:after="0" w:line="240" w:lineRule="auto"/>
              <w:rPr>
                <w:rFonts w:ascii="Arial" w:hAnsi="Arial"/>
                <w:b w:val="0"/>
                <w:bCs w:val="0"/>
                <w:color w:val="000000"/>
                <w:sz w:val="18"/>
                <w:szCs w:val="18"/>
                <w:rtl/>
              </w:rPr>
            </w:pPr>
            <w:r>
              <w:rPr>
                <w:rFonts w:ascii="Arial" w:hAnsi="Arial" w:hint="cs"/>
                <w:b w:val="0"/>
                <w:bCs w:val="0"/>
                <w:color w:val="000000"/>
                <w:sz w:val="18"/>
                <w:szCs w:val="18"/>
                <w:rtl/>
              </w:rPr>
              <w:t>1955</w:t>
            </w:r>
          </w:p>
        </w:tc>
      </w:tr>
    </w:tbl>
    <w:p w:rsidR="005A6171" w:rsidP="00047E7B">
      <w:pPr>
        <w:pStyle w:val="71316"/>
        <w:rPr>
          <w:rtl/>
        </w:rPr>
        <w:sectPr w:rsidSect="00336631">
          <w:headerReference w:type="even" r:id="rId19"/>
          <w:headerReference w:type="default" r:id="rId20"/>
          <w:footnotePr>
            <w:numRestart w:val="eachSect"/>
          </w:footnotePr>
          <w:type w:val="continuous"/>
          <w:pgSz w:w="11906" w:h="16838" w:code="9"/>
          <w:pgMar w:top="3062" w:right="2268" w:bottom="2552" w:left="2268" w:header="1134" w:footer="1304" w:gutter="0"/>
          <w:pgNumType w:start="5"/>
          <w:cols w:space="708"/>
          <w:bidi/>
          <w:rtlGutter/>
          <w:docGrid w:linePitch="360"/>
        </w:sectPr>
      </w:pPr>
    </w:p>
    <w:p w:rsidR="004D01DF">
      <w:pPr>
        <w:bidi w:val="0"/>
        <w:spacing w:after="200" w:line="276" w:lineRule="auto"/>
        <w:rPr>
          <w:rFonts w:ascii="Tahoma" w:eastAsia="Times New Roman" w:hAnsi="Tahoma" w:cs="Tahoma"/>
          <w:b/>
          <w:bCs/>
          <w:color w:val="00305F"/>
          <w:sz w:val="32"/>
          <w:szCs w:val="32"/>
          <w:rtl/>
        </w:rPr>
      </w:pPr>
      <w:r>
        <w:rPr>
          <w:noProof/>
          <w:rtl/>
        </w:rPr>
        <mc:AlternateContent>
          <mc:Choice Requires="wps">
            <w:drawing>
              <wp:anchor distT="0" distB="0" distL="114300" distR="114300" simplePos="0" relativeHeight="251674624" behindDoc="0" locked="0" layoutInCell="1" allowOverlap="1">
                <wp:simplePos x="0" y="0"/>
                <wp:positionH relativeFrom="column">
                  <wp:posOffset>2147570</wp:posOffset>
                </wp:positionH>
                <wp:positionV relativeFrom="paragraph">
                  <wp:posOffset>7095888</wp:posOffset>
                </wp:positionV>
                <wp:extent cx="3166389" cy="728420"/>
                <wp:effectExtent l="12700" t="12700" r="8890" b="8255"/>
                <wp:wrapNone/>
                <wp:docPr id="11" name="מלבן 11"/>
                <wp:cNvGraphicFramePr/>
                <a:graphic xmlns:a="http://schemas.openxmlformats.org/drawingml/2006/main">
                  <a:graphicData uri="http://schemas.microsoft.com/office/word/2010/wordprocessingShape">
                    <wps:wsp xmlns:wps="http://schemas.microsoft.com/office/word/2010/wordprocessingShape">
                      <wps:cNvSpPr/>
                      <wps:spPr>
                        <a:xfrm>
                          <a:off x="0" y="0"/>
                          <a:ext cx="3166389" cy="728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1" o:spid="_x0000_s1031" style="width:249.3pt;height:57.35pt;margin-top:558.75pt;margin-left:169.1pt;mso-width-percent:0;mso-width-relative:margin;mso-wrap-distance-bottom:0;mso-wrap-distance-left:9pt;mso-wrap-distance-right:9pt;mso-wrap-distance-top:0;mso-wrap-style:square;position:absolute;visibility:visible;v-text-anchor:middle;z-index:251675648" fillcolor="white" strokecolor="white" strokeweight="2pt"/>
            </w:pict>
          </mc:Fallback>
        </mc:AlternateContent>
      </w:r>
      <w:r>
        <w:rPr>
          <w:noProof/>
          <w:rtl/>
        </w:rPr>
        <mc:AlternateContent>
          <mc:Choice Requires="wps">
            <w:drawing>
              <wp:anchor distT="0" distB="0" distL="114300" distR="114300" simplePos="0" relativeHeight="251672576" behindDoc="0" locked="0" layoutInCell="1" allowOverlap="1">
                <wp:simplePos x="0" y="0"/>
                <wp:positionH relativeFrom="column">
                  <wp:posOffset>-1424682</wp:posOffset>
                </wp:positionH>
                <wp:positionV relativeFrom="paragraph">
                  <wp:posOffset>-735502</wp:posOffset>
                </wp:positionV>
                <wp:extent cx="6261316" cy="728420"/>
                <wp:effectExtent l="12700" t="12700" r="12700" b="825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6261316" cy="728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8" o:spid="_x0000_s1032" style="width:493pt;height:57.35pt;margin-top:-57.9pt;margin-left:-112.2pt;mso-wrap-distance-bottom:0;mso-wrap-distance-left:9pt;mso-wrap-distance-right:9pt;mso-wrap-distance-top:0;mso-wrap-style:square;position:absolute;visibility:visible;v-text-anchor:middle;z-index:251673600" fillcolor="white" strokecolor="white" strokeweight="2pt"/>
            </w:pict>
          </mc:Fallback>
        </mc:AlternateContent>
      </w:r>
      <w:r>
        <w:rPr>
          <w:rtl/>
        </w:rPr>
        <w:br w:type="page"/>
      </w:r>
    </w:p>
    <w:p w:rsidR="00047E7B" w:rsidP="00047E7B">
      <w:pPr>
        <w:pStyle w:val="71316"/>
        <w:rPr>
          <w:rtl/>
        </w:rPr>
      </w:pPr>
      <w:r>
        <w:rPr>
          <w:rFonts w:hint="cs"/>
          <w:rtl/>
        </w:rPr>
        <w:t>פתח דבר</w:t>
      </w:r>
    </w:p>
    <w:p w:rsidR="009A24D6" w:rsidP="000A33BE">
      <w:pPr>
        <w:pStyle w:val="7191"/>
        <w:rPr>
          <w:b/>
          <w:bCs/>
        </w:rPr>
      </w:pPr>
    </w:p>
    <w:p w:rsidR="000A33BE" w:rsidRPr="000A33BE" w:rsidP="000A33BE">
      <w:pPr>
        <w:pStyle w:val="7191"/>
        <w:rPr>
          <w:rtl/>
        </w:rPr>
      </w:pPr>
      <w:r w:rsidRPr="000A33BE">
        <w:rPr>
          <w:b/>
          <w:bCs/>
          <w:rtl/>
        </w:rPr>
        <w:t>דוח הביקורת השנתי</w:t>
      </w:r>
      <w:r w:rsidRPr="000A33BE">
        <w:rPr>
          <w:rtl/>
        </w:rPr>
        <w:t xml:space="preserve"> המונח </w:t>
      </w:r>
      <w:r w:rsidRPr="000A33BE">
        <w:rPr>
          <w:rFonts w:hint="cs"/>
          <w:rtl/>
        </w:rPr>
        <w:t xml:space="preserve">היום </w:t>
      </w:r>
      <w:r w:rsidRPr="000A33BE">
        <w:rPr>
          <w:rtl/>
        </w:rPr>
        <w:t xml:space="preserve">על שולחן הכנסת הוא החלק הראשון של הדין וחשבון השנתי של מבקר המדינה המציג את ממצאי הביקורת על הגופים המבוקרים לשנת 2021. </w:t>
      </w:r>
    </w:p>
    <w:p w:rsidR="000A33BE" w:rsidRPr="000A33BE" w:rsidP="000A33BE">
      <w:pPr>
        <w:pStyle w:val="7191"/>
        <w:rPr>
          <w:rtl/>
        </w:rPr>
      </w:pPr>
      <w:r w:rsidRPr="000A33BE">
        <w:rPr>
          <w:rtl/>
        </w:rPr>
        <w:t xml:space="preserve">הדוח עוסק ברובו בביקורת בתחומי הכלכלה והתשתיות הלאומיות, שהם בבחינת אבני יסוד החיוניות לפיתוח המשק ולשיפור איכות חיי האזרחים והתושבים במדינה. הדוח כולל גם פרק נרחב בנושא מבנה השכר וההעסקה בשירות הציבורי. </w:t>
      </w:r>
      <w:r w:rsidRPr="000A33BE">
        <w:rPr>
          <w:rFonts w:hint="cs"/>
          <w:rtl/>
        </w:rPr>
        <w:t xml:space="preserve">במוקד </w:t>
      </w:r>
      <w:r w:rsidRPr="000A33BE">
        <w:rPr>
          <w:rtl/>
        </w:rPr>
        <w:t xml:space="preserve">פרקי הביקורת </w:t>
      </w:r>
      <w:r w:rsidRPr="000A33BE">
        <w:rPr>
          <w:rFonts w:hint="cs"/>
          <w:rtl/>
        </w:rPr>
        <w:t>עומדים</w:t>
      </w:r>
      <w:r w:rsidRPr="000A33BE">
        <w:rPr>
          <w:rtl/>
        </w:rPr>
        <w:t xml:space="preserve"> נושאים חשובים ומגוונים</w:t>
      </w:r>
      <w:r w:rsidR="00327A21">
        <w:rPr>
          <w:rFonts w:hint="cs"/>
          <w:rtl/>
        </w:rPr>
        <w:t>,</w:t>
      </w:r>
      <w:r w:rsidRPr="000A33BE">
        <w:rPr>
          <w:rtl/>
        </w:rPr>
        <w:t xml:space="preserve"> ו</w:t>
      </w:r>
      <w:r w:rsidRPr="000A33BE">
        <w:rPr>
          <w:rFonts w:hint="cs"/>
          <w:rtl/>
        </w:rPr>
        <w:t>הביקורת</w:t>
      </w:r>
      <w:r w:rsidR="00327A21">
        <w:rPr>
          <w:rFonts w:hint="cs"/>
          <w:rtl/>
        </w:rPr>
        <w:t xml:space="preserve"> נעשית גם</w:t>
      </w:r>
      <w:r w:rsidRPr="000A33BE">
        <w:rPr>
          <w:rFonts w:hint="cs"/>
          <w:rtl/>
        </w:rPr>
        <w:t xml:space="preserve"> </w:t>
      </w:r>
      <w:r w:rsidRPr="000A33BE">
        <w:rPr>
          <w:rtl/>
        </w:rPr>
        <w:t>ב</w:t>
      </w:r>
      <w:r w:rsidRPr="000F09A5" w:rsidR="00327A21">
        <w:rPr>
          <w:rtl/>
        </w:rPr>
        <w:t>"</w:t>
      </w:r>
      <w:r w:rsidRPr="000A33BE">
        <w:rPr>
          <w:rtl/>
        </w:rPr>
        <w:t>עיני הציבור</w:t>
      </w:r>
      <w:r w:rsidRPr="000F09A5" w:rsidR="00327A21">
        <w:rPr>
          <w:rtl/>
        </w:rPr>
        <w:t>"</w:t>
      </w:r>
      <w:r w:rsidR="00327A21">
        <w:rPr>
          <w:rFonts w:hint="cs"/>
          <w:rtl/>
        </w:rPr>
        <w:t>, דהיינו הנושאים נבחנים גם מנקודת המבט של הציבור ומבחינת השפעתם על חיי היומיום של האזרחים והתושבים</w:t>
      </w:r>
      <w:r w:rsidRPr="000A33BE">
        <w:rPr>
          <w:rtl/>
        </w:rPr>
        <w:t>. להלן סקירה של כמה מפרקי הביקורת</w:t>
      </w:r>
      <w:r>
        <w:rPr>
          <w:rFonts w:hint="cs"/>
          <w:rtl/>
        </w:rPr>
        <w:t>.</w:t>
      </w:r>
    </w:p>
    <w:p w:rsidR="00327A21" w:rsidP="00327A21">
      <w:pPr>
        <w:pStyle w:val="7112"/>
        <w:numPr>
          <w:ilvl w:val="0"/>
          <w:numId w:val="27"/>
        </w:numPr>
        <w:rPr>
          <w:rtl/>
        </w:rPr>
      </w:pPr>
      <w:r w:rsidRPr="006010E9">
        <w:rPr>
          <w:rFonts w:hint="eastAsia"/>
          <w:b/>
          <w:bCs/>
          <w:color w:val="auto"/>
          <w:rtl/>
        </w:rPr>
        <w:t>סוגיות</w:t>
      </w:r>
      <w:r w:rsidRPr="006010E9">
        <w:rPr>
          <w:b/>
          <w:bCs/>
          <w:color w:val="auto"/>
          <w:rtl/>
        </w:rPr>
        <w:t xml:space="preserve"> </w:t>
      </w:r>
      <w:r w:rsidRPr="006010E9">
        <w:rPr>
          <w:rFonts w:hint="eastAsia"/>
          <w:b/>
          <w:bCs/>
          <w:color w:val="auto"/>
          <w:rtl/>
        </w:rPr>
        <w:t>בהגנה</w:t>
      </w:r>
      <w:r w:rsidRPr="006010E9">
        <w:rPr>
          <w:b/>
          <w:bCs/>
          <w:color w:val="auto"/>
          <w:rtl/>
        </w:rPr>
        <w:t xml:space="preserve"> </w:t>
      </w:r>
      <w:r w:rsidRPr="006010E9">
        <w:rPr>
          <w:rFonts w:hint="eastAsia"/>
          <w:b/>
          <w:bCs/>
          <w:color w:val="auto"/>
          <w:rtl/>
        </w:rPr>
        <w:t>על</w:t>
      </w:r>
      <w:r w:rsidRPr="006010E9">
        <w:rPr>
          <w:b/>
          <w:bCs/>
          <w:color w:val="auto"/>
          <w:rtl/>
        </w:rPr>
        <w:t xml:space="preserve"> </w:t>
      </w:r>
      <w:r w:rsidRPr="006010E9">
        <w:rPr>
          <w:rFonts w:hint="eastAsia"/>
          <w:b/>
          <w:bCs/>
          <w:color w:val="auto"/>
          <w:rtl/>
        </w:rPr>
        <w:t>הצרכן</w:t>
      </w:r>
      <w:r w:rsidRPr="006010E9">
        <w:rPr>
          <w:b/>
          <w:bCs/>
          <w:color w:val="auto"/>
          <w:rtl/>
        </w:rPr>
        <w:t>:</w:t>
      </w:r>
      <w:r>
        <w:rPr>
          <w:color w:val="0070C0"/>
          <w:rtl/>
        </w:rPr>
        <w:t xml:space="preserve"> </w:t>
      </w:r>
      <w:r w:rsidRPr="000F09A5">
        <w:rPr>
          <w:rtl/>
        </w:rPr>
        <w:t>ציבור הצרכנים בישראל, בעיקר צרכנים מקרב אוכלוסיות הראויות לקידום, כמו עולים חדשים, קשישים וקטינים, מצויים במקרים רבים בעמדת נחיתות מול בעלי העסקים. עקב כך נחקקו חוקים שנועדו להבטיח את זכויות הצרכנים</w:t>
      </w:r>
      <w:r>
        <w:rPr>
          <w:rFonts w:hint="cs"/>
          <w:rtl/>
        </w:rPr>
        <w:t>,</w:t>
      </w:r>
      <w:r w:rsidRPr="000F09A5">
        <w:rPr>
          <w:rtl/>
        </w:rPr>
        <w:t xml:space="preserve"> והוקמה מערכת אסדרה ממשלתית להטמעת הוראות החוקים בנושאי הצרכנות ולאכיפתן. </w:t>
      </w:r>
    </w:p>
    <w:p w:rsidR="00327A21" w:rsidRPr="006010E9" w:rsidP="00327A21">
      <w:pPr>
        <w:pStyle w:val="7112"/>
        <w:rPr>
          <w:rtl/>
        </w:rPr>
      </w:pPr>
      <w:r w:rsidRPr="006010E9">
        <w:rPr>
          <w:rtl/>
        </w:rPr>
        <w:t xml:space="preserve">הביקורת בנושא סוגיות בהגנה על הצרכן העלתה ליקויים במגוון נושאים הנוגעים לשירות לצרכן ולאיכות המענה שנותנים גופים ממשלתיים שונים במקרים של פגיעה בזכויותיו. </w:t>
      </w:r>
      <w:r w:rsidRPr="006010E9">
        <w:rPr>
          <w:rFonts w:hint="cs"/>
          <w:rtl/>
        </w:rPr>
        <w:t>ב</w:t>
      </w:r>
      <w:r w:rsidRPr="006010E9">
        <w:rPr>
          <w:rtl/>
        </w:rPr>
        <w:t xml:space="preserve">סקר שיתוף ציבור שערך משרד מבקר המדינה </w:t>
      </w:r>
      <w:r w:rsidRPr="006010E9">
        <w:rPr>
          <w:rFonts w:hint="cs"/>
          <w:rtl/>
        </w:rPr>
        <w:t xml:space="preserve">נמצא </w:t>
      </w:r>
      <w:r w:rsidRPr="006010E9">
        <w:rPr>
          <w:rtl/>
        </w:rPr>
        <w:t>כי ליותר מ-76% מהציבור נגרמה בשנים 2020 - 2021 עוולה צרכנית</w:t>
      </w:r>
      <w:r w:rsidRPr="006010E9">
        <w:rPr>
          <w:rFonts w:hint="cs"/>
          <w:rtl/>
        </w:rPr>
        <w:t>.</w:t>
      </w:r>
      <w:r w:rsidRPr="006010E9">
        <w:rPr>
          <w:rtl/>
        </w:rPr>
        <w:t xml:space="preserve"> השווי של שוברים שהצרכנים החברים במועדונים אינם מממשים בכל שנה </w:t>
      </w:r>
      <w:r w:rsidRPr="006010E9">
        <w:rPr>
          <w:rFonts w:hint="cs"/>
          <w:rtl/>
        </w:rPr>
        <w:t>נאמד ב</w:t>
      </w:r>
      <w:r w:rsidRPr="006010E9">
        <w:rPr>
          <w:rtl/>
        </w:rPr>
        <w:t>כ-16.6 מיליון</w:t>
      </w:r>
      <w:r w:rsidRPr="006010E9">
        <w:rPr>
          <w:rFonts w:hint="cs"/>
          <w:rtl/>
        </w:rPr>
        <w:t xml:space="preserve"> ש"ח;</w:t>
      </w:r>
      <w:r w:rsidRPr="006010E9">
        <w:rPr>
          <w:rtl/>
        </w:rPr>
        <w:t xml:space="preserve"> מהם כ-6.3 מיליון ש"ח שווי השוברים שפג תוקפם, אשר מועדון הפיס (2.9 מיליוני ש"ח) ומועדוני "טוב", "חבר" ו"ביחד בשבילך" לא החזירו לצרכנים שלא מימשו אותם</w:t>
      </w:r>
      <w:r w:rsidRPr="006010E9">
        <w:rPr>
          <w:rFonts w:hint="cs"/>
          <w:rtl/>
        </w:rPr>
        <w:t>.</w:t>
      </w:r>
      <w:r w:rsidRPr="006010E9">
        <w:rPr>
          <w:rtl/>
        </w:rPr>
        <w:t xml:space="preserve"> כ-77% מהצרכנים אינם מודעים לתנאים שבהם מותר לבטל תשלומים שנעשו בכרטיס אשראי</w:t>
      </w:r>
      <w:r w:rsidRPr="006010E9">
        <w:rPr>
          <w:rFonts w:hint="cs"/>
          <w:rtl/>
        </w:rPr>
        <w:t>.</w:t>
      </w:r>
      <w:r w:rsidRPr="006010E9">
        <w:rPr>
          <w:rtl/>
        </w:rPr>
        <w:t xml:space="preserve"> כ-20% מהתלונות </w:t>
      </w:r>
      <w:r w:rsidRPr="006010E9">
        <w:rPr>
          <w:rFonts w:hint="cs"/>
          <w:rtl/>
        </w:rPr>
        <w:t xml:space="preserve">שהיו </w:t>
      </w:r>
      <w:r w:rsidRPr="006010E9">
        <w:rPr>
          <w:rtl/>
        </w:rPr>
        <w:t>פתוחות במועצה הישראלית לצרכנות</w:t>
      </w:r>
      <w:r>
        <w:rPr>
          <w:rtl/>
        </w:rPr>
        <w:t xml:space="preserve"> </w:t>
      </w:r>
      <w:r w:rsidRPr="006010E9">
        <w:rPr>
          <w:rFonts w:hint="cs"/>
          <w:rtl/>
        </w:rPr>
        <w:t xml:space="preserve">בשנים </w:t>
      </w:r>
      <w:r w:rsidRPr="006010E9">
        <w:rPr>
          <w:rtl/>
        </w:rPr>
        <w:t xml:space="preserve">2018 - 2020 נסגרו כדי להקטין את מספר התלונות </w:t>
      </w:r>
      <w:r w:rsidRPr="006010E9">
        <w:rPr>
          <w:rFonts w:hint="cs"/>
          <w:rtl/>
        </w:rPr>
        <w:t>הרשומות כ</w:t>
      </w:r>
      <w:r w:rsidRPr="006010E9">
        <w:rPr>
          <w:rtl/>
        </w:rPr>
        <w:t xml:space="preserve">לא מטופלות; נגבו רק 31% מהעיצומים שהטילה הרשות להגנת הצרכן על עסקים בשנים 2018 -2021 (37 מיליון ש"ח מתוך 119 מיליון ש"ח). </w:t>
      </w:r>
    </w:p>
    <w:p w:rsidR="00327A21" w:rsidP="00327A21">
      <w:pPr>
        <w:pStyle w:val="7112"/>
        <w:rPr>
          <w:rtl/>
        </w:rPr>
      </w:pPr>
      <w:r w:rsidRPr="006010E9">
        <w:rPr>
          <w:rtl/>
        </w:rPr>
        <w:t>על הגורמים האמונים על מתן סיוע והגנה לצרכנים - ובהם שר</w:t>
      </w:r>
      <w:r w:rsidRPr="006010E9">
        <w:rPr>
          <w:rFonts w:hint="eastAsia"/>
          <w:rtl/>
        </w:rPr>
        <w:t>ת</w:t>
      </w:r>
      <w:r w:rsidRPr="006010E9">
        <w:rPr>
          <w:rtl/>
        </w:rPr>
        <w:t xml:space="preserve"> הכלכלה, הרשות להגנת הצרכן ולסחר הוגן, המועצה הישראלית לצרכנות ומשרד הכלכלה והתעשייה - לפעול לתיקון הליקויים שהעלתה הביקורת ולבחינת יישום ההמלצות לצורך מניעת פגיעה בצרכנים, שיפור השירות </w:t>
      </w:r>
      <w:r w:rsidRPr="006010E9">
        <w:rPr>
          <w:rFonts w:hint="cs"/>
          <w:rtl/>
        </w:rPr>
        <w:t xml:space="preserve">והגברת </w:t>
      </w:r>
      <w:r w:rsidRPr="006010E9">
        <w:rPr>
          <w:rtl/>
        </w:rPr>
        <w:t xml:space="preserve">שביעות הרצון מהגופים האחראים </w:t>
      </w:r>
      <w:r w:rsidRPr="006010E9">
        <w:rPr>
          <w:rFonts w:hint="cs"/>
          <w:rtl/>
        </w:rPr>
        <w:t>ל</w:t>
      </w:r>
      <w:r w:rsidRPr="006010E9">
        <w:rPr>
          <w:rtl/>
        </w:rPr>
        <w:t>הגנה על זכויותיהם</w:t>
      </w:r>
      <w:r w:rsidRPr="006010E9">
        <w:rPr>
          <w:rFonts w:hint="cs"/>
          <w:rtl/>
        </w:rPr>
        <w:t xml:space="preserve"> והאמון בהם</w:t>
      </w:r>
      <w:r w:rsidRPr="006010E9">
        <w:rPr>
          <w:rtl/>
        </w:rPr>
        <w:t>.</w:t>
      </w:r>
    </w:p>
    <w:p w:rsidR="00327A21" w:rsidP="00327A21">
      <w:pPr>
        <w:pStyle w:val="7112"/>
        <w:numPr>
          <w:ilvl w:val="0"/>
          <w:numId w:val="27"/>
        </w:numPr>
      </w:pPr>
      <w:r w:rsidRPr="006010E9">
        <w:rPr>
          <w:rFonts w:hint="eastAsia"/>
          <w:b/>
          <w:bCs/>
          <w:color w:val="auto"/>
          <w:rtl/>
        </w:rPr>
        <w:t>בנקאות</w:t>
      </w:r>
      <w:r w:rsidRPr="006010E9">
        <w:rPr>
          <w:b/>
          <w:bCs/>
          <w:color w:val="auto"/>
          <w:rtl/>
        </w:rPr>
        <w:t xml:space="preserve"> </w:t>
      </w:r>
      <w:r w:rsidRPr="006010E9">
        <w:rPr>
          <w:rFonts w:hint="eastAsia"/>
          <w:b/>
          <w:bCs/>
          <w:color w:val="auto"/>
          <w:rtl/>
        </w:rPr>
        <w:t>דיגיטלית</w:t>
      </w:r>
      <w:r w:rsidRPr="006010E9">
        <w:rPr>
          <w:b/>
          <w:bCs/>
          <w:color w:val="auto"/>
          <w:rtl/>
        </w:rPr>
        <w:t>:</w:t>
      </w:r>
      <w:r w:rsidRPr="00DB2EBD">
        <w:rPr>
          <w:rFonts w:hint="cs"/>
          <w:color w:val="0070C0"/>
          <w:rtl/>
        </w:rPr>
        <w:t xml:space="preserve"> </w:t>
      </w:r>
      <w:r w:rsidRPr="00DB2EBD">
        <w:rPr>
          <w:rFonts w:hint="cs"/>
          <w:rtl/>
        </w:rPr>
        <w:t>ה</w:t>
      </w:r>
      <w:r w:rsidRPr="00DB2EBD">
        <w:rPr>
          <w:rtl/>
        </w:rPr>
        <w:t xml:space="preserve">בנקאות </w:t>
      </w:r>
      <w:r w:rsidRPr="00DB2EBD">
        <w:rPr>
          <w:rFonts w:hint="cs"/>
          <w:rtl/>
        </w:rPr>
        <w:t>ה</w:t>
      </w:r>
      <w:r w:rsidRPr="00DB2EBD">
        <w:rPr>
          <w:rtl/>
        </w:rPr>
        <w:t xml:space="preserve">דיגיטלית </w:t>
      </w:r>
      <w:r w:rsidRPr="00DB2EBD">
        <w:rPr>
          <w:rFonts w:hint="cs"/>
          <w:rtl/>
        </w:rPr>
        <w:t xml:space="preserve">מעמידה </w:t>
      </w:r>
      <w:r w:rsidRPr="00DB2EBD">
        <w:rPr>
          <w:rtl/>
        </w:rPr>
        <w:t>מגוון כלים ופתרונות שנועדו לה</w:t>
      </w:r>
      <w:r w:rsidRPr="00DB2EBD">
        <w:rPr>
          <w:rFonts w:hint="cs"/>
          <w:rtl/>
        </w:rPr>
        <w:t>י</w:t>
      </w:r>
      <w:r w:rsidRPr="00DB2EBD">
        <w:rPr>
          <w:rtl/>
        </w:rPr>
        <w:t xml:space="preserve">טיב עם צרכנים </w:t>
      </w:r>
      <w:r w:rsidRPr="00DB2EBD">
        <w:rPr>
          <w:rFonts w:hint="cs"/>
          <w:rtl/>
        </w:rPr>
        <w:t xml:space="preserve">שכן הם מאפשרים </w:t>
      </w:r>
      <w:r w:rsidRPr="00DB2EBD">
        <w:rPr>
          <w:rtl/>
        </w:rPr>
        <w:t xml:space="preserve">צריכת שירותים בנקאיים בערוצים דיגיטליים - בטלפון הנייד ובמרשתת (אינטרנט). </w:t>
      </w:r>
    </w:p>
    <w:p w:rsidR="00327A21" w:rsidRPr="00F347C5" w:rsidP="00327A21">
      <w:pPr>
        <w:pStyle w:val="7112"/>
        <w:rPr>
          <w:spacing w:val="-2"/>
          <w:rtl/>
        </w:rPr>
      </w:pPr>
      <w:r w:rsidRPr="00F347C5">
        <w:rPr>
          <w:rFonts w:hint="cs"/>
          <w:spacing w:val="-2"/>
          <w:rtl/>
        </w:rPr>
        <w:t>בביקורת</w:t>
      </w:r>
      <w:r w:rsidRPr="00F347C5">
        <w:rPr>
          <w:spacing w:val="-2"/>
          <w:rtl/>
        </w:rPr>
        <w:t xml:space="preserve"> בנושא </w:t>
      </w:r>
      <w:r w:rsidRPr="00F347C5">
        <w:rPr>
          <w:rFonts w:hint="cs"/>
          <w:spacing w:val="-2"/>
          <w:rtl/>
        </w:rPr>
        <w:t>ה</w:t>
      </w:r>
      <w:r w:rsidRPr="00F347C5">
        <w:rPr>
          <w:spacing w:val="-2"/>
          <w:rtl/>
        </w:rPr>
        <w:t xml:space="preserve">בנקאות </w:t>
      </w:r>
      <w:r w:rsidRPr="00F347C5">
        <w:rPr>
          <w:rFonts w:hint="cs"/>
          <w:spacing w:val="-2"/>
          <w:rtl/>
        </w:rPr>
        <w:t>ה</w:t>
      </w:r>
      <w:r w:rsidRPr="00F347C5">
        <w:rPr>
          <w:spacing w:val="-2"/>
          <w:rtl/>
        </w:rPr>
        <w:t xml:space="preserve">דיגיטלית נמצא כי שיעור ההוזלה הממוצע של תעריף ביצוע פעולה במערכת הבנקאית בערוץ ישיר, </w:t>
      </w:r>
      <w:r w:rsidRPr="00F347C5">
        <w:rPr>
          <w:rFonts w:hint="cs"/>
          <w:spacing w:val="-2"/>
          <w:rtl/>
        </w:rPr>
        <w:t xml:space="preserve">לעומת </w:t>
      </w:r>
      <w:r w:rsidRPr="00F347C5">
        <w:rPr>
          <w:spacing w:val="-2"/>
          <w:rtl/>
        </w:rPr>
        <w:t>ביצועה בידי פקיד, הוא 69%</w:t>
      </w:r>
      <w:r w:rsidRPr="00F347C5">
        <w:rPr>
          <w:rFonts w:hint="cs"/>
          <w:spacing w:val="-2"/>
          <w:rtl/>
        </w:rPr>
        <w:t>.</w:t>
      </w:r>
      <w:r w:rsidRPr="00F347C5">
        <w:rPr>
          <w:spacing w:val="-2"/>
          <w:rtl/>
        </w:rPr>
        <w:t xml:space="preserve"> עוד הועלה כי הרווח השנתי הממוצע של חמש הקבוצות הבנקאיות הגדולות גדל מ-10.4 מיליארד ש"ח </w:t>
      </w:r>
      <w:r w:rsidR="004436F7">
        <w:rPr>
          <w:spacing w:val="-2"/>
        </w:rPr>
        <w:br/>
      </w:r>
      <w:r w:rsidRPr="00F347C5">
        <w:rPr>
          <w:spacing w:val="-2"/>
          <w:rtl/>
        </w:rPr>
        <w:t xml:space="preserve">ב-2014 ל-22.1 מיליארד ש"ח ב-2021. הדבר מצביע על הריכוזיות בענף הבנקאות ועל היעדר </w:t>
      </w:r>
      <w:r w:rsidRPr="00F347C5">
        <w:rPr>
          <w:spacing w:val="-2"/>
          <w:rtl/>
        </w:rPr>
        <w:t xml:space="preserve">תחרות מספקת, מעורר ספק אם החיסכון עקב </w:t>
      </w:r>
      <w:r w:rsidRPr="00F347C5">
        <w:rPr>
          <w:rFonts w:hint="cs"/>
          <w:spacing w:val="-2"/>
          <w:rtl/>
        </w:rPr>
        <w:t>ה</w:t>
      </w:r>
      <w:r w:rsidRPr="00F347C5">
        <w:rPr>
          <w:spacing w:val="-2"/>
          <w:rtl/>
        </w:rPr>
        <w:t xml:space="preserve">התייעלות הדיגיטלית </w:t>
      </w:r>
      <w:r w:rsidRPr="00F347C5">
        <w:rPr>
          <w:rFonts w:hint="cs"/>
          <w:spacing w:val="-2"/>
          <w:rtl/>
        </w:rPr>
        <w:t>מ</w:t>
      </w:r>
      <w:r w:rsidRPr="00F347C5">
        <w:rPr>
          <w:spacing w:val="-2"/>
          <w:rtl/>
        </w:rPr>
        <w:t>תגלגל במלואו אל הציבור ומחדד את הצורך שבנק ישראל והפיקוח על הבנקים בתוכו ייזמו פעולות להגברת התחרות בענף הבנקאות, כדי שההתייעלות הדיגיטלית תתבטא באופן משמעותי יותר בהפחתת העלויות לצרכן</w:t>
      </w:r>
      <w:r w:rsidRPr="00F347C5">
        <w:rPr>
          <w:rFonts w:hint="cs"/>
          <w:spacing w:val="-2"/>
          <w:rtl/>
        </w:rPr>
        <w:t>.</w:t>
      </w:r>
      <w:r w:rsidRPr="00F347C5">
        <w:rPr>
          <w:spacing w:val="-2"/>
          <w:rtl/>
        </w:rPr>
        <w:t xml:space="preserve"> משרד האוצר ובנק ישראל קידמו את הרפורמה בלא </w:t>
      </w:r>
      <w:r w:rsidRPr="00F347C5">
        <w:rPr>
          <w:rFonts w:hint="cs"/>
          <w:spacing w:val="-2"/>
          <w:rtl/>
        </w:rPr>
        <w:t xml:space="preserve">להידרש </w:t>
      </w:r>
      <w:r w:rsidRPr="00F347C5">
        <w:rPr>
          <w:spacing w:val="-2"/>
          <w:rtl/>
        </w:rPr>
        <w:t>לטיפול בחסמים המקשים על הציבור לעשות שימוש אפקטיבי במערכת הניוד, בהם החסם הפסיכולוגי, חינוך פיננסי ירוד והיעדר הבדלים מהותיים בין הבנקים</w:t>
      </w:r>
      <w:r w:rsidRPr="00F347C5">
        <w:rPr>
          <w:rFonts w:hint="cs"/>
          <w:spacing w:val="-2"/>
          <w:rtl/>
        </w:rPr>
        <w:t>.</w:t>
      </w:r>
      <w:r w:rsidRPr="00F347C5">
        <w:rPr>
          <w:spacing w:val="-2"/>
          <w:rtl/>
        </w:rPr>
        <w:t xml:space="preserve"> נמצא כי כשליש מהישראלים בני ה-20 ומעלה אינם מצליחים לבצע פעולות בנקאיות בערוצים ישירים ללא עזרת פקיד בנק</w:t>
      </w:r>
      <w:r w:rsidRPr="00F347C5">
        <w:rPr>
          <w:rFonts w:hint="cs"/>
          <w:spacing w:val="-2"/>
          <w:rtl/>
        </w:rPr>
        <w:t>;</w:t>
      </w:r>
      <w:r w:rsidRPr="00F347C5">
        <w:rPr>
          <w:spacing w:val="-2"/>
          <w:rtl/>
        </w:rPr>
        <w:t xml:space="preserve"> שיעורי הצלחה נמוכים תועדו בקרב האוכלוסייה המבוגרת (יותר ממחצית בני ה-65 ומעלה), במגזר הערבי לעומת המגזר היהודי ובקרב נשים לעומת גברים</w:t>
      </w:r>
      <w:r w:rsidRPr="00F347C5">
        <w:rPr>
          <w:rFonts w:hint="cs"/>
          <w:spacing w:val="-2"/>
          <w:rtl/>
        </w:rPr>
        <w:t>.</w:t>
      </w:r>
      <w:r w:rsidRPr="00F347C5">
        <w:rPr>
          <w:spacing w:val="-2"/>
          <w:rtl/>
        </w:rPr>
        <w:t xml:space="preserve"> עוד נמצא כי</w:t>
      </w:r>
      <w:r>
        <w:rPr>
          <w:spacing w:val="-2"/>
          <w:rtl/>
        </w:rPr>
        <w:t xml:space="preserve"> </w:t>
      </w:r>
      <w:r w:rsidRPr="00F347C5">
        <w:rPr>
          <w:spacing w:val="-2"/>
          <w:rtl/>
        </w:rPr>
        <w:t>בשנת 2020 היו בישראל 16.2 סניפי בנק לכל 100,000 מבוגרים לעומת 18.3 בממוצע במדינות ה-</w:t>
      </w:r>
      <w:r w:rsidRPr="00F347C5">
        <w:rPr>
          <w:spacing w:val="-2"/>
        </w:rPr>
        <w:t>OECD</w:t>
      </w:r>
      <w:r w:rsidRPr="00F347C5">
        <w:rPr>
          <w:rFonts w:hint="cs"/>
          <w:spacing w:val="-2"/>
          <w:rtl/>
        </w:rPr>
        <w:t>.</w:t>
      </w:r>
    </w:p>
    <w:p w:rsidR="00327A21" w:rsidP="00327A21">
      <w:pPr>
        <w:pStyle w:val="7112"/>
        <w:rPr>
          <w:rtl/>
        </w:rPr>
      </w:pPr>
      <w:r w:rsidRPr="006010E9">
        <w:rPr>
          <w:rtl/>
        </w:rPr>
        <w:t xml:space="preserve">השינויים התכופים במערכת הפיננסית, שמקורם בהתפתחויות טכנולוגיות משמעותיות, מחייבים התאמה של האסדרה. על האסדרה להיות כוללת, עניינית וגמישה כדי לקדם חדשנות, להסיר חסמים וליצור ודאות. בנקאות דיגיטלית מזמנת פוטנציאל להגברת התחרות בשוק שמרני וריכוזי וצמצום של הכלכלה השחורה. מומלץ כי בנק ישראל ומשרד האוצר יפעלו לנתבה כך שתעודד כניסה של גופים מקומיים ובין-לאומיים כדי לייעל את הענף ולהיטיב עם הצרכנים ולתרום יותר להפחתת יוקר המחיה בישראל. </w:t>
      </w:r>
      <w:r w:rsidRPr="006010E9">
        <w:rPr>
          <w:rFonts w:hint="eastAsia"/>
          <w:rtl/>
        </w:rPr>
        <w:t>עוד</w:t>
      </w:r>
      <w:r w:rsidRPr="006010E9">
        <w:rPr>
          <w:rtl/>
        </w:rPr>
        <w:t xml:space="preserve"> יש להבטיח שהמעבר לבנקאות דיגיטלית ייעשה בשים לב לאוכלוסיות ראויות לקידום, שאין להן האוריינות הנדרשת </w:t>
      </w:r>
      <w:r w:rsidRPr="006010E9">
        <w:rPr>
          <w:rFonts w:hint="eastAsia"/>
          <w:rtl/>
        </w:rPr>
        <w:t>כדי</w:t>
      </w:r>
      <w:r w:rsidRPr="006010E9">
        <w:rPr>
          <w:rtl/>
        </w:rPr>
        <w:t xml:space="preserve"> להתמצא בעולם הפיננסי והדיגיטלי.</w:t>
      </w:r>
    </w:p>
    <w:p w:rsidR="005274E2" w:rsidP="005274E2">
      <w:pPr>
        <w:pStyle w:val="7112"/>
        <w:numPr>
          <w:ilvl w:val="0"/>
          <w:numId w:val="27"/>
        </w:numPr>
        <w:rPr>
          <w:rtl/>
        </w:rPr>
      </w:pPr>
      <w:r w:rsidRPr="006010E9">
        <w:rPr>
          <w:b/>
          <w:bCs/>
          <w:color w:val="auto"/>
          <w:rtl/>
        </w:rPr>
        <w:t>היבטי מועילות של מערכת המס</w:t>
      </w:r>
      <w:r w:rsidRPr="006010E9">
        <w:rPr>
          <w:rFonts w:hint="cs"/>
          <w:b/>
          <w:bCs/>
          <w:color w:val="auto"/>
          <w:rtl/>
        </w:rPr>
        <w:t>:</w:t>
      </w:r>
      <w:r w:rsidRPr="000F09A5">
        <w:rPr>
          <w:rFonts w:hint="cs"/>
          <w:b/>
          <w:bCs/>
          <w:color w:val="0070C0"/>
          <w:spacing w:val="20"/>
          <w:rtl/>
        </w:rPr>
        <w:t xml:space="preserve"> </w:t>
      </w:r>
      <w:r w:rsidRPr="000F09A5">
        <w:rPr>
          <w:rtl/>
        </w:rPr>
        <w:t xml:space="preserve">מערכת המס נועדה לשמש כלי לגביית מס מתושבי המדינה לשם מימון שירותים ציבוריים </w:t>
      </w:r>
      <w:r>
        <w:rPr>
          <w:rFonts w:hint="cs"/>
          <w:rtl/>
        </w:rPr>
        <w:t xml:space="preserve">בתחומים </w:t>
      </w:r>
      <w:r w:rsidRPr="000F09A5">
        <w:rPr>
          <w:rtl/>
        </w:rPr>
        <w:t xml:space="preserve">כמו ביטחון, תשתיות פיזיות, בריאות, חינוך ורווחה. ליקויים במערכת המס משפיעים ישירות על כלל הציבור. בשנת 2020 היו הכנסות המדינה ממיסים ישירים ועקיפים 362 מיליארד ש"ח (ברוטו). </w:t>
      </w:r>
      <w:r>
        <w:rPr>
          <w:rFonts w:hint="cs"/>
          <w:rtl/>
        </w:rPr>
        <w:t>ב</w:t>
      </w:r>
      <w:r w:rsidRPr="000F09A5">
        <w:rPr>
          <w:rtl/>
        </w:rPr>
        <w:t xml:space="preserve">ביקורת </w:t>
      </w:r>
      <w:r>
        <w:rPr>
          <w:rFonts w:hint="cs"/>
          <w:rtl/>
        </w:rPr>
        <w:t>נ</w:t>
      </w:r>
      <w:r w:rsidRPr="000F09A5">
        <w:rPr>
          <w:rtl/>
        </w:rPr>
        <w:t>בחנ</w:t>
      </w:r>
      <w:r>
        <w:rPr>
          <w:rFonts w:hint="cs"/>
          <w:rtl/>
        </w:rPr>
        <w:t>ו</w:t>
      </w:r>
      <w:r w:rsidRPr="000F09A5">
        <w:rPr>
          <w:rtl/>
        </w:rPr>
        <w:t xml:space="preserve"> היבטים שונים </w:t>
      </w:r>
      <w:r>
        <w:rPr>
          <w:rFonts w:hint="cs"/>
          <w:rtl/>
        </w:rPr>
        <w:t xml:space="preserve">של </w:t>
      </w:r>
      <w:r w:rsidRPr="000F09A5">
        <w:rPr>
          <w:rtl/>
        </w:rPr>
        <w:t xml:space="preserve">מועילות מערכת המס בישראל. </w:t>
      </w:r>
    </w:p>
    <w:p w:rsidR="005274E2" w:rsidRPr="006010E9" w:rsidP="005274E2">
      <w:pPr>
        <w:pStyle w:val="7112"/>
        <w:rPr>
          <w:rtl/>
        </w:rPr>
      </w:pPr>
      <w:r w:rsidRPr="006010E9">
        <w:rPr>
          <w:rtl/>
        </w:rPr>
        <w:t xml:space="preserve">הבחינה האמורה העלתה ליקויים שונים בהיבטים אלו, המשפיעים על פעילות רשות המיסים ועל יעילותה כלפי הנישום. </w:t>
      </w:r>
      <w:r w:rsidRPr="006010E9">
        <w:rPr>
          <w:rFonts w:hint="cs"/>
          <w:rtl/>
        </w:rPr>
        <w:t>בין היתר</w:t>
      </w:r>
      <w:r w:rsidRPr="006010E9">
        <w:rPr>
          <w:rtl/>
        </w:rPr>
        <w:t xml:space="preserve"> עלה כי נכון לשנת 2020, 825,000 (כ-70%) מהדוחות שנדרשו להגיש לרשות המיסים, הם של עצמאים</w:t>
      </w:r>
      <w:r>
        <w:rPr>
          <w:rFonts w:hint="cs"/>
          <w:rtl/>
        </w:rPr>
        <w:t>,</w:t>
      </w:r>
      <w:r w:rsidRPr="006010E9">
        <w:rPr>
          <w:rtl/>
        </w:rPr>
        <w:t xml:space="preserve"> אשר המס הנגבה מהם מהווה 6% מסך גביית המיסים הישירים והעקיפים בשנה האמורה.</w:t>
      </w:r>
      <w:r w:rsidRPr="006010E9">
        <w:rPr>
          <w:rFonts w:hint="cs"/>
          <w:rtl/>
        </w:rPr>
        <w:t xml:space="preserve"> </w:t>
      </w:r>
      <w:r w:rsidRPr="006010E9">
        <w:rPr>
          <w:rtl/>
        </w:rPr>
        <w:t xml:space="preserve">בביקורת גם מובאים ממצאים על הטבות מס שניתנות לאורך השנים ללא בדיקה עיתית של </w:t>
      </w:r>
      <w:r w:rsidRPr="006010E9">
        <w:rPr>
          <w:rFonts w:hint="cs"/>
          <w:rtl/>
        </w:rPr>
        <w:t xml:space="preserve">התאמתן </w:t>
      </w:r>
      <w:r w:rsidRPr="006010E9">
        <w:rPr>
          <w:rtl/>
        </w:rPr>
        <w:t xml:space="preserve">ליעדי המחוקק. </w:t>
      </w:r>
      <w:r w:rsidRPr="006010E9">
        <w:rPr>
          <w:rFonts w:hint="cs"/>
          <w:rtl/>
        </w:rPr>
        <w:t xml:space="preserve">עוד נמצא כי </w:t>
      </w:r>
      <w:r w:rsidRPr="006010E9">
        <w:rPr>
          <w:rtl/>
        </w:rPr>
        <w:t xml:space="preserve">במועד סיום הביקורת, כ-20 שנה לאחר החלטת הממשלה בנושא איחוד הפעילות של "אגף המכס </w:t>
      </w:r>
      <w:r w:rsidRPr="006010E9">
        <w:rPr>
          <w:rtl/>
        </w:rPr>
        <w:t>והמע"ם</w:t>
      </w:r>
      <w:r w:rsidRPr="006010E9">
        <w:rPr>
          <w:rtl/>
        </w:rPr>
        <w:t xml:space="preserve">, נציבות [אגף] מס הכנסה </w:t>
      </w:r>
      <w:r w:rsidRPr="006010E9">
        <w:rPr>
          <w:rtl/>
        </w:rPr>
        <w:t>ושע"ם</w:t>
      </w:r>
      <w:r w:rsidRPr="006010E9">
        <w:rPr>
          <w:rtl/>
        </w:rPr>
        <w:t>", איחוד המשרדים האזוריים וחזון "שירות בנקודה אחת" עדיין רחוק ממימוש, ושונה מהמקובל ברשויות מס במדינות מובילות בעולם.</w:t>
      </w:r>
    </w:p>
    <w:p w:rsidR="005274E2" w:rsidP="005274E2">
      <w:pPr>
        <w:pStyle w:val="7112"/>
        <w:rPr>
          <w:rtl/>
        </w:rPr>
      </w:pPr>
      <w:r w:rsidRPr="006010E9">
        <w:rPr>
          <w:rtl/>
        </w:rPr>
        <w:t>על משרד האוצר ורשות המיסים לפעול לתיקון הליקויים שעלו ב</w:t>
      </w:r>
      <w:r w:rsidRPr="006010E9">
        <w:rPr>
          <w:rFonts w:hint="cs"/>
          <w:rtl/>
        </w:rPr>
        <w:t>ביקורת</w:t>
      </w:r>
      <w:r w:rsidRPr="006010E9">
        <w:rPr>
          <w:rtl/>
        </w:rPr>
        <w:t xml:space="preserve"> תוך בחינת המלצות</w:t>
      </w:r>
      <w:r w:rsidRPr="006010E9">
        <w:rPr>
          <w:rFonts w:hint="cs"/>
          <w:rtl/>
        </w:rPr>
        <w:t>יה</w:t>
      </w:r>
      <w:r w:rsidRPr="006010E9">
        <w:rPr>
          <w:rtl/>
        </w:rPr>
        <w:t xml:space="preserve">, לשם שיפור </w:t>
      </w:r>
      <w:r w:rsidRPr="006010E9">
        <w:rPr>
          <w:rtl/>
        </w:rPr>
        <w:t>מועילותה</w:t>
      </w:r>
      <w:r w:rsidRPr="006010E9">
        <w:rPr>
          <w:rtl/>
        </w:rPr>
        <w:t xml:space="preserve"> של מערכת המס בישראל. דיני המס בישראל הם מורכבים וכוללים הרבה הוראות חוק, תקנות ותקדימים, והדבר מחדד את הצורך לבסס את כללי המס על עקרונות חד-משמעיים המנוסחים בקצרה וקלים ליישום כדי להמעיט את הצורך בפרסום הנחיות </w:t>
      </w:r>
      <w:r w:rsidRPr="006010E9">
        <w:rPr>
          <w:rtl/>
        </w:rPr>
        <w:t>מינהליות</w:t>
      </w:r>
      <w:r w:rsidRPr="006010E9">
        <w:rPr>
          <w:rtl/>
        </w:rPr>
        <w:t xml:space="preserve"> משלימות. כמו כן יש לקדם תהליכי דיגיטציה, </w:t>
      </w:r>
      <w:r w:rsidRPr="006010E9">
        <w:rPr>
          <w:rtl/>
        </w:rPr>
        <w:t>ובכללם ליצור תיק ביקורת ממוחשב ושומות מקוצרות עבור עסקים קטנים יחסית; לקצר הליכי ערעור על שומות מס ולקדם את האכיפה השוויונית בין נישומים.</w:t>
      </w:r>
    </w:p>
    <w:p w:rsidR="005274E2" w:rsidP="005274E2">
      <w:pPr>
        <w:pStyle w:val="7112"/>
        <w:numPr>
          <w:ilvl w:val="0"/>
          <w:numId w:val="27"/>
        </w:numPr>
        <w:rPr>
          <w:rtl/>
        </w:rPr>
      </w:pPr>
      <w:r w:rsidRPr="006010E9">
        <w:rPr>
          <w:b/>
          <w:bCs/>
          <w:color w:val="auto"/>
          <w:rtl/>
        </w:rPr>
        <w:t>התייעלות בחברת החשמל לישראל בע"מ:</w:t>
      </w:r>
      <w:r>
        <w:rPr>
          <w:rFonts w:hint="cs"/>
          <w:color w:val="0070C0"/>
          <w:rtl/>
        </w:rPr>
        <w:t xml:space="preserve"> </w:t>
      </w:r>
      <w:r w:rsidRPr="000F09A5">
        <w:rPr>
          <w:rtl/>
        </w:rPr>
        <w:t>חברת החשמל לישראל בע"מ (</w:t>
      </w:r>
      <w:r w:rsidRPr="000F09A5">
        <w:rPr>
          <w:rtl/>
        </w:rPr>
        <w:t>חח"י</w:t>
      </w:r>
      <w:r w:rsidRPr="000F09A5">
        <w:rPr>
          <w:rtl/>
        </w:rPr>
        <w:t>) היא חברה ממשלתית וציבורית שכ-99.85% ממניותיה מוחזקות בידי ממשלת ישראל. החברה מייצרת חשמל ומספקת אותו לכל מגזרי המשק בישראל. עד העשור האחרון הופעל משק</w:t>
      </w:r>
      <w:r w:rsidR="004436F7">
        <w:rPr>
          <w:rFonts w:hint="cs"/>
          <w:rtl/>
        </w:rPr>
        <w:t xml:space="preserve"> החשמל</w:t>
      </w:r>
      <w:r w:rsidRPr="000F09A5">
        <w:rPr>
          <w:rtl/>
        </w:rPr>
        <w:t xml:space="preserve"> ברובו על ידי </w:t>
      </w:r>
      <w:r w:rsidRPr="000F09A5">
        <w:rPr>
          <w:rtl/>
        </w:rPr>
        <w:t>חח"י</w:t>
      </w:r>
      <w:r w:rsidRPr="000F09A5">
        <w:rPr>
          <w:rtl/>
        </w:rPr>
        <w:t xml:space="preserve">, שהייתה מונופול בכלל מקטעי החשמל. בשנת 2018 קיבלה הממשלה החלטה בעניין רפורמה במשק החשמל ושינוי מבני </w:t>
      </w:r>
      <w:r w:rsidR="004436F7">
        <w:rPr>
          <w:rFonts w:hint="cs"/>
          <w:rtl/>
        </w:rPr>
        <w:t>בחח</w:t>
      </w:r>
      <w:r w:rsidRPr="000F09A5" w:rsidR="004436F7">
        <w:rPr>
          <w:rtl/>
        </w:rPr>
        <w:t>"</w:t>
      </w:r>
      <w:r w:rsidR="004436F7">
        <w:rPr>
          <w:rFonts w:hint="cs"/>
          <w:rtl/>
        </w:rPr>
        <w:t>י</w:t>
      </w:r>
      <w:r w:rsidRPr="000F09A5">
        <w:rPr>
          <w:rtl/>
        </w:rPr>
        <w:t xml:space="preserve">, בין היתר במטרה לייעל את המשק, לעודד את התחרות בו ולחזק את איתנותה הפיננסית של </w:t>
      </w:r>
      <w:r w:rsidRPr="000F09A5">
        <w:rPr>
          <w:rtl/>
        </w:rPr>
        <w:t>חח"י</w:t>
      </w:r>
      <w:r w:rsidRPr="000F09A5">
        <w:rPr>
          <w:rtl/>
        </w:rPr>
        <w:t xml:space="preserve">. </w:t>
      </w:r>
    </w:p>
    <w:p w:rsidR="005274E2" w:rsidRPr="00F347C5" w:rsidP="005274E2">
      <w:pPr>
        <w:pStyle w:val="7112"/>
        <w:rPr>
          <w:spacing w:val="-2"/>
          <w:rtl/>
        </w:rPr>
      </w:pPr>
      <w:r w:rsidRPr="00F347C5">
        <w:rPr>
          <w:spacing w:val="-2"/>
          <w:rtl/>
        </w:rPr>
        <w:t xml:space="preserve">הביקורת בנושא </w:t>
      </w:r>
      <w:r w:rsidRPr="00F347C5">
        <w:rPr>
          <w:rFonts w:hint="cs"/>
          <w:spacing w:val="-2"/>
          <w:rtl/>
        </w:rPr>
        <w:t>ה</w:t>
      </w:r>
      <w:r w:rsidRPr="00F347C5">
        <w:rPr>
          <w:spacing w:val="-2"/>
          <w:rtl/>
        </w:rPr>
        <w:t xml:space="preserve">התייעלות </w:t>
      </w:r>
      <w:r w:rsidRPr="00F347C5">
        <w:rPr>
          <w:spacing w:val="-2"/>
          <w:rtl/>
        </w:rPr>
        <w:t>בח</w:t>
      </w:r>
      <w:r w:rsidRPr="00F347C5">
        <w:rPr>
          <w:rFonts w:hint="cs"/>
          <w:spacing w:val="-2"/>
          <w:rtl/>
        </w:rPr>
        <w:t>ח"י</w:t>
      </w:r>
      <w:r w:rsidRPr="00F347C5">
        <w:rPr>
          <w:spacing w:val="-2"/>
          <w:rtl/>
        </w:rPr>
        <w:t xml:space="preserve"> נערכה באמצע תקופת יישום הרפורמה, אולם כבר כעת ניתן לראות כי כ-44% מהתועלות שהיו צפויות להתקבל ממנה (2.72 - 2.78 מיליארד ש"ח, מתוך 6.237 מיליארד ש"ח) לא יתקבלו בשל הצגת אומדני תועלת גבוהים בעת קבלת ההחלטה על הרפורמה</w:t>
      </w:r>
      <w:r w:rsidRPr="00F347C5">
        <w:rPr>
          <w:rFonts w:hint="cs"/>
          <w:spacing w:val="-2"/>
          <w:rtl/>
        </w:rPr>
        <w:t>.</w:t>
      </w:r>
      <w:r w:rsidRPr="00F347C5">
        <w:rPr>
          <w:spacing w:val="-2"/>
          <w:rtl/>
        </w:rPr>
        <w:t xml:space="preserve"> עלות הרפורמה (בערכים מהוונים) מסתכמת ב-7.1 מיליארד ש"ח, </w:t>
      </w:r>
      <w:r w:rsidRPr="00F347C5">
        <w:rPr>
          <w:rFonts w:hint="cs"/>
          <w:spacing w:val="-2"/>
          <w:rtl/>
        </w:rPr>
        <w:t xml:space="preserve">מתוכם </w:t>
      </w:r>
      <w:r w:rsidRPr="00F347C5">
        <w:rPr>
          <w:spacing w:val="-2"/>
          <w:rtl/>
        </w:rPr>
        <w:t xml:space="preserve">6.4 מיליארד ש"ח </w:t>
      </w:r>
      <w:r w:rsidRPr="00F347C5">
        <w:rPr>
          <w:rFonts w:hint="cs"/>
          <w:spacing w:val="-2"/>
          <w:rtl/>
        </w:rPr>
        <w:t xml:space="preserve">למימון </w:t>
      </w:r>
      <w:r w:rsidRPr="00F347C5">
        <w:rPr>
          <w:spacing w:val="-2"/>
          <w:rtl/>
        </w:rPr>
        <w:t xml:space="preserve">עלויות </w:t>
      </w:r>
      <w:r w:rsidRPr="00F347C5">
        <w:rPr>
          <w:rFonts w:hint="cs"/>
          <w:spacing w:val="-2"/>
          <w:rtl/>
        </w:rPr>
        <w:t>ה</w:t>
      </w:r>
      <w:r w:rsidRPr="00F347C5">
        <w:rPr>
          <w:spacing w:val="-2"/>
          <w:rtl/>
        </w:rPr>
        <w:t xml:space="preserve">פרישה </w:t>
      </w:r>
      <w:r w:rsidRPr="00F347C5">
        <w:rPr>
          <w:rFonts w:hint="cs"/>
          <w:spacing w:val="-2"/>
          <w:rtl/>
        </w:rPr>
        <w:t>ש</w:t>
      </w:r>
      <w:r w:rsidRPr="00F347C5">
        <w:rPr>
          <w:spacing w:val="-2"/>
          <w:rtl/>
        </w:rPr>
        <w:t>ל</w:t>
      </w:r>
      <w:r w:rsidRPr="00F347C5">
        <w:rPr>
          <w:rFonts w:hint="cs"/>
          <w:spacing w:val="-2"/>
          <w:rtl/>
        </w:rPr>
        <w:t xml:space="preserve"> ה</w:t>
      </w:r>
      <w:r w:rsidRPr="00F347C5">
        <w:rPr>
          <w:spacing w:val="-2"/>
          <w:rtl/>
        </w:rPr>
        <w:t xml:space="preserve">עובדים הפורשים </w:t>
      </w:r>
      <w:r w:rsidRPr="00F347C5">
        <w:rPr>
          <w:rFonts w:hint="cs"/>
          <w:spacing w:val="-2"/>
          <w:rtl/>
        </w:rPr>
        <w:t>במסגרת הרפורמה</w:t>
      </w:r>
      <w:r w:rsidRPr="00F347C5">
        <w:rPr>
          <w:rFonts w:hint="cs"/>
          <w:spacing w:val="-2"/>
        </w:rPr>
        <w:t xml:space="preserve"> </w:t>
      </w:r>
      <w:r w:rsidRPr="00F347C5">
        <w:rPr>
          <w:spacing w:val="-2"/>
          <w:rtl/>
        </w:rPr>
        <w:t>ו</w:t>
      </w:r>
      <w:r w:rsidRPr="00F347C5">
        <w:rPr>
          <w:rFonts w:hint="cs"/>
          <w:spacing w:val="-2"/>
          <w:rtl/>
        </w:rPr>
        <w:t>ל</w:t>
      </w:r>
      <w:r w:rsidRPr="00F347C5">
        <w:rPr>
          <w:spacing w:val="-2"/>
          <w:rtl/>
        </w:rPr>
        <w:t>הגדלת הקצבה הפנסיונית לכלל עובדי החברה</w:t>
      </w:r>
      <w:r w:rsidRPr="00F347C5">
        <w:rPr>
          <w:rFonts w:hint="cs"/>
          <w:spacing w:val="-2"/>
          <w:rtl/>
        </w:rPr>
        <w:t>.</w:t>
      </w:r>
      <w:r w:rsidRPr="00F347C5">
        <w:rPr>
          <w:spacing w:val="-2"/>
          <w:rtl/>
        </w:rPr>
        <w:t xml:space="preserve"> עוד נמצא כי</w:t>
      </w:r>
      <w:r>
        <w:rPr>
          <w:spacing w:val="-2"/>
          <w:rtl/>
        </w:rPr>
        <w:t xml:space="preserve"> </w:t>
      </w:r>
      <w:r w:rsidRPr="00F347C5">
        <w:rPr>
          <w:spacing w:val="-2"/>
          <w:rtl/>
        </w:rPr>
        <w:t xml:space="preserve">בשנת 2021 נרשמו 196 דקות אי-אספקה, גידול של כ-28% לעומת שנת 2017. זאת אף שהרפורמה אמורה להביא להפחתת דקות אי-האספקה. </w:t>
      </w:r>
      <w:r w:rsidRPr="00F347C5">
        <w:rPr>
          <w:spacing w:val="-2"/>
          <w:rtl/>
        </w:rPr>
        <w:t>חח"י</w:t>
      </w:r>
      <w:r w:rsidRPr="00F347C5">
        <w:rPr>
          <w:spacing w:val="-2"/>
          <w:rtl/>
        </w:rPr>
        <w:t xml:space="preserve"> מיישמת את צעדי ההתייעלות השונים שנקבעו ברפורמה, אולם ניכר כי מכלול הצעדים האלו אינם מביאים לשיפור הנדרש ביעילותה של החברה בפרט וביעילות משק החשמל בכלל, וניכר כי יידרשו בהמשך צעדים נוספים לייעול החברה ומשק החשמל. </w:t>
      </w:r>
    </w:p>
    <w:p w:rsidR="005274E2" w:rsidP="005274E2">
      <w:pPr>
        <w:pStyle w:val="7112"/>
        <w:rPr>
          <w:rtl/>
        </w:rPr>
      </w:pPr>
      <w:r w:rsidRPr="006010E9">
        <w:rPr>
          <w:rtl/>
        </w:rPr>
        <w:t xml:space="preserve">מומלץ כי שרת </w:t>
      </w:r>
      <w:r w:rsidRPr="006010E9">
        <w:rPr>
          <w:rtl/>
        </w:rPr>
        <w:t>האנרגייה</w:t>
      </w:r>
      <w:r w:rsidRPr="006010E9">
        <w:rPr>
          <w:rtl/>
        </w:rPr>
        <w:t xml:space="preserve"> ושר האוצר, בשיתוף צוות המעקב אחר האיתנות הפיננסית של </w:t>
      </w:r>
      <w:r w:rsidRPr="006010E9">
        <w:rPr>
          <w:rtl/>
        </w:rPr>
        <w:t>חח"י</w:t>
      </w:r>
      <w:r w:rsidRPr="006010E9">
        <w:rPr>
          <w:rtl/>
        </w:rPr>
        <w:t xml:space="preserve"> וצוות המעקב אחר יישום הרפורמה, יעקבו אחר התקדמות הרפורמה וההתייעלות בחברה ויבחנו דרכים נוספות לייעול החברה ומשק החשמל. כמו כן, על משרד </w:t>
      </w:r>
      <w:r w:rsidRPr="006010E9">
        <w:rPr>
          <w:rtl/>
        </w:rPr>
        <w:t>האנרגייה</w:t>
      </w:r>
      <w:r w:rsidRPr="006010E9">
        <w:rPr>
          <w:rtl/>
        </w:rPr>
        <w:t>, משרד האוצר, רשות החברות הממשלתיות, הממונה על השכר ורשות החשמל לנתח את תוצאות הרפורמה ולהפיק לקחים לצורך גיבוש רפורמות עתידיות במשק החשמל ובכלל.</w:t>
      </w:r>
    </w:p>
    <w:p w:rsidR="0091471C" w:rsidP="0091471C">
      <w:pPr>
        <w:pStyle w:val="7112"/>
        <w:numPr>
          <w:ilvl w:val="0"/>
          <w:numId w:val="27"/>
        </w:numPr>
        <w:rPr>
          <w:rtl/>
        </w:rPr>
      </w:pPr>
      <w:r w:rsidRPr="006010E9">
        <w:rPr>
          <w:b/>
          <w:bCs/>
          <w:color w:val="auto"/>
          <w:rtl/>
        </w:rPr>
        <w:t>התקדמות פרויקט הרכבת הקלה בגוש דן:</w:t>
      </w:r>
      <w:r>
        <w:rPr>
          <w:rFonts w:hint="cs"/>
          <w:b/>
          <w:bCs/>
          <w:color w:val="0070C0"/>
          <w:spacing w:val="20"/>
          <w:rtl/>
        </w:rPr>
        <w:t xml:space="preserve"> </w:t>
      </w:r>
      <w:r w:rsidRPr="000F09A5">
        <w:rPr>
          <w:rtl/>
        </w:rPr>
        <w:t>מטרופולין תל אביב משתרעת על פני 1,500 קמ"ר בקירוב. הנסיעות השנתיות בתחבורה הציבורית מתפלגות באופן הזה: כ-767 מיליון נסיעות באוטובוס (כ-87%); כ-68 מיליון נסיעות ברכבת ישראל (כ-8%); וכ-45 מיליון נסיעות ברכבת הקלה (</w:t>
      </w:r>
      <w:r w:rsidRPr="000F09A5">
        <w:rPr>
          <w:rtl/>
        </w:rPr>
        <w:t>רק"ל</w:t>
      </w:r>
      <w:r w:rsidRPr="000F09A5">
        <w:rPr>
          <w:rtl/>
        </w:rPr>
        <w:t>) (כ-5%). לנוכח השימוש המועט בתחבורה הציבורית וההיקף הקטן של תשתיות התחבורה בישראל, המדינה סובלת מגודש התנועה הגדול ביותר בקרב מדינות ה-</w:t>
      </w:r>
      <w:r w:rsidRPr="00DD0839">
        <w:t>OECD</w:t>
      </w:r>
      <w:r w:rsidRPr="000F09A5">
        <w:rPr>
          <w:rtl/>
        </w:rPr>
        <w:t>, ולפי נתוני ארגון ה-</w:t>
      </w:r>
      <w:r w:rsidRPr="00DD0839">
        <w:t>OECD</w:t>
      </w:r>
      <w:r w:rsidRPr="000F09A5">
        <w:rPr>
          <w:rtl/>
        </w:rPr>
        <w:t xml:space="preserve">, בשנת 2019 היה אובדן </w:t>
      </w:r>
      <w:r>
        <w:rPr>
          <w:rFonts w:hint="cs"/>
          <w:rtl/>
        </w:rPr>
        <w:t>ה</w:t>
      </w:r>
      <w:r w:rsidRPr="000F09A5">
        <w:rPr>
          <w:rtl/>
        </w:rPr>
        <w:t>תוצר כתוצאה מהגודש 20 מיליארד ש"ח בקירוב. בשנים 2005 - 2016 קיבלו ממשלות ישראל כמה החלטות לקידום מערכת הסעת המונים שנועדו לשפר את הנגישות של התחבורה הציבורית ואת זמינותה.</w:t>
      </w:r>
    </w:p>
    <w:p w:rsidR="0091471C" w:rsidRPr="006010E9" w:rsidP="0091471C">
      <w:pPr>
        <w:pStyle w:val="7112"/>
        <w:rPr>
          <w:rtl/>
        </w:rPr>
      </w:pPr>
      <w:r w:rsidRPr="006010E9">
        <w:rPr>
          <w:rtl/>
        </w:rPr>
        <w:t xml:space="preserve">הביקורת בנושא התקדמות פרויקט הרכבת הקלה בגוש דן העלתה ליקויים בקידום פרויקט </w:t>
      </w:r>
      <w:r w:rsidRPr="006010E9">
        <w:rPr>
          <w:rtl/>
        </w:rPr>
        <w:t>הרק"ל</w:t>
      </w:r>
      <w:r w:rsidRPr="006010E9">
        <w:rPr>
          <w:rtl/>
        </w:rPr>
        <w:t xml:space="preserve"> במטרופולין תל אביב: מועד השלמת הקמת</w:t>
      </w:r>
      <w:r w:rsidRPr="006010E9">
        <w:rPr>
          <w:rFonts w:hint="cs"/>
          <w:rtl/>
        </w:rPr>
        <w:t>ו של</w:t>
      </w:r>
      <w:r w:rsidRPr="006010E9">
        <w:rPr>
          <w:rtl/>
        </w:rPr>
        <w:t xml:space="preserve"> הקו האדום נדחה שש פעמים</w:t>
      </w:r>
      <w:r w:rsidRPr="006010E9">
        <w:rPr>
          <w:rFonts w:hint="cs"/>
          <w:rtl/>
        </w:rPr>
        <w:t>,</w:t>
      </w:r>
      <w:r w:rsidRPr="006010E9">
        <w:rPr>
          <w:rtl/>
        </w:rPr>
        <w:t xml:space="preserve"> ב</w:t>
      </w:r>
      <w:r w:rsidRPr="006010E9">
        <w:rPr>
          <w:rFonts w:hint="cs"/>
          <w:rtl/>
        </w:rPr>
        <w:t>כ</w:t>
      </w:r>
      <w:r w:rsidRPr="006010E9">
        <w:rPr>
          <w:rtl/>
        </w:rPr>
        <w:t>חמש שנים במצטבר (חמש משש הדחיות אירעו בשנים 2010 עד 2013, לפני תחילת עיקר עבודות ההקמה, שהחלו בשנת 2015)</w:t>
      </w:r>
      <w:r w:rsidRPr="006010E9">
        <w:rPr>
          <w:rFonts w:hint="cs"/>
          <w:rtl/>
        </w:rPr>
        <w:t>.</w:t>
      </w:r>
      <w:r w:rsidRPr="006010E9">
        <w:rPr>
          <w:rtl/>
        </w:rPr>
        <w:t xml:space="preserve"> פתיחת הקו הסגול נדחתה מ-2025 ל-2026, ופתיחת הקו הירוק נדחתה מ-2025 ל-2027, ועשויה לחול דחייה של שנה נוספת ב</w:t>
      </w:r>
      <w:r w:rsidRPr="006010E9">
        <w:rPr>
          <w:rFonts w:hint="cs"/>
          <w:rtl/>
        </w:rPr>
        <w:t xml:space="preserve">פתיחת </w:t>
      </w:r>
      <w:r w:rsidRPr="006010E9">
        <w:rPr>
          <w:rtl/>
        </w:rPr>
        <w:t>שני הקווים האלה</w:t>
      </w:r>
      <w:r w:rsidRPr="006010E9">
        <w:rPr>
          <w:rFonts w:hint="cs"/>
          <w:rtl/>
        </w:rPr>
        <w:t>.</w:t>
      </w:r>
      <w:r w:rsidRPr="006010E9">
        <w:rPr>
          <w:rtl/>
        </w:rPr>
        <w:t xml:space="preserve"> באומדן העלות של פרויקט הקו האדום בוצעו 12 עדכונים לכל הפחות, ולפחות בשמונה מהם עודכנה עלות הפרויקט הכוללת; בעדכון האחרון היה אומדן העלות </w:t>
      </w:r>
      <w:r w:rsidRPr="006010E9">
        <w:rPr>
          <w:rtl/>
        </w:rPr>
        <w:t>כ-18.71 מיליארד ש"ח, סכום הגבוה מהאומדן המקורי</w:t>
      </w:r>
      <w:r w:rsidR="004436F7">
        <w:rPr>
          <w:rFonts w:hint="cs"/>
          <w:rtl/>
        </w:rPr>
        <w:t xml:space="preserve"> </w:t>
      </w:r>
      <w:r w:rsidRPr="006010E9" w:rsidR="004436F7">
        <w:rPr>
          <w:rtl/>
        </w:rPr>
        <w:t>בכ-8 מיליארד ש"ח</w:t>
      </w:r>
      <w:r w:rsidRPr="006010E9">
        <w:rPr>
          <w:rtl/>
        </w:rPr>
        <w:t xml:space="preserve"> (75%)</w:t>
      </w:r>
      <w:r w:rsidR="004436F7">
        <w:rPr>
          <w:rFonts w:hint="cs"/>
          <w:rtl/>
        </w:rPr>
        <w:t>,</w:t>
      </w:r>
      <w:r w:rsidRPr="006010E9">
        <w:rPr>
          <w:rtl/>
        </w:rPr>
        <w:t xml:space="preserve"> ובניכוי השפעת התייקרויות ושינוי </w:t>
      </w:r>
      <w:r w:rsidRPr="006010E9">
        <w:rPr>
          <w:rtl/>
        </w:rPr>
        <w:t>במע"ם</w:t>
      </w:r>
      <w:r w:rsidRPr="006010E9">
        <w:rPr>
          <w:rtl/>
        </w:rPr>
        <w:t xml:space="preserve"> </w:t>
      </w:r>
      <w:r w:rsidR="004436F7">
        <w:rPr>
          <w:rFonts w:hint="cs"/>
          <w:rtl/>
        </w:rPr>
        <w:t>-</w:t>
      </w:r>
      <w:r w:rsidRPr="006010E9">
        <w:rPr>
          <w:rtl/>
        </w:rPr>
        <w:t xml:space="preserve"> בכ-7.5 מיליארד ש"ח (כ-70%)</w:t>
      </w:r>
      <w:r w:rsidRPr="006010E9">
        <w:rPr>
          <w:rFonts w:hint="cs"/>
          <w:rtl/>
        </w:rPr>
        <w:t>.</w:t>
      </w:r>
      <w:r w:rsidRPr="006010E9">
        <w:rPr>
          <w:rtl/>
        </w:rPr>
        <w:t xml:space="preserve"> בקווים הירוק והסגול נעשו שינויים רבים בהיקף של מאות מיליוני ש"ח הן באומדן הכולל והן בסעיפים התקציביים העיקריים של הפרויקט</w:t>
      </w:r>
      <w:r w:rsidRPr="006010E9">
        <w:rPr>
          <w:rFonts w:hint="cs"/>
          <w:rtl/>
        </w:rPr>
        <w:t>.</w:t>
      </w:r>
      <w:r w:rsidRPr="006010E9">
        <w:rPr>
          <w:rtl/>
        </w:rPr>
        <w:t xml:space="preserve"> בחינת אומדני העלות של הקווים הירוק, האדום והסגול מול מספרי השוואה בין-לאומיים מעלה כי עלות </w:t>
      </w:r>
      <w:r w:rsidRPr="006010E9">
        <w:rPr>
          <w:rFonts w:hint="cs"/>
          <w:rtl/>
        </w:rPr>
        <w:t>ה</w:t>
      </w:r>
      <w:r w:rsidRPr="006010E9">
        <w:rPr>
          <w:rtl/>
        </w:rPr>
        <w:t xml:space="preserve">הקמה של פרויקט </w:t>
      </w:r>
      <w:r w:rsidRPr="006010E9">
        <w:rPr>
          <w:rtl/>
        </w:rPr>
        <w:t>רק"ל</w:t>
      </w:r>
      <w:r w:rsidRPr="006010E9">
        <w:rPr>
          <w:rtl/>
        </w:rPr>
        <w:t xml:space="preserve"> עילי בישראל גבוהה מעלות הקמתו במדינות אחרות, ועלות הקמת </w:t>
      </w:r>
      <w:r w:rsidRPr="006010E9">
        <w:rPr>
          <w:rtl/>
        </w:rPr>
        <w:t>פרויקטי</w:t>
      </w:r>
      <w:r w:rsidRPr="006010E9">
        <w:rPr>
          <w:rtl/>
        </w:rPr>
        <w:t xml:space="preserve"> </w:t>
      </w:r>
      <w:r w:rsidRPr="006010E9">
        <w:rPr>
          <w:rtl/>
        </w:rPr>
        <w:t>רק"ל</w:t>
      </w:r>
      <w:r w:rsidRPr="006010E9">
        <w:rPr>
          <w:rtl/>
        </w:rPr>
        <w:t xml:space="preserve"> מורכבים יותר, שבהם מרכיב תת-קרקעי גדול, דומה יותר לעלות הקמתם במדינות אחרות. </w:t>
      </w:r>
    </w:p>
    <w:p w:rsidR="0091471C" w:rsidP="0091471C">
      <w:pPr>
        <w:pStyle w:val="7112"/>
        <w:rPr>
          <w:rtl/>
        </w:rPr>
      </w:pPr>
      <w:r w:rsidRPr="006010E9">
        <w:rPr>
          <w:rtl/>
        </w:rPr>
        <w:t xml:space="preserve">תיקון הליקויים שהועלו בפרק זה עשוי לשפר את איכות החיים של משתמשי התחבורה הציבורית במטרופולין תל אביב, לצמצם את הקשיים שחווים תושבי המטרופולין בתוואי הקווים בשלב ההקמה ולחסוך עלויות גבוהות למשק. מומלץ שמשרדי התחבורה והאוצר יקיימו תהליכי הפקת לקחים מחלקי הפרויקט שבוצעו ויישמו אותם בחלקים המתוכננים של </w:t>
      </w:r>
      <w:r w:rsidRPr="006010E9">
        <w:rPr>
          <w:rtl/>
        </w:rPr>
        <w:t>הרק"ל</w:t>
      </w:r>
      <w:r w:rsidRPr="006010E9">
        <w:rPr>
          <w:rtl/>
        </w:rPr>
        <w:t xml:space="preserve"> ובפרויקטים עתידיים להסעת המונים כגון המטרו. עוד מומלץ כי בעת הבאת פרויקטים תחבורתיים לאישור הממשלה או </w:t>
      </w:r>
      <w:r w:rsidRPr="006010E9">
        <w:rPr>
          <w:rFonts w:hint="cs"/>
          <w:rtl/>
        </w:rPr>
        <w:t xml:space="preserve">בהבאת </w:t>
      </w:r>
      <w:r w:rsidRPr="006010E9">
        <w:rPr>
          <w:rtl/>
        </w:rPr>
        <w:t xml:space="preserve">שינויים תקציביים בפרויקטים מסוג זה </w:t>
      </w:r>
      <w:r w:rsidRPr="006010E9">
        <w:rPr>
          <w:rFonts w:hint="cs"/>
          <w:rtl/>
        </w:rPr>
        <w:t xml:space="preserve">לאישור, יציגו </w:t>
      </w:r>
      <w:r w:rsidRPr="006010E9">
        <w:rPr>
          <w:rtl/>
        </w:rPr>
        <w:t>משרדי התחבורה והאוצר לקחים שהופקו מפרויקטים דומים.</w:t>
      </w:r>
    </w:p>
    <w:p w:rsidR="005274E2" w:rsidRPr="00EC514B" w:rsidP="005274E2">
      <w:pPr>
        <w:pStyle w:val="7112"/>
        <w:numPr>
          <w:ilvl w:val="0"/>
          <w:numId w:val="27"/>
        </w:numPr>
        <w:rPr>
          <w:rtl/>
        </w:rPr>
      </w:pPr>
      <w:r w:rsidRPr="006010E9">
        <w:rPr>
          <w:b/>
          <w:bCs/>
          <w:color w:val="auto"/>
          <w:rtl/>
        </w:rPr>
        <w:t>אספקת מי שתייה בשעת חירום:</w:t>
      </w:r>
      <w:r>
        <w:rPr>
          <w:rFonts w:hint="cs"/>
          <w:color w:val="0070C0"/>
          <w:rtl/>
        </w:rPr>
        <w:t xml:space="preserve"> </w:t>
      </w:r>
      <w:r w:rsidRPr="00EC514B">
        <w:rPr>
          <w:rtl/>
        </w:rPr>
        <w:t>המים הם מצרך חיוני וקיומי לאדם ולחי. שיבוש באספקת המים או פגיעה באיכות מי השתייה עלולים לפגוע הן בבריאות הציבור והן בסדר החיים התקין. פוטנציאל האיומים על אספקת המים מגוון ועלול להתממש ללא התראה מוקדמת. לפי עמדת רשות החירום הלאומית (</w:t>
      </w:r>
      <w:r w:rsidRPr="00EC514B">
        <w:rPr>
          <w:rtl/>
        </w:rPr>
        <w:t>רח"ל</w:t>
      </w:r>
      <w:r w:rsidRPr="00EC514B">
        <w:rPr>
          <w:rtl/>
        </w:rPr>
        <w:t>) ורשות המים, תרחיש הייחוס החמור ביותר שמשק המים צריך להיערך אליו בעניין אספקת מים בשעת חירום הוא רעידת אדמה</w:t>
      </w:r>
      <w:r w:rsidRPr="00EC514B">
        <w:t>.</w:t>
      </w:r>
      <w:r w:rsidRPr="00EC514B">
        <w:rPr>
          <w:rtl/>
        </w:rPr>
        <w:t xml:space="preserve"> </w:t>
      </w:r>
    </w:p>
    <w:p w:rsidR="005274E2" w:rsidRPr="006010E9" w:rsidP="005274E2">
      <w:pPr>
        <w:pStyle w:val="7112"/>
        <w:rPr>
          <w:rtl/>
        </w:rPr>
      </w:pPr>
      <w:r w:rsidRPr="006010E9">
        <w:rPr>
          <w:rFonts w:hint="cs"/>
          <w:rtl/>
        </w:rPr>
        <w:t>בביקורת בנושא</w:t>
      </w:r>
      <w:r w:rsidRPr="006010E9">
        <w:rPr>
          <w:b/>
          <w:bCs/>
          <w:rtl/>
        </w:rPr>
        <w:t xml:space="preserve"> </w:t>
      </w:r>
      <w:r w:rsidRPr="006010E9">
        <w:rPr>
          <w:rtl/>
        </w:rPr>
        <w:t>אספקת מי שתייה בשעת חירום</w:t>
      </w:r>
      <w:r w:rsidRPr="006010E9">
        <w:rPr>
          <w:rFonts w:hint="cs"/>
          <w:b/>
          <w:bCs/>
          <w:rtl/>
        </w:rPr>
        <w:t xml:space="preserve"> </w:t>
      </w:r>
      <w:r w:rsidRPr="006010E9">
        <w:rPr>
          <w:rtl/>
        </w:rPr>
        <w:t>הועלה כי יותר מ-2.4 מיליון מתושבי ישראל</w:t>
      </w:r>
      <w:r w:rsidRPr="006010E9">
        <w:rPr>
          <w:szCs w:val="16"/>
          <w:rtl/>
        </w:rPr>
        <w:t xml:space="preserve"> </w:t>
      </w:r>
      <w:r w:rsidRPr="006010E9">
        <w:rPr>
          <w:rtl/>
        </w:rPr>
        <w:t>מתגוררים ברשויות מקומיות שאינן ערוכות כנדרש לאספקת מים בשעת חירום</w:t>
      </w:r>
      <w:r w:rsidRPr="006010E9">
        <w:rPr>
          <w:rFonts w:hint="cs"/>
          <w:rtl/>
        </w:rPr>
        <w:t>,</w:t>
      </w:r>
      <w:r w:rsidRPr="006010E9">
        <w:rPr>
          <w:rtl/>
        </w:rPr>
        <w:t xml:space="preserve"> וכי 13,161 מיטות </w:t>
      </w:r>
      <w:r w:rsidRPr="006010E9">
        <w:rPr>
          <w:rFonts w:hint="cs"/>
          <w:rtl/>
        </w:rPr>
        <w:t>אשפוז</w:t>
      </w:r>
      <w:r w:rsidRPr="006010E9">
        <w:rPr>
          <w:szCs w:val="16"/>
          <w:rtl/>
        </w:rPr>
        <w:t xml:space="preserve"> </w:t>
      </w:r>
      <w:r w:rsidRPr="006010E9">
        <w:rPr>
          <w:rtl/>
        </w:rPr>
        <w:t xml:space="preserve">נמצאות בבתי חולים שמאגרי המים </w:t>
      </w:r>
      <w:r w:rsidRPr="006010E9">
        <w:rPr>
          <w:rFonts w:hint="cs"/>
          <w:rtl/>
        </w:rPr>
        <w:t xml:space="preserve">המצויים בהם </w:t>
      </w:r>
      <w:r w:rsidRPr="006010E9">
        <w:rPr>
          <w:rtl/>
        </w:rPr>
        <w:t>אינם ממוגנים מפני רעידות אדמה</w:t>
      </w:r>
      <w:r w:rsidRPr="006010E9">
        <w:rPr>
          <w:rFonts w:hint="cs"/>
          <w:rtl/>
        </w:rPr>
        <w:t>.</w:t>
      </w:r>
      <w:r w:rsidRPr="006010E9">
        <w:rPr>
          <w:rtl/>
        </w:rPr>
        <w:t xml:space="preserve"> עוד נמצא כי לרשות המים אין מידע על כמויות המים שהתושבים אוגרים לשעת חירום; היא לא נקטה פעולות הסברה להעלאת מודעות התושבים לצורך באגירת מים כנדרש, וספקי המים אינם ערוכים באופן מלא לאספקת מים חלופית. </w:t>
      </w:r>
    </w:p>
    <w:p w:rsidR="005274E2" w:rsidP="005274E2">
      <w:pPr>
        <w:pStyle w:val="7112"/>
        <w:rPr>
          <w:rtl/>
        </w:rPr>
      </w:pPr>
      <w:r w:rsidRPr="006010E9">
        <w:rPr>
          <w:rtl/>
        </w:rPr>
        <w:t xml:space="preserve">על משרד הפנים, רשות המים </w:t>
      </w:r>
      <w:r w:rsidRPr="006010E9">
        <w:rPr>
          <w:rtl/>
        </w:rPr>
        <w:t>ורח"ל</w:t>
      </w:r>
      <w:r w:rsidRPr="006010E9">
        <w:rPr>
          <w:rtl/>
        </w:rPr>
        <w:t xml:space="preserve"> לפעול יחד לשיפור היערכותן של רשויות מקומיות קטנות ו</w:t>
      </w:r>
      <w:r w:rsidRPr="006010E9">
        <w:rPr>
          <w:rFonts w:hint="cs"/>
          <w:rtl/>
        </w:rPr>
        <w:t xml:space="preserve">של </w:t>
      </w:r>
      <w:r w:rsidRPr="006010E9">
        <w:rPr>
          <w:rtl/>
        </w:rPr>
        <w:t>רשויות המדורגות באשכולות נמוכים לפי המדד החברתי-כלכלי</w:t>
      </w:r>
      <w:r w:rsidRPr="006010E9">
        <w:rPr>
          <w:rFonts w:hint="cs"/>
          <w:rtl/>
        </w:rPr>
        <w:t>,</w:t>
      </w:r>
      <w:r w:rsidRPr="006010E9">
        <w:rPr>
          <w:rtl/>
        </w:rPr>
        <w:t xml:space="preserve"> לאספקת מים בשעת חירום. מומלץ כי גופים אלה יבחנו מתן פתרון חלופי לאספקת מים בשעות הראשונות שלאחר התרחשות אירוע חירום. על משרד </w:t>
      </w:r>
      <w:r w:rsidRPr="006010E9">
        <w:rPr>
          <w:rtl/>
        </w:rPr>
        <w:t>האנרגייה</w:t>
      </w:r>
      <w:r w:rsidRPr="006010E9">
        <w:rPr>
          <w:rtl/>
        </w:rPr>
        <w:t>, רשות המים, משרד הבריאות ובתי החולים לבחון את ההמלצות שנכללו בדוח הביקורת ולפעול לתיקון הליקויים שעלו.</w:t>
      </w:r>
    </w:p>
    <w:p w:rsidR="005274E2" w:rsidRPr="000F09A5" w:rsidP="005274E2">
      <w:pPr>
        <w:pStyle w:val="7112"/>
        <w:numPr>
          <w:ilvl w:val="0"/>
          <w:numId w:val="27"/>
        </w:numPr>
        <w:rPr>
          <w:rtl/>
        </w:rPr>
      </w:pPr>
      <w:r w:rsidRPr="006010E9">
        <w:rPr>
          <w:b/>
          <w:bCs/>
          <w:color w:val="auto"/>
          <w:rtl/>
        </w:rPr>
        <w:t>חברת תשתיות אנרגיה בע"מ - ביקורת פיננסית:</w:t>
      </w:r>
      <w:r w:rsidRPr="000F09A5">
        <w:rPr>
          <w:rFonts w:hint="cs"/>
          <w:rtl/>
        </w:rPr>
        <w:t xml:space="preserve"> </w:t>
      </w:r>
      <w:r w:rsidRPr="000F09A5">
        <w:rPr>
          <w:rtl/>
        </w:rPr>
        <w:t xml:space="preserve">מוצרי הדלק חיוניים לפעילות התקינה של המשק כולו, ויש להם כיום תפקיד מרכזי בפיתוחו של המשק ובצמיחתו הכלכלית. חברת תשתיות </w:t>
      </w:r>
      <w:r w:rsidRPr="000F09A5">
        <w:rPr>
          <w:rtl/>
        </w:rPr>
        <w:t>אנרגייה</w:t>
      </w:r>
      <w:r w:rsidRPr="000F09A5">
        <w:rPr>
          <w:rtl/>
        </w:rPr>
        <w:t xml:space="preserve"> בע"מ היא חברה ממשלתית בבעלות מלאה של המדינה, שהוקמה כדי לספק את צורכי משק הדלק, לרבות אחסון, הזרמה ואספקה של מוצרי דלק. </w:t>
      </w:r>
    </w:p>
    <w:p w:rsidR="005274E2" w:rsidRPr="00F347C5" w:rsidP="005274E2">
      <w:pPr>
        <w:pStyle w:val="7112"/>
        <w:rPr>
          <w:spacing w:val="-2"/>
          <w:rtl/>
        </w:rPr>
      </w:pPr>
      <w:r w:rsidRPr="00F347C5">
        <w:rPr>
          <w:spacing w:val="-2"/>
          <w:rtl/>
        </w:rPr>
        <w:t>בביקורת</w:t>
      </w:r>
      <w:r w:rsidRPr="00F347C5">
        <w:rPr>
          <w:rFonts w:hint="cs"/>
          <w:spacing w:val="-2"/>
          <w:rtl/>
        </w:rPr>
        <w:t xml:space="preserve"> הפיננסית על ה</w:t>
      </w:r>
      <w:r w:rsidRPr="00F347C5">
        <w:rPr>
          <w:b/>
          <w:spacing w:val="-2"/>
          <w:rtl/>
        </w:rPr>
        <w:t>חבר</w:t>
      </w:r>
      <w:r w:rsidRPr="00F347C5">
        <w:rPr>
          <w:rFonts w:hint="cs"/>
          <w:b/>
          <w:spacing w:val="-2"/>
          <w:rtl/>
        </w:rPr>
        <w:t xml:space="preserve">ה </w:t>
      </w:r>
      <w:r w:rsidRPr="00F347C5">
        <w:rPr>
          <w:spacing w:val="-2"/>
          <w:rtl/>
        </w:rPr>
        <w:t>הועלה כי מתום הזיכיון של החברה בינואר 2001, לפני יותר מ-20 שנים, אין לחברה ולמדינה הסכם הפעלה חתום. לפי אומדן משרד מבקר המדינה, היעדר הסכם הפעלה הביא להפסד משקי (הפסדים שנג</w:t>
      </w:r>
      <w:r w:rsidRPr="00F347C5">
        <w:rPr>
          <w:rFonts w:hint="cs"/>
          <w:spacing w:val="-2"/>
          <w:rtl/>
        </w:rPr>
        <w:t>ר</w:t>
      </w:r>
      <w:r w:rsidRPr="00F347C5">
        <w:rPr>
          <w:spacing w:val="-2"/>
          <w:rtl/>
        </w:rPr>
        <w:t>מו למדינה ולחברה) של 216 - 659 מיליון ש"ח</w:t>
      </w:r>
      <w:r w:rsidRPr="00F347C5">
        <w:rPr>
          <w:rFonts w:hint="cs"/>
          <w:spacing w:val="-2"/>
          <w:rtl/>
        </w:rPr>
        <w:t>.</w:t>
      </w:r>
      <w:r w:rsidRPr="00F347C5">
        <w:rPr>
          <w:spacing w:val="-2"/>
          <w:rtl/>
        </w:rPr>
        <w:t xml:space="preserve"> עוד נמצא כי על פי הדוחות הכספיים המבוקרים של החברה, בסוף שנת </w:t>
      </w:r>
      <w:r w:rsidRPr="00F347C5">
        <w:rPr>
          <w:spacing w:val="-2"/>
          <w:rtl/>
        </w:rPr>
        <w:t>2020 יותר ממיליארד ש"ח היו ראויים מ</w:t>
      </w:r>
      <w:r w:rsidRPr="00F347C5">
        <w:rPr>
          <w:rFonts w:hint="cs"/>
          <w:spacing w:val="-2"/>
          <w:rtl/>
        </w:rPr>
        <w:t>ה</w:t>
      </w:r>
      <w:r w:rsidRPr="00F347C5">
        <w:rPr>
          <w:spacing w:val="-2"/>
          <w:rtl/>
        </w:rPr>
        <w:t xml:space="preserve">בחינה </w:t>
      </w:r>
      <w:r w:rsidRPr="00F347C5">
        <w:rPr>
          <w:rFonts w:hint="cs"/>
          <w:spacing w:val="-2"/>
          <w:rtl/>
        </w:rPr>
        <w:t>ה</w:t>
      </w:r>
      <w:r w:rsidRPr="00F347C5">
        <w:rPr>
          <w:spacing w:val="-2"/>
          <w:rtl/>
        </w:rPr>
        <w:t>חשבונאית לחלוקה כדיבידנד, ואולם החברה לא שילמה למדינה דיבידנדים באופן סדיר</w:t>
      </w:r>
      <w:r w:rsidRPr="00F347C5">
        <w:rPr>
          <w:rFonts w:hint="cs"/>
          <w:spacing w:val="-2"/>
          <w:rtl/>
        </w:rPr>
        <w:t>.</w:t>
      </w:r>
      <w:r w:rsidRPr="00F347C5">
        <w:rPr>
          <w:spacing w:val="-2"/>
          <w:rtl/>
        </w:rPr>
        <w:t xml:space="preserve"> שיעור הוצאות ההנהלה וההוצאות הכלליות מהכנסות החברה בשנים 2018 - 2020 (13%) היה גדול מהשיעור שקבעה ועדת המחירים לפיקוח על המחירים בתחום </w:t>
      </w:r>
      <w:r w:rsidRPr="00F347C5">
        <w:rPr>
          <w:spacing w:val="-2"/>
          <w:rtl/>
        </w:rPr>
        <w:t>האנרגייה</w:t>
      </w:r>
      <w:r w:rsidRPr="00F347C5">
        <w:rPr>
          <w:spacing w:val="-2"/>
          <w:rtl/>
        </w:rPr>
        <w:t xml:space="preserve"> (כ-9%). </w:t>
      </w:r>
    </w:p>
    <w:p w:rsidR="005274E2" w:rsidRPr="006010E9" w:rsidP="005274E2">
      <w:pPr>
        <w:pStyle w:val="7112"/>
        <w:rPr>
          <w:rtl/>
        </w:rPr>
      </w:pPr>
      <w:r w:rsidRPr="006010E9">
        <w:rPr>
          <w:rtl/>
        </w:rPr>
        <w:t xml:space="preserve">על משרד האוצר בהובלת החשב הכללי, משרד </w:t>
      </w:r>
      <w:r w:rsidRPr="006010E9">
        <w:rPr>
          <w:rtl/>
        </w:rPr>
        <w:t>האנרגייה</w:t>
      </w:r>
      <w:r w:rsidRPr="006010E9">
        <w:rPr>
          <w:rtl/>
        </w:rPr>
        <w:t xml:space="preserve">, רשות החברות הממשלתיות, רשות המיסים </w:t>
      </w:r>
      <w:r w:rsidRPr="006010E9">
        <w:rPr>
          <w:rtl/>
        </w:rPr>
        <w:t>ורמ"י</w:t>
      </w:r>
      <w:r w:rsidRPr="006010E9">
        <w:rPr>
          <w:rtl/>
        </w:rPr>
        <w:t>, בסיוע היועץ המשפטי לממשלה, להשלים את גיבושו של נוסח מוסכם של הסכם הפעלה עם החברה. על רשות החברות הממשלתיות לפעול עם דירקטוריון החברה לחלוקת דיבידנד למדינה.</w:t>
      </w:r>
    </w:p>
    <w:p w:rsidR="000A33BE" w:rsidP="005622E3">
      <w:pPr>
        <w:pStyle w:val="7112"/>
        <w:numPr>
          <w:ilvl w:val="0"/>
          <w:numId w:val="27"/>
        </w:numPr>
        <w:rPr>
          <w:rtl/>
        </w:rPr>
      </w:pPr>
      <w:r w:rsidRPr="006010E9">
        <w:rPr>
          <w:rFonts w:hint="eastAsia"/>
          <w:b/>
          <w:bCs/>
          <w:color w:val="auto"/>
          <w:rtl/>
        </w:rPr>
        <w:t>מבנה</w:t>
      </w:r>
      <w:r w:rsidRPr="006010E9">
        <w:rPr>
          <w:b/>
          <w:bCs/>
          <w:color w:val="auto"/>
          <w:rtl/>
        </w:rPr>
        <w:t xml:space="preserve"> </w:t>
      </w:r>
      <w:r w:rsidRPr="006010E9">
        <w:rPr>
          <w:rFonts w:hint="eastAsia"/>
          <w:b/>
          <w:bCs/>
          <w:color w:val="auto"/>
          <w:rtl/>
        </w:rPr>
        <w:t>השכר</w:t>
      </w:r>
      <w:r w:rsidRPr="006010E9">
        <w:rPr>
          <w:b/>
          <w:bCs/>
          <w:color w:val="auto"/>
          <w:rtl/>
        </w:rPr>
        <w:t xml:space="preserve"> </w:t>
      </w:r>
      <w:r w:rsidRPr="006010E9">
        <w:rPr>
          <w:rFonts w:hint="eastAsia"/>
          <w:b/>
          <w:bCs/>
          <w:color w:val="auto"/>
          <w:rtl/>
        </w:rPr>
        <w:t>וההעסקה</w:t>
      </w:r>
      <w:r w:rsidRPr="006010E9">
        <w:rPr>
          <w:b/>
          <w:bCs/>
          <w:color w:val="auto"/>
          <w:rtl/>
        </w:rPr>
        <w:t xml:space="preserve"> </w:t>
      </w:r>
      <w:r w:rsidRPr="006010E9">
        <w:rPr>
          <w:rFonts w:hint="eastAsia"/>
          <w:b/>
          <w:bCs/>
          <w:color w:val="auto"/>
          <w:rtl/>
        </w:rPr>
        <w:t>בשירות</w:t>
      </w:r>
      <w:r w:rsidRPr="006010E9">
        <w:rPr>
          <w:b/>
          <w:bCs/>
          <w:color w:val="auto"/>
          <w:rtl/>
        </w:rPr>
        <w:t xml:space="preserve"> </w:t>
      </w:r>
      <w:r w:rsidRPr="006010E9">
        <w:rPr>
          <w:rFonts w:hint="eastAsia"/>
          <w:b/>
          <w:bCs/>
          <w:color w:val="auto"/>
          <w:rtl/>
        </w:rPr>
        <w:t>הציבורי</w:t>
      </w:r>
      <w:r w:rsidRPr="006010E9">
        <w:rPr>
          <w:b/>
          <w:bCs/>
          <w:color w:val="auto"/>
          <w:rtl/>
        </w:rPr>
        <w:t>:</w:t>
      </w:r>
      <w:r w:rsidRPr="000F09A5">
        <w:rPr>
          <w:b/>
          <w:bCs/>
          <w:color w:val="0070C0"/>
          <w:spacing w:val="20"/>
          <w:rtl/>
        </w:rPr>
        <w:t xml:space="preserve"> </w:t>
      </w:r>
      <w:r w:rsidRPr="000F09A5">
        <w:rPr>
          <w:rtl/>
        </w:rPr>
        <w:t>השכר הוא גורם מרכזי במכלול השיקולים של</w:t>
      </w:r>
      <w:r>
        <w:rPr>
          <w:rFonts w:hint="cs"/>
          <w:rtl/>
        </w:rPr>
        <w:t xml:space="preserve"> אדם</w:t>
      </w:r>
      <w:r w:rsidRPr="000F09A5">
        <w:rPr>
          <w:rtl/>
        </w:rPr>
        <w:t xml:space="preserve"> בבוא</w:t>
      </w:r>
      <w:r>
        <w:rPr>
          <w:rFonts w:hint="cs"/>
          <w:rtl/>
        </w:rPr>
        <w:t>ו</w:t>
      </w:r>
      <w:r w:rsidRPr="000F09A5">
        <w:rPr>
          <w:rtl/>
        </w:rPr>
        <w:t xml:space="preserve"> להחליט אם לעבוד בארגון מסוים, איזה תפקיד </w:t>
      </w:r>
      <w:r>
        <w:rPr>
          <w:rFonts w:hint="cs"/>
          <w:rtl/>
        </w:rPr>
        <w:t xml:space="preserve">למלא </w:t>
      </w:r>
      <w:r w:rsidRPr="000F09A5">
        <w:rPr>
          <w:rtl/>
        </w:rPr>
        <w:t xml:space="preserve">ואם לפעול כדי לעבור </w:t>
      </w:r>
      <w:r>
        <w:rPr>
          <w:rFonts w:hint="cs"/>
          <w:rtl/>
        </w:rPr>
        <w:t>ל</w:t>
      </w:r>
      <w:r w:rsidRPr="000F09A5">
        <w:rPr>
          <w:rtl/>
        </w:rPr>
        <w:t>תפקיד</w:t>
      </w:r>
      <w:r>
        <w:rPr>
          <w:rFonts w:hint="cs"/>
          <w:rtl/>
        </w:rPr>
        <w:t xml:space="preserve"> אחר או</w:t>
      </w:r>
      <w:r w:rsidRPr="000F09A5">
        <w:rPr>
          <w:rtl/>
        </w:rPr>
        <w:t xml:space="preserve"> </w:t>
      </w:r>
      <w:r>
        <w:rPr>
          <w:rFonts w:hint="cs"/>
          <w:rtl/>
        </w:rPr>
        <w:t>ל</w:t>
      </w:r>
      <w:r w:rsidRPr="000F09A5">
        <w:rPr>
          <w:rtl/>
        </w:rPr>
        <w:t>ארגו</w:t>
      </w:r>
      <w:r>
        <w:rPr>
          <w:rFonts w:hint="cs"/>
          <w:rtl/>
        </w:rPr>
        <w:t>ן אחר</w:t>
      </w:r>
      <w:r w:rsidRPr="000F09A5">
        <w:rPr>
          <w:rtl/>
        </w:rPr>
        <w:t xml:space="preserve">. מנקודת ראותו של </w:t>
      </w:r>
      <w:r>
        <w:rPr>
          <w:rFonts w:hint="cs"/>
          <w:rtl/>
        </w:rPr>
        <w:t>ה</w:t>
      </w:r>
      <w:r w:rsidRPr="000F09A5">
        <w:rPr>
          <w:rtl/>
        </w:rPr>
        <w:t xml:space="preserve">מעסיק, השכר הוא כלי מרכזי לגיוס ולפיתוח של כוח אדם מיומן ואמין לביצוע משימות הארגון. במשך יותר משלושה עשורים עמדו גורמי מקצוע שונים, בהם גורמים שמינתה הממשלה, על הצורך לטפל בשורה של סוגיות יסוד הנוגעות למבנה השכר וההעסקה בשירות הציבורי בישראל - שבו </w:t>
      </w:r>
      <w:r w:rsidR="002D707E">
        <w:rPr>
          <w:rtl/>
        </w:rPr>
        <w:br/>
      </w:r>
      <w:r w:rsidRPr="000F09A5">
        <w:rPr>
          <w:rtl/>
        </w:rPr>
        <w:t>כ-540,000 משרות של עובדים</w:t>
      </w:r>
      <w:r w:rsidRPr="00B848C7">
        <w:rPr>
          <w:rtl/>
        </w:rPr>
        <w:t xml:space="preserve"> </w:t>
      </w:r>
      <w:r>
        <w:rPr>
          <w:rFonts w:hint="cs"/>
          <w:rtl/>
        </w:rPr>
        <w:t>(</w:t>
      </w:r>
      <w:r w:rsidRPr="000F09A5">
        <w:rPr>
          <w:rtl/>
        </w:rPr>
        <w:t xml:space="preserve">לא כולל משרות במערכת הביטחון), </w:t>
      </w:r>
      <w:r>
        <w:rPr>
          <w:rFonts w:hint="cs"/>
          <w:rtl/>
        </w:rPr>
        <w:t>ש</w:t>
      </w:r>
      <w:r w:rsidRPr="000F09A5">
        <w:rPr>
          <w:rtl/>
        </w:rPr>
        <w:t xml:space="preserve">עלות העסקתם השנתית </w:t>
      </w:r>
      <w:r>
        <w:rPr>
          <w:rFonts w:hint="cs"/>
          <w:rtl/>
        </w:rPr>
        <w:t xml:space="preserve">בשנת 2019 </w:t>
      </w:r>
      <w:r w:rsidRPr="000F09A5">
        <w:rPr>
          <w:rtl/>
        </w:rPr>
        <w:t>הסתכמה בכ-107 מיליארד ש"ח</w:t>
      </w:r>
      <w:r>
        <w:rPr>
          <w:rFonts w:hint="cs"/>
          <w:rtl/>
        </w:rPr>
        <w:t>.</w:t>
      </w:r>
    </w:p>
    <w:p w:rsidR="000A33BE" w:rsidRPr="00F347C5" w:rsidP="005622E3">
      <w:pPr>
        <w:pStyle w:val="7112"/>
        <w:rPr>
          <w:spacing w:val="-2"/>
          <w:rtl/>
        </w:rPr>
      </w:pPr>
      <w:r w:rsidRPr="00F347C5">
        <w:rPr>
          <w:spacing w:val="-2"/>
          <w:rtl/>
        </w:rPr>
        <w:t xml:space="preserve">דוח ביקורת זה מצביע על ליקויים בניהול תחום השכר וההעסקה בשירות הציבורי בכמה היבטים: </w:t>
      </w:r>
      <w:r w:rsidRPr="005622E3">
        <w:rPr>
          <w:spacing w:val="-2"/>
          <w:rtl/>
        </w:rPr>
        <w:t>ההיבט האסטרטגי</w:t>
      </w:r>
      <w:r w:rsidRPr="00F347C5">
        <w:rPr>
          <w:spacing w:val="-2"/>
          <w:rtl/>
        </w:rPr>
        <w:t xml:space="preserve"> - הממשלה לא גיבשה ולא אישרה מדיניות ממשלתית בתחום השכר; </w:t>
      </w:r>
      <w:r w:rsidRPr="005622E3">
        <w:rPr>
          <w:spacing w:val="-2"/>
          <w:rtl/>
        </w:rPr>
        <w:t>ההיבט הפרטני של רכיבי השכר</w:t>
      </w:r>
      <w:r w:rsidRPr="00F347C5">
        <w:rPr>
          <w:spacing w:val="-2"/>
          <w:rtl/>
        </w:rPr>
        <w:t xml:space="preserve"> - השכר בשירות הציבורי כולל מאות תוספות שכר ו</w:t>
      </w:r>
      <w:r w:rsidRPr="00F347C5">
        <w:rPr>
          <w:rFonts w:hint="eastAsia"/>
          <w:spacing w:val="-2"/>
          <w:rtl/>
        </w:rPr>
        <w:t>ר</w:t>
      </w:r>
      <w:r w:rsidRPr="00F347C5">
        <w:rPr>
          <w:spacing w:val="-2"/>
          <w:rtl/>
        </w:rPr>
        <w:t xml:space="preserve">כיבי שכר </w:t>
      </w:r>
      <w:r w:rsidRPr="00F347C5">
        <w:rPr>
          <w:rFonts w:hint="eastAsia"/>
          <w:spacing w:val="-2"/>
          <w:rtl/>
        </w:rPr>
        <w:t>ה</w:t>
      </w:r>
      <w:r w:rsidRPr="00F347C5">
        <w:rPr>
          <w:spacing w:val="-2"/>
          <w:rtl/>
        </w:rPr>
        <w:t>מיושמים בדרך שאינ</w:t>
      </w:r>
      <w:r w:rsidRPr="00F347C5">
        <w:rPr>
          <w:rFonts w:hint="eastAsia"/>
          <w:spacing w:val="-2"/>
          <w:rtl/>
        </w:rPr>
        <w:t>ה</w:t>
      </w:r>
      <w:r w:rsidRPr="00F347C5">
        <w:rPr>
          <w:spacing w:val="-2"/>
          <w:rtl/>
        </w:rPr>
        <w:t xml:space="preserve"> הול</w:t>
      </w:r>
      <w:r w:rsidRPr="00F347C5">
        <w:rPr>
          <w:rFonts w:hint="eastAsia"/>
          <w:spacing w:val="-2"/>
          <w:rtl/>
        </w:rPr>
        <w:t>מת</w:t>
      </w:r>
      <w:r w:rsidRPr="00F347C5">
        <w:rPr>
          <w:spacing w:val="-2"/>
          <w:rtl/>
        </w:rPr>
        <w:t xml:space="preserve"> עוד את מטרתם המקורית, ומנגנונים לתגמול </w:t>
      </w:r>
      <w:r w:rsidRPr="00F347C5">
        <w:rPr>
          <w:spacing w:val="-2"/>
          <w:rtl/>
        </w:rPr>
        <w:t>ותמרוץ</w:t>
      </w:r>
      <w:r w:rsidRPr="00F347C5">
        <w:rPr>
          <w:spacing w:val="-2"/>
          <w:rtl/>
        </w:rPr>
        <w:t xml:space="preserve">, שההוצאה הממשלתית עליהם הסתכמה בשנת 2020 ב-707 מיליון ש"ח, מהם 667 מיליון ש"ח לשכר עידוד, </w:t>
      </w:r>
      <w:r w:rsidRPr="00F347C5">
        <w:rPr>
          <w:rFonts w:hint="eastAsia"/>
          <w:spacing w:val="-2"/>
          <w:rtl/>
        </w:rPr>
        <w:t>אף</w:t>
      </w:r>
      <w:r w:rsidRPr="00F347C5">
        <w:rPr>
          <w:spacing w:val="-2"/>
          <w:rtl/>
        </w:rPr>
        <w:t xml:space="preserve"> </w:t>
      </w:r>
      <w:r w:rsidRPr="00F347C5">
        <w:rPr>
          <w:rFonts w:hint="eastAsia"/>
          <w:spacing w:val="-2"/>
          <w:rtl/>
        </w:rPr>
        <w:t>ש</w:t>
      </w:r>
      <w:r w:rsidRPr="00F347C5">
        <w:rPr>
          <w:spacing w:val="-2"/>
          <w:rtl/>
        </w:rPr>
        <w:t xml:space="preserve">האפקטיביות שלהם מוטלת בספק. </w:t>
      </w:r>
      <w:r w:rsidRPr="005622E3">
        <w:rPr>
          <w:spacing w:val="-2"/>
          <w:rtl/>
        </w:rPr>
        <w:t>היבט השוויון בין עובדים ובין גופים</w:t>
      </w:r>
      <w:r w:rsidRPr="00F347C5">
        <w:rPr>
          <w:spacing w:val="-2"/>
          <w:rtl/>
        </w:rPr>
        <w:t xml:space="preserve"> - בשירות המדינה, ולכל הפחות בעיסוקים הארציים שבו, לא נשמר העיקרון של תשלום שכר דומה עבור עבודה בעלת ערך דומה, </w:t>
      </w:r>
      <w:r w:rsidRPr="00F347C5">
        <w:rPr>
          <w:rFonts w:hint="eastAsia"/>
          <w:spacing w:val="-2"/>
          <w:rtl/>
        </w:rPr>
        <w:t>והדבר</w:t>
      </w:r>
      <w:r w:rsidRPr="00F347C5">
        <w:rPr>
          <w:spacing w:val="-2"/>
          <w:rtl/>
        </w:rPr>
        <w:t xml:space="preserve"> עלול לפגוע ביכולתם של משרדים לשפר את השירות לציבור בשל השכר הנמוך יחסית המשולם לעובדיהם. הדוח מצביע גם על רשת של הצמדות שכר והשלכות רוחב, בעיקר בכל הנוגע לשכר במערכת הביטחון, שאופן יישומן הגדיל הלכה למעשה את הפער בין שכר המשרתים בצה"ל, במשטרה ובשב"ס לבין שכר עובדי המדינה; </w:t>
      </w:r>
      <w:r w:rsidRPr="005622E3">
        <w:rPr>
          <w:spacing w:val="-2"/>
          <w:rtl/>
        </w:rPr>
        <w:t>היבט המימון של תוספת שכר</w:t>
      </w:r>
      <w:r w:rsidRPr="00F347C5">
        <w:rPr>
          <w:spacing w:val="-2"/>
          <w:rtl/>
        </w:rPr>
        <w:t xml:space="preserve"> - הממשלה חתמה באפריל 2016 על הסכם מסגרת והקצתה כספים למימושו שלא בהתאם לעיקרון העומד בבסיס הנומרטור, ובעקבות זאת נאלצה להקצות מאות מיליוני ש"ח נוספים למימון </w:t>
      </w:r>
      <w:r w:rsidRPr="00F347C5">
        <w:rPr>
          <w:rFonts w:hint="cs"/>
          <w:spacing w:val="-2"/>
          <w:rtl/>
        </w:rPr>
        <w:t xml:space="preserve">מימושו של </w:t>
      </w:r>
      <w:r w:rsidRPr="00F347C5">
        <w:rPr>
          <w:spacing w:val="-2"/>
          <w:rtl/>
        </w:rPr>
        <w:t xml:space="preserve">ההסכם. </w:t>
      </w:r>
    </w:p>
    <w:p w:rsidR="000A33BE" w:rsidRPr="006010E9" w:rsidP="005622E3">
      <w:pPr>
        <w:pStyle w:val="7112"/>
      </w:pPr>
      <w:r w:rsidRPr="006010E9">
        <w:rPr>
          <w:rtl/>
        </w:rPr>
        <w:t>ממצאי הביקורת והנתונים העומדים ביסודם מדגישים את הצורך בכך שהממשלה תקבע מדיניות כוללת בתחום התעסוקה והשכר במערכת הציבורית ותפעל ליישומה.</w:t>
      </w:r>
    </w:p>
    <w:p w:rsidR="000A33BE" w:rsidRPr="006010E9" w:rsidP="005622E3">
      <w:pPr>
        <w:pStyle w:val="7112"/>
        <w:numPr>
          <w:ilvl w:val="0"/>
          <w:numId w:val="27"/>
        </w:numPr>
        <w:rPr>
          <w:rtl/>
        </w:rPr>
      </w:pPr>
      <w:r w:rsidRPr="006010E9">
        <w:rPr>
          <w:rFonts w:hint="eastAsia"/>
          <w:b/>
          <w:bCs/>
          <w:color w:val="auto"/>
          <w:rtl/>
        </w:rPr>
        <w:t>ביקורות</w:t>
      </w:r>
      <w:r w:rsidRPr="006010E9">
        <w:rPr>
          <w:b/>
          <w:bCs/>
          <w:color w:val="auto"/>
          <w:rtl/>
        </w:rPr>
        <w:t xml:space="preserve"> מעקב:</w:t>
      </w:r>
      <w:r w:rsidR="00346605">
        <w:rPr>
          <w:b/>
          <w:bCs/>
          <w:color w:val="0070C0"/>
          <w:spacing w:val="20"/>
          <w:rtl/>
        </w:rPr>
        <w:t xml:space="preserve"> </w:t>
      </w:r>
      <w:r w:rsidRPr="000F09A5">
        <w:rPr>
          <w:rtl/>
        </w:rPr>
        <w:t xml:space="preserve">משרד מבקר המדינה שם דגש מיוחד על המעקב אחר תיקון הליקויים </w:t>
      </w:r>
      <w:r>
        <w:rPr>
          <w:rFonts w:hint="cs"/>
          <w:rtl/>
        </w:rPr>
        <w:t>שעלו בביקורתו</w:t>
      </w:r>
      <w:r w:rsidRPr="000F09A5">
        <w:rPr>
          <w:rtl/>
        </w:rPr>
        <w:t xml:space="preserve">, ובשנים האחרונות הרחבנו משמעותית את היקפן של ביקורות המעקב. דוח זה כולל חמישה דוחות מעקב בנושאים האלה: </w:t>
      </w:r>
      <w:r w:rsidRPr="000F09A5">
        <w:rPr>
          <w:b/>
          <w:bCs/>
          <w:rtl/>
        </w:rPr>
        <w:t xml:space="preserve">היבטים </w:t>
      </w:r>
      <w:r w:rsidRPr="000F09A5">
        <w:rPr>
          <w:b/>
          <w:bCs/>
          <w:rtl/>
        </w:rPr>
        <w:t>בפנסייה</w:t>
      </w:r>
      <w:r w:rsidRPr="000F09A5">
        <w:rPr>
          <w:b/>
          <w:bCs/>
          <w:rtl/>
        </w:rPr>
        <w:t xml:space="preserve"> הצוברת ובשוק ההפצה הפנסיוני; השירות לנוסעים ברכבת הקלה בירושלים; חברת דואר ישראל בע"מ - הטיפול בדואר בין-לאומי; התמודדות הממשלה עם הגידול במסחר המקוון;</w:t>
      </w:r>
      <w:r w:rsidRPr="000F09A5">
        <w:rPr>
          <w:rtl/>
        </w:rPr>
        <w:t xml:space="preserve"> </w:t>
      </w:r>
      <w:r w:rsidRPr="000F09A5">
        <w:rPr>
          <w:b/>
          <w:bCs/>
          <w:rtl/>
        </w:rPr>
        <w:t>השירות לציבור ברשות המיסים</w:t>
      </w:r>
      <w:r w:rsidRPr="000F09A5">
        <w:rPr>
          <w:rtl/>
        </w:rPr>
        <w:t xml:space="preserve"> </w:t>
      </w:r>
      <w:r>
        <w:rPr>
          <w:rFonts w:hint="cs"/>
          <w:rtl/>
        </w:rPr>
        <w:t>(בנושא זה נעשתה</w:t>
      </w:r>
      <w:r w:rsidRPr="000F09A5">
        <w:rPr>
          <w:rtl/>
        </w:rPr>
        <w:t xml:space="preserve"> ביקורת מעקב מורחבת</w:t>
      </w:r>
      <w:r>
        <w:rPr>
          <w:rFonts w:hint="cs"/>
          <w:rtl/>
        </w:rPr>
        <w:t>)</w:t>
      </w:r>
      <w:r w:rsidRPr="000F09A5">
        <w:rPr>
          <w:rtl/>
        </w:rPr>
        <w:t>.</w:t>
      </w:r>
    </w:p>
    <w:p w:rsidR="000A33BE" w:rsidRPr="000F09A5" w:rsidP="000A33BE">
      <w:pPr>
        <w:rPr>
          <w:rFonts w:ascii="Tahoma" w:hAnsi="Tahoma" w:cs="Tahoma"/>
          <w:sz w:val="16"/>
          <w:szCs w:val="20"/>
          <w:rtl/>
        </w:rPr>
      </w:pPr>
    </w:p>
    <w:p w:rsidR="000A33BE" w:rsidRPr="009806B0" w:rsidP="009806B0">
      <w:pPr>
        <w:pStyle w:val="7190"/>
        <w:rPr>
          <w:b/>
          <w:bCs/>
          <w:rtl/>
        </w:rPr>
      </w:pPr>
      <w:r w:rsidRPr="009806B0">
        <w:rPr>
          <w:b/>
          <w:bCs/>
          <w:rtl/>
        </w:rPr>
        <w:t>הכנתו של דוח זה, כמו קודמי</w:t>
      </w:r>
      <w:r w:rsidRPr="009806B0">
        <w:rPr>
          <w:rFonts w:hint="cs"/>
          <w:b/>
          <w:bCs/>
          <w:rtl/>
        </w:rPr>
        <w:t>ו</w:t>
      </w:r>
      <w:r w:rsidRPr="009806B0">
        <w:rPr>
          <w:b/>
          <w:bCs/>
          <w:rtl/>
        </w:rPr>
        <w:t xml:space="preserve">, הצריכה מאמץ רב </w:t>
      </w:r>
      <w:r w:rsidRPr="009806B0">
        <w:rPr>
          <w:rFonts w:hint="cs"/>
          <w:b/>
          <w:bCs/>
          <w:rtl/>
        </w:rPr>
        <w:t>של עובדי הביקורת במשרדי, ובייחוד בחטיבה לביקורת תחומי כלכלה ותשתיות לאומיות ובמטה</w:t>
      </w:r>
      <w:r w:rsidRPr="009806B0">
        <w:rPr>
          <w:b/>
          <w:bCs/>
          <w:rtl/>
        </w:rPr>
        <w:t xml:space="preserve">, אשר ממלאים את תפקידם הציבורי מתוך הרגשת שליחות של ממש. </w:t>
      </w:r>
      <w:r w:rsidRPr="009806B0">
        <w:rPr>
          <w:rFonts w:hint="cs"/>
          <w:b/>
          <w:bCs/>
          <w:rtl/>
        </w:rPr>
        <w:t>אלה</w:t>
      </w:r>
      <w:r w:rsidRPr="009806B0">
        <w:rPr>
          <w:b/>
          <w:bCs/>
          <w:rtl/>
        </w:rPr>
        <w:t xml:space="preserve"> עמלו על הכנתו במלוא המקצועיות והיסודיות, </w:t>
      </w:r>
      <w:r w:rsidRPr="009806B0">
        <w:rPr>
          <w:rFonts w:hint="cs"/>
          <w:b/>
          <w:bCs/>
          <w:rtl/>
        </w:rPr>
        <w:t>ו</w:t>
      </w:r>
      <w:r w:rsidRPr="009806B0">
        <w:rPr>
          <w:b/>
          <w:bCs/>
          <w:rtl/>
        </w:rPr>
        <w:t>תודתי נתונה להם.</w:t>
      </w:r>
    </w:p>
    <w:p w:rsidR="000A33BE" w:rsidRPr="000A33BE" w:rsidP="000A33BE">
      <w:pPr>
        <w:pStyle w:val="7190"/>
        <w:rPr>
          <w:rtl/>
        </w:rPr>
      </w:pPr>
      <w:r w:rsidRPr="000A33BE">
        <w:rPr>
          <w:rtl/>
        </w:rPr>
        <w:t xml:space="preserve">לא נעלם מעיניי כי בגופים המבוקרים נעשות פעולות חיוביות, והבולטות שבהן קיבלו ביטוי בפרקי הביקורת כנדרש בחוק מבקר המדינה. לצד זאת, מחובתם של גופים אלה לתקן את הליקויים </w:t>
      </w:r>
      <w:r w:rsidRPr="000A33BE">
        <w:rPr>
          <w:rFonts w:hint="cs"/>
          <w:rtl/>
        </w:rPr>
        <w:t>שצוינו</w:t>
      </w:r>
      <w:r w:rsidRPr="000A33BE">
        <w:rPr>
          <w:rtl/>
        </w:rPr>
        <w:t xml:space="preserve"> בדוח זה כדי לטייב את פעילותם וכדי לשפר את השירות לציבור בישראל. </w:t>
      </w:r>
    </w:p>
    <w:p w:rsidR="00A0272B" w:rsidP="00A0272B">
      <w:pPr>
        <w:spacing w:line="240" w:lineRule="exact"/>
        <w:rPr>
          <w:rFonts w:ascii="Tahoma" w:eastAsia="Calibri" w:hAnsi="Tahoma" w:cs="Tahoma"/>
          <w:sz w:val="18"/>
          <w:szCs w:val="18"/>
          <w:rtl/>
        </w:rPr>
      </w:pPr>
    </w:p>
    <w:p w:rsidR="002D707E" w:rsidP="00A0272B">
      <w:pPr>
        <w:spacing w:line="240" w:lineRule="exact"/>
        <w:rPr>
          <w:rFonts w:ascii="Tahoma" w:eastAsia="Calibri" w:hAnsi="Tahoma" w:cs="Tahoma"/>
          <w:sz w:val="18"/>
          <w:szCs w:val="18"/>
          <w:rtl/>
        </w:rPr>
      </w:pPr>
    </w:p>
    <w:p w:rsidR="002D707E" w:rsidP="00A0272B">
      <w:pPr>
        <w:spacing w:line="240" w:lineRule="exact"/>
        <w:rPr>
          <w:rFonts w:ascii="Tahoma" w:eastAsia="Calibri" w:hAnsi="Tahoma" w:cs="Tahoma"/>
          <w:sz w:val="18"/>
          <w:szCs w:val="18"/>
          <w:rtl/>
        </w:rPr>
      </w:pPr>
    </w:p>
    <w:p w:rsidR="00A0272B" w:rsidRPr="006613B0" w:rsidP="00A0272B">
      <w:pPr>
        <w:spacing w:line="240" w:lineRule="exact"/>
        <w:rPr>
          <w:rFonts w:ascii="Tahoma" w:eastAsia="Calibri" w:hAnsi="Tahoma" w:cs="Tahoma"/>
          <w:sz w:val="18"/>
          <w:szCs w:val="18"/>
          <w:rtl/>
        </w:rPr>
      </w:pPr>
    </w:p>
    <w:p w:rsidR="00A0272B" w:rsidRPr="00D70CA7" w:rsidP="00A0272B">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06083"/>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תמונה 29"/>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06083"/>
                    </a:xfrm>
                    <a:prstGeom prst="rect">
                      <a:avLst/>
                    </a:prstGeom>
                  </pic:spPr>
                </pic:pic>
              </a:graphicData>
            </a:graphic>
          </wp:inline>
        </w:drawing>
      </w:r>
    </w:p>
    <w:p w:rsidR="00A0272B" w:rsidRPr="001A7FEE" w:rsidP="00A0272B">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A0272B" w:rsidRPr="001A7FEE" w:rsidP="00CA1F5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A0272B" w:rsidP="00CA1F53">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522B69" w:rsidP="00CA1F53">
      <w:pPr>
        <w:widowControl w:val="0"/>
        <w:spacing w:line="276" w:lineRule="auto"/>
        <w:ind w:left="3402"/>
        <w:jc w:val="center"/>
        <w:rPr>
          <w:rFonts w:ascii="Tahoma" w:hAnsi="Tahoma" w:cs="Tahoma"/>
          <w:sz w:val="18"/>
          <w:szCs w:val="18"/>
          <w:rtl/>
          <w:lang w:eastAsia="he-IL"/>
        </w:rPr>
      </w:pPr>
    </w:p>
    <w:p w:rsidR="00522B69" w:rsidRPr="001A7FEE" w:rsidP="00CA1F53">
      <w:pPr>
        <w:widowControl w:val="0"/>
        <w:spacing w:line="276" w:lineRule="auto"/>
        <w:ind w:left="3402"/>
        <w:jc w:val="center"/>
        <w:rPr>
          <w:rFonts w:ascii="Tahoma" w:hAnsi="Tahoma" w:cs="Tahoma"/>
          <w:sz w:val="18"/>
          <w:szCs w:val="18"/>
          <w:rtl/>
          <w:lang w:eastAsia="he-IL"/>
        </w:rPr>
      </w:pPr>
    </w:p>
    <w:p w:rsidR="00D41E88" w:rsidP="00D41E88">
      <w:pPr>
        <w:spacing w:line="240" w:lineRule="exact"/>
        <w:rPr>
          <w:rFonts w:ascii="Tahoma" w:eastAsia="Calibri" w:hAnsi="Tahoma" w:cs="Tahoma"/>
          <w:sz w:val="18"/>
          <w:szCs w:val="18"/>
        </w:rPr>
      </w:pPr>
    </w:p>
    <w:p w:rsidR="00D947CE" w:rsidRPr="00D41E88" w:rsidP="00D41E88">
      <w:pPr>
        <w:spacing w:line="240" w:lineRule="exact"/>
        <w:rPr>
          <w:rFonts w:ascii="Tahoma" w:eastAsia="Calibri" w:hAnsi="Tahoma" w:cs="Tahoma"/>
          <w:sz w:val="18"/>
          <w:szCs w:val="18"/>
          <w:rtl/>
        </w:rPr>
      </w:pPr>
    </w:p>
    <w:p w:rsidR="002D707E" w:rsidRPr="00D41E88" w:rsidP="00D41E88">
      <w:pPr>
        <w:spacing w:line="240" w:lineRule="exact"/>
        <w:rPr>
          <w:rFonts w:ascii="Tahoma" w:eastAsia="Calibri" w:hAnsi="Tahoma" w:cs="Tahoma"/>
          <w:sz w:val="18"/>
          <w:szCs w:val="18"/>
          <w:rtl/>
        </w:rPr>
      </w:pPr>
    </w:p>
    <w:p w:rsidR="00A0272B" w:rsidRPr="00720CC7" w:rsidP="00A0272B">
      <w:pPr>
        <w:pStyle w:val="7190"/>
        <w:spacing w:line="360" w:lineRule="auto"/>
      </w:pPr>
      <w:r w:rsidRPr="00720CC7">
        <w:rPr>
          <w:rFonts w:hint="cs"/>
          <w:rtl/>
        </w:rPr>
        <w:t xml:space="preserve">ירושלים, </w:t>
      </w:r>
      <w:r w:rsidR="00F347C5">
        <w:rPr>
          <w:rFonts w:hint="cs"/>
          <w:rtl/>
        </w:rPr>
        <w:t>חשוון</w:t>
      </w:r>
      <w:r w:rsidRPr="00720CC7">
        <w:rPr>
          <w:rFonts w:hint="cs"/>
          <w:rtl/>
        </w:rPr>
        <w:t xml:space="preserve"> </w:t>
      </w:r>
      <w:r w:rsidRPr="00720CC7">
        <w:rPr>
          <w:rFonts w:hint="cs"/>
          <w:rtl/>
        </w:rPr>
        <w:t>התש</w:t>
      </w:r>
      <w:r w:rsidR="00F347C5">
        <w:rPr>
          <w:rFonts w:hint="cs"/>
          <w:rtl/>
        </w:rPr>
        <w:t>פ</w:t>
      </w:r>
      <w:r w:rsidRPr="00720CC7">
        <w:rPr>
          <w:rFonts w:hint="cs"/>
          <w:rtl/>
        </w:rPr>
        <w:t>"</w:t>
      </w:r>
      <w:r w:rsidR="00F347C5">
        <w:rPr>
          <w:rFonts w:hint="cs"/>
          <w:rtl/>
        </w:rPr>
        <w:t>ג</w:t>
      </w:r>
      <w:r w:rsidRPr="00720CC7">
        <w:rPr>
          <w:rFonts w:hint="cs"/>
          <w:rtl/>
        </w:rPr>
        <w:t xml:space="preserve">, </w:t>
      </w:r>
      <w:r w:rsidR="00F347C5">
        <w:rPr>
          <w:rFonts w:hint="cs"/>
          <w:rtl/>
        </w:rPr>
        <w:t>נובמבר</w:t>
      </w:r>
      <w:r w:rsidRPr="00720CC7">
        <w:rPr>
          <w:rFonts w:hint="cs"/>
          <w:rtl/>
        </w:rPr>
        <w:t xml:space="preserve"> </w:t>
      </w:r>
      <w:r w:rsidR="00BE3F2A">
        <w:rPr>
          <w:rFonts w:hint="cs"/>
          <w:rtl/>
        </w:rPr>
        <w:t>2022</w:t>
      </w:r>
    </w:p>
    <w:bookmarkStart w:id="0" w:name="_GoBack"/>
    <w:bookmarkEnd w:id="0"/>
    <w:p w:rsidR="00112923">
      <w:pPr>
        <w:bidi w:val="0"/>
        <w:spacing w:after="200" w:line="276" w:lineRule="auto"/>
        <w:rPr>
          <w:rFonts w:ascii="Arial Bold" w:hAnsi="Arial Bold" w:eastAsiaTheme="majorEastAsia" w:cs="Tahoma"/>
          <w:b/>
          <w:bCs/>
          <w:color w:val="00305F"/>
          <w:sz w:val="34"/>
          <w:szCs w:val="34"/>
          <w:rtl/>
          <w:lang w:bidi="ar-SA"/>
        </w:rPr>
      </w:pPr>
      <w:r>
        <w:rPr>
          <w:b/>
          <w:bCs/>
          <w:noProof/>
          <w:spacing w:val="86"/>
          <w:rtl/>
        </w:rPr>
        <mc:AlternateContent>
          <mc:Choice Requires="wps">
            <w:drawing>
              <wp:anchor distT="0" distB="0" distL="114300" distR="114300" simplePos="0" relativeHeight="251662336" behindDoc="0" locked="0" layoutInCell="1" allowOverlap="1">
                <wp:simplePos x="0" y="0"/>
                <wp:positionH relativeFrom="column">
                  <wp:posOffset>-606522</wp:posOffset>
                </wp:positionH>
                <wp:positionV relativeFrom="paragraph">
                  <wp:posOffset>7299701</wp:posOffset>
                </wp:positionV>
                <wp:extent cx="3528647" cy="504092"/>
                <wp:effectExtent l="0" t="0" r="2540" b="4445"/>
                <wp:wrapNone/>
                <wp:docPr id="590"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3" style="width:277.85pt;height:39.7pt;margin-top:574.8pt;margin-left:-47.7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p>
    <w:sectPr w:rsidSect="007A4C76">
      <w:headerReference w:type="default" r:id="rId22"/>
      <w:footerReference w:type="default" r:id="rId23"/>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041FD">
      <w:pPr>
        <w:spacing w:line="240" w:lineRule="auto"/>
      </w:pPr>
      <w:r>
        <w:separator/>
      </w:r>
    </w:p>
    <w:p w:rsidR="004041FD"/>
  </w:endnote>
  <w:endnote w:type="continuationSeparator" w:id="1">
    <w:p w:rsidR="004041FD">
      <w:pPr>
        <w:spacing w:line="240" w:lineRule="auto"/>
      </w:pPr>
      <w:r>
        <w:continuationSeparator/>
      </w:r>
    </w:p>
    <w:p w:rsidR="00404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charset w:val="00"/>
    <w:family w:val="script"/>
    <w:pitch w:val="variable"/>
    <w:sig w:usb0="800000AF" w:usb1="1000204A" w:usb2="00000000" w:usb3="00000000" w:csb0="0000001B"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7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Helvetica">
    <w:panose1 w:val="020B0604020202020204"/>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B27" w:rsidP="00421B27">
    <w:pPr>
      <w:pStyle w:val="Footer"/>
      <w:spacing w:after="120" w:line="312" w:lineRule="auto"/>
      <w:ind w:left="-510"/>
      <w:jc w:val="left"/>
      <w:rPr>
        <w:rFonts w:ascii="Tahoma" w:hAnsi="Tahoma" w:cs="Tahoma"/>
        <w:sz w:val="18"/>
        <w:szCs w:val="18"/>
        <w:rtl/>
      </w:rPr>
    </w:pPr>
  </w:p>
  <w:p w:rsidR="00421B27" w:rsidP="00421B2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Pr>
        <w:rFonts w:ascii="Tahoma" w:hAnsi="Tahoma" w:cs="Tahoma"/>
        <w:color w:val="004E6C"/>
        <w:sz w:val="18"/>
        <w:szCs w:val="18"/>
        <w:rtl/>
      </w:rPr>
      <w:tab/>
    </w:r>
  </w:p>
  <w:p w:rsidR="00421B27" w:rsidRPr="00421B27" w:rsidP="00421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7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41FD" w:rsidP="00C23CC9">
      <w:pPr>
        <w:spacing w:line="240" w:lineRule="auto"/>
      </w:pPr>
      <w:r>
        <w:separator/>
      </w:r>
    </w:p>
  </w:footnote>
  <w:footnote w:type="continuationSeparator" w:id="1">
    <w:p w:rsidR="004041FD" w:rsidP="00C23CC9">
      <w:pPr>
        <w:spacing w:line="240" w:lineRule="auto"/>
      </w:pPr>
      <w:r>
        <w:continuationSeparator/>
      </w:r>
    </w:p>
    <w:p w:rsidR="00404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F2565F">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82EA3" w:rsidRPr="00DE3ECA" w:rsidP="00E82EA3">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0272B">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DA4697" w:rsidP="00A33696">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85888" from="-122.4pt,30.05pt" to="362.75pt,30.05pt" strokecolor="#0d0d0d" strokeweight="0.25pt"/>
          </w:pict>
        </mc:Fallback>
      </mc:AlternateContent>
    </w:r>
    <w:r w:rsidR="00587631">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sidR="00587631">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RPr="00587631"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DA4697" w:rsidRPr="00587631" w:rsidP="006637B9" w14:paraId="7647DFBB"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pPr>
      <w:pStyle w:val="Header"/>
      <w:tabs>
        <w:tab w:val="left" w:pos="493"/>
        <w:tab w:val="center" w:pos="4111"/>
        <w:tab w:val="clear" w:pos="4153"/>
        <w:tab w:val="right" w:pos="7478"/>
        <w:tab w:val="right" w:pos="8222"/>
        <w:tab w:val="clear" w:pos="8306"/>
      </w:tabs>
      <w:jc w:val="left"/>
      <w:rPr>
        <w:rtl/>
      </w:rPr>
    </w:pPr>
  </w:p>
  <w:p w:rsidR="00DA4697" w:rsidP="00005B23">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84864" from="-4.4pt,50.4pt" to="524.85pt,50.4pt" strokecolor="#0d0d0d" strokeweight="0.25pt"/>
          </w:pict>
        </mc:Fallback>
      </mc:AlternateContent>
    </w:r>
  </w:p>
  <w:p w:rsidR="00DA4697" w:rsidRPr="001526AC" w:rsidP="00005B23">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rsidR="00B86B10" w:rsidRPr="004D562B" w:rsidP="00B86B10">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rsidR="00DA4697" w:rsidRPr="00B86B10" w:rsidP="00B244B0">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3.5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B86B10" w:rsidRPr="004D562B" w:rsidP="00B86B10" w14:paraId="0CD3565D" w14:textId="064ADAE5">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rsidR="00DA4697" w:rsidRPr="00B86B10" w:rsidP="00B244B0" w14:paraId="1CF273F4" w14:textId="3721DC5B">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5A" w:rsidP="006B15E1">
    <w:pPr>
      <w:pStyle w:val="Header"/>
    </w:pPr>
    <w:r>
      <w:rPr>
        <w:noProof/>
        <w:rt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76E5A" w:rsidRPr="00DE3ECA" w:rsidP="00A76E5A">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A76E5A" w:rsidRPr="00DE3ECA" w:rsidP="00A76E5A" w14:paraId="29421C89"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923"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F2565F">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rPr>
      <mc:AlternateContent>
        <mc:Choice Requires="wps">
          <w:drawing>
            <wp:anchor distT="0" distB="0" distL="114300" distR="114300" simplePos="0" relativeHeight="25167974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2923" w:rsidRPr="00DE3ECA" w:rsidP="00E82EA3">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112923" w:rsidRPr="00DE3ECA" w:rsidP="00E82EA3" w14:paraId="7E2783C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112923"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A33696">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112923" w:rsidRPr="00587631" w:rsidP="006637B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7" type="#_x0000_t202" style="width:261.2pt;height:22.1pt;margin-top:5.85pt;margin-left:112.4pt;mso-wrap-distance-bottom:0;mso-wrap-distance-left:9pt;mso-wrap-distance-right:9pt;mso-wrap-distance-top:0;mso-wrap-style:square;position:absolute;visibility:visible;v-text-anchor:top;z-index:251682816" stroked="f">
              <v:textbox style="mso-fit-shape-to-text:t">
                <w:txbxContent>
                  <w:p w:rsidR="00112923" w:rsidRPr="00587631" w:rsidP="006637B9" w14:paraId="25F944B1" w14:textId="50C3564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58" style="flip:x;mso-height-percent:0;mso-height-relative:margin;mso-width-percent:0;mso-width-relative:margin;mso-wrap-distance-bottom:0;mso-wrap-distance-left:9pt;mso-wrap-distance-right:9pt;mso-wrap-distance-top:0;mso-wrap-style:square;position:absolute;visibility:visible;z-index:251687936" from="-122.4pt,30.05pt" to="368.6pt,30.05pt" strokecolor="#0d0d0d" strokeweight="0.25pt"/>
          </w:pict>
        </mc:Fallback>
      </mc:AlternateContent>
    </w:r>
    <w:r>
      <w:rPr>
        <w:rFonts w:ascii="Tahoma" w:hAnsi="Tahoma" w:cs="Tahoma"/>
        <w:color w:val="002060"/>
        <w:sz w:val="18"/>
        <w:szCs w:val="18"/>
      </w:rPr>
      <w:tab/>
    </w:r>
    <w:r>
      <w:rPr>
        <w:rt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923" w:rsidP="001526AC">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67667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2923" w:rsidRPr="00DE3ECA" w:rsidP="00C8696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8784" filled="f" strokecolor="#a5a5a5" strokeweight="0.25pt">
              <v:stroke dashstyle="longDash"/>
              <v:textbox>
                <w:txbxContent>
                  <w:p w:rsidR="00112923" w:rsidRPr="00DE3ECA" w:rsidP="00C86967" w14:paraId="628DB1A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112923" w:rsidP="001526AC">
    <w:pPr>
      <w:pStyle w:val="Header"/>
      <w:tabs>
        <w:tab w:val="left" w:pos="493"/>
        <w:tab w:val="center" w:pos="4111"/>
        <w:tab w:val="clear" w:pos="4153"/>
        <w:tab w:val="right" w:pos="7478"/>
        <w:tab w:val="right" w:pos="8222"/>
        <w:tab w:val="clear" w:pos="8306"/>
      </w:tabs>
      <w:jc w:val="left"/>
      <w:rPr>
        <w:rtl/>
      </w:rPr>
    </w:pPr>
  </w:p>
  <w:p w:rsidR="00112923" w:rsidP="00005B23">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0" style="flip:x;mso-height-percent:0;mso-height-relative:margin;mso-width-percent:0;mso-width-relative:margin;mso-wrap-distance-bottom:0;mso-wrap-distance-left:9pt;mso-wrap-distance-right:9pt;mso-wrap-distance-top:0;mso-wrap-style:square;position:absolute;visibility:visible;z-index:251686912" from="-4.4pt,50.4pt" to="524.85pt,50.4pt" strokecolor="#0d0d0d" strokeweight="0.25pt"/>
          </w:pict>
        </mc:Fallback>
      </mc:AlternateContent>
    </w:r>
  </w:p>
  <w:p w:rsidR="00112923" w:rsidRPr="001526AC" w:rsidP="00005B23">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3600"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13176C" w:rsidRPr="00136A3E" w:rsidP="0013176C">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CF64A4">
                            <w:rPr>
                              <w:rFonts w:ascii="Tahoma" w:hAnsi="Tahoma" w:cs="Tahoma"/>
                              <w:color w:val="0D0D0D"/>
                              <w:sz w:val="16"/>
                              <w:szCs w:val="16"/>
                              <w:rtl/>
                            </w:rPr>
                            <w:t xml:space="preserve">נובמבר </w:t>
                          </w:r>
                          <w:r w:rsidRPr="00A80DC3">
                            <w:rPr>
                              <w:rFonts w:ascii="Tahoma" w:hAnsi="Tahoma" w:cs="Tahoma"/>
                              <w:color w:val="0D0D0D"/>
                              <w:sz w:val="16"/>
                              <w:szCs w:val="16"/>
                              <w:rtl/>
                            </w:rPr>
                            <w:t>2022</w:t>
                          </w:r>
                        </w:p>
                        <w:p w:rsidR="00112923" w:rsidRPr="0013176C" w:rsidP="00B244B0">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1"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74624" strokecolor="white">
              <v:textbox>
                <w:txbxContent>
                  <w:p w:rsidR="0013176C" w:rsidRPr="00136A3E" w:rsidP="0013176C" w14:paraId="53740E0C"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CF64A4">
                      <w:rPr>
                        <w:rFonts w:ascii="Tahoma" w:hAnsi="Tahoma" w:cs="Tahoma"/>
                        <w:color w:val="0D0D0D"/>
                        <w:sz w:val="16"/>
                        <w:szCs w:val="16"/>
                        <w:rtl/>
                      </w:rPr>
                      <w:t xml:space="preserve">נובמבר </w:t>
                    </w:r>
                    <w:r w:rsidRPr="00A80DC3">
                      <w:rPr>
                        <w:rFonts w:ascii="Tahoma" w:hAnsi="Tahoma" w:cs="Tahoma"/>
                        <w:color w:val="0D0D0D"/>
                        <w:sz w:val="16"/>
                        <w:szCs w:val="16"/>
                        <w:rtl/>
                      </w:rPr>
                      <w:t>2022</w:t>
                    </w:r>
                  </w:p>
                  <w:p w:rsidR="00112923" w:rsidRPr="0013176C" w:rsidP="00B244B0" w14:paraId="11D34C6B" w14:textId="1F54F5E2">
                    <w:pPr>
                      <w:jc w:val="right"/>
                      <w:rPr>
                        <w:color w:val="0D0D0D" w:themeColor="text1" w:themeTint="F2"/>
                        <w:sz w:val="16"/>
                        <w:szCs w:val="16"/>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45pt;height:590.4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6">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1">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2">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4">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2">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3">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9">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3"/>
  </w:num>
  <w:num w:numId="4">
    <w:abstractNumId w:val="29"/>
  </w:num>
  <w:num w:numId="5">
    <w:abstractNumId w:val="16"/>
  </w:num>
  <w:num w:numId="6">
    <w:abstractNumId w:val="18"/>
  </w:num>
  <w:num w:numId="7">
    <w:abstractNumId w:val="38"/>
  </w:num>
  <w:num w:numId="8">
    <w:abstractNumId w:val="1"/>
  </w:num>
  <w:num w:numId="9">
    <w:abstractNumId w:val="22"/>
  </w:num>
  <w:num w:numId="10">
    <w:abstractNumId w:val="5"/>
  </w:num>
  <w:num w:numId="11">
    <w:abstractNumId w:val="31"/>
  </w:num>
  <w:num w:numId="12">
    <w:abstractNumId w:val="4"/>
  </w:num>
  <w:num w:numId="13">
    <w:abstractNumId w:val="11"/>
  </w:num>
  <w:num w:numId="14">
    <w:abstractNumId w:val="32"/>
  </w:num>
  <w:num w:numId="15">
    <w:abstractNumId w:val="13"/>
  </w:num>
  <w:num w:numId="16">
    <w:abstractNumId w:val="34"/>
  </w:num>
  <w:num w:numId="17">
    <w:abstractNumId w:val="10"/>
  </w:num>
  <w:num w:numId="18">
    <w:abstractNumId w:val="2"/>
  </w:num>
  <w:num w:numId="19">
    <w:abstractNumId w:val="35"/>
  </w:num>
  <w:num w:numId="20">
    <w:abstractNumId w:val="24"/>
  </w:num>
  <w:num w:numId="21">
    <w:abstractNumId w:val="15"/>
  </w:num>
  <w:num w:numId="22">
    <w:abstractNumId w:val="0"/>
  </w:num>
  <w:num w:numId="23">
    <w:abstractNumId w:val="30"/>
  </w:num>
  <w:num w:numId="24">
    <w:abstractNumId w:val="3"/>
  </w:num>
  <w:num w:numId="25">
    <w:abstractNumId w:val="25"/>
  </w:num>
  <w:num w:numId="26">
    <w:abstractNumId w:val="37"/>
  </w:num>
  <w:num w:numId="27">
    <w:abstractNumId w:val="6"/>
  </w:num>
  <w:num w:numId="28">
    <w:abstractNumId w:val="7"/>
  </w:num>
  <w:num w:numId="29">
    <w:abstractNumId w:val="39"/>
  </w:num>
  <w:num w:numId="30">
    <w:abstractNumId w:val="21"/>
  </w:num>
  <w:num w:numId="31">
    <w:abstractNumId w:val="9"/>
  </w:num>
  <w:num w:numId="32">
    <w:abstractNumId w:val="8"/>
  </w:num>
  <w:num w:numId="33">
    <w:abstractNumId w:val="23"/>
  </w:num>
  <w:num w:numId="34">
    <w:abstractNumId w:val="27"/>
  </w:num>
  <w:num w:numId="35">
    <w:abstractNumId w:val="14"/>
  </w:num>
  <w:num w:numId="36">
    <w:abstractNumId w:val="20"/>
  </w:num>
  <w:num w:numId="37">
    <w:abstractNumId w:val="26"/>
  </w:num>
  <w:num w:numId="38">
    <w:abstractNumId w:val="36"/>
  </w:num>
  <w:num w:numId="39">
    <w:abstractNumId w:val="17"/>
  </w:num>
  <w:num w:numId="4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spelling="clean" w:grammar="clean"/>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C98"/>
    <w:rsid w:val="000E4D6A"/>
    <w:rsid w:val="000E4DF7"/>
    <w:rsid w:val="000E50E1"/>
    <w:rsid w:val="000E5149"/>
    <w:rsid w:val="000E5834"/>
    <w:rsid w:val="000E6198"/>
    <w:rsid w:val="000E64A1"/>
    <w:rsid w:val="000E6AAF"/>
    <w:rsid w:val="000E6F44"/>
    <w:rsid w:val="000E73AF"/>
    <w:rsid w:val="000E7622"/>
    <w:rsid w:val="000F09A5"/>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C84"/>
    <w:rsid w:val="00262A9E"/>
    <w:rsid w:val="00262C43"/>
    <w:rsid w:val="00263521"/>
    <w:rsid w:val="00263A1E"/>
    <w:rsid w:val="00263DB7"/>
    <w:rsid w:val="00265428"/>
    <w:rsid w:val="002654D1"/>
    <w:rsid w:val="00265EEE"/>
    <w:rsid w:val="00266618"/>
    <w:rsid w:val="00267D64"/>
    <w:rsid w:val="0027101D"/>
    <w:rsid w:val="0027121E"/>
    <w:rsid w:val="0027188F"/>
    <w:rsid w:val="002739B2"/>
    <w:rsid w:val="00273A52"/>
    <w:rsid w:val="0027424D"/>
    <w:rsid w:val="00275375"/>
    <w:rsid w:val="00275A79"/>
    <w:rsid w:val="00276563"/>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429B"/>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C7C97"/>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0E9"/>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3B0"/>
    <w:rsid w:val="006624F0"/>
    <w:rsid w:val="0066294A"/>
    <w:rsid w:val="0066318C"/>
    <w:rsid w:val="006637B9"/>
    <w:rsid w:val="00663AAC"/>
    <w:rsid w:val="00664533"/>
    <w:rsid w:val="0066498E"/>
    <w:rsid w:val="006659DD"/>
    <w:rsid w:val="00665B84"/>
    <w:rsid w:val="00665D54"/>
    <w:rsid w:val="006662AD"/>
    <w:rsid w:val="006668CA"/>
    <w:rsid w:val="006670B7"/>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C76"/>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27FC0"/>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51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0DC3"/>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33D"/>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774"/>
    <w:rsid w:val="00B739E0"/>
    <w:rsid w:val="00B741EF"/>
    <w:rsid w:val="00B747A2"/>
    <w:rsid w:val="00B75001"/>
    <w:rsid w:val="00B75D6E"/>
    <w:rsid w:val="00B75F72"/>
    <w:rsid w:val="00B76D04"/>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48C7"/>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148"/>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64A4"/>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91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5C2"/>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2EBD"/>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839"/>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514B"/>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ABC"/>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4C8A36D9"/>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 תו,FOOTNOTES תו1,Footnote Text - Sharp Char Char תו1,Footnote Text - Sharp Char תו1,Footnote Text - Sharp תו1,Footnote Text Char Char Char Char Char תו1,Footnote reference תו1,Sharp - Footnote Text תו1,fn תו1"/>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dit.mevaker.gov.il/" TargetMode="External"/><Relationship Id="rId26" Type="http://schemas.openxmlformats.org/officeDocument/2006/relationships/styles" Target="styles.xml"/><Relationship Id="rId8" Type="http://schemas.openxmlformats.org/officeDocument/2006/relationships/customXml" Target="../customXml/item3.xml"/><Relationship Id="rId21"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numbering" Target="numbering.xml"/><Relationship Id="rId7" Type="http://schemas.openxmlformats.org/officeDocument/2006/relationships/customXml" Target="../customXml/item2.xml"/><Relationship Id="rId16" Type="http://schemas.openxmlformats.org/officeDocument/2006/relationships/image" Target="media/image3.jpeg"/><Relationship Id="rId2" Type="http://schemas.openxmlformats.org/officeDocument/2006/relationships/endnotes" Target="endnotes.xml"/><Relationship Id="rId20" Type="http://schemas.openxmlformats.org/officeDocument/2006/relationships/header" Target="header5.xml"/><Relationship Id="rId1"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footer" Target="footer3.xml"/><Relationship Id="rId23" Type="http://schemas.openxmlformats.org/officeDocument/2006/relationships/footer" Target="footer4.xml"/><Relationship Id="rId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14" Type="http://schemas.openxmlformats.org/officeDocument/2006/relationships/header" Target="header3.xml"/><Relationship Id="rId22"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customXml" Target="../customXml/item4.xml"/></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1.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877C-5FE0-43D7-900F-F468CE4F77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3FFC50E4-435F-4395-BEC4-C045F2DB1108}"/>
</file>

<file path=customXml/itemProps4.xml><?xml version="1.0" encoding="utf-8"?>
<ds:datastoreItem xmlns:ds="http://schemas.openxmlformats.org/officeDocument/2006/customXml" ds:itemID="{176B108B-F15C-450A-B9EB-44613823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