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D1DD" w14:textId="3C14083F" w:rsidR="00A76E5A" w:rsidRPr="003F59C0" w:rsidRDefault="006B15E1" w:rsidP="006B15E1">
      <w:pPr>
        <w:pStyle w:val="7120"/>
        <w:spacing w:before="0" w:after="0"/>
        <w:jc w:val="right"/>
        <w:rPr>
          <w:sz w:val="32"/>
          <w:szCs w:val="32"/>
          <w:rtl/>
        </w:rPr>
      </w:pPr>
      <w:r>
        <w:rPr>
          <w:rFonts w:hint="cs"/>
          <w:sz w:val="32"/>
          <w:szCs w:val="32"/>
          <w:rtl/>
        </w:rPr>
        <w:t xml:space="preserve"> </w:t>
      </w:r>
      <w:r w:rsidR="00A76E5A" w:rsidRPr="003F59C0">
        <w:rPr>
          <w:rFonts w:hint="cs"/>
          <w:sz w:val="32"/>
          <w:szCs w:val="32"/>
          <w:rtl/>
        </w:rPr>
        <w:t>מבקר המדינה</w:t>
      </w:r>
    </w:p>
    <w:p w14:paraId="1929F4C9" w14:textId="2D986500" w:rsidR="00A76E5A" w:rsidRPr="003F59C0" w:rsidRDefault="006B15E1" w:rsidP="006B15E1">
      <w:pPr>
        <w:pStyle w:val="7120"/>
        <w:spacing w:before="0" w:after="0"/>
        <w:ind w:hanging="1"/>
        <w:jc w:val="right"/>
        <w:rPr>
          <w:b w:val="0"/>
          <w:bCs w:val="0"/>
          <w:spacing w:val="36"/>
          <w:sz w:val="30"/>
          <w:szCs w:val="30"/>
          <w:rtl/>
        </w:rPr>
      </w:pPr>
      <w:r>
        <w:rPr>
          <w:rFonts w:hint="cs"/>
          <w:b w:val="0"/>
          <w:bCs w:val="0"/>
          <w:spacing w:val="36"/>
          <w:sz w:val="30"/>
          <w:szCs w:val="30"/>
          <w:rtl/>
        </w:rPr>
        <w:t xml:space="preserve"> </w:t>
      </w:r>
      <w:r w:rsidR="00A76E5A" w:rsidRPr="003F59C0">
        <w:rPr>
          <w:rFonts w:hint="cs"/>
          <w:b w:val="0"/>
          <w:bCs w:val="0"/>
          <w:spacing w:val="36"/>
          <w:sz w:val="30"/>
          <w:szCs w:val="30"/>
          <w:rtl/>
        </w:rPr>
        <w:t>דוח שנתי 71ג</w:t>
      </w:r>
    </w:p>
    <w:p w14:paraId="79A09344" w14:textId="280F392A" w:rsidR="00E82EA3" w:rsidRPr="003F59C0" w:rsidRDefault="00B535DF" w:rsidP="006B15E1">
      <w:pPr>
        <w:pStyle w:val="7120"/>
        <w:spacing w:before="120"/>
        <w:ind w:hanging="1"/>
        <w:jc w:val="right"/>
        <w:rPr>
          <w:b w:val="0"/>
          <w:bCs w:val="0"/>
          <w:spacing w:val="88"/>
          <w:sz w:val="30"/>
          <w:szCs w:val="30"/>
          <w:rtl/>
        </w:rPr>
      </w:pPr>
      <w:r w:rsidRPr="003F59C0">
        <w:rPr>
          <w:rFonts w:hint="cs"/>
          <w:b w:val="0"/>
          <w:bCs w:val="0"/>
          <w:noProof/>
          <w:spacing w:val="88"/>
          <w:rtl/>
          <w:lang w:val="he-IL"/>
        </w:rPr>
        <mc:AlternateContent>
          <mc:Choice Requires="wps">
            <w:drawing>
              <wp:anchor distT="0" distB="0" distL="114300" distR="114300" simplePos="0" relativeHeight="251740672" behindDoc="0" locked="0" layoutInCell="1" allowOverlap="1" wp14:anchorId="1C0EDB2E" wp14:editId="621BEA94">
                <wp:simplePos x="0" y="0"/>
                <wp:positionH relativeFrom="column">
                  <wp:posOffset>-15240</wp:posOffset>
                </wp:positionH>
                <wp:positionV relativeFrom="paragraph">
                  <wp:posOffset>41910</wp:posOffset>
                </wp:positionV>
                <wp:extent cx="1424940" cy="0"/>
                <wp:effectExtent l="0" t="0" r="0" b="0"/>
                <wp:wrapNone/>
                <wp:docPr id="40" name="Straight Connector 40"/>
                <wp:cNvGraphicFramePr/>
                <a:graphic xmlns:a="http://schemas.openxmlformats.org/drawingml/2006/main">
                  <a:graphicData uri="http://schemas.microsoft.com/office/word/2010/wordprocessingShape">
                    <wps:wsp>
                      <wps:cNvCnPr/>
                      <wps:spPr>
                        <a:xfrm flipH="1">
                          <a:off x="0" y="0"/>
                          <a:ext cx="1424940"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693FFE" id="Straight Connector 40" o:spid="_x0000_s1026" style="position:absolute;left:0;text-align:left;flip:x;z-index:251740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3.3pt" to="11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" strokecolor="#00305f" strokeweight="1pt"/>
            </w:pict>
          </mc:Fallback>
        </mc:AlternateContent>
      </w:r>
      <w:r w:rsidR="006B15E1">
        <w:rPr>
          <w:rFonts w:hint="cs"/>
          <w:b w:val="0"/>
          <w:bCs w:val="0"/>
          <w:spacing w:val="88"/>
          <w:sz w:val="30"/>
          <w:szCs w:val="30"/>
          <w:rtl/>
        </w:rPr>
        <w:t xml:space="preserve">  </w:t>
      </w:r>
      <w:r w:rsidR="00A76E5A" w:rsidRPr="003F59C0">
        <w:rPr>
          <w:rFonts w:hint="cs"/>
          <w:b w:val="0"/>
          <w:bCs w:val="0"/>
          <w:spacing w:val="88"/>
          <w:sz w:val="30"/>
          <w:szCs w:val="30"/>
          <w:rtl/>
        </w:rPr>
        <w:t>כרך ראשון</w:t>
      </w:r>
    </w:p>
    <w:p w14:paraId="74C4190E" w14:textId="77777777" w:rsidR="00E82EA3" w:rsidRDefault="00E82EA3">
      <w:pPr>
        <w:bidi w:val="0"/>
        <w:spacing w:after="200" w:line="276" w:lineRule="auto"/>
        <w:rPr>
          <w:rFonts w:ascii="Tahoma" w:hAnsi="Tahoma" w:cs="Tahoma"/>
          <w:color w:val="00305F"/>
          <w:spacing w:val="86"/>
          <w:sz w:val="40"/>
          <w:szCs w:val="34"/>
        </w:rPr>
      </w:pPr>
      <w:r>
        <w:rPr>
          <w:b/>
          <w:bCs/>
          <w:spacing w:val="86"/>
          <w:rtl/>
        </w:rPr>
        <w:br w:type="page"/>
      </w:r>
    </w:p>
    <w:p w14:paraId="0C3CB364" w14:textId="5D59199E" w:rsidR="0019167B" w:rsidRDefault="00F0204B">
      <w:pPr>
        <w:bidi w:val="0"/>
        <w:spacing w:after="200" w:line="276" w:lineRule="auto"/>
        <w:rPr>
          <w:rFonts w:ascii="Tahoma" w:hAnsi="Tahoma" w:cs="Tahoma"/>
          <w:color w:val="00305F"/>
          <w:spacing w:val="86"/>
          <w:sz w:val="40"/>
          <w:szCs w:val="34"/>
          <w:rtl/>
        </w:rPr>
      </w:pPr>
      <w:r>
        <w:rPr>
          <w:b/>
          <w:bCs/>
          <w:noProof/>
          <w:spacing w:val="86"/>
          <w:rtl/>
          <w:lang w:val="he-IL"/>
        </w:rPr>
        <w:lastRenderedPageBreak/>
        <mc:AlternateContent>
          <mc:Choice Requires="wps">
            <w:drawing>
              <wp:anchor distT="0" distB="0" distL="114300" distR="114300" simplePos="0" relativeHeight="251760128" behindDoc="0" locked="0" layoutInCell="1" allowOverlap="1" wp14:anchorId="3E38AAA0" wp14:editId="49C02469">
                <wp:simplePos x="0" y="0"/>
                <wp:positionH relativeFrom="column">
                  <wp:posOffset>-1335405</wp:posOffset>
                </wp:positionH>
                <wp:positionV relativeFrom="paragraph">
                  <wp:posOffset>-858520</wp:posOffset>
                </wp:positionV>
                <wp:extent cx="7413625" cy="895350"/>
                <wp:effectExtent l="0" t="0" r="0" b="0"/>
                <wp:wrapNone/>
                <wp:docPr id="17" name="Rectangle 17"/>
                <wp:cNvGraphicFramePr/>
                <a:graphic xmlns:a="http://schemas.openxmlformats.org/drawingml/2006/main">
                  <a:graphicData uri="http://schemas.microsoft.com/office/word/2010/wordprocessingShape">
                    <wps:wsp>
                      <wps:cNvSpPr/>
                      <wps:spPr>
                        <a:xfrm>
                          <a:off x="0" y="0"/>
                          <a:ext cx="7413625" cy="895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3D337A" id="Rectangle 17" o:spid="_x0000_s1026" style="position:absolute;left:0;text-align:left;margin-left:-105.15pt;margin-top:-67.6pt;width:583.75pt;height:70.5pt;z-index:251760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" fillcolor="white [3212]" stroked="f" strokeweight="2pt"/>
            </w:pict>
          </mc:Fallback>
        </mc:AlternateContent>
      </w:r>
      <w:r w:rsidR="0019167B">
        <w:rPr>
          <w:b/>
          <w:bCs/>
          <w:spacing w:val="86"/>
          <w:rtl/>
        </w:rPr>
        <w:br w:type="page"/>
      </w:r>
    </w:p>
    <w:p w14:paraId="1F4B8C82" w14:textId="77777777" w:rsidR="00E82EA3" w:rsidRDefault="00E82EA3" w:rsidP="00B535DF">
      <w:pPr>
        <w:pStyle w:val="7120"/>
        <w:spacing w:before="120"/>
        <w:ind w:hanging="1"/>
        <w:jc w:val="right"/>
        <w:rPr>
          <w:b w:val="0"/>
          <w:bCs w:val="0"/>
          <w:spacing w:val="86"/>
          <w:rtl/>
        </w:rPr>
        <w:sectPr w:rsidR="00E82EA3" w:rsidSect="002970CC">
          <w:headerReference w:type="even" r:id="rId8"/>
          <w:headerReference w:type="default" r:id="rId9"/>
          <w:footerReference w:type="default" r:id="rId10"/>
          <w:headerReference w:type="first" r:id="rId11"/>
          <w:pgSz w:w="11906" w:h="16838" w:code="9"/>
          <w:pgMar w:top="3062" w:right="2268" w:bottom="2552" w:left="2268" w:header="1134" w:footer="1361" w:gutter="0"/>
          <w:cols w:space="720"/>
          <w:titlePg/>
          <w:bidi/>
          <w:rtlGutter/>
          <w:docGrid w:linePitch="272"/>
        </w:sectPr>
      </w:pPr>
    </w:p>
    <w:p w14:paraId="2691CAFE" w14:textId="0BFB7E27" w:rsidR="00E82EA3" w:rsidRDefault="003556E1" w:rsidP="00B535DF">
      <w:pPr>
        <w:pStyle w:val="7120"/>
        <w:spacing w:before="120"/>
        <w:ind w:hanging="1"/>
        <w:jc w:val="right"/>
        <w:rPr>
          <w:b w:val="0"/>
          <w:bCs w:val="0"/>
          <w:spacing w:val="86"/>
        </w:rPr>
      </w:pPr>
      <w:r>
        <w:rPr>
          <w:noProof/>
          <w:color w:val="002060"/>
          <w:sz w:val="18"/>
          <w:szCs w:val="18"/>
        </w:rPr>
        <w:lastRenderedPageBreak/>
        <w:drawing>
          <wp:anchor distT="0" distB="0" distL="114300" distR="114300" simplePos="0" relativeHeight="251742720" behindDoc="0" locked="0" layoutInCell="1" allowOverlap="1" wp14:anchorId="7EFC0A09" wp14:editId="46B03635">
            <wp:simplePos x="0" y="0"/>
            <wp:positionH relativeFrom="column">
              <wp:posOffset>2095500</wp:posOffset>
            </wp:positionH>
            <wp:positionV relativeFrom="paragraph">
              <wp:posOffset>92710</wp:posOffset>
            </wp:positionV>
            <wp:extent cx="431800" cy="518795"/>
            <wp:effectExtent l="0" t="0" r="6350" b="0"/>
            <wp:wrapNone/>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1800" cy="518795"/>
                    </a:xfrm>
                    <a:prstGeom prst="rect">
                      <a:avLst/>
                    </a:prstGeom>
                  </pic:spPr>
                </pic:pic>
              </a:graphicData>
            </a:graphic>
            <wp14:sizeRelH relativeFrom="margin">
              <wp14:pctWidth>0</wp14:pctWidth>
            </wp14:sizeRelH>
            <wp14:sizeRelV relativeFrom="margin">
              <wp14:pctHeight>0</wp14:pctHeight>
            </wp14:sizeRelV>
          </wp:anchor>
        </w:drawing>
      </w:r>
    </w:p>
    <w:p w14:paraId="789EDB20" w14:textId="34601368" w:rsidR="00A76E5A" w:rsidRDefault="00A76E5A" w:rsidP="00B535DF">
      <w:pPr>
        <w:pStyle w:val="7120"/>
        <w:spacing w:before="120"/>
        <w:ind w:hanging="1"/>
        <w:jc w:val="right"/>
        <w:rPr>
          <w:b w:val="0"/>
          <w:bCs w:val="0"/>
          <w:spacing w:val="86"/>
          <w:rtl/>
        </w:rPr>
      </w:pPr>
    </w:p>
    <w:p w14:paraId="6107C4ED" w14:textId="77777777" w:rsidR="000F0FAA" w:rsidRDefault="000F0FAA" w:rsidP="000F0FAA">
      <w:pPr>
        <w:pStyle w:val="12021"/>
        <w:spacing w:before="480"/>
        <w:rPr>
          <w:sz w:val="52"/>
          <w:szCs w:val="52"/>
          <w:rtl/>
        </w:rPr>
      </w:pPr>
    </w:p>
    <w:p w14:paraId="1B4F657B" w14:textId="4D0EBB1E" w:rsidR="00E82EA3" w:rsidRPr="000F0FAA" w:rsidRDefault="00C32B66" w:rsidP="000F0FAA">
      <w:pPr>
        <w:pStyle w:val="12021"/>
        <w:spacing w:before="480"/>
        <w:rPr>
          <w:sz w:val="52"/>
          <w:szCs w:val="52"/>
          <w:rtl/>
        </w:rPr>
      </w:pPr>
      <w:r w:rsidRPr="000F0FAA">
        <w:rPr>
          <w:rFonts w:hint="cs"/>
          <w:sz w:val="52"/>
          <w:szCs w:val="52"/>
          <w:rtl/>
        </w:rPr>
        <w:t>מבקר המדינה</w:t>
      </w:r>
    </w:p>
    <w:p w14:paraId="67DDA967" w14:textId="1B5F4238" w:rsidR="00C32B66" w:rsidRPr="001D49E8" w:rsidRDefault="00C32B66" w:rsidP="003556E1">
      <w:pPr>
        <w:pStyle w:val="7120"/>
        <w:spacing w:before="120" w:after="360"/>
        <w:jc w:val="center"/>
        <w:rPr>
          <w:b w:val="0"/>
          <w:bCs w:val="0"/>
          <w:spacing w:val="52"/>
          <w:sz w:val="50"/>
          <w:szCs w:val="50"/>
          <w:rtl/>
        </w:rPr>
      </w:pPr>
      <w:r w:rsidRPr="001D49E8">
        <w:rPr>
          <w:rFonts w:hint="cs"/>
          <w:b w:val="0"/>
          <w:bCs w:val="0"/>
          <w:noProof/>
          <w:spacing w:val="52"/>
          <w:sz w:val="50"/>
          <w:szCs w:val="50"/>
          <w:rtl/>
          <w:lang w:val="he-IL"/>
        </w:rPr>
        <mc:AlternateContent>
          <mc:Choice Requires="wps">
            <w:drawing>
              <wp:anchor distT="0" distB="0" distL="114300" distR="114300" simplePos="0" relativeHeight="251744768" behindDoc="0" locked="0" layoutInCell="1" allowOverlap="1" wp14:anchorId="39EB87CB" wp14:editId="7BF13495">
                <wp:simplePos x="0" y="0"/>
                <wp:positionH relativeFrom="column">
                  <wp:posOffset>1196340</wp:posOffset>
                </wp:positionH>
                <wp:positionV relativeFrom="paragraph">
                  <wp:posOffset>339090</wp:posOffset>
                </wp:positionV>
                <wp:extent cx="2247900" cy="0"/>
                <wp:effectExtent l="0" t="0" r="0" b="0"/>
                <wp:wrapNone/>
                <wp:docPr id="580" name="Straight Connector 580"/>
                <wp:cNvGraphicFramePr/>
                <a:graphic xmlns:a="http://schemas.openxmlformats.org/drawingml/2006/main">
                  <a:graphicData uri="http://schemas.microsoft.com/office/word/2010/wordprocessingShape">
                    <wps:wsp>
                      <wps:cNvCnPr/>
                      <wps:spPr>
                        <a:xfrm flipH="1">
                          <a:off x="0" y="0"/>
                          <a:ext cx="2247900"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880C17" id="Straight Connector 580" o:spid="_x0000_s1026" style="position:absolute;left:0;text-align:left;flip:x;z-index:25174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2pt,26.7pt" to="271.2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" strokecolor="#00305f" strokeweight="1.5pt"/>
            </w:pict>
          </mc:Fallback>
        </mc:AlternateContent>
      </w:r>
      <w:r w:rsidRPr="001D49E8">
        <w:rPr>
          <w:rFonts w:hint="cs"/>
          <w:b w:val="0"/>
          <w:bCs w:val="0"/>
          <w:spacing w:val="52"/>
          <w:sz w:val="50"/>
          <w:szCs w:val="50"/>
          <w:rtl/>
        </w:rPr>
        <w:t>דוח שנתי 71ג</w:t>
      </w:r>
    </w:p>
    <w:p w14:paraId="1E0A7CF6" w14:textId="2CFDD797" w:rsidR="00C32B66" w:rsidRPr="00976119" w:rsidRDefault="00C32B66" w:rsidP="00C32B66">
      <w:pPr>
        <w:pStyle w:val="7120"/>
        <w:spacing w:before="120"/>
        <w:ind w:hanging="1"/>
        <w:jc w:val="center"/>
        <w:rPr>
          <w:b w:val="0"/>
          <w:bCs w:val="0"/>
          <w:spacing w:val="140"/>
          <w:sz w:val="50"/>
          <w:szCs w:val="50"/>
          <w:rtl/>
        </w:rPr>
      </w:pPr>
      <w:r w:rsidRPr="00976119">
        <w:rPr>
          <w:rFonts w:hint="cs"/>
          <w:b w:val="0"/>
          <w:bCs w:val="0"/>
          <w:spacing w:val="140"/>
          <w:sz w:val="50"/>
          <w:szCs w:val="50"/>
          <w:rtl/>
        </w:rPr>
        <w:t>כרך ראשון</w:t>
      </w:r>
    </w:p>
    <w:p w14:paraId="54C6801D" w14:textId="77777777" w:rsidR="00035688" w:rsidRDefault="00035688" w:rsidP="00BA14FE">
      <w:pPr>
        <w:spacing w:line="240" w:lineRule="atLeast"/>
        <w:rPr>
          <w:rFonts w:ascii="Tahoma" w:hAnsi="Tahoma" w:cs="Tahoma"/>
          <w:sz w:val="22"/>
          <w:szCs w:val="22"/>
          <w:rtl/>
        </w:rPr>
      </w:pPr>
    </w:p>
    <w:p w14:paraId="056AC312" w14:textId="77777777" w:rsidR="009C0D3F" w:rsidRDefault="009C0D3F" w:rsidP="00BA14FE">
      <w:pPr>
        <w:spacing w:line="240" w:lineRule="atLeast"/>
        <w:rPr>
          <w:rFonts w:ascii="Tahoma" w:hAnsi="Tahoma" w:cs="Tahoma"/>
          <w:sz w:val="22"/>
          <w:szCs w:val="22"/>
          <w:rtl/>
        </w:rPr>
      </w:pPr>
    </w:p>
    <w:p w14:paraId="4B149749" w14:textId="77777777" w:rsidR="009C0D3F" w:rsidRDefault="009C0D3F" w:rsidP="00BA14FE">
      <w:pPr>
        <w:spacing w:line="240" w:lineRule="atLeast"/>
        <w:rPr>
          <w:rFonts w:ascii="Tahoma" w:hAnsi="Tahoma" w:cs="Tahoma"/>
          <w:sz w:val="22"/>
          <w:szCs w:val="22"/>
          <w:rtl/>
        </w:rPr>
      </w:pPr>
    </w:p>
    <w:p w14:paraId="4A9449C4" w14:textId="77777777" w:rsidR="009C0D3F" w:rsidRDefault="009C0D3F" w:rsidP="00BA14FE">
      <w:pPr>
        <w:spacing w:line="240" w:lineRule="atLeast"/>
        <w:rPr>
          <w:rFonts w:ascii="Tahoma" w:hAnsi="Tahoma" w:cs="Tahoma"/>
          <w:sz w:val="22"/>
          <w:szCs w:val="22"/>
          <w:rtl/>
        </w:rPr>
      </w:pPr>
    </w:p>
    <w:p w14:paraId="3D7DFA0C" w14:textId="77777777" w:rsidR="009C0D3F" w:rsidRDefault="009C0D3F" w:rsidP="00BA14FE">
      <w:pPr>
        <w:spacing w:line="240" w:lineRule="atLeast"/>
        <w:rPr>
          <w:rFonts w:ascii="Tahoma" w:hAnsi="Tahoma" w:cs="Tahoma"/>
          <w:sz w:val="22"/>
          <w:szCs w:val="22"/>
          <w:rtl/>
        </w:rPr>
      </w:pPr>
    </w:p>
    <w:p w14:paraId="6B694F7D" w14:textId="77777777" w:rsidR="009C0D3F" w:rsidRDefault="009C0D3F" w:rsidP="00BA14FE">
      <w:pPr>
        <w:spacing w:line="240" w:lineRule="atLeast"/>
        <w:rPr>
          <w:rFonts w:ascii="Tahoma" w:hAnsi="Tahoma" w:cs="Tahoma"/>
          <w:sz w:val="22"/>
          <w:szCs w:val="22"/>
          <w:rtl/>
        </w:rPr>
      </w:pPr>
    </w:p>
    <w:p w14:paraId="31CB4AA5" w14:textId="77777777" w:rsidR="009C0D3F" w:rsidRDefault="009C0D3F" w:rsidP="00BA14FE">
      <w:pPr>
        <w:spacing w:line="240" w:lineRule="atLeast"/>
        <w:rPr>
          <w:rFonts w:ascii="Tahoma" w:hAnsi="Tahoma" w:cs="Tahoma"/>
          <w:sz w:val="22"/>
          <w:szCs w:val="22"/>
          <w:rtl/>
        </w:rPr>
      </w:pPr>
    </w:p>
    <w:p w14:paraId="6E587D0B" w14:textId="77777777" w:rsidR="009C0D3F" w:rsidRDefault="009C0D3F" w:rsidP="00BA14FE">
      <w:pPr>
        <w:spacing w:line="240" w:lineRule="atLeast"/>
        <w:rPr>
          <w:rFonts w:ascii="Tahoma" w:hAnsi="Tahoma" w:cs="Tahoma"/>
          <w:sz w:val="22"/>
          <w:szCs w:val="22"/>
          <w:rtl/>
        </w:rPr>
      </w:pPr>
    </w:p>
    <w:p w14:paraId="551BDCBA" w14:textId="77777777" w:rsidR="009C0D3F" w:rsidRDefault="009C0D3F" w:rsidP="00BA14FE">
      <w:pPr>
        <w:spacing w:line="240" w:lineRule="atLeast"/>
        <w:rPr>
          <w:rFonts w:ascii="Tahoma" w:hAnsi="Tahoma" w:cs="Tahoma"/>
          <w:sz w:val="22"/>
          <w:szCs w:val="22"/>
          <w:rtl/>
        </w:rPr>
      </w:pPr>
    </w:p>
    <w:p w14:paraId="0DDD10FB" w14:textId="77777777" w:rsidR="009C0D3F" w:rsidRDefault="009C0D3F" w:rsidP="00BA14FE">
      <w:pPr>
        <w:spacing w:line="240" w:lineRule="atLeast"/>
        <w:rPr>
          <w:rFonts w:ascii="Tahoma" w:hAnsi="Tahoma" w:cs="Tahoma"/>
          <w:sz w:val="22"/>
          <w:szCs w:val="22"/>
          <w:rtl/>
        </w:rPr>
      </w:pPr>
    </w:p>
    <w:p w14:paraId="7E860458" w14:textId="77777777" w:rsidR="009C0D3F" w:rsidRDefault="009C0D3F" w:rsidP="00BA14FE">
      <w:pPr>
        <w:spacing w:line="240" w:lineRule="atLeast"/>
        <w:rPr>
          <w:rFonts w:ascii="Tahoma" w:hAnsi="Tahoma" w:cs="Tahoma"/>
          <w:sz w:val="22"/>
          <w:szCs w:val="22"/>
          <w:rtl/>
        </w:rPr>
      </w:pPr>
    </w:p>
    <w:p w14:paraId="19D00A26" w14:textId="77777777" w:rsidR="009C0D3F" w:rsidRDefault="009C0D3F" w:rsidP="00BA14FE">
      <w:pPr>
        <w:spacing w:line="240" w:lineRule="atLeast"/>
        <w:rPr>
          <w:rFonts w:ascii="Tahoma" w:hAnsi="Tahoma" w:cs="Tahoma"/>
          <w:sz w:val="22"/>
          <w:szCs w:val="22"/>
          <w:rtl/>
        </w:rPr>
      </w:pPr>
    </w:p>
    <w:p w14:paraId="004706C2" w14:textId="77777777" w:rsidR="009C0D3F" w:rsidRDefault="009C0D3F" w:rsidP="00BA14FE">
      <w:pPr>
        <w:spacing w:line="240" w:lineRule="atLeast"/>
        <w:rPr>
          <w:rFonts w:ascii="Tahoma" w:hAnsi="Tahoma" w:cs="Tahoma"/>
          <w:sz w:val="22"/>
          <w:szCs w:val="22"/>
          <w:rtl/>
        </w:rPr>
      </w:pPr>
    </w:p>
    <w:p w14:paraId="4FCD524B" w14:textId="77777777" w:rsidR="009C0D3F" w:rsidRDefault="009C0D3F" w:rsidP="00BA14FE">
      <w:pPr>
        <w:spacing w:line="240" w:lineRule="atLeast"/>
        <w:rPr>
          <w:rFonts w:ascii="Tahoma" w:hAnsi="Tahoma" w:cs="Tahoma"/>
          <w:sz w:val="22"/>
          <w:szCs w:val="22"/>
          <w:rtl/>
        </w:rPr>
      </w:pPr>
    </w:p>
    <w:p w14:paraId="735E4AA0" w14:textId="77777777" w:rsidR="009C0D3F" w:rsidRDefault="009C0D3F" w:rsidP="00BA14FE">
      <w:pPr>
        <w:spacing w:line="240" w:lineRule="atLeast"/>
        <w:rPr>
          <w:rFonts w:ascii="Tahoma" w:hAnsi="Tahoma" w:cs="Tahoma"/>
          <w:sz w:val="22"/>
          <w:szCs w:val="22"/>
          <w:rtl/>
        </w:rPr>
      </w:pPr>
    </w:p>
    <w:p w14:paraId="220D50AA" w14:textId="77777777" w:rsidR="009C0D3F" w:rsidRDefault="009C0D3F" w:rsidP="00BA14FE">
      <w:pPr>
        <w:spacing w:line="240" w:lineRule="atLeast"/>
        <w:rPr>
          <w:rFonts w:ascii="Tahoma" w:hAnsi="Tahoma" w:cs="Tahoma"/>
          <w:sz w:val="22"/>
          <w:szCs w:val="22"/>
          <w:rtl/>
        </w:rPr>
      </w:pPr>
    </w:p>
    <w:p w14:paraId="6493080B" w14:textId="36D51C69" w:rsidR="009C0D3F" w:rsidRDefault="009C0D3F" w:rsidP="00BA14FE">
      <w:pPr>
        <w:spacing w:line="240" w:lineRule="atLeast"/>
        <w:rPr>
          <w:rFonts w:ascii="Tahoma" w:hAnsi="Tahoma" w:cs="Tahoma"/>
          <w:sz w:val="22"/>
          <w:szCs w:val="22"/>
          <w:rtl/>
        </w:rPr>
      </w:pPr>
    </w:p>
    <w:p w14:paraId="14A3F766" w14:textId="28AFBA6B" w:rsidR="009C0D3F" w:rsidRDefault="00976119" w:rsidP="00BA14FE">
      <w:pPr>
        <w:spacing w:line="240" w:lineRule="atLeast"/>
        <w:rPr>
          <w:rFonts w:ascii="Tahoma" w:hAnsi="Tahoma" w:cs="Tahoma"/>
          <w:sz w:val="22"/>
          <w:szCs w:val="22"/>
          <w:rtl/>
        </w:rPr>
      </w:pPr>
      <w:r>
        <w:rPr>
          <w:rFonts w:ascii="Tahoma" w:hAnsi="Tahoma" w:cs="Tahoma"/>
          <w:noProof/>
          <w:sz w:val="22"/>
          <w:szCs w:val="22"/>
          <w:rtl/>
          <w:lang w:val="he-IL"/>
        </w:rPr>
        <w:drawing>
          <wp:anchor distT="0" distB="0" distL="114300" distR="114300" simplePos="0" relativeHeight="251746816" behindDoc="0" locked="0" layoutInCell="1" allowOverlap="1" wp14:anchorId="7617118E" wp14:editId="4B6B3A46">
            <wp:simplePos x="0" y="0"/>
            <wp:positionH relativeFrom="column">
              <wp:posOffset>1878965</wp:posOffset>
            </wp:positionH>
            <wp:positionV relativeFrom="paragraph">
              <wp:posOffset>85090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260836E0" w14:textId="5D9050F3" w:rsidR="009C0D3F" w:rsidRDefault="009C0D3F" w:rsidP="00BA14FE">
      <w:pPr>
        <w:spacing w:line="240" w:lineRule="atLeast"/>
        <w:rPr>
          <w:rFonts w:ascii="Tahoma" w:hAnsi="Tahoma" w:cs="Tahoma"/>
          <w:sz w:val="22"/>
          <w:szCs w:val="22"/>
          <w:rtl/>
        </w:rPr>
      </w:pPr>
    </w:p>
    <w:p w14:paraId="11198336" w14:textId="77777777" w:rsidR="009C0D3F" w:rsidRDefault="009C0D3F" w:rsidP="00BA14FE">
      <w:pPr>
        <w:spacing w:line="240" w:lineRule="atLeast"/>
        <w:rPr>
          <w:rFonts w:ascii="Tahoma" w:hAnsi="Tahoma" w:cs="Tahoma"/>
          <w:sz w:val="22"/>
          <w:szCs w:val="22"/>
          <w:rtl/>
        </w:rPr>
      </w:pPr>
    </w:p>
    <w:p w14:paraId="0B4A98AF" w14:textId="77777777" w:rsidR="009C0D3F" w:rsidRDefault="009C0D3F" w:rsidP="00BA14FE">
      <w:pPr>
        <w:spacing w:line="240" w:lineRule="atLeast"/>
        <w:rPr>
          <w:rFonts w:ascii="Tahoma" w:hAnsi="Tahoma" w:cs="Tahoma"/>
          <w:sz w:val="22"/>
          <w:szCs w:val="22"/>
          <w:rtl/>
        </w:rPr>
      </w:pPr>
    </w:p>
    <w:p w14:paraId="1552CA9B" w14:textId="77777777" w:rsidR="009C0D3F" w:rsidRDefault="009C0D3F" w:rsidP="00BA14FE">
      <w:pPr>
        <w:spacing w:line="240" w:lineRule="atLeast"/>
        <w:rPr>
          <w:rFonts w:ascii="Tahoma" w:hAnsi="Tahoma" w:cs="Tahoma"/>
          <w:sz w:val="22"/>
          <w:szCs w:val="22"/>
          <w:rtl/>
        </w:rPr>
      </w:pPr>
    </w:p>
    <w:p w14:paraId="6303BB99" w14:textId="77777777" w:rsidR="009C0D3F" w:rsidRDefault="009C0D3F" w:rsidP="00BA14FE">
      <w:pPr>
        <w:spacing w:line="240" w:lineRule="atLeast"/>
        <w:rPr>
          <w:rFonts w:ascii="Tahoma" w:hAnsi="Tahoma" w:cs="Tahoma"/>
          <w:sz w:val="22"/>
          <w:szCs w:val="22"/>
          <w:rtl/>
        </w:rPr>
      </w:pPr>
    </w:p>
    <w:p w14:paraId="4090303B" w14:textId="689CF835" w:rsidR="00275375" w:rsidRDefault="009C0D3F" w:rsidP="009C0D3F">
      <w:pPr>
        <w:spacing w:line="240" w:lineRule="atLeast"/>
        <w:jc w:val="center"/>
        <w:rPr>
          <w:rFonts w:ascii="Tahoma" w:hAnsi="Tahoma" w:cs="Tahoma"/>
          <w:sz w:val="24"/>
          <w:rtl/>
        </w:rPr>
      </w:pPr>
      <w:r w:rsidRPr="009C0D3F">
        <w:rPr>
          <w:rFonts w:ascii="Tahoma" w:hAnsi="Tahoma" w:cs="Tahoma" w:hint="cs"/>
          <w:sz w:val="24"/>
          <w:rtl/>
        </w:rPr>
        <w:t xml:space="preserve">ירושלים    |    </w:t>
      </w:r>
      <w:r w:rsidR="00AE418B">
        <w:rPr>
          <w:rFonts w:ascii="Tahoma" w:hAnsi="Tahoma" w:cs="Tahoma" w:hint="cs"/>
          <w:sz w:val="24"/>
          <w:rtl/>
        </w:rPr>
        <w:t>אייר</w:t>
      </w:r>
      <w:r w:rsidRPr="009C0D3F">
        <w:rPr>
          <w:rFonts w:ascii="Tahoma" w:hAnsi="Tahoma" w:cs="Tahoma" w:hint="cs"/>
          <w:sz w:val="24"/>
          <w:rtl/>
        </w:rPr>
        <w:t xml:space="preserve"> התשפ"א    |    </w:t>
      </w:r>
      <w:r w:rsidR="00AE418B">
        <w:rPr>
          <w:rFonts w:ascii="Tahoma" w:hAnsi="Tahoma" w:cs="Tahoma" w:hint="cs"/>
          <w:sz w:val="24"/>
          <w:rtl/>
        </w:rPr>
        <w:t>מאי</w:t>
      </w:r>
      <w:r w:rsidRPr="009C0D3F">
        <w:rPr>
          <w:rFonts w:ascii="Tahoma" w:hAnsi="Tahoma" w:cs="Tahoma" w:hint="cs"/>
          <w:sz w:val="24"/>
          <w:rtl/>
        </w:rPr>
        <w:t xml:space="preserve"> 2021      </w:t>
      </w:r>
    </w:p>
    <w:p w14:paraId="0FD2778B" w14:textId="3C86E79C" w:rsidR="00275375" w:rsidRDefault="00275375">
      <w:pPr>
        <w:bidi w:val="0"/>
        <w:spacing w:after="200" w:line="276" w:lineRule="auto"/>
        <w:rPr>
          <w:rFonts w:ascii="Tahoma" w:hAnsi="Tahoma" w:cs="Tahoma"/>
          <w:sz w:val="24"/>
        </w:rPr>
      </w:pPr>
    </w:p>
    <w:p w14:paraId="27312FCE" w14:textId="77777777" w:rsidR="00F0204B" w:rsidRDefault="00F0204B" w:rsidP="00977579">
      <w:pPr>
        <w:pStyle w:val="7190"/>
        <w:jc w:val="center"/>
        <w:rPr>
          <w:rtl/>
        </w:rPr>
        <w:sectPr w:rsidR="00F0204B" w:rsidSect="002970CC">
          <w:pgSz w:w="11906" w:h="16838" w:code="9"/>
          <w:pgMar w:top="3062" w:right="2268" w:bottom="2552" w:left="2268" w:header="1134" w:footer="1361" w:gutter="0"/>
          <w:cols w:space="720"/>
          <w:titlePg/>
          <w:bidi/>
          <w:rtlGutter/>
          <w:docGrid w:linePitch="272"/>
        </w:sectPr>
      </w:pPr>
    </w:p>
    <w:p w14:paraId="4D259DBD" w14:textId="31586541" w:rsidR="00977579" w:rsidRDefault="00977579" w:rsidP="00977579">
      <w:pPr>
        <w:pStyle w:val="7190"/>
        <w:jc w:val="center"/>
        <w:rPr>
          <w:rtl/>
        </w:rPr>
      </w:pPr>
    </w:p>
    <w:p w14:paraId="10EB9738" w14:textId="77777777" w:rsidR="00977579" w:rsidRDefault="00977579" w:rsidP="00977579">
      <w:pPr>
        <w:pStyle w:val="7190"/>
        <w:jc w:val="center"/>
        <w:rPr>
          <w:rtl/>
        </w:rPr>
      </w:pPr>
    </w:p>
    <w:p w14:paraId="721366B6" w14:textId="77777777" w:rsidR="00977579" w:rsidRDefault="00977579" w:rsidP="00977579">
      <w:pPr>
        <w:pStyle w:val="7190"/>
        <w:jc w:val="center"/>
        <w:rPr>
          <w:rtl/>
        </w:rPr>
      </w:pPr>
    </w:p>
    <w:p w14:paraId="6E269C4C" w14:textId="77777777" w:rsidR="00977579" w:rsidRDefault="00977579" w:rsidP="00977579">
      <w:pPr>
        <w:pStyle w:val="7190"/>
        <w:jc w:val="center"/>
        <w:rPr>
          <w:rtl/>
        </w:rPr>
      </w:pPr>
    </w:p>
    <w:p w14:paraId="72E5F3ED" w14:textId="77777777" w:rsidR="00977579" w:rsidRDefault="00977579" w:rsidP="00977579">
      <w:pPr>
        <w:pStyle w:val="7190"/>
        <w:jc w:val="center"/>
        <w:rPr>
          <w:rtl/>
        </w:rPr>
      </w:pPr>
    </w:p>
    <w:p w14:paraId="7848AF06" w14:textId="77777777" w:rsidR="00977579" w:rsidRDefault="00977579" w:rsidP="00977579">
      <w:pPr>
        <w:pStyle w:val="7190"/>
        <w:jc w:val="center"/>
        <w:rPr>
          <w:rtl/>
        </w:rPr>
      </w:pPr>
    </w:p>
    <w:p w14:paraId="28239249" w14:textId="77777777" w:rsidR="00977579" w:rsidRDefault="00977579" w:rsidP="00977579">
      <w:pPr>
        <w:pStyle w:val="7190"/>
        <w:jc w:val="center"/>
        <w:rPr>
          <w:rtl/>
        </w:rPr>
      </w:pPr>
    </w:p>
    <w:p w14:paraId="2BD7E89C" w14:textId="77777777" w:rsidR="00977579" w:rsidRDefault="00977579" w:rsidP="00977579">
      <w:pPr>
        <w:pStyle w:val="7190"/>
        <w:jc w:val="center"/>
        <w:rPr>
          <w:rtl/>
        </w:rPr>
      </w:pPr>
    </w:p>
    <w:p w14:paraId="3FAA902E" w14:textId="77777777" w:rsidR="00977579" w:rsidRDefault="00977579" w:rsidP="00977579">
      <w:pPr>
        <w:pStyle w:val="7190"/>
        <w:jc w:val="center"/>
        <w:rPr>
          <w:rtl/>
        </w:rPr>
      </w:pPr>
    </w:p>
    <w:p w14:paraId="38B1896A" w14:textId="77777777" w:rsidR="00977579" w:rsidRDefault="00977579" w:rsidP="00977579">
      <w:pPr>
        <w:pStyle w:val="7190"/>
        <w:jc w:val="center"/>
        <w:rPr>
          <w:rtl/>
        </w:rPr>
      </w:pPr>
    </w:p>
    <w:p w14:paraId="01A36B8C" w14:textId="77777777" w:rsidR="00977579" w:rsidRDefault="00977579" w:rsidP="00977579">
      <w:pPr>
        <w:pStyle w:val="7190"/>
        <w:jc w:val="center"/>
        <w:rPr>
          <w:rtl/>
        </w:rPr>
      </w:pPr>
    </w:p>
    <w:p w14:paraId="3A77EDEA" w14:textId="77777777" w:rsidR="00977579" w:rsidRDefault="00977579" w:rsidP="00977579">
      <w:pPr>
        <w:pStyle w:val="7190"/>
        <w:jc w:val="center"/>
        <w:rPr>
          <w:rtl/>
        </w:rPr>
      </w:pPr>
    </w:p>
    <w:p w14:paraId="5F1CDA5D" w14:textId="77777777" w:rsidR="00977579" w:rsidRDefault="00977579" w:rsidP="00977579">
      <w:pPr>
        <w:pStyle w:val="7190"/>
        <w:jc w:val="center"/>
        <w:rPr>
          <w:rtl/>
        </w:rPr>
      </w:pPr>
    </w:p>
    <w:p w14:paraId="0ED334DA" w14:textId="77777777" w:rsidR="00977579" w:rsidRDefault="00977579" w:rsidP="00977579">
      <w:pPr>
        <w:pStyle w:val="7190"/>
        <w:jc w:val="center"/>
        <w:rPr>
          <w:rtl/>
        </w:rPr>
      </w:pPr>
    </w:p>
    <w:p w14:paraId="14128F0E" w14:textId="77777777" w:rsidR="00977579" w:rsidRDefault="00977579" w:rsidP="00977579">
      <w:pPr>
        <w:pStyle w:val="7190"/>
        <w:jc w:val="center"/>
        <w:rPr>
          <w:rtl/>
        </w:rPr>
      </w:pPr>
    </w:p>
    <w:p w14:paraId="4B4B6DD3" w14:textId="77777777" w:rsidR="00977579" w:rsidRDefault="00977579" w:rsidP="00977579">
      <w:pPr>
        <w:pStyle w:val="7190"/>
        <w:jc w:val="center"/>
        <w:rPr>
          <w:rtl/>
        </w:rPr>
      </w:pPr>
    </w:p>
    <w:p w14:paraId="374143FF" w14:textId="77777777" w:rsidR="00977579" w:rsidRDefault="00977579" w:rsidP="00977579">
      <w:pPr>
        <w:pStyle w:val="7190"/>
        <w:jc w:val="center"/>
        <w:rPr>
          <w:rtl/>
        </w:rPr>
      </w:pPr>
    </w:p>
    <w:p w14:paraId="1B0BEFAC" w14:textId="77777777" w:rsidR="00977579" w:rsidRDefault="00977579" w:rsidP="00977579">
      <w:pPr>
        <w:pStyle w:val="7190"/>
        <w:jc w:val="center"/>
        <w:rPr>
          <w:rtl/>
        </w:rPr>
      </w:pPr>
    </w:p>
    <w:p w14:paraId="62C72E9D" w14:textId="77777777" w:rsidR="00064016" w:rsidRDefault="00064016" w:rsidP="00064016">
      <w:pPr>
        <w:pStyle w:val="7190"/>
        <w:spacing w:after="120"/>
        <w:jc w:val="center"/>
        <w:rPr>
          <w:rtl/>
        </w:rPr>
      </w:pPr>
    </w:p>
    <w:p w14:paraId="4DCD00B7" w14:textId="77777777" w:rsidR="00064016" w:rsidRDefault="00064016" w:rsidP="00064016">
      <w:pPr>
        <w:pStyle w:val="7190"/>
        <w:spacing w:after="120"/>
        <w:jc w:val="center"/>
        <w:rPr>
          <w:rtl/>
        </w:rPr>
      </w:pPr>
    </w:p>
    <w:p w14:paraId="132AAB22" w14:textId="0E54299C" w:rsidR="00064016" w:rsidRPr="00064016" w:rsidRDefault="00064016" w:rsidP="00064016">
      <w:pPr>
        <w:pStyle w:val="7190"/>
        <w:spacing w:after="120"/>
        <w:jc w:val="center"/>
      </w:pPr>
      <w:r w:rsidRPr="00064016">
        <w:rPr>
          <w:rtl/>
        </w:rPr>
        <w:t xml:space="preserve">מס' קטלוגי </w:t>
      </w:r>
      <w:r w:rsidRPr="00064016">
        <w:t>971C</w:t>
      </w:r>
      <w:r w:rsidRPr="00064016">
        <w:rPr>
          <w:rtl/>
        </w:rPr>
        <w:t>-</w:t>
      </w:r>
      <w:r w:rsidRPr="00064016">
        <w:t>2021</w:t>
      </w:r>
    </w:p>
    <w:p w14:paraId="66F3EDD3" w14:textId="77777777" w:rsidR="00064016" w:rsidRPr="00064016" w:rsidRDefault="00064016" w:rsidP="00064016">
      <w:pPr>
        <w:pStyle w:val="7190"/>
        <w:jc w:val="center"/>
        <w:rPr>
          <w:rtl/>
        </w:rPr>
      </w:pPr>
      <w:r w:rsidRPr="00064016">
        <w:t>ISSN 0334-9713</w:t>
      </w:r>
    </w:p>
    <w:p w14:paraId="52E2FCF4" w14:textId="77777777" w:rsidR="00064016" w:rsidRDefault="00064016" w:rsidP="00064016">
      <w:pPr>
        <w:pStyle w:val="7190"/>
        <w:spacing w:after="0"/>
        <w:jc w:val="center"/>
      </w:pPr>
      <w:r>
        <w:rPr>
          <w:rtl/>
        </w:rPr>
        <w:t xml:space="preserve">דוח זה מובא גם באתר האינטרנט של </w:t>
      </w:r>
      <w:r>
        <w:br/>
      </w:r>
      <w:r>
        <w:rPr>
          <w:rtl/>
        </w:rPr>
        <w:t>משרד מבקר המדינה</w:t>
      </w:r>
    </w:p>
    <w:p w14:paraId="690EF9D9" w14:textId="77777777" w:rsidR="00064016" w:rsidRPr="00064016" w:rsidRDefault="00FB3A60" w:rsidP="00064016">
      <w:pPr>
        <w:pStyle w:val="7190"/>
        <w:jc w:val="center"/>
        <w:rPr>
          <w:rtl/>
        </w:rPr>
      </w:pPr>
      <w:hyperlink r:id="rId14" w:history="1">
        <w:r w:rsidR="00064016" w:rsidRPr="00064016">
          <w:t>www.mevaker.gov.il</w:t>
        </w:r>
      </w:hyperlink>
    </w:p>
    <w:p w14:paraId="62D700AA" w14:textId="77777777" w:rsidR="00064016" w:rsidRDefault="00064016" w:rsidP="00064016">
      <w:pPr>
        <w:pStyle w:val="7190"/>
        <w:jc w:val="center"/>
        <w:rPr>
          <w:rtl/>
        </w:rPr>
      </w:pPr>
    </w:p>
    <w:p w14:paraId="4570961E" w14:textId="4CA14B6A" w:rsidR="009C0D3F" w:rsidRPr="009C0D3F" w:rsidRDefault="00977579" w:rsidP="00064016">
      <w:pPr>
        <w:pStyle w:val="7190"/>
        <w:jc w:val="center"/>
        <w:rPr>
          <w:sz w:val="24"/>
          <w:rtl/>
        </w:rPr>
        <w:sectPr w:rsidR="009C0D3F" w:rsidRPr="009C0D3F" w:rsidSect="002970CC">
          <w:pgSz w:w="11906" w:h="16838" w:code="9"/>
          <w:pgMar w:top="3062" w:right="2268" w:bottom="2552" w:left="2268" w:header="1134" w:footer="1361" w:gutter="0"/>
          <w:cols w:space="720"/>
          <w:titlePg/>
          <w:bidi/>
          <w:rtlGutter/>
          <w:docGrid w:linePitch="272"/>
        </w:sectPr>
      </w:pPr>
      <w:r>
        <w:rPr>
          <w:rFonts w:hint="cs"/>
          <w:rtl/>
        </w:rPr>
        <w:t>עיצוב גרפי: סטודיו שחר שושנה</w:t>
      </w:r>
    </w:p>
    <w:p w14:paraId="102F8511" w14:textId="4D33C363" w:rsidR="00073A16" w:rsidRPr="00C04B74" w:rsidRDefault="00073A16" w:rsidP="00073A16">
      <w:pPr>
        <w:pStyle w:val="71316"/>
        <w:rPr>
          <w:sz w:val="36"/>
          <w:szCs w:val="36"/>
          <w:rtl/>
        </w:rPr>
      </w:pPr>
      <w:r w:rsidRPr="00C04B74">
        <w:rPr>
          <w:rFonts w:hint="cs"/>
          <w:sz w:val="36"/>
          <w:szCs w:val="36"/>
          <w:rtl/>
        </w:rPr>
        <w:lastRenderedPageBreak/>
        <w:t>תוכן העניינים</w:t>
      </w:r>
    </w:p>
    <w:p w14:paraId="3A9DF06A" w14:textId="45F69984" w:rsidR="00073A16" w:rsidRDefault="00BE2650" w:rsidP="00073A16">
      <w:pPr>
        <w:pStyle w:val="71316"/>
        <w:rPr>
          <w:b w:val="0"/>
          <w:bCs w:val="0"/>
          <w:rtl/>
        </w:rPr>
      </w:pPr>
      <w:r w:rsidRPr="00B535DF">
        <w:rPr>
          <w:rFonts w:hint="cs"/>
          <w:b w:val="0"/>
          <w:bCs w:val="0"/>
          <w:noProof/>
          <w:spacing w:val="86"/>
          <w:rtl/>
          <w:lang w:val="he-IL"/>
        </w:rPr>
        <mc:AlternateContent>
          <mc:Choice Requires="wps">
            <w:drawing>
              <wp:anchor distT="0" distB="0" distL="114300" distR="114300" simplePos="0" relativeHeight="251749888" behindDoc="0" locked="0" layoutInCell="1" allowOverlap="1" wp14:anchorId="3FE470BB" wp14:editId="5D47243C">
                <wp:simplePos x="0" y="0"/>
                <wp:positionH relativeFrom="column">
                  <wp:posOffset>3116580</wp:posOffset>
                </wp:positionH>
                <wp:positionV relativeFrom="paragraph">
                  <wp:posOffset>33655</wp:posOffset>
                </wp:positionV>
                <wp:extent cx="1531620" cy="0"/>
                <wp:effectExtent l="0" t="0" r="0" b="0"/>
                <wp:wrapNone/>
                <wp:docPr id="13" name="Straight Connector 13"/>
                <wp:cNvGraphicFramePr/>
                <a:graphic xmlns:a="http://schemas.openxmlformats.org/drawingml/2006/main">
                  <a:graphicData uri="http://schemas.microsoft.com/office/word/2010/wordprocessingShape">
                    <wps:wsp>
                      <wps:cNvCnPr/>
                      <wps:spPr>
                        <a:xfrm flipH="1">
                          <a:off x="0" y="0"/>
                          <a:ext cx="1531620"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15D21F" id="Straight Connector 13" o:spid="_x0000_s1026" style="position:absolute;left:0;text-align:left;flip:x;z-index:25174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4pt,2.65pt" to="36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" strokecolor="#00305f" strokeweight="1pt"/>
            </w:pict>
          </mc:Fallback>
        </mc:AlternateContent>
      </w:r>
      <w:r w:rsidR="00073A16" w:rsidRPr="00073A16">
        <w:rPr>
          <w:rFonts w:hint="cs"/>
          <w:b w:val="0"/>
          <w:bCs w:val="0"/>
          <w:rtl/>
        </w:rPr>
        <w:t xml:space="preserve">כרך ראשון </w:t>
      </w:r>
    </w:p>
    <w:p w14:paraId="206C3AFE" w14:textId="731FD42C" w:rsidR="002925CD" w:rsidRDefault="002925CD" w:rsidP="00073A16">
      <w:pPr>
        <w:pStyle w:val="71316"/>
        <w:rPr>
          <w:b w:val="0"/>
          <w:bCs w:val="0"/>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9"/>
        <w:gridCol w:w="1121"/>
      </w:tblGrid>
      <w:tr w:rsidR="002925CD" w14:paraId="4247FC1F" w14:textId="77777777" w:rsidTr="00BD27D4">
        <w:tc>
          <w:tcPr>
            <w:tcW w:w="6239" w:type="dxa"/>
          </w:tcPr>
          <w:p w14:paraId="6766CF96" w14:textId="1223AA24" w:rsidR="002925CD" w:rsidRPr="00C237BB" w:rsidRDefault="002925CD" w:rsidP="002925CD">
            <w:pPr>
              <w:pStyle w:val="7190"/>
              <w:rPr>
                <w:b/>
                <w:bCs/>
                <w:rtl/>
              </w:rPr>
            </w:pPr>
            <w:r w:rsidRPr="00C237BB">
              <w:rPr>
                <w:rFonts w:hint="cs"/>
                <w:b/>
                <w:bCs/>
                <w:color w:val="00305F"/>
                <w:sz w:val="22"/>
                <w:szCs w:val="22"/>
                <w:rtl/>
              </w:rPr>
              <w:t>פתח דבר</w:t>
            </w:r>
          </w:p>
        </w:tc>
        <w:tc>
          <w:tcPr>
            <w:tcW w:w="1121" w:type="dxa"/>
          </w:tcPr>
          <w:p w14:paraId="6E36AAEB" w14:textId="5A6991B1" w:rsidR="002925CD" w:rsidRPr="003A4571" w:rsidRDefault="003A4571" w:rsidP="003A4571">
            <w:pPr>
              <w:widowControl w:val="0"/>
              <w:spacing w:after="180" w:line="260" w:lineRule="exact"/>
              <w:rPr>
                <w:rFonts w:ascii="Arial" w:hAnsi="Arial" w:cs="Tahoma"/>
                <w:color w:val="000000"/>
                <w:sz w:val="24"/>
                <w:szCs w:val="18"/>
                <w:rtl/>
              </w:rPr>
            </w:pPr>
            <w:r w:rsidRPr="003A4571">
              <w:rPr>
                <w:rFonts w:ascii="Arial" w:hAnsi="Arial" w:cs="Tahoma" w:hint="cs"/>
                <w:color w:val="000000"/>
                <w:sz w:val="24"/>
                <w:szCs w:val="18"/>
                <w:rtl/>
              </w:rPr>
              <w:t>9</w:t>
            </w:r>
          </w:p>
        </w:tc>
      </w:tr>
      <w:tr w:rsidR="002925CD" w14:paraId="4A977600" w14:textId="77777777" w:rsidTr="00BD27D4">
        <w:tc>
          <w:tcPr>
            <w:tcW w:w="6239" w:type="dxa"/>
          </w:tcPr>
          <w:p w14:paraId="13F33241" w14:textId="6549809F" w:rsidR="002925CD" w:rsidRPr="00C237BB" w:rsidRDefault="00DD2321" w:rsidP="002925CD">
            <w:pPr>
              <w:pStyle w:val="7190"/>
              <w:rPr>
                <w:b/>
                <w:bCs/>
                <w:rtl/>
              </w:rPr>
            </w:pPr>
            <w:r w:rsidRPr="00C237BB">
              <w:rPr>
                <w:rFonts w:hint="eastAsia"/>
                <w:b/>
                <w:bCs/>
                <w:color w:val="00305F"/>
                <w:sz w:val="22"/>
                <w:szCs w:val="22"/>
                <w:rtl/>
                <w:lang w:bidi="ar-SA"/>
              </w:rPr>
              <w:t>المقدمة</w:t>
            </w:r>
          </w:p>
        </w:tc>
        <w:tc>
          <w:tcPr>
            <w:tcW w:w="1121" w:type="dxa"/>
          </w:tcPr>
          <w:p w14:paraId="73DB995D" w14:textId="70E81D33" w:rsidR="002925CD" w:rsidRPr="003A4571" w:rsidRDefault="003A4571" w:rsidP="003A4571">
            <w:pPr>
              <w:widowControl w:val="0"/>
              <w:spacing w:after="180" w:line="260" w:lineRule="exact"/>
              <w:rPr>
                <w:rFonts w:ascii="Arial" w:hAnsi="Arial" w:cs="Tahoma"/>
                <w:color w:val="000000"/>
                <w:sz w:val="24"/>
                <w:szCs w:val="18"/>
                <w:rtl/>
              </w:rPr>
            </w:pPr>
            <w:r w:rsidRPr="003A4571">
              <w:rPr>
                <w:rFonts w:ascii="Arial" w:hAnsi="Arial" w:cs="Tahoma" w:hint="cs"/>
                <w:color w:val="000000"/>
                <w:sz w:val="24"/>
                <w:szCs w:val="18"/>
                <w:rtl/>
              </w:rPr>
              <w:t>15</w:t>
            </w:r>
          </w:p>
        </w:tc>
      </w:tr>
      <w:tr w:rsidR="00D60C19" w14:paraId="1C8D5E6D" w14:textId="77777777" w:rsidTr="00BD27D4">
        <w:tc>
          <w:tcPr>
            <w:tcW w:w="6239" w:type="dxa"/>
          </w:tcPr>
          <w:p w14:paraId="3DCCE654" w14:textId="64748B18" w:rsidR="00D60C19" w:rsidRPr="00C237BB" w:rsidRDefault="00D60C19" w:rsidP="002925CD">
            <w:pPr>
              <w:pStyle w:val="7190"/>
              <w:rPr>
                <w:b/>
                <w:bCs/>
                <w:color w:val="00305F"/>
                <w:sz w:val="22"/>
                <w:szCs w:val="22"/>
                <w:rtl/>
              </w:rPr>
            </w:pPr>
            <w:r w:rsidRPr="00C237BB">
              <w:rPr>
                <w:b/>
                <w:bCs/>
                <w:color w:val="00305F"/>
                <w:sz w:val="22"/>
                <w:szCs w:val="22"/>
                <w:lang w:bidi="ar-SA"/>
              </w:rPr>
              <w:t>Forew</w:t>
            </w:r>
            <w:r w:rsidR="00942EE2" w:rsidRPr="00C237BB">
              <w:rPr>
                <w:b/>
                <w:bCs/>
                <w:color w:val="00305F"/>
                <w:sz w:val="22"/>
                <w:szCs w:val="22"/>
                <w:lang w:bidi="ar-SA"/>
              </w:rPr>
              <w:t>o</w:t>
            </w:r>
            <w:r w:rsidRPr="00C237BB">
              <w:rPr>
                <w:b/>
                <w:bCs/>
                <w:color w:val="00305F"/>
                <w:sz w:val="22"/>
                <w:szCs w:val="22"/>
                <w:lang w:bidi="ar-SA"/>
              </w:rPr>
              <w:t>rd</w:t>
            </w:r>
          </w:p>
        </w:tc>
        <w:tc>
          <w:tcPr>
            <w:tcW w:w="1121" w:type="dxa"/>
          </w:tcPr>
          <w:p w14:paraId="78ACE9AC" w14:textId="145E964B" w:rsidR="00D60C19" w:rsidRPr="003C6E82" w:rsidRDefault="003C6E82" w:rsidP="003C6E82">
            <w:pPr>
              <w:widowControl w:val="0"/>
              <w:spacing w:after="180" w:line="260" w:lineRule="exact"/>
              <w:rPr>
                <w:rFonts w:ascii="Arial" w:hAnsi="Arial" w:cs="Tahoma"/>
                <w:color w:val="000000"/>
                <w:sz w:val="24"/>
                <w:szCs w:val="18"/>
                <w:rtl/>
              </w:rPr>
            </w:pPr>
            <w:r w:rsidRPr="003C6E82">
              <w:rPr>
                <w:rFonts w:ascii="Arial" w:hAnsi="Arial" w:cs="Tahoma" w:hint="cs"/>
                <w:color w:val="000000"/>
                <w:sz w:val="24"/>
                <w:szCs w:val="18"/>
                <w:rtl/>
              </w:rPr>
              <w:t>439</w:t>
            </w:r>
          </w:p>
        </w:tc>
      </w:tr>
      <w:tr w:rsidR="003F5037" w14:paraId="3695A2F8" w14:textId="77777777" w:rsidTr="00BD27D4">
        <w:tc>
          <w:tcPr>
            <w:tcW w:w="6239" w:type="dxa"/>
          </w:tcPr>
          <w:p w14:paraId="5482B742" w14:textId="77777777" w:rsidR="003F5037" w:rsidRDefault="003F5037" w:rsidP="00C237BB">
            <w:pPr>
              <w:pStyle w:val="7190"/>
              <w:spacing w:before="0" w:after="0"/>
            </w:pPr>
          </w:p>
        </w:tc>
        <w:tc>
          <w:tcPr>
            <w:tcW w:w="1121" w:type="dxa"/>
          </w:tcPr>
          <w:p w14:paraId="35BD348C" w14:textId="77777777" w:rsidR="003F5037" w:rsidRDefault="003F5037" w:rsidP="00C237BB">
            <w:pPr>
              <w:pStyle w:val="71316"/>
              <w:spacing w:before="0" w:after="0" w:line="260" w:lineRule="exact"/>
              <w:rPr>
                <w:b w:val="0"/>
                <w:bCs w:val="0"/>
                <w:rtl/>
              </w:rPr>
            </w:pPr>
          </w:p>
        </w:tc>
      </w:tr>
      <w:tr w:rsidR="00D60C19" w14:paraId="14D9041C" w14:textId="77777777" w:rsidTr="00BD27D4">
        <w:tc>
          <w:tcPr>
            <w:tcW w:w="6239" w:type="dxa"/>
          </w:tcPr>
          <w:p w14:paraId="57E6C648" w14:textId="157B217A" w:rsidR="00D60C19" w:rsidRPr="00C237BB" w:rsidRDefault="003F5037" w:rsidP="002925CD">
            <w:pPr>
              <w:pStyle w:val="7190"/>
              <w:rPr>
                <w:color w:val="00305F"/>
                <w:sz w:val="32"/>
                <w:szCs w:val="32"/>
              </w:rPr>
            </w:pPr>
            <w:r w:rsidRPr="00C237BB">
              <w:rPr>
                <w:rFonts w:hint="cs"/>
                <w:color w:val="00305F"/>
                <w:sz w:val="32"/>
                <w:szCs w:val="32"/>
                <w:rtl/>
              </w:rPr>
              <w:t xml:space="preserve">כרך ראשון </w:t>
            </w:r>
          </w:p>
        </w:tc>
        <w:tc>
          <w:tcPr>
            <w:tcW w:w="1121" w:type="dxa"/>
          </w:tcPr>
          <w:p w14:paraId="4B519BF6" w14:textId="77777777" w:rsidR="00D60C19" w:rsidRDefault="00D60C19" w:rsidP="002925CD">
            <w:pPr>
              <w:pStyle w:val="71316"/>
              <w:spacing w:before="0" w:line="260" w:lineRule="exact"/>
              <w:rPr>
                <w:b w:val="0"/>
                <w:bCs w:val="0"/>
                <w:rtl/>
              </w:rPr>
            </w:pPr>
          </w:p>
        </w:tc>
      </w:tr>
      <w:tr w:rsidR="00D60C19" w14:paraId="766FB2BE" w14:textId="77777777" w:rsidTr="00BD27D4">
        <w:tc>
          <w:tcPr>
            <w:tcW w:w="6239" w:type="dxa"/>
          </w:tcPr>
          <w:p w14:paraId="5DC86E83" w14:textId="6ECB6213" w:rsidR="00D60C19" w:rsidRPr="00B20BCC" w:rsidRDefault="00D60C19" w:rsidP="002925CD">
            <w:pPr>
              <w:pStyle w:val="7190"/>
              <w:rPr>
                <w:color w:val="00305F"/>
                <w:sz w:val="22"/>
                <w:szCs w:val="22"/>
              </w:rPr>
            </w:pPr>
            <w:r w:rsidRPr="00B20BCC">
              <w:rPr>
                <w:rFonts w:hint="cs"/>
                <w:color w:val="00305F"/>
                <w:sz w:val="22"/>
                <w:szCs w:val="22"/>
                <w:rtl/>
              </w:rPr>
              <w:t xml:space="preserve">פרק ראשון </w:t>
            </w:r>
          </w:p>
        </w:tc>
        <w:tc>
          <w:tcPr>
            <w:tcW w:w="1121" w:type="dxa"/>
          </w:tcPr>
          <w:p w14:paraId="6D4475FF" w14:textId="77777777" w:rsidR="00D60C19" w:rsidRDefault="00D60C19" w:rsidP="002925CD">
            <w:pPr>
              <w:pStyle w:val="71316"/>
              <w:spacing w:before="0" w:line="260" w:lineRule="exact"/>
              <w:rPr>
                <w:b w:val="0"/>
                <w:bCs w:val="0"/>
                <w:rtl/>
              </w:rPr>
            </w:pPr>
          </w:p>
        </w:tc>
      </w:tr>
      <w:tr w:rsidR="00D60C19" w14:paraId="722ECBD4" w14:textId="77777777" w:rsidTr="00BD27D4">
        <w:tc>
          <w:tcPr>
            <w:tcW w:w="6239" w:type="dxa"/>
          </w:tcPr>
          <w:p w14:paraId="20307DD5" w14:textId="0531A93D" w:rsidR="00D60C19" w:rsidRPr="00F62AB1" w:rsidRDefault="00D60C19" w:rsidP="002925CD">
            <w:pPr>
              <w:pStyle w:val="7190"/>
              <w:rPr>
                <w:b/>
                <w:bCs/>
                <w:color w:val="00305F"/>
                <w:sz w:val="30"/>
                <w:szCs w:val="30"/>
                <w:rtl/>
              </w:rPr>
            </w:pPr>
            <w:r w:rsidRPr="00F62AB1">
              <w:rPr>
                <w:rFonts w:hint="cs"/>
                <w:b/>
                <w:bCs/>
                <w:color w:val="00305F"/>
                <w:sz w:val="30"/>
                <w:szCs w:val="30"/>
                <w:rtl/>
              </w:rPr>
              <w:t>נושאים מערכתיים</w:t>
            </w:r>
          </w:p>
        </w:tc>
        <w:tc>
          <w:tcPr>
            <w:tcW w:w="1121" w:type="dxa"/>
          </w:tcPr>
          <w:p w14:paraId="7F581BC8" w14:textId="2D526CD9" w:rsidR="00D60C19" w:rsidRPr="003F01B5" w:rsidRDefault="00D60C19" w:rsidP="003F01B5">
            <w:pPr>
              <w:pStyle w:val="7190"/>
              <w:rPr>
                <w:b/>
                <w:bCs/>
                <w:color w:val="00305F"/>
                <w:rtl/>
              </w:rPr>
            </w:pPr>
          </w:p>
        </w:tc>
      </w:tr>
      <w:tr w:rsidR="00F611CF" w14:paraId="61A6FC92" w14:textId="77777777" w:rsidTr="00BD27D4">
        <w:tc>
          <w:tcPr>
            <w:tcW w:w="6239" w:type="dxa"/>
          </w:tcPr>
          <w:p w14:paraId="3BACA2D9" w14:textId="59E77520" w:rsidR="00F611CF" w:rsidRPr="00D60C19" w:rsidRDefault="00F611CF" w:rsidP="000E1A97">
            <w:pPr>
              <w:pStyle w:val="7190"/>
              <w:spacing w:before="0"/>
              <w:rPr>
                <w:b/>
                <w:bCs/>
                <w:color w:val="00305F"/>
                <w:sz w:val="28"/>
                <w:szCs w:val="28"/>
                <w:rtl/>
              </w:rPr>
            </w:pPr>
            <w:r w:rsidRPr="00F611CF">
              <w:rPr>
                <w:rFonts w:ascii="Arial" w:hAnsi="Arial"/>
                <w:color w:val="000000"/>
                <w:sz w:val="24"/>
                <w:rtl/>
              </w:rPr>
              <w:t>הטיפול במונופולי</w:t>
            </w:r>
            <w:r w:rsidRPr="00F611CF">
              <w:rPr>
                <w:rFonts w:ascii="Arial" w:hAnsi="Arial" w:hint="cs"/>
                <w:color w:val="000000"/>
                <w:sz w:val="24"/>
                <w:rtl/>
              </w:rPr>
              <w:t>ן</w:t>
            </w:r>
            <w:r w:rsidRPr="00F611CF">
              <w:rPr>
                <w:rFonts w:ascii="Arial" w:hAnsi="Arial"/>
                <w:color w:val="000000"/>
                <w:sz w:val="24"/>
                <w:rtl/>
              </w:rPr>
              <w:t xml:space="preserve"> ו</w:t>
            </w:r>
            <w:r w:rsidRPr="00F611CF">
              <w:rPr>
                <w:rFonts w:ascii="Arial" w:hAnsi="Arial" w:hint="cs"/>
                <w:color w:val="000000"/>
                <w:sz w:val="24"/>
                <w:rtl/>
              </w:rPr>
              <w:t>ב</w:t>
            </w:r>
            <w:r w:rsidRPr="00F611CF">
              <w:rPr>
                <w:rFonts w:ascii="Arial" w:hAnsi="Arial"/>
                <w:color w:val="000000"/>
                <w:sz w:val="24"/>
                <w:rtl/>
              </w:rPr>
              <w:t>ריכוזיות ב</w:t>
            </w:r>
            <w:r w:rsidRPr="00F611CF">
              <w:rPr>
                <w:rFonts w:ascii="Arial" w:hAnsi="Arial" w:hint="cs"/>
                <w:color w:val="000000"/>
                <w:sz w:val="24"/>
                <w:rtl/>
              </w:rPr>
              <w:t>ענף</w:t>
            </w:r>
            <w:r w:rsidRPr="00F611CF">
              <w:rPr>
                <w:rFonts w:ascii="Arial" w:hAnsi="Arial"/>
                <w:color w:val="000000"/>
                <w:sz w:val="24"/>
                <w:rtl/>
              </w:rPr>
              <w:t xml:space="preserve"> המזון</w:t>
            </w:r>
            <w:r w:rsidR="003C6E82">
              <w:rPr>
                <w:rFonts w:hint="cs"/>
                <w:b/>
                <w:bCs/>
                <w:color w:val="00305F"/>
                <w:sz w:val="28"/>
                <w:szCs w:val="28"/>
                <w:rtl/>
              </w:rPr>
              <w:t xml:space="preserve"> </w:t>
            </w:r>
          </w:p>
        </w:tc>
        <w:tc>
          <w:tcPr>
            <w:tcW w:w="1121" w:type="dxa"/>
          </w:tcPr>
          <w:p w14:paraId="68F0317A" w14:textId="1E94EDBB" w:rsidR="00F611CF" w:rsidRPr="00DB7CD9" w:rsidRDefault="00DB7CD9" w:rsidP="000E1A97">
            <w:pPr>
              <w:widowControl w:val="0"/>
              <w:spacing w:before="0" w:after="180" w:line="260" w:lineRule="exact"/>
              <w:rPr>
                <w:rFonts w:ascii="Arial" w:hAnsi="Arial" w:cs="Tahoma"/>
                <w:color w:val="000000"/>
                <w:sz w:val="24"/>
                <w:szCs w:val="18"/>
                <w:rtl/>
              </w:rPr>
            </w:pPr>
            <w:r w:rsidRPr="00DB7CD9">
              <w:rPr>
                <w:rFonts w:ascii="Arial" w:hAnsi="Arial" w:cs="Tahoma" w:hint="cs"/>
                <w:color w:val="000000"/>
                <w:sz w:val="24"/>
                <w:szCs w:val="18"/>
                <w:rtl/>
              </w:rPr>
              <w:t>2</w:t>
            </w:r>
            <w:r w:rsidR="003C6E82">
              <w:rPr>
                <w:rFonts w:ascii="Arial" w:hAnsi="Arial" w:cs="Tahoma" w:hint="cs"/>
                <w:color w:val="000000"/>
                <w:sz w:val="24"/>
                <w:szCs w:val="18"/>
                <w:rtl/>
              </w:rPr>
              <w:t>3</w:t>
            </w:r>
          </w:p>
        </w:tc>
      </w:tr>
      <w:tr w:rsidR="00F611CF" w14:paraId="552FDCE8" w14:textId="77777777" w:rsidTr="00BD27D4">
        <w:tc>
          <w:tcPr>
            <w:tcW w:w="6239" w:type="dxa"/>
          </w:tcPr>
          <w:p w14:paraId="2D238A7F" w14:textId="19615DCF" w:rsidR="00F611CF" w:rsidRPr="00B20BCC" w:rsidRDefault="00F611CF" w:rsidP="000E1A97">
            <w:pPr>
              <w:widowControl w:val="0"/>
              <w:spacing w:before="0" w:after="180" w:line="260" w:lineRule="exact"/>
              <w:rPr>
                <w:rFonts w:ascii="Arial" w:hAnsi="Arial" w:cs="Tahoma"/>
                <w:color w:val="000000"/>
                <w:sz w:val="24"/>
                <w:szCs w:val="18"/>
              </w:rPr>
            </w:pPr>
            <w:r w:rsidRPr="00B20BCC">
              <w:rPr>
                <w:rFonts w:ascii="Arial" w:hAnsi="Arial" w:cs="Tahoma"/>
                <w:color w:val="000000"/>
                <w:sz w:val="24"/>
                <w:szCs w:val="18"/>
                <w:rtl/>
              </w:rPr>
              <w:t>הנגשת מאגרי מידע</w:t>
            </w:r>
            <w:r w:rsidRPr="00B20BCC">
              <w:rPr>
                <w:rFonts w:ascii="Arial" w:hAnsi="Arial" w:cs="Tahoma" w:hint="cs"/>
                <w:color w:val="000000"/>
                <w:sz w:val="24"/>
                <w:szCs w:val="18"/>
                <w:rtl/>
              </w:rPr>
              <w:t xml:space="preserve"> ממשלתיים וציבוריים</w:t>
            </w:r>
            <w:r w:rsidRPr="00B20BCC">
              <w:rPr>
                <w:rFonts w:ascii="Arial" w:hAnsi="Arial" w:cs="Tahoma"/>
                <w:color w:val="000000"/>
                <w:sz w:val="24"/>
                <w:szCs w:val="18"/>
                <w:rtl/>
              </w:rPr>
              <w:t xml:space="preserve"> לציבור</w:t>
            </w:r>
            <w:r w:rsidR="003C6E82">
              <w:rPr>
                <w:rFonts w:ascii="Arial" w:hAnsi="Arial" w:cs="Tahoma" w:hint="cs"/>
                <w:color w:val="000000"/>
                <w:sz w:val="24"/>
                <w:szCs w:val="18"/>
                <w:rtl/>
              </w:rPr>
              <w:t xml:space="preserve"> </w:t>
            </w:r>
          </w:p>
        </w:tc>
        <w:tc>
          <w:tcPr>
            <w:tcW w:w="1121" w:type="dxa"/>
          </w:tcPr>
          <w:p w14:paraId="47850579" w14:textId="4B844A40" w:rsidR="00F611CF" w:rsidRPr="00CB24DD" w:rsidRDefault="00CB24DD" w:rsidP="000E1A97">
            <w:pPr>
              <w:widowControl w:val="0"/>
              <w:spacing w:before="0" w:after="180" w:line="260" w:lineRule="exact"/>
              <w:rPr>
                <w:rFonts w:ascii="Arial" w:hAnsi="Arial" w:cs="Tahoma"/>
                <w:color w:val="000000"/>
                <w:sz w:val="24"/>
                <w:szCs w:val="18"/>
                <w:rtl/>
              </w:rPr>
            </w:pPr>
            <w:r w:rsidRPr="00CB24DD">
              <w:rPr>
                <w:rFonts w:ascii="Arial" w:hAnsi="Arial" w:cs="Tahoma" w:hint="cs"/>
                <w:color w:val="000000"/>
                <w:sz w:val="24"/>
                <w:szCs w:val="18"/>
                <w:rtl/>
              </w:rPr>
              <w:t>183</w:t>
            </w:r>
          </w:p>
        </w:tc>
      </w:tr>
      <w:tr w:rsidR="00D57461" w14:paraId="3FBA07CF" w14:textId="77777777" w:rsidTr="00BD27D4">
        <w:tc>
          <w:tcPr>
            <w:tcW w:w="6239" w:type="dxa"/>
          </w:tcPr>
          <w:p w14:paraId="40F53A04" w14:textId="77777777" w:rsidR="00D57461" w:rsidRPr="00B20BCC" w:rsidRDefault="00D57461" w:rsidP="00C237BB">
            <w:pPr>
              <w:widowControl w:val="0"/>
              <w:spacing w:before="0" w:line="260" w:lineRule="exact"/>
              <w:rPr>
                <w:rFonts w:ascii="Tahoma" w:hAnsi="Tahoma" w:cs="Tahoma"/>
                <w:color w:val="00305F"/>
                <w:sz w:val="22"/>
                <w:szCs w:val="22"/>
                <w:rtl/>
              </w:rPr>
            </w:pPr>
          </w:p>
        </w:tc>
        <w:tc>
          <w:tcPr>
            <w:tcW w:w="1121" w:type="dxa"/>
          </w:tcPr>
          <w:p w14:paraId="1ABF80B9" w14:textId="77777777" w:rsidR="00D57461" w:rsidRDefault="00D57461" w:rsidP="00C237BB">
            <w:pPr>
              <w:pStyle w:val="71316"/>
              <w:spacing w:before="0" w:after="0" w:line="260" w:lineRule="exact"/>
              <w:rPr>
                <w:b w:val="0"/>
                <w:bCs w:val="0"/>
                <w:rtl/>
              </w:rPr>
            </w:pPr>
          </w:p>
        </w:tc>
      </w:tr>
      <w:tr w:rsidR="00B20BCC" w14:paraId="21D9EE10" w14:textId="77777777" w:rsidTr="00BD27D4">
        <w:tc>
          <w:tcPr>
            <w:tcW w:w="6239" w:type="dxa"/>
          </w:tcPr>
          <w:p w14:paraId="743C3022" w14:textId="0B7E7595" w:rsidR="00B20BCC" w:rsidRPr="00B20BCC" w:rsidRDefault="00B20BCC" w:rsidP="00B20BCC">
            <w:pPr>
              <w:widowControl w:val="0"/>
              <w:spacing w:after="180" w:line="260" w:lineRule="exact"/>
              <w:rPr>
                <w:rFonts w:ascii="Arial" w:hAnsi="Arial"/>
                <w:color w:val="000000"/>
                <w:sz w:val="22"/>
                <w:szCs w:val="22"/>
                <w:rtl/>
              </w:rPr>
            </w:pPr>
            <w:r w:rsidRPr="00B20BCC">
              <w:rPr>
                <w:rFonts w:ascii="Tahoma" w:hAnsi="Tahoma" w:cs="Tahoma" w:hint="cs"/>
                <w:color w:val="00305F"/>
                <w:sz w:val="22"/>
                <w:szCs w:val="22"/>
                <w:rtl/>
              </w:rPr>
              <w:t xml:space="preserve">פרק שני </w:t>
            </w:r>
          </w:p>
        </w:tc>
        <w:tc>
          <w:tcPr>
            <w:tcW w:w="1121" w:type="dxa"/>
          </w:tcPr>
          <w:p w14:paraId="440F8123" w14:textId="77777777" w:rsidR="00B20BCC" w:rsidRDefault="00B20BCC" w:rsidP="00B20BCC">
            <w:pPr>
              <w:pStyle w:val="71316"/>
              <w:spacing w:before="120" w:line="260" w:lineRule="exact"/>
              <w:rPr>
                <w:b w:val="0"/>
                <w:bCs w:val="0"/>
                <w:rtl/>
              </w:rPr>
            </w:pPr>
          </w:p>
        </w:tc>
      </w:tr>
      <w:tr w:rsidR="00B20BCC" w14:paraId="7E6A8418" w14:textId="77777777" w:rsidTr="00BD27D4">
        <w:tc>
          <w:tcPr>
            <w:tcW w:w="6239" w:type="dxa"/>
          </w:tcPr>
          <w:p w14:paraId="604D0D6D" w14:textId="0BE11C0D" w:rsidR="00B20BCC" w:rsidRPr="00F62AB1" w:rsidRDefault="00B20BCC" w:rsidP="00B20BCC">
            <w:pPr>
              <w:pStyle w:val="7190"/>
              <w:rPr>
                <w:rFonts w:ascii="Arial" w:hAnsi="Arial"/>
                <w:color w:val="000000"/>
                <w:sz w:val="30"/>
                <w:szCs w:val="30"/>
                <w:rtl/>
              </w:rPr>
            </w:pPr>
            <w:r w:rsidRPr="00F62AB1">
              <w:rPr>
                <w:rFonts w:hint="cs"/>
                <w:b/>
                <w:bCs/>
                <w:color w:val="00305F"/>
                <w:sz w:val="30"/>
                <w:szCs w:val="30"/>
                <w:rtl/>
              </w:rPr>
              <w:t>משרדי ממשלה</w:t>
            </w:r>
          </w:p>
        </w:tc>
        <w:tc>
          <w:tcPr>
            <w:tcW w:w="1121" w:type="dxa"/>
          </w:tcPr>
          <w:p w14:paraId="0708F9F9" w14:textId="4E267FB2" w:rsidR="00B20BCC" w:rsidRPr="00CB24DD" w:rsidRDefault="00B20BCC" w:rsidP="00CB24DD">
            <w:pPr>
              <w:pStyle w:val="7190"/>
              <w:rPr>
                <w:b/>
                <w:bCs/>
                <w:color w:val="00305F"/>
                <w:rtl/>
              </w:rPr>
            </w:pPr>
          </w:p>
        </w:tc>
      </w:tr>
      <w:tr w:rsidR="00CB24DD" w14:paraId="7DCCD547" w14:textId="77777777" w:rsidTr="00BD27D4">
        <w:tc>
          <w:tcPr>
            <w:tcW w:w="6239" w:type="dxa"/>
          </w:tcPr>
          <w:p w14:paraId="32A94BDC" w14:textId="46938041" w:rsidR="00CB24DD" w:rsidRPr="00C237BB" w:rsidRDefault="00CB24DD" w:rsidP="00CB24DD">
            <w:pPr>
              <w:widowControl w:val="0"/>
              <w:spacing w:after="180" w:line="260" w:lineRule="exact"/>
              <w:rPr>
                <w:rFonts w:ascii="Arial" w:hAnsi="Arial"/>
                <w:color w:val="00305F"/>
                <w:sz w:val="28"/>
                <w:szCs w:val="28"/>
                <w:rtl/>
              </w:rPr>
            </w:pPr>
            <w:r w:rsidRPr="00C237BB">
              <w:rPr>
                <w:rFonts w:ascii="Arial" w:hAnsi="Arial" w:cs="Tahoma" w:hint="cs"/>
                <w:color w:val="00305F"/>
                <w:sz w:val="28"/>
                <w:szCs w:val="28"/>
                <w:rtl/>
              </w:rPr>
              <w:t>משרד האוצר</w:t>
            </w:r>
          </w:p>
        </w:tc>
        <w:tc>
          <w:tcPr>
            <w:tcW w:w="1121" w:type="dxa"/>
          </w:tcPr>
          <w:p w14:paraId="23D00141" w14:textId="2E5C455F" w:rsidR="00CB24DD" w:rsidRPr="00CB24DD" w:rsidRDefault="00CB24DD" w:rsidP="00CB24DD">
            <w:pPr>
              <w:widowControl w:val="0"/>
              <w:spacing w:after="180" w:line="260" w:lineRule="exact"/>
              <w:rPr>
                <w:rFonts w:ascii="Arial" w:hAnsi="Arial" w:cs="Tahoma"/>
                <w:color w:val="000000"/>
                <w:sz w:val="24"/>
                <w:szCs w:val="18"/>
                <w:rtl/>
              </w:rPr>
            </w:pPr>
          </w:p>
        </w:tc>
      </w:tr>
      <w:tr w:rsidR="00CB24DD" w14:paraId="1C2921A8" w14:textId="77777777" w:rsidTr="00BD27D4">
        <w:tc>
          <w:tcPr>
            <w:tcW w:w="6239" w:type="dxa"/>
          </w:tcPr>
          <w:p w14:paraId="7C107312" w14:textId="634B920C" w:rsidR="00CB24DD" w:rsidRDefault="00CB24DD" w:rsidP="000E1A97">
            <w:pPr>
              <w:widowControl w:val="0"/>
              <w:spacing w:before="0" w:line="360" w:lineRule="auto"/>
              <w:rPr>
                <w:rFonts w:ascii="Arial" w:hAnsi="Arial"/>
                <w:color w:val="000000"/>
                <w:sz w:val="24"/>
                <w:rtl/>
              </w:rPr>
            </w:pPr>
            <w:r w:rsidRPr="00B20BCC">
              <w:rPr>
                <w:rFonts w:ascii="Arial" w:hAnsi="Arial" w:cs="Tahoma"/>
                <w:color w:val="000000"/>
                <w:sz w:val="24"/>
                <w:szCs w:val="18"/>
                <w:rtl/>
              </w:rPr>
              <w:t>הדוחות הכספיים של מדינת ישראל ליו</w:t>
            </w:r>
            <w:r w:rsidRPr="00B20BCC">
              <w:rPr>
                <w:rFonts w:ascii="Arial" w:hAnsi="Arial" w:cs="Tahoma" w:hint="cs"/>
                <w:color w:val="000000"/>
                <w:sz w:val="24"/>
                <w:szCs w:val="18"/>
                <w:rtl/>
              </w:rPr>
              <w:t xml:space="preserve">ם 31.12.2019 - </w:t>
            </w:r>
            <w:r w:rsidR="003C6E82">
              <w:rPr>
                <w:rFonts w:ascii="Arial" w:hAnsi="Arial" w:cs="Tahoma" w:hint="cs"/>
                <w:color w:val="000000"/>
                <w:sz w:val="24"/>
                <w:szCs w:val="18"/>
                <w:rtl/>
              </w:rPr>
              <w:t xml:space="preserve">                       </w:t>
            </w:r>
            <w:r w:rsidRPr="00B20BCC">
              <w:rPr>
                <w:rFonts w:ascii="Arial" w:hAnsi="Arial" w:cs="Tahoma"/>
                <w:color w:val="000000"/>
                <w:sz w:val="24"/>
                <w:szCs w:val="18"/>
                <w:rtl/>
              </w:rPr>
              <w:t>התחייבויות ארוכות</w:t>
            </w:r>
            <w:r w:rsidR="003C6E82">
              <w:rPr>
                <w:rFonts w:ascii="Arial" w:hAnsi="Arial" w:cs="Tahoma" w:hint="cs"/>
                <w:color w:val="000000"/>
                <w:sz w:val="24"/>
                <w:szCs w:val="18"/>
                <w:rtl/>
              </w:rPr>
              <w:t xml:space="preserve"> </w:t>
            </w:r>
            <w:r w:rsidRPr="00B20BCC">
              <w:rPr>
                <w:rFonts w:ascii="Arial" w:hAnsi="Arial" w:cs="Tahoma" w:hint="cs"/>
                <w:color w:val="000000"/>
                <w:sz w:val="24"/>
                <w:szCs w:val="18"/>
                <w:rtl/>
              </w:rPr>
              <w:t xml:space="preserve"> </w:t>
            </w:r>
            <w:r w:rsidRPr="00B20BCC">
              <w:rPr>
                <w:rFonts w:ascii="Arial" w:hAnsi="Arial" w:cs="Tahoma"/>
                <w:color w:val="000000"/>
                <w:sz w:val="24"/>
                <w:szCs w:val="18"/>
                <w:rtl/>
              </w:rPr>
              <w:t>טווח</w:t>
            </w:r>
            <w:r w:rsidRPr="00B20BCC">
              <w:rPr>
                <w:rFonts w:ascii="Arial" w:hAnsi="Arial" w:cs="Tahoma" w:hint="cs"/>
                <w:color w:val="000000"/>
                <w:sz w:val="24"/>
                <w:szCs w:val="18"/>
                <w:rtl/>
              </w:rPr>
              <w:t xml:space="preserve"> של המדינה</w:t>
            </w:r>
          </w:p>
        </w:tc>
        <w:tc>
          <w:tcPr>
            <w:tcW w:w="1121" w:type="dxa"/>
          </w:tcPr>
          <w:p w14:paraId="1E1B661D" w14:textId="7656EE72" w:rsidR="00CB24DD" w:rsidRPr="00CB24DD" w:rsidRDefault="00681093" w:rsidP="000E1A97">
            <w:pPr>
              <w:widowControl w:val="0"/>
              <w:spacing w:before="0" w:after="180" w:line="260" w:lineRule="exact"/>
              <w:rPr>
                <w:rFonts w:ascii="Arial" w:hAnsi="Arial" w:cs="Tahoma"/>
                <w:color w:val="000000"/>
                <w:sz w:val="24"/>
                <w:szCs w:val="18"/>
                <w:rtl/>
              </w:rPr>
            </w:pPr>
            <w:r>
              <w:rPr>
                <w:rFonts w:ascii="Arial" w:hAnsi="Arial" w:cs="Tahoma" w:hint="cs"/>
                <w:color w:val="000000"/>
                <w:sz w:val="24"/>
                <w:szCs w:val="18"/>
                <w:rtl/>
              </w:rPr>
              <w:t>26</w:t>
            </w:r>
            <w:r w:rsidR="003C6E82">
              <w:rPr>
                <w:rFonts w:ascii="Arial" w:hAnsi="Arial" w:cs="Tahoma" w:hint="cs"/>
                <w:color w:val="000000"/>
                <w:sz w:val="24"/>
                <w:szCs w:val="18"/>
                <w:rtl/>
              </w:rPr>
              <w:t>3</w:t>
            </w:r>
          </w:p>
        </w:tc>
      </w:tr>
      <w:tr w:rsidR="00C237BB" w14:paraId="648847E7" w14:textId="77777777" w:rsidTr="00BD27D4">
        <w:tc>
          <w:tcPr>
            <w:tcW w:w="6239" w:type="dxa"/>
          </w:tcPr>
          <w:p w14:paraId="7E5AD88A" w14:textId="77777777" w:rsidR="00C237BB" w:rsidRPr="00C237BB" w:rsidRDefault="00C237BB" w:rsidP="00C237BB">
            <w:pPr>
              <w:widowControl w:val="0"/>
              <w:spacing w:before="0" w:line="260" w:lineRule="exact"/>
              <w:rPr>
                <w:rFonts w:ascii="Arial" w:hAnsi="Arial" w:cs="Tahoma"/>
                <w:color w:val="00305F"/>
                <w:sz w:val="28"/>
                <w:szCs w:val="28"/>
                <w:rtl/>
              </w:rPr>
            </w:pPr>
          </w:p>
        </w:tc>
        <w:tc>
          <w:tcPr>
            <w:tcW w:w="1121" w:type="dxa"/>
          </w:tcPr>
          <w:p w14:paraId="7E32237C" w14:textId="77777777" w:rsidR="00C237BB" w:rsidRPr="00CB24DD" w:rsidRDefault="00C237BB" w:rsidP="00C237BB">
            <w:pPr>
              <w:pStyle w:val="71316"/>
              <w:spacing w:before="0" w:after="0" w:line="260" w:lineRule="exact"/>
              <w:rPr>
                <w:b w:val="0"/>
                <w:bCs w:val="0"/>
                <w:rtl/>
              </w:rPr>
            </w:pPr>
          </w:p>
        </w:tc>
      </w:tr>
      <w:tr w:rsidR="00CB24DD" w14:paraId="5AD982CB" w14:textId="77777777" w:rsidTr="00BD27D4">
        <w:tc>
          <w:tcPr>
            <w:tcW w:w="6239" w:type="dxa"/>
          </w:tcPr>
          <w:p w14:paraId="3F3F8C9B" w14:textId="2C552E53" w:rsidR="00CB24DD" w:rsidRPr="00942EE2" w:rsidRDefault="00CB24DD" w:rsidP="00CB24DD">
            <w:pPr>
              <w:widowControl w:val="0"/>
              <w:spacing w:after="180" w:line="260" w:lineRule="exact"/>
              <w:rPr>
                <w:rFonts w:ascii="Arial" w:hAnsi="Arial" w:cs="Tahoma"/>
                <w:b/>
                <w:bCs/>
                <w:color w:val="000000"/>
                <w:sz w:val="24"/>
                <w:rtl/>
              </w:rPr>
            </w:pPr>
            <w:r w:rsidRPr="00C237BB">
              <w:rPr>
                <w:rFonts w:ascii="Arial" w:hAnsi="Arial" w:cs="Tahoma" w:hint="cs"/>
                <w:color w:val="00305F"/>
                <w:sz w:val="28"/>
                <w:szCs w:val="28"/>
                <w:rtl/>
              </w:rPr>
              <w:t>משרד האנרגייה</w:t>
            </w:r>
          </w:p>
        </w:tc>
        <w:tc>
          <w:tcPr>
            <w:tcW w:w="1121" w:type="dxa"/>
          </w:tcPr>
          <w:p w14:paraId="0401F9D1" w14:textId="7C90396B" w:rsidR="00CB24DD" w:rsidRPr="00CB24DD" w:rsidRDefault="00CB24DD" w:rsidP="00CB24DD">
            <w:pPr>
              <w:pStyle w:val="71316"/>
              <w:spacing w:before="120" w:line="260" w:lineRule="exact"/>
              <w:rPr>
                <w:b w:val="0"/>
                <w:bCs w:val="0"/>
                <w:rtl/>
              </w:rPr>
            </w:pPr>
          </w:p>
        </w:tc>
      </w:tr>
      <w:tr w:rsidR="00CB24DD" w14:paraId="3F8B308F" w14:textId="77777777" w:rsidTr="00BD27D4">
        <w:tc>
          <w:tcPr>
            <w:tcW w:w="6239" w:type="dxa"/>
          </w:tcPr>
          <w:p w14:paraId="431ABD9A" w14:textId="5421C888" w:rsidR="00CB24DD" w:rsidRPr="006C067D" w:rsidRDefault="00CB24DD" w:rsidP="000E1A97">
            <w:pPr>
              <w:widowControl w:val="0"/>
              <w:spacing w:before="0" w:line="360" w:lineRule="auto"/>
              <w:rPr>
                <w:rFonts w:ascii="Arial" w:hAnsi="Arial"/>
                <w:b/>
                <w:bCs/>
                <w:sz w:val="24"/>
                <w:szCs w:val="28"/>
                <w:rtl/>
              </w:rPr>
            </w:pPr>
            <w:r w:rsidRPr="00C906CF">
              <w:rPr>
                <w:rFonts w:ascii="Arial" w:hAnsi="Arial" w:cs="Tahoma"/>
                <w:color w:val="000000"/>
                <w:sz w:val="24"/>
                <w:szCs w:val="18"/>
                <w:rtl/>
              </w:rPr>
              <w:t>היבטים סביבתיים בשיקום מחצבו</w:t>
            </w:r>
            <w:r w:rsidRPr="00C906CF">
              <w:rPr>
                <w:rFonts w:ascii="Arial" w:hAnsi="Arial" w:cs="Tahoma" w:hint="cs"/>
                <w:color w:val="000000"/>
                <w:sz w:val="24"/>
                <w:szCs w:val="18"/>
                <w:rtl/>
              </w:rPr>
              <w:t>ת</w:t>
            </w:r>
          </w:p>
        </w:tc>
        <w:tc>
          <w:tcPr>
            <w:tcW w:w="1121" w:type="dxa"/>
          </w:tcPr>
          <w:p w14:paraId="73E8A83D" w14:textId="43F7BE26" w:rsidR="00CB24DD" w:rsidRPr="003F5037" w:rsidRDefault="003F5037" w:rsidP="000E1A97">
            <w:pPr>
              <w:pStyle w:val="71316"/>
              <w:spacing w:before="0" w:line="260" w:lineRule="exact"/>
              <w:rPr>
                <w:rFonts w:ascii="Arial" w:hAnsi="Arial"/>
                <w:b w:val="0"/>
                <w:bCs w:val="0"/>
                <w:color w:val="000000"/>
                <w:sz w:val="24"/>
                <w:szCs w:val="18"/>
                <w:rtl/>
              </w:rPr>
            </w:pPr>
            <w:r w:rsidRPr="00CB24DD">
              <w:rPr>
                <w:rFonts w:ascii="Arial" w:hAnsi="Arial" w:hint="cs"/>
                <w:b w:val="0"/>
                <w:bCs w:val="0"/>
                <w:color w:val="000000"/>
                <w:sz w:val="24"/>
                <w:szCs w:val="18"/>
                <w:rtl/>
              </w:rPr>
              <w:t>355</w:t>
            </w:r>
          </w:p>
        </w:tc>
      </w:tr>
    </w:tbl>
    <w:p w14:paraId="510A60C9" w14:textId="77777777" w:rsidR="000E1A97" w:rsidRDefault="000E1A97"/>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9"/>
        <w:gridCol w:w="1121"/>
      </w:tblGrid>
      <w:tr w:rsidR="003F5037" w14:paraId="0F6F04E7" w14:textId="77777777" w:rsidTr="00BD27D4">
        <w:tc>
          <w:tcPr>
            <w:tcW w:w="6239" w:type="dxa"/>
          </w:tcPr>
          <w:p w14:paraId="7451C570" w14:textId="48343DC8" w:rsidR="003F5037" w:rsidRPr="00F56DA9" w:rsidRDefault="003F5037" w:rsidP="003F5037">
            <w:pPr>
              <w:pStyle w:val="7190"/>
              <w:rPr>
                <w:rFonts w:ascii="Arial" w:hAnsi="Arial"/>
                <w:color w:val="000000"/>
                <w:sz w:val="26"/>
                <w:szCs w:val="26"/>
                <w:rtl/>
              </w:rPr>
            </w:pPr>
            <w:r w:rsidRPr="00C237BB">
              <w:rPr>
                <w:rFonts w:hint="cs"/>
                <w:color w:val="00305F"/>
                <w:sz w:val="32"/>
                <w:szCs w:val="32"/>
                <w:rtl/>
              </w:rPr>
              <w:lastRenderedPageBreak/>
              <w:t>כרך שני</w:t>
            </w:r>
          </w:p>
        </w:tc>
        <w:tc>
          <w:tcPr>
            <w:tcW w:w="1121" w:type="dxa"/>
          </w:tcPr>
          <w:p w14:paraId="0010613D" w14:textId="77777777" w:rsidR="003F5037" w:rsidRDefault="003F5037" w:rsidP="00CB24DD">
            <w:pPr>
              <w:pStyle w:val="71316"/>
              <w:spacing w:before="120" w:line="260" w:lineRule="exact"/>
              <w:rPr>
                <w:b w:val="0"/>
                <w:bCs w:val="0"/>
                <w:rtl/>
              </w:rPr>
            </w:pPr>
          </w:p>
        </w:tc>
      </w:tr>
      <w:tr w:rsidR="000109AD" w14:paraId="0992DB06" w14:textId="77777777" w:rsidTr="00BD27D4">
        <w:tc>
          <w:tcPr>
            <w:tcW w:w="6239" w:type="dxa"/>
          </w:tcPr>
          <w:p w14:paraId="63BDF9C1" w14:textId="6E128072" w:rsidR="000109AD" w:rsidRPr="00F02FF5" w:rsidRDefault="000109AD" w:rsidP="00CB24DD">
            <w:pPr>
              <w:widowControl w:val="0"/>
              <w:spacing w:after="180" w:line="260" w:lineRule="exact"/>
              <w:rPr>
                <w:rFonts w:ascii="Arial" w:hAnsi="Arial" w:cs="Tahoma"/>
                <w:color w:val="000000"/>
                <w:sz w:val="22"/>
                <w:szCs w:val="22"/>
                <w:rtl/>
              </w:rPr>
            </w:pPr>
            <w:r w:rsidRPr="00C237BB">
              <w:rPr>
                <w:rFonts w:ascii="Arial" w:hAnsi="Arial" w:cs="Tahoma" w:hint="cs"/>
                <w:color w:val="00305F"/>
                <w:sz w:val="28"/>
                <w:szCs w:val="28"/>
                <w:rtl/>
              </w:rPr>
              <w:t>המשרד לביטחון הפנים</w:t>
            </w:r>
          </w:p>
        </w:tc>
        <w:tc>
          <w:tcPr>
            <w:tcW w:w="1121" w:type="dxa"/>
          </w:tcPr>
          <w:p w14:paraId="0A235C26" w14:textId="77777777" w:rsidR="000109AD" w:rsidRDefault="000109AD" w:rsidP="00CB24DD">
            <w:pPr>
              <w:pStyle w:val="71316"/>
              <w:spacing w:before="120" w:line="260" w:lineRule="exact"/>
              <w:rPr>
                <w:b w:val="0"/>
                <w:bCs w:val="0"/>
                <w:rtl/>
              </w:rPr>
            </w:pPr>
          </w:p>
        </w:tc>
      </w:tr>
      <w:tr w:rsidR="00CB24DD" w14:paraId="36732CEF" w14:textId="77777777" w:rsidTr="00BD27D4">
        <w:tc>
          <w:tcPr>
            <w:tcW w:w="6239" w:type="dxa"/>
          </w:tcPr>
          <w:p w14:paraId="64B7A173" w14:textId="124A50B8" w:rsidR="00CB24DD" w:rsidRPr="000E1A97" w:rsidRDefault="00CB24DD" w:rsidP="00CB24DD">
            <w:pPr>
              <w:widowControl w:val="0"/>
              <w:spacing w:after="180" w:line="260" w:lineRule="exact"/>
              <w:rPr>
                <w:color w:val="00305F"/>
                <w:sz w:val="22"/>
                <w:szCs w:val="22"/>
                <w:rtl/>
              </w:rPr>
            </w:pPr>
            <w:r w:rsidRPr="000E1A97">
              <w:rPr>
                <w:rFonts w:ascii="Arial" w:hAnsi="Arial" w:cs="Tahoma" w:hint="cs"/>
                <w:color w:val="00305F"/>
                <w:sz w:val="22"/>
                <w:szCs w:val="22"/>
                <w:rtl/>
              </w:rPr>
              <w:t>שירות בתי הסוהר</w:t>
            </w:r>
          </w:p>
        </w:tc>
        <w:tc>
          <w:tcPr>
            <w:tcW w:w="1121" w:type="dxa"/>
          </w:tcPr>
          <w:p w14:paraId="73B9B575" w14:textId="77777777" w:rsidR="00CB24DD" w:rsidRDefault="00CB24DD" w:rsidP="00CB24DD">
            <w:pPr>
              <w:pStyle w:val="71316"/>
              <w:spacing w:before="120" w:line="260" w:lineRule="exact"/>
              <w:rPr>
                <w:b w:val="0"/>
                <w:bCs w:val="0"/>
                <w:rtl/>
              </w:rPr>
            </w:pPr>
          </w:p>
        </w:tc>
      </w:tr>
      <w:tr w:rsidR="00CB24DD" w14:paraId="497C6BBF" w14:textId="77777777" w:rsidTr="00BD27D4">
        <w:tc>
          <w:tcPr>
            <w:tcW w:w="6239" w:type="dxa"/>
          </w:tcPr>
          <w:p w14:paraId="27D63064" w14:textId="370E675D" w:rsidR="00CB24DD" w:rsidRDefault="00CB24DD" w:rsidP="000E1A97">
            <w:pPr>
              <w:widowControl w:val="0"/>
              <w:spacing w:before="0" w:line="360" w:lineRule="auto"/>
              <w:rPr>
                <w:rFonts w:ascii="Arial" w:hAnsi="Arial"/>
                <w:b/>
                <w:bCs/>
                <w:sz w:val="24"/>
                <w:shd w:val="clear" w:color="auto" w:fill="FFFFFF"/>
                <w:rtl/>
              </w:rPr>
            </w:pPr>
            <w:r w:rsidRPr="00C906CF">
              <w:rPr>
                <w:rFonts w:ascii="Arial" w:hAnsi="Arial" w:cs="Tahoma" w:hint="cs"/>
                <w:color w:val="000000"/>
                <w:sz w:val="24"/>
                <w:szCs w:val="18"/>
                <w:rtl/>
              </w:rPr>
              <w:t>שיקום אסירים בישראל</w:t>
            </w:r>
          </w:p>
        </w:tc>
        <w:tc>
          <w:tcPr>
            <w:tcW w:w="1121" w:type="dxa"/>
          </w:tcPr>
          <w:p w14:paraId="5F0B244C" w14:textId="2510BA80" w:rsidR="00CB24DD" w:rsidRPr="00DB7CD9" w:rsidRDefault="003A4571" w:rsidP="000E1A97">
            <w:pPr>
              <w:pStyle w:val="71316"/>
              <w:spacing w:before="0" w:line="260" w:lineRule="exact"/>
              <w:rPr>
                <w:rFonts w:ascii="Arial" w:hAnsi="Arial"/>
                <w:b w:val="0"/>
                <w:bCs w:val="0"/>
                <w:color w:val="000000"/>
                <w:sz w:val="24"/>
                <w:szCs w:val="18"/>
                <w:rtl/>
              </w:rPr>
            </w:pPr>
            <w:r>
              <w:rPr>
                <w:rFonts w:ascii="Arial" w:hAnsi="Arial" w:hint="cs"/>
                <w:b w:val="0"/>
                <w:bCs w:val="0"/>
                <w:color w:val="000000"/>
                <w:sz w:val="24"/>
                <w:szCs w:val="18"/>
                <w:rtl/>
              </w:rPr>
              <w:t>457</w:t>
            </w:r>
          </w:p>
        </w:tc>
      </w:tr>
      <w:tr w:rsidR="00CB24DD" w14:paraId="7A200CBB" w14:textId="77777777" w:rsidTr="00BD27D4">
        <w:tc>
          <w:tcPr>
            <w:tcW w:w="6239" w:type="dxa"/>
          </w:tcPr>
          <w:p w14:paraId="58CA5C27" w14:textId="77777777" w:rsidR="00CB24DD" w:rsidRPr="00C906CF" w:rsidRDefault="00CB24DD" w:rsidP="00C237BB">
            <w:pPr>
              <w:widowControl w:val="0"/>
              <w:spacing w:before="0" w:line="260" w:lineRule="exact"/>
              <w:rPr>
                <w:rFonts w:ascii="Arial" w:hAnsi="Arial" w:cs="Tahoma"/>
                <w:color w:val="000000"/>
                <w:sz w:val="24"/>
                <w:szCs w:val="18"/>
                <w:rtl/>
              </w:rPr>
            </w:pPr>
          </w:p>
        </w:tc>
        <w:tc>
          <w:tcPr>
            <w:tcW w:w="1121" w:type="dxa"/>
          </w:tcPr>
          <w:p w14:paraId="663E2BB8" w14:textId="77777777" w:rsidR="00CB24DD" w:rsidRDefault="00CB24DD" w:rsidP="00C237BB">
            <w:pPr>
              <w:pStyle w:val="71316"/>
              <w:spacing w:before="0" w:after="0" w:line="260" w:lineRule="exact"/>
              <w:rPr>
                <w:b w:val="0"/>
                <w:bCs w:val="0"/>
                <w:rtl/>
              </w:rPr>
            </w:pPr>
          </w:p>
        </w:tc>
      </w:tr>
      <w:tr w:rsidR="00CB24DD" w14:paraId="4B24F2B5" w14:textId="77777777" w:rsidTr="00BD27D4">
        <w:tc>
          <w:tcPr>
            <w:tcW w:w="6239" w:type="dxa"/>
          </w:tcPr>
          <w:p w14:paraId="455790DB" w14:textId="5BF956A7" w:rsidR="00CB24DD" w:rsidRPr="00C906CF" w:rsidRDefault="00CB24DD" w:rsidP="00CB24DD">
            <w:pPr>
              <w:widowControl w:val="0"/>
              <w:spacing w:after="180" w:line="260" w:lineRule="exact"/>
              <w:rPr>
                <w:rFonts w:ascii="Arial" w:hAnsi="Arial" w:cs="Tahoma"/>
                <w:color w:val="000000"/>
                <w:sz w:val="24"/>
                <w:szCs w:val="18"/>
                <w:rtl/>
              </w:rPr>
            </w:pPr>
            <w:r w:rsidRPr="000E1A97">
              <w:rPr>
                <w:rFonts w:ascii="Arial" w:hAnsi="Arial" w:cs="Tahoma" w:hint="cs"/>
                <w:color w:val="00305F"/>
                <w:sz w:val="22"/>
                <w:szCs w:val="22"/>
                <w:rtl/>
              </w:rPr>
              <w:t>הרשות הארצית לכבאות והצלה</w:t>
            </w:r>
          </w:p>
        </w:tc>
        <w:tc>
          <w:tcPr>
            <w:tcW w:w="1121" w:type="dxa"/>
          </w:tcPr>
          <w:p w14:paraId="4B5D08BC" w14:textId="77777777" w:rsidR="00CB24DD" w:rsidRDefault="00CB24DD" w:rsidP="00CB24DD">
            <w:pPr>
              <w:pStyle w:val="71316"/>
              <w:spacing w:before="120" w:line="260" w:lineRule="exact"/>
              <w:rPr>
                <w:b w:val="0"/>
                <w:bCs w:val="0"/>
                <w:rtl/>
              </w:rPr>
            </w:pPr>
          </w:p>
        </w:tc>
      </w:tr>
      <w:tr w:rsidR="00CB24DD" w14:paraId="2E7FD22E" w14:textId="77777777" w:rsidTr="00BD27D4">
        <w:tc>
          <w:tcPr>
            <w:tcW w:w="6239" w:type="dxa"/>
          </w:tcPr>
          <w:p w14:paraId="740B8315" w14:textId="25754084" w:rsidR="00CB24DD" w:rsidRPr="006C067D" w:rsidRDefault="00CB24DD" w:rsidP="000E1A97">
            <w:pPr>
              <w:tabs>
                <w:tab w:val="left" w:pos="580"/>
              </w:tabs>
              <w:spacing w:before="0" w:line="360" w:lineRule="auto"/>
              <w:rPr>
                <w:b/>
                <w:bCs/>
                <w:rtl/>
              </w:rPr>
            </w:pPr>
            <w:r w:rsidRPr="00C906CF">
              <w:rPr>
                <w:rFonts w:ascii="Arial" w:hAnsi="Arial" w:cs="Tahoma"/>
                <w:color w:val="000000"/>
                <w:sz w:val="24"/>
                <w:szCs w:val="18"/>
                <w:rtl/>
              </w:rPr>
              <w:t xml:space="preserve">הכשרות ואימונים ברשות הארצית לכבאות והצלה בראי איומי </w:t>
            </w:r>
            <w:r w:rsidRPr="00C906CF">
              <w:rPr>
                <w:rFonts w:ascii="Arial" w:hAnsi="Arial" w:cs="Tahoma" w:hint="cs"/>
                <w:color w:val="000000"/>
                <w:sz w:val="24"/>
                <w:szCs w:val="18"/>
                <w:rtl/>
              </w:rPr>
              <w:t>ה</w:t>
            </w:r>
            <w:r w:rsidRPr="00C906CF">
              <w:rPr>
                <w:rFonts w:ascii="Arial" w:hAnsi="Arial" w:cs="Tahoma"/>
                <w:color w:val="000000"/>
                <w:sz w:val="24"/>
                <w:szCs w:val="18"/>
                <w:rtl/>
              </w:rPr>
              <w:t>ייחוס</w:t>
            </w:r>
          </w:p>
        </w:tc>
        <w:tc>
          <w:tcPr>
            <w:tcW w:w="1121" w:type="dxa"/>
          </w:tcPr>
          <w:p w14:paraId="78B0B795" w14:textId="3B628AD3" w:rsidR="00CB24DD" w:rsidRPr="00DB7CD9" w:rsidRDefault="003A4571" w:rsidP="000E1A97">
            <w:pPr>
              <w:pStyle w:val="71316"/>
              <w:spacing w:before="0" w:line="260" w:lineRule="exact"/>
              <w:rPr>
                <w:rFonts w:ascii="Arial" w:hAnsi="Arial"/>
                <w:b w:val="0"/>
                <w:bCs w:val="0"/>
                <w:color w:val="000000"/>
                <w:sz w:val="24"/>
                <w:szCs w:val="18"/>
                <w:rtl/>
              </w:rPr>
            </w:pPr>
            <w:r>
              <w:rPr>
                <w:rFonts w:ascii="Arial" w:hAnsi="Arial" w:hint="cs"/>
                <w:b w:val="0"/>
                <w:bCs w:val="0"/>
                <w:color w:val="000000"/>
                <w:sz w:val="24"/>
                <w:szCs w:val="18"/>
                <w:rtl/>
              </w:rPr>
              <w:t>551</w:t>
            </w:r>
          </w:p>
        </w:tc>
      </w:tr>
      <w:tr w:rsidR="00CB24DD" w14:paraId="09B551D8" w14:textId="77777777" w:rsidTr="00BD27D4">
        <w:tc>
          <w:tcPr>
            <w:tcW w:w="6239" w:type="dxa"/>
          </w:tcPr>
          <w:p w14:paraId="0083088B" w14:textId="77777777" w:rsidR="00CB24DD" w:rsidRPr="00C906CF" w:rsidRDefault="00CB24DD" w:rsidP="00C237BB">
            <w:pPr>
              <w:tabs>
                <w:tab w:val="left" w:pos="580"/>
              </w:tabs>
              <w:spacing w:before="0" w:line="260" w:lineRule="exact"/>
              <w:rPr>
                <w:rFonts w:ascii="Arial" w:hAnsi="Arial" w:cs="Tahoma"/>
                <w:color w:val="000000"/>
                <w:sz w:val="24"/>
                <w:szCs w:val="18"/>
                <w:rtl/>
              </w:rPr>
            </w:pPr>
          </w:p>
        </w:tc>
        <w:tc>
          <w:tcPr>
            <w:tcW w:w="1121" w:type="dxa"/>
          </w:tcPr>
          <w:p w14:paraId="3DEB5F57" w14:textId="77777777" w:rsidR="00CB24DD" w:rsidRDefault="00CB24DD" w:rsidP="00C237BB">
            <w:pPr>
              <w:pStyle w:val="71316"/>
              <w:spacing w:before="0" w:after="0" w:line="260" w:lineRule="exact"/>
              <w:rPr>
                <w:b w:val="0"/>
                <w:bCs w:val="0"/>
                <w:rtl/>
              </w:rPr>
            </w:pPr>
          </w:p>
        </w:tc>
      </w:tr>
      <w:tr w:rsidR="00CB24DD" w14:paraId="5E0DF2AB" w14:textId="77777777" w:rsidTr="00BD27D4">
        <w:tc>
          <w:tcPr>
            <w:tcW w:w="6239" w:type="dxa"/>
          </w:tcPr>
          <w:p w14:paraId="49DBE37E" w14:textId="2DB0BBCB" w:rsidR="00CB24DD" w:rsidRPr="00942EE2" w:rsidRDefault="00CB24DD" w:rsidP="00CB24DD">
            <w:pPr>
              <w:widowControl w:val="0"/>
              <w:spacing w:after="180" w:line="260" w:lineRule="exact"/>
              <w:rPr>
                <w:rFonts w:ascii="Arial" w:hAnsi="Arial" w:cs="Tahoma"/>
                <w:b/>
                <w:bCs/>
                <w:color w:val="000000"/>
                <w:sz w:val="24"/>
                <w:rtl/>
              </w:rPr>
            </w:pPr>
            <w:r w:rsidRPr="00C237BB">
              <w:rPr>
                <w:rFonts w:ascii="Arial" w:hAnsi="Arial" w:cs="Tahoma" w:hint="cs"/>
                <w:color w:val="00305F"/>
                <w:sz w:val="28"/>
                <w:szCs w:val="28"/>
                <w:rtl/>
              </w:rPr>
              <w:t>משרד הבריאות</w:t>
            </w:r>
          </w:p>
        </w:tc>
        <w:tc>
          <w:tcPr>
            <w:tcW w:w="1121" w:type="dxa"/>
          </w:tcPr>
          <w:p w14:paraId="13B33BE8" w14:textId="77777777" w:rsidR="00CB24DD" w:rsidRDefault="00CB24DD" w:rsidP="00CB24DD">
            <w:pPr>
              <w:pStyle w:val="71316"/>
              <w:spacing w:before="120" w:line="260" w:lineRule="exact"/>
              <w:rPr>
                <w:b w:val="0"/>
                <w:bCs w:val="0"/>
                <w:rtl/>
              </w:rPr>
            </w:pPr>
          </w:p>
        </w:tc>
      </w:tr>
      <w:tr w:rsidR="00CB24DD" w14:paraId="74A2EA2D" w14:textId="77777777" w:rsidTr="00BD27D4">
        <w:tc>
          <w:tcPr>
            <w:tcW w:w="6239" w:type="dxa"/>
          </w:tcPr>
          <w:p w14:paraId="4015F93A" w14:textId="2D3DADE5" w:rsidR="00CB24DD" w:rsidRPr="00B7275C" w:rsidRDefault="00CB24DD" w:rsidP="000E1A97">
            <w:pPr>
              <w:spacing w:before="0" w:line="360" w:lineRule="auto"/>
              <w:rPr>
                <w:rFonts w:ascii="Arial" w:hAnsi="Arial" w:cs="Tahoma"/>
                <w:color w:val="000000"/>
                <w:sz w:val="24"/>
                <w:szCs w:val="18"/>
                <w:rtl/>
              </w:rPr>
            </w:pPr>
            <w:r w:rsidRPr="00B7275C">
              <w:rPr>
                <w:rFonts w:ascii="Arial" w:hAnsi="Arial" w:cs="Tahoma" w:hint="cs"/>
                <w:color w:val="000000"/>
                <w:sz w:val="24"/>
                <w:szCs w:val="18"/>
                <w:rtl/>
              </w:rPr>
              <w:t>מכבי שירותי בריאות והתאגידים הקשורים אליה - היבטים פיננסיים</w:t>
            </w:r>
          </w:p>
        </w:tc>
        <w:tc>
          <w:tcPr>
            <w:tcW w:w="1121" w:type="dxa"/>
          </w:tcPr>
          <w:p w14:paraId="2606F99E" w14:textId="7120AF8B" w:rsidR="00CB24DD" w:rsidRPr="00DB7CD9" w:rsidRDefault="003A4571" w:rsidP="000E1A97">
            <w:pPr>
              <w:pStyle w:val="71316"/>
              <w:spacing w:before="0" w:line="260" w:lineRule="exact"/>
              <w:rPr>
                <w:rFonts w:ascii="Arial" w:hAnsi="Arial"/>
                <w:b w:val="0"/>
                <w:bCs w:val="0"/>
                <w:color w:val="000000"/>
                <w:sz w:val="24"/>
                <w:szCs w:val="18"/>
                <w:rtl/>
              </w:rPr>
            </w:pPr>
            <w:r>
              <w:rPr>
                <w:rFonts w:ascii="Arial" w:hAnsi="Arial" w:hint="cs"/>
                <w:b w:val="0"/>
                <w:bCs w:val="0"/>
                <w:color w:val="000000"/>
                <w:sz w:val="24"/>
                <w:szCs w:val="18"/>
                <w:rtl/>
              </w:rPr>
              <w:t>641</w:t>
            </w:r>
          </w:p>
        </w:tc>
      </w:tr>
      <w:tr w:rsidR="00CB24DD" w14:paraId="779EB33B" w14:textId="77777777" w:rsidTr="00BD27D4">
        <w:tc>
          <w:tcPr>
            <w:tcW w:w="6239" w:type="dxa"/>
          </w:tcPr>
          <w:p w14:paraId="78971A9B" w14:textId="57E33195" w:rsidR="00CB24DD" w:rsidRPr="00B7275C" w:rsidRDefault="00CB24DD" w:rsidP="000E1A97">
            <w:pPr>
              <w:spacing w:before="0" w:line="360" w:lineRule="auto"/>
              <w:rPr>
                <w:rFonts w:ascii="Arial" w:hAnsi="Arial" w:cs="Tahoma"/>
                <w:color w:val="000000"/>
                <w:sz w:val="24"/>
                <w:szCs w:val="18"/>
                <w:rtl/>
              </w:rPr>
            </w:pPr>
            <w:r w:rsidRPr="00B7275C">
              <w:rPr>
                <w:rFonts w:ascii="Arial" w:hAnsi="Arial" w:cs="Tahoma"/>
                <w:color w:val="000000"/>
                <w:sz w:val="24"/>
                <w:szCs w:val="18"/>
                <w:rtl/>
              </w:rPr>
              <w:t>הפעלת חדרי ניתוח בבתי חולים כלליים - ביקורת מעקב</w:t>
            </w:r>
          </w:p>
        </w:tc>
        <w:tc>
          <w:tcPr>
            <w:tcW w:w="1121" w:type="dxa"/>
          </w:tcPr>
          <w:p w14:paraId="57E497C1" w14:textId="1F677A55" w:rsidR="00CB24DD" w:rsidRPr="00DB7CD9" w:rsidRDefault="003A4571" w:rsidP="000E1A97">
            <w:pPr>
              <w:pStyle w:val="71316"/>
              <w:spacing w:before="0" w:line="260" w:lineRule="exact"/>
              <w:rPr>
                <w:rFonts w:ascii="Arial" w:hAnsi="Arial"/>
                <w:b w:val="0"/>
                <w:bCs w:val="0"/>
                <w:color w:val="000000"/>
                <w:sz w:val="24"/>
                <w:szCs w:val="18"/>
                <w:rtl/>
              </w:rPr>
            </w:pPr>
            <w:r>
              <w:rPr>
                <w:rFonts w:ascii="Arial" w:hAnsi="Arial" w:hint="cs"/>
                <w:b w:val="0"/>
                <w:bCs w:val="0"/>
                <w:color w:val="000000"/>
                <w:sz w:val="24"/>
                <w:szCs w:val="18"/>
                <w:rtl/>
              </w:rPr>
              <w:t>719</w:t>
            </w:r>
          </w:p>
        </w:tc>
      </w:tr>
      <w:tr w:rsidR="00CB24DD" w14:paraId="08E16A8C" w14:textId="77777777" w:rsidTr="00F52A00">
        <w:tc>
          <w:tcPr>
            <w:tcW w:w="6239" w:type="dxa"/>
          </w:tcPr>
          <w:p w14:paraId="686897ED" w14:textId="77777777" w:rsidR="00CB24DD" w:rsidRPr="00B7275C" w:rsidRDefault="00CB24DD" w:rsidP="00C237BB">
            <w:pPr>
              <w:spacing w:before="0" w:line="260" w:lineRule="exact"/>
              <w:rPr>
                <w:rFonts w:ascii="Arial" w:hAnsi="Arial" w:cs="Tahoma"/>
                <w:color w:val="000000"/>
                <w:sz w:val="24"/>
                <w:szCs w:val="18"/>
                <w:rtl/>
              </w:rPr>
            </w:pPr>
          </w:p>
        </w:tc>
        <w:tc>
          <w:tcPr>
            <w:tcW w:w="1121" w:type="dxa"/>
          </w:tcPr>
          <w:p w14:paraId="0F995869" w14:textId="77777777" w:rsidR="00CB24DD" w:rsidRDefault="00CB24DD" w:rsidP="00C237BB">
            <w:pPr>
              <w:pStyle w:val="71316"/>
              <w:spacing w:before="0" w:after="0" w:line="260" w:lineRule="exact"/>
              <w:rPr>
                <w:b w:val="0"/>
                <w:bCs w:val="0"/>
                <w:rtl/>
              </w:rPr>
            </w:pPr>
          </w:p>
        </w:tc>
      </w:tr>
      <w:tr w:rsidR="00CB24DD" w14:paraId="72CAB87F" w14:textId="77777777" w:rsidTr="00F52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39" w:type="dxa"/>
            <w:tcBorders>
              <w:top w:val="nil"/>
              <w:left w:val="nil"/>
              <w:bottom w:val="nil"/>
              <w:right w:val="nil"/>
            </w:tcBorders>
          </w:tcPr>
          <w:p w14:paraId="7835B19C" w14:textId="0DD969EA" w:rsidR="00CB24DD" w:rsidRPr="00942EE2" w:rsidRDefault="00CB24DD" w:rsidP="00CB24DD">
            <w:pPr>
              <w:widowControl w:val="0"/>
              <w:spacing w:after="180" w:line="260" w:lineRule="exact"/>
              <w:rPr>
                <w:rFonts w:ascii="Arial" w:hAnsi="Arial" w:cs="Tahoma"/>
                <w:b/>
                <w:bCs/>
                <w:color w:val="000000"/>
                <w:sz w:val="24"/>
                <w:szCs w:val="18"/>
                <w:rtl/>
              </w:rPr>
            </w:pPr>
            <w:r w:rsidRPr="00C237BB">
              <w:rPr>
                <w:rFonts w:ascii="Arial" w:hAnsi="Arial" w:cs="Tahoma" w:hint="cs"/>
                <w:color w:val="00305F"/>
                <w:sz w:val="28"/>
                <w:szCs w:val="28"/>
                <w:rtl/>
              </w:rPr>
              <w:t>המשרד להגנת הסביבה</w:t>
            </w:r>
          </w:p>
        </w:tc>
        <w:tc>
          <w:tcPr>
            <w:tcW w:w="1121" w:type="dxa"/>
            <w:tcBorders>
              <w:top w:val="nil"/>
              <w:left w:val="nil"/>
              <w:bottom w:val="nil"/>
              <w:right w:val="nil"/>
            </w:tcBorders>
          </w:tcPr>
          <w:p w14:paraId="3EEBAFF9" w14:textId="77777777" w:rsidR="00CB24DD" w:rsidRDefault="00CB24DD" w:rsidP="00CB24DD">
            <w:pPr>
              <w:pStyle w:val="71316"/>
              <w:spacing w:before="120" w:line="260" w:lineRule="exact"/>
              <w:rPr>
                <w:b w:val="0"/>
                <w:bCs w:val="0"/>
                <w:rtl/>
              </w:rPr>
            </w:pPr>
          </w:p>
        </w:tc>
      </w:tr>
      <w:tr w:rsidR="00CB24DD" w14:paraId="41F21E48" w14:textId="77777777" w:rsidTr="00F52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39" w:type="dxa"/>
            <w:tcBorders>
              <w:top w:val="nil"/>
              <w:left w:val="nil"/>
              <w:bottom w:val="nil"/>
              <w:right w:val="nil"/>
            </w:tcBorders>
          </w:tcPr>
          <w:p w14:paraId="73DD735F" w14:textId="3162F8A1" w:rsidR="00CB24DD" w:rsidRPr="00B7275C" w:rsidRDefault="00CB24DD" w:rsidP="000E1A97">
            <w:pPr>
              <w:spacing w:before="0" w:line="360" w:lineRule="auto"/>
              <w:rPr>
                <w:rFonts w:ascii="Arial" w:hAnsi="Arial" w:cs="Tahoma"/>
                <w:color w:val="000000"/>
                <w:sz w:val="24"/>
                <w:szCs w:val="18"/>
                <w:rtl/>
              </w:rPr>
            </w:pPr>
            <w:r w:rsidRPr="00B7275C">
              <w:rPr>
                <w:rFonts w:ascii="Arial" w:hAnsi="Arial" w:cs="Tahoma"/>
                <w:color w:val="000000"/>
                <w:sz w:val="24"/>
                <w:szCs w:val="18"/>
                <w:rtl/>
              </w:rPr>
              <w:t>הטיפול בפסולת ב</w:t>
            </w:r>
            <w:r w:rsidRPr="00B7275C">
              <w:rPr>
                <w:rFonts w:ascii="Arial" w:hAnsi="Arial" w:cs="Tahoma" w:hint="cs"/>
                <w:color w:val="000000"/>
                <w:sz w:val="24"/>
                <w:szCs w:val="18"/>
                <w:rtl/>
              </w:rPr>
              <w:t>ניין</w:t>
            </w:r>
          </w:p>
        </w:tc>
        <w:tc>
          <w:tcPr>
            <w:tcW w:w="1121" w:type="dxa"/>
            <w:tcBorders>
              <w:top w:val="nil"/>
              <w:left w:val="nil"/>
              <w:bottom w:val="nil"/>
              <w:right w:val="nil"/>
            </w:tcBorders>
          </w:tcPr>
          <w:p w14:paraId="119FFE79" w14:textId="6A68CB2C" w:rsidR="00CB24DD" w:rsidRPr="00DB7CD9" w:rsidRDefault="003A4571" w:rsidP="000E1A97">
            <w:pPr>
              <w:pStyle w:val="71316"/>
              <w:spacing w:before="0" w:line="260" w:lineRule="exact"/>
              <w:rPr>
                <w:rFonts w:ascii="Arial" w:hAnsi="Arial"/>
                <w:b w:val="0"/>
                <w:bCs w:val="0"/>
                <w:color w:val="000000"/>
                <w:sz w:val="24"/>
                <w:szCs w:val="18"/>
                <w:rtl/>
              </w:rPr>
            </w:pPr>
            <w:r>
              <w:rPr>
                <w:rFonts w:ascii="Arial" w:hAnsi="Arial" w:hint="cs"/>
                <w:b w:val="0"/>
                <w:bCs w:val="0"/>
                <w:color w:val="000000"/>
                <w:sz w:val="24"/>
                <w:szCs w:val="18"/>
                <w:rtl/>
              </w:rPr>
              <w:t>803</w:t>
            </w:r>
          </w:p>
        </w:tc>
      </w:tr>
      <w:tr w:rsidR="00C237BB" w14:paraId="03956B24" w14:textId="77777777" w:rsidTr="00BD27D4">
        <w:tc>
          <w:tcPr>
            <w:tcW w:w="6239" w:type="dxa"/>
          </w:tcPr>
          <w:p w14:paraId="6A23F36F" w14:textId="77777777" w:rsidR="00C237BB" w:rsidRPr="00C237BB" w:rsidRDefault="00C237BB" w:rsidP="00C237BB">
            <w:pPr>
              <w:widowControl w:val="0"/>
              <w:spacing w:before="0" w:line="260" w:lineRule="exact"/>
              <w:rPr>
                <w:rFonts w:ascii="Arial" w:hAnsi="Arial" w:cs="Tahoma"/>
                <w:color w:val="00305F"/>
                <w:sz w:val="28"/>
                <w:szCs w:val="28"/>
                <w:rtl/>
              </w:rPr>
            </w:pPr>
          </w:p>
        </w:tc>
        <w:tc>
          <w:tcPr>
            <w:tcW w:w="1121" w:type="dxa"/>
          </w:tcPr>
          <w:p w14:paraId="003EC843" w14:textId="77777777" w:rsidR="00C237BB" w:rsidRDefault="00C237BB" w:rsidP="00C237BB">
            <w:pPr>
              <w:pStyle w:val="71316"/>
              <w:spacing w:before="0" w:after="0" w:line="260" w:lineRule="exact"/>
              <w:rPr>
                <w:b w:val="0"/>
                <w:bCs w:val="0"/>
                <w:rtl/>
              </w:rPr>
            </w:pPr>
          </w:p>
        </w:tc>
      </w:tr>
      <w:tr w:rsidR="00CB24DD" w14:paraId="3FE095E8" w14:textId="77777777" w:rsidTr="00BD27D4">
        <w:tc>
          <w:tcPr>
            <w:tcW w:w="6239" w:type="dxa"/>
          </w:tcPr>
          <w:p w14:paraId="02E2D7D5" w14:textId="2352A500" w:rsidR="00CB24DD" w:rsidRPr="00942EE2" w:rsidRDefault="00CB24DD" w:rsidP="00CB24DD">
            <w:pPr>
              <w:widowControl w:val="0"/>
              <w:spacing w:after="180" w:line="260" w:lineRule="exact"/>
              <w:rPr>
                <w:rFonts w:ascii="Arial" w:hAnsi="Arial" w:cs="Tahoma"/>
                <w:b/>
                <w:bCs/>
                <w:color w:val="000000"/>
                <w:sz w:val="22"/>
                <w:szCs w:val="22"/>
                <w:rtl/>
              </w:rPr>
            </w:pPr>
            <w:r w:rsidRPr="00C237BB">
              <w:rPr>
                <w:rFonts w:ascii="Arial" w:hAnsi="Arial" w:cs="Tahoma" w:hint="cs"/>
                <w:color w:val="00305F"/>
                <w:sz w:val="28"/>
                <w:szCs w:val="28"/>
                <w:rtl/>
              </w:rPr>
              <w:t>משרד החוץ</w:t>
            </w:r>
          </w:p>
        </w:tc>
        <w:tc>
          <w:tcPr>
            <w:tcW w:w="1121" w:type="dxa"/>
          </w:tcPr>
          <w:p w14:paraId="537EBB34" w14:textId="77777777" w:rsidR="00CB24DD" w:rsidRDefault="00CB24DD" w:rsidP="00CB24DD">
            <w:pPr>
              <w:pStyle w:val="71316"/>
              <w:spacing w:before="120" w:line="260" w:lineRule="exact"/>
              <w:rPr>
                <w:b w:val="0"/>
                <w:bCs w:val="0"/>
                <w:rtl/>
              </w:rPr>
            </w:pPr>
          </w:p>
        </w:tc>
      </w:tr>
      <w:tr w:rsidR="00CB24DD" w14:paraId="56143EDE" w14:textId="77777777" w:rsidTr="00BD27D4">
        <w:tc>
          <w:tcPr>
            <w:tcW w:w="6239" w:type="dxa"/>
          </w:tcPr>
          <w:p w14:paraId="01A78ACB" w14:textId="49C585ED" w:rsidR="00CB24DD" w:rsidRPr="00B7275C" w:rsidRDefault="00CB24DD" w:rsidP="000E1A97">
            <w:pPr>
              <w:spacing w:before="0" w:line="360" w:lineRule="auto"/>
              <w:rPr>
                <w:rFonts w:ascii="Arial" w:hAnsi="Arial" w:cs="Tahoma"/>
                <w:color w:val="000000"/>
                <w:sz w:val="24"/>
                <w:szCs w:val="18"/>
                <w:rtl/>
              </w:rPr>
            </w:pPr>
            <w:r w:rsidRPr="00B7275C">
              <w:rPr>
                <w:rFonts w:ascii="Arial" w:hAnsi="Arial" w:cs="Tahoma"/>
                <w:color w:val="000000"/>
                <w:sz w:val="24"/>
                <w:szCs w:val="18"/>
                <w:rtl/>
              </w:rPr>
              <w:t>השירות הקונסולרי - טיפול משרד החוץ בישראלים במצוקה בחו"ל</w:t>
            </w:r>
          </w:p>
        </w:tc>
        <w:tc>
          <w:tcPr>
            <w:tcW w:w="1121" w:type="dxa"/>
          </w:tcPr>
          <w:p w14:paraId="13845096" w14:textId="7B701B42" w:rsidR="00CB24DD" w:rsidRPr="00DB7CD9" w:rsidRDefault="003A4571" w:rsidP="000E1A97">
            <w:pPr>
              <w:pStyle w:val="71316"/>
              <w:spacing w:before="0" w:line="260" w:lineRule="exact"/>
              <w:rPr>
                <w:rFonts w:ascii="Arial" w:hAnsi="Arial"/>
                <w:b w:val="0"/>
                <w:bCs w:val="0"/>
                <w:color w:val="000000"/>
                <w:sz w:val="24"/>
                <w:szCs w:val="18"/>
                <w:rtl/>
              </w:rPr>
            </w:pPr>
            <w:r>
              <w:rPr>
                <w:rFonts w:ascii="Arial" w:hAnsi="Arial" w:hint="cs"/>
                <w:b w:val="0"/>
                <w:bCs w:val="0"/>
                <w:color w:val="000000"/>
                <w:sz w:val="24"/>
                <w:szCs w:val="18"/>
                <w:rtl/>
              </w:rPr>
              <w:t>903</w:t>
            </w:r>
          </w:p>
        </w:tc>
      </w:tr>
      <w:tr w:rsidR="00F62AB1" w14:paraId="672AB416" w14:textId="77777777" w:rsidTr="00BD27D4">
        <w:tc>
          <w:tcPr>
            <w:tcW w:w="6239" w:type="dxa"/>
          </w:tcPr>
          <w:p w14:paraId="02D9A572" w14:textId="77777777" w:rsidR="00F62AB1" w:rsidRPr="00C237BB" w:rsidRDefault="00F62AB1" w:rsidP="00F56DA9">
            <w:pPr>
              <w:pStyle w:val="7190"/>
              <w:rPr>
                <w:color w:val="00305F"/>
                <w:sz w:val="32"/>
                <w:szCs w:val="32"/>
                <w:rtl/>
              </w:rPr>
            </w:pPr>
          </w:p>
        </w:tc>
        <w:tc>
          <w:tcPr>
            <w:tcW w:w="1121" w:type="dxa"/>
          </w:tcPr>
          <w:p w14:paraId="72ACB863" w14:textId="77777777" w:rsidR="00F62AB1" w:rsidRDefault="00F62AB1" w:rsidP="00CB24DD">
            <w:pPr>
              <w:pStyle w:val="71316"/>
              <w:spacing w:before="120" w:line="260" w:lineRule="exact"/>
              <w:rPr>
                <w:b w:val="0"/>
                <w:bCs w:val="0"/>
                <w:rtl/>
              </w:rPr>
            </w:pPr>
          </w:p>
        </w:tc>
      </w:tr>
      <w:tr w:rsidR="00F56DA9" w14:paraId="384F51A1" w14:textId="77777777" w:rsidTr="00BD27D4">
        <w:tc>
          <w:tcPr>
            <w:tcW w:w="6239" w:type="dxa"/>
          </w:tcPr>
          <w:p w14:paraId="12F417FC" w14:textId="36522D9E" w:rsidR="00F56DA9" w:rsidRPr="00F56DA9" w:rsidRDefault="00F56DA9" w:rsidP="00F56DA9">
            <w:pPr>
              <w:pStyle w:val="7190"/>
              <w:rPr>
                <w:rFonts w:ascii="Arial" w:hAnsi="Arial"/>
                <w:b/>
                <w:bCs/>
                <w:color w:val="000000"/>
                <w:sz w:val="26"/>
                <w:szCs w:val="26"/>
                <w:rtl/>
              </w:rPr>
            </w:pPr>
            <w:r w:rsidRPr="00C237BB">
              <w:rPr>
                <w:rFonts w:hint="cs"/>
                <w:color w:val="00305F"/>
                <w:sz w:val="32"/>
                <w:szCs w:val="32"/>
                <w:rtl/>
              </w:rPr>
              <w:t>כרך שלישי</w:t>
            </w:r>
          </w:p>
        </w:tc>
        <w:tc>
          <w:tcPr>
            <w:tcW w:w="1121" w:type="dxa"/>
          </w:tcPr>
          <w:p w14:paraId="3948C8E2" w14:textId="77777777" w:rsidR="00F56DA9" w:rsidRDefault="00F56DA9" w:rsidP="00CB24DD">
            <w:pPr>
              <w:pStyle w:val="71316"/>
              <w:spacing w:before="120" w:line="260" w:lineRule="exact"/>
              <w:rPr>
                <w:b w:val="0"/>
                <w:bCs w:val="0"/>
                <w:rtl/>
              </w:rPr>
            </w:pPr>
          </w:p>
        </w:tc>
      </w:tr>
      <w:tr w:rsidR="00CB24DD" w14:paraId="07A56D4A" w14:textId="77777777" w:rsidTr="00BD27D4">
        <w:tc>
          <w:tcPr>
            <w:tcW w:w="6239" w:type="dxa"/>
          </w:tcPr>
          <w:p w14:paraId="108BF1B6" w14:textId="3D378706" w:rsidR="00CB24DD" w:rsidRPr="00942EE2" w:rsidRDefault="00CB24DD" w:rsidP="00CB24DD">
            <w:pPr>
              <w:widowControl w:val="0"/>
              <w:spacing w:after="180" w:line="260" w:lineRule="exact"/>
              <w:rPr>
                <w:rFonts w:ascii="Arial" w:hAnsi="Arial" w:cs="Tahoma"/>
                <w:b/>
                <w:bCs/>
                <w:color w:val="000000"/>
                <w:sz w:val="24"/>
                <w:rtl/>
              </w:rPr>
            </w:pPr>
            <w:r w:rsidRPr="00C237BB">
              <w:rPr>
                <w:rFonts w:ascii="Arial" w:hAnsi="Arial" w:cs="Tahoma" w:hint="cs"/>
                <w:color w:val="00305F"/>
                <w:sz w:val="28"/>
                <w:szCs w:val="28"/>
                <w:rtl/>
              </w:rPr>
              <w:t>משרד החינוך</w:t>
            </w:r>
          </w:p>
        </w:tc>
        <w:tc>
          <w:tcPr>
            <w:tcW w:w="1121" w:type="dxa"/>
          </w:tcPr>
          <w:p w14:paraId="63C4956D" w14:textId="77777777" w:rsidR="00CB24DD" w:rsidRDefault="00CB24DD" w:rsidP="00CB24DD">
            <w:pPr>
              <w:pStyle w:val="71316"/>
              <w:spacing w:before="120" w:line="260" w:lineRule="exact"/>
              <w:rPr>
                <w:b w:val="0"/>
                <w:bCs w:val="0"/>
                <w:rtl/>
              </w:rPr>
            </w:pPr>
          </w:p>
        </w:tc>
      </w:tr>
      <w:tr w:rsidR="00CB24DD" w:rsidRPr="000E1A97" w14:paraId="5CFA63A4" w14:textId="77777777" w:rsidTr="00BD27D4">
        <w:tc>
          <w:tcPr>
            <w:tcW w:w="6239" w:type="dxa"/>
          </w:tcPr>
          <w:p w14:paraId="0B7E7648" w14:textId="2CA571A8" w:rsidR="00CB24DD" w:rsidRPr="00B7275C" w:rsidRDefault="00CB24DD" w:rsidP="000E1A97">
            <w:pPr>
              <w:spacing w:before="0" w:line="360" w:lineRule="auto"/>
              <w:rPr>
                <w:rFonts w:ascii="Arial" w:hAnsi="Arial" w:cs="Tahoma"/>
                <w:color w:val="000000"/>
                <w:sz w:val="24"/>
                <w:szCs w:val="18"/>
                <w:rtl/>
              </w:rPr>
            </w:pPr>
            <w:r w:rsidRPr="00B7275C">
              <w:rPr>
                <w:rFonts w:ascii="Arial" w:hAnsi="Arial" w:cs="Tahoma" w:hint="cs"/>
                <w:color w:val="000000"/>
                <w:sz w:val="24"/>
                <w:szCs w:val="18"/>
                <w:rtl/>
              </w:rPr>
              <w:t xml:space="preserve">דרכי </w:t>
            </w:r>
            <w:r w:rsidRPr="00B7275C">
              <w:rPr>
                <w:rFonts w:ascii="Arial" w:hAnsi="Arial" w:cs="Tahoma"/>
                <w:color w:val="000000"/>
                <w:sz w:val="24"/>
                <w:szCs w:val="18"/>
                <w:rtl/>
              </w:rPr>
              <w:t>מינוי והכשרה של מנהלי</w:t>
            </w:r>
            <w:r w:rsidRPr="00B7275C">
              <w:rPr>
                <w:rFonts w:ascii="Arial" w:hAnsi="Arial" w:cs="Tahoma" w:hint="cs"/>
                <w:color w:val="000000"/>
                <w:sz w:val="24"/>
                <w:szCs w:val="18"/>
                <w:rtl/>
              </w:rPr>
              <w:t>ם חדשים לב</w:t>
            </w:r>
            <w:r w:rsidRPr="00B7275C">
              <w:rPr>
                <w:rFonts w:ascii="Arial" w:hAnsi="Arial" w:cs="Tahoma"/>
                <w:color w:val="000000"/>
                <w:sz w:val="24"/>
                <w:szCs w:val="18"/>
                <w:rtl/>
              </w:rPr>
              <w:t>תי ספר</w:t>
            </w:r>
          </w:p>
        </w:tc>
        <w:tc>
          <w:tcPr>
            <w:tcW w:w="1121" w:type="dxa"/>
          </w:tcPr>
          <w:p w14:paraId="0D8C5DE2" w14:textId="6CD901EC" w:rsidR="00CB24DD" w:rsidRPr="000E1A97" w:rsidRDefault="003A4571" w:rsidP="003A4571">
            <w:pPr>
              <w:spacing w:before="0" w:line="360" w:lineRule="auto"/>
              <w:rPr>
                <w:rFonts w:ascii="Arial" w:hAnsi="Arial" w:cs="Tahoma"/>
                <w:color w:val="000000"/>
                <w:sz w:val="24"/>
                <w:szCs w:val="18"/>
                <w:rtl/>
              </w:rPr>
            </w:pPr>
            <w:r>
              <w:rPr>
                <w:rFonts w:ascii="Arial" w:hAnsi="Arial" w:cs="Tahoma" w:hint="cs"/>
                <w:color w:val="000000"/>
                <w:sz w:val="24"/>
                <w:szCs w:val="18"/>
                <w:rtl/>
              </w:rPr>
              <w:t>1021</w:t>
            </w:r>
          </w:p>
        </w:tc>
      </w:tr>
      <w:tr w:rsidR="00CB24DD" w:rsidRPr="000E1A97" w14:paraId="18C7A6A3" w14:textId="77777777" w:rsidTr="00BD27D4">
        <w:tc>
          <w:tcPr>
            <w:tcW w:w="6239" w:type="dxa"/>
          </w:tcPr>
          <w:p w14:paraId="299FDDFD" w14:textId="30B0EF5F" w:rsidR="00CB24DD" w:rsidRPr="000E1A97" w:rsidRDefault="00CB24DD" w:rsidP="003A4571">
            <w:pPr>
              <w:spacing w:line="360" w:lineRule="auto"/>
              <w:rPr>
                <w:rFonts w:ascii="Arial" w:hAnsi="Arial" w:cs="Tahoma"/>
                <w:color w:val="000000"/>
                <w:sz w:val="24"/>
                <w:szCs w:val="18"/>
                <w:rtl/>
              </w:rPr>
            </w:pPr>
            <w:r w:rsidRPr="00B7275C">
              <w:rPr>
                <w:rFonts w:ascii="Arial" w:hAnsi="Arial" w:cs="Tahoma"/>
                <w:color w:val="000000"/>
                <w:sz w:val="24"/>
                <w:szCs w:val="18"/>
                <w:rtl/>
              </w:rPr>
              <w:t>חינוך לחיים משותפים ולמניעת גזענות - ביקורת מעקב</w:t>
            </w:r>
          </w:p>
        </w:tc>
        <w:tc>
          <w:tcPr>
            <w:tcW w:w="1121" w:type="dxa"/>
          </w:tcPr>
          <w:p w14:paraId="7513EF13" w14:textId="142F6CE3" w:rsidR="00CB24DD" w:rsidRPr="000E1A97" w:rsidRDefault="003A4571" w:rsidP="000E1A97">
            <w:pPr>
              <w:spacing w:line="360" w:lineRule="auto"/>
              <w:rPr>
                <w:rFonts w:ascii="Arial" w:hAnsi="Arial" w:cs="Tahoma"/>
                <w:color w:val="000000"/>
                <w:sz w:val="24"/>
                <w:szCs w:val="18"/>
                <w:rtl/>
              </w:rPr>
            </w:pPr>
            <w:r>
              <w:rPr>
                <w:rFonts w:ascii="Arial" w:hAnsi="Arial" w:cs="Tahoma" w:hint="cs"/>
                <w:color w:val="000000"/>
                <w:sz w:val="24"/>
                <w:szCs w:val="18"/>
                <w:rtl/>
              </w:rPr>
              <w:t>1093</w:t>
            </w:r>
          </w:p>
        </w:tc>
      </w:tr>
    </w:tbl>
    <w:p w14:paraId="3A7F66EB" w14:textId="1B8CAC3B" w:rsidR="000E1A97" w:rsidRDefault="000E1A97">
      <w:pPr>
        <w:rPr>
          <w:rtl/>
        </w:rPr>
      </w:pPr>
    </w:p>
    <w:p w14:paraId="352C835E" w14:textId="07B876BB" w:rsidR="000E1A97" w:rsidRDefault="000E1A97">
      <w:pPr>
        <w:rPr>
          <w:rtl/>
        </w:rPr>
      </w:pPr>
    </w:p>
    <w:p w14:paraId="4AAFA5A5" w14:textId="77777777" w:rsidR="000E1A97" w:rsidRDefault="000E1A97"/>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9"/>
        <w:gridCol w:w="1121"/>
      </w:tblGrid>
      <w:tr w:rsidR="00CB24DD" w14:paraId="3F24ACB4" w14:textId="77777777" w:rsidTr="00BD27D4">
        <w:tc>
          <w:tcPr>
            <w:tcW w:w="6239" w:type="dxa"/>
          </w:tcPr>
          <w:p w14:paraId="145A8DF0" w14:textId="503FABF2" w:rsidR="00CB24DD" w:rsidRPr="00942EE2" w:rsidRDefault="00CB24DD" w:rsidP="00CB24DD">
            <w:pPr>
              <w:widowControl w:val="0"/>
              <w:spacing w:after="180" w:line="260" w:lineRule="exact"/>
              <w:rPr>
                <w:rFonts w:ascii="Arial" w:hAnsi="Arial" w:cs="Tahoma"/>
                <w:b/>
                <w:bCs/>
                <w:color w:val="000000"/>
                <w:sz w:val="24"/>
                <w:szCs w:val="18"/>
                <w:rtl/>
              </w:rPr>
            </w:pPr>
            <w:r w:rsidRPr="00C237BB">
              <w:rPr>
                <w:rFonts w:ascii="Arial" w:hAnsi="Arial" w:cs="Tahoma" w:hint="cs"/>
                <w:color w:val="00305F"/>
                <w:sz w:val="28"/>
                <w:szCs w:val="28"/>
                <w:rtl/>
              </w:rPr>
              <w:lastRenderedPageBreak/>
              <w:t>משרד המשפטים</w:t>
            </w:r>
          </w:p>
        </w:tc>
        <w:tc>
          <w:tcPr>
            <w:tcW w:w="1121" w:type="dxa"/>
          </w:tcPr>
          <w:p w14:paraId="7103F040" w14:textId="77777777" w:rsidR="00CB24DD" w:rsidRDefault="00CB24DD" w:rsidP="00CB24DD">
            <w:pPr>
              <w:pStyle w:val="71316"/>
              <w:spacing w:before="120" w:line="260" w:lineRule="exact"/>
              <w:rPr>
                <w:b w:val="0"/>
                <w:bCs w:val="0"/>
                <w:rtl/>
              </w:rPr>
            </w:pPr>
          </w:p>
        </w:tc>
      </w:tr>
      <w:tr w:rsidR="00CB24DD" w14:paraId="280EECBE" w14:textId="77777777" w:rsidTr="00BD27D4">
        <w:tc>
          <w:tcPr>
            <w:tcW w:w="6239" w:type="dxa"/>
          </w:tcPr>
          <w:p w14:paraId="634B64F8" w14:textId="56376BEE" w:rsidR="00CB24DD" w:rsidRPr="00F02FF5" w:rsidRDefault="00CB24DD" w:rsidP="00CB24DD">
            <w:pPr>
              <w:widowControl w:val="0"/>
              <w:spacing w:after="180" w:line="260" w:lineRule="exact"/>
              <w:rPr>
                <w:rFonts w:ascii="Arial" w:hAnsi="Arial" w:cs="Tahoma"/>
                <w:color w:val="000000"/>
                <w:sz w:val="22"/>
                <w:szCs w:val="22"/>
                <w:rtl/>
              </w:rPr>
            </w:pPr>
            <w:r w:rsidRPr="000E1A97">
              <w:rPr>
                <w:rFonts w:ascii="Arial" w:hAnsi="Arial" w:cs="Tahoma" w:hint="cs"/>
                <w:color w:val="00305F"/>
                <w:sz w:val="22"/>
                <w:szCs w:val="22"/>
                <w:rtl/>
              </w:rPr>
              <w:t>מייצגי המדינה בערכאות</w:t>
            </w:r>
          </w:p>
        </w:tc>
        <w:tc>
          <w:tcPr>
            <w:tcW w:w="1121" w:type="dxa"/>
          </w:tcPr>
          <w:p w14:paraId="5E6D742E" w14:textId="77777777" w:rsidR="00CB24DD" w:rsidRDefault="00CB24DD" w:rsidP="00CB24DD">
            <w:pPr>
              <w:pStyle w:val="71316"/>
              <w:spacing w:before="120" w:line="260" w:lineRule="exact"/>
              <w:rPr>
                <w:b w:val="0"/>
                <w:bCs w:val="0"/>
                <w:rtl/>
              </w:rPr>
            </w:pPr>
          </w:p>
        </w:tc>
      </w:tr>
      <w:tr w:rsidR="00CB24DD" w14:paraId="75ED4B9A" w14:textId="77777777" w:rsidTr="00BD27D4">
        <w:tc>
          <w:tcPr>
            <w:tcW w:w="6239" w:type="dxa"/>
          </w:tcPr>
          <w:p w14:paraId="1FA0CD06" w14:textId="4FB22294" w:rsidR="00CB24DD" w:rsidRPr="00B7275C" w:rsidRDefault="00CB24DD" w:rsidP="00183AB9">
            <w:pPr>
              <w:spacing w:before="0" w:line="276" w:lineRule="auto"/>
              <w:rPr>
                <w:rFonts w:ascii="Arial" w:hAnsi="Arial" w:cs="Tahoma"/>
                <w:color w:val="000000"/>
                <w:sz w:val="24"/>
                <w:szCs w:val="18"/>
                <w:rtl/>
              </w:rPr>
            </w:pPr>
            <w:r w:rsidRPr="00B7275C">
              <w:rPr>
                <w:rFonts w:ascii="Arial" w:hAnsi="Arial" w:cs="Tahoma"/>
                <w:color w:val="000000"/>
                <w:sz w:val="24"/>
                <w:szCs w:val="18"/>
                <w:rtl/>
              </w:rPr>
              <w:t>ליווי ח</w:t>
            </w:r>
            <w:r w:rsidRPr="00B7275C">
              <w:rPr>
                <w:rFonts w:ascii="Arial" w:hAnsi="Arial" w:cs="Tahoma" w:hint="cs"/>
                <w:color w:val="000000"/>
                <w:sz w:val="24"/>
                <w:szCs w:val="18"/>
                <w:rtl/>
              </w:rPr>
              <w:t>ק</w:t>
            </w:r>
            <w:r w:rsidRPr="00B7275C">
              <w:rPr>
                <w:rFonts w:ascii="Arial" w:hAnsi="Arial" w:cs="Tahoma"/>
                <w:color w:val="000000"/>
                <w:sz w:val="24"/>
                <w:szCs w:val="18"/>
                <w:rtl/>
              </w:rPr>
              <w:t>ירות על ידי הפרקליטות</w:t>
            </w:r>
            <w:r w:rsidRPr="00B7275C">
              <w:rPr>
                <w:rFonts w:ascii="Arial" w:hAnsi="Arial" w:cs="Tahoma" w:hint="cs"/>
                <w:color w:val="000000"/>
                <w:sz w:val="24"/>
                <w:szCs w:val="18"/>
                <w:rtl/>
              </w:rPr>
              <w:t xml:space="preserve"> - </w:t>
            </w:r>
            <w:r w:rsidRPr="00B7275C">
              <w:rPr>
                <w:rFonts w:ascii="Arial" w:hAnsi="Arial" w:cs="Tahoma" w:hint="eastAsia"/>
                <w:color w:val="000000"/>
                <w:sz w:val="24"/>
                <w:szCs w:val="18"/>
                <w:rtl/>
              </w:rPr>
              <w:t>ליווי</w:t>
            </w:r>
            <w:r w:rsidRPr="00B7275C">
              <w:rPr>
                <w:rFonts w:ascii="Arial" w:hAnsi="Arial" w:cs="Tahoma"/>
                <w:color w:val="000000"/>
                <w:sz w:val="24"/>
                <w:szCs w:val="18"/>
                <w:rtl/>
              </w:rPr>
              <w:t xml:space="preserve"> משפטי לחקירות משטרה ואישור</w:t>
            </w:r>
            <w:r w:rsidRPr="00B7275C">
              <w:rPr>
                <w:rFonts w:ascii="Arial" w:hAnsi="Arial" w:cs="Tahoma" w:hint="cs"/>
                <w:color w:val="000000"/>
                <w:sz w:val="24"/>
                <w:szCs w:val="18"/>
                <w:rtl/>
              </w:rPr>
              <w:t xml:space="preserve"> תרגילי חקירה</w:t>
            </w:r>
          </w:p>
        </w:tc>
        <w:tc>
          <w:tcPr>
            <w:tcW w:w="1121" w:type="dxa"/>
          </w:tcPr>
          <w:p w14:paraId="76E62383" w14:textId="6906404D" w:rsidR="00CB24DD" w:rsidRDefault="003A4571" w:rsidP="003A4571">
            <w:pPr>
              <w:pStyle w:val="71316"/>
              <w:spacing w:before="0" w:line="260" w:lineRule="exact"/>
              <w:rPr>
                <w:b w:val="0"/>
                <w:bCs w:val="0"/>
                <w:rtl/>
              </w:rPr>
            </w:pPr>
            <w:r w:rsidRPr="003A4571">
              <w:rPr>
                <w:rFonts w:ascii="Arial" w:eastAsiaTheme="minorHAnsi" w:hAnsi="Arial" w:hint="cs"/>
                <w:b w:val="0"/>
                <w:bCs w:val="0"/>
                <w:color w:val="000000"/>
                <w:sz w:val="24"/>
                <w:szCs w:val="18"/>
                <w:rtl/>
              </w:rPr>
              <w:t>1157</w:t>
            </w:r>
          </w:p>
        </w:tc>
      </w:tr>
      <w:tr w:rsidR="00F62AB1" w14:paraId="26BD59D9" w14:textId="77777777" w:rsidTr="00BD27D4">
        <w:tc>
          <w:tcPr>
            <w:tcW w:w="6239" w:type="dxa"/>
          </w:tcPr>
          <w:p w14:paraId="4AF41347" w14:textId="77777777" w:rsidR="00F62AB1" w:rsidRPr="00C237BB" w:rsidRDefault="00F62AB1" w:rsidP="00F62AB1">
            <w:pPr>
              <w:widowControl w:val="0"/>
              <w:spacing w:before="0" w:after="120" w:line="260" w:lineRule="exact"/>
              <w:rPr>
                <w:rFonts w:ascii="Arial" w:hAnsi="Arial" w:cs="Tahoma"/>
                <w:color w:val="00305F"/>
                <w:sz w:val="28"/>
                <w:szCs w:val="28"/>
                <w:rtl/>
              </w:rPr>
            </w:pPr>
          </w:p>
        </w:tc>
        <w:tc>
          <w:tcPr>
            <w:tcW w:w="1121" w:type="dxa"/>
          </w:tcPr>
          <w:p w14:paraId="10945CEB" w14:textId="77777777" w:rsidR="00F62AB1" w:rsidRDefault="00F62AB1" w:rsidP="00F62AB1">
            <w:pPr>
              <w:pStyle w:val="71316"/>
              <w:spacing w:before="0" w:after="120" w:line="260" w:lineRule="exact"/>
              <w:rPr>
                <w:b w:val="0"/>
                <w:bCs w:val="0"/>
                <w:rtl/>
              </w:rPr>
            </w:pPr>
          </w:p>
        </w:tc>
      </w:tr>
      <w:tr w:rsidR="00CB24DD" w14:paraId="477C7CA7" w14:textId="77777777" w:rsidTr="00BD27D4">
        <w:tc>
          <w:tcPr>
            <w:tcW w:w="6239" w:type="dxa"/>
          </w:tcPr>
          <w:p w14:paraId="71CD0D85" w14:textId="128C55F9" w:rsidR="00CB24DD" w:rsidRPr="00942EE2" w:rsidRDefault="00CB24DD" w:rsidP="00CB24DD">
            <w:pPr>
              <w:widowControl w:val="0"/>
              <w:spacing w:after="180" w:line="260" w:lineRule="exact"/>
              <w:rPr>
                <w:rFonts w:ascii="Arial" w:hAnsi="Arial" w:cs="Tahoma"/>
                <w:b/>
                <w:bCs/>
                <w:color w:val="000000"/>
                <w:sz w:val="24"/>
                <w:rtl/>
              </w:rPr>
            </w:pPr>
            <w:r w:rsidRPr="00C237BB">
              <w:rPr>
                <w:rFonts w:ascii="Arial" w:hAnsi="Arial" w:cs="Tahoma" w:hint="cs"/>
                <w:color w:val="00305F"/>
                <w:sz w:val="28"/>
                <w:szCs w:val="28"/>
                <w:rtl/>
              </w:rPr>
              <w:t>המשרד לשירותי דת</w:t>
            </w:r>
            <w:r w:rsidRPr="00942EE2">
              <w:rPr>
                <w:rFonts w:ascii="Arial" w:hAnsi="Arial" w:cs="Tahoma" w:hint="cs"/>
                <w:b/>
                <w:bCs/>
                <w:color w:val="000000"/>
                <w:sz w:val="24"/>
                <w:rtl/>
              </w:rPr>
              <w:t xml:space="preserve"> </w:t>
            </w:r>
          </w:p>
        </w:tc>
        <w:tc>
          <w:tcPr>
            <w:tcW w:w="1121" w:type="dxa"/>
          </w:tcPr>
          <w:p w14:paraId="628C9D54" w14:textId="77777777" w:rsidR="00CB24DD" w:rsidRDefault="00CB24DD" w:rsidP="00CB24DD">
            <w:pPr>
              <w:pStyle w:val="71316"/>
              <w:spacing w:before="120" w:line="260" w:lineRule="exact"/>
              <w:rPr>
                <w:b w:val="0"/>
                <w:bCs w:val="0"/>
                <w:rtl/>
              </w:rPr>
            </w:pPr>
          </w:p>
        </w:tc>
      </w:tr>
      <w:tr w:rsidR="00CB24DD" w14:paraId="3EE54688" w14:textId="77777777" w:rsidTr="00BD27D4">
        <w:tc>
          <w:tcPr>
            <w:tcW w:w="6239" w:type="dxa"/>
          </w:tcPr>
          <w:p w14:paraId="6E807AD4" w14:textId="1C582C3B" w:rsidR="00CB24DD" w:rsidRPr="007937F8" w:rsidRDefault="00CB24DD" w:rsidP="00183AB9">
            <w:pPr>
              <w:spacing w:before="0" w:line="276" w:lineRule="auto"/>
              <w:rPr>
                <w:rFonts w:ascii="Arial" w:hAnsi="Arial" w:cs="Tahoma"/>
                <w:color w:val="000000"/>
                <w:sz w:val="24"/>
                <w:szCs w:val="18"/>
                <w:rtl/>
              </w:rPr>
            </w:pPr>
            <w:r w:rsidRPr="007937F8">
              <w:rPr>
                <w:rFonts w:ascii="Arial" w:hAnsi="Arial" w:cs="Tahoma" w:hint="cs"/>
                <w:color w:val="000000"/>
                <w:sz w:val="24"/>
                <w:szCs w:val="18"/>
                <w:rtl/>
              </w:rPr>
              <w:t>ה</w:t>
            </w:r>
            <w:r w:rsidRPr="007937F8">
              <w:rPr>
                <w:rFonts w:ascii="Arial" w:hAnsi="Arial" w:cs="Tahoma"/>
                <w:color w:val="000000"/>
                <w:sz w:val="24"/>
                <w:szCs w:val="18"/>
                <w:rtl/>
              </w:rPr>
              <w:t xml:space="preserve">שירות </w:t>
            </w:r>
            <w:r w:rsidRPr="007937F8">
              <w:rPr>
                <w:rFonts w:ascii="Arial" w:hAnsi="Arial" w:cs="Tahoma" w:hint="cs"/>
                <w:color w:val="000000"/>
                <w:sz w:val="24"/>
                <w:szCs w:val="18"/>
                <w:rtl/>
              </w:rPr>
              <w:t xml:space="preserve">לציבור </w:t>
            </w:r>
            <w:r w:rsidRPr="007937F8">
              <w:rPr>
                <w:rFonts w:ascii="Arial" w:hAnsi="Arial" w:cs="Tahoma"/>
                <w:color w:val="000000"/>
                <w:sz w:val="24"/>
                <w:szCs w:val="18"/>
                <w:rtl/>
              </w:rPr>
              <w:t>בבתי הדין הרבניים</w:t>
            </w:r>
          </w:p>
        </w:tc>
        <w:tc>
          <w:tcPr>
            <w:tcW w:w="1121" w:type="dxa"/>
          </w:tcPr>
          <w:p w14:paraId="51F4FEF1" w14:textId="18DAA48F" w:rsidR="00CB24DD" w:rsidRPr="003A4571" w:rsidRDefault="003A4571" w:rsidP="003A4571">
            <w:pPr>
              <w:pStyle w:val="71316"/>
              <w:spacing w:before="0" w:line="260" w:lineRule="exact"/>
              <w:rPr>
                <w:rFonts w:ascii="Arial" w:eastAsiaTheme="minorHAnsi" w:hAnsi="Arial"/>
                <w:b w:val="0"/>
                <w:bCs w:val="0"/>
                <w:color w:val="000000"/>
                <w:sz w:val="24"/>
                <w:szCs w:val="18"/>
                <w:rtl/>
              </w:rPr>
            </w:pPr>
            <w:r w:rsidRPr="003A4571">
              <w:rPr>
                <w:rFonts w:ascii="Arial" w:eastAsiaTheme="minorHAnsi" w:hAnsi="Arial" w:hint="cs"/>
                <w:b w:val="0"/>
                <w:bCs w:val="0"/>
                <w:color w:val="000000"/>
                <w:sz w:val="24"/>
                <w:szCs w:val="18"/>
                <w:rtl/>
              </w:rPr>
              <w:t>1205</w:t>
            </w:r>
          </w:p>
        </w:tc>
      </w:tr>
      <w:tr w:rsidR="00CB24DD" w14:paraId="25991984" w14:textId="77777777" w:rsidTr="00BD27D4">
        <w:tc>
          <w:tcPr>
            <w:tcW w:w="6239" w:type="dxa"/>
          </w:tcPr>
          <w:p w14:paraId="2B3549B6" w14:textId="77777777" w:rsidR="00CB24DD" w:rsidRDefault="00CB24DD" w:rsidP="00F62AB1">
            <w:pPr>
              <w:widowControl w:val="0"/>
              <w:spacing w:before="0" w:line="260" w:lineRule="exact"/>
              <w:rPr>
                <w:rtl/>
              </w:rPr>
            </w:pPr>
          </w:p>
        </w:tc>
        <w:tc>
          <w:tcPr>
            <w:tcW w:w="1121" w:type="dxa"/>
          </w:tcPr>
          <w:p w14:paraId="36599440" w14:textId="77777777" w:rsidR="00CB24DD" w:rsidRDefault="00CB24DD" w:rsidP="00F62AB1">
            <w:pPr>
              <w:pStyle w:val="71316"/>
              <w:spacing w:before="0" w:after="0" w:line="260" w:lineRule="exact"/>
              <w:rPr>
                <w:b w:val="0"/>
                <w:bCs w:val="0"/>
                <w:rtl/>
              </w:rPr>
            </w:pPr>
          </w:p>
        </w:tc>
      </w:tr>
      <w:tr w:rsidR="00CB24DD" w14:paraId="73862565" w14:textId="77777777" w:rsidTr="00BD27D4">
        <w:tc>
          <w:tcPr>
            <w:tcW w:w="6239" w:type="dxa"/>
          </w:tcPr>
          <w:p w14:paraId="18C57F5E" w14:textId="48E548E0" w:rsidR="00CB24DD" w:rsidRPr="00942EE2" w:rsidRDefault="00CB24DD" w:rsidP="00CB24DD">
            <w:pPr>
              <w:widowControl w:val="0"/>
              <w:spacing w:after="180" w:line="260" w:lineRule="exact"/>
              <w:rPr>
                <w:rFonts w:ascii="Arial" w:hAnsi="Arial" w:cs="Tahoma"/>
                <w:b/>
                <w:bCs/>
                <w:color w:val="000000"/>
                <w:sz w:val="24"/>
                <w:rtl/>
              </w:rPr>
            </w:pPr>
            <w:r w:rsidRPr="00F02FF5">
              <w:rPr>
                <w:rFonts w:ascii="Arial" w:hAnsi="Arial" w:cs="Tahoma"/>
                <w:color w:val="000000"/>
                <w:sz w:val="24"/>
                <w:rtl/>
              </w:rPr>
              <w:br w:type="page"/>
            </w:r>
            <w:r w:rsidRPr="00C237BB">
              <w:rPr>
                <w:rFonts w:ascii="Arial" w:hAnsi="Arial" w:cs="Tahoma" w:hint="cs"/>
                <w:color w:val="00305F"/>
                <w:sz w:val="28"/>
                <w:szCs w:val="28"/>
                <w:rtl/>
              </w:rPr>
              <w:t>משרד התיירות</w:t>
            </w:r>
          </w:p>
        </w:tc>
        <w:tc>
          <w:tcPr>
            <w:tcW w:w="1121" w:type="dxa"/>
          </w:tcPr>
          <w:p w14:paraId="6BB4008E" w14:textId="77777777" w:rsidR="00CB24DD" w:rsidRDefault="00CB24DD" w:rsidP="00CB24DD">
            <w:pPr>
              <w:pStyle w:val="71316"/>
              <w:spacing w:before="120" w:line="260" w:lineRule="exact"/>
              <w:rPr>
                <w:b w:val="0"/>
                <w:bCs w:val="0"/>
                <w:rtl/>
              </w:rPr>
            </w:pPr>
          </w:p>
        </w:tc>
      </w:tr>
      <w:tr w:rsidR="00CB24DD" w14:paraId="68D62FB0" w14:textId="77777777" w:rsidTr="00BD27D4">
        <w:tc>
          <w:tcPr>
            <w:tcW w:w="6239" w:type="dxa"/>
          </w:tcPr>
          <w:p w14:paraId="1C35358B" w14:textId="6FAA5594" w:rsidR="00CB24DD" w:rsidRPr="007937F8" w:rsidRDefault="00CB24DD" w:rsidP="00183AB9">
            <w:pPr>
              <w:spacing w:before="0" w:line="276" w:lineRule="auto"/>
              <w:rPr>
                <w:rFonts w:ascii="Arial" w:hAnsi="Arial" w:cs="Tahoma"/>
                <w:color w:val="000000"/>
                <w:sz w:val="24"/>
                <w:szCs w:val="18"/>
                <w:rtl/>
              </w:rPr>
            </w:pPr>
            <w:r w:rsidRPr="007937F8">
              <w:rPr>
                <w:rFonts w:ascii="Arial" w:hAnsi="Arial" w:cs="Tahoma" w:hint="cs"/>
                <w:color w:val="000000"/>
                <w:sz w:val="24"/>
                <w:szCs w:val="18"/>
                <w:rtl/>
              </w:rPr>
              <w:t>פעולות הממשלה לקידום התיירות באילת ותוכניות לפיתוחה הכלכלי</w:t>
            </w:r>
          </w:p>
        </w:tc>
        <w:tc>
          <w:tcPr>
            <w:tcW w:w="1121" w:type="dxa"/>
          </w:tcPr>
          <w:p w14:paraId="4053C5C0" w14:textId="15838093" w:rsidR="00CB24DD" w:rsidRDefault="003A4571" w:rsidP="003A4571">
            <w:pPr>
              <w:pStyle w:val="71316"/>
              <w:spacing w:before="0" w:line="260" w:lineRule="exact"/>
              <w:rPr>
                <w:b w:val="0"/>
                <w:bCs w:val="0"/>
                <w:rtl/>
              </w:rPr>
            </w:pPr>
            <w:r w:rsidRPr="003A4571">
              <w:rPr>
                <w:rFonts w:ascii="Arial" w:eastAsiaTheme="minorHAnsi" w:hAnsi="Arial" w:hint="cs"/>
                <w:b w:val="0"/>
                <w:bCs w:val="0"/>
                <w:color w:val="000000"/>
                <w:sz w:val="24"/>
                <w:szCs w:val="18"/>
                <w:rtl/>
              </w:rPr>
              <w:t>1267</w:t>
            </w:r>
          </w:p>
        </w:tc>
      </w:tr>
      <w:tr w:rsidR="00F62AB1" w14:paraId="2372F2C4" w14:textId="77777777" w:rsidTr="00BD27D4">
        <w:tc>
          <w:tcPr>
            <w:tcW w:w="6239" w:type="dxa"/>
          </w:tcPr>
          <w:p w14:paraId="1AAD0DF1" w14:textId="77777777" w:rsidR="00F62AB1" w:rsidRPr="00C237BB" w:rsidRDefault="00F62AB1" w:rsidP="00F62AB1">
            <w:pPr>
              <w:widowControl w:val="0"/>
              <w:spacing w:before="0" w:line="260" w:lineRule="exact"/>
              <w:rPr>
                <w:rFonts w:ascii="Arial" w:hAnsi="Arial" w:cs="Tahoma"/>
                <w:color w:val="00305F"/>
                <w:sz w:val="28"/>
                <w:szCs w:val="28"/>
                <w:rtl/>
              </w:rPr>
            </w:pPr>
          </w:p>
        </w:tc>
        <w:tc>
          <w:tcPr>
            <w:tcW w:w="1121" w:type="dxa"/>
          </w:tcPr>
          <w:p w14:paraId="7BFC91D1" w14:textId="77777777" w:rsidR="00F62AB1" w:rsidRDefault="00F62AB1" w:rsidP="00F62AB1">
            <w:pPr>
              <w:pStyle w:val="71316"/>
              <w:spacing w:before="0" w:after="0" w:line="260" w:lineRule="exact"/>
              <w:rPr>
                <w:b w:val="0"/>
                <w:bCs w:val="0"/>
                <w:rtl/>
              </w:rPr>
            </w:pPr>
          </w:p>
        </w:tc>
      </w:tr>
      <w:tr w:rsidR="007937F8" w14:paraId="2532C904" w14:textId="77777777" w:rsidTr="00BD27D4">
        <w:tc>
          <w:tcPr>
            <w:tcW w:w="6239" w:type="dxa"/>
          </w:tcPr>
          <w:p w14:paraId="30CE89D6" w14:textId="03B31CA4" w:rsidR="007937F8" w:rsidRPr="00942EE2" w:rsidRDefault="00BA6341" w:rsidP="00BA6341">
            <w:pPr>
              <w:widowControl w:val="0"/>
              <w:spacing w:after="180" w:line="260" w:lineRule="exact"/>
              <w:rPr>
                <w:rFonts w:ascii="Arial" w:hAnsi="Arial" w:cs="Tahoma"/>
                <w:b/>
                <w:bCs/>
                <w:color w:val="000000"/>
                <w:sz w:val="24"/>
                <w:rtl/>
              </w:rPr>
            </w:pPr>
            <w:r w:rsidRPr="00C237BB">
              <w:rPr>
                <w:rFonts w:ascii="Arial" w:hAnsi="Arial" w:cs="Tahoma" w:hint="cs"/>
                <w:color w:val="00305F"/>
                <w:sz w:val="28"/>
                <w:szCs w:val="28"/>
                <w:rtl/>
              </w:rPr>
              <w:t>משרד התרבות והספורט</w:t>
            </w:r>
          </w:p>
        </w:tc>
        <w:tc>
          <w:tcPr>
            <w:tcW w:w="1121" w:type="dxa"/>
          </w:tcPr>
          <w:p w14:paraId="7E8A92E8" w14:textId="77777777" w:rsidR="007937F8" w:rsidRDefault="007937F8" w:rsidP="00B20BCC">
            <w:pPr>
              <w:pStyle w:val="71316"/>
              <w:spacing w:before="120" w:line="260" w:lineRule="exact"/>
              <w:rPr>
                <w:b w:val="0"/>
                <w:bCs w:val="0"/>
                <w:rtl/>
              </w:rPr>
            </w:pPr>
          </w:p>
        </w:tc>
      </w:tr>
      <w:tr w:rsidR="00BA6341" w14:paraId="5AAF6769" w14:textId="77777777" w:rsidTr="00BD27D4">
        <w:tc>
          <w:tcPr>
            <w:tcW w:w="6239" w:type="dxa"/>
          </w:tcPr>
          <w:p w14:paraId="14C2C384" w14:textId="22DC5E76" w:rsidR="00BA6341" w:rsidRPr="00BA6341" w:rsidRDefault="00BA6341" w:rsidP="00183AB9">
            <w:pPr>
              <w:spacing w:before="0" w:line="276" w:lineRule="auto"/>
              <w:rPr>
                <w:rFonts w:ascii="Arial" w:hAnsi="Arial" w:cs="Tahoma"/>
                <w:color w:val="000000"/>
                <w:sz w:val="24"/>
                <w:szCs w:val="18"/>
                <w:rtl/>
              </w:rPr>
            </w:pPr>
            <w:r w:rsidRPr="00BA6341">
              <w:rPr>
                <w:rFonts w:ascii="Arial" w:hAnsi="Arial" w:cs="Tahoma"/>
                <w:color w:val="000000"/>
                <w:sz w:val="24"/>
                <w:szCs w:val="18"/>
                <w:rtl/>
              </w:rPr>
              <w:t>מניעת אלימות בספורט -</w:t>
            </w:r>
            <w:r w:rsidR="003F5037">
              <w:rPr>
                <w:rFonts w:ascii="Arial" w:hAnsi="Arial" w:cs="Tahoma" w:hint="cs"/>
                <w:color w:val="000000"/>
                <w:sz w:val="24"/>
                <w:szCs w:val="18"/>
                <w:rtl/>
              </w:rPr>
              <w:t xml:space="preserve"> </w:t>
            </w:r>
            <w:r w:rsidRPr="00BA6341">
              <w:rPr>
                <w:rFonts w:ascii="Arial" w:hAnsi="Arial" w:cs="Tahoma"/>
                <w:color w:val="000000"/>
                <w:sz w:val="24"/>
                <w:szCs w:val="18"/>
                <w:rtl/>
              </w:rPr>
              <w:t>ביקורת מעקב</w:t>
            </w:r>
            <w:r w:rsidRPr="00BA6341">
              <w:rPr>
                <w:rFonts w:ascii="Arial" w:hAnsi="Arial" w:cs="Tahoma" w:hint="cs"/>
                <w:color w:val="000000"/>
                <w:sz w:val="24"/>
                <w:szCs w:val="18"/>
                <w:rtl/>
              </w:rPr>
              <w:t xml:space="preserve"> מורחבת</w:t>
            </w:r>
          </w:p>
        </w:tc>
        <w:tc>
          <w:tcPr>
            <w:tcW w:w="1121" w:type="dxa"/>
          </w:tcPr>
          <w:p w14:paraId="0ED3494A" w14:textId="0F816257" w:rsidR="00BA6341" w:rsidRPr="003A4571" w:rsidRDefault="003A4571" w:rsidP="003A4571">
            <w:pPr>
              <w:pStyle w:val="71316"/>
              <w:spacing w:before="0" w:line="260" w:lineRule="exact"/>
              <w:rPr>
                <w:rFonts w:ascii="Arial" w:eastAsiaTheme="minorHAnsi" w:hAnsi="Arial"/>
                <w:b w:val="0"/>
                <w:bCs w:val="0"/>
                <w:color w:val="000000"/>
                <w:sz w:val="24"/>
                <w:szCs w:val="18"/>
                <w:rtl/>
              </w:rPr>
            </w:pPr>
            <w:r w:rsidRPr="003A4571">
              <w:rPr>
                <w:rFonts w:ascii="Arial" w:eastAsiaTheme="minorHAnsi" w:hAnsi="Arial" w:hint="cs"/>
                <w:b w:val="0"/>
                <w:bCs w:val="0"/>
                <w:color w:val="000000"/>
                <w:sz w:val="24"/>
                <w:szCs w:val="18"/>
                <w:rtl/>
              </w:rPr>
              <w:t>1395</w:t>
            </w:r>
          </w:p>
        </w:tc>
      </w:tr>
      <w:tr w:rsidR="00415892" w:rsidRPr="00415892" w14:paraId="671242D2" w14:textId="77777777" w:rsidTr="00A051C8">
        <w:tc>
          <w:tcPr>
            <w:tcW w:w="6239" w:type="dxa"/>
          </w:tcPr>
          <w:p w14:paraId="69D58C0F" w14:textId="77777777" w:rsidR="00415892" w:rsidRPr="00F62AB1" w:rsidRDefault="00415892" w:rsidP="00415892">
            <w:pPr>
              <w:pStyle w:val="7190"/>
              <w:rPr>
                <w:color w:val="00305F"/>
                <w:sz w:val="32"/>
                <w:szCs w:val="32"/>
                <w:rtl/>
              </w:rPr>
            </w:pPr>
          </w:p>
        </w:tc>
        <w:tc>
          <w:tcPr>
            <w:tcW w:w="1121" w:type="dxa"/>
          </w:tcPr>
          <w:p w14:paraId="406B1505" w14:textId="77777777" w:rsidR="00415892" w:rsidRPr="00415892" w:rsidRDefault="00415892" w:rsidP="00415892">
            <w:pPr>
              <w:pStyle w:val="7190"/>
              <w:rPr>
                <w:color w:val="00305F"/>
                <w:sz w:val="32"/>
                <w:szCs w:val="32"/>
                <w:rtl/>
              </w:rPr>
            </w:pPr>
          </w:p>
        </w:tc>
      </w:tr>
      <w:tr w:rsidR="00415892" w14:paraId="535CB9A9" w14:textId="77777777" w:rsidTr="00A051C8">
        <w:tc>
          <w:tcPr>
            <w:tcW w:w="6239" w:type="dxa"/>
          </w:tcPr>
          <w:p w14:paraId="4EE5B33E" w14:textId="663F02AA" w:rsidR="00415892" w:rsidRPr="00B20BCC" w:rsidRDefault="00415892" w:rsidP="00415892">
            <w:pPr>
              <w:pStyle w:val="7190"/>
              <w:rPr>
                <w:color w:val="00305F"/>
                <w:sz w:val="22"/>
                <w:szCs w:val="22"/>
                <w:rtl/>
              </w:rPr>
            </w:pPr>
            <w:r w:rsidRPr="00F62AB1">
              <w:rPr>
                <w:rFonts w:hint="cs"/>
                <w:color w:val="00305F"/>
                <w:sz w:val="32"/>
                <w:szCs w:val="32"/>
                <w:rtl/>
              </w:rPr>
              <w:t>כרך רביעי</w:t>
            </w:r>
          </w:p>
        </w:tc>
        <w:tc>
          <w:tcPr>
            <w:tcW w:w="1121" w:type="dxa"/>
          </w:tcPr>
          <w:p w14:paraId="5D1A41D7" w14:textId="77777777" w:rsidR="00415892" w:rsidRDefault="00415892" w:rsidP="00A051C8">
            <w:pPr>
              <w:pStyle w:val="71316"/>
              <w:spacing w:before="120" w:line="260" w:lineRule="exact"/>
              <w:rPr>
                <w:b w:val="0"/>
                <w:bCs w:val="0"/>
                <w:rtl/>
              </w:rPr>
            </w:pPr>
          </w:p>
        </w:tc>
      </w:tr>
      <w:tr w:rsidR="00F62AB1" w14:paraId="252B0526" w14:textId="77777777" w:rsidTr="00A051C8">
        <w:tc>
          <w:tcPr>
            <w:tcW w:w="6239" w:type="dxa"/>
          </w:tcPr>
          <w:p w14:paraId="695BAC5C" w14:textId="2C802733" w:rsidR="00F62AB1" w:rsidRPr="00B20BCC" w:rsidRDefault="00F62AB1" w:rsidP="00A051C8">
            <w:pPr>
              <w:widowControl w:val="0"/>
              <w:spacing w:after="180" w:line="260" w:lineRule="exact"/>
              <w:rPr>
                <w:rFonts w:ascii="Arial" w:hAnsi="Arial"/>
                <w:color w:val="000000"/>
                <w:sz w:val="22"/>
                <w:szCs w:val="22"/>
                <w:rtl/>
              </w:rPr>
            </w:pPr>
            <w:r w:rsidRPr="00B20BCC">
              <w:rPr>
                <w:rFonts w:ascii="Tahoma" w:hAnsi="Tahoma" w:cs="Tahoma" w:hint="cs"/>
                <w:color w:val="00305F"/>
                <w:sz w:val="22"/>
                <w:szCs w:val="22"/>
                <w:rtl/>
              </w:rPr>
              <w:t>פרק ש</w:t>
            </w:r>
            <w:r>
              <w:rPr>
                <w:rFonts w:ascii="Tahoma" w:hAnsi="Tahoma" w:cs="Tahoma" w:hint="cs"/>
                <w:color w:val="00305F"/>
                <w:sz w:val="22"/>
                <w:szCs w:val="22"/>
                <w:rtl/>
              </w:rPr>
              <w:t>לישי</w:t>
            </w:r>
          </w:p>
        </w:tc>
        <w:tc>
          <w:tcPr>
            <w:tcW w:w="1121" w:type="dxa"/>
          </w:tcPr>
          <w:p w14:paraId="7CF02E3E" w14:textId="77777777" w:rsidR="00F62AB1" w:rsidRDefault="00F62AB1" w:rsidP="00A051C8">
            <w:pPr>
              <w:pStyle w:val="71316"/>
              <w:spacing w:before="120" w:line="260" w:lineRule="exact"/>
              <w:rPr>
                <w:b w:val="0"/>
                <w:bCs w:val="0"/>
                <w:rtl/>
              </w:rPr>
            </w:pPr>
          </w:p>
        </w:tc>
      </w:tr>
      <w:tr w:rsidR="00BA6341" w14:paraId="02A70371" w14:textId="77777777" w:rsidTr="00BD27D4">
        <w:tc>
          <w:tcPr>
            <w:tcW w:w="6239" w:type="dxa"/>
          </w:tcPr>
          <w:p w14:paraId="7911428B" w14:textId="79496D39" w:rsidR="00BA6341" w:rsidRPr="00F62AB1" w:rsidRDefault="00BA6341" w:rsidP="00F62AB1">
            <w:pPr>
              <w:pStyle w:val="7190"/>
              <w:spacing w:line="360" w:lineRule="exact"/>
              <w:rPr>
                <w:rFonts w:ascii="Arial" w:hAnsi="Arial"/>
                <w:color w:val="000000"/>
                <w:sz w:val="30"/>
                <w:szCs w:val="30"/>
                <w:rtl/>
              </w:rPr>
            </w:pPr>
            <w:r w:rsidRPr="00F62AB1">
              <w:rPr>
                <w:rFonts w:hint="cs"/>
                <w:b/>
                <w:bCs/>
                <w:color w:val="00305F"/>
                <w:sz w:val="30"/>
                <w:szCs w:val="30"/>
                <w:rtl/>
              </w:rPr>
              <w:t>מוסדות המדינה, חברות ממשלתיות ותאגידים</w:t>
            </w:r>
          </w:p>
        </w:tc>
        <w:tc>
          <w:tcPr>
            <w:tcW w:w="1121" w:type="dxa"/>
          </w:tcPr>
          <w:p w14:paraId="2632B719" w14:textId="77777777" w:rsidR="00BA6341" w:rsidRDefault="00BA6341" w:rsidP="00B20BCC">
            <w:pPr>
              <w:pStyle w:val="71316"/>
              <w:spacing w:before="120" w:line="260" w:lineRule="exact"/>
              <w:rPr>
                <w:b w:val="0"/>
                <w:bCs w:val="0"/>
                <w:rtl/>
              </w:rPr>
            </w:pPr>
          </w:p>
        </w:tc>
      </w:tr>
      <w:tr w:rsidR="00BA6341" w14:paraId="4AA615D8" w14:textId="77777777" w:rsidTr="00BD27D4">
        <w:tc>
          <w:tcPr>
            <w:tcW w:w="6239" w:type="dxa"/>
          </w:tcPr>
          <w:p w14:paraId="55459384" w14:textId="43DCFBD2" w:rsidR="00BA6341" w:rsidRPr="00942EE2" w:rsidRDefault="00BA6341" w:rsidP="00BA6341">
            <w:pPr>
              <w:widowControl w:val="0"/>
              <w:spacing w:after="180" w:line="260" w:lineRule="exact"/>
              <w:rPr>
                <w:rFonts w:ascii="Arial" w:hAnsi="Arial" w:cs="Tahoma"/>
                <w:b/>
                <w:bCs/>
                <w:color w:val="000000"/>
                <w:sz w:val="24"/>
                <w:rtl/>
              </w:rPr>
            </w:pPr>
            <w:r w:rsidRPr="00C237BB">
              <w:rPr>
                <w:rFonts w:ascii="Arial" w:hAnsi="Arial" w:cs="Tahoma" w:hint="cs"/>
                <w:color w:val="00305F"/>
                <w:sz w:val="28"/>
                <w:szCs w:val="28"/>
                <w:rtl/>
              </w:rPr>
              <w:t>מוסדות להשכלה גבוהה</w:t>
            </w:r>
          </w:p>
        </w:tc>
        <w:tc>
          <w:tcPr>
            <w:tcW w:w="1121" w:type="dxa"/>
          </w:tcPr>
          <w:p w14:paraId="6938FF46" w14:textId="77777777" w:rsidR="00BA6341" w:rsidRDefault="00BA6341" w:rsidP="00B20BCC">
            <w:pPr>
              <w:pStyle w:val="71316"/>
              <w:spacing w:before="120" w:line="260" w:lineRule="exact"/>
              <w:rPr>
                <w:b w:val="0"/>
                <w:bCs w:val="0"/>
                <w:rtl/>
              </w:rPr>
            </w:pPr>
          </w:p>
        </w:tc>
      </w:tr>
      <w:tr w:rsidR="00BA6341" w14:paraId="0B6F6F52" w14:textId="77777777" w:rsidTr="00BD27D4">
        <w:tc>
          <w:tcPr>
            <w:tcW w:w="6239" w:type="dxa"/>
          </w:tcPr>
          <w:p w14:paraId="47D193C5" w14:textId="317B2D09" w:rsidR="00BA6341" w:rsidRPr="00BA6341" w:rsidRDefault="00BA6341" w:rsidP="00183AB9">
            <w:pPr>
              <w:spacing w:before="0" w:line="276" w:lineRule="auto"/>
              <w:rPr>
                <w:rFonts w:ascii="Arial" w:hAnsi="Arial" w:cs="Tahoma"/>
                <w:color w:val="000000"/>
                <w:sz w:val="24"/>
                <w:szCs w:val="18"/>
                <w:rtl/>
              </w:rPr>
            </w:pPr>
            <w:r w:rsidRPr="00BA6341">
              <w:rPr>
                <w:rFonts w:ascii="Arial" w:hAnsi="Arial" w:cs="Tahoma"/>
                <w:color w:val="000000"/>
                <w:sz w:val="24"/>
                <w:szCs w:val="18"/>
                <w:rtl/>
              </w:rPr>
              <w:t>תשתיות מחקר מרכזיות באקדמיה</w:t>
            </w:r>
          </w:p>
        </w:tc>
        <w:tc>
          <w:tcPr>
            <w:tcW w:w="1121" w:type="dxa"/>
          </w:tcPr>
          <w:p w14:paraId="4E1EB76B" w14:textId="0C9C47EA" w:rsidR="00BA6341" w:rsidRDefault="003A4571" w:rsidP="003A4571">
            <w:pPr>
              <w:pStyle w:val="71316"/>
              <w:spacing w:before="0" w:line="260" w:lineRule="exact"/>
              <w:rPr>
                <w:b w:val="0"/>
                <w:bCs w:val="0"/>
                <w:rtl/>
              </w:rPr>
            </w:pPr>
            <w:r w:rsidRPr="003A4571">
              <w:rPr>
                <w:rFonts w:ascii="Arial" w:eastAsiaTheme="minorHAnsi" w:hAnsi="Arial" w:hint="cs"/>
                <w:b w:val="0"/>
                <w:bCs w:val="0"/>
                <w:color w:val="000000"/>
                <w:sz w:val="24"/>
                <w:szCs w:val="18"/>
                <w:rtl/>
              </w:rPr>
              <w:t>1465</w:t>
            </w:r>
          </w:p>
        </w:tc>
      </w:tr>
      <w:tr w:rsidR="00BA6341" w14:paraId="6FB28B12" w14:textId="77777777" w:rsidTr="00BD27D4">
        <w:tc>
          <w:tcPr>
            <w:tcW w:w="6239" w:type="dxa"/>
          </w:tcPr>
          <w:p w14:paraId="3072B2F9" w14:textId="54CFB845" w:rsidR="00BA6341" w:rsidRPr="00BA6341" w:rsidRDefault="00BA6341" w:rsidP="00183AB9">
            <w:pPr>
              <w:spacing w:line="276" w:lineRule="auto"/>
              <w:rPr>
                <w:rFonts w:ascii="Arial" w:hAnsi="Arial" w:cs="Tahoma"/>
                <w:color w:val="000000"/>
                <w:sz w:val="24"/>
                <w:szCs w:val="18"/>
                <w:rtl/>
              </w:rPr>
            </w:pPr>
            <w:r w:rsidRPr="00BA6341">
              <w:rPr>
                <w:rFonts w:ascii="Arial" w:hAnsi="Arial" w:cs="Tahoma" w:hint="cs"/>
                <w:color w:val="000000"/>
                <w:sz w:val="24"/>
                <w:szCs w:val="18"/>
                <w:rtl/>
              </w:rPr>
              <w:t>ניהול השקעות במוסדות להשכלה גבוהה</w:t>
            </w:r>
          </w:p>
        </w:tc>
        <w:tc>
          <w:tcPr>
            <w:tcW w:w="1121" w:type="dxa"/>
          </w:tcPr>
          <w:p w14:paraId="3B48B773" w14:textId="748D978F" w:rsidR="00BA6341" w:rsidRPr="003A4571" w:rsidRDefault="003A4571" w:rsidP="00F568DC">
            <w:pPr>
              <w:pStyle w:val="71316"/>
              <w:spacing w:before="120" w:line="260" w:lineRule="exact"/>
              <w:rPr>
                <w:rFonts w:ascii="Arial" w:eastAsiaTheme="minorHAnsi" w:hAnsi="Arial"/>
                <w:b w:val="0"/>
                <w:bCs w:val="0"/>
                <w:color w:val="000000"/>
                <w:sz w:val="24"/>
                <w:szCs w:val="18"/>
                <w:rtl/>
              </w:rPr>
            </w:pPr>
            <w:r w:rsidRPr="003A4571">
              <w:rPr>
                <w:rFonts w:ascii="Arial" w:eastAsiaTheme="minorHAnsi" w:hAnsi="Arial" w:hint="cs"/>
                <w:b w:val="0"/>
                <w:bCs w:val="0"/>
                <w:color w:val="000000"/>
                <w:sz w:val="24"/>
                <w:szCs w:val="18"/>
                <w:rtl/>
              </w:rPr>
              <w:t>1545</w:t>
            </w:r>
          </w:p>
        </w:tc>
      </w:tr>
      <w:tr w:rsidR="003A4571" w14:paraId="3A60A4BA" w14:textId="77777777" w:rsidTr="00BD27D4">
        <w:tc>
          <w:tcPr>
            <w:tcW w:w="6239" w:type="dxa"/>
          </w:tcPr>
          <w:p w14:paraId="2B9FCD4D" w14:textId="77777777" w:rsidR="003A4571" w:rsidRPr="00C237BB" w:rsidRDefault="003A4571" w:rsidP="00BA6341">
            <w:pPr>
              <w:widowControl w:val="0"/>
              <w:spacing w:after="180" w:line="260" w:lineRule="exact"/>
              <w:rPr>
                <w:rFonts w:ascii="Arial" w:hAnsi="Arial" w:cs="Tahoma"/>
                <w:color w:val="00305F"/>
                <w:sz w:val="28"/>
                <w:szCs w:val="28"/>
                <w:rtl/>
              </w:rPr>
            </w:pPr>
          </w:p>
        </w:tc>
        <w:tc>
          <w:tcPr>
            <w:tcW w:w="1121" w:type="dxa"/>
          </w:tcPr>
          <w:p w14:paraId="2C93BA59" w14:textId="77777777" w:rsidR="003A4571" w:rsidRDefault="003A4571" w:rsidP="00B20BCC">
            <w:pPr>
              <w:pStyle w:val="71316"/>
              <w:spacing w:before="120" w:line="260" w:lineRule="exact"/>
              <w:rPr>
                <w:b w:val="0"/>
                <w:bCs w:val="0"/>
                <w:rtl/>
              </w:rPr>
            </w:pPr>
          </w:p>
        </w:tc>
      </w:tr>
    </w:tbl>
    <w:p w14:paraId="37C5B8DD" w14:textId="05B4F0F8" w:rsidR="00415892" w:rsidRDefault="00415892">
      <w:pPr>
        <w:rPr>
          <w:rtl/>
        </w:rPr>
      </w:pPr>
    </w:p>
    <w:p w14:paraId="098D0196" w14:textId="77777777" w:rsidR="00415892" w:rsidRDefault="00415892">
      <w:pPr>
        <w:bidi w:val="0"/>
        <w:spacing w:after="200" w:line="276" w:lineRule="auto"/>
      </w:pPr>
      <w:r>
        <w:rPr>
          <w:rtl/>
        </w:rPr>
        <w:br w:type="page"/>
      </w:r>
    </w:p>
    <w:p w14:paraId="6099C204" w14:textId="77777777" w:rsidR="00415892" w:rsidRDefault="00415892"/>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9"/>
        <w:gridCol w:w="1121"/>
      </w:tblGrid>
      <w:tr w:rsidR="00BA6341" w14:paraId="34252277" w14:textId="77777777" w:rsidTr="00BD27D4">
        <w:tc>
          <w:tcPr>
            <w:tcW w:w="6239" w:type="dxa"/>
          </w:tcPr>
          <w:p w14:paraId="758D1F90" w14:textId="114C2860" w:rsidR="00BA6341" w:rsidRPr="00942EE2" w:rsidRDefault="00BA6341" w:rsidP="00BA6341">
            <w:pPr>
              <w:widowControl w:val="0"/>
              <w:spacing w:after="180" w:line="260" w:lineRule="exact"/>
              <w:rPr>
                <w:rFonts w:ascii="Arial" w:hAnsi="Arial" w:cs="Tahoma"/>
                <w:b/>
                <w:bCs/>
                <w:color w:val="000000"/>
                <w:sz w:val="24"/>
                <w:rtl/>
              </w:rPr>
            </w:pPr>
            <w:r w:rsidRPr="00C237BB">
              <w:rPr>
                <w:rFonts w:ascii="Arial" w:hAnsi="Arial" w:cs="Tahoma" w:hint="cs"/>
                <w:color w:val="00305F"/>
                <w:sz w:val="28"/>
                <w:szCs w:val="28"/>
                <w:rtl/>
              </w:rPr>
              <w:t>רשות השירות הלאומי-אזרחי</w:t>
            </w:r>
          </w:p>
        </w:tc>
        <w:tc>
          <w:tcPr>
            <w:tcW w:w="1121" w:type="dxa"/>
          </w:tcPr>
          <w:p w14:paraId="4200CF7F" w14:textId="77777777" w:rsidR="00BA6341" w:rsidRDefault="00BA6341" w:rsidP="00B20BCC">
            <w:pPr>
              <w:pStyle w:val="71316"/>
              <w:spacing w:before="120" w:line="260" w:lineRule="exact"/>
              <w:rPr>
                <w:b w:val="0"/>
                <w:bCs w:val="0"/>
                <w:rtl/>
              </w:rPr>
            </w:pPr>
          </w:p>
        </w:tc>
      </w:tr>
      <w:tr w:rsidR="00BA6341" w14:paraId="354B9041" w14:textId="77777777" w:rsidTr="00BD27D4">
        <w:tc>
          <w:tcPr>
            <w:tcW w:w="6239" w:type="dxa"/>
          </w:tcPr>
          <w:p w14:paraId="0CF65077" w14:textId="11D1EB41" w:rsidR="00BA6341" w:rsidRPr="00BA6341" w:rsidRDefault="00BA6341" w:rsidP="000E1A97">
            <w:pPr>
              <w:spacing w:before="0" w:line="276" w:lineRule="auto"/>
              <w:rPr>
                <w:rFonts w:ascii="Arial" w:hAnsi="Arial" w:cs="Tahoma"/>
                <w:color w:val="000000"/>
                <w:sz w:val="24"/>
                <w:szCs w:val="18"/>
                <w:rtl/>
              </w:rPr>
            </w:pPr>
            <w:r w:rsidRPr="00BA6341">
              <w:rPr>
                <w:rFonts w:ascii="Arial" w:hAnsi="Arial" w:cs="Tahoma" w:hint="cs"/>
                <w:color w:val="000000"/>
                <w:sz w:val="24"/>
                <w:szCs w:val="18"/>
                <w:rtl/>
              </w:rPr>
              <w:t>השירות הלאומי והשירות האזרחי</w:t>
            </w:r>
          </w:p>
        </w:tc>
        <w:tc>
          <w:tcPr>
            <w:tcW w:w="1121" w:type="dxa"/>
          </w:tcPr>
          <w:p w14:paraId="6079A213" w14:textId="75467397" w:rsidR="00BA6341" w:rsidRPr="002C6153" w:rsidRDefault="002C6153" w:rsidP="002C6153">
            <w:pPr>
              <w:pStyle w:val="71316"/>
              <w:spacing w:before="0" w:line="260" w:lineRule="exact"/>
              <w:rPr>
                <w:rFonts w:ascii="Arial" w:eastAsiaTheme="minorHAnsi" w:hAnsi="Arial"/>
                <w:b w:val="0"/>
                <w:bCs w:val="0"/>
                <w:color w:val="000000"/>
                <w:sz w:val="24"/>
                <w:szCs w:val="18"/>
                <w:rtl/>
              </w:rPr>
            </w:pPr>
            <w:r w:rsidRPr="002C6153">
              <w:rPr>
                <w:rFonts w:ascii="Arial" w:eastAsiaTheme="minorHAnsi" w:hAnsi="Arial" w:hint="cs"/>
                <w:b w:val="0"/>
                <w:bCs w:val="0"/>
                <w:color w:val="000000"/>
                <w:sz w:val="24"/>
                <w:szCs w:val="18"/>
                <w:rtl/>
              </w:rPr>
              <w:t>1687</w:t>
            </w:r>
          </w:p>
        </w:tc>
      </w:tr>
      <w:tr w:rsidR="002B1B89" w14:paraId="21900F07" w14:textId="77777777" w:rsidTr="00BD27D4">
        <w:tc>
          <w:tcPr>
            <w:tcW w:w="6239" w:type="dxa"/>
          </w:tcPr>
          <w:p w14:paraId="2EBDD2BF" w14:textId="77777777" w:rsidR="002B1B89" w:rsidRPr="00C237BB" w:rsidRDefault="002B1B89" w:rsidP="002B1B89">
            <w:pPr>
              <w:widowControl w:val="0"/>
              <w:spacing w:before="0" w:line="260" w:lineRule="exact"/>
              <w:rPr>
                <w:rFonts w:ascii="Arial" w:hAnsi="Arial" w:cs="Tahoma"/>
                <w:color w:val="00305F"/>
                <w:sz w:val="28"/>
                <w:szCs w:val="28"/>
                <w:rtl/>
              </w:rPr>
            </w:pPr>
          </w:p>
        </w:tc>
        <w:tc>
          <w:tcPr>
            <w:tcW w:w="1121" w:type="dxa"/>
          </w:tcPr>
          <w:p w14:paraId="434AA45B" w14:textId="77777777" w:rsidR="002B1B89" w:rsidRDefault="002B1B89" w:rsidP="002B1B89">
            <w:pPr>
              <w:pStyle w:val="71316"/>
              <w:spacing w:before="0" w:after="0" w:line="260" w:lineRule="exact"/>
              <w:rPr>
                <w:b w:val="0"/>
                <w:bCs w:val="0"/>
                <w:rtl/>
              </w:rPr>
            </w:pPr>
          </w:p>
        </w:tc>
      </w:tr>
      <w:tr w:rsidR="00BA6341" w14:paraId="38FC66C7" w14:textId="77777777" w:rsidTr="00BD27D4">
        <w:tc>
          <w:tcPr>
            <w:tcW w:w="6239" w:type="dxa"/>
          </w:tcPr>
          <w:p w14:paraId="7E751D84" w14:textId="0C3CC4A8" w:rsidR="00BA6341" w:rsidRPr="00942EE2" w:rsidRDefault="00BA6341" w:rsidP="00BA6341">
            <w:pPr>
              <w:widowControl w:val="0"/>
              <w:spacing w:after="180" w:line="260" w:lineRule="exact"/>
              <w:rPr>
                <w:rFonts w:ascii="Arial" w:hAnsi="Arial" w:cs="Tahoma"/>
                <w:b/>
                <w:bCs/>
                <w:color w:val="000000"/>
                <w:sz w:val="24"/>
                <w:rtl/>
              </w:rPr>
            </w:pPr>
            <w:r w:rsidRPr="00C237BB">
              <w:rPr>
                <w:rFonts w:ascii="Arial" w:hAnsi="Arial" w:cs="Tahoma" w:hint="cs"/>
                <w:color w:val="00305F"/>
                <w:sz w:val="28"/>
                <w:szCs w:val="28"/>
                <w:rtl/>
              </w:rPr>
              <w:t>רשות מקרקעי ישראל</w:t>
            </w:r>
          </w:p>
        </w:tc>
        <w:tc>
          <w:tcPr>
            <w:tcW w:w="1121" w:type="dxa"/>
          </w:tcPr>
          <w:p w14:paraId="6DFA5E31" w14:textId="77777777" w:rsidR="00BA6341" w:rsidRDefault="00BA6341" w:rsidP="00B20BCC">
            <w:pPr>
              <w:pStyle w:val="71316"/>
              <w:spacing w:before="120" w:line="260" w:lineRule="exact"/>
              <w:rPr>
                <w:b w:val="0"/>
                <w:bCs w:val="0"/>
                <w:rtl/>
              </w:rPr>
            </w:pPr>
          </w:p>
        </w:tc>
      </w:tr>
      <w:tr w:rsidR="00BA6341" w:rsidRPr="002C6153" w14:paraId="0DB21A06" w14:textId="77777777" w:rsidTr="00BD27D4">
        <w:tc>
          <w:tcPr>
            <w:tcW w:w="6239" w:type="dxa"/>
          </w:tcPr>
          <w:p w14:paraId="50ED2342" w14:textId="591CCBC8" w:rsidR="00BA6341" w:rsidRPr="00BA6341" w:rsidRDefault="00BA6341" w:rsidP="000E1A97">
            <w:pPr>
              <w:spacing w:before="0" w:line="276" w:lineRule="auto"/>
              <w:rPr>
                <w:rFonts w:ascii="Arial" w:hAnsi="Arial" w:cs="Tahoma"/>
                <w:color w:val="000000"/>
                <w:sz w:val="24"/>
                <w:szCs w:val="18"/>
                <w:rtl/>
              </w:rPr>
            </w:pPr>
            <w:r w:rsidRPr="00BA6341">
              <w:rPr>
                <w:rFonts w:ascii="Arial" w:hAnsi="Arial" w:cs="Tahoma" w:hint="cs"/>
                <w:color w:val="000000"/>
                <w:sz w:val="24"/>
                <w:szCs w:val="18"/>
                <w:rtl/>
              </w:rPr>
              <w:t>היבטים בשירות לציבור ברשות מקרקעי ישראל</w:t>
            </w:r>
          </w:p>
        </w:tc>
        <w:tc>
          <w:tcPr>
            <w:tcW w:w="1121" w:type="dxa"/>
          </w:tcPr>
          <w:p w14:paraId="346E7CAF" w14:textId="5D88E9B4" w:rsidR="00BA6341" w:rsidRPr="002C6153" w:rsidRDefault="002C6153" w:rsidP="000E1A97">
            <w:pPr>
              <w:pStyle w:val="71316"/>
              <w:spacing w:before="0" w:line="260" w:lineRule="exact"/>
              <w:rPr>
                <w:rFonts w:ascii="Arial" w:eastAsiaTheme="minorHAnsi" w:hAnsi="Arial"/>
                <w:b w:val="0"/>
                <w:bCs w:val="0"/>
                <w:color w:val="000000"/>
                <w:sz w:val="24"/>
                <w:szCs w:val="18"/>
                <w:rtl/>
              </w:rPr>
            </w:pPr>
            <w:r w:rsidRPr="002C6153">
              <w:rPr>
                <w:rFonts w:ascii="Arial" w:eastAsiaTheme="minorHAnsi" w:hAnsi="Arial" w:hint="cs"/>
                <w:b w:val="0"/>
                <w:bCs w:val="0"/>
                <w:color w:val="000000"/>
                <w:sz w:val="24"/>
                <w:szCs w:val="18"/>
                <w:rtl/>
              </w:rPr>
              <w:t>1753</w:t>
            </w:r>
          </w:p>
        </w:tc>
      </w:tr>
      <w:tr w:rsidR="00BA6341" w:rsidRPr="002C6153" w14:paraId="32018D1B" w14:textId="77777777" w:rsidTr="00BD27D4">
        <w:tc>
          <w:tcPr>
            <w:tcW w:w="6239" w:type="dxa"/>
          </w:tcPr>
          <w:p w14:paraId="56968222" w14:textId="40C29FA8" w:rsidR="00BA6341" w:rsidRPr="00BA6341" w:rsidRDefault="00BA6341" w:rsidP="000E1A97">
            <w:pPr>
              <w:spacing w:before="0" w:line="276" w:lineRule="auto"/>
              <w:rPr>
                <w:rFonts w:ascii="Arial" w:hAnsi="Arial" w:cs="Tahoma"/>
                <w:color w:val="000000"/>
                <w:sz w:val="24"/>
                <w:szCs w:val="18"/>
                <w:rtl/>
              </w:rPr>
            </w:pPr>
            <w:r w:rsidRPr="00BA6341">
              <w:rPr>
                <w:rFonts w:ascii="Arial" w:hAnsi="Arial" w:cs="Tahoma" w:hint="cs"/>
                <w:color w:val="000000"/>
                <w:sz w:val="24"/>
                <w:szCs w:val="18"/>
                <w:rtl/>
              </w:rPr>
              <w:t>רישום זכויות במקרקעין שבניהול רשות מקרקעי ישראל - ביקורת מעקב</w:t>
            </w:r>
          </w:p>
        </w:tc>
        <w:tc>
          <w:tcPr>
            <w:tcW w:w="1121" w:type="dxa"/>
          </w:tcPr>
          <w:p w14:paraId="670B27C5" w14:textId="7E74ACC9" w:rsidR="00BA6341" w:rsidRPr="002C6153" w:rsidRDefault="002C6153" w:rsidP="000E1A97">
            <w:pPr>
              <w:pStyle w:val="71316"/>
              <w:spacing w:before="0" w:line="260" w:lineRule="exact"/>
              <w:rPr>
                <w:rFonts w:ascii="Arial" w:eastAsiaTheme="minorHAnsi" w:hAnsi="Arial"/>
                <w:b w:val="0"/>
                <w:bCs w:val="0"/>
                <w:color w:val="000000"/>
                <w:sz w:val="24"/>
                <w:szCs w:val="18"/>
                <w:rtl/>
              </w:rPr>
            </w:pPr>
            <w:r w:rsidRPr="002C6153">
              <w:rPr>
                <w:rFonts w:ascii="Arial" w:eastAsiaTheme="minorHAnsi" w:hAnsi="Arial" w:hint="cs"/>
                <w:b w:val="0"/>
                <w:bCs w:val="0"/>
                <w:color w:val="000000"/>
                <w:sz w:val="24"/>
                <w:szCs w:val="18"/>
                <w:rtl/>
              </w:rPr>
              <w:t>1817</w:t>
            </w:r>
          </w:p>
        </w:tc>
      </w:tr>
      <w:tr w:rsidR="002B1B89" w14:paraId="64F7DD0B" w14:textId="77777777" w:rsidTr="00BD27D4">
        <w:tc>
          <w:tcPr>
            <w:tcW w:w="6239" w:type="dxa"/>
          </w:tcPr>
          <w:p w14:paraId="1A5888E1" w14:textId="77777777" w:rsidR="002B1B89" w:rsidRPr="00BA6341" w:rsidRDefault="002B1B89" w:rsidP="002B1B89">
            <w:pPr>
              <w:pStyle w:val="7190"/>
              <w:spacing w:before="0" w:after="0"/>
              <w:rPr>
                <w:color w:val="00305F"/>
                <w:sz w:val="22"/>
                <w:szCs w:val="22"/>
                <w:rtl/>
              </w:rPr>
            </w:pPr>
          </w:p>
        </w:tc>
        <w:tc>
          <w:tcPr>
            <w:tcW w:w="1121" w:type="dxa"/>
          </w:tcPr>
          <w:p w14:paraId="5187E20D" w14:textId="77777777" w:rsidR="002B1B89" w:rsidRDefault="002B1B89" w:rsidP="002B1B89">
            <w:pPr>
              <w:pStyle w:val="71316"/>
              <w:spacing w:before="0" w:after="0" w:line="260" w:lineRule="exact"/>
              <w:rPr>
                <w:b w:val="0"/>
                <w:bCs w:val="0"/>
                <w:rtl/>
              </w:rPr>
            </w:pPr>
          </w:p>
        </w:tc>
      </w:tr>
      <w:tr w:rsidR="00BA6341" w14:paraId="39DD3B16" w14:textId="77777777" w:rsidTr="00BD27D4">
        <w:tc>
          <w:tcPr>
            <w:tcW w:w="6239" w:type="dxa"/>
          </w:tcPr>
          <w:p w14:paraId="45E81516" w14:textId="56508277" w:rsidR="00BA6341" w:rsidRPr="00BA6341" w:rsidRDefault="00BA6341" w:rsidP="00BA6341">
            <w:pPr>
              <w:pStyle w:val="7190"/>
              <w:rPr>
                <w:rFonts w:ascii="Arial" w:hAnsi="Arial"/>
                <w:color w:val="000000"/>
                <w:sz w:val="24"/>
                <w:rtl/>
              </w:rPr>
            </w:pPr>
            <w:r w:rsidRPr="00BA6341">
              <w:rPr>
                <w:rFonts w:hint="cs"/>
                <w:color w:val="00305F"/>
                <w:sz w:val="22"/>
                <w:szCs w:val="22"/>
                <w:rtl/>
              </w:rPr>
              <w:t xml:space="preserve">פרק רביעי </w:t>
            </w:r>
          </w:p>
        </w:tc>
        <w:tc>
          <w:tcPr>
            <w:tcW w:w="1121" w:type="dxa"/>
          </w:tcPr>
          <w:p w14:paraId="737DBD8A" w14:textId="77777777" w:rsidR="00BA6341" w:rsidRDefault="00BA6341" w:rsidP="00B20BCC">
            <w:pPr>
              <w:pStyle w:val="71316"/>
              <w:spacing w:before="120" w:line="260" w:lineRule="exact"/>
              <w:rPr>
                <w:b w:val="0"/>
                <w:bCs w:val="0"/>
                <w:rtl/>
              </w:rPr>
            </w:pPr>
          </w:p>
        </w:tc>
      </w:tr>
      <w:tr w:rsidR="00BA6341" w14:paraId="3B37B25A" w14:textId="77777777" w:rsidTr="00BD27D4">
        <w:tc>
          <w:tcPr>
            <w:tcW w:w="6239" w:type="dxa"/>
          </w:tcPr>
          <w:p w14:paraId="24051D62" w14:textId="684BC5F4" w:rsidR="00BA6341" w:rsidRDefault="00BA6341" w:rsidP="00BA6341">
            <w:pPr>
              <w:pStyle w:val="7190"/>
              <w:rPr>
                <w:rFonts w:ascii="Arial" w:hAnsi="Arial"/>
                <w:color w:val="000000"/>
                <w:sz w:val="24"/>
                <w:rtl/>
              </w:rPr>
            </w:pPr>
            <w:r w:rsidRPr="002B1B89">
              <w:rPr>
                <w:rFonts w:hint="cs"/>
                <w:b/>
                <w:bCs/>
                <w:color w:val="00305F"/>
                <w:sz w:val="30"/>
                <w:szCs w:val="30"/>
                <w:rtl/>
              </w:rPr>
              <w:t>השלטון המקומי</w:t>
            </w:r>
          </w:p>
        </w:tc>
        <w:tc>
          <w:tcPr>
            <w:tcW w:w="1121" w:type="dxa"/>
          </w:tcPr>
          <w:p w14:paraId="73450E04" w14:textId="77777777" w:rsidR="00BA6341" w:rsidRDefault="00BA6341" w:rsidP="00B20BCC">
            <w:pPr>
              <w:pStyle w:val="71316"/>
              <w:spacing w:before="120" w:line="260" w:lineRule="exact"/>
              <w:rPr>
                <w:b w:val="0"/>
                <w:bCs w:val="0"/>
                <w:rtl/>
              </w:rPr>
            </w:pPr>
          </w:p>
        </w:tc>
      </w:tr>
      <w:tr w:rsidR="00BA6341" w14:paraId="7B5B9E38" w14:textId="77777777" w:rsidTr="00BD27D4">
        <w:tc>
          <w:tcPr>
            <w:tcW w:w="6239" w:type="dxa"/>
          </w:tcPr>
          <w:p w14:paraId="25C3257E" w14:textId="26554072" w:rsidR="00BA6341" w:rsidRDefault="00BA6341" w:rsidP="00BA6341">
            <w:pPr>
              <w:spacing w:line="276" w:lineRule="auto"/>
              <w:rPr>
                <w:rFonts w:ascii="Arial" w:hAnsi="Arial" w:cs="Tahoma"/>
                <w:color w:val="000000"/>
                <w:sz w:val="24"/>
                <w:szCs w:val="18"/>
                <w:rtl/>
              </w:rPr>
            </w:pPr>
            <w:r w:rsidRPr="00BA6341">
              <w:rPr>
                <w:rFonts w:ascii="Arial" w:hAnsi="Arial" w:cs="Tahoma"/>
                <w:color w:val="000000"/>
                <w:sz w:val="24"/>
                <w:szCs w:val="18"/>
                <w:rtl/>
              </w:rPr>
              <w:t xml:space="preserve">פעילות התביעה העירונית </w:t>
            </w:r>
            <w:r w:rsidRPr="00BA6341">
              <w:rPr>
                <w:rFonts w:ascii="Arial" w:hAnsi="Arial" w:cs="Tahoma" w:hint="cs"/>
                <w:color w:val="000000"/>
                <w:sz w:val="24"/>
                <w:szCs w:val="18"/>
                <w:rtl/>
              </w:rPr>
              <w:t>בכמה מועצות</w:t>
            </w:r>
            <w:r w:rsidRPr="00BA6341">
              <w:rPr>
                <w:rFonts w:ascii="Arial" w:hAnsi="Arial" w:cs="Tahoma"/>
                <w:color w:val="000000"/>
                <w:sz w:val="24"/>
                <w:szCs w:val="18"/>
                <w:rtl/>
              </w:rPr>
              <w:t xml:space="preserve"> מקומיות</w:t>
            </w:r>
          </w:p>
        </w:tc>
        <w:tc>
          <w:tcPr>
            <w:tcW w:w="1121" w:type="dxa"/>
          </w:tcPr>
          <w:p w14:paraId="4A82148F" w14:textId="39D12B4D" w:rsidR="00BA6341" w:rsidRDefault="002C6153" w:rsidP="002C6153">
            <w:pPr>
              <w:pStyle w:val="71316"/>
              <w:spacing w:before="120" w:line="260" w:lineRule="exact"/>
              <w:rPr>
                <w:b w:val="0"/>
                <w:bCs w:val="0"/>
                <w:rtl/>
              </w:rPr>
            </w:pPr>
            <w:r w:rsidRPr="002C6153">
              <w:rPr>
                <w:rFonts w:ascii="Arial" w:eastAsiaTheme="minorHAnsi" w:hAnsi="Arial" w:hint="cs"/>
                <w:b w:val="0"/>
                <w:bCs w:val="0"/>
                <w:color w:val="000000"/>
                <w:sz w:val="24"/>
                <w:szCs w:val="18"/>
                <w:rtl/>
              </w:rPr>
              <w:t>1859</w:t>
            </w:r>
          </w:p>
        </w:tc>
      </w:tr>
      <w:tr w:rsidR="002B1B89" w14:paraId="05BB86BD" w14:textId="77777777" w:rsidTr="00BD27D4">
        <w:tc>
          <w:tcPr>
            <w:tcW w:w="6239" w:type="dxa"/>
          </w:tcPr>
          <w:p w14:paraId="3C212FC4" w14:textId="77777777" w:rsidR="002B1B89" w:rsidRPr="00C237BB" w:rsidRDefault="002B1B89" w:rsidP="002B1B89">
            <w:pPr>
              <w:widowControl w:val="0"/>
              <w:spacing w:before="0" w:line="260" w:lineRule="exact"/>
              <w:rPr>
                <w:rFonts w:ascii="Arial" w:hAnsi="Arial" w:cs="Tahoma"/>
                <w:color w:val="00305F"/>
                <w:sz w:val="28"/>
                <w:szCs w:val="28"/>
                <w:rtl/>
              </w:rPr>
            </w:pPr>
          </w:p>
        </w:tc>
        <w:tc>
          <w:tcPr>
            <w:tcW w:w="1121" w:type="dxa"/>
          </w:tcPr>
          <w:p w14:paraId="60325389" w14:textId="77777777" w:rsidR="002B1B89" w:rsidRPr="00DB7CD9" w:rsidRDefault="002B1B89" w:rsidP="002B1B89">
            <w:pPr>
              <w:pStyle w:val="71316"/>
              <w:spacing w:before="0" w:after="0" w:line="260" w:lineRule="exact"/>
              <w:rPr>
                <w:rFonts w:ascii="Arial" w:hAnsi="Arial"/>
                <w:b w:val="0"/>
                <w:bCs w:val="0"/>
                <w:color w:val="000000"/>
                <w:sz w:val="24"/>
                <w:szCs w:val="18"/>
                <w:rtl/>
              </w:rPr>
            </w:pPr>
          </w:p>
        </w:tc>
      </w:tr>
      <w:tr w:rsidR="000109AD" w14:paraId="746BCB0A" w14:textId="77777777" w:rsidTr="00BD27D4">
        <w:tc>
          <w:tcPr>
            <w:tcW w:w="6239" w:type="dxa"/>
          </w:tcPr>
          <w:p w14:paraId="089B7E5C" w14:textId="77777777" w:rsidR="000109AD" w:rsidRPr="00C74B8C" w:rsidRDefault="000109AD" w:rsidP="00490E93">
            <w:pPr>
              <w:spacing w:line="276" w:lineRule="auto"/>
              <w:rPr>
                <w:rFonts w:ascii="Arial" w:hAnsi="Arial" w:cs="Tahoma"/>
                <w:color w:val="000000"/>
                <w:sz w:val="24"/>
                <w:szCs w:val="18"/>
                <w:rtl/>
              </w:rPr>
            </w:pPr>
          </w:p>
        </w:tc>
        <w:tc>
          <w:tcPr>
            <w:tcW w:w="1121" w:type="dxa"/>
          </w:tcPr>
          <w:p w14:paraId="504B50E9" w14:textId="77777777" w:rsidR="000109AD" w:rsidRDefault="000109AD" w:rsidP="00490E93">
            <w:pPr>
              <w:pStyle w:val="71316"/>
              <w:spacing w:before="120" w:line="260" w:lineRule="exact"/>
              <w:rPr>
                <w:b w:val="0"/>
                <w:bCs w:val="0"/>
                <w:rtl/>
              </w:rPr>
            </w:pPr>
          </w:p>
        </w:tc>
      </w:tr>
    </w:tbl>
    <w:p w14:paraId="43544A6F" w14:textId="77777777" w:rsidR="00F611CF" w:rsidRPr="006C067D" w:rsidRDefault="00F611CF" w:rsidP="00F611CF">
      <w:pPr>
        <w:tabs>
          <w:tab w:val="right" w:pos="12"/>
          <w:tab w:val="right" w:pos="156"/>
        </w:tabs>
        <w:spacing w:line="360" w:lineRule="auto"/>
        <w:rPr>
          <w:b/>
          <w:bCs/>
          <w:sz w:val="2"/>
          <w:szCs w:val="2"/>
          <w:u w:val="single"/>
          <w:rtl/>
        </w:rPr>
      </w:pPr>
    </w:p>
    <w:p w14:paraId="13B86522" w14:textId="6F9B972B" w:rsidR="00F611CF" w:rsidRDefault="00F611CF" w:rsidP="00F611CF">
      <w:pPr>
        <w:tabs>
          <w:tab w:val="right" w:pos="12"/>
          <w:tab w:val="right" w:pos="156"/>
        </w:tabs>
        <w:rPr>
          <w:b/>
          <w:bCs/>
          <w:sz w:val="26"/>
          <w:szCs w:val="26"/>
          <w:u w:val="single"/>
          <w:rtl/>
        </w:rPr>
      </w:pPr>
    </w:p>
    <w:p w14:paraId="3F032E67" w14:textId="781800E7" w:rsidR="00490E93" w:rsidRDefault="00490E93" w:rsidP="00F611CF">
      <w:pPr>
        <w:tabs>
          <w:tab w:val="right" w:pos="12"/>
          <w:tab w:val="right" w:pos="156"/>
        </w:tabs>
        <w:rPr>
          <w:b/>
          <w:bCs/>
          <w:sz w:val="26"/>
          <w:szCs w:val="26"/>
          <w:u w:val="single"/>
          <w:rtl/>
        </w:rPr>
      </w:pPr>
    </w:p>
    <w:p w14:paraId="4BE795CE" w14:textId="77777777" w:rsidR="00490E93" w:rsidRPr="00490E93" w:rsidRDefault="00490E93" w:rsidP="00F611CF">
      <w:pPr>
        <w:tabs>
          <w:tab w:val="right" w:pos="12"/>
          <w:tab w:val="right" w:pos="156"/>
        </w:tabs>
        <w:rPr>
          <w:b/>
          <w:bCs/>
          <w:sz w:val="26"/>
          <w:szCs w:val="26"/>
          <w:u w:val="single"/>
          <w:rtl/>
        </w:rPr>
      </w:pPr>
    </w:p>
    <w:p w14:paraId="7FB228B5" w14:textId="77777777" w:rsidR="00F611CF" w:rsidRPr="006C067D" w:rsidRDefault="00F611CF" w:rsidP="00B20BCC">
      <w:pPr>
        <w:pStyle w:val="ListParagraph"/>
        <w:spacing w:line="360" w:lineRule="auto"/>
        <w:rPr>
          <w:rFonts w:ascii="Arial" w:hAnsi="Arial"/>
          <w:sz w:val="12"/>
          <w:szCs w:val="14"/>
          <w:rtl/>
        </w:rPr>
      </w:pPr>
    </w:p>
    <w:p w14:paraId="761291C8" w14:textId="4A36F42E" w:rsidR="00F611CF" w:rsidRPr="006C067D" w:rsidRDefault="00F611CF" w:rsidP="00C906CF">
      <w:pPr>
        <w:spacing w:line="360" w:lineRule="auto"/>
      </w:pPr>
      <w:r w:rsidRPr="006C067D">
        <w:rPr>
          <w:rFonts w:ascii="Arial" w:hAnsi="Arial" w:hint="cs"/>
          <w:b/>
          <w:bCs/>
          <w:sz w:val="24"/>
          <w:szCs w:val="28"/>
          <w:rtl/>
        </w:rPr>
        <w:t xml:space="preserve"> </w:t>
      </w:r>
    </w:p>
    <w:p w14:paraId="2DD3AB2D" w14:textId="5C2A6881" w:rsidR="00F611CF" w:rsidRPr="006C067D" w:rsidRDefault="00F611CF" w:rsidP="00BA6341">
      <w:pPr>
        <w:rPr>
          <w:sz w:val="24"/>
        </w:rPr>
      </w:pPr>
      <w:r w:rsidRPr="006C067D">
        <w:rPr>
          <w:rFonts w:hint="cs"/>
          <w:b/>
          <w:bCs/>
          <w:sz w:val="28"/>
          <w:szCs w:val="28"/>
          <w:rtl/>
        </w:rPr>
        <w:t xml:space="preserve">  </w:t>
      </w:r>
    </w:p>
    <w:p w14:paraId="2F189F46" w14:textId="77777777" w:rsidR="00F611CF" w:rsidRPr="006C067D" w:rsidRDefault="00F611CF" w:rsidP="00F611CF">
      <w:pPr>
        <w:spacing w:line="276" w:lineRule="auto"/>
        <w:outlineLvl w:val="0"/>
        <w:rPr>
          <w:rFonts w:ascii="Arial" w:hAnsi="Arial"/>
          <w:b/>
          <w:bCs/>
          <w:color w:val="000000"/>
          <w:sz w:val="28"/>
          <w:szCs w:val="28"/>
          <w:rtl/>
        </w:rPr>
      </w:pPr>
    </w:p>
    <w:p w14:paraId="3CC61AEA" w14:textId="77777777" w:rsidR="00F96F26" w:rsidRDefault="00F96F26" w:rsidP="00F9227B">
      <w:pPr>
        <w:pStyle w:val="100"/>
        <w:tabs>
          <w:tab w:val="center" w:pos="3685"/>
        </w:tabs>
        <w:spacing w:after="0" w:line="240" w:lineRule="exact"/>
        <w:rPr>
          <w:b/>
          <w:bCs/>
          <w:color w:val="00305F"/>
          <w:sz w:val="32"/>
          <w:szCs w:val="32"/>
          <w:rtl/>
        </w:rPr>
        <w:sectPr w:rsidR="00F96F26" w:rsidSect="00A8428C">
          <w:footerReference w:type="even" r:id="rId15"/>
          <w:footerReference w:type="default" r:id="rId16"/>
          <w:headerReference w:type="first" r:id="rId17"/>
          <w:footerReference w:type="first" r:id="rId18"/>
          <w:pgSz w:w="11906" w:h="16838" w:code="9"/>
          <w:pgMar w:top="3062" w:right="2268" w:bottom="2552" w:left="2268" w:header="1134" w:footer="1361" w:gutter="0"/>
          <w:pgNumType w:start="3"/>
          <w:cols w:space="708"/>
          <w:bidi/>
          <w:rtlGutter/>
          <w:docGrid w:linePitch="360"/>
        </w:sectPr>
      </w:pPr>
    </w:p>
    <w:p w14:paraId="5491A0E1" w14:textId="77777777" w:rsidR="00C74B8C" w:rsidRDefault="00C74B8C">
      <w:pPr>
        <w:bidi w:val="0"/>
        <w:spacing w:after="200" w:line="276" w:lineRule="auto"/>
        <w:rPr>
          <w:rFonts w:ascii="Tahoma" w:eastAsia="Times New Roman" w:hAnsi="Tahoma" w:cs="Tahoma"/>
          <w:b/>
          <w:bCs/>
          <w:color w:val="00305F"/>
          <w:sz w:val="32"/>
          <w:szCs w:val="32"/>
          <w:rtl/>
        </w:rPr>
      </w:pPr>
      <w:r>
        <w:rPr>
          <w:rtl/>
        </w:rPr>
        <w:br w:type="page"/>
      </w:r>
    </w:p>
    <w:p w14:paraId="7990FA4C" w14:textId="3D4D2BAF" w:rsidR="00047E7B" w:rsidRDefault="00047E7B" w:rsidP="00047E7B">
      <w:pPr>
        <w:pStyle w:val="71316"/>
        <w:rPr>
          <w:rtl/>
        </w:rPr>
      </w:pPr>
      <w:r>
        <w:rPr>
          <w:rFonts w:hint="cs"/>
          <w:rtl/>
        </w:rPr>
        <w:lastRenderedPageBreak/>
        <w:t>פתח דבר</w:t>
      </w:r>
    </w:p>
    <w:p w14:paraId="01E0F452" w14:textId="77777777" w:rsidR="00047E7B" w:rsidRDefault="00047E7B" w:rsidP="00276563">
      <w:pPr>
        <w:pStyle w:val="7190"/>
        <w:rPr>
          <w:rtl/>
        </w:rPr>
      </w:pPr>
    </w:p>
    <w:p w14:paraId="2AD2D983" w14:textId="4EC1F501" w:rsidR="00276563" w:rsidRDefault="00276563" w:rsidP="00276563">
      <w:pPr>
        <w:pStyle w:val="7190"/>
        <w:rPr>
          <w:rtl/>
        </w:rPr>
      </w:pPr>
      <w:r w:rsidRPr="0080539E">
        <w:rPr>
          <w:rFonts w:hint="cs"/>
          <w:b/>
          <w:bCs/>
          <w:rtl/>
        </w:rPr>
        <w:t>דוח שנתי 71ג לשנת 2020</w:t>
      </w:r>
      <w:r>
        <w:rPr>
          <w:rFonts w:hint="cs"/>
          <w:rtl/>
        </w:rPr>
        <w:t xml:space="preserve"> ולחשבונות שנת הכספים 2019 </w:t>
      </w:r>
      <w:r w:rsidRPr="00420E6B">
        <w:rPr>
          <w:rFonts w:hint="cs"/>
          <w:rtl/>
        </w:rPr>
        <w:t xml:space="preserve">הוא </w:t>
      </w:r>
      <w:r>
        <w:rPr>
          <w:rFonts w:hint="cs"/>
          <w:rtl/>
        </w:rPr>
        <w:t xml:space="preserve">חלקו השלישי של </w:t>
      </w:r>
      <w:r w:rsidRPr="00420E6B">
        <w:rPr>
          <w:rFonts w:hint="cs"/>
          <w:rtl/>
        </w:rPr>
        <w:t>דוח הביקורת השנתי המונח על שולחן הכנסת על פי חוק מבקר המדינה, התשי"ח-1958 [נוסח משולב]</w:t>
      </w:r>
      <w:r>
        <w:rPr>
          <w:rFonts w:hint="cs"/>
          <w:rtl/>
        </w:rPr>
        <w:t xml:space="preserve"> (להלן - חוק מבקר המדינה)</w:t>
      </w:r>
      <w:r w:rsidRPr="00420E6B">
        <w:rPr>
          <w:rFonts w:hint="cs"/>
          <w:rtl/>
        </w:rPr>
        <w:t xml:space="preserve">. </w:t>
      </w:r>
      <w:r>
        <w:rPr>
          <w:rFonts w:hint="cs"/>
          <w:rtl/>
        </w:rPr>
        <w:t>פרקי ה</w:t>
      </w:r>
      <w:r w:rsidRPr="00420E6B">
        <w:rPr>
          <w:rFonts w:hint="cs"/>
          <w:rtl/>
        </w:rPr>
        <w:t xml:space="preserve">דוח עוסקים בביקורת במשרדי </w:t>
      </w:r>
      <w:r>
        <w:rPr>
          <w:rFonts w:hint="cs"/>
          <w:rtl/>
        </w:rPr>
        <w:t>ה</w:t>
      </w:r>
      <w:r w:rsidRPr="00420E6B">
        <w:rPr>
          <w:rFonts w:hint="cs"/>
          <w:rtl/>
        </w:rPr>
        <w:t xml:space="preserve">ממשלה, במוסדות </w:t>
      </w:r>
      <w:r>
        <w:rPr>
          <w:rFonts w:hint="cs"/>
          <w:rtl/>
        </w:rPr>
        <w:t>ה</w:t>
      </w:r>
      <w:r w:rsidRPr="00420E6B">
        <w:rPr>
          <w:rFonts w:hint="cs"/>
          <w:rtl/>
        </w:rPr>
        <w:t xml:space="preserve">מדינה, </w:t>
      </w:r>
      <w:r>
        <w:rPr>
          <w:rFonts w:hint="cs"/>
          <w:rtl/>
        </w:rPr>
        <w:t xml:space="preserve">בשלטון המקומי, </w:t>
      </w:r>
      <w:r w:rsidRPr="00420E6B">
        <w:rPr>
          <w:rFonts w:hint="cs"/>
          <w:rtl/>
        </w:rPr>
        <w:t>בחברות ממשלתיות ובתאגידים</w:t>
      </w:r>
      <w:r>
        <w:rPr>
          <w:rFonts w:hint="cs"/>
          <w:rtl/>
        </w:rPr>
        <w:t xml:space="preserve">. </w:t>
      </w:r>
    </w:p>
    <w:p w14:paraId="73B4B9C4" w14:textId="77777777" w:rsidR="00276563" w:rsidRDefault="00276563" w:rsidP="00276563">
      <w:pPr>
        <w:pStyle w:val="7190"/>
        <w:rPr>
          <w:rtl/>
        </w:rPr>
      </w:pPr>
      <w:r>
        <w:rPr>
          <w:rFonts w:hint="cs"/>
          <w:rtl/>
        </w:rPr>
        <w:t xml:space="preserve">בהתאם לחזון </w:t>
      </w:r>
      <w:r w:rsidRPr="00420E6B">
        <w:rPr>
          <w:rtl/>
        </w:rPr>
        <w:t>של משרד מבקר המדינה ונציב תלונות הציבור</w:t>
      </w:r>
      <w:r>
        <w:rPr>
          <w:rFonts w:hint="cs"/>
          <w:rtl/>
        </w:rPr>
        <w:t xml:space="preserve"> (להלן - משרד מבקר המדינה), פרקי הדוח עוסקים</w:t>
      </w:r>
      <w:r w:rsidRPr="00420E6B">
        <w:rPr>
          <w:rtl/>
        </w:rPr>
        <w:t xml:space="preserve"> בתחומי הליבה של הגו</w:t>
      </w:r>
      <w:r>
        <w:rPr>
          <w:rFonts w:hint="cs"/>
          <w:rtl/>
        </w:rPr>
        <w:t>פים</w:t>
      </w:r>
      <w:r w:rsidRPr="00420E6B">
        <w:rPr>
          <w:rtl/>
        </w:rPr>
        <w:t xml:space="preserve"> המבוקר</w:t>
      </w:r>
      <w:r>
        <w:rPr>
          <w:rFonts w:hint="cs"/>
          <w:rtl/>
        </w:rPr>
        <w:t>ים</w:t>
      </w:r>
      <w:r w:rsidRPr="00420E6B">
        <w:rPr>
          <w:rtl/>
        </w:rPr>
        <w:t>, תוך התמקדות הן בנושאי</w:t>
      </w:r>
      <w:r>
        <w:rPr>
          <w:rFonts w:hint="cs"/>
          <w:rtl/>
        </w:rPr>
        <w:t>ם</w:t>
      </w:r>
      <w:r w:rsidRPr="00420E6B">
        <w:rPr>
          <w:rtl/>
        </w:rPr>
        <w:t xml:space="preserve"> חברתי</w:t>
      </w:r>
      <w:r>
        <w:rPr>
          <w:rFonts w:hint="cs"/>
          <w:rtl/>
        </w:rPr>
        <w:t>ים</w:t>
      </w:r>
      <w:r w:rsidRPr="00420E6B">
        <w:rPr>
          <w:rtl/>
        </w:rPr>
        <w:t xml:space="preserve"> ובראיית השירות לאזרח</w:t>
      </w:r>
      <w:r>
        <w:rPr>
          <w:rFonts w:hint="cs"/>
          <w:rtl/>
        </w:rPr>
        <w:t xml:space="preserve">, </w:t>
      </w:r>
      <w:r w:rsidRPr="00420E6B">
        <w:rPr>
          <w:rtl/>
        </w:rPr>
        <w:t>הן בסיכונים המהותיים המשפיעים על פעילות ה</w:t>
      </w:r>
      <w:r>
        <w:rPr>
          <w:rFonts w:hint="cs"/>
          <w:rtl/>
        </w:rPr>
        <w:t>גופים ה</w:t>
      </w:r>
      <w:r w:rsidRPr="00420E6B">
        <w:rPr>
          <w:rtl/>
        </w:rPr>
        <w:t>מבוקרים</w:t>
      </w:r>
      <w:r>
        <w:rPr>
          <w:rFonts w:hint="cs"/>
          <w:rtl/>
        </w:rPr>
        <w:t xml:space="preserve"> והן ב</w:t>
      </w:r>
      <w:r w:rsidRPr="00420E6B">
        <w:rPr>
          <w:rtl/>
        </w:rPr>
        <w:t xml:space="preserve">נושאים הנוגעים </w:t>
      </w:r>
      <w:r w:rsidRPr="00165118">
        <w:rPr>
          <w:rtl/>
        </w:rPr>
        <w:t>למינהל תקין ולטוהר המידות</w:t>
      </w:r>
      <w:r w:rsidRPr="00420E6B">
        <w:rPr>
          <w:rtl/>
        </w:rPr>
        <w:t xml:space="preserve">. </w:t>
      </w:r>
      <w:r>
        <w:rPr>
          <w:rFonts w:hint="cs"/>
          <w:rtl/>
        </w:rPr>
        <w:t xml:space="preserve">פרקי הדוח </w:t>
      </w:r>
      <w:r w:rsidRPr="00420E6B">
        <w:rPr>
          <w:rFonts w:hint="cs"/>
          <w:rtl/>
        </w:rPr>
        <w:t>מעל</w:t>
      </w:r>
      <w:r>
        <w:rPr>
          <w:rFonts w:hint="cs"/>
          <w:rtl/>
        </w:rPr>
        <w:t>ים</w:t>
      </w:r>
      <w:r w:rsidRPr="00420E6B">
        <w:rPr>
          <w:rFonts w:hint="cs"/>
          <w:rtl/>
        </w:rPr>
        <w:t xml:space="preserve"> על סדר היום הציבורי ממצאי ביקורת חשובים הנוגעים לכ</w:t>
      </w:r>
      <w:r>
        <w:rPr>
          <w:rFonts w:hint="cs"/>
          <w:rtl/>
        </w:rPr>
        <w:t>ל</w:t>
      </w:r>
      <w:r w:rsidRPr="00420E6B">
        <w:rPr>
          <w:rFonts w:hint="cs"/>
          <w:rtl/>
        </w:rPr>
        <w:t xml:space="preserve">ל תחומי החיים. </w:t>
      </w:r>
      <w:r>
        <w:rPr>
          <w:rFonts w:hint="cs"/>
          <w:rtl/>
        </w:rPr>
        <w:t>מטבע הדברים מבוא זה סוקר רק את מקצת פרקי הדוח, כמפורט להלן:</w:t>
      </w:r>
    </w:p>
    <w:p w14:paraId="0FBEEF69" w14:textId="5988E022" w:rsidR="00276563" w:rsidRDefault="00276563" w:rsidP="00276563">
      <w:pPr>
        <w:pStyle w:val="7190"/>
        <w:rPr>
          <w:rtl/>
        </w:rPr>
      </w:pPr>
      <w:r>
        <w:rPr>
          <w:rFonts w:hint="cs"/>
          <w:rtl/>
        </w:rPr>
        <w:t xml:space="preserve">על פי סעיף 19 לחוק מבקר המדינה נבדקו </w:t>
      </w:r>
      <w:r w:rsidRPr="00DB55AF">
        <w:rPr>
          <w:rFonts w:hint="cs"/>
          <w:bCs/>
          <w:rtl/>
        </w:rPr>
        <w:t>הדוחות הכספיים של מדינת ישראל ליום</w:t>
      </w:r>
      <w:r>
        <w:rPr>
          <w:rFonts w:hint="cs"/>
          <w:bCs/>
          <w:rtl/>
        </w:rPr>
        <w:t xml:space="preserve"> 31.12.2019 - </w:t>
      </w:r>
      <w:r w:rsidRPr="003A3B92">
        <w:rPr>
          <w:bCs/>
          <w:rtl/>
        </w:rPr>
        <w:t>התחייבויות ארוכות טווח של המדינה</w:t>
      </w:r>
      <w:r w:rsidRPr="001C3B5F">
        <w:rPr>
          <w:bCs/>
          <w:rtl/>
        </w:rPr>
        <w:t>.</w:t>
      </w:r>
      <w:r>
        <w:rPr>
          <w:rFonts w:hint="cs"/>
          <w:bCs/>
          <w:rtl/>
        </w:rPr>
        <w:t xml:space="preserve"> </w:t>
      </w:r>
      <w:r>
        <w:rPr>
          <w:rFonts w:hint="cs"/>
          <w:rtl/>
        </w:rPr>
        <w:t xml:space="preserve">הדוחות הכספיים מוצגים על בסיס דיווח מצטבר, כוללים </w:t>
      </w:r>
      <w:r w:rsidRPr="00F702C3">
        <w:rPr>
          <w:rFonts w:hint="cs"/>
          <w:rtl/>
        </w:rPr>
        <w:t>התחייבויות ארוכות טווח של המדינה</w:t>
      </w:r>
      <w:r>
        <w:rPr>
          <w:rFonts w:hint="cs"/>
          <w:rtl/>
        </w:rPr>
        <w:t xml:space="preserve"> ו</w:t>
      </w:r>
      <w:r w:rsidRPr="00F702C3">
        <w:rPr>
          <w:rtl/>
        </w:rPr>
        <w:t>מדגישים סיכונים פיננסיים מסוימים</w:t>
      </w:r>
      <w:r>
        <w:rPr>
          <w:rFonts w:hint="cs"/>
          <w:rtl/>
        </w:rPr>
        <w:t xml:space="preserve">. </w:t>
      </w:r>
      <w:r w:rsidRPr="00F702C3">
        <w:rPr>
          <w:rtl/>
        </w:rPr>
        <w:t xml:space="preserve">למדינת ישראל </w:t>
      </w:r>
      <w:r>
        <w:rPr>
          <w:rFonts w:hint="cs"/>
          <w:rtl/>
        </w:rPr>
        <w:t xml:space="preserve">יש </w:t>
      </w:r>
      <w:r w:rsidRPr="00F702C3">
        <w:rPr>
          <w:rtl/>
        </w:rPr>
        <w:t>התחייבויות ארוכות טווח בהיקפים גדולים מאוד</w:t>
      </w:r>
      <w:r>
        <w:rPr>
          <w:rFonts w:hint="cs"/>
          <w:rtl/>
        </w:rPr>
        <w:t xml:space="preserve"> המסתכמות ב-2,920 מיליארד ש"ח;</w:t>
      </w:r>
      <w:r w:rsidRPr="00F702C3">
        <w:rPr>
          <w:rtl/>
        </w:rPr>
        <w:t xml:space="preserve"> </w:t>
      </w:r>
      <w:r>
        <w:rPr>
          <w:rFonts w:hint="cs"/>
          <w:rtl/>
        </w:rPr>
        <w:t xml:space="preserve">ההתחייבויות </w:t>
      </w:r>
      <w:r w:rsidRPr="00F702C3">
        <w:rPr>
          <w:rtl/>
        </w:rPr>
        <w:t>העיקריות הן ההתחייבויות של המוסד לביטוח לאומי (</w:t>
      </w:r>
      <w:r>
        <w:rPr>
          <w:rFonts w:hint="cs"/>
          <w:rtl/>
        </w:rPr>
        <w:t>887 מיליארד ש"ח</w:t>
      </w:r>
      <w:r w:rsidRPr="00F702C3">
        <w:rPr>
          <w:rtl/>
        </w:rPr>
        <w:t>), שנתוניו הכספיים מאוחדים בדוחות הכספיים של המדינה, וההתחייבות בגין הפנסייה התקציבית של עובדי המדינה</w:t>
      </w:r>
      <w:r>
        <w:rPr>
          <w:rFonts w:hint="cs"/>
          <w:rtl/>
        </w:rPr>
        <w:t xml:space="preserve"> (794 מיליארד ש"ח).</w:t>
      </w:r>
      <w:r w:rsidRPr="00C40DDC">
        <w:rPr>
          <w:rtl/>
        </w:rPr>
        <w:t xml:space="preserve"> בביקורת עלה כי השימוש </w:t>
      </w:r>
      <w:r>
        <w:rPr>
          <w:rFonts w:hint="cs"/>
          <w:rtl/>
        </w:rPr>
        <w:t>בחישובים אקטואריים</w:t>
      </w:r>
      <w:r w:rsidRPr="00C40DDC">
        <w:rPr>
          <w:rtl/>
        </w:rPr>
        <w:t xml:space="preserve"> בבחינת ההתחייבויות ארוכות הטווח של המדינה אינו נעשה באופן מיטבי, </w:t>
      </w:r>
      <w:r>
        <w:rPr>
          <w:rFonts w:hint="cs"/>
          <w:rtl/>
        </w:rPr>
        <w:t xml:space="preserve"> ו</w:t>
      </w:r>
      <w:r w:rsidRPr="00C40DDC">
        <w:rPr>
          <w:rtl/>
        </w:rPr>
        <w:t xml:space="preserve">כי אין אקטואר ממשלתי המייעץ למדינה בהיבטים אקטואריים </w:t>
      </w:r>
      <w:r>
        <w:rPr>
          <w:rFonts w:hint="cs"/>
          <w:rtl/>
        </w:rPr>
        <w:t>לפני</w:t>
      </w:r>
      <w:r w:rsidRPr="00C40DDC">
        <w:rPr>
          <w:rtl/>
        </w:rPr>
        <w:t xml:space="preserve"> קבלת החלטות </w:t>
      </w:r>
      <w:r>
        <w:rPr>
          <w:rFonts w:hint="cs"/>
          <w:rtl/>
        </w:rPr>
        <w:t>שיש להן</w:t>
      </w:r>
      <w:r w:rsidRPr="00C40DDC">
        <w:rPr>
          <w:rtl/>
        </w:rPr>
        <w:t xml:space="preserve"> הש</w:t>
      </w:r>
      <w:r>
        <w:rPr>
          <w:rFonts w:hint="cs"/>
          <w:rtl/>
        </w:rPr>
        <w:t>פע</w:t>
      </w:r>
      <w:r w:rsidRPr="00C40DDC">
        <w:rPr>
          <w:rtl/>
        </w:rPr>
        <w:t xml:space="preserve">ות תקציביות ארוכות טווח. </w:t>
      </w:r>
      <w:r w:rsidRPr="007D282C">
        <w:rPr>
          <w:rtl/>
        </w:rPr>
        <w:t xml:space="preserve">על המדינה </w:t>
      </w:r>
      <w:r>
        <w:rPr>
          <w:rFonts w:hint="cs"/>
          <w:rtl/>
        </w:rPr>
        <w:t>להשתמש</w:t>
      </w:r>
      <w:r w:rsidRPr="007D282C">
        <w:rPr>
          <w:rtl/>
        </w:rPr>
        <w:t xml:space="preserve"> בכלים אקטואריים מקצועיים ועדכניים ולהקפיד על אחידות באופן חישוב התחייבויות אלה על ידי הישויות השונות. מומלץ כי החשב הכללי</w:t>
      </w:r>
      <w:r>
        <w:rPr>
          <w:rFonts w:hint="cs"/>
          <w:rtl/>
        </w:rPr>
        <w:t xml:space="preserve"> במשרד האוצר  יקדם</w:t>
      </w:r>
      <w:r w:rsidRPr="007D282C">
        <w:rPr>
          <w:rtl/>
        </w:rPr>
        <w:t xml:space="preserve"> יישום תקני אקטואריה מתקדמים, תוך ביצוע בקרה מקצועית של מומחה </w:t>
      </w:r>
      <w:r>
        <w:rPr>
          <w:rFonts w:hint="cs"/>
          <w:rtl/>
        </w:rPr>
        <w:t>ב</w:t>
      </w:r>
      <w:r w:rsidRPr="007D282C">
        <w:rPr>
          <w:rtl/>
        </w:rPr>
        <w:t xml:space="preserve">תחום האקטואריה. </w:t>
      </w:r>
      <w:r>
        <w:rPr>
          <w:rFonts w:hint="cs"/>
          <w:rtl/>
        </w:rPr>
        <w:t xml:space="preserve">עוד </w:t>
      </w:r>
      <w:r w:rsidRPr="007D282C">
        <w:rPr>
          <w:rtl/>
        </w:rPr>
        <w:t xml:space="preserve">מומלץ כי החשב הכללי, בשיתוף שר האוצר, יציג לממשלה ולכנסת מדי שנה </w:t>
      </w:r>
      <w:r>
        <w:rPr>
          <w:rFonts w:hint="cs"/>
          <w:rtl/>
        </w:rPr>
        <w:t xml:space="preserve">בשנה </w:t>
      </w:r>
      <w:r w:rsidRPr="007D282C">
        <w:rPr>
          <w:rtl/>
        </w:rPr>
        <w:t xml:space="preserve">את הדוחות הכספיים עם פרסומם, כדי שהמידע החיוני יוצג </w:t>
      </w:r>
      <w:r>
        <w:rPr>
          <w:rFonts w:hint="cs"/>
          <w:rtl/>
        </w:rPr>
        <w:t>ל</w:t>
      </w:r>
      <w:r w:rsidRPr="007D282C">
        <w:rPr>
          <w:rtl/>
        </w:rPr>
        <w:t xml:space="preserve">מקבלי ההחלטות באופן מקיף ומסודר. </w:t>
      </w:r>
      <w:r>
        <w:rPr>
          <w:rFonts w:hint="cs"/>
          <w:rtl/>
        </w:rPr>
        <w:t>דרך פעולה</w:t>
      </w:r>
      <w:r w:rsidRPr="007D282C">
        <w:rPr>
          <w:rtl/>
        </w:rPr>
        <w:t xml:space="preserve"> </w:t>
      </w:r>
      <w:r>
        <w:rPr>
          <w:rFonts w:hint="cs"/>
          <w:rtl/>
        </w:rPr>
        <w:t xml:space="preserve">זו </w:t>
      </w:r>
      <w:r w:rsidRPr="007D282C">
        <w:rPr>
          <w:rtl/>
        </w:rPr>
        <w:t>עשוי</w:t>
      </w:r>
      <w:r>
        <w:rPr>
          <w:rFonts w:hint="cs"/>
          <w:rtl/>
        </w:rPr>
        <w:t>ה</w:t>
      </w:r>
      <w:r w:rsidRPr="007D282C">
        <w:rPr>
          <w:rtl/>
        </w:rPr>
        <w:t xml:space="preserve"> לתרום גם להגברת ה</w:t>
      </w:r>
      <w:r>
        <w:rPr>
          <w:rFonts w:hint="cs"/>
          <w:rtl/>
        </w:rPr>
        <w:t>נשיאה ב</w:t>
      </w:r>
      <w:r w:rsidRPr="007D282C">
        <w:rPr>
          <w:rtl/>
        </w:rPr>
        <w:t>אחריות</w:t>
      </w:r>
      <w:r>
        <w:rPr>
          <w:rFonts w:hint="cs"/>
          <w:rtl/>
        </w:rPr>
        <w:t xml:space="preserve"> (</w:t>
      </w:r>
      <w:r w:rsidRPr="004B5B18">
        <w:rPr>
          <w:bCs/>
        </w:rPr>
        <w:t>accountability</w:t>
      </w:r>
      <w:r w:rsidRPr="007D282C">
        <w:rPr>
          <w:rtl/>
        </w:rPr>
        <w:t xml:space="preserve">) של הממשלה, לשפר את השימוש שהיא עושה במשאבים הציבוריים שהועמדו לרשותה </w:t>
      </w:r>
      <w:r>
        <w:rPr>
          <w:rFonts w:hint="cs"/>
          <w:rtl/>
        </w:rPr>
        <w:t xml:space="preserve">וליצור </w:t>
      </w:r>
      <w:r w:rsidRPr="007D282C">
        <w:rPr>
          <w:rtl/>
        </w:rPr>
        <w:t xml:space="preserve">מצע לדיון חיוני בנושא הנכסים וההתחייבויות (ובפרט </w:t>
      </w:r>
      <w:r>
        <w:rPr>
          <w:rFonts w:hint="cs"/>
          <w:rtl/>
        </w:rPr>
        <w:t xml:space="preserve">ההתחייבויות </w:t>
      </w:r>
      <w:r w:rsidRPr="007D282C">
        <w:rPr>
          <w:rtl/>
        </w:rPr>
        <w:t>ארוכות הטווח) ולבחינה של האתגרים הכלכליים של המדינה לטווח הקצר ולטווח הארוך</w:t>
      </w:r>
      <w:r>
        <w:rPr>
          <w:rFonts w:hint="cs"/>
          <w:rtl/>
        </w:rPr>
        <w:t>.</w:t>
      </w:r>
    </w:p>
    <w:p w14:paraId="7A33CCA0" w14:textId="77777777" w:rsidR="00276563" w:rsidRDefault="00276563" w:rsidP="00276563">
      <w:pPr>
        <w:pStyle w:val="7190"/>
        <w:rPr>
          <w:rtl/>
        </w:rPr>
      </w:pPr>
      <w:r w:rsidRPr="0059390D">
        <w:rPr>
          <w:rFonts w:hint="cs"/>
          <w:rtl/>
        </w:rPr>
        <w:t>חשיבות רבה נודעת לביקורת מערכתית בנושאים בעלי השפעות נרחבות</w:t>
      </w:r>
      <w:r>
        <w:rPr>
          <w:rFonts w:hint="cs"/>
          <w:bCs/>
          <w:rtl/>
        </w:rPr>
        <w:t xml:space="preserve"> </w:t>
      </w:r>
      <w:r w:rsidRPr="0059390D">
        <w:rPr>
          <w:rFonts w:hint="cs"/>
          <w:rtl/>
        </w:rPr>
        <w:t>שעל הטיפול בהם מופקדים כמה משרדי ממשלה ורשויות ציבוריות ו</w:t>
      </w:r>
      <w:r>
        <w:rPr>
          <w:rFonts w:hint="cs"/>
          <w:rtl/>
        </w:rPr>
        <w:t>ה</w:t>
      </w:r>
      <w:r w:rsidRPr="0059390D">
        <w:rPr>
          <w:rFonts w:hint="cs"/>
          <w:rtl/>
        </w:rPr>
        <w:t>מחייבים תכנון ותכלול.</w:t>
      </w:r>
      <w:r>
        <w:rPr>
          <w:rFonts w:hint="cs"/>
          <w:bCs/>
          <w:rtl/>
        </w:rPr>
        <w:t xml:space="preserve"> </w:t>
      </w:r>
      <w:r w:rsidRPr="0059390D">
        <w:rPr>
          <w:rFonts w:hint="cs"/>
          <w:rtl/>
        </w:rPr>
        <w:t xml:space="preserve">אחד מהנושאים הללו הוא </w:t>
      </w:r>
      <w:r w:rsidRPr="008F2B8F">
        <w:rPr>
          <w:rFonts w:hint="cs"/>
          <w:bCs/>
          <w:rtl/>
        </w:rPr>
        <w:t>הטיפול במונופולין ובריכוזיות בענף המזון</w:t>
      </w:r>
      <w:r>
        <w:rPr>
          <w:rFonts w:hint="cs"/>
          <w:rtl/>
        </w:rPr>
        <w:t xml:space="preserve">. </w:t>
      </w:r>
      <w:r w:rsidRPr="00A652B4">
        <w:rPr>
          <w:rtl/>
        </w:rPr>
        <w:t xml:space="preserve">סוגיית יוקר המחיה בישראל, ובכלל זה מחירי המזון, נוגעת לכל משק בית במדינה. ההוצאה על מזון, משקאות וטבק </w:t>
      </w:r>
      <w:r w:rsidRPr="00A652B4">
        <w:rPr>
          <w:rFonts w:hint="cs"/>
          <w:rtl/>
        </w:rPr>
        <w:t>בשנת 2018</w:t>
      </w:r>
      <w:r w:rsidRPr="00A652B4">
        <w:rPr>
          <w:rtl/>
        </w:rPr>
        <w:t xml:space="preserve"> </w:t>
      </w:r>
      <w:r>
        <w:rPr>
          <w:rFonts w:hint="cs"/>
          <w:rtl/>
        </w:rPr>
        <w:t>הסתכמה ב-</w:t>
      </w:r>
      <w:r w:rsidRPr="00A652B4">
        <w:rPr>
          <w:rtl/>
        </w:rPr>
        <w:t>132 מיליארד ש"ח</w:t>
      </w:r>
      <w:r w:rsidRPr="00A652B4">
        <w:rPr>
          <w:rFonts w:hint="cs"/>
          <w:rtl/>
        </w:rPr>
        <w:t xml:space="preserve"> (</w:t>
      </w:r>
      <w:r w:rsidRPr="00A652B4">
        <w:rPr>
          <w:rtl/>
        </w:rPr>
        <w:t>כ-18.5% מכלל ההוצאות</w:t>
      </w:r>
      <w:r w:rsidRPr="00A652B4">
        <w:rPr>
          <w:rFonts w:hint="cs"/>
          <w:rtl/>
        </w:rPr>
        <w:t>)</w:t>
      </w:r>
      <w:r w:rsidRPr="00A652B4">
        <w:rPr>
          <w:rtl/>
        </w:rPr>
        <w:t>. המשק בישראל מתאפיין בריכוזיות על-ענפית</w:t>
      </w:r>
      <w:r>
        <w:rPr>
          <w:rStyle w:val="FootnoteReference"/>
          <w:b/>
          <w:rtl/>
        </w:rPr>
        <w:footnoteReference w:id="1"/>
      </w:r>
      <w:r w:rsidRPr="00A652B4">
        <w:rPr>
          <w:rtl/>
        </w:rPr>
        <w:t xml:space="preserve"> יְתֵרָה</w:t>
      </w:r>
      <w:r>
        <w:rPr>
          <w:rFonts w:hint="cs"/>
          <w:rtl/>
        </w:rPr>
        <w:t>,</w:t>
      </w:r>
      <w:r w:rsidRPr="00A652B4">
        <w:rPr>
          <w:rtl/>
        </w:rPr>
        <w:t xml:space="preserve"> ל</w:t>
      </w:r>
      <w:r>
        <w:rPr>
          <w:rFonts w:hint="cs"/>
          <w:rtl/>
        </w:rPr>
        <w:t xml:space="preserve">עומת </w:t>
      </w:r>
      <w:r w:rsidRPr="00A652B4">
        <w:rPr>
          <w:rtl/>
        </w:rPr>
        <w:t xml:space="preserve">שווקים אחרים. בשנים 2015 - 2020 היה נתח השוק של עשרת הספקים </w:t>
      </w:r>
      <w:r w:rsidRPr="00A652B4">
        <w:rPr>
          <w:rtl/>
        </w:rPr>
        <w:lastRenderedPageBreak/>
        <w:t>הגדולים בענף המזון ובתחום מוצרי הצריכה כ-54% בממוצע, והספק בעל נתח השוק הגדול ביותר החזיק ב</w:t>
      </w:r>
      <w:r>
        <w:rPr>
          <w:rFonts w:hint="cs"/>
          <w:rtl/>
        </w:rPr>
        <w:t xml:space="preserve">שנת </w:t>
      </w:r>
      <w:r w:rsidRPr="00A652B4">
        <w:rPr>
          <w:rtl/>
        </w:rPr>
        <w:t>2020 בכ-12% מכלל שוק המזון</w:t>
      </w:r>
      <w:r w:rsidRPr="00A652B4">
        <w:rPr>
          <w:rFonts w:hint="cs"/>
          <w:rtl/>
        </w:rPr>
        <w:t xml:space="preserve">. </w:t>
      </w:r>
      <w:r w:rsidRPr="008F2B8F">
        <w:rPr>
          <w:rtl/>
        </w:rPr>
        <w:t>ההתמודדות עם יוקר המחיה בענף המזון ו</w:t>
      </w:r>
      <w:r>
        <w:rPr>
          <w:rFonts w:hint="cs"/>
          <w:rtl/>
        </w:rPr>
        <w:t xml:space="preserve">בתחום מוצרי </w:t>
      </w:r>
      <w:r w:rsidRPr="008F2B8F">
        <w:rPr>
          <w:rtl/>
        </w:rPr>
        <w:t xml:space="preserve">הצריכה מחייבת את ממשלת ישראל לפעול לצמצום השפעתם של מונופולין וקבוצות ריכוז, לקידום התחרות במשק ולהפחתת החסמים </w:t>
      </w:r>
      <w:r>
        <w:rPr>
          <w:rFonts w:hint="cs"/>
          <w:rtl/>
        </w:rPr>
        <w:t>בפני</w:t>
      </w:r>
      <w:r w:rsidRPr="008F2B8F">
        <w:rPr>
          <w:rtl/>
        </w:rPr>
        <w:t xml:space="preserve"> יבוא מוצרים. א</w:t>
      </w:r>
      <w:r>
        <w:rPr>
          <w:rFonts w:hint="cs"/>
          <w:rtl/>
        </w:rPr>
        <w:t>ו</w:t>
      </w:r>
      <w:r w:rsidRPr="008F2B8F">
        <w:rPr>
          <w:rtl/>
        </w:rPr>
        <w:t xml:space="preserve">מנם בשנים האחרונות הצטמצם מעט </w:t>
      </w:r>
      <w:r>
        <w:rPr>
          <w:rFonts w:hint="cs"/>
          <w:rtl/>
        </w:rPr>
        <w:t>ה</w:t>
      </w:r>
      <w:r w:rsidRPr="008F2B8F">
        <w:rPr>
          <w:rtl/>
        </w:rPr>
        <w:t xml:space="preserve">פער </w:t>
      </w:r>
      <w:r>
        <w:rPr>
          <w:rFonts w:hint="cs"/>
          <w:rtl/>
        </w:rPr>
        <w:t>ב</w:t>
      </w:r>
      <w:r w:rsidRPr="008F2B8F">
        <w:rPr>
          <w:rtl/>
        </w:rPr>
        <w:t>מחירי המזון בין ישראל למדינות האיחוד האירופי ומדינות ה-</w:t>
      </w:r>
      <w:r w:rsidRPr="00DA2BB7">
        <w:rPr>
          <w:bCs/>
        </w:rPr>
        <w:t>OECD</w:t>
      </w:r>
      <w:r w:rsidRPr="008F2B8F">
        <w:rPr>
          <w:rtl/>
        </w:rPr>
        <w:t>, אך מדד פערי המחירים במונחי כוח קני</w:t>
      </w:r>
      <w:r>
        <w:rPr>
          <w:rFonts w:hint="cs"/>
          <w:rtl/>
        </w:rPr>
        <w:t>י</w:t>
      </w:r>
      <w:r w:rsidRPr="008F2B8F">
        <w:rPr>
          <w:rtl/>
        </w:rPr>
        <w:t>ה של מחירי המזון בישראל עדיין גבוה</w:t>
      </w:r>
      <w:r>
        <w:rPr>
          <w:rFonts w:hint="cs"/>
          <w:rtl/>
        </w:rPr>
        <w:t>,</w:t>
      </w:r>
      <w:r w:rsidRPr="008F2B8F">
        <w:rPr>
          <w:rtl/>
        </w:rPr>
        <w:t xml:space="preserve"> לעומת מדינות האיחוד האירופי ומדינות ה-</w:t>
      </w:r>
      <w:r w:rsidRPr="00DA2BB7">
        <w:rPr>
          <w:bCs/>
        </w:rPr>
        <w:t>OECD</w:t>
      </w:r>
      <w:r w:rsidRPr="008F2B8F">
        <w:rPr>
          <w:rtl/>
        </w:rPr>
        <w:t xml:space="preserve">, ועדיין קיימים חסמים המקשים </w:t>
      </w:r>
      <w:r>
        <w:rPr>
          <w:rFonts w:hint="cs"/>
          <w:rtl/>
        </w:rPr>
        <w:t>להוריד את</w:t>
      </w:r>
      <w:r w:rsidRPr="008F2B8F">
        <w:rPr>
          <w:rtl/>
        </w:rPr>
        <w:t xml:space="preserve"> מחירי המזון </w:t>
      </w:r>
      <w:r>
        <w:rPr>
          <w:rFonts w:hint="cs"/>
          <w:rtl/>
        </w:rPr>
        <w:t>ולקדם את</w:t>
      </w:r>
      <w:r w:rsidRPr="008F2B8F">
        <w:rPr>
          <w:rtl/>
        </w:rPr>
        <w:t xml:space="preserve"> התחרות בענף</w:t>
      </w:r>
      <w:r>
        <w:rPr>
          <w:rFonts w:hint="cs"/>
          <w:rtl/>
        </w:rPr>
        <w:t>.</w:t>
      </w:r>
      <w:r w:rsidRPr="008F2B8F">
        <w:rPr>
          <w:rtl/>
        </w:rPr>
        <w:t xml:space="preserve"> על כל הגופים הרלוונטיים לפעול באמצעות הכלים שעומדים לרשותם להשגת המטרות שהציבה הממשלה </w:t>
      </w:r>
      <w:r>
        <w:rPr>
          <w:rFonts w:hint="cs"/>
          <w:rtl/>
        </w:rPr>
        <w:t>בעניין</w:t>
      </w:r>
      <w:r w:rsidRPr="008F2B8F">
        <w:rPr>
          <w:rtl/>
        </w:rPr>
        <w:t xml:space="preserve"> הורדת יוקר המחיה בישראל</w:t>
      </w:r>
      <w:r>
        <w:rPr>
          <w:rFonts w:hint="cs"/>
          <w:rtl/>
        </w:rPr>
        <w:t xml:space="preserve">, לרבות </w:t>
      </w:r>
      <w:r w:rsidRPr="000450F5">
        <w:rPr>
          <w:rtl/>
        </w:rPr>
        <w:t>הגברת מודעותו הצרכנית של הציבור</w:t>
      </w:r>
      <w:r>
        <w:rPr>
          <w:rFonts w:hint="cs"/>
          <w:rtl/>
        </w:rPr>
        <w:t>.</w:t>
      </w:r>
      <w:r w:rsidRPr="000450F5">
        <w:rPr>
          <w:rtl/>
        </w:rPr>
        <w:t xml:space="preserve"> </w:t>
      </w:r>
      <w:r>
        <w:rPr>
          <w:rFonts w:hint="cs"/>
          <w:rtl/>
        </w:rPr>
        <w:t xml:space="preserve">הגברת המודעות כאמור </w:t>
      </w:r>
      <w:r w:rsidRPr="000450F5">
        <w:rPr>
          <w:rtl/>
        </w:rPr>
        <w:t xml:space="preserve">תתרום לעידוד ביצוע השוואות בין מחירים, בחינת </w:t>
      </w:r>
      <w:r>
        <w:rPr>
          <w:rFonts w:hint="cs"/>
          <w:rtl/>
        </w:rPr>
        <w:t>ה</w:t>
      </w:r>
      <w:r w:rsidRPr="000450F5">
        <w:rPr>
          <w:rtl/>
        </w:rPr>
        <w:t xml:space="preserve">מידע הקיים על אודות החלופות השונות </w:t>
      </w:r>
      <w:r>
        <w:rPr>
          <w:rFonts w:hint="cs"/>
          <w:rtl/>
        </w:rPr>
        <w:t>ו</w:t>
      </w:r>
      <w:r w:rsidRPr="000450F5">
        <w:rPr>
          <w:rtl/>
        </w:rPr>
        <w:t>התאגדויות לרכישות משותפות</w:t>
      </w:r>
      <w:r>
        <w:rPr>
          <w:rFonts w:hint="cs"/>
          <w:rtl/>
        </w:rPr>
        <w:t>.</w:t>
      </w:r>
    </w:p>
    <w:p w14:paraId="57059C31" w14:textId="77777777" w:rsidR="00276563" w:rsidRDefault="00276563" w:rsidP="00276563">
      <w:pPr>
        <w:pStyle w:val="7190"/>
        <w:rPr>
          <w:rtl/>
        </w:rPr>
      </w:pPr>
      <w:r>
        <w:rPr>
          <w:rFonts w:hint="cs"/>
          <w:rtl/>
        </w:rPr>
        <w:t xml:space="preserve">עוד </w:t>
      </w:r>
      <w:r w:rsidRPr="006A4029">
        <w:rPr>
          <w:rFonts w:hint="cs"/>
          <w:rtl/>
        </w:rPr>
        <w:t>ביקורת מערכתית נערכה בנושא</w:t>
      </w:r>
      <w:r>
        <w:rPr>
          <w:rFonts w:hint="cs"/>
          <w:bCs/>
          <w:rtl/>
        </w:rPr>
        <w:t xml:space="preserve"> </w:t>
      </w:r>
      <w:r w:rsidRPr="00D44EB3">
        <w:rPr>
          <w:bCs/>
          <w:rtl/>
        </w:rPr>
        <w:t>הנגשת מאגרי המידע הממשלתיים</w:t>
      </w:r>
      <w:r w:rsidRPr="00D44EB3">
        <w:rPr>
          <w:rFonts w:hint="cs"/>
          <w:bCs/>
          <w:rtl/>
        </w:rPr>
        <w:t xml:space="preserve"> ו</w:t>
      </w:r>
      <w:r>
        <w:rPr>
          <w:rFonts w:hint="cs"/>
          <w:bCs/>
          <w:rtl/>
        </w:rPr>
        <w:t>ה</w:t>
      </w:r>
      <w:r w:rsidRPr="00D44EB3">
        <w:rPr>
          <w:rFonts w:hint="cs"/>
          <w:bCs/>
          <w:rtl/>
        </w:rPr>
        <w:t>ציבוריים</w:t>
      </w:r>
      <w:r w:rsidRPr="00D44EB3">
        <w:rPr>
          <w:bCs/>
          <w:rtl/>
        </w:rPr>
        <w:t xml:space="preserve"> לציבור</w:t>
      </w:r>
      <w:r>
        <w:rPr>
          <w:rFonts w:hint="cs"/>
          <w:rtl/>
        </w:rPr>
        <w:t>.</w:t>
      </w:r>
      <w:r w:rsidRPr="00D44EB3">
        <w:rPr>
          <w:rtl/>
        </w:rPr>
        <w:t xml:space="preserve"> </w:t>
      </w:r>
      <w:r>
        <w:rPr>
          <w:rFonts w:hint="cs"/>
          <w:rtl/>
        </w:rPr>
        <w:t xml:space="preserve">עקרון הנגשת המידע לציבור </w:t>
      </w:r>
      <w:r w:rsidRPr="00D44EB3">
        <w:rPr>
          <w:rtl/>
        </w:rPr>
        <w:t>ה</w:t>
      </w:r>
      <w:r>
        <w:rPr>
          <w:rFonts w:hint="cs"/>
          <w:rtl/>
        </w:rPr>
        <w:t>ו</w:t>
      </w:r>
      <w:r w:rsidRPr="00D44EB3">
        <w:rPr>
          <w:rtl/>
        </w:rPr>
        <w:t xml:space="preserve">א אחד מעקרונות ממשל פתוח, </w:t>
      </w:r>
      <w:r>
        <w:rPr>
          <w:rFonts w:hint="cs"/>
          <w:rtl/>
        </w:rPr>
        <w:t>ולפיו</w:t>
      </w:r>
      <w:r w:rsidRPr="00D44EB3">
        <w:rPr>
          <w:rtl/>
        </w:rPr>
        <w:t xml:space="preserve"> </w:t>
      </w:r>
      <w:r>
        <w:rPr>
          <w:rFonts w:hint="cs"/>
          <w:rtl/>
        </w:rPr>
        <w:t>ה</w:t>
      </w:r>
      <w:r w:rsidRPr="00D44EB3">
        <w:rPr>
          <w:rtl/>
        </w:rPr>
        <w:t xml:space="preserve">מידע שבידי הממשלה </w:t>
      </w:r>
      <w:r>
        <w:rPr>
          <w:rFonts w:hint="cs"/>
          <w:rtl/>
        </w:rPr>
        <w:t xml:space="preserve">הוא </w:t>
      </w:r>
      <w:r w:rsidRPr="00D44EB3">
        <w:rPr>
          <w:rtl/>
        </w:rPr>
        <w:t>נכס השייך לציבור. ממצאי ה</w:t>
      </w:r>
      <w:r>
        <w:rPr>
          <w:rFonts w:hint="cs"/>
          <w:rtl/>
        </w:rPr>
        <w:t>ביקורת</w:t>
      </w:r>
      <w:r w:rsidRPr="00D44EB3">
        <w:rPr>
          <w:rtl/>
        </w:rPr>
        <w:t xml:space="preserve"> משקפים יישום חלקי של הפעולות שנקבעו בהחלט</w:t>
      </w:r>
      <w:r>
        <w:rPr>
          <w:rFonts w:hint="cs"/>
          <w:rtl/>
        </w:rPr>
        <w:t>ת הממשלה</w:t>
      </w:r>
      <w:r w:rsidRPr="00D44EB3">
        <w:rPr>
          <w:rtl/>
        </w:rPr>
        <w:t xml:space="preserve"> ובהנחיות רשות התקשוב ו</w:t>
      </w:r>
      <w:r>
        <w:rPr>
          <w:rFonts w:hint="cs"/>
          <w:rtl/>
        </w:rPr>
        <w:t xml:space="preserve">מצביעים </w:t>
      </w:r>
      <w:r w:rsidRPr="00D44EB3">
        <w:rPr>
          <w:rtl/>
        </w:rPr>
        <w:t>על התמודדות שאינה מספקת עם אתגרים שונים הכרוכים בכך</w:t>
      </w:r>
      <w:r>
        <w:rPr>
          <w:rFonts w:hint="cs"/>
          <w:rtl/>
        </w:rPr>
        <w:t xml:space="preserve">: </w:t>
      </w:r>
      <w:r w:rsidRPr="006A67E2">
        <w:rPr>
          <w:rtl/>
        </w:rPr>
        <w:t>כשליש מהמשרדים ביצעו את מיפוי</w:t>
      </w:r>
      <w:r>
        <w:rPr>
          <w:rFonts w:hint="cs"/>
          <w:rtl/>
        </w:rPr>
        <w:t xml:space="preserve"> מאגרי המידע שברשותם</w:t>
      </w:r>
      <w:r w:rsidRPr="006A67E2">
        <w:rPr>
          <w:rtl/>
        </w:rPr>
        <w:t xml:space="preserve"> באופן חלקי או לא ביצעו אותו כלל, וכ-28% מהם לא הכינו תוכנית עבודה </w:t>
      </w:r>
      <w:r>
        <w:rPr>
          <w:rFonts w:hint="cs"/>
          <w:rtl/>
        </w:rPr>
        <w:t>להנגשת המאגרים</w:t>
      </w:r>
      <w:r w:rsidRPr="006A67E2">
        <w:rPr>
          <w:rFonts w:hint="cs"/>
          <w:rtl/>
        </w:rPr>
        <w:t>.</w:t>
      </w:r>
      <w:r>
        <w:rPr>
          <w:rFonts w:hint="cs"/>
          <w:rtl/>
        </w:rPr>
        <w:t xml:space="preserve"> </w:t>
      </w:r>
      <w:r w:rsidRPr="00D44EB3">
        <w:rPr>
          <w:rtl/>
        </w:rPr>
        <w:t xml:space="preserve">בתיקון הליקויים ויישום ההמלצות שפורטו בדוח זה יש כדי לתרום למימוש הפוטנציאל הטמון בהנגשת מאגרי המידע הממשלתיים. נדרשת אפוא פעולה רחבה ומחויבת יותר </w:t>
      </w:r>
      <w:r>
        <w:rPr>
          <w:rFonts w:hint="cs"/>
          <w:rtl/>
        </w:rPr>
        <w:t xml:space="preserve">של רשות התקשוב הממשלתי </w:t>
      </w:r>
      <w:r w:rsidRPr="00D44EB3">
        <w:rPr>
          <w:rtl/>
        </w:rPr>
        <w:t>בשורה של היבטים הנוגעים לנושא</w:t>
      </w:r>
      <w:r>
        <w:rPr>
          <w:rFonts w:hint="cs"/>
          <w:rtl/>
        </w:rPr>
        <w:t>.</w:t>
      </w:r>
      <w:r w:rsidRPr="00D44EB3">
        <w:rPr>
          <w:rtl/>
        </w:rPr>
        <w:t xml:space="preserve"> עם זאת, בלא שיתוף פעולה של משרדי הממשלה, הנובע מהכרה בערך הגלום בהנגשת מאגרי </w:t>
      </w:r>
      <w:r>
        <w:rPr>
          <w:rFonts w:hint="cs"/>
          <w:rtl/>
        </w:rPr>
        <w:t>ה</w:t>
      </w:r>
      <w:r w:rsidRPr="00D44EB3">
        <w:rPr>
          <w:rtl/>
        </w:rPr>
        <w:t xml:space="preserve">מידע - נושא זה לא יקודם בצורה </w:t>
      </w:r>
      <w:r>
        <w:rPr>
          <w:rFonts w:hint="cs"/>
          <w:rtl/>
        </w:rPr>
        <w:t>ה</w:t>
      </w:r>
      <w:r w:rsidRPr="00D44EB3">
        <w:rPr>
          <w:rtl/>
        </w:rPr>
        <w:t>מיטבית</w:t>
      </w:r>
      <w:r>
        <w:rPr>
          <w:rFonts w:hint="cs"/>
          <w:rtl/>
        </w:rPr>
        <w:t>.</w:t>
      </w:r>
    </w:p>
    <w:p w14:paraId="78EAC851" w14:textId="77777777" w:rsidR="00276563" w:rsidRPr="00165118" w:rsidRDefault="00276563" w:rsidP="00276563">
      <w:pPr>
        <w:pStyle w:val="7190"/>
        <w:rPr>
          <w:rtl/>
        </w:rPr>
      </w:pPr>
      <w:r w:rsidRPr="00870E0D">
        <w:rPr>
          <w:rFonts w:hint="cs"/>
          <w:rtl/>
        </w:rPr>
        <w:t xml:space="preserve">במסגרת הטיפול בנושאים חברתיים </w:t>
      </w:r>
      <w:r>
        <w:rPr>
          <w:rFonts w:hint="cs"/>
          <w:rtl/>
        </w:rPr>
        <w:t>מייחד</w:t>
      </w:r>
      <w:r w:rsidRPr="00870E0D">
        <w:rPr>
          <w:rFonts w:hint="cs"/>
          <w:rtl/>
        </w:rPr>
        <w:t xml:space="preserve"> </w:t>
      </w:r>
      <w:r>
        <w:rPr>
          <w:rFonts w:hint="cs"/>
          <w:rtl/>
        </w:rPr>
        <w:t>משרד מבקר</w:t>
      </w:r>
      <w:r w:rsidRPr="00870E0D">
        <w:rPr>
          <w:rFonts w:hint="cs"/>
          <w:rtl/>
        </w:rPr>
        <w:t xml:space="preserve"> המדינה תשומת לב מיוחדת ל</w:t>
      </w:r>
      <w:r>
        <w:rPr>
          <w:rFonts w:hint="cs"/>
          <w:rtl/>
        </w:rPr>
        <w:t>בדיקת נושאים</w:t>
      </w:r>
      <w:r w:rsidRPr="00870E0D">
        <w:rPr>
          <w:rFonts w:hint="cs"/>
          <w:rtl/>
        </w:rPr>
        <w:t xml:space="preserve"> הנוגעים לאוכלוסיות </w:t>
      </w:r>
      <w:r>
        <w:rPr>
          <w:rFonts w:hint="cs"/>
          <w:rtl/>
        </w:rPr>
        <w:t>ראויות לקידום</w:t>
      </w:r>
      <w:r w:rsidRPr="00870E0D">
        <w:rPr>
          <w:rFonts w:hint="cs"/>
          <w:rtl/>
        </w:rPr>
        <w:t>, אשר קשה להן יותר לעמוד על זכויותיהן, ולע</w:t>
      </w:r>
      <w:r>
        <w:rPr>
          <w:rFonts w:hint="cs"/>
          <w:rtl/>
        </w:rPr>
        <w:t>י</w:t>
      </w:r>
      <w:r w:rsidRPr="00870E0D">
        <w:rPr>
          <w:rFonts w:hint="cs"/>
          <w:rtl/>
        </w:rPr>
        <w:t>תים אין מי שיהיה להן לפה</w:t>
      </w:r>
      <w:r>
        <w:rPr>
          <w:rFonts w:hint="cs"/>
          <w:rtl/>
        </w:rPr>
        <w:t xml:space="preserve">; אחד מנושאים אלה הוא </w:t>
      </w:r>
      <w:r w:rsidRPr="00D80040">
        <w:rPr>
          <w:rFonts w:hint="cs"/>
          <w:b/>
          <w:bCs/>
          <w:rtl/>
        </w:rPr>
        <w:t>שיקום האסירים בישראל</w:t>
      </w:r>
      <w:r w:rsidRPr="009B3E7B">
        <w:rPr>
          <w:rFonts w:hint="cs"/>
          <w:rtl/>
        </w:rPr>
        <w:t xml:space="preserve">. הביקורת העלתה כי </w:t>
      </w:r>
      <w:r w:rsidRPr="009B3E7B">
        <w:rPr>
          <w:rtl/>
        </w:rPr>
        <w:t>בעשור האחרון רווחת התפיסה כי עונשי הכליאה אינם משיגים את ייעודם ב</w:t>
      </w:r>
      <w:r>
        <w:rPr>
          <w:rFonts w:hint="cs"/>
          <w:rtl/>
        </w:rPr>
        <w:t>נוגע ל</w:t>
      </w:r>
      <w:r w:rsidRPr="009B3E7B">
        <w:rPr>
          <w:rtl/>
        </w:rPr>
        <w:t>צמצום שיעור המו</w:t>
      </w:r>
      <w:r>
        <w:rPr>
          <w:rFonts w:hint="cs"/>
          <w:rtl/>
        </w:rPr>
        <w:t>ּ</w:t>
      </w:r>
      <w:r w:rsidRPr="009B3E7B">
        <w:rPr>
          <w:rtl/>
        </w:rPr>
        <w:t>עדו</w:t>
      </w:r>
      <w:r>
        <w:rPr>
          <w:rFonts w:hint="cs"/>
          <w:rtl/>
        </w:rPr>
        <w:t>ּ</w:t>
      </w:r>
      <w:r w:rsidRPr="009B3E7B">
        <w:rPr>
          <w:rtl/>
        </w:rPr>
        <w:t>ת</w:t>
      </w:r>
      <w:r>
        <w:rPr>
          <w:rFonts w:hint="cs"/>
          <w:rtl/>
        </w:rPr>
        <w:t>,</w:t>
      </w:r>
      <w:r w:rsidRPr="009B3E7B">
        <w:rPr>
          <w:rtl/>
        </w:rPr>
        <w:t xml:space="preserve"> </w:t>
      </w:r>
      <w:r>
        <w:rPr>
          <w:rFonts w:hint="cs"/>
          <w:rtl/>
        </w:rPr>
        <w:t>ו</w:t>
      </w:r>
      <w:r w:rsidRPr="009B3E7B">
        <w:rPr>
          <w:rtl/>
        </w:rPr>
        <w:t>תפיסה זו עומדת בבסיס הצורך להגביר את העשייה הממשלתית בתחום שיקום</w:t>
      </w:r>
      <w:r>
        <w:rPr>
          <w:rFonts w:hint="cs"/>
          <w:rtl/>
        </w:rPr>
        <w:t xml:space="preserve"> האסירים</w:t>
      </w:r>
      <w:r w:rsidRPr="009B3E7B">
        <w:rPr>
          <w:rtl/>
        </w:rPr>
        <w:t xml:space="preserve">. </w:t>
      </w:r>
      <w:r w:rsidRPr="009B3E7B">
        <w:rPr>
          <w:rFonts w:hint="cs"/>
          <w:rtl/>
        </w:rPr>
        <w:t>בשנת 2011 היה שיעור המועדות 43.3% ובשנת 2019 - 39.3%. הועלה כי השילוב של אסירים בתוכניות הת</w:t>
      </w:r>
      <w:r>
        <w:rPr>
          <w:rFonts w:hint="cs"/>
          <w:rtl/>
        </w:rPr>
        <w:t>י</w:t>
      </w:r>
      <w:r w:rsidRPr="009B3E7B">
        <w:rPr>
          <w:rFonts w:hint="cs"/>
          <w:rtl/>
        </w:rPr>
        <w:t>קון השונות במסגרת</w:t>
      </w:r>
      <w:r>
        <w:rPr>
          <w:rFonts w:hint="cs"/>
          <w:rtl/>
        </w:rPr>
        <w:t xml:space="preserve"> שירות בתי הסוהר (להלן - </w:t>
      </w:r>
      <w:r w:rsidRPr="009B3E7B">
        <w:rPr>
          <w:rFonts w:hint="cs"/>
          <w:rtl/>
        </w:rPr>
        <w:t>שב"ס</w:t>
      </w:r>
      <w:r>
        <w:rPr>
          <w:rFonts w:hint="cs"/>
          <w:rtl/>
        </w:rPr>
        <w:t>)</w:t>
      </w:r>
      <w:r w:rsidRPr="009B3E7B">
        <w:rPr>
          <w:rFonts w:hint="cs"/>
          <w:rtl/>
        </w:rPr>
        <w:t xml:space="preserve"> אינו ממצה</w:t>
      </w:r>
      <w:r>
        <w:rPr>
          <w:rFonts w:hint="cs"/>
          <w:rtl/>
        </w:rPr>
        <w:t>. עוד הועלה כי</w:t>
      </w:r>
      <w:r w:rsidRPr="009B3E7B">
        <w:rPr>
          <w:rFonts w:hint="cs"/>
          <w:rtl/>
        </w:rPr>
        <w:t xml:space="preserve"> כ-75% מהאסירים שנשפטו למאסר של עד שנה לא טופלו באופן ייעודי לפי העבירות שבגינן נאסרו</w:t>
      </w:r>
      <w:r>
        <w:rPr>
          <w:rFonts w:hint="cs"/>
          <w:rtl/>
        </w:rPr>
        <w:t>,</w:t>
      </w:r>
      <w:r w:rsidRPr="009B3E7B">
        <w:rPr>
          <w:rFonts w:hint="cs"/>
          <w:rtl/>
        </w:rPr>
        <w:t xml:space="preserve"> עקב הזמן הקצר שבו שהו במאסר לאחר שנגזר דינם; </w:t>
      </w:r>
      <w:r>
        <w:rPr>
          <w:rFonts w:hint="cs"/>
          <w:rtl/>
        </w:rPr>
        <w:t xml:space="preserve">כי </w:t>
      </w:r>
      <w:r w:rsidRPr="007F55AB">
        <w:rPr>
          <w:rFonts w:hint="cs"/>
          <w:rtl/>
        </w:rPr>
        <w:t>רק מחצית הכלואים שולבו בתעסוקה ב</w:t>
      </w:r>
      <w:r>
        <w:rPr>
          <w:rFonts w:hint="cs"/>
          <w:rtl/>
        </w:rPr>
        <w:t xml:space="preserve">מסגרת </w:t>
      </w:r>
      <w:r w:rsidRPr="007F55AB">
        <w:rPr>
          <w:rFonts w:hint="cs"/>
          <w:rtl/>
        </w:rPr>
        <w:t>שב"ס</w:t>
      </w:r>
      <w:r>
        <w:rPr>
          <w:rFonts w:hint="cs"/>
          <w:rtl/>
        </w:rPr>
        <w:t>, אף</w:t>
      </w:r>
      <w:r w:rsidRPr="009B3E7B">
        <w:rPr>
          <w:rtl/>
        </w:rPr>
        <w:t xml:space="preserve"> </w:t>
      </w:r>
      <w:r>
        <w:rPr>
          <w:rFonts w:hint="cs"/>
          <w:rtl/>
        </w:rPr>
        <w:t>ש</w:t>
      </w:r>
      <w:r w:rsidRPr="009B3E7B">
        <w:rPr>
          <w:rtl/>
        </w:rPr>
        <w:t xml:space="preserve">תעסוקה </w:t>
      </w:r>
      <w:r w:rsidRPr="009B3E7B">
        <w:rPr>
          <w:rFonts w:hint="eastAsia"/>
          <w:rtl/>
        </w:rPr>
        <w:t>יציבה</w:t>
      </w:r>
      <w:r w:rsidRPr="009B3E7B">
        <w:rPr>
          <w:rtl/>
        </w:rPr>
        <w:t xml:space="preserve"> </w:t>
      </w:r>
      <w:r w:rsidRPr="009B3E7B">
        <w:rPr>
          <w:rFonts w:hint="eastAsia"/>
          <w:rtl/>
        </w:rPr>
        <w:t>לאחר</w:t>
      </w:r>
      <w:r w:rsidRPr="009B3E7B">
        <w:rPr>
          <w:rtl/>
        </w:rPr>
        <w:t xml:space="preserve"> </w:t>
      </w:r>
      <w:r w:rsidRPr="009B3E7B">
        <w:rPr>
          <w:rFonts w:hint="eastAsia"/>
          <w:rtl/>
        </w:rPr>
        <w:t>השחרור</w:t>
      </w:r>
      <w:r w:rsidRPr="007F55AB">
        <w:rPr>
          <w:rtl/>
        </w:rPr>
        <w:t xml:space="preserve"> </w:t>
      </w:r>
      <w:r w:rsidRPr="007F55AB">
        <w:rPr>
          <w:rFonts w:hint="eastAsia"/>
          <w:rtl/>
        </w:rPr>
        <w:t>היא</w:t>
      </w:r>
      <w:r w:rsidRPr="007F55AB">
        <w:t xml:space="preserve"> </w:t>
      </w:r>
      <w:r w:rsidRPr="007F55AB">
        <w:rPr>
          <w:rFonts w:hint="eastAsia"/>
          <w:rtl/>
        </w:rPr>
        <w:t>נקודת</w:t>
      </w:r>
      <w:r w:rsidRPr="007F55AB">
        <w:t xml:space="preserve"> </w:t>
      </w:r>
      <w:r w:rsidRPr="007F55AB">
        <w:rPr>
          <w:rFonts w:hint="eastAsia"/>
          <w:rtl/>
        </w:rPr>
        <w:t>פתיחה</w:t>
      </w:r>
      <w:r w:rsidRPr="007F55AB">
        <w:t xml:space="preserve"> </w:t>
      </w:r>
      <w:r>
        <w:rPr>
          <w:rFonts w:hint="cs"/>
          <w:rtl/>
        </w:rPr>
        <w:t>חשובה</w:t>
      </w:r>
      <w:r w:rsidRPr="007F55AB">
        <w:t xml:space="preserve"> </w:t>
      </w:r>
      <w:r>
        <w:rPr>
          <w:rFonts w:hint="cs"/>
          <w:rtl/>
        </w:rPr>
        <w:t>בנוגע ל</w:t>
      </w:r>
      <w:r w:rsidRPr="007F55AB">
        <w:rPr>
          <w:rFonts w:hint="eastAsia"/>
          <w:rtl/>
        </w:rPr>
        <w:t>שילובו</w:t>
      </w:r>
      <w:r w:rsidRPr="007F55AB">
        <w:t xml:space="preserve"> </w:t>
      </w:r>
      <w:r w:rsidRPr="007F55AB">
        <w:rPr>
          <w:rFonts w:hint="eastAsia"/>
          <w:rtl/>
        </w:rPr>
        <w:t>של</w:t>
      </w:r>
      <w:r w:rsidRPr="007F55AB">
        <w:rPr>
          <w:rtl/>
        </w:rPr>
        <w:t xml:space="preserve"> </w:t>
      </w:r>
      <w:r w:rsidRPr="007F55AB">
        <w:rPr>
          <w:rFonts w:hint="eastAsia"/>
          <w:rtl/>
        </w:rPr>
        <w:t>האסיר</w:t>
      </w:r>
      <w:r w:rsidRPr="007F55AB">
        <w:t xml:space="preserve"> </w:t>
      </w:r>
      <w:r w:rsidRPr="007F55AB">
        <w:rPr>
          <w:rFonts w:hint="eastAsia"/>
          <w:rtl/>
        </w:rPr>
        <w:t>המשוחרר</w:t>
      </w:r>
      <w:r w:rsidRPr="007F55AB">
        <w:rPr>
          <w:rtl/>
        </w:rPr>
        <w:t xml:space="preserve"> </w:t>
      </w:r>
      <w:r w:rsidRPr="007F55AB">
        <w:rPr>
          <w:rFonts w:hint="eastAsia"/>
          <w:rtl/>
        </w:rPr>
        <w:t>בחברה</w:t>
      </w:r>
      <w:r w:rsidRPr="007F55AB">
        <w:rPr>
          <w:rFonts w:hint="cs"/>
          <w:rtl/>
        </w:rPr>
        <w:t xml:space="preserve">; </w:t>
      </w:r>
      <w:r>
        <w:rPr>
          <w:rFonts w:hint="cs"/>
          <w:rtl/>
        </w:rPr>
        <w:t xml:space="preserve">וכי </w:t>
      </w:r>
      <w:r w:rsidRPr="007F55AB">
        <w:rPr>
          <w:rFonts w:hint="cs"/>
          <w:rtl/>
        </w:rPr>
        <w:t xml:space="preserve">במערכות המידע של שב"ס חסר מידע רלוונטי לטיפול באסירים - דבר שעלול לפגוע בקבלת ההחלטות </w:t>
      </w:r>
      <w:r>
        <w:rPr>
          <w:rFonts w:hint="cs"/>
          <w:rtl/>
        </w:rPr>
        <w:t>ועקב</w:t>
      </w:r>
      <w:r w:rsidRPr="007F55AB">
        <w:rPr>
          <w:rFonts w:hint="cs"/>
          <w:rtl/>
        </w:rPr>
        <w:t xml:space="preserve"> כך ביכולתו של שב"ס להעניק לאסירים את המענה השיקומי הנדרש לקראת שחרורם</w:t>
      </w:r>
      <w:r w:rsidRPr="00165118">
        <w:rPr>
          <w:rtl/>
        </w:rPr>
        <w:t>.</w:t>
      </w:r>
      <w:r w:rsidRPr="00165118">
        <w:rPr>
          <w:rFonts w:hint="cs"/>
          <w:rtl/>
        </w:rPr>
        <w:t xml:space="preserve"> בנוגע לאסירים משוחררים </w:t>
      </w:r>
      <w:r w:rsidRPr="00165118">
        <w:rPr>
          <w:rFonts w:hint="eastAsia"/>
          <w:rtl/>
        </w:rPr>
        <w:t>שריצו</w:t>
      </w:r>
      <w:r w:rsidRPr="00165118">
        <w:rPr>
          <w:rtl/>
        </w:rPr>
        <w:t xml:space="preserve"> </w:t>
      </w:r>
      <w:r w:rsidRPr="00165118">
        <w:rPr>
          <w:rFonts w:hint="eastAsia"/>
          <w:rtl/>
        </w:rPr>
        <w:t>את</w:t>
      </w:r>
      <w:r w:rsidRPr="00165118">
        <w:rPr>
          <w:rtl/>
        </w:rPr>
        <w:t xml:space="preserve"> </w:t>
      </w:r>
      <w:r w:rsidRPr="00165118">
        <w:rPr>
          <w:rFonts w:hint="eastAsia"/>
          <w:rtl/>
        </w:rPr>
        <w:t>מלוא</w:t>
      </w:r>
      <w:r w:rsidRPr="00165118">
        <w:rPr>
          <w:rtl/>
        </w:rPr>
        <w:t xml:space="preserve"> </w:t>
      </w:r>
      <w:r w:rsidRPr="00165118">
        <w:rPr>
          <w:rFonts w:hint="eastAsia"/>
          <w:rtl/>
        </w:rPr>
        <w:t>תקופת</w:t>
      </w:r>
      <w:r w:rsidRPr="00165118">
        <w:rPr>
          <w:rtl/>
        </w:rPr>
        <w:t xml:space="preserve"> </w:t>
      </w:r>
      <w:r w:rsidRPr="00165118">
        <w:rPr>
          <w:rFonts w:hint="eastAsia"/>
          <w:rtl/>
        </w:rPr>
        <w:t>מאסרם</w:t>
      </w:r>
      <w:r w:rsidRPr="00165118">
        <w:rPr>
          <w:rFonts w:hint="cs"/>
          <w:rtl/>
        </w:rPr>
        <w:t>, עלה כי הרשות לשיקום האסיר (</w:t>
      </w:r>
      <w:r>
        <w:rPr>
          <w:rFonts w:hint="cs"/>
          <w:rtl/>
        </w:rPr>
        <w:t xml:space="preserve">להלן - </w:t>
      </w:r>
      <w:r w:rsidRPr="00165118">
        <w:rPr>
          <w:rFonts w:hint="cs"/>
          <w:rtl/>
        </w:rPr>
        <w:t>רש"א) ושב"ס אינ</w:t>
      </w:r>
      <w:r>
        <w:rPr>
          <w:rFonts w:hint="cs"/>
          <w:rtl/>
        </w:rPr>
        <w:t>ם</w:t>
      </w:r>
      <w:r w:rsidRPr="00165118">
        <w:rPr>
          <w:rFonts w:hint="cs"/>
          <w:rtl/>
        </w:rPr>
        <w:t xml:space="preserve"> מפעיל</w:t>
      </w:r>
      <w:r>
        <w:rPr>
          <w:rFonts w:hint="cs"/>
          <w:rtl/>
        </w:rPr>
        <w:t>ים</w:t>
      </w:r>
      <w:r w:rsidRPr="00165118">
        <w:rPr>
          <w:rFonts w:hint="cs"/>
          <w:rtl/>
        </w:rPr>
        <w:t xml:space="preserve"> ככלל תוכניות שיקום משותפות, והאסירים המיועדים לשחרור אינם נדרשים להשתתף בסדנאות ההכנה לשחרור של רש"א; </w:t>
      </w:r>
      <w:r>
        <w:rPr>
          <w:rFonts w:hint="cs"/>
          <w:rtl/>
        </w:rPr>
        <w:t xml:space="preserve">כי </w:t>
      </w:r>
      <w:r w:rsidRPr="00165118">
        <w:rPr>
          <w:rFonts w:hint="cs"/>
          <w:rtl/>
        </w:rPr>
        <w:t xml:space="preserve">רש"א מטפלת </w:t>
      </w:r>
      <w:r>
        <w:rPr>
          <w:rFonts w:hint="cs"/>
          <w:rtl/>
        </w:rPr>
        <w:t xml:space="preserve">רק </w:t>
      </w:r>
      <w:r w:rsidRPr="00165118">
        <w:rPr>
          <w:rFonts w:hint="cs"/>
          <w:rtl/>
        </w:rPr>
        <w:t xml:space="preserve">בכשליש מהאסירים הפליליים תושבי ישראל המשתחררים מבתי הסוהר מדי שנה בשנה; </w:t>
      </w:r>
      <w:r>
        <w:rPr>
          <w:rFonts w:hint="cs"/>
          <w:rtl/>
        </w:rPr>
        <w:t xml:space="preserve">כי </w:t>
      </w:r>
      <w:r w:rsidRPr="00165118">
        <w:rPr>
          <w:rFonts w:hint="cs"/>
          <w:rtl/>
        </w:rPr>
        <w:t xml:space="preserve">רש"א </w:t>
      </w:r>
      <w:r>
        <w:rPr>
          <w:rFonts w:hint="cs"/>
          <w:rtl/>
        </w:rPr>
        <w:t xml:space="preserve">אינה </w:t>
      </w:r>
      <w:r w:rsidRPr="00165118">
        <w:rPr>
          <w:rFonts w:hint="cs"/>
          <w:rtl/>
        </w:rPr>
        <w:t>מעורבת באישור תוכניות שיקום פרטיות</w:t>
      </w:r>
      <w:r>
        <w:rPr>
          <w:rFonts w:hint="cs"/>
          <w:rtl/>
        </w:rPr>
        <w:t>;</w:t>
      </w:r>
      <w:r w:rsidRPr="00165118">
        <w:rPr>
          <w:rFonts w:hint="cs"/>
          <w:rtl/>
        </w:rPr>
        <w:t xml:space="preserve"> ו</w:t>
      </w:r>
      <w:r>
        <w:rPr>
          <w:rFonts w:hint="cs"/>
          <w:rtl/>
        </w:rPr>
        <w:t xml:space="preserve">כי </w:t>
      </w:r>
      <w:r w:rsidRPr="00165118">
        <w:rPr>
          <w:rFonts w:hint="cs"/>
          <w:rtl/>
        </w:rPr>
        <w:t xml:space="preserve">אין גורם ממשלתי האוסף נתונים לגבי שיעור המועדות של אסירים שהשתתפו בתוכניות שיקום פרטיות. </w:t>
      </w:r>
      <w:r w:rsidRPr="00165118">
        <w:rPr>
          <w:rtl/>
        </w:rPr>
        <w:t xml:space="preserve">בשנים 2016 - 2020 שוחררו שחרור </w:t>
      </w:r>
      <w:r w:rsidRPr="00165118">
        <w:rPr>
          <w:rtl/>
        </w:rPr>
        <w:lastRenderedPageBreak/>
        <w:t>מינהלי 20,802 אסירים (</w:t>
      </w:r>
      <w:r>
        <w:rPr>
          <w:rFonts w:hint="cs"/>
          <w:rtl/>
        </w:rPr>
        <w:t>שהם</w:t>
      </w:r>
      <w:r w:rsidRPr="00165118">
        <w:rPr>
          <w:rtl/>
        </w:rPr>
        <w:t xml:space="preserve"> כ-64% מכלל המשוחררים תושבי ישראל באותן שנים). אסירים אלה אינם מחויבים </w:t>
      </w:r>
      <w:r>
        <w:rPr>
          <w:rFonts w:hint="cs"/>
          <w:rtl/>
        </w:rPr>
        <w:t>להשתתף ב</w:t>
      </w:r>
      <w:r w:rsidRPr="00165118">
        <w:rPr>
          <w:rtl/>
        </w:rPr>
        <w:t>תוכניות טיפול ושיקום לאחר שחרורם, הגם שהם עלולים לסכן את הציבור.</w:t>
      </w:r>
      <w:r w:rsidRPr="00165118">
        <w:rPr>
          <w:rFonts w:hint="cs"/>
          <w:rtl/>
        </w:rPr>
        <w:t xml:space="preserve"> בשנים האחרונות גדל</w:t>
      </w:r>
      <w:r>
        <w:rPr>
          <w:rFonts w:hint="cs"/>
          <w:rtl/>
        </w:rPr>
        <w:t xml:space="preserve"> מספר</w:t>
      </w:r>
      <w:r w:rsidRPr="00165118">
        <w:rPr>
          <w:rFonts w:hint="cs"/>
          <w:rtl/>
        </w:rPr>
        <w:t xml:space="preserve"> האסירים המשתחררים מבתי הסוהר, והדבר מעצים את החובה המוטלת על גורמי השיקום ללוות את האסירים ולטפל בהם ברציפות </w:t>
      </w:r>
      <w:r>
        <w:rPr>
          <w:rFonts w:hint="cs"/>
          <w:rtl/>
        </w:rPr>
        <w:t>מ</w:t>
      </w:r>
      <w:r w:rsidRPr="00165118">
        <w:rPr>
          <w:rFonts w:hint="cs"/>
          <w:rtl/>
        </w:rPr>
        <w:t xml:space="preserve">המעצר </w:t>
      </w:r>
      <w:r>
        <w:rPr>
          <w:rFonts w:hint="cs"/>
          <w:rtl/>
        </w:rPr>
        <w:t>ועד</w:t>
      </w:r>
      <w:r w:rsidRPr="00165118">
        <w:rPr>
          <w:rFonts w:hint="cs"/>
          <w:rtl/>
        </w:rPr>
        <w:t xml:space="preserve"> </w:t>
      </w:r>
      <w:r>
        <w:rPr>
          <w:rFonts w:hint="cs"/>
          <w:rtl/>
        </w:rPr>
        <w:t>לאחר ה</w:t>
      </w:r>
      <w:r w:rsidRPr="00165118">
        <w:rPr>
          <w:rFonts w:hint="cs"/>
          <w:rtl/>
        </w:rPr>
        <w:t>שחרור</w:t>
      </w:r>
      <w:r>
        <w:rPr>
          <w:rFonts w:hint="cs"/>
          <w:rtl/>
        </w:rPr>
        <w:t>, ובכלל זה</w:t>
      </w:r>
      <w:r w:rsidRPr="00165118">
        <w:rPr>
          <w:rFonts w:hint="cs"/>
          <w:rtl/>
        </w:rPr>
        <w:t xml:space="preserve"> </w:t>
      </w:r>
      <w:r>
        <w:rPr>
          <w:rFonts w:hint="cs"/>
          <w:rtl/>
        </w:rPr>
        <w:t>לפעול ל</w:t>
      </w:r>
      <w:r w:rsidRPr="00165118">
        <w:rPr>
          <w:rFonts w:hint="cs"/>
          <w:rtl/>
        </w:rPr>
        <w:t>השתלבות</w:t>
      </w:r>
      <w:r>
        <w:rPr>
          <w:rFonts w:hint="cs"/>
          <w:rtl/>
        </w:rPr>
        <w:t>ם</w:t>
      </w:r>
      <w:r w:rsidRPr="00165118">
        <w:rPr>
          <w:rFonts w:hint="cs"/>
          <w:rtl/>
        </w:rPr>
        <w:t xml:space="preserve"> בקהילה ובשוק התעסוקה לאחר</w:t>
      </w:r>
      <w:r>
        <w:rPr>
          <w:rFonts w:hint="cs"/>
          <w:rtl/>
        </w:rPr>
        <w:t xml:space="preserve"> השחרור</w:t>
      </w:r>
      <w:r w:rsidRPr="00165118">
        <w:rPr>
          <w:rFonts w:hint="cs"/>
          <w:rtl/>
        </w:rPr>
        <w:t xml:space="preserve">. </w:t>
      </w:r>
      <w:r>
        <w:rPr>
          <w:rFonts w:hint="cs"/>
          <w:rtl/>
        </w:rPr>
        <w:t>לפיכך</w:t>
      </w:r>
      <w:r w:rsidRPr="00165118">
        <w:rPr>
          <w:rFonts w:hint="cs"/>
          <w:rtl/>
        </w:rPr>
        <w:t xml:space="preserve"> ראוי ששב"ס ורש"א</w:t>
      </w:r>
      <w:r>
        <w:rPr>
          <w:rFonts w:hint="cs"/>
          <w:rtl/>
        </w:rPr>
        <w:t>,</w:t>
      </w:r>
      <w:r w:rsidRPr="00165118">
        <w:rPr>
          <w:rFonts w:hint="cs"/>
          <w:rtl/>
        </w:rPr>
        <w:t xml:space="preserve"> בשיתוף משרד המשפטים</w:t>
      </w:r>
      <w:r>
        <w:rPr>
          <w:rFonts w:hint="cs"/>
          <w:rtl/>
        </w:rPr>
        <w:t>,</w:t>
      </w:r>
      <w:r w:rsidRPr="00165118">
        <w:rPr>
          <w:rFonts w:hint="cs"/>
          <w:rtl/>
        </w:rPr>
        <w:t xml:space="preserve"> יבחנו את גיבושו של מתווה אשר יעודד ויתמרץ את רוב האסירים להשתתף בהליכי טיפול, ליווי, שיקום או פיקוח</w:t>
      </w:r>
      <w:r>
        <w:rPr>
          <w:rFonts w:hint="cs"/>
          <w:rtl/>
        </w:rPr>
        <w:t>,</w:t>
      </w:r>
      <w:r w:rsidRPr="00165118">
        <w:rPr>
          <w:rFonts w:hint="cs"/>
          <w:rtl/>
        </w:rPr>
        <w:t xml:space="preserve"> ובפרט אסירים אשר רמת הסיכון הנשקף מהתנהגותם לנפגעי העבירה או לכלל הציבור עלולה להיות גבוהה. </w:t>
      </w:r>
    </w:p>
    <w:p w14:paraId="1C61FC0D" w14:textId="77777777" w:rsidR="00276563" w:rsidRDefault="00276563" w:rsidP="00276563">
      <w:pPr>
        <w:pStyle w:val="7190"/>
        <w:rPr>
          <w:rtl/>
        </w:rPr>
      </w:pPr>
      <w:r w:rsidRPr="001A3F2D">
        <w:rPr>
          <w:rFonts w:hint="cs"/>
          <w:rtl/>
        </w:rPr>
        <w:t>במסגרת הביקורת על מייצגי המדינה בערכאות נבדק</w:t>
      </w:r>
      <w:r>
        <w:rPr>
          <w:rFonts w:hint="cs"/>
          <w:b/>
          <w:bCs/>
          <w:rtl/>
        </w:rPr>
        <w:t xml:space="preserve"> </w:t>
      </w:r>
      <w:r>
        <w:rPr>
          <w:rFonts w:hint="cs"/>
          <w:rtl/>
        </w:rPr>
        <w:t>ה</w:t>
      </w:r>
      <w:r w:rsidRPr="001A3F2D">
        <w:rPr>
          <w:rFonts w:hint="cs"/>
          <w:rtl/>
        </w:rPr>
        <w:t>נושא</w:t>
      </w:r>
      <w:r>
        <w:rPr>
          <w:rFonts w:hint="cs"/>
          <w:b/>
          <w:bCs/>
          <w:rtl/>
        </w:rPr>
        <w:t xml:space="preserve"> </w:t>
      </w:r>
      <w:r w:rsidRPr="00406E90">
        <w:rPr>
          <w:b/>
          <w:bCs/>
          <w:rtl/>
        </w:rPr>
        <w:t>ליווי משפטי לחקירות משטרה ואישור תרגילי חקירה</w:t>
      </w:r>
      <w:r w:rsidRPr="004B5B18">
        <w:rPr>
          <w:rtl/>
        </w:rPr>
        <w:t>.</w:t>
      </w:r>
      <w:r w:rsidRPr="00406E90">
        <w:rPr>
          <w:rtl/>
        </w:rPr>
        <w:t xml:space="preserve"> כלל יסוד בהליך הפלילי הוא שמירה על הפרדה בין הגוף החוקר ובין הגוף התובע ושמירה על עצמאות שיקול הדעת המשפטי של הגוף התובע. כחריג לכלל ההפרדה, בתיקים מסוימים מצורף פרקליט מלווה לחקירות</w:t>
      </w:r>
      <w:r>
        <w:rPr>
          <w:rFonts w:hint="cs"/>
          <w:rtl/>
        </w:rPr>
        <w:t>,</w:t>
      </w:r>
      <w:r w:rsidRPr="00406E90">
        <w:rPr>
          <w:rtl/>
        </w:rPr>
        <w:t xml:space="preserve"> שתפקידו להכווין את החוקרים ולייעץ להם בסוגיות משפטיות, אך לא לבצע בעצמו את פעולות החקירה. </w:t>
      </w:r>
      <w:r w:rsidRPr="00083760">
        <w:rPr>
          <w:rtl/>
        </w:rPr>
        <w:t xml:space="preserve">ליווי חקירה בידי פרקליט עוד </w:t>
      </w:r>
      <w:r>
        <w:rPr>
          <w:rFonts w:hint="cs"/>
          <w:rtl/>
        </w:rPr>
        <w:t>לפני</w:t>
      </w:r>
      <w:r w:rsidRPr="00083760">
        <w:rPr>
          <w:rtl/>
        </w:rPr>
        <w:t xml:space="preserve"> </w:t>
      </w:r>
      <w:r>
        <w:rPr>
          <w:rFonts w:hint="cs"/>
          <w:rtl/>
        </w:rPr>
        <w:t>ש</w:t>
      </w:r>
      <w:r w:rsidRPr="00083760">
        <w:rPr>
          <w:rtl/>
        </w:rPr>
        <w:t xml:space="preserve">הסתיימה </w:t>
      </w:r>
      <w:r>
        <w:rPr>
          <w:rFonts w:hint="cs"/>
          <w:rtl/>
        </w:rPr>
        <w:t>טומן בחובו</w:t>
      </w:r>
      <w:r w:rsidRPr="00083760">
        <w:rPr>
          <w:rtl/>
        </w:rPr>
        <w:t xml:space="preserve"> סיכון של טשטוש גבולות בין תפקיד הפרקליט לתפקיד החוקר</w:t>
      </w:r>
      <w:r>
        <w:rPr>
          <w:rFonts w:hint="cs"/>
          <w:rtl/>
        </w:rPr>
        <w:t>,</w:t>
      </w:r>
      <w:r w:rsidRPr="00083760">
        <w:rPr>
          <w:rtl/>
        </w:rPr>
        <w:t xml:space="preserve"> </w:t>
      </w:r>
      <w:r>
        <w:rPr>
          <w:rFonts w:hint="cs"/>
          <w:rtl/>
        </w:rPr>
        <w:t>ו</w:t>
      </w:r>
      <w:r w:rsidRPr="00083760">
        <w:rPr>
          <w:rtl/>
        </w:rPr>
        <w:t>כדי להבטיח בקרה</w:t>
      </w:r>
      <w:r>
        <w:rPr>
          <w:rFonts w:hint="cs"/>
          <w:rtl/>
        </w:rPr>
        <w:t>,</w:t>
      </w:r>
      <w:r w:rsidRPr="00083760">
        <w:rPr>
          <w:rtl/>
        </w:rPr>
        <w:t xml:space="preserve"> הגדרת הגבולות היא חיונית. </w:t>
      </w:r>
      <w:r>
        <w:rPr>
          <w:rFonts w:hint="cs"/>
          <w:rtl/>
        </w:rPr>
        <w:t xml:space="preserve">בביקורת נמצא כי </w:t>
      </w:r>
      <w:r w:rsidRPr="00083760">
        <w:rPr>
          <w:rtl/>
        </w:rPr>
        <w:t>הסמכות להפעלת שיטת פעולה של ליווי חקירה לא נקבעה בחקיקה ראשית, ו</w:t>
      </w:r>
      <w:r>
        <w:rPr>
          <w:rFonts w:hint="cs"/>
          <w:rtl/>
        </w:rPr>
        <w:t xml:space="preserve">כי </w:t>
      </w:r>
      <w:r w:rsidRPr="00083760">
        <w:rPr>
          <w:rtl/>
        </w:rPr>
        <w:t>הנחיה רשמית שגובשה הוסבה לנוהל פנימי</w:t>
      </w:r>
      <w:r>
        <w:rPr>
          <w:rFonts w:hint="cs"/>
          <w:rtl/>
        </w:rPr>
        <w:t xml:space="preserve">, אולם </w:t>
      </w:r>
      <w:r w:rsidRPr="00083760">
        <w:rPr>
          <w:rtl/>
        </w:rPr>
        <w:t>נוהל זה לא הוטמע בכל יחידות הפרקליטות והתביעה המשטרתית. כמו כן</w:t>
      </w:r>
      <w:r>
        <w:rPr>
          <w:rFonts w:hint="cs"/>
          <w:rtl/>
        </w:rPr>
        <w:t xml:space="preserve"> נמצא כי</w:t>
      </w:r>
      <w:r w:rsidRPr="00083760">
        <w:rPr>
          <w:rtl/>
        </w:rPr>
        <w:t xml:space="preserve"> בקרב הפרקליטים המלווים ובקרב היחידות החוקרות אין הקפדה על תיעוד הליווי במערכות הממוחשבות. </w:t>
      </w:r>
      <w:r>
        <w:rPr>
          <w:rFonts w:hint="cs"/>
          <w:rtl/>
        </w:rPr>
        <w:t>אשר</w:t>
      </w:r>
      <w:r w:rsidRPr="00083760">
        <w:rPr>
          <w:rtl/>
        </w:rPr>
        <w:t xml:space="preserve"> לאישור תרגילי חקירה, אין הבנ</w:t>
      </w:r>
      <w:r>
        <w:rPr>
          <w:rFonts w:hint="cs"/>
          <w:rtl/>
        </w:rPr>
        <w:t>ָ</w:t>
      </w:r>
      <w:r w:rsidRPr="00083760">
        <w:rPr>
          <w:rtl/>
        </w:rPr>
        <w:t>י</w:t>
      </w:r>
      <w:r>
        <w:rPr>
          <w:rFonts w:hint="cs"/>
          <w:rtl/>
        </w:rPr>
        <w:t>ָ</w:t>
      </w:r>
      <w:r w:rsidRPr="00083760">
        <w:rPr>
          <w:rtl/>
        </w:rPr>
        <w:t xml:space="preserve">ה של שיקול דעת הפרקליטים המאשרים את תרגילי החקירה. </w:t>
      </w:r>
      <w:r>
        <w:rPr>
          <w:rFonts w:hint="cs"/>
          <w:rtl/>
        </w:rPr>
        <w:t xml:space="preserve">נוסף על כך נמצא כי </w:t>
      </w:r>
      <w:r w:rsidRPr="00083760">
        <w:rPr>
          <w:rtl/>
        </w:rPr>
        <w:t xml:space="preserve">הפרקליטות אינה </w:t>
      </w:r>
      <w:r>
        <w:rPr>
          <w:rFonts w:hint="cs"/>
          <w:rtl/>
        </w:rPr>
        <w:t xml:space="preserve">מקיימת </w:t>
      </w:r>
      <w:r w:rsidRPr="00083760">
        <w:rPr>
          <w:rtl/>
        </w:rPr>
        <w:t>הפקות לקחים רשמיות בתיקים שבהם התבקשה לעשות זאת ולא בתיקים אחרים</w:t>
      </w:r>
      <w:r>
        <w:rPr>
          <w:rFonts w:hint="cs"/>
          <w:rtl/>
        </w:rPr>
        <w:t>,</w:t>
      </w:r>
      <w:r w:rsidRPr="00083760">
        <w:rPr>
          <w:rtl/>
        </w:rPr>
        <w:t xml:space="preserve"> כדי למנוע הישנות של פגיעה בזכויות עדים וחשודים.</w:t>
      </w:r>
      <w:r>
        <w:rPr>
          <w:rFonts w:hint="cs"/>
          <w:rtl/>
        </w:rPr>
        <w:t xml:space="preserve"> </w:t>
      </w:r>
      <w:r w:rsidRPr="00406E90">
        <w:rPr>
          <w:rtl/>
        </w:rPr>
        <w:t xml:space="preserve">ההגנה על </w:t>
      </w:r>
      <w:r>
        <w:rPr>
          <w:rFonts w:hint="cs"/>
          <w:rtl/>
        </w:rPr>
        <w:t>ה</w:t>
      </w:r>
      <w:r w:rsidRPr="00406E90">
        <w:rPr>
          <w:rtl/>
        </w:rPr>
        <w:t xml:space="preserve">זכות </w:t>
      </w:r>
      <w:r>
        <w:rPr>
          <w:rFonts w:hint="cs"/>
          <w:rtl/>
        </w:rPr>
        <w:t>ל</w:t>
      </w:r>
      <w:r w:rsidRPr="00406E90">
        <w:rPr>
          <w:rtl/>
        </w:rPr>
        <w:t xml:space="preserve">הליך הוגן ועל זכויות האדם של החשודים והעדים מחייבת תשומת לב יתרה </w:t>
      </w:r>
      <w:r>
        <w:rPr>
          <w:rFonts w:hint="cs"/>
          <w:rtl/>
        </w:rPr>
        <w:t>במקרים</w:t>
      </w:r>
      <w:r w:rsidRPr="00406E90">
        <w:rPr>
          <w:rtl/>
        </w:rPr>
        <w:t xml:space="preserve"> שבהם יש חריגה מעקרון הפרדת הרשויות. מומלץ כי משרד המשפטים והיועץ המשפטי לממשלה יבחנו מהי המסגרת הנורמטיבית הנדרשת לעיגון הסמכות לפעול בשיתוף פעולה עם היחידה החוקרת במהלך החקירה ולהבנות את שיקול הדעת של הפרקליטים </w:t>
      </w:r>
      <w:r>
        <w:rPr>
          <w:rFonts w:hint="cs"/>
          <w:rtl/>
        </w:rPr>
        <w:t xml:space="preserve">שיש להם </w:t>
      </w:r>
      <w:r w:rsidRPr="00406E90">
        <w:rPr>
          <w:rtl/>
        </w:rPr>
        <w:t xml:space="preserve">ממשק עבודה עם היחידה החוקרת. עוד מומלץ כי הפרקליטות תקפיד על תיעוד ראוי ותקדם הפקת לקחים כחלק בלתי נפרד מהעבודה השוטפת </w:t>
      </w:r>
      <w:r>
        <w:rPr>
          <w:rFonts w:hint="cs"/>
          <w:rtl/>
        </w:rPr>
        <w:t>הנוגעת ל</w:t>
      </w:r>
      <w:r w:rsidRPr="00406E90">
        <w:rPr>
          <w:rtl/>
        </w:rPr>
        <w:t>תיקים</w:t>
      </w:r>
      <w:r>
        <w:rPr>
          <w:rFonts w:hint="cs"/>
          <w:rtl/>
        </w:rPr>
        <w:t xml:space="preserve">. </w:t>
      </w:r>
    </w:p>
    <w:p w14:paraId="44B72A24" w14:textId="77777777" w:rsidR="00276563" w:rsidRPr="0001405B" w:rsidRDefault="00276563" w:rsidP="00276563">
      <w:pPr>
        <w:pStyle w:val="7190"/>
        <w:rPr>
          <w:rtl/>
        </w:rPr>
      </w:pPr>
      <w:r>
        <w:rPr>
          <w:rFonts w:hint="cs"/>
          <w:rtl/>
        </w:rPr>
        <w:t xml:space="preserve">בתחום הגנת הסביבה, הנוגע לאיכות חייהם של כל תושבי המדינה, נבדק נושא </w:t>
      </w:r>
      <w:r w:rsidRPr="00D563A5">
        <w:rPr>
          <w:rFonts w:hint="cs"/>
          <w:b/>
          <w:bCs/>
          <w:rtl/>
        </w:rPr>
        <w:t>הטיפול בפסולת בניין</w:t>
      </w:r>
      <w:r w:rsidRPr="00D563A5">
        <w:rPr>
          <w:rtl/>
        </w:rPr>
        <w:t xml:space="preserve"> </w:t>
      </w:r>
      <w:r>
        <w:rPr>
          <w:rFonts w:hint="cs"/>
          <w:rtl/>
        </w:rPr>
        <w:t>ש</w:t>
      </w:r>
      <w:r w:rsidRPr="00D563A5">
        <w:rPr>
          <w:rtl/>
        </w:rPr>
        <w:t xml:space="preserve">נוצרת משאריות של חומרים המשמשים בבנייה חדשה, בשיפוץ של מבנים קיימים ובפיתוח תשתיות או </w:t>
      </w:r>
      <w:r>
        <w:rPr>
          <w:rFonts w:hint="cs"/>
          <w:rtl/>
        </w:rPr>
        <w:t>עקב</w:t>
      </w:r>
      <w:r w:rsidRPr="00D563A5">
        <w:rPr>
          <w:rtl/>
        </w:rPr>
        <w:t xml:space="preserve"> הריסת מבנים ותשתיות. על פי אומדני המשרד להגנת הסביבה</w:t>
      </w:r>
      <w:r>
        <w:rPr>
          <w:rFonts w:hint="cs"/>
          <w:rtl/>
        </w:rPr>
        <w:t xml:space="preserve"> (להלן - המשרד להג"ס)</w:t>
      </w:r>
      <w:r w:rsidRPr="00D563A5">
        <w:rPr>
          <w:rtl/>
        </w:rPr>
        <w:t>, כשליש מפסולת הבניין אינה מטופלת על פי דין ומושלכת בשטחים פתוחים</w:t>
      </w:r>
      <w:r>
        <w:rPr>
          <w:rFonts w:hint="cs"/>
          <w:rtl/>
        </w:rPr>
        <w:t xml:space="preserve">. </w:t>
      </w:r>
      <w:r>
        <w:rPr>
          <w:rtl/>
        </w:rPr>
        <w:t xml:space="preserve">ממצאי הביקורת מעלים כי טרם גובש פתרון מיטבי לתופעת השלכת פסולת הבניין בשטחים פתוחים: ב-2011 העריך המשרד להג"ס כי עד אותו מועד הושלכו בשטחים פתוחים יותר מ-100 מיליוני טונות פסולת בניין, שעלות הטיפול בהן למשק גדולה מ-5 מיליארד ש"ח. מאז הושלכו להערכתו מדי שנה </w:t>
      </w:r>
      <w:r>
        <w:rPr>
          <w:rFonts w:hint="cs"/>
          <w:rtl/>
        </w:rPr>
        <w:t>ב</w:t>
      </w:r>
      <w:r>
        <w:rPr>
          <w:rtl/>
        </w:rPr>
        <w:t>שטחים פתוחים 2 - 3 מיליוני טונות של פסולת בניין. הביקורת העלתה כי לא בוצעו פעולות מרכזיות שעשויות לתרום לקידום מיחזור פסולת הבניין</w:t>
      </w:r>
      <w:r>
        <w:rPr>
          <w:rFonts w:hint="cs"/>
          <w:rtl/>
        </w:rPr>
        <w:t xml:space="preserve"> ול</w:t>
      </w:r>
      <w:r>
        <w:rPr>
          <w:rtl/>
        </w:rPr>
        <w:t xml:space="preserve">הפיכתה ממטרד למשאב כלכלי </w:t>
      </w:r>
      <w:r>
        <w:rPr>
          <w:rFonts w:hint="cs"/>
          <w:rtl/>
        </w:rPr>
        <w:t>שי</w:t>
      </w:r>
      <w:r>
        <w:rPr>
          <w:rtl/>
        </w:rPr>
        <w:t xml:space="preserve">חסוך למשק מאות מיליוני ש"ח </w:t>
      </w:r>
      <w:r>
        <w:rPr>
          <w:rFonts w:hint="cs"/>
          <w:rtl/>
        </w:rPr>
        <w:t>ב</w:t>
      </w:r>
      <w:r>
        <w:rPr>
          <w:rtl/>
        </w:rPr>
        <w:t xml:space="preserve">שנה. אף שבשנים האחרונות חלה עלייה בשיעור פסולת </w:t>
      </w:r>
      <w:r>
        <w:rPr>
          <w:rFonts w:hint="cs"/>
          <w:rtl/>
        </w:rPr>
        <w:t>הבניין</w:t>
      </w:r>
      <w:r>
        <w:rPr>
          <w:rtl/>
        </w:rPr>
        <w:t xml:space="preserve"> </w:t>
      </w:r>
      <w:r>
        <w:rPr>
          <w:rFonts w:hint="cs"/>
          <w:rtl/>
        </w:rPr>
        <w:t xml:space="preserve">הממוחזרת </w:t>
      </w:r>
      <w:r>
        <w:rPr>
          <w:rtl/>
        </w:rPr>
        <w:t xml:space="preserve">בישראל, שיעור זה (כ-55%) נמוך </w:t>
      </w:r>
      <w:r>
        <w:rPr>
          <w:rFonts w:hint="cs"/>
          <w:rtl/>
        </w:rPr>
        <w:t>במידה ניכרת</w:t>
      </w:r>
      <w:r>
        <w:rPr>
          <w:rtl/>
        </w:rPr>
        <w:t xml:space="preserve"> </w:t>
      </w:r>
      <w:r>
        <w:rPr>
          <w:rFonts w:hint="cs"/>
          <w:rtl/>
        </w:rPr>
        <w:t>מהשיעור ב</w:t>
      </w:r>
      <w:r>
        <w:rPr>
          <w:rtl/>
        </w:rPr>
        <w:t>מדינות האיחוד האירופי, אשר בחלקן מגיעות ל-100% מיחזור</w:t>
      </w:r>
      <w:r>
        <w:rPr>
          <w:rFonts w:hint="cs"/>
          <w:rtl/>
        </w:rPr>
        <w:t xml:space="preserve">. </w:t>
      </w:r>
      <w:r>
        <w:rPr>
          <w:rtl/>
        </w:rPr>
        <w:t xml:space="preserve">בפעילות האכיפה שמבצע המשרד להג"ס אין כדי לצמצם באופן משמעותי את היקף התופעה של השלכת פסולת </w:t>
      </w:r>
      <w:r>
        <w:rPr>
          <w:rtl/>
        </w:rPr>
        <w:lastRenderedPageBreak/>
        <w:t>בניין שלא כדין.</w:t>
      </w:r>
      <w:r>
        <w:rPr>
          <w:rFonts w:hint="cs"/>
          <w:rtl/>
        </w:rPr>
        <w:t xml:space="preserve"> </w:t>
      </w:r>
      <w:r>
        <w:rPr>
          <w:rtl/>
        </w:rPr>
        <w:t xml:space="preserve">על המשרד להג"ס, בשיתוף יתר הגורמים הממשלתיים הקשורים </w:t>
      </w:r>
      <w:r>
        <w:rPr>
          <w:rFonts w:hint="cs"/>
          <w:rtl/>
        </w:rPr>
        <w:t>ל</w:t>
      </w:r>
      <w:r>
        <w:rPr>
          <w:rtl/>
        </w:rPr>
        <w:t xml:space="preserve">נושא, לפעול </w:t>
      </w:r>
      <w:r>
        <w:rPr>
          <w:rFonts w:hint="cs"/>
          <w:rtl/>
        </w:rPr>
        <w:t>לאסדרת</w:t>
      </w:r>
      <w:r>
        <w:rPr>
          <w:rtl/>
        </w:rPr>
        <w:t xml:space="preserve"> תחום פסולת הבניין ולקביעת תחומי אחריות ברורים של כל אחד מהגורמים העוסקים ב</w:t>
      </w:r>
      <w:r>
        <w:rPr>
          <w:rFonts w:hint="cs"/>
          <w:rtl/>
        </w:rPr>
        <w:t>נ</w:t>
      </w:r>
      <w:r>
        <w:rPr>
          <w:rtl/>
        </w:rPr>
        <w:t>ו</w:t>
      </w:r>
      <w:r>
        <w:rPr>
          <w:rFonts w:hint="cs"/>
          <w:rtl/>
        </w:rPr>
        <w:t>שא</w:t>
      </w:r>
      <w:r>
        <w:rPr>
          <w:rtl/>
        </w:rPr>
        <w:t xml:space="preserve"> - יצרן הפסולת, הרשות המקומית ומתקני הקצה לטיפול בפסולת. מומלץ כי כלל הגורמים הממשלתיים הרלו</w:t>
      </w:r>
      <w:r>
        <w:rPr>
          <w:rFonts w:hint="cs"/>
          <w:rtl/>
        </w:rPr>
        <w:t>ו</w:t>
      </w:r>
      <w:r>
        <w:rPr>
          <w:rtl/>
        </w:rPr>
        <w:t>נטיים</w:t>
      </w:r>
      <w:r>
        <w:rPr>
          <w:rFonts w:hint="cs"/>
          <w:rtl/>
        </w:rPr>
        <w:t>,</w:t>
      </w:r>
      <w:r>
        <w:rPr>
          <w:rtl/>
        </w:rPr>
        <w:t xml:space="preserve"> בהנהגת המשרד להג"ס</w:t>
      </w:r>
      <w:r>
        <w:rPr>
          <w:rFonts w:hint="cs"/>
          <w:rtl/>
        </w:rPr>
        <w:t>,</w:t>
      </w:r>
      <w:r>
        <w:rPr>
          <w:rtl/>
        </w:rPr>
        <w:t xml:space="preserve"> יפעלו יחד </w:t>
      </w:r>
      <w:r>
        <w:rPr>
          <w:rFonts w:hint="cs"/>
          <w:rtl/>
        </w:rPr>
        <w:t>ב</w:t>
      </w:r>
      <w:r>
        <w:rPr>
          <w:rtl/>
        </w:rPr>
        <w:t>ראייה כוללת של תחום צריכת חומרי הבנייה הממוחזרים, כדי להסיר את החסמים למיחזור פסולת הבניין ולשימוש בה. על המשרד להג"ס לחזק את פעולות האכיפה שהוא מבצע בעצמו</w:t>
      </w:r>
      <w:r>
        <w:rPr>
          <w:rFonts w:hint="cs"/>
          <w:rtl/>
        </w:rPr>
        <w:t>,</w:t>
      </w:r>
      <w:r>
        <w:rPr>
          <w:rtl/>
        </w:rPr>
        <w:t xml:space="preserve"> ובמקביל לפעול, עם גופי המדינה השונים העוסקים באכיפה בתחום עבירות פסולת הבניין, לחיזוק שיתוף הפעולה ביניהם</w:t>
      </w:r>
      <w:r>
        <w:rPr>
          <w:rFonts w:hint="cs"/>
          <w:rtl/>
        </w:rPr>
        <w:t>. זאת</w:t>
      </w:r>
      <w:r>
        <w:rPr>
          <w:rtl/>
        </w:rPr>
        <w:t xml:space="preserve"> לשם הגברת האכיפה ומיגור התופעה</w:t>
      </w:r>
      <w:r>
        <w:rPr>
          <w:rFonts w:hint="cs"/>
          <w:rtl/>
        </w:rPr>
        <w:t>,</w:t>
      </w:r>
      <w:r w:rsidRPr="0001405B">
        <w:rPr>
          <w:rFonts w:hint="eastAsia"/>
          <w:b/>
          <w:bCs/>
          <w:rtl/>
        </w:rPr>
        <w:t xml:space="preserve"> </w:t>
      </w:r>
      <w:r w:rsidRPr="0001405B">
        <w:rPr>
          <w:rFonts w:hint="cs"/>
          <w:rtl/>
        </w:rPr>
        <w:t>ש</w:t>
      </w:r>
      <w:r w:rsidRPr="0001405B">
        <w:rPr>
          <w:rFonts w:hint="eastAsia"/>
          <w:rtl/>
        </w:rPr>
        <w:t>יש</w:t>
      </w:r>
      <w:r w:rsidRPr="0001405B">
        <w:rPr>
          <w:rFonts w:hint="cs"/>
          <w:rtl/>
        </w:rPr>
        <w:t xml:space="preserve"> לה</w:t>
      </w:r>
      <w:r w:rsidRPr="0001405B">
        <w:rPr>
          <w:rtl/>
        </w:rPr>
        <w:t xml:space="preserve"> </w:t>
      </w:r>
      <w:r>
        <w:rPr>
          <w:rFonts w:hint="cs"/>
          <w:rtl/>
        </w:rPr>
        <w:t>השפעות</w:t>
      </w:r>
      <w:r w:rsidRPr="0001405B">
        <w:rPr>
          <w:rtl/>
        </w:rPr>
        <w:t xml:space="preserve"> </w:t>
      </w:r>
      <w:r w:rsidRPr="0001405B">
        <w:rPr>
          <w:rFonts w:hint="eastAsia"/>
          <w:rtl/>
        </w:rPr>
        <w:t>לא</w:t>
      </w:r>
      <w:r w:rsidRPr="0001405B">
        <w:rPr>
          <w:rtl/>
        </w:rPr>
        <w:t xml:space="preserve"> </w:t>
      </w:r>
      <w:r w:rsidRPr="0001405B">
        <w:rPr>
          <w:rFonts w:hint="eastAsia"/>
          <w:rtl/>
        </w:rPr>
        <w:t>רק</w:t>
      </w:r>
      <w:r w:rsidRPr="0001405B">
        <w:rPr>
          <w:rtl/>
        </w:rPr>
        <w:t xml:space="preserve"> </w:t>
      </w:r>
      <w:r w:rsidRPr="0001405B">
        <w:rPr>
          <w:rFonts w:hint="eastAsia"/>
          <w:rtl/>
        </w:rPr>
        <w:t>על</w:t>
      </w:r>
      <w:r w:rsidRPr="0001405B">
        <w:rPr>
          <w:rtl/>
        </w:rPr>
        <w:t xml:space="preserve"> </w:t>
      </w:r>
      <w:r w:rsidRPr="0001405B">
        <w:rPr>
          <w:rFonts w:hint="eastAsia"/>
          <w:rtl/>
        </w:rPr>
        <w:t>נושאי</w:t>
      </w:r>
      <w:r w:rsidRPr="0001405B">
        <w:rPr>
          <w:rtl/>
        </w:rPr>
        <w:t xml:space="preserve"> </w:t>
      </w:r>
      <w:r w:rsidRPr="0001405B">
        <w:rPr>
          <w:rFonts w:hint="eastAsia"/>
          <w:rtl/>
        </w:rPr>
        <w:t>איכות</w:t>
      </w:r>
      <w:r w:rsidRPr="0001405B">
        <w:rPr>
          <w:rtl/>
        </w:rPr>
        <w:t xml:space="preserve"> </w:t>
      </w:r>
      <w:r w:rsidRPr="0001405B">
        <w:rPr>
          <w:rFonts w:hint="eastAsia"/>
          <w:rtl/>
        </w:rPr>
        <w:t>הסביבה</w:t>
      </w:r>
      <w:r>
        <w:rPr>
          <w:rFonts w:hint="cs"/>
          <w:rtl/>
        </w:rPr>
        <w:t>,</w:t>
      </w:r>
      <w:r w:rsidRPr="0001405B">
        <w:rPr>
          <w:rtl/>
        </w:rPr>
        <w:t xml:space="preserve"> </w:t>
      </w:r>
      <w:r w:rsidRPr="0001405B">
        <w:rPr>
          <w:rFonts w:hint="eastAsia"/>
          <w:rtl/>
        </w:rPr>
        <w:t>אלא</w:t>
      </w:r>
      <w:r w:rsidRPr="0001405B">
        <w:rPr>
          <w:rtl/>
        </w:rPr>
        <w:t xml:space="preserve"> </w:t>
      </w:r>
      <w:r w:rsidRPr="0001405B">
        <w:rPr>
          <w:rFonts w:hint="eastAsia"/>
          <w:rtl/>
        </w:rPr>
        <w:t>גם</w:t>
      </w:r>
      <w:r w:rsidRPr="0001405B">
        <w:rPr>
          <w:rtl/>
        </w:rPr>
        <w:t xml:space="preserve"> </w:t>
      </w:r>
      <w:r w:rsidRPr="0001405B">
        <w:rPr>
          <w:rFonts w:hint="eastAsia"/>
          <w:rtl/>
        </w:rPr>
        <w:t>על</w:t>
      </w:r>
      <w:r w:rsidRPr="0001405B">
        <w:rPr>
          <w:rtl/>
        </w:rPr>
        <w:t xml:space="preserve"> </w:t>
      </w:r>
      <w:r w:rsidRPr="0001405B">
        <w:rPr>
          <w:rFonts w:hint="eastAsia"/>
          <w:rtl/>
        </w:rPr>
        <w:t>שמירת</w:t>
      </w:r>
      <w:r w:rsidRPr="0001405B">
        <w:rPr>
          <w:rtl/>
        </w:rPr>
        <w:t xml:space="preserve"> </w:t>
      </w:r>
      <w:r w:rsidRPr="0001405B">
        <w:rPr>
          <w:rFonts w:hint="eastAsia"/>
          <w:rtl/>
        </w:rPr>
        <w:t>מקרקעי</w:t>
      </w:r>
      <w:r w:rsidRPr="0001405B">
        <w:rPr>
          <w:rtl/>
        </w:rPr>
        <w:t xml:space="preserve"> </w:t>
      </w:r>
      <w:r w:rsidRPr="0001405B">
        <w:rPr>
          <w:rFonts w:hint="eastAsia"/>
          <w:rtl/>
        </w:rPr>
        <w:t>הציבור</w:t>
      </w:r>
      <w:r w:rsidRPr="0001405B">
        <w:rPr>
          <w:rtl/>
        </w:rPr>
        <w:t xml:space="preserve">, </w:t>
      </w:r>
      <w:r w:rsidRPr="0001405B">
        <w:rPr>
          <w:rFonts w:hint="eastAsia"/>
          <w:rtl/>
        </w:rPr>
        <w:t>דיני</w:t>
      </w:r>
      <w:r w:rsidRPr="0001405B">
        <w:rPr>
          <w:rtl/>
        </w:rPr>
        <w:t xml:space="preserve"> </w:t>
      </w:r>
      <w:r>
        <w:rPr>
          <w:rFonts w:hint="cs"/>
          <w:rtl/>
        </w:rPr>
        <w:t>ה</w:t>
      </w:r>
      <w:r w:rsidRPr="0001405B">
        <w:rPr>
          <w:rFonts w:hint="eastAsia"/>
          <w:rtl/>
        </w:rPr>
        <w:t>תכנון</w:t>
      </w:r>
      <w:r w:rsidRPr="0001405B">
        <w:rPr>
          <w:rtl/>
        </w:rPr>
        <w:t xml:space="preserve"> </w:t>
      </w:r>
      <w:r w:rsidRPr="0001405B">
        <w:rPr>
          <w:rFonts w:hint="eastAsia"/>
          <w:rtl/>
        </w:rPr>
        <w:t>ו</w:t>
      </w:r>
      <w:r>
        <w:rPr>
          <w:rFonts w:hint="cs"/>
          <w:rtl/>
        </w:rPr>
        <w:t>ה</w:t>
      </w:r>
      <w:r w:rsidRPr="0001405B">
        <w:rPr>
          <w:rFonts w:hint="eastAsia"/>
          <w:rtl/>
        </w:rPr>
        <w:t>בנייה</w:t>
      </w:r>
      <w:r w:rsidRPr="0001405B">
        <w:rPr>
          <w:rtl/>
        </w:rPr>
        <w:t xml:space="preserve"> </w:t>
      </w:r>
      <w:r w:rsidRPr="0001405B">
        <w:rPr>
          <w:rFonts w:hint="eastAsia"/>
          <w:rtl/>
        </w:rPr>
        <w:t>ונושאים</w:t>
      </w:r>
      <w:r w:rsidRPr="0001405B">
        <w:rPr>
          <w:rtl/>
        </w:rPr>
        <w:t xml:space="preserve"> </w:t>
      </w:r>
      <w:r w:rsidRPr="0001405B">
        <w:rPr>
          <w:rFonts w:hint="eastAsia"/>
          <w:rtl/>
        </w:rPr>
        <w:t>כלכליים</w:t>
      </w:r>
      <w:r w:rsidRPr="0001405B">
        <w:rPr>
          <w:rtl/>
        </w:rPr>
        <w:t xml:space="preserve">. </w:t>
      </w:r>
    </w:p>
    <w:p w14:paraId="2A55035B" w14:textId="77777777" w:rsidR="00276563" w:rsidRDefault="00276563" w:rsidP="00276563">
      <w:pPr>
        <w:pStyle w:val="7190"/>
        <w:rPr>
          <w:rtl/>
        </w:rPr>
      </w:pPr>
      <w:r w:rsidRPr="001A3F2D">
        <w:rPr>
          <w:rFonts w:hint="cs"/>
          <w:rtl/>
        </w:rPr>
        <w:t>בתחום החינוך נבדק</w:t>
      </w:r>
      <w:r>
        <w:rPr>
          <w:rFonts w:hint="cs"/>
          <w:rtl/>
        </w:rPr>
        <w:t>ו</w:t>
      </w:r>
      <w:r w:rsidRPr="001A3F2D">
        <w:rPr>
          <w:rFonts w:hint="cs"/>
          <w:rtl/>
        </w:rPr>
        <w:t xml:space="preserve"> בין היתר</w:t>
      </w:r>
      <w:r>
        <w:rPr>
          <w:rFonts w:hint="cs"/>
          <w:b/>
          <w:bCs/>
          <w:rtl/>
        </w:rPr>
        <w:t xml:space="preserve"> </w:t>
      </w:r>
      <w:r w:rsidRPr="001D0F94">
        <w:rPr>
          <w:rFonts w:hint="cs"/>
          <w:b/>
          <w:bCs/>
          <w:rtl/>
        </w:rPr>
        <w:t>דרכי מינוי והכשרה של מנהלים חדשים לבתי ספר</w:t>
      </w:r>
      <w:r w:rsidRPr="004B5B18">
        <w:rPr>
          <w:rtl/>
        </w:rPr>
        <w:t>.</w:t>
      </w:r>
      <w:r>
        <w:rPr>
          <w:rFonts w:hint="cs"/>
          <w:rtl/>
        </w:rPr>
        <w:t xml:space="preserve"> </w:t>
      </w:r>
      <w:r w:rsidRPr="001D0F94">
        <w:rPr>
          <w:rtl/>
        </w:rPr>
        <w:t>משרד</w:t>
      </w:r>
      <w:r>
        <w:rPr>
          <w:rFonts w:hint="cs"/>
          <w:rtl/>
        </w:rPr>
        <w:t xml:space="preserve"> החינוך</w:t>
      </w:r>
      <w:r w:rsidRPr="001D0F94">
        <w:rPr>
          <w:rtl/>
        </w:rPr>
        <w:t xml:space="preserve"> ממנה ומעסיק את מנהלי </w:t>
      </w:r>
      <w:r>
        <w:rPr>
          <w:rFonts w:hint="cs"/>
          <w:rtl/>
        </w:rPr>
        <w:t>בתי הספר</w:t>
      </w:r>
      <w:r w:rsidRPr="001D0F94">
        <w:rPr>
          <w:rtl/>
        </w:rPr>
        <w:t xml:space="preserve"> במוסדות החינוך הרשמי </w:t>
      </w:r>
      <w:r>
        <w:rPr>
          <w:rFonts w:hint="cs"/>
          <w:rtl/>
        </w:rPr>
        <w:t xml:space="preserve">וכן </w:t>
      </w:r>
      <w:r w:rsidRPr="001D0F94">
        <w:rPr>
          <w:rtl/>
        </w:rPr>
        <w:t xml:space="preserve">קובע את דרכי המינוי ואת דרישות הסף לאיוש משרות הניהול בכל סוגי המוסדות. משרד </w:t>
      </w:r>
      <w:r>
        <w:rPr>
          <w:rFonts w:hint="cs"/>
          <w:rtl/>
        </w:rPr>
        <w:t xml:space="preserve">החינוך </w:t>
      </w:r>
      <w:r w:rsidRPr="001D0F94">
        <w:rPr>
          <w:rtl/>
        </w:rPr>
        <w:t>מפעיל</w:t>
      </w:r>
      <w:r>
        <w:rPr>
          <w:rFonts w:hint="cs"/>
          <w:rtl/>
        </w:rPr>
        <w:t>,</w:t>
      </w:r>
      <w:r w:rsidRPr="001D0F94">
        <w:rPr>
          <w:rtl/>
        </w:rPr>
        <w:t xml:space="preserve"> באמצעות </w:t>
      </w:r>
      <w:r>
        <w:rPr>
          <w:rFonts w:hint="cs"/>
          <w:rtl/>
        </w:rPr>
        <w:t>מכון "</w:t>
      </w:r>
      <w:r w:rsidRPr="001D0F94">
        <w:rPr>
          <w:rtl/>
        </w:rPr>
        <w:t>אבני ראשה</w:t>
      </w:r>
      <w:r>
        <w:rPr>
          <w:rFonts w:hint="cs"/>
          <w:rtl/>
        </w:rPr>
        <w:t>",</w:t>
      </w:r>
      <w:r w:rsidRPr="001D0F94">
        <w:rPr>
          <w:rtl/>
        </w:rPr>
        <w:t xml:space="preserve"> תוכנית להכשרת מנהלים, ו</w:t>
      </w:r>
      <w:r>
        <w:rPr>
          <w:rFonts w:hint="cs"/>
          <w:rtl/>
        </w:rPr>
        <w:t>ה</w:t>
      </w:r>
      <w:r w:rsidRPr="001D0F94">
        <w:rPr>
          <w:rtl/>
        </w:rPr>
        <w:t xml:space="preserve">השתתפות בה היא דרישת סף למינוי. </w:t>
      </w:r>
      <w:r w:rsidRPr="004B5B18">
        <w:rPr>
          <w:rFonts w:hint="eastAsia"/>
          <w:rtl/>
        </w:rPr>
        <w:t>נמצא</w:t>
      </w:r>
      <w:r w:rsidRPr="004B5B18">
        <w:rPr>
          <w:rtl/>
        </w:rPr>
        <w:t xml:space="preserve"> </w:t>
      </w:r>
      <w:r w:rsidRPr="004B5B18">
        <w:rPr>
          <w:rFonts w:hint="eastAsia"/>
          <w:rtl/>
        </w:rPr>
        <w:t>כי</w:t>
      </w:r>
      <w:r w:rsidRPr="004B5B18">
        <w:rPr>
          <w:rtl/>
        </w:rPr>
        <w:t xml:space="preserve"> </w:t>
      </w:r>
      <w:r w:rsidRPr="004B5B18">
        <w:rPr>
          <w:rFonts w:hint="eastAsia"/>
          <w:rtl/>
        </w:rPr>
        <w:t>ב</w:t>
      </w:r>
      <w:r w:rsidRPr="004B5B18">
        <w:rPr>
          <w:rtl/>
        </w:rPr>
        <w:t>שנ</w:t>
      </w:r>
      <w:r w:rsidRPr="004B5B18">
        <w:rPr>
          <w:rFonts w:hint="eastAsia"/>
          <w:rtl/>
        </w:rPr>
        <w:t>ות</w:t>
      </w:r>
      <w:r w:rsidRPr="004B5B18">
        <w:rPr>
          <w:rtl/>
        </w:rPr>
        <w:t xml:space="preserve"> </w:t>
      </w:r>
      <w:r w:rsidRPr="004B5B18">
        <w:rPr>
          <w:rFonts w:hint="eastAsia"/>
          <w:rtl/>
        </w:rPr>
        <w:t>הלימודים</w:t>
      </w:r>
      <w:r w:rsidRPr="004B5B18">
        <w:rPr>
          <w:rtl/>
        </w:rPr>
        <w:t xml:space="preserve"> התשע"ז-התש"ף (ספטמבר 201</w:t>
      </w:r>
      <w:r>
        <w:rPr>
          <w:rFonts w:hint="cs"/>
          <w:rtl/>
        </w:rPr>
        <w:t>6</w:t>
      </w:r>
      <w:r w:rsidRPr="004B5B18">
        <w:rPr>
          <w:rtl/>
        </w:rPr>
        <w:t xml:space="preserve"> עד אוגוסט 2020) חלה עלייה בשיעור המנהלים שמונו בדרך של מינוי בפועל במוסדות החינוך הרשמי </w:t>
      </w:r>
      <w:r>
        <w:rPr>
          <w:rFonts w:hint="cs"/>
          <w:rtl/>
        </w:rPr>
        <w:t xml:space="preserve">- </w:t>
      </w:r>
      <w:r w:rsidRPr="004B5B18">
        <w:rPr>
          <w:rtl/>
        </w:rPr>
        <w:t xml:space="preserve">מ-43% ל-52%. בתקופה זו כמחצית (כ-48%) מהמינויים היו מינויים בפועל. </w:t>
      </w:r>
      <w:r>
        <w:rPr>
          <w:rFonts w:hint="cs"/>
          <w:rtl/>
        </w:rPr>
        <w:t xml:space="preserve">עוד נמצא כי </w:t>
      </w:r>
      <w:r>
        <w:rPr>
          <w:rtl/>
        </w:rPr>
        <w:t xml:space="preserve">קרוב ל-60% מהמנהלים </w:t>
      </w:r>
      <w:r>
        <w:rPr>
          <w:rFonts w:hint="cs"/>
          <w:rtl/>
        </w:rPr>
        <w:t xml:space="preserve">שמונו </w:t>
      </w:r>
      <w:r w:rsidRPr="001D0F94">
        <w:rPr>
          <w:rtl/>
        </w:rPr>
        <w:t xml:space="preserve">אינם בוגרי התוכנית. </w:t>
      </w:r>
      <w:r>
        <w:rPr>
          <w:rFonts w:hint="cs"/>
          <w:rtl/>
        </w:rPr>
        <w:t>כמו כן</w:t>
      </w:r>
      <w:r w:rsidRPr="001D0F94">
        <w:rPr>
          <w:rtl/>
        </w:rPr>
        <w:t xml:space="preserve"> עולה</w:t>
      </w:r>
      <w:r>
        <w:rPr>
          <w:rFonts w:hint="cs"/>
          <w:rtl/>
        </w:rPr>
        <w:t xml:space="preserve"> כי</w:t>
      </w:r>
      <w:r w:rsidRPr="001D0F94">
        <w:rPr>
          <w:rtl/>
        </w:rPr>
        <w:t xml:space="preserve"> </w:t>
      </w:r>
      <w:r>
        <w:rPr>
          <w:rFonts w:hint="cs"/>
          <w:rtl/>
        </w:rPr>
        <w:t>ה</w:t>
      </w:r>
      <w:r w:rsidRPr="001D0F94">
        <w:rPr>
          <w:rtl/>
        </w:rPr>
        <w:t>אפקטיביות של תוכנית ההכשרה</w:t>
      </w:r>
      <w:r w:rsidRPr="001A3F2D">
        <w:rPr>
          <w:rtl/>
        </w:rPr>
        <w:t xml:space="preserve"> </w:t>
      </w:r>
      <w:r w:rsidRPr="001D0F94">
        <w:rPr>
          <w:rtl/>
        </w:rPr>
        <w:t xml:space="preserve">טעונה שיפור: כ-40% מבוגרי המחזורים </w:t>
      </w:r>
      <w:r>
        <w:rPr>
          <w:rFonts w:hint="cs"/>
          <w:rtl/>
        </w:rPr>
        <w:t xml:space="preserve">בשנות הלימודים </w:t>
      </w:r>
      <w:r w:rsidRPr="001D0F94">
        <w:rPr>
          <w:rtl/>
        </w:rPr>
        <w:t>התשע"א עד התשע"ט</w:t>
      </w:r>
      <w:r>
        <w:rPr>
          <w:rFonts w:hint="cs"/>
          <w:rtl/>
        </w:rPr>
        <w:t xml:space="preserve"> (ספטמבר 2010 עד אוגוסט 2019)</w:t>
      </w:r>
      <w:r w:rsidRPr="001D0F94">
        <w:rPr>
          <w:rtl/>
        </w:rPr>
        <w:t xml:space="preserve"> לא כיהנו כלל כמנהלים לאחר שסיימו את התוכנית. קיימת גם תופעה של עזיבה מוגברת של מנהלים חדשים, אך משרד</w:t>
      </w:r>
      <w:r>
        <w:rPr>
          <w:rFonts w:hint="cs"/>
          <w:rtl/>
        </w:rPr>
        <w:t xml:space="preserve"> החינוך</w:t>
      </w:r>
      <w:r w:rsidRPr="001D0F94">
        <w:rPr>
          <w:rtl/>
        </w:rPr>
        <w:t xml:space="preserve"> לא בדק את הסיבות לכך, לא הפיק מכך לקחים ולא קבע מהו שיעור נשירה סביר. ככלל, תפקיד</w:t>
      </w:r>
      <w:r>
        <w:rPr>
          <w:rFonts w:hint="cs"/>
          <w:rtl/>
        </w:rPr>
        <w:t>י</w:t>
      </w:r>
      <w:r w:rsidRPr="001D0F94">
        <w:rPr>
          <w:rtl/>
        </w:rPr>
        <w:t xml:space="preserve"> המנהל ותחומי אחריותו אינם מוסדרים במסמך מרכזי אלא נגזרים מחוזרי מנכ"ל רבים, דבר המוסיף בירוקרטיה ומכביד על ההתנהלות השוטפת של המנהלים</w:t>
      </w:r>
      <w:r>
        <w:rPr>
          <w:rFonts w:hint="cs"/>
          <w:rtl/>
        </w:rPr>
        <w:t>.</w:t>
      </w:r>
      <w:r w:rsidRPr="001D0F94">
        <w:rPr>
          <w:rtl/>
        </w:rPr>
        <w:t xml:space="preserve"> לתפקודם ולאיכותם של </w:t>
      </w:r>
      <w:r>
        <w:rPr>
          <w:rFonts w:hint="cs"/>
          <w:rtl/>
        </w:rPr>
        <w:t>ה</w:t>
      </w:r>
      <w:r w:rsidRPr="001D0F94">
        <w:rPr>
          <w:rtl/>
        </w:rPr>
        <w:t>מנהלי</w:t>
      </w:r>
      <w:r w:rsidRPr="001D0F94">
        <w:rPr>
          <w:rFonts w:hint="eastAsia"/>
          <w:rtl/>
        </w:rPr>
        <w:t>ם</w:t>
      </w:r>
      <w:r w:rsidRPr="001D0F94">
        <w:rPr>
          <w:rtl/>
        </w:rPr>
        <w:t xml:space="preserve"> יש השפעה מכרעת על התנהלות </w:t>
      </w:r>
      <w:r>
        <w:rPr>
          <w:rFonts w:hint="cs"/>
          <w:rtl/>
        </w:rPr>
        <w:t>בתי הספר</w:t>
      </w:r>
      <w:r w:rsidRPr="001D0F94">
        <w:rPr>
          <w:rtl/>
        </w:rPr>
        <w:t>, על הישגי תלמידיהם ועל מערכת החינוך בכללותה</w:t>
      </w:r>
      <w:r w:rsidRPr="001D0F94">
        <w:rPr>
          <w:rFonts w:hint="cs"/>
          <w:rtl/>
        </w:rPr>
        <w:t>.</w:t>
      </w:r>
      <w:r w:rsidRPr="001D0F94">
        <w:rPr>
          <w:rtl/>
        </w:rPr>
        <w:t xml:space="preserve"> </w:t>
      </w:r>
      <w:r w:rsidRPr="001D0F94">
        <w:rPr>
          <w:rFonts w:hint="eastAsia"/>
          <w:rtl/>
        </w:rPr>
        <w:t>מומלץ</w:t>
      </w:r>
      <w:r w:rsidRPr="001D0F94">
        <w:rPr>
          <w:rtl/>
        </w:rPr>
        <w:t xml:space="preserve"> </w:t>
      </w:r>
      <w:r w:rsidRPr="001D0F94">
        <w:rPr>
          <w:rFonts w:hint="eastAsia"/>
          <w:rtl/>
        </w:rPr>
        <w:t>ש</w:t>
      </w:r>
      <w:r w:rsidRPr="001D0F94">
        <w:rPr>
          <w:rtl/>
        </w:rPr>
        <w:t>משרד</w:t>
      </w:r>
      <w:r>
        <w:rPr>
          <w:rFonts w:hint="cs"/>
          <w:rtl/>
        </w:rPr>
        <w:t xml:space="preserve"> החינוך</w:t>
      </w:r>
      <w:r w:rsidRPr="001D0F94">
        <w:rPr>
          <w:rtl/>
        </w:rPr>
        <w:t xml:space="preserve"> </w:t>
      </w:r>
      <w:r w:rsidRPr="001D0F94">
        <w:rPr>
          <w:rFonts w:hint="eastAsia"/>
          <w:rtl/>
        </w:rPr>
        <w:t>יבחן</w:t>
      </w:r>
      <w:r w:rsidRPr="001D0F94">
        <w:rPr>
          <w:rtl/>
        </w:rPr>
        <w:t xml:space="preserve"> דרכים לשיפור הליכי המינוי של מנהלי בתי ספר בכל המגזרים</w:t>
      </w:r>
      <w:r>
        <w:rPr>
          <w:rFonts w:hint="cs"/>
          <w:rtl/>
        </w:rPr>
        <w:t>,</w:t>
      </w:r>
      <w:r w:rsidRPr="001D0F94">
        <w:rPr>
          <w:rtl/>
        </w:rPr>
        <w:t xml:space="preserve"> ובכלל זה במגזר החרדי</w:t>
      </w:r>
      <w:r w:rsidRPr="001D0F94">
        <w:rPr>
          <w:rFonts w:hint="cs"/>
          <w:rtl/>
        </w:rPr>
        <w:t>.</w:t>
      </w:r>
      <w:r w:rsidRPr="001D0F94">
        <w:rPr>
          <w:rtl/>
        </w:rPr>
        <w:t xml:space="preserve"> </w:t>
      </w:r>
      <w:r w:rsidRPr="001D0F94">
        <w:rPr>
          <w:rFonts w:hint="cs"/>
          <w:rtl/>
        </w:rPr>
        <w:t xml:space="preserve">עוד </w:t>
      </w:r>
      <w:r w:rsidRPr="001D0F94">
        <w:rPr>
          <w:rFonts w:hint="eastAsia"/>
          <w:rtl/>
        </w:rPr>
        <w:t>חשוב</w:t>
      </w:r>
      <w:r w:rsidRPr="001D0F94">
        <w:rPr>
          <w:rtl/>
        </w:rPr>
        <w:t xml:space="preserve"> </w:t>
      </w:r>
      <w:r w:rsidRPr="001D0F94">
        <w:rPr>
          <w:rFonts w:hint="eastAsia"/>
          <w:rtl/>
        </w:rPr>
        <w:t>שהמשרד</w:t>
      </w:r>
      <w:r w:rsidRPr="001D0F94">
        <w:rPr>
          <w:rtl/>
        </w:rPr>
        <w:t xml:space="preserve"> ו</w:t>
      </w:r>
      <w:r>
        <w:rPr>
          <w:rFonts w:hint="cs"/>
          <w:rtl/>
        </w:rPr>
        <w:t xml:space="preserve">מכון </w:t>
      </w:r>
      <w:r w:rsidRPr="001D0F94">
        <w:rPr>
          <w:rtl/>
        </w:rPr>
        <w:t>אבני ראשה</w:t>
      </w:r>
      <w:r w:rsidRPr="001D0F94">
        <w:rPr>
          <w:rFonts w:hint="cs"/>
          <w:rtl/>
        </w:rPr>
        <w:t xml:space="preserve"> </w:t>
      </w:r>
      <w:r w:rsidRPr="001D0F94">
        <w:rPr>
          <w:rtl/>
        </w:rPr>
        <w:t>ינקטו צעדים לש</w:t>
      </w:r>
      <w:r>
        <w:rPr>
          <w:rFonts w:hint="cs"/>
          <w:rtl/>
        </w:rPr>
        <w:t>י</w:t>
      </w:r>
      <w:r w:rsidRPr="001D0F94">
        <w:rPr>
          <w:rtl/>
        </w:rPr>
        <w:t xml:space="preserve">פור האפקטיביות של </w:t>
      </w:r>
      <w:r w:rsidRPr="001D0F94">
        <w:rPr>
          <w:rFonts w:hint="cs"/>
          <w:rtl/>
        </w:rPr>
        <w:t>הת</w:t>
      </w:r>
      <w:r>
        <w:rPr>
          <w:rFonts w:hint="cs"/>
          <w:rtl/>
        </w:rPr>
        <w:t>ו</w:t>
      </w:r>
      <w:r w:rsidRPr="001D0F94">
        <w:rPr>
          <w:rFonts w:hint="cs"/>
          <w:rtl/>
        </w:rPr>
        <w:t>כנית להכשרת מנהלים</w:t>
      </w:r>
      <w:r>
        <w:rPr>
          <w:rFonts w:hint="cs"/>
          <w:rtl/>
        </w:rPr>
        <w:t>,</w:t>
      </w:r>
      <w:r w:rsidRPr="001D0F94">
        <w:rPr>
          <w:rtl/>
        </w:rPr>
        <w:t xml:space="preserve"> </w:t>
      </w:r>
      <w:r w:rsidRPr="001D0F94">
        <w:rPr>
          <w:rFonts w:hint="eastAsia"/>
          <w:rtl/>
        </w:rPr>
        <w:t>כ</w:t>
      </w:r>
      <w:r>
        <w:rPr>
          <w:rFonts w:hint="cs"/>
          <w:rtl/>
        </w:rPr>
        <w:t>די</w:t>
      </w:r>
      <w:r w:rsidRPr="001D0F94">
        <w:rPr>
          <w:rtl/>
        </w:rPr>
        <w:t xml:space="preserve"> </w:t>
      </w:r>
      <w:r w:rsidRPr="001D0F94">
        <w:rPr>
          <w:rFonts w:hint="eastAsia"/>
          <w:rtl/>
        </w:rPr>
        <w:t>שבוגריה</w:t>
      </w:r>
      <w:r w:rsidRPr="001D0F94">
        <w:rPr>
          <w:rtl/>
        </w:rPr>
        <w:t xml:space="preserve"> </w:t>
      </w:r>
      <w:r w:rsidRPr="001D0F94">
        <w:rPr>
          <w:rFonts w:hint="eastAsia"/>
          <w:rtl/>
        </w:rPr>
        <w:t>ישתלבו</w:t>
      </w:r>
      <w:r w:rsidRPr="001D0F94">
        <w:rPr>
          <w:rtl/>
        </w:rPr>
        <w:t xml:space="preserve"> </w:t>
      </w:r>
      <w:r w:rsidRPr="001D0F94">
        <w:rPr>
          <w:rFonts w:hint="eastAsia"/>
          <w:rtl/>
        </w:rPr>
        <w:t>בתפקידי</w:t>
      </w:r>
      <w:r w:rsidRPr="001D0F94">
        <w:rPr>
          <w:rtl/>
        </w:rPr>
        <w:t xml:space="preserve"> </w:t>
      </w:r>
      <w:r w:rsidRPr="001D0F94">
        <w:rPr>
          <w:rFonts w:hint="eastAsia"/>
          <w:rtl/>
        </w:rPr>
        <w:t>ניהול</w:t>
      </w:r>
      <w:r>
        <w:rPr>
          <w:rFonts w:hint="cs"/>
          <w:rtl/>
        </w:rPr>
        <w:t>.</w:t>
      </w:r>
    </w:p>
    <w:p w14:paraId="1AEE211D" w14:textId="6BD06C39" w:rsidR="00276563" w:rsidRDefault="00276563" w:rsidP="00276563">
      <w:pPr>
        <w:pStyle w:val="7190"/>
        <w:rPr>
          <w:rtl/>
        </w:rPr>
      </w:pPr>
      <w:r>
        <w:rPr>
          <w:rFonts w:hint="cs"/>
          <w:rtl/>
        </w:rPr>
        <w:t xml:space="preserve">במסגרת גיוון סוגי הביקורות והגברת תחום הביקורות הפיננסיות נבדק </w:t>
      </w:r>
      <w:r w:rsidRPr="002A2E03">
        <w:rPr>
          <w:b/>
          <w:bCs/>
          <w:rtl/>
        </w:rPr>
        <w:t>ניהול השקעות במוסדות להשכלה גבוהה</w:t>
      </w:r>
      <w:r w:rsidRPr="004B5B18">
        <w:rPr>
          <w:rtl/>
        </w:rPr>
        <w:t>.</w:t>
      </w:r>
      <w:r w:rsidRPr="002A2E03">
        <w:rPr>
          <w:rtl/>
        </w:rPr>
        <w:t xml:space="preserve"> המוסדות להשכלה גבוהה בישראל מנהלים תיקי השקעות בסכום כולל של </w:t>
      </w:r>
      <w:r>
        <w:rPr>
          <w:rFonts w:hint="cs"/>
          <w:rtl/>
        </w:rPr>
        <w:t>יותר מ-</w:t>
      </w:r>
      <w:r w:rsidRPr="002A2E03">
        <w:rPr>
          <w:rtl/>
        </w:rPr>
        <w:t xml:space="preserve">17 מיליארד ש"ח (בנתוני </w:t>
      </w:r>
      <w:r>
        <w:rPr>
          <w:rFonts w:hint="cs"/>
          <w:rtl/>
        </w:rPr>
        <w:t xml:space="preserve">שנת </w:t>
      </w:r>
      <w:r w:rsidRPr="002A2E03">
        <w:rPr>
          <w:rtl/>
        </w:rPr>
        <w:t xml:space="preserve">2018). חלק מהאוניברסיטאות מנהלות תיקים שבהם הון של </w:t>
      </w:r>
      <w:r>
        <w:rPr>
          <w:rFonts w:hint="cs"/>
          <w:rtl/>
        </w:rPr>
        <w:t>יותר</w:t>
      </w:r>
      <w:r w:rsidRPr="002A2E03">
        <w:rPr>
          <w:rtl/>
        </w:rPr>
        <w:t xml:space="preserve"> </w:t>
      </w:r>
      <w:r>
        <w:rPr>
          <w:rFonts w:hint="cs"/>
          <w:rtl/>
        </w:rPr>
        <w:t>מ</w:t>
      </w:r>
      <w:r w:rsidRPr="002A2E03">
        <w:rPr>
          <w:rtl/>
        </w:rPr>
        <w:t>מיליארד ש"ח. תיקים אלה והתשואות השנתיות שהם מניבים תומכים בפעילות האקדמית והמ</w:t>
      </w:r>
      <w:r>
        <w:rPr>
          <w:rFonts w:hint="cs"/>
          <w:rtl/>
        </w:rPr>
        <w:t>י</w:t>
      </w:r>
      <w:r w:rsidRPr="002A2E03">
        <w:rPr>
          <w:rtl/>
        </w:rPr>
        <w:t>נהלית של המוסדות ומשמשים מקור הכנסה חשוב וארוך</w:t>
      </w:r>
      <w:r>
        <w:rPr>
          <w:rFonts w:hint="cs"/>
          <w:rtl/>
        </w:rPr>
        <w:t xml:space="preserve"> </w:t>
      </w:r>
      <w:r w:rsidRPr="002A2E03">
        <w:rPr>
          <w:rtl/>
        </w:rPr>
        <w:t xml:space="preserve">טווח. </w:t>
      </w:r>
      <w:r>
        <w:rPr>
          <w:rFonts w:hint="cs"/>
          <w:rtl/>
        </w:rPr>
        <w:t xml:space="preserve">הביקורת העלתה </w:t>
      </w:r>
      <w:r w:rsidRPr="002A2E03">
        <w:rPr>
          <w:rtl/>
        </w:rPr>
        <w:t>חולשות וליקויים בפעילות ההשקעות של המוסדות להשכלה גבוהה</w:t>
      </w:r>
      <w:r>
        <w:rPr>
          <w:rFonts w:hint="cs"/>
          <w:rtl/>
        </w:rPr>
        <w:t>,</w:t>
      </w:r>
      <w:r w:rsidRPr="002A2E03">
        <w:rPr>
          <w:rtl/>
        </w:rPr>
        <w:t xml:space="preserve"> לצד נקודות חוזק. על המוסדות להשכלה גבוהה - הן </w:t>
      </w:r>
      <w:r>
        <w:rPr>
          <w:rFonts w:hint="cs"/>
          <w:rtl/>
        </w:rPr>
        <w:t>ה</w:t>
      </w:r>
      <w:r w:rsidRPr="002A2E03">
        <w:rPr>
          <w:rtl/>
        </w:rPr>
        <w:t xml:space="preserve">אוניברסיטאות </w:t>
      </w:r>
      <w:r>
        <w:rPr>
          <w:rFonts w:hint="cs"/>
          <w:rtl/>
        </w:rPr>
        <w:t>ו</w:t>
      </w:r>
      <w:r w:rsidRPr="002A2E03">
        <w:rPr>
          <w:rtl/>
        </w:rPr>
        <w:t xml:space="preserve">הן </w:t>
      </w:r>
      <w:r>
        <w:rPr>
          <w:rFonts w:hint="cs"/>
          <w:rtl/>
        </w:rPr>
        <w:t>ה</w:t>
      </w:r>
      <w:r w:rsidRPr="002A2E03">
        <w:rPr>
          <w:rtl/>
        </w:rPr>
        <w:t>מכללות - לתקן את הליקויים שעלו בדוח</w:t>
      </w:r>
      <w:r>
        <w:rPr>
          <w:rFonts w:hint="cs"/>
          <w:rtl/>
        </w:rPr>
        <w:t xml:space="preserve"> הביקורת בנושא</w:t>
      </w:r>
      <w:r w:rsidRPr="002A2E03">
        <w:rPr>
          <w:rtl/>
        </w:rPr>
        <w:t xml:space="preserve"> זה</w:t>
      </w:r>
      <w:r>
        <w:rPr>
          <w:rFonts w:hint="cs"/>
          <w:rtl/>
        </w:rPr>
        <w:t>,</w:t>
      </w:r>
      <w:r w:rsidRPr="002A2E03">
        <w:rPr>
          <w:rtl/>
        </w:rPr>
        <w:t xml:space="preserve"> כדי להציב רף מקצועי גבוה </w:t>
      </w:r>
      <w:r>
        <w:rPr>
          <w:rFonts w:hint="cs"/>
          <w:rtl/>
        </w:rPr>
        <w:t>ל</w:t>
      </w:r>
      <w:r w:rsidRPr="002A2E03">
        <w:rPr>
          <w:rtl/>
        </w:rPr>
        <w:t>פעילותם בתחום ההשקעות</w:t>
      </w:r>
      <w:r>
        <w:rPr>
          <w:rFonts w:hint="cs"/>
          <w:rtl/>
        </w:rPr>
        <w:t>.</w:t>
      </w:r>
      <w:r w:rsidRPr="002A2E03">
        <w:rPr>
          <w:rtl/>
        </w:rPr>
        <w:t xml:space="preserve"> </w:t>
      </w:r>
      <w:r>
        <w:rPr>
          <w:rtl/>
        </w:rPr>
        <w:t xml:space="preserve">בשנים 2011 - 2018 נמצאו ליקויים בפעילות האסדרה של </w:t>
      </w:r>
      <w:r w:rsidRPr="0079569C">
        <w:rPr>
          <w:rtl/>
        </w:rPr>
        <w:t>ה</w:t>
      </w:r>
      <w:r>
        <w:rPr>
          <w:rFonts w:hint="cs"/>
          <w:rtl/>
        </w:rPr>
        <w:t>ו</w:t>
      </w:r>
      <w:r w:rsidRPr="0079569C">
        <w:rPr>
          <w:rtl/>
        </w:rPr>
        <w:t xml:space="preserve">ועדה לתכנון ותקצוב </w:t>
      </w:r>
      <w:r>
        <w:rPr>
          <w:rFonts w:hint="cs"/>
          <w:rtl/>
        </w:rPr>
        <w:t xml:space="preserve">(להלן - </w:t>
      </w:r>
      <w:r>
        <w:rPr>
          <w:rtl/>
        </w:rPr>
        <w:t>הוות"ת</w:t>
      </w:r>
      <w:r>
        <w:rPr>
          <w:rFonts w:hint="cs"/>
          <w:rtl/>
        </w:rPr>
        <w:t>)</w:t>
      </w:r>
      <w:r>
        <w:rPr>
          <w:rtl/>
        </w:rPr>
        <w:t xml:space="preserve"> בתחום ההשקעות הפיננסיות של המוסדות: הוות"ת לא פעלה להבטיח ש</w:t>
      </w:r>
      <w:r>
        <w:rPr>
          <w:rFonts w:hint="cs"/>
          <w:rtl/>
        </w:rPr>
        <w:t>ה</w:t>
      </w:r>
      <w:r>
        <w:rPr>
          <w:rtl/>
        </w:rPr>
        <w:t xml:space="preserve">נוהל </w:t>
      </w:r>
      <w:r>
        <w:rPr>
          <w:rFonts w:hint="cs"/>
          <w:rtl/>
        </w:rPr>
        <w:t>בנושא זה</w:t>
      </w:r>
      <w:r>
        <w:rPr>
          <w:rtl/>
        </w:rPr>
        <w:t xml:space="preserve">, </w:t>
      </w:r>
      <w:r>
        <w:rPr>
          <w:rFonts w:hint="cs"/>
          <w:rtl/>
        </w:rPr>
        <w:t>שקבעה היא עצמה,,</w:t>
      </w:r>
      <w:r>
        <w:rPr>
          <w:rtl/>
        </w:rPr>
        <w:t xml:space="preserve"> מיושם. </w:t>
      </w:r>
      <w:r>
        <w:rPr>
          <w:rFonts w:hint="cs"/>
          <w:rtl/>
        </w:rPr>
        <w:t>ב</w:t>
      </w:r>
      <w:r>
        <w:rPr>
          <w:rtl/>
        </w:rPr>
        <w:t>שנת 2019 החלה הוות"ת לאסוף נתונים ולוודא כי הנוהל מיושם באוניברסיטאות ובמכללות. מומלץ כי הפיקוח והבקרה של הוות"ת על תחום השקעות יכלול המשך איסוף עקיב ושיטתי של דיווחים שנתיים מכל המוסדות</w:t>
      </w:r>
      <w:r>
        <w:rPr>
          <w:rFonts w:hint="cs"/>
          <w:rtl/>
        </w:rPr>
        <w:t>,</w:t>
      </w:r>
      <w:r>
        <w:rPr>
          <w:rtl/>
        </w:rPr>
        <w:t xml:space="preserve"> כדי לקבל תמונה ראויה </w:t>
      </w:r>
      <w:r>
        <w:rPr>
          <w:rFonts w:hint="cs"/>
          <w:rtl/>
        </w:rPr>
        <w:t>ש</w:t>
      </w:r>
      <w:r>
        <w:rPr>
          <w:rtl/>
        </w:rPr>
        <w:t xml:space="preserve">ל ניהול ההשקעות בהם </w:t>
      </w:r>
      <w:r>
        <w:rPr>
          <w:rFonts w:hint="cs"/>
          <w:rtl/>
        </w:rPr>
        <w:t>וכדי ל</w:t>
      </w:r>
      <w:r>
        <w:rPr>
          <w:rtl/>
        </w:rPr>
        <w:t>בח</w:t>
      </w:r>
      <w:r>
        <w:rPr>
          <w:rFonts w:hint="cs"/>
          <w:rtl/>
        </w:rPr>
        <w:t>ון</w:t>
      </w:r>
      <w:r>
        <w:rPr>
          <w:rtl/>
        </w:rPr>
        <w:t xml:space="preserve"> אם נוהל הוות"ת מיושם הלכה למעשה</w:t>
      </w:r>
      <w:r>
        <w:rPr>
          <w:rFonts w:hint="cs"/>
          <w:rtl/>
        </w:rPr>
        <w:t>,</w:t>
      </w:r>
      <w:r>
        <w:rPr>
          <w:rtl/>
        </w:rPr>
        <w:t xml:space="preserve"> אם יש צורך </w:t>
      </w:r>
      <w:r>
        <w:rPr>
          <w:rtl/>
        </w:rPr>
        <w:lastRenderedPageBreak/>
        <w:t>לעדכנו, ואם יש סימנים המעלים חשש לפעילות בעייתית המצריכה בדיקה יזומה ומעמיקה. עוד מומלץ כי הוות"ת תבחן את תכולת נהליה, בפרט בכל הנוגע ל-</w:t>
      </w:r>
      <w:r>
        <w:t>WGEM</w:t>
      </w:r>
      <w:r>
        <w:rPr>
          <w:rtl/>
        </w:rPr>
        <w:t xml:space="preserve"> - תיק ההשקעות שמנהל מכון ויצמן </w:t>
      </w:r>
      <w:r>
        <w:rPr>
          <w:rFonts w:hint="cs"/>
          <w:rtl/>
        </w:rPr>
        <w:t>למדע בארצות הברית</w:t>
      </w:r>
      <w:r>
        <w:rPr>
          <w:rtl/>
        </w:rPr>
        <w:t xml:space="preserve"> המחזיק כ-11 מיליארד ש"ח (בנתוני ספטמבר 2019)</w:t>
      </w:r>
      <w:r>
        <w:rPr>
          <w:rFonts w:hint="cs"/>
          <w:rtl/>
        </w:rPr>
        <w:t xml:space="preserve"> -</w:t>
      </w:r>
      <w:r>
        <w:rPr>
          <w:rtl/>
        </w:rPr>
        <w:t xml:space="preserve"> ובכל הנוגע להשקעות של המכללות בישראל.</w:t>
      </w:r>
      <w:r>
        <w:rPr>
          <w:rFonts w:hint="cs"/>
          <w:rtl/>
        </w:rPr>
        <w:t xml:space="preserve"> ה</w:t>
      </w:r>
      <w:r>
        <w:rPr>
          <w:rtl/>
        </w:rPr>
        <w:t>ביקורת</w:t>
      </w:r>
      <w:r>
        <w:rPr>
          <w:rFonts w:hint="cs"/>
          <w:rtl/>
        </w:rPr>
        <w:t xml:space="preserve"> עסקה גם ב</w:t>
      </w:r>
      <w:r>
        <w:rPr>
          <w:rtl/>
        </w:rPr>
        <w:t xml:space="preserve">השפעתם של רשם ההקדשות במשרד המשפטים ורשות המיסים </w:t>
      </w:r>
      <w:r>
        <w:rPr>
          <w:rFonts w:hint="cs"/>
          <w:rtl/>
        </w:rPr>
        <w:t xml:space="preserve">בישראל על </w:t>
      </w:r>
      <w:r>
        <w:rPr>
          <w:rtl/>
        </w:rPr>
        <w:t>ניהול ההשקעות של המוסדות להשכלה גבוהה. משרד מבקר המדינה ממליץ למשרד המשפטים לבחון אם יש מקום לעדכן את אפיקי ההשקעה המותרים על פי תקנות הנאמנות. כמו כן ממליץ משרד מבקר המדינה לרשות המיסים</w:t>
      </w:r>
      <w:r>
        <w:rPr>
          <w:rFonts w:hint="cs"/>
          <w:rtl/>
        </w:rPr>
        <w:t xml:space="preserve"> בישראל</w:t>
      </w:r>
      <w:r>
        <w:rPr>
          <w:rtl/>
        </w:rPr>
        <w:t xml:space="preserve"> להשלים </w:t>
      </w:r>
      <w:r>
        <w:rPr>
          <w:rFonts w:hint="cs"/>
          <w:rtl/>
        </w:rPr>
        <w:t xml:space="preserve">את </w:t>
      </w:r>
      <w:r>
        <w:rPr>
          <w:rtl/>
        </w:rPr>
        <w:t xml:space="preserve">בחינת הנושא </w:t>
      </w:r>
      <w:r>
        <w:rPr>
          <w:rFonts w:hint="cs"/>
          <w:rtl/>
        </w:rPr>
        <w:t>ולהבהיר</w:t>
      </w:r>
      <w:r>
        <w:rPr>
          <w:rtl/>
        </w:rPr>
        <w:t xml:space="preserve"> </w:t>
      </w:r>
      <w:r>
        <w:rPr>
          <w:rFonts w:hint="cs"/>
          <w:rtl/>
        </w:rPr>
        <w:t>ל</w:t>
      </w:r>
      <w:r>
        <w:rPr>
          <w:rtl/>
        </w:rPr>
        <w:t xml:space="preserve">כל המוסדות להשכלה גבוהה שהנחיות ההשקעה מתוקף חוזר קווים מנחים להחלת סעיף 46 אינן חלות עליהם. שינויים אלה עשויים לתרום ליעילות המוסדות להשכלה גבוהה </w:t>
      </w:r>
      <w:r>
        <w:rPr>
          <w:rFonts w:hint="cs"/>
          <w:rtl/>
        </w:rPr>
        <w:t>ב</w:t>
      </w:r>
      <w:r>
        <w:rPr>
          <w:rtl/>
        </w:rPr>
        <w:t>ניהול תיקי ההשקעות שלהם.</w:t>
      </w:r>
    </w:p>
    <w:p w14:paraId="0DC56273" w14:textId="77777777" w:rsidR="00276563" w:rsidRDefault="00276563" w:rsidP="00276563">
      <w:pPr>
        <w:pStyle w:val="7190"/>
        <w:rPr>
          <w:rtl/>
        </w:rPr>
      </w:pPr>
      <w:r>
        <w:rPr>
          <w:rFonts w:hint="cs"/>
          <w:rtl/>
        </w:rPr>
        <w:t xml:space="preserve">דוח זה כולל ביקורות </w:t>
      </w:r>
      <w:r w:rsidRPr="00276563">
        <w:rPr>
          <w:rFonts w:hint="eastAsia"/>
          <w:b/>
          <w:bCs/>
          <w:rtl/>
        </w:rPr>
        <w:t>בתחום</w:t>
      </w:r>
      <w:r w:rsidRPr="00276563">
        <w:rPr>
          <w:b/>
          <w:bCs/>
          <w:rtl/>
        </w:rPr>
        <w:t xml:space="preserve"> </w:t>
      </w:r>
      <w:r w:rsidRPr="00276563">
        <w:rPr>
          <w:rFonts w:hint="eastAsia"/>
          <w:b/>
          <w:bCs/>
          <w:rtl/>
        </w:rPr>
        <w:t>השירות</w:t>
      </w:r>
      <w:r w:rsidRPr="00276563">
        <w:rPr>
          <w:b/>
          <w:bCs/>
          <w:rtl/>
        </w:rPr>
        <w:t xml:space="preserve"> </w:t>
      </w:r>
      <w:r w:rsidRPr="00276563">
        <w:rPr>
          <w:rFonts w:hint="eastAsia"/>
          <w:b/>
          <w:bCs/>
          <w:rtl/>
        </w:rPr>
        <w:t>לציבור</w:t>
      </w:r>
      <w:r w:rsidRPr="00276563">
        <w:rPr>
          <w:b/>
          <w:bCs/>
          <w:rtl/>
        </w:rPr>
        <w:t xml:space="preserve"> </w:t>
      </w:r>
      <w:r w:rsidRPr="00276563">
        <w:rPr>
          <w:rFonts w:hint="eastAsia"/>
          <w:b/>
          <w:bCs/>
          <w:rtl/>
        </w:rPr>
        <w:t>בבתי</w:t>
      </w:r>
      <w:r w:rsidRPr="00276563">
        <w:rPr>
          <w:b/>
          <w:bCs/>
          <w:rtl/>
        </w:rPr>
        <w:t xml:space="preserve"> </w:t>
      </w:r>
      <w:r w:rsidRPr="00276563">
        <w:rPr>
          <w:rFonts w:hint="eastAsia"/>
          <w:b/>
          <w:bCs/>
          <w:rtl/>
        </w:rPr>
        <w:t>הדין</w:t>
      </w:r>
      <w:r w:rsidRPr="00276563">
        <w:rPr>
          <w:b/>
          <w:bCs/>
          <w:rtl/>
        </w:rPr>
        <w:t xml:space="preserve"> </w:t>
      </w:r>
      <w:r w:rsidRPr="00276563">
        <w:rPr>
          <w:rFonts w:hint="eastAsia"/>
          <w:b/>
          <w:bCs/>
          <w:rtl/>
        </w:rPr>
        <w:t>הרבניים</w:t>
      </w:r>
      <w:r w:rsidRPr="00276563">
        <w:rPr>
          <w:b/>
          <w:bCs/>
          <w:rtl/>
        </w:rPr>
        <w:t xml:space="preserve"> </w:t>
      </w:r>
      <w:r w:rsidRPr="00276563">
        <w:rPr>
          <w:rFonts w:hint="eastAsia"/>
          <w:b/>
          <w:bCs/>
          <w:rtl/>
        </w:rPr>
        <w:t>וברשות</w:t>
      </w:r>
      <w:r w:rsidRPr="00276563">
        <w:rPr>
          <w:b/>
          <w:bCs/>
          <w:rtl/>
        </w:rPr>
        <w:t xml:space="preserve"> </w:t>
      </w:r>
      <w:r w:rsidRPr="00276563">
        <w:rPr>
          <w:rFonts w:hint="eastAsia"/>
          <w:b/>
          <w:bCs/>
          <w:rtl/>
        </w:rPr>
        <w:t>מקרקעי</w:t>
      </w:r>
      <w:r w:rsidRPr="00276563">
        <w:rPr>
          <w:b/>
          <w:bCs/>
          <w:rtl/>
        </w:rPr>
        <w:t xml:space="preserve"> </w:t>
      </w:r>
      <w:r w:rsidRPr="00276563">
        <w:rPr>
          <w:rFonts w:hint="eastAsia"/>
          <w:b/>
          <w:bCs/>
          <w:rtl/>
        </w:rPr>
        <w:t>ישראל</w:t>
      </w:r>
      <w:r>
        <w:rPr>
          <w:rFonts w:hint="cs"/>
          <w:rtl/>
        </w:rPr>
        <w:t xml:space="preserve">. </w:t>
      </w:r>
    </w:p>
    <w:p w14:paraId="0FACFE4E" w14:textId="77777777" w:rsidR="00276563" w:rsidRPr="00F03183" w:rsidRDefault="00276563" w:rsidP="00276563">
      <w:pPr>
        <w:pStyle w:val="7190"/>
        <w:rPr>
          <w:rtl/>
        </w:rPr>
      </w:pPr>
      <w:r w:rsidRPr="00F03183">
        <w:rPr>
          <w:rFonts w:hint="cs"/>
          <w:rtl/>
        </w:rPr>
        <w:t xml:space="preserve">בדוח זה </w:t>
      </w:r>
      <w:r>
        <w:rPr>
          <w:rFonts w:hint="cs"/>
          <w:rtl/>
        </w:rPr>
        <w:t xml:space="preserve">גם </w:t>
      </w:r>
      <w:r w:rsidRPr="00F03183">
        <w:rPr>
          <w:rFonts w:hint="cs"/>
          <w:rtl/>
        </w:rPr>
        <w:t>מובאים ממצאי</w:t>
      </w:r>
      <w:r>
        <w:rPr>
          <w:rFonts w:hint="cs"/>
          <w:rtl/>
        </w:rPr>
        <w:t>ם של ביקורות מעקב</w:t>
      </w:r>
      <w:r w:rsidRPr="006D24D6">
        <w:rPr>
          <w:rFonts w:hint="cs"/>
          <w:rtl/>
        </w:rPr>
        <w:t xml:space="preserve"> ב</w:t>
      </w:r>
      <w:r>
        <w:rPr>
          <w:rFonts w:hint="cs"/>
          <w:rtl/>
        </w:rPr>
        <w:t>חמישה</w:t>
      </w:r>
      <w:r w:rsidRPr="006D24D6">
        <w:rPr>
          <w:rFonts w:hint="cs"/>
          <w:rtl/>
        </w:rPr>
        <w:t xml:space="preserve"> נושאים</w:t>
      </w:r>
      <w:r>
        <w:rPr>
          <w:rFonts w:hint="cs"/>
          <w:rtl/>
        </w:rPr>
        <w:t xml:space="preserve">, ובכללם </w:t>
      </w:r>
      <w:r w:rsidRPr="001D0F94">
        <w:rPr>
          <w:rFonts w:hint="cs"/>
          <w:bCs/>
          <w:rtl/>
        </w:rPr>
        <w:t xml:space="preserve">הפעלת חדרי ניתוח בבתי חולים כלליים, חינוך לחיים משותפים ולמניעת גזענות </w:t>
      </w:r>
      <w:r>
        <w:rPr>
          <w:rFonts w:hint="cs"/>
          <w:bCs/>
          <w:rtl/>
        </w:rPr>
        <w:t>ו</w:t>
      </w:r>
      <w:r w:rsidRPr="001D0F94">
        <w:rPr>
          <w:rFonts w:hint="cs"/>
          <w:bCs/>
          <w:rtl/>
        </w:rPr>
        <w:t>מניעת אלימות בספורט</w:t>
      </w:r>
      <w:r>
        <w:rPr>
          <w:rFonts w:hint="cs"/>
          <w:rtl/>
        </w:rPr>
        <w:t xml:space="preserve">. ביקורת </w:t>
      </w:r>
      <w:r w:rsidRPr="00F03183">
        <w:rPr>
          <w:rFonts w:hint="cs"/>
          <w:rtl/>
        </w:rPr>
        <w:t>מעקב אחר תיקון ליקויים שהועלו בדוחות קודמים ה</w:t>
      </w:r>
      <w:r>
        <w:rPr>
          <w:rFonts w:hint="cs"/>
          <w:rtl/>
        </w:rPr>
        <w:t>י</w:t>
      </w:r>
      <w:r w:rsidRPr="00F03183">
        <w:rPr>
          <w:rFonts w:hint="cs"/>
          <w:rtl/>
        </w:rPr>
        <w:t>א כלי חשוב</w:t>
      </w:r>
      <w:r>
        <w:rPr>
          <w:rFonts w:hint="cs"/>
          <w:rtl/>
        </w:rPr>
        <w:t xml:space="preserve"> שמטרתו</w:t>
      </w:r>
      <w:r w:rsidRPr="00F03183">
        <w:rPr>
          <w:rFonts w:hint="cs"/>
          <w:rtl/>
        </w:rPr>
        <w:t xml:space="preserve"> ל</w:t>
      </w:r>
      <w:r>
        <w:rPr>
          <w:rFonts w:hint="cs"/>
          <w:rtl/>
        </w:rPr>
        <w:t>וודא כי הגופים המבוקרים אכן תיקנו את הנדרש,</w:t>
      </w:r>
      <w:r w:rsidRPr="00F03183">
        <w:rPr>
          <w:rFonts w:hint="cs"/>
          <w:rtl/>
        </w:rPr>
        <w:t xml:space="preserve"> ובכוונתי להרחיב את היקף ביקורות המעקב ולשכלל את אופן ביצוען. </w:t>
      </w:r>
    </w:p>
    <w:p w14:paraId="1880F458" w14:textId="15E19C08" w:rsidR="00276563" w:rsidRPr="00276563" w:rsidRDefault="00276563" w:rsidP="00276563">
      <w:pPr>
        <w:pStyle w:val="7190"/>
        <w:rPr>
          <w:b/>
          <w:bCs/>
          <w:rtl/>
        </w:rPr>
      </w:pPr>
      <w:r w:rsidRPr="00276563">
        <w:rPr>
          <w:rFonts w:hint="cs"/>
          <w:b/>
          <w:bCs/>
          <w:rtl/>
        </w:rPr>
        <w:t>הכנתו של הדוח הצריכה מאמץ רב של עובדי משרד מבקר המדינה, אשר עמלו על הכנתו במלוא המקצועיות, היסודיות, ההגינות והקפדנות, ואשר ממלאים את תפקידם הציבורי מתוך הרגשת שליחות של ממש. תודתי נתונה להם.</w:t>
      </w:r>
    </w:p>
    <w:p w14:paraId="48C8F004" w14:textId="77777777" w:rsidR="00276563" w:rsidRDefault="00276563" w:rsidP="00276563">
      <w:pPr>
        <w:pStyle w:val="7190"/>
        <w:rPr>
          <w:rtl/>
        </w:rPr>
      </w:pPr>
      <w:r>
        <w:rPr>
          <w:rFonts w:hint="cs"/>
          <w:rtl/>
        </w:rPr>
        <w:t xml:space="preserve">לסיכום, </w:t>
      </w:r>
      <w:r w:rsidRPr="00276AC9">
        <w:rPr>
          <w:rFonts w:hint="cs"/>
          <w:rtl/>
        </w:rPr>
        <w:t>דוח רחב יריעה זה מקיף נושאים רבים ומגוונים</w:t>
      </w:r>
      <w:r>
        <w:rPr>
          <w:rFonts w:hint="cs"/>
          <w:rtl/>
        </w:rPr>
        <w:t>,</w:t>
      </w:r>
      <w:r w:rsidRPr="00276AC9">
        <w:rPr>
          <w:rFonts w:hint="cs"/>
          <w:rtl/>
        </w:rPr>
        <w:t xml:space="preserve"> </w:t>
      </w:r>
      <w:r>
        <w:rPr>
          <w:rFonts w:hint="cs"/>
          <w:rtl/>
        </w:rPr>
        <w:t>ו</w:t>
      </w:r>
      <w:r w:rsidRPr="00F03183">
        <w:rPr>
          <w:rFonts w:hint="cs"/>
          <w:rtl/>
        </w:rPr>
        <w:t xml:space="preserve">כל אחד ואחד מהפרקים </w:t>
      </w:r>
      <w:r>
        <w:rPr>
          <w:rFonts w:hint="cs"/>
          <w:rtl/>
        </w:rPr>
        <w:t>ש</w:t>
      </w:r>
      <w:r w:rsidRPr="00F03183">
        <w:rPr>
          <w:rFonts w:hint="cs"/>
          <w:rtl/>
        </w:rPr>
        <w:t>ב</w:t>
      </w:r>
      <w:r>
        <w:rPr>
          <w:rFonts w:hint="cs"/>
          <w:rtl/>
        </w:rPr>
        <w:t>ו</w:t>
      </w:r>
      <w:r w:rsidRPr="00F03183">
        <w:rPr>
          <w:rFonts w:hint="cs"/>
          <w:rtl/>
        </w:rPr>
        <w:t xml:space="preserve"> פותח לפני הציבור, ובתוכו מקבלי ההחלטות, צוהר לפעילות הגופים המבוקרים</w:t>
      </w:r>
      <w:r>
        <w:rPr>
          <w:rFonts w:hint="cs"/>
          <w:rtl/>
        </w:rPr>
        <w:t>. בכך הדוח</w:t>
      </w:r>
      <w:r w:rsidRPr="00F03183">
        <w:rPr>
          <w:rFonts w:hint="cs"/>
          <w:rtl/>
        </w:rPr>
        <w:t xml:space="preserve"> מסייע בידי כולנו להבטיח את תקינות השירות הציבורי במדינת ישראל</w:t>
      </w:r>
      <w:r>
        <w:rPr>
          <w:rFonts w:hint="cs"/>
          <w:rtl/>
        </w:rPr>
        <w:t xml:space="preserve"> </w:t>
      </w:r>
      <w:r w:rsidRPr="00AC3077">
        <w:rPr>
          <w:rFonts w:hint="eastAsia"/>
          <w:rtl/>
        </w:rPr>
        <w:t>ומעלה</w:t>
      </w:r>
      <w:r w:rsidRPr="00AC3077">
        <w:rPr>
          <w:rtl/>
        </w:rPr>
        <w:t xml:space="preserve"> </w:t>
      </w:r>
      <w:r w:rsidRPr="00AC3077">
        <w:rPr>
          <w:rFonts w:hint="eastAsia"/>
          <w:rtl/>
        </w:rPr>
        <w:t>תרומה</w:t>
      </w:r>
      <w:r w:rsidRPr="00AC3077">
        <w:rPr>
          <w:rtl/>
        </w:rPr>
        <w:t xml:space="preserve"> </w:t>
      </w:r>
      <w:r w:rsidRPr="00AC3077">
        <w:rPr>
          <w:rFonts w:hint="eastAsia"/>
          <w:rtl/>
        </w:rPr>
        <w:t>נכבדה</w:t>
      </w:r>
      <w:r w:rsidRPr="00AC3077">
        <w:rPr>
          <w:rtl/>
        </w:rPr>
        <w:t xml:space="preserve"> </w:t>
      </w:r>
      <w:r w:rsidRPr="00AC3077">
        <w:rPr>
          <w:rFonts w:hint="eastAsia"/>
          <w:rtl/>
        </w:rPr>
        <w:t>להגברת</w:t>
      </w:r>
      <w:r w:rsidRPr="00AC3077">
        <w:rPr>
          <w:rtl/>
        </w:rPr>
        <w:t xml:space="preserve"> </w:t>
      </w:r>
      <w:r w:rsidRPr="00AC3077">
        <w:rPr>
          <w:rFonts w:hint="eastAsia"/>
          <w:rtl/>
        </w:rPr>
        <w:t>היעילות</w:t>
      </w:r>
      <w:r w:rsidRPr="00AC3077">
        <w:rPr>
          <w:rtl/>
        </w:rPr>
        <w:t xml:space="preserve">, </w:t>
      </w:r>
      <w:r w:rsidRPr="00AC3077">
        <w:rPr>
          <w:rFonts w:hint="eastAsia"/>
          <w:rtl/>
        </w:rPr>
        <w:t>החיסכון</w:t>
      </w:r>
      <w:r w:rsidRPr="00AC3077">
        <w:rPr>
          <w:rtl/>
        </w:rPr>
        <w:t xml:space="preserve"> </w:t>
      </w:r>
      <w:r w:rsidRPr="00AC3077">
        <w:rPr>
          <w:rFonts w:hint="eastAsia"/>
          <w:rtl/>
        </w:rPr>
        <w:t>וטוהר</w:t>
      </w:r>
      <w:r w:rsidRPr="00AC3077">
        <w:rPr>
          <w:rtl/>
        </w:rPr>
        <w:t xml:space="preserve"> </w:t>
      </w:r>
      <w:r w:rsidRPr="00AC3077">
        <w:rPr>
          <w:rFonts w:hint="eastAsia"/>
          <w:rtl/>
        </w:rPr>
        <w:t>המידות</w:t>
      </w:r>
      <w:r w:rsidRPr="00AC3077">
        <w:rPr>
          <w:rtl/>
        </w:rPr>
        <w:t xml:space="preserve"> </w:t>
      </w:r>
      <w:r w:rsidRPr="00AC3077">
        <w:rPr>
          <w:rFonts w:hint="eastAsia"/>
          <w:rtl/>
        </w:rPr>
        <w:t>בגופים</w:t>
      </w:r>
      <w:r w:rsidRPr="00AC3077">
        <w:rPr>
          <w:rtl/>
        </w:rPr>
        <w:t xml:space="preserve"> </w:t>
      </w:r>
      <w:r w:rsidRPr="00AC3077">
        <w:rPr>
          <w:rFonts w:hint="eastAsia"/>
          <w:rtl/>
        </w:rPr>
        <w:t>המבוקרים</w:t>
      </w:r>
      <w:r w:rsidRPr="00AC3077">
        <w:rPr>
          <w:rtl/>
        </w:rPr>
        <w:t xml:space="preserve"> </w:t>
      </w:r>
      <w:r w:rsidRPr="00AC3077">
        <w:rPr>
          <w:rFonts w:hint="eastAsia"/>
          <w:rtl/>
        </w:rPr>
        <w:t>ולשמירה</w:t>
      </w:r>
      <w:r w:rsidRPr="00AC3077">
        <w:rPr>
          <w:rtl/>
        </w:rPr>
        <w:t xml:space="preserve"> </w:t>
      </w:r>
      <w:r w:rsidRPr="00AC3077">
        <w:rPr>
          <w:rFonts w:hint="eastAsia"/>
          <w:rtl/>
        </w:rPr>
        <w:t>על</w:t>
      </w:r>
      <w:r w:rsidRPr="00AC3077">
        <w:rPr>
          <w:rtl/>
        </w:rPr>
        <w:t xml:space="preserve"> </w:t>
      </w:r>
      <w:r w:rsidRPr="00AC3077">
        <w:rPr>
          <w:rFonts w:hint="eastAsia"/>
          <w:rtl/>
        </w:rPr>
        <w:t>כללי</w:t>
      </w:r>
      <w:r w:rsidRPr="00AC3077">
        <w:rPr>
          <w:rtl/>
        </w:rPr>
        <w:t xml:space="preserve"> </w:t>
      </w:r>
      <w:r w:rsidRPr="00AC3077">
        <w:rPr>
          <w:rFonts w:hint="eastAsia"/>
          <w:rtl/>
        </w:rPr>
        <w:t>המ</w:t>
      </w:r>
      <w:r>
        <w:rPr>
          <w:rFonts w:hint="cs"/>
          <w:rtl/>
        </w:rPr>
        <w:t>י</w:t>
      </w:r>
      <w:r w:rsidRPr="00AC3077">
        <w:rPr>
          <w:rFonts w:hint="eastAsia"/>
          <w:rtl/>
        </w:rPr>
        <w:t>נהל</w:t>
      </w:r>
      <w:r w:rsidRPr="00AC3077">
        <w:rPr>
          <w:rtl/>
        </w:rPr>
        <w:t xml:space="preserve"> </w:t>
      </w:r>
      <w:r w:rsidRPr="00AC3077">
        <w:rPr>
          <w:rFonts w:hint="eastAsia"/>
          <w:rtl/>
        </w:rPr>
        <w:t>התקין</w:t>
      </w:r>
      <w:r w:rsidRPr="00AC3077">
        <w:rPr>
          <w:rtl/>
        </w:rPr>
        <w:t>.</w:t>
      </w:r>
      <w:r w:rsidRPr="00F03183">
        <w:rPr>
          <w:rFonts w:hint="cs"/>
          <w:rtl/>
        </w:rPr>
        <w:t xml:space="preserve"> </w:t>
      </w:r>
    </w:p>
    <w:p w14:paraId="7E8DF411" w14:textId="71D5BC70" w:rsidR="00276563" w:rsidRDefault="00276563" w:rsidP="00276563">
      <w:pPr>
        <w:pStyle w:val="7190"/>
        <w:rPr>
          <w:rtl/>
        </w:rPr>
      </w:pPr>
      <w:r w:rsidRPr="00D64B9D">
        <w:rPr>
          <w:rFonts w:hint="cs"/>
          <w:rtl/>
        </w:rPr>
        <w:t>לא נעלם מעיניי כי בגופים מבוקרים רבים נעשו פעולות חיוביות</w:t>
      </w:r>
      <w:r>
        <w:rPr>
          <w:rFonts w:hint="cs"/>
          <w:rtl/>
        </w:rPr>
        <w:t xml:space="preserve">. </w:t>
      </w:r>
      <w:r w:rsidRPr="00D64B9D">
        <w:rPr>
          <w:rFonts w:hint="cs"/>
          <w:rtl/>
        </w:rPr>
        <w:t>בהתאם לחוק מבקר המדינה קיבלו פעולות אלו ביטוי מידתי בדוח</w:t>
      </w:r>
      <w:r>
        <w:rPr>
          <w:rFonts w:hint="cs"/>
          <w:rtl/>
        </w:rPr>
        <w:t>,</w:t>
      </w:r>
      <w:r w:rsidRPr="00D64B9D">
        <w:rPr>
          <w:rFonts w:hint="cs"/>
          <w:rtl/>
        </w:rPr>
        <w:t xml:space="preserve"> לשם הצגה מלאה של תמונת המצב העולה מן הביקורת. </w:t>
      </w:r>
      <w:r w:rsidRPr="0001405B">
        <w:rPr>
          <w:rFonts w:hint="cs"/>
          <w:rtl/>
        </w:rPr>
        <w:t>חובתם של הגופים המבוקרים היא לפעול בדרך מהירה ויעילה לתיקון הליקויים שהועלו בדוח זה</w:t>
      </w:r>
      <w:r>
        <w:rPr>
          <w:rFonts w:hint="cs"/>
          <w:rtl/>
        </w:rPr>
        <w:t>,</w:t>
      </w:r>
      <w:r w:rsidRPr="0001405B">
        <w:rPr>
          <w:rFonts w:hint="cs"/>
          <w:rtl/>
        </w:rPr>
        <w:t xml:space="preserve"> כדי לקדם את השירות הציבורי בישראל</w:t>
      </w:r>
      <w:r>
        <w:rPr>
          <w:rFonts w:hint="cs"/>
          <w:rtl/>
        </w:rPr>
        <w:t>,</w:t>
      </w:r>
      <w:r w:rsidRPr="0001405B">
        <w:rPr>
          <w:rFonts w:hint="cs"/>
          <w:rtl/>
        </w:rPr>
        <w:t xml:space="preserve"> ובכך לשפר את איכות החיים והסביבה של תושבי ישראל.</w:t>
      </w:r>
    </w:p>
    <w:p w14:paraId="2FAB19B0" w14:textId="77777777" w:rsidR="00C74B8C" w:rsidRPr="0001405B" w:rsidRDefault="00C74B8C" w:rsidP="00276563">
      <w:pPr>
        <w:pStyle w:val="7190"/>
        <w:rPr>
          <w:rtl/>
        </w:rPr>
      </w:pPr>
    </w:p>
    <w:p w14:paraId="6F3F3C06" w14:textId="2E098FCF" w:rsidR="00A25013" w:rsidRDefault="00A25013" w:rsidP="00047E7B">
      <w:pPr>
        <w:widowControl w:val="0"/>
        <w:spacing w:line="280" w:lineRule="exact"/>
        <w:ind w:left="3402"/>
        <w:jc w:val="center"/>
        <w:rPr>
          <w:rFonts w:ascii="Tahoma" w:hAnsi="Tahoma" w:cs="Tahoma"/>
          <w:b/>
          <w:bCs/>
          <w:sz w:val="18"/>
          <w:szCs w:val="18"/>
          <w:rtl/>
          <w:lang w:eastAsia="he-IL"/>
        </w:rPr>
      </w:pPr>
      <w:r>
        <w:rPr>
          <w:rFonts w:ascii="Tahoma" w:hAnsi="Tahoma" w:cs="Tahoma"/>
          <w:noProof/>
          <w:rtl/>
        </w:rPr>
        <w:drawing>
          <wp:anchor distT="0" distB="0" distL="114300" distR="114300" simplePos="0" relativeHeight="251750912" behindDoc="0" locked="0" layoutInCell="1" allowOverlap="1" wp14:anchorId="3BF86097" wp14:editId="3AA0B37E">
            <wp:simplePos x="0" y="0"/>
            <wp:positionH relativeFrom="column">
              <wp:posOffset>777240</wp:posOffset>
            </wp:positionH>
            <wp:positionV relativeFrom="paragraph">
              <wp:posOffset>20955</wp:posOffset>
            </wp:positionV>
            <wp:extent cx="969264" cy="316992"/>
            <wp:effectExtent l="0" t="0" r="2540" b="6985"/>
            <wp:wrapSquare wrapText="bothSides"/>
            <wp:docPr id="9" name="תמונה 1" descr="חתימת מבקר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587158" name="חתימת מבקר עברית כחול.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69264" cy="316992"/>
                    </a:xfrm>
                    <a:prstGeom prst="rect">
                      <a:avLst/>
                    </a:prstGeom>
                  </pic:spPr>
                </pic:pic>
              </a:graphicData>
            </a:graphic>
          </wp:anchor>
        </w:drawing>
      </w:r>
    </w:p>
    <w:p w14:paraId="49A31DC4" w14:textId="77777777" w:rsidR="00A25013" w:rsidRDefault="00A25013" w:rsidP="00A25013">
      <w:pPr>
        <w:widowControl w:val="0"/>
        <w:spacing w:line="280" w:lineRule="exact"/>
        <w:ind w:left="3402"/>
        <w:jc w:val="center"/>
        <w:rPr>
          <w:rFonts w:ascii="Tahoma" w:hAnsi="Tahoma" w:cs="Tahoma"/>
          <w:b/>
          <w:bCs/>
          <w:sz w:val="18"/>
          <w:szCs w:val="18"/>
          <w:rtl/>
          <w:lang w:eastAsia="he-IL"/>
        </w:rPr>
      </w:pPr>
    </w:p>
    <w:p w14:paraId="3489B68C" w14:textId="67EEA7AA" w:rsidR="00A25013" w:rsidRPr="00D70CA7" w:rsidRDefault="00A25013" w:rsidP="00A25013">
      <w:pPr>
        <w:widowControl w:val="0"/>
        <w:spacing w:line="280" w:lineRule="exact"/>
        <w:ind w:left="3402"/>
        <w:jc w:val="center"/>
        <w:rPr>
          <w:rFonts w:ascii="Tahoma" w:hAnsi="Tahoma" w:cs="Tahoma"/>
          <w:b/>
          <w:bCs/>
          <w:sz w:val="18"/>
          <w:szCs w:val="18"/>
          <w:rtl/>
          <w:lang w:eastAsia="he-IL"/>
        </w:rPr>
      </w:pPr>
      <w:r>
        <w:rPr>
          <w:rFonts w:ascii="Tahoma" w:hAnsi="Tahoma" w:cs="Tahoma" w:hint="cs"/>
          <w:b/>
          <w:bCs/>
          <w:sz w:val="18"/>
          <w:szCs w:val="18"/>
          <w:rtl/>
          <w:lang w:eastAsia="he-IL"/>
        </w:rPr>
        <w:t>מתניהו אנגלמן</w:t>
      </w:r>
    </w:p>
    <w:p w14:paraId="222CF613" w14:textId="77777777" w:rsidR="00A25013" w:rsidRPr="00D70CA7" w:rsidRDefault="00A25013" w:rsidP="00A25013">
      <w:pPr>
        <w:widowControl w:val="0"/>
        <w:spacing w:line="280" w:lineRule="exact"/>
        <w:ind w:left="3402"/>
        <w:jc w:val="center"/>
        <w:rPr>
          <w:rFonts w:ascii="Tahoma" w:hAnsi="Tahoma" w:cs="Tahoma"/>
          <w:sz w:val="18"/>
          <w:szCs w:val="18"/>
          <w:rtl/>
          <w:lang w:eastAsia="he-IL"/>
        </w:rPr>
      </w:pPr>
      <w:r w:rsidRPr="00D70CA7">
        <w:rPr>
          <w:rFonts w:ascii="Tahoma" w:hAnsi="Tahoma" w:cs="Tahoma"/>
          <w:sz w:val="18"/>
          <w:szCs w:val="18"/>
          <w:rtl/>
          <w:lang w:eastAsia="he-IL"/>
        </w:rPr>
        <w:t>מבקר המדינה</w:t>
      </w:r>
    </w:p>
    <w:p w14:paraId="31E8F744" w14:textId="77777777" w:rsidR="00A25013" w:rsidRPr="00D70CA7" w:rsidRDefault="00A25013" w:rsidP="00A25013">
      <w:pPr>
        <w:widowControl w:val="0"/>
        <w:spacing w:line="280" w:lineRule="exact"/>
        <w:ind w:left="3402"/>
        <w:jc w:val="center"/>
        <w:rPr>
          <w:rFonts w:ascii="Tahoma" w:hAnsi="Tahoma" w:cs="Tahoma"/>
          <w:sz w:val="18"/>
          <w:szCs w:val="18"/>
          <w:rtl/>
          <w:lang w:eastAsia="he-IL"/>
        </w:rPr>
      </w:pPr>
      <w:r w:rsidRPr="00D70CA7">
        <w:rPr>
          <w:rFonts w:ascii="Tahoma" w:hAnsi="Tahoma" w:cs="Tahoma"/>
          <w:sz w:val="18"/>
          <w:szCs w:val="18"/>
          <w:rtl/>
          <w:lang w:eastAsia="he-IL"/>
        </w:rPr>
        <w:t>ונציב תלונות הציבור</w:t>
      </w:r>
    </w:p>
    <w:p w14:paraId="20683B72" w14:textId="3D89EBA1" w:rsidR="00047E7B" w:rsidRPr="005D13B4" w:rsidRDefault="00047E7B" w:rsidP="00047E7B">
      <w:pPr>
        <w:tabs>
          <w:tab w:val="left" w:pos="898"/>
        </w:tabs>
        <w:spacing w:line="280" w:lineRule="exact"/>
        <w:rPr>
          <w:rFonts w:ascii="Tahoma" w:hAnsi="Tahoma" w:cs="Tahoma"/>
          <w:sz w:val="18"/>
          <w:szCs w:val="18"/>
          <w:rtl/>
        </w:rPr>
      </w:pPr>
      <w:r w:rsidRPr="005D13B4">
        <w:rPr>
          <w:rFonts w:ascii="Tahoma" w:hAnsi="Tahoma" w:cs="Tahoma" w:hint="cs"/>
          <w:sz w:val="18"/>
          <w:szCs w:val="18"/>
          <w:rtl/>
        </w:rPr>
        <w:t xml:space="preserve">ירושלים, </w:t>
      </w:r>
      <w:r>
        <w:rPr>
          <w:rFonts w:ascii="Tahoma" w:hAnsi="Tahoma" w:cs="Tahoma" w:hint="cs"/>
          <w:sz w:val="18"/>
          <w:szCs w:val="18"/>
          <w:rtl/>
        </w:rPr>
        <w:t>ניסן</w:t>
      </w:r>
      <w:r w:rsidRPr="005D13B4">
        <w:rPr>
          <w:rFonts w:ascii="Tahoma" w:hAnsi="Tahoma" w:cs="Tahoma" w:hint="cs"/>
          <w:sz w:val="18"/>
          <w:szCs w:val="18"/>
          <w:rtl/>
        </w:rPr>
        <w:t xml:space="preserve"> התש</w:t>
      </w:r>
      <w:r>
        <w:rPr>
          <w:rFonts w:ascii="Tahoma" w:hAnsi="Tahoma" w:cs="Tahoma" w:hint="cs"/>
          <w:sz w:val="18"/>
          <w:szCs w:val="18"/>
          <w:rtl/>
        </w:rPr>
        <w:t>פ"א</w:t>
      </w:r>
    </w:p>
    <w:p w14:paraId="1264C583" w14:textId="243CB2FB" w:rsidR="00F94471" w:rsidRPr="00C74B8C" w:rsidRDefault="00047E7B" w:rsidP="00FB3A60">
      <w:pPr>
        <w:tabs>
          <w:tab w:val="left" w:pos="898"/>
        </w:tabs>
        <w:spacing w:line="280" w:lineRule="exact"/>
        <w:rPr>
          <w:rFonts w:asciiTheme="minorHAnsi" w:eastAsiaTheme="majorEastAsia" w:hAnsiTheme="minorHAnsi" w:cs="Tahoma"/>
          <w:b/>
          <w:bCs/>
          <w:color w:val="00305F"/>
          <w:sz w:val="34"/>
          <w:szCs w:val="34"/>
          <w:lang w:bidi="ar-SA"/>
        </w:rPr>
      </w:pPr>
      <w:r>
        <w:rPr>
          <w:rFonts w:ascii="Tahoma" w:hAnsi="Tahoma" w:cs="Tahoma" w:hint="cs"/>
          <w:sz w:val="18"/>
          <w:szCs w:val="18"/>
          <w:rtl/>
        </w:rPr>
        <w:t xml:space="preserve">             אפריל  </w:t>
      </w:r>
      <w:r w:rsidRPr="005D13B4">
        <w:rPr>
          <w:rFonts w:ascii="Tahoma" w:hAnsi="Tahoma" w:cs="Tahoma" w:hint="cs"/>
          <w:sz w:val="18"/>
          <w:szCs w:val="18"/>
          <w:rtl/>
        </w:rPr>
        <w:t xml:space="preserve"> 202</w:t>
      </w:r>
      <w:r>
        <w:rPr>
          <w:rFonts w:ascii="Tahoma" w:hAnsi="Tahoma" w:cs="Tahoma" w:hint="cs"/>
          <w:sz w:val="18"/>
          <w:szCs w:val="18"/>
          <w:rtl/>
        </w:rPr>
        <w:t>1</w:t>
      </w:r>
    </w:p>
    <w:sectPr w:rsidR="00F94471" w:rsidRPr="00C74B8C" w:rsidSect="00A8428C">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DA4697" w:rsidRDefault="00DA4697">
      <w:pPr>
        <w:spacing w:line="240" w:lineRule="auto"/>
      </w:pPr>
      <w:r>
        <w:separator/>
      </w:r>
    </w:p>
    <w:p w14:paraId="782C3C33" w14:textId="77777777" w:rsidR="00DA4697" w:rsidRDefault="00DA4697"/>
  </w:endnote>
  <w:endnote w:type="continuationSeparator" w:id="0">
    <w:p w14:paraId="49804240" w14:textId="77777777" w:rsidR="00DA4697" w:rsidRDefault="00DA4697">
      <w:pPr>
        <w:spacing w:line="240" w:lineRule="auto"/>
      </w:pPr>
      <w:r>
        <w:continuationSeparator/>
      </w:r>
    </w:p>
    <w:p w14:paraId="587A5DFA" w14:textId="77777777" w:rsidR="00DA4697" w:rsidRDefault="00DA4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800000AF" w:usb1="1000204A"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DA4697" w:rsidRDefault="00DA4697"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DA4697" w:rsidRPr="006668CA" w:rsidRDefault="00DA4697"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2ABD32DC" w:rsidR="00DA4697" w:rsidRDefault="00F0204B" w:rsidP="00337C4E">
    <w:pPr>
      <w:pStyle w:val="Footer"/>
      <w:spacing w:after="120" w:line="312" w:lineRule="auto"/>
      <w:ind w:left="-510"/>
      <w:jc w:val="left"/>
      <w:rPr>
        <w:rFonts w:ascii="Tahoma" w:hAnsi="Tahoma" w:cs="Tahoma"/>
        <w:sz w:val="18"/>
        <w:szCs w:val="18"/>
        <w:rtl/>
      </w:rPr>
    </w:pPr>
    <w:r>
      <w:rPr>
        <w:rFonts w:ascii="Tahoma" w:hAnsi="Tahoma" w:cs="Tahoma"/>
        <w:noProof/>
        <w:sz w:val="18"/>
        <w:szCs w:val="18"/>
      </w:rPr>
      <mc:AlternateContent>
        <mc:Choice Requires="wps">
          <w:drawing>
            <wp:anchor distT="0" distB="0" distL="114300" distR="114300" simplePos="0" relativeHeight="251716608" behindDoc="0" locked="0" layoutInCell="1" allowOverlap="1" wp14:anchorId="76CDB6B7" wp14:editId="2ADFB95E">
              <wp:simplePos x="0" y="0"/>
              <wp:positionH relativeFrom="column">
                <wp:posOffset>3289300</wp:posOffset>
              </wp:positionH>
              <wp:positionV relativeFrom="paragraph">
                <wp:posOffset>198120</wp:posOffset>
              </wp:positionV>
              <wp:extent cx="2085975" cy="371475"/>
              <wp:effectExtent l="0" t="0" r="9525" b="9525"/>
              <wp:wrapNone/>
              <wp:docPr id="16" name="Rectangle 16"/>
              <wp:cNvGraphicFramePr/>
              <a:graphic xmlns:a="http://schemas.openxmlformats.org/drawingml/2006/main">
                <a:graphicData uri="http://schemas.microsoft.com/office/word/2010/wordprocessingShape">
                  <wps:wsp>
                    <wps:cNvSpPr/>
                    <wps:spPr>
                      <a:xfrm>
                        <a:off x="0" y="0"/>
                        <a:ext cx="2085975"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09FA866" id="Rectangle 16" o:spid="_x0000_s1026" style="position:absolute;left:0;text-align:left;margin-left:259pt;margin-top:15.6pt;width:164.25pt;height:29.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" fillcolor="white [3212]" stroked="f" strokeweight="2pt"/>
          </w:pict>
        </mc:Fallback>
      </mc:AlternateContent>
    </w:r>
  </w:p>
  <w:p w14:paraId="55F954A2" w14:textId="3F012A36" w:rsidR="00DA4697" w:rsidRDefault="00DA4697" w:rsidP="00273A52">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00C6205F">
      <w:rPr>
        <w:rFonts w:ascii="Tahoma" w:hAnsi="Tahoma" w:cs="Tahoma" w:hint="cs"/>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02EE3E7D" w:rsidR="00DA4697" w:rsidRPr="00F94EB4" w:rsidRDefault="00DA4697"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3EDA53B6" w:rsidR="00DA4697" w:rsidRDefault="00F0204B" w:rsidP="00273A52">
    <w:pPr>
      <w:pStyle w:val="Footer"/>
      <w:spacing w:after="120" w:line="312" w:lineRule="auto"/>
      <w:ind w:right="-737"/>
      <w:jc w:val="right"/>
      <w:rPr>
        <w:rFonts w:ascii="Tahoma" w:hAnsi="Tahoma" w:cs="Tahoma"/>
        <w:sz w:val="18"/>
        <w:szCs w:val="18"/>
        <w:rtl/>
      </w:rPr>
    </w:pPr>
    <w:r>
      <w:rPr>
        <w:rFonts w:ascii="Tahoma" w:hAnsi="Tahoma" w:cs="Tahoma"/>
        <w:noProof/>
        <w:sz w:val="18"/>
        <w:szCs w:val="18"/>
      </w:rPr>
      <mc:AlternateContent>
        <mc:Choice Requires="wps">
          <w:drawing>
            <wp:anchor distT="0" distB="0" distL="114300" distR="114300" simplePos="0" relativeHeight="251714560" behindDoc="0" locked="0" layoutInCell="1" allowOverlap="1" wp14:anchorId="58CA41A3" wp14:editId="38222C47">
              <wp:simplePos x="0" y="0"/>
              <wp:positionH relativeFrom="column">
                <wp:posOffset>-601980</wp:posOffset>
              </wp:positionH>
              <wp:positionV relativeFrom="paragraph">
                <wp:posOffset>-58420</wp:posOffset>
              </wp:positionV>
              <wp:extent cx="2085975" cy="371475"/>
              <wp:effectExtent l="0" t="0" r="9525" b="9525"/>
              <wp:wrapNone/>
              <wp:docPr id="15" name="Rectangle 15"/>
              <wp:cNvGraphicFramePr/>
              <a:graphic xmlns:a="http://schemas.openxmlformats.org/drawingml/2006/main">
                <a:graphicData uri="http://schemas.microsoft.com/office/word/2010/wordprocessingShape">
                  <wps:wsp>
                    <wps:cNvSpPr/>
                    <wps:spPr>
                      <a:xfrm>
                        <a:off x="0" y="0"/>
                        <a:ext cx="2085975"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543A49E" id="Rectangle 15" o:spid="_x0000_s1026" style="position:absolute;left:0;text-align:left;margin-left:-47.4pt;margin-top:-4.6pt;width:164.25pt;height:29.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" fillcolor="white [3212]" stroked="f" strokeweight="2pt"/>
          </w:pict>
        </mc:Fallback>
      </mc:AlternateContent>
    </w:r>
    <w:r w:rsidR="00DA4697" w:rsidRPr="00F94EB4">
      <w:rPr>
        <w:rFonts w:ascii="Tahoma" w:hAnsi="Tahoma" w:cs="Tahoma"/>
        <w:sz w:val="18"/>
        <w:szCs w:val="18"/>
      </w:rPr>
      <w:t>|</w:t>
    </w:r>
    <w:r w:rsidR="00DA4697" w:rsidRPr="005B086D">
      <w:rPr>
        <w:noProof/>
      </w:rPr>
      <w:t xml:space="preserve"> </w:t>
    </w:r>
    <w:r w:rsidR="00DA4697" w:rsidRPr="00F94EB4">
      <w:rPr>
        <w:rFonts w:ascii="Tahoma" w:hAnsi="Tahoma" w:cs="Tahoma"/>
        <w:sz w:val="18"/>
        <w:szCs w:val="18"/>
      </w:rPr>
      <w:t xml:space="preserve"> </w:t>
    </w:r>
    <w:r w:rsidR="00DA4697" w:rsidRPr="00F94EB4">
      <w:rPr>
        <w:rFonts w:ascii="Tahoma" w:hAnsi="Tahoma" w:cs="Tahoma"/>
        <w:sz w:val="18"/>
        <w:szCs w:val="18"/>
        <w:rtl/>
      </w:rPr>
      <w:t xml:space="preserve"> </w:t>
    </w:r>
    <w:r w:rsidR="00DA4697">
      <w:rPr>
        <w:rFonts w:ascii="Tahoma" w:hAnsi="Tahoma" w:cs="Tahoma" w:hint="cs"/>
        <w:sz w:val="18"/>
        <w:szCs w:val="18"/>
        <w:rtl/>
      </w:rPr>
      <w:t xml:space="preserve">  </w:t>
    </w:r>
    <w:r w:rsidR="00DA4697" w:rsidRPr="00F94EB4">
      <w:rPr>
        <w:rFonts w:ascii="Tahoma" w:hAnsi="Tahoma" w:cs="Tahoma"/>
        <w:sz w:val="18"/>
        <w:szCs w:val="18"/>
        <w:rtl/>
      </w:rPr>
      <w:t xml:space="preserve"> </w:t>
    </w:r>
    <w:r w:rsidR="00DA4697" w:rsidRPr="00F94EB4">
      <w:rPr>
        <w:rFonts w:ascii="Tahoma" w:hAnsi="Tahoma" w:cs="Tahoma"/>
        <w:sz w:val="18"/>
        <w:szCs w:val="18"/>
        <w:rtl/>
      </w:rPr>
      <w:fldChar w:fldCharType="begin"/>
    </w:r>
    <w:r w:rsidR="00DA4697" w:rsidRPr="00F94EB4">
      <w:rPr>
        <w:rFonts w:ascii="Tahoma" w:hAnsi="Tahoma" w:cs="Tahoma"/>
        <w:sz w:val="18"/>
        <w:szCs w:val="18"/>
        <w:rtl/>
      </w:rPr>
      <w:instrText xml:space="preserve"> </w:instrText>
    </w:r>
    <w:r w:rsidR="00DA4697" w:rsidRPr="00F94EB4">
      <w:rPr>
        <w:rFonts w:ascii="Tahoma" w:hAnsi="Tahoma" w:cs="Tahoma"/>
        <w:sz w:val="18"/>
        <w:szCs w:val="18"/>
      </w:rPr>
      <w:instrText xml:space="preserve">PAGE </w:instrText>
    </w:r>
    <w:r w:rsidR="00DA4697" w:rsidRPr="00F94EB4">
      <w:rPr>
        <w:rFonts w:ascii="Tahoma" w:hAnsi="Tahoma" w:cs="Tahoma"/>
        <w:sz w:val="18"/>
        <w:szCs w:val="18"/>
        <w:rtl/>
      </w:rPr>
      <w:instrText xml:space="preserve"> \* </w:instrText>
    </w:r>
    <w:r w:rsidR="00DA4697" w:rsidRPr="00F94EB4">
      <w:rPr>
        <w:rFonts w:ascii="Tahoma" w:hAnsi="Tahoma" w:cs="Tahoma"/>
        <w:sz w:val="18"/>
        <w:szCs w:val="18"/>
      </w:rPr>
      <w:instrText>MERGEFORMAT</w:instrText>
    </w:r>
    <w:r w:rsidR="00DA4697" w:rsidRPr="00F94EB4">
      <w:rPr>
        <w:rFonts w:ascii="Tahoma" w:hAnsi="Tahoma" w:cs="Tahoma"/>
        <w:sz w:val="18"/>
        <w:szCs w:val="18"/>
        <w:rtl/>
      </w:rPr>
      <w:instrText xml:space="preserve"> </w:instrText>
    </w:r>
    <w:r w:rsidR="00DA4697" w:rsidRPr="00F94EB4">
      <w:rPr>
        <w:rFonts w:ascii="Tahoma" w:hAnsi="Tahoma" w:cs="Tahoma"/>
        <w:sz w:val="18"/>
        <w:szCs w:val="18"/>
        <w:rtl/>
      </w:rPr>
      <w:fldChar w:fldCharType="separate"/>
    </w:r>
    <w:r w:rsidR="00DA4697" w:rsidRPr="00F94EB4">
      <w:rPr>
        <w:rFonts w:ascii="Tahoma" w:hAnsi="Tahoma" w:cs="Tahoma"/>
        <w:sz w:val="18"/>
        <w:szCs w:val="18"/>
        <w:rtl/>
      </w:rPr>
      <w:t>7</w:t>
    </w:r>
    <w:r w:rsidR="00DA4697" w:rsidRPr="00F94EB4">
      <w:rPr>
        <w:rFonts w:ascii="Tahoma" w:hAnsi="Tahoma" w:cs="Tahoma"/>
        <w:sz w:val="18"/>
        <w:szCs w:val="18"/>
        <w:rtl/>
      </w:rPr>
      <w:fldChar w:fldCharType="end"/>
    </w:r>
    <w:r w:rsidR="00DA4697">
      <w:rPr>
        <w:rFonts w:ascii="Tahoma" w:hAnsi="Tahoma" w:cs="Tahoma" w:hint="cs"/>
        <w:sz w:val="18"/>
        <w:szCs w:val="18"/>
        <w:rtl/>
      </w:rPr>
      <w:t xml:space="preserve"> </w:t>
    </w:r>
    <w:r w:rsidR="00DA4697" w:rsidRPr="00F94EB4">
      <w:rPr>
        <w:rFonts w:ascii="Tahoma" w:hAnsi="Tahoma" w:cs="Tahoma"/>
        <w:sz w:val="18"/>
        <w:szCs w:val="18"/>
        <w:rtl/>
      </w:rPr>
      <w:t xml:space="preserve"> </w:t>
    </w:r>
    <w:r w:rsidR="00DA4697">
      <w:rPr>
        <w:rFonts w:ascii="Tahoma" w:hAnsi="Tahoma" w:cs="Tahoma" w:hint="cs"/>
        <w:sz w:val="18"/>
        <w:szCs w:val="18"/>
        <w:rtl/>
      </w:rPr>
      <w:t xml:space="preserve">  |</w:t>
    </w:r>
  </w:p>
  <w:p w14:paraId="12CBD4D4" w14:textId="2E25BF51" w:rsidR="00DA4697" w:rsidRDefault="00DA4697" w:rsidP="005B086D">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DA4697" w:rsidRPr="00D15500" w:rsidRDefault="00DA4697" w:rsidP="00D15500">
    <w:pPr>
      <w:pStyle w:val="Footer"/>
      <w:spacing w:after="120" w:line="312" w:lineRule="auto"/>
      <w:jc w:val="right"/>
      <w:rPr>
        <w:rFonts w:ascii="Tahoma" w:hAnsi="Tahoma" w:cs="Tahoma"/>
        <w:color w:val="002060"/>
        <w:sz w:val="18"/>
        <w:szCs w:val="18"/>
      </w:rPr>
    </w:pPr>
    <w:bookmarkStart w:id="0" w:name="tempMark"/>
    <w:bookmarkEnd w:id="0"/>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DA4697" w:rsidRDefault="00DA4697" w:rsidP="00C23CC9">
      <w:pPr>
        <w:spacing w:line="240" w:lineRule="auto"/>
      </w:pPr>
      <w:r>
        <w:separator/>
      </w:r>
    </w:p>
  </w:footnote>
  <w:footnote w:type="continuationSeparator" w:id="0">
    <w:p w14:paraId="6F4A91C3" w14:textId="77777777" w:rsidR="00DA4697" w:rsidRDefault="00DA4697" w:rsidP="00C23CC9">
      <w:pPr>
        <w:spacing w:line="240" w:lineRule="auto"/>
      </w:pPr>
      <w:r>
        <w:continuationSeparator/>
      </w:r>
    </w:p>
    <w:p w14:paraId="1AC6CDD8" w14:textId="77777777" w:rsidR="00DA4697" w:rsidRDefault="00DA4697"/>
  </w:footnote>
  <w:footnote w:id="1">
    <w:p w14:paraId="7613401E" w14:textId="77777777" w:rsidR="00276563" w:rsidRPr="00047E7B" w:rsidRDefault="00276563" w:rsidP="00047E7B">
      <w:pPr>
        <w:pStyle w:val="71c"/>
      </w:pPr>
      <w:r w:rsidRPr="00047E7B">
        <w:rPr>
          <w:rStyle w:val="FootnoteReference"/>
          <w:vertAlign w:val="baseline"/>
        </w:rPr>
        <w:footnoteRef/>
      </w:r>
      <w:r w:rsidRPr="00047E7B">
        <w:rPr>
          <w:rtl/>
        </w:rPr>
        <w:t xml:space="preserve"> </w:t>
      </w:r>
      <w:r w:rsidRPr="00047E7B">
        <w:rPr>
          <w:rtl/>
        </w:rPr>
        <w:tab/>
        <w:t>ריכוזיות ענפית</w:t>
      </w:r>
      <w:r w:rsidRPr="00047E7B">
        <w:rPr>
          <w:rFonts w:hint="cs"/>
          <w:rtl/>
        </w:rPr>
        <w:t xml:space="preserve"> </w:t>
      </w:r>
      <w:r w:rsidRPr="00047E7B">
        <w:rPr>
          <w:rtl/>
        </w:rPr>
        <w:t xml:space="preserve">היא מצב שבו חברות מועטות הפועלות בענף מסוים מרכזות בידיהן נתח שוק </w:t>
      </w:r>
      <w:r w:rsidRPr="00047E7B">
        <w:rPr>
          <w:rFonts w:hint="cs"/>
          <w:rtl/>
        </w:rPr>
        <w:t>ניכר</w:t>
      </w:r>
      <w:r w:rsidRPr="00047E7B">
        <w:rPr>
          <w:rtl/>
        </w:rPr>
        <w:t>, והיא אחד הגורמים לתחרות מועטה.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55C8974F" w:rsidR="00DA4697" w:rsidRDefault="00DA4697"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0B61943C" w:rsidR="00DA4697" w:rsidRDefault="000F4797"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710464" behindDoc="1" locked="0" layoutInCell="1" allowOverlap="1" wp14:anchorId="24CDA1A1" wp14:editId="1935A42E">
              <wp:simplePos x="0" y="0"/>
              <wp:positionH relativeFrom="margin">
                <wp:posOffset>-954405</wp:posOffset>
              </wp:positionH>
              <wp:positionV relativeFrom="margin">
                <wp:posOffset>-1051560</wp:posOffset>
              </wp:positionV>
              <wp:extent cx="6480000" cy="9000000"/>
              <wp:effectExtent l="0" t="0" r="16510" b="10795"/>
              <wp:wrapNone/>
              <wp:docPr id="577" name="Text Box 577"/>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5A155EC" w14:textId="77777777" w:rsidR="00E82EA3" w:rsidRPr="00DE3ECA" w:rsidRDefault="00E82EA3" w:rsidP="00E82EA3">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DA1A1" id="_x0000_t202" coordsize="21600,21600" o:spt="202" path="m,l,21600r21600,l21600,xe">
              <v:stroke joinstyle="miter"/>
              <v:path gradientshapeok="t" o:connecttype="rect"/>
            </v:shapetype>
            <v:shape id="Text Box 577" o:spid="_x0000_s1026" type="#_x0000_t202" style="position:absolute;margin-left:-75.15pt;margin-top:-82.8pt;width:510.25pt;height:708.6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" filled="f" strokecolor="#a5a5a5 [2092]" strokeweight=".25pt">
              <v:stroke dashstyle="longDash"/>
              <v:textbox>
                <w:txbxContent>
                  <w:p w14:paraId="15A155EC" w14:textId="77777777" w:rsidR="00E82EA3" w:rsidRPr="00DE3ECA" w:rsidRDefault="00E82EA3" w:rsidP="00E82EA3">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268AFC17" w14:textId="52018CDE" w:rsidR="00DA4697" w:rsidRDefault="00DA4697"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DA4697" w:rsidRDefault="00DA4697"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0BB42EA0" w:rsidR="00DA4697" w:rsidRDefault="00D43902" w:rsidP="00A33696">
    <w:pPr>
      <w:pStyle w:val="Header"/>
      <w:tabs>
        <w:tab w:val="clear" w:pos="4153"/>
        <w:tab w:val="clear" w:pos="8306"/>
        <w:tab w:val="left" w:pos="493"/>
        <w:tab w:val="left" w:pos="5150"/>
      </w:tabs>
      <w:rPr>
        <w:rtl/>
      </w:rPr>
    </w:pPr>
    <w:r>
      <w:rPr>
        <w:noProof/>
      </w:rPr>
      <mc:AlternateContent>
        <mc:Choice Requires="wps">
          <w:drawing>
            <wp:anchor distT="0" distB="0" distL="114300" distR="114300" simplePos="0" relativeHeight="251663360" behindDoc="0" locked="0" layoutInCell="1" allowOverlap="1" wp14:anchorId="41B3564E" wp14:editId="7B591E40">
              <wp:simplePos x="0" y="0"/>
              <wp:positionH relativeFrom="column">
                <wp:posOffset>-1554480</wp:posOffset>
              </wp:positionH>
              <wp:positionV relativeFrom="paragraph">
                <wp:posOffset>381635</wp:posOffset>
              </wp:positionV>
              <wp:extent cx="6161405"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616140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C6D99"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05pt" to="362.7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" strokecolor="#0d0d0d [3069]" strokeweight=".25pt"/>
          </w:pict>
        </mc:Fallback>
      </mc:AlternateContent>
    </w:r>
    <w:r w:rsidR="00587631">
      <w:rPr>
        <w:rFonts w:ascii="Tahoma" w:hAnsi="Tahoma" w:cs="Tahoma"/>
        <w:noProof/>
        <w:color w:val="002060"/>
        <w:sz w:val="18"/>
        <w:szCs w:val="18"/>
      </w:rPr>
      <w:drawing>
        <wp:anchor distT="0" distB="0" distL="114300" distR="114300" simplePos="0" relativeHeight="251713536" behindDoc="0" locked="0" layoutInCell="1" allowOverlap="1" wp14:anchorId="4B638955" wp14:editId="24EED92D">
          <wp:simplePos x="0" y="0"/>
          <wp:positionH relativeFrom="column">
            <wp:posOffset>4362450</wp:posOffset>
          </wp:positionH>
          <wp:positionV relativeFrom="paragraph">
            <wp:posOffset>43815</wp:posOffset>
          </wp:positionV>
          <wp:extent cx="248285" cy="2984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00587631" w:rsidRPr="006637B9">
      <w:rPr>
        <w:rFonts w:ascii="Tahoma" w:hAnsi="Tahoma" w:cs="Tahoma"/>
        <w:noProof/>
        <w:color w:val="002060"/>
        <w:sz w:val="18"/>
        <w:szCs w:val="18"/>
      </w:rPr>
      <mc:AlternateContent>
        <mc:Choice Requires="wps">
          <w:drawing>
            <wp:anchor distT="0" distB="0" distL="114300" distR="114300" simplePos="0" relativeHeight="251712512" behindDoc="0" locked="0" layoutInCell="1" allowOverlap="1" wp14:anchorId="472DD05E" wp14:editId="00A1872D">
              <wp:simplePos x="0" y="0"/>
              <wp:positionH relativeFrom="column">
                <wp:posOffset>1366520</wp:posOffset>
              </wp:positionH>
              <wp:positionV relativeFrom="paragraph">
                <wp:posOffset>74295</wp:posOffset>
              </wp:positionV>
              <wp:extent cx="3317240" cy="280670"/>
              <wp:effectExtent l="0" t="0" r="0" b="63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14:paraId="7647DFBB" w14:textId="2AD0DE24" w:rsidR="00DA4697" w:rsidRPr="00587631" w:rsidRDefault="00DA4697" w:rsidP="006637B9">
                          <w:pPr>
                            <w:jc w:val="left"/>
                            <w:rPr>
                              <w:sz w:val="16"/>
                              <w:szCs w:val="16"/>
                            </w:rPr>
                          </w:pPr>
                          <w:r>
                            <w:rPr>
                              <w:rFonts w:ascii="Tahoma" w:hAnsi="Tahoma" w:cs="Tahoma" w:hint="cs"/>
                              <w:color w:val="002060"/>
                              <w:sz w:val="18"/>
                              <w:szCs w:val="18"/>
                              <w:rtl/>
                            </w:rPr>
                            <w:t xml:space="preserve">         </w:t>
                          </w:r>
                          <w:r w:rsidR="00FA3339">
                            <w:rPr>
                              <w:rFonts w:ascii="Tahoma" w:hAnsi="Tahoma" w:cs="Tahoma" w:hint="cs"/>
                              <w:color w:val="0D0D0D" w:themeColor="text1" w:themeTint="F2"/>
                              <w:sz w:val="16"/>
                              <w:szCs w:val="16"/>
                              <w:rtl/>
                            </w:rPr>
                            <w:t xml:space="preserve">תוכן </w:t>
                          </w:r>
                          <w:r w:rsidR="00606ACA">
                            <w:rPr>
                              <w:rFonts w:ascii="Tahoma" w:hAnsi="Tahoma" w:cs="Tahoma" w:hint="cs"/>
                              <w:color w:val="0D0D0D" w:themeColor="text1" w:themeTint="F2"/>
                              <w:sz w:val="16"/>
                              <w:szCs w:val="16"/>
                              <w:rtl/>
                            </w:rPr>
                            <w:t>ה</w:t>
                          </w:r>
                          <w:r w:rsidR="00FA3339">
                            <w:rPr>
                              <w:rFonts w:ascii="Tahoma" w:hAnsi="Tahoma" w:cs="Tahoma" w:hint="cs"/>
                              <w:color w:val="0D0D0D" w:themeColor="text1" w:themeTint="F2"/>
                              <w:sz w:val="16"/>
                              <w:szCs w:val="16"/>
                              <w:rtl/>
                            </w:rPr>
                            <w:t>עניינים</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w14:anchorId="472DD05E" id="Text Box 2" o:spid="_x0000_s1027" type="#_x0000_t202" style="position:absolute;left:0;text-align:left;margin-left:107.6pt;margin-top:5.85pt;width:261.2pt;height:22.1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" stroked="f">
              <v:textbox style="mso-fit-shape-to-text:t">
                <w:txbxContent>
                  <w:p w14:paraId="7647DFBB" w14:textId="2AD0DE24" w:rsidR="00DA4697" w:rsidRPr="00587631" w:rsidRDefault="00DA4697" w:rsidP="006637B9">
                    <w:pPr>
                      <w:jc w:val="left"/>
                      <w:rPr>
                        <w:sz w:val="16"/>
                        <w:szCs w:val="16"/>
                      </w:rPr>
                    </w:pPr>
                    <w:r>
                      <w:rPr>
                        <w:rFonts w:ascii="Tahoma" w:hAnsi="Tahoma" w:cs="Tahoma" w:hint="cs"/>
                        <w:color w:val="002060"/>
                        <w:sz w:val="18"/>
                        <w:szCs w:val="18"/>
                        <w:rtl/>
                      </w:rPr>
                      <w:t xml:space="preserve">         </w:t>
                    </w:r>
                    <w:r w:rsidR="00FA3339">
                      <w:rPr>
                        <w:rFonts w:ascii="Tahoma" w:hAnsi="Tahoma" w:cs="Tahoma" w:hint="cs"/>
                        <w:color w:val="0D0D0D" w:themeColor="text1" w:themeTint="F2"/>
                        <w:sz w:val="16"/>
                        <w:szCs w:val="16"/>
                        <w:rtl/>
                      </w:rPr>
                      <w:t xml:space="preserve">תוכן </w:t>
                    </w:r>
                    <w:r w:rsidR="00606ACA">
                      <w:rPr>
                        <w:rFonts w:ascii="Tahoma" w:hAnsi="Tahoma" w:cs="Tahoma" w:hint="cs"/>
                        <w:color w:val="0D0D0D" w:themeColor="text1" w:themeTint="F2"/>
                        <w:sz w:val="16"/>
                        <w:szCs w:val="16"/>
                        <w:rtl/>
                      </w:rPr>
                      <w:t>ה</w:t>
                    </w:r>
                    <w:r w:rsidR="00FA3339">
                      <w:rPr>
                        <w:rFonts w:ascii="Tahoma" w:hAnsi="Tahoma" w:cs="Tahoma" w:hint="cs"/>
                        <w:color w:val="0D0D0D" w:themeColor="text1" w:themeTint="F2"/>
                        <w:sz w:val="16"/>
                        <w:szCs w:val="16"/>
                        <w:rtl/>
                      </w:rPr>
                      <w:t>עניינים</w:t>
                    </w:r>
                    <w:r w:rsidRPr="00587631">
                      <w:rPr>
                        <w:rFonts w:hint="cs"/>
                        <w:color w:val="0D0D0D" w:themeColor="text1" w:themeTint="F2"/>
                        <w:sz w:val="16"/>
                        <w:szCs w:val="16"/>
                        <w:rtl/>
                      </w:rPr>
                      <w:t xml:space="preserve">         </w:t>
                    </w:r>
                  </w:p>
                </w:txbxContent>
              </v:textbox>
              <w10:wrap type="square"/>
            </v:shape>
          </w:pict>
        </mc:Fallback>
      </mc:AlternateContent>
    </w:r>
    <w:r w:rsidR="00DA4697">
      <w:rPr>
        <w:rFonts w:ascii="Tahoma" w:hAnsi="Tahoma" w:cs="Tahoma"/>
        <w:color w:val="002060"/>
        <w:sz w:val="18"/>
        <w:szCs w:val="18"/>
      </w:rPr>
      <w:tab/>
    </w:r>
    <w:r w:rsidR="00DA4697">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3F303209" w:rsidR="00DA4697" w:rsidRDefault="00DA4697"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6E5B7D">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DA4697" w:rsidRPr="00DE3ECA" w:rsidRDefault="00DA4697"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28"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" filled="f" strokecolor="#a5a5a5 [2092]" strokeweight=".25pt">
              <v:stroke dashstyle="longDash"/>
              <v:textbox>
                <w:txbxContent>
                  <w:p w14:paraId="3092A244" w14:textId="008297F6" w:rsidR="00DA4697" w:rsidRPr="00DE3ECA" w:rsidRDefault="00DA4697"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18DE0C7A" w14:textId="26DB997D" w:rsidR="00DA4697" w:rsidRDefault="00DA4697" w:rsidP="001526AC">
    <w:pPr>
      <w:pStyle w:val="Header"/>
      <w:tabs>
        <w:tab w:val="clear" w:pos="4153"/>
        <w:tab w:val="clear" w:pos="8306"/>
        <w:tab w:val="left" w:pos="493"/>
        <w:tab w:val="center" w:pos="4111"/>
        <w:tab w:val="right" w:pos="7478"/>
        <w:tab w:val="right" w:pos="8222"/>
      </w:tabs>
      <w:jc w:val="left"/>
      <w:rPr>
        <w:rtl/>
      </w:rPr>
    </w:pPr>
  </w:p>
  <w:p w14:paraId="1172F310" w14:textId="4D4F737E" w:rsidR="00DA4697" w:rsidRDefault="00DA4697"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76749620">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CF273F4" w14:textId="26D5AFF0" w:rsidR="00DA4697" w:rsidRPr="00A4133B" w:rsidRDefault="00DA4697"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29" type="#_x0000_t202" style="position:absolute;left:0;text-align:left;margin-left:21.5pt;margin-top:27.9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yeLQIAAEo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HB/jJ4tAgAASgQAAA4AAAAAAAAAAAAAAAAALgIAAGRy&#10;cy9lMm9Eb2MueG1sUEsBAi0AFAAGAAgAAAAhAEQrYFLeAAAACAEAAA8AAAAAAAAAAAAAAAAAhwQA&#10;AGRycy9kb3ducmV2LnhtbFBLBQYAAAAABAAEAPMAAACSBQAAAAA=&#10;" strokecolor="white [3212]">
              <v:textbox>
                <w:txbxContent>
                  <w:p w14:paraId="1CF273F4" w14:textId="26D5AFF0" w:rsidR="00DA4697" w:rsidRPr="00A4133B" w:rsidRDefault="00DA4697"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2E4DB3CE">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7E444"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p w14:paraId="7C0E7E90" w14:textId="77777777" w:rsidR="00DA4697" w:rsidRPr="001526AC" w:rsidRDefault="00DA4697" w:rsidP="00005B23">
    <w:pPr>
      <w:pStyle w:val="Header"/>
      <w:tabs>
        <w:tab w:val="clear" w:pos="4153"/>
        <w:tab w:val="clear" w:pos="8306"/>
        <w:tab w:val="left" w:pos="493"/>
        <w:tab w:val="center" w:pos="4111"/>
        <w:tab w:val="right" w:pos="7478"/>
        <w:tab w:val="right" w:pos="8222"/>
      </w:tabs>
      <w:jc w:val="left"/>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EAC6" w14:textId="684D7A20" w:rsidR="00A76E5A" w:rsidRDefault="00A76E5A" w:rsidP="006B15E1">
    <w:pPr>
      <w:pStyle w:val="Header"/>
    </w:pPr>
    <w:r>
      <w:rPr>
        <w:noProof/>
        <w:rtl/>
        <w:lang w:val="he-IL"/>
      </w:rPr>
      <mc:AlternateContent>
        <mc:Choice Requires="wps">
          <w:drawing>
            <wp:anchor distT="0" distB="0" distL="114300" distR="114300" simplePos="0" relativeHeight="251708416" behindDoc="1" locked="0" layoutInCell="1" allowOverlap="1" wp14:anchorId="7F530CF7" wp14:editId="3CD148F2">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29421C89" w14:textId="77777777" w:rsidR="00A76E5A" w:rsidRPr="00DE3ECA" w:rsidRDefault="00A76E5A" w:rsidP="00A76E5A">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30CF7" id="_x0000_t202" coordsize="21600,21600" o:spt="202" path="m,l,21600r21600,l21600,xe">
              <v:stroke joinstyle="miter"/>
              <v:path gradientshapeok="t" o:connecttype="rect"/>
            </v:shapetype>
            <v:shape id="Text Box 14" o:spid="_x0000_s1030" type="#_x0000_t202" style="position:absolute;left:0;text-align:left;margin-left:-75.15pt;margin-top:-82.8pt;width:510.25pt;height:708.6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lU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" filled="f" strokecolor="#a5a5a5 [2092]" strokeweight=".25pt">
              <v:stroke dashstyle="longDash"/>
              <v:textbox>
                <w:txbxContent>
                  <w:p w14:paraId="29421C89" w14:textId="77777777" w:rsidR="00A76E5A" w:rsidRPr="00DE3ECA" w:rsidRDefault="00A76E5A" w:rsidP="00A76E5A">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DA4697" w:rsidRPr="00D15500" w:rsidRDefault="00DA4697"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DA4697" w:rsidRPr="005B4811" w:rsidRDefault="00DA4697" w:rsidP="005B4811">
                          <w:pPr>
                            <w:rPr>
                              <w:rtl/>
                            </w:rPr>
                          </w:pPr>
                          <w:r w:rsidRPr="00D15500">
                            <w:rPr>
                              <w:rFonts w:ascii="Tahoma" w:hAnsi="Tahoma" w:cs="Tahoma" w:hint="cs"/>
                              <w:color w:val="002060"/>
                              <w:sz w:val="18"/>
                              <w:szCs w:val="18"/>
                              <w:rtl/>
                            </w:rPr>
                            <w:t xml:space="preserve">מבקר </w:t>
                          </w:r>
                          <w:r w:rsidRPr="00D15500">
                            <w:rPr>
                              <w:rFonts w:ascii="Tahoma" w:hAnsi="Tahoma" w:cs="Tahoma" w:hint="cs"/>
                              <w:color w:val="002060"/>
                              <w:sz w:val="18"/>
                              <w:szCs w:val="18"/>
                              <w:rtl/>
                            </w:rPr>
                            <w:t xml:space="preserve">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1"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eMTBABkCAADnAwAADgAAAAAAAAAAAAAAAAAuAgAAZHJzL2Uyb0RvYy54bWxQSwECLQAU&#10;AAYACAAAACEAyXlHR98AAAAJAQAADwAAAAAAAAAAAAAAAABzBAAAZHJzL2Rvd25yZXYueG1sUEsF&#10;BgAAAAAEAAQA8wAAAH8FAAAAAA==&#10;" stroked="f">
              <v:textbox>
                <w:txbxContent>
                  <w:p w14:paraId="00ACE667" w14:textId="77777777" w:rsidR="00DA4697" w:rsidRPr="005B4811" w:rsidRDefault="00DA4697" w:rsidP="005B4811">
                    <w:pPr>
                      <w:rPr>
                        <w:rtl/>
                      </w:rPr>
                    </w:pPr>
                    <w:r w:rsidRPr="00D15500">
                      <w:rPr>
                        <w:rFonts w:ascii="Tahoma" w:hAnsi="Tahoma" w:cs="Tahoma" w:hint="cs"/>
                        <w:color w:val="002060"/>
                        <w:sz w:val="18"/>
                        <w:szCs w:val="18"/>
                        <w:rtl/>
                      </w:rPr>
                      <w:t xml:space="preserve">מבקר </w:t>
                    </w:r>
                    <w:r w:rsidRPr="00D15500">
                      <w:rPr>
                        <w:rFonts w:ascii="Tahoma" w:hAnsi="Tahoma" w:cs="Tahoma" w:hint="cs"/>
                        <w:color w:val="002060"/>
                        <w:sz w:val="18"/>
                        <w:szCs w:val="18"/>
                        <w:rtl/>
                      </w:rPr>
                      <w:t xml:space="preserve">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DA4697" w:rsidRPr="005B4811" w:rsidRDefault="00DA4697"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2"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" stroked="f">
              <v:textbox style="mso-fit-shape-to-text:t">
                <w:txbxContent>
                  <w:p w14:paraId="68AEB69D" w14:textId="77777777" w:rsidR="00DA4697" w:rsidRPr="005B4811" w:rsidRDefault="00DA4697"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8AB3182"/>
    <w:multiLevelType w:val="hybridMultilevel"/>
    <w:tmpl w:val="236674FC"/>
    <w:lvl w:ilvl="0" w:tplc="93522EC8">
      <w:start w:val="1"/>
      <w:numFmt w:val="decimal"/>
      <w:lvlText w:val="%1."/>
      <w:lvlJc w:val="left"/>
      <w:pPr>
        <w:ind w:left="720" w:hanging="360"/>
      </w:pPr>
      <w:rPr>
        <w:rFonts w:hint="default"/>
        <w:sz w:val="24"/>
      </w:rPr>
    </w:lvl>
    <w:lvl w:ilvl="1" w:tplc="1AE878B8" w:tentative="1">
      <w:start w:val="1"/>
      <w:numFmt w:val="lowerLetter"/>
      <w:lvlText w:val="%2."/>
      <w:lvlJc w:val="left"/>
      <w:pPr>
        <w:ind w:left="1440" w:hanging="360"/>
      </w:pPr>
    </w:lvl>
    <w:lvl w:ilvl="2" w:tplc="AABA0FCA" w:tentative="1">
      <w:start w:val="1"/>
      <w:numFmt w:val="lowerRoman"/>
      <w:lvlText w:val="%3."/>
      <w:lvlJc w:val="right"/>
      <w:pPr>
        <w:ind w:left="2160" w:hanging="180"/>
      </w:pPr>
    </w:lvl>
    <w:lvl w:ilvl="3" w:tplc="058E59C6" w:tentative="1">
      <w:start w:val="1"/>
      <w:numFmt w:val="decimal"/>
      <w:lvlText w:val="%4."/>
      <w:lvlJc w:val="left"/>
      <w:pPr>
        <w:ind w:left="2880" w:hanging="360"/>
      </w:pPr>
    </w:lvl>
    <w:lvl w:ilvl="4" w:tplc="5D54F0D2" w:tentative="1">
      <w:start w:val="1"/>
      <w:numFmt w:val="lowerLetter"/>
      <w:lvlText w:val="%5."/>
      <w:lvlJc w:val="left"/>
      <w:pPr>
        <w:ind w:left="3600" w:hanging="360"/>
      </w:pPr>
    </w:lvl>
    <w:lvl w:ilvl="5" w:tplc="56FC6808" w:tentative="1">
      <w:start w:val="1"/>
      <w:numFmt w:val="lowerRoman"/>
      <w:lvlText w:val="%6."/>
      <w:lvlJc w:val="right"/>
      <w:pPr>
        <w:ind w:left="4320" w:hanging="180"/>
      </w:pPr>
    </w:lvl>
    <w:lvl w:ilvl="6" w:tplc="65A85488" w:tentative="1">
      <w:start w:val="1"/>
      <w:numFmt w:val="decimal"/>
      <w:lvlText w:val="%7."/>
      <w:lvlJc w:val="left"/>
      <w:pPr>
        <w:ind w:left="5040" w:hanging="360"/>
      </w:pPr>
    </w:lvl>
    <w:lvl w:ilvl="7" w:tplc="5964DB26" w:tentative="1">
      <w:start w:val="1"/>
      <w:numFmt w:val="lowerLetter"/>
      <w:lvlText w:val="%8."/>
      <w:lvlJc w:val="left"/>
      <w:pPr>
        <w:ind w:left="5760" w:hanging="360"/>
      </w:pPr>
    </w:lvl>
    <w:lvl w:ilvl="8" w:tplc="C3482DDC" w:tentative="1">
      <w:start w:val="1"/>
      <w:numFmt w:val="lowerRoman"/>
      <w:lvlText w:val="%9."/>
      <w:lvlJc w:val="right"/>
      <w:pPr>
        <w:ind w:left="6480" w:hanging="180"/>
      </w:pPr>
    </w:lvl>
  </w:abstractNum>
  <w:abstractNum w:abstractNumId="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 w15:restartNumberingAfterBreak="0">
    <w:nsid w:val="11286EA9"/>
    <w:multiLevelType w:val="hybridMultilevel"/>
    <w:tmpl w:val="A79EF7AE"/>
    <w:lvl w:ilvl="0" w:tplc="FCB67726">
      <w:start w:val="1"/>
      <w:numFmt w:val="decimal"/>
      <w:lvlText w:val="%1."/>
      <w:lvlJc w:val="left"/>
      <w:pPr>
        <w:ind w:left="720" w:hanging="360"/>
      </w:pPr>
      <w:rPr>
        <w:rFonts w:hint="default"/>
        <w:b w:val="0"/>
        <w:sz w:val="24"/>
      </w:rPr>
    </w:lvl>
    <w:lvl w:ilvl="1" w:tplc="4950D25E">
      <w:start w:val="1"/>
      <w:numFmt w:val="lowerLetter"/>
      <w:lvlText w:val="%2."/>
      <w:lvlJc w:val="left"/>
      <w:pPr>
        <w:ind w:left="1440" w:hanging="360"/>
      </w:pPr>
    </w:lvl>
    <w:lvl w:ilvl="2" w:tplc="0BA86A74" w:tentative="1">
      <w:start w:val="1"/>
      <w:numFmt w:val="lowerRoman"/>
      <w:lvlText w:val="%3."/>
      <w:lvlJc w:val="right"/>
      <w:pPr>
        <w:ind w:left="2160" w:hanging="180"/>
      </w:pPr>
    </w:lvl>
    <w:lvl w:ilvl="3" w:tplc="3A5071C2" w:tentative="1">
      <w:start w:val="1"/>
      <w:numFmt w:val="decimal"/>
      <w:lvlText w:val="%4."/>
      <w:lvlJc w:val="left"/>
      <w:pPr>
        <w:ind w:left="2880" w:hanging="360"/>
      </w:pPr>
    </w:lvl>
    <w:lvl w:ilvl="4" w:tplc="C0E46190" w:tentative="1">
      <w:start w:val="1"/>
      <w:numFmt w:val="lowerLetter"/>
      <w:lvlText w:val="%5."/>
      <w:lvlJc w:val="left"/>
      <w:pPr>
        <w:ind w:left="3600" w:hanging="360"/>
      </w:pPr>
    </w:lvl>
    <w:lvl w:ilvl="5" w:tplc="384C29A2" w:tentative="1">
      <w:start w:val="1"/>
      <w:numFmt w:val="lowerRoman"/>
      <w:lvlText w:val="%6."/>
      <w:lvlJc w:val="right"/>
      <w:pPr>
        <w:ind w:left="4320" w:hanging="180"/>
      </w:pPr>
    </w:lvl>
    <w:lvl w:ilvl="6" w:tplc="79226D06" w:tentative="1">
      <w:start w:val="1"/>
      <w:numFmt w:val="decimal"/>
      <w:lvlText w:val="%7."/>
      <w:lvlJc w:val="left"/>
      <w:pPr>
        <w:ind w:left="5040" w:hanging="360"/>
      </w:pPr>
    </w:lvl>
    <w:lvl w:ilvl="7" w:tplc="FA486520" w:tentative="1">
      <w:start w:val="1"/>
      <w:numFmt w:val="lowerLetter"/>
      <w:lvlText w:val="%8."/>
      <w:lvlJc w:val="left"/>
      <w:pPr>
        <w:ind w:left="5760" w:hanging="360"/>
      </w:pPr>
    </w:lvl>
    <w:lvl w:ilvl="8" w:tplc="17DCD400" w:tentative="1">
      <w:start w:val="1"/>
      <w:numFmt w:val="lowerRoman"/>
      <w:lvlText w:val="%9."/>
      <w:lvlJc w:val="right"/>
      <w:pPr>
        <w:ind w:left="6480" w:hanging="180"/>
      </w:pPr>
    </w:lvl>
  </w:abstractNum>
  <w:abstractNum w:abstractNumId="5"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6"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7" w15:restartNumberingAfterBreak="0">
    <w:nsid w:val="21F60817"/>
    <w:multiLevelType w:val="hybridMultilevel"/>
    <w:tmpl w:val="193436EC"/>
    <w:lvl w:ilvl="0" w:tplc="5BFEA2A8">
      <w:start w:val="1"/>
      <w:numFmt w:val="decimal"/>
      <w:lvlText w:val="%1."/>
      <w:lvlJc w:val="left"/>
      <w:pPr>
        <w:ind w:left="720" w:hanging="360"/>
      </w:pPr>
      <w:rPr>
        <w:rFonts w:hint="default"/>
      </w:rPr>
    </w:lvl>
    <w:lvl w:ilvl="1" w:tplc="7A08F07C" w:tentative="1">
      <w:start w:val="1"/>
      <w:numFmt w:val="lowerLetter"/>
      <w:lvlText w:val="%2."/>
      <w:lvlJc w:val="left"/>
      <w:pPr>
        <w:ind w:left="1440" w:hanging="360"/>
      </w:pPr>
    </w:lvl>
    <w:lvl w:ilvl="2" w:tplc="8D02ED34" w:tentative="1">
      <w:start w:val="1"/>
      <w:numFmt w:val="lowerRoman"/>
      <w:lvlText w:val="%3."/>
      <w:lvlJc w:val="right"/>
      <w:pPr>
        <w:ind w:left="2160" w:hanging="180"/>
      </w:pPr>
    </w:lvl>
    <w:lvl w:ilvl="3" w:tplc="907A2730" w:tentative="1">
      <w:start w:val="1"/>
      <w:numFmt w:val="decimal"/>
      <w:lvlText w:val="%4."/>
      <w:lvlJc w:val="left"/>
      <w:pPr>
        <w:ind w:left="2880" w:hanging="360"/>
      </w:pPr>
    </w:lvl>
    <w:lvl w:ilvl="4" w:tplc="A94A18F4" w:tentative="1">
      <w:start w:val="1"/>
      <w:numFmt w:val="lowerLetter"/>
      <w:lvlText w:val="%5."/>
      <w:lvlJc w:val="left"/>
      <w:pPr>
        <w:ind w:left="3600" w:hanging="360"/>
      </w:pPr>
    </w:lvl>
    <w:lvl w:ilvl="5" w:tplc="BDE222CA" w:tentative="1">
      <w:start w:val="1"/>
      <w:numFmt w:val="lowerRoman"/>
      <w:lvlText w:val="%6."/>
      <w:lvlJc w:val="right"/>
      <w:pPr>
        <w:ind w:left="4320" w:hanging="180"/>
      </w:pPr>
    </w:lvl>
    <w:lvl w:ilvl="6" w:tplc="E578E034" w:tentative="1">
      <w:start w:val="1"/>
      <w:numFmt w:val="decimal"/>
      <w:lvlText w:val="%7."/>
      <w:lvlJc w:val="left"/>
      <w:pPr>
        <w:ind w:left="5040" w:hanging="360"/>
      </w:pPr>
    </w:lvl>
    <w:lvl w:ilvl="7" w:tplc="D63660FC" w:tentative="1">
      <w:start w:val="1"/>
      <w:numFmt w:val="lowerLetter"/>
      <w:lvlText w:val="%8."/>
      <w:lvlJc w:val="left"/>
      <w:pPr>
        <w:ind w:left="5760" w:hanging="360"/>
      </w:pPr>
    </w:lvl>
    <w:lvl w:ilvl="8" w:tplc="088C2F9C" w:tentative="1">
      <w:start w:val="1"/>
      <w:numFmt w:val="lowerRoman"/>
      <w:lvlText w:val="%9."/>
      <w:lvlJc w:val="right"/>
      <w:pPr>
        <w:ind w:left="6480" w:hanging="180"/>
      </w:pPr>
    </w:lvl>
  </w:abstractNum>
  <w:abstractNum w:abstractNumId="8"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9" w15:restartNumberingAfterBreak="0">
    <w:nsid w:val="34FD1CEF"/>
    <w:multiLevelType w:val="hybridMultilevel"/>
    <w:tmpl w:val="E4A2CB6A"/>
    <w:lvl w:ilvl="0" w:tplc="283E2200">
      <w:start w:val="1"/>
      <w:numFmt w:val="decimal"/>
      <w:lvlText w:val="%1."/>
      <w:lvlJc w:val="left"/>
      <w:pPr>
        <w:ind w:left="360" w:hanging="360"/>
      </w:pPr>
      <w:rPr>
        <w:rFonts w:hint="default"/>
      </w:rPr>
    </w:lvl>
    <w:lvl w:ilvl="1" w:tplc="E0E2F1D8" w:tentative="1">
      <w:start w:val="1"/>
      <w:numFmt w:val="lowerLetter"/>
      <w:lvlText w:val="%2."/>
      <w:lvlJc w:val="left"/>
      <w:pPr>
        <w:ind w:left="2214" w:hanging="360"/>
      </w:pPr>
    </w:lvl>
    <w:lvl w:ilvl="2" w:tplc="6DE44B9E" w:tentative="1">
      <w:start w:val="1"/>
      <w:numFmt w:val="lowerRoman"/>
      <w:lvlText w:val="%3."/>
      <w:lvlJc w:val="right"/>
      <w:pPr>
        <w:ind w:left="2934" w:hanging="180"/>
      </w:pPr>
    </w:lvl>
    <w:lvl w:ilvl="3" w:tplc="714E3358" w:tentative="1">
      <w:start w:val="1"/>
      <w:numFmt w:val="decimal"/>
      <w:lvlText w:val="%4."/>
      <w:lvlJc w:val="left"/>
      <w:pPr>
        <w:ind w:left="3654" w:hanging="360"/>
      </w:pPr>
    </w:lvl>
    <w:lvl w:ilvl="4" w:tplc="21A8896A" w:tentative="1">
      <w:start w:val="1"/>
      <w:numFmt w:val="lowerLetter"/>
      <w:lvlText w:val="%5."/>
      <w:lvlJc w:val="left"/>
      <w:pPr>
        <w:ind w:left="4374" w:hanging="360"/>
      </w:pPr>
    </w:lvl>
    <w:lvl w:ilvl="5" w:tplc="47D63E1C" w:tentative="1">
      <w:start w:val="1"/>
      <w:numFmt w:val="lowerRoman"/>
      <w:lvlText w:val="%6."/>
      <w:lvlJc w:val="right"/>
      <w:pPr>
        <w:ind w:left="5094" w:hanging="180"/>
      </w:pPr>
    </w:lvl>
    <w:lvl w:ilvl="6" w:tplc="0D70E5CA" w:tentative="1">
      <w:start w:val="1"/>
      <w:numFmt w:val="decimal"/>
      <w:lvlText w:val="%7."/>
      <w:lvlJc w:val="left"/>
      <w:pPr>
        <w:ind w:left="5814" w:hanging="360"/>
      </w:pPr>
    </w:lvl>
    <w:lvl w:ilvl="7" w:tplc="1C5080AC" w:tentative="1">
      <w:start w:val="1"/>
      <w:numFmt w:val="lowerLetter"/>
      <w:lvlText w:val="%8."/>
      <w:lvlJc w:val="left"/>
      <w:pPr>
        <w:ind w:left="6534" w:hanging="360"/>
      </w:pPr>
    </w:lvl>
    <w:lvl w:ilvl="8" w:tplc="A9AA78F6" w:tentative="1">
      <w:start w:val="1"/>
      <w:numFmt w:val="lowerRoman"/>
      <w:lvlText w:val="%9."/>
      <w:lvlJc w:val="right"/>
      <w:pPr>
        <w:ind w:left="7254" w:hanging="180"/>
      </w:pPr>
    </w:lvl>
  </w:abstractNum>
  <w:abstractNum w:abstractNumId="10"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BC1088C"/>
    <w:multiLevelType w:val="multilevel"/>
    <w:tmpl w:val="50E48E52"/>
    <w:lvl w:ilvl="0">
      <w:start w:val="1"/>
      <w:numFmt w:val="decimal"/>
      <w:pStyle w:val="711"/>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4"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5" w15:restartNumberingAfterBreak="0">
    <w:nsid w:val="67BA1BB6"/>
    <w:multiLevelType w:val="hybridMultilevel"/>
    <w:tmpl w:val="85F0C9C2"/>
    <w:lvl w:ilvl="0" w:tplc="C51AFC84">
      <w:start w:val="1"/>
      <w:numFmt w:val="decimal"/>
      <w:lvlText w:val="%1."/>
      <w:lvlJc w:val="left"/>
      <w:pPr>
        <w:ind w:left="720" w:hanging="360"/>
      </w:pPr>
      <w:rPr>
        <w:rFonts w:asciiTheme="majorBidi" w:hAnsiTheme="majorBidi" w:cstheme="majorBidi" w:hint="default"/>
        <w:b w:val="0"/>
        <w:bCs w:val="0"/>
        <w:sz w:val="20"/>
        <w:szCs w:val="24"/>
      </w:rPr>
    </w:lvl>
    <w:lvl w:ilvl="1" w:tplc="E0CEF176">
      <w:start w:val="11"/>
      <w:numFmt w:val="lowerLetter"/>
      <w:lvlText w:val="%2."/>
      <w:lvlJc w:val="left"/>
      <w:pPr>
        <w:ind w:left="1440" w:hanging="360"/>
      </w:pPr>
      <w:rPr>
        <w:rFonts w:hint="default"/>
      </w:rPr>
    </w:lvl>
    <w:lvl w:ilvl="2" w:tplc="D0AE1A00" w:tentative="1">
      <w:start w:val="1"/>
      <w:numFmt w:val="lowerRoman"/>
      <w:lvlText w:val="%3."/>
      <w:lvlJc w:val="right"/>
      <w:pPr>
        <w:ind w:left="2160" w:hanging="180"/>
      </w:pPr>
    </w:lvl>
    <w:lvl w:ilvl="3" w:tplc="C810C2B0" w:tentative="1">
      <w:start w:val="1"/>
      <w:numFmt w:val="decimal"/>
      <w:lvlText w:val="%4."/>
      <w:lvlJc w:val="left"/>
      <w:pPr>
        <w:ind w:left="2880" w:hanging="360"/>
      </w:pPr>
    </w:lvl>
    <w:lvl w:ilvl="4" w:tplc="76C4D904" w:tentative="1">
      <w:start w:val="1"/>
      <w:numFmt w:val="lowerLetter"/>
      <w:lvlText w:val="%5."/>
      <w:lvlJc w:val="left"/>
      <w:pPr>
        <w:ind w:left="3600" w:hanging="360"/>
      </w:pPr>
    </w:lvl>
    <w:lvl w:ilvl="5" w:tplc="1E54E3BE" w:tentative="1">
      <w:start w:val="1"/>
      <w:numFmt w:val="lowerRoman"/>
      <w:lvlText w:val="%6."/>
      <w:lvlJc w:val="right"/>
      <w:pPr>
        <w:ind w:left="4320" w:hanging="180"/>
      </w:pPr>
    </w:lvl>
    <w:lvl w:ilvl="6" w:tplc="9C98ED88" w:tentative="1">
      <w:start w:val="1"/>
      <w:numFmt w:val="decimal"/>
      <w:lvlText w:val="%7."/>
      <w:lvlJc w:val="left"/>
      <w:pPr>
        <w:ind w:left="5040" w:hanging="360"/>
      </w:pPr>
    </w:lvl>
    <w:lvl w:ilvl="7" w:tplc="33C44248" w:tentative="1">
      <w:start w:val="1"/>
      <w:numFmt w:val="lowerLetter"/>
      <w:lvlText w:val="%8."/>
      <w:lvlJc w:val="left"/>
      <w:pPr>
        <w:ind w:left="5760" w:hanging="360"/>
      </w:pPr>
    </w:lvl>
    <w:lvl w:ilvl="8" w:tplc="1BC4A15A" w:tentative="1">
      <w:start w:val="1"/>
      <w:numFmt w:val="lowerRoman"/>
      <w:lvlText w:val="%9."/>
      <w:lvlJc w:val="right"/>
      <w:pPr>
        <w:ind w:left="6480" w:hanging="180"/>
      </w:pPr>
    </w:lvl>
  </w:abstractNum>
  <w:abstractNum w:abstractNumId="16" w15:restartNumberingAfterBreak="0">
    <w:nsid w:val="685005DF"/>
    <w:multiLevelType w:val="hybridMultilevel"/>
    <w:tmpl w:val="2F54F380"/>
    <w:lvl w:ilvl="0" w:tplc="E31AE14C">
      <w:start w:val="1"/>
      <w:numFmt w:val="decimal"/>
      <w:lvlText w:val="%1."/>
      <w:lvlJc w:val="left"/>
      <w:pPr>
        <w:ind w:left="720" w:hanging="360"/>
      </w:pPr>
      <w:rPr>
        <w:rFonts w:hint="default"/>
      </w:rPr>
    </w:lvl>
    <w:lvl w:ilvl="1" w:tplc="B59CA9EA" w:tentative="1">
      <w:start w:val="1"/>
      <w:numFmt w:val="lowerLetter"/>
      <w:lvlText w:val="%2."/>
      <w:lvlJc w:val="left"/>
      <w:pPr>
        <w:ind w:left="1440" w:hanging="360"/>
      </w:pPr>
    </w:lvl>
    <w:lvl w:ilvl="2" w:tplc="26DE8140" w:tentative="1">
      <w:start w:val="1"/>
      <w:numFmt w:val="lowerRoman"/>
      <w:lvlText w:val="%3."/>
      <w:lvlJc w:val="right"/>
      <w:pPr>
        <w:ind w:left="2160" w:hanging="180"/>
      </w:pPr>
    </w:lvl>
    <w:lvl w:ilvl="3" w:tplc="15F0F80E" w:tentative="1">
      <w:start w:val="1"/>
      <w:numFmt w:val="decimal"/>
      <w:lvlText w:val="%4."/>
      <w:lvlJc w:val="left"/>
      <w:pPr>
        <w:ind w:left="2880" w:hanging="360"/>
      </w:pPr>
    </w:lvl>
    <w:lvl w:ilvl="4" w:tplc="D0087278" w:tentative="1">
      <w:start w:val="1"/>
      <w:numFmt w:val="lowerLetter"/>
      <w:lvlText w:val="%5."/>
      <w:lvlJc w:val="left"/>
      <w:pPr>
        <w:ind w:left="3600" w:hanging="360"/>
      </w:pPr>
    </w:lvl>
    <w:lvl w:ilvl="5" w:tplc="F3D4BB66" w:tentative="1">
      <w:start w:val="1"/>
      <w:numFmt w:val="lowerRoman"/>
      <w:lvlText w:val="%6."/>
      <w:lvlJc w:val="right"/>
      <w:pPr>
        <w:ind w:left="4320" w:hanging="180"/>
      </w:pPr>
    </w:lvl>
    <w:lvl w:ilvl="6" w:tplc="E58CC7B0" w:tentative="1">
      <w:start w:val="1"/>
      <w:numFmt w:val="decimal"/>
      <w:lvlText w:val="%7."/>
      <w:lvlJc w:val="left"/>
      <w:pPr>
        <w:ind w:left="5040" w:hanging="360"/>
      </w:pPr>
    </w:lvl>
    <w:lvl w:ilvl="7" w:tplc="27289748" w:tentative="1">
      <w:start w:val="1"/>
      <w:numFmt w:val="lowerLetter"/>
      <w:lvlText w:val="%8."/>
      <w:lvlJc w:val="left"/>
      <w:pPr>
        <w:ind w:left="5760" w:hanging="360"/>
      </w:pPr>
    </w:lvl>
    <w:lvl w:ilvl="8" w:tplc="52645FA4" w:tentative="1">
      <w:start w:val="1"/>
      <w:numFmt w:val="lowerRoman"/>
      <w:lvlText w:val="%9."/>
      <w:lvlJc w:val="right"/>
      <w:pPr>
        <w:ind w:left="6480" w:hanging="180"/>
      </w:pPr>
    </w:lvl>
  </w:abstractNum>
  <w:abstractNum w:abstractNumId="17"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15:restartNumberingAfterBreak="0">
    <w:nsid w:val="6EE93AB4"/>
    <w:multiLevelType w:val="hybridMultilevel"/>
    <w:tmpl w:val="4572B962"/>
    <w:lvl w:ilvl="0" w:tplc="C51AFC84">
      <w:start w:val="1"/>
      <w:numFmt w:val="decimal"/>
      <w:lvlText w:val="%1."/>
      <w:lvlJc w:val="left"/>
      <w:pPr>
        <w:ind w:left="720" w:hanging="360"/>
      </w:pPr>
      <w:rPr>
        <w:rFonts w:asciiTheme="majorBidi" w:hAnsiTheme="majorBidi" w:cstheme="majorBidi" w:hint="default"/>
        <w:b w:val="0"/>
        <w:bCs w:val="0"/>
        <w:sz w:val="20"/>
        <w:szCs w:val="24"/>
      </w:rPr>
    </w:lvl>
    <w:lvl w:ilvl="1" w:tplc="E0CEF176">
      <w:start w:val="11"/>
      <w:numFmt w:val="lowerLetter"/>
      <w:lvlText w:val="%2."/>
      <w:lvlJc w:val="left"/>
      <w:pPr>
        <w:ind w:left="1440" w:hanging="360"/>
      </w:pPr>
      <w:rPr>
        <w:rFonts w:hint="default"/>
      </w:rPr>
    </w:lvl>
    <w:lvl w:ilvl="2" w:tplc="D0AE1A00" w:tentative="1">
      <w:start w:val="1"/>
      <w:numFmt w:val="lowerRoman"/>
      <w:lvlText w:val="%3."/>
      <w:lvlJc w:val="right"/>
      <w:pPr>
        <w:ind w:left="2160" w:hanging="180"/>
      </w:pPr>
    </w:lvl>
    <w:lvl w:ilvl="3" w:tplc="C810C2B0" w:tentative="1">
      <w:start w:val="1"/>
      <w:numFmt w:val="decimal"/>
      <w:lvlText w:val="%4."/>
      <w:lvlJc w:val="left"/>
      <w:pPr>
        <w:ind w:left="2880" w:hanging="360"/>
      </w:pPr>
    </w:lvl>
    <w:lvl w:ilvl="4" w:tplc="76C4D904" w:tentative="1">
      <w:start w:val="1"/>
      <w:numFmt w:val="lowerLetter"/>
      <w:lvlText w:val="%5."/>
      <w:lvlJc w:val="left"/>
      <w:pPr>
        <w:ind w:left="3600" w:hanging="360"/>
      </w:pPr>
    </w:lvl>
    <w:lvl w:ilvl="5" w:tplc="1E54E3BE" w:tentative="1">
      <w:start w:val="1"/>
      <w:numFmt w:val="lowerRoman"/>
      <w:lvlText w:val="%6."/>
      <w:lvlJc w:val="right"/>
      <w:pPr>
        <w:ind w:left="4320" w:hanging="180"/>
      </w:pPr>
    </w:lvl>
    <w:lvl w:ilvl="6" w:tplc="9C98ED88" w:tentative="1">
      <w:start w:val="1"/>
      <w:numFmt w:val="decimal"/>
      <w:lvlText w:val="%7."/>
      <w:lvlJc w:val="left"/>
      <w:pPr>
        <w:ind w:left="5040" w:hanging="360"/>
      </w:pPr>
    </w:lvl>
    <w:lvl w:ilvl="7" w:tplc="33C44248" w:tentative="1">
      <w:start w:val="1"/>
      <w:numFmt w:val="lowerLetter"/>
      <w:lvlText w:val="%8."/>
      <w:lvlJc w:val="left"/>
      <w:pPr>
        <w:ind w:left="5760" w:hanging="360"/>
      </w:pPr>
    </w:lvl>
    <w:lvl w:ilvl="8" w:tplc="1BC4A15A" w:tentative="1">
      <w:start w:val="1"/>
      <w:numFmt w:val="lowerRoman"/>
      <w:lvlText w:val="%9."/>
      <w:lvlJc w:val="right"/>
      <w:pPr>
        <w:ind w:left="6480" w:hanging="180"/>
      </w:pPr>
    </w:lvl>
  </w:abstractNum>
  <w:abstractNum w:abstractNumId="19" w15:restartNumberingAfterBreak="0">
    <w:nsid w:val="774F6A82"/>
    <w:multiLevelType w:val="multilevel"/>
    <w:tmpl w:val="E0F81BC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0"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6"/>
  </w:num>
  <w:num w:numId="2">
    <w:abstractNumId w:val="11"/>
  </w:num>
  <w:num w:numId="3">
    <w:abstractNumId w:val="17"/>
  </w:num>
  <w:num w:numId="4">
    <w:abstractNumId w:val="13"/>
  </w:num>
  <w:num w:numId="5">
    <w:abstractNumId w:val="8"/>
  </w:num>
  <w:num w:numId="6">
    <w:abstractNumId w:val="10"/>
  </w:num>
  <w:num w:numId="7">
    <w:abstractNumId w:val="20"/>
  </w:num>
  <w:num w:numId="8">
    <w:abstractNumId w:val="0"/>
  </w:num>
  <w:num w:numId="9">
    <w:abstractNumId w:val="12"/>
  </w:num>
  <w:num w:numId="10">
    <w:abstractNumId w:val="3"/>
  </w:num>
  <w:num w:numId="11">
    <w:abstractNumId w:val="14"/>
  </w:num>
  <w:num w:numId="12">
    <w:abstractNumId w:val="2"/>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 w:numId="17">
    <w:abstractNumId w:val="1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8EF"/>
    <w:rsid w:val="00001C6B"/>
    <w:rsid w:val="00001D5A"/>
    <w:rsid w:val="00002EF7"/>
    <w:rsid w:val="00003B00"/>
    <w:rsid w:val="00003B77"/>
    <w:rsid w:val="00003D51"/>
    <w:rsid w:val="00003F96"/>
    <w:rsid w:val="0000520D"/>
    <w:rsid w:val="000054B7"/>
    <w:rsid w:val="00005B23"/>
    <w:rsid w:val="00005EE0"/>
    <w:rsid w:val="00006B59"/>
    <w:rsid w:val="000100D8"/>
    <w:rsid w:val="0001014C"/>
    <w:rsid w:val="000107D8"/>
    <w:rsid w:val="000109AD"/>
    <w:rsid w:val="00011BFC"/>
    <w:rsid w:val="00011DF7"/>
    <w:rsid w:val="00012657"/>
    <w:rsid w:val="00013BC3"/>
    <w:rsid w:val="0001431C"/>
    <w:rsid w:val="000155F0"/>
    <w:rsid w:val="000157CF"/>
    <w:rsid w:val="00015A22"/>
    <w:rsid w:val="000168DE"/>
    <w:rsid w:val="0001735B"/>
    <w:rsid w:val="000206F1"/>
    <w:rsid w:val="00021298"/>
    <w:rsid w:val="00021FFB"/>
    <w:rsid w:val="00023E81"/>
    <w:rsid w:val="000246D2"/>
    <w:rsid w:val="00024E0C"/>
    <w:rsid w:val="000251E2"/>
    <w:rsid w:val="0002582E"/>
    <w:rsid w:val="000259C7"/>
    <w:rsid w:val="00026245"/>
    <w:rsid w:val="000262D3"/>
    <w:rsid w:val="00026367"/>
    <w:rsid w:val="000264D7"/>
    <w:rsid w:val="00026ACC"/>
    <w:rsid w:val="0002705C"/>
    <w:rsid w:val="0003001D"/>
    <w:rsid w:val="000303C9"/>
    <w:rsid w:val="00031C68"/>
    <w:rsid w:val="00031C69"/>
    <w:rsid w:val="00031CEB"/>
    <w:rsid w:val="00032932"/>
    <w:rsid w:val="00033061"/>
    <w:rsid w:val="0003410F"/>
    <w:rsid w:val="0003494D"/>
    <w:rsid w:val="00035688"/>
    <w:rsid w:val="00035B80"/>
    <w:rsid w:val="00035C03"/>
    <w:rsid w:val="000362CA"/>
    <w:rsid w:val="00036B0F"/>
    <w:rsid w:val="00036EB8"/>
    <w:rsid w:val="00040918"/>
    <w:rsid w:val="00040C4D"/>
    <w:rsid w:val="000413AB"/>
    <w:rsid w:val="000419ED"/>
    <w:rsid w:val="00042688"/>
    <w:rsid w:val="00042837"/>
    <w:rsid w:val="0004293F"/>
    <w:rsid w:val="00042BB1"/>
    <w:rsid w:val="00043204"/>
    <w:rsid w:val="000436EC"/>
    <w:rsid w:val="00043931"/>
    <w:rsid w:val="000448BE"/>
    <w:rsid w:val="00045038"/>
    <w:rsid w:val="000456D3"/>
    <w:rsid w:val="00046670"/>
    <w:rsid w:val="000470AE"/>
    <w:rsid w:val="00047976"/>
    <w:rsid w:val="00047A92"/>
    <w:rsid w:val="00047CF6"/>
    <w:rsid w:val="00047E7B"/>
    <w:rsid w:val="000501A4"/>
    <w:rsid w:val="00050995"/>
    <w:rsid w:val="00050BDE"/>
    <w:rsid w:val="00050DDE"/>
    <w:rsid w:val="00052281"/>
    <w:rsid w:val="00052AE4"/>
    <w:rsid w:val="000532AA"/>
    <w:rsid w:val="00053AA7"/>
    <w:rsid w:val="00053D09"/>
    <w:rsid w:val="00054B57"/>
    <w:rsid w:val="0005582D"/>
    <w:rsid w:val="0005596D"/>
    <w:rsid w:val="00055CB5"/>
    <w:rsid w:val="00055E07"/>
    <w:rsid w:val="00055E4C"/>
    <w:rsid w:val="00055EC9"/>
    <w:rsid w:val="00056B3E"/>
    <w:rsid w:val="000571B9"/>
    <w:rsid w:val="0005725C"/>
    <w:rsid w:val="00057574"/>
    <w:rsid w:val="00060045"/>
    <w:rsid w:val="00060178"/>
    <w:rsid w:val="00061760"/>
    <w:rsid w:val="0006189A"/>
    <w:rsid w:val="000618D0"/>
    <w:rsid w:val="00061D7A"/>
    <w:rsid w:val="00063297"/>
    <w:rsid w:val="00063A11"/>
    <w:rsid w:val="00064016"/>
    <w:rsid w:val="0006411D"/>
    <w:rsid w:val="0006445C"/>
    <w:rsid w:val="0006456C"/>
    <w:rsid w:val="00064637"/>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F31"/>
    <w:rsid w:val="00076758"/>
    <w:rsid w:val="00076ED7"/>
    <w:rsid w:val="0007717F"/>
    <w:rsid w:val="0007762A"/>
    <w:rsid w:val="00077B79"/>
    <w:rsid w:val="00080072"/>
    <w:rsid w:val="00081D0E"/>
    <w:rsid w:val="000824F8"/>
    <w:rsid w:val="000833E9"/>
    <w:rsid w:val="0008345D"/>
    <w:rsid w:val="00083692"/>
    <w:rsid w:val="00083FD0"/>
    <w:rsid w:val="00084E3A"/>
    <w:rsid w:val="00085086"/>
    <w:rsid w:val="00085A22"/>
    <w:rsid w:val="00085B99"/>
    <w:rsid w:val="00086221"/>
    <w:rsid w:val="00086738"/>
    <w:rsid w:val="00086BCD"/>
    <w:rsid w:val="00090633"/>
    <w:rsid w:val="000907D0"/>
    <w:rsid w:val="00091811"/>
    <w:rsid w:val="00091A72"/>
    <w:rsid w:val="00093E30"/>
    <w:rsid w:val="0009432F"/>
    <w:rsid w:val="00094D5D"/>
    <w:rsid w:val="00094F15"/>
    <w:rsid w:val="0009524E"/>
    <w:rsid w:val="0009559D"/>
    <w:rsid w:val="00096CF4"/>
    <w:rsid w:val="00097CDE"/>
    <w:rsid w:val="000A00AE"/>
    <w:rsid w:val="000A01F2"/>
    <w:rsid w:val="000A0884"/>
    <w:rsid w:val="000A0915"/>
    <w:rsid w:val="000A134E"/>
    <w:rsid w:val="000A15B1"/>
    <w:rsid w:val="000A1610"/>
    <w:rsid w:val="000A26F1"/>
    <w:rsid w:val="000A2BD8"/>
    <w:rsid w:val="000A3690"/>
    <w:rsid w:val="000A4686"/>
    <w:rsid w:val="000A5140"/>
    <w:rsid w:val="000A567C"/>
    <w:rsid w:val="000A5B75"/>
    <w:rsid w:val="000A65A9"/>
    <w:rsid w:val="000A69A7"/>
    <w:rsid w:val="000B1102"/>
    <w:rsid w:val="000B153C"/>
    <w:rsid w:val="000B1C94"/>
    <w:rsid w:val="000B2074"/>
    <w:rsid w:val="000B2C5B"/>
    <w:rsid w:val="000B2DBE"/>
    <w:rsid w:val="000B3056"/>
    <w:rsid w:val="000B3A23"/>
    <w:rsid w:val="000B4419"/>
    <w:rsid w:val="000B4B55"/>
    <w:rsid w:val="000B55BB"/>
    <w:rsid w:val="000B597C"/>
    <w:rsid w:val="000B6604"/>
    <w:rsid w:val="000B77FC"/>
    <w:rsid w:val="000B7912"/>
    <w:rsid w:val="000B7B95"/>
    <w:rsid w:val="000C05CB"/>
    <w:rsid w:val="000C089C"/>
    <w:rsid w:val="000C0B98"/>
    <w:rsid w:val="000C0F17"/>
    <w:rsid w:val="000C164B"/>
    <w:rsid w:val="000C16F6"/>
    <w:rsid w:val="000C1D0D"/>
    <w:rsid w:val="000C27DC"/>
    <w:rsid w:val="000C2AB9"/>
    <w:rsid w:val="000C404B"/>
    <w:rsid w:val="000C43E0"/>
    <w:rsid w:val="000C492E"/>
    <w:rsid w:val="000C4BD9"/>
    <w:rsid w:val="000C50A1"/>
    <w:rsid w:val="000C5E23"/>
    <w:rsid w:val="000C5F85"/>
    <w:rsid w:val="000C6AAF"/>
    <w:rsid w:val="000C7459"/>
    <w:rsid w:val="000D04B8"/>
    <w:rsid w:val="000D11EB"/>
    <w:rsid w:val="000D1714"/>
    <w:rsid w:val="000D2056"/>
    <w:rsid w:val="000D22F0"/>
    <w:rsid w:val="000D2A57"/>
    <w:rsid w:val="000D2F93"/>
    <w:rsid w:val="000D2FE7"/>
    <w:rsid w:val="000D3ADE"/>
    <w:rsid w:val="000D4B88"/>
    <w:rsid w:val="000D53BB"/>
    <w:rsid w:val="000D5B81"/>
    <w:rsid w:val="000D5C0B"/>
    <w:rsid w:val="000D7666"/>
    <w:rsid w:val="000D7EB1"/>
    <w:rsid w:val="000D7F09"/>
    <w:rsid w:val="000E013E"/>
    <w:rsid w:val="000E1A97"/>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AF"/>
    <w:rsid w:val="000E6F44"/>
    <w:rsid w:val="000E73AF"/>
    <w:rsid w:val="000E7622"/>
    <w:rsid w:val="000F0FAA"/>
    <w:rsid w:val="000F158C"/>
    <w:rsid w:val="000F1DEA"/>
    <w:rsid w:val="000F2408"/>
    <w:rsid w:val="000F2E36"/>
    <w:rsid w:val="000F3700"/>
    <w:rsid w:val="000F4578"/>
    <w:rsid w:val="000F4797"/>
    <w:rsid w:val="000F4B6E"/>
    <w:rsid w:val="000F4C79"/>
    <w:rsid w:val="000F5EDB"/>
    <w:rsid w:val="000F60AB"/>
    <w:rsid w:val="000F62A9"/>
    <w:rsid w:val="000F6F38"/>
    <w:rsid w:val="000F76A8"/>
    <w:rsid w:val="000F7725"/>
    <w:rsid w:val="000F78AE"/>
    <w:rsid w:val="00101157"/>
    <w:rsid w:val="00101681"/>
    <w:rsid w:val="00101BB0"/>
    <w:rsid w:val="00101D0F"/>
    <w:rsid w:val="0010231B"/>
    <w:rsid w:val="0010413A"/>
    <w:rsid w:val="00105970"/>
    <w:rsid w:val="00105C14"/>
    <w:rsid w:val="00106A59"/>
    <w:rsid w:val="00107175"/>
    <w:rsid w:val="0010747A"/>
    <w:rsid w:val="001075AF"/>
    <w:rsid w:val="00107A35"/>
    <w:rsid w:val="00107D4A"/>
    <w:rsid w:val="0011146E"/>
    <w:rsid w:val="00111AD4"/>
    <w:rsid w:val="00111F8A"/>
    <w:rsid w:val="00112134"/>
    <w:rsid w:val="00112E28"/>
    <w:rsid w:val="00113C2F"/>
    <w:rsid w:val="00113E28"/>
    <w:rsid w:val="00114290"/>
    <w:rsid w:val="00114325"/>
    <w:rsid w:val="00114C7A"/>
    <w:rsid w:val="00114E4E"/>
    <w:rsid w:val="00115432"/>
    <w:rsid w:val="001157CE"/>
    <w:rsid w:val="00115E66"/>
    <w:rsid w:val="001172DF"/>
    <w:rsid w:val="00117408"/>
    <w:rsid w:val="00117C0E"/>
    <w:rsid w:val="0012150C"/>
    <w:rsid w:val="00121EA1"/>
    <w:rsid w:val="0012279D"/>
    <w:rsid w:val="001239A8"/>
    <w:rsid w:val="001239E1"/>
    <w:rsid w:val="001243A4"/>
    <w:rsid w:val="001247BA"/>
    <w:rsid w:val="00124DC1"/>
    <w:rsid w:val="00125628"/>
    <w:rsid w:val="00125881"/>
    <w:rsid w:val="001305E5"/>
    <w:rsid w:val="00131349"/>
    <w:rsid w:val="00131CCD"/>
    <w:rsid w:val="001321A1"/>
    <w:rsid w:val="0013302E"/>
    <w:rsid w:val="0013406B"/>
    <w:rsid w:val="00134F83"/>
    <w:rsid w:val="001354CB"/>
    <w:rsid w:val="00135695"/>
    <w:rsid w:val="00135742"/>
    <w:rsid w:val="00135A23"/>
    <w:rsid w:val="00136479"/>
    <w:rsid w:val="00136496"/>
    <w:rsid w:val="0013664A"/>
    <w:rsid w:val="0013667B"/>
    <w:rsid w:val="00136A10"/>
    <w:rsid w:val="0013702C"/>
    <w:rsid w:val="00137337"/>
    <w:rsid w:val="001378D5"/>
    <w:rsid w:val="00137FF0"/>
    <w:rsid w:val="00140CC4"/>
    <w:rsid w:val="00141BD6"/>
    <w:rsid w:val="00141E09"/>
    <w:rsid w:val="00142206"/>
    <w:rsid w:val="00143176"/>
    <w:rsid w:val="001431D6"/>
    <w:rsid w:val="00143B4D"/>
    <w:rsid w:val="00143FFA"/>
    <w:rsid w:val="0014435E"/>
    <w:rsid w:val="00144908"/>
    <w:rsid w:val="00144BB3"/>
    <w:rsid w:val="00144C4B"/>
    <w:rsid w:val="001451A4"/>
    <w:rsid w:val="001460BB"/>
    <w:rsid w:val="001466D7"/>
    <w:rsid w:val="0014715B"/>
    <w:rsid w:val="00150611"/>
    <w:rsid w:val="00150A48"/>
    <w:rsid w:val="00150BE4"/>
    <w:rsid w:val="00150BE7"/>
    <w:rsid w:val="00150BEB"/>
    <w:rsid w:val="00150CC9"/>
    <w:rsid w:val="00150F89"/>
    <w:rsid w:val="00151B16"/>
    <w:rsid w:val="00152452"/>
    <w:rsid w:val="001526AC"/>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B64"/>
    <w:rsid w:val="00164C99"/>
    <w:rsid w:val="00165294"/>
    <w:rsid w:val="00166477"/>
    <w:rsid w:val="00166D27"/>
    <w:rsid w:val="00167D07"/>
    <w:rsid w:val="00170230"/>
    <w:rsid w:val="00170320"/>
    <w:rsid w:val="00170625"/>
    <w:rsid w:val="0017091D"/>
    <w:rsid w:val="0017146B"/>
    <w:rsid w:val="00171B4A"/>
    <w:rsid w:val="0017200D"/>
    <w:rsid w:val="0017265F"/>
    <w:rsid w:val="001730B0"/>
    <w:rsid w:val="00173FDD"/>
    <w:rsid w:val="001747CF"/>
    <w:rsid w:val="00174A21"/>
    <w:rsid w:val="00175053"/>
    <w:rsid w:val="0017513A"/>
    <w:rsid w:val="00175663"/>
    <w:rsid w:val="00175FE2"/>
    <w:rsid w:val="00176411"/>
    <w:rsid w:val="00176B96"/>
    <w:rsid w:val="00177D09"/>
    <w:rsid w:val="00177D2F"/>
    <w:rsid w:val="00180392"/>
    <w:rsid w:val="00181A6A"/>
    <w:rsid w:val="001821A3"/>
    <w:rsid w:val="00182DC0"/>
    <w:rsid w:val="00183085"/>
    <w:rsid w:val="001839FA"/>
    <w:rsid w:val="00183AB9"/>
    <w:rsid w:val="00183DDC"/>
    <w:rsid w:val="001850C6"/>
    <w:rsid w:val="0018586A"/>
    <w:rsid w:val="001858E5"/>
    <w:rsid w:val="00185B85"/>
    <w:rsid w:val="0018758B"/>
    <w:rsid w:val="001875D3"/>
    <w:rsid w:val="001900F7"/>
    <w:rsid w:val="0019015A"/>
    <w:rsid w:val="00190396"/>
    <w:rsid w:val="00190F93"/>
    <w:rsid w:val="0019167B"/>
    <w:rsid w:val="00191FF6"/>
    <w:rsid w:val="00192E51"/>
    <w:rsid w:val="00192F16"/>
    <w:rsid w:val="00193071"/>
    <w:rsid w:val="00193101"/>
    <w:rsid w:val="0019399F"/>
    <w:rsid w:val="00194286"/>
    <w:rsid w:val="00195BC7"/>
    <w:rsid w:val="00195EBA"/>
    <w:rsid w:val="001960B4"/>
    <w:rsid w:val="0019758B"/>
    <w:rsid w:val="00197B6F"/>
    <w:rsid w:val="00197B8A"/>
    <w:rsid w:val="001A0CA6"/>
    <w:rsid w:val="001A166A"/>
    <w:rsid w:val="001A2081"/>
    <w:rsid w:val="001A2A50"/>
    <w:rsid w:val="001A2F88"/>
    <w:rsid w:val="001A325B"/>
    <w:rsid w:val="001A38A7"/>
    <w:rsid w:val="001A3974"/>
    <w:rsid w:val="001A40B6"/>
    <w:rsid w:val="001A5D04"/>
    <w:rsid w:val="001A613C"/>
    <w:rsid w:val="001A6276"/>
    <w:rsid w:val="001A72F6"/>
    <w:rsid w:val="001A7D06"/>
    <w:rsid w:val="001B1655"/>
    <w:rsid w:val="001B17FB"/>
    <w:rsid w:val="001B2821"/>
    <w:rsid w:val="001B285C"/>
    <w:rsid w:val="001B2ACB"/>
    <w:rsid w:val="001B2D16"/>
    <w:rsid w:val="001B2DBB"/>
    <w:rsid w:val="001B3BE6"/>
    <w:rsid w:val="001B3EFA"/>
    <w:rsid w:val="001B41A2"/>
    <w:rsid w:val="001B4B0A"/>
    <w:rsid w:val="001B4E87"/>
    <w:rsid w:val="001B4EA7"/>
    <w:rsid w:val="001B5656"/>
    <w:rsid w:val="001B5DFF"/>
    <w:rsid w:val="001B65B8"/>
    <w:rsid w:val="001B6CEA"/>
    <w:rsid w:val="001B70CA"/>
    <w:rsid w:val="001B75F0"/>
    <w:rsid w:val="001C00D8"/>
    <w:rsid w:val="001C057E"/>
    <w:rsid w:val="001C2CAD"/>
    <w:rsid w:val="001C308D"/>
    <w:rsid w:val="001C3187"/>
    <w:rsid w:val="001C3232"/>
    <w:rsid w:val="001C34D5"/>
    <w:rsid w:val="001C3ED9"/>
    <w:rsid w:val="001C450A"/>
    <w:rsid w:val="001C4539"/>
    <w:rsid w:val="001C45D9"/>
    <w:rsid w:val="001C49B8"/>
    <w:rsid w:val="001C5A02"/>
    <w:rsid w:val="001C5BF5"/>
    <w:rsid w:val="001C5C9D"/>
    <w:rsid w:val="001C72B2"/>
    <w:rsid w:val="001D1192"/>
    <w:rsid w:val="001D149A"/>
    <w:rsid w:val="001D223A"/>
    <w:rsid w:val="001D2243"/>
    <w:rsid w:val="001D2793"/>
    <w:rsid w:val="001D2F2A"/>
    <w:rsid w:val="001D3679"/>
    <w:rsid w:val="001D3CC2"/>
    <w:rsid w:val="001D461F"/>
    <w:rsid w:val="001D46D3"/>
    <w:rsid w:val="001D49E8"/>
    <w:rsid w:val="001D6714"/>
    <w:rsid w:val="001D713E"/>
    <w:rsid w:val="001D77E6"/>
    <w:rsid w:val="001D7E74"/>
    <w:rsid w:val="001E0D0D"/>
    <w:rsid w:val="001E1C40"/>
    <w:rsid w:val="001E1EC3"/>
    <w:rsid w:val="001E1FB9"/>
    <w:rsid w:val="001E1FD1"/>
    <w:rsid w:val="001E23E2"/>
    <w:rsid w:val="001E3778"/>
    <w:rsid w:val="001E3F7F"/>
    <w:rsid w:val="001E475C"/>
    <w:rsid w:val="001E59BD"/>
    <w:rsid w:val="001E5C3E"/>
    <w:rsid w:val="001E641F"/>
    <w:rsid w:val="001E773D"/>
    <w:rsid w:val="001F068F"/>
    <w:rsid w:val="001F0BBB"/>
    <w:rsid w:val="001F0DE8"/>
    <w:rsid w:val="001F4057"/>
    <w:rsid w:val="001F407D"/>
    <w:rsid w:val="001F4183"/>
    <w:rsid w:val="001F5566"/>
    <w:rsid w:val="001F6AE0"/>
    <w:rsid w:val="001F6B1F"/>
    <w:rsid w:val="001F6BA7"/>
    <w:rsid w:val="00200434"/>
    <w:rsid w:val="00200E5B"/>
    <w:rsid w:val="00200FE9"/>
    <w:rsid w:val="002014C8"/>
    <w:rsid w:val="00202068"/>
    <w:rsid w:val="00202878"/>
    <w:rsid w:val="00202F8B"/>
    <w:rsid w:val="00203277"/>
    <w:rsid w:val="00203604"/>
    <w:rsid w:val="00205724"/>
    <w:rsid w:val="002064F7"/>
    <w:rsid w:val="00206509"/>
    <w:rsid w:val="00206BDB"/>
    <w:rsid w:val="0021058F"/>
    <w:rsid w:val="0021135F"/>
    <w:rsid w:val="0021150C"/>
    <w:rsid w:val="002120DB"/>
    <w:rsid w:val="002127FD"/>
    <w:rsid w:val="00212B04"/>
    <w:rsid w:val="00212EEA"/>
    <w:rsid w:val="002130B4"/>
    <w:rsid w:val="00214BC0"/>
    <w:rsid w:val="00214CAA"/>
    <w:rsid w:val="002154D1"/>
    <w:rsid w:val="00215BEE"/>
    <w:rsid w:val="0021654E"/>
    <w:rsid w:val="0022072A"/>
    <w:rsid w:val="00220B3D"/>
    <w:rsid w:val="0022100A"/>
    <w:rsid w:val="00221160"/>
    <w:rsid w:val="0022133C"/>
    <w:rsid w:val="002213EE"/>
    <w:rsid w:val="00221922"/>
    <w:rsid w:val="00221B94"/>
    <w:rsid w:val="00222AAD"/>
    <w:rsid w:val="00224723"/>
    <w:rsid w:val="002248C1"/>
    <w:rsid w:val="00224C04"/>
    <w:rsid w:val="002251A4"/>
    <w:rsid w:val="00225489"/>
    <w:rsid w:val="00225718"/>
    <w:rsid w:val="00225CAE"/>
    <w:rsid w:val="0022705A"/>
    <w:rsid w:val="00227E88"/>
    <w:rsid w:val="0023004B"/>
    <w:rsid w:val="002301B6"/>
    <w:rsid w:val="00230B94"/>
    <w:rsid w:val="00231C3C"/>
    <w:rsid w:val="00231DC5"/>
    <w:rsid w:val="00232836"/>
    <w:rsid w:val="002338F8"/>
    <w:rsid w:val="00234167"/>
    <w:rsid w:val="00234AB5"/>
    <w:rsid w:val="00234F9B"/>
    <w:rsid w:val="0023589B"/>
    <w:rsid w:val="00235AEE"/>
    <w:rsid w:val="00235D75"/>
    <w:rsid w:val="002366CE"/>
    <w:rsid w:val="002375D3"/>
    <w:rsid w:val="0024001A"/>
    <w:rsid w:val="00240887"/>
    <w:rsid w:val="002419F2"/>
    <w:rsid w:val="00243E20"/>
    <w:rsid w:val="00244096"/>
    <w:rsid w:val="0024417D"/>
    <w:rsid w:val="00244C55"/>
    <w:rsid w:val="00245470"/>
    <w:rsid w:val="00246CD7"/>
    <w:rsid w:val="00247C83"/>
    <w:rsid w:val="00250370"/>
    <w:rsid w:val="0025068A"/>
    <w:rsid w:val="00250751"/>
    <w:rsid w:val="002516DF"/>
    <w:rsid w:val="00251B50"/>
    <w:rsid w:val="00254CF4"/>
    <w:rsid w:val="00255877"/>
    <w:rsid w:val="0025701A"/>
    <w:rsid w:val="002575ED"/>
    <w:rsid w:val="002576EB"/>
    <w:rsid w:val="002578A9"/>
    <w:rsid w:val="00260BF5"/>
    <w:rsid w:val="00260D04"/>
    <w:rsid w:val="0026130F"/>
    <w:rsid w:val="00261C84"/>
    <w:rsid w:val="00262A9E"/>
    <w:rsid w:val="00263521"/>
    <w:rsid w:val="00263A1E"/>
    <w:rsid w:val="00263DB7"/>
    <w:rsid w:val="00265428"/>
    <w:rsid w:val="002654D1"/>
    <w:rsid w:val="00266618"/>
    <w:rsid w:val="0027101D"/>
    <w:rsid w:val="0027121E"/>
    <w:rsid w:val="0027188F"/>
    <w:rsid w:val="002739B2"/>
    <w:rsid w:val="00273A52"/>
    <w:rsid w:val="0027424D"/>
    <w:rsid w:val="00275375"/>
    <w:rsid w:val="00275A79"/>
    <w:rsid w:val="00276563"/>
    <w:rsid w:val="00276D55"/>
    <w:rsid w:val="00277114"/>
    <w:rsid w:val="002813A0"/>
    <w:rsid w:val="00281F46"/>
    <w:rsid w:val="00282C5A"/>
    <w:rsid w:val="00283FFC"/>
    <w:rsid w:val="002841CB"/>
    <w:rsid w:val="00284ABA"/>
    <w:rsid w:val="00284B06"/>
    <w:rsid w:val="00285362"/>
    <w:rsid w:val="00285EC0"/>
    <w:rsid w:val="0028686C"/>
    <w:rsid w:val="0028694C"/>
    <w:rsid w:val="002869E1"/>
    <w:rsid w:val="00286A23"/>
    <w:rsid w:val="00286C34"/>
    <w:rsid w:val="00290C01"/>
    <w:rsid w:val="00291775"/>
    <w:rsid w:val="002920D3"/>
    <w:rsid w:val="002925CD"/>
    <w:rsid w:val="00292A58"/>
    <w:rsid w:val="00293FC3"/>
    <w:rsid w:val="00294784"/>
    <w:rsid w:val="00294AF0"/>
    <w:rsid w:val="00296A9F"/>
    <w:rsid w:val="002970CC"/>
    <w:rsid w:val="00297B77"/>
    <w:rsid w:val="00297FD7"/>
    <w:rsid w:val="002A04CC"/>
    <w:rsid w:val="002A1117"/>
    <w:rsid w:val="002A18D6"/>
    <w:rsid w:val="002A2132"/>
    <w:rsid w:val="002A2C5A"/>
    <w:rsid w:val="002A3A3E"/>
    <w:rsid w:val="002A4153"/>
    <w:rsid w:val="002A4707"/>
    <w:rsid w:val="002A4B57"/>
    <w:rsid w:val="002A53E2"/>
    <w:rsid w:val="002A57EB"/>
    <w:rsid w:val="002A598C"/>
    <w:rsid w:val="002A6418"/>
    <w:rsid w:val="002A64F8"/>
    <w:rsid w:val="002A68DE"/>
    <w:rsid w:val="002A6A8F"/>
    <w:rsid w:val="002A6B3B"/>
    <w:rsid w:val="002A7D21"/>
    <w:rsid w:val="002B0C29"/>
    <w:rsid w:val="002B10E8"/>
    <w:rsid w:val="002B12C0"/>
    <w:rsid w:val="002B1B89"/>
    <w:rsid w:val="002B30DB"/>
    <w:rsid w:val="002B3A8C"/>
    <w:rsid w:val="002B55FA"/>
    <w:rsid w:val="002B5C10"/>
    <w:rsid w:val="002B5D65"/>
    <w:rsid w:val="002B637F"/>
    <w:rsid w:val="002B65DC"/>
    <w:rsid w:val="002B6FB4"/>
    <w:rsid w:val="002C06EB"/>
    <w:rsid w:val="002C1D86"/>
    <w:rsid w:val="002C1EE0"/>
    <w:rsid w:val="002C28D3"/>
    <w:rsid w:val="002C2B0E"/>
    <w:rsid w:val="002C316A"/>
    <w:rsid w:val="002C3B87"/>
    <w:rsid w:val="002C4139"/>
    <w:rsid w:val="002C4302"/>
    <w:rsid w:val="002C4F9F"/>
    <w:rsid w:val="002C54FF"/>
    <w:rsid w:val="002C58AD"/>
    <w:rsid w:val="002C6153"/>
    <w:rsid w:val="002C65B3"/>
    <w:rsid w:val="002C6D22"/>
    <w:rsid w:val="002C70A2"/>
    <w:rsid w:val="002C7D35"/>
    <w:rsid w:val="002D1688"/>
    <w:rsid w:val="002D1D7A"/>
    <w:rsid w:val="002D2963"/>
    <w:rsid w:val="002D3201"/>
    <w:rsid w:val="002D3AC8"/>
    <w:rsid w:val="002D4617"/>
    <w:rsid w:val="002D4E81"/>
    <w:rsid w:val="002D555F"/>
    <w:rsid w:val="002D572F"/>
    <w:rsid w:val="002D5930"/>
    <w:rsid w:val="002D65CF"/>
    <w:rsid w:val="002D6964"/>
    <w:rsid w:val="002D69A4"/>
    <w:rsid w:val="002D6DBD"/>
    <w:rsid w:val="002D79C7"/>
    <w:rsid w:val="002E0151"/>
    <w:rsid w:val="002E01CC"/>
    <w:rsid w:val="002E0A57"/>
    <w:rsid w:val="002E188D"/>
    <w:rsid w:val="002E1E1F"/>
    <w:rsid w:val="002E24BB"/>
    <w:rsid w:val="002E2DB0"/>
    <w:rsid w:val="002E3AA6"/>
    <w:rsid w:val="002E424B"/>
    <w:rsid w:val="002E4818"/>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108E3"/>
    <w:rsid w:val="00311190"/>
    <w:rsid w:val="0031135A"/>
    <w:rsid w:val="00313D58"/>
    <w:rsid w:val="00313EEC"/>
    <w:rsid w:val="00315624"/>
    <w:rsid w:val="00315BD6"/>
    <w:rsid w:val="00315D7F"/>
    <w:rsid w:val="00315FF2"/>
    <w:rsid w:val="00316385"/>
    <w:rsid w:val="00316C57"/>
    <w:rsid w:val="00316F0F"/>
    <w:rsid w:val="003177E2"/>
    <w:rsid w:val="0032289E"/>
    <w:rsid w:val="00322998"/>
    <w:rsid w:val="00322A81"/>
    <w:rsid w:val="00323027"/>
    <w:rsid w:val="0032331E"/>
    <w:rsid w:val="00324236"/>
    <w:rsid w:val="00324BC1"/>
    <w:rsid w:val="00324C2A"/>
    <w:rsid w:val="00324F0D"/>
    <w:rsid w:val="003257C6"/>
    <w:rsid w:val="00325F44"/>
    <w:rsid w:val="00326ABF"/>
    <w:rsid w:val="00326C7C"/>
    <w:rsid w:val="00326EF0"/>
    <w:rsid w:val="00326F6A"/>
    <w:rsid w:val="003271AB"/>
    <w:rsid w:val="00327593"/>
    <w:rsid w:val="0032765C"/>
    <w:rsid w:val="00327D99"/>
    <w:rsid w:val="003318C2"/>
    <w:rsid w:val="00331924"/>
    <w:rsid w:val="00332663"/>
    <w:rsid w:val="00332F33"/>
    <w:rsid w:val="00333BC5"/>
    <w:rsid w:val="00334A65"/>
    <w:rsid w:val="00334D20"/>
    <w:rsid w:val="00335267"/>
    <w:rsid w:val="0033564C"/>
    <w:rsid w:val="003356A2"/>
    <w:rsid w:val="00335A0A"/>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3B0B"/>
    <w:rsid w:val="00343D49"/>
    <w:rsid w:val="00344346"/>
    <w:rsid w:val="00344842"/>
    <w:rsid w:val="00344BBF"/>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448A"/>
    <w:rsid w:val="00355453"/>
    <w:rsid w:val="003556E1"/>
    <w:rsid w:val="003559A1"/>
    <w:rsid w:val="00355B59"/>
    <w:rsid w:val="00356540"/>
    <w:rsid w:val="00356926"/>
    <w:rsid w:val="00356C79"/>
    <w:rsid w:val="00356CD5"/>
    <w:rsid w:val="00357420"/>
    <w:rsid w:val="00357544"/>
    <w:rsid w:val="00360285"/>
    <w:rsid w:val="003606C0"/>
    <w:rsid w:val="00361812"/>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34FE"/>
    <w:rsid w:val="0037370B"/>
    <w:rsid w:val="00373CE2"/>
    <w:rsid w:val="003757DE"/>
    <w:rsid w:val="00375AE4"/>
    <w:rsid w:val="00375C87"/>
    <w:rsid w:val="00375F4A"/>
    <w:rsid w:val="00376061"/>
    <w:rsid w:val="00376625"/>
    <w:rsid w:val="0037752E"/>
    <w:rsid w:val="0037753E"/>
    <w:rsid w:val="00377B33"/>
    <w:rsid w:val="00380052"/>
    <w:rsid w:val="003801D8"/>
    <w:rsid w:val="003806AE"/>
    <w:rsid w:val="00381983"/>
    <w:rsid w:val="00382741"/>
    <w:rsid w:val="00382981"/>
    <w:rsid w:val="003839AA"/>
    <w:rsid w:val="003843E4"/>
    <w:rsid w:val="00384EDD"/>
    <w:rsid w:val="00385426"/>
    <w:rsid w:val="0038575C"/>
    <w:rsid w:val="00385CBB"/>
    <w:rsid w:val="00387987"/>
    <w:rsid w:val="003907CF"/>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38C7"/>
    <w:rsid w:val="003A3AB2"/>
    <w:rsid w:val="003A3D05"/>
    <w:rsid w:val="003A4571"/>
    <w:rsid w:val="003A47A9"/>
    <w:rsid w:val="003A613A"/>
    <w:rsid w:val="003A66EF"/>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4F30"/>
    <w:rsid w:val="003C5044"/>
    <w:rsid w:val="003C5153"/>
    <w:rsid w:val="003C5BB1"/>
    <w:rsid w:val="003C5BC7"/>
    <w:rsid w:val="003C6C20"/>
    <w:rsid w:val="003C6E82"/>
    <w:rsid w:val="003C73F8"/>
    <w:rsid w:val="003C7AD3"/>
    <w:rsid w:val="003C7B2D"/>
    <w:rsid w:val="003D0F91"/>
    <w:rsid w:val="003D16F2"/>
    <w:rsid w:val="003D1D5C"/>
    <w:rsid w:val="003D2796"/>
    <w:rsid w:val="003D2AE6"/>
    <w:rsid w:val="003D314F"/>
    <w:rsid w:val="003D3533"/>
    <w:rsid w:val="003D415E"/>
    <w:rsid w:val="003D4194"/>
    <w:rsid w:val="003D43B8"/>
    <w:rsid w:val="003D5549"/>
    <w:rsid w:val="003D5B8A"/>
    <w:rsid w:val="003D5CAC"/>
    <w:rsid w:val="003D6310"/>
    <w:rsid w:val="003D6CAC"/>
    <w:rsid w:val="003D6FE1"/>
    <w:rsid w:val="003D7383"/>
    <w:rsid w:val="003D7489"/>
    <w:rsid w:val="003D7A6A"/>
    <w:rsid w:val="003E000E"/>
    <w:rsid w:val="003E009E"/>
    <w:rsid w:val="003E0ABC"/>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1B5"/>
    <w:rsid w:val="003F06E0"/>
    <w:rsid w:val="003F0C61"/>
    <w:rsid w:val="003F0D90"/>
    <w:rsid w:val="003F0E51"/>
    <w:rsid w:val="003F2708"/>
    <w:rsid w:val="003F2DBB"/>
    <w:rsid w:val="003F2F7C"/>
    <w:rsid w:val="003F316F"/>
    <w:rsid w:val="003F3A87"/>
    <w:rsid w:val="003F48CD"/>
    <w:rsid w:val="003F5037"/>
    <w:rsid w:val="003F59C0"/>
    <w:rsid w:val="003F5B6A"/>
    <w:rsid w:val="003F6A36"/>
    <w:rsid w:val="003F6CB2"/>
    <w:rsid w:val="003F6D65"/>
    <w:rsid w:val="003F782E"/>
    <w:rsid w:val="003F7B2B"/>
    <w:rsid w:val="004002DD"/>
    <w:rsid w:val="00400D5E"/>
    <w:rsid w:val="00401ED1"/>
    <w:rsid w:val="004029F9"/>
    <w:rsid w:val="00402DAE"/>
    <w:rsid w:val="00403EED"/>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FD"/>
    <w:rsid w:val="0041212D"/>
    <w:rsid w:val="0041284E"/>
    <w:rsid w:val="00412889"/>
    <w:rsid w:val="00413464"/>
    <w:rsid w:val="00413826"/>
    <w:rsid w:val="00414A8A"/>
    <w:rsid w:val="004156B7"/>
    <w:rsid w:val="00415892"/>
    <w:rsid w:val="00416D06"/>
    <w:rsid w:val="00417266"/>
    <w:rsid w:val="004175BE"/>
    <w:rsid w:val="00417D4C"/>
    <w:rsid w:val="00420371"/>
    <w:rsid w:val="004204DC"/>
    <w:rsid w:val="004206BA"/>
    <w:rsid w:val="0042090E"/>
    <w:rsid w:val="0042091E"/>
    <w:rsid w:val="00420DB1"/>
    <w:rsid w:val="0042151A"/>
    <w:rsid w:val="00421D2C"/>
    <w:rsid w:val="0042232C"/>
    <w:rsid w:val="004234FC"/>
    <w:rsid w:val="0042545B"/>
    <w:rsid w:val="00425C95"/>
    <w:rsid w:val="00425E72"/>
    <w:rsid w:val="00425E85"/>
    <w:rsid w:val="0042649D"/>
    <w:rsid w:val="00426862"/>
    <w:rsid w:val="00426CE7"/>
    <w:rsid w:val="00426D50"/>
    <w:rsid w:val="004276E0"/>
    <w:rsid w:val="00427A72"/>
    <w:rsid w:val="00427D9F"/>
    <w:rsid w:val="00430277"/>
    <w:rsid w:val="00431AA5"/>
    <w:rsid w:val="00431C39"/>
    <w:rsid w:val="00432A56"/>
    <w:rsid w:val="00433DC5"/>
    <w:rsid w:val="00434C19"/>
    <w:rsid w:val="0043603B"/>
    <w:rsid w:val="00436048"/>
    <w:rsid w:val="00436479"/>
    <w:rsid w:val="0043662F"/>
    <w:rsid w:val="00436B23"/>
    <w:rsid w:val="00436B37"/>
    <w:rsid w:val="0043791D"/>
    <w:rsid w:val="00437CB8"/>
    <w:rsid w:val="00437D9B"/>
    <w:rsid w:val="00440C19"/>
    <w:rsid w:val="004413C7"/>
    <w:rsid w:val="004414E6"/>
    <w:rsid w:val="004417D2"/>
    <w:rsid w:val="004424B2"/>
    <w:rsid w:val="004428A8"/>
    <w:rsid w:val="00442E2D"/>
    <w:rsid w:val="0044305F"/>
    <w:rsid w:val="00443D1B"/>
    <w:rsid w:val="0044419E"/>
    <w:rsid w:val="00444597"/>
    <w:rsid w:val="0044459F"/>
    <w:rsid w:val="004453BB"/>
    <w:rsid w:val="00445522"/>
    <w:rsid w:val="0044619B"/>
    <w:rsid w:val="00446802"/>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0EF"/>
    <w:rsid w:val="00460179"/>
    <w:rsid w:val="00460B1C"/>
    <w:rsid w:val="004617CF"/>
    <w:rsid w:val="004622BB"/>
    <w:rsid w:val="00462348"/>
    <w:rsid w:val="00463683"/>
    <w:rsid w:val="00464D56"/>
    <w:rsid w:val="00464DF0"/>
    <w:rsid w:val="00465562"/>
    <w:rsid w:val="00465DDF"/>
    <w:rsid w:val="004661DB"/>
    <w:rsid w:val="00466B28"/>
    <w:rsid w:val="00467D5E"/>
    <w:rsid w:val="0047012B"/>
    <w:rsid w:val="004705A4"/>
    <w:rsid w:val="00471164"/>
    <w:rsid w:val="0047126F"/>
    <w:rsid w:val="00471AA2"/>
    <w:rsid w:val="00471E18"/>
    <w:rsid w:val="00471FC6"/>
    <w:rsid w:val="0047228C"/>
    <w:rsid w:val="004736FF"/>
    <w:rsid w:val="004743DF"/>
    <w:rsid w:val="00474EE3"/>
    <w:rsid w:val="00474EFE"/>
    <w:rsid w:val="0047620F"/>
    <w:rsid w:val="00476508"/>
    <w:rsid w:val="004767BA"/>
    <w:rsid w:val="004779AA"/>
    <w:rsid w:val="00477F44"/>
    <w:rsid w:val="00480011"/>
    <w:rsid w:val="00480107"/>
    <w:rsid w:val="004809CB"/>
    <w:rsid w:val="00482259"/>
    <w:rsid w:val="00482559"/>
    <w:rsid w:val="0048280E"/>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0E93"/>
    <w:rsid w:val="00491199"/>
    <w:rsid w:val="004919A3"/>
    <w:rsid w:val="00491D1E"/>
    <w:rsid w:val="00492D47"/>
    <w:rsid w:val="004930AA"/>
    <w:rsid w:val="004939B6"/>
    <w:rsid w:val="00493AE1"/>
    <w:rsid w:val="00493CBE"/>
    <w:rsid w:val="004945A4"/>
    <w:rsid w:val="00494C49"/>
    <w:rsid w:val="00495214"/>
    <w:rsid w:val="004955D7"/>
    <w:rsid w:val="0049574B"/>
    <w:rsid w:val="004965B9"/>
    <w:rsid w:val="00497103"/>
    <w:rsid w:val="004976B0"/>
    <w:rsid w:val="00497953"/>
    <w:rsid w:val="00497FC7"/>
    <w:rsid w:val="00497FC9"/>
    <w:rsid w:val="004A0385"/>
    <w:rsid w:val="004A07F3"/>
    <w:rsid w:val="004A0E02"/>
    <w:rsid w:val="004A0E75"/>
    <w:rsid w:val="004A144B"/>
    <w:rsid w:val="004A1FF4"/>
    <w:rsid w:val="004A30DB"/>
    <w:rsid w:val="004A3415"/>
    <w:rsid w:val="004A3A1C"/>
    <w:rsid w:val="004A5AE0"/>
    <w:rsid w:val="004A5FCA"/>
    <w:rsid w:val="004A6B9E"/>
    <w:rsid w:val="004A6C9C"/>
    <w:rsid w:val="004A6CC0"/>
    <w:rsid w:val="004A6FE6"/>
    <w:rsid w:val="004A77C4"/>
    <w:rsid w:val="004A7ABE"/>
    <w:rsid w:val="004B09A3"/>
    <w:rsid w:val="004B117A"/>
    <w:rsid w:val="004B18AE"/>
    <w:rsid w:val="004B21B0"/>
    <w:rsid w:val="004B2564"/>
    <w:rsid w:val="004B2D77"/>
    <w:rsid w:val="004B2F85"/>
    <w:rsid w:val="004B3850"/>
    <w:rsid w:val="004B4756"/>
    <w:rsid w:val="004B5F7A"/>
    <w:rsid w:val="004B6164"/>
    <w:rsid w:val="004B63AE"/>
    <w:rsid w:val="004B7C1A"/>
    <w:rsid w:val="004C056A"/>
    <w:rsid w:val="004C0FFF"/>
    <w:rsid w:val="004C1653"/>
    <w:rsid w:val="004C1BDC"/>
    <w:rsid w:val="004C2149"/>
    <w:rsid w:val="004C2531"/>
    <w:rsid w:val="004C2B02"/>
    <w:rsid w:val="004C3342"/>
    <w:rsid w:val="004C4396"/>
    <w:rsid w:val="004C4F65"/>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E0BE3"/>
    <w:rsid w:val="004E0E03"/>
    <w:rsid w:val="004E0F37"/>
    <w:rsid w:val="004E13FA"/>
    <w:rsid w:val="004E1450"/>
    <w:rsid w:val="004E1AA9"/>
    <w:rsid w:val="004E1D0E"/>
    <w:rsid w:val="004E1DB7"/>
    <w:rsid w:val="004E1FE7"/>
    <w:rsid w:val="004E221D"/>
    <w:rsid w:val="004E229B"/>
    <w:rsid w:val="004E3112"/>
    <w:rsid w:val="004E39BD"/>
    <w:rsid w:val="004E4095"/>
    <w:rsid w:val="004E5265"/>
    <w:rsid w:val="004E6717"/>
    <w:rsid w:val="004E6D72"/>
    <w:rsid w:val="004E7219"/>
    <w:rsid w:val="004E7332"/>
    <w:rsid w:val="004E776C"/>
    <w:rsid w:val="004F01B0"/>
    <w:rsid w:val="004F19E2"/>
    <w:rsid w:val="004F1D1F"/>
    <w:rsid w:val="004F24FD"/>
    <w:rsid w:val="004F2E45"/>
    <w:rsid w:val="004F30E8"/>
    <w:rsid w:val="004F431D"/>
    <w:rsid w:val="004F43AB"/>
    <w:rsid w:val="004F4F1F"/>
    <w:rsid w:val="004F4F7A"/>
    <w:rsid w:val="004F4F85"/>
    <w:rsid w:val="004F539A"/>
    <w:rsid w:val="004F5524"/>
    <w:rsid w:val="004F5B56"/>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5366"/>
    <w:rsid w:val="00510184"/>
    <w:rsid w:val="00510973"/>
    <w:rsid w:val="00510A6C"/>
    <w:rsid w:val="00510D89"/>
    <w:rsid w:val="00511F6D"/>
    <w:rsid w:val="005130A4"/>
    <w:rsid w:val="0051326F"/>
    <w:rsid w:val="00513BCD"/>
    <w:rsid w:val="00513F33"/>
    <w:rsid w:val="005147FC"/>
    <w:rsid w:val="00514DD2"/>
    <w:rsid w:val="005158BE"/>
    <w:rsid w:val="00515C82"/>
    <w:rsid w:val="00516835"/>
    <w:rsid w:val="00516FB8"/>
    <w:rsid w:val="00517613"/>
    <w:rsid w:val="0052031E"/>
    <w:rsid w:val="00520B9E"/>
    <w:rsid w:val="00520C3B"/>
    <w:rsid w:val="00520C4B"/>
    <w:rsid w:val="0052156D"/>
    <w:rsid w:val="00521A4E"/>
    <w:rsid w:val="00522475"/>
    <w:rsid w:val="005227A0"/>
    <w:rsid w:val="0052289F"/>
    <w:rsid w:val="00522FC1"/>
    <w:rsid w:val="005232B5"/>
    <w:rsid w:val="005239EA"/>
    <w:rsid w:val="00523C70"/>
    <w:rsid w:val="00524289"/>
    <w:rsid w:val="005250BC"/>
    <w:rsid w:val="005254F8"/>
    <w:rsid w:val="005259CE"/>
    <w:rsid w:val="00526053"/>
    <w:rsid w:val="005265D4"/>
    <w:rsid w:val="00526812"/>
    <w:rsid w:val="0052721A"/>
    <w:rsid w:val="00527B92"/>
    <w:rsid w:val="00527F31"/>
    <w:rsid w:val="00530147"/>
    <w:rsid w:val="0053022D"/>
    <w:rsid w:val="005315AB"/>
    <w:rsid w:val="005324E4"/>
    <w:rsid w:val="005325F3"/>
    <w:rsid w:val="005326D9"/>
    <w:rsid w:val="00533572"/>
    <w:rsid w:val="00534021"/>
    <w:rsid w:val="005342AA"/>
    <w:rsid w:val="00534623"/>
    <w:rsid w:val="005346A1"/>
    <w:rsid w:val="005352B7"/>
    <w:rsid w:val="00535691"/>
    <w:rsid w:val="00535D72"/>
    <w:rsid w:val="00536216"/>
    <w:rsid w:val="005369F8"/>
    <w:rsid w:val="00536D35"/>
    <w:rsid w:val="005373BF"/>
    <w:rsid w:val="005379CF"/>
    <w:rsid w:val="00537EE4"/>
    <w:rsid w:val="0054001C"/>
    <w:rsid w:val="005402FF"/>
    <w:rsid w:val="00540551"/>
    <w:rsid w:val="005408D0"/>
    <w:rsid w:val="00540A49"/>
    <w:rsid w:val="00540FF0"/>
    <w:rsid w:val="00541177"/>
    <w:rsid w:val="005413A3"/>
    <w:rsid w:val="00541A40"/>
    <w:rsid w:val="00542C8D"/>
    <w:rsid w:val="00542CDA"/>
    <w:rsid w:val="00542EA3"/>
    <w:rsid w:val="00543699"/>
    <w:rsid w:val="00543A22"/>
    <w:rsid w:val="00543F8A"/>
    <w:rsid w:val="0054509A"/>
    <w:rsid w:val="00545927"/>
    <w:rsid w:val="00546559"/>
    <w:rsid w:val="005474F6"/>
    <w:rsid w:val="00547C0F"/>
    <w:rsid w:val="005500D2"/>
    <w:rsid w:val="00550BA0"/>
    <w:rsid w:val="00550E94"/>
    <w:rsid w:val="00551B42"/>
    <w:rsid w:val="00551DB7"/>
    <w:rsid w:val="00553469"/>
    <w:rsid w:val="00554AAD"/>
    <w:rsid w:val="005554C5"/>
    <w:rsid w:val="005556CA"/>
    <w:rsid w:val="005559D1"/>
    <w:rsid w:val="00555CE4"/>
    <w:rsid w:val="00555D63"/>
    <w:rsid w:val="00556192"/>
    <w:rsid w:val="005565A6"/>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D67"/>
    <w:rsid w:val="00572E2F"/>
    <w:rsid w:val="00572E40"/>
    <w:rsid w:val="00573801"/>
    <w:rsid w:val="00574579"/>
    <w:rsid w:val="00574593"/>
    <w:rsid w:val="00574757"/>
    <w:rsid w:val="0057527E"/>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3B95"/>
    <w:rsid w:val="005850FD"/>
    <w:rsid w:val="0058597D"/>
    <w:rsid w:val="00585BB5"/>
    <w:rsid w:val="00585F34"/>
    <w:rsid w:val="00587631"/>
    <w:rsid w:val="00587DC2"/>
    <w:rsid w:val="005906E5"/>
    <w:rsid w:val="00590AE1"/>
    <w:rsid w:val="00590EBE"/>
    <w:rsid w:val="0059185F"/>
    <w:rsid w:val="00591F15"/>
    <w:rsid w:val="00592EBE"/>
    <w:rsid w:val="00593050"/>
    <w:rsid w:val="0059393A"/>
    <w:rsid w:val="0059466A"/>
    <w:rsid w:val="005950C8"/>
    <w:rsid w:val="0059531A"/>
    <w:rsid w:val="0059595B"/>
    <w:rsid w:val="00595A3D"/>
    <w:rsid w:val="00595D44"/>
    <w:rsid w:val="0059614A"/>
    <w:rsid w:val="005963B4"/>
    <w:rsid w:val="005977BF"/>
    <w:rsid w:val="0059796B"/>
    <w:rsid w:val="005A021D"/>
    <w:rsid w:val="005A0CEA"/>
    <w:rsid w:val="005A1450"/>
    <w:rsid w:val="005A1852"/>
    <w:rsid w:val="005A190A"/>
    <w:rsid w:val="005A1A1B"/>
    <w:rsid w:val="005A20C9"/>
    <w:rsid w:val="005A2216"/>
    <w:rsid w:val="005A24B5"/>
    <w:rsid w:val="005A2CFC"/>
    <w:rsid w:val="005A40BA"/>
    <w:rsid w:val="005A504A"/>
    <w:rsid w:val="005A57D6"/>
    <w:rsid w:val="005A5A70"/>
    <w:rsid w:val="005A7389"/>
    <w:rsid w:val="005A78EE"/>
    <w:rsid w:val="005A7CA2"/>
    <w:rsid w:val="005B02F2"/>
    <w:rsid w:val="005B086D"/>
    <w:rsid w:val="005B095F"/>
    <w:rsid w:val="005B1071"/>
    <w:rsid w:val="005B1790"/>
    <w:rsid w:val="005B1F44"/>
    <w:rsid w:val="005B20D0"/>
    <w:rsid w:val="005B2AC2"/>
    <w:rsid w:val="005B394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D2D"/>
    <w:rsid w:val="005C438E"/>
    <w:rsid w:val="005C43F3"/>
    <w:rsid w:val="005C552D"/>
    <w:rsid w:val="005C55B2"/>
    <w:rsid w:val="005C5648"/>
    <w:rsid w:val="005C608E"/>
    <w:rsid w:val="005C62D9"/>
    <w:rsid w:val="005C7994"/>
    <w:rsid w:val="005C7A15"/>
    <w:rsid w:val="005D00DB"/>
    <w:rsid w:val="005D07D2"/>
    <w:rsid w:val="005D0F46"/>
    <w:rsid w:val="005D14F8"/>
    <w:rsid w:val="005D1BB8"/>
    <w:rsid w:val="005D25B7"/>
    <w:rsid w:val="005D293C"/>
    <w:rsid w:val="005D30B8"/>
    <w:rsid w:val="005D48FE"/>
    <w:rsid w:val="005D4DA2"/>
    <w:rsid w:val="005D5DA2"/>
    <w:rsid w:val="005D5EAC"/>
    <w:rsid w:val="005D66B0"/>
    <w:rsid w:val="005D6BA1"/>
    <w:rsid w:val="005D6C63"/>
    <w:rsid w:val="005D6E99"/>
    <w:rsid w:val="005D7598"/>
    <w:rsid w:val="005E009F"/>
    <w:rsid w:val="005E1528"/>
    <w:rsid w:val="005E2189"/>
    <w:rsid w:val="005E25F7"/>
    <w:rsid w:val="005E2A5A"/>
    <w:rsid w:val="005E2C15"/>
    <w:rsid w:val="005E3DDA"/>
    <w:rsid w:val="005E4642"/>
    <w:rsid w:val="005E46DC"/>
    <w:rsid w:val="005E4A51"/>
    <w:rsid w:val="005E4C95"/>
    <w:rsid w:val="005E58A5"/>
    <w:rsid w:val="005E5E61"/>
    <w:rsid w:val="005F00DC"/>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F91"/>
    <w:rsid w:val="005F7321"/>
    <w:rsid w:val="00600F74"/>
    <w:rsid w:val="00601269"/>
    <w:rsid w:val="00601C2F"/>
    <w:rsid w:val="00603ABE"/>
    <w:rsid w:val="00603F19"/>
    <w:rsid w:val="00604D69"/>
    <w:rsid w:val="006052E4"/>
    <w:rsid w:val="00605442"/>
    <w:rsid w:val="0060683C"/>
    <w:rsid w:val="00606ACA"/>
    <w:rsid w:val="00607532"/>
    <w:rsid w:val="00607C9B"/>
    <w:rsid w:val="006104FE"/>
    <w:rsid w:val="00610930"/>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41BE"/>
    <w:rsid w:val="00625009"/>
    <w:rsid w:val="00625759"/>
    <w:rsid w:val="00625B32"/>
    <w:rsid w:val="00625B8F"/>
    <w:rsid w:val="006278CC"/>
    <w:rsid w:val="00630332"/>
    <w:rsid w:val="0063189C"/>
    <w:rsid w:val="00631C39"/>
    <w:rsid w:val="00632878"/>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527F"/>
    <w:rsid w:val="006454AC"/>
    <w:rsid w:val="006457EB"/>
    <w:rsid w:val="00645A81"/>
    <w:rsid w:val="00646222"/>
    <w:rsid w:val="0064663D"/>
    <w:rsid w:val="00650191"/>
    <w:rsid w:val="00650351"/>
    <w:rsid w:val="006505DC"/>
    <w:rsid w:val="006509BB"/>
    <w:rsid w:val="00650BE0"/>
    <w:rsid w:val="00651032"/>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821"/>
    <w:rsid w:val="006569B1"/>
    <w:rsid w:val="006572F6"/>
    <w:rsid w:val="00657379"/>
    <w:rsid w:val="00657BBC"/>
    <w:rsid w:val="006600F5"/>
    <w:rsid w:val="0066027D"/>
    <w:rsid w:val="00660609"/>
    <w:rsid w:val="006609B1"/>
    <w:rsid w:val="006624F0"/>
    <w:rsid w:val="0066294A"/>
    <w:rsid w:val="0066318C"/>
    <w:rsid w:val="006637B9"/>
    <w:rsid w:val="00663AAC"/>
    <w:rsid w:val="00664533"/>
    <w:rsid w:val="0066498E"/>
    <w:rsid w:val="006659DD"/>
    <w:rsid w:val="00665B84"/>
    <w:rsid w:val="006662AD"/>
    <w:rsid w:val="006668CA"/>
    <w:rsid w:val="0066760C"/>
    <w:rsid w:val="00667ABB"/>
    <w:rsid w:val="006708C9"/>
    <w:rsid w:val="00670B88"/>
    <w:rsid w:val="00670E84"/>
    <w:rsid w:val="0067240D"/>
    <w:rsid w:val="006726E0"/>
    <w:rsid w:val="00674A96"/>
    <w:rsid w:val="006750F1"/>
    <w:rsid w:val="00675A81"/>
    <w:rsid w:val="0067643D"/>
    <w:rsid w:val="0067675D"/>
    <w:rsid w:val="00677A1C"/>
    <w:rsid w:val="00677C73"/>
    <w:rsid w:val="00677F7C"/>
    <w:rsid w:val="0068074C"/>
    <w:rsid w:val="00681093"/>
    <w:rsid w:val="0068250F"/>
    <w:rsid w:val="006834E5"/>
    <w:rsid w:val="00683815"/>
    <w:rsid w:val="00683A28"/>
    <w:rsid w:val="00684959"/>
    <w:rsid w:val="00684DEA"/>
    <w:rsid w:val="006854F2"/>
    <w:rsid w:val="0068565C"/>
    <w:rsid w:val="0068620A"/>
    <w:rsid w:val="006862BE"/>
    <w:rsid w:val="00686E12"/>
    <w:rsid w:val="00690E56"/>
    <w:rsid w:val="00691B4D"/>
    <w:rsid w:val="0069249C"/>
    <w:rsid w:val="00692613"/>
    <w:rsid w:val="0069335D"/>
    <w:rsid w:val="00694C3C"/>
    <w:rsid w:val="00697E8B"/>
    <w:rsid w:val="006A040F"/>
    <w:rsid w:val="006A1039"/>
    <w:rsid w:val="006A21AF"/>
    <w:rsid w:val="006A2D1D"/>
    <w:rsid w:val="006A49AE"/>
    <w:rsid w:val="006A4C49"/>
    <w:rsid w:val="006A5A4C"/>
    <w:rsid w:val="006A6846"/>
    <w:rsid w:val="006A7121"/>
    <w:rsid w:val="006A75AC"/>
    <w:rsid w:val="006A7632"/>
    <w:rsid w:val="006A7897"/>
    <w:rsid w:val="006A7F23"/>
    <w:rsid w:val="006B056A"/>
    <w:rsid w:val="006B0630"/>
    <w:rsid w:val="006B0734"/>
    <w:rsid w:val="006B0FA2"/>
    <w:rsid w:val="006B1475"/>
    <w:rsid w:val="006B15E1"/>
    <w:rsid w:val="006B1754"/>
    <w:rsid w:val="006B18F5"/>
    <w:rsid w:val="006B1A63"/>
    <w:rsid w:val="006B2A03"/>
    <w:rsid w:val="006B2ABD"/>
    <w:rsid w:val="006B2E94"/>
    <w:rsid w:val="006B3858"/>
    <w:rsid w:val="006B5363"/>
    <w:rsid w:val="006B56D9"/>
    <w:rsid w:val="006B657B"/>
    <w:rsid w:val="006B709C"/>
    <w:rsid w:val="006B7850"/>
    <w:rsid w:val="006C01B3"/>
    <w:rsid w:val="006C0671"/>
    <w:rsid w:val="006C150F"/>
    <w:rsid w:val="006C1ABF"/>
    <w:rsid w:val="006C1BD3"/>
    <w:rsid w:val="006C1C44"/>
    <w:rsid w:val="006C1C92"/>
    <w:rsid w:val="006C1D80"/>
    <w:rsid w:val="006C2017"/>
    <w:rsid w:val="006C2C47"/>
    <w:rsid w:val="006C34ED"/>
    <w:rsid w:val="006C3B12"/>
    <w:rsid w:val="006C3D2D"/>
    <w:rsid w:val="006C4023"/>
    <w:rsid w:val="006C4287"/>
    <w:rsid w:val="006C431D"/>
    <w:rsid w:val="006C4D54"/>
    <w:rsid w:val="006C58DF"/>
    <w:rsid w:val="006C6452"/>
    <w:rsid w:val="006C7199"/>
    <w:rsid w:val="006C7422"/>
    <w:rsid w:val="006D0087"/>
    <w:rsid w:val="006D04D2"/>
    <w:rsid w:val="006D167F"/>
    <w:rsid w:val="006D176D"/>
    <w:rsid w:val="006D280F"/>
    <w:rsid w:val="006D383A"/>
    <w:rsid w:val="006D4161"/>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4C0"/>
    <w:rsid w:val="006E2C4B"/>
    <w:rsid w:val="006E36C3"/>
    <w:rsid w:val="006E3788"/>
    <w:rsid w:val="006E3C0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87E"/>
    <w:rsid w:val="006F0215"/>
    <w:rsid w:val="006F10E1"/>
    <w:rsid w:val="006F11DD"/>
    <w:rsid w:val="006F161B"/>
    <w:rsid w:val="006F19AA"/>
    <w:rsid w:val="006F19AB"/>
    <w:rsid w:val="006F26FB"/>
    <w:rsid w:val="006F281D"/>
    <w:rsid w:val="006F285F"/>
    <w:rsid w:val="006F3142"/>
    <w:rsid w:val="006F347B"/>
    <w:rsid w:val="006F3536"/>
    <w:rsid w:val="006F3A6E"/>
    <w:rsid w:val="006F4A1E"/>
    <w:rsid w:val="006F713A"/>
    <w:rsid w:val="006F78A5"/>
    <w:rsid w:val="0070002E"/>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704B"/>
    <w:rsid w:val="00710AF8"/>
    <w:rsid w:val="00710BF9"/>
    <w:rsid w:val="00710F65"/>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326F"/>
    <w:rsid w:val="0073378E"/>
    <w:rsid w:val="007343B1"/>
    <w:rsid w:val="00734516"/>
    <w:rsid w:val="00734D2F"/>
    <w:rsid w:val="00735043"/>
    <w:rsid w:val="007356CC"/>
    <w:rsid w:val="00736983"/>
    <w:rsid w:val="00737520"/>
    <w:rsid w:val="007406F6"/>
    <w:rsid w:val="00740C3E"/>
    <w:rsid w:val="00740E0F"/>
    <w:rsid w:val="00742601"/>
    <w:rsid w:val="00743800"/>
    <w:rsid w:val="0074450C"/>
    <w:rsid w:val="00744632"/>
    <w:rsid w:val="00744A32"/>
    <w:rsid w:val="00744A94"/>
    <w:rsid w:val="007452B3"/>
    <w:rsid w:val="0074683C"/>
    <w:rsid w:val="00746F99"/>
    <w:rsid w:val="0074714A"/>
    <w:rsid w:val="007474F0"/>
    <w:rsid w:val="00747AC3"/>
    <w:rsid w:val="00747B67"/>
    <w:rsid w:val="00750F58"/>
    <w:rsid w:val="007524DB"/>
    <w:rsid w:val="007526C7"/>
    <w:rsid w:val="00753115"/>
    <w:rsid w:val="007536B9"/>
    <w:rsid w:val="00753941"/>
    <w:rsid w:val="00753A65"/>
    <w:rsid w:val="00753ADE"/>
    <w:rsid w:val="007551D8"/>
    <w:rsid w:val="0075625B"/>
    <w:rsid w:val="00756E3A"/>
    <w:rsid w:val="00756E55"/>
    <w:rsid w:val="0075719C"/>
    <w:rsid w:val="00757B56"/>
    <w:rsid w:val="00760B67"/>
    <w:rsid w:val="00760F3C"/>
    <w:rsid w:val="00761CE2"/>
    <w:rsid w:val="00761E1F"/>
    <w:rsid w:val="00761E43"/>
    <w:rsid w:val="00763CCF"/>
    <w:rsid w:val="00763E35"/>
    <w:rsid w:val="00764C13"/>
    <w:rsid w:val="007657FC"/>
    <w:rsid w:val="00766829"/>
    <w:rsid w:val="00766AEC"/>
    <w:rsid w:val="0076737F"/>
    <w:rsid w:val="00770173"/>
    <w:rsid w:val="0077170D"/>
    <w:rsid w:val="00771BEC"/>
    <w:rsid w:val="00771F85"/>
    <w:rsid w:val="00772487"/>
    <w:rsid w:val="00772730"/>
    <w:rsid w:val="007728EB"/>
    <w:rsid w:val="0077300F"/>
    <w:rsid w:val="00773308"/>
    <w:rsid w:val="0077389E"/>
    <w:rsid w:val="00773F61"/>
    <w:rsid w:val="00774E68"/>
    <w:rsid w:val="0077505C"/>
    <w:rsid w:val="0077594D"/>
    <w:rsid w:val="007761EE"/>
    <w:rsid w:val="0077697F"/>
    <w:rsid w:val="0077727E"/>
    <w:rsid w:val="00777388"/>
    <w:rsid w:val="00777DAD"/>
    <w:rsid w:val="00780097"/>
    <w:rsid w:val="007809A9"/>
    <w:rsid w:val="00780D40"/>
    <w:rsid w:val="00781125"/>
    <w:rsid w:val="00781F3B"/>
    <w:rsid w:val="007824AB"/>
    <w:rsid w:val="00783850"/>
    <w:rsid w:val="00784D2F"/>
    <w:rsid w:val="00784F53"/>
    <w:rsid w:val="00786364"/>
    <w:rsid w:val="00787591"/>
    <w:rsid w:val="007877E8"/>
    <w:rsid w:val="00787AC0"/>
    <w:rsid w:val="00787EAD"/>
    <w:rsid w:val="0079068D"/>
    <w:rsid w:val="00790BF1"/>
    <w:rsid w:val="00791581"/>
    <w:rsid w:val="007917A0"/>
    <w:rsid w:val="00792B80"/>
    <w:rsid w:val="007937F8"/>
    <w:rsid w:val="007938BB"/>
    <w:rsid w:val="00795121"/>
    <w:rsid w:val="00795C02"/>
    <w:rsid w:val="00795E68"/>
    <w:rsid w:val="00795F23"/>
    <w:rsid w:val="00796843"/>
    <w:rsid w:val="0079764A"/>
    <w:rsid w:val="007A0926"/>
    <w:rsid w:val="007A1E36"/>
    <w:rsid w:val="007A2FCF"/>
    <w:rsid w:val="007A3DF5"/>
    <w:rsid w:val="007A3EF4"/>
    <w:rsid w:val="007A3F08"/>
    <w:rsid w:val="007A4DFA"/>
    <w:rsid w:val="007A4EBD"/>
    <w:rsid w:val="007A521B"/>
    <w:rsid w:val="007A54C1"/>
    <w:rsid w:val="007A582C"/>
    <w:rsid w:val="007A70F6"/>
    <w:rsid w:val="007A711B"/>
    <w:rsid w:val="007A75A0"/>
    <w:rsid w:val="007A7E74"/>
    <w:rsid w:val="007A7F2A"/>
    <w:rsid w:val="007B0184"/>
    <w:rsid w:val="007B06A5"/>
    <w:rsid w:val="007B0A01"/>
    <w:rsid w:val="007B0C46"/>
    <w:rsid w:val="007B112B"/>
    <w:rsid w:val="007B21F2"/>
    <w:rsid w:val="007B3FAA"/>
    <w:rsid w:val="007B4427"/>
    <w:rsid w:val="007B566B"/>
    <w:rsid w:val="007B571D"/>
    <w:rsid w:val="007B5B26"/>
    <w:rsid w:val="007B619F"/>
    <w:rsid w:val="007B6592"/>
    <w:rsid w:val="007B687A"/>
    <w:rsid w:val="007B691A"/>
    <w:rsid w:val="007B6CE2"/>
    <w:rsid w:val="007B6D25"/>
    <w:rsid w:val="007B6FD2"/>
    <w:rsid w:val="007B78B6"/>
    <w:rsid w:val="007C0288"/>
    <w:rsid w:val="007C07F6"/>
    <w:rsid w:val="007C0832"/>
    <w:rsid w:val="007C096F"/>
    <w:rsid w:val="007C1372"/>
    <w:rsid w:val="007C17FC"/>
    <w:rsid w:val="007C1C85"/>
    <w:rsid w:val="007C1FF6"/>
    <w:rsid w:val="007C2E02"/>
    <w:rsid w:val="007C2F86"/>
    <w:rsid w:val="007C4108"/>
    <w:rsid w:val="007C4418"/>
    <w:rsid w:val="007C45FB"/>
    <w:rsid w:val="007C4A9A"/>
    <w:rsid w:val="007C553D"/>
    <w:rsid w:val="007C56CB"/>
    <w:rsid w:val="007C5CAC"/>
    <w:rsid w:val="007C76F8"/>
    <w:rsid w:val="007C7734"/>
    <w:rsid w:val="007D01B9"/>
    <w:rsid w:val="007D0632"/>
    <w:rsid w:val="007D0E2D"/>
    <w:rsid w:val="007D15AE"/>
    <w:rsid w:val="007D16B5"/>
    <w:rsid w:val="007D1D12"/>
    <w:rsid w:val="007D1D95"/>
    <w:rsid w:val="007D337B"/>
    <w:rsid w:val="007D4382"/>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5629"/>
    <w:rsid w:val="007E5AD7"/>
    <w:rsid w:val="007E68C3"/>
    <w:rsid w:val="007E69A8"/>
    <w:rsid w:val="007E6E5C"/>
    <w:rsid w:val="007E750F"/>
    <w:rsid w:val="007E7D7C"/>
    <w:rsid w:val="007F02E3"/>
    <w:rsid w:val="007F1517"/>
    <w:rsid w:val="007F1621"/>
    <w:rsid w:val="007F16B7"/>
    <w:rsid w:val="007F1D4F"/>
    <w:rsid w:val="007F34DE"/>
    <w:rsid w:val="007F34EB"/>
    <w:rsid w:val="007F3B2C"/>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E55"/>
    <w:rsid w:val="00803382"/>
    <w:rsid w:val="00803CE5"/>
    <w:rsid w:val="00804642"/>
    <w:rsid w:val="008050AB"/>
    <w:rsid w:val="0080539E"/>
    <w:rsid w:val="008059B4"/>
    <w:rsid w:val="00805B42"/>
    <w:rsid w:val="00805E4B"/>
    <w:rsid w:val="00806D63"/>
    <w:rsid w:val="00807409"/>
    <w:rsid w:val="0080798A"/>
    <w:rsid w:val="008102AD"/>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350D"/>
    <w:rsid w:val="00823E80"/>
    <w:rsid w:val="00824AA0"/>
    <w:rsid w:val="00825A1B"/>
    <w:rsid w:val="00825AAA"/>
    <w:rsid w:val="0082763E"/>
    <w:rsid w:val="00831AF4"/>
    <w:rsid w:val="00831C86"/>
    <w:rsid w:val="00831FC6"/>
    <w:rsid w:val="008327D7"/>
    <w:rsid w:val="00832A1F"/>
    <w:rsid w:val="00833E19"/>
    <w:rsid w:val="00834535"/>
    <w:rsid w:val="00834E18"/>
    <w:rsid w:val="00834E9C"/>
    <w:rsid w:val="00835707"/>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894"/>
    <w:rsid w:val="00845E79"/>
    <w:rsid w:val="00845E9A"/>
    <w:rsid w:val="00846682"/>
    <w:rsid w:val="0084668B"/>
    <w:rsid w:val="008474A5"/>
    <w:rsid w:val="008477E8"/>
    <w:rsid w:val="008478AA"/>
    <w:rsid w:val="00847B0A"/>
    <w:rsid w:val="00847B8A"/>
    <w:rsid w:val="00847C79"/>
    <w:rsid w:val="00847D4E"/>
    <w:rsid w:val="00850080"/>
    <w:rsid w:val="00850599"/>
    <w:rsid w:val="00850910"/>
    <w:rsid w:val="00851076"/>
    <w:rsid w:val="008511EC"/>
    <w:rsid w:val="00851C99"/>
    <w:rsid w:val="00851CD4"/>
    <w:rsid w:val="00851F62"/>
    <w:rsid w:val="00851FD3"/>
    <w:rsid w:val="00852213"/>
    <w:rsid w:val="0085238A"/>
    <w:rsid w:val="008524EB"/>
    <w:rsid w:val="00852890"/>
    <w:rsid w:val="0085318D"/>
    <w:rsid w:val="008565BC"/>
    <w:rsid w:val="00856648"/>
    <w:rsid w:val="00856A67"/>
    <w:rsid w:val="00856B26"/>
    <w:rsid w:val="00856B71"/>
    <w:rsid w:val="00856C93"/>
    <w:rsid w:val="008573F9"/>
    <w:rsid w:val="00857D59"/>
    <w:rsid w:val="00861731"/>
    <w:rsid w:val="0086190F"/>
    <w:rsid w:val="0086219D"/>
    <w:rsid w:val="00862862"/>
    <w:rsid w:val="00862BAF"/>
    <w:rsid w:val="00863B4F"/>
    <w:rsid w:val="00864147"/>
    <w:rsid w:val="008642D0"/>
    <w:rsid w:val="0086437F"/>
    <w:rsid w:val="0086613E"/>
    <w:rsid w:val="008676E6"/>
    <w:rsid w:val="00867ECB"/>
    <w:rsid w:val="00867FC5"/>
    <w:rsid w:val="008714DB"/>
    <w:rsid w:val="00871578"/>
    <w:rsid w:val="00871B57"/>
    <w:rsid w:val="00871BB6"/>
    <w:rsid w:val="00871E21"/>
    <w:rsid w:val="0087267C"/>
    <w:rsid w:val="008736E6"/>
    <w:rsid w:val="008747C9"/>
    <w:rsid w:val="00875402"/>
    <w:rsid w:val="00875449"/>
    <w:rsid w:val="00875858"/>
    <w:rsid w:val="00876359"/>
    <w:rsid w:val="00876705"/>
    <w:rsid w:val="00877544"/>
    <w:rsid w:val="00877E88"/>
    <w:rsid w:val="0088002F"/>
    <w:rsid w:val="008802A2"/>
    <w:rsid w:val="00880A80"/>
    <w:rsid w:val="00881072"/>
    <w:rsid w:val="008816A3"/>
    <w:rsid w:val="008829F7"/>
    <w:rsid w:val="00882E18"/>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7D19"/>
    <w:rsid w:val="00897F55"/>
    <w:rsid w:val="008A056C"/>
    <w:rsid w:val="008A0C03"/>
    <w:rsid w:val="008A0D84"/>
    <w:rsid w:val="008A12D8"/>
    <w:rsid w:val="008A14DB"/>
    <w:rsid w:val="008A17D5"/>
    <w:rsid w:val="008A1A62"/>
    <w:rsid w:val="008A1D01"/>
    <w:rsid w:val="008A1DEE"/>
    <w:rsid w:val="008A1FFE"/>
    <w:rsid w:val="008A21D4"/>
    <w:rsid w:val="008A2348"/>
    <w:rsid w:val="008A2836"/>
    <w:rsid w:val="008A2C51"/>
    <w:rsid w:val="008A342D"/>
    <w:rsid w:val="008A374A"/>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88"/>
    <w:rsid w:val="008D304E"/>
    <w:rsid w:val="008D4146"/>
    <w:rsid w:val="008D42F6"/>
    <w:rsid w:val="008D5013"/>
    <w:rsid w:val="008D59E9"/>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6F8"/>
    <w:rsid w:val="008F080D"/>
    <w:rsid w:val="008F08C3"/>
    <w:rsid w:val="008F1056"/>
    <w:rsid w:val="008F1589"/>
    <w:rsid w:val="008F1873"/>
    <w:rsid w:val="008F18E5"/>
    <w:rsid w:val="008F2E02"/>
    <w:rsid w:val="008F3327"/>
    <w:rsid w:val="008F3549"/>
    <w:rsid w:val="008F4578"/>
    <w:rsid w:val="008F49E7"/>
    <w:rsid w:val="008F4A43"/>
    <w:rsid w:val="008F4BA0"/>
    <w:rsid w:val="008F4D58"/>
    <w:rsid w:val="008F5110"/>
    <w:rsid w:val="008F51BE"/>
    <w:rsid w:val="008F51FC"/>
    <w:rsid w:val="008F5B13"/>
    <w:rsid w:val="008F6006"/>
    <w:rsid w:val="008F62CE"/>
    <w:rsid w:val="008F71B1"/>
    <w:rsid w:val="008F71BC"/>
    <w:rsid w:val="008F7246"/>
    <w:rsid w:val="008F7DE6"/>
    <w:rsid w:val="009015B2"/>
    <w:rsid w:val="00901881"/>
    <w:rsid w:val="009022AF"/>
    <w:rsid w:val="009037F5"/>
    <w:rsid w:val="009040D4"/>
    <w:rsid w:val="00904723"/>
    <w:rsid w:val="00905ACD"/>
    <w:rsid w:val="00906209"/>
    <w:rsid w:val="0090659B"/>
    <w:rsid w:val="0090660F"/>
    <w:rsid w:val="00906D38"/>
    <w:rsid w:val="00906E90"/>
    <w:rsid w:val="00906F53"/>
    <w:rsid w:val="00907652"/>
    <w:rsid w:val="0091051D"/>
    <w:rsid w:val="00910533"/>
    <w:rsid w:val="00910C50"/>
    <w:rsid w:val="009117BF"/>
    <w:rsid w:val="00912796"/>
    <w:rsid w:val="00912CB8"/>
    <w:rsid w:val="00913B73"/>
    <w:rsid w:val="00913C62"/>
    <w:rsid w:val="009143C1"/>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EDE"/>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36A3"/>
    <w:rsid w:val="00933910"/>
    <w:rsid w:val="00933A3E"/>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16DC"/>
    <w:rsid w:val="009422BC"/>
    <w:rsid w:val="0094287F"/>
    <w:rsid w:val="00942B51"/>
    <w:rsid w:val="00942EE2"/>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5427"/>
    <w:rsid w:val="00965842"/>
    <w:rsid w:val="0096653F"/>
    <w:rsid w:val="009679D9"/>
    <w:rsid w:val="009703F8"/>
    <w:rsid w:val="0097067B"/>
    <w:rsid w:val="009712AE"/>
    <w:rsid w:val="0097174E"/>
    <w:rsid w:val="00971BE0"/>
    <w:rsid w:val="00971EFA"/>
    <w:rsid w:val="0097253D"/>
    <w:rsid w:val="009725A2"/>
    <w:rsid w:val="00972CE5"/>
    <w:rsid w:val="00973313"/>
    <w:rsid w:val="00973381"/>
    <w:rsid w:val="00974915"/>
    <w:rsid w:val="009752C7"/>
    <w:rsid w:val="009759F2"/>
    <w:rsid w:val="00976119"/>
    <w:rsid w:val="00976190"/>
    <w:rsid w:val="00976469"/>
    <w:rsid w:val="00976532"/>
    <w:rsid w:val="0097654B"/>
    <w:rsid w:val="00976A43"/>
    <w:rsid w:val="00976B93"/>
    <w:rsid w:val="009770B8"/>
    <w:rsid w:val="00977265"/>
    <w:rsid w:val="00977579"/>
    <w:rsid w:val="00977C6D"/>
    <w:rsid w:val="00977F17"/>
    <w:rsid w:val="00980499"/>
    <w:rsid w:val="00981469"/>
    <w:rsid w:val="00981AF3"/>
    <w:rsid w:val="00982497"/>
    <w:rsid w:val="00982C61"/>
    <w:rsid w:val="00982CD1"/>
    <w:rsid w:val="0098342A"/>
    <w:rsid w:val="00983AE1"/>
    <w:rsid w:val="00983E85"/>
    <w:rsid w:val="009854B6"/>
    <w:rsid w:val="00985829"/>
    <w:rsid w:val="00985D36"/>
    <w:rsid w:val="00985DBA"/>
    <w:rsid w:val="009865D6"/>
    <w:rsid w:val="00986975"/>
    <w:rsid w:val="0098757B"/>
    <w:rsid w:val="00990506"/>
    <w:rsid w:val="00990F79"/>
    <w:rsid w:val="009910DC"/>
    <w:rsid w:val="00991584"/>
    <w:rsid w:val="0099172C"/>
    <w:rsid w:val="00991B19"/>
    <w:rsid w:val="00991F23"/>
    <w:rsid w:val="00992605"/>
    <w:rsid w:val="00993599"/>
    <w:rsid w:val="00994B80"/>
    <w:rsid w:val="00994CCA"/>
    <w:rsid w:val="009974A8"/>
    <w:rsid w:val="009975C9"/>
    <w:rsid w:val="009A0A09"/>
    <w:rsid w:val="009A1489"/>
    <w:rsid w:val="009A245B"/>
    <w:rsid w:val="009A2516"/>
    <w:rsid w:val="009A2FAA"/>
    <w:rsid w:val="009A349F"/>
    <w:rsid w:val="009A3852"/>
    <w:rsid w:val="009A444E"/>
    <w:rsid w:val="009A4788"/>
    <w:rsid w:val="009A4A6E"/>
    <w:rsid w:val="009B0A9C"/>
    <w:rsid w:val="009B10AE"/>
    <w:rsid w:val="009B1240"/>
    <w:rsid w:val="009B1690"/>
    <w:rsid w:val="009B18D7"/>
    <w:rsid w:val="009B23EE"/>
    <w:rsid w:val="009B3610"/>
    <w:rsid w:val="009B37D3"/>
    <w:rsid w:val="009B4C61"/>
    <w:rsid w:val="009B4CB0"/>
    <w:rsid w:val="009B4CE0"/>
    <w:rsid w:val="009B54CF"/>
    <w:rsid w:val="009B5A8C"/>
    <w:rsid w:val="009B5C74"/>
    <w:rsid w:val="009B661E"/>
    <w:rsid w:val="009B68A4"/>
    <w:rsid w:val="009B75F0"/>
    <w:rsid w:val="009B7D1B"/>
    <w:rsid w:val="009C01B9"/>
    <w:rsid w:val="009C0342"/>
    <w:rsid w:val="009C0408"/>
    <w:rsid w:val="009C0D3F"/>
    <w:rsid w:val="009C12CC"/>
    <w:rsid w:val="009C161A"/>
    <w:rsid w:val="009C1E60"/>
    <w:rsid w:val="009C3C12"/>
    <w:rsid w:val="009C4088"/>
    <w:rsid w:val="009C5D49"/>
    <w:rsid w:val="009C718C"/>
    <w:rsid w:val="009C7345"/>
    <w:rsid w:val="009C7BBD"/>
    <w:rsid w:val="009C7C63"/>
    <w:rsid w:val="009C7FE0"/>
    <w:rsid w:val="009D025C"/>
    <w:rsid w:val="009D05CC"/>
    <w:rsid w:val="009D09AE"/>
    <w:rsid w:val="009D0EE8"/>
    <w:rsid w:val="009D10F3"/>
    <w:rsid w:val="009D11AB"/>
    <w:rsid w:val="009D1B21"/>
    <w:rsid w:val="009D2A1F"/>
    <w:rsid w:val="009D2BAC"/>
    <w:rsid w:val="009D55EE"/>
    <w:rsid w:val="009D5970"/>
    <w:rsid w:val="009D5C32"/>
    <w:rsid w:val="009D73F5"/>
    <w:rsid w:val="009D740A"/>
    <w:rsid w:val="009D7D93"/>
    <w:rsid w:val="009E040E"/>
    <w:rsid w:val="009E1607"/>
    <w:rsid w:val="009E1A3F"/>
    <w:rsid w:val="009E21B7"/>
    <w:rsid w:val="009E2CF2"/>
    <w:rsid w:val="009E2EA7"/>
    <w:rsid w:val="009E312B"/>
    <w:rsid w:val="009E3966"/>
    <w:rsid w:val="009E41D0"/>
    <w:rsid w:val="009E4844"/>
    <w:rsid w:val="009E4CC2"/>
    <w:rsid w:val="009E564F"/>
    <w:rsid w:val="009E6184"/>
    <w:rsid w:val="009E655C"/>
    <w:rsid w:val="009E6625"/>
    <w:rsid w:val="009E6F2E"/>
    <w:rsid w:val="009E7478"/>
    <w:rsid w:val="009E752B"/>
    <w:rsid w:val="009E7BF0"/>
    <w:rsid w:val="009F0A3A"/>
    <w:rsid w:val="009F0BD3"/>
    <w:rsid w:val="009F0FAF"/>
    <w:rsid w:val="009F1F49"/>
    <w:rsid w:val="009F3218"/>
    <w:rsid w:val="009F394C"/>
    <w:rsid w:val="009F3A44"/>
    <w:rsid w:val="009F4F93"/>
    <w:rsid w:val="009F556C"/>
    <w:rsid w:val="009F711E"/>
    <w:rsid w:val="009F7F2B"/>
    <w:rsid w:val="00A0001D"/>
    <w:rsid w:val="00A01037"/>
    <w:rsid w:val="00A0119C"/>
    <w:rsid w:val="00A017D4"/>
    <w:rsid w:val="00A01C9C"/>
    <w:rsid w:val="00A01F05"/>
    <w:rsid w:val="00A0287D"/>
    <w:rsid w:val="00A03332"/>
    <w:rsid w:val="00A0369C"/>
    <w:rsid w:val="00A03771"/>
    <w:rsid w:val="00A04024"/>
    <w:rsid w:val="00A04595"/>
    <w:rsid w:val="00A0541B"/>
    <w:rsid w:val="00A06208"/>
    <w:rsid w:val="00A0628B"/>
    <w:rsid w:val="00A068D9"/>
    <w:rsid w:val="00A06EAB"/>
    <w:rsid w:val="00A06EB9"/>
    <w:rsid w:val="00A1016F"/>
    <w:rsid w:val="00A10996"/>
    <w:rsid w:val="00A10B74"/>
    <w:rsid w:val="00A10C18"/>
    <w:rsid w:val="00A10EC9"/>
    <w:rsid w:val="00A11F7F"/>
    <w:rsid w:val="00A12648"/>
    <w:rsid w:val="00A136A9"/>
    <w:rsid w:val="00A13855"/>
    <w:rsid w:val="00A140A3"/>
    <w:rsid w:val="00A149B4"/>
    <w:rsid w:val="00A15500"/>
    <w:rsid w:val="00A155A6"/>
    <w:rsid w:val="00A15B34"/>
    <w:rsid w:val="00A16421"/>
    <w:rsid w:val="00A1647B"/>
    <w:rsid w:val="00A177A3"/>
    <w:rsid w:val="00A17907"/>
    <w:rsid w:val="00A20EFE"/>
    <w:rsid w:val="00A21556"/>
    <w:rsid w:val="00A21903"/>
    <w:rsid w:val="00A22AF7"/>
    <w:rsid w:val="00A23211"/>
    <w:rsid w:val="00A2405B"/>
    <w:rsid w:val="00A25013"/>
    <w:rsid w:val="00A25467"/>
    <w:rsid w:val="00A25512"/>
    <w:rsid w:val="00A2551C"/>
    <w:rsid w:val="00A25C16"/>
    <w:rsid w:val="00A2617B"/>
    <w:rsid w:val="00A27672"/>
    <w:rsid w:val="00A30028"/>
    <w:rsid w:val="00A301EF"/>
    <w:rsid w:val="00A3040F"/>
    <w:rsid w:val="00A3123A"/>
    <w:rsid w:val="00A3168A"/>
    <w:rsid w:val="00A31CD2"/>
    <w:rsid w:val="00A32EFA"/>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408EB"/>
    <w:rsid w:val="00A4133B"/>
    <w:rsid w:val="00A4189A"/>
    <w:rsid w:val="00A41A4E"/>
    <w:rsid w:val="00A42346"/>
    <w:rsid w:val="00A42565"/>
    <w:rsid w:val="00A42621"/>
    <w:rsid w:val="00A436D2"/>
    <w:rsid w:val="00A43752"/>
    <w:rsid w:val="00A4391C"/>
    <w:rsid w:val="00A443B8"/>
    <w:rsid w:val="00A452B2"/>
    <w:rsid w:val="00A454E3"/>
    <w:rsid w:val="00A463F3"/>
    <w:rsid w:val="00A47100"/>
    <w:rsid w:val="00A472D1"/>
    <w:rsid w:val="00A47335"/>
    <w:rsid w:val="00A47902"/>
    <w:rsid w:val="00A47B8B"/>
    <w:rsid w:val="00A50258"/>
    <w:rsid w:val="00A5085F"/>
    <w:rsid w:val="00A51149"/>
    <w:rsid w:val="00A53AB4"/>
    <w:rsid w:val="00A53DBB"/>
    <w:rsid w:val="00A53FB6"/>
    <w:rsid w:val="00A5498C"/>
    <w:rsid w:val="00A54FE4"/>
    <w:rsid w:val="00A5541A"/>
    <w:rsid w:val="00A56092"/>
    <w:rsid w:val="00A567CB"/>
    <w:rsid w:val="00A57DEC"/>
    <w:rsid w:val="00A60C13"/>
    <w:rsid w:val="00A615A6"/>
    <w:rsid w:val="00A61AD5"/>
    <w:rsid w:val="00A61BAB"/>
    <w:rsid w:val="00A61C95"/>
    <w:rsid w:val="00A62ADC"/>
    <w:rsid w:val="00A62DEF"/>
    <w:rsid w:val="00A637C6"/>
    <w:rsid w:val="00A63824"/>
    <w:rsid w:val="00A63A5F"/>
    <w:rsid w:val="00A63D9A"/>
    <w:rsid w:val="00A63FAB"/>
    <w:rsid w:val="00A6458B"/>
    <w:rsid w:val="00A64688"/>
    <w:rsid w:val="00A64C0E"/>
    <w:rsid w:val="00A65327"/>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F8D"/>
    <w:rsid w:val="00A749FD"/>
    <w:rsid w:val="00A74B8A"/>
    <w:rsid w:val="00A74C77"/>
    <w:rsid w:val="00A74D94"/>
    <w:rsid w:val="00A75387"/>
    <w:rsid w:val="00A758BE"/>
    <w:rsid w:val="00A75C2A"/>
    <w:rsid w:val="00A7668A"/>
    <w:rsid w:val="00A768EE"/>
    <w:rsid w:val="00A76C99"/>
    <w:rsid w:val="00A76E5A"/>
    <w:rsid w:val="00A76F14"/>
    <w:rsid w:val="00A775D5"/>
    <w:rsid w:val="00A800C8"/>
    <w:rsid w:val="00A801F8"/>
    <w:rsid w:val="00A811CB"/>
    <w:rsid w:val="00A81D00"/>
    <w:rsid w:val="00A81D2F"/>
    <w:rsid w:val="00A81E59"/>
    <w:rsid w:val="00A81EBE"/>
    <w:rsid w:val="00A826F1"/>
    <w:rsid w:val="00A82712"/>
    <w:rsid w:val="00A82D02"/>
    <w:rsid w:val="00A83AFC"/>
    <w:rsid w:val="00A8428C"/>
    <w:rsid w:val="00A84364"/>
    <w:rsid w:val="00A84806"/>
    <w:rsid w:val="00A84CD0"/>
    <w:rsid w:val="00A858E9"/>
    <w:rsid w:val="00A85E5B"/>
    <w:rsid w:val="00A85E73"/>
    <w:rsid w:val="00A86ED1"/>
    <w:rsid w:val="00A86F9B"/>
    <w:rsid w:val="00A915F4"/>
    <w:rsid w:val="00A91687"/>
    <w:rsid w:val="00A917A9"/>
    <w:rsid w:val="00A91C36"/>
    <w:rsid w:val="00A91D41"/>
    <w:rsid w:val="00A93F51"/>
    <w:rsid w:val="00A96010"/>
    <w:rsid w:val="00A9684D"/>
    <w:rsid w:val="00A97402"/>
    <w:rsid w:val="00A97873"/>
    <w:rsid w:val="00AA0B30"/>
    <w:rsid w:val="00AA0EFF"/>
    <w:rsid w:val="00AA1E6C"/>
    <w:rsid w:val="00AA29DC"/>
    <w:rsid w:val="00AA2B4F"/>
    <w:rsid w:val="00AA321D"/>
    <w:rsid w:val="00AA3259"/>
    <w:rsid w:val="00AA383C"/>
    <w:rsid w:val="00AA3C4B"/>
    <w:rsid w:val="00AA4B32"/>
    <w:rsid w:val="00AA4CFF"/>
    <w:rsid w:val="00AA4D52"/>
    <w:rsid w:val="00AA4F04"/>
    <w:rsid w:val="00AA5773"/>
    <w:rsid w:val="00AA6669"/>
    <w:rsid w:val="00AA690A"/>
    <w:rsid w:val="00AA6AB3"/>
    <w:rsid w:val="00AA6D26"/>
    <w:rsid w:val="00AA74C0"/>
    <w:rsid w:val="00AB0541"/>
    <w:rsid w:val="00AB09EE"/>
    <w:rsid w:val="00AB19B4"/>
    <w:rsid w:val="00AB2400"/>
    <w:rsid w:val="00AB25DF"/>
    <w:rsid w:val="00AB4096"/>
    <w:rsid w:val="00AB5377"/>
    <w:rsid w:val="00AB5B77"/>
    <w:rsid w:val="00AB7D08"/>
    <w:rsid w:val="00AB7F83"/>
    <w:rsid w:val="00AC0B81"/>
    <w:rsid w:val="00AC2300"/>
    <w:rsid w:val="00AC3451"/>
    <w:rsid w:val="00AC3506"/>
    <w:rsid w:val="00AC387E"/>
    <w:rsid w:val="00AC4DD2"/>
    <w:rsid w:val="00AC5210"/>
    <w:rsid w:val="00AC5BDF"/>
    <w:rsid w:val="00AC662A"/>
    <w:rsid w:val="00AC6903"/>
    <w:rsid w:val="00AC6B95"/>
    <w:rsid w:val="00AC722F"/>
    <w:rsid w:val="00AC7669"/>
    <w:rsid w:val="00AC79C9"/>
    <w:rsid w:val="00AD0AF6"/>
    <w:rsid w:val="00AD277E"/>
    <w:rsid w:val="00AD343E"/>
    <w:rsid w:val="00AD4267"/>
    <w:rsid w:val="00AD476A"/>
    <w:rsid w:val="00AD47AA"/>
    <w:rsid w:val="00AD4ABF"/>
    <w:rsid w:val="00AD4C67"/>
    <w:rsid w:val="00AD52D1"/>
    <w:rsid w:val="00AD54E1"/>
    <w:rsid w:val="00AD5632"/>
    <w:rsid w:val="00AD6306"/>
    <w:rsid w:val="00AD67DE"/>
    <w:rsid w:val="00AD6842"/>
    <w:rsid w:val="00AD7076"/>
    <w:rsid w:val="00AD739C"/>
    <w:rsid w:val="00AE0764"/>
    <w:rsid w:val="00AE16D1"/>
    <w:rsid w:val="00AE1BC1"/>
    <w:rsid w:val="00AE1BD1"/>
    <w:rsid w:val="00AE1DBE"/>
    <w:rsid w:val="00AE276C"/>
    <w:rsid w:val="00AE3DF4"/>
    <w:rsid w:val="00AE418B"/>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329"/>
    <w:rsid w:val="00AF0774"/>
    <w:rsid w:val="00AF11B5"/>
    <w:rsid w:val="00AF1F48"/>
    <w:rsid w:val="00AF2612"/>
    <w:rsid w:val="00AF3889"/>
    <w:rsid w:val="00AF39DC"/>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22D8"/>
    <w:rsid w:val="00B024A5"/>
    <w:rsid w:val="00B02540"/>
    <w:rsid w:val="00B039AB"/>
    <w:rsid w:val="00B039E9"/>
    <w:rsid w:val="00B03B7D"/>
    <w:rsid w:val="00B04DC3"/>
    <w:rsid w:val="00B04EED"/>
    <w:rsid w:val="00B0529B"/>
    <w:rsid w:val="00B05E03"/>
    <w:rsid w:val="00B0644E"/>
    <w:rsid w:val="00B1077D"/>
    <w:rsid w:val="00B10841"/>
    <w:rsid w:val="00B10B1F"/>
    <w:rsid w:val="00B11176"/>
    <w:rsid w:val="00B123B7"/>
    <w:rsid w:val="00B13CB1"/>
    <w:rsid w:val="00B14BEA"/>
    <w:rsid w:val="00B167CE"/>
    <w:rsid w:val="00B16B62"/>
    <w:rsid w:val="00B1758A"/>
    <w:rsid w:val="00B17902"/>
    <w:rsid w:val="00B17A2E"/>
    <w:rsid w:val="00B17C66"/>
    <w:rsid w:val="00B20292"/>
    <w:rsid w:val="00B206B1"/>
    <w:rsid w:val="00B20B13"/>
    <w:rsid w:val="00B20BCC"/>
    <w:rsid w:val="00B22004"/>
    <w:rsid w:val="00B22C0A"/>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D3D"/>
    <w:rsid w:val="00B32623"/>
    <w:rsid w:val="00B331DC"/>
    <w:rsid w:val="00B33BCF"/>
    <w:rsid w:val="00B35546"/>
    <w:rsid w:val="00B3556A"/>
    <w:rsid w:val="00B35594"/>
    <w:rsid w:val="00B3580D"/>
    <w:rsid w:val="00B36B6D"/>
    <w:rsid w:val="00B3756E"/>
    <w:rsid w:val="00B3781E"/>
    <w:rsid w:val="00B401AE"/>
    <w:rsid w:val="00B402BB"/>
    <w:rsid w:val="00B414AF"/>
    <w:rsid w:val="00B41708"/>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7E9"/>
    <w:rsid w:val="00B50878"/>
    <w:rsid w:val="00B50D0F"/>
    <w:rsid w:val="00B51EF7"/>
    <w:rsid w:val="00B5205A"/>
    <w:rsid w:val="00B52363"/>
    <w:rsid w:val="00B524C0"/>
    <w:rsid w:val="00B52693"/>
    <w:rsid w:val="00B52CF9"/>
    <w:rsid w:val="00B52D9E"/>
    <w:rsid w:val="00B530F8"/>
    <w:rsid w:val="00B535DF"/>
    <w:rsid w:val="00B53C31"/>
    <w:rsid w:val="00B5445A"/>
    <w:rsid w:val="00B555A9"/>
    <w:rsid w:val="00B55A15"/>
    <w:rsid w:val="00B55E82"/>
    <w:rsid w:val="00B563AF"/>
    <w:rsid w:val="00B563E9"/>
    <w:rsid w:val="00B56902"/>
    <w:rsid w:val="00B56922"/>
    <w:rsid w:val="00B56B70"/>
    <w:rsid w:val="00B57983"/>
    <w:rsid w:val="00B604C8"/>
    <w:rsid w:val="00B60ED0"/>
    <w:rsid w:val="00B62189"/>
    <w:rsid w:val="00B627E7"/>
    <w:rsid w:val="00B6283F"/>
    <w:rsid w:val="00B62F33"/>
    <w:rsid w:val="00B630AC"/>
    <w:rsid w:val="00B65066"/>
    <w:rsid w:val="00B6668D"/>
    <w:rsid w:val="00B666B9"/>
    <w:rsid w:val="00B66A94"/>
    <w:rsid w:val="00B66F81"/>
    <w:rsid w:val="00B67145"/>
    <w:rsid w:val="00B677F1"/>
    <w:rsid w:val="00B67914"/>
    <w:rsid w:val="00B707AF"/>
    <w:rsid w:val="00B70882"/>
    <w:rsid w:val="00B709B8"/>
    <w:rsid w:val="00B7275C"/>
    <w:rsid w:val="00B72D75"/>
    <w:rsid w:val="00B72F97"/>
    <w:rsid w:val="00B73774"/>
    <w:rsid w:val="00B741EF"/>
    <w:rsid w:val="00B747A2"/>
    <w:rsid w:val="00B75001"/>
    <w:rsid w:val="00B75D6E"/>
    <w:rsid w:val="00B75F72"/>
    <w:rsid w:val="00B76DC1"/>
    <w:rsid w:val="00B77CFD"/>
    <w:rsid w:val="00B800B7"/>
    <w:rsid w:val="00B80425"/>
    <w:rsid w:val="00B805C4"/>
    <w:rsid w:val="00B806D4"/>
    <w:rsid w:val="00B81548"/>
    <w:rsid w:val="00B81633"/>
    <w:rsid w:val="00B81F81"/>
    <w:rsid w:val="00B82FF5"/>
    <w:rsid w:val="00B831BA"/>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2313"/>
    <w:rsid w:val="00B933BC"/>
    <w:rsid w:val="00B93791"/>
    <w:rsid w:val="00B93921"/>
    <w:rsid w:val="00B945A2"/>
    <w:rsid w:val="00B94702"/>
    <w:rsid w:val="00B962AB"/>
    <w:rsid w:val="00B966B6"/>
    <w:rsid w:val="00B96C66"/>
    <w:rsid w:val="00B97B6F"/>
    <w:rsid w:val="00BA05AF"/>
    <w:rsid w:val="00BA0622"/>
    <w:rsid w:val="00BA096B"/>
    <w:rsid w:val="00BA13D0"/>
    <w:rsid w:val="00BA14FE"/>
    <w:rsid w:val="00BA1C0C"/>
    <w:rsid w:val="00BA1C65"/>
    <w:rsid w:val="00BA1F66"/>
    <w:rsid w:val="00BA23AE"/>
    <w:rsid w:val="00BA2A52"/>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CCE"/>
    <w:rsid w:val="00BB065D"/>
    <w:rsid w:val="00BB14CF"/>
    <w:rsid w:val="00BB17C8"/>
    <w:rsid w:val="00BB1CF9"/>
    <w:rsid w:val="00BB2101"/>
    <w:rsid w:val="00BB2133"/>
    <w:rsid w:val="00BB26DC"/>
    <w:rsid w:val="00BB30F3"/>
    <w:rsid w:val="00BB315F"/>
    <w:rsid w:val="00BB325E"/>
    <w:rsid w:val="00BB3D90"/>
    <w:rsid w:val="00BB48F1"/>
    <w:rsid w:val="00BB5036"/>
    <w:rsid w:val="00BB5BAF"/>
    <w:rsid w:val="00BB6888"/>
    <w:rsid w:val="00BB6EFD"/>
    <w:rsid w:val="00BB779D"/>
    <w:rsid w:val="00BB7A4D"/>
    <w:rsid w:val="00BC068E"/>
    <w:rsid w:val="00BC107E"/>
    <w:rsid w:val="00BC1C7C"/>
    <w:rsid w:val="00BC205F"/>
    <w:rsid w:val="00BC3D44"/>
    <w:rsid w:val="00BC4213"/>
    <w:rsid w:val="00BC4C7F"/>
    <w:rsid w:val="00BC5C80"/>
    <w:rsid w:val="00BC5D5B"/>
    <w:rsid w:val="00BC5F08"/>
    <w:rsid w:val="00BC6161"/>
    <w:rsid w:val="00BC65A4"/>
    <w:rsid w:val="00BC65B2"/>
    <w:rsid w:val="00BC75B3"/>
    <w:rsid w:val="00BC7E15"/>
    <w:rsid w:val="00BC7E36"/>
    <w:rsid w:val="00BD020B"/>
    <w:rsid w:val="00BD09B1"/>
    <w:rsid w:val="00BD0FE8"/>
    <w:rsid w:val="00BD16D6"/>
    <w:rsid w:val="00BD1B72"/>
    <w:rsid w:val="00BD27D4"/>
    <w:rsid w:val="00BD31B3"/>
    <w:rsid w:val="00BD3BB5"/>
    <w:rsid w:val="00BD41C0"/>
    <w:rsid w:val="00BD485C"/>
    <w:rsid w:val="00BD4AA0"/>
    <w:rsid w:val="00BD521B"/>
    <w:rsid w:val="00BD6053"/>
    <w:rsid w:val="00BD6593"/>
    <w:rsid w:val="00BD66B2"/>
    <w:rsid w:val="00BD71AD"/>
    <w:rsid w:val="00BD76B1"/>
    <w:rsid w:val="00BD7725"/>
    <w:rsid w:val="00BD786C"/>
    <w:rsid w:val="00BD78AD"/>
    <w:rsid w:val="00BD78F4"/>
    <w:rsid w:val="00BE0F6C"/>
    <w:rsid w:val="00BE1D73"/>
    <w:rsid w:val="00BE1EC9"/>
    <w:rsid w:val="00BE1F09"/>
    <w:rsid w:val="00BE2650"/>
    <w:rsid w:val="00BE26F9"/>
    <w:rsid w:val="00BE2DD8"/>
    <w:rsid w:val="00BE301A"/>
    <w:rsid w:val="00BE400A"/>
    <w:rsid w:val="00BE458A"/>
    <w:rsid w:val="00BE4BE8"/>
    <w:rsid w:val="00BE4DBA"/>
    <w:rsid w:val="00BE4E51"/>
    <w:rsid w:val="00BE5D07"/>
    <w:rsid w:val="00BE61FC"/>
    <w:rsid w:val="00BE716A"/>
    <w:rsid w:val="00BE7A1E"/>
    <w:rsid w:val="00BF0159"/>
    <w:rsid w:val="00BF0D84"/>
    <w:rsid w:val="00BF1423"/>
    <w:rsid w:val="00BF18FE"/>
    <w:rsid w:val="00BF1C55"/>
    <w:rsid w:val="00BF224A"/>
    <w:rsid w:val="00BF28A4"/>
    <w:rsid w:val="00BF37C5"/>
    <w:rsid w:val="00BF3AAA"/>
    <w:rsid w:val="00BF42FD"/>
    <w:rsid w:val="00BF497A"/>
    <w:rsid w:val="00BF4AC8"/>
    <w:rsid w:val="00BF5BF6"/>
    <w:rsid w:val="00BF5E37"/>
    <w:rsid w:val="00BF6983"/>
    <w:rsid w:val="00BF70D4"/>
    <w:rsid w:val="00BF71E4"/>
    <w:rsid w:val="00BF7831"/>
    <w:rsid w:val="00BF7B13"/>
    <w:rsid w:val="00C0163D"/>
    <w:rsid w:val="00C017CA"/>
    <w:rsid w:val="00C02152"/>
    <w:rsid w:val="00C021C9"/>
    <w:rsid w:val="00C0264E"/>
    <w:rsid w:val="00C03099"/>
    <w:rsid w:val="00C03CE8"/>
    <w:rsid w:val="00C0494D"/>
    <w:rsid w:val="00C04B74"/>
    <w:rsid w:val="00C05806"/>
    <w:rsid w:val="00C05FA3"/>
    <w:rsid w:val="00C06A1F"/>
    <w:rsid w:val="00C07158"/>
    <w:rsid w:val="00C108A9"/>
    <w:rsid w:val="00C10D63"/>
    <w:rsid w:val="00C123A3"/>
    <w:rsid w:val="00C12466"/>
    <w:rsid w:val="00C141FB"/>
    <w:rsid w:val="00C143BD"/>
    <w:rsid w:val="00C1441B"/>
    <w:rsid w:val="00C14FB5"/>
    <w:rsid w:val="00C151EC"/>
    <w:rsid w:val="00C1544B"/>
    <w:rsid w:val="00C15A04"/>
    <w:rsid w:val="00C1656A"/>
    <w:rsid w:val="00C16815"/>
    <w:rsid w:val="00C17D4D"/>
    <w:rsid w:val="00C205F8"/>
    <w:rsid w:val="00C2100C"/>
    <w:rsid w:val="00C2106B"/>
    <w:rsid w:val="00C21175"/>
    <w:rsid w:val="00C226C2"/>
    <w:rsid w:val="00C2297F"/>
    <w:rsid w:val="00C22CC3"/>
    <w:rsid w:val="00C2305A"/>
    <w:rsid w:val="00C237BB"/>
    <w:rsid w:val="00C23CC9"/>
    <w:rsid w:val="00C24114"/>
    <w:rsid w:val="00C248DB"/>
    <w:rsid w:val="00C248DD"/>
    <w:rsid w:val="00C2492B"/>
    <w:rsid w:val="00C2557A"/>
    <w:rsid w:val="00C255F6"/>
    <w:rsid w:val="00C256E7"/>
    <w:rsid w:val="00C25831"/>
    <w:rsid w:val="00C2605E"/>
    <w:rsid w:val="00C26EDD"/>
    <w:rsid w:val="00C27BF6"/>
    <w:rsid w:val="00C27C80"/>
    <w:rsid w:val="00C30577"/>
    <w:rsid w:val="00C30B3D"/>
    <w:rsid w:val="00C30BEF"/>
    <w:rsid w:val="00C30DC6"/>
    <w:rsid w:val="00C31631"/>
    <w:rsid w:val="00C316BC"/>
    <w:rsid w:val="00C31E72"/>
    <w:rsid w:val="00C32004"/>
    <w:rsid w:val="00C323BD"/>
    <w:rsid w:val="00C32B66"/>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33C4"/>
    <w:rsid w:val="00C43FBA"/>
    <w:rsid w:val="00C441CC"/>
    <w:rsid w:val="00C44475"/>
    <w:rsid w:val="00C44F87"/>
    <w:rsid w:val="00C45757"/>
    <w:rsid w:val="00C4609E"/>
    <w:rsid w:val="00C46807"/>
    <w:rsid w:val="00C47D44"/>
    <w:rsid w:val="00C50B1E"/>
    <w:rsid w:val="00C51C72"/>
    <w:rsid w:val="00C51CB1"/>
    <w:rsid w:val="00C521B4"/>
    <w:rsid w:val="00C52914"/>
    <w:rsid w:val="00C532A5"/>
    <w:rsid w:val="00C544CC"/>
    <w:rsid w:val="00C546E7"/>
    <w:rsid w:val="00C55114"/>
    <w:rsid w:val="00C56262"/>
    <w:rsid w:val="00C57198"/>
    <w:rsid w:val="00C578CE"/>
    <w:rsid w:val="00C617BF"/>
    <w:rsid w:val="00C6205F"/>
    <w:rsid w:val="00C62692"/>
    <w:rsid w:val="00C62791"/>
    <w:rsid w:val="00C62FA1"/>
    <w:rsid w:val="00C64069"/>
    <w:rsid w:val="00C64871"/>
    <w:rsid w:val="00C64B36"/>
    <w:rsid w:val="00C64C87"/>
    <w:rsid w:val="00C653BA"/>
    <w:rsid w:val="00C657B4"/>
    <w:rsid w:val="00C6774F"/>
    <w:rsid w:val="00C677AA"/>
    <w:rsid w:val="00C67EA3"/>
    <w:rsid w:val="00C71914"/>
    <w:rsid w:val="00C7263B"/>
    <w:rsid w:val="00C727EF"/>
    <w:rsid w:val="00C72D01"/>
    <w:rsid w:val="00C72F2F"/>
    <w:rsid w:val="00C73290"/>
    <w:rsid w:val="00C736A7"/>
    <w:rsid w:val="00C74181"/>
    <w:rsid w:val="00C74636"/>
    <w:rsid w:val="00C74AF1"/>
    <w:rsid w:val="00C74B8C"/>
    <w:rsid w:val="00C752C9"/>
    <w:rsid w:val="00C759F1"/>
    <w:rsid w:val="00C7613A"/>
    <w:rsid w:val="00C761B9"/>
    <w:rsid w:val="00C77315"/>
    <w:rsid w:val="00C77AEB"/>
    <w:rsid w:val="00C77C98"/>
    <w:rsid w:val="00C80069"/>
    <w:rsid w:val="00C805DA"/>
    <w:rsid w:val="00C8096C"/>
    <w:rsid w:val="00C80A78"/>
    <w:rsid w:val="00C80F33"/>
    <w:rsid w:val="00C80FD0"/>
    <w:rsid w:val="00C8100B"/>
    <w:rsid w:val="00C816BC"/>
    <w:rsid w:val="00C825DD"/>
    <w:rsid w:val="00C82BAA"/>
    <w:rsid w:val="00C82DDB"/>
    <w:rsid w:val="00C852AC"/>
    <w:rsid w:val="00C857F9"/>
    <w:rsid w:val="00C86543"/>
    <w:rsid w:val="00C8683F"/>
    <w:rsid w:val="00C86967"/>
    <w:rsid w:val="00C87D19"/>
    <w:rsid w:val="00C906CF"/>
    <w:rsid w:val="00C9091D"/>
    <w:rsid w:val="00C90FA2"/>
    <w:rsid w:val="00C91CA5"/>
    <w:rsid w:val="00C91D17"/>
    <w:rsid w:val="00C91D26"/>
    <w:rsid w:val="00C92267"/>
    <w:rsid w:val="00C92D31"/>
    <w:rsid w:val="00C94857"/>
    <w:rsid w:val="00C959C2"/>
    <w:rsid w:val="00C95BC5"/>
    <w:rsid w:val="00C95DEA"/>
    <w:rsid w:val="00C95FCA"/>
    <w:rsid w:val="00C974ED"/>
    <w:rsid w:val="00C976AC"/>
    <w:rsid w:val="00C97A8D"/>
    <w:rsid w:val="00CA0083"/>
    <w:rsid w:val="00CA04C0"/>
    <w:rsid w:val="00CA0837"/>
    <w:rsid w:val="00CA0BD9"/>
    <w:rsid w:val="00CA4064"/>
    <w:rsid w:val="00CA41D2"/>
    <w:rsid w:val="00CA4753"/>
    <w:rsid w:val="00CA4D91"/>
    <w:rsid w:val="00CA4F20"/>
    <w:rsid w:val="00CA5908"/>
    <w:rsid w:val="00CA5D21"/>
    <w:rsid w:val="00CA6512"/>
    <w:rsid w:val="00CA7A61"/>
    <w:rsid w:val="00CB0C16"/>
    <w:rsid w:val="00CB1327"/>
    <w:rsid w:val="00CB149F"/>
    <w:rsid w:val="00CB1EAE"/>
    <w:rsid w:val="00CB1F5B"/>
    <w:rsid w:val="00CB2147"/>
    <w:rsid w:val="00CB24DD"/>
    <w:rsid w:val="00CB30F5"/>
    <w:rsid w:val="00CB3133"/>
    <w:rsid w:val="00CB315D"/>
    <w:rsid w:val="00CB3B4E"/>
    <w:rsid w:val="00CB3EC6"/>
    <w:rsid w:val="00CB4BEE"/>
    <w:rsid w:val="00CB4F56"/>
    <w:rsid w:val="00CB598E"/>
    <w:rsid w:val="00CB68CC"/>
    <w:rsid w:val="00CB6BB5"/>
    <w:rsid w:val="00CB6D6A"/>
    <w:rsid w:val="00CB7873"/>
    <w:rsid w:val="00CC0309"/>
    <w:rsid w:val="00CC07DB"/>
    <w:rsid w:val="00CC0A26"/>
    <w:rsid w:val="00CC0AB1"/>
    <w:rsid w:val="00CC1838"/>
    <w:rsid w:val="00CC341C"/>
    <w:rsid w:val="00CC3645"/>
    <w:rsid w:val="00CC3F55"/>
    <w:rsid w:val="00CC4116"/>
    <w:rsid w:val="00CC54B1"/>
    <w:rsid w:val="00CC55AE"/>
    <w:rsid w:val="00CC79A2"/>
    <w:rsid w:val="00CC7D66"/>
    <w:rsid w:val="00CD0153"/>
    <w:rsid w:val="00CD02C6"/>
    <w:rsid w:val="00CD092E"/>
    <w:rsid w:val="00CD0A75"/>
    <w:rsid w:val="00CD11DE"/>
    <w:rsid w:val="00CD143E"/>
    <w:rsid w:val="00CD1963"/>
    <w:rsid w:val="00CD19CA"/>
    <w:rsid w:val="00CD1AC2"/>
    <w:rsid w:val="00CD31B3"/>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EE4"/>
    <w:rsid w:val="00CE3346"/>
    <w:rsid w:val="00CE3797"/>
    <w:rsid w:val="00CE3ADA"/>
    <w:rsid w:val="00CE4025"/>
    <w:rsid w:val="00CE41CB"/>
    <w:rsid w:val="00CE48D3"/>
    <w:rsid w:val="00CE498F"/>
    <w:rsid w:val="00CE5D42"/>
    <w:rsid w:val="00CE5FE1"/>
    <w:rsid w:val="00CE6803"/>
    <w:rsid w:val="00CE6D99"/>
    <w:rsid w:val="00CE7CAC"/>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7C31"/>
    <w:rsid w:val="00D00CF6"/>
    <w:rsid w:val="00D013E2"/>
    <w:rsid w:val="00D01F80"/>
    <w:rsid w:val="00D0208A"/>
    <w:rsid w:val="00D025CC"/>
    <w:rsid w:val="00D028B3"/>
    <w:rsid w:val="00D0293C"/>
    <w:rsid w:val="00D02DA7"/>
    <w:rsid w:val="00D0304E"/>
    <w:rsid w:val="00D04EC9"/>
    <w:rsid w:val="00D053C2"/>
    <w:rsid w:val="00D05E0E"/>
    <w:rsid w:val="00D06218"/>
    <w:rsid w:val="00D066C4"/>
    <w:rsid w:val="00D104AC"/>
    <w:rsid w:val="00D10566"/>
    <w:rsid w:val="00D105A1"/>
    <w:rsid w:val="00D11C6E"/>
    <w:rsid w:val="00D12AD5"/>
    <w:rsid w:val="00D138B4"/>
    <w:rsid w:val="00D13D12"/>
    <w:rsid w:val="00D140C2"/>
    <w:rsid w:val="00D149DF"/>
    <w:rsid w:val="00D152AA"/>
    <w:rsid w:val="00D15500"/>
    <w:rsid w:val="00D15C15"/>
    <w:rsid w:val="00D15E24"/>
    <w:rsid w:val="00D16725"/>
    <w:rsid w:val="00D16D23"/>
    <w:rsid w:val="00D17643"/>
    <w:rsid w:val="00D17911"/>
    <w:rsid w:val="00D17FB4"/>
    <w:rsid w:val="00D20188"/>
    <w:rsid w:val="00D201E3"/>
    <w:rsid w:val="00D2027A"/>
    <w:rsid w:val="00D20B23"/>
    <w:rsid w:val="00D20C94"/>
    <w:rsid w:val="00D218EF"/>
    <w:rsid w:val="00D22433"/>
    <w:rsid w:val="00D22748"/>
    <w:rsid w:val="00D22E55"/>
    <w:rsid w:val="00D232AE"/>
    <w:rsid w:val="00D233E0"/>
    <w:rsid w:val="00D2347F"/>
    <w:rsid w:val="00D23626"/>
    <w:rsid w:val="00D25371"/>
    <w:rsid w:val="00D26918"/>
    <w:rsid w:val="00D27734"/>
    <w:rsid w:val="00D27BED"/>
    <w:rsid w:val="00D3182A"/>
    <w:rsid w:val="00D32136"/>
    <w:rsid w:val="00D3222B"/>
    <w:rsid w:val="00D3227D"/>
    <w:rsid w:val="00D330D8"/>
    <w:rsid w:val="00D33197"/>
    <w:rsid w:val="00D33567"/>
    <w:rsid w:val="00D33EEE"/>
    <w:rsid w:val="00D341A7"/>
    <w:rsid w:val="00D34B4B"/>
    <w:rsid w:val="00D35236"/>
    <w:rsid w:val="00D35305"/>
    <w:rsid w:val="00D3579C"/>
    <w:rsid w:val="00D37121"/>
    <w:rsid w:val="00D376AA"/>
    <w:rsid w:val="00D40043"/>
    <w:rsid w:val="00D40502"/>
    <w:rsid w:val="00D40A47"/>
    <w:rsid w:val="00D41051"/>
    <w:rsid w:val="00D410F8"/>
    <w:rsid w:val="00D417AE"/>
    <w:rsid w:val="00D41B6F"/>
    <w:rsid w:val="00D43902"/>
    <w:rsid w:val="00D446AE"/>
    <w:rsid w:val="00D457ED"/>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A96"/>
    <w:rsid w:val="00D56796"/>
    <w:rsid w:val="00D56D40"/>
    <w:rsid w:val="00D56D85"/>
    <w:rsid w:val="00D57461"/>
    <w:rsid w:val="00D60345"/>
    <w:rsid w:val="00D60B6B"/>
    <w:rsid w:val="00D60C19"/>
    <w:rsid w:val="00D60D72"/>
    <w:rsid w:val="00D60D80"/>
    <w:rsid w:val="00D61918"/>
    <w:rsid w:val="00D61F53"/>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79F7"/>
    <w:rsid w:val="00D80040"/>
    <w:rsid w:val="00D80557"/>
    <w:rsid w:val="00D80754"/>
    <w:rsid w:val="00D81F77"/>
    <w:rsid w:val="00D82F54"/>
    <w:rsid w:val="00D83026"/>
    <w:rsid w:val="00D83045"/>
    <w:rsid w:val="00D83354"/>
    <w:rsid w:val="00D844D3"/>
    <w:rsid w:val="00D857E6"/>
    <w:rsid w:val="00D85885"/>
    <w:rsid w:val="00D8653A"/>
    <w:rsid w:val="00D871CE"/>
    <w:rsid w:val="00D87542"/>
    <w:rsid w:val="00D87D77"/>
    <w:rsid w:val="00D90174"/>
    <w:rsid w:val="00D91AF5"/>
    <w:rsid w:val="00D920CA"/>
    <w:rsid w:val="00D92BFA"/>
    <w:rsid w:val="00D935D1"/>
    <w:rsid w:val="00D9375F"/>
    <w:rsid w:val="00D937F8"/>
    <w:rsid w:val="00D93883"/>
    <w:rsid w:val="00D93A88"/>
    <w:rsid w:val="00D93B43"/>
    <w:rsid w:val="00D93D76"/>
    <w:rsid w:val="00D93D78"/>
    <w:rsid w:val="00D93FAF"/>
    <w:rsid w:val="00D940D3"/>
    <w:rsid w:val="00D94DB5"/>
    <w:rsid w:val="00D95202"/>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4512"/>
    <w:rsid w:val="00DA4697"/>
    <w:rsid w:val="00DA4D03"/>
    <w:rsid w:val="00DA4EAF"/>
    <w:rsid w:val="00DA5A16"/>
    <w:rsid w:val="00DA6949"/>
    <w:rsid w:val="00DA7D0B"/>
    <w:rsid w:val="00DB07CA"/>
    <w:rsid w:val="00DB0823"/>
    <w:rsid w:val="00DB0E2A"/>
    <w:rsid w:val="00DB111E"/>
    <w:rsid w:val="00DB2718"/>
    <w:rsid w:val="00DB2773"/>
    <w:rsid w:val="00DB27E9"/>
    <w:rsid w:val="00DB2A06"/>
    <w:rsid w:val="00DB383F"/>
    <w:rsid w:val="00DB3A50"/>
    <w:rsid w:val="00DB532F"/>
    <w:rsid w:val="00DB53D6"/>
    <w:rsid w:val="00DB5CC0"/>
    <w:rsid w:val="00DB5FF0"/>
    <w:rsid w:val="00DB63F1"/>
    <w:rsid w:val="00DB65D7"/>
    <w:rsid w:val="00DB6791"/>
    <w:rsid w:val="00DB6C38"/>
    <w:rsid w:val="00DB6E76"/>
    <w:rsid w:val="00DB736F"/>
    <w:rsid w:val="00DB7445"/>
    <w:rsid w:val="00DB7CD9"/>
    <w:rsid w:val="00DB7D53"/>
    <w:rsid w:val="00DC0464"/>
    <w:rsid w:val="00DC0787"/>
    <w:rsid w:val="00DC0F18"/>
    <w:rsid w:val="00DC1303"/>
    <w:rsid w:val="00DC1403"/>
    <w:rsid w:val="00DC389B"/>
    <w:rsid w:val="00DC394C"/>
    <w:rsid w:val="00DC42A4"/>
    <w:rsid w:val="00DC42EA"/>
    <w:rsid w:val="00DC4933"/>
    <w:rsid w:val="00DC558C"/>
    <w:rsid w:val="00DC5ED6"/>
    <w:rsid w:val="00DC635D"/>
    <w:rsid w:val="00DC6513"/>
    <w:rsid w:val="00DC693E"/>
    <w:rsid w:val="00DC7C31"/>
    <w:rsid w:val="00DD0C3F"/>
    <w:rsid w:val="00DD1F41"/>
    <w:rsid w:val="00DD2321"/>
    <w:rsid w:val="00DD26CC"/>
    <w:rsid w:val="00DD3543"/>
    <w:rsid w:val="00DD3766"/>
    <w:rsid w:val="00DD380F"/>
    <w:rsid w:val="00DD503F"/>
    <w:rsid w:val="00DD514C"/>
    <w:rsid w:val="00DD68C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52B7"/>
    <w:rsid w:val="00DE6636"/>
    <w:rsid w:val="00DE6C5F"/>
    <w:rsid w:val="00DE70EA"/>
    <w:rsid w:val="00DF0175"/>
    <w:rsid w:val="00DF0B89"/>
    <w:rsid w:val="00DF131B"/>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73B6"/>
    <w:rsid w:val="00DF781C"/>
    <w:rsid w:val="00E00270"/>
    <w:rsid w:val="00E008D8"/>
    <w:rsid w:val="00E00C6B"/>
    <w:rsid w:val="00E02A3C"/>
    <w:rsid w:val="00E02F70"/>
    <w:rsid w:val="00E032F6"/>
    <w:rsid w:val="00E03F4C"/>
    <w:rsid w:val="00E03F4E"/>
    <w:rsid w:val="00E049A5"/>
    <w:rsid w:val="00E051FB"/>
    <w:rsid w:val="00E056B0"/>
    <w:rsid w:val="00E05984"/>
    <w:rsid w:val="00E05C27"/>
    <w:rsid w:val="00E063DE"/>
    <w:rsid w:val="00E0671B"/>
    <w:rsid w:val="00E07453"/>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AF9"/>
    <w:rsid w:val="00E31FB7"/>
    <w:rsid w:val="00E32363"/>
    <w:rsid w:val="00E32488"/>
    <w:rsid w:val="00E327E4"/>
    <w:rsid w:val="00E32E77"/>
    <w:rsid w:val="00E3388D"/>
    <w:rsid w:val="00E34A76"/>
    <w:rsid w:val="00E34C86"/>
    <w:rsid w:val="00E34DB8"/>
    <w:rsid w:val="00E35369"/>
    <w:rsid w:val="00E35682"/>
    <w:rsid w:val="00E35930"/>
    <w:rsid w:val="00E35A09"/>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6906"/>
    <w:rsid w:val="00E46AA8"/>
    <w:rsid w:val="00E46EA3"/>
    <w:rsid w:val="00E47D3D"/>
    <w:rsid w:val="00E50223"/>
    <w:rsid w:val="00E5059B"/>
    <w:rsid w:val="00E50F61"/>
    <w:rsid w:val="00E51502"/>
    <w:rsid w:val="00E51C1B"/>
    <w:rsid w:val="00E5332C"/>
    <w:rsid w:val="00E53353"/>
    <w:rsid w:val="00E535A6"/>
    <w:rsid w:val="00E53C45"/>
    <w:rsid w:val="00E53CE0"/>
    <w:rsid w:val="00E53DA7"/>
    <w:rsid w:val="00E54C11"/>
    <w:rsid w:val="00E55DB0"/>
    <w:rsid w:val="00E5703B"/>
    <w:rsid w:val="00E577EC"/>
    <w:rsid w:val="00E57C4D"/>
    <w:rsid w:val="00E602BD"/>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12F8"/>
    <w:rsid w:val="00E71416"/>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CEF"/>
    <w:rsid w:val="00E82D91"/>
    <w:rsid w:val="00E82EA3"/>
    <w:rsid w:val="00E83A79"/>
    <w:rsid w:val="00E83DC4"/>
    <w:rsid w:val="00E83DCE"/>
    <w:rsid w:val="00E842A8"/>
    <w:rsid w:val="00E84360"/>
    <w:rsid w:val="00E847B3"/>
    <w:rsid w:val="00E84E89"/>
    <w:rsid w:val="00E86804"/>
    <w:rsid w:val="00E86871"/>
    <w:rsid w:val="00E870BF"/>
    <w:rsid w:val="00E871BC"/>
    <w:rsid w:val="00E87A23"/>
    <w:rsid w:val="00E90229"/>
    <w:rsid w:val="00E90ABA"/>
    <w:rsid w:val="00E91899"/>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8D1"/>
    <w:rsid w:val="00EA335A"/>
    <w:rsid w:val="00EA3D63"/>
    <w:rsid w:val="00EA4F3D"/>
    <w:rsid w:val="00EA55C1"/>
    <w:rsid w:val="00EA5AC0"/>
    <w:rsid w:val="00EA61F0"/>
    <w:rsid w:val="00EA6854"/>
    <w:rsid w:val="00EA7391"/>
    <w:rsid w:val="00EB0AA6"/>
    <w:rsid w:val="00EB1273"/>
    <w:rsid w:val="00EB1C22"/>
    <w:rsid w:val="00EB22C0"/>
    <w:rsid w:val="00EB396F"/>
    <w:rsid w:val="00EB400B"/>
    <w:rsid w:val="00EB4B77"/>
    <w:rsid w:val="00EB4F3B"/>
    <w:rsid w:val="00EB50F0"/>
    <w:rsid w:val="00EB5C40"/>
    <w:rsid w:val="00EB5DB5"/>
    <w:rsid w:val="00EB6A2C"/>
    <w:rsid w:val="00EB6B83"/>
    <w:rsid w:val="00EB6DA9"/>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7B1"/>
    <w:rsid w:val="00ED41B5"/>
    <w:rsid w:val="00ED41DC"/>
    <w:rsid w:val="00ED42A0"/>
    <w:rsid w:val="00ED5433"/>
    <w:rsid w:val="00ED6D2B"/>
    <w:rsid w:val="00ED78DB"/>
    <w:rsid w:val="00ED7DE0"/>
    <w:rsid w:val="00EE0BC0"/>
    <w:rsid w:val="00EE11C7"/>
    <w:rsid w:val="00EE123E"/>
    <w:rsid w:val="00EE298D"/>
    <w:rsid w:val="00EE2B5D"/>
    <w:rsid w:val="00EE2BB3"/>
    <w:rsid w:val="00EE37A3"/>
    <w:rsid w:val="00EE4E61"/>
    <w:rsid w:val="00EE4F91"/>
    <w:rsid w:val="00EE6737"/>
    <w:rsid w:val="00EE6D5C"/>
    <w:rsid w:val="00EE7093"/>
    <w:rsid w:val="00EE70C3"/>
    <w:rsid w:val="00EE7375"/>
    <w:rsid w:val="00EE7465"/>
    <w:rsid w:val="00EE75B5"/>
    <w:rsid w:val="00EE7E8F"/>
    <w:rsid w:val="00EF2215"/>
    <w:rsid w:val="00EF302F"/>
    <w:rsid w:val="00EF3040"/>
    <w:rsid w:val="00EF3061"/>
    <w:rsid w:val="00EF3B49"/>
    <w:rsid w:val="00EF45CF"/>
    <w:rsid w:val="00EF4B52"/>
    <w:rsid w:val="00EF5517"/>
    <w:rsid w:val="00EF5CDA"/>
    <w:rsid w:val="00EF70BA"/>
    <w:rsid w:val="00F002A4"/>
    <w:rsid w:val="00F0031B"/>
    <w:rsid w:val="00F005E5"/>
    <w:rsid w:val="00F00B12"/>
    <w:rsid w:val="00F00B5D"/>
    <w:rsid w:val="00F00CF5"/>
    <w:rsid w:val="00F013CB"/>
    <w:rsid w:val="00F018BF"/>
    <w:rsid w:val="00F01B1E"/>
    <w:rsid w:val="00F0204B"/>
    <w:rsid w:val="00F02214"/>
    <w:rsid w:val="00F02230"/>
    <w:rsid w:val="00F0267C"/>
    <w:rsid w:val="00F02FF5"/>
    <w:rsid w:val="00F03379"/>
    <w:rsid w:val="00F0345E"/>
    <w:rsid w:val="00F03FC4"/>
    <w:rsid w:val="00F04BF2"/>
    <w:rsid w:val="00F05790"/>
    <w:rsid w:val="00F05CF9"/>
    <w:rsid w:val="00F06960"/>
    <w:rsid w:val="00F06967"/>
    <w:rsid w:val="00F07E52"/>
    <w:rsid w:val="00F106E4"/>
    <w:rsid w:val="00F10ECA"/>
    <w:rsid w:val="00F115D6"/>
    <w:rsid w:val="00F1171C"/>
    <w:rsid w:val="00F119FB"/>
    <w:rsid w:val="00F11F70"/>
    <w:rsid w:val="00F12333"/>
    <w:rsid w:val="00F1255D"/>
    <w:rsid w:val="00F12F5F"/>
    <w:rsid w:val="00F145D4"/>
    <w:rsid w:val="00F14AEC"/>
    <w:rsid w:val="00F14ED0"/>
    <w:rsid w:val="00F14EDC"/>
    <w:rsid w:val="00F15BB3"/>
    <w:rsid w:val="00F15F5B"/>
    <w:rsid w:val="00F16210"/>
    <w:rsid w:val="00F164D5"/>
    <w:rsid w:val="00F1792F"/>
    <w:rsid w:val="00F17A56"/>
    <w:rsid w:val="00F20474"/>
    <w:rsid w:val="00F209A2"/>
    <w:rsid w:val="00F21AB6"/>
    <w:rsid w:val="00F223D5"/>
    <w:rsid w:val="00F2283A"/>
    <w:rsid w:val="00F22A84"/>
    <w:rsid w:val="00F22A8F"/>
    <w:rsid w:val="00F22ED6"/>
    <w:rsid w:val="00F23EB4"/>
    <w:rsid w:val="00F243B3"/>
    <w:rsid w:val="00F24BD2"/>
    <w:rsid w:val="00F2529A"/>
    <w:rsid w:val="00F25333"/>
    <w:rsid w:val="00F2565F"/>
    <w:rsid w:val="00F25A72"/>
    <w:rsid w:val="00F25BCF"/>
    <w:rsid w:val="00F25F5E"/>
    <w:rsid w:val="00F260CB"/>
    <w:rsid w:val="00F26C19"/>
    <w:rsid w:val="00F27A70"/>
    <w:rsid w:val="00F3192A"/>
    <w:rsid w:val="00F322C3"/>
    <w:rsid w:val="00F32553"/>
    <w:rsid w:val="00F32690"/>
    <w:rsid w:val="00F327CE"/>
    <w:rsid w:val="00F332ED"/>
    <w:rsid w:val="00F33552"/>
    <w:rsid w:val="00F335AB"/>
    <w:rsid w:val="00F33C8D"/>
    <w:rsid w:val="00F348D1"/>
    <w:rsid w:val="00F35955"/>
    <w:rsid w:val="00F3669D"/>
    <w:rsid w:val="00F378C1"/>
    <w:rsid w:val="00F40CC5"/>
    <w:rsid w:val="00F40E48"/>
    <w:rsid w:val="00F410B5"/>
    <w:rsid w:val="00F41836"/>
    <w:rsid w:val="00F41AF4"/>
    <w:rsid w:val="00F41DE0"/>
    <w:rsid w:val="00F42FBC"/>
    <w:rsid w:val="00F4385E"/>
    <w:rsid w:val="00F43BFB"/>
    <w:rsid w:val="00F43C27"/>
    <w:rsid w:val="00F43C2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56"/>
    <w:rsid w:val="00F5281E"/>
    <w:rsid w:val="00F52A00"/>
    <w:rsid w:val="00F531AA"/>
    <w:rsid w:val="00F536B7"/>
    <w:rsid w:val="00F537AD"/>
    <w:rsid w:val="00F53BDD"/>
    <w:rsid w:val="00F53FEE"/>
    <w:rsid w:val="00F54DAB"/>
    <w:rsid w:val="00F56161"/>
    <w:rsid w:val="00F561CC"/>
    <w:rsid w:val="00F563CD"/>
    <w:rsid w:val="00F56862"/>
    <w:rsid w:val="00F568DC"/>
    <w:rsid w:val="00F56DA9"/>
    <w:rsid w:val="00F56FE5"/>
    <w:rsid w:val="00F575AF"/>
    <w:rsid w:val="00F57925"/>
    <w:rsid w:val="00F57A83"/>
    <w:rsid w:val="00F604F4"/>
    <w:rsid w:val="00F60AFA"/>
    <w:rsid w:val="00F611CF"/>
    <w:rsid w:val="00F62588"/>
    <w:rsid w:val="00F627EB"/>
    <w:rsid w:val="00F629BF"/>
    <w:rsid w:val="00F62AB1"/>
    <w:rsid w:val="00F633D8"/>
    <w:rsid w:val="00F6431B"/>
    <w:rsid w:val="00F64B3B"/>
    <w:rsid w:val="00F64BF7"/>
    <w:rsid w:val="00F64C76"/>
    <w:rsid w:val="00F64CCC"/>
    <w:rsid w:val="00F64ED6"/>
    <w:rsid w:val="00F65747"/>
    <w:rsid w:val="00F65AD5"/>
    <w:rsid w:val="00F65F15"/>
    <w:rsid w:val="00F660F7"/>
    <w:rsid w:val="00F6638A"/>
    <w:rsid w:val="00F66673"/>
    <w:rsid w:val="00F6692A"/>
    <w:rsid w:val="00F66E97"/>
    <w:rsid w:val="00F6754F"/>
    <w:rsid w:val="00F6755D"/>
    <w:rsid w:val="00F675B0"/>
    <w:rsid w:val="00F7076A"/>
    <w:rsid w:val="00F707C9"/>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D19"/>
    <w:rsid w:val="00F860A3"/>
    <w:rsid w:val="00F864FC"/>
    <w:rsid w:val="00F86808"/>
    <w:rsid w:val="00F8760E"/>
    <w:rsid w:val="00F8773E"/>
    <w:rsid w:val="00F9082B"/>
    <w:rsid w:val="00F9142D"/>
    <w:rsid w:val="00F915A4"/>
    <w:rsid w:val="00F91EF0"/>
    <w:rsid w:val="00F92104"/>
    <w:rsid w:val="00F9227B"/>
    <w:rsid w:val="00F93676"/>
    <w:rsid w:val="00F93A3D"/>
    <w:rsid w:val="00F93C99"/>
    <w:rsid w:val="00F93DCD"/>
    <w:rsid w:val="00F94009"/>
    <w:rsid w:val="00F9412A"/>
    <w:rsid w:val="00F94471"/>
    <w:rsid w:val="00F94C16"/>
    <w:rsid w:val="00F94D3F"/>
    <w:rsid w:val="00F94EB4"/>
    <w:rsid w:val="00F9591A"/>
    <w:rsid w:val="00F9689E"/>
    <w:rsid w:val="00F96F26"/>
    <w:rsid w:val="00F970A3"/>
    <w:rsid w:val="00FA03A6"/>
    <w:rsid w:val="00FA066D"/>
    <w:rsid w:val="00FA0956"/>
    <w:rsid w:val="00FA0FB3"/>
    <w:rsid w:val="00FA1126"/>
    <w:rsid w:val="00FA1B03"/>
    <w:rsid w:val="00FA24F3"/>
    <w:rsid w:val="00FA263E"/>
    <w:rsid w:val="00FA2798"/>
    <w:rsid w:val="00FA3339"/>
    <w:rsid w:val="00FA3A4D"/>
    <w:rsid w:val="00FA42BC"/>
    <w:rsid w:val="00FA4635"/>
    <w:rsid w:val="00FA509C"/>
    <w:rsid w:val="00FA5C21"/>
    <w:rsid w:val="00FA5FCE"/>
    <w:rsid w:val="00FA6A6D"/>
    <w:rsid w:val="00FA6B30"/>
    <w:rsid w:val="00FA6C13"/>
    <w:rsid w:val="00FA761A"/>
    <w:rsid w:val="00FA786A"/>
    <w:rsid w:val="00FA7DA0"/>
    <w:rsid w:val="00FB0515"/>
    <w:rsid w:val="00FB0EE9"/>
    <w:rsid w:val="00FB0EFB"/>
    <w:rsid w:val="00FB0F8A"/>
    <w:rsid w:val="00FB1300"/>
    <w:rsid w:val="00FB19BF"/>
    <w:rsid w:val="00FB20F3"/>
    <w:rsid w:val="00FB252E"/>
    <w:rsid w:val="00FB2EB5"/>
    <w:rsid w:val="00FB30F6"/>
    <w:rsid w:val="00FB34E4"/>
    <w:rsid w:val="00FB38ED"/>
    <w:rsid w:val="00FB3A60"/>
    <w:rsid w:val="00FB3DE3"/>
    <w:rsid w:val="00FB3F26"/>
    <w:rsid w:val="00FB4C8E"/>
    <w:rsid w:val="00FB4D15"/>
    <w:rsid w:val="00FB4E84"/>
    <w:rsid w:val="00FB5CC6"/>
    <w:rsid w:val="00FB6302"/>
    <w:rsid w:val="00FB68DD"/>
    <w:rsid w:val="00FB7718"/>
    <w:rsid w:val="00FB7F99"/>
    <w:rsid w:val="00FC02F4"/>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13B"/>
    <w:rsid w:val="00FE0207"/>
    <w:rsid w:val="00FE1303"/>
    <w:rsid w:val="00FE1ABB"/>
    <w:rsid w:val="00FE291B"/>
    <w:rsid w:val="00FE330C"/>
    <w:rsid w:val="00FE3B4E"/>
    <w:rsid w:val="00FE40C1"/>
    <w:rsid w:val="00FE410C"/>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4A4D"/>
    <w:rsid w:val="00FF5813"/>
    <w:rsid w:val="00FF5E54"/>
    <w:rsid w:val="00FF5E85"/>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8AD"/>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
    <w:basedOn w:val="DefaultParagraphFont"/>
    <w:uiPriority w:val="99"/>
    <w:unhideWhenUsed/>
    <w:rsid w:val="00566629"/>
    <w:rPr>
      <w:vertAlign w:val="superscript"/>
    </w:rPr>
  </w:style>
  <w:style w:type="table" w:styleId="TableGrid">
    <w:name w:val="Table Grid"/>
    <w:basedOn w:val="TableNormal"/>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5">
    <w:name w:val="71ג הערות שוליים"/>
    <w:basedOn w:val="FootnoteText"/>
    <w:link w:val="71Char"/>
    <w:qFormat/>
    <w:rsid w:val="00A408EB"/>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1">
    <w:name w:val="71ג הזחה ראשונה מספר"/>
    <w:basedOn w:val="ListParagraph"/>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7">
    <w:name w:val="71ג הזחה שנייה ריק"/>
    <w:basedOn w:val="BodyTextIndent"/>
    <w:link w:val="71Char0"/>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8">
    <w:name w:val="71ג מקרא+הערות לתרשים/לוח/תמונה"/>
    <w:basedOn w:val="715"/>
    <w:link w:val="71Char1"/>
    <w:qFormat/>
    <w:rsid w:val="00DA6949"/>
    <w:pPr>
      <w:spacing w:before="120" w:after="240" w:line="240" w:lineRule="exact"/>
    </w:pPr>
    <w:rPr>
      <w:sz w:val="16"/>
      <w:szCs w:val="16"/>
    </w:rPr>
  </w:style>
  <w:style w:type="paragraph" w:customStyle="1" w:styleId="719">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a">
    <w:name w:val="71ג קוביה כחולה בתוך הזחה ראשונה"/>
    <w:basedOn w:val="719"/>
    <w:qFormat/>
    <w:rsid w:val="00001C6B"/>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b">
    <w:name w:val="71ג הזחה שנייה ללא מספר"/>
    <w:basedOn w:val="717"/>
    <w:link w:val="71Char2"/>
    <w:qFormat/>
    <w:rsid w:val="00543F8A"/>
  </w:style>
  <w:style w:type="character" w:customStyle="1" w:styleId="71Char0">
    <w:name w:val="71ג הזחה שנייה ריק Char"/>
    <w:basedOn w:val="BodyTextIndentChar"/>
    <w:link w:val="717"/>
    <w:rsid w:val="0074714A"/>
    <w:rPr>
      <w:rFonts w:ascii="Tahoma" w:hAnsi="Tahoma" w:cs="Tahoma"/>
      <w:color w:val="0D0D0D" w:themeColor="text1" w:themeTint="F2"/>
      <w:sz w:val="18"/>
      <w:szCs w:val="18"/>
    </w:rPr>
  </w:style>
  <w:style w:type="character" w:customStyle="1" w:styleId="71Char2">
    <w:name w:val="71ג הזחה שנייה ללא מספר Char"/>
    <w:basedOn w:val="71Char0"/>
    <w:link w:val="71b"/>
    <w:rsid w:val="00543F8A"/>
    <w:rPr>
      <w:rFonts w:ascii="Tahoma" w:hAnsi="Tahoma" w:cs="Tahoma"/>
      <w:color w:val="0D0D0D" w:themeColor="text1" w:themeTint="F2"/>
      <w:sz w:val="18"/>
      <w:szCs w:val="18"/>
    </w:rPr>
  </w:style>
  <w:style w:type="paragraph" w:customStyle="1" w:styleId="71c">
    <w:name w:val="71ג מספור הערות שוליים"/>
    <w:basedOn w:val="715"/>
    <w:qFormat/>
    <w:rsid w:val="003B639B"/>
  </w:style>
  <w:style w:type="paragraph" w:customStyle="1" w:styleId="71R">
    <w:name w:val="71ג טבלה טקסט R"/>
    <w:basedOn w:val="Normal"/>
    <w:qFormat/>
    <w:rsid w:val="0068250F"/>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Normal"/>
    <w:qFormat/>
    <w:rsid w:val="0068250F"/>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d">
    <w:name w:val="71ג הזחה שלישית"/>
    <w:basedOn w:val="71b"/>
    <w:qFormat/>
    <w:rsid w:val="00591F15"/>
    <w:pPr>
      <w:ind w:left="1191"/>
    </w:pPr>
  </w:style>
  <w:style w:type="paragraph" w:customStyle="1" w:styleId="71e">
    <w:name w:val="71ג קוביה כחולה הזחה שלישית"/>
    <w:basedOn w:val="719"/>
    <w:qFormat/>
    <w:rsid w:val="00976B93"/>
    <w:pPr>
      <w:ind w:left="1474"/>
    </w:pPr>
  </w:style>
  <w:style w:type="paragraph" w:customStyle="1" w:styleId="11">
    <w:name w:val="קוביה הזחה 1"/>
    <w:basedOn w:val="719"/>
    <w:qFormat/>
    <w:rsid w:val="005C2859"/>
    <w:pPr>
      <w:ind w:left="680"/>
    </w:pPr>
  </w:style>
  <w:style w:type="paragraph" w:customStyle="1" w:styleId="71f">
    <w:name w:val="71ג הזחה ראשונה ללא מספר"/>
    <w:basedOn w:val="71b"/>
    <w:qFormat/>
    <w:rsid w:val="00151B16"/>
    <w:pPr>
      <w:ind w:left="397"/>
    </w:pPr>
  </w:style>
  <w:style w:type="paragraph" w:customStyle="1" w:styleId="71f0">
    <w:name w:val="71ג קוביה רצה"/>
    <w:basedOn w:val="71a"/>
    <w:qFormat/>
    <w:rsid w:val="00A70642"/>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0"/>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3"/>
    <w:rsid w:val="00E12FBA"/>
  </w:style>
  <w:style w:type="paragraph" w:customStyle="1" w:styleId="7110">
    <w:name w:val="71ג אותיות בתוך קוביה 1"/>
    <w:basedOn w:val="71f1"/>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2">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2"/>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uiPriority w:val="99"/>
    <w:rsid w:val="002516DF"/>
    <w:rPr>
      <w:rFonts w:cs="David"/>
      <w:sz w:val="24"/>
      <w:szCs w:val="24"/>
    </w:rPr>
  </w:style>
  <w:style w:type="character" w:customStyle="1" w:styleId="1d">
    <w:name w:val="טקסט הערת שוליים תו1"/>
    <w:aliases w:val="Sharp - Footnote Text1 Char תו"/>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3">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f0"/>
    <w:qFormat/>
    <w:rsid w:val="001F0DE8"/>
    <w:pPr>
      <w:jc w:val="center"/>
    </w:pPr>
    <w:rPr>
      <w:rFonts w:ascii="Segoe UI Symbol" w:hAnsi="Segoe UI Symbol" w:cs="Segoe UI Symbol"/>
    </w:rPr>
  </w:style>
  <w:style w:type="paragraph" w:customStyle="1" w:styleId="714">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5"/>
    <w:qFormat/>
    <w:rsid w:val="00771BEC"/>
    <w:pPr>
      <w:spacing w:before="120"/>
    </w:pPr>
  </w:style>
  <w:style w:type="paragraph" w:customStyle="1" w:styleId="71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3">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0018EF"/>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0018EF"/>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5">
    <w:name w:val="71ג כותרת סיכום"/>
    <w:basedOn w:val="100"/>
    <w:qFormat/>
    <w:rsid w:val="00131349"/>
    <w:pPr>
      <w:spacing w:after="180" w:line="260" w:lineRule="exact"/>
    </w:pPr>
    <w:rPr>
      <w:b/>
      <w:bCs/>
      <w:color w:val="00305F"/>
      <w:sz w:val="32"/>
      <w:szCs w:val="32"/>
    </w:rPr>
  </w:style>
  <w:style w:type="paragraph" w:customStyle="1" w:styleId="71f6">
    <w:name w:val="71ג תמונת המצב העולה מן הביקורת"/>
    <w:basedOn w:val="215"/>
    <w:link w:val="71Char3"/>
    <w:qFormat/>
    <w:rsid w:val="00E4219A"/>
  </w:style>
  <w:style w:type="paragraph" w:customStyle="1" w:styleId="Style4">
    <w:name w:val="Style4"/>
    <w:basedOn w:val="215"/>
    <w:link w:val="Style4Char"/>
    <w:qFormat/>
    <w:rsid w:val="00AA2B4F"/>
  </w:style>
  <w:style w:type="character" w:customStyle="1" w:styleId="71Char3">
    <w:name w:val="71ג תמונת המצב העולה מן הביקורת Char"/>
    <w:basedOn w:val="21Char2"/>
    <w:link w:val="71f6"/>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5"/>
    <w:link w:val="Style5Char"/>
    <w:qFormat/>
    <w:rsid w:val="00565F1B"/>
  </w:style>
  <w:style w:type="character" w:customStyle="1" w:styleId="71Char">
    <w:name w:val="71ג הערות שוליים Char"/>
    <w:basedOn w:val="FootnoteTextChar"/>
    <w:link w:val="715"/>
    <w:rsid w:val="00565F1B"/>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8"/>
    <w:link w:val="710Char"/>
    <w:qFormat/>
    <w:rsid w:val="00050995"/>
    <w:pPr>
      <w:spacing w:after="0" w:line="260" w:lineRule="exact"/>
    </w:pPr>
  </w:style>
  <w:style w:type="character" w:customStyle="1" w:styleId="71Char1">
    <w:name w:val="71ג מקרא+הערות לתרשים/לוח/תמונה Char"/>
    <w:basedOn w:val="71Char"/>
    <w:link w:val="718"/>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1"/>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7">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f7"/>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eastAsiaTheme="majorEastAsia" w:hAnsi="Arial Bold" w:cs="Tahoma"/>
      <w:b/>
      <w:bCs/>
      <w:color w:val="00305F"/>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8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dit.mevaker.gov.il/"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3B00DDF0-9606-4153-A67C-80F4184E3172}"/>
</file>

<file path=customXml/itemProps3.xml><?xml version="1.0" encoding="utf-8"?>
<ds:datastoreItem xmlns:ds="http://schemas.openxmlformats.org/officeDocument/2006/customXml" ds:itemID="{E80BF3CD-5193-4B86-BE89-7FFEC1587CB1}"/>
</file>

<file path=customXml/itemProps4.xml><?xml version="1.0" encoding="utf-8"?>
<ds:datastoreItem xmlns:ds="http://schemas.openxmlformats.org/officeDocument/2006/customXml" ds:itemID="{ADD7877C-5FE0-43D7-900F-F468CE4F77E2}"/>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3</TotalTime>
  <Pages>13</Pages>
  <Words>2718</Words>
  <Characters>13591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3</cp:revision>
  <cp:lastPrinted>2021-04-22T08:48:00Z</cp:lastPrinted>
  <dcterms:created xsi:type="dcterms:W3CDTF">2021-04-26T08:08:00Z</dcterms:created>
  <dcterms:modified xsi:type="dcterms:W3CDTF">2021-04-26T08:09:00Z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