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000000">
      <w:pPr>
        <w:pStyle w:val="KOT1"/>
        <w:rPr>
          <w:rFonts w:hint="cs"/>
          <w:rtl/>
        </w:rPr>
      </w:pPr>
      <w:r>
        <w:rPr>
          <w:rFonts w:hint="cs"/>
          <w:rtl/>
        </w:rPr>
        <w:t xml:space="preserve">הטיפול בתחנות דלק פירטיות </w:t>
      </w:r>
      <w:r>
        <w:rPr>
          <w:rtl/>
        </w:rPr>
        <w:br/>
      </w:r>
      <w:r>
        <w:rPr>
          <w:rFonts w:hint="cs"/>
          <w:rtl/>
        </w:rPr>
        <w:t>ובתחנות דלק פנימיות</w:t>
      </w:r>
    </w:p>
    <w:p w:rsidR="00000000">
      <w:pPr>
        <w:pStyle w:val="KOT3A"/>
        <w:rPr>
          <w:rFonts w:hint="cs"/>
          <w:spacing w:val="0"/>
          <w:rtl/>
        </w:rPr>
      </w:pPr>
      <w:r>
        <w:rPr>
          <w:rFonts w:hint="cs"/>
          <w:spacing w:val="0"/>
          <w:rtl/>
        </w:rPr>
        <w:t>תקציר</w:t>
      </w:r>
    </w:p>
    <w:p w:rsidR="00000000">
      <w:pPr>
        <w:pStyle w:val="takzir"/>
        <w:rPr>
          <w:rFonts w:hint="cs"/>
          <w:rtl/>
        </w:rPr>
      </w:pPr>
      <w:r>
        <w:rPr>
          <w:rFonts w:hint="cs"/>
          <w:rtl/>
        </w:rPr>
        <w:t>תחנות דלק פירטיות</w:t>
      </w:r>
      <w:r>
        <w:rPr>
          <w:vertAlign w:val="superscript"/>
          <w:rtl/>
        </w:rPr>
        <w:footnoteReference w:id="2"/>
      </w:r>
      <w:r>
        <w:rPr>
          <w:rFonts w:hint="cs"/>
          <w:rtl/>
        </w:rPr>
        <w:t xml:space="preserve"> עלולות לחשוף את הציבור לסיכונים בטיחותיים, בריאותיים, אקולוגיים ותחבורתיים, והן גורמות למדינה הפסדים כספיים בשל אי-תשלום מסים. בשנת 2012 פעלו בישראל כ-100 תחנות דלק פירטיות</w:t>
      </w:r>
      <w:r>
        <w:rPr>
          <w:vertAlign w:val="superscript"/>
          <w:rtl/>
        </w:rPr>
        <w:footnoteReference w:id="3"/>
      </w:r>
      <w:r>
        <w:rPr>
          <w:rFonts w:hint="cs"/>
          <w:rtl/>
        </w:rPr>
        <w:t>. נוסף על כ</w:t>
      </w:r>
      <w:r>
        <w:rPr>
          <w:rFonts w:hint="cs"/>
          <w:rtl/>
        </w:rPr>
        <w:t>ך פעלו בישראל כמה מאות תחנות דלק פנימיות</w:t>
      </w:r>
      <w:r>
        <w:rPr>
          <w:vertAlign w:val="superscript"/>
          <w:rtl/>
        </w:rPr>
        <w:footnoteReference w:id="4"/>
      </w:r>
      <w:r>
        <w:rPr>
          <w:rFonts w:hint="cs"/>
          <w:rtl/>
        </w:rPr>
        <w:t xml:space="preserve">, ועשרות מהן מכרו דלק לציבור בניגוד לחוק. </w:t>
      </w:r>
    </w:p>
    <w:p w:rsidR="00000000">
      <w:pPr>
        <w:pStyle w:val="takzir"/>
        <w:rPr>
          <w:rFonts w:hint="cs"/>
          <w:rtl/>
        </w:rPr>
      </w:pPr>
    </w:p>
    <w:p w:rsidR="00000000">
      <w:pPr>
        <w:pStyle w:val="KOT4"/>
        <w:rPr>
          <w:rFonts w:hint="cs"/>
          <w:rtl/>
        </w:rPr>
      </w:pPr>
      <w:r>
        <w:rPr>
          <w:rFonts w:hint="cs"/>
          <w:rtl/>
        </w:rPr>
        <w:t xml:space="preserve">פעולות הביקורת </w:t>
      </w:r>
    </w:p>
    <w:p w:rsidR="00000000">
      <w:pPr>
        <w:pStyle w:val="takzir"/>
        <w:rPr>
          <w:rFonts w:hint="cs"/>
          <w:rtl/>
        </w:rPr>
      </w:pPr>
      <w:r>
        <w:rPr>
          <w:rtl/>
        </w:rPr>
        <w:t xml:space="preserve">בחודשים </w:t>
      </w:r>
      <w:r>
        <w:rPr>
          <w:rFonts w:hint="cs"/>
          <w:rtl/>
        </w:rPr>
        <w:t>אפריל</w:t>
      </w:r>
      <w:r>
        <w:rPr>
          <w:rtl/>
        </w:rPr>
        <w:t xml:space="preserve">-אוקטובר 2012 </w:t>
      </w:r>
      <w:r>
        <w:rPr>
          <w:rFonts w:hint="cs"/>
          <w:rtl/>
        </w:rPr>
        <w:t xml:space="preserve">בדק </w:t>
      </w:r>
      <w:r>
        <w:rPr>
          <w:rtl/>
        </w:rPr>
        <w:t xml:space="preserve">משרד מבקר המדינה </w:t>
      </w:r>
      <w:r>
        <w:rPr>
          <w:rFonts w:hint="cs"/>
          <w:rtl/>
        </w:rPr>
        <w:t xml:space="preserve">את הטיפול של משרד האנרגיה והמים </w:t>
      </w:r>
      <w:r>
        <w:rPr>
          <w:rtl/>
        </w:rPr>
        <w:t>(</w:t>
      </w:r>
      <w:r>
        <w:rPr>
          <w:rFonts w:hint="eastAsia"/>
          <w:rtl/>
        </w:rPr>
        <w:t>להלן</w:t>
      </w:r>
      <w:r>
        <w:rPr>
          <w:rFonts w:hint="cs"/>
          <w:rtl/>
        </w:rPr>
        <w:t xml:space="preserve"> </w:t>
      </w:r>
      <w:r>
        <w:rPr>
          <w:rtl/>
        </w:rPr>
        <w:t xml:space="preserve">- </w:t>
      </w:r>
      <w:r>
        <w:rPr>
          <w:rFonts w:hint="eastAsia"/>
          <w:rtl/>
        </w:rPr>
        <w:t>משרד</w:t>
      </w:r>
      <w:r>
        <w:rPr>
          <w:rtl/>
        </w:rPr>
        <w:t xml:space="preserve"> </w:t>
      </w:r>
      <w:r>
        <w:rPr>
          <w:rFonts w:hint="eastAsia"/>
          <w:rtl/>
        </w:rPr>
        <w:t>האנרגיה</w:t>
      </w:r>
      <w:r>
        <w:rPr>
          <w:rtl/>
        </w:rPr>
        <w:t xml:space="preserve">) </w:t>
      </w:r>
      <w:r>
        <w:rPr>
          <w:rFonts w:hint="cs"/>
          <w:rtl/>
        </w:rPr>
        <w:t>ב</w:t>
      </w:r>
      <w:r>
        <w:rPr>
          <w:rtl/>
        </w:rPr>
        <w:t>תחנות דלק פירטיות</w:t>
      </w:r>
      <w:r>
        <w:rPr>
          <w:rFonts w:hint="cs"/>
          <w:rtl/>
        </w:rPr>
        <w:t xml:space="preserve"> ובתחנות דלק פנימיות בשנים 2008-201</w:t>
      </w:r>
      <w:r>
        <w:rPr>
          <w:rFonts w:hint="cs"/>
          <w:rtl/>
        </w:rPr>
        <w:t>2</w:t>
      </w:r>
      <w:r>
        <w:rPr>
          <w:rtl/>
        </w:rPr>
        <w:t xml:space="preserve">. </w:t>
      </w:r>
      <w:r>
        <w:rPr>
          <w:rFonts w:hint="cs"/>
          <w:rtl/>
        </w:rPr>
        <w:t>בדיקות השלמה נעשו בגופים האלה: ה</w:t>
      </w:r>
      <w:r>
        <w:rPr>
          <w:rtl/>
        </w:rPr>
        <w:t xml:space="preserve">משרד </w:t>
      </w:r>
      <w:r>
        <w:rPr>
          <w:rFonts w:hint="cs"/>
          <w:rtl/>
        </w:rPr>
        <w:t>ל</w:t>
      </w:r>
      <w:r>
        <w:rPr>
          <w:rtl/>
        </w:rPr>
        <w:t>הגנת הסביבה,</w:t>
      </w:r>
      <w:r>
        <w:rPr>
          <w:rFonts w:hint="cs"/>
          <w:rtl/>
        </w:rPr>
        <w:t xml:space="preserve"> משרד התעשייה, המסחר והתעסוקה</w:t>
      </w:r>
      <w:r>
        <w:rPr>
          <w:vertAlign w:val="superscript"/>
          <w:rtl/>
        </w:rPr>
        <w:footnoteReference w:id="5"/>
      </w:r>
      <w:r>
        <w:rPr>
          <w:rFonts w:hint="cs"/>
          <w:rtl/>
        </w:rPr>
        <w:t xml:space="preserve"> (להלן - משרד התמ"ת), משרד המשפטים, משרד הפנים,</w:t>
      </w:r>
      <w:r>
        <w:rPr>
          <w:rtl/>
        </w:rPr>
        <w:t xml:space="preserve"> </w:t>
      </w:r>
      <w:r>
        <w:rPr>
          <w:rFonts w:hint="cs"/>
          <w:rtl/>
        </w:rPr>
        <w:t>מינהל</w:t>
      </w:r>
      <w:r>
        <w:rPr>
          <w:rtl/>
        </w:rPr>
        <w:t xml:space="preserve"> מקרקעי ישראל</w:t>
      </w:r>
      <w:r>
        <w:rPr>
          <w:rFonts w:hint="cs"/>
          <w:rtl/>
        </w:rPr>
        <w:t xml:space="preserve"> (להלן - ממ"י)</w:t>
      </w:r>
      <w:r>
        <w:rPr>
          <w:rtl/>
        </w:rPr>
        <w:t>,</w:t>
      </w:r>
      <w:r>
        <w:rPr>
          <w:rFonts w:hint="cs"/>
          <w:rtl/>
        </w:rPr>
        <w:t xml:space="preserve"> רשות המים, רשות המסים בישראל, משטרת ישראל,</w:t>
      </w:r>
      <w:r>
        <w:rPr>
          <w:rtl/>
        </w:rPr>
        <w:t xml:space="preserve"> נציבות </w:t>
      </w:r>
      <w:r>
        <w:rPr>
          <w:rFonts w:hint="cs"/>
          <w:rtl/>
        </w:rPr>
        <w:t xml:space="preserve">הכבאות </w:t>
      </w:r>
      <w:r>
        <w:rPr>
          <w:rtl/>
        </w:rPr>
        <w:t>והצלה</w:t>
      </w:r>
      <w:r>
        <w:rPr>
          <w:vertAlign w:val="superscript"/>
          <w:rtl/>
        </w:rPr>
        <w:footnoteReference w:id="6"/>
      </w:r>
      <w:r>
        <w:rPr>
          <w:rFonts w:hint="cs"/>
          <w:rtl/>
        </w:rPr>
        <w:t xml:space="preserve"> וכמה</w:t>
      </w:r>
      <w:r>
        <w:rPr>
          <w:rtl/>
        </w:rPr>
        <w:t xml:space="preserve"> רשויות מקומיות</w:t>
      </w:r>
      <w:r>
        <w:rPr>
          <w:rFonts w:hint="cs"/>
          <w:rtl/>
        </w:rPr>
        <w:t xml:space="preserve"> וועדות </w:t>
      </w:r>
      <w:r>
        <w:rPr>
          <w:rFonts w:hint="cs"/>
          <w:rtl/>
        </w:rPr>
        <w:t>מקומיות לתכנון ולבנייה</w:t>
      </w:r>
      <w:r>
        <w:rPr>
          <w:rtl/>
        </w:rPr>
        <w:t>.</w:t>
      </w:r>
    </w:p>
    <w:p w:rsidR="00000000">
      <w:pPr>
        <w:pStyle w:val="takzir"/>
        <w:rPr>
          <w:rFonts w:hint="cs"/>
          <w:rtl/>
        </w:rPr>
      </w:pPr>
    </w:p>
    <w:p w:rsidR="00000000">
      <w:pPr>
        <w:pStyle w:val="KOT4"/>
        <w:rPr>
          <w:rFonts w:hint="cs"/>
          <w:rtl/>
        </w:rPr>
      </w:pPr>
      <w:r>
        <w:rPr>
          <w:rFonts w:hint="cs"/>
          <w:rtl/>
        </w:rPr>
        <w:t>עיקרי הממצאים</w:t>
      </w:r>
    </w:p>
    <w:p w:rsidR="00000000">
      <w:pPr>
        <w:pStyle w:val="takzir"/>
        <w:numPr>
          <w:ilvl w:val="0"/>
          <w:numId w:val="20"/>
        </w:numPr>
        <w:tabs>
          <w:tab w:val="left" w:pos="397"/>
        </w:tabs>
        <w:ind w:left="0" w:firstLine="0"/>
        <w:rPr>
          <w:rFonts w:hint="cs"/>
        </w:rPr>
      </w:pPr>
      <w:r>
        <w:rPr>
          <w:rFonts w:hint="cs"/>
          <w:rtl/>
        </w:rPr>
        <w:t>בשנים 2008-2011 היו פעולות גופי הפיקוח</w:t>
      </w:r>
      <w:r>
        <w:rPr>
          <w:rStyle w:val="FootnoteReference"/>
          <w:rtl/>
        </w:rPr>
        <w:footnoteReference w:id="7"/>
      </w:r>
      <w:r>
        <w:rPr>
          <w:rFonts w:hint="cs"/>
          <w:rtl/>
        </w:rPr>
        <w:t xml:space="preserve"> נגד תחנות דלק פירטיות בלתי מספיקות. אמנם בשנת 2012 הגביר משרד הפנים את פעולותיו נגד תחנות דלק פירטיות ובעקבות זאת נסגרו 28 מהן על ידי בעליהן, אולם התופעה בכללה עדיין נמשכת.</w:t>
      </w:r>
    </w:p>
    <w:p w:rsidR="00000000">
      <w:pPr>
        <w:pStyle w:val="takzir"/>
        <w:numPr>
          <w:ilvl w:val="0"/>
          <w:numId w:val="20"/>
        </w:numPr>
        <w:tabs>
          <w:tab w:val="left" w:pos="397"/>
        </w:tabs>
        <w:ind w:left="0" w:firstLine="0"/>
        <w:rPr>
          <w:rFonts w:hint="cs"/>
        </w:rPr>
      </w:pPr>
      <w:r>
        <w:rPr>
          <w:rFonts w:hint="cs"/>
          <w:rtl/>
        </w:rPr>
        <w:t xml:space="preserve">בעת </w:t>
      </w:r>
      <w:r>
        <w:rPr>
          <w:rFonts w:hint="cs"/>
          <w:rtl/>
        </w:rPr>
        <w:t>הריסה של תחנות דלק פירטיות גורמי הפיקוח מחרימים ציוד ודלק. עד שנת 2007 היה משרד האנרגיה מתקצב את האחסון של הציוד והדלק שהוחרמו, אולם בשנת 2007 הפסיק את התקצוב. בעקבות זאת הפסיקו גורמי האכיפה להרוס תחנות דלק פירטיות.</w:t>
      </w:r>
    </w:p>
    <w:p w:rsidR="00000000">
      <w:pPr>
        <w:pStyle w:val="takzir"/>
        <w:numPr>
          <w:ilvl w:val="0"/>
          <w:numId w:val="20"/>
        </w:numPr>
        <w:tabs>
          <w:tab w:val="left" w:pos="397"/>
        </w:tabs>
        <w:ind w:left="0" w:firstLine="0"/>
        <w:rPr>
          <w:rFonts w:hint="cs"/>
        </w:rPr>
      </w:pPr>
      <w:r>
        <w:rPr>
          <w:rFonts w:hint="cs"/>
          <w:rtl/>
        </w:rPr>
        <w:t>למשרד האנרגיה אין תכנית עבודה הכוללת יעד</w:t>
      </w:r>
      <w:r>
        <w:rPr>
          <w:rFonts w:hint="cs"/>
          <w:rtl/>
        </w:rPr>
        <w:t xml:space="preserve">ים ברורים לפעולות אכיפה יזומות נגד ספקי דלק של תחנות פירטיות ולסגירת תחנות אלה. המשרד לא הכשיר את עובדיו לפיקוח על תחנות דלק פירטיות. העיצומים הכספיים שהטיל המשרד על ספקים המספקים דלק לתחנות דלק פירטיות היו מועטים, והם אף לא נגבו. המשרד אינו בודק את איכות </w:t>
      </w:r>
      <w:r>
        <w:rPr>
          <w:rFonts w:hint="cs"/>
          <w:rtl/>
        </w:rPr>
        <w:t>הדלק בתחנות פנימיות אשר מוכרות דלק לציבור.</w:t>
      </w:r>
    </w:p>
    <w:p w:rsidR="00000000">
      <w:pPr>
        <w:pStyle w:val="takzir"/>
        <w:numPr>
          <w:ilvl w:val="0"/>
          <w:numId w:val="20"/>
        </w:numPr>
        <w:tabs>
          <w:tab w:val="left" w:pos="397"/>
        </w:tabs>
        <w:ind w:left="0" w:firstLine="0"/>
        <w:rPr>
          <w:rFonts w:hint="cs"/>
        </w:rPr>
      </w:pPr>
      <w:r>
        <w:rPr>
          <w:rFonts w:hint="cs"/>
          <w:rtl/>
        </w:rPr>
        <w:t>לגופי הפיקוח אין מסד נתונים על תחנות דלק פירטיות ותחנות דלק פנימיות המוכרות דלק לציבור, והעברת המידע על תחנות אלו מיחידות השדה למַטֶה לוקה בחסר.</w:t>
      </w:r>
    </w:p>
    <w:p w:rsidR="00000000">
      <w:pPr>
        <w:pStyle w:val="takzir"/>
        <w:numPr>
          <w:ilvl w:val="0"/>
          <w:numId w:val="20"/>
        </w:numPr>
        <w:tabs>
          <w:tab w:val="left" w:pos="397"/>
        </w:tabs>
        <w:ind w:left="0" w:firstLine="0"/>
        <w:rPr>
          <w:rFonts w:hint="cs"/>
        </w:rPr>
      </w:pPr>
      <w:r>
        <w:rPr>
          <w:rFonts w:hint="cs"/>
          <w:rtl/>
        </w:rPr>
        <w:t>רוב הרשויות המקומיות והוועדות המקומיות לתכנון ולבנייה שנבדקו לא פעלו</w:t>
      </w:r>
      <w:r>
        <w:rPr>
          <w:rFonts w:hint="cs"/>
          <w:rtl/>
        </w:rPr>
        <w:t xml:space="preserve"> נגד תחנות הדלק הפירטיות שבמרחב התכנון שלהן. </w:t>
      </w:r>
    </w:p>
    <w:p w:rsidR="00000000">
      <w:pPr>
        <w:pStyle w:val="takzir"/>
        <w:numPr>
          <w:ilvl w:val="0"/>
          <w:numId w:val="20"/>
        </w:numPr>
        <w:tabs>
          <w:tab w:val="left" w:pos="397"/>
        </w:tabs>
        <w:ind w:left="0" w:firstLine="0"/>
        <w:rPr>
          <w:rFonts w:hint="cs"/>
        </w:rPr>
      </w:pPr>
      <w:r>
        <w:rPr>
          <w:rFonts w:hint="cs"/>
          <w:rtl/>
        </w:rPr>
        <w:t>ממ"י ער משנת 2006 לקיומן של תחנות דלק פנימיות המוכרות דלק לציבור, אך לא פעל להסדרת השימוש המסחרי בקרקעות בחוזה מתאים ולגביית דמי שימוש עבור השימוש החורג בקרקע או להפסקת הפעילות באמצעות הגשת תביעות משפטיות לפינו</w:t>
      </w:r>
      <w:r>
        <w:rPr>
          <w:rFonts w:hint="cs"/>
          <w:rtl/>
        </w:rPr>
        <w:t>י הקרקע. המשא ומתן עם גוף המייצג כמאה תחנות דלק פנימיות, שפנה לממ"י להסדרת פעילותן, נמשך זה ארבע שנים וטרם הסתיים.</w:t>
      </w:r>
    </w:p>
    <w:p w:rsidR="00000000">
      <w:pPr>
        <w:pStyle w:val="takzir"/>
        <w:numPr>
          <w:ilvl w:val="0"/>
          <w:numId w:val="20"/>
        </w:numPr>
        <w:tabs>
          <w:tab w:val="left" w:pos="397"/>
        </w:tabs>
        <w:ind w:left="0" w:firstLine="0"/>
        <w:rPr>
          <w:rFonts w:hint="cs"/>
          <w:rtl/>
        </w:rPr>
      </w:pPr>
      <w:r>
        <w:rPr>
          <w:rFonts w:hint="cs"/>
          <w:rtl/>
        </w:rPr>
        <w:t>מינהל הרכב הממשלתי מאפשר לכלי הרכב שלו לתדלק לפחות בחמש תחנות דלק פנימיות, אף על פי שהן אינן מורשות לכך.</w:t>
      </w:r>
    </w:p>
    <w:p w:rsidR="00000000">
      <w:pPr>
        <w:rPr>
          <w:rFonts w:hint="cs"/>
          <w:rtl/>
        </w:rPr>
      </w:pPr>
    </w:p>
    <w:p w:rsidR="00000000">
      <w:pPr>
        <w:pStyle w:val="KOT4"/>
        <w:rPr>
          <w:rFonts w:hint="cs"/>
          <w:rtl/>
        </w:rPr>
      </w:pPr>
      <w:r>
        <w:rPr>
          <w:rFonts w:hint="cs"/>
          <w:rtl/>
        </w:rPr>
        <w:t>סיכום והמלצות</w:t>
      </w:r>
    </w:p>
    <w:p w:rsidR="00000000">
      <w:pPr>
        <w:pStyle w:val="takzir"/>
        <w:rPr>
          <w:rFonts w:hint="cs"/>
          <w:rtl/>
        </w:rPr>
      </w:pPr>
      <w:r>
        <w:rPr>
          <w:rFonts w:hint="cs"/>
          <w:rtl/>
        </w:rPr>
        <w:t>תחנות דלק פירטיות הממ</w:t>
      </w:r>
      <w:r>
        <w:rPr>
          <w:rFonts w:hint="cs"/>
          <w:rtl/>
        </w:rPr>
        <w:t>וקמות בריכוזי אוכלוסייה חושפות את הציבור לסיכונים רבים וגורמות נזקים למדינה ולאזרחיה. ממצאי דוח זה מלמדים על ליקויים רבים בפעולות הפיקוח והאכיפה של גופים ממשלתיים נגד תחנות דלק הפועלות בניגוד לחוק ועל גישה סלחנית כלפי מפעיליהן. הביקורת העלתה כי בשנים האחרו</w:t>
      </w:r>
      <w:r>
        <w:rPr>
          <w:rFonts w:hint="cs"/>
          <w:rtl/>
        </w:rPr>
        <w:t>נות, למעט פעולות מסוימות שביצע משרד הפנים בשנת 2012, אכיפת החקיקה נגד תחנות דלק פירטיות נעשית בהיקף קטן. בהיעדר פעולות תקיפות משותפות של גופי הפיקוח - משרד האנרגיה, המשרד להגנת הסביבה, משרד התמ"ת, המשרד לביטחון הפנים, משרד הפנים, משטרת ישראל, ממ"י, הרשויות</w:t>
      </w:r>
      <w:r>
        <w:rPr>
          <w:rFonts w:hint="cs"/>
          <w:rtl/>
        </w:rPr>
        <w:t xml:space="preserve"> המקומיות וועדות מקומיות לתכנון ולבנייה, קיים חשש כי רק אחרי שיקרה אסון, חלילה, יינקטו צעדים נגד תחנות אלה. </w:t>
      </w:r>
    </w:p>
    <w:p w:rsidR="00000000">
      <w:pPr>
        <w:pStyle w:val="takzir"/>
        <w:rPr>
          <w:rFonts w:hint="cs"/>
          <w:rtl/>
        </w:rPr>
      </w:pPr>
      <w:r>
        <w:rPr>
          <w:rFonts w:hint="cs"/>
          <w:rtl/>
        </w:rPr>
        <w:t>ריבוי הגופים שלהם יש סמכויות כנגד תחנות דלק פירטיות (כמפורט לעיל) וחוסר התיאום ביניהם פוגעים במאבק נגד התחנות</w:t>
      </w:r>
      <w:r>
        <w:rPr>
          <w:rStyle w:val="FootnoteReference"/>
          <w:rtl/>
        </w:rPr>
        <w:footnoteReference w:id="8"/>
      </w:r>
      <w:r>
        <w:rPr>
          <w:rFonts w:hint="cs"/>
          <w:rtl/>
        </w:rPr>
        <w:t>. על גופים אלה שפורטו לעיל, בהובלת מש</w:t>
      </w:r>
      <w:r>
        <w:rPr>
          <w:rFonts w:hint="cs"/>
          <w:rtl/>
        </w:rPr>
        <w:t>רד האנרגיה, להגביר את שיתוף הפעולה ביניהם ולפעול בנחרצות למיגור תופעת תחנות הדלק הפירטיות. אם משרד האנרגיה סבור כי הסמכויות שבידיו אינן מספיקות, עליו ליזום החלטת ממשלה או שינוי חקיקה כדי להסדיר נושא זה. על ממ"י לפעול להסדרת השימוש החורג של תחנות דלק פנימיו</w:t>
      </w:r>
      <w:r>
        <w:rPr>
          <w:rFonts w:hint="cs"/>
          <w:rtl/>
        </w:rPr>
        <w:t>ת בקרקע למטרות מסחר, או לפעול לפינוי הקרקע ולהפסקת השימוש בה ולגבות דמי שימוש למפרע.</w:t>
      </w:r>
    </w:p>
    <w:p w:rsidR="00000000">
      <w:pPr>
        <w:spacing w:after="120" w:line="230" w:lineRule="exact"/>
        <w:jc w:val="both"/>
        <w:rPr>
          <w:rFonts w:cs="FrankRuehl"/>
          <w:szCs w:val="22"/>
          <w:rtl/>
        </w:rPr>
      </w:pPr>
    </w:p>
    <w:p w:rsidR="00000000">
      <w:pPr>
        <w:spacing w:line="240" w:lineRule="atLeast"/>
        <w:jc w:val="center"/>
        <w:rPr>
          <w:b/>
          <w:bCs/>
          <w:sz w:val="32"/>
          <w:szCs w:val="32"/>
        </w:rPr>
      </w:pPr>
      <w:r>
        <w:rPr>
          <w:rFonts w:cs="Times New Roman"/>
          <w:sz w:val="28"/>
          <w:szCs w:val="28"/>
        </w:rPr>
        <w:t>♦</w:t>
      </w:r>
    </w:p>
    <w:p w:rsidR="00000000">
      <w:pPr>
        <w:spacing w:after="120" w:line="230" w:lineRule="exact"/>
        <w:jc w:val="both"/>
        <w:rPr>
          <w:rFonts w:cs="FrankRuehl"/>
          <w:szCs w:val="22"/>
          <w:rtl/>
        </w:rPr>
      </w:pPr>
    </w:p>
    <w:p w:rsidR="00000000">
      <w:pPr>
        <w:pStyle w:val="KOT4"/>
        <w:rPr>
          <w:rFonts w:hint="cs"/>
          <w:rtl/>
        </w:rPr>
      </w:pPr>
      <w:r>
        <w:rPr>
          <w:rtl/>
        </w:rPr>
        <w:t>מבוא</w:t>
      </w:r>
    </w:p>
    <w:p w:rsidR="00000000">
      <w:pPr>
        <w:spacing w:after="120" w:line="230" w:lineRule="exact"/>
        <w:jc w:val="both"/>
        <w:rPr>
          <w:rFonts w:cs="FrankRuehl" w:hint="cs"/>
          <w:sz w:val="20"/>
          <w:szCs w:val="22"/>
          <w:rtl/>
        </w:rPr>
      </w:pPr>
      <w:r>
        <w:rPr>
          <w:rFonts w:cs="FrankRuehl" w:hint="cs"/>
          <w:sz w:val="20"/>
          <w:szCs w:val="22"/>
          <w:rtl/>
        </w:rPr>
        <w:t>תחנות הדלק בישראל נחלקות לשלושה סוגים עיקריים</w:t>
      </w:r>
      <w:r>
        <w:rPr>
          <w:rFonts w:cs="FrankRuehl"/>
          <w:sz w:val="20"/>
          <w:szCs w:val="22"/>
          <w:rtl/>
        </w:rPr>
        <w:t>:</w:t>
      </w:r>
      <w:r>
        <w:rPr>
          <w:rFonts w:cs="FrankRuehl" w:hint="cs"/>
          <w:sz w:val="20"/>
          <w:szCs w:val="22"/>
          <w:rtl/>
        </w:rPr>
        <w:t xml:space="preserve">  </w:t>
      </w:r>
      <w:r>
        <w:rPr>
          <w:rFonts w:cs="FrankRuehl"/>
          <w:sz w:val="20"/>
          <w:szCs w:val="22"/>
          <w:rtl/>
        </w:rPr>
        <w:t xml:space="preserve"> </w:t>
      </w:r>
      <w:r>
        <w:rPr>
          <w:rFonts w:cs="FrankRuehl" w:hint="cs"/>
          <w:sz w:val="20"/>
          <w:szCs w:val="22"/>
          <w:rtl/>
        </w:rPr>
        <w:t>(</w:t>
      </w:r>
      <w:r>
        <w:rPr>
          <w:rFonts w:cs="FrankRuehl"/>
          <w:sz w:val="20"/>
          <w:szCs w:val="22"/>
          <w:rtl/>
        </w:rPr>
        <w:t>1</w:t>
      </w:r>
      <w:r>
        <w:rPr>
          <w:rFonts w:cs="FrankRuehl" w:hint="cs"/>
          <w:sz w:val="20"/>
          <w:szCs w:val="22"/>
          <w:rtl/>
        </w:rPr>
        <w:t xml:space="preserve">) </w:t>
      </w:r>
      <w:r>
        <w:rPr>
          <w:rFonts w:cs="FrankRuehl"/>
          <w:sz w:val="20"/>
          <w:szCs w:val="22"/>
          <w:rtl/>
        </w:rPr>
        <w:t xml:space="preserve"> </w:t>
      </w:r>
      <w:r>
        <w:rPr>
          <w:rFonts w:cs="FrankRuehl" w:hint="cs"/>
          <w:sz w:val="20"/>
          <w:szCs w:val="22"/>
          <w:rtl/>
        </w:rPr>
        <w:t xml:space="preserve">תחנות דלק </w:t>
      </w:r>
      <w:r>
        <w:rPr>
          <w:rFonts w:cs="FrankRuehl"/>
          <w:sz w:val="20"/>
          <w:szCs w:val="22"/>
          <w:rtl/>
        </w:rPr>
        <w:t>ציבוריות</w:t>
      </w:r>
      <w:r>
        <w:rPr>
          <w:rStyle w:val="FootnoteReference"/>
          <w:rFonts w:cs="FrankRuehl"/>
          <w:sz w:val="20"/>
          <w:szCs w:val="22"/>
          <w:rtl/>
        </w:rPr>
        <w:footnoteReference w:id="9"/>
      </w:r>
      <w:r>
        <w:rPr>
          <w:rFonts w:cs="FrankRuehl" w:hint="cs"/>
          <w:sz w:val="20"/>
          <w:szCs w:val="22"/>
          <w:rtl/>
        </w:rPr>
        <w:t>,</w:t>
      </w:r>
      <w:r>
        <w:rPr>
          <w:rFonts w:cs="FrankRuehl"/>
          <w:sz w:val="20"/>
          <w:szCs w:val="22"/>
          <w:vertAlign w:val="superscript"/>
          <w:rtl/>
        </w:rPr>
        <w:t xml:space="preserve"> </w:t>
      </w:r>
      <w:r>
        <w:rPr>
          <w:rFonts w:cs="FrankRuehl"/>
          <w:sz w:val="20"/>
          <w:szCs w:val="22"/>
          <w:rtl/>
        </w:rPr>
        <w:t>המוכרות דלק לכל דורש</w:t>
      </w:r>
      <w:r>
        <w:rPr>
          <w:rFonts w:cs="FrankRuehl" w:hint="cs"/>
          <w:sz w:val="20"/>
          <w:szCs w:val="22"/>
          <w:rtl/>
        </w:rPr>
        <w:t>;</w:t>
      </w:r>
      <w:r>
        <w:rPr>
          <w:rFonts w:cs="FrankRuehl"/>
          <w:sz w:val="20"/>
          <w:szCs w:val="22"/>
          <w:rtl/>
        </w:rPr>
        <w:t xml:space="preserve"> </w:t>
      </w:r>
      <w:r>
        <w:rPr>
          <w:rFonts w:cs="FrankRuehl" w:hint="cs"/>
          <w:sz w:val="20"/>
          <w:szCs w:val="22"/>
          <w:rtl/>
        </w:rPr>
        <w:t xml:space="preserve">  (</w:t>
      </w:r>
      <w:r>
        <w:rPr>
          <w:rFonts w:cs="FrankRuehl"/>
          <w:sz w:val="20"/>
          <w:szCs w:val="22"/>
          <w:rtl/>
        </w:rPr>
        <w:t>2</w:t>
      </w:r>
      <w:r>
        <w:rPr>
          <w:rFonts w:cs="FrankRuehl" w:hint="cs"/>
          <w:sz w:val="20"/>
          <w:szCs w:val="22"/>
          <w:rtl/>
        </w:rPr>
        <w:t>)</w:t>
      </w:r>
      <w:r>
        <w:rPr>
          <w:rFonts w:cs="FrankRuehl"/>
          <w:sz w:val="20"/>
          <w:szCs w:val="22"/>
          <w:rtl/>
        </w:rPr>
        <w:t xml:space="preserve"> </w:t>
      </w:r>
      <w:r>
        <w:rPr>
          <w:rFonts w:cs="FrankRuehl" w:hint="cs"/>
          <w:sz w:val="20"/>
          <w:szCs w:val="22"/>
          <w:rtl/>
        </w:rPr>
        <w:t xml:space="preserve"> תחנות דלק </w:t>
      </w:r>
      <w:r>
        <w:rPr>
          <w:rFonts w:cs="FrankRuehl"/>
          <w:sz w:val="20"/>
          <w:szCs w:val="22"/>
          <w:rtl/>
        </w:rPr>
        <w:t>פנימיות</w:t>
      </w:r>
      <w:r>
        <w:rPr>
          <w:rStyle w:val="FootnoteReference"/>
          <w:rFonts w:cs="FrankRuehl"/>
          <w:sz w:val="20"/>
          <w:szCs w:val="22"/>
          <w:rtl/>
        </w:rPr>
        <w:footnoteReference w:id="10"/>
      </w:r>
      <w:r>
        <w:rPr>
          <w:rFonts w:cs="FrankRuehl" w:hint="cs"/>
          <w:sz w:val="20"/>
          <w:szCs w:val="22"/>
          <w:rtl/>
        </w:rPr>
        <w:t>,</w:t>
      </w:r>
      <w:r>
        <w:rPr>
          <w:rFonts w:cs="FrankRuehl"/>
          <w:sz w:val="20"/>
          <w:szCs w:val="22"/>
          <w:rtl/>
        </w:rPr>
        <w:t xml:space="preserve"> הנמצאות בקיבוצים, מושבים, מפעלים וחברו</w:t>
      </w:r>
      <w:r>
        <w:rPr>
          <w:rFonts w:cs="FrankRuehl"/>
          <w:sz w:val="20"/>
          <w:szCs w:val="22"/>
          <w:rtl/>
        </w:rPr>
        <w:t>ת</w:t>
      </w:r>
      <w:r>
        <w:rPr>
          <w:rFonts w:cs="FrankRuehl" w:hint="cs"/>
          <w:sz w:val="20"/>
          <w:szCs w:val="22"/>
          <w:rtl/>
        </w:rPr>
        <w:t xml:space="preserve"> ו</w:t>
      </w:r>
      <w:r>
        <w:rPr>
          <w:rFonts w:cs="FrankRuehl"/>
          <w:sz w:val="20"/>
          <w:szCs w:val="22"/>
          <w:rtl/>
        </w:rPr>
        <w:t xml:space="preserve">מספקות דלק </w:t>
      </w:r>
      <w:r>
        <w:rPr>
          <w:rFonts w:cs="FrankRuehl" w:hint="cs"/>
          <w:sz w:val="20"/>
          <w:szCs w:val="22"/>
          <w:rtl/>
        </w:rPr>
        <w:t xml:space="preserve">לגוף שבו הן פועלות, ולא אמורה להתבצע בהן פעילות מסחרית;  </w:t>
      </w:r>
      <w:r>
        <w:rPr>
          <w:rFonts w:cs="FrankRuehl"/>
          <w:sz w:val="20"/>
          <w:szCs w:val="22"/>
          <w:rtl/>
        </w:rPr>
        <w:t xml:space="preserve"> </w:t>
      </w:r>
      <w:r>
        <w:rPr>
          <w:rFonts w:cs="FrankRuehl" w:hint="cs"/>
          <w:sz w:val="20"/>
          <w:szCs w:val="22"/>
          <w:rtl/>
        </w:rPr>
        <w:t>(</w:t>
      </w:r>
      <w:r>
        <w:rPr>
          <w:rFonts w:cs="FrankRuehl"/>
          <w:sz w:val="20"/>
          <w:szCs w:val="22"/>
          <w:rtl/>
        </w:rPr>
        <w:t>3</w:t>
      </w:r>
      <w:r>
        <w:rPr>
          <w:rFonts w:cs="FrankRuehl" w:hint="cs"/>
          <w:sz w:val="20"/>
          <w:szCs w:val="22"/>
          <w:rtl/>
        </w:rPr>
        <w:t xml:space="preserve">) </w:t>
      </w:r>
      <w:r>
        <w:rPr>
          <w:rFonts w:cs="FrankRuehl"/>
          <w:sz w:val="20"/>
          <w:szCs w:val="22"/>
          <w:rtl/>
        </w:rPr>
        <w:t xml:space="preserve"> </w:t>
      </w:r>
      <w:r>
        <w:rPr>
          <w:rFonts w:cs="FrankRuehl" w:hint="cs"/>
          <w:sz w:val="20"/>
          <w:szCs w:val="22"/>
          <w:rtl/>
        </w:rPr>
        <w:t xml:space="preserve">תחנות דלק </w:t>
      </w:r>
      <w:r>
        <w:rPr>
          <w:rFonts w:cs="FrankRuehl"/>
          <w:sz w:val="20"/>
          <w:szCs w:val="22"/>
          <w:rtl/>
        </w:rPr>
        <w:t>זעירות</w:t>
      </w:r>
      <w:r>
        <w:rPr>
          <w:rFonts w:cs="FrankRuehl" w:hint="cs"/>
          <w:sz w:val="20"/>
          <w:szCs w:val="22"/>
          <w:rtl/>
        </w:rPr>
        <w:t>,</w:t>
      </w:r>
      <w:r>
        <w:rPr>
          <w:rFonts w:cs="FrankRuehl"/>
          <w:sz w:val="20"/>
          <w:szCs w:val="22"/>
          <w:rtl/>
        </w:rPr>
        <w:t xml:space="preserve"> </w:t>
      </w:r>
      <w:r>
        <w:rPr>
          <w:rFonts w:cs="FrankRuehl" w:hint="cs"/>
          <w:sz w:val="20"/>
          <w:szCs w:val="22"/>
          <w:rtl/>
        </w:rPr>
        <w:t>ש</w:t>
      </w:r>
      <w:r>
        <w:rPr>
          <w:rFonts w:cs="FrankRuehl"/>
          <w:sz w:val="20"/>
          <w:szCs w:val="22"/>
          <w:rtl/>
        </w:rPr>
        <w:t>שטח</w:t>
      </w:r>
      <w:r>
        <w:rPr>
          <w:rFonts w:cs="FrankRuehl" w:hint="cs"/>
          <w:sz w:val="20"/>
          <w:szCs w:val="22"/>
          <w:rtl/>
        </w:rPr>
        <w:t>ן</w:t>
      </w:r>
      <w:r>
        <w:rPr>
          <w:rFonts w:cs="FrankRuehl"/>
          <w:sz w:val="20"/>
          <w:szCs w:val="22"/>
          <w:rtl/>
        </w:rPr>
        <w:t xml:space="preserve"> קטן</w:t>
      </w:r>
      <w:r>
        <w:rPr>
          <w:rFonts w:cs="FrankRuehl" w:hint="cs"/>
          <w:sz w:val="20"/>
          <w:szCs w:val="22"/>
          <w:rtl/>
        </w:rPr>
        <w:t xml:space="preserve"> ומספר</w:t>
      </w:r>
      <w:r>
        <w:rPr>
          <w:rFonts w:cs="FrankRuehl"/>
          <w:sz w:val="20"/>
          <w:szCs w:val="22"/>
          <w:rtl/>
        </w:rPr>
        <w:t xml:space="preserve"> עמדות </w:t>
      </w:r>
      <w:r>
        <w:rPr>
          <w:rFonts w:cs="FrankRuehl" w:hint="cs"/>
          <w:sz w:val="20"/>
          <w:szCs w:val="22"/>
          <w:rtl/>
        </w:rPr>
        <w:t>ה</w:t>
      </w:r>
      <w:r>
        <w:rPr>
          <w:rFonts w:cs="FrankRuehl"/>
          <w:sz w:val="20"/>
          <w:szCs w:val="22"/>
          <w:rtl/>
        </w:rPr>
        <w:t>תדלוק</w:t>
      </w:r>
      <w:r>
        <w:rPr>
          <w:rFonts w:cs="FrankRuehl" w:hint="cs"/>
          <w:sz w:val="20"/>
          <w:szCs w:val="22"/>
          <w:rtl/>
        </w:rPr>
        <w:t xml:space="preserve"> בהן אינו עולה על שתיים,</w:t>
      </w:r>
      <w:r>
        <w:rPr>
          <w:rFonts w:cs="FrankRuehl"/>
          <w:sz w:val="20"/>
          <w:szCs w:val="22"/>
          <w:rtl/>
        </w:rPr>
        <w:t xml:space="preserve"> ולא מתבצעת</w:t>
      </w:r>
      <w:r>
        <w:rPr>
          <w:rFonts w:cs="FrankRuehl" w:hint="cs"/>
          <w:sz w:val="20"/>
          <w:szCs w:val="22"/>
          <w:rtl/>
        </w:rPr>
        <w:t xml:space="preserve"> בהן</w:t>
      </w:r>
      <w:r>
        <w:rPr>
          <w:rFonts w:cs="FrankRuehl"/>
          <w:sz w:val="20"/>
          <w:szCs w:val="22"/>
          <w:rtl/>
        </w:rPr>
        <w:t xml:space="preserve"> פעילות מסחרית </w:t>
      </w:r>
      <w:r>
        <w:rPr>
          <w:rFonts w:cs="FrankRuehl" w:hint="cs"/>
          <w:sz w:val="20"/>
          <w:szCs w:val="22"/>
          <w:rtl/>
        </w:rPr>
        <w:t xml:space="preserve">מלבד </w:t>
      </w:r>
      <w:r>
        <w:rPr>
          <w:rFonts w:cs="FrankRuehl"/>
          <w:sz w:val="20"/>
          <w:szCs w:val="22"/>
          <w:rtl/>
        </w:rPr>
        <w:t xml:space="preserve">תדלוק. </w:t>
      </w:r>
      <w:r>
        <w:rPr>
          <w:rFonts w:cs="FrankRuehl" w:hint="cs"/>
          <w:sz w:val="20"/>
          <w:szCs w:val="22"/>
          <w:rtl/>
        </w:rPr>
        <w:t>נוסף על תחנות הדלק המורשות הללו</w:t>
      </w:r>
      <w:r>
        <w:rPr>
          <w:rFonts w:cs="FrankRuehl"/>
          <w:sz w:val="20"/>
          <w:szCs w:val="22"/>
          <w:rtl/>
        </w:rPr>
        <w:t xml:space="preserve"> קיימות תחנות דלק שהוקמו ללא היתר בנ</w:t>
      </w:r>
      <w:r>
        <w:rPr>
          <w:rFonts w:cs="FrankRuehl"/>
          <w:sz w:val="20"/>
          <w:szCs w:val="22"/>
          <w:rtl/>
        </w:rPr>
        <w:t xml:space="preserve">ייה </w:t>
      </w:r>
      <w:r>
        <w:rPr>
          <w:rFonts w:cs="FrankRuehl" w:hint="cs"/>
          <w:sz w:val="20"/>
          <w:szCs w:val="22"/>
          <w:rtl/>
        </w:rPr>
        <w:t xml:space="preserve">ואין להן </w:t>
      </w:r>
      <w:r>
        <w:rPr>
          <w:rFonts w:cs="FrankRuehl"/>
          <w:sz w:val="20"/>
          <w:szCs w:val="22"/>
          <w:rtl/>
        </w:rPr>
        <w:t>רישיון עסק ו</w:t>
      </w:r>
      <w:r>
        <w:rPr>
          <w:rFonts w:cs="FrankRuehl" w:hint="cs"/>
          <w:sz w:val="20"/>
          <w:szCs w:val="22"/>
          <w:rtl/>
        </w:rPr>
        <w:t xml:space="preserve">הן מוכרות דלק לציבור </w:t>
      </w:r>
      <w:r>
        <w:rPr>
          <w:rFonts w:cs="FrankRuehl"/>
          <w:sz w:val="20"/>
          <w:szCs w:val="22"/>
          <w:rtl/>
        </w:rPr>
        <w:t>בניגוד לחוק (להלן</w:t>
      </w:r>
      <w:r>
        <w:rPr>
          <w:rFonts w:cs="FrankRuehl" w:hint="cs"/>
          <w:sz w:val="20"/>
          <w:szCs w:val="22"/>
          <w:rtl/>
        </w:rPr>
        <w:t xml:space="preserve"> </w:t>
      </w:r>
      <w:r>
        <w:rPr>
          <w:rFonts w:cs="FrankRuehl"/>
          <w:sz w:val="20"/>
          <w:szCs w:val="22"/>
          <w:rtl/>
        </w:rPr>
        <w:t>-</w:t>
      </w:r>
      <w:r>
        <w:rPr>
          <w:rFonts w:cs="FrankRuehl" w:hint="cs"/>
          <w:sz w:val="20"/>
          <w:szCs w:val="22"/>
          <w:rtl/>
        </w:rPr>
        <w:t xml:space="preserve"> </w:t>
      </w:r>
      <w:r>
        <w:rPr>
          <w:rFonts w:cs="FrankRuehl"/>
          <w:sz w:val="20"/>
          <w:szCs w:val="22"/>
          <w:rtl/>
        </w:rPr>
        <w:t xml:space="preserve">תחנות דלק פירטיות). בשנת 2003 </w:t>
      </w:r>
      <w:r>
        <w:rPr>
          <w:rFonts w:cs="FrankRuehl" w:hint="cs"/>
          <w:sz w:val="20"/>
          <w:szCs w:val="22"/>
          <w:rtl/>
        </w:rPr>
        <w:t xml:space="preserve">פרסם </w:t>
      </w:r>
      <w:r>
        <w:rPr>
          <w:rFonts w:cs="FrankRuehl"/>
          <w:sz w:val="20"/>
          <w:szCs w:val="22"/>
          <w:rtl/>
        </w:rPr>
        <w:t>מבקר המדינה</w:t>
      </w:r>
      <w:r>
        <w:rPr>
          <w:rStyle w:val="FootnoteReference"/>
          <w:rFonts w:cs="FrankRuehl"/>
          <w:sz w:val="20"/>
          <w:szCs w:val="22"/>
          <w:rtl/>
        </w:rPr>
        <w:footnoteReference w:id="11"/>
      </w:r>
      <w:r>
        <w:rPr>
          <w:rFonts w:cs="FrankRuehl"/>
          <w:sz w:val="20"/>
          <w:szCs w:val="22"/>
          <w:rtl/>
        </w:rPr>
        <w:t xml:space="preserve"> </w:t>
      </w:r>
      <w:r>
        <w:rPr>
          <w:rFonts w:cs="FrankRuehl" w:hint="cs"/>
          <w:sz w:val="20"/>
          <w:szCs w:val="22"/>
          <w:rtl/>
        </w:rPr>
        <w:t xml:space="preserve">דוח העוסק </w:t>
      </w:r>
      <w:r>
        <w:rPr>
          <w:rFonts w:cs="FrankRuehl"/>
          <w:sz w:val="20"/>
          <w:szCs w:val="22"/>
          <w:rtl/>
        </w:rPr>
        <w:t>בטיפולם של משרדי הממשלה ו</w:t>
      </w:r>
      <w:r>
        <w:rPr>
          <w:rFonts w:cs="FrankRuehl" w:hint="cs"/>
          <w:sz w:val="20"/>
          <w:szCs w:val="22"/>
          <w:rtl/>
        </w:rPr>
        <w:t>ה</w:t>
      </w:r>
      <w:r>
        <w:rPr>
          <w:rFonts w:cs="FrankRuehl"/>
          <w:sz w:val="20"/>
          <w:szCs w:val="22"/>
          <w:rtl/>
        </w:rPr>
        <w:t xml:space="preserve">רשויות </w:t>
      </w:r>
      <w:r>
        <w:rPr>
          <w:rFonts w:cs="FrankRuehl" w:hint="cs"/>
          <w:sz w:val="20"/>
          <w:szCs w:val="22"/>
          <w:rtl/>
        </w:rPr>
        <w:t>ה</w:t>
      </w:r>
      <w:r>
        <w:rPr>
          <w:rFonts w:cs="FrankRuehl"/>
          <w:sz w:val="20"/>
          <w:szCs w:val="22"/>
          <w:rtl/>
        </w:rPr>
        <w:t xml:space="preserve">מקומיות בתחנות דלק פירטיות. </w:t>
      </w:r>
    </w:p>
    <w:p w:rsidR="00000000">
      <w:pPr>
        <w:spacing w:after="240" w:line="230" w:lineRule="exact"/>
        <w:jc w:val="both"/>
        <w:rPr>
          <w:rFonts w:cs="FrankRuehl" w:hint="cs"/>
          <w:sz w:val="20"/>
          <w:szCs w:val="22"/>
          <w:rtl/>
        </w:rPr>
      </w:pPr>
      <w:r>
        <w:rPr>
          <w:rFonts w:cs="FrankRuehl"/>
          <w:sz w:val="20"/>
          <w:szCs w:val="22"/>
          <w:rtl/>
        </w:rPr>
        <w:t xml:space="preserve">בישראל קיימות </w:t>
      </w:r>
      <w:r>
        <w:rPr>
          <w:rFonts w:cs="FrankRuehl" w:hint="cs"/>
          <w:sz w:val="20"/>
          <w:szCs w:val="22"/>
          <w:rtl/>
        </w:rPr>
        <w:t>כ-1,100</w:t>
      </w:r>
      <w:r>
        <w:rPr>
          <w:rFonts w:cs="FrankRuehl"/>
          <w:color w:val="FF0000"/>
          <w:sz w:val="20"/>
          <w:szCs w:val="22"/>
          <w:rtl/>
        </w:rPr>
        <w:t xml:space="preserve"> </w:t>
      </w:r>
      <w:r>
        <w:rPr>
          <w:rFonts w:cs="FrankRuehl"/>
          <w:sz w:val="20"/>
          <w:szCs w:val="22"/>
          <w:rtl/>
        </w:rPr>
        <w:t>תחנות דלק ציבוריות, מאות תחנות דלק פנימיות</w:t>
      </w:r>
      <w:r>
        <w:rPr>
          <w:rFonts w:cs="FrankRuehl" w:hint="cs"/>
          <w:sz w:val="20"/>
          <w:szCs w:val="22"/>
          <w:rtl/>
        </w:rPr>
        <w:t>,</w:t>
      </w:r>
      <w:r>
        <w:rPr>
          <w:rFonts w:cs="FrankRuehl"/>
          <w:sz w:val="20"/>
          <w:szCs w:val="22"/>
          <w:rtl/>
        </w:rPr>
        <w:t xml:space="preserve"> </w:t>
      </w:r>
      <w:r>
        <w:rPr>
          <w:rFonts w:cs="FrankRuehl" w:hint="cs"/>
          <w:sz w:val="20"/>
          <w:szCs w:val="22"/>
          <w:rtl/>
        </w:rPr>
        <w:t>ולפ</w:t>
      </w:r>
      <w:r>
        <w:rPr>
          <w:rFonts w:cs="FrankRuehl" w:hint="cs"/>
          <w:sz w:val="20"/>
          <w:szCs w:val="22"/>
          <w:rtl/>
        </w:rPr>
        <w:t xml:space="preserve">י הערכת משרד מבקר המדינה, </w:t>
      </w:r>
      <w:r>
        <w:rPr>
          <w:rFonts w:cs="FrankRuehl"/>
          <w:sz w:val="20"/>
          <w:szCs w:val="22"/>
          <w:rtl/>
        </w:rPr>
        <w:t>כמאה תחנות דלק פירטיות</w:t>
      </w:r>
      <w:r>
        <w:rPr>
          <w:rStyle w:val="FootnoteReference"/>
          <w:rFonts w:cs="FrankRuehl"/>
          <w:sz w:val="20"/>
          <w:szCs w:val="22"/>
          <w:rtl/>
        </w:rPr>
        <w:footnoteReference w:id="12"/>
      </w:r>
      <w:r>
        <w:rPr>
          <w:rFonts w:cs="FrankRuehl"/>
          <w:sz w:val="20"/>
          <w:szCs w:val="22"/>
          <w:rtl/>
        </w:rPr>
        <w:t xml:space="preserve">. רוב תחנות </w:t>
      </w:r>
      <w:r>
        <w:rPr>
          <w:rFonts w:cs="FrankRuehl" w:hint="cs"/>
          <w:sz w:val="20"/>
          <w:szCs w:val="22"/>
          <w:rtl/>
        </w:rPr>
        <w:t>ה</w:t>
      </w:r>
      <w:r>
        <w:rPr>
          <w:rFonts w:cs="FrankRuehl"/>
          <w:sz w:val="20"/>
          <w:szCs w:val="22"/>
          <w:rtl/>
        </w:rPr>
        <w:t xml:space="preserve">דלק </w:t>
      </w:r>
      <w:r>
        <w:rPr>
          <w:rFonts w:cs="FrankRuehl" w:hint="cs"/>
          <w:sz w:val="20"/>
          <w:szCs w:val="22"/>
          <w:rtl/>
        </w:rPr>
        <w:t>ה</w:t>
      </w:r>
      <w:r>
        <w:rPr>
          <w:rFonts w:cs="FrankRuehl"/>
          <w:sz w:val="20"/>
          <w:szCs w:val="22"/>
          <w:rtl/>
        </w:rPr>
        <w:t>פירטיות מוכרות סולר המאוחסן במכלים עיליים.</w:t>
      </w:r>
      <w:r>
        <w:rPr>
          <w:rFonts w:cs="FrankRuehl" w:hint="cs"/>
          <w:sz w:val="20"/>
          <w:szCs w:val="22"/>
          <w:rtl/>
        </w:rPr>
        <w:t xml:space="preserve"> לפיכך ניתן להקים תחנות כאלה ולהעבירן למקום אחר בקלות ובתוך זמן קצר.</w:t>
      </w:r>
      <w:r>
        <w:rPr>
          <w:rFonts w:cs="FrankRuehl"/>
          <w:sz w:val="20"/>
          <w:szCs w:val="22"/>
          <w:rtl/>
        </w:rPr>
        <w:t xml:space="preserve"> הן נמצאות בעיקר בצמתים מרכזיים </w:t>
      </w:r>
      <w:r>
        <w:rPr>
          <w:rFonts w:cs="FrankRuehl" w:hint="cs"/>
          <w:sz w:val="20"/>
          <w:szCs w:val="22"/>
          <w:rtl/>
        </w:rPr>
        <w:t>ו</w:t>
      </w:r>
      <w:r>
        <w:rPr>
          <w:rFonts w:cs="FrankRuehl"/>
          <w:sz w:val="20"/>
          <w:szCs w:val="22"/>
          <w:rtl/>
        </w:rPr>
        <w:t>בי</w:t>
      </w:r>
      <w:r>
        <w:rPr>
          <w:rFonts w:cs="FrankRuehl" w:hint="cs"/>
          <w:sz w:val="20"/>
          <w:szCs w:val="22"/>
          <w:rtl/>
        </w:rPr>
        <w:t>י</w:t>
      </w:r>
      <w:r>
        <w:rPr>
          <w:rFonts w:cs="FrankRuehl"/>
          <w:sz w:val="20"/>
          <w:szCs w:val="22"/>
          <w:rtl/>
        </w:rPr>
        <w:t xml:space="preserve">שובים בדרום </w:t>
      </w:r>
      <w:r>
        <w:rPr>
          <w:rFonts w:cs="FrankRuehl" w:hint="cs"/>
          <w:sz w:val="20"/>
          <w:szCs w:val="22"/>
          <w:rtl/>
        </w:rPr>
        <w:t xml:space="preserve">הארץ </w:t>
      </w:r>
      <w:r>
        <w:rPr>
          <w:rFonts w:cs="FrankRuehl"/>
          <w:sz w:val="20"/>
          <w:szCs w:val="22"/>
          <w:rtl/>
        </w:rPr>
        <w:t>ובצפו</w:t>
      </w:r>
      <w:r>
        <w:rPr>
          <w:rFonts w:cs="FrankRuehl" w:hint="cs"/>
          <w:sz w:val="20"/>
          <w:szCs w:val="22"/>
          <w:rtl/>
        </w:rPr>
        <w:t>נה.</w:t>
      </w:r>
      <w:r>
        <w:rPr>
          <w:rFonts w:cs="FrankRuehl"/>
          <w:sz w:val="20"/>
          <w:szCs w:val="22"/>
          <w:rtl/>
        </w:rPr>
        <w:t xml:space="preserve"> </w:t>
      </w:r>
      <w:r>
        <w:rPr>
          <w:rFonts w:cs="FrankRuehl" w:hint="cs"/>
          <w:sz w:val="20"/>
          <w:szCs w:val="22"/>
          <w:rtl/>
        </w:rPr>
        <w:t>חלק מהתחנות מוקמו</w:t>
      </w:r>
      <w:r>
        <w:rPr>
          <w:rFonts w:cs="FrankRuehl" w:hint="cs"/>
          <w:sz w:val="20"/>
          <w:szCs w:val="22"/>
          <w:rtl/>
        </w:rPr>
        <w:t>ת בסמוך ל</w:t>
      </w:r>
      <w:r>
        <w:rPr>
          <w:rFonts w:cs="FrankRuehl"/>
          <w:sz w:val="20"/>
          <w:szCs w:val="22"/>
          <w:rtl/>
        </w:rPr>
        <w:t>בתי מגורים</w:t>
      </w:r>
      <w:r>
        <w:rPr>
          <w:rFonts w:cs="FrankRuehl" w:hint="cs"/>
          <w:sz w:val="20"/>
          <w:szCs w:val="22"/>
          <w:rtl/>
        </w:rPr>
        <w:t>, בתי עסק</w:t>
      </w:r>
      <w:r>
        <w:rPr>
          <w:rFonts w:cs="FrankRuehl"/>
          <w:sz w:val="20"/>
          <w:szCs w:val="22"/>
          <w:vertAlign w:val="superscript"/>
          <w:rtl/>
        </w:rPr>
        <w:footnoteReference w:id="13"/>
      </w:r>
      <w:r>
        <w:rPr>
          <w:rFonts w:cs="FrankRuehl"/>
          <w:sz w:val="20"/>
          <w:szCs w:val="22"/>
          <w:rtl/>
        </w:rPr>
        <w:t xml:space="preserve"> או חצר</w:t>
      </w:r>
      <w:r>
        <w:rPr>
          <w:rFonts w:cs="FrankRuehl" w:hint="cs"/>
          <w:sz w:val="20"/>
          <w:szCs w:val="22"/>
          <w:rtl/>
        </w:rPr>
        <w:t>ות ואף בתוכם;</w:t>
      </w:r>
      <w:r>
        <w:rPr>
          <w:rFonts w:cs="FrankRuehl"/>
          <w:sz w:val="20"/>
          <w:szCs w:val="22"/>
          <w:rtl/>
        </w:rPr>
        <w:t xml:space="preserve"> חלקן </w:t>
      </w:r>
      <w:r>
        <w:rPr>
          <w:rFonts w:cs="FrankRuehl" w:hint="cs"/>
          <w:sz w:val="20"/>
          <w:szCs w:val="22"/>
          <w:rtl/>
        </w:rPr>
        <w:t>מוסתרות וקש</w:t>
      </w:r>
      <w:r>
        <w:rPr>
          <w:rFonts w:cs="FrankRuehl" w:hint="eastAsia"/>
          <w:sz w:val="20"/>
          <w:szCs w:val="22"/>
          <w:rtl/>
        </w:rPr>
        <w:t>ה</w:t>
      </w:r>
      <w:r>
        <w:rPr>
          <w:rFonts w:cs="FrankRuehl"/>
          <w:sz w:val="20"/>
          <w:szCs w:val="22"/>
          <w:rtl/>
        </w:rPr>
        <w:t xml:space="preserve"> להבחין בהן. </w:t>
      </w:r>
      <w:r>
        <w:rPr>
          <w:rFonts w:cs="FrankRuehl" w:hint="cs"/>
          <w:sz w:val="20"/>
          <w:szCs w:val="22"/>
          <w:rtl/>
        </w:rPr>
        <w:t xml:space="preserve">להלן תמונות של כמה תחנות דלק פירטיות: </w:t>
      </w:r>
    </w:p>
    <w:p w:rsidR="00000000">
      <w:pPr>
        <w:spacing w:after="60" w:line="240" w:lineRule="atLeast"/>
        <w:jc w:val="center"/>
        <w:rPr>
          <w:rFonts w:cs="FrankRuehl"/>
          <w:sz w:val="20"/>
          <w:szCs w:val="22"/>
        </w:rPr>
      </w:pPr>
      <w:r>
        <w:rPr>
          <w:rFonts w:cs="FrankRuehl" w:hint="cs"/>
          <w:noProof/>
          <w:sz w:val="20"/>
          <w:szCs w:val="22"/>
          <w:rtl/>
        </w:rPr>
        <w:drawing>
          <wp:inline distT="0" distB="0" distL="0" distR="0">
            <wp:extent cx="4248150" cy="3067050"/>
            <wp:effectExtent l="0" t="0" r="0" b="0"/>
            <wp:docPr id="1" name="תמונה 1" descr="pics\113a-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9288" name="Picture 1" descr="pics\113a-comp.jp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150" cy="3067050"/>
                    </a:xfrm>
                    <a:prstGeom prst="rect">
                      <a:avLst/>
                    </a:prstGeom>
                    <a:noFill/>
                    <a:ln>
                      <a:noFill/>
                    </a:ln>
                  </pic:spPr>
                </pic:pic>
              </a:graphicData>
            </a:graphic>
          </wp:inline>
        </w:drawing>
      </w:r>
    </w:p>
    <w:p w:rsidR="00000000">
      <w:pPr>
        <w:pStyle w:val="KOT5"/>
        <w:keepNext w:val="0"/>
        <w:jc w:val="center"/>
        <w:rPr>
          <w:rFonts w:cs="FrankRuehl"/>
          <w:sz w:val="20"/>
        </w:rPr>
      </w:pPr>
      <w:r>
        <w:rPr>
          <w:rFonts w:hint="cs"/>
          <w:rtl/>
        </w:rPr>
        <w:t>תחנת דלק בחצר בית</w:t>
      </w:r>
    </w:p>
    <w:p w:rsidR="00000000">
      <w:pPr>
        <w:spacing w:after="60" w:line="240" w:lineRule="atLeast"/>
        <w:jc w:val="center"/>
        <w:rPr>
          <w:rFonts w:cs="FrankRuehl"/>
          <w:sz w:val="20"/>
          <w:szCs w:val="22"/>
        </w:rPr>
      </w:pPr>
      <w:r>
        <w:rPr>
          <w:rFonts w:cs="FrankRuehl"/>
          <w:noProof/>
          <w:sz w:val="20"/>
          <w:szCs w:val="22"/>
          <w:rtl/>
        </w:rPr>
        <w:drawing>
          <wp:inline distT="0" distB="0" distL="0" distR="0">
            <wp:extent cx="4248150" cy="3187700"/>
            <wp:effectExtent l="0" t="0" r="0" b="0"/>
            <wp:docPr id="2" name="תמונה 2" descr="pics\113b-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66174" name="Picture 2" descr="pics\113b-comp.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150" cy="3187700"/>
                    </a:xfrm>
                    <a:prstGeom prst="rect">
                      <a:avLst/>
                    </a:prstGeom>
                    <a:noFill/>
                    <a:ln>
                      <a:noFill/>
                    </a:ln>
                  </pic:spPr>
                </pic:pic>
              </a:graphicData>
            </a:graphic>
          </wp:inline>
        </w:drawing>
      </w:r>
    </w:p>
    <w:p w:rsidR="00000000">
      <w:pPr>
        <w:pStyle w:val="KOT5"/>
        <w:keepNext w:val="0"/>
        <w:jc w:val="center"/>
        <w:rPr>
          <w:rtl/>
        </w:rPr>
      </w:pPr>
      <w:r>
        <w:rPr>
          <w:rFonts w:hint="cs"/>
          <w:rtl/>
        </w:rPr>
        <w:t>תחנת דלק על כביש ראשי בסמוך לבתי מגורים</w:t>
      </w:r>
    </w:p>
    <w:p w:rsidR="00000000">
      <w:pPr>
        <w:spacing w:after="60" w:line="240" w:lineRule="atLeast"/>
        <w:jc w:val="center"/>
        <w:rPr>
          <w:rFonts w:cs="FrankRuehl"/>
          <w:sz w:val="20"/>
          <w:szCs w:val="22"/>
        </w:rPr>
      </w:pPr>
      <w:r>
        <w:rPr>
          <w:rFonts w:cs="FrankRuehl"/>
          <w:noProof/>
          <w:sz w:val="20"/>
          <w:szCs w:val="22"/>
          <w:rtl/>
        </w:rPr>
        <w:drawing>
          <wp:inline distT="0" distB="0" distL="0" distR="0">
            <wp:extent cx="4248150" cy="3124200"/>
            <wp:effectExtent l="0" t="0" r="0" b="0"/>
            <wp:docPr id="3" name="תמונה 3" descr="pics\113c-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7177" name="Picture 3" descr="pics\113c-comp.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150" cy="3124200"/>
                    </a:xfrm>
                    <a:prstGeom prst="rect">
                      <a:avLst/>
                    </a:prstGeom>
                    <a:noFill/>
                    <a:ln>
                      <a:noFill/>
                    </a:ln>
                  </pic:spPr>
                </pic:pic>
              </a:graphicData>
            </a:graphic>
          </wp:inline>
        </w:drawing>
      </w:r>
    </w:p>
    <w:p w:rsidR="00000000">
      <w:pPr>
        <w:pStyle w:val="KOT5"/>
        <w:keepNext w:val="0"/>
        <w:jc w:val="center"/>
      </w:pPr>
      <w:r>
        <w:rPr>
          <w:rFonts w:hint="cs"/>
          <w:rtl/>
        </w:rPr>
        <w:t>תחנת דלק בתוך בית עסק</w:t>
      </w:r>
    </w:p>
    <w:p w:rsidR="00000000">
      <w:pPr>
        <w:spacing w:after="60" w:line="240" w:lineRule="atLeast"/>
        <w:jc w:val="center"/>
        <w:rPr>
          <w:rFonts w:cs="FrankRuehl"/>
          <w:sz w:val="20"/>
          <w:szCs w:val="22"/>
        </w:rPr>
      </w:pPr>
      <w:r>
        <w:rPr>
          <w:rFonts w:cs="FrankRuehl"/>
          <w:noProof/>
          <w:sz w:val="20"/>
          <w:szCs w:val="22"/>
          <w:rtl/>
        </w:rPr>
        <w:drawing>
          <wp:inline distT="0" distB="0" distL="0" distR="0">
            <wp:extent cx="4248150" cy="3219450"/>
            <wp:effectExtent l="0" t="0" r="0" b="0"/>
            <wp:docPr id="4" name="תמונה 4" descr="pics\113d-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96160" name="Picture 4" descr="pics\113d-comp.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150" cy="3219450"/>
                    </a:xfrm>
                    <a:prstGeom prst="rect">
                      <a:avLst/>
                    </a:prstGeom>
                    <a:noFill/>
                    <a:ln>
                      <a:noFill/>
                    </a:ln>
                  </pic:spPr>
                </pic:pic>
              </a:graphicData>
            </a:graphic>
          </wp:inline>
        </w:drawing>
      </w:r>
    </w:p>
    <w:p w:rsidR="00000000">
      <w:pPr>
        <w:pStyle w:val="KOT5"/>
        <w:keepNext w:val="0"/>
        <w:jc w:val="center"/>
        <w:rPr>
          <w:rtl/>
        </w:rPr>
      </w:pPr>
      <w:r>
        <w:rPr>
          <w:rFonts w:hint="cs"/>
          <w:rtl/>
        </w:rPr>
        <w:t>תחנת דלק נגררת</w:t>
      </w:r>
    </w:p>
    <w:p w:rsidR="00000000">
      <w:pPr>
        <w:spacing w:after="120" w:line="230" w:lineRule="exact"/>
        <w:jc w:val="both"/>
        <w:rPr>
          <w:rFonts w:cs="FrankRuehl" w:hint="cs"/>
          <w:sz w:val="20"/>
          <w:szCs w:val="22"/>
          <w:rtl/>
        </w:rPr>
      </w:pPr>
      <w:r>
        <w:rPr>
          <w:rFonts w:cs="FrankRuehl" w:hint="cs"/>
          <w:sz w:val="20"/>
          <w:szCs w:val="22"/>
          <w:rtl/>
        </w:rPr>
        <w:t xml:space="preserve">הפעלת </w:t>
      </w:r>
      <w:r>
        <w:rPr>
          <w:rFonts w:cs="FrankRuehl"/>
          <w:sz w:val="20"/>
          <w:szCs w:val="22"/>
          <w:rtl/>
        </w:rPr>
        <w:t xml:space="preserve">תחנות </w:t>
      </w:r>
      <w:r>
        <w:rPr>
          <w:rFonts w:cs="FrankRuehl" w:hint="cs"/>
          <w:sz w:val="20"/>
          <w:szCs w:val="22"/>
          <w:rtl/>
        </w:rPr>
        <w:t>דלק פירטיות עלולה לחשו</w:t>
      </w:r>
      <w:r>
        <w:rPr>
          <w:rFonts w:cs="FrankRuehl" w:hint="cs"/>
          <w:sz w:val="20"/>
          <w:szCs w:val="22"/>
          <w:rtl/>
        </w:rPr>
        <w:t>ף את הציבור לסיכונים</w:t>
      </w:r>
      <w:r>
        <w:rPr>
          <w:rFonts w:cs="FrankRuehl"/>
          <w:sz w:val="20"/>
          <w:szCs w:val="22"/>
          <w:rtl/>
        </w:rPr>
        <w:t xml:space="preserve"> </w:t>
      </w:r>
      <w:r>
        <w:rPr>
          <w:rFonts w:cs="FrankRuehl" w:hint="cs"/>
          <w:sz w:val="20"/>
          <w:szCs w:val="22"/>
          <w:rtl/>
        </w:rPr>
        <w:t>ולפגוע בסדר הציבורי, זאת מכמה היבטים</w:t>
      </w:r>
      <w:r>
        <w:rPr>
          <w:rFonts w:cs="FrankRuehl"/>
          <w:sz w:val="20"/>
          <w:szCs w:val="22"/>
          <w:rtl/>
        </w:rPr>
        <w:t>:</w:t>
      </w:r>
      <w:r>
        <w:rPr>
          <w:rFonts w:cs="FrankRuehl" w:hint="cs"/>
          <w:sz w:val="20"/>
          <w:szCs w:val="22"/>
          <w:rtl/>
        </w:rPr>
        <w:t xml:space="preserve"> בטיחות - סכנה לחיי אדם במקרה של שרפה או פיצוץ ובשל אי-שמירת מרחק בטיחות מנקודות רגישות (מצבורי גז, מבני מגורים); בריאות - שאיפה של אדי דלק; איכות הסביבה - זיהום מי תהום, אוויר, קרקע ונחלים; תחבורה </w:t>
      </w:r>
      <w:r>
        <w:rPr>
          <w:rFonts w:cs="FrankRuehl" w:hint="cs"/>
          <w:sz w:val="20"/>
          <w:szCs w:val="22"/>
          <w:rtl/>
        </w:rPr>
        <w:t>- התחנות ממוקמות בצמתים או ליד צירי תנועה, ללא כל התחשבות בתחבורה ובניגוד לתכניות המחייבות בשטח (ראו להלן את הפרק "התשתית הנורמטיבית"); צרכנות - היעדר פיקוח על איכות הדלק הנמכר. נוסף על כך הפעלת תחנות דלק פירטיות גורמת הפסדים כספיים לרשויות המדינה בשל אי-ת</w:t>
      </w:r>
      <w:r>
        <w:rPr>
          <w:rFonts w:cs="FrankRuehl" w:hint="cs"/>
          <w:sz w:val="20"/>
          <w:szCs w:val="22"/>
          <w:rtl/>
        </w:rPr>
        <w:t>שלום מסים ואגרות המתחייבים מהפעלת התחנה, וכן נגרמים הפסדים כספיים עקיפים לבעלי תחנות דלק מורשות.</w:t>
      </w:r>
    </w:p>
    <w:p w:rsidR="00000000">
      <w:pPr>
        <w:spacing w:after="120" w:line="230" w:lineRule="exact"/>
        <w:jc w:val="both"/>
        <w:rPr>
          <w:rFonts w:cs="FrankRuehl" w:hint="cs"/>
          <w:sz w:val="20"/>
          <w:szCs w:val="22"/>
          <w:rtl/>
        </w:rPr>
      </w:pPr>
      <w:r>
        <w:rPr>
          <w:rFonts w:cs="FrankRuehl"/>
          <w:sz w:val="20"/>
          <w:szCs w:val="22"/>
          <w:rtl/>
        </w:rPr>
        <w:t xml:space="preserve">בחודשים </w:t>
      </w:r>
      <w:r>
        <w:rPr>
          <w:rFonts w:cs="FrankRuehl" w:hint="cs"/>
          <w:sz w:val="20"/>
          <w:szCs w:val="22"/>
          <w:rtl/>
        </w:rPr>
        <w:t>אפריל</w:t>
      </w:r>
      <w:r>
        <w:rPr>
          <w:rFonts w:cs="FrankRuehl"/>
          <w:sz w:val="20"/>
          <w:szCs w:val="22"/>
          <w:rtl/>
        </w:rPr>
        <w:t xml:space="preserve">-אוקטובר 2012 </w:t>
      </w:r>
      <w:r>
        <w:rPr>
          <w:rFonts w:cs="FrankRuehl" w:hint="cs"/>
          <w:sz w:val="20"/>
          <w:szCs w:val="22"/>
          <w:rtl/>
        </w:rPr>
        <w:t xml:space="preserve">בדק </w:t>
      </w:r>
      <w:r>
        <w:rPr>
          <w:rFonts w:cs="FrankRuehl"/>
          <w:sz w:val="20"/>
          <w:szCs w:val="22"/>
          <w:rtl/>
        </w:rPr>
        <w:t xml:space="preserve">משרד מבקר המדינה </w:t>
      </w:r>
      <w:r>
        <w:rPr>
          <w:rFonts w:cs="FrankRuehl" w:hint="cs"/>
          <w:sz w:val="20"/>
          <w:szCs w:val="22"/>
          <w:rtl/>
        </w:rPr>
        <w:t xml:space="preserve">את הטיפול של משרד האנרגיה והמים </w:t>
      </w:r>
      <w:r>
        <w:rPr>
          <w:rFonts w:cs="FrankRuehl"/>
          <w:sz w:val="20"/>
          <w:szCs w:val="22"/>
          <w:rtl/>
        </w:rPr>
        <w:t>(</w:t>
      </w:r>
      <w:r>
        <w:rPr>
          <w:rFonts w:cs="FrankRuehl" w:hint="eastAsia"/>
          <w:sz w:val="20"/>
          <w:szCs w:val="22"/>
          <w:rtl/>
        </w:rPr>
        <w:t>להלן</w:t>
      </w:r>
      <w:r>
        <w:rPr>
          <w:rFonts w:cs="FrankRuehl" w:hint="cs"/>
          <w:sz w:val="20"/>
          <w:szCs w:val="22"/>
          <w:rtl/>
        </w:rPr>
        <w:t xml:space="preserve"> </w:t>
      </w:r>
      <w:r>
        <w:rPr>
          <w:rFonts w:cs="FrankRuehl"/>
          <w:sz w:val="20"/>
          <w:szCs w:val="22"/>
          <w:rtl/>
        </w:rPr>
        <w:t xml:space="preserve">- </w:t>
      </w:r>
      <w:r>
        <w:rPr>
          <w:rFonts w:cs="FrankRuehl" w:hint="eastAsia"/>
          <w:sz w:val="20"/>
          <w:szCs w:val="22"/>
          <w:rtl/>
        </w:rPr>
        <w:t>משרד</w:t>
      </w:r>
      <w:r>
        <w:rPr>
          <w:rFonts w:cs="FrankRuehl"/>
          <w:sz w:val="20"/>
          <w:szCs w:val="22"/>
          <w:rtl/>
        </w:rPr>
        <w:t xml:space="preserve"> </w:t>
      </w:r>
      <w:r>
        <w:rPr>
          <w:rFonts w:cs="FrankRuehl" w:hint="eastAsia"/>
          <w:sz w:val="20"/>
          <w:szCs w:val="22"/>
          <w:rtl/>
        </w:rPr>
        <w:t>האנרגיה</w:t>
      </w:r>
      <w:r>
        <w:rPr>
          <w:rFonts w:cs="FrankRuehl"/>
          <w:sz w:val="20"/>
          <w:szCs w:val="22"/>
          <w:rtl/>
        </w:rPr>
        <w:t xml:space="preserve">) </w:t>
      </w:r>
      <w:r>
        <w:rPr>
          <w:rFonts w:cs="FrankRuehl" w:hint="cs"/>
          <w:sz w:val="20"/>
          <w:szCs w:val="22"/>
          <w:rtl/>
        </w:rPr>
        <w:t>ב</w:t>
      </w:r>
      <w:r>
        <w:rPr>
          <w:rFonts w:cs="FrankRuehl"/>
          <w:sz w:val="20"/>
          <w:szCs w:val="22"/>
          <w:rtl/>
        </w:rPr>
        <w:t>תחנות דלק פירטיות</w:t>
      </w:r>
      <w:r>
        <w:rPr>
          <w:rFonts w:cs="FrankRuehl" w:hint="cs"/>
          <w:sz w:val="20"/>
          <w:szCs w:val="22"/>
          <w:rtl/>
        </w:rPr>
        <w:t xml:space="preserve"> ובתחנות דלק פנימיות בשנים 2008-2012</w:t>
      </w:r>
      <w:r>
        <w:rPr>
          <w:rFonts w:cs="FrankRuehl"/>
          <w:sz w:val="20"/>
          <w:szCs w:val="22"/>
          <w:rtl/>
        </w:rPr>
        <w:t xml:space="preserve">. </w:t>
      </w:r>
      <w:r>
        <w:rPr>
          <w:rFonts w:cs="FrankRuehl" w:hint="cs"/>
          <w:sz w:val="20"/>
          <w:szCs w:val="22"/>
          <w:rtl/>
        </w:rPr>
        <w:t>ב</w:t>
      </w:r>
      <w:r>
        <w:rPr>
          <w:rFonts w:cs="FrankRuehl" w:hint="cs"/>
          <w:sz w:val="20"/>
          <w:szCs w:val="22"/>
          <w:rtl/>
        </w:rPr>
        <w:t>דיקות השלמה נעשו בגופים האלה: ה</w:t>
      </w:r>
      <w:r>
        <w:rPr>
          <w:rFonts w:cs="FrankRuehl"/>
          <w:sz w:val="20"/>
          <w:szCs w:val="22"/>
          <w:rtl/>
        </w:rPr>
        <w:t xml:space="preserve">משרד </w:t>
      </w:r>
      <w:r>
        <w:rPr>
          <w:rFonts w:cs="FrankRuehl" w:hint="cs"/>
          <w:sz w:val="20"/>
          <w:szCs w:val="22"/>
          <w:rtl/>
        </w:rPr>
        <w:t>ל</w:t>
      </w:r>
      <w:r>
        <w:rPr>
          <w:rFonts w:cs="FrankRuehl"/>
          <w:sz w:val="20"/>
          <w:szCs w:val="22"/>
          <w:rtl/>
        </w:rPr>
        <w:t>הגנת הסביבה,</w:t>
      </w:r>
      <w:r>
        <w:rPr>
          <w:rFonts w:cs="FrankRuehl" w:hint="cs"/>
          <w:sz w:val="20"/>
          <w:szCs w:val="22"/>
          <w:rtl/>
        </w:rPr>
        <w:t xml:space="preserve"> משרד התעשייה, המסחר והתעסוקה</w:t>
      </w:r>
      <w:r>
        <w:rPr>
          <w:rFonts w:cs="FrankRuehl"/>
          <w:sz w:val="20"/>
          <w:szCs w:val="22"/>
          <w:vertAlign w:val="superscript"/>
          <w:rtl/>
        </w:rPr>
        <w:footnoteReference w:id="14"/>
      </w:r>
      <w:r>
        <w:rPr>
          <w:rFonts w:cs="FrankRuehl" w:hint="cs"/>
          <w:sz w:val="20"/>
          <w:szCs w:val="22"/>
          <w:rtl/>
        </w:rPr>
        <w:t xml:space="preserve"> (להלן - משרד התמ"ת), משרד המשפטים, משרד הפנים,</w:t>
      </w:r>
      <w:r>
        <w:rPr>
          <w:rFonts w:cs="FrankRuehl"/>
          <w:sz w:val="20"/>
          <w:szCs w:val="22"/>
          <w:rtl/>
        </w:rPr>
        <w:t xml:space="preserve"> </w:t>
      </w:r>
      <w:r>
        <w:rPr>
          <w:rFonts w:cs="FrankRuehl" w:hint="cs"/>
          <w:sz w:val="20"/>
          <w:szCs w:val="22"/>
          <w:rtl/>
        </w:rPr>
        <w:t>מינהל</w:t>
      </w:r>
      <w:r>
        <w:rPr>
          <w:rFonts w:cs="FrankRuehl"/>
          <w:sz w:val="20"/>
          <w:szCs w:val="22"/>
          <w:rtl/>
        </w:rPr>
        <w:t xml:space="preserve"> מקרקעי ישראל</w:t>
      </w:r>
      <w:r>
        <w:rPr>
          <w:rFonts w:cs="FrankRuehl" w:hint="cs"/>
          <w:sz w:val="20"/>
          <w:szCs w:val="22"/>
          <w:rtl/>
        </w:rPr>
        <w:t xml:space="preserve"> (להלן - ממ"י)</w:t>
      </w:r>
      <w:r>
        <w:rPr>
          <w:rFonts w:cs="FrankRuehl"/>
          <w:sz w:val="20"/>
          <w:szCs w:val="22"/>
          <w:rtl/>
        </w:rPr>
        <w:t>,</w:t>
      </w:r>
      <w:r>
        <w:rPr>
          <w:rFonts w:cs="FrankRuehl" w:hint="cs"/>
          <w:sz w:val="20"/>
          <w:szCs w:val="22"/>
          <w:rtl/>
        </w:rPr>
        <w:t xml:space="preserve"> רשות המים, רשות המסים בישראל, משטרת ישראל,</w:t>
      </w:r>
      <w:r>
        <w:rPr>
          <w:rFonts w:cs="FrankRuehl"/>
          <w:sz w:val="20"/>
          <w:szCs w:val="22"/>
          <w:rtl/>
        </w:rPr>
        <w:t xml:space="preserve"> נציבות</w:t>
      </w:r>
      <w:r>
        <w:rPr>
          <w:rFonts w:cs="FrankRuehl" w:hint="cs"/>
          <w:sz w:val="20"/>
          <w:szCs w:val="22"/>
          <w:rtl/>
        </w:rPr>
        <w:t xml:space="preserve"> הכבאות וההצלה</w:t>
      </w:r>
      <w:r>
        <w:rPr>
          <w:rFonts w:cs="FrankRuehl"/>
          <w:sz w:val="20"/>
          <w:szCs w:val="22"/>
          <w:vertAlign w:val="superscript"/>
          <w:rtl/>
        </w:rPr>
        <w:footnoteReference w:id="15"/>
      </w:r>
      <w:r>
        <w:rPr>
          <w:rFonts w:cs="FrankRuehl" w:hint="cs"/>
          <w:sz w:val="20"/>
          <w:szCs w:val="22"/>
          <w:rtl/>
        </w:rPr>
        <w:t xml:space="preserve"> וכמה</w:t>
      </w:r>
      <w:r>
        <w:rPr>
          <w:rFonts w:cs="FrankRuehl"/>
          <w:sz w:val="20"/>
          <w:szCs w:val="22"/>
          <w:rtl/>
        </w:rPr>
        <w:t xml:space="preserve"> רשויות מקומיות</w:t>
      </w:r>
      <w:r>
        <w:rPr>
          <w:rFonts w:cs="FrankRuehl"/>
          <w:sz w:val="20"/>
          <w:szCs w:val="22"/>
          <w:vertAlign w:val="superscript"/>
          <w:rtl/>
        </w:rPr>
        <w:footnoteReference w:id="16"/>
      </w:r>
      <w:r>
        <w:rPr>
          <w:rFonts w:cs="FrankRuehl" w:hint="cs"/>
          <w:sz w:val="20"/>
          <w:szCs w:val="22"/>
          <w:rtl/>
        </w:rPr>
        <w:t xml:space="preserve"> וועדות מק</w:t>
      </w:r>
      <w:r>
        <w:rPr>
          <w:rFonts w:cs="FrankRuehl" w:hint="cs"/>
          <w:sz w:val="20"/>
          <w:szCs w:val="22"/>
          <w:rtl/>
        </w:rPr>
        <w:t>ומיות לתכנון ולבנייה</w:t>
      </w:r>
      <w:r>
        <w:rPr>
          <w:rFonts w:cs="FrankRuehl"/>
          <w:sz w:val="20"/>
          <w:szCs w:val="22"/>
          <w:vertAlign w:val="superscript"/>
          <w:rtl/>
        </w:rPr>
        <w:footnoteReference w:id="17"/>
      </w:r>
      <w:r>
        <w:rPr>
          <w:rFonts w:cs="FrankRuehl"/>
          <w:sz w:val="20"/>
          <w:szCs w:val="22"/>
          <w:rtl/>
        </w:rPr>
        <w:t>.</w:t>
      </w:r>
    </w:p>
    <w:p w:rsidR="00000000">
      <w:pPr>
        <w:spacing w:after="120" w:line="230" w:lineRule="exact"/>
        <w:jc w:val="both"/>
        <w:rPr>
          <w:rFonts w:cs="FrankRuehl" w:hint="cs"/>
          <w:sz w:val="20"/>
          <w:szCs w:val="22"/>
          <w:rtl/>
        </w:rPr>
      </w:pPr>
    </w:p>
    <w:p w:rsidR="00000000">
      <w:pPr>
        <w:spacing w:after="120" w:line="230" w:lineRule="exact"/>
        <w:jc w:val="both"/>
        <w:rPr>
          <w:rFonts w:cs="FrankRuehl" w:hint="cs"/>
          <w:sz w:val="20"/>
          <w:szCs w:val="22"/>
          <w:rtl/>
        </w:rPr>
      </w:pPr>
    </w:p>
    <w:p w:rsidR="00000000">
      <w:pPr>
        <w:pStyle w:val="KOT4"/>
        <w:rPr>
          <w:rFonts w:hint="cs"/>
          <w:rtl/>
        </w:rPr>
      </w:pPr>
      <w:r>
        <w:rPr>
          <w:rFonts w:hint="cs"/>
          <w:rtl/>
        </w:rPr>
        <w:t>התשתית</w:t>
      </w:r>
      <w:r>
        <w:rPr>
          <w:rtl/>
        </w:rPr>
        <w:t xml:space="preserve"> </w:t>
      </w:r>
      <w:r>
        <w:rPr>
          <w:rFonts w:hint="cs"/>
          <w:rtl/>
        </w:rPr>
        <w:t>ה</w:t>
      </w:r>
      <w:r>
        <w:rPr>
          <w:rtl/>
        </w:rPr>
        <w:t>נורמטיבי</w:t>
      </w:r>
      <w:r>
        <w:rPr>
          <w:rFonts w:hint="cs"/>
          <w:rtl/>
        </w:rPr>
        <w:t>ת</w:t>
      </w:r>
    </w:p>
    <w:p w:rsidR="00000000">
      <w:pPr>
        <w:spacing w:after="120" w:line="230" w:lineRule="exact"/>
        <w:jc w:val="both"/>
        <w:rPr>
          <w:rFonts w:cs="FrankRuehl" w:hint="cs"/>
          <w:sz w:val="20"/>
          <w:szCs w:val="22"/>
          <w:rtl/>
        </w:rPr>
      </w:pPr>
      <w:r>
        <w:rPr>
          <w:rFonts w:cs="FrankRuehl" w:hint="cs"/>
          <w:sz w:val="20"/>
          <w:szCs w:val="22"/>
          <w:rtl/>
        </w:rPr>
        <w:t xml:space="preserve">תכנית מתאר ארצית לתחנות תדלוק, תמ"א 18, מסדירה את </w:t>
      </w:r>
      <w:r>
        <w:rPr>
          <w:rFonts w:cs="FrankRuehl"/>
          <w:sz w:val="20"/>
          <w:szCs w:val="22"/>
          <w:rtl/>
        </w:rPr>
        <w:t>תכנון</w:t>
      </w:r>
      <w:r>
        <w:rPr>
          <w:rFonts w:cs="FrankRuehl" w:hint="cs"/>
          <w:sz w:val="20"/>
          <w:szCs w:val="22"/>
          <w:rtl/>
        </w:rPr>
        <w:t xml:space="preserve"> תחנות הדלק וקובעת את </w:t>
      </w:r>
      <w:r>
        <w:rPr>
          <w:rFonts w:cs="FrankRuehl"/>
          <w:sz w:val="20"/>
          <w:szCs w:val="22"/>
          <w:rtl/>
        </w:rPr>
        <w:t>מקו</w:t>
      </w:r>
      <w:r>
        <w:rPr>
          <w:rFonts w:cs="FrankRuehl" w:hint="cs"/>
          <w:sz w:val="20"/>
          <w:szCs w:val="22"/>
          <w:rtl/>
        </w:rPr>
        <w:t>מן. מטרת תכנית מתאר ארצית לתחנות תדלוק היא, בין השאר, לקבוע אילו שירותים ניתן לספק בתחנה ומה ניתן לבנות בה וכן למנוע</w:t>
      </w:r>
      <w:r>
        <w:rPr>
          <w:rFonts w:cs="FrankRuehl"/>
          <w:sz w:val="20"/>
          <w:szCs w:val="22"/>
          <w:rtl/>
        </w:rPr>
        <w:t xml:space="preserve"> מפגעי תחבור</w:t>
      </w:r>
      <w:r>
        <w:rPr>
          <w:rFonts w:cs="FrankRuehl" w:hint="cs"/>
          <w:sz w:val="20"/>
          <w:szCs w:val="22"/>
          <w:rtl/>
        </w:rPr>
        <w:t>ה</w:t>
      </w:r>
      <w:r>
        <w:rPr>
          <w:rFonts w:cs="FrankRuehl"/>
          <w:sz w:val="20"/>
          <w:szCs w:val="22"/>
          <w:rtl/>
        </w:rPr>
        <w:t>, בט</w:t>
      </w:r>
      <w:r>
        <w:rPr>
          <w:rFonts w:cs="FrankRuehl"/>
          <w:sz w:val="20"/>
          <w:szCs w:val="22"/>
          <w:rtl/>
        </w:rPr>
        <w:t>יחות וסביב</w:t>
      </w:r>
      <w:r>
        <w:rPr>
          <w:rFonts w:cs="FrankRuehl" w:hint="cs"/>
          <w:sz w:val="20"/>
          <w:szCs w:val="22"/>
          <w:rtl/>
        </w:rPr>
        <w:t>ה.</w:t>
      </w:r>
      <w:r>
        <w:rPr>
          <w:rFonts w:cs="FrankRuehl"/>
          <w:sz w:val="20"/>
          <w:szCs w:val="22"/>
          <w:rtl/>
        </w:rPr>
        <w:t xml:space="preserve"> באוגוסט 2006 קיבל תוקף שינוי 4 </w:t>
      </w:r>
      <w:r>
        <w:rPr>
          <w:rFonts w:cs="FrankRuehl" w:hint="cs"/>
          <w:sz w:val="20"/>
          <w:szCs w:val="22"/>
          <w:rtl/>
        </w:rPr>
        <w:t>ל</w:t>
      </w:r>
      <w:r>
        <w:rPr>
          <w:rFonts w:cs="FrankRuehl"/>
          <w:sz w:val="20"/>
          <w:szCs w:val="22"/>
          <w:rtl/>
        </w:rPr>
        <w:t xml:space="preserve">תמ"א </w:t>
      </w:r>
      <w:r>
        <w:rPr>
          <w:rFonts w:cs="FrankRuehl" w:hint="cs"/>
          <w:sz w:val="20"/>
          <w:szCs w:val="22"/>
          <w:rtl/>
        </w:rPr>
        <w:t>18</w:t>
      </w:r>
      <w:r>
        <w:rPr>
          <w:rStyle w:val="FootnoteReference"/>
          <w:rFonts w:cs="FrankRuehl"/>
          <w:sz w:val="20"/>
          <w:szCs w:val="22"/>
          <w:rtl/>
        </w:rPr>
        <w:footnoteReference w:id="18"/>
      </w:r>
      <w:r>
        <w:rPr>
          <w:rFonts w:cs="FrankRuehl" w:hint="cs"/>
          <w:sz w:val="20"/>
          <w:szCs w:val="22"/>
          <w:rtl/>
        </w:rPr>
        <w:t xml:space="preserve"> (להלן - תמ"א 18), המחליף את תמ"א 18 הקודמת. </w:t>
      </w:r>
      <w:r>
        <w:rPr>
          <w:rFonts w:cs="FrankRuehl"/>
          <w:sz w:val="20"/>
          <w:szCs w:val="22"/>
          <w:rtl/>
        </w:rPr>
        <w:t>חוק התכנון והבניה, התשכ"ה-1965 (להלן</w:t>
      </w:r>
      <w:r>
        <w:rPr>
          <w:rFonts w:cs="FrankRuehl" w:hint="cs"/>
          <w:sz w:val="20"/>
          <w:szCs w:val="22"/>
          <w:rtl/>
        </w:rPr>
        <w:t xml:space="preserve"> </w:t>
      </w:r>
      <w:r>
        <w:rPr>
          <w:rFonts w:cs="FrankRuehl"/>
          <w:sz w:val="20"/>
          <w:szCs w:val="22"/>
          <w:rtl/>
        </w:rPr>
        <w:t>-</w:t>
      </w:r>
      <w:r>
        <w:rPr>
          <w:rFonts w:cs="FrankRuehl" w:hint="cs"/>
          <w:sz w:val="20"/>
          <w:szCs w:val="22"/>
          <w:rtl/>
        </w:rPr>
        <w:t xml:space="preserve"> </w:t>
      </w:r>
      <w:r>
        <w:rPr>
          <w:rFonts w:cs="FrankRuehl"/>
          <w:sz w:val="20"/>
          <w:szCs w:val="22"/>
          <w:rtl/>
        </w:rPr>
        <w:t>חוק התכנון והבנייה)</w:t>
      </w:r>
      <w:r>
        <w:rPr>
          <w:rFonts w:cs="FrankRuehl" w:hint="cs"/>
          <w:sz w:val="20"/>
          <w:szCs w:val="22"/>
          <w:rtl/>
        </w:rPr>
        <w:t>, נותן ל</w:t>
      </w:r>
      <w:r>
        <w:rPr>
          <w:rFonts w:cs="FrankRuehl"/>
          <w:sz w:val="20"/>
          <w:szCs w:val="22"/>
          <w:rtl/>
        </w:rPr>
        <w:t xml:space="preserve">וועדה המקומית לתכנון ולבנייה </w:t>
      </w:r>
      <w:r>
        <w:rPr>
          <w:rFonts w:cs="FrankRuehl" w:hint="cs"/>
          <w:sz w:val="20"/>
          <w:szCs w:val="22"/>
          <w:rtl/>
        </w:rPr>
        <w:t>(</w:t>
      </w:r>
      <w:r>
        <w:rPr>
          <w:rFonts w:cs="FrankRuehl"/>
          <w:sz w:val="20"/>
          <w:szCs w:val="22"/>
          <w:rtl/>
        </w:rPr>
        <w:t>להלן</w:t>
      </w:r>
      <w:r>
        <w:rPr>
          <w:rFonts w:cs="FrankRuehl" w:hint="cs"/>
          <w:sz w:val="20"/>
          <w:szCs w:val="22"/>
          <w:rtl/>
        </w:rPr>
        <w:t xml:space="preserve"> </w:t>
      </w:r>
      <w:r>
        <w:rPr>
          <w:rFonts w:cs="FrankRuehl"/>
          <w:sz w:val="20"/>
          <w:szCs w:val="22"/>
          <w:rtl/>
        </w:rPr>
        <w:t>-</w:t>
      </w:r>
      <w:r>
        <w:rPr>
          <w:rFonts w:cs="FrankRuehl" w:hint="cs"/>
          <w:sz w:val="20"/>
          <w:szCs w:val="22"/>
          <w:rtl/>
        </w:rPr>
        <w:t xml:space="preserve"> </w:t>
      </w:r>
      <w:r>
        <w:rPr>
          <w:rFonts w:cs="FrankRuehl"/>
          <w:sz w:val="20"/>
          <w:szCs w:val="22"/>
          <w:rtl/>
        </w:rPr>
        <w:t>הוועדה המקומית)</w:t>
      </w:r>
      <w:r>
        <w:rPr>
          <w:rFonts w:cs="FrankRuehl" w:hint="cs"/>
          <w:sz w:val="20"/>
          <w:szCs w:val="22"/>
          <w:rtl/>
        </w:rPr>
        <w:t xml:space="preserve"> סמכויות אכיפה בתחום השיפוט שלה</w:t>
      </w:r>
      <w:r>
        <w:rPr>
          <w:rFonts w:cs="FrankRuehl"/>
          <w:sz w:val="20"/>
          <w:szCs w:val="22"/>
          <w:rtl/>
        </w:rPr>
        <w:t xml:space="preserve">. הוועדה </w:t>
      </w:r>
      <w:r>
        <w:rPr>
          <w:rFonts w:cs="FrankRuehl"/>
          <w:sz w:val="20"/>
          <w:szCs w:val="22"/>
          <w:rtl/>
        </w:rPr>
        <w:t xml:space="preserve">המקומית פועלת מכוח </w:t>
      </w:r>
      <w:r>
        <w:rPr>
          <w:rFonts w:cs="FrankRuehl" w:hint="cs"/>
          <w:sz w:val="20"/>
          <w:szCs w:val="22"/>
          <w:rtl/>
        </w:rPr>
        <w:t>חוק התכנון והבנייה</w:t>
      </w:r>
      <w:r>
        <w:rPr>
          <w:rFonts w:cs="FrankRuehl"/>
          <w:sz w:val="20"/>
          <w:szCs w:val="22"/>
          <w:rtl/>
        </w:rPr>
        <w:t xml:space="preserve"> </w:t>
      </w:r>
      <w:r>
        <w:rPr>
          <w:rFonts w:cs="FrankRuehl" w:hint="cs"/>
          <w:sz w:val="20"/>
          <w:szCs w:val="22"/>
          <w:rtl/>
        </w:rPr>
        <w:t>ו</w:t>
      </w:r>
      <w:r>
        <w:rPr>
          <w:rFonts w:cs="FrankRuehl"/>
          <w:sz w:val="20"/>
          <w:szCs w:val="22"/>
          <w:rtl/>
        </w:rPr>
        <w:t>התקנות שהותקנו על פי</w:t>
      </w:r>
      <w:r>
        <w:rPr>
          <w:rFonts w:cs="FrankRuehl" w:hint="cs"/>
          <w:sz w:val="20"/>
          <w:szCs w:val="22"/>
          <w:rtl/>
        </w:rPr>
        <w:t xml:space="preserve">ו ומכוח התכניות התקפות, ובהן תמ"א 18, </w:t>
      </w:r>
      <w:r>
        <w:rPr>
          <w:rFonts w:cs="FrankRuehl"/>
          <w:sz w:val="20"/>
          <w:szCs w:val="22"/>
          <w:rtl/>
        </w:rPr>
        <w:t>ו</w:t>
      </w:r>
      <w:r>
        <w:rPr>
          <w:rFonts w:cs="FrankRuehl" w:hint="cs"/>
          <w:sz w:val="20"/>
          <w:szCs w:val="22"/>
          <w:rtl/>
        </w:rPr>
        <w:t xml:space="preserve">היא </w:t>
      </w:r>
      <w:r>
        <w:rPr>
          <w:rFonts w:cs="FrankRuehl"/>
          <w:sz w:val="20"/>
          <w:szCs w:val="22"/>
          <w:rtl/>
        </w:rPr>
        <w:t>ממונה על מתן היתר בנייה לתחנ</w:t>
      </w:r>
      <w:r>
        <w:rPr>
          <w:rFonts w:cs="FrankRuehl" w:hint="cs"/>
          <w:sz w:val="20"/>
          <w:szCs w:val="22"/>
          <w:rtl/>
        </w:rPr>
        <w:t>ו</w:t>
      </w:r>
      <w:r>
        <w:rPr>
          <w:rFonts w:cs="FrankRuehl"/>
          <w:sz w:val="20"/>
          <w:szCs w:val="22"/>
          <w:rtl/>
        </w:rPr>
        <w:t>ת דלק ועל הפיקוח על הבנייה.</w:t>
      </w:r>
      <w:r>
        <w:rPr>
          <w:rFonts w:cs="FrankRuehl" w:hint="cs"/>
          <w:sz w:val="20"/>
          <w:szCs w:val="22"/>
          <w:rtl/>
        </w:rPr>
        <w:t xml:space="preserve"> היחידה לפיקוח על הבנייה שבמשרד הפנים מסייעת לוועדה המקומית בייזום פעולות פיקוח, אכיפה וחקירה.</w:t>
      </w:r>
    </w:p>
    <w:p w:rsidR="00000000">
      <w:pPr>
        <w:spacing w:line="230" w:lineRule="exact"/>
        <w:jc w:val="both"/>
        <w:rPr>
          <w:rFonts w:cs="FrankRuehl" w:hint="cs"/>
          <w:sz w:val="20"/>
          <w:szCs w:val="22"/>
          <w:rtl/>
        </w:rPr>
      </w:pPr>
      <w:r>
        <w:rPr>
          <w:rFonts w:cs="FrankRuehl"/>
          <w:sz w:val="20"/>
          <w:szCs w:val="22"/>
          <w:rtl/>
        </w:rPr>
        <w:t>הרש</w:t>
      </w:r>
      <w:r>
        <w:rPr>
          <w:rFonts w:cs="FrankRuehl"/>
          <w:sz w:val="20"/>
          <w:szCs w:val="22"/>
          <w:rtl/>
        </w:rPr>
        <w:t xml:space="preserve">ות המקומית </w:t>
      </w:r>
      <w:r>
        <w:rPr>
          <w:rFonts w:cs="FrankRuehl" w:hint="cs"/>
          <w:sz w:val="20"/>
          <w:szCs w:val="22"/>
          <w:rtl/>
        </w:rPr>
        <w:t xml:space="preserve">מופקדת על אכיפת </w:t>
      </w:r>
      <w:r>
        <w:rPr>
          <w:rFonts w:cs="FrankRuehl"/>
          <w:sz w:val="20"/>
          <w:szCs w:val="22"/>
          <w:rtl/>
        </w:rPr>
        <w:t>חוק רישוי עסקים</w:t>
      </w:r>
      <w:r>
        <w:rPr>
          <w:rFonts w:cs="FrankRuehl" w:hint="cs"/>
          <w:sz w:val="20"/>
          <w:szCs w:val="22"/>
          <w:rtl/>
        </w:rPr>
        <w:t>, התשכ"ח-1968 (להלן - חוק רישוי עסקים).</w:t>
      </w:r>
      <w:r>
        <w:rPr>
          <w:rFonts w:cs="FrankRuehl"/>
          <w:sz w:val="20"/>
          <w:szCs w:val="22"/>
          <w:rtl/>
        </w:rPr>
        <w:t xml:space="preserve"> על רשות הרישוי</w:t>
      </w:r>
      <w:r>
        <w:rPr>
          <w:rStyle w:val="FootnoteReference"/>
          <w:rFonts w:cs="FrankRuehl"/>
          <w:sz w:val="20"/>
          <w:szCs w:val="22"/>
          <w:rtl/>
        </w:rPr>
        <w:footnoteReference w:id="19"/>
      </w:r>
      <w:r>
        <w:rPr>
          <w:rFonts w:cs="FrankRuehl"/>
          <w:sz w:val="20"/>
          <w:szCs w:val="22"/>
          <w:rtl/>
        </w:rPr>
        <w:t xml:space="preserve"> לבדוק במסגרת הליכי רישוי העסק אם המבנה ש</w:t>
      </w:r>
      <w:r>
        <w:rPr>
          <w:rFonts w:cs="FrankRuehl" w:hint="cs"/>
          <w:sz w:val="20"/>
          <w:szCs w:val="22"/>
          <w:rtl/>
        </w:rPr>
        <w:t xml:space="preserve">העסק </w:t>
      </w:r>
      <w:r>
        <w:rPr>
          <w:rFonts w:cs="FrankRuehl"/>
          <w:sz w:val="20"/>
          <w:szCs w:val="22"/>
          <w:rtl/>
        </w:rPr>
        <w:t>ינוהל בו נבנה על פי היתר בנייה ואם השימוש בו תואם את התכניות החלות על השטח על פי דין</w:t>
      </w:r>
      <w:r>
        <w:rPr>
          <w:rStyle w:val="FootnoteReference"/>
          <w:rFonts w:cs="FrankRuehl"/>
          <w:sz w:val="20"/>
          <w:szCs w:val="22"/>
          <w:rtl/>
        </w:rPr>
        <w:footnoteReference w:id="20"/>
      </w:r>
      <w:r>
        <w:rPr>
          <w:rFonts w:cs="FrankRuehl" w:hint="cs"/>
          <w:sz w:val="20"/>
          <w:szCs w:val="22"/>
          <w:rtl/>
        </w:rPr>
        <w:t>.</w:t>
      </w:r>
      <w:r>
        <w:rPr>
          <w:rFonts w:cs="FrankRuehl"/>
          <w:sz w:val="20"/>
          <w:szCs w:val="22"/>
          <w:rtl/>
        </w:rPr>
        <w:t xml:space="preserve"> </w:t>
      </w:r>
    </w:p>
    <w:p w:rsidR="00000000">
      <w:pPr>
        <w:spacing w:after="120" w:line="230" w:lineRule="exact"/>
        <w:jc w:val="both"/>
        <w:rPr>
          <w:rFonts w:cs="FrankRuehl" w:hint="cs"/>
          <w:sz w:val="20"/>
          <w:szCs w:val="22"/>
          <w:rtl/>
        </w:rPr>
      </w:pPr>
      <w:r>
        <w:rPr>
          <w:rFonts w:cs="FrankRuehl" w:hint="cs"/>
          <w:sz w:val="20"/>
          <w:szCs w:val="22"/>
          <w:rtl/>
        </w:rPr>
        <w:t>צו רישוי עסקים קובע כי תח</w:t>
      </w:r>
      <w:r>
        <w:rPr>
          <w:rFonts w:cs="FrankRuehl" w:hint="cs"/>
          <w:sz w:val="20"/>
          <w:szCs w:val="22"/>
          <w:rtl/>
        </w:rPr>
        <w:t xml:space="preserve">נת דלק היא עסק טעון רישוי. </w:t>
      </w:r>
      <w:r>
        <w:rPr>
          <w:rFonts w:cs="FrankRuehl"/>
          <w:sz w:val="20"/>
          <w:szCs w:val="22"/>
          <w:rtl/>
        </w:rPr>
        <w:t xml:space="preserve">על פי חוק רישוי עסקים, לא תיתן רשות </w:t>
      </w:r>
      <w:r>
        <w:rPr>
          <w:rFonts w:cs="FrankRuehl" w:hint="cs"/>
          <w:sz w:val="20"/>
          <w:szCs w:val="22"/>
          <w:rtl/>
        </w:rPr>
        <w:t>ה</w:t>
      </w:r>
      <w:r>
        <w:rPr>
          <w:rFonts w:cs="FrankRuehl"/>
          <w:sz w:val="20"/>
          <w:szCs w:val="22"/>
          <w:rtl/>
        </w:rPr>
        <w:t>רישוי רישיון לעסק טעון רישוי</w:t>
      </w:r>
      <w:r>
        <w:rPr>
          <w:rFonts w:cs="FrankRuehl" w:hint="cs"/>
          <w:sz w:val="20"/>
          <w:szCs w:val="22"/>
          <w:rtl/>
        </w:rPr>
        <w:t>,</w:t>
      </w:r>
      <w:r>
        <w:rPr>
          <w:rFonts w:cs="FrankRuehl"/>
          <w:sz w:val="20"/>
          <w:szCs w:val="22"/>
          <w:rtl/>
        </w:rPr>
        <w:t xml:space="preserve"> אלא אם כן ניתן לכך אישור מוקדם ממי ש</w:t>
      </w:r>
      <w:r>
        <w:rPr>
          <w:rFonts w:cs="FrankRuehl" w:hint="cs"/>
          <w:sz w:val="20"/>
          <w:szCs w:val="22"/>
          <w:rtl/>
        </w:rPr>
        <w:t xml:space="preserve">הוסמך לכך על ידי </w:t>
      </w:r>
      <w:r>
        <w:rPr>
          <w:rFonts w:cs="FrankRuehl"/>
          <w:sz w:val="20"/>
          <w:szCs w:val="22"/>
          <w:rtl/>
        </w:rPr>
        <w:t xml:space="preserve">השרים </w:t>
      </w:r>
      <w:r>
        <w:rPr>
          <w:rFonts w:cs="FrankRuehl" w:hint="cs"/>
          <w:sz w:val="20"/>
          <w:szCs w:val="22"/>
          <w:rtl/>
        </w:rPr>
        <w:t>הנוגעים לעניין:</w:t>
      </w:r>
      <w:r>
        <w:rPr>
          <w:rFonts w:cs="FrankRuehl"/>
          <w:sz w:val="20"/>
          <w:szCs w:val="22"/>
          <w:rtl/>
        </w:rPr>
        <w:t xml:space="preserve"> השר להגנת הסביבה</w:t>
      </w:r>
      <w:r>
        <w:rPr>
          <w:rFonts w:cs="FrankRuehl" w:hint="cs"/>
          <w:sz w:val="20"/>
          <w:szCs w:val="22"/>
          <w:rtl/>
        </w:rPr>
        <w:t xml:space="preserve"> </w:t>
      </w:r>
      <w:r>
        <w:rPr>
          <w:rFonts w:cs="FrankRuehl"/>
          <w:sz w:val="20"/>
          <w:szCs w:val="22"/>
          <w:rtl/>
        </w:rPr>
        <w:t xml:space="preserve">- </w:t>
      </w:r>
      <w:r>
        <w:rPr>
          <w:rFonts w:cs="FrankRuehl" w:hint="cs"/>
          <w:sz w:val="20"/>
          <w:szCs w:val="22"/>
          <w:rtl/>
        </w:rPr>
        <w:t xml:space="preserve">כדי </w:t>
      </w:r>
      <w:r>
        <w:rPr>
          <w:rFonts w:cs="FrankRuehl"/>
          <w:sz w:val="20"/>
          <w:szCs w:val="22"/>
          <w:rtl/>
        </w:rPr>
        <w:t>להבט</w:t>
      </w:r>
      <w:r>
        <w:rPr>
          <w:rFonts w:cs="FrankRuehl" w:hint="cs"/>
          <w:sz w:val="20"/>
          <w:szCs w:val="22"/>
          <w:rtl/>
        </w:rPr>
        <w:t>י</w:t>
      </w:r>
      <w:r>
        <w:rPr>
          <w:rFonts w:cs="FrankRuehl"/>
          <w:sz w:val="20"/>
          <w:szCs w:val="22"/>
          <w:rtl/>
        </w:rPr>
        <w:t xml:space="preserve">ח </w:t>
      </w:r>
      <w:r>
        <w:rPr>
          <w:rFonts w:cs="FrankRuehl" w:hint="cs"/>
          <w:sz w:val="20"/>
          <w:szCs w:val="22"/>
          <w:rtl/>
        </w:rPr>
        <w:t xml:space="preserve">את </w:t>
      </w:r>
      <w:r>
        <w:rPr>
          <w:rFonts w:cs="FrankRuehl"/>
          <w:sz w:val="20"/>
          <w:szCs w:val="22"/>
          <w:rtl/>
        </w:rPr>
        <w:t xml:space="preserve">איכות הסביבה </w:t>
      </w:r>
      <w:r>
        <w:rPr>
          <w:rFonts w:cs="FrankRuehl" w:hint="cs"/>
          <w:sz w:val="20"/>
          <w:szCs w:val="22"/>
          <w:rtl/>
        </w:rPr>
        <w:t xml:space="preserve">ברמה </w:t>
      </w:r>
      <w:r>
        <w:rPr>
          <w:rFonts w:cs="FrankRuehl"/>
          <w:sz w:val="20"/>
          <w:szCs w:val="22"/>
          <w:rtl/>
        </w:rPr>
        <w:t>נאותה ו</w:t>
      </w:r>
      <w:r>
        <w:rPr>
          <w:rFonts w:cs="FrankRuehl" w:hint="cs"/>
          <w:sz w:val="20"/>
          <w:szCs w:val="22"/>
          <w:rtl/>
        </w:rPr>
        <w:t>למנוע</w:t>
      </w:r>
      <w:r>
        <w:rPr>
          <w:rFonts w:cs="FrankRuehl"/>
          <w:sz w:val="20"/>
          <w:szCs w:val="22"/>
          <w:rtl/>
        </w:rPr>
        <w:t xml:space="preserve"> מפגעים ומטרדים; </w:t>
      </w:r>
      <w:r>
        <w:rPr>
          <w:rFonts w:cs="FrankRuehl" w:hint="cs"/>
          <w:sz w:val="20"/>
          <w:szCs w:val="22"/>
          <w:rtl/>
        </w:rPr>
        <w:t>שר</w:t>
      </w:r>
      <w:r>
        <w:rPr>
          <w:rFonts w:cs="FrankRuehl"/>
          <w:sz w:val="20"/>
          <w:szCs w:val="22"/>
          <w:rtl/>
        </w:rPr>
        <w:t xml:space="preserve"> התחב</w:t>
      </w:r>
      <w:r>
        <w:rPr>
          <w:rFonts w:cs="FrankRuehl"/>
          <w:sz w:val="20"/>
          <w:szCs w:val="22"/>
          <w:rtl/>
        </w:rPr>
        <w:t xml:space="preserve">ורה והחברה הלאומית לדרכים בישראל </w:t>
      </w:r>
      <w:r>
        <w:rPr>
          <w:rFonts w:cs="FrankRuehl" w:hint="cs"/>
          <w:sz w:val="20"/>
          <w:szCs w:val="22"/>
          <w:rtl/>
        </w:rPr>
        <w:t xml:space="preserve">- כדי להבטיח </w:t>
      </w:r>
      <w:r>
        <w:rPr>
          <w:rFonts w:cs="FrankRuehl"/>
          <w:sz w:val="20"/>
          <w:szCs w:val="22"/>
          <w:rtl/>
        </w:rPr>
        <w:t>כי דרכי הגישה לתחנה מרווחות ובטוחות דיין ללקוחות ועוד</w:t>
      </w:r>
      <w:r>
        <w:rPr>
          <w:rFonts w:cs="FrankRuehl" w:hint="cs"/>
          <w:sz w:val="20"/>
          <w:szCs w:val="22"/>
          <w:rtl/>
        </w:rPr>
        <w:t xml:space="preserve">; </w:t>
      </w:r>
      <w:r>
        <w:rPr>
          <w:rFonts w:cs="FrankRuehl"/>
          <w:sz w:val="20"/>
          <w:szCs w:val="22"/>
          <w:rtl/>
        </w:rPr>
        <w:t>השר לביטחון הפנים -</w:t>
      </w:r>
      <w:r>
        <w:rPr>
          <w:rFonts w:cs="FrankRuehl" w:hint="cs"/>
          <w:sz w:val="20"/>
          <w:szCs w:val="22"/>
          <w:rtl/>
        </w:rPr>
        <w:t xml:space="preserve"> </w:t>
      </w:r>
      <w:r>
        <w:rPr>
          <w:rFonts w:cs="FrankRuehl"/>
          <w:sz w:val="20"/>
          <w:szCs w:val="22"/>
          <w:rtl/>
        </w:rPr>
        <w:t>ל</w:t>
      </w:r>
      <w:r>
        <w:rPr>
          <w:rFonts w:cs="FrankRuehl" w:hint="cs"/>
          <w:sz w:val="20"/>
          <w:szCs w:val="22"/>
          <w:rtl/>
        </w:rPr>
        <w:t xml:space="preserve">שם </w:t>
      </w:r>
      <w:r>
        <w:rPr>
          <w:rFonts w:cs="FrankRuehl"/>
          <w:sz w:val="20"/>
          <w:szCs w:val="22"/>
          <w:rtl/>
        </w:rPr>
        <w:t>מניעת סכנות לשלום הציבור ו</w:t>
      </w:r>
      <w:r>
        <w:rPr>
          <w:rFonts w:cs="FrankRuehl" w:hint="cs"/>
          <w:sz w:val="20"/>
          <w:szCs w:val="22"/>
          <w:rtl/>
        </w:rPr>
        <w:t>בכלל זה</w:t>
      </w:r>
      <w:r>
        <w:rPr>
          <w:rFonts w:cs="FrankRuehl"/>
          <w:sz w:val="20"/>
          <w:szCs w:val="22"/>
          <w:rtl/>
        </w:rPr>
        <w:t xml:space="preserve"> שוד והתפרצות </w:t>
      </w:r>
      <w:r>
        <w:rPr>
          <w:rFonts w:cs="FrankRuehl" w:hint="cs"/>
          <w:sz w:val="20"/>
          <w:szCs w:val="22"/>
          <w:rtl/>
        </w:rPr>
        <w:t xml:space="preserve">ולשם קיום הוראות חוקיות של </w:t>
      </w:r>
      <w:r>
        <w:rPr>
          <w:rFonts w:cs="FrankRuehl"/>
          <w:sz w:val="20"/>
          <w:szCs w:val="22"/>
          <w:rtl/>
        </w:rPr>
        <w:t xml:space="preserve">נציבות </w:t>
      </w:r>
      <w:r>
        <w:rPr>
          <w:rFonts w:cs="FrankRuehl" w:hint="cs"/>
          <w:sz w:val="20"/>
          <w:szCs w:val="22"/>
          <w:rtl/>
        </w:rPr>
        <w:t xml:space="preserve">הכבאות </w:t>
      </w:r>
      <w:r>
        <w:rPr>
          <w:rFonts w:cs="FrankRuehl"/>
          <w:sz w:val="20"/>
          <w:szCs w:val="22"/>
          <w:rtl/>
        </w:rPr>
        <w:t>ו</w:t>
      </w:r>
      <w:r>
        <w:rPr>
          <w:rFonts w:cs="FrankRuehl" w:hint="cs"/>
          <w:sz w:val="20"/>
          <w:szCs w:val="22"/>
          <w:rtl/>
        </w:rPr>
        <w:t>ה</w:t>
      </w:r>
      <w:r>
        <w:rPr>
          <w:rFonts w:cs="FrankRuehl"/>
          <w:sz w:val="20"/>
          <w:szCs w:val="22"/>
          <w:rtl/>
        </w:rPr>
        <w:t xml:space="preserve">הצלה; שר </w:t>
      </w:r>
      <w:r>
        <w:rPr>
          <w:rFonts w:cs="FrankRuehl" w:hint="cs"/>
          <w:sz w:val="20"/>
          <w:szCs w:val="22"/>
          <w:rtl/>
        </w:rPr>
        <w:t xml:space="preserve">התמ"ת </w:t>
      </w:r>
      <w:r>
        <w:rPr>
          <w:rFonts w:cs="FrankRuehl"/>
          <w:sz w:val="20"/>
          <w:szCs w:val="22"/>
          <w:rtl/>
        </w:rPr>
        <w:t xml:space="preserve">- </w:t>
      </w:r>
      <w:r>
        <w:rPr>
          <w:rFonts w:cs="FrankRuehl" w:hint="cs"/>
          <w:sz w:val="20"/>
          <w:szCs w:val="22"/>
          <w:rtl/>
        </w:rPr>
        <w:t xml:space="preserve">כדי </w:t>
      </w:r>
      <w:r>
        <w:rPr>
          <w:rFonts w:cs="FrankRuehl"/>
          <w:sz w:val="20"/>
          <w:szCs w:val="22"/>
          <w:rtl/>
        </w:rPr>
        <w:t>להבט</w:t>
      </w:r>
      <w:r>
        <w:rPr>
          <w:rFonts w:cs="FrankRuehl" w:hint="cs"/>
          <w:sz w:val="20"/>
          <w:szCs w:val="22"/>
          <w:rtl/>
        </w:rPr>
        <w:t>י</w:t>
      </w:r>
      <w:r>
        <w:rPr>
          <w:rFonts w:cs="FrankRuehl"/>
          <w:sz w:val="20"/>
          <w:szCs w:val="22"/>
          <w:rtl/>
        </w:rPr>
        <w:t xml:space="preserve">ח </w:t>
      </w:r>
      <w:r>
        <w:rPr>
          <w:rFonts w:cs="FrankRuehl" w:hint="cs"/>
          <w:sz w:val="20"/>
          <w:szCs w:val="22"/>
          <w:rtl/>
        </w:rPr>
        <w:t xml:space="preserve">את </w:t>
      </w:r>
      <w:r>
        <w:rPr>
          <w:rFonts w:cs="FrankRuehl"/>
          <w:sz w:val="20"/>
          <w:szCs w:val="22"/>
          <w:rtl/>
        </w:rPr>
        <w:t>בטיחותם של</w:t>
      </w:r>
      <w:r>
        <w:rPr>
          <w:rFonts w:cs="FrankRuehl"/>
          <w:sz w:val="20"/>
          <w:szCs w:val="22"/>
          <w:rtl/>
        </w:rPr>
        <w:t xml:space="preserve"> הנמצאים במקום העסק או בסביבתו.</w:t>
      </w:r>
    </w:p>
    <w:p w:rsidR="00000000">
      <w:pPr>
        <w:spacing w:after="120" w:line="230" w:lineRule="exact"/>
        <w:jc w:val="both"/>
        <w:rPr>
          <w:rFonts w:cs="FrankRuehl" w:hint="cs"/>
          <w:sz w:val="20"/>
          <w:szCs w:val="22"/>
          <w:rtl/>
        </w:rPr>
      </w:pPr>
      <w:r>
        <w:rPr>
          <w:rFonts w:cs="FrankRuehl" w:hint="cs"/>
          <w:sz w:val="20"/>
          <w:szCs w:val="22"/>
          <w:rtl/>
        </w:rPr>
        <w:t>סמכויות האכיפה בתחום תחנות הדלק מבוזרות בין כמה משרדי ממשלה ורשויות. היועץ המשפטי לממשלה קבע</w:t>
      </w:r>
      <w:r>
        <w:rPr>
          <w:rFonts w:cs="FrankRuehl"/>
          <w:sz w:val="20"/>
          <w:szCs w:val="22"/>
          <w:vertAlign w:val="superscript"/>
          <w:rtl/>
        </w:rPr>
        <w:footnoteReference w:id="21"/>
      </w:r>
      <w:r>
        <w:rPr>
          <w:rFonts w:cs="FrankRuehl" w:hint="cs"/>
          <w:sz w:val="20"/>
          <w:szCs w:val="22"/>
          <w:rtl/>
        </w:rPr>
        <w:t xml:space="preserve"> בדיון שקיים ביולי 2001 בנושא "אכיפת החוק על תחנות דלק פירטיות", כי "מבחינה משפטית אין מניעה שמשרד התשתיות הלאומיות [כיום - משרד הא</w:t>
      </w:r>
      <w:r>
        <w:rPr>
          <w:rFonts w:cs="FrankRuehl" w:hint="cs"/>
          <w:sz w:val="20"/>
          <w:szCs w:val="22"/>
          <w:rtl/>
        </w:rPr>
        <w:t>נרגיה והמים], כאחראי על משק הדלק, יהיה אחראי על אכיפת החוק על תחנות הדלק הפירטיות". עם זאת, לדברי שר האנרגיה</w:t>
      </w:r>
      <w:r>
        <w:rPr>
          <w:rFonts w:cs="FrankRuehl"/>
          <w:sz w:val="20"/>
          <w:szCs w:val="22"/>
          <w:vertAlign w:val="superscript"/>
          <w:rtl/>
        </w:rPr>
        <w:footnoteReference w:id="22"/>
      </w:r>
      <w:r>
        <w:rPr>
          <w:rFonts w:cs="FrankRuehl" w:hint="cs"/>
          <w:sz w:val="20"/>
          <w:szCs w:val="22"/>
          <w:rtl/>
        </w:rPr>
        <w:t>, "פעילות הליבה כנגד התחנות הלא רשומות [תחנות דלק פירטיות] אינה נמצאת בסמכות משרד האנרגיה, אלא בידי גורמי אכיפה שונים... רק מנגנון יעיל של אכיפה מש</w:t>
      </w:r>
      <w:r>
        <w:rPr>
          <w:rFonts w:cs="FrankRuehl" w:hint="cs"/>
          <w:sz w:val="20"/>
          <w:szCs w:val="22"/>
          <w:rtl/>
        </w:rPr>
        <w:t xml:space="preserve">ולבת המשלב את כל גורמי האכיפה... יצליח למגר את התופעה". </w:t>
      </w:r>
    </w:p>
    <w:p w:rsidR="00000000">
      <w:pPr>
        <w:spacing w:after="240" w:line="230" w:lineRule="exact"/>
        <w:jc w:val="both"/>
        <w:rPr>
          <w:rFonts w:cs="FrankRuehl" w:hint="cs"/>
          <w:sz w:val="20"/>
          <w:szCs w:val="22"/>
          <w:rtl/>
        </w:rPr>
      </w:pPr>
      <w:r>
        <w:rPr>
          <w:rFonts w:cs="FrankRuehl" w:hint="cs"/>
          <w:sz w:val="20"/>
          <w:szCs w:val="22"/>
          <w:rtl/>
        </w:rPr>
        <w:t>מינהל הדלק והגז (להלן - מינהל הדלק) שב</w:t>
      </w:r>
      <w:r>
        <w:rPr>
          <w:rFonts w:cs="FrankRuehl" w:hint="eastAsia"/>
          <w:sz w:val="20"/>
          <w:szCs w:val="22"/>
          <w:rtl/>
        </w:rPr>
        <w:t>משרד</w:t>
      </w:r>
      <w:r>
        <w:rPr>
          <w:rFonts w:cs="FrankRuehl"/>
          <w:sz w:val="20"/>
          <w:szCs w:val="22"/>
          <w:rtl/>
        </w:rPr>
        <w:t xml:space="preserve"> </w:t>
      </w:r>
      <w:r>
        <w:rPr>
          <w:rFonts w:cs="FrankRuehl" w:hint="eastAsia"/>
          <w:sz w:val="20"/>
          <w:szCs w:val="22"/>
          <w:rtl/>
        </w:rPr>
        <w:t>האנרגיה</w:t>
      </w:r>
      <w:r>
        <w:rPr>
          <w:rFonts w:cs="FrankRuehl"/>
          <w:sz w:val="20"/>
          <w:szCs w:val="22"/>
          <w:rtl/>
        </w:rPr>
        <w:t xml:space="preserve"> </w:t>
      </w:r>
      <w:r>
        <w:rPr>
          <w:rFonts w:cs="FrankRuehl" w:hint="eastAsia"/>
          <w:sz w:val="20"/>
          <w:szCs w:val="22"/>
          <w:rtl/>
        </w:rPr>
        <w:t>הוא</w:t>
      </w:r>
      <w:r>
        <w:rPr>
          <w:rFonts w:cs="FrankRuehl"/>
          <w:sz w:val="20"/>
          <w:szCs w:val="22"/>
          <w:rtl/>
        </w:rPr>
        <w:t xml:space="preserve"> </w:t>
      </w:r>
      <w:r>
        <w:rPr>
          <w:rFonts w:cs="FrankRuehl" w:hint="cs"/>
          <w:sz w:val="20"/>
          <w:szCs w:val="22"/>
          <w:rtl/>
        </w:rPr>
        <w:t>המאסדר (רגולטור)</w:t>
      </w:r>
      <w:r>
        <w:rPr>
          <w:rFonts w:cs="FrankRuehl"/>
          <w:sz w:val="20"/>
          <w:szCs w:val="22"/>
          <w:rtl/>
        </w:rPr>
        <w:t xml:space="preserve"> </w:t>
      </w:r>
      <w:r>
        <w:rPr>
          <w:rFonts w:cs="FrankRuehl" w:hint="eastAsia"/>
          <w:sz w:val="20"/>
          <w:szCs w:val="22"/>
          <w:rtl/>
        </w:rPr>
        <w:t>בתחום</w:t>
      </w:r>
      <w:r>
        <w:rPr>
          <w:rFonts w:cs="FrankRuehl"/>
          <w:sz w:val="20"/>
          <w:szCs w:val="22"/>
          <w:rtl/>
        </w:rPr>
        <w:t xml:space="preserve"> </w:t>
      </w:r>
      <w:r>
        <w:rPr>
          <w:rFonts w:cs="FrankRuehl" w:hint="cs"/>
          <w:sz w:val="20"/>
          <w:szCs w:val="22"/>
          <w:rtl/>
        </w:rPr>
        <w:t xml:space="preserve">משק </w:t>
      </w:r>
      <w:r>
        <w:rPr>
          <w:rFonts w:cs="FrankRuehl" w:hint="eastAsia"/>
          <w:sz w:val="20"/>
          <w:szCs w:val="22"/>
          <w:rtl/>
        </w:rPr>
        <w:t>הדלק</w:t>
      </w:r>
      <w:r>
        <w:rPr>
          <w:rFonts w:cs="FrankRuehl"/>
          <w:sz w:val="20"/>
          <w:szCs w:val="22"/>
          <w:rtl/>
        </w:rPr>
        <w:t xml:space="preserve">. חוק משק הדלק (איסור מכירת דלק לתחנות מסוימות), התשס"ה-2005 </w:t>
      </w:r>
      <w:r>
        <w:rPr>
          <w:rFonts w:cs="FrankRuehl" w:hint="cs"/>
          <w:sz w:val="20"/>
          <w:szCs w:val="22"/>
          <w:rtl/>
        </w:rPr>
        <w:t>(להלן - חוק משק הדלק), קובע לאילו תחנות דלק מותר לספ</w:t>
      </w:r>
      <w:r>
        <w:rPr>
          <w:rFonts w:cs="FrankRuehl" w:hint="cs"/>
          <w:sz w:val="20"/>
          <w:szCs w:val="22"/>
          <w:rtl/>
        </w:rPr>
        <w:t>ק דלק. על מינהל הדלק מוטל, בין היתר, לאכוף על</w:t>
      </w:r>
      <w:r>
        <w:rPr>
          <w:rFonts w:cs="FrankRuehl"/>
          <w:sz w:val="20"/>
          <w:szCs w:val="22"/>
          <w:rtl/>
        </w:rPr>
        <w:t xml:space="preserve"> </w:t>
      </w:r>
      <w:r>
        <w:rPr>
          <w:rFonts w:cs="FrankRuehl" w:hint="eastAsia"/>
          <w:sz w:val="20"/>
          <w:szCs w:val="22"/>
          <w:rtl/>
        </w:rPr>
        <w:t>ספק</w:t>
      </w:r>
      <w:r>
        <w:rPr>
          <w:rFonts w:cs="FrankRuehl" w:hint="cs"/>
          <w:sz w:val="20"/>
          <w:szCs w:val="22"/>
          <w:rtl/>
        </w:rPr>
        <w:t>י</w:t>
      </w:r>
      <w:r>
        <w:rPr>
          <w:rFonts w:cs="FrankRuehl"/>
          <w:sz w:val="20"/>
          <w:szCs w:val="22"/>
          <w:rtl/>
        </w:rPr>
        <w:t xml:space="preserve"> </w:t>
      </w:r>
      <w:r>
        <w:rPr>
          <w:rFonts w:cs="FrankRuehl" w:hint="eastAsia"/>
          <w:sz w:val="20"/>
          <w:szCs w:val="22"/>
          <w:rtl/>
        </w:rPr>
        <w:t xml:space="preserve">הדלק </w:t>
      </w:r>
      <w:r>
        <w:rPr>
          <w:rFonts w:cs="FrankRuehl" w:hint="cs"/>
          <w:sz w:val="20"/>
          <w:szCs w:val="22"/>
          <w:rtl/>
        </w:rPr>
        <w:t>את האיסור למכור</w:t>
      </w:r>
      <w:r>
        <w:rPr>
          <w:rFonts w:cs="FrankRuehl"/>
          <w:sz w:val="20"/>
          <w:szCs w:val="22"/>
          <w:rtl/>
        </w:rPr>
        <w:t xml:space="preserve"> </w:t>
      </w:r>
      <w:r>
        <w:rPr>
          <w:rFonts w:cs="FrankRuehl" w:hint="cs"/>
          <w:sz w:val="20"/>
          <w:szCs w:val="22"/>
          <w:rtl/>
        </w:rPr>
        <w:t xml:space="preserve">דלק </w:t>
      </w:r>
      <w:r>
        <w:rPr>
          <w:rFonts w:cs="FrankRuehl" w:hint="eastAsia"/>
          <w:sz w:val="20"/>
          <w:szCs w:val="22"/>
          <w:rtl/>
        </w:rPr>
        <w:t>לתחנות</w:t>
      </w:r>
      <w:r>
        <w:rPr>
          <w:rFonts w:cs="FrankRuehl"/>
          <w:sz w:val="20"/>
          <w:szCs w:val="22"/>
          <w:rtl/>
        </w:rPr>
        <w:t xml:space="preserve"> </w:t>
      </w:r>
      <w:r>
        <w:rPr>
          <w:rFonts w:cs="FrankRuehl" w:hint="eastAsia"/>
          <w:sz w:val="20"/>
          <w:szCs w:val="22"/>
          <w:rtl/>
        </w:rPr>
        <w:t>שאינן</w:t>
      </w:r>
      <w:r>
        <w:rPr>
          <w:rFonts w:cs="FrankRuehl"/>
          <w:sz w:val="20"/>
          <w:szCs w:val="22"/>
          <w:rtl/>
        </w:rPr>
        <w:t xml:space="preserve"> </w:t>
      </w:r>
      <w:r>
        <w:rPr>
          <w:rFonts w:cs="FrankRuehl" w:hint="eastAsia"/>
          <w:sz w:val="20"/>
          <w:szCs w:val="22"/>
          <w:rtl/>
        </w:rPr>
        <w:t>ברשימת</w:t>
      </w:r>
      <w:r>
        <w:rPr>
          <w:rFonts w:cs="FrankRuehl"/>
          <w:sz w:val="20"/>
          <w:szCs w:val="22"/>
          <w:rtl/>
        </w:rPr>
        <w:t xml:space="preserve"> </w:t>
      </w:r>
      <w:r>
        <w:rPr>
          <w:rFonts w:cs="FrankRuehl" w:hint="eastAsia"/>
          <w:sz w:val="20"/>
          <w:szCs w:val="22"/>
          <w:rtl/>
        </w:rPr>
        <w:t>התחנות</w:t>
      </w:r>
      <w:r>
        <w:rPr>
          <w:rFonts w:cs="FrankRuehl" w:hint="cs"/>
          <w:sz w:val="20"/>
          <w:szCs w:val="22"/>
          <w:rtl/>
        </w:rPr>
        <w:t xml:space="preserve"> שקבע ופרסם. </w:t>
      </w:r>
    </w:p>
    <w:p w:rsidR="00000000">
      <w:pPr>
        <w:pStyle w:val="RESHET"/>
        <w:keepLines/>
        <w:rPr>
          <w:rFonts w:hint="cs"/>
          <w:sz w:val="20"/>
        </w:rPr>
      </w:pPr>
      <w:r>
        <w:rPr>
          <w:rFonts w:hint="cs"/>
          <w:sz w:val="20"/>
          <w:rtl/>
        </w:rPr>
        <w:t>לדעת משרד מבקר המדינה, נוכח ביזור סמכויות האכיפה בתחום תחנות הדלק והאחריות המיניסטריאלית של משרד האנרגיה בנושא משק הדלק, על משרד האנרגיה להו</w:t>
      </w:r>
      <w:r>
        <w:rPr>
          <w:rFonts w:hint="cs"/>
          <w:sz w:val="20"/>
          <w:rtl/>
        </w:rPr>
        <w:t>ביל את המאבק נגד תחנות דלק פירטיות בשיתוף כלל גופי הפיקוח הנוגעים בדבר</w:t>
      </w:r>
      <w:r>
        <w:rPr>
          <w:sz w:val="20"/>
          <w:vertAlign w:val="superscript"/>
          <w:rtl/>
        </w:rPr>
        <w:footnoteReference w:id="23"/>
      </w:r>
      <w:r>
        <w:rPr>
          <w:rFonts w:hint="cs"/>
          <w:sz w:val="20"/>
          <w:rtl/>
        </w:rPr>
        <w:t>. אם המשרד סבור כי גופי הפיקוח הללו אינם משתפים פעולה כראוי, עליו ליזום החלטת ממשלה או שינוי חקיקה כדי להסדיר נושא זה.</w:t>
      </w:r>
    </w:p>
    <w:p w:rsidR="00000000">
      <w:pPr>
        <w:spacing w:after="120" w:line="230" w:lineRule="exact"/>
        <w:jc w:val="both"/>
        <w:rPr>
          <w:rFonts w:cs="FrankRuehl" w:hint="cs"/>
          <w:sz w:val="20"/>
          <w:szCs w:val="22"/>
          <w:rtl/>
        </w:rPr>
      </w:pPr>
    </w:p>
    <w:p w:rsidR="00000000">
      <w:pPr>
        <w:spacing w:after="120" w:line="230" w:lineRule="exact"/>
        <w:jc w:val="both"/>
        <w:rPr>
          <w:rFonts w:cs="FrankRuehl" w:hint="cs"/>
          <w:sz w:val="20"/>
          <w:szCs w:val="22"/>
          <w:rtl/>
        </w:rPr>
      </w:pPr>
    </w:p>
    <w:p w:rsidR="00000000">
      <w:pPr>
        <w:pStyle w:val="KOT4"/>
        <w:rPr>
          <w:rFonts w:hint="cs"/>
          <w:rtl/>
        </w:rPr>
      </w:pPr>
      <w:r>
        <w:rPr>
          <w:rFonts w:ascii="Arial" w:hAnsi="Arial"/>
          <w:sz w:val="28"/>
          <w:rtl/>
        </w:rPr>
        <w:t xml:space="preserve">עבודת מטה של </w:t>
      </w:r>
      <w:r>
        <w:rPr>
          <w:rFonts w:ascii="Arial" w:hAnsi="Arial" w:hint="cs"/>
          <w:sz w:val="28"/>
          <w:rtl/>
        </w:rPr>
        <w:t>משרד האנרגיה</w:t>
      </w:r>
    </w:p>
    <w:p w:rsidR="00000000">
      <w:pPr>
        <w:spacing w:after="120" w:line="230" w:lineRule="exact"/>
        <w:jc w:val="both"/>
        <w:rPr>
          <w:rFonts w:cs="FrankRuehl" w:hint="cs"/>
          <w:sz w:val="20"/>
          <w:szCs w:val="22"/>
          <w:rtl/>
        </w:rPr>
      </w:pPr>
      <w:r>
        <w:rPr>
          <w:rFonts w:cs="FrankRuehl" w:hint="eastAsia"/>
          <w:sz w:val="20"/>
          <w:szCs w:val="22"/>
          <w:rtl/>
        </w:rPr>
        <w:t>במאי</w:t>
      </w:r>
      <w:r>
        <w:rPr>
          <w:rFonts w:cs="FrankRuehl"/>
          <w:sz w:val="20"/>
          <w:szCs w:val="22"/>
          <w:rtl/>
        </w:rPr>
        <w:t xml:space="preserve"> 2010 </w:t>
      </w:r>
      <w:r>
        <w:rPr>
          <w:rFonts w:cs="FrankRuehl" w:hint="cs"/>
          <w:sz w:val="20"/>
          <w:szCs w:val="22"/>
          <w:rtl/>
        </w:rPr>
        <w:t xml:space="preserve">קיימו </w:t>
      </w:r>
      <w:r>
        <w:rPr>
          <w:rFonts w:cs="FrankRuehl" w:hint="eastAsia"/>
          <w:sz w:val="20"/>
          <w:szCs w:val="22"/>
          <w:rtl/>
        </w:rPr>
        <w:t>מנכ</w:t>
      </w:r>
      <w:r>
        <w:rPr>
          <w:rFonts w:cs="FrankRuehl"/>
          <w:sz w:val="20"/>
          <w:szCs w:val="22"/>
          <w:rtl/>
        </w:rPr>
        <w:t>"</w:t>
      </w:r>
      <w:r>
        <w:rPr>
          <w:rFonts w:cs="FrankRuehl" w:hint="eastAsia"/>
          <w:sz w:val="20"/>
          <w:szCs w:val="22"/>
          <w:rtl/>
        </w:rPr>
        <w:t>ל</w:t>
      </w:r>
      <w:r>
        <w:rPr>
          <w:rFonts w:cs="FrankRuehl"/>
          <w:sz w:val="20"/>
          <w:szCs w:val="22"/>
          <w:rtl/>
        </w:rPr>
        <w:t xml:space="preserve"> </w:t>
      </w:r>
      <w:r>
        <w:rPr>
          <w:rFonts w:cs="FrankRuehl" w:hint="eastAsia"/>
          <w:sz w:val="20"/>
          <w:szCs w:val="22"/>
          <w:rtl/>
        </w:rPr>
        <w:t>משרד</w:t>
      </w:r>
      <w:r>
        <w:rPr>
          <w:rFonts w:cs="FrankRuehl"/>
          <w:sz w:val="20"/>
          <w:szCs w:val="22"/>
          <w:rtl/>
        </w:rPr>
        <w:t xml:space="preserve"> </w:t>
      </w:r>
      <w:r>
        <w:rPr>
          <w:rFonts w:cs="FrankRuehl" w:hint="eastAsia"/>
          <w:sz w:val="20"/>
          <w:szCs w:val="22"/>
          <w:rtl/>
        </w:rPr>
        <w:t>האנרגיה</w:t>
      </w:r>
      <w:r>
        <w:rPr>
          <w:rFonts w:cs="FrankRuehl"/>
          <w:sz w:val="20"/>
          <w:szCs w:val="22"/>
          <w:rtl/>
        </w:rPr>
        <w:t xml:space="preserve"> </w:t>
      </w:r>
      <w:r>
        <w:rPr>
          <w:rFonts w:cs="FrankRuehl" w:hint="eastAsia"/>
          <w:sz w:val="20"/>
          <w:szCs w:val="22"/>
          <w:rtl/>
        </w:rPr>
        <w:t>ועו</w:t>
      </w:r>
      <w:r>
        <w:rPr>
          <w:rFonts w:cs="FrankRuehl" w:hint="eastAsia"/>
          <w:sz w:val="20"/>
          <w:szCs w:val="22"/>
          <w:rtl/>
        </w:rPr>
        <w:t>בדים</w:t>
      </w:r>
      <w:r>
        <w:rPr>
          <w:rFonts w:cs="FrankRuehl"/>
          <w:sz w:val="20"/>
          <w:szCs w:val="22"/>
          <w:rtl/>
        </w:rPr>
        <w:t xml:space="preserve"> </w:t>
      </w:r>
      <w:r>
        <w:rPr>
          <w:rFonts w:cs="FrankRuehl" w:hint="eastAsia"/>
          <w:sz w:val="20"/>
          <w:szCs w:val="22"/>
          <w:rtl/>
        </w:rPr>
        <w:t>בכירים</w:t>
      </w:r>
      <w:r>
        <w:rPr>
          <w:rFonts w:cs="FrankRuehl"/>
          <w:sz w:val="20"/>
          <w:szCs w:val="22"/>
          <w:rtl/>
        </w:rPr>
        <w:t xml:space="preserve"> </w:t>
      </w:r>
      <w:r>
        <w:rPr>
          <w:rFonts w:cs="FrankRuehl" w:hint="cs"/>
          <w:sz w:val="20"/>
          <w:szCs w:val="22"/>
          <w:rtl/>
        </w:rPr>
        <w:t>ב</w:t>
      </w:r>
      <w:r>
        <w:rPr>
          <w:rFonts w:cs="FrankRuehl" w:hint="eastAsia"/>
          <w:sz w:val="20"/>
          <w:szCs w:val="22"/>
          <w:rtl/>
        </w:rPr>
        <w:t>משרד</w:t>
      </w:r>
      <w:r>
        <w:rPr>
          <w:rFonts w:cs="FrankRuehl" w:hint="cs"/>
          <w:sz w:val="20"/>
          <w:szCs w:val="22"/>
          <w:rtl/>
        </w:rPr>
        <w:t>ו ישיבה בנושא</w:t>
      </w:r>
      <w:r>
        <w:rPr>
          <w:rFonts w:cs="FrankRuehl"/>
          <w:sz w:val="20"/>
          <w:szCs w:val="22"/>
          <w:rtl/>
        </w:rPr>
        <w:t xml:space="preserve"> </w:t>
      </w:r>
      <w:r>
        <w:rPr>
          <w:rFonts w:cs="FrankRuehl" w:hint="cs"/>
          <w:sz w:val="20"/>
          <w:szCs w:val="22"/>
          <w:rtl/>
        </w:rPr>
        <w:t>הקשיים באכיפת חוק משק הדלק על</w:t>
      </w:r>
      <w:r>
        <w:rPr>
          <w:rFonts w:cs="FrankRuehl"/>
          <w:sz w:val="20"/>
          <w:szCs w:val="22"/>
          <w:rtl/>
        </w:rPr>
        <w:t xml:space="preserve"> </w:t>
      </w:r>
      <w:r>
        <w:rPr>
          <w:rFonts w:cs="FrankRuehl" w:hint="eastAsia"/>
          <w:sz w:val="20"/>
          <w:szCs w:val="22"/>
          <w:rtl/>
        </w:rPr>
        <w:t>תחנות</w:t>
      </w:r>
      <w:r>
        <w:rPr>
          <w:rFonts w:cs="FrankRuehl"/>
          <w:sz w:val="20"/>
          <w:szCs w:val="22"/>
          <w:rtl/>
        </w:rPr>
        <w:t xml:space="preserve"> </w:t>
      </w:r>
      <w:r>
        <w:rPr>
          <w:rFonts w:cs="FrankRuehl" w:hint="eastAsia"/>
          <w:sz w:val="20"/>
          <w:szCs w:val="22"/>
          <w:rtl/>
        </w:rPr>
        <w:t>דלק</w:t>
      </w:r>
      <w:r>
        <w:rPr>
          <w:rFonts w:cs="FrankRuehl"/>
          <w:sz w:val="20"/>
          <w:szCs w:val="22"/>
          <w:rtl/>
        </w:rPr>
        <w:t xml:space="preserve"> </w:t>
      </w:r>
      <w:r>
        <w:rPr>
          <w:rFonts w:cs="FrankRuehl" w:hint="eastAsia"/>
          <w:sz w:val="20"/>
          <w:szCs w:val="22"/>
          <w:rtl/>
        </w:rPr>
        <w:t>פירטיות</w:t>
      </w:r>
      <w:r>
        <w:rPr>
          <w:rFonts w:cs="FrankRuehl"/>
          <w:sz w:val="20"/>
          <w:szCs w:val="22"/>
          <w:rtl/>
        </w:rPr>
        <w:t xml:space="preserve">. </w:t>
      </w:r>
      <w:r>
        <w:rPr>
          <w:rFonts w:cs="FrankRuehl" w:hint="eastAsia"/>
          <w:sz w:val="20"/>
          <w:szCs w:val="22"/>
          <w:rtl/>
        </w:rPr>
        <w:t>בישיבה</w:t>
      </w:r>
      <w:r>
        <w:rPr>
          <w:rFonts w:cs="FrankRuehl"/>
          <w:sz w:val="20"/>
          <w:szCs w:val="22"/>
          <w:rtl/>
        </w:rPr>
        <w:t xml:space="preserve"> </w:t>
      </w:r>
      <w:r>
        <w:rPr>
          <w:rFonts w:cs="FrankRuehl" w:hint="eastAsia"/>
          <w:sz w:val="20"/>
          <w:szCs w:val="22"/>
          <w:rtl/>
        </w:rPr>
        <w:t>נאמר</w:t>
      </w:r>
      <w:r>
        <w:rPr>
          <w:rFonts w:cs="FrankRuehl"/>
          <w:sz w:val="20"/>
          <w:szCs w:val="22"/>
          <w:rtl/>
        </w:rPr>
        <w:t xml:space="preserve"> </w:t>
      </w:r>
      <w:r>
        <w:rPr>
          <w:rFonts w:cs="FrankRuehl" w:hint="eastAsia"/>
          <w:sz w:val="20"/>
          <w:szCs w:val="22"/>
          <w:rtl/>
        </w:rPr>
        <w:t>כי</w:t>
      </w:r>
      <w:r>
        <w:rPr>
          <w:rFonts w:cs="FrankRuehl"/>
          <w:sz w:val="20"/>
          <w:szCs w:val="22"/>
          <w:rtl/>
        </w:rPr>
        <w:t xml:space="preserve"> </w:t>
      </w:r>
      <w:r>
        <w:rPr>
          <w:rFonts w:cs="FrankRuehl" w:hint="eastAsia"/>
          <w:sz w:val="20"/>
          <w:szCs w:val="22"/>
          <w:rtl/>
        </w:rPr>
        <w:t>למשרד</w:t>
      </w:r>
      <w:r>
        <w:rPr>
          <w:rFonts w:cs="FrankRuehl"/>
          <w:sz w:val="20"/>
          <w:szCs w:val="22"/>
          <w:rtl/>
        </w:rPr>
        <w:t xml:space="preserve"> </w:t>
      </w:r>
      <w:r>
        <w:rPr>
          <w:rFonts w:cs="FrankRuehl" w:hint="eastAsia"/>
          <w:sz w:val="20"/>
          <w:szCs w:val="22"/>
          <w:rtl/>
        </w:rPr>
        <w:t>אין</w:t>
      </w:r>
      <w:r>
        <w:rPr>
          <w:rFonts w:cs="FrankRuehl"/>
          <w:sz w:val="20"/>
          <w:szCs w:val="22"/>
          <w:rtl/>
        </w:rPr>
        <w:t xml:space="preserve"> </w:t>
      </w:r>
      <w:r>
        <w:rPr>
          <w:rFonts w:cs="FrankRuehl" w:hint="eastAsia"/>
          <w:sz w:val="20"/>
          <w:szCs w:val="22"/>
          <w:rtl/>
        </w:rPr>
        <w:t>מיפוי</w:t>
      </w:r>
      <w:r>
        <w:rPr>
          <w:rFonts w:cs="FrankRuehl"/>
          <w:sz w:val="20"/>
          <w:szCs w:val="22"/>
          <w:rtl/>
        </w:rPr>
        <w:t xml:space="preserve"> </w:t>
      </w:r>
      <w:r>
        <w:rPr>
          <w:rFonts w:cs="FrankRuehl" w:hint="eastAsia"/>
          <w:sz w:val="20"/>
          <w:szCs w:val="22"/>
          <w:rtl/>
        </w:rPr>
        <w:t>של</w:t>
      </w:r>
      <w:r>
        <w:rPr>
          <w:rFonts w:cs="FrankRuehl"/>
          <w:sz w:val="20"/>
          <w:szCs w:val="22"/>
          <w:rtl/>
        </w:rPr>
        <w:t xml:space="preserve"> </w:t>
      </w:r>
      <w:r>
        <w:rPr>
          <w:rFonts w:cs="FrankRuehl" w:hint="eastAsia"/>
          <w:sz w:val="20"/>
          <w:szCs w:val="22"/>
          <w:rtl/>
        </w:rPr>
        <w:t>תחנות</w:t>
      </w:r>
      <w:r>
        <w:rPr>
          <w:rFonts w:cs="FrankRuehl"/>
          <w:sz w:val="20"/>
          <w:szCs w:val="22"/>
          <w:rtl/>
        </w:rPr>
        <w:t xml:space="preserve"> </w:t>
      </w:r>
      <w:r>
        <w:rPr>
          <w:rFonts w:cs="FrankRuehl" w:hint="cs"/>
          <w:sz w:val="20"/>
          <w:szCs w:val="22"/>
          <w:rtl/>
        </w:rPr>
        <w:t>אלה</w:t>
      </w:r>
      <w:r>
        <w:rPr>
          <w:rFonts w:cs="FrankRuehl"/>
          <w:sz w:val="20"/>
          <w:szCs w:val="22"/>
          <w:rtl/>
        </w:rPr>
        <w:t xml:space="preserve">, </w:t>
      </w:r>
      <w:r>
        <w:rPr>
          <w:rFonts w:cs="FrankRuehl" w:hint="eastAsia"/>
          <w:sz w:val="20"/>
          <w:szCs w:val="22"/>
          <w:rtl/>
        </w:rPr>
        <w:t>אין</w:t>
      </w:r>
      <w:r>
        <w:rPr>
          <w:rFonts w:cs="FrankRuehl"/>
          <w:sz w:val="20"/>
          <w:szCs w:val="22"/>
          <w:rtl/>
        </w:rPr>
        <w:t xml:space="preserve"> </w:t>
      </w:r>
      <w:r>
        <w:rPr>
          <w:rFonts w:cs="FrankRuehl" w:hint="cs"/>
          <w:sz w:val="20"/>
          <w:szCs w:val="22"/>
          <w:rtl/>
        </w:rPr>
        <w:t>מקומות לאחסון</w:t>
      </w:r>
      <w:r>
        <w:rPr>
          <w:rFonts w:cs="FrankRuehl"/>
          <w:sz w:val="20"/>
          <w:szCs w:val="22"/>
          <w:rtl/>
        </w:rPr>
        <w:t xml:space="preserve"> </w:t>
      </w:r>
      <w:r>
        <w:rPr>
          <w:rFonts w:cs="FrankRuehl" w:hint="eastAsia"/>
          <w:sz w:val="20"/>
          <w:szCs w:val="22"/>
          <w:rtl/>
        </w:rPr>
        <w:t>מכלי</w:t>
      </w:r>
      <w:r>
        <w:rPr>
          <w:rFonts w:cs="FrankRuehl"/>
          <w:sz w:val="20"/>
          <w:szCs w:val="22"/>
          <w:rtl/>
        </w:rPr>
        <w:t xml:space="preserve"> </w:t>
      </w:r>
      <w:r>
        <w:rPr>
          <w:rFonts w:cs="FrankRuehl" w:hint="eastAsia"/>
          <w:sz w:val="20"/>
          <w:szCs w:val="22"/>
          <w:rtl/>
        </w:rPr>
        <w:t>הדלק</w:t>
      </w:r>
      <w:r>
        <w:rPr>
          <w:rFonts w:cs="FrankRuehl"/>
          <w:sz w:val="20"/>
          <w:szCs w:val="22"/>
          <w:rtl/>
        </w:rPr>
        <w:t xml:space="preserve"> </w:t>
      </w:r>
      <w:r>
        <w:rPr>
          <w:rFonts w:cs="FrankRuehl" w:hint="eastAsia"/>
          <w:sz w:val="20"/>
          <w:szCs w:val="22"/>
          <w:rtl/>
        </w:rPr>
        <w:t>והמשאבות</w:t>
      </w:r>
      <w:r>
        <w:rPr>
          <w:rFonts w:cs="FrankRuehl"/>
          <w:sz w:val="20"/>
          <w:szCs w:val="22"/>
          <w:rtl/>
        </w:rPr>
        <w:t xml:space="preserve"> </w:t>
      </w:r>
      <w:r>
        <w:rPr>
          <w:rFonts w:cs="FrankRuehl" w:hint="eastAsia"/>
          <w:sz w:val="20"/>
          <w:szCs w:val="22"/>
          <w:rtl/>
        </w:rPr>
        <w:t>הנתפס</w:t>
      </w:r>
      <w:r>
        <w:rPr>
          <w:rFonts w:cs="FrankRuehl" w:hint="cs"/>
          <w:sz w:val="20"/>
          <w:szCs w:val="22"/>
          <w:rtl/>
        </w:rPr>
        <w:t>ים</w:t>
      </w:r>
      <w:r>
        <w:rPr>
          <w:rFonts w:cs="FrankRuehl"/>
          <w:sz w:val="20"/>
          <w:szCs w:val="22"/>
          <w:rtl/>
        </w:rPr>
        <w:t xml:space="preserve"> </w:t>
      </w:r>
      <w:r>
        <w:rPr>
          <w:rFonts w:cs="FrankRuehl" w:hint="eastAsia"/>
          <w:sz w:val="20"/>
          <w:szCs w:val="22"/>
          <w:rtl/>
        </w:rPr>
        <w:t>בעת</w:t>
      </w:r>
      <w:r>
        <w:rPr>
          <w:rFonts w:cs="FrankRuehl"/>
          <w:sz w:val="20"/>
          <w:szCs w:val="22"/>
          <w:rtl/>
        </w:rPr>
        <w:t xml:space="preserve"> </w:t>
      </w:r>
      <w:r>
        <w:rPr>
          <w:rFonts w:cs="FrankRuehl" w:hint="eastAsia"/>
          <w:sz w:val="20"/>
          <w:szCs w:val="22"/>
          <w:rtl/>
        </w:rPr>
        <w:t>פשיט</w:t>
      </w:r>
      <w:r>
        <w:rPr>
          <w:rFonts w:cs="FrankRuehl" w:hint="cs"/>
          <w:sz w:val="20"/>
          <w:szCs w:val="22"/>
          <w:rtl/>
        </w:rPr>
        <w:t>ות</w:t>
      </w:r>
      <w:r>
        <w:rPr>
          <w:rFonts w:cs="FrankRuehl"/>
          <w:sz w:val="20"/>
          <w:szCs w:val="22"/>
          <w:rtl/>
        </w:rPr>
        <w:t xml:space="preserve"> </w:t>
      </w:r>
      <w:r>
        <w:rPr>
          <w:rFonts w:cs="FrankRuehl" w:hint="eastAsia"/>
          <w:sz w:val="20"/>
          <w:szCs w:val="22"/>
          <w:rtl/>
        </w:rPr>
        <w:t>על</w:t>
      </w:r>
      <w:r>
        <w:rPr>
          <w:rFonts w:cs="FrankRuehl"/>
          <w:sz w:val="20"/>
          <w:szCs w:val="22"/>
          <w:rtl/>
        </w:rPr>
        <w:t xml:space="preserve"> </w:t>
      </w:r>
      <w:r>
        <w:rPr>
          <w:rFonts w:cs="FrankRuehl" w:hint="eastAsia"/>
          <w:sz w:val="20"/>
          <w:szCs w:val="22"/>
          <w:rtl/>
        </w:rPr>
        <w:t>התחנ</w:t>
      </w:r>
      <w:r>
        <w:rPr>
          <w:rFonts w:cs="FrankRuehl" w:hint="cs"/>
          <w:sz w:val="20"/>
          <w:szCs w:val="22"/>
          <w:rtl/>
        </w:rPr>
        <w:t>ות,</w:t>
      </w:r>
      <w:r>
        <w:rPr>
          <w:rFonts w:cs="FrankRuehl"/>
          <w:sz w:val="20"/>
          <w:szCs w:val="22"/>
          <w:rtl/>
        </w:rPr>
        <w:t xml:space="preserve"> </w:t>
      </w:r>
      <w:r>
        <w:rPr>
          <w:rFonts w:cs="FrankRuehl" w:hint="eastAsia"/>
          <w:sz w:val="20"/>
          <w:szCs w:val="22"/>
          <w:rtl/>
        </w:rPr>
        <w:t>המשרד</w:t>
      </w:r>
      <w:r>
        <w:rPr>
          <w:rFonts w:cs="FrankRuehl"/>
          <w:sz w:val="20"/>
          <w:szCs w:val="22"/>
          <w:rtl/>
        </w:rPr>
        <w:t xml:space="preserve"> </w:t>
      </w:r>
      <w:r>
        <w:rPr>
          <w:rFonts w:cs="FrankRuehl" w:hint="eastAsia"/>
          <w:sz w:val="20"/>
          <w:szCs w:val="22"/>
          <w:rtl/>
        </w:rPr>
        <w:t>אינו</w:t>
      </w:r>
      <w:r>
        <w:rPr>
          <w:rFonts w:cs="FrankRuehl"/>
          <w:sz w:val="20"/>
          <w:szCs w:val="22"/>
          <w:rtl/>
        </w:rPr>
        <w:t xml:space="preserve"> </w:t>
      </w:r>
      <w:r>
        <w:rPr>
          <w:rFonts w:cs="FrankRuehl" w:hint="cs"/>
          <w:sz w:val="20"/>
          <w:szCs w:val="22"/>
          <w:rtl/>
        </w:rPr>
        <w:t>משתמש בכל הכלים שהחוק מעמיד</w:t>
      </w:r>
      <w:r>
        <w:rPr>
          <w:rFonts w:cs="FrankRuehl"/>
          <w:sz w:val="20"/>
          <w:szCs w:val="22"/>
          <w:rtl/>
        </w:rPr>
        <w:t xml:space="preserve"> </w:t>
      </w:r>
      <w:r>
        <w:rPr>
          <w:rFonts w:cs="FrankRuehl" w:hint="eastAsia"/>
          <w:sz w:val="20"/>
          <w:szCs w:val="22"/>
          <w:rtl/>
        </w:rPr>
        <w:t>לרשותו</w:t>
      </w:r>
      <w:r>
        <w:rPr>
          <w:rFonts w:cs="FrankRuehl" w:hint="cs"/>
          <w:sz w:val="20"/>
          <w:szCs w:val="22"/>
          <w:rtl/>
        </w:rPr>
        <w:t xml:space="preserve"> ותחום אכיפת חוק מש</w:t>
      </w:r>
      <w:r>
        <w:rPr>
          <w:rFonts w:cs="FrankRuehl" w:hint="cs"/>
          <w:sz w:val="20"/>
          <w:szCs w:val="22"/>
          <w:rtl/>
        </w:rPr>
        <w:t xml:space="preserve">ק הדלק מוזנח. </w:t>
      </w:r>
    </w:p>
    <w:p w:rsidR="00000000">
      <w:pPr>
        <w:spacing w:after="120" w:line="230" w:lineRule="exact"/>
        <w:jc w:val="both"/>
        <w:rPr>
          <w:rFonts w:cs="FrankRuehl" w:hint="cs"/>
          <w:sz w:val="20"/>
          <w:szCs w:val="22"/>
          <w:rtl/>
        </w:rPr>
      </w:pPr>
      <w:r>
        <w:rPr>
          <w:rFonts w:cs="FrankRuehl" w:hint="cs"/>
          <w:sz w:val="20"/>
          <w:szCs w:val="22"/>
          <w:rtl/>
        </w:rPr>
        <w:t>משרד מבקר המדינה מעיר למשרד האנרגיה כי טיפולו בתחנות הדלק הפירטיות לקוי כפי שבא לידי ביטוי בישיבה האמורה לעיל. להלן שלוש דוגמאות לכלים ניהוליים ולפעולות הנדרשים לעבודה יעילה של המשרד בתחום זה:</w:t>
      </w:r>
    </w:p>
    <w:p w:rsidR="00000000">
      <w:pPr>
        <w:spacing w:after="120" w:line="230" w:lineRule="exact"/>
        <w:jc w:val="both"/>
        <w:rPr>
          <w:rFonts w:cs="FrankRuehl" w:hint="cs"/>
          <w:sz w:val="20"/>
          <w:szCs w:val="22"/>
          <w:rtl/>
        </w:rPr>
      </w:pPr>
      <w:r>
        <w:rPr>
          <w:rStyle w:val="7"/>
          <w:rFonts w:cs="FrankRuehl" w:hint="cs"/>
          <w:spacing w:val="0"/>
          <w:sz w:val="20"/>
          <w:szCs w:val="22"/>
          <w:rtl/>
        </w:rPr>
        <w:t>1.</w:t>
      </w:r>
      <w:r>
        <w:rPr>
          <w:rStyle w:val="7"/>
          <w:rFonts w:cs="FrankRuehl" w:hint="cs"/>
          <w:sz w:val="20"/>
          <w:szCs w:val="22"/>
          <w:rtl/>
        </w:rPr>
        <w:tab/>
        <w:t>תכנית עבודה</w:t>
      </w:r>
      <w:r>
        <w:rPr>
          <w:rStyle w:val="7"/>
          <w:rFonts w:cs="FrankRuehl"/>
          <w:sz w:val="20"/>
          <w:szCs w:val="22"/>
          <w:rtl/>
        </w:rPr>
        <w:t>:</w:t>
      </w:r>
      <w:r>
        <w:rPr>
          <w:rStyle w:val="7"/>
          <w:rFonts w:cs="FrankRuehl" w:hint="cs"/>
          <w:sz w:val="20"/>
          <w:szCs w:val="22"/>
          <w:rtl/>
        </w:rPr>
        <w:t xml:space="preserve"> </w:t>
      </w:r>
      <w:r>
        <w:rPr>
          <w:rFonts w:cs="FrankRuehl" w:hint="cs"/>
          <w:sz w:val="20"/>
          <w:szCs w:val="22"/>
          <w:rtl/>
        </w:rPr>
        <w:t>מינהל הדלק שם לו למטרה למגר את</w:t>
      </w:r>
      <w:r>
        <w:rPr>
          <w:rFonts w:cs="FrankRuehl"/>
          <w:sz w:val="20"/>
          <w:szCs w:val="22"/>
          <w:rtl/>
        </w:rPr>
        <w:t xml:space="preserve"> </w:t>
      </w:r>
      <w:r>
        <w:rPr>
          <w:rFonts w:cs="FrankRuehl" w:hint="eastAsia"/>
          <w:sz w:val="20"/>
          <w:szCs w:val="22"/>
          <w:rtl/>
        </w:rPr>
        <w:t>ה</w:t>
      </w:r>
      <w:r>
        <w:rPr>
          <w:rFonts w:cs="FrankRuehl" w:hint="eastAsia"/>
          <w:sz w:val="20"/>
          <w:szCs w:val="22"/>
          <w:rtl/>
        </w:rPr>
        <w:t>פשיעה</w:t>
      </w:r>
      <w:r>
        <w:rPr>
          <w:rFonts w:cs="FrankRuehl"/>
          <w:sz w:val="20"/>
          <w:szCs w:val="22"/>
          <w:rtl/>
        </w:rPr>
        <w:t xml:space="preserve"> </w:t>
      </w:r>
      <w:r>
        <w:rPr>
          <w:rFonts w:cs="FrankRuehl" w:hint="eastAsia"/>
          <w:sz w:val="20"/>
          <w:szCs w:val="22"/>
          <w:rtl/>
        </w:rPr>
        <w:t>בתחום</w:t>
      </w:r>
      <w:r>
        <w:rPr>
          <w:rFonts w:cs="FrankRuehl"/>
          <w:sz w:val="20"/>
          <w:szCs w:val="22"/>
          <w:rtl/>
        </w:rPr>
        <w:t xml:space="preserve"> </w:t>
      </w:r>
      <w:r>
        <w:rPr>
          <w:rFonts w:cs="FrankRuehl" w:hint="eastAsia"/>
          <w:sz w:val="20"/>
          <w:szCs w:val="22"/>
          <w:rtl/>
        </w:rPr>
        <w:t>הדלק</w:t>
      </w:r>
      <w:r>
        <w:rPr>
          <w:rFonts w:cs="FrankRuehl"/>
          <w:sz w:val="20"/>
          <w:szCs w:val="22"/>
          <w:rtl/>
        </w:rPr>
        <w:t xml:space="preserve"> </w:t>
      </w:r>
      <w:r>
        <w:rPr>
          <w:rFonts w:cs="FrankRuehl" w:hint="eastAsia"/>
          <w:sz w:val="20"/>
          <w:szCs w:val="22"/>
          <w:rtl/>
        </w:rPr>
        <w:t>באמצעות</w:t>
      </w:r>
      <w:r>
        <w:rPr>
          <w:rFonts w:cs="FrankRuehl"/>
          <w:sz w:val="20"/>
          <w:szCs w:val="22"/>
          <w:rtl/>
        </w:rPr>
        <w:t xml:space="preserve"> </w:t>
      </w:r>
      <w:r>
        <w:rPr>
          <w:rFonts w:cs="FrankRuehl" w:hint="eastAsia"/>
          <w:sz w:val="20"/>
          <w:szCs w:val="22"/>
          <w:rtl/>
        </w:rPr>
        <w:t>חקיקה</w:t>
      </w:r>
      <w:r>
        <w:rPr>
          <w:rFonts w:cs="FrankRuehl"/>
          <w:sz w:val="20"/>
          <w:szCs w:val="22"/>
          <w:rtl/>
        </w:rPr>
        <w:t xml:space="preserve">, </w:t>
      </w:r>
      <w:r>
        <w:rPr>
          <w:rFonts w:cs="FrankRuehl" w:hint="eastAsia"/>
          <w:sz w:val="20"/>
          <w:szCs w:val="22"/>
          <w:rtl/>
        </w:rPr>
        <w:t>פיקוח</w:t>
      </w:r>
      <w:r>
        <w:rPr>
          <w:rFonts w:cs="FrankRuehl"/>
          <w:sz w:val="20"/>
          <w:szCs w:val="22"/>
          <w:rtl/>
        </w:rPr>
        <w:t xml:space="preserve"> </w:t>
      </w:r>
      <w:r>
        <w:rPr>
          <w:rFonts w:cs="FrankRuehl" w:hint="eastAsia"/>
          <w:sz w:val="20"/>
          <w:szCs w:val="22"/>
          <w:rtl/>
        </w:rPr>
        <w:t>ואכיפה</w:t>
      </w:r>
      <w:r>
        <w:rPr>
          <w:rFonts w:cs="FrankRuehl"/>
          <w:sz w:val="20"/>
          <w:szCs w:val="22"/>
          <w:rtl/>
        </w:rPr>
        <w:t xml:space="preserve">. </w:t>
      </w:r>
      <w:r>
        <w:rPr>
          <w:rFonts w:cs="FrankRuehl" w:hint="eastAsia"/>
          <w:sz w:val="20"/>
          <w:szCs w:val="22"/>
          <w:rtl/>
        </w:rPr>
        <w:t>אגף</w:t>
      </w:r>
      <w:r>
        <w:rPr>
          <w:rFonts w:cs="FrankRuehl"/>
          <w:sz w:val="20"/>
          <w:szCs w:val="22"/>
          <w:rtl/>
        </w:rPr>
        <w:t xml:space="preserve"> </w:t>
      </w:r>
      <w:r>
        <w:rPr>
          <w:rFonts w:cs="FrankRuehl" w:hint="eastAsia"/>
          <w:sz w:val="20"/>
          <w:szCs w:val="22"/>
          <w:rtl/>
        </w:rPr>
        <w:t>הפיקוח</w:t>
      </w:r>
      <w:r>
        <w:rPr>
          <w:rFonts w:cs="FrankRuehl"/>
          <w:sz w:val="20"/>
          <w:szCs w:val="22"/>
          <w:rtl/>
        </w:rPr>
        <w:t xml:space="preserve"> </w:t>
      </w:r>
      <w:r>
        <w:rPr>
          <w:rFonts w:cs="FrankRuehl" w:hint="eastAsia"/>
          <w:sz w:val="20"/>
          <w:szCs w:val="22"/>
          <w:rtl/>
        </w:rPr>
        <w:t>וה</w:t>
      </w:r>
      <w:r>
        <w:rPr>
          <w:rFonts w:cs="FrankRuehl" w:hint="cs"/>
          <w:sz w:val="20"/>
          <w:szCs w:val="22"/>
          <w:rtl/>
        </w:rPr>
        <w:t>בטיחות</w:t>
      </w:r>
      <w:r>
        <w:rPr>
          <w:rFonts w:cs="FrankRuehl"/>
          <w:sz w:val="20"/>
          <w:szCs w:val="22"/>
          <w:rtl/>
        </w:rPr>
        <w:t xml:space="preserve"> </w:t>
      </w:r>
      <w:r>
        <w:rPr>
          <w:rFonts w:cs="FrankRuehl" w:hint="cs"/>
          <w:sz w:val="20"/>
          <w:szCs w:val="22"/>
          <w:rtl/>
        </w:rPr>
        <w:t>במשרד האנרגיה (להלן - אגף הפיקוח)</w:t>
      </w:r>
      <w:r>
        <w:rPr>
          <w:rFonts w:cs="FrankRuehl"/>
          <w:sz w:val="20"/>
          <w:szCs w:val="22"/>
          <w:rtl/>
        </w:rPr>
        <w:t xml:space="preserve"> </w:t>
      </w:r>
      <w:r>
        <w:rPr>
          <w:rFonts w:cs="FrankRuehl" w:hint="cs"/>
          <w:sz w:val="20"/>
          <w:szCs w:val="22"/>
          <w:rtl/>
        </w:rPr>
        <w:t xml:space="preserve">אחראי בין היתר לפיקוח על תחנות דלק (לרבות נקיטת פעולות נגד תחנות דלק וספקי דלק בלתי חוקיים). כדי </w:t>
      </w:r>
      <w:r>
        <w:rPr>
          <w:rFonts w:cs="FrankRuehl" w:hint="eastAsia"/>
          <w:sz w:val="20"/>
          <w:szCs w:val="22"/>
          <w:rtl/>
        </w:rPr>
        <w:t>לבצע</w:t>
      </w:r>
      <w:r>
        <w:rPr>
          <w:rFonts w:cs="FrankRuehl"/>
          <w:sz w:val="20"/>
          <w:szCs w:val="22"/>
          <w:rtl/>
        </w:rPr>
        <w:t xml:space="preserve"> </w:t>
      </w:r>
      <w:r>
        <w:rPr>
          <w:rFonts w:cs="FrankRuehl" w:hint="eastAsia"/>
          <w:sz w:val="20"/>
          <w:szCs w:val="22"/>
          <w:rtl/>
        </w:rPr>
        <w:t>פיקוח</w:t>
      </w:r>
      <w:r>
        <w:rPr>
          <w:rFonts w:cs="FrankRuehl"/>
          <w:sz w:val="20"/>
          <w:szCs w:val="22"/>
          <w:rtl/>
        </w:rPr>
        <w:t xml:space="preserve"> </w:t>
      </w:r>
      <w:r>
        <w:rPr>
          <w:rFonts w:cs="FrankRuehl" w:hint="eastAsia"/>
          <w:sz w:val="20"/>
          <w:szCs w:val="22"/>
          <w:rtl/>
        </w:rPr>
        <w:t>ואכיפה</w:t>
      </w:r>
      <w:r>
        <w:rPr>
          <w:rFonts w:cs="FrankRuehl"/>
          <w:sz w:val="20"/>
          <w:szCs w:val="22"/>
          <w:rtl/>
        </w:rPr>
        <w:t xml:space="preserve"> </w:t>
      </w:r>
      <w:r>
        <w:rPr>
          <w:rFonts w:cs="FrankRuehl" w:hint="cs"/>
          <w:sz w:val="20"/>
          <w:szCs w:val="22"/>
          <w:rtl/>
        </w:rPr>
        <w:t xml:space="preserve">יעילים על </w:t>
      </w:r>
      <w:r>
        <w:rPr>
          <w:rFonts w:cs="FrankRuehl" w:hint="eastAsia"/>
          <w:sz w:val="20"/>
          <w:szCs w:val="22"/>
          <w:rtl/>
        </w:rPr>
        <w:t>תחנות</w:t>
      </w:r>
      <w:r>
        <w:rPr>
          <w:rFonts w:cs="FrankRuehl"/>
          <w:sz w:val="20"/>
          <w:szCs w:val="22"/>
          <w:rtl/>
        </w:rPr>
        <w:t xml:space="preserve"> </w:t>
      </w:r>
      <w:r>
        <w:rPr>
          <w:rFonts w:cs="FrankRuehl" w:hint="eastAsia"/>
          <w:sz w:val="20"/>
          <w:szCs w:val="22"/>
          <w:rtl/>
        </w:rPr>
        <w:t>דלק</w:t>
      </w:r>
      <w:r>
        <w:rPr>
          <w:rFonts w:cs="FrankRuehl"/>
          <w:sz w:val="20"/>
          <w:szCs w:val="22"/>
          <w:rtl/>
        </w:rPr>
        <w:t xml:space="preserve"> </w:t>
      </w:r>
      <w:r>
        <w:rPr>
          <w:rFonts w:cs="FrankRuehl" w:hint="eastAsia"/>
          <w:sz w:val="20"/>
          <w:szCs w:val="22"/>
          <w:rtl/>
        </w:rPr>
        <w:t>פירטיות</w:t>
      </w:r>
      <w:r>
        <w:rPr>
          <w:rFonts w:cs="FrankRuehl" w:hint="cs"/>
          <w:sz w:val="20"/>
          <w:szCs w:val="22"/>
          <w:rtl/>
        </w:rPr>
        <w:t>,</w:t>
      </w:r>
      <w:r>
        <w:rPr>
          <w:rFonts w:cs="FrankRuehl"/>
          <w:sz w:val="20"/>
          <w:szCs w:val="22"/>
          <w:rtl/>
        </w:rPr>
        <w:t xml:space="preserve"> </w:t>
      </w:r>
      <w:r>
        <w:rPr>
          <w:rFonts w:cs="FrankRuehl" w:hint="eastAsia"/>
          <w:sz w:val="20"/>
          <w:szCs w:val="22"/>
          <w:rtl/>
        </w:rPr>
        <w:t>על</w:t>
      </w:r>
      <w:r>
        <w:rPr>
          <w:rFonts w:cs="FrankRuehl"/>
          <w:sz w:val="20"/>
          <w:szCs w:val="22"/>
          <w:rtl/>
        </w:rPr>
        <w:t xml:space="preserve"> </w:t>
      </w:r>
      <w:r>
        <w:rPr>
          <w:rFonts w:cs="FrankRuehl" w:hint="eastAsia"/>
          <w:sz w:val="20"/>
          <w:szCs w:val="22"/>
          <w:rtl/>
        </w:rPr>
        <w:t>המשרד</w:t>
      </w:r>
      <w:r>
        <w:rPr>
          <w:rFonts w:cs="FrankRuehl"/>
          <w:sz w:val="20"/>
          <w:szCs w:val="22"/>
          <w:rtl/>
        </w:rPr>
        <w:t xml:space="preserve"> </w:t>
      </w:r>
      <w:r>
        <w:rPr>
          <w:rFonts w:cs="FrankRuehl" w:hint="eastAsia"/>
          <w:sz w:val="20"/>
          <w:szCs w:val="22"/>
          <w:rtl/>
        </w:rPr>
        <w:t>להכ</w:t>
      </w:r>
      <w:r>
        <w:rPr>
          <w:rFonts w:cs="FrankRuehl" w:hint="eastAsia"/>
          <w:sz w:val="20"/>
          <w:szCs w:val="22"/>
          <w:rtl/>
        </w:rPr>
        <w:t>ין</w:t>
      </w:r>
      <w:r>
        <w:rPr>
          <w:rFonts w:cs="FrankRuehl"/>
          <w:sz w:val="20"/>
          <w:szCs w:val="22"/>
          <w:rtl/>
        </w:rPr>
        <w:t xml:space="preserve"> </w:t>
      </w:r>
      <w:r>
        <w:rPr>
          <w:rFonts w:cs="FrankRuehl" w:hint="eastAsia"/>
          <w:sz w:val="20"/>
          <w:szCs w:val="22"/>
          <w:rtl/>
        </w:rPr>
        <w:t>תכנית</w:t>
      </w:r>
      <w:r>
        <w:rPr>
          <w:rFonts w:cs="FrankRuehl"/>
          <w:sz w:val="20"/>
          <w:szCs w:val="22"/>
          <w:rtl/>
        </w:rPr>
        <w:t xml:space="preserve"> </w:t>
      </w:r>
      <w:r>
        <w:rPr>
          <w:rFonts w:cs="FrankRuehl" w:hint="eastAsia"/>
          <w:sz w:val="20"/>
          <w:szCs w:val="22"/>
          <w:rtl/>
        </w:rPr>
        <w:t>עבודה</w:t>
      </w:r>
      <w:r>
        <w:rPr>
          <w:rFonts w:cs="FrankRuehl"/>
          <w:sz w:val="20"/>
          <w:szCs w:val="22"/>
          <w:rtl/>
        </w:rPr>
        <w:t xml:space="preserve"> </w:t>
      </w:r>
      <w:r>
        <w:rPr>
          <w:rFonts w:cs="FrankRuehl" w:hint="cs"/>
          <w:sz w:val="20"/>
          <w:szCs w:val="22"/>
          <w:rtl/>
        </w:rPr>
        <w:t>שבה מוגדרים</w:t>
      </w:r>
      <w:r>
        <w:rPr>
          <w:rFonts w:cs="FrankRuehl"/>
          <w:sz w:val="20"/>
          <w:szCs w:val="22"/>
          <w:rtl/>
        </w:rPr>
        <w:t xml:space="preserve"> </w:t>
      </w:r>
      <w:r>
        <w:rPr>
          <w:rFonts w:cs="FrankRuehl" w:hint="eastAsia"/>
          <w:sz w:val="20"/>
          <w:szCs w:val="22"/>
          <w:rtl/>
        </w:rPr>
        <w:t>מטרות</w:t>
      </w:r>
      <w:r>
        <w:rPr>
          <w:rFonts w:cs="FrankRuehl"/>
          <w:sz w:val="20"/>
          <w:szCs w:val="22"/>
          <w:rtl/>
        </w:rPr>
        <w:t xml:space="preserve"> </w:t>
      </w:r>
      <w:r>
        <w:rPr>
          <w:rFonts w:cs="FrankRuehl" w:hint="eastAsia"/>
          <w:sz w:val="20"/>
          <w:szCs w:val="22"/>
          <w:rtl/>
        </w:rPr>
        <w:t>ויעדים</w:t>
      </w:r>
      <w:r>
        <w:rPr>
          <w:rFonts w:cs="FrankRuehl" w:hint="cs"/>
          <w:sz w:val="20"/>
          <w:szCs w:val="22"/>
          <w:rtl/>
        </w:rPr>
        <w:t>,</w:t>
      </w:r>
      <w:r>
        <w:rPr>
          <w:rFonts w:cs="FrankRuehl"/>
          <w:sz w:val="20"/>
          <w:szCs w:val="22"/>
          <w:rtl/>
        </w:rPr>
        <w:t xml:space="preserve"> </w:t>
      </w:r>
      <w:r>
        <w:rPr>
          <w:rFonts w:cs="FrankRuehl" w:hint="eastAsia"/>
          <w:sz w:val="20"/>
          <w:szCs w:val="22"/>
          <w:rtl/>
        </w:rPr>
        <w:t>תפוקות</w:t>
      </w:r>
      <w:r>
        <w:rPr>
          <w:rFonts w:cs="FrankRuehl"/>
          <w:sz w:val="20"/>
          <w:szCs w:val="22"/>
          <w:rtl/>
        </w:rPr>
        <w:t xml:space="preserve"> </w:t>
      </w:r>
      <w:r>
        <w:rPr>
          <w:rFonts w:cs="FrankRuehl" w:hint="eastAsia"/>
          <w:sz w:val="20"/>
          <w:szCs w:val="22"/>
          <w:rtl/>
        </w:rPr>
        <w:t>ארגוניות</w:t>
      </w:r>
      <w:r>
        <w:rPr>
          <w:rFonts w:cs="FrankRuehl" w:hint="cs"/>
          <w:sz w:val="20"/>
          <w:szCs w:val="22"/>
          <w:rtl/>
        </w:rPr>
        <w:t>,</w:t>
      </w:r>
      <w:r>
        <w:rPr>
          <w:rFonts w:cs="FrankRuehl"/>
          <w:sz w:val="20"/>
          <w:szCs w:val="22"/>
          <w:rtl/>
        </w:rPr>
        <w:t xml:space="preserve"> </w:t>
      </w:r>
      <w:r>
        <w:rPr>
          <w:rFonts w:cs="FrankRuehl" w:hint="eastAsia"/>
          <w:sz w:val="20"/>
          <w:szCs w:val="22"/>
          <w:rtl/>
        </w:rPr>
        <w:t>מדדים</w:t>
      </w:r>
      <w:r>
        <w:rPr>
          <w:rFonts w:cs="FrankRuehl"/>
          <w:sz w:val="20"/>
          <w:szCs w:val="22"/>
          <w:rtl/>
        </w:rPr>
        <w:t xml:space="preserve"> </w:t>
      </w:r>
      <w:r>
        <w:rPr>
          <w:rFonts w:cs="FrankRuehl" w:hint="eastAsia"/>
          <w:sz w:val="20"/>
          <w:szCs w:val="22"/>
          <w:rtl/>
        </w:rPr>
        <w:t>להשגת</w:t>
      </w:r>
      <w:r>
        <w:rPr>
          <w:rFonts w:cs="FrankRuehl"/>
          <w:sz w:val="20"/>
          <w:szCs w:val="22"/>
          <w:rtl/>
        </w:rPr>
        <w:t xml:space="preserve"> </w:t>
      </w:r>
      <w:r>
        <w:rPr>
          <w:rFonts w:cs="FrankRuehl" w:hint="eastAsia"/>
          <w:sz w:val="20"/>
          <w:szCs w:val="22"/>
          <w:rtl/>
        </w:rPr>
        <w:t>היעדים</w:t>
      </w:r>
      <w:r>
        <w:rPr>
          <w:rFonts w:cs="FrankRuehl" w:hint="cs"/>
          <w:sz w:val="20"/>
          <w:szCs w:val="22"/>
          <w:rtl/>
        </w:rPr>
        <w:t>,</w:t>
      </w:r>
      <w:r>
        <w:rPr>
          <w:rFonts w:cs="FrankRuehl"/>
          <w:sz w:val="20"/>
          <w:szCs w:val="22"/>
          <w:rtl/>
        </w:rPr>
        <w:t xml:space="preserve"> </w:t>
      </w:r>
      <w:r>
        <w:rPr>
          <w:rFonts w:cs="FrankRuehl" w:hint="eastAsia"/>
          <w:sz w:val="20"/>
          <w:szCs w:val="22"/>
          <w:rtl/>
        </w:rPr>
        <w:t>אבני</w:t>
      </w:r>
      <w:r>
        <w:rPr>
          <w:rFonts w:cs="FrankRuehl"/>
          <w:sz w:val="20"/>
          <w:szCs w:val="22"/>
          <w:rtl/>
        </w:rPr>
        <w:t xml:space="preserve"> </w:t>
      </w:r>
      <w:r>
        <w:rPr>
          <w:rFonts w:cs="FrankRuehl" w:hint="eastAsia"/>
          <w:sz w:val="20"/>
          <w:szCs w:val="22"/>
          <w:rtl/>
        </w:rPr>
        <w:t>דרך</w:t>
      </w:r>
      <w:r>
        <w:rPr>
          <w:rFonts w:cs="FrankRuehl"/>
          <w:sz w:val="20"/>
          <w:szCs w:val="22"/>
          <w:rtl/>
        </w:rPr>
        <w:t xml:space="preserve"> </w:t>
      </w:r>
      <w:r>
        <w:rPr>
          <w:rFonts w:cs="FrankRuehl" w:hint="eastAsia"/>
          <w:sz w:val="20"/>
          <w:szCs w:val="22"/>
          <w:rtl/>
        </w:rPr>
        <w:t>מרכזיות</w:t>
      </w:r>
      <w:r>
        <w:rPr>
          <w:rFonts w:cs="FrankRuehl"/>
          <w:sz w:val="20"/>
          <w:szCs w:val="22"/>
          <w:rtl/>
        </w:rPr>
        <w:t xml:space="preserve"> </w:t>
      </w:r>
      <w:r>
        <w:rPr>
          <w:rFonts w:cs="FrankRuehl" w:hint="cs"/>
          <w:sz w:val="20"/>
          <w:szCs w:val="22"/>
          <w:rtl/>
        </w:rPr>
        <w:t>ו</w:t>
      </w:r>
      <w:r>
        <w:rPr>
          <w:rFonts w:cs="FrankRuehl" w:hint="eastAsia"/>
          <w:sz w:val="20"/>
          <w:szCs w:val="22"/>
          <w:rtl/>
        </w:rPr>
        <w:t>לוח</w:t>
      </w:r>
      <w:r>
        <w:rPr>
          <w:rFonts w:cs="FrankRuehl"/>
          <w:sz w:val="20"/>
          <w:szCs w:val="22"/>
          <w:rtl/>
        </w:rPr>
        <w:t xml:space="preserve"> </w:t>
      </w:r>
      <w:r>
        <w:rPr>
          <w:rFonts w:cs="FrankRuehl" w:hint="eastAsia"/>
          <w:sz w:val="20"/>
          <w:szCs w:val="22"/>
          <w:rtl/>
        </w:rPr>
        <w:t>זמנים</w:t>
      </w:r>
      <w:r>
        <w:rPr>
          <w:rFonts w:cs="FrankRuehl"/>
          <w:sz w:val="20"/>
          <w:szCs w:val="22"/>
          <w:rtl/>
        </w:rPr>
        <w:t xml:space="preserve"> </w:t>
      </w:r>
      <w:r>
        <w:rPr>
          <w:rFonts w:cs="FrankRuehl" w:hint="eastAsia"/>
          <w:sz w:val="20"/>
          <w:szCs w:val="22"/>
          <w:rtl/>
        </w:rPr>
        <w:t>רבעוני</w:t>
      </w:r>
      <w:r>
        <w:rPr>
          <w:rFonts w:cs="FrankRuehl" w:hint="cs"/>
          <w:sz w:val="20"/>
          <w:szCs w:val="22"/>
          <w:rtl/>
        </w:rPr>
        <w:t>,</w:t>
      </w:r>
      <w:r>
        <w:rPr>
          <w:rFonts w:cs="FrankRuehl"/>
          <w:sz w:val="20"/>
          <w:szCs w:val="22"/>
          <w:rtl/>
        </w:rPr>
        <w:t xml:space="preserve"> </w:t>
      </w:r>
      <w:r>
        <w:rPr>
          <w:rFonts w:cs="FrankRuehl" w:hint="cs"/>
          <w:sz w:val="20"/>
          <w:szCs w:val="22"/>
          <w:rtl/>
        </w:rPr>
        <w:t>ולהקצות לכל אלה תקציב ומשאבים.</w:t>
      </w:r>
    </w:p>
    <w:p w:rsidR="00000000">
      <w:pPr>
        <w:tabs>
          <w:tab w:val="left" w:pos="510"/>
        </w:tabs>
        <w:spacing w:after="120" w:line="230" w:lineRule="exact"/>
        <w:jc w:val="both"/>
        <w:rPr>
          <w:rFonts w:cs="FrankRuehl" w:hint="cs"/>
          <w:sz w:val="20"/>
          <w:szCs w:val="22"/>
          <w:rtl/>
        </w:rPr>
      </w:pPr>
      <w:r>
        <w:rPr>
          <w:rFonts w:cs="FrankRuehl" w:hint="cs"/>
          <w:sz w:val="20"/>
          <w:szCs w:val="22"/>
          <w:rtl/>
        </w:rPr>
        <w:t>(א)</w:t>
      </w:r>
      <w:r>
        <w:rPr>
          <w:rFonts w:cs="FrankRuehl" w:hint="cs"/>
          <w:sz w:val="20"/>
          <w:szCs w:val="22"/>
          <w:rtl/>
        </w:rPr>
        <w:tab/>
        <w:t>בפרק בתכנית העבודה של מינהל הדלק הדן במאבק בעבריינו</w:t>
      </w:r>
      <w:r>
        <w:rPr>
          <w:rFonts w:cs="FrankRuehl" w:hint="eastAsia"/>
          <w:sz w:val="20"/>
          <w:szCs w:val="22"/>
          <w:rtl/>
        </w:rPr>
        <w:t>ת</w:t>
      </w:r>
      <w:r>
        <w:rPr>
          <w:rFonts w:cs="FrankRuehl" w:hint="cs"/>
          <w:sz w:val="20"/>
          <w:szCs w:val="22"/>
          <w:rtl/>
        </w:rPr>
        <w:t xml:space="preserve"> נקבעו יעדים כלליים, כגון מעקב ובקרה שוטפים וקיום שימוע</w:t>
      </w:r>
      <w:r>
        <w:rPr>
          <w:rFonts w:cs="FrankRuehl" w:hint="cs"/>
          <w:sz w:val="20"/>
          <w:szCs w:val="22"/>
          <w:rtl/>
        </w:rPr>
        <w:t xml:space="preserve"> לספקי דלק לתחנות דלק פירטיות; לא נקבעו בה יעדים ברורים ומדידים לפעולות אכיפה יזומות נגד ספקי דלק לתחנות דלק פירטיות ולפעולות פיקוח על תחנות כאלה. על ביצוע יעדיי מינהל הדלק ממונים מפקחים. משנת 2009, בעקבות בירור תלונות שהוגשו למשטרה נגד שמונה מעובדי אגף הפ</w:t>
      </w:r>
      <w:r>
        <w:rPr>
          <w:rFonts w:cs="FrankRuehl" w:hint="cs"/>
          <w:sz w:val="20"/>
          <w:szCs w:val="22"/>
          <w:rtl/>
        </w:rPr>
        <w:t>יקוח (כמחצית ממפקחי האגף)</w:t>
      </w:r>
      <w:r>
        <w:rPr>
          <w:rFonts w:cs="FrankRuehl"/>
          <w:sz w:val="20"/>
          <w:szCs w:val="22"/>
          <w:vertAlign w:val="superscript"/>
          <w:rtl/>
        </w:rPr>
        <w:footnoteReference w:id="24"/>
      </w:r>
      <w:r>
        <w:rPr>
          <w:rFonts w:cs="FrankRuehl" w:hint="cs"/>
          <w:sz w:val="20"/>
          <w:szCs w:val="22"/>
          <w:rtl/>
        </w:rPr>
        <w:t>, סמכות החקירה של שישה מפקחים נשללה לפרק זמן ממושך ושני עובדים בכירים באגף פרשו. השלילה עמדה בעינה במועד סיום הביקורת - אוקטובר 2012.</w:t>
      </w:r>
    </w:p>
    <w:p w:rsidR="00000000">
      <w:pPr>
        <w:spacing w:after="240" w:line="230" w:lineRule="exact"/>
        <w:jc w:val="both"/>
        <w:rPr>
          <w:rFonts w:hint="cs"/>
          <w:szCs w:val="20"/>
          <w:rtl/>
        </w:rPr>
      </w:pPr>
      <w:r>
        <w:rPr>
          <w:rFonts w:cs="FrankRuehl" w:hint="cs"/>
          <w:sz w:val="20"/>
          <w:szCs w:val="22"/>
          <w:rtl/>
        </w:rPr>
        <w:t xml:space="preserve">בתשובת משרד האנרגיה למשרד מבקר המדינה מינואר 2013 (להלן - תשובת משרד האנרגיה) נמסר, </w:t>
      </w:r>
      <w:r>
        <w:rPr>
          <w:rFonts w:cs="FrankRuehl"/>
          <w:sz w:val="20"/>
          <w:szCs w:val="22"/>
          <w:rtl/>
        </w:rPr>
        <w:t>כי</w:t>
      </w:r>
      <w:r>
        <w:rPr>
          <w:rFonts w:cs="FrankRuehl" w:hint="cs"/>
          <w:sz w:val="20"/>
          <w:szCs w:val="22"/>
          <w:rtl/>
        </w:rPr>
        <w:t xml:space="preserve"> נוכח הצמצ</w:t>
      </w:r>
      <w:r>
        <w:rPr>
          <w:rFonts w:cs="FrankRuehl" w:hint="cs"/>
          <w:sz w:val="20"/>
          <w:szCs w:val="22"/>
          <w:rtl/>
        </w:rPr>
        <w:t>ום במצבת כוח האדם המאושרת לבצע חקירות "</w:t>
      </w:r>
      <w:r>
        <w:rPr>
          <w:rFonts w:cs="FrankRuehl"/>
          <w:sz w:val="20"/>
          <w:szCs w:val="22"/>
          <w:rtl/>
        </w:rPr>
        <w:t xml:space="preserve">בוודאי שלא ניתן לקבוע </w:t>
      </w:r>
      <w:r>
        <w:rPr>
          <w:rFonts w:cs="FrankRuehl" w:hint="cs"/>
          <w:sz w:val="20"/>
          <w:szCs w:val="22"/>
          <w:rtl/>
        </w:rPr>
        <w:t>'</w:t>
      </w:r>
      <w:r>
        <w:rPr>
          <w:rFonts w:cs="FrankRuehl"/>
          <w:sz w:val="20"/>
          <w:szCs w:val="22"/>
          <w:rtl/>
        </w:rPr>
        <w:t>תוכנית עבודה לאכיפה בתחום הפיראטי</w:t>
      </w:r>
      <w:r>
        <w:rPr>
          <w:rFonts w:cs="FrankRuehl" w:hint="cs"/>
          <w:sz w:val="20"/>
          <w:szCs w:val="22"/>
          <w:rtl/>
        </w:rPr>
        <w:t>'</w:t>
      </w:r>
      <w:r>
        <w:rPr>
          <w:rFonts w:cs="FrankRuehl"/>
          <w:sz w:val="20"/>
          <w:szCs w:val="22"/>
          <w:rtl/>
        </w:rPr>
        <w:t xml:space="preserve">. מדובר </w:t>
      </w:r>
      <w:r>
        <w:rPr>
          <w:rFonts w:cs="FrankRuehl" w:hint="cs"/>
          <w:sz w:val="20"/>
          <w:szCs w:val="22"/>
          <w:rtl/>
        </w:rPr>
        <w:t xml:space="preserve">על </w:t>
      </w:r>
      <w:r>
        <w:rPr>
          <w:rFonts w:cs="FrankRuehl"/>
          <w:sz w:val="20"/>
          <w:szCs w:val="22"/>
          <w:rtl/>
        </w:rPr>
        <w:t>משימה רצינית בתחום המודיעין והחקירה</w:t>
      </w:r>
      <w:r>
        <w:rPr>
          <w:rFonts w:cs="FrankRuehl" w:hint="cs"/>
          <w:sz w:val="20"/>
          <w:szCs w:val="22"/>
          <w:rtl/>
        </w:rPr>
        <w:t xml:space="preserve"> [ו]</w:t>
      </w:r>
      <w:r>
        <w:rPr>
          <w:rFonts w:cs="FrankRuehl"/>
          <w:sz w:val="20"/>
          <w:szCs w:val="22"/>
          <w:rtl/>
        </w:rPr>
        <w:t>לא ניתן ולא נכון להגדיר משימה זו כיעד מחייב</w:t>
      </w:r>
      <w:r>
        <w:rPr>
          <w:rFonts w:cs="FrankRuehl" w:hint="cs"/>
          <w:sz w:val="20"/>
          <w:szCs w:val="22"/>
          <w:rtl/>
        </w:rPr>
        <w:t>"</w:t>
      </w:r>
      <w:r>
        <w:rPr>
          <w:rFonts w:cs="FrankRuehl"/>
          <w:sz w:val="20"/>
          <w:szCs w:val="22"/>
          <w:rtl/>
        </w:rPr>
        <w:t>.</w:t>
      </w:r>
      <w:r>
        <w:rPr>
          <w:rFonts w:cs="FrankRuehl" w:hint="cs"/>
          <w:sz w:val="20"/>
          <w:szCs w:val="22"/>
          <w:rtl/>
        </w:rPr>
        <w:t xml:space="preserve"> עוד מסר המשרד כי "</w:t>
      </w:r>
      <w:r>
        <w:rPr>
          <w:rFonts w:cs="FrankRuehl"/>
          <w:sz w:val="20"/>
          <w:szCs w:val="22"/>
          <w:rtl/>
        </w:rPr>
        <w:t>עם זאת, נכון הוא כי ככל גוף אכיפה, גם המשרד נא</w:t>
      </w:r>
      <w:r>
        <w:rPr>
          <w:rFonts w:cs="FrankRuehl"/>
          <w:sz w:val="20"/>
          <w:szCs w:val="22"/>
          <w:rtl/>
        </w:rPr>
        <w:t xml:space="preserve">לץ לקבוע סדרי עדיפויות באכיפה, ובעניין זה נותן המשרד קדימות לאכיפת החוק בתחומים בהם הוא גורם האכיפה היחיד. וכן בתחומים בהם קיימת סכנה מוחשית מיידית ורחבה לחיי אדם, היינו </w:t>
      </w:r>
      <w:r>
        <w:rPr>
          <w:rFonts w:cs="FrankRuehl" w:hint="cs"/>
          <w:sz w:val="20"/>
          <w:szCs w:val="22"/>
          <w:rtl/>
        </w:rPr>
        <w:t>-</w:t>
      </w:r>
      <w:r>
        <w:rPr>
          <w:rFonts w:cs="FrankRuehl"/>
          <w:sz w:val="20"/>
          <w:szCs w:val="22"/>
          <w:rtl/>
        </w:rPr>
        <w:t xml:space="preserve"> בטיחות הגז, שם הסכנה גבוהה לאין שיעור, ומצויה בכל בית</w:t>
      </w:r>
      <w:r>
        <w:rPr>
          <w:rFonts w:cs="FrankRuehl" w:hint="cs"/>
          <w:sz w:val="20"/>
          <w:szCs w:val="22"/>
          <w:rtl/>
        </w:rPr>
        <w:t>"</w:t>
      </w:r>
      <w:r>
        <w:rPr>
          <w:rFonts w:hint="cs"/>
          <w:szCs w:val="20"/>
          <w:rtl/>
        </w:rPr>
        <w:t>.</w:t>
      </w:r>
      <w:r>
        <w:rPr>
          <w:rFonts w:cs="FrankRuehl" w:hint="cs"/>
          <w:sz w:val="20"/>
          <w:szCs w:val="22"/>
          <w:rtl/>
        </w:rPr>
        <w:t xml:space="preserve"> </w:t>
      </w:r>
    </w:p>
    <w:p w:rsidR="00000000">
      <w:pPr>
        <w:pStyle w:val="RESHET"/>
        <w:keepLines/>
        <w:rPr>
          <w:rFonts w:hint="cs"/>
          <w:sz w:val="20"/>
        </w:rPr>
      </w:pPr>
      <w:r>
        <w:rPr>
          <w:rFonts w:hint="cs"/>
          <w:sz w:val="20"/>
          <w:rtl/>
        </w:rPr>
        <w:t>בדיקת משרד מבקר המדינה העלת</w:t>
      </w:r>
      <w:r>
        <w:rPr>
          <w:rFonts w:hint="cs"/>
          <w:sz w:val="20"/>
          <w:rtl/>
        </w:rPr>
        <w:t>ה כי אגף הפיקוח במשרד האנרגיה אינו מתפקד באופן מלא ושיכולת האכיפה שלו נפגעה</w:t>
      </w:r>
      <w:r>
        <w:rPr>
          <w:rStyle w:val="FootnoteReference"/>
          <w:sz w:val="20"/>
          <w:rtl/>
        </w:rPr>
        <w:footnoteReference w:id="25"/>
      </w:r>
      <w:r>
        <w:rPr>
          <w:rFonts w:hint="cs"/>
          <w:sz w:val="20"/>
          <w:rtl/>
        </w:rPr>
        <w:t>. עוד עולה כי מאז חקיקת חוק משק הדלק בשנת 2005 לא ביקש משרד האנרגיה מנציבות שירות המדינה להגדיל את מצבת כוח האדם באגף הפיקוח בעקבות חוק זה</w:t>
      </w:r>
      <w:r>
        <w:rPr>
          <w:rStyle w:val="FootnoteReference"/>
          <w:sz w:val="20"/>
          <w:rtl/>
        </w:rPr>
        <w:footnoteReference w:id="26"/>
      </w:r>
      <w:r>
        <w:rPr>
          <w:rFonts w:hint="cs"/>
          <w:sz w:val="20"/>
          <w:rtl/>
        </w:rPr>
        <w:t>. על משרד האנרגיה לפעול כדי לאפשר תפקוד מ</w:t>
      </w:r>
      <w:r>
        <w:rPr>
          <w:rFonts w:hint="cs"/>
          <w:sz w:val="20"/>
          <w:rtl/>
        </w:rPr>
        <w:t xml:space="preserve">לא ויעיל של האגף. </w:t>
      </w:r>
    </w:p>
    <w:p w:rsidR="00000000">
      <w:pPr>
        <w:tabs>
          <w:tab w:val="left" w:pos="510"/>
        </w:tabs>
        <w:spacing w:before="180" w:after="120" w:line="230" w:lineRule="exact"/>
        <w:jc w:val="both"/>
        <w:rPr>
          <w:rFonts w:cs="FrankRuehl" w:hint="cs"/>
          <w:sz w:val="20"/>
          <w:szCs w:val="22"/>
          <w:rtl/>
        </w:rPr>
      </w:pPr>
      <w:r>
        <w:rPr>
          <w:rFonts w:cs="FrankRuehl" w:hint="cs"/>
          <w:sz w:val="20"/>
          <w:szCs w:val="22"/>
          <w:rtl/>
        </w:rPr>
        <w:t>(ב)</w:t>
      </w:r>
      <w:r>
        <w:rPr>
          <w:rFonts w:cs="FrankRuehl" w:hint="cs"/>
          <w:sz w:val="20"/>
          <w:szCs w:val="22"/>
          <w:rtl/>
        </w:rPr>
        <w:tab/>
        <w:t>בישיבה האמורה לעיל, ממאי 2010,</w:t>
      </w:r>
      <w:r>
        <w:rPr>
          <w:rFonts w:cs="FrankRuehl"/>
          <w:sz w:val="20"/>
          <w:szCs w:val="22"/>
          <w:rtl/>
        </w:rPr>
        <w:t xml:space="preserve"> </w:t>
      </w:r>
      <w:r>
        <w:rPr>
          <w:rFonts w:cs="FrankRuehl" w:hint="eastAsia"/>
          <w:sz w:val="20"/>
          <w:szCs w:val="22"/>
          <w:rtl/>
        </w:rPr>
        <w:t>הוחלט</w:t>
      </w:r>
      <w:r>
        <w:rPr>
          <w:rFonts w:cs="FrankRuehl"/>
          <w:sz w:val="20"/>
          <w:szCs w:val="22"/>
          <w:rtl/>
        </w:rPr>
        <w:t xml:space="preserve"> </w:t>
      </w:r>
      <w:r>
        <w:rPr>
          <w:rFonts w:cs="FrankRuehl" w:hint="eastAsia"/>
          <w:sz w:val="20"/>
          <w:szCs w:val="22"/>
          <w:rtl/>
        </w:rPr>
        <w:t>כי</w:t>
      </w:r>
      <w:r>
        <w:rPr>
          <w:rFonts w:cs="FrankRuehl"/>
          <w:sz w:val="20"/>
          <w:szCs w:val="22"/>
          <w:rtl/>
        </w:rPr>
        <w:t xml:space="preserve"> </w:t>
      </w:r>
      <w:r>
        <w:rPr>
          <w:rFonts w:cs="FrankRuehl" w:hint="cs"/>
          <w:sz w:val="20"/>
          <w:szCs w:val="22"/>
          <w:rtl/>
        </w:rPr>
        <w:t>משרד האנרגיה יכין</w:t>
      </w:r>
      <w:r>
        <w:rPr>
          <w:rFonts w:cs="FrankRuehl"/>
          <w:sz w:val="20"/>
          <w:szCs w:val="22"/>
          <w:rtl/>
        </w:rPr>
        <w:t xml:space="preserve"> </w:t>
      </w:r>
      <w:r>
        <w:rPr>
          <w:rFonts w:cs="FrankRuehl" w:hint="eastAsia"/>
          <w:sz w:val="20"/>
          <w:szCs w:val="22"/>
          <w:rtl/>
        </w:rPr>
        <w:t>תכנית</w:t>
      </w:r>
      <w:r>
        <w:rPr>
          <w:rFonts w:cs="FrankRuehl"/>
          <w:sz w:val="20"/>
          <w:szCs w:val="22"/>
          <w:rtl/>
        </w:rPr>
        <w:t xml:space="preserve"> </w:t>
      </w:r>
      <w:r>
        <w:rPr>
          <w:rFonts w:cs="FrankRuehl" w:hint="eastAsia"/>
          <w:sz w:val="20"/>
          <w:szCs w:val="22"/>
          <w:rtl/>
        </w:rPr>
        <w:t>עבודה</w:t>
      </w:r>
      <w:r>
        <w:rPr>
          <w:rFonts w:cs="FrankRuehl"/>
          <w:sz w:val="20"/>
          <w:szCs w:val="22"/>
          <w:rtl/>
        </w:rPr>
        <w:t xml:space="preserve"> </w:t>
      </w:r>
      <w:r>
        <w:rPr>
          <w:rFonts w:cs="FrankRuehl" w:hint="cs"/>
          <w:sz w:val="20"/>
          <w:szCs w:val="22"/>
          <w:rtl/>
        </w:rPr>
        <w:t xml:space="preserve">לפעולה עם </w:t>
      </w:r>
      <w:r>
        <w:rPr>
          <w:rFonts w:cs="FrankRuehl" w:hint="eastAsia"/>
          <w:sz w:val="20"/>
          <w:szCs w:val="22"/>
          <w:rtl/>
        </w:rPr>
        <w:t>המשטרה</w:t>
      </w:r>
      <w:r>
        <w:rPr>
          <w:rFonts w:cs="FrankRuehl"/>
          <w:sz w:val="20"/>
          <w:szCs w:val="22"/>
          <w:rtl/>
        </w:rPr>
        <w:t xml:space="preserve"> </w:t>
      </w:r>
      <w:r>
        <w:rPr>
          <w:rFonts w:cs="FrankRuehl" w:hint="eastAsia"/>
          <w:sz w:val="20"/>
          <w:szCs w:val="22"/>
          <w:rtl/>
        </w:rPr>
        <w:t>ו</w:t>
      </w:r>
      <w:r>
        <w:rPr>
          <w:rFonts w:cs="FrankRuehl" w:hint="cs"/>
          <w:sz w:val="20"/>
          <w:szCs w:val="22"/>
          <w:rtl/>
        </w:rPr>
        <w:t>יפעל</w:t>
      </w:r>
      <w:r>
        <w:rPr>
          <w:rFonts w:cs="FrankRuehl"/>
          <w:sz w:val="20"/>
          <w:szCs w:val="22"/>
          <w:rtl/>
        </w:rPr>
        <w:t xml:space="preserve"> </w:t>
      </w:r>
      <w:r>
        <w:rPr>
          <w:rFonts w:cs="FrankRuehl" w:hint="cs"/>
          <w:sz w:val="20"/>
          <w:szCs w:val="22"/>
          <w:rtl/>
        </w:rPr>
        <w:t xml:space="preserve">על פיה. </w:t>
      </w:r>
      <w:r>
        <w:rPr>
          <w:rFonts w:cs="FrankRuehl" w:hint="eastAsia"/>
          <w:sz w:val="20"/>
          <w:szCs w:val="22"/>
          <w:rtl/>
        </w:rPr>
        <w:t>עד</w:t>
      </w:r>
      <w:r>
        <w:rPr>
          <w:rFonts w:cs="FrankRuehl"/>
          <w:sz w:val="20"/>
          <w:szCs w:val="22"/>
          <w:rtl/>
        </w:rPr>
        <w:t xml:space="preserve"> </w:t>
      </w:r>
      <w:r>
        <w:rPr>
          <w:rFonts w:cs="FrankRuehl" w:hint="eastAsia"/>
          <w:sz w:val="20"/>
          <w:szCs w:val="22"/>
          <w:rtl/>
        </w:rPr>
        <w:t>מועד</w:t>
      </w:r>
      <w:r>
        <w:rPr>
          <w:rFonts w:cs="FrankRuehl"/>
          <w:sz w:val="20"/>
          <w:szCs w:val="22"/>
          <w:rtl/>
        </w:rPr>
        <w:t xml:space="preserve"> </w:t>
      </w:r>
      <w:r>
        <w:rPr>
          <w:rFonts w:cs="FrankRuehl" w:hint="eastAsia"/>
          <w:sz w:val="20"/>
          <w:szCs w:val="22"/>
          <w:rtl/>
        </w:rPr>
        <w:t>סיום</w:t>
      </w:r>
      <w:r>
        <w:rPr>
          <w:rFonts w:cs="FrankRuehl"/>
          <w:sz w:val="20"/>
          <w:szCs w:val="22"/>
          <w:rtl/>
        </w:rPr>
        <w:t xml:space="preserve"> </w:t>
      </w:r>
      <w:r>
        <w:rPr>
          <w:rFonts w:cs="FrankRuehl" w:hint="eastAsia"/>
          <w:sz w:val="20"/>
          <w:szCs w:val="22"/>
          <w:rtl/>
        </w:rPr>
        <w:t>הביקורת</w:t>
      </w:r>
      <w:r>
        <w:rPr>
          <w:rFonts w:cs="FrankRuehl"/>
          <w:sz w:val="20"/>
          <w:szCs w:val="22"/>
          <w:rtl/>
        </w:rPr>
        <w:t xml:space="preserve"> </w:t>
      </w:r>
      <w:r>
        <w:rPr>
          <w:rFonts w:cs="FrankRuehl" w:hint="cs"/>
          <w:sz w:val="20"/>
          <w:szCs w:val="22"/>
          <w:rtl/>
        </w:rPr>
        <w:t xml:space="preserve">באוקטובר 2012 לא הוכנה תכנית עבודה כאמור. </w:t>
      </w:r>
    </w:p>
    <w:p w:rsidR="00000000">
      <w:pPr>
        <w:spacing w:after="240" w:line="230" w:lineRule="exact"/>
        <w:jc w:val="both"/>
        <w:rPr>
          <w:rFonts w:cs="FrankRuehl" w:hint="cs"/>
          <w:sz w:val="20"/>
          <w:szCs w:val="22"/>
          <w:rtl/>
        </w:rPr>
      </w:pPr>
      <w:r>
        <w:rPr>
          <w:rStyle w:val="7"/>
          <w:rFonts w:cs="FrankRuehl" w:hint="cs"/>
          <w:spacing w:val="0"/>
          <w:sz w:val="20"/>
          <w:szCs w:val="22"/>
          <w:rtl/>
        </w:rPr>
        <w:t>2.</w:t>
      </w:r>
      <w:r>
        <w:rPr>
          <w:rFonts w:hint="cs"/>
          <w:szCs w:val="20"/>
          <w:rtl/>
        </w:rPr>
        <w:tab/>
      </w:r>
      <w:r>
        <w:rPr>
          <w:rStyle w:val="7"/>
          <w:rFonts w:cs="FrankRuehl" w:hint="cs"/>
          <w:sz w:val="20"/>
          <w:szCs w:val="22"/>
          <w:rtl/>
        </w:rPr>
        <w:t>הכשרת עובדים:</w:t>
      </w:r>
      <w:r>
        <w:rPr>
          <w:rFonts w:cs="FrankRuehl" w:hint="cs"/>
          <w:b/>
          <w:bCs/>
          <w:sz w:val="20"/>
          <w:szCs w:val="22"/>
          <w:rtl/>
        </w:rPr>
        <w:t xml:space="preserve"> </w:t>
      </w:r>
      <w:r>
        <w:rPr>
          <w:rFonts w:cs="FrankRuehl" w:hint="cs"/>
          <w:sz w:val="20"/>
          <w:szCs w:val="22"/>
          <w:rtl/>
        </w:rPr>
        <w:t>כדי להבטיח פיקוח ב</w:t>
      </w:r>
      <w:r>
        <w:rPr>
          <w:rFonts w:cs="FrankRuehl" w:hint="eastAsia"/>
          <w:sz w:val="20"/>
          <w:szCs w:val="22"/>
          <w:rtl/>
        </w:rPr>
        <w:t>רמה</w:t>
      </w:r>
      <w:r>
        <w:rPr>
          <w:rFonts w:cs="FrankRuehl"/>
          <w:sz w:val="20"/>
          <w:szCs w:val="22"/>
          <w:rtl/>
        </w:rPr>
        <w:t xml:space="preserve"> </w:t>
      </w:r>
      <w:r>
        <w:rPr>
          <w:rFonts w:cs="FrankRuehl" w:hint="eastAsia"/>
          <w:sz w:val="20"/>
          <w:szCs w:val="22"/>
          <w:rtl/>
        </w:rPr>
        <w:t>נאותה</w:t>
      </w:r>
      <w:r>
        <w:rPr>
          <w:rFonts w:cs="FrankRuehl" w:hint="cs"/>
          <w:sz w:val="20"/>
          <w:szCs w:val="22"/>
          <w:rtl/>
        </w:rPr>
        <w:t xml:space="preserve"> נדרש משרד האנרגיה </w:t>
      </w:r>
      <w:r>
        <w:rPr>
          <w:rFonts w:cs="FrankRuehl" w:hint="eastAsia"/>
          <w:sz w:val="20"/>
          <w:szCs w:val="22"/>
          <w:rtl/>
        </w:rPr>
        <w:t>להכשי</w:t>
      </w:r>
      <w:r>
        <w:rPr>
          <w:rFonts w:cs="FrankRuehl" w:hint="eastAsia"/>
          <w:sz w:val="20"/>
          <w:szCs w:val="22"/>
          <w:rtl/>
        </w:rPr>
        <w:t>ר</w:t>
      </w:r>
      <w:r>
        <w:rPr>
          <w:rFonts w:cs="FrankRuehl"/>
          <w:sz w:val="20"/>
          <w:szCs w:val="22"/>
          <w:rtl/>
        </w:rPr>
        <w:t xml:space="preserve"> </w:t>
      </w:r>
      <w:r>
        <w:rPr>
          <w:rFonts w:cs="FrankRuehl" w:hint="eastAsia"/>
          <w:sz w:val="20"/>
          <w:szCs w:val="22"/>
          <w:rtl/>
        </w:rPr>
        <w:t>את</w:t>
      </w:r>
      <w:r>
        <w:rPr>
          <w:rFonts w:cs="FrankRuehl"/>
          <w:sz w:val="20"/>
          <w:szCs w:val="22"/>
          <w:rtl/>
        </w:rPr>
        <w:t xml:space="preserve"> </w:t>
      </w:r>
      <w:r>
        <w:rPr>
          <w:rFonts w:cs="FrankRuehl" w:hint="cs"/>
          <w:sz w:val="20"/>
          <w:szCs w:val="22"/>
          <w:rtl/>
        </w:rPr>
        <w:t>עובדי האגף לפיקוח למילוי הוראות החוק ולאכיפתו. נמצא כי ההכשרה האחרונה בתחום תחנות הדלק הפירטיות שקיבלו העובדים הייתה בשנת 2001 - לפני יותר מעשור ולפני חקיקת חוק משק הדלק בשנת 2005 - ורק ארבעה מ-15 העובדים המקצועיים המועסקים באגף כיום השתתפו בהכשרה זו.</w:t>
      </w:r>
    </w:p>
    <w:p w:rsidR="00000000">
      <w:pPr>
        <w:pStyle w:val="RESHET"/>
        <w:keepLines/>
        <w:rPr>
          <w:rFonts w:hint="cs"/>
          <w:sz w:val="20"/>
          <w:rtl/>
        </w:rPr>
      </w:pPr>
      <w:r>
        <w:rPr>
          <w:rFonts w:hint="eastAsia"/>
          <w:sz w:val="20"/>
          <w:rtl/>
        </w:rPr>
        <w:t>לדעת</w:t>
      </w:r>
      <w:r>
        <w:rPr>
          <w:sz w:val="20"/>
          <w:rtl/>
        </w:rPr>
        <w:t xml:space="preserve"> </w:t>
      </w:r>
      <w:r>
        <w:rPr>
          <w:rFonts w:hint="eastAsia"/>
          <w:sz w:val="20"/>
          <w:rtl/>
        </w:rPr>
        <w:t>משרד</w:t>
      </w:r>
      <w:r>
        <w:rPr>
          <w:sz w:val="20"/>
          <w:rtl/>
        </w:rPr>
        <w:t xml:space="preserve"> </w:t>
      </w:r>
      <w:r>
        <w:rPr>
          <w:rFonts w:hint="eastAsia"/>
          <w:sz w:val="20"/>
          <w:rtl/>
        </w:rPr>
        <w:t>מבקר</w:t>
      </w:r>
      <w:r>
        <w:rPr>
          <w:sz w:val="20"/>
          <w:rtl/>
        </w:rPr>
        <w:t xml:space="preserve"> </w:t>
      </w:r>
      <w:r>
        <w:rPr>
          <w:rFonts w:hint="eastAsia"/>
          <w:sz w:val="20"/>
          <w:rtl/>
        </w:rPr>
        <w:t>המדינה</w:t>
      </w:r>
      <w:r>
        <w:rPr>
          <w:sz w:val="20"/>
          <w:rtl/>
        </w:rPr>
        <w:t xml:space="preserve">, </w:t>
      </w:r>
      <w:r>
        <w:rPr>
          <w:rFonts w:hint="eastAsia"/>
          <w:sz w:val="20"/>
          <w:rtl/>
        </w:rPr>
        <w:t>ה</w:t>
      </w:r>
      <w:r>
        <w:rPr>
          <w:rFonts w:hint="cs"/>
          <w:sz w:val="20"/>
          <w:rtl/>
        </w:rPr>
        <w:t>י</w:t>
      </w:r>
      <w:r>
        <w:rPr>
          <w:rFonts w:hint="eastAsia"/>
          <w:sz w:val="20"/>
          <w:rtl/>
        </w:rPr>
        <w:t>עדר</w:t>
      </w:r>
      <w:r>
        <w:rPr>
          <w:sz w:val="20"/>
          <w:rtl/>
        </w:rPr>
        <w:t xml:space="preserve"> </w:t>
      </w:r>
      <w:r>
        <w:rPr>
          <w:rFonts w:hint="eastAsia"/>
          <w:sz w:val="20"/>
          <w:rtl/>
        </w:rPr>
        <w:t>הכשרה</w:t>
      </w:r>
      <w:r>
        <w:rPr>
          <w:sz w:val="20"/>
          <w:rtl/>
        </w:rPr>
        <w:t xml:space="preserve"> </w:t>
      </w:r>
      <w:r>
        <w:rPr>
          <w:rFonts w:hint="eastAsia"/>
          <w:sz w:val="20"/>
          <w:rtl/>
        </w:rPr>
        <w:t>מקצועית</w:t>
      </w:r>
      <w:r>
        <w:rPr>
          <w:sz w:val="20"/>
          <w:rtl/>
        </w:rPr>
        <w:t xml:space="preserve"> </w:t>
      </w:r>
      <w:r>
        <w:rPr>
          <w:rFonts w:hint="cs"/>
          <w:sz w:val="20"/>
          <w:rtl/>
        </w:rPr>
        <w:t>בתחום</w:t>
      </w:r>
      <w:r>
        <w:rPr>
          <w:sz w:val="20"/>
          <w:rtl/>
        </w:rPr>
        <w:t xml:space="preserve"> </w:t>
      </w:r>
      <w:r>
        <w:rPr>
          <w:rFonts w:hint="eastAsia"/>
          <w:sz w:val="20"/>
          <w:rtl/>
        </w:rPr>
        <w:t>תחנות</w:t>
      </w:r>
      <w:r>
        <w:rPr>
          <w:sz w:val="20"/>
          <w:rtl/>
        </w:rPr>
        <w:t xml:space="preserve"> </w:t>
      </w:r>
      <w:r>
        <w:rPr>
          <w:rFonts w:hint="cs"/>
          <w:sz w:val="20"/>
          <w:rtl/>
        </w:rPr>
        <w:t>ה</w:t>
      </w:r>
      <w:r>
        <w:rPr>
          <w:rFonts w:hint="eastAsia"/>
          <w:sz w:val="20"/>
          <w:rtl/>
        </w:rPr>
        <w:t>דלק</w:t>
      </w:r>
      <w:r>
        <w:rPr>
          <w:sz w:val="20"/>
          <w:rtl/>
        </w:rPr>
        <w:t xml:space="preserve"> </w:t>
      </w:r>
      <w:r>
        <w:rPr>
          <w:rFonts w:hint="cs"/>
          <w:sz w:val="20"/>
          <w:rtl/>
        </w:rPr>
        <w:t>ה</w:t>
      </w:r>
      <w:r>
        <w:rPr>
          <w:rFonts w:hint="eastAsia"/>
          <w:sz w:val="20"/>
          <w:rtl/>
        </w:rPr>
        <w:t>פירטיות</w:t>
      </w:r>
      <w:r>
        <w:rPr>
          <w:sz w:val="20"/>
          <w:rtl/>
        </w:rPr>
        <w:t xml:space="preserve"> </w:t>
      </w:r>
      <w:r>
        <w:rPr>
          <w:rFonts w:hint="cs"/>
          <w:sz w:val="20"/>
          <w:rtl/>
        </w:rPr>
        <w:t xml:space="preserve">מוריד מיעילותן של פעולות הפיקוח והאכיפה נגד תחנות אלה. </w:t>
      </w:r>
      <w:r>
        <w:rPr>
          <w:rFonts w:hint="eastAsia"/>
          <w:sz w:val="20"/>
          <w:rtl/>
        </w:rPr>
        <w:t>על</w:t>
      </w:r>
      <w:r>
        <w:rPr>
          <w:sz w:val="20"/>
          <w:rtl/>
        </w:rPr>
        <w:t xml:space="preserve"> </w:t>
      </w:r>
      <w:r>
        <w:rPr>
          <w:rFonts w:hint="cs"/>
          <w:sz w:val="20"/>
          <w:rtl/>
        </w:rPr>
        <w:t xml:space="preserve">משרד האנרגיה </w:t>
      </w:r>
      <w:r>
        <w:rPr>
          <w:rFonts w:hint="eastAsia"/>
          <w:sz w:val="20"/>
          <w:rtl/>
        </w:rPr>
        <w:t>להכשיר</w:t>
      </w:r>
      <w:r>
        <w:rPr>
          <w:sz w:val="20"/>
          <w:rtl/>
        </w:rPr>
        <w:t xml:space="preserve"> </w:t>
      </w:r>
      <w:r>
        <w:rPr>
          <w:rFonts w:hint="eastAsia"/>
          <w:sz w:val="20"/>
          <w:rtl/>
        </w:rPr>
        <w:t>את</w:t>
      </w:r>
      <w:r>
        <w:rPr>
          <w:sz w:val="20"/>
          <w:rtl/>
        </w:rPr>
        <w:t xml:space="preserve"> </w:t>
      </w:r>
      <w:r>
        <w:rPr>
          <w:rFonts w:hint="cs"/>
          <w:sz w:val="20"/>
          <w:rtl/>
        </w:rPr>
        <w:t xml:space="preserve">עובדי אגף הפיקוח לאכיפה של </w:t>
      </w:r>
      <w:r>
        <w:rPr>
          <w:sz w:val="20"/>
          <w:rtl/>
        </w:rPr>
        <w:t>חוק משק הדלק</w:t>
      </w:r>
      <w:r>
        <w:rPr>
          <w:rFonts w:hint="cs"/>
          <w:sz w:val="20"/>
          <w:rtl/>
        </w:rPr>
        <w:t xml:space="preserve">. </w:t>
      </w:r>
    </w:p>
    <w:p w:rsidR="00000000">
      <w:pPr>
        <w:spacing w:before="180" w:after="120" w:line="230" w:lineRule="exact"/>
        <w:jc w:val="both"/>
        <w:rPr>
          <w:rFonts w:cs="FrankRuehl" w:hint="cs"/>
          <w:sz w:val="20"/>
          <w:szCs w:val="22"/>
          <w:rtl/>
        </w:rPr>
      </w:pPr>
      <w:r>
        <w:rPr>
          <w:rStyle w:val="7"/>
          <w:rFonts w:cs="FrankRuehl" w:hint="cs"/>
          <w:spacing w:val="0"/>
          <w:sz w:val="20"/>
          <w:szCs w:val="22"/>
          <w:rtl/>
        </w:rPr>
        <w:t>3.</w:t>
      </w:r>
      <w:r>
        <w:rPr>
          <w:rStyle w:val="7"/>
          <w:rFonts w:cs="FrankRuehl" w:hint="cs"/>
          <w:sz w:val="20"/>
          <w:szCs w:val="22"/>
          <w:rtl/>
        </w:rPr>
        <w:tab/>
        <w:t>נהלים</w:t>
      </w:r>
      <w:r>
        <w:rPr>
          <w:rStyle w:val="7"/>
          <w:rFonts w:cs="FrankRuehl"/>
          <w:sz w:val="20"/>
          <w:szCs w:val="22"/>
          <w:rtl/>
        </w:rPr>
        <w:t>:</w:t>
      </w:r>
      <w:r>
        <w:rPr>
          <w:rStyle w:val="7"/>
          <w:rFonts w:cs="FrankRuehl" w:hint="cs"/>
          <w:sz w:val="20"/>
          <w:szCs w:val="22"/>
          <w:rtl/>
        </w:rPr>
        <w:t xml:space="preserve"> </w:t>
      </w:r>
      <w:r>
        <w:rPr>
          <w:rFonts w:cs="FrankRuehl" w:hint="cs"/>
          <w:sz w:val="20"/>
          <w:szCs w:val="22"/>
          <w:rtl/>
        </w:rPr>
        <w:t>כדי שיהיה אפשר להוציא את חוק משק הדלק מן הכוח אל הפוע</w:t>
      </w:r>
      <w:r>
        <w:rPr>
          <w:rFonts w:cs="FrankRuehl" w:hint="cs"/>
          <w:sz w:val="20"/>
          <w:szCs w:val="22"/>
          <w:rtl/>
        </w:rPr>
        <w:t>ל, נדרשים נוהלי עבודה הקובעים את הפעולות שייעשו לשם ביצוע המשימות. נהלים כאלה אמורים לפרט את הצעדים שעל המפקחים לנקוט כדי לקבוע אם בוצעה עברה, את דרכי הפעולה לאכיפת החוק, ואת הפעולות הנדרשות להטלת עיצום כספי.</w:t>
      </w:r>
    </w:p>
    <w:p w:rsidR="00000000">
      <w:pPr>
        <w:spacing w:after="120" w:line="230" w:lineRule="exact"/>
        <w:jc w:val="both"/>
        <w:rPr>
          <w:rFonts w:cs="FrankRuehl" w:hint="cs"/>
          <w:sz w:val="20"/>
          <w:szCs w:val="22"/>
          <w:rtl/>
        </w:rPr>
      </w:pPr>
      <w:r>
        <w:rPr>
          <w:rFonts w:cs="FrankRuehl" w:hint="cs"/>
          <w:sz w:val="20"/>
          <w:szCs w:val="22"/>
          <w:rtl/>
        </w:rPr>
        <w:t>הביקורת העלתה כי משרד האנרגיה</w:t>
      </w:r>
      <w:r>
        <w:rPr>
          <w:rFonts w:cs="FrankRuehl"/>
          <w:sz w:val="20"/>
          <w:szCs w:val="22"/>
          <w:rtl/>
        </w:rPr>
        <w:t xml:space="preserve"> </w:t>
      </w:r>
      <w:r>
        <w:rPr>
          <w:rFonts w:cs="FrankRuehl" w:hint="cs"/>
          <w:sz w:val="20"/>
          <w:szCs w:val="22"/>
          <w:rtl/>
        </w:rPr>
        <w:t>לא קבע</w:t>
      </w:r>
      <w:r>
        <w:rPr>
          <w:rFonts w:cs="FrankRuehl"/>
          <w:sz w:val="20"/>
          <w:szCs w:val="22"/>
          <w:rtl/>
        </w:rPr>
        <w:t xml:space="preserve"> </w:t>
      </w:r>
      <w:r>
        <w:rPr>
          <w:rFonts w:cs="FrankRuehl" w:hint="eastAsia"/>
          <w:sz w:val="20"/>
          <w:szCs w:val="22"/>
          <w:rtl/>
        </w:rPr>
        <w:t>נוהל</w:t>
      </w:r>
      <w:r>
        <w:rPr>
          <w:rFonts w:cs="FrankRuehl"/>
          <w:sz w:val="20"/>
          <w:szCs w:val="22"/>
          <w:rtl/>
        </w:rPr>
        <w:t xml:space="preserve"> </w:t>
      </w:r>
      <w:r>
        <w:rPr>
          <w:rFonts w:cs="FrankRuehl" w:hint="cs"/>
          <w:sz w:val="20"/>
          <w:szCs w:val="22"/>
          <w:rtl/>
        </w:rPr>
        <w:t>עבודה</w:t>
      </w:r>
      <w:r>
        <w:rPr>
          <w:rFonts w:cs="FrankRuehl" w:hint="cs"/>
          <w:sz w:val="20"/>
          <w:szCs w:val="22"/>
          <w:rtl/>
        </w:rPr>
        <w:t xml:space="preserve"> לאכיפת </w:t>
      </w:r>
      <w:r>
        <w:rPr>
          <w:rFonts w:cs="FrankRuehl" w:hint="eastAsia"/>
          <w:sz w:val="20"/>
          <w:szCs w:val="22"/>
          <w:rtl/>
        </w:rPr>
        <w:t>חוק</w:t>
      </w:r>
      <w:r>
        <w:rPr>
          <w:rFonts w:cs="FrankRuehl"/>
          <w:sz w:val="20"/>
          <w:szCs w:val="22"/>
          <w:rtl/>
        </w:rPr>
        <w:t xml:space="preserve"> </w:t>
      </w:r>
      <w:r>
        <w:rPr>
          <w:rFonts w:cs="FrankRuehl" w:hint="eastAsia"/>
          <w:sz w:val="20"/>
          <w:szCs w:val="22"/>
          <w:rtl/>
        </w:rPr>
        <w:t>משק</w:t>
      </w:r>
      <w:r>
        <w:rPr>
          <w:rFonts w:cs="FrankRuehl"/>
          <w:sz w:val="20"/>
          <w:szCs w:val="22"/>
          <w:rtl/>
        </w:rPr>
        <w:t xml:space="preserve"> </w:t>
      </w:r>
      <w:r>
        <w:rPr>
          <w:rFonts w:cs="FrankRuehl" w:hint="eastAsia"/>
          <w:sz w:val="20"/>
          <w:szCs w:val="22"/>
          <w:rtl/>
        </w:rPr>
        <w:t>הדלק</w:t>
      </w:r>
      <w:r>
        <w:rPr>
          <w:rFonts w:cs="FrankRuehl"/>
          <w:sz w:val="20"/>
          <w:szCs w:val="22"/>
          <w:rtl/>
        </w:rPr>
        <w:t xml:space="preserve">, </w:t>
      </w:r>
      <w:r>
        <w:rPr>
          <w:rFonts w:cs="FrankRuehl" w:hint="eastAsia"/>
          <w:sz w:val="20"/>
          <w:szCs w:val="22"/>
          <w:rtl/>
        </w:rPr>
        <w:t>אף</w:t>
      </w:r>
      <w:r>
        <w:rPr>
          <w:rFonts w:cs="FrankRuehl"/>
          <w:sz w:val="20"/>
          <w:szCs w:val="22"/>
          <w:rtl/>
        </w:rPr>
        <w:t xml:space="preserve"> </w:t>
      </w:r>
      <w:r>
        <w:rPr>
          <w:rFonts w:cs="FrankRuehl" w:hint="cs"/>
          <w:sz w:val="20"/>
          <w:szCs w:val="22"/>
          <w:rtl/>
        </w:rPr>
        <w:t xml:space="preserve">שהחוק </w:t>
      </w:r>
      <w:r>
        <w:rPr>
          <w:rFonts w:cs="FrankRuehl" w:hint="eastAsia"/>
          <w:sz w:val="20"/>
          <w:szCs w:val="22"/>
          <w:rtl/>
        </w:rPr>
        <w:t>נחקק</w:t>
      </w:r>
      <w:r>
        <w:rPr>
          <w:rFonts w:cs="FrankRuehl"/>
          <w:sz w:val="20"/>
          <w:szCs w:val="22"/>
          <w:rtl/>
        </w:rPr>
        <w:t xml:space="preserve"> </w:t>
      </w:r>
      <w:r>
        <w:rPr>
          <w:rFonts w:cs="FrankRuehl" w:hint="cs"/>
          <w:sz w:val="20"/>
          <w:szCs w:val="22"/>
          <w:rtl/>
        </w:rPr>
        <w:t xml:space="preserve">שבע שנים לפני מועד הביקורת, לא נקבעו הפעולות שעל פקחי המשרד לבצע כשהם מגלים תחנת דלק פירטית, ואין נוהל להטלת עיצום כספי בהתאם לחוק. </w:t>
      </w:r>
    </w:p>
    <w:p w:rsidR="00000000">
      <w:pPr>
        <w:spacing w:after="120" w:line="230" w:lineRule="exact"/>
        <w:jc w:val="both"/>
        <w:rPr>
          <w:rFonts w:cs="FrankRuehl" w:hint="cs"/>
          <w:sz w:val="20"/>
          <w:szCs w:val="22"/>
          <w:rtl/>
        </w:rPr>
      </w:pPr>
      <w:r>
        <w:rPr>
          <w:rFonts w:cs="FrankRuehl" w:hint="cs"/>
          <w:sz w:val="20"/>
          <w:szCs w:val="22"/>
          <w:rtl/>
        </w:rPr>
        <w:t xml:space="preserve">בתשובתו מסר משרד האנרגיה כי את הפעולות להטלת עיצומים כספיים ולגבייתם הוא ביצע בלי נוהל </w:t>
      </w:r>
      <w:r>
        <w:rPr>
          <w:rFonts w:cs="FrankRuehl" w:hint="cs"/>
          <w:sz w:val="20"/>
          <w:szCs w:val="22"/>
          <w:rtl/>
        </w:rPr>
        <w:t xml:space="preserve">כתוב. </w:t>
      </w:r>
    </w:p>
    <w:p w:rsidR="00000000">
      <w:pPr>
        <w:spacing w:after="120" w:line="230" w:lineRule="exact"/>
        <w:jc w:val="both"/>
        <w:rPr>
          <w:rFonts w:cs="FrankRuehl" w:hint="cs"/>
          <w:sz w:val="20"/>
          <w:szCs w:val="22"/>
          <w:rtl/>
        </w:rPr>
      </w:pPr>
      <w:r>
        <w:rPr>
          <w:rFonts w:cs="FrankRuehl" w:hint="cs"/>
          <w:sz w:val="20"/>
          <w:szCs w:val="22"/>
          <w:rtl/>
        </w:rPr>
        <w:t>משרד מבקר המדינה מעיר למשרד האנרגיה כי במצב המתואר לעיל, שבו לא קיים נוהל עבודה והכשרת העובדים לוקה בחסר, יש קושי ליישם את החוק ולוודא שהטיפול של פקחי האגף בתחנות הדלק הפירטיות אחיד ונעשה כראוי. לפיכך על המשרד להכין נוהלי עבודה בהקדם ולפעול לפיהם.</w:t>
      </w:r>
    </w:p>
    <w:p w:rsidR="00000000">
      <w:pPr>
        <w:spacing w:after="120" w:line="230" w:lineRule="exact"/>
        <w:ind w:hanging="60"/>
        <w:jc w:val="both"/>
        <w:rPr>
          <w:rFonts w:cs="FrankRuehl" w:hint="cs"/>
          <w:sz w:val="20"/>
          <w:szCs w:val="22"/>
          <w:rtl/>
        </w:rPr>
      </w:pPr>
    </w:p>
    <w:p w:rsidR="00000000">
      <w:pPr>
        <w:spacing w:after="120" w:line="230" w:lineRule="exact"/>
        <w:ind w:hanging="60"/>
        <w:jc w:val="both"/>
        <w:rPr>
          <w:rFonts w:cs="FrankRuehl" w:hint="cs"/>
          <w:sz w:val="20"/>
          <w:szCs w:val="22"/>
          <w:rtl/>
        </w:rPr>
      </w:pPr>
    </w:p>
    <w:p w:rsidR="00000000">
      <w:pPr>
        <w:pStyle w:val="KOT4"/>
        <w:rPr>
          <w:rFonts w:hint="cs"/>
        </w:rPr>
      </w:pPr>
      <w:r>
        <w:rPr>
          <w:rFonts w:hint="cs"/>
          <w:rtl/>
        </w:rPr>
        <w:t>פעולות פיקוח בלתי מתואמות</w:t>
      </w:r>
    </w:p>
    <w:p w:rsidR="00000000">
      <w:pPr>
        <w:spacing w:after="120" w:line="230" w:lineRule="exact"/>
        <w:jc w:val="both"/>
        <w:rPr>
          <w:rFonts w:cs="FrankRuehl" w:hint="cs"/>
          <w:sz w:val="20"/>
          <w:szCs w:val="22"/>
          <w:rtl/>
        </w:rPr>
      </w:pPr>
      <w:r>
        <w:rPr>
          <w:rFonts w:cs="FrankRuehl" w:hint="cs"/>
          <w:sz w:val="20"/>
          <w:szCs w:val="22"/>
          <w:rtl/>
        </w:rPr>
        <w:t>1.</w:t>
      </w:r>
      <w:r>
        <w:rPr>
          <w:rFonts w:cs="FrankRuehl" w:hint="cs"/>
          <w:b/>
          <w:bCs/>
          <w:sz w:val="20"/>
          <w:szCs w:val="22"/>
          <w:rtl/>
        </w:rPr>
        <w:tab/>
      </w:r>
      <w:r>
        <w:rPr>
          <w:rFonts w:cs="FrankRuehl" w:hint="cs"/>
          <w:sz w:val="20"/>
          <w:szCs w:val="22"/>
          <w:rtl/>
        </w:rPr>
        <w:t xml:space="preserve">משרד האנרגיה, המשרד להגנת הסביבה ומשטרת ישראל מפעילים, כל אחד בנפרד, אגפי פיקוח המבצעים סיורים בשטח. רבות מתחנות הדלק הפירטיות נמצאות במקומות מרכזיים ומאוכלסים, ולכן קל יחסית לגלותן. </w:t>
      </w:r>
    </w:p>
    <w:p w:rsidR="00000000">
      <w:pPr>
        <w:tabs>
          <w:tab w:val="left" w:pos="510"/>
        </w:tabs>
        <w:spacing w:after="120" w:line="230" w:lineRule="exact"/>
        <w:jc w:val="both"/>
        <w:rPr>
          <w:rFonts w:cs="FrankRuehl" w:hint="cs"/>
          <w:sz w:val="20"/>
          <w:szCs w:val="22"/>
          <w:rtl/>
        </w:rPr>
      </w:pPr>
      <w:r>
        <w:rPr>
          <w:rFonts w:cs="FrankRuehl" w:hint="cs"/>
          <w:sz w:val="20"/>
          <w:szCs w:val="22"/>
          <w:rtl/>
        </w:rPr>
        <w:t>(א)</w:t>
      </w:r>
      <w:r>
        <w:rPr>
          <w:rFonts w:cs="FrankRuehl" w:hint="cs"/>
          <w:sz w:val="20"/>
          <w:szCs w:val="22"/>
          <w:rtl/>
        </w:rPr>
        <w:tab/>
        <w:t>המרחבים של משרד האנרגיה, שהם יחידות הש</w:t>
      </w:r>
      <w:r>
        <w:rPr>
          <w:rFonts w:cs="FrankRuehl" w:hint="cs"/>
          <w:sz w:val="20"/>
          <w:szCs w:val="22"/>
          <w:rtl/>
        </w:rPr>
        <w:t>דה שלו, נחשפים למידע על תחנות דלק פירטיות בישיבות צוות אכיפה מצומצם</w:t>
      </w:r>
      <w:r>
        <w:rPr>
          <w:rStyle w:val="FootnoteReference"/>
          <w:rFonts w:cs="FrankRuehl"/>
          <w:sz w:val="20"/>
          <w:szCs w:val="22"/>
          <w:rtl/>
        </w:rPr>
        <w:footnoteReference w:id="27"/>
      </w:r>
      <w:r>
        <w:rPr>
          <w:rFonts w:cs="FrankRuehl" w:hint="cs"/>
          <w:sz w:val="20"/>
          <w:szCs w:val="22"/>
          <w:rtl/>
        </w:rPr>
        <w:t xml:space="preserve">. אגף הפיקוח נחשף למידע על תחנות פירטיות בסיורים שהוא מקיים לאכיפת החוקים שבאחריותו. אולם, כפי שצוין בדיון שהתקיים במשרד במאי 2010, אין בנמצא מיפוי של תחנות דלק פירטיות. </w:t>
      </w:r>
    </w:p>
    <w:p w:rsidR="00000000">
      <w:pPr>
        <w:tabs>
          <w:tab w:val="left" w:pos="510"/>
        </w:tabs>
        <w:spacing w:after="120" w:line="230" w:lineRule="exact"/>
        <w:jc w:val="both"/>
        <w:rPr>
          <w:rFonts w:cs="FrankRuehl" w:hint="cs"/>
          <w:b/>
          <w:bCs/>
          <w:sz w:val="20"/>
          <w:szCs w:val="22"/>
          <w:rtl/>
        </w:rPr>
      </w:pPr>
      <w:r>
        <w:rPr>
          <w:rFonts w:cs="FrankRuehl" w:hint="cs"/>
          <w:sz w:val="20"/>
          <w:szCs w:val="22"/>
          <w:rtl/>
        </w:rPr>
        <w:t>(ב)</w:t>
      </w:r>
      <w:r>
        <w:rPr>
          <w:rFonts w:cs="FrankRuehl" w:hint="cs"/>
          <w:sz w:val="20"/>
          <w:szCs w:val="22"/>
          <w:rtl/>
        </w:rPr>
        <w:tab/>
        <w:t>המשטרה הירוקה</w:t>
      </w:r>
      <w:r>
        <w:rPr>
          <w:rFonts w:cs="FrankRuehl" w:hint="cs"/>
          <w:sz w:val="20"/>
          <w:szCs w:val="22"/>
          <w:rtl/>
        </w:rPr>
        <w:t xml:space="preserve">, שהיא זרוע האכיפה והפיקוח העיקרית של המשרד להגנת הסביבה, מקיימת גם היא סיורים בשטח. אף שבמהלך העבודה השוטפת אנשיה מגלים תחנות דלק פירטיות, הנהלת המשרד להגנת הסביבה אינה מבקשת מהם לרכז את המידע ולהעבירו אליה. </w:t>
      </w:r>
    </w:p>
    <w:p w:rsidR="00000000">
      <w:pPr>
        <w:tabs>
          <w:tab w:val="left" w:pos="510"/>
        </w:tabs>
        <w:spacing w:after="240" w:line="230" w:lineRule="exact"/>
        <w:jc w:val="both"/>
        <w:rPr>
          <w:rFonts w:cs="FrankRuehl" w:hint="cs"/>
          <w:sz w:val="20"/>
          <w:szCs w:val="22"/>
          <w:rtl/>
        </w:rPr>
      </w:pPr>
      <w:r>
        <w:rPr>
          <w:rFonts w:cs="FrankRuehl" w:hint="cs"/>
          <w:sz w:val="20"/>
          <w:szCs w:val="22"/>
          <w:rtl/>
        </w:rPr>
        <w:t>(ג)</w:t>
      </w:r>
      <w:r>
        <w:rPr>
          <w:rFonts w:cs="FrankRuehl" w:hint="cs"/>
          <w:sz w:val="20"/>
          <w:szCs w:val="22"/>
          <w:rtl/>
        </w:rPr>
        <w:tab/>
        <w:t xml:space="preserve">בשנת 2012 ביצעה </w:t>
      </w:r>
      <w:r>
        <w:rPr>
          <w:rFonts w:cs="FrankRuehl"/>
          <w:sz w:val="20"/>
          <w:szCs w:val="22"/>
          <w:rtl/>
        </w:rPr>
        <w:t>משטר</w:t>
      </w:r>
      <w:r>
        <w:rPr>
          <w:rFonts w:cs="FrankRuehl" w:hint="cs"/>
          <w:sz w:val="20"/>
          <w:szCs w:val="22"/>
          <w:rtl/>
        </w:rPr>
        <w:t>ת ישראל</w:t>
      </w:r>
      <w:r>
        <w:rPr>
          <w:rFonts w:cs="FrankRuehl"/>
          <w:sz w:val="20"/>
          <w:szCs w:val="22"/>
          <w:rtl/>
        </w:rPr>
        <w:t xml:space="preserve"> </w:t>
      </w:r>
      <w:r>
        <w:rPr>
          <w:rFonts w:cs="FrankRuehl" w:hint="cs"/>
          <w:sz w:val="20"/>
          <w:szCs w:val="22"/>
          <w:rtl/>
        </w:rPr>
        <w:t>סקר על תחנות ד</w:t>
      </w:r>
      <w:r>
        <w:rPr>
          <w:rFonts w:cs="FrankRuehl" w:hint="cs"/>
          <w:sz w:val="20"/>
          <w:szCs w:val="22"/>
          <w:rtl/>
        </w:rPr>
        <w:t>לק פירטיות במחוז הדרום. המידע לא הועמד לרשות גופי הפיקוח האחרים</w:t>
      </w:r>
      <w:r>
        <w:rPr>
          <w:rStyle w:val="FootnoteReference"/>
          <w:rFonts w:cs="FrankRuehl"/>
          <w:sz w:val="20"/>
          <w:szCs w:val="22"/>
          <w:rtl/>
        </w:rPr>
        <w:footnoteReference w:id="28"/>
      </w:r>
      <w:r>
        <w:rPr>
          <w:rFonts w:cs="FrankRuehl" w:hint="cs"/>
          <w:sz w:val="20"/>
          <w:szCs w:val="22"/>
          <w:rtl/>
        </w:rPr>
        <w:t>. במכתב שהעבירה המשטרה למשרד מבקר המדינה באפריל 2012 נכתב כי בתחנות המשטרה הטריטוריאליות</w:t>
      </w:r>
      <w:r>
        <w:rPr>
          <w:rStyle w:val="FootnoteReference"/>
          <w:rFonts w:cs="FrankRuehl"/>
          <w:sz w:val="20"/>
          <w:szCs w:val="22"/>
          <w:rtl/>
        </w:rPr>
        <w:footnoteReference w:id="29"/>
      </w:r>
      <w:r>
        <w:rPr>
          <w:rFonts w:cs="FrankRuehl" w:hint="cs"/>
          <w:sz w:val="20"/>
          <w:szCs w:val="22"/>
          <w:rtl/>
        </w:rPr>
        <w:t xml:space="preserve"> קיימת תמונת מצב מדויקת לגבי תחנות דלק פירטיות הנמצאות בתחום פעילותן. בדיקת משרד מבקר המדינה העלתה כי ב</w:t>
      </w:r>
      <w:r>
        <w:rPr>
          <w:rFonts w:cs="FrankRuehl" w:hint="cs"/>
          <w:sz w:val="20"/>
          <w:szCs w:val="22"/>
          <w:rtl/>
        </w:rPr>
        <w:t>מטה המשטרה לא נמצאו נתונים על מספרן ומיקומן של תחנות הדלק הפירטיות.</w:t>
      </w:r>
    </w:p>
    <w:p w:rsidR="00000000">
      <w:pPr>
        <w:pStyle w:val="RESHET"/>
        <w:keepLines/>
        <w:rPr>
          <w:rFonts w:hint="cs"/>
          <w:sz w:val="20"/>
          <w:rtl/>
        </w:rPr>
      </w:pPr>
      <w:r>
        <w:rPr>
          <w:rFonts w:hint="cs"/>
          <w:sz w:val="20"/>
          <w:rtl/>
        </w:rPr>
        <w:t>לדעת משרד מבקר המדינה, יש לייעל את זרימת המידע מיחידות השדה והמחוזות למטות במשרד האנרגיה, במשרד להגנת הסביבה ובמשטרת ישראל, במטרה להציג בפני מקבלי ההחלטות תמונת מצב מעודכנת על תחנות הדלק ה</w:t>
      </w:r>
      <w:r>
        <w:rPr>
          <w:rFonts w:hint="cs"/>
          <w:sz w:val="20"/>
          <w:rtl/>
        </w:rPr>
        <w:t>פירטיות, אשר תסייע להם לקבוע תכנית פעולה למיגור תופעת התחנות הפירטיות.</w:t>
      </w:r>
    </w:p>
    <w:p w:rsidR="00000000">
      <w:pPr>
        <w:spacing w:before="180" w:after="120" w:line="230" w:lineRule="exact"/>
        <w:jc w:val="both"/>
        <w:rPr>
          <w:rFonts w:cs="FrankRuehl" w:hint="cs"/>
          <w:sz w:val="20"/>
          <w:szCs w:val="22"/>
          <w:rtl/>
        </w:rPr>
      </w:pPr>
      <w:r>
        <w:rPr>
          <w:rFonts w:cs="FrankRuehl" w:hint="cs"/>
          <w:sz w:val="20"/>
          <w:szCs w:val="22"/>
          <w:rtl/>
        </w:rPr>
        <w:t>2.</w:t>
      </w:r>
      <w:r>
        <w:rPr>
          <w:rFonts w:cs="FrankRuehl" w:hint="cs"/>
          <w:sz w:val="20"/>
          <w:szCs w:val="22"/>
          <w:rtl/>
        </w:rPr>
        <w:tab/>
        <w:t>ה</w:t>
      </w:r>
      <w:r>
        <w:rPr>
          <w:rFonts w:cs="FrankRuehl"/>
          <w:sz w:val="20"/>
          <w:szCs w:val="22"/>
          <w:rtl/>
        </w:rPr>
        <w:t xml:space="preserve">נציבות </w:t>
      </w:r>
      <w:r>
        <w:rPr>
          <w:rFonts w:cs="FrankRuehl" w:hint="cs"/>
          <w:sz w:val="20"/>
          <w:szCs w:val="22"/>
          <w:rtl/>
        </w:rPr>
        <w:t>ל</w:t>
      </w:r>
      <w:r>
        <w:rPr>
          <w:rFonts w:cs="FrankRuehl"/>
          <w:sz w:val="20"/>
          <w:szCs w:val="22"/>
          <w:rtl/>
        </w:rPr>
        <w:t>כבאות והצלה</w:t>
      </w:r>
      <w:r>
        <w:rPr>
          <w:rFonts w:cs="FrankRuehl" w:hint="cs"/>
          <w:sz w:val="20"/>
          <w:szCs w:val="22"/>
          <w:rtl/>
        </w:rPr>
        <w:t xml:space="preserve"> היא יחידת סמך של ה</w:t>
      </w:r>
      <w:r>
        <w:rPr>
          <w:rFonts w:cs="FrankRuehl"/>
          <w:sz w:val="20"/>
          <w:szCs w:val="22"/>
          <w:rtl/>
        </w:rPr>
        <w:t xml:space="preserve">משרד לביטחון הפנים, </w:t>
      </w:r>
      <w:r>
        <w:rPr>
          <w:rFonts w:cs="FrankRuehl" w:hint="cs"/>
          <w:sz w:val="20"/>
          <w:szCs w:val="22"/>
          <w:rtl/>
        </w:rPr>
        <w:t xml:space="preserve">ותפקידה הוא </w:t>
      </w:r>
      <w:r>
        <w:rPr>
          <w:rFonts w:cs="FrankRuehl"/>
          <w:sz w:val="20"/>
          <w:szCs w:val="22"/>
          <w:rtl/>
        </w:rPr>
        <w:t xml:space="preserve">להנחות את שירותי הכבאות וההצלה ולפקח עליהם. שירותי הכבאות </w:t>
      </w:r>
      <w:r>
        <w:rPr>
          <w:rFonts w:cs="FrankRuehl" w:hint="cs"/>
          <w:sz w:val="20"/>
          <w:szCs w:val="22"/>
          <w:rtl/>
        </w:rPr>
        <w:t xml:space="preserve">וההצלה </w:t>
      </w:r>
      <w:r>
        <w:rPr>
          <w:rFonts w:cs="FrankRuehl"/>
          <w:sz w:val="20"/>
          <w:szCs w:val="22"/>
          <w:rtl/>
        </w:rPr>
        <w:t>פועלים על פי חוק שירותי הכבאות, התשי"ט-1959. ה</w:t>
      </w:r>
      <w:r>
        <w:rPr>
          <w:rFonts w:cs="FrankRuehl"/>
          <w:sz w:val="20"/>
          <w:szCs w:val="22"/>
          <w:rtl/>
        </w:rPr>
        <w:t xml:space="preserve">שר לביטחון הפנים מופקד על ביצוע החוק </w:t>
      </w:r>
      <w:r>
        <w:rPr>
          <w:rFonts w:cs="FrankRuehl" w:hint="cs"/>
          <w:sz w:val="20"/>
          <w:szCs w:val="22"/>
          <w:rtl/>
        </w:rPr>
        <w:t xml:space="preserve">והוא אצל את </w:t>
      </w:r>
      <w:r>
        <w:rPr>
          <w:rFonts w:cs="FrankRuehl"/>
          <w:sz w:val="20"/>
          <w:szCs w:val="22"/>
          <w:rtl/>
        </w:rPr>
        <w:t>סמכויותיו לנציב</w:t>
      </w:r>
      <w:r>
        <w:rPr>
          <w:rFonts w:cs="FrankRuehl" w:hint="cs"/>
          <w:sz w:val="20"/>
          <w:szCs w:val="22"/>
          <w:rtl/>
        </w:rPr>
        <w:t xml:space="preserve"> </w:t>
      </w:r>
      <w:r>
        <w:rPr>
          <w:rFonts w:cs="FrankRuehl"/>
          <w:sz w:val="20"/>
          <w:szCs w:val="22"/>
          <w:rtl/>
        </w:rPr>
        <w:t xml:space="preserve">כבאות והצלה. </w:t>
      </w:r>
    </w:p>
    <w:p w:rsidR="00000000">
      <w:pPr>
        <w:spacing w:after="120" w:line="230" w:lineRule="exact"/>
        <w:jc w:val="both"/>
        <w:rPr>
          <w:rFonts w:cs="FrankRuehl" w:hint="cs"/>
          <w:sz w:val="20"/>
          <w:szCs w:val="22"/>
          <w:rtl/>
        </w:rPr>
      </w:pPr>
      <w:r>
        <w:rPr>
          <w:rFonts w:cs="FrankRuehl"/>
          <w:sz w:val="20"/>
          <w:szCs w:val="22"/>
          <w:rtl/>
        </w:rPr>
        <w:t xml:space="preserve">בתחנות הדלק טמון פוטנציאל בערה גבוה בשל סוגיהם וכמותם של מוצרי הדלק המאוחסנים בהן. </w:t>
      </w:r>
      <w:r>
        <w:rPr>
          <w:rFonts w:cs="FrankRuehl" w:hint="cs"/>
          <w:sz w:val="20"/>
          <w:szCs w:val="22"/>
          <w:rtl/>
        </w:rPr>
        <w:t xml:space="preserve">לרוב, </w:t>
      </w:r>
      <w:r>
        <w:rPr>
          <w:rFonts w:cs="FrankRuehl"/>
          <w:sz w:val="20"/>
          <w:szCs w:val="22"/>
          <w:rtl/>
        </w:rPr>
        <w:t>בתחנות הפירטיות סכנת הדלקה גדולה</w:t>
      </w:r>
      <w:r>
        <w:rPr>
          <w:rFonts w:cs="FrankRuehl" w:hint="cs"/>
          <w:sz w:val="20"/>
          <w:szCs w:val="22"/>
          <w:rtl/>
        </w:rPr>
        <w:t xml:space="preserve"> יותר</w:t>
      </w:r>
      <w:r>
        <w:rPr>
          <w:rFonts w:cs="FrankRuehl"/>
          <w:sz w:val="20"/>
          <w:szCs w:val="22"/>
          <w:rtl/>
        </w:rPr>
        <w:t xml:space="preserve">, משום </w:t>
      </w:r>
      <w:r>
        <w:rPr>
          <w:rFonts w:cs="FrankRuehl" w:hint="cs"/>
          <w:sz w:val="20"/>
          <w:szCs w:val="22"/>
          <w:rtl/>
        </w:rPr>
        <w:t xml:space="preserve">שבדרך כלל </w:t>
      </w:r>
      <w:r>
        <w:rPr>
          <w:rFonts w:cs="FrankRuehl"/>
          <w:sz w:val="20"/>
          <w:szCs w:val="22"/>
          <w:rtl/>
        </w:rPr>
        <w:t xml:space="preserve">הדלק מאוחסן </w:t>
      </w:r>
      <w:r>
        <w:rPr>
          <w:rFonts w:cs="FrankRuehl" w:hint="cs"/>
          <w:sz w:val="20"/>
          <w:szCs w:val="22"/>
          <w:rtl/>
        </w:rPr>
        <w:t xml:space="preserve">בהן </w:t>
      </w:r>
      <w:r>
        <w:rPr>
          <w:rFonts w:cs="FrankRuehl"/>
          <w:sz w:val="20"/>
          <w:szCs w:val="22"/>
          <w:rtl/>
        </w:rPr>
        <w:t>במכלים עיליים (על-</w:t>
      </w:r>
      <w:r>
        <w:rPr>
          <w:rFonts w:cs="FrankRuehl"/>
          <w:sz w:val="20"/>
          <w:szCs w:val="22"/>
          <w:rtl/>
        </w:rPr>
        <w:t xml:space="preserve">קרקעיים), שחלקם אינם מותקנים </w:t>
      </w:r>
      <w:r>
        <w:rPr>
          <w:rFonts w:cs="FrankRuehl" w:hint="cs"/>
          <w:sz w:val="20"/>
          <w:szCs w:val="22"/>
          <w:rtl/>
        </w:rPr>
        <w:t>על פי</w:t>
      </w:r>
      <w:r>
        <w:rPr>
          <w:rFonts w:cs="FrankRuehl"/>
          <w:sz w:val="20"/>
          <w:szCs w:val="22"/>
          <w:rtl/>
        </w:rPr>
        <w:t xml:space="preserve"> הוראות הבטיחות.</w:t>
      </w:r>
      <w:r>
        <w:rPr>
          <w:rFonts w:cs="FrankRuehl" w:hint="cs"/>
          <w:sz w:val="20"/>
          <w:szCs w:val="22"/>
          <w:rtl/>
        </w:rPr>
        <w:t xml:space="preserve"> </w:t>
      </w:r>
    </w:p>
    <w:p w:rsidR="00000000">
      <w:pPr>
        <w:spacing w:after="120" w:line="230" w:lineRule="exact"/>
        <w:jc w:val="both"/>
        <w:rPr>
          <w:rFonts w:ascii="Arial" w:hAnsi="Arial" w:cs="Miriam" w:hint="cs"/>
          <w:sz w:val="13"/>
          <w:szCs w:val="16"/>
          <w:rtl/>
        </w:rPr>
      </w:pPr>
      <w:r>
        <w:rPr>
          <w:rFonts w:cs="FrankRuehl"/>
          <w:sz w:val="20"/>
          <w:szCs w:val="22"/>
          <w:rtl/>
        </w:rPr>
        <w:t>הוראות שפרסם נציב כבאות</w:t>
      </w:r>
      <w:r>
        <w:rPr>
          <w:rFonts w:cs="FrankRuehl" w:hint="cs"/>
          <w:sz w:val="20"/>
          <w:szCs w:val="22"/>
          <w:rtl/>
        </w:rPr>
        <w:t xml:space="preserve"> והצלה</w:t>
      </w:r>
      <w:r>
        <w:rPr>
          <w:rFonts w:cs="FrankRuehl"/>
          <w:sz w:val="20"/>
          <w:szCs w:val="22"/>
          <w:rtl/>
        </w:rPr>
        <w:t xml:space="preserve"> קובעות את סדרי בטיחות האש ואת ציוד הכיבוי הנדרש במקומות שונים ובהם תחנות דלק.</w:t>
      </w:r>
      <w:r>
        <w:rPr>
          <w:rFonts w:cs="FrankRuehl" w:hint="cs"/>
          <w:sz w:val="20"/>
          <w:szCs w:val="22"/>
          <w:rtl/>
        </w:rPr>
        <w:t xml:space="preserve"> שירותי הכבאות וההצלה נותנים את האישור לתחנות הדלק לצורך קבלת רישיון עסק.</w:t>
      </w:r>
    </w:p>
    <w:p w:rsidR="00000000">
      <w:pPr>
        <w:spacing w:after="120" w:line="230" w:lineRule="exact"/>
        <w:jc w:val="both"/>
        <w:rPr>
          <w:rFonts w:cs="FrankRuehl" w:hint="cs"/>
          <w:sz w:val="20"/>
          <w:szCs w:val="22"/>
          <w:rtl/>
        </w:rPr>
      </w:pPr>
      <w:r>
        <w:rPr>
          <w:rFonts w:cs="FrankRuehl" w:hint="cs"/>
          <w:sz w:val="20"/>
          <w:szCs w:val="22"/>
          <w:rtl/>
        </w:rPr>
        <w:t xml:space="preserve">בדצמבר 1993 פרסם </w:t>
      </w:r>
      <w:r>
        <w:rPr>
          <w:rFonts w:cs="FrankRuehl"/>
          <w:sz w:val="20"/>
          <w:szCs w:val="22"/>
          <w:rtl/>
        </w:rPr>
        <w:t>מפקח כ</w:t>
      </w:r>
      <w:r>
        <w:rPr>
          <w:rFonts w:cs="FrankRuehl"/>
          <w:sz w:val="20"/>
          <w:szCs w:val="22"/>
          <w:rtl/>
        </w:rPr>
        <w:t>באות ראשי (להלן - מכ"ר)</w:t>
      </w:r>
      <w:r>
        <w:rPr>
          <w:rStyle w:val="FootnoteReference"/>
          <w:rFonts w:cs="FrankRuehl"/>
          <w:sz w:val="20"/>
          <w:szCs w:val="22"/>
          <w:rtl/>
        </w:rPr>
        <w:footnoteReference w:id="30"/>
      </w:r>
      <w:r>
        <w:rPr>
          <w:rFonts w:cs="FrankRuehl" w:hint="cs"/>
          <w:sz w:val="20"/>
          <w:szCs w:val="22"/>
          <w:rtl/>
        </w:rPr>
        <w:t xml:space="preserve"> הוראה</w:t>
      </w:r>
      <w:r>
        <w:rPr>
          <w:rStyle w:val="FootnoteReference"/>
          <w:rFonts w:cs="FrankRuehl"/>
          <w:sz w:val="20"/>
          <w:szCs w:val="22"/>
          <w:rtl/>
        </w:rPr>
        <w:footnoteReference w:id="31"/>
      </w:r>
      <w:r>
        <w:rPr>
          <w:rFonts w:cs="FrankRuehl" w:hint="cs"/>
          <w:sz w:val="20"/>
          <w:szCs w:val="22"/>
          <w:rtl/>
        </w:rPr>
        <w:t xml:space="preserve"> שעניינה "אמצעי כיבוי בתחנות תדלוק", במטרה "לקבוע דרישות אחידות של שירותי הכבאות לסידורי בטיחות אש ומניעת דליקות בתחנות התדלוק הקיימות והחדשות". ההוראה עודכנה בינואר 2011. ה</w:t>
      </w:r>
      <w:r>
        <w:rPr>
          <w:rFonts w:cs="FrankRuehl"/>
          <w:sz w:val="20"/>
          <w:szCs w:val="22"/>
          <w:rtl/>
        </w:rPr>
        <w:t>הורא</w:t>
      </w:r>
      <w:r>
        <w:rPr>
          <w:rFonts w:cs="FrankRuehl" w:hint="cs"/>
          <w:sz w:val="20"/>
          <w:szCs w:val="22"/>
          <w:rtl/>
        </w:rPr>
        <w:t>ה</w:t>
      </w:r>
      <w:r>
        <w:rPr>
          <w:rFonts w:cs="FrankRuehl"/>
          <w:sz w:val="20"/>
          <w:szCs w:val="22"/>
          <w:rtl/>
        </w:rPr>
        <w:t xml:space="preserve"> </w:t>
      </w:r>
      <w:r>
        <w:rPr>
          <w:rFonts w:cs="FrankRuehl" w:hint="cs"/>
          <w:sz w:val="20"/>
          <w:szCs w:val="22"/>
          <w:rtl/>
        </w:rPr>
        <w:t xml:space="preserve">נועדה </w:t>
      </w:r>
      <w:r>
        <w:rPr>
          <w:rFonts w:cs="FrankRuehl"/>
          <w:sz w:val="20"/>
          <w:szCs w:val="22"/>
          <w:rtl/>
        </w:rPr>
        <w:t xml:space="preserve">להקטין ככל האפשר את </w:t>
      </w:r>
      <w:r>
        <w:rPr>
          <w:rFonts w:cs="FrankRuehl" w:hint="cs"/>
          <w:sz w:val="20"/>
          <w:szCs w:val="22"/>
          <w:rtl/>
        </w:rPr>
        <w:t>האפשרות</w:t>
      </w:r>
      <w:r>
        <w:rPr>
          <w:rFonts w:cs="FrankRuehl"/>
          <w:sz w:val="20"/>
          <w:szCs w:val="22"/>
          <w:rtl/>
        </w:rPr>
        <w:t xml:space="preserve"> </w:t>
      </w:r>
      <w:r>
        <w:rPr>
          <w:rFonts w:cs="FrankRuehl" w:hint="cs"/>
          <w:sz w:val="20"/>
          <w:szCs w:val="22"/>
          <w:rtl/>
        </w:rPr>
        <w:t>ל</w:t>
      </w:r>
      <w:r>
        <w:rPr>
          <w:rFonts w:cs="FrankRuehl"/>
          <w:sz w:val="20"/>
          <w:szCs w:val="22"/>
          <w:rtl/>
        </w:rPr>
        <w:t>דלקה והתפוצ</w:t>
      </w:r>
      <w:r>
        <w:rPr>
          <w:rFonts w:cs="FrankRuehl"/>
          <w:sz w:val="20"/>
          <w:szCs w:val="22"/>
          <w:rtl/>
        </w:rPr>
        <w:t>צות בתחנות הדלק</w:t>
      </w:r>
      <w:r>
        <w:rPr>
          <w:rFonts w:cs="FrankRuehl" w:hint="cs"/>
          <w:sz w:val="20"/>
          <w:szCs w:val="22"/>
          <w:rtl/>
        </w:rPr>
        <w:t>, והיא</w:t>
      </w:r>
      <w:r>
        <w:rPr>
          <w:rFonts w:cs="FrankRuehl"/>
          <w:sz w:val="20"/>
          <w:szCs w:val="22"/>
          <w:rtl/>
        </w:rPr>
        <w:t xml:space="preserve"> מתמקדת בנושאים אלה:</w:t>
      </w:r>
      <w:r>
        <w:rPr>
          <w:rFonts w:cs="FrankRuehl" w:hint="cs"/>
          <w:sz w:val="20"/>
          <w:szCs w:val="22"/>
          <w:rtl/>
        </w:rPr>
        <w:t xml:space="preserve">  </w:t>
      </w:r>
      <w:r>
        <w:rPr>
          <w:rFonts w:cs="FrankRuehl"/>
          <w:sz w:val="20"/>
          <w:szCs w:val="22"/>
          <w:rtl/>
        </w:rPr>
        <w:t xml:space="preserve"> </w:t>
      </w:r>
      <w:r>
        <w:rPr>
          <w:rFonts w:cs="FrankRuehl" w:hint="cs"/>
          <w:sz w:val="20"/>
          <w:szCs w:val="22"/>
          <w:rtl/>
        </w:rPr>
        <w:br/>
        <w:t>(1)</w:t>
      </w:r>
      <w:r>
        <w:rPr>
          <w:rFonts w:cs="FrankRuehl"/>
          <w:sz w:val="20"/>
          <w:szCs w:val="22"/>
          <w:rtl/>
        </w:rPr>
        <w:t xml:space="preserve"> </w:t>
      </w:r>
      <w:r>
        <w:rPr>
          <w:rFonts w:cs="FrankRuehl" w:hint="cs"/>
          <w:sz w:val="20"/>
          <w:szCs w:val="22"/>
          <w:rtl/>
        </w:rPr>
        <w:t xml:space="preserve"> </w:t>
      </w:r>
      <w:r>
        <w:rPr>
          <w:rFonts w:cs="FrankRuehl"/>
          <w:sz w:val="20"/>
          <w:szCs w:val="22"/>
          <w:rtl/>
        </w:rPr>
        <w:t xml:space="preserve">אספקת מים; </w:t>
      </w:r>
      <w:r>
        <w:rPr>
          <w:rFonts w:cs="FrankRuehl" w:hint="cs"/>
          <w:sz w:val="20"/>
          <w:szCs w:val="22"/>
          <w:rtl/>
        </w:rPr>
        <w:t xml:space="preserve">  (2)</w:t>
      </w:r>
      <w:r>
        <w:rPr>
          <w:rFonts w:cs="FrankRuehl"/>
          <w:sz w:val="20"/>
          <w:szCs w:val="22"/>
          <w:rtl/>
        </w:rPr>
        <w:t xml:space="preserve"> </w:t>
      </w:r>
      <w:r>
        <w:rPr>
          <w:rFonts w:cs="FrankRuehl" w:hint="cs"/>
          <w:sz w:val="20"/>
          <w:szCs w:val="22"/>
          <w:rtl/>
        </w:rPr>
        <w:t xml:space="preserve"> </w:t>
      </w:r>
      <w:r>
        <w:rPr>
          <w:rFonts w:cs="FrankRuehl"/>
          <w:sz w:val="20"/>
          <w:szCs w:val="22"/>
          <w:rtl/>
        </w:rPr>
        <w:t>התקנה ופיזור של ברזי כיבוי אש, גלגלוני כיבוי אש ומטפי כיבוי אש בשטח התחנה;</w:t>
      </w:r>
      <w:r>
        <w:rPr>
          <w:rFonts w:cs="FrankRuehl" w:hint="cs"/>
          <w:sz w:val="20"/>
          <w:szCs w:val="22"/>
          <w:rtl/>
        </w:rPr>
        <w:t xml:space="preserve">  </w:t>
      </w:r>
      <w:r>
        <w:rPr>
          <w:rFonts w:cs="FrankRuehl"/>
          <w:sz w:val="20"/>
          <w:szCs w:val="22"/>
          <w:rtl/>
        </w:rPr>
        <w:t xml:space="preserve"> </w:t>
      </w:r>
      <w:r>
        <w:rPr>
          <w:rFonts w:cs="FrankRuehl" w:hint="cs"/>
          <w:sz w:val="20"/>
          <w:szCs w:val="22"/>
          <w:rtl/>
        </w:rPr>
        <w:t xml:space="preserve">(3) </w:t>
      </w:r>
      <w:r>
        <w:rPr>
          <w:rFonts w:cs="FrankRuehl"/>
          <w:sz w:val="20"/>
          <w:szCs w:val="22"/>
          <w:rtl/>
        </w:rPr>
        <w:t xml:space="preserve"> אמצעי בטיחות וכיבוי אוטומטיים בלוחות החשמל</w:t>
      </w:r>
      <w:r>
        <w:rPr>
          <w:rFonts w:cs="FrankRuehl" w:hint="cs"/>
          <w:sz w:val="20"/>
          <w:szCs w:val="22"/>
          <w:rtl/>
        </w:rPr>
        <w:t>.</w:t>
      </w:r>
    </w:p>
    <w:p w:rsidR="00000000">
      <w:pPr>
        <w:spacing w:after="120" w:line="230" w:lineRule="exact"/>
        <w:jc w:val="both"/>
        <w:rPr>
          <w:rFonts w:cs="FrankRuehl" w:hint="cs"/>
          <w:sz w:val="20"/>
          <w:szCs w:val="22"/>
          <w:rtl/>
        </w:rPr>
      </w:pPr>
      <w:r>
        <w:rPr>
          <w:rFonts w:cs="FrankRuehl" w:hint="cs"/>
          <w:sz w:val="20"/>
          <w:szCs w:val="22"/>
          <w:rtl/>
        </w:rPr>
        <w:t>ל</w:t>
      </w:r>
      <w:r>
        <w:rPr>
          <w:rFonts w:cs="FrankRuehl"/>
          <w:sz w:val="20"/>
          <w:szCs w:val="22"/>
          <w:rtl/>
        </w:rPr>
        <w:t xml:space="preserve">נציבות </w:t>
      </w:r>
      <w:r>
        <w:rPr>
          <w:rFonts w:cs="FrankRuehl" w:hint="cs"/>
          <w:sz w:val="20"/>
          <w:szCs w:val="22"/>
          <w:rtl/>
        </w:rPr>
        <w:t xml:space="preserve">הכבאות </w:t>
      </w:r>
      <w:r>
        <w:rPr>
          <w:rFonts w:cs="FrankRuehl"/>
          <w:sz w:val="20"/>
          <w:szCs w:val="22"/>
          <w:rtl/>
        </w:rPr>
        <w:t>והצלה</w:t>
      </w:r>
      <w:r>
        <w:rPr>
          <w:rFonts w:cs="FrankRuehl" w:hint="cs"/>
          <w:sz w:val="20"/>
          <w:szCs w:val="22"/>
          <w:rtl/>
        </w:rPr>
        <w:t xml:space="preserve"> אין מידע על תחנות דלק פירטיות, והם נותנים</w:t>
      </w:r>
      <w:r>
        <w:rPr>
          <w:rFonts w:cs="FrankRuehl" w:hint="cs"/>
          <w:sz w:val="20"/>
          <w:szCs w:val="22"/>
          <w:rtl/>
        </w:rPr>
        <w:t xml:space="preserve"> חוות דעת לצורך מתן רישיון עסק לתחנת דלק על פי דרישת הרשות המקומית. הם אינם מבצעים ביזמתם ביקורת בתחנות דלק פירטיות ואינם בודקים אם הן פועלות על פי הוראות החוק והוראת מכ"ר.</w:t>
      </w:r>
    </w:p>
    <w:p w:rsidR="00000000">
      <w:pPr>
        <w:tabs>
          <w:tab w:val="left" w:pos="4404"/>
          <w:tab w:val="left" w:pos="6492"/>
        </w:tabs>
        <w:spacing w:after="120" w:line="230" w:lineRule="exact"/>
        <w:ind w:firstLine="12"/>
        <w:jc w:val="both"/>
        <w:rPr>
          <w:rFonts w:cs="FrankRuehl" w:hint="cs"/>
          <w:sz w:val="20"/>
          <w:szCs w:val="22"/>
          <w:rtl/>
        </w:rPr>
      </w:pPr>
      <w:r>
        <w:rPr>
          <w:rFonts w:cs="FrankRuehl" w:hint="cs"/>
          <w:sz w:val="20"/>
          <w:szCs w:val="22"/>
          <w:rtl/>
        </w:rPr>
        <w:t>בתשובתה מתחילת פברואר 2013 מסרה נציבות כבאות והצלה כי במהלך החודש המצב החוקי ישתנה:</w:t>
      </w:r>
      <w:r>
        <w:rPr>
          <w:rFonts w:cs="FrankRuehl" w:hint="cs"/>
          <w:sz w:val="20"/>
          <w:szCs w:val="22"/>
          <w:rtl/>
        </w:rPr>
        <w:t xml:space="preserve"> "תכונן בישראל הרשות הארצית לכבאות והצלה ויבוטלו רשויות הכבאות המקומיות הקיימות כיום... יינתנו בידי רשות הכבאות כלים לפעול עצמאית כנגד מקומות לרבות תחנות דלק פירטיות, לרבות סגירה מינהלית ושיפוטית". עוד נכתב בתשובת נציבות כבאות והצלה כי נציב כבאות והצלה הנח</w:t>
      </w:r>
      <w:r>
        <w:rPr>
          <w:rFonts w:cs="FrankRuehl" w:hint="cs"/>
          <w:sz w:val="20"/>
          <w:szCs w:val="22"/>
          <w:rtl/>
        </w:rPr>
        <w:t>ה "את מחוזות רשות הכבאות לקדם את הטיפול בתחנות הדלק הפירטיות, לשם הקטנת הסיכון לשלום הציבור וביטחונו".</w:t>
      </w:r>
    </w:p>
    <w:p w:rsidR="00000000">
      <w:pPr>
        <w:spacing w:after="120" w:line="230" w:lineRule="exact"/>
        <w:jc w:val="both"/>
        <w:rPr>
          <w:rFonts w:cs="FrankRuehl" w:hint="cs"/>
          <w:sz w:val="20"/>
          <w:szCs w:val="22"/>
          <w:rtl/>
        </w:rPr>
      </w:pPr>
      <w:r>
        <w:rPr>
          <w:rFonts w:cs="FrankRuehl" w:hint="cs"/>
          <w:sz w:val="20"/>
          <w:szCs w:val="22"/>
          <w:rtl/>
        </w:rPr>
        <w:t>3.</w:t>
      </w:r>
      <w:r>
        <w:rPr>
          <w:rFonts w:cs="FrankRuehl" w:hint="cs"/>
          <w:sz w:val="20"/>
          <w:szCs w:val="22"/>
          <w:rtl/>
        </w:rPr>
        <w:tab/>
      </w:r>
      <w:r>
        <w:rPr>
          <w:rFonts w:cs="FrankRuehl"/>
          <w:sz w:val="20"/>
          <w:szCs w:val="22"/>
          <w:rtl/>
        </w:rPr>
        <w:t xml:space="preserve">משרד </w:t>
      </w:r>
      <w:r>
        <w:rPr>
          <w:rFonts w:cs="FrankRuehl" w:hint="cs"/>
          <w:sz w:val="20"/>
          <w:szCs w:val="22"/>
          <w:rtl/>
        </w:rPr>
        <w:t>ה</w:t>
      </w:r>
      <w:r>
        <w:rPr>
          <w:rFonts w:cs="FrankRuehl"/>
          <w:sz w:val="20"/>
          <w:szCs w:val="22"/>
          <w:rtl/>
        </w:rPr>
        <w:t xml:space="preserve">תמ"ת ממונה על הבטיחות בעבודה מכוח פקודת הבטיחות בעבודה [נוסח חדש], התש"ל-1970, </w:t>
      </w:r>
      <w:r>
        <w:rPr>
          <w:rFonts w:cs="FrankRuehl" w:hint="cs"/>
          <w:sz w:val="20"/>
          <w:szCs w:val="22"/>
          <w:rtl/>
        </w:rPr>
        <w:t>ו</w:t>
      </w:r>
      <w:r>
        <w:rPr>
          <w:rFonts w:cs="FrankRuehl"/>
          <w:sz w:val="20"/>
          <w:szCs w:val="22"/>
          <w:rtl/>
        </w:rPr>
        <w:t xml:space="preserve">חיקוקים נוספים. חוק רישוי עסקים קובע כי שר </w:t>
      </w:r>
      <w:r>
        <w:rPr>
          <w:rFonts w:cs="FrankRuehl" w:hint="cs"/>
          <w:sz w:val="20"/>
          <w:szCs w:val="22"/>
          <w:rtl/>
        </w:rPr>
        <w:t>התמ"ת</w:t>
      </w:r>
      <w:r>
        <w:rPr>
          <w:rFonts w:cs="FrankRuehl"/>
          <w:sz w:val="20"/>
          <w:szCs w:val="22"/>
          <w:rtl/>
        </w:rPr>
        <w:t xml:space="preserve"> רשאי להתקין תקנ</w:t>
      </w:r>
      <w:r>
        <w:rPr>
          <w:rFonts w:cs="FrankRuehl"/>
          <w:sz w:val="20"/>
          <w:szCs w:val="22"/>
          <w:rtl/>
        </w:rPr>
        <w:t>ות לעסקים טעוני רישוי בעניין בטיחותם של הנמצאים במקום העסק או בסביבתו</w:t>
      </w:r>
      <w:r>
        <w:rPr>
          <w:rFonts w:cs="FrankRuehl" w:hint="cs"/>
          <w:sz w:val="20"/>
          <w:szCs w:val="22"/>
          <w:rtl/>
        </w:rPr>
        <w:t xml:space="preserve">. </w:t>
      </w:r>
      <w:r>
        <w:rPr>
          <w:rFonts w:cs="FrankRuehl"/>
          <w:sz w:val="20"/>
          <w:szCs w:val="22"/>
          <w:rtl/>
        </w:rPr>
        <w:t>תקנות רישוי עסקים (אחסנת נפט), התשל"ז-1976</w:t>
      </w:r>
      <w:r>
        <w:rPr>
          <w:rFonts w:cs="FrankRuehl" w:hint="cs"/>
          <w:sz w:val="20"/>
          <w:szCs w:val="22"/>
          <w:rtl/>
        </w:rPr>
        <w:t xml:space="preserve"> (להלן - תקנות אחסנת נפט),</w:t>
      </w:r>
      <w:r>
        <w:rPr>
          <w:rFonts w:cs="FrankRuehl"/>
          <w:sz w:val="20"/>
          <w:szCs w:val="22"/>
          <w:rtl/>
        </w:rPr>
        <w:t xml:space="preserve"> עוסקות </w:t>
      </w:r>
      <w:r>
        <w:rPr>
          <w:rFonts w:cs="FrankRuehl" w:hint="cs"/>
          <w:sz w:val="20"/>
          <w:szCs w:val="22"/>
          <w:rtl/>
        </w:rPr>
        <w:t>ב</w:t>
      </w:r>
      <w:r>
        <w:rPr>
          <w:rFonts w:cs="FrankRuehl"/>
          <w:sz w:val="20"/>
          <w:szCs w:val="22"/>
          <w:rtl/>
        </w:rPr>
        <w:t xml:space="preserve">הגנת מכלים וכיסוים, </w:t>
      </w:r>
      <w:r>
        <w:rPr>
          <w:rFonts w:cs="FrankRuehl" w:hint="cs"/>
          <w:sz w:val="20"/>
          <w:szCs w:val="22"/>
          <w:rtl/>
        </w:rPr>
        <w:t>ב</w:t>
      </w:r>
      <w:r>
        <w:rPr>
          <w:rFonts w:cs="FrankRuehl"/>
          <w:sz w:val="20"/>
          <w:szCs w:val="22"/>
          <w:rtl/>
        </w:rPr>
        <w:t xml:space="preserve">אוורור </w:t>
      </w:r>
      <w:r>
        <w:rPr>
          <w:rFonts w:cs="FrankRuehl" w:hint="cs"/>
          <w:sz w:val="20"/>
          <w:szCs w:val="22"/>
          <w:rtl/>
        </w:rPr>
        <w:t>וב</w:t>
      </w:r>
      <w:r>
        <w:rPr>
          <w:rFonts w:cs="FrankRuehl"/>
          <w:sz w:val="20"/>
          <w:szCs w:val="22"/>
          <w:rtl/>
        </w:rPr>
        <w:t xml:space="preserve">כמויות </w:t>
      </w:r>
      <w:r>
        <w:rPr>
          <w:rFonts w:cs="FrankRuehl" w:hint="cs"/>
          <w:sz w:val="20"/>
          <w:szCs w:val="22"/>
          <w:rtl/>
        </w:rPr>
        <w:t>ה</w:t>
      </w:r>
      <w:r>
        <w:rPr>
          <w:rFonts w:cs="FrankRuehl"/>
          <w:sz w:val="20"/>
          <w:szCs w:val="22"/>
          <w:rtl/>
        </w:rPr>
        <w:t>דלק שניתן לאחסן בתחנת דלק</w:t>
      </w:r>
      <w:r>
        <w:rPr>
          <w:rFonts w:cs="FrankRuehl" w:hint="cs"/>
          <w:sz w:val="20"/>
          <w:szCs w:val="22"/>
          <w:rtl/>
        </w:rPr>
        <w:t>. תקנות אלה קובעות, בין השאר,</w:t>
      </w:r>
      <w:r>
        <w:rPr>
          <w:rFonts w:cs="FrankRuehl"/>
          <w:sz w:val="20"/>
          <w:szCs w:val="22"/>
          <w:rtl/>
        </w:rPr>
        <w:t xml:space="preserve"> כי רשות הרישוי </w:t>
      </w:r>
      <w:r>
        <w:rPr>
          <w:rFonts w:cs="FrankRuehl"/>
          <w:sz w:val="20"/>
          <w:szCs w:val="22"/>
          <w:rtl/>
        </w:rPr>
        <w:t>לא תיתן רישיון</w:t>
      </w:r>
      <w:r>
        <w:rPr>
          <w:rFonts w:cs="FrankRuehl" w:hint="cs"/>
          <w:sz w:val="20"/>
          <w:szCs w:val="22"/>
          <w:rtl/>
        </w:rPr>
        <w:t xml:space="preserve"> עסק לתחנת דלק,</w:t>
      </w:r>
      <w:r>
        <w:rPr>
          <w:rFonts w:cs="FrankRuehl"/>
          <w:sz w:val="20"/>
          <w:szCs w:val="22"/>
          <w:rtl/>
        </w:rPr>
        <w:t xml:space="preserve"> אלא אם כן </w:t>
      </w:r>
      <w:r>
        <w:rPr>
          <w:rFonts w:cs="FrankRuehl" w:hint="cs"/>
          <w:sz w:val="20"/>
          <w:szCs w:val="22"/>
          <w:rtl/>
        </w:rPr>
        <w:t xml:space="preserve">אישר </w:t>
      </w:r>
      <w:r>
        <w:rPr>
          <w:rFonts w:cs="FrankRuehl"/>
          <w:sz w:val="20"/>
          <w:szCs w:val="22"/>
          <w:rtl/>
        </w:rPr>
        <w:t>מפקח עבודה</w:t>
      </w:r>
      <w:r>
        <w:rPr>
          <w:rStyle w:val="FootnoteReference"/>
          <w:rFonts w:cs="FrankRuehl"/>
          <w:sz w:val="20"/>
          <w:szCs w:val="22"/>
          <w:rtl/>
        </w:rPr>
        <w:footnoteReference w:id="32"/>
      </w:r>
      <w:r>
        <w:rPr>
          <w:rFonts w:cs="FrankRuehl"/>
          <w:sz w:val="20"/>
          <w:szCs w:val="22"/>
          <w:rtl/>
        </w:rPr>
        <w:t xml:space="preserve"> את המ</w:t>
      </w:r>
      <w:r>
        <w:rPr>
          <w:rFonts w:cs="FrankRuehl" w:hint="cs"/>
          <w:sz w:val="20"/>
          <w:szCs w:val="22"/>
          <w:rtl/>
        </w:rPr>
        <w:t>ִ</w:t>
      </w:r>
      <w:r>
        <w:rPr>
          <w:rFonts w:cs="FrankRuehl"/>
          <w:sz w:val="20"/>
          <w:szCs w:val="22"/>
          <w:rtl/>
        </w:rPr>
        <w:t>תקן</w:t>
      </w:r>
      <w:r>
        <w:rPr>
          <w:rStyle w:val="FootnoteReference"/>
          <w:rFonts w:cs="FrankRuehl"/>
          <w:sz w:val="20"/>
          <w:szCs w:val="22"/>
          <w:rtl/>
        </w:rPr>
        <w:footnoteReference w:id="33"/>
      </w:r>
      <w:r>
        <w:rPr>
          <w:rFonts w:cs="FrankRuehl" w:hint="cs"/>
          <w:sz w:val="20"/>
          <w:szCs w:val="22"/>
          <w:rtl/>
        </w:rPr>
        <w:t>.</w:t>
      </w:r>
    </w:p>
    <w:p w:rsidR="00000000">
      <w:pPr>
        <w:spacing w:after="120" w:line="230" w:lineRule="exact"/>
        <w:jc w:val="both"/>
        <w:rPr>
          <w:rFonts w:cs="FrankRuehl" w:hint="cs"/>
          <w:sz w:val="20"/>
          <w:szCs w:val="22"/>
          <w:rtl/>
        </w:rPr>
      </w:pPr>
      <w:r>
        <w:rPr>
          <w:rFonts w:cs="FrankRuehl"/>
          <w:sz w:val="20"/>
          <w:szCs w:val="22"/>
          <w:rtl/>
        </w:rPr>
        <w:t xml:space="preserve">מבדיקה </w:t>
      </w:r>
      <w:r>
        <w:rPr>
          <w:rFonts w:cs="FrankRuehl" w:hint="cs"/>
          <w:sz w:val="20"/>
          <w:szCs w:val="22"/>
          <w:rtl/>
        </w:rPr>
        <w:t>שעשה</w:t>
      </w:r>
      <w:r>
        <w:rPr>
          <w:rFonts w:cs="FrankRuehl"/>
          <w:sz w:val="20"/>
          <w:szCs w:val="22"/>
          <w:rtl/>
        </w:rPr>
        <w:t xml:space="preserve"> משרד מבקר המדינה עלה כי </w:t>
      </w:r>
      <w:r>
        <w:rPr>
          <w:rFonts w:cs="FrankRuehl" w:hint="cs"/>
          <w:sz w:val="20"/>
          <w:szCs w:val="22"/>
          <w:rtl/>
        </w:rPr>
        <w:t>ל</w:t>
      </w:r>
      <w:r>
        <w:rPr>
          <w:rFonts w:cs="FrankRuehl"/>
          <w:sz w:val="20"/>
          <w:szCs w:val="22"/>
          <w:rtl/>
        </w:rPr>
        <w:t xml:space="preserve">מפקח העבודה </w:t>
      </w:r>
      <w:r>
        <w:rPr>
          <w:rFonts w:cs="FrankRuehl" w:hint="cs"/>
          <w:sz w:val="20"/>
          <w:szCs w:val="22"/>
          <w:rtl/>
        </w:rPr>
        <w:t xml:space="preserve">אין מידע על תחנות דלק פירטיות, והוא נותן חוות דעת כאשר </w:t>
      </w:r>
      <w:r>
        <w:rPr>
          <w:rFonts w:cs="FrankRuehl"/>
          <w:sz w:val="20"/>
          <w:szCs w:val="22"/>
          <w:rtl/>
        </w:rPr>
        <w:t xml:space="preserve">הרשות המקומית מבקשת </w:t>
      </w:r>
      <w:r>
        <w:rPr>
          <w:rFonts w:cs="FrankRuehl" w:hint="cs"/>
          <w:sz w:val="20"/>
          <w:szCs w:val="22"/>
          <w:rtl/>
        </w:rPr>
        <w:t xml:space="preserve">זאת </w:t>
      </w:r>
      <w:r>
        <w:rPr>
          <w:rFonts w:cs="FrankRuehl"/>
          <w:sz w:val="20"/>
          <w:szCs w:val="22"/>
          <w:rtl/>
        </w:rPr>
        <w:t xml:space="preserve">לצורך מתן רישיון </w:t>
      </w:r>
      <w:r>
        <w:rPr>
          <w:rFonts w:cs="FrankRuehl" w:hint="cs"/>
          <w:sz w:val="20"/>
          <w:szCs w:val="22"/>
          <w:rtl/>
        </w:rPr>
        <w:t xml:space="preserve">עסק </w:t>
      </w:r>
      <w:r>
        <w:rPr>
          <w:rFonts w:cs="FrankRuehl"/>
          <w:sz w:val="20"/>
          <w:szCs w:val="22"/>
          <w:rtl/>
        </w:rPr>
        <w:t>לתחנ</w:t>
      </w:r>
      <w:r>
        <w:rPr>
          <w:rFonts w:cs="FrankRuehl" w:hint="cs"/>
          <w:sz w:val="20"/>
          <w:szCs w:val="22"/>
          <w:rtl/>
        </w:rPr>
        <w:t>ת דלק.</w:t>
      </w:r>
      <w:r>
        <w:rPr>
          <w:rFonts w:cs="FrankRuehl"/>
          <w:sz w:val="20"/>
          <w:szCs w:val="22"/>
          <w:rtl/>
        </w:rPr>
        <w:t xml:space="preserve"> </w:t>
      </w:r>
      <w:r>
        <w:rPr>
          <w:rFonts w:cs="FrankRuehl" w:hint="cs"/>
          <w:sz w:val="20"/>
          <w:szCs w:val="22"/>
          <w:rtl/>
        </w:rPr>
        <w:t xml:space="preserve">עוד עלה כי מפקח העבודה </w:t>
      </w:r>
      <w:r>
        <w:rPr>
          <w:rFonts w:cs="FrankRuehl"/>
          <w:sz w:val="20"/>
          <w:szCs w:val="22"/>
          <w:rtl/>
        </w:rPr>
        <w:t>אינו</w:t>
      </w:r>
      <w:r>
        <w:rPr>
          <w:rFonts w:cs="FrankRuehl"/>
          <w:sz w:val="20"/>
          <w:szCs w:val="22"/>
          <w:rtl/>
        </w:rPr>
        <w:t xml:space="preserve"> יוזם ביקורות בתחנות דלק פירטיות ואינו בודק אם הן פועלות על פי תקנות אחסנת נפט.</w:t>
      </w:r>
      <w:r>
        <w:rPr>
          <w:rFonts w:cs="FrankRuehl" w:hint="cs"/>
          <w:sz w:val="20"/>
          <w:szCs w:val="22"/>
          <w:rtl/>
        </w:rPr>
        <w:t xml:space="preserve"> </w:t>
      </w:r>
    </w:p>
    <w:p w:rsidR="00000000">
      <w:pPr>
        <w:spacing w:after="120" w:line="230" w:lineRule="exact"/>
        <w:jc w:val="both"/>
        <w:rPr>
          <w:rFonts w:cs="FrankRuehl" w:hint="cs"/>
          <w:sz w:val="20"/>
          <w:szCs w:val="22"/>
          <w:rtl/>
        </w:rPr>
      </w:pPr>
      <w:r>
        <w:rPr>
          <w:rFonts w:cs="FrankRuehl" w:hint="cs"/>
          <w:sz w:val="20"/>
          <w:szCs w:val="22"/>
          <w:rtl/>
        </w:rPr>
        <w:t>4.</w:t>
      </w:r>
      <w:r>
        <w:rPr>
          <w:rFonts w:cs="FrankRuehl" w:hint="cs"/>
          <w:sz w:val="20"/>
          <w:szCs w:val="22"/>
          <w:rtl/>
        </w:rPr>
        <w:tab/>
        <w:t>רשות המים ערה לסכנה הפוטנציאלית של תחנות דלק פירטיות וציינה בדוח שפרסמה</w:t>
      </w:r>
      <w:r>
        <w:rPr>
          <w:rStyle w:val="FootnoteReference"/>
          <w:rFonts w:cs="FrankRuehl"/>
          <w:sz w:val="20"/>
          <w:szCs w:val="22"/>
          <w:rtl/>
        </w:rPr>
        <w:footnoteReference w:id="34"/>
      </w:r>
      <w:r>
        <w:rPr>
          <w:rFonts w:cs="FrankRuehl" w:hint="cs"/>
          <w:sz w:val="20"/>
          <w:szCs w:val="22"/>
          <w:rtl/>
        </w:rPr>
        <w:t xml:space="preserve"> שהן מסכנות את מי התהום. לרשות המים אין מחלקת פיקוח, ומידע על זיהומים פוטנציאליים מתקבל מהמשרד להגנת</w:t>
      </w:r>
      <w:r>
        <w:rPr>
          <w:rFonts w:cs="FrankRuehl" w:hint="cs"/>
          <w:sz w:val="20"/>
          <w:szCs w:val="22"/>
          <w:rtl/>
        </w:rPr>
        <w:t xml:space="preserve"> הסביבה. רשות המים והמשרד להגנת הסביבה גיבשו נוהל עבודה משותף ולפיו "יתקיים יידוע מלא... בין המשרד והרשות, לרבות בקשר להעברת מסמכים ונתונים". בשנים 2008-2012 לא העביר המשרד להגנת הסביבה כל מידע על תחנות דלק פירטיות לרשות המים, והרשות לא ביקשה מידע זה. בתשו</w:t>
      </w:r>
      <w:r>
        <w:rPr>
          <w:rFonts w:cs="FrankRuehl" w:hint="cs"/>
          <w:sz w:val="20"/>
          <w:szCs w:val="22"/>
          <w:rtl/>
        </w:rPr>
        <w:t>בתה למשרד מבקר המדינה מינואר 2013 מסרה רשות המים כי "רשות המים תפנה למשרד להגנת הסביבה בבקשה לקבלת מידע על דליפות הידועות להם בתחנות דלק פיראטיות לצורך ההערכה של הסיכונים למקורות המים".</w:t>
      </w:r>
    </w:p>
    <w:p w:rsidR="00000000">
      <w:pPr>
        <w:spacing w:after="240" w:line="230" w:lineRule="exact"/>
        <w:jc w:val="both"/>
        <w:rPr>
          <w:rFonts w:cs="FrankRuehl" w:hint="cs"/>
          <w:sz w:val="20"/>
          <w:szCs w:val="22"/>
          <w:rtl/>
        </w:rPr>
      </w:pPr>
      <w:r>
        <w:rPr>
          <w:rFonts w:cs="FrankRuehl" w:hint="cs"/>
          <w:sz w:val="20"/>
          <w:szCs w:val="22"/>
          <w:rtl/>
        </w:rPr>
        <w:t>5.</w:t>
      </w:r>
      <w:r>
        <w:rPr>
          <w:rFonts w:cs="FrankRuehl" w:hint="cs"/>
          <w:sz w:val="20"/>
          <w:szCs w:val="22"/>
          <w:rtl/>
        </w:rPr>
        <w:tab/>
        <w:t>היחידה הארצית לפיקוח על הבנייה במשרד הפנים (להלן - יחידת הפיקוח) פו</w:t>
      </w:r>
      <w:r>
        <w:rPr>
          <w:rFonts w:cs="FrankRuehl" w:hint="cs"/>
          <w:sz w:val="20"/>
          <w:szCs w:val="22"/>
          <w:rtl/>
        </w:rPr>
        <w:t>עלת לאכיפת חוק התכנון והבנייה ברחבי הארץ בעיקר בשטחים גליליים</w:t>
      </w:r>
      <w:r>
        <w:rPr>
          <w:rStyle w:val="FootnoteReference"/>
          <w:rFonts w:cs="FrankRuehl"/>
          <w:sz w:val="20"/>
          <w:szCs w:val="22"/>
          <w:rtl/>
        </w:rPr>
        <w:footnoteReference w:id="35"/>
      </w:r>
      <w:r>
        <w:rPr>
          <w:rFonts w:cs="FrankRuehl" w:hint="cs"/>
          <w:sz w:val="20"/>
          <w:szCs w:val="22"/>
          <w:rtl/>
        </w:rPr>
        <w:t>. היחידה מתאמת את פעילותה עם מוסדות התכנון, מספקת להם נתונים על בנייה בלתי חוקית, ויש לה סמכות</w:t>
      </w:r>
      <w:r>
        <w:rPr>
          <w:rStyle w:val="FootnoteReference"/>
          <w:rFonts w:cs="FrankRuehl"/>
          <w:sz w:val="20"/>
          <w:szCs w:val="22"/>
          <w:rtl/>
        </w:rPr>
        <w:footnoteReference w:id="36"/>
      </w:r>
      <w:r>
        <w:rPr>
          <w:rFonts w:cs="FrankRuehl" w:hint="cs"/>
          <w:sz w:val="20"/>
          <w:szCs w:val="22"/>
          <w:rtl/>
        </w:rPr>
        <w:t xml:space="preserve"> להיכנס למקרקעין לסקור, לבצע חקירה ולעכב חשודים בביצוע עברות בנייה.</w:t>
      </w:r>
      <w:r>
        <w:rPr>
          <w:rFonts w:cs="FrankRuehl" w:hint="cs"/>
          <w:sz w:val="20"/>
          <w:szCs w:val="22"/>
          <w:vertAlign w:val="superscript"/>
          <w:rtl/>
        </w:rPr>
        <w:t xml:space="preserve"> </w:t>
      </w:r>
      <w:r>
        <w:rPr>
          <w:rFonts w:cs="FrankRuehl" w:hint="cs"/>
          <w:sz w:val="20"/>
          <w:szCs w:val="22"/>
          <w:rtl/>
        </w:rPr>
        <w:t>מפקחי היחידה מסיירים בשטח ואוספ</w:t>
      </w:r>
      <w:r>
        <w:rPr>
          <w:rFonts w:cs="FrankRuehl" w:hint="cs"/>
          <w:sz w:val="20"/>
          <w:szCs w:val="22"/>
          <w:rtl/>
        </w:rPr>
        <w:t>ים מידע מזהה על תחנות דלק פירטיות ובעליהן; המידע נשמר במאגר נתונים של משרד הפנים ומשמש את היחידה בלבד בפעולות אכיפה. היחידה אינה משתפת במידע זה גופי פיקוח אחרים.</w:t>
      </w:r>
    </w:p>
    <w:p w:rsidR="00000000">
      <w:pPr>
        <w:pStyle w:val="RESHET"/>
        <w:keepLines/>
        <w:rPr>
          <w:rFonts w:hint="cs"/>
          <w:sz w:val="20"/>
          <w:rtl/>
        </w:rPr>
      </w:pPr>
      <w:r>
        <w:rPr>
          <w:rFonts w:hint="cs"/>
          <w:sz w:val="20"/>
          <w:rtl/>
        </w:rPr>
        <w:t xml:space="preserve">לדעת משרד מבקר המדינה, על משרד האנרגיה להוביל להקמת מאגר נתונים בשיתוף עם המשרד להגנת הסביבה, </w:t>
      </w:r>
      <w:r>
        <w:rPr>
          <w:rFonts w:hint="cs"/>
          <w:sz w:val="20"/>
          <w:rtl/>
        </w:rPr>
        <w:t>משרד הפנים, משטרת ישראל, הרשויות המקומיות, הוועדות המקומיות לתכנון ולבנייה וממ"י. מאגר הנתונים יכלול מידע על תחנות דלק פירטיות, בין היתר, מידע על מיקום התחנה, בעליה ופעולות פיקוח ואכיפה שבוצעו בה. יש לאפשר גישה למאגר זה לכל הגופים שהמידע שנמצא בו חיוני עבו</w:t>
      </w:r>
      <w:r>
        <w:rPr>
          <w:rFonts w:hint="cs"/>
          <w:sz w:val="20"/>
          <w:rtl/>
        </w:rPr>
        <w:t>רם, ובהם משרד התמ"ת, רשות המים, רשות המסים ונציבות כבאות והצלה. בהתבסס על המידע הזה, על משרד התמ"ת, רשות המים ונציבות הכבאות וההצלה לבצע בדיקות יזומות בתחנות דלק פירטיות בתחומים שבסמכותם. נוסף על כך המידע יסייע לגופי הפיקוח למגר את תופעת תחנות הדלק הפירטיו</w:t>
      </w:r>
      <w:r>
        <w:rPr>
          <w:rFonts w:hint="cs"/>
          <w:sz w:val="20"/>
          <w:rtl/>
        </w:rPr>
        <w:t xml:space="preserve">ת. </w:t>
      </w:r>
    </w:p>
    <w:p w:rsidR="00000000">
      <w:pPr>
        <w:spacing w:before="180" w:after="120" w:line="230" w:lineRule="exact"/>
        <w:jc w:val="both"/>
        <w:rPr>
          <w:rFonts w:cs="FrankRuehl" w:hint="cs"/>
          <w:sz w:val="20"/>
          <w:szCs w:val="22"/>
          <w:rtl/>
        </w:rPr>
      </w:pPr>
      <w:r>
        <w:rPr>
          <w:rFonts w:cs="FrankRuehl" w:hint="cs"/>
          <w:sz w:val="20"/>
          <w:szCs w:val="22"/>
          <w:rtl/>
        </w:rPr>
        <w:t>בתשובת המשטרה נאמר</w:t>
      </w:r>
      <w:r>
        <w:rPr>
          <w:rFonts w:cs="FrankRuehl"/>
          <w:sz w:val="20"/>
          <w:szCs w:val="22"/>
          <w:rtl/>
        </w:rPr>
        <w:t xml:space="preserve"> </w:t>
      </w:r>
      <w:r>
        <w:rPr>
          <w:rFonts w:cs="FrankRuehl" w:hint="cs"/>
          <w:sz w:val="20"/>
          <w:szCs w:val="22"/>
          <w:rtl/>
        </w:rPr>
        <w:t>כי היא יזמה זה לא כבר "פנייה ליחידות השטח לקבלת תמונת מצב מעודכנת. בהמשך, לאחר ריכוז הנתונים שבידי המשטרה, תיערך פעילות לשם העברת המידע בין הגופים השונים". עוד הוסיפה המשטרה כי "קצין הערכה מחוזי יעדכן אחת לחודש את כלל גורמי הפיקוח הא</w:t>
      </w:r>
      <w:r>
        <w:rPr>
          <w:rFonts w:cs="FrankRuehl" w:hint="cs"/>
          <w:sz w:val="20"/>
          <w:szCs w:val="22"/>
          <w:rtl/>
        </w:rPr>
        <w:t>זרחיים בקיומן של תחנות דלק פירטיות".</w:t>
      </w:r>
    </w:p>
    <w:p w:rsidR="00000000">
      <w:pPr>
        <w:spacing w:after="120" w:line="230" w:lineRule="exact"/>
        <w:jc w:val="both"/>
        <w:rPr>
          <w:rFonts w:cs="FrankRuehl" w:hint="cs"/>
          <w:sz w:val="20"/>
          <w:szCs w:val="22"/>
          <w:rtl/>
        </w:rPr>
      </w:pPr>
    </w:p>
    <w:p w:rsidR="00000000">
      <w:pPr>
        <w:spacing w:after="120" w:line="230" w:lineRule="exact"/>
        <w:jc w:val="both"/>
        <w:rPr>
          <w:rFonts w:cs="FrankRuehl" w:hint="cs"/>
          <w:sz w:val="20"/>
          <w:szCs w:val="22"/>
          <w:rtl/>
        </w:rPr>
      </w:pPr>
    </w:p>
    <w:p w:rsidR="00000000">
      <w:pPr>
        <w:pStyle w:val="KOT4"/>
        <w:rPr>
          <w:rFonts w:hint="cs"/>
          <w:rtl/>
        </w:rPr>
      </w:pPr>
      <w:r>
        <w:rPr>
          <w:rtl/>
        </w:rPr>
        <w:t>פעולות אכיפה</w:t>
      </w:r>
    </w:p>
    <w:p w:rsidR="00000000">
      <w:pPr>
        <w:spacing w:after="120" w:line="230" w:lineRule="exact"/>
        <w:jc w:val="both"/>
        <w:rPr>
          <w:rFonts w:cs="FrankRuehl" w:hint="cs"/>
          <w:sz w:val="20"/>
          <w:szCs w:val="22"/>
        </w:rPr>
      </w:pPr>
      <w:r>
        <w:rPr>
          <w:rFonts w:cs="FrankRuehl" w:hint="cs"/>
          <w:sz w:val="20"/>
          <w:szCs w:val="22"/>
          <w:rtl/>
        </w:rPr>
        <w:t>1.</w:t>
      </w:r>
      <w:r>
        <w:rPr>
          <w:rFonts w:cs="FrankRuehl" w:hint="cs"/>
          <w:sz w:val="20"/>
          <w:szCs w:val="22"/>
          <w:rtl/>
        </w:rPr>
        <w:tab/>
        <w:t>הפעולה העיקרית שננקטת למיגור תופעת תחנות הדלק הפירטיות היא סגירתן. סגירת תחנת דלק פירטית נעשית באמצעות בעל התחנה המפנה את הציוד מהשטח, או באמצעות צו של בית משפט המורה לגופי הפיקוח להרוס את התחנה ולהחרי</w:t>
      </w:r>
      <w:r>
        <w:rPr>
          <w:rFonts w:cs="FrankRuehl" w:hint="cs"/>
          <w:sz w:val="20"/>
          <w:szCs w:val="22"/>
          <w:rtl/>
        </w:rPr>
        <w:t>ם את הציוד והדלק שבה. הריסת תחנת דלק דורשת החרמת ציוד, שאיבת הדלק מהתחנה, מומחיות בטיפול בחומרים מסוכנים ומשאבים להובלת הפריטים (ציוד ודלק) ולאחסונם. עד שנת 2006 תקצב משרד האנרגיה את הטיפול בפריטים שהוחרמו מתחנות הדלק הפירטיות. בשנת 2007 קבע משרד האנרגיה ב</w:t>
      </w:r>
      <w:r>
        <w:rPr>
          <w:rFonts w:cs="FrankRuehl" w:hint="cs"/>
          <w:sz w:val="20"/>
          <w:szCs w:val="22"/>
          <w:rtl/>
        </w:rPr>
        <w:t>דיון פנימי כי בעקבות השינויים בחוק משק הדלק, החרמת ציוד אינה אמצעי אכיפה יעיל והחליט להפסיק לתקצב את אחסון הפריטים שהוחרמו מתחנות הדלק הפירטיות. בעקבות החלטה זו הפסיקו המשטרה וגופי הפיקוח האחרים להחרים ציוד ולשאוב דלק מתחנות הדלק הפירטיות, ובשל כך התמעטו מ</w:t>
      </w:r>
      <w:r>
        <w:rPr>
          <w:rFonts w:cs="FrankRuehl" w:hint="cs"/>
          <w:sz w:val="20"/>
          <w:szCs w:val="22"/>
          <w:rtl/>
        </w:rPr>
        <w:t>אוד הפעולות כנגד התחנות. בשנת 2012 היו גופי הפיקוח, ובכללם משרד האנרגיה, תמימי דעים שאכיפה יעילה כנגד התחנות הפירטיות דורשת החרמת ציוד ושאיבת דלק. אולם עד מועד סיום הביקורת לא פעלו גופי הפיקוח להחרמת הפריטים, בין היתר עקב אי-הסכמות בנוגע לאחריות לאחסון ולת</w:t>
      </w:r>
      <w:r>
        <w:rPr>
          <w:rFonts w:cs="FrankRuehl" w:hint="cs"/>
          <w:sz w:val="20"/>
          <w:szCs w:val="22"/>
          <w:rtl/>
        </w:rPr>
        <w:t xml:space="preserve">קצובו. </w:t>
      </w:r>
    </w:p>
    <w:p w:rsidR="00000000">
      <w:pPr>
        <w:spacing w:after="120" w:line="230" w:lineRule="exact"/>
        <w:jc w:val="both"/>
        <w:rPr>
          <w:rFonts w:cs="FrankRuehl" w:hint="cs"/>
          <w:sz w:val="20"/>
          <w:szCs w:val="22"/>
          <w:rtl/>
        </w:rPr>
      </w:pPr>
      <w:r>
        <w:rPr>
          <w:rFonts w:cs="FrankRuehl" w:hint="cs"/>
          <w:sz w:val="20"/>
          <w:szCs w:val="22"/>
          <w:rtl/>
        </w:rPr>
        <w:t>בתשובת משרד האנרגיה נאמר כי בשנת 2010 "</w:t>
      </w:r>
      <w:r>
        <w:rPr>
          <w:rFonts w:cs="FrankRuehl"/>
          <w:sz w:val="20"/>
          <w:szCs w:val="22"/>
          <w:rtl/>
        </w:rPr>
        <w:t xml:space="preserve">נערכו ישיבות עם היחידה הכלכלית במשטרה, נשלחו פניות בכתב ליחידה זו וגם לאגף תקציבים במשרד </w:t>
      </w:r>
      <w:r>
        <w:rPr>
          <w:rFonts w:cs="FrankRuehl" w:hint="cs"/>
          <w:sz w:val="20"/>
          <w:szCs w:val="22"/>
          <w:rtl/>
        </w:rPr>
        <w:t>ל</w:t>
      </w:r>
      <w:r>
        <w:rPr>
          <w:rFonts w:cs="FrankRuehl"/>
          <w:sz w:val="20"/>
          <w:szCs w:val="22"/>
          <w:rtl/>
        </w:rPr>
        <w:t>ב</w:t>
      </w:r>
      <w:r>
        <w:rPr>
          <w:rFonts w:cs="FrankRuehl" w:hint="cs"/>
          <w:sz w:val="20"/>
          <w:szCs w:val="22"/>
          <w:rtl/>
        </w:rPr>
        <w:t>י</w:t>
      </w:r>
      <w:r>
        <w:rPr>
          <w:rFonts w:cs="FrankRuehl"/>
          <w:sz w:val="20"/>
          <w:szCs w:val="22"/>
          <w:rtl/>
        </w:rPr>
        <w:t>ט</w:t>
      </w:r>
      <w:r>
        <w:rPr>
          <w:rFonts w:cs="FrankRuehl" w:hint="cs"/>
          <w:sz w:val="20"/>
          <w:szCs w:val="22"/>
          <w:rtl/>
        </w:rPr>
        <w:t>חון הפנים</w:t>
      </w:r>
      <w:r>
        <w:rPr>
          <w:rFonts w:cs="FrankRuehl"/>
          <w:sz w:val="20"/>
          <w:szCs w:val="22"/>
          <w:rtl/>
        </w:rPr>
        <w:t xml:space="preserve"> ובהן הצעות נדיבות להשתתפות במימון מחסן למיצגים אותם המשטרה או הרשות המקומית מוסמכת לתפוס.</w:t>
      </w:r>
      <w:r>
        <w:rPr>
          <w:rFonts w:cs="FrankRuehl" w:hint="cs"/>
          <w:sz w:val="20"/>
          <w:szCs w:val="22"/>
          <w:rtl/>
        </w:rPr>
        <w:t xml:space="preserve"> </w:t>
      </w:r>
      <w:r>
        <w:rPr>
          <w:rFonts w:cs="FrankRuehl"/>
          <w:sz w:val="20"/>
          <w:szCs w:val="22"/>
          <w:rtl/>
        </w:rPr>
        <w:t>גורמים אלו מעולם</w:t>
      </w:r>
      <w:r>
        <w:rPr>
          <w:rFonts w:cs="FrankRuehl"/>
          <w:sz w:val="20"/>
          <w:szCs w:val="22"/>
          <w:rtl/>
        </w:rPr>
        <w:t xml:space="preserve"> לא שכרו את מחסן התפוסים</w:t>
      </w:r>
      <w:r>
        <w:rPr>
          <w:rFonts w:cs="FrankRuehl" w:hint="cs"/>
          <w:sz w:val="20"/>
          <w:szCs w:val="22"/>
          <w:rtl/>
        </w:rPr>
        <w:t>"</w:t>
      </w:r>
      <w:r>
        <w:rPr>
          <w:rFonts w:hint="cs"/>
          <w:szCs w:val="20"/>
          <w:rtl/>
        </w:rPr>
        <w:t xml:space="preserve">. </w:t>
      </w:r>
      <w:r>
        <w:rPr>
          <w:rFonts w:cs="FrankRuehl" w:hint="cs"/>
          <w:sz w:val="20"/>
          <w:szCs w:val="22"/>
          <w:rtl/>
        </w:rPr>
        <w:t>עוד מסר המשרד כי בעבר שכירת המחסנים נעשתה על ידו אך ניהול ההליך המשפטי נגד בעלי תחנות הדלק הפירטיות נעשה על ידי גופי פיקוח אחרים. לעתים קרובות הגוף שניהל את ההליך המשפטי התעלם לחלוטין מן הציוד שנשכח תקופה ארוכה במחסנים שהתמלאו בו</w:t>
      </w:r>
      <w:r>
        <w:rPr>
          <w:rFonts w:cs="FrankRuehl" w:hint="cs"/>
          <w:sz w:val="20"/>
          <w:szCs w:val="22"/>
          <w:rtl/>
        </w:rPr>
        <w:t>, עד כי לא הייתה אפשרות לתפיסת ציוד נוסף. עוד מסר המשרד כי הליך לבחירת מקום אחסון לדלק שהוחרם מתוכנן להתפרסם בפברואר 2013.</w:t>
      </w:r>
    </w:p>
    <w:p w:rsidR="00000000">
      <w:pPr>
        <w:spacing w:after="120" w:line="230" w:lineRule="exact"/>
        <w:jc w:val="both"/>
        <w:rPr>
          <w:rFonts w:cs="FrankRuehl" w:hint="cs"/>
          <w:sz w:val="20"/>
          <w:szCs w:val="22"/>
          <w:rtl/>
        </w:rPr>
      </w:pPr>
      <w:r>
        <w:rPr>
          <w:rFonts w:cs="FrankRuehl" w:hint="cs"/>
          <w:sz w:val="20"/>
          <w:szCs w:val="22"/>
          <w:rtl/>
        </w:rPr>
        <w:t>נציגי המשטרה מסרו למשרד מבקר המדינה שהסכום שהציע משרד האנרגיה (350,000 ש"ח) היה מספיק לשכירת מגרש אחסון לתקופה קצרה בלבד, וכי יש צורך</w:t>
      </w:r>
      <w:r>
        <w:rPr>
          <w:rFonts w:cs="FrankRuehl" w:hint="cs"/>
          <w:sz w:val="20"/>
          <w:szCs w:val="22"/>
          <w:rtl/>
        </w:rPr>
        <w:t xml:space="preserve"> להקציב כספים לאחסון וטיפול בפריטים לתקופה ממושכת, דבר שמשרד האנרגיה לא הציע. עוד מסרה המשטרה כי "לאחרונה [לאחר מועד סיום הביקורת] נמצא פתרון [לאחסון ציוד מוחרם] במחוז הדרומי (בסיוע מנהל מקרקעי ישראל), ובוצעה שם פעילות כנגד מספר תחנות דלק פירטיות", וכי "בא</w:t>
      </w:r>
      <w:r>
        <w:rPr>
          <w:rFonts w:cs="FrankRuehl" w:hint="cs"/>
          <w:sz w:val="20"/>
          <w:szCs w:val="22"/>
          <w:rtl/>
        </w:rPr>
        <w:t>ם ינתנו הכלים המתאימים (אחסון ועוד) תהא יכולת הטיפול בשיתוף כלל הגורמים יעילה יותר".</w:t>
      </w:r>
    </w:p>
    <w:p w:rsidR="00000000">
      <w:pPr>
        <w:spacing w:after="240" w:line="230" w:lineRule="exact"/>
        <w:ind w:left="12"/>
        <w:jc w:val="both"/>
        <w:rPr>
          <w:rFonts w:cs="FrankRuehl" w:hint="cs"/>
          <w:sz w:val="20"/>
          <w:szCs w:val="22"/>
          <w:rtl/>
        </w:rPr>
      </w:pPr>
      <w:r>
        <w:rPr>
          <w:rFonts w:cs="FrankRuehl" w:hint="cs"/>
          <w:sz w:val="20"/>
          <w:szCs w:val="22"/>
          <w:rtl/>
        </w:rPr>
        <w:t>בתשובתו מפברואר 2013 מסר משרד המשפטים כי משרד האנרגיה בחר [לאחר מועד סיום הביקורת] קבלן הובלות לשינוע דלק שהוחרם מתחנות דלק פירטיות ופינוי יתר הציוד נעשה בהתקשרות בין ממ"י</w:t>
      </w:r>
      <w:r>
        <w:rPr>
          <w:rFonts w:cs="FrankRuehl" w:hint="cs"/>
          <w:sz w:val="20"/>
          <w:szCs w:val="22"/>
          <w:rtl/>
        </w:rPr>
        <w:t xml:space="preserve"> לבין קבלן הריסות ופינויים. </w:t>
      </w:r>
    </w:p>
    <w:p w:rsidR="00000000">
      <w:pPr>
        <w:pStyle w:val="RESHET"/>
        <w:keepLines/>
        <w:rPr>
          <w:rFonts w:hint="cs"/>
          <w:sz w:val="20"/>
          <w:rtl/>
        </w:rPr>
      </w:pPr>
      <w:r>
        <w:rPr>
          <w:rFonts w:hint="cs"/>
          <w:sz w:val="20"/>
          <w:rtl/>
        </w:rPr>
        <w:t xml:space="preserve">לדעת משרד מבקר המדינה, אין להשלים עם מצב שבו המאבק בתחנות הדלק הפירטיות נפגע עקב חוסר שיתוף פעולה בין גופי הפיקוח השונים, אי-קבלת אחריות לנושא </w:t>
      </w:r>
      <w:r>
        <w:rPr>
          <w:sz w:val="20"/>
          <w:rtl/>
        </w:rPr>
        <w:br/>
      </w:r>
      <w:r>
        <w:rPr>
          <w:rFonts w:hint="cs"/>
          <w:sz w:val="20"/>
          <w:rtl/>
        </w:rPr>
        <w:t>ואי-הסכמות בעניין התקציב. על משרד האנרגיה לבחון עם יתר גופי הפיקוח את הדרכים לאגם א</w:t>
      </w:r>
      <w:r>
        <w:rPr>
          <w:rFonts w:hint="cs"/>
          <w:sz w:val="20"/>
          <w:rtl/>
        </w:rPr>
        <w:t xml:space="preserve">ת המשאבים הנדרשים כדי למצוא פתרון לטווח ארוך לסוגיית האחסון של פריטים המוחרמים מתחנות הדלק הפירטיות. </w:t>
      </w:r>
    </w:p>
    <w:p w:rsidR="00000000">
      <w:pPr>
        <w:tabs>
          <w:tab w:val="left" w:pos="510"/>
        </w:tabs>
        <w:spacing w:before="180" w:after="120" w:line="230" w:lineRule="exact"/>
        <w:jc w:val="both"/>
        <w:rPr>
          <w:rFonts w:cs="FrankRuehl" w:hint="cs"/>
          <w:sz w:val="20"/>
          <w:szCs w:val="22"/>
          <w:rtl/>
        </w:rPr>
      </w:pPr>
      <w:r>
        <w:rPr>
          <w:rFonts w:cs="FrankRuehl" w:hint="cs"/>
          <w:sz w:val="20"/>
          <w:szCs w:val="22"/>
          <w:rtl/>
        </w:rPr>
        <w:t>2.</w:t>
      </w:r>
      <w:r>
        <w:rPr>
          <w:rFonts w:cs="FrankRuehl" w:hint="cs"/>
          <w:sz w:val="20"/>
          <w:szCs w:val="22"/>
          <w:rtl/>
        </w:rPr>
        <w:tab/>
        <w:t>חוק התכנון והבנייה מסמיך ועדות מקומיות לתכנון ולבנייה לפעול נגד מי שבונה ללא היתר בנייה במישור המינהלי והשיפוטי. אם מתגלית בנייה ללא היתר או בסטייה מהה</w:t>
      </w:r>
      <w:r>
        <w:rPr>
          <w:rFonts w:cs="FrankRuehl" w:hint="cs"/>
          <w:sz w:val="20"/>
          <w:szCs w:val="22"/>
          <w:rtl/>
        </w:rPr>
        <w:t>יתר, הוועדה המקומית רשאית להוציא צו הפסקה מינהלי. בסמכות הוועדה אף להגיש כתב אישום לבית המשפט ובית המשפט רשאי להטיל קנס ומאסר עד שנתיים.</w:t>
      </w:r>
    </w:p>
    <w:p w:rsidR="00000000">
      <w:pPr>
        <w:tabs>
          <w:tab w:val="left" w:pos="510"/>
        </w:tabs>
        <w:spacing w:after="120" w:line="230" w:lineRule="exact"/>
        <w:jc w:val="both"/>
        <w:rPr>
          <w:rFonts w:cs="FrankRuehl" w:hint="cs"/>
          <w:sz w:val="20"/>
          <w:szCs w:val="22"/>
          <w:rtl/>
        </w:rPr>
      </w:pPr>
      <w:r>
        <w:rPr>
          <w:rFonts w:cs="FrankRuehl" w:hint="cs"/>
          <w:sz w:val="20"/>
          <w:szCs w:val="22"/>
          <w:rtl/>
        </w:rPr>
        <w:t>חוק רישוי עסקים מסמיך את ראש הרשות המקומית להורות על הפסקה ארעית של הפעילות בעסק הפועל ללא רישיון, אם בסגירת החצרים ואם</w:t>
      </w:r>
      <w:r>
        <w:rPr>
          <w:rFonts w:cs="FrankRuehl" w:hint="cs"/>
          <w:sz w:val="20"/>
          <w:szCs w:val="22"/>
          <w:rtl/>
        </w:rPr>
        <w:t xml:space="preserve"> בכל דרך אחרת הנראית לו מתאימה בנסיבות העניי</w:t>
      </w:r>
      <w:r>
        <w:rPr>
          <w:rFonts w:cs="FrankRuehl" w:hint="eastAsia"/>
          <w:sz w:val="20"/>
          <w:szCs w:val="22"/>
          <w:rtl/>
        </w:rPr>
        <w:t>ן</w:t>
      </w:r>
      <w:r>
        <w:rPr>
          <w:rFonts w:cs="FrankRuehl" w:hint="cs"/>
          <w:sz w:val="20"/>
          <w:szCs w:val="22"/>
          <w:rtl/>
        </w:rPr>
        <w:t>, כדי להביא לידי הפסקה של ממש בעיסוק. החוק מתיר לרשות המקומית להוציא צו סגירה מינהלי ל-30 יום ולהאריכו ב-30 יום נוספים, אם הוגש לבית המשפט כתב אישום על העברה שבגללה הוצא הצו. החוק אף מאפשר לראש הרשות המקומית "לה</w:t>
      </w:r>
      <w:r>
        <w:rPr>
          <w:rFonts w:cs="FrankRuehl" w:hint="cs"/>
          <w:sz w:val="20"/>
          <w:szCs w:val="22"/>
          <w:rtl/>
        </w:rPr>
        <w:t xml:space="preserve">ורות למשטרה... להיכנס לחצרים שעליהם ניתן הצו ולהרחיק מהם כל טובין שבהם, ומותר לנקוט כל אמצעים, לרבות שימוש בכוח סביר הדרוש בנסיבות העניין, כדי להבטיח ציות להוראות הצו". </w:t>
      </w:r>
    </w:p>
    <w:p w:rsidR="00000000">
      <w:pPr>
        <w:spacing w:after="120" w:line="230" w:lineRule="exact"/>
        <w:jc w:val="both"/>
        <w:rPr>
          <w:rFonts w:cs="FrankRuehl" w:hint="cs"/>
          <w:sz w:val="20"/>
          <w:szCs w:val="22"/>
          <w:rtl/>
        </w:rPr>
      </w:pPr>
      <w:r>
        <w:rPr>
          <w:rFonts w:cs="FrankRuehl" w:hint="cs"/>
          <w:sz w:val="20"/>
          <w:szCs w:val="22"/>
          <w:rtl/>
        </w:rPr>
        <w:t>מ</w:t>
      </w:r>
      <w:r>
        <w:rPr>
          <w:rFonts w:cs="FrankRuehl"/>
          <w:sz w:val="20"/>
          <w:szCs w:val="22"/>
          <w:rtl/>
        </w:rPr>
        <w:t>שרד מבקר המדינה</w:t>
      </w:r>
      <w:r>
        <w:rPr>
          <w:rFonts w:cs="FrankRuehl" w:hint="cs"/>
          <w:sz w:val="20"/>
          <w:szCs w:val="22"/>
          <w:rtl/>
        </w:rPr>
        <w:t xml:space="preserve"> בדק את הפעולות של חמש</w:t>
      </w:r>
      <w:r>
        <w:rPr>
          <w:rFonts w:cs="FrankRuehl"/>
          <w:sz w:val="20"/>
          <w:szCs w:val="22"/>
          <w:rtl/>
        </w:rPr>
        <w:t xml:space="preserve"> </w:t>
      </w:r>
      <w:r>
        <w:rPr>
          <w:rFonts w:cs="FrankRuehl" w:hint="cs"/>
          <w:sz w:val="20"/>
          <w:szCs w:val="22"/>
          <w:rtl/>
        </w:rPr>
        <w:t xml:space="preserve">רשויות </w:t>
      </w:r>
      <w:r>
        <w:rPr>
          <w:rFonts w:cs="FrankRuehl"/>
          <w:sz w:val="20"/>
          <w:szCs w:val="22"/>
          <w:rtl/>
        </w:rPr>
        <w:t>מקומיות</w:t>
      </w:r>
      <w:r>
        <w:rPr>
          <w:rStyle w:val="FootnoteReference"/>
          <w:rFonts w:cs="FrankRuehl"/>
          <w:sz w:val="20"/>
          <w:szCs w:val="22"/>
          <w:rtl/>
        </w:rPr>
        <w:footnoteReference w:id="37"/>
      </w:r>
      <w:r>
        <w:rPr>
          <w:rFonts w:cs="FrankRuehl"/>
          <w:sz w:val="20"/>
          <w:szCs w:val="22"/>
          <w:rtl/>
        </w:rPr>
        <w:t xml:space="preserve"> </w:t>
      </w:r>
      <w:r>
        <w:rPr>
          <w:rFonts w:cs="FrankRuehl" w:hint="cs"/>
          <w:sz w:val="20"/>
          <w:szCs w:val="22"/>
          <w:rtl/>
        </w:rPr>
        <w:t>ושלוש ועדות מקומיות לתכנון ולבנ</w:t>
      </w:r>
      <w:r>
        <w:rPr>
          <w:rFonts w:cs="FrankRuehl" w:hint="cs"/>
          <w:sz w:val="20"/>
          <w:szCs w:val="22"/>
          <w:rtl/>
        </w:rPr>
        <w:t>ייה</w:t>
      </w:r>
      <w:r>
        <w:rPr>
          <w:rStyle w:val="FootnoteReference"/>
          <w:rFonts w:cs="FrankRuehl"/>
          <w:sz w:val="20"/>
          <w:szCs w:val="22"/>
          <w:rtl/>
        </w:rPr>
        <w:footnoteReference w:id="38"/>
      </w:r>
      <w:r>
        <w:rPr>
          <w:rFonts w:cs="FrankRuehl"/>
          <w:sz w:val="20"/>
          <w:szCs w:val="22"/>
          <w:rtl/>
        </w:rPr>
        <w:t xml:space="preserve"> </w:t>
      </w:r>
      <w:r>
        <w:rPr>
          <w:rFonts w:cs="FrankRuehl" w:hint="cs"/>
          <w:sz w:val="20"/>
          <w:szCs w:val="22"/>
          <w:rtl/>
        </w:rPr>
        <w:t xml:space="preserve">נגד תחנות דלק פירטיות </w:t>
      </w:r>
      <w:r>
        <w:rPr>
          <w:rFonts w:cs="FrankRuehl"/>
          <w:sz w:val="20"/>
          <w:szCs w:val="22"/>
          <w:rtl/>
        </w:rPr>
        <w:t>בשנים</w:t>
      </w:r>
      <w:r>
        <w:rPr>
          <w:rFonts w:cs="FrankRuehl" w:hint="cs"/>
          <w:sz w:val="20"/>
          <w:szCs w:val="22"/>
          <w:rtl/>
        </w:rPr>
        <w:t xml:space="preserve"> 2008-2012.</w:t>
      </w:r>
      <w:r>
        <w:rPr>
          <w:rFonts w:cs="FrankRuehl"/>
          <w:sz w:val="20"/>
          <w:szCs w:val="22"/>
          <w:rtl/>
        </w:rPr>
        <w:t xml:space="preserve"> </w:t>
      </w:r>
      <w:r>
        <w:rPr>
          <w:rFonts w:cs="FrankRuehl" w:hint="cs"/>
          <w:sz w:val="20"/>
          <w:szCs w:val="22"/>
          <w:rtl/>
        </w:rPr>
        <w:t>הועלה כי שבע מהרשויות והוועדות המקומיות לתכנון ולבנייה שנבדקו לא ביצעו פעולות אכיפה נגד תחנות דלק פירטיות ורק הוועדה המרחבית לתכנון ולבנייה גליל מזרחי נקטה צעדים נגד תחנות אלו שבתחומה. בעקבות צעדי הוועדה נסגרו שת</w:t>
      </w:r>
      <w:r>
        <w:rPr>
          <w:rFonts w:cs="FrankRuehl" w:hint="cs"/>
          <w:sz w:val="20"/>
          <w:szCs w:val="22"/>
          <w:rtl/>
        </w:rPr>
        <w:t>י תחנות דלק פירטיות בתחום שיפוטה לאחר מועד סיום הביקורת.</w:t>
      </w:r>
      <w:r>
        <w:rPr>
          <w:rFonts w:cs="FrankRuehl" w:hint="cs"/>
          <w:b/>
          <w:bCs/>
          <w:sz w:val="20"/>
          <w:szCs w:val="22"/>
          <w:rtl/>
        </w:rPr>
        <w:t xml:space="preserve"> </w:t>
      </w:r>
      <w:r>
        <w:rPr>
          <w:rFonts w:cs="FrankRuehl" w:hint="cs"/>
          <w:sz w:val="20"/>
          <w:szCs w:val="22"/>
          <w:rtl/>
        </w:rPr>
        <w:t xml:space="preserve">הוועדה המקומית לתכנון ולבנייה שמעונים מסרה בתשובתה מפברואר 2013 למשרד מבקר המדינה כי "תפעל להגשת כתבי אישום ככל שתאתר מיכלים בחצרות או תקבל מידע בנושא". </w:t>
      </w:r>
    </w:p>
    <w:p w:rsidR="00000000">
      <w:pPr>
        <w:spacing w:after="120" w:line="230" w:lineRule="exact"/>
        <w:jc w:val="both"/>
        <w:rPr>
          <w:rFonts w:cs="FrankRuehl"/>
          <w:sz w:val="20"/>
          <w:szCs w:val="22"/>
          <w:rtl/>
        </w:rPr>
      </w:pPr>
      <w:r>
        <w:rPr>
          <w:rFonts w:cs="FrankRuehl" w:hint="cs"/>
          <w:sz w:val="20"/>
          <w:szCs w:val="22"/>
          <w:rtl/>
        </w:rPr>
        <w:t>משרד מבקר המדינה מעיר לרשויות המקומיות ולוועד</w:t>
      </w:r>
      <w:r>
        <w:rPr>
          <w:rFonts w:cs="FrankRuehl" w:hint="cs"/>
          <w:sz w:val="20"/>
          <w:szCs w:val="22"/>
          <w:rtl/>
        </w:rPr>
        <w:t xml:space="preserve">ות לתכנון ולבנייה שנבדקו כי עליהן להפעיל את הסמכויות המוקנות להן בחוק רישוי עסקים ובחוק התכנון והבנייה ולפעול נגד תחנות הדלק הפירטיות במישור המינהלי והשיפוטי. </w:t>
      </w:r>
    </w:p>
    <w:p w:rsidR="00000000">
      <w:pPr>
        <w:spacing w:after="120" w:line="230" w:lineRule="exact"/>
        <w:jc w:val="both"/>
        <w:rPr>
          <w:rFonts w:cs="FrankRuehl" w:hint="cs"/>
          <w:sz w:val="20"/>
          <w:szCs w:val="22"/>
          <w:rtl/>
        </w:rPr>
      </w:pPr>
      <w:r>
        <w:rPr>
          <w:rFonts w:cs="FrankRuehl" w:hint="cs"/>
          <w:sz w:val="20"/>
          <w:szCs w:val="22"/>
          <w:rtl/>
        </w:rPr>
        <w:t>יצוין כי בשנים 2008-2011 פעלה יחידת הפיקוח של משרד הפנים נגד שבע תחנות דלק פירטיות בכל שנה בממוצ</w:t>
      </w:r>
      <w:r>
        <w:rPr>
          <w:rFonts w:cs="FrankRuehl" w:hint="cs"/>
          <w:sz w:val="20"/>
          <w:szCs w:val="22"/>
          <w:rtl/>
        </w:rPr>
        <w:t>ע. אף כי ממרץ 2012 הרחיבה היחידה את פעולותיה בדרום הארץ, התופעה בכללה עדיין קיימת. כך למשל, ממרץ 2012 עד מועד סיום הביקורת נפתחו הליכים נגד 76 תחנות פירטיות</w:t>
      </w:r>
      <w:r>
        <w:rPr>
          <w:rStyle w:val="FootnoteReference"/>
          <w:rFonts w:cs="FrankRuehl"/>
          <w:sz w:val="20"/>
          <w:szCs w:val="22"/>
          <w:rtl/>
        </w:rPr>
        <w:footnoteReference w:id="39"/>
      </w:r>
      <w:r>
        <w:rPr>
          <w:rFonts w:cs="FrankRuehl" w:hint="cs"/>
          <w:sz w:val="20"/>
          <w:szCs w:val="22"/>
          <w:rtl/>
        </w:rPr>
        <w:t>. 28 מהן נסגרו על ידי בעליהן ולכן לא היה צורך בהחרמת הציוד והדלק שלהן. בשאר המקרים המשך הטיפול הועב</w:t>
      </w:r>
      <w:r>
        <w:rPr>
          <w:rFonts w:cs="FrankRuehl" w:hint="cs"/>
          <w:sz w:val="20"/>
          <w:szCs w:val="22"/>
          <w:rtl/>
        </w:rPr>
        <w:t xml:space="preserve">ר לפרקליטות המדינה, למועצות המקומיות או לוועדות המקומיות. </w:t>
      </w:r>
    </w:p>
    <w:p w:rsidR="00000000">
      <w:pPr>
        <w:spacing w:after="120" w:line="230" w:lineRule="exact"/>
        <w:jc w:val="both"/>
        <w:rPr>
          <w:rFonts w:cs="FrankRuehl" w:hint="cs"/>
          <w:sz w:val="20"/>
          <w:szCs w:val="22"/>
          <w:rtl/>
        </w:rPr>
      </w:pPr>
      <w:r>
        <w:rPr>
          <w:rFonts w:cs="FrankRuehl" w:hint="cs"/>
          <w:sz w:val="20"/>
          <w:szCs w:val="22"/>
          <w:rtl/>
        </w:rPr>
        <w:t>3.</w:t>
      </w:r>
      <w:r>
        <w:rPr>
          <w:rFonts w:cs="FrankRuehl" w:hint="cs"/>
          <w:sz w:val="20"/>
          <w:szCs w:val="22"/>
          <w:rtl/>
        </w:rPr>
        <w:tab/>
      </w:r>
      <w:r>
        <w:rPr>
          <w:rFonts w:cs="FrankRuehl"/>
          <w:sz w:val="20"/>
          <w:szCs w:val="22"/>
          <w:rtl/>
        </w:rPr>
        <w:t>חוק משק הדלק</w:t>
      </w:r>
      <w:r>
        <w:rPr>
          <w:rStyle w:val="FootnoteReference"/>
          <w:rFonts w:cs="FrankRuehl"/>
          <w:sz w:val="20"/>
          <w:szCs w:val="22"/>
          <w:rtl/>
        </w:rPr>
        <w:footnoteReference w:id="40"/>
      </w:r>
      <w:r>
        <w:rPr>
          <w:rFonts w:cs="FrankRuehl"/>
          <w:sz w:val="20"/>
          <w:szCs w:val="22"/>
          <w:rtl/>
        </w:rPr>
        <w:t xml:space="preserve"> </w:t>
      </w:r>
      <w:r>
        <w:rPr>
          <w:rFonts w:cs="FrankRuehl" w:hint="cs"/>
          <w:sz w:val="20"/>
          <w:szCs w:val="22"/>
          <w:rtl/>
        </w:rPr>
        <w:t xml:space="preserve">מסמיך את משרד האנרגיה </w:t>
      </w:r>
      <w:r>
        <w:rPr>
          <w:rFonts w:cs="FrankRuehl"/>
          <w:sz w:val="20"/>
          <w:szCs w:val="22"/>
          <w:rtl/>
        </w:rPr>
        <w:t>להטיל עיצו</w:t>
      </w:r>
      <w:r>
        <w:rPr>
          <w:rFonts w:cs="FrankRuehl" w:hint="cs"/>
          <w:sz w:val="20"/>
          <w:szCs w:val="22"/>
          <w:rtl/>
        </w:rPr>
        <w:t>מים</w:t>
      </w:r>
      <w:r>
        <w:rPr>
          <w:rFonts w:cs="FrankRuehl"/>
          <w:sz w:val="20"/>
          <w:szCs w:val="22"/>
          <w:rtl/>
        </w:rPr>
        <w:t xml:space="preserve"> כספי</w:t>
      </w:r>
      <w:r>
        <w:rPr>
          <w:rFonts w:cs="FrankRuehl" w:hint="cs"/>
          <w:sz w:val="20"/>
          <w:szCs w:val="22"/>
          <w:rtl/>
        </w:rPr>
        <w:t>ים</w:t>
      </w:r>
      <w:r>
        <w:rPr>
          <w:rFonts w:cs="FrankRuehl"/>
          <w:sz w:val="20"/>
          <w:szCs w:val="22"/>
          <w:rtl/>
        </w:rPr>
        <w:t xml:space="preserve"> </w:t>
      </w:r>
      <w:r>
        <w:rPr>
          <w:rFonts w:cs="FrankRuehl" w:hint="cs"/>
          <w:sz w:val="20"/>
          <w:szCs w:val="22"/>
          <w:rtl/>
        </w:rPr>
        <w:t xml:space="preserve">בשיעור </w:t>
      </w:r>
      <w:r>
        <w:rPr>
          <w:rFonts w:cs="FrankRuehl"/>
          <w:sz w:val="20"/>
          <w:szCs w:val="22"/>
          <w:rtl/>
        </w:rPr>
        <w:t xml:space="preserve">הקנס </w:t>
      </w:r>
      <w:r>
        <w:rPr>
          <w:rFonts w:cs="FrankRuehl" w:hint="cs"/>
          <w:sz w:val="20"/>
          <w:szCs w:val="22"/>
          <w:rtl/>
        </w:rPr>
        <w:t>ש</w:t>
      </w:r>
      <w:r>
        <w:rPr>
          <w:rFonts w:cs="FrankRuehl"/>
          <w:sz w:val="20"/>
          <w:szCs w:val="22"/>
          <w:rtl/>
        </w:rPr>
        <w:t>בסעיף 61(א)(3) לחוק העונשין</w:t>
      </w:r>
      <w:r>
        <w:rPr>
          <w:rFonts w:cs="FrankRuehl" w:hint="cs"/>
          <w:sz w:val="20"/>
          <w:szCs w:val="22"/>
          <w:rtl/>
        </w:rPr>
        <w:t xml:space="preserve"> (בסך 75,300 ש"ח) או פי עשרה מהקנס האמור</w:t>
      </w:r>
      <w:r>
        <w:rPr>
          <w:rFonts w:cs="FrankRuehl"/>
          <w:sz w:val="20"/>
          <w:szCs w:val="22"/>
          <w:rtl/>
        </w:rPr>
        <w:t xml:space="preserve">, או </w:t>
      </w:r>
      <w:r>
        <w:rPr>
          <w:rFonts w:cs="FrankRuehl" w:hint="cs"/>
          <w:sz w:val="20"/>
          <w:szCs w:val="22"/>
          <w:rtl/>
        </w:rPr>
        <w:t xml:space="preserve">לבקש מבית המשפט להטיל </w:t>
      </w:r>
      <w:r>
        <w:rPr>
          <w:rFonts w:cs="FrankRuehl"/>
          <w:sz w:val="20"/>
          <w:szCs w:val="22"/>
          <w:rtl/>
        </w:rPr>
        <w:t>מאסר של שישה חודשים על מי שמוכ</w:t>
      </w:r>
      <w:r>
        <w:rPr>
          <w:rFonts w:cs="FrankRuehl"/>
          <w:sz w:val="20"/>
          <w:szCs w:val="22"/>
          <w:rtl/>
        </w:rPr>
        <w:t>ר או מספק דלק לתחנת תדלוק שאינה כלולה ברשימת התחנות שמנהל מינהל הדלק</w:t>
      </w:r>
      <w:r>
        <w:rPr>
          <w:rFonts w:cs="FrankRuehl" w:hint="cs"/>
          <w:sz w:val="20"/>
          <w:szCs w:val="22"/>
          <w:rtl/>
        </w:rPr>
        <w:t>. בעברות שמניבות רווח כלכלי לעבריין, דוגמת אספקת דלק לתחנה פירטית, אכיפה אפקטיבית מחייבת שסכום הקנס יעשה את העברה לא משתלמת כלכלית. לכן חוק משק הדלק מאפשר להטיל קנסות גדולים יחסית. משרד מב</w:t>
      </w:r>
      <w:r>
        <w:rPr>
          <w:rFonts w:cs="FrankRuehl" w:hint="cs"/>
          <w:sz w:val="20"/>
          <w:szCs w:val="22"/>
          <w:rtl/>
        </w:rPr>
        <w:t xml:space="preserve">קר המדינה בדק את השימוש שעשה משרד האנרגיה בכלים האמורים נגד ספקי הדלק לתחנות דלק פירטיות. </w:t>
      </w:r>
    </w:p>
    <w:p w:rsidR="00000000">
      <w:pPr>
        <w:spacing w:after="120" w:line="230" w:lineRule="exact"/>
        <w:jc w:val="both"/>
        <w:rPr>
          <w:rFonts w:cs="FrankRuehl" w:hint="cs"/>
          <w:sz w:val="20"/>
          <w:szCs w:val="22"/>
          <w:rtl/>
        </w:rPr>
      </w:pPr>
      <w:r>
        <w:rPr>
          <w:rFonts w:cs="FrankRuehl" w:hint="cs"/>
          <w:sz w:val="20"/>
          <w:szCs w:val="22"/>
          <w:rtl/>
        </w:rPr>
        <w:t>כאמור לעיל, בישראל פועלות כ-100 תחנות דלק פירטיות. למרות זאת מינואר 2008 עד יוני 2010 הטיל מינהל הדלק רק ארבעה עיצומים כספיים, ולא גבה אותם. במהלך שנת 2011 הפסיקה הל</w:t>
      </w:r>
      <w:r>
        <w:rPr>
          <w:rFonts w:cs="FrankRuehl" w:hint="cs"/>
          <w:sz w:val="20"/>
          <w:szCs w:val="22"/>
          <w:rtl/>
        </w:rPr>
        <w:t>שכה המשפטית במשרד האנרגיה את הטיפול בגביית 22 עיצומים כספיים שהוטלו בשנים 2006-2007 מהסיבות האלה:   (א)  תחנת הדלק נסגרה ומטרת הפעולה הושגה;   (ב)  חלף זמן רב ממועד התפיסה;   (ג)  אין די ראיות נגד התחנה;   (ד)  נסיבות העניין אינן מצדיקות הטלת עיצומים כספיי</w:t>
      </w:r>
      <w:r>
        <w:rPr>
          <w:rFonts w:cs="FrankRuehl" w:hint="cs"/>
          <w:sz w:val="20"/>
          <w:szCs w:val="22"/>
          <w:rtl/>
        </w:rPr>
        <w:t>ם. מיולי</w:t>
      </w:r>
      <w:r>
        <w:rPr>
          <w:rFonts w:cs="FrankRuehl"/>
          <w:sz w:val="20"/>
          <w:szCs w:val="22"/>
          <w:rtl/>
        </w:rPr>
        <w:t xml:space="preserve"> 2010 ועד מועד סיום הביקורת</w:t>
      </w:r>
      <w:r>
        <w:rPr>
          <w:rFonts w:cs="FrankRuehl" w:hint="cs"/>
          <w:sz w:val="20"/>
          <w:szCs w:val="22"/>
          <w:rtl/>
        </w:rPr>
        <w:t xml:space="preserve"> באוקטובר 2012</w:t>
      </w:r>
      <w:r>
        <w:rPr>
          <w:rFonts w:cs="FrankRuehl"/>
          <w:sz w:val="20"/>
          <w:szCs w:val="22"/>
          <w:rtl/>
        </w:rPr>
        <w:t xml:space="preserve"> לא </w:t>
      </w:r>
      <w:r>
        <w:rPr>
          <w:rFonts w:cs="FrankRuehl" w:hint="cs"/>
          <w:sz w:val="20"/>
          <w:szCs w:val="22"/>
          <w:rtl/>
        </w:rPr>
        <w:t>הפעיל</w:t>
      </w:r>
      <w:r>
        <w:rPr>
          <w:rFonts w:cs="FrankRuehl"/>
          <w:sz w:val="20"/>
          <w:szCs w:val="22"/>
          <w:rtl/>
        </w:rPr>
        <w:t xml:space="preserve"> מינהל הדלק </w:t>
      </w:r>
      <w:r>
        <w:rPr>
          <w:rFonts w:cs="FrankRuehl" w:hint="cs"/>
          <w:sz w:val="20"/>
          <w:szCs w:val="22"/>
          <w:rtl/>
        </w:rPr>
        <w:t>את הסמכויות שלו נגד גופים ה</w:t>
      </w:r>
      <w:r>
        <w:rPr>
          <w:rFonts w:cs="FrankRuehl"/>
          <w:sz w:val="20"/>
          <w:szCs w:val="22"/>
          <w:rtl/>
        </w:rPr>
        <w:t>מ</w:t>
      </w:r>
      <w:r>
        <w:rPr>
          <w:rFonts w:cs="FrankRuehl" w:hint="cs"/>
          <w:sz w:val="20"/>
          <w:szCs w:val="22"/>
          <w:rtl/>
        </w:rPr>
        <w:t xml:space="preserve">וכרים או מספקים </w:t>
      </w:r>
      <w:r>
        <w:rPr>
          <w:rFonts w:cs="FrankRuehl"/>
          <w:sz w:val="20"/>
          <w:szCs w:val="22"/>
          <w:rtl/>
        </w:rPr>
        <w:t xml:space="preserve">דלק לתחנת </w:t>
      </w:r>
      <w:r>
        <w:rPr>
          <w:rFonts w:cs="FrankRuehl" w:hint="cs"/>
          <w:sz w:val="20"/>
          <w:szCs w:val="22"/>
          <w:rtl/>
        </w:rPr>
        <w:t>דלק פירטית.</w:t>
      </w:r>
    </w:p>
    <w:p w:rsidR="00000000">
      <w:pPr>
        <w:spacing w:after="240" w:line="230" w:lineRule="exact"/>
        <w:jc w:val="both"/>
        <w:rPr>
          <w:rFonts w:cs="FrankRuehl" w:hint="cs"/>
          <w:sz w:val="20"/>
          <w:szCs w:val="22"/>
          <w:rtl/>
        </w:rPr>
      </w:pPr>
      <w:r>
        <w:rPr>
          <w:rFonts w:cs="FrankRuehl" w:hint="cs"/>
          <w:sz w:val="20"/>
          <w:szCs w:val="22"/>
          <w:rtl/>
        </w:rPr>
        <w:t>מתשובתו של משרד האנרגיה למשרד מבקר המדינה עולה כי נוהל בעניין הטלה וגבייה של עיצומים ייכת</w:t>
      </w:r>
      <w:r>
        <w:rPr>
          <w:rFonts w:cs="FrankRuehl" w:hint="eastAsia"/>
          <w:sz w:val="20"/>
          <w:szCs w:val="22"/>
          <w:rtl/>
        </w:rPr>
        <w:t>ב</w:t>
      </w:r>
      <w:r>
        <w:rPr>
          <w:rFonts w:cs="FrankRuehl" w:hint="cs"/>
          <w:sz w:val="20"/>
          <w:szCs w:val="22"/>
          <w:rtl/>
        </w:rPr>
        <w:t xml:space="preserve"> ברבעון הראשון של שנת 2013. עו</w:t>
      </w:r>
      <w:r>
        <w:rPr>
          <w:rFonts w:cs="FrankRuehl" w:hint="cs"/>
          <w:sz w:val="20"/>
          <w:szCs w:val="22"/>
          <w:rtl/>
        </w:rPr>
        <w:t xml:space="preserve">ד עולה מתשובתו כי חלק מהעיצומים לא נגבו מאחר שהיו "קשיים ראייתים" בתיק העיצומים. </w:t>
      </w:r>
    </w:p>
    <w:p w:rsidR="00000000">
      <w:pPr>
        <w:pStyle w:val="RESHET"/>
        <w:keepLines/>
        <w:rPr>
          <w:rFonts w:hint="cs"/>
          <w:sz w:val="20"/>
          <w:rtl/>
        </w:rPr>
      </w:pPr>
      <w:r>
        <w:rPr>
          <w:rFonts w:hint="cs"/>
          <w:sz w:val="20"/>
          <w:rtl/>
        </w:rPr>
        <w:t xml:space="preserve">משרד מבקר המדינה מעיר למשרד האנרגיה כי </w:t>
      </w:r>
      <w:r>
        <w:rPr>
          <w:sz w:val="20"/>
          <w:rtl/>
        </w:rPr>
        <w:t xml:space="preserve">מטרת החוק </w:t>
      </w:r>
      <w:r>
        <w:rPr>
          <w:rFonts w:hint="cs"/>
          <w:sz w:val="20"/>
          <w:rtl/>
        </w:rPr>
        <w:t xml:space="preserve">היא </w:t>
      </w:r>
      <w:r>
        <w:rPr>
          <w:sz w:val="20"/>
          <w:rtl/>
        </w:rPr>
        <w:t xml:space="preserve">למנוע אספקת דלק לתחנות </w:t>
      </w:r>
      <w:r>
        <w:rPr>
          <w:rFonts w:hint="cs"/>
          <w:sz w:val="20"/>
          <w:rtl/>
        </w:rPr>
        <w:t>ש</w:t>
      </w:r>
      <w:r>
        <w:rPr>
          <w:sz w:val="20"/>
          <w:rtl/>
        </w:rPr>
        <w:t xml:space="preserve">אין </w:t>
      </w:r>
      <w:r>
        <w:rPr>
          <w:rFonts w:hint="cs"/>
          <w:sz w:val="20"/>
          <w:rtl/>
        </w:rPr>
        <w:t>להן האישורים הסטטוטוריים הנדרשים. לכן סגירת תחנת דלק אינה יכולה להיחש</w:t>
      </w:r>
      <w:r>
        <w:rPr>
          <w:rFonts w:hint="eastAsia"/>
          <w:sz w:val="20"/>
          <w:rtl/>
        </w:rPr>
        <w:t>ב</w:t>
      </w:r>
      <w:r>
        <w:rPr>
          <w:rFonts w:hint="cs"/>
          <w:sz w:val="20"/>
          <w:rtl/>
        </w:rPr>
        <w:t xml:space="preserve"> עילה לסגירת תיק חקירה,</w:t>
      </w:r>
      <w:r>
        <w:rPr>
          <w:rFonts w:hint="cs"/>
          <w:sz w:val="20"/>
          <w:rtl/>
        </w:rPr>
        <w:t xml:space="preserve"> בין היתר מכיוון שהעיצום הכספי מוטל לפי חוק משק הדלק על מי שמוכר דלק לתחנת דלק פירטית, וסגירת תחנה אחת אין פירושה שהספק שלה אינו מוסיף למכור דלק לתחנות אחרות. על משרד האנרגיה לקבוע, כאמור לעיל, נוהל להטלה וגבייה של עיצומים כספיים, ולנקוט שימוש רחב יותר בסמ</w:t>
      </w:r>
      <w:r>
        <w:rPr>
          <w:rFonts w:hint="cs"/>
          <w:sz w:val="20"/>
          <w:rtl/>
        </w:rPr>
        <w:t xml:space="preserve">כויות שהחוק מקנה לו להטיל עיצומים כספיים על מפרי החוק ולוודא את גבייתם. </w:t>
      </w:r>
    </w:p>
    <w:p w:rsidR="00000000">
      <w:pPr>
        <w:spacing w:before="180" w:after="120" w:line="230" w:lineRule="exact"/>
        <w:jc w:val="both"/>
        <w:rPr>
          <w:rFonts w:cs="FrankRuehl" w:hint="cs"/>
          <w:sz w:val="20"/>
          <w:szCs w:val="22"/>
          <w:rtl/>
        </w:rPr>
      </w:pPr>
      <w:r>
        <w:rPr>
          <w:rFonts w:cs="FrankRuehl" w:hint="cs"/>
          <w:sz w:val="20"/>
          <w:szCs w:val="22"/>
          <w:rtl/>
        </w:rPr>
        <w:t>4.</w:t>
      </w:r>
      <w:r>
        <w:rPr>
          <w:rFonts w:cs="FrankRuehl" w:hint="cs"/>
          <w:sz w:val="20"/>
          <w:szCs w:val="22"/>
          <w:rtl/>
        </w:rPr>
        <w:tab/>
      </w:r>
      <w:r>
        <w:rPr>
          <w:rFonts w:cs="FrankRuehl"/>
          <w:sz w:val="20"/>
          <w:szCs w:val="22"/>
          <w:rtl/>
        </w:rPr>
        <w:t>בש</w:t>
      </w:r>
      <w:r>
        <w:rPr>
          <w:rFonts w:cs="FrankRuehl" w:hint="cs"/>
          <w:sz w:val="20"/>
          <w:szCs w:val="22"/>
          <w:rtl/>
        </w:rPr>
        <w:t>נים 2009-2011 הקימה פרקליטות המדינה במחוז חיפה ובמחוז הדרום "צוות אכיפה מצומצם" (</w:t>
      </w:r>
      <w:r>
        <w:rPr>
          <w:rFonts w:cs="FrankRuehl"/>
          <w:sz w:val="20"/>
          <w:szCs w:val="22"/>
          <w:rtl/>
        </w:rPr>
        <w:t>פורום "שולחן עגול"</w:t>
      </w:r>
      <w:r>
        <w:rPr>
          <w:rFonts w:cs="FrankRuehl" w:hint="cs"/>
          <w:sz w:val="20"/>
          <w:szCs w:val="22"/>
          <w:rtl/>
        </w:rPr>
        <w:t>)</w:t>
      </w:r>
      <w:r>
        <w:rPr>
          <w:rFonts w:cs="FrankRuehl"/>
          <w:sz w:val="20"/>
          <w:szCs w:val="22"/>
          <w:rtl/>
        </w:rPr>
        <w:t xml:space="preserve"> לקידום אכיפה כלכלית כללית</w:t>
      </w:r>
      <w:r>
        <w:rPr>
          <w:rFonts w:cs="FrankRuehl" w:hint="cs"/>
          <w:sz w:val="20"/>
          <w:szCs w:val="22"/>
          <w:rtl/>
        </w:rPr>
        <w:t xml:space="preserve"> </w:t>
      </w:r>
      <w:r>
        <w:rPr>
          <w:rFonts w:cs="FrankRuehl"/>
          <w:sz w:val="20"/>
          <w:szCs w:val="22"/>
          <w:rtl/>
        </w:rPr>
        <w:t>(להלן</w:t>
      </w:r>
      <w:r>
        <w:rPr>
          <w:rFonts w:cs="FrankRuehl" w:hint="cs"/>
          <w:sz w:val="20"/>
          <w:szCs w:val="22"/>
          <w:rtl/>
        </w:rPr>
        <w:t xml:space="preserve"> </w:t>
      </w:r>
      <w:r>
        <w:rPr>
          <w:rFonts w:cs="FrankRuehl"/>
          <w:sz w:val="20"/>
          <w:szCs w:val="22"/>
          <w:rtl/>
        </w:rPr>
        <w:t>-</w:t>
      </w:r>
      <w:r>
        <w:rPr>
          <w:rFonts w:cs="FrankRuehl" w:hint="cs"/>
          <w:sz w:val="20"/>
          <w:szCs w:val="22"/>
          <w:rtl/>
        </w:rPr>
        <w:t xml:space="preserve"> </w:t>
      </w:r>
      <w:r>
        <w:rPr>
          <w:rFonts w:cs="FrankRuehl"/>
          <w:sz w:val="20"/>
          <w:szCs w:val="22"/>
          <w:rtl/>
        </w:rPr>
        <w:t xml:space="preserve">הפורום). </w:t>
      </w:r>
      <w:r>
        <w:rPr>
          <w:rFonts w:cs="FrankRuehl" w:hint="cs"/>
          <w:sz w:val="20"/>
          <w:szCs w:val="22"/>
          <w:rtl/>
        </w:rPr>
        <w:t>בראש הפורומים</w:t>
      </w:r>
      <w:r>
        <w:rPr>
          <w:rFonts w:cs="FrankRuehl"/>
          <w:sz w:val="20"/>
          <w:szCs w:val="22"/>
          <w:rtl/>
        </w:rPr>
        <w:t xml:space="preserve"> </w:t>
      </w:r>
      <w:r>
        <w:rPr>
          <w:rFonts w:cs="FrankRuehl" w:hint="cs"/>
          <w:sz w:val="20"/>
          <w:szCs w:val="22"/>
          <w:rtl/>
        </w:rPr>
        <w:t xml:space="preserve">עומדים נציגי </w:t>
      </w:r>
      <w:r>
        <w:rPr>
          <w:rFonts w:cs="FrankRuehl"/>
          <w:sz w:val="20"/>
          <w:szCs w:val="22"/>
          <w:rtl/>
        </w:rPr>
        <w:t>פרקליטו</w:t>
      </w:r>
      <w:r>
        <w:rPr>
          <w:rFonts w:cs="FrankRuehl"/>
          <w:sz w:val="20"/>
          <w:szCs w:val="22"/>
          <w:rtl/>
        </w:rPr>
        <w:t xml:space="preserve">ת </w:t>
      </w:r>
      <w:r>
        <w:rPr>
          <w:rFonts w:cs="FrankRuehl" w:hint="cs"/>
          <w:sz w:val="20"/>
          <w:szCs w:val="22"/>
          <w:rtl/>
        </w:rPr>
        <w:t xml:space="preserve">המחוז </w:t>
      </w:r>
      <w:r>
        <w:rPr>
          <w:rFonts w:cs="FrankRuehl"/>
          <w:sz w:val="20"/>
          <w:szCs w:val="22"/>
          <w:rtl/>
        </w:rPr>
        <w:t>(אזרחית)</w:t>
      </w:r>
      <w:r>
        <w:rPr>
          <w:rFonts w:cs="FrankRuehl" w:hint="cs"/>
          <w:sz w:val="20"/>
          <w:szCs w:val="22"/>
          <w:rtl/>
        </w:rPr>
        <w:t xml:space="preserve">, </w:t>
      </w:r>
      <w:r>
        <w:rPr>
          <w:rFonts w:cs="FrankRuehl"/>
          <w:sz w:val="20"/>
          <w:szCs w:val="22"/>
          <w:rtl/>
        </w:rPr>
        <w:t>ו</w:t>
      </w:r>
      <w:r>
        <w:rPr>
          <w:rFonts w:cs="FrankRuehl" w:hint="cs"/>
          <w:sz w:val="20"/>
          <w:szCs w:val="22"/>
          <w:rtl/>
        </w:rPr>
        <w:t xml:space="preserve">הוא </w:t>
      </w:r>
      <w:r>
        <w:rPr>
          <w:rFonts w:cs="FrankRuehl"/>
          <w:sz w:val="20"/>
          <w:szCs w:val="22"/>
          <w:rtl/>
        </w:rPr>
        <w:t xml:space="preserve">כולל נציגים </w:t>
      </w:r>
      <w:r>
        <w:rPr>
          <w:rFonts w:cs="FrankRuehl" w:hint="cs"/>
          <w:sz w:val="20"/>
          <w:szCs w:val="22"/>
          <w:rtl/>
        </w:rPr>
        <w:t xml:space="preserve">של </w:t>
      </w:r>
      <w:r>
        <w:rPr>
          <w:rFonts w:cs="FrankRuehl"/>
          <w:sz w:val="20"/>
          <w:szCs w:val="22"/>
          <w:rtl/>
        </w:rPr>
        <w:t>משטרת ישראל</w:t>
      </w:r>
      <w:r>
        <w:rPr>
          <w:rFonts w:cs="FrankRuehl" w:hint="cs"/>
          <w:sz w:val="20"/>
          <w:szCs w:val="22"/>
          <w:rtl/>
        </w:rPr>
        <w:t>,</w:t>
      </w:r>
      <w:r>
        <w:rPr>
          <w:rFonts w:cs="FrankRuehl"/>
          <w:sz w:val="20"/>
          <w:szCs w:val="22"/>
          <w:rtl/>
        </w:rPr>
        <w:t xml:space="preserve"> משרד הפנים</w:t>
      </w:r>
      <w:r>
        <w:rPr>
          <w:rFonts w:cs="FrankRuehl" w:hint="cs"/>
          <w:sz w:val="20"/>
          <w:szCs w:val="22"/>
          <w:rtl/>
        </w:rPr>
        <w:t>,</w:t>
      </w:r>
      <w:r>
        <w:rPr>
          <w:rFonts w:cs="FrankRuehl"/>
          <w:sz w:val="20"/>
          <w:szCs w:val="22"/>
          <w:rtl/>
        </w:rPr>
        <w:t xml:space="preserve"> משרד האנרגיה</w:t>
      </w:r>
      <w:r>
        <w:rPr>
          <w:rFonts w:cs="FrankRuehl" w:hint="cs"/>
          <w:sz w:val="20"/>
          <w:szCs w:val="22"/>
          <w:rtl/>
        </w:rPr>
        <w:t>,</w:t>
      </w:r>
      <w:r>
        <w:rPr>
          <w:rFonts w:cs="FrankRuehl"/>
          <w:sz w:val="20"/>
          <w:szCs w:val="22"/>
          <w:rtl/>
        </w:rPr>
        <w:t xml:space="preserve"> </w:t>
      </w:r>
      <w:r>
        <w:rPr>
          <w:rFonts w:cs="FrankRuehl" w:hint="cs"/>
          <w:sz w:val="20"/>
          <w:szCs w:val="22"/>
          <w:rtl/>
        </w:rPr>
        <w:t>ממ"י,</w:t>
      </w:r>
      <w:r>
        <w:rPr>
          <w:rFonts w:cs="FrankRuehl"/>
          <w:sz w:val="20"/>
          <w:szCs w:val="22"/>
          <w:rtl/>
        </w:rPr>
        <w:t xml:space="preserve"> רשות המסים</w:t>
      </w:r>
      <w:r>
        <w:rPr>
          <w:rFonts w:cs="FrankRuehl" w:hint="cs"/>
          <w:sz w:val="20"/>
          <w:szCs w:val="22"/>
          <w:rtl/>
        </w:rPr>
        <w:t xml:space="preserve"> ו</w:t>
      </w:r>
      <w:r>
        <w:rPr>
          <w:rFonts w:cs="FrankRuehl"/>
          <w:sz w:val="20"/>
          <w:szCs w:val="22"/>
          <w:rtl/>
        </w:rPr>
        <w:t xml:space="preserve">המשטרה הירוקה </w:t>
      </w:r>
      <w:r>
        <w:rPr>
          <w:rFonts w:cs="FrankRuehl" w:hint="cs"/>
          <w:sz w:val="20"/>
          <w:szCs w:val="22"/>
          <w:rtl/>
        </w:rPr>
        <w:t>של המשרד להגנת הסביבה</w:t>
      </w:r>
      <w:r>
        <w:rPr>
          <w:rFonts w:cs="FrankRuehl"/>
          <w:sz w:val="20"/>
          <w:szCs w:val="22"/>
          <w:rtl/>
        </w:rPr>
        <w:t>. הפורו</w:t>
      </w:r>
      <w:r>
        <w:rPr>
          <w:rFonts w:cs="FrankRuehl" w:hint="cs"/>
          <w:sz w:val="20"/>
          <w:szCs w:val="22"/>
          <w:rtl/>
        </w:rPr>
        <w:t>ם מיועד, בין היתר, ל</w:t>
      </w:r>
      <w:r>
        <w:rPr>
          <w:rFonts w:cs="FrankRuehl"/>
          <w:sz w:val="20"/>
          <w:szCs w:val="22"/>
          <w:rtl/>
        </w:rPr>
        <w:t xml:space="preserve">לימוד הנושא </w:t>
      </w:r>
      <w:r>
        <w:rPr>
          <w:rFonts w:cs="FrankRuehl" w:hint="cs"/>
          <w:sz w:val="20"/>
          <w:szCs w:val="22"/>
          <w:rtl/>
        </w:rPr>
        <w:t xml:space="preserve">של תחנות דלק פירטיות </w:t>
      </w:r>
      <w:r>
        <w:rPr>
          <w:rFonts w:cs="FrankRuehl"/>
          <w:sz w:val="20"/>
          <w:szCs w:val="22"/>
          <w:rtl/>
        </w:rPr>
        <w:t>ו</w:t>
      </w:r>
      <w:r>
        <w:rPr>
          <w:rFonts w:cs="FrankRuehl" w:hint="cs"/>
          <w:sz w:val="20"/>
          <w:szCs w:val="22"/>
          <w:rtl/>
        </w:rPr>
        <w:t>ל</w:t>
      </w:r>
      <w:r>
        <w:rPr>
          <w:rFonts w:cs="FrankRuehl"/>
          <w:sz w:val="20"/>
          <w:szCs w:val="22"/>
          <w:rtl/>
        </w:rPr>
        <w:t xml:space="preserve">מציאת פתרון לבעיות המעכבות את הטיפול </w:t>
      </w:r>
      <w:r>
        <w:rPr>
          <w:rFonts w:cs="FrankRuehl" w:hint="cs"/>
          <w:sz w:val="20"/>
          <w:szCs w:val="22"/>
          <w:rtl/>
        </w:rPr>
        <w:t>בהן.</w:t>
      </w:r>
      <w:r>
        <w:rPr>
          <w:rFonts w:cs="FrankRuehl"/>
          <w:sz w:val="20"/>
          <w:szCs w:val="22"/>
          <w:rtl/>
        </w:rPr>
        <w:t xml:space="preserve"> </w:t>
      </w:r>
    </w:p>
    <w:p w:rsidR="00000000">
      <w:pPr>
        <w:spacing w:after="240" w:line="230" w:lineRule="exact"/>
        <w:ind w:left="12"/>
        <w:jc w:val="both"/>
        <w:rPr>
          <w:rFonts w:cs="FrankRuehl" w:hint="cs"/>
          <w:sz w:val="20"/>
          <w:szCs w:val="22"/>
          <w:rtl/>
        </w:rPr>
      </w:pPr>
      <w:r>
        <w:rPr>
          <w:rFonts w:cs="FrankRuehl" w:hint="cs"/>
          <w:sz w:val="20"/>
          <w:szCs w:val="22"/>
          <w:rtl/>
        </w:rPr>
        <w:t>המשטרה כתבה בתשובתה כ</w:t>
      </w:r>
      <w:r>
        <w:rPr>
          <w:rFonts w:cs="FrankRuehl" w:hint="cs"/>
          <w:sz w:val="20"/>
          <w:szCs w:val="22"/>
          <w:rtl/>
        </w:rPr>
        <w:t>י בכוונתה להרחיב למחוזות נוספים את הפעילות במודל שהופעל לאחרונה בהצלחה במחוז הדרומי בשיתוף גורמי הפיקוח.</w:t>
      </w:r>
    </w:p>
    <w:p w:rsidR="00000000">
      <w:pPr>
        <w:pStyle w:val="RESHET"/>
        <w:keepLines/>
        <w:rPr>
          <w:rFonts w:hint="cs"/>
          <w:sz w:val="20"/>
          <w:rtl/>
        </w:rPr>
      </w:pPr>
      <w:r>
        <w:rPr>
          <w:rFonts w:hint="cs"/>
          <w:sz w:val="20"/>
          <w:rtl/>
        </w:rPr>
        <w:t>לדעת משרד מבקר המדינה, הטיפול בתחנות דלק פירטיות דורש שיתוף פעולה בין כל גופי הפיקוח בהובלת משרד האנרגיה, כדי שיפעילו את מלוא סמכויותיהם בעת ובעונה אחת</w:t>
      </w:r>
      <w:r>
        <w:rPr>
          <w:rFonts w:hint="cs"/>
          <w:sz w:val="20"/>
          <w:rtl/>
        </w:rPr>
        <w:t xml:space="preserve"> נגד מפעילי תחנות דלק פירטיות. ההתארגנות של הפורום לפעילות משותפת נגד תחנות דלק פירטיות היא גישה מועילה, ויש לעודד אותה במטרה לשפר את האכיפה גם בתחום תחנות הדלק הפירטיות. </w:t>
      </w:r>
    </w:p>
    <w:p w:rsidR="00000000">
      <w:pPr>
        <w:tabs>
          <w:tab w:val="left" w:pos="84"/>
        </w:tabs>
        <w:spacing w:before="180" w:after="240" w:line="230" w:lineRule="exact"/>
        <w:ind w:left="-58"/>
        <w:jc w:val="both"/>
        <w:rPr>
          <w:rFonts w:cs="FrankRuehl" w:hint="cs"/>
          <w:sz w:val="20"/>
          <w:szCs w:val="22"/>
          <w:rtl/>
        </w:rPr>
      </w:pPr>
      <w:r>
        <w:rPr>
          <w:rFonts w:cs="FrankRuehl" w:hint="cs"/>
          <w:sz w:val="20"/>
          <w:szCs w:val="22"/>
          <w:rtl/>
        </w:rPr>
        <w:t>5.</w:t>
      </w:r>
      <w:r>
        <w:rPr>
          <w:rFonts w:cs="FrankRuehl" w:hint="cs"/>
          <w:sz w:val="20"/>
          <w:szCs w:val="22"/>
          <w:rtl/>
        </w:rPr>
        <w:tab/>
      </w:r>
      <w:r>
        <w:rPr>
          <w:rFonts w:cs="FrankRuehl" w:hint="cs"/>
          <w:sz w:val="20"/>
          <w:szCs w:val="22"/>
          <w:rtl/>
        </w:rPr>
        <w:tab/>
        <w:t>מינהל מקרקעי ישראל (</w:t>
      </w:r>
      <w:r>
        <w:rPr>
          <w:rFonts w:cs="FrankRuehl"/>
          <w:sz w:val="20"/>
          <w:szCs w:val="22"/>
          <w:rtl/>
        </w:rPr>
        <w:t>ממ"י</w:t>
      </w:r>
      <w:r>
        <w:rPr>
          <w:rFonts w:cs="FrankRuehl" w:hint="cs"/>
          <w:sz w:val="20"/>
          <w:szCs w:val="22"/>
          <w:rtl/>
        </w:rPr>
        <w:t>)</w:t>
      </w:r>
      <w:r>
        <w:rPr>
          <w:rFonts w:cs="FrankRuehl"/>
          <w:sz w:val="20"/>
          <w:szCs w:val="22"/>
          <w:rtl/>
        </w:rPr>
        <w:t xml:space="preserve"> הוא הגוף המנהל על פי חוק</w:t>
      </w:r>
      <w:r>
        <w:rPr>
          <w:rStyle w:val="FootnoteReference"/>
          <w:rFonts w:cs="FrankRuehl"/>
          <w:sz w:val="20"/>
          <w:szCs w:val="22"/>
          <w:rtl/>
        </w:rPr>
        <w:footnoteReference w:id="41"/>
      </w:r>
      <w:r>
        <w:rPr>
          <w:rFonts w:cs="FrankRuehl"/>
          <w:sz w:val="20"/>
          <w:szCs w:val="22"/>
          <w:rtl/>
        </w:rPr>
        <w:t xml:space="preserve"> את קרקעות המדינה</w:t>
      </w:r>
      <w:r>
        <w:rPr>
          <w:rFonts w:cs="FrankRuehl" w:hint="cs"/>
          <w:sz w:val="20"/>
          <w:szCs w:val="22"/>
          <w:rtl/>
        </w:rPr>
        <w:t>,</w:t>
      </w:r>
      <w:r>
        <w:rPr>
          <w:rFonts w:cs="FrankRuehl"/>
          <w:sz w:val="20"/>
          <w:szCs w:val="22"/>
          <w:rtl/>
        </w:rPr>
        <w:t xml:space="preserve"> </w:t>
      </w:r>
      <w:r>
        <w:rPr>
          <w:rFonts w:cs="FrankRuehl" w:hint="cs"/>
          <w:sz w:val="20"/>
          <w:szCs w:val="22"/>
          <w:rtl/>
        </w:rPr>
        <w:t>שהן</w:t>
      </w:r>
      <w:r>
        <w:rPr>
          <w:rFonts w:cs="FrankRuehl"/>
          <w:sz w:val="20"/>
          <w:szCs w:val="22"/>
          <w:rtl/>
        </w:rPr>
        <w:t xml:space="preserve"> </w:t>
      </w:r>
      <w:r>
        <w:rPr>
          <w:rFonts w:cs="FrankRuehl" w:hint="cs"/>
          <w:sz w:val="20"/>
          <w:szCs w:val="22"/>
          <w:rtl/>
        </w:rPr>
        <w:br/>
      </w:r>
      <w:r>
        <w:rPr>
          <w:rFonts w:cs="FrankRuehl"/>
          <w:sz w:val="20"/>
          <w:szCs w:val="22"/>
          <w:rtl/>
        </w:rPr>
        <w:t>כ-93%</w:t>
      </w:r>
      <w:r>
        <w:rPr>
          <w:rFonts w:cs="FrankRuehl"/>
          <w:sz w:val="20"/>
          <w:szCs w:val="22"/>
          <w:rtl/>
        </w:rPr>
        <w:t xml:space="preserve"> משטח מדינת ישראל</w:t>
      </w:r>
      <w:r>
        <w:rPr>
          <w:rFonts w:cs="FrankRuehl" w:hint="cs"/>
          <w:sz w:val="20"/>
          <w:szCs w:val="22"/>
          <w:rtl/>
        </w:rPr>
        <w:t xml:space="preserve">, ומפקח </w:t>
      </w:r>
      <w:r>
        <w:rPr>
          <w:rFonts w:cs="FrankRuehl"/>
          <w:sz w:val="20"/>
          <w:szCs w:val="22"/>
          <w:rtl/>
        </w:rPr>
        <w:t xml:space="preserve">על </w:t>
      </w:r>
      <w:r>
        <w:rPr>
          <w:rFonts w:cs="FrankRuehl" w:hint="cs"/>
          <w:sz w:val="20"/>
          <w:szCs w:val="22"/>
          <w:rtl/>
        </w:rPr>
        <w:t>ה</w:t>
      </w:r>
      <w:r>
        <w:rPr>
          <w:rFonts w:cs="FrankRuehl"/>
          <w:sz w:val="20"/>
          <w:szCs w:val="22"/>
          <w:rtl/>
        </w:rPr>
        <w:t xml:space="preserve">שימוש </w:t>
      </w:r>
      <w:r>
        <w:rPr>
          <w:rFonts w:cs="FrankRuehl" w:hint="cs"/>
          <w:sz w:val="20"/>
          <w:szCs w:val="22"/>
          <w:rtl/>
        </w:rPr>
        <w:t>בהן.</w:t>
      </w:r>
      <w:r>
        <w:rPr>
          <w:rFonts w:cs="FrankRuehl"/>
          <w:sz w:val="20"/>
          <w:szCs w:val="22"/>
          <w:rtl/>
        </w:rPr>
        <w:t xml:space="preserve"> </w:t>
      </w:r>
      <w:r>
        <w:rPr>
          <w:rFonts w:cs="FrankRuehl" w:hint="cs"/>
          <w:sz w:val="20"/>
          <w:szCs w:val="22"/>
          <w:rtl/>
        </w:rPr>
        <w:t xml:space="preserve">הניהול נעשה </w:t>
      </w:r>
      <w:r>
        <w:rPr>
          <w:rFonts w:cs="FrankRuehl"/>
          <w:sz w:val="20"/>
          <w:szCs w:val="22"/>
          <w:rtl/>
        </w:rPr>
        <w:t xml:space="preserve">בהתאם למדיניות </w:t>
      </w:r>
      <w:r>
        <w:rPr>
          <w:rFonts w:cs="FrankRuehl" w:hint="cs"/>
          <w:sz w:val="20"/>
          <w:szCs w:val="22"/>
          <w:rtl/>
        </w:rPr>
        <w:t xml:space="preserve">שקובעת </w:t>
      </w:r>
      <w:r>
        <w:rPr>
          <w:rFonts w:cs="FrankRuehl"/>
          <w:sz w:val="20"/>
          <w:szCs w:val="22"/>
          <w:rtl/>
        </w:rPr>
        <w:t>מועצת מקרקעי ישראל</w:t>
      </w:r>
      <w:r>
        <w:rPr>
          <w:rFonts w:cs="FrankRuehl" w:hint="cs"/>
          <w:sz w:val="20"/>
          <w:szCs w:val="22"/>
          <w:rtl/>
        </w:rPr>
        <w:t xml:space="preserve">. עשרות </w:t>
      </w:r>
      <w:r>
        <w:rPr>
          <w:rFonts w:cs="FrankRuehl"/>
          <w:sz w:val="20"/>
          <w:szCs w:val="22"/>
          <w:rtl/>
        </w:rPr>
        <w:t xml:space="preserve">תחנות דלק פירטיות במחוז </w:t>
      </w:r>
      <w:r>
        <w:rPr>
          <w:rFonts w:cs="FrankRuehl" w:hint="cs"/>
          <w:sz w:val="20"/>
          <w:szCs w:val="22"/>
          <w:rtl/>
        </w:rPr>
        <w:t>ה</w:t>
      </w:r>
      <w:r>
        <w:rPr>
          <w:rFonts w:cs="FrankRuehl"/>
          <w:sz w:val="20"/>
          <w:szCs w:val="22"/>
          <w:rtl/>
        </w:rPr>
        <w:t xml:space="preserve">דרום של ממ"י </w:t>
      </w:r>
      <w:r>
        <w:rPr>
          <w:rFonts w:cs="FrankRuehl" w:hint="cs"/>
          <w:sz w:val="20"/>
          <w:szCs w:val="22"/>
          <w:rtl/>
        </w:rPr>
        <w:t>נמצאות על קרקע שממ"י חתם עם רוכשיה על הסכמי פיתוח מכר</w:t>
      </w:r>
      <w:r>
        <w:rPr>
          <w:rStyle w:val="FootnoteReference"/>
          <w:rFonts w:cs="FrankRuehl"/>
          <w:sz w:val="20"/>
          <w:szCs w:val="22"/>
          <w:rtl/>
        </w:rPr>
        <w:footnoteReference w:id="42"/>
      </w:r>
      <w:r>
        <w:rPr>
          <w:rFonts w:cs="FrankRuehl" w:hint="cs"/>
          <w:sz w:val="20"/>
          <w:szCs w:val="22"/>
          <w:rtl/>
        </w:rPr>
        <w:t xml:space="preserve"> (להלן - ההסכמים). בחלק מההסכמים נקבע שהקרקעות מיועדות למגורים, </w:t>
      </w:r>
      <w:r>
        <w:rPr>
          <w:rFonts w:cs="FrankRuehl" w:hint="cs"/>
          <w:sz w:val="20"/>
          <w:szCs w:val="22"/>
          <w:rtl/>
        </w:rPr>
        <w:t xml:space="preserve">ואם ייעשה בהן שימוש אחר, ממ"י יהיה רשאי לבטל את ההסכם. </w:t>
      </w:r>
    </w:p>
    <w:p w:rsidR="00000000">
      <w:pPr>
        <w:pStyle w:val="RESHET"/>
        <w:keepLines/>
        <w:rPr>
          <w:rFonts w:hint="cs"/>
          <w:sz w:val="20"/>
          <w:rtl/>
        </w:rPr>
      </w:pPr>
      <w:r>
        <w:rPr>
          <w:rFonts w:hint="cs"/>
          <w:sz w:val="20"/>
          <w:rtl/>
        </w:rPr>
        <w:t>הביקורת העלתה כי אף שממ"י היה ער לפעילותן של התחנות האמורות, הוא לא פעל לביטול ההסכמים עם רוכשי הקרקעות.</w:t>
      </w:r>
    </w:p>
    <w:p w:rsidR="00000000">
      <w:pPr>
        <w:spacing w:after="120" w:line="230" w:lineRule="exact"/>
        <w:jc w:val="both"/>
        <w:rPr>
          <w:rFonts w:cs="FrankRuehl" w:hint="cs"/>
          <w:sz w:val="20"/>
          <w:szCs w:val="22"/>
          <w:rtl/>
        </w:rPr>
      </w:pPr>
    </w:p>
    <w:p w:rsidR="00000000">
      <w:pPr>
        <w:spacing w:after="120" w:line="230" w:lineRule="exact"/>
        <w:jc w:val="both"/>
        <w:rPr>
          <w:rFonts w:cs="FrankRuehl" w:hint="cs"/>
          <w:sz w:val="20"/>
          <w:szCs w:val="22"/>
          <w:rtl/>
        </w:rPr>
      </w:pPr>
    </w:p>
    <w:p w:rsidR="00000000">
      <w:pPr>
        <w:pStyle w:val="KOT4"/>
        <w:rPr>
          <w:rFonts w:hint="cs"/>
          <w:rtl/>
        </w:rPr>
      </w:pPr>
      <w:r>
        <w:rPr>
          <w:rFonts w:hint="cs"/>
          <w:rtl/>
        </w:rPr>
        <w:t>תחנות דלק פנימיות</w:t>
      </w:r>
    </w:p>
    <w:p w:rsidR="00000000">
      <w:pPr>
        <w:spacing w:after="120" w:line="230" w:lineRule="exact"/>
        <w:jc w:val="both"/>
        <w:rPr>
          <w:rFonts w:cs="FrankRuehl" w:hint="cs"/>
          <w:sz w:val="20"/>
          <w:szCs w:val="22"/>
          <w:rtl/>
        </w:rPr>
      </w:pPr>
      <w:r>
        <w:rPr>
          <w:rStyle w:val="7"/>
          <w:rFonts w:cs="FrankRuehl" w:hint="cs"/>
          <w:spacing w:val="0"/>
          <w:sz w:val="20"/>
          <w:szCs w:val="22"/>
          <w:rtl/>
        </w:rPr>
        <w:t>1.</w:t>
      </w:r>
      <w:r>
        <w:rPr>
          <w:rStyle w:val="7"/>
          <w:rFonts w:cs="FrankRuehl" w:hint="cs"/>
          <w:sz w:val="20"/>
          <w:szCs w:val="22"/>
          <w:rtl/>
        </w:rPr>
        <w:tab/>
        <w:t>הסדרת השימוש החורג של תחנות פנימיות בקרקע חקלאית</w:t>
      </w:r>
      <w:r>
        <w:rPr>
          <w:rStyle w:val="7"/>
          <w:rFonts w:cs="FrankRuehl"/>
          <w:sz w:val="20"/>
          <w:szCs w:val="22"/>
          <w:rtl/>
        </w:rPr>
        <w:t>:</w:t>
      </w:r>
      <w:r>
        <w:rPr>
          <w:rFonts w:cs="FrankRuehl" w:hint="cs"/>
          <w:sz w:val="20"/>
          <w:szCs w:val="22"/>
          <w:rtl/>
        </w:rPr>
        <w:t xml:space="preserve"> בהחלטה 949 מפברואר 200</w:t>
      </w:r>
      <w:r>
        <w:rPr>
          <w:rFonts w:cs="FrankRuehl" w:hint="cs"/>
          <w:sz w:val="20"/>
          <w:szCs w:val="22"/>
          <w:rtl/>
        </w:rPr>
        <w:t>3 (להלן-החלטה 949) אפשר ממ"י לחברי האגודות החקלאיות ביישובים חקלאיים פתרונות תעסוקה חלופיים כולל שימוש במקרקעין לצורך הפעלת תחנת דלק</w:t>
      </w:r>
      <w:r>
        <w:rPr>
          <w:rStyle w:val="FootnoteReference"/>
          <w:rFonts w:cs="FrankRuehl"/>
          <w:sz w:val="20"/>
          <w:szCs w:val="22"/>
          <w:rtl/>
        </w:rPr>
        <w:footnoteReference w:id="43"/>
      </w:r>
      <w:r>
        <w:rPr>
          <w:rFonts w:cs="FrankRuehl" w:hint="cs"/>
          <w:sz w:val="20"/>
          <w:szCs w:val="22"/>
          <w:rtl/>
        </w:rPr>
        <w:t xml:space="preserve">. </w:t>
      </w:r>
      <w:r>
        <w:rPr>
          <w:rFonts w:cs="FrankRuehl" w:hint="cs"/>
          <w:snapToGrid w:val="0"/>
          <w:sz w:val="20"/>
          <w:szCs w:val="22"/>
          <w:rtl/>
        </w:rPr>
        <w:t>על פי ה</w:t>
      </w:r>
      <w:r>
        <w:rPr>
          <w:rFonts w:cs="FrankRuehl"/>
          <w:snapToGrid w:val="0"/>
          <w:sz w:val="20"/>
          <w:szCs w:val="22"/>
          <w:rtl/>
        </w:rPr>
        <w:t>החלט</w:t>
      </w:r>
      <w:r>
        <w:rPr>
          <w:rFonts w:cs="FrankRuehl" w:hint="cs"/>
          <w:snapToGrid w:val="0"/>
          <w:sz w:val="20"/>
          <w:szCs w:val="22"/>
          <w:rtl/>
        </w:rPr>
        <w:t>ה</w:t>
      </w:r>
      <w:r>
        <w:rPr>
          <w:rFonts w:cs="FrankRuehl"/>
          <w:snapToGrid w:val="0"/>
          <w:sz w:val="20"/>
          <w:szCs w:val="22"/>
          <w:rtl/>
        </w:rPr>
        <w:t xml:space="preserve">, דמי השימוש השנתיים </w:t>
      </w:r>
      <w:r>
        <w:rPr>
          <w:rFonts w:cs="FrankRuehl" w:hint="cs"/>
          <w:snapToGrid w:val="0"/>
          <w:sz w:val="20"/>
          <w:szCs w:val="22"/>
          <w:rtl/>
        </w:rPr>
        <w:t>עבור ה</w:t>
      </w:r>
      <w:r>
        <w:rPr>
          <w:rFonts w:cs="FrankRuehl"/>
          <w:snapToGrid w:val="0"/>
          <w:sz w:val="20"/>
          <w:szCs w:val="22"/>
          <w:rtl/>
        </w:rPr>
        <w:t xml:space="preserve">שימוש </w:t>
      </w:r>
      <w:r>
        <w:rPr>
          <w:rFonts w:cs="FrankRuehl" w:hint="cs"/>
          <w:snapToGrid w:val="0"/>
          <w:sz w:val="20"/>
          <w:szCs w:val="22"/>
          <w:rtl/>
        </w:rPr>
        <w:t>ה</w:t>
      </w:r>
      <w:r>
        <w:rPr>
          <w:rFonts w:cs="FrankRuehl"/>
          <w:snapToGrid w:val="0"/>
          <w:sz w:val="20"/>
          <w:szCs w:val="22"/>
          <w:rtl/>
        </w:rPr>
        <w:t>חורג</w:t>
      </w:r>
      <w:r>
        <w:rPr>
          <w:rFonts w:cs="FrankRuehl" w:hint="cs"/>
          <w:snapToGrid w:val="0"/>
          <w:sz w:val="20"/>
          <w:szCs w:val="22"/>
          <w:rtl/>
        </w:rPr>
        <w:t xml:space="preserve"> בקרקע</w:t>
      </w:r>
      <w:r>
        <w:rPr>
          <w:rFonts w:cs="FrankRuehl"/>
          <w:snapToGrid w:val="0"/>
          <w:sz w:val="20"/>
          <w:szCs w:val="22"/>
          <w:rtl/>
        </w:rPr>
        <w:t xml:space="preserve"> יהיו בשיעור</w:t>
      </w:r>
      <w:r>
        <w:rPr>
          <w:rFonts w:cs="FrankRuehl" w:hint="cs"/>
          <w:snapToGrid w:val="0"/>
          <w:sz w:val="20"/>
          <w:szCs w:val="22"/>
          <w:rtl/>
        </w:rPr>
        <w:t xml:space="preserve"> משווי הקרקע, ושיעור זה ייקבע על פי האזור שבו נמצאת ה</w:t>
      </w:r>
      <w:r>
        <w:rPr>
          <w:rFonts w:cs="FrankRuehl" w:hint="cs"/>
          <w:snapToGrid w:val="0"/>
          <w:sz w:val="20"/>
          <w:szCs w:val="22"/>
          <w:rtl/>
        </w:rPr>
        <w:t>קרקע ונע בין 2% ל- 6%.</w:t>
      </w:r>
    </w:p>
    <w:p w:rsidR="00000000">
      <w:pPr>
        <w:tabs>
          <w:tab w:val="left" w:pos="510"/>
        </w:tabs>
        <w:spacing w:after="240" w:line="230" w:lineRule="exact"/>
        <w:jc w:val="both"/>
        <w:rPr>
          <w:rFonts w:cs="FrankRuehl" w:hint="cs"/>
          <w:sz w:val="20"/>
          <w:szCs w:val="22"/>
          <w:rtl/>
        </w:rPr>
      </w:pPr>
      <w:r>
        <w:rPr>
          <w:rFonts w:cs="FrankRuehl" w:hint="cs"/>
          <w:sz w:val="20"/>
          <w:szCs w:val="22"/>
          <w:rtl/>
        </w:rPr>
        <w:t>(א)</w:t>
      </w:r>
      <w:r>
        <w:rPr>
          <w:rFonts w:cs="FrankRuehl" w:hint="cs"/>
          <w:sz w:val="20"/>
          <w:szCs w:val="22"/>
          <w:rtl/>
        </w:rPr>
        <w:tab/>
      </w:r>
      <w:r>
        <w:rPr>
          <w:rFonts w:cs="FrankRuehl"/>
          <w:sz w:val="20"/>
          <w:szCs w:val="22"/>
          <w:rtl/>
        </w:rPr>
        <w:t xml:space="preserve">במאי 2003 </w:t>
      </w:r>
      <w:r>
        <w:rPr>
          <w:rFonts w:cs="FrankRuehl" w:hint="cs"/>
          <w:sz w:val="20"/>
          <w:szCs w:val="22"/>
          <w:rtl/>
        </w:rPr>
        <w:t>הודיעה דוברות ממ"י</w:t>
      </w:r>
      <w:r>
        <w:rPr>
          <w:rFonts w:cs="FrankRuehl"/>
          <w:sz w:val="20"/>
          <w:szCs w:val="22"/>
          <w:rtl/>
        </w:rPr>
        <w:t xml:space="preserve"> כי </w:t>
      </w:r>
      <w:r>
        <w:rPr>
          <w:rFonts w:cs="FrankRuehl" w:hint="cs"/>
          <w:sz w:val="20"/>
          <w:szCs w:val="22"/>
          <w:rtl/>
        </w:rPr>
        <w:t xml:space="preserve">ממ"י </w:t>
      </w:r>
      <w:r>
        <w:rPr>
          <w:rFonts w:cs="FrankRuehl"/>
          <w:sz w:val="20"/>
          <w:szCs w:val="22"/>
          <w:rtl/>
        </w:rPr>
        <w:t xml:space="preserve">יפעל נגד תחנות דלק </w:t>
      </w:r>
      <w:r>
        <w:rPr>
          <w:rFonts w:cs="FrankRuehl" w:hint="cs"/>
          <w:sz w:val="20"/>
          <w:szCs w:val="22"/>
          <w:rtl/>
        </w:rPr>
        <w:t>פנימיות</w:t>
      </w:r>
      <w:r>
        <w:rPr>
          <w:rStyle w:val="FootnoteReference"/>
          <w:rFonts w:cs="FrankRuehl"/>
          <w:sz w:val="20"/>
          <w:szCs w:val="22"/>
          <w:rtl/>
        </w:rPr>
        <w:footnoteReference w:id="44"/>
      </w:r>
      <w:r>
        <w:rPr>
          <w:rFonts w:cs="FrankRuehl" w:hint="cs"/>
          <w:sz w:val="20"/>
          <w:szCs w:val="22"/>
          <w:rtl/>
        </w:rPr>
        <w:t xml:space="preserve"> הפועלות על </w:t>
      </w:r>
      <w:r>
        <w:rPr>
          <w:rFonts w:cs="FrankRuehl"/>
          <w:sz w:val="20"/>
          <w:szCs w:val="22"/>
          <w:rtl/>
        </w:rPr>
        <w:t>קרקעות חקלאיות</w:t>
      </w:r>
      <w:r>
        <w:rPr>
          <w:rFonts w:cs="FrankRuehl" w:hint="cs"/>
          <w:sz w:val="20"/>
          <w:szCs w:val="22"/>
          <w:rtl/>
        </w:rPr>
        <w:t xml:space="preserve"> ובהן מתבצעת פעילות </w:t>
      </w:r>
      <w:r>
        <w:rPr>
          <w:rFonts w:cs="FrankRuehl"/>
          <w:sz w:val="20"/>
          <w:szCs w:val="22"/>
          <w:rtl/>
        </w:rPr>
        <w:t>מסחרית</w:t>
      </w:r>
      <w:r>
        <w:rPr>
          <w:rFonts w:cs="FrankRuehl" w:hint="cs"/>
          <w:sz w:val="20"/>
          <w:szCs w:val="22"/>
          <w:rtl/>
        </w:rPr>
        <w:t xml:space="preserve">. </w:t>
      </w:r>
      <w:r>
        <w:rPr>
          <w:rFonts w:cs="FrankRuehl"/>
          <w:sz w:val="20"/>
          <w:szCs w:val="22"/>
          <w:rtl/>
        </w:rPr>
        <w:t>בשנת 200</w:t>
      </w:r>
      <w:r>
        <w:rPr>
          <w:rFonts w:cs="FrankRuehl" w:hint="cs"/>
          <w:sz w:val="20"/>
          <w:szCs w:val="22"/>
          <w:rtl/>
        </w:rPr>
        <w:t>6</w:t>
      </w:r>
      <w:r>
        <w:rPr>
          <w:rFonts w:cs="FrankRuehl"/>
          <w:sz w:val="20"/>
          <w:szCs w:val="22"/>
          <w:rtl/>
        </w:rPr>
        <w:t xml:space="preserve"> ביצע אגף הפיקוח ב</w:t>
      </w:r>
      <w:r>
        <w:rPr>
          <w:rFonts w:cs="FrankRuehl" w:hint="cs"/>
          <w:sz w:val="20"/>
          <w:szCs w:val="22"/>
          <w:rtl/>
        </w:rPr>
        <w:t>ממ"י</w:t>
      </w:r>
      <w:r>
        <w:rPr>
          <w:rFonts w:cs="FrankRuehl"/>
          <w:sz w:val="20"/>
          <w:szCs w:val="22"/>
          <w:rtl/>
        </w:rPr>
        <w:t xml:space="preserve"> סקר ובו מיפה </w:t>
      </w:r>
      <w:r>
        <w:rPr>
          <w:rFonts w:cs="FrankRuehl" w:hint="cs"/>
          <w:sz w:val="20"/>
          <w:szCs w:val="22"/>
          <w:rtl/>
        </w:rPr>
        <w:t>את ה</w:t>
      </w:r>
      <w:r>
        <w:rPr>
          <w:rFonts w:cs="FrankRuehl"/>
          <w:sz w:val="20"/>
          <w:szCs w:val="22"/>
          <w:rtl/>
        </w:rPr>
        <w:t xml:space="preserve">תחנות </w:t>
      </w:r>
      <w:r>
        <w:rPr>
          <w:rFonts w:cs="FrankRuehl" w:hint="cs"/>
          <w:sz w:val="20"/>
          <w:szCs w:val="22"/>
          <w:rtl/>
        </w:rPr>
        <w:t>ה</w:t>
      </w:r>
      <w:r>
        <w:rPr>
          <w:rFonts w:cs="FrankRuehl"/>
          <w:sz w:val="20"/>
          <w:szCs w:val="22"/>
          <w:rtl/>
        </w:rPr>
        <w:t xml:space="preserve">פנימיות </w:t>
      </w:r>
      <w:r>
        <w:rPr>
          <w:rFonts w:cs="FrankRuehl" w:hint="cs"/>
          <w:sz w:val="20"/>
          <w:szCs w:val="22"/>
          <w:rtl/>
        </w:rPr>
        <w:t xml:space="preserve">הפועלות על </w:t>
      </w:r>
      <w:r>
        <w:rPr>
          <w:rFonts w:cs="FrankRuehl"/>
          <w:sz w:val="20"/>
          <w:szCs w:val="22"/>
          <w:rtl/>
        </w:rPr>
        <w:t>קרקעות חקלאיות</w:t>
      </w:r>
      <w:r>
        <w:rPr>
          <w:rFonts w:cs="FrankRuehl" w:hint="cs"/>
          <w:sz w:val="20"/>
          <w:szCs w:val="22"/>
          <w:rtl/>
        </w:rPr>
        <w:t xml:space="preserve"> ובדק אם נעשה בהן </w:t>
      </w:r>
      <w:r>
        <w:rPr>
          <w:rFonts w:cs="FrankRuehl"/>
          <w:sz w:val="20"/>
          <w:szCs w:val="22"/>
          <w:rtl/>
        </w:rPr>
        <w:t>שימו</w:t>
      </w:r>
      <w:r>
        <w:rPr>
          <w:rFonts w:cs="FrankRuehl"/>
          <w:sz w:val="20"/>
          <w:szCs w:val="22"/>
          <w:rtl/>
        </w:rPr>
        <w:t xml:space="preserve">ש מסחרי. </w:t>
      </w:r>
      <w:r>
        <w:rPr>
          <w:rFonts w:cs="FrankRuehl" w:hint="cs"/>
          <w:sz w:val="20"/>
          <w:szCs w:val="22"/>
          <w:rtl/>
        </w:rPr>
        <w:t xml:space="preserve">תוצאות </w:t>
      </w:r>
      <w:r>
        <w:rPr>
          <w:rFonts w:cs="FrankRuehl"/>
          <w:sz w:val="20"/>
          <w:szCs w:val="22"/>
          <w:rtl/>
        </w:rPr>
        <w:t xml:space="preserve">הסקר </w:t>
      </w:r>
      <w:r>
        <w:rPr>
          <w:rFonts w:cs="FrankRuehl" w:hint="cs"/>
          <w:sz w:val="20"/>
          <w:szCs w:val="22"/>
          <w:rtl/>
        </w:rPr>
        <w:t xml:space="preserve">נמסרו </w:t>
      </w:r>
      <w:r>
        <w:rPr>
          <w:rFonts w:cs="FrankRuehl"/>
          <w:sz w:val="20"/>
          <w:szCs w:val="22"/>
          <w:rtl/>
        </w:rPr>
        <w:t xml:space="preserve">למחוזות </w:t>
      </w:r>
      <w:r>
        <w:rPr>
          <w:rFonts w:cs="FrankRuehl" w:hint="cs"/>
          <w:sz w:val="20"/>
          <w:szCs w:val="22"/>
          <w:rtl/>
        </w:rPr>
        <w:t>ממ"י</w:t>
      </w:r>
      <w:r>
        <w:rPr>
          <w:rFonts w:cs="FrankRuehl"/>
          <w:sz w:val="20"/>
          <w:szCs w:val="22"/>
          <w:rtl/>
        </w:rPr>
        <w:t xml:space="preserve">, על מנת </w:t>
      </w:r>
      <w:r>
        <w:rPr>
          <w:rFonts w:cs="FrankRuehl" w:hint="cs"/>
          <w:sz w:val="20"/>
          <w:szCs w:val="22"/>
          <w:rtl/>
        </w:rPr>
        <w:t xml:space="preserve">שיחתמו במידת הצורך </w:t>
      </w:r>
      <w:r>
        <w:rPr>
          <w:rFonts w:cs="FrankRuehl"/>
          <w:sz w:val="20"/>
          <w:szCs w:val="22"/>
          <w:rtl/>
        </w:rPr>
        <w:t>על הסכמי חכירה חדשים</w:t>
      </w:r>
      <w:r>
        <w:rPr>
          <w:rFonts w:cs="FrankRuehl" w:hint="cs"/>
          <w:sz w:val="20"/>
          <w:szCs w:val="22"/>
          <w:rtl/>
        </w:rPr>
        <w:t xml:space="preserve"> לפי החלטה 949.</w:t>
      </w:r>
      <w:r>
        <w:rPr>
          <w:rFonts w:cs="FrankRuehl"/>
          <w:sz w:val="20"/>
          <w:szCs w:val="22"/>
          <w:rtl/>
        </w:rPr>
        <w:t xml:space="preserve"> </w:t>
      </w:r>
      <w:r>
        <w:rPr>
          <w:rFonts w:cs="FrankRuehl" w:hint="cs"/>
          <w:sz w:val="20"/>
          <w:szCs w:val="22"/>
          <w:rtl/>
        </w:rPr>
        <w:t>בעלי תחנות שסירבו לחתום על הסכם חכירה חדש - היה על ממ"י להגיש נגדם תביעות לפינוי הקרקע או להפסקת השימוש בה ולגבות מהם דמי שימוש למפרע</w:t>
      </w:r>
      <w:r>
        <w:rPr>
          <w:rFonts w:cs="FrankRuehl"/>
          <w:sz w:val="20"/>
          <w:szCs w:val="22"/>
          <w:rtl/>
        </w:rPr>
        <w:t xml:space="preserve">. </w:t>
      </w:r>
      <w:r>
        <w:rPr>
          <w:rFonts w:cs="FrankRuehl" w:hint="cs"/>
          <w:sz w:val="20"/>
          <w:szCs w:val="22"/>
          <w:rtl/>
        </w:rPr>
        <w:t>גם בהחלטת הנהלה שה</w:t>
      </w:r>
      <w:r>
        <w:rPr>
          <w:rFonts w:cs="FrankRuehl" w:hint="cs"/>
          <w:sz w:val="20"/>
          <w:szCs w:val="22"/>
          <w:rtl/>
        </w:rPr>
        <w:t>תקבלה בשנת 2009</w:t>
      </w:r>
      <w:r>
        <w:rPr>
          <w:rStyle w:val="FootnoteReference"/>
          <w:rFonts w:cs="FrankRuehl"/>
          <w:sz w:val="20"/>
          <w:szCs w:val="22"/>
          <w:rtl/>
        </w:rPr>
        <w:footnoteReference w:id="45"/>
      </w:r>
      <w:r>
        <w:rPr>
          <w:rFonts w:cs="FrankRuehl" w:hint="cs"/>
          <w:sz w:val="20"/>
          <w:szCs w:val="22"/>
          <w:rtl/>
        </w:rPr>
        <w:t xml:space="preserve"> הונחו מנהלי המחוזות לטפל בעניין. </w:t>
      </w:r>
      <w:r>
        <w:rPr>
          <w:rFonts w:cs="FrankRuehl"/>
          <w:sz w:val="20"/>
          <w:szCs w:val="22"/>
          <w:rtl/>
        </w:rPr>
        <w:t>במועד סיום הביקורת</w:t>
      </w:r>
      <w:r>
        <w:rPr>
          <w:rFonts w:cs="FrankRuehl" w:hint="cs"/>
          <w:sz w:val="20"/>
          <w:szCs w:val="22"/>
          <w:rtl/>
        </w:rPr>
        <w:t xml:space="preserve"> בנושא, </w:t>
      </w:r>
      <w:r>
        <w:rPr>
          <w:rFonts w:cs="FrankRuehl"/>
          <w:sz w:val="20"/>
          <w:szCs w:val="22"/>
          <w:rtl/>
        </w:rPr>
        <w:t>בספטמבר 2012</w:t>
      </w:r>
      <w:r>
        <w:rPr>
          <w:rFonts w:cs="FrankRuehl" w:hint="cs"/>
          <w:sz w:val="20"/>
          <w:szCs w:val="22"/>
          <w:rtl/>
        </w:rPr>
        <w:t xml:space="preserve">, היו במחוז הצפון 29 תחנות דלק פנימיות הפועלות על קרקע חקלאית ובהן מתבצעת פעילות מסחרית, אך רק </w:t>
      </w:r>
      <w:r>
        <w:rPr>
          <w:rFonts w:cs="FrankRuehl"/>
          <w:sz w:val="20"/>
          <w:szCs w:val="22"/>
          <w:rtl/>
        </w:rPr>
        <w:t>הסכם חכירה אחד נחתם</w:t>
      </w:r>
      <w:r>
        <w:rPr>
          <w:rFonts w:cs="FrankRuehl" w:hint="cs"/>
          <w:sz w:val="20"/>
          <w:szCs w:val="22"/>
          <w:rtl/>
        </w:rPr>
        <w:t>,</w:t>
      </w:r>
      <w:r>
        <w:rPr>
          <w:rFonts w:cs="FrankRuehl"/>
          <w:sz w:val="20"/>
          <w:szCs w:val="22"/>
          <w:rtl/>
        </w:rPr>
        <w:t xml:space="preserve"> </w:t>
      </w:r>
      <w:r>
        <w:rPr>
          <w:rFonts w:cs="FrankRuehl" w:hint="cs"/>
          <w:sz w:val="20"/>
          <w:szCs w:val="22"/>
          <w:rtl/>
        </w:rPr>
        <w:t>והסכם</w:t>
      </w:r>
      <w:r>
        <w:rPr>
          <w:rFonts w:cs="FrankRuehl"/>
          <w:sz w:val="20"/>
          <w:szCs w:val="22"/>
          <w:rtl/>
        </w:rPr>
        <w:t xml:space="preserve"> נוסף נמצא בטיפול</w:t>
      </w:r>
      <w:r>
        <w:rPr>
          <w:rFonts w:cs="FrankRuehl" w:hint="cs"/>
          <w:sz w:val="20"/>
          <w:szCs w:val="22"/>
          <w:rtl/>
        </w:rPr>
        <w:t>. במחוז הדרום היו שבע תחנות דל</w:t>
      </w:r>
      <w:r>
        <w:rPr>
          <w:rFonts w:cs="FrankRuehl" w:hint="cs"/>
          <w:sz w:val="20"/>
          <w:szCs w:val="22"/>
          <w:rtl/>
        </w:rPr>
        <w:t xml:space="preserve">ק כאלה, אך עדיין לא נחתמו הסכמים המסדירים את פעילותן, והמחוז פעל להסדרת פעילותה של תחנה אחת בלבד. המחוזות אף לא נקטו אמצעים חלופיים לפינוי התחנות או להפסקת השימוש בהן. </w:t>
      </w:r>
    </w:p>
    <w:p w:rsidR="00000000">
      <w:pPr>
        <w:pStyle w:val="RESHET"/>
        <w:keepLines/>
        <w:rPr>
          <w:rFonts w:hint="cs"/>
          <w:sz w:val="20"/>
          <w:rtl/>
        </w:rPr>
      </w:pPr>
      <w:r>
        <w:rPr>
          <w:rFonts w:hint="cs"/>
          <w:sz w:val="20"/>
          <w:rtl/>
        </w:rPr>
        <w:t>לדעת משרד מבקר המדינה, על ממ"י</w:t>
      </w:r>
      <w:r>
        <w:rPr>
          <w:sz w:val="20"/>
          <w:rtl/>
        </w:rPr>
        <w:t xml:space="preserve"> </w:t>
      </w:r>
      <w:r>
        <w:rPr>
          <w:rFonts w:hint="cs"/>
          <w:sz w:val="20"/>
          <w:rtl/>
        </w:rPr>
        <w:t>לפעול בנחרצות, בהתאם להחלטה 949 ותמ"א</w:t>
      </w:r>
      <w:r>
        <w:rPr>
          <w:rFonts w:hint="cs"/>
          <w:sz w:val="20"/>
        </w:rPr>
        <w:t xml:space="preserve"> </w:t>
      </w:r>
      <w:r>
        <w:rPr>
          <w:rFonts w:hint="cs"/>
          <w:sz w:val="20"/>
          <w:rtl/>
        </w:rPr>
        <w:t xml:space="preserve">18, להסדרת השימוש </w:t>
      </w:r>
      <w:r>
        <w:rPr>
          <w:rFonts w:hint="cs"/>
          <w:sz w:val="20"/>
          <w:rtl/>
        </w:rPr>
        <w:t>החורג של תחנות דלק פנימיות בקרקע חקלאית, לחתום על חוזים מתוקנים עמן ולגבות מהן דמי שימוש עבור השימוש החורג, ולפי הצורך גם דמי שימוש למפרע, או למנוע את פעילותן המסחרית.</w:t>
      </w:r>
    </w:p>
    <w:p w:rsidR="00000000">
      <w:pPr>
        <w:tabs>
          <w:tab w:val="left" w:pos="510"/>
        </w:tabs>
        <w:spacing w:before="180" w:after="120" w:line="230" w:lineRule="exact"/>
        <w:jc w:val="both"/>
        <w:rPr>
          <w:rFonts w:cs="FrankRuehl" w:hint="cs"/>
          <w:sz w:val="20"/>
          <w:szCs w:val="22"/>
          <w:rtl/>
        </w:rPr>
      </w:pPr>
      <w:r>
        <w:rPr>
          <w:rFonts w:cs="FrankRuehl" w:hint="cs"/>
          <w:sz w:val="20"/>
          <w:szCs w:val="22"/>
          <w:rtl/>
        </w:rPr>
        <w:t>(ב)</w:t>
      </w:r>
      <w:r>
        <w:rPr>
          <w:rFonts w:cs="FrankRuehl" w:hint="cs"/>
          <w:sz w:val="20"/>
          <w:szCs w:val="22"/>
          <w:rtl/>
        </w:rPr>
        <w:tab/>
        <w:t>בשנת 2008 פנתה לראשונה לממ"י</w:t>
      </w:r>
      <w:r>
        <w:rPr>
          <w:rFonts w:cs="FrankRuehl"/>
          <w:sz w:val="20"/>
          <w:szCs w:val="22"/>
          <w:rtl/>
        </w:rPr>
        <w:t xml:space="preserve"> חברה המפעילה </w:t>
      </w:r>
      <w:r>
        <w:rPr>
          <w:rFonts w:cs="FrankRuehl" w:hint="cs"/>
          <w:sz w:val="20"/>
          <w:szCs w:val="22"/>
          <w:rtl/>
        </w:rPr>
        <w:t xml:space="preserve">כמאה </w:t>
      </w:r>
      <w:r>
        <w:rPr>
          <w:rFonts w:cs="FrankRuehl"/>
          <w:sz w:val="20"/>
          <w:szCs w:val="22"/>
          <w:rtl/>
        </w:rPr>
        <w:t>תחנות דלק</w:t>
      </w:r>
      <w:r>
        <w:rPr>
          <w:rFonts w:cs="FrankRuehl" w:hint="cs"/>
          <w:sz w:val="20"/>
          <w:szCs w:val="22"/>
          <w:rtl/>
        </w:rPr>
        <w:t xml:space="preserve"> פנימיות</w:t>
      </w:r>
      <w:r>
        <w:rPr>
          <w:rStyle w:val="FootnoteReference"/>
          <w:rFonts w:cs="FrankRuehl"/>
          <w:sz w:val="20"/>
          <w:szCs w:val="22"/>
          <w:rtl/>
        </w:rPr>
        <w:footnoteReference w:id="46"/>
      </w:r>
      <w:r>
        <w:rPr>
          <w:rFonts w:cs="FrankRuehl" w:hint="cs"/>
          <w:sz w:val="20"/>
          <w:szCs w:val="22"/>
          <w:rtl/>
        </w:rPr>
        <w:t xml:space="preserve"> שמתבצעת בהן פעילות</w:t>
      </w:r>
      <w:r>
        <w:rPr>
          <w:rFonts w:cs="FrankRuehl" w:hint="cs"/>
          <w:sz w:val="20"/>
          <w:szCs w:val="22"/>
          <w:rtl/>
        </w:rPr>
        <w:t xml:space="preserve"> מסחרית בניגוד לחוזה עם ממ"י, וביקשה להסדיר את החכרת הקרקע לצורך הסדרת רישוי התחנות וקבלת היתרי בנייה מתאימים. עמדת ממ"י היית</w:t>
      </w:r>
      <w:r>
        <w:rPr>
          <w:rFonts w:cs="FrankRuehl" w:hint="eastAsia"/>
          <w:sz w:val="20"/>
          <w:szCs w:val="22"/>
          <w:rtl/>
        </w:rPr>
        <w:t>ה</w:t>
      </w:r>
      <w:r>
        <w:rPr>
          <w:rFonts w:cs="FrankRuehl" w:hint="cs"/>
          <w:sz w:val="20"/>
          <w:szCs w:val="22"/>
          <w:rtl/>
        </w:rPr>
        <w:t xml:space="preserve"> כי העסקה להקצאת הקרקע ל</w:t>
      </w:r>
      <w:r>
        <w:rPr>
          <w:rFonts w:cs="FrankRuehl"/>
          <w:sz w:val="20"/>
          <w:szCs w:val="22"/>
          <w:rtl/>
        </w:rPr>
        <w:t xml:space="preserve">תחנות </w:t>
      </w:r>
      <w:r>
        <w:rPr>
          <w:rFonts w:cs="FrankRuehl" w:hint="cs"/>
          <w:sz w:val="20"/>
          <w:szCs w:val="22"/>
          <w:rtl/>
        </w:rPr>
        <w:t xml:space="preserve">צריכה להיחתם לפי הכללים שנקבעו בהחלטה 949. </w:t>
      </w:r>
      <w:r>
        <w:rPr>
          <w:rFonts w:cs="FrankRuehl"/>
          <w:sz w:val="20"/>
          <w:szCs w:val="22"/>
          <w:rtl/>
        </w:rPr>
        <w:t xml:space="preserve">ביוני 2011 הציעה </w:t>
      </w:r>
      <w:r>
        <w:rPr>
          <w:rFonts w:cs="FrankRuehl" w:hint="cs"/>
          <w:sz w:val="20"/>
          <w:szCs w:val="22"/>
          <w:rtl/>
        </w:rPr>
        <w:t>ה</w:t>
      </w:r>
      <w:r>
        <w:rPr>
          <w:rFonts w:cs="FrankRuehl"/>
          <w:sz w:val="20"/>
          <w:szCs w:val="22"/>
          <w:rtl/>
        </w:rPr>
        <w:t xml:space="preserve">חברה </w:t>
      </w:r>
      <w:r>
        <w:rPr>
          <w:rFonts w:cs="FrankRuehl" w:hint="cs"/>
          <w:sz w:val="20"/>
          <w:szCs w:val="22"/>
          <w:rtl/>
        </w:rPr>
        <w:t xml:space="preserve">לממ"י הצעה קונקרטית להסדרת </w:t>
      </w:r>
      <w:r>
        <w:rPr>
          <w:rFonts w:cs="FrankRuehl"/>
          <w:sz w:val="20"/>
          <w:szCs w:val="22"/>
          <w:rtl/>
        </w:rPr>
        <w:t>פעילות</w:t>
      </w:r>
      <w:r>
        <w:rPr>
          <w:rFonts w:cs="FrankRuehl" w:hint="cs"/>
          <w:sz w:val="20"/>
          <w:szCs w:val="22"/>
          <w:rtl/>
        </w:rPr>
        <w:t>ן</w:t>
      </w:r>
      <w:r>
        <w:rPr>
          <w:rFonts w:cs="FrankRuehl" w:hint="cs"/>
          <w:sz w:val="20"/>
          <w:szCs w:val="22"/>
          <w:rtl/>
        </w:rPr>
        <w:t xml:space="preserve"> של תחנות אלו</w:t>
      </w:r>
      <w:r>
        <w:rPr>
          <w:rFonts w:cs="FrankRuehl"/>
          <w:sz w:val="20"/>
          <w:szCs w:val="22"/>
          <w:rtl/>
        </w:rPr>
        <w:t>.</w:t>
      </w:r>
      <w:r>
        <w:rPr>
          <w:rFonts w:cs="FrankRuehl" w:hint="cs"/>
          <w:sz w:val="20"/>
          <w:szCs w:val="22"/>
          <w:rtl/>
        </w:rPr>
        <w:t xml:space="preserve"> במאי 2012 דנה הנהלת ממ"י בהצעת החברה, אך עד מועד סיום הביקורת טרם נמצא פתרון המוסכם על שני הצדדים בדבר השימוש החורג בקרקעות, ולחלופין ממ"י לא פעל להפסיקו.</w:t>
      </w:r>
    </w:p>
    <w:p w:rsidR="00000000">
      <w:pPr>
        <w:spacing w:after="120" w:line="230" w:lineRule="exact"/>
        <w:jc w:val="both"/>
        <w:rPr>
          <w:rFonts w:cs="FrankRuehl" w:hint="cs"/>
          <w:sz w:val="20"/>
          <w:szCs w:val="22"/>
          <w:rtl/>
        </w:rPr>
      </w:pPr>
      <w:r>
        <w:rPr>
          <w:rStyle w:val="7"/>
          <w:rFonts w:cs="FrankRuehl" w:hint="cs"/>
          <w:spacing w:val="0"/>
          <w:sz w:val="20"/>
          <w:szCs w:val="22"/>
          <w:rtl/>
        </w:rPr>
        <w:t>2.</w:t>
      </w:r>
      <w:r>
        <w:rPr>
          <w:rStyle w:val="7"/>
          <w:rFonts w:cs="FrankRuehl" w:hint="cs"/>
          <w:spacing w:val="0"/>
          <w:sz w:val="20"/>
          <w:szCs w:val="22"/>
          <w:rtl/>
        </w:rPr>
        <w:tab/>
      </w:r>
      <w:r>
        <w:rPr>
          <w:rStyle w:val="7"/>
          <w:rFonts w:cs="FrankRuehl" w:hint="cs"/>
          <w:sz w:val="20"/>
          <w:szCs w:val="22"/>
          <w:rtl/>
        </w:rPr>
        <w:t>הפיקוח על תחנות הדלק הפנימיות</w:t>
      </w:r>
      <w:r>
        <w:rPr>
          <w:rStyle w:val="7"/>
          <w:rFonts w:cs="FrankRuehl"/>
          <w:sz w:val="20"/>
          <w:szCs w:val="22"/>
          <w:rtl/>
        </w:rPr>
        <w:t>:</w:t>
      </w:r>
      <w:r>
        <w:rPr>
          <w:rFonts w:cs="FrankRuehl" w:hint="cs"/>
          <w:sz w:val="20"/>
          <w:szCs w:val="22"/>
          <w:rtl/>
        </w:rPr>
        <w:t xml:space="preserve"> חלק ניכר מהחוקים, הצווים והתקנות הנוגעים לתחנות דלק </w:t>
      </w:r>
      <w:r>
        <w:rPr>
          <w:rFonts w:cs="FrankRuehl" w:hint="cs"/>
          <w:sz w:val="20"/>
          <w:szCs w:val="22"/>
          <w:rtl/>
        </w:rPr>
        <w:t xml:space="preserve">ציבוריות חלים גם על תחנות דלק פנימיות ומחייבים פעולות פיקוח ואכיפה כמו בתחנות דלק ציבוריות. תחנות דלק פנימיות </w:t>
      </w:r>
      <w:r>
        <w:rPr>
          <w:rFonts w:cs="FrankRuehl"/>
          <w:sz w:val="20"/>
          <w:szCs w:val="22"/>
          <w:rtl/>
        </w:rPr>
        <w:t>אינן מורשות, על פי היתר בנייה ורישיון עסק, לשרת את הציבור</w:t>
      </w:r>
      <w:r>
        <w:rPr>
          <w:rFonts w:cs="FrankRuehl" w:hint="cs"/>
          <w:sz w:val="20"/>
          <w:szCs w:val="22"/>
          <w:rtl/>
        </w:rPr>
        <w:t>.</w:t>
      </w:r>
    </w:p>
    <w:p w:rsidR="00000000">
      <w:pPr>
        <w:tabs>
          <w:tab w:val="left" w:pos="510"/>
        </w:tabs>
        <w:spacing w:after="240" w:line="230" w:lineRule="exact"/>
        <w:jc w:val="both"/>
        <w:rPr>
          <w:rFonts w:cs="FrankRuehl" w:hint="cs"/>
          <w:sz w:val="20"/>
          <w:szCs w:val="22"/>
          <w:rtl/>
        </w:rPr>
      </w:pPr>
      <w:r>
        <w:rPr>
          <w:rFonts w:cs="FrankRuehl" w:hint="cs"/>
          <w:sz w:val="20"/>
          <w:szCs w:val="22"/>
          <w:rtl/>
        </w:rPr>
        <w:t>(א)</w:t>
      </w:r>
      <w:r>
        <w:rPr>
          <w:rFonts w:cs="FrankRuehl" w:hint="cs"/>
          <w:sz w:val="20"/>
          <w:szCs w:val="22"/>
          <w:rtl/>
        </w:rPr>
        <w:tab/>
      </w:r>
      <w:r>
        <w:rPr>
          <w:rFonts w:cs="FrankRuehl"/>
          <w:sz w:val="20"/>
          <w:szCs w:val="22"/>
          <w:rtl/>
        </w:rPr>
        <w:t xml:space="preserve">בישראל פועלות </w:t>
      </w:r>
      <w:r>
        <w:rPr>
          <w:rFonts w:cs="FrankRuehl" w:hint="cs"/>
          <w:sz w:val="20"/>
          <w:szCs w:val="22"/>
          <w:rtl/>
        </w:rPr>
        <w:t xml:space="preserve">כאמור מאות </w:t>
      </w:r>
      <w:r>
        <w:rPr>
          <w:rFonts w:cs="FrankRuehl"/>
          <w:sz w:val="20"/>
          <w:szCs w:val="22"/>
          <w:rtl/>
        </w:rPr>
        <w:t xml:space="preserve">תחנות דלק המוגדרות פנימיות, </w:t>
      </w:r>
      <w:r>
        <w:rPr>
          <w:rFonts w:cs="FrankRuehl" w:hint="cs"/>
          <w:sz w:val="20"/>
          <w:szCs w:val="22"/>
          <w:rtl/>
        </w:rPr>
        <w:t xml:space="preserve">ועשרות מהן </w:t>
      </w:r>
      <w:r>
        <w:rPr>
          <w:rFonts w:cs="FrankRuehl"/>
          <w:sz w:val="20"/>
          <w:szCs w:val="22"/>
          <w:rtl/>
        </w:rPr>
        <w:t>מוכרות דלק גם לציבו</w:t>
      </w:r>
      <w:r>
        <w:rPr>
          <w:rFonts w:cs="FrankRuehl"/>
          <w:sz w:val="20"/>
          <w:szCs w:val="22"/>
          <w:rtl/>
        </w:rPr>
        <w:t>ר הרחב.</w:t>
      </w:r>
      <w:r>
        <w:rPr>
          <w:rFonts w:cs="FrankRuehl" w:hint="cs"/>
          <w:sz w:val="20"/>
          <w:szCs w:val="22"/>
          <w:rtl/>
        </w:rPr>
        <w:t xml:space="preserve"> לשם אכיפת החוקים נדרש מידע על מספרן של תחנות הדלק הפנימיות ועל מקומן.</w:t>
      </w:r>
    </w:p>
    <w:p w:rsidR="00000000">
      <w:pPr>
        <w:pStyle w:val="RESHET"/>
        <w:keepLines/>
        <w:rPr>
          <w:rFonts w:hint="cs"/>
          <w:sz w:val="20"/>
          <w:rtl/>
        </w:rPr>
      </w:pPr>
      <w:r>
        <w:rPr>
          <w:rFonts w:hint="cs"/>
          <w:sz w:val="20"/>
          <w:rtl/>
        </w:rPr>
        <w:t>הביקורת העלתה שאין בידי שום גורם מסד נתונים מלא על תחנות דלק פנימיות, ובידי גופי הפיקוח יש רק מידע חלקי על מקומן ועל בעליהן. לדעת משרד מבקר המדינה, על משרד האנרגיה בשיתוף גופי הפ</w:t>
      </w:r>
      <w:r>
        <w:rPr>
          <w:rFonts w:hint="cs"/>
          <w:sz w:val="20"/>
          <w:rtl/>
        </w:rPr>
        <w:t>יקוח להוביל ליצירת מסד נתונים כאמור ולאפשר לכל גוף פיקוח להשתמש בו.</w:t>
      </w:r>
    </w:p>
    <w:p w:rsidR="00000000">
      <w:pPr>
        <w:tabs>
          <w:tab w:val="left" w:pos="510"/>
        </w:tabs>
        <w:spacing w:before="180" w:after="120" w:line="230" w:lineRule="exact"/>
        <w:jc w:val="both"/>
        <w:rPr>
          <w:rFonts w:cs="FrankRuehl" w:hint="cs"/>
          <w:sz w:val="20"/>
          <w:szCs w:val="22"/>
          <w:rtl/>
        </w:rPr>
      </w:pPr>
      <w:r>
        <w:rPr>
          <w:rFonts w:cs="FrankRuehl" w:hint="cs"/>
          <w:sz w:val="20"/>
          <w:szCs w:val="22"/>
          <w:rtl/>
        </w:rPr>
        <w:t>(ב)</w:t>
      </w:r>
      <w:r>
        <w:rPr>
          <w:rFonts w:cs="FrankRuehl" w:hint="cs"/>
          <w:sz w:val="20"/>
          <w:szCs w:val="22"/>
          <w:rtl/>
        </w:rPr>
        <w:tab/>
      </w:r>
      <w:r>
        <w:rPr>
          <w:rFonts w:cs="FrankRuehl"/>
          <w:sz w:val="20"/>
          <w:szCs w:val="22"/>
          <w:rtl/>
        </w:rPr>
        <w:t>חוק הפעלת רכב (מנועים ודלק)</w:t>
      </w:r>
      <w:r>
        <w:rPr>
          <w:rFonts w:cs="FrankRuehl" w:hint="cs"/>
          <w:sz w:val="20"/>
          <w:szCs w:val="22"/>
          <w:rtl/>
        </w:rPr>
        <w:t>,</w:t>
      </w:r>
      <w:r>
        <w:rPr>
          <w:rFonts w:cs="FrankRuehl"/>
          <w:sz w:val="20"/>
          <w:szCs w:val="22"/>
          <w:rtl/>
        </w:rPr>
        <w:t xml:space="preserve"> התשכ"א-1961</w:t>
      </w:r>
      <w:r>
        <w:rPr>
          <w:rFonts w:cs="FrankRuehl" w:hint="cs"/>
          <w:sz w:val="20"/>
          <w:szCs w:val="22"/>
          <w:rtl/>
        </w:rPr>
        <w:t>,</w:t>
      </w:r>
      <w:r>
        <w:rPr>
          <w:rFonts w:cs="FrankRuehl"/>
          <w:sz w:val="20"/>
          <w:szCs w:val="22"/>
          <w:rtl/>
        </w:rPr>
        <w:t xml:space="preserve"> מחייב בעל תחנת דלק המוכרת דלק לציבור לבדוק את איכות הדלק הנמכר. הבדיקה נעשית </w:t>
      </w:r>
      <w:r>
        <w:rPr>
          <w:rFonts w:cs="FrankRuehl" w:hint="cs"/>
          <w:sz w:val="20"/>
          <w:szCs w:val="22"/>
          <w:rtl/>
        </w:rPr>
        <w:t>באמצעות</w:t>
      </w:r>
      <w:r>
        <w:rPr>
          <w:rFonts w:cs="FrankRuehl"/>
          <w:sz w:val="20"/>
          <w:szCs w:val="22"/>
          <w:rtl/>
        </w:rPr>
        <w:t xml:space="preserve"> מעבדה מאושרת. נוסף</w:t>
      </w:r>
      <w:r>
        <w:rPr>
          <w:rFonts w:cs="FrankRuehl" w:hint="cs"/>
          <w:sz w:val="20"/>
          <w:szCs w:val="22"/>
          <w:rtl/>
        </w:rPr>
        <w:t xml:space="preserve"> על כך</w:t>
      </w:r>
      <w:r>
        <w:rPr>
          <w:rFonts w:cs="FrankRuehl"/>
          <w:sz w:val="20"/>
          <w:szCs w:val="22"/>
          <w:rtl/>
        </w:rPr>
        <w:t>, שר התמ"ת הסמיך את מפקחי משרד הא</w:t>
      </w:r>
      <w:r>
        <w:rPr>
          <w:rFonts w:cs="FrankRuehl"/>
          <w:sz w:val="20"/>
          <w:szCs w:val="22"/>
          <w:rtl/>
        </w:rPr>
        <w:t>נרגיה</w:t>
      </w:r>
      <w:r>
        <w:rPr>
          <w:rFonts w:cs="FrankRuehl" w:hint="cs"/>
          <w:sz w:val="20"/>
          <w:szCs w:val="22"/>
          <w:rtl/>
        </w:rPr>
        <w:t>,</w:t>
      </w:r>
      <w:r>
        <w:rPr>
          <w:rFonts w:cs="FrankRuehl"/>
          <w:sz w:val="20"/>
          <w:szCs w:val="22"/>
          <w:rtl/>
        </w:rPr>
        <w:t xml:space="preserve"> </w:t>
      </w:r>
      <w:r>
        <w:rPr>
          <w:rFonts w:cs="FrankRuehl" w:hint="cs"/>
          <w:sz w:val="20"/>
          <w:szCs w:val="22"/>
          <w:rtl/>
        </w:rPr>
        <w:t xml:space="preserve">באמצעות מינהל הדלק, </w:t>
      </w:r>
      <w:r>
        <w:rPr>
          <w:rFonts w:cs="FrankRuehl"/>
          <w:sz w:val="20"/>
          <w:szCs w:val="22"/>
          <w:rtl/>
        </w:rPr>
        <w:t>לבדוק את איכות הדלק.</w:t>
      </w:r>
      <w:r>
        <w:rPr>
          <w:rFonts w:cs="FrankRuehl" w:hint="cs"/>
          <w:sz w:val="20"/>
          <w:szCs w:val="22"/>
          <w:rtl/>
        </w:rPr>
        <w:t xml:space="preserve"> </w:t>
      </w:r>
    </w:p>
    <w:p w:rsidR="00000000">
      <w:pPr>
        <w:spacing w:after="120" w:line="230" w:lineRule="exact"/>
        <w:jc w:val="both"/>
        <w:rPr>
          <w:rFonts w:cs="FrankRuehl" w:hint="cs"/>
          <w:sz w:val="20"/>
          <w:szCs w:val="22"/>
          <w:rtl/>
        </w:rPr>
      </w:pPr>
      <w:r>
        <w:rPr>
          <w:rFonts w:cs="FrankRuehl"/>
          <w:sz w:val="20"/>
          <w:szCs w:val="22"/>
          <w:rtl/>
        </w:rPr>
        <w:t xml:space="preserve">בבדיקה </w:t>
      </w:r>
      <w:r>
        <w:rPr>
          <w:rFonts w:cs="FrankRuehl" w:hint="cs"/>
          <w:sz w:val="20"/>
          <w:szCs w:val="22"/>
          <w:rtl/>
        </w:rPr>
        <w:t>שעשה</w:t>
      </w:r>
      <w:r>
        <w:rPr>
          <w:rFonts w:cs="FrankRuehl"/>
          <w:sz w:val="20"/>
          <w:szCs w:val="22"/>
          <w:rtl/>
        </w:rPr>
        <w:t xml:space="preserve"> משרד מבקר המדינה נמצא כי מינהל הדלק אינו </w:t>
      </w:r>
      <w:r>
        <w:rPr>
          <w:rFonts w:cs="FrankRuehl" w:hint="cs"/>
          <w:sz w:val="20"/>
          <w:szCs w:val="22"/>
          <w:rtl/>
        </w:rPr>
        <w:t xml:space="preserve">עושה </w:t>
      </w:r>
      <w:r>
        <w:rPr>
          <w:rFonts w:cs="FrankRuehl"/>
          <w:sz w:val="20"/>
          <w:szCs w:val="22"/>
          <w:rtl/>
        </w:rPr>
        <w:t xml:space="preserve">בדיקות איכות של הדלק הנמכר בתחנות </w:t>
      </w:r>
      <w:r>
        <w:rPr>
          <w:rFonts w:cs="FrankRuehl" w:hint="cs"/>
          <w:sz w:val="20"/>
          <w:szCs w:val="22"/>
          <w:rtl/>
        </w:rPr>
        <w:t>פנימיות המוכרות דלק לציבור.</w:t>
      </w:r>
      <w:r>
        <w:rPr>
          <w:rFonts w:cs="FrankRuehl"/>
          <w:sz w:val="20"/>
          <w:szCs w:val="22"/>
          <w:rtl/>
        </w:rPr>
        <w:t xml:space="preserve"> </w:t>
      </w:r>
      <w:r>
        <w:rPr>
          <w:rFonts w:cs="FrankRuehl" w:hint="cs"/>
          <w:sz w:val="20"/>
          <w:szCs w:val="22"/>
          <w:rtl/>
        </w:rPr>
        <w:t xml:space="preserve">על פי </w:t>
      </w:r>
      <w:r>
        <w:rPr>
          <w:rFonts w:cs="FrankRuehl"/>
          <w:sz w:val="20"/>
          <w:szCs w:val="22"/>
          <w:rtl/>
        </w:rPr>
        <w:t>חוות דעת של</w:t>
      </w:r>
      <w:r>
        <w:rPr>
          <w:rFonts w:cs="FrankRuehl" w:hint="cs"/>
          <w:sz w:val="20"/>
          <w:szCs w:val="22"/>
          <w:rtl/>
        </w:rPr>
        <w:t xml:space="preserve"> לשכת</w:t>
      </w:r>
      <w:r>
        <w:rPr>
          <w:rFonts w:cs="FrankRuehl"/>
          <w:sz w:val="20"/>
          <w:szCs w:val="22"/>
          <w:rtl/>
        </w:rPr>
        <w:t xml:space="preserve"> הייעוץ המשפטי של משרד</w:t>
      </w:r>
      <w:r>
        <w:rPr>
          <w:rFonts w:cs="FrankRuehl" w:hint="cs"/>
          <w:sz w:val="20"/>
          <w:szCs w:val="22"/>
          <w:rtl/>
        </w:rPr>
        <w:t xml:space="preserve"> האנרגיה, נדרש לעשות בדיקות כאלה מכוח החוק,</w:t>
      </w:r>
      <w:r>
        <w:rPr>
          <w:rFonts w:cs="FrankRuehl" w:hint="cs"/>
          <w:sz w:val="20"/>
          <w:szCs w:val="22"/>
          <w:rtl/>
        </w:rPr>
        <w:t xml:space="preserve"> אך המשרד חושש שבכך תינתן לתחנות אלה לגיטימציה.</w:t>
      </w:r>
      <w:r>
        <w:rPr>
          <w:rFonts w:cs="FrankRuehl"/>
          <w:sz w:val="20"/>
          <w:szCs w:val="22"/>
          <w:rtl/>
        </w:rPr>
        <w:t xml:space="preserve"> </w:t>
      </w:r>
    </w:p>
    <w:p w:rsidR="00000000">
      <w:pPr>
        <w:spacing w:after="240" w:line="230" w:lineRule="exact"/>
        <w:jc w:val="both"/>
        <w:rPr>
          <w:rFonts w:cs="FrankRuehl" w:hint="cs"/>
          <w:sz w:val="20"/>
          <w:szCs w:val="22"/>
          <w:rtl/>
        </w:rPr>
      </w:pPr>
      <w:r>
        <w:rPr>
          <w:rFonts w:cs="FrankRuehl" w:hint="cs"/>
          <w:sz w:val="20"/>
          <w:szCs w:val="22"/>
          <w:rtl/>
        </w:rPr>
        <w:t xml:space="preserve">משרד האנרגיה מסר בתשובתו כי אינו בודק את איכות הדלק בתחנות פנימיות המוכרות דלק לציבור משתי סיבות:   (1)  "קביעת סדרי עדיפויות של הפיקוח במצב של משאבים מוגבלים";   </w:t>
      </w:r>
      <w:r>
        <w:rPr>
          <w:rFonts w:cs="FrankRuehl"/>
          <w:sz w:val="20"/>
          <w:szCs w:val="22"/>
          <w:rtl/>
        </w:rPr>
        <w:br/>
      </w:r>
      <w:r>
        <w:rPr>
          <w:rFonts w:cs="FrankRuehl" w:hint="cs"/>
          <w:sz w:val="20"/>
          <w:szCs w:val="22"/>
          <w:rtl/>
        </w:rPr>
        <w:t>(2)  "על מנת לא לתת הכשר לתחנות אלה".</w:t>
      </w:r>
    </w:p>
    <w:p w:rsidR="00000000">
      <w:pPr>
        <w:pStyle w:val="RESHET"/>
        <w:keepLines/>
        <w:rPr>
          <w:rFonts w:hint="cs"/>
          <w:sz w:val="20"/>
          <w:rtl/>
        </w:rPr>
      </w:pPr>
      <w:r>
        <w:rPr>
          <w:rFonts w:hint="cs"/>
          <w:sz w:val="20"/>
          <w:rtl/>
        </w:rPr>
        <w:t xml:space="preserve">לדעת </w:t>
      </w:r>
      <w:r>
        <w:rPr>
          <w:rFonts w:hint="cs"/>
          <w:sz w:val="20"/>
          <w:rtl/>
        </w:rPr>
        <w:t>משרד מבקר המדינה, נדרש להגביר את האכיפה על תחנות הדלק הפנימיות במטרה למנוע מהן למכור דלק לציבור הרחב בניגוד לחוק. נוסף על כך, על משרד האנרגיה לבדוק את איכות הדלק בתחנות אלה, בלא לוותר על יתר הדרישות מבעליהן ולהדגיש שאין בביצוע הבדיקה משום הכשר למכירת דלק ל</w:t>
      </w:r>
      <w:r>
        <w:rPr>
          <w:rFonts w:hint="cs"/>
          <w:sz w:val="20"/>
          <w:rtl/>
        </w:rPr>
        <w:t>ציבור.</w:t>
      </w:r>
    </w:p>
    <w:p w:rsidR="00000000">
      <w:pPr>
        <w:tabs>
          <w:tab w:val="left" w:pos="510"/>
        </w:tabs>
        <w:spacing w:before="180" w:after="120" w:line="230" w:lineRule="exact"/>
        <w:jc w:val="both"/>
        <w:rPr>
          <w:rFonts w:cs="FrankRuehl" w:hint="cs"/>
          <w:sz w:val="20"/>
          <w:szCs w:val="22"/>
          <w:rtl/>
        </w:rPr>
      </w:pPr>
      <w:r>
        <w:rPr>
          <w:rFonts w:cs="FrankRuehl" w:hint="cs"/>
          <w:sz w:val="20"/>
          <w:szCs w:val="22"/>
          <w:rtl/>
        </w:rPr>
        <w:t>(ג)</w:t>
      </w:r>
      <w:r>
        <w:rPr>
          <w:rFonts w:cs="FrankRuehl" w:hint="cs"/>
          <w:sz w:val="20"/>
          <w:szCs w:val="22"/>
          <w:rtl/>
        </w:rPr>
        <w:tab/>
        <w:t>ה</w:t>
      </w:r>
      <w:r>
        <w:rPr>
          <w:rFonts w:cs="FrankRuehl"/>
          <w:sz w:val="20"/>
          <w:szCs w:val="22"/>
          <w:rtl/>
        </w:rPr>
        <w:t xml:space="preserve">משרד </w:t>
      </w:r>
      <w:r>
        <w:rPr>
          <w:rFonts w:cs="FrankRuehl" w:hint="cs"/>
          <w:sz w:val="20"/>
          <w:szCs w:val="22"/>
          <w:rtl/>
        </w:rPr>
        <w:t>ל</w:t>
      </w:r>
      <w:r>
        <w:rPr>
          <w:rFonts w:cs="FrankRuehl"/>
          <w:sz w:val="20"/>
          <w:szCs w:val="22"/>
          <w:rtl/>
        </w:rPr>
        <w:t xml:space="preserve">הגנת הסביבה בודק </w:t>
      </w:r>
      <w:r>
        <w:rPr>
          <w:rFonts w:cs="FrankRuehl" w:hint="cs"/>
          <w:sz w:val="20"/>
          <w:szCs w:val="22"/>
          <w:rtl/>
        </w:rPr>
        <w:t xml:space="preserve">אם </w:t>
      </w:r>
      <w:r>
        <w:rPr>
          <w:rFonts w:cs="FrankRuehl"/>
          <w:sz w:val="20"/>
          <w:szCs w:val="22"/>
          <w:rtl/>
        </w:rPr>
        <w:t xml:space="preserve">תחנות דלק </w:t>
      </w:r>
      <w:r>
        <w:rPr>
          <w:rFonts w:cs="FrankRuehl" w:hint="cs"/>
          <w:sz w:val="20"/>
          <w:szCs w:val="22"/>
          <w:rtl/>
        </w:rPr>
        <w:t xml:space="preserve">עומדות </w:t>
      </w:r>
      <w:r>
        <w:rPr>
          <w:rFonts w:cs="FrankRuehl"/>
          <w:sz w:val="20"/>
          <w:szCs w:val="22"/>
          <w:rtl/>
        </w:rPr>
        <w:t>בדרישות של תקנות המים (מניעת זיהום מים)</w:t>
      </w:r>
      <w:r>
        <w:rPr>
          <w:rFonts w:cs="FrankRuehl" w:hint="cs"/>
          <w:sz w:val="20"/>
          <w:szCs w:val="22"/>
          <w:rtl/>
        </w:rPr>
        <w:t xml:space="preserve"> </w:t>
      </w:r>
      <w:r>
        <w:rPr>
          <w:rFonts w:cs="FrankRuehl"/>
          <w:sz w:val="20"/>
          <w:szCs w:val="22"/>
          <w:rtl/>
        </w:rPr>
        <w:t>(תחנות דלק), התשנ"ז-1997</w:t>
      </w:r>
      <w:r>
        <w:rPr>
          <w:rFonts w:cs="FrankRuehl" w:hint="cs"/>
          <w:sz w:val="20"/>
          <w:szCs w:val="22"/>
          <w:rtl/>
        </w:rPr>
        <w:t>,</w:t>
      </w:r>
      <w:r>
        <w:rPr>
          <w:rFonts w:cs="FrankRuehl"/>
          <w:sz w:val="20"/>
          <w:szCs w:val="22"/>
          <w:rtl/>
        </w:rPr>
        <w:t xml:space="preserve"> באמצעות בדיקות אטימות מכלי דלק וצנרת תת</w:t>
      </w:r>
      <w:r>
        <w:rPr>
          <w:rFonts w:cs="FrankRuehl" w:hint="cs"/>
          <w:sz w:val="20"/>
          <w:szCs w:val="22"/>
          <w:rtl/>
        </w:rPr>
        <w:t>-</w:t>
      </w:r>
      <w:r>
        <w:rPr>
          <w:rFonts w:cs="FrankRuehl"/>
          <w:sz w:val="20"/>
          <w:szCs w:val="22"/>
          <w:rtl/>
        </w:rPr>
        <w:t>קרקעית בתחנות דלק</w:t>
      </w:r>
      <w:r>
        <w:rPr>
          <w:rFonts w:cs="FrankRuehl" w:hint="cs"/>
          <w:sz w:val="20"/>
          <w:szCs w:val="22"/>
          <w:rtl/>
        </w:rPr>
        <w:t>, שמבצעים מפעילי תחנות הדלק</w:t>
      </w:r>
      <w:r>
        <w:rPr>
          <w:rFonts w:cs="FrankRuehl"/>
          <w:sz w:val="20"/>
          <w:szCs w:val="22"/>
          <w:rtl/>
        </w:rPr>
        <w:t>.</w:t>
      </w:r>
    </w:p>
    <w:p w:rsidR="00000000">
      <w:pPr>
        <w:spacing w:after="120" w:line="230" w:lineRule="exact"/>
        <w:jc w:val="both"/>
        <w:rPr>
          <w:rFonts w:cs="FrankRuehl" w:hint="cs"/>
          <w:sz w:val="20"/>
          <w:szCs w:val="22"/>
          <w:rtl/>
        </w:rPr>
      </w:pPr>
      <w:r>
        <w:rPr>
          <w:rFonts w:cs="FrankRuehl" w:hint="cs"/>
          <w:sz w:val="20"/>
          <w:szCs w:val="22"/>
          <w:rtl/>
        </w:rPr>
        <w:t>בשנים 2008-2011 הכין המשרד להגנת הסביבה דוחות שנת</w:t>
      </w:r>
      <w:r>
        <w:rPr>
          <w:rFonts w:cs="FrankRuehl" w:hint="cs"/>
          <w:sz w:val="20"/>
          <w:szCs w:val="22"/>
          <w:rtl/>
        </w:rPr>
        <w:t>יים</w:t>
      </w:r>
      <w:r>
        <w:rPr>
          <w:rStyle w:val="FootnoteReference"/>
          <w:rFonts w:cs="FrankRuehl"/>
          <w:sz w:val="20"/>
          <w:szCs w:val="22"/>
          <w:rtl/>
        </w:rPr>
        <w:footnoteReference w:id="47"/>
      </w:r>
      <w:r>
        <w:rPr>
          <w:rFonts w:cs="FrankRuehl" w:hint="cs"/>
          <w:sz w:val="20"/>
          <w:szCs w:val="22"/>
          <w:rtl/>
        </w:rPr>
        <w:t xml:space="preserve"> המפרטים את תוצאות בדיקות האטימות של מכלי דלק ושל הצנרת התת-קרקעית שבוצעו בכ-1,600 תחנות דלק ברחבי הארץ על ידי מפעילי תחנות הדלק. לפי הנתונים, בשנים 2008-2011 חלה ירידה במספר תחנות הדלק שלמשרד לא היה מידע על בדיקות אטימות שבוצעו בהן מכ-25% ל-10%. עם זא</w:t>
      </w:r>
      <w:r>
        <w:rPr>
          <w:rFonts w:cs="FrankRuehl" w:hint="cs"/>
          <w:sz w:val="20"/>
          <w:szCs w:val="22"/>
          <w:rtl/>
        </w:rPr>
        <w:t>ת עדיין אין למשרד מידע על תחנות דלק רבות.</w:t>
      </w:r>
    </w:p>
    <w:p w:rsidR="00000000">
      <w:pPr>
        <w:spacing w:after="240" w:line="230" w:lineRule="exact"/>
        <w:jc w:val="both"/>
        <w:rPr>
          <w:rFonts w:cs="FrankRuehl" w:hint="cs"/>
          <w:sz w:val="20"/>
          <w:szCs w:val="22"/>
          <w:rtl/>
        </w:rPr>
      </w:pPr>
      <w:r>
        <w:rPr>
          <w:rFonts w:cs="FrankRuehl" w:hint="cs"/>
          <w:sz w:val="20"/>
          <w:szCs w:val="22"/>
          <w:rtl/>
        </w:rPr>
        <w:t xml:space="preserve">המשרד להגנת הסביבה מסר בתשובתו למשרד מבקר המדינה מינואר 2013 כי בשנת 2012 סוכם עם ארבע חברות הדלק הגדולות כי יודיעו למפעילי תחנות הדלק הפנימיות בדבר החובה לבצע בדיקות אטימות של מכלי דלק וצנרת וכי הן יספקו למשרד את </w:t>
      </w:r>
      <w:r>
        <w:rPr>
          <w:rFonts w:cs="FrankRuehl" w:hint="cs"/>
          <w:sz w:val="20"/>
          <w:szCs w:val="22"/>
          <w:rtl/>
        </w:rPr>
        <w:t>רשימת לקוחותיהן המפעילים תחנות דלק פנימיות. עד ינואר 2013 התקבלו שמות של 200 תחנות דלק פנימיות נוספות.</w:t>
      </w:r>
    </w:p>
    <w:p w:rsidR="00000000">
      <w:pPr>
        <w:pStyle w:val="RESHET"/>
        <w:keepLines/>
        <w:rPr>
          <w:sz w:val="20"/>
        </w:rPr>
      </w:pPr>
      <w:r>
        <w:rPr>
          <w:sz w:val="20"/>
          <w:rtl/>
        </w:rPr>
        <w:t>לדעת משרד מבקר המדינה</w:t>
      </w:r>
      <w:r>
        <w:rPr>
          <w:rFonts w:hint="cs"/>
          <w:sz w:val="20"/>
          <w:rtl/>
        </w:rPr>
        <w:t>,</w:t>
      </w:r>
      <w:r>
        <w:rPr>
          <w:sz w:val="20"/>
          <w:rtl/>
        </w:rPr>
        <w:t xml:space="preserve"> על </w:t>
      </w:r>
      <w:r>
        <w:rPr>
          <w:rFonts w:hint="cs"/>
          <w:sz w:val="20"/>
          <w:rtl/>
        </w:rPr>
        <w:t>ה</w:t>
      </w:r>
      <w:r>
        <w:rPr>
          <w:sz w:val="20"/>
          <w:rtl/>
        </w:rPr>
        <w:t>משרד</w:t>
      </w:r>
      <w:r>
        <w:rPr>
          <w:rFonts w:hint="cs"/>
          <w:sz w:val="20"/>
          <w:rtl/>
        </w:rPr>
        <w:t xml:space="preserve"> להגנת הסביבה</w:t>
      </w:r>
      <w:r>
        <w:rPr>
          <w:sz w:val="20"/>
          <w:rtl/>
        </w:rPr>
        <w:t xml:space="preserve"> להגביר את הפיקוח על ביצוע בדיקות</w:t>
      </w:r>
      <w:r>
        <w:rPr>
          <w:rFonts w:hint="cs"/>
          <w:sz w:val="20"/>
          <w:rtl/>
        </w:rPr>
        <w:t xml:space="preserve"> אטימות</w:t>
      </w:r>
      <w:r>
        <w:rPr>
          <w:sz w:val="20"/>
          <w:rtl/>
        </w:rPr>
        <w:t xml:space="preserve"> </w:t>
      </w:r>
      <w:r>
        <w:rPr>
          <w:rFonts w:hint="cs"/>
          <w:sz w:val="20"/>
          <w:rtl/>
        </w:rPr>
        <w:t xml:space="preserve">כדי למנוע </w:t>
      </w:r>
      <w:r>
        <w:rPr>
          <w:sz w:val="20"/>
          <w:rtl/>
        </w:rPr>
        <w:t>ז</w:t>
      </w:r>
      <w:r>
        <w:rPr>
          <w:rFonts w:hint="cs"/>
          <w:sz w:val="20"/>
          <w:rtl/>
        </w:rPr>
        <w:t>י</w:t>
      </w:r>
      <w:r>
        <w:rPr>
          <w:sz w:val="20"/>
          <w:rtl/>
        </w:rPr>
        <w:t>ה</w:t>
      </w:r>
      <w:r>
        <w:rPr>
          <w:rFonts w:hint="cs"/>
          <w:sz w:val="20"/>
          <w:rtl/>
        </w:rPr>
        <w:t>ו</w:t>
      </w:r>
      <w:r>
        <w:rPr>
          <w:sz w:val="20"/>
          <w:rtl/>
        </w:rPr>
        <w:t xml:space="preserve">ם </w:t>
      </w:r>
      <w:r>
        <w:rPr>
          <w:rFonts w:hint="cs"/>
          <w:sz w:val="20"/>
          <w:rtl/>
        </w:rPr>
        <w:t>של ה</w:t>
      </w:r>
      <w:r>
        <w:rPr>
          <w:sz w:val="20"/>
          <w:rtl/>
        </w:rPr>
        <w:t>קרקע ו</w:t>
      </w:r>
      <w:r>
        <w:rPr>
          <w:rFonts w:hint="cs"/>
          <w:sz w:val="20"/>
          <w:rtl/>
        </w:rPr>
        <w:t xml:space="preserve">של </w:t>
      </w:r>
      <w:r>
        <w:rPr>
          <w:sz w:val="20"/>
          <w:rtl/>
        </w:rPr>
        <w:t xml:space="preserve">מי </w:t>
      </w:r>
      <w:r>
        <w:rPr>
          <w:rFonts w:hint="cs"/>
          <w:sz w:val="20"/>
          <w:rtl/>
        </w:rPr>
        <w:t>ה</w:t>
      </w:r>
      <w:r>
        <w:rPr>
          <w:sz w:val="20"/>
          <w:rtl/>
        </w:rPr>
        <w:t>תהום</w:t>
      </w:r>
      <w:r>
        <w:rPr>
          <w:rFonts w:hint="cs"/>
          <w:sz w:val="20"/>
          <w:rtl/>
        </w:rPr>
        <w:t xml:space="preserve"> על ידי תחנות דלק</w:t>
      </w:r>
      <w:r>
        <w:rPr>
          <w:sz w:val="20"/>
          <w:rtl/>
        </w:rPr>
        <w:t xml:space="preserve">. </w:t>
      </w:r>
      <w:r>
        <w:rPr>
          <w:rFonts w:hint="cs"/>
          <w:sz w:val="20"/>
          <w:rtl/>
        </w:rPr>
        <w:t xml:space="preserve">לשם כך עליו </w:t>
      </w:r>
      <w:r>
        <w:rPr>
          <w:rFonts w:hint="cs"/>
          <w:sz w:val="20"/>
          <w:rtl/>
        </w:rPr>
        <w:t>להשלים את מאגר הנתונים על תחנות דלק פנימיות הפועלות בארץ.</w:t>
      </w:r>
    </w:p>
    <w:p w:rsidR="00000000">
      <w:pPr>
        <w:spacing w:before="180" w:after="120" w:line="230" w:lineRule="exact"/>
        <w:ind w:left="12"/>
        <w:jc w:val="both"/>
        <w:rPr>
          <w:rFonts w:cs="FrankRuehl" w:hint="cs"/>
          <w:sz w:val="20"/>
          <w:szCs w:val="22"/>
          <w:rtl/>
        </w:rPr>
      </w:pPr>
      <w:r>
        <w:rPr>
          <w:rStyle w:val="7"/>
          <w:rFonts w:cs="FrankRuehl" w:hint="cs"/>
          <w:spacing w:val="0"/>
          <w:sz w:val="20"/>
          <w:szCs w:val="22"/>
          <w:rtl/>
        </w:rPr>
        <w:t>3.</w:t>
      </w:r>
      <w:r>
        <w:rPr>
          <w:rStyle w:val="7"/>
          <w:rFonts w:cs="FrankRuehl" w:hint="cs"/>
          <w:spacing w:val="0"/>
          <w:sz w:val="20"/>
          <w:szCs w:val="22"/>
          <w:rtl/>
        </w:rPr>
        <w:tab/>
      </w:r>
      <w:r>
        <w:rPr>
          <w:rStyle w:val="7"/>
          <w:rFonts w:cs="FrankRuehl" w:hint="cs"/>
          <w:sz w:val="20"/>
          <w:szCs w:val="22"/>
          <w:rtl/>
        </w:rPr>
        <w:t>תדלוק כלי רכב ממשלתיים בתחנות פנימיות</w:t>
      </w:r>
      <w:r>
        <w:rPr>
          <w:rStyle w:val="7"/>
          <w:rFonts w:cs="FrankRuehl"/>
          <w:sz w:val="20"/>
          <w:szCs w:val="22"/>
          <w:rtl/>
        </w:rPr>
        <w:t>:</w:t>
      </w:r>
      <w:r>
        <w:rPr>
          <w:rStyle w:val="7"/>
          <w:rFonts w:cs="FrankRuehl" w:hint="cs"/>
          <w:sz w:val="20"/>
          <w:szCs w:val="22"/>
          <w:rtl/>
        </w:rPr>
        <w:t xml:space="preserve"> </w:t>
      </w:r>
      <w:r>
        <w:rPr>
          <w:rFonts w:cs="FrankRuehl"/>
          <w:sz w:val="20"/>
          <w:szCs w:val="22"/>
          <w:rtl/>
        </w:rPr>
        <w:t xml:space="preserve">מינהל הרכב הממשלתי הוא יחידה בחטיבת הנכסים, </w:t>
      </w:r>
      <w:r>
        <w:rPr>
          <w:rFonts w:cs="FrankRuehl" w:hint="cs"/>
          <w:sz w:val="20"/>
          <w:szCs w:val="22"/>
          <w:rtl/>
        </w:rPr>
        <w:t>ה</w:t>
      </w:r>
      <w:r>
        <w:rPr>
          <w:rFonts w:cs="FrankRuehl"/>
          <w:sz w:val="20"/>
          <w:szCs w:val="22"/>
          <w:rtl/>
        </w:rPr>
        <w:t>רכש ו</w:t>
      </w:r>
      <w:r>
        <w:rPr>
          <w:rFonts w:cs="FrankRuehl" w:hint="cs"/>
          <w:sz w:val="20"/>
          <w:szCs w:val="22"/>
          <w:rtl/>
        </w:rPr>
        <w:t>ה</w:t>
      </w:r>
      <w:r>
        <w:rPr>
          <w:rFonts w:cs="FrankRuehl"/>
          <w:sz w:val="20"/>
          <w:szCs w:val="22"/>
          <w:rtl/>
        </w:rPr>
        <w:t>לוגיסטיקה שבאגף החשב הכללי</w:t>
      </w:r>
      <w:r>
        <w:rPr>
          <w:rFonts w:cs="FrankRuehl" w:hint="cs"/>
          <w:sz w:val="20"/>
          <w:szCs w:val="22"/>
          <w:rtl/>
        </w:rPr>
        <w:t xml:space="preserve"> שבמשרד האוצר</w:t>
      </w:r>
      <w:r>
        <w:rPr>
          <w:rFonts w:cs="FrankRuehl"/>
          <w:sz w:val="20"/>
          <w:szCs w:val="22"/>
          <w:rtl/>
        </w:rPr>
        <w:t xml:space="preserve">. תפקידה המרכזי של היחידה </w:t>
      </w:r>
      <w:r>
        <w:rPr>
          <w:rFonts w:cs="FrankRuehl" w:hint="cs"/>
          <w:sz w:val="20"/>
          <w:szCs w:val="22"/>
          <w:rtl/>
        </w:rPr>
        <w:t>הוא</w:t>
      </w:r>
      <w:r>
        <w:rPr>
          <w:rFonts w:cs="FrankRuehl"/>
          <w:sz w:val="20"/>
          <w:szCs w:val="22"/>
          <w:rtl/>
        </w:rPr>
        <w:t xml:space="preserve"> </w:t>
      </w:r>
      <w:r>
        <w:rPr>
          <w:rFonts w:cs="FrankRuehl" w:hint="cs"/>
          <w:sz w:val="20"/>
          <w:szCs w:val="22"/>
          <w:rtl/>
        </w:rPr>
        <w:t>לספק</w:t>
      </w:r>
      <w:r>
        <w:rPr>
          <w:rFonts w:cs="FrankRuehl"/>
          <w:sz w:val="20"/>
          <w:szCs w:val="22"/>
          <w:rtl/>
        </w:rPr>
        <w:t xml:space="preserve"> שירותי רכב לכלל משרדי הממשלה וי</w:t>
      </w:r>
      <w:r>
        <w:rPr>
          <w:rFonts w:cs="FrankRuehl"/>
          <w:sz w:val="20"/>
          <w:szCs w:val="22"/>
          <w:rtl/>
        </w:rPr>
        <w:t>חידות הסמך שלהם ו</w:t>
      </w:r>
      <w:r>
        <w:rPr>
          <w:rFonts w:cs="FrankRuehl" w:hint="cs"/>
          <w:sz w:val="20"/>
          <w:szCs w:val="22"/>
          <w:rtl/>
        </w:rPr>
        <w:t>לפקח</w:t>
      </w:r>
      <w:r>
        <w:rPr>
          <w:rFonts w:cs="FrankRuehl"/>
          <w:sz w:val="20"/>
          <w:szCs w:val="22"/>
          <w:rtl/>
        </w:rPr>
        <w:t xml:space="preserve"> על השימוש במשאבים אלה. שירותים אלה כוללים רכש ותחזוקה של כלי רכב, </w:t>
      </w:r>
      <w:r>
        <w:rPr>
          <w:rFonts w:cs="FrankRuehl" w:hint="cs"/>
          <w:sz w:val="20"/>
          <w:szCs w:val="22"/>
          <w:rtl/>
        </w:rPr>
        <w:t xml:space="preserve">רכישת </w:t>
      </w:r>
      <w:r>
        <w:rPr>
          <w:rFonts w:cs="FrankRuehl"/>
          <w:sz w:val="20"/>
          <w:szCs w:val="22"/>
          <w:rtl/>
        </w:rPr>
        <w:t>דלק וכיו"ב.</w:t>
      </w:r>
      <w:r>
        <w:rPr>
          <w:rFonts w:cs="FrankRuehl" w:hint="cs"/>
          <w:sz w:val="20"/>
          <w:szCs w:val="22"/>
          <w:rtl/>
        </w:rPr>
        <w:t xml:space="preserve"> </w:t>
      </w:r>
      <w:r>
        <w:rPr>
          <w:rFonts w:cs="FrankRuehl"/>
          <w:sz w:val="20"/>
          <w:szCs w:val="22"/>
          <w:rtl/>
        </w:rPr>
        <w:t xml:space="preserve">חברת </w:t>
      </w:r>
      <w:r>
        <w:rPr>
          <w:rFonts w:cs="FrankRuehl" w:hint="cs"/>
          <w:sz w:val="20"/>
          <w:szCs w:val="22"/>
          <w:rtl/>
        </w:rPr>
        <w:t>ה</w:t>
      </w:r>
      <w:r>
        <w:rPr>
          <w:rFonts w:cs="FrankRuehl"/>
          <w:sz w:val="20"/>
          <w:szCs w:val="22"/>
          <w:rtl/>
        </w:rPr>
        <w:t xml:space="preserve">דלק </w:t>
      </w:r>
      <w:r>
        <w:rPr>
          <w:rFonts w:cs="FrankRuehl" w:hint="cs"/>
          <w:sz w:val="20"/>
          <w:szCs w:val="22"/>
          <w:rtl/>
        </w:rPr>
        <w:t>ש</w:t>
      </w:r>
      <w:r>
        <w:rPr>
          <w:rFonts w:cs="FrankRuehl"/>
          <w:sz w:val="20"/>
          <w:szCs w:val="22"/>
          <w:rtl/>
        </w:rPr>
        <w:t xml:space="preserve">זכתה במכרז של מינהל הרכב הממשלתי לתדלוק </w:t>
      </w:r>
      <w:r>
        <w:rPr>
          <w:rFonts w:cs="FrankRuehl" w:hint="cs"/>
          <w:sz w:val="20"/>
          <w:szCs w:val="22"/>
          <w:rtl/>
        </w:rPr>
        <w:t>כלי רכב</w:t>
      </w:r>
      <w:r>
        <w:rPr>
          <w:rFonts w:cs="FrankRuehl"/>
          <w:sz w:val="20"/>
          <w:szCs w:val="22"/>
          <w:rtl/>
        </w:rPr>
        <w:t xml:space="preserve"> ממשלתי</w:t>
      </w:r>
      <w:r>
        <w:rPr>
          <w:rFonts w:cs="FrankRuehl" w:hint="cs"/>
          <w:sz w:val="20"/>
          <w:szCs w:val="22"/>
          <w:rtl/>
        </w:rPr>
        <w:t>ים</w:t>
      </w:r>
      <w:r>
        <w:rPr>
          <w:rFonts w:cs="FrankRuehl"/>
          <w:sz w:val="20"/>
          <w:szCs w:val="22"/>
          <w:rtl/>
        </w:rPr>
        <w:t xml:space="preserve"> מפעילה תחנות דלק </w:t>
      </w:r>
      <w:r>
        <w:rPr>
          <w:rFonts w:cs="FrankRuehl" w:hint="cs"/>
          <w:sz w:val="20"/>
          <w:szCs w:val="22"/>
          <w:rtl/>
        </w:rPr>
        <w:t>ציבוריות ו</w:t>
      </w:r>
      <w:r>
        <w:rPr>
          <w:rFonts w:cs="FrankRuehl"/>
          <w:sz w:val="20"/>
          <w:szCs w:val="22"/>
          <w:rtl/>
        </w:rPr>
        <w:t xml:space="preserve">תחנות דלק פנימיות. תדלוק </w:t>
      </w:r>
      <w:r>
        <w:rPr>
          <w:rFonts w:cs="FrankRuehl" w:hint="cs"/>
          <w:sz w:val="20"/>
          <w:szCs w:val="22"/>
          <w:rtl/>
        </w:rPr>
        <w:t xml:space="preserve">כלי הרכב </w:t>
      </w:r>
      <w:r>
        <w:rPr>
          <w:rFonts w:cs="FrankRuehl"/>
          <w:sz w:val="20"/>
          <w:szCs w:val="22"/>
          <w:rtl/>
        </w:rPr>
        <w:t>הממשלתיים מתבצע בתחנו</w:t>
      </w:r>
      <w:r>
        <w:rPr>
          <w:rFonts w:cs="FrankRuehl"/>
          <w:sz w:val="20"/>
          <w:szCs w:val="22"/>
          <w:rtl/>
        </w:rPr>
        <w:t xml:space="preserve">ת </w:t>
      </w:r>
      <w:r>
        <w:rPr>
          <w:rFonts w:cs="FrankRuehl" w:hint="cs"/>
          <w:sz w:val="20"/>
          <w:szCs w:val="22"/>
          <w:rtl/>
        </w:rPr>
        <w:t>ה</w:t>
      </w:r>
      <w:r>
        <w:rPr>
          <w:rFonts w:cs="FrankRuehl"/>
          <w:sz w:val="20"/>
          <w:szCs w:val="22"/>
          <w:rtl/>
        </w:rPr>
        <w:t xml:space="preserve">דלק של </w:t>
      </w:r>
      <w:r>
        <w:rPr>
          <w:rFonts w:cs="FrankRuehl" w:hint="cs"/>
          <w:sz w:val="20"/>
          <w:szCs w:val="22"/>
          <w:rtl/>
        </w:rPr>
        <w:t xml:space="preserve">החברה </w:t>
      </w:r>
      <w:r>
        <w:rPr>
          <w:rFonts w:cs="FrankRuehl"/>
          <w:sz w:val="20"/>
          <w:szCs w:val="22"/>
          <w:rtl/>
        </w:rPr>
        <w:t xml:space="preserve">באמצעות </w:t>
      </w:r>
      <w:r>
        <w:rPr>
          <w:rFonts w:cs="FrankRuehl" w:hint="cs"/>
          <w:sz w:val="20"/>
          <w:szCs w:val="22"/>
          <w:rtl/>
        </w:rPr>
        <w:t>התקן ממוחשב</w:t>
      </w:r>
      <w:r>
        <w:rPr>
          <w:rFonts w:cs="FrankRuehl"/>
          <w:sz w:val="20"/>
          <w:szCs w:val="22"/>
          <w:rtl/>
        </w:rPr>
        <w:t>.</w:t>
      </w:r>
      <w:r>
        <w:rPr>
          <w:rFonts w:cs="FrankRuehl" w:hint="cs"/>
          <w:sz w:val="20"/>
          <w:szCs w:val="22"/>
          <w:rtl/>
        </w:rPr>
        <w:t xml:space="preserve"> </w:t>
      </w:r>
    </w:p>
    <w:p w:rsidR="00000000">
      <w:pPr>
        <w:spacing w:after="240" w:line="230" w:lineRule="exact"/>
        <w:ind w:left="12"/>
        <w:jc w:val="both"/>
        <w:rPr>
          <w:rFonts w:cs="FrankRuehl" w:hint="cs"/>
          <w:sz w:val="20"/>
          <w:szCs w:val="22"/>
          <w:rtl/>
        </w:rPr>
      </w:pPr>
      <w:r>
        <w:rPr>
          <w:rFonts w:cs="FrankRuehl" w:hint="cs"/>
          <w:sz w:val="20"/>
          <w:szCs w:val="22"/>
          <w:rtl/>
        </w:rPr>
        <w:t xml:space="preserve">כאמור, תחנות דלק פנימיות </w:t>
      </w:r>
      <w:r>
        <w:rPr>
          <w:rFonts w:cs="FrankRuehl"/>
          <w:sz w:val="20"/>
          <w:szCs w:val="22"/>
          <w:rtl/>
        </w:rPr>
        <w:t>אינן מורשות לשרת את הציבור</w:t>
      </w:r>
      <w:r>
        <w:rPr>
          <w:rFonts w:cs="FrankRuehl" w:hint="cs"/>
          <w:sz w:val="20"/>
          <w:szCs w:val="22"/>
          <w:rtl/>
        </w:rPr>
        <w:t xml:space="preserve">, ובכלל זה כלי רכב ממשלתיים. בתחנות אלו מינהל הדלק אינו מבצע בדיקות של איכות הדלק. ואולם </w:t>
      </w:r>
      <w:r>
        <w:rPr>
          <w:rFonts w:cs="FrankRuehl"/>
          <w:sz w:val="20"/>
          <w:szCs w:val="22"/>
          <w:rtl/>
        </w:rPr>
        <w:t xml:space="preserve">בבדיקה </w:t>
      </w:r>
      <w:r>
        <w:rPr>
          <w:rFonts w:cs="FrankRuehl" w:hint="cs"/>
          <w:sz w:val="20"/>
          <w:szCs w:val="22"/>
          <w:rtl/>
        </w:rPr>
        <w:t xml:space="preserve">שעשה </w:t>
      </w:r>
      <w:r>
        <w:rPr>
          <w:rFonts w:cs="FrankRuehl"/>
          <w:sz w:val="20"/>
          <w:szCs w:val="22"/>
          <w:rtl/>
        </w:rPr>
        <w:t xml:space="preserve">משרד מבקר המדינה נמצא </w:t>
      </w:r>
      <w:r>
        <w:rPr>
          <w:rFonts w:cs="FrankRuehl" w:hint="cs"/>
          <w:sz w:val="20"/>
          <w:szCs w:val="22"/>
          <w:rtl/>
        </w:rPr>
        <w:t>כי כלי רכב ממשלתיים תדלקו בחמש תחנות דלק פני</w:t>
      </w:r>
      <w:r>
        <w:rPr>
          <w:rFonts w:cs="FrankRuehl" w:hint="cs"/>
          <w:sz w:val="20"/>
          <w:szCs w:val="22"/>
          <w:rtl/>
        </w:rPr>
        <w:t xml:space="preserve">מיות לפחות. </w:t>
      </w:r>
    </w:p>
    <w:p w:rsidR="00000000">
      <w:pPr>
        <w:pStyle w:val="RESHET"/>
        <w:keepLines/>
        <w:rPr>
          <w:rFonts w:hint="cs"/>
          <w:sz w:val="20"/>
          <w:rtl/>
        </w:rPr>
      </w:pPr>
      <w:r>
        <w:rPr>
          <w:sz w:val="20"/>
          <w:rtl/>
        </w:rPr>
        <w:t>לדעת משרד מבקר המדינה</w:t>
      </w:r>
      <w:r>
        <w:rPr>
          <w:rFonts w:hint="cs"/>
          <w:sz w:val="20"/>
          <w:rtl/>
        </w:rPr>
        <w:t>,</w:t>
      </w:r>
      <w:r>
        <w:rPr>
          <w:sz w:val="20"/>
          <w:rtl/>
        </w:rPr>
        <w:t xml:space="preserve"> על מינהל הרכב הממשלתי לפעול </w:t>
      </w:r>
      <w:r>
        <w:rPr>
          <w:rFonts w:hint="cs"/>
          <w:sz w:val="20"/>
          <w:rtl/>
        </w:rPr>
        <w:t>כדי</w:t>
      </w:r>
      <w:r>
        <w:rPr>
          <w:sz w:val="20"/>
          <w:rtl/>
        </w:rPr>
        <w:t xml:space="preserve"> </w:t>
      </w:r>
      <w:r>
        <w:rPr>
          <w:rFonts w:hint="cs"/>
          <w:sz w:val="20"/>
          <w:rtl/>
        </w:rPr>
        <w:t xml:space="preserve">למנוע תדלוק כלי רכב ממשלתיים בתחנות דלק פנימיות בניגוד להיתר הבנייה ורישיון העסק שהוצאו להן. </w:t>
      </w:r>
    </w:p>
    <w:p w:rsidR="00000000">
      <w:pPr>
        <w:spacing w:before="180" w:after="120" w:line="230" w:lineRule="exact"/>
        <w:ind w:left="12"/>
        <w:jc w:val="both"/>
        <w:rPr>
          <w:rFonts w:cs="FrankRuehl" w:hint="cs"/>
          <w:sz w:val="20"/>
          <w:szCs w:val="22"/>
          <w:rtl/>
        </w:rPr>
      </w:pPr>
      <w:r>
        <w:rPr>
          <w:rFonts w:cs="FrankRuehl" w:hint="cs"/>
          <w:sz w:val="20"/>
          <w:szCs w:val="22"/>
          <w:rtl/>
        </w:rPr>
        <w:t>מינהל הרכש הממשלתי מסר בתשובתו בפברואר 2013 כי התדלוק בתחנות הדלק הפנימיות היה בהיקף נמוך. עוד</w:t>
      </w:r>
      <w:r>
        <w:rPr>
          <w:rFonts w:cs="FrankRuehl" w:hint="cs"/>
          <w:sz w:val="20"/>
          <w:szCs w:val="22"/>
          <w:rtl/>
        </w:rPr>
        <w:t xml:space="preserve"> ציין מינהל הרכש כי חברת הדלק התבקשה לחסום תחנות אלה לתדלוק כלי רכב ממשלתיים בעתיד. </w:t>
      </w:r>
    </w:p>
    <w:p w:rsidR="00000000">
      <w:pPr>
        <w:spacing w:after="120" w:line="230" w:lineRule="exact"/>
        <w:ind w:left="12"/>
        <w:jc w:val="both"/>
        <w:rPr>
          <w:rFonts w:cs="FrankRuehl" w:hint="cs"/>
          <w:sz w:val="20"/>
          <w:szCs w:val="22"/>
          <w:rtl/>
        </w:rPr>
      </w:pPr>
    </w:p>
    <w:p w:rsidR="00000000">
      <w:pPr>
        <w:spacing w:after="120" w:line="230" w:lineRule="exact"/>
        <w:ind w:left="12"/>
        <w:jc w:val="both"/>
        <w:rPr>
          <w:rFonts w:cs="FrankRuehl" w:hint="cs"/>
          <w:b/>
          <w:bCs/>
          <w:sz w:val="20"/>
          <w:szCs w:val="22"/>
          <w:rtl/>
        </w:rPr>
      </w:pPr>
    </w:p>
    <w:p w:rsidR="00000000">
      <w:pPr>
        <w:pStyle w:val="KOT4"/>
        <w:rPr>
          <w:rFonts w:hint="cs"/>
          <w:rtl/>
        </w:rPr>
      </w:pPr>
      <w:r>
        <w:rPr>
          <w:rFonts w:hint="cs"/>
          <w:rtl/>
        </w:rPr>
        <w:t>סיכום</w:t>
      </w:r>
    </w:p>
    <w:p w:rsidR="00000000">
      <w:pPr>
        <w:pStyle w:val="RESHET"/>
        <w:keepLines/>
        <w:rPr>
          <w:rFonts w:hint="cs"/>
          <w:sz w:val="20"/>
          <w:rtl/>
        </w:rPr>
      </w:pPr>
      <w:r>
        <w:rPr>
          <w:sz w:val="20"/>
          <w:rtl/>
        </w:rPr>
        <w:t xml:space="preserve">תחנות </w:t>
      </w:r>
      <w:r>
        <w:rPr>
          <w:rFonts w:hint="cs"/>
          <w:sz w:val="20"/>
          <w:rtl/>
        </w:rPr>
        <w:t>דלק פירטיות</w:t>
      </w:r>
      <w:r>
        <w:rPr>
          <w:sz w:val="20"/>
          <w:rtl/>
        </w:rPr>
        <w:t xml:space="preserve"> </w:t>
      </w:r>
      <w:r>
        <w:rPr>
          <w:rFonts w:hint="cs"/>
          <w:sz w:val="20"/>
          <w:rtl/>
        </w:rPr>
        <w:t>הן</w:t>
      </w:r>
      <w:r>
        <w:rPr>
          <w:sz w:val="20"/>
          <w:rtl/>
        </w:rPr>
        <w:t xml:space="preserve"> מקור למפגעים קשים וסכנה בטיחותית מובהקת, והעובדה שהן מוסיפות להתקיים היא הראיה הטובה ביותר לכך שלא נעשה די בתחום האכיפה</w:t>
      </w:r>
      <w:r>
        <w:rPr>
          <w:rFonts w:hint="cs"/>
          <w:sz w:val="20"/>
          <w:rtl/>
        </w:rPr>
        <w:t xml:space="preserve"> נגדן</w:t>
      </w:r>
      <w:r>
        <w:rPr>
          <w:sz w:val="20"/>
          <w:rtl/>
        </w:rPr>
        <w:t>.</w:t>
      </w:r>
      <w:r>
        <w:rPr>
          <w:rFonts w:hint="cs"/>
          <w:sz w:val="20"/>
          <w:rtl/>
        </w:rPr>
        <w:t xml:space="preserve"> ריבוי הגופים העו</w:t>
      </w:r>
      <w:r>
        <w:rPr>
          <w:rFonts w:hint="cs"/>
          <w:sz w:val="20"/>
          <w:rtl/>
        </w:rPr>
        <w:t>סקים באכיפה בלא תיאום והעברת מידע הדדית הוא מתכון לאכיפה לא יעילה. כדי לצמצם משמעותית את מספר תחנות הדלק הפירטיות יש צורך באכיפה יעילה והגברת שיתוף הפעולה בין גופי הפיקוח.</w:t>
      </w:r>
    </w:p>
    <w:p w:rsidR="00000000">
      <w:pPr>
        <w:pStyle w:val="RESHET"/>
        <w:keepLines/>
        <w:rPr>
          <w:rFonts w:hint="cs"/>
          <w:sz w:val="20"/>
          <w:rtl/>
        </w:rPr>
      </w:pPr>
      <w:r>
        <w:rPr>
          <w:rFonts w:hint="cs"/>
          <w:sz w:val="20"/>
          <w:rtl/>
        </w:rPr>
        <w:t>על משרד האנרגיה, האחראי למשק הדלק, להוביל את המאבק כנגד התחנות עם כלל גופי הפיקוח</w:t>
      </w:r>
      <w:r>
        <w:rPr>
          <w:rStyle w:val="FootnoteReference"/>
          <w:sz w:val="20"/>
          <w:rtl/>
        </w:rPr>
        <w:footnoteReference w:id="48"/>
      </w:r>
      <w:r>
        <w:rPr>
          <w:rFonts w:hint="cs"/>
          <w:sz w:val="20"/>
          <w:rtl/>
        </w:rPr>
        <w:t xml:space="preserve">; </w:t>
      </w:r>
      <w:r>
        <w:rPr>
          <w:rFonts w:hint="cs"/>
          <w:sz w:val="20"/>
          <w:rtl/>
        </w:rPr>
        <w:t>למצוא פתרון שיאפשר את סגירת תחנות הדלק הפירטיות, כולל החרמת הציוד ושאיבת הדלק שבהן. כמו כן עליו להוביל להקמת מאגר נתונים על תחנות פירטיות ופנימיות בשיתוף עם גופי הפיקוח וכן לקבוע דרכים לעדכונו השוטף. אם המשרד סבור כי ההיררכיות בין גופי הפיקוח מונעות זאת ממ</w:t>
      </w:r>
      <w:r>
        <w:rPr>
          <w:rFonts w:hint="cs"/>
          <w:sz w:val="20"/>
          <w:rtl/>
        </w:rPr>
        <w:t>נו, עליו ליזום החלטת ממשלה או שינוי חקיקה כדי להסדיר נושא זה.</w:t>
      </w:r>
    </w:p>
    <w:p w:rsidR="00000000">
      <w:pPr>
        <w:pStyle w:val="RESHET"/>
        <w:keepLines/>
        <w:rPr>
          <w:rFonts w:hint="cs"/>
          <w:sz w:val="20"/>
          <w:rtl/>
        </w:rPr>
      </w:pPr>
      <w:r>
        <w:rPr>
          <w:rFonts w:hint="cs"/>
          <w:sz w:val="20"/>
          <w:rtl/>
        </w:rPr>
        <w:t>על ממ"י למצוא פתרון לשימוש המסחרי החורג של תחנות דלק פנימיות בקרקע חקלאית או לפעול להפסקת הפעילות באמצעות הגשת תביעות משפטיות לפינוי הקרקע.</w:t>
      </w:r>
      <w:r>
        <w:rPr>
          <w:sz w:val="20"/>
          <w:rtl/>
        </w:rPr>
        <w:t xml:space="preserve"> </w:t>
      </w:r>
    </w:p>
    <w:p w:rsidR="00000000">
      <w:pPr>
        <w:spacing w:after="120" w:line="230" w:lineRule="exact"/>
        <w:jc w:val="both"/>
        <w:rPr>
          <w:rFonts w:cs="FrankRuehl"/>
          <w:sz w:val="20"/>
          <w:szCs w:val="22"/>
        </w:rPr>
      </w:pPr>
    </w:p>
    <w:p w:rsidR="00000000">
      <w:pPr>
        <w:spacing w:after="120" w:line="230" w:lineRule="exact"/>
        <w:jc w:val="both"/>
        <w:rPr>
          <w:rFonts w:cs="FrankRuehl"/>
          <w:sz w:val="20"/>
          <w:szCs w:val="22"/>
          <w:rtl/>
        </w:rPr>
        <w:sectPr>
          <w:headerReference w:type="even" r:id="rId9"/>
          <w:headerReference w:type="default" r:id="rId10"/>
          <w:footerReference w:type="even" r:id="rId11"/>
          <w:footerReference w:type="default" r:id="rId12"/>
          <w:headerReference w:type="first" r:id="rId13"/>
          <w:footnotePr>
            <w:numRestart w:val="eachSect"/>
          </w:footnotePr>
          <w:pgSz w:w="11906" w:h="16838" w:code="9"/>
          <w:pgMar w:top="1758" w:right="2552" w:bottom="4253" w:left="2552" w:header="1247" w:footer="709" w:gutter="0"/>
          <w:pgNumType w:start="283"/>
          <w:cols w:space="708"/>
          <w:docGrid w:linePitch="360"/>
        </w:sectPr>
      </w:pPr>
    </w:p>
    <w:p w:rsidR="00000000">
      <w:pPr>
        <w:spacing w:after="120" w:line="230" w:lineRule="exact"/>
        <w:jc w:val="both"/>
        <w:rPr>
          <w:rFonts w:cs="FrankRuehl"/>
          <w:sz w:val="20"/>
          <w:szCs w:val="22"/>
        </w:rPr>
      </w:pPr>
    </w:p>
    <w:sectPr>
      <w:headerReference w:type="even" r:id="rId14"/>
      <w:footnotePr>
        <w:numRestart w:val="eachSect"/>
      </w:footnotePr>
      <w:pgSz w:w="11906" w:h="16838" w:code="9"/>
      <w:pgMar w:top="1758" w:right="2552" w:bottom="4253" w:left="2552" w:header="124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65A" w:rsidRPr="00706C18" w:rsidP="0097165A">
    <w:pPr>
      <w:pStyle w:val="KOT1"/>
      <w:spacing w:after="0" w:line="240" w:lineRule="auto"/>
      <w:jc w:val="left"/>
      <w:rPr>
        <w:rFonts w:cs="FrankRuehl" w:hint="cs"/>
        <w:b w:val="0"/>
        <w:bCs w:val="0"/>
        <w:sz w:val="16"/>
        <w:szCs w:val="16"/>
        <w:rtl/>
        <w:lang w:eastAsia="en-US"/>
      </w:rPr>
    </w:pPr>
    <w:r w:rsidRPr="00AA15F9">
      <w:rPr>
        <w:rFonts w:cs="FrankRuehl" w:hint="cs"/>
        <w:b w:val="0"/>
        <w:bCs w:val="0"/>
        <w:sz w:val="16"/>
        <w:szCs w:val="16"/>
        <w:rtl/>
        <w:lang w:eastAsia="en-US"/>
      </w:rPr>
      <w:t>ש</w:t>
    </w:r>
    <w:r w:rsidRPr="00AA15F9">
      <w:rPr>
        <w:rFonts w:cs="FrankRuehl"/>
        <w:b w:val="0"/>
        <w:bCs w:val="0"/>
        <w:sz w:val="16"/>
        <w:szCs w:val="16"/>
        <w:rtl/>
        <w:lang w:eastAsia="en-US"/>
      </w:rPr>
      <w:t>ם הדוח:</w:t>
    </w:r>
    <w:r w:rsidRPr="00AA15F9">
      <w:rPr>
        <w:rFonts w:cs="FrankRuehl" w:hint="cs"/>
        <w:b w:val="0"/>
        <w:bCs w:val="0"/>
        <w:sz w:val="16"/>
        <w:szCs w:val="16"/>
        <w:rtl/>
        <w:lang w:eastAsia="en-US"/>
      </w:rPr>
      <w:t xml:space="preserve"> </w:t>
    </w:r>
    <w:r w:rsidRPr="00AA15F9">
      <w:rPr>
        <w:rFonts w:cs="FrankRuehl"/>
        <w:b w:val="0"/>
        <w:bCs w:val="0"/>
        <w:sz w:val="16"/>
        <w:szCs w:val="16"/>
        <w:rtl/>
        <w:lang w:eastAsia="en-US"/>
      </w:rPr>
      <w:t>שם הדוח:</w:t>
    </w:r>
    <w:r w:rsidRPr="00AA15F9">
      <w:rPr>
        <w:rFonts w:cs="FrankRuehl" w:hint="cs"/>
        <w:b w:val="0"/>
        <w:bCs w:val="0"/>
        <w:sz w:val="16"/>
        <w:szCs w:val="16"/>
        <w:rtl/>
        <w:lang w:eastAsia="en-US"/>
      </w:rPr>
      <w:t xml:space="preserve"> </w:t>
    </w:r>
    <w:r w:rsidRPr="0097165A">
      <w:rPr>
        <w:rFonts w:cs="FrankRuehl"/>
        <w:b w:val="0"/>
        <w:bCs w:val="0"/>
        <w:sz w:val="16"/>
        <w:szCs w:val="16"/>
        <w:rtl/>
        <w:lang w:eastAsia="en-US"/>
      </w:rPr>
      <w:t>הטיפול בתחנות דלק פירטיות ובתחנות דלק פנימיות</w:t>
    </w:r>
  </w:p>
  <w:p w:rsidR="0097165A" w:rsidRPr="00346473" w:rsidP="0097165A">
    <w:pPr>
      <w:pStyle w:val="Footer"/>
      <w:spacing w:line="240" w:lineRule="auto"/>
      <w:rPr>
        <w:rFonts w:cs="FrankRuehl"/>
        <w:sz w:val="16"/>
        <w:szCs w:val="16"/>
        <w:rtl/>
      </w:rPr>
    </w:pPr>
    <w:r w:rsidRPr="00346473">
      <w:rPr>
        <w:rFonts w:cs="FrankRuehl"/>
        <w:sz w:val="16"/>
        <w:szCs w:val="16"/>
        <w:rtl/>
      </w:rPr>
      <w:t>מסגרת הפרסום:</w:t>
    </w:r>
    <w:r w:rsidRPr="00346473">
      <w:rPr>
        <w:rFonts w:cs="FrankRuehl" w:hint="cs"/>
        <w:sz w:val="16"/>
        <w:szCs w:val="16"/>
        <w:rtl/>
      </w:rPr>
      <w:t xml:space="preserve"> דוח שנתי 64א</w:t>
    </w:r>
  </w:p>
  <w:p w:rsidR="0097165A" w:rsidRPr="00346473" w:rsidP="0097165A">
    <w:pPr>
      <w:pStyle w:val="Footer"/>
      <w:spacing w:line="240" w:lineRule="auto"/>
      <w:rPr>
        <w:rFonts w:cs="FrankRuehl"/>
        <w:sz w:val="16"/>
        <w:szCs w:val="16"/>
      </w:rPr>
    </w:pPr>
    <w:r w:rsidRPr="00346473">
      <w:rPr>
        <w:rFonts w:cs="FrankRuehl"/>
        <w:sz w:val="16"/>
        <w:szCs w:val="16"/>
        <w:rtl/>
      </w:rPr>
      <w:t>שנת פרסום:</w:t>
    </w:r>
    <w:r w:rsidRPr="00346473">
      <w:rPr>
        <w:rFonts w:cs="FrankRuehl" w:hint="cs"/>
        <w:sz w:val="16"/>
        <w:szCs w:val="16"/>
        <w:rtl/>
      </w:rPr>
      <w:t xml:space="preserve"> </w:t>
    </w:r>
    <w:r w:rsidRPr="00346473">
      <w:rPr>
        <w:rFonts w:cs="FrankRuehl"/>
        <w:sz w:val="16"/>
        <w:szCs w:val="16"/>
        <w:rtl/>
      </w:rPr>
      <w:t>התשע"</w:t>
    </w:r>
    <w:r w:rsidRPr="00346473">
      <w:rPr>
        <w:rFonts w:cs="FrankRuehl" w:hint="cs"/>
        <w:sz w:val="16"/>
        <w:szCs w:val="16"/>
        <w:rtl/>
      </w:rPr>
      <w:t>ג</w:t>
    </w:r>
    <w:r w:rsidRPr="00346473">
      <w:rPr>
        <w:rFonts w:cs="FrankRuehl"/>
        <w:sz w:val="16"/>
        <w:szCs w:val="16"/>
        <w:rtl/>
      </w:rPr>
      <w:t>-201</w:t>
    </w:r>
    <w:r w:rsidRPr="00346473">
      <w:rPr>
        <w:rFonts w:cs="FrankRuehl" w:hint="cs"/>
        <w:sz w:val="16"/>
        <w:szCs w:val="16"/>
        <w:rtl/>
      </w:rPr>
      <w:t>3</w:t>
    </w:r>
  </w:p>
  <w:p w:rsidR="0097165A" w:rsidRPr="00971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65A" w:rsidRPr="00706C18" w:rsidP="0097165A">
    <w:pPr>
      <w:pStyle w:val="KOT1"/>
      <w:spacing w:after="0" w:line="240" w:lineRule="auto"/>
      <w:jc w:val="left"/>
      <w:rPr>
        <w:rFonts w:cs="FrankRuehl" w:hint="cs"/>
        <w:b w:val="0"/>
        <w:bCs w:val="0"/>
        <w:sz w:val="16"/>
        <w:szCs w:val="16"/>
        <w:rtl/>
        <w:lang w:eastAsia="en-US"/>
      </w:rPr>
    </w:pPr>
    <w:r w:rsidRPr="00AA15F9">
      <w:rPr>
        <w:rFonts w:cs="FrankRuehl" w:hint="cs"/>
        <w:b w:val="0"/>
        <w:bCs w:val="0"/>
        <w:sz w:val="16"/>
        <w:szCs w:val="16"/>
        <w:rtl/>
        <w:lang w:eastAsia="en-US"/>
      </w:rPr>
      <w:t>ש</w:t>
    </w:r>
    <w:r w:rsidRPr="00AA15F9">
      <w:rPr>
        <w:rFonts w:cs="FrankRuehl"/>
        <w:b w:val="0"/>
        <w:bCs w:val="0"/>
        <w:sz w:val="16"/>
        <w:szCs w:val="16"/>
        <w:rtl/>
        <w:lang w:eastAsia="en-US"/>
      </w:rPr>
      <w:t>ם הדוח:</w:t>
    </w:r>
    <w:r w:rsidRPr="00AA15F9">
      <w:rPr>
        <w:rFonts w:cs="FrankRuehl" w:hint="cs"/>
        <w:b w:val="0"/>
        <w:bCs w:val="0"/>
        <w:sz w:val="16"/>
        <w:szCs w:val="16"/>
        <w:rtl/>
        <w:lang w:eastAsia="en-US"/>
      </w:rPr>
      <w:t xml:space="preserve"> </w:t>
    </w:r>
    <w:r w:rsidRPr="00AA15F9">
      <w:rPr>
        <w:rFonts w:cs="FrankRuehl"/>
        <w:b w:val="0"/>
        <w:bCs w:val="0"/>
        <w:sz w:val="16"/>
        <w:szCs w:val="16"/>
        <w:rtl/>
        <w:lang w:eastAsia="en-US"/>
      </w:rPr>
      <w:t>שם הדוח:</w:t>
    </w:r>
    <w:r w:rsidRPr="00AA15F9">
      <w:rPr>
        <w:rFonts w:cs="FrankRuehl" w:hint="cs"/>
        <w:b w:val="0"/>
        <w:bCs w:val="0"/>
        <w:sz w:val="16"/>
        <w:szCs w:val="16"/>
        <w:rtl/>
        <w:lang w:eastAsia="en-US"/>
      </w:rPr>
      <w:t xml:space="preserve"> </w:t>
    </w:r>
    <w:r w:rsidRPr="0097165A">
      <w:rPr>
        <w:rFonts w:cs="FrankRuehl"/>
        <w:b w:val="0"/>
        <w:bCs w:val="0"/>
        <w:sz w:val="16"/>
        <w:szCs w:val="16"/>
        <w:rtl/>
        <w:lang w:eastAsia="en-US"/>
      </w:rPr>
      <w:t>הטיפול בתחנות דלק פירטיות ובתחנות דלק פנימיות</w:t>
    </w:r>
  </w:p>
  <w:p w:rsidR="0097165A" w:rsidRPr="00346473" w:rsidP="0097165A">
    <w:pPr>
      <w:pStyle w:val="Footer"/>
      <w:spacing w:line="240" w:lineRule="auto"/>
      <w:rPr>
        <w:rFonts w:cs="FrankRuehl"/>
        <w:sz w:val="16"/>
        <w:szCs w:val="16"/>
        <w:rtl/>
      </w:rPr>
    </w:pPr>
    <w:r w:rsidRPr="00346473">
      <w:rPr>
        <w:rFonts w:cs="FrankRuehl"/>
        <w:sz w:val="16"/>
        <w:szCs w:val="16"/>
        <w:rtl/>
      </w:rPr>
      <w:t>מסגרת הפרסום:</w:t>
    </w:r>
    <w:r w:rsidRPr="00346473">
      <w:rPr>
        <w:rFonts w:cs="FrankRuehl" w:hint="cs"/>
        <w:sz w:val="16"/>
        <w:szCs w:val="16"/>
        <w:rtl/>
      </w:rPr>
      <w:t xml:space="preserve"> דוח שנתי 64א</w:t>
    </w:r>
  </w:p>
  <w:p w:rsidR="0097165A" w:rsidRPr="00346473" w:rsidP="0097165A">
    <w:pPr>
      <w:pStyle w:val="Footer"/>
      <w:spacing w:line="240" w:lineRule="auto"/>
      <w:rPr>
        <w:rFonts w:cs="FrankRuehl"/>
        <w:sz w:val="16"/>
        <w:szCs w:val="16"/>
      </w:rPr>
    </w:pPr>
    <w:r w:rsidRPr="00346473">
      <w:rPr>
        <w:rFonts w:cs="FrankRuehl"/>
        <w:sz w:val="16"/>
        <w:szCs w:val="16"/>
        <w:rtl/>
      </w:rPr>
      <w:t>שנת פרסום:</w:t>
    </w:r>
    <w:r w:rsidRPr="00346473">
      <w:rPr>
        <w:rFonts w:cs="FrankRuehl" w:hint="cs"/>
        <w:sz w:val="16"/>
        <w:szCs w:val="16"/>
        <w:rtl/>
      </w:rPr>
      <w:t xml:space="preserve"> </w:t>
    </w:r>
    <w:r w:rsidRPr="00346473">
      <w:rPr>
        <w:rFonts w:cs="FrankRuehl"/>
        <w:sz w:val="16"/>
        <w:szCs w:val="16"/>
        <w:rtl/>
      </w:rPr>
      <w:t>התשע"</w:t>
    </w:r>
    <w:r w:rsidRPr="00346473">
      <w:rPr>
        <w:rFonts w:cs="FrankRuehl" w:hint="cs"/>
        <w:sz w:val="16"/>
        <w:szCs w:val="16"/>
        <w:rtl/>
      </w:rPr>
      <w:t>ג</w:t>
    </w:r>
    <w:r w:rsidRPr="00346473">
      <w:rPr>
        <w:rFonts w:cs="FrankRuehl"/>
        <w:sz w:val="16"/>
        <w:szCs w:val="16"/>
        <w:rtl/>
      </w:rPr>
      <w:t>-201</w:t>
    </w:r>
    <w:r w:rsidRPr="00346473">
      <w:rPr>
        <w:rFonts w:cs="FrankRuehl" w:hint="cs"/>
        <w:sz w:val="16"/>
        <w:szCs w:val="16"/>
        <w:rtl/>
      </w:rPr>
      <w:t>3</w:t>
    </w:r>
  </w:p>
  <w:p w:rsidR="0097165A" w:rsidRPr="0097165A">
    <w:pPr>
      <w:pStyle w:val="Footer"/>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0000">
      <w:pPr>
        <w:spacing w:after="120"/>
        <w:rPr>
          <w:rFonts w:hint="cs"/>
          <w:sz w:val="16"/>
          <w:szCs w:val="16"/>
          <w:rtl/>
        </w:rPr>
      </w:pPr>
      <w:r>
        <w:rPr>
          <w:rFonts w:hint="cs"/>
          <w:sz w:val="16"/>
          <w:szCs w:val="16"/>
          <w:rtl/>
        </w:rPr>
        <w:t>__________________</w:t>
      </w:r>
    </w:p>
  </w:footnote>
  <w:footnote w:type="continuationSeparator" w:id="1">
    <w:p w:rsidR="00000000">
      <w:pPr>
        <w:spacing w:line="240" w:lineRule="auto"/>
      </w:pPr>
      <w:r>
        <w:continuationSeparator/>
      </w:r>
    </w:p>
  </w:footnote>
  <w:footnote w:id="2">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 xml:space="preserve">תחנות דלק </w:t>
      </w:r>
      <w:r>
        <w:rPr>
          <w:rFonts w:cs="FrankRuehl" w:hint="cs"/>
          <w:sz w:val="18"/>
          <w:rtl/>
        </w:rPr>
        <w:t xml:space="preserve">המוכרות דלק לציבור, </w:t>
      </w:r>
      <w:r>
        <w:rPr>
          <w:rFonts w:cs="FrankRuehl"/>
          <w:sz w:val="18"/>
          <w:rtl/>
        </w:rPr>
        <w:t>שהוקמו ללא היתר ב</w:t>
      </w:r>
      <w:r>
        <w:rPr>
          <w:rFonts w:cs="FrankRuehl"/>
          <w:sz w:val="18"/>
          <w:rtl/>
        </w:rPr>
        <w:t xml:space="preserve">נייה </w:t>
      </w:r>
      <w:r>
        <w:rPr>
          <w:rFonts w:cs="FrankRuehl" w:hint="cs"/>
          <w:sz w:val="18"/>
          <w:rtl/>
        </w:rPr>
        <w:t>ו</w:t>
      </w:r>
      <w:r>
        <w:rPr>
          <w:rFonts w:cs="FrankRuehl"/>
          <w:sz w:val="18"/>
          <w:rtl/>
        </w:rPr>
        <w:t>רישיון עסק ו</w:t>
      </w:r>
      <w:r>
        <w:rPr>
          <w:rFonts w:cs="FrankRuehl" w:hint="cs"/>
          <w:sz w:val="18"/>
          <w:rtl/>
        </w:rPr>
        <w:t xml:space="preserve">הן </w:t>
      </w:r>
      <w:r>
        <w:rPr>
          <w:rFonts w:cs="FrankRuehl"/>
          <w:sz w:val="18"/>
          <w:rtl/>
        </w:rPr>
        <w:t>פועלות בניגוד לחוק</w:t>
      </w:r>
      <w:r>
        <w:rPr>
          <w:rFonts w:cs="FrankRuehl" w:hint="cs"/>
          <w:sz w:val="18"/>
          <w:rtl/>
        </w:rPr>
        <w:t>.</w:t>
      </w:r>
    </w:p>
  </w:footnote>
  <w:footnote w:id="3">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לגופי הפיקוח אין מיפוי מדויק של תחנות דלק פירטיות. משרד מבקר המדינה ביצע הערכות המבוססות על בדיקת מסמכים בגופי הפיקוח וסיורים ברחבי הארץ.</w:t>
      </w:r>
    </w:p>
  </w:footnote>
  <w:footnote w:id="4">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eastAsia"/>
          <w:sz w:val="18"/>
          <w:rtl/>
        </w:rPr>
        <w:t>לפי</w:t>
      </w:r>
      <w:r>
        <w:rPr>
          <w:rFonts w:cs="FrankRuehl"/>
          <w:sz w:val="18"/>
          <w:rtl/>
        </w:rPr>
        <w:t xml:space="preserve"> תקנות רישוי עסקים (אחסנת נפט), התשל"ז-1976, תחנת תדלוק פנימית היא "</w:t>
      </w:r>
      <w:r>
        <w:rPr>
          <w:rFonts w:cs="FrankRuehl"/>
          <w:sz w:val="18"/>
          <w:rtl/>
        </w:rPr>
        <w:t>אתר לאחסנת נפט לתדלוק רכב לצריכה עצמית ובכמות שאינה עולה</w:t>
      </w:r>
      <w:r>
        <w:rPr>
          <w:rFonts w:cs="FrankRuehl" w:hint="cs"/>
          <w:sz w:val="18"/>
          <w:rtl/>
        </w:rPr>
        <w:t xml:space="preserve"> </w:t>
      </w:r>
      <w:r>
        <w:rPr>
          <w:rFonts w:cs="FrankRuehl"/>
          <w:sz w:val="18"/>
          <w:rtl/>
        </w:rPr>
        <w:t xml:space="preserve">על 100 </w:t>
      </w:r>
      <w:r>
        <w:rPr>
          <w:rFonts w:cs="FrankRuehl" w:hint="cs"/>
          <w:sz w:val="18"/>
          <w:rtl/>
        </w:rPr>
        <w:t>מ"ק [מטר קוב]</w:t>
      </w:r>
      <w:r>
        <w:rPr>
          <w:rFonts w:cs="FrankRuehl"/>
          <w:sz w:val="18"/>
          <w:rtl/>
        </w:rPr>
        <w:t>".</w:t>
      </w:r>
    </w:p>
  </w:footnote>
  <w:footnote w:id="5">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ב-14.4.13 החליטה הממשלה על שינוי שמו של המשרד ל"משרד הכלכלה" (החלטה מס' 29). בדוח זה יכונה המשרד "משרד התמ"ת".</w:t>
      </w:r>
    </w:p>
  </w:footnote>
  <w:footnote w:id="6">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מפברואר 2013 היחידה נקראת הרשות הארצית לכבאות והצלה. </w:t>
      </w:r>
    </w:p>
  </w:footnote>
  <w:footnote w:id="7">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lang w:eastAsia="en-US"/>
        </w:rPr>
        <w:t>מש</w:t>
      </w:r>
      <w:r>
        <w:rPr>
          <w:rFonts w:cs="FrankRuehl" w:hint="cs"/>
          <w:sz w:val="18"/>
          <w:rtl/>
          <w:lang w:eastAsia="en-US"/>
        </w:rPr>
        <w:t>רד האנרגיה, המשרד להגנת הסביבה, משרד התמ"ת, המשרד לביטחון הפנים, משרד הפנים, משטרת ישראל, ממ"י, הרשויות המקומיות וועדות לתכנון ולבנייה</w:t>
      </w:r>
      <w:r>
        <w:rPr>
          <w:rFonts w:cs="FrankRuehl" w:hint="cs"/>
          <w:sz w:val="18"/>
          <w:rtl/>
        </w:rPr>
        <w:t>.</w:t>
      </w:r>
    </w:p>
  </w:footnote>
  <w:footnote w:id="8">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בנושא מפגעי בטיחות בתחנות דלק ראו מבקר המדינה, </w:t>
      </w:r>
      <w:r>
        <w:rPr>
          <w:rFonts w:cs="FrankRuehl" w:hint="cs"/>
          <w:b/>
          <w:bCs/>
          <w:sz w:val="18"/>
          <w:rtl/>
        </w:rPr>
        <w:t>דוחות על הביקורת בשלטון המקומי לשנים 2011-2012</w:t>
      </w:r>
      <w:r>
        <w:rPr>
          <w:rFonts w:cs="FrankRuehl" w:hint="cs"/>
          <w:sz w:val="18"/>
          <w:rtl/>
        </w:rPr>
        <w:t>, עמ' 357.</w:t>
      </w:r>
    </w:p>
  </w:footnote>
  <w:footnote w:id="9">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Style w:val="FootnoteReference"/>
          <w:rFonts w:cs="FrankRuehl"/>
          <w:sz w:val="18"/>
          <w:rtl/>
        </w:rPr>
        <w:t xml:space="preserve"> </w:t>
      </w:r>
      <w:r>
        <w:rPr>
          <w:rFonts w:cs="FrankRuehl"/>
          <w:sz w:val="18"/>
          <w:rtl/>
        </w:rPr>
        <w:tab/>
      </w:r>
      <w:r>
        <w:rPr>
          <w:rFonts w:cs="FrankRuehl" w:hint="eastAsia"/>
          <w:sz w:val="18"/>
          <w:rtl/>
        </w:rPr>
        <w:t>לפי</w:t>
      </w:r>
      <w:r>
        <w:rPr>
          <w:rFonts w:cs="FrankRuehl"/>
          <w:sz w:val="18"/>
          <w:rtl/>
        </w:rPr>
        <w:t xml:space="preserve"> תקנות </w:t>
      </w:r>
      <w:r>
        <w:rPr>
          <w:rFonts w:cs="FrankRuehl"/>
          <w:sz w:val="18"/>
          <w:rtl/>
        </w:rPr>
        <w:t xml:space="preserve">רישוי עסקים (אחסנת נפט), התשל"ז-1976, תחנת תדלוק ציבורית היא "אתר לאחסנת נפט למכירה לציבור לשם תדלוק רכב או </w:t>
      </w:r>
      <w:r>
        <w:rPr>
          <w:rFonts w:cs="FrankRuehl" w:hint="eastAsia"/>
          <w:sz w:val="18"/>
          <w:rtl/>
        </w:rPr>
        <w:t>למטרות</w:t>
      </w:r>
      <w:r>
        <w:rPr>
          <w:rFonts w:cs="FrankRuehl"/>
          <w:sz w:val="18"/>
          <w:rtl/>
        </w:rPr>
        <w:t xml:space="preserve"> אחרות, לרבות תחנת תדלוק פנימית שכמות הנפט המאוחסנת בה עולה על 100 </w:t>
      </w:r>
      <w:r>
        <w:rPr>
          <w:rFonts w:cs="FrankRuehl" w:hint="cs"/>
          <w:sz w:val="18"/>
          <w:rtl/>
        </w:rPr>
        <w:t xml:space="preserve">מ"ק </w:t>
      </w:r>
      <w:r>
        <w:rPr>
          <w:rFonts w:cs="FrankRuehl"/>
          <w:sz w:val="18"/>
          <w:rtl/>
        </w:rPr>
        <w:t>[</w:t>
      </w:r>
      <w:r>
        <w:rPr>
          <w:rFonts w:cs="FrankRuehl" w:hint="cs"/>
          <w:sz w:val="18"/>
          <w:rtl/>
        </w:rPr>
        <w:t>מטר קוב</w:t>
      </w:r>
      <w:r>
        <w:rPr>
          <w:rFonts w:cs="FrankRuehl"/>
          <w:sz w:val="18"/>
          <w:rtl/>
        </w:rPr>
        <w:t>]".</w:t>
      </w:r>
    </w:p>
  </w:footnote>
  <w:footnote w:id="10">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Style w:val="FootnoteReference"/>
          <w:rFonts w:cs="FrankRuehl"/>
          <w:sz w:val="18"/>
          <w:rtl/>
        </w:rPr>
        <w:t xml:space="preserve"> </w:t>
      </w:r>
      <w:r>
        <w:rPr>
          <w:rFonts w:cs="FrankRuehl"/>
          <w:sz w:val="18"/>
          <w:rtl/>
        </w:rPr>
        <w:tab/>
      </w:r>
      <w:r>
        <w:rPr>
          <w:rFonts w:cs="FrankRuehl" w:hint="eastAsia"/>
          <w:sz w:val="18"/>
          <w:rtl/>
        </w:rPr>
        <w:t>לפי</w:t>
      </w:r>
      <w:r>
        <w:rPr>
          <w:rFonts w:cs="FrankRuehl"/>
          <w:sz w:val="18"/>
          <w:rtl/>
        </w:rPr>
        <w:t xml:space="preserve"> תקנות רישוי עסקים (אחסנת נפט), התשל"ז-1976, תחנת תדל</w:t>
      </w:r>
      <w:r>
        <w:rPr>
          <w:rFonts w:cs="FrankRuehl"/>
          <w:sz w:val="18"/>
          <w:rtl/>
        </w:rPr>
        <w:t>וק פנימית היא "אתר לאחסנת נפט לתדלוק רכב לצריכה עצמית ובכמות שאינה עולה</w:t>
      </w:r>
      <w:r>
        <w:rPr>
          <w:rFonts w:cs="FrankRuehl" w:hint="cs"/>
          <w:sz w:val="18"/>
          <w:rtl/>
        </w:rPr>
        <w:t xml:space="preserve"> </w:t>
      </w:r>
      <w:r>
        <w:rPr>
          <w:rFonts w:cs="FrankRuehl"/>
          <w:sz w:val="18"/>
          <w:rtl/>
        </w:rPr>
        <w:t xml:space="preserve">על 100 </w:t>
      </w:r>
      <w:r>
        <w:rPr>
          <w:rFonts w:cs="FrankRuehl" w:hint="cs"/>
          <w:sz w:val="18"/>
          <w:rtl/>
        </w:rPr>
        <w:t>מ"ק [מטר קוב]</w:t>
      </w:r>
      <w:r>
        <w:rPr>
          <w:rFonts w:cs="FrankRuehl"/>
          <w:sz w:val="18"/>
          <w:rtl/>
        </w:rPr>
        <w:t>".</w:t>
      </w:r>
    </w:p>
  </w:footnote>
  <w:footnote w:id="11">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Style w:val="FootnoteReference"/>
          <w:rFonts w:cs="FrankRuehl"/>
          <w:sz w:val="18"/>
          <w:rtl/>
        </w:rPr>
        <w:t xml:space="preserve"> </w:t>
      </w:r>
      <w:r>
        <w:rPr>
          <w:rFonts w:cs="FrankRuehl"/>
          <w:sz w:val="18"/>
          <w:rtl/>
        </w:rPr>
        <w:tab/>
      </w:r>
      <w:r>
        <w:rPr>
          <w:rFonts w:cs="FrankRuehl" w:hint="cs"/>
          <w:sz w:val="18"/>
          <w:rtl/>
        </w:rPr>
        <w:t xml:space="preserve">ראו מבקר המדינה, </w:t>
      </w:r>
      <w:r>
        <w:rPr>
          <w:rFonts w:cs="FrankRuehl" w:hint="cs"/>
          <w:b/>
          <w:bCs/>
          <w:sz w:val="18"/>
          <w:rtl/>
        </w:rPr>
        <w:t>דוחות על הביקורת בשלטון המקומי, באיגודים ובמוסדות להשכלה גבוהה</w:t>
      </w:r>
      <w:r>
        <w:rPr>
          <w:rFonts w:cs="FrankRuehl" w:hint="cs"/>
          <w:sz w:val="18"/>
          <w:rtl/>
        </w:rPr>
        <w:t xml:space="preserve">, שנת 2003, עמ' 145. </w:t>
      </w:r>
    </w:p>
  </w:footnote>
  <w:footnote w:id="12">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Style w:val="FootnoteReference"/>
          <w:rFonts w:cs="FrankRuehl"/>
          <w:sz w:val="18"/>
          <w:rtl/>
        </w:rPr>
        <w:t xml:space="preserve"> </w:t>
      </w:r>
      <w:r>
        <w:rPr>
          <w:rFonts w:cs="FrankRuehl"/>
          <w:sz w:val="18"/>
          <w:rtl/>
        </w:rPr>
        <w:tab/>
      </w:r>
      <w:r>
        <w:rPr>
          <w:rFonts w:cs="FrankRuehl" w:hint="cs"/>
          <w:sz w:val="18"/>
          <w:rtl/>
        </w:rPr>
        <w:t>לגופי הפיקוח אין מיפוי מדויק של תחנות הדלק הפנימיות ות</w:t>
      </w:r>
      <w:r>
        <w:rPr>
          <w:rFonts w:cs="FrankRuehl" w:hint="cs"/>
          <w:sz w:val="18"/>
          <w:rtl/>
        </w:rPr>
        <w:t>חנות הדלק הפירטיות. משרד מבקר המדינה ביצע אומדן המבוסס על בדיקת מסמכים בגופי הפיקוח ועל סיורים ברחבי הארץ.</w:t>
      </w:r>
    </w:p>
  </w:footnote>
  <w:footnote w:id="13">
    <w:p w:rsidR="00000000">
      <w:pPr>
        <w:pStyle w:val="FootnoteText"/>
        <w:widowControl/>
        <w:spacing w:line="200" w:lineRule="exact"/>
        <w:ind w:left="397" w:hanging="397"/>
        <w:rPr>
          <w:rFonts w:cs="FrankRuehl" w:hint="cs"/>
          <w:sz w:val="18"/>
          <w:rtl/>
        </w:rPr>
      </w:pPr>
      <w:bookmarkStart w:id="0" w:name="_GoBack"/>
      <w:bookmarkEnd w:id="0"/>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eastAsia"/>
          <w:sz w:val="18"/>
          <w:rtl/>
        </w:rPr>
        <w:t>מגרש</w:t>
      </w:r>
      <w:r>
        <w:rPr>
          <w:rFonts w:cs="FrankRuehl"/>
          <w:sz w:val="18"/>
          <w:rtl/>
        </w:rPr>
        <w:t xml:space="preserve"> מ</w:t>
      </w:r>
      <w:r>
        <w:rPr>
          <w:rFonts w:cs="FrankRuehl" w:hint="eastAsia"/>
          <w:sz w:val="18"/>
          <w:rtl/>
        </w:rPr>
        <w:t>כוניות</w:t>
      </w:r>
      <w:r>
        <w:rPr>
          <w:rFonts w:cs="FrankRuehl"/>
          <w:sz w:val="18"/>
          <w:rtl/>
        </w:rPr>
        <w:t>, מכולת וכד'.</w:t>
      </w:r>
    </w:p>
  </w:footnote>
  <w:footnote w:id="14">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ב-14.4.13 החליטה הממשלה על שינוי שמו של המשרד ל"משרד הכלכלה" (החלטה מס' 29). בדוח זה יכונה המשרד "משרד התמ"ת"</w:t>
      </w:r>
    </w:p>
  </w:footnote>
  <w:footnote w:id="15">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מפבר</w:t>
      </w:r>
      <w:r>
        <w:rPr>
          <w:rFonts w:cs="FrankRuehl" w:hint="cs"/>
          <w:sz w:val="18"/>
          <w:rtl/>
        </w:rPr>
        <w:t xml:space="preserve">ואר 2013 היחידה נקראת הרשות הארצית לכבאות והצלה. </w:t>
      </w:r>
    </w:p>
  </w:footnote>
  <w:footnote w:id="16">
    <w:p w:rsidR="00000000">
      <w:pPr>
        <w:pStyle w:val="FootnoteText"/>
        <w:widowControl/>
        <w:tabs>
          <w:tab w:val="left" w:pos="1179"/>
        </w:tabs>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עיריית רהט; המועצה המקומית חורה; המועצה המקומית לקייה; המועצה מקומית בוקעאתה; המועצה המקומית </w:t>
      </w:r>
      <w:r>
        <w:rPr>
          <w:rFonts w:cs="FrankRuehl"/>
          <w:sz w:val="18"/>
          <w:rtl/>
        </w:rPr>
        <w:t>מר'אר</w:t>
      </w:r>
      <w:r>
        <w:rPr>
          <w:rFonts w:cs="FrankRuehl" w:hint="cs"/>
          <w:sz w:val="18"/>
          <w:rtl/>
        </w:rPr>
        <w:t>.</w:t>
      </w:r>
    </w:p>
  </w:footnote>
  <w:footnote w:id="17">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הוועדה המקומית לתכנון ולבנייה רהט; הוועדה המרחבית לתכנון ולבנייה גליל מזרחי; הוועדה המקומית לתכנון ו</w:t>
      </w:r>
      <w:r>
        <w:rPr>
          <w:rFonts w:cs="FrankRuehl" w:hint="cs"/>
          <w:sz w:val="18"/>
          <w:rtl/>
        </w:rPr>
        <w:t>לבנייה שמעונים.</w:t>
      </w:r>
    </w:p>
  </w:footnote>
  <w:footnote w:id="18">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 xml:space="preserve">שינוי 4 </w:t>
      </w:r>
      <w:r>
        <w:rPr>
          <w:rFonts w:cs="FrankRuehl" w:hint="cs"/>
          <w:sz w:val="18"/>
          <w:rtl/>
        </w:rPr>
        <w:t>ל</w:t>
      </w:r>
      <w:r>
        <w:rPr>
          <w:rFonts w:cs="FrankRuehl"/>
          <w:sz w:val="18"/>
          <w:rtl/>
        </w:rPr>
        <w:t xml:space="preserve">תמ"א 18 </w:t>
      </w:r>
      <w:r>
        <w:rPr>
          <w:rFonts w:cs="FrankRuehl" w:hint="cs"/>
          <w:sz w:val="18"/>
          <w:rtl/>
        </w:rPr>
        <w:t xml:space="preserve">מגדיר </w:t>
      </w:r>
      <w:r>
        <w:rPr>
          <w:rFonts w:cs="FrankRuehl"/>
          <w:sz w:val="18"/>
          <w:rtl/>
        </w:rPr>
        <w:t>שני סוגי</w:t>
      </w:r>
      <w:r>
        <w:rPr>
          <w:rFonts w:cs="FrankRuehl" w:hint="cs"/>
          <w:sz w:val="18"/>
          <w:rtl/>
        </w:rPr>
        <w:t>ם</w:t>
      </w:r>
      <w:r>
        <w:rPr>
          <w:rFonts w:cs="FrankRuehl"/>
          <w:sz w:val="18"/>
          <w:rtl/>
        </w:rPr>
        <w:t xml:space="preserve"> </w:t>
      </w:r>
      <w:r>
        <w:rPr>
          <w:rFonts w:cs="FrankRuehl" w:hint="cs"/>
          <w:sz w:val="18"/>
          <w:rtl/>
        </w:rPr>
        <w:t xml:space="preserve">נוספים של </w:t>
      </w:r>
      <w:r>
        <w:rPr>
          <w:rFonts w:cs="FrankRuehl"/>
          <w:sz w:val="18"/>
          <w:rtl/>
        </w:rPr>
        <w:t>תחנות תדלוק:</w:t>
      </w:r>
      <w:r>
        <w:rPr>
          <w:rFonts w:cs="FrankRuehl" w:hint="cs"/>
          <w:sz w:val="18"/>
          <w:rtl/>
        </w:rPr>
        <w:t xml:space="preserve">  </w:t>
      </w:r>
      <w:r>
        <w:rPr>
          <w:rFonts w:cs="FrankRuehl"/>
          <w:sz w:val="18"/>
          <w:rtl/>
        </w:rPr>
        <w:t xml:space="preserve"> (א)</w:t>
      </w:r>
      <w:r>
        <w:rPr>
          <w:rFonts w:cs="FrankRuehl" w:hint="cs"/>
          <w:sz w:val="18"/>
          <w:rtl/>
        </w:rPr>
        <w:t xml:space="preserve">  </w:t>
      </w:r>
      <w:r>
        <w:rPr>
          <w:rFonts w:cs="FrankRuehl"/>
          <w:sz w:val="18"/>
          <w:rtl/>
        </w:rPr>
        <w:t>תחנת תדלוק זעיר</w:t>
      </w:r>
      <w:r>
        <w:rPr>
          <w:rFonts w:cs="FrankRuehl" w:hint="cs"/>
          <w:sz w:val="18"/>
          <w:rtl/>
        </w:rPr>
        <w:t>ה,</w:t>
      </w:r>
      <w:r>
        <w:rPr>
          <w:rFonts w:cs="FrankRuehl"/>
          <w:sz w:val="18"/>
          <w:rtl/>
        </w:rPr>
        <w:t xml:space="preserve"> המאופיינ</w:t>
      </w:r>
      <w:r>
        <w:rPr>
          <w:rFonts w:cs="FrankRuehl" w:hint="cs"/>
          <w:sz w:val="18"/>
          <w:rtl/>
        </w:rPr>
        <w:t>ת</w:t>
      </w:r>
      <w:r>
        <w:rPr>
          <w:rFonts w:cs="FrankRuehl"/>
          <w:sz w:val="18"/>
          <w:rtl/>
        </w:rPr>
        <w:t xml:space="preserve"> בשטח קטן, מוגבל</w:t>
      </w:r>
      <w:r>
        <w:rPr>
          <w:rFonts w:cs="FrankRuehl" w:hint="cs"/>
          <w:sz w:val="18"/>
          <w:rtl/>
        </w:rPr>
        <w:t>ת</w:t>
      </w:r>
      <w:r>
        <w:rPr>
          <w:rFonts w:cs="FrankRuehl"/>
          <w:sz w:val="18"/>
          <w:rtl/>
        </w:rPr>
        <w:t xml:space="preserve"> לשתי עמדות תדלוק ולא </w:t>
      </w:r>
      <w:r>
        <w:rPr>
          <w:rFonts w:cs="FrankRuehl" w:hint="cs"/>
          <w:sz w:val="18"/>
          <w:rtl/>
        </w:rPr>
        <w:t>נעשית</w:t>
      </w:r>
      <w:r>
        <w:rPr>
          <w:rFonts w:cs="FrankRuehl"/>
          <w:sz w:val="18"/>
          <w:rtl/>
        </w:rPr>
        <w:t xml:space="preserve"> בה פעילות מסחרית </w:t>
      </w:r>
      <w:r>
        <w:rPr>
          <w:rFonts w:cs="FrankRuehl" w:hint="cs"/>
          <w:sz w:val="18"/>
          <w:rtl/>
        </w:rPr>
        <w:t xml:space="preserve">מלבד </w:t>
      </w:r>
      <w:r>
        <w:rPr>
          <w:rFonts w:cs="FrankRuehl"/>
          <w:sz w:val="18"/>
          <w:rtl/>
        </w:rPr>
        <w:t>תדלוק.</w:t>
      </w:r>
      <w:r>
        <w:rPr>
          <w:rFonts w:cs="FrankRuehl" w:hint="cs"/>
          <w:sz w:val="18"/>
          <w:rtl/>
        </w:rPr>
        <w:t xml:space="preserve">  </w:t>
      </w:r>
      <w:r>
        <w:rPr>
          <w:rFonts w:cs="FrankRuehl"/>
          <w:sz w:val="18"/>
          <w:rtl/>
        </w:rPr>
        <w:t xml:space="preserve"> (ב) </w:t>
      </w:r>
      <w:r>
        <w:rPr>
          <w:rFonts w:cs="FrankRuehl" w:hint="cs"/>
          <w:sz w:val="18"/>
          <w:rtl/>
        </w:rPr>
        <w:t xml:space="preserve"> </w:t>
      </w:r>
      <w:r>
        <w:rPr>
          <w:rFonts w:cs="FrankRuehl"/>
          <w:sz w:val="18"/>
          <w:rtl/>
        </w:rPr>
        <w:t>תחנת תדלוק לצריכה עצמית - המיועדת לציבור לקוחות מוגדר ולא לאספקת ד</w:t>
      </w:r>
      <w:r>
        <w:rPr>
          <w:rFonts w:cs="FrankRuehl"/>
          <w:sz w:val="18"/>
          <w:rtl/>
        </w:rPr>
        <w:t>לק לציבור הרחב.</w:t>
      </w:r>
      <w:r>
        <w:rPr>
          <w:rFonts w:cs="FrankRuehl" w:hint="cs"/>
          <w:sz w:val="18"/>
          <w:rtl/>
        </w:rPr>
        <w:t xml:space="preserve"> </w:t>
      </w:r>
    </w:p>
  </w:footnote>
  <w:footnote w:id="19">
    <w:p w:rsidR="00000000">
      <w:pPr>
        <w:pStyle w:val="FootnoteText"/>
        <w:widowControl/>
        <w:spacing w:line="200" w:lineRule="exact"/>
        <w:ind w:left="397" w:hanging="397"/>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לפי חוק רישוי עסקים, רשות הרישוי ברשות המקומית היא </w:t>
      </w:r>
      <w:r>
        <w:rPr>
          <w:rFonts w:cs="FrankRuehl"/>
          <w:sz w:val="18"/>
          <w:rtl/>
        </w:rPr>
        <w:t>ראש הרשות המקומית או מי שהוא הסמיכו לכך.</w:t>
      </w:r>
    </w:p>
  </w:footnote>
  <w:footnote w:id="20">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בצו רישוי עסקים (עסקים טעוני רישוי), התשנ"ה-1995 (להלן</w:t>
      </w:r>
      <w:r>
        <w:rPr>
          <w:rFonts w:cs="FrankRuehl" w:hint="cs"/>
          <w:sz w:val="18"/>
          <w:rtl/>
        </w:rPr>
        <w:t xml:space="preserve"> </w:t>
      </w:r>
      <w:r>
        <w:rPr>
          <w:rFonts w:cs="FrankRuehl"/>
          <w:sz w:val="18"/>
          <w:rtl/>
        </w:rPr>
        <w:t>-</w:t>
      </w:r>
      <w:r>
        <w:rPr>
          <w:rFonts w:cs="FrankRuehl" w:hint="cs"/>
          <w:sz w:val="18"/>
          <w:rtl/>
        </w:rPr>
        <w:t xml:space="preserve"> </w:t>
      </w:r>
      <w:r>
        <w:rPr>
          <w:rFonts w:cs="FrankRuehl"/>
          <w:sz w:val="18"/>
          <w:rtl/>
        </w:rPr>
        <w:t>צו רישוי)</w:t>
      </w:r>
      <w:r>
        <w:rPr>
          <w:rFonts w:cs="FrankRuehl" w:hint="cs"/>
          <w:sz w:val="18"/>
          <w:rtl/>
        </w:rPr>
        <w:t>,</w:t>
      </w:r>
      <w:r>
        <w:rPr>
          <w:rFonts w:cs="FrankRuehl"/>
          <w:sz w:val="18"/>
          <w:rtl/>
        </w:rPr>
        <w:t xml:space="preserve"> נקבע כי עסק טעון רישוי גם למטרת קיום הדינים הנוגעים לתכנון ולבנייה ולשירו</w:t>
      </w:r>
      <w:r>
        <w:rPr>
          <w:rFonts w:cs="FrankRuehl"/>
          <w:sz w:val="18"/>
          <w:rtl/>
        </w:rPr>
        <w:t xml:space="preserve">תי </w:t>
      </w:r>
      <w:r>
        <w:rPr>
          <w:rFonts w:cs="FrankRuehl" w:hint="cs"/>
          <w:sz w:val="18"/>
          <w:rtl/>
        </w:rPr>
        <w:t>ה</w:t>
      </w:r>
      <w:r>
        <w:rPr>
          <w:rFonts w:cs="FrankRuehl"/>
          <w:sz w:val="18"/>
          <w:rtl/>
        </w:rPr>
        <w:t>כבאות</w:t>
      </w:r>
      <w:r>
        <w:rPr>
          <w:rFonts w:cs="FrankRuehl" w:hint="cs"/>
          <w:sz w:val="18"/>
          <w:rtl/>
        </w:rPr>
        <w:t xml:space="preserve"> וההצלה.</w:t>
      </w:r>
    </w:p>
  </w:footnote>
  <w:footnote w:id="21">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ראו מבקר המדינה, </w:t>
      </w:r>
      <w:r>
        <w:rPr>
          <w:rFonts w:cs="FrankRuehl" w:hint="cs"/>
          <w:b/>
          <w:bCs/>
          <w:sz w:val="18"/>
          <w:rtl/>
        </w:rPr>
        <w:t>דוחות על הביקורת בשלטון המקומי, באיגודים ובמוסדות להשכלה גבוהה</w:t>
      </w:r>
      <w:r>
        <w:rPr>
          <w:rFonts w:cs="FrankRuehl" w:hint="cs"/>
          <w:sz w:val="18"/>
          <w:rtl/>
        </w:rPr>
        <w:t xml:space="preserve">, שנת 2003, עמ' 156. </w:t>
      </w:r>
    </w:p>
  </w:footnote>
  <w:footnote w:id="22">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מתוך מכתב שכתב שר האנרגיה לשר לביטחון הפנים באוגוסט 2012.</w:t>
      </w:r>
    </w:p>
  </w:footnote>
  <w:footnote w:id="23">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lang w:eastAsia="en-US"/>
        </w:rPr>
        <w:t>המשרד להגנת הסביבה, משרד התמ"ת, המשרד לביטחון הפנים, משרד הפנים, משטרת</w:t>
      </w:r>
      <w:r>
        <w:rPr>
          <w:rFonts w:cs="FrankRuehl" w:hint="cs"/>
          <w:sz w:val="18"/>
          <w:rtl/>
          <w:lang w:eastAsia="en-US"/>
        </w:rPr>
        <w:t xml:space="preserve"> ישראל, ממ"י, הרשויות המקומיות והוועדות המקומיות לתכנון ולבנייה.</w:t>
      </w:r>
    </w:p>
  </w:footnote>
  <w:footnote w:id="24">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התלונות שהוגשו אינן קשורות לפיקוח על תחנות דלק פירטיות.</w:t>
      </w:r>
    </w:p>
  </w:footnote>
  <w:footnote w:id="25">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בעניין תפקוד אגף הפיקוח בנושא הגפ"מ ראו את הפרק "בטיחות מערך הגז הפחמימני המעובה", עמ' 240.</w:t>
      </w:r>
    </w:p>
  </w:footnote>
  <w:footnote w:id="26">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בעניין זה ראו את הפרק "בטיחות מערך</w:t>
      </w:r>
      <w:r>
        <w:rPr>
          <w:rFonts w:cs="FrankRuehl" w:hint="cs"/>
          <w:sz w:val="18"/>
          <w:rtl/>
        </w:rPr>
        <w:t xml:space="preserve"> הגז הפחמימני המעובה", עמ' 248.</w:t>
      </w:r>
    </w:p>
  </w:footnote>
  <w:footnote w:id="27">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צוות זה כולל נציגי גופי פיקוח ומטרתו להגביר את התיאום ביניהם.</w:t>
      </w:r>
    </w:p>
  </w:footnote>
  <w:footnote w:id="28">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lang w:eastAsia="en-US"/>
        </w:rPr>
        <w:t>משרד האנרגיה, המשרד להגנת הסביבה, משרד התמ"ת, משרד הפנים, ממ"י, הרשויות המקומיות והוועדות המקומיות לתכנון ולבנייה</w:t>
      </w:r>
      <w:r>
        <w:rPr>
          <w:rFonts w:cs="FrankRuehl" w:hint="cs"/>
          <w:sz w:val="18"/>
          <w:rtl/>
        </w:rPr>
        <w:t>.</w:t>
      </w:r>
    </w:p>
  </w:footnote>
  <w:footnote w:id="29">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תחנות משטרה הנמצאות ביישובים.</w:t>
      </w:r>
    </w:p>
  </w:footnote>
  <w:footnote w:id="30">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מפקח </w:t>
      </w:r>
      <w:r>
        <w:rPr>
          <w:rFonts w:cs="FrankRuehl" w:hint="cs"/>
          <w:sz w:val="18"/>
          <w:rtl/>
        </w:rPr>
        <w:t>כבאות ראשי כפוף לנציבות כבאות והצלה.</w:t>
      </w:r>
    </w:p>
  </w:footnote>
  <w:footnote w:id="31">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פרק 500, הוראה 506</w:t>
      </w:r>
      <w:r>
        <w:rPr>
          <w:rFonts w:cs="FrankRuehl" w:hint="cs"/>
          <w:sz w:val="18"/>
          <w:rtl/>
        </w:rPr>
        <w:t xml:space="preserve"> -</w:t>
      </w:r>
      <w:r>
        <w:rPr>
          <w:rFonts w:cs="FrankRuehl"/>
          <w:sz w:val="18"/>
          <w:rtl/>
        </w:rPr>
        <w:t xml:space="preserve"> </w:t>
      </w:r>
      <w:r>
        <w:rPr>
          <w:rFonts w:cs="FrankRuehl" w:hint="cs"/>
          <w:sz w:val="18"/>
          <w:rtl/>
        </w:rPr>
        <w:t>"</w:t>
      </w:r>
      <w:r>
        <w:rPr>
          <w:rFonts w:cs="FrankRuehl"/>
          <w:sz w:val="18"/>
          <w:rtl/>
        </w:rPr>
        <w:t>אמצעי כיבוי בתחנת תדלוק</w:t>
      </w:r>
      <w:r>
        <w:rPr>
          <w:rFonts w:cs="FrankRuehl" w:hint="cs"/>
          <w:sz w:val="18"/>
          <w:rtl/>
        </w:rPr>
        <w:t>"</w:t>
      </w:r>
      <w:r>
        <w:rPr>
          <w:rFonts w:cs="FrankRuehl"/>
          <w:sz w:val="18"/>
          <w:rtl/>
        </w:rPr>
        <w:t>.</w:t>
      </w:r>
    </w:p>
  </w:footnote>
  <w:footnote w:id="32">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בחוק פיקוח על העבודה, התשי"ד-1954, מוגדר מפקח עבודה כמפקח הפועל מטעם מינהל הבטיחות והבריאות התעסוקתית ומפקח בין השאר על הבטיחות בעבודה.</w:t>
      </w:r>
    </w:p>
  </w:footnote>
  <w:footnote w:id="33">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"מ</w:t>
      </w:r>
      <w:r>
        <w:rPr>
          <w:rFonts w:cs="FrankRuehl" w:hint="cs"/>
          <w:sz w:val="18"/>
          <w:rtl/>
        </w:rPr>
        <w:t>ִ</w:t>
      </w:r>
      <w:r>
        <w:rPr>
          <w:rFonts w:cs="FrankRuehl"/>
          <w:sz w:val="18"/>
          <w:rtl/>
        </w:rPr>
        <w:t>תקן" - חוות מכלים, חוות</w:t>
      </w:r>
      <w:r>
        <w:rPr>
          <w:rFonts w:cs="FrankRuehl"/>
          <w:sz w:val="18"/>
          <w:rtl/>
        </w:rPr>
        <w:t xml:space="preserve"> מכלי גפ"</w:t>
      </w:r>
      <w:r>
        <w:rPr>
          <w:rFonts w:cs="FrankRuehl" w:hint="cs"/>
          <w:sz w:val="18"/>
          <w:rtl/>
        </w:rPr>
        <w:t>ם</w:t>
      </w:r>
      <w:r>
        <w:rPr>
          <w:rFonts w:cs="FrankRuehl"/>
          <w:sz w:val="18"/>
          <w:rtl/>
        </w:rPr>
        <w:t>, תחנת תדלוק ציבורית, מחסן גפ"</w:t>
      </w:r>
      <w:r>
        <w:rPr>
          <w:rFonts w:cs="FrankRuehl" w:hint="cs"/>
          <w:sz w:val="18"/>
          <w:rtl/>
        </w:rPr>
        <w:t>ם</w:t>
      </w:r>
      <w:r>
        <w:rPr>
          <w:rFonts w:cs="FrankRuehl"/>
          <w:sz w:val="18"/>
          <w:rtl/>
        </w:rPr>
        <w:t>, תחנת תדלוק פנימית, מחסן פרטי ומחסן קמעוני.</w:t>
      </w:r>
    </w:p>
  </w:footnote>
  <w:footnote w:id="34">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רשות המים, </w:t>
      </w:r>
      <w:r>
        <w:rPr>
          <w:rFonts w:cs="FrankRuehl" w:hint="cs"/>
          <w:b/>
          <w:bCs/>
          <w:sz w:val="18"/>
          <w:rtl/>
        </w:rPr>
        <w:t>יעילות אגף איכות המים ברשות המים בנושא מניעת זיהומי דלק - סיכום פעילות לשנת 2010</w:t>
      </w:r>
      <w:r>
        <w:rPr>
          <w:rFonts w:cs="FrankRuehl" w:hint="cs"/>
          <w:sz w:val="18"/>
          <w:rtl/>
        </w:rPr>
        <w:t>.</w:t>
      </w:r>
    </w:p>
  </w:footnote>
  <w:footnote w:id="35">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שטחים גליליים הינם שטחים, שאינם נמצאים בתוך תחום התכנון של וועדה מקומית</w:t>
      </w:r>
      <w:r>
        <w:rPr>
          <w:rFonts w:cs="FrankRuehl" w:hint="cs"/>
          <w:sz w:val="18"/>
          <w:rtl/>
        </w:rPr>
        <w:t xml:space="preserve"> כלשהיא. </w:t>
      </w:r>
    </w:p>
  </w:footnote>
  <w:footnote w:id="36">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חוק התכנון והבניה, (התשכ"ה-1965) סעיף 257.</w:t>
      </w:r>
    </w:p>
  </w:footnote>
  <w:footnote w:id="37">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עיריית רהט, המועצה המקומית חורה והמועצה המקומית לקייה בדרום; המועצה המקומית בוקעאתה והמועצה המקומית </w:t>
      </w:r>
      <w:r>
        <w:rPr>
          <w:rFonts w:cs="FrankRuehl"/>
          <w:sz w:val="18"/>
          <w:rtl/>
        </w:rPr>
        <w:t>מר'אר</w:t>
      </w:r>
      <w:r>
        <w:rPr>
          <w:rFonts w:cs="FrankRuehl" w:hint="cs"/>
          <w:sz w:val="18"/>
          <w:rtl/>
        </w:rPr>
        <w:t xml:space="preserve"> בצפון.</w:t>
      </w:r>
    </w:p>
  </w:footnote>
  <w:footnote w:id="38">
    <w:p w:rsidR="00000000">
      <w:pPr>
        <w:pStyle w:val="FootnoteText"/>
        <w:widowControl/>
        <w:spacing w:line="200" w:lineRule="exact"/>
        <w:ind w:left="397" w:hanging="397"/>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הוועדה המקומית לתכנון ולבנייה רהט; הוועדה המרחבית לתכנון ולבנייה גליל מזרחי; הווע</w:t>
      </w:r>
      <w:r>
        <w:rPr>
          <w:rFonts w:cs="FrankRuehl" w:hint="cs"/>
          <w:sz w:val="18"/>
          <w:rtl/>
        </w:rPr>
        <w:t>דה המקומית לתכנון ולבנייה שמעונים.</w:t>
      </w:r>
    </w:p>
  </w:footnote>
  <w:footnote w:id="39">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בשנת 2012 נפתחו הליכים נגד חמש תחנות פירטיות ביתר המחוזות של משרד הפנים.</w:t>
      </w:r>
    </w:p>
  </w:footnote>
  <w:footnote w:id="40">
    <w:p w:rsidR="00000000">
      <w:pPr>
        <w:pStyle w:val="FootnoteText"/>
        <w:widowControl/>
        <w:spacing w:line="200" w:lineRule="exact"/>
        <w:ind w:left="397" w:hanging="397"/>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sz w:val="18"/>
          <w:rtl/>
        </w:rPr>
        <w:t>על פי סעיף</w:t>
      </w:r>
      <w:r>
        <w:rPr>
          <w:rFonts w:cs="FrankRuehl" w:hint="cs"/>
          <w:sz w:val="18"/>
          <w:rtl/>
        </w:rPr>
        <w:t xml:space="preserve"> </w:t>
      </w:r>
      <w:r>
        <w:rPr>
          <w:rFonts w:cs="FrankRuehl"/>
          <w:sz w:val="18"/>
          <w:rtl/>
        </w:rPr>
        <w:t>5 ו-7 לחוק.</w:t>
      </w:r>
    </w:p>
  </w:footnote>
  <w:footnote w:id="41">
    <w:p w:rsidR="00000000">
      <w:pPr>
        <w:pStyle w:val="FootnoteText"/>
        <w:widowControl/>
        <w:spacing w:line="200" w:lineRule="exact"/>
        <w:ind w:left="397" w:hanging="397"/>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חוק מקרקעי ישראל, התש</w:t>
      </w:r>
      <w:r>
        <w:rPr>
          <w:rFonts w:cs="FrankRuehl" w:hint="cs"/>
          <w:sz w:val="18"/>
          <w:rtl/>
        </w:rPr>
        <w:t>"</w:t>
      </w:r>
      <w:r>
        <w:rPr>
          <w:rFonts w:cs="FrankRuehl"/>
          <w:sz w:val="18"/>
          <w:rtl/>
        </w:rPr>
        <w:t>ך-1960.</w:t>
      </w:r>
    </w:p>
  </w:footnote>
  <w:footnote w:id="42">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לאחר מילוי התנאים בהסכם פיתוח מכר מתחייב ממ"י לרשום את המגרש בלשכת רישום המקרקעין ע</w:t>
      </w:r>
      <w:r>
        <w:rPr>
          <w:rFonts w:cs="FrankRuehl" w:hint="cs"/>
          <w:sz w:val="18"/>
          <w:rtl/>
        </w:rPr>
        <w:t>ל שם הרוכש.</w:t>
      </w:r>
    </w:p>
  </w:footnote>
  <w:footnote w:id="43">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החלטות נוספות של ממ"י הבהירו כי כוונת החלטה 949 לאפשר הפעלת תחנות דלק פנימיות.</w:t>
      </w:r>
    </w:p>
  </w:footnote>
  <w:footnote w:id="44">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eastAsia"/>
          <w:sz w:val="18"/>
          <w:rtl/>
        </w:rPr>
        <w:t>לפי</w:t>
      </w:r>
      <w:r>
        <w:rPr>
          <w:rFonts w:cs="FrankRuehl"/>
          <w:sz w:val="18"/>
          <w:rtl/>
        </w:rPr>
        <w:t xml:space="preserve"> תקנות רישוי עסקים (אחסנת נפט), התשל"ז-1976, תחנת תדלוק פנימית היא "אתר לאחסנת נפט לתדלוק רכב לצריכה עצמית ובכמות שאינה עולה</w:t>
      </w:r>
      <w:r>
        <w:rPr>
          <w:rFonts w:cs="FrankRuehl" w:hint="cs"/>
          <w:sz w:val="18"/>
          <w:rtl/>
        </w:rPr>
        <w:t xml:space="preserve"> </w:t>
      </w:r>
      <w:r>
        <w:rPr>
          <w:rFonts w:cs="FrankRuehl"/>
          <w:sz w:val="18"/>
          <w:rtl/>
        </w:rPr>
        <w:t xml:space="preserve">על 100 </w:t>
      </w:r>
      <w:r>
        <w:rPr>
          <w:rFonts w:cs="FrankRuehl" w:hint="cs"/>
          <w:sz w:val="18"/>
          <w:rtl/>
        </w:rPr>
        <w:t>מ"ק [מטר קוב]</w:t>
      </w:r>
      <w:r>
        <w:rPr>
          <w:rFonts w:cs="FrankRuehl"/>
          <w:sz w:val="18"/>
          <w:rtl/>
        </w:rPr>
        <w:t>".</w:t>
      </w:r>
    </w:p>
  </w:footnote>
  <w:footnote w:id="45">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החלטה</w:t>
      </w:r>
      <w:r>
        <w:rPr>
          <w:rFonts w:cs="FrankRuehl" w:hint="cs"/>
          <w:sz w:val="18"/>
          <w:rtl/>
        </w:rPr>
        <w:t xml:space="preserve"> מס' 2481 מיום 9.6.09.</w:t>
      </w:r>
    </w:p>
  </w:footnote>
  <w:footnote w:id="46">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תחנות הדלק של חברה זו נמצאות בפריסה ארצית, והן חלק מהתחנות שנמצאו בסקר של אגף הפיקוח של ממ"י. </w:t>
      </w:r>
    </w:p>
  </w:footnote>
  <w:footnote w:id="47">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Style w:val="FootnoteReference"/>
          <w:rFonts w:cs="FrankRuehl"/>
          <w:sz w:val="18"/>
          <w:rtl/>
        </w:rPr>
        <w:t xml:space="preserve"> </w:t>
      </w:r>
      <w:r>
        <w:rPr>
          <w:rFonts w:cs="FrankRuehl"/>
          <w:sz w:val="18"/>
          <w:rtl/>
        </w:rPr>
        <w:tab/>
      </w:r>
      <w:r>
        <w:rPr>
          <w:rFonts w:cs="FrankRuehl" w:hint="cs"/>
          <w:sz w:val="18"/>
          <w:rtl/>
        </w:rPr>
        <w:t>הדוח לשנים 2008-2011 הוכן באמצעות הטכניון - מכון טכנולוגי לישראל, מוסד הטכניון למחקר ופיתוח בע"מ, הפקולטה להנדסת תעשייה וניהול.</w:t>
      </w:r>
      <w:r>
        <w:rPr>
          <w:rFonts w:cs="FrankRuehl" w:hint="cs"/>
          <w:sz w:val="18"/>
        </w:rPr>
        <w:t xml:space="preserve"> </w:t>
      </w:r>
    </w:p>
  </w:footnote>
  <w:footnote w:id="48">
    <w:p w:rsidR="00000000">
      <w:pPr>
        <w:pStyle w:val="FootnoteText"/>
        <w:widowControl/>
        <w:spacing w:line="200" w:lineRule="exact"/>
        <w:ind w:left="397" w:hanging="397"/>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hint="cs"/>
          <w:sz w:val="18"/>
          <w:rtl/>
          <w:lang w:eastAsia="en-US"/>
        </w:rPr>
        <w:t>המשרד להגנת הסביבה, משרד התמ"ת, המשרד לביטחון הפנים, משרד הפנים, משטרת ישראל, ממ"י, הרשויות המקומיות והוועדות לתכנון ולבנייה.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pPr>
      <w:pStyle w:val="Header"/>
      <w:tabs>
        <w:tab w:val="clear" w:pos="4153"/>
        <w:tab w:val="right" w:pos="6804"/>
        <w:tab w:val="clear" w:pos="8306"/>
      </w:tabs>
      <w:rPr>
        <w:rFonts w:cs="FrankRuehl" w:hint="cs"/>
        <w:rtl/>
      </w:rPr>
    </w:pP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noProof/>
        <w:sz w:val="22"/>
        <w:szCs w:val="22"/>
        <w:rtl/>
      </w:rPr>
      <w:t>286</w:t>
    </w:r>
    <w:r>
      <w:rPr>
        <w:rStyle w:val="PageNumber"/>
        <w:rFonts w:ascii="FrankRuehl" w:hAnsi="FrankRuehl" w:cs="FrankRuehl"/>
        <w:sz w:val="22"/>
        <w:szCs w:val="22"/>
      </w:rPr>
      <w:fldChar w:fldCharType="end"/>
    </w:r>
    <w:r>
      <w:rPr>
        <w:rStyle w:val="PageNumber"/>
        <w:rFonts w:ascii="FrankRuehl" w:hAnsi="FrankRuehl" w:cs="FrankRuehl"/>
        <w:szCs w:val="20"/>
      </w:rPr>
      <w:tab/>
    </w:r>
    <w:r>
      <w:rPr>
        <w:rStyle w:val="PageNumber"/>
        <w:rFonts w:ascii="FrankRuehl" w:hAnsi="FrankRuehl" w:cs="FrankRuehl" w:hint="cs"/>
        <w:szCs w:val="20"/>
        <w:rtl/>
      </w:rPr>
      <w:t>דוח שנתי 64א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pPr>
      <w:pStyle w:val="Header"/>
      <w:tabs>
        <w:tab w:val="clear" w:pos="4153"/>
        <w:tab w:val="right" w:pos="6804"/>
        <w:tab w:val="clear" w:pos="8306"/>
      </w:tabs>
      <w:rPr>
        <w:rFonts w:ascii="FrankRuehl" w:hAnsi="FrankRuehl" w:cs="FrankRuehl" w:hint="cs"/>
        <w:szCs w:val="20"/>
        <w:rtl/>
      </w:rPr>
    </w:pPr>
    <w:r>
      <w:rPr>
        <w:rFonts w:ascii="FrankRuehl" w:hAnsi="FrankRuehl" w:cs="FrankRuehl" w:hint="cs"/>
        <w:szCs w:val="20"/>
        <w:rtl/>
      </w:rPr>
      <w:t>משרד האנרגיה והמים</w:t>
    </w:r>
    <w:r>
      <w:rPr>
        <w:rFonts w:ascii="FrankRuehl" w:hAnsi="FrankRuehl" w:cs="FrankRuehl" w:hint="cs"/>
        <w:szCs w:val="20"/>
        <w:rtl/>
      </w:rPr>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noProof/>
        <w:sz w:val="22"/>
        <w:szCs w:val="22"/>
        <w:rtl/>
      </w:rPr>
      <w:t>285</w:t>
    </w:r>
    <w:r>
      <w:rPr>
        <w:rStyle w:val="PageNumber"/>
        <w:rFonts w:ascii="FrankRuehl" w:hAnsi="FrankRuehl" w:cs="FrankRuehl"/>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pPr>
      <w:pStyle w:val="Header"/>
      <w:tabs>
        <w:tab w:val="clear" w:pos="4153"/>
        <w:tab w:val="right" w:pos="6804"/>
        <w:tab w:val="clear" w:pos="8306"/>
      </w:tabs>
      <w:spacing w:after="120" w:line="230" w:lineRule="exact"/>
      <w:rPr>
        <w:rFonts w:ascii="FrankRuehl" w:hAnsi="FrankRuehl" w:cs="FrankRuehl"/>
        <w:sz w:val="22"/>
        <w:szCs w:val="22"/>
        <w:rtl/>
      </w:rPr>
    </w:pPr>
    <w:r>
      <w:rPr>
        <w:rStyle w:val="PageNumber"/>
        <w:rFonts w:ascii="FrankRuehl" w:hAnsi="FrankRuehl" w:cs="FrankRuehl"/>
        <w:sz w:val="22"/>
        <w:szCs w:val="22"/>
      </w:rPr>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1</w:t>
    </w:r>
    <w:r>
      <w:rPr>
        <w:rStyle w:val="PageNumber"/>
        <w:rFonts w:ascii="FrankRuehl" w:hAnsi="FrankRuehl" w:cs="FrankRuehl"/>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pPr>
      <w:pStyle w:val="Header"/>
      <w:rPr>
        <w:rFonts w:hint="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067D1736"/>
    <w:multiLevelType w:val="hybridMultilevel"/>
    <w:tmpl w:val="31C246CC"/>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12E46DE5"/>
    <w:multiLevelType w:val="multilevel"/>
    <w:tmpl w:val="C472EDEE"/>
    <w:lvl w:ilvl="0">
      <w:start w:val="1"/>
      <w:numFmt w:val="decimal"/>
      <w:lvlText w:val="%1."/>
      <w:lvlJc w:val="left"/>
      <w:pPr>
        <w:tabs>
          <w:tab w:val="num" w:pos="720"/>
        </w:tabs>
        <w:ind w:left="720" w:hanging="360"/>
      </w:pPr>
      <w:rPr>
        <w:rFonts w:ascii="Times New Roman" w:eastAsia="Times New Roman" w:hAnsi="Times New Roman" w:cs="Davi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88D14F1"/>
    <w:multiLevelType w:val="multilevel"/>
    <w:tmpl w:val="2DFA2398"/>
    <w:lvl w:ilvl="0">
      <w:start w:val="1"/>
      <w:numFmt w:val="hebrew1"/>
      <w:lvlText w:val="%1."/>
      <w:lvlJc w:val="left"/>
      <w:pPr>
        <w:ind w:left="1636" w:hanging="360"/>
      </w:pPr>
      <w:rPr>
        <w:rFonts w:cs="Times New Roman" w:hint="default"/>
        <w:sz w:val="2"/>
        <w:szCs w:val="24"/>
      </w:rPr>
    </w:lvl>
    <w:lvl w:ilvl="1">
      <w:start w:val="1"/>
      <w:numFmt w:val="lowerLetter"/>
      <w:lvlText w:val="%2."/>
      <w:lvlJc w:val="left"/>
      <w:pPr>
        <w:ind w:left="2356" w:hanging="360"/>
      </w:pPr>
      <w:rPr>
        <w:rFonts w:cs="Times New Roman"/>
      </w:rPr>
    </w:lvl>
    <w:lvl w:ilvl="2">
      <w:start w:val="1"/>
      <w:numFmt w:val="lowerRoman"/>
      <w:lvlText w:val="%3."/>
      <w:lvlJc w:val="right"/>
      <w:pPr>
        <w:ind w:left="3076" w:hanging="180"/>
      </w:pPr>
      <w:rPr>
        <w:rFonts w:cs="Times New Roman"/>
      </w:rPr>
    </w:lvl>
    <w:lvl w:ilvl="3">
      <w:start w:val="1"/>
      <w:numFmt w:val="decimal"/>
      <w:lvlText w:val="%4."/>
      <w:lvlJc w:val="left"/>
      <w:pPr>
        <w:ind w:left="3796" w:hanging="360"/>
      </w:pPr>
      <w:rPr>
        <w:rFonts w:cs="Times New Roman"/>
      </w:rPr>
    </w:lvl>
    <w:lvl w:ilvl="4">
      <w:start w:val="1"/>
      <w:numFmt w:val="lowerLetter"/>
      <w:lvlText w:val="%5."/>
      <w:lvlJc w:val="left"/>
      <w:pPr>
        <w:ind w:left="4516" w:hanging="360"/>
      </w:pPr>
      <w:rPr>
        <w:rFonts w:cs="Times New Roman"/>
      </w:rPr>
    </w:lvl>
    <w:lvl w:ilvl="5">
      <w:start w:val="1"/>
      <w:numFmt w:val="lowerRoman"/>
      <w:lvlText w:val="%6."/>
      <w:lvlJc w:val="right"/>
      <w:pPr>
        <w:ind w:left="5236" w:hanging="180"/>
      </w:pPr>
      <w:rPr>
        <w:rFonts w:cs="Times New Roman"/>
      </w:rPr>
    </w:lvl>
    <w:lvl w:ilvl="6">
      <w:start w:val="1"/>
      <w:numFmt w:val="decimal"/>
      <w:lvlText w:val="%7."/>
      <w:lvlJc w:val="left"/>
      <w:pPr>
        <w:ind w:left="5956" w:hanging="360"/>
      </w:pPr>
      <w:rPr>
        <w:rFonts w:cs="Times New Roman"/>
      </w:rPr>
    </w:lvl>
    <w:lvl w:ilvl="7">
      <w:start w:val="1"/>
      <w:numFmt w:val="lowerLetter"/>
      <w:lvlText w:val="%8."/>
      <w:lvlJc w:val="left"/>
      <w:pPr>
        <w:ind w:left="6676" w:hanging="360"/>
      </w:pPr>
      <w:rPr>
        <w:rFonts w:cs="Times New Roman"/>
      </w:rPr>
    </w:lvl>
    <w:lvl w:ilvl="8">
      <w:start w:val="1"/>
      <w:numFmt w:val="lowerRoman"/>
      <w:lvlText w:val="%9."/>
      <w:lvlJc w:val="right"/>
      <w:pPr>
        <w:ind w:left="7396" w:hanging="180"/>
      </w:pPr>
      <w:rPr>
        <w:rFonts w:cs="Times New Roman"/>
      </w:rPr>
    </w:lvl>
  </w:abstractNum>
  <w:abstractNum w:abstractNumId="4">
    <w:nsid w:val="1A305249"/>
    <w:multiLevelType w:val="hybridMultilevel"/>
    <w:tmpl w:val="05B67BAA"/>
    <w:lvl w:ilvl="0">
      <w:start w:val="3"/>
      <w:numFmt w:val="decimal"/>
      <w:lvlText w:val="%1."/>
      <w:lvlJc w:val="left"/>
      <w:pPr>
        <w:tabs>
          <w:tab w:val="num" w:pos="360"/>
        </w:tabs>
        <w:ind w:left="360" w:hanging="360"/>
      </w:pPr>
      <w:rPr>
        <w:rFonts w:hint="default"/>
        <w:b/>
        <w:bCs/>
        <w:u w:val="none"/>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221249B9"/>
    <w:multiLevelType w:val="hybridMultilevel"/>
    <w:tmpl w:val="E62CD7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9E0431B"/>
    <w:multiLevelType w:val="hybridMultilevel"/>
    <w:tmpl w:val="71A6810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2F175169"/>
    <w:multiLevelType w:val="hybridMultilevel"/>
    <w:tmpl w:val="4AC6E9B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443390D"/>
    <w:multiLevelType w:val="singleLevel"/>
    <w:tmpl w:val="A07AD338"/>
    <w:lvl w:ilvl="0">
      <w:start w:val="1"/>
      <w:numFmt w:val="upperRoman"/>
      <w:lvlText w:val="%1."/>
      <w:lvlJc w:val="center"/>
      <w:pPr>
        <w:tabs>
          <w:tab w:val="num" w:pos="648"/>
        </w:tabs>
        <w:ind w:right="648" w:hanging="360"/>
      </w:pPr>
    </w:lvl>
  </w:abstractNum>
  <w:abstractNum w:abstractNumId="9">
    <w:nsid w:val="3A7A13F7"/>
    <w:multiLevelType w:val="hybridMultilevel"/>
    <w:tmpl w:val="0FACB9F8"/>
    <w:lvl w:ilvl="0">
      <w:start w:val="1"/>
      <w:numFmt w:val="decimal"/>
      <w:lvlText w:val="%1."/>
      <w:lvlJc w:val="left"/>
      <w:pPr>
        <w:tabs>
          <w:tab w:val="num" w:pos="360"/>
        </w:tabs>
        <w:ind w:left="360" w:hanging="360"/>
      </w:pPr>
      <w:rPr>
        <w:b/>
        <w:bCs/>
        <w:sz w:val="24"/>
        <w:szCs w:val="24"/>
      </w:rPr>
    </w:lvl>
    <w:lvl w:ilvl="1">
      <w:start w:val="1"/>
      <w:numFmt w:val="decimal"/>
      <w:lvlText w:val="%2."/>
      <w:lvlJc w:val="left"/>
      <w:pPr>
        <w:tabs>
          <w:tab w:val="num" w:pos="1152"/>
        </w:tabs>
        <w:ind w:left="1152" w:hanging="360"/>
      </w:pPr>
      <w:rPr>
        <w:b/>
        <w:bCs/>
        <w:sz w:val="24"/>
        <w:szCs w:val="24"/>
      </w:rPr>
    </w:lvl>
    <w:lvl w:ilvl="2" w:tentative="1">
      <w:start w:val="1"/>
      <w:numFmt w:val="lowerRoman"/>
      <w:lvlText w:val="%3."/>
      <w:lvlJc w:val="right"/>
      <w:pPr>
        <w:tabs>
          <w:tab w:val="num" w:pos="1872"/>
        </w:tabs>
        <w:ind w:left="1872" w:hanging="180"/>
      </w:pPr>
    </w:lvl>
    <w:lvl w:ilvl="3" w:tentative="1">
      <w:start w:val="1"/>
      <w:numFmt w:val="decimal"/>
      <w:lvlText w:val="%4."/>
      <w:lvlJc w:val="left"/>
      <w:pPr>
        <w:tabs>
          <w:tab w:val="num" w:pos="2592"/>
        </w:tabs>
        <w:ind w:left="2592" w:hanging="360"/>
      </w:pPr>
    </w:lvl>
    <w:lvl w:ilvl="4" w:tentative="1">
      <w:start w:val="1"/>
      <w:numFmt w:val="lowerLetter"/>
      <w:lvlText w:val="%5."/>
      <w:lvlJc w:val="left"/>
      <w:pPr>
        <w:tabs>
          <w:tab w:val="num" w:pos="3312"/>
        </w:tabs>
        <w:ind w:left="3312" w:hanging="360"/>
      </w:pPr>
    </w:lvl>
    <w:lvl w:ilvl="5" w:tentative="1">
      <w:start w:val="1"/>
      <w:numFmt w:val="lowerRoman"/>
      <w:lvlText w:val="%6."/>
      <w:lvlJc w:val="right"/>
      <w:pPr>
        <w:tabs>
          <w:tab w:val="num" w:pos="4032"/>
        </w:tabs>
        <w:ind w:left="4032" w:hanging="180"/>
      </w:pPr>
    </w:lvl>
    <w:lvl w:ilvl="6" w:tentative="1">
      <w:start w:val="1"/>
      <w:numFmt w:val="decimal"/>
      <w:lvlText w:val="%7."/>
      <w:lvlJc w:val="left"/>
      <w:pPr>
        <w:tabs>
          <w:tab w:val="num" w:pos="4752"/>
        </w:tabs>
        <w:ind w:left="4752" w:hanging="360"/>
      </w:pPr>
    </w:lvl>
    <w:lvl w:ilvl="7" w:tentative="1">
      <w:start w:val="1"/>
      <w:numFmt w:val="lowerLetter"/>
      <w:lvlText w:val="%8."/>
      <w:lvlJc w:val="left"/>
      <w:pPr>
        <w:tabs>
          <w:tab w:val="num" w:pos="5472"/>
        </w:tabs>
        <w:ind w:left="5472" w:hanging="360"/>
      </w:pPr>
    </w:lvl>
    <w:lvl w:ilvl="8" w:tentative="1">
      <w:start w:val="1"/>
      <w:numFmt w:val="lowerRoman"/>
      <w:lvlText w:val="%9."/>
      <w:lvlJc w:val="right"/>
      <w:pPr>
        <w:tabs>
          <w:tab w:val="num" w:pos="6192"/>
        </w:tabs>
        <w:ind w:left="6192" w:hanging="180"/>
      </w:pPr>
    </w:lvl>
  </w:abstractNum>
  <w:abstractNum w:abstractNumId="10">
    <w:nsid w:val="3FBD737D"/>
    <w:multiLevelType w:val="hybridMultilevel"/>
    <w:tmpl w:val="AEC40C2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12">
    <w:nsid w:val="4B153B68"/>
    <w:multiLevelType w:val="hybridMultilevel"/>
    <w:tmpl w:val="9808F9BA"/>
    <w:lvl w:ilvl="0">
      <w:start w:val="1"/>
      <w:numFmt w:val="decimal"/>
      <w:lvlText w:val="%1."/>
      <w:lvlJc w:val="left"/>
      <w:pPr>
        <w:tabs>
          <w:tab w:val="num" w:pos="660"/>
        </w:tabs>
        <w:ind w:left="660" w:hanging="360"/>
      </w:pPr>
    </w:lvl>
    <w:lvl w:ilvl="1" w:tentative="1">
      <w:start w:val="1"/>
      <w:numFmt w:val="lowerLetter"/>
      <w:lvlText w:val="%2."/>
      <w:lvlJc w:val="left"/>
      <w:pPr>
        <w:tabs>
          <w:tab w:val="num" w:pos="1380"/>
        </w:tabs>
        <w:ind w:left="1380" w:hanging="360"/>
      </w:pPr>
    </w:lvl>
    <w:lvl w:ilvl="2" w:tentative="1">
      <w:start w:val="1"/>
      <w:numFmt w:val="lowerRoman"/>
      <w:lvlText w:val="%3."/>
      <w:lvlJc w:val="right"/>
      <w:pPr>
        <w:tabs>
          <w:tab w:val="num" w:pos="2100"/>
        </w:tabs>
        <w:ind w:left="2100" w:hanging="180"/>
      </w:pPr>
    </w:lvl>
    <w:lvl w:ilvl="3" w:tentative="1">
      <w:start w:val="1"/>
      <w:numFmt w:val="decimal"/>
      <w:lvlText w:val="%4."/>
      <w:lvlJc w:val="left"/>
      <w:pPr>
        <w:tabs>
          <w:tab w:val="num" w:pos="2820"/>
        </w:tabs>
        <w:ind w:left="2820" w:hanging="360"/>
      </w:pPr>
    </w:lvl>
    <w:lvl w:ilvl="4" w:tentative="1">
      <w:start w:val="1"/>
      <w:numFmt w:val="lowerLetter"/>
      <w:lvlText w:val="%5."/>
      <w:lvlJc w:val="left"/>
      <w:pPr>
        <w:tabs>
          <w:tab w:val="num" w:pos="3540"/>
        </w:tabs>
        <w:ind w:left="3540" w:hanging="360"/>
      </w:pPr>
    </w:lvl>
    <w:lvl w:ilvl="5" w:tentative="1">
      <w:start w:val="1"/>
      <w:numFmt w:val="lowerRoman"/>
      <w:lvlText w:val="%6."/>
      <w:lvlJc w:val="right"/>
      <w:pPr>
        <w:tabs>
          <w:tab w:val="num" w:pos="4260"/>
        </w:tabs>
        <w:ind w:left="4260" w:hanging="180"/>
      </w:pPr>
    </w:lvl>
    <w:lvl w:ilvl="6" w:tentative="1">
      <w:start w:val="1"/>
      <w:numFmt w:val="decimal"/>
      <w:lvlText w:val="%7."/>
      <w:lvlJc w:val="left"/>
      <w:pPr>
        <w:tabs>
          <w:tab w:val="num" w:pos="4980"/>
        </w:tabs>
        <w:ind w:left="4980" w:hanging="360"/>
      </w:pPr>
    </w:lvl>
    <w:lvl w:ilvl="7" w:tentative="1">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13">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589B764E"/>
    <w:multiLevelType w:val="hybridMultilevel"/>
    <w:tmpl w:val="C472EDEE"/>
    <w:lvl w:ilvl="0">
      <w:start w:val="1"/>
      <w:numFmt w:val="decimal"/>
      <w:lvlText w:val="%1."/>
      <w:lvlJc w:val="left"/>
      <w:pPr>
        <w:tabs>
          <w:tab w:val="num" w:pos="720"/>
        </w:tabs>
        <w:ind w:left="720" w:hanging="360"/>
      </w:pPr>
      <w:rPr>
        <w:rFonts w:ascii="Times New Roman" w:eastAsia="Times New Roman" w:hAnsi="Times New Roman" w:cs="David"/>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6A1C7FB5"/>
    <w:multiLevelType w:val="singleLevel"/>
    <w:tmpl w:val="CB646ABA"/>
    <w:lvl w:ilvl="0">
      <w:start w:val="1"/>
      <w:numFmt w:val="hebrew1"/>
      <w:lvlText w:val="%1."/>
      <w:lvlJc w:val="center"/>
      <w:pPr>
        <w:tabs>
          <w:tab w:val="num" w:pos="797"/>
        </w:tabs>
        <w:ind w:left="797" w:hanging="360"/>
      </w:pPr>
    </w:lvl>
  </w:abstractNum>
  <w:abstractNum w:abstractNumId="16">
    <w:nsid w:val="6BDA6A76"/>
    <w:multiLevelType w:val="hybridMultilevel"/>
    <w:tmpl w:val="1910C7E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72E16CC0"/>
    <w:multiLevelType w:val="hybridMultilevel"/>
    <w:tmpl w:val="7450BCA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7C7C6704"/>
    <w:multiLevelType w:val="hybridMultilevel"/>
    <w:tmpl w:val="2DFA2398"/>
    <w:lvl w:ilvl="0">
      <w:start w:val="1"/>
      <w:numFmt w:val="hebrew1"/>
      <w:lvlText w:val="%1."/>
      <w:lvlJc w:val="left"/>
      <w:pPr>
        <w:ind w:left="1636" w:hanging="360"/>
      </w:pPr>
      <w:rPr>
        <w:rFonts w:cs="Times New Roman" w:hint="default"/>
        <w:sz w:val="2"/>
        <w:szCs w:val="24"/>
      </w:rPr>
    </w:lvl>
    <w:lvl w:ilvl="1">
      <w:start w:val="1"/>
      <w:numFmt w:val="lowerLetter"/>
      <w:lvlText w:val="%2."/>
      <w:lvlJc w:val="left"/>
      <w:pPr>
        <w:ind w:left="2356" w:hanging="360"/>
      </w:pPr>
      <w:rPr>
        <w:rFonts w:cs="Times New Roman"/>
      </w:rPr>
    </w:lvl>
    <w:lvl w:ilvl="2">
      <w:start w:val="1"/>
      <w:numFmt w:val="lowerRoman"/>
      <w:lvlText w:val="%3."/>
      <w:lvlJc w:val="right"/>
      <w:pPr>
        <w:ind w:left="3076" w:hanging="180"/>
      </w:pPr>
      <w:rPr>
        <w:rFonts w:cs="Times New Roman"/>
      </w:rPr>
    </w:lvl>
    <w:lvl w:ilvl="3">
      <w:start w:val="1"/>
      <w:numFmt w:val="decimal"/>
      <w:lvlText w:val="%4."/>
      <w:lvlJc w:val="left"/>
      <w:pPr>
        <w:ind w:left="3796" w:hanging="360"/>
      </w:pPr>
      <w:rPr>
        <w:rFonts w:cs="Times New Roman"/>
      </w:rPr>
    </w:lvl>
    <w:lvl w:ilvl="4">
      <w:start w:val="1"/>
      <w:numFmt w:val="lowerLetter"/>
      <w:lvlText w:val="%5."/>
      <w:lvlJc w:val="left"/>
      <w:pPr>
        <w:ind w:left="4516" w:hanging="360"/>
      </w:pPr>
      <w:rPr>
        <w:rFonts w:cs="Times New Roman"/>
      </w:rPr>
    </w:lvl>
    <w:lvl w:ilvl="5">
      <w:start w:val="1"/>
      <w:numFmt w:val="lowerRoman"/>
      <w:lvlText w:val="%6."/>
      <w:lvlJc w:val="right"/>
      <w:pPr>
        <w:ind w:left="5236" w:hanging="180"/>
      </w:pPr>
      <w:rPr>
        <w:rFonts w:cs="Times New Roman"/>
      </w:rPr>
    </w:lvl>
    <w:lvl w:ilvl="6">
      <w:start w:val="1"/>
      <w:numFmt w:val="decimal"/>
      <w:lvlText w:val="%7."/>
      <w:lvlJc w:val="left"/>
      <w:pPr>
        <w:ind w:left="5956" w:hanging="360"/>
      </w:pPr>
      <w:rPr>
        <w:rFonts w:cs="Times New Roman"/>
      </w:rPr>
    </w:lvl>
    <w:lvl w:ilvl="7">
      <w:start w:val="1"/>
      <w:numFmt w:val="lowerLetter"/>
      <w:lvlText w:val="%8."/>
      <w:lvlJc w:val="left"/>
      <w:pPr>
        <w:ind w:left="6676" w:hanging="360"/>
      </w:pPr>
      <w:rPr>
        <w:rFonts w:cs="Times New Roman"/>
      </w:rPr>
    </w:lvl>
    <w:lvl w:ilvl="8">
      <w:start w:val="1"/>
      <w:numFmt w:val="lowerRoman"/>
      <w:lvlText w:val="%9."/>
      <w:lvlJc w:val="right"/>
      <w:pPr>
        <w:ind w:left="7396" w:hanging="180"/>
      </w:pPr>
      <w:rPr>
        <w:rFonts w:cs="Times New Roman"/>
      </w:rPr>
    </w:lvl>
  </w:abstractNum>
  <w:abstractNum w:abstractNumId="19">
    <w:nsid w:val="7F37300B"/>
    <w:multiLevelType w:val="hybridMultilevel"/>
    <w:tmpl w:val="DC7E7210"/>
    <w:lvl w:ilvl="0">
      <w:start w:val="1"/>
      <w:numFmt w:val="decimal"/>
      <w:lvlText w:val="%1."/>
      <w:lvlJc w:val="left"/>
      <w:pPr>
        <w:tabs>
          <w:tab w:val="num" w:pos="300"/>
        </w:tabs>
        <w:ind w:left="300" w:hanging="360"/>
      </w:pPr>
      <w:rPr>
        <w:rFonts w:hint="default"/>
      </w:rPr>
    </w:lvl>
    <w:lvl w:ilvl="1" w:tentative="1">
      <w:start w:val="1"/>
      <w:numFmt w:val="lowerLetter"/>
      <w:lvlText w:val="%2."/>
      <w:lvlJc w:val="left"/>
      <w:pPr>
        <w:tabs>
          <w:tab w:val="num" w:pos="1020"/>
        </w:tabs>
        <w:ind w:left="1020" w:hanging="360"/>
      </w:pPr>
    </w:lvl>
    <w:lvl w:ilvl="2" w:tentative="1">
      <w:start w:val="1"/>
      <w:numFmt w:val="lowerRoman"/>
      <w:lvlText w:val="%3."/>
      <w:lvlJc w:val="right"/>
      <w:pPr>
        <w:tabs>
          <w:tab w:val="num" w:pos="1740"/>
        </w:tabs>
        <w:ind w:left="1740" w:hanging="180"/>
      </w:pPr>
    </w:lvl>
    <w:lvl w:ilvl="3" w:tentative="1">
      <w:start w:val="1"/>
      <w:numFmt w:val="decimal"/>
      <w:lvlText w:val="%4."/>
      <w:lvlJc w:val="left"/>
      <w:pPr>
        <w:tabs>
          <w:tab w:val="num" w:pos="2460"/>
        </w:tabs>
        <w:ind w:left="2460" w:hanging="360"/>
      </w:pPr>
    </w:lvl>
    <w:lvl w:ilvl="4" w:tentative="1">
      <w:start w:val="1"/>
      <w:numFmt w:val="lowerLetter"/>
      <w:lvlText w:val="%5."/>
      <w:lvlJc w:val="left"/>
      <w:pPr>
        <w:tabs>
          <w:tab w:val="num" w:pos="3180"/>
        </w:tabs>
        <w:ind w:left="3180" w:hanging="360"/>
      </w:pPr>
    </w:lvl>
    <w:lvl w:ilvl="5" w:tentative="1">
      <w:start w:val="1"/>
      <w:numFmt w:val="lowerRoman"/>
      <w:lvlText w:val="%6."/>
      <w:lvlJc w:val="right"/>
      <w:pPr>
        <w:tabs>
          <w:tab w:val="num" w:pos="3900"/>
        </w:tabs>
        <w:ind w:left="3900" w:hanging="180"/>
      </w:pPr>
    </w:lvl>
    <w:lvl w:ilvl="6" w:tentative="1">
      <w:start w:val="1"/>
      <w:numFmt w:val="decimal"/>
      <w:lvlText w:val="%7."/>
      <w:lvlJc w:val="left"/>
      <w:pPr>
        <w:tabs>
          <w:tab w:val="num" w:pos="4620"/>
        </w:tabs>
        <w:ind w:left="4620" w:hanging="360"/>
      </w:pPr>
    </w:lvl>
    <w:lvl w:ilvl="7" w:tentative="1">
      <w:start w:val="1"/>
      <w:numFmt w:val="lowerLetter"/>
      <w:lvlText w:val="%8."/>
      <w:lvlJc w:val="left"/>
      <w:pPr>
        <w:tabs>
          <w:tab w:val="num" w:pos="5340"/>
        </w:tabs>
        <w:ind w:left="5340" w:hanging="360"/>
      </w:pPr>
    </w:lvl>
    <w:lvl w:ilvl="8" w:tentative="1">
      <w:start w:val="1"/>
      <w:numFmt w:val="lowerRoman"/>
      <w:lvlText w:val="%9."/>
      <w:lvlJc w:val="right"/>
      <w:pPr>
        <w:tabs>
          <w:tab w:val="num" w:pos="6060"/>
        </w:tabs>
        <w:ind w:left="6060" w:hanging="180"/>
      </w:pPr>
    </w:lvl>
  </w:abstractNum>
  <w:num w:numId="1">
    <w:abstractNumId w:val="11"/>
  </w:num>
  <w:num w:numId="2">
    <w:abstractNumId w:val="8"/>
  </w:num>
  <w:num w:numId="3">
    <w:abstractNumId w:val="15"/>
  </w:num>
  <w:num w:numId="4">
    <w:abstractNumId w:val="13"/>
  </w:num>
  <w:num w:numId="5">
    <w:abstractNumId w:val="0"/>
  </w:num>
  <w:num w:numId="6">
    <w:abstractNumId w:val="14"/>
  </w:num>
  <w:num w:numId="7">
    <w:abstractNumId w:val="2"/>
  </w:num>
  <w:num w:numId="8">
    <w:abstractNumId w:val="16"/>
  </w:num>
  <w:num w:numId="9">
    <w:abstractNumId w:val="4"/>
  </w:num>
  <w:num w:numId="10">
    <w:abstractNumId w:val="1"/>
  </w:num>
  <w:num w:numId="11">
    <w:abstractNumId w:val="18"/>
  </w:num>
  <w:num w:numId="12">
    <w:abstractNumId w:val="3"/>
  </w:num>
  <w:num w:numId="13">
    <w:abstractNumId w:val="9"/>
  </w:num>
  <w:num w:numId="14">
    <w:abstractNumId w:val="12"/>
  </w:num>
  <w:num w:numId="15">
    <w:abstractNumId w:val="19"/>
  </w:num>
  <w:num w:numId="16">
    <w:abstractNumId w:val="7"/>
  </w:num>
  <w:num w:numId="17">
    <w:abstractNumId w:val="17"/>
  </w:num>
  <w:num w:numId="18">
    <w:abstractNumId w:val="5"/>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397"/>
  <w:evenAndOddHeaders/>
  <w:noPunctuationKerning/>
  <w:characterSpacingControl w:val="doNotCompress"/>
  <w:footnotePr>
    <w:numRestart w:val="eachSect"/>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65A"/>
    <w:rsid w:val="00346473"/>
    <w:rsid w:val="00706C18"/>
    <w:rsid w:val="0097165A"/>
    <w:rsid w:val="00AA15F9"/>
  </w:rsids>
  <w:docVars>
    <w:docVar w:name="sivug" w:val="0"/>
  </w:docVars>
  <m:mathPr>
    <m:mathFont m:val="Cambria Math"/>
    <m:wrapRight/>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uiPriority w:val="9"/>
    <w:qFormat/>
    <w:pPr>
      <w:keepNext/>
      <w:widowControl w:val="0"/>
      <w:spacing w:before="240" w:after="480" w:line="312" w:lineRule="auto"/>
      <w:jc w:val="center"/>
      <w:outlineLvl w:val="0"/>
    </w:pPr>
    <w:rPr>
      <w:b/>
      <w:bCs/>
      <w:kern w:val="32"/>
      <w:sz w:val="32"/>
      <w:szCs w:val="36"/>
      <w:u w:val="single"/>
      <w:lang w:eastAsia="he-IL"/>
    </w:rPr>
  </w:style>
  <w:style w:type="paragraph" w:styleId="Heading2">
    <w:name w:val="heading 2"/>
    <w:basedOn w:val="Normal"/>
    <w:next w:val="Normal"/>
    <w:uiPriority w:val="9"/>
    <w:qFormat/>
    <w:pPr>
      <w:keepNext/>
      <w:spacing w:line="240" w:lineRule="atLeast"/>
      <w:jc w:val="center"/>
      <w:outlineLvl w:val="1"/>
    </w:pPr>
    <w:rPr>
      <w:b/>
      <w:bCs/>
      <w:sz w:val="22"/>
      <w:szCs w:val="22"/>
    </w:rPr>
  </w:style>
  <w:style w:type="paragraph" w:styleId="Heading3">
    <w:name w:val="heading 3"/>
    <w:basedOn w:val="Normal"/>
    <w:next w:val="Normal"/>
    <w:uiPriority w:val="9"/>
    <w:qFormat/>
    <w:pPr>
      <w:widowControl w:val="0"/>
      <w:spacing w:before="100" w:beforeAutospacing="1" w:line="288" w:lineRule="auto"/>
      <w:outlineLvl w:val="2"/>
    </w:pPr>
    <w:rPr>
      <w:b/>
      <w:bCs/>
      <w:szCs w:val="28"/>
      <w:u w:val="single"/>
      <w:lang w:eastAsia="he-IL"/>
    </w:rPr>
  </w:style>
  <w:style w:type="paragraph" w:styleId="Heading4">
    <w:name w:val="heading 4"/>
    <w:basedOn w:val="Normal"/>
    <w:next w:val="Normal"/>
    <w:uiPriority w:val="9"/>
    <w:qFormat/>
    <w:pPr>
      <w:keepNext/>
      <w:spacing w:before="240" w:after="60"/>
      <w:outlineLvl w:val="3"/>
    </w:pPr>
    <w:rPr>
      <w:rFonts w:cs="Times New Roman"/>
      <w:b/>
      <w:bCs/>
      <w:sz w:val="28"/>
      <w:szCs w:val="28"/>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pPr>
    <w:rPr>
      <w:sz w:val="26"/>
      <w:szCs w:val="26"/>
    </w:rPr>
  </w:style>
  <w:style w:type="paragraph" w:customStyle="1" w:styleId="KOT5">
    <w:name w:val="KOT5"/>
    <w:basedOn w:val="KOT4"/>
    <w:pPr>
      <w:spacing w:after="120" w:line="260" w:lineRule="exact"/>
    </w:pPr>
    <w:rPr>
      <w:sz w:val="22"/>
      <w:szCs w:val="22"/>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Header">
    <w:name w:val="header"/>
    <w:basedOn w:val="Normal"/>
    <w:pPr>
      <w:tabs>
        <w:tab w:val="center" w:pos="4153"/>
        <w:tab w:val="right" w:pos="8306"/>
      </w:tabs>
    </w:pPr>
  </w:style>
  <w:style w:type="paragraph" w:styleId="Footer">
    <w:name w:val="footer"/>
    <w:basedOn w:val="Normal"/>
    <w:link w:val="a0"/>
    <w:pPr>
      <w:tabs>
        <w:tab w:val="center" w:pos="4153"/>
        <w:tab w:val="right" w:pos="8306"/>
      </w:tabs>
    </w:pPr>
  </w:style>
  <w:style w:type="character" w:styleId="PageNumber">
    <w:name w:val="page number"/>
    <w:basedOn w:val="DefaultParagraphFont"/>
  </w:style>
  <w:style w:type="paragraph" w:styleId="FootnoteText">
    <w:name w:val="footnote text"/>
    <w:basedOn w:val="Normal"/>
    <w:pPr>
      <w:widowControl w:val="0"/>
      <w:spacing w:line="312" w:lineRule="auto"/>
      <w:ind w:left="567" w:hanging="567"/>
      <w:jc w:val="both"/>
    </w:pPr>
    <w:rPr>
      <w:sz w:val="20"/>
      <w:szCs w:val="20"/>
      <w:lang w:eastAsia="he-IL"/>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312" w:lineRule="auto"/>
      <w:ind w:left="-567"/>
      <w:jc w:val="both"/>
    </w:pPr>
    <w:rPr>
      <w:sz w:val="20"/>
      <w:szCs w:val="20"/>
      <w:lang w:eastAsia="he-IL"/>
    </w:rPr>
  </w:style>
  <w:style w:type="paragraph" w:styleId="PlainText">
    <w:name w:val="Plain Text"/>
    <w:basedOn w:val="Normal"/>
    <w:pPr>
      <w:widowControl w:val="0"/>
      <w:spacing w:line="312" w:lineRule="auto"/>
      <w:jc w:val="both"/>
    </w:pPr>
    <w:rPr>
      <w:rFonts w:ascii="Courier New" w:hAnsi="Courier New" w:cs="Courier New"/>
      <w:sz w:val="20"/>
      <w:szCs w:val="20"/>
      <w:lang w:eastAsia="he-IL"/>
    </w:rPr>
  </w:style>
  <w:style w:type="character" w:customStyle="1" w:styleId="7">
    <w:name w:val="כותרת 7 תו"/>
    <w:basedOn w:val="DefaultParagraphFont"/>
    <w:rPr>
      <w:rFonts w:cs="David"/>
      <w:b/>
      <w:bCs/>
      <w:spacing w:val="40"/>
      <w:szCs w:val="24"/>
      <w:lang w:val="en-US" w:eastAsia="he-IL" w:bidi="he-IL"/>
    </w:rPr>
  </w:style>
  <w:style w:type="character" w:styleId="CommentReference">
    <w:name w:val="annotation reference"/>
    <w:basedOn w:val="DefaultParagraphFont"/>
    <w:semiHidden/>
    <w:rPr>
      <w:sz w:val="16"/>
      <w:szCs w:val="16"/>
    </w:rPr>
  </w:style>
  <w:style w:type="paragraph" w:styleId="BodyTextIndent">
    <w:name w:val="Body Text Indent"/>
    <w:basedOn w:val="Normal"/>
    <w:pPr>
      <w:tabs>
        <w:tab w:val="left" w:pos="84"/>
      </w:tabs>
      <w:spacing w:line="269" w:lineRule="auto"/>
      <w:ind w:left="-58"/>
    </w:pPr>
    <w:rPr>
      <w:b/>
      <w:bCs/>
      <w:color w:val="FF0000"/>
    </w:rPr>
  </w:style>
  <w:style w:type="paragraph" w:styleId="BodyTextIndent2">
    <w:name w:val="Body Text Indent 2"/>
    <w:basedOn w:val="Normal"/>
    <w:pPr>
      <w:spacing w:after="120" w:line="230" w:lineRule="exact"/>
      <w:ind w:hanging="564"/>
      <w:jc w:val="both"/>
    </w:pPr>
    <w:rPr>
      <w:rFonts w:ascii="Times" w:hAnsi="Times" w:cs="FrankRuehl"/>
      <w:sz w:val="20"/>
      <w:szCs w:val="22"/>
    </w:rPr>
  </w:style>
  <w:style w:type="character" w:customStyle="1" w:styleId="a0">
    <w:name w:val="כותרת תחתונה תו"/>
    <w:link w:val="Footer"/>
    <w:rsid w:val="0097165A"/>
    <w:rPr>
      <w:rFonts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image" Target="media/image4.jpeg"/><Relationship Id="rId18"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styles" Target="styles.xml"/><Relationship Id="rId7" Type="http://schemas.openxmlformats.org/officeDocument/2006/relationships/image" Target="media/image3.jpeg"/><Relationship Id="rId16" Type="http://schemas.openxmlformats.org/officeDocument/2006/relationships/numbering" Target="numbering.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footer" Target="footer1.xml"/><Relationship Id="rId6" Type="http://schemas.openxmlformats.org/officeDocument/2006/relationships/image" Target="media/image2.jpeg"/><Relationship Id="rId15"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customXml" Target="../customXml/item2.xml"/><Relationship Id="rId14" Type="http://schemas.openxmlformats.org/officeDocument/2006/relationships/header" Target="header4.xml"/><Relationship Id="rId4" Type="http://schemas.openxmlformats.org/officeDocument/2006/relationships/fontTable" Target="fontTable.xml"/><Relationship Id="rId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4426A1-5FCA-45FD-8698-5BBCB8542634}"/>
</file>

<file path=customXml/itemProps2.xml><?xml version="1.0" encoding="utf-8"?>
<ds:datastoreItem xmlns:ds="http://schemas.openxmlformats.org/officeDocument/2006/customXml" ds:itemID="{83DAFA55-E8B6-4DD6-BE04-F417505588EC}"/>
</file>

<file path=customXml/itemProps3.xml><?xml version="1.0" encoding="utf-8"?>
<ds:datastoreItem xmlns:ds="http://schemas.openxmlformats.org/officeDocument/2006/customXml" ds:itemID="{D693EC5D-25E3-41C4-8FC8-05D0ECFA5FE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292800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