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Heading5"/>
        <w:keepNext/>
        <w:widowControl/>
        <w:spacing w:after="120" w:line="360" w:lineRule="exact"/>
        <w:ind w:left="2550" w:right="0"/>
        <w:jc w:val="left"/>
        <w:rPr>
          <w:rFonts w:hint="cs"/>
          <w:spacing w:val="0"/>
          <w:sz w:val="32"/>
          <w:szCs w:val="32"/>
          <w:rtl/>
        </w:rPr>
      </w:pPr>
      <w:r>
        <w:rPr>
          <w:rFonts w:hint="cs"/>
          <w:spacing w:val="0"/>
          <w:sz w:val="32"/>
          <w:szCs w:val="32"/>
          <w:rtl/>
        </w:rPr>
        <w:t>מבקר המדינה</w:t>
      </w:r>
    </w:p>
    <w:p>
      <w:pPr>
        <w:pStyle w:val="BodyTextIndent"/>
        <w:ind w:left="2550" w:right="0"/>
        <w:jc w:val="left"/>
        <w:rPr>
          <w:rFonts w:hint="cs"/>
          <w:rtl/>
        </w:rPr>
      </w:pPr>
      <w:r>
        <w:rPr>
          <w:rFonts w:hint="cs"/>
          <w:rtl/>
        </w:rPr>
        <w:t xml:space="preserve">חוות דעת </w:t>
      </w:r>
    </w:p>
    <w:p>
      <w:pPr>
        <w:pStyle w:val="BodyTextIndent"/>
        <w:ind w:left="2550" w:right="0"/>
        <w:jc w:val="left"/>
        <w:rPr>
          <w:b/>
          <w:bCs/>
        </w:rPr>
      </w:pPr>
      <w:r>
        <w:rPr>
          <w:rFonts w:hint="cs"/>
          <w:b/>
          <w:bCs/>
          <w:rtl/>
        </w:rPr>
        <w:t>העברת</w:t>
      </w:r>
      <w:r>
        <w:rPr>
          <w:b/>
          <w:bCs/>
          <w:rtl/>
        </w:rPr>
        <w:t xml:space="preserve"> כספים לחברות </w:t>
      </w:r>
      <w:r>
        <w:rPr>
          <w:rFonts w:hint="cs"/>
          <w:b/>
          <w:bCs/>
          <w:rtl/>
        </w:rPr>
        <w:t xml:space="preserve">שהיו </w:t>
      </w:r>
      <w:r>
        <w:rPr>
          <w:b/>
          <w:bCs/>
          <w:rtl/>
        </w:rPr>
        <w:t>בבעלות שר הביטחון</w:t>
      </w:r>
      <w:r>
        <w:rPr>
          <w:rFonts w:hint="cs"/>
          <w:b/>
          <w:bCs/>
          <w:rtl/>
        </w:rPr>
        <w:t>,</w:t>
      </w:r>
      <w:r>
        <w:rPr>
          <w:b/>
          <w:bCs/>
          <w:rtl/>
        </w:rPr>
        <w:t xml:space="preserve"> אהוד ברק</w:t>
      </w:r>
    </w:p>
    <w:p>
      <w:pPr>
        <w:ind w:left="0" w:right="0"/>
        <w:jc w:val="left"/>
        <w:rPr>
          <w:rFonts w:hint="cs"/>
          <w:rtl/>
        </w:rPr>
      </w:pPr>
    </w:p>
    <w:p>
      <w:pPr>
        <w:spacing w:after="120" w:line="230" w:lineRule="exact"/>
        <w:ind w:left="0" w:right="0"/>
        <w:jc w:val="left"/>
        <w:rPr>
          <w:rtl/>
        </w:rPr>
        <w:sectPr>
          <w:headerReference w:type="even" r:id="rId5"/>
          <w:headerReference w:type="default" r:id="rId6"/>
          <w:pgSz w:w="11906" w:h="16838" w:code="9"/>
          <w:pgMar w:top="1758" w:right="2552" w:bottom="3686" w:left="2552" w:header="1247" w:footer="709" w:gutter="0"/>
          <w:cols w:space="708"/>
          <w:titlePg/>
          <w:docGrid w:linePitch="360"/>
        </w:sect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rFonts w:cs="FrankRuehl" w:hint="cs"/>
          <w:sz w:val="22"/>
          <w:rtl/>
          <w:lang w:eastAsia="he-IL"/>
        </w:rPr>
      </w:pPr>
    </w:p>
    <w:p>
      <w:pPr>
        <w:spacing w:line="312" w:lineRule="auto"/>
        <w:ind w:left="0" w:right="0"/>
        <w:jc w:val="center"/>
        <w:rPr>
          <w:rFonts w:cs="FrankRuehl"/>
          <w:sz w:val="20"/>
          <w:szCs w:val="20"/>
          <w:lang w:eastAsia="he-IL"/>
        </w:rPr>
      </w:pPr>
    </w:p>
    <w:p>
      <w:pPr>
        <w:spacing w:line="312" w:lineRule="auto"/>
        <w:ind w:left="0" w:right="0"/>
        <w:jc w:val="center"/>
        <w:rPr>
          <w:rFonts w:cs="FrankRuehl"/>
          <w:sz w:val="22"/>
          <w:lang w:eastAsia="he-IL"/>
        </w:rPr>
      </w:pPr>
    </w:p>
    <w:p>
      <w:pPr>
        <w:spacing w:line="312" w:lineRule="auto"/>
        <w:ind w:left="0" w:right="0"/>
        <w:jc w:val="center"/>
        <w:rPr>
          <w:rFonts w:cs="FrankRuehl" w:hint="cs"/>
          <w:sz w:val="22"/>
          <w:rtl/>
          <w:lang w:eastAsia="he-IL"/>
        </w:rPr>
      </w:pPr>
    </w:p>
    <w:p>
      <w:pPr>
        <w:spacing w:line="312" w:lineRule="auto"/>
        <w:ind w:left="0" w:right="0"/>
        <w:jc w:val="center"/>
        <w:rPr>
          <w:rFonts w:cs="FrankRuehl" w:hint="cs"/>
          <w:sz w:val="22"/>
          <w:rtl/>
          <w:lang w:eastAsia="he-IL"/>
        </w:rPr>
      </w:pPr>
    </w:p>
    <w:p>
      <w:pPr>
        <w:pStyle w:val="PlainText"/>
        <w:widowControl/>
        <w:spacing w:after="120" w:line="240" w:lineRule="atLeast"/>
        <w:ind w:left="0" w:right="0"/>
        <w:jc w:val="center"/>
        <w:rPr>
          <w:rtl/>
        </w:rPr>
        <w:sectPr>
          <w:pgSz w:w="11906" w:h="16838" w:code="9"/>
          <w:pgMar w:top="2098" w:right="2608" w:bottom="3686" w:left="2608" w:header="1531" w:footer="3969" w:gutter="0"/>
          <w:cols w:space="708"/>
          <w:titlePg/>
          <w:docGrid w:linePitch="360"/>
        </w:sectPr>
      </w:pPr>
    </w:p>
    <w:p>
      <w:pPr>
        <w:pStyle w:val="PlainText"/>
        <w:widowControl/>
        <w:spacing w:after="120" w:line="240" w:lineRule="atLeast"/>
        <w:ind w:left="0" w:right="0"/>
        <w:jc w:val="center"/>
        <w:rPr>
          <w:rFonts w:ascii="Times New Roman" w:eastAsia="MS Mincho" w:hAnsi="Times New Roman" w:cs="FrankRuehl"/>
          <w:sz w:val="22"/>
          <w:szCs w:val="22"/>
          <w:lang w:eastAsia="en-US"/>
        </w:rPr>
      </w:pPr>
      <w:r>
        <w:rPr>
          <w:rFonts w:ascii="Times New Roman" w:hAnsi="Times New Roman"/>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pt;height:63.04pt" stroked="f">
            <v:imagedata r:id="rId7" o:title="isra"/>
          </v:shape>
        </w:pict>
      </w:r>
    </w:p>
    <w:p>
      <w:pPr>
        <w:spacing w:before="120" w:line="312" w:lineRule="auto"/>
        <w:ind w:left="0" w:right="0"/>
        <w:jc w:val="center"/>
        <w:rPr>
          <w:rFonts w:hint="cs"/>
          <w:b/>
          <w:bCs/>
          <w:noProof/>
          <w:sz w:val="72"/>
          <w:szCs w:val="72"/>
          <w:rtl/>
        </w:rPr>
      </w:pPr>
      <w:r>
        <w:rPr>
          <w:rFonts w:hint="cs"/>
          <w:b/>
          <w:bCs/>
          <w:noProof/>
          <w:sz w:val="72"/>
          <w:szCs w:val="72"/>
          <w:rtl/>
        </w:rPr>
        <w:t>מבקר המדינה</w:t>
      </w:r>
    </w:p>
    <w:p>
      <w:pPr>
        <w:spacing w:line="312" w:lineRule="auto"/>
        <w:ind w:left="0" w:right="0"/>
        <w:jc w:val="left"/>
        <w:rPr>
          <w:rFonts w:hint="cs"/>
          <w:rtl/>
          <w:lang w:eastAsia="he-IL"/>
        </w:rPr>
      </w:pPr>
    </w:p>
    <w:p>
      <w:pPr>
        <w:spacing w:line="312" w:lineRule="auto"/>
        <w:ind w:left="0" w:right="0"/>
        <w:jc w:val="left"/>
        <w:rPr>
          <w:rFonts w:hint="cs"/>
          <w:rtl/>
          <w:lang w:eastAsia="he-IL"/>
        </w:rPr>
      </w:pPr>
    </w:p>
    <w:p>
      <w:pPr>
        <w:spacing w:line="312" w:lineRule="auto"/>
        <w:ind w:left="0" w:right="0"/>
        <w:jc w:val="left"/>
        <w:rPr>
          <w:rFonts w:hint="cs"/>
          <w:lang w:eastAsia="he-IL"/>
        </w:rPr>
      </w:pPr>
    </w:p>
    <w:p>
      <w:pPr>
        <w:spacing w:line="500" w:lineRule="exact"/>
        <w:ind w:left="0" w:right="0"/>
        <w:jc w:val="center"/>
        <w:rPr>
          <w:rFonts w:hint="cs"/>
          <w:sz w:val="44"/>
          <w:szCs w:val="44"/>
          <w:rtl/>
          <w:lang w:eastAsia="he-IL"/>
        </w:rPr>
      </w:pPr>
      <w:r>
        <w:rPr>
          <w:rFonts w:hint="cs"/>
          <w:sz w:val="44"/>
          <w:szCs w:val="44"/>
          <w:rtl/>
          <w:lang w:eastAsia="he-IL"/>
        </w:rPr>
        <w:t xml:space="preserve">חוות דעת </w:t>
      </w:r>
    </w:p>
    <w:p>
      <w:pPr>
        <w:spacing w:line="500" w:lineRule="exact"/>
        <w:ind w:left="0" w:right="0"/>
        <w:jc w:val="center"/>
        <w:rPr>
          <w:rFonts w:hint="cs"/>
          <w:sz w:val="44"/>
          <w:szCs w:val="44"/>
          <w:rtl/>
          <w:lang w:eastAsia="he-IL"/>
        </w:rPr>
      </w:pPr>
    </w:p>
    <w:p>
      <w:pPr>
        <w:pStyle w:val="Heading9"/>
        <w:ind w:left="0" w:right="0"/>
        <w:jc w:val="center"/>
        <w:rPr>
          <w:rFonts w:ascii="Arial" w:hAnsi="Arial"/>
          <w:b w:val="0"/>
          <w:bCs w:val="0"/>
          <w:u w:val="single"/>
        </w:rPr>
      </w:pPr>
      <w:r>
        <w:rPr>
          <w:rFonts w:hint="cs"/>
          <w:rtl/>
        </w:rPr>
        <w:t>העברת</w:t>
      </w:r>
      <w:r>
        <w:rPr>
          <w:rtl/>
        </w:rPr>
        <w:t xml:space="preserve"> כספים לחברות </w:t>
      </w:r>
      <w:r>
        <w:rPr>
          <w:rFonts w:hint="cs"/>
          <w:rtl/>
        </w:rPr>
        <w:t xml:space="preserve">שהיו </w:t>
      </w:r>
      <w:r>
        <w:rPr>
          <w:rtl/>
        </w:rPr>
        <w:t>בבעלות שר הביטחון</w:t>
      </w:r>
      <w:r>
        <w:rPr>
          <w:rFonts w:hint="cs"/>
          <w:rtl/>
        </w:rPr>
        <w:t>,</w:t>
      </w:r>
      <w:r>
        <w:rPr>
          <w:rtl/>
        </w:rPr>
        <w:t xml:space="preserve"> אהוד ברק</w:t>
      </w:r>
      <w:r>
        <w:rPr>
          <w:rFonts w:ascii="Arial" w:hAnsi="Arial"/>
          <w:b w:val="0"/>
          <w:bCs w:val="0"/>
          <w:u w:val="single"/>
          <w:rtl/>
        </w:rPr>
        <w:t xml:space="preserve"> </w:t>
      </w:r>
    </w:p>
    <w:p>
      <w:pPr>
        <w:spacing w:line="360" w:lineRule="auto"/>
        <w:ind w:left="0" w:right="0"/>
        <w:jc w:val="center"/>
        <w:rPr>
          <w:sz w:val="28"/>
          <w:szCs w:val="28"/>
        </w:rPr>
      </w:pPr>
    </w:p>
    <w:p>
      <w:pPr>
        <w:spacing w:line="312" w:lineRule="auto"/>
        <w:ind w:left="0" w:right="0"/>
        <w:jc w:val="center"/>
        <w:rPr>
          <w:rFonts w:hint="cs"/>
          <w:sz w:val="26"/>
          <w:szCs w:val="26"/>
          <w:rtl/>
          <w:lang w:eastAsia="he-IL"/>
        </w:rPr>
      </w:pPr>
      <w:r>
        <w:rPr>
          <w:rFonts w:ascii="Arial" w:hAnsi="Arial" w:hint="cs"/>
          <w:b/>
          <w:bCs/>
          <w:sz w:val="26"/>
          <w:szCs w:val="26"/>
          <w:rtl/>
        </w:rPr>
        <w:t xml:space="preserve">לפי סעיף 21(א) לחוק </w:t>
      </w:r>
      <w:r>
        <w:rPr>
          <w:rFonts w:ascii="Arial" w:hAnsi="Arial"/>
          <w:b/>
          <w:bCs/>
          <w:sz w:val="26"/>
          <w:szCs w:val="26"/>
          <w:rtl/>
        </w:rPr>
        <w:t>מבקר המדינה</w:t>
      </w:r>
      <w:r>
        <w:rPr>
          <w:rFonts w:ascii="Arial" w:hAnsi="Arial" w:hint="cs"/>
          <w:b/>
          <w:bCs/>
          <w:sz w:val="26"/>
          <w:szCs w:val="26"/>
          <w:rtl/>
        </w:rPr>
        <w:t xml:space="preserve"> התשי"ח-1958 [נוסח משולב]</w:t>
      </w:r>
    </w:p>
    <w:p>
      <w:pPr>
        <w:spacing w:line="312" w:lineRule="auto"/>
        <w:ind w:left="0" w:right="0"/>
        <w:jc w:val="center"/>
        <w:rPr>
          <w:rFonts w:hint="cs"/>
          <w:sz w:val="32"/>
          <w:szCs w:val="32"/>
          <w:rtl/>
          <w:lang w:eastAsia="he-IL"/>
        </w:rPr>
      </w:pPr>
    </w:p>
    <w:p>
      <w:pPr>
        <w:spacing w:line="312" w:lineRule="auto"/>
        <w:ind w:left="0" w:right="0"/>
        <w:jc w:val="center"/>
        <w:rPr>
          <w:rFonts w:hint="cs"/>
          <w:sz w:val="32"/>
          <w:szCs w:val="32"/>
          <w:rtl/>
          <w:lang w:eastAsia="he-IL"/>
        </w:rPr>
      </w:pPr>
    </w:p>
    <w:p>
      <w:pPr>
        <w:spacing w:line="312" w:lineRule="auto"/>
        <w:ind w:left="0" w:right="0"/>
        <w:jc w:val="center"/>
        <w:rPr>
          <w:rFonts w:hint="cs"/>
          <w:sz w:val="32"/>
          <w:szCs w:val="32"/>
          <w:lang w:eastAsia="he-IL"/>
        </w:rPr>
      </w:pPr>
    </w:p>
    <w:p>
      <w:pPr>
        <w:spacing w:line="312" w:lineRule="auto"/>
        <w:ind w:left="0" w:right="0"/>
        <w:jc w:val="center"/>
        <w:rPr>
          <w:rFonts w:hint="cs"/>
          <w:sz w:val="32"/>
          <w:szCs w:val="32"/>
          <w:rtl/>
          <w:lang w:eastAsia="he-IL"/>
        </w:rPr>
      </w:pPr>
    </w:p>
    <w:p>
      <w:pPr>
        <w:spacing w:line="312" w:lineRule="auto"/>
        <w:ind w:left="0" w:right="0"/>
        <w:jc w:val="center"/>
        <w:rPr>
          <w:sz w:val="32"/>
          <w:szCs w:val="32"/>
          <w:lang w:eastAsia="he-IL"/>
        </w:rPr>
      </w:pPr>
    </w:p>
    <w:p>
      <w:pPr>
        <w:spacing w:line="312" w:lineRule="auto"/>
        <w:ind w:left="0" w:right="0"/>
        <w:jc w:val="center"/>
        <w:rPr>
          <w:rFonts w:hint="cs"/>
          <w:sz w:val="20"/>
          <w:rtl/>
          <w:lang w:eastAsia="he-IL"/>
        </w:rPr>
      </w:pPr>
      <w:r>
        <w:rPr>
          <w:sz w:val="20"/>
          <w:lang w:eastAsia="he-IL"/>
        </w:rPr>
        <w:pict>
          <v:shape id="_x0000_i1026" type="#_x0000_t75" style="width:67.43pt;height:37.54pt" o:allowoverlap="f" stroked="f">
            <v:imagedata r:id="rId8" o:title="logo-bl"/>
          </v:shape>
        </w:pict>
      </w:r>
    </w:p>
    <w:p>
      <w:pPr>
        <w:pStyle w:val="Heading7"/>
        <w:spacing w:before="0" w:after="0" w:line="380" w:lineRule="exact"/>
        <w:ind w:left="0" w:right="0"/>
        <w:jc w:val="center"/>
        <w:rPr>
          <w:rFonts w:ascii="Times New Roman" w:hAnsi="Times New Roman" w:cs="David" w:hint="cs"/>
          <w:b w:val="0"/>
          <w:bCs w:val="0"/>
          <w:sz w:val="36"/>
          <w:szCs w:val="36"/>
          <w:rtl/>
          <w:lang w:eastAsia="he-IL"/>
        </w:rPr>
      </w:pPr>
      <w:r>
        <w:rPr>
          <w:rFonts w:ascii="Times New Roman" w:hAnsi="Times New Roman" w:cs="David" w:hint="cs"/>
          <w:b w:val="0"/>
          <w:bCs w:val="0"/>
          <w:sz w:val="36"/>
          <w:szCs w:val="36"/>
          <w:rtl/>
          <w:lang w:eastAsia="he-IL"/>
        </w:rPr>
        <w:t>ירושלים, ניסן התשע"א, אפריל 2011</w:t>
      </w:r>
    </w:p>
    <w:p>
      <w:pPr>
        <w:ind w:left="0" w:right="0"/>
        <w:jc w:val="left"/>
        <w:rPr>
          <w:rFonts w:hint="cs"/>
          <w:rtl/>
          <w:lang w:eastAsia="he-IL"/>
        </w:rPr>
      </w:pPr>
    </w:p>
    <w:p>
      <w:pPr>
        <w:pStyle w:val="Heading7"/>
        <w:spacing w:before="0" w:after="0" w:line="380" w:lineRule="exact"/>
        <w:ind w:left="0" w:right="0"/>
        <w:jc w:val="center"/>
        <w:rPr>
          <w:rFonts w:ascii="Times New Roman" w:hAnsi="Times New Roman" w:cs="David"/>
          <w:b w:val="0"/>
          <w:bCs w:val="0"/>
          <w:sz w:val="36"/>
          <w:szCs w:val="36"/>
          <w:rtl/>
          <w:lang w:eastAsia="he-IL"/>
        </w:rPr>
        <w:sectPr>
          <w:pgSz w:w="11906" w:h="16838" w:code="9"/>
          <w:pgMar w:top="2098" w:right="2608" w:bottom="3686" w:left="2608" w:header="1531" w:footer="3969" w:gutter="0"/>
          <w:cols w:space="708"/>
          <w:titlePg/>
          <w:docGrid w:linePitch="360"/>
        </w:sectPr>
      </w:pPr>
    </w:p>
    <w:p>
      <w:pPr>
        <w:spacing w:after="120" w:line="230" w:lineRule="exact"/>
        <w:ind w:left="0" w:right="0"/>
        <w:jc w:val="left"/>
      </w:pPr>
    </w:p>
    <w:p>
      <w:pPr>
        <w:pStyle w:val="NAME"/>
        <w:ind w:left="0" w:right="0"/>
        <w:jc w:val="right"/>
        <w:sectPr>
          <w:headerReference w:type="first" r:id="rId9"/>
          <w:pgSz w:w="11906" w:h="16838" w:code="9"/>
          <w:pgMar w:top="1758" w:right="2552" w:bottom="3686" w:left="2552" w:header="1247" w:footer="709" w:gutter="0"/>
          <w:cols w:space="708"/>
          <w:titlePg/>
          <w:docGrid w:linePitch="360"/>
        </w:sectPr>
      </w:pPr>
    </w:p>
    <w:p>
      <w:pPr>
        <w:pStyle w:val="NAME"/>
        <w:ind w:left="0" w:right="0"/>
        <w:jc w:val="right"/>
        <w:rPr>
          <w:rFonts w:hint="cs"/>
          <w:rtl/>
        </w:rPr>
      </w:pPr>
      <w:r>
        <w:rPr>
          <w:rFonts w:hint="cs"/>
          <w:rtl/>
        </w:rPr>
        <w:t>חוות דעת</w:t>
      </w:r>
      <w:r>
        <w:rPr>
          <w:rtl/>
        </w:rPr>
        <w:br/>
      </w:r>
      <w:r>
        <w:rPr>
          <w:rFonts w:hint="cs"/>
          <w:rtl/>
        </w:rPr>
        <w:t>העברת</w:t>
      </w:r>
      <w:r>
        <w:rPr>
          <w:rtl/>
        </w:rPr>
        <w:t xml:space="preserve"> כספים לחברות </w:t>
      </w:r>
      <w:r>
        <w:rPr>
          <w:rFonts w:hint="cs"/>
          <w:rtl/>
        </w:rPr>
        <w:t xml:space="preserve">שהיו </w:t>
      </w:r>
      <w:r>
        <w:rPr>
          <w:rtl/>
        </w:rPr>
        <w:br/>
        <w:t>בבעלות שר הביטחון</w:t>
      </w:r>
      <w:r>
        <w:rPr>
          <w:rFonts w:hint="cs"/>
          <w:rtl/>
        </w:rPr>
        <w:t>,</w:t>
      </w:r>
      <w:r>
        <w:rPr>
          <w:rtl/>
        </w:rPr>
        <w:t xml:space="preserve"> אהוד ברק</w:t>
      </w:r>
    </w:p>
    <w:p>
      <w:pPr>
        <w:pStyle w:val="takzir"/>
        <w:ind w:left="0" w:right="0"/>
        <w:jc w:val="both"/>
        <w:rPr>
          <w:b w:val="0"/>
          <w:bCs w:val="0"/>
        </w:rPr>
      </w:pPr>
    </w:p>
    <w:p>
      <w:pPr>
        <w:pStyle w:val="takzir"/>
        <w:ind w:left="0" w:right="0"/>
        <w:jc w:val="both"/>
        <w:rPr>
          <w:b w:val="0"/>
          <w:bCs w:val="0"/>
        </w:rPr>
      </w:pPr>
    </w:p>
    <w:p>
      <w:pPr>
        <w:spacing w:after="120" w:line="230" w:lineRule="exact"/>
        <w:ind w:left="0" w:right="0"/>
        <w:jc w:val="both"/>
        <w:rPr>
          <w:rFonts w:cs="FrankRuehl" w:hint="cs"/>
          <w:sz w:val="20"/>
          <w:szCs w:val="22"/>
          <w:rtl/>
        </w:rPr>
      </w:pPr>
      <w:r>
        <w:rPr>
          <w:rFonts w:cs="FrankRuehl" w:hint="cs"/>
          <w:sz w:val="20"/>
          <w:szCs w:val="22"/>
          <w:rtl/>
        </w:rPr>
        <w:t xml:space="preserve">בהתאם להחלטת הוועדה לענייני ביקורת המדינה, מוגשת בזאת חוות דעת בנדון,לפי סעיף 21 לחוק מבקר המדינה התשי"ח-1958 [נוסח משולב]. </w:t>
      </w:r>
    </w:p>
    <w:p>
      <w:pPr>
        <w:spacing w:after="120" w:line="230" w:lineRule="exact"/>
        <w:ind w:left="0" w:right="0"/>
        <w:jc w:val="both"/>
        <w:rPr>
          <w:rFonts w:cs="FrankRuehl" w:hint="cs"/>
          <w:sz w:val="20"/>
          <w:szCs w:val="22"/>
          <w:rtl/>
        </w:rPr>
      </w:pPr>
      <w:r>
        <w:rPr>
          <w:rFonts w:cs="FrankRuehl" w:hint="cs"/>
          <w:sz w:val="20"/>
          <w:szCs w:val="22"/>
          <w:rtl/>
        </w:rPr>
        <w:t xml:space="preserve">סעיף 21(א) לחוק קובע כי המבקר חייב בהכנת חוות דעת בכל עניין שבתחום תפקידיו, אם יתבקש לכך מאת הכנסת, מאת הוועדה לביקורת המדינה של הכנסת או מאת הממשלה. חוות דעת כאמור תונח על שולחן הכנסת ותפורסם במועד שיקבע המבקר. סעיף 21(ב) לחוק קובע כי על אף האמור בסעיף קטן (א) אם הכין המבקר חוות דעת כאמור באותו סעיף קטן בימי פגרת הכנסת , תפורסם חוות הדעת האמורה במועד שיקבע המבקר, מוקדם ככל האפשר, ותונח על שולחן הכנסת לא יאוחר מתום השבוע הראשון של הכנס הקרוב של הכנסת.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מבוא</w:t>
      </w:r>
    </w:p>
    <w:p>
      <w:pPr>
        <w:spacing w:after="120" w:line="230" w:lineRule="exact"/>
        <w:ind w:left="0" w:right="0"/>
        <w:jc w:val="both"/>
        <w:rPr>
          <w:rFonts w:cs="FrankRuehl" w:hint="cs"/>
          <w:sz w:val="20"/>
          <w:szCs w:val="22"/>
          <w:rtl/>
        </w:rPr>
      </w:pPr>
      <w:r>
        <w:rPr>
          <w:rFonts w:cs="FrankRuehl" w:hint="cs"/>
          <w:sz w:val="20"/>
          <w:szCs w:val="22"/>
          <w:rtl/>
        </w:rPr>
        <w:t>הכלל אשר לפיו אישי ציבור, ובכללם שרים וסגני שרים, חייבים להקפיד שלא ייווצר ניגוד ענייני</w:t>
      </w:r>
      <w:r>
        <w:rPr>
          <w:rFonts w:cs="FrankRuehl" w:hint="eastAsia"/>
          <w:sz w:val="20"/>
          <w:szCs w:val="22"/>
          <w:rtl/>
        </w:rPr>
        <w:t>ם</w:t>
      </w:r>
      <w:r>
        <w:rPr>
          <w:rFonts w:cs="FrankRuehl" w:hint="cs"/>
          <w:sz w:val="20"/>
          <w:szCs w:val="22"/>
          <w:rtl/>
        </w:rPr>
        <w:t xml:space="preserve"> - לרבות </w:t>
      </w:r>
      <w:r>
        <w:rPr>
          <w:rFonts w:cs="FrankRuehl" w:hint="cs"/>
          <w:b/>
          <w:bCs/>
          <w:sz w:val="20"/>
          <w:szCs w:val="22"/>
          <w:rtl/>
        </w:rPr>
        <w:t>חשש</w:t>
      </w:r>
      <w:r>
        <w:rPr>
          <w:rFonts w:cs="FrankRuehl" w:hint="cs"/>
          <w:sz w:val="20"/>
          <w:szCs w:val="22"/>
          <w:rtl/>
        </w:rPr>
        <w:t xml:space="preserve"> לניגוד עניינים - בין תפקידיהם לבין ענייניהם האישיים הוא כלל יסוד במינהל הציבורי. במטרה לגבש נורמות ברורות מונתה בשנת 1977 ועדה ציבורית שעסקה בסוגיית מניעת ניגוד עניינים של שרים וסגני שרים. בכתב המינוי של הוועדה, אשר הוקמה על פי החלטת ממשלה מיום 3.7.77 ובראשה עמד כב' השופט שלמה אשר ז"ל (להלן: ועדת אשר), נקבע, בין היתר, כי היא "... תמליץ על כללים למניעת ניגוד עניינים העלול להתעורר בין כהונתם של שרים וסגני שרים ופעילותם בתפקידיהם הממלכתיים לבין זיקתם </w:t>
      </w:r>
      <w:r>
        <w:rPr>
          <w:rFonts w:cs="FrankRuehl"/>
          <w:sz w:val="20"/>
          <w:szCs w:val="22"/>
          <w:rtl/>
        </w:rPr>
        <w:t>-</w:t>
      </w:r>
      <w:r>
        <w:rPr>
          <w:rFonts w:cs="FrankRuehl" w:hint="cs"/>
          <w:sz w:val="20"/>
          <w:szCs w:val="22"/>
          <w:rtl/>
        </w:rPr>
        <w:t xml:space="preserve"> במישרין או בעקיפין </w:t>
      </w:r>
      <w:r>
        <w:rPr>
          <w:rFonts w:cs="FrankRuehl"/>
          <w:sz w:val="20"/>
          <w:szCs w:val="22"/>
          <w:rtl/>
        </w:rPr>
        <w:t>-</w:t>
      </w:r>
      <w:r>
        <w:rPr>
          <w:rFonts w:cs="FrankRuehl" w:hint="cs"/>
          <w:sz w:val="20"/>
          <w:szCs w:val="22"/>
          <w:rtl/>
        </w:rPr>
        <w:t xml:space="preserve"> לעסק, לרכוש, למקצוע או לעיסוק או לתפקיד כלשהם, בין למטרת רווחים ובין שלא למטרת רווחים".</w:t>
      </w:r>
    </w:p>
    <w:p>
      <w:pPr>
        <w:spacing w:after="120" w:line="230" w:lineRule="exact"/>
        <w:ind w:left="0" w:right="0"/>
        <w:jc w:val="both"/>
        <w:rPr>
          <w:rFonts w:cs="FrankRuehl" w:hint="cs"/>
          <w:sz w:val="20"/>
          <w:szCs w:val="22"/>
          <w:rtl/>
        </w:rPr>
      </w:pPr>
      <w:r>
        <w:rPr>
          <w:rFonts w:cs="FrankRuehl" w:hint="cs"/>
          <w:sz w:val="20"/>
          <w:szCs w:val="22"/>
          <w:rtl/>
        </w:rPr>
        <w:t xml:space="preserve">ועדת אשר בחנה את המציאות בישראל גם בהשוואה לחוקים ולמצב הנוהג במדינות אחרות; שני עקרונות היו נר לרגליה: הצורך בשמירה קפדנית על טוהר המידות של שרים וסגני שרים והרצון לאפשר את כהונתם של שרים בעלי הכשרה מתאימה וניסיון מגוון בתחומי הפעולה של המשרדים שנבחרו לעמוד בראשם. </w:t>
      </w:r>
    </w:p>
    <w:p>
      <w:pPr>
        <w:pStyle w:val="Title"/>
        <w:widowControl/>
        <w:spacing w:after="120" w:line="230" w:lineRule="exact"/>
        <w:ind w:left="0" w:right="0"/>
        <w:jc w:val="both"/>
        <w:rPr>
          <w:rFonts w:cs="FrankRuehl"/>
          <w:b w:val="0"/>
          <w:bCs w:val="0"/>
          <w:sz w:val="20"/>
          <w:szCs w:val="22"/>
          <w:u w:val="none"/>
          <w:rtl/>
        </w:rPr>
      </w:pPr>
      <w:r>
        <w:rPr>
          <w:rFonts w:cs="FrankRuehl" w:hint="cs"/>
          <w:b w:val="0"/>
          <w:bCs w:val="0"/>
          <w:sz w:val="20"/>
          <w:szCs w:val="22"/>
          <w:u w:val="none"/>
          <w:rtl/>
        </w:rPr>
        <w:t xml:space="preserve">דוח ועדת אשר קבע את המסגרת הנורמטיבית להגנה על עקרון היסוד </w:t>
      </w:r>
      <w:r>
        <w:rPr>
          <w:rFonts w:cs="FrankRuehl" w:hint="cs"/>
          <w:sz w:val="20"/>
          <w:szCs w:val="22"/>
          <w:u w:val="none"/>
          <w:rtl/>
        </w:rPr>
        <w:t>למניעת ניגוד עניינים</w:t>
      </w:r>
      <w:r>
        <w:rPr>
          <w:rFonts w:cs="FrankRuehl" w:hint="cs"/>
          <w:b w:val="0"/>
          <w:bCs w:val="0"/>
          <w:sz w:val="20"/>
          <w:szCs w:val="22"/>
          <w:u w:val="none"/>
          <w:rtl/>
        </w:rPr>
        <w:t xml:space="preserve"> (כאמור, לרבות חשש לניגוד עניינים) בקשר למילוי תפקידיהם של השרים וסגני השרים בהמליצו </w:t>
      </w:r>
    </w:p>
    <w:p>
      <w:pPr>
        <w:pStyle w:val="Title"/>
        <w:widowControl/>
        <w:spacing w:after="120" w:line="230" w:lineRule="exact"/>
        <w:ind w:left="0" w:right="0"/>
        <w:jc w:val="both"/>
        <w:rPr>
          <w:rFonts w:cs="FrankRuehl" w:hint="cs"/>
          <w:b w:val="0"/>
          <w:bCs w:val="0"/>
          <w:sz w:val="20"/>
          <w:szCs w:val="22"/>
          <w:u w:val="none"/>
          <w:rtl/>
        </w:rPr>
      </w:pPr>
      <w:r>
        <w:rPr>
          <w:rFonts w:cs="FrankRuehl"/>
          <w:b w:val="0"/>
          <w:bCs w:val="0"/>
          <w:sz w:val="20"/>
          <w:szCs w:val="22"/>
          <w:u w:val="none"/>
          <w:rtl/>
        </w:rPr>
        <w:br w:type="page"/>
      </w:r>
      <w:r>
        <w:rPr>
          <w:rFonts w:cs="FrankRuehl" w:hint="cs"/>
          <w:b w:val="0"/>
          <w:bCs w:val="0"/>
          <w:sz w:val="20"/>
          <w:szCs w:val="22"/>
          <w:u w:val="none"/>
          <w:rtl/>
        </w:rPr>
        <w:t>על כללים למניעת ניגוד עניינים (להלן: הכללים), שקיבלו תוקף מחייב בהחלטת הממשלה ותוקנו במשך השנים בהחלטות ממשלה נוספות</w:t>
      </w:r>
      <w:r>
        <w:rPr>
          <w:rStyle w:val="FootnoteReference"/>
          <w:rFonts w:cs="FrankRuehl"/>
          <w:b/>
          <w:bCs/>
          <w:sz w:val="20"/>
          <w:szCs w:val="22"/>
          <w:u w:val="none"/>
          <w:rtl/>
        </w:rPr>
        <w:footnoteReference w:id="2"/>
      </w:r>
      <w:r>
        <w:rPr>
          <w:rFonts w:cs="FrankRuehl" w:hint="cs"/>
          <w:b w:val="0"/>
          <w:bCs w:val="0"/>
          <w:sz w:val="20"/>
          <w:szCs w:val="22"/>
          <w:u w:val="none"/>
          <w:rtl/>
        </w:rPr>
        <w:t>.</w:t>
      </w:r>
    </w:p>
    <w:p>
      <w:pPr>
        <w:spacing w:after="120" w:line="230" w:lineRule="exact"/>
        <w:ind w:left="0" w:right="0"/>
        <w:jc w:val="both"/>
        <w:rPr>
          <w:rFonts w:cs="FrankRuehl" w:hint="cs"/>
          <w:sz w:val="20"/>
          <w:szCs w:val="22"/>
          <w:rtl/>
        </w:rPr>
      </w:pPr>
      <w:r>
        <w:rPr>
          <w:rFonts w:cs="FrankRuehl" w:hint="cs"/>
          <w:sz w:val="20"/>
          <w:szCs w:val="22"/>
          <w:rtl/>
        </w:rPr>
        <w:t>הוועדה למתן היתרים שממנה מבקר המדינה מכוח הכללים</w:t>
      </w:r>
      <w:r>
        <w:rPr>
          <w:rStyle w:val="FootnoteReference"/>
          <w:rFonts w:cs="FrankRuehl"/>
          <w:sz w:val="20"/>
          <w:szCs w:val="22"/>
          <w:rtl/>
        </w:rPr>
        <w:footnoteReference w:id="3"/>
      </w:r>
      <w:r>
        <w:rPr>
          <w:rFonts w:cs="FrankRuehl" w:hint="cs"/>
          <w:sz w:val="20"/>
          <w:szCs w:val="22"/>
          <w:rtl/>
        </w:rPr>
        <w:t xml:space="preserve"> (להלן: הוועדה), מוסמכת לדון בבקשה לקבלת היתר אישי לאי-קיום כלל מהכללים. יושב ראש הוועדה הינו שופט בדימוס וחבריה נציגי ציבור משפטנים ותיקים ומנוסים, שמילאו וממלאים תפקידים מרכזיים בשירות הציבורי ובתחומים משפטים וציבוריים. השר הנוגע בדבר או מי שמועמד להיות שר יכול לפנות לוועדה בבקשה לקבל היתר</w:t>
      </w:r>
      <w:r>
        <w:rPr>
          <w:rStyle w:val="FootnoteReference"/>
          <w:rFonts w:cs="FrankRuehl"/>
          <w:sz w:val="20"/>
          <w:szCs w:val="22"/>
          <w:rtl/>
        </w:rPr>
        <w:footnoteReference w:id="4"/>
      </w:r>
      <w:r>
        <w:rPr>
          <w:rFonts w:cs="FrankRuehl" w:hint="cs"/>
          <w:sz w:val="20"/>
          <w:szCs w:val="22"/>
          <w:rtl/>
        </w:rPr>
        <w:t xml:space="preserve">. על פי הכללים, הוועדה רשאית </w:t>
      </w:r>
      <w:r>
        <w:rPr>
          <w:rFonts w:cs="FrankRuehl" w:hint="eastAsia"/>
          <w:sz w:val="20"/>
          <w:szCs w:val="22"/>
          <w:rtl/>
        </w:rPr>
        <w:t>לסרב</w:t>
      </w:r>
      <w:r>
        <w:rPr>
          <w:rFonts w:cs="FrankRuehl"/>
          <w:sz w:val="20"/>
          <w:szCs w:val="22"/>
          <w:rtl/>
        </w:rPr>
        <w:t xml:space="preserve"> </w:t>
      </w:r>
      <w:r>
        <w:rPr>
          <w:rFonts w:cs="FrankRuehl" w:hint="eastAsia"/>
          <w:sz w:val="20"/>
          <w:szCs w:val="22"/>
          <w:rtl/>
        </w:rPr>
        <w:t>למתן</w:t>
      </w:r>
      <w:r>
        <w:rPr>
          <w:rFonts w:cs="FrankRuehl"/>
          <w:sz w:val="20"/>
          <w:szCs w:val="22"/>
          <w:rtl/>
        </w:rPr>
        <w:t xml:space="preserve"> </w:t>
      </w:r>
      <w:r>
        <w:rPr>
          <w:rFonts w:cs="FrankRuehl" w:hint="eastAsia"/>
          <w:sz w:val="20"/>
          <w:szCs w:val="22"/>
          <w:rtl/>
        </w:rPr>
        <w:t>היתר</w:t>
      </w:r>
      <w:r>
        <w:rPr>
          <w:rFonts w:cs="FrankRuehl"/>
          <w:sz w:val="20"/>
          <w:szCs w:val="22"/>
          <w:rtl/>
        </w:rPr>
        <w:t xml:space="preserve">, </w:t>
      </w:r>
      <w:r>
        <w:rPr>
          <w:rFonts w:cs="FrankRuehl" w:hint="eastAsia"/>
          <w:sz w:val="20"/>
          <w:szCs w:val="22"/>
          <w:rtl/>
        </w:rPr>
        <w:t>לת</w:t>
      </w:r>
      <w:r>
        <w:rPr>
          <w:rFonts w:cs="FrankRuehl" w:hint="cs"/>
          <w:sz w:val="20"/>
          <w:szCs w:val="22"/>
          <w:rtl/>
        </w:rPr>
        <w:t>י</w:t>
      </w:r>
      <w:r>
        <w:rPr>
          <w:rFonts w:cs="FrankRuehl" w:hint="eastAsia"/>
          <w:sz w:val="20"/>
          <w:szCs w:val="22"/>
          <w:rtl/>
        </w:rPr>
        <w:t>תו</w:t>
      </w:r>
      <w:r>
        <w:rPr>
          <w:rFonts w:cs="FrankRuehl"/>
          <w:sz w:val="20"/>
          <w:szCs w:val="22"/>
          <w:rtl/>
        </w:rPr>
        <w:t xml:space="preserve"> </w:t>
      </w:r>
      <w:r>
        <w:rPr>
          <w:rFonts w:cs="FrankRuehl" w:hint="cs"/>
          <w:sz w:val="20"/>
          <w:szCs w:val="22"/>
          <w:rtl/>
        </w:rPr>
        <w:t xml:space="preserve">בלי תנאי </w:t>
      </w:r>
      <w:r>
        <w:rPr>
          <w:rFonts w:cs="FrankRuehl" w:hint="eastAsia"/>
          <w:sz w:val="20"/>
          <w:szCs w:val="22"/>
          <w:rtl/>
        </w:rPr>
        <w:t>או</w:t>
      </w:r>
      <w:r>
        <w:rPr>
          <w:rFonts w:cs="FrankRuehl"/>
          <w:sz w:val="20"/>
          <w:szCs w:val="22"/>
          <w:rtl/>
        </w:rPr>
        <w:t xml:space="preserve"> </w:t>
      </w:r>
      <w:r>
        <w:rPr>
          <w:rFonts w:cs="FrankRuehl" w:hint="eastAsia"/>
          <w:sz w:val="20"/>
          <w:szCs w:val="22"/>
          <w:rtl/>
        </w:rPr>
        <w:t>לת</w:t>
      </w:r>
      <w:r>
        <w:rPr>
          <w:rFonts w:cs="FrankRuehl" w:hint="cs"/>
          <w:sz w:val="20"/>
          <w:szCs w:val="22"/>
          <w:rtl/>
        </w:rPr>
        <w:t>י</w:t>
      </w:r>
      <w:r>
        <w:rPr>
          <w:rFonts w:cs="FrankRuehl" w:hint="eastAsia"/>
          <w:sz w:val="20"/>
          <w:szCs w:val="22"/>
          <w:rtl/>
        </w:rPr>
        <w:t>תו</w:t>
      </w:r>
      <w:r>
        <w:rPr>
          <w:rFonts w:cs="FrankRuehl"/>
          <w:sz w:val="20"/>
          <w:szCs w:val="22"/>
          <w:rtl/>
        </w:rPr>
        <w:t xml:space="preserve"> </w:t>
      </w:r>
      <w:r>
        <w:rPr>
          <w:rFonts w:cs="FrankRuehl" w:hint="eastAsia"/>
          <w:sz w:val="20"/>
          <w:szCs w:val="22"/>
          <w:rtl/>
        </w:rPr>
        <w:t>בתנאים</w:t>
      </w:r>
      <w:r>
        <w:rPr>
          <w:rFonts w:cs="FrankRuehl"/>
          <w:sz w:val="20"/>
          <w:szCs w:val="22"/>
          <w:rtl/>
        </w:rPr>
        <w:t xml:space="preserve">, </w:t>
      </w:r>
      <w:r>
        <w:rPr>
          <w:rFonts w:cs="FrankRuehl" w:hint="eastAsia"/>
          <w:sz w:val="20"/>
          <w:szCs w:val="22"/>
          <w:rtl/>
        </w:rPr>
        <w:t>אם</w:t>
      </w:r>
      <w:r>
        <w:rPr>
          <w:rFonts w:cs="FrankRuehl"/>
          <w:sz w:val="20"/>
          <w:szCs w:val="22"/>
          <w:rtl/>
        </w:rPr>
        <w:t xml:space="preserve"> </w:t>
      </w:r>
      <w:r>
        <w:rPr>
          <w:rFonts w:cs="FrankRuehl" w:hint="eastAsia"/>
          <w:sz w:val="20"/>
          <w:szCs w:val="22"/>
          <w:rtl/>
        </w:rPr>
        <w:t>הדבר</w:t>
      </w:r>
      <w:r>
        <w:rPr>
          <w:rFonts w:cs="FrankRuehl"/>
          <w:sz w:val="20"/>
          <w:szCs w:val="22"/>
          <w:rtl/>
        </w:rPr>
        <w:t xml:space="preserve"> </w:t>
      </w:r>
      <w:r>
        <w:rPr>
          <w:rFonts w:cs="FrankRuehl" w:hint="eastAsia"/>
          <w:sz w:val="20"/>
          <w:szCs w:val="22"/>
          <w:rtl/>
        </w:rPr>
        <w:t>נראה</w:t>
      </w:r>
      <w:r>
        <w:rPr>
          <w:rFonts w:cs="FrankRuehl"/>
          <w:sz w:val="20"/>
          <w:szCs w:val="22"/>
          <w:rtl/>
        </w:rPr>
        <w:t xml:space="preserve"> </w:t>
      </w:r>
      <w:r>
        <w:rPr>
          <w:rFonts w:cs="FrankRuehl" w:hint="eastAsia"/>
          <w:sz w:val="20"/>
          <w:szCs w:val="22"/>
          <w:rtl/>
        </w:rPr>
        <w:t>לה</w:t>
      </w:r>
      <w:r>
        <w:rPr>
          <w:rFonts w:cs="FrankRuehl"/>
          <w:sz w:val="20"/>
          <w:szCs w:val="22"/>
          <w:rtl/>
        </w:rPr>
        <w:t xml:space="preserve"> </w:t>
      </w:r>
      <w:r>
        <w:rPr>
          <w:rFonts w:cs="FrankRuehl" w:hint="eastAsia"/>
          <w:sz w:val="20"/>
          <w:szCs w:val="22"/>
          <w:rtl/>
        </w:rPr>
        <w:t>מוצדק</w:t>
      </w:r>
      <w:r>
        <w:rPr>
          <w:rFonts w:cs="FrankRuehl"/>
          <w:sz w:val="20"/>
          <w:szCs w:val="22"/>
          <w:rtl/>
        </w:rPr>
        <w:t xml:space="preserve"> </w:t>
      </w:r>
      <w:r>
        <w:rPr>
          <w:rFonts w:cs="FrankRuehl" w:hint="eastAsia"/>
          <w:sz w:val="20"/>
          <w:szCs w:val="22"/>
          <w:rtl/>
        </w:rPr>
        <w:t>בנסיבות</w:t>
      </w:r>
      <w:r>
        <w:rPr>
          <w:rFonts w:cs="FrankRuehl"/>
          <w:sz w:val="20"/>
          <w:szCs w:val="22"/>
          <w:rtl/>
        </w:rPr>
        <w:t xml:space="preserve"> </w:t>
      </w:r>
      <w:r>
        <w:rPr>
          <w:rFonts w:cs="FrankRuehl" w:hint="eastAsia"/>
          <w:sz w:val="20"/>
          <w:szCs w:val="22"/>
          <w:rtl/>
        </w:rPr>
        <w:t>המקרה</w:t>
      </w:r>
      <w:r>
        <w:rPr>
          <w:rFonts w:cs="FrankRuehl"/>
          <w:sz w:val="20"/>
          <w:szCs w:val="22"/>
          <w:rtl/>
        </w:rPr>
        <w:t xml:space="preserve"> </w:t>
      </w:r>
      <w:r>
        <w:rPr>
          <w:rFonts w:cs="FrankRuehl" w:hint="eastAsia"/>
          <w:sz w:val="20"/>
          <w:szCs w:val="22"/>
          <w:rtl/>
        </w:rPr>
        <w:t>ותקין</w:t>
      </w:r>
      <w:r>
        <w:rPr>
          <w:rFonts w:cs="FrankRuehl"/>
          <w:sz w:val="20"/>
          <w:szCs w:val="22"/>
          <w:rtl/>
        </w:rPr>
        <w:t xml:space="preserve"> </w:t>
      </w:r>
      <w:r>
        <w:rPr>
          <w:rFonts w:cs="FrankRuehl" w:hint="eastAsia"/>
          <w:sz w:val="20"/>
          <w:szCs w:val="22"/>
          <w:rtl/>
        </w:rPr>
        <w:t>מבחינה</w:t>
      </w:r>
      <w:r>
        <w:rPr>
          <w:rFonts w:cs="FrankRuehl"/>
          <w:sz w:val="20"/>
          <w:szCs w:val="22"/>
          <w:rtl/>
        </w:rPr>
        <w:t xml:space="preserve"> </w:t>
      </w:r>
      <w:r>
        <w:rPr>
          <w:rFonts w:cs="FrankRuehl" w:hint="eastAsia"/>
          <w:sz w:val="20"/>
          <w:szCs w:val="22"/>
          <w:rtl/>
        </w:rPr>
        <w:t>ציבורית</w:t>
      </w:r>
      <w:r>
        <w:rPr>
          <w:rStyle w:val="FootnoteReference"/>
          <w:rFonts w:cs="FrankRuehl"/>
          <w:sz w:val="20"/>
          <w:szCs w:val="22"/>
          <w:rtl/>
        </w:rPr>
        <w:footnoteReference w:id="5"/>
      </w:r>
      <w:r>
        <w:rPr>
          <w:rFonts w:cs="FrankRuehl"/>
          <w:sz w:val="20"/>
          <w:szCs w:val="22"/>
          <w:rtl/>
        </w:rPr>
        <w:t>.</w:t>
      </w:r>
      <w:r>
        <w:rPr>
          <w:rFonts w:cs="FrankRuehl" w:hint="cs"/>
          <w:sz w:val="20"/>
          <w:szCs w:val="22"/>
          <w:rtl/>
        </w:rPr>
        <w:t xml:space="preserve"> </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המסגרת הנורמטיבית</w:t>
      </w:r>
    </w:p>
    <w:p>
      <w:pPr>
        <w:spacing w:after="120" w:line="230" w:lineRule="exact"/>
        <w:ind w:left="0" w:right="0"/>
        <w:jc w:val="both"/>
        <w:rPr>
          <w:rFonts w:cs="FrankRuehl" w:hint="cs"/>
          <w:sz w:val="20"/>
          <w:szCs w:val="22"/>
          <w:rtl/>
        </w:rPr>
      </w:pPr>
      <w:r>
        <w:rPr>
          <w:rFonts w:cs="FrankRuehl" w:hint="cs"/>
          <w:sz w:val="20"/>
          <w:szCs w:val="22"/>
          <w:rtl/>
        </w:rPr>
        <w:t>כאמור, תכלית הכללים היא לנתק את השר מפעילויותיו טרם כניסתו לכהונה וליצור חיץ בינו ובין ענייניו הכספיים. לפי כלל 1 לכללים "עניי</w:t>
      </w:r>
      <w:r>
        <w:rPr>
          <w:rFonts w:cs="FrankRuehl" w:hint="eastAsia"/>
          <w:sz w:val="20"/>
          <w:szCs w:val="22"/>
          <w:rtl/>
        </w:rPr>
        <w:t>ן</w:t>
      </w:r>
      <w:r>
        <w:rPr>
          <w:rFonts w:cs="FrankRuehl" w:hint="cs"/>
          <w:sz w:val="20"/>
          <w:szCs w:val="22"/>
          <w:rtl/>
        </w:rPr>
        <w:t xml:space="preserve"> אישי" של שר מוגדר "לרבות עניי</w:t>
      </w:r>
      <w:r>
        <w:rPr>
          <w:rFonts w:cs="FrankRuehl" w:hint="eastAsia"/>
          <w:sz w:val="20"/>
          <w:szCs w:val="22"/>
          <w:rtl/>
        </w:rPr>
        <w:t>ן</w:t>
      </w:r>
      <w:r>
        <w:rPr>
          <w:rFonts w:cs="FrankRuehl" w:hint="cs"/>
          <w:sz w:val="20"/>
          <w:szCs w:val="22"/>
          <w:rtl/>
        </w:rPr>
        <w:t xml:space="preserve"> אישי של קרוב של השר", כן נקבע כי קרוב כולל בין היתר בן-זוג וצאצא. בכלל 4 נקבע כי "מחובתו של השר לנהל את ענייני</w:t>
      </w:r>
      <w:r>
        <w:rPr>
          <w:rFonts w:cs="FrankRuehl" w:hint="eastAsia"/>
          <w:sz w:val="20"/>
          <w:szCs w:val="22"/>
          <w:rtl/>
        </w:rPr>
        <w:t>ו</w:t>
      </w:r>
      <w:r>
        <w:rPr>
          <w:rFonts w:cs="FrankRuehl" w:hint="cs"/>
          <w:sz w:val="20"/>
          <w:szCs w:val="22"/>
          <w:rtl/>
        </w:rPr>
        <w:t xml:space="preserve"> כך שלא ייוצר ולא יהיה ניגוד ענייני</w:t>
      </w:r>
      <w:r>
        <w:rPr>
          <w:rFonts w:cs="FrankRuehl" w:hint="eastAsia"/>
          <w:sz w:val="20"/>
          <w:szCs w:val="22"/>
          <w:rtl/>
        </w:rPr>
        <w:t>ם</w:t>
      </w:r>
      <w:r>
        <w:rPr>
          <w:rFonts w:cs="FrankRuehl" w:hint="cs"/>
          <w:sz w:val="20"/>
          <w:szCs w:val="22"/>
          <w:rtl/>
        </w:rPr>
        <w:t xml:space="preserve"> בין מילוי תפקידו כשר לבין ענייני</w:t>
      </w:r>
      <w:r>
        <w:rPr>
          <w:rFonts w:cs="FrankRuehl" w:hint="eastAsia"/>
          <w:sz w:val="20"/>
          <w:szCs w:val="22"/>
          <w:rtl/>
        </w:rPr>
        <w:t>ו</w:t>
      </w:r>
      <w:r>
        <w:rPr>
          <w:rFonts w:cs="FrankRuehl" w:hint="cs"/>
          <w:sz w:val="20"/>
          <w:szCs w:val="22"/>
          <w:rtl/>
        </w:rPr>
        <w:t xml:space="preserve"> האישיים". בכלל 5 לכללים נקבע, בין היתר, כי "שר יקדיש את כל זמנו ומרצו למילוי תפקידו כשר" ו"לא יעסוק בכל עסק, ולא יחזיק בכל משרה זולת משרת השר". כלל 6 מונה רשימה של הוראות מיוחדות שמטרתן איסור על הימצאות במצבים המעוררים חשש לניגוד עניינים בין כהונת השר לבין אינטרס אחר שלו. ההוראה המרכזית בכלל זה היא האיסור על כהונה בגוף שמטרתו השגת רווחים.</w:t>
      </w:r>
    </w:p>
    <w:p>
      <w:pPr>
        <w:spacing w:after="120" w:line="230" w:lineRule="exact"/>
        <w:ind w:left="0" w:right="0"/>
        <w:jc w:val="both"/>
        <w:rPr>
          <w:rFonts w:cs="FrankRuehl" w:hint="cs"/>
          <w:sz w:val="20"/>
          <w:szCs w:val="22"/>
          <w:rtl/>
        </w:rPr>
      </w:pPr>
      <w:r>
        <w:rPr>
          <w:rFonts w:cs="FrankRuehl" w:hint="cs"/>
          <w:sz w:val="20"/>
          <w:szCs w:val="22"/>
          <w:rtl/>
        </w:rPr>
        <w:t xml:space="preserve">כלל 13, העוסק בחובות השר עם כניסתו לתפקיד, מחייב </w:t>
      </w:r>
      <w:r>
        <w:rPr>
          <w:rFonts w:cs="FrankRuehl" w:hint="eastAsia"/>
          <w:sz w:val="20"/>
          <w:szCs w:val="22"/>
          <w:rtl/>
        </w:rPr>
        <w:t>שר</w:t>
      </w:r>
      <w:r>
        <w:rPr>
          <w:rFonts w:cs="FrankRuehl"/>
          <w:sz w:val="20"/>
          <w:szCs w:val="22"/>
          <w:rtl/>
        </w:rPr>
        <w:t xml:space="preserve"> </w:t>
      </w:r>
      <w:r>
        <w:rPr>
          <w:rFonts w:cs="FrankRuehl" w:hint="eastAsia"/>
          <w:sz w:val="20"/>
          <w:szCs w:val="22"/>
          <w:rtl/>
        </w:rPr>
        <w:t>שהוא</w:t>
      </w:r>
      <w:r>
        <w:rPr>
          <w:rFonts w:cs="FrankRuehl"/>
          <w:sz w:val="20"/>
          <w:szCs w:val="22"/>
          <w:rtl/>
        </w:rPr>
        <w:t xml:space="preserve"> </w:t>
      </w:r>
      <w:r>
        <w:rPr>
          <w:rFonts w:cs="FrankRuehl" w:hint="eastAsia"/>
          <w:sz w:val="20"/>
          <w:szCs w:val="22"/>
          <w:rtl/>
        </w:rPr>
        <w:t>בעל</w:t>
      </w:r>
      <w:r>
        <w:rPr>
          <w:rFonts w:cs="FrankRuehl"/>
          <w:sz w:val="20"/>
          <w:szCs w:val="22"/>
          <w:rtl/>
        </w:rPr>
        <w:t xml:space="preserve"> </w:t>
      </w:r>
      <w:r>
        <w:rPr>
          <w:rFonts w:cs="FrankRuehl" w:hint="eastAsia"/>
          <w:sz w:val="20"/>
          <w:szCs w:val="22"/>
          <w:rtl/>
        </w:rPr>
        <w:t>זכויות</w:t>
      </w:r>
      <w:r>
        <w:rPr>
          <w:rFonts w:cs="FrankRuehl"/>
          <w:sz w:val="20"/>
          <w:szCs w:val="22"/>
          <w:rtl/>
        </w:rPr>
        <w:t xml:space="preserve"> </w:t>
      </w:r>
      <w:r>
        <w:rPr>
          <w:rFonts w:cs="FrankRuehl" w:hint="eastAsia"/>
          <w:sz w:val="20"/>
          <w:szCs w:val="22"/>
          <w:rtl/>
        </w:rPr>
        <w:t>בעסק</w:t>
      </w:r>
      <w:r>
        <w:rPr>
          <w:rFonts w:cs="FrankRuehl"/>
          <w:sz w:val="20"/>
          <w:szCs w:val="22"/>
          <w:rtl/>
        </w:rPr>
        <w:t xml:space="preserve"> </w:t>
      </w:r>
      <w:r>
        <w:rPr>
          <w:rFonts w:cs="FrankRuehl" w:hint="eastAsia"/>
          <w:sz w:val="20"/>
          <w:szCs w:val="22"/>
          <w:rtl/>
        </w:rPr>
        <w:t>או</w:t>
      </w:r>
      <w:r>
        <w:rPr>
          <w:rFonts w:cs="FrankRuehl"/>
          <w:sz w:val="20"/>
          <w:szCs w:val="22"/>
          <w:rtl/>
        </w:rPr>
        <w:t xml:space="preserve"> </w:t>
      </w:r>
      <w:r>
        <w:rPr>
          <w:rFonts w:cs="FrankRuehl" w:hint="eastAsia"/>
          <w:sz w:val="20"/>
          <w:szCs w:val="22"/>
          <w:rtl/>
        </w:rPr>
        <w:t>בעל</w:t>
      </w:r>
      <w:r>
        <w:rPr>
          <w:rFonts w:cs="FrankRuehl"/>
          <w:sz w:val="20"/>
          <w:szCs w:val="22"/>
          <w:rtl/>
        </w:rPr>
        <w:t xml:space="preserve"> </w:t>
      </w:r>
      <w:r>
        <w:rPr>
          <w:rFonts w:cs="FrankRuehl" w:hint="eastAsia"/>
          <w:sz w:val="20"/>
          <w:szCs w:val="22"/>
          <w:rtl/>
        </w:rPr>
        <w:t>מניות</w:t>
      </w:r>
      <w:r>
        <w:rPr>
          <w:rFonts w:cs="FrankRuehl"/>
          <w:sz w:val="20"/>
          <w:szCs w:val="22"/>
          <w:rtl/>
        </w:rPr>
        <w:t xml:space="preserve"> </w:t>
      </w:r>
      <w:r>
        <w:rPr>
          <w:rFonts w:cs="FrankRuehl" w:hint="eastAsia"/>
          <w:sz w:val="20"/>
          <w:szCs w:val="22"/>
          <w:rtl/>
        </w:rPr>
        <w:t>המקנות</w:t>
      </w:r>
      <w:r>
        <w:rPr>
          <w:rFonts w:cs="FrankRuehl"/>
          <w:sz w:val="20"/>
          <w:szCs w:val="22"/>
          <w:rtl/>
        </w:rPr>
        <w:t xml:space="preserve"> </w:t>
      </w:r>
      <w:r>
        <w:rPr>
          <w:rFonts w:cs="FrankRuehl" w:hint="eastAsia"/>
          <w:sz w:val="20"/>
          <w:szCs w:val="22"/>
          <w:rtl/>
        </w:rPr>
        <w:t>לו</w:t>
      </w:r>
      <w:r>
        <w:rPr>
          <w:rFonts w:cs="FrankRuehl"/>
          <w:sz w:val="20"/>
          <w:szCs w:val="22"/>
          <w:rtl/>
        </w:rPr>
        <w:t xml:space="preserve"> </w:t>
      </w:r>
      <w:r>
        <w:rPr>
          <w:rFonts w:cs="FrankRuehl" w:hint="eastAsia"/>
          <w:sz w:val="20"/>
          <w:szCs w:val="22"/>
          <w:rtl/>
        </w:rPr>
        <w:t>שליטה</w:t>
      </w:r>
      <w:r>
        <w:rPr>
          <w:rFonts w:cs="FrankRuehl"/>
          <w:sz w:val="20"/>
          <w:szCs w:val="22"/>
          <w:rtl/>
        </w:rPr>
        <w:t xml:space="preserve"> </w:t>
      </w:r>
      <w:r>
        <w:rPr>
          <w:rFonts w:cs="FrankRuehl" w:hint="eastAsia"/>
          <w:sz w:val="20"/>
          <w:szCs w:val="22"/>
          <w:rtl/>
        </w:rPr>
        <w:t>בחבר</w:t>
      </w:r>
      <w:r>
        <w:rPr>
          <w:rFonts w:cs="FrankRuehl"/>
          <w:sz w:val="20"/>
          <w:szCs w:val="22"/>
          <w:rtl/>
        </w:rPr>
        <w:t xml:space="preserve"> </w:t>
      </w:r>
      <w:r>
        <w:rPr>
          <w:rFonts w:cs="FrankRuehl" w:hint="eastAsia"/>
          <w:sz w:val="20"/>
          <w:szCs w:val="22"/>
          <w:rtl/>
        </w:rPr>
        <w:t>בני</w:t>
      </w:r>
      <w:r>
        <w:rPr>
          <w:rFonts w:cs="FrankRuehl"/>
          <w:sz w:val="20"/>
          <w:szCs w:val="22"/>
          <w:rtl/>
        </w:rPr>
        <w:t xml:space="preserve"> </w:t>
      </w:r>
      <w:r>
        <w:rPr>
          <w:rFonts w:cs="FrankRuehl" w:hint="eastAsia"/>
          <w:sz w:val="20"/>
          <w:szCs w:val="22"/>
          <w:rtl/>
        </w:rPr>
        <w:t>אדם</w:t>
      </w:r>
      <w:r>
        <w:rPr>
          <w:rFonts w:cs="FrankRuehl"/>
          <w:sz w:val="20"/>
          <w:szCs w:val="22"/>
          <w:rtl/>
        </w:rPr>
        <w:t xml:space="preserve">, </w:t>
      </w:r>
      <w:r>
        <w:rPr>
          <w:rFonts w:cs="FrankRuehl" w:hint="cs"/>
          <w:sz w:val="20"/>
          <w:szCs w:val="22"/>
          <w:rtl/>
        </w:rPr>
        <w:t>ל</w:t>
      </w:r>
      <w:r>
        <w:rPr>
          <w:rFonts w:cs="FrankRuehl" w:hint="eastAsia"/>
          <w:sz w:val="20"/>
          <w:szCs w:val="22"/>
          <w:rtl/>
        </w:rPr>
        <w:t>נקוט</w:t>
      </w:r>
      <w:r>
        <w:rPr>
          <w:rFonts w:cs="FrankRuehl"/>
          <w:sz w:val="20"/>
          <w:szCs w:val="22"/>
          <w:rtl/>
        </w:rPr>
        <w:t xml:space="preserve"> </w:t>
      </w:r>
      <w:r>
        <w:rPr>
          <w:rFonts w:cs="FrankRuehl" w:hint="eastAsia"/>
          <w:sz w:val="20"/>
          <w:szCs w:val="22"/>
          <w:rtl/>
        </w:rPr>
        <w:t>בתוך</w:t>
      </w:r>
      <w:r>
        <w:rPr>
          <w:rFonts w:cs="FrankRuehl"/>
          <w:sz w:val="20"/>
          <w:szCs w:val="22"/>
          <w:rtl/>
        </w:rPr>
        <w:t xml:space="preserve"> 60 </w:t>
      </w:r>
      <w:r>
        <w:rPr>
          <w:rFonts w:cs="FrankRuehl" w:hint="eastAsia"/>
          <w:sz w:val="20"/>
          <w:szCs w:val="22"/>
          <w:rtl/>
        </w:rPr>
        <w:t>ימים</w:t>
      </w:r>
      <w:r>
        <w:rPr>
          <w:rFonts w:cs="FrankRuehl"/>
          <w:sz w:val="20"/>
          <w:szCs w:val="22"/>
          <w:rtl/>
        </w:rPr>
        <w:t xml:space="preserve"> </w:t>
      </w:r>
      <w:r>
        <w:rPr>
          <w:rFonts w:cs="FrankRuehl" w:hint="eastAsia"/>
          <w:sz w:val="20"/>
          <w:szCs w:val="22"/>
          <w:rtl/>
        </w:rPr>
        <w:t>מתחילת</w:t>
      </w:r>
      <w:r>
        <w:rPr>
          <w:rFonts w:cs="FrankRuehl"/>
          <w:sz w:val="20"/>
          <w:szCs w:val="22"/>
          <w:rtl/>
        </w:rPr>
        <w:t xml:space="preserve"> </w:t>
      </w:r>
      <w:r>
        <w:rPr>
          <w:rFonts w:cs="FrankRuehl" w:hint="cs"/>
          <w:sz w:val="20"/>
          <w:szCs w:val="22"/>
          <w:rtl/>
        </w:rPr>
        <w:t>כהונתו</w:t>
      </w:r>
      <w:r>
        <w:rPr>
          <w:rFonts w:cs="FrankRuehl"/>
          <w:sz w:val="20"/>
          <w:szCs w:val="22"/>
          <w:rtl/>
        </w:rPr>
        <w:t xml:space="preserve"> </w:t>
      </w:r>
      <w:r>
        <w:rPr>
          <w:rFonts w:cs="FrankRuehl" w:hint="cs"/>
          <w:sz w:val="20"/>
          <w:szCs w:val="22"/>
          <w:rtl/>
        </w:rPr>
        <w:t>ב</w:t>
      </w:r>
      <w:r>
        <w:rPr>
          <w:rFonts w:cs="FrankRuehl" w:hint="eastAsia"/>
          <w:sz w:val="20"/>
          <w:szCs w:val="22"/>
          <w:rtl/>
        </w:rPr>
        <w:t>אחת</w:t>
      </w:r>
      <w:r>
        <w:rPr>
          <w:rFonts w:cs="FrankRuehl"/>
          <w:sz w:val="20"/>
          <w:szCs w:val="22"/>
          <w:rtl/>
        </w:rPr>
        <w:t xml:space="preserve"> </w:t>
      </w:r>
      <w:r>
        <w:rPr>
          <w:rFonts w:cs="FrankRuehl" w:hint="eastAsia"/>
          <w:sz w:val="20"/>
          <w:szCs w:val="22"/>
          <w:rtl/>
        </w:rPr>
        <w:t>מ</w:t>
      </w:r>
      <w:r>
        <w:rPr>
          <w:rFonts w:cs="FrankRuehl" w:hint="cs"/>
          <w:sz w:val="20"/>
          <w:szCs w:val="22"/>
          <w:rtl/>
        </w:rPr>
        <w:t xml:space="preserve">הדרכים המנויות בַּכְּלל וזאת כדי למנוע מצב של ניגוד עניינים:   (1) "ימכור את הזכויות בעסק או את המניות לאדם </w:t>
      </w:r>
      <w:r>
        <w:rPr>
          <w:rFonts w:cs="FrankRuehl" w:hint="cs"/>
          <w:b/>
          <w:bCs/>
          <w:sz w:val="20"/>
          <w:szCs w:val="22"/>
          <w:rtl/>
        </w:rPr>
        <w:t>שאיננו קרובו</w:t>
      </w:r>
      <w:r>
        <w:rPr>
          <w:rFonts w:cs="FrankRuehl" w:hint="cs"/>
          <w:sz w:val="20"/>
          <w:szCs w:val="22"/>
          <w:rtl/>
        </w:rPr>
        <w:t xml:space="preserve"> ולא חבר בני אדם בשליטתו;   (2) עבד קרוב של השר עמו בעסק או בחבר בני אדם כאמור לפחות שנה לפני המינוי כשר, רשאי השר למכור או להעביר את כל הזכויות בעסק או את כל המניות לאותו קרוב בתנאי כי הקרוב איננו בן זוגו או ילדו הקטין;   (3) יחכיר את העסק לאדם שאיננו קרובו ושאינו חבר בני אדם שבשליטתו, תמורת דמי חכירה קבועים מראש לכל תקופת כהונת השר, בתנאי כי דמי החכירה אינם תלויים בהכנסות מהעסק" (ההדגשה של משרד מבקר המדינה). תכלית הכלל להבטיח ניתוק בין השר לבין העסק הנתון בשליטתו. בהתאם להוראת הכלל, לצורך יצירת נתק זה השר אינו רשאי להעביר את השליטה בעסק לקרובו, אם הלה לא עבד עמו בעסקו לפני העברת השליטה במשך שנה לפחות.</w:t>
      </w:r>
    </w:p>
    <w:p>
      <w:pPr>
        <w:spacing w:after="120" w:line="230" w:lineRule="exact"/>
        <w:ind w:left="0" w:right="0"/>
        <w:jc w:val="both"/>
        <w:rPr>
          <w:rFonts w:cs="FrankRuehl" w:hint="cs"/>
          <w:sz w:val="20"/>
          <w:szCs w:val="22"/>
          <w:rtl/>
        </w:rPr>
      </w:pPr>
      <w:r>
        <w:rPr>
          <w:rFonts w:cs="FrankRuehl" w:hint="cs"/>
          <w:sz w:val="20"/>
          <w:szCs w:val="22"/>
          <w:rtl/>
        </w:rPr>
        <w:t xml:space="preserve">לפי כלל 14(א)(2) לכללים, "(א) נוסף על חובות השר על פי כללים </w:t>
      </w:r>
      <w:r>
        <w:rPr>
          <w:rFonts w:cs="FrankRuehl" w:hint="eastAsia"/>
          <w:sz w:val="20"/>
          <w:szCs w:val="22"/>
          <w:rtl/>
        </w:rPr>
        <w:t>אלה</w:t>
      </w:r>
      <w:r>
        <w:rPr>
          <w:rFonts w:cs="FrankRuehl"/>
          <w:sz w:val="20"/>
          <w:szCs w:val="22"/>
          <w:rtl/>
        </w:rPr>
        <w:t xml:space="preserve"> </w:t>
      </w:r>
      <w:r>
        <w:rPr>
          <w:rFonts w:cs="FrankRuehl" w:hint="eastAsia"/>
          <w:sz w:val="20"/>
          <w:szCs w:val="22"/>
          <w:rtl/>
        </w:rPr>
        <w:t>חייב</w:t>
      </w:r>
      <w:r>
        <w:rPr>
          <w:rFonts w:cs="FrankRuehl"/>
          <w:sz w:val="20"/>
          <w:szCs w:val="22"/>
          <w:rtl/>
        </w:rPr>
        <w:t xml:space="preserve"> </w:t>
      </w:r>
      <w:r>
        <w:rPr>
          <w:rFonts w:cs="FrankRuehl" w:hint="eastAsia"/>
          <w:sz w:val="20"/>
          <w:szCs w:val="22"/>
          <w:rtl/>
        </w:rPr>
        <w:t>השר</w:t>
      </w:r>
      <w:r>
        <w:rPr>
          <w:rFonts w:cs="FrankRuehl"/>
          <w:sz w:val="20"/>
          <w:szCs w:val="22"/>
          <w:rtl/>
        </w:rPr>
        <w:t xml:space="preserve"> </w:t>
      </w:r>
      <w:r>
        <w:rPr>
          <w:rFonts w:cs="FrankRuehl" w:hint="eastAsia"/>
          <w:sz w:val="20"/>
          <w:szCs w:val="22"/>
          <w:rtl/>
        </w:rPr>
        <w:t>לגרום</w:t>
      </w:r>
      <w:r>
        <w:rPr>
          <w:rFonts w:cs="FrankRuehl"/>
          <w:sz w:val="20"/>
          <w:szCs w:val="22"/>
          <w:rtl/>
        </w:rPr>
        <w:t xml:space="preserve"> </w:t>
      </w:r>
      <w:r>
        <w:rPr>
          <w:rFonts w:cs="FrankRuehl" w:hint="eastAsia"/>
          <w:sz w:val="20"/>
          <w:szCs w:val="22"/>
          <w:rtl/>
        </w:rPr>
        <w:t>לכך</w:t>
      </w:r>
      <w:r>
        <w:rPr>
          <w:rFonts w:cs="FrankRuehl"/>
          <w:sz w:val="20"/>
          <w:szCs w:val="22"/>
          <w:rtl/>
        </w:rPr>
        <w:t xml:space="preserve"> </w:t>
      </w:r>
      <w:r>
        <w:rPr>
          <w:rFonts w:cs="FrankRuehl" w:hint="eastAsia"/>
          <w:sz w:val="20"/>
          <w:szCs w:val="22"/>
          <w:rtl/>
        </w:rPr>
        <w:t>שעסק</w:t>
      </w:r>
      <w:r>
        <w:rPr>
          <w:rFonts w:cs="FrankRuehl"/>
          <w:sz w:val="20"/>
          <w:szCs w:val="22"/>
          <w:rtl/>
        </w:rPr>
        <w:t xml:space="preserve"> </w:t>
      </w:r>
      <w:r>
        <w:rPr>
          <w:rFonts w:cs="FrankRuehl" w:hint="eastAsia"/>
          <w:sz w:val="20"/>
          <w:szCs w:val="22"/>
          <w:rtl/>
        </w:rPr>
        <w:t>או</w:t>
      </w:r>
      <w:r>
        <w:rPr>
          <w:rFonts w:cs="FrankRuehl"/>
          <w:sz w:val="20"/>
          <w:szCs w:val="22"/>
          <w:rtl/>
        </w:rPr>
        <w:t xml:space="preserve"> </w:t>
      </w:r>
      <w:r>
        <w:rPr>
          <w:rFonts w:cs="FrankRuehl" w:hint="eastAsia"/>
          <w:sz w:val="20"/>
          <w:szCs w:val="22"/>
          <w:rtl/>
        </w:rPr>
        <w:t>חבר</w:t>
      </w:r>
      <w:r>
        <w:rPr>
          <w:rFonts w:cs="FrankRuehl"/>
          <w:sz w:val="20"/>
          <w:szCs w:val="22"/>
          <w:rtl/>
        </w:rPr>
        <w:t xml:space="preserve"> </w:t>
      </w:r>
      <w:r>
        <w:rPr>
          <w:rFonts w:cs="FrankRuehl" w:hint="eastAsia"/>
          <w:sz w:val="20"/>
          <w:szCs w:val="22"/>
          <w:rtl/>
        </w:rPr>
        <w:t>בני</w:t>
      </w:r>
      <w:r>
        <w:rPr>
          <w:rFonts w:cs="FrankRuehl"/>
          <w:sz w:val="20"/>
          <w:szCs w:val="22"/>
          <w:rtl/>
        </w:rPr>
        <w:t xml:space="preserve"> </w:t>
      </w:r>
      <w:r>
        <w:rPr>
          <w:rFonts w:cs="FrankRuehl" w:hint="eastAsia"/>
          <w:sz w:val="20"/>
          <w:szCs w:val="22"/>
          <w:rtl/>
        </w:rPr>
        <w:t>אדם</w:t>
      </w:r>
      <w:r>
        <w:rPr>
          <w:rFonts w:cs="FrankRuehl"/>
          <w:sz w:val="20"/>
          <w:szCs w:val="22"/>
          <w:rtl/>
        </w:rPr>
        <w:t xml:space="preserve"> </w:t>
      </w:r>
      <w:r>
        <w:rPr>
          <w:rFonts w:cs="FrankRuehl" w:hint="eastAsia"/>
          <w:sz w:val="20"/>
          <w:szCs w:val="22"/>
          <w:rtl/>
        </w:rPr>
        <w:t>שאיננו</w:t>
      </w:r>
      <w:r>
        <w:rPr>
          <w:rFonts w:cs="FrankRuehl"/>
          <w:sz w:val="20"/>
          <w:szCs w:val="22"/>
          <w:rtl/>
        </w:rPr>
        <w:t xml:space="preserve"> </w:t>
      </w:r>
      <w:r>
        <w:rPr>
          <w:rFonts w:cs="FrankRuehl" w:hint="eastAsia"/>
          <w:sz w:val="20"/>
          <w:szCs w:val="22"/>
          <w:rtl/>
        </w:rPr>
        <w:t>גוף</w:t>
      </w:r>
      <w:r>
        <w:rPr>
          <w:rFonts w:cs="FrankRuehl"/>
          <w:sz w:val="20"/>
          <w:szCs w:val="22"/>
          <w:rtl/>
        </w:rPr>
        <w:t xml:space="preserve"> </w:t>
      </w:r>
      <w:r>
        <w:rPr>
          <w:rFonts w:cs="FrankRuehl" w:hint="eastAsia"/>
          <w:sz w:val="20"/>
          <w:szCs w:val="22"/>
          <w:rtl/>
        </w:rPr>
        <w:t>מבוקר</w:t>
      </w:r>
      <w:r>
        <w:rPr>
          <w:rFonts w:cs="FrankRuehl"/>
          <w:sz w:val="20"/>
          <w:szCs w:val="22"/>
          <w:rtl/>
        </w:rPr>
        <w:t xml:space="preserve">, </w:t>
      </w:r>
      <w:r>
        <w:rPr>
          <w:rFonts w:cs="FrankRuehl" w:hint="eastAsia"/>
          <w:sz w:val="20"/>
          <w:szCs w:val="22"/>
          <w:rtl/>
        </w:rPr>
        <w:t>יעמוד</w:t>
      </w:r>
      <w:r>
        <w:rPr>
          <w:rFonts w:cs="FrankRuehl"/>
          <w:sz w:val="20"/>
          <w:szCs w:val="22"/>
          <w:rtl/>
        </w:rPr>
        <w:t xml:space="preserve"> </w:t>
      </w:r>
      <w:r>
        <w:rPr>
          <w:rFonts w:cs="FrankRuehl" w:hint="eastAsia"/>
          <w:sz w:val="20"/>
          <w:szCs w:val="22"/>
          <w:rtl/>
        </w:rPr>
        <w:t>לביקורת</w:t>
      </w:r>
      <w:r>
        <w:rPr>
          <w:rFonts w:cs="FrankRuehl"/>
          <w:sz w:val="20"/>
          <w:szCs w:val="22"/>
          <w:rtl/>
        </w:rPr>
        <w:t xml:space="preserve"> </w:t>
      </w:r>
      <w:r>
        <w:rPr>
          <w:rFonts w:cs="FrankRuehl" w:hint="eastAsia"/>
          <w:sz w:val="20"/>
          <w:szCs w:val="22"/>
          <w:rtl/>
        </w:rPr>
        <w:t>מבקר</w:t>
      </w:r>
      <w:r>
        <w:rPr>
          <w:rFonts w:cs="FrankRuehl"/>
          <w:sz w:val="20"/>
          <w:szCs w:val="22"/>
          <w:rtl/>
        </w:rPr>
        <w:t xml:space="preserve"> </w:t>
      </w:r>
      <w:r>
        <w:rPr>
          <w:rFonts w:cs="FrankRuehl" w:hint="eastAsia"/>
          <w:sz w:val="20"/>
          <w:szCs w:val="22"/>
          <w:rtl/>
        </w:rPr>
        <w:t>המדינה</w:t>
      </w:r>
      <w:r>
        <w:rPr>
          <w:rFonts w:cs="FrankRuehl"/>
          <w:sz w:val="20"/>
          <w:szCs w:val="22"/>
          <w:rtl/>
        </w:rPr>
        <w:t xml:space="preserve"> </w:t>
      </w:r>
      <w:r>
        <w:rPr>
          <w:rFonts w:cs="FrankRuehl" w:hint="eastAsia"/>
          <w:sz w:val="20"/>
          <w:szCs w:val="22"/>
          <w:rtl/>
        </w:rPr>
        <w:t>על</w:t>
      </w:r>
      <w:r>
        <w:rPr>
          <w:rFonts w:cs="FrankRuehl"/>
          <w:sz w:val="20"/>
          <w:szCs w:val="22"/>
          <w:rtl/>
        </w:rPr>
        <w:t xml:space="preserve"> </w:t>
      </w:r>
      <w:r>
        <w:rPr>
          <w:rFonts w:cs="FrankRuehl" w:hint="eastAsia"/>
          <w:sz w:val="20"/>
          <w:szCs w:val="22"/>
          <w:rtl/>
        </w:rPr>
        <w:t>ידי</w:t>
      </w:r>
      <w:r>
        <w:rPr>
          <w:rFonts w:cs="FrankRuehl"/>
          <w:sz w:val="20"/>
          <w:szCs w:val="22"/>
          <w:rtl/>
        </w:rPr>
        <w:t xml:space="preserve"> </w:t>
      </w:r>
      <w:r>
        <w:rPr>
          <w:rFonts w:cs="FrankRuehl" w:hint="eastAsia"/>
          <w:sz w:val="20"/>
          <w:szCs w:val="22"/>
          <w:rtl/>
        </w:rPr>
        <w:t>חתימת</w:t>
      </w:r>
      <w:r>
        <w:rPr>
          <w:rFonts w:cs="FrankRuehl"/>
          <w:sz w:val="20"/>
          <w:szCs w:val="22"/>
          <w:rtl/>
        </w:rPr>
        <w:t xml:space="preserve"> </w:t>
      </w:r>
      <w:r>
        <w:rPr>
          <w:rFonts w:cs="FrankRuehl" w:hint="eastAsia"/>
          <w:sz w:val="20"/>
          <w:szCs w:val="22"/>
          <w:rtl/>
        </w:rPr>
        <w:t>הסכם</w:t>
      </w:r>
      <w:r>
        <w:rPr>
          <w:rFonts w:cs="FrankRuehl"/>
          <w:sz w:val="20"/>
          <w:szCs w:val="22"/>
          <w:rtl/>
        </w:rPr>
        <w:t xml:space="preserve"> </w:t>
      </w:r>
      <w:r>
        <w:rPr>
          <w:rFonts w:cs="FrankRuehl" w:hint="eastAsia"/>
          <w:sz w:val="20"/>
          <w:szCs w:val="22"/>
          <w:rtl/>
        </w:rPr>
        <w:t>עם</w:t>
      </w:r>
      <w:r>
        <w:rPr>
          <w:rFonts w:cs="FrankRuehl"/>
          <w:sz w:val="20"/>
          <w:szCs w:val="22"/>
          <w:rtl/>
        </w:rPr>
        <w:t xml:space="preserve"> </w:t>
      </w:r>
      <w:r>
        <w:rPr>
          <w:rFonts w:cs="FrankRuehl" w:hint="eastAsia"/>
          <w:sz w:val="20"/>
          <w:szCs w:val="22"/>
          <w:rtl/>
        </w:rPr>
        <w:t>הממשלה</w:t>
      </w:r>
      <w:r>
        <w:rPr>
          <w:rFonts w:cs="FrankRuehl"/>
          <w:sz w:val="20"/>
          <w:szCs w:val="22"/>
          <w:rtl/>
        </w:rPr>
        <w:t xml:space="preserve"> </w:t>
      </w:r>
      <w:r>
        <w:rPr>
          <w:rFonts w:cs="FrankRuehl" w:hint="eastAsia"/>
          <w:sz w:val="20"/>
          <w:szCs w:val="22"/>
          <w:rtl/>
        </w:rPr>
        <w:t>על</w:t>
      </w:r>
      <w:r>
        <w:rPr>
          <w:rFonts w:cs="FrankRuehl"/>
          <w:sz w:val="20"/>
          <w:szCs w:val="22"/>
          <w:rtl/>
        </w:rPr>
        <w:t xml:space="preserve"> </w:t>
      </w:r>
      <w:r>
        <w:rPr>
          <w:rFonts w:cs="FrankRuehl" w:hint="eastAsia"/>
          <w:sz w:val="20"/>
          <w:szCs w:val="22"/>
          <w:rtl/>
        </w:rPr>
        <w:t>פי</w:t>
      </w:r>
      <w:r>
        <w:rPr>
          <w:rFonts w:cs="FrankRuehl"/>
          <w:sz w:val="20"/>
          <w:szCs w:val="22"/>
          <w:rtl/>
        </w:rPr>
        <w:t xml:space="preserve"> </w:t>
      </w:r>
      <w:r>
        <w:rPr>
          <w:rFonts w:cs="FrankRuehl" w:hint="eastAsia"/>
          <w:sz w:val="20"/>
          <w:szCs w:val="22"/>
          <w:rtl/>
        </w:rPr>
        <w:t>סעיף</w:t>
      </w:r>
      <w:r>
        <w:rPr>
          <w:rFonts w:cs="FrankRuehl"/>
          <w:sz w:val="20"/>
          <w:szCs w:val="22"/>
          <w:rtl/>
        </w:rPr>
        <w:t xml:space="preserve"> 9(6) </w:t>
      </w:r>
      <w:r>
        <w:rPr>
          <w:rFonts w:cs="FrankRuehl" w:hint="eastAsia"/>
          <w:sz w:val="20"/>
          <w:szCs w:val="22"/>
          <w:rtl/>
        </w:rPr>
        <w:t>לחוק</w:t>
      </w:r>
      <w:r>
        <w:rPr>
          <w:rFonts w:cs="FrankRuehl"/>
          <w:sz w:val="20"/>
          <w:szCs w:val="22"/>
          <w:rtl/>
        </w:rPr>
        <w:t xml:space="preserve"> </w:t>
      </w:r>
      <w:r>
        <w:rPr>
          <w:rFonts w:cs="FrankRuehl" w:hint="eastAsia"/>
          <w:sz w:val="20"/>
          <w:szCs w:val="22"/>
          <w:rtl/>
        </w:rPr>
        <w:t>מבקר</w:t>
      </w:r>
      <w:r>
        <w:rPr>
          <w:rFonts w:cs="FrankRuehl"/>
          <w:sz w:val="20"/>
          <w:szCs w:val="22"/>
          <w:rtl/>
        </w:rPr>
        <w:t xml:space="preserve"> </w:t>
      </w:r>
      <w:r>
        <w:rPr>
          <w:rFonts w:cs="FrankRuehl" w:hint="eastAsia"/>
          <w:sz w:val="20"/>
          <w:szCs w:val="22"/>
          <w:rtl/>
        </w:rPr>
        <w:t>המדינה</w:t>
      </w:r>
      <w:r>
        <w:rPr>
          <w:rFonts w:cs="FrankRuehl"/>
          <w:sz w:val="20"/>
          <w:szCs w:val="22"/>
          <w:rtl/>
        </w:rPr>
        <w:t xml:space="preserve">, </w:t>
      </w:r>
      <w:r>
        <w:rPr>
          <w:rFonts w:cs="FrankRuehl" w:hint="eastAsia"/>
          <w:sz w:val="20"/>
          <w:szCs w:val="22"/>
          <w:rtl/>
        </w:rPr>
        <w:t>במקרים</w:t>
      </w:r>
      <w:r>
        <w:rPr>
          <w:rFonts w:cs="FrankRuehl"/>
          <w:sz w:val="20"/>
          <w:szCs w:val="22"/>
          <w:rtl/>
        </w:rPr>
        <w:t xml:space="preserve"> </w:t>
      </w:r>
      <w:r>
        <w:rPr>
          <w:rFonts w:cs="FrankRuehl" w:hint="eastAsia"/>
          <w:sz w:val="20"/>
          <w:szCs w:val="22"/>
          <w:rtl/>
        </w:rPr>
        <w:t>אלה</w:t>
      </w:r>
      <w:r>
        <w:rPr>
          <w:rFonts w:cs="FrankRuehl" w:hint="cs"/>
          <w:sz w:val="20"/>
          <w:szCs w:val="22"/>
          <w:rtl/>
        </w:rPr>
        <w:t>:... (2) אם</w:t>
      </w:r>
      <w:r>
        <w:rPr>
          <w:rFonts w:cs="FrankRuehl" w:hint="eastAsia"/>
          <w:sz w:val="20"/>
          <w:szCs w:val="22"/>
          <w:rtl/>
        </w:rPr>
        <w:t xml:space="preserve"> הועברו</w:t>
      </w:r>
      <w:r>
        <w:rPr>
          <w:rFonts w:cs="FrankRuehl"/>
          <w:sz w:val="20"/>
          <w:szCs w:val="22"/>
          <w:rtl/>
        </w:rPr>
        <w:t xml:space="preserve"> </w:t>
      </w:r>
      <w:r>
        <w:rPr>
          <w:rFonts w:cs="FrankRuehl" w:hint="eastAsia"/>
          <w:sz w:val="20"/>
          <w:szCs w:val="22"/>
          <w:rtl/>
        </w:rPr>
        <w:t>זכויות</w:t>
      </w:r>
      <w:r>
        <w:rPr>
          <w:rFonts w:cs="FrankRuehl"/>
          <w:sz w:val="20"/>
          <w:szCs w:val="22"/>
          <w:rtl/>
        </w:rPr>
        <w:t xml:space="preserve"> </w:t>
      </w:r>
      <w:r>
        <w:rPr>
          <w:rFonts w:cs="FrankRuehl" w:hint="eastAsia"/>
          <w:sz w:val="20"/>
          <w:szCs w:val="22"/>
          <w:rtl/>
        </w:rPr>
        <w:t>בעסק</w:t>
      </w:r>
      <w:r>
        <w:rPr>
          <w:rFonts w:cs="FrankRuehl"/>
          <w:sz w:val="20"/>
          <w:szCs w:val="22"/>
          <w:rtl/>
        </w:rPr>
        <w:t xml:space="preserve"> </w:t>
      </w:r>
      <w:r>
        <w:rPr>
          <w:rFonts w:cs="FrankRuehl" w:hint="eastAsia"/>
          <w:sz w:val="20"/>
          <w:szCs w:val="22"/>
          <w:rtl/>
        </w:rPr>
        <w:t>או</w:t>
      </w:r>
      <w:r>
        <w:rPr>
          <w:rFonts w:cs="FrankRuehl"/>
          <w:sz w:val="20"/>
          <w:szCs w:val="22"/>
          <w:rtl/>
        </w:rPr>
        <w:t xml:space="preserve"> </w:t>
      </w:r>
      <w:r>
        <w:rPr>
          <w:rFonts w:cs="FrankRuehl" w:hint="eastAsia"/>
          <w:sz w:val="20"/>
          <w:szCs w:val="22"/>
          <w:rtl/>
        </w:rPr>
        <w:t>מניות</w:t>
      </w:r>
      <w:r>
        <w:rPr>
          <w:rFonts w:cs="FrankRuehl"/>
          <w:sz w:val="20"/>
          <w:szCs w:val="22"/>
          <w:rtl/>
        </w:rPr>
        <w:t xml:space="preserve"> </w:t>
      </w:r>
      <w:r>
        <w:rPr>
          <w:rFonts w:cs="FrankRuehl" w:hint="eastAsia"/>
          <w:sz w:val="20"/>
          <w:szCs w:val="22"/>
          <w:rtl/>
        </w:rPr>
        <w:t>המקנות</w:t>
      </w:r>
      <w:r>
        <w:rPr>
          <w:rFonts w:cs="FrankRuehl"/>
          <w:sz w:val="20"/>
          <w:szCs w:val="22"/>
          <w:rtl/>
        </w:rPr>
        <w:t xml:space="preserve"> </w:t>
      </w:r>
      <w:r>
        <w:rPr>
          <w:rFonts w:cs="FrankRuehl" w:hint="eastAsia"/>
          <w:sz w:val="20"/>
          <w:szCs w:val="22"/>
          <w:rtl/>
        </w:rPr>
        <w:t>שליטה</w:t>
      </w:r>
      <w:r>
        <w:rPr>
          <w:rFonts w:cs="FrankRuehl"/>
          <w:sz w:val="20"/>
          <w:szCs w:val="22"/>
          <w:rtl/>
        </w:rPr>
        <w:t xml:space="preserve"> </w:t>
      </w:r>
      <w:r>
        <w:rPr>
          <w:rFonts w:cs="FrankRuehl" w:hint="eastAsia"/>
          <w:sz w:val="20"/>
          <w:szCs w:val="22"/>
          <w:rtl/>
        </w:rPr>
        <w:t>בחבר</w:t>
      </w:r>
      <w:r>
        <w:rPr>
          <w:rFonts w:cs="FrankRuehl"/>
          <w:sz w:val="20"/>
          <w:szCs w:val="22"/>
          <w:rtl/>
        </w:rPr>
        <w:t xml:space="preserve"> </w:t>
      </w:r>
      <w:r>
        <w:rPr>
          <w:rFonts w:cs="FrankRuehl" w:hint="eastAsia"/>
          <w:sz w:val="20"/>
          <w:szCs w:val="22"/>
          <w:rtl/>
        </w:rPr>
        <w:t>בני</w:t>
      </w:r>
      <w:r>
        <w:rPr>
          <w:rFonts w:cs="FrankRuehl"/>
          <w:sz w:val="20"/>
          <w:szCs w:val="22"/>
          <w:rtl/>
        </w:rPr>
        <w:t xml:space="preserve"> </w:t>
      </w:r>
      <w:r>
        <w:rPr>
          <w:rFonts w:cs="FrankRuehl" w:hint="eastAsia"/>
          <w:sz w:val="20"/>
          <w:szCs w:val="22"/>
          <w:rtl/>
        </w:rPr>
        <w:t>אדם</w:t>
      </w:r>
      <w:r>
        <w:rPr>
          <w:rFonts w:cs="FrankRuehl"/>
          <w:sz w:val="20"/>
          <w:szCs w:val="22"/>
          <w:rtl/>
        </w:rPr>
        <w:t xml:space="preserve"> </w:t>
      </w:r>
      <w:r>
        <w:rPr>
          <w:rFonts w:cs="FrankRuehl" w:hint="eastAsia"/>
          <w:sz w:val="20"/>
          <w:szCs w:val="22"/>
          <w:rtl/>
        </w:rPr>
        <w:t>לקרוב</w:t>
      </w:r>
      <w:r>
        <w:rPr>
          <w:rFonts w:cs="FrankRuehl"/>
          <w:sz w:val="20"/>
          <w:szCs w:val="22"/>
          <w:rtl/>
        </w:rPr>
        <w:t xml:space="preserve"> </w:t>
      </w:r>
      <w:r>
        <w:rPr>
          <w:rFonts w:cs="FrankRuehl" w:hint="eastAsia"/>
          <w:sz w:val="20"/>
          <w:szCs w:val="22"/>
          <w:rtl/>
        </w:rPr>
        <w:t>של</w:t>
      </w:r>
      <w:r>
        <w:rPr>
          <w:rFonts w:cs="FrankRuehl"/>
          <w:sz w:val="20"/>
          <w:szCs w:val="22"/>
          <w:rtl/>
        </w:rPr>
        <w:t xml:space="preserve"> </w:t>
      </w:r>
      <w:r>
        <w:rPr>
          <w:rFonts w:cs="FrankRuehl" w:hint="eastAsia"/>
          <w:sz w:val="20"/>
          <w:szCs w:val="22"/>
          <w:rtl/>
        </w:rPr>
        <w:t>השר</w:t>
      </w:r>
      <w:r>
        <w:rPr>
          <w:rFonts w:cs="FrankRuehl"/>
          <w:sz w:val="20"/>
          <w:szCs w:val="22"/>
          <w:rtl/>
        </w:rPr>
        <w:t xml:space="preserve"> </w:t>
      </w:r>
      <w:r>
        <w:rPr>
          <w:rFonts w:cs="FrankRuehl" w:hint="eastAsia"/>
          <w:sz w:val="20"/>
          <w:szCs w:val="22"/>
          <w:rtl/>
        </w:rPr>
        <w:t>בתוך</w:t>
      </w:r>
      <w:r>
        <w:rPr>
          <w:rFonts w:cs="FrankRuehl"/>
          <w:sz w:val="20"/>
          <w:szCs w:val="22"/>
          <w:rtl/>
        </w:rPr>
        <w:t xml:space="preserve"> </w:t>
      </w:r>
      <w:r>
        <w:rPr>
          <w:rFonts w:cs="FrankRuehl" w:hint="eastAsia"/>
          <w:sz w:val="20"/>
          <w:szCs w:val="22"/>
          <w:rtl/>
        </w:rPr>
        <w:t>שלוש</w:t>
      </w:r>
      <w:r>
        <w:rPr>
          <w:rFonts w:cs="FrankRuehl"/>
          <w:sz w:val="20"/>
          <w:szCs w:val="22"/>
          <w:rtl/>
        </w:rPr>
        <w:t xml:space="preserve"> </w:t>
      </w:r>
      <w:r>
        <w:rPr>
          <w:rFonts w:cs="FrankRuehl" w:hint="eastAsia"/>
          <w:sz w:val="20"/>
          <w:szCs w:val="22"/>
          <w:rtl/>
        </w:rPr>
        <w:t>שנים</w:t>
      </w:r>
      <w:r>
        <w:rPr>
          <w:rFonts w:cs="FrankRuehl"/>
          <w:sz w:val="20"/>
          <w:szCs w:val="22"/>
          <w:rtl/>
        </w:rPr>
        <w:t xml:space="preserve"> </w:t>
      </w:r>
      <w:r>
        <w:rPr>
          <w:rFonts w:cs="FrankRuehl" w:hint="eastAsia"/>
          <w:sz w:val="20"/>
          <w:szCs w:val="22"/>
          <w:rtl/>
        </w:rPr>
        <w:t>לפני</w:t>
      </w:r>
      <w:r>
        <w:rPr>
          <w:rFonts w:cs="FrankRuehl"/>
          <w:sz w:val="20"/>
          <w:szCs w:val="22"/>
          <w:rtl/>
        </w:rPr>
        <w:t xml:space="preserve"> </w:t>
      </w:r>
      <w:r>
        <w:rPr>
          <w:rFonts w:cs="FrankRuehl" w:hint="eastAsia"/>
          <w:sz w:val="20"/>
          <w:szCs w:val="22"/>
          <w:rtl/>
        </w:rPr>
        <w:t>מינויו</w:t>
      </w:r>
      <w:r>
        <w:rPr>
          <w:rFonts w:cs="FrankRuehl"/>
          <w:sz w:val="20"/>
          <w:szCs w:val="22"/>
          <w:rtl/>
        </w:rPr>
        <w:t xml:space="preserve"> </w:t>
      </w:r>
      <w:r>
        <w:rPr>
          <w:rFonts w:cs="FrankRuehl" w:hint="eastAsia"/>
          <w:sz w:val="20"/>
          <w:szCs w:val="22"/>
          <w:rtl/>
        </w:rPr>
        <w:t>לשר</w:t>
      </w:r>
      <w:r>
        <w:rPr>
          <w:rFonts w:cs="FrankRuehl" w:hint="cs"/>
          <w:sz w:val="20"/>
          <w:szCs w:val="22"/>
          <w:rtl/>
        </w:rPr>
        <w:t>".</w:t>
      </w:r>
    </w:p>
    <w:p>
      <w:pPr>
        <w:spacing w:after="120" w:line="226" w:lineRule="exact"/>
        <w:ind w:left="0" w:right="0"/>
        <w:jc w:val="both"/>
        <w:rPr>
          <w:rFonts w:cs="FrankRuehl" w:hint="cs"/>
          <w:sz w:val="20"/>
          <w:szCs w:val="22"/>
          <w:rtl/>
        </w:rPr>
      </w:pPr>
      <w:r>
        <w:rPr>
          <w:rFonts w:cs="FrankRuehl"/>
          <w:sz w:val="20"/>
          <w:szCs w:val="22"/>
          <w:rtl/>
        </w:rPr>
        <w:br w:type="page"/>
      </w:r>
      <w:r>
        <w:rPr>
          <w:rFonts w:cs="FrankRuehl" w:hint="cs"/>
          <w:sz w:val="20"/>
          <w:szCs w:val="22"/>
          <w:rtl/>
        </w:rPr>
        <w:t>כלל 15 מתייחס למכירת עסק ומניות עם תחילת הכהונה ומאפשר לשר לשמור לעצמו זכות לרכישה חוזרת של הזכויות או המניות שמכר (לפי כלל 13) בתנאי ש"הרכישה החוזרת תהיה תמורת תשלום המחיר המלא של כל הזכויות או המניות בעת הרכישה החוזרת". כללים אלה נועדו אפוא ליצור חיץ בין השר לחברה שבה היה בעל שליטה טרם תחילת כהונתו.</w:t>
      </w:r>
    </w:p>
    <w:p>
      <w:pPr>
        <w:spacing w:after="120" w:line="226" w:lineRule="exact"/>
        <w:ind w:left="0" w:right="0"/>
        <w:jc w:val="both"/>
        <w:rPr>
          <w:rFonts w:cs="FrankRuehl" w:hint="cs"/>
          <w:sz w:val="20"/>
          <w:szCs w:val="22"/>
          <w:rtl/>
        </w:rPr>
      </w:pPr>
      <w:r>
        <w:rPr>
          <w:rFonts w:cs="FrankRuehl" w:hint="cs"/>
          <w:sz w:val="20"/>
          <w:szCs w:val="22"/>
          <w:rtl/>
        </w:rPr>
        <w:t xml:space="preserve">לעניין ניירות ערך וכספים בסכום גדול מ-200,000 ש"ח נקבע בכלל 16 כי בתוך 60 ימים מיום מינויו יעביר השר את הכספים ואת ניירות הערך שבבעלותו ובבעלות בני משפחתו לחברת נאמנות ציבורית ובלתי-תלויה שתחזיק ותנהל אותם בדרך של נאמנות עיוורת. </w:t>
      </w:r>
    </w:p>
    <w:p>
      <w:pPr>
        <w:spacing w:after="120" w:line="226" w:lineRule="exact"/>
        <w:ind w:left="0" w:right="0"/>
        <w:jc w:val="both"/>
        <w:rPr>
          <w:rFonts w:cs="FrankRuehl" w:hint="cs"/>
          <w:sz w:val="20"/>
          <w:szCs w:val="22"/>
          <w:rtl/>
        </w:rPr>
      </w:pPr>
      <w:r>
        <w:rPr>
          <w:rFonts w:cs="FrankRuehl" w:hint="cs"/>
          <w:sz w:val="20"/>
          <w:szCs w:val="22"/>
          <w:rtl/>
        </w:rPr>
        <w:t xml:space="preserve">לפי כלל 20, כאמור, גם מועמדים לכהונת שרים וסגני שרים (לרבות ראש הממשלה) רשאים לפנות אל הוועדה בבקשה לקבלת היתר שלא לקיים כלל מן הכללים. כלל זה מאפשר למועמדים לכהונה לפנות בבקשה לקביעת הסדרים הנוגעים לעסקיהם מבעוד מועד וקודם לתחילת כהונתם. </w:t>
      </w:r>
    </w:p>
    <w:p>
      <w:pPr>
        <w:spacing w:after="120" w:line="226" w:lineRule="exact"/>
        <w:ind w:left="0" w:right="0"/>
        <w:jc w:val="both"/>
        <w:rPr>
          <w:rFonts w:cs="FrankRuehl" w:hint="cs"/>
          <w:sz w:val="20"/>
          <w:szCs w:val="22"/>
          <w:rtl/>
        </w:rPr>
      </w:pPr>
      <w:r>
        <w:rPr>
          <w:rFonts w:cs="FrankRuehl" w:hint="cs"/>
          <w:sz w:val="20"/>
          <w:szCs w:val="22"/>
          <w:rtl/>
        </w:rPr>
        <w:t>על פי הכללים, נדרש שר, בין היתר, להגיש למבקר המדינה בתוך 60 ימים מיום תחילת כהונתו הצהרה הכוללת דין וחשבון מפורט על עניינים שונים</w:t>
      </w:r>
      <w:r>
        <w:rPr>
          <w:rStyle w:val="FootnoteReference"/>
          <w:rFonts w:cs="FrankRuehl"/>
          <w:sz w:val="20"/>
          <w:szCs w:val="22"/>
          <w:rtl/>
        </w:rPr>
        <w:footnoteReference w:id="6"/>
      </w:r>
      <w:r>
        <w:rPr>
          <w:rFonts w:cs="FrankRuehl" w:hint="cs"/>
          <w:sz w:val="20"/>
          <w:szCs w:val="22"/>
          <w:rtl/>
        </w:rPr>
        <w:t xml:space="preserve"> ובהם </w:t>
      </w:r>
      <w:r>
        <w:rPr>
          <w:rFonts w:cs="FrankRuehl" w:hint="eastAsia"/>
          <w:sz w:val="20"/>
          <w:szCs w:val="22"/>
          <w:rtl/>
        </w:rPr>
        <w:t>ההון</w:t>
      </w:r>
      <w:r>
        <w:rPr>
          <w:rFonts w:cs="FrankRuehl"/>
          <w:sz w:val="20"/>
          <w:szCs w:val="22"/>
          <w:rtl/>
        </w:rPr>
        <w:t xml:space="preserve">, </w:t>
      </w:r>
      <w:r>
        <w:rPr>
          <w:rFonts w:cs="FrankRuehl" w:hint="eastAsia"/>
          <w:sz w:val="20"/>
          <w:szCs w:val="22"/>
          <w:rtl/>
        </w:rPr>
        <w:t>הנכסים</w:t>
      </w:r>
      <w:r>
        <w:rPr>
          <w:rFonts w:cs="FrankRuehl"/>
          <w:sz w:val="20"/>
          <w:szCs w:val="22"/>
          <w:rtl/>
        </w:rPr>
        <w:t xml:space="preserve">, </w:t>
      </w:r>
      <w:r>
        <w:rPr>
          <w:rFonts w:cs="FrankRuehl" w:hint="eastAsia"/>
          <w:sz w:val="20"/>
          <w:szCs w:val="22"/>
          <w:rtl/>
        </w:rPr>
        <w:t>הזכויות</w:t>
      </w:r>
      <w:r>
        <w:rPr>
          <w:rFonts w:cs="FrankRuehl"/>
          <w:sz w:val="20"/>
          <w:szCs w:val="22"/>
          <w:rtl/>
        </w:rPr>
        <w:t xml:space="preserve"> </w:t>
      </w:r>
      <w:r>
        <w:rPr>
          <w:rFonts w:cs="FrankRuehl" w:hint="eastAsia"/>
          <w:sz w:val="20"/>
          <w:szCs w:val="22"/>
          <w:rtl/>
        </w:rPr>
        <w:t>וההתחייבויות</w:t>
      </w:r>
      <w:r>
        <w:rPr>
          <w:rFonts w:cs="FrankRuehl"/>
          <w:sz w:val="20"/>
          <w:szCs w:val="22"/>
          <w:rtl/>
        </w:rPr>
        <w:t xml:space="preserve"> </w:t>
      </w:r>
      <w:r>
        <w:rPr>
          <w:rFonts w:cs="FrankRuehl" w:hint="eastAsia"/>
          <w:sz w:val="20"/>
          <w:szCs w:val="22"/>
          <w:rtl/>
        </w:rPr>
        <w:t>שיש</w:t>
      </w:r>
      <w:r>
        <w:rPr>
          <w:rFonts w:cs="FrankRuehl"/>
          <w:sz w:val="20"/>
          <w:szCs w:val="22"/>
          <w:rtl/>
        </w:rPr>
        <w:t xml:space="preserve"> </w:t>
      </w:r>
      <w:r>
        <w:rPr>
          <w:rFonts w:cs="FrankRuehl" w:hint="cs"/>
          <w:sz w:val="20"/>
          <w:szCs w:val="22"/>
          <w:rtl/>
        </w:rPr>
        <w:t>לו</w:t>
      </w:r>
      <w:r>
        <w:rPr>
          <w:rFonts w:cs="FrankRuehl"/>
          <w:sz w:val="20"/>
          <w:szCs w:val="22"/>
          <w:rtl/>
        </w:rPr>
        <w:t xml:space="preserve"> </w:t>
      </w:r>
      <w:r>
        <w:rPr>
          <w:rFonts w:cs="FrankRuehl" w:hint="eastAsia"/>
          <w:sz w:val="20"/>
          <w:szCs w:val="22"/>
          <w:rtl/>
        </w:rPr>
        <w:t>ולבני</w:t>
      </w:r>
      <w:r>
        <w:rPr>
          <w:rFonts w:cs="FrankRuehl"/>
          <w:sz w:val="20"/>
          <w:szCs w:val="22"/>
          <w:rtl/>
        </w:rPr>
        <w:t xml:space="preserve"> </w:t>
      </w:r>
      <w:r>
        <w:rPr>
          <w:rFonts w:cs="FrankRuehl" w:hint="eastAsia"/>
          <w:sz w:val="20"/>
          <w:szCs w:val="22"/>
          <w:rtl/>
        </w:rPr>
        <w:t>משפחתו</w:t>
      </w:r>
      <w:r>
        <w:rPr>
          <w:rFonts w:cs="FrankRuehl"/>
          <w:sz w:val="20"/>
          <w:szCs w:val="22"/>
          <w:rtl/>
        </w:rPr>
        <w:t xml:space="preserve"> </w:t>
      </w:r>
      <w:r>
        <w:rPr>
          <w:rFonts w:cs="FrankRuehl" w:hint="eastAsia"/>
          <w:sz w:val="20"/>
          <w:szCs w:val="22"/>
          <w:rtl/>
        </w:rPr>
        <w:t>ביום</w:t>
      </w:r>
      <w:r>
        <w:rPr>
          <w:rFonts w:cs="FrankRuehl"/>
          <w:sz w:val="20"/>
          <w:szCs w:val="22"/>
          <w:rtl/>
        </w:rPr>
        <w:t xml:space="preserve"> </w:t>
      </w:r>
      <w:r>
        <w:rPr>
          <w:rFonts w:cs="FrankRuehl" w:hint="eastAsia"/>
          <w:sz w:val="20"/>
          <w:szCs w:val="22"/>
          <w:rtl/>
        </w:rPr>
        <w:t>כניסתו</w:t>
      </w:r>
      <w:r>
        <w:rPr>
          <w:rFonts w:cs="FrankRuehl"/>
          <w:sz w:val="20"/>
          <w:szCs w:val="22"/>
          <w:rtl/>
        </w:rPr>
        <w:t xml:space="preserve"> </w:t>
      </w:r>
      <w:r>
        <w:rPr>
          <w:rFonts w:cs="FrankRuehl" w:hint="eastAsia"/>
          <w:sz w:val="20"/>
          <w:szCs w:val="22"/>
          <w:rtl/>
        </w:rPr>
        <w:t>לתפקיד</w:t>
      </w:r>
      <w:r>
        <w:rPr>
          <w:rFonts w:cs="FrankRuehl"/>
          <w:sz w:val="20"/>
          <w:szCs w:val="22"/>
          <w:rtl/>
        </w:rPr>
        <w:t>;</w:t>
      </w:r>
      <w:r>
        <w:rPr>
          <w:rFonts w:cs="FrankRuehl" w:hint="eastAsia"/>
          <w:sz w:val="20"/>
          <w:szCs w:val="22"/>
          <w:rtl/>
        </w:rPr>
        <w:t xml:space="preserve"> המקורות</w:t>
      </w:r>
      <w:r>
        <w:rPr>
          <w:rFonts w:cs="FrankRuehl"/>
          <w:sz w:val="20"/>
          <w:szCs w:val="22"/>
          <w:rtl/>
        </w:rPr>
        <w:t xml:space="preserve"> </w:t>
      </w:r>
      <w:r>
        <w:rPr>
          <w:rFonts w:cs="FrankRuehl" w:hint="eastAsia"/>
          <w:sz w:val="20"/>
          <w:szCs w:val="22"/>
          <w:rtl/>
        </w:rPr>
        <w:t>והסכומים</w:t>
      </w:r>
      <w:r>
        <w:rPr>
          <w:rFonts w:cs="FrankRuehl"/>
          <w:sz w:val="20"/>
          <w:szCs w:val="22"/>
          <w:rtl/>
        </w:rPr>
        <w:t xml:space="preserve"> </w:t>
      </w:r>
      <w:r>
        <w:rPr>
          <w:rFonts w:cs="FrankRuehl" w:hint="eastAsia"/>
          <w:sz w:val="20"/>
          <w:szCs w:val="22"/>
          <w:rtl/>
        </w:rPr>
        <w:t>של</w:t>
      </w:r>
      <w:r>
        <w:rPr>
          <w:rFonts w:cs="FrankRuehl"/>
          <w:sz w:val="20"/>
          <w:szCs w:val="22"/>
          <w:rtl/>
        </w:rPr>
        <w:t xml:space="preserve"> </w:t>
      </w:r>
      <w:r>
        <w:rPr>
          <w:rFonts w:cs="FrankRuehl" w:hint="eastAsia"/>
          <w:sz w:val="20"/>
          <w:szCs w:val="22"/>
          <w:rtl/>
        </w:rPr>
        <w:t>הכנסתו</w:t>
      </w:r>
      <w:r>
        <w:rPr>
          <w:rFonts w:cs="FrankRuehl"/>
          <w:sz w:val="20"/>
          <w:szCs w:val="22"/>
          <w:rtl/>
        </w:rPr>
        <w:t xml:space="preserve"> </w:t>
      </w:r>
      <w:r>
        <w:rPr>
          <w:rFonts w:cs="FrankRuehl" w:hint="eastAsia"/>
          <w:sz w:val="20"/>
          <w:szCs w:val="22"/>
          <w:rtl/>
        </w:rPr>
        <w:t>והכנסת</w:t>
      </w:r>
      <w:r>
        <w:rPr>
          <w:rFonts w:cs="FrankRuehl"/>
          <w:sz w:val="20"/>
          <w:szCs w:val="22"/>
          <w:rtl/>
        </w:rPr>
        <w:t xml:space="preserve"> </w:t>
      </w:r>
      <w:r>
        <w:rPr>
          <w:rFonts w:cs="FrankRuehl" w:hint="eastAsia"/>
          <w:sz w:val="20"/>
          <w:szCs w:val="22"/>
          <w:rtl/>
        </w:rPr>
        <w:t>בני</w:t>
      </w:r>
      <w:r>
        <w:rPr>
          <w:rFonts w:cs="FrankRuehl"/>
          <w:sz w:val="20"/>
          <w:szCs w:val="22"/>
          <w:rtl/>
        </w:rPr>
        <w:t xml:space="preserve"> </w:t>
      </w:r>
      <w:r>
        <w:rPr>
          <w:rFonts w:cs="FrankRuehl" w:hint="eastAsia"/>
          <w:sz w:val="20"/>
          <w:szCs w:val="22"/>
          <w:rtl/>
        </w:rPr>
        <w:t>משפחתו</w:t>
      </w:r>
      <w:r>
        <w:rPr>
          <w:rFonts w:cs="FrankRuehl"/>
          <w:sz w:val="20"/>
          <w:szCs w:val="22"/>
          <w:rtl/>
        </w:rPr>
        <w:t xml:space="preserve"> </w:t>
      </w:r>
      <w:r>
        <w:rPr>
          <w:rFonts w:cs="FrankRuehl" w:hint="eastAsia"/>
          <w:sz w:val="20"/>
          <w:szCs w:val="22"/>
          <w:rtl/>
        </w:rPr>
        <w:t>בשנה</w:t>
      </w:r>
      <w:r>
        <w:rPr>
          <w:rFonts w:cs="FrankRuehl"/>
          <w:sz w:val="20"/>
          <w:szCs w:val="22"/>
          <w:rtl/>
        </w:rPr>
        <w:t xml:space="preserve"> </w:t>
      </w:r>
      <w:r>
        <w:rPr>
          <w:rFonts w:cs="FrankRuehl" w:hint="eastAsia"/>
          <w:sz w:val="20"/>
          <w:szCs w:val="22"/>
          <w:rtl/>
        </w:rPr>
        <w:t>שקדמה</w:t>
      </w:r>
      <w:r>
        <w:rPr>
          <w:rFonts w:cs="FrankRuehl"/>
          <w:sz w:val="20"/>
          <w:szCs w:val="22"/>
          <w:rtl/>
        </w:rPr>
        <w:t xml:space="preserve"> </w:t>
      </w:r>
      <w:r>
        <w:rPr>
          <w:rFonts w:cs="FrankRuehl" w:hint="eastAsia"/>
          <w:sz w:val="20"/>
          <w:szCs w:val="22"/>
          <w:rtl/>
        </w:rPr>
        <w:t>למינויו</w:t>
      </w:r>
      <w:r>
        <w:rPr>
          <w:rFonts w:cs="FrankRuehl"/>
          <w:sz w:val="20"/>
          <w:szCs w:val="22"/>
          <w:rtl/>
        </w:rPr>
        <w:t xml:space="preserve"> </w:t>
      </w:r>
      <w:r>
        <w:rPr>
          <w:rFonts w:cs="FrankRuehl" w:hint="eastAsia"/>
          <w:sz w:val="20"/>
          <w:szCs w:val="22"/>
          <w:rtl/>
        </w:rPr>
        <w:t>כשר</w:t>
      </w:r>
      <w:r>
        <w:rPr>
          <w:rFonts w:cs="FrankRuehl"/>
          <w:sz w:val="20"/>
          <w:szCs w:val="22"/>
          <w:rtl/>
        </w:rPr>
        <w:t>;</w:t>
      </w:r>
      <w:r>
        <w:rPr>
          <w:rFonts w:cs="FrankRuehl" w:hint="cs"/>
          <w:sz w:val="20"/>
          <w:szCs w:val="22"/>
          <w:rtl/>
        </w:rPr>
        <w:t xml:space="preserve"> </w:t>
      </w:r>
      <w:r>
        <w:rPr>
          <w:rFonts w:cs="FrankRuehl" w:hint="eastAsia"/>
          <w:sz w:val="20"/>
          <w:szCs w:val="22"/>
          <w:rtl/>
        </w:rPr>
        <w:t>פרטים</w:t>
      </w:r>
      <w:r>
        <w:rPr>
          <w:rFonts w:cs="FrankRuehl"/>
          <w:sz w:val="20"/>
          <w:szCs w:val="22"/>
          <w:rtl/>
        </w:rPr>
        <w:t xml:space="preserve"> </w:t>
      </w:r>
      <w:r>
        <w:rPr>
          <w:rFonts w:cs="FrankRuehl" w:hint="eastAsia"/>
          <w:sz w:val="20"/>
          <w:szCs w:val="22"/>
          <w:rtl/>
        </w:rPr>
        <w:t>מלאים</w:t>
      </w:r>
      <w:r>
        <w:rPr>
          <w:rFonts w:cs="FrankRuehl"/>
          <w:sz w:val="20"/>
          <w:szCs w:val="22"/>
          <w:rtl/>
        </w:rPr>
        <w:t xml:space="preserve"> </w:t>
      </w:r>
      <w:r>
        <w:rPr>
          <w:rFonts w:cs="FrankRuehl" w:hint="eastAsia"/>
          <w:sz w:val="20"/>
          <w:szCs w:val="22"/>
          <w:rtl/>
        </w:rPr>
        <w:t>על</w:t>
      </w:r>
      <w:r>
        <w:rPr>
          <w:rFonts w:cs="FrankRuehl"/>
          <w:sz w:val="20"/>
          <w:szCs w:val="22"/>
          <w:rtl/>
        </w:rPr>
        <w:t xml:space="preserve"> </w:t>
      </w:r>
      <w:r>
        <w:rPr>
          <w:rFonts w:cs="FrankRuehl" w:hint="eastAsia"/>
          <w:sz w:val="20"/>
          <w:szCs w:val="22"/>
          <w:rtl/>
        </w:rPr>
        <w:t>זכויות</w:t>
      </w:r>
      <w:r>
        <w:rPr>
          <w:rFonts w:cs="FrankRuehl"/>
          <w:sz w:val="20"/>
          <w:szCs w:val="22"/>
          <w:rtl/>
        </w:rPr>
        <w:t xml:space="preserve"> </w:t>
      </w:r>
      <w:r>
        <w:rPr>
          <w:rFonts w:cs="FrankRuehl" w:hint="cs"/>
          <w:sz w:val="20"/>
          <w:szCs w:val="22"/>
          <w:rtl/>
        </w:rPr>
        <w:t>או מניות שהיו לו בעסק ואשר הועברו לאדם אחר בתוך 60 ימים מיום תחילת כהונתו</w:t>
      </w:r>
      <w:r>
        <w:rPr>
          <w:rStyle w:val="FootnoteReference"/>
          <w:rFonts w:cs="FrankRuehl"/>
          <w:sz w:val="20"/>
          <w:szCs w:val="22"/>
          <w:rtl/>
        </w:rPr>
        <w:footnoteReference w:id="7"/>
      </w:r>
      <w:r>
        <w:rPr>
          <w:rFonts w:cs="FrankRuehl"/>
          <w:sz w:val="20"/>
          <w:szCs w:val="22"/>
          <w:rtl/>
        </w:rPr>
        <w:t>,</w:t>
      </w:r>
      <w:r>
        <w:rPr>
          <w:rFonts w:cs="FrankRuehl" w:hint="cs"/>
          <w:sz w:val="20"/>
          <w:szCs w:val="22"/>
          <w:rtl/>
        </w:rPr>
        <w:t xml:space="preserve"> וזאת</w:t>
      </w:r>
      <w:r>
        <w:rPr>
          <w:rFonts w:cs="FrankRuehl"/>
          <w:sz w:val="20"/>
          <w:szCs w:val="22"/>
          <w:rtl/>
        </w:rPr>
        <w:t xml:space="preserve"> </w:t>
      </w:r>
      <w:r>
        <w:rPr>
          <w:rFonts w:cs="FrankRuehl" w:hint="eastAsia"/>
          <w:sz w:val="20"/>
          <w:szCs w:val="22"/>
          <w:rtl/>
        </w:rPr>
        <w:t>בציון</w:t>
      </w:r>
      <w:r>
        <w:rPr>
          <w:rFonts w:cs="FrankRuehl"/>
          <w:sz w:val="20"/>
          <w:szCs w:val="22"/>
          <w:rtl/>
        </w:rPr>
        <w:t xml:space="preserve"> </w:t>
      </w:r>
      <w:r>
        <w:rPr>
          <w:rFonts w:cs="FrankRuehl" w:hint="eastAsia"/>
          <w:sz w:val="20"/>
          <w:szCs w:val="22"/>
          <w:rtl/>
        </w:rPr>
        <w:t>שם</w:t>
      </w:r>
      <w:r>
        <w:rPr>
          <w:rFonts w:cs="FrankRuehl"/>
          <w:sz w:val="20"/>
          <w:szCs w:val="22"/>
          <w:rtl/>
        </w:rPr>
        <w:t xml:space="preserve"> </w:t>
      </w:r>
      <w:r>
        <w:rPr>
          <w:rFonts w:cs="FrankRuehl" w:hint="eastAsia"/>
          <w:sz w:val="20"/>
          <w:szCs w:val="22"/>
          <w:rtl/>
        </w:rPr>
        <w:t>הרוכש</w:t>
      </w:r>
      <w:r>
        <w:rPr>
          <w:rFonts w:cs="FrankRuehl"/>
          <w:sz w:val="20"/>
          <w:szCs w:val="22"/>
          <w:rtl/>
        </w:rPr>
        <w:t xml:space="preserve"> </w:t>
      </w:r>
      <w:r>
        <w:rPr>
          <w:rFonts w:cs="FrankRuehl" w:hint="eastAsia"/>
          <w:sz w:val="20"/>
          <w:szCs w:val="22"/>
          <w:rtl/>
        </w:rPr>
        <w:t>או</w:t>
      </w:r>
      <w:r>
        <w:rPr>
          <w:rFonts w:cs="FrankRuehl"/>
          <w:sz w:val="20"/>
          <w:szCs w:val="22"/>
          <w:rtl/>
        </w:rPr>
        <w:t xml:space="preserve"> </w:t>
      </w:r>
      <w:r>
        <w:rPr>
          <w:rFonts w:cs="FrankRuehl" w:hint="eastAsia"/>
          <w:sz w:val="20"/>
          <w:szCs w:val="22"/>
          <w:rtl/>
        </w:rPr>
        <w:t>מקבל</w:t>
      </w:r>
      <w:r>
        <w:rPr>
          <w:rFonts w:cs="FrankRuehl"/>
          <w:sz w:val="20"/>
          <w:szCs w:val="22"/>
          <w:rtl/>
        </w:rPr>
        <w:t xml:space="preserve"> </w:t>
      </w:r>
      <w:r>
        <w:rPr>
          <w:rFonts w:cs="FrankRuehl" w:hint="eastAsia"/>
          <w:sz w:val="20"/>
          <w:szCs w:val="22"/>
          <w:rtl/>
        </w:rPr>
        <w:t>ההעברה</w:t>
      </w:r>
      <w:r>
        <w:rPr>
          <w:rFonts w:cs="FrankRuehl"/>
          <w:sz w:val="20"/>
          <w:szCs w:val="22"/>
          <w:rtl/>
        </w:rPr>
        <w:t xml:space="preserve"> </w:t>
      </w:r>
      <w:r>
        <w:rPr>
          <w:rFonts w:cs="FrankRuehl" w:hint="eastAsia"/>
          <w:sz w:val="20"/>
          <w:szCs w:val="22"/>
          <w:rtl/>
        </w:rPr>
        <w:t>וקרבתו</w:t>
      </w:r>
      <w:r>
        <w:rPr>
          <w:rFonts w:cs="FrankRuehl"/>
          <w:sz w:val="20"/>
          <w:szCs w:val="22"/>
          <w:rtl/>
        </w:rPr>
        <w:t xml:space="preserve"> </w:t>
      </w:r>
      <w:r>
        <w:rPr>
          <w:rFonts w:cs="FrankRuehl" w:hint="eastAsia"/>
          <w:sz w:val="20"/>
          <w:szCs w:val="22"/>
          <w:rtl/>
        </w:rPr>
        <w:t>לשר</w:t>
      </w:r>
      <w:r>
        <w:rPr>
          <w:rFonts w:cs="FrankRuehl"/>
          <w:sz w:val="20"/>
          <w:szCs w:val="22"/>
          <w:rtl/>
        </w:rPr>
        <w:t>;</w:t>
      </w:r>
      <w:r>
        <w:rPr>
          <w:rFonts w:cs="FrankRuehl" w:hint="eastAsia"/>
          <w:sz w:val="20"/>
          <w:szCs w:val="22"/>
          <w:rtl/>
        </w:rPr>
        <w:t xml:space="preserve"> פרטים</w:t>
      </w:r>
      <w:r>
        <w:rPr>
          <w:rFonts w:cs="FrankRuehl"/>
          <w:sz w:val="20"/>
          <w:szCs w:val="22"/>
          <w:rtl/>
        </w:rPr>
        <w:t xml:space="preserve"> </w:t>
      </w:r>
      <w:r>
        <w:rPr>
          <w:rFonts w:cs="FrankRuehl" w:hint="eastAsia"/>
          <w:sz w:val="20"/>
          <w:szCs w:val="22"/>
          <w:rtl/>
        </w:rPr>
        <w:t>מלאים</w:t>
      </w:r>
      <w:r>
        <w:rPr>
          <w:rFonts w:cs="FrankRuehl"/>
          <w:sz w:val="20"/>
          <w:szCs w:val="22"/>
          <w:rtl/>
        </w:rPr>
        <w:t xml:space="preserve"> </w:t>
      </w:r>
      <w:r>
        <w:rPr>
          <w:rFonts w:cs="FrankRuehl" w:hint="eastAsia"/>
          <w:sz w:val="20"/>
          <w:szCs w:val="22"/>
          <w:rtl/>
        </w:rPr>
        <w:t>על</w:t>
      </w:r>
      <w:r>
        <w:rPr>
          <w:rFonts w:cs="FrankRuehl"/>
          <w:sz w:val="20"/>
          <w:szCs w:val="22"/>
          <w:rtl/>
        </w:rPr>
        <w:t xml:space="preserve"> </w:t>
      </w:r>
      <w:r>
        <w:rPr>
          <w:rFonts w:cs="FrankRuehl" w:hint="eastAsia"/>
          <w:sz w:val="20"/>
          <w:szCs w:val="22"/>
          <w:rtl/>
        </w:rPr>
        <w:t>עסק</w:t>
      </w:r>
      <w:r>
        <w:rPr>
          <w:rFonts w:cs="FrankRuehl"/>
          <w:sz w:val="20"/>
          <w:szCs w:val="22"/>
          <w:rtl/>
        </w:rPr>
        <w:t xml:space="preserve"> </w:t>
      </w:r>
      <w:r>
        <w:rPr>
          <w:rFonts w:cs="FrankRuehl" w:hint="eastAsia"/>
          <w:sz w:val="20"/>
          <w:szCs w:val="22"/>
          <w:rtl/>
        </w:rPr>
        <w:t>שהשר</w:t>
      </w:r>
      <w:r>
        <w:rPr>
          <w:rFonts w:cs="FrankRuehl"/>
          <w:sz w:val="20"/>
          <w:szCs w:val="22"/>
          <w:rtl/>
        </w:rPr>
        <w:t xml:space="preserve"> </w:t>
      </w:r>
      <w:r>
        <w:rPr>
          <w:rFonts w:cs="FrankRuehl" w:hint="eastAsia"/>
          <w:sz w:val="20"/>
          <w:szCs w:val="22"/>
          <w:rtl/>
        </w:rPr>
        <w:t>החכיר</w:t>
      </w:r>
      <w:r>
        <w:rPr>
          <w:rStyle w:val="FootnoteReference"/>
          <w:rFonts w:cs="FrankRuehl"/>
          <w:sz w:val="20"/>
          <w:szCs w:val="22"/>
          <w:rtl/>
        </w:rPr>
        <w:footnoteReference w:id="8"/>
      </w:r>
      <w:r>
        <w:rPr>
          <w:rFonts w:cs="FrankRuehl"/>
          <w:sz w:val="20"/>
          <w:szCs w:val="22"/>
          <w:rtl/>
        </w:rPr>
        <w:t xml:space="preserve"> </w:t>
      </w:r>
      <w:r>
        <w:rPr>
          <w:rFonts w:cs="FrankRuehl" w:hint="eastAsia"/>
          <w:sz w:val="20"/>
          <w:szCs w:val="22"/>
          <w:rtl/>
        </w:rPr>
        <w:t>ועל</w:t>
      </w:r>
      <w:r>
        <w:rPr>
          <w:rFonts w:cs="FrankRuehl"/>
          <w:sz w:val="20"/>
          <w:szCs w:val="22"/>
          <w:rtl/>
        </w:rPr>
        <w:t xml:space="preserve"> </w:t>
      </w:r>
      <w:r>
        <w:rPr>
          <w:rFonts w:cs="FrankRuehl" w:hint="eastAsia"/>
          <w:sz w:val="20"/>
          <w:szCs w:val="22"/>
          <w:rtl/>
        </w:rPr>
        <w:t>תנאי</w:t>
      </w:r>
      <w:r>
        <w:rPr>
          <w:rFonts w:cs="FrankRuehl"/>
          <w:sz w:val="20"/>
          <w:szCs w:val="22"/>
          <w:rtl/>
        </w:rPr>
        <w:t xml:space="preserve"> </w:t>
      </w:r>
      <w:r>
        <w:rPr>
          <w:rFonts w:cs="FrankRuehl" w:hint="eastAsia"/>
          <w:sz w:val="20"/>
          <w:szCs w:val="22"/>
          <w:rtl/>
        </w:rPr>
        <w:t>החכירה</w:t>
      </w:r>
      <w:r>
        <w:rPr>
          <w:rFonts w:cs="FrankRuehl"/>
          <w:sz w:val="20"/>
          <w:szCs w:val="22"/>
          <w:rtl/>
        </w:rPr>
        <w:t xml:space="preserve"> </w:t>
      </w:r>
      <w:r>
        <w:rPr>
          <w:rFonts w:cs="FrankRuehl" w:hint="eastAsia"/>
          <w:sz w:val="20"/>
          <w:szCs w:val="22"/>
          <w:rtl/>
        </w:rPr>
        <w:t>בצירוף</w:t>
      </w:r>
      <w:r>
        <w:rPr>
          <w:rFonts w:cs="FrankRuehl"/>
          <w:sz w:val="20"/>
          <w:szCs w:val="22"/>
          <w:rtl/>
        </w:rPr>
        <w:t xml:space="preserve"> </w:t>
      </w:r>
      <w:r>
        <w:rPr>
          <w:rFonts w:cs="FrankRuehl" w:hint="eastAsia"/>
          <w:sz w:val="20"/>
          <w:szCs w:val="22"/>
          <w:rtl/>
        </w:rPr>
        <w:t>ההסכם</w:t>
      </w:r>
      <w:r>
        <w:rPr>
          <w:rFonts w:cs="FrankRuehl"/>
          <w:sz w:val="20"/>
          <w:szCs w:val="22"/>
          <w:rtl/>
        </w:rPr>
        <w:t xml:space="preserve"> </w:t>
      </w:r>
      <w:r>
        <w:rPr>
          <w:rFonts w:cs="FrankRuehl" w:hint="eastAsia"/>
          <w:sz w:val="20"/>
          <w:szCs w:val="22"/>
          <w:rtl/>
        </w:rPr>
        <w:t>המקנה</w:t>
      </w:r>
      <w:r>
        <w:rPr>
          <w:rFonts w:cs="FrankRuehl"/>
          <w:sz w:val="20"/>
          <w:szCs w:val="22"/>
          <w:rtl/>
        </w:rPr>
        <w:t xml:space="preserve"> </w:t>
      </w:r>
      <w:r>
        <w:rPr>
          <w:rFonts w:cs="FrankRuehl" w:hint="eastAsia"/>
          <w:sz w:val="20"/>
          <w:szCs w:val="22"/>
          <w:rtl/>
        </w:rPr>
        <w:t>את</w:t>
      </w:r>
      <w:r>
        <w:rPr>
          <w:rFonts w:cs="FrankRuehl"/>
          <w:sz w:val="20"/>
          <w:szCs w:val="22"/>
          <w:rtl/>
        </w:rPr>
        <w:t xml:space="preserve"> </w:t>
      </w:r>
      <w:r>
        <w:rPr>
          <w:rFonts w:cs="FrankRuehl" w:hint="eastAsia"/>
          <w:sz w:val="20"/>
          <w:szCs w:val="22"/>
          <w:rtl/>
        </w:rPr>
        <w:t>הזכות</w:t>
      </w:r>
      <w:r>
        <w:rPr>
          <w:rFonts w:cs="FrankRuehl"/>
          <w:sz w:val="20"/>
          <w:szCs w:val="22"/>
          <w:rtl/>
        </w:rPr>
        <w:t xml:space="preserve"> </w:t>
      </w:r>
      <w:r>
        <w:rPr>
          <w:rFonts w:cs="FrankRuehl" w:hint="eastAsia"/>
          <w:sz w:val="20"/>
          <w:szCs w:val="22"/>
          <w:rtl/>
        </w:rPr>
        <w:t>לרכישה</w:t>
      </w:r>
      <w:r>
        <w:rPr>
          <w:rFonts w:cs="FrankRuehl"/>
          <w:sz w:val="20"/>
          <w:szCs w:val="22"/>
          <w:rtl/>
        </w:rPr>
        <w:t xml:space="preserve"> </w:t>
      </w:r>
      <w:r>
        <w:rPr>
          <w:rFonts w:cs="FrankRuehl" w:hint="eastAsia"/>
          <w:sz w:val="20"/>
          <w:szCs w:val="22"/>
          <w:rtl/>
        </w:rPr>
        <w:t>חוזרת</w:t>
      </w:r>
      <w:r>
        <w:rPr>
          <w:rFonts w:cs="FrankRuehl"/>
          <w:sz w:val="20"/>
          <w:szCs w:val="22"/>
          <w:rtl/>
        </w:rPr>
        <w:t>;</w:t>
      </w:r>
      <w:r>
        <w:rPr>
          <w:rFonts w:cs="FrankRuehl" w:hint="eastAsia"/>
          <w:sz w:val="20"/>
          <w:szCs w:val="22"/>
          <w:rtl/>
        </w:rPr>
        <w:t xml:space="preserve"> הזכויות</w:t>
      </w:r>
      <w:r>
        <w:rPr>
          <w:rFonts w:cs="FrankRuehl"/>
          <w:sz w:val="20"/>
          <w:szCs w:val="22"/>
          <w:rtl/>
        </w:rPr>
        <w:t xml:space="preserve"> </w:t>
      </w:r>
      <w:r>
        <w:rPr>
          <w:rFonts w:cs="FrankRuehl" w:hint="eastAsia"/>
          <w:sz w:val="20"/>
          <w:szCs w:val="22"/>
          <w:rtl/>
        </w:rPr>
        <w:t>והמניות</w:t>
      </w:r>
      <w:r>
        <w:rPr>
          <w:rFonts w:cs="FrankRuehl"/>
          <w:sz w:val="20"/>
          <w:szCs w:val="22"/>
          <w:rtl/>
        </w:rPr>
        <w:t xml:space="preserve"> </w:t>
      </w:r>
      <w:r>
        <w:rPr>
          <w:rFonts w:cs="FrankRuehl" w:hint="eastAsia"/>
          <w:sz w:val="20"/>
          <w:szCs w:val="22"/>
          <w:rtl/>
        </w:rPr>
        <w:t>שנשארה</w:t>
      </w:r>
      <w:r>
        <w:rPr>
          <w:rFonts w:cs="FrankRuehl"/>
          <w:sz w:val="20"/>
          <w:szCs w:val="22"/>
          <w:rtl/>
        </w:rPr>
        <w:t xml:space="preserve"> </w:t>
      </w:r>
      <w:r>
        <w:rPr>
          <w:rFonts w:cs="FrankRuehl" w:hint="eastAsia"/>
          <w:sz w:val="20"/>
          <w:szCs w:val="22"/>
          <w:rtl/>
        </w:rPr>
        <w:t>לגביהן</w:t>
      </w:r>
      <w:r>
        <w:rPr>
          <w:rFonts w:cs="FrankRuehl"/>
          <w:sz w:val="20"/>
          <w:szCs w:val="22"/>
          <w:rtl/>
        </w:rPr>
        <w:t xml:space="preserve"> </w:t>
      </w:r>
      <w:r>
        <w:rPr>
          <w:rFonts w:cs="FrankRuehl" w:hint="eastAsia"/>
          <w:sz w:val="20"/>
          <w:szCs w:val="22"/>
          <w:rtl/>
        </w:rPr>
        <w:t>זכות</w:t>
      </w:r>
      <w:r>
        <w:rPr>
          <w:rFonts w:cs="FrankRuehl"/>
          <w:sz w:val="20"/>
          <w:szCs w:val="22"/>
          <w:rtl/>
        </w:rPr>
        <w:t xml:space="preserve"> </w:t>
      </w:r>
      <w:r>
        <w:rPr>
          <w:rFonts w:cs="FrankRuehl" w:hint="eastAsia"/>
          <w:sz w:val="20"/>
          <w:szCs w:val="22"/>
          <w:rtl/>
        </w:rPr>
        <w:t>לרכישה</w:t>
      </w:r>
      <w:r>
        <w:rPr>
          <w:rFonts w:cs="FrankRuehl"/>
          <w:sz w:val="20"/>
          <w:szCs w:val="22"/>
          <w:rtl/>
        </w:rPr>
        <w:t xml:space="preserve"> </w:t>
      </w:r>
      <w:r>
        <w:rPr>
          <w:rFonts w:cs="FrankRuehl" w:hint="eastAsia"/>
          <w:sz w:val="20"/>
          <w:szCs w:val="22"/>
          <w:rtl/>
        </w:rPr>
        <w:t>חוזרת</w:t>
      </w:r>
      <w:r>
        <w:rPr>
          <w:rStyle w:val="FootnoteReference"/>
          <w:rFonts w:cs="FrankRuehl"/>
          <w:sz w:val="20"/>
          <w:szCs w:val="22"/>
          <w:rtl/>
        </w:rPr>
        <w:footnoteReference w:id="9"/>
      </w:r>
      <w:r>
        <w:rPr>
          <w:rFonts w:cs="FrankRuehl"/>
          <w:sz w:val="20"/>
          <w:szCs w:val="22"/>
          <w:rtl/>
        </w:rPr>
        <w:t xml:space="preserve"> </w:t>
      </w:r>
      <w:r>
        <w:rPr>
          <w:rFonts w:cs="FrankRuehl" w:hint="eastAsia"/>
          <w:sz w:val="20"/>
          <w:szCs w:val="22"/>
          <w:rtl/>
        </w:rPr>
        <w:t>בצירוף</w:t>
      </w:r>
      <w:r>
        <w:rPr>
          <w:rFonts w:cs="FrankRuehl"/>
          <w:sz w:val="20"/>
          <w:szCs w:val="22"/>
          <w:rtl/>
        </w:rPr>
        <w:t xml:space="preserve"> </w:t>
      </w:r>
      <w:r>
        <w:rPr>
          <w:rFonts w:cs="FrankRuehl" w:hint="eastAsia"/>
          <w:sz w:val="20"/>
          <w:szCs w:val="22"/>
          <w:rtl/>
        </w:rPr>
        <w:t>ההסכם</w:t>
      </w:r>
      <w:r>
        <w:rPr>
          <w:rFonts w:cs="FrankRuehl"/>
          <w:sz w:val="20"/>
          <w:szCs w:val="22"/>
          <w:rtl/>
        </w:rPr>
        <w:t xml:space="preserve"> </w:t>
      </w:r>
      <w:r>
        <w:rPr>
          <w:rFonts w:cs="FrankRuehl" w:hint="eastAsia"/>
          <w:sz w:val="20"/>
          <w:szCs w:val="22"/>
          <w:rtl/>
        </w:rPr>
        <w:t>המקנה</w:t>
      </w:r>
      <w:r>
        <w:rPr>
          <w:rFonts w:cs="FrankRuehl"/>
          <w:sz w:val="20"/>
          <w:szCs w:val="22"/>
          <w:rtl/>
        </w:rPr>
        <w:t xml:space="preserve"> </w:t>
      </w:r>
      <w:r>
        <w:rPr>
          <w:rFonts w:cs="FrankRuehl" w:hint="eastAsia"/>
          <w:sz w:val="20"/>
          <w:szCs w:val="22"/>
          <w:rtl/>
        </w:rPr>
        <w:t>את</w:t>
      </w:r>
      <w:r>
        <w:rPr>
          <w:rFonts w:cs="FrankRuehl"/>
          <w:sz w:val="20"/>
          <w:szCs w:val="22"/>
          <w:rtl/>
        </w:rPr>
        <w:t xml:space="preserve"> </w:t>
      </w:r>
      <w:r>
        <w:rPr>
          <w:rFonts w:cs="FrankRuehl" w:hint="eastAsia"/>
          <w:sz w:val="20"/>
          <w:szCs w:val="22"/>
          <w:rtl/>
        </w:rPr>
        <w:t>הזכות</w:t>
      </w:r>
      <w:r>
        <w:rPr>
          <w:rFonts w:cs="FrankRuehl"/>
          <w:sz w:val="20"/>
          <w:szCs w:val="22"/>
          <w:rtl/>
        </w:rPr>
        <w:t xml:space="preserve"> </w:t>
      </w:r>
      <w:r>
        <w:rPr>
          <w:rFonts w:cs="FrankRuehl" w:hint="eastAsia"/>
          <w:sz w:val="20"/>
          <w:szCs w:val="22"/>
          <w:rtl/>
        </w:rPr>
        <w:t>לרכישה</w:t>
      </w:r>
      <w:r>
        <w:rPr>
          <w:rFonts w:cs="FrankRuehl"/>
          <w:sz w:val="20"/>
          <w:szCs w:val="22"/>
          <w:rtl/>
        </w:rPr>
        <w:t xml:space="preserve"> </w:t>
      </w:r>
      <w:r>
        <w:rPr>
          <w:rFonts w:cs="FrankRuehl" w:hint="eastAsia"/>
          <w:sz w:val="20"/>
          <w:szCs w:val="22"/>
          <w:rtl/>
        </w:rPr>
        <w:t>חוזרת</w:t>
      </w:r>
      <w:r>
        <w:rPr>
          <w:rFonts w:cs="FrankRuehl"/>
          <w:sz w:val="20"/>
          <w:szCs w:val="22"/>
          <w:rtl/>
        </w:rPr>
        <w:t>;</w:t>
      </w:r>
      <w:r>
        <w:rPr>
          <w:rFonts w:cs="FrankRuehl" w:hint="eastAsia"/>
          <w:sz w:val="20"/>
          <w:szCs w:val="22"/>
          <w:rtl/>
        </w:rPr>
        <w:t xml:space="preserve"> רשימת</w:t>
      </w:r>
      <w:r>
        <w:rPr>
          <w:rFonts w:cs="FrankRuehl"/>
          <w:sz w:val="20"/>
          <w:szCs w:val="22"/>
          <w:rtl/>
        </w:rPr>
        <w:t xml:space="preserve"> </w:t>
      </w:r>
      <w:r>
        <w:rPr>
          <w:rFonts w:cs="FrankRuehl" w:hint="eastAsia"/>
          <w:sz w:val="20"/>
          <w:szCs w:val="22"/>
          <w:rtl/>
        </w:rPr>
        <w:t>ניירות</w:t>
      </w:r>
      <w:r>
        <w:rPr>
          <w:rFonts w:cs="FrankRuehl"/>
          <w:sz w:val="20"/>
          <w:szCs w:val="22"/>
          <w:rtl/>
        </w:rPr>
        <w:t xml:space="preserve"> </w:t>
      </w:r>
      <w:r>
        <w:rPr>
          <w:rFonts w:cs="FrankRuehl" w:hint="eastAsia"/>
          <w:sz w:val="20"/>
          <w:szCs w:val="22"/>
          <w:rtl/>
        </w:rPr>
        <w:t>הערך</w:t>
      </w:r>
      <w:r>
        <w:rPr>
          <w:rFonts w:cs="FrankRuehl"/>
          <w:sz w:val="20"/>
          <w:szCs w:val="22"/>
          <w:rtl/>
        </w:rPr>
        <w:t xml:space="preserve"> </w:t>
      </w:r>
      <w:r>
        <w:rPr>
          <w:rFonts w:cs="FrankRuehl" w:hint="eastAsia"/>
          <w:sz w:val="20"/>
          <w:szCs w:val="22"/>
          <w:rtl/>
        </w:rPr>
        <w:t>שהועברה</w:t>
      </w:r>
      <w:r>
        <w:rPr>
          <w:rFonts w:cs="FrankRuehl"/>
          <w:sz w:val="20"/>
          <w:szCs w:val="22"/>
          <w:rtl/>
        </w:rPr>
        <w:t xml:space="preserve"> </w:t>
      </w:r>
      <w:r>
        <w:rPr>
          <w:rFonts w:cs="FrankRuehl" w:hint="eastAsia"/>
          <w:sz w:val="20"/>
          <w:szCs w:val="22"/>
          <w:rtl/>
        </w:rPr>
        <w:t>לחברת</w:t>
      </w:r>
      <w:r>
        <w:rPr>
          <w:rFonts w:cs="FrankRuehl"/>
          <w:sz w:val="20"/>
          <w:szCs w:val="22"/>
          <w:rtl/>
        </w:rPr>
        <w:t xml:space="preserve"> </w:t>
      </w:r>
      <w:r>
        <w:rPr>
          <w:rFonts w:cs="FrankRuehl" w:hint="eastAsia"/>
          <w:sz w:val="20"/>
          <w:szCs w:val="22"/>
          <w:rtl/>
        </w:rPr>
        <w:t>נאמנות</w:t>
      </w:r>
      <w:r>
        <w:rPr>
          <w:rFonts w:cs="FrankRuehl" w:hint="cs"/>
          <w:sz w:val="20"/>
          <w:szCs w:val="22"/>
          <w:rtl/>
        </w:rPr>
        <w:t xml:space="preserve"> בהתאם להוראות הכללים</w:t>
      </w:r>
      <w:r>
        <w:rPr>
          <w:rStyle w:val="FootnoteReference"/>
          <w:rFonts w:cs="FrankRuehl"/>
          <w:sz w:val="20"/>
          <w:szCs w:val="22"/>
          <w:rtl/>
        </w:rPr>
        <w:footnoteReference w:id="10"/>
      </w:r>
      <w:r>
        <w:rPr>
          <w:rFonts w:cs="FrankRuehl"/>
          <w:sz w:val="20"/>
          <w:szCs w:val="22"/>
          <w:rtl/>
        </w:rPr>
        <w:t xml:space="preserve"> </w:t>
      </w:r>
      <w:r>
        <w:rPr>
          <w:rFonts w:cs="FrankRuehl" w:hint="eastAsia"/>
          <w:sz w:val="20"/>
          <w:szCs w:val="22"/>
          <w:rtl/>
        </w:rPr>
        <w:t>והעתק</w:t>
      </w:r>
      <w:r>
        <w:rPr>
          <w:rFonts w:cs="FrankRuehl"/>
          <w:sz w:val="20"/>
          <w:szCs w:val="22"/>
          <w:rtl/>
        </w:rPr>
        <w:t xml:space="preserve"> </w:t>
      </w:r>
      <w:r>
        <w:rPr>
          <w:rFonts w:cs="FrankRuehl" w:hint="eastAsia"/>
          <w:sz w:val="20"/>
          <w:szCs w:val="22"/>
          <w:rtl/>
        </w:rPr>
        <w:t>משטר</w:t>
      </w:r>
      <w:r>
        <w:rPr>
          <w:rFonts w:cs="FrankRuehl"/>
          <w:sz w:val="20"/>
          <w:szCs w:val="22"/>
          <w:rtl/>
        </w:rPr>
        <w:t xml:space="preserve"> </w:t>
      </w:r>
      <w:r>
        <w:rPr>
          <w:rFonts w:cs="FrankRuehl" w:hint="eastAsia"/>
          <w:sz w:val="20"/>
          <w:szCs w:val="22"/>
          <w:rtl/>
        </w:rPr>
        <w:t>הנאמנות</w:t>
      </w:r>
      <w:r>
        <w:rPr>
          <w:rFonts w:cs="FrankRuehl"/>
          <w:sz w:val="20"/>
          <w:szCs w:val="22"/>
          <w:rtl/>
        </w:rPr>
        <w:t>;</w:t>
      </w:r>
      <w:r>
        <w:rPr>
          <w:rFonts w:cs="FrankRuehl" w:hint="eastAsia"/>
          <w:sz w:val="20"/>
          <w:szCs w:val="22"/>
          <w:rtl/>
        </w:rPr>
        <w:t xml:space="preserve"> רשימה</w:t>
      </w:r>
      <w:r>
        <w:rPr>
          <w:rFonts w:cs="FrankRuehl"/>
          <w:sz w:val="20"/>
          <w:szCs w:val="22"/>
          <w:rtl/>
        </w:rPr>
        <w:t xml:space="preserve"> </w:t>
      </w:r>
      <w:r>
        <w:rPr>
          <w:rFonts w:cs="FrankRuehl" w:hint="eastAsia"/>
          <w:sz w:val="20"/>
          <w:szCs w:val="22"/>
          <w:rtl/>
        </w:rPr>
        <w:t>מפורטת</w:t>
      </w:r>
      <w:r>
        <w:rPr>
          <w:rFonts w:cs="FrankRuehl"/>
          <w:sz w:val="20"/>
          <w:szCs w:val="22"/>
          <w:rtl/>
        </w:rPr>
        <w:t xml:space="preserve"> </w:t>
      </w:r>
      <w:r>
        <w:rPr>
          <w:rFonts w:cs="FrankRuehl" w:hint="eastAsia"/>
          <w:sz w:val="20"/>
          <w:szCs w:val="22"/>
          <w:rtl/>
        </w:rPr>
        <w:t>של</w:t>
      </w:r>
      <w:r>
        <w:rPr>
          <w:rFonts w:cs="FrankRuehl"/>
          <w:sz w:val="20"/>
          <w:szCs w:val="22"/>
          <w:rtl/>
        </w:rPr>
        <w:t xml:space="preserve"> </w:t>
      </w:r>
      <w:r>
        <w:rPr>
          <w:rFonts w:cs="FrankRuehl" w:hint="eastAsia"/>
          <w:sz w:val="20"/>
          <w:szCs w:val="22"/>
          <w:rtl/>
        </w:rPr>
        <w:t>כל</w:t>
      </w:r>
      <w:r>
        <w:rPr>
          <w:rFonts w:cs="FrankRuehl"/>
          <w:sz w:val="20"/>
          <w:szCs w:val="22"/>
          <w:rtl/>
        </w:rPr>
        <w:t xml:space="preserve"> </w:t>
      </w:r>
      <w:r>
        <w:rPr>
          <w:rFonts w:cs="FrankRuehl" w:hint="eastAsia"/>
          <w:sz w:val="20"/>
          <w:szCs w:val="22"/>
          <w:rtl/>
        </w:rPr>
        <w:t>התפקידים</w:t>
      </w:r>
      <w:r>
        <w:rPr>
          <w:rFonts w:cs="FrankRuehl"/>
          <w:sz w:val="20"/>
          <w:szCs w:val="22"/>
          <w:rtl/>
        </w:rPr>
        <w:t xml:space="preserve">, </w:t>
      </w:r>
      <w:r>
        <w:rPr>
          <w:rFonts w:cs="FrankRuehl" w:hint="eastAsia"/>
          <w:sz w:val="20"/>
          <w:szCs w:val="22"/>
          <w:rtl/>
        </w:rPr>
        <w:t>המשרות</w:t>
      </w:r>
      <w:r>
        <w:rPr>
          <w:rFonts w:cs="FrankRuehl"/>
          <w:sz w:val="20"/>
          <w:szCs w:val="22"/>
          <w:rtl/>
        </w:rPr>
        <w:t xml:space="preserve"> </w:t>
      </w:r>
      <w:r>
        <w:rPr>
          <w:rFonts w:cs="FrankRuehl" w:hint="eastAsia"/>
          <w:sz w:val="20"/>
          <w:szCs w:val="22"/>
          <w:rtl/>
        </w:rPr>
        <w:t>והכהונות</w:t>
      </w:r>
      <w:r>
        <w:rPr>
          <w:rFonts w:cs="FrankRuehl"/>
          <w:sz w:val="20"/>
          <w:szCs w:val="22"/>
          <w:rtl/>
        </w:rPr>
        <w:t xml:space="preserve"> </w:t>
      </w:r>
      <w:r>
        <w:rPr>
          <w:rFonts w:cs="FrankRuehl" w:hint="eastAsia"/>
          <w:sz w:val="20"/>
          <w:szCs w:val="22"/>
          <w:rtl/>
        </w:rPr>
        <w:t>שבהן</w:t>
      </w:r>
      <w:r>
        <w:rPr>
          <w:rFonts w:cs="FrankRuehl"/>
          <w:sz w:val="20"/>
          <w:szCs w:val="22"/>
          <w:rtl/>
        </w:rPr>
        <w:t xml:space="preserve"> </w:t>
      </w:r>
      <w:r>
        <w:rPr>
          <w:rFonts w:cs="FrankRuehl" w:hint="eastAsia"/>
          <w:sz w:val="20"/>
          <w:szCs w:val="22"/>
          <w:rtl/>
        </w:rPr>
        <w:t>החזיק</w:t>
      </w:r>
      <w:r>
        <w:rPr>
          <w:rFonts w:cs="FrankRuehl"/>
          <w:sz w:val="20"/>
          <w:szCs w:val="22"/>
          <w:rtl/>
        </w:rPr>
        <w:t xml:space="preserve"> </w:t>
      </w:r>
      <w:r>
        <w:rPr>
          <w:rFonts w:cs="FrankRuehl" w:hint="eastAsia"/>
          <w:sz w:val="20"/>
          <w:szCs w:val="22"/>
          <w:rtl/>
        </w:rPr>
        <w:t>השר</w:t>
      </w:r>
      <w:r>
        <w:rPr>
          <w:rFonts w:cs="FrankRuehl"/>
          <w:sz w:val="20"/>
          <w:szCs w:val="22"/>
          <w:rtl/>
        </w:rPr>
        <w:t xml:space="preserve"> </w:t>
      </w:r>
      <w:r>
        <w:rPr>
          <w:rFonts w:cs="FrankRuehl" w:hint="eastAsia"/>
          <w:sz w:val="20"/>
          <w:szCs w:val="22"/>
          <w:rtl/>
        </w:rPr>
        <w:t>לפני</w:t>
      </w:r>
      <w:r>
        <w:rPr>
          <w:rFonts w:cs="FrankRuehl"/>
          <w:sz w:val="20"/>
          <w:szCs w:val="22"/>
          <w:rtl/>
        </w:rPr>
        <w:t xml:space="preserve"> </w:t>
      </w:r>
      <w:r>
        <w:rPr>
          <w:rFonts w:cs="FrankRuehl" w:hint="eastAsia"/>
          <w:sz w:val="20"/>
          <w:szCs w:val="22"/>
          <w:rtl/>
        </w:rPr>
        <w:t>מינויו</w:t>
      </w:r>
      <w:r>
        <w:rPr>
          <w:rFonts w:cs="FrankRuehl"/>
          <w:sz w:val="20"/>
          <w:szCs w:val="22"/>
          <w:rtl/>
        </w:rPr>
        <w:t xml:space="preserve"> </w:t>
      </w:r>
      <w:r>
        <w:rPr>
          <w:rFonts w:cs="FrankRuehl" w:hint="eastAsia"/>
          <w:sz w:val="20"/>
          <w:szCs w:val="22"/>
          <w:rtl/>
        </w:rPr>
        <w:t>ואשר</w:t>
      </w:r>
      <w:r>
        <w:rPr>
          <w:rFonts w:cs="FrankRuehl"/>
          <w:sz w:val="20"/>
          <w:szCs w:val="22"/>
          <w:rtl/>
        </w:rPr>
        <w:t xml:space="preserve"> </w:t>
      </w:r>
      <w:r>
        <w:rPr>
          <w:rFonts w:cs="FrankRuehl" w:hint="eastAsia"/>
          <w:sz w:val="20"/>
          <w:szCs w:val="22"/>
          <w:rtl/>
        </w:rPr>
        <w:t>מהן</w:t>
      </w:r>
      <w:r>
        <w:rPr>
          <w:rFonts w:cs="FrankRuehl"/>
          <w:sz w:val="20"/>
          <w:szCs w:val="22"/>
          <w:rtl/>
        </w:rPr>
        <w:t xml:space="preserve"> </w:t>
      </w:r>
      <w:r>
        <w:rPr>
          <w:rFonts w:cs="FrankRuehl" w:hint="eastAsia"/>
          <w:sz w:val="20"/>
          <w:szCs w:val="22"/>
          <w:rtl/>
        </w:rPr>
        <w:t>התפטר</w:t>
      </w:r>
      <w:r>
        <w:rPr>
          <w:rFonts w:cs="FrankRuehl"/>
          <w:sz w:val="20"/>
          <w:szCs w:val="22"/>
          <w:rtl/>
        </w:rPr>
        <w:t xml:space="preserve"> </w:t>
      </w:r>
      <w:r>
        <w:rPr>
          <w:rFonts w:cs="FrankRuehl" w:hint="eastAsia"/>
          <w:sz w:val="20"/>
          <w:szCs w:val="22"/>
          <w:rtl/>
        </w:rPr>
        <w:t>על</w:t>
      </w:r>
      <w:r>
        <w:rPr>
          <w:rFonts w:cs="FrankRuehl"/>
          <w:sz w:val="20"/>
          <w:szCs w:val="22"/>
          <w:rtl/>
        </w:rPr>
        <w:t xml:space="preserve"> </w:t>
      </w:r>
      <w:r>
        <w:rPr>
          <w:rFonts w:cs="FrankRuehl" w:hint="eastAsia"/>
          <w:sz w:val="20"/>
          <w:szCs w:val="22"/>
          <w:rtl/>
        </w:rPr>
        <w:t>פי</w:t>
      </w:r>
      <w:r>
        <w:rPr>
          <w:rFonts w:cs="FrankRuehl"/>
          <w:sz w:val="20"/>
          <w:szCs w:val="22"/>
          <w:rtl/>
        </w:rPr>
        <w:t xml:space="preserve"> </w:t>
      </w:r>
      <w:r>
        <w:rPr>
          <w:rFonts w:cs="FrankRuehl" w:hint="eastAsia"/>
          <w:sz w:val="20"/>
          <w:szCs w:val="22"/>
          <w:rtl/>
        </w:rPr>
        <w:t>כללים</w:t>
      </w:r>
      <w:r>
        <w:rPr>
          <w:rFonts w:cs="FrankRuehl"/>
          <w:sz w:val="20"/>
          <w:szCs w:val="22"/>
          <w:rtl/>
        </w:rPr>
        <w:t xml:space="preserve"> </w:t>
      </w:r>
      <w:r>
        <w:rPr>
          <w:rFonts w:cs="FrankRuehl" w:hint="eastAsia"/>
          <w:sz w:val="20"/>
          <w:szCs w:val="22"/>
          <w:rtl/>
        </w:rPr>
        <w:t>אלה</w:t>
      </w:r>
      <w:r>
        <w:rPr>
          <w:rFonts w:cs="FrankRuehl"/>
          <w:sz w:val="20"/>
          <w:szCs w:val="22"/>
          <w:rtl/>
        </w:rPr>
        <w:t xml:space="preserve">, </w:t>
      </w:r>
      <w:r>
        <w:rPr>
          <w:rFonts w:cs="FrankRuehl" w:hint="eastAsia"/>
          <w:sz w:val="20"/>
          <w:szCs w:val="22"/>
          <w:rtl/>
        </w:rPr>
        <w:t>ורשימת</w:t>
      </w:r>
      <w:r>
        <w:rPr>
          <w:rFonts w:cs="FrankRuehl"/>
          <w:sz w:val="20"/>
          <w:szCs w:val="22"/>
          <w:rtl/>
        </w:rPr>
        <w:t xml:space="preserve"> </w:t>
      </w:r>
      <w:r>
        <w:rPr>
          <w:rFonts w:cs="FrankRuehl" w:hint="eastAsia"/>
          <w:sz w:val="20"/>
          <w:szCs w:val="22"/>
          <w:rtl/>
        </w:rPr>
        <w:t>התפקידים</w:t>
      </w:r>
      <w:r>
        <w:rPr>
          <w:rFonts w:cs="FrankRuehl"/>
          <w:sz w:val="20"/>
          <w:szCs w:val="22"/>
          <w:rtl/>
        </w:rPr>
        <w:t xml:space="preserve">, </w:t>
      </w:r>
      <w:r>
        <w:rPr>
          <w:rFonts w:cs="FrankRuehl" w:hint="eastAsia"/>
          <w:sz w:val="20"/>
          <w:szCs w:val="22"/>
          <w:rtl/>
        </w:rPr>
        <w:t>המשרות</w:t>
      </w:r>
      <w:r>
        <w:rPr>
          <w:rFonts w:cs="FrankRuehl"/>
          <w:sz w:val="20"/>
          <w:szCs w:val="22"/>
          <w:rtl/>
        </w:rPr>
        <w:t xml:space="preserve"> </w:t>
      </w:r>
      <w:r>
        <w:rPr>
          <w:rFonts w:cs="FrankRuehl" w:hint="eastAsia"/>
          <w:sz w:val="20"/>
          <w:szCs w:val="22"/>
          <w:rtl/>
        </w:rPr>
        <w:t>והכהונות</w:t>
      </w:r>
      <w:r>
        <w:rPr>
          <w:rFonts w:cs="FrankRuehl"/>
          <w:sz w:val="20"/>
          <w:szCs w:val="22"/>
          <w:rtl/>
        </w:rPr>
        <w:t xml:space="preserve"> </w:t>
      </w:r>
      <w:r>
        <w:rPr>
          <w:rFonts w:cs="FrankRuehl" w:hint="eastAsia"/>
          <w:sz w:val="20"/>
          <w:szCs w:val="22"/>
          <w:rtl/>
        </w:rPr>
        <w:t>שהשר</w:t>
      </w:r>
      <w:r>
        <w:rPr>
          <w:rFonts w:cs="FrankRuehl"/>
          <w:sz w:val="20"/>
          <w:szCs w:val="22"/>
          <w:rtl/>
        </w:rPr>
        <w:t xml:space="preserve"> </w:t>
      </w:r>
      <w:r>
        <w:rPr>
          <w:rFonts w:cs="FrankRuehl" w:hint="eastAsia"/>
          <w:sz w:val="20"/>
          <w:szCs w:val="22"/>
          <w:rtl/>
        </w:rPr>
        <w:t>ממשיך</w:t>
      </w:r>
      <w:r>
        <w:rPr>
          <w:rFonts w:cs="FrankRuehl"/>
          <w:sz w:val="20"/>
          <w:szCs w:val="22"/>
          <w:rtl/>
        </w:rPr>
        <w:t xml:space="preserve"> </w:t>
      </w:r>
      <w:r>
        <w:rPr>
          <w:rFonts w:cs="FrankRuehl" w:hint="eastAsia"/>
          <w:sz w:val="20"/>
          <w:szCs w:val="22"/>
          <w:rtl/>
        </w:rPr>
        <w:t>להחזיק</w:t>
      </w:r>
      <w:r>
        <w:rPr>
          <w:rFonts w:cs="FrankRuehl"/>
          <w:sz w:val="20"/>
          <w:szCs w:val="22"/>
          <w:rtl/>
        </w:rPr>
        <w:t xml:space="preserve"> </w:t>
      </w:r>
      <w:r>
        <w:rPr>
          <w:rFonts w:cs="FrankRuehl" w:hint="eastAsia"/>
          <w:sz w:val="20"/>
          <w:szCs w:val="22"/>
          <w:rtl/>
        </w:rPr>
        <w:t>בהן</w:t>
      </w:r>
      <w:r>
        <w:rPr>
          <w:rFonts w:cs="FrankRuehl"/>
          <w:sz w:val="20"/>
          <w:szCs w:val="22"/>
          <w:rtl/>
        </w:rPr>
        <w:t xml:space="preserve"> </w:t>
      </w:r>
      <w:r>
        <w:rPr>
          <w:rFonts w:cs="FrankRuehl" w:hint="eastAsia"/>
          <w:sz w:val="20"/>
          <w:szCs w:val="22"/>
          <w:rtl/>
        </w:rPr>
        <w:t>לאחר</w:t>
      </w:r>
      <w:r>
        <w:rPr>
          <w:rFonts w:cs="FrankRuehl"/>
          <w:sz w:val="20"/>
          <w:szCs w:val="22"/>
          <w:rtl/>
        </w:rPr>
        <w:t xml:space="preserve"> </w:t>
      </w:r>
      <w:r>
        <w:rPr>
          <w:rFonts w:cs="FrankRuehl" w:hint="eastAsia"/>
          <w:sz w:val="20"/>
          <w:szCs w:val="22"/>
          <w:rtl/>
        </w:rPr>
        <w:t>מינויו</w:t>
      </w:r>
      <w:r>
        <w:rPr>
          <w:rFonts w:cs="FrankRuehl"/>
          <w:sz w:val="20"/>
          <w:szCs w:val="22"/>
          <w:rtl/>
        </w:rPr>
        <w:t>.</w:t>
      </w:r>
    </w:p>
    <w:p>
      <w:pPr>
        <w:spacing w:line="230" w:lineRule="exact"/>
        <w:ind w:left="0" w:right="0"/>
        <w:jc w:val="left"/>
        <w:rPr>
          <w:rFonts w:cs="FrankRuehl" w:hint="cs"/>
          <w:sz w:val="20"/>
          <w:szCs w:val="22"/>
          <w:rtl/>
        </w:rPr>
      </w:pPr>
    </w:p>
    <w:p>
      <w:pPr>
        <w:spacing w:after="120" w:line="230" w:lineRule="exact"/>
        <w:ind w:left="0" w:right="0"/>
        <w:jc w:val="left"/>
        <w:rPr>
          <w:rFonts w:cs="FrankRuehl" w:hint="cs"/>
          <w:sz w:val="20"/>
          <w:szCs w:val="22"/>
          <w:rtl/>
        </w:rPr>
      </w:pPr>
    </w:p>
    <w:p>
      <w:pPr>
        <w:pStyle w:val="KOT4"/>
        <w:ind w:left="0" w:right="0"/>
        <w:jc w:val="left"/>
        <w:rPr>
          <w:rFonts w:hint="cs"/>
          <w:rtl/>
        </w:rPr>
      </w:pPr>
      <w:r>
        <w:rPr>
          <w:rFonts w:hint="cs"/>
          <w:rtl/>
        </w:rPr>
        <w:t>פניות השר אהוד ברק למבקר המדינה ולוועדה למתן היתרים</w:t>
      </w:r>
    </w:p>
    <w:p>
      <w:pPr>
        <w:spacing w:after="120" w:line="226" w:lineRule="exact"/>
        <w:ind w:left="0" w:right="0"/>
        <w:jc w:val="both"/>
        <w:rPr>
          <w:rFonts w:cs="FrankRuehl" w:hint="cs"/>
          <w:sz w:val="20"/>
          <w:szCs w:val="22"/>
          <w:rtl/>
        </w:rPr>
      </w:pPr>
      <w:r>
        <w:rPr>
          <w:rFonts w:cs="FrankRuehl" w:hint="cs"/>
          <w:sz w:val="20"/>
          <w:szCs w:val="22"/>
          <w:rtl/>
        </w:rPr>
        <w:t xml:space="preserve">להלן יפורטו הרקע העובדתי והטיפול של הוועדה למתן היתרים בפניות השר למבקר המדינה ולוועדה למתן היתרים לפני אוקטובר 2009, המועד שבו פנתה הוועדה לענייני ביקורת המדינה למבקר המדינה בהתאם לסעיף 21 לחוק מבקר המדינה, </w:t>
      </w:r>
      <w:r>
        <w:rPr>
          <w:rFonts w:cs="FrankRuehl"/>
          <w:sz w:val="20"/>
          <w:szCs w:val="22"/>
          <w:rtl/>
        </w:rPr>
        <w:t>התשי"ח-1958 [נוסח משולב]</w:t>
      </w:r>
      <w:r>
        <w:rPr>
          <w:rFonts w:cs="FrankRuehl" w:hint="cs"/>
          <w:sz w:val="20"/>
          <w:szCs w:val="22"/>
          <w:rtl/>
        </w:rPr>
        <w:t xml:space="preserve"> (להלן: החוק) על מנת שיכין חוות דעת בנושא.</w:t>
      </w:r>
    </w:p>
    <w:p>
      <w:pPr>
        <w:spacing w:after="120" w:line="226" w:lineRule="exact"/>
        <w:ind w:left="0" w:right="0"/>
        <w:jc w:val="both"/>
        <w:rPr>
          <w:rFonts w:cs="FrankRuehl" w:hint="cs"/>
          <w:sz w:val="20"/>
          <w:szCs w:val="22"/>
          <w:rtl/>
        </w:rPr>
      </w:pPr>
      <w:r>
        <w:rPr>
          <w:rFonts w:cs="FrankRuehl"/>
          <w:sz w:val="20"/>
          <w:szCs w:val="22"/>
          <w:rtl/>
        </w:rPr>
        <w:t>ב</w:t>
      </w:r>
      <w:r>
        <w:rPr>
          <w:rFonts w:cs="FrankRuehl" w:hint="cs"/>
          <w:sz w:val="20"/>
          <w:szCs w:val="22"/>
          <w:rtl/>
        </w:rPr>
        <w:t>-28.5.07</w:t>
      </w:r>
      <w:r>
        <w:rPr>
          <w:rFonts w:cs="FrankRuehl"/>
          <w:sz w:val="20"/>
          <w:szCs w:val="22"/>
          <w:rtl/>
        </w:rPr>
        <w:t xml:space="preserve"> נערך הסיבוב הראשון של הבחירות לראשות מפלגת העבודה</w:t>
      </w:r>
      <w:r>
        <w:rPr>
          <w:rFonts w:cs="FrankRuehl" w:hint="cs"/>
          <w:sz w:val="20"/>
          <w:szCs w:val="22"/>
          <w:rtl/>
        </w:rPr>
        <w:t>, ש</w:t>
      </w:r>
      <w:r>
        <w:rPr>
          <w:rFonts w:cs="FrankRuehl"/>
          <w:sz w:val="20"/>
          <w:szCs w:val="22"/>
          <w:rtl/>
        </w:rPr>
        <w:t xml:space="preserve">התמודדו </w:t>
      </w:r>
      <w:r>
        <w:rPr>
          <w:rFonts w:cs="FrankRuehl" w:hint="cs"/>
          <w:sz w:val="20"/>
          <w:szCs w:val="22"/>
          <w:rtl/>
        </w:rPr>
        <w:t xml:space="preserve">בו </w:t>
      </w:r>
      <w:r>
        <w:rPr>
          <w:rFonts w:cs="FrankRuehl"/>
          <w:sz w:val="20"/>
          <w:szCs w:val="22"/>
          <w:rtl/>
        </w:rPr>
        <w:t xml:space="preserve">חמישה מועמדים: היושב ראש </w:t>
      </w:r>
      <w:r>
        <w:rPr>
          <w:rFonts w:cs="FrankRuehl" w:hint="cs"/>
          <w:sz w:val="20"/>
          <w:szCs w:val="22"/>
          <w:rtl/>
        </w:rPr>
        <w:t>דאז,</w:t>
      </w:r>
      <w:r>
        <w:rPr>
          <w:rFonts w:cs="FrankRuehl"/>
          <w:sz w:val="20"/>
          <w:szCs w:val="22"/>
          <w:rtl/>
        </w:rPr>
        <w:t xml:space="preserve"> שר</w:t>
      </w:r>
      <w:r>
        <w:rPr>
          <w:rFonts w:cs="FrankRuehl" w:hint="cs"/>
          <w:sz w:val="20"/>
          <w:szCs w:val="22"/>
          <w:rtl/>
        </w:rPr>
        <w:t xml:space="preserve"> הביטחון</w:t>
      </w:r>
      <w:r>
        <w:rPr>
          <w:rFonts w:cs="FrankRuehl"/>
          <w:sz w:val="20"/>
          <w:szCs w:val="22"/>
          <w:rtl/>
        </w:rPr>
        <w:t xml:space="preserve"> </w:t>
      </w:r>
      <w:r>
        <w:rPr>
          <w:rFonts w:cs="FrankRuehl" w:hint="cs"/>
          <w:sz w:val="20"/>
          <w:szCs w:val="22"/>
          <w:rtl/>
        </w:rPr>
        <w:t xml:space="preserve">(דאז) ח"כ </w:t>
      </w:r>
      <w:r>
        <w:rPr>
          <w:rFonts w:cs="FrankRuehl"/>
          <w:sz w:val="20"/>
          <w:szCs w:val="22"/>
          <w:rtl/>
        </w:rPr>
        <w:t xml:space="preserve">עמיר פרץ, ח"כ </w:t>
      </w:r>
      <w:r>
        <w:rPr>
          <w:rFonts w:cs="FrankRuehl" w:hint="cs"/>
          <w:sz w:val="20"/>
          <w:szCs w:val="22"/>
          <w:rtl/>
        </w:rPr>
        <w:t xml:space="preserve">(דאז) </w:t>
      </w:r>
      <w:r>
        <w:rPr>
          <w:rFonts w:cs="FrankRuehl"/>
          <w:sz w:val="20"/>
          <w:szCs w:val="22"/>
          <w:rtl/>
        </w:rPr>
        <w:t xml:space="preserve">עמי איילון, </w:t>
      </w:r>
      <w:r>
        <w:rPr>
          <w:rFonts w:cs="FrankRuehl" w:hint="cs"/>
          <w:sz w:val="20"/>
          <w:szCs w:val="22"/>
          <w:rtl/>
        </w:rPr>
        <w:t xml:space="preserve">מר </w:t>
      </w:r>
      <w:r>
        <w:rPr>
          <w:rFonts w:cs="FrankRuehl"/>
          <w:sz w:val="20"/>
          <w:szCs w:val="22"/>
          <w:rtl/>
        </w:rPr>
        <w:t xml:space="preserve">אהוד ברק, ח"כ </w:t>
      </w:r>
      <w:r>
        <w:rPr>
          <w:rFonts w:cs="FrankRuehl" w:hint="cs"/>
          <w:sz w:val="20"/>
          <w:szCs w:val="22"/>
          <w:rtl/>
        </w:rPr>
        <w:t xml:space="preserve">(דאז) </w:t>
      </w:r>
      <w:r>
        <w:rPr>
          <w:rFonts w:cs="FrankRuehl"/>
          <w:sz w:val="20"/>
          <w:szCs w:val="22"/>
          <w:rtl/>
        </w:rPr>
        <w:t xml:space="preserve">אופיר פינס-פז וח"כ </w:t>
      </w:r>
      <w:r>
        <w:rPr>
          <w:rFonts w:cs="FrankRuehl" w:hint="cs"/>
          <w:sz w:val="20"/>
          <w:szCs w:val="22"/>
          <w:rtl/>
        </w:rPr>
        <w:t xml:space="preserve">(דאז) </w:t>
      </w:r>
      <w:r>
        <w:rPr>
          <w:rFonts w:cs="FrankRuehl"/>
          <w:sz w:val="20"/>
          <w:szCs w:val="22"/>
          <w:rtl/>
        </w:rPr>
        <w:t xml:space="preserve">דני יתום. </w:t>
      </w:r>
      <w:r>
        <w:rPr>
          <w:rFonts w:cs="FrankRuehl" w:hint="cs"/>
          <w:sz w:val="20"/>
          <w:szCs w:val="22"/>
          <w:rtl/>
        </w:rPr>
        <w:t xml:space="preserve">הוסכם שהזוכה ימונה לשר הביטחון והדברים אף פורסמו בכלי התקשורת. </w:t>
      </w:r>
      <w:r>
        <w:rPr>
          <w:rFonts w:cs="FrankRuehl"/>
          <w:sz w:val="20"/>
          <w:szCs w:val="22"/>
          <w:rtl/>
        </w:rPr>
        <w:t xml:space="preserve">בסיבוב הראשון לא </w:t>
      </w:r>
      <w:r>
        <w:rPr>
          <w:rFonts w:cs="FrankRuehl" w:hint="cs"/>
          <w:sz w:val="20"/>
          <w:szCs w:val="22"/>
          <w:rtl/>
        </w:rPr>
        <w:t xml:space="preserve">קיבל </w:t>
      </w:r>
      <w:r>
        <w:rPr>
          <w:rFonts w:cs="FrankRuehl"/>
          <w:sz w:val="20"/>
          <w:szCs w:val="22"/>
          <w:rtl/>
        </w:rPr>
        <w:t>איש מהמתמודדים 40% מן הקולות</w:t>
      </w:r>
      <w:r>
        <w:rPr>
          <w:rFonts w:cs="FrankRuehl" w:hint="cs"/>
          <w:sz w:val="20"/>
          <w:szCs w:val="22"/>
          <w:rtl/>
        </w:rPr>
        <w:t>,</w:t>
      </w:r>
      <w:r>
        <w:rPr>
          <w:rFonts w:cs="FrankRuehl"/>
          <w:sz w:val="20"/>
          <w:szCs w:val="22"/>
          <w:rtl/>
        </w:rPr>
        <w:t xml:space="preserve"> ולכן </w:t>
      </w:r>
      <w:r>
        <w:rPr>
          <w:rFonts w:cs="FrankRuehl" w:hint="cs"/>
          <w:sz w:val="20"/>
          <w:szCs w:val="22"/>
          <w:rtl/>
        </w:rPr>
        <w:t>על פי תקנון המפלגה</w:t>
      </w:r>
      <w:r>
        <w:rPr>
          <w:rStyle w:val="FootnoteReference"/>
          <w:rFonts w:cs="FrankRuehl"/>
          <w:sz w:val="20"/>
          <w:szCs w:val="22"/>
          <w:rtl/>
        </w:rPr>
        <w:footnoteReference w:id="11"/>
      </w:r>
      <w:r>
        <w:rPr>
          <w:rFonts w:cs="FrankRuehl" w:hint="cs"/>
          <w:sz w:val="20"/>
          <w:szCs w:val="22"/>
          <w:rtl/>
        </w:rPr>
        <w:t xml:space="preserve">, </w:t>
      </w:r>
      <w:r>
        <w:rPr>
          <w:rFonts w:cs="FrankRuehl"/>
          <w:sz w:val="20"/>
          <w:szCs w:val="22"/>
          <w:rtl/>
        </w:rPr>
        <w:t>נקבע סיבוב שני</w:t>
      </w:r>
      <w:r>
        <w:rPr>
          <w:rFonts w:cs="FrankRuehl" w:hint="cs"/>
          <w:sz w:val="20"/>
          <w:szCs w:val="22"/>
          <w:rtl/>
        </w:rPr>
        <w:t xml:space="preserve"> שבו התמודדו ב-12.6.07 אהוד ברק ועמי איילון; אהוד </w:t>
      </w:r>
      <w:r>
        <w:rPr>
          <w:rFonts w:cs="FrankRuehl"/>
          <w:sz w:val="20"/>
          <w:szCs w:val="22"/>
          <w:rtl/>
        </w:rPr>
        <w:t>ברק</w:t>
      </w:r>
      <w:r>
        <w:rPr>
          <w:rFonts w:cs="FrankRuehl" w:hint="cs"/>
          <w:sz w:val="20"/>
          <w:szCs w:val="22"/>
          <w:rtl/>
        </w:rPr>
        <w:t xml:space="preserve"> ניצח וצורף עקב כך ב-18.6.07 לממשלה בתפקיד שר הביטחון </w:t>
      </w:r>
      <w:r>
        <w:rPr>
          <w:rFonts w:cs="FrankRuehl"/>
          <w:sz w:val="20"/>
          <w:szCs w:val="22"/>
          <w:rtl/>
        </w:rPr>
        <w:t xml:space="preserve">במקומו של </w:t>
      </w:r>
      <w:r>
        <w:rPr>
          <w:rFonts w:cs="FrankRuehl" w:hint="cs"/>
          <w:sz w:val="20"/>
          <w:szCs w:val="22"/>
          <w:rtl/>
        </w:rPr>
        <w:t xml:space="preserve">ח"כ </w:t>
      </w:r>
      <w:r>
        <w:rPr>
          <w:rFonts w:cs="FrankRuehl"/>
          <w:sz w:val="20"/>
          <w:szCs w:val="22"/>
          <w:rtl/>
        </w:rPr>
        <w:t>עמיר פרץ</w:t>
      </w:r>
      <w:r>
        <w:rPr>
          <w:rFonts w:cs="FrankRuehl" w:hint="cs"/>
          <w:sz w:val="20"/>
          <w:szCs w:val="22"/>
          <w:rtl/>
        </w:rPr>
        <w:t xml:space="preserve">. </w:t>
      </w:r>
    </w:p>
    <w:p>
      <w:pPr>
        <w:spacing w:after="120" w:line="230" w:lineRule="exact"/>
        <w:ind w:left="0" w:right="0"/>
        <w:jc w:val="both"/>
        <w:rPr>
          <w:rFonts w:cs="FrankRuehl" w:hint="cs"/>
          <w:b/>
          <w:bCs/>
          <w:sz w:val="20"/>
          <w:szCs w:val="22"/>
          <w:rtl/>
        </w:rPr>
      </w:pPr>
      <w:r>
        <w:rPr>
          <w:rFonts w:cs="FrankRuehl"/>
          <w:sz w:val="20"/>
          <w:szCs w:val="22"/>
          <w:rtl/>
        </w:rPr>
        <w:br w:type="page"/>
      </w:r>
      <w:r>
        <w:rPr>
          <w:rFonts w:cs="FrankRuehl" w:hint="cs"/>
          <w:sz w:val="20"/>
          <w:szCs w:val="22"/>
          <w:rtl/>
        </w:rPr>
        <w:t xml:space="preserve">ב-16.7.07 פנה מבקר המדינה לשר אהוד ברק בבקשה להמציא לו טופס הצהרת הון של שרים וסגני שרים בתוך 60 ימים, בהתאם לכלל 17 לכללים. ב-2.8.07 פנה נציג אהוד ברק וביקש דחייה של חודש במסירת טופס ההצהרה. ב-7.8.07 שלח עוזר מבקר המדינה את אישור מבקר המדינה לדחיית המועד האחרון להגשת ההצהרה. ב-15.8.07 פנה שוב נציגו של השר ברק וביקש כי "האורכה... להגשת ההצהרה, תחול גם על מילוי פעולותיו של מר ברק כאמור בסעיפים 13 ו-16 לכללים שבנדון". ב-15.8.07 השיב עוזר מבקר המדינה כי המבקר אישר את האַרְכָּה, כמבוקש. </w:t>
      </w:r>
      <w:r>
        <w:rPr>
          <w:rFonts w:cs="FrankRuehl" w:hint="cs"/>
          <w:b/>
          <w:bCs/>
          <w:sz w:val="20"/>
          <w:szCs w:val="22"/>
          <w:rtl/>
        </w:rPr>
        <w:t xml:space="preserve">יוזכר כי הפנייה האמורה לארכה לעניין סעיף 13 באה חודשיים לאחר שהעברת המניות כבר בוצעה בפועל. </w:t>
      </w:r>
    </w:p>
    <w:p>
      <w:pPr>
        <w:spacing w:after="120" w:line="230" w:lineRule="exact"/>
        <w:ind w:left="0" w:right="0"/>
        <w:jc w:val="both"/>
        <w:rPr>
          <w:rFonts w:cs="FrankRuehl" w:hint="cs"/>
          <w:sz w:val="20"/>
          <w:szCs w:val="22"/>
          <w:rtl/>
        </w:rPr>
      </w:pPr>
      <w:r>
        <w:rPr>
          <w:rFonts w:cs="FrankRuehl" w:hint="cs"/>
          <w:sz w:val="20"/>
          <w:szCs w:val="22"/>
          <w:rtl/>
        </w:rPr>
        <w:t>ב-</w:t>
      </w:r>
      <w:r>
        <w:rPr>
          <w:rFonts w:cs="FrankRuehl"/>
          <w:sz w:val="20"/>
          <w:szCs w:val="22"/>
          <w:rtl/>
        </w:rPr>
        <w:t>16.9.0</w:t>
      </w:r>
      <w:r>
        <w:rPr>
          <w:rFonts w:cs="FrankRuehl" w:hint="cs"/>
          <w:sz w:val="20"/>
          <w:szCs w:val="22"/>
          <w:rtl/>
        </w:rPr>
        <w:t xml:space="preserve">7 הגיש השר ברק </w:t>
      </w:r>
      <w:r>
        <w:rPr>
          <w:rFonts w:cs="FrankRuehl"/>
          <w:sz w:val="20"/>
          <w:szCs w:val="22"/>
          <w:rtl/>
        </w:rPr>
        <w:t xml:space="preserve">טופס הצהרת הון </w:t>
      </w:r>
      <w:r>
        <w:rPr>
          <w:rFonts w:cs="FrankRuehl" w:hint="cs"/>
          <w:sz w:val="20"/>
          <w:szCs w:val="22"/>
          <w:rtl/>
        </w:rPr>
        <w:t xml:space="preserve">נכון </w:t>
      </w:r>
      <w:r>
        <w:rPr>
          <w:rFonts w:cs="FrankRuehl"/>
          <w:sz w:val="20"/>
          <w:szCs w:val="22"/>
          <w:rtl/>
        </w:rPr>
        <w:t>ל</w:t>
      </w:r>
      <w:r>
        <w:rPr>
          <w:rFonts w:cs="FrankRuehl" w:hint="cs"/>
          <w:sz w:val="20"/>
          <w:szCs w:val="22"/>
          <w:rtl/>
        </w:rPr>
        <w:t>-</w:t>
      </w:r>
      <w:r>
        <w:rPr>
          <w:rFonts w:cs="FrankRuehl"/>
          <w:sz w:val="20"/>
          <w:szCs w:val="22"/>
          <w:rtl/>
        </w:rPr>
        <w:t>30.6.07</w:t>
      </w:r>
      <w:r>
        <w:rPr>
          <w:rFonts w:cs="FrankRuehl" w:hint="cs"/>
          <w:sz w:val="20"/>
          <w:szCs w:val="22"/>
          <w:rtl/>
        </w:rPr>
        <w:t xml:space="preserve">. מהטופס עולה, בין היתר, כי השר ברק העביר </w:t>
      </w:r>
      <w:r>
        <w:rPr>
          <w:rFonts w:cs="FrankRuehl"/>
          <w:sz w:val="20"/>
          <w:szCs w:val="22"/>
          <w:rtl/>
        </w:rPr>
        <w:t xml:space="preserve">את מניותיו בחברת </w:t>
      </w:r>
      <w:r>
        <w:rPr>
          <w:rFonts w:cs="FrankRuehl" w:hint="cs"/>
          <w:sz w:val="20"/>
          <w:szCs w:val="22"/>
          <w:rtl/>
        </w:rPr>
        <w:t>"</w:t>
      </w:r>
      <w:r>
        <w:rPr>
          <w:rFonts w:cs="FrankRuehl"/>
          <w:sz w:val="20"/>
          <w:szCs w:val="22"/>
          <w:rtl/>
        </w:rPr>
        <w:t>אהוד ברק בע"מ</w:t>
      </w:r>
      <w:r>
        <w:rPr>
          <w:rFonts w:cs="FrankRuehl" w:hint="cs"/>
          <w:sz w:val="20"/>
          <w:szCs w:val="22"/>
          <w:rtl/>
        </w:rPr>
        <w:t>"</w:t>
      </w:r>
      <w:r>
        <w:rPr>
          <w:rFonts w:cs="FrankRuehl"/>
          <w:sz w:val="20"/>
          <w:szCs w:val="22"/>
          <w:rtl/>
        </w:rPr>
        <w:t xml:space="preserve"> ובחבר</w:t>
      </w:r>
      <w:r>
        <w:rPr>
          <w:rFonts w:cs="FrankRuehl" w:hint="cs"/>
          <w:sz w:val="20"/>
          <w:szCs w:val="22"/>
          <w:rtl/>
        </w:rPr>
        <w:t>ה א'</w:t>
      </w:r>
      <w:r>
        <w:rPr>
          <w:rFonts w:cs="FrankRuehl"/>
          <w:sz w:val="20"/>
          <w:szCs w:val="22"/>
          <w:rtl/>
        </w:rPr>
        <w:t xml:space="preserve"> לשלוש בנותיו בחלקים שווים</w:t>
      </w:r>
      <w:r>
        <w:rPr>
          <w:rFonts w:cs="FrankRuehl" w:hint="cs"/>
          <w:b/>
          <w:bCs/>
          <w:sz w:val="20"/>
          <w:szCs w:val="22"/>
          <w:rtl/>
        </w:rPr>
        <w:t>,</w:t>
      </w:r>
      <w:r>
        <w:rPr>
          <w:rFonts w:cs="FrankRuehl"/>
          <w:b/>
          <w:bCs/>
          <w:sz w:val="20"/>
          <w:szCs w:val="22"/>
          <w:rtl/>
        </w:rPr>
        <w:t xml:space="preserve"> </w:t>
      </w:r>
      <w:r>
        <w:rPr>
          <w:rFonts w:cs="FrankRuehl" w:hint="cs"/>
          <w:b/>
          <w:bCs/>
          <w:sz w:val="20"/>
          <w:szCs w:val="22"/>
          <w:rtl/>
        </w:rPr>
        <w:br/>
      </w:r>
      <w:r>
        <w:rPr>
          <w:rFonts w:cs="FrankRuehl" w:hint="cs"/>
          <w:sz w:val="20"/>
          <w:szCs w:val="22"/>
          <w:rtl/>
        </w:rPr>
        <w:t>ב-15.6.07, דהיינו שלושה ימים לפני</w:t>
      </w:r>
      <w:r>
        <w:rPr>
          <w:rFonts w:cs="FrankRuehl"/>
          <w:sz w:val="20"/>
          <w:szCs w:val="22"/>
          <w:rtl/>
        </w:rPr>
        <w:t xml:space="preserve"> </w:t>
      </w:r>
      <w:r>
        <w:rPr>
          <w:rFonts w:cs="FrankRuehl" w:hint="cs"/>
          <w:sz w:val="20"/>
          <w:szCs w:val="22"/>
          <w:rtl/>
        </w:rPr>
        <w:t xml:space="preserve">תחילת כהונתו בממשלה. לטופס צורפה בקשה לוועדה למתן היתרים מאת מר אהוד ברק באמצעות עורכי הדין לקבלת היתר בכמה עניינים: אישור התחשבנות כספית בין "אהוד ברק בע"מ" ובין השר אהוד ברק; היתר לקבלת תקבולים מגופים שונים שיתקבלו בעתיד בגין פעילות של השר ברק טרם מינויו; היתר למתן הנחיות שונות לחברת הנאמנות; היתר להמשיך ולהחזיק בניירות ערך שונים שלא באמצעות חברת נאמנות; היתר כללי לפעילות עסקית עתידית של רעיית השר, שביקשה "לפעול בתחום הקישור לקרנות השקעה בינלאומיות... המעוניינות לבדוק אפשרויות ואפיקי השקעה בישראל בתחומים שונים" ובכלל זה לעסוק ב"יצירת קשר בין הרשויות הרגולטוריות בישראל ובין הקרנות על מנת לגשר על פערים העשויים להתקיים בהליכים בירוקרטיים כתוצאה מהבדלי תרבויות, מרחק וכיוצ"ב". </w:t>
      </w:r>
    </w:p>
    <w:p>
      <w:pPr>
        <w:spacing w:after="120" w:line="230" w:lineRule="exact"/>
        <w:ind w:left="0" w:right="0"/>
        <w:jc w:val="both"/>
        <w:rPr>
          <w:rFonts w:cs="FrankRuehl" w:hint="cs"/>
          <w:sz w:val="20"/>
          <w:szCs w:val="22"/>
          <w:rtl/>
        </w:rPr>
      </w:pPr>
      <w:r>
        <w:rPr>
          <w:rFonts w:cs="FrankRuehl" w:hint="cs"/>
          <w:sz w:val="20"/>
          <w:szCs w:val="22"/>
          <w:rtl/>
        </w:rPr>
        <w:t xml:space="preserve">בעקבות הפנייה התכנסה הוועדה למתן היתרים ב-14.10.07 כדי לדון בה. חברי הוועדה הסבירו לנציגי השר ברק שבפנייה חסר מידע רב ולכן לא יוכלו לקבל החלטה באותו דיון וביקשו לקבל פרטים נוספים. נציגי השר ברק ציינו שהשר ברק היה בעל שליטה בשתי חברות שנתנו שירותי ייעוץ עד מינויו לשר והודיעו כי "פרק הזמן הקצר מתום הבחירות במפלגה עד למינויו של מר ברק לשר [גרם] לשרשרת פעולות שנועדו להבטיח את זכויותיו של השר בגין הסכמים שנחתמו בעבר. השר היה בעל המניות והמנכ"ל בחברת 'אהוד ברק בע"מ' ובלעדי השר אין לחברה זו מהות או קיום.... אילו היה לשר מספיק זמן להתארגן, היה מפרק את החברה". </w:t>
      </w:r>
    </w:p>
    <w:p>
      <w:pPr>
        <w:spacing w:after="120" w:line="230" w:lineRule="exact"/>
        <w:ind w:left="0" w:right="0"/>
        <w:jc w:val="both"/>
        <w:rPr>
          <w:rFonts w:cs="FrankRuehl" w:hint="cs"/>
          <w:sz w:val="20"/>
          <w:szCs w:val="22"/>
          <w:rtl/>
        </w:rPr>
      </w:pPr>
      <w:r>
        <w:rPr>
          <w:rFonts w:cs="FrankRuehl" w:hint="cs"/>
          <w:sz w:val="20"/>
          <w:szCs w:val="22"/>
          <w:rtl/>
        </w:rPr>
        <w:t>בעקבות הדיון פנו חברי הוועדה ב-18.10.07 לנציגי השר וביקשו לקבל הבהרות ומידע נוסף בקשר לפנייה ולגופים השונים המוזכרים בה. אלה כמה מן ההבהרות ופריטי המידע שביקשו חברי הוועדה: תחומי הפעילות הכלכלית והעסקית של כל אחת מהחברות והגופים ופרטי בעלי המניות; התפקידים המדויקים של שלוש בנותיו של ברק בכל אחת מהחברות; פרטי הסכומים שאותם מבקש ברק לאפשר לו לקבל, מועדיהם ושמות המשקיעים באמצעות החברות; פרטים על אודות ניירות הערך שבהם השר ברק מעוניין להמשיך ולהחזיק שלא באמצעות נאמנות עיוורת; פרטי ההנחיה החד-פעמית שהוא מבקש לתת לחברת הנאמנות; מידע על אודות פעילותה הצפויה של רעייתו, הגב' נילי פריאל-ברק.</w:t>
      </w:r>
    </w:p>
    <w:p>
      <w:pPr>
        <w:spacing w:after="120" w:line="230" w:lineRule="exact"/>
        <w:ind w:left="0" w:right="0"/>
        <w:jc w:val="both"/>
        <w:rPr>
          <w:rFonts w:cs="FrankRuehl" w:hint="cs"/>
          <w:sz w:val="20"/>
          <w:szCs w:val="22"/>
          <w:rtl/>
        </w:rPr>
      </w:pPr>
      <w:r>
        <w:rPr>
          <w:rFonts w:cs="FrankRuehl" w:hint="cs"/>
          <w:sz w:val="20"/>
          <w:szCs w:val="22"/>
          <w:rtl/>
        </w:rPr>
        <w:t xml:space="preserve">ב-1.11.07 מסרו עורכי הדין של השר ברק את תשובתם ובה, בין היתר, הפרטים האלה: חברת "אהוד ברק בע"מ" היא חברה פרטית ש"עסקה בייעוץ ובמתן שירותים אחרים, בעיקר לקרנות השקעה זרות הפועלות בניו יורק, ישראל, לונדון וג'נבה", ובאותו מועד לא קיימה כל פעילות, וכל מניותיו של ברק הועברו בחלקים שווים לשלוש בנותיו. צוין כי בחברה לא תהא "כל פעילות מעבר לקבלת כספים בגין שירותים שניתנו באמצעות השר עובר לתחילת כהונתו", ולבנותיו אין כל תפקיד בחברות, אלא הן בעלות המניות. </w:t>
      </w:r>
    </w:p>
    <w:p>
      <w:pPr>
        <w:spacing w:after="120" w:line="230" w:lineRule="exact"/>
        <w:ind w:left="0" w:right="0"/>
        <w:jc w:val="both"/>
        <w:rPr>
          <w:rFonts w:cs="FrankRuehl"/>
          <w:sz w:val="20"/>
          <w:szCs w:val="22"/>
          <w:rtl/>
        </w:rPr>
      </w:pPr>
      <w:r>
        <w:rPr>
          <w:rFonts w:cs="FrankRuehl" w:hint="cs"/>
          <w:sz w:val="20"/>
          <w:szCs w:val="22"/>
          <w:rtl/>
        </w:rPr>
        <w:t xml:space="preserve">עורכי הדין מסרו כי חברה א' עסקה בייעוץ עסקי אסטרטגי ובפיתוח עסקים. במועד העברת המניות לבנותיו החזיק ברק כ-48.5% ממניות החברה, ואת השאר החזיקו שני גורמים אחרים. כאמור, ברק העביר את כל מניותיו לבנותיו בחלקים שווים. כמו כן, צוינו פרטים על אודות תחומי עיסוק עיקריים ועל בעלי מניות לחברות נוספות. נציגי השר ברק הודיעו כי פעילות רעייתו טרם החלה,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ובכוונתה לפעול בתחום הקישור לקרנות השקעה בינלאומיות המעוניינות לבדוק אפיקי השקעה בישראל בתחומים שונים.</w:t>
      </w:r>
    </w:p>
    <w:p>
      <w:pPr>
        <w:spacing w:after="120" w:line="230" w:lineRule="exact"/>
        <w:ind w:left="0" w:right="0"/>
        <w:jc w:val="both"/>
        <w:rPr>
          <w:rFonts w:cs="FrankRuehl" w:hint="cs"/>
          <w:sz w:val="20"/>
          <w:szCs w:val="22"/>
          <w:rtl/>
        </w:rPr>
      </w:pPr>
      <w:r>
        <w:rPr>
          <w:rFonts w:cs="FrankRuehl" w:hint="cs"/>
          <w:sz w:val="20"/>
          <w:szCs w:val="22"/>
          <w:rtl/>
        </w:rPr>
        <w:t xml:space="preserve">בהחלטת הוועדה מ-24.12.07 לא ניתן היתר כללי כמבוקש, אלא נקבע שעל השר ברק לבקש היתר פרטני בכל מקרה. נקבע בין היתר "שאין מקום למתן היתר כללי לשר לקבל הכנסות שהזכויות לגביהן נוצרו עקב עיסוקיו של השר לפני כהונתו כשר אך ההכנסות עתידות להתקבל לאחר תחילת כהונתו כשר... עם זאת, לקראת ביצוע תשלום... ניתן לשקול מתן היתר או היתר מותנה על ידי הוועדה... החלטה... תינתן לאחר בחינה של פרטי אותה הכנסה ונסיבותיה". </w:t>
      </w:r>
    </w:p>
    <w:p>
      <w:pPr>
        <w:spacing w:after="120" w:line="230" w:lineRule="exact"/>
        <w:ind w:left="0" w:right="0"/>
        <w:jc w:val="both"/>
        <w:rPr>
          <w:rFonts w:cs="FrankRuehl" w:hint="cs"/>
          <w:sz w:val="20"/>
          <w:szCs w:val="22"/>
          <w:rtl/>
        </w:rPr>
      </w:pPr>
      <w:r>
        <w:rPr>
          <w:rFonts w:cs="FrankRuehl" w:hint="cs"/>
          <w:sz w:val="20"/>
          <w:szCs w:val="22"/>
          <w:rtl/>
        </w:rPr>
        <w:t>בעקבות ההחלטה פנו עורכי הדין של השר ברק פעמיים אל הוועדה בבקשה להתיר לו לקבל תקבולים מחברת "אהוד ברק בע"מ" בגין הכנסות שהתקבלו בחברה מחברת השקעות. הוועדה למתן היתרים התירה את קבלת התקבולים.</w:t>
      </w:r>
    </w:p>
    <w:p>
      <w:pPr>
        <w:spacing w:after="120" w:line="230" w:lineRule="exact"/>
        <w:ind w:left="0" w:right="0"/>
        <w:jc w:val="both"/>
        <w:rPr>
          <w:rFonts w:cs="FrankRuehl" w:hint="cs"/>
          <w:sz w:val="20"/>
          <w:szCs w:val="22"/>
          <w:rtl/>
        </w:rPr>
      </w:pPr>
      <w:r>
        <w:rPr>
          <w:rFonts w:cs="FrankRuehl" w:hint="cs"/>
          <w:sz w:val="20"/>
          <w:szCs w:val="22"/>
          <w:rtl/>
        </w:rPr>
        <w:t>בהחלטת הוועדה מ-24.12.07 נקבע כי המונח "עניי</w:t>
      </w:r>
      <w:r>
        <w:rPr>
          <w:rFonts w:cs="FrankRuehl" w:hint="eastAsia"/>
          <w:sz w:val="20"/>
          <w:szCs w:val="22"/>
          <w:rtl/>
        </w:rPr>
        <w:t>ן</w:t>
      </w:r>
      <w:r>
        <w:rPr>
          <w:rFonts w:cs="FrankRuehl" w:hint="cs"/>
          <w:sz w:val="20"/>
          <w:szCs w:val="22"/>
          <w:rtl/>
        </w:rPr>
        <w:t xml:space="preserve"> אישי" כולל גם "עניי</w:t>
      </w:r>
      <w:r>
        <w:rPr>
          <w:rFonts w:cs="FrankRuehl" w:hint="eastAsia"/>
          <w:sz w:val="20"/>
          <w:szCs w:val="22"/>
          <w:rtl/>
        </w:rPr>
        <w:t>ן</w:t>
      </w:r>
      <w:r>
        <w:rPr>
          <w:rFonts w:cs="FrankRuehl" w:hint="cs"/>
          <w:sz w:val="20"/>
          <w:szCs w:val="22"/>
          <w:rtl/>
        </w:rPr>
        <w:t xml:space="preserve"> אישי של קרוב השר" והמונח "קרוב" כולל גם את בן/בת זוגו. עוד קבעה הוועדה כי סמכויותיה "אינן כוללות סמכות לאשר או לא לאשר מראש פעילויות עסקיות של אשתו של השר" ו"ככל שסוג פעילות עסקית של אשת השר או שפעילות עסקית מסוימת שלה, עלולים להיות מנוגדים להוראה מהוראות הכללים, החלה על השר... על השר לפנות לוועדה למתן היתרים, בבקשה לקבל היתר אישי לאי קיום ההוראה".</w:t>
      </w:r>
    </w:p>
    <w:p>
      <w:pPr>
        <w:spacing w:after="240" w:line="230" w:lineRule="exact"/>
        <w:ind w:left="0" w:right="0"/>
        <w:jc w:val="both"/>
        <w:rPr>
          <w:rFonts w:cs="FrankRuehl" w:hint="cs"/>
          <w:sz w:val="20"/>
          <w:szCs w:val="22"/>
          <w:rtl/>
        </w:rPr>
      </w:pPr>
      <w:r>
        <w:rPr>
          <w:rFonts w:cs="FrankRuehl" w:hint="cs"/>
          <w:sz w:val="20"/>
          <w:szCs w:val="22"/>
          <w:rtl/>
        </w:rPr>
        <w:t xml:space="preserve">במהלך שנת 2008 החלה רעיית השר ברק בפעילות עסקית שעלולה להיות מנוגדת להוראה מהוראות הכללים במסגרת חברה בבעלותה </w:t>
      </w:r>
      <w:r>
        <w:rPr>
          <w:rFonts w:cs="FrankRuehl"/>
          <w:sz w:val="20"/>
          <w:szCs w:val="22"/>
          <w:rtl/>
        </w:rPr>
        <w:t>-</w:t>
      </w:r>
      <w:r>
        <w:rPr>
          <w:rFonts w:cs="FrankRuehl" w:hint="cs"/>
          <w:sz w:val="20"/>
          <w:szCs w:val="22"/>
          <w:rtl/>
        </w:rPr>
        <w:t xml:space="preserve"> חברת טאורוס ישראל פיננשל ונצ'רס 2008 בע"מ, בלי בקשה נוספת, באופן שאינו תואם את החלטת הוועדה. באוגוסט 2008, בעקבות פרסומים שונים בתקשורת ופנייתו של מבקר המדינה, סגרה רעיית השר ברק את החברה. נוסף על סגירת החברה, הביע מבקר המדינה דעתו כי ראוי שרעיית השר ברק תשיב לכל לקוחותיה את יתרת כספם. בספטמבר 2009 הודיע השר ברק למבקר המדינה כי רעייתו השיבה את כל יתרת התקבולים ללקוחותיה. </w:t>
      </w:r>
    </w:p>
    <w:p>
      <w:pPr>
        <w:pStyle w:val="RESHET"/>
        <w:ind w:left="227" w:right="227"/>
        <w:jc w:val="both"/>
        <w:rPr>
          <w:rFonts w:hint="cs"/>
          <w:rtl/>
        </w:rPr>
      </w:pPr>
      <w:r>
        <w:rPr>
          <w:rFonts w:hint="cs"/>
          <w:rtl/>
        </w:rPr>
        <w:t>לדעת מבקר המדינה, אי הגשת בקשה לוועדה לגבי פעילות אשת השר בחברה, לא תאמה את הכללים ואת החלטת הוועדה. מבקר המדינה סבור, כי היה על השר להקפיד בכל הנוגע לביצוע הכללים המחייבים והנחיות הוועדה בנוגע להתנהלותו ולהתנהלות קרוביו ועל כך שהדבר לא נעשה יש להצטער. אולם, נוכח סגירת החברה על ידי רעיית השר והחזרת התקבולים ללקוחות החברה לא מוצא מבקר המדינה מקום לעיסוק נוסף בפרשת חברת טאורוס ישראל פיננשל ונצ'רס 2008 בע"מ.</w:t>
      </w:r>
    </w:p>
    <w:p>
      <w:pPr>
        <w:tabs>
          <w:tab w:val="left" w:pos="1221"/>
        </w:tabs>
        <w:spacing w:before="180" w:after="120" w:line="230" w:lineRule="exact"/>
        <w:ind w:left="0" w:right="0"/>
        <w:jc w:val="both"/>
        <w:rPr>
          <w:rFonts w:cs="FrankRuehl" w:hint="cs"/>
          <w:sz w:val="20"/>
          <w:szCs w:val="22"/>
          <w:rtl/>
        </w:rPr>
      </w:pPr>
      <w:r>
        <w:rPr>
          <w:rFonts w:cs="FrankRuehl" w:hint="cs"/>
          <w:sz w:val="20"/>
          <w:szCs w:val="22"/>
          <w:rtl/>
        </w:rPr>
        <w:t xml:space="preserve">בדיון שהתקיים בכנסת ביום 26.10.09, החליטה הוועדה לענייני ביקורת המדינה לבקש מאת מבקר המדינה </w:t>
      </w:r>
      <w:r>
        <w:rPr>
          <w:rFonts w:cs="FrankRuehl"/>
          <w:sz w:val="20"/>
          <w:szCs w:val="22"/>
          <w:rtl/>
        </w:rPr>
        <w:t xml:space="preserve">חוות דעת </w:t>
      </w:r>
      <w:r>
        <w:rPr>
          <w:rFonts w:cs="FrankRuehl" w:hint="cs"/>
          <w:sz w:val="20"/>
          <w:szCs w:val="22"/>
          <w:rtl/>
        </w:rPr>
        <w:t>לפי סעיף 21 לחוק</w:t>
      </w:r>
      <w:r>
        <w:rPr>
          <w:rFonts w:cs="FrankRuehl"/>
          <w:sz w:val="20"/>
          <w:szCs w:val="22"/>
          <w:rtl/>
        </w:rPr>
        <w:t xml:space="preserve">, </w:t>
      </w:r>
      <w:r>
        <w:rPr>
          <w:rFonts w:cs="FrankRuehl" w:hint="cs"/>
          <w:sz w:val="20"/>
          <w:szCs w:val="22"/>
          <w:rtl/>
        </w:rPr>
        <w:t>על</w:t>
      </w:r>
      <w:r>
        <w:rPr>
          <w:rFonts w:cs="FrankRuehl"/>
          <w:sz w:val="20"/>
          <w:szCs w:val="22"/>
          <w:rtl/>
        </w:rPr>
        <w:t xml:space="preserve"> </w:t>
      </w:r>
      <w:r>
        <w:rPr>
          <w:rFonts w:cs="FrankRuehl" w:hint="cs"/>
          <w:sz w:val="20"/>
          <w:szCs w:val="22"/>
          <w:rtl/>
        </w:rPr>
        <w:t>"</w:t>
      </w:r>
      <w:r>
        <w:rPr>
          <w:rFonts w:cs="FrankRuehl"/>
          <w:sz w:val="20"/>
          <w:szCs w:val="22"/>
          <w:rtl/>
        </w:rPr>
        <w:t>הזרמת כספים לחברות בבעלות קודמת של שר הביטחון אהוד ברק</w:t>
      </w:r>
      <w:r>
        <w:rPr>
          <w:rFonts w:cs="FrankRuehl" w:hint="cs"/>
          <w:sz w:val="20"/>
          <w:szCs w:val="22"/>
          <w:rtl/>
        </w:rPr>
        <w:t>". בפרוטוקול הוועדה צוין ש"...הוועדה לענייני ביקורת המדינה אישרה את הבקשה, לפי סעיף 21, לפנות למבקר המדינה לבדוק את נושא הזרמת כספים לחברות בבעלות קודמת של שר הביטחון אהוד ברק על כל המשתמע מכך, כולל בחינת הנהלים וההנחיות באשר לאתיקה של שרים....".</w:t>
      </w:r>
    </w:p>
    <w:p>
      <w:pPr>
        <w:tabs>
          <w:tab w:val="left" w:pos="1221"/>
        </w:tabs>
        <w:spacing w:after="120" w:line="230" w:lineRule="exact"/>
        <w:ind w:left="0" w:right="0"/>
        <w:jc w:val="both"/>
        <w:rPr>
          <w:rFonts w:cs="FrankRuehl" w:hint="cs"/>
          <w:sz w:val="20"/>
          <w:szCs w:val="22"/>
          <w:rtl/>
        </w:rPr>
      </w:pPr>
      <w:r>
        <w:rPr>
          <w:rFonts w:cs="FrankRuehl" w:hint="cs"/>
          <w:sz w:val="20"/>
          <w:szCs w:val="22"/>
          <w:rtl/>
        </w:rPr>
        <w:t>בעקבות בקשת הוועדה לענייני ביקורת המדינה של הכנסת, כאמור, החל מבקר המדינה בדיקה מיוחדת בנדון</w:t>
      </w:r>
      <w:r>
        <w:rPr>
          <w:rFonts w:cs="FrankRuehl"/>
          <w:sz w:val="20"/>
          <w:szCs w:val="22"/>
          <w:rtl/>
        </w:rPr>
        <w:t>.</w:t>
      </w:r>
      <w:r>
        <w:rPr>
          <w:rFonts w:cs="FrankRuehl" w:hint="cs"/>
          <w:sz w:val="20"/>
          <w:szCs w:val="22"/>
          <w:rtl/>
        </w:rPr>
        <w:t xml:space="preserve"> בבדיקה זו בחן מבקר המדינה היבטים כספיים בזיקה של השר ברק לפעולות של החברות שהיו בבעלותו. </w:t>
      </w:r>
    </w:p>
    <w:p>
      <w:pPr>
        <w:tabs>
          <w:tab w:val="left" w:pos="1221"/>
        </w:tabs>
        <w:spacing w:after="120" w:line="230" w:lineRule="exact"/>
        <w:ind w:left="0" w:right="0"/>
        <w:jc w:val="both"/>
        <w:rPr>
          <w:rFonts w:cs="FrankRuehl" w:hint="cs"/>
          <w:sz w:val="20"/>
          <w:szCs w:val="22"/>
          <w:rtl/>
        </w:rPr>
      </w:pPr>
    </w:p>
    <w:p>
      <w:pPr>
        <w:tabs>
          <w:tab w:val="left" w:pos="1221"/>
        </w:tabs>
        <w:spacing w:after="120" w:line="230" w:lineRule="exact"/>
        <w:ind w:left="0" w:right="0"/>
        <w:jc w:val="both"/>
        <w:rPr>
          <w:rFonts w:cs="FrankRuehl" w:hint="cs"/>
          <w:sz w:val="20"/>
          <w:szCs w:val="22"/>
          <w:rtl/>
        </w:rPr>
      </w:pPr>
    </w:p>
    <w:p>
      <w:pPr>
        <w:pStyle w:val="KOT4"/>
        <w:ind w:left="0" w:right="0"/>
        <w:jc w:val="left"/>
        <w:rPr>
          <w:rFonts w:hint="cs"/>
          <w:rtl/>
        </w:rPr>
      </w:pPr>
      <w:r>
        <w:rPr>
          <w:rtl/>
        </w:rPr>
        <w:br w:type="page"/>
      </w:r>
      <w:r>
        <w:rPr>
          <w:rFonts w:hint="cs"/>
          <w:rtl/>
        </w:rPr>
        <w:t>ממצאים</w:t>
      </w:r>
    </w:p>
    <w:p>
      <w:pPr>
        <w:pStyle w:val="KOT5"/>
        <w:ind w:left="0" w:right="0"/>
        <w:jc w:val="left"/>
        <w:rPr>
          <w:rFonts w:hint="cs"/>
          <w:rtl/>
        </w:rPr>
      </w:pPr>
      <w:r>
        <w:rPr>
          <w:rFonts w:hint="cs"/>
          <w:rtl/>
        </w:rPr>
        <w:t xml:space="preserve">א. </w:t>
        <w:tab/>
        <w:t>פעילות השר בהיותו מועמד</w:t>
      </w:r>
    </w:p>
    <w:p>
      <w:pPr>
        <w:spacing w:after="240" w:line="230" w:lineRule="exact"/>
        <w:ind w:left="0" w:right="0"/>
        <w:jc w:val="both"/>
        <w:rPr>
          <w:rFonts w:cs="FrankRuehl" w:hint="cs"/>
          <w:sz w:val="20"/>
          <w:szCs w:val="22"/>
          <w:rtl/>
        </w:rPr>
      </w:pPr>
      <w:r>
        <w:rPr>
          <w:rFonts w:cs="FrankRuehl" w:hint="cs"/>
          <w:sz w:val="20"/>
          <w:szCs w:val="22"/>
          <w:rtl/>
        </w:rPr>
        <w:t>כאמור, ב-12.6.07 זכה מר אהוד ברק בבחירות ל</w:t>
      </w:r>
      <w:r>
        <w:rPr>
          <w:rFonts w:cs="FrankRuehl"/>
          <w:sz w:val="20"/>
          <w:szCs w:val="22"/>
          <w:rtl/>
        </w:rPr>
        <w:t>ראשות מפלגת העבודה</w:t>
      </w:r>
      <w:r>
        <w:rPr>
          <w:rFonts w:cs="FrankRuehl" w:hint="cs"/>
          <w:sz w:val="20"/>
          <w:szCs w:val="22"/>
          <w:rtl/>
        </w:rPr>
        <w:t>,</w:t>
      </w:r>
      <w:r>
        <w:rPr>
          <w:rFonts w:cs="FrankRuehl"/>
          <w:sz w:val="20"/>
          <w:szCs w:val="22"/>
          <w:rtl/>
        </w:rPr>
        <w:t xml:space="preserve"> </w:t>
      </w:r>
      <w:r>
        <w:rPr>
          <w:rFonts w:cs="FrankRuehl" w:hint="cs"/>
          <w:sz w:val="20"/>
          <w:szCs w:val="22"/>
          <w:rtl/>
        </w:rPr>
        <w:t xml:space="preserve">ב-15.6.07 העביר את מניותיו בחברות לשלוש בנותיו, וב-18.6.07 צורף לממשלה בתפקיד שר הביטחון. </w:t>
      </w:r>
    </w:p>
    <w:p>
      <w:pPr>
        <w:pStyle w:val="RESHET"/>
        <w:ind w:left="227" w:right="227"/>
        <w:jc w:val="both"/>
      </w:pPr>
      <w:r>
        <w:rPr>
          <w:rFonts w:hint="cs"/>
          <w:rtl/>
        </w:rPr>
        <w:t xml:space="preserve">לדעת מבקר המדינה, ככל שהסיכוי למינוי של איש ציבור לכהונה כשר או כסגן שר במשרד ממשלתי מסוים בממשלה עולה והוא בגדר קרוב לוודאי, וככל שמועדו מתקרב, מן הראוי להתייחס אליו מן הבחינה הציבורית כאל מי שכבר מונה. לפיכך ראוי שימנע מכל פעולה שאינה עולה בקנה אחד עם הכללים. </w:t>
      </w:r>
    </w:p>
    <w:p>
      <w:pPr>
        <w:pStyle w:val="RESHET"/>
        <w:ind w:left="227" w:right="227"/>
        <w:jc w:val="both"/>
      </w:pPr>
      <w:r>
        <w:rPr>
          <w:rFonts w:hint="cs"/>
          <w:rtl/>
        </w:rPr>
        <w:t xml:space="preserve">אמנם, השר ברק העביר את מניותיו לבנותיו שלושה ימים </w:t>
      </w:r>
      <w:r>
        <w:rPr>
          <w:rFonts w:hint="cs"/>
          <w:u w:val="single"/>
          <w:rtl/>
        </w:rPr>
        <w:t>לפני מינויו</w:t>
      </w:r>
      <w:r>
        <w:rPr>
          <w:rFonts w:hint="cs"/>
          <w:rtl/>
        </w:rPr>
        <w:t xml:space="preserve"> הרשמי לתפקיד שר, אולם לאחר הסיבוב הראשון של הבחירות לראשות המפלגה יכול היה להניח כי אם ינצח בסיבוב השני ימונה לשר, ולאחר סיבוב הבחירות השני היה מינויו כבר בגדר ודָאִי. לכן גם אם פורמלית לא מונה עדיין לשר בעת העברת המניות לבנותיו, היה מקום להתייחס אליו מן הבחינה הציבורית כאל מי שכבר מונה. בנסיבות אלה ראוי היה שיפעל בהתאם לכללים. </w:t>
      </w:r>
    </w:p>
    <w:p>
      <w:pPr>
        <w:pStyle w:val="RESHET"/>
        <w:ind w:left="227" w:right="227"/>
        <w:jc w:val="both"/>
      </w:pPr>
      <w:r>
        <w:rPr>
          <w:rFonts w:hint="cs"/>
          <w:rtl/>
        </w:rPr>
        <w:t>בתשובתו ובפגישותיו עם מבקר המדינה טען השר ברק כי פעולותיו בעניין זה נעשו כדין, שכן מעשיו אינם אסורים במפורש על פי הכללים.</w:t>
      </w:r>
    </w:p>
    <w:p>
      <w:pPr>
        <w:pStyle w:val="RESHET"/>
        <w:ind w:left="227" w:right="227"/>
        <w:jc w:val="both"/>
        <w:rPr>
          <w:rFonts w:hint="cs"/>
          <w:rtl/>
        </w:rPr>
      </w:pPr>
      <w:r>
        <w:rPr>
          <w:rFonts w:hint="cs"/>
          <w:rtl/>
        </w:rPr>
        <w:t>במקום להעביר את המניות לבנותיו ימים ספורים קודם לכניסתו לתפקיד שר הביטחון, לדעת מבקר המדינה ראוי היה מן הבחינה הציבורית, ועל מנת לאפשר שקיפות ובקרה נאותים כי השר ברק ינקוט, בהתאם לכללים, אחת משתי הדרכים האלה:  (1) יפנה לוועדה למתן היתרים לפני מינויו (לפי כלל 20) בבקשה כי תקבע הסדר בנוגע לעסקיו.  (2) יפנה לשם כך לוועדה עם מינויו (לפי כלל 19). פעולה כזו הית</w:t>
      </w:r>
      <w:r>
        <w:rPr>
          <w:rFonts w:hint="eastAsia"/>
          <w:rtl/>
        </w:rPr>
        <w:t>ה</w:t>
      </w:r>
      <w:r>
        <w:rPr>
          <w:rFonts w:hint="cs"/>
          <w:rtl/>
        </w:rPr>
        <w:t xml:space="preserve"> עולה בקנה אחד עם רוח הכללים ותכליתם. יש להצטער כי לא כך נהג השר ברק.</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ב. </w:t>
        <w:tab/>
        <w:t xml:space="preserve">המידע שמסר השר </w:t>
      </w:r>
    </w:p>
    <w:p>
      <w:pPr>
        <w:spacing w:after="120" w:line="230" w:lineRule="exact"/>
        <w:ind w:left="0" w:right="0"/>
        <w:jc w:val="both"/>
        <w:rPr>
          <w:rFonts w:cs="FrankRuehl" w:hint="cs"/>
          <w:sz w:val="20"/>
          <w:szCs w:val="22"/>
          <w:rtl/>
        </w:rPr>
      </w:pPr>
      <w:r>
        <w:rPr>
          <w:rFonts w:cs="FrankRuehl" w:hint="cs"/>
          <w:sz w:val="20"/>
          <w:szCs w:val="22"/>
          <w:rtl/>
        </w:rPr>
        <w:t xml:space="preserve">הכללים מבוססים על אמון בנבחרי הציבור ובמידע שהם מוסרים ועל חובתם לגילוי אמִתי של פרטי רכושם. מבקר המדינה והוועדה פועלים ליישום הכללים בהתבסס על המידע שמוסרים השרים בהצהרות ההון שלהם ועל המסמכים הנלווים להן. מסירת מידע חלקי או לא מדויק למבקר המדינה או לוועדה עלולה לפגוע ביכולת הבדיקה של מבקר המדינה וביכולת הוועדה לקבל החלטות נכונות. </w:t>
      </w:r>
    </w:p>
    <w:p>
      <w:pPr>
        <w:spacing w:after="120" w:line="230" w:lineRule="exact"/>
        <w:ind w:left="0" w:right="0"/>
        <w:jc w:val="both"/>
        <w:rPr>
          <w:rFonts w:cs="FrankRuehl" w:hint="cs"/>
          <w:sz w:val="20"/>
          <w:szCs w:val="22"/>
          <w:rtl/>
        </w:rPr>
      </w:pPr>
      <w:r>
        <w:rPr>
          <w:rFonts w:cs="FrankRuehl" w:hint="cs"/>
          <w:sz w:val="20"/>
          <w:szCs w:val="22"/>
          <w:rtl/>
        </w:rPr>
        <w:t xml:space="preserve">המידע שמסר השר ברק לוועדה למתן היתרים כשהחל לכהן כשר הביטחון כלל את הפרטים אודות פעילות החברות שהיו בבעלותו. עם זאת, לא צוין כי מלבד שתי החברות שהיו בבעלות השר (חברת אהוד ברק בע"מ וחברה א') היתה לו זיקה גם לחברות נוספות המוחזקות בידי שתי החברות הללו. מידע זה עלה רק בעקבות בדיקת מבקר המדינה, נוכח בקשת הוועדה לענייני ביקורת המדינה לבדוק את העניין. </w:t>
      </w:r>
    </w:p>
    <w:p>
      <w:pPr>
        <w:spacing w:after="120" w:line="230" w:lineRule="exact"/>
        <w:ind w:left="0" w:right="0"/>
        <w:jc w:val="both"/>
        <w:rPr>
          <w:rFonts w:cs="FrankRuehl"/>
          <w:sz w:val="20"/>
          <w:szCs w:val="22"/>
          <w:rtl/>
        </w:rPr>
      </w:pPr>
      <w:r>
        <w:rPr>
          <w:rFonts w:cs="FrankRuehl" w:hint="cs"/>
          <w:sz w:val="20"/>
          <w:szCs w:val="22"/>
          <w:rtl/>
        </w:rPr>
        <w:t xml:space="preserve">בעקבות החלטת הוועדה לענייני ביקורת המדינה פנה מבקר המדינה אל השר ברק ב-11.11.09 וביקש ממנו פרטים מלאים אודות החברות. לאחר קבלת תשובת השר ברק ונציגיו מ-13.12.09 פנה אליו המבקר שוב במכתב מיום 20.12.09 לשם השלמת פרטים. ב-26.1.10 השיבו השר ברק ונציגיו לפניית מבקר המדינה וצירפו לתשובה מסמכים ודוחות כספיים של החברות. ממסמכים אלו עולה כי חברת אהוד ברק בע"מ החזיקה במועד העברת החברות לבנות (יוני 2007) מניות בשתי חברות: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חברה ד' וחברה ה'. החזקת המניות בחברות ד' וה' יוצרת קשרים עסקיים עם גורמים נוספים, ויש לבחון גם לגביהם חשש לניגוד עניינים. </w:t>
      </w:r>
    </w:p>
    <w:p>
      <w:pPr>
        <w:spacing w:after="120" w:line="230" w:lineRule="exact"/>
        <w:ind w:left="0" w:right="0"/>
        <w:jc w:val="both"/>
        <w:rPr>
          <w:rFonts w:cs="FrankRuehl" w:hint="cs"/>
          <w:sz w:val="20"/>
          <w:szCs w:val="22"/>
          <w:rtl/>
        </w:rPr>
      </w:pPr>
      <w:r>
        <w:rPr>
          <w:rFonts w:cs="FrankRuehl" w:hint="cs"/>
          <w:sz w:val="20"/>
          <w:szCs w:val="22"/>
          <w:rtl/>
        </w:rPr>
        <w:t xml:space="preserve">בהתייחסותם לטיוטת חוות הדעת מ-30.6.10 ציינו נציגי השר ברק כי שרים לא נדרשים לדווח על נכסיהם "המשורשרים" אלא רק על נכסיהם האישיים, ו"היעדר דיווח פרטני ונפרד על החברות הבנות, לא היווה מידע חסר ולא טמן בחובו פוטנציאל כלשהו לניגוד עניינים". </w:t>
      </w:r>
    </w:p>
    <w:p>
      <w:pPr>
        <w:spacing w:after="120" w:line="230" w:lineRule="exact"/>
        <w:ind w:left="0" w:right="0"/>
        <w:jc w:val="both"/>
        <w:rPr>
          <w:rFonts w:cs="FrankRuehl" w:hint="cs"/>
          <w:sz w:val="20"/>
          <w:szCs w:val="22"/>
          <w:rtl/>
        </w:rPr>
      </w:pPr>
      <w:r>
        <w:rPr>
          <w:rFonts w:cs="FrankRuehl" w:hint="cs"/>
          <w:sz w:val="20"/>
          <w:szCs w:val="22"/>
          <w:rtl/>
        </w:rPr>
        <w:t xml:space="preserve">עוד ציינו במסמכים שנמסרו ב-13.12.09 וב-26.1.10 כי "חלק מההתקשרויות מול הלקוחות מטעם חברת אהוד ברק בע"מ נעשו באופן בו המתקשר הפורמאלי היה </w:t>
      </w:r>
      <w:r>
        <w:rPr>
          <w:rFonts w:cs="FrankRuehl"/>
          <w:sz w:val="20"/>
          <w:szCs w:val="22"/>
        </w:rPr>
        <w:t>Barak &amp; Associates LLC</w:t>
      </w:r>
      <w:r>
        <w:rPr>
          <w:rFonts w:cs="FrankRuehl" w:hint="cs"/>
          <w:sz w:val="20"/>
          <w:szCs w:val="22"/>
          <w:rtl/>
        </w:rPr>
        <w:t xml:space="preserve">, תאגיד אמריקני בשליטתה של חברת אהוד ברק בע"מ". עד לתחילת הביקורת על ידי מבקר המדינה לא מסר השר ברק שום מידע אודות תאגיד זה. נציגיו ציינו במסמכים כאמור כי התאגיד האמריקאי פורק והיה רק מסגרת משפטית לפעילות של חברת אהוד ברק בע"מ בארה"ב, ולא הייתה לו פעילות עסקית עצמאית. </w:t>
      </w:r>
    </w:p>
    <w:p>
      <w:pPr>
        <w:tabs>
          <w:tab w:val="left" w:pos="4155"/>
        </w:tabs>
        <w:spacing w:after="120" w:line="230" w:lineRule="exact"/>
        <w:ind w:left="0" w:right="0"/>
        <w:jc w:val="both"/>
        <w:rPr>
          <w:rFonts w:cs="FrankRuehl" w:hint="cs"/>
          <w:sz w:val="20"/>
          <w:szCs w:val="22"/>
          <w:rtl/>
        </w:rPr>
      </w:pPr>
      <w:r>
        <w:rPr>
          <w:rFonts w:cs="FrankRuehl" w:hint="cs"/>
          <w:sz w:val="20"/>
          <w:szCs w:val="22"/>
          <w:rtl/>
        </w:rPr>
        <w:t>להלן מבנה ההחזקות של החברות שמסרו נציגי השר למבקר המדינה:</w:t>
      </w:r>
    </w:p>
    <w:p>
      <w:pPr>
        <w:spacing w:before="120" w:after="240" w:line="240" w:lineRule="atLeast"/>
        <w:ind w:left="0" w:right="0"/>
        <w:jc w:val="center"/>
        <w:rPr>
          <w:rFonts w:cs="FrankRuehl" w:hint="cs"/>
          <w:sz w:val="20"/>
          <w:szCs w:val="22"/>
          <w:rtl/>
        </w:rPr>
      </w:pPr>
      <w:r>
        <w:rPr>
          <w:rFonts w:cs="FrankRuehl" w:hint="cs"/>
          <w:sz w:val="20"/>
          <w:szCs w:val="22"/>
          <w:rtl/>
        </w:rPr>
        <w:pict>
          <v:shape id="_x0000_i1027" type="#_x0000_t75" style="width:339.77pt;height:224.14pt" stroked="f">
            <v:imagedata r:id="rId10" o:title="C:\Temp\out\zzz.eps"/>
          </v:shape>
        </w:pict>
      </w:r>
    </w:p>
    <w:p>
      <w:pPr>
        <w:spacing w:after="120" w:line="230" w:lineRule="exact"/>
        <w:ind w:left="0" w:right="0"/>
        <w:jc w:val="both"/>
        <w:rPr>
          <w:rFonts w:cs="FrankRuehl" w:hint="cs"/>
          <w:sz w:val="20"/>
          <w:szCs w:val="22"/>
          <w:rtl/>
        </w:rPr>
      </w:pPr>
      <w:r>
        <w:rPr>
          <w:rFonts w:cs="FrankRuehl" w:hint="cs"/>
          <w:sz w:val="20"/>
          <w:szCs w:val="22"/>
          <w:rtl/>
        </w:rPr>
        <w:t xml:space="preserve">כאמור, מר ברק העביר את מניותיו בחברות לשלוש בנותיו ב-15.6.07, ימים ספורים לפני תחילת כהונתו. בביאורים לדוחות הכספיים של חברת אהוד ברק בע"מ ליום 31.12.07 צוין, בין היתר, כי בעקבות מינויו לשר ביטחון "הפסיקה החברה את עיקר פעילותה העסקית". </w:t>
      </w:r>
    </w:p>
    <w:p>
      <w:pPr>
        <w:spacing w:after="120" w:line="230" w:lineRule="exact"/>
        <w:ind w:left="0" w:right="0"/>
        <w:jc w:val="both"/>
        <w:rPr>
          <w:rFonts w:cs="FrankRuehl" w:hint="cs"/>
          <w:sz w:val="20"/>
          <w:szCs w:val="22"/>
          <w:rtl/>
        </w:rPr>
      </w:pPr>
      <w:r>
        <w:rPr>
          <w:rFonts w:cs="FrankRuehl" w:hint="cs"/>
          <w:sz w:val="20"/>
          <w:szCs w:val="22"/>
          <w:rtl/>
        </w:rPr>
        <w:t>במסמכים שנמסרו למשרד מבקר המדינה על ידי השר ברק ונציגיו צוין, בין היתר, כי לאף אחד מלקוחות החברות (לרבות חברות הבנות) "אין ולא היו קשרים עסקיים כלשהם עם משרד הביטחון". בפגישה עם מבקר המדינה וצוותו במרס 2011, הצהירו השר ברק ובאי כוחו כי לא היה כל קשר בין תחומי העיסוק של חברות אלה לבין נושאי ביטחון או פעילות משרד הביטחון, ולפי הצהרתם זו לא נוצר כל חשש לניגוד עניינים.</w:t>
      </w:r>
    </w:p>
    <w:p>
      <w:pPr>
        <w:spacing w:after="120" w:line="230" w:lineRule="exact"/>
        <w:ind w:left="0" w:right="0"/>
        <w:jc w:val="both"/>
        <w:rPr>
          <w:rFonts w:cs="FrankRuehl"/>
          <w:sz w:val="20"/>
          <w:szCs w:val="22"/>
          <w:rtl/>
        </w:rPr>
      </w:pPr>
      <w:r>
        <w:rPr>
          <w:rFonts w:cs="FrankRuehl" w:hint="cs"/>
          <w:sz w:val="20"/>
          <w:szCs w:val="22"/>
          <w:rtl/>
        </w:rPr>
        <w:t xml:space="preserve">מהדוחות הכספיים עולה כי גם לאחר ה-18.6.07, יום מינויו של מר ברק לשר הביטחון, קיבלו חברת אהוד ברק בע"מ וחברה א' תקבולים ושלמו הוצאות. בשנת 2009 התקבל בחברה דיבידנד מחברה ד' בסך 150,000 ש"ח, שחולק לבנותיו בחלקים שווים. השר ברק ונציגיו מסרו למשרד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מבקר המדינה, כי אלו תקבולים בגין פעילות שקדמה למינויו כשר, וכי נדרש להוסיף ולקיים את החברות גם לאחר מינויו לתפקיד שר לצורך גביית חובות עבר (</w:t>
      </w:r>
      <w:r>
        <w:rPr>
          <w:rFonts w:cs="FrankRuehl" w:hint="cs"/>
          <w:sz w:val="20"/>
          <w:szCs w:val="22"/>
        </w:rPr>
        <w:t>R</w:t>
      </w:r>
      <w:r>
        <w:rPr>
          <w:rFonts w:cs="FrankRuehl"/>
          <w:sz w:val="20"/>
          <w:szCs w:val="22"/>
        </w:rPr>
        <w:t>un Off</w:t>
      </w:r>
      <w:r>
        <w:rPr>
          <w:rFonts w:cs="FrankRuehl" w:hint="cs"/>
          <w:sz w:val="20"/>
          <w:szCs w:val="22"/>
          <w:rtl/>
        </w:rPr>
        <w:t>). יש לציין, כי מאחר ומניות החברות לא היו עוד בידי השר ברק, קבלת כספים בידי החברות, להבדיל ממשיכה, אינה אסורה על פי הכללים. עוד יצויין , כי השר ברק לא משך כספים מהחברות, אלא בהיתר.</w:t>
      </w:r>
    </w:p>
    <w:p>
      <w:pPr>
        <w:spacing w:after="240" w:line="230" w:lineRule="exact"/>
        <w:ind w:left="0" w:right="0"/>
        <w:jc w:val="both"/>
        <w:rPr>
          <w:rFonts w:cs="FrankRuehl" w:hint="cs"/>
          <w:sz w:val="20"/>
          <w:szCs w:val="22"/>
          <w:rtl/>
        </w:rPr>
      </w:pPr>
      <w:r>
        <w:rPr>
          <w:rFonts w:cs="FrankRuehl" w:hint="cs"/>
          <w:sz w:val="20"/>
          <w:szCs w:val="22"/>
          <w:rtl/>
        </w:rPr>
        <w:t xml:space="preserve">להלן נתונים על הכנסות החברות (מן הדוחות הכספיים וממאזני הבוחן שמסרו נציגי השר ברק </w:t>
      </w:r>
      <w:r>
        <w:rPr>
          <w:rFonts w:cs="FrankRuehl"/>
          <w:sz w:val="20"/>
          <w:szCs w:val="22"/>
          <w:rtl/>
        </w:rPr>
        <w:br/>
      </w:r>
      <w:r>
        <w:rPr>
          <w:rFonts w:cs="FrankRuehl" w:hint="cs"/>
          <w:sz w:val="20"/>
          <w:szCs w:val="22"/>
          <w:rtl/>
        </w:rPr>
        <w:t>ב-26.1.10). ההכנסות לשנת 2007 כוללות את תקבולי החברות ממועד מינויו כשר:</w:t>
      </w:r>
    </w:p>
    <w:tbl>
      <w:tblPr>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57" w:type="dxa"/>
          <w:bottom w:w="0" w:type="dxa"/>
          <w:right w:w="57" w:type="dxa"/>
        </w:tblCellMar>
        <w:tblLook w:val="01E0"/>
      </w:tblPr>
      <w:tblGrid>
        <w:gridCol w:w="714"/>
        <w:gridCol w:w="855"/>
        <w:gridCol w:w="1228"/>
        <w:gridCol w:w="3894"/>
      </w:tblGrid>
      <w:tr>
        <w:tblPrEx>
          <w:tblW w:w="6691" w:type="dxa"/>
          <w:jc w:val="center"/>
          <w:tblInd w:w="0" w:type="dxa"/>
          <w:tblBorders>
            <w:top w:val="single" w:sz="12" w:space="0" w:color="auto"/>
            <w:left w:val="single" w:sz="12" w:space="0" w:color="auto"/>
            <w:bottom w:val="single" w:sz="12" w:space="0" w:color="auto"/>
            <w:right w:val="single" w:sz="12" w:space="0" w:color="auto"/>
            <w:insideH w:val="nil"/>
            <w:insideV w:val="single" w:sz="4" w:space="0" w:color="auto"/>
          </w:tblBorders>
          <w:tblCellMar>
            <w:top w:w="0" w:type="dxa"/>
            <w:left w:w="57" w:type="dxa"/>
            <w:bottom w:w="0" w:type="dxa"/>
            <w:right w:w="57" w:type="dxa"/>
          </w:tblCellMar>
          <w:tblLook w:val="01E0"/>
        </w:tblPrEx>
        <w:trPr>
          <w:jc w:val="center"/>
        </w:trPr>
        <w:tc>
          <w:tcPr>
            <w:tcW w:w="0" w:type="auto"/>
            <w:tcBorders>
              <w:top w:val="single" w:sz="12" w:space="0" w:color="auto"/>
              <w:bottom w:val="single" w:sz="12" w:space="0" w:color="auto"/>
            </w:tcBorders>
            <w:shd w:val="pct10" w:color="auto" w:fill="auto"/>
            <w:vAlign w:val="bottom"/>
          </w:tcPr>
          <w:p>
            <w:pPr>
              <w:spacing w:before="40" w:after="20" w:line="220" w:lineRule="exact"/>
              <w:ind w:left="0" w:right="0"/>
              <w:jc w:val="center"/>
              <w:rPr>
                <w:rFonts w:cs="FrankRuehl" w:hint="cs"/>
                <w:b/>
                <w:bCs/>
                <w:sz w:val="20"/>
                <w:szCs w:val="22"/>
                <w:rtl/>
              </w:rPr>
            </w:pPr>
            <w:r>
              <w:rPr>
                <w:rFonts w:cs="FrankRuehl" w:hint="cs"/>
                <w:b/>
                <w:bCs/>
                <w:sz w:val="20"/>
                <w:szCs w:val="22"/>
                <w:rtl/>
              </w:rPr>
              <w:t>2009</w:t>
            </w:r>
          </w:p>
        </w:tc>
        <w:tc>
          <w:tcPr>
            <w:tcW w:w="0" w:type="auto"/>
            <w:tcBorders>
              <w:top w:val="single" w:sz="12" w:space="0" w:color="auto"/>
              <w:bottom w:val="single" w:sz="12" w:space="0" w:color="auto"/>
            </w:tcBorders>
            <w:shd w:val="pct10" w:color="auto" w:fill="auto"/>
            <w:vAlign w:val="bottom"/>
          </w:tcPr>
          <w:p>
            <w:pPr>
              <w:spacing w:before="40" w:after="20" w:line="220" w:lineRule="exact"/>
              <w:ind w:left="0" w:right="0"/>
              <w:jc w:val="center"/>
              <w:rPr>
                <w:rFonts w:cs="FrankRuehl" w:hint="cs"/>
                <w:b/>
                <w:bCs/>
                <w:sz w:val="20"/>
                <w:szCs w:val="22"/>
                <w:rtl/>
              </w:rPr>
            </w:pPr>
            <w:r>
              <w:rPr>
                <w:rFonts w:cs="FrankRuehl" w:hint="cs"/>
                <w:b/>
                <w:bCs/>
                <w:sz w:val="20"/>
                <w:szCs w:val="22"/>
                <w:rtl/>
              </w:rPr>
              <w:t>2008</w:t>
            </w:r>
          </w:p>
        </w:tc>
        <w:tc>
          <w:tcPr>
            <w:tcW w:w="0" w:type="auto"/>
            <w:tcBorders>
              <w:top w:val="single" w:sz="12" w:space="0" w:color="auto"/>
              <w:bottom w:val="single" w:sz="12" w:space="0" w:color="auto"/>
            </w:tcBorders>
            <w:shd w:val="pct10" w:color="auto" w:fill="auto"/>
            <w:vAlign w:val="bottom"/>
          </w:tcPr>
          <w:p>
            <w:pPr>
              <w:spacing w:before="40" w:after="20" w:line="220" w:lineRule="exact"/>
              <w:ind w:left="0" w:right="0"/>
              <w:jc w:val="center"/>
              <w:rPr>
                <w:rFonts w:cs="FrankRuehl" w:hint="cs"/>
                <w:b/>
                <w:bCs/>
                <w:sz w:val="20"/>
                <w:szCs w:val="22"/>
                <w:rtl/>
              </w:rPr>
            </w:pPr>
            <w:r>
              <w:rPr>
                <w:rFonts w:cs="FrankRuehl" w:hint="cs"/>
                <w:b/>
                <w:bCs/>
                <w:sz w:val="20"/>
                <w:szCs w:val="22"/>
                <w:rtl/>
              </w:rPr>
              <w:t>2007</w:t>
            </w:r>
            <w:r>
              <w:rPr>
                <w:rFonts w:cs="FrankRuehl"/>
                <w:b/>
                <w:bCs/>
                <w:sz w:val="20"/>
                <w:szCs w:val="22"/>
                <w:rtl/>
              </w:rPr>
              <w:br/>
            </w:r>
            <w:r>
              <w:rPr>
                <w:rFonts w:cs="FrankRuehl" w:hint="cs"/>
                <w:b/>
                <w:bCs/>
                <w:sz w:val="20"/>
                <w:szCs w:val="22"/>
                <w:rtl/>
              </w:rPr>
              <w:t>(ממועד המינוי)</w:t>
            </w:r>
          </w:p>
        </w:tc>
        <w:tc>
          <w:tcPr>
            <w:tcW w:w="0" w:type="auto"/>
            <w:tcBorders>
              <w:top w:val="single" w:sz="12" w:space="0" w:color="auto"/>
              <w:bottom w:val="single" w:sz="12" w:space="0" w:color="auto"/>
            </w:tcBorders>
            <w:shd w:val="pct10" w:color="auto" w:fill="auto"/>
            <w:vAlign w:val="bottom"/>
          </w:tcPr>
          <w:p>
            <w:pPr>
              <w:spacing w:before="40" w:after="20" w:line="220" w:lineRule="exact"/>
              <w:ind w:left="0" w:right="0"/>
              <w:jc w:val="center"/>
              <w:rPr>
                <w:rFonts w:cs="FrankRuehl" w:hint="cs"/>
                <w:b/>
                <w:bCs/>
                <w:sz w:val="20"/>
                <w:szCs w:val="22"/>
                <w:rtl/>
              </w:rPr>
            </w:pPr>
            <w:r>
              <w:rPr>
                <w:rFonts w:cs="FrankRuehl" w:hint="cs"/>
                <w:b/>
                <w:bCs/>
                <w:sz w:val="20"/>
                <w:szCs w:val="22"/>
                <w:rtl/>
              </w:rPr>
              <w:t>הכנסות ברוטו לפני הוצאות ומסים (בש"ח)</w:t>
            </w:r>
          </w:p>
        </w:tc>
      </w:tr>
      <w:tr>
        <w:tblPrEx>
          <w:tblW w:w="6691" w:type="dxa"/>
          <w:jc w:val="center"/>
          <w:tblInd w:w="0" w:type="dxa"/>
          <w:tblCellMar>
            <w:top w:w="0" w:type="dxa"/>
            <w:left w:w="57" w:type="dxa"/>
            <w:bottom w:w="0" w:type="dxa"/>
            <w:right w:w="57" w:type="dxa"/>
          </w:tblCellMar>
          <w:tblLook w:val="01E0"/>
        </w:tblPrEx>
        <w:trPr>
          <w:jc w:val="center"/>
        </w:trPr>
        <w:tc>
          <w:tcPr>
            <w:tcW w:w="0" w:type="auto"/>
            <w:tcBorders>
              <w:top w:val="single" w:sz="12" w:space="0" w:color="auto"/>
            </w:tcBorders>
          </w:tcPr>
          <w:p>
            <w:pPr>
              <w:spacing w:before="40" w:after="20" w:line="220" w:lineRule="exact"/>
              <w:ind w:left="0" w:right="0"/>
              <w:jc w:val="left"/>
              <w:rPr>
                <w:rFonts w:cs="FrankRuehl" w:hint="cs"/>
                <w:sz w:val="20"/>
                <w:szCs w:val="22"/>
                <w:rtl/>
              </w:rPr>
            </w:pPr>
            <w:r>
              <w:rPr>
                <w:rFonts w:cs="FrankRuehl" w:hint="cs"/>
                <w:sz w:val="20"/>
                <w:szCs w:val="22"/>
                <w:rtl/>
              </w:rPr>
              <w:t>0</w:t>
            </w:r>
          </w:p>
        </w:tc>
        <w:tc>
          <w:tcPr>
            <w:tcW w:w="0" w:type="auto"/>
            <w:tcBorders>
              <w:top w:val="single" w:sz="12" w:space="0" w:color="auto"/>
            </w:tcBorders>
          </w:tcPr>
          <w:p>
            <w:pPr>
              <w:spacing w:before="40" w:after="20" w:line="220" w:lineRule="exact"/>
              <w:ind w:left="0" w:right="0"/>
              <w:jc w:val="left"/>
              <w:rPr>
                <w:rFonts w:cs="FrankRuehl" w:hint="cs"/>
                <w:sz w:val="20"/>
                <w:szCs w:val="22"/>
                <w:rtl/>
              </w:rPr>
            </w:pPr>
            <w:r>
              <w:rPr>
                <w:rFonts w:cs="FrankRuehl" w:hint="cs"/>
                <w:sz w:val="20"/>
                <w:szCs w:val="22"/>
                <w:rtl/>
              </w:rPr>
              <w:t>1,613,109</w:t>
            </w:r>
          </w:p>
        </w:tc>
        <w:tc>
          <w:tcPr>
            <w:tcW w:w="0" w:type="auto"/>
            <w:tcBorders>
              <w:top w:val="single" w:sz="12" w:space="0" w:color="auto"/>
            </w:tcBorders>
          </w:tcPr>
          <w:p>
            <w:pPr>
              <w:spacing w:before="40" w:after="20" w:line="220" w:lineRule="exact"/>
              <w:ind w:left="0" w:right="0"/>
              <w:jc w:val="left"/>
              <w:rPr>
                <w:rFonts w:cs="FrankRuehl" w:hint="cs"/>
                <w:sz w:val="20"/>
                <w:szCs w:val="22"/>
                <w:rtl/>
              </w:rPr>
            </w:pPr>
            <w:r>
              <w:rPr>
                <w:rFonts w:cs="FrankRuehl" w:hint="cs"/>
                <w:sz w:val="20"/>
                <w:szCs w:val="22"/>
                <w:rtl/>
              </w:rPr>
              <w:t>3142</w:t>
            </w:r>
          </w:p>
        </w:tc>
        <w:tc>
          <w:tcPr>
            <w:tcW w:w="0" w:type="auto"/>
            <w:tcBorders>
              <w:top w:val="single" w:sz="12" w:space="0" w:color="auto"/>
            </w:tcBorders>
          </w:tcPr>
          <w:p>
            <w:pPr>
              <w:spacing w:before="40" w:after="20" w:line="220" w:lineRule="exact"/>
              <w:ind w:left="0" w:right="0"/>
              <w:jc w:val="left"/>
              <w:rPr>
                <w:rFonts w:cs="FrankRuehl" w:hint="cs"/>
                <w:sz w:val="20"/>
                <w:szCs w:val="22"/>
                <w:rtl/>
              </w:rPr>
            </w:pPr>
            <w:r>
              <w:rPr>
                <w:rFonts w:cs="FrankRuehl" w:hint="cs"/>
                <w:sz w:val="20"/>
                <w:szCs w:val="22"/>
                <w:rtl/>
              </w:rPr>
              <w:t xml:space="preserve">אהוד ברק בע"מ </w:t>
            </w:r>
          </w:p>
        </w:tc>
      </w:tr>
      <w:tr>
        <w:tblPrEx>
          <w:tblW w:w="6691" w:type="dxa"/>
          <w:jc w:val="center"/>
          <w:tblInd w:w="0" w:type="dxa"/>
          <w:tblCellMar>
            <w:top w:w="0" w:type="dxa"/>
            <w:left w:w="57" w:type="dxa"/>
            <w:bottom w:w="0" w:type="dxa"/>
            <w:right w:w="57" w:type="dxa"/>
          </w:tblCellMar>
          <w:tblLook w:val="01E0"/>
        </w:tblPrEx>
        <w:trPr>
          <w:jc w:val="center"/>
        </w:trPr>
        <w:tc>
          <w:tcPr>
            <w:tcW w:w="0" w:type="auto"/>
          </w:tcPr>
          <w:p>
            <w:pPr>
              <w:spacing w:before="40" w:after="20" w:line="220" w:lineRule="exact"/>
              <w:ind w:left="0" w:right="0"/>
              <w:jc w:val="left"/>
              <w:rPr>
                <w:rFonts w:cs="FrankRuehl" w:hint="cs"/>
                <w:sz w:val="20"/>
                <w:szCs w:val="22"/>
                <w:rtl/>
              </w:rPr>
            </w:pPr>
            <w:r>
              <w:rPr>
                <w:rFonts w:cs="FrankRuehl" w:hint="cs"/>
                <w:sz w:val="20"/>
                <w:szCs w:val="22"/>
                <w:rtl/>
              </w:rPr>
              <w:t>580,565</w:t>
            </w:r>
          </w:p>
        </w:tc>
        <w:tc>
          <w:tcPr>
            <w:tcW w:w="0" w:type="auto"/>
          </w:tcPr>
          <w:p>
            <w:pPr>
              <w:spacing w:before="40" w:after="20" w:line="220" w:lineRule="exact"/>
              <w:ind w:left="0" w:right="0"/>
              <w:jc w:val="left"/>
              <w:rPr>
                <w:rFonts w:cs="FrankRuehl" w:hint="cs"/>
                <w:sz w:val="20"/>
                <w:szCs w:val="22"/>
                <w:rtl/>
              </w:rPr>
            </w:pPr>
            <w:r>
              <w:rPr>
                <w:rFonts w:cs="FrankRuehl" w:hint="cs"/>
                <w:sz w:val="20"/>
                <w:szCs w:val="22"/>
                <w:rtl/>
              </w:rPr>
              <w:t>718,504</w:t>
            </w:r>
          </w:p>
        </w:tc>
        <w:tc>
          <w:tcPr>
            <w:tcW w:w="0" w:type="auto"/>
          </w:tcPr>
          <w:p>
            <w:pPr>
              <w:spacing w:before="40" w:after="20" w:line="220" w:lineRule="exact"/>
              <w:ind w:left="0" w:right="0"/>
              <w:jc w:val="left"/>
              <w:rPr>
                <w:rFonts w:cs="FrankRuehl" w:hint="cs"/>
                <w:sz w:val="20"/>
                <w:szCs w:val="22"/>
                <w:rtl/>
              </w:rPr>
            </w:pPr>
            <w:r>
              <w:rPr>
                <w:rFonts w:cs="FrankRuehl" w:hint="cs"/>
                <w:sz w:val="20"/>
                <w:szCs w:val="22"/>
                <w:rtl/>
              </w:rPr>
              <w:t>0</w:t>
            </w:r>
          </w:p>
        </w:tc>
        <w:tc>
          <w:tcPr>
            <w:tcW w:w="0" w:type="auto"/>
          </w:tcPr>
          <w:p>
            <w:pPr>
              <w:spacing w:before="40" w:after="20" w:line="220" w:lineRule="exact"/>
              <w:ind w:left="0" w:right="0"/>
              <w:jc w:val="left"/>
              <w:rPr>
                <w:rFonts w:cs="FrankRuehl" w:hint="cs"/>
                <w:sz w:val="20"/>
                <w:szCs w:val="22"/>
                <w:rtl/>
              </w:rPr>
            </w:pPr>
            <w:r>
              <w:rPr>
                <w:rFonts w:cs="FrankRuehl" w:hint="cs"/>
                <w:sz w:val="20"/>
                <w:szCs w:val="22"/>
                <w:rtl/>
              </w:rPr>
              <w:t>חברה ד' (חלקה של חברת אהוד ברק בע"מ הוא 50%).</w:t>
            </w:r>
          </w:p>
        </w:tc>
      </w:tr>
      <w:tr>
        <w:tblPrEx>
          <w:tblW w:w="6691" w:type="dxa"/>
          <w:jc w:val="center"/>
          <w:tblInd w:w="0" w:type="dxa"/>
          <w:tblCellMar>
            <w:top w:w="0" w:type="dxa"/>
            <w:left w:w="57" w:type="dxa"/>
            <w:bottom w:w="0" w:type="dxa"/>
            <w:right w:w="57" w:type="dxa"/>
          </w:tblCellMar>
          <w:tblLook w:val="01E0"/>
        </w:tblPrEx>
        <w:trPr>
          <w:jc w:val="center"/>
        </w:trPr>
        <w:tc>
          <w:tcPr>
            <w:tcW w:w="0" w:type="auto"/>
          </w:tcPr>
          <w:p>
            <w:pPr>
              <w:spacing w:before="40" w:after="20" w:line="220" w:lineRule="exact"/>
              <w:ind w:left="0" w:right="0"/>
              <w:jc w:val="left"/>
              <w:rPr>
                <w:rFonts w:cs="FrankRuehl" w:hint="cs"/>
                <w:sz w:val="20"/>
                <w:szCs w:val="22"/>
                <w:rtl/>
              </w:rPr>
            </w:pPr>
            <w:r>
              <w:rPr>
                <w:rFonts w:cs="FrankRuehl" w:hint="cs"/>
                <w:sz w:val="20"/>
                <w:szCs w:val="22"/>
                <w:rtl/>
              </w:rPr>
              <w:t>263,920</w:t>
            </w:r>
          </w:p>
        </w:tc>
        <w:tc>
          <w:tcPr>
            <w:tcW w:w="0" w:type="auto"/>
          </w:tcPr>
          <w:p>
            <w:pPr>
              <w:spacing w:before="40" w:after="20" w:line="220" w:lineRule="exact"/>
              <w:ind w:left="0" w:right="0"/>
              <w:jc w:val="left"/>
              <w:rPr>
                <w:rFonts w:cs="FrankRuehl" w:hint="cs"/>
                <w:sz w:val="20"/>
                <w:szCs w:val="22"/>
                <w:rtl/>
              </w:rPr>
            </w:pPr>
            <w:r>
              <w:rPr>
                <w:rFonts w:cs="FrankRuehl" w:hint="cs"/>
                <w:sz w:val="20"/>
                <w:szCs w:val="22"/>
                <w:rtl/>
              </w:rPr>
              <w:t>216,124</w:t>
            </w:r>
          </w:p>
        </w:tc>
        <w:tc>
          <w:tcPr>
            <w:tcW w:w="0" w:type="auto"/>
          </w:tcPr>
          <w:p>
            <w:pPr>
              <w:spacing w:before="40" w:after="20" w:line="220" w:lineRule="exact"/>
              <w:ind w:left="0" w:right="0"/>
              <w:jc w:val="left"/>
              <w:rPr>
                <w:rFonts w:cs="FrankRuehl" w:hint="cs"/>
                <w:sz w:val="20"/>
                <w:szCs w:val="22"/>
                <w:rtl/>
              </w:rPr>
            </w:pPr>
            <w:r>
              <w:rPr>
                <w:rFonts w:cs="FrankRuehl" w:hint="cs"/>
                <w:sz w:val="20"/>
                <w:szCs w:val="22"/>
                <w:rtl/>
              </w:rPr>
              <w:t>1,313,627</w:t>
            </w:r>
          </w:p>
        </w:tc>
        <w:tc>
          <w:tcPr>
            <w:tcW w:w="0" w:type="auto"/>
          </w:tcPr>
          <w:p>
            <w:pPr>
              <w:spacing w:before="40" w:after="20" w:line="220" w:lineRule="exact"/>
              <w:ind w:left="0" w:right="0"/>
              <w:jc w:val="left"/>
              <w:rPr>
                <w:rFonts w:cs="FrankRuehl" w:hint="cs"/>
                <w:sz w:val="20"/>
                <w:szCs w:val="22"/>
                <w:rtl/>
              </w:rPr>
            </w:pPr>
            <w:r>
              <w:rPr>
                <w:rFonts w:cs="FrankRuehl" w:hint="cs"/>
                <w:sz w:val="20"/>
                <w:szCs w:val="22"/>
                <w:rtl/>
              </w:rPr>
              <w:t>חברה א' (חלקו של ברק שהועבר לבנותיו הוא 50%).</w:t>
            </w:r>
          </w:p>
        </w:tc>
      </w:tr>
    </w:tbl>
    <w:p>
      <w:pPr>
        <w:ind w:left="0" w:right="0"/>
        <w:jc w:val="left"/>
        <w:rPr>
          <w:rFonts w:cs="FrankRuehl" w:hint="cs"/>
          <w:sz w:val="20"/>
          <w:szCs w:val="22"/>
          <w:rtl/>
        </w:rPr>
      </w:pPr>
    </w:p>
    <w:p>
      <w:pPr>
        <w:pStyle w:val="RESHET"/>
        <w:ind w:left="227" w:right="227"/>
        <w:jc w:val="both"/>
        <w:rPr>
          <w:rFonts w:hint="cs"/>
          <w:rtl/>
        </w:rPr>
      </w:pPr>
      <w:r>
        <w:rPr>
          <w:rFonts w:hint="cs"/>
          <w:rtl/>
        </w:rPr>
        <w:t>העובדה שחברת אהוד ברק בע"מ היא בעלת מניות בחברות בנות, יוצרת למעשה שליטה, וקשרים נוספים, שגם לגביהם עלול להתעורר החשש לניגוד עניינים, שלא נבדק. בפועל נוצר מצב שלא התקיים גילוי מלא.</w:t>
      </w:r>
    </w:p>
    <w:p>
      <w:pPr>
        <w:spacing w:after="120" w:line="230" w:lineRule="exact"/>
        <w:ind w:left="0" w:right="0"/>
        <w:jc w:val="left"/>
        <w:rPr>
          <w:rFonts w:cs="FrankRuehl" w:hint="cs"/>
          <w:b/>
          <w:bCs/>
          <w:sz w:val="20"/>
          <w:szCs w:val="22"/>
          <w:rtl/>
        </w:rPr>
      </w:pPr>
    </w:p>
    <w:p>
      <w:pPr>
        <w:pStyle w:val="KOT5"/>
        <w:ind w:left="0" w:right="0"/>
        <w:jc w:val="left"/>
        <w:rPr>
          <w:rFonts w:hint="cs"/>
          <w:rtl/>
        </w:rPr>
      </w:pPr>
      <w:r>
        <w:rPr>
          <w:rFonts w:hint="cs"/>
          <w:rtl/>
        </w:rPr>
        <w:t xml:space="preserve">ג. </w:t>
        <w:tab/>
        <w:t xml:space="preserve">פעולות של השר שלא בהתאם לכללים </w:t>
      </w:r>
    </w:p>
    <w:p>
      <w:pPr>
        <w:spacing w:after="120" w:line="230" w:lineRule="exact"/>
        <w:ind w:left="0" w:right="0"/>
        <w:jc w:val="both"/>
        <w:rPr>
          <w:rFonts w:cs="FrankRuehl" w:hint="cs"/>
          <w:sz w:val="20"/>
          <w:szCs w:val="22"/>
          <w:rtl/>
        </w:rPr>
      </w:pPr>
      <w:r>
        <w:rPr>
          <w:rFonts w:cs="FrankRuehl" w:hint="cs"/>
          <w:sz w:val="20"/>
          <w:szCs w:val="22"/>
          <w:rtl/>
        </w:rPr>
        <w:t xml:space="preserve">כאמור, בכלל 14(א)(2) לכללים נקבע כי אם העביר שר לקרובו את מניותיו המקנות לו שליטה בחבר בני אדם בתוך שלוש שנים לפני מינויו לשר, עליו לגרום לכך שאותו חבר בני אדם, שאיננו גוף מבוקר, יעמוד לביקורת מבקר המדינה וזאת על ידי חתימת הסכם עם הממשלה. על השר היה לפעול לפי הכללים ולהעמיד את החברות לביקורת המדינה. </w:t>
      </w:r>
    </w:p>
    <w:p>
      <w:pPr>
        <w:spacing w:after="240" w:line="230" w:lineRule="exact"/>
        <w:ind w:left="0" w:right="0"/>
        <w:jc w:val="both"/>
        <w:rPr>
          <w:rFonts w:cs="FrankRuehl" w:hint="cs"/>
          <w:sz w:val="20"/>
          <w:szCs w:val="22"/>
          <w:rtl/>
        </w:rPr>
      </w:pPr>
      <w:r>
        <w:rPr>
          <w:rFonts w:cs="FrankRuehl" w:hint="cs"/>
          <w:sz w:val="20"/>
          <w:szCs w:val="22"/>
          <w:rtl/>
        </w:rPr>
        <w:t xml:space="preserve">בתשובתם מיום 30.6.10 ציינו נציגי השר ברק כי הוא נכון לגרום לכך שהחברות יחתמו לאלתר על הסכם עם הממשלה, וכל החומר הרלוונטי של החברות הנ"ל נמסר למבקר המדינה על פי דרישתו גם ללא הסכם. </w:t>
      </w:r>
    </w:p>
    <w:p>
      <w:pPr>
        <w:pStyle w:val="RESHET"/>
        <w:ind w:left="227" w:right="227"/>
        <w:jc w:val="both"/>
        <w:rPr>
          <w:rFonts w:hint="cs"/>
          <w:rtl/>
        </w:rPr>
      </w:pPr>
      <w:r>
        <w:rPr>
          <w:rFonts w:hint="cs"/>
          <w:rtl/>
        </w:rPr>
        <w:t xml:space="preserve">משלא פנה השר ברק לוועדה למתן היתרים לקבלת היתר אישי לאי-קיום כלל 13 מהכללים המחייבים שרים וסגני שרים למניעת ניגוד עניינים, והעביר את המניות (או הזכויות) לבנותיו, היה עליו, לפי כלל 14, לחתום על הסכם עם הממשלה על פי סעיף 9(6) לחוק מבקר המדינה התשי"ח-1958 [נוסח משולב], ולהעמיד את החברות לביקורת מבקר המדינה, אולם השר לא עשה כן. זאת, במיוחד לאור העובדה שלכאורה תחום פעילות החברות אינו בגדר תחום עיסוקן של הבנות (בניגוד לכלל 13), ולא היה להן מלכתחילה כל תפקיד בהן. </w:t>
      </w:r>
    </w:p>
    <w:p>
      <w:pPr>
        <w:spacing w:before="180" w:after="120" w:line="230" w:lineRule="exact"/>
        <w:ind w:left="0" w:right="0"/>
        <w:jc w:val="both"/>
        <w:rPr>
          <w:rFonts w:cs="FrankRuehl" w:hint="cs"/>
          <w:b/>
          <w:bCs/>
          <w:sz w:val="20"/>
          <w:szCs w:val="22"/>
          <w:rtl/>
        </w:rPr>
      </w:pPr>
      <w:r>
        <w:rPr>
          <w:rFonts w:cs="FrankRuehl" w:hint="cs"/>
          <w:sz w:val="20"/>
          <w:szCs w:val="22"/>
          <w:rtl/>
        </w:rPr>
        <w:t xml:space="preserve">אלמלא הזדרז מר ברק להעביר את מניותיו לבנותיו ימים ספורים לפני מינויו, ראוי היה שינקוט אחת משתי הדרכים האלה:   (1) לפעול על פי אחת החלופות לפי כלל 13;   (2) לפנות אל הוועדה למתן היתרים בבקשה לקבלת היתר לאי-קיום כלל 13. ממקרים דומים שאירעו בעבר ניתן ללמוד שאילו הייתה מוגשת פנייה ברוח זו, כפי שראוי היה לעשות, הייתה הוועדה מעניקה פרק זמן ארוך יותר לסגירת החברה או הייתה דורשת הסדר מתאים להעברת השליטה בחברה לאדם זר תוך יצירת חיץ בין השר ברק לחברה שבה היה בעל שליטה תוך הקפדה על ניתוק מלא שלו מהפעילות. </w:t>
      </w:r>
    </w:p>
    <w:p>
      <w:pPr>
        <w:pStyle w:val="KOT5"/>
        <w:ind w:left="0" w:right="0"/>
        <w:jc w:val="left"/>
        <w:rPr>
          <w:rFonts w:hint="cs"/>
          <w:rtl/>
          <w:lang w:eastAsia="he-IL"/>
        </w:rPr>
      </w:pPr>
      <w:r>
        <w:rPr>
          <w:rtl/>
          <w:lang w:eastAsia="he-IL"/>
        </w:rPr>
        <w:br w:type="page"/>
      </w:r>
      <w:r>
        <w:rPr>
          <w:rFonts w:hint="cs"/>
          <w:rtl/>
          <w:lang w:eastAsia="he-IL"/>
        </w:rPr>
        <w:t xml:space="preserve">ד. </w:t>
        <w:tab/>
        <w:t>סיכום</w:t>
      </w:r>
    </w:p>
    <w:p>
      <w:pPr>
        <w:pStyle w:val="RESHET"/>
        <w:ind w:left="227" w:right="227"/>
        <w:jc w:val="both"/>
        <w:rPr>
          <w:rFonts w:hint="cs"/>
          <w:rtl/>
        </w:rPr>
      </w:pPr>
      <w:r>
        <w:rPr>
          <w:rFonts w:hint="cs"/>
          <w:rtl/>
        </w:rPr>
        <w:t>ימים ספורים לפני מינויו לשר פעל השר ברק שלא בהתאם לרוח הכללים ולתכליתם. פעולותיו אלה של השר ברק לא עלו בקנה אחד עם נורמות ציבוריות שמצופות משר או ממועמד להיות שר.</w:t>
      </w:r>
    </w:p>
    <w:p>
      <w:pPr>
        <w:spacing w:before="180" w:after="240" w:line="230" w:lineRule="exact"/>
        <w:ind w:left="0" w:right="0"/>
        <w:jc w:val="both"/>
        <w:rPr>
          <w:rFonts w:cs="FrankRuehl" w:hint="cs"/>
          <w:sz w:val="20"/>
          <w:szCs w:val="22"/>
          <w:rtl/>
          <w:lang w:eastAsia="he-IL"/>
        </w:rPr>
      </w:pPr>
      <w:r>
        <w:rPr>
          <w:rFonts w:cs="FrankRuehl" w:hint="cs"/>
          <w:sz w:val="20"/>
          <w:szCs w:val="22"/>
          <w:rtl/>
          <w:lang w:eastAsia="he-IL"/>
        </w:rPr>
        <w:t>בית המשפט העליון בשבתו כ</w:t>
      </w:r>
      <w:r>
        <w:rPr>
          <w:rFonts w:cs="FrankRuehl"/>
          <w:sz w:val="20"/>
          <w:szCs w:val="22"/>
          <w:rtl/>
          <w:lang w:eastAsia="he-IL"/>
        </w:rPr>
        <w:t>בג"צ</w:t>
      </w:r>
      <w:r>
        <w:rPr>
          <w:rStyle w:val="FootnoteReference"/>
          <w:rFonts w:cs="FrankRuehl"/>
          <w:b/>
          <w:bCs/>
          <w:sz w:val="20"/>
          <w:szCs w:val="22"/>
          <w:rtl/>
          <w:lang w:eastAsia="he-IL"/>
        </w:rPr>
        <w:footnoteReference w:id="12"/>
      </w:r>
      <w:r>
        <w:rPr>
          <w:rFonts w:cs="FrankRuehl"/>
          <w:sz w:val="20"/>
          <w:szCs w:val="22"/>
          <w:rtl/>
          <w:lang w:eastAsia="he-IL"/>
        </w:rPr>
        <w:t xml:space="preserve"> </w:t>
      </w:r>
      <w:r>
        <w:rPr>
          <w:rFonts w:cs="FrankRuehl" w:hint="cs"/>
          <w:sz w:val="20"/>
          <w:szCs w:val="22"/>
          <w:rtl/>
          <w:lang w:eastAsia="he-IL"/>
        </w:rPr>
        <w:t xml:space="preserve">הציב שאלה: "פעולה של איש ציבור המתבצעת בגבולות החוק ואינה חורגת ממנו, עשויה עדיין להעלות את השאלה האם, חרף היות הפעולה מותרת על פי החוק, עדיין היא אסורה מכוח עקרונות משפט כלליים של המשפט הציבורי, שעל הפרתם הוא צפוי לסנקציה מינהלית. או שמא, גם אם הפעולה חוקית מבחינת הנורמה המשפטית - החקיקתית והפסיקתית, עדיין עשויה היא להפר נורמה אתית-ציבורית לבר [חוץ]-משפטית שמנגנוני הביקורת על הפרתה מצויים כולם מחוץ לתחום המשפט, בתוככי ההליך הציבורי-פוליטי השזור במשטר הדמוקרטי בישראל". בית המשפט השיב על השאלה בקבעו שחובתו של איש ציבור להתנהל גם לפי נורמות משפטיות מחייבות וגם לפי נורמות חוץ-משפטיות, שמקורן בכללי האתיקה הציבורית, ואף כי הן אינן כתובות, הן חקוקות בתודעה הציבורית. </w:t>
      </w:r>
    </w:p>
    <w:p>
      <w:pPr>
        <w:pStyle w:val="RESHET"/>
        <w:ind w:left="227" w:right="227"/>
        <w:jc w:val="both"/>
        <w:rPr>
          <w:rFonts w:hint="cs"/>
          <w:rtl/>
        </w:rPr>
      </w:pPr>
      <w:r>
        <w:rPr>
          <w:rFonts w:hint="cs"/>
          <w:rtl/>
        </w:rPr>
        <w:t xml:space="preserve">אי הגשת בקשה לוועדה על ידי השר לגבי פעילות רעייתו בחברה, לא תאמה את הכללים המחייבים שרים וסגני שרים למניעת ניגוד עניינים ואת החלטת הוועדה למתן היתרים שליד מבקר המדינה. </w:t>
      </w:r>
    </w:p>
    <w:p>
      <w:pPr>
        <w:pStyle w:val="RESHET"/>
        <w:ind w:left="227" w:right="227"/>
        <w:jc w:val="both"/>
        <w:rPr>
          <w:rFonts w:hint="cs"/>
          <w:rtl/>
        </w:rPr>
      </w:pPr>
      <w:r>
        <w:rPr>
          <w:rFonts w:hint="cs"/>
          <w:rtl/>
        </w:rPr>
        <w:t xml:space="preserve">העברת המניות של השר ברק לבנותיו אינה מנתקת אותו לחלוטין מזיקתו לחברות, כנדרש בכללים. בהימנעותו מפנייה לוועדה האמורה כמועמד לשר, בהעברת המניות לבנות טרם המינוי ובהיעדר גילוי מלא יצר השר ברק הסדר שספק אם יכול היה להשיגו אילו פנה לוועדה. </w:t>
      </w:r>
    </w:p>
    <w:p>
      <w:pPr>
        <w:pStyle w:val="RESHET"/>
        <w:ind w:left="227" w:right="227"/>
        <w:jc w:val="both"/>
        <w:rPr>
          <w:rFonts w:hint="cs"/>
          <w:u w:val="single"/>
          <w:rtl/>
        </w:rPr>
      </w:pPr>
      <w:r>
        <w:rPr>
          <w:rFonts w:hint="cs"/>
          <w:rtl/>
        </w:rPr>
        <w:t xml:space="preserve">בהיעדר מלוא המידע בפני הוועדה, נמנעה האפשרות לבחון את מכלול קשריו של השר ברק ואת זיקותיו לגורמים שונים וגם לא נבחן הצורך, נוכח אלה, בהסדר ראוי למניעת ניגוד עניינים. </w:t>
      </w:r>
    </w:p>
    <w:p>
      <w:pPr>
        <w:pStyle w:val="RESHET"/>
        <w:ind w:left="227" w:right="227"/>
        <w:jc w:val="both"/>
        <w:rPr>
          <w:rFonts w:hint="cs"/>
          <w:u w:val="single"/>
          <w:rtl/>
        </w:rPr>
      </w:pPr>
      <w:r>
        <w:rPr>
          <w:rFonts w:hint="cs"/>
          <w:u w:val="single"/>
          <w:rtl/>
        </w:rPr>
        <w:t>בנסיבות אלה הוא גם לא פעל להביא לכך שהחברות יעמדו לביקורת מבקר המדינה על ידי חתימת הסכם עם הממשלה כנדרש בכללים ובכך נמנע פיקוח אפקטיבי ראוי.</w:t>
      </w:r>
    </w:p>
    <w:p>
      <w:pPr>
        <w:pStyle w:val="RESHET"/>
        <w:ind w:left="227" w:right="227"/>
        <w:jc w:val="both"/>
        <w:rPr>
          <w:rFonts w:hint="cs"/>
          <w:u w:val="single"/>
          <w:rtl/>
        </w:rPr>
      </w:pPr>
      <w:r>
        <w:rPr>
          <w:rFonts w:hint="cs"/>
          <w:u w:val="single"/>
          <w:rtl/>
        </w:rPr>
        <w:t xml:space="preserve">מכל מקום, מבקר המדינה סבור כי על השר ברק לפעול מיד לניתוק מוחלט בינו ובין חברת אהוד ברק בע"מ ובינו ובין חברה א', בהתאם לחלופות המנויות בכללים הנזכרים לעיל. </w:t>
      </w:r>
    </w:p>
    <w:p>
      <w:pPr>
        <w:spacing w:after="120" w:line="230" w:lineRule="exact"/>
        <w:ind w:left="0" w:right="0"/>
        <w:jc w:val="left"/>
        <w:rPr>
          <w:rFonts w:cs="FrankRuehl" w:hint="cs"/>
          <w:b/>
          <w:bCs/>
          <w:sz w:val="20"/>
          <w:szCs w:val="22"/>
          <w:rtl/>
        </w:rPr>
      </w:pPr>
      <w:r>
        <w:rPr>
          <w:rFonts w:cs="FrankRuehl"/>
          <w:b/>
          <w:bCs/>
          <w:sz w:val="20"/>
          <w:szCs w:val="22"/>
          <w:rtl/>
        </w:rPr>
        <w:br w:type="page"/>
      </w:r>
    </w:p>
    <w:p>
      <w:pPr>
        <w:pStyle w:val="RESHET"/>
        <w:ind w:left="227" w:right="227"/>
        <w:jc w:val="both"/>
        <w:rPr>
          <w:rFonts w:hint="cs"/>
          <w:rtl/>
        </w:rPr>
      </w:pPr>
      <w:r>
        <w:rPr>
          <w:rFonts w:hint="cs"/>
          <w:rtl/>
        </w:rPr>
        <w:t xml:space="preserve">מבקר המדינה סבור כי ראוי להציב גם למועמדים לתפקידי שרים רף התנהגותי גבוה ומשמעותי ולדרוש מהם להקפיד הקפדה יתרה בניהול ענייניהם, הקפדה שלא תותיר ספק באשר לתקינות פעולותיהם או תעורר חשש כלשהו. דרישות אלו מחוייבות משרים וסגני שרים מיועדים ומכהנים- נוכח שליחותם הציבורית הרמה וכדי למנוע פגיעה באמון הציבור בנבחריו. </w:t>
      </w:r>
    </w:p>
    <w:p>
      <w:pPr>
        <w:tabs>
          <w:tab w:val="center" w:pos="4746"/>
        </w:tabs>
        <w:spacing w:line="240" w:lineRule="atLeast"/>
        <w:ind w:left="0" w:right="0"/>
        <w:jc w:val="left"/>
        <w:rPr>
          <w:rFonts w:hint="cs"/>
          <w:rtl/>
        </w:rPr>
      </w:pPr>
    </w:p>
    <w:p>
      <w:pPr>
        <w:tabs>
          <w:tab w:val="center" w:pos="4746"/>
        </w:tabs>
        <w:spacing w:line="240" w:lineRule="atLeast"/>
        <w:ind w:left="0" w:right="0"/>
        <w:jc w:val="left"/>
        <w:rPr>
          <w:rFonts w:hint="cs"/>
          <w:rtl/>
        </w:rPr>
      </w:pPr>
      <w:r>
        <w:rPr>
          <w:rFonts w:hint="cs"/>
          <w:rtl/>
        </w:rPr>
        <w:tab/>
      </w:r>
      <w:r>
        <w:pict>
          <v:shape id="_x0000_i1028" type="#_x0000_t75" style="width:126.07pt;height:78.45pt;mso-wrap-edited:f" o:allowoverlap="f" wrapcoords="-125 0 -125 21400 21600 21400 21600 0 -125 0" stroked="f">
            <v:imagedata r:id="rId11" o:title="חתימה_TIFF"/>
          </v:shape>
        </w:pict>
      </w:r>
    </w:p>
    <w:p>
      <w:pPr>
        <w:tabs>
          <w:tab w:val="center" w:pos="4746"/>
        </w:tabs>
        <w:spacing w:line="280" w:lineRule="exact"/>
        <w:ind w:left="0" w:right="0"/>
        <w:jc w:val="left"/>
        <w:rPr>
          <w:rFonts w:hint="cs"/>
          <w:b/>
          <w:bCs/>
          <w:rtl/>
          <w:lang w:eastAsia="he-IL"/>
        </w:rPr>
      </w:pPr>
      <w:r>
        <w:rPr>
          <w:rFonts w:hint="cs"/>
          <w:b/>
          <w:bCs/>
          <w:rtl/>
          <w:lang w:eastAsia="he-IL"/>
        </w:rPr>
        <w:tab/>
        <w:t>מיכה לינדנשטראוס, שופט (בדימ')</w:t>
      </w:r>
    </w:p>
    <w:p>
      <w:pPr>
        <w:tabs>
          <w:tab w:val="center" w:pos="4746"/>
        </w:tabs>
        <w:spacing w:line="280" w:lineRule="exact"/>
        <w:ind w:left="0" w:right="0"/>
        <w:jc w:val="left"/>
        <w:rPr>
          <w:rFonts w:hint="cs"/>
          <w:rtl/>
          <w:lang w:eastAsia="he-IL"/>
        </w:rPr>
      </w:pPr>
      <w:r>
        <w:rPr>
          <w:rFonts w:hint="cs"/>
          <w:rtl/>
          <w:lang w:eastAsia="he-IL"/>
        </w:rPr>
        <w:tab/>
        <w:t>מבקר המדינה</w:t>
      </w:r>
    </w:p>
    <w:p>
      <w:pPr>
        <w:tabs>
          <w:tab w:val="center" w:pos="4746"/>
        </w:tabs>
        <w:spacing w:line="280" w:lineRule="exact"/>
        <w:ind w:left="0" w:right="0"/>
        <w:jc w:val="left"/>
        <w:rPr>
          <w:rFonts w:hint="cs"/>
          <w:rtl/>
          <w:lang w:eastAsia="he-IL"/>
        </w:rPr>
      </w:pPr>
      <w:r>
        <w:rPr>
          <w:rFonts w:hint="cs"/>
          <w:rtl/>
          <w:lang w:eastAsia="he-IL"/>
        </w:rPr>
        <w:tab/>
        <w:t>ונציב תלונות הציבור</w:t>
      </w:r>
    </w:p>
    <w:p>
      <w:pPr>
        <w:tabs>
          <w:tab w:val="left" w:pos="898"/>
        </w:tabs>
        <w:ind w:left="0" w:right="0"/>
        <w:jc w:val="left"/>
        <w:rPr>
          <w:sz w:val="22"/>
          <w:szCs w:val="22"/>
          <w:rtl/>
        </w:rPr>
      </w:pPr>
      <w:r>
        <w:rPr>
          <w:rFonts w:hint="cs"/>
          <w:sz w:val="22"/>
          <w:szCs w:val="22"/>
          <w:rtl/>
        </w:rPr>
        <w:t xml:space="preserve">ירושלים, </w:t>
      </w:r>
      <w:r>
        <w:rPr>
          <w:rFonts w:hint="eastAsia"/>
          <w:sz w:val="22"/>
          <w:szCs w:val="22"/>
          <w:rtl/>
        </w:rPr>
        <w:t>‏</w:t>
      </w:r>
      <w:r>
        <w:rPr>
          <w:rFonts w:hint="cs"/>
          <w:sz w:val="22"/>
          <w:szCs w:val="22"/>
          <w:rtl/>
        </w:rPr>
        <w:tab/>
      </w:r>
      <w:r>
        <w:rPr>
          <w:rFonts w:hint="eastAsia"/>
          <w:sz w:val="22"/>
          <w:szCs w:val="22"/>
          <w:rtl/>
        </w:rPr>
        <w:t>כ</w:t>
      </w:r>
      <w:r>
        <w:rPr>
          <w:sz w:val="22"/>
          <w:szCs w:val="22"/>
          <w:rtl/>
        </w:rPr>
        <w:t>"ג בניסן התשע"א</w:t>
      </w:r>
    </w:p>
    <w:p>
      <w:pPr>
        <w:tabs>
          <w:tab w:val="left" w:pos="898"/>
        </w:tabs>
        <w:ind w:left="0" w:right="0"/>
        <w:jc w:val="left"/>
        <w:rPr>
          <w:sz w:val="22"/>
          <w:szCs w:val="22"/>
          <w:rtl/>
        </w:rPr>
      </w:pPr>
      <w:r>
        <w:rPr>
          <w:rFonts w:hint="cs"/>
          <w:sz w:val="22"/>
          <w:szCs w:val="22"/>
          <w:rtl/>
        </w:rPr>
        <w:tab/>
      </w:r>
      <w:r>
        <w:rPr>
          <w:rFonts w:hint="eastAsia"/>
          <w:sz w:val="22"/>
          <w:szCs w:val="22"/>
          <w:rtl/>
        </w:rPr>
        <w:t>‏</w:t>
      </w:r>
      <w:r>
        <w:rPr>
          <w:sz w:val="22"/>
          <w:szCs w:val="22"/>
          <w:rtl/>
        </w:rPr>
        <w:t>27 באפריל 2011</w:t>
      </w:r>
    </w:p>
    <w:p>
      <w:pPr>
        <w:spacing w:after="120" w:line="230" w:lineRule="exact"/>
        <w:ind w:left="0" w:right="0"/>
        <w:jc w:val="both"/>
        <w:rPr>
          <w:rFonts w:cs="FrankRuehl"/>
          <w:sz w:val="20"/>
          <w:szCs w:val="22"/>
        </w:rPr>
      </w:pPr>
    </w:p>
    <w:sectPr>
      <w:headerReference w:type="even" r:id="rId12"/>
      <w:headerReference w:type="default" r:id="rId13"/>
      <w:headerReference w:type="first" r:id="rId14"/>
      <w:pgSz w:w="11906" w:h="16838" w:code="9"/>
      <w:pgMar w:top="1758" w:right="2552" w:bottom="3686" w:left="2552" w:header="1247"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MS Mincho">
    <w:altName w:val="ＭＳ 明朝"/>
    <w:panose1 w:val="00000000000000000000"/>
    <w:charset w:val="80"/>
    <w:family w:val="roman"/>
    <w:notTrueType/>
    <w:pitch w:val="fixed"/>
    <w:sig w:usb0="00000001" w:usb1="08070000" w:usb2="00000010" w:usb3="00000000" w:csb0="0002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 w:name="Tahoma">
    <w:panose1 w:val="020B0604030504040204"/>
    <w:charset w:val="00"/>
    <w:family w:val="swiss"/>
    <w:pitch w:val="variable"/>
    <w:sig w:usb0="21007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ind w:left="0" w:right="0"/>
        <w:jc w:val="left"/>
        <w:rPr>
          <w:rFonts w:hint="cs"/>
          <w:sz w:val="16"/>
          <w:szCs w:val="16"/>
          <w:rtl/>
        </w:rPr>
      </w:pPr>
      <w:r>
        <w:rPr>
          <w:rFonts w:hint="cs"/>
          <w:sz w:val="16"/>
          <w:szCs w:val="16"/>
          <w:rtl/>
        </w:rPr>
        <w:t>__________________</w:t>
      </w:r>
    </w:p>
  </w:footnote>
  <w:footnote w:type="continuationSeparator" w:id="1">
    <w:p>
      <w:pPr>
        <w:ind w:left="0" w:right="0"/>
        <w:jc w:val="left"/>
      </w:pPr>
      <w:r>
        <w:continuationSeparator/>
      </w:r>
    </w:p>
  </w:footnote>
  <w:footnote w:id="2">
    <w:p>
      <w:pPr>
        <w:pStyle w:val="Title"/>
        <w:widowControl/>
        <w:spacing w:line="200" w:lineRule="exact"/>
        <w:ind w:left="397" w:right="0" w:hanging="397"/>
        <w:jc w:val="both"/>
        <w:rPr>
          <w:rFonts w:cs="FrankRuehl" w:hint="cs"/>
          <w:sz w:val="20"/>
          <w:szCs w:val="20"/>
        </w:rPr>
      </w:pPr>
      <w:r>
        <w:rPr>
          <w:rStyle w:val="FootnoteReference"/>
          <w:rFonts w:ascii="FrankRuehl" w:hAnsi="FrankRuehl" w:cs="FrankRuehl"/>
          <w:b w:val="0"/>
          <w:bCs w:val="0"/>
          <w:sz w:val="20"/>
          <w:szCs w:val="20"/>
          <w:u w:val="none"/>
          <w:vertAlign w:val="baseline"/>
        </w:rPr>
        <w:footnoteRef/>
      </w:r>
      <w:r>
        <w:rPr>
          <w:rFonts w:cs="FrankRuehl"/>
          <w:sz w:val="20"/>
          <w:szCs w:val="20"/>
          <w:u w:val="none"/>
          <w:rtl/>
        </w:rPr>
        <w:t xml:space="preserve"> </w:t>
      </w:r>
      <w:r>
        <w:rPr>
          <w:rFonts w:cs="FrankRuehl"/>
          <w:sz w:val="20"/>
          <w:szCs w:val="20"/>
          <w:u w:val="none"/>
        </w:rPr>
        <w:tab/>
      </w:r>
      <w:r>
        <w:rPr>
          <w:rFonts w:cs="FrankRuehl" w:hint="eastAsia"/>
          <w:b w:val="0"/>
          <w:bCs w:val="0"/>
          <w:sz w:val="20"/>
          <w:szCs w:val="20"/>
          <w:u w:val="none"/>
          <w:rtl/>
        </w:rPr>
        <w:t>הנוסח</w:t>
      </w:r>
      <w:r>
        <w:rPr>
          <w:rFonts w:cs="FrankRuehl"/>
          <w:b w:val="0"/>
          <w:bCs w:val="0"/>
          <w:sz w:val="20"/>
          <w:szCs w:val="20"/>
          <w:u w:val="none"/>
          <w:rtl/>
        </w:rPr>
        <w:t xml:space="preserve"> </w:t>
      </w:r>
      <w:r>
        <w:rPr>
          <w:rFonts w:cs="FrankRuehl" w:hint="cs"/>
          <w:b w:val="0"/>
          <w:bCs w:val="0"/>
          <w:sz w:val="20"/>
          <w:szCs w:val="20"/>
          <w:u w:val="none"/>
          <w:rtl/>
        </w:rPr>
        <w:t xml:space="preserve">התקף היום, שבו אפשר לעיין אף באתר האינטרנט של משרד מבקר המדינה, </w:t>
      </w:r>
      <w:r>
        <w:rPr>
          <w:rFonts w:cs="FrankRuehl" w:hint="eastAsia"/>
          <w:b w:val="0"/>
          <w:bCs w:val="0"/>
          <w:sz w:val="20"/>
          <w:szCs w:val="20"/>
          <w:u w:val="none"/>
          <w:rtl/>
        </w:rPr>
        <w:t>מבוסס</w:t>
      </w:r>
      <w:r>
        <w:rPr>
          <w:rFonts w:cs="FrankRuehl"/>
          <w:b w:val="0"/>
          <w:bCs w:val="0"/>
          <w:sz w:val="20"/>
          <w:szCs w:val="20"/>
          <w:u w:val="none"/>
          <w:rtl/>
        </w:rPr>
        <w:t xml:space="preserve"> </w:t>
      </w:r>
      <w:r>
        <w:rPr>
          <w:rFonts w:cs="FrankRuehl" w:hint="eastAsia"/>
          <w:b w:val="0"/>
          <w:bCs w:val="0"/>
          <w:sz w:val="20"/>
          <w:szCs w:val="20"/>
          <w:u w:val="none"/>
          <w:rtl/>
        </w:rPr>
        <w:t>על</w:t>
      </w:r>
      <w:r>
        <w:rPr>
          <w:rFonts w:cs="FrankRuehl"/>
          <w:b w:val="0"/>
          <w:bCs w:val="0"/>
          <w:sz w:val="20"/>
          <w:szCs w:val="20"/>
          <w:u w:val="none"/>
          <w:rtl/>
        </w:rPr>
        <w:t xml:space="preserve"> </w:t>
      </w:r>
      <w:r>
        <w:rPr>
          <w:rFonts w:cs="FrankRuehl" w:hint="eastAsia"/>
          <w:b w:val="0"/>
          <w:bCs w:val="0"/>
          <w:sz w:val="20"/>
          <w:szCs w:val="20"/>
          <w:u w:val="none"/>
          <w:rtl/>
        </w:rPr>
        <w:t>החלטת</w:t>
      </w:r>
      <w:r>
        <w:rPr>
          <w:rFonts w:cs="FrankRuehl"/>
          <w:b w:val="0"/>
          <w:bCs w:val="0"/>
          <w:sz w:val="20"/>
          <w:szCs w:val="20"/>
          <w:u w:val="none"/>
          <w:rtl/>
        </w:rPr>
        <w:t xml:space="preserve"> </w:t>
      </w:r>
      <w:r>
        <w:rPr>
          <w:rFonts w:cs="FrankRuehl" w:hint="eastAsia"/>
          <w:b w:val="0"/>
          <w:bCs w:val="0"/>
          <w:sz w:val="20"/>
          <w:szCs w:val="20"/>
          <w:u w:val="none"/>
          <w:rtl/>
        </w:rPr>
        <w:t>הממשלה</w:t>
      </w:r>
      <w:r>
        <w:rPr>
          <w:rFonts w:cs="FrankRuehl"/>
          <w:b w:val="0"/>
          <w:bCs w:val="0"/>
          <w:sz w:val="20"/>
          <w:szCs w:val="20"/>
          <w:u w:val="none"/>
          <w:rtl/>
        </w:rPr>
        <w:t xml:space="preserve"> </w:t>
      </w:r>
      <w:r>
        <w:rPr>
          <w:rFonts w:cs="FrankRuehl" w:hint="eastAsia"/>
          <w:b w:val="0"/>
          <w:bCs w:val="0"/>
          <w:sz w:val="20"/>
          <w:szCs w:val="20"/>
          <w:u w:val="none"/>
          <w:rtl/>
        </w:rPr>
        <w:t>מס</w:t>
      </w:r>
      <w:r>
        <w:rPr>
          <w:rFonts w:cs="FrankRuehl"/>
          <w:b w:val="0"/>
          <w:bCs w:val="0"/>
          <w:sz w:val="20"/>
          <w:szCs w:val="20"/>
          <w:u w:val="none"/>
          <w:rtl/>
        </w:rPr>
        <w:t>' 2801</w:t>
      </w:r>
      <w:r>
        <w:rPr>
          <w:rFonts w:cs="FrankRuehl" w:hint="cs"/>
          <w:b w:val="0"/>
          <w:bCs w:val="0"/>
          <w:sz w:val="20"/>
          <w:szCs w:val="20"/>
          <w:u w:val="none"/>
          <w:rtl/>
        </w:rPr>
        <w:t xml:space="preserve"> </w:t>
      </w:r>
      <w:r>
        <w:rPr>
          <w:rFonts w:cs="FrankRuehl"/>
          <w:b w:val="0"/>
          <w:bCs w:val="0"/>
          <w:sz w:val="20"/>
          <w:szCs w:val="20"/>
          <w:u w:val="none"/>
          <w:rtl/>
        </w:rPr>
        <w:t>(</w:t>
      </w:r>
      <w:r>
        <w:rPr>
          <w:rFonts w:cs="FrankRuehl" w:hint="eastAsia"/>
          <w:b w:val="0"/>
          <w:bCs w:val="0"/>
          <w:sz w:val="20"/>
          <w:szCs w:val="20"/>
          <w:u w:val="none"/>
          <w:rtl/>
        </w:rPr>
        <w:t>תמ</w:t>
      </w:r>
      <w:r>
        <w:rPr>
          <w:rFonts w:cs="FrankRuehl"/>
          <w:b w:val="0"/>
          <w:bCs w:val="0"/>
          <w:sz w:val="20"/>
          <w:szCs w:val="20"/>
          <w:u w:val="none"/>
          <w:rtl/>
        </w:rPr>
        <w:t xml:space="preserve">/61), </w:t>
      </w:r>
      <w:r>
        <w:rPr>
          <w:rFonts w:cs="FrankRuehl" w:hint="eastAsia"/>
          <w:b w:val="0"/>
          <w:bCs w:val="0"/>
          <w:sz w:val="20"/>
          <w:szCs w:val="20"/>
          <w:u w:val="none"/>
          <w:rtl/>
        </w:rPr>
        <w:t>מ</w:t>
      </w:r>
      <w:r>
        <w:rPr>
          <w:rFonts w:cs="FrankRuehl" w:hint="cs"/>
          <w:b w:val="0"/>
          <w:bCs w:val="0"/>
          <w:sz w:val="20"/>
          <w:szCs w:val="20"/>
          <w:u w:val="none"/>
          <w:rtl/>
        </w:rPr>
        <w:t>-</w:t>
      </w:r>
      <w:r>
        <w:rPr>
          <w:rFonts w:cs="FrankRuehl"/>
          <w:b w:val="0"/>
          <w:bCs w:val="0"/>
          <w:sz w:val="20"/>
          <w:szCs w:val="20"/>
          <w:u w:val="none"/>
          <w:rtl/>
        </w:rPr>
        <w:t xml:space="preserve">28.11.02 </w:t>
      </w:r>
      <w:r>
        <w:rPr>
          <w:rFonts w:cs="FrankRuehl" w:hint="cs"/>
          <w:b w:val="0"/>
          <w:bCs w:val="0"/>
          <w:sz w:val="20"/>
          <w:szCs w:val="20"/>
          <w:u w:val="none"/>
          <w:rtl/>
        </w:rPr>
        <w:t>ש</w:t>
      </w:r>
      <w:r>
        <w:rPr>
          <w:rFonts w:cs="FrankRuehl" w:hint="eastAsia"/>
          <w:b w:val="0"/>
          <w:bCs w:val="0"/>
          <w:sz w:val="20"/>
          <w:szCs w:val="20"/>
          <w:u w:val="none"/>
          <w:rtl/>
        </w:rPr>
        <w:t>בה</w:t>
      </w:r>
      <w:r>
        <w:rPr>
          <w:rFonts w:cs="FrankRuehl"/>
          <w:b w:val="0"/>
          <w:bCs w:val="0"/>
          <w:sz w:val="20"/>
          <w:szCs w:val="20"/>
          <w:u w:val="none"/>
          <w:rtl/>
        </w:rPr>
        <w:t xml:space="preserve"> </w:t>
      </w:r>
      <w:r>
        <w:rPr>
          <w:rFonts w:cs="FrankRuehl" w:hint="eastAsia"/>
          <w:b w:val="0"/>
          <w:bCs w:val="0"/>
          <w:sz w:val="20"/>
          <w:szCs w:val="20"/>
          <w:u w:val="none"/>
          <w:rtl/>
        </w:rPr>
        <w:t>תוקנו</w:t>
      </w:r>
      <w:r>
        <w:rPr>
          <w:rFonts w:cs="FrankRuehl"/>
          <w:b w:val="0"/>
          <w:bCs w:val="0"/>
          <w:sz w:val="20"/>
          <w:szCs w:val="20"/>
          <w:u w:val="none"/>
          <w:rtl/>
        </w:rPr>
        <w:t xml:space="preserve"> </w:t>
      </w:r>
      <w:r>
        <w:rPr>
          <w:rFonts w:cs="FrankRuehl" w:hint="eastAsia"/>
          <w:b w:val="0"/>
          <w:bCs w:val="0"/>
          <w:sz w:val="20"/>
          <w:szCs w:val="20"/>
          <w:u w:val="none"/>
          <w:rtl/>
        </w:rPr>
        <w:t>הכללים</w:t>
      </w:r>
      <w:r>
        <w:rPr>
          <w:rFonts w:cs="FrankRuehl" w:hint="cs"/>
          <w:b w:val="0"/>
          <w:bCs w:val="0"/>
          <w:sz w:val="20"/>
          <w:szCs w:val="20"/>
          <w:u w:val="none"/>
          <w:rtl/>
        </w:rPr>
        <w:t xml:space="preserve"> לאחרונה ו</w:t>
      </w:r>
      <w:r>
        <w:rPr>
          <w:rFonts w:cs="FrankRuehl" w:hint="eastAsia"/>
          <w:b w:val="0"/>
          <w:bCs w:val="0"/>
          <w:sz w:val="20"/>
          <w:szCs w:val="20"/>
          <w:u w:val="none"/>
          <w:rtl/>
        </w:rPr>
        <w:t>על</w:t>
      </w:r>
      <w:r>
        <w:rPr>
          <w:rFonts w:cs="FrankRuehl"/>
          <w:sz w:val="20"/>
          <w:szCs w:val="20"/>
          <w:u w:val="none"/>
          <w:rtl/>
        </w:rPr>
        <w:t xml:space="preserve"> </w:t>
      </w:r>
      <w:r>
        <w:rPr>
          <w:rFonts w:cs="FrankRuehl" w:hint="eastAsia"/>
          <w:b w:val="0"/>
          <w:bCs w:val="0"/>
          <w:sz w:val="20"/>
          <w:szCs w:val="20"/>
          <w:u w:val="none"/>
          <w:rtl/>
        </w:rPr>
        <w:t>החלטות</w:t>
      </w:r>
      <w:r>
        <w:rPr>
          <w:rFonts w:cs="FrankRuehl"/>
          <w:b w:val="0"/>
          <w:bCs w:val="0"/>
          <w:sz w:val="20"/>
          <w:szCs w:val="20"/>
          <w:u w:val="none"/>
          <w:rtl/>
        </w:rPr>
        <w:t xml:space="preserve"> </w:t>
      </w:r>
      <w:r>
        <w:rPr>
          <w:rFonts w:cs="FrankRuehl" w:hint="eastAsia"/>
          <w:b w:val="0"/>
          <w:bCs w:val="0"/>
          <w:sz w:val="20"/>
          <w:szCs w:val="20"/>
          <w:u w:val="none"/>
          <w:rtl/>
        </w:rPr>
        <w:t>קודמות</w:t>
      </w:r>
      <w:r>
        <w:rPr>
          <w:rFonts w:cs="FrankRuehl"/>
          <w:b w:val="0"/>
          <w:bCs w:val="0"/>
          <w:sz w:val="20"/>
          <w:szCs w:val="20"/>
          <w:u w:val="none"/>
          <w:rtl/>
        </w:rPr>
        <w:t xml:space="preserve"> </w:t>
      </w:r>
      <w:r>
        <w:rPr>
          <w:rFonts w:cs="FrankRuehl" w:hint="eastAsia"/>
          <w:b w:val="0"/>
          <w:bCs w:val="0"/>
          <w:sz w:val="20"/>
          <w:szCs w:val="20"/>
          <w:u w:val="none"/>
          <w:rtl/>
        </w:rPr>
        <w:t>של</w:t>
      </w:r>
      <w:r>
        <w:rPr>
          <w:rFonts w:cs="FrankRuehl"/>
          <w:b w:val="0"/>
          <w:bCs w:val="0"/>
          <w:sz w:val="20"/>
          <w:szCs w:val="20"/>
          <w:u w:val="none"/>
          <w:rtl/>
        </w:rPr>
        <w:t xml:space="preserve"> </w:t>
      </w:r>
      <w:r>
        <w:rPr>
          <w:rFonts w:cs="FrankRuehl" w:hint="eastAsia"/>
          <w:b w:val="0"/>
          <w:bCs w:val="0"/>
          <w:sz w:val="20"/>
          <w:szCs w:val="20"/>
          <w:u w:val="none"/>
          <w:rtl/>
        </w:rPr>
        <w:t>הממשלה</w:t>
      </w:r>
      <w:r>
        <w:rPr>
          <w:rFonts w:cs="FrankRuehl"/>
          <w:b w:val="0"/>
          <w:bCs w:val="0"/>
          <w:sz w:val="20"/>
          <w:szCs w:val="20"/>
          <w:u w:val="none"/>
          <w:rtl/>
        </w:rPr>
        <w:t xml:space="preserve">. </w:t>
      </w:r>
      <w:r>
        <w:rPr>
          <w:rFonts w:cs="FrankRuehl" w:hint="eastAsia"/>
          <w:b w:val="0"/>
          <w:bCs w:val="0"/>
          <w:sz w:val="20"/>
          <w:szCs w:val="20"/>
          <w:u w:val="none"/>
          <w:rtl/>
        </w:rPr>
        <w:t>הנוסח</w:t>
      </w:r>
      <w:r>
        <w:rPr>
          <w:rFonts w:cs="FrankRuehl"/>
          <w:b w:val="0"/>
          <w:bCs w:val="0"/>
          <w:sz w:val="20"/>
          <w:szCs w:val="20"/>
          <w:u w:val="none"/>
          <w:rtl/>
        </w:rPr>
        <w:t xml:space="preserve"> </w:t>
      </w:r>
      <w:r>
        <w:rPr>
          <w:rFonts w:cs="FrankRuehl" w:hint="eastAsia"/>
          <w:b w:val="0"/>
          <w:bCs w:val="0"/>
          <w:sz w:val="20"/>
          <w:szCs w:val="20"/>
          <w:u w:val="none"/>
          <w:rtl/>
        </w:rPr>
        <w:t>פורסם</w:t>
      </w:r>
      <w:r>
        <w:rPr>
          <w:rFonts w:cs="FrankRuehl"/>
          <w:b w:val="0"/>
          <w:bCs w:val="0"/>
          <w:sz w:val="20"/>
          <w:szCs w:val="20"/>
          <w:u w:val="none"/>
          <w:rtl/>
        </w:rPr>
        <w:t xml:space="preserve"> </w:t>
      </w:r>
      <w:r>
        <w:rPr>
          <w:rFonts w:cs="FrankRuehl" w:hint="eastAsia"/>
          <w:b w:val="0"/>
          <w:bCs w:val="0"/>
          <w:sz w:val="20"/>
          <w:szCs w:val="20"/>
          <w:u w:val="none"/>
          <w:rtl/>
        </w:rPr>
        <w:t>ב</w:t>
      </w:r>
      <w:r>
        <w:rPr>
          <w:rFonts w:cs="FrankRuehl" w:hint="eastAsia"/>
          <w:sz w:val="20"/>
          <w:szCs w:val="20"/>
          <w:u w:val="none"/>
          <w:rtl/>
        </w:rPr>
        <w:t>ילקוט</w:t>
      </w:r>
      <w:r>
        <w:rPr>
          <w:rFonts w:cs="FrankRuehl"/>
          <w:sz w:val="20"/>
          <w:szCs w:val="20"/>
          <w:u w:val="none"/>
          <w:rtl/>
        </w:rPr>
        <w:t xml:space="preserve"> </w:t>
      </w:r>
      <w:r>
        <w:rPr>
          <w:rFonts w:cs="FrankRuehl" w:hint="eastAsia"/>
          <w:b w:val="0"/>
          <w:bCs w:val="0"/>
          <w:sz w:val="20"/>
          <w:szCs w:val="20"/>
          <w:u w:val="none"/>
          <w:rtl/>
        </w:rPr>
        <w:t>הפרסומים</w:t>
      </w:r>
      <w:r>
        <w:rPr>
          <w:rFonts w:cs="FrankRuehl"/>
          <w:b w:val="0"/>
          <w:bCs w:val="0"/>
          <w:sz w:val="20"/>
          <w:szCs w:val="20"/>
          <w:u w:val="none"/>
          <w:rtl/>
        </w:rPr>
        <w:t xml:space="preserve"> </w:t>
      </w:r>
      <w:r>
        <w:rPr>
          <w:rFonts w:cs="FrankRuehl" w:hint="eastAsia"/>
          <w:b w:val="0"/>
          <w:bCs w:val="0"/>
          <w:sz w:val="20"/>
          <w:szCs w:val="20"/>
          <w:u w:val="none"/>
          <w:rtl/>
        </w:rPr>
        <w:t>התשס</w:t>
      </w:r>
      <w:r>
        <w:rPr>
          <w:rFonts w:cs="FrankRuehl"/>
          <w:b w:val="0"/>
          <w:bCs w:val="0"/>
          <w:sz w:val="20"/>
          <w:szCs w:val="20"/>
          <w:u w:val="none"/>
          <w:rtl/>
        </w:rPr>
        <w:t>"</w:t>
      </w:r>
      <w:r>
        <w:rPr>
          <w:rFonts w:cs="FrankRuehl" w:hint="eastAsia"/>
          <w:b w:val="0"/>
          <w:bCs w:val="0"/>
          <w:sz w:val="20"/>
          <w:szCs w:val="20"/>
          <w:u w:val="none"/>
          <w:rtl/>
        </w:rPr>
        <w:t>ג</w:t>
      </w:r>
      <w:r>
        <w:rPr>
          <w:rFonts w:cs="FrankRuehl"/>
          <w:b w:val="0"/>
          <w:bCs w:val="0"/>
          <w:sz w:val="20"/>
          <w:szCs w:val="20"/>
          <w:u w:val="none"/>
          <w:rtl/>
        </w:rPr>
        <w:t xml:space="preserve">, </w:t>
      </w:r>
      <w:r>
        <w:rPr>
          <w:rFonts w:cs="FrankRuehl" w:hint="eastAsia"/>
          <w:b w:val="0"/>
          <w:bCs w:val="0"/>
          <w:sz w:val="20"/>
          <w:szCs w:val="20"/>
          <w:u w:val="none"/>
          <w:rtl/>
        </w:rPr>
        <w:t>עמ</w:t>
      </w:r>
      <w:r>
        <w:rPr>
          <w:rFonts w:cs="FrankRuehl"/>
          <w:b w:val="0"/>
          <w:bCs w:val="0"/>
          <w:sz w:val="20"/>
          <w:szCs w:val="20"/>
          <w:u w:val="none"/>
          <w:rtl/>
        </w:rPr>
        <w:t xml:space="preserve">' 1136-1139, </w:t>
      </w:r>
      <w:r>
        <w:rPr>
          <w:rFonts w:cs="FrankRuehl" w:hint="eastAsia"/>
          <w:b w:val="0"/>
          <w:bCs w:val="0"/>
          <w:sz w:val="20"/>
          <w:szCs w:val="20"/>
          <w:u w:val="none"/>
          <w:rtl/>
        </w:rPr>
        <w:t>מיום</w:t>
      </w:r>
      <w:r>
        <w:rPr>
          <w:rFonts w:cs="FrankRuehl"/>
          <w:b w:val="0"/>
          <w:bCs w:val="0"/>
          <w:sz w:val="20"/>
          <w:szCs w:val="20"/>
          <w:u w:val="none"/>
          <w:rtl/>
        </w:rPr>
        <w:t xml:space="preserve"> 16.1.03.</w:t>
      </w:r>
    </w:p>
  </w:footnote>
  <w:footnote w:id="3">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cs"/>
          <w:rtl/>
        </w:rPr>
        <w:t>על פי כלל 18.</w:t>
      </w:r>
    </w:p>
  </w:footnote>
  <w:footnote w:id="4">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cs"/>
          <w:rtl/>
        </w:rPr>
        <w:t>על פי כלל 20. בהתאם להגדרת הכללים "שר" - לרבות ראש הממשלה וסגן שר.</w:t>
      </w:r>
    </w:p>
  </w:footnote>
  <w:footnote w:id="5">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cs"/>
          <w:rtl/>
        </w:rPr>
        <w:t>על פי כלל 19 (א) ו-(ב).</w:t>
      </w:r>
    </w:p>
  </w:footnote>
  <w:footnote w:id="6">
    <w:p>
      <w:pPr>
        <w:pStyle w:val="FootnoteText"/>
        <w:widowControl/>
        <w:spacing w:line="19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cs"/>
          <w:rtl/>
        </w:rPr>
        <w:t>על פי כלל 17.</w:t>
      </w:r>
    </w:p>
  </w:footnote>
  <w:footnote w:id="7">
    <w:p>
      <w:pPr>
        <w:pStyle w:val="FootnoteText"/>
        <w:widowControl/>
        <w:spacing w:line="19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eastAsia"/>
          <w:rtl/>
        </w:rPr>
        <w:t>על</w:t>
      </w:r>
      <w:r>
        <w:rPr>
          <w:rFonts w:cs="FrankRuehl"/>
          <w:rtl/>
        </w:rPr>
        <w:t xml:space="preserve"> </w:t>
      </w:r>
      <w:r>
        <w:rPr>
          <w:rFonts w:cs="FrankRuehl" w:hint="eastAsia"/>
          <w:rtl/>
        </w:rPr>
        <w:t>פי</w:t>
      </w:r>
      <w:r>
        <w:rPr>
          <w:rFonts w:cs="FrankRuehl"/>
          <w:rtl/>
        </w:rPr>
        <w:t xml:space="preserve"> </w:t>
      </w:r>
      <w:r>
        <w:rPr>
          <w:rFonts w:cs="FrankRuehl" w:hint="cs"/>
          <w:rtl/>
        </w:rPr>
        <w:t>כלל</w:t>
      </w:r>
      <w:r>
        <w:rPr>
          <w:rFonts w:cs="FrankRuehl"/>
          <w:rtl/>
        </w:rPr>
        <w:t xml:space="preserve"> 13(1) </w:t>
      </w:r>
      <w:r>
        <w:rPr>
          <w:rFonts w:cs="FrankRuehl" w:hint="eastAsia"/>
          <w:rtl/>
        </w:rPr>
        <w:t>ו</w:t>
      </w:r>
      <w:r>
        <w:rPr>
          <w:rFonts w:cs="FrankRuehl"/>
          <w:rtl/>
        </w:rPr>
        <w:t>-(2)</w:t>
      </w:r>
      <w:r>
        <w:rPr>
          <w:rFonts w:cs="FrankRuehl" w:hint="cs"/>
          <w:rtl/>
        </w:rPr>
        <w:t>.</w:t>
      </w:r>
    </w:p>
  </w:footnote>
  <w:footnote w:id="8">
    <w:p>
      <w:pPr>
        <w:pStyle w:val="FootnoteText"/>
        <w:widowControl/>
        <w:spacing w:line="19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eastAsia"/>
          <w:rtl/>
        </w:rPr>
        <w:t>על</w:t>
      </w:r>
      <w:r>
        <w:rPr>
          <w:rFonts w:cs="FrankRuehl"/>
          <w:rtl/>
        </w:rPr>
        <w:t xml:space="preserve"> </w:t>
      </w:r>
      <w:r>
        <w:rPr>
          <w:rFonts w:cs="FrankRuehl" w:hint="eastAsia"/>
          <w:rtl/>
        </w:rPr>
        <w:t>פי</w:t>
      </w:r>
      <w:r>
        <w:rPr>
          <w:rFonts w:cs="FrankRuehl"/>
          <w:rtl/>
        </w:rPr>
        <w:t xml:space="preserve"> </w:t>
      </w:r>
      <w:r>
        <w:rPr>
          <w:rFonts w:cs="FrankRuehl" w:hint="cs"/>
          <w:rtl/>
        </w:rPr>
        <w:t>כלל</w:t>
      </w:r>
      <w:r>
        <w:rPr>
          <w:rFonts w:cs="FrankRuehl"/>
          <w:rtl/>
        </w:rPr>
        <w:t xml:space="preserve"> 13(3)</w:t>
      </w:r>
      <w:r>
        <w:rPr>
          <w:rFonts w:cs="FrankRuehl" w:hint="cs"/>
          <w:rtl/>
        </w:rPr>
        <w:t>.</w:t>
      </w:r>
    </w:p>
  </w:footnote>
  <w:footnote w:id="9">
    <w:p>
      <w:pPr>
        <w:pStyle w:val="FootnoteText"/>
        <w:widowControl/>
        <w:spacing w:line="19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eastAsia"/>
          <w:rtl/>
        </w:rPr>
        <w:t>על</w:t>
      </w:r>
      <w:r>
        <w:rPr>
          <w:rFonts w:cs="FrankRuehl"/>
          <w:rtl/>
        </w:rPr>
        <w:t xml:space="preserve"> </w:t>
      </w:r>
      <w:r>
        <w:rPr>
          <w:rFonts w:cs="FrankRuehl" w:hint="eastAsia"/>
          <w:rtl/>
        </w:rPr>
        <w:t>פי</w:t>
      </w:r>
      <w:r>
        <w:rPr>
          <w:rFonts w:cs="FrankRuehl"/>
          <w:rtl/>
        </w:rPr>
        <w:t xml:space="preserve"> </w:t>
      </w:r>
      <w:r>
        <w:rPr>
          <w:rFonts w:cs="FrankRuehl" w:hint="cs"/>
          <w:rtl/>
        </w:rPr>
        <w:t>כלל</w:t>
      </w:r>
      <w:r>
        <w:rPr>
          <w:rFonts w:cs="FrankRuehl"/>
          <w:rtl/>
        </w:rPr>
        <w:t xml:space="preserve"> 15</w:t>
      </w:r>
      <w:r>
        <w:rPr>
          <w:rFonts w:cs="FrankRuehl" w:hint="cs"/>
          <w:rtl/>
        </w:rPr>
        <w:t>.</w:t>
      </w:r>
    </w:p>
  </w:footnote>
  <w:footnote w:id="10">
    <w:p>
      <w:pPr>
        <w:pStyle w:val="FootnoteText"/>
        <w:widowControl/>
        <w:spacing w:line="19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eastAsia"/>
          <w:rtl/>
        </w:rPr>
        <w:t>על</w:t>
      </w:r>
      <w:r>
        <w:rPr>
          <w:rFonts w:cs="FrankRuehl"/>
          <w:rtl/>
        </w:rPr>
        <w:t xml:space="preserve"> </w:t>
      </w:r>
      <w:r>
        <w:rPr>
          <w:rFonts w:cs="FrankRuehl" w:hint="eastAsia"/>
          <w:rtl/>
        </w:rPr>
        <w:t>פי</w:t>
      </w:r>
      <w:r>
        <w:rPr>
          <w:rFonts w:cs="FrankRuehl"/>
          <w:rtl/>
        </w:rPr>
        <w:t xml:space="preserve"> </w:t>
      </w:r>
      <w:r>
        <w:rPr>
          <w:rFonts w:cs="FrankRuehl" w:hint="cs"/>
          <w:rtl/>
        </w:rPr>
        <w:t>כלל</w:t>
      </w:r>
      <w:r>
        <w:rPr>
          <w:rFonts w:cs="FrankRuehl"/>
          <w:rtl/>
        </w:rPr>
        <w:t xml:space="preserve"> 16</w:t>
      </w:r>
      <w:r>
        <w:rPr>
          <w:rFonts w:cs="FrankRuehl" w:hint="cs"/>
          <w:rtl/>
        </w:rPr>
        <w:t>.</w:t>
      </w:r>
    </w:p>
  </w:footnote>
  <w:footnote w:id="11">
    <w:p>
      <w:pPr>
        <w:spacing w:line="190" w:lineRule="exact"/>
        <w:ind w:left="397" w:right="0" w:hanging="397"/>
        <w:jc w:val="both"/>
        <w:rPr>
          <w:rFonts w:cs="FrankRuehl" w:hint="cs"/>
          <w:sz w:val="20"/>
          <w:szCs w:val="20"/>
        </w:rPr>
      </w:pPr>
      <w:r>
        <w:rPr>
          <w:rStyle w:val="FootnoteReference"/>
          <w:rFonts w:ascii="FrankRuehl" w:hAnsi="FrankRuehl" w:cs="FrankRuehl"/>
          <w:sz w:val="20"/>
          <w:szCs w:val="20"/>
          <w:vertAlign w:val="baseline"/>
        </w:rPr>
        <w:footnoteRef/>
      </w:r>
      <w:r>
        <w:rPr>
          <w:rFonts w:cs="FrankRuehl"/>
          <w:sz w:val="20"/>
          <w:szCs w:val="20"/>
          <w:rtl/>
        </w:rPr>
        <w:t xml:space="preserve"> </w:t>
        <w:tab/>
      </w:r>
      <w:r>
        <w:rPr>
          <w:rFonts w:cs="FrankRuehl" w:hint="cs"/>
          <w:sz w:val="20"/>
          <w:szCs w:val="20"/>
          <w:rtl/>
        </w:rPr>
        <w:t xml:space="preserve">ראו דוח מבקר המדינה </w:t>
      </w:r>
      <w:r>
        <w:rPr>
          <w:rFonts w:cs="FrankRuehl"/>
          <w:sz w:val="20"/>
          <w:szCs w:val="20"/>
          <w:rtl/>
        </w:rPr>
        <w:t xml:space="preserve">על תוצאות ביקורת </w:t>
      </w:r>
      <w:r>
        <w:rPr>
          <w:rFonts w:cs="FrankRuehl" w:hint="cs"/>
          <w:sz w:val="20"/>
          <w:szCs w:val="20"/>
          <w:rtl/>
        </w:rPr>
        <w:t>ה</w:t>
      </w:r>
      <w:r>
        <w:rPr>
          <w:rFonts w:cs="FrankRuehl"/>
          <w:sz w:val="20"/>
          <w:szCs w:val="20"/>
          <w:rtl/>
        </w:rPr>
        <w:t xml:space="preserve">חשבונות </w:t>
      </w:r>
      <w:r>
        <w:rPr>
          <w:rFonts w:cs="FrankRuehl" w:hint="cs"/>
          <w:sz w:val="20"/>
          <w:szCs w:val="20"/>
          <w:rtl/>
        </w:rPr>
        <w:t xml:space="preserve">של המתמודדים בבחירות המקדימות במפלגת העבודה לכהונת יושב ראש המפלגה ומועמדה לראשות הממשלה הבחירות המוקדמות (נערכו </w:t>
      </w:r>
      <w:r>
        <w:rPr>
          <w:rFonts w:cs="FrankRuehl"/>
          <w:sz w:val="20"/>
          <w:szCs w:val="20"/>
        </w:rPr>
        <w:br/>
      </w:r>
      <w:r>
        <w:rPr>
          <w:rFonts w:cs="FrankRuehl" w:hint="cs"/>
          <w:sz w:val="20"/>
          <w:szCs w:val="20"/>
          <w:rtl/>
        </w:rPr>
        <w:t>ב-28.5.07 בחירות חוזרות נערכו ב-12.6.07), פורסם נובמבר 2007.</w:t>
      </w:r>
    </w:p>
  </w:footnote>
  <w:footnote w:id="12">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t>בג"צ 6280/07</w:t>
      </w:r>
      <w:r>
        <w:rPr>
          <w:rFonts w:cs="FrankRuehl" w:hint="cs"/>
          <w:rtl/>
        </w:rPr>
        <w:t>,</w:t>
      </w:r>
      <w:r>
        <w:rPr>
          <w:rFonts w:cs="FrankRuehl"/>
          <w:rtl/>
        </w:rPr>
        <w:t xml:space="preserve"> </w:t>
      </w:r>
      <w:r>
        <w:rPr>
          <w:rFonts w:cs="FrankRuehl"/>
          <w:b/>
          <w:bCs/>
          <w:rtl/>
        </w:rPr>
        <w:t>פורום משפטי למען ארץ -</w:t>
      </w:r>
      <w:r>
        <w:rPr>
          <w:rFonts w:cs="FrankRuehl" w:hint="cs"/>
          <w:b/>
          <w:bCs/>
          <w:rtl/>
        </w:rPr>
        <w:t xml:space="preserve"> </w:t>
      </w:r>
      <w:r>
        <w:rPr>
          <w:rFonts w:cs="FrankRuehl"/>
          <w:b/>
          <w:bCs/>
          <w:rtl/>
        </w:rPr>
        <w:t>ישראל ואח' נ' נשיא המדינה מר שמעון פרס ואח</w:t>
      </w:r>
      <w:r>
        <w:rPr>
          <w:rFonts w:cs="FrankRuehl" w:hint="cs"/>
          <w:b/>
          <w:bCs/>
          <w:rtl/>
        </w:rPr>
        <w:t xml:space="preserve">', </w:t>
      </w:r>
      <w:r>
        <w:rPr>
          <w:rFonts w:cs="FrankRuehl" w:hint="cs"/>
          <w:rtl/>
        </w:rPr>
        <w:t>לא פורסם</w:t>
      </w:r>
      <w:r>
        <w:rPr>
          <w:rFonts w:cs="FrankRuehl" w:hint="cs"/>
          <w:b/>
          <w:bCs/>
          <w:rtl/>
        </w:rPr>
        <w:t xml:space="preserve"> </w:t>
      </w:r>
      <w:r>
        <w:rPr>
          <w:rFonts w:cs="FrankRuehl" w:hint="cs"/>
          <w:rtl/>
        </w:rPr>
        <w:t>(פסקה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6</w:t>
    </w:r>
    <w:r>
      <w:rPr>
        <w:rStyle w:val="PageNumber"/>
        <w:rFonts w:ascii="FrankRuehl" w:hAnsi="FrankRuehl" w:cs="FrankRuehl"/>
        <w:sz w:val="22"/>
        <w:szCs w:val="22"/>
      </w:rPr>
      <w:fldChar w:fldCharType="end"/>
    </w:r>
    <w:r>
      <w:rPr>
        <w:rStyle w:val="PageNumber"/>
        <w:rFonts w:ascii="FrankRuehl" w:hAnsi="FrankRuehl" w:cs="FrankRuehl"/>
        <w:szCs w:val="20"/>
      </w:rPr>
      <w:tab/>
    </w:r>
    <w:r>
      <w:rPr>
        <w:rFonts w:ascii="FrankRuehl" w:hAnsi="FrankRuehl" w:cs="FrankRuehl" w:hint="cs"/>
        <w:szCs w:val="20"/>
        <w:rtl/>
      </w:rPr>
      <w:t>העברת</w:t>
    </w:r>
    <w:r>
      <w:rPr>
        <w:rFonts w:ascii="FrankRuehl" w:hAnsi="FrankRuehl" w:cs="FrankRuehl"/>
        <w:szCs w:val="20"/>
        <w:rtl/>
      </w:rPr>
      <w:t xml:space="preserve"> כספים לחברות </w:t>
    </w:r>
    <w:r>
      <w:rPr>
        <w:rFonts w:ascii="FrankRuehl" w:hAnsi="FrankRuehl" w:cs="FrankRuehl" w:hint="cs"/>
        <w:szCs w:val="20"/>
        <w:rtl/>
      </w:rPr>
      <w:t xml:space="preserve">שהיו </w:t>
    </w:r>
    <w:r>
      <w:rPr>
        <w:rFonts w:ascii="FrankRuehl" w:hAnsi="FrankRuehl" w:cs="FrankRuehl"/>
        <w:szCs w:val="20"/>
        <w:rtl/>
      </w:rPr>
      <w:t>בבעלות שר הביטחון</w:t>
    </w:r>
    <w:r>
      <w:rPr>
        <w:rFonts w:ascii="FrankRuehl" w:hAnsi="FrankRuehl" w:cs="FrankRuehl" w:hint="cs"/>
        <w:szCs w:val="20"/>
        <w:rtl/>
      </w:rPr>
      <w:t>,</w:t>
    </w:r>
    <w:r>
      <w:rPr>
        <w:rFonts w:ascii="FrankRuehl" w:hAnsi="FrankRuehl" w:cs="FrankRuehl"/>
        <w:szCs w:val="20"/>
        <w:rtl/>
      </w:rPr>
      <w:t xml:space="preserve"> אהוד ברק</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ascii="FrankRuehl" w:hAnsi="FrankRuehl" w:cs="FrankRuehl" w:hint="cs"/>
        <w:szCs w:val="20"/>
        <w:rtl/>
      </w:rPr>
    </w:pPr>
    <w:r>
      <w:rPr>
        <w:rFonts w:ascii="FrankRuehl" w:hAnsi="FrankRuehl" w:cs="FrankRuehl" w:hint="cs"/>
        <w:szCs w:val="20"/>
        <w:rtl/>
      </w:rPr>
      <w:t>חוות דעת</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7</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sz w:val="22"/>
        <w:szCs w:val="22"/>
        <w:rt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14</w:t>
    </w:r>
    <w:r>
      <w:rPr>
        <w:rStyle w:val="PageNumber"/>
        <w:rFonts w:ascii="FrankRuehl" w:hAnsi="FrankRuehl" w:cs="FrankRuehl"/>
        <w:sz w:val="22"/>
        <w:szCs w:val="22"/>
      </w:rPr>
      <w:fldChar w:fldCharType="end"/>
    </w:r>
    <w:r>
      <w:rPr>
        <w:rStyle w:val="PageNumber"/>
        <w:rFonts w:ascii="FrankRuehl" w:hAnsi="FrankRuehl" w:cs="FrankRuehl"/>
        <w:szCs w:val="20"/>
      </w:rPr>
      <w:tab/>
    </w:r>
    <w:r>
      <w:rPr>
        <w:rFonts w:ascii="FrankRuehl" w:hAnsi="FrankRuehl" w:cs="FrankRuehl" w:hint="cs"/>
        <w:szCs w:val="20"/>
        <w:rtl/>
      </w:rPr>
      <w:t>העברת</w:t>
    </w:r>
    <w:r>
      <w:rPr>
        <w:rFonts w:ascii="FrankRuehl" w:hAnsi="FrankRuehl" w:cs="FrankRuehl"/>
        <w:szCs w:val="20"/>
        <w:rtl/>
      </w:rPr>
      <w:t xml:space="preserve"> כספים לחברות </w:t>
    </w:r>
    <w:r>
      <w:rPr>
        <w:rFonts w:ascii="FrankRuehl" w:hAnsi="FrankRuehl" w:cs="FrankRuehl" w:hint="cs"/>
        <w:szCs w:val="20"/>
        <w:rtl/>
      </w:rPr>
      <w:t xml:space="preserve">שהיו </w:t>
    </w:r>
    <w:r>
      <w:rPr>
        <w:rFonts w:ascii="FrankRuehl" w:hAnsi="FrankRuehl" w:cs="FrankRuehl"/>
        <w:szCs w:val="20"/>
        <w:rtl/>
      </w:rPr>
      <w:t>בבעלות שר הביטחון</w:t>
    </w:r>
    <w:r>
      <w:rPr>
        <w:rFonts w:ascii="FrankRuehl" w:hAnsi="FrankRuehl" w:cs="FrankRuehl" w:hint="cs"/>
        <w:szCs w:val="20"/>
        <w:rtl/>
      </w:rPr>
      <w:t>,</w:t>
    </w:r>
    <w:r>
      <w:rPr>
        <w:rFonts w:ascii="FrankRuehl" w:hAnsi="FrankRuehl" w:cs="FrankRuehl"/>
        <w:szCs w:val="20"/>
        <w:rtl/>
      </w:rPr>
      <w:t xml:space="preserve"> אהוד ברק</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ascii="FrankRuehl" w:hAnsi="FrankRuehl" w:cs="FrankRuehl" w:hint="cs"/>
        <w:szCs w:val="20"/>
        <w:rtl/>
      </w:rPr>
    </w:pPr>
    <w:r>
      <w:rPr>
        <w:rFonts w:ascii="FrankRuehl" w:hAnsi="FrankRuehl" w:cs="FrankRuehl" w:hint="cs"/>
        <w:szCs w:val="20"/>
        <w:rtl/>
      </w:rPr>
      <w:t>חוות דעת</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13</w:t>
    </w:r>
    <w:r>
      <w:rPr>
        <w:rStyle w:val="PageNumber"/>
        <w:rFonts w:ascii="FrankRuehl" w:hAnsi="FrankRuehl" w:cs="FrankRuehl"/>
        <w:sz w:val="22"/>
        <w:szCs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spacing w:after="120" w:line="230" w:lineRule="exact"/>
      <w:ind w:left="0" w:right="0"/>
      <w:jc w:val="lef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5</w:t>
    </w:r>
    <w:r>
      <w:rPr>
        <w:rStyle w:val="PageNumber"/>
        <w:rFonts w:ascii="FrankRuehl" w:hAnsi="FrankRuehl" w:cs="FrankRueh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2214D95"/>
    <w:multiLevelType w:val="hybridMultilevel"/>
    <w:tmpl w:val="48F200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004419"/>
    <w:multiLevelType w:val="hybridMultilevel"/>
    <w:tmpl w:val="7DA6D1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8C0333"/>
    <w:multiLevelType w:val="hybridMultilevel"/>
    <w:tmpl w:val="D35274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C20025"/>
    <w:multiLevelType w:val="hybridMultilevel"/>
    <w:tmpl w:val="1A8830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A8E1335"/>
    <w:multiLevelType w:val="hybridMultilevel"/>
    <w:tmpl w:val="F184EB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DD7B10"/>
    <w:multiLevelType w:val="hybridMultilevel"/>
    <w:tmpl w:val="0EF87D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9895EC6"/>
    <w:multiLevelType w:val="hybridMultilevel"/>
    <w:tmpl w:val="90269634"/>
    <w:lvl w:ilvl="0">
      <w:start w:val="1"/>
      <w:numFmt w:val="hebrew1"/>
      <w:lvlText w:val="%1."/>
      <w:lvlJc w:val="left"/>
      <w:pPr>
        <w:tabs>
          <w:tab w:val="num" w:pos="1707"/>
        </w:tabs>
        <w:ind w:left="1707" w:hanging="114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8">
    <w:nsid w:val="19AE6560"/>
    <w:multiLevelType w:val="hybridMultilevel"/>
    <w:tmpl w:val="23E8D212"/>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9">
    <w:nsid w:val="1D836749"/>
    <w:multiLevelType w:val="hybridMultilevel"/>
    <w:tmpl w:val="546E7BE0"/>
    <w:lvl w:ilvl="0">
      <w:start w:val="1"/>
      <w:numFmt w:val="decimal"/>
      <w:lvlText w:val="%1."/>
      <w:lvlJc w:val="left"/>
      <w:pPr>
        <w:tabs>
          <w:tab w:val="num" w:pos="504"/>
        </w:tabs>
        <w:ind w:left="504" w:hanging="360"/>
      </w:pPr>
    </w:lvl>
    <w:lvl w:ilvl="1" w:tentative="1">
      <w:start w:val="1"/>
      <w:numFmt w:val="lowerLetter"/>
      <w:lvlText w:val="%2."/>
      <w:lvlJc w:val="left"/>
      <w:pPr>
        <w:tabs>
          <w:tab w:val="num" w:pos="1452"/>
        </w:tabs>
        <w:ind w:left="1452" w:hanging="360"/>
      </w:pPr>
    </w:lvl>
    <w:lvl w:ilvl="2" w:tentative="1">
      <w:start w:val="1"/>
      <w:numFmt w:val="lowerRoman"/>
      <w:lvlText w:val="%3."/>
      <w:lvlJc w:val="right"/>
      <w:pPr>
        <w:tabs>
          <w:tab w:val="num" w:pos="2172"/>
        </w:tabs>
        <w:ind w:left="2172" w:hanging="180"/>
      </w:pPr>
    </w:lvl>
    <w:lvl w:ilvl="3" w:tentative="1">
      <w:start w:val="1"/>
      <w:numFmt w:val="decimal"/>
      <w:lvlText w:val="%4."/>
      <w:lvlJc w:val="left"/>
      <w:pPr>
        <w:tabs>
          <w:tab w:val="num" w:pos="2892"/>
        </w:tabs>
        <w:ind w:left="2892" w:hanging="360"/>
      </w:pPr>
    </w:lvl>
    <w:lvl w:ilvl="4" w:tentative="1">
      <w:start w:val="1"/>
      <w:numFmt w:val="lowerLetter"/>
      <w:lvlText w:val="%5."/>
      <w:lvlJc w:val="left"/>
      <w:pPr>
        <w:tabs>
          <w:tab w:val="num" w:pos="3612"/>
        </w:tabs>
        <w:ind w:left="3612" w:hanging="360"/>
      </w:pPr>
    </w:lvl>
    <w:lvl w:ilvl="5" w:tentative="1">
      <w:start w:val="1"/>
      <w:numFmt w:val="lowerRoman"/>
      <w:lvlText w:val="%6."/>
      <w:lvlJc w:val="right"/>
      <w:pPr>
        <w:tabs>
          <w:tab w:val="num" w:pos="4332"/>
        </w:tabs>
        <w:ind w:left="4332" w:hanging="180"/>
      </w:pPr>
    </w:lvl>
    <w:lvl w:ilvl="6" w:tentative="1">
      <w:start w:val="1"/>
      <w:numFmt w:val="decimal"/>
      <w:lvlText w:val="%7."/>
      <w:lvlJc w:val="left"/>
      <w:pPr>
        <w:tabs>
          <w:tab w:val="num" w:pos="5052"/>
        </w:tabs>
        <w:ind w:left="5052" w:hanging="360"/>
      </w:pPr>
    </w:lvl>
    <w:lvl w:ilvl="7" w:tentative="1">
      <w:start w:val="1"/>
      <w:numFmt w:val="lowerLetter"/>
      <w:lvlText w:val="%8."/>
      <w:lvlJc w:val="left"/>
      <w:pPr>
        <w:tabs>
          <w:tab w:val="num" w:pos="5772"/>
        </w:tabs>
        <w:ind w:left="5772" w:hanging="360"/>
      </w:pPr>
    </w:lvl>
    <w:lvl w:ilvl="8" w:tentative="1">
      <w:start w:val="1"/>
      <w:numFmt w:val="lowerRoman"/>
      <w:lvlText w:val="%9."/>
      <w:lvlJc w:val="right"/>
      <w:pPr>
        <w:tabs>
          <w:tab w:val="num" w:pos="6492"/>
        </w:tabs>
        <w:ind w:left="6492" w:hanging="180"/>
      </w:pPr>
    </w:lvl>
  </w:abstractNum>
  <w:abstractNum w:abstractNumId="10">
    <w:nsid w:val="20B736DA"/>
    <w:multiLevelType w:val="hybridMultilevel"/>
    <w:tmpl w:val="EBF22F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5880366"/>
    <w:multiLevelType w:val="hybridMultilevel"/>
    <w:tmpl w:val="D0CCAD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64D0F38"/>
    <w:multiLevelType w:val="hybridMultilevel"/>
    <w:tmpl w:val="A20E99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7A93591"/>
    <w:multiLevelType w:val="hybridMultilevel"/>
    <w:tmpl w:val="E1AC2378"/>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1F3152"/>
    <w:multiLevelType w:val="hybridMultilevel"/>
    <w:tmpl w:val="D4347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0527E8E"/>
    <w:multiLevelType w:val="hybridMultilevel"/>
    <w:tmpl w:val="FE28E1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11A770C"/>
    <w:multiLevelType w:val="multilevel"/>
    <w:tmpl w:val="D13A4A7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346305A"/>
    <w:multiLevelType w:val="hybridMultilevel"/>
    <w:tmpl w:val="59DEEBD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443390D"/>
    <w:multiLevelType w:val="singleLevel"/>
    <w:tmpl w:val="A07AD338"/>
    <w:lvl w:ilvl="0">
      <w:start w:val="1"/>
      <w:numFmt w:val="upperRoman"/>
      <w:lvlText w:val="%1."/>
      <w:lvlJc w:val="center"/>
      <w:pPr>
        <w:tabs>
          <w:tab w:val="num" w:pos="648"/>
        </w:tabs>
        <w:ind w:right="648" w:hanging="360"/>
      </w:pPr>
    </w:lvl>
  </w:abstractNum>
  <w:abstractNum w:abstractNumId="19">
    <w:nsid w:val="353033E6"/>
    <w:multiLevelType w:val="hybridMultilevel"/>
    <w:tmpl w:val="5C907AEC"/>
    <w:lvl w:ilvl="0">
      <w:start w:val="2"/>
      <w:numFmt w:val="hebrew1"/>
      <w:lvlText w:val="(%1)"/>
      <w:lvlJc w:val="left"/>
      <w:pPr>
        <w:tabs>
          <w:tab w:val="num" w:pos="1002"/>
        </w:tabs>
        <w:ind w:left="1002" w:hanging="43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0">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21">
    <w:nsid w:val="441B10F8"/>
    <w:multiLevelType w:val="multilevel"/>
    <w:tmpl w:val="64023CA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47B6782"/>
    <w:multiLevelType w:val="hybridMultilevel"/>
    <w:tmpl w:val="6DCA76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4CD3407"/>
    <w:multiLevelType w:val="multilevel"/>
    <w:tmpl w:val="22D0D5A6"/>
    <w:lvl w:ilvl="0">
      <w:start w:val="1"/>
      <w:numFmt w:val="decimal"/>
      <w:pStyle w:val="BodyText3"/>
      <w:lvlText w:val="%1."/>
      <w:lvlJc w:val="center"/>
      <w:pPr>
        <w:tabs>
          <w:tab w:val="num" w:pos="567"/>
        </w:tabs>
        <w:ind w:left="567" w:hanging="567"/>
      </w:pPr>
    </w:lvl>
    <w:lvl w:ilvl="1">
      <w:start w:val="1"/>
      <w:numFmt w:val="decimal"/>
      <w:lvlText w:val="%1.%2."/>
      <w:lvlJc w:val="center"/>
      <w:pPr>
        <w:tabs>
          <w:tab w:val="num" w:pos="1134"/>
        </w:tabs>
        <w:ind w:left="1134" w:hanging="454"/>
      </w:pPr>
    </w:lvl>
    <w:lvl w:ilvl="2">
      <w:start w:val="1"/>
      <w:numFmt w:val="decimal"/>
      <w:lvlText w:val="%1.%2.%3."/>
      <w:lvlJc w:val="center"/>
      <w:pPr>
        <w:tabs>
          <w:tab w:val="num" w:pos="1984"/>
        </w:tabs>
        <w:ind w:left="1984" w:hanging="567"/>
      </w:pPr>
    </w:lvl>
    <w:lvl w:ilvl="3">
      <w:start w:val="1"/>
      <w:numFmt w:val="decimal"/>
      <w:lvlText w:val="%1.%2.%3.%4."/>
      <w:lvlJc w:val="center"/>
      <w:pPr>
        <w:tabs>
          <w:tab w:val="num" w:pos="2835"/>
        </w:tabs>
        <w:ind w:left="2835" w:hanging="567"/>
      </w:pPr>
    </w:lvl>
    <w:lvl w:ilvl="4">
      <w:start w:val="1"/>
      <w:numFmt w:val="decimal"/>
      <w:lvlText w:val="%1.%2.%3.%4.%5."/>
      <w:lvlJc w:val="center"/>
      <w:pPr>
        <w:tabs>
          <w:tab w:val="num" w:pos="3969"/>
        </w:tabs>
        <w:ind w:left="3969" w:hanging="681"/>
      </w:pPr>
    </w:lvl>
    <w:lvl w:ilvl="5">
      <w:start w:val="1"/>
      <w:numFmt w:val="decimal"/>
      <w:lvlText w:val="%1.%2.%3.%4.%5.%6."/>
      <w:lvlJc w:val="center"/>
      <w:pPr>
        <w:tabs>
          <w:tab w:val="num" w:pos="5142"/>
        </w:tabs>
        <w:ind w:left="4535" w:hanging="113"/>
      </w:pPr>
    </w:lvl>
    <w:lvl w:ilvl="6">
      <w:start w:val="1"/>
      <w:numFmt w:val="decimal"/>
      <w:lvlText w:val="%1.%2.%3.%4.%5.%6.%7."/>
      <w:lvlJc w:val="center"/>
      <w:pPr>
        <w:tabs>
          <w:tab w:val="num" w:pos="6389"/>
        </w:tabs>
        <w:ind w:left="5896" w:hanging="227"/>
      </w:pPr>
    </w:lvl>
    <w:lvl w:ilvl="7">
      <w:start w:val="1"/>
      <w:numFmt w:val="decimal"/>
      <w:lvlText w:val="%1.%2.%3.%4.%5.%6.%7.%8."/>
      <w:lvlJc w:val="center"/>
      <w:pPr>
        <w:tabs>
          <w:tab w:val="num" w:pos="7654"/>
        </w:tabs>
        <w:ind w:left="7654" w:hanging="681"/>
      </w:pPr>
    </w:lvl>
    <w:lvl w:ilvl="8">
      <w:start w:val="1"/>
      <w:numFmt w:val="decimal"/>
      <w:lvlText w:val="%1.%2.%3.%4.%5.%6.%7.%8.%9."/>
      <w:lvlJc w:val="center"/>
      <w:pPr>
        <w:tabs>
          <w:tab w:val="num" w:pos="13476"/>
        </w:tabs>
        <w:ind w:left="8504" w:firstLine="4252"/>
      </w:pPr>
    </w:lvl>
  </w:abstractNum>
  <w:abstractNum w:abstractNumId="24">
    <w:nsid w:val="481D45F9"/>
    <w:multiLevelType w:val="hybridMultilevel"/>
    <w:tmpl w:val="B2807CAA"/>
    <w:lvl w:ilvl="0">
      <w:start w:val="5"/>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84A78D7"/>
    <w:multiLevelType w:val="hybridMultilevel"/>
    <w:tmpl w:val="3E747056"/>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998060D"/>
    <w:multiLevelType w:val="hybridMultilevel"/>
    <w:tmpl w:val="30E8B8D8"/>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A9C05BC"/>
    <w:multiLevelType w:val="hybridMultilevel"/>
    <w:tmpl w:val="7DE2A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C807F49"/>
    <w:multiLevelType w:val="hybridMultilevel"/>
    <w:tmpl w:val="A22E6978"/>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9">
    <w:nsid w:val="4FEC68CC"/>
    <w:multiLevelType w:val="hybridMultilevel"/>
    <w:tmpl w:val="B89475EA"/>
    <w:lvl w:ilvl="0">
      <w:start w:val="1"/>
      <w:numFmt w:val="hebrew1"/>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30">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69961F8"/>
    <w:multiLevelType w:val="hybridMultilevel"/>
    <w:tmpl w:val="EB3E4F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8CD7F92"/>
    <w:multiLevelType w:val="hybridMultilevel"/>
    <w:tmpl w:val="E02ED3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D60077F"/>
    <w:multiLevelType w:val="hybridMultilevel"/>
    <w:tmpl w:val="236AE3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12043B6"/>
    <w:multiLevelType w:val="hybridMultilevel"/>
    <w:tmpl w:val="9E6AD0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1913883"/>
    <w:multiLevelType w:val="hybridMultilevel"/>
    <w:tmpl w:val="71AE8C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2BD2F5E"/>
    <w:multiLevelType w:val="hybridMultilevel"/>
    <w:tmpl w:val="32F69284"/>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7FB6317"/>
    <w:multiLevelType w:val="hybridMultilevel"/>
    <w:tmpl w:val="8F007D1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9BC107C"/>
    <w:multiLevelType w:val="hybridMultilevel"/>
    <w:tmpl w:val="D9D2FB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A1C7FB5"/>
    <w:multiLevelType w:val="singleLevel"/>
    <w:tmpl w:val="CB646ABA"/>
    <w:lvl w:ilvl="0">
      <w:start w:val="1"/>
      <w:numFmt w:val="hebrew1"/>
      <w:lvlText w:val="%1."/>
      <w:lvlJc w:val="center"/>
      <w:pPr>
        <w:tabs>
          <w:tab w:val="num" w:pos="797"/>
        </w:tabs>
        <w:ind w:left="797" w:hanging="360"/>
      </w:pPr>
    </w:lvl>
  </w:abstractNum>
  <w:abstractNum w:abstractNumId="40">
    <w:nsid w:val="6A25620E"/>
    <w:multiLevelType w:val="hybridMultilevel"/>
    <w:tmpl w:val="4DB216BA"/>
    <w:lvl w:ilvl="0">
      <w:start w:val="1"/>
      <w:numFmt w:val="bullet"/>
      <w:lvlText w:val=""/>
      <w:lvlJc w:val="left"/>
      <w:pPr>
        <w:tabs>
          <w:tab w:val="num" w:pos="720"/>
        </w:tabs>
        <w:ind w:left="720" w:right="720" w:hanging="360"/>
      </w:pPr>
      <w:rPr>
        <w:rFonts w:ascii="Symbol" w:eastAsia="Times New Roman" w:hAnsi="Symbol" w:cs="David" w:hint="default"/>
      </w:rPr>
    </w:lvl>
    <w:lvl w:ilvl="1" w:tentative="1">
      <w:start w:val="1"/>
      <w:numFmt w:val="bullet"/>
      <w:lvlText w:val="o"/>
      <w:lvlJc w:val="left"/>
      <w:pPr>
        <w:tabs>
          <w:tab w:val="num" w:pos="1440"/>
        </w:tabs>
        <w:ind w:left="1440" w:right="1440" w:hanging="360"/>
      </w:pPr>
      <w:rPr>
        <w:rFonts w:ascii="Courier New" w:hAnsi="Courier New" w:cs="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cs="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cs="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41">
    <w:nsid w:val="6B881FEE"/>
    <w:multiLevelType w:val="hybridMultilevel"/>
    <w:tmpl w:val="8E6890E2"/>
    <w:lvl w:ilvl="0">
      <w:start w:val="1"/>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A9453EA"/>
    <w:multiLevelType w:val="hybridMultilevel"/>
    <w:tmpl w:val="9498F986"/>
    <w:lvl w:ilvl="0">
      <w:start w:val="1"/>
      <w:numFmt w:val="decimal"/>
      <w:lvlText w:val="%1."/>
      <w:lvlJc w:val="left"/>
      <w:pPr>
        <w:tabs>
          <w:tab w:val="num" w:pos="0"/>
        </w:tabs>
        <w:ind w:left="0" w:firstLine="0"/>
      </w:pPr>
    </w:lvl>
    <w:lvl w:ilvl="1">
      <w:start w:val="5"/>
      <w:numFmt w:val="decimal"/>
      <w:lvlText w:val="%2."/>
      <w:lvlJc w:val="left"/>
      <w:pPr>
        <w:tabs>
          <w:tab w:val="num" w:pos="1515"/>
        </w:tabs>
        <w:ind w:left="1515" w:hanging="79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8"/>
  </w:num>
  <w:num w:numId="3">
    <w:abstractNumId w:val="39"/>
  </w:num>
  <w:num w:numId="4">
    <w:abstractNumId w:val="30"/>
  </w:num>
  <w:num w:numId="5">
    <w:abstractNumId w:val="0"/>
  </w:num>
  <w:num w:numId="6">
    <w:abstractNumId w:val="23"/>
  </w:num>
  <w:num w:numId="7">
    <w:abstractNumId w:val="13"/>
  </w:num>
  <w:num w:numId="8">
    <w:abstractNumId w:val="29"/>
  </w:num>
  <w:num w:numId="9">
    <w:abstractNumId w:val="26"/>
  </w:num>
  <w:num w:numId="10">
    <w:abstractNumId w:val="19"/>
  </w:num>
  <w:num w:numId="11">
    <w:abstractNumId w:val="22"/>
  </w:num>
  <w:num w:numId="12">
    <w:abstractNumId w:val="41"/>
  </w:num>
  <w:num w:numId="13">
    <w:abstractNumId w:val="3"/>
  </w:num>
  <w:num w:numId="14">
    <w:abstractNumId w:val="36"/>
  </w:num>
  <w:num w:numId="15">
    <w:abstractNumId w:val="25"/>
  </w:num>
  <w:num w:numId="16">
    <w:abstractNumId w:val="32"/>
  </w:num>
  <w:num w:numId="17">
    <w:abstractNumId w:val="34"/>
  </w:num>
  <w:num w:numId="18">
    <w:abstractNumId w:val="8"/>
  </w:num>
  <w:num w:numId="19">
    <w:abstractNumId w:val="40"/>
  </w:num>
  <w:num w:numId="20">
    <w:abstractNumId w:val="7"/>
  </w:num>
  <w:num w:numId="21">
    <w:abstractNumId w:val="24"/>
  </w:num>
  <w:num w:numId="22">
    <w:abstractNumId w:val="17"/>
  </w:num>
  <w:num w:numId="23">
    <w:abstractNumId w:val="4"/>
  </w:num>
  <w:num w:numId="24">
    <w:abstractNumId w:val="37"/>
  </w:num>
  <w:num w:numId="25">
    <w:abstractNumId w:val="15"/>
  </w:num>
  <w:num w:numId="26">
    <w:abstractNumId w:val="10"/>
  </w:num>
  <w:num w:numId="27">
    <w:abstractNumId w:val="9"/>
  </w:num>
  <w:num w:numId="28">
    <w:abstractNumId w:val="27"/>
  </w:num>
  <w:num w:numId="29">
    <w:abstractNumId w:val="1"/>
  </w:num>
  <w:num w:numId="30">
    <w:abstractNumId w:val="14"/>
  </w:num>
  <w:num w:numId="31">
    <w:abstractNumId w:val="28"/>
  </w:num>
  <w:num w:numId="32">
    <w:abstractNumId w:val="35"/>
  </w:num>
  <w:num w:numId="33">
    <w:abstractNumId w:val="11"/>
  </w:num>
  <w:num w:numId="34">
    <w:abstractNumId w:val="33"/>
  </w:num>
  <w:num w:numId="35">
    <w:abstractNumId w:val="12"/>
  </w:num>
  <w:num w:numId="36">
    <w:abstractNumId w:val="6"/>
  </w:num>
  <w:num w:numId="37">
    <w:abstractNumId w:val="5"/>
  </w:num>
  <w:num w:numId="38">
    <w:abstractNumId w:val="31"/>
  </w:num>
  <w:num w:numId="39">
    <w:abstractNumId w:val="38"/>
  </w:num>
  <w:num w:numId="40">
    <w:abstractNumId w:val="2"/>
  </w:num>
  <w:num w:numId="41">
    <w:abstractNumId w:val="16"/>
  </w:num>
  <w:num w:numId="42">
    <w:abstractNumId w:val="21"/>
  </w:num>
  <w:num w:numId="43">
    <w:abstractNumId w:val="4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revisionView w:comments="0" w:formatting="0" w:inkAnnotations="0" w:insDel="0" w:markup="0"/>
  <w:doNotTrackMoves/>
  <w:defaultTabStop w:val="397"/>
  <w:evenAndOddHeaders/>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spacing w:line="240" w:lineRule="auto"/>
      <w:ind w:left="0" w:right="0"/>
      <w:jc w:val="center"/>
      <w:outlineLvl w:val="0"/>
    </w:pPr>
    <w:rPr>
      <w:b/>
      <w:bCs/>
      <w:sz w:val="16"/>
      <w:szCs w:val="20"/>
    </w:rPr>
  </w:style>
  <w:style w:type="paragraph" w:styleId="Heading2">
    <w:name w:val="heading 2"/>
    <w:basedOn w:val="Normal"/>
    <w:next w:val="Normal"/>
    <w:uiPriority w:val="9"/>
    <w:qFormat/>
    <w:pPr>
      <w:keepNext/>
      <w:widowControl w:val="0"/>
      <w:spacing w:before="100" w:beforeAutospacing="1" w:after="240" w:line="264" w:lineRule="auto"/>
      <w:ind w:left="0" w:right="0"/>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ind w:left="0" w:right="0"/>
      <w:jc w:val="left"/>
      <w:outlineLvl w:val="3"/>
    </w:pPr>
    <w:rPr>
      <w:b/>
      <w:bCs/>
      <w:sz w:val="22"/>
      <w:szCs w:val="26"/>
      <w:lang w:eastAsia="he-IL"/>
    </w:rPr>
  </w:style>
  <w:style w:type="paragraph" w:styleId="Heading5">
    <w:name w:val="heading 5"/>
    <w:basedOn w:val="Normal"/>
    <w:next w:val="Normal"/>
    <w:uiPriority w:val="9"/>
    <w:qFormat/>
    <w:pPr>
      <w:widowControl w:val="0"/>
      <w:spacing w:line="312" w:lineRule="auto"/>
      <w:ind w:left="0" w:right="0"/>
      <w:jc w:val="both"/>
      <w:outlineLvl w:val="4"/>
    </w:pPr>
    <w:rPr>
      <w:b/>
      <w:bCs/>
      <w:spacing w:val="40"/>
      <w:sz w:val="20"/>
      <w:lang w:eastAsia="he-IL"/>
    </w:rPr>
  </w:style>
  <w:style w:type="paragraph" w:styleId="Heading6">
    <w:name w:val="heading 6"/>
    <w:basedOn w:val="Normal"/>
    <w:next w:val="Normal"/>
    <w:uiPriority w:val="9"/>
    <w:qFormat/>
    <w:pPr>
      <w:keepNext/>
      <w:spacing w:line="240" w:lineRule="atLeast"/>
      <w:ind w:left="0" w:right="0"/>
      <w:jc w:val="center"/>
      <w:outlineLvl w:val="5"/>
    </w:pPr>
    <w:rPr>
      <w:b/>
      <w:bCs/>
      <w:sz w:val="48"/>
      <w:szCs w:val="48"/>
    </w:rPr>
  </w:style>
  <w:style w:type="paragraph" w:styleId="Heading7">
    <w:name w:val="heading 7"/>
    <w:basedOn w:val="Normal"/>
    <w:next w:val="Normal"/>
    <w:uiPriority w:val="9"/>
    <w:qFormat/>
    <w:pPr>
      <w:keepNext/>
      <w:spacing w:before="40" w:after="40" w:line="220" w:lineRule="exact"/>
      <w:ind w:left="0" w:right="0"/>
      <w:jc w:val="left"/>
      <w:outlineLvl w:val="6"/>
    </w:pPr>
    <w:rPr>
      <w:rFonts w:ascii="Arial" w:hAnsi="Arial" w:cs="FrankRuehl"/>
      <w:b/>
      <w:bCs/>
      <w:szCs w:val="20"/>
    </w:rPr>
  </w:style>
  <w:style w:type="paragraph" w:styleId="Heading8">
    <w:name w:val="heading 8"/>
    <w:basedOn w:val="Normal"/>
    <w:next w:val="Normal"/>
    <w:uiPriority w:val="9"/>
    <w:qFormat/>
    <w:pPr>
      <w:keepNext/>
      <w:spacing w:before="40" w:after="40" w:line="220" w:lineRule="exact"/>
      <w:ind w:left="0" w:right="0"/>
      <w:jc w:val="right"/>
      <w:outlineLvl w:val="7"/>
    </w:pPr>
    <w:rPr>
      <w:rFonts w:ascii="Arial" w:hAnsi="Arial" w:cs="FrankRuehl"/>
      <w:b/>
      <w:bCs/>
      <w:szCs w:val="20"/>
    </w:rPr>
  </w:style>
  <w:style w:type="paragraph" w:styleId="Heading9">
    <w:name w:val="heading 9"/>
    <w:basedOn w:val="Normal"/>
    <w:next w:val="Normal"/>
    <w:uiPriority w:val="9"/>
    <w:qFormat/>
    <w:pPr>
      <w:keepNext/>
      <w:spacing w:line="500" w:lineRule="exact"/>
      <w:ind w:left="0" w:right="0"/>
      <w:jc w:val="center"/>
      <w:outlineLvl w:val="8"/>
    </w:pPr>
    <w:rPr>
      <w:b/>
      <w:bCs/>
      <w:sz w:val="56"/>
      <w:szCs w:val="56"/>
      <w:lang w:eastAsia="he-IL"/>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semiHidden/>
    <w:pPr>
      <w:widowControl w:val="0"/>
      <w:spacing w:line="312" w:lineRule="auto"/>
      <w:ind w:left="567" w:right="0" w:hanging="567"/>
      <w:jc w:val="both"/>
    </w:pPr>
    <w:rPr>
      <w:sz w:val="20"/>
      <w:szCs w:val="20"/>
      <w:lang w:eastAsia="he-IL"/>
    </w:rPr>
  </w:style>
  <w:style w:type="character" w:styleId="FootnoteReference">
    <w:name w:val="footnote reference"/>
    <w:basedOn w:val="DefaultParagraphFont"/>
    <w:semiHidden/>
    <w:rPr>
      <w:vertAlign w:val="superscript"/>
    </w:rPr>
  </w:style>
  <w:style w:type="paragraph" w:customStyle="1" w:styleId="a">
    <w:name w:val="נבנצלים"/>
    <w:basedOn w:val="Normal"/>
    <w:next w:val="Normal"/>
    <w:pPr>
      <w:widowControl w:val="0"/>
      <w:spacing w:line="312" w:lineRule="auto"/>
      <w:ind w:left="-567" w:right="0"/>
      <w:jc w:val="both"/>
    </w:pPr>
    <w:rPr>
      <w:sz w:val="20"/>
      <w:szCs w:val="20"/>
      <w:lang w:eastAsia="he-IL"/>
    </w:r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character" w:customStyle="1" w:styleId="1">
    <w:name w:val=" תו תו1"/>
    <w:basedOn w:val="DefaultParagraphFont"/>
    <w:rPr>
      <w:rFonts w:cs="David"/>
      <w:b/>
      <w:bCs/>
      <w:spacing w:val="40"/>
      <w:szCs w:val="24"/>
      <w:lang w:val="en-US" w:eastAsia="he-IL" w:bidi="he-IL"/>
    </w:rPr>
  </w:style>
  <w:style w:type="character" w:customStyle="1" w:styleId="a0">
    <w:name w:val=" תו תו"/>
    <w:basedOn w:val="DefaultParagraphFont"/>
    <w:rPr>
      <w:rFonts w:cs="David"/>
      <w:b/>
      <w:bCs/>
      <w:sz w:val="24"/>
      <w:szCs w:val="28"/>
      <w:u w:val="single"/>
      <w:lang w:val="en-US" w:eastAsia="he-IL" w:bidi="he-IL"/>
    </w:rPr>
  </w:style>
  <w:style w:type="character" w:customStyle="1" w:styleId="subtitle1">
    <w:name w:val="subtitle1"/>
    <w:basedOn w:val="DefaultParagraphFont"/>
    <w:rPr>
      <w:color w:val="014170"/>
      <w:sz w:val="16"/>
      <w:szCs w:val="16"/>
      <w:u w:val="none"/>
      <w:effect w:val="none"/>
    </w:rPr>
  </w:style>
  <w:style w:type="paragraph" w:customStyle="1" w:styleId="a1">
    <w:name w:val="מדורג מספר"/>
    <w:basedOn w:val="Normal"/>
    <w:pPr>
      <w:numPr>
        <w:ilvl w:val="0"/>
        <w:numId w:val="6"/>
      </w:numPr>
      <w:spacing w:before="120" w:line="360" w:lineRule="auto"/>
      <w:ind w:left="567" w:right="0"/>
      <w:jc w:val="both"/>
    </w:pPr>
    <w:rPr>
      <w:snapToGrid w:val="0"/>
      <w:kern w:val="28"/>
      <w:lang w:eastAsia="he-IL"/>
    </w:rPr>
  </w:style>
  <w:style w:type="paragraph" w:styleId="TOC2">
    <w:name w:val="toc 2"/>
    <w:basedOn w:val="Normal"/>
    <w:next w:val="Normal"/>
    <w:uiPriority w:val="39"/>
    <w:pPr>
      <w:widowControl w:val="0"/>
      <w:tabs>
        <w:tab w:val="right" w:leader="dot" w:pos="6237"/>
        <w:tab w:val="left" w:pos="6350"/>
      </w:tabs>
      <w:spacing w:after="120"/>
      <w:ind w:left="0" w:right="0"/>
      <w:jc w:val="left"/>
    </w:pPr>
    <w:rPr>
      <w:b/>
      <w:bCs/>
      <w:noProof/>
      <w:sz w:val="28"/>
      <w:szCs w:val="28"/>
      <w:lang w:eastAsia="he-IL"/>
    </w:rPr>
  </w:style>
  <w:style w:type="paragraph" w:styleId="TOC3">
    <w:name w:val="toc 3"/>
    <w:basedOn w:val="Normal"/>
    <w:next w:val="Normal"/>
    <w:autoRedefine/>
    <w:uiPriority w:val="39"/>
    <w:pPr>
      <w:widowControl w:val="0"/>
      <w:tabs>
        <w:tab w:val="right" w:leader="dot" w:pos="6237"/>
        <w:tab w:val="left" w:pos="6350"/>
      </w:tabs>
      <w:spacing w:after="120"/>
      <w:ind w:left="0" w:right="0"/>
      <w:jc w:val="both"/>
    </w:pPr>
    <w:rPr>
      <w:noProof/>
      <w:sz w:val="20"/>
      <w:lang w:eastAsia="he-IL"/>
    </w:rPr>
  </w:style>
  <w:style w:type="paragraph" w:styleId="TOC4">
    <w:name w:val="toc 4"/>
    <w:basedOn w:val="Normal"/>
    <w:next w:val="Normal"/>
    <w:autoRedefine/>
    <w:uiPriority w:val="39"/>
    <w:pPr>
      <w:widowControl w:val="0"/>
      <w:tabs>
        <w:tab w:val="right" w:leader="dot" w:pos="6237"/>
        <w:tab w:val="left" w:pos="6350"/>
      </w:tabs>
      <w:spacing w:after="120"/>
      <w:ind w:left="397" w:right="0"/>
      <w:jc w:val="both"/>
    </w:pPr>
    <w:rPr>
      <w:noProof/>
      <w:sz w:val="20"/>
      <w:lang w:eastAsia="he-IL"/>
    </w:rPr>
  </w:style>
  <w:style w:type="paragraph" w:styleId="TOC5">
    <w:name w:val="toc 5"/>
    <w:basedOn w:val="Normal"/>
    <w:next w:val="Normal"/>
    <w:autoRedefine/>
    <w:uiPriority w:val="39"/>
    <w:pPr>
      <w:widowControl w:val="0"/>
      <w:tabs>
        <w:tab w:val="right" w:leader="dot" w:pos="8210"/>
      </w:tabs>
      <w:spacing w:after="120"/>
      <w:ind w:left="794" w:right="0"/>
      <w:jc w:val="both"/>
    </w:pPr>
    <w:rPr>
      <w:noProof/>
      <w:sz w:val="20"/>
      <w:lang w:eastAsia="he-IL"/>
    </w:rPr>
  </w:style>
  <w:style w:type="character" w:styleId="Hyperlink">
    <w:name w:val="Hyperlink"/>
    <w:basedOn w:val="DefaultParagraphFont"/>
    <w:rPr>
      <w:color w:val="FF9900"/>
      <w:u w:val="single"/>
    </w:rPr>
  </w:style>
  <w:style w:type="character" w:customStyle="1" w:styleId="7">
    <w:name w:val="כותרת 7 תו"/>
    <w:basedOn w:val="DefaultParagraphFont"/>
    <w:rPr>
      <w:rFonts w:cs="David"/>
      <w:b/>
      <w:bCs/>
      <w:spacing w:val="40"/>
      <w:szCs w:val="24"/>
      <w:lang w:val="en-US" w:eastAsia="he-IL" w:bidi="he-IL"/>
    </w:rPr>
  </w:style>
  <w:style w:type="paragraph" w:styleId="CommentText">
    <w:name w:val="annotation text"/>
    <w:basedOn w:val="Normal"/>
    <w:autoRedefine/>
    <w:semiHidden/>
    <w:pPr>
      <w:widowControl w:val="0"/>
      <w:spacing w:line="312" w:lineRule="auto"/>
      <w:ind w:left="0" w:right="0"/>
      <w:jc w:val="both"/>
    </w:pPr>
    <w:rPr>
      <w:sz w:val="20"/>
      <w:lang w:eastAsia="he-IL"/>
    </w:rPr>
  </w:style>
  <w:style w:type="paragraph" w:styleId="NormalWeb">
    <w:name w:val="Normal (Web)"/>
    <w:basedOn w:val="Normal"/>
    <w:pPr>
      <w:bidi w:val="0"/>
      <w:spacing w:before="100" w:beforeAutospacing="1" w:after="100" w:afterAutospacing="1" w:line="240" w:lineRule="auto"/>
      <w:jc w:val="left"/>
    </w:pPr>
    <w:rPr>
      <w:rFonts w:cs="Times New Roman"/>
    </w:rPr>
  </w:style>
  <w:style w:type="paragraph" w:styleId="BodyText">
    <w:name w:val="Body Text"/>
    <w:basedOn w:val="Normal"/>
    <w:pPr>
      <w:spacing w:after="240" w:line="230" w:lineRule="exact"/>
      <w:ind w:left="0" w:right="0"/>
      <w:jc w:val="both"/>
    </w:pPr>
    <w:rPr>
      <w:rFonts w:cs="FrankRuehl"/>
      <w:sz w:val="20"/>
      <w:szCs w:val="22"/>
    </w:rPr>
  </w:style>
  <w:style w:type="paragraph" w:styleId="BodyText2">
    <w:name w:val="Body Text 2"/>
    <w:basedOn w:val="Normal"/>
    <w:pPr>
      <w:spacing w:after="240" w:line="230" w:lineRule="exact"/>
      <w:ind w:left="0" w:right="0"/>
      <w:jc w:val="both"/>
    </w:pPr>
    <w:rPr>
      <w:rFonts w:cs="FrankRuehl"/>
      <w:sz w:val="20"/>
      <w:szCs w:val="22"/>
    </w:rPr>
  </w:style>
  <w:style w:type="character" w:styleId="CommentReference">
    <w:name w:val="annotation reference"/>
    <w:basedOn w:val="DefaultParagraphFont"/>
    <w:semiHidden/>
    <w:rPr>
      <w:sz w:val="16"/>
      <w:szCs w:val="16"/>
    </w:rPr>
  </w:style>
  <w:style w:type="paragraph" w:customStyle="1" w:styleId="a2">
    <w:name w:val="נושא הערה"/>
    <w:basedOn w:val="CommentText"/>
    <w:next w:val="CommentText"/>
    <w:semiHidden/>
    <w:pPr>
      <w:widowControl/>
      <w:spacing w:line="240" w:lineRule="exact"/>
      <w:ind w:left="0" w:right="0"/>
      <w:jc w:val="left"/>
    </w:pPr>
    <w:rPr>
      <w:b/>
      <w:bCs/>
      <w:szCs w:val="20"/>
      <w:lang w:eastAsia="en-US"/>
    </w:rPr>
  </w:style>
  <w:style w:type="paragraph" w:customStyle="1" w:styleId="a3">
    <w:name w:val="טקסט בלונים"/>
    <w:basedOn w:val="Normal"/>
    <w:semiHidden/>
    <w:pPr>
      <w:ind w:left="0" w:right="0"/>
      <w:jc w:val="left"/>
    </w:pPr>
    <w:rPr>
      <w:rFonts w:ascii="Tahoma" w:hAnsi="Tahoma" w:cs="Tahoma"/>
      <w:sz w:val="16"/>
      <w:szCs w:val="16"/>
    </w:rPr>
  </w:style>
  <w:style w:type="paragraph" w:styleId="BodyText3">
    <w:name w:val="Body Text 3"/>
    <w:basedOn w:val="Normal"/>
    <w:pPr>
      <w:spacing w:after="240" w:line="230" w:lineRule="exact"/>
      <w:ind w:left="0" w:right="0"/>
      <w:jc w:val="both"/>
    </w:pPr>
    <w:rPr>
      <w:rFonts w:cs="FrankRuehl"/>
      <w:sz w:val="20"/>
      <w:szCs w:val="22"/>
    </w:rPr>
  </w:style>
  <w:style w:type="paragraph" w:styleId="BodyTextIndent">
    <w:name w:val="Body Text Indent"/>
    <w:basedOn w:val="Normal"/>
    <w:pPr>
      <w:spacing w:line="360" w:lineRule="exact"/>
      <w:ind w:left="3119" w:right="0"/>
      <w:jc w:val="left"/>
    </w:pPr>
    <w:rPr>
      <w:sz w:val="32"/>
      <w:szCs w:val="32"/>
    </w:rPr>
  </w:style>
  <w:style w:type="paragraph" w:styleId="Title">
    <w:name w:val="Title"/>
    <w:basedOn w:val="Normal"/>
    <w:uiPriority w:val="10"/>
    <w:qFormat/>
    <w:pPr>
      <w:widowControl w:val="0"/>
      <w:spacing w:line="312" w:lineRule="auto"/>
      <w:ind w:left="0" w:right="0"/>
      <w:jc w:val="center"/>
    </w:pPr>
    <w:rPr>
      <w:b/>
      <w:bCs/>
      <w:u w:val="single"/>
      <w:lang w:eastAsia="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5.xml"/><Relationship Id="rId8" Type="http://schemas.openxmlformats.org/officeDocument/2006/relationships/image" Target="media/image2.wmf"/><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eader" Target="header4.xml"/><Relationship Id="rId7" Type="http://schemas.openxmlformats.org/officeDocument/2006/relationships/image" Target="media/image1.wmf"/><Relationship Id="rId17" Type="http://schemas.openxmlformats.org/officeDocument/2006/relationships/customXml" Target="../customXml/item1.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image" Target="media/image4.png"/><Relationship Id="rId6" Type="http://schemas.openxmlformats.org/officeDocument/2006/relationships/header" Target="header2.xml"/><Relationship Id="rId15" Type="http://schemas.openxmlformats.org/officeDocument/2006/relationships/numbering" Target="numbering.xml"/><Relationship Id="rId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customXml" Target="../customXml/item3.xml"/><Relationship Id="rId14" Type="http://schemas.openxmlformats.org/officeDocument/2006/relationships/header" Target="header6.xml"/><Relationship Id="rId4" Type="http://schemas.openxmlformats.org/officeDocument/2006/relationships/fontTable" Target="fontTable.xml"/><Relationship Id="rId9" Type="http://schemas.openxmlformats.org/officeDocument/2006/relationships/header" Target="head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A727C2-D016-4771-A8F8-A90FA75501F0}"/>
</file>

<file path=customXml/itemProps2.xml><?xml version="1.0" encoding="utf-8"?>
<ds:datastoreItem xmlns:ds="http://schemas.openxmlformats.org/officeDocument/2006/customXml" ds:itemID="{93F62339-0484-4448-91A7-351F10889D8A}"/>
</file>

<file path=customXml/itemProps3.xml><?xml version="1.0" encoding="utf-8"?>
<ds:datastoreItem xmlns:ds="http://schemas.openxmlformats.org/officeDocument/2006/customXml" ds:itemID="{E2A90123-46F8-4105-9E24-F72E3109BF9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2011-Barak-ChavatDaat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