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D6B008D">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260985</wp:posOffset>
                </wp:positionV>
                <wp:extent cx="0" cy="3573780"/>
                <wp:effectExtent l="25400" t="0" r="25400" b="3302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737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4pt,20.55pt" to="241.4pt,301.9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170815</wp:posOffset>
                </wp:positionH>
                <wp:positionV relativeFrom="paragraph">
                  <wp:posOffset>2103120</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13.45pt,165.6pt" to="231.8pt,165.6pt" strokecolor="white" strokeweight="1.5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586645" w:rsidRPr="0052031E" w:rsidP="00586645" w14:textId="77777777">
                            <w:pPr>
                              <w:pStyle w:val="a3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Pr>
                                <w:rtl/>
                              </w:rPr>
                              <w:br/>
                            </w:r>
                            <w:r>
                              <w:rPr>
                                <w:rFonts w:hint="cs"/>
                                <w:rtl/>
                              </w:rPr>
                              <w:t xml:space="preserve">אדר התשפ״ג </w:t>
                            </w:r>
                            <w:r w:rsidRPr="0052031E">
                              <w:rPr>
                                <w:rtl/>
                              </w:rPr>
                              <w:t>|</w:t>
                            </w:r>
                            <w:r>
                              <w:rPr>
                                <w:rFonts w:hint="cs"/>
                                <w:rtl/>
                              </w:rPr>
                              <w:t xml:space="preserve"> מרץ 2023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BDD94E5">
                            <w:pPr>
                              <w:pStyle w:val="-2"/>
                              <w:rPr>
                                <w:rtl/>
                              </w:rPr>
                            </w:pPr>
                            <w:r>
                              <w:rPr>
                                <w:rFonts w:hint="cs"/>
                                <w:rtl/>
                              </w:rPr>
                              <w:t>משרד מבקר המדינה</w:t>
                            </w:r>
                          </w:p>
                          <w:p w:rsidR="00F73EE0" w:rsidRPr="000F5023" w:rsidP="0072357A" w14:textId="1B9D6708">
                            <w:pPr>
                              <w:pStyle w:val="a35"/>
                              <w:bidi/>
                              <w:spacing w:before="120"/>
                              <w:rPr>
                                <w:rtl/>
                              </w:rPr>
                            </w:pPr>
                            <w:r w:rsidRPr="00530F59">
                              <w:rPr>
                                <w:rtl/>
                              </w:rPr>
                              <w:t>הסיוע הייחודי לתעשיית התיירות במשבר הקורונה</w:t>
                            </w:r>
                            <w:r>
                              <w:rPr>
                                <w:rFonts w:hint="cs"/>
                                <w:rtl/>
                              </w:rPr>
                              <w:t xml:space="preserve"> </w:t>
                            </w:r>
                          </w:p>
                          <w:p w:rsidR="00C30482" w:rsidRPr="000F5023" w:rsidP="000F5023"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1.65pt;height:336.5pt;margin-top:27.2pt;margin-left:0.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586645" w:rsidRPr="0052031E" w:rsidP="00586645" w14:paraId="690A69B9" w14:textId="77777777">
                      <w:pPr>
                        <w:pStyle w:val="a3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Pr>
                          <w:rtl/>
                        </w:rPr>
                        <w:br/>
                      </w:r>
                      <w:r>
                        <w:rPr>
                          <w:rFonts w:hint="cs"/>
                          <w:rtl/>
                        </w:rPr>
                        <w:t xml:space="preserve">אדר </w:t>
                      </w:r>
                      <w:r>
                        <w:rPr>
                          <w:rFonts w:hint="cs"/>
                          <w:rtl/>
                        </w:rPr>
                        <w:t>התשפ״ג</w:t>
                      </w:r>
                      <w:r>
                        <w:rPr>
                          <w:rFonts w:hint="cs"/>
                          <w:rtl/>
                        </w:rPr>
                        <w:t xml:space="preserve"> </w:t>
                      </w:r>
                      <w:r w:rsidRPr="0052031E">
                        <w:rPr>
                          <w:rtl/>
                        </w:rPr>
                        <w:t>|</w:t>
                      </w:r>
                      <w:r>
                        <w:rPr>
                          <w:rFonts w:hint="cs"/>
                          <w:rtl/>
                        </w:rPr>
                        <w:t xml:space="preserve"> מרץ 2023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BDD94E5">
                      <w:pPr>
                        <w:pStyle w:val="-2"/>
                        <w:rPr>
                          <w:rtl/>
                        </w:rPr>
                      </w:pPr>
                      <w:r>
                        <w:rPr>
                          <w:rFonts w:hint="cs"/>
                          <w:rtl/>
                        </w:rPr>
                        <w:t>משרד מבקר המדינה</w:t>
                      </w:r>
                    </w:p>
                    <w:p w:rsidR="00F73EE0" w:rsidRPr="000F5023" w:rsidP="0072357A" w14:paraId="5464BE8D" w14:textId="1B9D6708">
                      <w:pPr>
                        <w:pStyle w:val="a35"/>
                        <w:bidi/>
                        <w:spacing w:before="120"/>
                        <w:rPr>
                          <w:rtl/>
                        </w:rPr>
                      </w:pPr>
                      <w:r w:rsidRPr="00530F59">
                        <w:rPr>
                          <w:rtl/>
                        </w:rPr>
                        <w:t>הסיוע הייחודי לתעשיית התיירות במשבר הקורונה</w:t>
                      </w:r>
                      <w:r>
                        <w:rPr>
                          <w:rFonts w:hint="cs"/>
                          <w:rtl/>
                        </w:rPr>
                        <w:t xml:space="preserve"> </w:t>
                      </w:r>
                    </w:p>
                    <w:p w:rsidR="00C30482" w:rsidRPr="000F5023" w:rsidP="000F5023" w14:paraId="5BE5E625" w14:textId="77777777">
                      <w:pPr>
                        <w:pStyle w:val="a3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2E234897">
      <w:pPr>
        <w:pStyle w:val="7329"/>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530F59" w:rsidR="00530F59">
        <w:rPr>
          <w:noProof/>
          <w:rtl/>
        </w:rPr>
        <w:t>הסיוע הייחודי לתעשיית התיירות במשבר הקורונה</w:t>
      </w:r>
      <w:r w:rsidR="00530F59">
        <w:rPr>
          <w:rFonts w:hint="cs"/>
          <w:rtl/>
        </w:rPr>
        <w:t xml:space="preserve"> </w:t>
      </w:r>
    </w:p>
    <w:p w:rsidR="00530F59" w:rsidP="007F4A20" w14:paraId="785E4F6B" w14:textId="37C977C7">
      <w:pPr>
        <w:pStyle w:val="7392"/>
        <w:spacing w:before="360"/>
        <w:rPr>
          <w:rtl/>
        </w:rPr>
      </w:pPr>
      <w:r w:rsidRPr="00567E56">
        <w:rPr>
          <w:rFonts w:hint="cs"/>
          <w:rtl/>
        </w:rPr>
        <w:t xml:space="preserve">תעשיית התיירות פועלת בסביבה תחרותית בין-לאומית והיא רגישה יותר מתעשיות אחרות למצבי חירום. ככלל תעשיית התיירות היא מהתעשיות הראשונות להיפגע ממצבי חירום ומהאחרונות לצאת מהם. עד שנת 2020 נסמכה </w:t>
      </w:r>
      <w:r w:rsidRPr="00567E56">
        <w:rPr>
          <w:rtl/>
        </w:rPr>
        <w:t xml:space="preserve">תעשיית התיירות בישראל </w:t>
      </w:r>
      <w:r w:rsidRPr="00567E56">
        <w:rPr>
          <w:rFonts w:hint="cs"/>
          <w:rtl/>
        </w:rPr>
        <w:t>בעיקר על תיירות נכנסת. ב</w:t>
      </w:r>
      <w:r w:rsidRPr="00567E56">
        <w:rPr>
          <w:rtl/>
        </w:rPr>
        <w:t xml:space="preserve">שנת 2019 </w:t>
      </w:r>
      <w:r w:rsidRPr="00567E56">
        <w:rPr>
          <w:rFonts w:hint="cs"/>
          <w:rtl/>
        </w:rPr>
        <w:t xml:space="preserve">נרשם שיא של כל הזמנים עת נכנסו </w:t>
      </w:r>
      <w:r w:rsidRPr="00567E56">
        <w:rPr>
          <w:rtl/>
        </w:rPr>
        <w:t>כ-4.5 מיליון תיירים</w:t>
      </w:r>
      <w:r w:rsidRPr="00567E56">
        <w:rPr>
          <w:rFonts w:hint="cs"/>
          <w:rtl/>
        </w:rPr>
        <w:t xml:space="preserve"> לישראל</w:t>
      </w:r>
      <w:r>
        <w:rPr>
          <w:vertAlign w:val="superscript"/>
          <w:rtl/>
        </w:rPr>
        <w:footnoteReference w:id="2"/>
      </w:r>
      <w:r w:rsidRPr="00567E56">
        <w:rPr>
          <w:rtl/>
        </w:rPr>
        <w:t>.</w:t>
      </w:r>
      <w:r w:rsidRPr="00567E56">
        <w:rPr>
          <w:rFonts w:hint="cs"/>
          <w:rtl/>
        </w:rPr>
        <w:t xml:space="preserve"> נגיף הקורונה, שהתפרץ בסין בדצמבר 2019 והתפשט משם אל שאר מדינות העולם, פגע בתעשיית התיירות בשלב מוקדם יחסית ובצורה הקשה ביותר עקב הגבלות שהטילו מדינות בעולם, ובכללם ישראל, כדי לצמצם תחלואה ותמותה, וכללו בין היתר סגירת גבולות לתיירים זרים. כתוצאה מכך בשנים 2020 ו-2021 עמד מספר התיירים שנכנסו לישראל</w:t>
      </w:r>
      <w:r>
        <w:rPr>
          <w:rFonts w:hint="cs"/>
          <w:rtl/>
        </w:rPr>
        <w:t xml:space="preserve"> </w:t>
      </w:r>
      <w:r w:rsidRPr="00567E56">
        <w:rPr>
          <w:rFonts w:hint="cs"/>
          <w:rtl/>
        </w:rPr>
        <w:t xml:space="preserve">על כ-832,000 </w:t>
      </w:r>
      <w:r w:rsidR="00B36AC3">
        <w:rPr>
          <w:rtl/>
        </w:rPr>
        <w:br/>
      </w:r>
      <w:r w:rsidRPr="00567E56">
        <w:rPr>
          <w:rFonts w:hint="cs"/>
          <w:rtl/>
        </w:rPr>
        <w:t>וכ-397,000 בהתאמה</w:t>
      </w:r>
      <w:r w:rsidRPr="001F3363" w:rsidR="006F4F50">
        <w:rPr>
          <w:rtl/>
        </w:rPr>
        <w:t xml:space="preserve">. </w:t>
      </w:r>
    </w:p>
    <w:p w:rsidR="007F4A20" w:rsidRPr="00530F59" w:rsidP="00530F59" w14:paraId="0B41EED6" w14:textId="4704EFF9">
      <w:pPr>
        <w:pStyle w:val="7392"/>
        <w:rPr>
          <w:rtl/>
        </w:rPr>
      </w:pPr>
      <w:r w:rsidRPr="00530F59">
        <w:rPr>
          <w:rFonts w:hint="cs"/>
          <w:rtl/>
        </w:rPr>
        <w:t xml:space="preserve">כדי לסייע לתעשיית התיירות להתמודד עם הפגיעה הכלכלית במשבר הקורונה החליטה ממשלת ישראל להעניק לכמה ענפים בתעשייה זו סיוע ייחודי, נוסף על </w:t>
      </w:r>
      <w:r w:rsidRPr="00530F59">
        <w:rPr>
          <w:rtl/>
        </w:rPr>
        <w:t xml:space="preserve">הסיוע </w:t>
      </w:r>
      <w:r w:rsidRPr="00530F59">
        <w:rPr>
          <w:rFonts w:hint="cs"/>
          <w:rtl/>
        </w:rPr>
        <w:t>שהעניקה הממשלה לכלל העוסקים במשק</w:t>
      </w:r>
      <w:r w:rsidRPr="00530F59">
        <w:rPr>
          <w:rtl/>
        </w:rPr>
        <w:t xml:space="preserve">. </w:t>
      </w:r>
      <w:r w:rsidRPr="00530F59">
        <w:rPr>
          <w:rFonts w:hint="cs"/>
          <w:rtl/>
        </w:rPr>
        <w:t xml:space="preserve">לאחר סיום הסגר השלישי, בפברואר 2021, ועם הגידול בשיעור המחוסנים באוכלוסייה, החל המשק הישראלי להתאושש ממרבית הפגיעה של משבר הקורונה, אולם המגבלות על כניסת תיירים לארץ הוקשחו והמשיכו עד תחילת 2022. </w:t>
      </w:r>
      <w:r w:rsidRPr="00530F59">
        <w:rPr>
          <w:rtl/>
        </w:rPr>
        <w:t xml:space="preserve">מספר התיירים שהגיעו לישראל </w:t>
      </w:r>
      <w:r w:rsidRPr="00530F59">
        <w:rPr>
          <w:rFonts w:hint="cs"/>
          <w:rtl/>
        </w:rPr>
        <w:t>מ</w:t>
      </w:r>
      <w:r w:rsidRPr="00530F59">
        <w:rPr>
          <w:rtl/>
        </w:rPr>
        <w:t xml:space="preserve">ינואר עד ספטמבר 2022 </w:t>
      </w:r>
      <w:r w:rsidRPr="00530F59">
        <w:rPr>
          <w:rFonts w:hint="cs"/>
          <w:rtl/>
        </w:rPr>
        <w:t>- כ-1.7</w:t>
      </w:r>
      <w:r w:rsidRPr="00530F59">
        <w:rPr>
          <w:rtl/>
        </w:rPr>
        <w:t xml:space="preserve"> מיליון תיירים</w:t>
      </w:r>
      <w:r w:rsidRPr="00530F59">
        <w:rPr>
          <w:rFonts w:hint="cs"/>
          <w:rtl/>
        </w:rPr>
        <w:t xml:space="preserve"> -</w:t>
      </w:r>
      <w:r w:rsidRPr="00530F59">
        <w:rPr>
          <w:rtl/>
        </w:rPr>
        <w:t xml:space="preserve"> היה עדיין קטן </w:t>
      </w:r>
      <w:r w:rsidR="00B36AC3">
        <w:rPr>
          <w:rtl/>
        </w:rPr>
        <w:br/>
      </w:r>
      <w:r w:rsidRPr="00530F59">
        <w:rPr>
          <w:rtl/>
        </w:rPr>
        <w:t>בכ-</w:t>
      </w:r>
      <w:r w:rsidRPr="00530F59">
        <w:rPr>
          <w:rFonts w:hint="cs"/>
          <w:rtl/>
        </w:rPr>
        <w:t>49</w:t>
      </w:r>
      <w:r w:rsidRPr="00530F59">
        <w:rPr>
          <w:rtl/>
        </w:rPr>
        <w:t>% ממספר התיירים שהגיעו לישראל בחודשים אלו בשנת 2019.</w:t>
      </w:r>
      <w:r w:rsidRPr="00530F59">
        <w:rPr>
          <w:rFonts w:hint="cs"/>
          <w:rtl/>
        </w:rPr>
        <w:t xml:space="preserve"> מספר הלינות של ישראלים בבתי מלון עמד על כ-7.5 מיליון לינות בשנת 2020 לעומת כ-14.6 מיליון לינות בשנת 2019. בשנת 2021 חלה התאוששות משמעותית, ומספר הלינות של ישראלים בבתי מלון עמד על כ-15.6 מיליון</w:t>
      </w:r>
      <w:r w:rsidRPr="00530F59" w:rsidR="0036097F">
        <w:rPr>
          <w:rFonts w:hint="cs"/>
          <w:rtl/>
        </w:rPr>
        <w:t>.</w:t>
      </w:r>
      <w:r w:rsidRPr="00530F59"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1F2967">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35CCD030">
            <w:pPr>
              <w:spacing w:after="60" w:line="240" w:lineRule="auto"/>
              <w:rPr>
                <w:b/>
                <w:bCs/>
                <w:spacing w:val="-28"/>
                <w:rtl/>
              </w:rPr>
            </w:pPr>
            <w:r w:rsidRPr="00530F59">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67%</w:t>
            </w:r>
            <w:r>
              <w:rPr>
                <w:rFonts w:ascii="Tahoma" w:hAnsi="Tahoma" w:eastAsiaTheme="minorEastAsia" w:cs="Tahoma" w:hint="cs"/>
                <w:b/>
                <w:bCs/>
                <w:color w:val="0D0D0D" w:themeColor="text1" w:themeTint="F2"/>
                <w:spacing w:val="-10"/>
                <w:sz w:val="36"/>
                <w:szCs w:val="3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58BC1980">
            <w:pPr>
              <w:pStyle w:val="2021"/>
              <w:spacing w:before="0" w:after="60"/>
              <w:rPr>
                <w:spacing w:val="-10"/>
                <w:rtl/>
              </w:rPr>
            </w:pPr>
            <w:r w:rsidRPr="00530F59">
              <w:rPr>
                <w:rFonts w:hint="cs"/>
                <w:spacing w:val="-10"/>
                <w:sz w:val="26"/>
                <w:szCs w:val="26"/>
                <w:rtl/>
              </w:rPr>
              <w:t>כ-</w:t>
            </w:r>
            <w:r>
              <w:rPr>
                <w:rFonts w:hint="cs"/>
                <w:spacing w:val="-10"/>
                <w:rtl/>
              </w:rPr>
              <w:t xml:space="preserve">1.6 </w:t>
            </w:r>
            <w:r w:rsidRPr="00530F59">
              <w:rPr>
                <w:rFonts w:hint="cs"/>
                <w:spacing w:val="-10"/>
                <w:sz w:val="26"/>
                <w:szCs w:val="26"/>
                <w:rtl/>
              </w:rPr>
              <w:t>מיליון</w:t>
            </w:r>
            <w:r w:rsidRPr="00530F59">
              <w:rPr>
                <w:rFonts w:hint="cs"/>
                <w:spacing w:val="-10"/>
                <w:sz w:val="26"/>
                <w:szCs w:val="26"/>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26CCB7B4">
            <w:pPr>
              <w:pStyle w:val="2021"/>
              <w:spacing w:before="0" w:after="60"/>
              <w:rPr>
                <w:b w:val="0"/>
                <w:bCs w:val="0"/>
                <w:spacing w:val="-20"/>
                <w:sz w:val="24"/>
                <w:rtl/>
              </w:rPr>
            </w:pPr>
            <w:r w:rsidRPr="00530F59">
              <w:rPr>
                <w:rFonts w:hint="cs"/>
                <w:spacing w:val="-10"/>
                <w:sz w:val="26"/>
                <w:szCs w:val="26"/>
                <w:rtl/>
              </w:rPr>
              <w:t>כ-</w:t>
            </w:r>
            <w:r>
              <w:rPr>
                <w:rFonts w:hint="cs"/>
                <w:spacing w:val="-10"/>
                <w:rtl/>
              </w:rPr>
              <w:t>93%</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23A01BCF">
            <w:pPr>
              <w:pStyle w:val="2021"/>
              <w:spacing w:before="0" w:after="60"/>
              <w:rPr>
                <w:spacing w:val="-10"/>
                <w:rtl/>
              </w:rPr>
            </w:pPr>
            <w:r w:rsidRPr="00530F59">
              <w:rPr>
                <w:rFonts w:hint="cs"/>
                <w:spacing w:val="-10"/>
                <w:sz w:val="26"/>
                <w:szCs w:val="26"/>
                <w:rtl/>
              </w:rPr>
              <w:t>כ-</w:t>
            </w:r>
            <w:r>
              <w:rPr>
                <w:rFonts w:hint="cs"/>
                <w:spacing w:val="-10"/>
                <w:rtl/>
              </w:rPr>
              <w:t xml:space="preserve">256 </w:t>
            </w:r>
            <w:r w:rsidRPr="00530F59">
              <w:rPr>
                <w:rFonts w:hint="cs"/>
                <w:spacing w:val="-10"/>
                <w:sz w:val="26"/>
                <w:szCs w:val="26"/>
                <w:rtl/>
              </w:rPr>
              <w:t>מיליון ש״ח</w:t>
            </w:r>
            <w:r>
              <w:rPr>
                <w:rFonts w:hint="cs"/>
                <w:spacing w:val="-10"/>
                <w:rtl/>
              </w:rPr>
              <w:t xml:space="preserve"> </w:t>
            </w:r>
          </w:p>
        </w:tc>
      </w:tr>
      <w:tr w14:paraId="6DFAF81C" w14:textId="77777777" w:rsidTr="001F2967">
        <w:tblPrEx>
          <w:tblW w:w="5000" w:type="pct"/>
          <w:tblLook w:val="04A0"/>
        </w:tblPrEx>
        <w:tc>
          <w:tcPr>
            <w:tcW w:w="1164" w:type="pct"/>
            <w:tcBorders>
              <w:top w:val="single" w:sz="12" w:space="0" w:color="000000" w:themeColor="text1"/>
            </w:tcBorders>
          </w:tcPr>
          <w:p w:rsidR="001F2967" w:rsidRPr="00E52143" w:rsidP="001F2967" w14:paraId="1D96599A" w14:textId="01396A6D">
            <w:pPr>
              <w:pStyle w:val="732021"/>
              <w:spacing w:before="0"/>
              <w:rPr>
                <w:rtl/>
              </w:rPr>
            </w:pPr>
            <w:r w:rsidRPr="00567E56">
              <w:rPr>
                <w:rFonts w:hint="cs"/>
                <w:rtl/>
              </w:rPr>
              <w:t>שיעור הירידה בהכנסות המשק הישראלי מתיירות בשנת 2021, לעומת ההכנסות טרום משבר הקורונה בשנת 2019 (כ-14 מיליארד ש"ח לעומת כ-</w:t>
            </w:r>
            <w:bookmarkStart w:id="1" w:name="tempMark"/>
            <w:bookmarkEnd w:id="1"/>
            <w:r w:rsidRPr="00567E56">
              <w:rPr>
                <w:rFonts w:hint="cs"/>
                <w:rtl/>
              </w:rPr>
              <w:t xml:space="preserve">43 מיליארד ש"ח), לפי </w:t>
            </w:r>
            <w:r w:rsidRPr="00567E56">
              <w:rPr>
                <w:rFonts w:hint="cs"/>
                <w:rtl/>
              </w:rPr>
              <w:t>אומדני</w:t>
            </w:r>
            <w:r w:rsidRPr="00567E56">
              <w:rPr>
                <w:rFonts w:hint="cs"/>
                <w:rtl/>
              </w:rPr>
              <w:t xml:space="preserve"> משרד התיירות</w:t>
            </w:r>
          </w:p>
        </w:tc>
        <w:tc>
          <w:tcPr>
            <w:tcW w:w="161" w:type="pct"/>
          </w:tcPr>
          <w:p w:rsidR="001F2967" w:rsidRPr="00E52143" w:rsidP="001F2967" w14:paraId="2BF81D8C" w14:textId="77777777">
            <w:pPr>
              <w:pStyle w:val="732021"/>
              <w:spacing w:before="0"/>
              <w:rPr>
                <w:rtl/>
              </w:rPr>
            </w:pPr>
          </w:p>
        </w:tc>
        <w:tc>
          <w:tcPr>
            <w:tcW w:w="1038" w:type="pct"/>
            <w:tcBorders>
              <w:top w:val="single" w:sz="12" w:space="0" w:color="000000" w:themeColor="text1"/>
            </w:tcBorders>
          </w:tcPr>
          <w:p w:rsidR="001F2967" w:rsidRPr="00E52143" w:rsidP="001F2967" w14:paraId="68924AF7" w14:textId="34A6D9CC">
            <w:pPr>
              <w:pStyle w:val="732021"/>
              <w:spacing w:before="0"/>
              <w:rPr>
                <w:rtl/>
              </w:rPr>
            </w:pPr>
            <w:r w:rsidRPr="00567E56">
              <w:rPr>
                <w:rFonts w:hint="cs"/>
                <w:rtl/>
              </w:rPr>
              <w:t xml:space="preserve">מספר הנוסעים שעברו בנמל התעופה בן גוריון ממרץ 2020 עד מרץ 2021 לעומת </w:t>
            </w:r>
            <w:r w:rsidRPr="00567E56">
              <w:rPr>
                <w:rtl/>
              </w:rPr>
              <w:br/>
            </w:r>
            <w:r w:rsidRPr="00567E56">
              <w:rPr>
                <w:rFonts w:hint="cs"/>
                <w:rtl/>
              </w:rPr>
              <w:t xml:space="preserve">כ-24.2 מיליון נוסעים ממרץ 2019 עד מרץ 2020 </w:t>
            </w:r>
          </w:p>
        </w:tc>
        <w:tc>
          <w:tcPr>
            <w:tcW w:w="161" w:type="pct"/>
          </w:tcPr>
          <w:p w:rsidR="001F2967" w:rsidRPr="00E52143" w:rsidP="001F2967" w14:paraId="4F52CE08" w14:textId="77777777">
            <w:pPr>
              <w:pStyle w:val="732021"/>
              <w:spacing w:before="0"/>
              <w:rPr>
                <w:rtl/>
              </w:rPr>
            </w:pPr>
          </w:p>
        </w:tc>
        <w:tc>
          <w:tcPr>
            <w:tcW w:w="1151" w:type="pct"/>
            <w:tcBorders>
              <w:top w:val="single" w:sz="12" w:space="0" w:color="000000" w:themeColor="text1"/>
            </w:tcBorders>
          </w:tcPr>
          <w:p w:rsidR="001F2967" w:rsidRPr="00E52143" w:rsidP="001F2967" w14:paraId="203F9568" w14:textId="4CE4561F">
            <w:pPr>
              <w:pStyle w:val="732021"/>
              <w:spacing w:before="0"/>
              <w:rPr>
                <w:rtl/>
              </w:rPr>
            </w:pPr>
            <w:r w:rsidRPr="00567E56">
              <w:rPr>
                <w:rFonts w:hint="cs"/>
                <w:rtl/>
              </w:rPr>
              <w:t xml:space="preserve">מהסיוע הייחודי שהוקצה לתעשיית התיירות יועד </w:t>
            </w:r>
            <w:r w:rsidR="00B36AC3">
              <w:rPr>
                <w:rFonts w:hint="cs"/>
                <w:rtl/>
              </w:rPr>
              <w:t>לענף</w:t>
            </w:r>
            <w:r w:rsidRPr="00567E56">
              <w:rPr>
                <w:rFonts w:hint="cs"/>
                <w:rtl/>
              </w:rPr>
              <w:t xml:space="preserve"> התעופה (כ-946 מיליון ש"ח) ולבתי המלון (כ-450 מיליון ש"ח)</w:t>
            </w:r>
          </w:p>
        </w:tc>
        <w:tc>
          <w:tcPr>
            <w:tcW w:w="182" w:type="pct"/>
          </w:tcPr>
          <w:p w:rsidR="001F2967" w:rsidRPr="00E52143" w:rsidP="001F2967" w14:paraId="42538096" w14:textId="77777777">
            <w:pPr>
              <w:pStyle w:val="732021"/>
              <w:spacing w:before="0"/>
              <w:rPr>
                <w:rtl/>
              </w:rPr>
            </w:pPr>
          </w:p>
        </w:tc>
        <w:tc>
          <w:tcPr>
            <w:tcW w:w="1143" w:type="pct"/>
            <w:tcBorders>
              <w:top w:val="single" w:sz="12" w:space="0" w:color="000000" w:themeColor="text1"/>
            </w:tcBorders>
          </w:tcPr>
          <w:p w:rsidR="001F2967" w:rsidRPr="00E52143" w:rsidP="001F2967" w14:paraId="1878D11D" w14:textId="2B7986AF">
            <w:pPr>
              <w:pStyle w:val="732021"/>
              <w:spacing w:before="0"/>
              <w:rPr>
                <w:rtl/>
              </w:rPr>
            </w:pPr>
            <w:r w:rsidRPr="00567E56">
              <w:rPr>
                <w:rFonts w:hint="cs"/>
                <w:rtl/>
              </w:rPr>
              <w:t xml:space="preserve">שילמה המדינה עד סוף יוני 2022 עבור כ-1,240 בקשות סיוע של בתי מלון </w:t>
            </w:r>
            <w:r w:rsidRPr="00567E56" w:rsidR="00C872F0">
              <w:rPr>
                <w:rFonts w:hint="cs"/>
                <w:rtl/>
              </w:rPr>
              <w:t xml:space="preserve">(מתוך כ-1,450 בקשות תקינות) </w:t>
            </w:r>
            <w:r w:rsidRPr="00567E56">
              <w:rPr>
                <w:rFonts w:hint="cs"/>
                <w:rtl/>
              </w:rPr>
              <w:t>בגין ירידה בהכנסותיהם מיוני 2020 עד מאי 2021</w:t>
            </w:r>
          </w:p>
        </w:tc>
      </w:tr>
      <w:tr w14:paraId="1BD5A20C" w14:textId="77777777" w:rsidTr="001F2967">
        <w:tblPrEx>
          <w:tblW w:w="5000" w:type="pct"/>
          <w:tblLook w:val="04A0"/>
        </w:tblPrEx>
        <w:tc>
          <w:tcPr>
            <w:tcW w:w="1164" w:type="pct"/>
            <w:tcBorders>
              <w:bottom w:val="single" w:sz="12" w:space="0" w:color="000000" w:themeColor="text1"/>
            </w:tcBorders>
            <w:vAlign w:val="bottom"/>
          </w:tcPr>
          <w:p w:rsidR="00420374" w:rsidRPr="00411396" w:rsidP="001F2967" w14:paraId="500D3B50" w14:textId="44589841">
            <w:pPr>
              <w:spacing w:line="240" w:lineRule="auto"/>
              <w:jc w:val="left"/>
              <w:rPr>
                <w:rFonts w:ascii="Tahoma" w:hAnsi="Tahoma" w:eastAsiaTheme="minorEastAsia" w:cs="Tahoma"/>
                <w:b/>
                <w:bCs/>
                <w:color w:val="0D0D0D" w:themeColor="text1" w:themeTint="F2"/>
                <w:spacing w:val="-10"/>
                <w:sz w:val="36"/>
                <w:szCs w:val="36"/>
                <w:rtl/>
              </w:rPr>
            </w:pPr>
            <w:r w:rsidRPr="001F2967">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 xml:space="preserve">4 </w:t>
            </w:r>
            <w:r w:rsidRPr="001F2967">
              <w:rPr>
                <w:rFonts w:ascii="Tahoma" w:hAnsi="Tahoma" w:eastAsiaTheme="minorEastAsia" w:cs="Tahoma" w:hint="cs"/>
                <w:b/>
                <w:bCs/>
                <w:color w:val="0D0D0D" w:themeColor="text1" w:themeTint="F2"/>
                <w:spacing w:val="-10"/>
                <w:sz w:val="26"/>
                <w:szCs w:val="26"/>
                <w:rtl/>
              </w:rPr>
              <w:t>עד</w:t>
            </w:r>
            <w:r>
              <w:rPr>
                <w:rFonts w:ascii="Tahoma" w:hAnsi="Tahoma" w:eastAsiaTheme="minorEastAsia" w:cs="Tahoma" w:hint="cs"/>
                <w:b/>
                <w:bCs/>
                <w:color w:val="0D0D0D" w:themeColor="text1" w:themeTint="F2"/>
                <w:spacing w:val="-10"/>
                <w:sz w:val="36"/>
                <w:szCs w:val="36"/>
                <w:rtl/>
              </w:rPr>
              <w:t xml:space="preserve"> 14 </w:t>
            </w:r>
            <w:r w:rsidRPr="001F2967">
              <w:rPr>
                <w:rFonts w:ascii="Tahoma" w:hAnsi="Tahoma" w:eastAsiaTheme="minorEastAsia" w:cs="Tahoma" w:hint="cs"/>
                <w:b/>
                <w:bCs/>
                <w:color w:val="0D0D0D" w:themeColor="text1" w:themeTint="F2"/>
                <w:spacing w:val="-10"/>
                <w:sz w:val="26"/>
                <w:szCs w:val="26"/>
                <w:rtl/>
              </w:rPr>
              <w:t>חודשים</w:t>
            </w:r>
          </w:p>
        </w:tc>
        <w:tc>
          <w:tcPr>
            <w:tcW w:w="161" w:type="pct"/>
            <w:vAlign w:val="bottom"/>
          </w:tcPr>
          <w:p w:rsidR="00420374" w:rsidRPr="00E52143" w:rsidP="001F2967"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P="001F2967" w14:paraId="48896DF7" w14:textId="7E3E9B45">
            <w:pPr>
              <w:pStyle w:val="2021"/>
              <w:spacing w:before="0" w:after="60"/>
              <w:rPr>
                <w:spacing w:val="-10"/>
                <w:rtl/>
              </w:rPr>
            </w:pPr>
            <w:r w:rsidRPr="001F2967">
              <w:rPr>
                <w:rFonts w:hint="cs"/>
                <w:spacing w:val="-10"/>
                <w:sz w:val="26"/>
                <w:szCs w:val="26"/>
                <w:rtl/>
              </w:rPr>
              <w:t>כ-</w:t>
            </w:r>
            <w:r>
              <w:rPr>
                <w:rFonts w:hint="cs"/>
                <w:spacing w:val="-10"/>
                <w:rtl/>
              </w:rPr>
              <w:t xml:space="preserve">60 </w:t>
            </w:r>
            <w:r w:rsidRPr="001F2967">
              <w:rPr>
                <w:rFonts w:hint="cs"/>
                <w:spacing w:val="-10"/>
                <w:sz w:val="26"/>
                <w:szCs w:val="26"/>
                <w:rtl/>
              </w:rPr>
              <w:t>מיליון ש״ח</w:t>
            </w:r>
          </w:p>
        </w:tc>
        <w:tc>
          <w:tcPr>
            <w:tcW w:w="161" w:type="pct"/>
            <w:vAlign w:val="bottom"/>
          </w:tcPr>
          <w:p w:rsidR="00420374" w:rsidP="001F2967" w14:paraId="5B4C8A80" w14:textId="77777777">
            <w:pPr>
              <w:spacing w:after="120" w:line="240" w:lineRule="auto"/>
              <w:jc w:val="left"/>
              <w:rPr>
                <w:rtl/>
              </w:rPr>
            </w:pPr>
          </w:p>
        </w:tc>
        <w:tc>
          <w:tcPr>
            <w:tcW w:w="1151" w:type="pct"/>
            <w:tcBorders>
              <w:bottom w:val="single" w:sz="12" w:space="0" w:color="000000" w:themeColor="text1"/>
            </w:tcBorders>
            <w:vAlign w:val="bottom"/>
          </w:tcPr>
          <w:p w:rsidR="00420374" w:rsidRPr="0062456C" w:rsidP="001F2967" w14:paraId="226A2E50" w14:textId="007A35FB">
            <w:pPr>
              <w:spacing w:after="60" w:line="192" w:lineRule="auto"/>
              <w:jc w:val="left"/>
              <w:rPr>
                <w:rFonts w:ascii="Tahoma" w:hAnsi="Tahoma" w:eastAsiaTheme="minorEastAsia" w:cs="Tahoma"/>
                <w:b/>
                <w:bCs/>
                <w:color w:val="0D0D0D" w:themeColor="text1" w:themeTint="F2"/>
                <w:spacing w:val="-10"/>
                <w:sz w:val="36"/>
                <w:szCs w:val="36"/>
                <w:rtl/>
              </w:rPr>
            </w:pPr>
            <w:r w:rsidRPr="001F2967">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16%</w:t>
            </w:r>
          </w:p>
        </w:tc>
        <w:tc>
          <w:tcPr>
            <w:tcW w:w="182" w:type="pct"/>
          </w:tcPr>
          <w:p w:rsidR="00420374" w:rsidP="001F2967"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P="001F2967" w14:paraId="5AEEF263" w14:textId="355E0F9D">
            <w:pPr>
              <w:spacing w:after="60" w:line="240" w:lineRule="auto"/>
              <w:jc w:val="left"/>
              <w:rPr>
                <w:rFonts w:ascii="Tahoma" w:hAnsi="Tahoma" w:eastAsiaTheme="minorEastAsia" w:cs="Tahoma"/>
                <w:b/>
                <w:bCs/>
                <w:color w:val="0D0D0D" w:themeColor="text1" w:themeTint="F2"/>
                <w:spacing w:val="-10"/>
                <w:sz w:val="36"/>
                <w:szCs w:val="36"/>
                <w:rtl/>
              </w:rPr>
            </w:pPr>
            <w:r w:rsidRPr="001F2967">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 xml:space="preserve">6.2 </w:t>
            </w:r>
            <w:r w:rsidRPr="001F2967">
              <w:rPr>
                <w:rFonts w:ascii="Tahoma" w:hAnsi="Tahoma" w:eastAsiaTheme="minorEastAsia" w:cs="Tahoma" w:hint="cs"/>
                <w:b/>
                <w:bCs/>
                <w:color w:val="0D0D0D" w:themeColor="text1" w:themeTint="F2"/>
                <w:spacing w:val="-10"/>
                <w:sz w:val="26"/>
                <w:szCs w:val="26"/>
                <w:rtl/>
              </w:rPr>
              <w:t>מיליון ש״ח</w:t>
            </w:r>
          </w:p>
        </w:tc>
      </w:tr>
      <w:tr w14:paraId="54154FA5" w14:textId="77777777" w:rsidTr="001F2967">
        <w:tblPrEx>
          <w:tblW w:w="5000" w:type="pct"/>
          <w:tblLook w:val="04A0"/>
        </w:tblPrEx>
        <w:tc>
          <w:tcPr>
            <w:tcW w:w="1164" w:type="pct"/>
            <w:tcBorders>
              <w:top w:val="single" w:sz="12" w:space="0" w:color="000000" w:themeColor="text1"/>
            </w:tcBorders>
          </w:tcPr>
          <w:p w:rsidR="001F2967" w:rsidRPr="004562F8" w:rsidP="001F2967" w14:paraId="6DB67748" w14:textId="6EF81BFD">
            <w:pPr>
              <w:pStyle w:val="732021"/>
              <w:spacing w:before="0" w:after="0"/>
              <w:rPr>
                <w:rtl/>
              </w:rPr>
            </w:pPr>
            <w:r w:rsidRPr="00567E56">
              <w:rPr>
                <w:rFonts w:hint="cs"/>
                <w:rtl/>
              </w:rPr>
              <w:t>העיכוב בחלוקת הסיוע הייחודי לבתי המלון לאחר סוף</w:t>
            </w:r>
            <w:r w:rsidRPr="00567E56">
              <w:rPr>
                <w:rtl/>
              </w:rPr>
              <w:t xml:space="preserve"> התקופה שבגינה יועד הסיוע</w:t>
            </w:r>
            <w:r w:rsidRPr="00567E56">
              <w:rPr>
                <w:rFonts w:hint="cs"/>
                <w:rtl/>
              </w:rPr>
              <w:t>, נכון למועד סיום הביקורת (נובמבר 2022)</w:t>
            </w:r>
          </w:p>
        </w:tc>
        <w:tc>
          <w:tcPr>
            <w:tcW w:w="161" w:type="pct"/>
          </w:tcPr>
          <w:p w:rsidR="001F2967" w:rsidRPr="008D750B" w:rsidP="001F2967" w14:paraId="0C0AE598" w14:textId="77777777">
            <w:pPr>
              <w:pStyle w:val="732021"/>
              <w:spacing w:before="0" w:after="0"/>
              <w:rPr>
                <w:rtl/>
              </w:rPr>
            </w:pPr>
          </w:p>
        </w:tc>
        <w:tc>
          <w:tcPr>
            <w:tcW w:w="1038" w:type="pct"/>
            <w:tcBorders>
              <w:top w:val="single" w:sz="12" w:space="0" w:color="000000" w:themeColor="text1"/>
            </w:tcBorders>
          </w:tcPr>
          <w:p w:rsidR="001F2967" w:rsidRPr="004562F8" w:rsidP="001F2967" w14:paraId="1916A301" w14:textId="7C59073E">
            <w:pPr>
              <w:pStyle w:val="732021"/>
              <w:spacing w:before="0" w:after="0"/>
              <w:rPr>
                <w:rtl/>
              </w:rPr>
            </w:pPr>
            <w:r w:rsidRPr="00567E56">
              <w:rPr>
                <w:rFonts w:hint="cs"/>
                <w:rtl/>
              </w:rPr>
              <w:t>סכום הסיוע הייחודי שהמדינה העניקה לשלוש רשתות המלונות הגדולות בישראל בשנים 2020 - 2021, ונחיצותו מוטלת בספק בדיעבד</w:t>
            </w:r>
          </w:p>
        </w:tc>
        <w:tc>
          <w:tcPr>
            <w:tcW w:w="161" w:type="pct"/>
          </w:tcPr>
          <w:p w:rsidR="001F2967" w:rsidP="001F2967" w14:paraId="14782C57" w14:textId="77777777">
            <w:pPr>
              <w:pStyle w:val="732021"/>
              <w:spacing w:before="0" w:after="0"/>
              <w:rPr>
                <w:rtl/>
              </w:rPr>
            </w:pPr>
          </w:p>
        </w:tc>
        <w:tc>
          <w:tcPr>
            <w:tcW w:w="1151" w:type="pct"/>
            <w:tcBorders>
              <w:top w:val="single" w:sz="12" w:space="0" w:color="000000" w:themeColor="text1"/>
            </w:tcBorders>
          </w:tcPr>
          <w:p w:rsidR="001F2967" w:rsidRPr="0062456C" w:rsidP="001F2967" w14:paraId="6149CA50" w14:textId="55C238BA">
            <w:pPr>
              <w:pStyle w:val="732021"/>
              <w:spacing w:before="0" w:after="0"/>
              <w:rPr>
                <w:rtl/>
              </w:rPr>
            </w:pPr>
            <w:r w:rsidRPr="00567E56">
              <w:rPr>
                <w:rFonts w:hint="cs"/>
                <w:rtl/>
              </w:rPr>
              <w:t>שיעור מורי הדרך שקיבלו סיוע ייחודי במסגרת הסיורים שהפעיל משרד התיירות מנובמבר 2020 עד דצמבר 2021 מתוך סך מורי הדרך הרשומים במשרד (1,322 מתוך 8,377)</w:t>
            </w:r>
          </w:p>
        </w:tc>
        <w:tc>
          <w:tcPr>
            <w:tcW w:w="182" w:type="pct"/>
          </w:tcPr>
          <w:p w:rsidR="001F2967" w:rsidRPr="00C92141" w:rsidP="001F2967" w14:paraId="66E34E8E" w14:textId="77777777">
            <w:pPr>
              <w:pStyle w:val="732021"/>
              <w:spacing w:before="0" w:after="0"/>
              <w:rPr>
                <w:rtl/>
              </w:rPr>
            </w:pPr>
          </w:p>
        </w:tc>
        <w:tc>
          <w:tcPr>
            <w:tcW w:w="1143" w:type="pct"/>
            <w:tcBorders>
              <w:top w:val="single" w:sz="12" w:space="0" w:color="000000" w:themeColor="text1"/>
            </w:tcBorders>
          </w:tcPr>
          <w:p w:rsidR="001F2967" w:rsidRPr="00C92141" w:rsidP="001F2967" w14:paraId="39498237" w14:textId="08C011F4">
            <w:pPr>
              <w:pStyle w:val="732021"/>
              <w:spacing w:before="0" w:after="0"/>
              <w:rPr>
                <w:rtl/>
              </w:rPr>
            </w:pPr>
            <w:r w:rsidRPr="00567E56">
              <w:rPr>
                <w:rFonts w:hint="cs"/>
                <w:rtl/>
              </w:rPr>
              <w:t>היקף הסיוע הייחודי הכולל ששולם מנובמבר 2020 עד דצמבר 2021 למורי הדרך; כ-300 ש"ח לחודש בממוצע לכל מורה דרך</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1F2967" w:rsidP="00420374" w14:paraId="2D449D06" w14:textId="4B4F19DB">
      <w:pPr>
        <w:pStyle w:val="7317"/>
        <w:rPr>
          <w:rtl/>
        </w:rPr>
      </w:pPr>
      <w:r w:rsidRPr="001F3363">
        <w:rPr>
          <w:noProof/>
        </w:rPr>
        <w:drawing>
          <wp:anchor distT="0" distB="0" distL="114300" distR="114300" simplePos="0" relativeHeight="25168588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E56">
        <w:rPr>
          <w:rFonts w:hint="cs"/>
          <w:rtl/>
        </w:rPr>
        <w:t xml:space="preserve">בשנים 2020 עד 2021 פרסם מבקר המדינה 23 דוחות ביקורת שבחנו מגוון רחב של נושאים הנוגעים להתמודדות מדינת ישראל עם משבר הקורונה כדי לסייע למדינה לטייב את התמודדותה עם המשבר עוד במהלכו וכן לשפר את היערכותה למשברים עתידיים. הביקורת הנוכחית, שבוצעה בחודשים פברואר עד נובמבר 2022, בחנה היבטים שונים הנוגעים לסיוע הייחודי שניתן לתעשיית התיירות במשבר הקורונה ולאופן מימושו בעיקר בשנים 2021 ו-2022, תקופה שבה מרבית המשק הישראלי חזר לפעילות סדירה, והעומס </w:t>
      </w:r>
      <w:r w:rsidRPr="00567E56">
        <w:rPr>
          <w:rFonts w:hint="cs"/>
          <w:rtl/>
        </w:rPr>
        <w:t>שהיה מוטל על מקבלי ההחלטות מבחינת ההתמודדות המערכתית והדחופה עם המשבר פחת במידה ניכרת לעומת שנת 2020. כן נבדקו נושאים הנוגעים לפעילות משרד התיירות בשגרה שיש להם השפעה על היערכות מדינת ישראל למצבי חירום בתעשיית התיירות ועל מיצוי הפוטנציאל הגלום בתעשייה לאחר התאוששותה ממשבר</w:t>
      </w:r>
      <w:r>
        <w:rPr>
          <w:rFonts w:hint="cs"/>
          <w:rtl/>
        </w:rPr>
        <w:t>.</w:t>
      </w:r>
    </w:p>
    <w:p w:rsidR="00420374" w:rsidP="00420374" w14:paraId="0AF4CED3" w14:textId="6C6E7315">
      <w:pPr>
        <w:pStyle w:val="7317"/>
        <w:rPr>
          <w:rtl/>
        </w:rPr>
      </w:pPr>
      <w:r w:rsidRPr="00567E56">
        <w:rPr>
          <w:rFonts w:hint="cs"/>
          <w:rtl/>
        </w:rPr>
        <w:t>הבדיקה בוצעה במשרדי התיירות והאוצר ובלשכה המרכזית לסטטיסטיקה (</w:t>
      </w:r>
      <w:r w:rsidRPr="00567E56">
        <w:rPr>
          <w:rFonts w:hint="cs"/>
          <w:rtl/>
        </w:rPr>
        <w:t>הלמ"ס</w:t>
      </w:r>
      <w:r w:rsidRPr="00567E56">
        <w:rPr>
          <w:rFonts w:hint="cs"/>
          <w:rtl/>
        </w:rPr>
        <w:t>). בירורי השלמה התקיימו ברשות המיסים בישראל, ברשות הטבע והגנים (</w:t>
      </w:r>
      <w:r w:rsidRPr="00567E56">
        <w:rPr>
          <w:rFonts w:hint="cs"/>
          <w:rtl/>
        </w:rPr>
        <w:t>רט"ג</w:t>
      </w:r>
      <w:r w:rsidRPr="00567E56">
        <w:rPr>
          <w:rFonts w:hint="cs"/>
          <w:rtl/>
        </w:rPr>
        <w:t>), במשרד הכלכלה והתעשייה, בבנק ישראל, במוסד לביטוח לאומי, במשרדי המשפטים, התחבורה והבטיחות בדרכים וירושלים ומורשת</w:t>
      </w:r>
      <w:r>
        <w:rPr>
          <w:rFonts w:hint="cs"/>
          <w:rtl/>
        </w:rPr>
        <w:t>.</w:t>
      </w:r>
      <w:r w:rsidRPr="001F3363">
        <w:rPr>
          <w:rFonts w:hint="cs"/>
          <w:rtl/>
        </w:rPr>
        <w:t xml:space="preserve"> </w:t>
      </w:r>
    </w:p>
    <w:p w:rsidR="002753C7" w:rsidRPr="00662020" w:rsidP="002753C7" w14:paraId="690F076D" w14:textId="1D83207D">
      <w:pPr>
        <w:pStyle w:val="7327"/>
        <w:rPr>
          <w:rtl/>
        </w:rPr>
      </w:pPr>
      <w:r w:rsidRPr="00662020">
        <w:rPr>
          <w:rFonts w:hint="cs"/>
          <w:rtl/>
        </w:rPr>
        <w:t>תמונת המצב העולה מן הביקורת</w:t>
      </w:r>
    </w:p>
    <w:p w:rsidR="002753C7" w:rsidRPr="001F3363" w:rsidP="00420374" w14:paraId="0B2F822B" w14:textId="4A821987">
      <w:pPr>
        <w:pStyle w:val="7317"/>
        <w:rPr>
          <w:rtl/>
        </w:rPr>
      </w:pPr>
      <w:r w:rsidRPr="00362C00">
        <w:rPr>
          <w:noProof/>
          <w:rtl/>
        </w:rPr>
        <w:drawing>
          <wp:anchor distT="0" distB="0" distL="114300" distR="114300" simplePos="0" relativeHeight="251686912" behindDoc="0" locked="0" layoutInCell="1" allowOverlap="1">
            <wp:simplePos x="0" y="0"/>
            <wp:positionH relativeFrom="column">
              <wp:posOffset>2563404</wp:posOffset>
            </wp:positionH>
            <wp:positionV relativeFrom="paragraph">
              <wp:posOffset>14605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1F2967" w:rsidRPr="00567E56" w:rsidP="00F87E1F" w14:paraId="76A06630" w14:textId="77777777">
      <w:pPr>
        <w:pStyle w:val="ListParagraph"/>
        <w:spacing w:after="180" w:line="288" w:lineRule="auto"/>
        <w:ind w:left="-426"/>
        <w:contextualSpacing w:val="0"/>
        <w:rPr>
          <w:rFonts w:ascii="Tahoma" w:hAnsi="Tahoma" w:cs="Tahoma"/>
          <w:color w:val="0D0D0D" w:themeColor="text1" w:themeTint="F2"/>
          <w:sz w:val="18"/>
          <w:szCs w:val="18"/>
        </w:rPr>
      </w:pPr>
      <w:r w:rsidRPr="00E00FEF">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00FEF">
        <w:rPr>
          <w:rFonts w:ascii="Tahoma" w:hAnsi="Tahoma" w:cs="Tahoma" w:hint="cs"/>
          <w:b/>
          <w:bCs/>
          <w:color w:val="0D0D0D" w:themeColor="text1" w:themeTint="F2"/>
          <w:sz w:val="18"/>
          <w:szCs w:val="18"/>
          <w:rtl/>
        </w:rPr>
        <w:t>הסיוע הייחודי לבתי המלון</w:t>
      </w:r>
      <w:r w:rsidRPr="00567E56">
        <w:rPr>
          <w:rFonts w:ascii="Tahoma" w:hAnsi="Tahoma" w:cs="Tahoma" w:hint="cs"/>
          <w:color w:val="0D0D0D" w:themeColor="text1" w:themeTint="F2"/>
          <w:sz w:val="18"/>
          <w:szCs w:val="18"/>
          <w:rtl/>
        </w:rPr>
        <w:t xml:space="preserve"> - </w:t>
      </w:r>
      <w:r w:rsidRPr="00567E56">
        <w:rPr>
          <w:rFonts w:ascii="Tahoma" w:hAnsi="Tahoma" w:cs="Tahoma"/>
          <w:color w:val="0D0D0D" w:themeColor="text1" w:themeTint="F2"/>
          <w:sz w:val="18"/>
          <w:szCs w:val="18"/>
          <w:rtl/>
        </w:rPr>
        <w:t>באוגוסט ו</w:t>
      </w:r>
      <w:r w:rsidRPr="00567E56">
        <w:rPr>
          <w:rFonts w:ascii="Tahoma" w:hAnsi="Tahoma" w:cs="Tahoma" w:hint="cs"/>
          <w:color w:val="0D0D0D" w:themeColor="text1" w:themeTint="F2"/>
          <w:sz w:val="18"/>
          <w:szCs w:val="18"/>
          <w:rtl/>
        </w:rPr>
        <w:t>ב</w:t>
      </w:r>
      <w:r w:rsidRPr="00567E56">
        <w:rPr>
          <w:rFonts w:ascii="Tahoma" w:hAnsi="Tahoma" w:cs="Tahoma"/>
          <w:color w:val="0D0D0D" w:themeColor="text1" w:themeTint="F2"/>
          <w:sz w:val="18"/>
          <w:szCs w:val="18"/>
          <w:rtl/>
        </w:rPr>
        <w:t>אוקטובר 2020 החליטה הממשלה להעניק סיוע ייחודי ל</w:t>
      </w:r>
      <w:r w:rsidRPr="00567E56">
        <w:rPr>
          <w:rFonts w:ascii="Tahoma" w:hAnsi="Tahoma" w:cs="Tahoma" w:hint="cs"/>
          <w:color w:val="0D0D0D" w:themeColor="text1" w:themeTint="F2"/>
          <w:sz w:val="18"/>
          <w:szCs w:val="18"/>
          <w:rtl/>
        </w:rPr>
        <w:t>ב</w:t>
      </w:r>
      <w:r w:rsidRPr="00567E56">
        <w:rPr>
          <w:rFonts w:ascii="Tahoma" w:hAnsi="Tahoma" w:cs="Tahoma"/>
          <w:color w:val="0D0D0D" w:themeColor="text1" w:themeTint="F2"/>
          <w:sz w:val="18"/>
          <w:szCs w:val="18"/>
          <w:rtl/>
        </w:rPr>
        <w:t>תי המלון בסך כ</w:t>
      </w:r>
      <w:r w:rsidRPr="00567E56">
        <w:rPr>
          <w:rFonts w:ascii="Tahoma" w:hAnsi="Tahoma" w:cs="Tahoma" w:hint="cs"/>
          <w:color w:val="0D0D0D" w:themeColor="text1" w:themeTint="F2"/>
          <w:sz w:val="18"/>
          <w:szCs w:val="18"/>
          <w:rtl/>
        </w:rPr>
        <w:t>ו</w:t>
      </w:r>
      <w:r w:rsidRPr="00567E56">
        <w:rPr>
          <w:rFonts w:ascii="Tahoma" w:hAnsi="Tahoma" w:cs="Tahoma"/>
          <w:color w:val="0D0D0D" w:themeColor="text1" w:themeTint="F2"/>
          <w:sz w:val="18"/>
          <w:szCs w:val="18"/>
          <w:rtl/>
        </w:rPr>
        <w:t>לל של עד 300 מיליון ש"ח</w:t>
      </w:r>
      <w:r w:rsidRPr="00567E56">
        <w:rPr>
          <w:rFonts w:ascii="Tahoma" w:hAnsi="Tahoma" w:cs="Tahoma" w:hint="cs"/>
          <w:color w:val="0D0D0D" w:themeColor="text1" w:themeTint="F2"/>
          <w:sz w:val="18"/>
          <w:szCs w:val="18"/>
          <w:rtl/>
        </w:rPr>
        <w:t>.</w:t>
      </w:r>
      <w:r w:rsidRPr="00567E56">
        <w:rPr>
          <w:rFonts w:ascii="Tahoma" w:hAnsi="Tahoma" w:cs="Tahoma"/>
          <w:color w:val="0D0D0D" w:themeColor="text1" w:themeTint="F2"/>
          <w:sz w:val="18"/>
          <w:szCs w:val="18"/>
          <w:rtl/>
        </w:rPr>
        <w:t xml:space="preserve"> בדצמבר 2021 החליטה </w:t>
      </w:r>
      <w:r w:rsidRPr="00567E56">
        <w:rPr>
          <w:rFonts w:ascii="Tahoma" w:hAnsi="Tahoma" w:cs="Tahoma" w:hint="cs"/>
          <w:color w:val="0D0D0D" w:themeColor="text1" w:themeTint="F2"/>
          <w:sz w:val="18"/>
          <w:szCs w:val="18"/>
          <w:rtl/>
        </w:rPr>
        <w:t xml:space="preserve">הממשלה </w:t>
      </w:r>
      <w:r w:rsidRPr="00567E56">
        <w:rPr>
          <w:rFonts w:ascii="Tahoma" w:hAnsi="Tahoma" w:cs="Tahoma"/>
          <w:color w:val="0D0D0D" w:themeColor="text1" w:themeTint="F2"/>
          <w:sz w:val="18"/>
          <w:szCs w:val="18"/>
          <w:rtl/>
        </w:rPr>
        <w:t>להרחיב את הסיוע הייחודי ב-150 מיליון ש"ח נוספים</w:t>
      </w:r>
      <w:r w:rsidRPr="00567E56">
        <w:rPr>
          <w:rFonts w:ascii="Tahoma" w:hAnsi="Tahoma" w:cs="Tahoma" w:hint="cs"/>
          <w:color w:val="0D0D0D" w:themeColor="text1" w:themeTint="F2"/>
          <w:sz w:val="18"/>
          <w:szCs w:val="18"/>
          <w:rtl/>
        </w:rPr>
        <w:t>. תכלית החלטות הממשלה הייתה למנוע סגירה של בתי מלון כתוצאה ממשבר הקורונה.</w:t>
      </w:r>
    </w:p>
    <w:p w:rsidR="001F2967" w:rsidRPr="00567E56" w14:paraId="027D4411" w14:textId="1D733871">
      <w:pPr>
        <w:pStyle w:val="ListParagraph"/>
        <w:numPr>
          <w:ilvl w:val="0"/>
          <w:numId w:val="10"/>
        </w:numPr>
        <w:spacing w:after="180" w:line="288" w:lineRule="auto"/>
        <w:contextualSpacing w:val="0"/>
        <w:rPr>
          <w:rFonts w:ascii="Tahoma" w:hAnsi="Tahoma" w:cs="Tahoma"/>
          <w:color w:val="0D0D0D" w:themeColor="text1" w:themeTint="F2"/>
          <w:sz w:val="18"/>
          <w:szCs w:val="18"/>
        </w:rPr>
      </w:pPr>
      <w:r w:rsidRPr="00E00FEF">
        <w:rPr>
          <w:rFonts w:ascii="Tahoma" w:hAnsi="Tahoma" w:cs="Tahoma" w:hint="cs"/>
          <w:b/>
          <w:bCs/>
          <w:color w:val="0D0D0D" w:themeColor="text1" w:themeTint="F2"/>
          <w:sz w:val="18"/>
          <w:szCs w:val="18"/>
          <w:rtl/>
        </w:rPr>
        <w:t>מועדי חלוקת כספי הסיוע הייחודי</w:t>
      </w:r>
      <w:r w:rsidRPr="00567E56">
        <w:rPr>
          <w:rFonts w:ascii="Tahoma" w:hAnsi="Tahoma" w:cs="Tahoma" w:hint="cs"/>
          <w:color w:val="0D0D0D" w:themeColor="text1" w:themeTint="F2"/>
          <w:sz w:val="18"/>
          <w:szCs w:val="18"/>
          <w:rtl/>
        </w:rPr>
        <w:t xml:space="preserve"> - בשנת 2015 קבעה הממשלה אמת מידה של כחודש להתחלת מתן סיוע לתעשיית התיירות מפרוץ מצב חירום. פרק הזמן שבו הוענק הסיוע הייחודי לבתי המלון בסך של</w:t>
      </w:r>
      <w:r w:rsidR="00B36AC3">
        <w:rPr>
          <w:rFonts w:ascii="Tahoma" w:hAnsi="Tahoma" w:cs="Tahoma" w:hint="cs"/>
          <w:color w:val="0D0D0D" w:themeColor="text1" w:themeTint="F2"/>
          <w:sz w:val="18"/>
          <w:szCs w:val="18"/>
          <w:rtl/>
        </w:rPr>
        <w:t xml:space="preserve"> עד</w:t>
      </w:r>
      <w:r w:rsidRPr="00567E56">
        <w:rPr>
          <w:rFonts w:ascii="Tahoma" w:hAnsi="Tahoma" w:cs="Tahoma" w:hint="cs"/>
          <w:color w:val="0D0D0D" w:themeColor="text1" w:themeTint="F2"/>
          <w:sz w:val="18"/>
          <w:szCs w:val="18"/>
          <w:rtl/>
        </w:rPr>
        <w:t xml:space="preserve"> כ-300 מיליון ש"ח במשבר הקורונה נע במועד סיום הביקורת (נובמבר 2022) בין ארבעה חודשים לשנה וחודשיים ממועד סיום התקופות שבגינן ניתן הסיוע. כמו כן </w:t>
      </w:r>
      <w:r w:rsidRPr="00567E56">
        <w:rPr>
          <w:rFonts w:ascii="Tahoma" w:hAnsi="Tahoma" w:cs="Tahoma"/>
          <w:color w:val="0D0D0D" w:themeColor="text1" w:themeTint="F2"/>
          <w:sz w:val="18"/>
          <w:szCs w:val="18"/>
          <w:rtl/>
        </w:rPr>
        <w:t>עד מחצית נובמבר 2022, כמעט שנה לאחר סוף התקופה שבגינה יועד הסיוע</w:t>
      </w:r>
      <w:r w:rsidRPr="00567E56">
        <w:rPr>
          <w:rFonts w:ascii="Tahoma" w:hAnsi="Tahoma" w:cs="Tahoma" w:hint="cs"/>
          <w:color w:val="0D0D0D" w:themeColor="text1" w:themeTint="F2"/>
          <w:sz w:val="18"/>
          <w:szCs w:val="18"/>
          <w:rtl/>
        </w:rPr>
        <w:t>,</w:t>
      </w:r>
      <w:r w:rsidRPr="00567E56">
        <w:rPr>
          <w:rFonts w:ascii="Tahoma" w:hAnsi="Tahoma" w:cs="Tahoma"/>
          <w:color w:val="0D0D0D" w:themeColor="text1" w:themeTint="F2"/>
          <w:sz w:val="18"/>
          <w:szCs w:val="18"/>
          <w:rtl/>
        </w:rPr>
        <w:t xml:space="preserve"> לא החל משרד התיירות לשלם </w:t>
      </w:r>
      <w:r w:rsidRPr="00567E56">
        <w:rPr>
          <w:rFonts w:ascii="Tahoma" w:hAnsi="Tahoma" w:cs="Tahoma" w:hint="cs"/>
          <w:color w:val="0D0D0D" w:themeColor="text1" w:themeTint="F2"/>
          <w:sz w:val="18"/>
          <w:szCs w:val="18"/>
          <w:rtl/>
        </w:rPr>
        <w:t>את</w:t>
      </w:r>
      <w:r w:rsidRPr="00567E56">
        <w:rPr>
          <w:rFonts w:ascii="Tahoma" w:hAnsi="Tahoma" w:cs="Tahoma"/>
          <w:color w:val="0D0D0D" w:themeColor="text1" w:themeTint="F2"/>
          <w:sz w:val="18"/>
          <w:szCs w:val="18"/>
          <w:rtl/>
        </w:rPr>
        <w:t xml:space="preserve"> הסיוע הייחודי הנוסף בהיקף של עד 150 מיליון ש"ח.</w:t>
      </w:r>
      <w:r w:rsidRPr="00567E56">
        <w:rPr>
          <w:rFonts w:ascii="Tahoma" w:hAnsi="Tahoma" w:cs="Tahoma" w:hint="cs"/>
          <w:color w:val="0D0D0D" w:themeColor="text1" w:themeTint="F2"/>
          <w:sz w:val="18"/>
          <w:szCs w:val="18"/>
          <w:rtl/>
        </w:rPr>
        <w:t xml:space="preserve"> מדובר בעיכוב חריג שמשקף פיגור בלתי תקין ושפוגע במימוש מיטבי של תכלית החלטת הממשלה ואף באפקטיביות הסיוע שמוענק.</w:t>
      </w:r>
    </w:p>
    <w:p w:rsidR="001F2967" w:rsidRPr="00567E56" w14:paraId="1AA8E0C6" w14:textId="77777777">
      <w:pPr>
        <w:pStyle w:val="ListParagraph"/>
        <w:numPr>
          <w:ilvl w:val="0"/>
          <w:numId w:val="10"/>
        </w:numPr>
        <w:spacing w:after="180" w:line="288" w:lineRule="auto"/>
        <w:contextualSpacing w:val="0"/>
        <w:rPr>
          <w:rFonts w:ascii="Tahoma" w:hAnsi="Tahoma" w:cs="Tahoma"/>
          <w:color w:val="0D0D0D" w:themeColor="text1" w:themeTint="F2"/>
          <w:sz w:val="18"/>
          <w:szCs w:val="18"/>
        </w:rPr>
      </w:pPr>
      <w:r w:rsidRPr="00E00FEF">
        <w:rPr>
          <w:rFonts w:ascii="Tahoma" w:hAnsi="Tahoma" w:cs="Tahoma" w:hint="cs"/>
          <w:b/>
          <w:bCs/>
          <w:color w:val="0D0D0D" w:themeColor="text1" w:themeTint="F2"/>
          <w:sz w:val="18"/>
          <w:szCs w:val="18"/>
          <w:rtl/>
        </w:rPr>
        <w:t xml:space="preserve">השקעות </w:t>
      </w:r>
      <w:r w:rsidRPr="00E00FEF">
        <w:rPr>
          <w:rFonts w:ascii="Tahoma" w:hAnsi="Tahoma" w:cs="Tahoma"/>
          <w:b/>
          <w:bCs/>
          <w:color w:val="0D0D0D" w:themeColor="text1" w:themeTint="F2"/>
          <w:sz w:val="18"/>
          <w:szCs w:val="18"/>
          <w:rtl/>
        </w:rPr>
        <w:t>הממשלה בבתי המלון</w:t>
      </w:r>
      <w:r w:rsidRPr="00E00FEF">
        <w:rPr>
          <w:rFonts w:ascii="Tahoma" w:hAnsi="Tahoma" w:cs="Tahoma" w:hint="cs"/>
          <w:b/>
          <w:bCs/>
          <w:color w:val="0D0D0D" w:themeColor="text1" w:themeTint="F2"/>
          <w:sz w:val="18"/>
          <w:szCs w:val="18"/>
          <w:rtl/>
        </w:rPr>
        <w:t xml:space="preserve"> טרום משבר הקורונה</w:t>
      </w:r>
      <w:r w:rsidRPr="00567E56">
        <w:rPr>
          <w:rFonts w:ascii="Tahoma" w:hAnsi="Tahoma" w:cs="Tahoma" w:hint="cs"/>
          <w:color w:val="0D0D0D" w:themeColor="text1" w:themeTint="F2"/>
          <w:sz w:val="18"/>
          <w:szCs w:val="18"/>
          <w:rtl/>
        </w:rPr>
        <w:t xml:space="preserve"> - אחד הנימוקים ל</w:t>
      </w:r>
      <w:r w:rsidRPr="00567E56">
        <w:rPr>
          <w:rFonts w:ascii="Tahoma" w:hAnsi="Tahoma" w:cs="Tahoma"/>
          <w:color w:val="0D0D0D" w:themeColor="text1" w:themeTint="F2"/>
          <w:sz w:val="18"/>
          <w:szCs w:val="18"/>
          <w:rtl/>
        </w:rPr>
        <w:t xml:space="preserve">החלטת </w:t>
      </w:r>
      <w:r w:rsidRPr="00567E56">
        <w:rPr>
          <w:rFonts w:ascii="Tahoma" w:hAnsi="Tahoma" w:cs="Tahoma" w:hint="cs"/>
          <w:color w:val="0D0D0D" w:themeColor="text1" w:themeTint="F2"/>
          <w:sz w:val="18"/>
          <w:szCs w:val="18"/>
          <w:rtl/>
        </w:rPr>
        <w:t>ה</w:t>
      </w:r>
      <w:r w:rsidRPr="00567E56">
        <w:rPr>
          <w:rFonts w:ascii="Tahoma" w:hAnsi="Tahoma" w:cs="Tahoma"/>
          <w:color w:val="0D0D0D" w:themeColor="text1" w:themeTint="F2"/>
          <w:sz w:val="18"/>
          <w:szCs w:val="18"/>
          <w:rtl/>
        </w:rPr>
        <w:t>ממשלה ל</w:t>
      </w:r>
      <w:r w:rsidRPr="00567E56">
        <w:rPr>
          <w:rFonts w:ascii="Tahoma" w:hAnsi="Tahoma" w:cs="Tahoma" w:hint="cs"/>
          <w:color w:val="0D0D0D" w:themeColor="text1" w:themeTint="F2"/>
          <w:sz w:val="18"/>
          <w:szCs w:val="18"/>
          <w:rtl/>
        </w:rPr>
        <w:t xml:space="preserve">העניק סיוע </w:t>
      </w:r>
      <w:r w:rsidRPr="00567E56">
        <w:rPr>
          <w:rFonts w:ascii="Tahoma" w:hAnsi="Tahoma" w:cs="Tahoma"/>
          <w:color w:val="0D0D0D" w:themeColor="text1" w:themeTint="F2"/>
          <w:sz w:val="18"/>
          <w:szCs w:val="18"/>
          <w:rtl/>
        </w:rPr>
        <w:t>ייחוד</w:t>
      </w:r>
      <w:r w:rsidRPr="00567E56">
        <w:rPr>
          <w:rFonts w:ascii="Tahoma" w:hAnsi="Tahoma" w:cs="Tahoma" w:hint="cs"/>
          <w:color w:val="0D0D0D" w:themeColor="text1" w:themeTint="F2"/>
          <w:sz w:val="18"/>
          <w:szCs w:val="18"/>
          <w:rtl/>
        </w:rPr>
        <w:t>י</w:t>
      </w:r>
      <w:r w:rsidRPr="00567E56">
        <w:rPr>
          <w:rFonts w:ascii="Tahoma" w:hAnsi="Tahoma" w:cs="Tahoma"/>
          <w:color w:val="0D0D0D" w:themeColor="text1" w:themeTint="F2"/>
          <w:sz w:val="18"/>
          <w:szCs w:val="18"/>
          <w:rtl/>
        </w:rPr>
        <w:t xml:space="preserve"> </w:t>
      </w:r>
      <w:r w:rsidRPr="00567E56">
        <w:rPr>
          <w:rFonts w:ascii="Tahoma" w:hAnsi="Tahoma" w:cs="Tahoma" w:hint="cs"/>
          <w:color w:val="0D0D0D" w:themeColor="text1" w:themeTint="F2"/>
          <w:sz w:val="18"/>
          <w:szCs w:val="18"/>
          <w:rtl/>
        </w:rPr>
        <w:t>לב</w:t>
      </w:r>
      <w:r w:rsidRPr="00567E56">
        <w:rPr>
          <w:rFonts w:ascii="Tahoma" w:hAnsi="Tahoma" w:cs="Tahoma"/>
          <w:color w:val="0D0D0D" w:themeColor="text1" w:themeTint="F2"/>
          <w:sz w:val="18"/>
          <w:szCs w:val="18"/>
          <w:rtl/>
        </w:rPr>
        <w:t xml:space="preserve">תי מלון </w:t>
      </w:r>
      <w:r w:rsidRPr="00567E56">
        <w:rPr>
          <w:rFonts w:ascii="Tahoma" w:hAnsi="Tahoma" w:cs="Tahoma" w:hint="cs"/>
          <w:color w:val="0D0D0D" w:themeColor="text1" w:themeTint="F2"/>
          <w:sz w:val="18"/>
          <w:szCs w:val="18"/>
          <w:rtl/>
        </w:rPr>
        <w:t xml:space="preserve">היה </w:t>
      </w:r>
      <w:r w:rsidRPr="00567E56">
        <w:rPr>
          <w:rFonts w:ascii="Tahoma" w:hAnsi="Tahoma" w:cs="Tahoma"/>
          <w:color w:val="0D0D0D" w:themeColor="text1" w:themeTint="F2"/>
          <w:sz w:val="18"/>
          <w:szCs w:val="18"/>
          <w:rtl/>
        </w:rPr>
        <w:t>למנוע אובדן של ההשקעות שה</w:t>
      </w:r>
      <w:r w:rsidRPr="00567E56">
        <w:rPr>
          <w:rFonts w:ascii="Tahoma" w:hAnsi="Tahoma" w:cs="Tahoma" w:hint="cs"/>
          <w:color w:val="0D0D0D" w:themeColor="text1" w:themeTint="F2"/>
          <w:sz w:val="18"/>
          <w:szCs w:val="18"/>
          <w:rtl/>
        </w:rPr>
        <w:t>שקיעה המדינה</w:t>
      </w:r>
      <w:r w:rsidRPr="00567E56">
        <w:rPr>
          <w:rFonts w:ascii="Tahoma" w:hAnsi="Tahoma" w:cs="Tahoma"/>
          <w:color w:val="0D0D0D" w:themeColor="text1" w:themeTint="F2"/>
          <w:sz w:val="18"/>
          <w:szCs w:val="18"/>
          <w:rtl/>
        </w:rPr>
        <w:t xml:space="preserve"> בשנים עברו ב</w:t>
      </w:r>
      <w:r w:rsidRPr="00567E56">
        <w:rPr>
          <w:rFonts w:ascii="Tahoma" w:hAnsi="Tahoma" w:cs="Tahoma" w:hint="cs"/>
          <w:color w:val="0D0D0D" w:themeColor="text1" w:themeTint="F2"/>
          <w:sz w:val="18"/>
          <w:szCs w:val="18"/>
          <w:rtl/>
        </w:rPr>
        <w:t>הקמת תשתית מלונאית.</w:t>
      </w:r>
      <w:r w:rsidRPr="00567E56">
        <w:rPr>
          <w:rFonts w:ascii="Tahoma" w:hAnsi="Tahoma" w:cs="Tahoma"/>
          <w:color w:val="0D0D0D" w:themeColor="text1" w:themeTint="F2"/>
          <w:sz w:val="18"/>
          <w:szCs w:val="18"/>
          <w:rtl/>
        </w:rPr>
        <w:t xml:space="preserve"> </w:t>
      </w:r>
      <w:r w:rsidRPr="00567E56">
        <w:rPr>
          <w:rFonts w:ascii="Tahoma" w:hAnsi="Tahoma" w:cs="Tahoma" w:hint="cs"/>
          <w:color w:val="0D0D0D" w:themeColor="text1" w:themeTint="F2"/>
          <w:sz w:val="18"/>
          <w:szCs w:val="18"/>
          <w:rtl/>
        </w:rPr>
        <w:t xml:space="preserve">נמצא כי </w:t>
      </w:r>
      <w:r w:rsidRPr="00567E56">
        <w:rPr>
          <w:rFonts w:ascii="Tahoma" w:hAnsi="Tahoma" w:cs="Tahoma"/>
          <w:color w:val="0D0D0D" w:themeColor="text1" w:themeTint="F2"/>
          <w:sz w:val="18"/>
          <w:szCs w:val="18"/>
          <w:rtl/>
        </w:rPr>
        <w:t xml:space="preserve">משרדי התיירות והאוצר לא בחנו </w:t>
      </w:r>
      <w:r w:rsidRPr="00567E56">
        <w:rPr>
          <w:rFonts w:ascii="Tahoma" w:hAnsi="Tahoma" w:cs="Tahoma" w:hint="cs"/>
          <w:color w:val="0D0D0D" w:themeColor="text1" w:themeTint="F2"/>
          <w:sz w:val="18"/>
          <w:szCs w:val="18"/>
          <w:rtl/>
        </w:rPr>
        <w:t>קודם</w:t>
      </w:r>
      <w:r w:rsidRPr="00567E56">
        <w:rPr>
          <w:rFonts w:ascii="Tahoma" w:hAnsi="Tahoma" w:cs="Tahoma"/>
          <w:color w:val="0D0D0D" w:themeColor="text1" w:themeTint="F2"/>
          <w:sz w:val="18"/>
          <w:szCs w:val="18"/>
          <w:rtl/>
        </w:rPr>
        <w:t xml:space="preserve"> </w:t>
      </w:r>
      <w:r w:rsidRPr="00567E56">
        <w:rPr>
          <w:rFonts w:ascii="Tahoma" w:hAnsi="Tahoma" w:cs="Tahoma" w:hint="cs"/>
          <w:color w:val="0D0D0D" w:themeColor="text1" w:themeTint="F2"/>
          <w:sz w:val="18"/>
          <w:szCs w:val="18"/>
          <w:rtl/>
        </w:rPr>
        <w:t>ההחלטה על תוספת סיוע ייחודי</w:t>
      </w:r>
      <w:r w:rsidRPr="00567E56">
        <w:rPr>
          <w:rFonts w:ascii="Tahoma" w:hAnsi="Tahoma" w:cs="Tahoma"/>
          <w:color w:val="0D0D0D" w:themeColor="text1" w:themeTint="F2"/>
          <w:sz w:val="18"/>
          <w:szCs w:val="18"/>
          <w:rtl/>
        </w:rPr>
        <w:t xml:space="preserve"> </w:t>
      </w:r>
      <w:r w:rsidRPr="00567E56">
        <w:rPr>
          <w:rFonts w:ascii="Tahoma" w:hAnsi="Tahoma" w:cs="Tahoma" w:hint="cs"/>
          <w:color w:val="0D0D0D" w:themeColor="text1" w:themeTint="F2"/>
          <w:sz w:val="18"/>
          <w:szCs w:val="18"/>
          <w:rtl/>
        </w:rPr>
        <w:t xml:space="preserve">בסך של עד 150 מיליון ש"ח בדצמבר 2021 </w:t>
      </w:r>
      <w:r w:rsidRPr="00567E56">
        <w:rPr>
          <w:rFonts w:ascii="Tahoma" w:hAnsi="Tahoma" w:cs="Tahoma"/>
          <w:color w:val="0D0D0D" w:themeColor="text1" w:themeTint="F2"/>
          <w:sz w:val="18"/>
          <w:szCs w:val="18"/>
          <w:rtl/>
        </w:rPr>
        <w:t>אם בתי המלון שקיבלו לפני פרוץ משבר הקורונה מענקי השקעות מהמדינה</w:t>
      </w:r>
      <w:r w:rsidRPr="00567E56">
        <w:rPr>
          <w:rFonts w:ascii="Tahoma" w:hAnsi="Tahoma" w:cs="Tahoma" w:hint="cs"/>
          <w:color w:val="0D0D0D" w:themeColor="text1" w:themeTint="F2"/>
          <w:sz w:val="18"/>
          <w:szCs w:val="18"/>
          <w:rtl/>
        </w:rPr>
        <w:t xml:space="preserve"> לפי חוק לעידוד השקעות הון</w:t>
      </w:r>
      <w:r w:rsidRPr="00567E56">
        <w:rPr>
          <w:rFonts w:ascii="Tahoma" w:hAnsi="Tahoma" w:cs="Tahoma"/>
          <w:color w:val="0D0D0D" w:themeColor="text1" w:themeTint="F2"/>
          <w:sz w:val="18"/>
          <w:szCs w:val="18"/>
          <w:rtl/>
        </w:rPr>
        <w:t xml:space="preserve">, עמדו בתנאי </w:t>
      </w:r>
      <w:r w:rsidRPr="00567E56">
        <w:rPr>
          <w:rFonts w:ascii="Tahoma" w:hAnsi="Tahoma" w:cs="Tahoma" w:hint="cs"/>
          <w:color w:val="0D0D0D" w:themeColor="text1" w:themeTint="F2"/>
          <w:sz w:val="18"/>
          <w:szCs w:val="18"/>
          <w:rtl/>
        </w:rPr>
        <w:t>היצוא שנקבע לקבלת המענקים בחוק,</w:t>
      </w:r>
      <w:r w:rsidRPr="00567E56">
        <w:rPr>
          <w:rFonts w:ascii="Tahoma" w:hAnsi="Tahoma" w:cs="Tahoma"/>
          <w:color w:val="0D0D0D" w:themeColor="text1" w:themeTint="F2"/>
          <w:sz w:val="18"/>
          <w:szCs w:val="18"/>
          <w:rtl/>
        </w:rPr>
        <w:t xml:space="preserve"> וכפועל יוצא אם נדרש לבצע פעולות השבה או קיזוז להחזר מענקים אלה ובאיזה היקף. </w:t>
      </w:r>
      <w:r w:rsidRPr="00567E56">
        <w:rPr>
          <w:rFonts w:ascii="Tahoma" w:hAnsi="Tahoma" w:cs="Tahoma" w:hint="cs"/>
          <w:color w:val="0D0D0D" w:themeColor="text1" w:themeTint="F2"/>
          <w:sz w:val="18"/>
          <w:szCs w:val="18"/>
          <w:rtl/>
        </w:rPr>
        <w:t xml:space="preserve">לגבי 43% מבתי המלון שקיבלו מענקים מהמדינה בסך כולל של כ-115 מיליון ש"ח ונפתחו (79 בתי מלון), לא היה בידי משרד התיירות ערב משבר הקורונה ועד מועד סיום הביקורת (נובמבר 2022) מידע המעיד על מידת עמידתם בתנאי היצוא שנקבע בחוק. נכון לאוגוסט 2022 היה במשרד התיירות מידע על 13 בתי מלון שקיבלו מהמדינה מענקי השקעות הון בסך כולל של כ-60 מיליון ש"ח ולא עמדו בתנאי זה. </w:t>
      </w:r>
      <w:r w:rsidRPr="00567E56">
        <w:rPr>
          <w:rFonts w:ascii="Tahoma" w:hAnsi="Tahoma" w:cs="Tahoma"/>
          <w:color w:val="0D0D0D" w:themeColor="text1" w:themeTint="F2"/>
          <w:sz w:val="18"/>
          <w:szCs w:val="18"/>
          <w:rtl/>
        </w:rPr>
        <w:t>משרד התיירות</w:t>
      </w:r>
      <w:r w:rsidRPr="00567E56">
        <w:rPr>
          <w:rFonts w:ascii="Tahoma" w:hAnsi="Tahoma" w:cs="Tahoma" w:hint="cs"/>
          <w:color w:val="0D0D0D" w:themeColor="text1" w:themeTint="F2"/>
          <w:sz w:val="18"/>
          <w:szCs w:val="18"/>
          <w:rtl/>
        </w:rPr>
        <w:t xml:space="preserve"> לא השלים עד מועד סיום הביקורת </w:t>
      </w:r>
      <w:r w:rsidRPr="00567E56">
        <w:rPr>
          <w:rFonts w:ascii="Tahoma" w:hAnsi="Tahoma" w:cs="Tahoma"/>
          <w:color w:val="0D0D0D" w:themeColor="text1" w:themeTint="F2"/>
          <w:sz w:val="18"/>
          <w:szCs w:val="18"/>
          <w:rtl/>
        </w:rPr>
        <w:t xml:space="preserve">תיקון חקיקה בעניין </w:t>
      </w:r>
      <w:r w:rsidRPr="00567E56">
        <w:rPr>
          <w:rFonts w:ascii="Tahoma" w:hAnsi="Tahoma" w:cs="Tahoma" w:hint="cs"/>
          <w:color w:val="0D0D0D" w:themeColor="text1" w:themeTint="F2"/>
          <w:sz w:val="18"/>
          <w:szCs w:val="18"/>
          <w:rtl/>
        </w:rPr>
        <w:t xml:space="preserve">הזכאות למענקי ההשקעה ותיקון התנאי. המשרד נוקט השהיה של 5% או 10% מגובה המענק עד </w:t>
      </w:r>
      <w:r w:rsidRPr="00567E56">
        <w:rPr>
          <w:rFonts w:ascii="Tahoma" w:hAnsi="Tahoma" w:cs="Tahoma" w:hint="cs"/>
          <w:color w:val="0D0D0D" w:themeColor="text1" w:themeTint="F2"/>
          <w:sz w:val="18"/>
          <w:szCs w:val="18"/>
          <w:rtl/>
        </w:rPr>
        <w:t xml:space="preserve">להוכחת עמידה בתנאי, </w:t>
      </w:r>
      <w:r w:rsidRPr="00567E56">
        <w:rPr>
          <w:rFonts w:ascii="Tahoma" w:hAnsi="Tahoma" w:cs="Tahoma"/>
          <w:color w:val="0D0D0D" w:themeColor="text1" w:themeTint="F2"/>
          <w:sz w:val="18"/>
          <w:szCs w:val="18"/>
          <w:rtl/>
        </w:rPr>
        <w:t xml:space="preserve">ואינו נוקט פעולות השבה </w:t>
      </w:r>
      <w:r w:rsidRPr="00567E56">
        <w:rPr>
          <w:rFonts w:ascii="Tahoma" w:hAnsi="Tahoma" w:cs="Tahoma" w:hint="cs"/>
          <w:color w:val="0D0D0D" w:themeColor="text1" w:themeTint="F2"/>
          <w:sz w:val="18"/>
          <w:szCs w:val="18"/>
          <w:rtl/>
        </w:rPr>
        <w:t>מול</w:t>
      </w:r>
      <w:r w:rsidRPr="00567E56">
        <w:rPr>
          <w:rFonts w:ascii="Tahoma" w:hAnsi="Tahoma" w:cs="Tahoma"/>
          <w:color w:val="0D0D0D" w:themeColor="text1" w:themeTint="F2"/>
          <w:sz w:val="18"/>
          <w:szCs w:val="18"/>
          <w:rtl/>
        </w:rPr>
        <w:t xml:space="preserve"> בתי מלון שקיבלו מענקי</w:t>
      </w:r>
      <w:r w:rsidRPr="00567E56">
        <w:rPr>
          <w:rFonts w:ascii="Tahoma" w:hAnsi="Tahoma" w:cs="Tahoma" w:hint="cs"/>
          <w:color w:val="0D0D0D" w:themeColor="text1" w:themeTint="F2"/>
          <w:sz w:val="18"/>
          <w:szCs w:val="18"/>
          <w:rtl/>
        </w:rPr>
        <w:t xml:space="preserve"> השקעה</w:t>
      </w:r>
      <w:r w:rsidRPr="00567E56">
        <w:rPr>
          <w:rFonts w:ascii="Tahoma" w:hAnsi="Tahoma" w:cs="Tahoma"/>
          <w:color w:val="0D0D0D" w:themeColor="text1" w:themeTint="F2"/>
          <w:sz w:val="18"/>
          <w:szCs w:val="18"/>
          <w:rtl/>
        </w:rPr>
        <w:t xml:space="preserve"> ולא עמדו בתנאי.</w:t>
      </w:r>
    </w:p>
    <w:p w:rsidR="00420374" w:rsidRPr="0093709F" w14:paraId="18555822" w14:textId="71699D7D">
      <w:pPr>
        <w:pStyle w:val="7392"/>
        <w:numPr>
          <w:ilvl w:val="0"/>
          <w:numId w:val="10"/>
        </w:numPr>
        <w:spacing w:after="360"/>
        <w:rPr>
          <w:rtl/>
        </w:rPr>
      </w:pPr>
      <w:r>
        <w:rPr>
          <w:b/>
          <w:bCs/>
          <w:noProof/>
          <w:rtl/>
          <w:lang w:val="he-IL"/>
        </w:rPr>
        <mc:AlternateContent>
          <mc:Choice Requires="wpg">
            <w:drawing>
              <wp:anchor distT="0" distB="0" distL="114300" distR="114300" simplePos="0" relativeHeight="251699200" behindDoc="0" locked="0" layoutInCell="1" allowOverlap="1">
                <wp:simplePos x="0" y="0"/>
                <wp:positionH relativeFrom="column">
                  <wp:posOffset>-101237</wp:posOffset>
                </wp:positionH>
                <wp:positionV relativeFrom="paragraph">
                  <wp:posOffset>1357902</wp:posOffset>
                </wp:positionV>
                <wp:extent cx="4587875" cy="762000"/>
                <wp:effectExtent l="0" t="0" r="0" b="0"/>
                <wp:wrapNone/>
                <wp:docPr id="9" name="קבוצה 9"/>
                <wp:cNvGraphicFramePr/>
                <a:graphic xmlns:a="http://schemas.openxmlformats.org/drawingml/2006/main">
                  <a:graphicData uri="http://schemas.microsoft.com/office/word/2010/wordprocessingGroup">
                    <wpg:wgp xmlns:wpg="http://schemas.microsoft.com/office/word/2010/wordprocessingGroup">
                      <wpg:cNvGrpSpPr/>
                      <wpg:grpSpPr>
                        <a:xfrm>
                          <a:off x="0" y="0"/>
                          <a:ext cx="4587875" cy="762000"/>
                          <a:chOff x="0" y="0"/>
                          <a:chExt cx="4587875" cy="762000"/>
                        </a:xfrm>
                      </wpg:grpSpPr>
                      <pic:pic xmlns:pic="http://schemas.openxmlformats.org/drawingml/2006/picture">
                        <pic:nvPicPr>
                          <pic:cNvPr id="51" name="תמונה 5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7875" cy="762000"/>
                          </a:xfrm>
                          <a:prstGeom prst="rect">
                            <a:avLst/>
                          </a:prstGeom>
                        </pic:spPr>
                      </pic:pic>
                      <wps:wsp xmlns:wps="http://schemas.microsoft.com/office/word/2010/wordprocessingShape">
                        <wps:cNvPr id="38" name="Text Box 2"/>
                        <wps:cNvSpPr txBox="1">
                          <a:spLocks noChangeArrowheads="1"/>
                        </wps:cNvSpPr>
                        <wps:spPr bwMode="auto">
                          <a:xfrm>
                            <a:off x="187778" y="97972"/>
                            <a:ext cx="4171950" cy="434975"/>
                          </a:xfrm>
                          <a:prstGeom prst="rect">
                            <a:avLst/>
                          </a:prstGeom>
                          <a:solidFill>
                            <a:srgbClr val="F05260"/>
                          </a:solidFill>
                          <a:ln w="9525">
                            <a:noFill/>
                            <a:miter lim="800000"/>
                            <a:headEnd/>
                            <a:tailEnd/>
                          </a:ln>
                        </wps:spPr>
                        <wps:txbx>
                          <w:txbxContent>
                            <w:p w:rsidR="001F2967" w:rsidRPr="005C7ABF" w:rsidP="001F2967" w14:textId="6848FCD9">
                              <w:pPr>
                                <w:spacing w:line="240" w:lineRule="auto"/>
                                <w:ind w:right="113"/>
                                <w:suppressOverlap/>
                                <w:jc w:val="left"/>
                                <w:rPr>
                                  <w:rFonts w:ascii="Tahoma" w:hAnsi="Tahoma" w:cs="Tahoma"/>
                                  <w:b/>
                                  <w:bCs/>
                                  <w:color w:val="FFFFFF" w:themeColor="background1"/>
                                  <w:spacing w:val="-4"/>
                                  <w:sz w:val="22"/>
                                  <w:szCs w:val="22"/>
                                  <w:rtl/>
                                </w:rPr>
                              </w:pPr>
                              <w:r w:rsidRPr="001F2967">
                                <w:rPr>
                                  <w:rFonts w:ascii="Tahoma" w:hAnsi="Tahoma" w:cs="Tahoma"/>
                                  <w:b/>
                                  <w:bCs/>
                                  <w:color w:val="FFFFFF" w:themeColor="background1"/>
                                  <w:spacing w:val="-4"/>
                                  <w:sz w:val="22"/>
                                  <w:szCs w:val="22"/>
                                  <w:rtl/>
                                </w:rPr>
                                <w:t>נתוני המחזור באלפי ש"ח של רשתות מלונות א', ב' ו-ג',  2019 - 2021</w:t>
                              </w:r>
                            </w:p>
                          </w:txbxContent>
                        </wps:txbx>
                        <wps:bodyPr rot="0" vert="horz" wrap="square" lIns="91440" tIns="45720" rIns="91440" bIns="45720" anchor="ctr" anchorCtr="0"/>
                      </wps:wsp>
                    </wpg:wgp>
                  </a:graphicData>
                </a:graphic>
              </wp:anchor>
            </w:drawing>
          </mc:Choice>
          <mc:Fallback>
            <w:pict>
              <v:group id="קבוצה 9" o:spid="_x0000_s1034" style="width:361.25pt;height:60pt;margin-top:106.9pt;margin-left:-7.95pt;position:absolute;z-index:251700224" coordsize="45878,7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1" o:spid="_x0000_s1035" type="#_x0000_t75" style="width:45878;height:7620;mso-wrap-style:square;position:absolute;visibility:visible">
                  <v:imagedata r:id="rId25" o:title=""/>
                </v:shape>
                <v:shape id="_x0000_s1036" type="#_x0000_t202" style="width:41720;height:4350;left:1877;mso-wrap-style:square;position:absolute;top:979;visibility:visible;v-text-anchor:middle" fillcolor="#f05260" stroked="f">
                  <v:textbox>
                    <w:txbxContent>
                      <w:p w:rsidR="001F2967" w:rsidRPr="005C7ABF" w:rsidP="001F2967" w14:paraId="07A467A9" w14:textId="6848FCD9">
                        <w:pPr>
                          <w:spacing w:line="240" w:lineRule="auto"/>
                          <w:ind w:right="113"/>
                          <w:suppressOverlap/>
                          <w:jc w:val="left"/>
                          <w:rPr>
                            <w:rFonts w:ascii="Tahoma" w:hAnsi="Tahoma" w:cs="Tahoma"/>
                            <w:b/>
                            <w:bCs/>
                            <w:color w:val="FFFFFF" w:themeColor="background1"/>
                            <w:spacing w:val="-4"/>
                            <w:sz w:val="22"/>
                            <w:szCs w:val="22"/>
                            <w:rtl/>
                          </w:rPr>
                        </w:pPr>
                        <w:r w:rsidRPr="001F2967">
                          <w:rPr>
                            <w:rFonts w:ascii="Tahoma" w:hAnsi="Tahoma" w:cs="Tahoma"/>
                            <w:b/>
                            <w:bCs/>
                            <w:color w:val="FFFFFF" w:themeColor="background1"/>
                            <w:spacing w:val="-4"/>
                            <w:sz w:val="22"/>
                            <w:szCs w:val="22"/>
                            <w:rtl/>
                          </w:rPr>
                          <w:t>נתוני המחזור באלפי ש"ח של רשתות מלונות א', ב' ו-ג',  2019 - 2021</w:t>
                        </w:r>
                      </w:p>
                    </w:txbxContent>
                  </v:textbox>
                </v:shape>
              </v:group>
            </w:pict>
          </mc:Fallback>
        </mc:AlternateContent>
      </w:r>
      <w:r w:rsidRPr="00E00FEF">
        <w:rPr>
          <w:b/>
          <w:bCs/>
          <w:rtl/>
        </w:rPr>
        <w:t>נחיצות הסיוע הייחודי לשלוש רשתות המלו</w:t>
      </w:r>
      <w:r w:rsidRPr="00E00FEF">
        <w:rPr>
          <w:rFonts w:hint="cs"/>
          <w:b/>
          <w:bCs/>
          <w:rtl/>
        </w:rPr>
        <w:t xml:space="preserve">נות </w:t>
      </w:r>
      <w:r>
        <w:rPr>
          <w:rFonts w:hint="cs"/>
          <w:b/>
          <w:bCs/>
          <w:rtl/>
        </w:rPr>
        <w:t>מ</w:t>
      </w:r>
      <w:r w:rsidRPr="00E00FEF">
        <w:rPr>
          <w:rFonts w:hint="cs"/>
          <w:b/>
          <w:bCs/>
          <w:rtl/>
        </w:rPr>
        <w:t>הגדולות בישראל</w:t>
      </w:r>
      <w:r>
        <w:rPr>
          <w:rStyle w:val="FootnoteReference0"/>
          <w:b/>
          <w:bCs/>
          <w:rtl/>
        </w:rPr>
        <w:footnoteReference w:id="3"/>
      </w:r>
      <w:r w:rsidRPr="00B36AC3">
        <w:rPr>
          <w:rFonts w:hint="cs"/>
          <w:b/>
          <w:bCs/>
          <w:rtl/>
        </w:rPr>
        <w:t xml:space="preserve"> </w:t>
      </w:r>
      <w:r w:rsidRPr="00567E56">
        <w:rPr>
          <w:rFonts w:hint="cs"/>
          <w:rtl/>
        </w:rPr>
        <w:t xml:space="preserve">- בשנת 2021 חלה התאוששות כלכלית בנתונים הכספיים של שלוש רשתות המלונות </w:t>
      </w:r>
      <w:r>
        <w:rPr>
          <w:rFonts w:hint="cs"/>
          <w:rtl/>
        </w:rPr>
        <w:t>מה</w:t>
      </w:r>
      <w:r w:rsidRPr="00567E56">
        <w:rPr>
          <w:rFonts w:hint="cs"/>
          <w:rtl/>
        </w:rPr>
        <w:t>גדולות בישראל, ומהרבעון השני של שנת 2021 חלה אף התאוששות משמעותית ברווחיהן מפעילות בישראל. השיפור ברווחיות הרשתות מקורו בין היתר בגידול במספר הלינות של ישראלים בבתי מלון בארץ בשנת 2021 בהשוואה לשנת 2019</w:t>
      </w:r>
      <w:r>
        <w:rPr>
          <w:vertAlign w:val="superscript"/>
          <w:rtl/>
        </w:rPr>
        <w:footnoteReference w:id="4"/>
      </w:r>
      <w:r w:rsidRPr="00567E56">
        <w:rPr>
          <w:rFonts w:hint="cs"/>
          <w:rtl/>
        </w:rPr>
        <w:t>. התרשימים שלהלן מציגים את נתוני המחזור, הרווח וההפסד ויתרת הרווחים הצבורים של שלוש הרשתות</w:t>
      </w:r>
      <w:r>
        <w:rPr>
          <w:rFonts w:hint="cs"/>
          <w:rtl/>
        </w:rPr>
        <w:t>:</w:t>
      </w:r>
    </w:p>
    <w:p w:rsidR="001F2967" w:rsidP="003D59A1" w14:paraId="77D70D81" w14:textId="531DB8C2">
      <w:pPr>
        <w:pStyle w:val="7392"/>
        <w:ind w:left="424"/>
        <w:rPr>
          <w:rtl/>
        </w:rPr>
      </w:pPr>
      <w:r>
        <w:rPr>
          <w:rtl/>
        </w:rPr>
        <w:t xml:space="preserve"> </w:t>
      </w:r>
    </w:p>
    <w:p w:rsidR="001F2967" w:rsidP="001F2967" w14:paraId="102E0EF8" w14:textId="77777777">
      <w:pPr>
        <w:pStyle w:val="7317"/>
        <w:rPr>
          <w:rtl/>
        </w:rPr>
      </w:pPr>
    </w:p>
    <w:p w:rsidR="001F2967" w:rsidP="001F2967" w14:paraId="5DABAAD9" w14:textId="77777777">
      <w:pPr>
        <w:pStyle w:val="ListParagraph"/>
        <w:spacing w:after="240" w:line="288" w:lineRule="auto"/>
        <w:ind w:left="217" w:right="-567"/>
        <w:rPr>
          <w:rFonts w:ascii="Tahoma" w:hAnsi="Tahoma" w:cs="Tahoma"/>
          <w:sz w:val="19"/>
          <w:szCs w:val="19"/>
          <w:rtl/>
        </w:rPr>
      </w:pPr>
    </w:p>
    <w:p w:rsidR="001F2967" w:rsidRPr="00236220" w:rsidP="003D59A1" w14:paraId="1DC63355" w14:textId="5501EC13">
      <w:pPr>
        <w:pStyle w:val="ListParagraph"/>
        <w:spacing w:after="120" w:line="288" w:lineRule="auto"/>
        <w:ind w:left="397"/>
        <w:rPr>
          <w:rFonts w:ascii="Tahoma" w:hAnsi="Tahoma" w:cs="Tahoma"/>
          <w:sz w:val="19"/>
          <w:szCs w:val="19"/>
          <w:rtl/>
        </w:rPr>
      </w:pPr>
      <w:r>
        <w:rPr>
          <w:rFonts w:ascii="Tahoma" w:hAnsi="Tahoma" w:cs="Tahoma"/>
          <w:noProof/>
          <w:sz w:val="19"/>
          <w:szCs w:val="19"/>
          <w:rtl/>
          <w:lang w:val="he-IL"/>
        </w:rPr>
        <w:drawing>
          <wp:inline distT="0" distB="0" distL="0" distR="0">
            <wp:extent cx="4467679" cy="3135862"/>
            <wp:effectExtent l="0" t="0" r="0" b="0"/>
            <wp:docPr id="1790785731" name="תמונה 179078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85731" name="תמונה 179078573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478068" cy="3143154"/>
                    </a:xfrm>
                    <a:prstGeom prst="rect">
                      <a:avLst/>
                    </a:prstGeom>
                  </pic:spPr>
                </pic:pic>
              </a:graphicData>
            </a:graphic>
          </wp:inline>
        </w:drawing>
      </w:r>
    </w:p>
    <w:p w:rsidR="001F2967" w:rsidP="001F2967" w14:paraId="57ABF7F4" w14:textId="0C1025E9">
      <w:pPr>
        <w:pStyle w:val="738"/>
        <w:ind w:left="397"/>
        <w:rPr>
          <w:rtl/>
        </w:rPr>
      </w:pPr>
      <w:r w:rsidRPr="001F2967">
        <w:rPr>
          <w:rtl/>
        </w:rPr>
        <w:t>על פי נתוני הדוחות הכספיים של רשתות המלונות, בעיבוד משרד מבקר המדינה.</w:t>
      </w:r>
    </w:p>
    <w:p w:rsidR="00C872F0" w:rsidRPr="001F2967" w:rsidP="001F2967" w14:paraId="628B2260" w14:textId="3D8BE564">
      <w:pPr>
        <w:pStyle w:val="738"/>
        <w:ind w:left="397"/>
        <w:rPr>
          <w:rtl/>
        </w:rPr>
      </w:pPr>
      <w:r>
        <w:rPr>
          <w:b/>
          <w:bCs/>
          <w:noProof/>
          <w:rtl/>
          <w:lang w:val="he-IL"/>
        </w:rPr>
        <mc:AlternateContent>
          <mc:Choice Requires="wpg">
            <w:drawing>
              <wp:anchor distT="0" distB="0" distL="114300" distR="114300" simplePos="0" relativeHeight="251706368" behindDoc="0" locked="0" layoutInCell="1" allowOverlap="1">
                <wp:simplePos x="0" y="0"/>
                <wp:positionH relativeFrom="column">
                  <wp:posOffset>92075</wp:posOffset>
                </wp:positionH>
                <wp:positionV relativeFrom="paragraph">
                  <wp:posOffset>0</wp:posOffset>
                </wp:positionV>
                <wp:extent cx="4587875" cy="762000"/>
                <wp:effectExtent l="0" t="0" r="0" b="0"/>
                <wp:wrapNone/>
                <wp:docPr id="19" name="קבוצה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87875" cy="762000"/>
                          <a:chOff x="0" y="0"/>
                          <a:chExt cx="4587875" cy="762000"/>
                        </a:xfrm>
                      </wpg:grpSpPr>
                      <pic:pic xmlns:pic="http://schemas.openxmlformats.org/drawingml/2006/picture">
                        <pic:nvPicPr>
                          <pic:cNvPr id="33" name="תמונה 3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7875" cy="762000"/>
                          </a:xfrm>
                          <a:prstGeom prst="rect">
                            <a:avLst/>
                          </a:prstGeom>
                        </pic:spPr>
                      </pic:pic>
                      <wps:wsp xmlns:wps="http://schemas.microsoft.com/office/word/2010/wordprocessingShape">
                        <wps:cNvPr id="35" name="Text Box 2"/>
                        <wps:cNvSpPr txBox="1">
                          <a:spLocks noChangeArrowheads="1"/>
                        </wps:cNvSpPr>
                        <wps:spPr bwMode="auto">
                          <a:xfrm>
                            <a:off x="187778" y="97972"/>
                            <a:ext cx="4171950" cy="434975"/>
                          </a:xfrm>
                          <a:prstGeom prst="rect">
                            <a:avLst/>
                          </a:prstGeom>
                          <a:solidFill>
                            <a:srgbClr val="F05260"/>
                          </a:solidFill>
                          <a:ln w="9525">
                            <a:noFill/>
                            <a:miter lim="800000"/>
                            <a:headEnd/>
                            <a:tailEnd/>
                          </a:ln>
                        </wps:spPr>
                        <wps:txbx>
                          <w:txbxContent>
                            <w:p w:rsidR="00C872F0" w:rsidRPr="005C7ABF" w:rsidP="00C872F0" w14:textId="462C7D29">
                              <w:pPr>
                                <w:spacing w:line="240" w:lineRule="auto"/>
                                <w:ind w:right="113"/>
                                <w:suppressOverlap/>
                                <w:jc w:val="left"/>
                                <w:rPr>
                                  <w:rFonts w:ascii="Tahoma" w:hAnsi="Tahoma" w:cs="Tahoma"/>
                                  <w:b/>
                                  <w:bCs/>
                                  <w:color w:val="FFFFFF" w:themeColor="background1"/>
                                  <w:spacing w:val="-4"/>
                                  <w:sz w:val="22"/>
                                  <w:szCs w:val="22"/>
                                  <w:rtl/>
                                </w:rPr>
                              </w:pPr>
                              <w:r w:rsidRPr="001F2967">
                                <w:rPr>
                                  <w:rFonts w:ascii="Tahoma" w:hAnsi="Tahoma" w:cs="Tahoma"/>
                                  <w:b/>
                                  <w:bCs/>
                                  <w:color w:val="FFFFFF" w:themeColor="background1"/>
                                  <w:spacing w:val="-4"/>
                                  <w:sz w:val="22"/>
                                  <w:szCs w:val="22"/>
                                  <w:rtl/>
                                </w:rPr>
                                <w:t xml:space="preserve">נתוני </w:t>
                              </w:r>
                              <w:r>
                                <w:rPr>
                                  <w:rFonts w:ascii="Tahoma" w:hAnsi="Tahoma" w:cs="Tahoma" w:hint="cs"/>
                                  <w:b/>
                                  <w:bCs/>
                                  <w:color w:val="FFFFFF" w:themeColor="background1"/>
                                  <w:spacing w:val="-4"/>
                                  <w:sz w:val="22"/>
                                  <w:szCs w:val="22"/>
                                  <w:rtl/>
                                </w:rPr>
                                <w:t>הרווח (וההפסד)</w:t>
                              </w:r>
                              <w:r w:rsidRPr="001F2967">
                                <w:rPr>
                                  <w:rFonts w:ascii="Tahoma" w:hAnsi="Tahoma" w:cs="Tahoma"/>
                                  <w:b/>
                                  <w:bCs/>
                                  <w:color w:val="FFFFFF" w:themeColor="background1"/>
                                  <w:spacing w:val="-4"/>
                                  <w:sz w:val="22"/>
                                  <w:szCs w:val="22"/>
                                  <w:rtl/>
                                </w:rPr>
                                <w:t xml:space="preserve"> באלפי ש"ח של רשתות מלונות א', ב' ו-ג'*,  2019 - 2021</w:t>
                              </w:r>
                            </w:p>
                          </w:txbxContent>
                        </wps:txbx>
                        <wps:bodyPr rot="0" vert="horz" wrap="square" lIns="91440" tIns="45720" rIns="91440" bIns="45720" anchor="ctr" anchorCtr="0"/>
                      </wps:wsp>
                    </wpg:wgp>
                  </a:graphicData>
                </a:graphic>
              </wp:anchor>
            </w:drawing>
          </mc:Choice>
          <mc:Fallback>
            <w:pict>
              <v:group id="קבוצה 19" o:spid="_x0000_s1037" style="width:361.25pt;height:60pt;margin-top:0;margin-left:7.25pt;position:absolute;z-index:251707392" coordsize="45878,7620">
                <v:shape id="תמונה 33" o:spid="_x0000_s1038" type="#_x0000_t75" style="width:45878;height:7620;mso-wrap-style:square;position:absolute;visibility:visible">
                  <v:imagedata r:id="rId25" o:title=""/>
                </v:shape>
                <v:shape id="_x0000_s1039" type="#_x0000_t202" style="width:41720;height:4350;left:1877;mso-wrap-style:square;position:absolute;top:979;visibility:visible;v-text-anchor:middle" fillcolor="#f05260" stroked="f">
                  <v:textbox>
                    <w:txbxContent>
                      <w:p w:rsidR="00C872F0" w:rsidRPr="005C7ABF" w:rsidP="00C872F0" w14:paraId="0BF1C389" w14:textId="462C7D29">
                        <w:pPr>
                          <w:spacing w:line="240" w:lineRule="auto"/>
                          <w:ind w:right="113"/>
                          <w:suppressOverlap/>
                          <w:jc w:val="left"/>
                          <w:rPr>
                            <w:rFonts w:ascii="Tahoma" w:hAnsi="Tahoma" w:cs="Tahoma"/>
                            <w:b/>
                            <w:bCs/>
                            <w:color w:val="FFFFFF" w:themeColor="background1"/>
                            <w:spacing w:val="-4"/>
                            <w:sz w:val="22"/>
                            <w:szCs w:val="22"/>
                            <w:rtl/>
                          </w:rPr>
                        </w:pPr>
                        <w:r w:rsidRPr="001F2967">
                          <w:rPr>
                            <w:rFonts w:ascii="Tahoma" w:hAnsi="Tahoma" w:cs="Tahoma"/>
                            <w:b/>
                            <w:bCs/>
                            <w:color w:val="FFFFFF" w:themeColor="background1"/>
                            <w:spacing w:val="-4"/>
                            <w:sz w:val="22"/>
                            <w:szCs w:val="22"/>
                            <w:rtl/>
                          </w:rPr>
                          <w:t xml:space="preserve">נתוני </w:t>
                        </w:r>
                        <w:r>
                          <w:rPr>
                            <w:rFonts w:ascii="Tahoma" w:hAnsi="Tahoma" w:cs="Tahoma" w:hint="cs"/>
                            <w:b/>
                            <w:bCs/>
                            <w:color w:val="FFFFFF" w:themeColor="background1"/>
                            <w:spacing w:val="-4"/>
                            <w:sz w:val="22"/>
                            <w:szCs w:val="22"/>
                            <w:rtl/>
                          </w:rPr>
                          <w:t>הרווח (וההפסד)</w:t>
                        </w:r>
                        <w:r w:rsidRPr="001F2967">
                          <w:rPr>
                            <w:rFonts w:ascii="Tahoma" w:hAnsi="Tahoma" w:cs="Tahoma"/>
                            <w:b/>
                            <w:bCs/>
                            <w:color w:val="FFFFFF" w:themeColor="background1"/>
                            <w:spacing w:val="-4"/>
                            <w:sz w:val="22"/>
                            <w:szCs w:val="22"/>
                            <w:rtl/>
                          </w:rPr>
                          <w:t xml:space="preserve"> באלפי ש"ח של רשתות מלונות א', ב' ו-ג'*,  2019 - 2021</w:t>
                        </w:r>
                      </w:p>
                    </w:txbxContent>
                  </v:textbox>
                </v:shape>
              </v:group>
            </w:pict>
          </mc:Fallback>
        </mc:AlternateContent>
      </w:r>
    </w:p>
    <w:p w:rsidR="001F2967" w:rsidRPr="000106F8" w:rsidP="001F2967" w14:paraId="7B542EB1" w14:textId="665C3849">
      <w:pPr>
        <w:spacing w:after="240" w:line="288" w:lineRule="auto"/>
        <w:ind w:right="-567"/>
        <w:rPr>
          <w:rFonts w:ascii="Tahoma" w:hAnsi="Tahoma" w:cs="Tahoma"/>
          <w:sz w:val="2"/>
          <w:szCs w:val="2"/>
          <w:rtl/>
        </w:rPr>
      </w:pPr>
    </w:p>
    <w:p w:rsidR="001F2967" w:rsidP="003D59A1" w14:paraId="67904172" w14:textId="6B04B3A0">
      <w:pPr>
        <w:pStyle w:val="ListParagraph"/>
        <w:spacing w:line="288" w:lineRule="auto"/>
        <w:ind w:left="397" w:firstLine="143"/>
        <w:rPr>
          <w:rFonts w:ascii="Tahoma" w:hAnsi="Tahoma" w:cs="Tahoma"/>
          <w:sz w:val="16"/>
          <w:szCs w:val="16"/>
          <w:rtl/>
        </w:rPr>
      </w:pPr>
      <w:r>
        <w:rPr>
          <w:rFonts w:ascii="Tahoma" w:hAnsi="Tahoma" w:cs="Tahoma"/>
          <w:noProof/>
          <w:sz w:val="16"/>
          <w:szCs w:val="16"/>
          <w:rtl/>
          <w:lang w:val="he-IL"/>
        </w:rPr>
        <w:drawing>
          <wp:anchor distT="0" distB="0" distL="114300" distR="114300" simplePos="0" relativeHeight="251708416" behindDoc="0" locked="0" layoutInCell="1" allowOverlap="1">
            <wp:simplePos x="0" y="0"/>
            <wp:positionH relativeFrom="column">
              <wp:posOffset>184150</wp:posOffset>
            </wp:positionH>
            <wp:positionV relativeFrom="paragraph">
              <wp:posOffset>269240</wp:posOffset>
            </wp:positionV>
            <wp:extent cx="4422140" cy="3175635"/>
            <wp:effectExtent l="0" t="0" r="0" b="0"/>
            <wp:wrapTopAndBottom/>
            <wp:docPr id="1790785732" name="תמונה 179078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85732" name="תמונה 179078573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422140" cy="3175635"/>
                    </a:xfrm>
                    <a:prstGeom prst="rect">
                      <a:avLst/>
                    </a:prstGeom>
                  </pic:spPr>
                </pic:pic>
              </a:graphicData>
            </a:graphic>
            <wp14:sizeRelH relativeFrom="page">
              <wp14:pctWidth>0</wp14:pctWidth>
            </wp14:sizeRelH>
            <wp14:sizeRelV relativeFrom="page">
              <wp14:pctHeight>0</wp14:pctHeight>
            </wp14:sizeRelV>
          </wp:anchor>
        </w:drawing>
      </w:r>
    </w:p>
    <w:p w:rsidR="001F2967" w:rsidRPr="00703C56" w:rsidP="00703C56" w14:paraId="242BAA14" w14:textId="2E2C0D3D">
      <w:pPr>
        <w:pStyle w:val="738"/>
        <w:spacing w:after="0"/>
        <w:ind w:left="397"/>
        <w:rPr>
          <w:rtl/>
        </w:rPr>
      </w:pPr>
      <w:r w:rsidRPr="00703C56">
        <w:rPr>
          <w:rFonts w:hint="cs"/>
          <w:rtl/>
        </w:rPr>
        <w:t xml:space="preserve">על פי </w:t>
      </w:r>
      <w:r w:rsidRPr="00703C56">
        <w:rPr>
          <w:rtl/>
        </w:rPr>
        <w:t>נתוני הדוחות הכספיים של רשתות המלו</w:t>
      </w:r>
      <w:r w:rsidRPr="00703C56">
        <w:rPr>
          <w:rFonts w:hint="cs"/>
          <w:rtl/>
        </w:rPr>
        <w:t>נות,</w:t>
      </w:r>
      <w:r w:rsidRPr="00703C56">
        <w:rPr>
          <w:rtl/>
        </w:rPr>
        <w:t xml:space="preserve"> בעיבוד משרד מבקר המדינה</w:t>
      </w:r>
      <w:r w:rsidRPr="00703C56">
        <w:rPr>
          <w:rFonts w:hint="cs"/>
          <w:rtl/>
        </w:rPr>
        <w:t>.</w:t>
      </w:r>
    </w:p>
    <w:p w:rsidR="003D59A1" w:rsidP="00703C56" w14:paraId="3A2877D0" w14:textId="056B3DC1">
      <w:pPr>
        <w:pStyle w:val="738"/>
        <w:spacing w:before="0"/>
        <w:ind w:left="707" w:hanging="310"/>
        <w:rPr>
          <w:rtl/>
        </w:rPr>
      </w:pPr>
      <w:r w:rsidRPr="00703C56">
        <w:rPr>
          <w:rtl/>
        </w:rPr>
        <w:t xml:space="preserve">* </w:t>
      </w:r>
      <w:r w:rsidR="00703C56">
        <w:rPr>
          <w:rtl/>
        </w:rPr>
        <w:tab/>
      </w:r>
      <w:r w:rsidRPr="00703C56">
        <w:rPr>
          <w:rtl/>
        </w:rPr>
        <w:t>ההפסד של רשת</w:t>
      </w:r>
      <w:r w:rsidRPr="00703C56">
        <w:rPr>
          <w:rFonts w:hint="cs"/>
          <w:rtl/>
        </w:rPr>
        <w:t xml:space="preserve"> מלונות</w:t>
      </w:r>
      <w:r w:rsidRPr="00703C56">
        <w:rPr>
          <w:rtl/>
        </w:rPr>
        <w:t xml:space="preserve"> ג' משקף הפסד עבור כלל פעילותה בארץ ובחו"ל</w:t>
      </w:r>
      <w:r w:rsidRPr="00703C56">
        <w:rPr>
          <w:rFonts w:hint="cs"/>
          <w:rtl/>
        </w:rPr>
        <w:t xml:space="preserve">. </w:t>
      </w:r>
      <w:r w:rsidRPr="00703C56">
        <w:rPr>
          <w:rtl/>
        </w:rPr>
        <w:t>בישראל הניבה פעיל</w:t>
      </w:r>
      <w:r w:rsidRPr="00703C56">
        <w:rPr>
          <w:rFonts w:hint="cs"/>
          <w:rtl/>
        </w:rPr>
        <w:t>ו</w:t>
      </w:r>
      <w:r w:rsidRPr="00703C56">
        <w:rPr>
          <w:rtl/>
        </w:rPr>
        <w:t>תה רווחים תפעוליים משמעותיים</w:t>
      </w:r>
      <w:r w:rsidRPr="00703C56">
        <w:rPr>
          <w:rFonts w:hint="cs"/>
          <w:rtl/>
        </w:rPr>
        <w:t>.</w:t>
      </w:r>
    </w:p>
    <w:p w:rsidR="003D59A1" w14:paraId="0997F42B" w14:textId="50A792BC">
      <w:pPr>
        <w:bidi w:val="0"/>
        <w:spacing w:after="200" w:line="276" w:lineRule="auto"/>
        <w:rPr>
          <w:rFonts w:ascii="Tahoma" w:hAnsi="Tahoma" w:cs="Tahoma"/>
          <w:color w:val="0D0D0D" w:themeColor="text1" w:themeTint="F2"/>
          <w:sz w:val="16"/>
          <w:szCs w:val="16"/>
          <w:rtl/>
        </w:rPr>
      </w:pPr>
      <w:r>
        <w:rPr>
          <w:rtl/>
        </w:rPr>
        <w:br w:type="page"/>
      </w:r>
    </w:p>
    <w:p w:rsidR="003D59A1" w:rsidP="003D59A1" w14:paraId="393269E1" w14:textId="4C0C9B3B">
      <w:pPr>
        <w:pStyle w:val="738"/>
        <w:spacing w:before="0"/>
        <w:ind w:left="707" w:hanging="310"/>
        <w:rPr>
          <w:rtl/>
        </w:rPr>
      </w:pPr>
      <w:r w:rsidRPr="00D527BD">
        <w:rPr>
          <w:noProof/>
          <w:szCs w:val="20"/>
          <w:rtl/>
        </w:rPr>
        <w:drawing>
          <wp:anchor distT="0" distB="0" distL="114300" distR="114300" simplePos="0" relativeHeight="251701248" behindDoc="0" locked="0" layoutInCell="1" allowOverlap="1">
            <wp:simplePos x="0" y="0"/>
            <wp:positionH relativeFrom="column">
              <wp:posOffset>-84909</wp:posOffset>
            </wp:positionH>
            <wp:positionV relativeFrom="paragraph">
              <wp:posOffset>-164556</wp:posOffset>
            </wp:positionV>
            <wp:extent cx="4678136" cy="1314450"/>
            <wp:effectExtent l="0" t="0" r="0" b="0"/>
            <wp:wrapNone/>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2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606" cy="1315144"/>
                    </a:xfrm>
                    <a:prstGeom prst="rect">
                      <a:avLst/>
                    </a:prstGeom>
                  </pic:spPr>
                </pic:pic>
              </a:graphicData>
            </a:graphic>
            <wp14:sizeRelH relativeFrom="margin">
              <wp14:pctWidth>0</wp14:pctWidth>
            </wp14:sizeRelH>
            <wp14:sizeRelV relativeFrom="margin">
              <wp14:pctHeight>0</wp14:pctHeight>
            </wp14:sizeRelV>
          </wp:anchor>
        </w:drawing>
      </w:r>
      <w:r w:rsidRPr="00D527BD" w:rsidR="00E00FEF">
        <w:rPr>
          <w:noProof/>
          <w:szCs w:val="20"/>
          <w:rtl/>
        </w:rPr>
        <mc:AlternateContent>
          <mc:Choice Requires="wps">
            <w:drawing>
              <wp:anchor distT="0" distB="0" distL="114300" distR="114300" simplePos="0" relativeHeight="251702272" behindDoc="0" locked="0" layoutInCell="1" allowOverlap="1">
                <wp:simplePos x="0" y="0"/>
                <wp:positionH relativeFrom="column">
                  <wp:posOffset>78105</wp:posOffset>
                </wp:positionH>
                <wp:positionV relativeFrom="paragraph">
                  <wp:posOffset>-726</wp:posOffset>
                </wp:positionV>
                <wp:extent cx="4236720" cy="758825"/>
                <wp:effectExtent l="0" t="0" r="5080" b="3175"/>
                <wp:wrapNone/>
                <wp:docPr id="14510666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36720" cy="758825"/>
                        </a:xfrm>
                        <a:prstGeom prst="rect">
                          <a:avLst/>
                        </a:prstGeom>
                        <a:solidFill>
                          <a:srgbClr val="F05260"/>
                        </a:solidFill>
                        <a:ln w="9525">
                          <a:noFill/>
                          <a:miter lim="800000"/>
                          <a:headEnd/>
                          <a:tailEnd/>
                        </a:ln>
                      </wps:spPr>
                      <wps:txbx>
                        <w:txbxContent>
                          <w:p w:rsidR="00703C56" w:rsidRPr="005C7ABF" w:rsidP="00703C56" w14:textId="385B475C">
                            <w:pPr>
                              <w:spacing w:line="240" w:lineRule="auto"/>
                              <w:ind w:right="113"/>
                              <w:suppressOverlap/>
                              <w:jc w:val="left"/>
                              <w:rPr>
                                <w:rFonts w:ascii="Tahoma" w:hAnsi="Tahoma" w:cs="Tahoma"/>
                                <w:b/>
                                <w:bCs/>
                                <w:color w:val="FFFFFF" w:themeColor="background1"/>
                                <w:spacing w:val="-4"/>
                                <w:sz w:val="22"/>
                                <w:szCs w:val="22"/>
                                <w:rtl/>
                              </w:rPr>
                            </w:pPr>
                            <w:r>
                              <w:rPr>
                                <w:rFonts w:ascii="Tahoma" w:eastAsia="Calibri" w:hAnsi="Tahoma" w:cs="Tahoma" w:hint="cs"/>
                                <w:b/>
                                <w:bCs/>
                                <w:noProof/>
                                <w:color w:val="FFFFFF"/>
                                <w:sz w:val="22"/>
                                <w:szCs w:val="22"/>
                                <w:rtl/>
                              </w:rPr>
                              <w:t>י</w:t>
                            </w:r>
                            <w:r w:rsidRPr="00B053B0">
                              <w:rPr>
                                <w:rFonts w:ascii="Tahoma" w:eastAsia="Calibri" w:hAnsi="Tahoma" w:cs="Tahoma" w:hint="cs"/>
                                <w:b/>
                                <w:bCs/>
                                <w:noProof/>
                                <w:color w:val="FFFFFF"/>
                                <w:sz w:val="22"/>
                                <w:szCs w:val="22"/>
                                <w:rtl/>
                              </w:rPr>
                              <w:t xml:space="preserve">תרת הרווח </w:t>
                            </w:r>
                            <w:r>
                              <w:rPr>
                                <w:rFonts w:ascii="Tahoma" w:eastAsia="Calibri" w:hAnsi="Tahoma" w:cs="Tahoma" w:hint="cs"/>
                                <w:b/>
                                <w:bCs/>
                                <w:noProof/>
                                <w:color w:val="FFFFFF"/>
                                <w:sz w:val="22"/>
                                <w:szCs w:val="22"/>
                                <w:rtl/>
                              </w:rPr>
                              <w:t>(רווח צבור)</w:t>
                            </w:r>
                            <w:r w:rsidRPr="00B053B0">
                              <w:rPr>
                                <w:rFonts w:ascii="Tahoma" w:eastAsia="Calibri" w:hAnsi="Tahoma" w:cs="Tahoma" w:hint="cs"/>
                                <w:b/>
                                <w:bCs/>
                                <w:noProof/>
                                <w:color w:val="FFFFFF"/>
                                <w:sz w:val="22"/>
                                <w:szCs w:val="22"/>
                                <w:rtl/>
                              </w:rPr>
                              <w:t>*</w:t>
                            </w:r>
                            <w:r>
                              <w:rPr>
                                <w:rFonts w:ascii="Tahoma" w:eastAsia="Calibri" w:hAnsi="Tahoma" w:cs="Tahoma" w:hint="cs"/>
                                <w:b/>
                                <w:bCs/>
                                <w:noProof/>
                                <w:color w:val="FFFFFF"/>
                                <w:sz w:val="22"/>
                                <w:szCs w:val="22"/>
                                <w:rtl/>
                              </w:rPr>
                              <w:t xml:space="preserve"> </w:t>
                            </w:r>
                            <w:r w:rsidRPr="00B053B0">
                              <w:rPr>
                                <w:rFonts w:ascii="Tahoma" w:eastAsia="Calibri" w:hAnsi="Tahoma" w:cs="Tahoma" w:hint="cs"/>
                                <w:b/>
                                <w:bCs/>
                                <w:noProof/>
                                <w:color w:val="FFFFFF"/>
                                <w:sz w:val="22"/>
                                <w:szCs w:val="22"/>
                                <w:rtl/>
                              </w:rPr>
                              <w:t>של רשתות מלונות א', ב' ו-ג' ל-31 בדצמבר בשנים 2019 עד 2021 וגובה המענקים שקיבלו הרשתות במהלך משבר הקורונה במסגרת הסיוע הייחודי לבתי המלון בשנים 2020 ו-2021 (במיליוני</w:t>
                            </w:r>
                            <w:r>
                              <w:rPr>
                                <w:rFonts w:ascii="Tahoma" w:eastAsia="Calibri" w:hAnsi="Tahoma" w:cs="Tahoma" w:hint="cs"/>
                                <w:b/>
                                <w:bCs/>
                                <w:noProof/>
                                <w:color w:val="FFFFFF"/>
                                <w:sz w:val="22"/>
                                <w:szCs w:val="22"/>
                                <w:rtl/>
                              </w:rPr>
                              <w:t xml:space="preserve"> ש״ח</w:t>
                            </w:r>
                            <w:r w:rsidR="003D59A1">
                              <w:rPr>
                                <w:rFonts w:ascii="Tahoma" w:eastAsia="Calibri" w:hAnsi="Tahoma" w:cs="Tahoma" w:hint="cs"/>
                                <w:b/>
                                <w:bCs/>
                                <w:noProof/>
                                <w:color w:val="FFFFFF"/>
                                <w:sz w:val="22"/>
                                <w:szCs w:val="22"/>
                                <w:rtl/>
                              </w:rPr>
                              <w:t>)</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40" type="#_x0000_t202" style="width:333.6pt;height:59.75pt;margin-top:-0.05pt;margin-left:6.15pt;mso-height-percent:0;mso-height-relative:margin;mso-width-percent:0;mso-width-relative:margin;mso-wrap-distance-bottom:0;mso-wrap-distance-left:9pt;mso-wrap-distance-right:9pt;mso-wrap-distance-top:0;mso-wrap-style:square;position:absolute;visibility:visible;v-text-anchor:middle;z-index:251703296" fillcolor="#f05260" stroked="f">
                <v:textbox>
                  <w:txbxContent>
                    <w:p w:rsidR="00703C56" w:rsidRPr="005C7ABF" w:rsidP="00703C56" w14:paraId="4450DA2C" w14:textId="385B475C">
                      <w:pPr>
                        <w:spacing w:line="240" w:lineRule="auto"/>
                        <w:ind w:right="113"/>
                        <w:suppressOverlap/>
                        <w:jc w:val="left"/>
                        <w:rPr>
                          <w:rFonts w:ascii="Tahoma" w:hAnsi="Tahoma" w:cs="Tahoma"/>
                          <w:b/>
                          <w:bCs/>
                          <w:color w:val="FFFFFF" w:themeColor="background1"/>
                          <w:spacing w:val="-4"/>
                          <w:sz w:val="22"/>
                          <w:szCs w:val="22"/>
                          <w:rtl/>
                        </w:rPr>
                      </w:pPr>
                      <w:r>
                        <w:rPr>
                          <w:rFonts w:ascii="Tahoma" w:eastAsia="Calibri" w:hAnsi="Tahoma" w:cs="Tahoma" w:hint="cs"/>
                          <w:b/>
                          <w:bCs/>
                          <w:noProof/>
                          <w:color w:val="FFFFFF"/>
                          <w:sz w:val="22"/>
                          <w:szCs w:val="22"/>
                          <w:rtl/>
                        </w:rPr>
                        <w:t>י</w:t>
                      </w:r>
                      <w:r w:rsidRPr="00B053B0">
                        <w:rPr>
                          <w:rFonts w:ascii="Tahoma" w:eastAsia="Calibri" w:hAnsi="Tahoma" w:cs="Tahoma" w:hint="cs"/>
                          <w:b/>
                          <w:bCs/>
                          <w:noProof/>
                          <w:color w:val="FFFFFF"/>
                          <w:sz w:val="22"/>
                          <w:szCs w:val="22"/>
                          <w:rtl/>
                        </w:rPr>
                        <w:t xml:space="preserve">תרת הרווח </w:t>
                      </w:r>
                      <w:r>
                        <w:rPr>
                          <w:rFonts w:ascii="Tahoma" w:eastAsia="Calibri" w:hAnsi="Tahoma" w:cs="Tahoma" w:hint="cs"/>
                          <w:b/>
                          <w:bCs/>
                          <w:noProof/>
                          <w:color w:val="FFFFFF"/>
                          <w:sz w:val="22"/>
                          <w:szCs w:val="22"/>
                          <w:rtl/>
                        </w:rPr>
                        <w:t>(רווח צבור)</w:t>
                      </w:r>
                      <w:r w:rsidRPr="00B053B0">
                        <w:rPr>
                          <w:rFonts w:ascii="Tahoma" w:eastAsia="Calibri" w:hAnsi="Tahoma" w:cs="Tahoma" w:hint="cs"/>
                          <w:b/>
                          <w:bCs/>
                          <w:noProof/>
                          <w:color w:val="FFFFFF"/>
                          <w:sz w:val="22"/>
                          <w:szCs w:val="22"/>
                          <w:rtl/>
                        </w:rPr>
                        <w:t>*</w:t>
                      </w:r>
                      <w:r>
                        <w:rPr>
                          <w:rFonts w:ascii="Tahoma" w:eastAsia="Calibri" w:hAnsi="Tahoma" w:cs="Tahoma" w:hint="cs"/>
                          <w:b/>
                          <w:bCs/>
                          <w:noProof/>
                          <w:color w:val="FFFFFF"/>
                          <w:sz w:val="22"/>
                          <w:szCs w:val="22"/>
                          <w:rtl/>
                        </w:rPr>
                        <w:t xml:space="preserve"> </w:t>
                      </w:r>
                      <w:r w:rsidRPr="00B053B0">
                        <w:rPr>
                          <w:rFonts w:ascii="Tahoma" w:eastAsia="Calibri" w:hAnsi="Tahoma" w:cs="Tahoma" w:hint="cs"/>
                          <w:b/>
                          <w:bCs/>
                          <w:noProof/>
                          <w:color w:val="FFFFFF"/>
                          <w:sz w:val="22"/>
                          <w:szCs w:val="22"/>
                          <w:rtl/>
                        </w:rPr>
                        <w:t>של רשתות מלונות א', ב' ו-ג' ל-31 בדצמבר בשנים 2019 עד 2021 וגובה המענקים שקיבלו הרשתות במהלך משבר הקורונה במסגרת הסיוע הייחודי לבתי המלון בשנים 2020 ו-2021 (במיליוני</w:t>
                      </w:r>
                      <w:r>
                        <w:rPr>
                          <w:rFonts w:ascii="Tahoma" w:eastAsia="Calibri" w:hAnsi="Tahoma" w:cs="Tahoma" w:hint="cs"/>
                          <w:b/>
                          <w:bCs/>
                          <w:noProof/>
                          <w:color w:val="FFFFFF"/>
                          <w:sz w:val="22"/>
                          <w:szCs w:val="22"/>
                          <w:rtl/>
                        </w:rPr>
                        <w:t xml:space="preserve"> ש״ח</w:t>
                      </w:r>
                      <w:r w:rsidR="003D59A1">
                        <w:rPr>
                          <w:rFonts w:ascii="Tahoma" w:eastAsia="Calibri" w:hAnsi="Tahoma" w:cs="Tahoma" w:hint="cs"/>
                          <w:b/>
                          <w:bCs/>
                          <w:noProof/>
                          <w:color w:val="FFFFFF"/>
                          <w:sz w:val="22"/>
                          <w:szCs w:val="22"/>
                          <w:rtl/>
                        </w:rPr>
                        <w:t>)</w:t>
                      </w:r>
                    </w:p>
                  </w:txbxContent>
                </v:textbox>
              </v:shape>
            </w:pict>
          </mc:Fallback>
        </mc:AlternateContent>
      </w:r>
    </w:p>
    <w:p w:rsidR="003D59A1" w:rsidP="003D59A1" w14:paraId="0B9D1F0B" w14:textId="5F7F08DA">
      <w:pPr>
        <w:pStyle w:val="a30"/>
        <w:spacing w:line="288" w:lineRule="auto"/>
        <w:ind w:left="0"/>
        <w:rPr>
          <w:rFonts w:ascii="Tahoma" w:hAnsi="Tahoma" w:cs="Tahoma"/>
          <w:sz w:val="16"/>
          <w:szCs w:val="16"/>
          <w:rtl/>
        </w:rPr>
      </w:pPr>
    </w:p>
    <w:p w:rsidR="003D59A1" w:rsidP="003D59A1" w14:paraId="02B83D0E" w14:textId="523DF2BE">
      <w:pPr>
        <w:pStyle w:val="a30"/>
        <w:spacing w:line="288" w:lineRule="auto"/>
        <w:ind w:left="0"/>
        <w:rPr>
          <w:rFonts w:ascii="Tahoma" w:hAnsi="Tahoma" w:cs="Tahoma"/>
          <w:sz w:val="16"/>
          <w:szCs w:val="16"/>
          <w:rtl/>
        </w:rPr>
      </w:pPr>
    </w:p>
    <w:p w:rsidR="003D59A1" w:rsidP="003D59A1" w14:paraId="4C7B66FC" w14:textId="7DF300C4">
      <w:pPr>
        <w:pStyle w:val="a30"/>
        <w:spacing w:line="288" w:lineRule="auto"/>
        <w:ind w:left="0"/>
        <w:rPr>
          <w:rFonts w:ascii="Tahoma" w:hAnsi="Tahoma" w:cs="Tahoma"/>
          <w:sz w:val="16"/>
          <w:szCs w:val="16"/>
          <w:rtl/>
        </w:rPr>
      </w:pPr>
    </w:p>
    <w:p w:rsidR="003D59A1" w:rsidP="003D59A1" w14:paraId="4461DF95" w14:textId="622340FD">
      <w:pPr>
        <w:pStyle w:val="a30"/>
        <w:spacing w:line="288" w:lineRule="auto"/>
        <w:ind w:left="0"/>
        <w:rPr>
          <w:rFonts w:ascii="Tahoma" w:hAnsi="Tahoma" w:cs="Tahoma"/>
          <w:sz w:val="16"/>
          <w:szCs w:val="16"/>
          <w:rtl/>
        </w:rPr>
      </w:pPr>
    </w:p>
    <w:p w:rsidR="003D59A1" w:rsidP="003D59A1" w14:paraId="008789C6" w14:textId="35AE7091">
      <w:pPr>
        <w:pStyle w:val="a30"/>
        <w:spacing w:line="288" w:lineRule="auto"/>
        <w:ind w:left="0"/>
        <w:rPr>
          <w:rFonts w:ascii="Tahoma" w:hAnsi="Tahoma" w:cs="Tahoma"/>
          <w:sz w:val="16"/>
          <w:szCs w:val="16"/>
          <w:rtl/>
        </w:rPr>
      </w:pPr>
    </w:p>
    <w:p w:rsidR="003D59A1" w:rsidP="003D59A1" w14:paraId="74AC0124" w14:textId="22F619F3">
      <w:pPr>
        <w:pStyle w:val="a30"/>
        <w:spacing w:line="288" w:lineRule="auto"/>
        <w:ind w:left="0"/>
        <w:rPr>
          <w:rFonts w:ascii="Tahoma" w:hAnsi="Tahoma" w:cs="Tahoma"/>
          <w:sz w:val="16"/>
          <w:szCs w:val="16"/>
          <w:rtl/>
        </w:rPr>
      </w:pPr>
      <w:r>
        <w:rPr>
          <w:noProof/>
        </w:rPr>
        <w:drawing>
          <wp:anchor distT="0" distB="0" distL="114300" distR="114300" simplePos="0" relativeHeight="251704320" behindDoc="0" locked="0" layoutInCell="1" allowOverlap="1">
            <wp:simplePos x="0" y="0"/>
            <wp:positionH relativeFrom="column">
              <wp:posOffset>-19685</wp:posOffset>
            </wp:positionH>
            <wp:positionV relativeFrom="paragraph">
              <wp:posOffset>186055</wp:posOffset>
            </wp:positionV>
            <wp:extent cx="4515485" cy="4377690"/>
            <wp:effectExtent l="0" t="0" r="0" b="0"/>
            <wp:wrapTopAndBottom/>
            <wp:docPr id="464001462" name="תמונה 4640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1462" name="תמונה 46400146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821" r="821"/>
                    <a:stretch>
                      <a:fillRect/>
                    </a:stretch>
                  </pic:blipFill>
                  <pic:spPr bwMode="auto">
                    <a:xfrm>
                      <a:off x="0" y="0"/>
                      <a:ext cx="4515485" cy="4377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59A1" w:rsidP="003D59A1" w14:paraId="02A23514" w14:textId="1F437BC5">
      <w:pPr>
        <w:pStyle w:val="a30"/>
        <w:spacing w:line="288" w:lineRule="auto"/>
        <w:ind w:left="0"/>
        <w:rPr>
          <w:rFonts w:ascii="Tahoma" w:hAnsi="Tahoma" w:cs="Tahoma"/>
          <w:sz w:val="16"/>
          <w:szCs w:val="16"/>
          <w:rtl/>
        </w:rPr>
      </w:pPr>
    </w:p>
    <w:p w:rsidR="003D59A1" w:rsidRPr="005705E1" w:rsidP="003D59A1" w14:paraId="5E14AA96" w14:textId="34224D23">
      <w:pPr>
        <w:pStyle w:val="a30"/>
        <w:spacing w:line="288" w:lineRule="auto"/>
        <w:ind w:left="397"/>
        <w:rPr>
          <w:rFonts w:ascii="Tahoma" w:hAnsi="Tahoma" w:cs="Tahoma"/>
          <w:sz w:val="16"/>
          <w:szCs w:val="16"/>
          <w:rtl/>
        </w:rPr>
      </w:pPr>
      <w:r w:rsidRPr="005705E1">
        <w:rPr>
          <w:rFonts w:ascii="Tahoma" w:hAnsi="Tahoma" w:cs="Tahoma" w:hint="cs"/>
          <w:sz w:val="16"/>
          <w:szCs w:val="16"/>
          <w:rtl/>
        </w:rPr>
        <w:t>נתוני הדוחות הכספיים של רשתות המלו</w:t>
      </w:r>
      <w:r>
        <w:rPr>
          <w:rFonts w:ascii="Tahoma" w:hAnsi="Tahoma" w:cs="Tahoma" w:hint="cs"/>
          <w:sz w:val="16"/>
          <w:szCs w:val="16"/>
          <w:rtl/>
        </w:rPr>
        <w:t>נות,</w:t>
      </w:r>
      <w:r w:rsidRPr="005705E1">
        <w:rPr>
          <w:rFonts w:ascii="Tahoma" w:hAnsi="Tahoma" w:cs="Tahoma" w:hint="cs"/>
          <w:sz w:val="16"/>
          <w:szCs w:val="16"/>
          <w:rtl/>
        </w:rPr>
        <w:t xml:space="preserve"> בעיבוד משרד מבקר המדינה.</w:t>
      </w:r>
    </w:p>
    <w:p w:rsidR="003D59A1" w:rsidP="003D59A1" w14:paraId="59E13221" w14:textId="2ED01842">
      <w:pPr>
        <w:pStyle w:val="a30"/>
        <w:spacing w:after="240" w:line="288" w:lineRule="auto"/>
        <w:ind w:left="813" w:hanging="416"/>
        <w:rPr>
          <w:rtl/>
        </w:rPr>
      </w:pPr>
      <w:r w:rsidRPr="005705E1">
        <w:rPr>
          <w:rFonts w:ascii="Tahoma" w:hAnsi="Tahoma" w:cs="Tahoma" w:hint="cs"/>
          <w:sz w:val="16"/>
          <w:szCs w:val="16"/>
          <w:rtl/>
        </w:rPr>
        <w:t xml:space="preserve">* </w:t>
      </w:r>
      <w:r>
        <w:rPr>
          <w:rFonts w:ascii="Tahoma" w:hAnsi="Tahoma" w:cs="Tahoma"/>
          <w:sz w:val="16"/>
          <w:szCs w:val="16"/>
          <w:rtl/>
        </w:rPr>
        <w:tab/>
      </w:r>
      <w:r w:rsidRPr="005705E1">
        <w:rPr>
          <w:rFonts w:ascii="Tahoma" w:hAnsi="Tahoma" w:cs="Tahoma" w:hint="cs"/>
          <w:sz w:val="16"/>
          <w:szCs w:val="16"/>
          <w:rtl/>
        </w:rPr>
        <w:t xml:space="preserve">מוגדרת גם כיתרת עודפים או </w:t>
      </w:r>
      <w:r w:rsidRPr="007A1BCE">
        <w:rPr>
          <w:rFonts w:ascii="Tahoma" w:hAnsi="Tahoma" w:cs="Tahoma" w:hint="cs"/>
          <w:sz w:val="16"/>
          <w:szCs w:val="16"/>
          <w:rtl/>
        </w:rPr>
        <w:t xml:space="preserve">עודפים. </w:t>
      </w:r>
      <w:r w:rsidRPr="00287CA8">
        <w:rPr>
          <w:rFonts w:ascii="Tahoma" w:hAnsi="Tahoma" w:cs="Tahoma" w:hint="cs"/>
          <w:sz w:val="16"/>
          <w:szCs w:val="16"/>
          <w:rtl/>
        </w:rPr>
        <w:t>יוער כי רווח זה אינו מעיד בהכרח על רמת הנזילות של הרשתות שכן לא ניתן</w:t>
      </w:r>
      <w:r>
        <w:rPr>
          <w:rFonts w:ascii="Tahoma" w:hAnsi="Tahoma" w:cs="Tahoma" w:hint="cs"/>
          <w:sz w:val="16"/>
          <w:szCs w:val="16"/>
          <w:rtl/>
        </w:rPr>
        <w:t xml:space="preserve"> </w:t>
      </w:r>
      <w:r w:rsidRPr="00287CA8">
        <w:rPr>
          <w:rFonts w:ascii="Tahoma" w:hAnsi="Tahoma" w:cs="Tahoma" w:hint="cs"/>
          <w:sz w:val="16"/>
          <w:szCs w:val="16"/>
          <w:rtl/>
        </w:rPr>
        <w:t xml:space="preserve">היה </w:t>
      </w:r>
      <w:r w:rsidRPr="00287CA8">
        <w:rPr>
          <w:rFonts w:ascii="Tahoma" w:hAnsi="Tahoma" w:cs="Tahoma" w:hint="cs"/>
          <w:sz w:val="16"/>
          <w:szCs w:val="16"/>
          <w:rtl/>
        </w:rPr>
        <w:t>להנזיל</w:t>
      </w:r>
      <w:r w:rsidRPr="00287CA8">
        <w:rPr>
          <w:rFonts w:ascii="Tahoma" w:hAnsi="Tahoma" w:cs="Tahoma" w:hint="cs"/>
          <w:sz w:val="16"/>
          <w:szCs w:val="16"/>
          <w:rtl/>
        </w:rPr>
        <w:t xml:space="preserve"> את הרווחים באופן </w:t>
      </w:r>
      <w:r w:rsidRPr="00287CA8">
        <w:rPr>
          <w:rFonts w:ascii="Tahoma" w:hAnsi="Tahoma" w:cs="Tahoma" w:hint="cs"/>
          <w:sz w:val="16"/>
          <w:szCs w:val="16"/>
          <w:rtl/>
        </w:rPr>
        <w:t>מיידי</w:t>
      </w:r>
      <w:r w:rsidRPr="00287CA8">
        <w:rPr>
          <w:rFonts w:ascii="Tahoma" w:hAnsi="Tahoma" w:cs="Tahoma" w:hint="cs"/>
          <w:sz w:val="16"/>
          <w:szCs w:val="16"/>
          <w:rtl/>
        </w:rPr>
        <w:t xml:space="preserve"> לצורך מימון פעילות שוטפת של הרשתות בתקופת הקורונה.</w:t>
      </w:r>
    </w:p>
    <w:p w:rsidR="00703C56" w:rsidRPr="003D59A1" w:rsidP="003D59A1" w14:paraId="4D83209F" w14:textId="55597AAB">
      <w:pPr>
        <w:pStyle w:val="7317"/>
        <w:rPr>
          <w:rtl/>
        </w:rPr>
      </w:pPr>
      <w:r w:rsidRPr="003D59A1">
        <w:rPr>
          <w:rFonts w:hint="cs"/>
          <w:rtl/>
        </w:rPr>
        <w:t xml:space="preserve">אומנם הקריטריון לקבלת סיוע ייחודי מושפע משינויים במחזור הפעילות, אולם לנוכח היקף הרווחים או ההפסדים השנתיים, שיעורם ממחזור הפעילות, יחסי הנזילות שנבדקו והיקף יתרת הרווחים הצבורים, ועל רקע תכלית הסיוע הייחודי לבתי המלון: מניעת סגירתם של </w:t>
      </w:r>
      <w:r w:rsidRPr="003D59A1">
        <w:rPr>
          <w:rFonts w:hint="cs"/>
          <w:rtl/>
        </w:rPr>
        <w:t xml:space="preserve">בתי מלון בארץ, עולה בדיעבד ספק בדבר נחיצות הסיוע הייחודי שהעניקה המדינה באמצעות מענק מוחלט שאינו תלוי בהתפתחויות עתידיות לשלוש הרשתות ושהסתכם </w:t>
      </w:r>
      <w:r w:rsidR="00B36AC3">
        <w:rPr>
          <w:rtl/>
        </w:rPr>
        <w:br/>
      </w:r>
      <w:r w:rsidRPr="003D59A1">
        <w:rPr>
          <w:rFonts w:hint="cs"/>
          <w:rtl/>
        </w:rPr>
        <w:t xml:space="preserve">בכ-60 מיליון ש"ח. העובדה כי ברשתות מלונות א' ו-ב' נרשם רווח נקי בשנת 2021 וברשת מלונות ג' נרשמו </w:t>
      </w:r>
      <w:r w:rsidRPr="003D59A1">
        <w:rPr>
          <w:rtl/>
        </w:rPr>
        <w:t>בשנה זו רווח תפעולי לא כולל עלויות מימון (כ-207.8 מיליוני ש"ח)</w:t>
      </w:r>
      <w:r w:rsidRPr="003D59A1">
        <w:rPr>
          <w:rFonts w:hint="cs"/>
          <w:rtl/>
        </w:rPr>
        <w:t xml:space="preserve"> לצד הפסד לצורכי מס נמוך יחסית (כ-7.7 מיליוני ש"ח) ביחס למחזור הפעילות שלה שהיה </w:t>
      </w:r>
      <w:r w:rsidR="00B36AC3">
        <w:rPr>
          <w:rtl/>
        </w:rPr>
        <w:br/>
      </w:r>
      <w:r w:rsidRPr="003D59A1">
        <w:rPr>
          <w:rFonts w:hint="cs"/>
          <w:rtl/>
        </w:rPr>
        <w:t>כ-1.3 מיליארד ש"ח (כלומר שיעור הפסד של כ-0.6%), אף שהמדינה העבירה את תשלומי הסיוע הייחודי בעיכוב של ארבעה עד שבעה חודשים לאחר סוף התקופות שלהן יועד הסיוע, מחזקת ספק זה</w:t>
      </w:r>
      <w:r w:rsidR="00C872F0">
        <w:rPr>
          <w:rFonts w:hint="cs"/>
          <w:rtl/>
        </w:rPr>
        <w:t>.</w:t>
      </w:r>
    </w:p>
    <w:p w:rsidR="003D59A1" w:rsidRPr="00CD0445" w:rsidP="00F87E1F" w14:paraId="4621338B" w14:textId="50CD071C">
      <w:pPr>
        <w:pStyle w:val="ListParagraph"/>
        <w:spacing w:after="180" w:line="288" w:lineRule="auto"/>
        <w:ind w:left="-426"/>
        <w:contextualSpacing w:val="0"/>
        <w:rPr>
          <w:rFonts w:ascii="Tahoma" w:hAnsi="Tahoma" w:cs="Tahoma"/>
          <w:color w:val="0D0D0D" w:themeColor="text1" w:themeTint="F2"/>
          <w:sz w:val="18"/>
          <w:szCs w:val="18"/>
        </w:rPr>
      </w:pPr>
      <w:r w:rsidRPr="00E00FEF">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00FEF">
        <w:rPr>
          <w:rFonts w:ascii="Tahoma" w:hAnsi="Tahoma" w:cs="Tahoma" w:hint="cs"/>
          <w:b/>
          <w:bCs/>
          <w:color w:val="0D0D0D" w:themeColor="text1" w:themeTint="F2"/>
          <w:sz w:val="18"/>
          <w:szCs w:val="18"/>
          <w:rtl/>
        </w:rPr>
        <w:t>הסיוע הייחודי למורי הדרך</w:t>
      </w:r>
      <w:r w:rsidRPr="00CD0445">
        <w:rPr>
          <w:rFonts w:ascii="Tahoma" w:hAnsi="Tahoma" w:cs="Tahoma" w:hint="cs"/>
          <w:color w:val="0D0D0D" w:themeColor="text1" w:themeTint="F2"/>
          <w:sz w:val="18"/>
          <w:szCs w:val="18"/>
          <w:rtl/>
        </w:rPr>
        <w:t xml:space="preserve"> - כדי לסייע למורי הדרך במשבר הקורונה הקצתה המדינה בשנים 2020 עד 2022 סך כולל של כ-35 מיליון ש"ח להפעלת שלושה סבבי סיורים מודרכים ללא תשלום לקהל הרחב. את הסיורים הפעילה </w:t>
      </w:r>
      <w:r w:rsidRPr="00CD0445">
        <w:rPr>
          <w:rFonts w:ascii="Tahoma" w:hAnsi="Tahoma" w:cs="Tahoma" w:hint="cs"/>
          <w:color w:val="0D0D0D" w:themeColor="text1" w:themeTint="F2"/>
          <w:sz w:val="18"/>
          <w:szCs w:val="18"/>
          <w:rtl/>
        </w:rPr>
        <w:t>רט"ג</w:t>
      </w:r>
      <w:r w:rsidRPr="00CD0445">
        <w:rPr>
          <w:rFonts w:ascii="Tahoma" w:hAnsi="Tahoma" w:cs="Tahoma" w:hint="cs"/>
          <w:color w:val="0D0D0D" w:themeColor="text1" w:themeTint="F2"/>
          <w:sz w:val="18"/>
          <w:szCs w:val="18"/>
          <w:rtl/>
        </w:rPr>
        <w:t xml:space="preserve"> באתריה ובכמה ערים ברחבי הארץ.</w:t>
      </w:r>
    </w:p>
    <w:p w:rsidR="003D59A1" w:rsidRPr="00E00FEF" w14:paraId="02C34094" w14:textId="77777777">
      <w:pPr>
        <w:pStyle w:val="ListParagraph"/>
        <w:numPr>
          <w:ilvl w:val="0"/>
          <w:numId w:val="11"/>
        </w:numPr>
        <w:spacing w:after="180" w:line="288" w:lineRule="auto"/>
        <w:contextualSpacing w:val="0"/>
        <w:rPr>
          <w:rFonts w:ascii="Tahoma" w:hAnsi="Tahoma" w:cs="Tahoma"/>
          <w:color w:val="0D0D0D" w:themeColor="text1" w:themeTint="F2"/>
          <w:spacing w:val="-2"/>
          <w:sz w:val="18"/>
          <w:szCs w:val="18"/>
          <w:rtl/>
        </w:rPr>
      </w:pPr>
      <w:r w:rsidRPr="00E00FEF">
        <w:rPr>
          <w:rFonts w:ascii="Tahoma" w:hAnsi="Tahoma" w:cs="Tahoma"/>
          <w:b/>
          <w:bCs/>
          <w:color w:val="0D0D0D" w:themeColor="text1" w:themeTint="F2"/>
          <w:spacing w:val="-2"/>
          <w:sz w:val="18"/>
          <w:szCs w:val="18"/>
          <w:rtl/>
        </w:rPr>
        <w:t>מועילות הסיוע</w:t>
      </w:r>
      <w:r w:rsidRPr="00E00FEF">
        <w:rPr>
          <w:rFonts w:ascii="Tahoma" w:hAnsi="Tahoma" w:cs="Tahoma"/>
          <w:color w:val="0D0D0D" w:themeColor="text1" w:themeTint="F2"/>
          <w:spacing w:val="-2"/>
          <w:sz w:val="18"/>
          <w:szCs w:val="18"/>
          <w:rtl/>
        </w:rPr>
        <w:t xml:space="preserve"> </w:t>
      </w:r>
      <w:r w:rsidRPr="00E00FEF">
        <w:rPr>
          <w:rFonts w:ascii="Tahoma" w:hAnsi="Tahoma" w:cs="Tahoma" w:hint="cs"/>
          <w:color w:val="0D0D0D" w:themeColor="text1" w:themeTint="F2"/>
          <w:spacing w:val="-2"/>
          <w:sz w:val="18"/>
          <w:szCs w:val="18"/>
          <w:rtl/>
        </w:rPr>
        <w:t xml:space="preserve">- </w:t>
      </w:r>
      <w:r w:rsidRPr="00E00FEF">
        <w:rPr>
          <w:rFonts w:ascii="Tahoma" w:hAnsi="Tahoma" w:cs="Tahoma"/>
          <w:color w:val="0D0D0D" w:themeColor="text1" w:themeTint="F2"/>
          <w:spacing w:val="-2"/>
          <w:sz w:val="18"/>
          <w:szCs w:val="18"/>
          <w:rtl/>
        </w:rPr>
        <w:t>משרד התיירות לא קבע יעד כמותי שישקף את תכלית הסיו</w:t>
      </w:r>
      <w:r w:rsidRPr="00E00FEF">
        <w:rPr>
          <w:rFonts w:ascii="Tahoma" w:hAnsi="Tahoma" w:cs="Tahoma" w:hint="cs"/>
          <w:color w:val="0D0D0D" w:themeColor="text1" w:themeTint="F2"/>
          <w:spacing w:val="-2"/>
          <w:sz w:val="18"/>
          <w:szCs w:val="18"/>
          <w:rtl/>
        </w:rPr>
        <w:t>ע</w:t>
      </w:r>
      <w:r w:rsidRPr="00E00FEF">
        <w:rPr>
          <w:rFonts w:ascii="Tahoma" w:hAnsi="Tahoma" w:cs="Tahoma"/>
          <w:color w:val="0D0D0D" w:themeColor="text1" w:themeTint="F2"/>
          <w:spacing w:val="-2"/>
          <w:sz w:val="18"/>
          <w:szCs w:val="18"/>
          <w:rtl/>
        </w:rPr>
        <w:t xml:space="preserve"> </w:t>
      </w:r>
      <w:r w:rsidRPr="00E00FEF">
        <w:rPr>
          <w:rFonts w:ascii="Tahoma" w:hAnsi="Tahoma" w:cs="Tahoma" w:hint="cs"/>
          <w:color w:val="0D0D0D" w:themeColor="text1" w:themeTint="F2"/>
          <w:spacing w:val="-2"/>
          <w:sz w:val="18"/>
          <w:szCs w:val="18"/>
          <w:rtl/>
        </w:rPr>
        <w:t xml:space="preserve">למורי הדרך באמצעות הפעלת סבב הסיורים השני </w:t>
      </w:r>
      <w:r w:rsidRPr="00E00FEF">
        <w:rPr>
          <w:rFonts w:ascii="Tahoma" w:hAnsi="Tahoma" w:cs="Tahoma"/>
          <w:color w:val="0D0D0D" w:themeColor="text1" w:themeTint="F2"/>
          <w:spacing w:val="-2"/>
          <w:sz w:val="18"/>
          <w:szCs w:val="18"/>
          <w:rtl/>
        </w:rPr>
        <w:t xml:space="preserve">בנובמבר 2020 עד דצמבר </w:t>
      </w:r>
      <w:r w:rsidRPr="00E00FEF">
        <w:rPr>
          <w:rFonts w:ascii="Tahoma" w:hAnsi="Tahoma" w:cs="Tahoma" w:hint="cs"/>
          <w:color w:val="0D0D0D" w:themeColor="text1" w:themeTint="F2"/>
          <w:spacing w:val="-2"/>
          <w:sz w:val="18"/>
          <w:szCs w:val="18"/>
          <w:rtl/>
        </w:rPr>
        <w:t>2021</w:t>
      </w:r>
      <w:r w:rsidRPr="00E00FEF">
        <w:rPr>
          <w:rFonts w:ascii="Tahoma" w:hAnsi="Tahoma" w:cs="Tahoma"/>
          <w:color w:val="0D0D0D" w:themeColor="text1" w:themeTint="F2"/>
          <w:spacing w:val="-2"/>
          <w:sz w:val="18"/>
          <w:szCs w:val="18"/>
          <w:rtl/>
        </w:rPr>
        <w:t xml:space="preserve"> (למשל, </w:t>
      </w:r>
      <w:r w:rsidRPr="00E00FEF">
        <w:rPr>
          <w:rFonts w:ascii="Tahoma" w:hAnsi="Tahoma" w:cs="Tahoma" w:hint="cs"/>
          <w:color w:val="0D0D0D" w:themeColor="text1" w:themeTint="F2"/>
          <w:spacing w:val="-2"/>
          <w:sz w:val="18"/>
          <w:szCs w:val="18"/>
          <w:rtl/>
        </w:rPr>
        <w:t xml:space="preserve">לא נקבע </w:t>
      </w:r>
      <w:r w:rsidRPr="00E00FEF">
        <w:rPr>
          <w:rFonts w:ascii="Tahoma" w:hAnsi="Tahoma" w:cs="Tahoma"/>
          <w:color w:val="0D0D0D" w:themeColor="text1" w:themeTint="F2"/>
          <w:spacing w:val="-2"/>
          <w:sz w:val="18"/>
          <w:szCs w:val="18"/>
          <w:rtl/>
        </w:rPr>
        <w:t>מספר מינימלי של מורי דרך פעילים שה</w:t>
      </w:r>
      <w:r w:rsidRPr="00E00FEF">
        <w:rPr>
          <w:rFonts w:ascii="Tahoma" w:hAnsi="Tahoma" w:cs="Tahoma" w:hint="cs"/>
          <w:color w:val="0D0D0D" w:themeColor="text1" w:themeTint="F2"/>
          <w:spacing w:val="-2"/>
          <w:sz w:val="18"/>
          <w:szCs w:val="18"/>
          <w:rtl/>
        </w:rPr>
        <w:t>משרד מ</w:t>
      </w:r>
      <w:r w:rsidRPr="00E00FEF">
        <w:rPr>
          <w:rFonts w:ascii="Tahoma" w:hAnsi="Tahoma" w:cs="Tahoma"/>
          <w:color w:val="0D0D0D" w:themeColor="text1" w:themeTint="F2"/>
          <w:spacing w:val="-2"/>
          <w:sz w:val="18"/>
          <w:szCs w:val="18"/>
          <w:rtl/>
        </w:rPr>
        <w:t xml:space="preserve">בקש לשמר </w:t>
      </w:r>
      <w:r w:rsidRPr="00E00FEF">
        <w:rPr>
          <w:rFonts w:ascii="Tahoma" w:hAnsi="Tahoma" w:cs="Tahoma" w:hint="cs"/>
          <w:color w:val="0D0D0D" w:themeColor="text1" w:themeTint="F2"/>
          <w:spacing w:val="-2"/>
          <w:sz w:val="18"/>
          <w:szCs w:val="18"/>
          <w:rtl/>
        </w:rPr>
        <w:t xml:space="preserve">במקצוע </w:t>
      </w:r>
      <w:r w:rsidRPr="00E00FEF">
        <w:rPr>
          <w:rFonts w:ascii="Tahoma" w:hAnsi="Tahoma" w:cs="Tahoma"/>
          <w:color w:val="0D0D0D" w:themeColor="text1" w:themeTint="F2"/>
          <w:spacing w:val="-2"/>
          <w:sz w:val="18"/>
          <w:szCs w:val="18"/>
          <w:rtl/>
        </w:rPr>
        <w:t>בתיירות הפנים</w:t>
      </w:r>
      <w:r w:rsidRPr="00E00FEF">
        <w:rPr>
          <w:rFonts w:ascii="Tahoma" w:hAnsi="Tahoma" w:cs="Tahoma" w:hint="cs"/>
          <w:color w:val="0D0D0D" w:themeColor="text1" w:themeTint="F2"/>
          <w:spacing w:val="-2"/>
          <w:sz w:val="18"/>
          <w:szCs w:val="18"/>
          <w:rtl/>
        </w:rPr>
        <w:t>,</w:t>
      </w:r>
      <w:r w:rsidRPr="00E00FEF">
        <w:rPr>
          <w:rFonts w:ascii="Tahoma" w:hAnsi="Tahoma" w:cs="Tahoma"/>
          <w:color w:val="0D0D0D" w:themeColor="text1" w:themeTint="F2"/>
          <w:spacing w:val="-2"/>
          <w:sz w:val="18"/>
          <w:szCs w:val="18"/>
          <w:rtl/>
        </w:rPr>
        <w:t xml:space="preserve"> בתיירות הנכנסת </w:t>
      </w:r>
      <w:r w:rsidRPr="00E00FEF">
        <w:rPr>
          <w:rFonts w:ascii="Tahoma" w:hAnsi="Tahoma" w:cs="Tahoma" w:hint="cs"/>
          <w:color w:val="0D0D0D" w:themeColor="text1" w:themeTint="F2"/>
          <w:spacing w:val="-2"/>
          <w:sz w:val="18"/>
          <w:szCs w:val="18"/>
          <w:rtl/>
        </w:rPr>
        <w:t>או לפי סוגי התמחויות גיאוגרפיים</w:t>
      </w:r>
      <w:r w:rsidRPr="00E00FEF">
        <w:rPr>
          <w:rFonts w:ascii="Tahoma" w:hAnsi="Tahoma" w:cs="Tahoma"/>
          <w:color w:val="0D0D0D" w:themeColor="text1" w:themeTint="F2"/>
          <w:spacing w:val="-2"/>
          <w:sz w:val="18"/>
          <w:szCs w:val="18"/>
          <w:rtl/>
        </w:rPr>
        <w:t xml:space="preserve">). בנסיבות אלה, והגם שסכום הסיוע בסך 10 מיליון ש"ח נוצל במלואו, לא ניתן לקבוע אם הסיוע </w:t>
      </w:r>
      <w:r w:rsidRPr="00E00FEF">
        <w:rPr>
          <w:rFonts w:ascii="Tahoma" w:hAnsi="Tahoma" w:cs="Tahoma" w:hint="cs"/>
          <w:color w:val="0D0D0D" w:themeColor="text1" w:themeTint="F2"/>
          <w:spacing w:val="-2"/>
          <w:sz w:val="18"/>
          <w:szCs w:val="18"/>
          <w:rtl/>
        </w:rPr>
        <w:t xml:space="preserve">שניתן למורי הדרך בסבב סיורים זה </w:t>
      </w:r>
      <w:r w:rsidRPr="00E00FEF">
        <w:rPr>
          <w:rFonts w:ascii="Tahoma" w:hAnsi="Tahoma" w:cs="Tahoma"/>
          <w:color w:val="0D0D0D" w:themeColor="text1" w:themeTint="F2"/>
          <w:spacing w:val="-2"/>
          <w:sz w:val="18"/>
          <w:szCs w:val="18"/>
          <w:rtl/>
        </w:rPr>
        <w:t>מימש את תכליתו</w:t>
      </w:r>
      <w:r w:rsidRPr="00E00FEF">
        <w:rPr>
          <w:rFonts w:ascii="Tahoma" w:hAnsi="Tahoma" w:cs="Tahoma" w:hint="cs"/>
          <w:color w:val="0D0D0D" w:themeColor="text1" w:themeTint="F2"/>
          <w:spacing w:val="-2"/>
          <w:sz w:val="18"/>
          <w:szCs w:val="18"/>
          <w:rtl/>
        </w:rPr>
        <w:t xml:space="preserve"> - </w:t>
      </w:r>
      <w:r w:rsidRPr="00E00FEF">
        <w:rPr>
          <w:rFonts w:ascii="Tahoma" w:hAnsi="Tahoma" w:cs="Tahoma"/>
          <w:color w:val="0D0D0D" w:themeColor="text1" w:themeTint="F2"/>
          <w:spacing w:val="-2"/>
          <w:sz w:val="18"/>
          <w:szCs w:val="18"/>
          <w:rtl/>
        </w:rPr>
        <w:t>ל</w:t>
      </w:r>
      <w:r w:rsidRPr="00E00FEF">
        <w:rPr>
          <w:rFonts w:ascii="Tahoma" w:hAnsi="Tahoma" w:cs="Tahoma" w:hint="cs"/>
          <w:color w:val="0D0D0D" w:themeColor="text1" w:themeTint="F2"/>
          <w:spacing w:val="-2"/>
          <w:sz w:val="18"/>
          <w:szCs w:val="18"/>
          <w:rtl/>
        </w:rPr>
        <w:t>ייצר מקומות תעסוקה למורי הדרך כדי ל</w:t>
      </w:r>
      <w:r w:rsidRPr="00E00FEF">
        <w:rPr>
          <w:rFonts w:ascii="Tahoma" w:hAnsi="Tahoma" w:cs="Tahoma"/>
          <w:color w:val="0D0D0D" w:themeColor="text1" w:themeTint="F2"/>
          <w:spacing w:val="-2"/>
          <w:sz w:val="18"/>
          <w:szCs w:val="18"/>
          <w:rtl/>
        </w:rPr>
        <w:t>שמור על תשתית מינימלית של מורי דרך</w:t>
      </w:r>
      <w:r w:rsidRPr="00E00FEF">
        <w:rPr>
          <w:rFonts w:ascii="Tahoma" w:hAnsi="Tahoma" w:cs="Tahoma" w:hint="cs"/>
          <w:color w:val="0D0D0D" w:themeColor="text1" w:themeTint="F2"/>
          <w:spacing w:val="-2"/>
          <w:sz w:val="18"/>
          <w:szCs w:val="18"/>
          <w:rtl/>
        </w:rPr>
        <w:t xml:space="preserve"> במהלך המשבר ולסייע להם להתמודד עם הקשיים הכלכליים, המשפחתיים והבריאותיים שהמשבר יצר</w:t>
      </w:r>
      <w:r w:rsidRPr="00E00FEF">
        <w:rPr>
          <w:rFonts w:ascii="Tahoma" w:hAnsi="Tahoma" w:cs="Tahoma"/>
          <w:color w:val="0D0D0D" w:themeColor="text1" w:themeTint="F2"/>
          <w:spacing w:val="-2"/>
          <w:sz w:val="18"/>
          <w:szCs w:val="18"/>
          <w:rtl/>
        </w:rPr>
        <w:t>.</w:t>
      </w:r>
    </w:p>
    <w:p w:rsidR="003D59A1" w:rsidRPr="00CD0445" w:rsidP="00E00FEF" w14:paraId="17912285" w14:textId="77C80DF9">
      <w:pPr>
        <w:pStyle w:val="ListParagraph"/>
        <w:spacing w:after="180" w:line="288" w:lineRule="auto"/>
        <w:ind w:left="794"/>
        <w:contextualSpacing w:val="0"/>
        <w:rPr>
          <w:rFonts w:ascii="Tahoma" w:hAnsi="Tahoma" w:cs="Tahoma"/>
          <w:color w:val="0D0D0D" w:themeColor="text1" w:themeTint="F2"/>
          <w:sz w:val="18"/>
          <w:szCs w:val="18"/>
          <w:rtl/>
        </w:rPr>
      </w:pPr>
      <w:r w:rsidRPr="00CD0445">
        <w:rPr>
          <w:rFonts w:ascii="Tahoma" w:hAnsi="Tahoma" w:cs="Tahoma"/>
          <w:color w:val="0D0D0D" w:themeColor="text1" w:themeTint="F2"/>
          <w:sz w:val="18"/>
          <w:szCs w:val="18"/>
          <w:rtl/>
        </w:rPr>
        <w:t xml:space="preserve">היקף הסיוע האפקטיבי הכולל </w:t>
      </w:r>
      <w:r w:rsidRPr="00CD0445">
        <w:rPr>
          <w:rFonts w:ascii="Tahoma" w:hAnsi="Tahoma" w:cs="Tahoma" w:hint="cs"/>
          <w:color w:val="0D0D0D" w:themeColor="text1" w:themeTint="F2"/>
          <w:sz w:val="18"/>
          <w:szCs w:val="18"/>
          <w:rtl/>
        </w:rPr>
        <w:t xml:space="preserve">בסבב הסיורים השני </w:t>
      </w:r>
      <w:r w:rsidRPr="00CD0445">
        <w:rPr>
          <w:rFonts w:ascii="Tahoma" w:hAnsi="Tahoma" w:cs="Tahoma"/>
          <w:color w:val="0D0D0D" w:themeColor="text1" w:themeTint="F2"/>
          <w:sz w:val="18"/>
          <w:szCs w:val="18"/>
          <w:rtl/>
        </w:rPr>
        <w:t>(</w:t>
      </w:r>
      <w:r w:rsidRPr="00CD0445">
        <w:rPr>
          <w:rFonts w:ascii="Tahoma" w:hAnsi="Tahoma" w:cs="Tahoma" w:hint="cs"/>
          <w:color w:val="0D0D0D" w:themeColor="text1" w:themeTint="F2"/>
          <w:sz w:val="18"/>
          <w:szCs w:val="18"/>
          <w:rtl/>
        </w:rPr>
        <w:t>כ-</w:t>
      </w:r>
      <w:r w:rsidRPr="00CD0445">
        <w:rPr>
          <w:rFonts w:ascii="Tahoma" w:hAnsi="Tahoma" w:cs="Tahoma"/>
          <w:color w:val="0D0D0D" w:themeColor="text1" w:themeTint="F2"/>
          <w:sz w:val="18"/>
          <w:szCs w:val="18"/>
          <w:rtl/>
        </w:rPr>
        <w:t xml:space="preserve">6.2 מיליון ש"ח), סכום הסיוע החודשי הממוצע ששולם לכל מורה דרך (כ-300 ש"ח כולל </w:t>
      </w:r>
      <w:r w:rsidRPr="00CD0445">
        <w:rPr>
          <w:rFonts w:ascii="Tahoma" w:hAnsi="Tahoma" w:cs="Tahoma"/>
          <w:color w:val="0D0D0D" w:themeColor="text1" w:themeTint="F2"/>
          <w:sz w:val="18"/>
          <w:szCs w:val="18"/>
          <w:rtl/>
        </w:rPr>
        <w:t>מע"</w:t>
      </w:r>
      <w:r w:rsidRPr="00CD0445">
        <w:rPr>
          <w:rFonts w:ascii="Tahoma" w:hAnsi="Tahoma" w:cs="Tahoma" w:hint="cs"/>
          <w:color w:val="0D0D0D" w:themeColor="text1" w:themeTint="F2"/>
          <w:sz w:val="18"/>
          <w:szCs w:val="18"/>
          <w:rtl/>
        </w:rPr>
        <w:t>ם</w:t>
      </w:r>
      <w:r w:rsidRPr="00CD0445">
        <w:rPr>
          <w:rFonts w:ascii="Tahoma" w:hAnsi="Tahoma" w:cs="Tahoma"/>
          <w:color w:val="0D0D0D" w:themeColor="text1" w:themeTint="F2"/>
          <w:sz w:val="18"/>
          <w:szCs w:val="18"/>
          <w:rtl/>
        </w:rPr>
        <w:t>) ושיעור מורי הדרך שהשתתפו ב</w:t>
      </w:r>
      <w:r w:rsidRPr="00CD0445">
        <w:rPr>
          <w:rFonts w:ascii="Tahoma" w:hAnsi="Tahoma" w:cs="Tahoma" w:hint="cs"/>
          <w:color w:val="0D0D0D" w:themeColor="text1" w:themeTint="F2"/>
          <w:sz w:val="18"/>
          <w:szCs w:val="18"/>
          <w:rtl/>
        </w:rPr>
        <w:t>סבב סיורים זה</w:t>
      </w:r>
      <w:r w:rsidRPr="00CD0445">
        <w:rPr>
          <w:rFonts w:ascii="Tahoma" w:hAnsi="Tahoma" w:cs="Tahoma"/>
          <w:color w:val="0D0D0D" w:themeColor="text1" w:themeTint="F2"/>
          <w:sz w:val="18"/>
          <w:szCs w:val="18"/>
          <w:rtl/>
        </w:rPr>
        <w:t xml:space="preserve"> (כ-16%) מעלים ספק ב</w:t>
      </w:r>
      <w:r w:rsidRPr="00CD0445">
        <w:rPr>
          <w:rFonts w:ascii="Tahoma" w:hAnsi="Tahoma" w:cs="Tahoma" w:hint="cs"/>
          <w:color w:val="0D0D0D" w:themeColor="text1" w:themeTint="F2"/>
          <w:sz w:val="18"/>
          <w:szCs w:val="18"/>
          <w:rtl/>
        </w:rPr>
        <w:t>נוגע</w:t>
      </w:r>
      <w:r w:rsidRPr="00CD0445">
        <w:rPr>
          <w:rFonts w:ascii="Tahoma" w:hAnsi="Tahoma" w:cs="Tahoma"/>
          <w:color w:val="0D0D0D" w:themeColor="text1" w:themeTint="F2"/>
          <w:sz w:val="18"/>
          <w:szCs w:val="18"/>
          <w:rtl/>
        </w:rPr>
        <w:t xml:space="preserve"> להשגת מטרת הסיוע של סבב סיורים זה, יעילות</w:t>
      </w:r>
      <w:r w:rsidRPr="00CD0445">
        <w:rPr>
          <w:rFonts w:ascii="Tahoma" w:hAnsi="Tahoma" w:cs="Tahoma" w:hint="cs"/>
          <w:color w:val="0D0D0D" w:themeColor="text1" w:themeTint="F2"/>
          <w:sz w:val="18"/>
          <w:szCs w:val="18"/>
          <w:rtl/>
        </w:rPr>
        <w:t>ו</w:t>
      </w:r>
      <w:r w:rsidRPr="00CD0445">
        <w:rPr>
          <w:rFonts w:ascii="Tahoma" w:hAnsi="Tahoma" w:cs="Tahoma"/>
          <w:color w:val="0D0D0D" w:themeColor="text1" w:themeTint="F2"/>
          <w:sz w:val="18"/>
          <w:szCs w:val="18"/>
          <w:rtl/>
        </w:rPr>
        <w:t xml:space="preserve"> </w:t>
      </w:r>
      <w:r w:rsidRPr="00CD0445">
        <w:rPr>
          <w:rFonts w:ascii="Tahoma" w:hAnsi="Tahoma" w:cs="Tahoma"/>
          <w:color w:val="0D0D0D" w:themeColor="text1" w:themeTint="F2"/>
          <w:sz w:val="18"/>
          <w:szCs w:val="18"/>
          <w:rtl/>
        </w:rPr>
        <w:t>ומועילות</w:t>
      </w:r>
      <w:r w:rsidRPr="00CD0445">
        <w:rPr>
          <w:rFonts w:ascii="Tahoma" w:hAnsi="Tahoma" w:cs="Tahoma" w:hint="cs"/>
          <w:color w:val="0D0D0D" w:themeColor="text1" w:themeTint="F2"/>
          <w:sz w:val="18"/>
          <w:szCs w:val="18"/>
          <w:rtl/>
        </w:rPr>
        <w:t>ו</w:t>
      </w:r>
      <w:r w:rsidRPr="00CD0445">
        <w:rPr>
          <w:rFonts w:ascii="Tahoma" w:hAnsi="Tahoma" w:cs="Tahoma"/>
          <w:color w:val="0D0D0D" w:themeColor="text1" w:themeTint="F2"/>
          <w:sz w:val="18"/>
          <w:szCs w:val="18"/>
          <w:rtl/>
        </w:rPr>
        <w:t>.</w:t>
      </w:r>
    </w:p>
    <w:p w:rsidR="003D59A1" w:rsidRPr="00CD0445" w14:paraId="35E5F700" w14:textId="77777777">
      <w:pPr>
        <w:pStyle w:val="ListParagraph"/>
        <w:numPr>
          <w:ilvl w:val="0"/>
          <w:numId w:val="11"/>
        </w:numPr>
        <w:spacing w:after="180" w:line="288" w:lineRule="auto"/>
        <w:contextualSpacing w:val="0"/>
        <w:rPr>
          <w:rFonts w:ascii="Tahoma" w:hAnsi="Tahoma" w:cs="Tahoma"/>
          <w:color w:val="0D0D0D" w:themeColor="text1" w:themeTint="F2"/>
          <w:sz w:val="18"/>
          <w:szCs w:val="18"/>
          <w:rtl/>
        </w:rPr>
      </w:pPr>
      <w:r w:rsidRPr="00E00FEF">
        <w:rPr>
          <w:rFonts w:ascii="Tahoma" w:hAnsi="Tahoma" w:cs="Tahoma" w:hint="cs"/>
          <w:b/>
          <w:bCs/>
          <w:color w:val="0D0D0D" w:themeColor="text1" w:themeTint="F2"/>
          <w:sz w:val="18"/>
          <w:szCs w:val="18"/>
          <w:rtl/>
        </w:rPr>
        <w:t>שיעורי הניצול של התקציב שיועד לסיוע למורי הדרך בשנת 2022</w:t>
      </w:r>
      <w:r w:rsidRPr="00CD0445">
        <w:rPr>
          <w:rFonts w:ascii="Tahoma" w:hAnsi="Tahoma" w:cs="Tahoma"/>
          <w:color w:val="0D0D0D" w:themeColor="text1" w:themeTint="F2"/>
          <w:sz w:val="18"/>
          <w:szCs w:val="18"/>
          <w:rtl/>
        </w:rPr>
        <w:t xml:space="preserve"> </w:t>
      </w:r>
      <w:r w:rsidRPr="00CD0445">
        <w:rPr>
          <w:rFonts w:ascii="Tahoma" w:hAnsi="Tahoma" w:cs="Tahoma" w:hint="cs"/>
          <w:color w:val="0D0D0D" w:themeColor="text1" w:themeTint="F2"/>
          <w:sz w:val="18"/>
          <w:szCs w:val="18"/>
          <w:rtl/>
        </w:rPr>
        <w:t xml:space="preserve">- </w:t>
      </w:r>
      <w:r w:rsidRPr="00CD0445">
        <w:rPr>
          <w:rFonts w:ascii="Tahoma" w:hAnsi="Tahoma" w:cs="Tahoma"/>
          <w:color w:val="0D0D0D" w:themeColor="text1" w:themeTint="F2"/>
          <w:sz w:val="18"/>
          <w:szCs w:val="18"/>
          <w:rtl/>
        </w:rPr>
        <w:t>בחלוף שני שליש</w:t>
      </w:r>
      <w:r w:rsidRPr="00CD0445">
        <w:rPr>
          <w:rFonts w:ascii="Tahoma" w:hAnsi="Tahoma" w:cs="Tahoma" w:hint="cs"/>
          <w:color w:val="0D0D0D" w:themeColor="text1" w:themeTint="F2"/>
          <w:sz w:val="18"/>
          <w:szCs w:val="18"/>
          <w:rtl/>
        </w:rPr>
        <w:t>ים</w:t>
      </w:r>
      <w:r w:rsidRPr="00CD0445">
        <w:rPr>
          <w:rFonts w:ascii="Tahoma" w:hAnsi="Tahoma" w:cs="Tahoma"/>
          <w:color w:val="0D0D0D" w:themeColor="text1" w:themeTint="F2"/>
          <w:sz w:val="18"/>
          <w:szCs w:val="18"/>
          <w:rtl/>
        </w:rPr>
        <w:t xml:space="preserve"> מהתקופה </w:t>
      </w:r>
      <w:r w:rsidRPr="00CD0445">
        <w:rPr>
          <w:rFonts w:ascii="Tahoma" w:hAnsi="Tahoma" w:cs="Tahoma" w:hint="cs"/>
          <w:color w:val="0D0D0D" w:themeColor="text1" w:themeTint="F2"/>
          <w:sz w:val="18"/>
          <w:szCs w:val="18"/>
          <w:rtl/>
        </w:rPr>
        <w:t>ש</w:t>
      </w:r>
      <w:r w:rsidRPr="00CD0445">
        <w:rPr>
          <w:rFonts w:ascii="Tahoma" w:hAnsi="Tahoma" w:cs="Tahoma"/>
          <w:color w:val="0D0D0D" w:themeColor="text1" w:themeTint="F2"/>
          <w:sz w:val="18"/>
          <w:szCs w:val="18"/>
          <w:rtl/>
        </w:rPr>
        <w:t xml:space="preserve">בה נקבע כי יתבצע סבב סיורים </w:t>
      </w:r>
      <w:r w:rsidRPr="00CD0445">
        <w:rPr>
          <w:rFonts w:ascii="Tahoma" w:hAnsi="Tahoma" w:cs="Tahoma" w:hint="cs"/>
          <w:color w:val="0D0D0D" w:themeColor="text1" w:themeTint="F2"/>
          <w:sz w:val="18"/>
          <w:szCs w:val="18"/>
          <w:rtl/>
        </w:rPr>
        <w:t>שלישי בשנת 2022</w:t>
      </w:r>
      <w:r w:rsidRPr="00CD0445">
        <w:rPr>
          <w:rFonts w:ascii="Tahoma" w:hAnsi="Tahoma" w:cs="Tahoma"/>
          <w:color w:val="0D0D0D" w:themeColor="text1" w:themeTint="F2"/>
          <w:sz w:val="18"/>
          <w:szCs w:val="18"/>
          <w:rtl/>
        </w:rPr>
        <w:t>, נוצל רק כשליש מ</w:t>
      </w:r>
      <w:r w:rsidRPr="00CD0445">
        <w:rPr>
          <w:rFonts w:ascii="Tahoma" w:hAnsi="Tahoma" w:cs="Tahoma" w:hint="cs"/>
          <w:color w:val="0D0D0D" w:themeColor="text1" w:themeTint="F2"/>
          <w:sz w:val="18"/>
          <w:szCs w:val="18"/>
          <w:rtl/>
        </w:rPr>
        <w:t>ה</w:t>
      </w:r>
      <w:r w:rsidRPr="00CD0445">
        <w:rPr>
          <w:rFonts w:ascii="Tahoma" w:hAnsi="Tahoma" w:cs="Tahoma"/>
          <w:color w:val="0D0D0D" w:themeColor="text1" w:themeTint="F2"/>
          <w:sz w:val="18"/>
          <w:szCs w:val="18"/>
          <w:rtl/>
        </w:rPr>
        <w:t xml:space="preserve">תקציב </w:t>
      </w:r>
      <w:r w:rsidRPr="00CD0445">
        <w:rPr>
          <w:rFonts w:ascii="Tahoma" w:hAnsi="Tahoma" w:cs="Tahoma" w:hint="cs"/>
          <w:color w:val="0D0D0D" w:themeColor="text1" w:themeTint="F2"/>
          <w:sz w:val="18"/>
          <w:szCs w:val="18"/>
          <w:rtl/>
        </w:rPr>
        <w:t xml:space="preserve">שיועד לכך </w:t>
      </w:r>
      <w:r w:rsidRPr="00CD0445">
        <w:rPr>
          <w:rFonts w:ascii="Tahoma" w:hAnsi="Tahoma" w:cs="Tahoma"/>
          <w:color w:val="0D0D0D" w:themeColor="text1" w:themeTint="F2"/>
          <w:sz w:val="18"/>
          <w:szCs w:val="18"/>
          <w:rtl/>
        </w:rPr>
        <w:t>(8 מתוך 25 מיליון ש"ח). כדי לנצל את מלוא התקציב</w:t>
      </w:r>
      <w:r w:rsidRPr="00CD0445">
        <w:rPr>
          <w:rFonts w:ascii="Tahoma" w:hAnsi="Tahoma" w:cs="Tahoma" w:hint="cs"/>
          <w:color w:val="0D0D0D" w:themeColor="text1" w:themeTint="F2"/>
          <w:sz w:val="18"/>
          <w:szCs w:val="18"/>
          <w:rtl/>
        </w:rPr>
        <w:t xml:space="preserve"> </w:t>
      </w:r>
      <w:r w:rsidRPr="00CD0445">
        <w:rPr>
          <w:rFonts w:ascii="Tahoma" w:hAnsi="Tahoma" w:cs="Tahoma"/>
          <w:color w:val="0D0D0D" w:themeColor="text1" w:themeTint="F2"/>
          <w:sz w:val="18"/>
          <w:szCs w:val="18"/>
          <w:rtl/>
        </w:rPr>
        <w:t xml:space="preserve">שהוקצה לסבב סיורים זה האריך משרד התיירות את סבב הסיורים בשנה נוספת עד לדצמבר 2023. </w:t>
      </w:r>
    </w:p>
    <w:p w:rsidR="003D59A1" w:rsidRPr="00CD0445" w14:paraId="52418BB2" w14:textId="297A8EBB">
      <w:pPr>
        <w:pStyle w:val="ListParagraph"/>
        <w:numPr>
          <w:ilvl w:val="0"/>
          <w:numId w:val="11"/>
        </w:numPr>
        <w:spacing w:after="180" w:line="288" w:lineRule="auto"/>
        <w:contextualSpacing w:val="0"/>
        <w:rPr>
          <w:rFonts w:ascii="Tahoma" w:hAnsi="Tahoma" w:cs="Tahoma"/>
          <w:color w:val="0D0D0D" w:themeColor="text1" w:themeTint="F2"/>
          <w:sz w:val="18"/>
          <w:szCs w:val="18"/>
        </w:rPr>
      </w:pPr>
      <w:r w:rsidRPr="00E00FEF">
        <w:rPr>
          <w:rFonts w:ascii="Tahoma" w:hAnsi="Tahoma" w:cs="Tahoma"/>
          <w:b/>
          <w:bCs/>
          <w:color w:val="0D0D0D" w:themeColor="text1" w:themeTint="F2"/>
          <w:sz w:val="18"/>
          <w:szCs w:val="18"/>
          <w:rtl/>
        </w:rPr>
        <w:t>התנאי לקבלת דמי אבטלה למורי דרך בעלי רכב אשכול</w:t>
      </w:r>
      <w:r>
        <w:rPr>
          <w:rFonts w:ascii="Tahoma" w:hAnsi="Tahoma" w:cs="Tahoma"/>
          <w:b/>
          <w:bCs/>
          <w:color w:val="0D0D0D" w:themeColor="text1" w:themeTint="F2"/>
          <w:sz w:val="18"/>
          <w:szCs w:val="18"/>
          <w:vertAlign w:val="superscript"/>
          <w:rtl/>
        </w:rPr>
        <w:footnoteReference w:id="5"/>
      </w:r>
      <w:r w:rsidR="00C872F0">
        <w:rPr>
          <w:rFonts w:ascii="Tahoma" w:hAnsi="Tahoma" w:cs="Tahoma" w:hint="cs"/>
          <w:color w:val="0D0D0D" w:themeColor="text1" w:themeTint="F2"/>
          <w:sz w:val="18"/>
          <w:szCs w:val="18"/>
          <w:rtl/>
        </w:rPr>
        <w:t xml:space="preserve"> -</w:t>
      </w:r>
      <w:r w:rsidRPr="00CD0445">
        <w:rPr>
          <w:rFonts w:ascii="Tahoma" w:hAnsi="Tahoma" w:cs="Tahoma"/>
          <w:color w:val="0D0D0D" w:themeColor="text1" w:themeTint="F2"/>
          <w:sz w:val="18"/>
          <w:szCs w:val="18"/>
          <w:rtl/>
        </w:rPr>
        <w:t xml:space="preserve"> </w:t>
      </w:r>
      <w:r w:rsidRPr="00CD0445">
        <w:rPr>
          <w:rFonts w:ascii="Tahoma" w:hAnsi="Tahoma" w:cs="Tahoma" w:hint="cs"/>
          <w:color w:val="0D0D0D" w:themeColor="text1" w:themeTint="F2"/>
          <w:sz w:val="18"/>
          <w:szCs w:val="18"/>
          <w:rtl/>
        </w:rPr>
        <w:t>לצורך קבלת דמי אבטלה נדרשת תקופת אכשרה. משרד האוצר התנגד לכך ש</w:t>
      </w:r>
      <w:r w:rsidRPr="00CD0445">
        <w:rPr>
          <w:rFonts w:ascii="Tahoma" w:hAnsi="Tahoma" w:cs="Tahoma"/>
          <w:color w:val="0D0D0D" w:themeColor="text1" w:themeTint="F2"/>
          <w:sz w:val="18"/>
          <w:szCs w:val="18"/>
          <w:rtl/>
        </w:rPr>
        <w:t xml:space="preserve">המועד </w:t>
      </w:r>
      <w:r w:rsidRPr="00CD0445">
        <w:rPr>
          <w:rFonts w:ascii="Tahoma" w:hAnsi="Tahoma" w:cs="Tahoma" w:hint="cs"/>
          <w:color w:val="0D0D0D" w:themeColor="text1" w:themeTint="F2"/>
          <w:sz w:val="18"/>
          <w:szCs w:val="18"/>
          <w:rtl/>
        </w:rPr>
        <w:t>הקובע</w:t>
      </w:r>
      <w:r w:rsidRPr="00CD0445">
        <w:rPr>
          <w:rFonts w:ascii="Tahoma" w:hAnsi="Tahoma" w:cs="Tahoma"/>
          <w:color w:val="0D0D0D" w:themeColor="text1" w:themeTint="F2"/>
          <w:sz w:val="18"/>
          <w:szCs w:val="18"/>
          <w:rtl/>
        </w:rPr>
        <w:t xml:space="preserve"> לתקופת </w:t>
      </w:r>
      <w:r w:rsidRPr="00CD0445">
        <w:rPr>
          <w:rFonts w:ascii="Tahoma" w:hAnsi="Tahoma" w:cs="Tahoma" w:hint="cs"/>
          <w:color w:val="0D0D0D" w:themeColor="text1" w:themeTint="F2"/>
          <w:sz w:val="18"/>
          <w:szCs w:val="18"/>
          <w:rtl/>
        </w:rPr>
        <w:t>ה</w:t>
      </w:r>
      <w:r w:rsidRPr="00CD0445">
        <w:rPr>
          <w:rFonts w:ascii="Tahoma" w:hAnsi="Tahoma" w:cs="Tahoma"/>
          <w:color w:val="0D0D0D" w:themeColor="text1" w:themeTint="F2"/>
          <w:sz w:val="18"/>
          <w:szCs w:val="18"/>
          <w:rtl/>
        </w:rPr>
        <w:t xml:space="preserve">אכשרה </w:t>
      </w:r>
      <w:r w:rsidRPr="00CD0445">
        <w:rPr>
          <w:rFonts w:ascii="Tahoma" w:hAnsi="Tahoma" w:cs="Tahoma" w:hint="cs"/>
          <w:color w:val="0D0D0D" w:themeColor="text1" w:themeTint="F2"/>
          <w:sz w:val="18"/>
          <w:szCs w:val="18"/>
          <w:rtl/>
        </w:rPr>
        <w:t>במשבר הקורונה לגבי</w:t>
      </w:r>
      <w:r w:rsidRPr="00CD0445">
        <w:rPr>
          <w:rFonts w:ascii="Tahoma" w:hAnsi="Tahoma" w:cs="Tahoma"/>
          <w:color w:val="0D0D0D" w:themeColor="text1" w:themeTint="F2"/>
          <w:sz w:val="18"/>
          <w:szCs w:val="18"/>
          <w:rtl/>
        </w:rPr>
        <w:t xml:space="preserve"> מורי </w:t>
      </w:r>
      <w:r w:rsidRPr="00CD0445">
        <w:rPr>
          <w:rFonts w:ascii="Tahoma" w:hAnsi="Tahoma" w:cs="Tahoma" w:hint="cs"/>
          <w:color w:val="0D0D0D" w:themeColor="text1" w:themeTint="F2"/>
          <w:sz w:val="18"/>
          <w:szCs w:val="18"/>
          <w:rtl/>
        </w:rPr>
        <w:t>ה</w:t>
      </w:r>
      <w:r w:rsidRPr="00CD0445">
        <w:rPr>
          <w:rFonts w:ascii="Tahoma" w:hAnsi="Tahoma" w:cs="Tahoma"/>
          <w:color w:val="0D0D0D" w:themeColor="text1" w:themeTint="F2"/>
          <w:sz w:val="18"/>
          <w:szCs w:val="18"/>
          <w:rtl/>
        </w:rPr>
        <w:t>דרך בעלי רכב אשכול</w:t>
      </w:r>
      <w:r w:rsidRPr="00CD0445">
        <w:rPr>
          <w:rFonts w:ascii="Tahoma" w:hAnsi="Tahoma" w:cs="Tahoma" w:hint="cs"/>
          <w:color w:val="0D0D0D" w:themeColor="text1" w:themeTint="F2"/>
          <w:sz w:val="18"/>
          <w:szCs w:val="18"/>
          <w:rtl/>
        </w:rPr>
        <w:t xml:space="preserve"> יהיה</w:t>
      </w:r>
      <w:r w:rsidRPr="00CD0445">
        <w:rPr>
          <w:rFonts w:ascii="Tahoma" w:hAnsi="Tahoma" w:cs="Tahoma"/>
          <w:color w:val="0D0D0D" w:themeColor="text1" w:themeTint="F2"/>
          <w:sz w:val="18"/>
          <w:szCs w:val="18"/>
          <w:rtl/>
        </w:rPr>
        <w:t xml:space="preserve"> זהה למועד </w:t>
      </w:r>
      <w:r w:rsidRPr="00CD0445">
        <w:rPr>
          <w:rFonts w:ascii="Tahoma" w:hAnsi="Tahoma" w:cs="Tahoma" w:hint="cs"/>
          <w:color w:val="0D0D0D" w:themeColor="text1" w:themeTint="F2"/>
          <w:sz w:val="18"/>
          <w:szCs w:val="18"/>
          <w:rtl/>
        </w:rPr>
        <w:t xml:space="preserve">שנקבע </w:t>
      </w:r>
      <w:r w:rsidRPr="00CD0445">
        <w:rPr>
          <w:rFonts w:ascii="Tahoma" w:hAnsi="Tahoma" w:cs="Tahoma"/>
          <w:color w:val="0D0D0D" w:themeColor="text1" w:themeTint="F2"/>
          <w:sz w:val="18"/>
          <w:szCs w:val="18"/>
          <w:rtl/>
        </w:rPr>
        <w:t xml:space="preserve">למורי </w:t>
      </w:r>
      <w:r w:rsidRPr="00CD0445">
        <w:rPr>
          <w:rFonts w:ascii="Tahoma" w:hAnsi="Tahoma" w:cs="Tahoma" w:hint="cs"/>
          <w:color w:val="0D0D0D" w:themeColor="text1" w:themeTint="F2"/>
          <w:sz w:val="18"/>
          <w:szCs w:val="18"/>
          <w:rtl/>
        </w:rPr>
        <w:t>ה</w:t>
      </w:r>
      <w:r w:rsidRPr="00CD0445">
        <w:rPr>
          <w:rFonts w:ascii="Tahoma" w:hAnsi="Tahoma" w:cs="Tahoma"/>
          <w:color w:val="0D0D0D" w:themeColor="text1" w:themeTint="F2"/>
          <w:sz w:val="18"/>
          <w:szCs w:val="18"/>
          <w:rtl/>
        </w:rPr>
        <w:t xml:space="preserve">דרך שאינם בעלי רכבי אשכול. כתוצאה מכך המהלך שהוביל המוסד לביטוח לאומי כדי לסייע גם למורי הדרך בעלי רכב אשכול שנפגעו </w:t>
      </w:r>
      <w:r w:rsidRPr="00CD0445">
        <w:rPr>
          <w:rFonts w:ascii="Tahoma" w:hAnsi="Tahoma" w:cs="Tahoma" w:hint="cs"/>
          <w:color w:val="0D0D0D" w:themeColor="text1" w:themeTint="F2"/>
          <w:sz w:val="18"/>
          <w:szCs w:val="18"/>
          <w:rtl/>
        </w:rPr>
        <w:t>ב</w:t>
      </w:r>
      <w:r w:rsidRPr="00CD0445">
        <w:rPr>
          <w:rFonts w:ascii="Tahoma" w:hAnsi="Tahoma" w:cs="Tahoma"/>
          <w:color w:val="0D0D0D" w:themeColor="text1" w:themeTint="F2"/>
          <w:sz w:val="18"/>
          <w:szCs w:val="18"/>
          <w:rtl/>
        </w:rPr>
        <w:t xml:space="preserve">משבר הקורונה, לא ייצר עבורם כל זכאות להגיש תביעה לדמי אבטלה בתקופת הקורונה, ולו באופן מופחת, אלא רק במשבר עתידי. זאת בעוד שלעניין הפגיעה בפרנסה עקב המשבר </w:t>
      </w:r>
      <w:r w:rsidRPr="00CD0445">
        <w:rPr>
          <w:rFonts w:ascii="Tahoma" w:hAnsi="Tahoma" w:cs="Tahoma"/>
          <w:color w:val="0D0D0D" w:themeColor="text1" w:themeTint="F2"/>
          <w:sz w:val="18"/>
          <w:szCs w:val="18"/>
          <w:rtl/>
        </w:rPr>
        <w:t xml:space="preserve">לא היה הבדל בינם לבין מורי הדרך שאינם בעלי רכב אשכול והנימוקים לשלילת הסיוע אינם שונים מנימוקים כנגד הטבות אחרות לציבור העובדים שעמדו לדיון בתקופת המשבר, אך במקרים המתאימים ניתן להם מענה במסגרת </w:t>
      </w:r>
      <w:r w:rsidRPr="00CD0445">
        <w:rPr>
          <w:rFonts w:ascii="Tahoma" w:hAnsi="Tahoma" w:cs="Tahoma" w:hint="cs"/>
          <w:color w:val="0D0D0D" w:themeColor="text1" w:themeTint="F2"/>
          <w:sz w:val="18"/>
          <w:szCs w:val="18"/>
          <w:rtl/>
        </w:rPr>
        <w:t>ה</w:t>
      </w:r>
      <w:r w:rsidRPr="00CD0445">
        <w:rPr>
          <w:rFonts w:ascii="Tahoma" w:hAnsi="Tahoma" w:cs="Tahoma"/>
          <w:color w:val="0D0D0D" w:themeColor="text1" w:themeTint="F2"/>
          <w:sz w:val="18"/>
          <w:szCs w:val="18"/>
          <w:rtl/>
        </w:rPr>
        <w:t>איזון הכולל בין השיקולים</w:t>
      </w:r>
      <w:r w:rsidRPr="00CD0445">
        <w:rPr>
          <w:rFonts w:ascii="Tahoma" w:hAnsi="Tahoma" w:cs="Tahoma" w:hint="cs"/>
          <w:color w:val="0D0D0D" w:themeColor="text1" w:themeTint="F2"/>
          <w:sz w:val="18"/>
          <w:szCs w:val="18"/>
          <w:rtl/>
        </w:rPr>
        <w:t xml:space="preserve"> השונים</w:t>
      </w:r>
      <w:r w:rsidRPr="00CD0445">
        <w:rPr>
          <w:rFonts w:ascii="Tahoma" w:hAnsi="Tahoma" w:cs="Tahoma"/>
          <w:color w:val="0D0D0D" w:themeColor="text1" w:themeTint="F2"/>
          <w:sz w:val="18"/>
          <w:szCs w:val="18"/>
          <w:rtl/>
        </w:rPr>
        <w:t>.</w:t>
      </w:r>
    </w:p>
    <w:p w:rsidR="00420374" w:rsidRPr="0093709F" w:rsidP="00DA022A" w14:paraId="583ECB3F" w14:textId="76B2C884">
      <w:pPr>
        <w:pStyle w:val="7392"/>
        <w:ind w:left="424"/>
      </w:pPr>
      <w:r w:rsidRPr="00E00FEF">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00FEF" w:rsidR="003D59A1">
        <w:rPr>
          <w:b/>
          <w:bCs/>
          <w:rtl/>
        </w:rPr>
        <w:t>תוכנית ההסבה המקצועית לעובדים בתעשיית התיירות</w:t>
      </w:r>
      <w:r w:rsidRPr="00E00FEF" w:rsidR="003D59A1">
        <w:rPr>
          <w:rFonts w:hint="cs"/>
          <w:b/>
          <w:bCs/>
          <w:rtl/>
        </w:rPr>
        <w:t xml:space="preserve"> שנפגעו במשבר הקורונה</w:t>
      </w:r>
      <w:r w:rsidRPr="00CD0445" w:rsidR="003D59A1">
        <w:rPr>
          <w:rtl/>
        </w:rPr>
        <w:t xml:space="preserve"> </w:t>
      </w:r>
      <w:r w:rsidRPr="00CD0445" w:rsidR="003D59A1">
        <w:rPr>
          <w:rFonts w:hint="cs"/>
          <w:rtl/>
        </w:rPr>
        <w:t xml:space="preserve">- </w:t>
      </w:r>
      <w:r w:rsidRPr="00CD0445" w:rsidR="003D59A1">
        <w:rPr>
          <w:rtl/>
        </w:rPr>
        <w:t xml:space="preserve">נתוני הביצוע של תוכנית </w:t>
      </w:r>
      <w:r w:rsidRPr="00CD0445" w:rsidR="003D59A1">
        <w:rPr>
          <w:rFonts w:hint="cs"/>
          <w:rtl/>
        </w:rPr>
        <w:t xml:space="preserve">ההסבה </w:t>
      </w:r>
      <w:r w:rsidRPr="00CD0445" w:rsidR="003D59A1">
        <w:rPr>
          <w:rtl/>
        </w:rPr>
        <w:t>היו נמוכים: כ-</w:t>
      </w:r>
      <w:r w:rsidRPr="00CD0445" w:rsidR="003D59A1">
        <w:rPr>
          <w:rFonts w:hint="cs"/>
          <w:rtl/>
        </w:rPr>
        <w:t>1</w:t>
      </w:r>
      <w:r w:rsidRPr="00CD0445" w:rsidR="003D59A1">
        <w:rPr>
          <w:rtl/>
        </w:rPr>
        <w:t xml:space="preserve">% (1,422 מתוך כ-140,000) מהעובדים בתעשיית התיירות פנו למשרד התיירות והביעו רצון להשתתף בתוכנית; כשליש (431 </w:t>
      </w:r>
      <w:r w:rsidR="00B36AC3">
        <w:rPr>
          <w:rtl/>
        </w:rPr>
        <w:br/>
      </w:r>
      <w:r w:rsidRPr="00CD0445" w:rsidR="003D59A1">
        <w:rPr>
          <w:rtl/>
        </w:rPr>
        <w:t xml:space="preserve">מ-1,422) מבעלי אישורי הזכאות ממשרד התיירות פנו למוקד של זרוע העבודה כדי לברר על הכשרות לשינוי מקצועי; מיעוט מהפונים למוקד של זרוע העבודה (51 מ-431, שהם </w:t>
      </w:r>
      <w:r w:rsidR="00B36AC3">
        <w:rPr>
          <w:rtl/>
        </w:rPr>
        <w:br/>
      </w:r>
      <w:r w:rsidRPr="00CD0445" w:rsidR="003D59A1">
        <w:rPr>
          <w:rtl/>
        </w:rPr>
        <w:t>כ-12%) קיבלו שובר לביצוע הכשרות לשינוי מקצוע, וכ-</w:t>
      </w:r>
      <w:r w:rsidRPr="00CD0445" w:rsidR="003D59A1">
        <w:rPr>
          <w:rFonts w:hint="cs"/>
          <w:rtl/>
        </w:rPr>
        <w:t>6</w:t>
      </w:r>
      <w:r w:rsidRPr="00CD0445" w:rsidR="003D59A1">
        <w:rPr>
          <w:rtl/>
        </w:rPr>
        <w:t>% מהם (3 מ-51) קיבלו מלגת קיום בזמן ההכשרות.</w:t>
      </w:r>
      <w:r w:rsidRPr="00CD0445" w:rsidR="003D59A1">
        <w:rPr>
          <w:rFonts w:hint="cs"/>
          <w:rtl/>
        </w:rPr>
        <w:t xml:space="preserve"> </w:t>
      </w:r>
      <w:r w:rsidRPr="00CD0445" w:rsidR="003D59A1">
        <w:rPr>
          <w:rtl/>
        </w:rPr>
        <w:t xml:space="preserve">עד תחילת משבר הקורונה משרד התיירות לא השלים תהליך הפקת לקחים שהתחיל בו בשנת 2015 עם משרד הכלכלה </w:t>
      </w:r>
      <w:r w:rsidRPr="00CD0445" w:rsidR="003D59A1">
        <w:rPr>
          <w:rFonts w:hint="cs"/>
          <w:rtl/>
        </w:rPr>
        <w:t xml:space="preserve">והתעשייה </w:t>
      </w:r>
      <w:r w:rsidRPr="00CD0445" w:rsidR="003D59A1">
        <w:rPr>
          <w:rtl/>
        </w:rPr>
        <w:t>על מידת היעילות והמועילות של השימוש בהכשרות מקצועיות ככלי סיוע לעובדים בתעשיית התיירות במשבר עתידי וכדי לבחון אפשרויות שיסייעו לטייב את פעילותם בתחום ככל שנדרש</w:t>
      </w:r>
      <w:r w:rsidRPr="0093709F">
        <w:rPr>
          <w:rFonts w:hint="cs"/>
          <w:rtl/>
        </w:rPr>
        <w:t xml:space="preserve">. </w:t>
      </w:r>
    </w:p>
    <w:p w:rsidR="00420374" w:rsidRPr="0093709F" w:rsidP="00DA022A" w14:paraId="7C081EA1" w14:textId="3CA1A004">
      <w:pPr>
        <w:pStyle w:val="7392"/>
        <w:ind w:left="424"/>
      </w:pPr>
      <w:r w:rsidRPr="00E00FEF">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00FEF" w:rsidR="003D59A1">
        <w:rPr>
          <w:rFonts w:hint="eastAsia"/>
          <w:b/>
          <w:bCs/>
          <w:rtl/>
        </w:rPr>
        <w:t>הגדרת</w:t>
      </w:r>
      <w:r w:rsidRPr="00E00FEF" w:rsidR="003D59A1">
        <w:rPr>
          <w:b/>
          <w:bCs/>
          <w:rtl/>
        </w:rPr>
        <w:t xml:space="preserve"> העוסקים בתעשיית התיירות</w:t>
      </w:r>
      <w:r w:rsidRPr="00CD0445" w:rsidR="003D59A1">
        <w:rPr>
          <w:rFonts w:hint="cs"/>
          <w:rtl/>
        </w:rPr>
        <w:t xml:space="preserve"> - תעשיית התיירות כוללת ענפים העוסקים בפעילות המיועדת לתיירות בלבד, כמו מתקני אירוח ולינה ומורי דרך, וענפים שמספקים שירותים ומוצרים גם לפעילות כלכלית שאינה קשורה לתיירות, ובהם שירותי תחבורה, אטרקציות ושירותי מזון ומשקאות (הענפים הרב-תחומיים). לפי </w:t>
      </w:r>
      <w:r w:rsidRPr="00CD0445" w:rsidR="003D59A1">
        <w:rPr>
          <w:rFonts w:hint="cs"/>
          <w:rtl/>
        </w:rPr>
        <w:t>אומדני</w:t>
      </w:r>
      <w:r w:rsidRPr="00CD0445" w:rsidR="003D59A1">
        <w:rPr>
          <w:rFonts w:hint="cs"/>
          <w:rtl/>
        </w:rPr>
        <w:t xml:space="preserve"> משרד התיירות בשנת 2019 עמדו הכנסות הענפים הרב-תחומיים על סך של כ-16.2 מיליארד ש"ח, והם העסיקו כ-57,000 מתוך כ-140,000 איש שהועסקו בתעשיית התיירות. עד פרוץ משבר הקורונה, ולמעשה עד מועד סיום הביקורת (נובמבר 2022) לא קבע משרד התיירות אמות מידה המגדירות אילו עסקים מתוך הענפים הרב-תחומיים הם עסקי תיירות. </w:t>
      </w:r>
      <w:r w:rsidRPr="00CD0445" w:rsidR="003D59A1">
        <w:rPr>
          <w:rtl/>
        </w:rPr>
        <w:t>היעדר קביעת אמות מידה לזיהוי עסקי התיירות מקרב הענפים הרב-תחומיים תרם לגיבוש ההחלטה להעניק בעקבות משבר הקורונה סיוע ייחודי רק לבתי המלון, למארגני התיירות הנכנסת ולמורי הדר</w:t>
      </w:r>
      <w:r w:rsidRPr="00CD0445" w:rsidR="003D59A1">
        <w:rPr>
          <w:rFonts w:hint="cs"/>
          <w:rtl/>
        </w:rPr>
        <w:t>ך</w:t>
      </w:r>
      <w:r w:rsidRPr="00CD0445" w:rsidR="003D59A1">
        <w:rPr>
          <w:rtl/>
        </w:rPr>
        <w:t>, ולא גם ליתר עסקי התיירות שמרכיבים את המוצר התיירותי</w:t>
      </w:r>
      <w:r w:rsidRPr="0093709F">
        <w:rPr>
          <w:rFonts w:hint="cs"/>
          <w:rtl/>
        </w:rPr>
        <w:t xml:space="preserve">. </w:t>
      </w:r>
    </w:p>
    <w:p w:rsidR="00F87E1F" w:rsidRPr="000610AB" w:rsidP="00E00FEF" w14:paraId="74A84259" w14:textId="1C9D86DD">
      <w:pPr>
        <w:pStyle w:val="ListParagraph"/>
        <w:spacing w:after="180" w:line="288" w:lineRule="auto"/>
        <w:ind w:left="-283"/>
        <w:contextualSpacing w:val="0"/>
        <w:rPr>
          <w:rFonts w:ascii="Tahoma" w:hAnsi="Tahoma" w:cs="Tahoma"/>
          <w:color w:val="0D0D0D" w:themeColor="text1" w:themeTint="F2"/>
          <w:sz w:val="18"/>
          <w:szCs w:val="18"/>
          <w:rtl/>
        </w:rPr>
      </w:pPr>
      <w:r w:rsidRPr="00E00FEF">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00FEF">
        <w:rPr>
          <w:rFonts w:ascii="Tahoma" w:hAnsi="Tahoma" w:cs="Tahoma" w:hint="cs"/>
          <w:b/>
          <w:bCs/>
          <w:color w:val="0D0D0D" w:themeColor="text1" w:themeTint="F2"/>
          <w:sz w:val="18"/>
          <w:szCs w:val="18"/>
          <w:rtl/>
        </w:rPr>
        <w:t>איסוף מידע במשרד התיירות וניהולו בעת שגרה ובעת חירום</w:t>
      </w:r>
      <w:r w:rsidRPr="000610AB">
        <w:rPr>
          <w:rFonts w:ascii="Tahoma" w:hAnsi="Tahoma" w:cs="Tahoma" w:hint="cs"/>
          <w:color w:val="0D0D0D" w:themeColor="text1" w:themeTint="F2"/>
          <w:sz w:val="18"/>
          <w:szCs w:val="18"/>
          <w:rtl/>
        </w:rPr>
        <w:t xml:space="preserve"> - </w:t>
      </w:r>
      <w:r w:rsidRPr="000610AB">
        <w:rPr>
          <w:rFonts w:ascii="Tahoma" w:hAnsi="Tahoma" w:cs="Tahoma"/>
          <w:color w:val="0D0D0D" w:themeColor="text1" w:themeTint="F2"/>
          <w:sz w:val="18"/>
          <w:szCs w:val="18"/>
          <w:rtl/>
        </w:rPr>
        <w:t xml:space="preserve">יכולת </w:t>
      </w:r>
      <w:r w:rsidRPr="000610AB">
        <w:rPr>
          <w:rFonts w:ascii="Tahoma" w:hAnsi="Tahoma" w:cs="Tahoma" w:hint="cs"/>
          <w:color w:val="0D0D0D" w:themeColor="text1" w:themeTint="F2"/>
          <w:sz w:val="18"/>
          <w:szCs w:val="18"/>
          <w:rtl/>
        </w:rPr>
        <w:t>משרד התיירות ל</w:t>
      </w:r>
      <w:r w:rsidRPr="000610AB">
        <w:rPr>
          <w:rFonts w:ascii="Tahoma" w:hAnsi="Tahoma" w:cs="Tahoma"/>
          <w:color w:val="0D0D0D" w:themeColor="text1" w:themeTint="F2"/>
          <w:sz w:val="18"/>
          <w:szCs w:val="18"/>
          <w:rtl/>
        </w:rPr>
        <w:t xml:space="preserve">העניק </w:t>
      </w:r>
      <w:r w:rsidRPr="000610AB">
        <w:rPr>
          <w:rFonts w:ascii="Tahoma" w:hAnsi="Tahoma" w:cs="Tahoma" w:hint="cs"/>
          <w:color w:val="0D0D0D" w:themeColor="text1" w:themeTint="F2"/>
          <w:sz w:val="18"/>
          <w:szCs w:val="18"/>
          <w:rtl/>
        </w:rPr>
        <w:t>ל</w:t>
      </w:r>
      <w:r w:rsidRPr="000610AB">
        <w:rPr>
          <w:rFonts w:ascii="Tahoma" w:hAnsi="Tahoma" w:cs="Tahoma"/>
          <w:color w:val="0D0D0D" w:themeColor="text1" w:themeTint="F2"/>
          <w:sz w:val="18"/>
          <w:szCs w:val="18"/>
          <w:rtl/>
        </w:rPr>
        <w:t>תעשיית התיירות מענה מותאם להיקף הנזק ו</w:t>
      </w:r>
      <w:r w:rsidRPr="000610AB">
        <w:rPr>
          <w:rFonts w:ascii="Tahoma" w:hAnsi="Tahoma" w:cs="Tahoma" w:hint="cs"/>
          <w:color w:val="0D0D0D" w:themeColor="text1" w:themeTint="F2"/>
          <w:sz w:val="18"/>
          <w:szCs w:val="18"/>
          <w:rtl/>
        </w:rPr>
        <w:t>ה</w:t>
      </w:r>
      <w:r w:rsidRPr="000610AB">
        <w:rPr>
          <w:rFonts w:ascii="Tahoma" w:hAnsi="Tahoma" w:cs="Tahoma"/>
          <w:color w:val="0D0D0D" w:themeColor="text1" w:themeTint="F2"/>
          <w:sz w:val="18"/>
          <w:szCs w:val="18"/>
          <w:rtl/>
        </w:rPr>
        <w:t>צרכי</w:t>
      </w:r>
      <w:r w:rsidRPr="000610AB">
        <w:rPr>
          <w:rFonts w:ascii="Tahoma" w:hAnsi="Tahoma" w:cs="Tahoma" w:hint="cs"/>
          <w:color w:val="0D0D0D" w:themeColor="text1" w:themeTint="F2"/>
          <w:sz w:val="18"/>
          <w:szCs w:val="18"/>
          <w:rtl/>
        </w:rPr>
        <w:t>ם שלה</w:t>
      </w:r>
      <w:r w:rsidRPr="000610AB">
        <w:rPr>
          <w:rFonts w:ascii="Tahoma" w:hAnsi="Tahoma" w:cs="Tahoma"/>
          <w:color w:val="0D0D0D" w:themeColor="text1" w:themeTint="F2"/>
          <w:sz w:val="18"/>
          <w:szCs w:val="18"/>
          <w:rtl/>
        </w:rPr>
        <w:t xml:space="preserve"> בעת חירום</w:t>
      </w:r>
      <w:r w:rsidRPr="000610AB">
        <w:rPr>
          <w:rFonts w:ascii="Tahoma" w:hAnsi="Tahoma" w:cs="Tahoma" w:hint="cs"/>
          <w:color w:val="0D0D0D" w:themeColor="text1" w:themeTint="F2"/>
          <w:sz w:val="18"/>
          <w:szCs w:val="18"/>
          <w:rtl/>
        </w:rPr>
        <w:t xml:space="preserve"> מחייבת קבלת החלטות מבוססות נתונים הנאספים בעת שגרה. איסוף המידע הכרחי גם לפיתוח מיטבי של התעשייה בעת שגרה. </w:t>
      </w:r>
    </w:p>
    <w:p w:rsidR="00F87E1F" w:rsidRPr="000610AB" w14:paraId="760650FB" w14:textId="436E39F8">
      <w:pPr>
        <w:pStyle w:val="ListParagraph"/>
        <w:numPr>
          <w:ilvl w:val="0"/>
          <w:numId w:val="12"/>
        </w:numPr>
        <w:spacing w:after="180" w:line="288" w:lineRule="auto"/>
        <w:contextualSpacing w:val="0"/>
        <w:rPr>
          <w:rFonts w:ascii="Tahoma" w:hAnsi="Tahoma" w:cs="Tahoma"/>
          <w:color w:val="0D0D0D" w:themeColor="text1" w:themeTint="F2"/>
          <w:sz w:val="18"/>
          <w:szCs w:val="18"/>
          <w:rtl/>
        </w:rPr>
      </w:pPr>
      <w:r w:rsidRPr="00E00FEF">
        <w:rPr>
          <w:rFonts w:ascii="Tahoma" w:hAnsi="Tahoma" w:cs="Tahoma"/>
          <w:b/>
          <w:bCs/>
          <w:color w:val="0D0D0D" w:themeColor="text1" w:themeTint="F2"/>
          <w:sz w:val="18"/>
          <w:szCs w:val="18"/>
          <w:rtl/>
        </w:rPr>
        <w:t>המידע הקיים במשרד התיירות</w:t>
      </w:r>
      <w:r w:rsidRPr="000610AB">
        <w:rPr>
          <w:rFonts w:ascii="Tahoma" w:hAnsi="Tahoma" w:cs="Tahoma"/>
          <w:color w:val="0D0D0D" w:themeColor="text1" w:themeTint="F2"/>
          <w:sz w:val="18"/>
          <w:szCs w:val="18"/>
          <w:rtl/>
        </w:rPr>
        <w:t xml:space="preserve"> </w:t>
      </w:r>
      <w:r w:rsidRPr="000610AB">
        <w:rPr>
          <w:rFonts w:ascii="Tahoma" w:hAnsi="Tahoma" w:cs="Tahoma" w:hint="cs"/>
          <w:color w:val="0D0D0D" w:themeColor="text1" w:themeTint="F2"/>
          <w:sz w:val="18"/>
          <w:szCs w:val="18"/>
          <w:rtl/>
        </w:rPr>
        <w:t xml:space="preserve">- </w:t>
      </w:r>
      <w:r w:rsidRPr="000610AB">
        <w:rPr>
          <w:rFonts w:ascii="Tahoma" w:hAnsi="Tahoma" w:cs="Tahoma"/>
          <w:color w:val="0D0D0D" w:themeColor="text1" w:themeTint="F2"/>
          <w:sz w:val="18"/>
          <w:szCs w:val="18"/>
          <w:rtl/>
        </w:rPr>
        <w:t>ערב משבר הקורונה</w:t>
      </w:r>
      <w:r w:rsidRPr="000610AB">
        <w:rPr>
          <w:rFonts w:ascii="Tahoma" w:hAnsi="Tahoma" w:cs="Tahoma" w:hint="cs"/>
          <w:color w:val="0D0D0D" w:themeColor="text1" w:themeTint="F2"/>
          <w:sz w:val="18"/>
          <w:szCs w:val="18"/>
          <w:rtl/>
        </w:rPr>
        <w:t>,</w:t>
      </w:r>
      <w:r w:rsidRPr="000610AB">
        <w:rPr>
          <w:rFonts w:ascii="Tahoma" w:hAnsi="Tahoma" w:cs="Tahoma"/>
          <w:color w:val="0D0D0D" w:themeColor="text1" w:themeTint="F2"/>
          <w:sz w:val="18"/>
          <w:szCs w:val="18"/>
          <w:rtl/>
        </w:rPr>
        <w:t xml:space="preserve"> </w:t>
      </w:r>
      <w:r w:rsidRPr="000610AB">
        <w:rPr>
          <w:rFonts w:ascii="Tahoma" w:hAnsi="Tahoma" w:cs="Tahoma" w:hint="cs"/>
          <w:color w:val="0D0D0D" w:themeColor="text1" w:themeTint="F2"/>
          <w:sz w:val="18"/>
          <w:szCs w:val="18"/>
          <w:rtl/>
        </w:rPr>
        <w:t xml:space="preserve">ועד מועד סיום הביקורת (נובמבר 2022), </w:t>
      </w:r>
      <w:r w:rsidRPr="000610AB">
        <w:rPr>
          <w:rFonts w:ascii="Tahoma" w:hAnsi="Tahoma" w:cs="Tahoma"/>
          <w:color w:val="0D0D0D" w:themeColor="text1" w:themeTint="F2"/>
          <w:sz w:val="18"/>
          <w:szCs w:val="18"/>
          <w:rtl/>
        </w:rPr>
        <w:t xml:space="preserve">לא היו בידי משרד התיירות נתונים </w:t>
      </w:r>
      <w:r w:rsidRPr="000610AB">
        <w:rPr>
          <w:rFonts w:ascii="Tahoma" w:hAnsi="Tahoma" w:cs="Tahoma" w:hint="cs"/>
          <w:color w:val="0D0D0D" w:themeColor="text1" w:themeTint="F2"/>
          <w:sz w:val="18"/>
          <w:szCs w:val="18"/>
          <w:rtl/>
        </w:rPr>
        <w:t xml:space="preserve">מלאים </w:t>
      </w:r>
      <w:r w:rsidRPr="000610AB">
        <w:rPr>
          <w:rFonts w:ascii="Tahoma" w:hAnsi="Tahoma" w:cs="Tahoma"/>
          <w:color w:val="0D0D0D" w:themeColor="text1" w:themeTint="F2"/>
          <w:sz w:val="18"/>
          <w:szCs w:val="18"/>
          <w:rtl/>
        </w:rPr>
        <w:t>על פעילות הענפים השונים בתעשיית התיירות</w:t>
      </w:r>
      <w:r w:rsidRPr="000610AB">
        <w:rPr>
          <w:rFonts w:ascii="Tahoma" w:hAnsi="Tahoma" w:cs="Tahoma" w:hint="cs"/>
          <w:color w:val="0D0D0D" w:themeColor="text1" w:themeTint="F2"/>
          <w:sz w:val="18"/>
          <w:szCs w:val="18"/>
          <w:rtl/>
        </w:rPr>
        <w:t xml:space="preserve"> </w:t>
      </w:r>
      <w:r w:rsidRPr="000610AB">
        <w:rPr>
          <w:rFonts w:ascii="Tahoma" w:hAnsi="Tahoma" w:cs="Tahoma"/>
          <w:color w:val="0D0D0D" w:themeColor="text1" w:themeTint="F2"/>
          <w:sz w:val="18"/>
          <w:szCs w:val="18"/>
          <w:rtl/>
        </w:rPr>
        <w:t>הנחוצים לקבלת החלטות במשרד בעת שגרה ובעת חירום</w:t>
      </w:r>
      <w:r w:rsidRPr="000610AB">
        <w:rPr>
          <w:rFonts w:ascii="Tahoma" w:hAnsi="Tahoma" w:cs="Tahoma" w:hint="cs"/>
          <w:color w:val="0D0D0D" w:themeColor="text1" w:themeTint="F2"/>
          <w:sz w:val="18"/>
          <w:szCs w:val="18"/>
          <w:rtl/>
        </w:rPr>
        <w:t xml:space="preserve">. בין היתר </w:t>
      </w:r>
      <w:r w:rsidR="00B36AC3">
        <w:rPr>
          <w:rFonts w:ascii="Tahoma" w:hAnsi="Tahoma" w:cs="Tahoma" w:hint="cs"/>
          <w:color w:val="0D0D0D" w:themeColor="text1" w:themeTint="F2"/>
          <w:sz w:val="18"/>
          <w:szCs w:val="18"/>
          <w:rtl/>
        </w:rPr>
        <w:t>לא היו</w:t>
      </w:r>
      <w:r w:rsidRPr="000610AB">
        <w:rPr>
          <w:rFonts w:ascii="Tahoma" w:hAnsi="Tahoma" w:cs="Tahoma" w:hint="cs"/>
          <w:color w:val="0D0D0D" w:themeColor="text1" w:themeTint="F2"/>
          <w:sz w:val="18"/>
          <w:szCs w:val="18"/>
          <w:rtl/>
        </w:rPr>
        <w:t xml:space="preserve"> בידו נתונים על מספר מתקני האירוח הכפרי ומספר הדירות והבתים העומדים להשכרה קצרת מועד ופיזורם הגיאוגרפי, ועל מספר מורי הדרך הפעילים ותחום התמחותם. פערי המידע הקשו על בחינת היקף הפגיעה בענפים השונים בעקבות משבר הקורונה ועל התאמת המענה להם. </w:t>
      </w:r>
    </w:p>
    <w:p w:rsidR="00F87E1F" w:rsidRPr="000610AB" w14:paraId="6B5DA8BD" w14:textId="77777777">
      <w:pPr>
        <w:pStyle w:val="ListParagraph"/>
        <w:numPr>
          <w:ilvl w:val="0"/>
          <w:numId w:val="12"/>
        </w:numPr>
        <w:spacing w:after="180" w:line="288" w:lineRule="auto"/>
        <w:contextualSpacing w:val="0"/>
        <w:rPr>
          <w:rFonts w:ascii="Tahoma" w:hAnsi="Tahoma" w:cs="Tahoma"/>
          <w:color w:val="0D0D0D" w:themeColor="text1" w:themeTint="F2"/>
          <w:sz w:val="18"/>
          <w:szCs w:val="18"/>
        </w:rPr>
      </w:pPr>
      <w:r w:rsidRPr="00E00FEF">
        <w:rPr>
          <w:rFonts w:ascii="Tahoma" w:hAnsi="Tahoma" w:cs="Tahoma"/>
          <w:b/>
          <w:bCs/>
          <w:color w:val="0D0D0D" w:themeColor="text1" w:themeTint="F2"/>
          <w:sz w:val="18"/>
          <w:szCs w:val="18"/>
          <w:rtl/>
        </w:rPr>
        <w:t>פעולות משרד התיירות להשלמת המידע</w:t>
      </w:r>
      <w:r w:rsidRPr="000610AB">
        <w:rPr>
          <w:rFonts w:ascii="Tahoma" w:hAnsi="Tahoma" w:cs="Tahoma"/>
          <w:color w:val="0D0D0D" w:themeColor="text1" w:themeTint="F2"/>
          <w:sz w:val="18"/>
          <w:szCs w:val="18"/>
          <w:rtl/>
        </w:rPr>
        <w:t xml:space="preserve"> </w:t>
      </w:r>
      <w:r w:rsidRPr="000610AB">
        <w:rPr>
          <w:rFonts w:ascii="Tahoma" w:hAnsi="Tahoma" w:cs="Tahoma" w:hint="cs"/>
          <w:color w:val="0D0D0D" w:themeColor="text1" w:themeTint="F2"/>
          <w:sz w:val="18"/>
          <w:szCs w:val="18"/>
          <w:rtl/>
        </w:rPr>
        <w:t>- עד מועד סיום הביקורת (</w:t>
      </w:r>
      <w:r w:rsidRPr="000610AB">
        <w:rPr>
          <w:rFonts w:ascii="Tahoma" w:hAnsi="Tahoma" w:cs="Tahoma"/>
          <w:color w:val="0D0D0D" w:themeColor="text1" w:themeTint="F2"/>
          <w:sz w:val="18"/>
          <w:szCs w:val="18"/>
          <w:rtl/>
        </w:rPr>
        <w:t>נובמבר 2022</w:t>
      </w:r>
      <w:r w:rsidRPr="000610AB">
        <w:rPr>
          <w:rFonts w:ascii="Tahoma" w:hAnsi="Tahoma" w:cs="Tahoma" w:hint="cs"/>
          <w:color w:val="0D0D0D" w:themeColor="text1" w:themeTint="F2"/>
          <w:sz w:val="18"/>
          <w:szCs w:val="18"/>
          <w:rtl/>
        </w:rPr>
        <w:t>)</w:t>
      </w:r>
      <w:r w:rsidRPr="000610AB">
        <w:rPr>
          <w:rFonts w:ascii="Tahoma" w:hAnsi="Tahoma" w:cs="Tahoma"/>
          <w:color w:val="0D0D0D" w:themeColor="text1" w:themeTint="F2"/>
          <w:sz w:val="18"/>
          <w:szCs w:val="18"/>
          <w:rtl/>
        </w:rPr>
        <w:t xml:space="preserve"> לא הונח בסיס לכך </w:t>
      </w:r>
      <w:r w:rsidRPr="000610AB">
        <w:rPr>
          <w:rFonts w:ascii="Tahoma" w:hAnsi="Tahoma" w:cs="Tahoma"/>
          <w:color w:val="0D0D0D" w:themeColor="text1" w:themeTint="F2"/>
          <w:sz w:val="18"/>
          <w:szCs w:val="18"/>
          <w:rtl/>
        </w:rPr>
        <w:t>שהלמ"ס</w:t>
      </w:r>
      <w:r w:rsidRPr="000610AB">
        <w:rPr>
          <w:rFonts w:ascii="Tahoma" w:hAnsi="Tahoma" w:cs="Tahoma"/>
          <w:color w:val="0D0D0D" w:themeColor="text1" w:themeTint="F2"/>
          <w:sz w:val="18"/>
          <w:szCs w:val="18"/>
          <w:rtl/>
        </w:rPr>
        <w:t xml:space="preserve"> יאסוף מידע עבור משרד התיירות בשורה </w:t>
      </w:r>
      <w:r w:rsidRPr="000610AB">
        <w:rPr>
          <w:rFonts w:ascii="Tahoma" w:hAnsi="Tahoma" w:cs="Tahoma" w:hint="cs"/>
          <w:color w:val="0D0D0D" w:themeColor="text1" w:themeTint="F2"/>
          <w:sz w:val="18"/>
          <w:szCs w:val="18"/>
          <w:rtl/>
        </w:rPr>
        <w:t xml:space="preserve">של </w:t>
      </w:r>
      <w:r w:rsidRPr="000610AB">
        <w:rPr>
          <w:rFonts w:ascii="Tahoma" w:hAnsi="Tahoma" w:cs="Tahoma"/>
          <w:color w:val="0D0D0D" w:themeColor="text1" w:themeTint="F2"/>
          <w:sz w:val="18"/>
          <w:szCs w:val="18"/>
          <w:rtl/>
        </w:rPr>
        <w:t>נושאים ש</w:t>
      </w:r>
      <w:r w:rsidRPr="000610AB">
        <w:rPr>
          <w:rFonts w:ascii="Tahoma" w:hAnsi="Tahoma" w:cs="Tahoma" w:hint="cs"/>
          <w:color w:val="0D0D0D" w:themeColor="text1" w:themeTint="F2"/>
          <w:sz w:val="18"/>
          <w:szCs w:val="18"/>
          <w:rtl/>
        </w:rPr>
        <w:t xml:space="preserve">משרד התיירות הגדיר באוגוסט 2020 כי הוא זקוק להם לצורך פעילותו בעת </w:t>
      </w:r>
      <w:r w:rsidRPr="000610AB">
        <w:rPr>
          <w:rFonts w:ascii="Tahoma" w:hAnsi="Tahoma" w:cs="Tahoma" w:hint="cs"/>
          <w:color w:val="0D0D0D" w:themeColor="text1" w:themeTint="F2"/>
          <w:sz w:val="18"/>
          <w:szCs w:val="18"/>
          <w:rtl/>
        </w:rPr>
        <w:t>שגרה ובעת חירום. משרד התיירות גם לא הסדיר מנגנונים לשיתוף פעולה עם גופים ציבוריים אחרים, ובהם רשות המיסים, המוסד לביטוח לאומי, בנק ישראל ושירות התעסוקה, שיאפשרו לו לקבל בעת שגרה ובעת חירום מידע משמעותי הנדרש לפעילותו ומצוי בידי גופים אלה. מדובר בין היתר במידע הנוגע לנתוני תעסוקה, לשכר ולפדיון בעסקי תיירות.</w:t>
      </w:r>
    </w:p>
    <w:p w:rsidR="00F87E1F" w:rsidRPr="000610AB" w14:paraId="031F48BC" w14:textId="77777777">
      <w:pPr>
        <w:pStyle w:val="ListParagraph"/>
        <w:numPr>
          <w:ilvl w:val="0"/>
          <w:numId w:val="12"/>
        </w:numPr>
        <w:spacing w:after="180" w:line="288" w:lineRule="auto"/>
        <w:contextualSpacing w:val="0"/>
        <w:rPr>
          <w:rFonts w:ascii="Tahoma" w:hAnsi="Tahoma" w:cs="Tahoma"/>
          <w:color w:val="0D0D0D" w:themeColor="text1" w:themeTint="F2"/>
          <w:sz w:val="18"/>
          <w:szCs w:val="18"/>
        </w:rPr>
      </w:pPr>
      <w:r w:rsidRPr="00E00FEF">
        <w:rPr>
          <w:rFonts w:ascii="Tahoma" w:hAnsi="Tahoma" w:cs="Tahoma"/>
          <w:b/>
          <w:bCs/>
          <w:color w:val="0D0D0D" w:themeColor="text1" w:themeTint="F2"/>
          <w:sz w:val="18"/>
          <w:szCs w:val="18"/>
          <w:rtl/>
        </w:rPr>
        <w:t>שמירה על עדכניות המידע</w:t>
      </w:r>
      <w:r w:rsidRPr="00E00FEF">
        <w:rPr>
          <w:rFonts w:ascii="Tahoma" w:hAnsi="Tahoma" w:cs="Tahoma" w:hint="cs"/>
          <w:b/>
          <w:bCs/>
          <w:color w:val="0D0D0D" w:themeColor="text1" w:themeTint="F2"/>
          <w:sz w:val="18"/>
          <w:szCs w:val="18"/>
          <w:rtl/>
        </w:rPr>
        <w:t xml:space="preserve"> הקיים</w:t>
      </w:r>
      <w:r w:rsidRPr="000610AB">
        <w:rPr>
          <w:rFonts w:ascii="Tahoma" w:hAnsi="Tahoma" w:cs="Tahoma"/>
          <w:color w:val="0D0D0D" w:themeColor="text1" w:themeTint="F2"/>
          <w:sz w:val="18"/>
          <w:szCs w:val="18"/>
          <w:rtl/>
        </w:rPr>
        <w:t xml:space="preserve"> </w:t>
      </w:r>
      <w:r w:rsidRPr="000610AB">
        <w:rPr>
          <w:rFonts w:ascii="Tahoma" w:hAnsi="Tahoma" w:cs="Tahoma" w:hint="cs"/>
          <w:color w:val="0D0D0D" w:themeColor="text1" w:themeTint="F2"/>
          <w:sz w:val="18"/>
          <w:szCs w:val="18"/>
          <w:rtl/>
        </w:rPr>
        <w:t>- נכון ל</w:t>
      </w:r>
      <w:r w:rsidRPr="000610AB">
        <w:rPr>
          <w:rFonts w:ascii="Tahoma" w:hAnsi="Tahoma" w:cs="Tahoma"/>
          <w:color w:val="0D0D0D" w:themeColor="text1" w:themeTint="F2"/>
          <w:sz w:val="18"/>
          <w:szCs w:val="18"/>
          <w:rtl/>
        </w:rPr>
        <w:t xml:space="preserve">מועד סיום הביקורת (נובמבר 2022) לא </w:t>
      </w:r>
      <w:r w:rsidRPr="000610AB">
        <w:rPr>
          <w:rFonts w:ascii="Tahoma" w:hAnsi="Tahoma" w:cs="Tahoma" w:hint="cs"/>
          <w:color w:val="0D0D0D" w:themeColor="text1" w:themeTint="F2"/>
          <w:sz w:val="18"/>
          <w:szCs w:val="18"/>
          <w:rtl/>
        </w:rPr>
        <w:t>ה</w:t>
      </w:r>
      <w:r w:rsidRPr="000610AB">
        <w:rPr>
          <w:rFonts w:ascii="Tahoma" w:hAnsi="Tahoma" w:cs="Tahoma"/>
          <w:color w:val="0D0D0D" w:themeColor="text1" w:themeTint="F2"/>
          <w:sz w:val="18"/>
          <w:szCs w:val="18"/>
          <w:rtl/>
        </w:rPr>
        <w:t>תבצע במשרד התיירות עדכון עיתי של המידע הקיים במשרד, ואין בעל תפקיד שעוסק בעדכון המידע שנאסף ובניהולו השוטף. במצב דברים זה עולה ספק בדבר שלמות המידע הקיים במשרד התיירות</w:t>
      </w:r>
      <w:r w:rsidRPr="000610AB">
        <w:rPr>
          <w:rFonts w:ascii="Tahoma" w:hAnsi="Tahoma" w:cs="Tahoma" w:hint="cs"/>
          <w:color w:val="0D0D0D" w:themeColor="text1" w:themeTint="F2"/>
          <w:sz w:val="18"/>
          <w:szCs w:val="18"/>
          <w:rtl/>
        </w:rPr>
        <w:t xml:space="preserve"> ומהימנותו</w:t>
      </w:r>
      <w:r w:rsidRPr="000610AB">
        <w:rPr>
          <w:rFonts w:ascii="Tahoma" w:hAnsi="Tahoma" w:cs="Tahoma"/>
          <w:color w:val="0D0D0D" w:themeColor="text1" w:themeTint="F2"/>
          <w:sz w:val="18"/>
          <w:szCs w:val="18"/>
          <w:rtl/>
        </w:rPr>
        <w:t>, וכן עולה חשש לאובדן ההשקעה של המשרד בהשגת מידע.</w:t>
      </w:r>
      <w:r w:rsidRPr="000610AB">
        <w:rPr>
          <w:rFonts w:ascii="Tahoma" w:hAnsi="Tahoma" w:cs="Tahoma" w:hint="cs"/>
          <w:color w:val="0D0D0D" w:themeColor="text1" w:themeTint="F2"/>
          <w:sz w:val="18"/>
          <w:szCs w:val="18"/>
          <w:rtl/>
        </w:rPr>
        <w:t xml:space="preserve"> בביקורת נמצאו שני מאגרי מידע שרכש משרד התיירות (מאגר אטרקציות תיירותיות ומפה אינטראקטיבית הכוללת מידע תיירותי לשימוש הציבור) ושהשקעתו בהם ירדה לטמיון מאחר שלא עודכנו.</w:t>
      </w:r>
    </w:p>
    <w:p w:rsidR="00420374" w:rsidP="00E00FEF" w14:paraId="39D5E97C" w14:textId="2A952D96">
      <w:pPr>
        <w:pStyle w:val="7392"/>
        <w:ind w:left="424"/>
        <w:rPr>
          <w:noProof/>
          <w:rtl/>
        </w:rPr>
      </w:pPr>
      <w:r w:rsidRPr="00E00FEF">
        <w:rPr>
          <w:rStyle w:val="7371"/>
          <w:rFonts w:hint="cs"/>
          <w:noProof/>
          <w:rtl/>
        </w:rPr>
        <w:drawing>
          <wp:anchor distT="0" distB="0" distL="114300" distR="114300" simplePos="0" relativeHeight="251684864" behindDoc="0" locked="0" layoutInCell="1" allowOverlap="1">
            <wp:simplePos x="0" y="0"/>
            <wp:positionH relativeFrom="column">
              <wp:posOffset>2453640</wp:posOffset>
            </wp:positionH>
            <wp:positionV relativeFrom="paragraph">
              <wp:posOffset>1062899</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E00FEF" w:rsidR="00DA022A">
        <w:rPr>
          <w:rStyle w:val="7371"/>
          <w:rFonts w:hint="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0FEF">
        <w:rPr>
          <w:rStyle w:val="7371"/>
          <w:rFonts w:hint="eastAsia"/>
          <w:rtl/>
        </w:rPr>
        <w:t>גיבוש</w:t>
      </w:r>
      <w:r w:rsidRPr="00E00FEF">
        <w:rPr>
          <w:rStyle w:val="7371"/>
          <w:rtl/>
        </w:rPr>
        <w:t xml:space="preserve"> מנגנונים לסיוע לתעשיית התיירות בעת משבר</w:t>
      </w:r>
      <w:r w:rsidRPr="000610AB">
        <w:rPr>
          <w:rtl/>
        </w:rPr>
        <w:t xml:space="preserve"> </w:t>
      </w:r>
      <w:r w:rsidRPr="000610AB">
        <w:rPr>
          <w:rFonts w:hint="cs"/>
          <w:rtl/>
        </w:rPr>
        <w:t xml:space="preserve">- </w:t>
      </w:r>
      <w:r w:rsidRPr="000610AB">
        <w:rPr>
          <w:rtl/>
        </w:rPr>
        <w:t xml:space="preserve">החלטות הממשלה מהשנים 2014 </w:t>
      </w:r>
      <w:r w:rsidRPr="000610AB">
        <w:rPr>
          <w:rFonts w:hint="cs"/>
          <w:rtl/>
        </w:rPr>
        <w:t>ו-</w:t>
      </w:r>
      <w:r w:rsidRPr="000610AB">
        <w:rPr>
          <w:rtl/>
        </w:rPr>
        <w:t xml:space="preserve">2015 </w:t>
      </w:r>
      <w:r w:rsidRPr="000610AB">
        <w:rPr>
          <w:rFonts w:hint="cs"/>
          <w:rtl/>
        </w:rPr>
        <w:t xml:space="preserve">שעניינן </w:t>
      </w:r>
      <w:r w:rsidRPr="000610AB">
        <w:rPr>
          <w:rtl/>
        </w:rPr>
        <w:t xml:space="preserve">גיבוש מנגנונים עתידיים לסיוע לתעשיית התיירות בעת משבר גיאופוליטי </w:t>
      </w:r>
      <w:r w:rsidRPr="000610AB">
        <w:rPr>
          <w:rFonts w:hint="cs"/>
          <w:rtl/>
        </w:rPr>
        <w:t xml:space="preserve">באמצעות ועדה בין-משרדית בראשות מנכ"ל משרד התיירות לא יושמו. כתוצאה מכך נותר </w:t>
      </w:r>
      <w:r w:rsidRPr="000610AB">
        <w:rPr>
          <w:rtl/>
        </w:rPr>
        <w:t>על כנו מצב שבו יכולת הממשלה לסייע לענפים בתעשיית התיירות במהירות וביעילות בעת משבר היא מוגבלת, וספק אם קיימת</w:t>
      </w:r>
      <w:r w:rsidRPr="0093709F">
        <w:rPr>
          <w:rFonts w:hint="cs"/>
          <w:rtl/>
        </w:rPr>
        <w:t xml:space="preserve">. </w:t>
      </w:r>
    </w:p>
    <w:p w:rsidR="00420374" w:rsidRPr="00F87E1F" w:rsidP="00E00FEF" w14:paraId="5E6B04AD" w14:textId="3572F893">
      <w:pPr>
        <w:pStyle w:val="7317"/>
        <w:spacing w:before="360"/>
        <w:rPr>
          <w:rtl/>
        </w:rPr>
      </w:pPr>
      <w:r w:rsidRPr="000610AB">
        <w:rPr>
          <w:rtl/>
        </w:rPr>
        <w:t xml:space="preserve">יש לציין לחיוב את מאמציו של משרד התיירות </w:t>
      </w:r>
      <w:r w:rsidRPr="000610AB">
        <w:rPr>
          <w:rFonts w:hint="cs"/>
          <w:rtl/>
        </w:rPr>
        <w:t xml:space="preserve">לסייע לתעשיית התיירות במשבר הקורונה, </w:t>
      </w:r>
      <w:r w:rsidRPr="000610AB">
        <w:rPr>
          <w:rtl/>
        </w:rPr>
        <w:t xml:space="preserve">ובמיוחד את </w:t>
      </w:r>
      <w:r w:rsidRPr="000610AB">
        <w:rPr>
          <w:rFonts w:hint="cs"/>
          <w:rtl/>
        </w:rPr>
        <w:t xml:space="preserve">שתי </w:t>
      </w:r>
      <w:r w:rsidRPr="000610AB">
        <w:rPr>
          <w:rtl/>
        </w:rPr>
        <w:t>העובדות</w:t>
      </w:r>
      <w:r w:rsidRPr="000610AB">
        <w:rPr>
          <w:rFonts w:hint="cs"/>
          <w:rtl/>
        </w:rPr>
        <w:t xml:space="preserve"> במשרד התיירות שהיו ממונות על תפעול </w:t>
      </w:r>
      <w:r w:rsidRPr="000610AB">
        <w:rPr>
          <w:rtl/>
        </w:rPr>
        <w:t xml:space="preserve">מערך </w:t>
      </w:r>
      <w:r w:rsidRPr="000610AB">
        <w:rPr>
          <w:rFonts w:hint="cs"/>
          <w:rtl/>
        </w:rPr>
        <w:t>ה</w:t>
      </w:r>
      <w:r w:rsidRPr="000610AB">
        <w:rPr>
          <w:rtl/>
        </w:rPr>
        <w:t xml:space="preserve">סיוע </w:t>
      </w:r>
      <w:r w:rsidRPr="000610AB">
        <w:rPr>
          <w:rFonts w:hint="cs"/>
          <w:rtl/>
        </w:rPr>
        <w:t xml:space="preserve">הייחודי </w:t>
      </w:r>
      <w:r w:rsidRPr="000610AB">
        <w:rPr>
          <w:rtl/>
        </w:rPr>
        <w:t xml:space="preserve">לכ-600 בתי מלון </w:t>
      </w:r>
      <w:r w:rsidRPr="000610AB">
        <w:rPr>
          <w:rFonts w:hint="cs"/>
          <w:rtl/>
        </w:rPr>
        <w:t>ועמלו קשות כדי להוציאו לפועל, בשיתוף</w:t>
      </w:r>
      <w:r w:rsidRPr="000610AB">
        <w:rPr>
          <w:rtl/>
        </w:rPr>
        <w:t xml:space="preserve"> חברי ועדת התמיכות</w:t>
      </w:r>
      <w:r w:rsidRPr="000610AB">
        <w:rPr>
          <w:rFonts w:hint="cs"/>
          <w:rtl/>
        </w:rPr>
        <w:t xml:space="preserve"> המשרדית</w:t>
      </w:r>
      <w:r w:rsidRPr="000610AB">
        <w:rPr>
          <w:rtl/>
        </w:rPr>
        <w:t>, נוסף על תפקיד</w:t>
      </w:r>
      <w:r w:rsidRPr="000610AB">
        <w:rPr>
          <w:rFonts w:hint="cs"/>
          <w:rtl/>
        </w:rPr>
        <w:t>ן</w:t>
      </w:r>
      <w:r w:rsidRPr="000610AB">
        <w:rPr>
          <w:rtl/>
        </w:rPr>
        <w:t xml:space="preserve"> העיקרי במשרד</w:t>
      </w:r>
      <w:r w:rsidRPr="00F87E1F">
        <w:rPr>
          <w:rtl/>
        </w:rPr>
        <w:t>.</w:t>
      </w:r>
    </w:p>
    <w:p w:rsidR="00420374" w:rsidRPr="00F87E1F" w:rsidP="00F87E1F" w14:paraId="4A9F3764" w14:textId="14BBCC1C">
      <w:pPr>
        <w:pStyle w:val="7317"/>
        <w:rPr>
          <w:rtl/>
        </w:rPr>
      </w:pPr>
      <w:r w:rsidRPr="000610AB">
        <w:rPr>
          <w:rtl/>
        </w:rPr>
        <w:t xml:space="preserve">ניכר שיפור בהפעלת סבב הסיורים </w:t>
      </w:r>
      <w:r w:rsidRPr="000610AB">
        <w:rPr>
          <w:rFonts w:hint="cs"/>
          <w:rtl/>
        </w:rPr>
        <w:t xml:space="preserve">השלישי ללא תשלום לקהל הרחב </w:t>
      </w:r>
      <w:r w:rsidRPr="000610AB">
        <w:rPr>
          <w:rtl/>
        </w:rPr>
        <w:t xml:space="preserve">שהחל בפברואר 2022 </w:t>
      </w:r>
      <w:r w:rsidRPr="000610AB">
        <w:rPr>
          <w:rFonts w:hint="cs"/>
          <w:rtl/>
        </w:rPr>
        <w:t xml:space="preserve">כסיוע למורי הדרך </w:t>
      </w:r>
      <w:r w:rsidRPr="000610AB">
        <w:rPr>
          <w:rtl/>
        </w:rPr>
        <w:t xml:space="preserve">מבחינת </w:t>
      </w:r>
      <w:r w:rsidRPr="000610AB">
        <w:rPr>
          <w:rFonts w:hint="cs"/>
          <w:rtl/>
        </w:rPr>
        <w:t>שיעור</w:t>
      </w:r>
      <w:r w:rsidRPr="000610AB">
        <w:rPr>
          <w:rtl/>
        </w:rPr>
        <w:t xml:space="preserve"> התשלום ששולם ל</w:t>
      </w:r>
      <w:r w:rsidRPr="000610AB">
        <w:rPr>
          <w:rFonts w:hint="cs"/>
          <w:rtl/>
        </w:rPr>
        <w:t>הם</w:t>
      </w:r>
      <w:r w:rsidRPr="000610AB">
        <w:rPr>
          <w:rtl/>
        </w:rPr>
        <w:t xml:space="preserve">: כ-94% מהתקציב </w:t>
      </w:r>
      <w:r w:rsidRPr="000610AB">
        <w:rPr>
          <w:rFonts w:hint="cs"/>
          <w:rtl/>
        </w:rPr>
        <w:t xml:space="preserve">עבור סבב זה </w:t>
      </w:r>
      <w:r w:rsidRPr="000610AB">
        <w:rPr>
          <w:rtl/>
        </w:rPr>
        <w:t xml:space="preserve">נוצל עד יולי 2022 (אמצע תקופת הסיוע) </w:t>
      </w:r>
      <w:r w:rsidRPr="000610AB">
        <w:rPr>
          <w:rFonts w:hint="cs"/>
          <w:rtl/>
        </w:rPr>
        <w:t>ו</w:t>
      </w:r>
      <w:r w:rsidRPr="000610AB">
        <w:rPr>
          <w:rtl/>
        </w:rPr>
        <w:t>שול</w:t>
      </w:r>
      <w:r w:rsidRPr="000610AB">
        <w:rPr>
          <w:rFonts w:hint="cs"/>
          <w:rtl/>
        </w:rPr>
        <w:t>ם</w:t>
      </w:r>
      <w:r w:rsidRPr="000610AB">
        <w:rPr>
          <w:rtl/>
        </w:rPr>
        <w:t xml:space="preserve"> עבור הדרכות של מורי הדרך. זאת </w:t>
      </w:r>
      <w:r w:rsidRPr="000610AB">
        <w:rPr>
          <w:rFonts w:hint="cs"/>
          <w:rtl/>
        </w:rPr>
        <w:t>בעוד ש</w:t>
      </w:r>
      <w:r w:rsidRPr="000610AB">
        <w:rPr>
          <w:rtl/>
        </w:rPr>
        <w:t xml:space="preserve">שיעור התשלום למורי הדרך מתקציב סבב הסיורים השני בנובמבר 2020 עד סוף 2021 </w:t>
      </w:r>
      <w:r w:rsidRPr="000610AB">
        <w:rPr>
          <w:rFonts w:hint="cs"/>
          <w:rtl/>
        </w:rPr>
        <w:t>ש</w:t>
      </w:r>
      <w:r w:rsidRPr="000610AB">
        <w:rPr>
          <w:rtl/>
        </w:rPr>
        <w:t>עמד על כ-62% בלבד</w:t>
      </w:r>
      <w:r w:rsidRPr="00F87E1F">
        <w:rPr>
          <w:rFonts w:hint="cs"/>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5BD41558">
      <w:pPr>
        <w:pStyle w:val="731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610AB" w:rsidR="00F87E1F">
        <w:rPr>
          <w:rtl/>
        </w:rPr>
        <w:t>מומלץ למשרד האוצר לבחון ברא</w:t>
      </w:r>
      <w:r w:rsidRPr="000610AB" w:rsidR="00F87E1F">
        <w:rPr>
          <w:rFonts w:hint="cs"/>
          <w:rtl/>
        </w:rPr>
        <w:t>י</w:t>
      </w:r>
      <w:r w:rsidRPr="000610AB" w:rsidR="00F87E1F">
        <w:rPr>
          <w:rtl/>
        </w:rPr>
        <w:t xml:space="preserve">יה כלל-משקית את האפשרות </w:t>
      </w:r>
      <w:r w:rsidRPr="000610AB" w:rsidR="00F87E1F">
        <w:rPr>
          <w:rFonts w:hint="cs"/>
          <w:rtl/>
        </w:rPr>
        <w:t xml:space="preserve">לכך </w:t>
      </w:r>
      <w:r w:rsidRPr="000610AB" w:rsidR="00F87E1F">
        <w:rPr>
          <w:rtl/>
        </w:rPr>
        <w:t xml:space="preserve">שחלק מתקציבי סיוע </w:t>
      </w:r>
      <w:r w:rsidRPr="000610AB" w:rsidR="00F87E1F">
        <w:rPr>
          <w:rFonts w:hint="eastAsia"/>
          <w:rtl/>
        </w:rPr>
        <w:t>ממשלתיים</w:t>
      </w:r>
      <w:r w:rsidRPr="000610AB" w:rsidR="00F87E1F">
        <w:rPr>
          <w:rtl/>
        </w:rPr>
        <w:t xml:space="preserve"> שיוקצו במצבי חירום </w:t>
      </w:r>
      <w:r w:rsidRPr="000610AB" w:rsidR="00F87E1F">
        <w:rPr>
          <w:rFonts w:hint="cs"/>
          <w:rtl/>
        </w:rPr>
        <w:t>ב</w:t>
      </w:r>
      <w:r w:rsidRPr="000610AB" w:rsidR="00F87E1F">
        <w:rPr>
          <w:rtl/>
        </w:rPr>
        <w:t>עתיד יכללו הקצאת משאבים לניהול מערכי הסיוע, לפיקוח ו</w:t>
      </w:r>
      <w:r w:rsidRPr="000610AB" w:rsidR="00F87E1F">
        <w:rPr>
          <w:rFonts w:hint="cs"/>
          <w:rtl/>
        </w:rPr>
        <w:t>ל</w:t>
      </w:r>
      <w:r w:rsidRPr="000610AB" w:rsidR="00F87E1F">
        <w:rPr>
          <w:rtl/>
        </w:rPr>
        <w:t>בקרה</w:t>
      </w:r>
      <w:r w:rsidRPr="000610AB" w:rsidR="00F87E1F">
        <w:rPr>
          <w:rFonts w:hint="cs"/>
          <w:rtl/>
        </w:rPr>
        <w:t xml:space="preserve"> עליהם</w:t>
      </w:r>
      <w:r w:rsidRPr="000610AB" w:rsidR="00F87E1F">
        <w:rPr>
          <w:rtl/>
        </w:rPr>
        <w:t>.</w:t>
      </w:r>
      <w:r w:rsidRPr="000610AB" w:rsidR="00F87E1F">
        <w:rPr>
          <w:rFonts w:hint="cs"/>
          <w:rtl/>
        </w:rPr>
        <w:t xml:space="preserve"> עוד מומלץ שמשרדי התיירות והאוצר יוודאו כי מערכות המידע שנועדו לתמוך במימוש כספי סיוע מהיר בשעת חירום יהיו תואמות לדרישות המצופות מהמערכת ומהמשתמשים באופן שיקל את השימוש בהן</w:t>
      </w:r>
      <w:r w:rsidRPr="007C7D40" w:rsidR="005D0F8C">
        <w:rPr>
          <w:rFonts w:hint="cs"/>
          <w:rtl/>
        </w:rPr>
        <w:t xml:space="preserve">. </w:t>
      </w:r>
    </w:p>
    <w:p w:rsidR="005D0F8C" w:rsidRPr="007C7D40" w:rsidP="007C7D40" w14:paraId="6C626C68" w14:textId="71D89E6A">
      <w:pPr>
        <w:pStyle w:val="731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610AB" w:rsidR="00F87E1F">
        <w:rPr>
          <w:rtl/>
        </w:rPr>
        <w:t xml:space="preserve">על משרד התיירות, </w:t>
      </w:r>
      <w:r w:rsidRPr="000610AB" w:rsidR="00F87E1F">
        <w:rPr>
          <w:rFonts w:hint="cs"/>
          <w:rtl/>
        </w:rPr>
        <w:t xml:space="preserve">בראש ובראשונה, וכן על משרדי </w:t>
      </w:r>
      <w:r w:rsidRPr="000610AB" w:rsidR="00F87E1F">
        <w:rPr>
          <w:rtl/>
        </w:rPr>
        <w:t xml:space="preserve">ראש הממשלה, הכלכלה, האוצר, המשפטים, התחבורה </w:t>
      </w:r>
      <w:r w:rsidRPr="000610AB" w:rsidR="00F87E1F">
        <w:rPr>
          <w:rFonts w:hint="cs"/>
          <w:rtl/>
        </w:rPr>
        <w:t xml:space="preserve">והבטיחות בדרכים </w:t>
      </w:r>
      <w:r w:rsidRPr="000610AB" w:rsidR="00F87E1F">
        <w:rPr>
          <w:rtl/>
        </w:rPr>
        <w:t>ירושלים ומורשת לפעול ליישם את החלטות הממשלה מספטמבר 2014 ומאוגוסט 2015 בנושא גיבוש מנגנונים לסיוע לתעשיית התיירות בעת משבר ובהתחשב בין היתר בממצאי דוח ביקורת זה</w:t>
      </w:r>
      <w:r w:rsidRPr="007C7D40">
        <w:rPr>
          <w:rtl/>
        </w:rPr>
        <w:t xml:space="preserve">. </w:t>
      </w:r>
    </w:p>
    <w:p w:rsidR="005D0F8C" w:rsidRPr="007C7D40" w:rsidP="007C7D40" w14:paraId="16E5BFEE" w14:textId="6825BBC7">
      <w:pPr>
        <w:pStyle w:val="731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610AB" w:rsidR="00F87E1F">
        <w:rPr>
          <w:rFonts w:hint="cs"/>
          <w:rtl/>
        </w:rPr>
        <w:t xml:space="preserve">מומלץ כי כחלק </w:t>
      </w:r>
      <w:r w:rsidRPr="000610AB" w:rsidR="00F87E1F">
        <w:rPr>
          <w:rtl/>
        </w:rPr>
        <w:t>מ</w:t>
      </w:r>
      <w:r w:rsidRPr="000610AB" w:rsidR="00F87E1F">
        <w:rPr>
          <w:rFonts w:hint="cs"/>
          <w:rtl/>
        </w:rPr>
        <w:t>ה</w:t>
      </w:r>
      <w:r w:rsidRPr="000610AB" w:rsidR="00F87E1F">
        <w:rPr>
          <w:rtl/>
        </w:rPr>
        <w:t xml:space="preserve">היערכות למצבי חירום עתידיים, יקיימו משרדי התיירות והאוצר </w:t>
      </w:r>
      <w:r w:rsidRPr="000610AB" w:rsidR="00F87E1F">
        <w:rPr>
          <w:rFonts w:hint="cs"/>
          <w:rtl/>
        </w:rPr>
        <w:t>ת</w:t>
      </w:r>
      <w:r w:rsidRPr="000610AB" w:rsidR="00F87E1F">
        <w:rPr>
          <w:rtl/>
        </w:rPr>
        <w:t xml:space="preserve">הליך </w:t>
      </w:r>
      <w:r w:rsidRPr="000610AB" w:rsidR="00F87E1F">
        <w:rPr>
          <w:rFonts w:hint="cs"/>
          <w:rtl/>
        </w:rPr>
        <w:t>ל</w:t>
      </w:r>
      <w:r w:rsidRPr="000610AB" w:rsidR="00F87E1F">
        <w:rPr>
          <w:rtl/>
        </w:rPr>
        <w:t xml:space="preserve">הפקת לקחים בנוגע לסיוע הייחודי שניתן לבתי המלון, </w:t>
      </w:r>
      <w:r w:rsidRPr="000610AB" w:rsidR="00F87E1F">
        <w:rPr>
          <w:rFonts w:hint="cs"/>
          <w:rtl/>
        </w:rPr>
        <w:t>ו</w:t>
      </w:r>
      <w:r w:rsidRPr="000610AB" w:rsidR="00F87E1F">
        <w:rPr>
          <w:rtl/>
        </w:rPr>
        <w:t>במסגרתו יבחנו את יעילות ומועילות הסיוע, יבדקו את הסיבות לעיכובים בחלוקת הסיוע ו</w:t>
      </w:r>
      <w:r w:rsidRPr="000610AB" w:rsidR="00F87E1F">
        <w:rPr>
          <w:rFonts w:hint="cs"/>
          <w:rtl/>
        </w:rPr>
        <w:t>את ה</w:t>
      </w:r>
      <w:r w:rsidRPr="000610AB" w:rsidR="00F87E1F">
        <w:rPr>
          <w:rtl/>
        </w:rPr>
        <w:t>דרכים לצמצומם</w:t>
      </w:r>
      <w:r w:rsidRPr="000610AB" w:rsidR="00F87E1F">
        <w:rPr>
          <w:rFonts w:hint="cs"/>
          <w:rtl/>
        </w:rPr>
        <w:t xml:space="preserve">. עוד מומלץ כי </w:t>
      </w:r>
      <w:r w:rsidRPr="000610AB" w:rsidR="00F87E1F">
        <w:rPr>
          <w:rtl/>
        </w:rPr>
        <w:t xml:space="preserve">משרדי התיירות והאוצר </w:t>
      </w:r>
      <w:r w:rsidRPr="000610AB" w:rsidR="00F87E1F">
        <w:rPr>
          <w:rFonts w:hint="cs"/>
          <w:rtl/>
        </w:rPr>
        <w:t xml:space="preserve">יוודאו שאופן חלוקת </w:t>
      </w:r>
      <w:r w:rsidRPr="000610AB" w:rsidR="00F87E1F">
        <w:rPr>
          <w:rtl/>
        </w:rPr>
        <w:t>כספי הסיוע יטיב גם עם הצרכן הישראלי</w:t>
      </w:r>
      <w:r w:rsidRPr="000610AB" w:rsidR="00F87E1F">
        <w:rPr>
          <w:rFonts w:hint="cs"/>
          <w:rtl/>
        </w:rPr>
        <w:t>. עוד מומלץ כי לשם הקצאה יעילה של משאבי הציבור משרדי התיירות והאוצר יבחנו אפשרות לכלול בנוהלי סיוע ייחודיים עתידיים תנאים שיוודאו כי עסקים שיקבלו סיוע ויתברר בדיעבד כי לא היו זקוקים לו יחזירו סיוע זה למדינה</w:t>
      </w:r>
      <w:r w:rsidRPr="007C7D40">
        <w:rPr>
          <w:rFonts w:hint="cs"/>
          <w:rtl/>
        </w:rPr>
        <w:t>.</w:t>
      </w:r>
    </w:p>
    <w:p w:rsidR="00706096" w:rsidRPr="007C7D40" w:rsidP="007C7D40" w14:paraId="3F6A2BE4" w14:textId="24D24688">
      <w:pPr>
        <w:pStyle w:val="731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610AB" w:rsidR="00F87E1F">
        <w:rPr>
          <w:rFonts w:hint="cs"/>
          <w:rtl/>
        </w:rPr>
        <w:t xml:space="preserve">מומלץ כי </w:t>
      </w:r>
      <w:r w:rsidRPr="000610AB" w:rsidR="00F87E1F">
        <w:rPr>
          <w:rtl/>
        </w:rPr>
        <w:t xml:space="preserve">משרד התיירות </w:t>
      </w:r>
      <w:r w:rsidRPr="000610AB" w:rsidR="00F87E1F">
        <w:rPr>
          <w:rFonts w:hint="cs"/>
          <w:rtl/>
        </w:rPr>
        <w:t>יבח</w:t>
      </w:r>
      <w:r w:rsidRPr="000610AB" w:rsidR="00F87E1F">
        <w:rPr>
          <w:rtl/>
        </w:rPr>
        <w:t>ן את הסיבות לשיעורי</w:t>
      </w:r>
      <w:r w:rsidRPr="000610AB" w:rsidR="00F87E1F">
        <w:rPr>
          <w:rFonts w:hint="cs"/>
          <w:rtl/>
        </w:rPr>
        <w:t xml:space="preserve"> </w:t>
      </w:r>
      <w:r w:rsidRPr="000610AB" w:rsidR="00F87E1F">
        <w:rPr>
          <w:rtl/>
        </w:rPr>
        <w:t xml:space="preserve">הניצול הקטנים של תקציב סבב הסיורים </w:t>
      </w:r>
      <w:r w:rsidRPr="000610AB" w:rsidR="00F87E1F">
        <w:rPr>
          <w:rFonts w:hint="cs"/>
          <w:rtl/>
        </w:rPr>
        <w:t>המודרכים שהתקיימו מפברואר עד</w:t>
      </w:r>
      <w:r w:rsidRPr="000610AB" w:rsidR="00F87E1F">
        <w:rPr>
          <w:rtl/>
        </w:rPr>
        <w:t xml:space="preserve"> אוקטובר 2022</w:t>
      </w:r>
      <w:r w:rsidRPr="000610AB" w:rsidR="00F87E1F">
        <w:rPr>
          <w:rFonts w:hint="cs"/>
          <w:rtl/>
        </w:rPr>
        <w:t xml:space="preserve"> (כ-32%) וי</w:t>
      </w:r>
      <w:r w:rsidRPr="000610AB" w:rsidR="00F87E1F">
        <w:rPr>
          <w:rtl/>
        </w:rPr>
        <w:t xml:space="preserve">נקוט פעולות שיקדמו את השלמת מתן הסיוע באופן יעיל ומועיל. </w:t>
      </w:r>
      <w:r w:rsidRPr="000610AB" w:rsidR="00F87E1F">
        <w:rPr>
          <w:rFonts w:hint="cs"/>
          <w:rtl/>
        </w:rPr>
        <w:t xml:space="preserve">עוד </w:t>
      </w:r>
      <w:r w:rsidRPr="000610AB" w:rsidR="00F87E1F">
        <w:rPr>
          <w:rtl/>
        </w:rPr>
        <w:t xml:space="preserve">מומלץ כי </w:t>
      </w:r>
      <w:r w:rsidRPr="000610AB" w:rsidR="00F87E1F">
        <w:rPr>
          <w:rFonts w:hint="cs"/>
          <w:rtl/>
        </w:rPr>
        <w:t xml:space="preserve">בעתיד, </w:t>
      </w:r>
      <w:r w:rsidRPr="000610AB" w:rsidR="00F87E1F">
        <w:rPr>
          <w:rtl/>
        </w:rPr>
        <w:t xml:space="preserve">בעת </w:t>
      </w:r>
      <w:r w:rsidRPr="000610AB" w:rsidR="00F87E1F">
        <w:rPr>
          <w:rFonts w:hint="cs"/>
          <w:rtl/>
        </w:rPr>
        <w:t>ש</w:t>
      </w:r>
      <w:r w:rsidRPr="000610AB" w:rsidR="00F87E1F">
        <w:rPr>
          <w:rtl/>
        </w:rPr>
        <w:t xml:space="preserve">בה משרד התיירות יפעיל מיזמים המיועדים לסייע למורי </w:t>
      </w:r>
      <w:r w:rsidRPr="000610AB" w:rsidR="00F87E1F">
        <w:rPr>
          <w:rFonts w:hint="cs"/>
          <w:rtl/>
        </w:rPr>
        <w:t>ה</w:t>
      </w:r>
      <w:r w:rsidRPr="000610AB" w:rsidR="00F87E1F">
        <w:rPr>
          <w:rtl/>
        </w:rPr>
        <w:t>דרך</w:t>
      </w:r>
      <w:r w:rsidRPr="000610AB" w:rsidR="00F87E1F">
        <w:rPr>
          <w:rFonts w:hint="cs"/>
          <w:rtl/>
        </w:rPr>
        <w:t xml:space="preserve">, </w:t>
      </w:r>
      <w:r w:rsidRPr="000610AB" w:rsidR="00F87E1F">
        <w:rPr>
          <w:rtl/>
        </w:rPr>
        <w:t>הוא ינקוט בפעולות שיגבירו את היעילות והמועילות של הסיוע שיינתן ל</w:t>
      </w:r>
      <w:r w:rsidRPr="000610AB" w:rsidR="00F87E1F">
        <w:rPr>
          <w:rFonts w:hint="cs"/>
          <w:rtl/>
        </w:rPr>
        <w:t>הם,</w:t>
      </w:r>
      <w:r w:rsidRPr="000610AB" w:rsidR="00F87E1F">
        <w:rPr>
          <w:rtl/>
        </w:rPr>
        <w:t xml:space="preserve"> ימסד מנגנוני בקרה על מתן הסיוע העתידי ו</w:t>
      </w:r>
      <w:r w:rsidRPr="000610AB" w:rsidR="00F87E1F">
        <w:rPr>
          <w:rFonts w:hint="cs"/>
          <w:rtl/>
        </w:rPr>
        <w:t xml:space="preserve">מנגנוני </w:t>
      </w:r>
      <w:r w:rsidRPr="000610AB" w:rsidR="00F87E1F">
        <w:rPr>
          <w:rtl/>
        </w:rPr>
        <w:t>הפקת לקחים לאחריו ויבחן דרכים להגדלת מספר מורי הדרך המשתתפים במיזמים</w:t>
      </w:r>
      <w:r w:rsidRPr="007C7D40">
        <w:rPr>
          <w:rFonts w:hint="cs"/>
          <w:rtl/>
        </w:rPr>
        <w:t>.</w:t>
      </w:r>
    </w:p>
    <w:p w:rsidR="00706096" w:rsidRPr="007C7D40" w:rsidP="007C7D40" w14:paraId="36B4D251" w14:textId="0B6010AD">
      <w:pPr>
        <w:pStyle w:val="7317"/>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610AB" w:rsidR="00F87E1F">
        <w:rPr>
          <w:rFonts w:hint="cs"/>
          <w:rtl/>
        </w:rPr>
        <w:t xml:space="preserve">מומלץ כי משרד התיירות ימשיך לפעול להשלמת פערי המידע בנוגע לתעשיית התיירות ויחזק את מערך איסוף הנתונים, תוך עדכונם </w:t>
      </w:r>
      <w:r w:rsidRPr="000610AB" w:rsidR="00F87E1F">
        <w:rPr>
          <w:rFonts w:hint="cs"/>
          <w:rtl/>
        </w:rPr>
        <w:t>העתי</w:t>
      </w:r>
      <w:r w:rsidRPr="000610AB" w:rsidR="00F87E1F">
        <w:rPr>
          <w:rFonts w:hint="cs"/>
          <w:rtl/>
        </w:rPr>
        <w:t>, כדי לטייב את פעילותו הן בעת שגרה והן בעת חירום</w:t>
      </w:r>
      <w:r w:rsidRPr="007C7D40">
        <w:rPr>
          <w:rFonts w:hint="cs"/>
          <w:rtl/>
        </w:rPr>
        <w:t>.</w:t>
      </w:r>
    </w:p>
    <w:p w:rsidR="00F87E1F" w14:paraId="30BCF9AB"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4E71DD" w14:paraId="6DC28C4F" w14:textId="79C5B4FB">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29995103">
                            <w:pPr>
                              <w:spacing w:line="240" w:lineRule="auto"/>
                              <w:ind w:right="113"/>
                              <w:suppressOverlap/>
                              <w:jc w:val="left"/>
                              <w:rPr>
                                <w:rFonts w:ascii="Tahoma" w:hAnsi="Tahoma" w:cs="Tahoma"/>
                                <w:b/>
                                <w:bCs/>
                                <w:color w:val="FFFFFF" w:themeColor="background1"/>
                                <w:spacing w:val="-4"/>
                                <w:sz w:val="22"/>
                                <w:szCs w:val="22"/>
                                <w:rtl/>
                              </w:rPr>
                            </w:pPr>
                            <w:r w:rsidRPr="00F87E1F">
                              <w:rPr>
                                <w:rFonts w:ascii="Tahoma" w:hAnsi="Tahoma" w:cs="Tahoma"/>
                                <w:b/>
                                <w:bCs/>
                                <w:color w:val="FFFFFF" w:themeColor="background1"/>
                                <w:spacing w:val="-4"/>
                                <w:sz w:val="22"/>
                                <w:szCs w:val="22"/>
                                <w:rtl/>
                              </w:rPr>
                              <w:t>הענפים הכלכליים בישראל המספקים שירותים ומוצרים לתיירים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41"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29995103">
                      <w:pPr>
                        <w:spacing w:line="240" w:lineRule="auto"/>
                        <w:ind w:right="113"/>
                        <w:suppressOverlap/>
                        <w:jc w:val="left"/>
                        <w:rPr>
                          <w:rFonts w:ascii="Tahoma" w:hAnsi="Tahoma" w:cs="Tahoma"/>
                          <w:b/>
                          <w:bCs/>
                          <w:color w:val="FFFFFF" w:themeColor="background1"/>
                          <w:spacing w:val="-4"/>
                          <w:sz w:val="22"/>
                          <w:szCs w:val="22"/>
                          <w:rtl/>
                        </w:rPr>
                      </w:pPr>
                      <w:r w:rsidRPr="00F87E1F">
                        <w:rPr>
                          <w:rFonts w:ascii="Tahoma" w:hAnsi="Tahoma" w:cs="Tahoma"/>
                          <w:b/>
                          <w:bCs/>
                          <w:color w:val="FFFFFF" w:themeColor="background1"/>
                          <w:spacing w:val="-4"/>
                          <w:sz w:val="22"/>
                          <w:szCs w:val="22"/>
                          <w:rtl/>
                        </w:rPr>
                        <w:t>הענפים הכלכליים בישראל המספקים שירותים ומוצרים לתיירים</w:t>
                      </w:r>
                    </w:p>
                  </w:txbxContent>
                </v:textbox>
              </v:shape>
            </w:pict>
          </mc:Fallback>
        </mc:AlternateContent>
      </w:r>
      <w:r>
        <w:rPr>
          <w:rtl/>
        </w:rPr>
        <w:t xml:space="preserve"> </w:t>
      </w:r>
    </w:p>
    <w:p w:rsidR="005D0F8C" w:rsidP="005D0F8C" w14:paraId="5B8DB107" w14:textId="1CB985B1">
      <w:pPr>
        <w:pStyle w:val="7317"/>
        <w:rPr>
          <w:rtl/>
        </w:rPr>
      </w:pPr>
    </w:p>
    <w:p w:rsidR="005D0F8C" w:rsidP="005D0F8C" w14:paraId="65CD3CF9" w14:textId="144A8F46">
      <w:pPr>
        <w:pStyle w:val="7317"/>
        <w:rPr>
          <w:rtl/>
        </w:rPr>
      </w:pPr>
      <w:r>
        <w:rPr>
          <w:noProof/>
          <w:sz w:val="19"/>
          <w:szCs w:val="19"/>
        </w:rPr>
        <w:drawing>
          <wp:anchor distT="0" distB="0" distL="114300" distR="114300" simplePos="0" relativeHeight="251681792" behindDoc="0" locked="0" layoutInCell="1" allowOverlap="1">
            <wp:simplePos x="0" y="0"/>
            <wp:positionH relativeFrom="column">
              <wp:posOffset>-169545</wp:posOffset>
            </wp:positionH>
            <wp:positionV relativeFrom="paragraph">
              <wp:posOffset>178526</wp:posOffset>
            </wp:positionV>
            <wp:extent cx="4791075" cy="5502275"/>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t="3066" b="3066"/>
                    <a:stretch>
                      <a:fillRect/>
                    </a:stretch>
                  </pic:blipFill>
                  <pic:spPr bwMode="auto">
                    <a:xfrm>
                      <a:off x="0" y="0"/>
                      <a:ext cx="4791075" cy="5502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F8C" w:rsidRPr="00F87E1F" w:rsidP="00F87E1F" w14:paraId="0DA8F7B9" w14:textId="10D7FAE3">
      <w:pPr>
        <w:pStyle w:val="738"/>
      </w:pPr>
      <w:r w:rsidRPr="00F87E1F">
        <w:rPr>
          <w:rFonts w:hint="cs"/>
          <w:rtl/>
        </w:rPr>
        <w:t>על פי הספרות המקצועית ומידע ממשרד התיירות, בעיבוד משרד מבקר המדינה</w:t>
      </w:r>
      <w:r w:rsidRPr="00F87E1F">
        <w:rPr>
          <w:rFonts w:hint="cs"/>
          <w:rtl/>
        </w:rPr>
        <w:t>.</w:t>
      </w: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B31AA" w:rsidRPr="000B31AA" w:rsidP="00662020" w14:paraId="1001632A" w14:textId="17CACB07">
      <w:pPr>
        <w:pStyle w:val="738"/>
        <w:spacing w:before="0" w:after="0"/>
        <w:rPr>
          <w:rtl/>
        </w:rPr>
      </w:pPr>
      <w:r>
        <w:rPr>
          <w:noProof/>
          <w:rtl/>
          <w:lang w:val="he-IL"/>
        </w:rPr>
        <w:drawing>
          <wp:anchor distT="0" distB="0" distL="114300" distR="114300" simplePos="0" relativeHeight="251705344" behindDoc="0" locked="0" layoutInCell="1" allowOverlap="1">
            <wp:simplePos x="0" y="0"/>
            <wp:positionH relativeFrom="column">
              <wp:posOffset>-11430</wp:posOffset>
            </wp:positionH>
            <wp:positionV relativeFrom="paragraph">
              <wp:posOffset>1051560</wp:posOffset>
            </wp:positionV>
            <wp:extent cx="4679315" cy="2650490"/>
            <wp:effectExtent l="0" t="0" r="0" b="0"/>
            <wp:wrapTopAndBottom/>
            <wp:docPr id="1790785734" name="תמונה 179078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85734" name="תמונה 1790785734"/>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315" cy="2650490"/>
                    </a:xfrm>
                    <a:prstGeom prst="rect">
                      <a:avLst/>
                    </a:prstGeom>
                  </pic:spPr>
                </pic:pic>
              </a:graphicData>
            </a:graphic>
            <wp14:sizeRelH relativeFrom="page">
              <wp14:pctWidth>0</wp14:pctWidth>
            </wp14:sizeRelH>
            <wp14:sizeRelV relativeFrom="page">
              <wp14:pctHeight>0</wp14:pctHeight>
            </wp14:sizeRelV>
          </wp:anchor>
        </w:drawing>
      </w:r>
      <w:r w:rsidRPr="00DC1D24" w:rsidR="00662020">
        <w:rPr>
          <w:noProof/>
          <w:rtl/>
        </w:rPr>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361C09" w:rsidP="00361C09" w14:textId="4878B05C">
                              <w:pPr>
                                <w:spacing w:before="60" w:after="60" w:line="240" w:lineRule="auto"/>
                                <w:ind w:right="113"/>
                                <w:jc w:val="left"/>
                                <w:rPr>
                                  <w:b/>
                                  <w:bCs/>
                                </w:rPr>
                              </w:pPr>
                              <w:r>
                                <w:rPr>
                                  <w:rFonts w:ascii="Tahoma" w:hAnsi="Tahoma" w:cs="Tahoma" w:hint="cs"/>
                                  <w:b/>
                                  <w:bCs/>
                                  <w:color w:val="FFFFFF" w:themeColor="background1"/>
                                  <w:spacing w:val="-4"/>
                                  <w:sz w:val="22"/>
                                  <w:szCs w:val="22"/>
                                  <w:rtl/>
                                </w:rPr>
                                <w:t>נתוני כניסת תיירים לישראל, ספטמבר 2022-2019 (באלפים)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2" style="width:377pt;height:60.4pt;margin-top:8.45pt;margin-left:-8.4pt;mso-height-relative:margin;mso-position-horizontal-relative:margin;mso-width-relative:margin;position:absolute;z-index:251683840" coordorigin="0,1815" coordsize="47879,6148">
                <v:shape id="Picture 23" o:spid="_x0000_s1043" type="#_x0000_t75" style="width:47879;height:6148;mso-wrap-style:square;position:absolute;top:1815;visibility:visible">
                  <v:imagedata r:id="rId25" o:title=""/>
                </v:shape>
                <v:shape id="_x0000_s1044" type="#_x0000_t202" style="width:44284;height:3476;left:2028;mso-wrap-style:square;position:absolute;top:2665;visibility:visible;v-text-anchor:middle" fillcolor="#f05260" stroked="f">
                  <v:textbox>
                    <w:txbxContent>
                      <w:p w:rsidR="000B31AA" w:rsidRPr="00361C09" w:rsidP="00361C09" w14:paraId="64B50804" w14:textId="4878B05C">
                        <w:pPr>
                          <w:spacing w:before="60" w:after="60" w:line="240" w:lineRule="auto"/>
                          <w:ind w:right="113"/>
                          <w:jc w:val="left"/>
                          <w:rPr>
                            <w:b/>
                            <w:bCs/>
                          </w:rPr>
                        </w:pPr>
                        <w:r>
                          <w:rPr>
                            <w:rFonts w:ascii="Tahoma" w:hAnsi="Tahoma" w:cs="Tahoma" w:hint="cs"/>
                            <w:b/>
                            <w:bCs/>
                            <w:color w:val="FFFFFF" w:themeColor="background1"/>
                            <w:spacing w:val="-4"/>
                            <w:sz w:val="22"/>
                            <w:szCs w:val="22"/>
                            <w:rtl/>
                          </w:rPr>
                          <w:t>נתוני כניסת תיירים לישראל, ספטמבר 2022-2019 (באלפים)</w:t>
                        </w:r>
                      </w:p>
                    </w:txbxContent>
                  </v:textbox>
                </v:shape>
                <w10:wrap type="square"/>
              </v:group>
            </w:pict>
          </mc:Fallback>
        </mc:AlternateContent>
      </w:r>
    </w:p>
    <w:p w:rsidR="00F87E1F" w:rsidRPr="009F6482" w:rsidP="00F87E1F" w14:paraId="5768BB26" w14:textId="66D66C18">
      <w:pPr>
        <w:pStyle w:val="738"/>
        <w:rPr>
          <w:rtl/>
        </w:rPr>
      </w:pPr>
      <w:r w:rsidRPr="009F6482">
        <w:rPr>
          <w:rtl/>
        </w:rPr>
        <w:t>על פי נתוני הלשכה המרכזית לסטטיסטיקה, בעיבוד משרד מבקר המדינה</w:t>
      </w:r>
      <w:r>
        <w:rPr>
          <w:rFonts w:hint="cs"/>
          <w:rtl/>
        </w:rPr>
        <w:t xml:space="preserve"> (נתוני 20</w:t>
      </w:r>
      <w:r w:rsidR="00907555">
        <w:rPr>
          <w:rFonts w:hint="cs"/>
          <w:rtl/>
        </w:rPr>
        <w:t>2</w:t>
      </w:r>
      <w:r>
        <w:rPr>
          <w:rFonts w:hint="cs"/>
          <w:rtl/>
        </w:rPr>
        <w:t>2 מתייחסים לתקופה של 9 חודשים)</w:t>
      </w:r>
      <w:r w:rsidRPr="009F6482">
        <w:rPr>
          <w:rtl/>
        </w:rPr>
        <w:t>.</w:t>
      </w:r>
    </w:p>
    <w:p w:rsidR="000B31AA" w:rsidRPr="00361C09" w:rsidP="000B31AA" w14:paraId="5C1AE375" w14:textId="59221F17">
      <w:pPr>
        <w:pStyle w:val="7317"/>
        <w:rPr>
          <w:rtl/>
        </w:rPr>
      </w:pPr>
    </w:p>
    <w:p w:rsidR="004E71DD" w14:paraId="7757BE7E" w14:textId="2BE6DB4B">
      <w:pPr>
        <w:bidi w:val="0"/>
        <w:spacing w:after="200" w:line="276" w:lineRule="auto"/>
        <w:rPr>
          <w:rFonts w:ascii="Tahoma" w:hAnsi="Tahoma" w:cs="Tahoma"/>
          <w:color w:val="0D0D0D" w:themeColor="text1" w:themeTint="F2"/>
          <w:sz w:val="18"/>
          <w:szCs w:val="18"/>
          <w:rtl/>
        </w:rPr>
      </w:pPr>
      <w:r>
        <w:rPr>
          <w:rtl/>
        </w:rPr>
        <w:br w:type="page"/>
      </w:r>
    </w:p>
    <w:p w:rsidR="004E71DD" w:rsidP="004E71DD" w14:paraId="7C33D7DD" w14:textId="77777777">
      <w:pPr>
        <w:pStyle w:val="73"/>
        <w:rPr>
          <w:rtl/>
        </w:rPr>
      </w:pPr>
      <w:r w:rsidRPr="00EF3061">
        <w:rPr>
          <w:rFonts w:hint="cs"/>
          <w:rtl/>
        </w:rPr>
        <w:t>סיכום</w:t>
      </w:r>
    </w:p>
    <w:p w:rsidR="00F87E1F" w:rsidRPr="000610AB" w:rsidP="00F87E1F" w14:paraId="5BF9FE31" w14:textId="43C35F99">
      <w:pPr>
        <w:widowControl w:val="0"/>
        <w:spacing w:before="240" w:line="276" w:lineRule="auto"/>
        <w:ind w:left="-1"/>
        <w:rPr>
          <w:rFonts w:ascii="Tahoma" w:hAnsi="Tahoma" w:cs="Tahoma"/>
          <w:sz w:val="18"/>
          <w:szCs w:val="18"/>
          <w:rtl/>
        </w:rPr>
      </w:pPr>
      <w:r w:rsidRPr="000610AB">
        <w:rPr>
          <w:rFonts w:ascii="Tahoma" w:hAnsi="Tahoma" w:cs="Tahoma" w:hint="cs"/>
          <w:sz w:val="18"/>
          <w:szCs w:val="18"/>
          <w:rtl/>
        </w:rPr>
        <w:t xml:space="preserve">בעקבות פרוץ מגפת הקורונה בישראל במרץ 2020 נקטה הממשלה צעדים לצמצום התחלואה והתמותה, ובראשם - הטלת הגבלות על תנועה והתקהלות במדינה וסגירת השמיים לתיירים זרים. הגבלות אלו פגעו קשות בתעשיית התיירות בשלב מוקדם יחסית של המגפה, ומרף של </w:t>
      </w:r>
      <w:r w:rsidR="00B36AC3">
        <w:rPr>
          <w:rFonts w:ascii="Tahoma" w:hAnsi="Tahoma" w:cs="Tahoma"/>
          <w:sz w:val="18"/>
          <w:szCs w:val="18"/>
          <w:rtl/>
        </w:rPr>
        <w:br/>
      </w:r>
      <w:r w:rsidRPr="000610AB">
        <w:rPr>
          <w:rFonts w:ascii="Tahoma" w:hAnsi="Tahoma" w:cs="Tahoma" w:hint="cs"/>
          <w:sz w:val="18"/>
          <w:szCs w:val="18"/>
          <w:rtl/>
        </w:rPr>
        <w:t>כ-4.5 מיליון תיירים שנכנסו לישראל בשנת 2019 ירד מספרם לשפל חסר תקדים של כ-832,000 תיירים בשנת 2020. תעשיית התיירות לא התאוששה לחלוטין משפל זה עד מועד סיום הביקורת שכן מינואר עד ספטמבר 2022 נכנסו לישראל כ-1.7 מיליון תיירים.</w:t>
      </w:r>
    </w:p>
    <w:p w:rsidR="00F87E1F" w:rsidRPr="000610AB" w:rsidP="00F87E1F" w14:paraId="20998CC6" w14:textId="77777777">
      <w:pPr>
        <w:widowControl w:val="0"/>
        <w:spacing w:before="240" w:line="276" w:lineRule="auto"/>
        <w:ind w:left="-1"/>
        <w:rPr>
          <w:rFonts w:ascii="Tahoma" w:hAnsi="Tahoma" w:cs="Tahoma"/>
          <w:sz w:val="18"/>
          <w:szCs w:val="18"/>
          <w:rtl/>
        </w:rPr>
      </w:pPr>
      <w:r w:rsidRPr="000610AB">
        <w:rPr>
          <w:rFonts w:ascii="Tahoma" w:hAnsi="Tahoma" w:cs="Tahoma" w:hint="cs"/>
          <w:sz w:val="18"/>
          <w:szCs w:val="18"/>
          <w:rtl/>
        </w:rPr>
        <w:t xml:space="preserve">דוח זה בחן את הסיוע הייחודי לתעשיית התיירות בשני מישורים: האחד, בכל הנוגע להיערכות המשרד לאירועי חירום בעת שגרה, ובמיוחד בהיבטים הנוגעים לריכוז מידע הנחוץ להפעלת הסיוע בעת חירום ולהגדרת מושאי הסיוע; והשני, בחינת היבטים שונים הנוגעים לסיוע הייחודי שניתן בשנים 2021 ו-2022 לתעשיית התיירות ולאופן מימושו. </w:t>
      </w:r>
    </w:p>
    <w:p w:rsidR="00F87E1F" w:rsidRPr="000610AB" w:rsidP="00F87E1F" w14:paraId="3DBA3BC8" w14:textId="77777777">
      <w:pPr>
        <w:widowControl w:val="0"/>
        <w:spacing w:before="240" w:line="276" w:lineRule="auto"/>
        <w:ind w:left="-1"/>
        <w:rPr>
          <w:rFonts w:ascii="Tahoma" w:hAnsi="Tahoma" w:cs="Tahoma"/>
          <w:sz w:val="18"/>
          <w:szCs w:val="18"/>
          <w:rtl/>
        </w:rPr>
      </w:pPr>
      <w:r w:rsidRPr="000610AB">
        <w:rPr>
          <w:rFonts w:ascii="Tahoma" w:hAnsi="Tahoma" w:cs="Tahoma"/>
          <w:sz w:val="18"/>
          <w:szCs w:val="18"/>
          <w:rtl/>
        </w:rPr>
        <w:t xml:space="preserve">הביקורת הנוכחית </w:t>
      </w:r>
      <w:r w:rsidRPr="000610AB">
        <w:rPr>
          <w:rFonts w:ascii="Tahoma" w:hAnsi="Tahoma" w:cs="Tahoma" w:hint="cs"/>
          <w:sz w:val="18"/>
          <w:szCs w:val="18"/>
          <w:rtl/>
        </w:rPr>
        <w:t>הצביעה על</w:t>
      </w:r>
      <w:r w:rsidRPr="000610AB">
        <w:rPr>
          <w:rFonts w:ascii="Tahoma" w:hAnsi="Tahoma" w:cs="Tahoma"/>
          <w:sz w:val="18"/>
          <w:szCs w:val="18"/>
          <w:rtl/>
        </w:rPr>
        <w:t xml:space="preserve"> פערים בפעילותו של משרד התיירות בעת שגרה בתחום איסוף המידע הנוגע לתעשיית התיירו</w:t>
      </w:r>
      <w:r w:rsidRPr="000610AB">
        <w:rPr>
          <w:rFonts w:ascii="Tahoma" w:hAnsi="Tahoma" w:cs="Tahoma" w:hint="cs"/>
          <w:sz w:val="18"/>
          <w:szCs w:val="18"/>
          <w:rtl/>
        </w:rPr>
        <w:t>ת ו</w:t>
      </w:r>
      <w:r w:rsidRPr="000610AB">
        <w:rPr>
          <w:rFonts w:ascii="Tahoma" w:hAnsi="Tahoma" w:cs="Tahoma"/>
          <w:sz w:val="18"/>
          <w:szCs w:val="18"/>
          <w:rtl/>
        </w:rPr>
        <w:t>עדכונו הע</w:t>
      </w:r>
      <w:r w:rsidRPr="000610AB">
        <w:rPr>
          <w:rFonts w:ascii="Tahoma" w:hAnsi="Tahoma" w:cs="Tahoma" w:hint="cs"/>
          <w:sz w:val="18"/>
          <w:szCs w:val="18"/>
          <w:rtl/>
        </w:rPr>
        <w:t>י</w:t>
      </w:r>
      <w:r w:rsidRPr="000610AB">
        <w:rPr>
          <w:rFonts w:ascii="Tahoma" w:hAnsi="Tahoma" w:cs="Tahoma"/>
          <w:sz w:val="18"/>
          <w:szCs w:val="18"/>
          <w:rtl/>
        </w:rPr>
        <w:t>תי</w:t>
      </w:r>
      <w:r w:rsidRPr="000610AB">
        <w:rPr>
          <w:rFonts w:ascii="Tahoma" w:hAnsi="Tahoma" w:cs="Tahoma" w:hint="cs"/>
          <w:sz w:val="18"/>
          <w:szCs w:val="18"/>
          <w:rtl/>
        </w:rPr>
        <w:t>, היערכות המשרד למצבי חירום והתייחסות המשרד רק לחלק מהענפים בתיירות.</w:t>
      </w:r>
      <w:r w:rsidRPr="000610AB">
        <w:rPr>
          <w:rFonts w:ascii="Tahoma" w:hAnsi="Tahoma" w:cs="Tahoma"/>
          <w:sz w:val="18"/>
          <w:szCs w:val="18"/>
          <w:rtl/>
        </w:rPr>
        <w:t xml:space="preserve"> פערים אלה פגעו במועילות וביעילות הסיוע לתעשיית התיירות במשבר הקורונה משום </w:t>
      </w:r>
      <w:r w:rsidRPr="000610AB">
        <w:rPr>
          <w:rFonts w:ascii="Tahoma" w:hAnsi="Tahoma" w:cs="Tahoma" w:hint="cs"/>
          <w:sz w:val="18"/>
          <w:szCs w:val="18"/>
          <w:rtl/>
        </w:rPr>
        <w:t xml:space="preserve">שהם הגבילו את יכולת המשרד </w:t>
      </w:r>
      <w:r w:rsidRPr="000610AB">
        <w:rPr>
          <w:rFonts w:ascii="Tahoma" w:hAnsi="Tahoma" w:cs="Tahoma" w:hint="cs"/>
          <w:sz w:val="18"/>
          <w:szCs w:val="18"/>
          <w:rtl/>
        </w:rPr>
        <w:t>לאמוד</w:t>
      </w:r>
      <w:r w:rsidRPr="000610AB">
        <w:rPr>
          <w:rFonts w:ascii="Tahoma" w:hAnsi="Tahoma" w:cs="Tahoma" w:hint="cs"/>
          <w:sz w:val="18"/>
          <w:szCs w:val="18"/>
          <w:rtl/>
        </w:rPr>
        <w:t xml:space="preserve"> </w:t>
      </w:r>
      <w:r w:rsidRPr="000610AB">
        <w:rPr>
          <w:rFonts w:ascii="Tahoma" w:hAnsi="Tahoma" w:cs="Tahoma"/>
          <w:sz w:val="18"/>
          <w:szCs w:val="18"/>
          <w:rtl/>
        </w:rPr>
        <w:t>את הנזקים שנגרמו ל</w:t>
      </w:r>
      <w:r w:rsidRPr="000610AB">
        <w:rPr>
          <w:rFonts w:ascii="Tahoma" w:hAnsi="Tahoma" w:cs="Tahoma" w:hint="cs"/>
          <w:sz w:val="18"/>
          <w:szCs w:val="18"/>
          <w:rtl/>
        </w:rPr>
        <w:t>ענפים שונים המרכיבים את תעשיית התיירות ו</w:t>
      </w:r>
      <w:r w:rsidRPr="000610AB">
        <w:rPr>
          <w:rFonts w:ascii="Tahoma" w:hAnsi="Tahoma" w:cs="Tahoma"/>
          <w:sz w:val="18"/>
          <w:szCs w:val="18"/>
          <w:rtl/>
        </w:rPr>
        <w:t xml:space="preserve">להעריך את היקף הסיוע וסוג הסיוע </w:t>
      </w:r>
      <w:r w:rsidRPr="000610AB">
        <w:rPr>
          <w:rFonts w:ascii="Tahoma" w:hAnsi="Tahoma" w:cs="Tahoma" w:hint="cs"/>
          <w:sz w:val="18"/>
          <w:szCs w:val="18"/>
          <w:rtl/>
        </w:rPr>
        <w:t xml:space="preserve">שנדרשו כדי להתמודד עם המשבר. אשר לסיוע הייחודי שניתן בשנים 2021 ו-2022 לכמה ענפים בתעשיית התיירות ולאופן מימושו העלתה הביקורת שורה של ממצאים המחייבים בחינה והפקת לקחים לרבות קביעת אמות מידה לזיהוי עסקי התיירות מאפייניהם וצורכיהם, בחינת היכולת האופרטיבית של משרד התיירות להפעיל מערך סיוע, צורך בהצגת תמונת מצב פיננסית מלאה על אודות תוצאות הסיוע ומצבם הפיננסי של מושאי הסיוע וקביעת מנגנוני בקרה על מתן סיוע לענפים שונים בתעשיית התיירות. </w:t>
      </w:r>
    </w:p>
    <w:p w:rsidR="00F87E1F" w:rsidRPr="000610AB" w:rsidP="00F87E1F" w14:paraId="2C9435CF" w14:textId="77777777">
      <w:pPr>
        <w:widowControl w:val="0"/>
        <w:spacing w:before="240" w:line="276" w:lineRule="auto"/>
        <w:ind w:left="-1"/>
        <w:rPr>
          <w:rFonts w:ascii="Tahoma" w:hAnsi="Tahoma" w:cs="Tahoma"/>
          <w:sz w:val="18"/>
          <w:szCs w:val="18"/>
          <w:rtl/>
        </w:rPr>
      </w:pPr>
      <w:r w:rsidRPr="000610AB">
        <w:rPr>
          <w:rFonts w:ascii="Tahoma" w:hAnsi="Tahoma" w:cs="Tahoma"/>
          <w:sz w:val="18"/>
          <w:szCs w:val="18"/>
          <w:rtl/>
        </w:rPr>
        <w:t xml:space="preserve">בהינתן שהכספים שמדינת ישראל יכולה לייעד לסיוע </w:t>
      </w:r>
      <w:r w:rsidRPr="000610AB">
        <w:rPr>
          <w:rFonts w:ascii="Tahoma" w:hAnsi="Tahoma" w:cs="Tahoma" w:hint="cs"/>
          <w:sz w:val="18"/>
          <w:szCs w:val="18"/>
          <w:rtl/>
        </w:rPr>
        <w:t xml:space="preserve">הם </w:t>
      </w:r>
      <w:r w:rsidRPr="000610AB">
        <w:rPr>
          <w:rFonts w:ascii="Tahoma" w:hAnsi="Tahoma" w:cs="Tahoma"/>
          <w:sz w:val="18"/>
          <w:szCs w:val="18"/>
          <w:rtl/>
        </w:rPr>
        <w:t>לעולם מוגבלים ושמדובר בסיוע ייחודי</w:t>
      </w:r>
      <w:r w:rsidRPr="000610AB">
        <w:rPr>
          <w:rFonts w:ascii="Tahoma" w:hAnsi="Tahoma" w:cs="Tahoma" w:hint="cs"/>
          <w:sz w:val="18"/>
          <w:szCs w:val="18"/>
          <w:rtl/>
        </w:rPr>
        <w:t xml:space="preserve"> ה</w:t>
      </w:r>
      <w:r w:rsidRPr="000610AB">
        <w:rPr>
          <w:rFonts w:ascii="Tahoma" w:hAnsi="Tahoma" w:cs="Tahoma"/>
          <w:sz w:val="18"/>
          <w:szCs w:val="18"/>
          <w:rtl/>
        </w:rPr>
        <w:t xml:space="preserve">מחייב רף הצדקה גבוה לעומת הסיוע הכלל-משקי, מומלץ כי תונח בשלב גיבוש הסיוע תשתית שתגדיל את הסיכוי שהסיוע יינתן בצורה יעילה ומועילה </w:t>
      </w:r>
      <w:r w:rsidRPr="000610AB">
        <w:rPr>
          <w:rFonts w:ascii="Tahoma" w:hAnsi="Tahoma" w:cs="Tahoma" w:hint="cs"/>
          <w:sz w:val="18"/>
          <w:szCs w:val="18"/>
          <w:rtl/>
        </w:rPr>
        <w:t>ושתוכל ל</w:t>
      </w:r>
      <w:r w:rsidRPr="000610AB">
        <w:rPr>
          <w:rFonts w:ascii="Tahoma" w:hAnsi="Tahoma" w:cs="Tahoma"/>
          <w:sz w:val="18"/>
          <w:szCs w:val="18"/>
          <w:rtl/>
        </w:rPr>
        <w:t>הגש</w:t>
      </w:r>
      <w:r w:rsidRPr="000610AB">
        <w:rPr>
          <w:rFonts w:ascii="Tahoma" w:hAnsi="Tahoma" w:cs="Tahoma" w:hint="cs"/>
          <w:sz w:val="18"/>
          <w:szCs w:val="18"/>
          <w:rtl/>
        </w:rPr>
        <w:t>ים</w:t>
      </w:r>
      <w:r w:rsidRPr="000610AB">
        <w:rPr>
          <w:rFonts w:ascii="Tahoma" w:hAnsi="Tahoma" w:cs="Tahoma"/>
          <w:sz w:val="18"/>
          <w:szCs w:val="18"/>
          <w:rtl/>
        </w:rPr>
        <w:t xml:space="preserve"> </w:t>
      </w:r>
      <w:r w:rsidRPr="000610AB">
        <w:rPr>
          <w:rFonts w:ascii="Tahoma" w:hAnsi="Tahoma" w:cs="Tahoma" w:hint="cs"/>
          <w:sz w:val="18"/>
          <w:szCs w:val="18"/>
          <w:rtl/>
        </w:rPr>
        <w:t xml:space="preserve">את </w:t>
      </w:r>
      <w:r w:rsidRPr="000610AB">
        <w:rPr>
          <w:rFonts w:ascii="Tahoma" w:hAnsi="Tahoma" w:cs="Tahoma"/>
          <w:sz w:val="18"/>
          <w:szCs w:val="18"/>
          <w:rtl/>
        </w:rPr>
        <w:t>תכליתו</w:t>
      </w:r>
      <w:r w:rsidRPr="000610AB">
        <w:rPr>
          <w:rFonts w:ascii="Tahoma" w:hAnsi="Tahoma" w:cs="Tahoma" w:hint="cs"/>
          <w:sz w:val="18"/>
          <w:szCs w:val="18"/>
          <w:rtl/>
        </w:rPr>
        <w:t xml:space="preserve"> הן </w:t>
      </w:r>
      <w:r w:rsidRPr="000610AB">
        <w:rPr>
          <w:rFonts w:ascii="Tahoma" w:hAnsi="Tahoma" w:cs="Tahoma"/>
          <w:sz w:val="18"/>
          <w:szCs w:val="18"/>
          <w:rtl/>
        </w:rPr>
        <w:t>מבחינת מהירות חלוקתו ו</w:t>
      </w:r>
      <w:r w:rsidRPr="000610AB">
        <w:rPr>
          <w:rFonts w:ascii="Tahoma" w:hAnsi="Tahoma" w:cs="Tahoma" w:hint="cs"/>
          <w:sz w:val="18"/>
          <w:szCs w:val="18"/>
          <w:rtl/>
        </w:rPr>
        <w:t xml:space="preserve">הן מבחינת </w:t>
      </w:r>
      <w:r w:rsidRPr="000610AB">
        <w:rPr>
          <w:rFonts w:ascii="Tahoma" w:hAnsi="Tahoma" w:cs="Tahoma"/>
          <w:sz w:val="18"/>
          <w:szCs w:val="18"/>
          <w:rtl/>
        </w:rPr>
        <w:t>זהות הגופים שיקבלו סיוע</w:t>
      </w:r>
      <w:r w:rsidRPr="000610AB">
        <w:rPr>
          <w:rFonts w:ascii="Tahoma" w:hAnsi="Tahoma" w:cs="Tahoma" w:hint="cs"/>
          <w:sz w:val="18"/>
          <w:szCs w:val="18"/>
          <w:rtl/>
        </w:rPr>
        <w:t>.</w:t>
      </w:r>
    </w:p>
    <w:p w:rsidR="00F87E1F" w:rsidP="00F87E1F" w14:paraId="6445F9F1" w14:textId="788B8982">
      <w:pPr>
        <w:widowControl w:val="0"/>
        <w:tabs>
          <w:tab w:val="left" w:pos="9604"/>
        </w:tabs>
        <w:spacing w:before="240" w:line="276" w:lineRule="auto"/>
        <w:ind w:left="-1"/>
        <w:rPr>
          <w:rFonts w:ascii="Tahoma" w:hAnsi="Tahoma" w:cs="Tahoma"/>
          <w:sz w:val="18"/>
          <w:szCs w:val="18"/>
          <w:rtl/>
        </w:rPr>
      </w:pPr>
      <w:r w:rsidRPr="000610AB">
        <w:rPr>
          <w:rFonts w:ascii="Tahoma" w:hAnsi="Tahoma" w:cs="Tahoma" w:hint="cs"/>
          <w:sz w:val="18"/>
          <w:szCs w:val="18"/>
          <w:rtl/>
        </w:rPr>
        <w:t>יישום ההמלצות המוצגות בדוח הביקורת הנוכחי על ידי משרד התיירות ויתר הגורמים הרלוונטיים יסייע בידם להשתמש במשבר כהזדמנות ולהשיג שתי מטרות משמעותיות: האחת, להגדיל את מוכנותה ויכולתה של תעשיית התיירות בארץ להתמודד עם מצבי חירום בעתיד ובתוך כך לוודא שכספי סיוע יוענקו לענפים הזקוקים לכך לשם הישרדות כלכלית, והשנייה, למקסם את תרומתה של תעשיית התיירות למשק הישראלי</w:t>
      </w:r>
      <w:r>
        <w:rPr>
          <w:rFonts w:ascii="Tahoma" w:hAnsi="Tahoma" w:cs="Tahoma" w:hint="cs"/>
          <w:sz w:val="18"/>
          <w:szCs w:val="18"/>
          <w:rtl/>
        </w:rPr>
        <w:t>.</w:t>
      </w:r>
    </w:p>
    <w:p w:rsidR="00F87E1F" w14:paraId="1B37DAFD" w14:textId="1AA4FCEF">
      <w:pPr>
        <w:bidi w:val="0"/>
        <w:spacing w:after="200" w:line="276" w:lineRule="auto"/>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11488" behindDoc="0" locked="0" layoutInCell="1" allowOverlap="1">
                <wp:simplePos x="0" y="0"/>
                <wp:positionH relativeFrom="column">
                  <wp:posOffset>-884646</wp:posOffset>
                </wp:positionH>
                <wp:positionV relativeFrom="paragraph">
                  <wp:posOffset>6892200</wp:posOffset>
                </wp:positionV>
                <wp:extent cx="6188529" cy="1004207"/>
                <wp:effectExtent l="0" t="0" r="0" b="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6188529" cy="10042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42" o:spid="_x0000_s1045" style="width:487.3pt;height:79.05pt;margin-top:542.7pt;margin-left:-69.65pt;mso-wrap-distance-bottom:0;mso-wrap-distance-left:9pt;mso-wrap-distance-right:9pt;mso-wrap-distance-top:0;mso-wrap-style:square;position:absolute;visibility:visible;v-text-anchor:middle;z-index:251712512" fillcolor="white" stroked="f"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709440" behindDoc="0" locked="0" layoutInCell="1" allowOverlap="1">
                <wp:simplePos x="0" y="0"/>
                <wp:positionH relativeFrom="column">
                  <wp:posOffset>-1440180</wp:posOffset>
                </wp:positionH>
                <wp:positionV relativeFrom="paragraph">
                  <wp:posOffset>-834027</wp:posOffset>
                </wp:positionV>
                <wp:extent cx="6188529" cy="1004207"/>
                <wp:effectExtent l="0" t="0" r="0" b="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8529" cy="10042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46" style="width:487.3pt;height:79.05pt;margin-top:-65.65pt;margin-left:-113.4pt;mso-wrap-distance-bottom:0;mso-wrap-distance-left:9pt;mso-wrap-distance-right:9pt;mso-wrap-distance-top:0;mso-wrap-style:square;position:absolute;visibility:visible;v-text-anchor:middle;z-index:251710464" fillcolor="white" stroked="f" strokeweight="1.25pt"/>
            </w:pict>
          </mc:Fallback>
        </mc:AlternateContent>
      </w:r>
      <w:r>
        <w:rPr>
          <w:rFonts w:ascii="Tahoma" w:hAnsi="Tahoma" w:cs="Tahoma"/>
          <w:sz w:val="18"/>
          <w:szCs w:val="18"/>
          <w:rtl/>
        </w:rPr>
        <w:br w:type="page"/>
      </w:r>
    </w:p>
    <w:p w:rsidR="00E56721" w:rsidP="004E71DD" w14:paraId="26AC270F" w14:textId="77777777">
      <w:pPr>
        <w:widowControl w:val="0"/>
        <w:tabs>
          <w:tab w:val="left" w:pos="9604"/>
        </w:tabs>
        <w:spacing w:before="240" w:line="276" w:lineRule="auto"/>
        <w:ind w:left="-1"/>
        <w:rPr>
          <w:rFonts w:ascii="Tahoma" w:hAnsi="Tahoma" w:cs="Tahoma"/>
          <w:sz w:val="18"/>
          <w:szCs w:val="18"/>
          <w:rtl/>
        </w:rPr>
        <w:sectPr w:rsidSect="00263003">
          <w:headerReference w:type="even" r:id="rId33"/>
          <w:footerReference w:type="even" r:id="rId34"/>
          <w:pgSz w:w="11906" w:h="16838" w:code="9"/>
          <w:pgMar w:top="3062" w:right="2268" w:bottom="2552" w:left="2268" w:header="1134" w:footer="1361" w:gutter="0"/>
          <w:pgNumType w:start="209"/>
          <w:cols w:space="708"/>
          <w:bidi/>
          <w:rtlGutter/>
          <w:docGrid w:linePitch="360"/>
        </w:sectPr>
      </w:pPr>
    </w:p>
    <w:p w:rsidR="005B2BF5" w:rsidP="006B7AA5" w14:paraId="4E9E45BD" w14:textId="74572C82">
      <w:pPr>
        <w:pStyle w:val="731"/>
        <w:bidi/>
        <w:jc w:val="both"/>
        <w:rPr>
          <w:rtl/>
        </w:rPr>
      </w:pPr>
    </w:p>
    <w:sectPr w:rsidSect="00F35B8C">
      <w:headerReference w:type="default" r:id="rId3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066B37" w14:paraId="54E805C5" w14:textId="77777777">
      <w:pPr>
        <w:spacing w:line="240" w:lineRule="auto"/>
      </w:pPr>
      <w:r>
        <w:separator/>
      </w:r>
    </w:p>
    <w:p w:rsidR="00066B37" w14:paraId="643228E9" w14:textId="77777777"/>
    <w:p w:rsidR="00066B37" w14:paraId="73586462" w14:textId="77777777"/>
    <w:p w:rsidR="00066B37" w14:paraId="210FF977" w14:textId="77777777"/>
  </w:endnote>
  <w:endnote w:type="continuationSeparator" w:id="1">
    <w:p w:rsidR="00066B37" w14:paraId="08F66A94" w14:textId="77777777">
      <w:pPr>
        <w:spacing w:line="240" w:lineRule="auto"/>
      </w:pPr>
      <w:r>
        <w:continuationSeparator/>
      </w:r>
    </w:p>
    <w:p w:rsidR="00066B37" w14:paraId="70636C88" w14:textId="77777777"/>
    <w:p w:rsidR="00066B37" w14:paraId="31478329" w14:textId="77777777"/>
    <w:p w:rsidR="00066B37" w14:paraId="1F7F892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1024" w14:paraId="6EBA7B5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1024" w14:paraId="3691E7F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66B37" w:rsidP="00E7235E" w14:paraId="784C0BBF" w14:textId="77777777">
      <w:pPr>
        <w:spacing w:line="240" w:lineRule="auto"/>
      </w:pPr>
      <w:r>
        <w:separator/>
      </w:r>
    </w:p>
  </w:footnote>
  <w:footnote w:type="continuationSeparator" w:id="1">
    <w:p w:rsidR="00066B37" w:rsidP="00C23CC9" w14:paraId="7256E81E" w14:textId="77777777">
      <w:pPr>
        <w:spacing w:line="240" w:lineRule="auto"/>
      </w:pPr>
      <w:r>
        <w:continuationSeparator/>
      </w:r>
    </w:p>
    <w:p w:rsidR="00066B37" w14:paraId="0B13C96D" w14:textId="77777777"/>
    <w:p w:rsidR="00066B37" w14:paraId="11231E43" w14:textId="77777777"/>
    <w:p w:rsidR="00066B37" w14:paraId="0B4CA4A5" w14:textId="77777777"/>
  </w:footnote>
  <w:footnote w:id="2">
    <w:p w:rsidR="00530F59" w:rsidRPr="00E00FEF" w:rsidP="00291D16" w14:paraId="5F50205E" w14:textId="77777777">
      <w:pPr>
        <w:pStyle w:val="733"/>
      </w:pPr>
      <w:r w:rsidRPr="00E00FEF">
        <w:rPr>
          <w:rStyle w:val="FootnoteReference0"/>
          <w:vertAlign w:val="baseline"/>
        </w:rPr>
        <w:footnoteRef/>
      </w:r>
      <w:r w:rsidRPr="00E00FEF">
        <w:rPr>
          <w:rtl/>
        </w:rPr>
        <w:t xml:space="preserve"> </w:t>
      </w:r>
      <w:r w:rsidRPr="00E00FEF">
        <w:rPr>
          <w:rtl/>
        </w:rPr>
        <w:tab/>
        <w:t xml:space="preserve">תיירים על פי </w:t>
      </w:r>
      <w:hyperlink r:id="rId1" w:history="1">
        <w:r w:rsidRPr="00E00FEF">
          <w:rPr>
            <w:rStyle w:val="Hyperlink"/>
            <w:color w:val="0D0D0D" w:themeColor="text1" w:themeTint="F2"/>
            <w:u w:val="none"/>
            <w:rtl/>
          </w:rPr>
          <w:t xml:space="preserve">הגדרת </w:t>
        </w:r>
        <w:r w:rsidRPr="00E00FEF">
          <w:rPr>
            <w:rStyle w:val="7335"/>
            <w:rtl/>
          </w:rPr>
          <w:t>הלשכה המרכזית לסטטיסטיקה</w:t>
        </w:r>
      </w:hyperlink>
      <w:r w:rsidRPr="00E00FEF">
        <w:rPr>
          <w:rtl/>
        </w:rPr>
        <w:t xml:space="preserve"> הם מבקרים בעלי דרכון זר הנכנסים לישראל באשרת תייר ויוצאים ממנה בתאריך שונה מתאריך הכניסה (לא באותו יום). </w:t>
      </w:r>
    </w:p>
  </w:footnote>
  <w:footnote w:id="3">
    <w:p w:rsidR="00B36AC3" w:rsidRPr="00C872F0" w:rsidP="00B36AC3" w14:paraId="7BCBB5EC" w14:textId="77777777">
      <w:pPr>
        <w:pStyle w:val="712"/>
        <w:rPr>
          <w:rtl/>
        </w:rPr>
      </w:pPr>
      <w:r w:rsidRPr="00C872F0">
        <w:rPr>
          <w:rStyle w:val="FootnoteReference0"/>
          <w:vertAlign w:val="baseline"/>
        </w:rPr>
        <w:footnoteRef/>
      </w:r>
      <w:r w:rsidRPr="00C872F0">
        <w:rPr>
          <w:rtl/>
        </w:rPr>
        <w:t xml:space="preserve"> </w:t>
      </w:r>
      <w:r w:rsidRPr="00C872F0">
        <w:rPr>
          <w:rtl/>
        </w:rPr>
        <w:tab/>
        <w:t xml:space="preserve">רשת מלונות א'- רשת ישרוטל </w:t>
      </w:r>
      <w:r w:rsidRPr="00C872F0">
        <w:rPr>
          <w:rtl/>
        </w:rPr>
        <w:t>בע"ם; רשת מלונות ב'- רשת מלונות דן בע"ם; רשת מלונות ג'- רשת פתאל החזקות (1998) בע"ם.</w:t>
      </w:r>
    </w:p>
  </w:footnote>
  <w:footnote w:id="4">
    <w:p w:rsidR="001F2967" w:rsidRPr="00E00FEF" w:rsidP="00291D16" w14:paraId="7FA7008C" w14:textId="77777777">
      <w:pPr>
        <w:pStyle w:val="733"/>
      </w:pPr>
      <w:r w:rsidRPr="00E00FEF">
        <w:rPr>
          <w:rStyle w:val="FootnoteReference0"/>
          <w:vertAlign w:val="baseline"/>
        </w:rPr>
        <w:footnoteRef/>
      </w:r>
      <w:r w:rsidRPr="00E00FEF">
        <w:rPr>
          <w:rtl/>
        </w:rPr>
        <w:t xml:space="preserve"> </w:t>
      </w:r>
      <w:r w:rsidRPr="00E00FEF">
        <w:rPr>
          <w:rtl/>
        </w:rPr>
        <w:tab/>
        <w:t xml:space="preserve">פרט לרשת מלונות ב' שדיווחה למשרד מבקר המדינה, אומנם על עליה בלינות ישראלים ברשת בשנת 2021 לעומת שנת 2020 אך דיווחה גם על מספר נמוך יותר של לינות ישראלים ברשת בשנת 2021 לעומת שנת 2019. </w:t>
      </w:r>
    </w:p>
  </w:footnote>
  <w:footnote w:id="5">
    <w:p w:rsidR="003D59A1" w:rsidRPr="00E00FEF" w:rsidP="00291D16" w14:paraId="080FAE06" w14:textId="77777777">
      <w:pPr>
        <w:pStyle w:val="733"/>
        <w:rPr>
          <w:rtl/>
        </w:rPr>
      </w:pPr>
      <w:r w:rsidRPr="00E00FEF">
        <w:rPr>
          <w:rStyle w:val="FootnoteReference0"/>
          <w:vertAlign w:val="baseline"/>
        </w:rPr>
        <w:footnoteRef/>
      </w:r>
      <w:r w:rsidRPr="00E00FEF">
        <w:rPr>
          <w:rtl/>
        </w:rPr>
        <w:t xml:space="preserve"> </w:t>
      </w:r>
      <w:r w:rsidRPr="00E00FEF">
        <w:rPr>
          <w:rtl/>
        </w:rPr>
        <w:tab/>
        <w:t xml:space="preserve">רכב ציבורי המצוי בבעלות מורה הדרך ומשמש אותו להסעת תיירים זרים.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2DEA5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30F59" w:rsidR="00530F59">
                            <w:rPr>
                              <w:rFonts w:ascii="Tahoma" w:hAnsi="Tahoma" w:cs="Tahoma"/>
                              <w:b/>
                              <w:bCs/>
                              <w:rtl/>
                            </w:rPr>
                            <w:t>הסיוע הייחודי לתעשיית התיירות במשבר הקורונה</w:t>
                          </w:r>
                          <w:r w:rsidR="00586851">
                            <w:rPr>
                              <w:rFonts w:ascii="Tahoma" w:hAnsi="Tahoma" w:cs="Tahoma"/>
                              <w:b/>
                              <w:bCs/>
                              <w:rtl/>
                            </w:rPr>
                            <w:tab/>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2DEA5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530F59" w:rsidR="00530F59">
                      <w:rPr>
                        <w:rFonts w:ascii="Tahoma" w:hAnsi="Tahoma" w:cs="Tahoma"/>
                        <w:b/>
                        <w:bCs/>
                        <w:rtl/>
                      </w:rPr>
                      <w:t>הסיוע הייחודי לתעשיית התיירות במשבר הקורונה</w:t>
                    </w:r>
                    <w:r w:rsidR="00586851">
                      <w:rPr>
                        <w:rFonts w:ascii="Tahoma" w:hAnsi="Tahoma" w:cs="Tahoma"/>
                        <w:b/>
                        <w:bCs/>
                        <w:rtl/>
                      </w:rPr>
                      <w:tab/>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586645" w:rsidRPr="00136A3E" w:rsidP="00586645" w14:textId="77777777">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p w:rsidR="00F73EE0" w:rsidRPr="00586645"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586645" w:rsidRPr="00136A3E" w:rsidP="00586645" w14:paraId="2E8D3EFB" w14:textId="77777777">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p w:rsidR="00F73EE0" w:rsidRPr="00586645"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3A1B6A5">
                          <w:pPr>
                            <w:pStyle w:val="Heading1"/>
                            <w:spacing w:line="269" w:lineRule="auto"/>
                            <w:jc w:val="left"/>
                            <w:rPr>
                              <w:rFonts w:ascii="Tahoma" w:hAnsi="Tahoma" w:eastAsiaTheme="minorHAnsi" w:cs="Tahoma"/>
                              <w:bCs w:val="0"/>
                              <w:color w:val="0D0D0D" w:themeColor="text1" w:themeTint="F2"/>
                              <w:sz w:val="16"/>
                              <w:szCs w:val="16"/>
                              <w:u w:val="none"/>
                            </w:rPr>
                          </w:pPr>
                          <w:r w:rsidRPr="00530F59">
                            <w:rPr>
                              <w:rFonts w:ascii="Tahoma" w:hAnsi="Tahoma" w:eastAsiaTheme="minorHAnsi" w:cs="Tahoma"/>
                              <w:bCs w:val="0"/>
                              <w:color w:val="0D0D0D" w:themeColor="text1" w:themeTint="F2"/>
                              <w:sz w:val="16"/>
                              <w:szCs w:val="16"/>
                              <w:u w:val="none"/>
                              <w:rtl/>
                            </w:rPr>
                            <w:t>הסיוע הייחודי לתעשיית התיירות במשבר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43A1B6A5">
                    <w:pPr>
                      <w:pStyle w:val="Heading1"/>
                      <w:spacing w:line="269" w:lineRule="auto"/>
                      <w:jc w:val="left"/>
                      <w:rPr>
                        <w:rFonts w:ascii="Tahoma" w:hAnsi="Tahoma" w:eastAsiaTheme="minorHAnsi" w:cs="Tahoma"/>
                        <w:bCs w:val="0"/>
                        <w:color w:val="0D0D0D" w:themeColor="text1" w:themeTint="F2"/>
                        <w:sz w:val="16"/>
                        <w:szCs w:val="16"/>
                        <w:u w:val="none"/>
                      </w:rPr>
                    </w:pPr>
                    <w:r w:rsidRPr="00530F59">
                      <w:rPr>
                        <w:rFonts w:ascii="Tahoma" w:hAnsi="Tahoma" w:eastAsiaTheme="minorHAnsi" w:cs="Tahoma"/>
                        <w:bCs w:val="0"/>
                        <w:color w:val="0D0D0D" w:themeColor="text1" w:themeTint="F2"/>
                        <w:sz w:val="16"/>
                        <w:szCs w:val="16"/>
                        <w:u w:val="none"/>
                        <w:rtl/>
                      </w:rPr>
                      <w:t>הסיוע הייחודי לתעשיית התיירות במשבר הקורונה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41D314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30F59" w:rsidR="00530F59">
                            <w:rPr>
                              <w:rFonts w:ascii="Tahoma" w:hAnsi="Tahoma" w:cs="Tahoma"/>
                              <w:b/>
                              <w:bCs/>
                              <w:rtl/>
                            </w:rPr>
                            <w:t>הסיוע הייחודי לתעשיית התיירות במשבר הקורונה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586851" w14:paraId="3B4CCAD6" w14:textId="41D314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30F59" w:rsidR="00530F59">
                      <w:rPr>
                        <w:rFonts w:ascii="Tahoma" w:hAnsi="Tahoma" w:cs="Tahoma"/>
                        <w:b/>
                        <w:bCs/>
                        <w:rtl/>
                      </w:rPr>
                      <w:t>הסיוע הייחודי לתעשיית התיירות במשבר הקורונה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586645" w:rsidRPr="00136A3E" w:rsidP="00586645" w14:textId="77777777">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p w:rsidR="00E56721" w:rsidRPr="00586645"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586645" w:rsidRPr="00136A3E" w:rsidP="00586645" w14:paraId="4BCCFDCA" w14:textId="77777777">
                    <w:pPr>
                      <w:jc w:val="right"/>
                      <w:rPr>
                        <w:color w:val="0D0D0D" w:themeColor="text1" w:themeTint="F2"/>
                        <w:sz w:val="16"/>
                        <w:szCs w:val="16"/>
                      </w:rPr>
                    </w:pPr>
                    <w:r w:rsidRPr="00F16CE3">
                      <w:rPr>
                        <w:rFonts w:ascii="Tahoma" w:hAnsi="Tahoma" w:cs="Tahoma"/>
                        <w:color w:val="0D0D0D"/>
                        <w:sz w:val="16"/>
                        <w:szCs w:val="16"/>
                        <w:rtl/>
                      </w:rPr>
                      <w:t xml:space="preserve">מבקר המדינה | מקבץ דוחות מיוחדים | אדר </w:t>
                    </w:r>
                    <w:r w:rsidRPr="00F16CE3">
                      <w:rPr>
                        <w:rFonts w:ascii="Tahoma" w:hAnsi="Tahoma" w:cs="Tahoma"/>
                        <w:color w:val="0D0D0D"/>
                        <w:sz w:val="16"/>
                        <w:szCs w:val="16"/>
                        <w:rtl/>
                      </w:rPr>
                      <w:t>התשפ״ג</w:t>
                    </w:r>
                    <w:r w:rsidRPr="00F16CE3">
                      <w:rPr>
                        <w:rFonts w:ascii="Tahoma" w:hAnsi="Tahoma" w:cs="Tahoma"/>
                        <w:color w:val="0D0D0D"/>
                        <w:sz w:val="16"/>
                        <w:szCs w:val="16"/>
                        <w:rtl/>
                      </w:rPr>
                      <w:t xml:space="preserve"> | מרץ 2023</w:t>
                    </w:r>
                  </w:p>
                  <w:p w:rsidR="00E56721" w:rsidRPr="00586645"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8C5A4D"/>
    <w:multiLevelType w:val="hybridMultilevel"/>
    <w:tmpl w:val="85B4DD2E"/>
    <w:lvl w:ilvl="0">
      <w:start w:val="1"/>
      <w:numFmt w:val="hebrew1"/>
      <w:lvlText w:val="%1."/>
      <w:lvlJc w:val="left"/>
      <w:pPr>
        <w:ind w:left="794" w:hanging="397"/>
      </w:pPr>
      <w:rPr>
        <w:rFonts w:ascii="Tahoma" w:hAnsi="Tahoma" w:eastAsiaTheme="majorEastAsia" w:cs="Tahom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A806FC"/>
    <w:multiLevelType w:val="hybridMultilevel"/>
    <w:tmpl w:val="E7F2E6A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5D24DAB"/>
    <w:multiLevelType w:val="hybridMultilevel"/>
    <w:tmpl w:val="3D425B8C"/>
    <w:lvl w:ilvl="0">
      <w:start w:val="1"/>
      <w:numFmt w:val="hebrew1"/>
      <w:lvlText w:val="%1."/>
      <w:lvlJc w:val="left"/>
      <w:pPr>
        <w:ind w:left="502" w:hanging="360"/>
      </w:pPr>
      <w:rPr>
        <w:b w:val="0"/>
        <w:bCs w:val="0"/>
        <w:sz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nsid w:val="17FF3DBA"/>
    <w:multiLevelType w:val="hybridMultilevel"/>
    <w:tmpl w:val="918880F4"/>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B3F7809"/>
    <w:multiLevelType w:val="hybridMultilevel"/>
    <w:tmpl w:val="C5583924"/>
    <w:lvl w:ilvl="0">
      <w:start w:val="3"/>
      <w:numFmt w:val="hebrew1"/>
      <w:lvlText w:val="%1."/>
      <w:lvlJc w:val="left"/>
      <w:pPr>
        <w:ind w:left="794" w:hanging="397"/>
      </w:pPr>
      <w:rPr>
        <w:rFonts w:ascii="Tahoma" w:hAnsi="Tahoma" w:eastAsiaTheme="majorEastAsia" w:cs="Tahom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412624"/>
    <w:multiLevelType w:val="hybridMultilevel"/>
    <w:tmpl w:val="62B2BD3E"/>
    <w:lvl w:ilvl="0">
      <w:start w:val="2"/>
      <w:numFmt w:val="decimal"/>
      <w:lvlText w:val="%1."/>
      <w:lvlJc w:val="left"/>
      <w:pPr>
        <w:ind w:left="397" w:hanging="397"/>
      </w:pPr>
      <w:rPr>
        <w:rFonts w:ascii="Tahoma" w:hAnsi="Tahoma" w:eastAsiaTheme="majorEastAsia" w:cs="Tahom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55E3B59"/>
    <w:multiLevelType w:val="hybridMultilevel"/>
    <w:tmpl w:val="1B866644"/>
    <w:lvl w:ilvl="0">
      <w:start w:val="1"/>
      <w:numFmt w:val="decimal"/>
      <w:lvlText w:val="%1."/>
      <w:lvlJc w:val="left"/>
      <w:pPr>
        <w:ind w:left="397" w:hanging="397"/>
      </w:pPr>
      <w:rPr>
        <w:rFonts w:ascii="Tahoma" w:hAnsi="Tahoma" w:eastAsiaTheme="majorEastAsia" w:cs="Tahom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947D51"/>
    <w:multiLevelType w:val="hybridMultilevel"/>
    <w:tmpl w:val="ABAEE62A"/>
    <w:lvl w:ilvl="0">
      <w:start w:val="1"/>
      <w:numFmt w:val="bullet"/>
      <w:lvlText w:val=""/>
      <w:lvlJc w:val="left"/>
      <w:pPr>
        <w:ind w:left="284" w:hanging="284"/>
      </w:pPr>
      <w:rPr>
        <w:rFonts w:ascii="Wingdings" w:hAnsi="Wingdings" w:hint="default"/>
        <w:b/>
        <w:bCs/>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C113A1B"/>
    <w:multiLevelType w:val="hybridMultilevel"/>
    <w:tmpl w:val="0736066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014" w:hanging="360"/>
      </w:pPr>
      <w:rPr>
        <w:rFonts w:ascii="Courier New" w:hAnsi="Courier New" w:cs="Courier New" w:hint="default"/>
      </w:rPr>
    </w:lvl>
    <w:lvl w:ilvl="2" w:tentative="1">
      <w:start w:val="1"/>
      <w:numFmt w:val="bullet"/>
      <w:lvlText w:val=""/>
      <w:lvlJc w:val="left"/>
      <w:pPr>
        <w:ind w:left="1734" w:hanging="360"/>
      </w:pPr>
      <w:rPr>
        <w:rFonts w:ascii="Wingdings" w:hAnsi="Wingdings" w:hint="default"/>
      </w:rPr>
    </w:lvl>
    <w:lvl w:ilvl="3" w:tentative="1">
      <w:start w:val="1"/>
      <w:numFmt w:val="bullet"/>
      <w:lvlText w:val=""/>
      <w:lvlJc w:val="left"/>
      <w:pPr>
        <w:ind w:left="2454" w:hanging="360"/>
      </w:pPr>
      <w:rPr>
        <w:rFonts w:ascii="Symbol" w:hAnsi="Symbol" w:hint="default"/>
      </w:rPr>
    </w:lvl>
    <w:lvl w:ilvl="4" w:tentative="1">
      <w:start w:val="1"/>
      <w:numFmt w:val="bullet"/>
      <w:lvlText w:val="o"/>
      <w:lvlJc w:val="left"/>
      <w:pPr>
        <w:ind w:left="3174" w:hanging="360"/>
      </w:pPr>
      <w:rPr>
        <w:rFonts w:ascii="Courier New" w:hAnsi="Courier New" w:cs="Courier New" w:hint="default"/>
      </w:rPr>
    </w:lvl>
    <w:lvl w:ilvl="5" w:tentative="1">
      <w:start w:val="1"/>
      <w:numFmt w:val="bullet"/>
      <w:lvlText w:val=""/>
      <w:lvlJc w:val="left"/>
      <w:pPr>
        <w:ind w:left="3894" w:hanging="360"/>
      </w:pPr>
      <w:rPr>
        <w:rFonts w:ascii="Wingdings" w:hAnsi="Wingdings" w:hint="default"/>
      </w:rPr>
    </w:lvl>
    <w:lvl w:ilvl="6" w:tentative="1">
      <w:start w:val="1"/>
      <w:numFmt w:val="bullet"/>
      <w:lvlText w:val=""/>
      <w:lvlJc w:val="left"/>
      <w:pPr>
        <w:ind w:left="4614" w:hanging="360"/>
      </w:pPr>
      <w:rPr>
        <w:rFonts w:ascii="Symbol" w:hAnsi="Symbol" w:hint="default"/>
      </w:rPr>
    </w:lvl>
    <w:lvl w:ilvl="7" w:tentative="1">
      <w:start w:val="1"/>
      <w:numFmt w:val="bullet"/>
      <w:lvlText w:val="o"/>
      <w:lvlJc w:val="left"/>
      <w:pPr>
        <w:ind w:left="5334" w:hanging="360"/>
      </w:pPr>
      <w:rPr>
        <w:rFonts w:ascii="Courier New" w:hAnsi="Courier New" w:cs="Courier New" w:hint="default"/>
      </w:rPr>
    </w:lvl>
    <w:lvl w:ilvl="8" w:tentative="1">
      <w:start w:val="1"/>
      <w:numFmt w:val="bullet"/>
      <w:lvlText w:val=""/>
      <w:lvlJc w:val="left"/>
      <w:pPr>
        <w:ind w:left="6054" w:hanging="360"/>
      </w:pPr>
      <w:rPr>
        <w:rFonts w:ascii="Wingdings" w:hAnsi="Wingdings" w:hint="default"/>
      </w:r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2FAD41E9"/>
    <w:multiLevelType w:val="hybridMultilevel"/>
    <w:tmpl w:val="A70CF2A6"/>
    <w:lvl w:ilvl="0">
      <w:start w:val="2"/>
      <w:numFmt w:val="hebrew1"/>
      <w:lvlText w:val="%1."/>
      <w:lvlJc w:val="left"/>
      <w:pPr>
        <w:ind w:left="794" w:hanging="397"/>
      </w:pPr>
      <w:rPr>
        <w:rFonts w:ascii="Tahoma" w:hAnsi="Tahoma" w:eastAsiaTheme="majorEastAsia" w:cs="Tahom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1F364F6"/>
    <w:multiLevelType w:val="hybridMultilevel"/>
    <w:tmpl w:val="68A04E0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3CAE2945"/>
    <w:multiLevelType w:val="hybridMultilevel"/>
    <w:tmpl w:val="F91C56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D0F2508"/>
    <w:multiLevelType w:val="hybridMultilevel"/>
    <w:tmpl w:val="3CD4051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4005ADB"/>
    <w:multiLevelType w:val="hybridMultilevel"/>
    <w:tmpl w:val="2D186CE4"/>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lowerLetter"/>
      <w:lvlText w:val="%2."/>
      <w:lvlJc w:val="left"/>
      <w:pPr>
        <w:ind w:left="938" w:hanging="360"/>
      </w:pPr>
    </w:lvl>
    <w:lvl w:ilvl="2" w:tentative="1">
      <w:start w:val="1"/>
      <w:numFmt w:val="lowerRoman"/>
      <w:lvlText w:val="%3."/>
      <w:lvlJc w:val="right"/>
      <w:pPr>
        <w:ind w:left="1658" w:hanging="180"/>
      </w:pPr>
    </w:lvl>
    <w:lvl w:ilvl="3" w:tentative="1">
      <w:start w:val="1"/>
      <w:numFmt w:val="decimal"/>
      <w:lvlText w:val="%4."/>
      <w:lvlJc w:val="left"/>
      <w:pPr>
        <w:ind w:left="2378" w:hanging="360"/>
      </w:pPr>
    </w:lvl>
    <w:lvl w:ilvl="4" w:tentative="1">
      <w:start w:val="1"/>
      <w:numFmt w:val="lowerLetter"/>
      <w:lvlText w:val="%5."/>
      <w:lvlJc w:val="left"/>
      <w:pPr>
        <w:ind w:left="3098" w:hanging="360"/>
      </w:pPr>
    </w:lvl>
    <w:lvl w:ilvl="5" w:tentative="1">
      <w:start w:val="1"/>
      <w:numFmt w:val="lowerRoman"/>
      <w:lvlText w:val="%6."/>
      <w:lvlJc w:val="right"/>
      <w:pPr>
        <w:ind w:left="3818" w:hanging="180"/>
      </w:pPr>
    </w:lvl>
    <w:lvl w:ilvl="6" w:tentative="1">
      <w:start w:val="1"/>
      <w:numFmt w:val="decimal"/>
      <w:lvlText w:val="%7."/>
      <w:lvlJc w:val="left"/>
      <w:pPr>
        <w:ind w:left="4538" w:hanging="360"/>
      </w:pPr>
    </w:lvl>
    <w:lvl w:ilvl="7" w:tentative="1">
      <w:start w:val="1"/>
      <w:numFmt w:val="lowerLetter"/>
      <w:lvlText w:val="%8."/>
      <w:lvlJc w:val="left"/>
      <w:pPr>
        <w:ind w:left="5258" w:hanging="360"/>
      </w:pPr>
    </w:lvl>
    <w:lvl w:ilvl="8" w:tentative="1">
      <w:start w:val="1"/>
      <w:numFmt w:val="lowerRoman"/>
      <w:lvlText w:val="%9."/>
      <w:lvlJc w:val="right"/>
      <w:pPr>
        <w:ind w:left="5978" w:hanging="180"/>
      </w:pPr>
    </w:lvl>
  </w:abstractNum>
  <w:abstractNum w:abstractNumId="19">
    <w:nsid w:val="56C17EBE"/>
    <w:multiLevelType w:val="hybridMultilevel"/>
    <w:tmpl w:val="2D66FD38"/>
    <w:lvl w:ilvl="0">
      <w:start w:val="1"/>
      <w:numFmt w:val="hebrew1"/>
      <w:lvlText w:val="%1."/>
      <w:lvlJc w:val="left"/>
      <w:pPr>
        <w:ind w:left="720" w:hanging="360"/>
      </w:pPr>
      <w:rPr>
        <w:rFonts w:eastAsiaTheme="majorEastAsia"/>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BCF69C3"/>
    <w:multiLevelType w:val="hybridMultilevel"/>
    <w:tmpl w:val="6952E320"/>
    <w:lvl w:ilvl="0">
      <w:start w:val="1"/>
      <w:numFmt w:val="bullet"/>
      <w:lvlText w:val=""/>
      <w:lvlJc w:val="left"/>
      <w:pPr>
        <w:ind w:left="284" w:hanging="284"/>
      </w:pPr>
      <w:rPr>
        <w:rFonts w:ascii="Wingdings" w:hAnsi="Wingdings" w:hint="default"/>
        <w:b/>
        <w:bCs/>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nsid w:val="5CCE13FF"/>
    <w:multiLevelType w:val="hybridMultilevel"/>
    <w:tmpl w:val="54E07134"/>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E6051C3"/>
    <w:multiLevelType w:val="hybridMultilevel"/>
    <w:tmpl w:val="C3203D8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F1D1F71"/>
    <w:multiLevelType w:val="hybridMultilevel"/>
    <w:tmpl w:val="FAAE88A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2B0528A"/>
    <w:multiLevelType w:val="hybridMultilevel"/>
    <w:tmpl w:val="8C78720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31F6FFC"/>
    <w:multiLevelType w:val="hybridMultilevel"/>
    <w:tmpl w:val="1E32D95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50F4E91"/>
    <w:multiLevelType w:val="hybridMultilevel"/>
    <w:tmpl w:val="EA9C1EE2"/>
    <w:lvl w:ilvl="0">
      <w:start w:val="1"/>
      <w:numFmt w:val="bullet"/>
      <w:lvlText w:val=""/>
      <w:lvlJc w:val="left"/>
      <w:pPr>
        <w:ind w:left="284" w:hanging="284"/>
      </w:pPr>
      <w:rPr>
        <w:rFonts w:ascii="Wingdings" w:hAnsi="Wingdings" w:hint="default"/>
        <w:b/>
        <w:bCs/>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EC262BE"/>
    <w:multiLevelType w:val="hybridMultilevel"/>
    <w:tmpl w:val="66903B56"/>
    <w:lvl w:ilvl="0">
      <w:start w:val="1"/>
      <w:numFmt w:val="bullet"/>
      <w:lvlText w:val=""/>
      <w:lvlJc w:val="left"/>
      <w:pPr>
        <w:ind w:left="284" w:hanging="284"/>
      </w:pPr>
      <w:rPr>
        <w:rFonts w:ascii="Wingdings" w:hAnsi="Wingdings" w:hint="default"/>
        <w:b/>
        <w:bCs/>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4104D23"/>
    <w:multiLevelType w:val="hybridMultilevel"/>
    <w:tmpl w:val="0D7807BE"/>
    <w:lvl w:ilvl="0">
      <w:start w:val="1"/>
      <w:numFmt w:val="decimal"/>
      <w:lvlText w:val="%1."/>
      <w:lvlJc w:val="left"/>
      <w:pPr>
        <w:ind w:left="720" w:hanging="360"/>
      </w:pPr>
      <w:rPr>
        <w:rFonts w:ascii="Tahoma" w:hAnsi="Tahoma" w:cs="Tahoma" w:hint="default"/>
        <w:b/>
        <w:bCs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87E396E"/>
    <w:multiLevelType w:val="hybridMultilevel"/>
    <w:tmpl w:val="E6D03F5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AAC6A74"/>
    <w:multiLevelType w:val="hybridMultilevel"/>
    <w:tmpl w:val="9ECA5C0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1"/>
  </w:num>
  <w:num w:numId="2">
    <w:abstractNumId w:val="11"/>
  </w:num>
  <w:num w:numId="3">
    <w:abstractNumId w:val="14"/>
  </w:num>
  <w:num w:numId="4">
    <w:abstractNumId w:val="34"/>
  </w:num>
  <w:num w:numId="5">
    <w:abstractNumId w:val="2"/>
  </w:num>
  <w:num w:numId="6">
    <w:abstractNumId w:val="17"/>
  </w:num>
  <w:num w:numId="7">
    <w:abstractNumId w:val="26"/>
  </w:num>
  <w:num w:numId="8">
    <w:abstractNumId w:val="3"/>
  </w:num>
  <w:num w:numId="9">
    <w:abstractNumId w:val="23"/>
  </w:num>
  <w:num w:numId="10">
    <w:abstractNumId w:val="5"/>
  </w:num>
  <w:num w:numId="11">
    <w:abstractNumId w:val="10"/>
  </w:num>
  <w:num w:numId="12">
    <w:abstractNumId w:val="1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5"/>
  </w:num>
  <w:num w:numId="19">
    <w:abstractNumId w:val="1"/>
  </w:num>
  <w:num w:numId="20">
    <w:abstractNumId w:val="32"/>
  </w:num>
  <w:num w:numId="21">
    <w:abstractNumId w:val="22"/>
  </w:num>
  <w:num w:numId="22">
    <w:abstractNumId w:val="33"/>
  </w:num>
  <w:num w:numId="23">
    <w:abstractNumId w:val="0"/>
  </w:num>
  <w:num w:numId="24">
    <w:abstractNumId w:val="12"/>
  </w:num>
  <w:num w:numId="25">
    <w:abstractNumId w:val="6"/>
  </w:num>
  <w:num w:numId="26">
    <w:abstractNumId w:val="7"/>
  </w:num>
  <w:num w:numId="27">
    <w:abstractNumId w:val="16"/>
  </w:num>
  <w:num w:numId="28">
    <w:abstractNumId w:val="27"/>
  </w:num>
  <w:num w:numId="29">
    <w:abstractNumId w:val="28"/>
  </w:num>
  <w:num w:numId="30">
    <w:abstractNumId w:val="13"/>
  </w:num>
  <w:num w:numId="31">
    <w:abstractNumId w:val="20"/>
  </w:num>
  <w:num w:numId="32">
    <w:abstractNumId w:val="24"/>
  </w:num>
  <w:num w:numId="33">
    <w:abstractNumId w:val="9"/>
  </w:num>
  <w:num w:numId="34">
    <w:abstractNumId w:val="29"/>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67"/>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6F8"/>
    <w:rsid w:val="000107D8"/>
    <w:rsid w:val="00011BFC"/>
    <w:rsid w:val="00011DF7"/>
    <w:rsid w:val="00012269"/>
    <w:rsid w:val="00012487"/>
    <w:rsid w:val="00012657"/>
    <w:rsid w:val="00013641"/>
    <w:rsid w:val="00013BC3"/>
    <w:rsid w:val="00013EC6"/>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0AB"/>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451"/>
    <w:rsid w:val="00066AF6"/>
    <w:rsid w:val="00066B37"/>
    <w:rsid w:val="00066F43"/>
    <w:rsid w:val="0006721D"/>
    <w:rsid w:val="000672AB"/>
    <w:rsid w:val="000675B0"/>
    <w:rsid w:val="00067A5D"/>
    <w:rsid w:val="00067A76"/>
    <w:rsid w:val="00067E32"/>
    <w:rsid w:val="00067F12"/>
    <w:rsid w:val="000706BF"/>
    <w:rsid w:val="000707EE"/>
    <w:rsid w:val="00070E3F"/>
    <w:rsid w:val="00071024"/>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8C3"/>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54B"/>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33"/>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74"/>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967"/>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4C"/>
    <w:rsid w:val="00215BEE"/>
    <w:rsid w:val="00216160"/>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0C"/>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220"/>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003"/>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A8"/>
    <w:rsid w:val="00290C01"/>
    <w:rsid w:val="00290D96"/>
    <w:rsid w:val="00291775"/>
    <w:rsid w:val="00291D16"/>
    <w:rsid w:val="002920D3"/>
    <w:rsid w:val="002925B8"/>
    <w:rsid w:val="00292791"/>
    <w:rsid w:val="00292A58"/>
    <w:rsid w:val="00293FC3"/>
    <w:rsid w:val="00294150"/>
    <w:rsid w:val="00294251"/>
    <w:rsid w:val="00294784"/>
    <w:rsid w:val="00294AF0"/>
    <w:rsid w:val="00296A9F"/>
    <w:rsid w:val="002970CC"/>
    <w:rsid w:val="002973A3"/>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84A"/>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1DD4"/>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4E8"/>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D76"/>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2A1B"/>
    <w:rsid w:val="003B30AD"/>
    <w:rsid w:val="003B3EB8"/>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156"/>
    <w:rsid w:val="003D5549"/>
    <w:rsid w:val="003D59A1"/>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093"/>
    <w:rsid w:val="00402817"/>
    <w:rsid w:val="004029F9"/>
    <w:rsid w:val="004031B5"/>
    <w:rsid w:val="00403EED"/>
    <w:rsid w:val="0040422D"/>
    <w:rsid w:val="004045D8"/>
    <w:rsid w:val="0040494A"/>
    <w:rsid w:val="00405277"/>
    <w:rsid w:val="0040531A"/>
    <w:rsid w:val="004064E0"/>
    <w:rsid w:val="00406B63"/>
    <w:rsid w:val="00406E80"/>
    <w:rsid w:val="00406F61"/>
    <w:rsid w:val="00406F93"/>
    <w:rsid w:val="00406FEF"/>
    <w:rsid w:val="0040710C"/>
    <w:rsid w:val="004078B5"/>
    <w:rsid w:val="00410333"/>
    <w:rsid w:val="0041045D"/>
    <w:rsid w:val="004105DF"/>
    <w:rsid w:val="0041076C"/>
    <w:rsid w:val="00410935"/>
    <w:rsid w:val="00410D67"/>
    <w:rsid w:val="00410D75"/>
    <w:rsid w:val="00410D9E"/>
    <w:rsid w:val="00411396"/>
    <w:rsid w:val="004115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17E28"/>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A18"/>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435"/>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0F59"/>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3D6A"/>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2B3"/>
    <w:rsid w:val="00566629"/>
    <w:rsid w:val="005674D2"/>
    <w:rsid w:val="00567686"/>
    <w:rsid w:val="005676DC"/>
    <w:rsid w:val="00567E56"/>
    <w:rsid w:val="00567F43"/>
    <w:rsid w:val="005702C5"/>
    <w:rsid w:val="00570460"/>
    <w:rsid w:val="005705E1"/>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1B3"/>
    <w:rsid w:val="00583B95"/>
    <w:rsid w:val="005850FD"/>
    <w:rsid w:val="0058597D"/>
    <w:rsid w:val="00585BB5"/>
    <w:rsid w:val="00585BE4"/>
    <w:rsid w:val="00585F34"/>
    <w:rsid w:val="00586223"/>
    <w:rsid w:val="00586645"/>
    <w:rsid w:val="00586851"/>
    <w:rsid w:val="00586891"/>
    <w:rsid w:val="00587DC2"/>
    <w:rsid w:val="005906E5"/>
    <w:rsid w:val="005907E3"/>
    <w:rsid w:val="00590AE1"/>
    <w:rsid w:val="00590EBE"/>
    <w:rsid w:val="0059185F"/>
    <w:rsid w:val="00591F15"/>
    <w:rsid w:val="005926BA"/>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5AE7"/>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D67"/>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3D2A"/>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69CD"/>
    <w:rsid w:val="006B709C"/>
    <w:rsid w:val="006B7AA5"/>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28"/>
    <w:rsid w:val="006C58DF"/>
    <w:rsid w:val="006C6452"/>
    <w:rsid w:val="006C6CE3"/>
    <w:rsid w:val="006C6D27"/>
    <w:rsid w:val="006C7199"/>
    <w:rsid w:val="006C7422"/>
    <w:rsid w:val="006C7735"/>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929"/>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3C56"/>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6D2C"/>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CD7"/>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462"/>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2C57"/>
    <w:rsid w:val="007634F8"/>
    <w:rsid w:val="0076380E"/>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A87"/>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6C4D"/>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BCE"/>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E16"/>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BCD"/>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55B"/>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555"/>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2EFD"/>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147"/>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0B7"/>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6B0"/>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482"/>
    <w:rsid w:val="009F6756"/>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6E3"/>
    <w:rsid w:val="00A22AF7"/>
    <w:rsid w:val="00A23211"/>
    <w:rsid w:val="00A2405B"/>
    <w:rsid w:val="00A241BB"/>
    <w:rsid w:val="00A25467"/>
    <w:rsid w:val="00A2551C"/>
    <w:rsid w:val="00A2586D"/>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04"/>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3C9B"/>
    <w:rsid w:val="00A443B8"/>
    <w:rsid w:val="00A4469D"/>
    <w:rsid w:val="00A44DCC"/>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3EA"/>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ACB"/>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5C2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3B0"/>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B45"/>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AC3"/>
    <w:rsid w:val="00B36B6D"/>
    <w:rsid w:val="00B3756E"/>
    <w:rsid w:val="00B401AE"/>
    <w:rsid w:val="00B402BB"/>
    <w:rsid w:val="00B40356"/>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8F9"/>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42"/>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3AB"/>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780"/>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4E9"/>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0C96"/>
    <w:rsid w:val="00C010A6"/>
    <w:rsid w:val="00C0153B"/>
    <w:rsid w:val="00C0163D"/>
    <w:rsid w:val="00C017CA"/>
    <w:rsid w:val="00C02152"/>
    <w:rsid w:val="00C0264E"/>
    <w:rsid w:val="00C03CE8"/>
    <w:rsid w:val="00C04252"/>
    <w:rsid w:val="00C0494D"/>
    <w:rsid w:val="00C0531C"/>
    <w:rsid w:val="00C05765"/>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2F"/>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606"/>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2F0"/>
    <w:rsid w:val="00C87D19"/>
    <w:rsid w:val="00C9003B"/>
    <w:rsid w:val="00C9085E"/>
    <w:rsid w:val="00C9091D"/>
    <w:rsid w:val="00C90D2F"/>
    <w:rsid w:val="00C90FA2"/>
    <w:rsid w:val="00C91CA5"/>
    <w:rsid w:val="00C91D26"/>
    <w:rsid w:val="00C92141"/>
    <w:rsid w:val="00C92267"/>
    <w:rsid w:val="00C926DF"/>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4FB7"/>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445"/>
    <w:rsid w:val="00CD092E"/>
    <w:rsid w:val="00CD0A75"/>
    <w:rsid w:val="00CD11DE"/>
    <w:rsid w:val="00CD143E"/>
    <w:rsid w:val="00CD1963"/>
    <w:rsid w:val="00CD19CA"/>
    <w:rsid w:val="00CD1AC2"/>
    <w:rsid w:val="00CD2331"/>
    <w:rsid w:val="00CD2889"/>
    <w:rsid w:val="00CD34FD"/>
    <w:rsid w:val="00CD35E8"/>
    <w:rsid w:val="00CD3865"/>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44D"/>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45E"/>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BE6"/>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0FEF"/>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3A8"/>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2D6"/>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533"/>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74"/>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BA3"/>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756"/>
    <w:rsid w:val="00ED78DB"/>
    <w:rsid w:val="00ED7DE0"/>
    <w:rsid w:val="00EE0119"/>
    <w:rsid w:val="00EE0BC0"/>
    <w:rsid w:val="00EE0E63"/>
    <w:rsid w:val="00EE11C7"/>
    <w:rsid w:val="00EE123E"/>
    <w:rsid w:val="00EE1558"/>
    <w:rsid w:val="00EE2944"/>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4C40"/>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CE3"/>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E1F"/>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226"/>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6F"/>
    <w:rsid w:val="00FF5E85"/>
    <w:rsid w:val="00FF680F"/>
    <w:rsid w:val="00FF68BC"/>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פיסקת רשימה11"/>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פיסקת רשימה11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2">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2"/>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3">
    <w:name w:val="הפניה להערת שוליים1"/>
    <w:unhideWhenUsed/>
    <w:rsid w:val="002516DF"/>
    <w:rPr>
      <w:vertAlign w:val="superscript"/>
    </w:rPr>
  </w:style>
  <w:style w:type="paragraph" w:customStyle="1" w:styleId="114">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5">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5"/>
    <w:uiPriority w:val="99"/>
    <w:semiHidden/>
    <w:rsid w:val="002516DF"/>
    <w:rPr>
      <w:rFonts w:ascii="Tahoma" w:eastAsia="Calibri" w:hAnsi="Tahoma" w:cs="Tahoma"/>
      <w:sz w:val="18"/>
      <w:szCs w:val="18"/>
    </w:rPr>
  </w:style>
  <w:style w:type="paragraph" w:customStyle="1" w:styleId="116">
    <w:name w:val="גוף טקסט1"/>
    <w:basedOn w:val="Normal"/>
    <w:link w:val="117"/>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7">
    <w:name w:val="גוף טקסט תו1"/>
    <w:link w:val="116"/>
    <w:uiPriority w:val="99"/>
    <w:rsid w:val="002516DF"/>
    <w:rPr>
      <w:rFonts w:eastAsia="Times New Roman" w:cs="FrankRuehl"/>
      <w:sz w:val="22"/>
      <w:szCs w:val="22"/>
    </w:rPr>
  </w:style>
  <w:style w:type="character" w:customStyle="1" w:styleId="118">
    <w:name w:val="כותרת תחתונה תו1"/>
    <w:uiPriority w:val="99"/>
    <w:rsid w:val="002516DF"/>
    <w:rPr>
      <w:rFonts w:cs="David"/>
      <w:sz w:val="24"/>
      <w:szCs w:val="24"/>
    </w:rPr>
  </w:style>
  <w:style w:type="character" w:customStyle="1" w:styleId="119">
    <w:name w:val="טקסט הערת שוליים תו1"/>
    <w:aliases w:val="Char תו1,Sharp - Footnote Text1 Char תו,תו תו תו1"/>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7">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071024"/>
    <w:pPr>
      <w:bidi w:val="0"/>
    </w:pPr>
    <w:rPr>
      <w:color w:val="5F91CC"/>
      <w:u w:val="single"/>
    </w:rPr>
  </w:style>
  <w:style w:type="character" w:customStyle="1" w:styleId="7335">
    <w:name w:val="73א היפרלינק תו"/>
    <w:basedOn w:val="7330"/>
    <w:link w:val="7334"/>
    <w:rsid w:val="00071024"/>
    <w:rPr>
      <w:rFonts w:ascii="Tahoma" w:hAnsi="Tahoma" w:cs="Tahoma"/>
      <w:color w:val="5F91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8">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9">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customStyle="1" w:styleId="TableGrid0">
    <w:name w:val="Table Grid_0"/>
    <w:basedOn w:val="TableNormal"/>
    <w:uiPriority w:val="39"/>
    <w:rsid w:val="000A1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0A1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ללא רשימה1"/>
    <w:next w:val="NoList"/>
    <w:uiPriority w:val="99"/>
    <w:semiHidden/>
    <w:unhideWhenUsed/>
    <w:rsid w:val="000A18C3"/>
  </w:style>
  <w:style w:type="character" w:customStyle="1" w:styleId="highlight">
    <w:name w:val="highlight"/>
    <w:basedOn w:val="DefaultParagraphFont"/>
    <w:rsid w:val="000A18C3"/>
  </w:style>
  <w:style w:type="character" w:customStyle="1" w:styleId="Headerorfooter">
    <w:name w:val="Header or footer_"/>
    <w:basedOn w:val="DefaultParagraphFont"/>
    <w:rsid w:val="000A18C3"/>
    <w:rPr>
      <w:rFonts w:ascii="David" w:eastAsia="David" w:hAnsi="David" w:cs="David"/>
      <w:b w:val="0"/>
      <w:bCs w:val="0"/>
      <w:i w:val="0"/>
      <w:iCs w:val="0"/>
      <w:smallCaps w:val="0"/>
      <w:strike w:val="0"/>
      <w:u w:val="none"/>
    </w:rPr>
  </w:style>
  <w:style w:type="character" w:customStyle="1" w:styleId="Headerorfooter0">
    <w:name w:val="Header or footer"/>
    <w:basedOn w:val="Headerorfooter"/>
    <w:rsid w:val="000A18C3"/>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customStyle="1" w:styleId="Footnote">
    <w:name w:val="Footnote_"/>
    <w:basedOn w:val="DefaultParagraphFont"/>
    <w:link w:val="Footnote0"/>
    <w:rsid w:val="000A18C3"/>
    <w:rPr>
      <w:rFonts w:ascii="David" w:eastAsia="David" w:hAnsi="David"/>
      <w:szCs w:val="20"/>
      <w:shd w:val="clear" w:color="auto" w:fill="FFFFFF"/>
    </w:rPr>
  </w:style>
  <w:style w:type="paragraph" w:customStyle="1" w:styleId="Footnote0">
    <w:name w:val="Footnote"/>
    <w:basedOn w:val="Normal"/>
    <w:link w:val="Footnote"/>
    <w:rsid w:val="000A18C3"/>
    <w:pPr>
      <w:widowControl w:val="0"/>
      <w:shd w:val="clear" w:color="auto" w:fill="FFFFFF"/>
      <w:spacing w:line="0" w:lineRule="atLeast"/>
      <w:jc w:val="left"/>
    </w:pPr>
    <w:rPr>
      <w:rFonts w:ascii="David" w:eastAsia="David" w:hAnsi="David"/>
      <w:szCs w:val="20"/>
    </w:rPr>
  </w:style>
  <w:style w:type="character" w:customStyle="1" w:styleId="131">
    <w:name w:val="אזכור לא מזוהה1"/>
    <w:basedOn w:val="DefaultParagraphFont"/>
    <w:uiPriority w:val="99"/>
    <w:semiHidden/>
    <w:unhideWhenUsed/>
    <w:rsid w:val="000A1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png" /><Relationship Id="rId26" Type="http://schemas.openxmlformats.org/officeDocument/2006/relationships/image" Target="media/image11.emf" /><Relationship Id="rId27" Type="http://schemas.openxmlformats.org/officeDocument/2006/relationships/image" Target="media/image12.emf" /><Relationship Id="rId28" Type="http://schemas.openxmlformats.org/officeDocument/2006/relationships/image" Target="media/image13.emf"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image" Target="media/image15.jpeg" /><Relationship Id="rId31" Type="http://schemas.openxmlformats.org/officeDocument/2006/relationships/image" Target="media/image16.emf" /><Relationship Id="rId32" Type="http://schemas.openxmlformats.org/officeDocument/2006/relationships/image" Target="media/image17.emf" /><Relationship Id="rId33" Type="http://schemas.openxmlformats.org/officeDocument/2006/relationships/header" Target="header5.xml" /><Relationship Id="rId34" Type="http://schemas.openxmlformats.org/officeDocument/2006/relationships/footer" Target="footer4.xml" /><Relationship Id="rId35" Type="http://schemas.openxmlformats.org/officeDocument/2006/relationships/header" Target="header6.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cbs.gov.il/he/subjects/Pages/%D7%AA%D7%99%D7%99%D7%A8%D7%95%D7%AA-%D7%A0%D7%9B%D7%A0%D7%A1%D7%AA-%D7%95%D7%99%D7%95%D7%A6%D7%90%D7%AA-%D7%94%D7%92%D7%93%D7%A8%D7%95%D7%AA-%D7%95%D7%94%D7%A1%D7%91%D7%A8%D7%99%D7%9D.aspx"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305E7BC-5A1B-4C2E-BFAA-F0C4F29E26C2}"/>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