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0280CC2" w:rsidR="003C32FE" w:rsidRDefault="006A1B1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9B6D3A2">
                <wp:simplePos x="0" y="0"/>
                <wp:positionH relativeFrom="column">
                  <wp:posOffset>3069297</wp:posOffset>
                </wp:positionH>
                <wp:positionV relativeFrom="paragraph">
                  <wp:posOffset>260399</wp:posOffset>
                </wp:positionV>
                <wp:extent cx="0" cy="4361473"/>
                <wp:effectExtent l="25400" t="0" r="25400" b="33020"/>
                <wp:wrapNone/>
                <wp:docPr id="5" name="Straight Connector 5"/>
                <wp:cNvGraphicFramePr/>
                <a:graphic xmlns:a="http://schemas.openxmlformats.org/drawingml/2006/main">
                  <a:graphicData uri="http://schemas.microsoft.com/office/word/2010/wordprocessingShape">
                    <wps:wsp>
                      <wps:cNvCnPr/>
                      <wps:spPr>
                        <a:xfrm>
                          <a:off x="0" y="0"/>
                          <a:ext cx="0" cy="436147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4AB7B"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0.5pt" to="241.7pt,36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X+tvAEAAN4DAAAOAAAAZHJzL2Uyb0RvYy54bWysU01v3CAQvVfqf0Dcu7aTNI2s9eaQKL1U&#13;&#10;bdSPH8DiYY0EDAK69v77DtjrjdqqUqteMAzz3rx5jLf3kzXsCCFqdB1vNjVn4CT22h06/u3r05s7&#13;&#10;zmISrhcGHXT8BJHf716/2o6+hSsc0PQQGJG42I6+40NKvq2qKAewIm7Qg6NLhcGKRMdwqPogRmK3&#13;&#10;prqq69tqxND7gBJipOjjfMl3hV8pkOmTUhESMx0nbamsoaz7vFa7rWgPQfhBy0WG+AcVVmhHRVeq&#13;&#10;R5EE+x70L1RWy4ARVdpItBUqpSWUHqibpv6pmy+D8FB6IXOiX22K/49Wfjw+uOdANow+ttE/h9zF&#13;&#10;pILNX9LHpmLWaTULpsTkHJQUvbm+bW7eXWcjqwvQh5jeA1qWNx032uU+RCuOH2KaU88pOWwcGzv+&#13;&#10;tr6r65IW0ej+SRuTL8sswIMJ7CjoFfeHZin2IotKG0cKLk2UXToZmPk/g2K6J9nNXCDP14VTSAku&#13;&#10;nXmNo+wMU6RgBS7K/gRc8jMUyuz9DXhFlMro0gq22mH4new0nSWrOf/swNx3tmCP/ak8b7GGhqg8&#13;&#10;0zLweUpfngv88lvufgAAAP//AwBQSwMEFAAGAAgAAAAhAGDNF2LhAAAADwEAAA8AAABkcnMvZG93&#13;&#10;bnJldi54bWxMT0tPwkAQvpv4HzZj4k22YANN6ZYYiAcvItUDx6U7dAv7qN0t1H/vGA96mczjm+9R&#13;&#10;rEZr2AX70HonYDpJgKGrvWpdI+Dj/fkhAxaidEoa71DAFwZYlbc3hcyVv7odXqrYMCJxIZcCdIxd&#13;&#10;znmoNVoZJr5DR7ej762MNPYNV728Erk1fJYkc25l60hByw7XGutzNVgBr5U0L4NOj6fN+m2/nZ99&#13;&#10;3H56Ie7vxs2SytMSWMQx/n3ATwbyDyUZO/jBqcCMgDR7TAlKzZSCEeB3cRCwmC0y4GXB/+covwEA&#13;&#10;AP//AwBQSwECLQAUAAYACAAAACEAtoM4kv4AAADhAQAAEwAAAAAAAAAAAAAAAAAAAAAAW0NvbnRl&#13;&#10;bnRfVHlwZXNdLnhtbFBLAQItABQABgAIAAAAIQA4/SH/1gAAAJQBAAALAAAAAAAAAAAAAAAAAC8B&#13;&#10;AABfcmVscy8ucmVsc1BLAQItABQABgAIAAAAIQCSiX+tvAEAAN4DAAAOAAAAAAAAAAAAAAAAAC4C&#13;&#10;AABkcnMvZTJvRG9jLnhtbFBLAQItABQABgAIAAAAIQBgzRdi4QAAAA8BAAAPAAAAAAAAAAAAAAAA&#13;&#10;ABYEAABkcnMvZG93bnJldi54bWxQSwUGAAAAAAQABADzAAAAJAU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EC34599">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8A678A9"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A1AA4">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71CA807" w:rsidR="005D0F8C" w:rsidRPr="000A3ED4" w:rsidRDefault="00DE7153" w:rsidP="000F5023">
                            <w:pPr>
                              <w:pStyle w:val="-2"/>
                              <w:rPr>
                                <w:rtl/>
                              </w:rPr>
                            </w:pPr>
                            <w:r>
                              <w:rPr>
                                <w:rFonts w:hint="cs"/>
                                <w:rtl/>
                              </w:rPr>
                              <w:t>משרד האוצר</w:t>
                            </w:r>
                          </w:p>
                          <w:p w14:paraId="5464BE8D" w14:textId="2D02A105" w:rsidR="00F73EE0" w:rsidRPr="000F5023" w:rsidRDefault="00E14050" w:rsidP="0072357A">
                            <w:pPr>
                              <w:pStyle w:val="affff5"/>
                              <w:bidi/>
                              <w:spacing w:before="120"/>
                              <w:rPr>
                                <w:rtl/>
                              </w:rPr>
                            </w:pPr>
                            <w:r w:rsidRPr="00E14050">
                              <w:rPr>
                                <w:rtl/>
                              </w:rPr>
                              <w:t xml:space="preserve">הדוחות הכספיים של מדינת ישראל ליום 31.12.21 ומערכות המידע העומדות בבסיס הדוחות הכספיים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8A678A9"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A1AA4">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71CA807" w:rsidR="005D0F8C" w:rsidRPr="000A3ED4" w:rsidRDefault="00DE7153" w:rsidP="000F5023">
                      <w:pPr>
                        <w:pStyle w:val="-2"/>
                        <w:rPr>
                          <w:rtl/>
                        </w:rPr>
                      </w:pPr>
                      <w:r>
                        <w:rPr>
                          <w:rFonts w:hint="cs"/>
                          <w:rtl/>
                        </w:rPr>
                        <w:t>משרד האוצר</w:t>
                      </w:r>
                    </w:p>
                    <w:p w14:paraId="5464BE8D" w14:textId="2D02A105" w:rsidR="00F73EE0" w:rsidRPr="000F5023" w:rsidRDefault="00E14050" w:rsidP="0072357A">
                      <w:pPr>
                        <w:pStyle w:val="affff5"/>
                        <w:bidi/>
                        <w:spacing w:before="120"/>
                        <w:rPr>
                          <w:rtl/>
                        </w:rPr>
                      </w:pPr>
                      <w:r w:rsidRPr="00E14050">
                        <w:rPr>
                          <w:rtl/>
                        </w:rPr>
                        <w:t xml:space="preserve">הדוחות הכספיים של מדינת ישראל ליום 31.12.21 ומערכות המידע העומדות בבסיס הדוחות הכספיים </w:t>
                      </w:r>
                    </w:p>
                    <w:p w14:paraId="5BE5E625" w14:textId="77777777" w:rsidR="00C30482" w:rsidRPr="000F5023" w:rsidRDefault="00C30482" w:rsidP="000F5023">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1ABB18BD">
                <wp:simplePos x="0" y="0"/>
                <wp:positionH relativeFrom="column">
                  <wp:posOffset>-1605643</wp:posOffset>
                </wp:positionH>
                <wp:positionV relativeFrom="paragraph">
                  <wp:posOffset>-1639571</wp:posOffset>
                </wp:positionV>
                <wp:extent cx="7601578" cy="9701349"/>
                <wp:effectExtent l="0" t="0" r="6350" b="1905"/>
                <wp:wrapNone/>
                <wp:docPr id="24" name="Rectangle 24"/>
                <wp:cNvGraphicFramePr/>
                <a:graphic xmlns:a="http://schemas.openxmlformats.org/drawingml/2006/main">
                  <a:graphicData uri="http://schemas.microsoft.com/office/word/2010/wordprocessingShape">
                    <wps:wsp>
                      <wps:cNvSpPr/>
                      <wps:spPr>
                        <a:xfrm flipV="1">
                          <a:off x="0" y="0"/>
                          <a:ext cx="7601578" cy="97013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657C" id="Rectangle 24" o:spid="_x0000_s1026" style="position:absolute;left:0;text-align:left;margin-left:-126.45pt;margin-top:-129.1pt;width:598.55pt;height:763.9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UuSgwIAAGkFAAAOAAAAZHJzL2Uyb0RvYy54bWysVF1v2yAUfZ+0/4B4X21nabNGdaqoVadJ&#13;&#10;VVut3fpMMMRImMuAxMl+/S5gJ11X7WGaHyzgHs794Nx7cbnrNNkK5xWYmlYnJSXCcGiUWdf029PN&#13;&#10;h0+U+MBMwzQYUdO98PRy8f7dRW/nYgIt6EY4giTGz3tb0zYEOy8Kz1vRMX8CVhg0SnAdC7h166Jx&#13;&#10;rEf2TheTsjwrenCNdcCF93h6nY10kfilFDzcS+lFILqmGFtIf5f+q/gvFhdsvnbMtooPYbB/iKJj&#13;&#10;yqDTA9U1C4xsnPqDqlPcgQcZTjh0BUipuEg5YDZV+Sqbx5ZZkXLB4nh7KJP/f7T8bvtoHxyWobd+&#13;&#10;7nEZs9hJ1xGplf2Ob5rywkjJLpVtfyib2AXC8XB2VlanM3xojrbzWVl9nJ7HwhaZKBJa58NnAR2J&#13;&#10;i5o6fJdEy7a3PmToCIlwD1o1N0rrtIlaEFfakS3DV1ytq4H8N5Q2EWsg3sqE8aQ4ZpVWYa9FxGnz&#13;&#10;VUiiGox+kgJJgjs6YZwLE3LqvmWNyL5PS/xG72NYKdFEGJkl+j9wDwQjMpOM3DnKAR+viqTXw+Xy&#13;&#10;b4Hly4cbyTOYcLjcKQPuLQKNWQ2eM34sUi5NrNIKmv2DIw5yt3jLbxQ+2y3z4YE5bA9sJGz5cI8/&#13;&#10;qaGvKQwrSlpwP986j3hULVop6bHdaup/bJgTlOgvBvV8Xk2nsT/TZno6m+DGvbSsXlrMprsC1EKF&#13;&#10;w8XytIz4oMdT6aB7xsmwjF7RxAxH3zXlwY2bq5DHAM4WLpbLBMOetCzcmkfLR+FHWT7tnpmzg3YD&#13;&#10;yv4OxtZk81cSztj4HgaWmwBSJX0f6zrUG/s5CWeYPXFgvNwn1HFCLn4BAAD//wMAUEsDBBQABgAI&#13;&#10;AAAAIQAysaC95AAAABMBAAAPAAAAZHJzL2Rvd25yZXYueG1sTE/LTsMwELwj8Q/WInFrHawSmjRO&#13;&#10;haBwqYTUtB/gxiaJsNdR7KTh71m4lMtqVjs7j2I7O8smM4TOo4SHZQLMYO11h42E0/FtsQYWokKt&#13;&#10;rEcj4dsE2Ja3N4XKtb/gwUxVbBiJYMiVhDbGPuc81K1xKix9b5Bun35wKtI6NFwP6kLiznKRJCl3&#13;&#10;qkNyaFVvXlpTf1Wjk1Cpqv/YT7vx4Jqn3fsxS/apPUl5fze/bmg8b4BFM8frB/x2oPxQUrCzH1EH&#13;&#10;ZiUsxKPIiPuH1gIYcbLVisCZyCLNUuBlwf93KX8AAAD//wMAUEsBAi0AFAAGAAgAAAAhALaDOJL+&#13;&#10;AAAA4QEAABMAAAAAAAAAAAAAAAAAAAAAAFtDb250ZW50X1R5cGVzXS54bWxQSwECLQAUAAYACAAA&#13;&#10;ACEAOP0h/9YAAACUAQAACwAAAAAAAAAAAAAAAAAvAQAAX3JlbHMvLnJlbHNQSwECLQAUAAYACAAA&#13;&#10;ACEAOlVLkoMCAABpBQAADgAAAAAAAAAAAAAAAAAuAgAAZHJzL2Uyb0RvYy54bWxQSwECLQAUAAYA&#13;&#10;CAAAACEAMrGgveQAAAATAQAADwAAAAAAAAAAAAAAAADdBAAAZHJzL2Rvd25yZXYueG1sUEsFBgAA&#13;&#10;AAAEAAQA8wAAAO4FA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410D642" w:rsidR="00B93C72" w:rsidRPr="001F3363" w:rsidRDefault="00785AF0" w:rsidP="00BB0517">
      <w:pPr>
        <w:pStyle w:val="7320"/>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6296B961">
                <wp:simplePos x="0" y="0"/>
                <wp:positionH relativeFrom="column">
                  <wp:posOffset>-657665</wp:posOffset>
                </wp:positionH>
                <wp:positionV relativeFrom="paragraph">
                  <wp:posOffset>288876</wp:posOffset>
                </wp:positionV>
                <wp:extent cx="149470" cy="5948094"/>
                <wp:effectExtent l="0" t="0" r="3175" b="0"/>
                <wp:wrapNone/>
                <wp:docPr id="21" name="Rectangle 24"/>
                <wp:cNvGraphicFramePr/>
                <a:graphic xmlns:a="http://schemas.openxmlformats.org/drawingml/2006/main">
                  <a:graphicData uri="http://schemas.microsoft.com/office/word/2010/wordprocessingShape">
                    <wps:wsp>
                      <wps:cNvSpPr/>
                      <wps:spPr>
                        <a:xfrm flipV="1">
                          <a:off x="0" y="0"/>
                          <a:ext cx="149470" cy="594809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B31FC" id="Rectangle 24" o:spid="_x0000_s1026" style="position:absolute;left:0;text-align:left;margin-left:-51.8pt;margin-top:22.75pt;width:11.75pt;height:468.35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kVIhgIAAGkFAAAOAAAAZHJzL2Uyb0RvYy54bWysVE1v2zAMvQ/YfxB0X+1kztoEdYqgRYYB&#13;&#10;RRus3XpWZCk2IIuapMTJfv0oyXa7rthhmA+GKD4+fojk5dWxVeQgrGtAl3RyllMiNIeq0buSfntc&#13;&#10;f7igxHmmK6ZAi5KehKNXy/fvLjuzEFOoQVXCEiTRbtGZktbem0WWOV6LlrkzMEKjUoJtmUfR7rLK&#13;&#10;sg7ZW5VN8/xT1oGtjAUunMPbm6Sky8gvpeD+XkonPFElxdh8/Nv434Z/trxki51lpm54Hwb7hyha&#13;&#10;1mh0OlLdMM/I3jZ/ULUNt+BA+jMObQZSNlzEHDCbSf4qm4eaGRFzweI4M5bJ/T9afnd4MBuLZeiM&#13;&#10;Wzg8hiyO0rZEqsZ8xzeNeWGk5BjLdhrLJo6ecLycFPPiHIvLUTWbFxf5vAh1zRJP4DPW+c8CWhIO&#13;&#10;JbX4LJGVHW6dT9ABEuAOVFOtG6WiYHfba2XJgYUnzD/ms3XP/htM6QDWEMwSY7jJnrOKJ39SIuCU&#13;&#10;/iokaSqMfhojiQ0nRj+Mc6F9St3VrBLJ/SzHb/AeWjRYxEwjYWCW6H/k7gkGZCIZuFOUPT6Yitiv&#13;&#10;o3H+t8CS8WgRPYP2o3HbaLBvESjMqvec8EORUmlClbZQnTaWWEjT4gxfN/hut8z5DbM4HvjWOPL+&#13;&#10;Hn9SQVdS6E+U1GB/vnUf8Ni1qKWkw3ErqfuxZ1ZQor5o7Of5pCjCfEahmJ1PUbAvNduXGr1vrwHb&#13;&#10;YYLLxfB4DHivhltpoX3CzbAKXlHFNEffJeXeDsK1T2sAdwsXq1WE4Uwa5m/1g+FD44e+fDw+MWv6&#13;&#10;5vXY9ncwjCZbvOrhhA3voWG19yCb2ODPde3rjfMcG6ffPWFhvJQj6nlDLn8BAAD//wMAUEsDBBQA&#13;&#10;BgAIAAAAIQDw/Oqu4gAAABABAAAPAAAAZHJzL2Rvd25yZXYueG1sTE9LTsMwEN0jcQdrkNildgKp&#13;&#10;QhqnQlRlVSHRcoBpbJLQeBxstwm3r1nBZqSned9qPZuBXbTzvSUJ6UIA09RY1VMr4eOwTQpgPiAp&#13;&#10;HCxpCT/aw7q+vamwVHaid33Zh5ZFE/IlSuhCGEvOfdNpg35hR03x92mdwRCha7lyOEVzM/BMiCU3&#13;&#10;2FNM6HDUL51uTvuzkdDnyHff0+GVu02H6uuUzm9iK+X93bxZxfO8Ahb0HP4U8Lsh9oc6FjvaMynP&#13;&#10;BglJKh6WkSvhMc+BRUZSiBTYUcJTkWXA64r/H1JfAQAA//8DAFBLAQItABQABgAIAAAAIQC2gziS&#13;&#10;/gAAAOEBAAATAAAAAAAAAAAAAAAAAAAAAABbQ29udGVudF9UeXBlc10ueG1sUEsBAi0AFAAGAAgA&#13;&#10;AAAhADj9If/WAAAAlAEAAAsAAAAAAAAAAAAAAAAALwEAAF9yZWxzLy5yZWxzUEsBAi0AFAAGAAgA&#13;&#10;AAAhAGhSRUiGAgAAaQUAAA4AAAAAAAAAAAAAAAAALgIAAGRycy9lMm9Eb2MueG1sUEsBAi0AFAAG&#13;&#10;AAgAAAAhAPD86q7iAAAAEAEAAA8AAAAAAAAAAAAAAAAA4AQAAGRycy9kb3ducmV2LnhtbFBLBQYA&#13;&#10;AAAABAAEAPMAAADvBQAAAAA=&#13;&#10;" fillcolor="#00305f" stroked="f" strokeweight="1.25pt"/>
            </w:pict>
          </mc:Fallback>
        </mc:AlternateContent>
      </w:r>
      <w:r w:rsidR="00E14050" w:rsidRPr="001F3363">
        <w:rPr>
          <w:noProof/>
          <w:rtl/>
        </w:rPr>
        <w:drawing>
          <wp:anchor distT="0" distB="0" distL="114300" distR="114300" simplePos="0" relativeHeight="252080640" behindDoc="0" locked="0" layoutInCell="1" allowOverlap="1" wp14:anchorId="675D1E1E" wp14:editId="528B6DD0">
            <wp:simplePos x="0" y="0"/>
            <wp:positionH relativeFrom="column">
              <wp:posOffset>3298190</wp:posOffset>
            </wp:positionH>
            <wp:positionV relativeFrom="paragraph">
              <wp:posOffset>1125025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E14050" w:rsidRPr="00E14050">
        <w:rPr>
          <w:noProof/>
          <w:rtl/>
        </w:rPr>
        <w:t xml:space="preserve">הדוחות הכספיים של מדינת ישראל ליום 31.12.21 ומערכות המידע העומדות בבסיס הדוחות הכספיים </w:t>
      </w:r>
    </w:p>
    <w:p w14:paraId="336884C5" w14:textId="77777777" w:rsidR="00B27112" w:rsidRPr="00560CB6" w:rsidRDefault="00B27112" w:rsidP="00B27112">
      <w:pPr>
        <w:pStyle w:val="7392"/>
        <w:spacing w:before="360"/>
      </w:pPr>
      <w:r w:rsidRPr="00560CB6">
        <w:rPr>
          <w:rtl/>
        </w:rPr>
        <w:t>בסעיף 12 לחוק מבקר המדינה, התשי"ח-1958 [נוסח משולב], נקבע כי בכל שנה - במועד שיקבע המבקר, אולם לא יאוחר משישה חודשים מתום שנת הכספים של המדינה - ימציא שר האוצר למבקר המדינה "דין וחשבון כולל על ההכנסות וההוצאות של המדינה באותה שנה". עוד נקבע בסעיף כי במועד שיקבע המבקר, אולם לא יאוחר מתשעה חודשים מתום שנת הכספים של המדינה - ימציא שר האוצר למבקר המדינה את "מאזן זכויותיה והתחייבויותיה של המדינה למועד תום שנת הכספים". הדוחות הכספיים המאוחדים של המדינה ל-31.12.21 הוגשו למבקר המדינה ופורסמו ב-30.6.22.</w:t>
      </w:r>
    </w:p>
    <w:p w14:paraId="4BBA3E93" w14:textId="77777777" w:rsidR="00B27112" w:rsidRPr="00B27112" w:rsidRDefault="00B27112" w:rsidP="00B27112">
      <w:pPr>
        <w:pStyle w:val="7392"/>
        <w:rPr>
          <w:rtl/>
        </w:rPr>
      </w:pPr>
      <w:r w:rsidRPr="00B27112">
        <w:rPr>
          <w:rtl/>
        </w:rPr>
        <w:t xml:space="preserve">למידע ולתהליכים הכספיים המנוהלים במערכות מידע תפעוליות ובמערכות מידע כספיות ייעודיות של גופי המדינה יש חשיבות עליונה בהיותם חלק מהתשתית שעליה מבוסס רישום נכסיה הכספיים של המדינה הנכללים בדוחותיה הכספיים וכלל תהליכי העבודה של רשויותיה. </w:t>
      </w:r>
    </w:p>
    <w:p w14:paraId="42FF7268" w14:textId="77777777" w:rsidR="00B27112" w:rsidRPr="00B27112" w:rsidRDefault="00B27112" w:rsidP="00B27112">
      <w:pPr>
        <w:pStyle w:val="7392"/>
        <w:rPr>
          <w:rtl/>
        </w:rPr>
      </w:pPr>
      <w:r w:rsidRPr="00B27112">
        <w:rPr>
          <w:rtl/>
        </w:rPr>
        <w:t xml:space="preserve">הפעולות הכספיות של הממשלה ושל הישויות המדַווחות האחרות מנוהלות במערכות מידע תפעוליות וכספיות ייעודיות </w:t>
      </w:r>
      <w:proofErr w:type="spellStart"/>
      <w:r w:rsidRPr="00B27112">
        <w:rPr>
          <w:rtl/>
        </w:rPr>
        <w:t>ובמרכב"ה</w:t>
      </w:r>
      <w:proofErr w:type="spellEnd"/>
      <w:r w:rsidRPr="00B27112">
        <w:rPr>
          <w:rtl/>
        </w:rPr>
        <w:t xml:space="preserve"> (מערכת רוחבית כוללת במשרדי הממשלה), שבהן נתונים על נכסים, התחייבויות, הכנסות והוצאות של גופי מדינה בערך מצטבר של טריליוני ש"ח.</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B27112">
        <w:tc>
          <w:tcPr>
            <w:tcW w:w="1164" w:type="pct"/>
            <w:tcBorders>
              <w:bottom w:val="single" w:sz="12" w:space="0" w:color="000000" w:themeColor="text1"/>
            </w:tcBorders>
            <w:vAlign w:val="bottom"/>
          </w:tcPr>
          <w:p w14:paraId="23EB689E" w14:textId="0DF60DE6" w:rsidR="00420374" w:rsidRPr="004562F8" w:rsidRDefault="00B27112"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135</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26"/>
                <w:szCs w:val="26"/>
                <w:rtl/>
              </w:rPr>
              <w:t>מיליארד</w:t>
            </w:r>
            <w:r w:rsidR="00420374">
              <w:rPr>
                <w:rFonts w:ascii="Tahoma" w:eastAsiaTheme="minorEastAsia" w:hAnsi="Tahoma" w:cs="Tahoma" w:hint="cs"/>
                <w:b/>
                <w:bCs/>
                <w:color w:val="0D0D0D" w:themeColor="text1" w:themeTint="F2"/>
                <w:spacing w:val="-10"/>
                <w:sz w:val="26"/>
                <w:szCs w:val="26"/>
                <w:rtl/>
              </w:rPr>
              <w:t xml:space="preserve"> </w:t>
            </w:r>
            <w:r>
              <w:rPr>
                <w:rFonts w:ascii="Tahoma" w:eastAsiaTheme="minorEastAsia" w:hAnsi="Tahoma" w:cs="Tahoma" w:hint="cs"/>
                <w:b/>
                <w:bCs/>
                <w:color w:val="0D0D0D" w:themeColor="text1" w:themeTint="F2"/>
                <w:spacing w:val="-10"/>
                <w:sz w:val="26"/>
                <w:szCs w:val="26"/>
                <w:rtl/>
              </w:rPr>
              <w:t>ש״ח</w:t>
            </w:r>
          </w:p>
        </w:tc>
        <w:tc>
          <w:tcPr>
            <w:tcW w:w="161" w:type="pct"/>
            <w:vAlign w:val="bottom"/>
          </w:tcPr>
          <w:p w14:paraId="19192EA5" w14:textId="77777777" w:rsidR="00420374" w:rsidRDefault="00420374" w:rsidP="00937056">
            <w:pPr>
              <w:spacing w:before="120" w:after="60" w:line="240" w:lineRule="auto"/>
              <w:rPr>
                <w:rtl/>
              </w:rPr>
            </w:pPr>
          </w:p>
        </w:tc>
        <w:tc>
          <w:tcPr>
            <w:tcW w:w="1038" w:type="pct"/>
            <w:tcBorders>
              <w:bottom w:val="single" w:sz="12" w:space="0" w:color="000000" w:themeColor="text1"/>
            </w:tcBorders>
            <w:vAlign w:val="bottom"/>
          </w:tcPr>
          <w:p w14:paraId="761F4116" w14:textId="0EC275C4" w:rsidR="00420374" w:rsidRPr="005C7ABF" w:rsidRDefault="00B27112" w:rsidP="00937056">
            <w:pPr>
              <w:pStyle w:val="2021"/>
              <w:spacing w:before="0" w:after="60"/>
              <w:rPr>
                <w:spacing w:val="-10"/>
                <w:rtl/>
              </w:rPr>
            </w:pPr>
            <w:r>
              <w:rPr>
                <w:rFonts w:hint="cs"/>
                <w:spacing w:val="-10"/>
                <w:rtl/>
              </w:rPr>
              <w:t>50</w:t>
            </w:r>
            <w:r w:rsidR="00AD1000">
              <w:rPr>
                <w:rFonts w:hint="cs"/>
                <w:spacing w:val="-10"/>
                <w:rtl/>
              </w:rPr>
              <w:t xml:space="preserve"> </w:t>
            </w:r>
            <w:r w:rsidRPr="00B27112">
              <w:rPr>
                <w:rFonts w:hint="cs"/>
                <w:spacing w:val="-10"/>
                <w:sz w:val="26"/>
                <w:szCs w:val="26"/>
                <w:rtl/>
              </w:rPr>
              <w:t>מיליארד ש״ח</w:t>
            </w:r>
          </w:p>
        </w:tc>
        <w:tc>
          <w:tcPr>
            <w:tcW w:w="161" w:type="pct"/>
            <w:vAlign w:val="bottom"/>
          </w:tcPr>
          <w:p w14:paraId="2810DE55" w14:textId="77777777" w:rsidR="00420374" w:rsidRDefault="00420374" w:rsidP="00937056">
            <w:pPr>
              <w:spacing w:before="120" w:after="60" w:line="240" w:lineRule="auto"/>
              <w:rPr>
                <w:rtl/>
              </w:rPr>
            </w:pPr>
          </w:p>
        </w:tc>
        <w:tc>
          <w:tcPr>
            <w:tcW w:w="1151" w:type="pct"/>
            <w:tcBorders>
              <w:bottom w:val="single" w:sz="12" w:space="0" w:color="000000" w:themeColor="text1"/>
            </w:tcBorders>
            <w:vAlign w:val="bottom"/>
          </w:tcPr>
          <w:p w14:paraId="2A2E27BD" w14:textId="62C0DED0" w:rsidR="00420374" w:rsidRPr="00340353" w:rsidRDefault="00B27112" w:rsidP="00937056">
            <w:pPr>
              <w:pStyle w:val="2021"/>
              <w:spacing w:before="0" w:after="60"/>
              <w:rPr>
                <w:b w:val="0"/>
                <w:bCs w:val="0"/>
                <w:spacing w:val="-20"/>
                <w:sz w:val="24"/>
                <w:rtl/>
              </w:rPr>
            </w:pPr>
            <w:r>
              <w:rPr>
                <w:rFonts w:hint="cs"/>
                <w:spacing w:val="-10"/>
                <w:rtl/>
              </w:rPr>
              <w:t xml:space="preserve">800 </w:t>
            </w:r>
            <w:r w:rsidRPr="00B27112">
              <w:rPr>
                <w:rFonts w:hint="cs"/>
                <w:spacing w:val="-10"/>
                <w:sz w:val="26"/>
                <w:szCs w:val="26"/>
                <w:rtl/>
              </w:rPr>
              <w:t>מיליארד ש״ח</w:t>
            </w:r>
            <w:r w:rsidR="00420374">
              <w:rPr>
                <w:rFonts w:hint="cs"/>
                <w:spacing w:val="-10"/>
                <w:rtl/>
              </w:rPr>
              <w:t xml:space="preserve"> </w:t>
            </w:r>
          </w:p>
        </w:tc>
        <w:tc>
          <w:tcPr>
            <w:tcW w:w="182" w:type="pct"/>
          </w:tcPr>
          <w:p w14:paraId="47B754BA" w14:textId="77777777" w:rsidR="00420374" w:rsidRDefault="00420374" w:rsidP="00937056">
            <w:pPr>
              <w:pStyle w:val="2021"/>
              <w:spacing w:before="0" w:after="60"/>
              <w:rPr>
                <w:spacing w:val="-10"/>
                <w:rtl/>
              </w:rPr>
            </w:pPr>
          </w:p>
        </w:tc>
        <w:tc>
          <w:tcPr>
            <w:tcW w:w="1143" w:type="pct"/>
            <w:tcBorders>
              <w:bottom w:val="single" w:sz="12" w:space="0" w:color="000000" w:themeColor="text1"/>
            </w:tcBorders>
            <w:vAlign w:val="bottom"/>
          </w:tcPr>
          <w:p w14:paraId="5F3A3FF5" w14:textId="69CFD383" w:rsidR="00420374" w:rsidRDefault="00B27112" w:rsidP="00937056">
            <w:pPr>
              <w:pStyle w:val="2021"/>
              <w:spacing w:before="0" w:after="60"/>
              <w:rPr>
                <w:spacing w:val="-10"/>
                <w:rtl/>
              </w:rPr>
            </w:pPr>
            <w:r>
              <w:rPr>
                <w:rFonts w:hint="cs"/>
                <w:spacing w:val="-10"/>
                <w:rtl/>
              </w:rPr>
              <w:t xml:space="preserve">3,458 </w:t>
            </w:r>
            <w:r w:rsidRPr="00B27112">
              <w:rPr>
                <w:rFonts w:hint="cs"/>
                <w:spacing w:val="-10"/>
                <w:sz w:val="26"/>
                <w:szCs w:val="26"/>
                <w:rtl/>
              </w:rPr>
              <w:t>מיליארד ש״ח</w:t>
            </w:r>
            <w:r w:rsidR="00420374">
              <w:rPr>
                <w:rFonts w:hint="cs"/>
                <w:spacing w:val="-10"/>
                <w:rtl/>
              </w:rPr>
              <w:t xml:space="preserve"> </w:t>
            </w:r>
          </w:p>
        </w:tc>
      </w:tr>
      <w:tr w:rsidR="00B27112" w14:paraId="6DFAF81C" w14:textId="77777777" w:rsidTr="00B27112">
        <w:tc>
          <w:tcPr>
            <w:tcW w:w="1164" w:type="pct"/>
            <w:tcBorders>
              <w:top w:val="single" w:sz="12" w:space="0" w:color="000000" w:themeColor="text1"/>
            </w:tcBorders>
          </w:tcPr>
          <w:p w14:paraId="1D96599A" w14:textId="50E2BAEB" w:rsidR="00B27112" w:rsidRPr="00E52143" w:rsidRDefault="00B27112" w:rsidP="00B27112">
            <w:pPr>
              <w:pStyle w:val="732021"/>
              <w:spacing w:before="0"/>
              <w:rPr>
                <w:rtl/>
              </w:rPr>
            </w:pPr>
            <w:r w:rsidRPr="00560CB6">
              <w:rPr>
                <w:rtl/>
              </w:rPr>
              <w:t>הגירעון החשבונאי נטו של המדינה בשנת 2021</w:t>
            </w:r>
          </w:p>
        </w:tc>
        <w:tc>
          <w:tcPr>
            <w:tcW w:w="161" w:type="pct"/>
          </w:tcPr>
          <w:p w14:paraId="2BF81D8C" w14:textId="77777777" w:rsidR="00B27112" w:rsidRPr="00E52143" w:rsidRDefault="00B27112" w:rsidP="00B27112">
            <w:pPr>
              <w:pStyle w:val="732021"/>
              <w:spacing w:before="0"/>
              <w:rPr>
                <w:rtl/>
              </w:rPr>
            </w:pPr>
          </w:p>
        </w:tc>
        <w:tc>
          <w:tcPr>
            <w:tcW w:w="1038" w:type="pct"/>
            <w:tcBorders>
              <w:top w:val="single" w:sz="12" w:space="0" w:color="000000" w:themeColor="text1"/>
            </w:tcBorders>
          </w:tcPr>
          <w:p w14:paraId="7E0325C1" w14:textId="77777777" w:rsidR="00B27112" w:rsidRDefault="00B27112" w:rsidP="00B27112">
            <w:pPr>
              <w:pStyle w:val="732021"/>
              <w:spacing w:before="0"/>
              <w:rPr>
                <w:rtl/>
              </w:rPr>
            </w:pPr>
            <w:r w:rsidRPr="00560CB6">
              <w:rPr>
                <w:rtl/>
              </w:rPr>
              <w:t>הגידול ביתרות מלוות פנים וחוץ משנת 2020 לשנת 2021</w:t>
            </w:r>
          </w:p>
          <w:p w14:paraId="68924AF7" w14:textId="0FB3C116" w:rsidR="00B27112" w:rsidRPr="00E52143" w:rsidRDefault="00B27112" w:rsidP="00B27112">
            <w:pPr>
              <w:pStyle w:val="732021"/>
              <w:spacing w:before="0"/>
              <w:rPr>
                <w:rtl/>
              </w:rPr>
            </w:pPr>
          </w:p>
        </w:tc>
        <w:tc>
          <w:tcPr>
            <w:tcW w:w="161" w:type="pct"/>
          </w:tcPr>
          <w:p w14:paraId="4F52CE08" w14:textId="77777777" w:rsidR="00B27112" w:rsidRPr="00E52143" w:rsidRDefault="00B27112" w:rsidP="00B27112">
            <w:pPr>
              <w:pStyle w:val="732021"/>
              <w:spacing w:before="0"/>
              <w:rPr>
                <w:rtl/>
              </w:rPr>
            </w:pPr>
          </w:p>
        </w:tc>
        <w:tc>
          <w:tcPr>
            <w:tcW w:w="1151" w:type="pct"/>
            <w:tcBorders>
              <w:top w:val="single" w:sz="12" w:space="0" w:color="000000" w:themeColor="text1"/>
            </w:tcBorders>
          </w:tcPr>
          <w:p w14:paraId="203F9568" w14:textId="3F049736" w:rsidR="00B27112" w:rsidRPr="00E52143" w:rsidRDefault="00B27112" w:rsidP="00B27112">
            <w:pPr>
              <w:pStyle w:val="732021"/>
              <w:spacing w:before="0"/>
              <w:rPr>
                <w:rtl/>
              </w:rPr>
            </w:pPr>
            <w:r w:rsidRPr="00560CB6">
              <w:rPr>
                <w:rtl/>
              </w:rPr>
              <w:t xml:space="preserve">נכסי המדינה בשנת 2021 על פי הדוחות הכספיים </w:t>
            </w:r>
          </w:p>
        </w:tc>
        <w:tc>
          <w:tcPr>
            <w:tcW w:w="182" w:type="pct"/>
          </w:tcPr>
          <w:p w14:paraId="42538096" w14:textId="77777777" w:rsidR="00B27112" w:rsidRPr="00E52143" w:rsidRDefault="00B27112" w:rsidP="00B27112">
            <w:pPr>
              <w:pStyle w:val="732021"/>
              <w:spacing w:before="0"/>
              <w:rPr>
                <w:rtl/>
              </w:rPr>
            </w:pPr>
          </w:p>
        </w:tc>
        <w:tc>
          <w:tcPr>
            <w:tcW w:w="1143" w:type="pct"/>
            <w:tcBorders>
              <w:top w:val="single" w:sz="12" w:space="0" w:color="000000" w:themeColor="text1"/>
            </w:tcBorders>
          </w:tcPr>
          <w:p w14:paraId="1878D11D" w14:textId="16A93E41" w:rsidR="00B27112" w:rsidRPr="00E52143" w:rsidRDefault="00B27112" w:rsidP="00B27112">
            <w:pPr>
              <w:pStyle w:val="732021"/>
              <w:spacing w:before="0"/>
              <w:rPr>
                <w:rtl/>
              </w:rPr>
            </w:pPr>
            <w:r w:rsidRPr="00560CB6">
              <w:rPr>
                <w:rtl/>
              </w:rPr>
              <w:t>התחייבויות המדינה בשנת 2021 על פי הדוחות הכספיים</w:t>
            </w:r>
          </w:p>
        </w:tc>
      </w:tr>
      <w:tr w:rsidR="00420374" w14:paraId="1BD5A20C" w14:textId="77777777" w:rsidTr="00B27112">
        <w:tc>
          <w:tcPr>
            <w:tcW w:w="1164" w:type="pct"/>
            <w:tcBorders>
              <w:bottom w:val="single" w:sz="12" w:space="0" w:color="000000" w:themeColor="text1"/>
            </w:tcBorders>
            <w:vAlign w:val="bottom"/>
          </w:tcPr>
          <w:p w14:paraId="500D3B50" w14:textId="79155622" w:rsidR="00420374" w:rsidRPr="00411396" w:rsidRDefault="00B27112"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230</w:t>
            </w:r>
          </w:p>
        </w:tc>
        <w:tc>
          <w:tcPr>
            <w:tcW w:w="161"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20D43790" w:rsidR="00420374" w:rsidRPr="008D750B" w:rsidRDefault="00B27112" w:rsidP="00937056">
            <w:pPr>
              <w:pStyle w:val="2021"/>
              <w:spacing w:before="0" w:after="60"/>
              <w:rPr>
                <w:spacing w:val="-10"/>
                <w:rtl/>
              </w:rPr>
            </w:pPr>
            <w:r w:rsidRPr="00B27112">
              <w:rPr>
                <w:rFonts w:hint="cs"/>
                <w:spacing w:val="-10"/>
                <w:sz w:val="26"/>
                <w:szCs w:val="26"/>
                <w:rtl/>
              </w:rPr>
              <w:t>כ-</w:t>
            </w:r>
            <w:r>
              <w:rPr>
                <w:rFonts w:hint="cs"/>
                <w:spacing w:val="-10"/>
                <w:rtl/>
              </w:rPr>
              <w:t xml:space="preserve">1,226 </w:t>
            </w:r>
            <w:r w:rsidRPr="00B27112">
              <w:rPr>
                <w:rFonts w:hint="cs"/>
                <w:spacing w:val="-10"/>
                <w:sz w:val="26"/>
                <w:szCs w:val="26"/>
                <w:rtl/>
              </w:rPr>
              <w:t>מיליארד ש״ח</w:t>
            </w:r>
          </w:p>
        </w:tc>
        <w:tc>
          <w:tcPr>
            <w:tcW w:w="161" w:type="pct"/>
            <w:vAlign w:val="bottom"/>
          </w:tcPr>
          <w:p w14:paraId="5B4C8A80" w14:textId="77777777" w:rsidR="00420374" w:rsidRDefault="00420374" w:rsidP="00937056">
            <w:pPr>
              <w:spacing w:after="120" w:line="240" w:lineRule="auto"/>
              <w:jc w:val="left"/>
              <w:rPr>
                <w:rtl/>
              </w:rPr>
            </w:pPr>
          </w:p>
        </w:tc>
        <w:tc>
          <w:tcPr>
            <w:tcW w:w="1151" w:type="pct"/>
            <w:tcBorders>
              <w:bottom w:val="single" w:sz="12" w:space="0" w:color="000000" w:themeColor="text1"/>
            </w:tcBorders>
            <w:vAlign w:val="bottom"/>
          </w:tcPr>
          <w:p w14:paraId="226A2E50" w14:textId="07225A2F" w:rsidR="00420374" w:rsidRPr="0062456C" w:rsidRDefault="00B27112"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67</w:t>
            </w:r>
            <w:r w:rsidR="00420374">
              <w:rPr>
                <w:rFonts w:ascii="Tahoma" w:eastAsiaTheme="minorEastAsia" w:hAnsi="Tahoma" w:cs="Tahoma" w:hint="cs"/>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 xml:space="preserve"> </w:t>
            </w:r>
            <w:r w:rsidRPr="00B27112">
              <w:rPr>
                <w:rFonts w:ascii="Tahoma" w:eastAsiaTheme="minorEastAsia" w:hAnsi="Tahoma" w:cs="Tahoma" w:hint="cs"/>
                <w:b/>
                <w:bCs/>
                <w:color w:val="0D0D0D" w:themeColor="text1" w:themeTint="F2"/>
                <w:spacing w:val="-4"/>
                <w:sz w:val="26"/>
                <w:szCs w:val="26"/>
                <w:rtl/>
              </w:rPr>
              <w:t>מהמערכות</w:t>
            </w:r>
          </w:p>
        </w:tc>
        <w:tc>
          <w:tcPr>
            <w:tcW w:w="182"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3381B4E9" w:rsidR="00420374" w:rsidRDefault="00B27112" w:rsidP="0093705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56% </w:t>
            </w:r>
            <w:r w:rsidRPr="00B27112">
              <w:rPr>
                <w:rFonts w:ascii="Tahoma" w:eastAsiaTheme="minorEastAsia" w:hAnsi="Tahoma" w:cs="Tahoma" w:hint="cs"/>
                <w:b/>
                <w:bCs/>
                <w:color w:val="0D0D0D" w:themeColor="text1" w:themeTint="F2"/>
                <w:spacing w:val="-4"/>
                <w:sz w:val="26"/>
                <w:szCs w:val="26"/>
                <w:rtl/>
              </w:rPr>
              <w:t>מהמערכות</w:t>
            </w:r>
          </w:p>
        </w:tc>
      </w:tr>
      <w:tr w:rsidR="00B27112" w14:paraId="54154FA5" w14:textId="77777777" w:rsidTr="00B27112">
        <w:tc>
          <w:tcPr>
            <w:tcW w:w="1164" w:type="pct"/>
            <w:tcBorders>
              <w:top w:val="single" w:sz="12" w:space="0" w:color="000000" w:themeColor="text1"/>
            </w:tcBorders>
          </w:tcPr>
          <w:p w14:paraId="6DB67748" w14:textId="3ECF3F94" w:rsidR="00B27112" w:rsidRPr="004562F8" w:rsidRDefault="00B27112" w:rsidP="00B27112">
            <w:pPr>
              <w:pStyle w:val="732021"/>
              <w:spacing w:before="0" w:after="0"/>
              <w:rPr>
                <w:rtl/>
              </w:rPr>
            </w:pPr>
            <w:r w:rsidRPr="00560CB6">
              <w:rPr>
                <w:rtl/>
              </w:rPr>
              <w:t>מערכות מידע כספיות פעלו בשנת 2021 ב-52 משרדי ממשלה וגופים מדווחים, על פי דיווחי חשבי הגופים</w:t>
            </w:r>
          </w:p>
        </w:tc>
        <w:tc>
          <w:tcPr>
            <w:tcW w:w="161" w:type="pct"/>
          </w:tcPr>
          <w:p w14:paraId="0C0AE598" w14:textId="77777777" w:rsidR="00B27112" w:rsidRPr="008D750B" w:rsidRDefault="00B27112" w:rsidP="00B27112">
            <w:pPr>
              <w:pStyle w:val="732021"/>
              <w:spacing w:before="0" w:after="0"/>
              <w:rPr>
                <w:rtl/>
              </w:rPr>
            </w:pPr>
          </w:p>
        </w:tc>
        <w:tc>
          <w:tcPr>
            <w:tcW w:w="1038" w:type="pct"/>
            <w:tcBorders>
              <w:top w:val="single" w:sz="12" w:space="0" w:color="000000" w:themeColor="text1"/>
            </w:tcBorders>
          </w:tcPr>
          <w:p w14:paraId="1916A301" w14:textId="1353D8EC" w:rsidR="00B27112" w:rsidRPr="004562F8" w:rsidRDefault="00B27112" w:rsidP="00B27112">
            <w:pPr>
              <w:pStyle w:val="732021"/>
              <w:spacing w:before="0" w:after="0"/>
              <w:rPr>
                <w:rtl/>
              </w:rPr>
            </w:pPr>
            <w:r w:rsidRPr="00560CB6">
              <w:rPr>
                <w:rtl/>
              </w:rPr>
              <w:t xml:space="preserve">הסכום הכספי שנוהל בשנת 2021 במערכות המידע הכספיות בגופים המדווחים (למעט </w:t>
            </w:r>
            <w:proofErr w:type="spellStart"/>
            <w:r w:rsidRPr="00560CB6">
              <w:rPr>
                <w:rtl/>
              </w:rPr>
              <w:t>מרכב"ה</w:t>
            </w:r>
            <w:proofErr w:type="spellEnd"/>
            <w:r w:rsidRPr="00560CB6">
              <w:rPr>
                <w:rtl/>
              </w:rPr>
              <w:t>), על פי דיווחי החשבים</w:t>
            </w:r>
          </w:p>
        </w:tc>
        <w:tc>
          <w:tcPr>
            <w:tcW w:w="161" w:type="pct"/>
          </w:tcPr>
          <w:p w14:paraId="14782C57" w14:textId="77777777" w:rsidR="00B27112" w:rsidRDefault="00B27112" w:rsidP="00B27112">
            <w:pPr>
              <w:pStyle w:val="732021"/>
              <w:spacing w:before="0" w:after="0"/>
              <w:rPr>
                <w:rtl/>
              </w:rPr>
            </w:pPr>
          </w:p>
        </w:tc>
        <w:tc>
          <w:tcPr>
            <w:tcW w:w="1151" w:type="pct"/>
            <w:tcBorders>
              <w:top w:val="single" w:sz="12" w:space="0" w:color="000000" w:themeColor="text1"/>
            </w:tcBorders>
          </w:tcPr>
          <w:p w14:paraId="6149CA50" w14:textId="5CD02696" w:rsidR="00B27112" w:rsidRPr="0062456C" w:rsidRDefault="00B27112" w:rsidP="00B27112">
            <w:pPr>
              <w:pStyle w:val="732021"/>
              <w:spacing w:before="0" w:after="0"/>
              <w:rPr>
                <w:rtl/>
              </w:rPr>
            </w:pPr>
            <w:r w:rsidRPr="00560CB6">
              <w:rPr>
                <w:rtl/>
              </w:rPr>
              <w:t>ב-154 מתוך 230 מערכות מידע כספיות מדווחות לא בוצעו סקרי סיכונים ולא בוצעו ביקורות</w:t>
            </w:r>
          </w:p>
        </w:tc>
        <w:tc>
          <w:tcPr>
            <w:tcW w:w="182" w:type="pct"/>
          </w:tcPr>
          <w:p w14:paraId="66E34E8E" w14:textId="77777777" w:rsidR="00B27112" w:rsidRPr="00C92141" w:rsidRDefault="00B27112" w:rsidP="00B27112">
            <w:pPr>
              <w:pStyle w:val="732021"/>
              <w:spacing w:before="0" w:after="0"/>
              <w:rPr>
                <w:rtl/>
              </w:rPr>
            </w:pPr>
          </w:p>
        </w:tc>
        <w:tc>
          <w:tcPr>
            <w:tcW w:w="1143" w:type="pct"/>
            <w:tcBorders>
              <w:top w:val="single" w:sz="12" w:space="0" w:color="000000" w:themeColor="text1"/>
            </w:tcBorders>
          </w:tcPr>
          <w:p w14:paraId="1AF147E8" w14:textId="77777777" w:rsidR="00B27112" w:rsidRPr="00560CB6" w:rsidRDefault="00B27112" w:rsidP="00B27112">
            <w:pPr>
              <w:pStyle w:val="732021"/>
              <w:spacing w:before="0" w:after="0"/>
              <w:rPr>
                <w:rtl/>
              </w:rPr>
            </w:pPr>
            <w:r w:rsidRPr="00560CB6">
              <w:rPr>
                <w:rtl/>
              </w:rPr>
              <w:t xml:space="preserve">ב-127 מתוך 226 מערכות מידע כספיות אין ממשק ממוכן </w:t>
            </w:r>
            <w:proofErr w:type="spellStart"/>
            <w:r w:rsidRPr="00560CB6">
              <w:rPr>
                <w:rtl/>
              </w:rPr>
              <w:t>למרכב"ה</w:t>
            </w:r>
            <w:proofErr w:type="spellEnd"/>
          </w:p>
          <w:p w14:paraId="39498237" w14:textId="386522B5" w:rsidR="00B27112" w:rsidRPr="00C92141" w:rsidRDefault="00B27112" w:rsidP="00B27112">
            <w:pPr>
              <w:pStyle w:val="732021"/>
              <w:spacing w:before="0" w:after="0"/>
              <w:rPr>
                <w:rtl/>
              </w:rPr>
            </w:pP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449E9E30"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112" w:rsidRPr="00560CB6">
        <w:rPr>
          <w:noProof/>
          <w:rtl/>
        </w:rPr>
        <w:t>בחודשים פברואר-נובמבר 2022 בדק משרד מבקר המדינה את המגמות השונות העולות מהדוחות הכספיים המאוחדים של המדינה ומהדוחות של כמה משרדי ממשלה לשנת 2021 וכן את מערכות המידע הכספיות שבבסיס הדוחות הכספיים. הבדיקה נעשתה בעיקר באגף החשב הכללי במשרד האוצר וכן בכמה משרדי ממשלה, יחידות סמך וישויות ממשלתיות אחרות, ובהם משרד המשפטים, משרד הכלכלה והתעשייה, משרד הבינוי והשיכון, רשות המיסים בישראל, משרד החינוך, רשות האוכלוסין וההגירה, רשות מקרקעי ישראל, משרד החוץ, משרד החקלאות ופיתוח הכפר, משרד הפנים, משרד התחבורה, המשרד לשירותי דת, משרד העלייה והקליטה, הנהלת בתי המשפט, משרד הרווחה והביטחון החברתי, משרד הבריאות ורשות התקשוב הממשלתי</w:t>
      </w:r>
      <w:r>
        <w:rPr>
          <w:rFonts w:hint="cs"/>
          <w:rtl/>
        </w:rPr>
        <w:t>.</w:t>
      </w:r>
      <w:r w:rsidRPr="001F3363">
        <w:rPr>
          <w:rFonts w:hint="cs"/>
          <w:rtl/>
        </w:rPr>
        <w:t xml:space="preserve"> </w:t>
      </w:r>
    </w:p>
    <w:p w14:paraId="690F076D" w14:textId="30768259" w:rsidR="002753C7" w:rsidRDefault="002753C7" w:rsidP="002753C7">
      <w:pPr>
        <w:pStyle w:val="73fd"/>
        <w:rPr>
          <w:rtl/>
        </w:rPr>
      </w:pPr>
      <w:r w:rsidRPr="00662020">
        <w:rPr>
          <w:rFonts w:hint="cs"/>
          <w:rtl/>
        </w:rPr>
        <w:lastRenderedPageBreak/>
        <w:t>תמונת המצב העולה מן הביקורת</w:t>
      </w:r>
    </w:p>
    <w:p w14:paraId="120A004B" w14:textId="3915A236" w:rsidR="002F7752" w:rsidRDefault="002F7752" w:rsidP="002F7752">
      <w:pPr>
        <w:pStyle w:val="73ff5"/>
        <w:rPr>
          <w:rtl/>
        </w:rPr>
      </w:pPr>
      <w:r w:rsidRPr="00362C00">
        <w:rPr>
          <w:noProof/>
          <w:rtl/>
        </w:rPr>
        <w:drawing>
          <wp:anchor distT="0" distB="0" distL="114300" distR="114300" simplePos="0" relativeHeight="252461568" behindDoc="0" locked="0" layoutInCell="1" allowOverlap="1" wp14:anchorId="2533BF74" wp14:editId="7FA0906F">
            <wp:simplePos x="0" y="0"/>
            <wp:positionH relativeFrom="column">
              <wp:posOffset>2537460</wp:posOffset>
            </wp:positionH>
            <wp:positionV relativeFrom="paragraph">
              <wp:posOffset>25790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0499904A" w14:textId="7D658634" w:rsidR="002F7752" w:rsidRPr="002F7752" w:rsidRDefault="002F7752" w:rsidP="002F7752">
      <w:pPr>
        <w:pStyle w:val="73ff5"/>
        <w:ind w:left="397"/>
      </w:pPr>
      <w:r w:rsidRPr="00303B4E">
        <w:rPr>
          <w:rFonts w:hint="cs"/>
          <w:noProof/>
          <w:rtl/>
        </w:rPr>
        <w:drawing>
          <wp:anchor distT="0" distB="0" distL="71755" distR="0" simplePos="0" relativeHeight="252472832" behindDoc="1" locked="0" layoutInCell="1" allowOverlap="1" wp14:anchorId="3ADA6FF4" wp14:editId="393F1B7E">
            <wp:simplePos x="0" y="0"/>
            <wp:positionH relativeFrom="column">
              <wp:posOffset>4518025</wp:posOffset>
            </wp:positionH>
            <wp:positionV relativeFrom="paragraph">
              <wp:posOffset>43913</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9" name="תמונה 203337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F7752">
        <w:rPr>
          <w:rtl/>
        </w:rPr>
        <w:t xml:space="preserve">סיכונים ומגמות העולים מהדוחות הכספיים של הממשלה לשנת 2021  </w:t>
      </w:r>
    </w:p>
    <w:p w14:paraId="12410FA6" w14:textId="084730A4" w:rsidR="002F7752" w:rsidRPr="002F7752" w:rsidRDefault="002F7752" w:rsidP="00E76EB7">
      <w:pPr>
        <w:pStyle w:val="ae"/>
        <w:numPr>
          <w:ilvl w:val="1"/>
          <w:numId w:val="26"/>
        </w:numPr>
        <w:spacing w:after="180" w:line="288" w:lineRule="auto"/>
        <w:contextualSpacing w:val="0"/>
        <w:rPr>
          <w:rFonts w:ascii="Tahoma" w:hAnsi="Tahoma" w:cs="Tahoma"/>
          <w:sz w:val="18"/>
          <w:szCs w:val="18"/>
        </w:rPr>
      </w:pPr>
      <w:r w:rsidRPr="002F7752">
        <w:rPr>
          <w:rFonts w:ascii="Tahoma" w:hAnsi="Tahoma" w:cs="Tahoma"/>
          <w:sz w:val="18"/>
          <w:szCs w:val="18"/>
          <w:rtl/>
        </w:rPr>
        <w:t xml:space="preserve">הגירעון החשבונאי של המדינה לשנת 2021 הסתכם בכ-135 מיליארד ש"ח, והגירעון המצטבר היה ב-31.12.21 2,658 מיליארד ש"ח. מצבת הנכסים בדוחות הכספיים אינה כוללת נכסים שונים </w:t>
      </w:r>
      <w:proofErr w:type="spellStart"/>
      <w:r w:rsidRPr="002F7752">
        <w:rPr>
          <w:rFonts w:ascii="Tahoma" w:hAnsi="Tahoma" w:cs="Tahoma"/>
          <w:sz w:val="18"/>
          <w:szCs w:val="18"/>
          <w:rtl/>
        </w:rPr>
        <w:t>ששוויים</w:t>
      </w:r>
      <w:proofErr w:type="spellEnd"/>
      <w:r w:rsidRPr="002F7752">
        <w:rPr>
          <w:rFonts w:ascii="Tahoma" w:hAnsi="Tahoma" w:cs="Tahoma"/>
          <w:sz w:val="18"/>
          <w:szCs w:val="18"/>
          <w:rtl/>
        </w:rPr>
        <w:t xml:space="preserve"> מהותי, ובכלל זה חלק מהשקעות המדינה במערכת הביטחון, קרקעות שבידי המדינה, חלק מהנכסים בחו"ל וחלק מהנכסים הבלתי מוחשיים.</w:t>
      </w:r>
    </w:p>
    <w:p w14:paraId="6501FF96" w14:textId="57610CF4" w:rsidR="002F7752" w:rsidRPr="002F7752" w:rsidRDefault="002F7752" w:rsidP="00E76EB7">
      <w:pPr>
        <w:pStyle w:val="ae"/>
        <w:numPr>
          <w:ilvl w:val="1"/>
          <w:numId w:val="26"/>
        </w:numPr>
        <w:spacing w:after="180" w:line="288" w:lineRule="auto"/>
        <w:contextualSpacing w:val="0"/>
        <w:rPr>
          <w:rFonts w:ascii="Tahoma" w:hAnsi="Tahoma" w:cs="Tahoma"/>
          <w:sz w:val="18"/>
          <w:szCs w:val="18"/>
        </w:rPr>
      </w:pPr>
      <w:r w:rsidRPr="002F7752">
        <w:rPr>
          <w:rFonts w:ascii="Tahoma" w:hAnsi="Tahoma" w:cs="Tahoma"/>
          <w:sz w:val="18"/>
          <w:szCs w:val="18"/>
          <w:rtl/>
        </w:rPr>
        <w:t>השפעת משבר הקורונה על הדוחות הכספיים של המדינה לשנת 2021 - בשנת 2020 נקטה הממשלה צעדי מדיניות פיסקלית נרחבים לצורך הזרמת סיוע וצמצום הפגיעה במשק בשל מגפת הקורונה. הגדלת ההוצאה הציבורית לצד צמצום ההכנסות ממיסים הביאו לעלייה חדה בגירעון הממשלתי. לצורך מימון ההוצאה חל גידול של כ-52.3% ביתרת מלוות החוץ. עם זאת, העלייה בסך הכנסות המדינה בשנת 2021 בהשוואה לשנת 2020 הייתה גדולה מהעלייה בהוצאות המדינה בתקופה זו. לפיכך הגירעון התקציבי לשנת 2021 היה 4.4</w:t>
      </w:r>
      <w:r w:rsidRPr="002F7752">
        <w:rPr>
          <w:rFonts w:ascii="Tahoma" w:hAnsi="Tahoma" w:cs="Tahoma"/>
          <w:sz w:val="18"/>
          <w:szCs w:val="18"/>
        </w:rPr>
        <w:t xml:space="preserve"> </w:t>
      </w:r>
      <w:r w:rsidRPr="002F7752">
        <w:rPr>
          <w:rFonts w:ascii="Tahoma" w:hAnsi="Tahoma" w:cs="Tahoma"/>
          <w:sz w:val="18"/>
          <w:szCs w:val="18"/>
          <w:rtl/>
        </w:rPr>
        <w:t>אחוזי תוצר (69.2 מיליארד ש"ח), והגירעון החשבונאי נטו ירד בכ-34 מיליארד ש"ח, והסתכם כאמור ב-135 מיליארד ש"ח.</w:t>
      </w:r>
    </w:p>
    <w:p w14:paraId="18B704BF" w14:textId="4AE3FA30" w:rsidR="002F7752" w:rsidRPr="002F7752" w:rsidRDefault="002F7752" w:rsidP="00E76EB7">
      <w:pPr>
        <w:pStyle w:val="ae"/>
        <w:numPr>
          <w:ilvl w:val="1"/>
          <w:numId w:val="26"/>
        </w:numPr>
        <w:spacing w:after="180" w:line="288" w:lineRule="auto"/>
        <w:contextualSpacing w:val="0"/>
        <w:rPr>
          <w:rFonts w:ascii="Tahoma" w:hAnsi="Tahoma" w:cs="Tahoma"/>
          <w:sz w:val="18"/>
          <w:szCs w:val="18"/>
        </w:rPr>
      </w:pPr>
      <w:r w:rsidRPr="002F7752">
        <w:rPr>
          <w:rFonts w:ascii="Tahoma" w:hAnsi="Tahoma" w:cs="Tahoma"/>
          <w:sz w:val="18"/>
          <w:szCs w:val="18"/>
          <w:rtl/>
        </w:rPr>
        <w:t xml:space="preserve">תמיכות והקצבות - בשנים 2020 - 2021 חל גידול של כ-27,704 </w:t>
      </w:r>
      <w:proofErr w:type="spellStart"/>
      <w:r w:rsidRPr="002F7752">
        <w:rPr>
          <w:rFonts w:ascii="Tahoma" w:hAnsi="Tahoma" w:cs="Tahoma"/>
          <w:sz w:val="18"/>
          <w:szCs w:val="18"/>
          <w:rtl/>
        </w:rPr>
        <w:t>מלש"ח</w:t>
      </w:r>
      <w:proofErr w:type="spellEnd"/>
      <w:r w:rsidRPr="002F7752">
        <w:rPr>
          <w:rFonts w:ascii="Tahoma" w:hAnsi="Tahoma" w:cs="Tahoma"/>
          <w:sz w:val="18"/>
          <w:szCs w:val="18"/>
          <w:rtl/>
        </w:rPr>
        <w:t xml:space="preserve"> בגמלאות הביטוח הלאומי, שנבע מגידול בקרנות הביטוח, בין היתר בשל שינויים אקטואריים כשינוי בווקטור הריביות, עדכון הסכום הבסיסי בהתאם לשינוי במדד המחירים לצרכן ושינויים בהנחות מסוימות בחישוב הקרנות. גידול משמעותי נוסף חל בסעיף נכות כללית (גידול של 55,879 </w:t>
      </w:r>
      <w:proofErr w:type="spellStart"/>
      <w:r w:rsidRPr="002F7752">
        <w:rPr>
          <w:rFonts w:ascii="Tahoma" w:hAnsi="Tahoma" w:cs="Tahoma"/>
          <w:sz w:val="18"/>
          <w:szCs w:val="18"/>
          <w:rtl/>
        </w:rPr>
        <w:t>מלש"ח</w:t>
      </w:r>
      <w:proofErr w:type="spellEnd"/>
      <w:r w:rsidRPr="002F7752">
        <w:rPr>
          <w:rFonts w:ascii="Tahoma" w:hAnsi="Tahoma" w:cs="Tahoma"/>
          <w:sz w:val="18"/>
          <w:szCs w:val="18"/>
          <w:rtl/>
        </w:rPr>
        <w:t xml:space="preserve">), שנבע מגידול במספר מקבלי הקצבה, ממענק </w:t>
      </w:r>
      <w:r w:rsidR="00BA7E65">
        <w:rPr>
          <w:rFonts w:ascii="Tahoma" w:hAnsi="Tahoma" w:cs="Tahoma"/>
          <w:sz w:val="18"/>
          <w:szCs w:val="18"/>
          <w:rtl/>
        </w:rPr>
        <w:br/>
      </w:r>
      <w:r w:rsidRPr="002F7752">
        <w:rPr>
          <w:rFonts w:ascii="Tahoma" w:hAnsi="Tahoma" w:cs="Tahoma"/>
          <w:sz w:val="18"/>
          <w:szCs w:val="18"/>
          <w:rtl/>
        </w:rPr>
        <w:t>חד-פעמי שניתן בשנת 2021 למקבלי הגמלה ומעדכון גיל הפרישה לנשים.</w:t>
      </w:r>
    </w:p>
    <w:p w14:paraId="7EAFB1D1" w14:textId="77777777" w:rsidR="002F7752" w:rsidRPr="00560CB6" w:rsidRDefault="002F7752" w:rsidP="002F7752">
      <w:pPr>
        <w:pStyle w:val="73f7"/>
      </w:pPr>
      <w:r w:rsidRPr="00303B4E">
        <w:rPr>
          <w:rFonts w:hint="cs"/>
          <w:noProof/>
          <w:rtl/>
        </w:rPr>
        <w:drawing>
          <wp:anchor distT="0" distB="0" distL="71755" distR="0" simplePos="0" relativeHeight="252470784" behindDoc="1" locked="0" layoutInCell="1" allowOverlap="1" wp14:anchorId="3766DE3D" wp14:editId="2B243DBF">
            <wp:simplePos x="0" y="0"/>
            <wp:positionH relativeFrom="column">
              <wp:posOffset>4518025</wp:posOffset>
            </wp:positionH>
            <wp:positionV relativeFrom="paragraph">
              <wp:posOffset>33118</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4" name="תמונה 203337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חוות דעת רואי החשבון המבקרים בדוחות הכספיים סולו של משרדי הממשלה</w:t>
      </w:r>
      <w:r w:rsidRPr="00560CB6">
        <w:rPr>
          <w:rtl/>
        </w:rPr>
        <w:t xml:space="preserve"> - בדוחות הכספיים של המדינה לשנת 2021 שפורסמו ב-30.6.22 נכללו נתוניהן הכספיים של 211 ישויות. ל-69 מהישויות (כ-33%) לא היו דוחות כספיים מבוקרים במועד עריכת הדוחות הכספיים של המדינה. לדוחות של 113 ישויות (כ-54%) ניתנה חוות דעת "חלקה" (לא מסויגת) של רואי החשבון המבקרים, בדוחות של 25 ישויות (כ-12%) נכללה חוות דעת מסויגת, ובדוח של ישות אחת נמנעו רואי החשבון המבקרים ממתן חוות דעת.</w:t>
      </w:r>
    </w:p>
    <w:p w14:paraId="35458B7F" w14:textId="77777777" w:rsidR="002F7752" w:rsidRPr="00560CB6" w:rsidRDefault="002F7752" w:rsidP="002F7752">
      <w:pPr>
        <w:pStyle w:val="73f7"/>
      </w:pPr>
      <w:r w:rsidRPr="00560CB6">
        <w:rPr>
          <w:rtl/>
        </w:rPr>
        <w:t xml:space="preserve">בביקורת נבדקה קיומה של חוות דעת "חלקה", ללא הסתייגות של רואי החשבון המבקרים, עבור מדגם של חמישה משרדי ממשלה: משרדי הבריאות, הפנים, הבינוי והשיכון, הכלכלה והמשפטים. עלה כי עבור שלושה מהם - משרד הבריאות, משרד הפנים ומשרד הבינוי והשיכון - ניתנו הערות של רואי החשבון המבקרים לדוחות הכספיים של המשרדים לשנת 2021. עבור הדוחות הכספיים של משרדי הכלכלה והמשפטים לא ניתנו הסתייגויות של רואי החשבון המבקרים. להלן הממצאים העיקריים בנוגע למשרדים השונים: </w:t>
      </w:r>
    </w:p>
    <w:p w14:paraId="4805689E" w14:textId="5C79F3D5"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lastRenderedPageBreak/>
        <w:t>משרד הבריאות</w:t>
      </w:r>
      <w:r w:rsidRPr="00560CB6">
        <w:rPr>
          <w:rFonts w:ascii="Tahoma" w:hAnsi="Tahoma" w:cs="Tahoma"/>
          <w:sz w:val="18"/>
          <w:szCs w:val="18"/>
          <w:rtl/>
        </w:rPr>
        <w:t xml:space="preserve"> - בדוחות הכספיים צוין כי עלות הרכוש הקבוע אינה משקפת את מלוא הנכסים שבבעלות המשרד, וכי היא כוללת נכסים שייתכן כי יצאו מכלל שימוש אולם לא נגרעו ממצבת הנכסים; בכמה בתי חולים לא הוצג</w:t>
      </w:r>
      <w:r w:rsidR="008156F8">
        <w:rPr>
          <w:rFonts w:ascii="Tahoma" w:hAnsi="Tahoma" w:cs="Tahoma" w:hint="cs"/>
          <w:sz w:val="18"/>
          <w:szCs w:val="18"/>
          <w:rtl/>
        </w:rPr>
        <w:t>ו</w:t>
      </w:r>
      <w:r w:rsidRPr="00560CB6">
        <w:rPr>
          <w:rFonts w:ascii="Tahoma" w:hAnsi="Tahoma" w:cs="Tahoma"/>
          <w:sz w:val="18"/>
          <w:szCs w:val="18"/>
          <w:rtl/>
        </w:rPr>
        <w:t xml:space="preserve"> נתוני רכוש קבוע, למעט מבנים; נכסים בלתי מוחשיים שבבעלות המשרד אינם מנוהלים בהתאם לכללי חשבונאות מקובלים ואינם כלולים בדוחות הכספיים.</w:t>
      </w:r>
    </w:p>
    <w:p w14:paraId="128B5B4E"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הפנים</w:t>
      </w:r>
      <w:r w:rsidRPr="00560CB6">
        <w:rPr>
          <w:rFonts w:ascii="Tahoma" w:hAnsi="Tahoma" w:cs="Tahoma"/>
          <w:sz w:val="18"/>
          <w:szCs w:val="18"/>
          <w:rtl/>
        </w:rPr>
        <w:t xml:space="preserve"> - רואי החשבון המבקרים לא קיבלו את המידע והראיות הנדרשים לצורך ביקורת ההפרשות בגין תביעות משפטיות, ולא היה באפשרותם לנקוט נהלים חלופיים לאימות התביעות המשפטיות וההפרשות בגין אותן תביעות.</w:t>
      </w:r>
    </w:p>
    <w:p w14:paraId="073A7404"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tl/>
        </w:rPr>
      </w:pPr>
      <w:r w:rsidRPr="00560CB6">
        <w:rPr>
          <w:rFonts w:ascii="Tahoma" w:hAnsi="Tahoma" w:cs="Tahoma"/>
          <w:b/>
          <w:bCs/>
          <w:sz w:val="18"/>
          <w:szCs w:val="18"/>
          <w:rtl/>
        </w:rPr>
        <w:t>משרד הבינוי והשיכון</w:t>
      </w:r>
      <w:r w:rsidRPr="00560CB6">
        <w:rPr>
          <w:rFonts w:ascii="Tahoma" w:hAnsi="Tahoma" w:cs="Tahoma"/>
          <w:sz w:val="18"/>
          <w:szCs w:val="18"/>
          <w:rtl/>
        </w:rPr>
        <w:t xml:space="preserve"> - ההכרה בהכנסות ובהוצאות נעשית בכל אתר פיתוח, והחלק היחסי של ההכנסה מוכר בדוח על הביצוע הכספי בהתאם לביצוע העלויות שהתהוו בפועל, וזאת שלא בהתאם לתקן חשבונאות ממשלתי מספר 11 - חוזי הקמה, שלפיו יש לקבוע אומדן לעלויות ולהכנסות הנובעות מחוזי ההקמה ולהכיר בהכנסות ובהוצאות המתהוות על בסיס שיעור ההתקדמות.</w:t>
      </w:r>
    </w:p>
    <w:p w14:paraId="6881652A" w14:textId="77777777" w:rsidR="002F7752" w:rsidRPr="00560CB6" w:rsidRDefault="002F7752" w:rsidP="002F7752">
      <w:pPr>
        <w:pStyle w:val="73f7"/>
        <w:rPr>
          <w:rtl/>
        </w:rPr>
      </w:pPr>
      <w:r w:rsidRPr="00303B4E">
        <w:rPr>
          <w:rFonts w:hint="cs"/>
          <w:noProof/>
          <w:rtl/>
        </w:rPr>
        <w:drawing>
          <wp:anchor distT="0" distB="0" distL="71755" distR="0" simplePos="0" relativeHeight="252468736" behindDoc="1" locked="0" layoutInCell="1" allowOverlap="1" wp14:anchorId="4A3D1C1A" wp14:editId="7352E40F">
            <wp:simplePos x="0" y="0"/>
            <wp:positionH relativeFrom="column">
              <wp:posOffset>4518025</wp:posOffset>
            </wp:positionH>
            <wp:positionV relativeFrom="paragraph">
              <wp:posOffset>23397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5" name="תמונה 203337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60CB6">
        <w:rPr>
          <w:b/>
          <w:bCs/>
          <w:rtl/>
        </w:rPr>
        <w:t>מרכב"ה</w:t>
      </w:r>
      <w:proofErr w:type="spellEnd"/>
      <w:r w:rsidRPr="00560CB6">
        <w:rPr>
          <w:rtl/>
        </w:rPr>
        <w:t xml:space="preserve"> - ניהול הפעולות הכספיות של הממשלה ושל הישויות המדווחות האחרות מבוצע במערכות מידע תפעוליות וכספיות ייעודיות ובמערכת הכספית הרוחבית - </w:t>
      </w:r>
      <w:proofErr w:type="spellStart"/>
      <w:r w:rsidRPr="00560CB6">
        <w:rPr>
          <w:rtl/>
        </w:rPr>
        <w:t>מרכב"ה</w:t>
      </w:r>
      <w:proofErr w:type="spellEnd"/>
      <w:r w:rsidRPr="00560CB6">
        <w:rPr>
          <w:rtl/>
        </w:rPr>
        <w:t xml:space="preserve">. עלה כי </w:t>
      </w:r>
      <w:proofErr w:type="spellStart"/>
      <w:r w:rsidRPr="00560CB6">
        <w:rPr>
          <w:rtl/>
        </w:rPr>
        <w:t>במרכב"ה</w:t>
      </w:r>
      <w:proofErr w:type="spellEnd"/>
      <w:r w:rsidRPr="00560CB6">
        <w:rPr>
          <w:rtl/>
        </w:rPr>
        <w:t xml:space="preserve"> לא נערכה ביקורת מערכות מידע, בדגש על התהליכים הכספיים במערכת, ולא נערך סקר סיכונים בשמונה השנים האחרונות לפחות. עוד נמצא כי אין תיעוד מפורט של התהליכים הכספיים המנוהלים במערכת ושל הבקרות המובנות בה, למעט תיעוד המוטמע בתוך קוד המערכת ותיעוד שבוצע על ידי יחידת ניהול הסיכונים באגף החשב הכללי. כמו כן, יש תיעוד חלקי בלבד של בדיקות הקבלה שבוצעו בעת ביצוע שינויים במערכת.</w:t>
      </w:r>
    </w:p>
    <w:p w14:paraId="4712E070" w14:textId="77777777" w:rsidR="002F7752" w:rsidRPr="00560CB6" w:rsidRDefault="002F7752" w:rsidP="002F7752">
      <w:pPr>
        <w:pStyle w:val="73f7"/>
        <w:rPr>
          <w:rtl/>
        </w:rPr>
      </w:pPr>
      <w:r w:rsidRPr="00303B4E">
        <w:rPr>
          <w:rFonts w:hint="cs"/>
          <w:noProof/>
          <w:rtl/>
        </w:rPr>
        <w:drawing>
          <wp:anchor distT="0" distB="0" distL="71755" distR="0" simplePos="0" relativeHeight="252467712" behindDoc="1" locked="0" layoutInCell="1" allowOverlap="1" wp14:anchorId="3867ACFE" wp14:editId="0995EBE8">
            <wp:simplePos x="0" y="0"/>
            <wp:positionH relativeFrom="column">
              <wp:posOffset>4518025</wp:posOffset>
            </wp:positionH>
            <wp:positionV relativeFrom="paragraph">
              <wp:posOffset>23397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6" name="תמונה 203337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 xml:space="preserve">סמכויות מערך </w:t>
      </w:r>
      <w:proofErr w:type="spellStart"/>
      <w:r w:rsidRPr="00560CB6">
        <w:rPr>
          <w:b/>
          <w:bCs/>
          <w:rtl/>
        </w:rPr>
        <w:t>הדיגיטל</w:t>
      </w:r>
      <w:proofErr w:type="spellEnd"/>
      <w:r w:rsidRPr="00560CB6">
        <w:rPr>
          <w:b/>
          <w:bCs/>
          <w:rtl/>
        </w:rPr>
        <w:t xml:space="preserve"> והחשב הכללי בקשר למערכות מידע כספיות</w:t>
      </w:r>
      <w:r w:rsidRPr="00560CB6">
        <w:rPr>
          <w:rtl/>
        </w:rPr>
        <w:t xml:space="preserve"> - רשות התקשוב הממשלתי במערך </w:t>
      </w:r>
      <w:proofErr w:type="spellStart"/>
      <w:r w:rsidRPr="00560CB6">
        <w:rPr>
          <w:rtl/>
        </w:rPr>
        <w:t>הדיגיטל</w:t>
      </w:r>
      <w:proofErr w:type="spellEnd"/>
      <w:r w:rsidRPr="00560CB6">
        <w:rPr>
          <w:rtl/>
        </w:rPr>
        <w:t xml:space="preserve"> הלאומי מנחה את אגפי מערכות המידע במשרדי הממשלה וביחידות הסמך. תחום המערכות הכספיות הוחרג בהחלטת הממשלה מחובת ההיוועצות של מנכ"לי המשרדים ומנהלי אגפי מערכות המידע במשרדי הממשלה ויחידות הסמך עם הממונה על התקשוב הממשלתי, אולם תחום זה לא הוחרג לעניין ההנחיות המקצועיות המחייבות שהממונה על התקשוב הממשלתי הוסמך לפרסם. עלה כי באין חלוקת סמכויות ברורה בין מערך </w:t>
      </w:r>
      <w:proofErr w:type="spellStart"/>
      <w:r w:rsidRPr="00560CB6">
        <w:rPr>
          <w:rtl/>
        </w:rPr>
        <w:t>הדיגיטל</w:t>
      </w:r>
      <w:proofErr w:type="spellEnd"/>
      <w:r w:rsidRPr="00560CB6">
        <w:rPr>
          <w:rtl/>
        </w:rPr>
        <w:t xml:space="preserve"> ובין החשב הכללי, קיים סיכון כי בהיעדר גורם מקצועי מנחה, מערכות המידע הכספיות יהיו חשופות לסיכונים, והידע המקצועי של הממונה על התקשוב הממשלתי לא יבוא לידי ביטוי בכל הנוגע למערכות אלו.</w:t>
      </w:r>
    </w:p>
    <w:p w14:paraId="3A38FCE8" w14:textId="77777777" w:rsidR="002F7752" w:rsidRPr="00560CB6" w:rsidRDefault="002F7752" w:rsidP="002F7752">
      <w:pPr>
        <w:pStyle w:val="73f7"/>
      </w:pPr>
      <w:r w:rsidRPr="00303B4E">
        <w:rPr>
          <w:rFonts w:hint="cs"/>
          <w:noProof/>
          <w:rtl/>
        </w:rPr>
        <w:drawing>
          <wp:anchor distT="0" distB="0" distL="71755" distR="0" simplePos="0" relativeHeight="252466688" behindDoc="1" locked="0" layoutInCell="1" allowOverlap="1" wp14:anchorId="310A8B17" wp14:editId="11FBBA01">
            <wp:simplePos x="0" y="0"/>
            <wp:positionH relativeFrom="column">
              <wp:posOffset>4518025</wp:posOffset>
            </wp:positionH>
            <wp:positionV relativeFrom="paragraph">
              <wp:posOffset>24032</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7" name="תמונה 203337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אישור חשבים להפעלת מערכות מידע כספיות</w:t>
      </w:r>
      <w:r w:rsidRPr="00560CB6">
        <w:rPr>
          <w:rtl/>
        </w:rPr>
        <w:t xml:space="preserve"> - </w:t>
      </w:r>
      <w:r w:rsidRPr="00560CB6">
        <w:rPr>
          <w:rFonts w:hint="cs"/>
          <w:rtl/>
        </w:rPr>
        <w:t xml:space="preserve">על אף האמור בהוראת </w:t>
      </w:r>
      <w:proofErr w:type="spellStart"/>
      <w:r w:rsidRPr="00560CB6">
        <w:rPr>
          <w:rFonts w:hint="cs"/>
          <w:rtl/>
        </w:rPr>
        <w:t>התכ"ם</w:t>
      </w:r>
      <w:proofErr w:type="spellEnd"/>
      <w:r w:rsidRPr="00560CB6">
        <w:rPr>
          <w:rFonts w:hint="cs"/>
          <w:rtl/>
        </w:rPr>
        <w:t xml:space="preserve"> המחייבת את קבלת אישור החשב להפעלת מערכות מידע, או להפעלת שינויים במערכות אלו, הכוללים היבטים פיננסיים, בכל משרדי הממשלה והגופים שנבדקו בביקורת זו, אין תיעוד לאישור כאמור במערכות ובשינויים שהופעלו לאחר פרסום הוראת </w:t>
      </w:r>
      <w:proofErr w:type="spellStart"/>
      <w:r w:rsidRPr="00560CB6">
        <w:rPr>
          <w:rFonts w:hint="cs"/>
          <w:rtl/>
        </w:rPr>
        <w:t>התכ"ם</w:t>
      </w:r>
      <w:proofErr w:type="spellEnd"/>
      <w:r w:rsidRPr="00560CB6">
        <w:rPr>
          <w:rFonts w:hint="cs"/>
          <w:rtl/>
        </w:rPr>
        <w:t>.</w:t>
      </w:r>
    </w:p>
    <w:p w14:paraId="374B306A" w14:textId="77777777" w:rsidR="002F7752" w:rsidRPr="00560CB6" w:rsidRDefault="002F7752" w:rsidP="002F7752">
      <w:pPr>
        <w:pStyle w:val="73f7"/>
      </w:pPr>
      <w:r w:rsidRPr="00303B4E">
        <w:rPr>
          <w:rFonts w:hint="cs"/>
          <w:noProof/>
          <w:rtl/>
        </w:rPr>
        <w:drawing>
          <wp:anchor distT="0" distB="0" distL="71755" distR="0" simplePos="0" relativeHeight="252465664" behindDoc="1" locked="0" layoutInCell="1" allowOverlap="1" wp14:anchorId="584B2490" wp14:editId="1549BA2B">
            <wp:simplePos x="0" y="0"/>
            <wp:positionH relativeFrom="column">
              <wp:posOffset>4518025</wp:posOffset>
            </wp:positionH>
            <wp:positionV relativeFrom="paragraph">
              <wp:posOffset>24032</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עריכת סקרי סיכונים וביקורות במערכות מידע כספיות</w:t>
      </w:r>
      <w:r w:rsidRPr="00560CB6">
        <w:rPr>
          <w:rtl/>
        </w:rPr>
        <w:t xml:space="preserve"> - אף שבמהלך השנים 2016 עד 2021 חל גידול (מ-21.6% ל-33%) במספר מערכות המידע שבהן בוצעו סקרי סיכונים </w:t>
      </w:r>
      <w:r w:rsidRPr="00560CB6">
        <w:rPr>
          <w:rtl/>
        </w:rPr>
        <w:lastRenderedPageBreak/>
        <w:t>ו/או ביקורות, שיעורן של מערכות אלו מכלל מערכות המידע הכספיות שדווחו בשנת 2021 עדיין נמוך - 76 מתוך 230 מערכות.</w:t>
      </w:r>
    </w:p>
    <w:p w14:paraId="5A8D2E12" w14:textId="77777777" w:rsidR="002F7752" w:rsidRPr="00560CB6" w:rsidRDefault="002F7752" w:rsidP="002F7752">
      <w:pPr>
        <w:pStyle w:val="73f7"/>
        <w:rPr>
          <w:rtl/>
        </w:rPr>
      </w:pPr>
      <w:r w:rsidRPr="00303B4E">
        <w:rPr>
          <w:rFonts w:hint="cs"/>
          <w:noProof/>
          <w:rtl/>
        </w:rPr>
        <w:drawing>
          <wp:anchor distT="0" distB="0" distL="71755" distR="0" simplePos="0" relativeHeight="252464640" behindDoc="1" locked="0" layoutInCell="1" allowOverlap="1" wp14:anchorId="3BB56141" wp14:editId="192E8728">
            <wp:simplePos x="0" y="0"/>
            <wp:positionH relativeFrom="column">
              <wp:posOffset>4518025</wp:posOffset>
            </wp:positionH>
            <wp:positionV relativeFrom="paragraph">
              <wp:posOffset>24863</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מערכות המידע בעלות ההיקף הכספי הגדול ביותר</w:t>
      </w:r>
      <w:r w:rsidRPr="00560CB6">
        <w:rPr>
          <w:rtl/>
        </w:rPr>
        <w:t xml:space="preserve"> - ב-22 מערכות המידע של הישויות המדווחות שבהן מנוהלים סכומי הכסף הגדולים ביותר היה הסכום הכולל המנוהל בהן כ-1,157 מיליארד ש"ח. 13 מתוך 22 מערכות המידע הללו פועלות ברשות המיסים. רק ב-8 מתוך 22 המערכות יש ממשק ממוכן </w:t>
      </w:r>
      <w:proofErr w:type="spellStart"/>
      <w:r w:rsidRPr="00560CB6">
        <w:rPr>
          <w:rtl/>
        </w:rPr>
        <w:t>למרכב"ה</w:t>
      </w:r>
      <w:proofErr w:type="spellEnd"/>
      <w:r w:rsidRPr="00560CB6">
        <w:rPr>
          <w:rtl/>
        </w:rPr>
        <w:t>. כמו כן ב-8 מערכות בלבד יש תיעוד לתהליכים הכספיים בהן. רק ב-2 מערכות נערך סקר סיכונים בחמש השנים האחרונות.</w:t>
      </w:r>
    </w:p>
    <w:p w14:paraId="752D4107" w14:textId="77777777" w:rsidR="002F7752" w:rsidRPr="00560CB6" w:rsidRDefault="002F7752" w:rsidP="002F7752">
      <w:pPr>
        <w:pStyle w:val="73f7"/>
        <w:rPr>
          <w:rtl/>
        </w:rPr>
      </w:pPr>
      <w:r w:rsidRPr="00303B4E">
        <w:rPr>
          <w:rFonts w:hint="cs"/>
          <w:noProof/>
          <w:rtl/>
        </w:rPr>
        <w:drawing>
          <wp:anchor distT="0" distB="0" distL="71755" distR="0" simplePos="0" relativeHeight="252463616" behindDoc="1" locked="0" layoutInCell="1" allowOverlap="1" wp14:anchorId="74D7826A" wp14:editId="0E7CB2A7">
            <wp:simplePos x="0" y="0"/>
            <wp:positionH relativeFrom="column">
              <wp:posOffset>4518025</wp:posOffset>
            </wp:positionH>
            <wp:positionV relativeFrom="paragraph">
              <wp:posOffset>24863</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b/>
          <w:bCs/>
          <w:rtl/>
        </w:rPr>
        <w:t>גיל מערכות המידע הכספיות</w:t>
      </w:r>
      <w:r w:rsidRPr="00560CB6">
        <w:rPr>
          <w:rtl/>
        </w:rPr>
        <w:t xml:space="preserve"> - מהמידע שמסרו בדיווחיהם חשבי הגופים לאגף החשב הכללי בנוגע ל-169 מערכות מידע כספיות עולה כי 32 מערכות הופעלו לראשונה לפני שנת 1995; 18 מערכות - בשנים 1996 - 2004; 28 מערכות - בשנים 2005 - 2011; 40 מערכות - בשנים 2012 - 2015. יתר המערכות, 51 במספר, הופעלו בשנת 2016 ולאחריה.</w:t>
      </w:r>
    </w:p>
    <w:p w14:paraId="6424973C" w14:textId="77777777" w:rsidR="002F7752" w:rsidRPr="00560CB6" w:rsidRDefault="002F7752" w:rsidP="002F7752">
      <w:pPr>
        <w:pStyle w:val="ae"/>
        <w:spacing w:after="240" w:line="288" w:lineRule="auto"/>
        <w:ind w:left="397"/>
        <w:contextualSpacing w:val="0"/>
        <w:rPr>
          <w:rFonts w:ascii="Tahoma" w:hAnsi="Tahoma" w:cs="Tahoma"/>
          <w:b/>
          <w:bCs/>
          <w:color w:val="0D0D0D" w:themeColor="text1" w:themeTint="F2"/>
          <w:sz w:val="18"/>
          <w:szCs w:val="18"/>
        </w:rPr>
      </w:pPr>
      <w:r w:rsidRPr="00303B4E">
        <w:rPr>
          <w:rFonts w:hint="cs"/>
          <w:noProof/>
          <w:rtl/>
        </w:rPr>
        <w:drawing>
          <wp:anchor distT="0" distB="0" distL="71755" distR="0" simplePos="0" relativeHeight="252469760" behindDoc="1" locked="0" layoutInCell="1" allowOverlap="1" wp14:anchorId="13365151" wp14:editId="25DA5104">
            <wp:simplePos x="0" y="0"/>
            <wp:positionH relativeFrom="column">
              <wp:posOffset>4518025</wp:posOffset>
            </wp:positionH>
            <wp:positionV relativeFrom="paragraph">
              <wp:posOffset>17292</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33370898" name="תמונה 203337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0CB6">
        <w:rPr>
          <w:rFonts w:ascii="Tahoma" w:hAnsi="Tahoma" w:cs="Tahoma"/>
          <w:b/>
          <w:bCs/>
          <w:color w:val="0D0D0D" w:themeColor="text1" w:themeTint="F2"/>
          <w:sz w:val="18"/>
          <w:szCs w:val="18"/>
          <w:rtl/>
        </w:rPr>
        <w:t>מערכות מידע כספיות בכמה מהגופים שנבדקו</w:t>
      </w:r>
    </w:p>
    <w:p w14:paraId="6ACAD600" w14:textId="0F13ED23" w:rsidR="002F7752" w:rsidRPr="00560CB6" w:rsidRDefault="002F7752" w:rsidP="00E76EB7">
      <w:pPr>
        <w:pStyle w:val="ae"/>
        <w:numPr>
          <w:ilvl w:val="1"/>
          <w:numId w:val="25"/>
        </w:numPr>
        <w:spacing w:after="180" w:line="288" w:lineRule="auto"/>
        <w:contextualSpacing w:val="0"/>
        <w:rPr>
          <w:rFonts w:ascii="Tahoma" w:hAnsi="Tahoma" w:cs="Tahoma"/>
          <w:sz w:val="18"/>
          <w:szCs w:val="18"/>
          <w:rtl/>
        </w:rPr>
      </w:pPr>
      <w:r w:rsidRPr="00560CB6">
        <w:rPr>
          <w:rFonts w:ascii="Tahoma" w:hAnsi="Tahoma" w:cs="Tahoma"/>
          <w:b/>
          <w:bCs/>
          <w:sz w:val="18"/>
          <w:szCs w:val="18"/>
          <w:rtl/>
        </w:rPr>
        <w:t>רשות המיסים</w:t>
      </w:r>
      <w:r w:rsidRPr="00560CB6">
        <w:rPr>
          <w:rFonts w:ascii="Tahoma" w:hAnsi="Tahoma" w:cs="Tahoma"/>
          <w:sz w:val="18"/>
          <w:szCs w:val="18"/>
          <w:rtl/>
        </w:rPr>
        <w:t xml:space="preserve"> - על אף סכומי הכסף הגדולים שבהם מטפלות מערכות המידע הכספיות של רשות המיסים, ועל אף הסיכונים, הנובעים </w:t>
      </w:r>
      <w:r w:rsidRPr="00560CB6">
        <w:rPr>
          <w:rFonts w:ascii="Tahoma" w:hAnsi="Tahoma" w:cs="Tahoma" w:hint="cs"/>
          <w:sz w:val="18"/>
          <w:szCs w:val="18"/>
          <w:rtl/>
        </w:rPr>
        <w:t>מהיקפים אלו,</w:t>
      </w:r>
      <w:r w:rsidRPr="00560CB6">
        <w:rPr>
          <w:rFonts w:ascii="Tahoma" w:hAnsi="Tahoma" w:cs="Tahoma"/>
          <w:sz w:val="18"/>
          <w:szCs w:val="18"/>
          <w:rtl/>
        </w:rPr>
        <w:t xml:space="preserve"> מגילן של המערכות, ממספר המשתמשים הרב בהן ומהנגישות של חלק מהן לציבור רחב, </w:t>
      </w:r>
      <w:r w:rsidR="00BA7E65">
        <w:rPr>
          <w:rFonts w:ascii="Tahoma" w:hAnsi="Tahoma" w:cs="Tahoma"/>
          <w:sz w:val="18"/>
          <w:szCs w:val="18"/>
          <w:rtl/>
        </w:rPr>
        <w:br/>
      </w:r>
      <w:r w:rsidRPr="00560CB6">
        <w:rPr>
          <w:rFonts w:ascii="Tahoma" w:hAnsi="Tahoma" w:cs="Tahoma"/>
          <w:sz w:val="18"/>
          <w:szCs w:val="18"/>
          <w:rtl/>
        </w:rPr>
        <w:t>ב-40 מתוך 44 המערכות הכספיות של רשות המיסים אין תיעוד לתהליכים הכספיים במערכ</w:t>
      </w:r>
      <w:r w:rsidRPr="00560CB6">
        <w:rPr>
          <w:rFonts w:ascii="Tahoma" w:hAnsi="Tahoma" w:cs="Tahoma" w:hint="cs"/>
          <w:sz w:val="18"/>
          <w:szCs w:val="18"/>
          <w:rtl/>
        </w:rPr>
        <w:t>ו</w:t>
      </w:r>
      <w:r w:rsidRPr="00560CB6">
        <w:rPr>
          <w:rFonts w:ascii="Tahoma" w:hAnsi="Tahoma" w:cs="Tahoma"/>
          <w:sz w:val="18"/>
          <w:szCs w:val="18"/>
          <w:rtl/>
        </w:rPr>
        <w:t>ת ו</w:t>
      </w:r>
      <w:r w:rsidRPr="00560CB6">
        <w:rPr>
          <w:rFonts w:ascii="Tahoma" w:hAnsi="Tahoma" w:cs="Tahoma" w:hint="cs"/>
          <w:sz w:val="18"/>
          <w:szCs w:val="18"/>
          <w:rtl/>
        </w:rPr>
        <w:t xml:space="preserve">אין </w:t>
      </w:r>
      <w:r w:rsidRPr="00560CB6">
        <w:rPr>
          <w:rFonts w:ascii="Tahoma" w:hAnsi="Tahoma" w:cs="Tahoma"/>
          <w:sz w:val="18"/>
          <w:szCs w:val="18"/>
          <w:rtl/>
        </w:rPr>
        <w:t xml:space="preserve">ניתוח של השלכותיהם; במערכת אחת בלבד נערך סקר סיכונים בעשר השנים האחרונות (לפי דיווח חשב המשרד); בשתי מערכות בלבד נערכה ביקורת. </w:t>
      </w:r>
      <w:r w:rsidR="00BA7E65">
        <w:rPr>
          <w:rFonts w:ascii="Tahoma" w:hAnsi="Tahoma" w:cs="Tahoma"/>
          <w:sz w:val="18"/>
          <w:szCs w:val="18"/>
          <w:rtl/>
        </w:rPr>
        <w:br/>
      </w:r>
      <w:r w:rsidRPr="00560CB6">
        <w:rPr>
          <w:rFonts w:ascii="Tahoma" w:hAnsi="Tahoma" w:cs="Tahoma"/>
          <w:sz w:val="18"/>
          <w:szCs w:val="18"/>
          <w:rtl/>
        </w:rPr>
        <w:t>אי-ביצוע תהליכי זיהוי, חוסר היערכות כנדרש ואי-עריכת ביקורות כנדרש חושפים את רשות המיסים לסיכונים חמורים.</w:t>
      </w:r>
    </w:p>
    <w:p w14:paraId="0280ABD9"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הבינוי והשיכון</w:t>
      </w:r>
      <w:r w:rsidRPr="00560CB6">
        <w:rPr>
          <w:rFonts w:ascii="Tahoma" w:hAnsi="Tahoma" w:cs="Tahoma"/>
          <w:sz w:val="18"/>
          <w:szCs w:val="18"/>
          <w:rtl/>
        </w:rPr>
        <w:t xml:space="preserve"> - משנת 2015 נערך סקר סיכונים רק במערכת מידע כספית אחת מתוך תשע המערכות הפועלות במשרד, ובחמש השנים האחרונות נערכה ביקורת על התהליכים הכספיים בשתי מערכות </w:t>
      </w:r>
      <w:r w:rsidRPr="00560CB6">
        <w:rPr>
          <w:rFonts w:ascii="Tahoma" w:hAnsi="Tahoma" w:cs="Tahoma" w:hint="cs"/>
          <w:sz w:val="18"/>
          <w:szCs w:val="18"/>
          <w:rtl/>
        </w:rPr>
        <w:t xml:space="preserve">מידע כספיות </w:t>
      </w:r>
      <w:r w:rsidRPr="00560CB6">
        <w:rPr>
          <w:rFonts w:ascii="Tahoma" w:hAnsi="Tahoma" w:cs="Tahoma"/>
          <w:sz w:val="18"/>
          <w:szCs w:val="18"/>
          <w:rtl/>
        </w:rPr>
        <w:t>בלבד.</w:t>
      </w:r>
    </w:p>
    <w:p w14:paraId="1D4D6266"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הרווחה</w:t>
      </w:r>
      <w:r w:rsidRPr="00560CB6">
        <w:rPr>
          <w:rFonts w:ascii="Tahoma" w:hAnsi="Tahoma" w:cs="Tahoma"/>
          <w:sz w:val="18"/>
          <w:szCs w:val="18"/>
          <w:rtl/>
        </w:rPr>
        <w:t xml:space="preserve"> - לא נערכה ביקורת מערכות מידע בשבע מתוך תשע מערכות המידע הכספיות במשרד, ובחמש השנים האחרונות לא נערך סקר סיכונים בשמונה מתשע המערכות.</w:t>
      </w:r>
    </w:p>
    <w:p w14:paraId="3CC4B03C"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המשפטים</w:t>
      </w:r>
      <w:r w:rsidRPr="00560CB6">
        <w:rPr>
          <w:rFonts w:ascii="Tahoma" w:hAnsi="Tahoma" w:cs="Tahoma"/>
          <w:sz w:val="18"/>
          <w:szCs w:val="18"/>
          <w:rtl/>
        </w:rPr>
        <w:t xml:space="preserve"> - באחת מתוך ארבע מערכות המידע הכספיות במשרד המשפטים לא </w:t>
      </w:r>
      <w:r w:rsidRPr="00560CB6">
        <w:rPr>
          <w:rFonts w:ascii="Tahoma" w:hAnsi="Tahoma" w:cs="Tahoma" w:hint="cs"/>
          <w:sz w:val="18"/>
          <w:szCs w:val="18"/>
          <w:rtl/>
        </w:rPr>
        <w:t>קיים</w:t>
      </w:r>
      <w:r w:rsidRPr="00560CB6">
        <w:rPr>
          <w:rFonts w:ascii="Tahoma" w:hAnsi="Tahoma" w:cs="Tahoma"/>
          <w:sz w:val="18"/>
          <w:szCs w:val="18"/>
          <w:rtl/>
        </w:rPr>
        <w:t xml:space="preserve"> ניתוח של השלכות התהליכים הכספיים; בשלוש מתוך ארבע המערכות לא נערך סקר סיכונים, ובמערכת אחת לא נערכה ביקורת.</w:t>
      </w:r>
    </w:p>
    <w:p w14:paraId="60A9BBB8"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הכלכלה והתעשייה</w:t>
      </w:r>
      <w:r w:rsidRPr="00560CB6">
        <w:rPr>
          <w:rFonts w:ascii="Tahoma" w:hAnsi="Tahoma" w:cs="Tahoma"/>
          <w:sz w:val="18"/>
          <w:szCs w:val="18"/>
          <w:rtl/>
        </w:rPr>
        <w:t xml:space="preserve"> - בשום מערכת מתוך 11 מערכות המידע הכספיות במשרד לא בוצעו סקרי סיכונים או ביקורות ולא נעשה ניתוח של השלכות התהליכים הכספיים.</w:t>
      </w:r>
    </w:p>
    <w:p w14:paraId="6A937E72" w14:textId="77777777" w:rsidR="002F7752" w:rsidRPr="00560CB6" w:rsidRDefault="002F7752" w:rsidP="00E76EB7">
      <w:pPr>
        <w:pStyle w:val="ae"/>
        <w:numPr>
          <w:ilvl w:val="1"/>
          <w:numId w:val="25"/>
        </w:numPr>
        <w:spacing w:after="180" w:line="288" w:lineRule="auto"/>
        <w:contextualSpacing w:val="0"/>
        <w:rPr>
          <w:rFonts w:ascii="Tahoma" w:hAnsi="Tahoma" w:cs="Tahoma"/>
          <w:sz w:val="18"/>
          <w:szCs w:val="18"/>
        </w:rPr>
      </w:pPr>
      <w:r w:rsidRPr="00560CB6">
        <w:rPr>
          <w:rFonts w:ascii="Tahoma" w:hAnsi="Tahoma" w:cs="Tahoma"/>
          <w:b/>
          <w:bCs/>
          <w:sz w:val="18"/>
          <w:szCs w:val="18"/>
          <w:rtl/>
        </w:rPr>
        <w:t>משרד החוץ</w:t>
      </w:r>
      <w:r w:rsidRPr="00560CB6">
        <w:rPr>
          <w:rFonts w:ascii="Tahoma" w:hAnsi="Tahoma" w:cs="Tahoma"/>
          <w:sz w:val="18"/>
          <w:szCs w:val="18"/>
          <w:rtl/>
        </w:rPr>
        <w:t xml:space="preserve"> - בכל שבע מערכות המידע הכספיות במשרד החוץ לא בוצעו סקרי סיכונים או ביקורות. במרבית מערכות המידע הכספיות של המשרד </w:t>
      </w:r>
      <w:r w:rsidRPr="00560CB6">
        <w:rPr>
          <w:rFonts w:ascii="Tahoma" w:hAnsi="Tahoma" w:cs="Tahoma" w:hint="cs"/>
          <w:sz w:val="18"/>
          <w:szCs w:val="18"/>
          <w:rtl/>
        </w:rPr>
        <w:t>אין</w:t>
      </w:r>
      <w:r w:rsidRPr="00560CB6">
        <w:rPr>
          <w:rFonts w:ascii="Tahoma" w:hAnsi="Tahoma" w:cs="Tahoma"/>
          <w:sz w:val="18"/>
          <w:szCs w:val="18"/>
          <w:rtl/>
        </w:rPr>
        <w:t xml:space="preserve"> תיעוד של </w:t>
      </w:r>
      <w:r w:rsidRPr="00560CB6">
        <w:rPr>
          <w:rFonts w:ascii="Tahoma" w:hAnsi="Tahoma" w:cs="Tahoma"/>
          <w:sz w:val="18"/>
          <w:szCs w:val="18"/>
          <w:rtl/>
        </w:rPr>
        <w:lastRenderedPageBreak/>
        <w:t xml:space="preserve">התהליכים הכספיים. כ-90 נציגויות ישראל הפועלות מחוץ לכותלי המדינה אינן מחוברות </w:t>
      </w:r>
      <w:proofErr w:type="spellStart"/>
      <w:r w:rsidRPr="00560CB6">
        <w:rPr>
          <w:rFonts w:ascii="Tahoma" w:hAnsi="Tahoma" w:cs="Tahoma"/>
          <w:sz w:val="18"/>
          <w:szCs w:val="18"/>
          <w:rtl/>
        </w:rPr>
        <w:t>למרכב"ה</w:t>
      </w:r>
      <w:proofErr w:type="spellEnd"/>
      <w:r w:rsidRPr="00560CB6">
        <w:rPr>
          <w:rFonts w:ascii="Tahoma" w:hAnsi="Tahoma" w:cs="Tahoma"/>
          <w:sz w:val="18"/>
          <w:szCs w:val="18"/>
          <w:rtl/>
        </w:rPr>
        <w:t xml:space="preserve"> אלא מנוהלות באמצעות מערכת ניהול כספים פנימית של המשרד.</w:t>
      </w:r>
    </w:p>
    <w:p w14:paraId="39D5E97C" w14:textId="6BDD0F7F" w:rsidR="00420374" w:rsidRDefault="00AD1000" w:rsidP="00DA022A">
      <w:pPr>
        <w:pStyle w:val="7392"/>
        <w:ind w:left="424"/>
        <w:rPr>
          <w:noProof/>
          <w:rtl/>
        </w:rPr>
      </w:pPr>
      <w:r w:rsidRPr="002F7752">
        <w:rPr>
          <w:rStyle w:val="7371"/>
          <w:rFonts w:hint="cs"/>
          <w:noProof/>
          <w:rtl/>
        </w:rPr>
        <w:drawing>
          <wp:anchor distT="0" distB="0" distL="114300" distR="114300" simplePos="0" relativeHeight="252388864" behindDoc="0" locked="0" layoutInCell="1" allowOverlap="1" wp14:anchorId="387F57B2" wp14:editId="7F270DE1">
            <wp:simplePos x="0" y="0"/>
            <wp:positionH relativeFrom="column">
              <wp:posOffset>2488565</wp:posOffset>
            </wp:positionH>
            <wp:positionV relativeFrom="paragraph">
              <wp:posOffset>1066263</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DA022A" w:rsidRPr="002F7752">
        <w:rPr>
          <w:rStyle w:val="7371"/>
          <w:rFonts w:hint="cs"/>
          <w:noProof/>
          <w:rtl/>
        </w:rPr>
        <w:drawing>
          <wp:anchor distT="0" distB="720090" distL="114300" distR="114300" simplePos="0" relativeHeight="252406272" behindDoc="1" locked="0" layoutInCell="1" allowOverlap="1" wp14:anchorId="7A322FA4" wp14:editId="40F4BDA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F7752" w:rsidRPr="002F7752">
        <w:rPr>
          <w:rStyle w:val="7371"/>
          <w:rtl/>
        </w:rPr>
        <w:t>הדוחות הכספיים של רשות המיסים</w:t>
      </w:r>
      <w:r w:rsidR="002F7752" w:rsidRPr="00560CB6">
        <w:rPr>
          <w:rtl/>
        </w:rPr>
        <w:t xml:space="preserve"> - בשל הסתייגויות רואי החשבון המבקרים בדוחות הכספיים של רשות המיסים לא ניתנה חוות דעתם על דוחות אלה, שהסכומים הכלולים בהם הם מאות מיליארדי ש"ח בשנה. הסתייגויות אלה ומכתב סיכום הביקורת של רואי החשבון מפרטים שורת ליקויים מהותית במערכות המידע הכספיות של רשות המיסים. ליקויים אלה מעלים ספק של ממש בנוגע לאמינות הנתונים המוצגים בדוחות</w:t>
      </w:r>
      <w:r w:rsidR="00420374" w:rsidRPr="0093709F">
        <w:rPr>
          <w:rFonts w:hint="cs"/>
          <w:rtl/>
        </w:rPr>
        <w:t xml:space="preserve">. </w:t>
      </w:r>
    </w:p>
    <w:p w14:paraId="4A9F3764" w14:textId="1BA6DDDA" w:rsidR="00420374" w:rsidRDefault="002F7752" w:rsidP="003D77BA">
      <w:pPr>
        <w:pStyle w:val="7392"/>
        <w:spacing w:before="360"/>
        <w:ind w:left="397"/>
        <w:rPr>
          <w:rtl/>
        </w:rPr>
      </w:pPr>
      <w:r w:rsidRPr="00560CB6">
        <w:rPr>
          <w:rtl/>
        </w:rPr>
        <w:t>בראשית חודש נובמבר 2021 אושר תקציב המדינה לשנים 2021 - 2022, לאחר 22 חודשים שבהם התנהלה הממשלה במסגרת תקציב המשכי בשל מערכות בחירות חוזרות ונשנות בתקופה זו</w:t>
      </w:r>
      <w:r w:rsidR="00420374"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68B348EB"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 xml:space="preserve">מומלץ כי הממשלה תמשיך לפעול במגמת השיפור שאפיינה את הדוחות הכספיים לשנת 2021, בעקבות התאוששות המשק ממשבר הקורונה, שבאה לידי ביטוי בצמיחה כלכלית ובירידה בגירעון התקציבי ביחס לתוצר, זאת תוך </w:t>
      </w:r>
      <w:r w:rsidR="003D77BA" w:rsidRPr="00DC7B52">
        <w:rPr>
          <w:rFonts w:hint="cs"/>
          <w:rtl/>
        </w:rPr>
        <w:t>התנהלות</w:t>
      </w:r>
      <w:r w:rsidR="003D77BA" w:rsidRPr="00DC7B52">
        <w:rPr>
          <w:rtl/>
        </w:rPr>
        <w:t xml:space="preserve"> כלכלית אחראית בראייה ארוכת טווח</w:t>
      </w:r>
      <w:r w:rsidR="005D0F8C" w:rsidRPr="007C7D40">
        <w:rPr>
          <w:rFonts w:hint="cs"/>
          <w:rtl/>
        </w:rPr>
        <w:t xml:space="preserve">. </w:t>
      </w:r>
    </w:p>
    <w:p w14:paraId="6C626C68" w14:textId="45588E6D"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 xml:space="preserve">מומלץ כי המנכ"לים והחשבים של משרדי הבריאות, הפנים והבינוי והשיכון יפעלו לתיקון הליקויים שבגינם ניתנו הערות רואי החשבון המבקרים ובהתאם לקבלת חוות דעת ללא </w:t>
      </w:r>
      <w:r w:rsidR="003D77BA" w:rsidRPr="00DC7B52">
        <w:rPr>
          <w:rFonts w:hint="cs"/>
          <w:rtl/>
        </w:rPr>
        <w:t xml:space="preserve">כל </w:t>
      </w:r>
      <w:r w:rsidR="003D77BA" w:rsidRPr="00DC7B52">
        <w:rPr>
          <w:rtl/>
        </w:rPr>
        <w:t>הסתייגות של רואי חשבון על הדוחות הכספיים של משרדיהם</w:t>
      </w:r>
      <w:r w:rsidR="005D0F8C" w:rsidRPr="007C7D40">
        <w:rPr>
          <w:rtl/>
        </w:rPr>
        <w:t xml:space="preserve">. </w:t>
      </w:r>
    </w:p>
    <w:p w14:paraId="16E5BFEE" w14:textId="04E87141"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 xml:space="preserve">מומלץ כי החשב הכללי יפעל לעריכת סקר סיכונים מקיף וביקורת מערכות מידע מלאה </w:t>
      </w:r>
      <w:r w:rsidR="003D77BA" w:rsidRPr="00DC7B52">
        <w:rPr>
          <w:rFonts w:hint="cs"/>
          <w:rtl/>
        </w:rPr>
        <w:t xml:space="preserve">על התהליכים הכספיים המנוהלים </w:t>
      </w:r>
      <w:proofErr w:type="spellStart"/>
      <w:r w:rsidR="003D77BA" w:rsidRPr="00DC7B52">
        <w:rPr>
          <w:rtl/>
        </w:rPr>
        <w:t>במרכב"ה</w:t>
      </w:r>
      <w:proofErr w:type="spellEnd"/>
      <w:r w:rsidR="003D77BA" w:rsidRPr="00DC7B52">
        <w:rPr>
          <w:rtl/>
        </w:rPr>
        <w:t xml:space="preserve"> וכן יוודא כי מתקיים תיעוד </w:t>
      </w:r>
      <w:r w:rsidR="003D77BA" w:rsidRPr="00DC7B52">
        <w:rPr>
          <w:rFonts w:hint="cs"/>
          <w:rtl/>
        </w:rPr>
        <w:t xml:space="preserve">מפורט </w:t>
      </w:r>
      <w:r w:rsidR="003D77BA" w:rsidRPr="00DC7B52">
        <w:rPr>
          <w:rtl/>
        </w:rPr>
        <w:t>של כלל התהליכים הכספיים המנוהלים במערכת</w:t>
      </w:r>
      <w:r w:rsidR="005D0F8C" w:rsidRPr="007C7D40">
        <w:rPr>
          <w:rFonts w:hint="cs"/>
          <w:rtl/>
        </w:rPr>
        <w:t>.</w:t>
      </w:r>
    </w:p>
    <w:p w14:paraId="3F6A2BE4" w14:textId="644D6B21"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מומלץ כי אגף החשב הכללי ורשות התקשוב הממשלתי יסדירו ביניהם את האחריות למתן הנחיות מקצועיות בנוגע לכלל ההיבטים העולים במערכות מידע כספיות</w:t>
      </w:r>
      <w:r w:rsidR="00706096" w:rsidRPr="007C7D40">
        <w:rPr>
          <w:rFonts w:hint="cs"/>
          <w:rtl/>
        </w:rPr>
        <w:t>.</w:t>
      </w:r>
    </w:p>
    <w:p w14:paraId="36B4D251" w14:textId="1FFE8AAE"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 xml:space="preserve">מומלץ כי החשב הכללי יבחן תיקון של הוראות </w:t>
      </w:r>
      <w:proofErr w:type="spellStart"/>
      <w:r w:rsidR="003D77BA" w:rsidRPr="00DC7B52">
        <w:rPr>
          <w:rtl/>
        </w:rPr>
        <w:t>התכ"ם</w:t>
      </w:r>
      <w:proofErr w:type="spellEnd"/>
      <w:r w:rsidR="003D77BA" w:rsidRPr="00DC7B52">
        <w:rPr>
          <w:rtl/>
        </w:rPr>
        <w:t xml:space="preserve"> באופן שבו יהיה תיאום בין הגורמים השונים לשם ייעול תהליך הכנת סקר הסיכונים במערכות מידע משולבות - תפעוליות ופיננסיות</w:t>
      </w:r>
      <w:r w:rsidR="00706096" w:rsidRPr="007C7D40">
        <w:rPr>
          <w:rFonts w:hint="cs"/>
          <w:rtl/>
        </w:rPr>
        <w:t>.</w:t>
      </w:r>
    </w:p>
    <w:p w14:paraId="30F30DD7" w14:textId="34BA21BA"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D77BA" w:rsidRPr="00DC7B52">
        <w:rPr>
          <w:rtl/>
        </w:rPr>
        <w:t xml:space="preserve">על החשב הכללי להנחות את חשבי הגופים המדווחים לקבוע תוכנית רב-שנתית לביצוע סקרי סיכונים וביקורות במערכות המידע הכספיות בהתאם להוראת </w:t>
      </w:r>
      <w:proofErr w:type="spellStart"/>
      <w:r w:rsidR="003D77BA" w:rsidRPr="00DC7B52">
        <w:rPr>
          <w:rtl/>
        </w:rPr>
        <w:t>התכ"ם</w:t>
      </w:r>
      <w:proofErr w:type="spellEnd"/>
      <w:r w:rsidR="003D77BA" w:rsidRPr="00DC7B52">
        <w:rPr>
          <w:rtl/>
        </w:rPr>
        <w:t xml:space="preserve">. כמו כן מומלץ </w:t>
      </w:r>
      <w:r w:rsidR="003D77BA" w:rsidRPr="00DC7B52">
        <w:rPr>
          <w:rFonts w:hint="eastAsia"/>
          <w:rtl/>
        </w:rPr>
        <w:t>לחשב</w:t>
      </w:r>
      <w:r w:rsidR="003D77BA" w:rsidRPr="00DC7B52">
        <w:rPr>
          <w:rtl/>
        </w:rPr>
        <w:t xml:space="preserve"> </w:t>
      </w:r>
      <w:r w:rsidR="003D77BA" w:rsidRPr="00DC7B52">
        <w:rPr>
          <w:rFonts w:hint="eastAsia"/>
          <w:rtl/>
        </w:rPr>
        <w:t>הכללי</w:t>
      </w:r>
      <w:r w:rsidR="003D77BA" w:rsidRPr="00DC7B52">
        <w:rPr>
          <w:rtl/>
        </w:rPr>
        <w:t xml:space="preserve"> </w:t>
      </w:r>
      <w:r w:rsidR="003D77BA" w:rsidRPr="00DC7B52">
        <w:rPr>
          <w:rFonts w:hint="cs"/>
          <w:rtl/>
        </w:rPr>
        <w:t>לפעול לביצוע סקרי סיכונים וביקורות במערכות המידע הכספיות, ולהתחשב גם ב</w:t>
      </w:r>
      <w:r w:rsidR="003D77BA" w:rsidRPr="00DC7B52">
        <w:rPr>
          <w:rFonts w:hint="eastAsia"/>
          <w:rtl/>
        </w:rPr>
        <w:t>היקף</w:t>
      </w:r>
      <w:r w:rsidR="003D77BA" w:rsidRPr="00DC7B52">
        <w:rPr>
          <w:rtl/>
        </w:rPr>
        <w:t xml:space="preserve"> </w:t>
      </w:r>
      <w:r w:rsidR="003D77BA" w:rsidRPr="00DC7B52">
        <w:rPr>
          <w:rFonts w:hint="cs"/>
          <w:rtl/>
        </w:rPr>
        <w:t>הכספי המנוהל ב</w:t>
      </w:r>
      <w:r w:rsidR="003D77BA" w:rsidRPr="00DC7B52">
        <w:rPr>
          <w:rFonts w:hint="eastAsia"/>
          <w:rtl/>
        </w:rPr>
        <w:t>מערכות</w:t>
      </w:r>
      <w:r w:rsidR="003D77BA" w:rsidRPr="00DC7B52">
        <w:rPr>
          <w:rtl/>
        </w:rPr>
        <w:t xml:space="preserve"> </w:t>
      </w:r>
      <w:r w:rsidR="003D77BA" w:rsidRPr="00DC7B52">
        <w:rPr>
          <w:rFonts w:hint="cs"/>
          <w:rtl/>
        </w:rPr>
        <w:t>אלו</w:t>
      </w:r>
      <w:r w:rsidR="003D77BA" w:rsidRPr="00DC7B52">
        <w:rPr>
          <w:rtl/>
        </w:rPr>
        <w:t xml:space="preserve"> </w:t>
      </w:r>
      <w:r w:rsidR="003D77BA" w:rsidRPr="00DC7B52">
        <w:rPr>
          <w:rFonts w:hint="eastAsia"/>
          <w:rtl/>
        </w:rPr>
        <w:t>במסגרת</w:t>
      </w:r>
      <w:r w:rsidR="003D77BA" w:rsidRPr="00DC7B52">
        <w:rPr>
          <w:rtl/>
        </w:rPr>
        <w:t xml:space="preserve"> </w:t>
      </w:r>
      <w:r w:rsidR="003D77BA" w:rsidRPr="00DC7B52">
        <w:rPr>
          <w:rFonts w:hint="eastAsia"/>
          <w:rtl/>
        </w:rPr>
        <w:t>קביעת</w:t>
      </w:r>
      <w:r w:rsidR="003D77BA" w:rsidRPr="00DC7B52">
        <w:rPr>
          <w:rtl/>
        </w:rPr>
        <w:t xml:space="preserve"> </w:t>
      </w:r>
      <w:r w:rsidR="003D77BA" w:rsidRPr="00DC7B52">
        <w:rPr>
          <w:rFonts w:hint="eastAsia"/>
          <w:rtl/>
        </w:rPr>
        <w:t>עדיפות</w:t>
      </w:r>
      <w:r w:rsidR="003D77BA" w:rsidRPr="00DC7B52">
        <w:rPr>
          <w:rtl/>
        </w:rPr>
        <w:t xml:space="preserve"> </w:t>
      </w:r>
      <w:r w:rsidR="003D77BA" w:rsidRPr="00DC7B52">
        <w:rPr>
          <w:rFonts w:hint="cs"/>
          <w:rtl/>
        </w:rPr>
        <w:t xml:space="preserve">ביצוע </w:t>
      </w:r>
      <w:r w:rsidR="003D77BA" w:rsidRPr="00DC7B52">
        <w:rPr>
          <w:rFonts w:hint="eastAsia"/>
          <w:rtl/>
        </w:rPr>
        <w:t>סקרי</w:t>
      </w:r>
      <w:r w:rsidR="003D77BA" w:rsidRPr="00DC7B52">
        <w:rPr>
          <w:rtl/>
        </w:rPr>
        <w:t xml:space="preserve"> </w:t>
      </w:r>
      <w:r w:rsidR="003D77BA" w:rsidRPr="00DC7B52">
        <w:rPr>
          <w:rFonts w:hint="cs"/>
          <w:rtl/>
        </w:rPr>
        <w:t>ה</w:t>
      </w:r>
      <w:r w:rsidR="003D77BA" w:rsidRPr="00DC7B52">
        <w:rPr>
          <w:rFonts w:hint="eastAsia"/>
          <w:rtl/>
        </w:rPr>
        <w:t>סיכונים</w:t>
      </w:r>
      <w:r w:rsidR="003D77BA" w:rsidRPr="00DC7B52">
        <w:rPr>
          <w:rtl/>
        </w:rPr>
        <w:t xml:space="preserve"> </w:t>
      </w:r>
      <w:r w:rsidR="003D77BA" w:rsidRPr="00DC7B52">
        <w:rPr>
          <w:rFonts w:hint="eastAsia"/>
          <w:rtl/>
        </w:rPr>
        <w:t>ו</w:t>
      </w:r>
      <w:r w:rsidR="003D77BA" w:rsidRPr="00DC7B52">
        <w:rPr>
          <w:rFonts w:hint="cs"/>
          <w:rtl/>
        </w:rPr>
        <w:t>ה</w:t>
      </w:r>
      <w:r w:rsidR="003D77BA" w:rsidRPr="00DC7B52">
        <w:rPr>
          <w:rFonts w:hint="eastAsia"/>
          <w:rtl/>
        </w:rPr>
        <w:t>ביקורות</w:t>
      </w:r>
      <w:r w:rsidR="003D77BA" w:rsidRPr="00DC7B52">
        <w:rPr>
          <w:rtl/>
        </w:rPr>
        <w:t xml:space="preserve"> </w:t>
      </w:r>
      <w:r w:rsidR="003D77BA" w:rsidRPr="00DC7B52">
        <w:rPr>
          <w:rFonts w:hint="eastAsia"/>
          <w:rtl/>
        </w:rPr>
        <w:t>שעורכת</w:t>
      </w:r>
      <w:r w:rsidR="003D77BA" w:rsidRPr="00DC7B52">
        <w:rPr>
          <w:rtl/>
        </w:rPr>
        <w:t xml:space="preserve"> </w:t>
      </w:r>
      <w:r w:rsidR="003D77BA" w:rsidRPr="00DC7B52">
        <w:rPr>
          <w:rFonts w:hint="eastAsia"/>
          <w:rtl/>
        </w:rPr>
        <w:t>חטיבת</w:t>
      </w:r>
      <w:r w:rsidR="003D77BA" w:rsidRPr="00DC7B52">
        <w:rPr>
          <w:rtl/>
        </w:rPr>
        <w:t xml:space="preserve"> </w:t>
      </w:r>
      <w:r w:rsidR="003D77BA" w:rsidRPr="00DC7B52">
        <w:rPr>
          <w:rFonts w:hint="eastAsia"/>
          <w:rtl/>
        </w:rPr>
        <w:t>הביקורת</w:t>
      </w:r>
      <w:r w:rsidR="003D77BA" w:rsidRPr="00DC7B52">
        <w:rPr>
          <w:rtl/>
        </w:rPr>
        <w:t xml:space="preserve"> </w:t>
      </w:r>
      <w:r w:rsidR="003D77BA" w:rsidRPr="00DC7B52">
        <w:rPr>
          <w:rFonts w:hint="eastAsia"/>
          <w:rtl/>
        </w:rPr>
        <w:t>באגף</w:t>
      </w:r>
      <w:r w:rsidR="00706096" w:rsidRPr="008E57FE">
        <w:rPr>
          <w:rFonts w:hint="cs"/>
          <w:rtl/>
        </w:rPr>
        <w:t>.</w:t>
      </w:r>
    </w:p>
    <w:p w14:paraId="0A36B8C0" w14:textId="72BB7563" w:rsidR="003D77BA" w:rsidRPr="007C7D40" w:rsidRDefault="003D77BA" w:rsidP="003D77BA">
      <w:pPr>
        <w:pStyle w:val="73f7"/>
      </w:pPr>
      <w:r w:rsidRPr="007C7D40">
        <w:rPr>
          <w:rFonts w:hint="cs"/>
          <w:noProof/>
          <w:rtl/>
        </w:rPr>
        <w:lastRenderedPageBreak/>
        <w:drawing>
          <wp:anchor distT="0" distB="1440180" distL="107950" distR="114300" simplePos="0" relativeHeight="252474880" behindDoc="1" locked="0" layoutInCell="1" allowOverlap="1" wp14:anchorId="705A5E09" wp14:editId="5B80FE92">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33370903" name="תמונה 20333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C7B52">
        <w:rPr>
          <w:rtl/>
        </w:rPr>
        <w:t xml:space="preserve">על החשב הכללי ומנהל רשות המיסים לפעול יחדיו לעריכת סקרי סיכונים וביקורות מקיפות במערכות המידע הכספיות של רשות המיסים, לגבש תוכנית להקטנת סיכונים אלו ולבצע בקרה אחרי מימושה. עוד מומלץ כי מנהל רשות המיסים יפעל להגברת שיתוף הפעולה שבין </w:t>
      </w:r>
      <w:proofErr w:type="spellStart"/>
      <w:r w:rsidRPr="00DC7B52">
        <w:rPr>
          <w:rtl/>
        </w:rPr>
        <w:t>חשבות</w:t>
      </w:r>
      <w:proofErr w:type="spellEnd"/>
      <w:r w:rsidRPr="00DC7B52">
        <w:rPr>
          <w:rtl/>
        </w:rPr>
        <w:t xml:space="preserve"> המשרד ויחידת </w:t>
      </w:r>
      <w:proofErr w:type="spellStart"/>
      <w:r w:rsidRPr="00DC7B52">
        <w:rPr>
          <w:rtl/>
        </w:rPr>
        <w:t>שע"ם</w:t>
      </w:r>
      <w:proofErr w:type="spellEnd"/>
      <w:r w:rsidRPr="00DC7B52">
        <w:rPr>
          <w:rtl/>
        </w:rPr>
        <w:t xml:space="preserve"> בנושאים אלו. כמו כן מומלץ כי החשבונאית הראשית והנהלת רשות המיסים יפעלו לטיוב מערכות המידע הכספיות של הרשות ולתיקון הליקויים במערכות אלו שהועלו במכתב סיכום הביקורת של רואי החשבון המבקרים</w:t>
      </w:r>
      <w:r w:rsidRPr="007C7D40">
        <w:rPr>
          <w:rFonts w:hint="cs"/>
          <w:rtl/>
        </w:rPr>
        <w:t>.</w:t>
      </w:r>
    </w:p>
    <w:p w14:paraId="377E6FE3" w14:textId="3525C3B6" w:rsidR="004E71DD" w:rsidRPr="00E76EB7" w:rsidRDefault="004E71DD" w:rsidP="005D0F8C">
      <w:pPr>
        <w:pStyle w:val="73f7"/>
        <w:rPr>
          <w:rtl/>
        </w:rPr>
      </w:pPr>
    </w:p>
    <w:p w14:paraId="6DC28C4F" w14:textId="51E18AD5" w:rsidR="005D0F8C" w:rsidRDefault="004E71DD" w:rsidP="004E71DD">
      <w:pPr>
        <w:tabs>
          <w:tab w:val="right" w:pos="7370"/>
        </w:tabs>
        <w:bidi w:val="0"/>
        <w:spacing w:after="200" w:line="276" w:lineRule="auto"/>
        <w:rPr>
          <w:rtl/>
        </w:rPr>
      </w:pPr>
      <w:r w:rsidRPr="00D527BD">
        <w:rPr>
          <w:noProof/>
          <w:szCs w:val="20"/>
          <w:rtl/>
        </w:rPr>
        <w:drawing>
          <wp:anchor distT="0" distB="0" distL="114300" distR="114300" simplePos="0" relativeHeight="252191232" behindDoc="0" locked="0" layoutInCell="1" allowOverlap="1" wp14:anchorId="29327287" wp14:editId="6251C3BB">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DA22717" w:rsidR="005D0F8C" w:rsidRPr="005C7ABF" w:rsidRDefault="008526AF" w:rsidP="00662020">
                            <w:pPr>
                              <w:spacing w:line="240" w:lineRule="auto"/>
                              <w:ind w:right="113"/>
                              <w:suppressOverlap/>
                              <w:jc w:val="left"/>
                              <w:rPr>
                                <w:rFonts w:ascii="Tahoma" w:hAnsi="Tahoma" w:cs="Tahoma"/>
                                <w:b/>
                                <w:bCs/>
                                <w:color w:val="FFFFFF" w:themeColor="background1"/>
                                <w:spacing w:val="-4"/>
                                <w:sz w:val="22"/>
                                <w:szCs w:val="22"/>
                                <w:rtl/>
                              </w:rPr>
                            </w:pPr>
                            <w:r w:rsidRPr="008526AF">
                              <w:rPr>
                                <w:rFonts w:ascii="Tahoma" w:hAnsi="Tahoma" w:cs="Tahoma"/>
                                <w:b/>
                                <w:bCs/>
                                <w:color w:val="FFFFFF" w:themeColor="background1"/>
                                <w:spacing w:val="-4"/>
                                <w:sz w:val="22"/>
                                <w:szCs w:val="22"/>
                                <w:rtl/>
                              </w:rPr>
                              <w:t xml:space="preserve">מספר מערכות המידע </w:t>
                            </w:r>
                            <w:proofErr w:type="spellStart"/>
                            <w:r w:rsidRPr="008526AF">
                              <w:rPr>
                                <w:rFonts w:ascii="Tahoma" w:hAnsi="Tahoma" w:cs="Tahoma"/>
                                <w:b/>
                                <w:bCs/>
                                <w:color w:val="FFFFFF" w:themeColor="background1"/>
                                <w:spacing w:val="-4"/>
                                <w:sz w:val="22"/>
                                <w:szCs w:val="22"/>
                                <w:rtl/>
                              </w:rPr>
                              <w:t>המידע</w:t>
                            </w:r>
                            <w:proofErr w:type="spellEnd"/>
                            <w:r w:rsidRPr="008526AF">
                              <w:rPr>
                                <w:rFonts w:ascii="Tahoma" w:hAnsi="Tahoma" w:cs="Tahoma"/>
                                <w:b/>
                                <w:bCs/>
                                <w:color w:val="FFFFFF" w:themeColor="background1"/>
                                <w:spacing w:val="-4"/>
                                <w:sz w:val="22"/>
                                <w:szCs w:val="22"/>
                                <w:rtl/>
                              </w:rPr>
                              <w:t xml:space="preserve"> הכספיות שדווחו במשרדי ממשלה ויחידות נוספות בשנת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5DA22717" w:rsidR="005D0F8C" w:rsidRPr="005C7ABF" w:rsidRDefault="008526AF" w:rsidP="00662020">
                      <w:pPr>
                        <w:spacing w:line="240" w:lineRule="auto"/>
                        <w:ind w:right="113"/>
                        <w:suppressOverlap/>
                        <w:jc w:val="left"/>
                        <w:rPr>
                          <w:rFonts w:ascii="Tahoma" w:hAnsi="Tahoma" w:cs="Tahoma"/>
                          <w:b/>
                          <w:bCs/>
                          <w:color w:val="FFFFFF" w:themeColor="background1"/>
                          <w:spacing w:val="-4"/>
                          <w:sz w:val="22"/>
                          <w:szCs w:val="22"/>
                          <w:rtl/>
                        </w:rPr>
                      </w:pPr>
                      <w:r w:rsidRPr="008526AF">
                        <w:rPr>
                          <w:rFonts w:ascii="Tahoma" w:hAnsi="Tahoma" w:cs="Tahoma"/>
                          <w:b/>
                          <w:bCs/>
                          <w:color w:val="FFFFFF" w:themeColor="background1"/>
                          <w:spacing w:val="-4"/>
                          <w:sz w:val="22"/>
                          <w:szCs w:val="22"/>
                          <w:rtl/>
                        </w:rPr>
                        <w:t xml:space="preserve">מספר מערכות המידע </w:t>
                      </w:r>
                      <w:proofErr w:type="spellStart"/>
                      <w:r w:rsidRPr="008526AF">
                        <w:rPr>
                          <w:rFonts w:ascii="Tahoma" w:hAnsi="Tahoma" w:cs="Tahoma"/>
                          <w:b/>
                          <w:bCs/>
                          <w:color w:val="FFFFFF" w:themeColor="background1"/>
                          <w:spacing w:val="-4"/>
                          <w:sz w:val="22"/>
                          <w:szCs w:val="22"/>
                          <w:rtl/>
                        </w:rPr>
                        <w:t>המידע</w:t>
                      </w:r>
                      <w:proofErr w:type="spellEnd"/>
                      <w:r w:rsidRPr="008526AF">
                        <w:rPr>
                          <w:rFonts w:ascii="Tahoma" w:hAnsi="Tahoma" w:cs="Tahoma"/>
                          <w:b/>
                          <w:bCs/>
                          <w:color w:val="FFFFFF" w:themeColor="background1"/>
                          <w:spacing w:val="-4"/>
                          <w:sz w:val="22"/>
                          <w:szCs w:val="22"/>
                          <w:rtl/>
                        </w:rPr>
                        <w:t xml:space="preserve"> הכספיות שדווחו במשרדי ממשלה ויחידות נוספות בשנת 2021</w:t>
                      </w:r>
                    </w:p>
                  </w:txbxContent>
                </v:textbox>
              </v:shape>
            </w:pict>
          </mc:Fallback>
        </mc:AlternateContent>
      </w:r>
      <w:r w:rsidR="005D0F8C">
        <w:rPr>
          <w:rtl/>
        </w:rPr>
        <w:t xml:space="preserve"> </w:t>
      </w:r>
    </w:p>
    <w:p w14:paraId="5B8DB107" w14:textId="5659F7F1" w:rsidR="005D0F8C" w:rsidRDefault="005D0F8C" w:rsidP="005D0F8C">
      <w:pPr>
        <w:pStyle w:val="73f7"/>
        <w:rPr>
          <w:rtl/>
        </w:rPr>
      </w:pPr>
    </w:p>
    <w:p w14:paraId="65CD3CF9" w14:textId="3A7872F8" w:rsidR="005D0F8C" w:rsidRDefault="006C2211" w:rsidP="005D0F8C">
      <w:pPr>
        <w:pStyle w:val="73f7"/>
        <w:rPr>
          <w:rtl/>
        </w:rPr>
      </w:pPr>
      <w:r>
        <w:rPr>
          <w:noProof/>
          <w:rtl/>
          <w:lang w:val="he-IL"/>
        </w:rPr>
        <w:drawing>
          <wp:anchor distT="0" distB="0" distL="114300" distR="114300" simplePos="0" relativeHeight="252477952" behindDoc="0" locked="0" layoutInCell="1" allowOverlap="1" wp14:anchorId="755D68CE" wp14:editId="1E1EA1F1">
            <wp:simplePos x="0" y="0"/>
            <wp:positionH relativeFrom="column">
              <wp:posOffset>-51435</wp:posOffset>
            </wp:positionH>
            <wp:positionV relativeFrom="paragraph">
              <wp:posOffset>200025</wp:posOffset>
            </wp:positionV>
            <wp:extent cx="4679950" cy="3964940"/>
            <wp:effectExtent l="0" t="0" r="6350" b="0"/>
            <wp:wrapTopAndBottom/>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תמונה 1451066631"/>
                    <pic:cNvPicPr/>
                  </pic:nvPicPr>
                  <pic:blipFill>
                    <a:blip r:embed="rId28">
                      <a:extLst>
                        <a:ext uri="{28A0092B-C50C-407E-A947-70E740481C1C}">
                          <a14:useLocalDpi xmlns:a14="http://schemas.microsoft.com/office/drawing/2010/main" val="0"/>
                        </a:ext>
                      </a:extLst>
                    </a:blip>
                    <a:stretch>
                      <a:fillRect/>
                    </a:stretch>
                  </pic:blipFill>
                  <pic:spPr>
                    <a:xfrm>
                      <a:off x="0" y="0"/>
                      <a:ext cx="4679950" cy="3964940"/>
                    </a:xfrm>
                    <a:prstGeom prst="rect">
                      <a:avLst/>
                    </a:prstGeom>
                  </pic:spPr>
                </pic:pic>
              </a:graphicData>
            </a:graphic>
            <wp14:sizeRelH relativeFrom="page">
              <wp14:pctWidth>0</wp14:pctWidth>
            </wp14:sizeRelH>
            <wp14:sizeRelV relativeFrom="page">
              <wp14:pctHeight>0</wp14:pctHeight>
            </wp14:sizeRelV>
          </wp:anchor>
        </w:drawing>
      </w:r>
    </w:p>
    <w:p w14:paraId="0DA8F7B9" w14:textId="1C4F2E54" w:rsidR="006C2211" w:rsidRDefault="003D77BA" w:rsidP="005D0F8C">
      <w:pPr>
        <w:pStyle w:val="73e"/>
        <w:spacing w:before="360" w:after="0"/>
        <w:rPr>
          <w:b/>
          <w:bCs/>
          <w:noProof/>
          <w:color w:val="FFFFFF" w:themeColor="background1"/>
          <w:sz w:val="22"/>
          <w:szCs w:val="22"/>
        </w:rPr>
      </w:pPr>
      <w:r w:rsidRPr="00B544FD">
        <w:rPr>
          <w:rtl/>
        </w:rPr>
        <w:t>על פי נתוני החשב הכללי, בעיבוד משרד מבקר המדינה</w:t>
      </w:r>
      <w:r w:rsidR="005D0F8C" w:rsidRPr="00BE0973">
        <w:rPr>
          <w:rFonts w:hint="cs"/>
          <w:rtl/>
        </w:rPr>
        <w:t>.</w:t>
      </w:r>
    </w:p>
    <w:p w14:paraId="24B10430" w14:textId="77777777" w:rsidR="006C2211" w:rsidRDefault="006C2211">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14:paraId="7C33D7DD" w14:textId="77777777" w:rsidR="004E71DD" w:rsidRDefault="004E71DD" w:rsidP="004E71DD">
      <w:pPr>
        <w:pStyle w:val="732"/>
        <w:rPr>
          <w:rtl/>
        </w:rPr>
      </w:pPr>
      <w:r w:rsidRPr="00EF3061">
        <w:rPr>
          <w:rFonts w:hint="cs"/>
          <w:rtl/>
        </w:rPr>
        <w:lastRenderedPageBreak/>
        <w:t>סיכום</w:t>
      </w:r>
    </w:p>
    <w:p w14:paraId="56A94C41" w14:textId="77777777" w:rsidR="003D77BA" w:rsidRPr="00DC7B52" w:rsidRDefault="003D77BA" w:rsidP="003D77BA">
      <w:pPr>
        <w:widowControl w:val="0"/>
        <w:tabs>
          <w:tab w:val="left" w:pos="9604"/>
        </w:tabs>
        <w:spacing w:before="240" w:line="276" w:lineRule="auto"/>
        <w:ind w:left="-1"/>
        <w:rPr>
          <w:rFonts w:ascii="Tahoma" w:hAnsi="Tahoma" w:cs="Tahoma"/>
          <w:sz w:val="18"/>
          <w:szCs w:val="18"/>
          <w:rtl/>
        </w:rPr>
      </w:pPr>
      <w:r w:rsidRPr="00DC7B52">
        <w:rPr>
          <w:rFonts w:ascii="Tahoma" w:hAnsi="Tahoma" w:cs="Tahoma"/>
          <w:sz w:val="18"/>
          <w:szCs w:val="18"/>
          <w:rtl/>
        </w:rPr>
        <w:t xml:space="preserve">למידע ולתהליכים הכספיים המנוהלים במערכות מידע תפעוליות ובמערכות מידע כספיות ייעודיות של גופי המדינה יש חשיבות עליונה בהיותם חלק מהתשתית שעליה מבוסס רישום נכסיה הכספיים של המדינה, הנכללים בדוחותיה הכספיים, וכלל תהליכי העבודה של רשויותיה. בביקורת הועלו ליקויים במיפוי ובניהול הסיכונים במערכות המידע הכספיות, בהיעדר ביקורות במרבית המערכות ובחוסר תיעוד של התהליכים הכספיים במערכות. על החשב הכללי וכלל גופי הממשלה שצוינו בדוח לפעול במסגרת תוכנית רב שנתית לתיקון הליקויים שהועלו. </w:t>
      </w:r>
    </w:p>
    <w:p w14:paraId="37DF3840" w14:textId="77777777" w:rsidR="003D77BA" w:rsidRDefault="003D77BA" w:rsidP="003D77BA">
      <w:pPr>
        <w:widowControl w:val="0"/>
        <w:tabs>
          <w:tab w:val="left" w:pos="9604"/>
        </w:tabs>
        <w:spacing w:before="240" w:line="276" w:lineRule="auto"/>
        <w:ind w:left="-1"/>
        <w:rPr>
          <w:rFonts w:ascii="Tahoma" w:hAnsi="Tahoma" w:cs="Tahoma"/>
          <w:sz w:val="18"/>
          <w:szCs w:val="18"/>
          <w:rtl/>
        </w:rPr>
      </w:pPr>
      <w:r w:rsidRPr="00DC7B52">
        <w:rPr>
          <w:rFonts w:ascii="Tahoma" w:hAnsi="Tahoma" w:cs="Tahoma"/>
          <w:sz w:val="18"/>
          <w:szCs w:val="18"/>
          <w:rtl/>
        </w:rPr>
        <w:t>בדוחות הכספיים של הממשלה לשנת 2021 בא לידי ביטוי המפנה בהתמודדות עם נגיף הקורונה, תוך התאוששות של המשק וצמיחה כלכלית, ירידה בגירעון התקציבי ביחס לתוצר, עלייה בהכנסות ממיסים וירידה בהיקף הוצאות התוכנית הכלכלית להתמודדות עם המשבר. קיימת חשיבות רבה לכך שהממשלה תתמיד במגמה זו לצורך השיפור של כלכלת ישראל בראייה ארוכת טווח.</w:t>
      </w:r>
    </w:p>
    <w:sectPr w:rsidR="003D77BA" w:rsidSect="004755F5">
      <w:headerReference w:type="default" r:id="rId29"/>
      <w:pgSz w:w="11906" w:h="16838" w:code="9"/>
      <w:pgMar w:top="3062" w:right="2268" w:bottom="2552" w:left="2268" w:header="1134" w:footer="1361" w:gutter="0"/>
      <w:pgNumType w:start="12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87D2" w14:textId="77777777" w:rsidR="00C70DF1" w:rsidRDefault="00C70DF1">
      <w:pPr>
        <w:spacing w:line="240" w:lineRule="auto"/>
      </w:pPr>
      <w:r>
        <w:separator/>
      </w:r>
    </w:p>
    <w:p w14:paraId="27BD6752" w14:textId="77777777" w:rsidR="00C70DF1" w:rsidRDefault="00C70DF1"/>
    <w:p w14:paraId="28317B13" w14:textId="77777777" w:rsidR="00C70DF1" w:rsidRDefault="00C70DF1"/>
    <w:p w14:paraId="0D4B49EB" w14:textId="77777777" w:rsidR="00C70DF1" w:rsidRDefault="00C70DF1"/>
  </w:endnote>
  <w:endnote w:type="continuationSeparator" w:id="0">
    <w:p w14:paraId="147807D3" w14:textId="77777777" w:rsidR="00C70DF1" w:rsidRDefault="00C70DF1">
      <w:pPr>
        <w:spacing w:line="240" w:lineRule="auto"/>
      </w:pPr>
      <w:r>
        <w:continuationSeparator/>
      </w:r>
    </w:p>
    <w:p w14:paraId="5BD0F3D4" w14:textId="77777777" w:rsidR="00C70DF1" w:rsidRDefault="00C70DF1"/>
    <w:p w14:paraId="7A270579" w14:textId="77777777" w:rsidR="00C70DF1" w:rsidRDefault="00C70DF1"/>
    <w:p w14:paraId="4609DDA8" w14:textId="77777777" w:rsidR="00C70DF1" w:rsidRDefault="00C7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EFD3" w14:textId="77777777" w:rsidR="004755F5" w:rsidRDefault="004755F5" w:rsidP="004755F5">
    <w:pPr>
      <w:pStyle w:val="a5"/>
      <w:spacing w:after="120" w:line="312" w:lineRule="auto"/>
      <w:ind w:left="-510"/>
      <w:jc w:val="left"/>
      <w:rPr>
        <w:rFonts w:ascii="Tahoma" w:hAnsi="Tahoma" w:cs="Tahoma"/>
        <w:sz w:val="18"/>
        <w:szCs w:val="18"/>
        <w:rtl/>
      </w:rPr>
    </w:pPr>
  </w:p>
  <w:p w14:paraId="07562B33" w14:textId="77777777" w:rsidR="004755F5" w:rsidRDefault="004755F5" w:rsidP="004755F5">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594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33983148" w14:textId="77777777" w:rsidR="004755F5" w:rsidRPr="004755F5" w:rsidRDefault="004755F5" w:rsidP="004755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AF44" w14:textId="77777777" w:rsidR="004F60C4" w:rsidRDefault="004F6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2D16" w14:textId="77777777" w:rsidR="00C70DF1" w:rsidRDefault="00C70DF1" w:rsidP="00E7235E">
      <w:pPr>
        <w:spacing w:line="240" w:lineRule="auto"/>
      </w:pPr>
      <w:r>
        <w:separator/>
      </w:r>
    </w:p>
  </w:footnote>
  <w:footnote w:type="continuationSeparator" w:id="0">
    <w:p w14:paraId="4C832387" w14:textId="77777777" w:rsidR="00C70DF1" w:rsidRDefault="00C70DF1" w:rsidP="00C23CC9">
      <w:pPr>
        <w:spacing w:line="240" w:lineRule="auto"/>
      </w:pPr>
      <w:r>
        <w:continuationSeparator/>
      </w:r>
    </w:p>
    <w:p w14:paraId="5DF6D0AD" w14:textId="77777777" w:rsidR="00C70DF1" w:rsidRDefault="00C70DF1"/>
    <w:p w14:paraId="60B0667F" w14:textId="77777777" w:rsidR="00C70DF1" w:rsidRDefault="00C70DF1"/>
    <w:p w14:paraId="6A58F452" w14:textId="77777777" w:rsidR="00C70DF1" w:rsidRDefault="00C70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7FD8EA42" w:rsidR="00F73EE0" w:rsidRDefault="00E14050"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0FE19578">
              <wp:simplePos x="0" y="0"/>
              <wp:positionH relativeFrom="column">
                <wp:posOffset>-719455</wp:posOffset>
              </wp:positionH>
              <wp:positionV relativeFrom="paragraph">
                <wp:posOffset>-728345</wp:posOffset>
              </wp:positionV>
              <wp:extent cx="304800" cy="8317230"/>
              <wp:effectExtent l="0" t="0" r="12700" b="13970"/>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17230"/>
                      </a:xfrm>
                      <a:prstGeom prst="rect">
                        <a:avLst/>
                      </a:prstGeom>
                      <a:solidFill>
                        <a:srgbClr val="00305F"/>
                      </a:solidFill>
                      <a:ln>
                        <a:solidFill>
                          <a:srgbClr val="00305F"/>
                        </a:solidFill>
                      </a:ln>
                    </wps:spPr>
                    <wps:txbx>
                      <w:txbxContent>
                        <w:p w14:paraId="77809697" w14:textId="6A8BF2F3" w:rsidR="00F73EE0" w:rsidRPr="003F7A0C" w:rsidRDefault="00F73EE0" w:rsidP="00E14050">
                          <w:pPr>
                            <w:pStyle w:val="Bodytext70"/>
                            <w:shd w:val="clear" w:color="auto" w:fill="003060"/>
                            <w:rPr>
                              <w:rFonts w:ascii="Tahoma" w:hAnsi="Tahoma" w:cs="Tahoma"/>
                              <w:b/>
                              <w:bCs/>
                              <w:spacing w:val="-6"/>
                              <w:w w:val="90"/>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14050" w:rsidRPr="003F7A0C">
                            <w:rPr>
                              <w:rFonts w:ascii="Tahoma" w:hAnsi="Tahoma" w:cs="Tahoma"/>
                              <w:b/>
                              <w:bCs/>
                              <w:spacing w:val="-6"/>
                              <w:w w:val="90"/>
                              <w:rtl/>
                            </w:rPr>
                            <w:t>הדוחות הכספיים של מדינת ישראל ליום 31.12.21 ומערכות המידע העומדות בבסיס הדוחות הכספיים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29" type="#_x0000_t202" style="position:absolute;left:0;text-align:left;margin-left:-56.65pt;margin-top:-57.35pt;width:24pt;height:6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V+o7QEAAO0DAAAOAAAAZHJzL2Uyb0RvYy54bWysU8Fu2zAMvQ/YPwi6L3aSbQ2MOEWXIsOA&#13;&#10;bh3Q7QNkWbaFyaJGKbHz96NkJx26W7ELQYniI/n4tL0de8NOCr0GW/LlIudMWQm1tm3Jf/44vNtw&#13;&#10;5oOwtTBgVcnPyvPb3ds328EVagUdmFohIxDri8GVvAvBFVnmZad64RfglKVgA9iLQEdssxrFQOi9&#13;&#10;yVZ5/jEbAGuHIJX3dHs/Bfku4TeNkuGxabwKzJScegvJYrJVtNluK4oWheu0nNsQr+iiF9pS0SvU&#13;&#10;vQiCHVH/A9VrieChCQsJfQZNo6VKM9A0y/zFNE+dcCrNQuR4d6XJ/z9Y+e305L4jC+MnGGmBaQjv&#13;&#10;HkD+8szCvhO2VXeIMHRK1FR4GSnLBueLOTVS7QsfQarhK9S0ZHEMkIDGBvvICs3JCJ0WcL6SrsbA&#13;&#10;JF2u8/ebnCKSQpv18ma1TlvJRHHJdujDZwU9i07JkZaa0MXpwYfYjSguT2IxD0bXB21MOmBb7Q2y&#13;&#10;k4gCyNf5h0Ma4MUzY1+XSaVjauIjUjCREcZqZLqeyYr0VFCfiSCESYD0YciJdnVDow+kv5L730eB&#13;&#10;ijPzxRLPUawXBy9OdXGElR2QjANnk7sPk6iPDnXbEfi0SQt3tItGJ5qeG5k7Jk0l9mb9R9H+fU6v&#13;&#10;nn/p7g8AAAD//wMAUEsDBBQABgAIAAAAIQCVJHr34wAAABMBAAAPAAAAZHJzL2Rvd25yZXYueG1s&#13;&#10;TE/NTsJAEL6b+A6bMfFiyrZiQUq3hGj0RgzIA2y7Q9vQnW26C5S3d/SCl8n8fPP95KvRduKMg28d&#13;&#10;KUgmMQikypmWagX774/oFYQPmozuHKGCK3pYFfd3uc6Mu9AWz7tQCyYhn2kFTQh9JqWvGrTaT1yP&#13;&#10;xLeDG6wOPA61NIO+MLnt5HMcz6TVLbFCo3t8a7A67k5WwXpz3OLnVbf7+QbJxF9jmT41Sj0+jO9L&#13;&#10;LusliIBjuH3Abwb2DwUbK92JjBedgihJplPG/nUvcxCMiWYpr0oGJ4s0AVnk8n+W4gcAAP//AwBQ&#13;&#10;SwECLQAUAAYACAAAACEAtoM4kv4AAADhAQAAEwAAAAAAAAAAAAAAAAAAAAAAW0NvbnRlbnRfVHlw&#13;&#10;ZXNdLnhtbFBLAQItABQABgAIAAAAIQA4/SH/1gAAAJQBAAALAAAAAAAAAAAAAAAAAC8BAABfcmVs&#13;&#10;cy8ucmVsc1BLAQItABQABgAIAAAAIQB84V+o7QEAAO0DAAAOAAAAAAAAAAAAAAAAAC4CAABkcnMv&#13;&#10;ZTJvRG9jLnhtbFBLAQItABQABgAIAAAAIQCVJHr34wAAABMBAAAPAAAAAAAAAAAAAAAAAEcEAABk&#13;&#10;cnMvZG93bnJldi54bWxQSwUGAAAAAAQABADzAAAAVwUAAAAA&#13;&#10;" fillcolor="#00305f" strokecolor="#00305f">
              <v:textbox style="layout-flow:vertical;mso-layout-flow-alt:bottom-to-top" inset="0,0,0,0">
                <w:txbxContent>
                  <w:p w14:paraId="77809697" w14:textId="6A8BF2F3" w:rsidR="00F73EE0" w:rsidRPr="003F7A0C" w:rsidRDefault="00F73EE0" w:rsidP="00E14050">
                    <w:pPr>
                      <w:pStyle w:val="Bodytext70"/>
                      <w:shd w:val="clear" w:color="auto" w:fill="003060"/>
                      <w:rPr>
                        <w:rFonts w:ascii="Tahoma" w:hAnsi="Tahoma" w:cs="Tahoma"/>
                        <w:b/>
                        <w:bCs/>
                        <w:spacing w:val="-6"/>
                        <w:w w:val="90"/>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14050" w:rsidRPr="003F7A0C">
                      <w:rPr>
                        <w:rFonts w:ascii="Tahoma" w:hAnsi="Tahoma" w:cs="Tahoma"/>
                        <w:b/>
                        <w:bCs/>
                        <w:spacing w:val="-6"/>
                        <w:w w:val="90"/>
                        <w:rtl/>
                      </w:rPr>
                      <w:t>הדוחות הכספיים של מדינת ישראל ליום 31.12.21 ומערכות המידע העומדות בבסיס הדוחות הכספיים</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1383E19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gBSAIAAJo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kdPRia4tFEdk0UI3YM7wdYUuH5jzz8ziRCE7uCX+CQ+p&#13;&#10;ACuCXqKkBPvrb/cBj41GKyUNTmhO3c89s4IS9U3jCNyl43EY6aiMJzcjVOy1ZXtt0ft6CUhSivto&#13;&#10;eBQD3quTKC3Ur7hMixAVTUxzjJ1TfxKXvtsbXEYuFosIwiE2zD/ojeHBdWhKoPKlfWXW9M32OCeP&#13;&#10;cJpllr3reYftur7Ye5BVHIjAc8dqTz8uQOxbv6xhw671iLp8Uua/AQ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0rmgB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1F162798"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A1AA4">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1F162798"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A1AA4">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EACD" w14:textId="77777777" w:rsidR="004755F5" w:rsidRDefault="004755F5" w:rsidP="004755F5">
    <w:pPr>
      <w:pStyle w:val="a4"/>
      <w:rPr>
        <w:rtl/>
      </w:rPr>
    </w:pPr>
    <w:r>
      <w:rPr>
        <w:noProof/>
        <w:rtl/>
        <w:lang w:val="he-IL"/>
      </w:rPr>
      <mc:AlternateContent>
        <mc:Choice Requires="wps">
          <w:drawing>
            <wp:anchor distT="0" distB="0" distL="114300" distR="114300" simplePos="0" relativeHeight="251751424" behindDoc="1" locked="0" layoutInCell="1" allowOverlap="1" wp14:anchorId="77D7DCA4" wp14:editId="2F38676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057125F" w14:textId="77777777" w:rsidR="004755F5" w:rsidRPr="00FD02CC" w:rsidRDefault="004755F5" w:rsidP="004755F5">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7DCA4"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6057125F" w14:textId="77777777" w:rsidR="004755F5" w:rsidRPr="00FD02CC" w:rsidRDefault="004755F5" w:rsidP="004755F5">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4026A578" w14:textId="77777777" w:rsidR="004755F5" w:rsidRDefault="004755F5" w:rsidP="004755F5">
    <w:pPr>
      <w:pStyle w:val="a4"/>
      <w:ind w:firstLine="720"/>
      <w:rPr>
        <w:rtl/>
      </w:rPr>
    </w:pPr>
  </w:p>
  <w:p w14:paraId="25A6D51F" w14:textId="77777777" w:rsidR="004755F5" w:rsidRDefault="004755F5" w:rsidP="004755F5">
    <w:pPr>
      <w:pStyle w:val="a4"/>
      <w:rPr>
        <w:rtl/>
      </w:rPr>
    </w:pPr>
  </w:p>
  <w:p w14:paraId="0C4AC8A7" w14:textId="77777777" w:rsidR="004755F5" w:rsidRDefault="004755F5" w:rsidP="004755F5">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21E4B783" wp14:editId="5E60DA2E">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768B4F6" w14:textId="77777777" w:rsidR="004755F5" w:rsidRPr="00E14050" w:rsidRDefault="004755F5" w:rsidP="004755F5">
                          <w:pPr>
                            <w:pStyle w:val="1"/>
                            <w:spacing w:line="269" w:lineRule="auto"/>
                            <w:jc w:val="left"/>
                            <w:rPr>
                              <w:rFonts w:ascii="Tahoma" w:eastAsiaTheme="minorHAnsi" w:hAnsi="Tahoma" w:cs="Tahoma"/>
                              <w:bCs w:val="0"/>
                              <w:color w:val="0D0D0D" w:themeColor="text1" w:themeTint="F2"/>
                              <w:spacing w:val="-4"/>
                              <w:sz w:val="16"/>
                              <w:szCs w:val="16"/>
                              <w:u w:val="none"/>
                            </w:rPr>
                          </w:pPr>
                          <w:r w:rsidRPr="00E14050">
                            <w:rPr>
                              <w:rFonts w:ascii="Tahoma" w:eastAsiaTheme="minorHAnsi" w:hAnsi="Tahoma" w:cs="Tahoma"/>
                              <w:bCs w:val="0"/>
                              <w:color w:val="0D0D0D" w:themeColor="text1" w:themeTint="F2"/>
                              <w:spacing w:val="-4"/>
                              <w:sz w:val="16"/>
                              <w:szCs w:val="16"/>
                              <w:u w:val="none"/>
                              <w:rtl/>
                            </w:rPr>
                            <w:t>הדוחות הכספיים של מדינת ישראל ליום 31.12.21 ומערכות המידע העומדות בבסיס הדוחות הכספיים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1E4B783" id="_x0000_s1033"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0768B4F6" w14:textId="77777777" w:rsidR="004755F5" w:rsidRPr="00E14050" w:rsidRDefault="004755F5" w:rsidP="004755F5">
                    <w:pPr>
                      <w:pStyle w:val="1"/>
                      <w:spacing w:line="269" w:lineRule="auto"/>
                      <w:jc w:val="left"/>
                      <w:rPr>
                        <w:rFonts w:ascii="Tahoma" w:eastAsiaTheme="minorHAnsi" w:hAnsi="Tahoma" w:cs="Tahoma"/>
                        <w:bCs w:val="0"/>
                        <w:color w:val="0D0D0D" w:themeColor="text1" w:themeTint="F2"/>
                        <w:spacing w:val="-4"/>
                        <w:sz w:val="16"/>
                        <w:szCs w:val="16"/>
                        <w:u w:val="none"/>
                      </w:rPr>
                    </w:pPr>
                    <w:r w:rsidRPr="00E14050">
                      <w:rPr>
                        <w:rFonts w:ascii="Tahoma" w:eastAsiaTheme="minorHAnsi" w:hAnsi="Tahoma" w:cs="Tahoma"/>
                        <w:bCs w:val="0"/>
                        <w:color w:val="0D0D0D" w:themeColor="text1" w:themeTint="F2"/>
                        <w:spacing w:val="-4"/>
                        <w:sz w:val="16"/>
                        <w:szCs w:val="16"/>
                        <w:u w:val="none"/>
                        <w:rtl/>
                      </w:rPr>
                      <w:t>הדוחות הכספיים של מדינת ישראל ליום 31.12.21 ומערכות המידע העומדות בבסיס הדוחות הכספיים</w:t>
                    </w:r>
                  </w:p>
                </w:txbxContent>
              </v:textbox>
              <w10:wrap type="square"/>
            </v:shape>
          </w:pict>
        </mc:Fallback>
      </mc:AlternateContent>
    </w:r>
  </w:p>
  <w:p w14:paraId="2C005F99" w14:textId="77777777" w:rsidR="004755F5" w:rsidRDefault="004755F5" w:rsidP="004755F5">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449EFC64" wp14:editId="22454E77">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57DFDF4E" wp14:editId="42869664">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10C6"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53F52C1C" w14:textId="6946E89F" w:rsidR="00F73EE0" w:rsidRPr="004755F5" w:rsidRDefault="00F73EE0" w:rsidP="004755F5">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0E1E30E6" w:rsidR="00E56721" w:rsidRDefault="004755F5"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47328" behindDoc="0" locked="0" layoutInCell="1" allowOverlap="1" wp14:anchorId="3325F392" wp14:editId="4849AAFA">
              <wp:simplePos x="0" y="0"/>
              <wp:positionH relativeFrom="column">
                <wp:posOffset>-717550</wp:posOffset>
              </wp:positionH>
              <wp:positionV relativeFrom="paragraph">
                <wp:posOffset>-728345</wp:posOffset>
              </wp:positionV>
              <wp:extent cx="304800" cy="8246745"/>
              <wp:effectExtent l="0" t="0" r="12700" b="825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246745"/>
                      </a:xfrm>
                      <a:prstGeom prst="rect">
                        <a:avLst/>
                      </a:prstGeom>
                      <a:solidFill>
                        <a:srgbClr val="00305F"/>
                      </a:solidFill>
                      <a:ln>
                        <a:solidFill>
                          <a:srgbClr val="00305F"/>
                        </a:solidFill>
                      </a:ln>
                    </wps:spPr>
                    <wps:txbx>
                      <w:txbxContent>
                        <w:p w14:paraId="201761B8" w14:textId="77777777" w:rsidR="004755F5" w:rsidRPr="003F7A0C" w:rsidRDefault="004755F5" w:rsidP="004755F5">
                          <w:pPr>
                            <w:pStyle w:val="Bodytext70"/>
                            <w:shd w:val="clear" w:color="auto" w:fill="003060"/>
                            <w:rPr>
                              <w:rFonts w:ascii="Tahoma" w:hAnsi="Tahoma" w:cs="Tahoma"/>
                              <w:b/>
                              <w:bCs/>
                              <w:spacing w:val="-6"/>
                              <w:w w:val="90"/>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3F7A0C">
                            <w:rPr>
                              <w:rFonts w:ascii="Tahoma" w:hAnsi="Tahoma" w:cs="Tahoma"/>
                              <w:b/>
                              <w:bCs/>
                              <w:spacing w:val="-6"/>
                              <w:w w:val="90"/>
                              <w:rtl/>
                            </w:rPr>
                            <w:t>הדוחות הכספיים של מדינת ישראל ליום 31.12.21 ומערכות המידע העומדות בבסיס הדוחות הכספיים</w:t>
                          </w:r>
                        </w:p>
                        <w:p w14:paraId="3B4CCAD6" w14:textId="5C05E4C9" w:rsidR="00E56721" w:rsidRPr="009B7D1B" w:rsidRDefault="00E56721" w:rsidP="00785AF0">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4" type="#_x0000_t202" style="position:absolute;left:0;text-align:left;margin-left:-56.5pt;margin-top:-57.35pt;width:24pt;height:64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yje7wEAAO0DAAAOAAAAZHJzL2Uyb0RvYy54bWysU9tu2zAMfR+wfxD0vthJ0zQw4hRdigwD&#13;&#10;ugvQ7QNkWbaFyaJGKbHz96PkJN3lrdgLQYniIXl4tLkfe8OOCr0GW/L5LOdMWQm1tm3Jv3/bv1tz&#13;&#10;5oOwtTBgVclPyvP77ds3m8EVagEdmFohIxDri8GVvAvBFVnmZad64WfglKVgA9iLQEdssxrFQOi9&#13;&#10;yRZ5vsoGwNohSOU93T5OQb5N+E2jZPjSNF4FZkpOvYVkMdkq2my7EUWLwnVantsQr+iiF9pS0SvU&#13;&#10;owiCHVD/A9VrieChCTMJfQZNo6VKM9A08/yvaZ474VSahcjx7kqT/3+w8vPx2X1FFsb3MNIC0xDe&#13;&#10;PYH84ZmFXSdsqx4QYeiUqKnwPFKWDc4X59RItS98BKmGT1DTksUhQAIaG+wjKzQnI3RawOlKuhoD&#13;&#10;k3R5ky/XOUUkhdaL5epueZtKiOKS7dCHDwp6Fp2SIy01oYvjkw+xG1FcnsRiHoyu99qYdMC22hlk&#13;&#10;RxEFkN/kt/sz+h/PjH1dJpWOqYmPSMFERhirkem65KtYK9JTQX0ighAmAdKHISfaxR2NPpD+Su5/&#13;&#10;HgQqzsxHSzxHsV4cvDjVxRFWdkAyDpxN7i5Moj441G1H4NMmLTzQLhqdaHpp5NwxaSqxd9Z/FO3v&#13;&#10;5/Tq5ZdufwEAAP//AwBQSwMEFAAGAAgAAAAhAB1C/znjAAAAEwEAAA8AAABkcnMvZG93bnJldi54&#13;&#10;bWxMT8lOwzAQvSPxD9YgcUGpE+imNE5VgeBWoZZ+gBMPcdR4HMVum/49A5dyGc3y5i3FenSdOOMQ&#13;&#10;Wk8KskkKAqn2pqVGweHrPVmCCFGT0Z0nVHDFAOvy/q7QufEX2uF5HxvBJBRyrcDG2OdShtqi02Hi&#13;&#10;eyS+ffvB6cjj0Egz6AuTu04+p+lcOt0SK1jd46vF+rg/OQWb7XGHH1fdHhZbJJN+jtXsySr1+DC+&#13;&#10;rbhsViAijvH2Ab8Z2D+UbKzyJzJBdAqSLHvhRPGvmy5AMCaZz3hVMThbTlOQZSH/Zyl/AAAA//8D&#13;&#10;AFBLAQItABQABgAIAAAAIQC2gziS/gAAAOEBAAATAAAAAAAAAAAAAAAAAAAAAABbQ29udGVudF9U&#13;&#10;eXBlc10ueG1sUEsBAi0AFAAGAAgAAAAhADj9If/WAAAAlAEAAAsAAAAAAAAAAAAAAAAALwEAAF9y&#13;&#10;ZWxzLy5yZWxzUEsBAi0AFAAGAAgAAAAhABZrKN7vAQAA7QMAAA4AAAAAAAAAAAAAAAAALgIAAGRy&#13;&#10;cy9lMm9Eb2MueG1sUEsBAi0AFAAGAAgAAAAhAB1C/znjAAAAEwEAAA8AAAAAAAAAAAAAAAAASQQA&#13;&#10;AGRycy9kb3ducmV2LnhtbFBLBQYAAAAABAAEAPMAAABZBQAAAAA=&#13;&#10;" fillcolor="#00305f" strokecolor="#00305f">
              <v:textbox style="layout-flow:vertical;mso-layout-flow-alt:bottom-to-top" inset="0,0,0,0">
                <w:txbxContent>
                  <w:p w14:paraId="201761B8" w14:textId="77777777" w:rsidR="004755F5" w:rsidRPr="003F7A0C" w:rsidRDefault="004755F5" w:rsidP="004755F5">
                    <w:pPr>
                      <w:pStyle w:val="Bodytext70"/>
                      <w:shd w:val="clear" w:color="auto" w:fill="003060"/>
                      <w:rPr>
                        <w:rFonts w:ascii="Tahoma" w:hAnsi="Tahoma" w:cs="Tahoma"/>
                        <w:b/>
                        <w:bCs/>
                        <w:spacing w:val="-6"/>
                        <w:w w:val="90"/>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3F7A0C">
                      <w:rPr>
                        <w:rFonts w:ascii="Tahoma" w:hAnsi="Tahoma" w:cs="Tahoma"/>
                        <w:b/>
                        <w:bCs/>
                        <w:spacing w:val="-6"/>
                        <w:w w:val="90"/>
                        <w:rtl/>
                      </w:rPr>
                      <w:t>הדוחות הכספיים של מדינת ישראל ליום 31.12.21 ומערכות המידע העומדות בבסיס הדוחות הכספיים</w:t>
                    </w:r>
                  </w:p>
                  <w:p w14:paraId="3B4CCAD6" w14:textId="5C05E4C9" w:rsidR="00E56721" w:rsidRPr="009B7D1B" w:rsidRDefault="00E56721" w:rsidP="00785AF0">
                    <w:pPr>
                      <w:pStyle w:val="Bodytext70"/>
                      <w:shd w:val="clear" w:color="auto" w:fill="003060"/>
                      <w:rPr>
                        <w:rFonts w:ascii="Tahoma" w:hAnsi="Tahoma" w:cs="Tahoma"/>
                        <w:b/>
                        <w:bCs/>
                        <w:rtl/>
                      </w:rPr>
                    </w:pPr>
                  </w:p>
                </w:txbxContent>
              </v:textbox>
              <w10:wrap type="square"/>
            </v:shape>
          </w:pict>
        </mc:Fallback>
      </mc:AlternateContent>
    </w:r>
    <w:r w:rsidR="00E56721">
      <w:rPr>
        <w:noProof/>
        <w:rtl/>
        <w:lang w:val="he-IL"/>
      </w:rPr>
      <mc:AlternateContent>
        <mc:Choice Requires="wps">
          <w:drawing>
            <wp:anchor distT="0" distB="0" distL="114300" distR="114300" simplePos="0" relativeHeight="251749376" behindDoc="1" locked="0" layoutInCell="1" allowOverlap="1" wp14:anchorId="60B956DB" wp14:editId="10E136CF">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56DB" id="_x0000_s1035"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fs3SAIAAJoEAAAOAAAAZHJzL2Uyb0RvYy54bWysVEuP2jAQvlfqf7B8LyGUxy4irCiIqhLd&#13;&#10;XYmt9mwcm0RyPK5tSOiv79gJj932VJWDmfF8nsc3M5k9NJUiR2FdCTqjaa9PidAc8lLvM/rjZf3p&#13;&#10;jhLnmc6ZAi0yehKOPsw/fpjVZioGUIDKhSXoRLtpbTJaeG+mSeJ4ISrmemCERqMEWzGPqt0nuWU1&#13;&#10;eq9UMuj3x0kNNjcWuHAOb1etkc6jfykF909SOuGJyijm5uNp47kLZzKfseneMlOUvEuD/UMWFSs1&#13;&#10;Br24WjHPyMGWf7iqSm7BgfQ9DlUCUpZcxBqwmrT/rpptwYyItSA5zlxocv/PLX88bs2zJb75Ag02&#13;&#10;MBBSGzd1eBnqaaStwj9mStCOFJ4utInGE46X4+FdH3+UcLTdBxEV9JNcnxvr/FcBFQlCRi32JdLF&#13;&#10;jhvnW+gZEqJpWJdKxd4oTeqMfk4no/jAgSrzYAywOCViqSw5Muzvbp9GjDpU3yFv78ajazIXeEzt&#13;&#10;jacQfMVc0T5S+yB3JSiN8CslQfLNriFlntHJma4d5Cdk0UI7YM7wdYkuN8z5Z2ZxopAd3BL/hIdU&#13;&#10;gBVBJ1FSgP31t/uAx0ajlZIaJzSj7ueBWUGJ+qZxBO7T4TCMdFSGo8kAFXtr2d1a9KFaApKU4j4a&#13;&#10;HsWA9+osSgvVKy7TIkRFE9McY2fUn8Wlb/cGl5GLxSKCcIgN8xu9NTy4Dk0JVL40r8yartke5+QR&#13;&#10;zrPMpu963mLbri8OHmQZByLw3LLa0Y8LEPvWLWvYsFs9oq6flPlv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12fs3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1AC0480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A1AA4">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1AC0480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A1AA4">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6BF"/>
    <w:multiLevelType w:val="hybridMultilevel"/>
    <w:tmpl w:val="0130EB18"/>
    <w:lvl w:ilvl="0" w:tplc="9C0AAB94">
      <w:start w:val="1"/>
      <w:numFmt w:val="decimal"/>
      <w:lvlText w:val="%1."/>
      <w:lvlJc w:val="center"/>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10BB0231"/>
    <w:multiLevelType w:val="hybridMultilevel"/>
    <w:tmpl w:val="D1E6FB00"/>
    <w:lvl w:ilvl="0" w:tplc="B64C2316">
      <w:start w:val="1"/>
      <w:numFmt w:val="decimal"/>
      <w:lvlText w:val="%1."/>
      <w:lvlJc w:val="center"/>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6E9E"/>
    <w:multiLevelType w:val="hybridMultilevel"/>
    <w:tmpl w:val="88B64134"/>
    <w:lvl w:ilvl="0" w:tplc="E90AB2C8">
      <w:start w:val="1"/>
      <w:numFmt w:val="decimal"/>
      <w:lvlText w:val="%1."/>
      <w:lvlJc w:val="center"/>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B96"/>
    <w:multiLevelType w:val="hybridMultilevel"/>
    <w:tmpl w:val="6264F70C"/>
    <w:lvl w:ilvl="0" w:tplc="9E5A58D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77582"/>
    <w:multiLevelType w:val="hybridMultilevel"/>
    <w:tmpl w:val="3766992A"/>
    <w:lvl w:ilvl="0" w:tplc="E5FE038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2517E17"/>
    <w:multiLevelType w:val="hybridMultilevel"/>
    <w:tmpl w:val="36420AD8"/>
    <w:lvl w:ilvl="0" w:tplc="9E5A58D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F876F2F"/>
    <w:multiLevelType w:val="hybridMultilevel"/>
    <w:tmpl w:val="3EEE85B0"/>
    <w:lvl w:ilvl="0" w:tplc="C62E484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74B2E"/>
    <w:multiLevelType w:val="hybridMultilevel"/>
    <w:tmpl w:val="263054DC"/>
    <w:lvl w:ilvl="0" w:tplc="122C7402">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CF50605"/>
    <w:multiLevelType w:val="hybridMultilevel"/>
    <w:tmpl w:val="67B2ADB4"/>
    <w:lvl w:ilvl="0" w:tplc="1E980A44">
      <w:start w:val="1"/>
      <w:numFmt w:val="decimal"/>
      <w:lvlText w:val="%1."/>
      <w:lvlJc w:val="center"/>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0E2A5E"/>
    <w:multiLevelType w:val="hybridMultilevel"/>
    <w:tmpl w:val="CA4C6D3A"/>
    <w:lvl w:ilvl="0" w:tplc="9E5A58D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87B4B"/>
    <w:multiLevelType w:val="hybridMultilevel"/>
    <w:tmpl w:val="C5BEC5F0"/>
    <w:lvl w:ilvl="0" w:tplc="7DE8ADBC">
      <w:start w:val="2"/>
      <w:numFmt w:val="decimal"/>
      <w:lvlText w:val="%1."/>
      <w:lvlJc w:val="left"/>
      <w:pPr>
        <w:ind w:left="397" w:hanging="397"/>
      </w:pPr>
      <w:rPr>
        <w:rFonts w:hint="default"/>
        <w:b w:val="0"/>
        <w:bCs w:val="0"/>
        <w:sz w:val="24"/>
      </w:rPr>
    </w:lvl>
    <w:lvl w:ilvl="1" w:tplc="5E88240A" w:tentative="1">
      <w:start w:val="1"/>
      <w:numFmt w:val="lowerLetter"/>
      <w:lvlText w:val="%2."/>
      <w:lvlJc w:val="left"/>
      <w:pPr>
        <w:ind w:left="2520" w:hanging="360"/>
      </w:pPr>
    </w:lvl>
    <w:lvl w:ilvl="2" w:tplc="02D02496" w:tentative="1">
      <w:start w:val="1"/>
      <w:numFmt w:val="lowerRoman"/>
      <w:lvlText w:val="%3."/>
      <w:lvlJc w:val="right"/>
      <w:pPr>
        <w:ind w:left="3240" w:hanging="180"/>
      </w:pPr>
    </w:lvl>
    <w:lvl w:ilvl="3" w:tplc="F7A07B4E" w:tentative="1">
      <w:start w:val="1"/>
      <w:numFmt w:val="decimal"/>
      <w:lvlText w:val="%4."/>
      <w:lvlJc w:val="left"/>
      <w:pPr>
        <w:ind w:left="3960" w:hanging="360"/>
      </w:pPr>
    </w:lvl>
    <w:lvl w:ilvl="4" w:tplc="FC40AA76" w:tentative="1">
      <w:start w:val="1"/>
      <w:numFmt w:val="lowerLetter"/>
      <w:lvlText w:val="%5."/>
      <w:lvlJc w:val="left"/>
      <w:pPr>
        <w:ind w:left="4680" w:hanging="360"/>
      </w:pPr>
    </w:lvl>
    <w:lvl w:ilvl="5" w:tplc="EF10E852" w:tentative="1">
      <w:start w:val="1"/>
      <w:numFmt w:val="lowerRoman"/>
      <w:lvlText w:val="%6."/>
      <w:lvlJc w:val="right"/>
      <w:pPr>
        <w:ind w:left="5400" w:hanging="180"/>
      </w:pPr>
    </w:lvl>
    <w:lvl w:ilvl="6" w:tplc="330E1834" w:tentative="1">
      <w:start w:val="1"/>
      <w:numFmt w:val="decimal"/>
      <w:lvlText w:val="%7."/>
      <w:lvlJc w:val="left"/>
      <w:pPr>
        <w:ind w:left="6120" w:hanging="360"/>
      </w:pPr>
    </w:lvl>
    <w:lvl w:ilvl="7" w:tplc="C484B3F0" w:tentative="1">
      <w:start w:val="1"/>
      <w:numFmt w:val="lowerLetter"/>
      <w:lvlText w:val="%8."/>
      <w:lvlJc w:val="left"/>
      <w:pPr>
        <w:ind w:left="6840" w:hanging="360"/>
      </w:pPr>
    </w:lvl>
    <w:lvl w:ilvl="8" w:tplc="A5484964" w:tentative="1">
      <w:start w:val="1"/>
      <w:numFmt w:val="lowerRoman"/>
      <w:lvlText w:val="%9."/>
      <w:lvlJc w:val="right"/>
      <w:pPr>
        <w:ind w:left="7560" w:hanging="180"/>
      </w:pPr>
    </w:lvl>
  </w:abstractNum>
  <w:abstractNum w:abstractNumId="16" w15:restartNumberingAfterBreak="0">
    <w:nsid w:val="5B0B6CD3"/>
    <w:multiLevelType w:val="hybridMultilevel"/>
    <w:tmpl w:val="02444D48"/>
    <w:lvl w:ilvl="0" w:tplc="870A179C">
      <w:start w:val="1"/>
      <w:numFmt w:val="hebrew1"/>
      <w:lvlText w:val="%1."/>
      <w:lvlJc w:val="left"/>
      <w:pPr>
        <w:ind w:left="794" w:hanging="397"/>
      </w:pPr>
      <w:rPr>
        <w:rFonts w:hint="default"/>
      </w:rPr>
    </w:lvl>
    <w:lvl w:ilvl="1" w:tplc="10B2FB26" w:tentative="1">
      <w:start w:val="1"/>
      <w:numFmt w:val="lowerLetter"/>
      <w:lvlText w:val="%2."/>
      <w:lvlJc w:val="left"/>
      <w:pPr>
        <w:ind w:left="1440" w:hanging="360"/>
      </w:pPr>
    </w:lvl>
    <w:lvl w:ilvl="2" w:tplc="64BE6430" w:tentative="1">
      <w:start w:val="1"/>
      <w:numFmt w:val="lowerRoman"/>
      <w:lvlText w:val="%3."/>
      <w:lvlJc w:val="right"/>
      <w:pPr>
        <w:ind w:left="2160" w:hanging="180"/>
      </w:pPr>
    </w:lvl>
    <w:lvl w:ilvl="3" w:tplc="F23C738E" w:tentative="1">
      <w:start w:val="1"/>
      <w:numFmt w:val="decimal"/>
      <w:lvlText w:val="%4."/>
      <w:lvlJc w:val="left"/>
      <w:pPr>
        <w:ind w:left="2880" w:hanging="360"/>
      </w:pPr>
    </w:lvl>
    <w:lvl w:ilvl="4" w:tplc="9A6EFA1A" w:tentative="1">
      <w:start w:val="1"/>
      <w:numFmt w:val="lowerLetter"/>
      <w:lvlText w:val="%5."/>
      <w:lvlJc w:val="left"/>
      <w:pPr>
        <w:ind w:left="3600" w:hanging="360"/>
      </w:pPr>
    </w:lvl>
    <w:lvl w:ilvl="5" w:tplc="6A7ED688" w:tentative="1">
      <w:start w:val="1"/>
      <w:numFmt w:val="lowerRoman"/>
      <w:lvlText w:val="%6."/>
      <w:lvlJc w:val="right"/>
      <w:pPr>
        <w:ind w:left="4320" w:hanging="180"/>
      </w:pPr>
    </w:lvl>
    <w:lvl w:ilvl="6" w:tplc="9AF8BF54" w:tentative="1">
      <w:start w:val="1"/>
      <w:numFmt w:val="decimal"/>
      <w:lvlText w:val="%7."/>
      <w:lvlJc w:val="left"/>
      <w:pPr>
        <w:ind w:left="5040" w:hanging="360"/>
      </w:pPr>
    </w:lvl>
    <w:lvl w:ilvl="7" w:tplc="7930AB7E" w:tentative="1">
      <w:start w:val="1"/>
      <w:numFmt w:val="lowerLetter"/>
      <w:lvlText w:val="%8."/>
      <w:lvlJc w:val="left"/>
      <w:pPr>
        <w:ind w:left="5760" w:hanging="360"/>
      </w:pPr>
    </w:lvl>
    <w:lvl w:ilvl="8" w:tplc="97D4116E" w:tentative="1">
      <w:start w:val="1"/>
      <w:numFmt w:val="lowerRoman"/>
      <w:lvlText w:val="%9."/>
      <w:lvlJc w:val="right"/>
      <w:pPr>
        <w:ind w:left="6480"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47C2479"/>
    <w:multiLevelType w:val="hybridMultilevel"/>
    <w:tmpl w:val="2B40BA60"/>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u w:val="single"/>
        <w:vertAlign w:val="baseline"/>
      </w:rPr>
    </w:lvl>
    <w:lvl w:ilvl="1" w:tplc="921CD67A">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B89443A"/>
    <w:multiLevelType w:val="hybridMultilevel"/>
    <w:tmpl w:val="FB1ACDCA"/>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1032B15C">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AC340C"/>
    <w:multiLevelType w:val="hybridMultilevel"/>
    <w:tmpl w:val="6CDCA574"/>
    <w:lvl w:ilvl="0" w:tplc="DE1C5E0A">
      <w:start w:val="1"/>
      <w:numFmt w:val="hebrew1"/>
      <w:lvlText w:val="%1."/>
      <w:lvlJc w:val="center"/>
      <w:pPr>
        <w:ind w:left="794" w:hanging="397"/>
      </w:pPr>
      <w:rPr>
        <w:rFonts w:hint="default"/>
      </w:rPr>
    </w:lvl>
    <w:lvl w:ilvl="1" w:tplc="40324976" w:tentative="1">
      <w:start w:val="1"/>
      <w:numFmt w:val="lowerLetter"/>
      <w:lvlText w:val="%2."/>
      <w:lvlJc w:val="left"/>
      <w:pPr>
        <w:ind w:left="1440" w:hanging="360"/>
      </w:pPr>
    </w:lvl>
    <w:lvl w:ilvl="2" w:tplc="CACA4D2C" w:tentative="1">
      <w:start w:val="1"/>
      <w:numFmt w:val="lowerRoman"/>
      <w:lvlText w:val="%3."/>
      <w:lvlJc w:val="right"/>
      <w:pPr>
        <w:ind w:left="2160" w:hanging="180"/>
      </w:pPr>
    </w:lvl>
    <w:lvl w:ilvl="3" w:tplc="EAC8B588" w:tentative="1">
      <w:start w:val="1"/>
      <w:numFmt w:val="decimal"/>
      <w:lvlText w:val="%4."/>
      <w:lvlJc w:val="left"/>
      <w:pPr>
        <w:ind w:left="2880" w:hanging="360"/>
      </w:pPr>
    </w:lvl>
    <w:lvl w:ilvl="4" w:tplc="9FBA3650" w:tentative="1">
      <w:start w:val="1"/>
      <w:numFmt w:val="lowerLetter"/>
      <w:lvlText w:val="%5."/>
      <w:lvlJc w:val="left"/>
      <w:pPr>
        <w:ind w:left="3600" w:hanging="360"/>
      </w:pPr>
    </w:lvl>
    <w:lvl w:ilvl="5" w:tplc="EAB4C1FA" w:tentative="1">
      <w:start w:val="1"/>
      <w:numFmt w:val="lowerRoman"/>
      <w:lvlText w:val="%6."/>
      <w:lvlJc w:val="right"/>
      <w:pPr>
        <w:ind w:left="4320" w:hanging="180"/>
      </w:pPr>
    </w:lvl>
    <w:lvl w:ilvl="6" w:tplc="09E4F1FC" w:tentative="1">
      <w:start w:val="1"/>
      <w:numFmt w:val="decimal"/>
      <w:lvlText w:val="%7."/>
      <w:lvlJc w:val="left"/>
      <w:pPr>
        <w:ind w:left="5040" w:hanging="360"/>
      </w:pPr>
    </w:lvl>
    <w:lvl w:ilvl="7" w:tplc="CFB28B26" w:tentative="1">
      <w:start w:val="1"/>
      <w:numFmt w:val="lowerLetter"/>
      <w:lvlText w:val="%8."/>
      <w:lvlJc w:val="left"/>
      <w:pPr>
        <w:ind w:left="5760" w:hanging="360"/>
      </w:pPr>
    </w:lvl>
    <w:lvl w:ilvl="8" w:tplc="C060BA70" w:tentative="1">
      <w:start w:val="1"/>
      <w:numFmt w:val="lowerRoman"/>
      <w:lvlText w:val="%9."/>
      <w:lvlJc w:val="right"/>
      <w:pPr>
        <w:ind w:left="6480" w:hanging="180"/>
      </w:pPr>
    </w:lvl>
  </w:abstractNum>
  <w:abstractNum w:abstractNumId="23" w15:restartNumberingAfterBreak="0">
    <w:nsid w:val="6F2D61D1"/>
    <w:multiLevelType w:val="hybridMultilevel"/>
    <w:tmpl w:val="A0EE3EBC"/>
    <w:lvl w:ilvl="0" w:tplc="C62E4842">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A43D1A"/>
    <w:multiLevelType w:val="hybridMultilevel"/>
    <w:tmpl w:val="8806F614"/>
    <w:lvl w:ilvl="0" w:tplc="9E5A58D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7"/>
  </w:num>
  <w:num w:numId="2" w16cid:durableId="159808484">
    <w:abstractNumId w:val="7"/>
  </w:num>
  <w:num w:numId="3" w16cid:durableId="2074310673">
    <w:abstractNumId w:val="9"/>
  </w:num>
  <w:num w:numId="4" w16cid:durableId="1596554476">
    <w:abstractNumId w:val="25"/>
  </w:num>
  <w:num w:numId="5" w16cid:durableId="781269690">
    <w:abstractNumId w:val="1"/>
  </w:num>
  <w:num w:numId="6" w16cid:durableId="1087919862">
    <w:abstractNumId w:val="12"/>
  </w:num>
  <w:num w:numId="7" w16cid:durableId="1266497691">
    <w:abstractNumId w:val="19"/>
  </w:num>
  <w:num w:numId="8" w16cid:durableId="1873692319">
    <w:abstractNumId w:val="2"/>
  </w:num>
  <w:num w:numId="9" w16cid:durableId="1057507424">
    <w:abstractNumId w:val="18"/>
  </w:num>
  <w:num w:numId="10" w16cid:durableId="1437485745">
    <w:abstractNumId w:val="22"/>
  </w:num>
  <w:num w:numId="11" w16cid:durableId="591931336">
    <w:abstractNumId w:val="15"/>
  </w:num>
  <w:num w:numId="12" w16cid:durableId="414592972">
    <w:abstractNumId w:val="16"/>
  </w:num>
  <w:num w:numId="13" w16cid:durableId="1794714611">
    <w:abstractNumId w:val="14"/>
  </w:num>
  <w:num w:numId="14" w16cid:durableId="2092698721">
    <w:abstractNumId w:val="5"/>
  </w:num>
  <w:num w:numId="15" w16cid:durableId="2112316860">
    <w:abstractNumId w:val="8"/>
  </w:num>
  <w:num w:numId="16" w16cid:durableId="2134250713">
    <w:abstractNumId w:val="24"/>
  </w:num>
  <w:num w:numId="17" w16cid:durableId="1974362538">
    <w:abstractNumId w:val="11"/>
  </w:num>
  <w:num w:numId="18" w16cid:durableId="1787967539">
    <w:abstractNumId w:val="6"/>
  </w:num>
  <w:num w:numId="19" w16cid:durableId="1435252441">
    <w:abstractNumId w:val="23"/>
  </w:num>
  <w:num w:numId="20" w16cid:durableId="1844591924">
    <w:abstractNumId w:val="10"/>
  </w:num>
  <w:num w:numId="21" w16cid:durableId="888300751">
    <w:abstractNumId w:val="4"/>
  </w:num>
  <w:num w:numId="22" w16cid:durableId="813256089">
    <w:abstractNumId w:val="13"/>
  </w:num>
  <w:num w:numId="23" w16cid:durableId="1137646670">
    <w:abstractNumId w:val="0"/>
  </w:num>
  <w:num w:numId="24" w16cid:durableId="1864054243">
    <w:abstractNumId w:val="3"/>
  </w:num>
  <w:num w:numId="25" w16cid:durableId="1614894895">
    <w:abstractNumId w:val="21"/>
  </w:num>
  <w:num w:numId="26" w16cid:durableId="190475398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C5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23B"/>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4DD"/>
    <w:rsid w:val="00056B3E"/>
    <w:rsid w:val="000571B9"/>
    <w:rsid w:val="0005725C"/>
    <w:rsid w:val="00057574"/>
    <w:rsid w:val="000579E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713"/>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5F02"/>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21A"/>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10A"/>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2B56"/>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0EBF"/>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2AC"/>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752"/>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671"/>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01A"/>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7BA"/>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A0C"/>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DAD"/>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47D04"/>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9DE"/>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55F5"/>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5F3"/>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0C4"/>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4BA3"/>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BE2"/>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0C1"/>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617"/>
    <w:rsid w:val="00557A6C"/>
    <w:rsid w:val="005608B2"/>
    <w:rsid w:val="0056099A"/>
    <w:rsid w:val="00560A43"/>
    <w:rsid w:val="00560FD3"/>
    <w:rsid w:val="00561000"/>
    <w:rsid w:val="00561471"/>
    <w:rsid w:val="0056270E"/>
    <w:rsid w:val="00562ECE"/>
    <w:rsid w:val="00563749"/>
    <w:rsid w:val="00563C85"/>
    <w:rsid w:val="00563DDB"/>
    <w:rsid w:val="00564081"/>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D25"/>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1AA4"/>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49E"/>
    <w:rsid w:val="005D07D2"/>
    <w:rsid w:val="005D0F46"/>
    <w:rsid w:val="005D0F8C"/>
    <w:rsid w:val="005D14F8"/>
    <w:rsid w:val="005D155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2FA0"/>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486A"/>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211"/>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44A"/>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AF0"/>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363"/>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998"/>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0DF"/>
    <w:rsid w:val="008148B4"/>
    <w:rsid w:val="0081495F"/>
    <w:rsid w:val="008153A7"/>
    <w:rsid w:val="008153B7"/>
    <w:rsid w:val="008156F8"/>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6AF"/>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5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0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3BB"/>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94"/>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37D66"/>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678"/>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74C"/>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05C"/>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340"/>
    <w:rsid w:val="00B22C0A"/>
    <w:rsid w:val="00B22F42"/>
    <w:rsid w:val="00B22FF9"/>
    <w:rsid w:val="00B23F87"/>
    <w:rsid w:val="00B24213"/>
    <w:rsid w:val="00B242E1"/>
    <w:rsid w:val="00B244B0"/>
    <w:rsid w:val="00B24980"/>
    <w:rsid w:val="00B250B5"/>
    <w:rsid w:val="00B25B42"/>
    <w:rsid w:val="00B2635D"/>
    <w:rsid w:val="00B267F1"/>
    <w:rsid w:val="00B27112"/>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B70"/>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A7E65"/>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DF1"/>
    <w:rsid w:val="00C70F72"/>
    <w:rsid w:val="00C713C7"/>
    <w:rsid w:val="00C715CB"/>
    <w:rsid w:val="00C71914"/>
    <w:rsid w:val="00C71A43"/>
    <w:rsid w:val="00C71B5D"/>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920"/>
    <w:rsid w:val="00D01AF8"/>
    <w:rsid w:val="00D01BC6"/>
    <w:rsid w:val="00D01F80"/>
    <w:rsid w:val="00D0208A"/>
    <w:rsid w:val="00D025CC"/>
    <w:rsid w:val="00D028B3"/>
    <w:rsid w:val="00D0293C"/>
    <w:rsid w:val="00D02DA7"/>
    <w:rsid w:val="00D0304E"/>
    <w:rsid w:val="00D03BE7"/>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111"/>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384"/>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411"/>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E7153"/>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613"/>
    <w:rsid w:val="00E03F4C"/>
    <w:rsid w:val="00E03F4E"/>
    <w:rsid w:val="00E0439C"/>
    <w:rsid w:val="00E049A5"/>
    <w:rsid w:val="00E04AE1"/>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050"/>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6EB7"/>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562B"/>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27B36"/>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affff7">
    <w:name w:val="כותרת לוח"/>
    <w:basedOn w:val="a0"/>
    <w:next w:val="a0"/>
    <w:link w:val="affff8"/>
    <w:qFormat/>
    <w:rsid w:val="00B22340"/>
    <w:pPr>
      <w:keepNext/>
      <w:keepLines/>
      <w:spacing w:line="269" w:lineRule="auto"/>
      <w:ind w:left="357"/>
      <w:jc w:val="center"/>
    </w:pPr>
    <w:rPr>
      <w:b/>
      <w:bCs/>
    </w:rPr>
  </w:style>
  <w:style w:type="character" w:customStyle="1" w:styleId="affff8">
    <w:name w:val="כותרת לוח תו"/>
    <w:basedOn w:val="a1"/>
    <w:link w:val="affff7"/>
    <w:rsid w:val="00B22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44E085-4B70-4370-B7ED-F18CACBF7DF0}"/>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334</TotalTime>
  <Pages>10</Pages>
  <Words>2078</Words>
  <Characters>10394</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30</cp:revision>
  <cp:lastPrinted>2022-03-07T17:35:00Z</cp:lastPrinted>
  <dcterms:created xsi:type="dcterms:W3CDTF">2023-03-29T13:56:00Z</dcterms:created>
  <dcterms:modified xsi:type="dcterms:W3CDTF">2023-04-20T08:29:00Z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