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ore.xml" ContentType="application/vnd.openxmlformats-package.core-properties+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Override PartName="/docProps/app.xml" ContentType="application/vnd.openxmlformats-officedocument.extended-properties+xml"/>
  <Override PartName="/customXml/item1.xml" ContentType="application/xml"/>
  <Override PartName="/customXml/item2.xml" ContentType="application/xml"/>
  <Override PartName="/customXml/item3.xml" ContentType="application/xml"/>
  <Override PartName="/customXml/item4.xml" ContentType="application/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officeDocument/2006/relationships/extended-properties" Target="docProps/app.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22.2.0 -->
  <w:background w:color="ffffff">
    <v:background id="_x0000_s1025" filled="t"/>
  </w:background>
  <w:body>
    <w:p w:rsidR="008B2E28" w:rsidP="001F3363" w14:paraId="1815C0C8" w14:textId="3F81E569">
      <w:pPr>
        <w:rPr>
          <w:rtl/>
        </w:rPr>
      </w:pPr>
      <w:r>
        <w:rPr>
          <w:noProof/>
        </w:rPr>
        <mc:AlternateContent>
          <mc:Choice Requires="wps">
            <w:drawing>
              <wp:anchor distT="0" distB="0" distL="114300" distR="114300" simplePos="0" relativeHeight="251672576" behindDoc="1" locked="0" layoutInCell="1" allowOverlap="1">
                <wp:simplePos x="0" y="0"/>
                <wp:positionH relativeFrom="column">
                  <wp:posOffset>-589915</wp:posOffset>
                </wp:positionH>
                <wp:positionV relativeFrom="paragraph">
                  <wp:posOffset>-243673</wp:posOffset>
                </wp:positionV>
                <wp:extent cx="6721475" cy="0"/>
                <wp:effectExtent l="0" t="0" r="0" b="0"/>
                <wp:wrapNone/>
                <wp:docPr id="618" name="Straight Connector 618"/>
                <wp:cNvGraphicFramePr/>
                <a:graphic xmlns:a="http://schemas.openxmlformats.org/drawingml/2006/main">
                  <a:graphicData uri="http://schemas.microsoft.com/office/word/2010/wordprocessingShape">
                    <wps:wsp xmlns:wps="http://schemas.microsoft.com/office/word/2010/wordprocessingShape">
                      <wps:cNvCnPr/>
                      <wps:spPr>
                        <a:xfrm flipH="1">
                          <a:off x="0" y="0"/>
                          <a:ext cx="6721475" cy="0"/>
                        </a:xfrm>
                        <a:prstGeom prst="line">
                          <a:avLst/>
                        </a:prstGeom>
                        <a:ln>
                          <a:gradFill rotWithShape="1">
                            <a:gsLst>
                              <a:gs pos="0">
                                <a:srgbClr val="0D0D0D"/>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18" o:spid="_x0000_s1026" style="flip:x;mso-height-percent:0;mso-height-relative:margin;mso-width-percent:0;mso-width-relative:margin;mso-wrap-distance-bottom:0;mso-wrap-distance-left:9pt;mso-wrap-distance-right:9pt;mso-wrap-distance-top:0;mso-wrap-style:square;position:absolute;visibility:visible;z-index:-251642880" from="-46.45pt,-19.2pt" to="482.8pt,-19.2pt"/>
            </w:pict>
          </mc:Fallback>
        </mc:AlternateContent>
      </w:r>
      <w:r w:rsidR="003C32FE">
        <w:rPr>
          <w:noProof/>
          <w:szCs w:val="18"/>
        </w:rPr>
        <mc:AlternateContent>
          <mc:Choice Requires="wps">
            <w:drawing>
              <wp:anchor distT="0" distB="0" distL="114300" distR="114300" simplePos="0" relativeHeight="251660288" behindDoc="0" locked="0" layoutInCell="1" allowOverlap="1">
                <wp:simplePos x="0" y="0"/>
                <wp:positionH relativeFrom="column">
                  <wp:posOffset>-15163846</wp:posOffset>
                </wp:positionH>
                <wp:positionV relativeFrom="paragraph">
                  <wp:posOffset>-5918996</wp:posOffset>
                </wp:positionV>
                <wp:extent cx="20269200" cy="15478699"/>
                <wp:effectExtent l="0" t="0" r="12700" b="15875"/>
                <wp:wrapNone/>
                <wp:docPr id="11" name="Rectangle 11"/>
                <wp:cNvGraphicFramePr/>
                <a:graphic xmlns:a="http://schemas.openxmlformats.org/drawingml/2006/main">
                  <a:graphicData uri="http://schemas.microsoft.com/office/word/2010/wordprocessingShape">
                    <wps:wsp xmlns:wps="http://schemas.microsoft.com/office/word/2010/wordprocessingShape">
                      <wps:cNvSpPr/>
                      <wps:spPr>
                        <a:xfrm>
                          <a:off x="0" y="0"/>
                          <a:ext cx="20269200" cy="15478699"/>
                        </a:xfrm>
                        <a:prstGeom prst="rect">
                          <a:avLst/>
                        </a:prstGeom>
                        <a:solidFill>
                          <a:srgbClr val="00305F"/>
                        </a:solidFill>
                        <a:ln>
                          <a:solidFill>
                            <a:srgbClr val="00305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1" o:spid="_x0000_s1027" style="width:0.75pt;height:1218.8pt;margin-top:-466.05pt;margin-left:-1194pt;mso-height-percent:0;mso-height-relative:margin;mso-width-percent:0;mso-width-relative:margin;mso-wrap-distance-bottom:0;mso-wrap-distance-left:9pt;mso-wrap-distance-right:9pt;mso-wrap-distance-top:0;mso-wrap-style:square;position:absolute;visibility:visible;v-text-anchor:middle;z-index:251661312" fillcolor="#00305f" strokecolor="#00305f" strokeweight="1.25pt"/>
            </w:pict>
          </mc:Fallback>
        </mc:AlternateContent>
      </w:r>
      <w:r w:rsidR="003C32FE">
        <w:rPr>
          <w:rFonts w:hint="cs"/>
          <w:noProof/>
          <w:rtl/>
          <w:lang w:val="he-IL"/>
        </w:rPr>
        <w:drawing>
          <wp:anchor distT="0" distB="0" distL="114300" distR="114300" simplePos="0" relativeHeight="251664384" behindDoc="0" locked="0" layoutInCell="1" allowOverlap="1">
            <wp:simplePos x="0" y="0"/>
            <wp:positionH relativeFrom="column">
              <wp:posOffset>-7113867</wp:posOffset>
            </wp:positionH>
            <wp:positionV relativeFrom="paragraph">
              <wp:posOffset>-4161346</wp:posOffset>
            </wp:positionV>
            <wp:extent cx="474980" cy="177800"/>
            <wp:effectExtent l="0" t="0" r="1270" b="0"/>
            <wp:wrapNone/>
            <wp:docPr id="26" name="Picture 26"/>
            <wp:cNvGraphicFramePr/>
            <a:graphic xmlns:a="http://schemas.openxmlformats.org/drawingml/2006/main">
              <a:graphicData uri="http://schemas.openxmlformats.org/drawingml/2006/picture">
                <pic:pic xmlns:pic="http://schemas.openxmlformats.org/drawingml/2006/picture">
                  <pic:nvPicPr>
                    <pic:cNvPr id="26" name="Picture 956"/>
                    <pic:cNvPicPr/>
                  </pic:nvPicPr>
                  <pic:blipFill>
                    <a:blip xmlns:r="http://schemas.openxmlformats.org/officeDocument/2006/relationships" r:embed="rId10" cstate="print">
                      <a:extLst>
                        <a:ext xmlns:a="http://schemas.openxmlformats.org/drawingml/2006/main" uri="{28A0092B-C50C-407E-A947-70E740481C1C}">
                          <a14:useLocalDpi xmlns:a14="http://schemas.microsoft.com/office/drawing/2010/main" val="0"/>
                        </a:ext>
                      </a:extLst>
                    </a:blip>
                    <a:stretch>
                      <a:fillRect/>
                    </a:stretch>
                  </pic:blipFill>
                  <pic:spPr>
                    <a:xfrm>
                      <a:off x="0" y="0"/>
                      <a:ext cx="474980" cy="177800"/>
                    </a:xfrm>
                    <a:prstGeom prst="rect">
                      <a:avLst/>
                    </a:prstGeom>
                  </pic:spPr>
                </pic:pic>
              </a:graphicData>
            </a:graphic>
            <wp14:sizeRelH relativeFrom="margin">
              <wp14:pctWidth>0</wp14:pctWidth>
            </wp14:sizeRelH>
            <wp14:sizeRelV relativeFrom="margin">
              <wp14:pctHeight>0</wp14:pctHeight>
            </wp14:sizeRelV>
          </wp:anchor>
        </w:drawing>
      </w:r>
      <w:r w:rsidR="00941067">
        <w:rPr>
          <w:rFonts w:hint="cs"/>
          <w:rtl/>
        </w:rPr>
        <w:t>5</w:t>
      </w:r>
      <w:r w:rsidR="008B694B">
        <w:rPr>
          <w:rtl/>
        </w:rPr>
        <w:tab/>
      </w:r>
    </w:p>
    <w:p w:rsidR="008B694B" w:rsidP="005169B9" w14:paraId="25435DCB" w14:textId="1463ADA3">
      <w:pPr>
        <w:rPr>
          <w:rtl/>
        </w:rPr>
      </w:pPr>
    </w:p>
    <w:p w:rsidR="008B2E28" w:rsidP="008D2388" w14:paraId="09862827" w14:textId="09252A2F">
      <w:pPr>
        <w:spacing w:line="240" w:lineRule="atLeast"/>
        <w:jc w:val="center"/>
        <w:rPr>
          <w:rFonts w:ascii="Tahoma" w:hAnsi="Tahoma" w:cs="Tahoma"/>
          <w:sz w:val="22"/>
          <w:szCs w:val="22"/>
          <w:rtl/>
        </w:rPr>
      </w:pPr>
      <w:r w:rsidRPr="0030415A">
        <w:rPr>
          <w:rFonts w:ascii="Tahoma" w:hAnsi="Tahoma" w:cs="Tahoma"/>
          <w:noProof/>
          <w:sz w:val="22"/>
          <w:szCs w:val="22"/>
          <w:rtl/>
        </w:rPr>
        <mc:AlternateContent>
          <mc:Choice Requires="wps">
            <w:drawing>
              <wp:anchor distT="0" distB="0" distL="114300" distR="114300" simplePos="0" relativeHeight="251658240" behindDoc="0" locked="0" layoutInCell="1" allowOverlap="1">
                <wp:simplePos x="0" y="0"/>
                <wp:positionH relativeFrom="column">
                  <wp:posOffset>7165975</wp:posOffset>
                </wp:positionH>
                <wp:positionV relativeFrom="paragraph">
                  <wp:posOffset>281305</wp:posOffset>
                </wp:positionV>
                <wp:extent cx="0" cy="2235835"/>
                <wp:effectExtent l="19050" t="0" r="19050" b="31115"/>
                <wp:wrapNone/>
                <wp:docPr id="16" name="Straight Connector 16"/>
                <wp:cNvGraphicFramePr/>
                <a:graphic xmlns:a="http://schemas.openxmlformats.org/drawingml/2006/main">
                  <a:graphicData uri="http://schemas.microsoft.com/office/word/2010/wordprocessingShape">
                    <wps:wsp xmlns:wps="http://schemas.microsoft.com/office/word/2010/wordprocessingShape">
                      <wps:cNvCnPr/>
                      <wps:spPr>
                        <a:xfrm>
                          <a:off x="0" y="0"/>
                          <a:ext cx="0" cy="2235835"/>
                        </a:xfrm>
                        <a:prstGeom prst="line">
                          <a:avLst/>
                        </a:prstGeom>
                        <a:ln w="444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6" o:spid="_x0000_s1028" style="mso-wrap-distance-bottom:0;mso-wrap-distance-left:9pt;mso-wrap-distance-right:9pt;mso-wrap-distance-top:0;mso-wrap-style:square;position:absolute;visibility:visible;z-index:251659264" from="564.25pt,22.15pt" to="564.25pt,198.2pt" strokecolor="white" strokeweight="3.5pt"/>
            </w:pict>
          </mc:Fallback>
        </mc:AlternateContent>
      </w:r>
    </w:p>
    <w:p w:rsidR="008B2E28" w:rsidP="008D2388" w14:paraId="1061471B" w14:textId="26B3B9DA">
      <w:pPr>
        <w:spacing w:line="240" w:lineRule="atLeast"/>
        <w:jc w:val="center"/>
        <w:rPr>
          <w:rFonts w:ascii="Tahoma" w:hAnsi="Tahoma" w:cs="Tahoma"/>
          <w:sz w:val="22"/>
          <w:szCs w:val="22"/>
          <w:rtl/>
        </w:rPr>
      </w:pPr>
    </w:p>
    <w:p w:rsidR="008B2E28" w:rsidP="008D2388" w14:paraId="40B3A360" w14:textId="440658EC">
      <w:pPr>
        <w:spacing w:line="240" w:lineRule="atLeast"/>
        <w:jc w:val="center"/>
        <w:rPr>
          <w:rFonts w:ascii="Tahoma" w:hAnsi="Tahoma" w:cs="Tahoma"/>
          <w:sz w:val="22"/>
          <w:szCs w:val="22"/>
          <w:rtl/>
        </w:rPr>
      </w:pPr>
    </w:p>
    <w:p w:rsidR="003C32FE" w:rsidRPr="00170230" w:rsidP="003C32FE" w14:paraId="665C333F" w14:textId="53ED9090">
      <w:pPr>
        <w:spacing w:line="240" w:lineRule="atLeast"/>
        <w:jc w:val="center"/>
        <w:rPr>
          <w:rFonts w:ascii="Tahoma" w:hAnsi="Tahoma" w:cs="Tahoma"/>
          <w:szCs w:val="18"/>
          <w:rtl/>
        </w:rPr>
      </w:pPr>
    </w:p>
    <w:p w:rsidR="003C32FE" w:rsidP="003C32FE" w14:paraId="7A26D94A" w14:textId="7084981C">
      <w:pPr>
        <w:spacing w:line="240" w:lineRule="atLeast"/>
        <w:jc w:val="center"/>
        <w:rPr>
          <w:rFonts w:ascii="Tahoma" w:hAnsi="Tahoma" w:cs="Tahoma"/>
          <w:sz w:val="22"/>
          <w:szCs w:val="22"/>
          <w:rtl/>
        </w:rPr>
      </w:pPr>
      <w:r>
        <w:rPr>
          <w:rFonts w:ascii="Tahoma" w:hAnsi="Tahoma" w:cs="Tahoma"/>
          <w:noProof/>
          <w:sz w:val="22"/>
          <w:szCs w:val="22"/>
          <w:rtl/>
          <w:lang w:val="he-IL"/>
        </w:rPr>
        <mc:AlternateContent>
          <mc:Choice Requires="wps">
            <w:drawing>
              <wp:anchor distT="0" distB="0" distL="114300" distR="114300" simplePos="0" relativeHeight="251666432" behindDoc="0" locked="0" layoutInCell="1" allowOverlap="1">
                <wp:simplePos x="0" y="0"/>
                <wp:positionH relativeFrom="column">
                  <wp:posOffset>3059943</wp:posOffset>
                </wp:positionH>
                <wp:positionV relativeFrom="paragraph">
                  <wp:posOffset>266011</wp:posOffset>
                </wp:positionV>
                <wp:extent cx="0" cy="4163438"/>
                <wp:effectExtent l="25400" t="0" r="25400" b="27940"/>
                <wp:wrapNone/>
                <wp:docPr id="5" name="Straight Connector 5"/>
                <wp:cNvGraphicFramePr/>
                <a:graphic xmlns:a="http://schemas.openxmlformats.org/drawingml/2006/main">
                  <a:graphicData uri="http://schemas.microsoft.com/office/word/2010/wordprocessingShape">
                    <wps:wsp xmlns:wps="http://schemas.microsoft.com/office/word/2010/wordprocessingShape">
                      <wps:cNvCnPr/>
                      <wps:spPr>
                        <a:xfrm>
                          <a:off x="0" y="0"/>
                          <a:ext cx="0" cy="4163438"/>
                        </a:xfrm>
                        <a:prstGeom prst="line">
                          <a:avLst/>
                        </a:prstGeom>
                        <a:ln w="508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 o:spid="_x0000_s1029" style="mso-height-percent:0;mso-height-relative:margin;mso-width-percent:0;mso-width-relative:margin;mso-wrap-distance-bottom:0;mso-wrap-distance-left:9pt;mso-wrap-distance-right:9pt;mso-wrap-distance-top:0;mso-wrap-style:square;position:absolute;visibility:visible;z-index:251667456" from="240.95pt,20.95pt" to="240.95pt,348.8pt" strokecolor="white" strokeweight="4pt"/>
            </w:pict>
          </mc:Fallback>
        </mc:AlternateContent>
      </w:r>
      <w:r>
        <w:rPr>
          <w:rFonts w:ascii="Tahoma" w:hAnsi="Tahoma" w:cs="Tahoma"/>
          <w:noProof/>
          <w:sz w:val="22"/>
          <w:szCs w:val="22"/>
          <w:rtl/>
          <w:lang w:val="he-IL"/>
        </w:rPr>
        <mc:AlternateContent>
          <mc:Choice Requires="wps">
            <w:drawing>
              <wp:anchor distT="0" distB="0" distL="114300" distR="114300" simplePos="0" relativeHeight="251668480" behindDoc="0" locked="0" layoutInCell="1" allowOverlap="1">
                <wp:simplePos x="0" y="0"/>
                <wp:positionH relativeFrom="column">
                  <wp:posOffset>-95031</wp:posOffset>
                </wp:positionH>
                <wp:positionV relativeFrom="paragraph">
                  <wp:posOffset>1932011</wp:posOffset>
                </wp:positionV>
                <wp:extent cx="3035127" cy="0"/>
                <wp:effectExtent l="12700" t="12700" r="635" b="12700"/>
                <wp:wrapNone/>
                <wp:docPr id="8" name="Straight Connector 8"/>
                <wp:cNvGraphicFramePr/>
                <a:graphic xmlns:a="http://schemas.openxmlformats.org/drawingml/2006/main">
                  <a:graphicData uri="http://schemas.microsoft.com/office/word/2010/wordprocessingShape">
                    <wps:wsp xmlns:wps="http://schemas.microsoft.com/office/word/2010/wordprocessingShape">
                      <wps:cNvCnPr/>
                      <wps:spPr>
                        <a:xfrm flipH="1">
                          <a:off x="0" y="0"/>
                          <a:ext cx="3035127"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 o:spid="_x0000_s1030" style="flip:x;mso-height-percent:0;mso-height-relative:margin;mso-width-percent:0;mso-width-relative:margin;mso-wrap-distance-bottom:0;mso-wrap-distance-left:9pt;mso-wrap-distance-right:9pt;mso-wrap-distance-top:0;mso-wrap-style:square;position:absolute;visibility:visible;z-index:251669504" from="-7.5pt,152.15pt" to="231.5pt,152.15pt" strokecolor="white" strokeweight="1.5pt"/>
            </w:pict>
          </mc:Fallback>
        </mc:AlternateContent>
      </w:r>
      <w:r w:rsidRPr="0030415A">
        <w:rPr>
          <w:rFonts w:ascii="Tahoma" w:hAnsi="Tahoma" w:cs="Tahoma"/>
          <w:noProof/>
          <w:sz w:val="22"/>
          <w:szCs w:val="22"/>
          <w:rtl/>
        </w:rPr>
        <mc:AlternateContent>
          <mc:Choice Requires="wps">
            <w:drawing>
              <wp:anchor distT="45720" distB="45720" distL="114300" distR="114300" simplePos="0" relativeHeight="251662336" behindDoc="0" locked="0" layoutInCell="1" allowOverlap="1">
                <wp:simplePos x="0" y="0"/>
                <wp:positionH relativeFrom="column">
                  <wp:posOffset>-163195</wp:posOffset>
                </wp:positionH>
                <wp:positionV relativeFrom="paragraph">
                  <wp:posOffset>347345</wp:posOffset>
                </wp:positionV>
                <wp:extent cx="4631690" cy="4273550"/>
                <wp:effectExtent l="0" t="0" r="3810" b="6350"/>
                <wp:wrapSquare wrapText="bothSides"/>
                <wp:docPr id="1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631690" cy="4273550"/>
                        </a:xfrm>
                        <a:prstGeom prst="rect">
                          <a:avLst/>
                        </a:prstGeom>
                        <a:solidFill>
                          <a:srgbClr val="00305F"/>
                        </a:solidFill>
                        <a:ln w="9525">
                          <a:noFill/>
                          <a:miter lim="800000"/>
                          <a:headEnd/>
                          <a:tailEnd/>
                        </a:ln>
                      </wps:spPr>
                      <wps:txbx>
                        <w:txbxContent>
                          <w:p w:rsidR="00F73EE0" w:rsidP="0052031E" w14:textId="77777777">
                            <w:pPr>
                              <w:ind w:left="2268"/>
                              <w:rPr>
                                <w:rFonts w:ascii="Tahoma" w:hAnsi="Tahoma" w:cs="Tahoma"/>
                                <w:sz w:val="18"/>
                                <w:szCs w:val="18"/>
                                <w:rtl/>
                              </w:rPr>
                            </w:pPr>
                          </w:p>
                          <w:p w:rsidR="00F73EE0" w:rsidP="0052031E" w14:textId="77777777">
                            <w:pPr>
                              <w:ind w:left="2268"/>
                              <w:rPr>
                                <w:rFonts w:ascii="Tahoma" w:hAnsi="Tahoma" w:cs="Tahoma"/>
                                <w:sz w:val="18"/>
                                <w:szCs w:val="18"/>
                                <w:rtl/>
                              </w:rPr>
                            </w:pPr>
                          </w:p>
                          <w:p w:rsidR="00136A3E" w:rsidRPr="0052031E" w:rsidP="000F5023" w14:textId="52D80EBF">
                            <w:pPr>
                              <w:pStyle w:val="a36"/>
                              <w:bidi/>
                              <w:rPr>
                                <w:rtl/>
                              </w:rPr>
                            </w:pPr>
                            <w:r>
                              <w:rPr>
                                <w:rFonts w:hint="cs"/>
                                <w:rtl/>
                              </w:rPr>
                              <w:t xml:space="preserve">דוח </w:t>
                            </w:r>
                            <w:r w:rsidRPr="0052031E">
                              <w:rPr>
                                <w:rtl/>
                              </w:rPr>
                              <w:t>מבקר המדינה</w:t>
                            </w:r>
                            <w:r>
                              <w:rPr>
                                <w:rFonts w:hint="cs"/>
                                <w:rtl/>
                              </w:rPr>
                              <w:t xml:space="preserve"> </w:t>
                            </w:r>
                            <w:r w:rsidRPr="0052031E">
                              <w:rPr>
                                <w:rtl/>
                              </w:rPr>
                              <w:t>|</w:t>
                            </w:r>
                            <w:r>
                              <w:rPr>
                                <w:rFonts w:hint="cs"/>
                                <w:rtl/>
                              </w:rPr>
                              <w:t xml:space="preserve"> </w:t>
                            </w:r>
                            <w:r w:rsidR="00BA79D3">
                              <w:rPr>
                                <w:rFonts w:hint="cs"/>
                                <w:rtl/>
                              </w:rPr>
                              <w:t>א</w:t>
                            </w:r>
                            <w:r w:rsidR="00C55DC9">
                              <w:rPr>
                                <w:rFonts w:hint="cs"/>
                                <w:rtl/>
                              </w:rPr>
                              <w:t>דר</w:t>
                            </w:r>
                            <w:r>
                              <w:rPr>
                                <w:rFonts w:hint="cs"/>
                                <w:rtl/>
                              </w:rPr>
                              <w:t xml:space="preserve"> </w:t>
                            </w:r>
                            <w:r>
                              <w:rPr>
                                <w:rFonts w:hint="cs"/>
                                <w:rtl/>
                              </w:rPr>
                              <w:t>התשפ״</w:t>
                            </w:r>
                            <w:r w:rsidR="00C30482">
                              <w:rPr>
                                <w:rFonts w:hint="cs"/>
                                <w:rtl/>
                              </w:rPr>
                              <w:t>ג</w:t>
                            </w:r>
                            <w:r w:rsidR="001C1B42">
                              <w:rPr>
                                <w:rFonts w:hint="cs"/>
                                <w:rtl/>
                              </w:rPr>
                              <w:t xml:space="preserve"> </w:t>
                            </w:r>
                            <w:r w:rsidRPr="0052031E">
                              <w:rPr>
                                <w:rtl/>
                              </w:rPr>
                              <w:t>|</w:t>
                            </w:r>
                            <w:r>
                              <w:rPr>
                                <w:rFonts w:hint="cs"/>
                                <w:rtl/>
                              </w:rPr>
                              <w:t xml:space="preserve"> </w:t>
                            </w:r>
                            <w:r w:rsidR="00C55DC9">
                              <w:rPr>
                                <w:rFonts w:hint="cs"/>
                                <w:rtl/>
                              </w:rPr>
                              <w:t>פברואר</w:t>
                            </w:r>
                            <w:r>
                              <w:rPr>
                                <w:rFonts w:hint="cs"/>
                                <w:rtl/>
                              </w:rPr>
                              <w:t xml:space="preserve"> </w:t>
                            </w:r>
                            <w:r w:rsidR="00C55DC9">
                              <w:rPr>
                                <w:rFonts w:hint="cs"/>
                                <w:rtl/>
                              </w:rPr>
                              <w:t>2023</w:t>
                            </w:r>
                            <w:r>
                              <w:rPr>
                                <w:rFonts w:hint="cs"/>
                                <w:rtl/>
                              </w:rPr>
                              <w:t xml:space="preserve"> </w:t>
                            </w:r>
                          </w:p>
                          <w:p w:rsidR="00F73EE0" w:rsidP="0052031E" w14:textId="4F5A48BD">
                            <w:pPr>
                              <w:ind w:left="2268"/>
                              <w:rPr>
                                <w:rtl/>
                              </w:rPr>
                            </w:pPr>
                          </w:p>
                          <w:p w:rsidR="00E56721" w:rsidP="0052031E" w14:textId="77777777">
                            <w:pPr>
                              <w:ind w:left="2268"/>
                              <w:rPr>
                                <w:rtl/>
                              </w:rPr>
                            </w:pPr>
                          </w:p>
                          <w:p w:rsidR="00F73EE0" w:rsidP="0052031E" w14:textId="77777777">
                            <w:pPr>
                              <w:ind w:left="2268"/>
                              <w:rPr>
                                <w:rtl/>
                              </w:rPr>
                            </w:pPr>
                          </w:p>
                          <w:p w:rsidR="00170904" w:rsidRPr="000A3ED4" w:rsidP="00170904" w14:textId="77777777">
                            <w:pPr>
                              <w:pStyle w:val="-2"/>
                              <w:rPr>
                                <w:rtl/>
                              </w:rPr>
                            </w:pPr>
                            <w:r>
                              <w:rPr>
                                <w:rFonts w:hint="cs"/>
                                <w:rtl/>
                              </w:rPr>
                              <w:t xml:space="preserve">התעשיות הביטחוניות הממשלתיות </w:t>
                            </w:r>
                          </w:p>
                          <w:p w:rsidR="00C30482" w:rsidRPr="000F5023" w:rsidP="000F5023" w14:textId="61EA8F7C">
                            <w:pPr>
                              <w:pStyle w:val="a35"/>
                              <w:bidi/>
                              <w:rPr>
                                <w:rtl/>
                              </w:rPr>
                            </w:pPr>
                            <w:r w:rsidRPr="0035435A">
                              <w:rPr>
                                <w:rtl/>
                              </w:rPr>
                              <w:t>הדוחות הכספיים של רפאל מערכות לחימה מתקדמות בע"מ - מצב החברה וסיכוניה</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1" type="#_x0000_t202" style="width:364.7pt;height:336.5pt;margin-top:27.35pt;margin-left:-12.85pt;mso-height-percent:0;mso-height-relative:margin;mso-width-percent:0;mso-width-relative:margin;mso-wrap-distance-bottom:3.6pt;mso-wrap-distance-left:9pt;mso-wrap-distance-right:9pt;mso-wrap-distance-top:3.6pt;mso-wrap-style:square;position:absolute;visibility:visible;v-text-anchor:top;z-index:251663360" fillcolor="#00305f" stroked="f">
                <v:textbox>
                  <w:txbxContent>
                    <w:p w:rsidR="00F73EE0" w:rsidP="0052031E" w14:paraId="3B790B1A" w14:textId="77777777">
                      <w:pPr>
                        <w:ind w:left="2268"/>
                        <w:rPr>
                          <w:rFonts w:ascii="Tahoma" w:hAnsi="Tahoma" w:cs="Tahoma"/>
                          <w:sz w:val="18"/>
                          <w:szCs w:val="18"/>
                          <w:rtl/>
                        </w:rPr>
                      </w:pPr>
                    </w:p>
                    <w:p w:rsidR="00F73EE0" w:rsidP="0052031E" w14:paraId="01373895" w14:textId="77777777">
                      <w:pPr>
                        <w:ind w:left="2268"/>
                        <w:rPr>
                          <w:rFonts w:ascii="Tahoma" w:hAnsi="Tahoma" w:cs="Tahoma"/>
                          <w:sz w:val="18"/>
                          <w:szCs w:val="18"/>
                          <w:rtl/>
                        </w:rPr>
                      </w:pPr>
                    </w:p>
                    <w:p w:rsidR="00136A3E" w:rsidRPr="0052031E" w:rsidP="000F5023" w14:paraId="6680A7A9" w14:textId="52D80EBF">
                      <w:pPr>
                        <w:pStyle w:val="a36"/>
                        <w:bidi/>
                        <w:rPr>
                          <w:rtl/>
                        </w:rPr>
                      </w:pPr>
                      <w:r>
                        <w:rPr>
                          <w:rFonts w:hint="cs"/>
                          <w:rtl/>
                        </w:rPr>
                        <w:t xml:space="preserve">דוח </w:t>
                      </w:r>
                      <w:r w:rsidRPr="0052031E">
                        <w:rPr>
                          <w:rtl/>
                        </w:rPr>
                        <w:t>מבקר המדינה</w:t>
                      </w:r>
                      <w:r>
                        <w:rPr>
                          <w:rFonts w:hint="cs"/>
                          <w:rtl/>
                        </w:rPr>
                        <w:t xml:space="preserve"> </w:t>
                      </w:r>
                      <w:r w:rsidRPr="0052031E">
                        <w:rPr>
                          <w:rtl/>
                        </w:rPr>
                        <w:t>|</w:t>
                      </w:r>
                      <w:r>
                        <w:rPr>
                          <w:rFonts w:hint="cs"/>
                          <w:rtl/>
                        </w:rPr>
                        <w:t xml:space="preserve"> </w:t>
                      </w:r>
                      <w:r w:rsidR="00BA79D3">
                        <w:rPr>
                          <w:rFonts w:hint="cs"/>
                          <w:rtl/>
                        </w:rPr>
                        <w:t>א</w:t>
                      </w:r>
                      <w:r w:rsidR="00C55DC9">
                        <w:rPr>
                          <w:rFonts w:hint="cs"/>
                          <w:rtl/>
                        </w:rPr>
                        <w:t>דר</w:t>
                      </w:r>
                      <w:r>
                        <w:rPr>
                          <w:rFonts w:hint="cs"/>
                          <w:rtl/>
                        </w:rPr>
                        <w:t xml:space="preserve"> </w:t>
                      </w:r>
                      <w:r>
                        <w:rPr>
                          <w:rFonts w:hint="cs"/>
                          <w:rtl/>
                        </w:rPr>
                        <w:t>התשפ״</w:t>
                      </w:r>
                      <w:r w:rsidR="00C30482">
                        <w:rPr>
                          <w:rFonts w:hint="cs"/>
                          <w:rtl/>
                        </w:rPr>
                        <w:t>ג</w:t>
                      </w:r>
                      <w:r w:rsidR="001C1B42">
                        <w:rPr>
                          <w:rFonts w:hint="cs"/>
                          <w:rtl/>
                        </w:rPr>
                        <w:t xml:space="preserve"> </w:t>
                      </w:r>
                      <w:r w:rsidRPr="0052031E">
                        <w:rPr>
                          <w:rtl/>
                        </w:rPr>
                        <w:t>|</w:t>
                      </w:r>
                      <w:r>
                        <w:rPr>
                          <w:rFonts w:hint="cs"/>
                          <w:rtl/>
                        </w:rPr>
                        <w:t xml:space="preserve"> </w:t>
                      </w:r>
                      <w:r w:rsidR="00C55DC9">
                        <w:rPr>
                          <w:rFonts w:hint="cs"/>
                          <w:rtl/>
                        </w:rPr>
                        <w:t>פברואר</w:t>
                      </w:r>
                      <w:r>
                        <w:rPr>
                          <w:rFonts w:hint="cs"/>
                          <w:rtl/>
                        </w:rPr>
                        <w:t xml:space="preserve"> </w:t>
                      </w:r>
                      <w:r w:rsidR="00C55DC9">
                        <w:rPr>
                          <w:rFonts w:hint="cs"/>
                          <w:rtl/>
                        </w:rPr>
                        <w:t>2023</w:t>
                      </w:r>
                      <w:r>
                        <w:rPr>
                          <w:rFonts w:hint="cs"/>
                          <w:rtl/>
                        </w:rPr>
                        <w:t xml:space="preserve"> </w:t>
                      </w:r>
                    </w:p>
                    <w:p w:rsidR="00F73EE0" w:rsidP="0052031E" w14:paraId="7A4F68DA" w14:textId="4F5A48BD">
                      <w:pPr>
                        <w:ind w:left="2268"/>
                        <w:rPr>
                          <w:rtl/>
                        </w:rPr>
                      </w:pPr>
                    </w:p>
                    <w:p w:rsidR="00E56721" w:rsidP="0052031E" w14:paraId="6A74246D" w14:textId="77777777">
                      <w:pPr>
                        <w:ind w:left="2268"/>
                        <w:rPr>
                          <w:rtl/>
                        </w:rPr>
                      </w:pPr>
                    </w:p>
                    <w:p w:rsidR="00F73EE0" w:rsidP="0052031E" w14:paraId="537675A5" w14:textId="77777777">
                      <w:pPr>
                        <w:ind w:left="2268"/>
                        <w:rPr>
                          <w:rtl/>
                        </w:rPr>
                      </w:pPr>
                    </w:p>
                    <w:p w:rsidR="00170904" w:rsidRPr="000A3ED4" w:rsidP="00170904" w14:paraId="40007B80" w14:textId="77777777">
                      <w:pPr>
                        <w:pStyle w:val="-2"/>
                        <w:rPr>
                          <w:rtl/>
                        </w:rPr>
                      </w:pPr>
                      <w:r>
                        <w:rPr>
                          <w:rFonts w:hint="cs"/>
                          <w:rtl/>
                        </w:rPr>
                        <w:t xml:space="preserve">התעשיות הביטחוניות הממשלתיות </w:t>
                      </w:r>
                    </w:p>
                    <w:p w:rsidR="00C30482" w:rsidRPr="000F5023" w:rsidP="000F5023" w14:paraId="5BE5E625" w14:textId="61EA8F7C">
                      <w:pPr>
                        <w:pStyle w:val="a35"/>
                        <w:bidi/>
                        <w:rPr>
                          <w:rtl/>
                        </w:rPr>
                      </w:pPr>
                      <w:r w:rsidRPr="0035435A">
                        <w:rPr>
                          <w:rtl/>
                        </w:rPr>
                        <w:t>הדוחות הכספיים של רפאל מערכות לחימה מתקדמות בע"מ - מצב החברה וסיכוניה</w:t>
                      </w:r>
                    </w:p>
                  </w:txbxContent>
                </v:textbox>
                <w10:wrap type="square"/>
              </v:shape>
            </w:pict>
          </mc:Fallback>
        </mc:AlternateContent>
      </w:r>
      <w:r w:rsidR="006E08BF">
        <w:rPr>
          <w:rFonts w:ascii="Tahoma" w:hAnsi="Tahoma" w:cs="Tahoma"/>
          <w:noProof/>
          <w:sz w:val="22"/>
          <w:szCs w:val="22"/>
          <w:rtl/>
          <w:lang w:val="he-IL"/>
        </w:rPr>
        <w:drawing>
          <wp:anchor distT="0" distB="0" distL="114300" distR="114300" simplePos="0" relativeHeight="251665408" behindDoc="0" locked="0" layoutInCell="1" allowOverlap="1">
            <wp:simplePos x="0" y="0"/>
            <wp:positionH relativeFrom="column">
              <wp:posOffset>3257550</wp:posOffset>
            </wp:positionH>
            <wp:positionV relativeFrom="paragraph">
              <wp:posOffset>439420</wp:posOffset>
            </wp:positionV>
            <wp:extent cx="1010285" cy="70739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1010285" cy="707390"/>
                    </a:xfrm>
                    <a:prstGeom prst="rect">
                      <a:avLst/>
                    </a:prstGeom>
                  </pic:spPr>
                </pic:pic>
              </a:graphicData>
            </a:graphic>
            <wp14:sizeRelH relativeFrom="margin">
              <wp14:pctWidth>0</wp14:pctWidth>
            </wp14:sizeRelH>
            <wp14:sizeRelV relativeFrom="margin">
              <wp14:pctHeight>0</wp14:pctHeight>
            </wp14:sizeRelV>
          </wp:anchor>
        </w:drawing>
      </w:r>
    </w:p>
    <w:p w:rsidR="003C32FE" w:rsidP="003C32FE" w14:paraId="3F6AF12E" w14:textId="4A1467E9">
      <w:pPr>
        <w:spacing w:line="240" w:lineRule="atLeast"/>
        <w:jc w:val="center"/>
        <w:rPr>
          <w:rFonts w:ascii="Tahoma" w:hAnsi="Tahoma" w:cs="Tahoma"/>
          <w:sz w:val="22"/>
          <w:szCs w:val="22"/>
          <w:rtl/>
        </w:rPr>
      </w:pPr>
    </w:p>
    <w:p w:rsidR="00E35DF9" w:rsidRPr="00406E80" w:rsidP="008D2388" w14:paraId="5F398D7B" w14:textId="4F30E2B5">
      <w:pPr>
        <w:spacing w:line="240" w:lineRule="atLeast"/>
        <w:jc w:val="center"/>
        <w:rPr>
          <w:rFonts w:ascii="Tahoma" w:hAnsi="Tahoma" w:cs="Tahoma"/>
          <w:color w:val="C6D9F1"/>
          <w:sz w:val="22"/>
          <w:szCs w:val="22"/>
          <w:rtl/>
        </w:rPr>
      </w:pPr>
    </w:p>
    <w:p w:rsidR="008C0B8B" w:rsidP="008D2388" w14:paraId="1D311F15" w14:textId="47FC2C8F">
      <w:pPr>
        <w:spacing w:line="240" w:lineRule="atLeast"/>
        <w:jc w:val="center"/>
        <w:rPr>
          <w:rFonts w:ascii="Tahoma" w:hAnsi="Tahoma" w:cs="Tahoma"/>
          <w:sz w:val="22"/>
          <w:szCs w:val="22"/>
          <w:rtl/>
        </w:rPr>
      </w:pPr>
    </w:p>
    <w:p w:rsidR="008C0B8B" w:rsidP="008D2388" w14:paraId="1AC7C61F" w14:textId="7EB27B86">
      <w:pPr>
        <w:spacing w:line="240" w:lineRule="atLeast"/>
        <w:jc w:val="center"/>
        <w:rPr>
          <w:rFonts w:ascii="Tahoma" w:hAnsi="Tahoma" w:cs="Tahoma"/>
          <w:sz w:val="22"/>
          <w:szCs w:val="22"/>
          <w:rtl/>
        </w:rPr>
      </w:pPr>
    </w:p>
    <w:p w:rsidR="00E35DF9" w:rsidP="008D2388" w14:paraId="1081EBD1" w14:textId="1102587C">
      <w:pPr>
        <w:spacing w:line="240" w:lineRule="atLeast"/>
        <w:jc w:val="center"/>
        <w:rPr>
          <w:rFonts w:ascii="Tahoma" w:hAnsi="Tahoma" w:cs="Tahoma"/>
          <w:sz w:val="22"/>
          <w:szCs w:val="22"/>
          <w:rtl/>
        </w:rPr>
      </w:pPr>
    </w:p>
    <w:p w:rsidR="00035688" w:rsidP="008D2388" w14:paraId="4090303B" w14:textId="24E90DE2">
      <w:pPr>
        <w:spacing w:line="240" w:lineRule="atLeast"/>
        <w:jc w:val="center"/>
        <w:rPr>
          <w:rFonts w:ascii="Tahoma" w:hAnsi="Tahoma" w:cs="Tahoma"/>
          <w:sz w:val="22"/>
          <w:szCs w:val="22"/>
          <w:rtl/>
        </w:rPr>
        <w:sectPr w:rsidSect="002970CC">
          <w:headerReference w:type="even" r:id="rId12"/>
          <w:headerReference w:type="default" r:id="rId13"/>
          <w:footerReference w:type="default" r:id="rId14"/>
          <w:headerReference w:type="first" r:id="rId15"/>
          <w:pgSz w:w="11906" w:h="16838" w:code="9"/>
          <w:pgMar w:top="3062" w:right="2268" w:bottom="2552" w:left="2268" w:header="1134" w:footer="1361" w:gutter="0"/>
          <w:cols w:space="720"/>
          <w:titlePg/>
          <w:bidi/>
          <w:rtlGutter/>
          <w:docGrid w:linePitch="272"/>
        </w:sectPr>
      </w:pPr>
    </w:p>
    <w:p w:rsidR="00BF5BF6" w:rsidP="000E64A1" w14:paraId="67CE1943" w14:textId="0F8F3485">
      <w:pPr>
        <w:spacing w:line="240" w:lineRule="atLeast"/>
        <w:jc w:val="left"/>
        <w:rPr>
          <w:rFonts w:ascii="Tahoma" w:hAnsi="Tahoma" w:cs="Tahoma"/>
          <w:sz w:val="22"/>
          <w:szCs w:val="22"/>
          <w:rtl/>
        </w:rPr>
      </w:pPr>
      <w:r>
        <w:rPr>
          <w:rFonts w:ascii="Tahoma" w:hAnsi="Tahoma" w:cs="Tahoma"/>
          <w:noProof/>
          <w:sz w:val="22"/>
          <w:szCs w:val="22"/>
          <w:rtl/>
          <w:lang w:val="he-IL"/>
        </w:rPr>
        <mc:AlternateContent>
          <mc:Choice Requires="wps">
            <w:drawing>
              <wp:anchor distT="0" distB="0" distL="114300" distR="114300" simplePos="0" relativeHeight="251670528" behindDoc="0" locked="0" layoutInCell="1" allowOverlap="1">
                <wp:simplePos x="0" y="0"/>
                <wp:positionH relativeFrom="column">
                  <wp:posOffset>-1604010</wp:posOffset>
                </wp:positionH>
                <wp:positionV relativeFrom="paragraph">
                  <wp:posOffset>-1182370</wp:posOffset>
                </wp:positionV>
                <wp:extent cx="7601578" cy="1543050"/>
                <wp:effectExtent l="0" t="0" r="0" b="0"/>
                <wp:wrapNone/>
                <wp:docPr id="24" name="Rectangle 24"/>
                <wp:cNvGraphicFramePr/>
                <a:graphic xmlns:a="http://schemas.openxmlformats.org/drawingml/2006/main">
                  <a:graphicData uri="http://schemas.microsoft.com/office/word/2010/wordprocessingShape">
                    <wps:wsp xmlns:wps="http://schemas.microsoft.com/office/word/2010/wordprocessingShape">
                      <wps:cNvSpPr/>
                      <wps:spPr>
                        <a:xfrm flipV="1">
                          <a:off x="0" y="0"/>
                          <a:ext cx="7601578" cy="1543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4" o:spid="_x0000_s1032" style="width:598.55pt;height:121.5pt;margin-top:-93.1pt;margin-left:-126.3pt;flip:y;mso-height-percent:0;mso-height-relative:margin;mso-width-percent:0;mso-width-relative:margin;mso-wrap-distance-bottom:0;mso-wrap-distance-left:9pt;mso-wrap-distance-right:9pt;mso-wrap-distance-top:0;mso-wrap-style:square;position:absolute;visibility:visible;v-text-anchor:middle;z-index:251671552" fillcolor="white" stroked="f" strokeweight="1.25pt"/>
            </w:pict>
          </mc:Fallback>
        </mc:AlternateContent>
      </w:r>
    </w:p>
    <w:p w:rsidR="000E64A1" w:rsidP="000E64A1" w14:paraId="291315C1" w14:textId="514133F9">
      <w:pPr>
        <w:jc w:val="left"/>
        <w:rPr>
          <w:rFonts w:ascii="Tahoma" w:hAnsi="Tahoma" w:cs="Tahoma"/>
          <w:sz w:val="22"/>
          <w:szCs w:val="22"/>
          <w:rtl/>
        </w:rPr>
        <w:sectPr w:rsidSect="00DA022A">
          <w:headerReference w:type="even" r:id="rId16"/>
          <w:pgSz w:w="11906" w:h="16838" w:code="9"/>
          <w:pgMar w:top="3062" w:right="2268" w:bottom="2552" w:left="2268" w:header="709" w:footer="709" w:gutter="0"/>
          <w:pgNumType w:start="2"/>
          <w:cols w:space="720"/>
          <w:bidi/>
          <w:rtlGutter/>
          <w:docGrid w:linePitch="272"/>
        </w:sectPr>
      </w:pPr>
    </w:p>
    <w:p w:rsidR="00B93C72" w:rsidRPr="001F3363" w:rsidP="007C7D40" w14:paraId="4ED3AA37" w14:textId="59652088">
      <w:pPr>
        <w:pStyle w:val="7329"/>
        <w:bidi/>
        <w:jc w:val="left"/>
        <w:rPr>
          <w:rtl/>
        </w:rPr>
      </w:pPr>
      <w:r w:rsidRPr="001F3363">
        <w:rPr>
          <w:noProof/>
          <w:rtl/>
        </w:rPr>
        <mc:AlternateContent>
          <mc:Choice Requires="wps">
            <w:drawing>
              <wp:anchor distT="0" distB="0" distL="114300" distR="114300" simplePos="0" relativeHeight="251675648" behindDoc="0" locked="0" layoutInCell="1" allowOverlap="1">
                <wp:simplePos x="0" y="0"/>
                <wp:positionH relativeFrom="column">
                  <wp:posOffset>-651615</wp:posOffset>
                </wp:positionH>
                <wp:positionV relativeFrom="paragraph">
                  <wp:posOffset>178045</wp:posOffset>
                </wp:positionV>
                <wp:extent cx="194310" cy="5712833"/>
                <wp:effectExtent l="0" t="0" r="0" b="2540"/>
                <wp:wrapNone/>
                <wp:docPr id="21" name="Rectangle 24"/>
                <wp:cNvGraphicFramePr/>
                <a:graphic xmlns:a="http://schemas.openxmlformats.org/drawingml/2006/main">
                  <a:graphicData uri="http://schemas.microsoft.com/office/word/2010/wordprocessingShape">
                    <wps:wsp xmlns:wps="http://schemas.microsoft.com/office/word/2010/wordprocessingShape">
                      <wps:cNvSpPr/>
                      <wps:spPr>
                        <a:xfrm flipV="1">
                          <a:off x="0" y="0"/>
                          <a:ext cx="194310" cy="5712833"/>
                        </a:xfrm>
                        <a:prstGeom prst="rect">
                          <a:avLst/>
                        </a:prstGeom>
                        <a:solidFill>
                          <a:srgbClr val="00305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4" o:spid="_x0000_s1033" style="width:15.3pt;height:449.85pt;margin-top:14pt;margin-left:-51.3pt;flip:y;mso-height-percent:0;mso-height-relative:margin;mso-width-percent:0;mso-width-relative:margin;mso-wrap-distance-bottom:0;mso-wrap-distance-left:9pt;mso-wrap-distance-right:9pt;mso-wrap-distance-top:0;mso-wrap-style:square;position:absolute;visibility:visible;v-text-anchor:middle;z-index:251676672" fillcolor="#00305f" stroked="f" strokeweight="1.25pt"/>
            </w:pict>
          </mc:Fallback>
        </mc:AlternateContent>
      </w:r>
      <w:r w:rsidRPr="001F3363" w:rsidR="001F3363">
        <w:rPr>
          <w:noProof/>
          <w:rtl/>
        </w:rPr>
        <w:drawing>
          <wp:anchor distT="0" distB="0" distL="114300" distR="114300" simplePos="0" relativeHeight="251674624" behindDoc="0" locked="0" layoutInCell="1" allowOverlap="1">
            <wp:simplePos x="0" y="0"/>
            <wp:positionH relativeFrom="column">
              <wp:posOffset>3298190</wp:posOffset>
            </wp:positionH>
            <wp:positionV relativeFrom="paragraph">
              <wp:posOffset>879084</wp:posOffset>
            </wp:positionV>
            <wp:extent cx="1386840" cy="421640"/>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xmlns:r="http://schemas.openxmlformats.org/officeDocument/2006/relationships" r:embed="rId17" cstate="print">
                      <a:extLst>
                        <a:ext xmlns:a="http://schemas.openxmlformats.org/drawingml/2006/main" uri="{28A0092B-C50C-407E-A947-70E740481C1C}">
                          <a14:useLocalDpi xmlns:a14="http://schemas.microsoft.com/office/drawing/2010/main" val="0"/>
                        </a:ext>
                      </a:extLst>
                    </a:blip>
                    <a:stretch>
                      <a:fillRect/>
                    </a:stretch>
                  </pic:blipFill>
                  <pic:spPr>
                    <a:xfrm>
                      <a:off x="0" y="0"/>
                      <a:ext cx="1386840" cy="421640"/>
                    </a:xfrm>
                    <a:prstGeom prst="rect">
                      <a:avLst/>
                    </a:prstGeom>
                  </pic:spPr>
                </pic:pic>
              </a:graphicData>
            </a:graphic>
          </wp:anchor>
        </w:drawing>
      </w:r>
      <w:r w:rsidRPr="0035435A" w:rsidR="0035435A">
        <w:rPr>
          <w:noProof/>
          <w:rtl/>
        </w:rPr>
        <w:t xml:space="preserve">הדוחות הכספיים של רפאל מערכות לחימה מתקדמות בע"מ - מצב החברה וסיכוניה </w:t>
      </w:r>
    </w:p>
    <w:p w:rsidR="007B7A98" w:rsidP="007F4A20" w14:paraId="3E890A30" w14:textId="1C3C9B64">
      <w:pPr>
        <w:pStyle w:val="7392"/>
        <w:spacing w:before="360"/>
        <w:rPr>
          <w:rtl/>
        </w:rPr>
      </w:pPr>
      <w:r w:rsidRPr="00D348D3">
        <w:rPr>
          <w:rtl/>
        </w:rPr>
        <w:t>רפאל מערכות לחימה מתקדמות בע"מ (רפאל) היא חברה ממשלתית בבעלות מלאה של המדינה, המתמחה בפיתוח מערכות חימוש והגנה למרחבי האוויר, היבשה</w:t>
      </w:r>
      <w:r w:rsidRPr="00D348D3">
        <w:t xml:space="preserve"> </w:t>
      </w:r>
      <w:r w:rsidRPr="00D348D3">
        <w:rPr>
          <w:rtl/>
        </w:rPr>
        <w:t>והים, וכן בפיתוח פתרונות בתחומי התקשוב, איסוף ועיבוד של מודיעין ולוחמה ברשת. רפאל פועלת במבנה של שבע חטיבות, מהן שלוש חטיבות עסקיות - חטיבת הגנה אווירית, חטיבת אוויר ומודיעין וחטיבת יבשה וים. הדוחות הכספיים המאוחדים של החברה כוללים את דוחותיה ואת הדוחות של חברות הבנות שלה (קבוצת רפאל)</w:t>
      </w:r>
      <w:r>
        <w:rPr>
          <w:vertAlign w:val="superscript"/>
          <w:rtl/>
        </w:rPr>
        <w:footnoteReference w:id="2"/>
      </w:r>
      <w:r w:rsidRPr="00D348D3">
        <w:rPr>
          <w:rtl/>
        </w:rPr>
        <w:t xml:space="preserve">. מחזור המכירות של קבוצת רפאל הסתכם בשנת 2021 בכ-10 מיליארד ש"ח, כ-49% מהם היו לייצוא והרווח הנצבר בקבוצת רפאל נכון לסוף שנת 2021 היה </w:t>
      </w:r>
      <w:r>
        <w:rPr>
          <w:rFonts w:hint="cs"/>
          <w:rtl/>
        </w:rPr>
        <w:t xml:space="preserve"> </w:t>
      </w:r>
      <w:r w:rsidRPr="00D348D3">
        <w:rPr>
          <w:rtl/>
        </w:rPr>
        <w:t>כ-4.5 מיליארד ש"ח. ב-31.12.21 הועסקו בקבוצת רפאל 9,517 עובדים, בהם 8,019 ברפאל</w:t>
      </w:r>
      <w:r>
        <w:rPr>
          <w:rFonts w:hint="cs"/>
          <w:rtl/>
        </w:rPr>
        <w:t>.</w:t>
      </w:r>
    </w:p>
    <w:p w:rsidR="007B7A98" w:rsidRPr="007B7A98" w:rsidP="007B7A98" w14:paraId="12E08DE1" w14:textId="49934728">
      <w:pPr>
        <w:pStyle w:val="7392"/>
        <w:rPr>
          <w:rtl/>
        </w:rPr>
      </w:pPr>
      <w:r w:rsidRPr="00D348D3">
        <w:rPr>
          <w:rtl/>
        </w:rPr>
        <w:t>רפאל מציינת בדוחותיה התקופתיים כי יש לה תלות רבה בתקציב הביטחון: נתח עיקרי מפעילות החברה תלוי בתקציבי הביטחון של מדינת ישראל; ושחיקה בתקציבי הביטחון או שינוי סדרי העדיפויות הביטחוניים במדינת ישראל עלולים לפגוע בביצוע התקשרויות ולפגוע בתוצאות הכספיות של החברה. בהקשר זה יצוין כי בשנים 2019 ו-2020 יושם תקציב מדינה "המשכי"</w:t>
      </w:r>
      <w:r>
        <w:rPr>
          <w:vertAlign w:val="superscript"/>
          <w:rtl/>
        </w:rPr>
        <w:footnoteReference w:id="3"/>
      </w:r>
      <w:r w:rsidRPr="00D348D3">
        <w:rPr>
          <w:rtl/>
        </w:rPr>
        <w:t>; ובדוח התקופתי של רפאל לשנת 2019 ולשנת 2020 צוין כי נוכח זאת חל עיכוב בקבלת הזמנות ממשרד הביטחון בשנים אלו</w:t>
      </w:r>
      <w:r w:rsidRPr="007B7A98">
        <w:rPr>
          <w:rFonts w:hint="cs"/>
          <w:rtl/>
        </w:rPr>
        <w:t>.</w:t>
      </w:r>
    </w:p>
    <w:p w:rsidR="007B7A98" w:rsidP="007B7A98" w14:paraId="102A8CBC" w14:textId="3AABFCB5">
      <w:pPr>
        <w:pStyle w:val="7392"/>
        <w:rPr>
          <w:rtl/>
        </w:rPr>
      </w:pPr>
      <w:r w:rsidRPr="00D348D3">
        <w:rPr>
          <w:rtl/>
        </w:rPr>
        <w:t xml:space="preserve">ברבעון הראשון של שנת 2020 התפרצה מגפה עולמית בעקבות התפשטות נגיף הקורונה. בדוח התקופתי של רפאל לשנת 2020 צוין כי ככלל ניתן לומר כי הגדרת החברה כמפעל חיוני </w:t>
      </w:r>
      <w:r w:rsidRPr="00D348D3">
        <w:rPr>
          <w:rtl/>
        </w:rPr>
        <w:t>איפשרה</w:t>
      </w:r>
      <w:r w:rsidRPr="00D348D3">
        <w:rPr>
          <w:rtl/>
        </w:rPr>
        <w:t xml:space="preserve"> לה להמשיך לתפקד באופן סביר יחסית לחברות אחרות במשק; כי החברה המשיכה לפעול ולתפקד באופן מיטבי בהתחשב בנסיבות ובמגבלות; וכי היא נקטה צעדים ששמרו על הרווחיות התפעולית שלה. עוד צוין כי הפגיעה בשנת 2020 הייתה בעיקר בקבלת הזמנות חדשות מחו״ל בהיקף קטן מיעד התקציב ובתוצאות הפעילות של חלק מחברות הבנות; וכי לאורך כל התקופה לא הסתמנה בעיה בכל הקשור למימון פעילות החברה. בדוח התקופתי של רפאל לשנת 2021 צוין כי התפשטות הנגיף גרמה, בין היתר, לשיבוש בשרשרת האספקה</w:t>
      </w:r>
      <w:r w:rsidRPr="007B7A98" w:rsidR="006F4F50">
        <w:rPr>
          <w:rFonts w:hint="cs"/>
          <w:rtl/>
        </w:rPr>
        <w:t xml:space="preserve">. </w:t>
      </w:r>
    </w:p>
    <w:p w:rsidR="007F4A20" w:rsidRPr="007B7A98" w:rsidP="007B7A98" w14:paraId="0B41EED6" w14:textId="4D9F47E1">
      <w:pPr>
        <w:pStyle w:val="7392"/>
        <w:rPr>
          <w:rtl/>
        </w:rPr>
      </w:pPr>
      <w:r w:rsidRPr="00D348D3">
        <w:rPr>
          <w:rtl/>
        </w:rPr>
        <w:t xml:space="preserve">באפריל 2021 איחדה רפאל בדוחותיה הכספיים את חברת </w:t>
      </w:r>
      <w:r w:rsidRPr="00D348D3">
        <w:rPr>
          <w:rtl/>
        </w:rPr>
        <w:t>אירונאוטיקס</w:t>
      </w:r>
      <w:r w:rsidRPr="00D348D3">
        <w:rPr>
          <w:rtl/>
        </w:rPr>
        <w:t xml:space="preserve"> בע"מ ואת חברת </w:t>
      </w:r>
      <w:r w:rsidRPr="00D348D3">
        <w:rPr>
          <w:rtl/>
        </w:rPr>
        <w:t>קונטרופ</w:t>
      </w:r>
      <w:r w:rsidRPr="00D348D3">
        <w:rPr>
          <w:rtl/>
        </w:rPr>
        <w:t xml:space="preserve"> טכנולוגיות מדויקות בע"מ</w:t>
      </w:r>
      <w:r>
        <w:rPr>
          <w:vertAlign w:val="superscript"/>
          <w:rtl/>
        </w:rPr>
        <w:footnoteReference w:id="4"/>
      </w:r>
      <w:r w:rsidRPr="007B7A98" w:rsidR="0036097F">
        <w:rPr>
          <w:rFonts w:hint="cs"/>
          <w:rtl/>
        </w:rPr>
        <w:t>.</w:t>
      </w:r>
      <w:r w:rsidRPr="007B7A98" w:rsidR="00B61DE7">
        <w:rPr>
          <w:rtl/>
        </w:rPr>
        <w:t xml:space="preserve"> </w:t>
      </w:r>
    </w:p>
    <w:p w:rsidR="005D0F8C" w:rsidP="007F4A20" w14:paraId="087C7BAD" w14:textId="0A8743A0">
      <w:pPr>
        <w:pStyle w:val="7392"/>
        <w:spacing w:before="360"/>
        <w:rPr>
          <w:b/>
          <w:bCs/>
          <w:color w:val="00305F"/>
          <w:sz w:val="32"/>
          <w:szCs w:val="32"/>
          <w:rtl/>
        </w:rPr>
      </w:pPr>
      <w:r w:rsidRPr="001F3363">
        <w:rPr>
          <w:noProof/>
          <w:rtl/>
        </w:rPr>
        <w:drawing>
          <wp:anchor distT="0" distB="0" distL="114300" distR="114300" simplePos="0" relativeHeight="251677696" behindDoc="0" locked="0" layoutInCell="1" allowOverlap="1">
            <wp:simplePos x="0" y="0"/>
            <wp:positionH relativeFrom="column">
              <wp:posOffset>3298825</wp:posOffset>
            </wp:positionH>
            <wp:positionV relativeFrom="paragraph">
              <wp:posOffset>488</wp:posOffset>
            </wp:positionV>
            <wp:extent cx="1405255" cy="431800"/>
            <wp:effectExtent l="0" t="0" r="444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xmlns:r="http://schemas.openxmlformats.org/officeDocument/2006/relationships" r:embed="rId18"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05255" cy="431800"/>
                    </a:xfrm>
                    <a:prstGeom prst="rect">
                      <a:avLst/>
                    </a:prstGeom>
                  </pic:spPr>
                </pic:pic>
              </a:graphicData>
            </a:graphic>
            <wp14:sizeRelH relativeFrom="margin">
              <wp14:pctWidth>0</wp14:pctWidth>
            </wp14:sizeRelH>
            <wp14:sizeRelV relativeFrom="margin">
              <wp14:pctHeight>0</wp14:pctHeight>
            </wp14:sizeRelV>
          </wp:anchor>
        </w:drawing>
      </w:r>
    </w:p>
    <w:p w:rsidR="005D0F8C" w:rsidP="007F4A20" w14:paraId="2AA141C4" w14:textId="77777777">
      <w:pPr>
        <w:pStyle w:val="100"/>
        <w:tabs>
          <w:tab w:val="center" w:pos="3685"/>
        </w:tabs>
        <w:spacing w:before="360" w:after="0" w:line="240" w:lineRule="exact"/>
        <w:rPr>
          <w:b/>
          <w:bCs/>
          <w:color w:val="00305F"/>
          <w:sz w:val="32"/>
          <w:szCs w:val="32"/>
          <w:rtl/>
        </w:rPr>
      </w:pP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35"/>
        <w:gridCol w:w="323"/>
        <w:gridCol w:w="2081"/>
        <w:gridCol w:w="323"/>
        <w:gridCol w:w="2308"/>
      </w:tblGrid>
      <w:tr w14:paraId="58B4726B" w14:textId="77777777" w:rsidTr="007B7A98">
        <w:tblPrEx>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584" w:type="pct"/>
            <w:tcBorders>
              <w:bottom w:val="single" w:sz="12" w:space="0" w:color="000000" w:themeColor="text1"/>
            </w:tcBorders>
            <w:vAlign w:val="bottom"/>
          </w:tcPr>
          <w:p w:rsidR="007B7A98" w:rsidRPr="004562F8" w:rsidP="00937056" w14:paraId="23EB689E" w14:textId="3FA458A1">
            <w:pPr>
              <w:spacing w:after="60" w:line="240" w:lineRule="auto"/>
              <w:rPr>
                <w:b/>
                <w:bCs/>
                <w:spacing w:val="-28"/>
                <w:rtl/>
              </w:rPr>
            </w:pPr>
            <w:r w:rsidRPr="007B7A98">
              <w:rPr>
                <w:rFonts w:ascii="Tahoma" w:hAnsi="Tahoma" w:eastAsiaTheme="minorEastAsia" w:cs="Tahoma" w:hint="cs"/>
                <w:b/>
                <w:bCs/>
                <w:color w:val="0D0D0D" w:themeColor="text1" w:themeTint="F2"/>
                <w:spacing w:val="-10"/>
                <w:sz w:val="26"/>
                <w:szCs w:val="26"/>
                <w:rtl/>
              </w:rPr>
              <w:t>כ-</w:t>
            </w:r>
            <w:r>
              <w:rPr>
                <w:rFonts w:ascii="Tahoma" w:hAnsi="Tahoma" w:eastAsiaTheme="minorEastAsia" w:cs="Tahoma" w:hint="cs"/>
                <w:b/>
                <w:bCs/>
                <w:color w:val="0D0D0D" w:themeColor="text1" w:themeTint="F2"/>
                <w:spacing w:val="-10"/>
                <w:sz w:val="36"/>
                <w:szCs w:val="36"/>
                <w:rtl/>
              </w:rPr>
              <w:t xml:space="preserve">17.9 </w:t>
            </w:r>
            <w:r>
              <w:rPr>
                <w:rFonts w:ascii="Tahoma" w:hAnsi="Tahoma" w:eastAsiaTheme="minorEastAsia" w:cs="Tahoma"/>
                <w:b/>
                <w:bCs/>
                <w:color w:val="0D0D0D" w:themeColor="text1" w:themeTint="F2"/>
                <w:spacing w:val="-10"/>
                <w:sz w:val="26"/>
                <w:szCs w:val="26"/>
                <w:rtl/>
              </w:rPr>
              <w:br/>
            </w:r>
            <w:r>
              <w:rPr>
                <w:rFonts w:ascii="Tahoma" w:hAnsi="Tahoma" w:eastAsiaTheme="minorEastAsia" w:cs="Tahoma" w:hint="cs"/>
                <w:b/>
                <w:bCs/>
                <w:color w:val="0D0D0D" w:themeColor="text1" w:themeTint="F2"/>
                <w:spacing w:val="-10"/>
                <w:sz w:val="26"/>
                <w:szCs w:val="26"/>
                <w:rtl/>
              </w:rPr>
              <w:t>מיליארד ש״ח</w:t>
            </w:r>
          </w:p>
        </w:tc>
        <w:tc>
          <w:tcPr>
            <w:tcW w:w="219" w:type="pct"/>
            <w:vAlign w:val="bottom"/>
          </w:tcPr>
          <w:p w:rsidR="007B7A98" w:rsidP="00937056" w14:paraId="19192EA5" w14:textId="77777777">
            <w:pPr>
              <w:spacing w:before="120" w:after="60" w:line="240" w:lineRule="auto"/>
              <w:rPr>
                <w:rtl/>
              </w:rPr>
            </w:pPr>
          </w:p>
        </w:tc>
        <w:tc>
          <w:tcPr>
            <w:tcW w:w="1412" w:type="pct"/>
            <w:tcBorders>
              <w:bottom w:val="single" w:sz="12" w:space="0" w:color="000000" w:themeColor="text1"/>
            </w:tcBorders>
            <w:vAlign w:val="bottom"/>
          </w:tcPr>
          <w:p w:rsidR="007B7A98" w:rsidRPr="005C7ABF" w:rsidP="00937056" w14:paraId="761F4116" w14:textId="0D582E71">
            <w:pPr>
              <w:pStyle w:val="2021"/>
              <w:spacing w:before="0" w:after="60"/>
              <w:rPr>
                <w:spacing w:val="-10"/>
                <w:rtl/>
              </w:rPr>
            </w:pPr>
            <w:r w:rsidRPr="007B7A98">
              <w:rPr>
                <w:rFonts w:hint="cs"/>
                <w:spacing w:val="-10"/>
                <w:sz w:val="26"/>
                <w:szCs w:val="26"/>
                <w:rtl/>
              </w:rPr>
              <w:t>כ-</w:t>
            </w:r>
            <w:r>
              <w:rPr>
                <w:rFonts w:hint="cs"/>
                <w:spacing w:val="-10"/>
                <w:rtl/>
              </w:rPr>
              <w:t xml:space="preserve">46.5 </w:t>
            </w:r>
            <w:r w:rsidRPr="00411396">
              <w:rPr>
                <w:rFonts w:hint="cs"/>
                <w:spacing w:val="-10"/>
                <w:sz w:val="26"/>
                <w:szCs w:val="26"/>
                <w:rtl/>
              </w:rPr>
              <w:t>מיליארד ש״ח</w:t>
            </w:r>
          </w:p>
        </w:tc>
        <w:tc>
          <w:tcPr>
            <w:tcW w:w="219" w:type="pct"/>
            <w:vAlign w:val="bottom"/>
          </w:tcPr>
          <w:p w:rsidR="007B7A98" w:rsidP="00937056" w14:paraId="2810DE55" w14:textId="77777777">
            <w:pPr>
              <w:spacing w:before="120" w:after="60" w:line="240" w:lineRule="auto"/>
              <w:rPr>
                <w:rtl/>
              </w:rPr>
            </w:pPr>
          </w:p>
        </w:tc>
        <w:tc>
          <w:tcPr>
            <w:tcW w:w="1566" w:type="pct"/>
            <w:tcBorders>
              <w:bottom w:val="single" w:sz="12" w:space="0" w:color="000000" w:themeColor="text1"/>
            </w:tcBorders>
            <w:vAlign w:val="bottom"/>
          </w:tcPr>
          <w:p w:rsidR="007B7A98" w:rsidRPr="00340353" w:rsidP="00937056" w14:paraId="2A2E27BD" w14:textId="2F6F58DD">
            <w:pPr>
              <w:pStyle w:val="2021"/>
              <w:spacing w:before="0" w:after="60"/>
              <w:rPr>
                <w:b w:val="0"/>
                <w:bCs w:val="0"/>
                <w:spacing w:val="-20"/>
                <w:sz w:val="24"/>
                <w:rtl/>
              </w:rPr>
            </w:pPr>
            <w:r w:rsidRPr="007B7A98">
              <w:rPr>
                <w:rFonts w:hint="cs"/>
                <w:spacing w:val="-10"/>
                <w:sz w:val="26"/>
                <w:szCs w:val="26"/>
                <w:rtl/>
              </w:rPr>
              <w:t>כ-</w:t>
            </w:r>
            <w:r>
              <w:rPr>
                <w:rFonts w:hint="cs"/>
                <w:spacing w:val="-10"/>
                <w:rtl/>
              </w:rPr>
              <w:t xml:space="preserve">50% </w:t>
            </w:r>
          </w:p>
        </w:tc>
      </w:tr>
      <w:tr w14:paraId="6DFAF81C" w14:textId="77777777" w:rsidTr="007B7A98">
        <w:tblPrEx>
          <w:tblW w:w="5000" w:type="pct"/>
          <w:tblLook w:val="04A0"/>
        </w:tblPrEx>
        <w:tc>
          <w:tcPr>
            <w:tcW w:w="1584" w:type="pct"/>
            <w:tcBorders>
              <w:top w:val="single" w:sz="12" w:space="0" w:color="000000" w:themeColor="text1"/>
            </w:tcBorders>
          </w:tcPr>
          <w:p w:rsidR="007B7A98" w:rsidRPr="00E52143" w:rsidP="007B7A98" w14:paraId="1D96599A" w14:textId="67EFB1BF">
            <w:pPr>
              <w:pStyle w:val="732021"/>
              <w:spacing w:before="0"/>
              <w:rPr>
                <w:rtl/>
              </w:rPr>
            </w:pPr>
            <w:r w:rsidRPr="00D348D3">
              <w:rPr>
                <w:rtl/>
              </w:rPr>
              <w:t>היקף המאזן של קבוצת רפאל ל-31.12.21</w:t>
            </w:r>
          </w:p>
        </w:tc>
        <w:tc>
          <w:tcPr>
            <w:tcW w:w="219" w:type="pct"/>
          </w:tcPr>
          <w:p w:rsidR="007B7A98" w:rsidRPr="00E52143" w:rsidP="007B7A98" w14:paraId="2BF81D8C" w14:textId="77777777">
            <w:pPr>
              <w:pStyle w:val="732021"/>
              <w:spacing w:before="0"/>
              <w:rPr>
                <w:rtl/>
              </w:rPr>
            </w:pPr>
          </w:p>
        </w:tc>
        <w:tc>
          <w:tcPr>
            <w:tcW w:w="1412" w:type="pct"/>
            <w:tcBorders>
              <w:top w:val="single" w:sz="12" w:space="0" w:color="000000" w:themeColor="text1"/>
            </w:tcBorders>
          </w:tcPr>
          <w:p w:rsidR="007B7A98" w:rsidRPr="00E52143" w:rsidP="007B7A98" w14:paraId="68924AF7" w14:textId="49C1F158">
            <w:pPr>
              <w:pStyle w:val="732021"/>
              <w:spacing w:before="0"/>
              <w:rPr>
                <w:rtl/>
              </w:rPr>
            </w:pPr>
            <w:r w:rsidRPr="00D348D3">
              <w:rPr>
                <w:rtl/>
              </w:rPr>
              <w:t>הכנסות קבוצת רפאל ממכירות בשנים</w:t>
            </w:r>
            <w:r w:rsidR="00172400">
              <w:rPr>
                <w:rtl/>
              </w:rPr>
              <w:br/>
            </w:r>
            <w:r w:rsidRPr="00D348D3">
              <w:rPr>
                <w:rtl/>
              </w:rPr>
              <w:t>2017 - 2021</w:t>
            </w:r>
          </w:p>
        </w:tc>
        <w:tc>
          <w:tcPr>
            <w:tcW w:w="219" w:type="pct"/>
          </w:tcPr>
          <w:p w:rsidR="007B7A98" w:rsidRPr="00E52143" w:rsidP="007B7A98" w14:paraId="4F52CE08" w14:textId="77777777">
            <w:pPr>
              <w:pStyle w:val="732021"/>
              <w:spacing w:before="0"/>
              <w:rPr>
                <w:rtl/>
              </w:rPr>
            </w:pPr>
          </w:p>
        </w:tc>
        <w:tc>
          <w:tcPr>
            <w:tcW w:w="1566" w:type="pct"/>
            <w:tcBorders>
              <w:top w:val="single" w:sz="12" w:space="0" w:color="000000" w:themeColor="text1"/>
            </w:tcBorders>
          </w:tcPr>
          <w:p w:rsidR="007B7A98" w:rsidP="007B7A98" w14:paraId="1F422A39" w14:textId="77777777">
            <w:pPr>
              <w:pStyle w:val="732021"/>
              <w:spacing w:before="0"/>
              <w:rPr>
                <w:rtl/>
              </w:rPr>
            </w:pPr>
            <w:r w:rsidRPr="00D348D3">
              <w:rPr>
                <w:rtl/>
              </w:rPr>
              <w:t>מההכנסות ממכירות של רפאל מקורן בתקציב הביטחון</w:t>
            </w:r>
          </w:p>
          <w:p w:rsidR="007B7A98" w:rsidRPr="00E52143" w:rsidP="007B7A98" w14:paraId="203F9568" w14:textId="46ED78DA">
            <w:pPr>
              <w:pStyle w:val="732021"/>
              <w:spacing w:before="0"/>
              <w:rPr>
                <w:rtl/>
              </w:rPr>
            </w:pPr>
          </w:p>
        </w:tc>
      </w:tr>
      <w:tr w14:paraId="1BD5A20C" w14:textId="77777777" w:rsidTr="007B7A98">
        <w:tblPrEx>
          <w:tblW w:w="5000" w:type="pct"/>
          <w:tblLook w:val="04A0"/>
        </w:tblPrEx>
        <w:tc>
          <w:tcPr>
            <w:tcW w:w="1584" w:type="pct"/>
            <w:tcBorders>
              <w:bottom w:val="single" w:sz="12" w:space="0" w:color="000000" w:themeColor="text1"/>
            </w:tcBorders>
            <w:vAlign w:val="bottom"/>
          </w:tcPr>
          <w:p w:rsidR="007B7A98" w:rsidRPr="00411396" w:rsidP="00937056" w14:paraId="500D3B50" w14:textId="4B30B2FD">
            <w:pPr>
              <w:spacing w:line="240" w:lineRule="auto"/>
              <w:rPr>
                <w:rFonts w:ascii="Tahoma" w:hAnsi="Tahoma" w:eastAsiaTheme="minorEastAsia" w:cs="Tahoma"/>
                <w:b/>
                <w:bCs/>
                <w:color w:val="0D0D0D" w:themeColor="text1" w:themeTint="F2"/>
                <w:spacing w:val="-10"/>
                <w:sz w:val="36"/>
                <w:szCs w:val="36"/>
                <w:rtl/>
              </w:rPr>
            </w:pPr>
            <w:r>
              <w:rPr>
                <w:rFonts w:ascii="Tahoma" w:hAnsi="Tahoma" w:eastAsiaTheme="minorEastAsia" w:cs="Tahoma" w:hint="cs"/>
                <w:b/>
                <w:bCs/>
                <w:color w:val="0D0D0D" w:themeColor="text1" w:themeTint="F2"/>
                <w:spacing w:val="-10"/>
                <w:sz w:val="36"/>
                <w:szCs w:val="36"/>
                <w:rtl/>
              </w:rPr>
              <w:t>13%</w:t>
            </w:r>
          </w:p>
        </w:tc>
        <w:tc>
          <w:tcPr>
            <w:tcW w:w="219" w:type="pct"/>
            <w:vAlign w:val="bottom"/>
          </w:tcPr>
          <w:p w:rsidR="007B7A98" w:rsidRPr="00E52143" w:rsidP="00937056" w14:paraId="26A950B1" w14:textId="77777777">
            <w:pPr>
              <w:spacing w:after="120"/>
              <w:jc w:val="left"/>
              <w:rPr>
                <w:rFonts w:ascii="Tahoma" w:hAnsi="Tahoma" w:eastAsiaTheme="minorEastAsia" w:cs="Tahoma"/>
                <w:b/>
                <w:bCs/>
                <w:color w:val="0D0D0D" w:themeColor="text1" w:themeTint="F2"/>
                <w:spacing w:val="-10"/>
                <w:sz w:val="36"/>
                <w:szCs w:val="36"/>
                <w:rtl/>
              </w:rPr>
            </w:pPr>
          </w:p>
        </w:tc>
        <w:tc>
          <w:tcPr>
            <w:tcW w:w="1412" w:type="pct"/>
            <w:tcBorders>
              <w:bottom w:val="single" w:sz="12" w:space="0" w:color="000000" w:themeColor="text1"/>
            </w:tcBorders>
            <w:vAlign w:val="bottom"/>
          </w:tcPr>
          <w:p w:rsidR="007B7A98" w:rsidRPr="008D750B" w:rsidP="00937056" w14:paraId="48896DF7" w14:textId="5A47E592">
            <w:pPr>
              <w:pStyle w:val="2021"/>
              <w:spacing w:before="0" w:after="60"/>
              <w:rPr>
                <w:spacing w:val="-10"/>
                <w:rtl/>
              </w:rPr>
            </w:pPr>
            <w:r>
              <w:rPr>
                <w:rFonts w:hint="cs"/>
                <w:spacing w:val="-10"/>
                <w:rtl/>
              </w:rPr>
              <w:t xml:space="preserve">663 </w:t>
            </w:r>
            <w:r>
              <w:rPr>
                <w:spacing w:val="-10"/>
                <w:sz w:val="26"/>
                <w:szCs w:val="26"/>
                <w:rtl/>
              </w:rPr>
              <w:br/>
            </w:r>
            <w:r w:rsidRPr="007B7A98">
              <w:rPr>
                <w:rFonts w:hint="cs"/>
                <w:spacing w:val="-10"/>
                <w:sz w:val="26"/>
                <w:szCs w:val="26"/>
                <w:rtl/>
              </w:rPr>
              <w:t>מיליון ש״ח</w:t>
            </w:r>
          </w:p>
        </w:tc>
        <w:tc>
          <w:tcPr>
            <w:tcW w:w="219" w:type="pct"/>
            <w:vAlign w:val="bottom"/>
          </w:tcPr>
          <w:p w:rsidR="007B7A98" w:rsidP="00937056" w14:paraId="5B4C8A80" w14:textId="77777777">
            <w:pPr>
              <w:spacing w:after="120" w:line="240" w:lineRule="auto"/>
              <w:jc w:val="left"/>
              <w:rPr>
                <w:rtl/>
              </w:rPr>
            </w:pPr>
          </w:p>
        </w:tc>
        <w:tc>
          <w:tcPr>
            <w:tcW w:w="1566" w:type="pct"/>
            <w:tcBorders>
              <w:bottom w:val="single" w:sz="12" w:space="0" w:color="000000" w:themeColor="text1"/>
            </w:tcBorders>
            <w:vAlign w:val="bottom"/>
          </w:tcPr>
          <w:p w:rsidR="007B7A98" w:rsidRPr="0062456C" w:rsidP="00937056" w14:paraId="226A2E50" w14:textId="465AFD35">
            <w:pPr>
              <w:spacing w:after="60" w:line="192" w:lineRule="auto"/>
              <w:rPr>
                <w:rFonts w:ascii="Tahoma" w:hAnsi="Tahoma" w:eastAsiaTheme="minorEastAsia" w:cs="Tahoma"/>
                <w:b/>
                <w:bCs/>
                <w:color w:val="0D0D0D" w:themeColor="text1" w:themeTint="F2"/>
                <w:spacing w:val="-10"/>
                <w:sz w:val="36"/>
                <w:szCs w:val="36"/>
                <w:rtl/>
              </w:rPr>
            </w:pPr>
            <w:r>
              <w:rPr>
                <w:rFonts w:ascii="Tahoma" w:hAnsi="Tahoma" w:eastAsiaTheme="minorEastAsia" w:cs="Tahoma" w:hint="cs"/>
                <w:b/>
                <w:bCs/>
                <w:color w:val="0D0D0D" w:themeColor="text1" w:themeTint="F2"/>
                <w:spacing w:val="-10"/>
                <w:sz w:val="36"/>
                <w:szCs w:val="36"/>
                <w:rtl/>
              </w:rPr>
              <w:t xml:space="preserve">4 </w:t>
            </w:r>
            <w:r>
              <w:rPr>
                <w:rFonts w:ascii="Tahoma" w:hAnsi="Tahoma" w:eastAsiaTheme="minorEastAsia" w:cs="Tahoma"/>
                <w:b/>
                <w:bCs/>
                <w:color w:val="0D0D0D" w:themeColor="text1" w:themeTint="F2"/>
                <w:spacing w:val="-10"/>
                <w:sz w:val="26"/>
                <w:szCs w:val="26"/>
                <w:rtl/>
              </w:rPr>
              <w:br/>
            </w:r>
            <w:r w:rsidRPr="007B7A98">
              <w:rPr>
                <w:rFonts w:ascii="Tahoma" w:hAnsi="Tahoma" w:eastAsiaTheme="minorEastAsia" w:cs="Tahoma" w:hint="cs"/>
                <w:b/>
                <w:bCs/>
                <w:color w:val="0D0D0D" w:themeColor="text1" w:themeTint="F2"/>
                <w:spacing w:val="-10"/>
                <w:sz w:val="26"/>
                <w:szCs w:val="26"/>
                <w:rtl/>
              </w:rPr>
              <w:t>דירקטורים בלבד</w:t>
            </w:r>
          </w:p>
        </w:tc>
      </w:tr>
      <w:tr w14:paraId="54154FA5" w14:textId="77777777" w:rsidTr="007B7A98">
        <w:tblPrEx>
          <w:tblW w:w="5000" w:type="pct"/>
          <w:tblLook w:val="04A0"/>
        </w:tblPrEx>
        <w:tc>
          <w:tcPr>
            <w:tcW w:w="1584" w:type="pct"/>
            <w:tcBorders>
              <w:top w:val="single" w:sz="12" w:space="0" w:color="000000" w:themeColor="text1"/>
            </w:tcBorders>
          </w:tcPr>
          <w:p w:rsidR="007B7A98" w:rsidRPr="004562F8" w:rsidP="007B7A98" w14:paraId="6DB67748" w14:textId="1488000B">
            <w:pPr>
              <w:pStyle w:val="732021"/>
              <w:spacing w:before="0" w:after="0"/>
              <w:rPr>
                <w:rtl/>
              </w:rPr>
            </w:pPr>
            <w:r w:rsidRPr="00D348D3">
              <w:rPr>
                <w:rtl/>
              </w:rPr>
              <w:t xml:space="preserve">שיעור ירידת הרווח התפעולי של רפאל מהכנסותיה ממכירות משנת 2017 (6.1%) </w:t>
            </w:r>
            <w:r w:rsidRPr="00D348D3">
              <w:rPr>
                <w:rtl/>
              </w:rPr>
              <w:br/>
              <w:t>עד שנת 2021 (5.3%)</w:t>
            </w:r>
          </w:p>
        </w:tc>
        <w:tc>
          <w:tcPr>
            <w:tcW w:w="219" w:type="pct"/>
          </w:tcPr>
          <w:p w:rsidR="007B7A98" w:rsidRPr="008D750B" w:rsidP="007B7A98" w14:paraId="0C0AE598" w14:textId="77777777">
            <w:pPr>
              <w:pStyle w:val="732021"/>
              <w:spacing w:before="0" w:after="0"/>
              <w:rPr>
                <w:rtl/>
              </w:rPr>
            </w:pPr>
          </w:p>
        </w:tc>
        <w:tc>
          <w:tcPr>
            <w:tcW w:w="1412" w:type="pct"/>
            <w:tcBorders>
              <w:top w:val="single" w:sz="12" w:space="0" w:color="000000" w:themeColor="text1"/>
            </w:tcBorders>
          </w:tcPr>
          <w:p w:rsidR="007B7A98" w:rsidRPr="004562F8" w:rsidP="007B7A98" w14:paraId="1916A301" w14:textId="3B0A33C4">
            <w:pPr>
              <w:pStyle w:val="732021"/>
              <w:spacing w:before="0" w:after="0"/>
              <w:rPr>
                <w:rtl/>
              </w:rPr>
            </w:pPr>
            <w:r w:rsidRPr="00D348D3">
              <w:rPr>
                <w:rtl/>
              </w:rPr>
              <w:t>סכום הדיבידנדים השוטפים שעליו הכריזה רפאל בגין השנים</w:t>
            </w:r>
            <w:r w:rsidR="00172400">
              <w:rPr>
                <w:rtl/>
              </w:rPr>
              <w:br/>
            </w:r>
            <w:r w:rsidRPr="00D348D3">
              <w:rPr>
                <w:rtl/>
              </w:rPr>
              <w:t>2017 - 2021 לעומת הכנסות מצטברות בסך של כ-46 מיליארד ש"ח ורווח נקי מצטבר של יותר משני מיליארד ש"ח</w:t>
            </w:r>
          </w:p>
        </w:tc>
        <w:tc>
          <w:tcPr>
            <w:tcW w:w="219" w:type="pct"/>
          </w:tcPr>
          <w:p w:rsidR="007B7A98" w:rsidP="007B7A98" w14:paraId="14782C57" w14:textId="77777777">
            <w:pPr>
              <w:pStyle w:val="732021"/>
              <w:spacing w:before="0" w:after="0"/>
              <w:rPr>
                <w:rtl/>
              </w:rPr>
            </w:pPr>
          </w:p>
        </w:tc>
        <w:tc>
          <w:tcPr>
            <w:tcW w:w="1566" w:type="pct"/>
            <w:tcBorders>
              <w:top w:val="single" w:sz="12" w:space="0" w:color="000000" w:themeColor="text1"/>
            </w:tcBorders>
          </w:tcPr>
          <w:p w:rsidR="007B7A98" w:rsidRPr="0062456C" w:rsidP="007B7A98" w14:paraId="6149CA50" w14:textId="442E470E">
            <w:pPr>
              <w:pStyle w:val="732021"/>
              <w:spacing w:before="0" w:after="0"/>
              <w:rPr>
                <w:rtl/>
              </w:rPr>
            </w:pPr>
            <w:r w:rsidRPr="00D348D3">
              <w:rPr>
                <w:rtl/>
              </w:rPr>
              <w:t>כיהנו בפועל בדירקטוריון רפאל נכון לסוף שנת 2021</w:t>
            </w:r>
          </w:p>
        </w:tc>
      </w:tr>
    </w:tbl>
    <w:p w:rsidR="00420374" w:rsidP="00420374" w14:paraId="509D5AB6" w14:textId="77777777">
      <w:pPr>
        <w:pStyle w:val="7317"/>
        <w:spacing w:after="0"/>
        <w:rPr>
          <w:sz w:val="10"/>
          <w:szCs w:val="10"/>
          <w:rtl/>
        </w:rPr>
      </w:pPr>
    </w:p>
    <w:p w:rsidR="00420374" w:rsidRPr="00C62692" w:rsidP="00420374" w14:paraId="3FADD5EE" w14:textId="77777777">
      <w:pPr>
        <w:pStyle w:val="73"/>
        <w:rPr>
          <w:rtl/>
        </w:rPr>
      </w:pPr>
      <w:r w:rsidRPr="00C62692">
        <w:rPr>
          <w:rtl/>
        </w:rPr>
        <w:t>פעולות הביקורת</w:t>
      </w:r>
    </w:p>
    <w:p w:rsidR="007B7A98" w:rsidP="00420374" w14:paraId="5A340B36" w14:textId="0172EA91">
      <w:pPr>
        <w:pStyle w:val="7317"/>
        <w:rPr>
          <w:rtl/>
        </w:rPr>
      </w:pPr>
      <w:r w:rsidRPr="001F3363">
        <w:rPr>
          <w:noProof/>
        </w:rPr>
        <w:drawing>
          <wp:anchor distT="0" distB="0" distL="114300" distR="114300" simplePos="0" relativeHeight="251684864" behindDoc="0" locked="0" layoutInCell="1" allowOverlap="1">
            <wp:simplePos x="0" y="0"/>
            <wp:positionH relativeFrom="column">
              <wp:posOffset>4537075</wp:posOffset>
            </wp:positionH>
            <wp:positionV relativeFrom="paragraph">
              <wp:posOffset>50409</wp:posOffset>
            </wp:positionV>
            <wp:extent cx="162000" cy="162000"/>
            <wp:effectExtent l="0" t="0" r="3175" b="3175"/>
            <wp:wrapSquare wrapText="bothSides"/>
            <wp:docPr id="25" name="תמונה 33"/>
            <wp:cNvGraphicFramePr/>
            <a:graphic xmlns:a="http://schemas.openxmlformats.org/drawingml/2006/main">
              <a:graphicData uri="http://schemas.openxmlformats.org/drawingml/2006/picture">
                <pic:pic xmlns:pic="http://schemas.openxmlformats.org/drawingml/2006/picture">
                  <pic:nvPicPr>
                    <pic:cNvPr id="25" name="תמונה 33"/>
                    <pic:cNvPicPr>
                      <a:picLocks noChangeAspect="1" noChangeArrowheads="1"/>
                    </pic:cNvPicPr>
                  </pic:nvPicPr>
                  <pic:blipFill>
                    <a:blip xmlns:r="http://schemas.openxmlformats.org/officeDocument/2006/relationships" r:embed="rId1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62000" cy="1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348D3">
        <w:rPr>
          <w:rtl/>
        </w:rPr>
        <w:t>משרד מבקר המדינה בדק בחודשים אוקטובר 2021 עד יולי 2022 היבטים הנוגעים למצבה העסקי והכספי של רפאל, כפי שהם משתקפים בדוחותיה השנתיים לשנים 2017 - 2021 (התקופה הנבדקת) ובמסמכיה, וכן היבטים הנוגעים לממשל תאגידי. הביקורת נעשתה ברפאל. בדיקות השלמה נעשו ברשות החברות הממשלתיות, במשרד הביטחון (</w:t>
      </w:r>
      <w:r w:rsidRPr="00D348D3">
        <w:rPr>
          <w:rtl/>
        </w:rPr>
        <w:t>משהב"ט</w:t>
      </w:r>
      <w:r w:rsidRPr="00D348D3">
        <w:rPr>
          <w:rtl/>
        </w:rPr>
        <w:t>) ובתעשייה האווירית לישראל בע"מ (תע"א</w:t>
      </w:r>
      <w:r w:rsidRPr="0062254D">
        <w:rPr>
          <w:rtl/>
        </w:rPr>
        <w:t xml:space="preserve">). </w:t>
      </w:r>
    </w:p>
    <w:p w:rsidR="008A5A43" w:rsidP="00420374" w14:paraId="0AF4CED3" w14:textId="00E91A01">
      <w:pPr>
        <w:pStyle w:val="7317"/>
        <w:rPr>
          <w:rtl/>
        </w:rPr>
      </w:pPr>
      <w:r w:rsidRPr="00D348D3">
        <w:rPr>
          <w:rtl/>
        </w:rPr>
        <w:t xml:space="preserve">ועדת המשנה של הוועדה לענייני ביקורת המדינה של הכנסת החליטה שלא להניח </w:t>
      </w:r>
      <w:r w:rsidRPr="00172400" w:rsidR="00172400">
        <w:rPr>
          <w:rtl/>
        </w:rPr>
        <w:t>דוח זה במלואו על שולחן הכנסת אלא לפרסם רק חלקים ממנו, כדי למנוע פגיעה בקשרי</w:t>
      </w:r>
      <w:r w:rsidRPr="00D348D3">
        <w:rPr>
          <w:rtl/>
        </w:rPr>
        <w:t xml:space="preserve"> מסחר בין-לאומיים של המדינה, בהתאם לסעיף 17 לחוק מבקר המדינה, התשי"ח-1958 [נוסח משולב]</w:t>
      </w:r>
      <w:r w:rsidR="00420374">
        <w:rPr>
          <w:rFonts w:hint="cs"/>
          <w:rtl/>
        </w:rPr>
        <w:t>.</w:t>
      </w:r>
      <w:r w:rsidRPr="001F3363" w:rsidR="00420374">
        <w:rPr>
          <w:rFonts w:hint="cs"/>
          <w:rtl/>
        </w:rPr>
        <w:t xml:space="preserve"> </w:t>
      </w:r>
    </w:p>
    <w:p w:rsidR="008A5A43" w14:paraId="0AEDB0A7" w14:textId="77777777">
      <w:pPr>
        <w:bidi w:val="0"/>
        <w:spacing w:after="200" w:line="276" w:lineRule="auto"/>
        <w:rPr>
          <w:rFonts w:ascii="Tahoma" w:hAnsi="Tahoma" w:cs="Tahoma"/>
          <w:color w:val="0D0D0D" w:themeColor="text1" w:themeTint="F2"/>
          <w:sz w:val="18"/>
          <w:szCs w:val="18"/>
          <w:rtl/>
        </w:rPr>
      </w:pPr>
      <w:r>
        <w:rPr>
          <w:rtl/>
        </w:rPr>
        <w:br w:type="page"/>
      </w:r>
    </w:p>
    <w:p w:rsidR="002753C7" w:rsidRPr="00662020" w:rsidP="002753C7" w14:paraId="690F076D" w14:textId="52A02888">
      <w:pPr>
        <w:pStyle w:val="7327"/>
        <w:rPr>
          <w:rtl/>
        </w:rPr>
      </w:pPr>
      <w:r w:rsidRPr="00662020">
        <w:rPr>
          <w:rFonts w:hint="cs"/>
          <w:rtl/>
        </w:rPr>
        <w:t>תמונת המצב העולה מן הביקורת</w:t>
      </w:r>
    </w:p>
    <w:p w:rsidR="002753C7" w:rsidRPr="001F3363" w:rsidP="00420374" w14:paraId="0B2F822B" w14:textId="653FD0BB">
      <w:pPr>
        <w:pStyle w:val="7317"/>
        <w:rPr>
          <w:rtl/>
        </w:rPr>
      </w:pPr>
      <w:r w:rsidRPr="00362C00">
        <w:rPr>
          <w:noProof/>
          <w:rtl/>
        </w:rPr>
        <w:drawing>
          <wp:anchor distT="0" distB="0" distL="114300" distR="114300" simplePos="0" relativeHeight="251685888" behindDoc="0" locked="0" layoutInCell="1" allowOverlap="1">
            <wp:simplePos x="0" y="0"/>
            <wp:positionH relativeFrom="column">
              <wp:posOffset>2550795</wp:posOffset>
            </wp:positionH>
            <wp:positionV relativeFrom="paragraph">
              <wp:posOffset>15939</wp:posOffset>
            </wp:positionV>
            <wp:extent cx="2101215" cy="172085"/>
            <wp:effectExtent l="0" t="0" r="0" b="5715"/>
            <wp:wrapSquare wrapText="bothSides"/>
            <wp:docPr id="15"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תמונה 2"/>
                    <pic:cNvPicPr/>
                  </pic:nvPicPr>
                  <pic:blipFill>
                    <a:blip xmlns:r="http://schemas.openxmlformats.org/officeDocument/2006/relationships" r:embed="rId2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101215" cy="172085"/>
                    </a:xfrm>
                    <a:prstGeom prst="rect">
                      <a:avLst/>
                    </a:prstGeom>
                  </pic:spPr>
                </pic:pic>
              </a:graphicData>
            </a:graphic>
            <wp14:sizeRelH relativeFrom="margin">
              <wp14:pctWidth>0</wp14:pctWidth>
            </wp14:sizeRelH>
            <wp14:sizeRelV relativeFrom="margin">
              <wp14:pctHeight>0</wp14:pctHeight>
            </wp14:sizeRelV>
          </wp:anchor>
        </w:drawing>
      </w:r>
    </w:p>
    <w:p w:rsidR="008A5A43" w:rsidP="008A5A43" w14:paraId="5410A8E9" w14:textId="77777777">
      <w:pPr>
        <w:pStyle w:val="7392"/>
        <w:spacing w:before="240"/>
        <w:ind w:left="424"/>
        <w:rPr>
          <w:b/>
          <w:bCs/>
          <w:rtl/>
        </w:rPr>
      </w:pPr>
      <w:r w:rsidRPr="00B02658">
        <w:rPr>
          <w:rFonts w:hint="cs"/>
          <w:b/>
          <w:bCs/>
          <w:noProof/>
          <w:rtl/>
        </w:rPr>
        <w:drawing>
          <wp:anchor distT="0" distB="720090" distL="114300" distR="114300" simplePos="0" relativeHeight="251686912" behindDoc="1" locked="0" layoutInCell="1" allowOverlap="1">
            <wp:simplePos x="0" y="0"/>
            <wp:positionH relativeFrom="column">
              <wp:posOffset>4526915</wp:posOffset>
            </wp:positionH>
            <wp:positionV relativeFrom="paragraph">
              <wp:posOffset>68009</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1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46"/>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Pr>
          <w:rFonts w:hint="cs"/>
          <w:b/>
          <w:bCs/>
          <w:rtl/>
        </w:rPr>
        <w:t>הכנסות ורווחיות</w:t>
      </w:r>
    </w:p>
    <w:p w:rsidR="008A5A43" w:rsidRPr="008A5A43" w:rsidP="00191D6C" w14:paraId="12FA557D" w14:textId="77777777">
      <w:pPr>
        <w:pStyle w:val="73BULLETS"/>
        <w:numPr>
          <w:ilvl w:val="0"/>
          <w:numId w:val="18"/>
        </w:numPr>
      </w:pPr>
      <w:r w:rsidRPr="008A5A43">
        <w:rPr>
          <w:rtl/>
        </w:rPr>
        <w:t xml:space="preserve">בשנים 2020 ו-2021 ירדו ההכנסות ממכירות בקבוצת רפאל, </w:t>
      </w:r>
      <w:bookmarkStart w:id="1" w:name="_Hlk120453361"/>
      <w:r w:rsidRPr="008A5A43">
        <w:rPr>
          <w:rtl/>
        </w:rPr>
        <w:t xml:space="preserve">ללא נתוני חברת </w:t>
      </w:r>
      <w:r w:rsidRPr="008A5A43">
        <w:rPr>
          <w:rtl/>
        </w:rPr>
        <w:t>אירונאוטיקס</w:t>
      </w:r>
      <w:r w:rsidRPr="008A5A43">
        <w:rPr>
          <w:rtl/>
        </w:rPr>
        <w:t xml:space="preserve"> וחברת </w:t>
      </w:r>
      <w:r w:rsidRPr="008A5A43">
        <w:rPr>
          <w:rtl/>
        </w:rPr>
        <w:t>קונטרופ</w:t>
      </w:r>
      <w:bookmarkEnd w:id="1"/>
      <w:r w:rsidRPr="008A5A43">
        <w:rPr>
          <w:rtl/>
        </w:rPr>
        <w:t xml:space="preserve">, בשיעורים של כ-3% וכ-1% בהתאמה. בשנים אלו לא עמדה קבוצת רפאל </w:t>
      </w:r>
      <w:r w:rsidRPr="008A5A43">
        <w:rPr>
          <w:rFonts w:hint="cs"/>
          <w:rtl/>
        </w:rPr>
        <w:t xml:space="preserve">באופן מלא </w:t>
      </w:r>
      <w:r w:rsidRPr="008A5A43">
        <w:rPr>
          <w:rtl/>
        </w:rPr>
        <w:t xml:space="preserve">ביעדי התקציב. ההכנסות של רפאל ממכירות בשנים 2017 - 2021 היו בסך של כ-9.3 מיליארד ש"ח לשנה בממוצע; סכום הנמוך בכ-38% מזה של אלביט מערכות בע"מ, ובכ-33% מזה של </w:t>
      </w:r>
      <w:r w:rsidRPr="008A5A43">
        <w:rPr>
          <w:rtl/>
        </w:rPr>
        <w:t>התע"א</w:t>
      </w:r>
      <w:r w:rsidRPr="008A5A43">
        <w:rPr>
          <w:rtl/>
        </w:rPr>
        <w:t xml:space="preserve"> (ובכ-10% מזה של המגזר הצבאי של </w:t>
      </w:r>
      <w:r w:rsidRPr="008A5A43">
        <w:rPr>
          <w:rtl/>
        </w:rPr>
        <w:t>התע"א</w:t>
      </w:r>
      <w:r w:rsidRPr="008A5A43">
        <w:rPr>
          <w:rtl/>
        </w:rPr>
        <w:t>).</w:t>
      </w:r>
    </w:p>
    <w:p w:rsidR="008A5A43" w:rsidRPr="008A5A43" w:rsidP="00191D6C" w14:paraId="28AE5728" w14:textId="77777777">
      <w:pPr>
        <w:pStyle w:val="73BULLETS"/>
        <w:numPr>
          <w:ilvl w:val="0"/>
          <w:numId w:val="18"/>
        </w:numPr>
      </w:pPr>
      <w:r w:rsidRPr="008A5A43">
        <w:rPr>
          <w:rtl/>
        </w:rPr>
        <w:t xml:space="preserve">כ-50% מההכנסות ממכירות של רפאל מקורן בתקציב הביטחון. הדבר גורם לתלות רבה של החברה בתקציב זה ועלול לפגוע בתוצאות העסקיות של החברה כאשר יש חוסר יציבות תקציבית או ירידה בתקציב הביטחון השקלי. </w:t>
      </w:r>
    </w:p>
    <w:p w:rsidR="008A5A43" w:rsidRPr="008A5A43" w:rsidP="00191D6C" w14:paraId="43525C98" w14:textId="1C2C4512">
      <w:pPr>
        <w:pStyle w:val="73BULLETS"/>
        <w:numPr>
          <w:ilvl w:val="0"/>
          <w:numId w:val="18"/>
        </w:numPr>
        <w:rPr>
          <w:rtl/>
        </w:rPr>
      </w:pPr>
      <w:r w:rsidRPr="008A5A43">
        <w:rPr>
          <w:rtl/>
        </w:rPr>
        <w:t xml:space="preserve">הרווח הגולמי, התפעולי והנקי של רפאל ירדו בשנים 2017 - 2019 ב-1.6%, 0.8% </w:t>
      </w:r>
      <w:r w:rsidR="008D4E7E">
        <w:rPr>
          <w:rtl/>
        </w:rPr>
        <w:br/>
      </w:r>
      <w:r w:rsidRPr="008A5A43">
        <w:rPr>
          <w:rtl/>
        </w:rPr>
        <w:t>ו-1.4% בהתאמה.</w:t>
      </w:r>
      <w:r w:rsidR="00536DD7">
        <w:rPr>
          <w:rFonts w:hint="cs"/>
          <w:rtl/>
        </w:rPr>
        <w:t xml:space="preserve"> </w:t>
      </w:r>
      <w:r w:rsidRPr="00536DD7" w:rsidR="00536DD7">
        <w:rPr>
          <w:rtl/>
        </w:rPr>
        <w:t>בשנים 2017 - 2021 הציגה רפאל בממוצע פער מסוים ברווח הנקי לעומת יעד התקציב, ובשנת 2021 - פער מסוים ברווח התפעולי וברווח הנקי.</w:t>
      </w:r>
      <w:r w:rsidRPr="008A5A43">
        <w:rPr>
          <w:rtl/>
        </w:rPr>
        <w:t xml:space="preserve"> </w:t>
      </w:r>
    </w:p>
    <w:p w:rsidR="00420374" w:rsidRPr="0093709F" w:rsidP="00DA022A" w14:paraId="1D22E15A" w14:textId="43EABD72">
      <w:pPr>
        <w:pStyle w:val="7392"/>
        <w:ind w:left="424"/>
      </w:pPr>
      <w:r w:rsidRPr="008A5A43">
        <w:rPr>
          <w:rFonts w:hint="cs"/>
          <w:b/>
          <w:bCs/>
          <w:noProof/>
          <w:rtl/>
        </w:rPr>
        <w:drawing>
          <wp:anchor distT="0" distB="720090" distL="114300" distR="114300" simplePos="0" relativeHeight="251687936" behindDoc="1" locked="0" layoutInCell="1" allowOverlap="1">
            <wp:simplePos x="0" y="0"/>
            <wp:positionH relativeFrom="column">
              <wp:posOffset>4526915</wp:posOffset>
            </wp:positionH>
            <wp:positionV relativeFrom="paragraph">
              <wp:posOffset>30317</wp:posOffset>
            </wp:positionV>
            <wp:extent cx="162000" cy="162000"/>
            <wp:effectExtent l="0" t="0" r="3175" b="3175"/>
            <wp:wrapTight wrapText="bothSides">
              <wp:wrapPolygon>
                <wp:start x="0" y="0"/>
                <wp:lineTo x="0" y="15247"/>
                <wp:lineTo x="5082" y="20329"/>
                <wp:lineTo x="16941" y="20329"/>
                <wp:lineTo x="20329" y="15247"/>
                <wp:lineTo x="20329" y="0"/>
                <wp:lineTo x="0" y="0"/>
              </wp:wrapPolygon>
            </wp:wrapTight>
            <wp:docPr id="1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46"/>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bookmarkStart w:id="2" w:name="_Hlk120454092"/>
      <w:r w:rsidRPr="008A5A43" w:rsidR="008A5A43">
        <w:rPr>
          <w:b/>
          <w:bCs/>
          <w:spacing w:val="-4"/>
          <w:rtl/>
        </w:rPr>
        <w:t>היקף קבלת הזמנות</w:t>
      </w:r>
      <w:bookmarkEnd w:id="2"/>
      <w:r w:rsidRPr="008A5A43" w:rsidR="008A5A43">
        <w:rPr>
          <w:b/>
          <w:bCs/>
          <w:spacing w:val="-4"/>
          <w:rtl/>
        </w:rPr>
        <w:t xml:space="preserve"> מחו"ל</w:t>
      </w:r>
      <w:r w:rsidRPr="00D348D3" w:rsidR="008A5A43">
        <w:rPr>
          <w:spacing w:val="-4"/>
          <w:rtl/>
        </w:rPr>
        <w:t xml:space="preserve"> - בשנים 2017 - 2021 היקפי ההזמנות מחו"ל שקיבלה רפאל (סולו) היו בממוצע בשיעור של כ-53% מכלל היקף ההזמנות שקיבלה; שיעור הנמוך ב-7% מהיעד לייצוב שנקבע בתוכנית האסטרטגית של רפאל לשנים 2021 עד 2030 - 60%. בשנת 2021 חל קיטון בשיעור היחסי של היקף ההזמנות מחו"ל ב-12% לעומת שנת 2020, וממוצע ההזמנות מחו"ל בשנים 2020 - 2021 ירד ב-9% לעומת שנת 2019</w:t>
      </w:r>
      <w:r w:rsidRPr="0093709F">
        <w:rPr>
          <w:rFonts w:hint="cs"/>
          <w:rtl/>
        </w:rPr>
        <w:t xml:space="preserve">. </w:t>
      </w:r>
    </w:p>
    <w:p w:rsidR="00420374" w:rsidRPr="0093709F" w:rsidP="00DA022A" w14:paraId="5E2BFABB" w14:textId="0E5910DB">
      <w:pPr>
        <w:pStyle w:val="7392"/>
        <w:ind w:left="424"/>
        <w:rPr>
          <w:rtl/>
        </w:rPr>
      </w:pPr>
      <w:r w:rsidRPr="008A5A43">
        <w:rPr>
          <w:rFonts w:hint="cs"/>
          <w:b/>
          <w:bCs/>
          <w:noProof/>
          <w:rtl/>
        </w:rPr>
        <w:drawing>
          <wp:anchor distT="0" distB="720090" distL="114300" distR="114300" simplePos="0" relativeHeight="251688960" behindDoc="1" locked="0" layoutInCell="1" allowOverlap="1">
            <wp:simplePos x="0" y="0"/>
            <wp:positionH relativeFrom="column">
              <wp:posOffset>4526915</wp:posOffset>
            </wp:positionH>
            <wp:positionV relativeFrom="paragraph">
              <wp:posOffset>30317</wp:posOffset>
            </wp:positionV>
            <wp:extent cx="162000" cy="162000"/>
            <wp:effectExtent l="0" t="0" r="3175" b="3175"/>
            <wp:wrapTight wrapText="bothSides">
              <wp:wrapPolygon>
                <wp:start x="0" y="0"/>
                <wp:lineTo x="0" y="15247"/>
                <wp:lineTo x="5082" y="20329"/>
                <wp:lineTo x="16941" y="20329"/>
                <wp:lineTo x="20329" y="15247"/>
                <wp:lineTo x="20329" y="0"/>
                <wp:lineTo x="0" y="0"/>
              </wp:wrapPolygon>
            </wp:wrapTight>
            <wp:docPr id="2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6"/>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bookmarkStart w:id="3" w:name="_Hlk120454449"/>
      <w:r w:rsidRPr="008A5A43" w:rsidR="008A5A43">
        <w:rPr>
          <w:b/>
          <w:bCs/>
          <w:spacing w:val="-4"/>
          <w:rtl/>
        </w:rPr>
        <w:t>הרווחיות הגלומה בצבר ההזמנות</w:t>
      </w:r>
      <w:bookmarkEnd w:id="3"/>
      <w:r w:rsidRPr="00D348D3" w:rsidR="008A5A43">
        <w:rPr>
          <w:spacing w:val="-4"/>
          <w:rtl/>
        </w:rPr>
        <w:t xml:space="preserve"> - שיעור הרווח הגולמי הגלום בצבר ההזמנות של הפרויקטים העיקריים</w:t>
      </w:r>
      <w:r>
        <w:rPr>
          <w:spacing w:val="-4"/>
          <w:vertAlign w:val="superscript"/>
          <w:rtl/>
        </w:rPr>
        <w:footnoteReference w:id="5"/>
      </w:r>
      <w:r w:rsidRPr="00D348D3" w:rsidR="008A5A43">
        <w:rPr>
          <w:spacing w:val="-4"/>
          <w:rtl/>
        </w:rPr>
        <w:t xml:space="preserve"> עלה בשנים 2017 - 2020 ב-2.6% משיעור של 16.7% ל-19.3%; ובשנת 2021 חלה בו ירידה של 0.9%. בשנים 2018 עד 2021 הייתה מגמה של ירידה בשיעור הרווחיות </w:t>
      </w:r>
      <w:r w:rsidRPr="00D348D3" w:rsidR="008A5A43">
        <w:rPr>
          <w:spacing w:val="-4"/>
          <w:rtl/>
        </w:rPr>
        <w:t>הפרויקטלית</w:t>
      </w:r>
      <w:r>
        <w:rPr>
          <w:spacing w:val="-4"/>
          <w:vertAlign w:val="superscript"/>
          <w:rtl/>
        </w:rPr>
        <w:footnoteReference w:id="6"/>
      </w:r>
      <w:r w:rsidRPr="00D348D3" w:rsidR="008A5A43">
        <w:rPr>
          <w:spacing w:val="-4"/>
          <w:rtl/>
        </w:rPr>
        <w:t xml:space="preserve"> הגלומה בצבר ההזמנות בפרויקטים מעורבים</w:t>
      </w:r>
      <w:r>
        <w:rPr>
          <w:spacing w:val="-4"/>
          <w:vertAlign w:val="superscript"/>
          <w:rtl/>
        </w:rPr>
        <w:footnoteReference w:id="7"/>
      </w:r>
      <w:r w:rsidRPr="00D348D3" w:rsidR="008A5A43">
        <w:rPr>
          <w:spacing w:val="-4"/>
          <w:rtl/>
        </w:rPr>
        <w:t xml:space="preserve"> </w:t>
      </w:r>
      <w:r w:rsidRPr="00D348D3" w:rsidR="008A5A43">
        <w:rPr>
          <w:spacing w:val="-4"/>
          <w:rtl/>
        </w:rPr>
        <w:t>ובפרויקטי</w:t>
      </w:r>
      <w:r w:rsidRPr="00D348D3" w:rsidR="008A5A43">
        <w:rPr>
          <w:spacing w:val="-4"/>
          <w:rtl/>
        </w:rPr>
        <w:t xml:space="preserve"> פיתוח עיקריים (ירידה מצטברת של 3.6%), זאת לעומת עלייה של 4% בשיעור הרווחיות של פרויקטים מבוססי ייצור. שינויים אלה, ובעיקר הירידה העקבית ברווחיות </w:t>
      </w:r>
      <w:r w:rsidRPr="00D348D3" w:rsidR="008A5A43">
        <w:rPr>
          <w:spacing w:val="-4"/>
          <w:rtl/>
        </w:rPr>
        <w:t>הפרויקטלית</w:t>
      </w:r>
      <w:r w:rsidRPr="00D348D3" w:rsidR="008A5A43">
        <w:rPr>
          <w:spacing w:val="-4"/>
          <w:rtl/>
        </w:rPr>
        <w:t xml:space="preserve"> בשנים 2020 ו-2021, עשויים ללמד על שינוי במגמת העלייה שאפיינה את רווחיות צבר ההזמנות של רפאל בשנים 2018 </w:t>
      </w:r>
      <w:r w:rsidR="00172400">
        <w:rPr>
          <w:spacing w:val="-4"/>
          <w:rtl/>
        </w:rPr>
        <w:br/>
      </w:r>
      <w:r w:rsidRPr="00D348D3" w:rsidR="008A5A43">
        <w:rPr>
          <w:spacing w:val="-4"/>
          <w:rtl/>
        </w:rPr>
        <w:t>ו-2019. כמו כן, שיעור הרווח הגולמי הממוצע הגלום בצבר ההזמנות של הפרויקטים העיקריים בין השנים 2017 - 2021 נמוך משיעור הרווח הגולמי הממוצע של החברה (סולו) באותן השנים בכ-3.2 נקודות אחוז</w:t>
      </w:r>
      <w:r w:rsidRPr="0093709F">
        <w:rPr>
          <w:rFonts w:hint="cs"/>
          <w:rtl/>
        </w:rPr>
        <w:t>.</w:t>
      </w:r>
    </w:p>
    <w:p w:rsidR="008A5A43" w:rsidP="00DA022A" w14:paraId="4F73FC22" w14:textId="0E8F1F33">
      <w:pPr>
        <w:pStyle w:val="7392"/>
        <w:ind w:left="424"/>
        <w:rPr>
          <w:rtl/>
        </w:rPr>
      </w:pPr>
      <w:r w:rsidRPr="00B02658">
        <w:rPr>
          <w:rFonts w:hint="cs"/>
          <w:b/>
          <w:bCs/>
          <w:noProof/>
          <w:rtl/>
        </w:rPr>
        <w:drawing>
          <wp:anchor distT="0" distB="720090" distL="114300" distR="114300" simplePos="0" relativeHeight="251689984" behindDoc="1" locked="0" layoutInCell="1" allowOverlap="1">
            <wp:simplePos x="0" y="0"/>
            <wp:positionH relativeFrom="column">
              <wp:posOffset>4526915</wp:posOffset>
            </wp:positionH>
            <wp:positionV relativeFrom="paragraph">
              <wp:posOffset>30317</wp:posOffset>
            </wp:positionV>
            <wp:extent cx="162000" cy="162000"/>
            <wp:effectExtent l="0" t="0" r="3175" b="3175"/>
            <wp:wrapTight wrapText="bothSides">
              <wp:wrapPolygon>
                <wp:start x="0" y="0"/>
                <wp:lineTo x="0" y="15247"/>
                <wp:lineTo x="5082" y="20329"/>
                <wp:lineTo x="16941" y="20329"/>
                <wp:lineTo x="20329" y="15247"/>
                <wp:lineTo x="20329" y="0"/>
                <wp:lineTo x="0" y="0"/>
              </wp:wrapPolygon>
            </wp:wrapTight>
            <wp:docPr id="2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46"/>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D348D3">
        <w:rPr>
          <w:b/>
          <w:bCs/>
          <w:rtl/>
        </w:rPr>
        <w:t xml:space="preserve">השינוי ברווחיות רב-שנתית בפרויקטים </w:t>
      </w:r>
      <w:r>
        <w:rPr>
          <w:rFonts w:hint="cs"/>
          <w:b/>
          <w:bCs/>
          <w:rtl/>
        </w:rPr>
        <w:t>עיקריים</w:t>
      </w:r>
      <w:r w:rsidRPr="0062254D" w:rsidR="00420374">
        <w:rPr>
          <w:rFonts w:hint="cs"/>
          <w:rtl/>
        </w:rPr>
        <w:t xml:space="preserve"> </w:t>
      </w:r>
    </w:p>
    <w:p w:rsidR="008A5A43" w:rsidRPr="00D348D3" w:rsidP="00191D6C" w14:paraId="23AC98C2" w14:textId="77777777">
      <w:pPr>
        <w:pStyle w:val="73BULLETS"/>
        <w:numPr>
          <w:ilvl w:val="0"/>
          <w:numId w:val="19"/>
        </w:numPr>
      </w:pPr>
      <w:r w:rsidRPr="00D348D3">
        <w:rPr>
          <w:rtl/>
        </w:rPr>
        <w:t xml:space="preserve">ההיקף המצטבר של ההזמנות ל-31.12.21, הנוגע ל-163 פרויקטים עיקריים שהיו לרפאל במועד זה, הסתכם בכ-51 מיליארד ש"ח; מסכום זה הוכר כהכנסות ממכירות בדוחות הסולו של רפאל סך של כ-28 מיליארד ש"ח. </w:t>
      </w:r>
      <w:r w:rsidRPr="00D348D3">
        <w:rPr>
          <w:rFonts w:hint="cs"/>
          <w:rtl/>
        </w:rPr>
        <w:t xml:space="preserve">תחזית שיעורי הרווחיות </w:t>
      </w:r>
      <w:r w:rsidRPr="00D348D3">
        <w:rPr>
          <w:rFonts w:hint="cs"/>
          <w:rtl/>
        </w:rPr>
        <w:t>הפרויקטלית</w:t>
      </w:r>
      <w:r w:rsidRPr="00D348D3">
        <w:rPr>
          <w:rFonts w:hint="cs"/>
          <w:rtl/>
        </w:rPr>
        <w:t xml:space="preserve"> והרווחיות התפעולית הממוצעים ל-31.12.21 בפרויקטים מעורבים (הן אלה המיועדים לשוק המקומי והן אלה המיועדים לייצוא) </w:t>
      </w:r>
      <w:r w:rsidRPr="00D348D3">
        <w:rPr>
          <w:rFonts w:hint="cs"/>
          <w:rtl/>
        </w:rPr>
        <w:t>ובפרויקטי</w:t>
      </w:r>
      <w:r w:rsidRPr="00D348D3">
        <w:rPr>
          <w:rFonts w:hint="cs"/>
          <w:rtl/>
        </w:rPr>
        <w:t xml:space="preserve"> פיתוח המיועדים לייצוא נמוכה מתחזית שיעורי הרווחיות בפרויקטים אלה במועדי ההזמנות.</w:t>
      </w:r>
      <w:r w:rsidRPr="00D348D3">
        <w:rPr>
          <w:rtl/>
        </w:rPr>
        <w:t xml:space="preserve"> </w:t>
      </w:r>
    </w:p>
    <w:p w:rsidR="008A5A43" w:rsidRPr="00D348D3" w:rsidP="00191D6C" w14:paraId="2F6D0AEB" w14:textId="77777777">
      <w:pPr>
        <w:pStyle w:val="73BULLETS"/>
        <w:numPr>
          <w:ilvl w:val="0"/>
          <w:numId w:val="19"/>
        </w:numPr>
      </w:pPr>
      <w:r w:rsidRPr="00D348D3">
        <w:rPr>
          <w:rFonts w:hint="cs"/>
          <w:rtl/>
        </w:rPr>
        <w:t xml:space="preserve">כמחצית </w:t>
      </w:r>
      <w:r w:rsidRPr="00D348D3">
        <w:rPr>
          <w:rtl/>
        </w:rPr>
        <w:t>מתוך הפסד תפעולי חזוי ב-31.12.21 ב</w:t>
      </w:r>
      <w:r w:rsidRPr="00D348D3">
        <w:rPr>
          <w:rFonts w:hint="cs"/>
          <w:rtl/>
        </w:rPr>
        <w:t>כמה</w:t>
      </w:r>
      <w:r w:rsidRPr="00D348D3">
        <w:rPr>
          <w:rtl/>
        </w:rPr>
        <w:t xml:space="preserve"> פרויקטים</w:t>
      </w:r>
      <w:r w:rsidRPr="00D348D3">
        <w:rPr>
          <w:rFonts w:hint="cs"/>
          <w:rtl/>
        </w:rPr>
        <w:t xml:space="preserve"> של רפאל</w:t>
      </w:r>
      <w:r w:rsidRPr="00D348D3">
        <w:rPr>
          <w:rtl/>
        </w:rPr>
        <w:t xml:space="preserve"> נובע</w:t>
      </w:r>
      <w:r w:rsidRPr="00D348D3">
        <w:rPr>
          <w:rFonts w:hint="cs"/>
          <w:rtl/>
        </w:rPr>
        <w:t>ת</w:t>
      </w:r>
      <w:r w:rsidRPr="00D348D3">
        <w:rPr>
          <w:rtl/>
        </w:rPr>
        <w:t xml:space="preserve"> מ</w:t>
      </w:r>
      <w:r w:rsidRPr="00D348D3">
        <w:rPr>
          <w:rFonts w:hint="cs"/>
          <w:rtl/>
        </w:rPr>
        <w:t>כמה</w:t>
      </w:r>
      <w:r w:rsidRPr="00D348D3">
        <w:rPr>
          <w:rtl/>
        </w:rPr>
        <w:t xml:space="preserve"> </w:t>
      </w:r>
      <w:r w:rsidRPr="00D348D3">
        <w:rPr>
          <w:rtl/>
        </w:rPr>
        <w:t>פרויקטי</w:t>
      </w:r>
      <w:r w:rsidRPr="00D348D3">
        <w:rPr>
          <w:rtl/>
        </w:rPr>
        <w:t xml:space="preserve"> פיתוח המיועדים </w:t>
      </w:r>
      <w:r w:rsidRPr="00D348D3">
        <w:rPr>
          <w:rtl/>
        </w:rPr>
        <w:t>למשהב"ט</w:t>
      </w:r>
      <w:r w:rsidRPr="00D348D3">
        <w:rPr>
          <w:rtl/>
        </w:rPr>
        <w:t>; הפסד שמקורו בהוצאות המחקר והפיתוח של רפאל (מו"פ עצמי) בפרויקטים אלה.</w:t>
      </w:r>
    </w:p>
    <w:p w:rsidR="008A5A43" w:rsidP="00DA022A" w14:paraId="2F408256" w14:textId="30877210">
      <w:pPr>
        <w:pStyle w:val="7392"/>
        <w:ind w:left="424"/>
        <w:rPr>
          <w:rtl/>
        </w:rPr>
      </w:pPr>
      <w:r w:rsidRPr="008A5A43">
        <w:rPr>
          <w:rFonts w:hint="cs"/>
          <w:b/>
          <w:bCs/>
          <w:noProof/>
          <w:rtl/>
        </w:rPr>
        <w:drawing>
          <wp:anchor distT="0" distB="720090" distL="114300" distR="114300" simplePos="0" relativeHeight="251691008" behindDoc="1" locked="0" layoutInCell="1" allowOverlap="1">
            <wp:simplePos x="0" y="0"/>
            <wp:positionH relativeFrom="column">
              <wp:posOffset>4526915</wp:posOffset>
            </wp:positionH>
            <wp:positionV relativeFrom="paragraph">
              <wp:posOffset>30317</wp:posOffset>
            </wp:positionV>
            <wp:extent cx="162000" cy="162000"/>
            <wp:effectExtent l="0" t="0" r="3175" b="3175"/>
            <wp:wrapTight wrapText="bothSides">
              <wp:wrapPolygon>
                <wp:start x="0" y="0"/>
                <wp:lineTo x="0" y="15247"/>
                <wp:lineTo x="5082" y="20329"/>
                <wp:lineTo x="16941" y="20329"/>
                <wp:lineTo x="20329" y="15247"/>
                <wp:lineTo x="20329" y="0"/>
                <wp:lineTo x="0" y="0"/>
              </wp:wrapPolygon>
            </wp:wrapTight>
            <wp:docPr id="3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46"/>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8A5A43">
        <w:rPr>
          <w:b/>
          <w:bCs/>
          <w:rtl/>
        </w:rPr>
        <w:t>שיעור עלות השכר מהמכירות</w:t>
      </w:r>
      <w:r w:rsidRPr="00D348D3">
        <w:rPr>
          <w:rtl/>
        </w:rPr>
        <w:t xml:space="preserve"> - בשנים 2018 - 2021 גדל שיעור עלות השכר מתוך ההכנסות ממכירות בכ-4%. כמו כן, לעומת גידול ממוצע של כ-5% במצבת העובדים הממוצעת וגידול ממוצע של כ-3% בהכנסות ממכירות בשנים אלו, גדלו עלות השכר הכוללת בשיעור של כ-13% (יותר מפי שניים מהגידול במצבת העובדים) ועלות השכר הממוצעת לעובד בשיעור של כ-7%. בשנת 2021 גדלו סה"כ עלויות השכר ועלות השכר הממוצעת לעובד בשיעור של כ-3.6% וכ-2.5%, בהתאמה. לעלייה במדד עלויות השכר ביחס להכנסות ממכירות יש השפעה ישירה על רווחיות החברה ועל כושר התחרות שלה</w:t>
      </w:r>
      <w:r w:rsidRPr="0093709F" w:rsidR="00420374">
        <w:rPr>
          <w:rFonts w:hint="cs"/>
          <w:rtl/>
        </w:rPr>
        <w:t>.</w:t>
      </w:r>
    </w:p>
    <w:p w:rsidR="008A5A43" w:rsidRPr="0093709F" w:rsidP="008A5A43" w14:paraId="58D4DBBB" w14:textId="7AF8F973">
      <w:pPr>
        <w:pStyle w:val="7392"/>
        <w:ind w:left="424"/>
        <w:rPr>
          <w:rtl/>
        </w:rPr>
      </w:pPr>
      <w:r w:rsidRPr="008A5A43">
        <w:rPr>
          <w:rFonts w:hint="cs"/>
          <w:b/>
          <w:bCs/>
          <w:noProof/>
          <w:rtl/>
        </w:rPr>
        <w:drawing>
          <wp:anchor distT="0" distB="720090" distL="114300" distR="114300" simplePos="0" relativeHeight="251700224" behindDoc="1" locked="0" layoutInCell="1" allowOverlap="1">
            <wp:simplePos x="0" y="0"/>
            <wp:positionH relativeFrom="column">
              <wp:posOffset>4526280</wp:posOffset>
            </wp:positionH>
            <wp:positionV relativeFrom="paragraph">
              <wp:posOffset>30317</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3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46"/>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8A5A43">
        <w:rPr>
          <w:rFonts w:hint="cs"/>
          <w:b/>
          <w:bCs/>
          <w:rtl/>
        </w:rPr>
        <w:t xml:space="preserve">עמידה </w:t>
      </w:r>
      <w:r w:rsidRPr="008A5A43">
        <w:rPr>
          <w:b/>
          <w:bCs/>
          <w:rtl/>
        </w:rPr>
        <w:t>באבני דרך חוזיות</w:t>
      </w:r>
      <w:r w:rsidRPr="00D348D3">
        <w:rPr>
          <w:rtl/>
        </w:rPr>
        <w:t xml:space="preserve"> - </w:t>
      </w:r>
      <w:r w:rsidRPr="00D348D3">
        <w:rPr>
          <w:rFonts w:hint="cs"/>
          <w:rtl/>
        </w:rPr>
        <w:t>קיים פער מסוים בביצוע אבני דרך בפרויקטים ברפאל</w:t>
      </w:r>
      <w:r w:rsidRPr="0093709F">
        <w:rPr>
          <w:rFonts w:hint="cs"/>
          <w:rtl/>
        </w:rPr>
        <w:t>.</w:t>
      </w:r>
    </w:p>
    <w:p w:rsidR="008A5A43" w:rsidRPr="0093709F" w:rsidP="008A5A43" w14:paraId="47686829" w14:textId="43812D90">
      <w:pPr>
        <w:pStyle w:val="7392"/>
        <w:ind w:left="424"/>
        <w:rPr>
          <w:rtl/>
        </w:rPr>
      </w:pPr>
      <w:r w:rsidRPr="008A5A43">
        <w:rPr>
          <w:rFonts w:hint="cs"/>
          <w:b/>
          <w:bCs/>
          <w:noProof/>
          <w:rtl/>
        </w:rPr>
        <w:drawing>
          <wp:anchor distT="0" distB="720090" distL="114300" distR="114300" simplePos="0" relativeHeight="251701248" behindDoc="1" locked="0" layoutInCell="1" allowOverlap="1">
            <wp:simplePos x="0" y="0"/>
            <wp:positionH relativeFrom="column">
              <wp:posOffset>4526280</wp:posOffset>
            </wp:positionH>
            <wp:positionV relativeFrom="paragraph">
              <wp:posOffset>30317</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5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6"/>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8A5A43">
        <w:rPr>
          <w:b/>
          <w:bCs/>
          <w:rtl/>
        </w:rPr>
        <w:t>השקעה בחברות מוחזקות</w:t>
      </w:r>
      <w:r w:rsidRPr="00D348D3">
        <w:rPr>
          <w:rtl/>
        </w:rPr>
        <w:t xml:space="preserve"> - בשנים 2017 עד 2021 מימשה רפאל </w:t>
      </w:r>
      <w:r w:rsidRPr="00D348D3">
        <w:rPr>
          <w:rFonts w:hint="cs"/>
          <w:rtl/>
        </w:rPr>
        <w:t xml:space="preserve">באופן חלקי את </w:t>
      </w:r>
      <w:r w:rsidRPr="00D348D3">
        <w:rPr>
          <w:rtl/>
        </w:rPr>
        <w:t>התקציב השנתי שיועד לרכש מניות בחברות. הרווח הנקי המצטבר של החברות המוחזקות של רפאל לפני הפחתות</w:t>
      </w:r>
      <w:r>
        <w:rPr>
          <w:vertAlign w:val="superscript"/>
          <w:rtl/>
        </w:rPr>
        <w:footnoteReference w:id="8"/>
      </w:r>
      <w:r w:rsidRPr="00D348D3">
        <w:rPr>
          <w:rtl/>
        </w:rPr>
        <w:t xml:space="preserve"> בשנים 2017 - 2021 היה</w:t>
      </w:r>
      <w:r w:rsidRPr="00D348D3">
        <w:rPr>
          <w:rFonts w:hint="cs"/>
          <w:rtl/>
        </w:rPr>
        <w:t xml:space="preserve"> </w:t>
      </w:r>
      <w:r w:rsidRPr="00D348D3">
        <w:rPr>
          <w:rtl/>
        </w:rPr>
        <w:t xml:space="preserve">כ-264 מיליון ש"ח, לעומת תחזית </w:t>
      </w:r>
      <w:r w:rsidRPr="00D348D3">
        <w:rPr>
          <w:rFonts w:hint="cs"/>
          <w:rtl/>
        </w:rPr>
        <w:t>גבוהה יותר</w:t>
      </w:r>
      <w:r w:rsidRPr="00D348D3">
        <w:rPr>
          <w:rtl/>
        </w:rPr>
        <w:t xml:space="preserve">. אשר לרווח הנקי המצטבר לאחר הפחתות - החברות המוחזקות הפסידו במהלך השנים 2017 - 2021 כ-16 מיליון ש"ח במצטבר לעומת </w:t>
      </w:r>
      <w:r w:rsidRPr="00D348D3">
        <w:rPr>
          <w:rFonts w:hint="cs"/>
          <w:rtl/>
        </w:rPr>
        <w:t>ה</w:t>
      </w:r>
      <w:r w:rsidRPr="00D348D3">
        <w:rPr>
          <w:rtl/>
        </w:rPr>
        <w:t xml:space="preserve">תחזית </w:t>
      </w:r>
      <w:r w:rsidRPr="00D348D3">
        <w:rPr>
          <w:rFonts w:hint="cs"/>
          <w:rtl/>
        </w:rPr>
        <w:t>ל</w:t>
      </w:r>
      <w:r w:rsidRPr="00D348D3">
        <w:rPr>
          <w:rtl/>
        </w:rPr>
        <w:t>רווחיות</w:t>
      </w:r>
      <w:r w:rsidRPr="0093709F">
        <w:rPr>
          <w:rFonts w:hint="cs"/>
          <w:rtl/>
        </w:rPr>
        <w:t>.</w:t>
      </w:r>
    </w:p>
    <w:p w:rsidR="008A5A43" w:rsidP="008A5A43" w14:paraId="1907D11D" w14:textId="4E132ADF">
      <w:pPr>
        <w:pStyle w:val="7392"/>
        <w:ind w:left="424"/>
        <w:rPr>
          <w:rtl/>
        </w:rPr>
      </w:pPr>
      <w:r w:rsidRPr="00B02658">
        <w:rPr>
          <w:rFonts w:hint="cs"/>
          <w:b/>
          <w:bCs/>
          <w:noProof/>
          <w:rtl/>
        </w:rPr>
        <w:drawing>
          <wp:anchor distT="0" distB="720090" distL="114300" distR="114300" simplePos="0" relativeHeight="251702272" behindDoc="1" locked="0" layoutInCell="1" allowOverlap="1">
            <wp:simplePos x="0" y="0"/>
            <wp:positionH relativeFrom="column">
              <wp:posOffset>4526280</wp:posOffset>
            </wp:positionH>
            <wp:positionV relativeFrom="paragraph">
              <wp:posOffset>30317</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5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46"/>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Pr>
          <w:rFonts w:hint="cs"/>
          <w:b/>
          <w:bCs/>
          <w:noProof/>
          <w:rtl/>
        </w:rPr>
        <w:t>חלוקת</w:t>
      </w:r>
      <w:r w:rsidRPr="00411396">
        <w:rPr>
          <w:rFonts w:hint="cs"/>
          <w:b/>
          <w:bCs/>
          <w:rtl/>
        </w:rPr>
        <w:t xml:space="preserve"> </w:t>
      </w:r>
      <w:r>
        <w:rPr>
          <w:rFonts w:hint="cs"/>
          <w:b/>
          <w:bCs/>
          <w:rtl/>
        </w:rPr>
        <w:t>דיבידנד</w:t>
      </w:r>
      <w:r w:rsidRPr="0062254D">
        <w:rPr>
          <w:rFonts w:hint="cs"/>
          <w:rtl/>
        </w:rPr>
        <w:t xml:space="preserve"> </w:t>
      </w:r>
    </w:p>
    <w:p w:rsidR="008A5A43" w:rsidRPr="00D348D3" w:rsidP="00191D6C" w14:paraId="4D303AF2" w14:textId="77777777">
      <w:pPr>
        <w:pStyle w:val="73BULLETS"/>
        <w:numPr>
          <w:ilvl w:val="0"/>
          <w:numId w:val="20"/>
        </w:numPr>
      </w:pPr>
      <w:r w:rsidRPr="00D348D3">
        <w:rPr>
          <w:rtl/>
        </w:rPr>
        <w:t xml:space="preserve">בגין השנים 2017 - 2021 הכריזה רפאל על דיבידנדים שוטפים בסך של 663 מיליון ש"ח מתוך רווח נקי של יותר מ-2 מיליארד ש"ח, ומהיקף הכנסות של יותר מ-46 מיליארד ש"ח. דירקטוריון רפאל לא קיים הליך לקביעת סכום הדיבידנד השוטף ומועד תשלומו בשנים 2019 - 2021 בהתאם לחוזר הרשות בנושא; ורשות החברות הממשלתיות לא עמדה מצידה על קיומו של הליך זה. </w:t>
      </w:r>
    </w:p>
    <w:p w:rsidR="008A5A43" w:rsidRPr="00D348D3" w:rsidP="00191D6C" w14:paraId="4E523ED0" w14:textId="77777777">
      <w:pPr>
        <w:pStyle w:val="73BULLETS"/>
        <w:numPr>
          <w:ilvl w:val="0"/>
          <w:numId w:val="20"/>
        </w:numPr>
        <w:rPr>
          <w:rtl/>
        </w:rPr>
      </w:pPr>
      <w:r w:rsidRPr="00D348D3">
        <w:rPr>
          <w:rtl/>
        </w:rPr>
        <w:t>החלטות הממשלה לקבלת דיבידנדים מיוחדים מחברות ממשלתיות לא יושמו במלואן.</w:t>
      </w:r>
    </w:p>
    <w:p w:rsidR="00420374" w:rsidRPr="0093709F" w:rsidP="00DA022A" w14:paraId="5E8BF229" w14:textId="34A16612">
      <w:pPr>
        <w:pStyle w:val="7392"/>
        <w:ind w:left="424"/>
        <w:rPr>
          <w:rtl/>
        </w:rPr>
      </w:pPr>
      <w:r w:rsidRPr="008A5A43">
        <w:rPr>
          <w:rFonts w:hint="cs"/>
          <w:b/>
          <w:bCs/>
          <w:noProof/>
          <w:rtl/>
        </w:rPr>
        <w:drawing>
          <wp:anchor distT="0" distB="720090" distL="114300" distR="114300" simplePos="0" relativeHeight="251692032" behindDoc="1" locked="0" layoutInCell="1" allowOverlap="1">
            <wp:simplePos x="0" y="0"/>
            <wp:positionH relativeFrom="column">
              <wp:posOffset>4526280</wp:posOffset>
            </wp:positionH>
            <wp:positionV relativeFrom="paragraph">
              <wp:posOffset>30317</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3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46"/>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8A5A43" w:rsidR="008A5A43">
        <w:rPr>
          <w:b/>
          <w:bCs/>
          <w:rtl/>
        </w:rPr>
        <w:t>איוש הדירקטוריון ברפאל</w:t>
      </w:r>
      <w:r w:rsidRPr="00D348D3" w:rsidR="008A5A43">
        <w:rPr>
          <w:rtl/>
        </w:rPr>
        <w:t xml:space="preserve"> - נכון לסוף שנת 2021 מספר הדירקטורים ברפאל (בעלת מחזור מכירות שנתי בסך של כ-10 מיליארד ש"ח), היה ארבעה בלבד. בחברות אשר רשות החברות הממשלתיות סיווגה כבעלות רמת מורכבות דומה לזו של רפאל (לדוגמה - חברת </w:t>
      </w:r>
      <w:r w:rsidRPr="00D348D3" w:rsidR="008A5A43">
        <w:rPr>
          <w:rtl/>
        </w:rPr>
        <w:t xml:space="preserve">החשמל לישראל </w:t>
      </w:r>
      <w:r w:rsidRPr="00D348D3" w:rsidR="008A5A43">
        <w:rPr>
          <w:rtl/>
        </w:rPr>
        <w:t>והתע"א</w:t>
      </w:r>
      <w:r w:rsidRPr="00D348D3" w:rsidR="008A5A43">
        <w:rPr>
          <w:rtl/>
        </w:rPr>
        <w:t xml:space="preserve">), הוגדר מספר מזערי של דירקטורים לפעילות הדירקטוריון, ואילו ברפאל לא הוגדר מספר זה. לשם השוואה, אף שמועד סיום תקופת כהונתם הראשונה של הדירקטורים היה ידוע, השרים הממונים ורשות החברות הממשלתיות לא השלימו פעילותם מבעוד מועד לצורך חידוש מינוים או מינוי דירקטורים אחרים במקומם, כך שבסוף שנת 2021 כיהנו בדירקטוריון רפאל ארבעה דירקטורים לעומת עשרה דירקטורים בחברת החשמל לישראל ותשעה דירקטורים </w:t>
      </w:r>
      <w:r w:rsidRPr="00D348D3" w:rsidR="008A5A43">
        <w:rPr>
          <w:rtl/>
        </w:rPr>
        <w:t>בתע"א</w:t>
      </w:r>
      <w:r w:rsidRPr="0093709F">
        <w:rPr>
          <w:rFonts w:hint="cs"/>
          <w:rtl/>
        </w:rPr>
        <w:t>.</w:t>
      </w:r>
    </w:p>
    <w:p w:rsidR="00420374" w:rsidP="00DA022A" w14:paraId="39D5E97C" w14:textId="0F7AD08F">
      <w:pPr>
        <w:pStyle w:val="7392"/>
        <w:ind w:left="424"/>
        <w:rPr>
          <w:noProof/>
          <w:rtl/>
        </w:rPr>
      </w:pPr>
      <w:r w:rsidRPr="00AA69FE">
        <w:rPr>
          <w:rStyle w:val="7391"/>
          <w:rFonts w:hint="cs"/>
          <w:rtl/>
        </w:rPr>
        <w:drawing>
          <wp:anchor distT="0" distB="0" distL="114300" distR="114300" simplePos="0" relativeHeight="251683840" behindDoc="0" locked="0" layoutInCell="1" allowOverlap="1">
            <wp:simplePos x="0" y="0"/>
            <wp:positionH relativeFrom="column">
              <wp:posOffset>2482850</wp:posOffset>
            </wp:positionH>
            <wp:positionV relativeFrom="paragraph">
              <wp:posOffset>823659</wp:posOffset>
            </wp:positionV>
            <wp:extent cx="2199640" cy="180340"/>
            <wp:effectExtent l="0" t="0" r="0" b="0"/>
            <wp:wrapTopAndBottom/>
            <wp:docPr id="2052770957" name="תמונה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57" name="תמונה 23"/>
                    <pic:cNvPicPr/>
                  </pic:nvPicPr>
                  <pic:blipFill>
                    <a:blip xmlns:r="http://schemas.openxmlformats.org/officeDocument/2006/relationships" r:embed="rId22">
                      <a:extLst>
                        <a:ext xmlns:a="http://schemas.openxmlformats.org/drawingml/2006/main" uri="{28A0092B-C50C-407E-A947-70E740481C1C}">
                          <a14:useLocalDpi xmlns:a14="http://schemas.microsoft.com/office/drawing/2010/main" val="0"/>
                        </a:ext>
                      </a:extLst>
                    </a:blip>
                    <a:stretch>
                      <a:fillRect/>
                    </a:stretch>
                  </pic:blipFill>
                  <pic:spPr>
                    <a:xfrm>
                      <a:off x="0" y="0"/>
                      <a:ext cx="2199640" cy="180340"/>
                    </a:xfrm>
                    <a:prstGeom prst="rect">
                      <a:avLst/>
                    </a:prstGeom>
                  </pic:spPr>
                </pic:pic>
              </a:graphicData>
            </a:graphic>
            <wp14:sizeRelH relativeFrom="margin">
              <wp14:pctWidth>0</wp14:pctWidth>
            </wp14:sizeRelH>
          </wp:anchor>
        </w:drawing>
      </w:r>
      <w:r w:rsidRPr="00AA69FE" w:rsidR="00DA022A">
        <w:rPr>
          <w:rStyle w:val="7391"/>
          <w:rFonts w:hint="cs"/>
          <w:rtl/>
        </w:rPr>
        <w:drawing>
          <wp:anchor distT="0" distB="720090" distL="114300" distR="114300" simplePos="0" relativeHeight="251693056" behindDoc="1" locked="0" layoutInCell="1" allowOverlap="1">
            <wp:simplePos x="0" y="0"/>
            <wp:positionH relativeFrom="column">
              <wp:posOffset>4526280</wp:posOffset>
            </wp:positionH>
            <wp:positionV relativeFrom="paragraph">
              <wp:posOffset>30317</wp:posOffset>
            </wp:positionV>
            <wp:extent cx="161925" cy="161925"/>
            <wp:effectExtent l="0" t="0" r="3175" b="3175"/>
            <wp:wrapTight wrapText="bothSides">
              <wp:wrapPolygon>
                <wp:start x="0" y="0"/>
                <wp:lineTo x="0" y="15247"/>
                <wp:lineTo x="5082" y="20329"/>
                <wp:lineTo x="16941" y="20329"/>
                <wp:lineTo x="20329" y="15247"/>
                <wp:lineTo x="20329" y="0"/>
                <wp:lineTo x="0" y="0"/>
              </wp:wrapPolygon>
            </wp:wrapTight>
            <wp:docPr id="4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6"/>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Pr="00AA69FE">
        <w:rPr>
          <w:rStyle w:val="7391"/>
          <w:rtl/>
        </w:rPr>
        <w:t>מינוי רואה חשבון מבקר</w:t>
      </w:r>
      <w:r w:rsidRPr="00D348D3">
        <w:rPr>
          <w:rtl/>
        </w:rPr>
        <w:t xml:space="preserve"> - נוכח ההרכב החסר של הוועדה למינוי רואי חשבון מבקרים, במשך תקופות ארוכות לא הוחלפו בפרק הזמן הנדרש רואי חשבון מבקרים בחברות ממשלתיות; ברפאל משמש אותו רואה חשבון מבקר במשך יותר מ-15 שנים. זאת, שלא בהתאם לכללי החברות הממשלתיות</w:t>
      </w:r>
      <w:r w:rsidRPr="0093709F">
        <w:rPr>
          <w:rFonts w:hint="cs"/>
          <w:rtl/>
        </w:rPr>
        <w:t xml:space="preserve">. </w:t>
      </w:r>
    </w:p>
    <w:p w:rsidR="00420374" w:rsidRPr="00411396" w:rsidP="00420374" w14:paraId="5E6B04AD" w14:textId="6A5C4627">
      <w:pPr>
        <w:pStyle w:val="7392"/>
        <w:spacing w:before="360"/>
        <w:rPr>
          <w:rtl/>
        </w:rPr>
      </w:pPr>
      <w:r w:rsidRPr="00AA69FE">
        <w:rPr>
          <w:b/>
          <w:bCs/>
          <w:rtl/>
        </w:rPr>
        <w:t>גידול בהיקף צבר ההזמנות</w:t>
      </w:r>
      <w:r w:rsidRPr="00B33D65">
        <w:rPr>
          <w:rtl/>
        </w:rPr>
        <w:t xml:space="preserve"> - בשנים 2017 - 2021 גדל צבר ההזמנות של קבוצת רפאל בשיעור של כ-19.5%, וללא צבר ההזמנות של </w:t>
      </w:r>
      <w:r w:rsidRPr="00B33D65">
        <w:rPr>
          <w:rtl/>
        </w:rPr>
        <w:t>אירונאוטיקס</w:t>
      </w:r>
      <w:r w:rsidRPr="00B33D65">
        <w:rPr>
          <w:rtl/>
        </w:rPr>
        <w:t xml:space="preserve"> </w:t>
      </w:r>
      <w:r w:rsidRPr="00B33D65">
        <w:rPr>
          <w:rtl/>
        </w:rPr>
        <w:t>וקונטרופ</w:t>
      </w:r>
      <w:r w:rsidRPr="00B33D65">
        <w:rPr>
          <w:rtl/>
        </w:rPr>
        <w:t xml:space="preserve"> - בכ-16%. זאת תוך כדי התמודדות בשנים 2020 ו-2021 עם השפעות מגפת הקורונה ויישום "תקציב המשכי" במדינה. ב-31.12.21 הסתכם צבר ההזמנות של הקבוצה בכ-28.8 מיליארד ש"ח, שהם פי 2.9 מהכנסותיה ממכירות בשנה זו. צבר הזמנות זה מספק לחברה ביטחון בהכנסותיה לטווח הזמן הבינוני</w:t>
      </w:r>
      <w:r w:rsidRPr="00411396">
        <w:rPr>
          <w:rtl/>
        </w:rPr>
        <w:t>.</w:t>
      </w:r>
    </w:p>
    <w:p w:rsidR="002753C7" w:rsidRPr="00662020" w:rsidP="002753C7" w14:paraId="7C748CCB" w14:textId="7A75E04D">
      <w:pPr>
        <w:pStyle w:val="7327"/>
        <w:spacing w:before="480"/>
        <w:rPr>
          <w:rtl/>
        </w:rPr>
      </w:pPr>
      <w:r w:rsidRPr="00662020">
        <w:rPr>
          <w:rFonts w:hint="cs"/>
          <w:rtl/>
        </w:rPr>
        <w:t>עיקרי המלצות הביקורת</w:t>
      </w:r>
    </w:p>
    <w:p w:rsidR="0093709F" w:rsidRPr="007C7D40" w:rsidP="007C7D40" w14:paraId="0466320B" w14:textId="178688A7">
      <w:pPr>
        <w:pStyle w:val="7317"/>
      </w:pPr>
      <w:r w:rsidRPr="00172400">
        <w:rPr>
          <w:rFonts w:hint="cs"/>
          <w:b/>
          <w:bCs/>
          <w:noProof/>
          <w:rtl/>
        </w:rPr>
        <w:drawing>
          <wp:anchor distT="0" distB="1440180" distL="107950" distR="114300" simplePos="0" relativeHeight="251694080" behindDoc="1" locked="0" layoutInCell="1" allowOverlap="1">
            <wp:simplePos x="0" y="0"/>
            <wp:positionH relativeFrom="column">
              <wp:posOffset>4519930</wp:posOffset>
            </wp:positionH>
            <wp:positionV relativeFrom="paragraph">
              <wp:posOffset>23624</wp:posOffset>
            </wp:positionV>
            <wp:extent cx="143510" cy="161925"/>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145106662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28" name="Picture 59"/>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Pr="00172400" w:rsidR="00AA69FE">
        <w:rPr>
          <w:b/>
          <w:bCs/>
          <w:rtl/>
        </w:rPr>
        <w:t>הכנסות ורווחיות</w:t>
      </w:r>
      <w:r w:rsidRPr="00B33D65" w:rsidR="00AA69FE">
        <w:rPr>
          <w:rtl/>
        </w:rPr>
        <w:t xml:space="preserve"> - מומלץ כי הנהלת רפאל תבחן את הצעדים הנדרשים כדי להביא את הקבוצה לעמידה ביעדי ההכנסות ממכירות הנקבעים בתקציב; וכי תבחן את ההיקף ואת המאפיינים של התלות של החברה </w:t>
      </w:r>
      <w:r w:rsidRPr="00B33D65" w:rsidR="00AA69FE">
        <w:rPr>
          <w:rtl/>
        </w:rPr>
        <w:t>במשהב"ט</w:t>
      </w:r>
      <w:r w:rsidRPr="00B33D65" w:rsidR="00AA69FE">
        <w:rPr>
          <w:rtl/>
        </w:rPr>
        <w:t>, לרבות כלקוח עיקרי שלה, ותפעל לגיבוש תוכנית פעולה להקטנת הסיכון הכרוך בכך. כמו כן מומלץ כי הנהלת רפאל תבחן את הגורמים המעכבים את הגידול ברווח התפעולי שלה ותפעל להגדרת האמצעים הנדרשים להגדלתו</w:t>
      </w:r>
      <w:r w:rsidRPr="007C7D40" w:rsidR="005D0F8C">
        <w:rPr>
          <w:rFonts w:hint="cs"/>
          <w:rtl/>
        </w:rPr>
        <w:t xml:space="preserve">. </w:t>
      </w:r>
    </w:p>
    <w:p w:rsidR="005D0F8C" w:rsidRPr="007C7D40" w:rsidP="007C7D40" w14:paraId="6C626C68" w14:textId="177C592A">
      <w:pPr>
        <w:pStyle w:val="7317"/>
      </w:pPr>
      <w:r w:rsidRPr="00172400">
        <w:rPr>
          <w:rFonts w:hint="cs"/>
          <w:b/>
          <w:bCs/>
          <w:noProof/>
          <w:rtl/>
        </w:rPr>
        <w:drawing>
          <wp:anchor distT="0" distB="1440180" distL="107950" distR="114300" simplePos="0" relativeHeight="251695104" behindDoc="1" locked="0" layoutInCell="1" allowOverlap="1">
            <wp:simplePos x="0" y="0"/>
            <wp:positionH relativeFrom="column">
              <wp:posOffset>4521200</wp:posOffset>
            </wp:positionH>
            <wp:positionV relativeFrom="paragraph">
              <wp:posOffset>23624</wp:posOffset>
            </wp:positionV>
            <wp:extent cx="144000" cy="162000"/>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1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9"/>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Pr="00172400" w:rsidR="00AA69FE">
        <w:rPr>
          <w:b/>
          <w:bCs/>
          <w:rtl/>
        </w:rPr>
        <w:t>השינוי ברווחיות רב-שנתית בפרויקטים עיקריים</w:t>
      </w:r>
      <w:r w:rsidRPr="00B33D65" w:rsidR="00AA69FE">
        <w:rPr>
          <w:rtl/>
        </w:rPr>
        <w:t xml:space="preserve"> - מומלץ כי הנהלת רפאל תבחן את ההנחות והאומדנים המשמשים לקביעת תחזית שיעורי הרווחיות במועד ההזמנה. עוד מומלץ כי הנהלת רפאל תנתח את הגורמים לירידה </w:t>
      </w:r>
      <w:r w:rsidRPr="00B33D65" w:rsidR="00AA69FE">
        <w:rPr>
          <w:rFonts w:hint="cs"/>
          <w:rtl/>
        </w:rPr>
        <w:t>מסויימת</w:t>
      </w:r>
      <w:r w:rsidRPr="00B33D65" w:rsidR="00AA69FE">
        <w:rPr>
          <w:rFonts w:hint="cs"/>
          <w:rtl/>
        </w:rPr>
        <w:t xml:space="preserve"> </w:t>
      </w:r>
      <w:r w:rsidRPr="00B33D65" w:rsidR="00AA69FE">
        <w:rPr>
          <w:rtl/>
        </w:rPr>
        <w:t xml:space="preserve">ברווחיות הפרויקטים לאורך שנות ביצועם ותציג לדירקטוריון את ממצאיה, לרבות את הצעדים המוצעים לצמצום התופעה. אשר לפעילות של החברה בשוק המקומי (בעיקר עבור </w:t>
      </w:r>
      <w:r w:rsidRPr="00B33D65" w:rsidR="00AA69FE">
        <w:rPr>
          <w:rtl/>
        </w:rPr>
        <w:t>משהב"ט</w:t>
      </w:r>
      <w:r w:rsidRPr="00B33D65" w:rsidR="00AA69FE">
        <w:rPr>
          <w:rtl/>
        </w:rPr>
        <w:t>) בכל סוגי הפרויקטים - מומלץ כי הנהלת החברה תבחן את הנושא, כי ממצאי הבחינה יוצגו לדירקטוריון לשם קביעת קווים מנחים, דוגמת הרווחיות המינימלית הנדרשת לפעילות זו, וכי קווים מנחים אלה יוטמעו בנוהל הרשאות החתימה של החברה</w:t>
      </w:r>
      <w:r w:rsidRPr="007C7D40">
        <w:rPr>
          <w:rtl/>
        </w:rPr>
        <w:t xml:space="preserve">. </w:t>
      </w:r>
    </w:p>
    <w:p w:rsidR="005D0F8C" w:rsidRPr="007C7D40" w:rsidP="007C7D40" w14:paraId="16E5BFEE" w14:textId="302E86F1">
      <w:pPr>
        <w:pStyle w:val="7317"/>
        <w:rPr>
          <w:rtl/>
        </w:rPr>
      </w:pPr>
      <w:r w:rsidRPr="00172400">
        <w:rPr>
          <w:rFonts w:hint="cs"/>
          <w:b/>
          <w:bCs/>
          <w:noProof/>
          <w:rtl/>
        </w:rPr>
        <w:drawing>
          <wp:anchor distT="0" distB="1440180" distL="107950" distR="114300" simplePos="0" relativeHeight="251696128" behindDoc="1" locked="0" layoutInCell="1" allowOverlap="1">
            <wp:simplePos x="0" y="0"/>
            <wp:positionH relativeFrom="column">
              <wp:posOffset>4521200</wp:posOffset>
            </wp:positionH>
            <wp:positionV relativeFrom="paragraph">
              <wp:posOffset>31244</wp:posOffset>
            </wp:positionV>
            <wp:extent cx="144000" cy="162000"/>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2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59"/>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Pr="00172400" w:rsidR="00AA69FE">
        <w:rPr>
          <w:rFonts w:hint="cs"/>
          <w:b/>
          <w:bCs/>
          <w:rtl/>
        </w:rPr>
        <w:t xml:space="preserve">עמידה </w:t>
      </w:r>
      <w:r w:rsidRPr="00172400" w:rsidR="00AA69FE">
        <w:rPr>
          <w:b/>
          <w:bCs/>
          <w:rtl/>
        </w:rPr>
        <w:t>באבני דרך חוזיות</w:t>
      </w:r>
      <w:r w:rsidRPr="00B33D65" w:rsidR="00AA69FE">
        <w:rPr>
          <w:rtl/>
        </w:rPr>
        <w:t xml:space="preserve"> - מומלץ כי הנהלת רפאל תפעל להמשך בחינת תהליכי ניהול הפרויקטים שבהם </w:t>
      </w:r>
      <w:r w:rsidRPr="00B33D65" w:rsidR="00AA69FE">
        <w:rPr>
          <w:rFonts w:hint="cs"/>
          <w:rtl/>
        </w:rPr>
        <w:t xml:space="preserve">היו פערים מסוימים </w:t>
      </w:r>
      <w:r w:rsidRPr="00B33D65" w:rsidR="00AA69FE">
        <w:rPr>
          <w:rtl/>
        </w:rPr>
        <w:t xml:space="preserve">והבקרה עליהם, משלב הייזום </w:t>
      </w:r>
      <w:r w:rsidRPr="00B33D65" w:rsidR="00AA69FE">
        <w:rPr>
          <w:rtl/>
        </w:rPr>
        <w:t>ווההכנה</w:t>
      </w:r>
      <w:r w:rsidRPr="00B33D65" w:rsidR="00AA69FE">
        <w:rPr>
          <w:rtl/>
        </w:rPr>
        <w:t xml:space="preserve"> של הצעות המחיר ועד לשלב ביצועם הנוכחי של הפרויקטים. כמו כן מומלץ כי הנהלת רפאל </w:t>
      </w:r>
      <w:r w:rsidRPr="00B33D65" w:rsidR="00AA69FE">
        <w:rPr>
          <w:rtl/>
        </w:rPr>
        <w:t xml:space="preserve">והדירקטוריון יעמיקו את מעורבותם בנושא </w:t>
      </w:r>
      <w:r w:rsidRPr="00B33D65" w:rsidR="00AA69FE">
        <w:rPr>
          <w:rFonts w:hint="cs"/>
          <w:rtl/>
        </w:rPr>
        <w:t xml:space="preserve">זה </w:t>
      </w:r>
      <w:r w:rsidRPr="00B33D65" w:rsidR="00AA69FE">
        <w:rPr>
          <w:rtl/>
        </w:rPr>
        <w:t>בדגש על ניתוח פרטני של הסיבות וכן על הפקה ממוקדת של הלקחים והטמעתם בפעילות החברה</w:t>
      </w:r>
      <w:r w:rsidRPr="007C7D40">
        <w:rPr>
          <w:rFonts w:hint="cs"/>
          <w:rtl/>
        </w:rPr>
        <w:t>.</w:t>
      </w:r>
    </w:p>
    <w:p w:rsidR="00706096" w:rsidRPr="007C7D40" w:rsidP="007C7D40" w14:paraId="3F6A2BE4" w14:textId="13F9F423">
      <w:pPr>
        <w:pStyle w:val="7317"/>
        <w:rPr>
          <w:rtl/>
        </w:rPr>
      </w:pPr>
      <w:r w:rsidRPr="00172400">
        <w:rPr>
          <w:rFonts w:hint="cs"/>
          <w:b/>
          <w:bCs/>
          <w:noProof/>
          <w:rtl/>
        </w:rPr>
        <w:drawing>
          <wp:anchor distT="0" distB="1440180" distL="107950" distR="114300" simplePos="0" relativeHeight="251697152" behindDoc="1" locked="0" layoutInCell="1" allowOverlap="1">
            <wp:simplePos x="0" y="0"/>
            <wp:positionH relativeFrom="column">
              <wp:posOffset>4521200</wp:posOffset>
            </wp:positionH>
            <wp:positionV relativeFrom="paragraph">
              <wp:posOffset>31244</wp:posOffset>
            </wp:positionV>
            <wp:extent cx="144000" cy="162000"/>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2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59"/>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Pr="00172400" w:rsidR="00AA69FE">
        <w:rPr>
          <w:b/>
          <w:bCs/>
          <w:rtl/>
        </w:rPr>
        <w:t>השקעה בחברות מוחזקות</w:t>
      </w:r>
      <w:r w:rsidRPr="00B33D65" w:rsidR="00AA69FE">
        <w:rPr>
          <w:rtl/>
        </w:rPr>
        <w:t xml:space="preserve"> - נוכח תוצאות פעילותן של החברות שבהן מחזיקה רפאל לעומת התחזיות, מומלץ כי הנהלת רפאל תבחן את טיב תחזיותיה ותגבש אמצעים לשיפור התחזיות בעתיד. עוד מומלץ כי דירקטוריון החברה ימשיך לעקוב אחר ביצועי החברות האמורות ובכלל זה בנוגע לסיבות להפסדים מההשקעות בהן, לערך המוסף שהחברות אמורות להשיא לרפאל, לרבות תקבולים מדיבידנד ומחלוקת רווחים, וליעדים בעניין שווי החברות</w:t>
      </w:r>
      <w:r w:rsidRPr="007C7D40">
        <w:rPr>
          <w:rFonts w:hint="cs"/>
          <w:rtl/>
        </w:rPr>
        <w:t>.</w:t>
      </w:r>
    </w:p>
    <w:p w:rsidR="00AA69FE" w:rsidRPr="00172400" w:rsidP="00AC5CE9" w14:paraId="22D42DC6" w14:textId="5DC2F083">
      <w:pPr>
        <w:pStyle w:val="ListParagraph"/>
        <w:tabs>
          <w:tab w:val="left" w:pos="8221"/>
        </w:tabs>
        <w:spacing w:after="180" w:line="288" w:lineRule="auto"/>
        <w:ind w:left="515"/>
        <w:contextualSpacing w:val="0"/>
        <w:rPr>
          <w:rFonts w:ascii="Tahoma" w:hAnsi="Tahoma" w:cs="Tahoma"/>
          <w:b/>
          <w:bCs/>
          <w:color w:val="0D0D0D" w:themeColor="text1" w:themeTint="F2"/>
          <w:sz w:val="18"/>
          <w:szCs w:val="18"/>
        </w:rPr>
      </w:pPr>
      <w:r w:rsidRPr="00172400">
        <w:rPr>
          <w:rFonts w:hint="cs"/>
          <w:b/>
          <w:bCs/>
          <w:noProof/>
          <w:rtl/>
        </w:rPr>
        <w:drawing>
          <wp:anchor distT="0" distB="1440180" distL="107950" distR="114300" simplePos="0" relativeHeight="251698176" behindDoc="1" locked="0" layoutInCell="1" allowOverlap="1">
            <wp:simplePos x="0" y="0"/>
            <wp:positionH relativeFrom="column">
              <wp:posOffset>4521200</wp:posOffset>
            </wp:positionH>
            <wp:positionV relativeFrom="paragraph">
              <wp:posOffset>21719</wp:posOffset>
            </wp:positionV>
            <wp:extent cx="143510" cy="161925"/>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2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59"/>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Pr="00172400">
        <w:rPr>
          <w:rFonts w:ascii="Tahoma" w:hAnsi="Tahoma" w:cs="Tahoma"/>
          <w:b/>
          <w:bCs/>
          <w:color w:val="0D0D0D" w:themeColor="text1" w:themeTint="F2"/>
          <w:sz w:val="18"/>
          <w:szCs w:val="18"/>
          <w:rtl/>
        </w:rPr>
        <w:t>חלוקת דיבידנד</w:t>
      </w:r>
    </w:p>
    <w:p w:rsidR="00AA69FE" w:rsidRPr="00B33D65" w:rsidP="00191D6C" w14:paraId="40ECC944" w14:textId="77777777">
      <w:pPr>
        <w:pStyle w:val="73BULLETS"/>
        <w:numPr>
          <w:ilvl w:val="0"/>
          <w:numId w:val="21"/>
        </w:numPr>
      </w:pPr>
      <w:r w:rsidRPr="00B33D65">
        <w:rPr>
          <w:rtl/>
        </w:rPr>
        <w:t xml:space="preserve">מומלץ כי רשות החברות הממשלתיות תקיים מעקב אחר מימוש הנחיותיה בכל הנוגע להליך חלוקת הדיבידנדים ולדיווח עליו, ותפעל במידת הצורך לשם כך מול דירקטוריון החברה. כמו כן מומלץ כי הרשות תגבש מתווה למימוש החלטות ממשלה בעניין חלוקת דיבידנד מיוחד, לרבות כללים וקווים מנחים, ואת המנגנון ליישומו; וכי היא תציגם לאישור הממשלה. </w:t>
      </w:r>
    </w:p>
    <w:p w:rsidR="00706096" w:rsidRPr="007C7D40" w:rsidP="00191D6C" w14:paraId="36B4D251" w14:textId="09B404FF">
      <w:pPr>
        <w:pStyle w:val="73BULLETS"/>
        <w:numPr>
          <w:ilvl w:val="0"/>
          <w:numId w:val="21"/>
        </w:numPr>
      </w:pPr>
      <w:r w:rsidRPr="00B33D65">
        <w:rPr>
          <w:rtl/>
        </w:rPr>
        <w:t>על דירקטוריון רפאל לדון מידי שנה בשנה, עד למועד אישור הדוחות הכספיים השנתיים, בייעוד רווחי החברה, וכן עליו לקבל החלטה ; זאת על מנת לבחון אם החברה יכולה לעמוד במחויבותה לחלק דיבידנד שוטף בשיעור 50% מרווחיה השוטפים</w:t>
      </w:r>
      <w:r w:rsidRPr="007C7D40">
        <w:rPr>
          <w:rFonts w:hint="cs"/>
          <w:rtl/>
        </w:rPr>
        <w:t>.</w:t>
      </w:r>
    </w:p>
    <w:p w:rsidR="00706096" w:rsidP="007C7D40" w14:paraId="30F30DD7" w14:textId="1872AF43">
      <w:pPr>
        <w:pStyle w:val="7317"/>
        <w:rPr>
          <w:rtl/>
        </w:rPr>
      </w:pPr>
      <w:r w:rsidRPr="00172400">
        <w:rPr>
          <w:rFonts w:hint="cs"/>
          <w:b/>
          <w:bCs/>
          <w:noProof/>
          <w:rtl/>
        </w:rPr>
        <w:drawing>
          <wp:anchor distT="0" distB="1440180" distL="107950" distR="114300" simplePos="0" relativeHeight="251699200" behindDoc="1" locked="0" layoutInCell="1" allowOverlap="1">
            <wp:simplePos x="0" y="0"/>
            <wp:positionH relativeFrom="column">
              <wp:posOffset>4521200</wp:posOffset>
            </wp:positionH>
            <wp:positionV relativeFrom="paragraph">
              <wp:posOffset>36324</wp:posOffset>
            </wp:positionV>
            <wp:extent cx="144000" cy="162000"/>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2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59"/>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Pr="00172400" w:rsidR="00AA69FE">
        <w:rPr>
          <w:b/>
          <w:bCs/>
          <w:rtl/>
        </w:rPr>
        <w:t>איוש הדירקטוריון ברפאל</w:t>
      </w:r>
      <w:r w:rsidRPr="00B33D65" w:rsidR="00AA69FE">
        <w:rPr>
          <w:rtl/>
        </w:rPr>
        <w:t xml:space="preserve"> - מומלץ כי רשות החברות הממשלתיות תפעל בתיאום עם רפאל לבחינת שינוי בתקנון החברה באופן שייקבע המספר המזערי של דירקטורים לפעילות הדירקטוריון, בהתחשב, בין היתר, בגודלה של החברה ובמורכבות פעילותה. עוד מומלץ כי השרים הנוגעים בדבר ורשות החברות הממשלתיות, בהתאם לתפקידיה בעניין זה, יפעלו לכך שהליכי בחירתם של דירקטורים חדשים מטעם המדינה או הארכת כהונתם של דירקטורים מכהנים יחלו מבעוד מועד, קודם לסיום כהונתם של דירקטורים מכהנים. כמו כן, מומלץ כי רשות החברות הממשלתיות תבחן אפשרויות להסדרת הליך מינוי מזורז לכהונה נוספת של דירקטורים בחברות ממשלתיות; כי תתקיים תחלופה הדרגתית של הדירקטורים, וכי תיבחן אפשרות לקביעת משך כהונה דיפרנציאלי של דירקטורים בחברות בהתאם לרמת המורכבות של החברות ולסיווגן</w:t>
      </w:r>
      <w:r w:rsidRPr="008E57FE">
        <w:rPr>
          <w:rFonts w:hint="cs"/>
          <w:rtl/>
        </w:rPr>
        <w:t>.</w:t>
      </w:r>
    </w:p>
    <w:p w:rsidR="00AA69FE" w14:paraId="377E6FE3" w14:textId="6E34D6AD">
      <w:pPr>
        <w:bidi w:val="0"/>
        <w:spacing w:after="200" w:line="276" w:lineRule="auto"/>
        <w:rPr>
          <w:rFonts w:ascii="Tahoma" w:hAnsi="Tahoma" w:cs="Tahoma"/>
          <w:color w:val="0D0D0D" w:themeColor="text1" w:themeTint="F2"/>
          <w:sz w:val="18"/>
          <w:szCs w:val="18"/>
          <w:rtl/>
        </w:rPr>
      </w:pPr>
      <w:r>
        <w:rPr>
          <w:rtl/>
        </w:rPr>
        <w:br w:type="page"/>
      </w:r>
    </w:p>
    <w:p w:rsidR="005D0F8C" w:rsidP="004E71DD" w14:paraId="6DC28C4F" w14:textId="1BCE7D82">
      <w:pPr>
        <w:tabs>
          <w:tab w:val="right" w:pos="7370"/>
        </w:tabs>
        <w:bidi w:val="0"/>
        <w:spacing w:after="200" w:line="276" w:lineRule="auto"/>
        <w:rPr>
          <w:rtl/>
        </w:rPr>
      </w:pPr>
      <w:r w:rsidRPr="00D527BD">
        <w:rPr>
          <w:noProof/>
          <w:szCs w:val="20"/>
          <w:rtl/>
        </w:rPr>
        <w:drawing>
          <wp:anchor distT="0" distB="0" distL="114300" distR="114300" simplePos="0" relativeHeight="251678720" behindDoc="0" locked="0" layoutInCell="1" allowOverlap="1">
            <wp:simplePos x="0" y="0"/>
            <wp:positionH relativeFrom="column">
              <wp:posOffset>-107950</wp:posOffset>
            </wp:positionH>
            <wp:positionV relativeFrom="paragraph">
              <wp:posOffset>-50165</wp:posOffset>
            </wp:positionV>
            <wp:extent cx="4731385" cy="762635"/>
            <wp:effectExtent l="0" t="0" r="0" b="0"/>
            <wp:wrapNone/>
            <wp:docPr id="145106664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6" name="Picture 21"/>
                    <pic:cNvPicPr>
                      <a:picLocks noChangeAspect="1"/>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a:xfrm>
                      <a:off x="0" y="0"/>
                      <a:ext cx="4731385" cy="762635"/>
                    </a:xfrm>
                    <a:prstGeom prst="rect">
                      <a:avLst/>
                    </a:prstGeom>
                  </pic:spPr>
                </pic:pic>
              </a:graphicData>
            </a:graphic>
            <wp14:sizeRelV relativeFrom="margin">
              <wp14:pctHeight>0</wp14:pctHeight>
            </wp14:sizeRelV>
          </wp:anchor>
        </w:drawing>
      </w:r>
      <w:r w:rsidRPr="00D527BD">
        <w:rPr>
          <w:noProof/>
          <w:szCs w:val="20"/>
          <w:rtl/>
        </w:rPr>
        <mc:AlternateContent>
          <mc:Choice Requires="wps">
            <w:drawing>
              <wp:anchor distT="0" distB="0" distL="114300" distR="114300" simplePos="0" relativeHeight="251679744" behindDoc="0" locked="0" layoutInCell="1" allowOverlap="1">
                <wp:simplePos x="0" y="0"/>
                <wp:positionH relativeFrom="column">
                  <wp:posOffset>86976</wp:posOffset>
                </wp:positionH>
                <wp:positionV relativeFrom="paragraph">
                  <wp:posOffset>44978</wp:posOffset>
                </wp:positionV>
                <wp:extent cx="4436745" cy="435128"/>
                <wp:effectExtent l="0" t="0" r="0" b="0"/>
                <wp:wrapNone/>
                <wp:docPr id="1451066629"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36745" cy="435128"/>
                        </a:xfrm>
                        <a:prstGeom prst="rect">
                          <a:avLst/>
                        </a:prstGeom>
                        <a:solidFill>
                          <a:srgbClr val="F05260"/>
                        </a:solidFill>
                        <a:ln w="9525">
                          <a:noFill/>
                          <a:miter lim="800000"/>
                          <a:headEnd/>
                          <a:tailEnd/>
                        </a:ln>
                      </wps:spPr>
                      <wps:txbx>
                        <w:txbxContent>
                          <w:p w:rsidR="005D0F8C" w:rsidRPr="005C7ABF" w:rsidP="00662020" w14:textId="02D6A6CB">
                            <w:pPr>
                              <w:spacing w:line="240" w:lineRule="auto"/>
                              <w:ind w:right="113"/>
                              <w:suppressOverlap/>
                              <w:jc w:val="left"/>
                              <w:rPr>
                                <w:rFonts w:ascii="Tahoma" w:hAnsi="Tahoma" w:cs="Tahoma"/>
                                <w:b/>
                                <w:bCs/>
                                <w:color w:val="FFFFFF" w:themeColor="background1"/>
                                <w:spacing w:val="-4"/>
                                <w:sz w:val="22"/>
                                <w:szCs w:val="22"/>
                                <w:rtl/>
                              </w:rPr>
                            </w:pPr>
                            <w:r w:rsidRPr="00AA69FE">
                              <w:rPr>
                                <w:rFonts w:ascii="Tahoma" w:hAnsi="Tahoma" w:cs="Tahoma"/>
                                <w:b/>
                                <w:bCs/>
                                <w:color w:val="FFFFFF" w:themeColor="background1"/>
                                <w:spacing w:val="-4"/>
                                <w:sz w:val="22"/>
                                <w:szCs w:val="22"/>
                                <w:rtl/>
                              </w:rPr>
                              <w:t>שיעורי הרווח הגולמי, התפעולי והנקי של רפאל מהמכירות, 2017 - 2021</w:t>
                            </w:r>
                          </w:p>
                        </w:txbxContent>
                      </wps:txbx>
                      <wps:bodyPr rot="0" vert="horz" wrap="square" lIns="91440" tIns="45720" rIns="91440" bIns="45720" anchor="ctr" anchorCtr="0"/>
                    </wps:wsp>
                  </a:graphicData>
                </a:graphic>
                <wp14:sizeRelH relativeFrom="margin">
                  <wp14:pctWidth>0</wp14:pctWidth>
                </wp14:sizeRelH>
                <wp14:sizeRelV relativeFrom="margin">
                  <wp14:pctHeight>0</wp14:pctHeight>
                </wp14:sizeRelV>
              </wp:anchor>
            </w:drawing>
          </mc:Choice>
          <mc:Fallback>
            <w:pict>
              <v:shape id="_x0000_s1034" type="#_x0000_t202" style="width:349.35pt;height:34.25pt;margin-top:3.55pt;margin-left:6.85pt;mso-height-percent:0;mso-height-relative:margin;mso-width-percent:0;mso-width-relative:margin;mso-wrap-distance-bottom:0;mso-wrap-distance-left:9pt;mso-wrap-distance-right:9pt;mso-wrap-distance-top:0;mso-wrap-style:square;position:absolute;visibility:visible;v-text-anchor:middle;z-index:251680768" fillcolor="#f05260" stroked="f">
                <v:textbox>
                  <w:txbxContent>
                    <w:p w:rsidR="005D0F8C" w:rsidRPr="005C7ABF" w:rsidP="00662020" w14:paraId="1D5D7976" w14:textId="02D6A6CB">
                      <w:pPr>
                        <w:spacing w:line="240" w:lineRule="auto"/>
                        <w:ind w:right="113"/>
                        <w:suppressOverlap/>
                        <w:jc w:val="left"/>
                        <w:rPr>
                          <w:rFonts w:ascii="Tahoma" w:hAnsi="Tahoma" w:cs="Tahoma"/>
                          <w:b/>
                          <w:bCs/>
                          <w:color w:val="FFFFFF" w:themeColor="background1"/>
                          <w:spacing w:val="-4"/>
                          <w:sz w:val="22"/>
                          <w:szCs w:val="22"/>
                          <w:rtl/>
                        </w:rPr>
                      </w:pPr>
                      <w:r w:rsidRPr="00AA69FE">
                        <w:rPr>
                          <w:rFonts w:ascii="Tahoma" w:hAnsi="Tahoma" w:cs="Tahoma"/>
                          <w:b/>
                          <w:bCs/>
                          <w:color w:val="FFFFFF" w:themeColor="background1"/>
                          <w:spacing w:val="-4"/>
                          <w:sz w:val="22"/>
                          <w:szCs w:val="22"/>
                          <w:rtl/>
                        </w:rPr>
                        <w:t>שיעורי הרווח הגולמי, התפעולי והנקי של רפאל מהמכירות, 2017 - 2021</w:t>
                      </w:r>
                    </w:p>
                  </w:txbxContent>
                </v:textbox>
              </v:shape>
            </w:pict>
          </mc:Fallback>
        </mc:AlternateContent>
      </w:r>
      <w:r>
        <w:rPr>
          <w:rtl/>
        </w:rPr>
        <w:t xml:space="preserve"> </w:t>
      </w:r>
    </w:p>
    <w:p w:rsidR="005D0F8C" w:rsidP="005D0F8C" w14:paraId="5B8DB107" w14:textId="4FB0AD47">
      <w:pPr>
        <w:pStyle w:val="7317"/>
        <w:rPr>
          <w:rtl/>
        </w:rPr>
      </w:pPr>
    </w:p>
    <w:p w:rsidR="005D0F8C" w:rsidP="005D0F8C" w14:paraId="65CD3CF9" w14:textId="354E5928">
      <w:pPr>
        <w:pStyle w:val="7317"/>
        <w:rPr>
          <w:rtl/>
        </w:rPr>
      </w:pPr>
      <w:bookmarkStart w:id="4" w:name="tempMark"/>
      <w:r w:rsidRPr="00842324">
        <w:rPr>
          <w:noProof/>
          <w:sz w:val="19"/>
          <w:szCs w:val="19"/>
          <w:rtl/>
        </w:rPr>
        <w:drawing>
          <wp:anchor distT="0" distB="0" distL="114300" distR="114300" simplePos="0" relativeHeight="251703296" behindDoc="0" locked="0" layoutInCell="1" allowOverlap="1">
            <wp:simplePos x="0" y="0"/>
            <wp:positionH relativeFrom="column">
              <wp:posOffset>20955</wp:posOffset>
            </wp:positionH>
            <wp:positionV relativeFrom="paragraph">
              <wp:posOffset>170180</wp:posOffset>
            </wp:positionV>
            <wp:extent cx="4580255" cy="2089785"/>
            <wp:effectExtent l="0" t="0" r="0" b="0"/>
            <wp:wrapTopAndBottom/>
            <wp:docPr id="57" name="תמונה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תמונה 57"/>
                    <pic:cNvPicPr>
                      <a:picLocks noChangeAspect="1" noChangeArrowheads="1"/>
                    </pic:cNvPicPr>
                  </pic:nvPicPr>
                  <pic:blipFill>
                    <a:blip xmlns:r="http://schemas.openxmlformats.org/officeDocument/2006/relationships" r:embed="rId25">
                      <a:extLst>
                        <a:ext xmlns:a="http://schemas.openxmlformats.org/drawingml/2006/main" uri="{28A0092B-C50C-407E-A947-70E740481C1C}">
                          <a14:useLocalDpi xmlns:a14="http://schemas.microsoft.com/office/drawing/2010/main" val="0"/>
                        </a:ext>
                      </a:extLst>
                    </a:blip>
                    <a:srcRect t="2358" b="2358"/>
                    <a:stretch>
                      <a:fillRect/>
                    </a:stretch>
                  </pic:blipFill>
                  <pic:spPr bwMode="auto">
                    <a:xfrm>
                      <a:off x="0" y="0"/>
                      <a:ext cx="4580255" cy="208978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4"/>
    </w:p>
    <w:p w:rsidR="005D0F8C" w:rsidP="00AA69FE" w14:paraId="0DA8F7B9" w14:textId="51F218B9">
      <w:pPr>
        <w:pStyle w:val="738"/>
        <w:spacing w:before="360"/>
        <w:rPr>
          <w:b/>
          <w:bCs/>
          <w:noProof/>
          <w:color w:val="FFFFFF" w:themeColor="background1"/>
          <w:sz w:val="22"/>
          <w:szCs w:val="22"/>
        </w:rPr>
      </w:pPr>
      <w:r w:rsidRPr="00842324">
        <w:rPr>
          <w:noProof/>
          <w:sz w:val="19"/>
          <w:szCs w:val="19"/>
          <w:rtl/>
        </w:rPr>
        <w:drawing>
          <wp:anchor distT="0" distB="0" distL="114300" distR="114300" simplePos="0" relativeHeight="251704320" behindDoc="0" locked="0" layoutInCell="1" allowOverlap="1">
            <wp:simplePos x="0" y="0"/>
            <wp:positionH relativeFrom="column">
              <wp:posOffset>28575</wp:posOffset>
            </wp:positionH>
            <wp:positionV relativeFrom="paragraph">
              <wp:posOffset>3091815</wp:posOffset>
            </wp:positionV>
            <wp:extent cx="4705350" cy="2400935"/>
            <wp:effectExtent l="0" t="0" r="6350" b="0"/>
            <wp:wrapTopAndBottom/>
            <wp:docPr id="58" name="תמונה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תמונה 58"/>
                    <pic:cNvPicPr>
                      <a:picLocks noChangeAspect="1" noChangeArrowheads="1"/>
                    </pic:cNvPicPr>
                  </pic:nvPicPr>
                  <pic:blipFill>
                    <a:blip xmlns:r="http://schemas.openxmlformats.org/officeDocument/2006/relationships" r:embed="rId26">
                      <a:extLst>
                        <a:ext xmlns:a="http://schemas.openxmlformats.org/drawingml/2006/main" uri="{28A0092B-C50C-407E-A947-70E740481C1C}">
                          <a14:useLocalDpi xmlns:a14="http://schemas.microsoft.com/office/drawing/2010/main" val="0"/>
                        </a:ext>
                      </a:extLst>
                    </a:blip>
                    <a:srcRect l="1669" r="1669"/>
                    <a:stretch>
                      <a:fillRect/>
                    </a:stretch>
                  </pic:blipFill>
                  <pic:spPr bwMode="auto">
                    <a:xfrm>
                      <a:off x="0" y="0"/>
                      <a:ext cx="4705350" cy="240093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1D24">
        <w:rPr>
          <w:noProof/>
          <w:rtl/>
        </w:rPr>
        <mc:AlternateContent>
          <mc:Choice Requires="wpg">
            <w:drawing>
              <wp:anchor distT="0" distB="0" distL="114300" distR="114300" simplePos="0" relativeHeight="251681792" behindDoc="0" locked="0" layoutInCell="1" allowOverlap="1">
                <wp:simplePos x="0" y="0"/>
                <wp:positionH relativeFrom="margin">
                  <wp:posOffset>-107950</wp:posOffset>
                </wp:positionH>
                <wp:positionV relativeFrom="paragraph">
                  <wp:posOffset>2400935</wp:posOffset>
                </wp:positionV>
                <wp:extent cx="4787900" cy="767080"/>
                <wp:effectExtent l="0" t="0" r="0" b="0"/>
                <wp:wrapSquare wrapText="bothSides"/>
                <wp:docPr id="1113575890" name="Group 2052770959"/>
                <wp:cNvGraphicFramePr/>
                <a:graphic xmlns:a="http://schemas.openxmlformats.org/drawingml/2006/main">
                  <a:graphicData uri="http://schemas.microsoft.com/office/word/2010/wordprocessingGroup">
                    <wpg:wgp xmlns:wpg="http://schemas.microsoft.com/office/word/2010/wordprocessingGroup">
                      <wpg:cNvGrpSpPr/>
                      <wpg:grpSpPr>
                        <a:xfrm>
                          <a:off x="0" y="0"/>
                          <a:ext cx="4787900" cy="767080"/>
                          <a:chOff x="0" y="181533"/>
                          <a:chExt cx="4787900" cy="614829"/>
                        </a:xfrm>
                      </wpg:grpSpPr>
                      <pic:pic xmlns:pic="http://schemas.openxmlformats.org/drawingml/2006/picture">
                        <pic:nvPicPr>
                          <pic:cNvPr id="1113575891" name="Picture 23"/>
                          <pic:cNvPicPr>
                            <a:picLocks noChangeAspect="1"/>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a:xfrm>
                            <a:off x="0" y="181533"/>
                            <a:ext cx="4787900" cy="614829"/>
                          </a:xfrm>
                          <a:prstGeom prst="rect">
                            <a:avLst/>
                          </a:prstGeom>
                        </pic:spPr>
                      </pic:pic>
                      <wps:wsp xmlns:wps="http://schemas.microsoft.com/office/word/2010/wordprocessingShape">
                        <wps:cNvPr id="1113575892" name="Text Box 2"/>
                        <wps:cNvSpPr txBox="1">
                          <a:spLocks noChangeArrowheads="1"/>
                        </wps:cNvSpPr>
                        <wps:spPr bwMode="auto">
                          <a:xfrm>
                            <a:off x="136188" y="247388"/>
                            <a:ext cx="4495108" cy="386638"/>
                          </a:xfrm>
                          <a:prstGeom prst="rect">
                            <a:avLst/>
                          </a:prstGeom>
                          <a:solidFill>
                            <a:srgbClr val="F05260"/>
                          </a:solidFill>
                          <a:ln w="9525">
                            <a:noFill/>
                            <a:miter lim="800000"/>
                            <a:headEnd/>
                            <a:tailEnd/>
                          </a:ln>
                        </wps:spPr>
                        <wps:txbx>
                          <w:txbxContent>
                            <w:p w:rsidR="000B31AA" w:rsidRPr="00A47335" w:rsidP="00662020" w14:textId="754C184E">
                              <w:pPr>
                                <w:spacing w:before="60" w:after="60" w:line="240" w:lineRule="auto"/>
                                <w:ind w:right="113"/>
                                <w:jc w:val="left"/>
                                <w:rPr>
                                  <w:b/>
                                  <w:bCs/>
                                </w:rPr>
                              </w:pPr>
                              <w:r w:rsidRPr="00172400">
                                <w:rPr>
                                  <w:rFonts w:ascii="Tahoma" w:hAnsi="Tahoma" w:cs="Tahoma"/>
                                  <w:b/>
                                  <w:bCs/>
                                  <w:color w:val="FFFFFF" w:themeColor="background1"/>
                                  <w:spacing w:val="-4"/>
                                  <w:sz w:val="22"/>
                                  <w:szCs w:val="22"/>
                                  <w:rtl/>
                                </w:rPr>
                                <w:t>שיעור הרווח התפעולי מהמכירות בשלוש התעשיות הביטחוניות הגדולות בישראל, 2017 - 2021</w:t>
                              </w:r>
                            </w:p>
                          </w:txbxContent>
                        </wps:txbx>
                        <wps:bodyPr rot="0" vert="horz" wrap="square" lIns="91440" tIns="45720" rIns="91440" bIns="45720" anchor="ctr" anchorCtr="0"/>
                      </wps:wsp>
                    </wpg:wgp>
                  </a:graphicData>
                </a:graphic>
                <wp14:sizeRelH relativeFrom="margin">
                  <wp14:pctWidth>0</wp14:pctWidth>
                </wp14:sizeRelH>
                <wp14:sizeRelV relativeFrom="margin">
                  <wp14:pctHeight>0</wp14:pctHeight>
                </wp14:sizeRelV>
              </wp:anchor>
            </w:drawing>
          </mc:Choice>
          <mc:Fallback>
            <w:pict>
              <v:group id="Group 2052770959" o:spid="_x0000_s1035" style="width:377pt;height:60.4pt;margin-top:189.05pt;margin-left:-8.5pt;mso-height-relative:margin;mso-position-horizontal-relative:margin;mso-width-relative:margin;position:absolute;z-index:251682816" coordorigin="0,1815" coordsize="47879,61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36" type="#_x0000_t75" style="width:47879;height:6148;mso-wrap-style:square;position:absolute;top:1815;visibility:visible">
                  <v:imagedata r:id="rId27" o:title=""/>
                </v:shape>
                <v:shape id="_x0000_s1037" type="#_x0000_t202" style="width:44951;height:3867;left:1361;mso-wrap-style:square;position:absolute;top:2473;visibility:visible;v-text-anchor:middle" fillcolor="#f05260" stroked="f">
                  <v:textbox>
                    <w:txbxContent>
                      <w:p w:rsidR="000B31AA" w:rsidRPr="00A47335" w:rsidP="00662020" w14:paraId="64B50804" w14:textId="754C184E">
                        <w:pPr>
                          <w:spacing w:before="60" w:after="60" w:line="240" w:lineRule="auto"/>
                          <w:ind w:right="113"/>
                          <w:jc w:val="left"/>
                          <w:rPr>
                            <w:b/>
                            <w:bCs/>
                          </w:rPr>
                        </w:pPr>
                        <w:r w:rsidRPr="00172400">
                          <w:rPr>
                            <w:rFonts w:ascii="Tahoma" w:hAnsi="Tahoma" w:cs="Tahoma"/>
                            <w:b/>
                            <w:bCs/>
                            <w:color w:val="FFFFFF" w:themeColor="background1"/>
                            <w:spacing w:val="-4"/>
                            <w:sz w:val="22"/>
                            <w:szCs w:val="22"/>
                            <w:rtl/>
                          </w:rPr>
                          <w:t>שיעור הרווח התפעולי מהמכירות בשלוש התעשיות הביטחוניות הגדולות בישראל, 2017 - 2021</w:t>
                        </w:r>
                      </w:p>
                    </w:txbxContent>
                  </v:textbox>
                </v:shape>
                <w10:wrap type="square"/>
              </v:group>
            </w:pict>
          </mc:Fallback>
        </mc:AlternateContent>
      </w:r>
      <w:r w:rsidRPr="00290CB0" w:rsidR="00AA69FE">
        <w:rPr>
          <w:rtl/>
        </w:rPr>
        <w:t>לפי הדוחות הכספיים של קבוצת רפאל לשנים 2017 - 2021, בעיבוד משרד מבקר המדינה</w:t>
      </w:r>
      <w:r w:rsidRPr="00BE0973" w:rsidR="005D0F8C">
        <w:rPr>
          <w:rFonts w:hint="cs"/>
          <w:rtl/>
        </w:rPr>
        <w:t>.</w:t>
      </w:r>
    </w:p>
    <w:p w:rsidR="00AA69FE" w:rsidRPr="00B33D65" w:rsidP="00AA69FE" w14:paraId="664BD7F9" w14:textId="53EAFCD5">
      <w:pPr>
        <w:pStyle w:val="738"/>
        <w:spacing w:before="0" w:after="0"/>
        <w:rPr>
          <w:rtl/>
        </w:rPr>
      </w:pPr>
      <w:r w:rsidRPr="00B33D65">
        <w:rPr>
          <w:rtl/>
        </w:rPr>
        <w:t xml:space="preserve">לפי הדוחות הכספיים של רפאל, </w:t>
      </w:r>
      <w:r w:rsidRPr="00B33D65">
        <w:rPr>
          <w:rtl/>
        </w:rPr>
        <w:t>התע"א</w:t>
      </w:r>
      <w:r w:rsidRPr="00B33D65">
        <w:rPr>
          <w:rtl/>
        </w:rPr>
        <w:t xml:space="preserve"> ואלביט מערכות בע"מ לשנים 2017 - 2021, שע"ח ממוצע שנתי לפי נתוני בנק ישראל, בעיבוד משרד מבקר המדינה.</w:t>
      </w:r>
    </w:p>
    <w:p w:rsidR="00AA69FE" w:rsidRPr="00B33D65" w:rsidP="00AA69FE" w14:paraId="06A951BD" w14:textId="291B8645">
      <w:pPr>
        <w:pStyle w:val="738"/>
        <w:spacing w:before="0"/>
        <w:rPr>
          <w:rtl/>
        </w:rPr>
      </w:pPr>
      <w:r w:rsidRPr="00B33D65">
        <w:rPr>
          <w:rtl/>
        </w:rPr>
        <w:t xml:space="preserve">* </w:t>
      </w:r>
      <w:r>
        <w:rPr>
          <w:rtl/>
        </w:rPr>
        <w:tab/>
      </w:r>
      <w:r w:rsidRPr="00B33D65">
        <w:rPr>
          <w:rtl/>
        </w:rPr>
        <w:t xml:space="preserve">בכלל זה נתוני חברת </w:t>
      </w:r>
      <w:r w:rsidRPr="00B33D65">
        <w:rPr>
          <w:rtl/>
        </w:rPr>
        <w:t>אירונאוטיקס</w:t>
      </w:r>
      <w:r w:rsidRPr="00B33D65">
        <w:rPr>
          <w:rtl/>
        </w:rPr>
        <w:t xml:space="preserve"> בע"מ וחברת </w:t>
      </w:r>
      <w:r w:rsidRPr="00B33D65">
        <w:rPr>
          <w:rtl/>
        </w:rPr>
        <w:t>קונטרופ</w:t>
      </w:r>
      <w:r w:rsidRPr="00B33D65">
        <w:rPr>
          <w:rtl/>
        </w:rPr>
        <w:t xml:space="preserve"> טכנולוגיות מדויקות בע"מ.</w:t>
      </w:r>
    </w:p>
    <w:p w:rsidR="004E71DD" w:rsidP="004E71DD" w14:paraId="7C33D7DD" w14:textId="77777777">
      <w:pPr>
        <w:pStyle w:val="73"/>
        <w:rPr>
          <w:rtl/>
        </w:rPr>
      </w:pPr>
      <w:r w:rsidRPr="00EF3061">
        <w:rPr>
          <w:rFonts w:hint="cs"/>
          <w:rtl/>
        </w:rPr>
        <w:t>סיכום</w:t>
      </w:r>
    </w:p>
    <w:p w:rsidR="004E71DD" w:rsidRPr="006E3E66" w:rsidP="006E3E66" w14:paraId="6BED2F4B" w14:textId="542C9935">
      <w:pPr>
        <w:pStyle w:val="7392"/>
        <w:rPr>
          <w:rtl/>
        </w:rPr>
      </w:pPr>
      <w:r w:rsidRPr="006E3E66">
        <w:rPr>
          <w:rtl/>
        </w:rPr>
        <w:t xml:space="preserve">רפאל היא חברה ממשלתית מהגדולות במדינת ישראל, בעלת יכולות וטכנולוגיות מתקדמות וייחודיות, העוסקת בתחומי הביטחון ובכלל זה בפיתוח ובייצור של אמצעי לחימה לצה"ל ומכירת מגוון מוצרים בתחומים הביטחוניים ברחבי העולם. שימור איתנותה העסקית והפיננסית הוא אינטרס ביטחוני וכלכלי של המדינה. ניתוח התוצאות העסקיות של רפאל בשנים האחרונות מעיד </w:t>
      </w:r>
      <w:bookmarkStart w:id="5" w:name="_Hlk120611623"/>
      <w:r w:rsidRPr="006E3E66">
        <w:rPr>
          <w:rtl/>
        </w:rPr>
        <w:t xml:space="preserve">כי לצד הכנסות מצטברות בסך של כ-46.5 מיליארד ש"ח בשנים 2017 - 2021 ורווחים צבורים בסך של כ-4.5 מיליארד ש"ח ל-31.12.21, מתמודדת החברה </w:t>
      </w:r>
      <w:bookmarkEnd w:id="5"/>
      <w:r w:rsidRPr="006E3E66">
        <w:rPr>
          <w:rtl/>
        </w:rPr>
        <w:t>עם קשיים, ובהם: ירידה בהכנסותיה (ללא חברות בנות) בשנים 2020 ו-2021; ירידה ברווח התפעולי יחסית לשנת 2020; תחזיות להפסד תפעולי ב</w:t>
      </w:r>
      <w:r w:rsidRPr="006E3E66">
        <w:rPr>
          <w:rFonts w:hint="cs"/>
          <w:rtl/>
        </w:rPr>
        <w:t xml:space="preserve">כמה </w:t>
      </w:r>
      <w:r w:rsidRPr="006E3E66">
        <w:rPr>
          <w:rtl/>
        </w:rPr>
        <w:t xml:space="preserve">פרויקטים; </w:t>
      </w:r>
      <w:r w:rsidRPr="006E3E66">
        <w:rPr>
          <w:rFonts w:hint="cs"/>
          <w:rtl/>
        </w:rPr>
        <w:t xml:space="preserve">פער </w:t>
      </w:r>
      <w:r w:rsidRPr="006E3E66">
        <w:rPr>
          <w:rFonts w:hint="cs"/>
          <w:rtl/>
        </w:rPr>
        <w:t>מסויים</w:t>
      </w:r>
      <w:r w:rsidRPr="006E3E66">
        <w:rPr>
          <w:rtl/>
        </w:rPr>
        <w:t xml:space="preserve"> באבני הדרך החוזיות; </w:t>
      </w:r>
      <w:r w:rsidRPr="006E3E66">
        <w:rPr>
          <w:rFonts w:hint="cs"/>
          <w:rtl/>
        </w:rPr>
        <w:t>ואי-</w:t>
      </w:r>
      <w:r w:rsidRPr="006E3E66">
        <w:rPr>
          <w:rtl/>
        </w:rPr>
        <w:t xml:space="preserve">עמידה </w:t>
      </w:r>
      <w:r w:rsidRPr="006E3E66">
        <w:rPr>
          <w:rFonts w:hint="cs"/>
          <w:rtl/>
        </w:rPr>
        <w:t>בכמה מיעדיה העסקיים</w:t>
      </w:r>
      <w:r w:rsidRPr="006E3E66">
        <w:rPr>
          <w:rFonts w:hint="cs"/>
          <w:rtl/>
        </w:rPr>
        <w:t xml:space="preserve">. </w:t>
      </w:r>
    </w:p>
    <w:p w:rsidR="004E71DD" w:rsidRPr="006E3E66" w:rsidP="006E3E66" w14:paraId="053C53C0" w14:textId="0FC9CF5B">
      <w:pPr>
        <w:pStyle w:val="7392"/>
        <w:rPr>
          <w:rtl/>
        </w:rPr>
      </w:pPr>
      <w:r w:rsidRPr="006E3E66">
        <w:rPr>
          <w:rtl/>
        </w:rPr>
        <w:t>מומלץ כי הנהלת החברה תפעל לעדכון תוכניתה האסטרטגית, גם נוכח ממצאי דוח זה ובהתאם להמלצותיו ובהלימה ליעדים הפיננסיים שיסוכמו עם רשות החברות הממשלתיות; וכי התוכנית תובא לבחינת הדירקטוריון ולאישורו. עוד מומלץ כי רשות החברות הממשלתיות תעקוב אחר הליך גיבוש התוכנית ואחר מימושה</w:t>
      </w:r>
      <w:r w:rsidRPr="006E3E66">
        <w:rPr>
          <w:rFonts w:hint="cs"/>
          <w:rtl/>
        </w:rPr>
        <w:t xml:space="preserve">. </w:t>
      </w:r>
    </w:p>
    <w:p w:rsidR="00E56721" w:rsidP="004E71DD" w14:paraId="0586EC55" w14:textId="77777777">
      <w:pPr>
        <w:widowControl w:val="0"/>
        <w:tabs>
          <w:tab w:val="left" w:pos="9604"/>
        </w:tabs>
        <w:spacing w:before="240" w:line="276" w:lineRule="auto"/>
        <w:ind w:left="-1"/>
        <w:rPr>
          <w:rFonts w:ascii="Tahoma" w:hAnsi="Tahoma" w:cs="Tahoma"/>
          <w:sz w:val="18"/>
          <w:szCs w:val="18"/>
          <w:rtl/>
        </w:rPr>
      </w:pPr>
    </w:p>
    <w:p w:rsidR="006E3E66" w:rsidP="004E71DD" w14:paraId="1B37DAFD" w14:textId="073E8BD4">
      <w:pPr>
        <w:widowControl w:val="0"/>
        <w:tabs>
          <w:tab w:val="left" w:pos="9604"/>
        </w:tabs>
        <w:spacing w:before="240" w:line="276" w:lineRule="auto"/>
        <w:ind w:left="-1"/>
        <w:rPr>
          <w:rFonts w:ascii="Tahoma" w:hAnsi="Tahoma" w:cs="Tahoma"/>
          <w:sz w:val="18"/>
          <w:szCs w:val="18"/>
          <w:rtl/>
        </w:rPr>
        <w:sectPr w:rsidSect="006A169F">
          <w:headerReference w:type="even" r:id="rId28"/>
          <w:footerReference w:type="even" r:id="rId29"/>
          <w:pgSz w:w="11906" w:h="16838" w:code="9"/>
          <w:pgMar w:top="3062" w:right="2268" w:bottom="2552" w:left="2268" w:header="1134" w:footer="1361" w:gutter="0"/>
          <w:pgNumType w:start="773"/>
          <w:cols w:space="708"/>
          <w:bidi/>
          <w:rtlGutter/>
          <w:docGrid w:linePitch="360"/>
        </w:sectPr>
      </w:pPr>
    </w:p>
    <w:p w:rsidR="00586851" w:rsidRPr="00AC5CE9" w:rsidP="00AC5CE9" w14:paraId="1346FA06" w14:textId="4F26D9ED">
      <w:pPr>
        <w:pStyle w:val="731"/>
        <w:bidi/>
        <w:rPr>
          <w:rtl/>
        </w:rPr>
      </w:pPr>
      <w:r w:rsidRPr="00AC5CE9">
        <w:rPr>
          <w:rtl/>
        </w:rPr>
        <w:t xml:space="preserve">הדוחות הכספיים של רפאל </w:t>
      </w:r>
      <w:r w:rsidRPr="00AC5CE9" w:rsidR="00172400">
        <w:rPr>
          <w:rtl/>
        </w:rPr>
        <w:br/>
      </w:r>
      <w:r w:rsidRPr="00AC5CE9">
        <w:rPr>
          <w:rtl/>
        </w:rPr>
        <w:t xml:space="preserve">מערכות לחימה מתקדמות בע"מ - </w:t>
      </w:r>
      <w:r w:rsidRPr="00AC5CE9">
        <w:rPr>
          <w:rtl/>
        </w:rPr>
        <w:br/>
        <w:t>מצב החברה וסיכוניה</w:t>
      </w:r>
    </w:p>
    <w:p w:rsidR="007324C6" w:rsidP="007C7D40" w14:paraId="73DB2432" w14:textId="23252572">
      <w:pPr>
        <w:pStyle w:val="733155"/>
        <w:jc w:val="both"/>
        <w:rPr>
          <w:rtl/>
        </w:rPr>
      </w:pPr>
      <w:r>
        <w:rPr>
          <w:rFonts w:hint="cs"/>
          <w:rtl/>
        </w:rPr>
        <w:t>מבוא</w:t>
      </w:r>
    </w:p>
    <w:p w:rsidR="00C149B0" w:rsidRPr="00EE10D2" w:rsidP="00EE10D2" w14:paraId="35625CAA" w14:textId="77777777">
      <w:pPr>
        <w:pStyle w:val="7392"/>
        <w:rPr>
          <w:rtl/>
        </w:rPr>
      </w:pPr>
      <w:r w:rsidRPr="00EE10D2">
        <w:rPr>
          <w:rFonts w:hint="cs"/>
          <w:rtl/>
        </w:rPr>
        <w:t>רפאל מערכות לחימה מתקדמות בע"מ (להלן - רפאל) היא חברה ממשלתית כהגדרתה בחוק החברות הממשלתיות, התשל"ה-1975 (להלן - חוק החברות הממשלתיות), בבעלות מלאה של המדינה. בהיותה חברה ממשלתית, כפופה רפאל בין היתר להוראות חוק החברות הממשלתיות, לתקנות שתוקנו מכוחו ולחוזרי רשות החברות הממשלתיות.</w:t>
      </w:r>
    </w:p>
    <w:p w:rsidR="00C149B0" w:rsidRPr="00EE10D2" w:rsidP="00EE10D2" w14:paraId="1989A620" w14:textId="77777777">
      <w:pPr>
        <w:pStyle w:val="7392"/>
        <w:rPr>
          <w:rtl/>
        </w:rPr>
      </w:pPr>
      <w:r w:rsidRPr="00EE10D2">
        <w:rPr>
          <w:rFonts w:hint="cs"/>
          <w:rtl/>
        </w:rPr>
        <w:t>רפאל מתמחה בפיתוח מערכות חימוש והגנה למרחבי האוויר, היבשה</w:t>
      </w:r>
      <w:r w:rsidRPr="00EE10D2">
        <w:rPr>
          <w:rFonts w:hint="cs"/>
        </w:rPr>
        <w:t xml:space="preserve"> </w:t>
      </w:r>
      <w:r w:rsidRPr="00EE10D2">
        <w:rPr>
          <w:rFonts w:hint="cs"/>
          <w:rtl/>
        </w:rPr>
        <w:t xml:space="preserve">והים, וכן בפיתוח פתרונות בתחומי התקשוב, איסוף ועיבוד של מודיעין ולוחמה ברשת. רפאל פועלת במבנה של שבע חטיבות, כמפורט בתרשים להלן: </w:t>
      </w:r>
    </w:p>
    <w:p w:rsidR="00C149B0" w:rsidRPr="00D03067" w:rsidP="00EE10D2" w14:paraId="50B6CE39" w14:textId="77777777">
      <w:pPr>
        <w:pStyle w:val="734"/>
        <w:rPr>
          <w:rtl/>
        </w:rPr>
      </w:pPr>
      <w:r w:rsidRPr="00EE10D2">
        <w:rPr>
          <w:rFonts w:hint="eastAsia"/>
          <w:b w:val="0"/>
          <w:bCs w:val="0"/>
          <w:rtl/>
        </w:rPr>
        <w:t>תרשים</w:t>
      </w:r>
      <w:r w:rsidRPr="00EE10D2">
        <w:rPr>
          <w:b w:val="0"/>
          <w:bCs w:val="0"/>
          <w:rtl/>
        </w:rPr>
        <w:t xml:space="preserve"> 1:</w:t>
      </w:r>
      <w:r>
        <w:rPr>
          <w:rFonts w:hint="cs"/>
          <w:rtl/>
        </w:rPr>
        <w:t xml:space="preserve"> </w:t>
      </w:r>
      <w:r w:rsidRPr="00D03067">
        <w:rPr>
          <w:rFonts w:hint="cs"/>
          <w:rtl/>
        </w:rPr>
        <w:t>פירוט החטיבות ברפאל</w:t>
      </w:r>
    </w:p>
    <w:p w:rsidR="00C149B0" w:rsidRPr="00534833" w:rsidP="00C149B0" w14:paraId="10124E2E" w14:textId="77777777">
      <w:pPr>
        <w:spacing w:line="269" w:lineRule="auto"/>
        <w:rPr>
          <w:rtl/>
          <w:lang w:eastAsia="he-IL"/>
        </w:rPr>
      </w:pPr>
      <w:r>
        <w:rPr>
          <w:noProof/>
        </w:rPr>
        <w:drawing>
          <wp:inline distT="0" distB="0" distL="0" distR="0">
            <wp:extent cx="4678720" cy="1255267"/>
            <wp:effectExtent l="0" t="0" r="0" b="0"/>
            <wp:docPr id="1451066624" name="תמונה 1451066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24" name="תמונה 1451066624"/>
                    <pic:cNvPicPr>
                      <a:picLocks noChangeAspect="1" noChangeArrowheads="1"/>
                    </pic:cNvPicPr>
                  </pic:nvPicPr>
                  <pic:blipFill>
                    <a:blip xmlns:r="http://schemas.openxmlformats.org/officeDocument/2006/relationships" r:embed="rId30">
                      <a:extLst>
                        <a:ext xmlns:a="http://schemas.openxmlformats.org/drawingml/2006/main" uri="{28A0092B-C50C-407E-A947-70E740481C1C}">
                          <a14:useLocalDpi xmlns:a14="http://schemas.microsoft.com/office/drawing/2010/main" val="0"/>
                        </a:ext>
                      </a:extLst>
                    </a:blip>
                    <a:stretch>
                      <a:fillRect/>
                    </a:stretch>
                  </pic:blipFill>
                  <pic:spPr bwMode="auto">
                    <a:xfrm>
                      <a:off x="0" y="0"/>
                      <a:ext cx="4683306" cy="1256497"/>
                    </a:xfrm>
                    <a:prstGeom prst="rect">
                      <a:avLst/>
                    </a:prstGeom>
                    <a:noFill/>
                  </pic:spPr>
                </pic:pic>
              </a:graphicData>
            </a:graphic>
          </wp:inline>
        </w:drawing>
      </w:r>
    </w:p>
    <w:p w:rsidR="00C149B0" w:rsidRPr="00EE10D2" w:rsidP="00EE10D2" w14:paraId="294DFCA6" w14:textId="77777777">
      <w:pPr>
        <w:pStyle w:val="738"/>
        <w:rPr>
          <w:rtl/>
        </w:rPr>
      </w:pPr>
      <w:r w:rsidRPr="00EE10D2">
        <w:rPr>
          <w:rFonts w:hint="cs"/>
          <w:rtl/>
        </w:rPr>
        <w:t>המקור: הדוחות הכספיים של רפאל.</w:t>
      </w:r>
    </w:p>
    <w:p w:rsidR="00C149B0" w:rsidP="00EE10D2" w14:paraId="2FE24027" w14:textId="77777777">
      <w:pPr>
        <w:pStyle w:val="7392"/>
        <w:rPr>
          <w:rtl/>
          <w:lang w:eastAsia="he-IL"/>
        </w:rPr>
      </w:pPr>
      <w:r w:rsidRPr="00D94367">
        <w:rPr>
          <w:rFonts w:hint="cs"/>
          <w:rtl/>
          <w:lang w:eastAsia="he-IL"/>
        </w:rPr>
        <w:t xml:space="preserve">דוחותיה הכספיים של רפאל נערכים בהתאם לתקני הדיווח הכספי </w:t>
      </w:r>
      <w:r>
        <w:rPr>
          <w:rFonts w:hint="cs"/>
          <w:rtl/>
          <w:lang w:eastAsia="he-IL"/>
        </w:rPr>
        <w:t>הבין-לאומיים</w:t>
      </w:r>
      <w:r>
        <w:rPr>
          <w:rStyle w:val="FootnoteReference0"/>
          <w:rFonts w:eastAsia="Times New Roman"/>
          <w:rtl/>
          <w:lang w:eastAsia="he-IL"/>
        </w:rPr>
        <w:footnoteReference w:id="9"/>
      </w:r>
      <w:r>
        <w:rPr>
          <w:rFonts w:hint="cs"/>
          <w:rtl/>
          <w:lang w:eastAsia="he-IL"/>
        </w:rPr>
        <w:t>.</w:t>
      </w:r>
      <w:r>
        <w:rPr>
          <w:rtl/>
          <w:lang w:eastAsia="he-IL"/>
        </w:rPr>
        <w:br/>
      </w:r>
      <w:r w:rsidRPr="00D94367">
        <w:rPr>
          <w:rFonts w:hint="cs"/>
          <w:rtl/>
          <w:lang w:eastAsia="he-IL"/>
        </w:rPr>
        <w:t>הדוחות הכספיים המאוחדים שלה כוללים את דוחותיה ואת הדוחות של חברות הבנות שלה (להלן יחד - קבוצת רפאל</w:t>
      </w:r>
      <w:r>
        <w:rPr>
          <w:rFonts w:hint="cs"/>
          <w:rtl/>
          <w:lang w:eastAsia="he-IL"/>
        </w:rPr>
        <w:t>,</w:t>
      </w:r>
      <w:r w:rsidRPr="00D94367">
        <w:rPr>
          <w:rFonts w:hint="cs"/>
          <w:rtl/>
          <w:lang w:eastAsia="he-IL"/>
        </w:rPr>
        <w:t xml:space="preserve"> הקבוצה</w:t>
      </w:r>
      <w:r>
        <w:rPr>
          <w:rFonts w:hint="cs"/>
          <w:rtl/>
          <w:lang w:eastAsia="he-IL"/>
        </w:rPr>
        <w:t xml:space="preserve"> או רפאל</w:t>
      </w:r>
      <w:r w:rsidRPr="00D94367">
        <w:rPr>
          <w:rFonts w:hint="cs"/>
          <w:rtl/>
          <w:lang w:eastAsia="he-IL"/>
        </w:rPr>
        <w:t>), וכן את זכויות הקבוצה בחברות כלולות</w:t>
      </w:r>
      <w:r>
        <w:rPr>
          <w:rStyle w:val="FootnoteReference0"/>
          <w:rFonts w:eastAsia="Times New Roman"/>
          <w:rtl/>
          <w:lang w:eastAsia="he-IL"/>
        </w:rPr>
        <w:footnoteReference w:id="10"/>
      </w:r>
      <w:r w:rsidRPr="00D94367">
        <w:rPr>
          <w:rFonts w:hint="cs"/>
          <w:rtl/>
          <w:lang w:eastAsia="he-IL"/>
        </w:rPr>
        <w:t xml:space="preserve"> </w:t>
      </w:r>
      <w:r>
        <w:rPr>
          <w:rFonts w:hint="cs"/>
          <w:rtl/>
          <w:lang w:eastAsia="he-IL"/>
        </w:rPr>
        <w:t>ובעסקאות משותפות</w:t>
      </w:r>
      <w:r>
        <w:rPr>
          <w:rStyle w:val="FootnoteReference0"/>
          <w:rFonts w:eastAsia="Times New Roman"/>
          <w:rtl/>
          <w:lang w:eastAsia="he-IL"/>
        </w:rPr>
        <w:footnoteReference w:id="11"/>
      </w:r>
      <w:r w:rsidRPr="00D94367">
        <w:rPr>
          <w:rFonts w:hint="cs"/>
          <w:rtl/>
          <w:lang w:eastAsia="he-IL"/>
        </w:rPr>
        <w:t>.</w:t>
      </w:r>
    </w:p>
    <w:p w:rsidR="00C149B0" w:rsidP="00EE10D2" w14:paraId="15C3D576" w14:textId="77777777">
      <w:pPr>
        <w:pStyle w:val="7392"/>
        <w:rPr>
          <w:rtl/>
          <w:lang w:eastAsia="he-IL"/>
        </w:rPr>
      </w:pPr>
      <w:r w:rsidRPr="00D94367">
        <w:rPr>
          <w:rFonts w:hint="cs"/>
          <w:rtl/>
          <w:lang w:eastAsia="he-IL"/>
        </w:rPr>
        <w:t>להלן יובאו פרטיהן של חברות בנות שתוצאותיהן הכספיות אוחדו בדוחותיה הכספיים של רפאל לשנת 2021</w:t>
      </w:r>
      <w:r>
        <w:rPr>
          <w:rStyle w:val="FootnoteReference0"/>
          <w:rFonts w:eastAsia="Times New Roman"/>
          <w:rtl/>
          <w:lang w:eastAsia="he-IL"/>
        </w:rPr>
        <w:footnoteReference w:id="12"/>
      </w:r>
      <w:r w:rsidRPr="00D94367">
        <w:rPr>
          <w:rFonts w:hint="cs"/>
          <w:rtl/>
          <w:lang w:eastAsia="he-IL"/>
        </w:rPr>
        <w:t>:</w:t>
      </w:r>
      <w:r>
        <w:rPr>
          <w:rFonts w:hint="cs"/>
          <w:rtl/>
          <w:lang w:eastAsia="he-IL"/>
        </w:rPr>
        <w:t xml:space="preserve"> </w:t>
      </w:r>
    </w:p>
    <w:p w:rsidR="00C149B0" w:rsidRPr="00EE10D2" w:rsidP="00EE10D2" w14:paraId="110B721B" w14:textId="2B076A4E">
      <w:pPr>
        <w:pStyle w:val="734"/>
        <w:rPr>
          <w:rtl/>
        </w:rPr>
      </w:pPr>
      <w:r w:rsidRPr="00EE10D2">
        <w:rPr>
          <w:rFonts w:hint="eastAsia"/>
          <w:b w:val="0"/>
          <w:bCs w:val="0"/>
          <w:rtl/>
        </w:rPr>
        <w:t>לוח</w:t>
      </w:r>
      <w:r w:rsidRPr="00EE10D2">
        <w:rPr>
          <w:b w:val="0"/>
          <w:bCs w:val="0"/>
          <w:rtl/>
        </w:rPr>
        <w:t xml:space="preserve"> 1:</w:t>
      </w:r>
      <w:r w:rsidRPr="00EE10D2">
        <w:rPr>
          <w:rFonts w:hint="cs"/>
          <w:b w:val="0"/>
          <w:bCs w:val="0"/>
          <w:rtl/>
        </w:rPr>
        <w:t xml:space="preserve"> </w:t>
      </w:r>
      <w:r w:rsidRPr="00EE10D2">
        <w:rPr>
          <w:rFonts w:hint="cs"/>
          <w:rtl/>
        </w:rPr>
        <w:t>חברות בנות שתוצאותיהן הכספיות אוחדו בדוחותיה הכספיים של רפאל לשנת 2021</w:t>
      </w:r>
    </w:p>
    <w:tbl>
      <w:tblPr>
        <w:tblStyle w:val="TableGrid"/>
        <w:bidiVisual/>
        <w:tblW w:w="5000" w:type="pct"/>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tblLook w:val="04A0"/>
      </w:tblPr>
      <w:tblGrid>
        <w:gridCol w:w="2770"/>
        <w:gridCol w:w="2448"/>
        <w:gridCol w:w="2142"/>
      </w:tblGrid>
      <w:tr w14:paraId="25C50F56" w14:textId="77777777" w:rsidTr="00EE10D2">
        <w:tblPrEx>
          <w:tblW w:w="5000" w:type="pct"/>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tblLook w:val="04A0"/>
        </w:tblPrEx>
        <w:tc>
          <w:tcPr>
            <w:tcW w:w="1881" w:type="pct"/>
            <w:shd w:val="clear" w:color="auto" w:fill="C8DCE4"/>
            <w:vAlign w:val="center"/>
          </w:tcPr>
          <w:p w:rsidR="00C149B0" w:rsidRPr="00EE10D2" w:rsidP="00EE10D2" w14:paraId="7F252862" w14:textId="77777777">
            <w:pPr>
              <w:pStyle w:val="73R"/>
              <w:rPr>
                <w:b/>
                <w:bCs/>
                <w:rtl/>
              </w:rPr>
            </w:pPr>
            <w:r w:rsidRPr="00EE10D2">
              <w:rPr>
                <w:b/>
                <w:bCs/>
                <w:rtl/>
              </w:rPr>
              <w:t xml:space="preserve">שם חברת הבת </w:t>
            </w:r>
          </w:p>
        </w:tc>
        <w:tc>
          <w:tcPr>
            <w:tcW w:w="1663" w:type="pct"/>
            <w:shd w:val="clear" w:color="auto" w:fill="C8DCE4"/>
            <w:vAlign w:val="center"/>
          </w:tcPr>
          <w:p w:rsidR="00C149B0" w:rsidRPr="00EE10D2" w:rsidP="00EE10D2" w14:paraId="4F8B28BE" w14:textId="77777777">
            <w:pPr>
              <w:pStyle w:val="73R"/>
              <w:rPr>
                <w:b/>
                <w:bCs/>
                <w:rtl/>
              </w:rPr>
            </w:pPr>
            <w:r w:rsidRPr="00EE10D2">
              <w:rPr>
                <w:b/>
                <w:bCs/>
                <w:rtl/>
              </w:rPr>
              <w:t>שיעור ההחזקה</w:t>
            </w:r>
          </w:p>
        </w:tc>
        <w:tc>
          <w:tcPr>
            <w:tcW w:w="1455" w:type="pct"/>
            <w:shd w:val="clear" w:color="auto" w:fill="C8DCE4"/>
            <w:vAlign w:val="center"/>
          </w:tcPr>
          <w:p w:rsidR="00C149B0" w:rsidRPr="00EE10D2" w:rsidP="00EE10D2" w14:paraId="28A6E5A7" w14:textId="77777777">
            <w:pPr>
              <w:pStyle w:val="73R"/>
              <w:rPr>
                <w:b/>
                <w:bCs/>
                <w:rtl/>
              </w:rPr>
            </w:pPr>
            <w:r w:rsidRPr="00EE10D2">
              <w:rPr>
                <w:b/>
                <w:bCs/>
                <w:rtl/>
              </w:rPr>
              <w:t xml:space="preserve">שנת האיחוד </w:t>
            </w:r>
          </w:p>
        </w:tc>
      </w:tr>
      <w:tr w14:paraId="214A8222" w14:textId="77777777" w:rsidTr="00EE10D2">
        <w:tblPrEx>
          <w:tblW w:w="5000" w:type="pct"/>
          <w:tblLook w:val="04A0"/>
        </w:tblPrEx>
        <w:tc>
          <w:tcPr>
            <w:tcW w:w="1881" w:type="pct"/>
            <w:shd w:val="clear" w:color="auto" w:fill="DFECEF"/>
          </w:tcPr>
          <w:p w:rsidR="00C149B0" w:rsidRPr="00EE10D2" w:rsidP="00EE10D2" w14:paraId="13EA1DA7" w14:textId="5137CAED">
            <w:pPr>
              <w:pStyle w:val="73R"/>
              <w:rPr>
                <w:rtl/>
              </w:rPr>
            </w:pPr>
            <w:r w:rsidRPr="00EE10D2">
              <w:t xml:space="preserve">Rafael U.S.A. </w:t>
            </w:r>
            <w:r w:rsidRPr="00EE10D2">
              <w:t>Inc</w:t>
            </w:r>
            <w:r w:rsidRPr="00172400" w:rsidR="00941067">
              <w:rPr>
                <w:rFonts w:hint="cs"/>
                <w:vertAlign w:val="superscript"/>
                <w:rtl/>
              </w:rPr>
              <w:t>(</w:t>
            </w:r>
            <w:r w:rsidRPr="00172400" w:rsidR="00941067">
              <w:rPr>
                <w:rFonts w:hint="cs"/>
                <w:vertAlign w:val="superscript"/>
                <w:rtl/>
              </w:rPr>
              <w:t>1)</w:t>
            </w:r>
          </w:p>
        </w:tc>
        <w:tc>
          <w:tcPr>
            <w:tcW w:w="1663" w:type="pct"/>
            <w:shd w:val="clear" w:color="auto" w:fill="DFECEF"/>
          </w:tcPr>
          <w:p w:rsidR="00C149B0" w:rsidRPr="00EE10D2" w:rsidP="00EE10D2" w14:paraId="1780471E" w14:textId="77777777">
            <w:pPr>
              <w:pStyle w:val="73R"/>
              <w:rPr>
                <w:rtl/>
              </w:rPr>
            </w:pPr>
            <w:r w:rsidRPr="00EE10D2">
              <w:rPr>
                <w:rtl/>
              </w:rPr>
              <w:t>100%</w:t>
            </w:r>
          </w:p>
        </w:tc>
        <w:tc>
          <w:tcPr>
            <w:tcW w:w="1455" w:type="pct"/>
            <w:shd w:val="clear" w:color="auto" w:fill="DFECEF"/>
          </w:tcPr>
          <w:p w:rsidR="00C149B0" w:rsidRPr="00EE10D2" w:rsidP="00EE10D2" w14:paraId="2F350D43" w14:textId="77777777">
            <w:pPr>
              <w:pStyle w:val="73R"/>
              <w:rPr>
                <w:rtl/>
              </w:rPr>
            </w:pPr>
            <w:r w:rsidRPr="00EE10D2">
              <w:rPr>
                <w:rtl/>
              </w:rPr>
              <w:t>2020</w:t>
            </w:r>
          </w:p>
        </w:tc>
      </w:tr>
      <w:tr w14:paraId="076C6F0D" w14:textId="77777777" w:rsidTr="00EE10D2">
        <w:tblPrEx>
          <w:tblW w:w="5000" w:type="pct"/>
          <w:tblLook w:val="04A0"/>
        </w:tblPrEx>
        <w:tc>
          <w:tcPr>
            <w:tcW w:w="1881" w:type="pct"/>
            <w:shd w:val="clear" w:color="auto" w:fill="F0F8F9"/>
          </w:tcPr>
          <w:p w:rsidR="00C149B0" w:rsidRPr="00EE10D2" w:rsidP="00EE10D2" w14:paraId="426F0E12" w14:textId="3F0CA18D">
            <w:pPr>
              <w:pStyle w:val="73R"/>
            </w:pPr>
            <w:r w:rsidRPr="00EE10D2">
              <w:t>Ercas</w:t>
            </w:r>
            <w:r w:rsidRPr="00EE10D2">
              <w:t xml:space="preserve"> B.V</w:t>
            </w:r>
            <w:r w:rsidRPr="00172400" w:rsidR="00941067">
              <w:rPr>
                <w:rFonts w:hint="cs"/>
                <w:vertAlign w:val="superscript"/>
                <w:rtl/>
              </w:rPr>
              <w:t>(2)</w:t>
            </w:r>
          </w:p>
        </w:tc>
        <w:tc>
          <w:tcPr>
            <w:tcW w:w="1663" w:type="pct"/>
            <w:shd w:val="clear" w:color="auto" w:fill="F0F8F9"/>
          </w:tcPr>
          <w:p w:rsidR="00C149B0" w:rsidRPr="00EE10D2" w:rsidP="00EE10D2" w14:paraId="397B9976" w14:textId="77777777">
            <w:pPr>
              <w:pStyle w:val="73R"/>
              <w:rPr>
                <w:rtl/>
              </w:rPr>
            </w:pPr>
            <w:r w:rsidRPr="00EE10D2">
              <w:rPr>
                <w:rtl/>
              </w:rPr>
              <w:t>100%</w:t>
            </w:r>
          </w:p>
        </w:tc>
        <w:tc>
          <w:tcPr>
            <w:tcW w:w="1455" w:type="pct"/>
            <w:shd w:val="clear" w:color="auto" w:fill="F0F8F9"/>
          </w:tcPr>
          <w:p w:rsidR="00C149B0" w:rsidRPr="00EE10D2" w:rsidP="00EE10D2" w14:paraId="55BB244D" w14:textId="77777777">
            <w:pPr>
              <w:pStyle w:val="73R"/>
              <w:rPr>
                <w:rtl/>
              </w:rPr>
            </w:pPr>
            <w:r w:rsidRPr="00EE10D2">
              <w:rPr>
                <w:rFonts w:hint="cs"/>
                <w:rtl/>
              </w:rPr>
              <w:t>2004</w:t>
            </w:r>
          </w:p>
        </w:tc>
      </w:tr>
      <w:tr w14:paraId="0D670C84" w14:textId="77777777" w:rsidTr="00EE10D2">
        <w:tblPrEx>
          <w:tblW w:w="5000" w:type="pct"/>
          <w:tblLook w:val="04A0"/>
        </w:tblPrEx>
        <w:tc>
          <w:tcPr>
            <w:tcW w:w="1881" w:type="pct"/>
            <w:shd w:val="clear" w:color="auto" w:fill="DFECEF"/>
          </w:tcPr>
          <w:p w:rsidR="00C149B0" w:rsidRPr="00EE10D2" w:rsidP="00EE10D2" w14:paraId="4C74C9FA" w14:textId="0EE77363">
            <w:pPr>
              <w:pStyle w:val="73R"/>
              <w:rPr>
                <w:rtl/>
              </w:rPr>
            </w:pPr>
            <w:r w:rsidRPr="00EE10D2">
              <w:rPr>
                <w:rFonts w:hint="cs"/>
                <w:rtl/>
              </w:rPr>
              <w:t>אירונאוטיקס</w:t>
            </w:r>
            <w:r w:rsidRPr="00EE10D2">
              <w:rPr>
                <w:rFonts w:hint="cs"/>
                <w:rtl/>
              </w:rPr>
              <w:t xml:space="preserve"> בע"מ</w:t>
            </w:r>
            <w:r w:rsidRPr="00172400">
              <w:rPr>
                <w:rFonts w:hint="cs"/>
                <w:vertAlign w:val="superscript"/>
                <w:rtl/>
              </w:rPr>
              <w:t>(3)</w:t>
            </w:r>
            <w:r w:rsidR="00EE10D2">
              <w:rPr>
                <w:rtl/>
              </w:rPr>
              <w:br/>
            </w:r>
            <w:r w:rsidRPr="00EE10D2">
              <w:rPr>
                <w:rFonts w:hint="cs"/>
                <w:rtl/>
              </w:rPr>
              <w:t xml:space="preserve">(להלן - </w:t>
            </w:r>
            <w:r w:rsidRPr="00EE10D2">
              <w:rPr>
                <w:rFonts w:hint="cs"/>
                <w:rtl/>
              </w:rPr>
              <w:t>אירונאוטיקס</w:t>
            </w:r>
            <w:r w:rsidRPr="00EE10D2">
              <w:rPr>
                <w:rFonts w:hint="cs"/>
                <w:rtl/>
              </w:rPr>
              <w:t>)</w:t>
            </w:r>
          </w:p>
        </w:tc>
        <w:tc>
          <w:tcPr>
            <w:tcW w:w="1663" w:type="pct"/>
            <w:shd w:val="clear" w:color="auto" w:fill="DFECEF"/>
          </w:tcPr>
          <w:p w:rsidR="00C149B0" w:rsidRPr="00EE10D2" w:rsidP="00EE10D2" w14:paraId="37756AF1" w14:textId="77777777">
            <w:pPr>
              <w:pStyle w:val="73R"/>
              <w:rPr>
                <w:rtl/>
              </w:rPr>
            </w:pPr>
            <w:r w:rsidRPr="00EE10D2">
              <w:rPr>
                <w:rFonts w:hint="cs"/>
                <w:rtl/>
              </w:rPr>
              <w:t>50%</w:t>
            </w:r>
          </w:p>
        </w:tc>
        <w:tc>
          <w:tcPr>
            <w:tcW w:w="1455" w:type="pct"/>
            <w:shd w:val="clear" w:color="auto" w:fill="DFECEF"/>
          </w:tcPr>
          <w:p w:rsidR="00C149B0" w:rsidRPr="00EE10D2" w:rsidP="00EE10D2" w14:paraId="2E946157" w14:textId="77777777">
            <w:pPr>
              <w:pStyle w:val="73R"/>
              <w:rPr>
                <w:rtl/>
              </w:rPr>
            </w:pPr>
            <w:r w:rsidRPr="00EE10D2">
              <w:rPr>
                <w:rFonts w:hint="cs"/>
                <w:rtl/>
              </w:rPr>
              <w:t>2021</w:t>
            </w:r>
          </w:p>
        </w:tc>
      </w:tr>
      <w:tr w14:paraId="46E3316E" w14:textId="77777777" w:rsidTr="00EE10D2">
        <w:tblPrEx>
          <w:tblW w:w="5000" w:type="pct"/>
          <w:tblLook w:val="04A0"/>
        </w:tblPrEx>
        <w:tc>
          <w:tcPr>
            <w:tcW w:w="1881" w:type="pct"/>
            <w:shd w:val="clear" w:color="auto" w:fill="F0F8F9"/>
          </w:tcPr>
          <w:p w:rsidR="00C149B0" w:rsidRPr="00EE10D2" w:rsidP="00EE10D2" w14:paraId="58A52977" w14:textId="04CC7D7A">
            <w:pPr>
              <w:pStyle w:val="73R"/>
              <w:rPr>
                <w:rtl/>
              </w:rPr>
            </w:pPr>
            <w:r w:rsidRPr="00EE10D2">
              <w:rPr>
                <w:rFonts w:hint="cs"/>
                <w:rtl/>
              </w:rPr>
              <w:t>קונטרופ</w:t>
            </w:r>
            <w:r w:rsidRPr="00EE10D2">
              <w:rPr>
                <w:rFonts w:hint="cs"/>
                <w:rtl/>
              </w:rPr>
              <w:t xml:space="preserve"> טכנולוגיות מדויקות בע"מ</w:t>
            </w:r>
            <w:r w:rsidRPr="00172400">
              <w:rPr>
                <w:rFonts w:hint="cs"/>
                <w:vertAlign w:val="superscript"/>
                <w:rtl/>
              </w:rPr>
              <w:t xml:space="preserve">(4) </w:t>
            </w:r>
            <w:r w:rsidR="00EE10D2">
              <w:rPr>
                <w:rtl/>
              </w:rPr>
              <w:br/>
            </w:r>
            <w:r w:rsidRPr="00EE10D2">
              <w:rPr>
                <w:rFonts w:hint="cs"/>
                <w:rtl/>
              </w:rPr>
              <w:t xml:space="preserve">(להלן - </w:t>
            </w:r>
            <w:r w:rsidRPr="00EE10D2">
              <w:rPr>
                <w:rFonts w:hint="cs"/>
                <w:rtl/>
              </w:rPr>
              <w:t>קונטרופ</w:t>
            </w:r>
            <w:r w:rsidRPr="00EE10D2">
              <w:rPr>
                <w:rFonts w:hint="cs"/>
                <w:rtl/>
              </w:rPr>
              <w:t>)</w:t>
            </w:r>
          </w:p>
        </w:tc>
        <w:tc>
          <w:tcPr>
            <w:tcW w:w="1663" w:type="pct"/>
            <w:shd w:val="clear" w:color="auto" w:fill="F0F8F9"/>
          </w:tcPr>
          <w:p w:rsidR="00C149B0" w:rsidRPr="00EE10D2" w:rsidP="00EE10D2" w14:paraId="533497E4" w14:textId="77777777">
            <w:pPr>
              <w:pStyle w:val="73R"/>
              <w:rPr>
                <w:rtl/>
              </w:rPr>
            </w:pPr>
            <w:r w:rsidRPr="00EE10D2">
              <w:rPr>
                <w:rFonts w:hint="cs"/>
                <w:rtl/>
              </w:rPr>
              <w:t>75%</w:t>
            </w:r>
          </w:p>
        </w:tc>
        <w:tc>
          <w:tcPr>
            <w:tcW w:w="1455" w:type="pct"/>
            <w:shd w:val="clear" w:color="auto" w:fill="F0F8F9"/>
          </w:tcPr>
          <w:p w:rsidR="00C149B0" w:rsidRPr="00EE10D2" w:rsidP="00EE10D2" w14:paraId="23B3E19E" w14:textId="77777777">
            <w:pPr>
              <w:pStyle w:val="73R"/>
              <w:rPr>
                <w:rtl/>
              </w:rPr>
            </w:pPr>
            <w:r w:rsidRPr="00EE10D2">
              <w:rPr>
                <w:rFonts w:hint="cs"/>
                <w:rtl/>
              </w:rPr>
              <w:t>2021</w:t>
            </w:r>
          </w:p>
        </w:tc>
      </w:tr>
    </w:tbl>
    <w:p w:rsidR="00C149B0" w:rsidRPr="00EE10D2" w:rsidP="00EE10D2" w14:paraId="14EC2A4C" w14:textId="77777777">
      <w:pPr>
        <w:pStyle w:val="738"/>
        <w:spacing w:after="0"/>
        <w:rPr>
          <w:rtl/>
        </w:rPr>
      </w:pPr>
      <w:r w:rsidRPr="00EE10D2">
        <w:rPr>
          <w:rFonts w:hint="cs"/>
          <w:rtl/>
        </w:rPr>
        <w:t>המקור: מסמכי רפאל.</w:t>
      </w:r>
    </w:p>
    <w:p w:rsidR="00C149B0" w:rsidRPr="00EE10D2" w:rsidP="00EE10D2" w14:paraId="431F5736" w14:textId="77777777">
      <w:pPr>
        <w:pStyle w:val="738"/>
        <w:spacing w:before="0" w:after="0"/>
        <w:ind w:left="424" w:hanging="424"/>
        <w:rPr>
          <w:rtl/>
        </w:rPr>
      </w:pPr>
      <w:r w:rsidRPr="00EE10D2">
        <w:rPr>
          <w:rFonts w:hint="cs"/>
          <w:rtl/>
        </w:rPr>
        <w:t xml:space="preserve">(1) </w:t>
      </w:r>
      <w:r w:rsidRPr="00EE10D2">
        <w:rPr>
          <w:rtl/>
        </w:rPr>
        <w:tab/>
        <w:t xml:space="preserve">על פי נתונים שהתקבלו מרפאל, בשנת 2021 הסתכמו המכירות של </w:t>
      </w:r>
      <w:r w:rsidRPr="00EE10D2">
        <w:t>Rafael U.S.A. Inc</w:t>
      </w:r>
      <w:r w:rsidRPr="00EE10D2">
        <w:rPr>
          <w:rtl/>
        </w:rPr>
        <w:t xml:space="preserve"> ללקוחות בתוך קבוצת רפאל ומחוצה לה בכ-412 מיליוני ש"ח. </w:t>
      </w:r>
    </w:p>
    <w:p w:rsidR="00C149B0" w:rsidRPr="00EE10D2" w:rsidP="00EE10D2" w14:paraId="246195E6" w14:textId="77777777">
      <w:pPr>
        <w:pStyle w:val="738"/>
        <w:spacing w:before="0" w:after="0"/>
        <w:ind w:left="424" w:hanging="424"/>
      </w:pPr>
      <w:r w:rsidRPr="00EE10D2">
        <w:rPr>
          <w:rtl/>
        </w:rPr>
        <w:t>(2)</w:t>
      </w:r>
      <w:r w:rsidRPr="00EE10D2">
        <w:rPr>
          <w:rtl/>
        </w:rPr>
        <w:tab/>
        <w:t xml:space="preserve">על פי נתונים שהתקבלו מרפאל, בשנת 2021 הסתכמו המכירות של </w:t>
      </w:r>
      <w:r w:rsidRPr="00EE10D2">
        <w:t>Ercas</w:t>
      </w:r>
      <w:r w:rsidRPr="00EE10D2">
        <w:t xml:space="preserve"> B.V</w:t>
      </w:r>
      <w:r w:rsidRPr="00EE10D2">
        <w:rPr>
          <w:rtl/>
        </w:rPr>
        <w:t xml:space="preserve"> ללקוחות בתוך קבוצת רפאל ומחוצה לה בכ-322 מיליוני ש"ח. </w:t>
      </w:r>
    </w:p>
    <w:p w:rsidR="00C149B0" w:rsidRPr="00EE10D2" w:rsidP="00EE10D2" w14:paraId="4EC065E1" w14:textId="77777777">
      <w:pPr>
        <w:pStyle w:val="738"/>
        <w:spacing w:before="0" w:after="0"/>
        <w:ind w:left="424" w:hanging="424"/>
        <w:rPr>
          <w:rtl/>
        </w:rPr>
      </w:pPr>
      <w:r w:rsidRPr="00EE10D2">
        <w:rPr>
          <w:rtl/>
        </w:rPr>
        <w:t xml:space="preserve">(3) </w:t>
      </w:r>
      <w:r w:rsidRPr="00EE10D2">
        <w:rPr>
          <w:rtl/>
        </w:rPr>
        <w:tab/>
        <w:t xml:space="preserve">האיחוד נעשה לראשונה ב-1.4.21 נוכח עדכון ההסכם עם בעלי המניות של חברת </w:t>
      </w:r>
      <w:r w:rsidRPr="00EE10D2">
        <w:rPr>
          <w:rtl/>
        </w:rPr>
        <w:t>אירונאוטיקס</w:t>
      </w:r>
      <w:r w:rsidRPr="00EE10D2">
        <w:rPr>
          <w:rtl/>
        </w:rPr>
        <w:t>, המקנה לרפאל שליטה בה.</w:t>
      </w:r>
    </w:p>
    <w:p w:rsidR="00C149B0" w:rsidRPr="00EE10D2" w:rsidP="00EE10D2" w14:paraId="21CEDB70" w14:textId="31FE9F9C">
      <w:pPr>
        <w:pStyle w:val="738"/>
        <w:spacing w:before="0"/>
        <w:ind w:left="424" w:hanging="424"/>
        <w:rPr>
          <w:rtl/>
        </w:rPr>
      </w:pPr>
      <w:r w:rsidRPr="00EE10D2">
        <w:rPr>
          <w:rtl/>
        </w:rPr>
        <w:t>(4)</w:t>
      </w:r>
      <w:r w:rsidRPr="00EE10D2">
        <w:rPr>
          <w:rtl/>
        </w:rPr>
        <w:tab/>
        <w:t xml:space="preserve">רפאל </w:t>
      </w:r>
      <w:r w:rsidRPr="00EE10D2">
        <w:rPr>
          <w:rtl/>
        </w:rPr>
        <w:t>ואירונאוטיקס</w:t>
      </w:r>
      <w:r w:rsidRPr="00EE10D2">
        <w:rPr>
          <w:rtl/>
        </w:rPr>
        <w:t xml:space="preserve"> מחזיקות </w:t>
      </w:r>
      <w:r w:rsidRPr="00EE10D2">
        <w:rPr>
          <w:rtl/>
        </w:rPr>
        <w:t>בקונטרופ</w:t>
      </w:r>
      <w:r w:rsidRPr="00EE10D2">
        <w:rPr>
          <w:rtl/>
        </w:rPr>
        <w:t xml:space="preserve"> בשיעורים שווים (50%). דוחותיה הכספיים של </w:t>
      </w:r>
      <w:r w:rsidRPr="00EE10D2">
        <w:rPr>
          <w:rtl/>
        </w:rPr>
        <w:t>קונטרופ</w:t>
      </w:r>
      <w:r w:rsidRPr="00EE10D2">
        <w:rPr>
          <w:rtl/>
        </w:rPr>
        <w:t xml:space="preserve"> אוחדו לראשונה ב-1.4.21 לאחר שרפאל השיגה שליטה בחברת </w:t>
      </w:r>
      <w:r w:rsidRPr="00EE10D2">
        <w:rPr>
          <w:rtl/>
        </w:rPr>
        <w:t>אירונאוטיקס</w:t>
      </w:r>
      <w:r w:rsidRPr="00EE10D2">
        <w:rPr>
          <w:rtl/>
        </w:rPr>
        <w:t xml:space="preserve">. </w:t>
      </w:r>
    </w:p>
    <w:p w:rsidR="00C149B0" w:rsidRPr="005E450C" w:rsidP="005E450C" w14:paraId="17C50DB7" w14:textId="77777777">
      <w:pPr>
        <w:pStyle w:val="7392"/>
        <w:rPr>
          <w:rtl/>
        </w:rPr>
      </w:pPr>
      <w:r w:rsidRPr="005E450C">
        <w:rPr>
          <w:rFonts w:hint="cs"/>
          <w:rtl/>
        </w:rPr>
        <w:t xml:space="preserve">היקף המאזן המאוחד של קבוצת רפאל בשנת 2019 הסתכם בכ-13.8 מיליארד ש"ח; בשנת 2020, כולל חברת </w:t>
      </w:r>
      <w:r w:rsidRPr="005E450C">
        <w:t>Rafael U.S.A. Inc</w:t>
      </w:r>
      <w:r w:rsidRPr="005E450C">
        <w:rPr>
          <w:rFonts w:hint="cs"/>
          <w:rtl/>
        </w:rPr>
        <w:t xml:space="preserve">, בכ-14.7 מיליארד ש"ח; ובשנת 2021, כולל החברות </w:t>
      </w:r>
      <w:r w:rsidRPr="005E450C">
        <w:rPr>
          <w:rFonts w:hint="cs"/>
          <w:rtl/>
        </w:rPr>
        <w:t>אירונאוטיקס</w:t>
      </w:r>
      <w:r w:rsidRPr="005E450C">
        <w:rPr>
          <w:rFonts w:hint="cs"/>
          <w:rtl/>
        </w:rPr>
        <w:t xml:space="preserve"> </w:t>
      </w:r>
      <w:r w:rsidRPr="005E450C">
        <w:rPr>
          <w:rFonts w:hint="cs"/>
          <w:rtl/>
        </w:rPr>
        <w:t>וקונטרופ</w:t>
      </w:r>
      <w:r w:rsidRPr="005E450C">
        <w:rPr>
          <w:rFonts w:hint="cs"/>
          <w:rtl/>
        </w:rPr>
        <w:t>, בכ-17.9 מיליארד ש"ח.</w:t>
      </w:r>
    </w:p>
    <w:p w:rsidR="00C149B0" w:rsidRPr="005E450C" w:rsidP="005E450C" w14:paraId="7DABD787" w14:textId="77777777">
      <w:pPr>
        <w:pStyle w:val="7392"/>
      </w:pPr>
      <w:r w:rsidRPr="005E450C">
        <w:rPr>
          <w:rFonts w:hint="cs"/>
          <w:rtl/>
        </w:rPr>
        <w:t>מחזור המכירות של רפאל הסתכם בשנת 2021 בכ-10 מיליארד ש"ח</w:t>
      </w:r>
      <w:r>
        <w:rPr>
          <w:rStyle w:val="FootnoteReference0"/>
          <w:rtl/>
        </w:rPr>
        <w:footnoteReference w:id="13"/>
      </w:r>
      <w:r w:rsidRPr="005E450C">
        <w:rPr>
          <w:rFonts w:hint="cs"/>
          <w:rtl/>
        </w:rPr>
        <w:t xml:space="preserve">. 49% מהמכירות היו לייצוא; 48% למשרד הביטחון (להלן - </w:t>
      </w:r>
      <w:r w:rsidRPr="005E450C">
        <w:rPr>
          <w:rFonts w:hint="cs"/>
          <w:rtl/>
        </w:rPr>
        <w:t>משהב"ט</w:t>
      </w:r>
      <w:r w:rsidRPr="005E450C">
        <w:rPr>
          <w:rFonts w:hint="cs"/>
          <w:rtl/>
        </w:rPr>
        <w:t>) ו-3% ללקוחות אחרים בארץ.</w:t>
      </w:r>
      <w:r w:rsidRPr="005E450C">
        <w:rPr>
          <w:rtl/>
        </w:rPr>
        <w:br/>
      </w:r>
      <w:r w:rsidRPr="005E450C">
        <w:rPr>
          <w:rFonts w:hint="cs"/>
          <w:rtl/>
        </w:rPr>
        <w:t>ב-31.12.21 הועסקו בקבוצת רפאל 9,517 עובדים, בהם 8,019 ברפאל.</w:t>
      </w:r>
    </w:p>
    <w:p w:rsidR="00C149B0" w:rsidRPr="005E450C" w:rsidP="005E450C" w14:paraId="44786322" w14:textId="77777777">
      <w:pPr>
        <w:pStyle w:val="7392"/>
        <w:rPr>
          <w:rtl/>
        </w:rPr>
      </w:pPr>
      <w:r w:rsidRPr="005E450C">
        <w:rPr>
          <w:rFonts w:hint="cs"/>
          <w:rtl/>
        </w:rPr>
        <w:t>בתקופה הנבדקת (2017 - 2021) גייסה רפאל חוב באמצעות הנפקות פרטיות של אגרות חוב לגופים מוסדיים בסך 1.5 ו-0.8 מיליארד ש"ח, בפברואר 2017 ובאפריל 2021, בהתאמה.</w:t>
      </w:r>
    </w:p>
    <w:p w:rsidR="00C149B0" w:rsidRPr="005E450C" w:rsidP="005E450C" w14:paraId="597FEA63" w14:textId="77777777">
      <w:pPr>
        <w:pStyle w:val="7392"/>
        <w:rPr>
          <w:rtl/>
        </w:rPr>
      </w:pPr>
      <w:r w:rsidRPr="005E450C">
        <w:rPr>
          <w:rFonts w:hint="cs"/>
          <w:rtl/>
        </w:rPr>
        <w:t>רפאל מכינה מדי שנה בשנה תקציב לשנה העוקבת ברמה פרטנית, על פי המידע העדכני ביותר הקיים בידיה, ותקציב רב-שנתי מתגלגל</w:t>
      </w:r>
      <w:r>
        <w:rPr>
          <w:rStyle w:val="FootnoteReference0"/>
          <w:rtl/>
        </w:rPr>
        <w:footnoteReference w:id="14"/>
      </w:r>
      <w:r w:rsidRPr="005E450C">
        <w:rPr>
          <w:rFonts w:hint="cs"/>
          <w:rtl/>
        </w:rPr>
        <w:t xml:space="preserve">. בתקציב מפורטים יעדי החברה במונחים כספיים וכן התחזיות לתקופה האמורה. דירקטוריון החברה מפקח על מידת העמידה ביעדים אלו. </w:t>
      </w:r>
    </w:p>
    <w:p w:rsidR="00C149B0" w:rsidRPr="005E450C" w:rsidP="005E450C" w14:paraId="1B4FCC68" w14:textId="77777777">
      <w:pPr>
        <w:pStyle w:val="7392"/>
        <w:rPr>
          <w:rtl/>
        </w:rPr>
      </w:pPr>
      <w:bookmarkStart w:id="7" w:name="_Toc63925922"/>
      <w:r w:rsidRPr="005E450C">
        <w:rPr>
          <w:rFonts w:hint="cs"/>
          <w:rtl/>
        </w:rPr>
        <w:t>בשנים 2016 ו-2017 ביצעה רפאל תהליך תיקוף ועדכון של החזון הארגוני ופיתוח אסטרטגיה ארגונית ועסקית מעודכנת, לרבות גיבוש כיווני פעולה חדשים וקביעת מדדי הצלחה מפורטים לשנים 2018 - 2022 (להלן - התוכנית האסטרטגית). בסוף שנת 2019 החלה החברה בתהליך של תיקוף התוכנית האסטרטגית ועדכונה, ובשנת 2021 החלה בעדכון האסטרטגיה לשנת 2030. במועד סיום הביקורת חלק מתהליכים אלה עדיין נמשכו.</w:t>
      </w:r>
    </w:p>
    <w:p w:rsidR="00C149B0" w:rsidRPr="005E450C" w:rsidP="005E450C" w14:paraId="5F616F98" w14:textId="77777777">
      <w:pPr>
        <w:pStyle w:val="7392"/>
        <w:rPr>
          <w:rtl/>
        </w:rPr>
      </w:pPr>
      <w:r w:rsidRPr="005E450C">
        <w:rPr>
          <w:rtl/>
        </w:rPr>
        <w:t xml:space="preserve">רפאל מציינת בדוחותיה התקופתיים כי יש לה תלות </w:t>
      </w:r>
      <w:r w:rsidRPr="005E450C">
        <w:rPr>
          <w:rFonts w:hint="cs"/>
          <w:rtl/>
        </w:rPr>
        <w:t>רב</w:t>
      </w:r>
      <w:r w:rsidRPr="005E450C">
        <w:rPr>
          <w:rtl/>
        </w:rPr>
        <w:t>ה בתקציב הביטחון: נתח עיקרי מפעילות החברה תלוי בתקציבי הביטחון של מדינת ישראל; ושחיקה בתקציבי הביטחון או שינוי סדרי העדיפו</w:t>
      </w:r>
      <w:r w:rsidRPr="005E450C">
        <w:rPr>
          <w:rFonts w:hint="cs"/>
          <w:rtl/>
        </w:rPr>
        <w:t>יו</w:t>
      </w:r>
      <w:r w:rsidRPr="005E450C">
        <w:rPr>
          <w:rtl/>
        </w:rPr>
        <w:t>ת הביטחוניים במדינת ישראל עלול</w:t>
      </w:r>
      <w:r w:rsidRPr="005E450C">
        <w:rPr>
          <w:rFonts w:hint="cs"/>
          <w:rtl/>
        </w:rPr>
        <w:t>ים</w:t>
      </w:r>
      <w:r w:rsidRPr="005E450C">
        <w:rPr>
          <w:rtl/>
        </w:rPr>
        <w:t xml:space="preserve"> לפגוע בביצוע התקשרויות ולפגוע בתוצאות הכספיות של החברה. בהקשר זה יצוין כי בשנים 2019 ו-2020 יושם תקציב מדינה "המשכי"</w:t>
      </w:r>
      <w:r>
        <w:rPr>
          <w:rStyle w:val="FootnoteReference0"/>
          <w:rtl/>
        </w:rPr>
        <w:footnoteReference w:id="15"/>
      </w:r>
      <w:r w:rsidRPr="005E450C">
        <w:rPr>
          <w:rtl/>
        </w:rPr>
        <w:t xml:space="preserve">; ובדוח התקופתי של רפאל לשנת 2019 ולשנת 2020 צוין כי נוכח זאת חל עיכוב בקבלת הזמנות ממשרד הביטחון בשנים אלו. </w:t>
      </w:r>
    </w:p>
    <w:p w:rsidR="00C149B0" w:rsidRPr="005E450C" w:rsidP="005E450C" w14:paraId="380314CD" w14:textId="77777777">
      <w:pPr>
        <w:pStyle w:val="7392"/>
        <w:rPr>
          <w:rtl/>
        </w:rPr>
      </w:pPr>
      <w:r w:rsidRPr="005E450C">
        <w:rPr>
          <w:rtl/>
        </w:rPr>
        <w:t xml:space="preserve">ברבעון הראשון של שנת 2020 התפרצה מגפה עולמית בעקבות התפשטות נגיף הקורונה. בדוח התקופתי של רפאל לשנת 2020 צוין כי ככלל ניתן לומר כי הגדרת החברה כמפעל חיוני </w:t>
      </w:r>
      <w:r w:rsidRPr="005E450C">
        <w:rPr>
          <w:rtl/>
        </w:rPr>
        <w:t>א</w:t>
      </w:r>
      <w:r w:rsidRPr="005E450C">
        <w:rPr>
          <w:rFonts w:hint="cs"/>
          <w:rtl/>
        </w:rPr>
        <w:t>י</w:t>
      </w:r>
      <w:r w:rsidRPr="005E450C">
        <w:rPr>
          <w:rtl/>
        </w:rPr>
        <w:t>פשרה</w:t>
      </w:r>
      <w:r w:rsidRPr="005E450C">
        <w:rPr>
          <w:rtl/>
        </w:rPr>
        <w:t xml:space="preserve"> לה להמשיך לתפקד באופן סביר יחסית לחברות אחרות במשק; כי החברה המשיכה לפעול ולתפקד באופן מיטבי בהתחשב בנסיבות ובמגבלות; וכי </w:t>
      </w:r>
      <w:r w:rsidRPr="005E450C">
        <w:rPr>
          <w:rFonts w:hint="cs"/>
          <w:rtl/>
        </w:rPr>
        <w:t xml:space="preserve">היא </w:t>
      </w:r>
      <w:r w:rsidRPr="005E450C">
        <w:rPr>
          <w:rtl/>
        </w:rPr>
        <w:t xml:space="preserve">נקטה צעדים ששמרו על הרווחיות התפעולית שלה. עוד צוין כי הפגיעה בשנת 2020 הייתה בעיקר בקבלת הזמנות חדשות מחו״ל בהיקף </w:t>
      </w:r>
      <w:r w:rsidRPr="005E450C">
        <w:rPr>
          <w:rFonts w:hint="cs"/>
          <w:rtl/>
        </w:rPr>
        <w:t>קטן</w:t>
      </w:r>
      <w:r w:rsidRPr="005E450C">
        <w:rPr>
          <w:rtl/>
        </w:rPr>
        <w:t xml:space="preserve"> מ</w:t>
      </w:r>
      <w:r w:rsidRPr="005E450C">
        <w:rPr>
          <w:rFonts w:hint="cs"/>
          <w:rtl/>
        </w:rPr>
        <w:t xml:space="preserve">יעד </w:t>
      </w:r>
      <w:r w:rsidRPr="005E450C">
        <w:rPr>
          <w:rtl/>
        </w:rPr>
        <w:t>התקציב ובתוצאות הפעילות של חלק מחברות הבנות; וכי לאורך כל התקופה לא הסתמנה בעיה בכל הקשור למימון פעילות החברה. בדוח התקופתי של רפאל לשנת 2021 צוין כי התפשטות הנגיף גרמה, בין היתר, לשיבוש בשרשרת האספקה.</w:t>
      </w:r>
    </w:p>
    <w:p w:rsidR="00C149B0" w:rsidRPr="005E450C" w:rsidP="005E450C" w14:paraId="6941DC9A" w14:textId="77777777">
      <w:pPr>
        <w:pStyle w:val="7392"/>
        <w:rPr>
          <w:rtl/>
        </w:rPr>
      </w:pPr>
      <w:r w:rsidRPr="005E450C">
        <w:rPr>
          <w:rtl/>
        </w:rPr>
        <w:t xml:space="preserve">באפריל 2021 איחדה רפאל בדוחותיה הכספיים את חברת </w:t>
      </w:r>
      <w:r w:rsidRPr="005E450C">
        <w:rPr>
          <w:rtl/>
        </w:rPr>
        <w:t>אירונאוטיקס</w:t>
      </w:r>
      <w:r w:rsidRPr="005E450C">
        <w:rPr>
          <w:rtl/>
        </w:rPr>
        <w:t xml:space="preserve"> בע"מ ואת חברת </w:t>
      </w:r>
      <w:r w:rsidRPr="005E450C">
        <w:rPr>
          <w:rtl/>
        </w:rPr>
        <w:t>קונטרופ</w:t>
      </w:r>
      <w:r w:rsidRPr="005E450C">
        <w:rPr>
          <w:rtl/>
        </w:rPr>
        <w:t xml:space="preserve"> טכנולוגיות מדויקות בע"מ</w:t>
      </w:r>
      <w:r w:rsidRPr="005E450C">
        <w:rPr>
          <w:rFonts w:hint="cs"/>
          <w:rtl/>
        </w:rPr>
        <w:t xml:space="preserve"> (ראו בהמשך)</w:t>
      </w:r>
      <w:r w:rsidRPr="005E450C">
        <w:rPr>
          <w:rtl/>
        </w:rPr>
        <w:t>.</w:t>
      </w:r>
    </w:p>
    <w:p w:rsidR="00C149B0" w:rsidRPr="001E7361" w:rsidP="001E7361" w14:paraId="1EB901E0" w14:textId="77777777">
      <w:pPr>
        <w:pStyle w:val="733155"/>
        <w:rPr>
          <w:rtl/>
        </w:rPr>
      </w:pPr>
      <w:bookmarkStart w:id="9" w:name="_Toc115616196"/>
      <w:r w:rsidRPr="001E7361">
        <w:rPr>
          <w:rFonts w:hint="cs"/>
          <w:rtl/>
        </w:rPr>
        <w:t>פעולות הביקורת</w:t>
      </w:r>
      <w:bookmarkEnd w:id="7"/>
      <w:bookmarkEnd w:id="9"/>
    </w:p>
    <w:p w:rsidR="00C149B0" w:rsidRPr="005E450C" w:rsidP="005E450C" w14:paraId="3A89A081" w14:textId="176E6342">
      <w:pPr>
        <w:pStyle w:val="7392"/>
        <w:rPr>
          <w:rtl/>
        </w:rPr>
      </w:pPr>
      <w:r w:rsidRPr="005E450C">
        <w:rPr>
          <w:rtl/>
        </w:rPr>
        <w:t xml:space="preserve">משרד מבקר המדינה בדק בחודשים </w:t>
      </w:r>
      <w:r w:rsidRPr="005E450C">
        <w:rPr>
          <w:rFonts w:hint="cs"/>
          <w:rtl/>
        </w:rPr>
        <w:t>אוקטובר 2021</w:t>
      </w:r>
      <w:r w:rsidRPr="005E450C">
        <w:rPr>
          <w:rtl/>
        </w:rPr>
        <w:t xml:space="preserve"> עד </w:t>
      </w:r>
      <w:r w:rsidRPr="005E450C">
        <w:rPr>
          <w:rFonts w:hint="cs"/>
          <w:rtl/>
        </w:rPr>
        <w:t>יולי 2022</w:t>
      </w:r>
      <w:r w:rsidRPr="005E450C">
        <w:rPr>
          <w:rtl/>
        </w:rPr>
        <w:t xml:space="preserve"> </w:t>
      </w:r>
      <w:r w:rsidRPr="005E450C">
        <w:rPr>
          <w:rFonts w:hint="cs"/>
          <w:rtl/>
        </w:rPr>
        <w:t xml:space="preserve">היבטים הנוגעים למצבה העסקי והכספי של רפאל, כפי שהם משתקפים בדוחותיה השנתיים לשנים 2017 - 2021 </w:t>
      </w:r>
      <w:r w:rsidR="00EE10D2">
        <w:rPr>
          <w:rtl/>
        </w:rPr>
        <w:br/>
      </w:r>
      <w:r w:rsidRPr="005E450C">
        <w:rPr>
          <w:rFonts w:hint="cs"/>
          <w:rtl/>
        </w:rPr>
        <w:t xml:space="preserve">(להלן גם - התקופה הנבדקת) ובמסמכיה, וכן היבטים הנוגעים לממשל תאגידי. </w:t>
      </w:r>
      <w:r w:rsidRPr="005E450C">
        <w:rPr>
          <w:rtl/>
        </w:rPr>
        <w:t>הביקורת נע</w:t>
      </w:r>
      <w:r w:rsidRPr="005E450C">
        <w:rPr>
          <w:rFonts w:hint="cs"/>
          <w:rtl/>
        </w:rPr>
        <w:t>שתה</w:t>
      </w:r>
      <w:r w:rsidRPr="005E450C">
        <w:rPr>
          <w:rtl/>
        </w:rPr>
        <w:t xml:space="preserve"> ב</w:t>
      </w:r>
      <w:r w:rsidRPr="005E450C">
        <w:rPr>
          <w:rFonts w:hint="cs"/>
          <w:rtl/>
        </w:rPr>
        <w:t>רפאל.</w:t>
      </w:r>
      <w:r w:rsidRPr="005E450C">
        <w:rPr>
          <w:rtl/>
        </w:rPr>
        <w:t xml:space="preserve"> </w:t>
      </w:r>
      <w:r w:rsidRPr="005E450C">
        <w:rPr>
          <w:rFonts w:hint="cs"/>
          <w:rtl/>
        </w:rPr>
        <w:t xml:space="preserve">בדיקות השלמה נעשו ברשות החברות הממשלתיות, </w:t>
      </w:r>
      <w:r w:rsidRPr="005E450C">
        <w:rPr>
          <w:rFonts w:hint="cs"/>
          <w:rtl/>
        </w:rPr>
        <w:t>במשהב"ט</w:t>
      </w:r>
      <w:r w:rsidRPr="005E450C">
        <w:rPr>
          <w:rFonts w:hint="cs"/>
          <w:rtl/>
        </w:rPr>
        <w:t xml:space="preserve"> ובתעשייה האווירית לישראל בע"מ (להלן - </w:t>
      </w:r>
      <w:r w:rsidRPr="005E450C">
        <w:rPr>
          <w:rFonts w:hint="cs"/>
          <w:rtl/>
        </w:rPr>
        <w:t>התע"א</w:t>
      </w:r>
      <w:r w:rsidRPr="005E450C">
        <w:rPr>
          <w:rFonts w:hint="cs"/>
          <w:rtl/>
        </w:rPr>
        <w:t xml:space="preserve">). </w:t>
      </w:r>
    </w:p>
    <w:p w:rsidR="00C149B0" w:rsidRPr="005E450C" w:rsidP="005E450C" w14:paraId="4CDF3C32" w14:textId="5B67B6CA">
      <w:pPr>
        <w:pStyle w:val="7392"/>
        <w:rPr>
          <w:rtl/>
        </w:rPr>
      </w:pPr>
      <w:r w:rsidRPr="005E450C">
        <w:rPr>
          <w:rtl/>
        </w:rPr>
        <w:t xml:space="preserve">ועדת המשנה של הוועדה לענייני ביקורת המדינה של הכנסת החליטה שלא להניח </w:t>
      </w:r>
      <w:r w:rsidRPr="00172400" w:rsidR="00172400">
        <w:rPr>
          <w:rtl/>
        </w:rPr>
        <w:t>דוח זה במלואו על שולחן הכנסת אלא לפרסם רק חלקים ממנו, כדי למנוע פגיעה בקשרי</w:t>
      </w:r>
      <w:r w:rsidR="00172400">
        <w:rPr>
          <w:rFonts w:hint="cs"/>
          <w:rtl/>
        </w:rPr>
        <w:t xml:space="preserve"> </w:t>
      </w:r>
      <w:r w:rsidRPr="005E450C">
        <w:rPr>
          <w:rtl/>
        </w:rPr>
        <w:t xml:space="preserve">מסחר </w:t>
      </w:r>
      <w:r w:rsidR="00172400">
        <w:rPr>
          <w:rtl/>
        </w:rPr>
        <w:br/>
      </w:r>
      <w:r w:rsidRPr="005E450C">
        <w:rPr>
          <w:rtl/>
        </w:rPr>
        <w:t>בין-לאומיים של המדינה, בהתאם לסעיף 17 לחוק מבקר המדינה, התשי"ח-1958 [נוסח משולב].</w:t>
      </w:r>
    </w:p>
    <w:p w:rsidR="00C149B0" w:rsidRPr="00D94367" w:rsidP="00325EA5" w14:paraId="2B152102" w14:textId="77777777">
      <w:pPr>
        <w:pStyle w:val="7329"/>
        <w:bidi/>
        <w:jc w:val="left"/>
        <w:rPr>
          <w:rtl/>
        </w:rPr>
      </w:pPr>
      <w:bookmarkStart w:id="10" w:name="_Toc63925923"/>
      <w:bookmarkStart w:id="11" w:name="_Toc115616197"/>
      <w:r w:rsidRPr="00D94367">
        <w:rPr>
          <w:rtl/>
        </w:rPr>
        <w:t xml:space="preserve">מצבה העסקי והכספי של </w:t>
      </w:r>
      <w:bookmarkEnd w:id="10"/>
      <w:r w:rsidRPr="00D94367">
        <w:rPr>
          <w:rtl/>
        </w:rPr>
        <w:t>רפאל</w:t>
      </w:r>
      <w:bookmarkEnd w:id="11"/>
    </w:p>
    <w:p w:rsidR="00C149B0" w:rsidRPr="001E7361" w:rsidP="001E7361" w14:paraId="64A01135" w14:textId="77777777">
      <w:pPr>
        <w:pStyle w:val="733155"/>
        <w:rPr>
          <w:rtl/>
        </w:rPr>
      </w:pPr>
      <w:bookmarkStart w:id="12" w:name="_Toc115616198"/>
      <w:bookmarkStart w:id="13" w:name="_Toc63925924"/>
      <w:r w:rsidRPr="001E7361">
        <w:rPr>
          <w:rFonts w:hint="cs"/>
          <w:rtl/>
        </w:rPr>
        <w:t>הכנסות ממכירות</w:t>
      </w:r>
      <w:bookmarkEnd w:id="12"/>
    </w:p>
    <w:p w:rsidR="00C149B0" w:rsidRPr="00B431F9" w:rsidP="00B431F9" w14:paraId="6BC10308" w14:textId="77777777">
      <w:pPr>
        <w:pStyle w:val="73414"/>
        <w:rPr>
          <w:rtl/>
        </w:rPr>
      </w:pPr>
      <w:r w:rsidRPr="00B431F9">
        <w:rPr>
          <w:rFonts w:hint="cs"/>
          <w:rtl/>
        </w:rPr>
        <w:t>שיטות ההכרה בהכנסה</w:t>
      </w:r>
    </w:p>
    <w:p w:rsidR="00C149B0" w:rsidRPr="00D94367" w:rsidP="005E450C" w14:paraId="669E2F82" w14:textId="77777777">
      <w:pPr>
        <w:pStyle w:val="7392"/>
        <w:rPr>
          <w:rtl/>
        </w:rPr>
      </w:pPr>
      <w:r w:rsidRPr="00D94367">
        <w:rPr>
          <w:rFonts w:hint="cs"/>
          <w:rtl/>
          <w:lang w:eastAsia="he-IL"/>
        </w:rPr>
        <w:t>רפאל מציינת בדוחותיה הכספיים כי תקופת המחזור התפעולי</w:t>
      </w:r>
      <w:r>
        <w:rPr>
          <w:rStyle w:val="FootnoteReference0"/>
          <w:rFonts w:eastAsia="Times New Roman"/>
          <w:rtl/>
          <w:lang w:eastAsia="he-IL"/>
        </w:rPr>
        <w:footnoteReference w:id="16"/>
      </w:r>
      <w:r w:rsidRPr="00D94367">
        <w:rPr>
          <w:rFonts w:hint="cs"/>
          <w:rtl/>
          <w:lang w:eastAsia="he-IL"/>
        </w:rPr>
        <w:t xml:space="preserve"> הרגיל שלה עולה על שנה, </w:t>
      </w:r>
      <w:r>
        <w:rPr>
          <w:rFonts w:hint="cs"/>
          <w:rtl/>
          <w:lang w:eastAsia="he-IL"/>
        </w:rPr>
        <w:t xml:space="preserve">בייחוד </w:t>
      </w:r>
      <w:r w:rsidRPr="00D94367">
        <w:rPr>
          <w:rFonts w:hint="cs"/>
          <w:rtl/>
          <w:lang w:eastAsia="he-IL"/>
        </w:rPr>
        <w:t>בהתייחס לעבודות לפי חוזי ביצוע</w:t>
      </w:r>
      <w:r>
        <w:rPr>
          <w:rStyle w:val="FootnoteReference0"/>
          <w:rFonts w:eastAsia="Times New Roman"/>
          <w:rtl/>
          <w:lang w:eastAsia="he-IL"/>
        </w:rPr>
        <w:footnoteReference w:id="17"/>
      </w:r>
      <w:r w:rsidRPr="00D94367">
        <w:rPr>
          <w:rFonts w:hint="cs"/>
          <w:rtl/>
          <w:lang w:eastAsia="he-IL"/>
        </w:rPr>
        <w:t xml:space="preserve">, </w:t>
      </w:r>
      <w:r>
        <w:rPr>
          <w:rFonts w:hint="cs"/>
          <w:rtl/>
          <w:lang w:eastAsia="he-IL"/>
        </w:rPr>
        <w:t>ש</w:t>
      </w:r>
      <w:r w:rsidRPr="00D94367">
        <w:rPr>
          <w:rFonts w:hint="cs"/>
          <w:rtl/>
          <w:lang w:eastAsia="he-IL"/>
        </w:rPr>
        <w:t xml:space="preserve">בהן יכול המחזור התפעולי להימשך שנתיים עד ארבע שנים. </w:t>
      </w:r>
    </w:p>
    <w:p w:rsidR="00C149B0" w:rsidRPr="00D94367" w:rsidP="005E450C" w14:paraId="5D9173C1" w14:textId="77777777">
      <w:pPr>
        <w:pStyle w:val="7392"/>
        <w:rPr>
          <w:rtl/>
        </w:rPr>
      </w:pPr>
      <w:r>
        <w:rPr>
          <w:rFonts w:hint="cs"/>
          <w:rtl/>
        </w:rPr>
        <w:t>תקן דיווח כספי בין-לאומי</w:t>
      </w:r>
      <w:r w:rsidRPr="00D94367">
        <w:rPr>
          <w:rFonts w:hint="cs"/>
          <w:rtl/>
        </w:rPr>
        <w:t xml:space="preserve"> 15 (</w:t>
      </w:r>
      <w:r w:rsidRPr="00D94367">
        <w:t>IFRS#15</w:t>
      </w:r>
      <w:r w:rsidRPr="00D94367">
        <w:rPr>
          <w:rFonts w:hint="cs"/>
          <w:rtl/>
        </w:rPr>
        <w:t>)</w:t>
      </w:r>
      <w:r>
        <w:rPr>
          <w:rStyle w:val="FootnoteReference0"/>
          <w:rtl/>
        </w:rPr>
        <w:footnoteReference w:id="18"/>
      </w:r>
      <w:r w:rsidRPr="00D94367">
        <w:rPr>
          <w:rFonts w:hint="cs"/>
          <w:rtl/>
        </w:rPr>
        <w:t xml:space="preserve"> בדבר הכנסות מחוזים עם לקוחות קובע </w:t>
      </w:r>
      <w:r w:rsidRPr="008C748E">
        <w:rPr>
          <w:rFonts w:hint="cs"/>
          <w:rtl/>
          <w:lang w:eastAsia="he-IL"/>
        </w:rPr>
        <w:t>בין</w:t>
      </w:r>
      <w:r w:rsidRPr="00D94367">
        <w:rPr>
          <w:rFonts w:hint="cs"/>
          <w:rtl/>
        </w:rPr>
        <w:t xml:space="preserve"> היתר את הכללים להכרה בהכנסה. בתקן נקבע כי ניתן להכיר בהכנסה כאשר הלקוח משיג שליטה</w:t>
      </w:r>
      <w:r>
        <w:rPr>
          <w:rStyle w:val="FootnoteReference0"/>
          <w:rtl/>
        </w:rPr>
        <w:footnoteReference w:id="19"/>
      </w:r>
      <w:r w:rsidRPr="00D94367">
        <w:rPr>
          <w:rFonts w:hint="cs"/>
          <w:rtl/>
        </w:rPr>
        <w:t xml:space="preserve"> על הסחורה או השירות שהובטחו. עוד</w:t>
      </w:r>
      <w:r w:rsidRPr="00D94367">
        <w:rPr>
          <w:rFonts w:hint="cs"/>
        </w:rPr>
        <w:t xml:space="preserve"> </w:t>
      </w:r>
      <w:r w:rsidRPr="00D94367">
        <w:rPr>
          <w:rFonts w:hint="cs"/>
          <w:rtl/>
        </w:rPr>
        <w:t xml:space="preserve">נקבע כי במקרים </w:t>
      </w:r>
      <w:r>
        <w:rPr>
          <w:rFonts w:hint="cs"/>
          <w:rtl/>
        </w:rPr>
        <w:t>ש</w:t>
      </w:r>
      <w:r w:rsidRPr="00D94367">
        <w:rPr>
          <w:rFonts w:hint="cs"/>
          <w:rtl/>
        </w:rPr>
        <w:t xml:space="preserve">בהם מועברת השליטה על הסחורה או על השירות לאורך זמן, יש להכיר בהכנסות על פני </w:t>
      </w:r>
      <w:r>
        <w:rPr>
          <w:rFonts w:hint="cs"/>
          <w:rtl/>
        </w:rPr>
        <w:t>כמה</w:t>
      </w:r>
      <w:r w:rsidRPr="00D94367">
        <w:rPr>
          <w:rFonts w:hint="cs"/>
          <w:rtl/>
        </w:rPr>
        <w:t xml:space="preserve"> תקופות דיווח; וכי סכום ההכנסה שיוכר בכל תקופה יחושב על פי מדידת ההתקדמות בביצוע הפרויקט ביחס לקיום מלא של המחויבות (להלן - שיעור ההשלמה). במקרים </w:t>
      </w:r>
      <w:r>
        <w:rPr>
          <w:rFonts w:hint="cs"/>
          <w:rtl/>
        </w:rPr>
        <w:t>ש</w:t>
      </w:r>
      <w:r w:rsidRPr="00D94367">
        <w:rPr>
          <w:rFonts w:hint="cs"/>
          <w:rtl/>
        </w:rPr>
        <w:t xml:space="preserve">בהם </w:t>
      </w:r>
      <w:r w:rsidRPr="00D94367">
        <w:rPr>
          <w:rtl/>
        </w:rPr>
        <w:t xml:space="preserve">לא ניתן למדוד באופן סביר את </w:t>
      </w:r>
      <w:r w:rsidRPr="00D94367">
        <w:rPr>
          <w:rFonts w:hint="cs"/>
          <w:rtl/>
        </w:rPr>
        <w:t xml:space="preserve">שיעור ההשלמה </w:t>
      </w:r>
      <w:r w:rsidRPr="00D94367">
        <w:rPr>
          <w:rtl/>
        </w:rPr>
        <w:t xml:space="preserve">(למשל בשלבים המוקדמים של חוזה) אך </w:t>
      </w:r>
      <w:r w:rsidRPr="00D94367">
        <w:rPr>
          <w:rFonts w:hint="cs"/>
          <w:rtl/>
        </w:rPr>
        <w:t>קיימת ציפייה כי הלקוח ישיב את ה</w:t>
      </w:r>
      <w:r w:rsidRPr="00D94367">
        <w:rPr>
          <w:rtl/>
        </w:rPr>
        <w:t xml:space="preserve">עלויות שהתהוו, </w:t>
      </w:r>
      <w:r w:rsidRPr="00D94367">
        <w:rPr>
          <w:rFonts w:hint="cs"/>
          <w:rtl/>
        </w:rPr>
        <w:t>ניתן להכיר ב</w:t>
      </w:r>
      <w:r w:rsidRPr="00D94367">
        <w:rPr>
          <w:rtl/>
        </w:rPr>
        <w:t>הכנסות עד להיקף העלויות שהתהוו (</w:t>
      </w:r>
      <w:r w:rsidRPr="00D94367">
        <w:rPr>
          <w:rFonts w:hint="cs"/>
          <w:rtl/>
        </w:rPr>
        <w:t>"</w:t>
      </w:r>
      <w:r w:rsidRPr="00D94367">
        <w:rPr>
          <w:rtl/>
        </w:rPr>
        <w:t>מרווח אפס</w:t>
      </w:r>
      <w:r w:rsidRPr="00D94367">
        <w:rPr>
          <w:rFonts w:hint="cs"/>
          <w:rtl/>
        </w:rPr>
        <w:t>"</w:t>
      </w:r>
      <w:r>
        <w:rPr>
          <w:rStyle w:val="FootnoteReference0"/>
          <w:rtl/>
        </w:rPr>
        <w:footnoteReference w:id="20"/>
      </w:r>
      <w:r w:rsidRPr="00D94367">
        <w:rPr>
          <w:rtl/>
        </w:rPr>
        <w:t>)</w:t>
      </w:r>
      <w:r>
        <w:rPr>
          <w:rFonts w:hint="cs"/>
          <w:rtl/>
        </w:rPr>
        <w:t>.</w:t>
      </w:r>
      <w:r w:rsidRPr="00D94367">
        <w:rPr>
          <w:rFonts w:hint="cs"/>
          <w:rtl/>
        </w:rPr>
        <w:t xml:space="preserve"> </w:t>
      </w:r>
    </w:p>
    <w:p w:rsidR="00C149B0" w:rsidRPr="00D94367" w:rsidP="005E450C" w14:paraId="301291AD" w14:textId="77777777">
      <w:pPr>
        <w:pStyle w:val="7392"/>
      </w:pPr>
      <w:r w:rsidRPr="00D94367">
        <w:rPr>
          <w:rFonts w:hint="cs"/>
          <w:rtl/>
        </w:rPr>
        <w:t xml:space="preserve">מהאמור בדוחותיה השנתיים של רפאל </w:t>
      </w:r>
      <w:r>
        <w:rPr>
          <w:rFonts w:hint="cs"/>
          <w:rtl/>
        </w:rPr>
        <w:t xml:space="preserve">עולה כי </w:t>
      </w:r>
      <w:r w:rsidRPr="00D94367">
        <w:rPr>
          <w:rFonts w:hint="cs"/>
          <w:rtl/>
        </w:rPr>
        <w:t xml:space="preserve">השימוש בשיטת ההכרה בהכנסה על פי שיעור ההשלמה כרוך בשימוש באומדנים. אחד האומדנים המרכזיים הוא אומדן </w:t>
      </w:r>
      <w:r w:rsidRPr="00D94367">
        <w:rPr>
          <w:rFonts w:hint="eastAsia"/>
          <w:rtl/>
        </w:rPr>
        <w:t>סך</w:t>
      </w:r>
      <w:r w:rsidRPr="00D94367">
        <w:rPr>
          <w:rtl/>
        </w:rPr>
        <w:t xml:space="preserve"> </w:t>
      </w:r>
      <w:r w:rsidRPr="00D94367">
        <w:rPr>
          <w:rFonts w:hint="eastAsia"/>
          <w:rtl/>
        </w:rPr>
        <w:t>עלויות</w:t>
      </w:r>
      <w:r w:rsidRPr="00D94367">
        <w:rPr>
          <w:rtl/>
        </w:rPr>
        <w:t xml:space="preserve"> </w:t>
      </w:r>
      <w:r w:rsidRPr="00D94367">
        <w:rPr>
          <w:rFonts w:hint="eastAsia"/>
          <w:rtl/>
        </w:rPr>
        <w:t>החוזה</w:t>
      </w:r>
      <w:r w:rsidRPr="00D94367">
        <w:rPr>
          <w:rFonts w:hint="cs"/>
          <w:rtl/>
        </w:rPr>
        <w:t xml:space="preserve"> ו"מרווח אפס" - אומדן המבוסס על הערכת כמויות, מחירים, שעות עבודה ולוחות זמנים צפויים, והוא משמש בין היתר לאמידה של שיעור ההשלמה, לפיו נקבע סכום ההכנסות שיוכרו בתקופ</w:t>
      </w:r>
      <w:r>
        <w:rPr>
          <w:rFonts w:hint="cs"/>
          <w:rtl/>
        </w:rPr>
        <w:t>ת הדיווח</w:t>
      </w:r>
      <w:r w:rsidRPr="00D94367">
        <w:rPr>
          <w:rFonts w:hint="cs"/>
          <w:rtl/>
        </w:rPr>
        <w:t xml:space="preserve">. רפאל קובעת את שיעור ההשלמה לפי היחס </w:t>
      </w:r>
      <w:r>
        <w:rPr>
          <w:rFonts w:hint="cs"/>
          <w:rtl/>
        </w:rPr>
        <w:t xml:space="preserve">בין </w:t>
      </w:r>
      <w:r w:rsidRPr="00D94367">
        <w:rPr>
          <w:rFonts w:hint="cs"/>
          <w:rtl/>
        </w:rPr>
        <w:t xml:space="preserve">התשומות שהושקעו עד למועד הדיווח </w:t>
      </w:r>
      <w:r>
        <w:rPr>
          <w:rFonts w:hint="cs"/>
          <w:rtl/>
        </w:rPr>
        <w:t xml:space="preserve">ובין </w:t>
      </w:r>
      <w:r w:rsidRPr="00D94367">
        <w:rPr>
          <w:rFonts w:hint="cs"/>
          <w:rtl/>
        </w:rPr>
        <w:t>אומדן סך עלויות החוזה.</w:t>
      </w:r>
      <w:r w:rsidRPr="00D94367">
        <w:rPr>
          <w:rtl/>
        </w:rPr>
        <w:t xml:space="preserve"> רפאל מציינת בדוחותיה הכספיים כי אמידה שגויה של האומדנים </w:t>
      </w:r>
      <w:r w:rsidRPr="00D94367">
        <w:rPr>
          <w:rtl/>
        </w:rPr>
        <w:t>עשויה להביא בין היתר לגידול או לקיטון בהכנסות וברווח הגולמי שיוכרו בדוחותיה הכספיים לאורך תקופת החוזה.</w:t>
      </w:r>
    </w:p>
    <w:p w:rsidR="00C149B0" w:rsidRPr="00D94367" w:rsidP="005E450C" w14:paraId="536B562A" w14:textId="77777777">
      <w:pPr>
        <w:pStyle w:val="7392"/>
        <w:rPr>
          <w:rtl/>
        </w:rPr>
      </w:pPr>
      <w:r w:rsidRPr="008C748E">
        <w:rPr>
          <w:rFonts w:hint="cs"/>
          <w:rtl/>
          <w:lang w:eastAsia="he-IL"/>
        </w:rPr>
        <w:t>להלן מובא תרשים המפרט את שיעור ההכנסות ממכירות שהוכרו לפי שיטת שיעור</w:t>
      </w:r>
      <w:r w:rsidRPr="00D94367">
        <w:rPr>
          <w:rFonts w:hint="cs"/>
          <w:rtl/>
        </w:rPr>
        <w:t xml:space="preserve"> ההשלמה בשנים 2016 - 2021</w:t>
      </w:r>
      <w:r>
        <w:rPr>
          <w:rStyle w:val="FootnoteReference0"/>
          <w:rtl/>
        </w:rPr>
        <w:footnoteReference w:id="21"/>
      </w:r>
      <w:r w:rsidRPr="00D94367">
        <w:rPr>
          <w:rFonts w:hint="cs"/>
          <w:rtl/>
        </w:rPr>
        <w:t>:</w:t>
      </w:r>
    </w:p>
    <w:p w:rsidR="00C149B0" w:rsidRPr="005E450C" w:rsidP="005E450C" w14:paraId="318C5924" w14:textId="47580ECE">
      <w:pPr>
        <w:pStyle w:val="734"/>
        <w:rPr>
          <w:rtl/>
        </w:rPr>
      </w:pPr>
      <w:r w:rsidRPr="005E450C">
        <w:rPr>
          <w:rFonts w:hint="eastAsia"/>
          <w:b w:val="0"/>
          <w:bCs w:val="0"/>
          <w:rtl/>
        </w:rPr>
        <w:t>תרשים</w:t>
      </w:r>
      <w:r w:rsidRPr="005E450C">
        <w:rPr>
          <w:b w:val="0"/>
          <w:bCs w:val="0"/>
          <w:rtl/>
        </w:rPr>
        <w:t xml:space="preserve"> 2:</w:t>
      </w:r>
      <w:r w:rsidRPr="005E450C">
        <w:rPr>
          <w:rFonts w:hint="cs"/>
          <w:rtl/>
        </w:rPr>
        <w:t xml:space="preserve"> שיעור ההכרה בהכנסות ממכירות לפי שיטת שיעור ההשלמה,</w:t>
      </w:r>
      <w:r w:rsidR="005E450C">
        <w:rPr>
          <w:rtl/>
        </w:rPr>
        <w:br/>
      </w:r>
      <w:r w:rsidRPr="005E450C">
        <w:rPr>
          <w:rFonts w:hint="cs"/>
          <w:rtl/>
        </w:rPr>
        <w:t>2016 - 2021</w:t>
      </w:r>
    </w:p>
    <w:p w:rsidR="00C149B0" w:rsidRPr="00534833" w:rsidP="00C149B0" w14:paraId="70448E25" w14:textId="77777777">
      <w:pPr>
        <w:spacing w:line="269" w:lineRule="auto"/>
        <w:jc w:val="center"/>
        <w:rPr>
          <w:rtl/>
          <w:lang w:eastAsia="he-IL"/>
        </w:rPr>
      </w:pPr>
      <w:r w:rsidRPr="00534833">
        <w:rPr>
          <w:noProof/>
          <w:szCs w:val="20"/>
          <w:rtl/>
        </w:rPr>
        <w:drawing>
          <wp:inline distT="0" distB="0" distL="0" distR="0">
            <wp:extent cx="4145670" cy="2568102"/>
            <wp:effectExtent l="0" t="0" r="0" b="0"/>
            <wp:docPr id="1451066625" name="תמונה 1451066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25" name="תמונה 1451066625"/>
                    <pic:cNvPicPr>
                      <a:picLocks noChangeAspect="1" noChangeArrowheads="1"/>
                    </pic:cNvPicPr>
                  </pic:nvPicPr>
                  <pic:blipFill>
                    <a:blip xmlns:r="http://schemas.openxmlformats.org/officeDocument/2006/relationships" r:embed="rId31">
                      <a:extLst>
                        <a:ext xmlns:a="http://schemas.openxmlformats.org/drawingml/2006/main" uri="{28A0092B-C50C-407E-A947-70E740481C1C}">
                          <a14:useLocalDpi xmlns:a14="http://schemas.microsoft.com/office/drawing/2010/main" val="0"/>
                        </a:ext>
                      </a:extLst>
                    </a:blip>
                    <a:srcRect t="851" b="851"/>
                    <a:stretch>
                      <a:fillRect/>
                    </a:stretch>
                  </pic:blipFill>
                  <pic:spPr bwMode="auto">
                    <a:xfrm>
                      <a:off x="0" y="0"/>
                      <a:ext cx="4205089" cy="260491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C149B0" w:rsidRPr="005E450C" w:rsidP="005E450C" w14:paraId="110E1A01" w14:textId="77777777">
      <w:pPr>
        <w:pStyle w:val="738"/>
        <w:rPr>
          <w:rtl/>
        </w:rPr>
      </w:pPr>
      <w:r w:rsidRPr="005E450C">
        <w:rPr>
          <w:rFonts w:hint="cs"/>
          <w:rtl/>
        </w:rPr>
        <w:t>המקור: מסמכי רפאל.</w:t>
      </w:r>
    </w:p>
    <w:p w:rsidR="00C149B0" w:rsidRPr="005E450C" w:rsidP="005E450C" w14:paraId="650855E1" w14:textId="77777777">
      <w:pPr>
        <w:pStyle w:val="7318"/>
        <w:rPr>
          <w:rtl/>
        </w:rPr>
      </w:pPr>
      <w:r w:rsidRPr="005E450C">
        <w:rPr>
          <w:rFonts w:hint="cs"/>
          <w:rtl/>
        </w:rPr>
        <w:t xml:space="preserve">מהתרשים עולה כי שיעורן של ההכנסות ממכירות שרשמה רפאל בממוצע בשנים </w:t>
      </w:r>
      <w:r w:rsidRPr="005E450C">
        <w:rPr>
          <w:rtl/>
        </w:rPr>
        <w:br/>
      </w:r>
      <w:r w:rsidRPr="005E450C">
        <w:rPr>
          <w:rFonts w:hint="cs"/>
          <w:rtl/>
        </w:rPr>
        <w:t>2016 - 2021 לפי שיעור ההשלמה היה כ-61%; כי בשנים 2018 - 2021 הייתה עלייה של כ-</w:t>
      </w:r>
      <w:r w:rsidRPr="005E450C">
        <w:t>18%</w:t>
      </w:r>
      <w:r w:rsidRPr="005E450C">
        <w:rPr>
          <w:rFonts w:hint="cs"/>
          <w:rtl/>
        </w:rPr>
        <w:t xml:space="preserve"> בשיעור זה; וכי בשנת 2021 היה שיעור ההכנסות ממכירות המוכרות על פי שיטה זו כ-71% מכלל ההכנסות מהמכירות. </w:t>
      </w:r>
    </w:p>
    <w:p w:rsidR="00C149B0" w:rsidRPr="00B431F9" w:rsidP="00B431F9" w14:paraId="4A9A4108" w14:textId="77777777">
      <w:pPr>
        <w:pStyle w:val="73414"/>
        <w:rPr>
          <w:rtl/>
        </w:rPr>
      </w:pPr>
      <w:r w:rsidRPr="00B431F9">
        <w:rPr>
          <w:rFonts w:hint="cs"/>
          <w:rtl/>
        </w:rPr>
        <w:t xml:space="preserve">הכנסות מהמכירות בדוחות המאוחדים </w:t>
      </w:r>
    </w:p>
    <w:p w:rsidR="00C149B0" w:rsidRPr="005E450C" w:rsidP="005E450C" w14:paraId="1ABDA9F9" w14:textId="77777777">
      <w:pPr>
        <w:pStyle w:val="7392"/>
        <w:rPr>
          <w:rtl/>
        </w:rPr>
      </w:pPr>
      <w:r w:rsidRPr="005E450C">
        <w:rPr>
          <w:rFonts w:hint="cs"/>
          <w:rtl/>
        </w:rPr>
        <w:t xml:space="preserve">הדוחות הכספיים המאוחדים מציגים את תוצאותיה הכספיות של החברה המדווחת וחברות הבנות שלה כיחידה כלכלית אחת, ללא הפרדה בין פריטים כספיים המוחזקים על ידי החברה המדווחת עצמה לבין פריטים המוחזקים על ידי החברות הבנות שלה. המידע בדוחות הכספיים המאוחדים מאפשר הבנה וניתוח של פעילות הקבוצה כיחידה כלכלית אחת. </w:t>
      </w:r>
    </w:p>
    <w:p w:rsidR="00C149B0" w:rsidRPr="005E450C" w:rsidP="005E450C" w14:paraId="792E75AB" w14:textId="77777777">
      <w:pPr>
        <w:pStyle w:val="7392"/>
        <w:rPr>
          <w:rtl/>
        </w:rPr>
      </w:pPr>
      <w:r w:rsidRPr="005E450C">
        <w:rPr>
          <w:rFonts w:hint="cs"/>
          <w:rtl/>
        </w:rPr>
        <w:t xml:space="preserve">להלן יוצגו נתונים בדבר ההכנסות של קבוצת רפאל ממכירות בשנים 2017 </w:t>
      </w:r>
      <w:r w:rsidRPr="005E450C">
        <w:rPr>
          <w:rtl/>
        </w:rPr>
        <w:t>-</w:t>
      </w:r>
      <w:r w:rsidRPr="005E450C">
        <w:rPr>
          <w:rFonts w:hint="cs"/>
          <w:rtl/>
        </w:rPr>
        <w:t xml:space="preserve"> 2021. הנתונים יוצגו גם בנטרול תוצאותיהן הכספיות של </w:t>
      </w:r>
      <w:r w:rsidRPr="005E450C">
        <w:rPr>
          <w:rFonts w:hint="cs"/>
          <w:rtl/>
        </w:rPr>
        <w:t>אירונאוטיקס</w:t>
      </w:r>
      <w:r w:rsidRPr="005E450C">
        <w:rPr>
          <w:rFonts w:hint="cs"/>
          <w:rtl/>
        </w:rPr>
        <w:t xml:space="preserve"> </w:t>
      </w:r>
      <w:r w:rsidRPr="005E450C">
        <w:rPr>
          <w:rFonts w:hint="cs"/>
          <w:rtl/>
        </w:rPr>
        <w:t>וקונטרופ</w:t>
      </w:r>
      <w:r w:rsidRPr="005E450C">
        <w:rPr>
          <w:rFonts w:hint="cs"/>
          <w:rtl/>
        </w:rPr>
        <w:t xml:space="preserve"> מהתוצאות הכספיות המאוחדות של קבוצת רפאל כפי שהוצגו בדוחות הכספיים, וזאת לשם ניתוח המגמות העולות מפעילותה בשנים 2017 - 2021. </w:t>
      </w:r>
    </w:p>
    <w:bookmarkEnd w:id="13"/>
    <w:p w:rsidR="00C149B0" w:rsidRPr="005E450C" w:rsidP="005E450C" w14:paraId="06651484" w14:textId="77777777">
      <w:pPr>
        <w:pStyle w:val="734"/>
        <w:rPr>
          <w:rtl/>
        </w:rPr>
      </w:pPr>
      <w:r w:rsidRPr="005E450C">
        <w:rPr>
          <w:rFonts w:hint="eastAsia"/>
          <w:b w:val="0"/>
          <w:bCs w:val="0"/>
          <w:rtl/>
        </w:rPr>
        <w:t>תרשים</w:t>
      </w:r>
      <w:r w:rsidRPr="005E450C">
        <w:rPr>
          <w:b w:val="0"/>
          <w:bCs w:val="0"/>
          <w:rtl/>
        </w:rPr>
        <w:t xml:space="preserve"> 3:</w:t>
      </w:r>
      <w:r w:rsidRPr="005E450C">
        <w:rPr>
          <w:rtl/>
        </w:rPr>
        <w:t xml:space="preserve"> </w:t>
      </w:r>
      <w:r w:rsidRPr="005E450C">
        <w:rPr>
          <w:rFonts w:hint="cs"/>
          <w:rtl/>
        </w:rPr>
        <w:t>הכנסות ממכירות קבוצת רפאל, 2017</w:t>
      </w:r>
      <w:r w:rsidRPr="005E450C">
        <w:rPr>
          <w:rtl/>
        </w:rPr>
        <w:t xml:space="preserve"> - </w:t>
      </w:r>
      <w:r w:rsidRPr="005E450C">
        <w:rPr>
          <w:rFonts w:hint="cs"/>
          <w:rtl/>
        </w:rPr>
        <w:t>2021</w:t>
      </w:r>
      <w:r w:rsidRPr="005E450C">
        <w:rPr>
          <w:rtl/>
        </w:rPr>
        <w:t xml:space="preserve"> </w:t>
      </w:r>
      <w:r w:rsidRPr="005E450C">
        <w:rPr>
          <w:rFonts w:hint="cs"/>
          <w:rtl/>
        </w:rPr>
        <w:t>(במיליוני</w:t>
      </w:r>
      <w:r w:rsidRPr="005E450C">
        <w:rPr>
          <w:rtl/>
        </w:rPr>
        <w:t xml:space="preserve"> ש"ח</w:t>
      </w:r>
      <w:r w:rsidRPr="005E450C">
        <w:rPr>
          <w:rFonts w:hint="cs"/>
          <w:rtl/>
        </w:rPr>
        <w:t>)</w:t>
      </w:r>
    </w:p>
    <w:p w:rsidR="00C149B0" w:rsidP="00C149B0" w14:paraId="6ED0B4F0" w14:textId="77777777">
      <w:pPr>
        <w:tabs>
          <w:tab w:val="left" w:pos="567"/>
          <w:tab w:val="left" w:pos="851"/>
        </w:tabs>
        <w:spacing w:line="269" w:lineRule="auto"/>
        <w:ind w:firstLine="21"/>
        <w:jc w:val="center"/>
        <w:rPr>
          <w:rtl/>
        </w:rPr>
      </w:pPr>
      <w:r>
        <w:rPr>
          <w:noProof/>
        </w:rPr>
        <w:drawing>
          <wp:inline distT="0" distB="0" distL="0" distR="0">
            <wp:extent cx="4679949" cy="2168756"/>
            <wp:effectExtent l="0" t="0" r="0" b="0"/>
            <wp:docPr id="36" name="תמונה 2">
              <a:extLst xmlns:a="http://schemas.openxmlformats.org/drawingml/2006/main">
                <a:ext xmlns:a="http://schemas.openxmlformats.org/drawingml/2006/main" uri="{FF2B5EF4-FFF2-40B4-BE49-F238E27FC236}">
                  <a16:creationId xmlns:a16="http://schemas.microsoft.com/office/drawing/2014/main" id="{33210379-8359-49BD-BC66-0A37A72256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תמונה 2">
                      <a:extLst>
                        <a:ext xmlns:a="http://schemas.openxmlformats.org/drawingml/2006/main" uri="{FF2B5EF4-FFF2-40B4-BE49-F238E27FC236}">
                          <a16:creationId xmlns:a16="http://schemas.microsoft.com/office/drawing/2014/main" id="{33210379-8359-49BD-BC66-0A37A7225687}"/>
                        </a:ext>
                      </a:extLst>
                    </pic:cNvPr>
                    <pic:cNvPicPr>
                      <a:picLocks noChangeAspect="1"/>
                    </pic:cNvPicPr>
                  </pic:nvPicPr>
                  <pic:blipFill>
                    <a:blip xmlns:r="http://schemas.openxmlformats.org/officeDocument/2006/relationships" r:embed="rId32">
                      <a:extLst>
                        <a:ext xmlns:a="http://schemas.openxmlformats.org/drawingml/2006/main" uri="{28A0092B-C50C-407E-A947-70E740481C1C}">
                          <a14:useLocalDpi xmlns:a14="http://schemas.microsoft.com/office/drawing/2010/main" val="0"/>
                        </a:ext>
                      </a:extLst>
                    </a:blip>
                    <a:stretch>
                      <a:fillRect/>
                    </a:stretch>
                  </pic:blipFill>
                  <pic:spPr>
                    <a:xfrm>
                      <a:off x="0" y="0"/>
                      <a:ext cx="4679949" cy="2168756"/>
                    </a:xfrm>
                    <a:prstGeom prst="rect">
                      <a:avLst/>
                    </a:prstGeom>
                  </pic:spPr>
                </pic:pic>
              </a:graphicData>
            </a:graphic>
          </wp:inline>
        </w:drawing>
      </w:r>
    </w:p>
    <w:p w:rsidR="00C149B0" w:rsidRPr="00D94367" w:rsidP="005E450C" w14:paraId="57BA42BD" w14:textId="77777777">
      <w:pPr>
        <w:pStyle w:val="738"/>
        <w:rPr>
          <w:rtl/>
        </w:rPr>
      </w:pPr>
      <w:r w:rsidRPr="00D94367">
        <w:rPr>
          <w:rFonts w:hint="cs"/>
          <w:rtl/>
        </w:rPr>
        <w:t>לפי</w:t>
      </w:r>
      <w:r w:rsidRPr="00D94367">
        <w:rPr>
          <w:rtl/>
        </w:rPr>
        <w:t xml:space="preserve"> הדוחות </w:t>
      </w:r>
      <w:r w:rsidRPr="00D94367">
        <w:rPr>
          <w:rFonts w:hint="cs"/>
          <w:rtl/>
        </w:rPr>
        <w:t>הכספיים</w:t>
      </w:r>
      <w:r w:rsidRPr="00D94367">
        <w:rPr>
          <w:rtl/>
        </w:rPr>
        <w:t xml:space="preserve"> </w:t>
      </w:r>
      <w:r w:rsidRPr="00D94367">
        <w:rPr>
          <w:rFonts w:hint="cs"/>
          <w:rtl/>
        </w:rPr>
        <w:t xml:space="preserve">של </w:t>
      </w:r>
      <w:r w:rsidRPr="00D94367">
        <w:rPr>
          <w:rtl/>
        </w:rPr>
        <w:t>רפאל</w:t>
      </w:r>
      <w:r w:rsidRPr="00D94367">
        <w:rPr>
          <w:rFonts w:hint="cs"/>
          <w:rtl/>
        </w:rPr>
        <w:t xml:space="preserve"> לשנים</w:t>
      </w:r>
      <w:r w:rsidRPr="00D94367">
        <w:rPr>
          <w:rtl/>
        </w:rPr>
        <w:t xml:space="preserve"> </w:t>
      </w:r>
      <w:r w:rsidRPr="00D94367">
        <w:rPr>
          <w:rFonts w:hint="cs"/>
          <w:rtl/>
        </w:rPr>
        <w:t>2017 - 2021, בעיבוד משרד מבקר המדינה</w:t>
      </w:r>
      <w:r>
        <w:rPr>
          <w:rFonts w:hint="cs"/>
          <w:rtl/>
        </w:rPr>
        <w:t>.</w:t>
      </w:r>
    </w:p>
    <w:p w:rsidR="00C149B0" w:rsidRPr="005E450C" w:rsidP="005E450C" w14:paraId="1F9F27B3" w14:textId="77777777">
      <w:pPr>
        <w:pStyle w:val="7318"/>
        <w:rPr>
          <w:rtl/>
        </w:rPr>
      </w:pPr>
      <w:r w:rsidRPr="005E450C">
        <w:rPr>
          <w:rtl/>
        </w:rPr>
        <w:t>מהתרשי</w:t>
      </w:r>
      <w:r w:rsidRPr="005E450C">
        <w:rPr>
          <w:rFonts w:hint="cs"/>
          <w:rtl/>
        </w:rPr>
        <w:t xml:space="preserve">ם </w:t>
      </w:r>
      <w:r w:rsidRPr="005E450C">
        <w:rPr>
          <w:rtl/>
        </w:rPr>
        <w:t xml:space="preserve">לעיל עולה כי בשנים </w:t>
      </w:r>
      <w:r w:rsidRPr="005E450C">
        <w:rPr>
          <w:rFonts w:hint="cs"/>
          <w:rtl/>
        </w:rPr>
        <w:t>2017</w:t>
      </w:r>
      <w:r w:rsidRPr="005E450C">
        <w:rPr>
          <w:rtl/>
        </w:rPr>
        <w:t xml:space="preserve"> - </w:t>
      </w:r>
      <w:r w:rsidRPr="005E450C">
        <w:rPr>
          <w:rFonts w:hint="cs"/>
          <w:rtl/>
        </w:rPr>
        <w:t>2019</w:t>
      </w:r>
      <w:r w:rsidRPr="005E450C">
        <w:rPr>
          <w:rtl/>
        </w:rPr>
        <w:t xml:space="preserve"> גדלו </w:t>
      </w:r>
      <w:r w:rsidRPr="005E450C">
        <w:rPr>
          <w:rFonts w:hint="cs"/>
          <w:rtl/>
        </w:rPr>
        <w:t>ה</w:t>
      </w:r>
      <w:r w:rsidRPr="005E450C">
        <w:rPr>
          <w:rtl/>
        </w:rPr>
        <w:t>כנסות</w:t>
      </w:r>
      <w:r w:rsidRPr="005E450C">
        <w:rPr>
          <w:rFonts w:hint="cs"/>
          <w:rtl/>
        </w:rPr>
        <w:t xml:space="preserve">יה של קבוצת רפאל ממכירות </w:t>
      </w:r>
      <w:r w:rsidRPr="005E450C">
        <w:rPr>
          <w:rtl/>
        </w:rPr>
        <w:t>בשיעור שנתי ממוצע של</w:t>
      </w:r>
      <w:r w:rsidRPr="005E450C">
        <w:rPr>
          <w:rFonts w:hint="cs"/>
          <w:rtl/>
        </w:rPr>
        <w:t xml:space="preserve"> כ-</w:t>
      </w:r>
      <w:r w:rsidRPr="005E450C">
        <w:t>9%</w:t>
      </w:r>
      <w:r w:rsidRPr="005E450C">
        <w:rPr>
          <w:rFonts w:hint="cs"/>
          <w:rtl/>
        </w:rPr>
        <w:t>, ושיעור הביצוע התקציבי השנתי הממוצע היה כ-100%; וכי בשנים 2020 ו-2021 ירדו ההכנסות ממכירות בשיעורים של כ-3% וכ-1% בהתאמה. בשנים אלו לא עמדה קבוצת רפאל באופן מלא ביעדי התקציב.</w:t>
      </w:r>
    </w:p>
    <w:p w:rsidR="00C149B0" w:rsidRPr="005E450C" w:rsidP="005E450C" w14:paraId="37C2CC1A" w14:textId="77777777">
      <w:pPr>
        <w:pStyle w:val="7318"/>
        <w:rPr>
          <w:rtl/>
        </w:rPr>
      </w:pPr>
      <w:r w:rsidRPr="005E450C">
        <w:rPr>
          <w:rFonts w:hint="cs"/>
          <w:rtl/>
        </w:rPr>
        <w:t xml:space="preserve">עוד עולה מהתרשים כי התרומה השולית להכנסות ממכירות בשנת 2021 הנובעת מאיחודן לראשונה של </w:t>
      </w:r>
      <w:r w:rsidRPr="005E450C">
        <w:rPr>
          <w:rFonts w:hint="cs"/>
          <w:rtl/>
        </w:rPr>
        <w:t>אירונאוטיקס</w:t>
      </w:r>
      <w:r w:rsidRPr="005E450C">
        <w:rPr>
          <w:rFonts w:hint="cs"/>
          <w:rtl/>
        </w:rPr>
        <w:t xml:space="preserve"> </w:t>
      </w:r>
      <w:r w:rsidRPr="005E450C">
        <w:rPr>
          <w:rFonts w:hint="cs"/>
          <w:rtl/>
        </w:rPr>
        <w:t>וקונטרופ</w:t>
      </w:r>
      <w:r w:rsidRPr="005E450C">
        <w:rPr>
          <w:rFonts w:hint="cs"/>
          <w:rtl/>
        </w:rPr>
        <w:t xml:space="preserve"> הייתה בסך של כ-560 מיליון ש"ח </w:t>
      </w:r>
      <w:r w:rsidRPr="005E450C">
        <w:rPr>
          <w:rtl/>
        </w:rPr>
        <w:br/>
      </w:r>
      <w:r w:rsidRPr="005E450C">
        <w:rPr>
          <w:rFonts w:hint="cs"/>
          <w:rtl/>
        </w:rPr>
        <w:t>(כ-5.6% מכלל הכנסות ממכירות הקבוצה); וכי על אף הירידה בהכנסות הקבוצה בשנת 2021 בשיעור של 1% כמתואר לעיל, שיעור הצמיחה בהכנסות מהמכירות של הקבוצה היה 5% בעקבות האיחוד האמור.</w:t>
      </w:r>
    </w:p>
    <w:p w:rsidR="00C149B0" w:rsidRPr="005E450C" w:rsidP="005E450C" w14:paraId="471CE5A0" w14:textId="77777777">
      <w:pPr>
        <w:pStyle w:val="7392"/>
        <w:rPr>
          <w:rtl/>
        </w:rPr>
      </w:pPr>
      <w:r w:rsidRPr="005E450C">
        <w:rPr>
          <w:rFonts w:hint="cs"/>
          <w:rtl/>
        </w:rPr>
        <w:t>בדיון לסיכום שנת 2021 והצגת הדוחות הכספיים לשנה זו של ועדת כספים והשקעות של דירקטוריון רפאל ב-22.3.22 הסביר מנכ"ל רפאל כי הירידה במכירות החברה בשנה זו נובעת בעיקר מקשיים תפעוליים בשרשרת האספקה בחברות הבנות המשמשות קבלני משנה לרפאל.</w:t>
      </w:r>
    </w:p>
    <w:p w:rsidR="00C149B0" w:rsidRPr="005E450C" w:rsidP="005E450C" w14:paraId="3AA1FF58" w14:textId="77777777">
      <w:pPr>
        <w:pStyle w:val="7318"/>
        <w:rPr>
          <w:rtl/>
        </w:rPr>
      </w:pPr>
      <w:r w:rsidRPr="005E450C">
        <w:rPr>
          <w:rFonts w:hint="cs"/>
          <w:rtl/>
        </w:rPr>
        <w:t>מומלץ כי הנהלת רפאל תבחן את הצעדים הנדרשים כדי להביא את הקבוצה לעמידה ביעדי ההכנסות ממכירות הנקבעים בתקציב.</w:t>
      </w:r>
    </w:p>
    <w:p w:rsidR="00C149B0" w:rsidRPr="00B431F9" w:rsidP="00B431F9" w14:paraId="73CDB319" w14:textId="77777777">
      <w:pPr>
        <w:pStyle w:val="73414"/>
        <w:rPr>
          <w:rtl/>
        </w:rPr>
      </w:pPr>
      <w:r w:rsidRPr="00B431F9">
        <w:rPr>
          <w:rFonts w:hint="cs"/>
          <w:rtl/>
        </w:rPr>
        <w:t>הכנסות ממכירות בדוחות סולו</w:t>
      </w:r>
    </w:p>
    <w:p w:rsidR="00C149B0" w:rsidRPr="005E450C" w:rsidP="005E450C" w14:paraId="355CC802" w14:textId="77777777">
      <w:pPr>
        <w:pStyle w:val="7392"/>
        <w:rPr>
          <w:rtl/>
        </w:rPr>
      </w:pPr>
      <w:r w:rsidRPr="005E450C">
        <w:rPr>
          <w:rFonts w:hint="cs"/>
          <w:rtl/>
        </w:rPr>
        <w:t>המידע הניתן במסגרת הדוחות הכספים של החברה כישות משפטית נפרדת (מידע כספי על החברה ברמת "סולו") עשוי להביא למשתמשים בדוחות כספיים אלה תועלת רבה בהערכת מצבה הפיננסי ויכולתה של החברה לעמוד בהתחייבויותיה הפיננסיות. הדבר חשוב כי בשל עקרון הישות המשפטית הנפרדת, בעלי התחייבות, וכן כל הנושים האחרים, לא יוכלו בדרך כלל להיפרע בגין חובם במישרין מנכסי חברות אחרות בקבוצת החברה האם.</w:t>
      </w:r>
    </w:p>
    <w:p w:rsidR="00C149B0" w:rsidRPr="005E450C" w:rsidP="005E450C" w14:paraId="4371CD5E" w14:textId="77777777">
      <w:pPr>
        <w:pStyle w:val="7392"/>
        <w:rPr>
          <w:rtl/>
        </w:rPr>
      </w:pPr>
      <w:r w:rsidRPr="005E450C">
        <w:rPr>
          <w:rFonts w:hint="cs"/>
          <w:rtl/>
        </w:rPr>
        <w:t xml:space="preserve">בתוכנית האסטרטגית של החברה משנת 2016 נקבע יעד ולפיו רפאל (סולו) תשמור על קצב צמיחה יציב במכירותיה בשיעור של לפחות 5% בכל שנה. </w:t>
      </w:r>
    </w:p>
    <w:p w:rsidR="00C149B0" w:rsidRPr="005E450C" w:rsidP="005E450C" w14:paraId="7FE0646A" w14:textId="77777777">
      <w:pPr>
        <w:pStyle w:val="7392"/>
        <w:rPr>
          <w:rtl/>
        </w:rPr>
      </w:pPr>
      <w:r w:rsidRPr="005E450C">
        <w:rPr>
          <w:rFonts w:hint="cs"/>
          <w:rtl/>
        </w:rPr>
        <w:t xml:space="preserve">להלן יוצגו נתונים לגבי </w:t>
      </w:r>
      <w:r w:rsidRPr="005E450C">
        <w:rPr>
          <w:rtl/>
        </w:rPr>
        <w:t>ההכנסות</w:t>
      </w:r>
      <w:r w:rsidRPr="005E450C">
        <w:rPr>
          <w:rFonts w:hint="cs"/>
          <w:rtl/>
        </w:rPr>
        <w:t xml:space="preserve"> </w:t>
      </w:r>
      <w:r w:rsidRPr="005E450C">
        <w:rPr>
          <w:rtl/>
        </w:rPr>
        <w:t xml:space="preserve">ממכירות של רפאל בשנים 2017 - 2021 </w:t>
      </w:r>
      <w:r w:rsidRPr="005E450C">
        <w:rPr>
          <w:rFonts w:hint="cs"/>
          <w:rtl/>
        </w:rPr>
        <w:t>כפי שדווחו בדוחות הכספיים (סולו)</w:t>
      </w:r>
      <w:r>
        <w:rPr>
          <w:vertAlign w:val="superscript"/>
          <w:rtl/>
        </w:rPr>
        <w:footnoteReference w:id="22"/>
      </w:r>
      <w:r w:rsidRPr="005E450C">
        <w:rPr>
          <w:rFonts w:hint="cs"/>
          <w:rtl/>
        </w:rPr>
        <w:t xml:space="preserve"> לעומת </w:t>
      </w:r>
      <w:r w:rsidRPr="005E450C">
        <w:rPr>
          <w:rtl/>
        </w:rPr>
        <w:t>יעדי המכירות</w:t>
      </w:r>
      <w:r w:rsidRPr="005E450C">
        <w:rPr>
          <w:rFonts w:hint="cs"/>
          <w:rtl/>
        </w:rPr>
        <w:t xml:space="preserve"> שנכללו בתוכנית האסטרטגית שלה.</w:t>
      </w:r>
    </w:p>
    <w:p w:rsidR="00C149B0" w:rsidRPr="005E450C" w:rsidP="005E450C" w14:paraId="5E792B78" w14:textId="77777777">
      <w:pPr>
        <w:pStyle w:val="734"/>
        <w:rPr>
          <w:rtl/>
        </w:rPr>
      </w:pPr>
      <w:r w:rsidRPr="005E450C">
        <w:rPr>
          <w:rFonts w:hint="eastAsia"/>
          <w:b w:val="0"/>
          <w:bCs w:val="0"/>
          <w:rtl/>
        </w:rPr>
        <w:t>תרשים</w:t>
      </w:r>
      <w:r w:rsidRPr="005E450C">
        <w:rPr>
          <w:b w:val="0"/>
          <w:bCs w:val="0"/>
          <w:rtl/>
        </w:rPr>
        <w:t xml:space="preserve"> 4:</w:t>
      </w:r>
      <w:r w:rsidRPr="005E450C">
        <w:rPr>
          <w:rFonts w:hint="cs"/>
          <w:rtl/>
        </w:rPr>
        <w:t xml:space="preserve"> הכנסות ממכירות רפאל (סולו), 2017</w:t>
      </w:r>
      <w:r w:rsidRPr="005E450C">
        <w:rPr>
          <w:rtl/>
        </w:rPr>
        <w:t xml:space="preserve"> - </w:t>
      </w:r>
      <w:r w:rsidRPr="005E450C">
        <w:rPr>
          <w:rFonts w:hint="cs"/>
          <w:rtl/>
        </w:rPr>
        <w:t>2021</w:t>
      </w:r>
      <w:r w:rsidRPr="005E450C">
        <w:rPr>
          <w:rtl/>
        </w:rPr>
        <w:t xml:space="preserve"> </w:t>
      </w:r>
      <w:r w:rsidRPr="005E450C">
        <w:rPr>
          <w:rFonts w:hint="cs"/>
          <w:rtl/>
        </w:rPr>
        <w:t>(במיליוני</w:t>
      </w:r>
      <w:r w:rsidRPr="005E450C">
        <w:rPr>
          <w:rtl/>
        </w:rPr>
        <w:t xml:space="preserve"> ש"ח</w:t>
      </w:r>
      <w:r w:rsidRPr="005E450C">
        <w:rPr>
          <w:rFonts w:hint="cs"/>
          <w:rtl/>
        </w:rPr>
        <w:t>)</w:t>
      </w:r>
    </w:p>
    <w:p w:rsidR="00C149B0" w:rsidRPr="00EC57A2" w:rsidP="00C149B0" w14:paraId="69858943" w14:textId="77777777">
      <w:pPr>
        <w:tabs>
          <w:tab w:val="left" w:pos="567"/>
          <w:tab w:val="left" w:pos="851"/>
        </w:tabs>
        <w:spacing w:line="269" w:lineRule="auto"/>
        <w:jc w:val="center"/>
        <w:rPr>
          <w:b/>
          <w:bCs/>
          <w:rtl/>
        </w:rPr>
      </w:pPr>
      <w:r>
        <w:rPr>
          <w:b/>
          <w:bCs/>
          <w:noProof/>
        </w:rPr>
        <w:drawing>
          <wp:inline distT="0" distB="0" distL="0" distR="0">
            <wp:extent cx="4275748" cy="2294304"/>
            <wp:effectExtent l="0" t="0" r="0" b="0"/>
            <wp:docPr id="1451066626" name="תמונה 1451066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26" name="תמונה 1451066626"/>
                    <pic:cNvPicPr>
                      <a:picLocks noChangeAspect="1" noChangeArrowheads="1"/>
                    </pic:cNvPicPr>
                  </pic:nvPicPr>
                  <pic:blipFill>
                    <a:blip xmlns:r="http://schemas.openxmlformats.org/officeDocument/2006/relationships" r:embed="rId33">
                      <a:extLst>
                        <a:ext xmlns:a="http://schemas.openxmlformats.org/drawingml/2006/main" uri="{28A0092B-C50C-407E-A947-70E740481C1C}">
                          <a14:useLocalDpi xmlns:a14="http://schemas.microsoft.com/office/drawing/2010/main" val="0"/>
                        </a:ext>
                      </a:extLst>
                    </a:blip>
                    <a:stretch>
                      <a:fillRect/>
                    </a:stretch>
                  </pic:blipFill>
                  <pic:spPr bwMode="auto">
                    <a:xfrm>
                      <a:off x="0" y="0"/>
                      <a:ext cx="4275748" cy="2294304"/>
                    </a:xfrm>
                    <a:prstGeom prst="rect">
                      <a:avLst/>
                    </a:prstGeom>
                    <a:noFill/>
                  </pic:spPr>
                </pic:pic>
              </a:graphicData>
            </a:graphic>
          </wp:inline>
        </w:drawing>
      </w:r>
    </w:p>
    <w:p w:rsidR="00C149B0" w:rsidRPr="005E450C" w:rsidP="005E450C" w14:paraId="42EFB40B" w14:textId="77777777">
      <w:pPr>
        <w:pStyle w:val="738"/>
        <w:rPr>
          <w:rtl/>
        </w:rPr>
      </w:pPr>
      <w:r w:rsidRPr="005E450C">
        <w:rPr>
          <w:rFonts w:hint="cs"/>
          <w:rtl/>
        </w:rPr>
        <w:t>לפי</w:t>
      </w:r>
      <w:r w:rsidRPr="005E450C">
        <w:rPr>
          <w:rtl/>
        </w:rPr>
        <w:t xml:space="preserve"> הדוחות </w:t>
      </w:r>
      <w:r w:rsidRPr="005E450C">
        <w:rPr>
          <w:rFonts w:hint="cs"/>
          <w:rtl/>
        </w:rPr>
        <w:t>הכספיים</w:t>
      </w:r>
      <w:r w:rsidRPr="005E450C">
        <w:rPr>
          <w:rtl/>
        </w:rPr>
        <w:t xml:space="preserve"> </w:t>
      </w:r>
      <w:r w:rsidRPr="005E450C">
        <w:rPr>
          <w:rFonts w:hint="cs"/>
          <w:rtl/>
        </w:rPr>
        <w:t xml:space="preserve">של </w:t>
      </w:r>
      <w:r w:rsidRPr="005E450C">
        <w:rPr>
          <w:rtl/>
        </w:rPr>
        <w:t>רפאל</w:t>
      </w:r>
      <w:r w:rsidRPr="005E450C">
        <w:rPr>
          <w:rFonts w:hint="cs"/>
          <w:rtl/>
        </w:rPr>
        <w:t xml:space="preserve"> לשנים</w:t>
      </w:r>
      <w:r w:rsidRPr="005E450C">
        <w:rPr>
          <w:rtl/>
        </w:rPr>
        <w:t xml:space="preserve"> </w:t>
      </w:r>
      <w:r w:rsidRPr="005E450C">
        <w:rPr>
          <w:rFonts w:hint="cs"/>
          <w:rtl/>
        </w:rPr>
        <w:t>2017 - 2021, בעיבוד משרד מבקר המדינה.</w:t>
      </w:r>
    </w:p>
    <w:p w:rsidR="00C149B0" w:rsidRPr="005E450C" w:rsidP="005E450C" w14:paraId="00DAE8A2" w14:textId="6FE6967A">
      <w:pPr>
        <w:pStyle w:val="7318"/>
        <w:rPr>
          <w:rtl/>
        </w:rPr>
      </w:pPr>
      <w:r w:rsidRPr="005E450C">
        <w:rPr>
          <w:rFonts w:hint="cs"/>
          <w:rtl/>
        </w:rPr>
        <w:t xml:space="preserve">מהתרשים עולה כי בשנים 2017 -2021 היה שיעור הצמיחה השנתי הממוצע של ההכנסות ממכירות כ-4%; שיעור הנמוך בכ-1% לעומת יעד הצמיחה (5% לשנה) שנקבע בתוכנית האסטרטגית - וזאת בעיקר בעקבות אי-עמידה ביעד הצמיחה בשנת 2021. עוד עולה כי בשנת 2018 צמחו ההכנסות ממכירות בדוחות הסולו של רפאל בשיעור של כ-14% לעומת השנה הקודמת; כי בשנת 2019 קטן שיעור הצמיחה והיה כ-4%; כי בשנת 2020 נרשמה צמיחה שלילית בשיעור של כ-1% לעומת שנת 2019; וכי בשנת 2021 לא צמחו הכנסותיה של רפאל מהמכירות לעומת השנה הקודמת. </w:t>
      </w:r>
      <w:r w:rsidRPr="005E450C">
        <w:rPr>
          <w:rFonts w:eastAsia="Calibri" w:hint="cs"/>
          <w:rtl/>
        </w:rPr>
        <w:t>כמו כן בביקורת עלה</w:t>
      </w:r>
      <w:r w:rsidRPr="005E450C">
        <w:rPr>
          <w:rFonts w:eastAsia="Calibri"/>
          <w:rtl/>
        </w:rPr>
        <w:t xml:space="preserve"> </w:t>
      </w:r>
      <w:r w:rsidRPr="005E450C">
        <w:rPr>
          <w:rFonts w:eastAsia="Calibri" w:hint="eastAsia"/>
          <w:rtl/>
        </w:rPr>
        <w:t>כי</w:t>
      </w:r>
      <w:r w:rsidRPr="005E450C">
        <w:rPr>
          <w:rFonts w:eastAsia="Calibri"/>
          <w:rtl/>
        </w:rPr>
        <w:t xml:space="preserve"> </w:t>
      </w:r>
      <w:r w:rsidRPr="005E450C">
        <w:rPr>
          <w:rFonts w:eastAsia="Calibri" w:hint="eastAsia"/>
          <w:rtl/>
        </w:rPr>
        <w:t>בשנים</w:t>
      </w:r>
      <w:r w:rsidRPr="005E450C">
        <w:rPr>
          <w:rFonts w:eastAsia="Calibri"/>
          <w:rtl/>
        </w:rPr>
        <w:t xml:space="preserve"> 2018 </w:t>
      </w:r>
      <w:r w:rsidRPr="005E450C">
        <w:rPr>
          <w:rFonts w:eastAsia="Calibri" w:hint="eastAsia"/>
          <w:rtl/>
        </w:rPr>
        <w:t>ו</w:t>
      </w:r>
      <w:r w:rsidRPr="005E450C">
        <w:rPr>
          <w:rFonts w:eastAsia="Calibri"/>
          <w:rtl/>
        </w:rPr>
        <w:t xml:space="preserve">-2019 </w:t>
      </w:r>
      <w:r w:rsidRPr="005E450C">
        <w:rPr>
          <w:rFonts w:eastAsia="Calibri" w:hint="cs"/>
          <w:rtl/>
        </w:rPr>
        <w:t>עמדה</w:t>
      </w:r>
      <w:r w:rsidRPr="005E450C">
        <w:rPr>
          <w:rFonts w:eastAsia="Calibri"/>
          <w:rtl/>
        </w:rPr>
        <w:t xml:space="preserve"> רפאל ביעדי התקציב, ובשנים 2020 ו-2021 ה</w:t>
      </w:r>
      <w:r w:rsidRPr="005E450C">
        <w:rPr>
          <w:rFonts w:eastAsia="Calibri" w:hint="cs"/>
          <w:rtl/>
        </w:rPr>
        <w:t>יו ביצועיה בפער קטן מיעדי התקציב</w:t>
      </w:r>
      <w:r w:rsidRPr="005E450C">
        <w:rPr>
          <w:rFonts w:eastAsia="Calibri"/>
          <w:rtl/>
        </w:rPr>
        <w:t>.</w:t>
      </w:r>
    </w:p>
    <w:p w:rsidR="00C149B0" w:rsidRPr="005E450C" w:rsidP="005E450C" w14:paraId="691B5223" w14:textId="77777777">
      <w:pPr>
        <w:pStyle w:val="7392"/>
        <w:rPr>
          <w:rtl/>
        </w:rPr>
      </w:pPr>
      <w:r w:rsidRPr="005E450C">
        <w:rPr>
          <w:rFonts w:hint="cs"/>
          <w:rtl/>
        </w:rPr>
        <w:t>הירידה בהכנסות ממכירות בשנת 2020 כמתואר לעיל הוסברה בדוח השנתי של רפאל לשנה זו בקיטון הפעילות מול משרד הביטחון</w:t>
      </w:r>
      <w:r>
        <w:rPr>
          <w:rStyle w:val="FootnoteReference0"/>
          <w:rtl/>
        </w:rPr>
        <w:footnoteReference w:id="23"/>
      </w:r>
      <w:r w:rsidRPr="005E450C">
        <w:rPr>
          <w:rFonts w:hint="cs"/>
          <w:rtl/>
        </w:rPr>
        <w:t xml:space="preserve">. </w:t>
      </w:r>
    </w:p>
    <w:p w:rsidR="00C149B0" w:rsidRPr="005E450C" w:rsidP="005E450C" w14:paraId="582AE6E6" w14:textId="77777777">
      <w:pPr>
        <w:pStyle w:val="7392"/>
        <w:rPr>
          <w:rtl/>
        </w:rPr>
      </w:pPr>
      <w:r w:rsidRPr="005E450C">
        <w:rPr>
          <w:rFonts w:hint="cs"/>
          <w:rtl/>
        </w:rPr>
        <w:t xml:space="preserve">בדוחותיה השנתיים של רפאל בתקופה הנבדקת (השנים 2017 - 2021) פירטה החברה את גורמי הסיכון שלהם היא חשופה, כפי שמופו, זוהו ותועדפו במסגרת פעילות שביצעה בנושא ניהול סיכונים בשנים 2010 - 2021. בין גורמי הסיכון כללה החברה סיכון הקרוי "תלות גבוהה בתקציבי הביטחון", ולפיו "נתח עיקרי מפעילות החברה תלוי בתקציבי הביטחון של מדינת ישראל. שחיקה בתקציבי הביטחון או שינוי סדרי העדיפות הביטחוניים במדינת ישראל עלול לפגוע בביצוע התקשרויות ולפגוע בתוצאות הכספיות של החברה". </w:t>
      </w:r>
    </w:p>
    <w:p w:rsidR="00C149B0" w:rsidRPr="005E450C" w:rsidP="005E450C" w14:paraId="00E8F73A" w14:textId="77777777">
      <w:pPr>
        <w:pStyle w:val="7392"/>
        <w:rPr>
          <w:rtl/>
        </w:rPr>
      </w:pPr>
      <w:r w:rsidRPr="005E450C">
        <w:rPr>
          <w:rFonts w:hint="cs"/>
          <w:rtl/>
        </w:rPr>
        <w:t xml:space="preserve">יצוין בהקשר זה כי בדיון של ועדת כספים והשקעות של דירקטוריון רפאל מ-18.3.21 לסיכום שנת 2020 והצגת הדוחות הכספיים לשנת 2020 ציינו חברי הוועדה כי חלקה של ישראל בהזמנות של רפאל גדול מאוד; כי לאי-היציבות התקציבית בישראל יש השלכות; וכי יש לחברה תלות בשוק המקומי. </w:t>
      </w:r>
    </w:p>
    <w:p w:rsidR="00C149B0" w:rsidRPr="005E450C" w:rsidP="005E450C" w14:paraId="04610E3E" w14:textId="77777777">
      <w:pPr>
        <w:pStyle w:val="7318"/>
        <w:rPr>
          <w:rtl/>
        </w:rPr>
      </w:pPr>
      <w:r w:rsidRPr="005E450C">
        <w:rPr>
          <w:rFonts w:hint="cs"/>
          <w:rtl/>
        </w:rPr>
        <w:t>כ-50% מההכנסות ממכירות של רפאל מקורן בתקציב הביטחון. הדבר גורם לתלות רבה של החברה בתקציב זה ועלול לפגוע בתוצאות העסקיות של החברה כאשר יש חוסר יציבות תקציבית או ירידה בתקציב הביטחון השקלי.</w:t>
      </w:r>
    </w:p>
    <w:p w:rsidR="00C149B0" w:rsidRPr="005E450C" w:rsidP="005E450C" w14:paraId="1A6C0D69" w14:textId="77777777">
      <w:pPr>
        <w:pStyle w:val="7318"/>
        <w:rPr>
          <w:rtl/>
        </w:rPr>
      </w:pPr>
      <w:r w:rsidRPr="005E450C">
        <w:rPr>
          <w:rFonts w:hint="cs"/>
          <w:rtl/>
        </w:rPr>
        <w:t xml:space="preserve">מומלץ כי הנהלת רפאל תבחן את ההיקף ואת המאפיינים של התלות של החברה </w:t>
      </w:r>
      <w:r w:rsidRPr="005E450C">
        <w:rPr>
          <w:rFonts w:hint="cs"/>
          <w:rtl/>
        </w:rPr>
        <w:t>במשהב"ט</w:t>
      </w:r>
      <w:r w:rsidRPr="005E450C">
        <w:rPr>
          <w:rFonts w:hint="cs"/>
          <w:rtl/>
        </w:rPr>
        <w:t>, לרבות כלקוח עיקרי שלה, ותפעל לגיבוש תוכנית פעולה להקטנת הסיכון הכרוך בכך.</w:t>
      </w:r>
    </w:p>
    <w:p w:rsidR="00C149B0" w:rsidRPr="00C1006D" w:rsidP="005E450C" w14:paraId="3E4B2C8D" w14:textId="77777777">
      <w:pPr>
        <w:pStyle w:val="7392"/>
        <w:rPr>
          <w:rtl/>
        </w:rPr>
      </w:pPr>
      <w:r>
        <w:rPr>
          <w:rFonts w:hint="cs"/>
          <w:rtl/>
        </w:rPr>
        <w:t xml:space="preserve">בתגובתה של רפאל מנובמבר 2022 על ממצאי הביקורת היא ציינה כי </w:t>
      </w:r>
      <w:r>
        <w:rPr>
          <w:rtl/>
        </w:rPr>
        <w:t xml:space="preserve">כל פעילות הפיתוח העסקי של </w:t>
      </w:r>
      <w:r>
        <w:rPr>
          <w:rFonts w:hint="cs"/>
          <w:rtl/>
        </w:rPr>
        <w:t>החברה</w:t>
      </w:r>
      <w:r>
        <w:rPr>
          <w:rtl/>
        </w:rPr>
        <w:t xml:space="preserve"> מוכוונת בשנים האחרונות להרח</w:t>
      </w:r>
      <w:r>
        <w:rPr>
          <w:rFonts w:hint="cs"/>
          <w:rtl/>
        </w:rPr>
        <w:t>ב</w:t>
      </w:r>
      <w:r>
        <w:rPr>
          <w:rtl/>
        </w:rPr>
        <w:t>ת תמהיל המוצרים ותמהיל המדינות</w:t>
      </w:r>
      <w:r>
        <w:rPr>
          <w:rFonts w:hint="cs"/>
          <w:rtl/>
        </w:rPr>
        <w:t xml:space="preserve">; וכי </w:t>
      </w:r>
      <w:r>
        <w:rPr>
          <w:rtl/>
        </w:rPr>
        <w:t xml:space="preserve">בתוך כך הוצב יעד להרחבה של היקף ההזמנות מייצוא אף מעבר להיקף הצמיחה בסך ההזמנות ובכך אף לשנות את היחס עד כדי 60% </w:t>
      </w:r>
      <w:r>
        <w:rPr>
          <w:rFonts w:hint="cs"/>
          <w:rtl/>
        </w:rPr>
        <w:t xml:space="preserve">של </w:t>
      </w:r>
      <w:r>
        <w:rPr>
          <w:rtl/>
        </w:rPr>
        <w:t xml:space="preserve">הזמנות מחו"ל </w:t>
      </w:r>
      <w:r>
        <w:rPr>
          <w:rFonts w:hint="cs"/>
          <w:rtl/>
        </w:rPr>
        <w:t xml:space="preserve">מכלל הזמנות החברה </w:t>
      </w:r>
      <w:r>
        <w:rPr>
          <w:rtl/>
        </w:rPr>
        <w:t>בסוף</w:t>
      </w:r>
      <w:r>
        <w:rPr>
          <w:rFonts w:hint="cs"/>
          <w:rtl/>
        </w:rPr>
        <w:t xml:space="preserve"> שנת</w:t>
      </w:r>
      <w:r>
        <w:rPr>
          <w:rtl/>
        </w:rPr>
        <w:t xml:space="preserve"> 2025.</w:t>
      </w:r>
    </w:p>
    <w:p w:rsidR="00C149B0" w:rsidRPr="001E7361" w:rsidP="001E7361" w14:paraId="64F8E8A8" w14:textId="77777777">
      <w:pPr>
        <w:pStyle w:val="733155"/>
        <w:rPr>
          <w:rtl/>
        </w:rPr>
      </w:pPr>
      <w:bookmarkStart w:id="14" w:name="_Toc115616199"/>
      <w:r w:rsidRPr="001E7361">
        <w:rPr>
          <w:rtl/>
        </w:rPr>
        <w:t>רווחיות</w:t>
      </w:r>
      <w:r w:rsidRPr="001E7361">
        <w:rPr>
          <w:rFonts w:hint="cs"/>
          <w:rtl/>
        </w:rPr>
        <w:t xml:space="preserve"> גולמית, רווחיות תפעולית ורווח נקי</w:t>
      </w:r>
      <w:bookmarkEnd w:id="14"/>
      <w:r w:rsidRPr="001E7361">
        <w:rPr>
          <w:rFonts w:hint="cs"/>
          <w:rtl/>
        </w:rPr>
        <w:t xml:space="preserve"> </w:t>
      </w:r>
    </w:p>
    <w:p w:rsidR="00C149B0" w:rsidRPr="005E450C" w:rsidP="005E450C" w14:paraId="3C02535E" w14:textId="77777777">
      <w:pPr>
        <w:pStyle w:val="7392"/>
        <w:rPr>
          <w:rtl/>
        </w:rPr>
      </w:pPr>
      <w:r w:rsidRPr="005E450C">
        <w:rPr>
          <w:rFonts w:hint="cs"/>
          <w:rtl/>
        </w:rPr>
        <w:t>בשנת 2021 היה הרווח הגולמי של רפאל (סולו) בסך של כ-1.98 מיליארד ש"ח, הרווח התפעולי כ-461 מיליון ש"ח והרווח הנקי כ-431 מיליון ש"ח. בשנה זו היה הרווח הגולמי של קבוצת רפאל בסך של כ-2.26 מיליארד ש"ח, הרווח התפעולי כ-488 מיליון ש"ח והרווח הנקי כ-431 מיליון ש"ח.</w:t>
      </w:r>
    </w:p>
    <w:p w:rsidR="00C149B0" w:rsidRPr="005E450C" w:rsidP="005E450C" w14:paraId="40450AED" w14:textId="77777777">
      <w:pPr>
        <w:pStyle w:val="7392"/>
        <w:rPr>
          <w:rtl/>
        </w:rPr>
      </w:pPr>
      <w:r w:rsidRPr="005E450C">
        <w:rPr>
          <w:rFonts w:hint="cs"/>
          <w:rtl/>
        </w:rPr>
        <w:t xml:space="preserve">בתוכנית האסטרטגית של רפאל נקבעו יעדים לשיעורים השנתיים של הרווח הגולמי, הרווח התפעולי והרווח הנקי מתוך סה"כ ההכנסות ממכירות של רפאל (סולו): 21%, 6% ו-6%, בהתאמה. </w:t>
      </w:r>
    </w:p>
    <w:p w:rsidR="00C149B0" w:rsidRPr="005E450C" w:rsidP="005E450C" w14:paraId="33C0EE68" w14:textId="77777777">
      <w:pPr>
        <w:pStyle w:val="7318"/>
        <w:rPr>
          <w:rtl/>
        </w:rPr>
      </w:pPr>
      <w:r w:rsidRPr="005E450C">
        <w:rPr>
          <w:rFonts w:hint="cs"/>
          <w:rtl/>
        </w:rPr>
        <w:t>נמצא כי רפאל לא קבעה יעדי רווחיות בכל הנוגע לפעילות הקבוצה. יצוין בהקשר זה כי היקף ההכנסות מהמכירות השנתי הממוצע של רפאל (סולו) בשנים 2017 - 2021 מתוך ההכנסות ממכירות של הקבוצה הוא 95%.</w:t>
      </w:r>
    </w:p>
    <w:p w:rsidR="00C149B0" w:rsidRPr="005E450C" w:rsidP="005E450C" w14:paraId="0B86CA20" w14:textId="77777777">
      <w:pPr>
        <w:pStyle w:val="7318"/>
        <w:rPr>
          <w:rtl/>
        </w:rPr>
      </w:pPr>
      <w:r w:rsidRPr="005E450C">
        <w:rPr>
          <w:rFonts w:hint="cs"/>
          <w:rtl/>
        </w:rPr>
        <w:t xml:space="preserve">מומלץ כי במסגרת תהליך עדכון אסטרטגיית רפאל לשנת 2030 תקבע החברה גם יעדי רווחיות לקבוצה בכללותה. </w:t>
      </w:r>
    </w:p>
    <w:p w:rsidR="00C149B0" w:rsidRPr="005E450C" w:rsidP="005E450C" w14:paraId="4D04E5E5" w14:textId="77777777">
      <w:pPr>
        <w:pStyle w:val="7392"/>
        <w:rPr>
          <w:rtl/>
        </w:rPr>
      </w:pPr>
      <w:r w:rsidRPr="005E450C">
        <w:rPr>
          <w:rFonts w:hint="cs"/>
          <w:rtl/>
        </w:rPr>
        <w:t>להלן יוצגו נתונים בדבר שיעורי הרווח הגולמי, התפעולי והנקי לפי דוחותיה המאוחדים של רפאל:</w:t>
      </w:r>
    </w:p>
    <w:p w:rsidR="00C149B0" w:rsidRPr="005E450C" w:rsidP="005E450C" w14:paraId="6ED9F54A" w14:textId="50877380">
      <w:pPr>
        <w:pStyle w:val="734"/>
        <w:rPr>
          <w:rtl/>
        </w:rPr>
      </w:pPr>
      <w:r w:rsidRPr="005E450C">
        <w:rPr>
          <w:rFonts w:hint="eastAsia"/>
          <w:b w:val="0"/>
          <w:bCs w:val="0"/>
          <w:rtl/>
        </w:rPr>
        <w:t>תרשים</w:t>
      </w:r>
      <w:r w:rsidRPr="005E450C">
        <w:rPr>
          <w:b w:val="0"/>
          <w:bCs w:val="0"/>
          <w:rtl/>
        </w:rPr>
        <w:t xml:space="preserve"> 5:</w:t>
      </w:r>
      <w:r w:rsidRPr="005E450C">
        <w:rPr>
          <w:rFonts w:hint="cs"/>
          <w:b w:val="0"/>
          <w:bCs w:val="0"/>
          <w:rtl/>
        </w:rPr>
        <w:t xml:space="preserve"> </w:t>
      </w:r>
      <w:r w:rsidRPr="005E450C">
        <w:rPr>
          <w:rtl/>
        </w:rPr>
        <w:t xml:space="preserve">שיעורי הרווח הגולמי, התפעולי והנקי של </w:t>
      </w:r>
      <w:r w:rsidRPr="005E450C">
        <w:rPr>
          <w:rFonts w:hint="cs"/>
          <w:rtl/>
        </w:rPr>
        <w:t xml:space="preserve">קבוצת </w:t>
      </w:r>
      <w:r w:rsidRPr="005E450C">
        <w:rPr>
          <w:rtl/>
        </w:rPr>
        <w:t xml:space="preserve">רפאל </w:t>
      </w:r>
      <w:r w:rsidRPr="005E450C">
        <w:rPr>
          <w:rFonts w:hint="cs"/>
          <w:rtl/>
        </w:rPr>
        <w:t>מהמכירות</w:t>
      </w:r>
      <w:r>
        <w:rPr>
          <w:rStyle w:val="FootnoteReference0"/>
          <w:rtl/>
        </w:rPr>
        <w:footnoteReference w:id="24"/>
      </w:r>
      <w:r w:rsidRPr="005E450C">
        <w:rPr>
          <w:rFonts w:hint="cs"/>
          <w:rtl/>
        </w:rPr>
        <w:t>, 2017 - 2021</w:t>
      </w:r>
    </w:p>
    <w:p w:rsidR="00C149B0" w:rsidRPr="00D94367" w:rsidP="00C149B0" w14:paraId="3AA3FE16" w14:textId="77777777">
      <w:pPr>
        <w:spacing w:line="269" w:lineRule="auto"/>
        <w:rPr>
          <w:rtl/>
          <w:lang w:eastAsia="he-IL"/>
        </w:rPr>
      </w:pPr>
      <w:r w:rsidRPr="00D94367">
        <w:rPr>
          <w:noProof/>
          <w:szCs w:val="20"/>
          <w:rtl/>
        </w:rPr>
        <w:drawing>
          <wp:inline distT="0" distB="0" distL="0" distR="0">
            <wp:extent cx="4679950" cy="2270214"/>
            <wp:effectExtent l="0" t="0" r="0" b="0"/>
            <wp:docPr id="1451066627" name="תמונה 1451066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27" name="תמונה 1451066627"/>
                    <pic:cNvPicPr>
                      <a:picLocks noChangeAspect="1" noChangeArrowheads="1"/>
                    </pic:cNvPicPr>
                  </pic:nvPicPr>
                  <pic:blipFill>
                    <a:blip xmlns:r="http://schemas.openxmlformats.org/officeDocument/2006/relationships" r:embed="rId25">
                      <a:extLst>
                        <a:ext xmlns:a="http://schemas.openxmlformats.org/drawingml/2006/main" uri="{28A0092B-C50C-407E-A947-70E740481C1C}">
                          <a14:useLocalDpi xmlns:a14="http://schemas.microsoft.com/office/drawing/2010/main" val="0"/>
                        </a:ext>
                      </a:extLst>
                    </a:blip>
                    <a:srcRect l="2235" r="2235"/>
                    <a:stretch>
                      <a:fillRect/>
                    </a:stretch>
                  </pic:blipFill>
                  <pic:spPr bwMode="auto">
                    <a:xfrm>
                      <a:off x="0" y="0"/>
                      <a:ext cx="4679950" cy="2270214"/>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C149B0" w:rsidRPr="005E450C" w:rsidP="005E450C" w14:paraId="4057628A" w14:textId="77777777">
      <w:pPr>
        <w:pStyle w:val="738"/>
        <w:rPr>
          <w:rtl/>
        </w:rPr>
      </w:pPr>
      <w:r w:rsidRPr="005E450C">
        <w:rPr>
          <w:rFonts w:hint="cs"/>
          <w:rtl/>
        </w:rPr>
        <w:t>לפי</w:t>
      </w:r>
      <w:r w:rsidRPr="005E450C">
        <w:rPr>
          <w:rtl/>
        </w:rPr>
        <w:t xml:space="preserve"> הדוחות </w:t>
      </w:r>
      <w:r w:rsidRPr="005E450C">
        <w:rPr>
          <w:rFonts w:hint="cs"/>
          <w:rtl/>
        </w:rPr>
        <w:t>הכספיים</w:t>
      </w:r>
      <w:r w:rsidRPr="005E450C">
        <w:rPr>
          <w:rtl/>
        </w:rPr>
        <w:t xml:space="preserve"> של </w:t>
      </w:r>
      <w:r w:rsidRPr="005E450C">
        <w:rPr>
          <w:rFonts w:hint="cs"/>
          <w:rtl/>
        </w:rPr>
        <w:t xml:space="preserve">קבוצת </w:t>
      </w:r>
      <w:r w:rsidRPr="005E450C">
        <w:rPr>
          <w:rtl/>
        </w:rPr>
        <w:t>רפאל לשנים</w:t>
      </w:r>
      <w:r w:rsidRPr="005E450C">
        <w:rPr>
          <w:rFonts w:hint="cs"/>
          <w:rtl/>
        </w:rPr>
        <w:t xml:space="preserve"> 2017 - 2021, בעיבוד משרד מבקר המדינה.</w:t>
      </w:r>
    </w:p>
    <w:p w:rsidR="00C149B0" w:rsidRPr="005E450C" w:rsidP="005E450C" w14:paraId="736C2C16" w14:textId="77777777">
      <w:pPr>
        <w:pStyle w:val="7318"/>
        <w:rPr>
          <w:rtl/>
        </w:rPr>
      </w:pPr>
      <w:r w:rsidRPr="005E450C">
        <w:rPr>
          <w:rFonts w:hint="cs"/>
          <w:rtl/>
        </w:rPr>
        <w:t>מהתרשים עולה כי בשנים 2017 - 2021 שיעור הרווח הגולמי הממוצע מתוך סך ההכנסות ממכירות היה כ-21.5%; וכי בשנת 2021 הוא היה כ-22.2%, שיעור הדומה לזה משנת 2017 (לאחר ירידה בשנים 2018 ו-2019 ועלייה בשנים 2020 ו-2021).</w:t>
      </w:r>
    </w:p>
    <w:p w:rsidR="00C149B0" w:rsidRPr="005E450C" w:rsidP="005E450C" w14:paraId="17E42DAC" w14:textId="77777777">
      <w:pPr>
        <w:pStyle w:val="7318"/>
        <w:rPr>
          <w:rtl/>
        </w:rPr>
      </w:pPr>
      <w:r w:rsidRPr="005E450C">
        <w:rPr>
          <w:rFonts w:hint="cs"/>
          <w:rtl/>
        </w:rPr>
        <w:t xml:space="preserve">עוד עולה כי שיעור הרווח התפעולי הממוצע מתוך סך ההכנסות ממכירות בשנים </w:t>
      </w:r>
      <w:r w:rsidRPr="005E450C">
        <w:rPr>
          <w:rtl/>
        </w:rPr>
        <w:br/>
      </w:r>
      <w:r w:rsidRPr="005E450C">
        <w:rPr>
          <w:rFonts w:hint="cs"/>
          <w:rtl/>
        </w:rPr>
        <w:t>2017 - 2021 היה כ-5.5%; וכי בעוד שבשנת 2017 שבה היה הרווח התפעולי בשיעור של 6.1%, בשנת 2021 הוא היה כ-5.3%, לאחר ירידה של כ-0.4% משנת 2020.</w:t>
      </w:r>
    </w:p>
    <w:p w:rsidR="00C149B0" w:rsidRPr="005E450C" w:rsidP="005E450C" w14:paraId="27B8E5B2" w14:textId="0E839730">
      <w:pPr>
        <w:pStyle w:val="7318"/>
        <w:rPr>
          <w:rtl/>
        </w:rPr>
      </w:pPr>
      <w:r w:rsidRPr="005E450C">
        <w:rPr>
          <w:rFonts w:hint="cs"/>
          <w:rtl/>
        </w:rPr>
        <w:t xml:space="preserve">כמו כן עולה כי בשנים 2017 - 2021 היה השיעור הממוצע של הרווח הנקי מתוך סך ההכנסות ממכירות כ-4.5%; כי בשנים 2017 - 2020 ירד שיעור הרווח הנקי מ-5.5% </w:t>
      </w:r>
      <w:r w:rsidR="005E450C">
        <w:rPr>
          <w:rtl/>
        </w:rPr>
        <w:br/>
      </w:r>
      <w:r w:rsidRPr="005E450C">
        <w:rPr>
          <w:rFonts w:hint="cs"/>
          <w:rtl/>
        </w:rPr>
        <w:t>ל-3.4%, וכי בשנת 2021 הוא היה 4.6%, לאחר עלייה של כ-1.2% משנת 2020</w:t>
      </w:r>
      <w:r>
        <w:rPr>
          <w:rStyle w:val="FootnoteReference0"/>
          <w:rtl/>
        </w:rPr>
        <w:footnoteReference w:id="25"/>
      </w:r>
      <w:r w:rsidRPr="005E450C">
        <w:rPr>
          <w:rFonts w:hint="cs"/>
          <w:rtl/>
        </w:rPr>
        <w:t xml:space="preserve">. </w:t>
      </w:r>
    </w:p>
    <w:p w:rsidR="00C149B0" w:rsidRPr="005E450C" w:rsidP="005E450C" w14:paraId="7B5098B4" w14:textId="0B19D12E">
      <w:pPr>
        <w:pStyle w:val="7318"/>
        <w:rPr>
          <w:rtl/>
        </w:rPr>
      </w:pPr>
      <w:r w:rsidRPr="005E450C">
        <w:rPr>
          <w:rFonts w:hint="cs"/>
          <w:rtl/>
        </w:rPr>
        <w:t xml:space="preserve">איחוד תוצאותיהן הכספיות של </w:t>
      </w:r>
      <w:r w:rsidRPr="005E450C">
        <w:rPr>
          <w:rFonts w:hint="cs"/>
          <w:rtl/>
        </w:rPr>
        <w:t>אירונאוטיקס</w:t>
      </w:r>
      <w:r w:rsidRPr="005E450C">
        <w:rPr>
          <w:rFonts w:hint="cs"/>
          <w:rtl/>
        </w:rPr>
        <w:t xml:space="preserve"> </w:t>
      </w:r>
      <w:r w:rsidRPr="005E450C">
        <w:rPr>
          <w:rFonts w:hint="cs"/>
          <w:rtl/>
        </w:rPr>
        <w:t>וקונטרופ</w:t>
      </w:r>
      <w:r w:rsidRPr="005E450C">
        <w:rPr>
          <w:rFonts w:hint="cs"/>
          <w:rtl/>
        </w:rPr>
        <w:t xml:space="preserve"> בשנת 2021 העלה את הרווח הגולמי של הקבוצה בכ-184 מיליון ש"ח (ואת שיעור הרווח הגולמי בכ-0.6%); והקטין </w:t>
      </w:r>
      <w:r w:rsidR="00482D22">
        <w:rPr>
          <w:rtl/>
        </w:rPr>
        <w:br/>
      </w:r>
      <w:r w:rsidRPr="005E450C">
        <w:rPr>
          <w:rFonts w:hint="cs"/>
          <w:rtl/>
        </w:rPr>
        <w:t xml:space="preserve">בכ-9 מיליון ש"ח את הרווח התפעולי (ואת שיעור הרווח בכ-0.4%). </w:t>
      </w:r>
    </w:p>
    <w:p w:rsidR="00C149B0" w:rsidRPr="005E450C" w:rsidP="005E450C" w14:paraId="5DFF36B0" w14:textId="77777777">
      <w:pPr>
        <w:pStyle w:val="7318"/>
        <w:rPr>
          <w:rtl/>
        </w:rPr>
      </w:pPr>
      <w:r w:rsidRPr="005E450C">
        <w:rPr>
          <w:rFonts w:hint="cs"/>
          <w:rtl/>
        </w:rPr>
        <w:t xml:space="preserve">כמו כן </w:t>
      </w:r>
      <w:r w:rsidRPr="005E450C">
        <w:rPr>
          <w:rFonts w:hint="eastAsia"/>
          <w:rtl/>
        </w:rPr>
        <w:t>עלה</w:t>
      </w:r>
      <w:r w:rsidRPr="005E450C">
        <w:rPr>
          <w:rtl/>
        </w:rPr>
        <w:t xml:space="preserve"> </w:t>
      </w:r>
      <w:r w:rsidRPr="005E450C">
        <w:rPr>
          <w:rFonts w:hint="cs"/>
          <w:rtl/>
        </w:rPr>
        <w:t xml:space="preserve">בביקורת </w:t>
      </w:r>
      <w:r w:rsidRPr="005E450C">
        <w:rPr>
          <w:rtl/>
        </w:rPr>
        <w:t xml:space="preserve">כי בשנים 2017 </w:t>
      </w:r>
      <w:r w:rsidRPr="005E450C">
        <w:rPr>
          <w:rFonts w:hint="cs"/>
          <w:rtl/>
        </w:rPr>
        <w:t>-</w:t>
      </w:r>
      <w:r w:rsidRPr="005E450C">
        <w:rPr>
          <w:rtl/>
        </w:rPr>
        <w:t xml:space="preserve"> 2021 הציגה רפאל בממוצע </w:t>
      </w:r>
      <w:r w:rsidRPr="005E450C">
        <w:rPr>
          <w:rFonts w:hint="cs"/>
          <w:rtl/>
        </w:rPr>
        <w:t xml:space="preserve">פער מסוים </w:t>
      </w:r>
      <w:r w:rsidRPr="005E450C">
        <w:rPr>
          <w:rtl/>
        </w:rPr>
        <w:t>ברווח הנקי</w:t>
      </w:r>
      <w:r w:rsidRPr="005E450C">
        <w:rPr>
          <w:rFonts w:hint="cs"/>
          <w:rtl/>
        </w:rPr>
        <w:t xml:space="preserve"> לעומת יעד התקציב, ובשנת 2021 - פער מסוים ברווח התפעולי וברווח הנקי.</w:t>
      </w:r>
    </w:p>
    <w:p w:rsidR="00C149B0" w:rsidRPr="005E450C" w:rsidP="005E450C" w14:paraId="22E1DD2C" w14:textId="77777777">
      <w:pPr>
        <w:pStyle w:val="7392"/>
        <w:rPr>
          <w:rtl/>
        </w:rPr>
      </w:pPr>
      <w:r w:rsidRPr="005E450C">
        <w:rPr>
          <w:rFonts w:hint="cs"/>
          <w:rtl/>
        </w:rPr>
        <w:t>בהתייחס לרווח הנקי הצפוי של רפאל לשנת 2022 יצוין כי בישיבת ועדת כספים והשקעות של הדירקטוריון מ-16.12.21 בנושא אישור תקציב 2022 ותכנון 2023 - 2024 ציין סמנכ"ל בכיר לכספים ובקרה (להלן - סמנכ"ל הכספים) כי בכוונת רפאל לשלם מס בסכום של כ-450 מיליון ש"ח עבור רווחים כלואים</w:t>
      </w:r>
      <w:r>
        <w:rPr>
          <w:vertAlign w:val="superscript"/>
          <w:rtl/>
        </w:rPr>
        <w:footnoteReference w:id="26"/>
      </w:r>
      <w:r w:rsidRPr="005E450C">
        <w:rPr>
          <w:rFonts w:hint="cs"/>
          <w:vertAlign w:val="superscript"/>
          <w:rtl/>
        </w:rPr>
        <w:t xml:space="preserve"> </w:t>
      </w:r>
      <w:r w:rsidRPr="005E450C">
        <w:rPr>
          <w:rFonts w:hint="cs"/>
          <w:rtl/>
        </w:rPr>
        <w:t xml:space="preserve">בסכום של כ-4.5 מיליארד ש"ח הנדרשים לשם מתן מענה על צורכי ההתרחבות </w:t>
      </w:r>
      <w:r w:rsidRPr="005E450C">
        <w:rPr>
          <w:rFonts w:hint="cs"/>
          <w:rtl/>
        </w:rPr>
        <w:t>האנ</w:t>
      </w:r>
      <w:r w:rsidRPr="005E450C">
        <w:rPr>
          <w:rFonts w:hint="cs"/>
          <w:rtl/>
        </w:rPr>
        <w:t>-אורגנית של רפאל ולצורכי תשלום דיבידנד בשנים הקרובות.</w:t>
      </w:r>
    </w:p>
    <w:p w:rsidR="00C149B0" w:rsidRPr="005E450C" w:rsidP="005E450C" w14:paraId="4DEEB5A7" w14:textId="77777777">
      <w:pPr>
        <w:pStyle w:val="7318"/>
        <w:rPr>
          <w:rtl/>
        </w:rPr>
      </w:pPr>
      <w:r w:rsidRPr="005E450C">
        <w:rPr>
          <w:rFonts w:hint="cs"/>
          <w:rtl/>
        </w:rPr>
        <w:t xml:space="preserve">בדוחותיה הכספיים ל-31.12.21 ציינה רפאל כי </w:t>
      </w:r>
      <w:r w:rsidRPr="005E450C">
        <w:rPr>
          <w:rtl/>
        </w:rPr>
        <w:t>לאחר תאריך הדוח</w:t>
      </w:r>
      <w:r w:rsidRPr="005E450C">
        <w:rPr>
          <w:rFonts w:hint="cs"/>
          <w:rtl/>
        </w:rPr>
        <w:t xml:space="preserve"> היא</w:t>
      </w:r>
      <w:r w:rsidRPr="005E450C">
        <w:rPr>
          <w:rtl/>
        </w:rPr>
        <w:t xml:space="preserve"> הצהירה על שחרור רווחים כלואים בס</w:t>
      </w:r>
      <w:r w:rsidRPr="005E450C">
        <w:rPr>
          <w:rFonts w:hint="cs"/>
          <w:rtl/>
        </w:rPr>
        <w:t xml:space="preserve">כום של </w:t>
      </w:r>
      <w:r w:rsidRPr="005E450C">
        <w:rPr>
          <w:rtl/>
        </w:rPr>
        <w:t>כ-</w:t>
      </w:r>
      <w:r w:rsidRPr="005E450C">
        <w:t>1</w:t>
      </w:r>
      <w:r w:rsidRPr="005E450C">
        <w:rPr>
          <w:rtl/>
        </w:rPr>
        <w:t xml:space="preserve"> מיליארד ש״ח, </w:t>
      </w:r>
      <w:r w:rsidRPr="005E450C">
        <w:rPr>
          <w:rFonts w:hint="cs"/>
          <w:rtl/>
        </w:rPr>
        <w:t>ש</w:t>
      </w:r>
      <w:r w:rsidRPr="005E450C">
        <w:rPr>
          <w:rtl/>
        </w:rPr>
        <w:t xml:space="preserve">בגינם שילמה </w:t>
      </w:r>
      <w:r w:rsidRPr="005E450C">
        <w:rPr>
          <w:rFonts w:hint="cs"/>
          <w:rtl/>
        </w:rPr>
        <w:t xml:space="preserve">מיסים בסכום של </w:t>
      </w:r>
      <w:r w:rsidRPr="005E450C">
        <w:rPr>
          <w:rtl/>
        </w:rPr>
        <w:t>כ</w:t>
      </w:r>
      <w:r w:rsidRPr="005E450C">
        <w:rPr>
          <w:rFonts w:hint="cs"/>
          <w:rtl/>
        </w:rPr>
        <w:t>-150</w:t>
      </w:r>
      <w:r w:rsidRPr="005E450C">
        <w:rPr>
          <w:rtl/>
        </w:rPr>
        <w:t xml:space="preserve"> </w:t>
      </w:r>
      <w:r w:rsidRPr="005E450C">
        <w:rPr>
          <w:rFonts w:hint="cs"/>
          <w:rtl/>
        </w:rPr>
        <w:t>מיל</w:t>
      </w:r>
      <w:r w:rsidRPr="005E450C">
        <w:rPr>
          <w:rtl/>
        </w:rPr>
        <w:t>יון ש״ח</w:t>
      </w:r>
      <w:r w:rsidRPr="005E450C">
        <w:rPr>
          <w:rFonts w:hint="cs"/>
          <w:rtl/>
        </w:rPr>
        <w:t>; וכי השפעותיהם של</w:t>
      </w:r>
      <w:r w:rsidRPr="005E450C">
        <w:rPr>
          <w:rtl/>
        </w:rPr>
        <w:t xml:space="preserve"> הצעדים שתנקוט החברה</w:t>
      </w:r>
      <w:r w:rsidRPr="005E450C">
        <w:rPr>
          <w:rFonts w:hint="cs"/>
          <w:rtl/>
        </w:rPr>
        <w:t xml:space="preserve"> בעניין זה יבואו לידי ביטוי </w:t>
      </w:r>
      <w:r w:rsidRPr="005E450C">
        <w:rPr>
          <w:rtl/>
        </w:rPr>
        <w:t xml:space="preserve">בדוחות הכספיים של שנת </w:t>
      </w:r>
      <w:r w:rsidRPr="005E450C">
        <w:t>2022</w:t>
      </w:r>
      <w:r w:rsidRPr="005E450C">
        <w:rPr>
          <w:rFonts w:hint="cs"/>
          <w:rtl/>
        </w:rPr>
        <w:t>.</w:t>
      </w:r>
    </w:p>
    <w:p w:rsidR="00C149B0" w:rsidRPr="005E450C" w:rsidP="005E450C" w14:paraId="59BBAB3F" w14:textId="77777777">
      <w:pPr>
        <w:pStyle w:val="7318"/>
        <w:rPr>
          <w:rtl/>
        </w:rPr>
      </w:pPr>
      <w:r w:rsidRPr="005E450C">
        <w:rPr>
          <w:rFonts w:hint="cs"/>
          <w:rtl/>
        </w:rPr>
        <w:t xml:space="preserve">עולה כי בשנת 2022 הרווח הנקי של רפאל צפוי לקטון בעשרות אחוזים </w:t>
      </w:r>
      <w:r w:rsidRPr="005E450C">
        <w:rPr>
          <w:rFonts w:hint="eastAsia"/>
          <w:rtl/>
        </w:rPr>
        <w:t>בעיקר</w:t>
      </w:r>
      <w:r w:rsidRPr="005E450C">
        <w:rPr>
          <w:rFonts w:hint="cs"/>
          <w:rtl/>
        </w:rPr>
        <w:t xml:space="preserve"> עקב</w:t>
      </w:r>
      <w:r w:rsidRPr="005E450C">
        <w:rPr>
          <w:rtl/>
        </w:rPr>
        <w:t xml:space="preserve"> </w:t>
      </w:r>
      <w:r w:rsidRPr="005E450C">
        <w:rPr>
          <w:rFonts w:hint="eastAsia"/>
          <w:rtl/>
        </w:rPr>
        <w:t>תשלום</w:t>
      </w:r>
      <w:r w:rsidRPr="005E450C">
        <w:rPr>
          <w:rtl/>
        </w:rPr>
        <w:t xml:space="preserve"> </w:t>
      </w:r>
      <w:r w:rsidRPr="005E450C">
        <w:rPr>
          <w:rFonts w:hint="cs"/>
          <w:rtl/>
        </w:rPr>
        <w:t>ה</w:t>
      </w:r>
      <w:r w:rsidRPr="005E450C">
        <w:rPr>
          <w:rFonts w:hint="eastAsia"/>
          <w:rtl/>
        </w:rPr>
        <w:t>מס</w:t>
      </w:r>
      <w:r w:rsidRPr="005E450C">
        <w:rPr>
          <w:rtl/>
        </w:rPr>
        <w:t xml:space="preserve"> </w:t>
      </w:r>
      <w:r w:rsidRPr="005E450C">
        <w:rPr>
          <w:rFonts w:hint="eastAsia"/>
          <w:rtl/>
        </w:rPr>
        <w:t>בגין</w:t>
      </w:r>
      <w:r w:rsidRPr="005E450C">
        <w:rPr>
          <w:rtl/>
        </w:rPr>
        <w:t xml:space="preserve"> </w:t>
      </w:r>
      <w:r w:rsidRPr="005E450C">
        <w:rPr>
          <w:rFonts w:hint="eastAsia"/>
          <w:rtl/>
        </w:rPr>
        <w:t>רווחים</w:t>
      </w:r>
      <w:r w:rsidRPr="005E450C">
        <w:rPr>
          <w:rtl/>
        </w:rPr>
        <w:t xml:space="preserve"> </w:t>
      </w:r>
      <w:r w:rsidRPr="005E450C">
        <w:rPr>
          <w:rFonts w:hint="eastAsia"/>
          <w:rtl/>
        </w:rPr>
        <w:t>כלואים</w:t>
      </w:r>
      <w:r w:rsidRPr="005E450C">
        <w:rPr>
          <w:rFonts w:hint="cs"/>
          <w:rtl/>
        </w:rPr>
        <w:t>.</w:t>
      </w:r>
    </w:p>
    <w:p w:rsidR="00C149B0" w:rsidRPr="001E7361" w:rsidP="001E7361" w14:paraId="0FA57917" w14:textId="77777777">
      <w:pPr>
        <w:pStyle w:val="733155"/>
        <w:rPr>
          <w:rtl/>
        </w:rPr>
      </w:pPr>
      <w:bookmarkStart w:id="15" w:name="_Toc115616200"/>
      <w:r w:rsidRPr="001E7361">
        <w:rPr>
          <w:rtl/>
        </w:rPr>
        <w:t xml:space="preserve">ניתוח השוואתי של </w:t>
      </w:r>
      <w:r w:rsidRPr="001E7361">
        <w:rPr>
          <w:rFonts w:hint="cs"/>
          <w:rtl/>
        </w:rPr>
        <w:t>רפאל</w:t>
      </w:r>
      <w:r w:rsidRPr="001E7361">
        <w:rPr>
          <w:rtl/>
        </w:rPr>
        <w:t xml:space="preserve"> </w:t>
      </w:r>
      <w:r w:rsidRPr="001E7361">
        <w:rPr>
          <w:rFonts w:hint="cs"/>
          <w:rtl/>
        </w:rPr>
        <w:t>ו</w:t>
      </w:r>
      <w:r w:rsidRPr="001E7361">
        <w:rPr>
          <w:rtl/>
        </w:rPr>
        <w:t>חברות מתחרות</w:t>
      </w:r>
      <w:bookmarkEnd w:id="15"/>
      <w:r w:rsidRPr="001E7361">
        <w:rPr>
          <w:rFonts w:hint="cs"/>
          <w:rtl/>
        </w:rPr>
        <w:t xml:space="preserve"> מבחינת ההכנסות והרווח</w:t>
      </w:r>
    </w:p>
    <w:p w:rsidR="00C149B0" w:rsidRPr="00D94367" w:rsidP="005E450C" w14:paraId="5A231BBB" w14:textId="77777777">
      <w:pPr>
        <w:pStyle w:val="7392"/>
        <w:rPr>
          <w:rtl/>
        </w:rPr>
      </w:pPr>
      <w:r w:rsidRPr="00D94367">
        <w:rPr>
          <w:rtl/>
        </w:rPr>
        <w:t xml:space="preserve">בישראל פועלות שלוש </w:t>
      </w:r>
      <w:r w:rsidRPr="00D94367">
        <w:rPr>
          <w:rFonts w:hint="cs"/>
          <w:rtl/>
        </w:rPr>
        <w:t>חברות ביטחוניות גדולות</w:t>
      </w:r>
      <w:r w:rsidRPr="00D94367">
        <w:rPr>
          <w:rtl/>
        </w:rPr>
        <w:t xml:space="preserve">: </w:t>
      </w:r>
      <w:r w:rsidRPr="00D94367">
        <w:rPr>
          <w:rFonts w:hint="cs"/>
          <w:rtl/>
        </w:rPr>
        <w:t>התע"א</w:t>
      </w:r>
      <w:r w:rsidRPr="00D94367">
        <w:rPr>
          <w:rFonts w:hint="cs"/>
          <w:rtl/>
        </w:rPr>
        <w:t xml:space="preserve">, </w:t>
      </w:r>
      <w:r w:rsidRPr="00D94367">
        <w:rPr>
          <w:rtl/>
        </w:rPr>
        <w:t xml:space="preserve">אלביט מערכות בע"מ (להלן - אלביט) </w:t>
      </w:r>
      <w:r w:rsidRPr="00D94367">
        <w:rPr>
          <w:rFonts w:hint="cs"/>
          <w:rtl/>
        </w:rPr>
        <w:t>ורפאל (</w:t>
      </w:r>
      <w:r w:rsidRPr="00D94367">
        <w:rPr>
          <w:rtl/>
        </w:rPr>
        <w:t xml:space="preserve">להלן - שלוש </w:t>
      </w:r>
      <w:r w:rsidRPr="00D94367">
        <w:rPr>
          <w:rFonts w:hint="cs"/>
          <w:rtl/>
        </w:rPr>
        <w:t>התעשיות ה</w:t>
      </w:r>
      <w:r w:rsidRPr="00D94367">
        <w:rPr>
          <w:rtl/>
        </w:rPr>
        <w:t>ביטחוניות</w:t>
      </w:r>
      <w:r w:rsidRPr="00D94367">
        <w:rPr>
          <w:rFonts w:hint="cs"/>
          <w:rtl/>
        </w:rPr>
        <w:t xml:space="preserve"> הגדולות בישראל</w:t>
      </w:r>
      <w:r w:rsidRPr="00D94367">
        <w:rPr>
          <w:rtl/>
        </w:rPr>
        <w:t>). רפאל</w:t>
      </w:r>
      <w:r w:rsidRPr="00D94367">
        <w:rPr>
          <w:rFonts w:hint="cs"/>
          <w:rtl/>
        </w:rPr>
        <w:t xml:space="preserve"> </w:t>
      </w:r>
      <w:r w:rsidRPr="00D94367">
        <w:rPr>
          <w:rFonts w:hint="cs"/>
          <w:rtl/>
        </w:rPr>
        <w:t>והתע"א</w:t>
      </w:r>
      <w:r w:rsidRPr="00D94367">
        <w:rPr>
          <w:rFonts w:hint="cs"/>
          <w:rtl/>
        </w:rPr>
        <w:t xml:space="preserve"> הן </w:t>
      </w:r>
      <w:r w:rsidRPr="00D94367">
        <w:rPr>
          <w:rtl/>
        </w:rPr>
        <w:t>חברות ממשלתיות, אלביט היא חברה ציבורית.</w:t>
      </w:r>
    </w:p>
    <w:p w:rsidR="00C149B0" w:rsidP="005E450C" w14:paraId="0FEBAD81" w14:textId="77777777">
      <w:pPr>
        <w:pStyle w:val="7392"/>
        <w:rPr>
          <w:rtl/>
        </w:rPr>
      </w:pPr>
      <w:r w:rsidRPr="00D94367">
        <w:rPr>
          <w:rFonts w:hint="cs"/>
          <w:rtl/>
        </w:rPr>
        <w:t xml:space="preserve">להלן </w:t>
      </w:r>
      <w:r>
        <w:rPr>
          <w:rFonts w:hint="cs"/>
          <w:rtl/>
        </w:rPr>
        <w:t xml:space="preserve">מפורט </w:t>
      </w:r>
      <w:r w:rsidRPr="00D94367">
        <w:rPr>
          <w:rFonts w:hint="cs"/>
          <w:rtl/>
        </w:rPr>
        <w:t xml:space="preserve">בלוח דירוגן של שלוש התעשיות הביטחוניות הגדולות בישראל ברשימת התעשיות הצבאיות ברחבי העולם על פי היקף הכנסותיהן בתחום הצבאי. </w:t>
      </w:r>
    </w:p>
    <w:p w:rsidR="00C149B0" w:rsidRPr="005E450C" w:rsidP="005E450C" w14:paraId="5F6BD5CC" w14:textId="77777777">
      <w:pPr>
        <w:pStyle w:val="734"/>
        <w:rPr>
          <w:rtl/>
        </w:rPr>
      </w:pPr>
      <w:r w:rsidRPr="005E450C">
        <w:rPr>
          <w:rFonts w:hint="eastAsia"/>
          <w:b w:val="0"/>
          <w:bCs w:val="0"/>
          <w:rtl/>
        </w:rPr>
        <w:t>לוח</w:t>
      </w:r>
      <w:r w:rsidRPr="005E450C">
        <w:rPr>
          <w:b w:val="0"/>
          <w:bCs w:val="0"/>
          <w:rtl/>
        </w:rPr>
        <w:t xml:space="preserve"> 2:</w:t>
      </w:r>
      <w:r w:rsidRPr="005E450C">
        <w:rPr>
          <w:rFonts w:hint="cs"/>
          <w:rtl/>
        </w:rPr>
        <w:t xml:space="preserve"> דירוג שלוש התעשיות הביטחוניות הגדולות לפי הכנסותיהן בתחום הצבאי מתוך 100 חברות ביטחוניות בעולם, 2017 - 2021</w:t>
      </w:r>
    </w:p>
    <w:tbl>
      <w:tblPr>
        <w:bidiVisual/>
        <w:tblW w:w="5000" w:type="pct"/>
        <w:jc w:val="center"/>
        <w:tblBorders>
          <w:left w:val="single" w:sz="4" w:space="0" w:color="000000" w:themeColor="text1"/>
          <w:right w:val="single" w:sz="4" w:space="0" w:color="000000" w:themeColor="text1"/>
          <w:insideV w:val="single" w:sz="4" w:space="0" w:color="000000" w:themeColor="text1"/>
        </w:tblBorders>
        <w:tblLook w:val="04A0"/>
      </w:tblPr>
      <w:tblGrid>
        <w:gridCol w:w="1227"/>
        <w:gridCol w:w="1227"/>
        <w:gridCol w:w="1227"/>
        <w:gridCol w:w="1227"/>
        <w:gridCol w:w="1226"/>
        <w:gridCol w:w="1226"/>
      </w:tblGrid>
      <w:tr w14:paraId="6B657C62" w14:textId="77777777" w:rsidTr="005E450C">
        <w:tblPrEx>
          <w:tblW w:w="5000" w:type="pct"/>
          <w:jc w:val="center"/>
          <w:tblBorders>
            <w:left w:val="single" w:sz="4" w:space="0" w:color="000000" w:themeColor="text1"/>
            <w:right w:val="single" w:sz="4" w:space="0" w:color="000000" w:themeColor="text1"/>
            <w:insideV w:val="single" w:sz="4" w:space="0" w:color="000000" w:themeColor="text1"/>
          </w:tblBorders>
          <w:tblLook w:val="04A0"/>
        </w:tblPrEx>
        <w:trPr>
          <w:trHeight w:val="300"/>
          <w:jc w:val="center"/>
        </w:trPr>
        <w:tc>
          <w:tcPr>
            <w:tcW w:w="833" w:type="pct"/>
            <w:shd w:val="clear" w:color="auto" w:fill="C8DCE4"/>
            <w:vAlign w:val="center"/>
            <w:hideMark/>
          </w:tcPr>
          <w:p w:rsidR="00C149B0" w:rsidRPr="005E450C" w:rsidP="005E450C" w14:paraId="46F5EC32" w14:textId="77777777">
            <w:pPr>
              <w:pStyle w:val="73R"/>
              <w:rPr>
                <w:b/>
                <w:bCs/>
              </w:rPr>
            </w:pPr>
          </w:p>
        </w:tc>
        <w:tc>
          <w:tcPr>
            <w:tcW w:w="833" w:type="pct"/>
            <w:shd w:val="clear" w:color="auto" w:fill="C8DCE4"/>
            <w:vAlign w:val="center"/>
            <w:hideMark/>
          </w:tcPr>
          <w:p w:rsidR="00C149B0" w:rsidRPr="005E450C" w:rsidP="005E450C" w14:paraId="63730205" w14:textId="77777777">
            <w:pPr>
              <w:pStyle w:val="73R"/>
              <w:rPr>
                <w:b/>
                <w:bCs/>
                <w:rtl/>
              </w:rPr>
            </w:pPr>
            <w:r w:rsidRPr="005E450C">
              <w:rPr>
                <w:b/>
                <w:bCs/>
                <w:rtl/>
              </w:rPr>
              <w:t>2017</w:t>
            </w:r>
          </w:p>
        </w:tc>
        <w:tc>
          <w:tcPr>
            <w:tcW w:w="833" w:type="pct"/>
            <w:shd w:val="clear" w:color="auto" w:fill="C8DCE4"/>
            <w:vAlign w:val="center"/>
            <w:hideMark/>
          </w:tcPr>
          <w:p w:rsidR="00C149B0" w:rsidRPr="005E450C" w:rsidP="005E450C" w14:paraId="4E215B13" w14:textId="77777777">
            <w:pPr>
              <w:pStyle w:val="73R"/>
              <w:rPr>
                <w:b/>
                <w:bCs/>
                <w:rtl/>
              </w:rPr>
            </w:pPr>
            <w:r w:rsidRPr="005E450C">
              <w:rPr>
                <w:b/>
                <w:bCs/>
                <w:rtl/>
              </w:rPr>
              <w:t>2018</w:t>
            </w:r>
          </w:p>
        </w:tc>
        <w:tc>
          <w:tcPr>
            <w:tcW w:w="833" w:type="pct"/>
            <w:shd w:val="clear" w:color="auto" w:fill="C8DCE4"/>
            <w:vAlign w:val="center"/>
            <w:hideMark/>
          </w:tcPr>
          <w:p w:rsidR="00C149B0" w:rsidRPr="005E450C" w:rsidP="005E450C" w14:paraId="70AFB8E6" w14:textId="77777777">
            <w:pPr>
              <w:pStyle w:val="73R"/>
              <w:rPr>
                <w:b/>
                <w:bCs/>
                <w:rtl/>
              </w:rPr>
            </w:pPr>
            <w:r w:rsidRPr="005E450C">
              <w:rPr>
                <w:b/>
                <w:bCs/>
                <w:rtl/>
              </w:rPr>
              <w:t>2019</w:t>
            </w:r>
          </w:p>
        </w:tc>
        <w:tc>
          <w:tcPr>
            <w:tcW w:w="833" w:type="pct"/>
            <w:shd w:val="clear" w:color="auto" w:fill="C8DCE4"/>
            <w:vAlign w:val="center"/>
            <w:hideMark/>
          </w:tcPr>
          <w:p w:rsidR="00C149B0" w:rsidRPr="005E450C" w:rsidP="005E450C" w14:paraId="205536F5" w14:textId="77777777">
            <w:pPr>
              <w:pStyle w:val="73R"/>
              <w:rPr>
                <w:b/>
                <w:bCs/>
                <w:rtl/>
              </w:rPr>
            </w:pPr>
            <w:r w:rsidRPr="005E450C">
              <w:rPr>
                <w:b/>
                <w:bCs/>
                <w:rtl/>
              </w:rPr>
              <w:t>2020</w:t>
            </w:r>
          </w:p>
        </w:tc>
        <w:tc>
          <w:tcPr>
            <w:tcW w:w="833" w:type="pct"/>
            <w:shd w:val="clear" w:color="auto" w:fill="C8DCE4"/>
            <w:vAlign w:val="center"/>
            <w:hideMark/>
          </w:tcPr>
          <w:p w:rsidR="00C149B0" w:rsidRPr="005E450C" w:rsidP="005E450C" w14:paraId="002A21F6" w14:textId="77777777">
            <w:pPr>
              <w:pStyle w:val="73R"/>
              <w:rPr>
                <w:b/>
                <w:bCs/>
                <w:rtl/>
              </w:rPr>
            </w:pPr>
            <w:r w:rsidRPr="005E450C">
              <w:rPr>
                <w:b/>
                <w:bCs/>
                <w:rtl/>
              </w:rPr>
              <w:t>2021</w:t>
            </w:r>
          </w:p>
        </w:tc>
      </w:tr>
      <w:tr w14:paraId="47DE85FC" w14:textId="77777777" w:rsidTr="005E450C">
        <w:tblPrEx>
          <w:tblW w:w="5000" w:type="pct"/>
          <w:jc w:val="center"/>
          <w:tblLook w:val="04A0"/>
        </w:tblPrEx>
        <w:trPr>
          <w:trHeight w:val="300"/>
          <w:jc w:val="center"/>
        </w:trPr>
        <w:tc>
          <w:tcPr>
            <w:tcW w:w="833" w:type="pct"/>
            <w:shd w:val="clear" w:color="auto" w:fill="DFECEF"/>
            <w:vAlign w:val="center"/>
            <w:hideMark/>
          </w:tcPr>
          <w:p w:rsidR="00C149B0" w:rsidRPr="005E450C" w:rsidP="005E450C" w14:paraId="2F61A747" w14:textId="77777777">
            <w:pPr>
              <w:pStyle w:val="73R"/>
              <w:rPr>
                <w:rtl/>
              </w:rPr>
            </w:pPr>
            <w:r w:rsidRPr="005E450C">
              <w:rPr>
                <w:rtl/>
              </w:rPr>
              <w:t>אלביט</w:t>
            </w:r>
            <w:r w:rsidRPr="009C31CB">
              <w:rPr>
                <w:vertAlign w:val="superscript"/>
                <w:rtl/>
              </w:rPr>
              <w:t>(1)</w:t>
            </w:r>
          </w:p>
        </w:tc>
        <w:tc>
          <w:tcPr>
            <w:tcW w:w="833" w:type="pct"/>
            <w:shd w:val="clear" w:color="auto" w:fill="DFECEF"/>
            <w:vAlign w:val="center"/>
            <w:hideMark/>
          </w:tcPr>
          <w:p w:rsidR="00C149B0" w:rsidRPr="005E450C" w:rsidP="005E450C" w14:paraId="505B1167" w14:textId="77777777">
            <w:pPr>
              <w:pStyle w:val="73R"/>
              <w:rPr>
                <w:rtl/>
              </w:rPr>
            </w:pPr>
            <w:r w:rsidRPr="005E450C">
              <w:rPr>
                <w:rtl/>
              </w:rPr>
              <w:t>28</w:t>
            </w:r>
          </w:p>
        </w:tc>
        <w:tc>
          <w:tcPr>
            <w:tcW w:w="833" w:type="pct"/>
            <w:shd w:val="clear" w:color="auto" w:fill="DFECEF"/>
            <w:vAlign w:val="center"/>
            <w:hideMark/>
          </w:tcPr>
          <w:p w:rsidR="00C149B0" w:rsidRPr="005E450C" w:rsidP="005E450C" w14:paraId="50B7889D" w14:textId="77777777">
            <w:pPr>
              <w:pStyle w:val="73R"/>
              <w:rPr>
                <w:rtl/>
              </w:rPr>
            </w:pPr>
            <w:r w:rsidRPr="005E450C">
              <w:rPr>
                <w:rtl/>
              </w:rPr>
              <w:t>35</w:t>
            </w:r>
          </w:p>
        </w:tc>
        <w:tc>
          <w:tcPr>
            <w:tcW w:w="833" w:type="pct"/>
            <w:shd w:val="clear" w:color="auto" w:fill="DFECEF"/>
            <w:vAlign w:val="center"/>
            <w:hideMark/>
          </w:tcPr>
          <w:p w:rsidR="00C149B0" w:rsidRPr="005E450C" w:rsidP="005E450C" w14:paraId="2C00D3F7" w14:textId="77777777">
            <w:pPr>
              <w:pStyle w:val="73R"/>
              <w:rPr>
                <w:rtl/>
              </w:rPr>
            </w:pPr>
            <w:r w:rsidRPr="005E450C">
              <w:rPr>
                <w:rtl/>
              </w:rPr>
              <w:t>31</w:t>
            </w:r>
          </w:p>
        </w:tc>
        <w:tc>
          <w:tcPr>
            <w:tcW w:w="833" w:type="pct"/>
            <w:shd w:val="clear" w:color="auto" w:fill="DFECEF"/>
            <w:vAlign w:val="center"/>
            <w:hideMark/>
          </w:tcPr>
          <w:p w:rsidR="00C149B0" w:rsidRPr="005E450C" w:rsidP="005E450C" w14:paraId="36D077E8" w14:textId="77777777">
            <w:pPr>
              <w:pStyle w:val="73R"/>
              <w:rPr>
                <w:rtl/>
              </w:rPr>
            </w:pPr>
            <w:r w:rsidRPr="005E450C">
              <w:rPr>
                <w:rtl/>
              </w:rPr>
              <w:t>30</w:t>
            </w:r>
          </w:p>
        </w:tc>
        <w:tc>
          <w:tcPr>
            <w:tcW w:w="833" w:type="pct"/>
            <w:shd w:val="clear" w:color="auto" w:fill="DFECEF"/>
            <w:vAlign w:val="center"/>
            <w:hideMark/>
          </w:tcPr>
          <w:p w:rsidR="00C149B0" w:rsidRPr="005E450C" w:rsidP="005E450C" w14:paraId="7694DC90" w14:textId="77777777">
            <w:pPr>
              <w:pStyle w:val="73R"/>
              <w:rPr>
                <w:rtl/>
              </w:rPr>
            </w:pPr>
            <w:r w:rsidRPr="005E450C">
              <w:rPr>
                <w:rtl/>
              </w:rPr>
              <w:t>31</w:t>
            </w:r>
          </w:p>
        </w:tc>
      </w:tr>
      <w:tr w14:paraId="399E13D3" w14:textId="77777777" w:rsidTr="005E450C">
        <w:tblPrEx>
          <w:tblW w:w="5000" w:type="pct"/>
          <w:jc w:val="center"/>
          <w:tblLook w:val="04A0"/>
        </w:tblPrEx>
        <w:trPr>
          <w:trHeight w:val="300"/>
          <w:jc w:val="center"/>
        </w:trPr>
        <w:tc>
          <w:tcPr>
            <w:tcW w:w="833" w:type="pct"/>
            <w:shd w:val="clear" w:color="auto" w:fill="F0F8F9"/>
            <w:vAlign w:val="center"/>
            <w:hideMark/>
          </w:tcPr>
          <w:p w:rsidR="00C149B0" w:rsidRPr="005E450C" w:rsidP="005E450C" w14:paraId="3EC6F02F" w14:textId="77777777">
            <w:pPr>
              <w:pStyle w:val="73R"/>
              <w:rPr>
                <w:rtl/>
              </w:rPr>
            </w:pPr>
            <w:r w:rsidRPr="005E450C">
              <w:rPr>
                <w:rtl/>
              </w:rPr>
              <w:t>תע"א</w:t>
            </w:r>
          </w:p>
        </w:tc>
        <w:tc>
          <w:tcPr>
            <w:tcW w:w="833" w:type="pct"/>
            <w:shd w:val="clear" w:color="auto" w:fill="F0F8F9"/>
            <w:vAlign w:val="center"/>
            <w:hideMark/>
          </w:tcPr>
          <w:p w:rsidR="00C149B0" w:rsidRPr="005E450C" w:rsidP="005E450C" w14:paraId="70F91A88" w14:textId="77777777">
            <w:pPr>
              <w:pStyle w:val="73R"/>
              <w:rPr>
                <w:rtl/>
              </w:rPr>
            </w:pPr>
            <w:r w:rsidRPr="005E450C">
              <w:rPr>
                <w:rtl/>
              </w:rPr>
              <w:t>39</w:t>
            </w:r>
          </w:p>
        </w:tc>
        <w:tc>
          <w:tcPr>
            <w:tcW w:w="833" w:type="pct"/>
            <w:shd w:val="clear" w:color="auto" w:fill="F0F8F9"/>
            <w:vAlign w:val="center"/>
            <w:hideMark/>
          </w:tcPr>
          <w:p w:rsidR="00C149B0" w:rsidRPr="005E450C" w:rsidP="005E450C" w14:paraId="1F7BBCFC" w14:textId="77777777">
            <w:pPr>
              <w:pStyle w:val="73R"/>
              <w:rPr>
                <w:rtl/>
              </w:rPr>
            </w:pPr>
            <w:r w:rsidRPr="005E450C">
              <w:rPr>
                <w:rtl/>
              </w:rPr>
              <w:t>44</w:t>
            </w:r>
          </w:p>
        </w:tc>
        <w:tc>
          <w:tcPr>
            <w:tcW w:w="833" w:type="pct"/>
            <w:shd w:val="clear" w:color="auto" w:fill="F0F8F9"/>
            <w:vAlign w:val="center"/>
            <w:hideMark/>
          </w:tcPr>
          <w:p w:rsidR="00C149B0" w:rsidRPr="005E450C" w:rsidP="005E450C" w14:paraId="690DC079" w14:textId="77777777">
            <w:pPr>
              <w:pStyle w:val="73R"/>
              <w:rPr>
                <w:rtl/>
              </w:rPr>
            </w:pPr>
            <w:r w:rsidRPr="005E450C">
              <w:rPr>
                <w:rtl/>
              </w:rPr>
              <w:t>41</w:t>
            </w:r>
          </w:p>
        </w:tc>
        <w:tc>
          <w:tcPr>
            <w:tcW w:w="833" w:type="pct"/>
            <w:shd w:val="clear" w:color="auto" w:fill="F0F8F9"/>
            <w:vAlign w:val="center"/>
            <w:hideMark/>
          </w:tcPr>
          <w:p w:rsidR="00C149B0" w:rsidRPr="005E450C" w:rsidP="005E450C" w14:paraId="4F9DD33F" w14:textId="77777777">
            <w:pPr>
              <w:pStyle w:val="73R"/>
              <w:rPr>
                <w:rtl/>
              </w:rPr>
            </w:pPr>
            <w:r w:rsidRPr="005E450C">
              <w:rPr>
                <w:rtl/>
              </w:rPr>
              <w:t>37</w:t>
            </w:r>
          </w:p>
        </w:tc>
        <w:tc>
          <w:tcPr>
            <w:tcW w:w="833" w:type="pct"/>
            <w:shd w:val="clear" w:color="auto" w:fill="F0F8F9"/>
            <w:vAlign w:val="center"/>
            <w:hideMark/>
          </w:tcPr>
          <w:p w:rsidR="00C149B0" w:rsidRPr="005E450C" w:rsidP="005E450C" w14:paraId="74BE0A4D" w14:textId="77777777">
            <w:pPr>
              <w:pStyle w:val="73R"/>
              <w:rPr>
                <w:rtl/>
              </w:rPr>
            </w:pPr>
            <w:r w:rsidRPr="005E450C">
              <w:rPr>
                <w:rtl/>
              </w:rPr>
              <w:t>37</w:t>
            </w:r>
          </w:p>
        </w:tc>
      </w:tr>
      <w:tr w14:paraId="5D6D8AA6" w14:textId="77777777" w:rsidTr="005E450C">
        <w:tblPrEx>
          <w:tblW w:w="5000" w:type="pct"/>
          <w:jc w:val="center"/>
          <w:tblLook w:val="04A0"/>
        </w:tblPrEx>
        <w:trPr>
          <w:trHeight w:val="300"/>
          <w:jc w:val="center"/>
        </w:trPr>
        <w:tc>
          <w:tcPr>
            <w:tcW w:w="833" w:type="pct"/>
            <w:shd w:val="clear" w:color="auto" w:fill="DFECEF"/>
            <w:vAlign w:val="center"/>
            <w:hideMark/>
          </w:tcPr>
          <w:p w:rsidR="00C149B0" w:rsidRPr="005E450C" w:rsidP="005E450C" w14:paraId="006B5634" w14:textId="77777777">
            <w:pPr>
              <w:pStyle w:val="73R"/>
              <w:rPr>
                <w:rtl/>
              </w:rPr>
            </w:pPr>
            <w:r w:rsidRPr="005E450C">
              <w:rPr>
                <w:rtl/>
              </w:rPr>
              <w:t>רפאל</w:t>
            </w:r>
            <w:r w:rsidRPr="009C31CB">
              <w:rPr>
                <w:rFonts w:hint="cs"/>
                <w:vertAlign w:val="superscript"/>
                <w:rtl/>
              </w:rPr>
              <w:t>(2)</w:t>
            </w:r>
          </w:p>
        </w:tc>
        <w:tc>
          <w:tcPr>
            <w:tcW w:w="833" w:type="pct"/>
            <w:shd w:val="clear" w:color="auto" w:fill="DFECEF"/>
            <w:vAlign w:val="center"/>
            <w:hideMark/>
          </w:tcPr>
          <w:p w:rsidR="00C149B0" w:rsidRPr="005E450C" w:rsidP="005E450C" w14:paraId="30D6C67C" w14:textId="77777777">
            <w:pPr>
              <w:pStyle w:val="73R"/>
              <w:rPr>
                <w:rtl/>
              </w:rPr>
            </w:pPr>
            <w:r w:rsidRPr="005E450C">
              <w:rPr>
                <w:rtl/>
              </w:rPr>
              <w:t>42</w:t>
            </w:r>
          </w:p>
        </w:tc>
        <w:tc>
          <w:tcPr>
            <w:tcW w:w="833" w:type="pct"/>
            <w:shd w:val="clear" w:color="auto" w:fill="DFECEF"/>
            <w:vAlign w:val="center"/>
            <w:hideMark/>
          </w:tcPr>
          <w:p w:rsidR="00C149B0" w:rsidRPr="005E450C" w:rsidP="005E450C" w14:paraId="3A89425D" w14:textId="77777777">
            <w:pPr>
              <w:pStyle w:val="73R"/>
              <w:rPr>
                <w:rtl/>
              </w:rPr>
            </w:pPr>
            <w:r w:rsidRPr="005E450C">
              <w:rPr>
                <w:rtl/>
              </w:rPr>
              <w:t>46</w:t>
            </w:r>
          </w:p>
        </w:tc>
        <w:tc>
          <w:tcPr>
            <w:tcW w:w="833" w:type="pct"/>
            <w:shd w:val="clear" w:color="auto" w:fill="DFECEF"/>
            <w:vAlign w:val="center"/>
            <w:hideMark/>
          </w:tcPr>
          <w:p w:rsidR="00C149B0" w:rsidRPr="005E450C" w:rsidP="005E450C" w14:paraId="3EC3BB6C" w14:textId="77777777">
            <w:pPr>
              <w:pStyle w:val="73R"/>
              <w:rPr>
                <w:rtl/>
              </w:rPr>
            </w:pPr>
            <w:r w:rsidRPr="005E450C">
              <w:rPr>
                <w:rtl/>
              </w:rPr>
              <w:t>44</w:t>
            </w:r>
          </w:p>
        </w:tc>
        <w:tc>
          <w:tcPr>
            <w:tcW w:w="833" w:type="pct"/>
            <w:shd w:val="clear" w:color="auto" w:fill="DFECEF"/>
            <w:vAlign w:val="center"/>
            <w:hideMark/>
          </w:tcPr>
          <w:p w:rsidR="00C149B0" w:rsidRPr="005E450C" w:rsidP="005E450C" w14:paraId="75F9E0EB" w14:textId="77777777">
            <w:pPr>
              <w:pStyle w:val="73R"/>
              <w:rPr>
                <w:rtl/>
              </w:rPr>
            </w:pPr>
            <w:r w:rsidRPr="005E450C">
              <w:rPr>
                <w:rtl/>
              </w:rPr>
              <w:t>44</w:t>
            </w:r>
          </w:p>
        </w:tc>
        <w:tc>
          <w:tcPr>
            <w:tcW w:w="833" w:type="pct"/>
            <w:shd w:val="clear" w:color="auto" w:fill="DFECEF"/>
            <w:vAlign w:val="center"/>
            <w:hideMark/>
          </w:tcPr>
          <w:p w:rsidR="00C149B0" w:rsidRPr="005E450C" w:rsidP="005E450C" w14:paraId="0E368A8A" w14:textId="77777777">
            <w:pPr>
              <w:pStyle w:val="73R"/>
              <w:rPr>
                <w:rtl/>
              </w:rPr>
            </w:pPr>
            <w:r w:rsidRPr="005E450C">
              <w:rPr>
                <w:rtl/>
              </w:rPr>
              <w:t>41</w:t>
            </w:r>
          </w:p>
        </w:tc>
      </w:tr>
    </w:tbl>
    <w:p w:rsidR="00C149B0" w:rsidRPr="005E450C" w:rsidP="005E450C" w14:paraId="4E6CFD30" w14:textId="77777777">
      <w:pPr>
        <w:pStyle w:val="738"/>
        <w:spacing w:after="0"/>
        <w:rPr>
          <w:rtl/>
        </w:rPr>
      </w:pPr>
      <w:r w:rsidRPr="005E450C">
        <w:rPr>
          <w:rFonts w:hint="eastAsia"/>
          <w:rtl/>
        </w:rPr>
        <w:t>המקור</w:t>
      </w:r>
      <w:r w:rsidRPr="005E450C">
        <w:rPr>
          <w:rtl/>
        </w:rPr>
        <w:t xml:space="preserve">: </w:t>
      </w:r>
      <w:r w:rsidRPr="005E450C">
        <w:rPr>
          <w:rFonts w:hint="cs"/>
          <w:rtl/>
        </w:rPr>
        <w:t>אתר האינטרנט</w:t>
      </w:r>
      <w:r w:rsidRPr="005E450C">
        <w:t xml:space="preserve">Defense news </w:t>
      </w:r>
      <w:r w:rsidRPr="005E450C">
        <w:rPr>
          <w:rtl/>
        </w:rPr>
        <w:t>.</w:t>
      </w:r>
    </w:p>
    <w:p w:rsidR="00C149B0" w:rsidRPr="005E450C" w:rsidP="005E450C" w14:paraId="37BC20B5" w14:textId="77777777">
      <w:pPr>
        <w:pStyle w:val="738"/>
        <w:spacing w:before="0" w:after="0"/>
        <w:rPr>
          <w:rtl/>
        </w:rPr>
      </w:pPr>
      <w:r w:rsidRPr="005E450C">
        <w:rPr>
          <w:rFonts w:hint="cs"/>
          <w:rtl/>
        </w:rPr>
        <w:t xml:space="preserve">(1) </w:t>
      </w:r>
      <w:r w:rsidRPr="005E450C">
        <w:rPr>
          <w:rFonts w:hint="eastAsia"/>
          <w:rtl/>
        </w:rPr>
        <w:t>בנובמבר</w:t>
      </w:r>
      <w:r w:rsidRPr="005E450C">
        <w:rPr>
          <w:rtl/>
        </w:rPr>
        <w:t xml:space="preserve"> 2018 </w:t>
      </w:r>
      <w:r w:rsidRPr="005E450C">
        <w:rPr>
          <w:rFonts w:hint="eastAsia"/>
          <w:rtl/>
        </w:rPr>
        <w:t>מוזגה</w:t>
      </w:r>
      <w:r w:rsidRPr="005E450C">
        <w:rPr>
          <w:rtl/>
        </w:rPr>
        <w:t xml:space="preserve"> </w:t>
      </w:r>
      <w:r w:rsidRPr="005E450C">
        <w:rPr>
          <w:rFonts w:hint="eastAsia"/>
          <w:rtl/>
        </w:rPr>
        <w:t>פעילותה</w:t>
      </w:r>
      <w:r w:rsidRPr="005E450C">
        <w:rPr>
          <w:rtl/>
        </w:rPr>
        <w:t xml:space="preserve"> </w:t>
      </w:r>
      <w:r w:rsidRPr="005E450C">
        <w:rPr>
          <w:rFonts w:hint="eastAsia"/>
          <w:rtl/>
        </w:rPr>
        <w:t>של</w:t>
      </w:r>
      <w:r w:rsidRPr="005E450C">
        <w:rPr>
          <w:rtl/>
        </w:rPr>
        <w:t xml:space="preserve"> </w:t>
      </w:r>
      <w:r w:rsidRPr="005E450C">
        <w:rPr>
          <w:rFonts w:hint="eastAsia"/>
          <w:rtl/>
        </w:rPr>
        <w:t>חברת</w:t>
      </w:r>
      <w:r w:rsidRPr="005E450C">
        <w:rPr>
          <w:rtl/>
        </w:rPr>
        <w:t xml:space="preserve"> </w:t>
      </w:r>
      <w:r w:rsidRPr="005E450C">
        <w:rPr>
          <w:rFonts w:hint="eastAsia"/>
          <w:rtl/>
        </w:rPr>
        <w:t>תעש</w:t>
      </w:r>
      <w:r w:rsidRPr="005E450C">
        <w:rPr>
          <w:rtl/>
        </w:rPr>
        <w:t xml:space="preserve"> </w:t>
      </w:r>
      <w:r w:rsidRPr="005E450C">
        <w:rPr>
          <w:rFonts w:hint="eastAsia"/>
          <w:rtl/>
        </w:rPr>
        <w:t>מערכות</w:t>
      </w:r>
      <w:r w:rsidRPr="005E450C">
        <w:rPr>
          <w:rtl/>
        </w:rPr>
        <w:t xml:space="preserve"> </w:t>
      </w:r>
      <w:r w:rsidRPr="005E450C">
        <w:rPr>
          <w:rFonts w:hint="eastAsia"/>
          <w:rtl/>
        </w:rPr>
        <w:t>בע</w:t>
      </w:r>
      <w:r w:rsidRPr="005E450C">
        <w:rPr>
          <w:rtl/>
        </w:rPr>
        <w:t xml:space="preserve">"מ </w:t>
      </w:r>
      <w:r w:rsidRPr="005E450C">
        <w:rPr>
          <w:rFonts w:hint="eastAsia"/>
          <w:rtl/>
        </w:rPr>
        <w:t>באלביט</w:t>
      </w:r>
      <w:r w:rsidRPr="005E450C">
        <w:rPr>
          <w:rtl/>
        </w:rPr>
        <w:t>.</w:t>
      </w:r>
    </w:p>
    <w:p w:rsidR="00C149B0" w:rsidRPr="005E450C" w:rsidP="005E450C" w14:paraId="473F99BE" w14:textId="77777777">
      <w:pPr>
        <w:pStyle w:val="738"/>
        <w:spacing w:before="0"/>
        <w:rPr>
          <w:rtl/>
        </w:rPr>
      </w:pPr>
      <w:r w:rsidRPr="005E450C">
        <w:rPr>
          <w:rFonts w:hint="cs"/>
          <w:rtl/>
        </w:rPr>
        <w:t xml:space="preserve">(2) באפריל 2021 אוחדו דוחות </w:t>
      </w:r>
      <w:r w:rsidRPr="005E450C">
        <w:rPr>
          <w:rFonts w:hint="cs"/>
          <w:rtl/>
        </w:rPr>
        <w:t>אירונאוטיקס</w:t>
      </w:r>
      <w:r w:rsidRPr="005E450C">
        <w:rPr>
          <w:rFonts w:hint="cs"/>
          <w:rtl/>
        </w:rPr>
        <w:t xml:space="preserve"> </w:t>
      </w:r>
      <w:r w:rsidRPr="005E450C">
        <w:rPr>
          <w:rFonts w:hint="cs"/>
          <w:rtl/>
        </w:rPr>
        <w:t>וקונטרופ</w:t>
      </w:r>
      <w:r w:rsidRPr="005E450C">
        <w:rPr>
          <w:rFonts w:hint="cs"/>
          <w:rtl/>
        </w:rPr>
        <w:t xml:space="preserve"> עם דוחותיה של רפאל.</w:t>
      </w:r>
    </w:p>
    <w:p w:rsidR="00C149B0" w:rsidRPr="005E450C" w:rsidP="005E450C" w14:paraId="6DF9EDA1" w14:textId="77777777">
      <w:pPr>
        <w:pStyle w:val="7318"/>
        <w:rPr>
          <w:rtl/>
        </w:rPr>
      </w:pPr>
      <w:r w:rsidRPr="005E450C">
        <w:rPr>
          <w:rFonts w:hint="cs"/>
          <w:rtl/>
        </w:rPr>
        <w:t xml:space="preserve">מהלוח עולה כי בשנים 2017 - 2021 דורגה רפאל בדירוג נמוך מזה של אלביט </w:t>
      </w:r>
      <w:r w:rsidRPr="005E450C">
        <w:rPr>
          <w:rFonts w:hint="cs"/>
          <w:rtl/>
        </w:rPr>
        <w:t>והתע"א</w:t>
      </w:r>
      <w:r w:rsidRPr="005E450C">
        <w:rPr>
          <w:rFonts w:hint="cs"/>
          <w:rtl/>
        </w:rPr>
        <w:t xml:space="preserve"> לפי ההכנסות בתחום הצבאי; וכי בשנים 2017 עד 2021 השתפר דירוגה בדרגה אחת. עוד עולה כי בשנת 2021 השיגה רפאל את השיפור הטוב ביותר בדירוג לעומת שתי התעשיות הביטחוניות הישראליות האחרות. </w:t>
      </w:r>
    </w:p>
    <w:p w:rsidR="00C149B0" w:rsidRPr="005E450C" w:rsidP="005E450C" w14:paraId="281E3100" w14:textId="77777777">
      <w:pPr>
        <w:pStyle w:val="7392"/>
        <w:rPr>
          <w:rtl/>
        </w:rPr>
      </w:pPr>
      <w:r w:rsidRPr="005E450C">
        <w:rPr>
          <w:rFonts w:hint="cs"/>
          <w:rtl/>
        </w:rPr>
        <w:t>להלן בתרשימים הבאים מוצגים נתונים השוואתיים של ההכנסות ממכירות ושל שיעורי הרווח הגולמי והתפעולי של החברות הביטחוניות הגדולות בישראל:</w:t>
      </w:r>
    </w:p>
    <w:p w:rsidR="000A5ABA" w14:paraId="71582A25" w14:textId="77777777">
      <w:pPr>
        <w:bidi w:val="0"/>
        <w:spacing w:after="200" w:line="276" w:lineRule="auto"/>
        <w:rPr>
          <w:rFonts w:ascii="Tahoma" w:hAnsi="Tahoma" w:eastAsiaTheme="minorEastAsia" w:cs="Tahoma"/>
          <w:color w:val="0D0D0D" w:themeColor="text1" w:themeTint="F2"/>
          <w:szCs w:val="20"/>
          <w:rtl/>
        </w:rPr>
      </w:pPr>
      <w:r>
        <w:rPr>
          <w:b/>
          <w:bCs/>
          <w:rtl/>
        </w:rPr>
        <w:br w:type="page"/>
      </w:r>
    </w:p>
    <w:p w:rsidR="00C149B0" w:rsidRPr="005E450C" w:rsidP="005E450C" w14:paraId="294A9C0D" w14:textId="7E3278FB">
      <w:pPr>
        <w:pStyle w:val="734"/>
        <w:rPr>
          <w:rtl/>
        </w:rPr>
      </w:pPr>
      <w:r w:rsidRPr="005E450C">
        <w:rPr>
          <w:rFonts w:hint="eastAsia"/>
          <w:b w:val="0"/>
          <w:bCs w:val="0"/>
          <w:rtl/>
        </w:rPr>
        <w:t>תרשים</w:t>
      </w:r>
      <w:r w:rsidRPr="005E450C">
        <w:rPr>
          <w:b w:val="0"/>
          <w:bCs w:val="0"/>
          <w:rtl/>
        </w:rPr>
        <w:t xml:space="preserve"> </w:t>
      </w:r>
      <w:r w:rsidRPr="005E450C">
        <w:rPr>
          <w:rFonts w:hint="cs"/>
          <w:b w:val="0"/>
          <w:bCs w:val="0"/>
          <w:rtl/>
        </w:rPr>
        <w:t>6</w:t>
      </w:r>
      <w:r w:rsidRPr="005E450C">
        <w:rPr>
          <w:b w:val="0"/>
          <w:bCs w:val="0"/>
          <w:rtl/>
        </w:rPr>
        <w:t>:</w:t>
      </w:r>
      <w:r w:rsidRPr="005E450C">
        <w:rPr>
          <w:rFonts w:hint="cs"/>
          <w:rtl/>
        </w:rPr>
        <w:t xml:space="preserve"> ההכנסות ממכירות</w:t>
      </w:r>
      <w:r w:rsidRPr="005E450C">
        <w:rPr>
          <w:rtl/>
        </w:rPr>
        <w:t xml:space="preserve"> של שלוש </w:t>
      </w:r>
      <w:r w:rsidRPr="005E450C">
        <w:rPr>
          <w:rFonts w:hint="cs"/>
          <w:rtl/>
        </w:rPr>
        <w:t>החברות</w:t>
      </w:r>
      <w:r w:rsidRPr="005E450C">
        <w:rPr>
          <w:rtl/>
        </w:rPr>
        <w:t xml:space="preserve"> הביטחוניות הגדולות</w:t>
      </w:r>
      <w:r w:rsidRPr="005E450C">
        <w:rPr>
          <w:rFonts w:hint="cs"/>
          <w:rtl/>
        </w:rPr>
        <w:t xml:space="preserve"> בישראל</w:t>
      </w:r>
      <w:r>
        <w:rPr>
          <w:rStyle w:val="FootnoteReference0"/>
          <w:rtl/>
        </w:rPr>
        <w:footnoteReference w:id="27"/>
      </w:r>
      <w:r w:rsidRPr="005E450C">
        <w:rPr>
          <w:rtl/>
        </w:rPr>
        <w:t>,</w:t>
      </w:r>
      <w:r w:rsidRPr="005E450C">
        <w:rPr>
          <w:rFonts w:hint="cs"/>
          <w:rtl/>
        </w:rPr>
        <w:t xml:space="preserve"> 2017 - 2021</w:t>
      </w:r>
      <w:r w:rsidRPr="005E450C">
        <w:rPr>
          <w:rtl/>
        </w:rPr>
        <w:t xml:space="preserve"> (במיליוני </w:t>
      </w:r>
      <w:r w:rsidRPr="005E450C">
        <w:rPr>
          <w:rFonts w:hint="cs"/>
          <w:rtl/>
        </w:rPr>
        <w:t>ש"ח</w:t>
      </w:r>
      <w:r w:rsidRPr="005E450C">
        <w:rPr>
          <w:rtl/>
        </w:rPr>
        <w:t>)</w:t>
      </w:r>
    </w:p>
    <w:p w:rsidR="00C149B0" w:rsidRPr="00D63DA1" w:rsidP="00C149B0" w14:paraId="2E516A67" w14:textId="77777777">
      <w:pPr>
        <w:spacing w:line="269" w:lineRule="auto"/>
        <w:jc w:val="left"/>
        <w:rPr>
          <w:lang w:eastAsia="he-IL"/>
        </w:rPr>
      </w:pPr>
      <w:r>
        <w:rPr>
          <w:noProof/>
        </w:rPr>
        <w:drawing>
          <wp:inline distT="0" distB="0" distL="0" distR="0">
            <wp:extent cx="4729449" cy="2045828"/>
            <wp:effectExtent l="0" t="0" r="0" b="0"/>
            <wp:docPr id="1451066630" name="תמונה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0" name="תמונה 16"/>
                    <pic:cNvPicPr>
                      <a:picLocks noChangeAspect="1"/>
                    </pic:cNvPicPr>
                  </pic:nvPicPr>
                  <pic:blipFill>
                    <a:blip xmlns:r="http://schemas.openxmlformats.org/officeDocument/2006/relationships" r:embed="rId34">
                      <a:extLst>
                        <a:ext xmlns:a="http://schemas.openxmlformats.org/drawingml/2006/main" uri="{28A0092B-C50C-407E-A947-70E740481C1C}">
                          <a14:useLocalDpi xmlns:a14="http://schemas.microsoft.com/office/drawing/2010/main" val="0"/>
                        </a:ext>
                      </a:extLst>
                    </a:blip>
                    <a:srcRect t="3328" b="3328"/>
                    <a:stretch>
                      <a:fillRect/>
                    </a:stretch>
                  </pic:blipFill>
                  <pic:spPr bwMode="auto">
                    <a:xfrm>
                      <a:off x="0" y="0"/>
                      <a:ext cx="4729449" cy="204582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149B0" w:rsidRPr="005E450C" w:rsidP="00AF5693" w14:paraId="046BB66E" w14:textId="77777777">
      <w:pPr>
        <w:pStyle w:val="738"/>
        <w:spacing w:after="200"/>
        <w:rPr>
          <w:rtl/>
        </w:rPr>
      </w:pPr>
      <w:r w:rsidRPr="005E450C">
        <w:rPr>
          <w:rFonts w:hint="cs"/>
          <w:rtl/>
        </w:rPr>
        <w:t xml:space="preserve">לפי </w:t>
      </w:r>
      <w:r w:rsidRPr="005E450C">
        <w:rPr>
          <w:rtl/>
        </w:rPr>
        <w:t xml:space="preserve">הדוחות </w:t>
      </w:r>
      <w:r w:rsidRPr="005E450C">
        <w:rPr>
          <w:rFonts w:hint="cs"/>
          <w:rtl/>
        </w:rPr>
        <w:t>הכספיים</w:t>
      </w:r>
      <w:r w:rsidRPr="005E450C">
        <w:rPr>
          <w:rtl/>
        </w:rPr>
        <w:t xml:space="preserve"> של רפאל</w:t>
      </w:r>
      <w:r w:rsidRPr="005E450C">
        <w:rPr>
          <w:rFonts w:hint="cs"/>
          <w:rtl/>
        </w:rPr>
        <w:t xml:space="preserve">, </w:t>
      </w:r>
      <w:r w:rsidRPr="005E450C">
        <w:rPr>
          <w:rFonts w:hint="cs"/>
          <w:rtl/>
        </w:rPr>
        <w:t>התע"א</w:t>
      </w:r>
      <w:r w:rsidRPr="005E450C">
        <w:rPr>
          <w:rFonts w:hint="cs"/>
          <w:rtl/>
        </w:rPr>
        <w:t xml:space="preserve"> ואלביט </w:t>
      </w:r>
      <w:r w:rsidRPr="005E450C">
        <w:rPr>
          <w:rtl/>
        </w:rPr>
        <w:t>לשנים</w:t>
      </w:r>
      <w:r w:rsidRPr="005E450C">
        <w:rPr>
          <w:rFonts w:hint="cs"/>
          <w:rtl/>
        </w:rPr>
        <w:t xml:space="preserve"> 2017 - 2021, מסמכי </w:t>
      </w:r>
      <w:r w:rsidRPr="005E450C">
        <w:rPr>
          <w:rFonts w:hint="cs"/>
          <w:rtl/>
        </w:rPr>
        <w:t>התע"א</w:t>
      </w:r>
      <w:r w:rsidRPr="005E450C">
        <w:rPr>
          <w:rFonts w:hint="cs"/>
          <w:rtl/>
        </w:rPr>
        <w:t xml:space="preserve">, שער החליפין </w:t>
      </w:r>
      <w:r w:rsidRPr="005E450C">
        <w:rPr>
          <w:rtl/>
        </w:rPr>
        <w:br/>
      </w:r>
      <w:r w:rsidRPr="005E450C">
        <w:rPr>
          <w:rFonts w:hint="cs"/>
          <w:rtl/>
        </w:rPr>
        <w:t>(להלן - שע"ח) ממוצע שנתי לפי נתוני בנק ישראל, בעיבוד משרד מבקר המדינה.</w:t>
      </w:r>
      <w:r w:rsidRPr="005E450C">
        <w:rPr>
          <w:rtl/>
        </w:rPr>
        <w:t xml:space="preserve"> </w:t>
      </w:r>
    </w:p>
    <w:p w:rsidR="00C149B0" w:rsidRPr="005E450C" w:rsidP="005E450C" w14:paraId="3342589A" w14:textId="77777777">
      <w:pPr>
        <w:pStyle w:val="734"/>
        <w:rPr>
          <w:rtl/>
        </w:rPr>
      </w:pPr>
      <w:r w:rsidRPr="005E450C">
        <w:rPr>
          <w:b w:val="0"/>
          <w:bCs w:val="0"/>
          <w:rtl/>
        </w:rPr>
        <w:t xml:space="preserve">תרשים </w:t>
      </w:r>
      <w:r w:rsidRPr="005E450C">
        <w:rPr>
          <w:rFonts w:hint="cs"/>
          <w:b w:val="0"/>
          <w:bCs w:val="0"/>
          <w:rtl/>
        </w:rPr>
        <w:t>7</w:t>
      </w:r>
      <w:r w:rsidRPr="005E450C">
        <w:rPr>
          <w:b w:val="0"/>
          <w:bCs w:val="0"/>
          <w:rtl/>
        </w:rPr>
        <w:t>:</w:t>
      </w:r>
      <w:r w:rsidRPr="005E450C">
        <w:rPr>
          <w:rtl/>
        </w:rPr>
        <w:t xml:space="preserve"> שיעור הרווח הגולמי מהמכירות בשלוש התעשיות הביטחוניות הגדולות בישראל, </w:t>
      </w:r>
      <w:r w:rsidRPr="005E450C">
        <w:t>2021 - 2017</w:t>
      </w:r>
    </w:p>
    <w:p w:rsidR="00C149B0" w:rsidRPr="00B11518" w:rsidP="00C149B0" w14:paraId="134DE018" w14:textId="77777777">
      <w:pPr>
        <w:spacing w:line="269" w:lineRule="auto"/>
        <w:jc w:val="left"/>
        <w:rPr>
          <w:rtl/>
          <w:lang w:eastAsia="he-IL"/>
        </w:rPr>
      </w:pPr>
      <w:r>
        <w:rPr>
          <w:noProof/>
        </w:rPr>
        <w:drawing>
          <wp:inline distT="0" distB="0" distL="0" distR="0">
            <wp:extent cx="4631439" cy="2130358"/>
            <wp:effectExtent l="0" t="0" r="0" b="0"/>
            <wp:docPr id="1451066631" name="תמונה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1" name="תמונה 17"/>
                    <pic:cNvPicPr>
                      <a:picLocks noChangeAspect="1"/>
                    </pic:cNvPicPr>
                  </pic:nvPicPr>
                  <pic:blipFill>
                    <a:blip xmlns:r="http://schemas.openxmlformats.org/officeDocument/2006/relationships" r:embed="rId35">
                      <a:extLst>
                        <a:ext xmlns:a="http://schemas.openxmlformats.org/drawingml/2006/main" uri="{28A0092B-C50C-407E-A947-70E740481C1C}">
                          <a14:useLocalDpi xmlns:a14="http://schemas.microsoft.com/office/drawing/2010/main" val="0"/>
                        </a:ext>
                      </a:extLst>
                    </a:blip>
                    <a:srcRect t="1347" b="2917"/>
                    <a:stretch>
                      <a:fillRect/>
                    </a:stretch>
                  </pic:blipFill>
                  <pic:spPr bwMode="auto">
                    <a:xfrm>
                      <a:off x="0" y="0"/>
                      <a:ext cx="4643928" cy="2136103"/>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149B0" w:rsidRPr="005E450C" w:rsidP="00AF5693" w14:paraId="2D9AAB86" w14:textId="77777777">
      <w:pPr>
        <w:pStyle w:val="738"/>
        <w:spacing w:after="80"/>
        <w:rPr>
          <w:rtl/>
        </w:rPr>
      </w:pPr>
      <w:r w:rsidRPr="005E450C">
        <w:rPr>
          <w:rFonts w:hint="cs"/>
          <w:rtl/>
        </w:rPr>
        <w:t>לפי</w:t>
      </w:r>
      <w:r w:rsidRPr="005E450C">
        <w:rPr>
          <w:rtl/>
        </w:rPr>
        <w:t xml:space="preserve"> הדוחות </w:t>
      </w:r>
      <w:r w:rsidRPr="005E450C">
        <w:rPr>
          <w:rFonts w:hint="cs"/>
          <w:rtl/>
        </w:rPr>
        <w:t>הכספיים</w:t>
      </w:r>
      <w:r w:rsidRPr="005E450C">
        <w:rPr>
          <w:rtl/>
        </w:rPr>
        <w:t xml:space="preserve"> של רפאל</w:t>
      </w:r>
      <w:r w:rsidRPr="005E450C">
        <w:rPr>
          <w:rFonts w:hint="cs"/>
          <w:rtl/>
        </w:rPr>
        <w:t xml:space="preserve">, </w:t>
      </w:r>
      <w:r w:rsidRPr="005E450C">
        <w:rPr>
          <w:rFonts w:hint="cs"/>
          <w:rtl/>
        </w:rPr>
        <w:t>התע"א</w:t>
      </w:r>
      <w:r w:rsidRPr="005E450C">
        <w:rPr>
          <w:rFonts w:hint="cs"/>
          <w:rtl/>
        </w:rPr>
        <w:t xml:space="preserve"> ואלביט </w:t>
      </w:r>
      <w:r w:rsidRPr="005E450C">
        <w:rPr>
          <w:rtl/>
        </w:rPr>
        <w:t>לשנים</w:t>
      </w:r>
      <w:r w:rsidRPr="005E450C">
        <w:rPr>
          <w:rFonts w:hint="cs"/>
          <w:rtl/>
        </w:rPr>
        <w:t xml:space="preserve"> 2017 - 2021, מסמכי </w:t>
      </w:r>
      <w:r w:rsidRPr="005E450C">
        <w:rPr>
          <w:rFonts w:hint="cs"/>
          <w:rtl/>
        </w:rPr>
        <w:t>התע"א</w:t>
      </w:r>
      <w:r w:rsidRPr="005E450C">
        <w:rPr>
          <w:rFonts w:hint="cs"/>
          <w:rtl/>
        </w:rPr>
        <w:t>, שע"ח ממוצע שנתי לפי נתוני בנק ישראל, בעיבוד משרד מבקר המדינה.</w:t>
      </w:r>
    </w:p>
    <w:p w:rsidR="00C149B0" w:rsidRPr="00E8064A" w:rsidP="005E450C" w14:paraId="21B2ED01" w14:textId="77777777">
      <w:pPr>
        <w:pStyle w:val="734"/>
        <w:rPr>
          <w:rtl/>
        </w:rPr>
      </w:pPr>
      <w:r w:rsidRPr="005E450C">
        <w:rPr>
          <w:rFonts w:hint="eastAsia"/>
          <w:b w:val="0"/>
          <w:bCs w:val="0"/>
          <w:rtl/>
        </w:rPr>
        <w:t>תרשים</w:t>
      </w:r>
      <w:r w:rsidRPr="005E450C">
        <w:rPr>
          <w:b w:val="0"/>
          <w:bCs w:val="0"/>
          <w:rtl/>
        </w:rPr>
        <w:t xml:space="preserve"> </w:t>
      </w:r>
      <w:r w:rsidRPr="005E450C">
        <w:rPr>
          <w:rFonts w:hint="cs"/>
          <w:b w:val="0"/>
          <w:bCs w:val="0"/>
          <w:rtl/>
        </w:rPr>
        <w:t>8</w:t>
      </w:r>
      <w:r w:rsidRPr="005E450C">
        <w:rPr>
          <w:b w:val="0"/>
          <w:bCs w:val="0"/>
          <w:rtl/>
        </w:rPr>
        <w:t>:</w:t>
      </w:r>
      <w:r w:rsidRPr="00E8064A">
        <w:rPr>
          <w:rFonts w:hint="cs"/>
          <w:rtl/>
        </w:rPr>
        <w:t xml:space="preserve"> </w:t>
      </w:r>
      <w:r w:rsidRPr="00E8064A">
        <w:rPr>
          <w:rtl/>
        </w:rPr>
        <w:t xml:space="preserve">שיעור הרווח התפעולי </w:t>
      </w:r>
      <w:r w:rsidRPr="00E8064A">
        <w:rPr>
          <w:rFonts w:hint="cs"/>
          <w:rtl/>
        </w:rPr>
        <w:t>מהמכירות</w:t>
      </w:r>
      <w:r w:rsidRPr="00E8064A">
        <w:rPr>
          <w:rtl/>
        </w:rPr>
        <w:t xml:space="preserve"> בשלוש התעשיות הביטחוניות הגדולות</w:t>
      </w:r>
      <w:r w:rsidRPr="00E8064A">
        <w:rPr>
          <w:rFonts w:hint="cs"/>
          <w:rtl/>
        </w:rPr>
        <w:t xml:space="preserve"> בישראל</w:t>
      </w:r>
      <w:r w:rsidRPr="00E8064A">
        <w:rPr>
          <w:rtl/>
        </w:rPr>
        <w:t xml:space="preserve">, </w:t>
      </w:r>
      <w:r w:rsidRPr="00E8064A">
        <w:rPr>
          <w:rFonts w:hint="cs"/>
          <w:rtl/>
        </w:rPr>
        <w:t>2017</w:t>
      </w:r>
      <w:r w:rsidRPr="00E8064A">
        <w:rPr>
          <w:rtl/>
        </w:rPr>
        <w:t xml:space="preserve"> - </w:t>
      </w:r>
      <w:r w:rsidRPr="00E8064A">
        <w:rPr>
          <w:rFonts w:hint="cs"/>
          <w:rtl/>
        </w:rPr>
        <w:t>2021</w:t>
      </w:r>
    </w:p>
    <w:p w:rsidR="00C149B0" w:rsidRPr="00D94367" w:rsidP="00C149B0" w14:paraId="683AF11D" w14:textId="77777777">
      <w:pPr>
        <w:spacing w:line="269" w:lineRule="auto"/>
        <w:rPr>
          <w:rtl/>
        </w:rPr>
      </w:pPr>
      <w:r w:rsidRPr="00BC11BB">
        <w:rPr>
          <w:rFonts w:ascii="David" w:hAnsi="David"/>
          <w:b/>
          <w:bCs/>
          <w:noProof/>
          <w:sz w:val="24"/>
        </w:rPr>
        <w:drawing>
          <wp:inline distT="0" distB="0" distL="0" distR="0">
            <wp:extent cx="4747748" cy="2449328"/>
            <wp:effectExtent l="0" t="0" r="2540" b="0"/>
            <wp:docPr id="1451066632" name="תמונה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2" name="תמונה 18"/>
                    <pic:cNvPicPr>
                      <a:picLocks noChangeAspect="1"/>
                    </pic:cNvPicPr>
                  </pic:nvPicPr>
                  <pic:blipFill>
                    <a:blip xmlns:r="http://schemas.openxmlformats.org/officeDocument/2006/relationships" r:embed="rId36">
                      <a:extLst>
                        <a:ext xmlns:a="http://schemas.openxmlformats.org/drawingml/2006/main" uri="{28A0092B-C50C-407E-A947-70E740481C1C}">
                          <a14:useLocalDpi xmlns:a14="http://schemas.microsoft.com/office/drawing/2010/main" val="0"/>
                        </a:ext>
                      </a:extLst>
                    </a:blip>
                    <a:srcRect l="2197" r="2197"/>
                    <a:stretch>
                      <a:fillRect/>
                    </a:stretch>
                  </pic:blipFill>
                  <pic:spPr bwMode="auto">
                    <a:xfrm>
                      <a:off x="0" y="0"/>
                      <a:ext cx="4747748" cy="244932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149B0" w:rsidRPr="005E450C" w:rsidP="005E450C" w14:paraId="3840D6C1" w14:textId="77777777">
      <w:pPr>
        <w:pStyle w:val="738"/>
        <w:rPr>
          <w:rtl/>
        </w:rPr>
      </w:pPr>
      <w:r w:rsidRPr="005E450C">
        <w:rPr>
          <w:rFonts w:hint="cs"/>
          <w:rtl/>
        </w:rPr>
        <w:t>לפי</w:t>
      </w:r>
      <w:r w:rsidRPr="005E450C">
        <w:rPr>
          <w:rtl/>
        </w:rPr>
        <w:t xml:space="preserve"> הדוחות </w:t>
      </w:r>
      <w:r w:rsidRPr="005E450C">
        <w:rPr>
          <w:rFonts w:hint="cs"/>
          <w:rtl/>
        </w:rPr>
        <w:t>הכספיים</w:t>
      </w:r>
      <w:r w:rsidRPr="005E450C">
        <w:rPr>
          <w:rtl/>
        </w:rPr>
        <w:t xml:space="preserve"> של רפאל</w:t>
      </w:r>
      <w:r w:rsidRPr="005E450C">
        <w:rPr>
          <w:rFonts w:hint="cs"/>
          <w:rtl/>
        </w:rPr>
        <w:t xml:space="preserve">, </w:t>
      </w:r>
      <w:r w:rsidRPr="005E450C">
        <w:rPr>
          <w:rFonts w:hint="cs"/>
          <w:rtl/>
        </w:rPr>
        <w:t>התע"א</w:t>
      </w:r>
      <w:r w:rsidRPr="005E450C">
        <w:rPr>
          <w:rFonts w:hint="cs"/>
          <w:rtl/>
        </w:rPr>
        <w:t xml:space="preserve"> ואלביט </w:t>
      </w:r>
      <w:r w:rsidRPr="005E450C">
        <w:rPr>
          <w:rtl/>
        </w:rPr>
        <w:t>לשנים</w:t>
      </w:r>
      <w:r w:rsidRPr="005E450C">
        <w:rPr>
          <w:rFonts w:hint="cs"/>
          <w:rtl/>
        </w:rPr>
        <w:t xml:space="preserve"> 2017 - 2021, מסמכי </w:t>
      </w:r>
      <w:r w:rsidRPr="005E450C">
        <w:rPr>
          <w:rFonts w:hint="cs"/>
          <w:rtl/>
        </w:rPr>
        <w:t>התע"א</w:t>
      </w:r>
      <w:r w:rsidRPr="005E450C">
        <w:rPr>
          <w:rFonts w:hint="cs"/>
          <w:rtl/>
        </w:rPr>
        <w:t>, שע"ח ממוצע שנתי לפי נתוני בנק ישראל, בעיבוד משרד מבקר המדינה.</w:t>
      </w:r>
    </w:p>
    <w:p w:rsidR="00C149B0" w:rsidRPr="005E450C" w:rsidP="005E450C" w14:paraId="2A7B6F33" w14:textId="10D16353">
      <w:pPr>
        <w:pStyle w:val="7318"/>
        <w:rPr>
          <w:rtl/>
        </w:rPr>
      </w:pPr>
      <w:r w:rsidRPr="005E450C">
        <w:rPr>
          <w:rtl/>
        </w:rPr>
        <w:t xml:space="preserve">מהתרשימים לעיל עולה כי ההכנסות של רפאל ממכירות בשנים 2017 - 2021 </w:t>
      </w:r>
      <w:r w:rsidRPr="005E450C">
        <w:rPr>
          <w:rFonts w:hint="cs"/>
          <w:rtl/>
        </w:rPr>
        <w:t xml:space="preserve">היו </w:t>
      </w:r>
      <w:r w:rsidRPr="005E450C">
        <w:rPr>
          <w:rtl/>
        </w:rPr>
        <w:t xml:space="preserve">בסך של כ-9.3 מיליארד ש"ח לשנה בממוצע; סכום הנמוך בכ-38% </w:t>
      </w:r>
      <w:r w:rsidRPr="005E450C">
        <w:rPr>
          <w:rFonts w:hint="cs"/>
          <w:rtl/>
        </w:rPr>
        <w:t xml:space="preserve">מזה של </w:t>
      </w:r>
      <w:r w:rsidRPr="005E450C">
        <w:rPr>
          <w:rtl/>
        </w:rPr>
        <w:t xml:space="preserve">אלביט, </w:t>
      </w:r>
      <w:r w:rsidRPr="005E450C">
        <w:rPr>
          <w:rtl/>
        </w:rPr>
        <w:br/>
        <w:t>ובכ-33%</w:t>
      </w:r>
      <w:r w:rsidRPr="005E450C">
        <w:rPr>
          <w:rFonts w:hint="cs"/>
          <w:rtl/>
        </w:rPr>
        <w:t xml:space="preserve"> מזה של </w:t>
      </w:r>
      <w:r w:rsidRPr="005E450C">
        <w:rPr>
          <w:rFonts w:hint="cs"/>
          <w:rtl/>
        </w:rPr>
        <w:t>ה</w:t>
      </w:r>
      <w:r w:rsidRPr="005E450C">
        <w:rPr>
          <w:rtl/>
        </w:rPr>
        <w:t>תע"א</w:t>
      </w:r>
      <w:r w:rsidRPr="005E450C">
        <w:rPr>
          <w:rtl/>
        </w:rPr>
        <w:t xml:space="preserve"> </w:t>
      </w:r>
      <w:r w:rsidRPr="005E450C">
        <w:rPr>
          <w:rFonts w:hint="cs"/>
          <w:rtl/>
        </w:rPr>
        <w:t>(וב</w:t>
      </w:r>
      <w:r w:rsidRPr="005E450C">
        <w:rPr>
          <w:rtl/>
        </w:rPr>
        <w:t>כ-</w:t>
      </w:r>
      <w:r w:rsidRPr="005E450C">
        <w:rPr>
          <w:rFonts w:hint="cs"/>
          <w:rtl/>
        </w:rPr>
        <w:t>10</w:t>
      </w:r>
      <w:r w:rsidRPr="005E450C">
        <w:rPr>
          <w:rtl/>
        </w:rPr>
        <w:t xml:space="preserve">% </w:t>
      </w:r>
      <w:r w:rsidRPr="005E450C">
        <w:rPr>
          <w:rFonts w:hint="cs"/>
          <w:rtl/>
        </w:rPr>
        <w:t>מזה של ה</w:t>
      </w:r>
      <w:r w:rsidRPr="005E450C">
        <w:rPr>
          <w:rtl/>
        </w:rPr>
        <w:t xml:space="preserve">מגזר הצבאי של </w:t>
      </w:r>
      <w:r w:rsidRPr="005E450C">
        <w:rPr>
          <w:rtl/>
        </w:rPr>
        <w:t>התע"א</w:t>
      </w:r>
      <w:r w:rsidRPr="005E450C">
        <w:rPr>
          <w:rFonts w:hint="cs"/>
          <w:rtl/>
        </w:rPr>
        <w:t>)</w:t>
      </w:r>
      <w:r w:rsidRPr="005E450C">
        <w:rPr>
          <w:rtl/>
        </w:rPr>
        <w:t>. עוד עולה כי שיעורו הממוצע של הרווח הגולמי של רפאל מההכנסות ממכירות היה בשנים אלו</w:t>
      </w:r>
      <w:r w:rsidRPr="005E450C">
        <w:rPr>
          <w:rFonts w:hint="cs"/>
          <w:rtl/>
        </w:rPr>
        <w:t xml:space="preserve"> </w:t>
      </w:r>
      <w:r w:rsidRPr="005E450C">
        <w:rPr>
          <w:rtl/>
        </w:rPr>
        <w:br/>
        <w:t>כ-</w:t>
      </w:r>
      <w:r w:rsidRPr="005E450C">
        <w:rPr>
          <w:rFonts w:hint="cs"/>
          <w:rtl/>
        </w:rPr>
        <w:t>21</w:t>
      </w:r>
      <w:r w:rsidRPr="005E450C">
        <w:rPr>
          <w:rtl/>
        </w:rPr>
        <w:t xml:space="preserve">%, </w:t>
      </w:r>
      <w:r w:rsidRPr="005E450C">
        <w:rPr>
          <w:rFonts w:hint="cs"/>
          <w:rtl/>
        </w:rPr>
        <w:t>נמוך</w:t>
      </w:r>
      <w:r w:rsidRPr="005E450C">
        <w:rPr>
          <w:rtl/>
        </w:rPr>
        <w:t xml:space="preserve"> </w:t>
      </w:r>
      <w:r w:rsidRPr="005E450C">
        <w:rPr>
          <w:rFonts w:hint="cs"/>
          <w:rtl/>
        </w:rPr>
        <w:t>ב</w:t>
      </w:r>
      <w:r w:rsidRPr="005E450C">
        <w:rPr>
          <w:rtl/>
        </w:rPr>
        <w:t>כ-</w:t>
      </w:r>
      <w:r w:rsidRPr="005E450C">
        <w:rPr>
          <w:rFonts w:hint="cs"/>
          <w:rtl/>
        </w:rPr>
        <w:t>5</w:t>
      </w:r>
      <w:r w:rsidRPr="005E450C">
        <w:rPr>
          <w:rtl/>
        </w:rPr>
        <w:t xml:space="preserve">% </w:t>
      </w:r>
      <w:r w:rsidRPr="005E450C">
        <w:rPr>
          <w:rFonts w:hint="cs"/>
          <w:rtl/>
        </w:rPr>
        <w:t xml:space="preserve">משיעור הרווח הגולמי הממוצע של </w:t>
      </w:r>
      <w:r w:rsidRPr="005E450C">
        <w:rPr>
          <w:rtl/>
        </w:rPr>
        <w:t>אלביט</w:t>
      </w:r>
      <w:r w:rsidRPr="005E450C">
        <w:rPr>
          <w:rFonts w:hint="cs"/>
          <w:rtl/>
        </w:rPr>
        <w:t xml:space="preserve"> באותן השנים</w:t>
      </w:r>
      <w:r w:rsidRPr="005E450C">
        <w:rPr>
          <w:rtl/>
        </w:rPr>
        <w:t xml:space="preserve">, </w:t>
      </w:r>
      <w:r w:rsidRPr="005E450C">
        <w:rPr>
          <w:rFonts w:hint="cs"/>
          <w:rtl/>
        </w:rPr>
        <w:t xml:space="preserve">וגבוה </w:t>
      </w:r>
      <w:r w:rsidR="009C31CB">
        <w:rPr>
          <w:rtl/>
        </w:rPr>
        <w:br/>
      </w:r>
      <w:r w:rsidRPr="005E450C">
        <w:rPr>
          <w:rFonts w:hint="cs"/>
          <w:rtl/>
        </w:rPr>
        <w:t>ב</w:t>
      </w:r>
      <w:r w:rsidRPr="005E450C">
        <w:rPr>
          <w:rtl/>
        </w:rPr>
        <w:t>כ-</w:t>
      </w:r>
      <w:r w:rsidRPr="005E450C">
        <w:rPr>
          <w:rFonts w:hint="cs"/>
          <w:rtl/>
        </w:rPr>
        <w:t>7</w:t>
      </w:r>
      <w:r w:rsidRPr="005E450C">
        <w:rPr>
          <w:rtl/>
        </w:rPr>
        <w:t xml:space="preserve">% </w:t>
      </w:r>
      <w:r w:rsidRPr="005E450C">
        <w:rPr>
          <w:rFonts w:hint="cs"/>
          <w:rtl/>
        </w:rPr>
        <w:t xml:space="preserve">מזה של </w:t>
      </w:r>
      <w:r w:rsidRPr="005E450C">
        <w:rPr>
          <w:rFonts w:hint="cs"/>
          <w:rtl/>
        </w:rPr>
        <w:t>ה</w:t>
      </w:r>
      <w:r w:rsidRPr="005E450C">
        <w:rPr>
          <w:rtl/>
        </w:rPr>
        <w:t>תע"א</w:t>
      </w:r>
      <w:r w:rsidRPr="005E450C">
        <w:rPr>
          <w:rtl/>
        </w:rPr>
        <w:t xml:space="preserve"> </w:t>
      </w:r>
      <w:r w:rsidRPr="005E450C">
        <w:rPr>
          <w:rFonts w:hint="cs"/>
          <w:rtl/>
        </w:rPr>
        <w:t>(ב</w:t>
      </w:r>
      <w:r w:rsidRPr="005E450C">
        <w:rPr>
          <w:rtl/>
        </w:rPr>
        <w:t>כ-</w:t>
      </w:r>
      <w:r w:rsidRPr="005E450C">
        <w:rPr>
          <w:rFonts w:hint="cs"/>
          <w:rtl/>
        </w:rPr>
        <w:t>3</w:t>
      </w:r>
      <w:r w:rsidRPr="005E450C">
        <w:rPr>
          <w:rtl/>
        </w:rPr>
        <w:t xml:space="preserve">% </w:t>
      </w:r>
      <w:r w:rsidRPr="005E450C">
        <w:rPr>
          <w:rFonts w:hint="cs"/>
          <w:rtl/>
        </w:rPr>
        <w:t>מה</w:t>
      </w:r>
      <w:r w:rsidRPr="005E450C">
        <w:rPr>
          <w:rtl/>
        </w:rPr>
        <w:t xml:space="preserve">מגזר הצבאי של </w:t>
      </w:r>
      <w:r w:rsidRPr="005E450C">
        <w:rPr>
          <w:rtl/>
        </w:rPr>
        <w:t>התע"א</w:t>
      </w:r>
      <w:r w:rsidRPr="005E450C">
        <w:rPr>
          <w:rFonts w:hint="cs"/>
          <w:rtl/>
        </w:rPr>
        <w:t>).</w:t>
      </w:r>
      <w:r w:rsidRPr="005E450C">
        <w:rPr>
          <w:rtl/>
        </w:rPr>
        <w:t xml:space="preserve"> שיעורו הממוצע של הרווח התפעולי של רפאל היה בשנים אלו כ-5.5% בממוצע</w:t>
      </w:r>
      <w:r w:rsidRPr="005E450C">
        <w:rPr>
          <w:rFonts w:hint="cs"/>
          <w:rtl/>
        </w:rPr>
        <w:t>;</w:t>
      </w:r>
      <w:r w:rsidRPr="005E450C">
        <w:rPr>
          <w:rtl/>
        </w:rPr>
        <w:t xml:space="preserve"> </w:t>
      </w:r>
      <w:r w:rsidRPr="005E450C">
        <w:rPr>
          <w:rFonts w:hint="cs"/>
          <w:rtl/>
        </w:rPr>
        <w:t xml:space="preserve">שיעור הנמוך בכ-2.4% ובכ-2.8% משיעור הרווח התפעולי הממוצע של </w:t>
      </w:r>
      <w:r w:rsidRPr="005E450C">
        <w:rPr>
          <w:rtl/>
        </w:rPr>
        <w:t>אלביט</w:t>
      </w:r>
      <w:r w:rsidRPr="005E450C">
        <w:rPr>
          <w:rFonts w:hint="cs"/>
          <w:rtl/>
        </w:rPr>
        <w:t xml:space="preserve"> ושל המגזר הצבאי של </w:t>
      </w:r>
      <w:r w:rsidRPr="005E450C">
        <w:rPr>
          <w:rFonts w:hint="cs"/>
          <w:rtl/>
        </w:rPr>
        <w:t>התע"א</w:t>
      </w:r>
      <w:r w:rsidRPr="005E450C">
        <w:rPr>
          <w:rFonts w:hint="cs"/>
          <w:rtl/>
        </w:rPr>
        <w:t xml:space="preserve"> באותן השנים בהתאמה, וגבוה ב</w:t>
      </w:r>
      <w:r w:rsidRPr="005E450C">
        <w:rPr>
          <w:rtl/>
        </w:rPr>
        <w:t>כ-</w:t>
      </w:r>
      <w:r w:rsidRPr="005E450C">
        <w:rPr>
          <w:rFonts w:hint="cs"/>
          <w:rtl/>
        </w:rPr>
        <w:t>2.3%</w:t>
      </w:r>
      <w:r w:rsidRPr="005E450C">
        <w:rPr>
          <w:rtl/>
        </w:rPr>
        <w:t xml:space="preserve"> </w:t>
      </w:r>
      <w:r w:rsidRPr="005E450C">
        <w:rPr>
          <w:rFonts w:hint="cs"/>
          <w:rtl/>
        </w:rPr>
        <w:t xml:space="preserve">מזה של </w:t>
      </w:r>
      <w:r w:rsidRPr="005E450C">
        <w:rPr>
          <w:rFonts w:hint="cs"/>
          <w:rtl/>
        </w:rPr>
        <w:t>ה</w:t>
      </w:r>
      <w:r w:rsidRPr="005E450C">
        <w:rPr>
          <w:rtl/>
        </w:rPr>
        <w:t>תע"א</w:t>
      </w:r>
      <w:r w:rsidRPr="005E450C">
        <w:rPr>
          <w:rtl/>
        </w:rPr>
        <w:t xml:space="preserve">. כמו כן עולה כי בשנת 2021 </w:t>
      </w:r>
      <w:r w:rsidRPr="005E450C">
        <w:rPr>
          <w:rFonts w:hint="cs"/>
          <w:rtl/>
        </w:rPr>
        <w:t xml:space="preserve">ירד שיעורו של הרווח התפעולי ברפאל, ולעומת זאת </w:t>
      </w:r>
      <w:r w:rsidRPr="005E450C">
        <w:rPr>
          <w:rtl/>
        </w:rPr>
        <w:t>בתע"א</w:t>
      </w:r>
      <w:r w:rsidRPr="005E450C">
        <w:rPr>
          <w:rFonts w:hint="cs"/>
          <w:rtl/>
        </w:rPr>
        <w:t xml:space="preserve"> ובמגזר הצבאי של </w:t>
      </w:r>
      <w:r w:rsidRPr="005E450C">
        <w:rPr>
          <w:rFonts w:hint="cs"/>
          <w:rtl/>
        </w:rPr>
        <w:t>התע"א</w:t>
      </w:r>
      <w:r w:rsidRPr="005E450C">
        <w:rPr>
          <w:rtl/>
        </w:rPr>
        <w:t xml:space="preserve"> </w:t>
      </w:r>
      <w:r w:rsidRPr="005E450C">
        <w:rPr>
          <w:rFonts w:hint="cs"/>
          <w:rtl/>
        </w:rPr>
        <w:t xml:space="preserve">הוא עלה </w:t>
      </w:r>
      <w:r w:rsidR="009C31CB">
        <w:rPr>
          <w:rtl/>
        </w:rPr>
        <w:br/>
      </w:r>
      <w:r w:rsidRPr="005E450C">
        <w:rPr>
          <w:rFonts w:hint="cs"/>
          <w:rtl/>
        </w:rPr>
        <w:t xml:space="preserve">בכ-0.1% </w:t>
      </w:r>
      <w:r w:rsidRPr="005E450C">
        <w:rPr>
          <w:rtl/>
        </w:rPr>
        <w:t>ובאלביט בכ-</w:t>
      </w:r>
      <w:r w:rsidRPr="005E450C">
        <w:rPr>
          <w:rFonts w:hint="cs"/>
          <w:rtl/>
        </w:rPr>
        <w:t>0.9</w:t>
      </w:r>
      <w:r w:rsidRPr="005E450C">
        <w:rPr>
          <w:rtl/>
        </w:rPr>
        <w:t>%</w:t>
      </w:r>
      <w:r w:rsidRPr="005E450C">
        <w:rPr>
          <w:rFonts w:hint="cs"/>
          <w:rtl/>
        </w:rPr>
        <w:t xml:space="preserve">; ואף שבשנים 2019 ו-2020 שיעור הרווח התפעולי של רפאל היה גבוה מזה של </w:t>
      </w:r>
      <w:r w:rsidRPr="005E450C">
        <w:rPr>
          <w:rFonts w:hint="cs"/>
          <w:rtl/>
        </w:rPr>
        <w:t>התע"א</w:t>
      </w:r>
      <w:r w:rsidRPr="005E450C">
        <w:rPr>
          <w:rFonts w:hint="cs"/>
          <w:rtl/>
        </w:rPr>
        <w:t xml:space="preserve"> בכ-2.4% ובכ-1% בהתאמה, בשנת 2021 הוא כמעט השתווה לו. בשנים 2019 ו-2020 היה שיעור הרווח התפעולי של רפאל נמוך מזה של המגזר הצבאי של </w:t>
      </w:r>
      <w:r w:rsidRPr="005E450C">
        <w:rPr>
          <w:rFonts w:hint="cs"/>
          <w:rtl/>
        </w:rPr>
        <w:t>התע"א</w:t>
      </w:r>
      <w:r w:rsidRPr="005E450C">
        <w:rPr>
          <w:rFonts w:hint="cs"/>
          <w:rtl/>
        </w:rPr>
        <w:t xml:space="preserve"> בכ-2.7% וכ-2.9% בהתאמה; ובשנת 2021 - היה נמוך ממנו בכ-3.8%. </w:t>
      </w:r>
    </w:p>
    <w:p w:rsidR="00C149B0" w:rsidRPr="005E450C" w:rsidP="005E450C" w14:paraId="5C65BD22" w14:textId="77777777">
      <w:pPr>
        <w:pStyle w:val="7392"/>
        <w:rPr>
          <w:rtl/>
        </w:rPr>
      </w:pPr>
      <w:r w:rsidRPr="005E450C">
        <w:rPr>
          <w:rFonts w:hint="cs"/>
          <w:rtl/>
        </w:rPr>
        <w:t xml:space="preserve">יצוין בהקשר זה כי בחישוב הרווח הגולמי של רפאל קיימת הטיה כלפי מעלה, מאחר שעל פי המדיניות החשבונאית הנהוגה בחברה עלויות בגין הפסד </w:t>
      </w:r>
      <w:r w:rsidRPr="005E450C">
        <w:rPr>
          <w:rFonts w:hint="cs"/>
          <w:rtl/>
        </w:rPr>
        <w:t>בפרויקטי</w:t>
      </w:r>
      <w:r w:rsidRPr="005E450C">
        <w:rPr>
          <w:rFonts w:hint="cs"/>
          <w:rtl/>
        </w:rPr>
        <w:t xml:space="preserve"> פיתוח וסכומים שנתנה רפאל כהנחה ללקוח נזקפות לעלויות המחקר והפיתוח (להלן - מו"פ) העצמי שאינן נכללות בחישוב הרווח הגולמי. </w:t>
      </w:r>
    </w:p>
    <w:p w:rsidR="00C149B0" w:rsidRPr="005E450C" w:rsidP="005E450C" w14:paraId="4615B7BD" w14:textId="77777777">
      <w:pPr>
        <w:pStyle w:val="7392"/>
        <w:rPr>
          <w:rtl/>
        </w:rPr>
      </w:pPr>
      <w:r w:rsidRPr="005E450C">
        <w:rPr>
          <w:rtl/>
        </w:rPr>
        <w:t xml:space="preserve">להלן השוואות שעשתה רפאל </w:t>
      </w:r>
      <w:r w:rsidRPr="005E450C">
        <w:rPr>
          <w:rFonts w:hint="cs"/>
          <w:rtl/>
        </w:rPr>
        <w:t>במאי 2022</w:t>
      </w:r>
      <w:r w:rsidRPr="005E450C">
        <w:rPr>
          <w:rtl/>
        </w:rPr>
        <w:t xml:space="preserve"> בינה לבין חברות מתחרות בארץ ובעולם מבחינת שיעורם של הרווח הגולמי והרווח התפעולי מתוך המכירות</w:t>
      </w:r>
      <w:r w:rsidRPr="005E450C">
        <w:rPr>
          <w:rFonts w:hint="cs"/>
          <w:rtl/>
        </w:rPr>
        <w:t>:</w:t>
      </w:r>
    </w:p>
    <w:p w:rsidR="00C149B0" w:rsidRPr="005E450C" w:rsidP="005E450C" w14:paraId="4A36A733" w14:textId="77777777">
      <w:pPr>
        <w:pStyle w:val="734"/>
        <w:rPr>
          <w:rtl/>
        </w:rPr>
      </w:pPr>
      <w:r w:rsidRPr="005E450C">
        <w:rPr>
          <w:rFonts w:hint="eastAsia"/>
          <w:b w:val="0"/>
          <w:bCs w:val="0"/>
          <w:rtl/>
        </w:rPr>
        <w:t>תרשים</w:t>
      </w:r>
      <w:r w:rsidRPr="005E450C">
        <w:rPr>
          <w:b w:val="0"/>
          <w:bCs w:val="0"/>
          <w:rtl/>
        </w:rPr>
        <w:t xml:space="preserve"> </w:t>
      </w:r>
      <w:r w:rsidRPr="005E450C">
        <w:rPr>
          <w:rFonts w:hint="cs"/>
          <w:b w:val="0"/>
          <w:bCs w:val="0"/>
          <w:rtl/>
        </w:rPr>
        <w:t>9</w:t>
      </w:r>
      <w:r w:rsidRPr="005E450C">
        <w:rPr>
          <w:b w:val="0"/>
          <w:bCs w:val="0"/>
          <w:rtl/>
        </w:rPr>
        <w:t>:</w:t>
      </w:r>
      <w:r w:rsidRPr="005E450C">
        <w:rPr>
          <w:rFonts w:hint="cs"/>
          <w:rtl/>
        </w:rPr>
        <w:t xml:space="preserve"> השוואה בין רפאל לחברות מתחרות מבחינת שיעור הרווח הגולמי מהמכירות, 2018 - 2021</w:t>
      </w:r>
    </w:p>
    <w:p w:rsidR="00C149B0" w:rsidRPr="00736941" w:rsidP="00C149B0" w14:paraId="2DB92BB1" w14:textId="77777777">
      <w:pPr>
        <w:pStyle w:val="a30"/>
        <w:spacing w:line="269" w:lineRule="auto"/>
        <w:jc w:val="right"/>
        <w:rPr>
          <w:sz w:val="6"/>
          <w:szCs w:val="6"/>
          <w:rtl/>
        </w:rPr>
      </w:pPr>
    </w:p>
    <w:p w:rsidR="00C149B0" w:rsidP="00C149B0" w14:paraId="33CDE8D0" w14:textId="77777777">
      <w:pPr>
        <w:spacing w:line="269" w:lineRule="auto"/>
        <w:jc w:val="left"/>
        <w:rPr>
          <w:rtl/>
        </w:rPr>
      </w:pPr>
      <w:r w:rsidRPr="0081045B">
        <w:rPr>
          <w:noProof/>
          <w:szCs w:val="20"/>
          <w:rtl/>
        </w:rPr>
        <w:drawing>
          <wp:inline distT="0" distB="0" distL="0" distR="0">
            <wp:extent cx="4480503" cy="2343461"/>
            <wp:effectExtent l="0" t="0" r="0" b="0"/>
            <wp:docPr id="1451066633" name="תמונה 1451066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3" name="תמונה 1451066633"/>
                    <pic:cNvPicPr>
                      <a:picLocks noChangeAspect="1" noChangeArrowheads="1"/>
                    </pic:cNvPicPr>
                  </pic:nvPicPr>
                  <pic:blipFill>
                    <a:blip xmlns:r="http://schemas.openxmlformats.org/officeDocument/2006/relationships" r:embed="rId37">
                      <a:extLst>
                        <a:ext xmlns:a="http://schemas.openxmlformats.org/drawingml/2006/main" uri="{28A0092B-C50C-407E-A947-70E740481C1C}">
                          <a14:useLocalDpi xmlns:a14="http://schemas.microsoft.com/office/drawing/2010/main" val="0"/>
                        </a:ext>
                      </a:extLst>
                    </a:blip>
                    <a:stretch>
                      <a:fillRect/>
                    </a:stretch>
                  </pic:blipFill>
                  <pic:spPr bwMode="auto">
                    <a:xfrm>
                      <a:off x="0" y="0"/>
                      <a:ext cx="4480503" cy="2343461"/>
                    </a:xfrm>
                    <a:prstGeom prst="rect">
                      <a:avLst/>
                    </a:prstGeom>
                    <a:noFill/>
                    <a:ln>
                      <a:noFill/>
                    </a:ln>
                  </pic:spPr>
                </pic:pic>
              </a:graphicData>
            </a:graphic>
          </wp:inline>
        </w:drawing>
      </w:r>
    </w:p>
    <w:p w:rsidR="00C149B0" w:rsidRPr="00A77E42" w:rsidP="005E450C" w14:paraId="7D694049" w14:textId="77777777">
      <w:pPr>
        <w:pStyle w:val="738"/>
        <w:rPr>
          <w:noProof/>
          <w:rtl/>
        </w:rPr>
      </w:pPr>
      <w:r w:rsidRPr="00A77E42">
        <w:rPr>
          <w:rFonts w:hint="cs"/>
          <w:noProof/>
          <w:rtl/>
        </w:rPr>
        <w:t>ה</w:t>
      </w:r>
      <w:r w:rsidRPr="00A77E42">
        <w:rPr>
          <w:noProof/>
          <w:rtl/>
        </w:rPr>
        <w:t xml:space="preserve">מקור: </w:t>
      </w:r>
      <w:r w:rsidRPr="00A77E42">
        <w:rPr>
          <w:rFonts w:hint="cs"/>
          <w:noProof/>
          <w:rtl/>
        </w:rPr>
        <w:t>מסמכי רפאל.</w:t>
      </w:r>
    </w:p>
    <w:p w:rsidR="00C149B0" w:rsidRPr="005E450C" w:rsidP="005E450C" w14:paraId="49D430B9" w14:textId="77777777">
      <w:pPr>
        <w:pStyle w:val="734"/>
        <w:rPr>
          <w:rtl/>
        </w:rPr>
      </w:pPr>
      <w:r w:rsidRPr="005E450C">
        <w:rPr>
          <w:rFonts w:hint="eastAsia"/>
          <w:b w:val="0"/>
          <w:bCs w:val="0"/>
          <w:rtl/>
        </w:rPr>
        <w:t>תרשים</w:t>
      </w:r>
      <w:r w:rsidRPr="005E450C">
        <w:rPr>
          <w:b w:val="0"/>
          <w:bCs w:val="0"/>
          <w:rtl/>
        </w:rPr>
        <w:t xml:space="preserve"> </w:t>
      </w:r>
      <w:r w:rsidRPr="005E450C">
        <w:rPr>
          <w:rFonts w:hint="cs"/>
          <w:b w:val="0"/>
          <w:bCs w:val="0"/>
          <w:rtl/>
        </w:rPr>
        <w:t>10</w:t>
      </w:r>
      <w:r w:rsidRPr="005E450C">
        <w:rPr>
          <w:b w:val="0"/>
          <w:bCs w:val="0"/>
          <w:rtl/>
        </w:rPr>
        <w:t>:</w:t>
      </w:r>
      <w:r w:rsidRPr="005E450C">
        <w:rPr>
          <w:rFonts w:hint="cs"/>
          <w:rtl/>
        </w:rPr>
        <w:t xml:space="preserve"> השוואה בין רפאל לחברות מתחרות מבחינת </w:t>
      </w:r>
      <w:r w:rsidRPr="005E450C">
        <w:rPr>
          <w:rtl/>
        </w:rPr>
        <w:t xml:space="preserve">שיעור הרווח </w:t>
      </w:r>
      <w:r w:rsidRPr="005E450C">
        <w:rPr>
          <w:rFonts w:hint="cs"/>
          <w:rtl/>
        </w:rPr>
        <w:t>התפעולי מהמכירות, 2018 - 2021</w:t>
      </w:r>
    </w:p>
    <w:p w:rsidR="00C149B0" w:rsidRPr="00D94367" w:rsidP="00C149B0" w14:paraId="6C5DFAF4" w14:textId="77777777">
      <w:pPr>
        <w:spacing w:line="269" w:lineRule="auto"/>
        <w:ind w:left="-284" w:firstLine="284"/>
        <w:jc w:val="left"/>
        <w:rPr>
          <w:rFonts w:ascii="David" w:hAnsi="David"/>
          <w:b/>
          <w:bCs/>
        </w:rPr>
      </w:pPr>
      <w:r w:rsidRPr="00CD44E1">
        <w:rPr>
          <w:noProof/>
          <w:szCs w:val="20"/>
          <w:rtl/>
        </w:rPr>
        <w:drawing>
          <wp:inline distT="0" distB="0" distL="0" distR="0">
            <wp:extent cx="4665162" cy="1937515"/>
            <wp:effectExtent l="0" t="0" r="0" b="0"/>
            <wp:docPr id="1451066634" name="תמונה 1451066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4" name="תמונה 1451066634"/>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rcRect t="1503" b="1503"/>
                    <a:stretch>
                      <a:fillRect/>
                    </a:stretch>
                  </pic:blipFill>
                  <pic:spPr bwMode="auto">
                    <a:xfrm>
                      <a:off x="0" y="0"/>
                      <a:ext cx="4665162" cy="193751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C149B0" w:rsidRPr="005E450C" w:rsidP="005E450C" w14:paraId="6C7142FF" w14:textId="77777777">
      <w:pPr>
        <w:pStyle w:val="738"/>
        <w:rPr>
          <w:rtl/>
        </w:rPr>
      </w:pPr>
      <w:r w:rsidRPr="005E450C">
        <w:rPr>
          <w:rFonts w:hint="cs"/>
          <w:rtl/>
        </w:rPr>
        <w:t>המקור: מסמכי רפאל.</w:t>
      </w:r>
    </w:p>
    <w:p w:rsidR="00C149B0" w:rsidRPr="005E450C" w:rsidP="005E450C" w14:paraId="50242141" w14:textId="4BDC1CBA">
      <w:pPr>
        <w:pStyle w:val="7318"/>
        <w:rPr>
          <w:rtl/>
        </w:rPr>
      </w:pPr>
      <w:r w:rsidRPr="005E450C">
        <w:rPr>
          <w:rFonts w:hint="cs"/>
          <w:rtl/>
        </w:rPr>
        <w:t xml:space="preserve">מהתרשימים עולה כי שיעור הרווח הגולמי הממוצע של החברות הנבחרות בענף בשנים 2018 - 2021 היה שווה לשיעור הרווח הגולמי הממוצע של רפאל בשנים אלו והסתכם </w:t>
      </w:r>
      <w:r w:rsidR="009C31CB">
        <w:rPr>
          <w:rtl/>
        </w:rPr>
        <w:br/>
      </w:r>
      <w:r w:rsidRPr="005E450C">
        <w:rPr>
          <w:rFonts w:hint="cs"/>
          <w:rtl/>
        </w:rPr>
        <w:t>בכ-21%. עוד עולה כי הרווח התפעולי הממוצע של החברות הנבחרות בענף היה בשנים אלו כ-9%, ושל רפאל - כ-5%. כמו כן עולה כי אף שבשנת 2021 שיעור הרווח הגולמי מהמכירות של רפאל היה גבוה משיעור הרווח הגולמי הממוצע של חברות מתחרות בעולם</w:t>
      </w:r>
      <w:r>
        <w:rPr>
          <w:rStyle w:val="FootnoteReference0"/>
          <w:rtl/>
        </w:rPr>
        <w:footnoteReference w:id="28"/>
      </w:r>
      <w:r w:rsidRPr="005E450C">
        <w:rPr>
          <w:rFonts w:hint="cs"/>
          <w:rtl/>
        </w:rPr>
        <w:t xml:space="preserve"> בכ-1.4%, שיעורו של הרווח התפעולי מהמכירות שרשמה רפאל בשנה זו הסתכם בכ-5% והיה נמוך בכ-6.1% משעור הרווח התפעולי הממוצע של חברות מתחרות בעולם שהסתכם בכ-11.2%.</w:t>
      </w:r>
    </w:p>
    <w:p w:rsidR="00C149B0" w:rsidRPr="005E450C" w:rsidP="005E450C" w14:paraId="151C94C1" w14:textId="77777777">
      <w:pPr>
        <w:pStyle w:val="7318"/>
        <w:rPr>
          <w:rtl/>
        </w:rPr>
      </w:pPr>
      <w:r w:rsidRPr="005E450C">
        <w:rPr>
          <w:rFonts w:hint="cs"/>
          <w:rtl/>
        </w:rPr>
        <w:t>מומלץ כי הנהלת רפאל תבחן את הגורמים המעכבים את הגידול ברווח התפעולי שלה ותפעל להגדרת האמצעים הנדרשים להגדלתו.</w:t>
      </w:r>
    </w:p>
    <w:p w:rsidR="00C149B0" w:rsidRPr="001E7361" w:rsidP="001E7361" w14:paraId="0483774D" w14:textId="77777777">
      <w:pPr>
        <w:pStyle w:val="733155"/>
        <w:rPr>
          <w:rtl/>
        </w:rPr>
      </w:pPr>
      <w:bookmarkStart w:id="16" w:name="_Toc63925929"/>
      <w:bookmarkStart w:id="17" w:name="_Toc115616201"/>
      <w:r w:rsidRPr="001E7361">
        <w:rPr>
          <w:rFonts w:hint="cs"/>
          <w:rtl/>
        </w:rPr>
        <w:t>ההזמנות</w:t>
      </w:r>
      <w:bookmarkEnd w:id="16"/>
      <w:r w:rsidRPr="001E7361">
        <w:rPr>
          <w:rFonts w:hint="cs"/>
          <w:rtl/>
        </w:rPr>
        <w:t xml:space="preserve"> של רפאל בשנים 2017 - 2021</w:t>
      </w:r>
      <w:bookmarkEnd w:id="17"/>
    </w:p>
    <w:p w:rsidR="00C149B0" w:rsidRPr="00B431F9" w:rsidP="00B431F9" w14:paraId="42846784" w14:textId="77777777">
      <w:pPr>
        <w:pStyle w:val="73414"/>
        <w:rPr>
          <w:rtl/>
        </w:rPr>
      </w:pPr>
      <w:r w:rsidRPr="00B431F9">
        <w:rPr>
          <w:rFonts w:hint="cs"/>
          <w:rtl/>
        </w:rPr>
        <w:t>היקף קבלת הזמנות</w:t>
      </w:r>
    </w:p>
    <w:p w:rsidR="00C149B0" w:rsidRPr="00D94367" w:rsidP="005E450C" w14:paraId="6C8402AD" w14:textId="442773D5">
      <w:pPr>
        <w:pStyle w:val="7392"/>
        <w:rPr>
          <w:rtl/>
        </w:rPr>
      </w:pPr>
      <w:r w:rsidRPr="00D94367">
        <w:rPr>
          <w:rFonts w:hint="cs"/>
          <w:rtl/>
        </w:rPr>
        <w:t xml:space="preserve">בשנים 2017 - 2021 היה ההיקף השנתי הממוצע של ההזמנות שקיבלה קבוצת רפאל בסך של כ-10.8 מיליארד ש"ח. </w:t>
      </w:r>
      <w:r w:rsidRPr="00D94367">
        <w:rPr>
          <w:rFonts w:ascii="David" w:hAnsi="David" w:hint="cs"/>
          <w:rtl/>
        </w:rPr>
        <w:t>להלן יוצגו נתונים בדבר היקף קבלת ההזמנות של הקבוצה בשנים</w:t>
      </w:r>
      <w:r w:rsidR="005E450C">
        <w:rPr>
          <w:rFonts w:ascii="David" w:hAnsi="David"/>
          <w:rtl/>
        </w:rPr>
        <w:br/>
      </w:r>
      <w:r w:rsidRPr="00D94367">
        <w:rPr>
          <w:rFonts w:ascii="David" w:hAnsi="David" w:hint="cs"/>
          <w:rtl/>
        </w:rPr>
        <w:t>2017 - 2021.</w:t>
      </w:r>
    </w:p>
    <w:p w:rsidR="00C149B0" w:rsidRPr="005E450C" w:rsidP="005E450C" w14:paraId="6247A018" w14:textId="77777777">
      <w:pPr>
        <w:pStyle w:val="734"/>
        <w:rPr>
          <w:rtl/>
        </w:rPr>
      </w:pPr>
      <w:r w:rsidRPr="005E450C">
        <w:rPr>
          <w:rFonts w:hint="eastAsia"/>
          <w:b w:val="0"/>
          <w:bCs w:val="0"/>
          <w:rtl/>
        </w:rPr>
        <w:t>תרשים</w:t>
      </w:r>
      <w:r w:rsidRPr="005E450C">
        <w:rPr>
          <w:b w:val="0"/>
          <w:bCs w:val="0"/>
          <w:rtl/>
        </w:rPr>
        <w:t xml:space="preserve"> </w:t>
      </w:r>
      <w:r w:rsidRPr="005E450C">
        <w:rPr>
          <w:rFonts w:hint="cs"/>
          <w:b w:val="0"/>
          <w:bCs w:val="0"/>
          <w:rtl/>
        </w:rPr>
        <w:t>11</w:t>
      </w:r>
      <w:r w:rsidRPr="005E450C">
        <w:rPr>
          <w:b w:val="0"/>
          <w:bCs w:val="0"/>
          <w:rtl/>
        </w:rPr>
        <w:t>:</w:t>
      </w:r>
      <w:r w:rsidRPr="005E450C">
        <w:rPr>
          <w:rFonts w:hint="cs"/>
          <w:b w:val="0"/>
          <w:bCs w:val="0"/>
          <w:rtl/>
        </w:rPr>
        <w:t xml:space="preserve"> </w:t>
      </w:r>
      <w:r w:rsidRPr="005E450C">
        <w:rPr>
          <w:rFonts w:hint="cs"/>
          <w:rtl/>
        </w:rPr>
        <w:t>היקף קבלת הזמנות, 2017</w:t>
      </w:r>
      <w:r w:rsidRPr="005E450C">
        <w:rPr>
          <w:rtl/>
        </w:rPr>
        <w:t xml:space="preserve"> - </w:t>
      </w:r>
      <w:r w:rsidRPr="005E450C">
        <w:rPr>
          <w:rFonts w:hint="cs"/>
          <w:rtl/>
        </w:rPr>
        <w:t>2021</w:t>
      </w:r>
      <w:r>
        <w:rPr>
          <w:rStyle w:val="FootnoteReference0"/>
          <w:rtl/>
        </w:rPr>
        <w:footnoteReference w:id="29"/>
      </w:r>
      <w:r w:rsidRPr="005E450C">
        <w:rPr>
          <w:rtl/>
        </w:rPr>
        <w:t xml:space="preserve"> </w:t>
      </w:r>
      <w:r w:rsidRPr="005E450C">
        <w:rPr>
          <w:rFonts w:hint="cs"/>
          <w:rtl/>
        </w:rPr>
        <w:t>(במיליוני</w:t>
      </w:r>
      <w:r w:rsidRPr="005E450C">
        <w:rPr>
          <w:rtl/>
        </w:rPr>
        <w:t xml:space="preserve"> ש"ח</w:t>
      </w:r>
      <w:r w:rsidRPr="005E450C">
        <w:rPr>
          <w:rFonts w:hint="cs"/>
          <w:rtl/>
        </w:rPr>
        <w:t>)</w:t>
      </w:r>
    </w:p>
    <w:p w:rsidR="00C149B0" w:rsidP="00C149B0" w14:paraId="70D5A80F" w14:textId="77777777">
      <w:pPr>
        <w:spacing w:line="269" w:lineRule="auto"/>
        <w:jc w:val="center"/>
        <w:rPr>
          <w:b/>
          <w:bCs/>
          <w:rtl/>
        </w:rPr>
      </w:pPr>
      <w:r>
        <w:rPr>
          <w:b/>
          <w:bCs/>
          <w:noProof/>
        </w:rPr>
        <w:drawing>
          <wp:inline distT="0" distB="0" distL="0" distR="0">
            <wp:extent cx="4664084" cy="2211964"/>
            <wp:effectExtent l="0" t="0" r="0" b="0"/>
            <wp:docPr id="1451066635" name="תמונה 145106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5" name="תמונה 1451066635"/>
                    <pic:cNvPicPr>
                      <a:picLocks noChangeAspect="1" noChangeArrowheads="1"/>
                    </pic:cNvPicPr>
                  </pic:nvPicPr>
                  <pic:blipFill>
                    <a:blip xmlns:r="http://schemas.openxmlformats.org/officeDocument/2006/relationships" r:embed="rId39">
                      <a:extLst>
                        <a:ext xmlns:a="http://schemas.openxmlformats.org/drawingml/2006/main" uri="{28A0092B-C50C-407E-A947-70E740481C1C}">
                          <a14:useLocalDpi xmlns:a14="http://schemas.microsoft.com/office/drawing/2010/main" val="0"/>
                        </a:ext>
                      </a:extLst>
                    </a:blip>
                    <a:stretch>
                      <a:fillRect/>
                    </a:stretch>
                  </pic:blipFill>
                  <pic:spPr bwMode="auto">
                    <a:xfrm>
                      <a:off x="0" y="0"/>
                      <a:ext cx="4664084" cy="2211964"/>
                    </a:xfrm>
                    <a:prstGeom prst="rect">
                      <a:avLst/>
                    </a:prstGeom>
                    <a:noFill/>
                  </pic:spPr>
                </pic:pic>
              </a:graphicData>
            </a:graphic>
          </wp:inline>
        </w:drawing>
      </w:r>
    </w:p>
    <w:p w:rsidR="00C149B0" w:rsidP="005E450C" w14:paraId="4F9D4481" w14:textId="77777777">
      <w:pPr>
        <w:pStyle w:val="738"/>
        <w:rPr>
          <w:rtl/>
        </w:rPr>
      </w:pPr>
      <w:r w:rsidRPr="00D94367">
        <w:rPr>
          <w:rFonts w:hint="cs"/>
          <w:rtl/>
        </w:rPr>
        <w:t>לפי</w:t>
      </w:r>
      <w:r w:rsidRPr="00D94367">
        <w:rPr>
          <w:rtl/>
        </w:rPr>
        <w:t xml:space="preserve"> </w:t>
      </w:r>
      <w:r w:rsidRPr="00D94367">
        <w:rPr>
          <w:rFonts w:hint="cs"/>
          <w:rtl/>
        </w:rPr>
        <w:t>מסמכי רפאל, בעיבוד משרד מבקר המדינה.</w:t>
      </w:r>
    </w:p>
    <w:p w:rsidR="00C149B0" w:rsidRPr="00FA7CA3" w:rsidP="005E450C" w14:paraId="5F59E8D8" w14:textId="77777777">
      <w:pPr>
        <w:pStyle w:val="7318"/>
        <w:rPr>
          <w:rFonts w:eastAsia="Calibri"/>
          <w:rtl/>
        </w:rPr>
      </w:pPr>
      <w:r w:rsidRPr="00D94367">
        <w:rPr>
          <w:rtl/>
        </w:rPr>
        <w:t>מהתרשי</w:t>
      </w:r>
      <w:r w:rsidRPr="00D94367">
        <w:rPr>
          <w:rFonts w:hint="cs"/>
          <w:rtl/>
        </w:rPr>
        <w:t xml:space="preserve">ם </w:t>
      </w:r>
      <w:r w:rsidRPr="00D94367">
        <w:rPr>
          <w:rtl/>
        </w:rPr>
        <w:t xml:space="preserve">עולה כי בשנים </w:t>
      </w:r>
      <w:r w:rsidRPr="00D94367">
        <w:rPr>
          <w:rFonts w:hint="cs"/>
          <w:rtl/>
        </w:rPr>
        <w:t>2018 - 2020 חלה ירידה בהיקף קבלת ההזמנות בשיעורים של</w:t>
      </w:r>
      <w:r w:rsidRPr="00D94367">
        <w:t xml:space="preserve"> </w:t>
      </w:r>
      <w:r w:rsidRPr="00D94367">
        <w:rPr>
          <w:rFonts w:hint="cs"/>
          <w:rtl/>
        </w:rPr>
        <w:t xml:space="preserve">14.8%, 9.7% ו-29.1% לעומת שנת 2017 בהתאמה. עוד עולה מהתרשים כי </w:t>
      </w:r>
      <w:bookmarkStart w:id="18" w:name="_Hlk120108308"/>
      <w:r>
        <w:rPr>
          <w:rFonts w:hint="cs"/>
          <w:rtl/>
        </w:rPr>
        <w:t xml:space="preserve">היקף קבלת ההזמנות הממוצע בשנים 2020 ו-2021 היה גבוה בכ-13% ביחס לשנת 2019. </w:t>
      </w:r>
      <w:bookmarkEnd w:id="18"/>
      <w:r w:rsidRPr="00D94367">
        <w:rPr>
          <w:rFonts w:hint="cs"/>
          <w:rtl/>
        </w:rPr>
        <w:t>בשנת 2021 חלה על</w:t>
      </w:r>
      <w:r>
        <w:rPr>
          <w:rFonts w:hint="cs"/>
          <w:rtl/>
        </w:rPr>
        <w:t>י</w:t>
      </w:r>
      <w:r w:rsidRPr="00D94367">
        <w:rPr>
          <w:rFonts w:hint="cs"/>
          <w:rtl/>
        </w:rPr>
        <w:t xml:space="preserve">יה בשיעור של כ-88% בהיקף קבלת ההזמנות של רפאל (ללא </w:t>
      </w:r>
      <w:r w:rsidRPr="00D94367">
        <w:rPr>
          <w:rFonts w:hint="cs"/>
          <w:rtl/>
        </w:rPr>
        <w:t>אירונאוטיקס</w:t>
      </w:r>
      <w:r w:rsidRPr="00D94367">
        <w:rPr>
          <w:rFonts w:hint="cs"/>
          <w:rtl/>
        </w:rPr>
        <w:t xml:space="preserve"> </w:t>
      </w:r>
      <w:r w:rsidRPr="00D94367">
        <w:rPr>
          <w:rFonts w:hint="cs"/>
          <w:rtl/>
        </w:rPr>
        <w:t>וקונטרופ</w:t>
      </w:r>
      <w:r w:rsidRPr="00D94367">
        <w:rPr>
          <w:rFonts w:hint="cs"/>
          <w:rtl/>
        </w:rPr>
        <w:t xml:space="preserve">). תרומתן של החברות </w:t>
      </w:r>
      <w:r w:rsidRPr="00D94367">
        <w:rPr>
          <w:rFonts w:hint="cs"/>
          <w:rtl/>
        </w:rPr>
        <w:t>אירונאוטיקס</w:t>
      </w:r>
      <w:r w:rsidRPr="00D94367">
        <w:rPr>
          <w:rFonts w:hint="cs"/>
          <w:rtl/>
        </w:rPr>
        <w:t xml:space="preserve"> </w:t>
      </w:r>
      <w:r w:rsidRPr="00D94367">
        <w:rPr>
          <w:rFonts w:hint="cs"/>
          <w:rtl/>
        </w:rPr>
        <w:t>וקונטרופ</w:t>
      </w:r>
      <w:r w:rsidRPr="00D94367">
        <w:rPr>
          <w:rFonts w:hint="cs"/>
          <w:rtl/>
        </w:rPr>
        <w:t xml:space="preserve"> להיקף ההזמנות הסתכמה בשנה זו ב-596 מיליוני ש"ח, </w:t>
      </w:r>
      <w:r>
        <w:rPr>
          <w:rFonts w:hint="cs"/>
          <w:rtl/>
        </w:rPr>
        <w:t xml:space="preserve">ששיעורם </w:t>
      </w:r>
      <w:r w:rsidRPr="00D94367">
        <w:rPr>
          <w:rFonts w:hint="cs"/>
          <w:rtl/>
        </w:rPr>
        <w:t xml:space="preserve">כ-4% מהיקף ההזמנות בדוח המאוחד. </w:t>
      </w:r>
      <w:r w:rsidRPr="00BE4AD2">
        <w:rPr>
          <w:rFonts w:eastAsia="Calibri" w:hint="eastAsia"/>
          <w:rtl/>
        </w:rPr>
        <w:t>כמו</w:t>
      </w:r>
      <w:r w:rsidRPr="00BE4AD2">
        <w:rPr>
          <w:rFonts w:eastAsia="Calibri"/>
          <w:rtl/>
        </w:rPr>
        <w:t xml:space="preserve"> כן, עלו </w:t>
      </w:r>
      <w:r w:rsidRPr="00BE4AD2">
        <w:rPr>
          <w:rFonts w:eastAsia="Calibri" w:hint="cs"/>
          <w:rtl/>
        </w:rPr>
        <w:t xml:space="preserve">בביקורת </w:t>
      </w:r>
      <w:r w:rsidRPr="00BE4AD2">
        <w:rPr>
          <w:rFonts w:eastAsia="Calibri"/>
          <w:rtl/>
        </w:rPr>
        <w:t xml:space="preserve">פערים מסוימים בשנים 2018 </w:t>
      </w:r>
      <w:r w:rsidRPr="00BE4AD2">
        <w:rPr>
          <w:rFonts w:eastAsia="Calibri" w:hint="cs"/>
          <w:rtl/>
        </w:rPr>
        <w:t>-</w:t>
      </w:r>
      <w:r w:rsidRPr="00BE4AD2">
        <w:rPr>
          <w:rFonts w:eastAsia="Calibri"/>
          <w:rtl/>
        </w:rPr>
        <w:t xml:space="preserve"> </w:t>
      </w:r>
      <w:r w:rsidRPr="00BE4AD2">
        <w:rPr>
          <w:rFonts w:eastAsia="Calibri" w:hint="cs"/>
          <w:rtl/>
        </w:rPr>
        <w:t>2020</w:t>
      </w:r>
      <w:r w:rsidRPr="00BE4AD2">
        <w:rPr>
          <w:rFonts w:eastAsia="Calibri"/>
          <w:rtl/>
        </w:rPr>
        <w:t xml:space="preserve"> בין </w:t>
      </w:r>
      <w:r>
        <w:rPr>
          <w:rFonts w:eastAsia="Calibri" w:hint="cs"/>
          <w:rtl/>
        </w:rPr>
        <w:t xml:space="preserve">היקף </w:t>
      </w:r>
      <w:r w:rsidRPr="00BE4AD2">
        <w:rPr>
          <w:rFonts w:eastAsia="Calibri"/>
          <w:rtl/>
        </w:rPr>
        <w:t>קבלת ההזמנות לבין יעד</w:t>
      </w:r>
      <w:r w:rsidRPr="00BE4AD2">
        <w:rPr>
          <w:rFonts w:eastAsia="Calibri" w:hint="cs"/>
          <w:rtl/>
        </w:rPr>
        <w:t>י</w:t>
      </w:r>
      <w:r w:rsidRPr="00BE4AD2">
        <w:rPr>
          <w:rFonts w:eastAsia="Calibri"/>
          <w:rtl/>
        </w:rPr>
        <w:t xml:space="preserve"> התקציב </w:t>
      </w:r>
      <w:r w:rsidRPr="00BE4AD2">
        <w:rPr>
          <w:rFonts w:eastAsia="Calibri" w:hint="cs"/>
          <w:rtl/>
        </w:rPr>
        <w:t>וכן בין היקף קבלת ההזמנות הממוצע בשנים 2020 ו-2021 ליעד התקציב הממוצע בשנים אלו</w:t>
      </w:r>
      <w:r w:rsidRPr="00BE4AD2">
        <w:rPr>
          <w:rFonts w:eastAsia="Calibri"/>
          <w:rtl/>
        </w:rPr>
        <w:t>.</w:t>
      </w:r>
    </w:p>
    <w:p w:rsidR="00C149B0" w:rsidRPr="005E450C" w:rsidP="005E450C" w14:paraId="17469A76" w14:textId="77777777">
      <w:pPr>
        <w:pStyle w:val="7392"/>
        <w:rPr>
          <w:rtl/>
        </w:rPr>
      </w:pPr>
      <w:r w:rsidRPr="005E450C">
        <w:rPr>
          <w:rFonts w:hint="cs"/>
          <w:rtl/>
        </w:rPr>
        <w:t xml:space="preserve">הירידה בהיקף קבלת הזמנות בשנת 2020 והעלייה בשנת 2021 כמתואר לעיל הוסברו </w:t>
      </w:r>
      <w:r w:rsidRPr="005E450C">
        <w:rPr>
          <w:rFonts w:hint="eastAsia"/>
          <w:rtl/>
        </w:rPr>
        <w:t>בדוחות</w:t>
      </w:r>
      <w:r w:rsidRPr="005E450C">
        <w:rPr>
          <w:rtl/>
        </w:rPr>
        <w:t xml:space="preserve"> </w:t>
      </w:r>
      <w:r w:rsidRPr="005E450C">
        <w:rPr>
          <w:rFonts w:hint="eastAsia"/>
          <w:rtl/>
        </w:rPr>
        <w:t>ה</w:t>
      </w:r>
      <w:r w:rsidRPr="005E450C">
        <w:rPr>
          <w:rFonts w:hint="cs"/>
          <w:rtl/>
        </w:rPr>
        <w:t>שנ</w:t>
      </w:r>
      <w:r w:rsidRPr="005E450C">
        <w:rPr>
          <w:rFonts w:hint="eastAsia"/>
          <w:rtl/>
        </w:rPr>
        <w:t>תיים</w:t>
      </w:r>
      <w:r w:rsidRPr="005E450C">
        <w:rPr>
          <w:rFonts w:hint="cs"/>
          <w:rtl/>
        </w:rPr>
        <w:t xml:space="preserve"> של רפאל לשנים אלו: בנוגע לשנת 2020 הוסבר כי נוכח היעדר תקציב מדינה מאושר, חל עיכוב בקבלת הזמנות </w:t>
      </w:r>
      <w:r w:rsidRPr="005E450C">
        <w:rPr>
          <w:rFonts w:hint="cs"/>
          <w:rtl/>
        </w:rPr>
        <w:t>ממשהב"ט</w:t>
      </w:r>
      <w:r w:rsidRPr="005E450C">
        <w:rPr>
          <w:rFonts w:hint="cs"/>
          <w:rtl/>
        </w:rPr>
        <w:t>, שגרם לפער של כמיליארד ש"ח בקבלת הזמנות החברה לשנה זו</w:t>
      </w:r>
      <w:r>
        <w:rPr>
          <w:rStyle w:val="FootnoteReference0"/>
          <w:rtl/>
        </w:rPr>
        <w:footnoteReference w:id="30"/>
      </w:r>
      <w:r w:rsidRPr="005E450C">
        <w:rPr>
          <w:rFonts w:hint="cs"/>
          <w:rtl/>
        </w:rPr>
        <w:t>; וכי נוכח משבר הקורונה היקף קבלת ההזמנות מחו"ל היה נמוך מהתקציב</w:t>
      </w:r>
      <w:r>
        <w:rPr>
          <w:rStyle w:val="FootnoteReference0"/>
          <w:rtl/>
        </w:rPr>
        <w:footnoteReference w:id="31"/>
      </w:r>
      <w:r w:rsidRPr="005E450C">
        <w:rPr>
          <w:rFonts w:hint="cs"/>
          <w:rtl/>
        </w:rPr>
        <w:t xml:space="preserve">. </w:t>
      </w:r>
    </w:p>
    <w:p w:rsidR="00C149B0" w:rsidRPr="005E450C" w:rsidP="005E450C" w14:paraId="0AA05B3D" w14:textId="77777777">
      <w:pPr>
        <w:pStyle w:val="7392"/>
        <w:rPr>
          <w:rtl/>
        </w:rPr>
      </w:pPr>
      <w:r w:rsidRPr="005E450C">
        <w:rPr>
          <w:rFonts w:hint="cs"/>
          <w:rtl/>
        </w:rPr>
        <w:t>אשר לגידול בהיקף ההזמנות שהתקבלו בשנת 2021 הוסבר</w:t>
      </w:r>
      <w:r>
        <w:rPr>
          <w:rStyle w:val="FootnoteReference0"/>
          <w:rtl/>
        </w:rPr>
        <w:footnoteReference w:id="32"/>
      </w:r>
      <w:r w:rsidRPr="005E450C">
        <w:rPr>
          <w:rFonts w:hint="cs"/>
          <w:rtl/>
        </w:rPr>
        <w:t xml:space="preserve"> כי</w:t>
      </w:r>
      <w:r w:rsidRPr="005E450C">
        <w:rPr>
          <w:rtl/>
        </w:rPr>
        <w:t xml:space="preserve"> </w:t>
      </w:r>
      <w:r w:rsidRPr="005E450C">
        <w:rPr>
          <w:rFonts w:hint="cs"/>
          <w:rtl/>
        </w:rPr>
        <w:t xml:space="preserve">הדבר </w:t>
      </w:r>
      <w:r w:rsidRPr="005E450C">
        <w:rPr>
          <w:rtl/>
        </w:rPr>
        <w:t xml:space="preserve">נובע מהזמנות שהתעכבו בשנת </w:t>
      </w:r>
      <w:r w:rsidRPr="005E450C">
        <w:t>2020</w:t>
      </w:r>
      <w:r w:rsidRPr="005E450C">
        <w:rPr>
          <w:rtl/>
        </w:rPr>
        <w:t xml:space="preserve"> בעקבות משבר הקורונה והעיכוב באישור תקציב המדינה</w:t>
      </w:r>
      <w:r w:rsidRPr="005E450C">
        <w:rPr>
          <w:rFonts w:hint="cs"/>
          <w:rtl/>
        </w:rPr>
        <w:t>, וקבלתן בשנת 2021;</w:t>
      </w:r>
      <w:r w:rsidRPr="005E450C">
        <w:rPr>
          <w:rtl/>
        </w:rPr>
        <w:t xml:space="preserve"> </w:t>
      </w:r>
      <w:r w:rsidRPr="005E450C">
        <w:rPr>
          <w:rFonts w:hint="cs"/>
          <w:rtl/>
        </w:rPr>
        <w:t>מ</w:t>
      </w:r>
      <w:r w:rsidRPr="005E450C">
        <w:rPr>
          <w:rtl/>
        </w:rPr>
        <w:t xml:space="preserve">הצלחה בפעילות </w:t>
      </w:r>
      <w:r w:rsidRPr="005E450C">
        <w:rPr>
          <w:rFonts w:hint="cs"/>
          <w:rtl/>
        </w:rPr>
        <w:t>ה</w:t>
      </w:r>
      <w:r w:rsidRPr="005E450C">
        <w:rPr>
          <w:rtl/>
        </w:rPr>
        <w:t>שיווק</w:t>
      </w:r>
      <w:r w:rsidRPr="005E450C">
        <w:rPr>
          <w:rFonts w:hint="cs"/>
          <w:rtl/>
        </w:rPr>
        <w:t xml:space="preserve"> </w:t>
      </w:r>
      <w:r w:rsidRPr="005E450C">
        <w:rPr>
          <w:rtl/>
        </w:rPr>
        <w:t>ו</w:t>
      </w:r>
      <w:r w:rsidRPr="005E450C">
        <w:rPr>
          <w:rFonts w:hint="cs"/>
          <w:rtl/>
        </w:rPr>
        <w:t>מ</w:t>
      </w:r>
      <w:r w:rsidRPr="005E450C">
        <w:rPr>
          <w:rtl/>
        </w:rPr>
        <w:t xml:space="preserve">איחוד הדוחות הכספיים </w:t>
      </w:r>
      <w:r w:rsidRPr="005E450C">
        <w:rPr>
          <w:rFonts w:hint="cs"/>
          <w:rtl/>
        </w:rPr>
        <w:t>של</w:t>
      </w:r>
      <w:r w:rsidRPr="005E450C">
        <w:rPr>
          <w:rtl/>
        </w:rPr>
        <w:t xml:space="preserve"> חברות </w:t>
      </w:r>
      <w:r w:rsidRPr="005E450C">
        <w:rPr>
          <w:rtl/>
        </w:rPr>
        <w:t>אירונאוטיקס</w:t>
      </w:r>
      <w:r w:rsidRPr="005E450C">
        <w:rPr>
          <w:rtl/>
        </w:rPr>
        <w:t xml:space="preserve"> </w:t>
      </w:r>
      <w:r w:rsidRPr="005E450C">
        <w:rPr>
          <w:rtl/>
        </w:rPr>
        <w:t>וקונטרופ</w:t>
      </w:r>
      <w:r w:rsidRPr="005E450C">
        <w:rPr>
          <w:rtl/>
        </w:rPr>
        <w:t xml:space="preserve"> </w:t>
      </w:r>
      <w:r w:rsidRPr="005E450C">
        <w:rPr>
          <w:rFonts w:hint="cs"/>
          <w:rtl/>
        </w:rPr>
        <w:t xml:space="preserve">בדוחות הכספיים של רפאל </w:t>
      </w:r>
      <w:r w:rsidRPr="005E450C">
        <w:rPr>
          <w:rtl/>
        </w:rPr>
        <w:t xml:space="preserve">החל מהרבעון השני לשנת 2021. </w:t>
      </w:r>
    </w:p>
    <w:p w:rsidR="00C149B0" w:rsidRPr="005E450C" w:rsidP="005E450C" w14:paraId="44D8F9BE" w14:textId="5646E08A">
      <w:pPr>
        <w:pStyle w:val="7318"/>
        <w:rPr>
          <w:rtl/>
        </w:rPr>
      </w:pPr>
      <w:r w:rsidRPr="005E450C">
        <w:rPr>
          <w:rFonts w:hint="cs"/>
          <w:rtl/>
        </w:rPr>
        <w:t xml:space="preserve">נוכח ההסברים המובאים לעיל, התייחסה רפאל בניתוחיה לממוצע סכום ההזמנות בשנים 2020 ו-2021 שהיה כ-11.4 מיליארד ש"ח (ללא נתוני </w:t>
      </w:r>
      <w:r w:rsidRPr="005E450C">
        <w:rPr>
          <w:rFonts w:hint="cs"/>
          <w:rtl/>
        </w:rPr>
        <w:t>אירונאוטיקס</w:t>
      </w:r>
      <w:r w:rsidRPr="005E450C">
        <w:rPr>
          <w:rFonts w:hint="cs"/>
          <w:rtl/>
        </w:rPr>
        <w:t xml:space="preserve"> </w:t>
      </w:r>
      <w:r w:rsidRPr="005E450C">
        <w:rPr>
          <w:rFonts w:hint="cs"/>
          <w:rtl/>
        </w:rPr>
        <w:t>וקונטרופ</w:t>
      </w:r>
      <w:r w:rsidRPr="005E450C">
        <w:rPr>
          <w:rFonts w:hint="cs"/>
          <w:rtl/>
        </w:rPr>
        <w:t xml:space="preserve">). בהתאם לכך, הגידול בהיקף קבלת הזמנות של קבוצת רפאל משנת 2017 ועד לשנת 2021 היה </w:t>
      </w:r>
      <w:r w:rsidR="009C31CB">
        <w:rPr>
          <w:rtl/>
        </w:rPr>
        <w:br/>
      </w:r>
      <w:r w:rsidRPr="005E450C">
        <w:rPr>
          <w:rFonts w:hint="cs"/>
          <w:rtl/>
        </w:rPr>
        <w:t xml:space="preserve">כ-5% כולל הזמנות </w:t>
      </w:r>
      <w:r w:rsidRPr="005E450C">
        <w:rPr>
          <w:rFonts w:hint="cs"/>
          <w:rtl/>
        </w:rPr>
        <w:t>אירונאוטיקס</w:t>
      </w:r>
      <w:r w:rsidRPr="005E450C">
        <w:rPr>
          <w:rFonts w:hint="cs"/>
          <w:rtl/>
        </w:rPr>
        <w:t xml:space="preserve"> </w:t>
      </w:r>
      <w:r w:rsidRPr="005E450C">
        <w:rPr>
          <w:rFonts w:hint="cs"/>
          <w:rtl/>
        </w:rPr>
        <w:t>וקונטרופ</w:t>
      </w:r>
      <w:r w:rsidRPr="005E450C">
        <w:rPr>
          <w:rFonts w:hint="cs"/>
          <w:rtl/>
        </w:rPr>
        <w:t>, וכ-2% בלעדיהן.</w:t>
      </w:r>
    </w:p>
    <w:p w:rsidR="00C149B0" w:rsidRPr="00B431F9" w:rsidP="00B431F9" w14:paraId="52F1CBE8" w14:textId="77777777">
      <w:pPr>
        <w:pStyle w:val="73414"/>
        <w:rPr>
          <w:rtl/>
        </w:rPr>
      </w:pPr>
      <w:r w:rsidRPr="00B431F9">
        <w:rPr>
          <w:rFonts w:hint="cs"/>
          <w:rtl/>
        </w:rPr>
        <w:t xml:space="preserve">קבלת הזמנות מהשוק המקומי ומחו"ל </w:t>
      </w:r>
    </w:p>
    <w:p w:rsidR="00C149B0" w:rsidRPr="00D94367" w:rsidP="005E450C" w14:paraId="212873FA" w14:textId="7820E738">
      <w:pPr>
        <w:pStyle w:val="7392"/>
        <w:rPr>
          <w:lang w:eastAsia="he-IL"/>
        </w:rPr>
      </w:pPr>
      <w:r w:rsidRPr="00D94367">
        <w:rPr>
          <w:rtl/>
          <w:lang w:eastAsia="he-IL"/>
        </w:rPr>
        <w:t xml:space="preserve">בתוכנית האסטרטגית של רפאל לשנים 2021 - 2030 נקבע לחברה (סולו) יעד </w:t>
      </w:r>
      <w:r w:rsidRPr="00D94367">
        <w:rPr>
          <w:rFonts w:hint="cs"/>
          <w:rtl/>
          <w:lang w:eastAsia="he-IL"/>
        </w:rPr>
        <w:t>לייצוב שיעור ההזמנות מחו"ל על</w:t>
      </w:r>
      <w:r w:rsidRPr="00D94367">
        <w:rPr>
          <w:rtl/>
          <w:lang w:eastAsia="he-IL"/>
        </w:rPr>
        <w:t xml:space="preserve"> 60%</w:t>
      </w:r>
      <w:r w:rsidRPr="00D94367">
        <w:rPr>
          <w:rFonts w:hint="cs"/>
          <w:rtl/>
          <w:lang w:eastAsia="he-IL"/>
        </w:rPr>
        <w:t xml:space="preserve"> מתוך סך היקף ההזמנות השנתי</w:t>
      </w:r>
      <w:r w:rsidRPr="00D94367">
        <w:rPr>
          <w:rtl/>
          <w:lang w:eastAsia="he-IL"/>
        </w:rPr>
        <w:t xml:space="preserve">. </w:t>
      </w:r>
      <w:r w:rsidRPr="00D94367">
        <w:rPr>
          <w:rFonts w:hint="cs"/>
          <w:rtl/>
          <w:lang w:eastAsia="he-IL"/>
        </w:rPr>
        <w:t xml:space="preserve">בישיבת ועדת כספים והשקעות </w:t>
      </w:r>
      <w:r w:rsidR="009C31CB">
        <w:rPr>
          <w:rtl/>
          <w:lang w:eastAsia="he-IL"/>
        </w:rPr>
        <w:br/>
      </w:r>
      <w:r>
        <w:rPr>
          <w:rFonts w:hint="cs"/>
          <w:rtl/>
          <w:lang w:eastAsia="he-IL"/>
        </w:rPr>
        <w:t>ב</w:t>
      </w:r>
      <w:r w:rsidRPr="00D94367">
        <w:rPr>
          <w:rFonts w:hint="cs"/>
          <w:rtl/>
          <w:lang w:eastAsia="he-IL"/>
        </w:rPr>
        <w:t xml:space="preserve">-26.11.20 נקבעו </w:t>
      </w:r>
      <w:r w:rsidRPr="00D94367">
        <w:rPr>
          <w:rtl/>
          <w:lang w:eastAsia="he-IL"/>
        </w:rPr>
        <w:t xml:space="preserve">יעדי התקציב להיקף </w:t>
      </w:r>
      <w:r w:rsidRPr="00D94367">
        <w:rPr>
          <w:rFonts w:hint="cs"/>
          <w:rtl/>
          <w:lang w:eastAsia="he-IL"/>
        </w:rPr>
        <w:t xml:space="preserve">קבלת </w:t>
      </w:r>
      <w:r w:rsidRPr="00D94367">
        <w:rPr>
          <w:rtl/>
          <w:lang w:eastAsia="he-IL"/>
        </w:rPr>
        <w:t xml:space="preserve">הזמנות </w:t>
      </w:r>
      <w:r w:rsidRPr="00D94367">
        <w:rPr>
          <w:rFonts w:hint="cs"/>
          <w:rtl/>
          <w:lang w:eastAsia="he-IL"/>
        </w:rPr>
        <w:t>מחו"ל</w:t>
      </w:r>
      <w:r w:rsidRPr="00D94367">
        <w:rPr>
          <w:rtl/>
          <w:lang w:eastAsia="he-IL"/>
        </w:rPr>
        <w:t xml:space="preserve"> של הקבוצה ושל החברה (סולו)</w:t>
      </w:r>
      <w:r w:rsidRPr="00D94367">
        <w:rPr>
          <w:rFonts w:hint="cs"/>
          <w:rtl/>
          <w:lang w:eastAsia="he-IL"/>
        </w:rPr>
        <w:t xml:space="preserve"> </w:t>
      </w:r>
      <w:r w:rsidRPr="00D94367">
        <w:rPr>
          <w:rtl/>
          <w:lang w:eastAsia="he-IL"/>
        </w:rPr>
        <w:t>לשנת</w:t>
      </w:r>
      <w:r w:rsidRPr="00D94367">
        <w:rPr>
          <w:rFonts w:hint="cs"/>
          <w:rtl/>
          <w:lang w:eastAsia="he-IL"/>
        </w:rPr>
        <w:t xml:space="preserve"> 2021</w:t>
      </w:r>
      <w:r>
        <w:rPr>
          <w:rFonts w:hint="cs"/>
          <w:rtl/>
          <w:lang w:eastAsia="he-IL"/>
        </w:rPr>
        <w:t>.</w:t>
      </w:r>
    </w:p>
    <w:p w:rsidR="00C149B0" w:rsidP="005E450C" w14:paraId="27F5F87E" w14:textId="77777777">
      <w:pPr>
        <w:pStyle w:val="7392"/>
        <w:rPr>
          <w:b/>
          <w:bCs/>
          <w:rtl/>
        </w:rPr>
      </w:pPr>
      <w:r w:rsidRPr="00D94367">
        <w:rPr>
          <w:rFonts w:hint="cs"/>
          <w:rtl/>
          <w:lang w:eastAsia="he-IL"/>
        </w:rPr>
        <w:t>להלן פילוח נתוני ההזמנות של רפאל (סולו) ושל הקבוצה בשנים 2017 - 2021:</w:t>
      </w:r>
    </w:p>
    <w:p w:rsidR="00C149B0" w:rsidRPr="005E450C" w:rsidP="005E450C" w14:paraId="224AB5DE" w14:textId="77777777">
      <w:pPr>
        <w:pStyle w:val="734"/>
        <w:rPr>
          <w:rtl/>
        </w:rPr>
      </w:pPr>
      <w:r w:rsidRPr="005E450C">
        <w:rPr>
          <w:rFonts w:hint="eastAsia"/>
          <w:b w:val="0"/>
          <w:bCs w:val="0"/>
          <w:rtl/>
        </w:rPr>
        <w:t>תרשים</w:t>
      </w:r>
      <w:r w:rsidRPr="005E450C">
        <w:rPr>
          <w:b w:val="0"/>
          <w:bCs w:val="0"/>
          <w:rtl/>
        </w:rPr>
        <w:t xml:space="preserve"> </w:t>
      </w:r>
      <w:r w:rsidRPr="005E450C">
        <w:rPr>
          <w:rFonts w:hint="cs"/>
          <w:b w:val="0"/>
          <w:bCs w:val="0"/>
          <w:rtl/>
        </w:rPr>
        <w:t>12</w:t>
      </w:r>
      <w:r w:rsidRPr="005E450C">
        <w:rPr>
          <w:b w:val="0"/>
          <w:bCs w:val="0"/>
          <w:rtl/>
        </w:rPr>
        <w:t>:</w:t>
      </w:r>
      <w:r w:rsidRPr="005E450C">
        <w:rPr>
          <w:rFonts w:hint="cs"/>
          <w:rtl/>
        </w:rPr>
        <w:t xml:space="preserve"> שיעור ההזמנות מחו"ל ומהשוק המקומי שקיבלה רפאל (סולו), </w:t>
      </w:r>
      <w:r w:rsidRPr="005E450C">
        <w:rPr>
          <w:rtl/>
        </w:rPr>
        <w:br/>
      </w:r>
      <w:r w:rsidRPr="005E450C">
        <w:rPr>
          <w:rFonts w:hint="cs"/>
          <w:rtl/>
        </w:rPr>
        <w:t>2017</w:t>
      </w:r>
      <w:r w:rsidRPr="005E450C">
        <w:rPr>
          <w:rtl/>
        </w:rPr>
        <w:t xml:space="preserve"> </w:t>
      </w:r>
      <w:r w:rsidRPr="005E450C">
        <w:rPr>
          <w:rFonts w:hint="cs"/>
          <w:rtl/>
        </w:rPr>
        <w:t>-</w:t>
      </w:r>
      <w:r w:rsidRPr="005E450C">
        <w:rPr>
          <w:rtl/>
        </w:rPr>
        <w:t xml:space="preserve"> </w:t>
      </w:r>
      <w:r w:rsidRPr="005E450C">
        <w:rPr>
          <w:rFonts w:hint="cs"/>
          <w:rtl/>
        </w:rPr>
        <w:t>2021</w:t>
      </w:r>
    </w:p>
    <w:p w:rsidR="00C149B0" w:rsidP="00C149B0" w14:paraId="272FD30D" w14:textId="77777777">
      <w:pPr>
        <w:spacing w:line="269" w:lineRule="auto"/>
        <w:jc w:val="center"/>
        <w:rPr>
          <w:b/>
          <w:bCs/>
          <w:rtl/>
        </w:rPr>
      </w:pPr>
      <w:r>
        <w:rPr>
          <w:noProof/>
        </w:rPr>
        <w:drawing>
          <wp:inline distT="0" distB="0" distL="0" distR="0">
            <wp:extent cx="4518204" cy="3117439"/>
            <wp:effectExtent l="0" t="0" r="3175" b="0"/>
            <wp:docPr id="46" name="תמונה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תמונה 46"/>
                    <pic:cNvPicPr>
                      <a:picLocks noChangeAspect="1" noChangeArrowheads="1"/>
                    </pic:cNvPicPr>
                  </pic:nvPicPr>
                  <pic:blipFill>
                    <a:blip xmlns:r="http://schemas.openxmlformats.org/officeDocument/2006/relationships" r:embed="rId40">
                      <a:extLst>
                        <a:ext xmlns:a="http://schemas.openxmlformats.org/drawingml/2006/main" uri="{28A0092B-C50C-407E-A947-70E740481C1C}">
                          <a14:useLocalDpi xmlns:a14="http://schemas.microsoft.com/office/drawing/2010/main" val="0"/>
                        </a:ext>
                      </a:extLst>
                    </a:blip>
                    <a:srcRect t="-2264"/>
                    <a:stretch>
                      <a:fillRect/>
                    </a:stretch>
                  </pic:blipFill>
                  <pic:spPr bwMode="auto">
                    <a:xfrm>
                      <a:off x="0" y="0"/>
                      <a:ext cx="4533700" cy="3128131"/>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C149B0" w:rsidRPr="005E450C" w:rsidP="005E450C" w14:paraId="70C0658C" w14:textId="77777777">
      <w:pPr>
        <w:pStyle w:val="738"/>
        <w:rPr>
          <w:rtl/>
        </w:rPr>
      </w:pPr>
      <w:r w:rsidRPr="005E450C">
        <w:rPr>
          <w:rFonts w:hint="cs"/>
          <w:rtl/>
        </w:rPr>
        <w:t>לפי</w:t>
      </w:r>
      <w:r w:rsidRPr="005E450C">
        <w:rPr>
          <w:rtl/>
        </w:rPr>
        <w:t xml:space="preserve"> </w:t>
      </w:r>
      <w:r w:rsidRPr="005E450C">
        <w:rPr>
          <w:rFonts w:hint="cs"/>
          <w:rtl/>
        </w:rPr>
        <w:t>מסמכי רפאל, בעיבוד משרד מבקר המדינה.</w:t>
      </w:r>
    </w:p>
    <w:p w:rsidR="00C149B0" w:rsidRPr="005E450C" w:rsidP="005E450C" w14:paraId="2004A52C" w14:textId="77777777">
      <w:pPr>
        <w:pStyle w:val="7318"/>
        <w:rPr>
          <w:rtl/>
        </w:rPr>
      </w:pPr>
      <w:r w:rsidRPr="005E450C">
        <w:rPr>
          <w:rFonts w:hint="cs"/>
          <w:rtl/>
        </w:rPr>
        <w:t xml:space="preserve">מהתרשים עולה כי בשנים 2017 - 2021 היקפי </w:t>
      </w:r>
      <w:r w:rsidRPr="005E450C">
        <w:rPr>
          <w:rFonts w:hint="eastAsia"/>
          <w:rtl/>
        </w:rPr>
        <w:t>ה</w:t>
      </w:r>
      <w:r w:rsidRPr="005E450C">
        <w:rPr>
          <w:rFonts w:hint="cs"/>
          <w:rtl/>
        </w:rPr>
        <w:t xml:space="preserve">הזמנות מחו"ל </w:t>
      </w:r>
      <w:r w:rsidRPr="005E450C">
        <w:rPr>
          <w:rFonts w:hint="eastAsia"/>
          <w:rtl/>
        </w:rPr>
        <w:t>שקיבלה</w:t>
      </w:r>
      <w:r w:rsidRPr="005E450C">
        <w:rPr>
          <w:rFonts w:hint="cs"/>
          <w:rtl/>
        </w:rPr>
        <w:t xml:space="preserve"> רפאל (סולו) היו בממוצע בשיעור של כ-53% מכלל היקף ההזמנות; שיעור הנמוך ב-7% מהיעד לייצוב שנקבע בתוכנית האסטרטגית של רפאל </w:t>
      </w:r>
      <w:r w:rsidRPr="005E450C">
        <w:rPr>
          <w:rtl/>
        </w:rPr>
        <w:t xml:space="preserve">לשנים 2021 </w:t>
      </w:r>
      <w:r w:rsidRPr="005E450C">
        <w:rPr>
          <w:rFonts w:hint="cs"/>
          <w:rtl/>
        </w:rPr>
        <w:t>עד</w:t>
      </w:r>
      <w:r w:rsidRPr="005E450C">
        <w:rPr>
          <w:rtl/>
        </w:rPr>
        <w:t xml:space="preserve"> 2030 </w:t>
      </w:r>
      <w:r w:rsidRPr="005E450C">
        <w:rPr>
          <w:rFonts w:hint="cs"/>
          <w:rtl/>
        </w:rPr>
        <w:t>- 60%. עוד עולה מהתרשים כי בשנת 2021 חל קיטון בשיעור היחסי של היקף ההזמנות מחו"ל ב-12% לעומת שנת 2020. ממוצע ההזמנות מחו"ל בשנים 2020 - 2021 ירד ב-9% לעומת שנת 2019.</w:t>
      </w:r>
    </w:p>
    <w:p w:rsidR="00C149B0" w:rsidRPr="005E450C" w:rsidP="005E450C" w14:paraId="6D413F74" w14:textId="77777777">
      <w:pPr>
        <w:pStyle w:val="734"/>
        <w:rPr>
          <w:rtl/>
        </w:rPr>
      </w:pPr>
      <w:r w:rsidRPr="005E450C">
        <w:rPr>
          <w:rFonts w:hint="eastAsia"/>
          <w:b w:val="0"/>
          <w:bCs w:val="0"/>
          <w:rtl/>
        </w:rPr>
        <w:t>תרשים</w:t>
      </w:r>
      <w:r w:rsidRPr="005E450C">
        <w:rPr>
          <w:rFonts w:hint="cs"/>
          <w:b w:val="0"/>
          <w:bCs w:val="0"/>
          <w:rtl/>
        </w:rPr>
        <w:t xml:space="preserve"> 13</w:t>
      </w:r>
      <w:r w:rsidRPr="005E450C">
        <w:rPr>
          <w:b w:val="0"/>
          <w:bCs w:val="0"/>
          <w:rtl/>
        </w:rPr>
        <w:t>:</w:t>
      </w:r>
      <w:r w:rsidRPr="005E450C">
        <w:rPr>
          <w:rFonts w:hint="cs"/>
          <w:rtl/>
        </w:rPr>
        <w:t xml:space="preserve"> שיעור ההזמנות מחו"ל ומהשוק המקומי שקיבלה קבוצת רפאל, </w:t>
      </w:r>
      <w:r w:rsidRPr="005E450C">
        <w:rPr>
          <w:rtl/>
        </w:rPr>
        <w:br/>
      </w:r>
      <w:r w:rsidRPr="005E450C">
        <w:rPr>
          <w:rFonts w:hint="cs"/>
          <w:rtl/>
        </w:rPr>
        <w:t>2017</w:t>
      </w:r>
      <w:r w:rsidRPr="005E450C">
        <w:rPr>
          <w:rtl/>
        </w:rPr>
        <w:t xml:space="preserve"> - </w:t>
      </w:r>
      <w:r w:rsidRPr="005E450C">
        <w:rPr>
          <w:rFonts w:hint="cs"/>
          <w:rtl/>
        </w:rPr>
        <w:t>2021</w:t>
      </w:r>
    </w:p>
    <w:p w:rsidR="00C149B0" w:rsidRPr="00D94367" w:rsidP="00C149B0" w14:paraId="7B2C475D" w14:textId="77777777">
      <w:pPr>
        <w:spacing w:line="269" w:lineRule="auto"/>
        <w:jc w:val="center"/>
        <w:rPr>
          <w:b/>
          <w:bCs/>
          <w:rtl/>
        </w:rPr>
      </w:pPr>
      <w:r>
        <w:rPr>
          <w:noProof/>
        </w:rPr>
        <w:drawing>
          <wp:inline distT="0" distB="0" distL="0" distR="0">
            <wp:extent cx="4601792" cy="3117947"/>
            <wp:effectExtent l="0" t="0" r="0" b="0"/>
            <wp:docPr id="1451066636" name="תמונה 1451066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6" name="תמונה 1451066636"/>
                    <pic:cNvPicPr>
                      <a:picLocks noChangeAspect="1" noChangeArrowheads="1"/>
                    </pic:cNvPicPr>
                  </pic:nvPicPr>
                  <pic:blipFill>
                    <a:blip xmlns:r="http://schemas.openxmlformats.org/officeDocument/2006/relationships" r:embed="rId41" cstate="print">
                      <a:extLst>
                        <a:ext xmlns:a="http://schemas.openxmlformats.org/drawingml/2006/main" uri="{28A0092B-C50C-407E-A947-70E740481C1C}">
                          <a14:useLocalDpi xmlns:a14="http://schemas.microsoft.com/office/drawing/2010/main" val="0"/>
                        </a:ext>
                      </a:extLst>
                    </a:blip>
                    <a:srcRect t="487" b="487"/>
                    <a:stretch>
                      <a:fillRect/>
                    </a:stretch>
                  </pic:blipFill>
                  <pic:spPr bwMode="auto">
                    <a:xfrm>
                      <a:off x="0" y="0"/>
                      <a:ext cx="4601792" cy="3117947"/>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C149B0" w:rsidRPr="00D94367" w:rsidP="005E450C" w14:paraId="6CBAAF4C" w14:textId="77777777">
      <w:pPr>
        <w:pStyle w:val="738"/>
        <w:rPr>
          <w:rtl/>
        </w:rPr>
      </w:pPr>
      <w:r w:rsidRPr="00D94367">
        <w:rPr>
          <w:rFonts w:hint="cs"/>
          <w:rtl/>
        </w:rPr>
        <w:t>לפי מסמכי רפאל, בעיבוד משרד מבקר המדינה.</w:t>
      </w:r>
    </w:p>
    <w:p w:rsidR="00C149B0" w:rsidRPr="005E450C" w:rsidP="005E450C" w14:paraId="50E3E1D5" w14:textId="77777777">
      <w:pPr>
        <w:pStyle w:val="7318"/>
        <w:rPr>
          <w:rtl/>
        </w:rPr>
      </w:pPr>
      <w:r w:rsidRPr="005E450C">
        <w:rPr>
          <w:rtl/>
        </w:rPr>
        <w:t>מהתרשי</w:t>
      </w:r>
      <w:r w:rsidRPr="005E450C">
        <w:rPr>
          <w:rFonts w:hint="cs"/>
          <w:rtl/>
        </w:rPr>
        <w:t xml:space="preserve">ם </w:t>
      </w:r>
      <w:r w:rsidRPr="005E450C">
        <w:rPr>
          <w:rtl/>
        </w:rPr>
        <w:t>לעיל עולה כי</w:t>
      </w:r>
      <w:r w:rsidRPr="005E450C">
        <w:rPr>
          <w:rFonts w:hint="cs"/>
          <w:rtl/>
        </w:rPr>
        <w:t xml:space="preserve"> היקף קבלת ההזמנות השנתי של קבוצת רפאל מחו"ל בשנים 2017 - 2021 היה בממוצע כ-55% מתוך כלל ההזמנות. בשנת 2021 חל קיטון בשיעור היחסי של היקף קבלת ההזמנות מחו"ל בכ-12% לעומת שנת 2020. </w:t>
      </w:r>
    </w:p>
    <w:p w:rsidR="00C149B0" w:rsidRPr="005E450C" w:rsidP="005E450C" w14:paraId="515B7F85" w14:textId="28ED512E">
      <w:pPr>
        <w:pStyle w:val="734"/>
        <w:rPr>
          <w:rtl/>
        </w:rPr>
      </w:pPr>
      <w:r w:rsidRPr="005E450C">
        <w:rPr>
          <w:rFonts w:hint="eastAsia"/>
          <w:b w:val="0"/>
          <w:bCs w:val="0"/>
          <w:rtl/>
        </w:rPr>
        <w:t>תרשים</w:t>
      </w:r>
      <w:r w:rsidRPr="005E450C">
        <w:rPr>
          <w:b w:val="0"/>
          <w:bCs w:val="0"/>
          <w:rtl/>
        </w:rPr>
        <w:t xml:space="preserve"> </w:t>
      </w:r>
      <w:r w:rsidRPr="005E450C">
        <w:rPr>
          <w:rFonts w:hint="cs"/>
          <w:b w:val="0"/>
          <w:bCs w:val="0"/>
          <w:rtl/>
        </w:rPr>
        <w:t>14</w:t>
      </w:r>
      <w:r w:rsidRPr="005E450C">
        <w:rPr>
          <w:b w:val="0"/>
          <w:bCs w:val="0"/>
          <w:rtl/>
        </w:rPr>
        <w:t xml:space="preserve">: </w:t>
      </w:r>
      <w:r w:rsidRPr="005E450C">
        <w:rPr>
          <w:rFonts w:hint="eastAsia"/>
          <w:rtl/>
        </w:rPr>
        <w:t>היקף</w:t>
      </w:r>
      <w:r w:rsidRPr="005E450C">
        <w:rPr>
          <w:rtl/>
        </w:rPr>
        <w:t xml:space="preserve"> קבלת הזמנות </w:t>
      </w:r>
      <w:r w:rsidRPr="005E450C">
        <w:rPr>
          <w:rFonts w:hint="cs"/>
          <w:rtl/>
        </w:rPr>
        <w:t>מחו"ל</w:t>
      </w:r>
      <w:r w:rsidRPr="005E450C">
        <w:rPr>
          <w:rtl/>
        </w:rPr>
        <w:t xml:space="preserve"> לקבוצת רפאל, </w:t>
      </w:r>
      <w:r w:rsidRPr="005E450C">
        <w:rPr>
          <w:rFonts w:hint="cs"/>
          <w:rtl/>
        </w:rPr>
        <w:t>2017</w:t>
      </w:r>
      <w:r w:rsidRPr="005E450C">
        <w:rPr>
          <w:rtl/>
        </w:rPr>
        <w:t xml:space="preserve"> - </w:t>
      </w:r>
      <w:r w:rsidRPr="005E450C">
        <w:rPr>
          <w:rFonts w:hint="cs"/>
          <w:rtl/>
        </w:rPr>
        <w:t>2021</w:t>
      </w:r>
      <w:r w:rsidRPr="005E450C">
        <w:rPr>
          <w:rtl/>
        </w:rPr>
        <w:t xml:space="preserve"> </w:t>
      </w:r>
      <w:r w:rsidR="005E450C">
        <w:rPr>
          <w:rtl/>
        </w:rPr>
        <w:br/>
      </w:r>
      <w:r w:rsidRPr="005E450C">
        <w:rPr>
          <w:rFonts w:hint="cs"/>
          <w:rtl/>
        </w:rPr>
        <w:t>(במיליוני</w:t>
      </w:r>
      <w:r w:rsidRPr="005E450C">
        <w:rPr>
          <w:rtl/>
        </w:rPr>
        <w:t xml:space="preserve"> ש"ח</w:t>
      </w:r>
      <w:r w:rsidRPr="005E450C">
        <w:rPr>
          <w:rFonts w:hint="cs"/>
          <w:rtl/>
        </w:rPr>
        <w:t>)</w:t>
      </w:r>
      <w:r>
        <w:rPr>
          <w:rStyle w:val="FootnoteReference0"/>
          <w:rtl/>
        </w:rPr>
        <w:footnoteReference w:id="33"/>
      </w:r>
    </w:p>
    <w:p w:rsidR="00C149B0" w:rsidP="00C149B0" w14:paraId="3E37F4AC" w14:textId="77777777">
      <w:pPr>
        <w:tabs>
          <w:tab w:val="left" w:pos="567"/>
          <w:tab w:val="left" w:pos="851"/>
        </w:tabs>
        <w:spacing w:line="269" w:lineRule="auto"/>
        <w:jc w:val="center"/>
        <w:rPr>
          <w:rFonts w:ascii="David" w:hAnsi="David"/>
          <w:szCs w:val="20"/>
          <w:rtl/>
        </w:rPr>
      </w:pPr>
      <w:r>
        <w:rPr>
          <w:rFonts w:ascii="David" w:hAnsi="David"/>
          <w:noProof/>
          <w:szCs w:val="20"/>
        </w:rPr>
        <w:drawing>
          <wp:inline distT="0" distB="0" distL="0" distR="0">
            <wp:extent cx="4599716" cy="3156668"/>
            <wp:effectExtent l="0" t="0" r="0" b="0"/>
            <wp:docPr id="1451066637" name="תמונה 145106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7" name="תמונה 1451066637"/>
                    <pic:cNvPicPr>
                      <a:picLocks noChangeAspect="1" noChangeArrowheads="1"/>
                    </pic:cNvPicPr>
                  </pic:nvPicPr>
                  <pic:blipFill>
                    <a:blip xmlns:r="http://schemas.openxmlformats.org/officeDocument/2006/relationships" r:embed="rId42">
                      <a:extLst>
                        <a:ext xmlns:a="http://schemas.openxmlformats.org/drawingml/2006/main" uri="{28A0092B-C50C-407E-A947-70E740481C1C}">
                          <a14:useLocalDpi xmlns:a14="http://schemas.microsoft.com/office/drawing/2010/main" val="0"/>
                        </a:ext>
                      </a:extLst>
                    </a:blip>
                    <a:stretch>
                      <a:fillRect/>
                    </a:stretch>
                  </pic:blipFill>
                  <pic:spPr bwMode="auto">
                    <a:xfrm>
                      <a:off x="0" y="0"/>
                      <a:ext cx="4619392" cy="3170171"/>
                    </a:xfrm>
                    <a:prstGeom prst="rect">
                      <a:avLst/>
                    </a:prstGeom>
                    <a:noFill/>
                  </pic:spPr>
                </pic:pic>
              </a:graphicData>
            </a:graphic>
          </wp:inline>
        </w:drawing>
      </w:r>
    </w:p>
    <w:p w:rsidR="00C149B0" w:rsidRPr="005E450C" w:rsidP="005E450C" w14:paraId="03B23EC8" w14:textId="77777777">
      <w:pPr>
        <w:pStyle w:val="738"/>
        <w:rPr>
          <w:rtl/>
        </w:rPr>
      </w:pPr>
      <w:r w:rsidRPr="005E450C">
        <w:rPr>
          <w:rFonts w:hint="cs"/>
          <w:rtl/>
        </w:rPr>
        <w:t>לפי מסמכי רפאל, בעיבוד משרד מבקר המדינה.</w:t>
      </w:r>
    </w:p>
    <w:p w:rsidR="00C149B0" w:rsidRPr="005E450C" w:rsidP="005E450C" w14:paraId="681F3F64" w14:textId="77777777">
      <w:pPr>
        <w:pStyle w:val="7318"/>
        <w:rPr>
          <w:rFonts w:eastAsia="Calibri"/>
          <w:rtl/>
        </w:rPr>
      </w:pPr>
      <w:r w:rsidRPr="005E450C">
        <w:rPr>
          <w:rFonts w:hint="cs"/>
          <w:rtl/>
        </w:rPr>
        <w:t>מהתרשים עולה כי בשנים 2017 - 2021 היקף קבלת ההזמנות הממוצע מחו"ל של קבוצת רפאל היה כ-5.8 מיליארד ש"ח בשנה. עוד עולה כי בשנים 2018 ו-2020 נרשם קיטון יחסי בהיקף קבלת הזמנות מחו"ל בשיעורים של 27% ו-24% בהתאמה, לעומת השנים הקודמות להן. בשנים 2020 ו-2021 קיבלה קבוצת רפאל בממוצע הזמנות בסך של כ-6.3 מיליארד ש"ח</w:t>
      </w:r>
      <w:r>
        <w:rPr>
          <w:rStyle w:val="FootnoteReference0"/>
          <w:rtl/>
        </w:rPr>
        <w:footnoteReference w:id="34"/>
      </w:r>
      <w:r w:rsidRPr="005E450C">
        <w:rPr>
          <w:rFonts w:hint="cs"/>
          <w:rtl/>
        </w:rPr>
        <w:t>.</w:t>
      </w:r>
      <w:r w:rsidRPr="005E450C">
        <w:rPr>
          <w:rFonts w:eastAsia="Calibri" w:hint="eastAsia"/>
          <w:rtl/>
        </w:rPr>
        <w:t xml:space="preserve"> כמו</w:t>
      </w:r>
      <w:r w:rsidRPr="005E450C">
        <w:rPr>
          <w:rFonts w:eastAsia="Calibri"/>
          <w:rtl/>
        </w:rPr>
        <w:t xml:space="preserve"> כן, עלו </w:t>
      </w:r>
      <w:r w:rsidRPr="005E450C">
        <w:rPr>
          <w:rFonts w:eastAsia="Calibri" w:hint="cs"/>
          <w:rtl/>
        </w:rPr>
        <w:t xml:space="preserve">בביקורת </w:t>
      </w:r>
      <w:r w:rsidRPr="005E450C">
        <w:rPr>
          <w:rFonts w:eastAsia="Calibri"/>
          <w:rtl/>
        </w:rPr>
        <w:t xml:space="preserve">פערים בשיעורים מסוימים בין היקף קבלת ההזמנות הממוצע מחו"ל של קבוצת רפאל בשנים 2017 </w:t>
      </w:r>
      <w:r w:rsidRPr="005E450C">
        <w:rPr>
          <w:rFonts w:eastAsia="Calibri" w:hint="cs"/>
          <w:rtl/>
        </w:rPr>
        <w:t>-</w:t>
      </w:r>
      <w:r w:rsidRPr="005E450C">
        <w:rPr>
          <w:rFonts w:eastAsia="Calibri"/>
          <w:rtl/>
        </w:rPr>
        <w:t xml:space="preserve"> 2021 לבין התקציב השנתי הממוצע </w:t>
      </w:r>
      <w:r w:rsidRPr="005E450C">
        <w:rPr>
          <w:rFonts w:eastAsia="Calibri" w:hint="cs"/>
          <w:rtl/>
        </w:rPr>
        <w:t>בשנים אלו</w:t>
      </w:r>
      <w:r w:rsidRPr="005E450C">
        <w:rPr>
          <w:rFonts w:eastAsia="Calibri"/>
          <w:rtl/>
        </w:rPr>
        <w:t>.</w:t>
      </w:r>
      <w:r w:rsidRPr="005E450C">
        <w:rPr>
          <w:rFonts w:eastAsia="Calibri" w:hint="cs"/>
          <w:rtl/>
        </w:rPr>
        <w:t xml:space="preserve"> </w:t>
      </w:r>
    </w:p>
    <w:p w:rsidR="00C149B0" w:rsidRPr="005E450C" w:rsidP="005E450C" w14:paraId="11CFDD23" w14:textId="77777777">
      <w:pPr>
        <w:pStyle w:val="7318"/>
        <w:rPr>
          <w:rtl/>
        </w:rPr>
      </w:pPr>
      <w:r w:rsidRPr="005E450C">
        <w:rPr>
          <w:rFonts w:hint="cs"/>
          <w:rtl/>
        </w:rPr>
        <w:t>מומלץ כי הנהלת רפאל תנתח מהן הסיבות לפער מיעדי התקציב לקבלת ההזמנות מחו"ל ותפעל לשיפור מדדי הביצוע בנושא זה.</w:t>
      </w:r>
    </w:p>
    <w:p w:rsidR="00C149B0" w:rsidRPr="005E450C" w:rsidP="005E450C" w14:paraId="6E633A37" w14:textId="77777777">
      <w:pPr>
        <w:pStyle w:val="7392"/>
        <w:rPr>
          <w:rtl/>
        </w:rPr>
      </w:pPr>
      <w:r w:rsidRPr="005E450C">
        <w:rPr>
          <w:rFonts w:hint="cs"/>
          <w:rtl/>
        </w:rPr>
        <w:t>בתגובתה של רפאל על ממצאי הביקורת היא מסרה כי היא מגדירה מדי שנה יעדי צמיחה בשוק המקומי ובשוק הבין-לאומי, תוך הצבת וקטור אסטרטגי של שינוי יחס ההזמנות בסיום התוכנית הרב-שנתית ל-40% שוק מקומי ו-60% חו"ל.</w:t>
      </w:r>
    </w:p>
    <w:p w:rsidR="00C149B0" w:rsidRPr="00B431F9" w:rsidP="00B431F9" w14:paraId="6FBD3A27" w14:textId="77777777">
      <w:pPr>
        <w:pStyle w:val="73414"/>
        <w:rPr>
          <w:rtl/>
        </w:rPr>
      </w:pPr>
      <w:r w:rsidRPr="00B431F9">
        <w:rPr>
          <w:rFonts w:hint="cs"/>
          <w:rtl/>
        </w:rPr>
        <w:t>קבלת הזמנות מארצות הברית</w:t>
      </w:r>
    </w:p>
    <w:p w:rsidR="00C149B0" w:rsidRPr="005E450C" w:rsidP="005E450C" w14:paraId="496CD2D8" w14:textId="77777777">
      <w:pPr>
        <w:pStyle w:val="7392"/>
        <w:rPr>
          <w:rtl/>
        </w:rPr>
      </w:pPr>
      <w:r w:rsidRPr="005E450C">
        <w:rPr>
          <w:rFonts w:hint="cs"/>
          <w:rtl/>
        </w:rPr>
        <w:t>בתוכנית האסטרטגית של רפאל מהשנים 2016 ו-2017 נקבע יעד ולפיו עד לשנת 2022 תגיע החברה להיקף שנתי של קבלת הזמנות מארצות הברית שלא יפחת מסכום מסוים.</w:t>
      </w:r>
    </w:p>
    <w:p w:rsidR="00C149B0" w:rsidRPr="00A14D0B" w:rsidP="00A14D0B" w14:paraId="6EE178DD" w14:textId="77777777">
      <w:pPr>
        <w:pStyle w:val="7318"/>
        <w:rPr>
          <w:rFonts w:eastAsia="Calibri"/>
          <w:rtl/>
        </w:rPr>
      </w:pPr>
      <w:r w:rsidRPr="00A14D0B">
        <w:rPr>
          <w:rFonts w:eastAsia="Calibri" w:hint="cs"/>
          <w:rtl/>
        </w:rPr>
        <w:t xml:space="preserve">בביקורת </w:t>
      </w:r>
      <w:r w:rsidRPr="00A14D0B">
        <w:rPr>
          <w:rFonts w:eastAsia="Calibri" w:hint="eastAsia"/>
          <w:rtl/>
        </w:rPr>
        <w:t>עלה</w:t>
      </w:r>
      <w:r w:rsidRPr="00A14D0B">
        <w:rPr>
          <w:rFonts w:eastAsia="Calibri"/>
          <w:rtl/>
        </w:rPr>
        <w:t xml:space="preserve"> כי </w:t>
      </w:r>
      <w:r w:rsidRPr="00A14D0B">
        <w:rPr>
          <w:rFonts w:eastAsia="Calibri" w:hint="eastAsia"/>
          <w:rtl/>
        </w:rPr>
        <w:t>בשנים</w:t>
      </w:r>
      <w:r w:rsidRPr="00A14D0B">
        <w:rPr>
          <w:rFonts w:eastAsia="Calibri"/>
          <w:rtl/>
        </w:rPr>
        <w:t xml:space="preserve"> 201</w:t>
      </w:r>
      <w:r w:rsidRPr="00A14D0B">
        <w:rPr>
          <w:rFonts w:eastAsia="Calibri" w:hint="cs"/>
          <w:rtl/>
        </w:rPr>
        <w:t>8 ו-</w:t>
      </w:r>
      <w:r w:rsidRPr="00A14D0B">
        <w:rPr>
          <w:rFonts w:eastAsia="Calibri"/>
          <w:rtl/>
        </w:rPr>
        <w:t>201</w:t>
      </w:r>
      <w:r w:rsidRPr="00A14D0B">
        <w:rPr>
          <w:rFonts w:eastAsia="Calibri" w:hint="cs"/>
          <w:rtl/>
        </w:rPr>
        <w:t>9</w:t>
      </w:r>
      <w:r w:rsidRPr="00A14D0B">
        <w:rPr>
          <w:rFonts w:eastAsia="Calibri"/>
          <w:rtl/>
        </w:rPr>
        <w:t xml:space="preserve"> </w:t>
      </w:r>
      <w:r w:rsidRPr="00A14D0B">
        <w:rPr>
          <w:rFonts w:eastAsia="Calibri" w:hint="eastAsia"/>
          <w:rtl/>
        </w:rPr>
        <w:t>היקף</w:t>
      </w:r>
      <w:r w:rsidRPr="00A14D0B">
        <w:rPr>
          <w:rFonts w:eastAsia="Calibri"/>
          <w:rtl/>
        </w:rPr>
        <w:t xml:space="preserve"> </w:t>
      </w:r>
      <w:r w:rsidRPr="00A14D0B">
        <w:rPr>
          <w:rFonts w:eastAsia="Calibri" w:hint="eastAsia"/>
          <w:rtl/>
        </w:rPr>
        <w:t>קבלת</w:t>
      </w:r>
      <w:r w:rsidRPr="00A14D0B">
        <w:rPr>
          <w:rFonts w:eastAsia="Calibri"/>
          <w:rtl/>
        </w:rPr>
        <w:t xml:space="preserve"> </w:t>
      </w:r>
      <w:r w:rsidRPr="00A14D0B">
        <w:rPr>
          <w:rFonts w:eastAsia="Calibri" w:hint="eastAsia"/>
          <w:rtl/>
        </w:rPr>
        <w:t>ההזמנות</w:t>
      </w:r>
      <w:r w:rsidRPr="00A14D0B">
        <w:rPr>
          <w:rFonts w:eastAsia="Calibri"/>
          <w:rtl/>
        </w:rPr>
        <w:t xml:space="preserve"> מארה"ב עלה על הי</w:t>
      </w:r>
      <w:r w:rsidRPr="00A14D0B">
        <w:rPr>
          <w:rFonts w:eastAsia="Calibri" w:hint="eastAsia"/>
          <w:rtl/>
        </w:rPr>
        <w:t>עדים</w:t>
      </w:r>
      <w:r w:rsidRPr="00A14D0B">
        <w:rPr>
          <w:rFonts w:eastAsia="Calibri"/>
          <w:rtl/>
        </w:rPr>
        <w:t xml:space="preserve"> </w:t>
      </w:r>
      <w:r w:rsidRPr="00A14D0B">
        <w:rPr>
          <w:rFonts w:eastAsia="Calibri" w:hint="eastAsia"/>
          <w:rtl/>
        </w:rPr>
        <w:t>השנתיים</w:t>
      </w:r>
      <w:r w:rsidRPr="00A14D0B">
        <w:rPr>
          <w:rFonts w:eastAsia="Calibri"/>
          <w:rtl/>
        </w:rPr>
        <w:t xml:space="preserve"> </w:t>
      </w:r>
      <w:r w:rsidRPr="00A14D0B">
        <w:rPr>
          <w:rFonts w:eastAsia="Calibri" w:hint="eastAsia"/>
          <w:rtl/>
        </w:rPr>
        <w:t>שנקבעו</w:t>
      </w:r>
      <w:r w:rsidRPr="00A14D0B">
        <w:rPr>
          <w:rFonts w:eastAsia="Calibri"/>
          <w:rtl/>
        </w:rPr>
        <w:t xml:space="preserve"> </w:t>
      </w:r>
      <w:r w:rsidRPr="00A14D0B">
        <w:rPr>
          <w:rFonts w:eastAsia="Calibri" w:hint="eastAsia"/>
          <w:rtl/>
        </w:rPr>
        <w:t>בתוכנית</w:t>
      </w:r>
      <w:r w:rsidRPr="00A14D0B">
        <w:rPr>
          <w:rFonts w:eastAsia="Calibri"/>
          <w:rtl/>
        </w:rPr>
        <w:t xml:space="preserve"> </w:t>
      </w:r>
      <w:r w:rsidRPr="00A14D0B">
        <w:rPr>
          <w:rFonts w:eastAsia="Calibri" w:hint="eastAsia"/>
          <w:rtl/>
        </w:rPr>
        <w:t>האסטרטגית</w:t>
      </w:r>
      <w:r w:rsidRPr="00A14D0B">
        <w:rPr>
          <w:rFonts w:eastAsia="Calibri" w:hint="cs"/>
          <w:rtl/>
        </w:rPr>
        <w:t>,</w:t>
      </w:r>
      <w:r w:rsidRPr="00A14D0B">
        <w:rPr>
          <w:rFonts w:eastAsia="Calibri"/>
          <w:rtl/>
        </w:rPr>
        <w:t xml:space="preserve"> </w:t>
      </w:r>
      <w:r w:rsidRPr="00A14D0B">
        <w:rPr>
          <w:rFonts w:eastAsia="Calibri" w:hint="eastAsia"/>
          <w:rtl/>
        </w:rPr>
        <w:t>אולם</w:t>
      </w:r>
      <w:r w:rsidRPr="00A14D0B">
        <w:rPr>
          <w:rFonts w:eastAsia="Calibri"/>
          <w:rtl/>
        </w:rPr>
        <w:t xml:space="preserve"> </w:t>
      </w:r>
      <w:r w:rsidRPr="00A14D0B">
        <w:rPr>
          <w:rFonts w:eastAsia="Calibri" w:hint="eastAsia"/>
          <w:rtl/>
        </w:rPr>
        <w:t>בשנים</w:t>
      </w:r>
      <w:r w:rsidRPr="00A14D0B">
        <w:rPr>
          <w:rFonts w:eastAsia="Calibri"/>
          <w:rtl/>
        </w:rPr>
        <w:t xml:space="preserve"> 2020 </w:t>
      </w:r>
      <w:r w:rsidRPr="00A14D0B">
        <w:rPr>
          <w:rFonts w:eastAsia="Calibri" w:hint="eastAsia"/>
          <w:rtl/>
        </w:rPr>
        <w:t>ו</w:t>
      </w:r>
      <w:r w:rsidRPr="00A14D0B">
        <w:rPr>
          <w:rFonts w:eastAsia="Calibri"/>
          <w:rtl/>
        </w:rPr>
        <w:t xml:space="preserve">-2021 </w:t>
      </w:r>
      <w:r w:rsidRPr="00A14D0B">
        <w:rPr>
          <w:rFonts w:eastAsia="Calibri" w:hint="eastAsia"/>
          <w:rtl/>
        </w:rPr>
        <w:t>חלה</w:t>
      </w:r>
      <w:r w:rsidRPr="00A14D0B">
        <w:rPr>
          <w:rFonts w:eastAsia="Calibri"/>
          <w:rtl/>
        </w:rPr>
        <w:t xml:space="preserve"> </w:t>
      </w:r>
      <w:r w:rsidRPr="00A14D0B">
        <w:rPr>
          <w:rFonts w:eastAsia="Calibri" w:hint="eastAsia"/>
          <w:rtl/>
        </w:rPr>
        <w:t>ירידה</w:t>
      </w:r>
      <w:r w:rsidRPr="00A14D0B">
        <w:rPr>
          <w:rFonts w:eastAsia="Calibri"/>
          <w:rtl/>
        </w:rPr>
        <w:t xml:space="preserve"> </w:t>
      </w:r>
      <w:r w:rsidRPr="00A14D0B">
        <w:rPr>
          <w:rFonts w:eastAsia="Calibri" w:hint="eastAsia"/>
          <w:rtl/>
        </w:rPr>
        <w:t>מסוימת</w:t>
      </w:r>
      <w:r w:rsidRPr="00A14D0B">
        <w:rPr>
          <w:rFonts w:eastAsia="Calibri"/>
          <w:rtl/>
        </w:rPr>
        <w:t xml:space="preserve"> </w:t>
      </w:r>
      <w:r w:rsidRPr="00A14D0B">
        <w:rPr>
          <w:rFonts w:eastAsia="Calibri" w:hint="cs"/>
          <w:rtl/>
        </w:rPr>
        <w:t>מהיעדים שנקבעו לשנים אלו</w:t>
      </w:r>
      <w:r w:rsidRPr="00A14D0B">
        <w:rPr>
          <w:rFonts w:eastAsia="Calibri"/>
          <w:rtl/>
        </w:rPr>
        <w:t>.</w:t>
      </w:r>
    </w:p>
    <w:p w:rsidR="00C149B0" w:rsidRPr="00A14D0B" w:rsidP="00A14D0B" w14:paraId="5AE6B2AA" w14:textId="77777777">
      <w:pPr>
        <w:pStyle w:val="7392"/>
        <w:rPr>
          <w:rtl/>
        </w:rPr>
      </w:pPr>
      <w:r w:rsidRPr="00A14D0B">
        <w:rPr>
          <w:rFonts w:hint="cs"/>
          <w:rtl/>
        </w:rPr>
        <w:t xml:space="preserve">בתגובתה של רפאל על ממצאי הביקורת היא ציינה כי </w:t>
      </w:r>
      <w:r w:rsidRPr="00A14D0B">
        <w:rPr>
          <w:rtl/>
        </w:rPr>
        <w:t xml:space="preserve">אחת לשנה מוצגת </w:t>
      </w:r>
      <w:r w:rsidRPr="00A14D0B">
        <w:rPr>
          <w:rFonts w:hint="cs"/>
          <w:rtl/>
        </w:rPr>
        <w:t>ל</w:t>
      </w:r>
      <w:r w:rsidRPr="00A14D0B">
        <w:rPr>
          <w:rtl/>
        </w:rPr>
        <w:t xml:space="preserve">דירקטוריון </w:t>
      </w:r>
      <w:r w:rsidRPr="00A14D0B">
        <w:rPr>
          <w:rFonts w:hint="cs"/>
          <w:rtl/>
        </w:rPr>
        <w:t>ה</w:t>
      </w:r>
      <w:r w:rsidRPr="00A14D0B">
        <w:rPr>
          <w:rtl/>
        </w:rPr>
        <w:t>אסטרטגי</w:t>
      </w:r>
      <w:r w:rsidRPr="00A14D0B">
        <w:rPr>
          <w:rFonts w:hint="cs"/>
          <w:rtl/>
        </w:rPr>
        <w:t xml:space="preserve">ה שלה לגבי פעילותה </w:t>
      </w:r>
      <w:r w:rsidRPr="00A14D0B">
        <w:rPr>
          <w:rtl/>
        </w:rPr>
        <w:t xml:space="preserve">בארה"ב </w:t>
      </w:r>
      <w:r w:rsidRPr="00A14D0B">
        <w:rPr>
          <w:rFonts w:hint="cs"/>
          <w:rtl/>
        </w:rPr>
        <w:t>ו</w:t>
      </w:r>
      <w:r w:rsidRPr="00A14D0B">
        <w:rPr>
          <w:rtl/>
        </w:rPr>
        <w:t>ת</w:t>
      </w:r>
      <w:r w:rsidRPr="00A14D0B">
        <w:rPr>
          <w:rFonts w:hint="cs"/>
          <w:rtl/>
        </w:rPr>
        <w:t>ו</w:t>
      </w:r>
      <w:r w:rsidRPr="00A14D0B">
        <w:rPr>
          <w:rtl/>
        </w:rPr>
        <w:t xml:space="preserve">כניות </w:t>
      </w:r>
      <w:r w:rsidRPr="00A14D0B">
        <w:rPr>
          <w:rFonts w:hint="cs"/>
          <w:rtl/>
        </w:rPr>
        <w:t>ה</w:t>
      </w:r>
      <w:r w:rsidRPr="00A14D0B">
        <w:rPr>
          <w:rtl/>
        </w:rPr>
        <w:t xml:space="preserve">עבודה </w:t>
      </w:r>
      <w:r w:rsidRPr="00A14D0B">
        <w:rPr>
          <w:rFonts w:hint="cs"/>
          <w:rtl/>
        </w:rPr>
        <w:t>הנוגעות לפעילות זו</w:t>
      </w:r>
      <w:r w:rsidRPr="00A14D0B">
        <w:rPr>
          <w:rtl/>
        </w:rPr>
        <w:t xml:space="preserve"> </w:t>
      </w:r>
      <w:r w:rsidRPr="00A14D0B">
        <w:rPr>
          <w:rFonts w:hint="cs"/>
          <w:rtl/>
        </w:rPr>
        <w:t>ו</w:t>
      </w:r>
      <w:r w:rsidRPr="00A14D0B">
        <w:rPr>
          <w:rtl/>
        </w:rPr>
        <w:t>מתקיים דיון בנושא.</w:t>
      </w:r>
      <w:r w:rsidRPr="00A14D0B">
        <w:rPr>
          <w:rFonts w:hint="cs"/>
          <w:rtl/>
        </w:rPr>
        <w:t xml:space="preserve"> </w:t>
      </w:r>
    </w:p>
    <w:p w:rsidR="00C149B0" w:rsidRPr="00A14D0B" w:rsidP="00A14D0B" w14:paraId="5F6111AD" w14:textId="77777777">
      <w:pPr>
        <w:pStyle w:val="7318"/>
        <w:rPr>
          <w:rtl/>
        </w:rPr>
      </w:pPr>
      <w:r w:rsidRPr="00A14D0B">
        <w:rPr>
          <w:rFonts w:hint="cs"/>
          <w:rtl/>
        </w:rPr>
        <w:t>מומלץ כי דירקטוריון רפאל ימשיך לדון בדרכים ובחסמים למימוש היעד שנקבע בתוכנית האסטרטגית להיקף מכירות</w:t>
      </w:r>
      <w:r w:rsidRPr="00A14D0B">
        <w:rPr>
          <w:rtl/>
        </w:rPr>
        <w:t xml:space="preserve"> </w:t>
      </w:r>
      <w:r w:rsidRPr="00A14D0B">
        <w:rPr>
          <w:rFonts w:hint="cs"/>
          <w:rtl/>
        </w:rPr>
        <w:t>החברה</w:t>
      </w:r>
      <w:r w:rsidRPr="00A14D0B">
        <w:rPr>
          <w:rtl/>
        </w:rPr>
        <w:t xml:space="preserve"> </w:t>
      </w:r>
      <w:r w:rsidRPr="00A14D0B">
        <w:rPr>
          <w:rFonts w:hint="cs"/>
          <w:rtl/>
        </w:rPr>
        <w:t>בארה</w:t>
      </w:r>
      <w:r w:rsidRPr="00A14D0B">
        <w:rPr>
          <w:rtl/>
        </w:rPr>
        <w:t>"ב.</w:t>
      </w:r>
    </w:p>
    <w:p w:rsidR="00C149B0" w:rsidRPr="001E7361" w:rsidP="001E7361" w14:paraId="29F00599" w14:textId="77777777">
      <w:pPr>
        <w:pStyle w:val="733155"/>
        <w:rPr>
          <w:rtl/>
        </w:rPr>
      </w:pPr>
      <w:bookmarkStart w:id="19" w:name="_Toc115616202"/>
      <w:r w:rsidRPr="001E7361">
        <w:rPr>
          <w:rFonts w:hint="cs"/>
          <w:rtl/>
        </w:rPr>
        <w:t>צבר הזמנות</w:t>
      </w:r>
      <w:bookmarkEnd w:id="19"/>
    </w:p>
    <w:p w:rsidR="00C149B0" w:rsidRPr="00D94367" w:rsidP="00A14D0B" w14:paraId="781379B3" w14:textId="77777777">
      <w:pPr>
        <w:pStyle w:val="7392"/>
        <w:rPr>
          <w:rtl/>
        </w:rPr>
      </w:pPr>
      <w:r w:rsidRPr="00D94367">
        <w:rPr>
          <w:rFonts w:hint="cs"/>
          <w:rtl/>
        </w:rPr>
        <w:t xml:space="preserve">צבר הזמנות </w:t>
      </w:r>
      <w:r w:rsidRPr="004D0BEA">
        <w:rPr>
          <w:rFonts w:hint="cs"/>
          <w:rtl/>
        </w:rPr>
        <w:t>הוא סכומן הכולל של</w:t>
      </w:r>
      <w:r>
        <w:rPr>
          <w:rFonts w:hint="cs"/>
          <w:rtl/>
        </w:rPr>
        <w:t xml:space="preserve"> </w:t>
      </w:r>
      <w:r w:rsidRPr="00D94367">
        <w:rPr>
          <w:rFonts w:hint="cs"/>
          <w:rtl/>
        </w:rPr>
        <w:t>ההזמנות המחייבות</w:t>
      </w:r>
      <w:r>
        <w:rPr>
          <w:rStyle w:val="FootnoteReference0"/>
          <w:rtl/>
        </w:rPr>
        <w:footnoteReference w:id="35"/>
      </w:r>
      <w:r w:rsidRPr="00D94367">
        <w:rPr>
          <w:rFonts w:hint="cs"/>
          <w:rtl/>
        </w:rPr>
        <w:t xml:space="preserve"> אשר טרם הוכרו כהכנסות בדוחות הכספיים. צבר ההזמנות מבטיח את המשך קיומן של הכנסות עתידיות לחברה. לרוב, ככל שהפרויקטים של חברה מורכבים ועתירי פיתוח וייצור, מימושם מתפרס על פני תקופות ארוכות יותר, וכך גם זרם ההכנסות שמתקבל בגינם.</w:t>
      </w:r>
    </w:p>
    <w:p w:rsidR="00C149B0" w:rsidRPr="00D94367" w:rsidP="00A14D0B" w14:paraId="1E30ADEF" w14:textId="77777777">
      <w:pPr>
        <w:pStyle w:val="7392"/>
        <w:rPr>
          <w:rtl/>
        </w:rPr>
      </w:pPr>
      <w:r>
        <w:rPr>
          <w:rFonts w:hint="cs"/>
          <w:rtl/>
        </w:rPr>
        <w:t>כאמור,</w:t>
      </w:r>
      <w:r w:rsidRPr="00D94367">
        <w:rPr>
          <w:rFonts w:hint="cs"/>
          <w:rtl/>
        </w:rPr>
        <w:t xml:space="preserve"> </w:t>
      </w:r>
      <w:r w:rsidRPr="00D94367">
        <w:rPr>
          <w:rFonts w:eastAsia="Times New Roman" w:hint="cs"/>
          <w:rtl/>
          <w:lang w:eastAsia="he-IL"/>
        </w:rPr>
        <w:t xml:space="preserve">רפאל מציינת בדוחותיה הכספיים כי תקופת המחזור התפעולי הרגיל שלה </w:t>
      </w:r>
      <w:r>
        <w:rPr>
          <w:rFonts w:eastAsia="Times New Roman" w:hint="cs"/>
          <w:rtl/>
          <w:lang w:eastAsia="he-IL"/>
        </w:rPr>
        <w:t>נמשכת יותר</w:t>
      </w:r>
      <w:r w:rsidRPr="00D94367">
        <w:rPr>
          <w:rFonts w:eastAsia="Times New Roman" w:hint="cs"/>
          <w:rtl/>
          <w:lang w:eastAsia="he-IL"/>
        </w:rPr>
        <w:t xml:space="preserve"> </w:t>
      </w:r>
      <w:r>
        <w:rPr>
          <w:rFonts w:eastAsia="Times New Roman" w:hint="cs"/>
          <w:rtl/>
          <w:lang w:eastAsia="he-IL"/>
        </w:rPr>
        <w:t>מ</w:t>
      </w:r>
      <w:r w:rsidRPr="00D94367">
        <w:rPr>
          <w:rFonts w:eastAsia="Times New Roman" w:hint="cs"/>
          <w:rtl/>
          <w:lang w:eastAsia="he-IL"/>
        </w:rPr>
        <w:t xml:space="preserve">שנה, </w:t>
      </w:r>
      <w:r>
        <w:rPr>
          <w:rFonts w:eastAsia="Times New Roman" w:hint="cs"/>
          <w:rtl/>
          <w:lang w:eastAsia="he-IL"/>
        </w:rPr>
        <w:t xml:space="preserve">בייחוד </w:t>
      </w:r>
      <w:r w:rsidRPr="00D94367">
        <w:rPr>
          <w:rFonts w:eastAsia="Times New Roman" w:hint="cs"/>
          <w:rtl/>
          <w:lang w:eastAsia="he-IL"/>
        </w:rPr>
        <w:t xml:space="preserve">בהתייחס לעבודות לפי חוזי ביצוע, </w:t>
      </w:r>
      <w:r>
        <w:rPr>
          <w:rFonts w:eastAsia="Times New Roman" w:hint="cs"/>
          <w:rtl/>
          <w:lang w:eastAsia="he-IL"/>
        </w:rPr>
        <w:t>ש</w:t>
      </w:r>
      <w:r w:rsidRPr="00D94367">
        <w:rPr>
          <w:rFonts w:eastAsia="Times New Roman" w:hint="cs"/>
          <w:rtl/>
          <w:lang w:eastAsia="he-IL"/>
        </w:rPr>
        <w:t xml:space="preserve">בהן יכול המחזור התפעולי להימשך שנתיים עד ארבע שנים. </w:t>
      </w:r>
    </w:p>
    <w:p w:rsidR="00C149B0" w:rsidP="00A14D0B" w14:paraId="4C8D5E80" w14:textId="77777777">
      <w:pPr>
        <w:pStyle w:val="7392"/>
        <w:rPr>
          <w:rtl/>
        </w:rPr>
      </w:pPr>
      <w:bookmarkStart w:id="20" w:name="_Hlk120115521"/>
      <w:r w:rsidRPr="00D94367">
        <w:rPr>
          <w:rFonts w:hint="cs"/>
          <w:rtl/>
        </w:rPr>
        <w:t>בשנים 2017 - 2021 גדל צבר ההזמנות של קבוצת רפאל</w:t>
      </w:r>
      <w:r>
        <w:rPr>
          <w:rStyle w:val="FootnoteReference0"/>
          <w:rtl/>
        </w:rPr>
        <w:footnoteReference w:id="36"/>
      </w:r>
      <w:r w:rsidRPr="00D94367">
        <w:rPr>
          <w:rFonts w:hint="cs"/>
          <w:rtl/>
        </w:rPr>
        <w:t xml:space="preserve"> בשיעור של כ-19.5% (וללא צבר ההזמנות של </w:t>
      </w:r>
      <w:r w:rsidRPr="00D94367">
        <w:rPr>
          <w:rFonts w:hint="cs"/>
          <w:rtl/>
        </w:rPr>
        <w:t>אירונאוטיקס</w:t>
      </w:r>
      <w:r w:rsidRPr="00D94367">
        <w:rPr>
          <w:rFonts w:hint="cs"/>
          <w:rtl/>
        </w:rPr>
        <w:t xml:space="preserve"> </w:t>
      </w:r>
      <w:r w:rsidRPr="00D94367">
        <w:rPr>
          <w:rFonts w:hint="cs"/>
          <w:rtl/>
        </w:rPr>
        <w:t>וקונטרופ</w:t>
      </w:r>
      <w:r w:rsidRPr="00D94367">
        <w:rPr>
          <w:rFonts w:hint="cs"/>
          <w:rtl/>
        </w:rPr>
        <w:t xml:space="preserve"> - בכ-16%). ב-31.12.21 הסתכם צבר ההזמנות של הקבוצה בכ-28.8 מיליארד ש"ח, שהם פי 2.9 מהכנסותיה ממכירות בשנה זו.</w:t>
      </w:r>
      <w:bookmarkEnd w:id="20"/>
      <w:r w:rsidRPr="00D94367">
        <w:rPr>
          <w:rFonts w:hint="cs"/>
          <w:rtl/>
        </w:rPr>
        <w:t xml:space="preserve"> כ-49% מסכום זה מיועד לייצוא</w:t>
      </w:r>
      <w:r>
        <w:rPr>
          <w:rFonts w:hint="cs"/>
          <w:rtl/>
        </w:rPr>
        <w:t>,</w:t>
      </w:r>
      <w:r w:rsidRPr="00D94367">
        <w:rPr>
          <w:rFonts w:hint="cs"/>
          <w:rtl/>
        </w:rPr>
        <w:t xml:space="preserve"> והיתרה לשוק המקומי.</w:t>
      </w:r>
    </w:p>
    <w:p w:rsidR="00C149B0" w:rsidRPr="00B431F9" w:rsidP="00B431F9" w14:paraId="666F2293" w14:textId="77777777">
      <w:pPr>
        <w:pStyle w:val="73414"/>
        <w:rPr>
          <w:rtl/>
        </w:rPr>
      </w:pPr>
      <w:r w:rsidRPr="00B431F9">
        <w:rPr>
          <w:rFonts w:hint="cs"/>
          <w:rtl/>
        </w:rPr>
        <w:t>צבר ההזמנות - תכנון לעומת ביצוע</w:t>
      </w:r>
    </w:p>
    <w:p w:rsidR="00C149B0" w:rsidRPr="00A14D0B" w:rsidP="00A14D0B" w14:paraId="508E4595" w14:textId="77777777">
      <w:pPr>
        <w:pStyle w:val="7392"/>
        <w:rPr>
          <w:rtl/>
        </w:rPr>
      </w:pPr>
      <w:r w:rsidRPr="00A14D0B">
        <w:rPr>
          <w:rFonts w:hint="cs"/>
          <w:rtl/>
        </w:rPr>
        <w:t>בשנים 2017 - 2021 היה צבר ההזמנות הממוצע של רפאל בסך של כ-25 מיליארד ש"ח לשנה. להלן יוצגו היקפי צבר ההזמנות של רפאל בשנים 2017 - 2021:</w:t>
      </w:r>
    </w:p>
    <w:p w:rsidR="00C149B0" w:rsidRPr="00A14D0B" w:rsidP="00A14D0B" w14:paraId="7D103958" w14:textId="77777777">
      <w:pPr>
        <w:pStyle w:val="734"/>
        <w:rPr>
          <w:rtl/>
        </w:rPr>
      </w:pPr>
      <w:r w:rsidRPr="00A14D0B">
        <w:rPr>
          <w:rFonts w:hint="eastAsia"/>
          <w:b w:val="0"/>
          <w:bCs w:val="0"/>
          <w:rtl/>
        </w:rPr>
        <w:t>תרשים</w:t>
      </w:r>
      <w:r w:rsidRPr="00A14D0B">
        <w:rPr>
          <w:b w:val="0"/>
          <w:bCs w:val="0"/>
          <w:rtl/>
        </w:rPr>
        <w:t xml:space="preserve"> </w:t>
      </w:r>
      <w:r w:rsidRPr="00A14D0B">
        <w:rPr>
          <w:rFonts w:hint="cs"/>
          <w:b w:val="0"/>
          <w:bCs w:val="0"/>
          <w:rtl/>
        </w:rPr>
        <w:t>15:</w:t>
      </w:r>
      <w:r w:rsidRPr="00A14D0B">
        <w:rPr>
          <w:rFonts w:hint="cs"/>
          <w:rtl/>
        </w:rPr>
        <w:t xml:space="preserve"> צבר ההזמנות, 2017 - 2021 (במיליוני ש"ח)</w:t>
      </w:r>
    </w:p>
    <w:p w:rsidR="00C149B0" w:rsidRPr="00D94367" w:rsidP="00C149B0" w14:paraId="7274EB76" w14:textId="77777777">
      <w:pPr>
        <w:spacing w:line="269" w:lineRule="auto"/>
        <w:jc w:val="center"/>
        <w:rPr>
          <w:rtl/>
        </w:rPr>
      </w:pPr>
      <w:r>
        <w:rPr>
          <w:noProof/>
        </w:rPr>
        <w:drawing>
          <wp:inline distT="0" distB="0" distL="0" distR="0">
            <wp:extent cx="4716426" cy="2027072"/>
            <wp:effectExtent l="0" t="0" r="0" b="0"/>
            <wp:docPr id="1451066638" name="תמונה 1451066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8" name="תמונה 1451066638"/>
                    <pic:cNvPicPr>
                      <a:picLocks noChangeAspect="1" noChangeArrowheads="1"/>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val="0"/>
                        </a:ext>
                      </a:extLst>
                    </a:blip>
                    <a:srcRect l="4" r="4"/>
                    <a:stretch>
                      <a:fillRect/>
                    </a:stretch>
                  </pic:blipFill>
                  <pic:spPr bwMode="auto">
                    <a:xfrm>
                      <a:off x="0" y="0"/>
                      <a:ext cx="4716426" cy="2027072"/>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C149B0" w:rsidRPr="00A14D0B" w:rsidP="00A14D0B" w14:paraId="0A7A0FDF" w14:textId="77777777">
      <w:pPr>
        <w:pStyle w:val="738"/>
        <w:rPr>
          <w:rtl/>
        </w:rPr>
      </w:pPr>
      <w:r w:rsidRPr="00A14D0B">
        <w:rPr>
          <w:rFonts w:hint="cs"/>
          <w:rtl/>
        </w:rPr>
        <w:t>לפי הדוחות הכספיים של רפאל לשנים 2017 - 2021, בעיבוד משרד מבקר המדינה.</w:t>
      </w:r>
    </w:p>
    <w:p w:rsidR="00C149B0" w:rsidRPr="00A14D0B" w:rsidP="00A14D0B" w14:paraId="07BF9730" w14:textId="77777777">
      <w:pPr>
        <w:pStyle w:val="7318"/>
        <w:rPr>
          <w:rFonts w:eastAsia="Calibri"/>
          <w:rtl/>
        </w:rPr>
      </w:pPr>
      <w:r w:rsidRPr="00A14D0B">
        <w:rPr>
          <w:rFonts w:hint="cs"/>
          <w:rtl/>
        </w:rPr>
        <w:t xml:space="preserve">מהתרשים לעיל עולה כי בשנים 2019 ו-2020 חל קיטון בצבר ההזמנות בשיעור של 2.4% ו-7.7% בהתאמה. עוד עולה מהתרשים לעיל כי בשנת 2021 חלה עלייה בשיעור של 22% בצבר ההזמנות (ללא נתוני </w:t>
      </w:r>
      <w:r w:rsidRPr="00A14D0B">
        <w:rPr>
          <w:rFonts w:hint="cs"/>
          <w:rtl/>
        </w:rPr>
        <w:t>אירונאוטיקס</w:t>
      </w:r>
      <w:r w:rsidRPr="00A14D0B">
        <w:rPr>
          <w:rFonts w:hint="cs"/>
          <w:rtl/>
        </w:rPr>
        <w:t xml:space="preserve"> </w:t>
      </w:r>
      <w:r w:rsidRPr="00A14D0B">
        <w:rPr>
          <w:rFonts w:hint="cs"/>
          <w:rtl/>
        </w:rPr>
        <w:t>וקונטרופ</w:t>
      </w:r>
      <w:r w:rsidRPr="00A14D0B">
        <w:rPr>
          <w:rFonts w:hint="cs"/>
          <w:rtl/>
        </w:rPr>
        <w:t xml:space="preserve">). תרומתן של החברות </w:t>
      </w:r>
      <w:r w:rsidRPr="00A14D0B">
        <w:rPr>
          <w:rFonts w:hint="cs"/>
          <w:rtl/>
        </w:rPr>
        <w:t>אירונאוטיקס</w:t>
      </w:r>
      <w:r w:rsidRPr="00A14D0B">
        <w:rPr>
          <w:rFonts w:hint="cs"/>
          <w:rtl/>
        </w:rPr>
        <w:t xml:space="preserve"> </w:t>
      </w:r>
      <w:r w:rsidRPr="00A14D0B">
        <w:rPr>
          <w:rFonts w:hint="cs"/>
          <w:rtl/>
        </w:rPr>
        <w:t>וקונטרופ</w:t>
      </w:r>
      <w:r w:rsidRPr="00A14D0B">
        <w:rPr>
          <w:rFonts w:hint="cs"/>
          <w:rtl/>
        </w:rPr>
        <w:t xml:space="preserve"> לצבר ההזמנות בשנה זו הייתה כ-847 מיליוני ש"ח, ששיעורם כ-3% מצבר ההזמנות המאוחד. ממוצע סכום צבר ההזמנות בשנים 2020 ו-2021 (ללא </w:t>
      </w:r>
      <w:r w:rsidRPr="00A14D0B">
        <w:rPr>
          <w:rFonts w:hint="cs"/>
          <w:rtl/>
        </w:rPr>
        <w:t>אירונאוטיקס</w:t>
      </w:r>
      <w:r w:rsidRPr="00A14D0B">
        <w:rPr>
          <w:rFonts w:hint="cs"/>
          <w:rtl/>
        </w:rPr>
        <w:t xml:space="preserve"> </w:t>
      </w:r>
      <w:r w:rsidRPr="00A14D0B">
        <w:rPr>
          <w:rFonts w:hint="cs"/>
          <w:rtl/>
        </w:rPr>
        <w:t>וקונטרופ</w:t>
      </w:r>
      <w:r w:rsidRPr="00A14D0B">
        <w:rPr>
          <w:rFonts w:hint="cs"/>
          <w:rtl/>
        </w:rPr>
        <w:t>) היה כ-25.4 מיליארד ש"ח.</w:t>
      </w:r>
      <w:r w:rsidRPr="00A14D0B">
        <w:rPr>
          <w:rFonts w:eastAsia="Calibri" w:hint="cs"/>
          <w:rtl/>
        </w:rPr>
        <w:t xml:space="preserve"> כמו כן </w:t>
      </w:r>
      <w:r w:rsidRPr="00A14D0B">
        <w:rPr>
          <w:rFonts w:eastAsia="Calibri" w:hint="eastAsia"/>
          <w:rtl/>
        </w:rPr>
        <w:t>עלה</w:t>
      </w:r>
      <w:r w:rsidRPr="00A14D0B">
        <w:rPr>
          <w:rFonts w:eastAsia="Calibri"/>
          <w:rtl/>
        </w:rPr>
        <w:t xml:space="preserve"> </w:t>
      </w:r>
      <w:r w:rsidRPr="00A14D0B">
        <w:rPr>
          <w:rFonts w:eastAsia="Calibri" w:hint="cs"/>
          <w:rtl/>
        </w:rPr>
        <w:t xml:space="preserve">בביקורת </w:t>
      </w:r>
      <w:r w:rsidRPr="00A14D0B">
        <w:rPr>
          <w:rFonts w:eastAsia="Calibri"/>
          <w:rtl/>
        </w:rPr>
        <w:t xml:space="preserve">כי בשנים 2019 </w:t>
      </w:r>
      <w:r w:rsidRPr="00A14D0B">
        <w:rPr>
          <w:rFonts w:eastAsia="Calibri" w:hint="cs"/>
          <w:rtl/>
        </w:rPr>
        <w:t>ו</w:t>
      </w:r>
      <w:r w:rsidRPr="00A14D0B">
        <w:rPr>
          <w:rFonts w:eastAsia="Calibri"/>
          <w:rtl/>
        </w:rPr>
        <w:t xml:space="preserve">-2020 </w:t>
      </w:r>
      <w:r w:rsidRPr="00A14D0B">
        <w:rPr>
          <w:rFonts w:eastAsia="Calibri" w:hint="cs"/>
          <w:rtl/>
        </w:rPr>
        <w:t>היה</w:t>
      </w:r>
      <w:r w:rsidRPr="00A14D0B">
        <w:rPr>
          <w:rFonts w:eastAsia="Calibri"/>
          <w:rtl/>
        </w:rPr>
        <w:t xml:space="preserve"> פער מסוים בין צבר ההזמנות לבין ה</w:t>
      </w:r>
      <w:r w:rsidRPr="00A14D0B">
        <w:rPr>
          <w:rFonts w:eastAsia="Calibri" w:hint="cs"/>
          <w:rtl/>
        </w:rPr>
        <w:t>יעד ה</w:t>
      </w:r>
      <w:r w:rsidRPr="00A14D0B">
        <w:rPr>
          <w:rFonts w:eastAsia="Calibri"/>
          <w:rtl/>
        </w:rPr>
        <w:t xml:space="preserve">תקציבי שנקבע לכך, </w:t>
      </w:r>
      <w:r w:rsidRPr="00A14D0B">
        <w:rPr>
          <w:rFonts w:eastAsia="Calibri" w:hint="cs"/>
          <w:rtl/>
        </w:rPr>
        <w:t>ו</w:t>
      </w:r>
      <w:r w:rsidRPr="00A14D0B">
        <w:rPr>
          <w:rFonts w:eastAsia="Calibri"/>
          <w:rtl/>
        </w:rPr>
        <w:t xml:space="preserve">בשנת 2021 </w:t>
      </w:r>
      <w:r w:rsidRPr="00A14D0B">
        <w:rPr>
          <w:rFonts w:eastAsia="Calibri" w:hint="cs"/>
          <w:rtl/>
        </w:rPr>
        <w:t>עלה צבר ההזמנות על היעד</w:t>
      </w:r>
      <w:r w:rsidRPr="00A14D0B">
        <w:rPr>
          <w:rFonts w:eastAsia="Calibri"/>
          <w:rtl/>
        </w:rPr>
        <w:t xml:space="preserve"> התקציבי.</w:t>
      </w:r>
    </w:p>
    <w:p w:rsidR="00C149B0" w:rsidRPr="00D94367" w:rsidP="00A14D0B" w14:paraId="5C17B040" w14:textId="21534E6D">
      <w:pPr>
        <w:pStyle w:val="7392"/>
        <w:rPr>
          <w:b/>
          <w:bCs/>
          <w:u w:val="single"/>
          <w:rtl/>
        </w:rPr>
      </w:pPr>
      <w:r w:rsidRPr="00D94367">
        <w:rPr>
          <w:rFonts w:hint="eastAsia"/>
          <w:rtl/>
        </w:rPr>
        <w:t>בישיבת</w:t>
      </w:r>
      <w:r w:rsidRPr="00D94367">
        <w:rPr>
          <w:rtl/>
        </w:rPr>
        <w:t xml:space="preserve"> </w:t>
      </w:r>
      <w:r w:rsidRPr="00D94367">
        <w:rPr>
          <w:rFonts w:hint="eastAsia"/>
          <w:rtl/>
        </w:rPr>
        <w:t>ועדת</w:t>
      </w:r>
      <w:r w:rsidRPr="00D94367">
        <w:rPr>
          <w:rtl/>
        </w:rPr>
        <w:t xml:space="preserve"> כספים</w:t>
      </w:r>
      <w:r w:rsidRPr="00D94367">
        <w:rPr>
          <w:rFonts w:hint="cs"/>
          <w:rtl/>
        </w:rPr>
        <w:t xml:space="preserve"> והשקעות </w:t>
      </w:r>
      <w:r w:rsidRPr="00D94367">
        <w:rPr>
          <w:rtl/>
        </w:rPr>
        <w:t xml:space="preserve">של הדירקטוריון </w:t>
      </w:r>
      <w:r>
        <w:rPr>
          <w:rFonts w:hint="cs"/>
          <w:rtl/>
        </w:rPr>
        <w:t>ב-</w:t>
      </w:r>
      <w:r w:rsidRPr="00D94367">
        <w:rPr>
          <w:rtl/>
        </w:rPr>
        <w:t xml:space="preserve">22.3.22 </w:t>
      </w:r>
      <w:r>
        <w:rPr>
          <w:rFonts w:hint="cs"/>
          <w:rtl/>
        </w:rPr>
        <w:t>ש</w:t>
      </w:r>
      <w:r w:rsidRPr="00D94367">
        <w:rPr>
          <w:rFonts w:hint="cs"/>
          <w:rtl/>
        </w:rPr>
        <w:t>בה נדון בין היתר נושא "</w:t>
      </w:r>
      <w:r w:rsidRPr="00D94367">
        <w:rPr>
          <w:rtl/>
        </w:rPr>
        <w:t>סיכום שנת 2021 ו</w:t>
      </w:r>
      <w:r w:rsidRPr="00D94367">
        <w:rPr>
          <w:rFonts w:hint="eastAsia"/>
          <w:rtl/>
        </w:rPr>
        <w:t>הצגת</w:t>
      </w:r>
      <w:r w:rsidRPr="00D94367">
        <w:rPr>
          <w:rtl/>
        </w:rPr>
        <w:t xml:space="preserve"> הדוחות הכספיים לשנת 2021</w:t>
      </w:r>
      <w:r w:rsidRPr="00D94367">
        <w:rPr>
          <w:rFonts w:hint="cs"/>
          <w:rtl/>
        </w:rPr>
        <w:t>"</w:t>
      </w:r>
      <w:r>
        <w:rPr>
          <w:rFonts w:hint="cs"/>
          <w:rtl/>
        </w:rPr>
        <w:t>,</w:t>
      </w:r>
      <w:r w:rsidRPr="00D94367">
        <w:rPr>
          <w:rtl/>
        </w:rPr>
        <w:t xml:space="preserve"> צ</w:t>
      </w:r>
      <w:r w:rsidRPr="00D94367">
        <w:rPr>
          <w:rFonts w:hint="cs"/>
          <w:rtl/>
        </w:rPr>
        <w:t>י</w:t>
      </w:r>
      <w:r w:rsidRPr="00D94367">
        <w:rPr>
          <w:rtl/>
        </w:rPr>
        <w:t xml:space="preserve">ין </w:t>
      </w:r>
      <w:r w:rsidRPr="00D94367">
        <w:rPr>
          <w:rFonts w:hint="cs"/>
          <w:rtl/>
        </w:rPr>
        <w:t xml:space="preserve">יו"ר הוועדה </w:t>
      </w:r>
      <w:r w:rsidRPr="00D94367">
        <w:rPr>
          <w:rtl/>
        </w:rPr>
        <w:t xml:space="preserve">כי </w:t>
      </w:r>
      <w:r w:rsidRPr="00D94367">
        <w:rPr>
          <w:rFonts w:hint="cs"/>
          <w:rtl/>
        </w:rPr>
        <w:t>"</w:t>
      </w:r>
      <w:r w:rsidRPr="00D94367">
        <w:rPr>
          <w:rtl/>
        </w:rPr>
        <w:t xml:space="preserve">הגידול </w:t>
      </w:r>
      <w:r w:rsidRPr="00D94367">
        <w:rPr>
          <w:rFonts w:hint="cs"/>
          <w:rtl/>
        </w:rPr>
        <w:t xml:space="preserve">בצבר ההזמנות </w:t>
      </w:r>
      <w:r w:rsidR="009C31CB">
        <w:rPr>
          <w:rtl/>
        </w:rPr>
        <w:br/>
      </w:r>
      <w:r w:rsidRPr="00D94367">
        <w:rPr>
          <w:rFonts w:hint="cs"/>
          <w:rtl/>
        </w:rPr>
        <w:t xml:space="preserve">ב-2021 </w:t>
      </w:r>
      <w:r w:rsidRPr="00D94367">
        <w:rPr>
          <w:rtl/>
        </w:rPr>
        <w:t>מספק לחברה ביטחון רב בכך שייתכן שיאפשר להשיג גידול במכירות וצמיחה גדולה יותר מהמתוכנן</w:t>
      </w:r>
      <w:r w:rsidRPr="00D94367">
        <w:rPr>
          <w:rFonts w:hint="cs"/>
          <w:rtl/>
        </w:rPr>
        <w:t>"</w:t>
      </w:r>
      <w:r w:rsidRPr="00D94367">
        <w:rPr>
          <w:rtl/>
        </w:rPr>
        <w:t>.</w:t>
      </w:r>
      <w:r>
        <w:rPr>
          <w:rFonts w:hint="cs"/>
          <w:rtl/>
        </w:rPr>
        <w:t xml:space="preserve"> </w:t>
      </w:r>
    </w:p>
    <w:p w:rsidR="00C149B0" w:rsidRPr="00B431F9" w:rsidP="00B431F9" w14:paraId="13D180B6" w14:textId="77777777">
      <w:pPr>
        <w:pStyle w:val="73414"/>
        <w:rPr>
          <w:rtl/>
        </w:rPr>
      </w:pPr>
      <w:r w:rsidRPr="00B431F9">
        <w:rPr>
          <w:rFonts w:hint="cs"/>
          <w:rtl/>
        </w:rPr>
        <w:t>השוואת צבר ההזמנות של שלוש החברות הביטחוניות הגדולות</w:t>
      </w:r>
    </w:p>
    <w:p w:rsidR="00C149B0" w:rsidRPr="00A14D0B" w:rsidP="00A14D0B" w14:paraId="67438A73" w14:textId="77777777">
      <w:pPr>
        <w:pStyle w:val="7392"/>
        <w:rPr>
          <w:rtl/>
        </w:rPr>
      </w:pPr>
      <w:r w:rsidRPr="00A14D0B">
        <w:rPr>
          <w:rFonts w:hint="cs"/>
          <w:rtl/>
        </w:rPr>
        <w:t xml:space="preserve">משרד מבקר המדינה השווה בין צבר ההזמנות של שלוש החברות הביטחוניות הגדולות בישראל - רפאל, </w:t>
      </w:r>
      <w:r w:rsidRPr="00A14D0B">
        <w:rPr>
          <w:rFonts w:hint="cs"/>
          <w:rtl/>
        </w:rPr>
        <w:t>התע"א</w:t>
      </w:r>
      <w:r w:rsidRPr="00A14D0B">
        <w:rPr>
          <w:rFonts w:hint="cs"/>
          <w:rtl/>
        </w:rPr>
        <w:t xml:space="preserve"> ואלביט - ביחס להיקף הכנסותיהן ממכירות בשנת 2021. להלן תרשימים המציגים את ממצאי ההשוואה:</w:t>
      </w:r>
    </w:p>
    <w:p w:rsidR="00C149B0" w:rsidRPr="00A14D0B" w:rsidP="00A14D0B" w14:paraId="252350CB" w14:textId="77777777">
      <w:pPr>
        <w:pStyle w:val="734"/>
        <w:rPr>
          <w:rtl/>
        </w:rPr>
      </w:pPr>
      <w:r w:rsidRPr="00A14D0B">
        <w:rPr>
          <w:rFonts w:hint="eastAsia"/>
          <w:b w:val="0"/>
          <w:bCs w:val="0"/>
          <w:rtl/>
        </w:rPr>
        <w:t>תרשים</w:t>
      </w:r>
      <w:r w:rsidRPr="00A14D0B">
        <w:rPr>
          <w:b w:val="0"/>
          <w:bCs w:val="0"/>
          <w:rtl/>
        </w:rPr>
        <w:t xml:space="preserve"> </w:t>
      </w:r>
      <w:r w:rsidRPr="00A14D0B">
        <w:rPr>
          <w:rFonts w:hint="cs"/>
          <w:b w:val="0"/>
          <w:bCs w:val="0"/>
          <w:rtl/>
        </w:rPr>
        <w:t>16</w:t>
      </w:r>
      <w:r w:rsidRPr="00A14D0B">
        <w:rPr>
          <w:b w:val="0"/>
          <w:bCs w:val="0"/>
          <w:rtl/>
        </w:rPr>
        <w:t>:</w:t>
      </w:r>
      <w:r w:rsidRPr="00A14D0B">
        <w:rPr>
          <w:rFonts w:hint="cs"/>
          <w:rtl/>
        </w:rPr>
        <w:t xml:space="preserve"> צבר ההזמנות של שלוש החברות הביטחוניות הגדולות והיחס בינו לבין ההכנסות השנתיות בכל חברה, 31.12.21 (במיליוני ש"ח)</w:t>
      </w:r>
    </w:p>
    <w:p w:rsidR="00C149B0" w:rsidP="00C149B0" w14:paraId="56DF4E9E" w14:textId="77777777">
      <w:pPr>
        <w:tabs>
          <w:tab w:val="left" w:pos="567"/>
          <w:tab w:val="left" w:pos="851"/>
        </w:tabs>
        <w:spacing w:line="269" w:lineRule="auto"/>
        <w:ind w:firstLine="21"/>
        <w:jc w:val="left"/>
        <w:rPr>
          <w:b/>
          <w:bCs/>
          <w:rtl/>
        </w:rPr>
      </w:pPr>
      <w:r>
        <w:rPr>
          <w:noProof/>
        </w:rPr>
        <w:drawing>
          <wp:inline distT="0" distB="0" distL="0" distR="0">
            <wp:extent cx="4743085" cy="1709220"/>
            <wp:effectExtent l="0" t="0" r="0" b="0"/>
            <wp:docPr id="1451066639" name="תמונה 8">
              <a:extLst xmlns:a="http://schemas.openxmlformats.org/drawingml/2006/main">
                <a:ext xmlns:a="http://schemas.openxmlformats.org/drawingml/2006/main" uri="{FF2B5EF4-FFF2-40B4-BE49-F238E27FC236}">
                  <a16:creationId xmlns:a16="http://schemas.microsoft.com/office/drawing/2014/main" id="{F991BD1A-A486-47AC-A8AB-13969FEBDB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9" name="תמונה 8">
                      <a:extLst>
                        <a:ext xmlns:a="http://schemas.openxmlformats.org/drawingml/2006/main" uri="{FF2B5EF4-FFF2-40B4-BE49-F238E27FC236}">
                          <a16:creationId xmlns:a16="http://schemas.microsoft.com/office/drawing/2014/main" id="{F991BD1A-A486-47AC-A8AB-13969FEBDBD5}"/>
                        </a:ext>
                      </a:extLst>
                    </pic:cNvPr>
                    <pic:cNvPicPr>
                      <a:picLocks noChangeAspect="1"/>
                    </pic:cNvPicPr>
                  </pic:nvPicPr>
                  <pic:blipFill>
                    <a:blip xmlns:r="http://schemas.openxmlformats.org/officeDocument/2006/relationships" r:embed="rId44">
                      <a:extLst>
                        <a:ext xmlns:a="http://schemas.openxmlformats.org/drawingml/2006/main" uri="{28A0092B-C50C-407E-A947-70E740481C1C}">
                          <a14:useLocalDpi xmlns:a14="http://schemas.microsoft.com/office/drawing/2010/main" val="0"/>
                        </a:ext>
                      </a:extLst>
                    </a:blip>
                    <a:stretch>
                      <a:fillRect/>
                    </a:stretch>
                  </pic:blipFill>
                  <pic:spPr>
                    <a:xfrm>
                      <a:off x="0" y="0"/>
                      <a:ext cx="4743085" cy="1709220"/>
                    </a:xfrm>
                    <a:prstGeom prst="rect">
                      <a:avLst/>
                    </a:prstGeom>
                  </pic:spPr>
                </pic:pic>
              </a:graphicData>
            </a:graphic>
          </wp:inline>
        </w:drawing>
      </w:r>
    </w:p>
    <w:p w:rsidR="00C149B0" w:rsidRPr="00A14D0B" w:rsidP="00A14D0B" w14:paraId="4FD7D931" w14:textId="77777777">
      <w:pPr>
        <w:pStyle w:val="738"/>
        <w:spacing w:after="0"/>
        <w:rPr>
          <w:rtl/>
        </w:rPr>
      </w:pPr>
      <w:r w:rsidRPr="00A14D0B">
        <w:rPr>
          <w:rFonts w:hint="cs"/>
          <w:rtl/>
        </w:rPr>
        <w:t>לפי</w:t>
      </w:r>
      <w:r w:rsidRPr="00A14D0B">
        <w:rPr>
          <w:rtl/>
        </w:rPr>
        <w:t xml:space="preserve"> הדוחות הכספיים של רפאל, </w:t>
      </w:r>
      <w:r w:rsidRPr="00A14D0B">
        <w:rPr>
          <w:rtl/>
        </w:rPr>
        <w:t>התע"א</w:t>
      </w:r>
      <w:r w:rsidRPr="00A14D0B">
        <w:rPr>
          <w:rtl/>
        </w:rPr>
        <w:t xml:space="preserve"> ואלביט ל</w:t>
      </w:r>
      <w:r w:rsidRPr="00A14D0B">
        <w:t>-</w:t>
      </w:r>
      <w:r w:rsidRPr="00A14D0B">
        <w:rPr>
          <w:rtl/>
        </w:rPr>
        <w:t>31.12.21</w:t>
      </w:r>
      <w:r w:rsidRPr="00A14D0B">
        <w:rPr>
          <w:rFonts w:hint="cs"/>
          <w:rtl/>
        </w:rPr>
        <w:t>,</w:t>
      </w:r>
      <w:r w:rsidRPr="00A14D0B">
        <w:rPr>
          <w:rtl/>
        </w:rPr>
        <w:t xml:space="preserve"> שע"ח ל-31.12.21 לפי נתוני בנק </w:t>
      </w:r>
      <w:r w:rsidRPr="00A14D0B">
        <w:rPr>
          <w:rFonts w:hint="cs"/>
          <w:rtl/>
        </w:rPr>
        <w:t>י</w:t>
      </w:r>
      <w:r w:rsidRPr="00A14D0B">
        <w:rPr>
          <w:rtl/>
        </w:rPr>
        <w:t>שראל, בעיבוד משרד מבקר המדינה</w:t>
      </w:r>
      <w:r w:rsidRPr="00A14D0B">
        <w:rPr>
          <w:rFonts w:hint="cs"/>
          <w:rtl/>
        </w:rPr>
        <w:t>.</w:t>
      </w:r>
    </w:p>
    <w:p w:rsidR="00C149B0" w:rsidRPr="00A14D0B" w:rsidP="00A14D0B" w14:paraId="26B405D1" w14:textId="77777777">
      <w:pPr>
        <w:pStyle w:val="738"/>
        <w:spacing w:before="0"/>
        <w:rPr>
          <w:rtl/>
        </w:rPr>
      </w:pPr>
      <w:r w:rsidRPr="00A14D0B">
        <w:rPr>
          <w:rFonts w:hint="cs"/>
          <w:rtl/>
        </w:rPr>
        <w:t>(1) צפי שנות מימוש לפי הכנסות ממכירות בהתאם לדוחות הכספיים ל-31.12.21.</w:t>
      </w:r>
    </w:p>
    <w:p w:rsidR="00C149B0" w:rsidRPr="00D94367" w:rsidP="00A14D0B" w14:paraId="634FF4AC" w14:textId="061049A8">
      <w:pPr>
        <w:pStyle w:val="734"/>
        <w:rPr>
          <w:rFonts w:ascii="David" w:hAnsi="David"/>
          <w:rtl/>
        </w:rPr>
      </w:pPr>
      <w:r w:rsidRPr="00A14D0B">
        <w:rPr>
          <w:b w:val="0"/>
          <w:bCs w:val="0"/>
          <w:noProof/>
          <w:rtl/>
        </w:rPr>
        <w:drawing>
          <wp:anchor distT="0" distB="0" distL="114300" distR="114300" simplePos="0" relativeHeight="251706368" behindDoc="0" locked="0" layoutInCell="1" allowOverlap="1">
            <wp:simplePos x="0" y="0"/>
            <wp:positionH relativeFrom="column">
              <wp:posOffset>48260</wp:posOffset>
            </wp:positionH>
            <wp:positionV relativeFrom="paragraph">
              <wp:posOffset>579755</wp:posOffset>
            </wp:positionV>
            <wp:extent cx="4565650" cy="1851025"/>
            <wp:effectExtent l="0" t="0" r="0" b="0"/>
            <wp:wrapTopAndBottom/>
            <wp:docPr id="79" name="תמונה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תמונה 79"/>
                    <pic:cNvPicPr>
                      <a:picLocks noChangeAspect="1" noChangeArrowheads="1"/>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tretch>
                      <a:fillRect/>
                    </a:stretch>
                  </pic:blipFill>
                  <pic:spPr bwMode="auto">
                    <a:xfrm>
                      <a:off x="0" y="0"/>
                      <a:ext cx="4565650" cy="1851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4D0B">
        <w:rPr>
          <w:rFonts w:hint="eastAsia"/>
          <w:b w:val="0"/>
          <w:bCs w:val="0"/>
          <w:rtl/>
        </w:rPr>
        <w:t>תרשים</w:t>
      </w:r>
      <w:r w:rsidRPr="00A14D0B">
        <w:rPr>
          <w:b w:val="0"/>
          <w:bCs w:val="0"/>
          <w:rtl/>
        </w:rPr>
        <w:t xml:space="preserve"> </w:t>
      </w:r>
      <w:r w:rsidRPr="00A14D0B">
        <w:rPr>
          <w:rFonts w:hint="cs"/>
          <w:b w:val="0"/>
          <w:bCs w:val="0"/>
          <w:rtl/>
        </w:rPr>
        <w:t>17</w:t>
      </w:r>
      <w:r w:rsidRPr="00A14D0B">
        <w:rPr>
          <w:b w:val="0"/>
          <w:bCs w:val="0"/>
          <w:rtl/>
        </w:rPr>
        <w:t>:</w:t>
      </w:r>
      <w:r w:rsidRPr="00A14D0B">
        <w:rPr>
          <w:rFonts w:hint="cs"/>
          <w:rtl/>
        </w:rPr>
        <w:t xml:space="preserve"> צבר ההזמנות של שלוש החברות הביטחוניות הגדולות יחסית להיקף ההכנסות השנתיות שלהן, לפי שנות מימושו הצפוי להכנסות (31.12.21)</w:t>
      </w:r>
    </w:p>
    <w:p w:rsidR="00C149B0" w:rsidRPr="00A14D0B" w:rsidP="00D002CA" w14:paraId="0D6A4AD8" w14:textId="596EADD9">
      <w:pPr>
        <w:pStyle w:val="738"/>
        <w:spacing w:before="360"/>
        <w:rPr>
          <w:rtl/>
        </w:rPr>
      </w:pPr>
      <w:r w:rsidRPr="00A14D0B">
        <w:rPr>
          <w:rFonts w:hint="cs"/>
          <w:rtl/>
        </w:rPr>
        <w:t>לפי</w:t>
      </w:r>
      <w:r w:rsidRPr="00A14D0B">
        <w:rPr>
          <w:rtl/>
        </w:rPr>
        <w:t xml:space="preserve"> הדוחות הכספיים של רפאל, </w:t>
      </w:r>
      <w:r w:rsidRPr="00A14D0B">
        <w:rPr>
          <w:rtl/>
        </w:rPr>
        <w:t>התע"א</w:t>
      </w:r>
      <w:r w:rsidRPr="00A14D0B">
        <w:rPr>
          <w:rtl/>
        </w:rPr>
        <w:t xml:space="preserve"> ואלביט ל</w:t>
      </w:r>
      <w:r w:rsidRPr="00A14D0B">
        <w:t>-</w:t>
      </w:r>
      <w:r w:rsidRPr="00A14D0B">
        <w:rPr>
          <w:rtl/>
        </w:rPr>
        <w:t>31.12.21</w:t>
      </w:r>
      <w:r w:rsidRPr="00A14D0B">
        <w:rPr>
          <w:rFonts w:hint="cs"/>
          <w:rtl/>
        </w:rPr>
        <w:t>,</w:t>
      </w:r>
      <w:r w:rsidRPr="00A14D0B">
        <w:rPr>
          <w:rtl/>
        </w:rPr>
        <w:t xml:space="preserve"> שע"ח ל-31.12.21 לפי נתוני בנק </w:t>
      </w:r>
      <w:r w:rsidRPr="00A14D0B">
        <w:rPr>
          <w:rFonts w:hint="cs"/>
          <w:rtl/>
        </w:rPr>
        <w:t>י</w:t>
      </w:r>
      <w:r w:rsidRPr="00A14D0B">
        <w:rPr>
          <w:rtl/>
        </w:rPr>
        <w:t>שראל, בעיבוד משרד מבקר המדינה</w:t>
      </w:r>
      <w:r w:rsidRPr="00A14D0B">
        <w:rPr>
          <w:rFonts w:hint="cs"/>
          <w:rtl/>
        </w:rPr>
        <w:t>.</w:t>
      </w:r>
    </w:p>
    <w:p w:rsidR="00C149B0" w:rsidRPr="00A14D0B" w:rsidP="00A14D0B" w14:paraId="41C60A93" w14:textId="77777777">
      <w:pPr>
        <w:pStyle w:val="7318"/>
        <w:rPr>
          <w:rtl/>
        </w:rPr>
      </w:pPr>
      <w:r w:rsidRPr="00A14D0B">
        <w:rPr>
          <w:rFonts w:hint="cs"/>
          <w:rtl/>
        </w:rPr>
        <w:t xml:space="preserve">מהתרשימים לעיל עולה </w:t>
      </w:r>
      <w:r w:rsidRPr="00A14D0B">
        <w:rPr>
          <w:rFonts w:hint="eastAsia"/>
          <w:rtl/>
        </w:rPr>
        <w:t>כי</w:t>
      </w:r>
      <w:r w:rsidRPr="00A14D0B">
        <w:rPr>
          <w:rFonts w:hint="cs"/>
          <w:rtl/>
        </w:rPr>
        <w:t xml:space="preserve"> צבר ההזמנות של רפאל ל-31.12.21 היה בהיקף מכירות של שלוש שנים בקירוב; היקף הדומה לזה של </w:t>
      </w:r>
      <w:r w:rsidRPr="00A14D0B">
        <w:rPr>
          <w:rFonts w:hint="cs"/>
          <w:rtl/>
        </w:rPr>
        <w:t>התע"א</w:t>
      </w:r>
      <w:r w:rsidRPr="00A14D0B">
        <w:rPr>
          <w:rFonts w:hint="cs"/>
          <w:rtl/>
        </w:rPr>
        <w:t xml:space="preserve"> וגבוה בכ-12% מזה של אלביט. צבר הזמנות זה מספק לחברה ביטחון בהכנסותיה לטווח הזמן הבינוני. אשר לפריסת צבר ההזמנות לפי שנות מימושו להכנסות, עולה כי בשנים 2022 ו-2023 היחס בין הצבר להיקף ההכנסות השנתיות של רפאל גדול בכ-15% וב-24% מזה של אלביט </w:t>
      </w:r>
      <w:r w:rsidRPr="00A14D0B">
        <w:rPr>
          <w:rFonts w:hint="cs"/>
          <w:rtl/>
        </w:rPr>
        <w:t>והתע"א</w:t>
      </w:r>
      <w:r w:rsidRPr="00A14D0B">
        <w:rPr>
          <w:rFonts w:hint="cs"/>
          <w:rtl/>
        </w:rPr>
        <w:t xml:space="preserve"> בהתאמה. החל משנת 2024 היחס בין צבר ההזמנות להיקף ההכנסות השנתיות ברפאל גדול מזה של אלביט בכ-7% וקטן מזה של </w:t>
      </w:r>
      <w:r w:rsidRPr="00A14D0B">
        <w:rPr>
          <w:rFonts w:hint="cs"/>
          <w:rtl/>
        </w:rPr>
        <w:t>התע"א</w:t>
      </w:r>
      <w:r w:rsidRPr="00A14D0B">
        <w:rPr>
          <w:rFonts w:hint="cs"/>
          <w:rtl/>
        </w:rPr>
        <w:t xml:space="preserve"> בכ-24%. </w:t>
      </w:r>
    </w:p>
    <w:p w:rsidR="00C149B0" w:rsidRPr="00A14D0B" w:rsidP="00A14D0B" w14:paraId="71F9AADC" w14:textId="2F7D3CC5">
      <w:pPr>
        <w:pStyle w:val="734"/>
        <w:rPr>
          <w:rtl/>
        </w:rPr>
      </w:pPr>
      <w:r w:rsidRPr="00A14D0B">
        <w:rPr>
          <w:rFonts w:hint="eastAsia"/>
          <w:b w:val="0"/>
          <w:bCs w:val="0"/>
          <w:rtl/>
        </w:rPr>
        <w:t>תרשים</w:t>
      </w:r>
      <w:r w:rsidRPr="00A14D0B">
        <w:rPr>
          <w:b w:val="0"/>
          <w:bCs w:val="0"/>
          <w:rtl/>
        </w:rPr>
        <w:t xml:space="preserve"> </w:t>
      </w:r>
      <w:r w:rsidRPr="00A14D0B">
        <w:rPr>
          <w:rFonts w:hint="cs"/>
          <w:b w:val="0"/>
          <w:bCs w:val="0"/>
          <w:rtl/>
        </w:rPr>
        <w:t>18</w:t>
      </w:r>
      <w:r w:rsidRPr="00A14D0B">
        <w:rPr>
          <w:b w:val="0"/>
          <w:bCs w:val="0"/>
          <w:rtl/>
        </w:rPr>
        <w:t>:</w:t>
      </w:r>
      <w:r w:rsidRPr="00A14D0B">
        <w:rPr>
          <w:rFonts w:hint="cs"/>
          <w:b w:val="0"/>
          <w:bCs w:val="0"/>
          <w:rtl/>
        </w:rPr>
        <w:t xml:space="preserve"> </w:t>
      </w:r>
      <w:r w:rsidRPr="00A14D0B">
        <w:rPr>
          <w:rFonts w:hint="cs"/>
          <w:rtl/>
        </w:rPr>
        <w:t>התפתחות צבר ההזמנות בשלוש החברות הביטחוניות הגדולות,</w:t>
      </w:r>
      <w:r w:rsidR="00A14D0B">
        <w:rPr>
          <w:rtl/>
        </w:rPr>
        <w:br/>
      </w:r>
      <w:r w:rsidRPr="00A14D0B">
        <w:rPr>
          <w:rFonts w:hint="cs"/>
          <w:rtl/>
        </w:rPr>
        <w:t xml:space="preserve">2017 - 2021 (במיליארדי דולר) </w:t>
      </w:r>
    </w:p>
    <w:p w:rsidR="00C149B0" w:rsidP="00C149B0" w14:paraId="121CAC91" w14:textId="77777777">
      <w:pPr>
        <w:tabs>
          <w:tab w:val="left" w:pos="567"/>
          <w:tab w:val="left" w:pos="851"/>
        </w:tabs>
        <w:spacing w:line="269" w:lineRule="auto"/>
        <w:ind w:left="282" w:hanging="427"/>
        <w:jc w:val="center"/>
        <w:rPr>
          <w:rFonts w:ascii="David" w:hAnsi="David"/>
          <w:szCs w:val="20"/>
          <w:rtl/>
        </w:rPr>
      </w:pPr>
      <w:r w:rsidRPr="00841A83">
        <w:rPr>
          <w:b/>
          <w:bCs/>
          <w:noProof/>
        </w:rPr>
        <w:drawing>
          <wp:inline distT="0" distB="0" distL="0" distR="0">
            <wp:extent cx="4760125" cy="2310177"/>
            <wp:effectExtent l="0" t="0" r="2540" b="0"/>
            <wp:docPr id="1451066640" name="תמונה 2">
              <a:extLst xmlns:a="http://schemas.openxmlformats.org/drawingml/2006/main">
                <a:ext xmlns:a="http://schemas.openxmlformats.org/drawingml/2006/main" uri="{FF2B5EF4-FFF2-40B4-BE49-F238E27FC236}">
                  <a16:creationId xmlns:a16="http://schemas.microsoft.com/office/drawing/2014/main" id="{B55E6771-E1E6-4512-B531-A5C8511F73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0" name="תמונה 2">
                      <a:extLst>
                        <a:ext xmlns:a="http://schemas.openxmlformats.org/drawingml/2006/main" uri="{FF2B5EF4-FFF2-40B4-BE49-F238E27FC236}">
                          <a16:creationId xmlns:a16="http://schemas.microsoft.com/office/drawing/2014/main" id="{B55E6771-E1E6-4512-B531-A5C8511F73AB}"/>
                        </a:ext>
                      </a:extLst>
                    </pic:cNvPr>
                    <pic:cNvPicPr>
                      <a:picLocks noChangeAspect="1"/>
                    </pic:cNvPicPr>
                  </pic:nvPicPr>
                  <pic:blipFill>
                    <a:blip xmlns:r="http://schemas.openxmlformats.org/officeDocument/2006/relationships" r:embed="rId46">
                      <a:extLst>
                        <a:ext xmlns:a="http://schemas.openxmlformats.org/drawingml/2006/main" uri="{28A0092B-C50C-407E-A947-70E740481C1C}">
                          <a14:useLocalDpi xmlns:a14="http://schemas.microsoft.com/office/drawing/2010/main" val="0"/>
                        </a:ext>
                      </a:extLst>
                    </a:blip>
                    <a:srcRect l="1915" t="-2333" r="1915" b="1"/>
                    <a:stretch>
                      <a:fillRect/>
                    </a:stretch>
                  </pic:blipFill>
                  <pic:spPr bwMode="auto">
                    <a:xfrm>
                      <a:off x="0" y="0"/>
                      <a:ext cx="4771050" cy="2315479"/>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149B0" w:rsidRPr="00A14D0B" w:rsidP="00A14D0B" w14:paraId="7114E6DA" w14:textId="77777777">
      <w:pPr>
        <w:pStyle w:val="738"/>
        <w:rPr>
          <w:rtl/>
        </w:rPr>
      </w:pPr>
      <w:r w:rsidRPr="00A14D0B">
        <w:rPr>
          <w:rtl/>
        </w:rPr>
        <w:t xml:space="preserve">המקור: </w:t>
      </w:r>
      <w:r w:rsidRPr="00A14D0B">
        <w:rPr>
          <w:rFonts w:hint="cs"/>
          <w:rtl/>
        </w:rPr>
        <w:t xml:space="preserve">מסמכי רפאל, </w:t>
      </w:r>
      <w:r w:rsidRPr="00A14D0B">
        <w:rPr>
          <w:rtl/>
        </w:rPr>
        <w:t>בעיבוד משרד מבקר המדינה</w:t>
      </w:r>
      <w:r w:rsidRPr="00A14D0B">
        <w:rPr>
          <w:rFonts w:hint="cs"/>
          <w:rtl/>
        </w:rPr>
        <w:t>.</w:t>
      </w:r>
    </w:p>
    <w:p w:rsidR="00C149B0" w:rsidRPr="00A14D0B" w:rsidP="00A14D0B" w14:paraId="49E93188" w14:textId="77777777">
      <w:pPr>
        <w:pStyle w:val="7318"/>
        <w:rPr>
          <w:rFonts w:eastAsiaTheme="majorEastAsia"/>
          <w:rtl/>
        </w:rPr>
      </w:pPr>
      <w:r w:rsidRPr="00A14D0B">
        <w:rPr>
          <w:rFonts w:eastAsiaTheme="majorEastAsia" w:hint="cs"/>
          <w:rtl/>
        </w:rPr>
        <w:t xml:space="preserve">מהתרשים לעיל עולה כי משנת 2017 ועד לשנת 2021 גדל צבר ההזמנות של רפאל בשיעור של כ-33%, בעוד שצבר ההזמנות של </w:t>
      </w:r>
      <w:r w:rsidRPr="00A14D0B">
        <w:rPr>
          <w:rFonts w:eastAsiaTheme="majorEastAsia" w:hint="cs"/>
          <w:rtl/>
        </w:rPr>
        <w:t>התע"א</w:t>
      </w:r>
      <w:r w:rsidRPr="00A14D0B">
        <w:rPr>
          <w:rFonts w:eastAsiaTheme="majorEastAsia" w:hint="cs"/>
          <w:rtl/>
        </w:rPr>
        <w:t xml:space="preserve"> גדל ב-20% ובמגזר הצבאי </w:t>
      </w:r>
      <w:r w:rsidRPr="00A14D0B">
        <w:rPr>
          <w:rFonts w:eastAsiaTheme="majorEastAsia"/>
          <w:rtl/>
        </w:rPr>
        <w:br/>
      </w:r>
      <w:r w:rsidRPr="00A14D0B">
        <w:rPr>
          <w:rFonts w:eastAsiaTheme="majorEastAsia" w:hint="cs"/>
          <w:rtl/>
        </w:rPr>
        <w:t xml:space="preserve">בכ-9%, וצבר ההזמנות של אלביט גדל בכ-81%. עוד עולה כי שיעור הגידול בצבר ההזמנות של רפאל בשנת 2021 יחסית לשנת 2020 הוא הגבוה ביותר מבין שלוש התעשיות הביטחוניות הגדולות, והסתכם בכ-30% לעומת כ-7% וכ-24% </w:t>
      </w:r>
      <w:r w:rsidRPr="00A14D0B">
        <w:rPr>
          <w:rFonts w:eastAsiaTheme="majorEastAsia" w:hint="cs"/>
          <w:rtl/>
        </w:rPr>
        <w:t>בתע"א</w:t>
      </w:r>
      <w:r w:rsidRPr="00A14D0B">
        <w:rPr>
          <w:rFonts w:eastAsiaTheme="majorEastAsia" w:hint="cs"/>
          <w:rtl/>
        </w:rPr>
        <w:t xml:space="preserve"> ובאלביט בהתאמה.</w:t>
      </w:r>
    </w:p>
    <w:p w:rsidR="00C149B0" w:rsidRPr="00B431F9" w:rsidP="00B431F9" w14:paraId="121DFD75" w14:textId="77777777">
      <w:pPr>
        <w:pStyle w:val="73414"/>
        <w:rPr>
          <w:rtl/>
        </w:rPr>
      </w:pPr>
      <w:r w:rsidRPr="00B431F9">
        <w:rPr>
          <w:rFonts w:hint="cs"/>
          <w:rtl/>
        </w:rPr>
        <w:t>הרווחיות הגלומה ב</w:t>
      </w:r>
      <w:r w:rsidRPr="00B431F9">
        <w:rPr>
          <w:rtl/>
        </w:rPr>
        <w:t>צבר</w:t>
      </w:r>
      <w:r w:rsidRPr="00B431F9">
        <w:rPr>
          <w:rFonts w:hint="cs"/>
          <w:rtl/>
        </w:rPr>
        <w:t xml:space="preserve"> ההזמנות</w:t>
      </w:r>
    </w:p>
    <w:p w:rsidR="00C149B0" w:rsidRPr="00A14D0B" w:rsidP="00A14D0B" w14:paraId="23913D2F" w14:textId="77777777">
      <w:pPr>
        <w:pStyle w:val="7392"/>
        <w:rPr>
          <w:rtl/>
        </w:rPr>
      </w:pPr>
      <w:r w:rsidRPr="00A14D0B">
        <w:rPr>
          <w:rFonts w:hint="cs"/>
          <w:rtl/>
        </w:rPr>
        <w:t xml:space="preserve">נוסף על היקף צבר ההזמנות, הרווחיות הגלומה בו היא אחד המדדים החשובים להערכת מצבה העסקי של חברה בטווח הבינוני והארוך. </w:t>
      </w:r>
      <w:r w:rsidRPr="00A14D0B">
        <w:rPr>
          <w:rFonts w:hint="eastAsia"/>
          <w:rtl/>
        </w:rPr>
        <w:t>להלן</w:t>
      </w:r>
      <w:r w:rsidRPr="00A14D0B">
        <w:rPr>
          <w:rtl/>
        </w:rPr>
        <w:t xml:space="preserve"> </w:t>
      </w:r>
      <w:r w:rsidRPr="00A14D0B">
        <w:rPr>
          <w:rFonts w:hint="eastAsia"/>
          <w:rtl/>
        </w:rPr>
        <w:t>שיעור</w:t>
      </w:r>
      <w:r w:rsidRPr="00A14D0B">
        <w:rPr>
          <w:rFonts w:hint="cs"/>
          <w:rtl/>
        </w:rPr>
        <w:t>י</w:t>
      </w:r>
      <w:r w:rsidRPr="00A14D0B">
        <w:rPr>
          <w:rtl/>
        </w:rPr>
        <w:t xml:space="preserve"> </w:t>
      </w:r>
      <w:r w:rsidRPr="00A14D0B">
        <w:rPr>
          <w:rFonts w:hint="eastAsia"/>
          <w:rtl/>
        </w:rPr>
        <w:t>הרווחיות</w:t>
      </w:r>
      <w:r w:rsidRPr="00A14D0B">
        <w:rPr>
          <w:rtl/>
        </w:rPr>
        <w:t xml:space="preserve"> הגולמי</w:t>
      </w:r>
      <w:r w:rsidRPr="00A14D0B">
        <w:rPr>
          <w:rFonts w:hint="eastAsia"/>
          <w:rtl/>
        </w:rPr>
        <w:t>ת</w:t>
      </w:r>
      <w:r w:rsidRPr="00A14D0B">
        <w:rPr>
          <w:rtl/>
        </w:rPr>
        <w:t xml:space="preserve"> והרווח</w:t>
      </w:r>
      <w:r w:rsidRPr="00A14D0B">
        <w:rPr>
          <w:rFonts w:hint="eastAsia"/>
          <w:rtl/>
        </w:rPr>
        <w:t>יות</w:t>
      </w:r>
      <w:r w:rsidRPr="00A14D0B">
        <w:rPr>
          <w:rtl/>
        </w:rPr>
        <w:t xml:space="preserve"> החשבונאית </w:t>
      </w:r>
      <w:r w:rsidRPr="00A14D0B">
        <w:rPr>
          <w:rFonts w:hint="eastAsia"/>
          <w:rtl/>
        </w:rPr>
        <w:t>הפרויקטלית</w:t>
      </w:r>
      <w:r w:rsidRPr="00A14D0B">
        <w:rPr>
          <w:rFonts w:hint="cs"/>
          <w:rtl/>
        </w:rPr>
        <w:t xml:space="preserve"> (להלן - רווחיות </w:t>
      </w:r>
      <w:r w:rsidRPr="00A14D0B">
        <w:rPr>
          <w:rFonts w:hint="cs"/>
          <w:rtl/>
        </w:rPr>
        <w:t>פרויקטלית</w:t>
      </w:r>
      <w:r w:rsidRPr="00A14D0B">
        <w:rPr>
          <w:rFonts w:hint="cs"/>
          <w:rtl/>
        </w:rPr>
        <w:t xml:space="preserve"> או רווח </w:t>
      </w:r>
      <w:r w:rsidRPr="00A14D0B">
        <w:rPr>
          <w:rFonts w:hint="cs"/>
          <w:rtl/>
        </w:rPr>
        <w:t>פרויקטלי</w:t>
      </w:r>
      <w:r w:rsidRPr="00A14D0B">
        <w:rPr>
          <w:rFonts w:hint="cs"/>
          <w:rtl/>
        </w:rPr>
        <w:t>)</w:t>
      </w:r>
      <w:r>
        <w:rPr>
          <w:vertAlign w:val="superscript"/>
          <w:rtl/>
        </w:rPr>
        <w:footnoteReference w:id="37"/>
      </w:r>
      <w:r w:rsidRPr="00A14D0B">
        <w:rPr>
          <w:rtl/>
        </w:rPr>
        <w:t xml:space="preserve"> הגלומות ב</w:t>
      </w:r>
      <w:r w:rsidRPr="00A14D0B">
        <w:rPr>
          <w:rFonts w:hint="eastAsia"/>
          <w:rtl/>
        </w:rPr>
        <w:t>צבר</w:t>
      </w:r>
      <w:r w:rsidRPr="00A14D0B">
        <w:rPr>
          <w:rtl/>
        </w:rPr>
        <w:t xml:space="preserve"> ההזמנות </w:t>
      </w:r>
      <w:r w:rsidRPr="00A14D0B">
        <w:rPr>
          <w:rFonts w:hint="cs"/>
          <w:rtl/>
        </w:rPr>
        <w:t>לפרויקטים עיקריים ב</w:t>
      </w:r>
      <w:r w:rsidRPr="00A14D0B">
        <w:rPr>
          <w:rFonts w:hint="eastAsia"/>
          <w:rtl/>
        </w:rPr>
        <w:t>שנים</w:t>
      </w:r>
      <w:r w:rsidRPr="00A14D0B">
        <w:rPr>
          <w:rtl/>
        </w:rPr>
        <w:t xml:space="preserve"> 2017 - 2021</w:t>
      </w:r>
      <w:r>
        <w:rPr>
          <w:vertAlign w:val="superscript"/>
          <w:rtl/>
        </w:rPr>
        <w:footnoteReference w:id="38"/>
      </w:r>
      <w:r w:rsidRPr="00A14D0B">
        <w:rPr>
          <w:rFonts w:hint="cs"/>
          <w:rtl/>
        </w:rPr>
        <w:t>.</w:t>
      </w:r>
    </w:p>
    <w:p w:rsidR="00C149B0" w:rsidRPr="00A14D0B" w:rsidP="00A14D0B" w14:paraId="15E4F916" w14:textId="77777777">
      <w:pPr>
        <w:pStyle w:val="734"/>
        <w:rPr>
          <w:rtl/>
        </w:rPr>
      </w:pPr>
      <w:r w:rsidRPr="00A14D0B">
        <w:rPr>
          <w:rFonts w:hint="eastAsia"/>
          <w:b w:val="0"/>
          <w:bCs w:val="0"/>
          <w:rtl/>
        </w:rPr>
        <w:t>תרשים</w:t>
      </w:r>
      <w:r w:rsidRPr="00A14D0B">
        <w:rPr>
          <w:b w:val="0"/>
          <w:bCs w:val="0"/>
          <w:rtl/>
        </w:rPr>
        <w:t xml:space="preserve"> </w:t>
      </w:r>
      <w:r w:rsidRPr="00A14D0B">
        <w:rPr>
          <w:rFonts w:hint="cs"/>
          <w:b w:val="0"/>
          <w:bCs w:val="0"/>
          <w:rtl/>
        </w:rPr>
        <w:t>19</w:t>
      </w:r>
      <w:r w:rsidRPr="00A14D0B">
        <w:rPr>
          <w:b w:val="0"/>
          <w:bCs w:val="0"/>
          <w:rtl/>
        </w:rPr>
        <w:t>:</w:t>
      </w:r>
      <w:r w:rsidRPr="00A14D0B">
        <w:rPr>
          <w:rFonts w:hint="cs"/>
          <w:rtl/>
        </w:rPr>
        <w:t xml:space="preserve"> שיעורי ה</w:t>
      </w:r>
      <w:r w:rsidRPr="00A14D0B">
        <w:rPr>
          <w:rtl/>
        </w:rPr>
        <w:t xml:space="preserve">רווחיות </w:t>
      </w:r>
      <w:r w:rsidRPr="00A14D0B">
        <w:rPr>
          <w:rFonts w:hint="cs"/>
          <w:rtl/>
        </w:rPr>
        <w:t>ה</w:t>
      </w:r>
      <w:r w:rsidRPr="00A14D0B">
        <w:rPr>
          <w:rtl/>
        </w:rPr>
        <w:t xml:space="preserve">גולמית </w:t>
      </w:r>
      <w:r w:rsidRPr="00A14D0B">
        <w:rPr>
          <w:rFonts w:hint="cs"/>
          <w:rtl/>
        </w:rPr>
        <w:t>וה</w:t>
      </w:r>
      <w:r w:rsidRPr="00A14D0B">
        <w:rPr>
          <w:rtl/>
        </w:rPr>
        <w:t xml:space="preserve">רווחיות </w:t>
      </w:r>
      <w:r w:rsidRPr="00A14D0B">
        <w:rPr>
          <w:rFonts w:hint="cs"/>
          <w:rtl/>
        </w:rPr>
        <w:t>הפרויקטלית</w:t>
      </w:r>
      <w:r w:rsidRPr="00A14D0B">
        <w:rPr>
          <w:rtl/>
        </w:rPr>
        <w:t xml:space="preserve"> </w:t>
      </w:r>
      <w:r w:rsidRPr="00A14D0B">
        <w:rPr>
          <w:rFonts w:hint="cs"/>
          <w:rtl/>
        </w:rPr>
        <w:t>שהיו גלומות ב</w:t>
      </w:r>
      <w:r w:rsidRPr="00A14D0B">
        <w:rPr>
          <w:rtl/>
        </w:rPr>
        <w:t>צבר</w:t>
      </w:r>
      <w:r w:rsidRPr="00A14D0B">
        <w:rPr>
          <w:rFonts w:hint="cs"/>
          <w:rtl/>
        </w:rPr>
        <w:t xml:space="preserve"> ההזמנות לפרויקטים עיקריים, 2017 - 2021</w:t>
      </w:r>
    </w:p>
    <w:p w:rsidR="00C149B0" w:rsidP="00C149B0" w14:paraId="55113DFF" w14:textId="77777777">
      <w:pPr>
        <w:spacing w:line="269" w:lineRule="auto"/>
        <w:jc w:val="left"/>
        <w:rPr>
          <w:b/>
          <w:bCs/>
          <w:rtl/>
        </w:rPr>
      </w:pPr>
      <w:r w:rsidRPr="00626839">
        <w:rPr>
          <w:noProof/>
          <w:szCs w:val="20"/>
          <w:rtl/>
        </w:rPr>
        <w:drawing>
          <wp:inline distT="0" distB="0" distL="0" distR="0">
            <wp:extent cx="4679506" cy="2538919"/>
            <wp:effectExtent l="0" t="0" r="0" b="0"/>
            <wp:docPr id="111" name="תמונה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תמונה 111"/>
                    <pic:cNvPicPr>
                      <a:picLocks noChangeAspect="1" noChangeArrowheads="1"/>
                    </pic:cNvPicPr>
                  </pic:nvPicPr>
                  <pic:blipFill>
                    <a:blip xmlns:r="http://schemas.openxmlformats.org/officeDocument/2006/relationships" r:embed="rId47">
                      <a:extLst>
                        <a:ext xmlns:a="http://schemas.openxmlformats.org/drawingml/2006/main" uri="{28A0092B-C50C-407E-A947-70E740481C1C}">
                          <a14:useLocalDpi xmlns:a14="http://schemas.microsoft.com/office/drawing/2010/main" val="0"/>
                        </a:ext>
                      </a:extLst>
                    </a:blip>
                    <a:srcRect l="905" r="905"/>
                    <a:stretch>
                      <a:fillRect/>
                    </a:stretch>
                  </pic:blipFill>
                  <pic:spPr bwMode="auto">
                    <a:xfrm>
                      <a:off x="0" y="0"/>
                      <a:ext cx="4684774" cy="2541777"/>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C149B0" w:rsidRPr="00A14D0B" w:rsidP="00A14D0B" w14:paraId="118438CE" w14:textId="77777777">
      <w:pPr>
        <w:pStyle w:val="738"/>
        <w:rPr>
          <w:rtl/>
        </w:rPr>
      </w:pPr>
      <w:r w:rsidRPr="00A14D0B">
        <w:rPr>
          <w:rFonts w:hint="cs"/>
          <w:rtl/>
        </w:rPr>
        <w:t>לפי מסמכי רפאל, בעיבוד משרד מבקר המדינה.</w:t>
      </w:r>
    </w:p>
    <w:p w:rsidR="00C149B0" w:rsidRPr="00A14D0B" w:rsidP="00A14D0B" w14:paraId="1883F029" w14:textId="2B446E30">
      <w:pPr>
        <w:pStyle w:val="7318"/>
        <w:rPr>
          <w:rtl/>
        </w:rPr>
      </w:pPr>
      <w:r w:rsidRPr="00A14D0B">
        <w:rPr>
          <w:rFonts w:hint="eastAsia"/>
          <w:rtl/>
        </w:rPr>
        <w:t>מהתרשים</w:t>
      </w:r>
      <w:r w:rsidRPr="00A14D0B">
        <w:rPr>
          <w:rtl/>
        </w:rPr>
        <w:t xml:space="preserve"> לעיל עולה </w:t>
      </w:r>
      <w:r w:rsidRPr="00A14D0B">
        <w:rPr>
          <w:rFonts w:hint="eastAsia"/>
          <w:rtl/>
        </w:rPr>
        <w:t>כי</w:t>
      </w:r>
      <w:r w:rsidRPr="00A14D0B">
        <w:rPr>
          <w:rtl/>
        </w:rPr>
        <w:t xml:space="preserve"> בשנים 201</w:t>
      </w:r>
      <w:r w:rsidRPr="00A14D0B">
        <w:rPr>
          <w:rFonts w:hint="cs"/>
          <w:rtl/>
        </w:rPr>
        <w:t>8</w:t>
      </w:r>
      <w:r w:rsidRPr="00A14D0B">
        <w:rPr>
          <w:rtl/>
        </w:rPr>
        <w:t xml:space="preserve"> </w:t>
      </w:r>
      <w:r w:rsidRPr="00A14D0B">
        <w:rPr>
          <w:rFonts w:hint="cs"/>
          <w:rtl/>
        </w:rPr>
        <w:t>ו</w:t>
      </w:r>
      <w:r w:rsidRPr="00A14D0B">
        <w:rPr>
          <w:rtl/>
        </w:rPr>
        <w:t xml:space="preserve">-2019 עלה </w:t>
      </w:r>
      <w:r w:rsidRPr="00A14D0B">
        <w:rPr>
          <w:rFonts w:hint="eastAsia"/>
          <w:rtl/>
        </w:rPr>
        <w:t>שיעורו</w:t>
      </w:r>
      <w:r w:rsidRPr="00A14D0B">
        <w:rPr>
          <w:rtl/>
        </w:rPr>
        <w:t xml:space="preserve"> של הרווח </w:t>
      </w:r>
      <w:r w:rsidRPr="00A14D0B">
        <w:rPr>
          <w:rtl/>
        </w:rPr>
        <w:t>הפרויקטלי</w:t>
      </w:r>
      <w:r w:rsidRPr="00A14D0B">
        <w:rPr>
          <w:rtl/>
        </w:rPr>
        <w:t xml:space="preserve"> הגלו</w:t>
      </w:r>
      <w:r w:rsidRPr="00A14D0B">
        <w:rPr>
          <w:rFonts w:hint="eastAsia"/>
          <w:rtl/>
        </w:rPr>
        <w:t>ם</w:t>
      </w:r>
      <w:r w:rsidRPr="00A14D0B">
        <w:rPr>
          <w:rtl/>
        </w:rPr>
        <w:t xml:space="preserve"> בצבר </w:t>
      </w:r>
      <w:r w:rsidRPr="00A14D0B">
        <w:rPr>
          <w:rFonts w:hint="eastAsia"/>
          <w:rtl/>
        </w:rPr>
        <w:t>ההזמנות</w:t>
      </w:r>
      <w:r w:rsidRPr="00A14D0B">
        <w:rPr>
          <w:rFonts w:hint="cs"/>
          <w:rtl/>
        </w:rPr>
        <w:t xml:space="preserve"> של הפרויקטים העיקריים</w:t>
      </w:r>
      <w:r w:rsidRPr="00A14D0B">
        <w:rPr>
          <w:rtl/>
        </w:rPr>
        <w:t xml:space="preserve"> </w:t>
      </w:r>
      <w:r w:rsidRPr="00A14D0B">
        <w:rPr>
          <w:rFonts w:hint="eastAsia"/>
          <w:rtl/>
        </w:rPr>
        <w:t>ב</w:t>
      </w:r>
      <w:r w:rsidRPr="00A14D0B">
        <w:rPr>
          <w:rtl/>
        </w:rPr>
        <w:t>-1.2% ו-1.6% בהתאמה</w:t>
      </w:r>
      <w:r w:rsidRPr="00A14D0B">
        <w:rPr>
          <w:rFonts w:hint="cs"/>
          <w:rtl/>
        </w:rPr>
        <w:t>;</w:t>
      </w:r>
      <w:r w:rsidRPr="00A14D0B">
        <w:rPr>
          <w:rtl/>
        </w:rPr>
        <w:t xml:space="preserve"> </w:t>
      </w:r>
      <w:r w:rsidRPr="00A14D0B">
        <w:rPr>
          <w:rFonts w:hint="cs"/>
          <w:rtl/>
        </w:rPr>
        <w:t>ו</w:t>
      </w:r>
      <w:r w:rsidRPr="00A14D0B">
        <w:rPr>
          <w:rtl/>
        </w:rPr>
        <w:t xml:space="preserve">בשנים 2020 </w:t>
      </w:r>
      <w:r w:rsidRPr="00A14D0B">
        <w:rPr>
          <w:rFonts w:hint="cs"/>
          <w:rtl/>
        </w:rPr>
        <w:t>ו</w:t>
      </w:r>
      <w:r w:rsidRPr="00A14D0B">
        <w:rPr>
          <w:rtl/>
        </w:rPr>
        <w:t xml:space="preserve">-2021 </w:t>
      </w:r>
      <w:r w:rsidRPr="00A14D0B">
        <w:rPr>
          <w:rFonts w:hint="eastAsia"/>
          <w:rtl/>
        </w:rPr>
        <w:t>חלה</w:t>
      </w:r>
      <w:r w:rsidRPr="00A14D0B">
        <w:rPr>
          <w:rtl/>
        </w:rPr>
        <w:t xml:space="preserve"> ירידה </w:t>
      </w:r>
      <w:r w:rsidRPr="00A14D0B">
        <w:rPr>
          <w:rFonts w:hint="eastAsia"/>
          <w:rtl/>
        </w:rPr>
        <w:t>בשיעורו</w:t>
      </w:r>
      <w:r w:rsidRPr="00A14D0B">
        <w:rPr>
          <w:rtl/>
        </w:rPr>
        <w:t xml:space="preserve"> של </w:t>
      </w:r>
      <w:r w:rsidRPr="00A14D0B">
        <w:rPr>
          <w:rFonts w:hint="eastAsia"/>
          <w:rtl/>
        </w:rPr>
        <w:t>הרווח</w:t>
      </w:r>
      <w:r w:rsidRPr="00A14D0B">
        <w:rPr>
          <w:rtl/>
        </w:rPr>
        <w:t xml:space="preserve"> </w:t>
      </w:r>
      <w:r w:rsidRPr="00A14D0B">
        <w:rPr>
          <w:rtl/>
        </w:rPr>
        <w:t>הפרויקטלי</w:t>
      </w:r>
      <w:r w:rsidRPr="00A14D0B">
        <w:rPr>
          <w:rtl/>
        </w:rPr>
        <w:t xml:space="preserve"> </w:t>
      </w:r>
      <w:r w:rsidRPr="00A14D0B">
        <w:rPr>
          <w:rFonts w:hint="eastAsia"/>
          <w:rtl/>
        </w:rPr>
        <w:t>ב</w:t>
      </w:r>
      <w:r w:rsidRPr="00A14D0B">
        <w:rPr>
          <w:rtl/>
        </w:rPr>
        <w:t xml:space="preserve">-0.3% </w:t>
      </w:r>
      <w:r w:rsidRPr="00A14D0B">
        <w:rPr>
          <w:rFonts w:hint="eastAsia"/>
          <w:rtl/>
        </w:rPr>
        <w:t>וב</w:t>
      </w:r>
      <w:r w:rsidRPr="00A14D0B">
        <w:rPr>
          <w:rtl/>
        </w:rPr>
        <w:t xml:space="preserve">-0.9% </w:t>
      </w:r>
      <w:r w:rsidRPr="00A14D0B">
        <w:rPr>
          <w:rFonts w:hint="eastAsia"/>
          <w:rtl/>
        </w:rPr>
        <w:t>בהתאמה</w:t>
      </w:r>
      <w:r w:rsidRPr="00A14D0B">
        <w:rPr>
          <w:rtl/>
        </w:rPr>
        <w:t xml:space="preserve">. </w:t>
      </w:r>
      <w:r w:rsidRPr="00A14D0B">
        <w:rPr>
          <w:rFonts w:hint="eastAsia"/>
          <w:rtl/>
        </w:rPr>
        <w:t>שיעור</w:t>
      </w:r>
      <w:r w:rsidRPr="00A14D0B">
        <w:rPr>
          <w:rtl/>
        </w:rPr>
        <w:t xml:space="preserve"> הרווח הגולמי הגלום בצבר ההזמנות </w:t>
      </w:r>
      <w:r w:rsidRPr="00A14D0B">
        <w:rPr>
          <w:rFonts w:hint="cs"/>
          <w:rtl/>
        </w:rPr>
        <w:t xml:space="preserve">של הפרויקטים העיקריים </w:t>
      </w:r>
      <w:r w:rsidRPr="00A14D0B">
        <w:rPr>
          <w:rFonts w:hint="eastAsia"/>
          <w:rtl/>
        </w:rPr>
        <w:t>עלה</w:t>
      </w:r>
      <w:r w:rsidRPr="00A14D0B">
        <w:rPr>
          <w:rtl/>
        </w:rPr>
        <w:t xml:space="preserve"> </w:t>
      </w:r>
      <w:r w:rsidRPr="00A14D0B">
        <w:rPr>
          <w:rFonts w:hint="eastAsia"/>
          <w:rtl/>
        </w:rPr>
        <w:t>בשנים</w:t>
      </w:r>
      <w:r w:rsidRPr="00A14D0B">
        <w:rPr>
          <w:rtl/>
        </w:rPr>
        <w:t xml:space="preserve"> 2017 - 2020 </w:t>
      </w:r>
      <w:r w:rsidRPr="00A14D0B">
        <w:rPr>
          <w:rFonts w:hint="cs"/>
          <w:rtl/>
        </w:rPr>
        <w:t>ב-2.6%;</w:t>
      </w:r>
      <w:r w:rsidRPr="00A14D0B">
        <w:rPr>
          <w:rtl/>
        </w:rPr>
        <w:t xml:space="preserve"> </w:t>
      </w:r>
      <w:r w:rsidRPr="00A14D0B">
        <w:rPr>
          <w:rFonts w:hint="cs"/>
          <w:rtl/>
        </w:rPr>
        <w:t>ו</w:t>
      </w:r>
      <w:r w:rsidRPr="00A14D0B">
        <w:rPr>
          <w:rFonts w:hint="eastAsia"/>
          <w:rtl/>
        </w:rPr>
        <w:t>בשנת</w:t>
      </w:r>
      <w:r w:rsidRPr="00A14D0B">
        <w:rPr>
          <w:rtl/>
        </w:rPr>
        <w:t xml:space="preserve"> 2021 </w:t>
      </w:r>
      <w:r w:rsidRPr="00A14D0B">
        <w:rPr>
          <w:rFonts w:hint="eastAsia"/>
          <w:rtl/>
        </w:rPr>
        <w:t>חלה</w:t>
      </w:r>
      <w:r w:rsidRPr="00A14D0B">
        <w:rPr>
          <w:rtl/>
        </w:rPr>
        <w:t xml:space="preserve"> </w:t>
      </w:r>
      <w:r w:rsidRPr="00A14D0B">
        <w:rPr>
          <w:rFonts w:hint="cs"/>
          <w:rtl/>
        </w:rPr>
        <w:t xml:space="preserve">בו </w:t>
      </w:r>
      <w:r w:rsidRPr="00A14D0B">
        <w:rPr>
          <w:rFonts w:hint="eastAsia"/>
          <w:rtl/>
        </w:rPr>
        <w:t>ירידה</w:t>
      </w:r>
      <w:r w:rsidRPr="00A14D0B">
        <w:rPr>
          <w:rtl/>
        </w:rPr>
        <w:t xml:space="preserve"> </w:t>
      </w:r>
      <w:r w:rsidRPr="00A14D0B">
        <w:rPr>
          <w:rFonts w:hint="eastAsia"/>
          <w:rtl/>
        </w:rPr>
        <w:t>של</w:t>
      </w:r>
      <w:r w:rsidRPr="00A14D0B">
        <w:rPr>
          <w:rtl/>
        </w:rPr>
        <w:t xml:space="preserve"> 0.9%.</w:t>
      </w:r>
      <w:r w:rsidRPr="00A14D0B">
        <w:rPr>
          <w:rFonts w:hint="cs"/>
          <w:rtl/>
        </w:rPr>
        <w:t xml:space="preserve"> שינויים אלה, ובעיקר הירידה העקבית ברווחיות </w:t>
      </w:r>
      <w:r w:rsidRPr="00A14D0B">
        <w:rPr>
          <w:rFonts w:hint="cs"/>
          <w:rtl/>
        </w:rPr>
        <w:t>הפרויקטלית</w:t>
      </w:r>
      <w:r w:rsidRPr="00A14D0B">
        <w:rPr>
          <w:rFonts w:hint="cs"/>
          <w:rtl/>
        </w:rPr>
        <w:t xml:space="preserve"> בשנים 2020 ו-2021, עשויים ללמד על שינוי במגמת העלייה שאפיינה את רווחיות צבר ההזמנות של רפאל בשנים 2018 ו-2019.</w:t>
      </w:r>
    </w:p>
    <w:p w:rsidR="00C149B0" w:rsidRPr="00A14D0B" w:rsidP="00A14D0B" w14:paraId="18A106A6" w14:textId="77777777">
      <w:pPr>
        <w:pStyle w:val="7318"/>
        <w:rPr>
          <w:rtl/>
        </w:rPr>
      </w:pPr>
      <w:r w:rsidRPr="00A14D0B">
        <w:rPr>
          <w:rFonts w:hint="eastAsia"/>
          <w:rtl/>
        </w:rPr>
        <w:t>עוד</w:t>
      </w:r>
      <w:r w:rsidRPr="00A14D0B">
        <w:rPr>
          <w:rtl/>
        </w:rPr>
        <w:t xml:space="preserve"> </w:t>
      </w:r>
      <w:r w:rsidRPr="00A14D0B">
        <w:rPr>
          <w:rFonts w:hint="eastAsia"/>
          <w:rtl/>
        </w:rPr>
        <w:t>עולה</w:t>
      </w:r>
      <w:r w:rsidRPr="00A14D0B">
        <w:rPr>
          <w:rtl/>
        </w:rPr>
        <w:t xml:space="preserve"> </w:t>
      </w:r>
      <w:r w:rsidRPr="00A14D0B">
        <w:rPr>
          <w:rFonts w:hint="eastAsia"/>
          <w:rtl/>
        </w:rPr>
        <w:t>כי</w:t>
      </w:r>
      <w:r w:rsidRPr="00A14D0B">
        <w:rPr>
          <w:rtl/>
        </w:rPr>
        <w:t xml:space="preserve"> </w:t>
      </w:r>
      <w:r w:rsidRPr="00A14D0B">
        <w:rPr>
          <w:rFonts w:hint="eastAsia"/>
          <w:rtl/>
        </w:rPr>
        <w:t>שיעור</w:t>
      </w:r>
      <w:r w:rsidRPr="00A14D0B">
        <w:rPr>
          <w:rtl/>
        </w:rPr>
        <w:t xml:space="preserve"> </w:t>
      </w:r>
      <w:r w:rsidRPr="00A14D0B">
        <w:rPr>
          <w:rFonts w:hint="eastAsia"/>
          <w:rtl/>
        </w:rPr>
        <w:t>הרווח</w:t>
      </w:r>
      <w:r w:rsidRPr="00A14D0B">
        <w:rPr>
          <w:rtl/>
        </w:rPr>
        <w:t xml:space="preserve"> </w:t>
      </w:r>
      <w:r w:rsidRPr="00A14D0B">
        <w:rPr>
          <w:rFonts w:hint="cs"/>
          <w:rtl/>
        </w:rPr>
        <w:t xml:space="preserve">הגולמי הממוצע </w:t>
      </w:r>
      <w:r w:rsidRPr="00A14D0B">
        <w:rPr>
          <w:rFonts w:hint="eastAsia"/>
          <w:rtl/>
        </w:rPr>
        <w:t>הגלום</w:t>
      </w:r>
      <w:r w:rsidRPr="00A14D0B">
        <w:rPr>
          <w:rtl/>
        </w:rPr>
        <w:t xml:space="preserve"> </w:t>
      </w:r>
      <w:r w:rsidRPr="00A14D0B">
        <w:rPr>
          <w:rFonts w:hint="eastAsia"/>
          <w:rtl/>
        </w:rPr>
        <w:t>בצבר</w:t>
      </w:r>
      <w:r w:rsidRPr="00A14D0B">
        <w:rPr>
          <w:rtl/>
        </w:rPr>
        <w:t xml:space="preserve"> </w:t>
      </w:r>
      <w:r w:rsidRPr="00A14D0B">
        <w:rPr>
          <w:rFonts w:hint="eastAsia"/>
          <w:rtl/>
        </w:rPr>
        <w:t>ההזמנות</w:t>
      </w:r>
      <w:r w:rsidRPr="00A14D0B">
        <w:rPr>
          <w:rtl/>
        </w:rPr>
        <w:t xml:space="preserve"> </w:t>
      </w:r>
      <w:r w:rsidRPr="00A14D0B">
        <w:rPr>
          <w:rFonts w:hint="eastAsia"/>
          <w:rtl/>
        </w:rPr>
        <w:t>של</w:t>
      </w:r>
      <w:r w:rsidRPr="00A14D0B">
        <w:rPr>
          <w:rtl/>
        </w:rPr>
        <w:t xml:space="preserve"> </w:t>
      </w:r>
      <w:r w:rsidRPr="00A14D0B">
        <w:rPr>
          <w:rFonts w:hint="eastAsia"/>
          <w:rtl/>
        </w:rPr>
        <w:t>הפרויקטים</w:t>
      </w:r>
      <w:r w:rsidRPr="00A14D0B">
        <w:rPr>
          <w:rtl/>
        </w:rPr>
        <w:t xml:space="preserve"> </w:t>
      </w:r>
      <w:r w:rsidRPr="00A14D0B">
        <w:rPr>
          <w:rFonts w:hint="eastAsia"/>
          <w:rtl/>
        </w:rPr>
        <w:t>העיקריים</w:t>
      </w:r>
      <w:r w:rsidRPr="00A14D0B">
        <w:rPr>
          <w:rFonts w:hint="cs"/>
          <w:rtl/>
        </w:rPr>
        <w:t xml:space="preserve"> בשנים 2017 - 2021</w:t>
      </w:r>
      <w:r w:rsidRPr="00A14D0B">
        <w:rPr>
          <w:rtl/>
        </w:rPr>
        <w:t xml:space="preserve"> נמוך משיעור הרווח הגולמי </w:t>
      </w:r>
      <w:r w:rsidRPr="00A14D0B">
        <w:rPr>
          <w:rFonts w:hint="cs"/>
          <w:rtl/>
        </w:rPr>
        <w:t xml:space="preserve">הממוצע </w:t>
      </w:r>
      <w:r w:rsidRPr="00A14D0B">
        <w:rPr>
          <w:rtl/>
        </w:rPr>
        <w:t xml:space="preserve">של </w:t>
      </w:r>
      <w:r w:rsidRPr="00A14D0B">
        <w:rPr>
          <w:rFonts w:hint="cs"/>
          <w:rtl/>
        </w:rPr>
        <w:t>החברה (סולו) באותן שנים בכ-3.2 נקודות אחוז.</w:t>
      </w:r>
    </w:p>
    <w:p w:rsidR="00C149B0" w:rsidRPr="00EC6083" w:rsidP="00A14D0B" w14:paraId="7488D928" w14:textId="77777777">
      <w:pPr>
        <w:pStyle w:val="7392"/>
        <w:rPr>
          <w:rtl/>
        </w:rPr>
      </w:pPr>
      <w:r>
        <w:rPr>
          <w:rFonts w:hint="cs"/>
          <w:rtl/>
        </w:rPr>
        <w:t xml:space="preserve">בתגובתה של רפאל על ממצאי הביקורת היא ציינה כי הפער בין הרווחיות הגולמית הממוצעת הגלומה בצבר ההזמנות של פרויקטים עיקריים ובין הרווחיות הגולמית השנתית של החברה נובע מפרויקטים בהיקפים קטנים מ-10 מיליון דולר וכן מהערכה עדכנית של אומדן העלויות להשלמה </w:t>
      </w:r>
      <w:r>
        <w:rPr>
          <w:rFonts w:hint="cs"/>
          <w:rtl/>
        </w:rPr>
        <w:t>בפרויקטי</w:t>
      </w:r>
      <w:r>
        <w:rPr>
          <w:rFonts w:hint="cs"/>
          <w:rtl/>
        </w:rPr>
        <w:t xml:space="preserve"> ייצור לייצוא, לרבות מעדכון מרכיב העלויות הבלתי צפויות מראש (</w:t>
      </w:r>
      <w:r>
        <w:rPr>
          <w:rFonts w:hint="cs"/>
          <w:rtl/>
        </w:rPr>
        <w:t>בצ"ם</w:t>
      </w:r>
      <w:r>
        <w:rPr>
          <w:rFonts w:hint="cs"/>
          <w:rtl/>
        </w:rPr>
        <w:t>).</w:t>
      </w:r>
    </w:p>
    <w:p w:rsidR="00C149B0" w:rsidRPr="001C2F48" w:rsidP="00A14D0B" w14:paraId="40FFBEFB" w14:textId="77777777">
      <w:pPr>
        <w:pStyle w:val="7318"/>
        <w:rPr>
          <w:rtl/>
        </w:rPr>
      </w:pPr>
      <w:r w:rsidRPr="00B26409">
        <w:rPr>
          <w:rtl/>
        </w:rPr>
        <w:t xml:space="preserve">אשר לירידה ברווח </w:t>
      </w:r>
      <w:r w:rsidRPr="00B26409">
        <w:rPr>
          <w:rtl/>
        </w:rPr>
        <w:t>הפרויקטלי</w:t>
      </w:r>
      <w:r w:rsidRPr="00B26409">
        <w:rPr>
          <w:rtl/>
        </w:rPr>
        <w:t xml:space="preserve"> וברווח הגולמי הגלומים בצבר ההזמנות לפרויקטים עיקריים, מומלץ כי הנהלת רפאל תנתח מהם הסיבות והגורמים לשינוי במגמת הרווחיות החל משנת 2020 ותפעל למתן מענה בהתאם לכך.</w:t>
      </w:r>
      <w:r>
        <w:rPr>
          <w:rFonts w:hint="cs"/>
          <w:rtl/>
        </w:rPr>
        <w:t xml:space="preserve"> </w:t>
      </w:r>
      <w:r w:rsidRPr="00957866">
        <w:rPr>
          <w:rFonts w:hint="eastAsia"/>
          <w:rtl/>
        </w:rPr>
        <w:t>עוד</w:t>
      </w:r>
      <w:r>
        <w:rPr>
          <w:rFonts w:hint="cs"/>
          <w:rtl/>
        </w:rPr>
        <w:t xml:space="preserve"> </w:t>
      </w:r>
      <w:r w:rsidRPr="00957866">
        <w:rPr>
          <w:rFonts w:hint="eastAsia"/>
          <w:rtl/>
        </w:rPr>
        <w:t>מומלץ</w:t>
      </w:r>
      <w:r w:rsidRPr="00957866">
        <w:rPr>
          <w:rtl/>
        </w:rPr>
        <w:t xml:space="preserve"> </w:t>
      </w:r>
      <w:r w:rsidRPr="00957866">
        <w:rPr>
          <w:rFonts w:hint="eastAsia"/>
          <w:rtl/>
        </w:rPr>
        <w:t>כי</w:t>
      </w:r>
      <w:r w:rsidRPr="00957866">
        <w:rPr>
          <w:rtl/>
        </w:rPr>
        <w:t xml:space="preserve"> </w:t>
      </w:r>
      <w:r w:rsidRPr="00957866">
        <w:rPr>
          <w:rFonts w:hint="eastAsia"/>
          <w:rtl/>
        </w:rPr>
        <w:t>הנהלת</w:t>
      </w:r>
      <w:r w:rsidRPr="00957866">
        <w:rPr>
          <w:rtl/>
        </w:rPr>
        <w:t xml:space="preserve"> </w:t>
      </w:r>
      <w:r w:rsidRPr="00957866">
        <w:rPr>
          <w:rFonts w:hint="eastAsia"/>
          <w:rtl/>
        </w:rPr>
        <w:t>רפאל</w:t>
      </w:r>
      <w:r w:rsidRPr="00957866">
        <w:rPr>
          <w:rtl/>
        </w:rPr>
        <w:t xml:space="preserve"> </w:t>
      </w:r>
      <w:r w:rsidRPr="00957866">
        <w:rPr>
          <w:rFonts w:hint="cs"/>
          <w:rtl/>
        </w:rPr>
        <w:t>תקבע יעדים לרווחיות צבר</w:t>
      </w:r>
      <w:r w:rsidRPr="00957866">
        <w:rPr>
          <w:rtl/>
        </w:rPr>
        <w:t xml:space="preserve"> </w:t>
      </w:r>
      <w:r w:rsidRPr="00957866">
        <w:rPr>
          <w:rFonts w:hint="eastAsia"/>
          <w:rtl/>
        </w:rPr>
        <w:t>ההזמנות</w:t>
      </w:r>
      <w:r w:rsidRPr="00957866">
        <w:rPr>
          <w:rtl/>
        </w:rPr>
        <w:t xml:space="preserve"> </w:t>
      </w:r>
      <w:r w:rsidRPr="00957866">
        <w:rPr>
          <w:rFonts w:hint="eastAsia"/>
          <w:rtl/>
        </w:rPr>
        <w:t>בפרויקטים</w:t>
      </w:r>
      <w:r w:rsidRPr="00957866">
        <w:rPr>
          <w:rtl/>
        </w:rPr>
        <w:t xml:space="preserve"> </w:t>
      </w:r>
      <w:r w:rsidRPr="00957866">
        <w:rPr>
          <w:rFonts w:hint="eastAsia"/>
          <w:rtl/>
        </w:rPr>
        <w:t>עיקריים</w:t>
      </w:r>
      <w:r w:rsidRPr="00957866">
        <w:rPr>
          <w:rtl/>
        </w:rPr>
        <w:t xml:space="preserve"> </w:t>
      </w:r>
      <w:r w:rsidRPr="00957866">
        <w:rPr>
          <w:rFonts w:hint="cs"/>
          <w:rtl/>
        </w:rPr>
        <w:t>ומנגנון לפיקוח ובקרה.</w:t>
      </w:r>
    </w:p>
    <w:p w:rsidR="00C149B0" w:rsidRPr="00A14D0B" w:rsidP="00A14D0B" w14:paraId="2E4E68F1" w14:textId="77777777">
      <w:pPr>
        <w:pStyle w:val="7392"/>
        <w:rPr>
          <w:rtl/>
        </w:rPr>
      </w:pPr>
      <w:r w:rsidRPr="00A14D0B">
        <w:rPr>
          <w:rFonts w:hint="cs"/>
          <w:rtl/>
        </w:rPr>
        <w:t xml:space="preserve">להלן פילוח של רווחיות </w:t>
      </w:r>
      <w:r w:rsidRPr="00A14D0B">
        <w:rPr>
          <w:rFonts w:hint="cs"/>
          <w:rtl/>
        </w:rPr>
        <w:t>פרויקטלית</w:t>
      </w:r>
      <w:r w:rsidRPr="00A14D0B">
        <w:rPr>
          <w:rFonts w:hint="cs"/>
          <w:rtl/>
        </w:rPr>
        <w:t xml:space="preserve"> של יתרת צבר ההזמנות לפרויקטים עיקריים בשנים </w:t>
      </w:r>
      <w:r w:rsidRPr="00A14D0B">
        <w:rPr>
          <w:rtl/>
        </w:rPr>
        <w:br/>
      </w:r>
      <w:r w:rsidRPr="00A14D0B">
        <w:rPr>
          <w:rFonts w:hint="cs"/>
          <w:rtl/>
        </w:rPr>
        <w:t>2017 - 2021, לפי סוגי הפרויקט ולפי שווקים:</w:t>
      </w:r>
    </w:p>
    <w:p w:rsidR="00C149B0" w:rsidRPr="00A14D0B" w:rsidP="00A14D0B" w14:paraId="111CC384" w14:textId="77777777">
      <w:pPr>
        <w:pStyle w:val="734"/>
        <w:rPr>
          <w:rtl/>
        </w:rPr>
      </w:pPr>
      <w:r w:rsidRPr="00A14D0B">
        <w:rPr>
          <w:rFonts w:hint="eastAsia"/>
          <w:b w:val="0"/>
          <w:bCs w:val="0"/>
          <w:rtl/>
        </w:rPr>
        <w:t>לוח</w:t>
      </w:r>
      <w:r w:rsidRPr="00A14D0B">
        <w:rPr>
          <w:b w:val="0"/>
          <w:bCs w:val="0"/>
          <w:rtl/>
        </w:rPr>
        <w:t xml:space="preserve"> </w:t>
      </w:r>
      <w:r w:rsidRPr="00A14D0B">
        <w:rPr>
          <w:rFonts w:hint="cs"/>
          <w:b w:val="0"/>
          <w:bCs w:val="0"/>
          <w:rtl/>
        </w:rPr>
        <w:t>3</w:t>
      </w:r>
      <w:r w:rsidRPr="00A14D0B">
        <w:rPr>
          <w:b w:val="0"/>
          <w:bCs w:val="0"/>
          <w:rtl/>
        </w:rPr>
        <w:t>:</w:t>
      </w:r>
      <w:r w:rsidRPr="00A14D0B">
        <w:rPr>
          <w:rtl/>
        </w:rPr>
        <w:t xml:space="preserve"> </w:t>
      </w:r>
      <w:r w:rsidRPr="00A14D0B">
        <w:rPr>
          <w:rFonts w:hint="eastAsia"/>
          <w:rtl/>
        </w:rPr>
        <w:t>שיעור</w:t>
      </w:r>
      <w:r w:rsidRPr="00A14D0B">
        <w:rPr>
          <w:rtl/>
        </w:rPr>
        <w:t xml:space="preserve"> </w:t>
      </w:r>
      <w:r w:rsidRPr="00A14D0B">
        <w:rPr>
          <w:rFonts w:hint="eastAsia"/>
          <w:rtl/>
        </w:rPr>
        <w:t>ה</w:t>
      </w:r>
      <w:r w:rsidRPr="00A14D0B">
        <w:rPr>
          <w:rtl/>
        </w:rPr>
        <w:t xml:space="preserve">רווחיות </w:t>
      </w:r>
      <w:r w:rsidRPr="00A14D0B">
        <w:rPr>
          <w:rFonts w:hint="eastAsia"/>
          <w:rtl/>
        </w:rPr>
        <w:t>הפרויקטלית</w:t>
      </w:r>
      <w:r w:rsidRPr="00A14D0B">
        <w:rPr>
          <w:rtl/>
        </w:rPr>
        <w:t xml:space="preserve"> </w:t>
      </w:r>
      <w:r w:rsidRPr="00A14D0B">
        <w:rPr>
          <w:rFonts w:hint="eastAsia"/>
          <w:rtl/>
        </w:rPr>
        <w:t>הגלומה</w:t>
      </w:r>
      <w:r w:rsidRPr="00A14D0B">
        <w:rPr>
          <w:rtl/>
        </w:rPr>
        <w:t xml:space="preserve"> </w:t>
      </w:r>
      <w:r w:rsidRPr="00A14D0B">
        <w:rPr>
          <w:rFonts w:hint="eastAsia"/>
          <w:rtl/>
        </w:rPr>
        <w:t>ביתרת</w:t>
      </w:r>
      <w:r w:rsidRPr="00A14D0B">
        <w:rPr>
          <w:rtl/>
        </w:rPr>
        <w:t xml:space="preserve"> </w:t>
      </w:r>
      <w:r w:rsidRPr="00A14D0B">
        <w:rPr>
          <w:rFonts w:hint="eastAsia"/>
          <w:rtl/>
        </w:rPr>
        <w:t>צבר</w:t>
      </w:r>
      <w:r w:rsidRPr="00A14D0B">
        <w:rPr>
          <w:rtl/>
        </w:rPr>
        <w:t xml:space="preserve"> </w:t>
      </w:r>
      <w:r w:rsidRPr="00A14D0B">
        <w:rPr>
          <w:rFonts w:hint="eastAsia"/>
          <w:rtl/>
        </w:rPr>
        <w:t>ההזמנות</w:t>
      </w:r>
      <w:r w:rsidRPr="00A14D0B">
        <w:rPr>
          <w:rtl/>
        </w:rPr>
        <w:t xml:space="preserve"> </w:t>
      </w:r>
      <w:r w:rsidRPr="00A14D0B">
        <w:rPr>
          <w:rFonts w:hint="eastAsia"/>
          <w:rtl/>
        </w:rPr>
        <w:t>לפרויקטים</w:t>
      </w:r>
      <w:r w:rsidRPr="00A14D0B">
        <w:rPr>
          <w:rFonts w:hint="cs"/>
          <w:rtl/>
        </w:rPr>
        <w:t xml:space="preserve"> </w:t>
      </w:r>
      <w:r w:rsidRPr="00A14D0B">
        <w:rPr>
          <w:rFonts w:hint="eastAsia"/>
          <w:rtl/>
        </w:rPr>
        <w:t>עיקריים</w:t>
      </w:r>
      <w:r w:rsidRPr="00A14D0B">
        <w:rPr>
          <w:rtl/>
        </w:rPr>
        <w:t xml:space="preserve"> </w:t>
      </w:r>
      <w:r w:rsidRPr="00A14D0B">
        <w:rPr>
          <w:rFonts w:hint="eastAsia"/>
          <w:rtl/>
        </w:rPr>
        <w:t>בסיום</w:t>
      </w:r>
      <w:r w:rsidRPr="00A14D0B">
        <w:rPr>
          <w:rtl/>
        </w:rPr>
        <w:t xml:space="preserve"> </w:t>
      </w:r>
      <w:r w:rsidRPr="00A14D0B">
        <w:rPr>
          <w:rFonts w:hint="eastAsia"/>
          <w:rtl/>
        </w:rPr>
        <w:t>השנים</w:t>
      </w:r>
      <w:r w:rsidRPr="00A14D0B">
        <w:rPr>
          <w:rtl/>
        </w:rPr>
        <w:t xml:space="preserve"> 2017 - 2021</w:t>
      </w:r>
    </w:p>
    <w:tbl>
      <w:tblPr>
        <w:tblStyle w:val="TableGrid"/>
        <w:bidiVisual/>
        <w:tblW w:w="7365" w:type="dxa"/>
        <w:tblInd w:w="-5" w:type="dxa"/>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tblLook w:val="04A0"/>
      </w:tblPr>
      <w:tblGrid>
        <w:gridCol w:w="3691"/>
        <w:gridCol w:w="734"/>
        <w:gridCol w:w="735"/>
        <w:gridCol w:w="735"/>
        <w:gridCol w:w="735"/>
        <w:gridCol w:w="735"/>
      </w:tblGrid>
      <w:tr w14:paraId="7A063394" w14:textId="77777777" w:rsidTr="00A14D0B">
        <w:tblPrEx>
          <w:tblW w:w="7365" w:type="dxa"/>
          <w:tblInd w:w="-5" w:type="dxa"/>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tblLook w:val="04A0"/>
        </w:tblPrEx>
        <w:trPr>
          <w:trHeight w:val="315"/>
        </w:trPr>
        <w:tc>
          <w:tcPr>
            <w:tcW w:w="3691" w:type="dxa"/>
            <w:shd w:val="clear" w:color="auto" w:fill="C8DCE4"/>
            <w:noWrap/>
            <w:hideMark/>
          </w:tcPr>
          <w:p w:rsidR="00C149B0" w:rsidRPr="00A14D0B" w:rsidP="00A14D0B" w14:paraId="178549E4" w14:textId="77777777">
            <w:pPr>
              <w:pStyle w:val="73R"/>
            </w:pPr>
          </w:p>
        </w:tc>
        <w:tc>
          <w:tcPr>
            <w:tcW w:w="734" w:type="dxa"/>
            <w:shd w:val="clear" w:color="auto" w:fill="C8DCE4"/>
            <w:hideMark/>
          </w:tcPr>
          <w:p w:rsidR="00C149B0" w:rsidRPr="00A14D0B" w:rsidP="00A14D0B" w14:paraId="6F706660" w14:textId="77777777">
            <w:pPr>
              <w:pStyle w:val="73R"/>
              <w:rPr>
                <w:b/>
                <w:bCs/>
                <w:rtl/>
              </w:rPr>
            </w:pPr>
            <w:r w:rsidRPr="00A14D0B">
              <w:rPr>
                <w:b/>
                <w:bCs/>
              </w:rPr>
              <w:t>2017</w:t>
            </w:r>
          </w:p>
        </w:tc>
        <w:tc>
          <w:tcPr>
            <w:tcW w:w="735" w:type="dxa"/>
            <w:shd w:val="clear" w:color="auto" w:fill="C8DCE4"/>
            <w:hideMark/>
          </w:tcPr>
          <w:p w:rsidR="00C149B0" w:rsidRPr="00A14D0B" w:rsidP="00A14D0B" w14:paraId="461453B5" w14:textId="77777777">
            <w:pPr>
              <w:pStyle w:val="73R"/>
              <w:rPr>
                <w:b/>
                <w:bCs/>
                <w:rtl/>
              </w:rPr>
            </w:pPr>
            <w:r w:rsidRPr="00A14D0B">
              <w:rPr>
                <w:b/>
                <w:bCs/>
              </w:rPr>
              <w:t>2018</w:t>
            </w:r>
          </w:p>
        </w:tc>
        <w:tc>
          <w:tcPr>
            <w:tcW w:w="735" w:type="dxa"/>
            <w:shd w:val="clear" w:color="auto" w:fill="C8DCE4"/>
            <w:hideMark/>
          </w:tcPr>
          <w:p w:rsidR="00C149B0" w:rsidRPr="00A14D0B" w:rsidP="00A14D0B" w14:paraId="14DC10B6" w14:textId="77777777">
            <w:pPr>
              <w:pStyle w:val="73R"/>
              <w:rPr>
                <w:b/>
                <w:bCs/>
                <w:rtl/>
              </w:rPr>
            </w:pPr>
            <w:r w:rsidRPr="00A14D0B">
              <w:rPr>
                <w:b/>
                <w:bCs/>
              </w:rPr>
              <w:t>2019</w:t>
            </w:r>
          </w:p>
        </w:tc>
        <w:tc>
          <w:tcPr>
            <w:tcW w:w="735" w:type="dxa"/>
            <w:shd w:val="clear" w:color="auto" w:fill="C8DCE4"/>
            <w:hideMark/>
          </w:tcPr>
          <w:p w:rsidR="00C149B0" w:rsidRPr="00A14D0B" w:rsidP="00A14D0B" w14:paraId="5979D44E" w14:textId="77777777">
            <w:pPr>
              <w:pStyle w:val="73R"/>
              <w:rPr>
                <w:b/>
                <w:bCs/>
                <w:rtl/>
              </w:rPr>
            </w:pPr>
            <w:r w:rsidRPr="00A14D0B">
              <w:rPr>
                <w:b/>
                <w:bCs/>
              </w:rPr>
              <w:t>2020</w:t>
            </w:r>
          </w:p>
        </w:tc>
        <w:tc>
          <w:tcPr>
            <w:tcW w:w="735" w:type="dxa"/>
            <w:shd w:val="clear" w:color="auto" w:fill="C8DCE4"/>
            <w:hideMark/>
          </w:tcPr>
          <w:p w:rsidR="00C149B0" w:rsidRPr="00A14D0B" w:rsidP="00A14D0B" w14:paraId="31D2AB66" w14:textId="77777777">
            <w:pPr>
              <w:pStyle w:val="73R"/>
              <w:rPr>
                <w:b/>
                <w:bCs/>
                <w:rtl/>
              </w:rPr>
            </w:pPr>
            <w:r w:rsidRPr="00A14D0B">
              <w:rPr>
                <w:b/>
                <w:bCs/>
              </w:rPr>
              <w:t>2021</w:t>
            </w:r>
          </w:p>
        </w:tc>
      </w:tr>
      <w:tr w14:paraId="31FD7EC9" w14:textId="77777777" w:rsidTr="00A14D0B">
        <w:tblPrEx>
          <w:tblW w:w="7365" w:type="dxa"/>
          <w:tblInd w:w="-5" w:type="dxa"/>
          <w:tblLook w:val="04A0"/>
        </w:tblPrEx>
        <w:trPr>
          <w:trHeight w:val="315"/>
        </w:trPr>
        <w:tc>
          <w:tcPr>
            <w:tcW w:w="3691" w:type="dxa"/>
            <w:shd w:val="clear" w:color="auto" w:fill="DFECEF"/>
            <w:noWrap/>
            <w:hideMark/>
          </w:tcPr>
          <w:p w:rsidR="00C149B0" w:rsidRPr="00A14D0B" w:rsidP="00A14D0B" w14:paraId="5AF5B890" w14:textId="77777777">
            <w:pPr>
              <w:pStyle w:val="73R"/>
              <w:rPr>
                <w:rtl/>
              </w:rPr>
            </w:pPr>
            <w:r w:rsidRPr="00A14D0B">
              <w:rPr>
                <w:rFonts w:hint="cs"/>
                <w:rtl/>
              </w:rPr>
              <w:t>פרויקטי</w:t>
            </w:r>
            <w:r w:rsidRPr="00A14D0B">
              <w:rPr>
                <w:rFonts w:hint="cs"/>
                <w:rtl/>
              </w:rPr>
              <w:t xml:space="preserve"> ייצור </w:t>
            </w:r>
          </w:p>
        </w:tc>
        <w:tc>
          <w:tcPr>
            <w:tcW w:w="734" w:type="dxa"/>
            <w:shd w:val="clear" w:color="auto" w:fill="DFECEF"/>
            <w:noWrap/>
            <w:hideMark/>
          </w:tcPr>
          <w:p w:rsidR="00C149B0" w:rsidRPr="00A14D0B" w:rsidP="00A14D0B" w14:paraId="1FB659A3" w14:textId="77777777">
            <w:pPr>
              <w:pStyle w:val="73R"/>
              <w:rPr>
                <w:rtl/>
              </w:rPr>
            </w:pPr>
            <w:r w:rsidRPr="00A14D0B">
              <w:t>8.9%</w:t>
            </w:r>
          </w:p>
        </w:tc>
        <w:tc>
          <w:tcPr>
            <w:tcW w:w="735" w:type="dxa"/>
            <w:shd w:val="clear" w:color="auto" w:fill="DFECEF"/>
            <w:noWrap/>
            <w:hideMark/>
          </w:tcPr>
          <w:p w:rsidR="00C149B0" w:rsidRPr="00A14D0B" w:rsidP="00A14D0B" w14:paraId="31997637" w14:textId="77777777">
            <w:pPr>
              <w:pStyle w:val="73R"/>
              <w:rPr>
                <w:rtl/>
              </w:rPr>
            </w:pPr>
            <w:r w:rsidRPr="00A14D0B">
              <w:t>9.8%</w:t>
            </w:r>
          </w:p>
        </w:tc>
        <w:tc>
          <w:tcPr>
            <w:tcW w:w="735" w:type="dxa"/>
            <w:shd w:val="clear" w:color="auto" w:fill="DFECEF"/>
            <w:noWrap/>
            <w:hideMark/>
          </w:tcPr>
          <w:p w:rsidR="00C149B0" w:rsidRPr="00A14D0B" w:rsidP="00A14D0B" w14:paraId="6758F811" w14:textId="77777777">
            <w:pPr>
              <w:pStyle w:val="73R"/>
              <w:rPr>
                <w:rtl/>
              </w:rPr>
            </w:pPr>
            <w:r w:rsidRPr="00A14D0B">
              <w:t>12.0%</w:t>
            </w:r>
          </w:p>
        </w:tc>
        <w:tc>
          <w:tcPr>
            <w:tcW w:w="735" w:type="dxa"/>
            <w:shd w:val="clear" w:color="auto" w:fill="DFECEF"/>
            <w:noWrap/>
            <w:hideMark/>
          </w:tcPr>
          <w:p w:rsidR="00C149B0" w:rsidRPr="00A14D0B" w:rsidP="00A14D0B" w14:paraId="5B318714" w14:textId="77777777">
            <w:pPr>
              <w:pStyle w:val="73R"/>
              <w:rPr>
                <w:rtl/>
              </w:rPr>
            </w:pPr>
            <w:r w:rsidRPr="00A14D0B">
              <w:t>13.8%</w:t>
            </w:r>
          </w:p>
        </w:tc>
        <w:tc>
          <w:tcPr>
            <w:tcW w:w="735" w:type="dxa"/>
            <w:shd w:val="clear" w:color="auto" w:fill="DFECEF"/>
            <w:noWrap/>
            <w:hideMark/>
          </w:tcPr>
          <w:p w:rsidR="00C149B0" w:rsidRPr="00A14D0B" w:rsidP="00A14D0B" w14:paraId="1618017B" w14:textId="77777777">
            <w:pPr>
              <w:pStyle w:val="73R"/>
              <w:rPr>
                <w:rtl/>
              </w:rPr>
            </w:pPr>
            <w:r w:rsidRPr="00A14D0B">
              <w:t>13.8%</w:t>
            </w:r>
          </w:p>
        </w:tc>
      </w:tr>
      <w:tr w14:paraId="5C2AE227" w14:textId="77777777" w:rsidTr="00A14D0B">
        <w:tblPrEx>
          <w:tblW w:w="7365" w:type="dxa"/>
          <w:tblInd w:w="-5" w:type="dxa"/>
          <w:tblLook w:val="04A0"/>
        </w:tblPrEx>
        <w:trPr>
          <w:trHeight w:val="315"/>
        </w:trPr>
        <w:tc>
          <w:tcPr>
            <w:tcW w:w="3691" w:type="dxa"/>
            <w:shd w:val="clear" w:color="auto" w:fill="F0F8F9"/>
            <w:noWrap/>
            <w:hideMark/>
          </w:tcPr>
          <w:p w:rsidR="00C149B0" w:rsidRPr="00A14D0B" w:rsidP="00A14D0B" w14:paraId="64F5BA36" w14:textId="77777777">
            <w:pPr>
              <w:pStyle w:val="73R"/>
              <w:rPr>
                <w:rtl/>
              </w:rPr>
            </w:pPr>
            <w:r w:rsidRPr="00A14D0B">
              <w:rPr>
                <w:rFonts w:hint="cs"/>
                <w:rtl/>
              </w:rPr>
              <w:t>פרויקטים מעורבים</w:t>
            </w:r>
            <w:r w:rsidRPr="009C31CB">
              <w:rPr>
                <w:rFonts w:hint="cs"/>
                <w:vertAlign w:val="superscript"/>
                <w:rtl/>
              </w:rPr>
              <w:t>(1)</w:t>
            </w:r>
            <w:r w:rsidRPr="00A14D0B">
              <w:rPr>
                <w:rFonts w:hint="cs"/>
                <w:rtl/>
              </w:rPr>
              <w:t xml:space="preserve">/ </w:t>
            </w:r>
            <w:r w:rsidRPr="00A14D0B">
              <w:rPr>
                <w:rFonts w:hint="cs"/>
                <w:rtl/>
              </w:rPr>
              <w:t>פרויקטי</w:t>
            </w:r>
            <w:r w:rsidRPr="00A14D0B">
              <w:rPr>
                <w:rFonts w:hint="cs"/>
                <w:rtl/>
              </w:rPr>
              <w:t xml:space="preserve"> פיתוח </w:t>
            </w:r>
          </w:p>
        </w:tc>
        <w:tc>
          <w:tcPr>
            <w:tcW w:w="734" w:type="dxa"/>
            <w:shd w:val="clear" w:color="auto" w:fill="F0F8F9"/>
            <w:noWrap/>
            <w:hideMark/>
          </w:tcPr>
          <w:p w:rsidR="00C149B0" w:rsidRPr="00A14D0B" w:rsidP="00A14D0B" w14:paraId="41F5979D" w14:textId="77777777">
            <w:pPr>
              <w:pStyle w:val="73R"/>
              <w:rPr>
                <w:rtl/>
              </w:rPr>
            </w:pPr>
            <w:r w:rsidRPr="00A14D0B">
              <w:t>10.1%</w:t>
            </w:r>
          </w:p>
        </w:tc>
        <w:tc>
          <w:tcPr>
            <w:tcW w:w="735" w:type="dxa"/>
            <w:shd w:val="clear" w:color="auto" w:fill="F0F8F9"/>
            <w:noWrap/>
            <w:hideMark/>
          </w:tcPr>
          <w:p w:rsidR="00C149B0" w:rsidRPr="00A14D0B" w:rsidP="00A14D0B" w14:paraId="05C62E64" w14:textId="77777777">
            <w:pPr>
              <w:pStyle w:val="73R"/>
              <w:rPr>
                <w:rtl/>
              </w:rPr>
            </w:pPr>
            <w:r w:rsidRPr="00A14D0B">
              <w:t>11.5%</w:t>
            </w:r>
          </w:p>
        </w:tc>
        <w:tc>
          <w:tcPr>
            <w:tcW w:w="735" w:type="dxa"/>
            <w:shd w:val="clear" w:color="auto" w:fill="F0F8F9"/>
            <w:noWrap/>
            <w:hideMark/>
          </w:tcPr>
          <w:p w:rsidR="00C149B0" w:rsidRPr="00A14D0B" w:rsidP="00A14D0B" w14:paraId="1EEE6954" w14:textId="77777777">
            <w:pPr>
              <w:pStyle w:val="73R"/>
              <w:rPr>
                <w:rtl/>
              </w:rPr>
            </w:pPr>
            <w:r w:rsidRPr="00A14D0B">
              <w:t>11.3%</w:t>
            </w:r>
          </w:p>
        </w:tc>
        <w:tc>
          <w:tcPr>
            <w:tcW w:w="735" w:type="dxa"/>
            <w:shd w:val="clear" w:color="auto" w:fill="F0F8F9"/>
            <w:noWrap/>
            <w:hideMark/>
          </w:tcPr>
          <w:p w:rsidR="00C149B0" w:rsidRPr="00A14D0B" w:rsidP="00A14D0B" w14:paraId="3B4B7B6E" w14:textId="77777777">
            <w:pPr>
              <w:pStyle w:val="73R"/>
              <w:rPr>
                <w:rtl/>
              </w:rPr>
            </w:pPr>
            <w:r w:rsidRPr="00A14D0B">
              <w:t>9.0%</w:t>
            </w:r>
          </w:p>
        </w:tc>
        <w:tc>
          <w:tcPr>
            <w:tcW w:w="735" w:type="dxa"/>
            <w:shd w:val="clear" w:color="auto" w:fill="F0F8F9"/>
            <w:noWrap/>
            <w:hideMark/>
          </w:tcPr>
          <w:p w:rsidR="00C149B0" w:rsidRPr="00A14D0B" w:rsidP="00A14D0B" w14:paraId="59CB027A" w14:textId="77777777">
            <w:pPr>
              <w:pStyle w:val="73R"/>
              <w:rPr>
                <w:rtl/>
              </w:rPr>
            </w:pPr>
            <w:r w:rsidRPr="00A14D0B">
              <w:t>7.9%</w:t>
            </w:r>
          </w:p>
        </w:tc>
      </w:tr>
      <w:tr w14:paraId="446BC4FD" w14:textId="77777777" w:rsidTr="00A14D0B">
        <w:tblPrEx>
          <w:tblW w:w="7365" w:type="dxa"/>
          <w:tblInd w:w="-5" w:type="dxa"/>
          <w:tblLook w:val="04A0"/>
        </w:tblPrEx>
        <w:trPr>
          <w:trHeight w:val="315"/>
        </w:trPr>
        <w:tc>
          <w:tcPr>
            <w:tcW w:w="3691" w:type="dxa"/>
            <w:shd w:val="clear" w:color="auto" w:fill="DFECEF"/>
            <w:noWrap/>
            <w:hideMark/>
          </w:tcPr>
          <w:p w:rsidR="00C149B0" w:rsidRPr="00A14D0B" w:rsidP="00A14D0B" w14:paraId="7432D838" w14:textId="77777777">
            <w:pPr>
              <w:pStyle w:val="73R"/>
              <w:rPr>
                <w:rtl/>
              </w:rPr>
            </w:pPr>
            <w:r w:rsidRPr="00A14D0B">
              <w:rPr>
                <w:rFonts w:hint="cs"/>
                <w:rtl/>
              </w:rPr>
              <w:t>הזמנות מחו"ל</w:t>
            </w:r>
          </w:p>
        </w:tc>
        <w:tc>
          <w:tcPr>
            <w:tcW w:w="734" w:type="dxa"/>
            <w:shd w:val="clear" w:color="auto" w:fill="DFECEF"/>
            <w:noWrap/>
            <w:hideMark/>
          </w:tcPr>
          <w:p w:rsidR="00C149B0" w:rsidRPr="00A14D0B" w:rsidP="00A14D0B" w14:paraId="5D9DC551" w14:textId="77777777">
            <w:pPr>
              <w:pStyle w:val="73R"/>
              <w:rPr>
                <w:rtl/>
              </w:rPr>
            </w:pPr>
            <w:r w:rsidRPr="00A14D0B">
              <w:t>10.6%</w:t>
            </w:r>
          </w:p>
        </w:tc>
        <w:tc>
          <w:tcPr>
            <w:tcW w:w="735" w:type="dxa"/>
            <w:shd w:val="clear" w:color="auto" w:fill="DFECEF"/>
            <w:noWrap/>
            <w:hideMark/>
          </w:tcPr>
          <w:p w:rsidR="00C149B0" w:rsidRPr="00A14D0B" w:rsidP="00A14D0B" w14:paraId="08A7A0B3" w14:textId="77777777">
            <w:pPr>
              <w:pStyle w:val="73R"/>
              <w:rPr>
                <w:rtl/>
              </w:rPr>
            </w:pPr>
            <w:r w:rsidRPr="00A14D0B">
              <w:t>12.7%</w:t>
            </w:r>
          </w:p>
        </w:tc>
        <w:tc>
          <w:tcPr>
            <w:tcW w:w="735" w:type="dxa"/>
            <w:shd w:val="clear" w:color="auto" w:fill="DFECEF"/>
            <w:noWrap/>
            <w:hideMark/>
          </w:tcPr>
          <w:p w:rsidR="00C149B0" w:rsidRPr="00A14D0B" w:rsidP="00A14D0B" w14:paraId="21CCB890" w14:textId="77777777">
            <w:pPr>
              <w:pStyle w:val="73R"/>
              <w:rPr>
                <w:rtl/>
              </w:rPr>
            </w:pPr>
            <w:r w:rsidRPr="00A14D0B">
              <w:t>14.7%</w:t>
            </w:r>
          </w:p>
        </w:tc>
        <w:tc>
          <w:tcPr>
            <w:tcW w:w="735" w:type="dxa"/>
            <w:shd w:val="clear" w:color="auto" w:fill="DFECEF"/>
            <w:noWrap/>
            <w:hideMark/>
          </w:tcPr>
          <w:p w:rsidR="00C149B0" w:rsidRPr="00A14D0B" w:rsidP="00A14D0B" w14:paraId="45D1355E" w14:textId="77777777">
            <w:pPr>
              <w:pStyle w:val="73R"/>
              <w:rPr>
                <w:rtl/>
              </w:rPr>
            </w:pPr>
            <w:r w:rsidRPr="00A14D0B">
              <w:t>15.6%</w:t>
            </w:r>
          </w:p>
        </w:tc>
        <w:tc>
          <w:tcPr>
            <w:tcW w:w="735" w:type="dxa"/>
            <w:shd w:val="clear" w:color="auto" w:fill="DFECEF"/>
            <w:noWrap/>
            <w:hideMark/>
          </w:tcPr>
          <w:p w:rsidR="00C149B0" w:rsidRPr="00A14D0B" w:rsidP="00A14D0B" w14:paraId="05F934D0" w14:textId="77777777">
            <w:pPr>
              <w:pStyle w:val="73R"/>
              <w:rPr>
                <w:rtl/>
              </w:rPr>
            </w:pPr>
            <w:r w:rsidRPr="00A14D0B">
              <w:t>12.9%</w:t>
            </w:r>
          </w:p>
        </w:tc>
      </w:tr>
      <w:tr w14:paraId="59BC7E60" w14:textId="77777777" w:rsidTr="00A14D0B">
        <w:tblPrEx>
          <w:tblW w:w="7365" w:type="dxa"/>
          <w:tblInd w:w="-5" w:type="dxa"/>
          <w:tblLook w:val="04A0"/>
        </w:tblPrEx>
        <w:trPr>
          <w:trHeight w:val="315"/>
        </w:trPr>
        <w:tc>
          <w:tcPr>
            <w:tcW w:w="3691" w:type="dxa"/>
            <w:shd w:val="clear" w:color="auto" w:fill="F0F8F9"/>
            <w:noWrap/>
            <w:hideMark/>
          </w:tcPr>
          <w:p w:rsidR="00C149B0" w:rsidRPr="00A14D0B" w:rsidP="00A14D0B" w14:paraId="7570E4F0" w14:textId="77777777">
            <w:pPr>
              <w:pStyle w:val="73R"/>
              <w:rPr>
                <w:rtl/>
              </w:rPr>
            </w:pPr>
            <w:r w:rsidRPr="00A14D0B">
              <w:rPr>
                <w:rFonts w:hint="cs"/>
                <w:rtl/>
              </w:rPr>
              <w:t>הזמנות משוק מקומי</w:t>
            </w:r>
          </w:p>
        </w:tc>
        <w:tc>
          <w:tcPr>
            <w:tcW w:w="734" w:type="dxa"/>
            <w:shd w:val="clear" w:color="auto" w:fill="F0F8F9"/>
            <w:noWrap/>
            <w:hideMark/>
          </w:tcPr>
          <w:p w:rsidR="00C149B0" w:rsidRPr="00A14D0B" w:rsidP="00A14D0B" w14:paraId="070BD2E3" w14:textId="77777777">
            <w:pPr>
              <w:pStyle w:val="73R"/>
              <w:rPr>
                <w:rtl/>
              </w:rPr>
            </w:pPr>
            <w:r w:rsidRPr="00A14D0B">
              <w:t>8.0%</w:t>
            </w:r>
          </w:p>
        </w:tc>
        <w:tc>
          <w:tcPr>
            <w:tcW w:w="735" w:type="dxa"/>
            <w:shd w:val="clear" w:color="auto" w:fill="F0F8F9"/>
            <w:noWrap/>
            <w:hideMark/>
          </w:tcPr>
          <w:p w:rsidR="00C149B0" w:rsidRPr="00A14D0B" w:rsidP="00A14D0B" w14:paraId="6BA60024" w14:textId="77777777">
            <w:pPr>
              <w:pStyle w:val="73R"/>
              <w:rPr>
                <w:rtl/>
              </w:rPr>
            </w:pPr>
            <w:r w:rsidRPr="00A14D0B">
              <w:t>8.6%</w:t>
            </w:r>
          </w:p>
        </w:tc>
        <w:tc>
          <w:tcPr>
            <w:tcW w:w="735" w:type="dxa"/>
            <w:shd w:val="clear" w:color="auto" w:fill="F0F8F9"/>
            <w:noWrap/>
            <w:hideMark/>
          </w:tcPr>
          <w:p w:rsidR="00C149B0" w:rsidRPr="00A14D0B" w:rsidP="00A14D0B" w14:paraId="5A604F53" w14:textId="77777777">
            <w:pPr>
              <w:pStyle w:val="73R"/>
              <w:rPr>
                <w:rtl/>
              </w:rPr>
            </w:pPr>
            <w:r w:rsidRPr="00A14D0B">
              <w:t>8.5%</w:t>
            </w:r>
          </w:p>
        </w:tc>
        <w:tc>
          <w:tcPr>
            <w:tcW w:w="735" w:type="dxa"/>
            <w:shd w:val="clear" w:color="auto" w:fill="F0F8F9"/>
            <w:noWrap/>
            <w:hideMark/>
          </w:tcPr>
          <w:p w:rsidR="00C149B0" w:rsidRPr="00A14D0B" w:rsidP="00A14D0B" w14:paraId="3BD012DF" w14:textId="77777777">
            <w:pPr>
              <w:pStyle w:val="73R"/>
              <w:rPr>
                <w:rtl/>
              </w:rPr>
            </w:pPr>
            <w:r w:rsidRPr="00A14D0B">
              <w:t>6.8%</w:t>
            </w:r>
          </w:p>
        </w:tc>
        <w:tc>
          <w:tcPr>
            <w:tcW w:w="735" w:type="dxa"/>
            <w:shd w:val="clear" w:color="auto" w:fill="F0F8F9"/>
            <w:noWrap/>
            <w:hideMark/>
          </w:tcPr>
          <w:p w:rsidR="00C149B0" w:rsidRPr="00A14D0B" w:rsidP="00A14D0B" w14:paraId="3870C82F" w14:textId="77777777">
            <w:pPr>
              <w:pStyle w:val="73R"/>
              <w:rPr>
                <w:rtl/>
              </w:rPr>
            </w:pPr>
            <w:r w:rsidRPr="00A14D0B">
              <w:t>8.6%</w:t>
            </w:r>
          </w:p>
        </w:tc>
      </w:tr>
    </w:tbl>
    <w:p w:rsidR="00C149B0" w:rsidRPr="00A14D0B" w:rsidP="00A14D0B" w14:paraId="2F4917C5" w14:textId="77777777">
      <w:pPr>
        <w:pStyle w:val="738"/>
        <w:spacing w:after="0"/>
        <w:rPr>
          <w:rtl/>
        </w:rPr>
      </w:pPr>
      <w:r w:rsidRPr="00A14D0B">
        <w:rPr>
          <w:rFonts w:hint="cs"/>
          <w:rtl/>
        </w:rPr>
        <w:t>לפי מסמכי רפאל, בעיבוד משרד מבקר המדינה.</w:t>
      </w:r>
    </w:p>
    <w:p w:rsidR="00C149B0" w:rsidRPr="00A14D0B" w:rsidP="00A14D0B" w14:paraId="2221B3D0" w14:textId="77777777">
      <w:pPr>
        <w:pStyle w:val="738"/>
        <w:spacing w:before="0"/>
        <w:rPr>
          <w:rtl/>
        </w:rPr>
      </w:pPr>
      <w:r w:rsidRPr="00A14D0B">
        <w:rPr>
          <w:rFonts w:hint="cs"/>
          <w:rtl/>
        </w:rPr>
        <w:t xml:space="preserve">(1) </w:t>
      </w:r>
      <w:r w:rsidRPr="00A14D0B">
        <w:rPr>
          <w:rtl/>
        </w:rPr>
        <w:t>פרויקטים הכוללים פיתוח וייצור.</w:t>
      </w:r>
    </w:p>
    <w:p w:rsidR="00C149B0" w:rsidRPr="00A14D0B" w:rsidP="00A14D0B" w14:paraId="3C524A27" w14:textId="77777777">
      <w:pPr>
        <w:pStyle w:val="7318"/>
        <w:rPr>
          <w:rFonts w:eastAsiaTheme="majorEastAsia"/>
          <w:rtl/>
        </w:rPr>
      </w:pPr>
      <w:r w:rsidRPr="00A14D0B">
        <w:rPr>
          <w:rFonts w:eastAsiaTheme="majorEastAsia" w:hint="cs"/>
          <w:rtl/>
        </w:rPr>
        <w:t xml:space="preserve">מהלוח עולה כי בשנים 2018 עד 2021 הייתה מגמה של ירידה בשיעור הרווחיות </w:t>
      </w:r>
      <w:r w:rsidRPr="00A14D0B">
        <w:rPr>
          <w:rFonts w:eastAsiaTheme="majorEastAsia" w:hint="cs"/>
          <w:rtl/>
        </w:rPr>
        <w:t>הפרויקטלי</w:t>
      </w:r>
      <w:r w:rsidRPr="00A14D0B">
        <w:rPr>
          <w:rFonts w:eastAsiaTheme="majorEastAsia" w:hint="eastAsia"/>
          <w:rtl/>
        </w:rPr>
        <w:t>ת</w:t>
      </w:r>
      <w:r w:rsidRPr="00A14D0B">
        <w:rPr>
          <w:rFonts w:eastAsiaTheme="majorEastAsia" w:hint="cs"/>
          <w:rtl/>
        </w:rPr>
        <w:t xml:space="preserve"> הגלומה בצבר ההזמנות בפרויקטים מעורבים </w:t>
      </w:r>
      <w:r w:rsidRPr="00A14D0B">
        <w:rPr>
          <w:rFonts w:eastAsiaTheme="majorEastAsia" w:hint="cs"/>
          <w:rtl/>
        </w:rPr>
        <w:t>ובפרויקטי</w:t>
      </w:r>
      <w:r w:rsidRPr="00A14D0B">
        <w:rPr>
          <w:rFonts w:eastAsiaTheme="majorEastAsia" w:hint="cs"/>
          <w:rtl/>
        </w:rPr>
        <w:t xml:space="preserve"> פיתוח עיקריים (ירידה מצטברת של 3.6%), זאת לעומת עלייה של 4% בשיעור הרווחיות של פרויקטים מבוססי ייצור. עוד עולה כי בשנת 2020 חל קיטון בשיעור הרווחיות </w:t>
      </w:r>
      <w:r w:rsidRPr="00A14D0B">
        <w:rPr>
          <w:rFonts w:eastAsiaTheme="majorEastAsia" w:hint="cs"/>
          <w:rtl/>
        </w:rPr>
        <w:t>הפרויקטלית</w:t>
      </w:r>
      <w:r w:rsidRPr="00A14D0B">
        <w:rPr>
          <w:rFonts w:eastAsiaTheme="majorEastAsia" w:hint="cs"/>
          <w:rtl/>
        </w:rPr>
        <w:t xml:space="preserve"> הגלומה בצבר ההזמנות המיועד לשוק בישראל ביחס לשנים 2017 - 2019; ובשנת 2021 חלה ירידה בשיעור הרווחיות </w:t>
      </w:r>
      <w:r w:rsidRPr="00A14D0B">
        <w:rPr>
          <w:rFonts w:eastAsiaTheme="majorEastAsia" w:hint="cs"/>
          <w:rtl/>
        </w:rPr>
        <w:t>הפרויקטלית</w:t>
      </w:r>
      <w:r w:rsidRPr="00A14D0B">
        <w:rPr>
          <w:rFonts w:eastAsiaTheme="majorEastAsia" w:hint="cs"/>
          <w:rtl/>
        </w:rPr>
        <w:t xml:space="preserve"> הגלומה בהזמנות מחו"ל. </w:t>
      </w:r>
    </w:p>
    <w:p w:rsidR="00C149B0" w:rsidRPr="00A14D0B" w:rsidP="00A14D0B" w14:paraId="3BF38DCA" w14:textId="77777777">
      <w:pPr>
        <w:pStyle w:val="7318"/>
        <w:rPr>
          <w:rFonts w:eastAsiaTheme="majorEastAsia"/>
          <w:rtl/>
        </w:rPr>
      </w:pPr>
      <w:r w:rsidRPr="00A14D0B">
        <w:rPr>
          <w:rFonts w:eastAsiaTheme="majorEastAsia" w:hint="cs"/>
          <w:rtl/>
        </w:rPr>
        <w:t xml:space="preserve">הירידה ברווחיות צבר ההזמנות של רפאל בפרויקטים מעורבים </w:t>
      </w:r>
      <w:r w:rsidRPr="00A14D0B">
        <w:rPr>
          <w:rFonts w:eastAsiaTheme="majorEastAsia" w:hint="cs"/>
          <w:rtl/>
        </w:rPr>
        <w:t>ובפרויקטי</w:t>
      </w:r>
      <w:r w:rsidRPr="00A14D0B">
        <w:rPr>
          <w:rFonts w:eastAsiaTheme="majorEastAsia" w:hint="cs"/>
          <w:rtl/>
        </w:rPr>
        <w:t xml:space="preserve"> פיתוח וכן בהזמנות מחו"ל, כפי שעולה מנתוני רפאל שלעיל, עשויה להביא לירידה ברווחיות החברה בשנים הבאות. אשר על כן מומלץ כי הנהלת רפאל תבחן מגמות אלה ותשקול את הצורך בקידום צעדים שיבלמו את הפגיעה ברווחיותה. </w:t>
      </w:r>
    </w:p>
    <w:p w:rsidR="00C149B0" w:rsidRPr="00B431F9" w:rsidP="00B431F9" w14:paraId="09936424" w14:textId="77777777">
      <w:pPr>
        <w:pStyle w:val="73414"/>
        <w:rPr>
          <w:rtl/>
        </w:rPr>
      </w:pPr>
      <w:r w:rsidRPr="00B431F9">
        <w:rPr>
          <w:rFonts w:hint="cs"/>
          <w:rtl/>
        </w:rPr>
        <w:t>השינוי ברווחיות רב-שנתית בפרויקטים עיקריים</w:t>
      </w:r>
    </w:p>
    <w:p w:rsidR="00C149B0" w:rsidRPr="00A14D0B" w:rsidP="00A14D0B" w14:paraId="76755FD0" w14:textId="77777777">
      <w:pPr>
        <w:pStyle w:val="7392"/>
        <w:rPr>
          <w:rtl/>
        </w:rPr>
      </w:pPr>
      <w:r w:rsidRPr="00A14D0B">
        <w:rPr>
          <w:rFonts w:hint="cs"/>
          <w:rtl/>
        </w:rPr>
        <w:t xml:space="preserve">ההיקף המצטבר של ההזמנות ל-31.12.21, הנוגע ל-163 פרויקטים עיקריים שהיו לרפאל במועד זה, הסתכם בכ-51 מיליארד ש"ח. </w:t>
      </w:r>
      <w:r w:rsidRPr="00A14D0B">
        <w:rPr>
          <w:rFonts w:hint="eastAsia"/>
          <w:rtl/>
        </w:rPr>
        <w:t>מסכום</w:t>
      </w:r>
      <w:r w:rsidRPr="00A14D0B">
        <w:rPr>
          <w:rtl/>
        </w:rPr>
        <w:t xml:space="preserve"> </w:t>
      </w:r>
      <w:r w:rsidRPr="00A14D0B">
        <w:rPr>
          <w:rFonts w:hint="eastAsia"/>
          <w:rtl/>
        </w:rPr>
        <w:t>זה</w:t>
      </w:r>
      <w:r w:rsidRPr="00A14D0B">
        <w:rPr>
          <w:rFonts w:hint="cs"/>
          <w:rtl/>
        </w:rPr>
        <w:t xml:space="preserve"> הוכר כהכנסות ממכירות בדוחות הסולו של רפאל סך של כ-28 מיליארד ש"ח; ויתרת ההזמנות של פרויקטים אלה שנכללה בצבר ל-31.12.21 הייתה כ-23 מיליארד ש"ח, זאת מתוך צבר הזמנות כולל של רפאל (סולו) בסך של כ-27.4 מיליארד ש"ח. להלן יוצגו סך ההזמנות לפרויקטים אלה וכן ניתוח של הרווחיות </w:t>
      </w:r>
      <w:r w:rsidRPr="00A14D0B">
        <w:rPr>
          <w:rFonts w:hint="cs"/>
          <w:rtl/>
        </w:rPr>
        <w:t>הפרויקטלית</w:t>
      </w:r>
      <w:r w:rsidRPr="00A14D0B">
        <w:rPr>
          <w:rFonts w:hint="cs"/>
          <w:rtl/>
        </w:rPr>
        <w:t xml:space="preserve"> שלהם, בפילוח לפי סוג הפרויקט (</w:t>
      </w:r>
      <w:r w:rsidRPr="00A14D0B">
        <w:rPr>
          <w:rFonts w:hint="cs"/>
          <w:rtl/>
        </w:rPr>
        <w:t>פרויקטי</w:t>
      </w:r>
      <w:r w:rsidRPr="00A14D0B">
        <w:rPr>
          <w:rFonts w:hint="cs"/>
          <w:rtl/>
        </w:rPr>
        <w:t xml:space="preserve"> ייצור, </w:t>
      </w:r>
      <w:r w:rsidRPr="00A14D0B">
        <w:rPr>
          <w:rFonts w:hint="cs"/>
          <w:rtl/>
        </w:rPr>
        <w:t>פרויקטי</w:t>
      </w:r>
      <w:r w:rsidRPr="00A14D0B">
        <w:rPr>
          <w:rFonts w:hint="cs"/>
          <w:rtl/>
        </w:rPr>
        <w:t xml:space="preserve"> פיתוח ופרויקטים מעורבים), ולפי שוק היעד (השוק המקומי וחו"ל):</w:t>
      </w:r>
    </w:p>
    <w:p w:rsidR="00C149B0" w:rsidRPr="00A14D0B" w:rsidP="00A14D0B" w14:paraId="125B4CF5" w14:textId="13F46179">
      <w:pPr>
        <w:pStyle w:val="734"/>
        <w:rPr>
          <w:rtl/>
        </w:rPr>
      </w:pPr>
      <w:r w:rsidRPr="00A14D0B">
        <w:rPr>
          <w:rFonts w:hint="eastAsia"/>
          <w:b w:val="0"/>
          <w:bCs w:val="0"/>
          <w:rtl/>
        </w:rPr>
        <w:t>תרשים</w:t>
      </w:r>
      <w:r w:rsidRPr="00A14D0B">
        <w:rPr>
          <w:b w:val="0"/>
          <w:bCs w:val="0"/>
          <w:rtl/>
        </w:rPr>
        <w:t xml:space="preserve"> </w:t>
      </w:r>
      <w:r w:rsidRPr="00A14D0B">
        <w:rPr>
          <w:rFonts w:hint="cs"/>
          <w:b w:val="0"/>
          <w:bCs w:val="0"/>
          <w:rtl/>
        </w:rPr>
        <w:t>20</w:t>
      </w:r>
      <w:r w:rsidRPr="00A14D0B">
        <w:rPr>
          <w:b w:val="0"/>
          <w:bCs w:val="0"/>
          <w:rtl/>
        </w:rPr>
        <w:t>:</w:t>
      </w:r>
      <w:r w:rsidRPr="00A14D0B">
        <w:rPr>
          <w:rFonts w:hint="cs"/>
          <w:rtl/>
        </w:rPr>
        <w:t xml:space="preserve"> התפלגות סכום ההזמנות לפרויקטים העיקריים</w:t>
      </w:r>
      <w:r>
        <w:rPr>
          <w:rStyle w:val="FootnoteReference0"/>
          <w:rtl/>
        </w:rPr>
        <w:footnoteReference w:id="39"/>
      </w:r>
      <w:r w:rsidRPr="00A14D0B">
        <w:rPr>
          <w:rFonts w:hint="cs"/>
          <w:rtl/>
        </w:rPr>
        <w:t xml:space="preserve"> ומספרם </w:t>
      </w:r>
      <w:r w:rsidR="009C31CB">
        <w:rPr>
          <w:rtl/>
        </w:rPr>
        <w:br/>
      </w:r>
      <w:r w:rsidRPr="00A14D0B">
        <w:rPr>
          <w:rFonts w:hint="cs"/>
          <w:rtl/>
        </w:rPr>
        <w:t>ל-31.12.21, בפילוח לפי שוק היעד וסוג הפרויקט (במיליוני ש"ח)</w:t>
      </w:r>
    </w:p>
    <w:p w:rsidR="00C149B0" w:rsidRPr="00D94367" w:rsidP="00C149B0" w14:paraId="53A407E7" w14:textId="77777777">
      <w:pPr>
        <w:spacing w:line="269" w:lineRule="auto"/>
        <w:jc w:val="center"/>
        <w:rPr>
          <w:b/>
          <w:bCs/>
          <w:rtl/>
        </w:rPr>
      </w:pPr>
      <w:r>
        <w:rPr>
          <w:noProof/>
        </w:rPr>
        <w:drawing>
          <wp:inline distT="0" distB="0" distL="0" distR="0">
            <wp:extent cx="3724164" cy="3737141"/>
            <wp:effectExtent l="0" t="0" r="0" b="0"/>
            <wp:docPr id="1451066641" name="תמונה 1451066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1" name="תמונה 1451066641"/>
                    <pic:cNvPicPr>
                      <a:picLocks noChangeAspect="1" noChangeArrowheads="1"/>
                    </pic:cNvPicPr>
                  </pic:nvPicPr>
                  <pic:blipFill>
                    <a:blip xmlns:r="http://schemas.openxmlformats.org/officeDocument/2006/relationships" r:embed="rId48">
                      <a:extLst>
                        <a:ext xmlns:a="http://schemas.openxmlformats.org/drawingml/2006/main" uri="{28A0092B-C50C-407E-A947-70E740481C1C}">
                          <a14:useLocalDpi xmlns:a14="http://schemas.microsoft.com/office/drawing/2010/main" val="0"/>
                        </a:ext>
                      </a:extLst>
                    </a:blip>
                    <a:stretch>
                      <a:fillRect/>
                    </a:stretch>
                  </pic:blipFill>
                  <pic:spPr bwMode="auto">
                    <a:xfrm>
                      <a:off x="0" y="0"/>
                      <a:ext cx="3734061" cy="3747073"/>
                    </a:xfrm>
                    <a:prstGeom prst="rect">
                      <a:avLst/>
                    </a:prstGeom>
                    <a:noFill/>
                  </pic:spPr>
                </pic:pic>
              </a:graphicData>
            </a:graphic>
          </wp:inline>
        </w:drawing>
      </w:r>
    </w:p>
    <w:p w:rsidR="00C149B0" w:rsidRPr="00A14D0B" w:rsidP="00A14D0B" w14:paraId="56D00BE6" w14:textId="77777777">
      <w:pPr>
        <w:pStyle w:val="738"/>
        <w:rPr>
          <w:rtl/>
        </w:rPr>
      </w:pPr>
      <w:r w:rsidRPr="00A14D0B">
        <w:rPr>
          <w:rtl/>
        </w:rPr>
        <w:t>לפי נתוני רפאל, בעיבוד משרד מבקר המדינה</w:t>
      </w:r>
      <w:r w:rsidRPr="00A14D0B">
        <w:rPr>
          <w:rFonts w:hint="cs"/>
          <w:rtl/>
        </w:rPr>
        <w:t>.</w:t>
      </w:r>
      <w:r w:rsidRPr="00A14D0B">
        <w:rPr>
          <w:rtl/>
        </w:rPr>
        <w:t xml:space="preserve"> </w:t>
      </w:r>
    </w:p>
    <w:p w:rsidR="00C149B0" w:rsidRPr="00A14D0B" w:rsidP="00A14D0B" w14:paraId="777C67DA" w14:textId="4E6CF576">
      <w:pPr>
        <w:pStyle w:val="7318"/>
        <w:rPr>
          <w:rtl/>
        </w:rPr>
      </w:pPr>
      <w:r w:rsidRPr="00A14D0B">
        <w:rPr>
          <w:rFonts w:hint="cs"/>
          <w:rtl/>
        </w:rPr>
        <w:t xml:space="preserve">מהתרשים עולה כי כ-64% ממספר ההזמנות לפרויקטים עיקריים וכ-50% מסכום ההזמנות הכולל לפרויקטים עיקריים ל-31.12.21 התקבלו </w:t>
      </w:r>
      <w:r w:rsidRPr="00A14D0B">
        <w:rPr>
          <w:rFonts w:hint="cs"/>
          <w:rtl/>
        </w:rPr>
        <w:t>לפרויקטי</w:t>
      </w:r>
      <w:r w:rsidRPr="00A14D0B">
        <w:rPr>
          <w:rFonts w:hint="cs"/>
          <w:rtl/>
        </w:rPr>
        <w:t xml:space="preserve"> ייצוא; כי כ-56% מסכום ההזמנות לפרויקטים עיקריים הם בגין </w:t>
      </w:r>
      <w:r w:rsidRPr="00A14D0B">
        <w:rPr>
          <w:rFonts w:hint="cs"/>
          <w:rtl/>
        </w:rPr>
        <w:t>פרויקטי</w:t>
      </w:r>
      <w:r w:rsidRPr="00A14D0B">
        <w:rPr>
          <w:rFonts w:hint="cs"/>
          <w:rtl/>
        </w:rPr>
        <w:t xml:space="preserve"> ייצור (כ-57% מהם לשוק המקומי), </w:t>
      </w:r>
      <w:r w:rsidR="009C31CB">
        <w:rPr>
          <w:rtl/>
        </w:rPr>
        <w:br/>
      </w:r>
      <w:r w:rsidRPr="00A14D0B">
        <w:rPr>
          <w:rFonts w:hint="cs"/>
          <w:rtl/>
        </w:rPr>
        <w:t xml:space="preserve">כ-31.5% בגין פרויקטים מעורבים (כ-29% מהם לשוק המקומי) ו-12.5% בגין </w:t>
      </w:r>
      <w:r w:rsidRPr="00A14D0B">
        <w:rPr>
          <w:rFonts w:hint="cs"/>
          <w:rtl/>
        </w:rPr>
        <w:t>פרויקטי</w:t>
      </w:r>
      <w:r w:rsidRPr="00A14D0B">
        <w:rPr>
          <w:rFonts w:hint="cs"/>
          <w:rtl/>
        </w:rPr>
        <w:t xml:space="preserve"> פיתוח (כ-70% מהם לשוק המקומי). עוד עולה כי בגין 24 </w:t>
      </w:r>
      <w:r w:rsidRPr="00A14D0B">
        <w:rPr>
          <w:rFonts w:hint="cs"/>
          <w:rtl/>
        </w:rPr>
        <w:t>פרויקטי</w:t>
      </w:r>
      <w:r w:rsidRPr="00A14D0B">
        <w:rPr>
          <w:rFonts w:hint="cs"/>
          <w:rtl/>
        </w:rPr>
        <w:t xml:space="preserve"> ייצור לשוק המקומי </w:t>
      </w:r>
      <w:r w:rsidR="009C31CB">
        <w:rPr>
          <w:rtl/>
        </w:rPr>
        <w:br/>
      </w:r>
      <w:r w:rsidRPr="00A14D0B">
        <w:rPr>
          <w:rFonts w:hint="cs"/>
          <w:rtl/>
        </w:rPr>
        <w:t xml:space="preserve">(כ-15% ממספר הפרויקטים העיקריים) קיבלה רפאל הזמנות בסך של כ-16 מיליארד ש"ח (כ32% מסכום ההזמנות הכולל לפרויקטים העיקריים); וכי בגין 27 פרויקטים מעורבים לייצוא (כ-17% ממספר הפרויקטים העיקריים) קיבלה רפאל הזמנות בסך של כ-11.5 מיליארד ש"ח (כ-22% מסכום ההזמנות הכולל לפרויקטים העיקריים). </w:t>
      </w:r>
    </w:p>
    <w:p w:rsidR="00C149B0" w:rsidP="00A14D0B" w14:paraId="7AA91220" w14:textId="77777777">
      <w:pPr>
        <w:pStyle w:val="7392"/>
        <w:rPr>
          <w:rtl/>
        </w:rPr>
      </w:pPr>
      <w:r w:rsidRPr="007872E2">
        <w:rPr>
          <w:rFonts w:hint="cs"/>
          <w:rtl/>
        </w:rPr>
        <w:t>במסמכי רפאל נערכה</w:t>
      </w:r>
      <w:r w:rsidRPr="007872E2">
        <w:rPr>
          <w:rtl/>
        </w:rPr>
        <w:t xml:space="preserve"> </w:t>
      </w:r>
      <w:r w:rsidRPr="00D94367">
        <w:rPr>
          <w:rFonts w:hint="cs"/>
          <w:rtl/>
        </w:rPr>
        <w:t xml:space="preserve">השוואה בין שיעורי הרווח </w:t>
      </w:r>
      <w:r w:rsidRPr="00D94367">
        <w:rPr>
          <w:rFonts w:hint="cs"/>
          <w:rtl/>
        </w:rPr>
        <w:t>הפרויקטלי</w:t>
      </w:r>
      <w:r w:rsidRPr="00D94367">
        <w:rPr>
          <w:rFonts w:hint="cs"/>
          <w:rtl/>
        </w:rPr>
        <w:t xml:space="preserve"> והרווח התפעולי</w:t>
      </w:r>
      <w:r>
        <w:rPr>
          <w:rStyle w:val="FootnoteReference0"/>
          <w:rFonts w:eastAsiaTheme="majorEastAsia"/>
          <w:b/>
          <w:sz w:val="24"/>
          <w:rtl/>
        </w:rPr>
        <w:footnoteReference w:id="40"/>
      </w:r>
      <w:r w:rsidRPr="00D94367">
        <w:rPr>
          <w:rFonts w:hint="cs"/>
          <w:rtl/>
        </w:rPr>
        <w:t xml:space="preserve"> כפי שנחזו על ידי רפאל במועדי החתימה על ההזמנות של הפרויקטים העיקריים לבין שיעורי הרווח כפי שנחזו על ידי רפאל ב</w:t>
      </w:r>
      <w:r>
        <w:rPr>
          <w:rFonts w:hint="cs"/>
          <w:rtl/>
        </w:rPr>
        <w:t>-</w:t>
      </w:r>
      <w:r w:rsidRPr="00D94367">
        <w:rPr>
          <w:rFonts w:hint="cs"/>
          <w:rtl/>
        </w:rPr>
        <w:t>31.12.21</w:t>
      </w:r>
      <w:r>
        <w:rPr>
          <w:rFonts w:hint="cs"/>
          <w:rtl/>
        </w:rPr>
        <w:t>.</w:t>
      </w:r>
    </w:p>
    <w:p w:rsidR="00C149B0" w:rsidRPr="00A14D0B" w:rsidP="00A14D0B" w14:paraId="43294040" w14:textId="77777777">
      <w:pPr>
        <w:pStyle w:val="7318"/>
        <w:rPr>
          <w:rFonts w:eastAsia="Calibri"/>
          <w:rtl/>
        </w:rPr>
      </w:pPr>
      <w:r w:rsidRPr="00A14D0B">
        <w:rPr>
          <w:rFonts w:eastAsia="Calibri" w:hint="cs"/>
          <w:rtl/>
        </w:rPr>
        <w:t xml:space="preserve">מהמסמכים עולה כי תחזית שיעורי הרווחיות </w:t>
      </w:r>
      <w:r w:rsidRPr="00A14D0B">
        <w:rPr>
          <w:rFonts w:eastAsia="Calibri" w:hint="cs"/>
          <w:rtl/>
        </w:rPr>
        <w:t>הפרויקטלית</w:t>
      </w:r>
      <w:r w:rsidRPr="00A14D0B">
        <w:rPr>
          <w:rFonts w:eastAsia="Calibri" w:hint="cs"/>
          <w:rtl/>
        </w:rPr>
        <w:t xml:space="preserve"> והרווחיות התפעולית הממוצעים ל-31.12.21 בפרויקטים מעורבים (הן אלה המיועדים לשוק המקומי והן אלה המיועדים לייצוא) </w:t>
      </w:r>
      <w:r w:rsidRPr="00A14D0B">
        <w:rPr>
          <w:rFonts w:eastAsia="Calibri" w:hint="cs"/>
          <w:rtl/>
        </w:rPr>
        <w:t>ובפרויקטי</w:t>
      </w:r>
      <w:r w:rsidRPr="00A14D0B">
        <w:rPr>
          <w:rFonts w:eastAsia="Calibri" w:hint="cs"/>
          <w:rtl/>
        </w:rPr>
        <w:t xml:space="preserve"> פיתוח המיועדים לייצוא נמוכה מתחזית שיעורי הרווחיות בפרויקטים אלה במועדי ההזמנות.</w:t>
      </w:r>
    </w:p>
    <w:p w:rsidR="00C149B0" w:rsidRPr="002F11F4" w:rsidP="00A14D0B" w14:paraId="20929D03" w14:textId="77777777">
      <w:pPr>
        <w:pStyle w:val="7392"/>
        <w:rPr>
          <w:rtl/>
        </w:rPr>
      </w:pPr>
      <w:r w:rsidRPr="002F11F4">
        <w:rPr>
          <w:rFonts w:hint="cs"/>
          <w:rtl/>
        </w:rPr>
        <w:t xml:space="preserve">בתגובתה של רפאל על ממצאי הביקורת היא ציינה כי </w:t>
      </w:r>
      <w:r w:rsidRPr="002F11F4">
        <w:rPr>
          <w:rtl/>
        </w:rPr>
        <w:t>בנוהל הרשאות החתימה של החברה נקבעו מדרגי אישור להצעות מחיר והזמנות, הכוללים סמכויות אישור להצעות ברווחיות נמוכה או בהפסד</w:t>
      </w:r>
      <w:r w:rsidRPr="002F11F4">
        <w:rPr>
          <w:rFonts w:hint="cs"/>
          <w:rtl/>
        </w:rPr>
        <w:t>;</w:t>
      </w:r>
      <w:r w:rsidRPr="002F11F4">
        <w:rPr>
          <w:rtl/>
        </w:rPr>
        <w:t xml:space="preserve"> </w:t>
      </w:r>
      <w:r w:rsidRPr="002F11F4">
        <w:rPr>
          <w:rFonts w:hint="cs"/>
          <w:rtl/>
        </w:rPr>
        <w:t xml:space="preserve">וכי </w:t>
      </w:r>
      <w:r w:rsidRPr="002F11F4">
        <w:rPr>
          <w:rtl/>
        </w:rPr>
        <w:t xml:space="preserve">הנהלת רפאל בוחנת הנחיות אלו באופן תדיר ומעדכנת </w:t>
      </w:r>
      <w:r>
        <w:rPr>
          <w:rFonts w:hint="cs"/>
          <w:rtl/>
        </w:rPr>
        <w:t xml:space="preserve">אותן </w:t>
      </w:r>
      <w:r w:rsidRPr="002F11F4">
        <w:rPr>
          <w:rtl/>
        </w:rPr>
        <w:t>בהתאם לצורך</w:t>
      </w:r>
      <w:r w:rsidRPr="002F11F4">
        <w:rPr>
          <w:rFonts w:hint="cs"/>
          <w:rtl/>
        </w:rPr>
        <w:t>,</w:t>
      </w:r>
      <w:r w:rsidRPr="002F11F4">
        <w:rPr>
          <w:rtl/>
        </w:rPr>
        <w:t xml:space="preserve"> באישור דירקטוריון החברה.</w:t>
      </w:r>
    </w:p>
    <w:p w:rsidR="00C149B0" w:rsidRPr="00A14D0B" w:rsidP="00A14D0B" w14:paraId="339E33B0" w14:textId="77777777">
      <w:pPr>
        <w:pStyle w:val="7318"/>
        <w:rPr>
          <w:rtl/>
        </w:rPr>
      </w:pPr>
      <w:r w:rsidRPr="00A14D0B">
        <w:rPr>
          <w:rFonts w:hint="cs"/>
          <w:rtl/>
        </w:rPr>
        <w:t>ממסמכי רפאל עולה כי ירידה ברווחיות הפרויקטים התרחשה על אף הבקרה שקיימו ההנהלה והדירקטוריון של רפאל בנושא.</w:t>
      </w:r>
    </w:p>
    <w:p w:rsidR="00C149B0" w:rsidRPr="00A14D0B" w:rsidP="00A14D0B" w14:paraId="5731B83C" w14:textId="77777777">
      <w:pPr>
        <w:pStyle w:val="7318"/>
        <w:rPr>
          <w:rtl/>
        </w:rPr>
      </w:pPr>
      <w:r w:rsidRPr="00A14D0B">
        <w:rPr>
          <w:rFonts w:hint="cs"/>
          <w:rtl/>
        </w:rPr>
        <w:t xml:space="preserve">מומלץ כי הנהלת רפאל תבחן את ההנחות והאומדנים המשמשים לקביעת תחזית שיעורי הרווחיות במועד ההזמנה. עוד מומלץ כי הנהלת רפאל תנתח את הגורמים לירידה מסוימת ברווחיות הפרויקטים לאורך שנות ביצועם, כמתואר לעיל; ותציג לדירקטוריון את ממצאיה, לרבות את הצעדים המוצעים לצמצום התופעה. אשר לפעילות של החברה בשוק המקומי (בעיקר עבור </w:t>
      </w:r>
      <w:r w:rsidRPr="00A14D0B">
        <w:rPr>
          <w:rFonts w:hint="cs"/>
          <w:rtl/>
        </w:rPr>
        <w:t>משהב"ט</w:t>
      </w:r>
      <w:r w:rsidRPr="00A14D0B">
        <w:rPr>
          <w:rFonts w:hint="cs"/>
          <w:rtl/>
        </w:rPr>
        <w:t>) בכל סוגי הפרויקטים - מומלץ כי הנהלת החברה תבחן את הנושא, כי ממצאי הבחינה יוצגו לדירקטוריון לשם קביעת קווים מנחים, דוגמת הרווחיות המינימלית הנדרשת לפעילות זו, וכי קווים מנחים אלה יוטמעו בנוהל הרשאות החתימה של החברה.</w:t>
      </w:r>
    </w:p>
    <w:p w:rsidR="00C149B0" w:rsidRPr="00B431F9" w:rsidP="00B431F9" w14:paraId="2975B2B6" w14:textId="77777777">
      <w:pPr>
        <w:pStyle w:val="73414"/>
        <w:rPr>
          <w:rtl/>
        </w:rPr>
      </w:pPr>
      <w:r w:rsidRPr="00B431F9">
        <w:rPr>
          <w:rFonts w:hint="cs"/>
          <w:rtl/>
        </w:rPr>
        <w:t xml:space="preserve">ניתוח הרווחיות של כמה פרויקטים </w:t>
      </w:r>
      <w:r w:rsidRPr="00B431F9">
        <w:rPr>
          <w:rFonts w:hint="cs"/>
          <w:rtl/>
        </w:rPr>
        <w:t>הפסדיים</w:t>
      </w:r>
    </w:p>
    <w:p w:rsidR="00C149B0" w:rsidRPr="00A14D0B" w:rsidP="00A14D0B" w14:paraId="2355AC96" w14:textId="77777777">
      <w:pPr>
        <w:pStyle w:val="7392"/>
        <w:rPr>
          <w:rtl/>
        </w:rPr>
      </w:pPr>
      <w:r w:rsidRPr="00A14D0B">
        <w:rPr>
          <w:rFonts w:hint="cs"/>
          <w:rtl/>
        </w:rPr>
        <w:t>מתוך כלל הפרויקטים העיקריים ריכז משרד מבקר המדינה נתונים לגבי כמה פרויקטים שבגינם חזתה רפאל בסוף שנת 2021 את סכום ההפסד התפעולי הגדול ביותר.</w:t>
      </w:r>
    </w:p>
    <w:p w:rsidR="00C149B0" w:rsidP="00A14D0B" w14:paraId="28CAC060" w14:textId="77777777">
      <w:pPr>
        <w:pStyle w:val="7318"/>
        <w:rPr>
          <w:rFonts w:eastAsiaTheme="majorEastAsia"/>
          <w:rtl/>
        </w:rPr>
      </w:pPr>
      <w:r w:rsidRPr="00D94367">
        <w:rPr>
          <w:rFonts w:eastAsiaTheme="majorEastAsia" w:hint="cs"/>
          <w:rtl/>
        </w:rPr>
        <w:t xml:space="preserve">עולה כי </w:t>
      </w:r>
      <w:r>
        <w:rPr>
          <w:rFonts w:eastAsiaTheme="majorEastAsia" w:hint="cs"/>
          <w:rtl/>
        </w:rPr>
        <w:t xml:space="preserve">כמחצית </w:t>
      </w:r>
      <w:r w:rsidRPr="00D94367">
        <w:rPr>
          <w:rFonts w:eastAsiaTheme="majorEastAsia" w:hint="cs"/>
          <w:rtl/>
        </w:rPr>
        <w:t xml:space="preserve">מתוך הפסד תפעולי חזוי </w:t>
      </w:r>
      <w:r>
        <w:rPr>
          <w:rFonts w:eastAsiaTheme="majorEastAsia" w:hint="cs"/>
          <w:rtl/>
        </w:rPr>
        <w:t xml:space="preserve">ב-31.12.21 </w:t>
      </w:r>
      <w:r w:rsidRPr="00D94367">
        <w:rPr>
          <w:rFonts w:eastAsiaTheme="majorEastAsia" w:hint="cs"/>
          <w:rtl/>
        </w:rPr>
        <w:t>ב</w:t>
      </w:r>
      <w:r>
        <w:rPr>
          <w:rFonts w:eastAsiaTheme="majorEastAsia" w:hint="cs"/>
          <w:rtl/>
        </w:rPr>
        <w:t>כמה</w:t>
      </w:r>
      <w:r w:rsidRPr="00D94367">
        <w:rPr>
          <w:rFonts w:eastAsiaTheme="majorEastAsia" w:hint="cs"/>
          <w:rtl/>
        </w:rPr>
        <w:t xml:space="preserve"> פרויקטים נובע</w:t>
      </w:r>
      <w:r>
        <w:rPr>
          <w:rFonts w:eastAsiaTheme="majorEastAsia" w:hint="cs"/>
          <w:rtl/>
        </w:rPr>
        <w:t>ת</w:t>
      </w:r>
      <w:r w:rsidRPr="00D94367">
        <w:rPr>
          <w:rFonts w:eastAsiaTheme="majorEastAsia" w:hint="cs"/>
          <w:rtl/>
        </w:rPr>
        <w:t xml:space="preserve"> מ</w:t>
      </w:r>
      <w:r>
        <w:rPr>
          <w:rFonts w:eastAsiaTheme="majorEastAsia" w:hint="cs"/>
          <w:rtl/>
        </w:rPr>
        <w:t>כמה</w:t>
      </w:r>
      <w:r w:rsidRPr="00D94367">
        <w:rPr>
          <w:rFonts w:eastAsiaTheme="majorEastAsia" w:hint="cs"/>
          <w:rtl/>
        </w:rPr>
        <w:t xml:space="preserve"> </w:t>
      </w:r>
      <w:r w:rsidRPr="00D94367">
        <w:rPr>
          <w:rFonts w:eastAsiaTheme="majorEastAsia" w:hint="cs"/>
          <w:rtl/>
        </w:rPr>
        <w:t>פרויקטי</w:t>
      </w:r>
      <w:r w:rsidRPr="00D94367">
        <w:rPr>
          <w:rFonts w:eastAsiaTheme="majorEastAsia" w:hint="cs"/>
          <w:rtl/>
        </w:rPr>
        <w:t xml:space="preserve"> פיתוח המיועדים </w:t>
      </w:r>
      <w:r w:rsidRPr="00D94367">
        <w:rPr>
          <w:rFonts w:eastAsiaTheme="majorEastAsia" w:hint="cs"/>
          <w:rtl/>
        </w:rPr>
        <w:t>למשהב"ט</w:t>
      </w:r>
      <w:r w:rsidRPr="00D94367">
        <w:rPr>
          <w:rFonts w:eastAsiaTheme="majorEastAsia" w:hint="cs"/>
          <w:rtl/>
        </w:rPr>
        <w:t xml:space="preserve">; הפסד שמקורו בהוצאות </w:t>
      </w:r>
      <w:r>
        <w:rPr>
          <w:rFonts w:eastAsiaTheme="majorEastAsia" w:hint="cs"/>
          <w:rtl/>
        </w:rPr>
        <w:t>ה</w:t>
      </w:r>
      <w:r w:rsidRPr="00D94367">
        <w:rPr>
          <w:rFonts w:eastAsiaTheme="majorEastAsia" w:hint="cs"/>
          <w:rtl/>
        </w:rPr>
        <w:t xml:space="preserve">מו"פ </w:t>
      </w:r>
      <w:r>
        <w:rPr>
          <w:rFonts w:eastAsiaTheme="majorEastAsia" w:hint="cs"/>
          <w:rtl/>
        </w:rPr>
        <w:t>ה</w:t>
      </w:r>
      <w:r w:rsidRPr="00D94367">
        <w:rPr>
          <w:rFonts w:eastAsiaTheme="majorEastAsia" w:hint="cs"/>
          <w:rtl/>
        </w:rPr>
        <w:t>עצמי של רפאל בפרויקטים אלה.</w:t>
      </w:r>
    </w:p>
    <w:p w:rsidR="00C149B0" w:rsidRPr="00D94367" w:rsidP="00A14D0B" w14:paraId="0542DA1A" w14:textId="77777777">
      <w:pPr>
        <w:pStyle w:val="7392"/>
        <w:rPr>
          <w:rtl/>
        </w:rPr>
      </w:pPr>
      <w:r w:rsidRPr="00D94367">
        <w:rPr>
          <w:rFonts w:hint="cs"/>
          <w:rtl/>
        </w:rPr>
        <w:t xml:space="preserve">יצוין בהקשר זה כי בישיבת הדירקטוריון </w:t>
      </w:r>
      <w:r>
        <w:rPr>
          <w:rFonts w:hint="cs"/>
          <w:rtl/>
        </w:rPr>
        <w:t>ב</w:t>
      </w:r>
      <w:r w:rsidRPr="00D94367">
        <w:rPr>
          <w:rFonts w:hint="cs"/>
          <w:rtl/>
        </w:rPr>
        <w:t xml:space="preserve">-29.3.22, </w:t>
      </w:r>
      <w:r>
        <w:rPr>
          <w:rFonts w:hint="cs"/>
          <w:rtl/>
        </w:rPr>
        <w:t>ש</w:t>
      </w:r>
      <w:r w:rsidRPr="00D94367">
        <w:rPr>
          <w:rFonts w:hint="cs"/>
          <w:rtl/>
        </w:rPr>
        <w:t>בה נדונו בין היתר סיכומי פעילותן של החטיבות העסקיות לשנת 2021, הציג מנהל חטיב</w:t>
      </w:r>
      <w:r>
        <w:rPr>
          <w:rFonts w:hint="cs"/>
          <w:rtl/>
        </w:rPr>
        <w:t>ה מסוימת</w:t>
      </w:r>
      <w:r w:rsidRPr="00D94367">
        <w:rPr>
          <w:rFonts w:hint="cs"/>
          <w:rtl/>
        </w:rPr>
        <w:t xml:space="preserve"> כי הרווח התפעולי של החטיבה נמוך יחסית גם בגלל הוצאות המו"פ העצמי שעלו בשיעורן עקב ההשקעות </w:t>
      </w:r>
      <w:r>
        <w:rPr>
          <w:rFonts w:hint="cs"/>
          <w:rtl/>
        </w:rPr>
        <w:t>ב</w:t>
      </w:r>
      <w:r w:rsidRPr="00D94367">
        <w:rPr>
          <w:rFonts w:hint="cs"/>
          <w:rtl/>
        </w:rPr>
        <w:t xml:space="preserve">פרויקטים שלעיל. </w:t>
      </w:r>
    </w:p>
    <w:p w:rsidR="00C149B0" w:rsidRPr="003B5247" w:rsidP="00A14D0B" w14:paraId="70B5C5E6" w14:textId="77777777">
      <w:pPr>
        <w:pStyle w:val="7392"/>
        <w:rPr>
          <w:rtl/>
        </w:rPr>
      </w:pPr>
      <w:r w:rsidRPr="003B5247">
        <w:rPr>
          <w:rFonts w:hint="cs"/>
          <w:rtl/>
        </w:rPr>
        <w:t>עוד יצוין כי דוח של מבקר המדינה משנת 2022</w:t>
      </w:r>
      <w:r>
        <w:rPr>
          <w:rStyle w:val="FootnoteReference0"/>
          <w:rFonts w:eastAsiaTheme="majorEastAsia"/>
          <w:b/>
          <w:sz w:val="24"/>
          <w:rtl/>
        </w:rPr>
        <w:footnoteReference w:id="41"/>
      </w:r>
      <w:r w:rsidRPr="003B5247">
        <w:rPr>
          <w:rFonts w:hint="cs"/>
          <w:rtl/>
        </w:rPr>
        <w:t xml:space="preserve"> </w:t>
      </w:r>
      <w:r w:rsidRPr="00454112">
        <w:rPr>
          <w:rFonts w:hint="cs"/>
          <w:rtl/>
        </w:rPr>
        <w:t xml:space="preserve">העלה בין היתר ממצאים מניתוח הרווחיות </w:t>
      </w:r>
      <w:r w:rsidRPr="00454112">
        <w:rPr>
          <w:rFonts w:hint="cs"/>
          <w:rtl/>
        </w:rPr>
        <w:t>בפרויקטי</w:t>
      </w:r>
      <w:r w:rsidRPr="00454112">
        <w:rPr>
          <w:rFonts w:hint="cs"/>
          <w:rtl/>
        </w:rPr>
        <w:t xml:space="preserve"> פיתוח של רפאל </w:t>
      </w:r>
      <w:r w:rsidRPr="00454112">
        <w:rPr>
          <w:rFonts w:hint="cs"/>
          <w:rtl/>
        </w:rPr>
        <w:t>למשהב"ט</w:t>
      </w:r>
      <w:r w:rsidRPr="00454112">
        <w:rPr>
          <w:rFonts w:hint="cs"/>
          <w:rtl/>
        </w:rPr>
        <w:t xml:space="preserve"> וללקוחות זרים.</w:t>
      </w:r>
    </w:p>
    <w:p w:rsidR="00C149B0" w:rsidP="00A14D0B" w14:paraId="0875FA13" w14:textId="77777777">
      <w:pPr>
        <w:pStyle w:val="7392"/>
        <w:rPr>
          <w:rFonts w:ascii="David" w:hAnsi="David"/>
          <w:rtl/>
        </w:rPr>
      </w:pPr>
      <w:r w:rsidRPr="00392FB3">
        <w:rPr>
          <w:rFonts w:hint="cs"/>
          <w:rtl/>
        </w:rPr>
        <w:t xml:space="preserve">בביקורת שלעיל גם </w:t>
      </w:r>
      <w:r>
        <w:rPr>
          <w:rFonts w:hint="cs"/>
          <w:rtl/>
        </w:rPr>
        <w:t xml:space="preserve">עלה כי התעשיות הביטחוניות - </w:t>
      </w:r>
      <w:r>
        <w:rPr>
          <w:rFonts w:hint="cs"/>
          <w:rtl/>
        </w:rPr>
        <w:t>התע"א</w:t>
      </w:r>
      <w:r>
        <w:rPr>
          <w:rFonts w:hint="cs"/>
          <w:rtl/>
        </w:rPr>
        <w:t xml:space="preserve"> ורפאל - </w:t>
      </w:r>
      <w:r w:rsidRPr="00392FB3">
        <w:rPr>
          <w:rFonts w:hint="cs"/>
          <w:rtl/>
        </w:rPr>
        <w:t xml:space="preserve">משתתפות בעלויות פיתוח בפרויקטים </w:t>
      </w:r>
      <w:r w:rsidRPr="00392FB3">
        <w:rPr>
          <w:rFonts w:hint="cs"/>
          <w:rtl/>
        </w:rPr>
        <w:t>למשהב"ט</w:t>
      </w:r>
      <w:r w:rsidRPr="00392FB3">
        <w:rPr>
          <w:rFonts w:hint="cs"/>
          <w:rtl/>
        </w:rPr>
        <w:t xml:space="preserve"> בסכומים ניכרים המסתכמים במאות מיליוני דולרים ממקורות המו"פ העצמי שלהן; וצוין כי</w:t>
      </w:r>
      <w:r w:rsidRPr="00392FB3">
        <w:rPr>
          <w:rtl/>
        </w:rPr>
        <w:t xml:space="preserve"> </w:t>
      </w:r>
      <w:r w:rsidRPr="00392FB3">
        <w:rPr>
          <w:rFonts w:hint="cs"/>
          <w:rtl/>
        </w:rPr>
        <w:t>ב</w:t>
      </w:r>
      <w:r w:rsidRPr="00392FB3">
        <w:rPr>
          <w:rtl/>
        </w:rPr>
        <w:t xml:space="preserve">יישום המדיניות של </w:t>
      </w:r>
      <w:r w:rsidRPr="00392FB3">
        <w:rPr>
          <w:rtl/>
        </w:rPr>
        <w:t>משהב"ט</w:t>
      </w:r>
      <w:r w:rsidRPr="00392FB3">
        <w:rPr>
          <w:rtl/>
        </w:rPr>
        <w:t>, ולפיה יידרשו התעשיות הביטחוניות להשתתפות ניכרת בעלויות הפיתוח בפרויקטים, יש כדי להשפיע על מצבן העסקי בטווח הארוך</w:t>
      </w:r>
      <w:r>
        <w:rPr>
          <w:rFonts w:hint="cs"/>
          <w:rtl/>
        </w:rPr>
        <w:t>,</w:t>
      </w:r>
      <w:r w:rsidRPr="00392FB3">
        <w:rPr>
          <w:rtl/>
        </w:rPr>
        <w:t xml:space="preserve"> וכפועל יוצא מזה - גם על יכולתן לספק בעתיד פתרונות טכנולוגיים מיטביים ל</w:t>
      </w:r>
      <w:r w:rsidRPr="00392FB3">
        <w:rPr>
          <w:rFonts w:hint="cs"/>
          <w:rtl/>
        </w:rPr>
        <w:t>מערכת הביטחון</w:t>
      </w:r>
      <w:r>
        <w:rPr>
          <w:rFonts w:hint="cs"/>
          <w:rtl/>
        </w:rPr>
        <w:t xml:space="preserve"> (להלן - </w:t>
      </w:r>
      <w:r>
        <w:rPr>
          <w:rFonts w:hint="cs"/>
          <w:rtl/>
        </w:rPr>
        <w:t>מעהב"ט</w:t>
      </w:r>
      <w:r>
        <w:rPr>
          <w:rFonts w:hint="cs"/>
          <w:rtl/>
        </w:rPr>
        <w:t>)</w:t>
      </w:r>
      <w:r>
        <w:rPr>
          <w:rStyle w:val="FootnoteReference0"/>
          <w:rFonts w:eastAsiaTheme="majorEastAsia"/>
          <w:b/>
          <w:sz w:val="24"/>
          <w:rtl/>
        </w:rPr>
        <w:footnoteReference w:id="42"/>
      </w:r>
      <w:r w:rsidRPr="00392FB3">
        <w:rPr>
          <w:rFonts w:hint="cs"/>
          <w:rtl/>
        </w:rPr>
        <w:t xml:space="preserve">. </w:t>
      </w:r>
    </w:p>
    <w:p w:rsidR="00C149B0" w:rsidRPr="00392FB3" w:rsidP="00A14D0B" w14:paraId="31076593" w14:textId="77777777">
      <w:pPr>
        <w:pStyle w:val="7392"/>
        <w:rPr>
          <w:rtl/>
        </w:rPr>
      </w:pPr>
      <w:r w:rsidRPr="00392FB3">
        <w:rPr>
          <w:rFonts w:ascii="David" w:hAnsi="David" w:hint="cs"/>
          <w:rtl/>
        </w:rPr>
        <w:t xml:space="preserve">בדוח </w:t>
      </w:r>
      <w:r w:rsidRPr="009474E5">
        <w:rPr>
          <w:rFonts w:ascii="David" w:hAnsi="David" w:hint="cs"/>
          <w:rtl/>
        </w:rPr>
        <w:t>האמור הו</w:t>
      </w:r>
      <w:r w:rsidRPr="009474E5">
        <w:rPr>
          <w:rFonts w:ascii="David" w:hAnsi="David"/>
          <w:rtl/>
        </w:rPr>
        <w:t xml:space="preserve">מלץ כי </w:t>
      </w:r>
      <w:r w:rsidRPr="009474E5">
        <w:rPr>
          <w:rFonts w:ascii="David" w:hAnsi="David" w:hint="cs"/>
          <w:rtl/>
        </w:rPr>
        <w:t>התע"א</w:t>
      </w:r>
      <w:r w:rsidRPr="009474E5">
        <w:rPr>
          <w:rFonts w:ascii="David" w:hAnsi="David"/>
          <w:rtl/>
        </w:rPr>
        <w:t xml:space="preserve"> תבחן</w:t>
      </w:r>
      <w:r w:rsidRPr="00392FB3">
        <w:rPr>
          <w:rFonts w:ascii="David" w:hAnsi="David" w:hint="cs"/>
          <w:rtl/>
        </w:rPr>
        <w:t xml:space="preserve"> ותקבע</w:t>
      </w:r>
      <w:r w:rsidRPr="00392FB3">
        <w:rPr>
          <w:rFonts w:ascii="David" w:hAnsi="David"/>
          <w:rtl/>
        </w:rPr>
        <w:t xml:space="preserve">, על בסיס תחשיבים, </w:t>
      </w:r>
      <w:r>
        <w:rPr>
          <w:rFonts w:ascii="David" w:hAnsi="David" w:hint="cs"/>
          <w:rtl/>
        </w:rPr>
        <w:t xml:space="preserve">את </w:t>
      </w:r>
      <w:r w:rsidRPr="00392FB3">
        <w:rPr>
          <w:rFonts w:ascii="David" w:hAnsi="David"/>
          <w:rtl/>
        </w:rPr>
        <w:t xml:space="preserve">שיעור </w:t>
      </w:r>
      <w:r>
        <w:rPr>
          <w:rFonts w:ascii="David" w:hAnsi="David" w:hint="cs"/>
          <w:rtl/>
        </w:rPr>
        <w:t>ה</w:t>
      </w:r>
      <w:r w:rsidRPr="00392FB3">
        <w:rPr>
          <w:rFonts w:ascii="David" w:hAnsi="David"/>
          <w:rtl/>
        </w:rPr>
        <w:t xml:space="preserve">רווח </w:t>
      </w:r>
      <w:r>
        <w:rPr>
          <w:rFonts w:ascii="David" w:hAnsi="David" w:hint="cs"/>
          <w:rtl/>
        </w:rPr>
        <w:t>ה</w:t>
      </w:r>
      <w:r w:rsidRPr="00392FB3">
        <w:rPr>
          <w:rFonts w:ascii="David" w:hAnsi="David"/>
          <w:rtl/>
        </w:rPr>
        <w:t xml:space="preserve">תפעולי </w:t>
      </w:r>
      <w:r>
        <w:rPr>
          <w:rFonts w:ascii="David" w:hAnsi="David" w:hint="cs"/>
          <w:rtl/>
        </w:rPr>
        <w:t>ה</w:t>
      </w:r>
      <w:r w:rsidRPr="00392FB3">
        <w:rPr>
          <w:rFonts w:ascii="David" w:hAnsi="David"/>
          <w:rtl/>
        </w:rPr>
        <w:t xml:space="preserve">מינימלי הנדרש </w:t>
      </w:r>
      <w:r w:rsidRPr="00392FB3">
        <w:rPr>
          <w:rFonts w:ascii="David" w:hAnsi="David"/>
          <w:rtl/>
        </w:rPr>
        <w:t>בפרויקטי</w:t>
      </w:r>
      <w:r w:rsidRPr="00392FB3">
        <w:rPr>
          <w:rFonts w:ascii="David" w:hAnsi="David"/>
          <w:rtl/>
        </w:rPr>
        <w:t xml:space="preserve"> פיתוח עבור </w:t>
      </w:r>
      <w:r w:rsidRPr="00392FB3">
        <w:rPr>
          <w:rFonts w:ascii="David" w:hAnsi="David"/>
          <w:rtl/>
        </w:rPr>
        <w:t>מעהב"ט</w:t>
      </w:r>
      <w:r w:rsidRPr="00392FB3">
        <w:rPr>
          <w:rFonts w:ascii="David" w:hAnsi="David"/>
          <w:rtl/>
        </w:rPr>
        <w:t xml:space="preserve">, שיאפשר לה להגיע לרווח נקי בהתקשרויות </w:t>
      </w:r>
      <w:r w:rsidRPr="00392FB3">
        <w:rPr>
          <w:rFonts w:ascii="David" w:hAnsi="David"/>
          <w:rtl/>
        </w:rPr>
        <w:t>איתו</w:t>
      </w:r>
      <w:r w:rsidRPr="00392FB3">
        <w:rPr>
          <w:rFonts w:ascii="David" w:hAnsi="David"/>
          <w:rtl/>
        </w:rPr>
        <w:t>,</w:t>
      </w:r>
      <w:r w:rsidRPr="00392FB3">
        <w:rPr>
          <w:rFonts w:ascii="David" w:hAnsi="David" w:hint="cs"/>
          <w:rtl/>
        </w:rPr>
        <w:t xml:space="preserve"> </w:t>
      </w:r>
      <w:r w:rsidRPr="00392FB3">
        <w:rPr>
          <w:rFonts w:ascii="David" w:hAnsi="David"/>
          <w:rtl/>
        </w:rPr>
        <w:t>ותעגן יעדים בתחום זה בתוכניתה האסטרטגית המתעדכנת.</w:t>
      </w:r>
      <w:r>
        <w:rPr>
          <w:rFonts w:hint="cs"/>
          <w:rtl/>
        </w:rPr>
        <w:t xml:space="preserve"> </w:t>
      </w:r>
    </w:p>
    <w:p w:rsidR="00C149B0" w:rsidRPr="00A14D0B" w:rsidP="00A14D0B" w14:paraId="03D07480" w14:textId="77777777">
      <w:pPr>
        <w:pStyle w:val="7318"/>
        <w:rPr>
          <w:rFonts w:eastAsiaTheme="majorEastAsia"/>
          <w:rtl/>
        </w:rPr>
      </w:pPr>
      <w:r w:rsidRPr="00A14D0B">
        <w:rPr>
          <w:rFonts w:eastAsiaTheme="majorEastAsia" w:hint="cs"/>
          <w:rtl/>
        </w:rPr>
        <w:t xml:space="preserve">להשקעה הניכרת של רפאל בפרויקטים כמתואר לעיל יש השפעה על יכולתה להקצות מקורות מו"פ לתחומי פעילות אחרים, זאת גם אם ההשקעה נעשתה על בסיס החלטה מודעת נוכח צפי להחזר שלה בעתיד, כגון בעקבות הערכות בנוגע להתקשרויות אפשריות עם לקוחות בחו"ל שייתכן שיתממשו. </w:t>
      </w:r>
    </w:p>
    <w:p w:rsidR="00C149B0" w:rsidRPr="00A14D0B" w:rsidP="00A14D0B" w14:paraId="6F11F989" w14:textId="77777777">
      <w:pPr>
        <w:pStyle w:val="7318"/>
        <w:rPr>
          <w:rFonts w:eastAsiaTheme="majorEastAsia"/>
          <w:rtl/>
        </w:rPr>
      </w:pPr>
      <w:r w:rsidRPr="00A14D0B">
        <w:rPr>
          <w:rFonts w:eastAsiaTheme="majorEastAsia" w:hint="cs"/>
          <w:rtl/>
        </w:rPr>
        <w:t xml:space="preserve">נוכח השפעת ההשקעה של רפאל במימון הפיתוח בפרויקטים </w:t>
      </w:r>
      <w:r w:rsidRPr="00A14D0B">
        <w:rPr>
          <w:rFonts w:eastAsiaTheme="majorEastAsia" w:hint="cs"/>
          <w:rtl/>
        </w:rPr>
        <w:t>למשהב"ט</w:t>
      </w:r>
      <w:r w:rsidRPr="00A14D0B">
        <w:rPr>
          <w:rFonts w:eastAsiaTheme="majorEastAsia" w:hint="cs"/>
          <w:rtl/>
        </w:rPr>
        <w:t xml:space="preserve">, מומלץ כי דירקטוריון החברה יקבע קווים מנחים לפעילות זו </w:t>
      </w:r>
      <w:r w:rsidRPr="00A14D0B">
        <w:rPr>
          <w:rFonts w:hint="cs"/>
          <w:rtl/>
        </w:rPr>
        <w:t xml:space="preserve">ויוודא כי הם יעוגנו </w:t>
      </w:r>
      <w:r w:rsidRPr="00A14D0B">
        <w:rPr>
          <w:rtl/>
        </w:rPr>
        <w:t>בתוכניתה האסטרטגית המתעדכנת</w:t>
      </w:r>
      <w:r w:rsidRPr="00A14D0B">
        <w:rPr>
          <w:rFonts w:eastAsiaTheme="majorEastAsia" w:hint="cs"/>
          <w:rtl/>
        </w:rPr>
        <w:t xml:space="preserve">. </w:t>
      </w:r>
    </w:p>
    <w:p w:rsidR="00C149B0" w:rsidRPr="00B431F9" w:rsidP="00B431F9" w14:paraId="1F9EEEF6" w14:textId="77777777">
      <w:pPr>
        <w:pStyle w:val="73414"/>
        <w:rPr>
          <w:rtl/>
        </w:rPr>
      </w:pPr>
      <w:r w:rsidRPr="00B431F9">
        <w:rPr>
          <w:rFonts w:hint="cs"/>
          <w:rtl/>
        </w:rPr>
        <w:t xml:space="preserve">הצגת צבר ההזמנות בדוחות הכספיים </w:t>
      </w:r>
    </w:p>
    <w:p w:rsidR="00C149B0" w:rsidRPr="00A14D0B" w:rsidP="00A14D0B" w14:paraId="2F422650" w14:textId="77777777">
      <w:pPr>
        <w:pStyle w:val="7392"/>
      </w:pPr>
      <w:r w:rsidRPr="00A14D0B">
        <w:rPr>
          <w:rFonts w:hint="eastAsia"/>
          <w:rtl/>
        </w:rPr>
        <w:t>בחוזר</w:t>
      </w:r>
      <w:r w:rsidRPr="00A14D0B">
        <w:rPr>
          <w:rtl/>
        </w:rPr>
        <w:t xml:space="preserve"> </w:t>
      </w:r>
      <w:r w:rsidRPr="00A14D0B">
        <w:rPr>
          <w:rFonts w:hint="cs"/>
          <w:rtl/>
        </w:rPr>
        <w:t>רשות החברות הממשלתיות</w:t>
      </w:r>
      <w:r w:rsidRPr="00A14D0B">
        <w:rPr>
          <w:rtl/>
        </w:rPr>
        <w:t xml:space="preserve"> </w:t>
      </w:r>
      <w:r w:rsidRPr="00A14D0B">
        <w:rPr>
          <w:rFonts w:hint="cs"/>
          <w:rtl/>
        </w:rPr>
        <w:t>בנושא "</w:t>
      </w:r>
      <w:r w:rsidRPr="00A14D0B">
        <w:rPr>
          <w:rFonts w:hint="eastAsia"/>
          <w:rtl/>
        </w:rPr>
        <w:t>דוחות</w:t>
      </w:r>
      <w:r w:rsidRPr="00A14D0B">
        <w:rPr>
          <w:rtl/>
        </w:rPr>
        <w:t xml:space="preserve"> </w:t>
      </w:r>
      <w:r w:rsidRPr="00A14D0B">
        <w:rPr>
          <w:rFonts w:hint="eastAsia"/>
          <w:rtl/>
        </w:rPr>
        <w:t>כספיים</w:t>
      </w:r>
      <w:r w:rsidRPr="00A14D0B">
        <w:rPr>
          <w:rtl/>
        </w:rPr>
        <w:t xml:space="preserve"> - דוחות שנתיים וביניים"</w:t>
      </w:r>
      <w:r>
        <w:rPr>
          <w:rStyle w:val="FootnoteReference0"/>
          <w:rtl/>
        </w:rPr>
        <w:footnoteReference w:id="43"/>
      </w:r>
      <w:r w:rsidRPr="00A14D0B">
        <w:rPr>
          <w:rFonts w:hint="cs"/>
          <w:rtl/>
        </w:rPr>
        <w:t xml:space="preserve"> נקבע בין היתר כי על החברה לתאר בדוחותיה הכספיים את</w:t>
      </w:r>
      <w:bookmarkStart w:id="21" w:name="_Ref294466034"/>
      <w:r w:rsidRPr="00A14D0B">
        <w:rPr>
          <w:rFonts w:hint="cs"/>
          <w:rtl/>
        </w:rPr>
        <w:t xml:space="preserve"> צבר ההזמנות לתאריך הדוח,</w:t>
      </w:r>
      <w:r w:rsidRPr="00A14D0B">
        <w:rPr>
          <w:rtl/>
        </w:rPr>
        <w:t xml:space="preserve"> בפילוח לפי תקופת ההכרה בהכנסה הצפויה, בחתך של רבעונים לשנה הקרובה ובחתך של שנים לתקופות שלאחר מכן</w:t>
      </w:r>
      <w:r w:rsidRPr="00A14D0B">
        <w:rPr>
          <w:rFonts w:hint="cs"/>
          <w:rtl/>
        </w:rPr>
        <w:t xml:space="preserve">; </w:t>
      </w:r>
      <w:bookmarkEnd w:id="21"/>
      <w:r w:rsidRPr="00A14D0B">
        <w:rPr>
          <w:rFonts w:hint="cs"/>
          <w:rtl/>
        </w:rPr>
        <w:t xml:space="preserve">כי </w:t>
      </w:r>
      <w:r w:rsidRPr="00A14D0B">
        <w:rPr>
          <w:rtl/>
        </w:rPr>
        <w:t>יינתן צבר הזמנות גם לתאריך הדוח על המצב הכספי לשנה שקדמה לדוח, תוך ציון ביטול או שינוי שהיו בפועל מול הצבר שניתן בעבר והסבר בגינם</w:t>
      </w:r>
      <w:r w:rsidRPr="00A14D0B">
        <w:rPr>
          <w:rFonts w:hint="cs"/>
          <w:rtl/>
        </w:rPr>
        <w:t xml:space="preserve">; וכי </w:t>
      </w:r>
      <w:r w:rsidRPr="00A14D0B">
        <w:rPr>
          <w:rtl/>
        </w:rPr>
        <w:t>יש לאפיין מילולית את תמהיל הצבר מבחינת מוצרים עיקריים, תוך השוואה לתמהיל בשנים קודמות הכלולות בדוח.</w:t>
      </w:r>
    </w:p>
    <w:p w:rsidR="00C149B0" w:rsidRPr="00A14D0B" w:rsidP="00A14D0B" w14:paraId="17C4A7D4" w14:textId="77777777">
      <w:pPr>
        <w:pStyle w:val="7392"/>
        <w:rPr>
          <w:rtl/>
        </w:rPr>
      </w:pPr>
      <w:r w:rsidRPr="00A14D0B">
        <w:rPr>
          <w:rFonts w:hint="cs"/>
          <w:rtl/>
        </w:rPr>
        <w:t>להלן נתוני הצפי לפריסת המימוש של צבר ההזמנות של רפאל כפי שהוצגו בדוחותיה הכספיים ל-31.12.21:</w:t>
      </w:r>
    </w:p>
    <w:p w:rsidR="00C149B0" w:rsidRPr="00D96D52" w:rsidP="00A14D0B" w14:paraId="050BB2FC" w14:textId="77777777">
      <w:pPr>
        <w:pStyle w:val="734"/>
        <w:rPr>
          <w:rtl/>
        </w:rPr>
      </w:pPr>
      <w:r w:rsidRPr="00A14D0B">
        <w:rPr>
          <w:rFonts w:hint="eastAsia"/>
          <w:b w:val="0"/>
          <w:bCs w:val="0"/>
          <w:rtl/>
        </w:rPr>
        <w:t>לוח</w:t>
      </w:r>
      <w:r w:rsidRPr="00A14D0B">
        <w:rPr>
          <w:b w:val="0"/>
          <w:bCs w:val="0"/>
          <w:rtl/>
        </w:rPr>
        <w:t xml:space="preserve"> </w:t>
      </w:r>
      <w:r w:rsidRPr="00A14D0B">
        <w:rPr>
          <w:rFonts w:hint="cs"/>
          <w:b w:val="0"/>
          <w:bCs w:val="0"/>
          <w:rtl/>
        </w:rPr>
        <w:t>4</w:t>
      </w:r>
      <w:r w:rsidRPr="00A14D0B">
        <w:rPr>
          <w:b w:val="0"/>
          <w:bCs w:val="0"/>
          <w:rtl/>
        </w:rPr>
        <w:t xml:space="preserve">: </w:t>
      </w:r>
      <w:r w:rsidRPr="00D96D52">
        <w:rPr>
          <w:rFonts w:hint="eastAsia"/>
          <w:rtl/>
        </w:rPr>
        <w:t>צפי</w:t>
      </w:r>
      <w:r w:rsidRPr="00D96D52">
        <w:rPr>
          <w:rtl/>
        </w:rPr>
        <w:t xml:space="preserve"> </w:t>
      </w:r>
      <w:r w:rsidRPr="00D96D52">
        <w:rPr>
          <w:rFonts w:hint="eastAsia"/>
          <w:rtl/>
        </w:rPr>
        <w:t>למימוש</w:t>
      </w:r>
      <w:r w:rsidRPr="00D96D52">
        <w:rPr>
          <w:rtl/>
        </w:rPr>
        <w:t xml:space="preserve"> </w:t>
      </w:r>
      <w:r w:rsidRPr="00D96D52">
        <w:rPr>
          <w:rFonts w:hint="eastAsia"/>
          <w:rtl/>
        </w:rPr>
        <w:t>צבר</w:t>
      </w:r>
      <w:r w:rsidRPr="00D96D52">
        <w:rPr>
          <w:rtl/>
        </w:rPr>
        <w:t xml:space="preserve"> </w:t>
      </w:r>
      <w:r w:rsidRPr="00D96D52">
        <w:rPr>
          <w:rFonts w:hint="eastAsia"/>
          <w:rtl/>
        </w:rPr>
        <w:t>ההזמנות</w:t>
      </w:r>
      <w:r w:rsidRPr="00D96D52">
        <w:rPr>
          <w:rtl/>
        </w:rPr>
        <w:t xml:space="preserve"> </w:t>
      </w:r>
      <w:r w:rsidRPr="00D96D52">
        <w:rPr>
          <w:rFonts w:hint="eastAsia"/>
          <w:rtl/>
        </w:rPr>
        <w:t>כהכנסות</w:t>
      </w:r>
      <w:r w:rsidRPr="00D96D52">
        <w:rPr>
          <w:rtl/>
        </w:rPr>
        <w:t xml:space="preserve"> </w:t>
      </w:r>
      <w:r w:rsidRPr="00D96D52">
        <w:rPr>
          <w:rFonts w:hint="eastAsia"/>
          <w:rtl/>
        </w:rPr>
        <w:t>לקבוצת</w:t>
      </w:r>
      <w:r w:rsidRPr="00D96D52">
        <w:rPr>
          <w:rtl/>
        </w:rPr>
        <w:t xml:space="preserve"> </w:t>
      </w:r>
      <w:r w:rsidRPr="00D96D52">
        <w:rPr>
          <w:rFonts w:hint="eastAsia"/>
          <w:rtl/>
        </w:rPr>
        <w:t>רפאל</w:t>
      </w:r>
      <w:r w:rsidRPr="00D96D52">
        <w:rPr>
          <w:rtl/>
        </w:rPr>
        <w:t>, 31.12.21 (</w:t>
      </w:r>
      <w:r w:rsidRPr="00D96D52">
        <w:rPr>
          <w:rFonts w:hint="eastAsia"/>
          <w:rtl/>
        </w:rPr>
        <w:t>ב</w:t>
      </w:r>
      <w:r w:rsidRPr="00D96D52">
        <w:rPr>
          <w:rtl/>
        </w:rPr>
        <w:t xml:space="preserve">מיליוני </w:t>
      </w:r>
      <w:r w:rsidRPr="00D96D52">
        <w:rPr>
          <w:rFonts w:hint="eastAsia"/>
          <w:rtl/>
        </w:rPr>
        <w:t>ש</w:t>
      </w:r>
      <w:r w:rsidRPr="00D96D52">
        <w:rPr>
          <w:rtl/>
        </w:rPr>
        <w:t>"ח)</w:t>
      </w:r>
    </w:p>
    <w:tbl>
      <w:tblPr>
        <w:tblStyle w:val="TableGrid"/>
        <w:bidiVisual/>
        <w:tblW w:w="0" w:type="auto"/>
        <w:jc w:val="center"/>
        <w:tblBorders>
          <w:top w:val="none" w:sz="0" w:space="0" w:color="auto"/>
          <w:bottom w:val="none" w:sz="0" w:space="0" w:color="auto"/>
          <w:insideH w:val="none" w:sz="0" w:space="0" w:color="auto"/>
        </w:tblBorders>
        <w:tblLook w:val="04A0"/>
      </w:tblPr>
      <w:tblGrid>
        <w:gridCol w:w="2781"/>
        <w:gridCol w:w="1924"/>
        <w:gridCol w:w="2517"/>
      </w:tblGrid>
      <w:tr w14:paraId="442F18D4" w14:textId="77777777" w:rsidTr="009C31CB">
        <w:tblPrEx>
          <w:tblW w:w="0" w:type="auto"/>
          <w:jc w:val="center"/>
          <w:tblBorders>
            <w:top w:val="none" w:sz="0" w:space="0" w:color="auto"/>
            <w:bottom w:val="none" w:sz="0" w:space="0" w:color="auto"/>
            <w:insideH w:val="none" w:sz="0" w:space="0" w:color="auto"/>
          </w:tblBorders>
          <w:tblLook w:val="04A0"/>
        </w:tblPrEx>
        <w:trPr>
          <w:jc w:val="center"/>
        </w:trPr>
        <w:tc>
          <w:tcPr>
            <w:tcW w:w="2781" w:type="dxa"/>
            <w:shd w:val="clear" w:color="auto" w:fill="C8DCE4"/>
            <w:vAlign w:val="bottom"/>
          </w:tcPr>
          <w:p w:rsidR="00C149B0" w:rsidRPr="00A14D0B" w:rsidP="00A14D0B" w14:paraId="2CDE2405" w14:textId="77777777">
            <w:pPr>
              <w:pStyle w:val="73R"/>
              <w:rPr>
                <w:b/>
                <w:bCs/>
                <w:rtl/>
              </w:rPr>
            </w:pPr>
            <w:r w:rsidRPr="00A14D0B">
              <w:rPr>
                <w:rFonts w:hint="cs"/>
                <w:b/>
                <w:bCs/>
                <w:rtl/>
              </w:rPr>
              <w:t>השנה שבה צפוי להתממש צבר ההזמנות כהכנסה</w:t>
            </w:r>
          </w:p>
        </w:tc>
        <w:tc>
          <w:tcPr>
            <w:tcW w:w="1924" w:type="dxa"/>
            <w:shd w:val="clear" w:color="auto" w:fill="C8DCE4"/>
            <w:vAlign w:val="bottom"/>
          </w:tcPr>
          <w:p w:rsidR="00C149B0" w:rsidRPr="00A14D0B" w:rsidP="00A14D0B" w14:paraId="6118AFAD" w14:textId="77777777">
            <w:pPr>
              <w:pStyle w:val="73R"/>
              <w:rPr>
                <w:b/>
                <w:bCs/>
                <w:rtl/>
              </w:rPr>
            </w:pPr>
            <w:r w:rsidRPr="00A14D0B">
              <w:rPr>
                <w:rFonts w:hint="cs"/>
                <w:b/>
                <w:bCs/>
                <w:rtl/>
              </w:rPr>
              <w:t>סכום צבר ההזמנות שצפוי להתממש</w:t>
            </w:r>
          </w:p>
        </w:tc>
        <w:tc>
          <w:tcPr>
            <w:tcW w:w="2517" w:type="dxa"/>
            <w:shd w:val="clear" w:color="auto" w:fill="C8DCE4"/>
            <w:vAlign w:val="bottom"/>
          </w:tcPr>
          <w:p w:rsidR="00C149B0" w:rsidRPr="00A14D0B" w:rsidP="00A14D0B" w14:paraId="0B187437" w14:textId="77777777">
            <w:pPr>
              <w:pStyle w:val="73R"/>
              <w:rPr>
                <w:b/>
                <w:bCs/>
                <w:rtl/>
              </w:rPr>
            </w:pPr>
            <w:r w:rsidRPr="00A14D0B">
              <w:rPr>
                <w:rFonts w:hint="cs"/>
                <w:b/>
                <w:bCs/>
                <w:rtl/>
              </w:rPr>
              <w:t xml:space="preserve">שיעור צבר ההזמנות שצפוי להתממש </w:t>
            </w:r>
          </w:p>
        </w:tc>
      </w:tr>
      <w:tr w14:paraId="47CCC1D2" w14:textId="77777777" w:rsidTr="009C31CB">
        <w:tblPrEx>
          <w:tblW w:w="0" w:type="auto"/>
          <w:jc w:val="center"/>
          <w:tblLook w:val="04A0"/>
        </w:tblPrEx>
        <w:trPr>
          <w:jc w:val="center"/>
        </w:trPr>
        <w:tc>
          <w:tcPr>
            <w:tcW w:w="2781" w:type="dxa"/>
            <w:shd w:val="clear" w:color="auto" w:fill="DFECEF"/>
            <w:vAlign w:val="center"/>
          </w:tcPr>
          <w:p w:rsidR="00C149B0" w:rsidRPr="00A14D0B" w:rsidP="00A14D0B" w14:paraId="5DD8555B" w14:textId="77777777">
            <w:pPr>
              <w:pStyle w:val="73R"/>
              <w:rPr>
                <w:rtl/>
              </w:rPr>
            </w:pPr>
            <w:r w:rsidRPr="00A14D0B">
              <w:rPr>
                <w:rFonts w:hint="cs"/>
                <w:rtl/>
              </w:rPr>
              <w:t>2022</w:t>
            </w:r>
          </w:p>
        </w:tc>
        <w:tc>
          <w:tcPr>
            <w:tcW w:w="1924" w:type="dxa"/>
            <w:shd w:val="clear" w:color="auto" w:fill="DFECEF"/>
            <w:vAlign w:val="center"/>
          </w:tcPr>
          <w:p w:rsidR="00C149B0" w:rsidRPr="00A14D0B" w:rsidP="00A14D0B" w14:paraId="4F4F63D1" w14:textId="77777777">
            <w:pPr>
              <w:pStyle w:val="73R"/>
              <w:rPr>
                <w:rtl/>
              </w:rPr>
            </w:pPr>
            <w:r w:rsidRPr="00A14D0B">
              <w:t>10,060</w:t>
            </w:r>
          </w:p>
        </w:tc>
        <w:tc>
          <w:tcPr>
            <w:tcW w:w="2517" w:type="dxa"/>
            <w:shd w:val="clear" w:color="auto" w:fill="DFECEF"/>
            <w:vAlign w:val="center"/>
          </w:tcPr>
          <w:p w:rsidR="00C149B0" w:rsidRPr="00A14D0B" w:rsidP="00A14D0B" w14:paraId="33B52803" w14:textId="77777777">
            <w:pPr>
              <w:pStyle w:val="73R"/>
              <w:rPr>
                <w:rtl/>
              </w:rPr>
            </w:pPr>
            <w:r w:rsidRPr="00A14D0B">
              <w:t>35%</w:t>
            </w:r>
          </w:p>
        </w:tc>
      </w:tr>
      <w:tr w14:paraId="72C35FE8" w14:textId="77777777" w:rsidTr="009C31CB">
        <w:tblPrEx>
          <w:tblW w:w="0" w:type="auto"/>
          <w:jc w:val="center"/>
          <w:tblLook w:val="04A0"/>
        </w:tblPrEx>
        <w:trPr>
          <w:jc w:val="center"/>
        </w:trPr>
        <w:tc>
          <w:tcPr>
            <w:tcW w:w="2781" w:type="dxa"/>
            <w:shd w:val="clear" w:color="auto" w:fill="F0F8F9"/>
            <w:vAlign w:val="center"/>
          </w:tcPr>
          <w:p w:rsidR="00C149B0" w:rsidRPr="00A14D0B" w:rsidP="00A14D0B" w14:paraId="1534811D" w14:textId="77777777">
            <w:pPr>
              <w:pStyle w:val="73R"/>
              <w:rPr>
                <w:rtl/>
              </w:rPr>
            </w:pPr>
            <w:r w:rsidRPr="00A14D0B">
              <w:rPr>
                <w:rFonts w:hint="cs"/>
                <w:rtl/>
              </w:rPr>
              <w:t>2023</w:t>
            </w:r>
          </w:p>
        </w:tc>
        <w:tc>
          <w:tcPr>
            <w:tcW w:w="1924" w:type="dxa"/>
            <w:shd w:val="clear" w:color="auto" w:fill="F0F8F9"/>
            <w:vAlign w:val="center"/>
          </w:tcPr>
          <w:p w:rsidR="00C149B0" w:rsidRPr="00A14D0B" w:rsidP="00A14D0B" w14:paraId="1A49F7A0" w14:textId="77777777">
            <w:pPr>
              <w:pStyle w:val="73R"/>
              <w:rPr>
                <w:rtl/>
              </w:rPr>
            </w:pPr>
            <w:r w:rsidRPr="00A14D0B">
              <w:t>7,630</w:t>
            </w:r>
          </w:p>
        </w:tc>
        <w:tc>
          <w:tcPr>
            <w:tcW w:w="2517" w:type="dxa"/>
            <w:shd w:val="clear" w:color="auto" w:fill="F0F8F9"/>
            <w:vAlign w:val="center"/>
          </w:tcPr>
          <w:p w:rsidR="00C149B0" w:rsidRPr="00A14D0B" w:rsidP="00A14D0B" w14:paraId="22AD708C" w14:textId="77777777">
            <w:pPr>
              <w:pStyle w:val="73R"/>
              <w:rPr>
                <w:rtl/>
              </w:rPr>
            </w:pPr>
            <w:r w:rsidRPr="00A14D0B">
              <w:t>27%</w:t>
            </w:r>
          </w:p>
        </w:tc>
      </w:tr>
      <w:tr w14:paraId="6C01018C" w14:textId="77777777" w:rsidTr="009C31CB">
        <w:tblPrEx>
          <w:tblW w:w="0" w:type="auto"/>
          <w:jc w:val="center"/>
          <w:tblLook w:val="04A0"/>
        </w:tblPrEx>
        <w:trPr>
          <w:jc w:val="center"/>
        </w:trPr>
        <w:tc>
          <w:tcPr>
            <w:tcW w:w="2781" w:type="dxa"/>
            <w:shd w:val="clear" w:color="auto" w:fill="DFECEF"/>
            <w:vAlign w:val="center"/>
          </w:tcPr>
          <w:p w:rsidR="00C149B0" w:rsidRPr="00A14D0B" w:rsidP="00A14D0B" w14:paraId="4C433833" w14:textId="77777777">
            <w:pPr>
              <w:pStyle w:val="73R"/>
              <w:rPr>
                <w:rtl/>
              </w:rPr>
            </w:pPr>
            <w:r w:rsidRPr="00A14D0B">
              <w:rPr>
                <w:rFonts w:hint="cs"/>
                <w:rtl/>
              </w:rPr>
              <w:t xml:space="preserve">2024 ואילך </w:t>
            </w:r>
          </w:p>
        </w:tc>
        <w:tc>
          <w:tcPr>
            <w:tcW w:w="1924" w:type="dxa"/>
            <w:shd w:val="clear" w:color="auto" w:fill="DFECEF"/>
            <w:vAlign w:val="center"/>
          </w:tcPr>
          <w:p w:rsidR="00C149B0" w:rsidRPr="00A14D0B" w:rsidP="00A14D0B" w14:paraId="49CFCC2D" w14:textId="77777777">
            <w:pPr>
              <w:pStyle w:val="73R"/>
              <w:rPr>
                <w:rtl/>
              </w:rPr>
            </w:pPr>
            <w:r w:rsidRPr="00A14D0B">
              <w:t>11,070</w:t>
            </w:r>
          </w:p>
        </w:tc>
        <w:tc>
          <w:tcPr>
            <w:tcW w:w="2517" w:type="dxa"/>
            <w:shd w:val="clear" w:color="auto" w:fill="DFECEF"/>
            <w:vAlign w:val="center"/>
          </w:tcPr>
          <w:p w:rsidR="00C149B0" w:rsidRPr="00A14D0B" w:rsidP="00A14D0B" w14:paraId="43D8B769" w14:textId="77777777">
            <w:pPr>
              <w:pStyle w:val="73R"/>
              <w:rPr>
                <w:rtl/>
              </w:rPr>
            </w:pPr>
            <w:r w:rsidRPr="00A14D0B">
              <w:t>38%</w:t>
            </w:r>
          </w:p>
        </w:tc>
      </w:tr>
      <w:tr w14:paraId="231E224B" w14:textId="77777777" w:rsidTr="009C31CB">
        <w:tblPrEx>
          <w:tblW w:w="0" w:type="auto"/>
          <w:jc w:val="center"/>
          <w:tblLook w:val="04A0"/>
        </w:tblPrEx>
        <w:trPr>
          <w:jc w:val="center"/>
        </w:trPr>
        <w:tc>
          <w:tcPr>
            <w:tcW w:w="2781" w:type="dxa"/>
            <w:shd w:val="clear" w:color="auto" w:fill="F0F8F9"/>
            <w:vAlign w:val="center"/>
          </w:tcPr>
          <w:p w:rsidR="00C149B0" w:rsidRPr="00A14D0B" w:rsidP="00A14D0B" w14:paraId="7DA53FDB" w14:textId="77777777">
            <w:pPr>
              <w:pStyle w:val="73R"/>
              <w:rPr>
                <w:b/>
                <w:bCs/>
                <w:rtl/>
              </w:rPr>
            </w:pPr>
            <w:r w:rsidRPr="00A14D0B">
              <w:rPr>
                <w:rFonts w:hint="cs"/>
                <w:b/>
                <w:bCs/>
                <w:rtl/>
              </w:rPr>
              <w:t>סה"כ</w:t>
            </w:r>
          </w:p>
        </w:tc>
        <w:tc>
          <w:tcPr>
            <w:tcW w:w="1924" w:type="dxa"/>
            <w:shd w:val="clear" w:color="auto" w:fill="F0F8F9"/>
            <w:vAlign w:val="center"/>
          </w:tcPr>
          <w:p w:rsidR="00C149B0" w:rsidRPr="00A14D0B" w:rsidP="00A14D0B" w14:paraId="478FB942" w14:textId="77777777">
            <w:pPr>
              <w:pStyle w:val="73R"/>
              <w:rPr>
                <w:b/>
                <w:bCs/>
                <w:rtl/>
              </w:rPr>
            </w:pPr>
            <w:r w:rsidRPr="00A14D0B">
              <w:rPr>
                <w:b/>
                <w:bCs/>
              </w:rPr>
              <w:t>28,760</w:t>
            </w:r>
          </w:p>
        </w:tc>
        <w:tc>
          <w:tcPr>
            <w:tcW w:w="2517" w:type="dxa"/>
            <w:shd w:val="clear" w:color="auto" w:fill="F0F8F9"/>
            <w:vAlign w:val="center"/>
          </w:tcPr>
          <w:p w:rsidR="00C149B0" w:rsidRPr="00A14D0B" w:rsidP="00A14D0B" w14:paraId="6FC2E6D3" w14:textId="77777777">
            <w:pPr>
              <w:pStyle w:val="73R"/>
              <w:rPr>
                <w:b/>
                <w:bCs/>
                <w:rtl/>
              </w:rPr>
            </w:pPr>
            <w:r w:rsidRPr="00A14D0B">
              <w:rPr>
                <w:b/>
                <w:bCs/>
              </w:rPr>
              <w:t>100%</w:t>
            </w:r>
          </w:p>
        </w:tc>
      </w:tr>
    </w:tbl>
    <w:p w:rsidR="00C149B0" w:rsidRPr="00A14D0B" w:rsidP="00A14D0B" w14:paraId="5616519D" w14:textId="77777777">
      <w:pPr>
        <w:pStyle w:val="738"/>
        <w:rPr>
          <w:rtl/>
        </w:rPr>
      </w:pPr>
      <w:r w:rsidRPr="00A14D0B">
        <w:rPr>
          <w:rFonts w:hint="cs"/>
          <w:rtl/>
        </w:rPr>
        <w:t>לפי מסמכי רפאל, בעיבוד משרד מבקר המדינה.</w:t>
      </w:r>
    </w:p>
    <w:p w:rsidR="00C149B0" w:rsidRPr="00A14D0B" w:rsidP="00A14D0B" w14:paraId="3145E0FB" w14:textId="77777777">
      <w:pPr>
        <w:pStyle w:val="7318"/>
        <w:rPr>
          <w:rtl/>
        </w:rPr>
      </w:pPr>
      <w:r w:rsidRPr="00A14D0B">
        <w:rPr>
          <w:rFonts w:hint="cs"/>
          <w:rtl/>
        </w:rPr>
        <w:t>בביקורת עלה כי רפאל מציגה בדוחותיה הכספיים את פילוח ההכנסה הצפויה מצבר ההזמנות בכל אחת מהשנתיים הבאות, ואת יתרת הסכום למימוש בשנים שלאחר מכן - בסכום כולל אחד, שלא על פי הפילוח שנקבע בחוזר רשות החברות. כמו כן, לא מובאים בדוח נתוני צבר ההזמנות לשנה הקודמת, כנדרש בחוזר האמור.</w:t>
      </w:r>
    </w:p>
    <w:p w:rsidR="00C149B0" w:rsidRPr="00A14D0B" w:rsidP="00A14D0B" w14:paraId="60D4DB11" w14:textId="77777777">
      <w:pPr>
        <w:pStyle w:val="7318"/>
        <w:rPr>
          <w:rtl/>
        </w:rPr>
      </w:pPr>
      <w:r w:rsidRPr="00A14D0B">
        <w:rPr>
          <w:rFonts w:hint="cs"/>
          <w:rtl/>
        </w:rPr>
        <w:t xml:space="preserve">מימוש צבר ההזמנות של רפאל נפרס על פני כמה שנים. אי לכך, קיימת חשיבות לגילוי נתונים בדוחות הכספיים הנוגעים לצבר: פירוט משך הזמן הצפוי למימושו, הצגת מספרי השוואה ופירוט לגבי השינויים שחלו בצבר. </w:t>
      </w:r>
    </w:p>
    <w:p w:rsidR="00C149B0" w:rsidRPr="00A14D0B" w:rsidP="00A14D0B" w14:paraId="60E50BDE" w14:textId="77777777">
      <w:pPr>
        <w:pStyle w:val="7318"/>
        <w:rPr>
          <w:rtl/>
        </w:rPr>
      </w:pPr>
      <w:r w:rsidRPr="00A14D0B">
        <w:rPr>
          <w:rFonts w:hint="cs"/>
          <w:rtl/>
        </w:rPr>
        <w:t>על רפאל להציג בדוחותיה הכספיים את פילוח ההכנסה הצפויה מצבר ההזמנות בחתך של רבעונים לתקופה הקרובה ובחתך של שנים לתקופות העוקבות, כנדרש בחוזר רשות החברות, וזאת לפחות למשך תקופת המחזור התפעולי של החברה</w:t>
      </w:r>
      <w:r>
        <w:rPr>
          <w:rStyle w:val="FootnoteReference0"/>
          <w:rtl/>
        </w:rPr>
        <w:footnoteReference w:id="44"/>
      </w:r>
      <w:r w:rsidRPr="00A14D0B">
        <w:rPr>
          <w:rFonts w:hint="cs"/>
          <w:rtl/>
        </w:rPr>
        <w:t>. כמו כן על רפאל להציג את נתוני ההשוואה של צבר ההזמנות לתאריך הדוח הקודם תוך ציון הביטולים והשינויים שחלו בהם. נתונים אלה עשויים לאפשר למשתמשים בדוחות הכספיים של רפאל לנתח את המגמות העולות מהשינויים בצבר ההזמנות שלה ולהעריך את זרם ההכנסות הצפוי לה בכל תקופה.</w:t>
      </w:r>
      <w:bookmarkStart w:id="22" w:name="_Toc115616203"/>
    </w:p>
    <w:p w:rsidR="00C149B0" w:rsidRPr="001E7361" w:rsidP="001E7361" w14:paraId="4E0524AE" w14:textId="77777777">
      <w:pPr>
        <w:pStyle w:val="733155"/>
        <w:rPr>
          <w:rtl/>
        </w:rPr>
      </w:pPr>
      <w:r w:rsidRPr="001E7361">
        <w:rPr>
          <w:rFonts w:hint="cs"/>
          <w:rtl/>
        </w:rPr>
        <w:t>שיעור עלות השכר מהמכירות</w:t>
      </w:r>
      <w:bookmarkEnd w:id="22"/>
      <w:r w:rsidRPr="001E7361">
        <w:rPr>
          <w:rFonts w:hint="cs"/>
          <w:rtl/>
        </w:rPr>
        <w:t xml:space="preserve"> </w:t>
      </w:r>
    </w:p>
    <w:p w:rsidR="00C149B0" w:rsidRPr="00D94367" w:rsidP="00A14D0B" w14:paraId="365D09AB" w14:textId="77777777">
      <w:pPr>
        <w:pStyle w:val="7392"/>
        <w:rPr>
          <w:rtl/>
        </w:rPr>
      </w:pPr>
      <w:r w:rsidRPr="00957866">
        <w:rPr>
          <w:rFonts w:hint="cs"/>
          <w:rtl/>
        </w:rPr>
        <w:t>הוצאות השכר הן מרכיב עיקרי בהוצאותיה של רפאל (כ-37% בממוצע מ</w:t>
      </w:r>
      <w:r w:rsidRPr="00957866">
        <w:rPr>
          <w:rtl/>
        </w:rPr>
        <w:t>הוצאות רפאל</w:t>
      </w:r>
      <w:r w:rsidRPr="00957866">
        <w:rPr>
          <w:rFonts w:hint="cs"/>
          <w:rtl/>
        </w:rPr>
        <w:t xml:space="preserve"> סולו</w:t>
      </w:r>
      <w:r>
        <w:rPr>
          <w:rStyle w:val="FootnoteReference0"/>
          <w:rtl/>
        </w:rPr>
        <w:footnoteReference w:id="45"/>
      </w:r>
      <w:r w:rsidRPr="00957866">
        <w:rPr>
          <w:rtl/>
        </w:rPr>
        <w:t xml:space="preserve"> בשנים 2017 - 2021</w:t>
      </w:r>
      <w:r w:rsidRPr="00957866">
        <w:rPr>
          <w:rFonts w:hint="cs"/>
          <w:rtl/>
        </w:rPr>
        <w:t>). היקף עלויות השכר משפיע במישרין על רווחיות החברה (</w:t>
      </w:r>
      <w:r>
        <w:rPr>
          <w:rFonts w:hint="cs"/>
          <w:rtl/>
        </w:rPr>
        <w:t>ה</w:t>
      </w:r>
      <w:r w:rsidRPr="00957866">
        <w:rPr>
          <w:rFonts w:hint="cs"/>
          <w:rtl/>
        </w:rPr>
        <w:t>גולמית ו</w:t>
      </w:r>
      <w:r>
        <w:rPr>
          <w:rFonts w:hint="cs"/>
          <w:rtl/>
        </w:rPr>
        <w:t>ה</w:t>
      </w:r>
      <w:r w:rsidRPr="00957866">
        <w:rPr>
          <w:rFonts w:hint="cs"/>
          <w:rtl/>
        </w:rPr>
        <w:t>תפעולית). שימוש במדד הבוחן את עלויות השכר בחברה ביחס למכירותיה מסייע בידי ההנהלה והדירקטוריון בין היתר בבחינת ההשפעה של היקפי כוח האדם המועסק ושל הסכמי השכר בין החברה לעובדיה על תוצאות פעילותה. יצוין כי רפאל מחלקת תגמול רבעוני לעובדים על בסיס עמידה ביעדים</w:t>
      </w:r>
      <w:r w:rsidRPr="00957866">
        <w:rPr>
          <w:rtl/>
        </w:rPr>
        <w:t xml:space="preserve">. התגמול </w:t>
      </w:r>
      <w:r w:rsidRPr="00957866">
        <w:rPr>
          <w:rFonts w:hint="cs"/>
          <w:rtl/>
        </w:rPr>
        <w:t xml:space="preserve">עוגן בהסכמי השכר, </w:t>
      </w:r>
      <w:r w:rsidRPr="00957866">
        <w:rPr>
          <w:rtl/>
        </w:rPr>
        <w:t>נתון לשיקול דעת החברה ו</w:t>
      </w:r>
      <w:r w:rsidRPr="00957866">
        <w:rPr>
          <w:rFonts w:hint="cs"/>
          <w:rtl/>
        </w:rPr>
        <w:t>מאושר</w:t>
      </w:r>
      <w:r w:rsidRPr="00957866">
        <w:rPr>
          <w:rtl/>
        </w:rPr>
        <w:t xml:space="preserve"> </w:t>
      </w:r>
      <w:r w:rsidRPr="00957866">
        <w:rPr>
          <w:rFonts w:hint="cs"/>
          <w:rtl/>
        </w:rPr>
        <w:t>על ידי</w:t>
      </w:r>
      <w:r w:rsidRPr="00957866">
        <w:rPr>
          <w:rtl/>
        </w:rPr>
        <w:t xml:space="preserve"> הדירקטוריון</w:t>
      </w:r>
      <w:r w:rsidRPr="00957866">
        <w:rPr>
          <w:rFonts w:hint="cs"/>
          <w:rtl/>
        </w:rPr>
        <w:t>.</w:t>
      </w:r>
    </w:p>
    <w:p w:rsidR="00C149B0" w:rsidP="00A14D0B" w14:paraId="2A48B286" w14:textId="77777777">
      <w:pPr>
        <w:pStyle w:val="7392"/>
        <w:rPr>
          <w:rtl/>
        </w:rPr>
      </w:pPr>
      <w:r w:rsidRPr="00D94367">
        <w:rPr>
          <w:rFonts w:hint="cs"/>
          <w:rtl/>
        </w:rPr>
        <w:t xml:space="preserve">להלן יוצג ניתוח של שיעור עלויות השכר מתוך סה"כ ההכנסות ממכירות בשנים </w:t>
      </w:r>
      <w:r>
        <w:rPr>
          <w:rtl/>
        </w:rPr>
        <w:br/>
      </w:r>
      <w:r w:rsidRPr="00D94367">
        <w:rPr>
          <w:rFonts w:hint="cs"/>
          <w:rtl/>
        </w:rPr>
        <w:t>2017 - 2021 כפי שנרשמו בדוחות הכספיים של רפאל (סולו)</w:t>
      </w:r>
      <w:r>
        <w:rPr>
          <w:rStyle w:val="FootnoteReference0"/>
          <w:rtl/>
        </w:rPr>
        <w:footnoteReference w:id="46"/>
      </w:r>
      <w:r w:rsidRPr="00D94367">
        <w:rPr>
          <w:rFonts w:hint="cs"/>
          <w:rtl/>
        </w:rPr>
        <w:t>.</w:t>
      </w:r>
    </w:p>
    <w:p w:rsidR="00C149B0" w:rsidRPr="00A14D0B" w:rsidP="00A14D0B" w14:paraId="03CF702D" w14:textId="698D1037">
      <w:pPr>
        <w:pStyle w:val="734"/>
        <w:rPr>
          <w:rtl/>
        </w:rPr>
      </w:pPr>
      <w:r w:rsidRPr="00A14D0B">
        <w:rPr>
          <w:rFonts w:hint="eastAsia"/>
          <w:b w:val="0"/>
          <w:bCs w:val="0"/>
          <w:rtl/>
        </w:rPr>
        <w:t>תרשים</w:t>
      </w:r>
      <w:r w:rsidRPr="00A14D0B">
        <w:rPr>
          <w:b w:val="0"/>
          <w:bCs w:val="0"/>
          <w:rtl/>
        </w:rPr>
        <w:t xml:space="preserve"> </w:t>
      </w:r>
      <w:r w:rsidRPr="00A14D0B">
        <w:rPr>
          <w:rFonts w:hint="cs"/>
          <w:b w:val="0"/>
          <w:bCs w:val="0"/>
          <w:rtl/>
        </w:rPr>
        <w:t>21</w:t>
      </w:r>
      <w:r w:rsidRPr="00A14D0B">
        <w:rPr>
          <w:b w:val="0"/>
          <w:bCs w:val="0"/>
          <w:rtl/>
        </w:rPr>
        <w:t>:</w:t>
      </w:r>
      <w:r w:rsidRPr="00A14D0B">
        <w:rPr>
          <w:rFonts w:hint="cs"/>
          <w:rtl/>
        </w:rPr>
        <w:t xml:space="preserve"> שיעור עלויות השכר מתוך סה"כ ההכנסות ממכירות (סולו),</w:t>
      </w:r>
      <w:r w:rsidR="00A14D0B">
        <w:rPr>
          <w:rtl/>
        </w:rPr>
        <w:br/>
      </w:r>
      <w:r w:rsidRPr="00A14D0B">
        <w:rPr>
          <w:rFonts w:hint="cs"/>
          <w:rtl/>
        </w:rPr>
        <w:t>2017 - 2021 (במיליוני ש"ח)</w:t>
      </w:r>
    </w:p>
    <w:p w:rsidR="00C149B0" w:rsidRPr="00D94367" w:rsidP="00A14D0B" w14:paraId="480F24BF" w14:textId="77777777">
      <w:pPr>
        <w:tabs>
          <w:tab w:val="left" w:pos="567"/>
          <w:tab w:val="left" w:pos="851"/>
        </w:tabs>
        <w:spacing w:line="269" w:lineRule="auto"/>
        <w:ind w:firstLine="21"/>
        <w:jc w:val="center"/>
        <w:rPr>
          <w:b/>
          <w:bCs/>
          <w:sz w:val="24"/>
          <w:rtl/>
        </w:rPr>
      </w:pPr>
      <w:r w:rsidRPr="00D94367">
        <w:rPr>
          <w:noProof/>
          <w:szCs w:val="20"/>
          <w:rtl/>
        </w:rPr>
        <w:drawing>
          <wp:inline distT="0" distB="0" distL="0" distR="0">
            <wp:extent cx="4630293" cy="2925433"/>
            <wp:effectExtent l="0" t="0" r="5715" b="0"/>
            <wp:docPr id="1451066642" name="תמונה 1451066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2" name="תמונה 1451066642"/>
                    <pic:cNvPicPr>
                      <a:picLocks noChangeAspect="1" noChangeArrowheads="1"/>
                    </pic:cNvPicPr>
                  </pic:nvPicPr>
                  <pic:blipFill>
                    <a:blip xmlns:r="http://schemas.openxmlformats.org/officeDocument/2006/relationships" r:embed="rId49">
                      <a:extLst>
                        <a:ext xmlns:a="http://schemas.openxmlformats.org/drawingml/2006/main" uri="{28A0092B-C50C-407E-A947-70E740481C1C}">
                          <a14:useLocalDpi xmlns:a14="http://schemas.microsoft.com/office/drawing/2010/main" val="0"/>
                        </a:ext>
                      </a:extLst>
                    </a:blip>
                    <a:srcRect l="2174" r="2174"/>
                    <a:stretch>
                      <a:fillRect/>
                    </a:stretch>
                  </pic:blipFill>
                  <pic:spPr bwMode="auto">
                    <a:xfrm>
                      <a:off x="0" y="0"/>
                      <a:ext cx="4630293" cy="2925433"/>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C149B0" w:rsidRPr="003A6069" w:rsidP="003A6069" w14:paraId="08018849" w14:textId="0C6D387F">
      <w:pPr>
        <w:pStyle w:val="738"/>
        <w:rPr>
          <w:rtl/>
        </w:rPr>
      </w:pPr>
      <w:r w:rsidRPr="003A6069">
        <w:rPr>
          <w:rFonts w:hint="cs"/>
          <w:rtl/>
        </w:rPr>
        <w:t>לפי הדוחות הכספיים של רפאל לשנים 2017 - 2021, בעיבוד משרד מבקר המדינה.</w:t>
      </w:r>
    </w:p>
    <w:p w:rsidR="00C149B0" w:rsidRPr="003A6069" w:rsidP="003A6069" w14:paraId="3DD60447" w14:textId="77777777">
      <w:pPr>
        <w:pStyle w:val="7318"/>
        <w:rPr>
          <w:rtl/>
        </w:rPr>
      </w:pPr>
      <w:r w:rsidRPr="003A6069">
        <w:rPr>
          <w:rFonts w:hint="cs"/>
          <w:rtl/>
        </w:rPr>
        <w:t>מהתרשים עולה כי בשנים 2018 - 2021 גדל שיעור עלות השכר מתוך ההכנסות ממכירות בכ-4%. עוד עולה כי לעומת גידול ממוצע של כ-5% במצבת העובדים הממוצעת וגידול ממוצע של כ-3% בהכנסות ממכירות בשנים אלו, גדלו עלות השכר הכוללת בשיעור של כ-13% (יותר מפי שניים מהגידול במצבת העובדים), ועלות השכר הממוצעת לעובד בשיעור של כ-7%. כמו כן עולה כי בשנת 2021 גדל שיעור עלות השכר מתוך סה"כ ההכנסות ממכירות לעומת השנה הקודמת בכ-2%; וכי בעוד שמצבת העובדים הממוצעת גדלה בשיעור של כ-1.1%, גדלו סה"כ עלויות השכר ועלות השכר הממוצעת לעובד בשיעור של כ-3.6% וכ-2.5%, בהתאמה.</w:t>
      </w:r>
    </w:p>
    <w:p w:rsidR="00C149B0" w:rsidRPr="003A6069" w:rsidP="003A6069" w14:paraId="566EF4A1" w14:textId="77777777">
      <w:pPr>
        <w:pStyle w:val="7392"/>
        <w:rPr>
          <w:rtl/>
        </w:rPr>
      </w:pPr>
      <w:r w:rsidRPr="003A6069">
        <w:rPr>
          <w:rFonts w:hint="cs"/>
          <w:rtl/>
        </w:rPr>
        <w:t>בדוחותיה השנתיים של רפאל לתקופה הנבדקת (2017 - 2021) פירטה החברה את גורמי הסיכון שהיא חשופה להם, כפי שמופו, זוהו ותועדפו במסגרת פעילות שביצעה בנושא ניהול סיכונים בשנים 2010 - 2021. בין גורמי הסיכון כללה החברה סיכון הקרוי "ניהול ההון האנושי ויחסי עבודה", ולפיו היא חשופה לחריגה בעלויות שכר ובסמכויות ניהוליות אשר תפגע ברווחיותה לטווח הקצר ולטווח הארוך. החברה ציינה כי היא פועלת לצמצם את החשיפה, וכי היא חתמה על הסכמי שכר עם כל הוועדים</w:t>
      </w:r>
      <w:r>
        <w:rPr>
          <w:rStyle w:val="FootnoteReference0"/>
          <w:rtl/>
        </w:rPr>
        <w:footnoteReference w:id="47"/>
      </w:r>
      <w:r w:rsidRPr="003A6069">
        <w:rPr>
          <w:rFonts w:hint="cs"/>
          <w:rtl/>
        </w:rPr>
        <w:t xml:space="preserve">; הסכמים שהם בעלי השפעה גבוהה על עתידה. </w:t>
      </w:r>
    </w:p>
    <w:p w:rsidR="00C149B0" w:rsidRPr="003A6069" w:rsidP="003A6069" w14:paraId="79ABA059" w14:textId="77777777">
      <w:pPr>
        <w:pStyle w:val="7392"/>
        <w:rPr>
          <w:rtl/>
        </w:rPr>
      </w:pPr>
      <w:r w:rsidRPr="003A6069">
        <w:rPr>
          <w:rFonts w:hint="cs"/>
          <w:rtl/>
        </w:rPr>
        <w:t xml:space="preserve">ועדת כספים והשקעות של דירקטוריון רפאל עקבה לאורך השנים אחר הגידול בהוצאות השכר. למשל, בישיבת הוועדה ב-18.3.21 לסיכום שנת 2020 והצגת הדוחות הכספיים ציין יו"ר הוועדה את הגידול בשיעור עלות השכר מתוך סך כל ההכנסות ממכירות לעומת שנים קודמות. </w:t>
      </w:r>
    </w:p>
    <w:p w:rsidR="00C149B0" w:rsidRPr="003A6069" w:rsidP="003A6069" w14:paraId="48336AB2" w14:textId="77777777">
      <w:pPr>
        <w:pStyle w:val="7318"/>
        <w:rPr>
          <w:rtl/>
        </w:rPr>
      </w:pPr>
      <w:r w:rsidRPr="003A6069">
        <w:rPr>
          <w:rFonts w:hint="cs"/>
          <w:rtl/>
        </w:rPr>
        <w:t xml:space="preserve">הסביבה העסקית שבה פועלת רפאל מעמידה אותה בתחרות על המשאב האנושי עם חברות היי-טק, לרבות מהשוק האזרחי, בדגש על כוח אדם מהתחום הטכנולוגי; תחרות שהלכה וגברה בשנים האחרונות אשר משפיעה על השכר שהיא מציעה ביחס לשכר שמוצע בחברות המתחרות. עם זאת, </w:t>
      </w:r>
      <w:r w:rsidRPr="003A6069">
        <w:rPr>
          <w:rFonts w:hint="eastAsia"/>
          <w:rtl/>
        </w:rPr>
        <w:t>לעלייה</w:t>
      </w:r>
      <w:r w:rsidRPr="003A6069">
        <w:rPr>
          <w:rFonts w:hint="cs"/>
          <w:rtl/>
        </w:rPr>
        <w:t xml:space="preserve"> במדד עלויות השכר ביחס להכנסות ממכירות יש השפעה ישירה על רווחיות החברה ועל כושר התחרות שלה. זאת נוכח העלייה במדד זה בשנים 2018 - 2021 בשיעור של </w:t>
      </w:r>
      <w:r w:rsidRPr="003A6069">
        <w:rPr>
          <w:rtl/>
        </w:rPr>
        <w:t>כ-1</w:t>
      </w:r>
      <w:r w:rsidRPr="003A6069">
        <w:rPr>
          <w:rFonts w:hint="cs"/>
          <w:rtl/>
        </w:rPr>
        <w:t>2%, ובייחוד נוכח הצפי להמשך העלייה בשנים 2022 - 2024 בכ-4% לעומת שנת 2021.</w:t>
      </w:r>
    </w:p>
    <w:p w:rsidR="00C149B0" w:rsidRPr="003A6069" w:rsidP="003A6069" w14:paraId="77910BF2" w14:textId="77777777">
      <w:pPr>
        <w:pStyle w:val="7318"/>
        <w:rPr>
          <w:rtl/>
        </w:rPr>
      </w:pPr>
      <w:r w:rsidRPr="003A6069">
        <w:rPr>
          <w:rFonts w:hint="cs"/>
          <w:rtl/>
        </w:rPr>
        <w:t>מומלץ כי הנהלת רפאל תמשיך לפעול למיפוי הצעדים הנדרשים לצמצום הסיכון של הגידול בעלויות השכר ותנקוט את הפעולות המתחייבות לשינוי במגמת העלייה האמורה. כמו כן מומלץ כי דירקטוריון רפאל ימשיך לעקוב אחר פעולות ההנהלה בעניין זה.</w:t>
      </w:r>
    </w:p>
    <w:p w:rsidR="00C149B0" w:rsidRPr="001E7361" w:rsidP="001E7361" w14:paraId="12844897" w14:textId="77777777">
      <w:pPr>
        <w:pStyle w:val="733155"/>
        <w:rPr>
          <w:rtl/>
        </w:rPr>
      </w:pPr>
      <w:bookmarkStart w:id="23" w:name="_Toc63925926"/>
      <w:bookmarkStart w:id="24" w:name="_Toc115616204"/>
      <w:r w:rsidRPr="001E7361">
        <w:rPr>
          <w:rFonts w:hint="cs"/>
          <w:rtl/>
        </w:rPr>
        <w:t>הכנסות ורווח גולמי לעובד</w:t>
      </w:r>
      <w:bookmarkEnd w:id="23"/>
      <w:bookmarkEnd w:id="24"/>
    </w:p>
    <w:p w:rsidR="00C149B0" w:rsidRPr="003A6069" w:rsidP="003A6069" w14:paraId="77E17E20" w14:textId="77777777">
      <w:pPr>
        <w:pStyle w:val="7392"/>
        <w:rPr>
          <w:rtl/>
        </w:rPr>
      </w:pPr>
      <w:r w:rsidRPr="003A6069">
        <w:rPr>
          <w:rFonts w:hint="cs"/>
          <w:rtl/>
        </w:rPr>
        <w:t xml:space="preserve">מהדוחות השנתיים של רפאל </w:t>
      </w:r>
      <w:r w:rsidRPr="003A6069">
        <w:rPr>
          <w:rStyle w:val="CommentReference"/>
          <w:rFonts w:hint="eastAsia"/>
          <w:sz w:val="18"/>
          <w:szCs w:val="18"/>
          <w:rtl/>
        </w:rPr>
        <w:t>עולה</w:t>
      </w:r>
      <w:r w:rsidRPr="003A6069">
        <w:rPr>
          <w:rStyle w:val="CommentReference"/>
          <w:sz w:val="18"/>
          <w:szCs w:val="18"/>
          <w:rtl/>
        </w:rPr>
        <w:t xml:space="preserve"> </w:t>
      </w:r>
      <w:r w:rsidRPr="003A6069">
        <w:rPr>
          <w:rFonts w:hint="cs"/>
          <w:rtl/>
        </w:rPr>
        <w:t>כי מצבת כוח האדם ברפאל (סולו) ל-31.12.17</w:t>
      </w:r>
      <w:r w:rsidRPr="003A6069">
        <w:rPr>
          <w:rtl/>
        </w:rPr>
        <w:br/>
      </w:r>
      <w:r w:rsidRPr="003A6069">
        <w:rPr>
          <w:rFonts w:hint="cs"/>
          <w:rtl/>
        </w:rPr>
        <w:t xml:space="preserve">ול-31.12.21 מנתה 7,406 ו-8,019 עובדים בהתאמה (גידול של כ-8%). ב-31.12.21 מנתה מצבת העובדים בקבוצת רפאל 9,517 עובדים. </w:t>
      </w:r>
    </w:p>
    <w:p w:rsidR="00C149B0" w:rsidRPr="003A6069" w:rsidP="003A6069" w14:paraId="20B09773" w14:textId="77777777">
      <w:pPr>
        <w:pStyle w:val="7392"/>
        <w:rPr>
          <w:rtl/>
        </w:rPr>
      </w:pPr>
      <w:r w:rsidRPr="003A6069">
        <w:rPr>
          <w:rFonts w:hint="cs"/>
          <w:rtl/>
        </w:rPr>
        <w:t>להלן יובא פירוט בדבר מצבת כוח האדם בקבוצת רפאל ל-31.12 בשנים 2017 - 2021 ומספר העובדים הממוצע בכל שנה</w:t>
      </w:r>
      <w:r>
        <w:rPr>
          <w:rStyle w:val="FootnoteReference0"/>
          <w:rtl/>
        </w:rPr>
        <w:footnoteReference w:id="48"/>
      </w:r>
      <w:r w:rsidRPr="003A6069">
        <w:rPr>
          <w:rFonts w:hint="cs"/>
          <w:rtl/>
        </w:rPr>
        <w:t>:</w:t>
      </w:r>
    </w:p>
    <w:p w:rsidR="00EE10D2" w14:paraId="22708F4B" w14:textId="77777777">
      <w:pPr>
        <w:bidi w:val="0"/>
        <w:spacing w:after="200" w:line="276" w:lineRule="auto"/>
        <w:rPr>
          <w:rFonts w:ascii="Tahoma" w:hAnsi="Tahoma" w:eastAsiaTheme="minorEastAsia" w:cs="Tahoma"/>
          <w:color w:val="0D0D0D" w:themeColor="text1" w:themeTint="F2"/>
          <w:szCs w:val="20"/>
          <w:rtl/>
        </w:rPr>
      </w:pPr>
      <w:r>
        <w:rPr>
          <w:b/>
          <w:bCs/>
          <w:rtl/>
        </w:rPr>
        <w:br w:type="page"/>
      </w:r>
    </w:p>
    <w:p w:rsidR="00C149B0" w:rsidRPr="003A6069" w:rsidP="003A6069" w14:paraId="31AEDA24" w14:textId="595163DA">
      <w:pPr>
        <w:pStyle w:val="734"/>
        <w:rPr>
          <w:rtl/>
        </w:rPr>
      </w:pPr>
      <w:r w:rsidRPr="003A6069">
        <w:rPr>
          <w:rFonts w:hint="eastAsia"/>
          <w:b w:val="0"/>
          <w:bCs w:val="0"/>
          <w:rtl/>
        </w:rPr>
        <w:t>לוח</w:t>
      </w:r>
      <w:r w:rsidRPr="003A6069">
        <w:rPr>
          <w:b w:val="0"/>
          <w:bCs w:val="0"/>
          <w:rtl/>
        </w:rPr>
        <w:t xml:space="preserve"> </w:t>
      </w:r>
      <w:r w:rsidRPr="003A6069">
        <w:rPr>
          <w:rFonts w:hint="cs"/>
          <w:b w:val="0"/>
          <w:bCs w:val="0"/>
          <w:rtl/>
        </w:rPr>
        <w:t>5</w:t>
      </w:r>
      <w:r w:rsidRPr="003A6069">
        <w:rPr>
          <w:b w:val="0"/>
          <w:bCs w:val="0"/>
          <w:rtl/>
        </w:rPr>
        <w:t>:</w:t>
      </w:r>
      <w:r w:rsidRPr="003A6069">
        <w:rPr>
          <w:rtl/>
        </w:rPr>
        <w:t xml:space="preserve"> מצבת כ</w:t>
      </w:r>
      <w:r w:rsidRPr="003A6069">
        <w:rPr>
          <w:rFonts w:hint="eastAsia"/>
          <w:rtl/>
        </w:rPr>
        <w:t>וח</w:t>
      </w:r>
      <w:r w:rsidRPr="003A6069">
        <w:rPr>
          <w:rtl/>
        </w:rPr>
        <w:t xml:space="preserve"> </w:t>
      </w:r>
      <w:r w:rsidRPr="003A6069">
        <w:rPr>
          <w:rFonts w:hint="eastAsia"/>
          <w:rtl/>
        </w:rPr>
        <w:t>האדם</w:t>
      </w:r>
      <w:r w:rsidRPr="003A6069">
        <w:rPr>
          <w:rtl/>
        </w:rPr>
        <w:t xml:space="preserve"> </w:t>
      </w:r>
      <w:r w:rsidRPr="003A6069">
        <w:rPr>
          <w:rFonts w:hint="eastAsia"/>
          <w:rtl/>
        </w:rPr>
        <w:t>בקבוצת</w:t>
      </w:r>
      <w:r w:rsidRPr="003A6069">
        <w:rPr>
          <w:rtl/>
        </w:rPr>
        <w:t xml:space="preserve"> </w:t>
      </w:r>
      <w:r w:rsidRPr="003A6069">
        <w:rPr>
          <w:rFonts w:hint="eastAsia"/>
          <w:rtl/>
        </w:rPr>
        <w:t>רפאל</w:t>
      </w:r>
      <w:r w:rsidRPr="003A6069">
        <w:rPr>
          <w:rFonts w:hint="cs"/>
          <w:rtl/>
        </w:rPr>
        <w:t>,</w:t>
      </w:r>
      <w:r w:rsidRPr="003A6069">
        <w:rPr>
          <w:rtl/>
        </w:rPr>
        <w:t xml:space="preserve"> 2017 - 2021</w:t>
      </w:r>
      <w:r w:rsidRPr="003A6069">
        <w:rPr>
          <w:rFonts w:hint="cs"/>
          <w:rtl/>
        </w:rPr>
        <w:t>,</w:t>
      </w:r>
      <w:r w:rsidRPr="003A6069">
        <w:rPr>
          <w:rtl/>
        </w:rPr>
        <w:t xml:space="preserve"> </w:t>
      </w:r>
      <w:r w:rsidRPr="003A6069">
        <w:rPr>
          <w:rtl/>
        </w:rPr>
        <w:br/>
      </w:r>
      <w:r w:rsidRPr="003A6069">
        <w:rPr>
          <w:rFonts w:hint="cs"/>
          <w:rtl/>
        </w:rPr>
        <w:t>ו</w:t>
      </w:r>
      <w:r w:rsidRPr="003A6069">
        <w:rPr>
          <w:rFonts w:hint="eastAsia"/>
          <w:rtl/>
        </w:rPr>
        <w:t>מספר</w:t>
      </w:r>
      <w:r w:rsidRPr="003A6069">
        <w:rPr>
          <w:rtl/>
        </w:rPr>
        <w:t xml:space="preserve"> </w:t>
      </w:r>
      <w:r w:rsidRPr="003A6069">
        <w:rPr>
          <w:rFonts w:hint="eastAsia"/>
          <w:rtl/>
        </w:rPr>
        <w:t>העובדים</w:t>
      </w:r>
      <w:r w:rsidRPr="003A6069">
        <w:rPr>
          <w:rtl/>
        </w:rPr>
        <w:t xml:space="preserve"> </w:t>
      </w:r>
      <w:r w:rsidRPr="003A6069">
        <w:rPr>
          <w:rFonts w:hint="eastAsia"/>
          <w:rtl/>
        </w:rPr>
        <w:t>הממוצע</w:t>
      </w:r>
      <w:r w:rsidRPr="003A6069">
        <w:rPr>
          <w:rtl/>
        </w:rPr>
        <w:t xml:space="preserve"> </w:t>
      </w:r>
      <w:r w:rsidRPr="003A6069">
        <w:rPr>
          <w:rFonts w:hint="eastAsia"/>
          <w:rtl/>
        </w:rPr>
        <w:t>בכל</w:t>
      </w:r>
      <w:r w:rsidRPr="003A6069">
        <w:rPr>
          <w:rtl/>
        </w:rPr>
        <w:t xml:space="preserve"> </w:t>
      </w:r>
      <w:r w:rsidRPr="003A6069">
        <w:rPr>
          <w:rFonts w:hint="eastAsia"/>
          <w:rtl/>
        </w:rPr>
        <w:t>שנה</w:t>
      </w:r>
    </w:p>
    <w:tbl>
      <w:tblPr>
        <w:bidiVisual/>
        <w:tblW w:w="7228" w:type="dxa"/>
        <w:tblBorders>
          <w:left w:val="single" w:sz="4" w:space="0" w:color="000000" w:themeColor="text1"/>
          <w:right w:val="single" w:sz="4" w:space="0" w:color="000000" w:themeColor="text1"/>
          <w:insideV w:val="single" w:sz="4" w:space="0" w:color="000000" w:themeColor="text1"/>
        </w:tblBorders>
        <w:tblLook w:val="04A0"/>
      </w:tblPr>
      <w:tblGrid>
        <w:gridCol w:w="1310"/>
        <w:gridCol w:w="1808"/>
        <w:gridCol w:w="1701"/>
        <w:gridCol w:w="2409"/>
      </w:tblGrid>
      <w:tr w14:paraId="26925759" w14:textId="77777777" w:rsidTr="003A6069">
        <w:tblPrEx>
          <w:tblW w:w="7228" w:type="dxa"/>
          <w:tblBorders>
            <w:left w:val="single" w:sz="4" w:space="0" w:color="000000" w:themeColor="text1"/>
            <w:right w:val="single" w:sz="4" w:space="0" w:color="000000" w:themeColor="text1"/>
            <w:insideV w:val="single" w:sz="4" w:space="0" w:color="000000" w:themeColor="text1"/>
          </w:tblBorders>
          <w:tblLook w:val="04A0"/>
        </w:tblPrEx>
        <w:trPr>
          <w:trHeight w:val="300"/>
        </w:trPr>
        <w:tc>
          <w:tcPr>
            <w:tcW w:w="1310" w:type="dxa"/>
            <w:shd w:val="clear" w:color="auto" w:fill="C8DCE4"/>
            <w:noWrap/>
            <w:vAlign w:val="bottom"/>
            <w:hideMark/>
          </w:tcPr>
          <w:p w:rsidR="00C149B0" w:rsidRPr="003A6069" w:rsidP="003A6069" w14:paraId="1BF355DF" w14:textId="77777777">
            <w:pPr>
              <w:pStyle w:val="73R"/>
              <w:rPr>
                <w:b/>
                <w:bCs/>
              </w:rPr>
            </w:pPr>
            <w:r w:rsidRPr="003A6069">
              <w:rPr>
                <w:b/>
                <w:bCs/>
                <w:rtl/>
              </w:rPr>
              <w:t>שנה</w:t>
            </w:r>
          </w:p>
        </w:tc>
        <w:tc>
          <w:tcPr>
            <w:tcW w:w="1808" w:type="dxa"/>
            <w:shd w:val="clear" w:color="auto" w:fill="C8DCE4"/>
            <w:noWrap/>
            <w:vAlign w:val="bottom"/>
            <w:hideMark/>
          </w:tcPr>
          <w:p w:rsidR="00C149B0" w:rsidRPr="003A6069" w:rsidP="003A6069" w14:paraId="613207BA" w14:textId="77777777">
            <w:pPr>
              <w:pStyle w:val="73R"/>
              <w:rPr>
                <w:b/>
                <w:bCs/>
                <w:rtl/>
              </w:rPr>
            </w:pPr>
            <w:r w:rsidRPr="003A6069">
              <w:rPr>
                <w:rFonts w:hint="cs"/>
                <w:b/>
                <w:bCs/>
                <w:rtl/>
              </w:rPr>
              <w:t>מצבת</w:t>
            </w:r>
            <w:r w:rsidRPr="003A6069">
              <w:rPr>
                <w:b/>
                <w:bCs/>
                <w:rtl/>
              </w:rPr>
              <w:t xml:space="preserve"> עובדים </w:t>
            </w:r>
            <w:r w:rsidRPr="003A6069">
              <w:rPr>
                <w:b/>
                <w:bCs/>
                <w:rtl/>
              </w:rPr>
              <w:br/>
            </w:r>
            <w:r w:rsidRPr="003A6069">
              <w:rPr>
                <w:rFonts w:hint="cs"/>
                <w:b/>
                <w:bCs/>
                <w:rtl/>
              </w:rPr>
              <w:t>ב-31.12</w:t>
            </w:r>
          </w:p>
        </w:tc>
        <w:tc>
          <w:tcPr>
            <w:tcW w:w="1701" w:type="dxa"/>
            <w:shd w:val="clear" w:color="auto" w:fill="C8DCE4"/>
            <w:noWrap/>
            <w:vAlign w:val="bottom"/>
            <w:hideMark/>
          </w:tcPr>
          <w:p w:rsidR="00C149B0" w:rsidRPr="003A6069" w:rsidP="003A6069" w14:paraId="575F61DB" w14:textId="77777777">
            <w:pPr>
              <w:pStyle w:val="73R"/>
              <w:rPr>
                <w:b/>
                <w:bCs/>
                <w:rtl/>
              </w:rPr>
            </w:pPr>
            <w:r w:rsidRPr="003A6069">
              <w:rPr>
                <w:rFonts w:hint="cs"/>
                <w:b/>
                <w:bCs/>
                <w:rtl/>
              </w:rPr>
              <w:t>מצבת</w:t>
            </w:r>
            <w:r w:rsidRPr="003A6069">
              <w:rPr>
                <w:b/>
                <w:bCs/>
                <w:rtl/>
              </w:rPr>
              <w:t xml:space="preserve"> </w:t>
            </w:r>
            <w:r w:rsidRPr="003A6069">
              <w:rPr>
                <w:rFonts w:hint="cs"/>
                <w:b/>
                <w:bCs/>
                <w:rtl/>
              </w:rPr>
              <w:t>ה</w:t>
            </w:r>
            <w:r w:rsidRPr="003A6069">
              <w:rPr>
                <w:b/>
                <w:bCs/>
                <w:rtl/>
              </w:rPr>
              <w:t xml:space="preserve">עובדים </w:t>
            </w:r>
            <w:r w:rsidRPr="003A6069">
              <w:rPr>
                <w:rFonts w:hint="cs"/>
                <w:b/>
                <w:bCs/>
                <w:rtl/>
              </w:rPr>
              <w:t>ה</w:t>
            </w:r>
            <w:r w:rsidRPr="003A6069">
              <w:rPr>
                <w:b/>
                <w:bCs/>
                <w:rtl/>
              </w:rPr>
              <w:t>ממוצע</w:t>
            </w:r>
            <w:r w:rsidRPr="003A6069">
              <w:rPr>
                <w:rFonts w:hint="cs"/>
                <w:b/>
                <w:bCs/>
                <w:rtl/>
              </w:rPr>
              <w:t>ת</w:t>
            </w:r>
          </w:p>
        </w:tc>
        <w:tc>
          <w:tcPr>
            <w:tcW w:w="2409" w:type="dxa"/>
            <w:shd w:val="clear" w:color="auto" w:fill="C8DCE4"/>
            <w:vAlign w:val="bottom"/>
          </w:tcPr>
          <w:p w:rsidR="00C149B0" w:rsidRPr="003A6069" w:rsidP="003A6069" w14:paraId="0139EEFF" w14:textId="77777777">
            <w:pPr>
              <w:pStyle w:val="73R"/>
              <w:rPr>
                <w:b/>
                <w:bCs/>
                <w:rtl/>
              </w:rPr>
            </w:pPr>
            <w:r w:rsidRPr="003A6069">
              <w:rPr>
                <w:rFonts w:hint="cs"/>
                <w:b/>
                <w:bCs/>
                <w:rtl/>
              </w:rPr>
              <w:t>שיעור הגידול השנתי במצבת העובדים הממוצעת</w:t>
            </w:r>
          </w:p>
        </w:tc>
      </w:tr>
      <w:tr w14:paraId="2E8C89FB" w14:textId="77777777" w:rsidTr="003A6069">
        <w:tblPrEx>
          <w:tblW w:w="7228" w:type="dxa"/>
          <w:tblLook w:val="04A0"/>
        </w:tblPrEx>
        <w:trPr>
          <w:trHeight w:val="315"/>
        </w:trPr>
        <w:tc>
          <w:tcPr>
            <w:tcW w:w="1310" w:type="dxa"/>
            <w:shd w:val="clear" w:color="auto" w:fill="DFECEF"/>
            <w:noWrap/>
            <w:vAlign w:val="bottom"/>
            <w:hideMark/>
          </w:tcPr>
          <w:p w:rsidR="00C149B0" w:rsidRPr="003A6069" w:rsidP="003A6069" w14:paraId="572DB957" w14:textId="77777777">
            <w:pPr>
              <w:pStyle w:val="73R"/>
              <w:rPr>
                <w:rtl/>
              </w:rPr>
            </w:pPr>
            <w:r w:rsidRPr="003A6069">
              <w:rPr>
                <w:rtl/>
              </w:rPr>
              <w:t>2017</w:t>
            </w:r>
          </w:p>
        </w:tc>
        <w:tc>
          <w:tcPr>
            <w:tcW w:w="1808" w:type="dxa"/>
            <w:shd w:val="clear" w:color="auto" w:fill="DFECEF"/>
            <w:noWrap/>
            <w:vAlign w:val="bottom"/>
            <w:hideMark/>
          </w:tcPr>
          <w:p w:rsidR="00C149B0" w:rsidRPr="003A6069" w:rsidP="003A6069" w14:paraId="102C12F1" w14:textId="77777777">
            <w:pPr>
              <w:pStyle w:val="73R"/>
              <w:rPr>
                <w:rtl/>
              </w:rPr>
            </w:pPr>
            <w:r w:rsidRPr="003A6069">
              <w:rPr>
                <w:rtl/>
              </w:rPr>
              <w:t>7,624</w:t>
            </w:r>
          </w:p>
        </w:tc>
        <w:tc>
          <w:tcPr>
            <w:tcW w:w="1701" w:type="dxa"/>
            <w:shd w:val="clear" w:color="auto" w:fill="DFECEF"/>
            <w:noWrap/>
            <w:vAlign w:val="bottom"/>
            <w:hideMark/>
          </w:tcPr>
          <w:p w:rsidR="00C149B0" w:rsidRPr="003A6069" w:rsidP="003A6069" w14:paraId="05DF588F" w14:textId="77777777">
            <w:pPr>
              <w:pStyle w:val="73R"/>
              <w:rPr>
                <w:rtl/>
              </w:rPr>
            </w:pPr>
            <w:r w:rsidRPr="003A6069">
              <w:rPr>
                <w:rFonts w:hint="cs"/>
                <w:rtl/>
              </w:rPr>
              <w:t>7,640</w:t>
            </w:r>
          </w:p>
        </w:tc>
        <w:tc>
          <w:tcPr>
            <w:tcW w:w="2409" w:type="dxa"/>
            <w:shd w:val="clear" w:color="auto" w:fill="DFECEF"/>
          </w:tcPr>
          <w:p w:rsidR="00C149B0" w:rsidRPr="003A6069" w:rsidP="003A6069" w14:paraId="6455117B" w14:textId="77777777">
            <w:pPr>
              <w:pStyle w:val="73R"/>
              <w:rPr>
                <w:rtl/>
              </w:rPr>
            </w:pPr>
            <w:r w:rsidRPr="003A6069">
              <w:rPr>
                <w:rFonts w:hint="cs"/>
                <w:rtl/>
              </w:rPr>
              <w:t>---</w:t>
            </w:r>
          </w:p>
        </w:tc>
      </w:tr>
      <w:tr w14:paraId="37D76364" w14:textId="77777777" w:rsidTr="003A6069">
        <w:tblPrEx>
          <w:tblW w:w="7228" w:type="dxa"/>
          <w:tblLook w:val="04A0"/>
        </w:tblPrEx>
        <w:trPr>
          <w:trHeight w:val="315"/>
        </w:trPr>
        <w:tc>
          <w:tcPr>
            <w:tcW w:w="1310" w:type="dxa"/>
            <w:shd w:val="clear" w:color="auto" w:fill="F0F8F9"/>
            <w:noWrap/>
            <w:vAlign w:val="bottom"/>
            <w:hideMark/>
          </w:tcPr>
          <w:p w:rsidR="00C149B0" w:rsidRPr="003A6069" w:rsidP="003A6069" w14:paraId="6096240B" w14:textId="77777777">
            <w:pPr>
              <w:pStyle w:val="73R"/>
              <w:rPr>
                <w:rtl/>
              </w:rPr>
            </w:pPr>
            <w:r w:rsidRPr="003A6069">
              <w:rPr>
                <w:rtl/>
              </w:rPr>
              <w:t>2018</w:t>
            </w:r>
          </w:p>
        </w:tc>
        <w:tc>
          <w:tcPr>
            <w:tcW w:w="1808" w:type="dxa"/>
            <w:shd w:val="clear" w:color="auto" w:fill="F0F8F9"/>
            <w:noWrap/>
            <w:vAlign w:val="bottom"/>
            <w:hideMark/>
          </w:tcPr>
          <w:p w:rsidR="00C149B0" w:rsidRPr="003A6069" w:rsidP="003A6069" w14:paraId="7AF1AD3C" w14:textId="77777777">
            <w:pPr>
              <w:pStyle w:val="73R"/>
              <w:rPr>
                <w:rtl/>
              </w:rPr>
            </w:pPr>
            <w:r w:rsidRPr="003A6069">
              <w:rPr>
                <w:rtl/>
              </w:rPr>
              <w:t>7,883</w:t>
            </w:r>
          </w:p>
        </w:tc>
        <w:tc>
          <w:tcPr>
            <w:tcW w:w="1701" w:type="dxa"/>
            <w:shd w:val="clear" w:color="auto" w:fill="F0F8F9"/>
            <w:noWrap/>
            <w:vAlign w:val="bottom"/>
            <w:hideMark/>
          </w:tcPr>
          <w:p w:rsidR="00C149B0" w:rsidRPr="003A6069" w:rsidP="003A6069" w14:paraId="248FBE93" w14:textId="77777777">
            <w:pPr>
              <w:pStyle w:val="73R"/>
              <w:rPr>
                <w:rtl/>
              </w:rPr>
            </w:pPr>
            <w:r w:rsidRPr="003A6069">
              <w:rPr>
                <w:rtl/>
              </w:rPr>
              <w:t>7,754</w:t>
            </w:r>
          </w:p>
        </w:tc>
        <w:tc>
          <w:tcPr>
            <w:tcW w:w="2409" w:type="dxa"/>
            <w:shd w:val="clear" w:color="auto" w:fill="F0F8F9"/>
          </w:tcPr>
          <w:p w:rsidR="00C149B0" w:rsidRPr="003A6069" w:rsidP="003A6069" w14:paraId="398ED6E8" w14:textId="77777777">
            <w:pPr>
              <w:pStyle w:val="73R"/>
              <w:rPr>
                <w:rtl/>
              </w:rPr>
            </w:pPr>
            <w:r w:rsidRPr="003A6069">
              <w:rPr>
                <w:rFonts w:hint="cs"/>
                <w:rtl/>
              </w:rPr>
              <w:t>1.5%</w:t>
            </w:r>
          </w:p>
        </w:tc>
      </w:tr>
      <w:tr w14:paraId="22345BA1" w14:textId="77777777" w:rsidTr="003A6069">
        <w:tblPrEx>
          <w:tblW w:w="7228" w:type="dxa"/>
          <w:tblLook w:val="04A0"/>
        </w:tblPrEx>
        <w:trPr>
          <w:trHeight w:val="315"/>
        </w:trPr>
        <w:tc>
          <w:tcPr>
            <w:tcW w:w="1310" w:type="dxa"/>
            <w:shd w:val="clear" w:color="auto" w:fill="DFECEF"/>
            <w:noWrap/>
            <w:vAlign w:val="bottom"/>
            <w:hideMark/>
          </w:tcPr>
          <w:p w:rsidR="00C149B0" w:rsidRPr="003A6069" w:rsidP="003A6069" w14:paraId="5D0CB663" w14:textId="77777777">
            <w:pPr>
              <w:pStyle w:val="73R"/>
              <w:rPr>
                <w:rtl/>
              </w:rPr>
            </w:pPr>
            <w:r w:rsidRPr="003A6069">
              <w:rPr>
                <w:rtl/>
              </w:rPr>
              <w:t>2019</w:t>
            </w:r>
          </w:p>
        </w:tc>
        <w:tc>
          <w:tcPr>
            <w:tcW w:w="1808" w:type="dxa"/>
            <w:shd w:val="clear" w:color="auto" w:fill="DFECEF"/>
            <w:noWrap/>
            <w:vAlign w:val="bottom"/>
            <w:hideMark/>
          </w:tcPr>
          <w:p w:rsidR="00C149B0" w:rsidRPr="003A6069" w:rsidP="003A6069" w14:paraId="4BBDE39C" w14:textId="77777777">
            <w:pPr>
              <w:pStyle w:val="73R"/>
              <w:rPr>
                <w:rtl/>
              </w:rPr>
            </w:pPr>
            <w:r w:rsidRPr="003A6069">
              <w:rPr>
                <w:rtl/>
              </w:rPr>
              <w:t>8,129</w:t>
            </w:r>
          </w:p>
        </w:tc>
        <w:tc>
          <w:tcPr>
            <w:tcW w:w="1701" w:type="dxa"/>
            <w:shd w:val="clear" w:color="auto" w:fill="DFECEF"/>
            <w:noWrap/>
            <w:vAlign w:val="bottom"/>
            <w:hideMark/>
          </w:tcPr>
          <w:p w:rsidR="00C149B0" w:rsidRPr="003A6069" w:rsidP="003A6069" w14:paraId="4ED1A3E0" w14:textId="77777777">
            <w:pPr>
              <w:pStyle w:val="73R"/>
              <w:rPr>
                <w:rtl/>
              </w:rPr>
            </w:pPr>
            <w:r w:rsidRPr="003A6069">
              <w:rPr>
                <w:rtl/>
              </w:rPr>
              <w:t>8,006</w:t>
            </w:r>
          </w:p>
        </w:tc>
        <w:tc>
          <w:tcPr>
            <w:tcW w:w="2409" w:type="dxa"/>
            <w:shd w:val="clear" w:color="auto" w:fill="DFECEF"/>
          </w:tcPr>
          <w:p w:rsidR="00C149B0" w:rsidRPr="003A6069" w:rsidP="003A6069" w14:paraId="5B8897CC" w14:textId="77777777">
            <w:pPr>
              <w:pStyle w:val="73R"/>
              <w:rPr>
                <w:rtl/>
              </w:rPr>
            </w:pPr>
            <w:r w:rsidRPr="003A6069">
              <w:rPr>
                <w:rFonts w:hint="cs"/>
                <w:rtl/>
              </w:rPr>
              <w:t>3.2%</w:t>
            </w:r>
          </w:p>
        </w:tc>
      </w:tr>
      <w:tr w14:paraId="66463A25" w14:textId="77777777" w:rsidTr="003A6069">
        <w:tblPrEx>
          <w:tblW w:w="7228" w:type="dxa"/>
          <w:tblLook w:val="04A0"/>
        </w:tblPrEx>
        <w:trPr>
          <w:trHeight w:val="315"/>
        </w:trPr>
        <w:tc>
          <w:tcPr>
            <w:tcW w:w="1310" w:type="dxa"/>
            <w:shd w:val="clear" w:color="auto" w:fill="F0F8F9"/>
            <w:noWrap/>
            <w:vAlign w:val="bottom"/>
            <w:hideMark/>
          </w:tcPr>
          <w:p w:rsidR="00C149B0" w:rsidRPr="003A6069" w:rsidP="003A6069" w14:paraId="4DAC0641" w14:textId="77777777">
            <w:pPr>
              <w:pStyle w:val="73R"/>
              <w:rPr>
                <w:rtl/>
              </w:rPr>
            </w:pPr>
            <w:r w:rsidRPr="003A6069">
              <w:rPr>
                <w:rtl/>
              </w:rPr>
              <w:t>2020</w:t>
            </w:r>
          </w:p>
        </w:tc>
        <w:tc>
          <w:tcPr>
            <w:tcW w:w="1808" w:type="dxa"/>
            <w:shd w:val="clear" w:color="auto" w:fill="F0F8F9"/>
            <w:noWrap/>
            <w:vAlign w:val="bottom"/>
            <w:hideMark/>
          </w:tcPr>
          <w:p w:rsidR="00C149B0" w:rsidRPr="003A6069" w:rsidP="003A6069" w14:paraId="5B78D27D" w14:textId="77777777">
            <w:pPr>
              <w:pStyle w:val="73R"/>
              <w:rPr>
                <w:rtl/>
              </w:rPr>
            </w:pPr>
            <w:r w:rsidRPr="003A6069">
              <w:rPr>
                <w:rtl/>
              </w:rPr>
              <w:t>8,214</w:t>
            </w:r>
          </w:p>
        </w:tc>
        <w:tc>
          <w:tcPr>
            <w:tcW w:w="1701" w:type="dxa"/>
            <w:shd w:val="clear" w:color="auto" w:fill="F0F8F9"/>
            <w:noWrap/>
            <w:vAlign w:val="bottom"/>
            <w:hideMark/>
          </w:tcPr>
          <w:p w:rsidR="00C149B0" w:rsidRPr="003A6069" w:rsidP="003A6069" w14:paraId="452FEE4F" w14:textId="77777777">
            <w:pPr>
              <w:pStyle w:val="73R"/>
              <w:rPr>
                <w:rtl/>
              </w:rPr>
            </w:pPr>
            <w:r w:rsidRPr="003A6069">
              <w:rPr>
                <w:rtl/>
              </w:rPr>
              <w:t>8,172</w:t>
            </w:r>
          </w:p>
        </w:tc>
        <w:tc>
          <w:tcPr>
            <w:tcW w:w="2409" w:type="dxa"/>
            <w:shd w:val="clear" w:color="auto" w:fill="F0F8F9"/>
          </w:tcPr>
          <w:p w:rsidR="00C149B0" w:rsidRPr="003A6069" w:rsidP="003A6069" w14:paraId="5AD631ED" w14:textId="77777777">
            <w:pPr>
              <w:pStyle w:val="73R"/>
              <w:rPr>
                <w:rtl/>
              </w:rPr>
            </w:pPr>
            <w:r w:rsidRPr="003A6069">
              <w:rPr>
                <w:rFonts w:hint="cs"/>
                <w:rtl/>
              </w:rPr>
              <w:t>2.1%</w:t>
            </w:r>
          </w:p>
        </w:tc>
      </w:tr>
      <w:tr w14:paraId="1C110334" w14:textId="77777777" w:rsidTr="003A6069">
        <w:tblPrEx>
          <w:tblW w:w="7228" w:type="dxa"/>
          <w:tblLook w:val="04A0"/>
        </w:tblPrEx>
        <w:trPr>
          <w:trHeight w:val="315"/>
        </w:trPr>
        <w:tc>
          <w:tcPr>
            <w:tcW w:w="1310" w:type="dxa"/>
            <w:shd w:val="clear" w:color="auto" w:fill="DFECEF"/>
            <w:noWrap/>
            <w:vAlign w:val="bottom"/>
            <w:hideMark/>
          </w:tcPr>
          <w:p w:rsidR="00C149B0" w:rsidRPr="003A6069" w:rsidP="003A6069" w14:paraId="2F31909C" w14:textId="77777777">
            <w:pPr>
              <w:pStyle w:val="73R"/>
              <w:rPr>
                <w:rtl/>
              </w:rPr>
            </w:pPr>
            <w:r w:rsidRPr="003A6069">
              <w:rPr>
                <w:rtl/>
              </w:rPr>
              <w:t>2021</w:t>
            </w:r>
            <w:r w:rsidRPr="009C31CB">
              <w:rPr>
                <w:rFonts w:hint="cs"/>
                <w:vertAlign w:val="superscript"/>
                <w:rtl/>
              </w:rPr>
              <w:t>(1)</w:t>
            </w:r>
          </w:p>
        </w:tc>
        <w:tc>
          <w:tcPr>
            <w:tcW w:w="1808" w:type="dxa"/>
            <w:shd w:val="clear" w:color="auto" w:fill="DFECEF"/>
            <w:noWrap/>
            <w:vAlign w:val="bottom"/>
            <w:hideMark/>
          </w:tcPr>
          <w:p w:rsidR="00C149B0" w:rsidRPr="003A6069" w:rsidP="003A6069" w14:paraId="1B856B1E" w14:textId="77777777">
            <w:pPr>
              <w:pStyle w:val="73R"/>
              <w:rPr>
                <w:rtl/>
              </w:rPr>
            </w:pPr>
            <w:r w:rsidRPr="003A6069">
              <w:rPr>
                <w:rtl/>
              </w:rPr>
              <w:t>9,517</w:t>
            </w:r>
          </w:p>
        </w:tc>
        <w:tc>
          <w:tcPr>
            <w:tcW w:w="1701" w:type="dxa"/>
            <w:shd w:val="clear" w:color="auto" w:fill="DFECEF"/>
            <w:noWrap/>
            <w:vAlign w:val="bottom"/>
            <w:hideMark/>
          </w:tcPr>
          <w:p w:rsidR="00C149B0" w:rsidRPr="003A6069" w:rsidP="003A6069" w14:paraId="686B2B72" w14:textId="77777777">
            <w:pPr>
              <w:pStyle w:val="73R"/>
              <w:rPr>
                <w:rtl/>
              </w:rPr>
            </w:pPr>
            <w:r w:rsidRPr="003A6069">
              <w:rPr>
                <w:rtl/>
              </w:rPr>
              <w:t>8,866</w:t>
            </w:r>
          </w:p>
        </w:tc>
        <w:tc>
          <w:tcPr>
            <w:tcW w:w="2409" w:type="dxa"/>
            <w:shd w:val="clear" w:color="auto" w:fill="DFECEF"/>
          </w:tcPr>
          <w:p w:rsidR="00C149B0" w:rsidRPr="003A6069" w:rsidP="003A6069" w14:paraId="726EB48A" w14:textId="77777777">
            <w:pPr>
              <w:pStyle w:val="73R"/>
              <w:rPr>
                <w:rtl/>
              </w:rPr>
            </w:pPr>
            <w:r w:rsidRPr="003A6069">
              <w:rPr>
                <w:rFonts w:hint="cs"/>
                <w:rtl/>
              </w:rPr>
              <w:t xml:space="preserve">8.5% (כולל בגין איחוד </w:t>
            </w:r>
            <w:r w:rsidRPr="003A6069">
              <w:rPr>
                <w:rFonts w:hint="cs"/>
                <w:rtl/>
              </w:rPr>
              <w:t>אירונאוטיקס</w:t>
            </w:r>
            <w:r w:rsidRPr="003A6069">
              <w:rPr>
                <w:rFonts w:hint="cs"/>
                <w:rtl/>
              </w:rPr>
              <w:t xml:space="preserve"> </w:t>
            </w:r>
            <w:r w:rsidRPr="003A6069">
              <w:rPr>
                <w:rFonts w:hint="cs"/>
                <w:rtl/>
              </w:rPr>
              <w:t>וקונטרופ</w:t>
            </w:r>
            <w:r w:rsidRPr="003A6069">
              <w:rPr>
                <w:rFonts w:hint="cs"/>
                <w:rtl/>
              </w:rPr>
              <w:t>)</w:t>
            </w:r>
          </w:p>
        </w:tc>
      </w:tr>
    </w:tbl>
    <w:p w:rsidR="00C149B0" w:rsidP="003A6069" w14:paraId="53B4991D" w14:textId="77777777">
      <w:pPr>
        <w:pStyle w:val="738"/>
        <w:spacing w:after="0"/>
        <w:rPr>
          <w:rtl/>
        </w:rPr>
      </w:pPr>
      <w:r w:rsidRPr="00D94367">
        <w:rPr>
          <w:rFonts w:hint="cs"/>
          <w:rtl/>
        </w:rPr>
        <w:t>לפי הדוחות השנתיים של רפאל לשנים 2017 - 2021, בעיבוד משרד מבקר המדינה.</w:t>
      </w:r>
    </w:p>
    <w:p w:rsidR="00C149B0" w:rsidRPr="00D94367" w:rsidP="003A6069" w14:paraId="5262C25A" w14:textId="77777777">
      <w:pPr>
        <w:pStyle w:val="738"/>
        <w:spacing w:before="0"/>
        <w:ind w:left="282" w:hanging="282"/>
        <w:rPr>
          <w:rtl/>
        </w:rPr>
      </w:pPr>
      <w:r w:rsidRPr="00D94367">
        <w:rPr>
          <w:rtl/>
        </w:rPr>
        <w:t>(1)</w:t>
      </w:r>
      <w:r>
        <w:rPr>
          <w:rFonts w:hint="cs"/>
          <w:rtl/>
        </w:rPr>
        <w:t xml:space="preserve"> </w:t>
      </w:r>
      <w:r w:rsidRPr="00D94367">
        <w:rPr>
          <w:rtl/>
        </w:rPr>
        <w:t xml:space="preserve">בשנת 2021 אוחדו לראשונה </w:t>
      </w:r>
      <w:r>
        <w:rPr>
          <w:rFonts w:hint="cs"/>
          <w:rtl/>
        </w:rPr>
        <w:t xml:space="preserve">תוצאותיהן הכספיות של </w:t>
      </w:r>
      <w:r w:rsidRPr="00D94367">
        <w:rPr>
          <w:rtl/>
        </w:rPr>
        <w:t>אירונאוטיקס</w:t>
      </w:r>
      <w:r w:rsidRPr="00D94367">
        <w:rPr>
          <w:rtl/>
        </w:rPr>
        <w:t xml:space="preserve"> </w:t>
      </w:r>
      <w:r w:rsidRPr="00D94367">
        <w:rPr>
          <w:rtl/>
        </w:rPr>
        <w:t>וקונטרופ</w:t>
      </w:r>
      <w:r w:rsidRPr="00D94367">
        <w:rPr>
          <w:rtl/>
        </w:rPr>
        <w:t xml:space="preserve"> בדוח השנתי של</w:t>
      </w:r>
      <w:r>
        <w:rPr>
          <w:rFonts w:hint="cs"/>
          <w:rtl/>
        </w:rPr>
        <w:t xml:space="preserve"> </w:t>
      </w:r>
      <w:r w:rsidRPr="00D94367">
        <w:rPr>
          <w:rtl/>
        </w:rPr>
        <w:t xml:space="preserve">הקבוצה. מצבת כוח האדם של חברות אלו </w:t>
      </w:r>
      <w:r>
        <w:rPr>
          <w:rFonts w:hint="cs"/>
          <w:rtl/>
        </w:rPr>
        <w:t>ל-</w:t>
      </w:r>
      <w:r w:rsidRPr="00D94367">
        <w:rPr>
          <w:rtl/>
        </w:rPr>
        <w:t xml:space="preserve">31.12.21 </w:t>
      </w:r>
      <w:r>
        <w:rPr>
          <w:rFonts w:hint="cs"/>
          <w:rtl/>
        </w:rPr>
        <w:t>מנתה</w:t>
      </w:r>
      <w:r w:rsidRPr="00D94367">
        <w:rPr>
          <w:rtl/>
        </w:rPr>
        <w:t xml:space="preserve"> 757 ו-296 עובדים בהתאמה.</w:t>
      </w:r>
    </w:p>
    <w:p w:rsidR="00C149B0" w:rsidRPr="003A6069" w:rsidP="003A6069" w14:paraId="31C6E836" w14:textId="77777777">
      <w:pPr>
        <w:pStyle w:val="7318"/>
        <w:rPr>
          <w:rtl/>
        </w:rPr>
      </w:pPr>
      <w:r w:rsidRPr="003A6069">
        <w:rPr>
          <w:rFonts w:hint="eastAsia"/>
          <w:rtl/>
        </w:rPr>
        <w:t>מנתוני</w:t>
      </w:r>
      <w:r w:rsidRPr="003A6069">
        <w:rPr>
          <w:rtl/>
        </w:rPr>
        <w:t xml:space="preserve"> רפאל עולה כי </w:t>
      </w:r>
      <w:r w:rsidRPr="003A6069">
        <w:rPr>
          <w:rFonts w:hint="eastAsia"/>
          <w:rtl/>
        </w:rPr>
        <w:t>בשנים</w:t>
      </w:r>
      <w:r w:rsidRPr="003A6069">
        <w:rPr>
          <w:rtl/>
        </w:rPr>
        <w:t xml:space="preserve"> 2017 -</w:t>
      </w:r>
      <w:r w:rsidRPr="003A6069">
        <w:rPr>
          <w:rFonts w:hint="cs"/>
          <w:rtl/>
        </w:rPr>
        <w:t xml:space="preserve"> </w:t>
      </w:r>
      <w:r w:rsidRPr="003A6069">
        <w:rPr>
          <w:rtl/>
        </w:rPr>
        <w:t>2021 גדלה מצבת העובדים בקבוצה</w:t>
      </w:r>
      <w:r w:rsidRPr="003A6069">
        <w:rPr>
          <w:rFonts w:hint="cs"/>
          <w:rtl/>
        </w:rPr>
        <w:t>,</w:t>
      </w:r>
      <w:r w:rsidRPr="003A6069">
        <w:rPr>
          <w:rtl/>
        </w:rPr>
        <w:t xml:space="preserve"> </w:t>
      </w:r>
      <w:r w:rsidRPr="003A6069">
        <w:rPr>
          <w:rFonts w:hint="cs"/>
          <w:rtl/>
        </w:rPr>
        <w:t xml:space="preserve">בסוף אותן השנים, </w:t>
      </w:r>
      <w:r w:rsidRPr="003A6069">
        <w:rPr>
          <w:rtl/>
        </w:rPr>
        <w:t xml:space="preserve">ב-1,893 עובדים (613 עובדים ברפאל ו-1,280 עובדים בחברות הבנות); גידול של כ-25%. עיקר הגידול היה בשנת 2021 (1,303 עובדים), ומרביתו נבע מאיחודן לראשונה של החברות </w:t>
      </w:r>
      <w:r w:rsidRPr="003A6069">
        <w:rPr>
          <w:rFonts w:hint="eastAsia"/>
          <w:rtl/>
        </w:rPr>
        <w:t>אירונא</w:t>
      </w:r>
      <w:r w:rsidRPr="003A6069">
        <w:rPr>
          <w:rFonts w:hint="cs"/>
          <w:rtl/>
        </w:rPr>
        <w:t>ו</w:t>
      </w:r>
      <w:r w:rsidRPr="003A6069">
        <w:rPr>
          <w:rFonts w:hint="eastAsia"/>
          <w:rtl/>
        </w:rPr>
        <w:t>טיקס</w:t>
      </w:r>
      <w:r w:rsidRPr="003A6069">
        <w:rPr>
          <w:rtl/>
        </w:rPr>
        <w:t xml:space="preserve"> </w:t>
      </w:r>
      <w:r w:rsidRPr="003A6069">
        <w:rPr>
          <w:rFonts w:hint="eastAsia"/>
          <w:rtl/>
        </w:rPr>
        <w:t>וקונטרופ</w:t>
      </w:r>
      <w:r w:rsidRPr="003A6069">
        <w:rPr>
          <w:rtl/>
        </w:rPr>
        <w:t xml:space="preserve"> בדוח השנתי של הקבוצה. </w:t>
      </w:r>
    </w:p>
    <w:p w:rsidR="00C149B0" w:rsidRPr="00D94367" w:rsidP="003A6069" w14:paraId="36C74093" w14:textId="77777777">
      <w:pPr>
        <w:pStyle w:val="7392"/>
        <w:rPr>
          <w:rtl/>
        </w:rPr>
      </w:pPr>
      <w:r>
        <w:rPr>
          <w:rFonts w:hint="cs"/>
          <w:rtl/>
        </w:rPr>
        <w:t>ב</w:t>
      </w:r>
      <w:r w:rsidRPr="00D94367">
        <w:rPr>
          <w:rFonts w:hint="cs"/>
          <w:rtl/>
        </w:rPr>
        <w:t xml:space="preserve">חישובי ההכנסות לעובד והרווח לעובד </w:t>
      </w:r>
      <w:r>
        <w:rPr>
          <w:rFonts w:hint="cs"/>
          <w:rtl/>
        </w:rPr>
        <w:t>נמדדת</w:t>
      </w:r>
      <w:r w:rsidRPr="00D94367">
        <w:rPr>
          <w:rFonts w:hint="cs"/>
          <w:rtl/>
        </w:rPr>
        <w:t xml:space="preserve"> התרומה הממוצעת של העובד לפעילות החברה. ניתוח מדדים אלה והשוואתם למדדים של חברות דומות בענף עשויים לספק מידע מהותי לגבי מידת היעילות בעבודה, שיעור העבודה הלא יצרנית וקיומה של אבטלה סמויה. </w:t>
      </w:r>
    </w:p>
    <w:p w:rsidR="00C149B0" w:rsidP="003A6069" w14:paraId="150522E5" w14:textId="77777777">
      <w:pPr>
        <w:pStyle w:val="7392"/>
        <w:rPr>
          <w:rtl/>
        </w:rPr>
      </w:pPr>
      <w:r w:rsidRPr="00D94367">
        <w:rPr>
          <w:rFonts w:hint="cs"/>
          <w:rtl/>
        </w:rPr>
        <w:t>להלן תוצג השוואה בין שלוש התעשיות הביטחוניות הגדולות בישראל מבחינת ההכנסה ממכירות והרווח הגולמי לעובד</w:t>
      </w:r>
      <w:r>
        <w:rPr>
          <w:rStyle w:val="FootnoteReference0"/>
          <w:rtl/>
        </w:rPr>
        <w:footnoteReference w:id="49"/>
      </w:r>
      <w:r w:rsidRPr="00D94367">
        <w:rPr>
          <w:rFonts w:hint="cs"/>
          <w:rtl/>
        </w:rPr>
        <w:t>:</w:t>
      </w:r>
    </w:p>
    <w:p w:rsidR="00C149B0" w:rsidRPr="003A6069" w:rsidP="003A6069" w14:paraId="1DB58627" w14:textId="2DF21817">
      <w:pPr>
        <w:pStyle w:val="734"/>
        <w:rPr>
          <w:rtl/>
        </w:rPr>
      </w:pPr>
      <w:r w:rsidRPr="003A6069">
        <w:rPr>
          <w:rFonts w:hint="eastAsia"/>
          <w:b w:val="0"/>
          <w:bCs w:val="0"/>
          <w:rtl/>
        </w:rPr>
        <w:t>תרשים</w:t>
      </w:r>
      <w:r w:rsidRPr="003A6069">
        <w:rPr>
          <w:b w:val="0"/>
          <w:bCs w:val="0"/>
          <w:rtl/>
        </w:rPr>
        <w:t xml:space="preserve"> </w:t>
      </w:r>
      <w:r w:rsidRPr="003A6069">
        <w:rPr>
          <w:rFonts w:hint="cs"/>
          <w:b w:val="0"/>
          <w:bCs w:val="0"/>
          <w:rtl/>
        </w:rPr>
        <w:t>22</w:t>
      </w:r>
      <w:r w:rsidRPr="003A6069">
        <w:rPr>
          <w:b w:val="0"/>
          <w:bCs w:val="0"/>
          <w:rtl/>
        </w:rPr>
        <w:t>:</w:t>
      </w:r>
      <w:r w:rsidRPr="003A6069">
        <w:rPr>
          <w:rFonts w:hint="cs"/>
          <w:rtl/>
        </w:rPr>
        <w:t xml:space="preserve"> השוואה של ההכנסות ממכירות לעובד, 2017 - 2021</w:t>
      </w:r>
      <w:r>
        <w:rPr>
          <w:rStyle w:val="FootnoteReference0"/>
          <w:rtl/>
        </w:rPr>
        <w:footnoteReference w:id="50"/>
      </w:r>
      <w:r w:rsidRPr="003A6069">
        <w:rPr>
          <w:rFonts w:hint="cs"/>
          <w:rtl/>
        </w:rPr>
        <w:t xml:space="preserve"> </w:t>
      </w:r>
      <w:r w:rsidR="003A6069">
        <w:rPr>
          <w:rtl/>
        </w:rPr>
        <w:br/>
      </w:r>
      <w:r w:rsidRPr="003A6069">
        <w:rPr>
          <w:rFonts w:hint="cs"/>
          <w:rtl/>
        </w:rPr>
        <w:t>(באלפי ש"ח)</w:t>
      </w:r>
    </w:p>
    <w:p w:rsidR="00C149B0" w:rsidP="00C149B0" w14:paraId="57E83646" w14:textId="77777777">
      <w:pPr>
        <w:tabs>
          <w:tab w:val="left" w:pos="567"/>
          <w:tab w:val="left" w:pos="851"/>
        </w:tabs>
        <w:spacing w:line="269" w:lineRule="auto"/>
        <w:ind w:firstLine="21"/>
        <w:rPr>
          <w:b/>
          <w:bCs/>
        </w:rPr>
      </w:pPr>
      <w:r>
        <w:rPr>
          <w:b/>
          <w:bCs/>
          <w:noProof/>
        </w:rPr>
        <w:drawing>
          <wp:inline distT="0" distB="0" distL="0" distR="0">
            <wp:extent cx="4601359" cy="2268182"/>
            <wp:effectExtent l="0" t="0" r="0" b="0"/>
            <wp:docPr id="1451066643" name="תמונה 1451066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3" name="תמונה 1451066643"/>
                    <pic:cNvPicPr>
                      <a:picLocks noChangeAspect="1" noChangeArrowheads="1"/>
                    </pic:cNvPicPr>
                  </pic:nvPicPr>
                  <pic:blipFill>
                    <a:blip xmlns:r="http://schemas.openxmlformats.org/officeDocument/2006/relationships" r:embed="rId50">
                      <a:extLst>
                        <a:ext xmlns:a="http://schemas.openxmlformats.org/drawingml/2006/main" uri="{28A0092B-C50C-407E-A947-70E740481C1C}">
                          <a14:useLocalDpi xmlns:a14="http://schemas.microsoft.com/office/drawing/2010/main" val="0"/>
                        </a:ext>
                      </a:extLst>
                    </a:blip>
                    <a:srcRect t="29" b="29"/>
                    <a:stretch>
                      <a:fillRect/>
                    </a:stretch>
                  </pic:blipFill>
                  <pic:spPr bwMode="auto">
                    <a:xfrm>
                      <a:off x="0" y="0"/>
                      <a:ext cx="4601359" cy="2268182"/>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C149B0" w:rsidRPr="003A6069" w:rsidP="003A6069" w14:paraId="0276F1F0" w14:textId="77777777">
      <w:pPr>
        <w:pStyle w:val="738"/>
        <w:rPr>
          <w:rtl/>
        </w:rPr>
      </w:pPr>
      <w:r w:rsidRPr="003A6069">
        <w:rPr>
          <w:rFonts w:hint="cs"/>
          <w:rtl/>
        </w:rPr>
        <w:t xml:space="preserve">לפי הדוחות הכספיים של רפאל, </w:t>
      </w:r>
      <w:r w:rsidRPr="003A6069">
        <w:rPr>
          <w:rFonts w:hint="cs"/>
          <w:rtl/>
        </w:rPr>
        <w:t>התע"א</w:t>
      </w:r>
      <w:r w:rsidRPr="003A6069">
        <w:rPr>
          <w:rFonts w:hint="cs"/>
          <w:rtl/>
        </w:rPr>
        <w:t xml:space="preserve"> ואלביט לשנים 2017 - 2021, שע"ח ממוצע שנתי לפי נתוני בנק ישראל, בעיבוד משרד מבקר המדינה.</w:t>
      </w:r>
    </w:p>
    <w:p w:rsidR="00C149B0" w:rsidRPr="003A6069" w:rsidP="003A6069" w14:paraId="448E18DA" w14:textId="640E91FA">
      <w:pPr>
        <w:pStyle w:val="734"/>
        <w:rPr>
          <w:rtl/>
        </w:rPr>
      </w:pPr>
      <w:r w:rsidRPr="003A6069">
        <w:rPr>
          <w:b w:val="0"/>
          <w:bCs w:val="0"/>
          <w:noProof/>
        </w:rPr>
        <w:drawing>
          <wp:anchor distT="0" distB="0" distL="114300" distR="114300" simplePos="0" relativeHeight="251705344" behindDoc="0" locked="0" layoutInCell="1" allowOverlap="1">
            <wp:simplePos x="0" y="0"/>
            <wp:positionH relativeFrom="column">
              <wp:posOffset>-9525</wp:posOffset>
            </wp:positionH>
            <wp:positionV relativeFrom="paragraph">
              <wp:posOffset>389890</wp:posOffset>
            </wp:positionV>
            <wp:extent cx="4739640" cy="2216150"/>
            <wp:effectExtent l="0" t="0" r="0" b="0"/>
            <wp:wrapTopAndBottom/>
            <wp:docPr id="1451066644" name="תמונה 1451066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4" name="תמונה 1451066644"/>
                    <pic:cNvPicPr>
                      <a:picLocks noChangeAspect="1" noChangeArrowheads="1"/>
                    </pic:cNvPicPr>
                  </pic:nvPicPr>
                  <pic:blipFill>
                    <a:blip xmlns:r="http://schemas.openxmlformats.org/officeDocument/2006/relationships" r:embed="rId51">
                      <a:extLst>
                        <a:ext xmlns:a="http://schemas.openxmlformats.org/drawingml/2006/main" uri="{28A0092B-C50C-407E-A947-70E740481C1C}">
                          <a14:useLocalDpi xmlns:a14="http://schemas.microsoft.com/office/drawing/2010/main" val="0"/>
                        </a:ext>
                      </a:extLst>
                    </a:blip>
                    <a:srcRect l="1894" r="1894"/>
                    <a:stretch>
                      <a:fillRect/>
                    </a:stretch>
                  </pic:blipFill>
                  <pic:spPr bwMode="auto">
                    <a:xfrm>
                      <a:off x="0" y="0"/>
                      <a:ext cx="4739640" cy="221615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6069">
        <w:rPr>
          <w:rFonts w:hint="eastAsia"/>
          <w:b w:val="0"/>
          <w:bCs w:val="0"/>
          <w:rtl/>
        </w:rPr>
        <w:t>תרשים</w:t>
      </w:r>
      <w:r w:rsidRPr="003A6069">
        <w:rPr>
          <w:b w:val="0"/>
          <w:bCs w:val="0"/>
          <w:rtl/>
        </w:rPr>
        <w:t xml:space="preserve"> </w:t>
      </w:r>
      <w:r w:rsidRPr="003A6069">
        <w:rPr>
          <w:rFonts w:hint="cs"/>
          <w:b w:val="0"/>
          <w:bCs w:val="0"/>
          <w:rtl/>
        </w:rPr>
        <w:t>23</w:t>
      </w:r>
      <w:r w:rsidRPr="003A6069">
        <w:rPr>
          <w:b w:val="0"/>
          <w:bCs w:val="0"/>
          <w:rtl/>
        </w:rPr>
        <w:t>:</w:t>
      </w:r>
      <w:r w:rsidRPr="003A6069">
        <w:rPr>
          <w:rFonts w:hint="cs"/>
          <w:rtl/>
        </w:rPr>
        <w:t xml:space="preserve"> השוואה של הרווח הגולמי לעובד, 2017 </w:t>
      </w:r>
      <w:r w:rsidRPr="003A6069" w:rsidR="009C31CB">
        <w:rPr>
          <w:rFonts w:hint="cs"/>
          <w:rtl/>
        </w:rPr>
        <w:t>-</w:t>
      </w:r>
      <w:r w:rsidRPr="003A6069">
        <w:rPr>
          <w:rFonts w:hint="cs"/>
          <w:rtl/>
        </w:rPr>
        <w:t xml:space="preserve"> 2021</w:t>
      </w:r>
      <w:r w:rsidRPr="003A6069">
        <w:rPr>
          <w:rtl/>
        </w:rPr>
        <w:br/>
      </w:r>
      <w:r w:rsidRPr="003A6069">
        <w:rPr>
          <w:rFonts w:hint="cs"/>
          <w:rtl/>
        </w:rPr>
        <w:t>(באלפי ש"ח)</w:t>
      </w:r>
    </w:p>
    <w:p w:rsidR="00C149B0" w:rsidP="003A6069" w14:paraId="1A5C48E0" w14:textId="77777777">
      <w:pPr>
        <w:pStyle w:val="738"/>
        <w:rPr>
          <w:rtl/>
        </w:rPr>
      </w:pPr>
      <w:r w:rsidRPr="00D94367">
        <w:rPr>
          <w:rFonts w:hint="cs"/>
          <w:rtl/>
        </w:rPr>
        <w:t xml:space="preserve">לפי הדוחות הכספיים של רפאל, </w:t>
      </w:r>
      <w:r w:rsidRPr="00D94367">
        <w:rPr>
          <w:rFonts w:hint="cs"/>
          <w:rtl/>
        </w:rPr>
        <w:t>התע"א</w:t>
      </w:r>
      <w:r w:rsidRPr="00D94367">
        <w:rPr>
          <w:rFonts w:hint="cs"/>
          <w:rtl/>
        </w:rPr>
        <w:t xml:space="preserve"> ואלביט לשנים 2017 - 2021, שע"ח ממוצע שנתי לפי נתוני בנק ישראל, בעיבוד משרד מבקר המדינה. </w:t>
      </w:r>
    </w:p>
    <w:p w:rsidR="00C149B0" w:rsidRPr="003A6069" w:rsidP="003A6069" w14:paraId="61647F82" w14:textId="77777777">
      <w:pPr>
        <w:pStyle w:val="7318"/>
        <w:rPr>
          <w:rtl/>
        </w:rPr>
      </w:pPr>
      <w:r w:rsidRPr="003A6069">
        <w:rPr>
          <w:rFonts w:hint="cs"/>
          <w:rtl/>
        </w:rPr>
        <w:t xml:space="preserve">מהתרשימים עולה כי ממוצע ההכנסות ממכירות לעובד ברפאל בשנים 2017 - 2021 (כולל </w:t>
      </w:r>
      <w:r w:rsidRPr="003A6069">
        <w:rPr>
          <w:rFonts w:hint="cs"/>
          <w:rtl/>
        </w:rPr>
        <w:t>אירונאוטיקס</w:t>
      </w:r>
      <w:r w:rsidRPr="003A6069">
        <w:rPr>
          <w:rFonts w:hint="cs"/>
          <w:rtl/>
        </w:rPr>
        <w:t xml:space="preserve"> </w:t>
      </w:r>
      <w:r w:rsidRPr="003A6069">
        <w:rPr>
          <w:rFonts w:hint="cs"/>
          <w:rtl/>
        </w:rPr>
        <w:t>וקונטרופ</w:t>
      </w:r>
      <w:r w:rsidRPr="003A6069">
        <w:rPr>
          <w:rFonts w:hint="cs"/>
          <w:rtl/>
        </w:rPr>
        <w:t xml:space="preserve">) היה גבוה יחסית לאלביט </w:t>
      </w:r>
      <w:r w:rsidRPr="003A6069">
        <w:rPr>
          <w:rFonts w:hint="cs"/>
          <w:rtl/>
        </w:rPr>
        <w:t>ולתע"א</w:t>
      </w:r>
      <w:r w:rsidRPr="003A6069">
        <w:rPr>
          <w:rFonts w:hint="cs"/>
          <w:rtl/>
        </w:rPr>
        <w:t xml:space="preserve"> בכ-20% וכ-23% בהתאמה; כי בשנים 2019 - 2021 חלה ירידה של כ-6% בהכנסות ממכירות לעובד ברפאל; ו</w:t>
      </w:r>
      <w:r w:rsidRPr="003A6069">
        <w:rPr>
          <w:rtl/>
        </w:rPr>
        <w:t xml:space="preserve">כי בעוד אלביט </w:t>
      </w:r>
      <w:r w:rsidRPr="003A6069">
        <w:rPr>
          <w:rtl/>
        </w:rPr>
        <w:t>ותע"א</w:t>
      </w:r>
      <w:r w:rsidRPr="003A6069">
        <w:rPr>
          <w:rtl/>
        </w:rPr>
        <w:t xml:space="preserve"> רשמו בשנת 2021 עלייה בסכום ההכנסות לעובד רשמה רפאל ירידה לעומת שנת 2020</w:t>
      </w:r>
      <w:r>
        <w:rPr>
          <w:rStyle w:val="FootnoteReference0"/>
          <w:rtl/>
        </w:rPr>
        <w:footnoteReference w:id="51"/>
      </w:r>
      <w:r w:rsidRPr="003A6069">
        <w:rPr>
          <w:rtl/>
        </w:rPr>
        <w:t>.</w:t>
      </w:r>
      <w:r w:rsidRPr="003A6069">
        <w:rPr>
          <w:rFonts w:hint="cs"/>
          <w:rtl/>
        </w:rPr>
        <w:t xml:space="preserve"> כמו כן עולה כי הרווח הגולמי לעובד ברפאל בשנים 2017 - 2021 היה נמוך בממוצע בכ-2% יחסית לאלביט וגבוה יחסית </w:t>
      </w:r>
      <w:r w:rsidRPr="003A6069">
        <w:rPr>
          <w:rFonts w:hint="cs"/>
          <w:rtl/>
        </w:rPr>
        <w:t>לתע"א</w:t>
      </w:r>
      <w:r w:rsidRPr="003A6069">
        <w:rPr>
          <w:rFonts w:hint="cs"/>
          <w:rtl/>
        </w:rPr>
        <w:t xml:space="preserve"> בכ-79%</w:t>
      </w:r>
      <w:r>
        <w:rPr>
          <w:rStyle w:val="FootnoteReference0"/>
          <w:rtl/>
        </w:rPr>
        <w:footnoteReference w:id="52"/>
      </w:r>
      <w:r w:rsidRPr="003A6069">
        <w:rPr>
          <w:rFonts w:hint="cs"/>
          <w:rtl/>
        </w:rPr>
        <w:t>.</w:t>
      </w:r>
    </w:p>
    <w:p w:rsidR="00C149B0" w:rsidRPr="00217652" w:rsidP="00217652" w14:paraId="677C78AA" w14:textId="77777777">
      <w:pPr>
        <w:pStyle w:val="7392"/>
        <w:rPr>
          <w:rtl/>
        </w:rPr>
      </w:pPr>
      <w:r w:rsidRPr="00217652">
        <w:rPr>
          <w:rFonts w:hint="cs"/>
          <w:rtl/>
        </w:rPr>
        <w:t xml:space="preserve">להלן השוואה שעשתה </w:t>
      </w:r>
      <w:r w:rsidRPr="00217652">
        <w:rPr>
          <w:rFonts w:hint="cs"/>
          <w:rtl/>
        </w:rPr>
        <w:t>התע"א</w:t>
      </w:r>
      <w:r w:rsidRPr="00217652">
        <w:rPr>
          <w:rFonts w:hint="cs"/>
          <w:rtl/>
        </w:rPr>
        <w:t xml:space="preserve"> בין חברות ביטחוניות מתחרות בארץ ובעולם מבחינת ההכנסות ממכירות לעובד בשנים 2017 - 2021, בציון ההכנסות ממכירות בשנת 2021:</w:t>
      </w:r>
    </w:p>
    <w:p w:rsidR="00C149B0" w:rsidRPr="003A6069" w:rsidP="003A6069" w14:paraId="2D2DF4D1" w14:textId="44307075">
      <w:pPr>
        <w:pStyle w:val="734"/>
        <w:rPr>
          <w:rtl/>
        </w:rPr>
      </w:pPr>
      <w:r w:rsidRPr="003A6069">
        <w:rPr>
          <w:rFonts w:hint="eastAsia"/>
          <w:b w:val="0"/>
          <w:bCs w:val="0"/>
          <w:rtl/>
        </w:rPr>
        <w:t>תרשים</w:t>
      </w:r>
      <w:r w:rsidRPr="003A6069">
        <w:rPr>
          <w:b w:val="0"/>
          <w:bCs w:val="0"/>
          <w:rtl/>
        </w:rPr>
        <w:t xml:space="preserve"> </w:t>
      </w:r>
      <w:r w:rsidRPr="003A6069">
        <w:rPr>
          <w:rFonts w:hint="cs"/>
          <w:b w:val="0"/>
          <w:bCs w:val="0"/>
          <w:rtl/>
        </w:rPr>
        <w:t>24:</w:t>
      </w:r>
      <w:r w:rsidRPr="003A6069">
        <w:rPr>
          <w:rFonts w:hint="cs"/>
          <w:rtl/>
        </w:rPr>
        <w:t xml:space="preserve"> השוואה של ההכנסות ממכירות לעובד, 2017 - 2021 </w:t>
      </w:r>
      <w:r w:rsidR="003A6069">
        <w:rPr>
          <w:rtl/>
        </w:rPr>
        <w:br/>
      </w:r>
      <w:r w:rsidRPr="003A6069">
        <w:rPr>
          <w:rFonts w:hint="cs"/>
          <w:rtl/>
        </w:rPr>
        <w:t>(באלפי דולר)</w:t>
      </w:r>
      <w:r>
        <w:rPr>
          <w:rStyle w:val="FootnoteReference0"/>
          <w:rtl/>
        </w:rPr>
        <w:footnoteReference w:id="53"/>
      </w:r>
    </w:p>
    <w:p w:rsidR="00C149B0" w:rsidRPr="00D94367" w:rsidP="00C149B0" w14:paraId="5715AE59" w14:textId="77777777">
      <w:pPr>
        <w:tabs>
          <w:tab w:val="left" w:pos="567"/>
          <w:tab w:val="left" w:pos="851"/>
        </w:tabs>
        <w:spacing w:line="269" w:lineRule="auto"/>
        <w:ind w:firstLine="21"/>
        <w:jc w:val="center"/>
        <w:rPr>
          <w:b/>
          <w:bCs/>
          <w:rtl/>
        </w:rPr>
      </w:pPr>
      <w:r w:rsidRPr="00395D6E">
        <w:rPr>
          <w:noProof/>
          <w:szCs w:val="20"/>
          <w:rtl/>
        </w:rPr>
        <w:drawing>
          <wp:inline distT="0" distB="0" distL="0" distR="0">
            <wp:extent cx="4624874" cy="2976664"/>
            <wp:effectExtent l="0" t="0" r="0" b="0"/>
            <wp:docPr id="1451066645" name="תמונה 1451066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5" name="תמונה 1451066645"/>
                    <pic:cNvPicPr>
                      <a:picLocks noChangeAspect="1" noChangeArrowheads="1"/>
                    </pic:cNvPicPr>
                  </pic:nvPicPr>
                  <pic:blipFill>
                    <a:blip xmlns:r="http://schemas.openxmlformats.org/officeDocument/2006/relationships" r:embed="rId52">
                      <a:extLst>
                        <a:ext xmlns:a="http://schemas.openxmlformats.org/drawingml/2006/main" uri="{28A0092B-C50C-407E-A947-70E740481C1C}">
                          <a14:useLocalDpi xmlns:a14="http://schemas.microsoft.com/office/drawing/2010/main" val="0"/>
                        </a:ext>
                      </a:extLst>
                    </a:blip>
                    <a:srcRect t="3355" r="-10" b="-524"/>
                    <a:stretch>
                      <a:fillRect/>
                    </a:stretch>
                  </pic:blipFill>
                  <pic:spPr bwMode="auto">
                    <a:xfrm>
                      <a:off x="0" y="0"/>
                      <a:ext cx="4632149" cy="2981347"/>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C149B0" w:rsidRPr="00D94367" w:rsidP="003A6069" w14:paraId="75CE5D8D" w14:textId="77777777">
      <w:pPr>
        <w:pStyle w:val="738"/>
        <w:rPr>
          <w:rtl/>
        </w:rPr>
      </w:pPr>
      <w:r w:rsidRPr="00D94367">
        <w:rPr>
          <w:rFonts w:hint="eastAsia"/>
          <w:rtl/>
        </w:rPr>
        <w:t>המקור</w:t>
      </w:r>
      <w:r w:rsidRPr="00D94367">
        <w:rPr>
          <w:rtl/>
        </w:rPr>
        <w:t xml:space="preserve">: מסמכי </w:t>
      </w:r>
      <w:r w:rsidRPr="00D94367">
        <w:rPr>
          <w:rtl/>
        </w:rPr>
        <w:t>התע"א</w:t>
      </w:r>
      <w:r>
        <w:rPr>
          <w:rFonts w:hint="cs"/>
          <w:rtl/>
        </w:rPr>
        <w:t>.</w:t>
      </w:r>
      <w:r w:rsidRPr="00D94367">
        <w:rPr>
          <w:rtl/>
        </w:rPr>
        <w:t xml:space="preserve"> </w:t>
      </w:r>
    </w:p>
    <w:p w:rsidR="00C149B0" w:rsidP="003A6069" w14:paraId="08E7E688" w14:textId="77777777">
      <w:pPr>
        <w:pStyle w:val="7318"/>
        <w:rPr>
          <w:rtl/>
        </w:rPr>
      </w:pPr>
      <w:r w:rsidRPr="00D94367">
        <w:rPr>
          <w:rFonts w:hint="cs"/>
          <w:rtl/>
        </w:rPr>
        <w:t xml:space="preserve">מניתוח הנתונים שבתרשים עולה כי סכום ההכנסות ממכירות לעובד ברפאל בשנת 2021 </w:t>
      </w:r>
      <w:r>
        <w:rPr>
          <w:rFonts w:hint="cs"/>
          <w:rtl/>
        </w:rPr>
        <w:t>(כ-320,000 דולר)</w:t>
      </w:r>
      <w:r w:rsidRPr="00D94367">
        <w:rPr>
          <w:rFonts w:hint="cs"/>
          <w:rtl/>
        </w:rPr>
        <w:t xml:space="preserve"> היה נמוך בכ-11% ובכ-7% מממוצע סכום ההכנסות ממכירות לעובד בחברות המתחרות </w:t>
      </w:r>
      <w:r>
        <w:rPr>
          <w:rFonts w:hint="cs"/>
          <w:rtl/>
        </w:rPr>
        <w:t xml:space="preserve">בעולם </w:t>
      </w:r>
      <w:r w:rsidRPr="00D94367">
        <w:rPr>
          <w:rFonts w:hint="cs"/>
          <w:rtl/>
        </w:rPr>
        <w:t xml:space="preserve">ומהסכום החציוני של ההכנסות ממכירות לעובד לשנת 2021, שהיו בסך של </w:t>
      </w:r>
      <w:r>
        <w:rPr>
          <w:rFonts w:hint="cs"/>
          <w:rtl/>
        </w:rPr>
        <w:t>כ-364,000</w:t>
      </w:r>
      <w:r w:rsidRPr="00D94367">
        <w:rPr>
          <w:rFonts w:hint="cs"/>
          <w:rtl/>
        </w:rPr>
        <w:t xml:space="preserve"> </w:t>
      </w:r>
      <w:r>
        <w:rPr>
          <w:rFonts w:hint="cs"/>
          <w:rtl/>
        </w:rPr>
        <w:t xml:space="preserve">דולר </w:t>
      </w:r>
      <w:r w:rsidRPr="00D94367">
        <w:rPr>
          <w:rFonts w:hint="cs"/>
          <w:rtl/>
        </w:rPr>
        <w:t>ו</w:t>
      </w:r>
      <w:r>
        <w:rPr>
          <w:rFonts w:hint="cs"/>
          <w:rtl/>
        </w:rPr>
        <w:t>כ</w:t>
      </w:r>
      <w:r w:rsidRPr="00D94367">
        <w:rPr>
          <w:rFonts w:hint="cs"/>
          <w:rtl/>
        </w:rPr>
        <w:t>-347</w:t>
      </w:r>
      <w:r>
        <w:rPr>
          <w:rFonts w:hint="cs"/>
          <w:rtl/>
        </w:rPr>
        <w:t>,000</w:t>
      </w:r>
      <w:r w:rsidRPr="00D94367">
        <w:rPr>
          <w:rFonts w:hint="cs"/>
          <w:rtl/>
        </w:rPr>
        <w:t xml:space="preserve"> דולר, בהתאמה.</w:t>
      </w:r>
      <w:r>
        <w:rPr>
          <w:rFonts w:hint="cs"/>
          <w:rtl/>
        </w:rPr>
        <w:t xml:space="preserve"> </w:t>
      </w:r>
    </w:p>
    <w:p w:rsidR="00C149B0" w:rsidP="003A6069" w14:paraId="4383B012" w14:textId="77777777">
      <w:pPr>
        <w:pStyle w:val="7318"/>
        <w:rPr>
          <w:rtl/>
        </w:rPr>
      </w:pPr>
      <w:r>
        <w:rPr>
          <w:rFonts w:hint="cs"/>
          <w:rtl/>
        </w:rPr>
        <w:t xml:space="preserve">מומלץ כי הנהלת רפאל תבחן את הסיבות לירידה במדד ההכנסות ממכירות לעובד בשנים 2020 ו-2021, ותפעל לגיבוש צעדים לשיפורו. עוד מומלץ כי הנהלת רפאל תבחן דרכים להעלאת הרווחיות הגולמית לעובד. </w:t>
      </w:r>
    </w:p>
    <w:p w:rsidR="00C149B0" w:rsidRPr="001E7361" w:rsidP="001E7361" w14:paraId="2E067303" w14:textId="77777777">
      <w:pPr>
        <w:pStyle w:val="733155"/>
        <w:rPr>
          <w:rtl/>
        </w:rPr>
      </w:pPr>
      <w:bookmarkStart w:id="25" w:name="_Toc63925931"/>
      <w:bookmarkStart w:id="26" w:name="_Toc115616205"/>
      <w:r w:rsidRPr="001E7361">
        <w:rPr>
          <w:rFonts w:hint="cs"/>
          <w:rtl/>
        </w:rPr>
        <w:t>עמידה באבני דרך חוזיות</w:t>
      </w:r>
      <w:bookmarkEnd w:id="25"/>
      <w:bookmarkEnd w:id="26"/>
    </w:p>
    <w:p w:rsidR="00C149B0" w:rsidRPr="003A6069" w:rsidP="003A6069" w14:paraId="48771713" w14:textId="77777777">
      <w:pPr>
        <w:pStyle w:val="7392"/>
        <w:rPr>
          <w:rtl/>
        </w:rPr>
      </w:pPr>
      <w:r w:rsidRPr="003A6069">
        <w:rPr>
          <w:rFonts w:hint="cs"/>
          <w:rtl/>
        </w:rPr>
        <w:t>רפאל חותמת עם לקוחותיה על חוזים לביצוע פרויקטים בתחומי פיתוח, ייצור ותחזוקה של מוצריה, ובהם נקבעות בין היתר אבני דרך לביצוע התחייבויות החברה בלוחות הזמנים שהוגדרו. פערים בעמידה באבני דרך חוזיות נוצרים במקרים שבהם רפאל אינה עומדת בלוחות הזמנים שהוגדרו בחוזה עם הלקוח. לפערים אלה יש השפעות אפשריות בהיבטים שונים, ובהם: ריתוק משאבי כוח אדם לתקופה שמעבר למתוכנן, בדגש על כוח האדם העוסק בפיתוח, שנמצא לרוב במחסור, ושאינו מתפנה לביצוע פעילויות מתוכננות אחרות.</w:t>
      </w:r>
    </w:p>
    <w:p w:rsidR="00C149B0" w:rsidRPr="003A6069" w:rsidP="003A6069" w14:paraId="1BBD1DB4" w14:textId="77777777">
      <w:pPr>
        <w:pStyle w:val="7318"/>
        <w:rPr>
          <w:rtl/>
        </w:rPr>
      </w:pPr>
      <w:r w:rsidRPr="003A6069">
        <w:rPr>
          <w:rFonts w:eastAsia="Calibri" w:hint="cs"/>
          <w:rtl/>
        </w:rPr>
        <w:t xml:space="preserve">מנתוני רפאל עולה כי קיים פער מסוים בביצוע אבני דרך חוזיות בפרויקטים. </w:t>
      </w:r>
    </w:p>
    <w:p w:rsidR="00C149B0" w:rsidRPr="003A6069" w:rsidP="003A6069" w14:paraId="41294826" w14:textId="77777777">
      <w:pPr>
        <w:pStyle w:val="7392"/>
        <w:rPr>
          <w:rtl/>
        </w:rPr>
      </w:pPr>
      <w:r w:rsidRPr="003A6069">
        <w:rPr>
          <w:rFonts w:hint="cs"/>
          <w:rtl/>
        </w:rPr>
        <w:t xml:space="preserve">בדיון מעקב בנושא שקיימה ועדת כספים והשקעות של הדירקטוריון ב-9.2.21 דיווח מנכ"ל רפאל לוועדה כי הנושא </w:t>
      </w:r>
      <w:r w:rsidRPr="003A6069">
        <w:rPr>
          <w:rtl/>
        </w:rPr>
        <w:t xml:space="preserve">נמצא במיקוד ניהולי של </w:t>
      </w:r>
      <w:r w:rsidRPr="003A6069">
        <w:rPr>
          <w:rFonts w:hint="cs"/>
          <w:rtl/>
        </w:rPr>
        <w:t>ה</w:t>
      </w:r>
      <w:r w:rsidRPr="003A6069">
        <w:rPr>
          <w:rtl/>
        </w:rPr>
        <w:t>הנהל</w:t>
      </w:r>
      <w:r w:rsidRPr="003A6069">
        <w:rPr>
          <w:rFonts w:hint="cs"/>
          <w:rtl/>
        </w:rPr>
        <w:t xml:space="preserve">ה </w:t>
      </w:r>
      <w:r w:rsidRPr="003A6069">
        <w:rPr>
          <w:rtl/>
        </w:rPr>
        <w:t>ו</w:t>
      </w:r>
      <w:r w:rsidRPr="003A6069">
        <w:rPr>
          <w:rFonts w:hint="cs"/>
          <w:rtl/>
        </w:rPr>
        <w:t xml:space="preserve">של </w:t>
      </w:r>
      <w:r w:rsidRPr="003A6069">
        <w:rPr>
          <w:rtl/>
        </w:rPr>
        <w:t>הנהלות החטיבות</w:t>
      </w:r>
      <w:r w:rsidRPr="003A6069">
        <w:rPr>
          <w:rFonts w:hint="cs"/>
          <w:rtl/>
        </w:rPr>
        <w:t xml:space="preserve"> </w:t>
      </w:r>
      <w:r w:rsidRPr="003A6069">
        <w:rPr>
          <w:rtl/>
        </w:rPr>
        <w:t>העסקיות והטכנולוגיות</w:t>
      </w:r>
      <w:r w:rsidRPr="003A6069">
        <w:rPr>
          <w:rFonts w:hint="cs"/>
          <w:rtl/>
        </w:rPr>
        <w:t xml:space="preserve">, וכי הפער מדווח בדוח הבקרה הניהולי החודשי ונדון במסגרת דיוני סטטוס המתקיימים בחטיבות ובדיונים פרטניים בהנהלת רפאל בהשתתפות מנכ"ל רפאל. </w:t>
      </w:r>
    </w:p>
    <w:p w:rsidR="00C149B0" w:rsidRPr="003A6069" w:rsidP="003A6069" w14:paraId="67C1B7C3" w14:textId="77777777">
      <w:pPr>
        <w:pStyle w:val="7392"/>
        <w:rPr>
          <w:rtl/>
        </w:rPr>
      </w:pPr>
      <w:r w:rsidRPr="003A6069">
        <w:rPr>
          <w:rFonts w:hint="cs"/>
          <w:rtl/>
        </w:rPr>
        <w:t xml:space="preserve">בישיבת ועדת כספים והשקעות ב-22.3.22 בנושא סיכום ואישור של הדוחות הכספיים לשנת 2021 ציין יו"ר הוועדה כי הנושא נמצא במוקד תשומת הלב של המנכ"ל וההנהלה ובמעקב הדירקטוריון. </w:t>
      </w:r>
    </w:p>
    <w:p w:rsidR="00C149B0" w:rsidRPr="003A6069" w:rsidP="003A6069" w14:paraId="0DB3AB81" w14:textId="77777777">
      <w:pPr>
        <w:pStyle w:val="7318"/>
        <w:rPr>
          <w:rtl/>
        </w:rPr>
      </w:pPr>
      <w:r w:rsidRPr="003A6069">
        <w:rPr>
          <w:rFonts w:hint="cs"/>
          <w:rtl/>
        </w:rPr>
        <w:t>נוכח פער מסוים באבני הדרך החוזיות, מומלץ כי רפאל תבחן את השיטה שהיא נוקטת למעקב אחר מימושן.</w:t>
      </w:r>
    </w:p>
    <w:p w:rsidR="00C149B0" w:rsidRPr="003A6069" w:rsidP="003A6069" w14:paraId="40C72A69" w14:textId="77777777">
      <w:pPr>
        <w:pStyle w:val="7392"/>
        <w:rPr>
          <w:rtl/>
        </w:rPr>
      </w:pPr>
      <w:r w:rsidRPr="003A6069">
        <w:rPr>
          <w:rFonts w:hint="cs"/>
          <w:rtl/>
        </w:rPr>
        <w:t xml:space="preserve">בתגובתה של רפאל על ממצאי הביקורת היא מסרה כי נושא הפער באבני דרך חוזיות נמצא במיקוד ארגוני ובמעקב צמוד של ההנהלה, וכי החברה עושה כל שביכולתה לסגירת פערים בתנאי שוק מורכבים ביותר. רפאל </w:t>
      </w:r>
      <w:r w:rsidRPr="003A6069">
        <w:rPr>
          <w:rtl/>
        </w:rPr>
        <w:t xml:space="preserve">פירטה את </w:t>
      </w:r>
      <w:r w:rsidRPr="003A6069">
        <w:rPr>
          <w:rFonts w:hint="cs"/>
          <w:rtl/>
        </w:rPr>
        <w:t>פעילות</w:t>
      </w:r>
      <w:r w:rsidRPr="003A6069">
        <w:rPr>
          <w:rtl/>
        </w:rPr>
        <w:t xml:space="preserve"> המעקב והבקרה שמקיימ</w:t>
      </w:r>
      <w:r w:rsidRPr="003A6069">
        <w:rPr>
          <w:rFonts w:hint="cs"/>
          <w:rtl/>
        </w:rPr>
        <w:t>ים</w:t>
      </w:r>
      <w:r w:rsidRPr="003A6069">
        <w:rPr>
          <w:rtl/>
        </w:rPr>
        <w:t xml:space="preserve"> ההנהלה והדירקטוריון בהקשר זה</w:t>
      </w:r>
      <w:r w:rsidRPr="003A6069">
        <w:rPr>
          <w:rFonts w:hint="cs"/>
          <w:rtl/>
        </w:rPr>
        <w:t>, לרבות: דיוני מנכ"ל בנושא לפחות פעמיים בשנה, הצגת הנושא</w:t>
      </w:r>
      <w:r w:rsidRPr="003A6069">
        <w:rPr>
          <w:rtl/>
        </w:rPr>
        <w:t xml:space="preserve"> </w:t>
      </w:r>
      <w:r w:rsidRPr="003A6069">
        <w:rPr>
          <w:rFonts w:hint="cs"/>
          <w:rtl/>
        </w:rPr>
        <w:t>ל</w:t>
      </w:r>
      <w:r w:rsidRPr="003A6069">
        <w:rPr>
          <w:rtl/>
        </w:rPr>
        <w:t>פני ועדת הביקורת של הדירקטוריון במהלך השנה</w:t>
      </w:r>
      <w:r w:rsidRPr="003A6069">
        <w:rPr>
          <w:rFonts w:hint="cs"/>
          <w:rtl/>
        </w:rPr>
        <w:t xml:space="preserve"> ודיון ייעודי שהתקיים השנה בוועדת הכספים של הדירקטוריון</w:t>
      </w:r>
      <w:r w:rsidRPr="003A6069">
        <w:rPr>
          <w:rtl/>
        </w:rPr>
        <w:t>.</w:t>
      </w:r>
    </w:p>
    <w:p w:rsidR="00C149B0" w:rsidRPr="003A6069" w:rsidP="003A6069" w14:paraId="33B2E0FA" w14:textId="77777777">
      <w:pPr>
        <w:pStyle w:val="7318"/>
        <w:rPr>
          <w:rtl/>
        </w:rPr>
      </w:pPr>
      <w:r w:rsidRPr="003A6069">
        <w:rPr>
          <w:rFonts w:hint="cs"/>
          <w:rtl/>
        </w:rPr>
        <w:t>מומלץ כי הנהלת רפאל תפעל להמשך בחינת תהליכי ניהול הפרויקטים שבהם היו פערים מסוימים והבקרה עליהם, משלב הייזום וההכנה של הצעות המחיר ועד לשלב ביצועם הנוכחי של הפרויקטים; זאת לצורך הפקת לקחים רוחביים וגיבוש כללים ואמצעים לצמצום הפערים בעתיד.</w:t>
      </w:r>
    </w:p>
    <w:p w:rsidR="00C149B0" w:rsidRPr="00803804" w:rsidP="003A6069" w14:paraId="706DA0B2" w14:textId="77777777">
      <w:pPr>
        <w:pStyle w:val="7321"/>
        <w:rPr>
          <w:rFonts w:ascii="David" w:hAnsi="David"/>
          <w:rtl/>
        </w:rPr>
      </w:pPr>
      <w:r w:rsidRPr="00803804">
        <w:rPr>
          <w:rFonts w:hint="cs"/>
          <w:rtl/>
        </w:rPr>
        <w:t>✰</w:t>
      </w:r>
    </w:p>
    <w:p w:rsidR="00C149B0" w:rsidRPr="003A6069" w:rsidP="003A6069" w14:paraId="38BAD09D" w14:textId="77777777">
      <w:pPr>
        <w:pStyle w:val="7318"/>
        <w:rPr>
          <w:rtl/>
        </w:rPr>
      </w:pPr>
      <w:r w:rsidRPr="003A6069">
        <w:rPr>
          <w:rFonts w:hint="cs"/>
          <w:rtl/>
        </w:rPr>
        <w:t>מומלץ כי הנהלת רפאל והדירקטוריון יעמיקו את מעורבותם בנושא זה בדגש על ניתוח פרטני של הסיבות וכן על הפקה ממוקדת של הלקחים והטמעתם בפעילות החברה.</w:t>
      </w:r>
    </w:p>
    <w:p w:rsidR="00C149B0" w:rsidRPr="001E7361" w:rsidP="001E7361" w14:paraId="71E1EBED" w14:textId="77777777">
      <w:pPr>
        <w:pStyle w:val="733155"/>
        <w:rPr>
          <w:rtl/>
        </w:rPr>
      </w:pPr>
      <w:bookmarkStart w:id="27" w:name="_Toc115616206"/>
      <w:r w:rsidRPr="001E7361">
        <w:rPr>
          <w:rFonts w:hint="cs"/>
          <w:rtl/>
        </w:rPr>
        <w:t>השקעה בחברות מוחזקות</w:t>
      </w:r>
      <w:bookmarkEnd w:id="27"/>
    </w:p>
    <w:p w:rsidR="00C149B0" w:rsidP="003A6069" w14:paraId="0324DB96" w14:textId="77777777">
      <w:pPr>
        <w:pStyle w:val="7392"/>
        <w:rPr>
          <w:rtl/>
        </w:rPr>
      </w:pPr>
      <w:r w:rsidRPr="00D94367">
        <w:rPr>
          <w:rFonts w:hint="cs"/>
          <w:rtl/>
        </w:rPr>
        <w:t xml:space="preserve">על פי מסמכי רפאל, הקמת חברות, מיזוגים ורכישות של חברות הם בין מנועי הצמיחה של הקבוצה, לצד צמיחה פנימית. הרציונל האסטרטגי לביצוע עסקאות אלו הוא: כניסה לתחומי פעילות חדשים; חיזוק מעמדה </w:t>
      </w:r>
      <w:r>
        <w:rPr>
          <w:rFonts w:hint="cs"/>
          <w:rtl/>
        </w:rPr>
        <w:t xml:space="preserve">של רפאל </w:t>
      </w:r>
      <w:r w:rsidRPr="00D94367">
        <w:rPr>
          <w:rFonts w:hint="cs"/>
          <w:rtl/>
        </w:rPr>
        <w:t>בשווקים גיאוגרפיים</w:t>
      </w:r>
      <w:r>
        <w:rPr>
          <w:rFonts w:hint="cs"/>
          <w:rtl/>
        </w:rPr>
        <w:t xml:space="preserve"> שונים</w:t>
      </w:r>
      <w:r w:rsidRPr="00D94367">
        <w:rPr>
          <w:rFonts w:hint="cs"/>
          <w:rtl/>
        </w:rPr>
        <w:t xml:space="preserve">; השלמת </w:t>
      </w:r>
      <w:r>
        <w:rPr>
          <w:rFonts w:hint="cs"/>
          <w:rtl/>
        </w:rPr>
        <w:t>ה</w:t>
      </w:r>
      <w:r w:rsidRPr="00D94367">
        <w:rPr>
          <w:rFonts w:hint="cs"/>
          <w:rtl/>
        </w:rPr>
        <w:t xml:space="preserve">יכולת </w:t>
      </w:r>
      <w:r>
        <w:rPr>
          <w:rFonts w:hint="cs"/>
          <w:rtl/>
        </w:rPr>
        <w:t>ה</w:t>
      </w:r>
      <w:r w:rsidRPr="00D94367">
        <w:rPr>
          <w:rFonts w:hint="cs"/>
          <w:rtl/>
        </w:rPr>
        <w:t xml:space="preserve">טכנולוגית; חיזוק יכולת </w:t>
      </w:r>
      <w:r w:rsidRPr="00D94367">
        <w:rPr>
          <w:rFonts w:hint="cs"/>
          <w:rtl/>
        </w:rPr>
        <w:t>ייצורית</w:t>
      </w:r>
      <w:r w:rsidRPr="00D94367">
        <w:rPr>
          <w:rFonts w:hint="cs"/>
          <w:rtl/>
        </w:rPr>
        <w:t xml:space="preserve"> או הנדסית; </w:t>
      </w:r>
      <w:r>
        <w:rPr>
          <w:rFonts w:hint="cs"/>
          <w:rtl/>
        </w:rPr>
        <w:t>והפחתת</w:t>
      </w:r>
      <w:r w:rsidRPr="00D94367">
        <w:rPr>
          <w:rFonts w:hint="cs"/>
          <w:rtl/>
        </w:rPr>
        <w:t xml:space="preserve"> התחרות באמצעות רכש חברות מתחרות. </w:t>
      </w:r>
    </w:p>
    <w:p w:rsidR="00C149B0" w:rsidRPr="00D94367" w:rsidP="003A6069" w14:paraId="3808BFF7" w14:textId="77777777">
      <w:pPr>
        <w:pStyle w:val="7392"/>
        <w:rPr>
          <w:rtl/>
        </w:rPr>
      </w:pPr>
      <w:r w:rsidRPr="00D94367">
        <w:rPr>
          <w:rFonts w:hint="cs"/>
          <w:rtl/>
        </w:rPr>
        <w:t>בדוח השנתי ל-31.12.21 הציגה רפאל 37 חברות מוחזקות</w:t>
      </w:r>
      <w:r>
        <w:rPr>
          <w:vertAlign w:val="superscript"/>
          <w:rtl/>
        </w:rPr>
        <w:footnoteReference w:id="54"/>
      </w:r>
      <w:r w:rsidRPr="00D94367">
        <w:rPr>
          <w:rFonts w:hint="cs"/>
          <w:rtl/>
        </w:rPr>
        <w:t xml:space="preserve"> עיקריות בארץ ובחו"ל: עשר חברות בנות, </w:t>
      </w:r>
      <w:r>
        <w:rPr>
          <w:rFonts w:hint="cs"/>
          <w:rtl/>
        </w:rPr>
        <w:t>בהן</w:t>
      </w:r>
      <w:r w:rsidRPr="00D94367">
        <w:rPr>
          <w:rFonts w:hint="cs"/>
          <w:rtl/>
        </w:rPr>
        <w:t xml:space="preserve"> ארבע חברות שדוחותיהן הכספיים נכללים בדוחותיה של רפאל; שבע חברות נכדות, </w:t>
      </w:r>
      <w:r>
        <w:rPr>
          <w:rFonts w:hint="cs"/>
          <w:rtl/>
        </w:rPr>
        <w:t>בהן</w:t>
      </w:r>
      <w:r w:rsidRPr="00D94367">
        <w:rPr>
          <w:rFonts w:hint="cs"/>
          <w:rtl/>
        </w:rPr>
        <w:t xml:space="preserve"> שלוש חברות שדוחותיהן הכספיים נכללים בדוחותיה של רפאל; 18 חברות כלולות</w:t>
      </w:r>
      <w:r w:rsidRPr="00D94367">
        <w:rPr>
          <w:rFonts w:hint="cs"/>
          <w:vertAlign w:val="superscript"/>
          <w:rtl/>
        </w:rPr>
        <w:t xml:space="preserve"> </w:t>
      </w:r>
      <w:r w:rsidRPr="00D94367">
        <w:rPr>
          <w:rFonts w:hint="cs"/>
          <w:rtl/>
        </w:rPr>
        <w:t>ושתי עסקאות משותפות, המוצגות לפי שיטת השווי המאזני</w:t>
      </w:r>
      <w:r>
        <w:rPr>
          <w:vertAlign w:val="superscript"/>
          <w:rtl/>
        </w:rPr>
        <w:footnoteReference w:id="55"/>
      </w:r>
      <w:r w:rsidRPr="00D94367">
        <w:rPr>
          <w:rFonts w:hint="cs"/>
          <w:rtl/>
        </w:rPr>
        <w:t>.</w:t>
      </w:r>
    </w:p>
    <w:p w:rsidR="00C149B0" w:rsidP="003A6069" w14:paraId="42B94298" w14:textId="52F3AA34">
      <w:pPr>
        <w:pStyle w:val="7392"/>
        <w:rPr>
          <w:rtl/>
        </w:rPr>
      </w:pPr>
      <w:r w:rsidRPr="00D94367">
        <w:rPr>
          <w:rFonts w:hint="cs"/>
          <w:rtl/>
        </w:rPr>
        <w:t xml:space="preserve">בדוח הכספי של רפאל (סולו) ל-31.12.21 </w:t>
      </w:r>
      <w:r>
        <w:rPr>
          <w:rFonts w:hint="cs"/>
          <w:rtl/>
        </w:rPr>
        <w:t>הסתכמה</w:t>
      </w:r>
      <w:r w:rsidRPr="00D94367">
        <w:rPr>
          <w:rFonts w:hint="cs"/>
          <w:rtl/>
        </w:rPr>
        <w:t xml:space="preserve"> יתרת השקעותיה בחברות המוחזקות </w:t>
      </w:r>
      <w:r w:rsidR="00217652">
        <w:rPr>
          <w:rtl/>
        </w:rPr>
        <w:br/>
      </w:r>
      <w:r>
        <w:rPr>
          <w:rFonts w:hint="cs"/>
          <w:rtl/>
        </w:rPr>
        <w:t>ב-</w:t>
      </w:r>
      <w:r w:rsidRPr="00D94367">
        <w:rPr>
          <w:rFonts w:hint="cs"/>
          <w:rtl/>
        </w:rPr>
        <w:t>1.491 מיליארד ש"ח</w:t>
      </w:r>
      <w:r>
        <w:rPr>
          <w:vertAlign w:val="superscript"/>
          <w:rtl/>
        </w:rPr>
        <w:footnoteReference w:id="56"/>
      </w:r>
      <w:r w:rsidRPr="00D94367">
        <w:rPr>
          <w:rFonts w:hint="cs"/>
          <w:rtl/>
        </w:rPr>
        <w:t>. להלן בתרשים פירוט יתרת ההשקעות בחברות המוחזקות, לפי מקומן הגיאוגרפי:</w:t>
      </w:r>
    </w:p>
    <w:p w:rsidR="00C149B0" w:rsidRPr="003A6069" w:rsidP="003A6069" w14:paraId="0611005D" w14:textId="0535DBAE">
      <w:pPr>
        <w:pStyle w:val="734"/>
        <w:rPr>
          <w:rtl/>
        </w:rPr>
      </w:pPr>
      <w:r w:rsidRPr="003A6069">
        <w:rPr>
          <w:rFonts w:hint="cs"/>
          <w:b w:val="0"/>
          <w:bCs w:val="0"/>
          <w:rtl/>
        </w:rPr>
        <w:t>תרשים 25:</w:t>
      </w:r>
      <w:r w:rsidRPr="003A6069">
        <w:rPr>
          <w:rFonts w:hint="cs"/>
          <w:rtl/>
        </w:rPr>
        <w:t xml:space="preserve"> מספר החברות המוחזקות (מצוין בסוגריים) ויתרת ההשקעות בהן</w:t>
      </w:r>
      <w:r w:rsidR="003A6069">
        <w:rPr>
          <w:rtl/>
        </w:rPr>
        <w:br/>
      </w:r>
      <w:r w:rsidRPr="003A6069">
        <w:rPr>
          <w:rFonts w:hint="cs"/>
          <w:rtl/>
        </w:rPr>
        <w:t>ב-31.12.21, לפי פיזור גיאוגרפי (במיליוני ש"ח)</w:t>
      </w:r>
    </w:p>
    <w:p w:rsidR="00C149B0" w:rsidP="00C149B0" w14:paraId="392F48ED" w14:textId="77777777">
      <w:pPr>
        <w:spacing w:line="269" w:lineRule="auto"/>
        <w:jc w:val="center"/>
        <w:rPr>
          <w:rFonts w:ascii="David" w:hAnsi="David"/>
          <w:b/>
          <w:bCs/>
          <w:sz w:val="24"/>
          <w:rtl/>
        </w:rPr>
      </w:pPr>
      <w:r>
        <w:rPr>
          <w:noProof/>
        </w:rPr>
        <w:drawing>
          <wp:inline distT="0" distB="0" distL="0" distR="0">
            <wp:extent cx="3071222" cy="3104727"/>
            <wp:effectExtent l="0" t="0" r="2540" b="0"/>
            <wp:docPr id="1451066647" name="תמונה 1451066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7" name="תמונה 1451066647"/>
                    <pic:cNvPicPr>
                      <a:picLocks noChangeAspect="1" noChangeArrowheads="1"/>
                    </pic:cNvPicPr>
                  </pic:nvPicPr>
                  <pic:blipFill>
                    <a:blip xmlns:r="http://schemas.openxmlformats.org/officeDocument/2006/relationships" r:embed="rId53">
                      <a:extLst>
                        <a:ext xmlns:a="http://schemas.openxmlformats.org/drawingml/2006/main" uri="{28A0092B-C50C-407E-A947-70E740481C1C}">
                          <a14:useLocalDpi xmlns:a14="http://schemas.microsoft.com/office/drawing/2010/main" val="0"/>
                        </a:ext>
                      </a:extLst>
                    </a:blip>
                    <a:stretch>
                      <a:fillRect/>
                    </a:stretch>
                  </pic:blipFill>
                  <pic:spPr bwMode="auto">
                    <a:xfrm>
                      <a:off x="0" y="0"/>
                      <a:ext cx="3084006" cy="3117650"/>
                    </a:xfrm>
                    <a:prstGeom prst="rect">
                      <a:avLst/>
                    </a:prstGeom>
                    <a:noFill/>
                    <a:ln>
                      <a:noFill/>
                    </a:ln>
                  </pic:spPr>
                </pic:pic>
              </a:graphicData>
            </a:graphic>
          </wp:inline>
        </w:drawing>
      </w:r>
    </w:p>
    <w:p w:rsidR="00C149B0" w:rsidRPr="003A6069" w:rsidP="003A6069" w14:paraId="660D76F3" w14:textId="77777777">
      <w:pPr>
        <w:pStyle w:val="738"/>
        <w:rPr>
          <w:rtl/>
        </w:rPr>
      </w:pPr>
      <w:r w:rsidRPr="003A6069">
        <w:rPr>
          <w:rFonts w:hint="cs"/>
          <w:rtl/>
        </w:rPr>
        <w:t>על פי נתוני רפאל, בעיבוד משרד מבקר המדינה.</w:t>
      </w:r>
    </w:p>
    <w:p w:rsidR="00C149B0" w:rsidRPr="003A6069" w:rsidP="003A6069" w14:paraId="2D9933BA" w14:textId="68D578EF">
      <w:pPr>
        <w:pStyle w:val="7318"/>
        <w:rPr>
          <w:rtl/>
        </w:rPr>
      </w:pPr>
      <w:r w:rsidRPr="003A6069">
        <w:rPr>
          <w:rFonts w:hint="cs"/>
          <w:rtl/>
        </w:rPr>
        <w:t xml:space="preserve">מהתרשים עולה כי עיקר ההשקעות של רפאל בחברות מוחזקות הוא בישראל, הן </w:t>
      </w:r>
      <w:r w:rsidRPr="003A6069">
        <w:rPr>
          <w:rFonts w:hint="eastAsia"/>
          <w:rtl/>
        </w:rPr>
        <w:t>מבחינת</w:t>
      </w:r>
      <w:r w:rsidRPr="003A6069">
        <w:rPr>
          <w:rtl/>
        </w:rPr>
        <w:t xml:space="preserve"> </w:t>
      </w:r>
      <w:r w:rsidRPr="003A6069">
        <w:rPr>
          <w:rFonts w:hint="eastAsia"/>
          <w:rtl/>
        </w:rPr>
        <w:t>מספר</w:t>
      </w:r>
      <w:r w:rsidRPr="003A6069">
        <w:rPr>
          <w:rtl/>
        </w:rPr>
        <w:t xml:space="preserve"> </w:t>
      </w:r>
      <w:r w:rsidRPr="003A6069">
        <w:rPr>
          <w:rFonts w:hint="eastAsia"/>
          <w:rtl/>
        </w:rPr>
        <w:t>החברות</w:t>
      </w:r>
      <w:r w:rsidRPr="003A6069">
        <w:rPr>
          <w:rtl/>
        </w:rPr>
        <w:t xml:space="preserve"> (</w:t>
      </w:r>
      <w:r w:rsidRPr="003A6069">
        <w:rPr>
          <w:rFonts w:hint="eastAsia"/>
          <w:rtl/>
        </w:rPr>
        <w:t>כ</w:t>
      </w:r>
      <w:r w:rsidRPr="003A6069">
        <w:rPr>
          <w:rtl/>
        </w:rPr>
        <w:t xml:space="preserve">-46% </w:t>
      </w:r>
      <w:r w:rsidRPr="003A6069">
        <w:rPr>
          <w:rFonts w:hint="eastAsia"/>
          <w:rtl/>
        </w:rPr>
        <w:t>מכלל</w:t>
      </w:r>
      <w:r w:rsidRPr="003A6069">
        <w:rPr>
          <w:rtl/>
        </w:rPr>
        <w:t xml:space="preserve"> החברות</w:t>
      </w:r>
      <w:r w:rsidRPr="003A6069">
        <w:rPr>
          <w:rFonts w:hint="cs"/>
          <w:rtl/>
        </w:rPr>
        <w:t xml:space="preserve"> המוחזקות</w:t>
      </w:r>
      <w:r w:rsidRPr="003A6069">
        <w:rPr>
          <w:rtl/>
        </w:rPr>
        <w:t xml:space="preserve">) </w:t>
      </w:r>
      <w:r w:rsidRPr="003A6069">
        <w:rPr>
          <w:rFonts w:hint="eastAsia"/>
          <w:rtl/>
        </w:rPr>
        <w:t>והן</w:t>
      </w:r>
      <w:r w:rsidRPr="003A6069">
        <w:rPr>
          <w:rtl/>
        </w:rPr>
        <w:t xml:space="preserve"> </w:t>
      </w:r>
      <w:r w:rsidRPr="003A6069">
        <w:rPr>
          <w:rFonts w:hint="eastAsia"/>
          <w:rtl/>
        </w:rPr>
        <w:t>מבחינת</w:t>
      </w:r>
      <w:r w:rsidRPr="003A6069">
        <w:rPr>
          <w:rtl/>
        </w:rPr>
        <w:t xml:space="preserve"> </w:t>
      </w:r>
      <w:r w:rsidRPr="003A6069">
        <w:rPr>
          <w:rFonts w:hint="eastAsia"/>
          <w:rtl/>
        </w:rPr>
        <w:t>סכום</w:t>
      </w:r>
      <w:r w:rsidRPr="003A6069">
        <w:rPr>
          <w:rtl/>
        </w:rPr>
        <w:t xml:space="preserve"> </w:t>
      </w:r>
      <w:r w:rsidRPr="003A6069">
        <w:rPr>
          <w:rFonts w:hint="eastAsia"/>
          <w:rtl/>
        </w:rPr>
        <w:t>ההשקעה</w:t>
      </w:r>
      <w:r w:rsidRPr="003A6069">
        <w:rPr>
          <w:rtl/>
        </w:rPr>
        <w:t xml:space="preserve"> (כ-77%</w:t>
      </w:r>
      <w:r w:rsidRPr="003A6069">
        <w:rPr>
          <w:rFonts w:hint="cs"/>
          <w:rtl/>
        </w:rPr>
        <w:t xml:space="preserve"> מסך ההשקעות בחברות מוחזקות). יצוין כי יתרת ההשקעה של רפאל </w:t>
      </w:r>
      <w:r w:rsidRPr="003A6069">
        <w:rPr>
          <w:rFonts w:hint="cs"/>
          <w:rtl/>
        </w:rPr>
        <w:t>באירונאוטיקס</w:t>
      </w:r>
      <w:r>
        <w:rPr>
          <w:vertAlign w:val="superscript"/>
          <w:rtl/>
        </w:rPr>
        <w:footnoteReference w:id="57"/>
      </w:r>
      <w:r w:rsidRPr="003A6069">
        <w:rPr>
          <w:rFonts w:hint="cs"/>
          <w:rtl/>
        </w:rPr>
        <w:t xml:space="preserve"> </w:t>
      </w:r>
      <w:r w:rsidR="00217652">
        <w:rPr>
          <w:rtl/>
        </w:rPr>
        <w:br/>
      </w:r>
      <w:r w:rsidRPr="003A6069">
        <w:rPr>
          <w:rFonts w:hint="cs"/>
          <w:rtl/>
        </w:rPr>
        <w:t>ל-31.12.21 (כ-585 מיליון ש"ח) היא כ-51% מיתרת ההשקעות של רפאל בחברות המוחזקות בישראל.</w:t>
      </w:r>
    </w:p>
    <w:p w:rsidR="00C149B0" w:rsidRPr="003A6069" w:rsidP="003A6069" w14:paraId="69622C2D" w14:textId="520D35E9">
      <w:pPr>
        <w:pStyle w:val="73414"/>
        <w:rPr>
          <w:rtl/>
        </w:rPr>
      </w:pPr>
      <w:r w:rsidRPr="003A6069">
        <w:rPr>
          <w:rFonts w:hint="cs"/>
          <w:rtl/>
        </w:rPr>
        <w:t>שינויים ביתרת ההשקעות של רפאל בחברות שנרכשו והוקמו בשנים 2017 - 2020</w:t>
      </w:r>
    </w:p>
    <w:p w:rsidR="00C149B0" w:rsidRPr="00D94367" w:rsidP="003A6069" w14:paraId="7645B0BB" w14:textId="77777777">
      <w:pPr>
        <w:pStyle w:val="7392"/>
        <w:rPr>
          <w:rtl/>
        </w:rPr>
      </w:pPr>
      <w:r w:rsidRPr="00D94367">
        <w:rPr>
          <w:rFonts w:hint="cs"/>
          <w:rtl/>
        </w:rPr>
        <w:t xml:space="preserve">בשנים 2017 - 2020 הקימה רפאל שש חברות ורכשה מניות של שלוש חברות; הגדולה שבהן - חברת </w:t>
      </w:r>
      <w:r w:rsidRPr="00D94367">
        <w:rPr>
          <w:rFonts w:hint="cs"/>
          <w:rtl/>
        </w:rPr>
        <w:t>אירונאוטיקס</w:t>
      </w:r>
      <w:r w:rsidRPr="00D94367">
        <w:rPr>
          <w:rFonts w:hint="cs"/>
          <w:rtl/>
        </w:rPr>
        <w:t xml:space="preserve">. </w:t>
      </w:r>
      <w:r w:rsidRPr="00D94367">
        <w:rPr>
          <w:rtl/>
        </w:rPr>
        <w:t>בדוח מבקר המדינה משנת</w:t>
      </w:r>
      <w:r w:rsidRPr="00D94367">
        <w:rPr>
          <w:rFonts w:hint="cs"/>
          <w:rtl/>
        </w:rPr>
        <w:t xml:space="preserve"> 2022 </w:t>
      </w:r>
      <w:r w:rsidRPr="00D94367">
        <w:rPr>
          <w:rtl/>
        </w:rPr>
        <w:t xml:space="preserve">בעניין תהליכי אישור </w:t>
      </w:r>
      <w:r>
        <w:rPr>
          <w:rFonts w:hint="cs"/>
          <w:rtl/>
        </w:rPr>
        <w:t xml:space="preserve">של </w:t>
      </w:r>
      <w:r w:rsidRPr="00D94367">
        <w:rPr>
          <w:rtl/>
        </w:rPr>
        <w:t>הקמת חברות ורכישת מניות בחברות קיימות על ידי חברות ממשלתיות ביטחוניות</w:t>
      </w:r>
      <w:r>
        <w:rPr>
          <w:vertAlign w:val="superscript"/>
          <w:rtl/>
        </w:rPr>
        <w:footnoteReference w:id="58"/>
      </w:r>
      <w:r w:rsidRPr="00D94367">
        <w:rPr>
          <w:rtl/>
        </w:rPr>
        <w:t xml:space="preserve">, </w:t>
      </w:r>
      <w:r w:rsidRPr="00D94367">
        <w:rPr>
          <w:rFonts w:hint="cs"/>
          <w:rtl/>
        </w:rPr>
        <w:t>נ</w:t>
      </w:r>
      <w:r w:rsidRPr="00D94367">
        <w:rPr>
          <w:rtl/>
        </w:rPr>
        <w:t>בדק</w:t>
      </w:r>
      <w:r w:rsidRPr="00D94367">
        <w:rPr>
          <w:rFonts w:hint="cs"/>
          <w:rtl/>
        </w:rPr>
        <w:t>ו</w:t>
      </w:r>
      <w:r w:rsidRPr="00D94367">
        <w:rPr>
          <w:rtl/>
        </w:rPr>
        <w:t xml:space="preserve"> בין היתר השינויים בערכן של השקעותיה של רפאל בחברות </w:t>
      </w:r>
      <w:r w:rsidRPr="00D94367">
        <w:rPr>
          <w:rFonts w:hint="cs"/>
          <w:rtl/>
        </w:rPr>
        <w:t>אלו</w:t>
      </w:r>
      <w:r w:rsidRPr="00D94367">
        <w:rPr>
          <w:rtl/>
        </w:rPr>
        <w:t xml:space="preserve">. בדוח עלה כי בתקופה זו שש </w:t>
      </w:r>
      <w:r w:rsidRPr="00D94367">
        <w:rPr>
          <w:rFonts w:hint="cs"/>
          <w:rtl/>
        </w:rPr>
        <w:t xml:space="preserve">מהחברות האמורות </w:t>
      </w:r>
      <w:r w:rsidRPr="00D94367">
        <w:rPr>
          <w:rtl/>
        </w:rPr>
        <w:t>דיווחו על הפסדים שהגיעו לכ-51 מיליון ש"ח</w:t>
      </w:r>
      <w:r>
        <w:rPr>
          <w:rFonts w:hint="cs"/>
          <w:rtl/>
        </w:rPr>
        <w:t>,</w:t>
      </w:r>
      <w:r w:rsidRPr="00D94367">
        <w:rPr>
          <w:rtl/>
        </w:rPr>
        <w:t xml:space="preserve"> כי רפאל הכירה בירידת ערך בסך כ-74 מיליון </w:t>
      </w:r>
      <w:r w:rsidRPr="00D94367">
        <w:rPr>
          <w:rtl/>
        </w:rPr>
        <w:t>ש"ח בהשקעותיה בשתי חברות</w:t>
      </w:r>
      <w:r>
        <w:rPr>
          <w:vertAlign w:val="superscript"/>
          <w:rtl/>
        </w:rPr>
        <w:footnoteReference w:id="59"/>
      </w:r>
      <w:r w:rsidRPr="00D94367">
        <w:rPr>
          <w:rtl/>
        </w:rPr>
        <w:t>, והפחיתה בספריה עודפי עלות</w:t>
      </w:r>
      <w:r>
        <w:rPr>
          <w:vertAlign w:val="superscript"/>
          <w:rtl/>
        </w:rPr>
        <w:footnoteReference w:id="60"/>
      </w:r>
      <w:r w:rsidRPr="00D94367">
        <w:rPr>
          <w:rtl/>
        </w:rPr>
        <w:t xml:space="preserve"> בגין הרכישות בסך כ-70 מיליון ש</w:t>
      </w:r>
      <w:r w:rsidRPr="002023F0">
        <w:rPr>
          <w:rtl/>
        </w:rPr>
        <w:t xml:space="preserve">"ח, </w:t>
      </w:r>
      <w:r w:rsidRPr="002023F0">
        <w:rPr>
          <w:rFonts w:hint="cs"/>
          <w:rtl/>
        </w:rPr>
        <w:t>וב</w:t>
      </w:r>
      <w:r w:rsidRPr="002023F0">
        <w:rPr>
          <w:rtl/>
        </w:rPr>
        <w:t xml:space="preserve">סך </w:t>
      </w:r>
      <w:r w:rsidRPr="002023F0">
        <w:rPr>
          <w:rFonts w:hint="cs"/>
          <w:rtl/>
        </w:rPr>
        <w:t>הכל</w:t>
      </w:r>
      <w:r w:rsidRPr="002023F0">
        <w:rPr>
          <w:rFonts w:hint="cs"/>
          <w:rtl/>
        </w:rPr>
        <w:t xml:space="preserve"> </w:t>
      </w:r>
      <w:r w:rsidRPr="002023F0">
        <w:rPr>
          <w:rtl/>
        </w:rPr>
        <w:t xml:space="preserve">ההפסד שנוצר לרפאל בגין </w:t>
      </w:r>
      <w:r w:rsidRPr="002023F0">
        <w:rPr>
          <w:rtl/>
        </w:rPr>
        <w:t>החזקותיה</w:t>
      </w:r>
      <w:r w:rsidRPr="002023F0">
        <w:rPr>
          <w:rtl/>
        </w:rPr>
        <w:t xml:space="preserve"> בחברות אלו </w:t>
      </w:r>
      <w:r w:rsidRPr="002023F0">
        <w:rPr>
          <w:rFonts w:hint="cs"/>
          <w:rtl/>
        </w:rPr>
        <w:t>היה</w:t>
      </w:r>
      <w:r w:rsidRPr="002023F0">
        <w:rPr>
          <w:rtl/>
        </w:rPr>
        <w:t xml:space="preserve"> </w:t>
      </w:r>
      <w:r w:rsidRPr="002023F0">
        <w:rPr>
          <w:rFonts w:hint="cs"/>
          <w:rtl/>
        </w:rPr>
        <w:t xml:space="preserve">בתקופה האמורה </w:t>
      </w:r>
      <w:r w:rsidRPr="002023F0">
        <w:rPr>
          <w:rtl/>
        </w:rPr>
        <w:t>כ-195 מיליון ש"ח</w:t>
      </w:r>
      <w:r w:rsidRPr="002023F0">
        <w:rPr>
          <w:rFonts w:hint="cs"/>
          <w:rtl/>
        </w:rPr>
        <w:t>. עוד עלה כי</w:t>
      </w:r>
      <w:r w:rsidRPr="002023F0">
        <w:rPr>
          <w:rtl/>
        </w:rPr>
        <w:t xml:space="preserve"> ע</w:t>
      </w:r>
      <w:r w:rsidRPr="00D94367">
        <w:rPr>
          <w:rtl/>
        </w:rPr>
        <w:t>ד 31.12.20</w:t>
      </w:r>
      <w:r w:rsidRPr="00D94367">
        <w:rPr>
          <w:rFonts w:hint="cs"/>
          <w:rtl/>
        </w:rPr>
        <w:t xml:space="preserve"> </w:t>
      </w:r>
      <w:r w:rsidRPr="00D94367">
        <w:rPr>
          <w:rtl/>
        </w:rPr>
        <w:t>רפאל לא קיבלה דיבידנדים מהחברות ש</w:t>
      </w:r>
      <w:r w:rsidRPr="00D94367">
        <w:rPr>
          <w:rFonts w:hint="cs"/>
          <w:rtl/>
        </w:rPr>
        <w:t xml:space="preserve">רכשה </w:t>
      </w:r>
      <w:r w:rsidRPr="00D94367">
        <w:rPr>
          <w:rtl/>
        </w:rPr>
        <w:t xml:space="preserve">או </w:t>
      </w:r>
      <w:r w:rsidRPr="00D94367">
        <w:rPr>
          <w:rFonts w:hint="cs"/>
          <w:rtl/>
        </w:rPr>
        <w:t>הקימה</w:t>
      </w:r>
      <w:r w:rsidRPr="00D94367">
        <w:rPr>
          <w:rtl/>
        </w:rPr>
        <w:t xml:space="preserve"> </w:t>
      </w:r>
      <w:r w:rsidRPr="00D94367">
        <w:rPr>
          <w:rFonts w:hint="cs"/>
          <w:rtl/>
        </w:rPr>
        <w:t xml:space="preserve">בשנים אלו. </w:t>
      </w:r>
    </w:p>
    <w:p w:rsidR="00C149B0" w:rsidRPr="003A6069" w:rsidP="003A6069" w14:paraId="6A99F5D5" w14:textId="77777777">
      <w:pPr>
        <w:pStyle w:val="7318"/>
        <w:rPr>
          <w:rtl/>
        </w:rPr>
      </w:pPr>
      <w:r w:rsidRPr="003A6069">
        <w:rPr>
          <w:rFonts w:hint="cs"/>
          <w:rtl/>
        </w:rPr>
        <w:t xml:space="preserve">מבדיקה שעשה מבקר המדינה לגבי תוצאותיהן הכספיות של שש החברות האמורות נמצא כי בשנת 2021 חמש מהן דיווחו על הפסד נקי כולל בסך של 15.7 מיליון ש"ח, והחברה השישית - </w:t>
      </w:r>
      <w:r w:rsidRPr="003A6069">
        <w:rPr>
          <w:rFonts w:hint="cs"/>
          <w:rtl/>
        </w:rPr>
        <w:t>אירונאוטיקס</w:t>
      </w:r>
      <w:r w:rsidRPr="003A6069">
        <w:rPr>
          <w:rFonts w:hint="cs"/>
          <w:rtl/>
        </w:rPr>
        <w:t xml:space="preserve"> - דיווחה על רווח נקי של 15.2 מיליון ש"ח; כי נוסף על כך רפאל הכירה בירידת ערך בשנת 2021 בסך כולל של כ-50 מיליון ש"ח, בהם 49 מיליון ש"ח בגין הפחתת עודפי עלות </w:t>
      </w:r>
      <w:r w:rsidRPr="003A6069">
        <w:rPr>
          <w:rFonts w:hint="cs"/>
          <w:rtl/>
        </w:rPr>
        <w:t>באירונאוטיקס</w:t>
      </w:r>
      <w:r w:rsidRPr="003A6069">
        <w:rPr>
          <w:rFonts w:hint="cs"/>
          <w:rtl/>
        </w:rPr>
        <w:t>; וכי בשנת 2021 רפאל לא קיבלה דיבידנדים מחברות אלו.</w:t>
      </w:r>
    </w:p>
    <w:p w:rsidR="00C149B0" w:rsidRPr="00B431F9" w:rsidP="00B431F9" w14:paraId="2F78EEFB" w14:textId="77777777">
      <w:pPr>
        <w:pStyle w:val="73414"/>
        <w:rPr>
          <w:rtl/>
        </w:rPr>
      </w:pPr>
      <w:r w:rsidRPr="00B431F9">
        <w:rPr>
          <w:rFonts w:hint="cs"/>
          <w:rtl/>
        </w:rPr>
        <w:t>שינויים בשנת 2021 ביתרת ההשקעות של רפאל בחברות מוחזקות</w:t>
      </w:r>
    </w:p>
    <w:p w:rsidR="00C149B0" w:rsidP="003A6069" w14:paraId="17688B5E" w14:textId="77777777">
      <w:pPr>
        <w:pStyle w:val="7392"/>
        <w:rPr>
          <w:rtl/>
        </w:rPr>
      </w:pPr>
      <w:r w:rsidRPr="00D94367">
        <w:rPr>
          <w:rFonts w:ascii="David" w:hAnsi="David" w:hint="cs"/>
          <w:sz w:val="24"/>
          <w:rtl/>
        </w:rPr>
        <w:t>במהלך שנת 2021 רכשה קבוצת רפאל מניות של שתי חברות</w:t>
      </w:r>
      <w:r>
        <w:rPr>
          <w:rFonts w:ascii="David" w:hAnsi="David"/>
          <w:sz w:val="24"/>
          <w:vertAlign w:val="superscript"/>
          <w:rtl/>
        </w:rPr>
        <w:footnoteReference w:id="61"/>
      </w:r>
      <w:r w:rsidRPr="00D94367">
        <w:rPr>
          <w:rFonts w:ascii="David" w:hAnsi="David" w:hint="cs"/>
          <w:sz w:val="24"/>
          <w:rtl/>
        </w:rPr>
        <w:t xml:space="preserve"> בסכום של 35 מיליון דולר והפסיקה פעילות של חברה אחת</w:t>
      </w:r>
      <w:r>
        <w:rPr>
          <w:rFonts w:ascii="David" w:hAnsi="David"/>
          <w:sz w:val="24"/>
          <w:vertAlign w:val="superscript"/>
          <w:rtl/>
        </w:rPr>
        <w:footnoteReference w:id="62"/>
      </w:r>
      <w:r w:rsidRPr="00D94367">
        <w:rPr>
          <w:rFonts w:ascii="David" w:hAnsi="David" w:hint="cs"/>
          <w:sz w:val="24"/>
          <w:rtl/>
        </w:rPr>
        <w:t xml:space="preserve">. </w:t>
      </w:r>
      <w:r w:rsidRPr="00D94367">
        <w:rPr>
          <w:rtl/>
        </w:rPr>
        <w:t xml:space="preserve">החל מאפריל 2021, בעקבות חתימה על עדכון הסכם עם בעלי המניות של </w:t>
      </w:r>
      <w:r w:rsidRPr="00D94367">
        <w:rPr>
          <w:rtl/>
        </w:rPr>
        <w:t>אירונאוטיקס</w:t>
      </w:r>
      <w:r w:rsidRPr="00D94367">
        <w:rPr>
          <w:rtl/>
        </w:rPr>
        <w:t xml:space="preserve"> המקנה לרפאל שליטה</w:t>
      </w:r>
      <w:r>
        <w:rPr>
          <w:rFonts w:hint="cs"/>
          <w:rtl/>
        </w:rPr>
        <w:t xml:space="preserve"> בחברה זו</w:t>
      </w:r>
      <w:r w:rsidRPr="00D94367">
        <w:rPr>
          <w:rtl/>
        </w:rPr>
        <w:t xml:space="preserve">, אוחדו </w:t>
      </w:r>
      <w:r w:rsidRPr="00D94367">
        <w:rPr>
          <w:rFonts w:hint="cs"/>
          <w:rtl/>
        </w:rPr>
        <w:t xml:space="preserve">לראשונה </w:t>
      </w:r>
      <w:r w:rsidRPr="00D94367">
        <w:rPr>
          <w:rtl/>
        </w:rPr>
        <w:t xml:space="preserve">בדוחותיה הכספיים </w:t>
      </w:r>
      <w:r w:rsidRPr="00D94367">
        <w:rPr>
          <w:rFonts w:hint="cs"/>
          <w:rtl/>
        </w:rPr>
        <w:t xml:space="preserve">דוחותיהן של </w:t>
      </w:r>
      <w:r w:rsidRPr="00D94367">
        <w:rPr>
          <w:rtl/>
        </w:rPr>
        <w:t>אירונאוטיקס</w:t>
      </w:r>
      <w:r w:rsidRPr="00D94367">
        <w:rPr>
          <w:rtl/>
        </w:rPr>
        <w:t xml:space="preserve"> ו</w:t>
      </w:r>
      <w:r>
        <w:rPr>
          <w:rFonts w:hint="cs"/>
          <w:rtl/>
        </w:rPr>
        <w:t xml:space="preserve">של </w:t>
      </w:r>
      <w:r w:rsidRPr="00D94367">
        <w:rPr>
          <w:rtl/>
        </w:rPr>
        <w:t>קונטרופ</w:t>
      </w:r>
      <w:r>
        <w:rPr>
          <w:vertAlign w:val="superscript"/>
          <w:rtl/>
        </w:rPr>
        <w:footnoteReference w:id="63"/>
      </w:r>
      <w:r w:rsidRPr="00D94367">
        <w:rPr>
          <w:rtl/>
        </w:rPr>
        <w:t>.</w:t>
      </w:r>
    </w:p>
    <w:p w:rsidR="00C149B0" w:rsidRPr="003A6069" w:rsidP="003A6069" w14:paraId="20B74900" w14:textId="77777777">
      <w:pPr>
        <w:pStyle w:val="7318"/>
        <w:rPr>
          <w:rtl/>
        </w:rPr>
      </w:pPr>
      <w:r w:rsidRPr="003A6069">
        <w:rPr>
          <w:rFonts w:hint="eastAsia"/>
          <w:rtl/>
        </w:rPr>
        <w:t>בשנת</w:t>
      </w:r>
      <w:r w:rsidRPr="003A6069">
        <w:rPr>
          <w:rFonts w:hint="cs"/>
          <w:rtl/>
        </w:rPr>
        <w:t xml:space="preserve"> 2021 הניבו ההשקעות של רפאל בחברות מוחזקות</w:t>
      </w:r>
      <w:r>
        <w:rPr>
          <w:vertAlign w:val="superscript"/>
          <w:rtl/>
        </w:rPr>
        <w:footnoteReference w:id="64"/>
      </w:r>
      <w:r w:rsidRPr="003A6069">
        <w:rPr>
          <w:rFonts w:hint="cs"/>
          <w:rtl/>
        </w:rPr>
        <w:t xml:space="preserve"> לחברה (סולו) רווח של 8.5 מיליון ש"ח, ולקבוצה - הפסד של כ-600,000 ש"ח, וכן דיבידנדים בסך של 350,000 ש"ח</w:t>
      </w:r>
      <w:r>
        <w:rPr>
          <w:vertAlign w:val="superscript"/>
          <w:rtl/>
        </w:rPr>
        <w:footnoteReference w:id="65"/>
      </w:r>
      <w:r w:rsidRPr="003A6069">
        <w:rPr>
          <w:rFonts w:hint="cs"/>
          <w:rtl/>
        </w:rPr>
        <w:t xml:space="preserve"> וחלוקת רווחים בסך של 63.1 מיליון ש"ח</w:t>
      </w:r>
      <w:r>
        <w:rPr>
          <w:vertAlign w:val="superscript"/>
          <w:rtl/>
        </w:rPr>
        <w:footnoteReference w:id="66"/>
      </w:r>
      <w:r w:rsidRPr="003A6069">
        <w:rPr>
          <w:rFonts w:hint="cs"/>
          <w:rtl/>
        </w:rPr>
        <w:t xml:space="preserve">. </w:t>
      </w:r>
    </w:p>
    <w:p w:rsidR="00C149B0" w:rsidRPr="00B431F9" w:rsidP="00B431F9" w14:paraId="32785327" w14:textId="77777777">
      <w:pPr>
        <w:pStyle w:val="73414"/>
        <w:rPr>
          <w:rtl/>
        </w:rPr>
      </w:pPr>
      <w:r w:rsidRPr="00B431F9">
        <w:rPr>
          <w:rFonts w:hint="cs"/>
          <w:rtl/>
        </w:rPr>
        <w:t xml:space="preserve">עמידה ביעדים שקבעה רפאל לגבי חברות מוחזקות </w:t>
      </w:r>
    </w:p>
    <w:p w:rsidR="00C149B0" w:rsidRPr="000839FF" w:rsidP="000839FF" w14:paraId="4D1AC3F4" w14:textId="77777777">
      <w:pPr>
        <w:pStyle w:val="73512"/>
        <w:rPr>
          <w:rtl/>
        </w:rPr>
      </w:pPr>
      <w:r w:rsidRPr="000839FF">
        <w:rPr>
          <w:rFonts w:hint="cs"/>
          <w:rtl/>
        </w:rPr>
        <w:t xml:space="preserve">יעדי רפאל </w:t>
      </w:r>
      <w:r w:rsidRPr="000839FF">
        <w:rPr>
          <w:rFonts w:hint="eastAsia"/>
          <w:rtl/>
        </w:rPr>
        <w:t>לרכש</w:t>
      </w:r>
      <w:r w:rsidRPr="000839FF">
        <w:rPr>
          <w:rtl/>
        </w:rPr>
        <w:t xml:space="preserve"> </w:t>
      </w:r>
      <w:r w:rsidRPr="000839FF">
        <w:rPr>
          <w:rFonts w:hint="eastAsia"/>
          <w:rtl/>
        </w:rPr>
        <w:t>מניות</w:t>
      </w:r>
      <w:r w:rsidRPr="000839FF">
        <w:rPr>
          <w:rtl/>
        </w:rPr>
        <w:t xml:space="preserve"> </w:t>
      </w:r>
      <w:r w:rsidRPr="000839FF">
        <w:rPr>
          <w:rFonts w:hint="cs"/>
          <w:rtl/>
        </w:rPr>
        <w:t>ב</w:t>
      </w:r>
      <w:r w:rsidRPr="000839FF">
        <w:rPr>
          <w:rFonts w:hint="eastAsia"/>
          <w:rtl/>
        </w:rPr>
        <w:t>חברות</w:t>
      </w:r>
    </w:p>
    <w:p w:rsidR="00C149B0" w:rsidRPr="003A6069" w:rsidP="003A6069" w14:paraId="16DC37BE" w14:textId="77777777">
      <w:pPr>
        <w:pStyle w:val="7318"/>
        <w:rPr>
          <w:rtl/>
        </w:rPr>
      </w:pPr>
      <w:r w:rsidRPr="003A6069">
        <w:rPr>
          <w:rFonts w:hint="cs"/>
          <w:rtl/>
        </w:rPr>
        <w:t xml:space="preserve">בביקורת עלה כי בשנים 2017 עד 2021 מימשה רפאל באופן חלקי את התקציב השנתי שיועד </w:t>
      </w:r>
      <w:r w:rsidRPr="003A6069">
        <w:rPr>
          <w:rFonts w:hint="eastAsia"/>
          <w:rtl/>
        </w:rPr>
        <w:t>לרכש</w:t>
      </w:r>
      <w:r w:rsidRPr="003A6069">
        <w:rPr>
          <w:rtl/>
        </w:rPr>
        <w:t xml:space="preserve"> </w:t>
      </w:r>
      <w:r w:rsidRPr="003A6069">
        <w:rPr>
          <w:rFonts w:hint="eastAsia"/>
          <w:rtl/>
        </w:rPr>
        <w:t>מניות</w:t>
      </w:r>
      <w:r w:rsidRPr="003A6069">
        <w:rPr>
          <w:rtl/>
        </w:rPr>
        <w:t xml:space="preserve"> </w:t>
      </w:r>
      <w:r w:rsidRPr="003A6069">
        <w:rPr>
          <w:rFonts w:hint="cs"/>
          <w:rtl/>
        </w:rPr>
        <w:t>ב</w:t>
      </w:r>
      <w:r w:rsidRPr="003A6069">
        <w:rPr>
          <w:rFonts w:hint="eastAsia"/>
          <w:rtl/>
        </w:rPr>
        <w:t>חברות</w:t>
      </w:r>
      <w:r w:rsidRPr="003A6069">
        <w:rPr>
          <w:rFonts w:hint="cs"/>
          <w:rtl/>
        </w:rPr>
        <w:t xml:space="preserve">. </w:t>
      </w:r>
    </w:p>
    <w:p w:rsidR="00C149B0" w:rsidRPr="003A6069" w:rsidP="003A6069" w14:paraId="19532E2C" w14:textId="77777777">
      <w:pPr>
        <w:pStyle w:val="7392"/>
        <w:rPr>
          <w:rtl/>
        </w:rPr>
      </w:pPr>
      <w:r w:rsidRPr="003A6069">
        <w:rPr>
          <w:rFonts w:hint="cs"/>
          <w:rtl/>
        </w:rPr>
        <w:t xml:space="preserve">סמנכ"ל מיזוגים ורכישות ברפאל מסר למשרד מבקר המדינה, כי תוכניות העבודה בתחום המיזוגים והרכישות נועדו בעיקר להגדיר כיווני פעולה ומסגרת תכנון </w:t>
      </w:r>
      <w:r w:rsidRPr="003A6069">
        <w:rPr>
          <w:rFonts w:hint="cs"/>
          <w:rtl/>
        </w:rPr>
        <w:t>לתזרים</w:t>
      </w:r>
      <w:r w:rsidRPr="003A6069">
        <w:rPr>
          <w:rFonts w:hint="cs"/>
          <w:rtl/>
        </w:rPr>
        <w:t xml:space="preserve"> המזומנים של החברה. עוד מסר כי תוכנית העבודה אינה תוכנית מחייבת, וכי היא כרוכה בגורמים חיצוניים רבים שאינם תלויים בחברה; וכי התהליכים מורכבים וממושכים, וייתכן שהם יימשכו כמה שנים עד שיבשילו, ולעיתים אף יקבלו "צורה אחרת מזו שתוכננה מראש".</w:t>
      </w:r>
    </w:p>
    <w:p w:rsidR="00C149B0" w:rsidRPr="003A6069" w:rsidP="003A6069" w14:paraId="271EFFAA" w14:textId="77777777">
      <w:pPr>
        <w:pStyle w:val="7318"/>
        <w:rPr>
          <w:rtl/>
        </w:rPr>
      </w:pPr>
      <w:r w:rsidRPr="003A6069">
        <w:rPr>
          <w:rFonts w:hint="cs"/>
          <w:rtl/>
        </w:rPr>
        <w:t>תוכנית ההשקעות של רפאל בתחום המיזוגים והרכישות מיועדת להוציא אל הפועל את האסטרטגיה של החברה בתחום זה, תוך ביסוס המשך צמיחתה והתפתחותה. תוכנית זו נתמכה בתכנון תזרים המזומנים של החברה. אשר על כן, ועל מנת שתקציב ההשקעות ישקף תוכנית בת מימוש בשנה המתוכננת, מומלץ כי בעת קביעת התקציב יובאו בחשבון הסיכונים הרלוונטיים, על סמך תחקור ניסיון העבר והפקת לקחים, ובהתאם להם - לוחות הזמנים הצפויים למימוש התוכנית.</w:t>
      </w:r>
    </w:p>
    <w:p w:rsidR="00C149B0" w:rsidRPr="000839FF" w:rsidP="000839FF" w14:paraId="6B42E0A4" w14:textId="77777777">
      <w:pPr>
        <w:pStyle w:val="73512"/>
        <w:rPr>
          <w:rtl/>
        </w:rPr>
      </w:pPr>
      <w:r w:rsidRPr="000839FF">
        <w:rPr>
          <w:rFonts w:hint="cs"/>
          <w:rtl/>
        </w:rPr>
        <w:t>ה</w:t>
      </w:r>
      <w:r w:rsidRPr="000839FF">
        <w:rPr>
          <w:rFonts w:hint="eastAsia"/>
          <w:rtl/>
        </w:rPr>
        <w:t>רווחיות</w:t>
      </w:r>
      <w:r w:rsidRPr="000839FF">
        <w:rPr>
          <w:rtl/>
        </w:rPr>
        <w:t xml:space="preserve"> </w:t>
      </w:r>
      <w:r w:rsidRPr="000839FF">
        <w:rPr>
          <w:rFonts w:hint="cs"/>
          <w:rtl/>
        </w:rPr>
        <w:t>של ה</w:t>
      </w:r>
      <w:r w:rsidRPr="000839FF">
        <w:rPr>
          <w:rFonts w:hint="eastAsia"/>
          <w:rtl/>
        </w:rPr>
        <w:t>חברות</w:t>
      </w:r>
      <w:r w:rsidRPr="000839FF">
        <w:rPr>
          <w:rtl/>
        </w:rPr>
        <w:t xml:space="preserve"> </w:t>
      </w:r>
      <w:r w:rsidRPr="000839FF">
        <w:rPr>
          <w:rFonts w:hint="cs"/>
          <w:rtl/>
        </w:rPr>
        <w:t>ה</w:t>
      </w:r>
      <w:r w:rsidRPr="000839FF">
        <w:rPr>
          <w:rFonts w:hint="eastAsia"/>
          <w:rtl/>
        </w:rPr>
        <w:t>מוחזקות</w:t>
      </w:r>
    </w:p>
    <w:p w:rsidR="00C149B0" w:rsidRPr="003A6069" w:rsidP="003A6069" w14:paraId="7FB0E325" w14:textId="77777777">
      <w:pPr>
        <w:pStyle w:val="7392"/>
        <w:rPr>
          <w:rtl/>
        </w:rPr>
      </w:pPr>
      <w:r w:rsidRPr="003A6069">
        <w:rPr>
          <w:rFonts w:hint="cs"/>
          <w:rtl/>
        </w:rPr>
        <w:t>להלן יוצגו נתונים בדבר רווחיותן של החברות המוחזקות</w:t>
      </w:r>
      <w:r>
        <w:rPr>
          <w:rStyle w:val="FootnoteReference0"/>
          <w:rtl/>
        </w:rPr>
        <w:footnoteReference w:id="67"/>
      </w:r>
      <w:r w:rsidRPr="003A6069">
        <w:rPr>
          <w:rFonts w:hint="cs"/>
          <w:rtl/>
        </w:rPr>
        <w:t xml:space="preserve"> בשנים 2017 - 2021, בהתאם למסמכי רפאל: </w:t>
      </w:r>
    </w:p>
    <w:p w:rsidR="00C149B0" w:rsidRPr="003A6069" w:rsidP="003A6069" w14:paraId="64E9A91F" w14:textId="77777777">
      <w:pPr>
        <w:pStyle w:val="734"/>
        <w:rPr>
          <w:rtl/>
        </w:rPr>
      </w:pPr>
      <w:r w:rsidRPr="003A6069">
        <w:rPr>
          <w:rFonts w:hint="cs"/>
          <w:b w:val="0"/>
          <w:bCs w:val="0"/>
          <w:rtl/>
        </w:rPr>
        <w:t>תרשים 26:</w:t>
      </w:r>
      <w:r w:rsidRPr="003A6069">
        <w:rPr>
          <w:rFonts w:hint="cs"/>
          <w:rtl/>
        </w:rPr>
        <w:t xml:space="preserve"> הרווח הנקי של החברות המוחזקות לפני הפחתות</w:t>
      </w:r>
      <w:r>
        <w:rPr>
          <w:vertAlign w:val="superscript"/>
          <w:rtl/>
        </w:rPr>
        <w:footnoteReference w:id="68"/>
      </w:r>
      <w:r w:rsidRPr="003A6069">
        <w:rPr>
          <w:rFonts w:hint="cs"/>
          <w:vertAlign w:val="superscript"/>
          <w:rtl/>
        </w:rPr>
        <w:t xml:space="preserve"> </w:t>
      </w:r>
      <w:r w:rsidRPr="003A6069">
        <w:rPr>
          <w:rtl/>
        </w:rPr>
        <w:br/>
      </w:r>
      <w:r w:rsidRPr="003A6069">
        <w:rPr>
          <w:rFonts w:hint="cs"/>
          <w:rtl/>
        </w:rPr>
        <w:t>בשנים 2017 - 2021 (במיליוני ש"ח)</w:t>
      </w:r>
    </w:p>
    <w:p w:rsidR="00C149B0" w:rsidRPr="00D94367" w:rsidP="00C149B0" w14:paraId="7309FB40" w14:textId="77777777">
      <w:pPr>
        <w:spacing w:line="269" w:lineRule="auto"/>
        <w:rPr>
          <w:szCs w:val="20"/>
        </w:rPr>
      </w:pPr>
      <w:r>
        <w:rPr>
          <w:rFonts w:eastAsia="Calibri"/>
          <w:noProof/>
          <w:szCs w:val="20"/>
        </w:rPr>
        <w:drawing>
          <wp:inline distT="0" distB="0" distL="0" distR="0">
            <wp:extent cx="4474845" cy="2333625"/>
            <wp:effectExtent l="0" t="0" r="0" b="0"/>
            <wp:docPr id="33" name="תמונה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תמונה 33"/>
                    <pic:cNvPicPr>
                      <a:picLocks noChangeAspect="1" noChangeArrowheads="1"/>
                    </pic:cNvPicPr>
                  </pic:nvPicPr>
                  <pic:blipFill>
                    <a:blip xmlns:r="http://schemas.openxmlformats.org/officeDocument/2006/relationships" r:embed="rId54">
                      <a:extLst>
                        <a:ext xmlns:a="http://schemas.openxmlformats.org/drawingml/2006/main" uri="{28A0092B-C50C-407E-A947-70E740481C1C}">
                          <a14:useLocalDpi xmlns:a14="http://schemas.microsoft.com/office/drawing/2010/main" val="0"/>
                        </a:ext>
                      </a:extLst>
                    </a:blip>
                    <a:srcRect l="6608" r="6608"/>
                    <a:stretch>
                      <a:fillRect/>
                    </a:stretch>
                  </pic:blipFill>
                  <pic:spPr bwMode="auto">
                    <a:xfrm>
                      <a:off x="0" y="0"/>
                      <a:ext cx="4474845" cy="233362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C149B0" w:rsidRPr="003A6069" w:rsidP="003A6069" w14:paraId="60F8C327" w14:textId="77777777">
      <w:pPr>
        <w:pStyle w:val="738"/>
        <w:rPr>
          <w:rtl/>
        </w:rPr>
      </w:pPr>
      <w:r w:rsidRPr="003A6069">
        <w:rPr>
          <w:rtl/>
        </w:rPr>
        <w:t>על פי נתוני רפאל, בעיבוד משרד מבקר המדינה</w:t>
      </w:r>
      <w:r w:rsidRPr="003A6069">
        <w:rPr>
          <w:rFonts w:hint="cs"/>
          <w:rtl/>
        </w:rPr>
        <w:t>.</w:t>
      </w:r>
    </w:p>
    <w:p w:rsidR="00C149B0" w:rsidRPr="003A6069" w:rsidP="003A6069" w14:paraId="0420AEA3" w14:textId="2E7402DA">
      <w:pPr>
        <w:pStyle w:val="734"/>
        <w:rPr>
          <w:rtl/>
        </w:rPr>
      </w:pPr>
      <w:r w:rsidRPr="003A6069">
        <w:rPr>
          <w:rFonts w:hint="cs"/>
          <w:b w:val="0"/>
          <w:bCs w:val="0"/>
          <w:rtl/>
        </w:rPr>
        <w:t>תרשים 27:</w:t>
      </w:r>
      <w:r w:rsidRPr="003A6069">
        <w:rPr>
          <w:rFonts w:hint="cs"/>
          <w:rtl/>
        </w:rPr>
        <w:t xml:space="preserve"> הרווח הנקי של החברות המוחזקות לאחר הפחתות </w:t>
      </w:r>
      <w:r w:rsidR="003A6069">
        <w:rPr>
          <w:rtl/>
        </w:rPr>
        <w:br/>
      </w:r>
      <w:r w:rsidRPr="003A6069">
        <w:rPr>
          <w:rFonts w:hint="cs"/>
          <w:rtl/>
        </w:rPr>
        <w:t>בשנים 2017 - 2021 (במיליוני ש"ח)</w:t>
      </w:r>
    </w:p>
    <w:p w:rsidR="00C149B0" w:rsidRPr="00D94367" w:rsidP="00C149B0" w14:paraId="74D85CD5" w14:textId="77777777">
      <w:pPr>
        <w:spacing w:line="269" w:lineRule="auto"/>
        <w:rPr>
          <w:szCs w:val="20"/>
          <w:rtl/>
        </w:rPr>
      </w:pPr>
      <w:r>
        <w:rPr>
          <w:rFonts w:eastAsia="Calibri"/>
          <w:noProof/>
          <w:szCs w:val="20"/>
        </w:rPr>
        <w:drawing>
          <wp:inline distT="0" distB="0" distL="0" distR="0">
            <wp:extent cx="4584700" cy="2305050"/>
            <wp:effectExtent l="0" t="0" r="0" b="0"/>
            <wp:docPr id="1451066648" name="תמונה 1451066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8" name="תמונה 1451066648"/>
                    <pic:cNvPicPr>
                      <a:picLocks noChangeAspect="1" noChangeArrowheads="1"/>
                    </pic:cNvPicPr>
                  </pic:nvPicPr>
                  <pic:blipFill>
                    <a:blip xmlns:r="http://schemas.openxmlformats.org/officeDocument/2006/relationships" r:embed="rId55">
                      <a:extLst>
                        <a:ext xmlns:a="http://schemas.openxmlformats.org/drawingml/2006/main" uri="{28A0092B-C50C-407E-A947-70E740481C1C}">
                          <a14:useLocalDpi xmlns:a14="http://schemas.microsoft.com/office/drawing/2010/main" val="0"/>
                        </a:ext>
                      </a:extLst>
                    </a:blip>
                    <a:srcRect l="6609" r="6609"/>
                    <a:stretch>
                      <a:fillRect/>
                    </a:stretch>
                  </pic:blipFill>
                  <pic:spPr bwMode="auto">
                    <a:xfrm>
                      <a:off x="0" y="0"/>
                      <a:ext cx="4584700" cy="230505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C149B0" w:rsidRPr="003A6069" w:rsidP="003A6069" w14:paraId="2B6E4B5F" w14:textId="77777777">
      <w:pPr>
        <w:pStyle w:val="738"/>
        <w:rPr>
          <w:rtl/>
        </w:rPr>
      </w:pPr>
      <w:r w:rsidRPr="003A6069">
        <w:rPr>
          <w:rtl/>
        </w:rPr>
        <w:t>על פי נתוני רפאל, בעיבוד משרד מבקר המדינה</w:t>
      </w:r>
      <w:r w:rsidRPr="003A6069">
        <w:rPr>
          <w:rFonts w:hint="cs"/>
          <w:rtl/>
        </w:rPr>
        <w:t>.</w:t>
      </w:r>
    </w:p>
    <w:p w:rsidR="00C149B0" w:rsidRPr="003A6069" w:rsidP="003A6069" w14:paraId="414E35E2" w14:textId="77777777">
      <w:pPr>
        <w:pStyle w:val="7318"/>
        <w:rPr>
          <w:rtl/>
        </w:rPr>
      </w:pPr>
      <w:r w:rsidRPr="003A6069">
        <w:rPr>
          <w:rFonts w:hint="cs"/>
          <w:rtl/>
        </w:rPr>
        <w:t xml:space="preserve">מהתרשימים עולה כי </w:t>
      </w:r>
      <w:r w:rsidRPr="003A6069">
        <w:rPr>
          <w:rtl/>
        </w:rPr>
        <w:t xml:space="preserve">הרווח הנקי המצטבר </w:t>
      </w:r>
      <w:r w:rsidRPr="003A6069">
        <w:rPr>
          <w:rFonts w:hint="cs"/>
          <w:rtl/>
        </w:rPr>
        <w:t>של החברות המוחזקות לפני הפחתות ב</w:t>
      </w:r>
      <w:r w:rsidRPr="003A6069">
        <w:rPr>
          <w:rtl/>
        </w:rPr>
        <w:t xml:space="preserve">שנים </w:t>
      </w:r>
      <w:r w:rsidRPr="003A6069">
        <w:rPr>
          <w:rFonts w:hint="cs"/>
          <w:rtl/>
        </w:rPr>
        <w:t>2017 - 2021</w:t>
      </w:r>
      <w:r w:rsidRPr="003A6069">
        <w:rPr>
          <w:rtl/>
        </w:rPr>
        <w:t xml:space="preserve"> הי</w:t>
      </w:r>
      <w:r w:rsidRPr="003A6069">
        <w:rPr>
          <w:rFonts w:hint="cs"/>
          <w:rtl/>
        </w:rPr>
        <w:t>ה</w:t>
      </w:r>
      <w:r w:rsidRPr="003A6069">
        <w:rPr>
          <w:rtl/>
        </w:rPr>
        <w:t xml:space="preserve"> כ-264 מיליון ש"ח</w:t>
      </w:r>
      <w:r w:rsidRPr="003A6069">
        <w:rPr>
          <w:rFonts w:hint="cs"/>
          <w:rtl/>
        </w:rPr>
        <w:t xml:space="preserve">. </w:t>
      </w:r>
      <w:r w:rsidRPr="003A6069">
        <w:rPr>
          <w:rFonts w:hint="cs"/>
          <w:rtl/>
        </w:rPr>
        <w:t>יצויין</w:t>
      </w:r>
      <w:r w:rsidRPr="003A6069">
        <w:rPr>
          <w:rFonts w:hint="cs"/>
          <w:rtl/>
        </w:rPr>
        <w:t xml:space="preserve"> כי רווח זה נמוך</w:t>
      </w:r>
      <w:r w:rsidRPr="003A6069">
        <w:rPr>
          <w:rtl/>
        </w:rPr>
        <w:t xml:space="preserve"> </w:t>
      </w:r>
      <w:r w:rsidRPr="003A6069">
        <w:rPr>
          <w:rFonts w:hint="eastAsia"/>
          <w:rtl/>
        </w:rPr>
        <w:t>מ</w:t>
      </w:r>
      <w:r w:rsidRPr="003A6069">
        <w:rPr>
          <w:rtl/>
        </w:rPr>
        <w:t xml:space="preserve">תחזית </w:t>
      </w:r>
      <w:r w:rsidRPr="003A6069">
        <w:rPr>
          <w:rFonts w:eastAsia="Calibri" w:hint="cs"/>
          <w:rtl/>
        </w:rPr>
        <w:t>החברה כעולה ממסמכיה.</w:t>
      </w:r>
      <w:r w:rsidRPr="003A6069">
        <w:rPr>
          <w:rFonts w:hint="cs"/>
          <w:rtl/>
        </w:rPr>
        <w:t xml:space="preserve"> אשר</w:t>
      </w:r>
      <w:r w:rsidRPr="003A6069">
        <w:rPr>
          <w:rtl/>
        </w:rPr>
        <w:t xml:space="preserve"> </w:t>
      </w:r>
      <w:r w:rsidRPr="003A6069">
        <w:rPr>
          <w:rFonts w:hint="cs"/>
          <w:rtl/>
        </w:rPr>
        <w:t>ל</w:t>
      </w:r>
      <w:r w:rsidRPr="003A6069">
        <w:rPr>
          <w:rtl/>
        </w:rPr>
        <w:t xml:space="preserve">רווח הנקי המצטבר לאחר הפחתות </w:t>
      </w:r>
      <w:r w:rsidRPr="003A6069">
        <w:rPr>
          <w:rFonts w:hint="cs"/>
          <w:rtl/>
        </w:rPr>
        <w:t>-</w:t>
      </w:r>
      <w:r w:rsidRPr="003A6069">
        <w:rPr>
          <w:rtl/>
        </w:rPr>
        <w:t xml:space="preserve"> החברות המוחזקות הפסידו במהלך </w:t>
      </w:r>
      <w:r w:rsidRPr="003A6069">
        <w:rPr>
          <w:rFonts w:hint="cs"/>
          <w:rtl/>
        </w:rPr>
        <w:t>ה</w:t>
      </w:r>
      <w:r w:rsidRPr="003A6069">
        <w:rPr>
          <w:rtl/>
        </w:rPr>
        <w:t xml:space="preserve">שנים </w:t>
      </w:r>
      <w:r w:rsidRPr="003A6069">
        <w:rPr>
          <w:rFonts w:hint="cs"/>
          <w:rtl/>
        </w:rPr>
        <w:t xml:space="preserve">2017 - 2021 </w:t>
      </w:r>
      <w:r w:rsidRPr="003A6069">
        <w:rPr>
          <w:rtl/>
        </w:rPr>
        <w:t xml:space="preserve">כ-16 מיליון ש"ח </w:t>
      </w:r>
      <w:r w:rsidRPr="003A6069">
        <w:rPr>
          <w:rFonts w:hint="cs"/>
          <w:rtl/>
        </w:rPr>
        <w:t xml:space="preserve">במצטבר </w:t>
      </w:r>
      <w:r w:rsidRPr="003A6069">
        <w:rPr>
          <w:rtl/>
        </w:rPr>
        <w:t xml:space="preserve">לעומת </w:t>
      </w:r>
      <w:r w:rsidRPr="003A6069">
        <w:rPr>
          <w:rFonts w:hint="cs"/>
          <w:rtl/>
        </w:rPr>
        <w:t>תחזית</w:t>
      </w:r>
      <w:r w:rsidRPr="003A6069">
        <w:rPr>
          <w:rtl/>
        </w:rPr>
        <w:t xml:space="preserve"> </w:t>
      </w:r>
      <w:r w:rsidRPr="003A6069">
        <w:rPr>
          <w:rFonts w:hint="cs"/>
          <w:rtl/>
        </w:rPr>
        <w:t>ל</w:t>
      </w:r>
      <w:r w:rsidRPr="003A6069">
        <w:rPr>
          <w:rtl/>
        </w:rPr>
        <w:t>רווחיות</w:t>
      </w:r>
      <w:r w:rsidRPr="003A6069">
        <w:rPr>
          <w:rFonts w:hint="cs"/>
          <w:rtl/>
        </w:rPr>
        <w:t>.</w:t>
      </w:r>
      <w:r w:rsidRPr="003A6069">
        <w:rPr>
          <w:rtl/>
        </w:rPr>
        <w:t xml:space="preserve"> </w:t>
      </w:r>
    </w:p>
    <w:p w:rsidR="00C149B0" w:rsidRPr="003A6069" w:rsidP="003A6069" w14:paraId="7075E5AE" w14:textId="77777777">
      <w:pPr>
        <w:pStyle w:val="7318"/>
        <w:rPr>
          <w:rtl/>
        </w:rPr>
      </w:pPr>
      <w:r w:rsidRPr="003A6069">
        <w:rPr>
          <w:rFonts w:hint="cs"/>
          <w:rtl/>
        </w:rPr>
        <w:t>בשנים 2017 - 2021 קיבלה רפאל דיבידנד בסך של 127 מיליון ש"ח במצטבר וכן סך של 141 מיליון ש"ח מחלוקת רווחים. בביקורת עלה כי לא קיימים יעדים לגבי תקבולים מדיבידנד ומחלוקת רווחים מהחברות המוחזקות.</w:t>
      </w:r>
    </w:p>
    <w:p w:rsidR="00C149B0" w:rsidRPr="003A6069" w:rsidP="003A6069" w14:paraId="75F94875" w14:textId="66147A36">
      <w:pPr>
        <w:pStyle w:val="7392"/>
        <w:rPr>
          <w:rtl/>
        </w:rPr>
      </w:pPr>
      <w:r w:rsidRPr="003A6069">
        <w:rPr>
          <w:rFonts w:hint="cs"/>
          <w:rtl/>
        </w:rPr>
        <w:t xml:space="preserve">בתגובתה של רפאל על ממצאי הביקורת היא ציינה כי </w:t>
      </w:r>
      <w:r w:rsidRPr="003A6069">
        <w:rPr>
          <w:rtl/>
        </w:rPr>
        <w:t>השפעות מגפת הקורונה ואי</w:t>
      </w:r>
      <w:r w:rsidRPr="003A6069">
        <w:rPr>
          <w:rFonts w:hint="cs"/>
          <w:rtl/>
        </w:rPr>
        <w:t>-</w:t>
      </w:r>
      <w:r w:rsidRPr="003A6069">
        <w:rPr>
          <w:rtl/>
        </w:rPr>
        <w:t>הוודאות שנלוותה אליה הביאו לפגיעה בתוצאות החברות המוחזקות ו</w:t>
      </w:r>
      <w:r w:rsidRPr="003A6069">
        <w:rPr>
          <w:rFonts w:hint="cs"/>
          <w:rtl/>
        </w:rPr>
        <w:t>כן</w:t>
      </w:r>
      <w:r w:rsidRPr="003A6069">
        <w:rPr>
          <w:rtl/>
        </w:rPr>
        <w:t xml:space="preserve"> לדחיי</w:t>
      </w:r>
      <w:r w:rsidRPr="003A6069">
        <w:rPr>
          <w:rFonts w:hint="cs"/>
          <w:rtl/>
        </w:rPr>
        <w:t>ה</w:t>
      </w:r>
      <w:r w:rsidRPr="003A6069">
        <w:rPr>
          <w:rtl/>
        </w:rPr>
        <w:t xml:space="preserve"> בלוחות הזמנים למימוש תקציב רכש חברות משיקולים עסקיים ואחרים.</w:t>
      </w:r>
    </w:p>
    <w:p w:rsidR="00C149B0" w:rsidRPr="003A6069" w:rsidP="003A6069" w14:paraId="775DA145" w14:textId="77777777">
      <w:pPr>
        <w:pStyle w:val="7318"/>
        <w:rPr>
          <w:rtl/>
        </w:rPr>
      </w:pPr>
      <w:r w:rsidRPr="003A6069">
        <w:rPr>
          <w:rFonts w:hint="cs"/>
          <w:rtl/>
        </w:rPr>
        <w:t xml:space="preserve">נוכח תוצאות פעילותן של החברות שבהן מחזיקה רפאל לעומת התחזיות, מומלץ כי הנהלת רפאל תבחן את טיב תחזיותיה ותגבש אמצעים לשיפור התחזיות בעתיד. עוד מומלץ כי הנהלת רפאל תקבע יעדים לקבלת דיבידנד וחלוקת רווחים מהחברות </w:t>
      </w:r>
      <w:r w:rsidRPr="003A6069">
        <w:rPr>
          <w:rFonts w:hint="eastAsia"/>
          <w:rtl/>
        </w:rPr>
        <w:t>שבהן</w:t>
      </w:r>
      <w:r w:rsidRPr="003A6069">
        <w:rPr>
          <w:rtl/>
        </w:rPr>
        <w:t xml:space="preserve"> </w:t>
      </w:r>
      <w:r w:rsidRPr="003A6069">
        <w:rPr>
          <w:rFonts w:hint="eastAsia"/>
          <w:rtl/>
        </w:rPr>
        <w:t>היא</w:t>
      </w:r>
      <w:r w:rsidRPr="003A6069">
        <w:rPr>
          <w:rtl/>
        </w:rPr>
        <w:t xml:space="preserve"> </w:t>
      </w:r>
      <w:r w:rsidRPr="003A6069">
        <w:rPr>
          <w:rFonts w:hint="eastAsia"/>
          <w:rtl/>
        </w:rPr>
        <w:t>מחזיקה</w:t>
      </w:r>
      <w:r w:rsidRPr="003A6069">
        <w:rPr>
          <w:rFonts w:hint="cs"/>
          <w:rtl/>
        </w:rPr>
        <w:t xml:space="preserve">, נוסף על היעדים שקבעה לגבי רווחיותן. כמו כן מומלץ כי </w:t>
      </w:r>
      <w:r w:rsidRPr="003A6069">
        <w:rPr>
          <w:rtl/>
        </w:rPr>
        <w:t xml:space="preserve">דירקטוריון </w:t>
      </w:r>
      <w:r w:rsidRPr="003A6069">
        <w:rPr>
          <w:rFonts w:hint="cs"/>
          <w:rtl/>
        </w:rPr>
        <w:t>החברה ימשיך לעקוב אחר ביצועי</w:t>
      </w:r>
      <w:r w:rsidRPr="003A6069">
        <w:rPr>
          <w:rtl/>
        </w:rPr>
        <w:t xml:space="preserve"> החברות</w:t>
      </w:r>
      <w:r w:rsidRPr="003A6069">
        <w:rPr>
          <w:rFonts w:hint="cs"/>
          <w:rtl/>
        </w:rPr>
        <w:t xml:space="preserve"> האמורות</w:t>
      </w:r>
      <w:r w:rsidRPr="003A6069">
        <w:rPr>
          <w:rtl/>
        </w:rPr>
        <w:t xml:space="preserve"> ובכלל זה </w:t>
      </w:r>
      <w:r w:rsidRPr="003A6069">
        <w:rPr>
          <w:rFonts w:hint="cs"/>
          <w:rtl/>
        </w:rPr>
        <w:t>-</w:t>
      </w:r>
      <w:r w:rsidRPr="003A6069">
        <w:rPr>
          <w:rtl/>
        </w:rPr>
        <w:t xml:space="preserve"> </w:t>
      </w:r>
      <w:r w:rsidRPr="003A6069">
        <w:rPr>
          <w:rFonts w:hint="cs"/>
          <w:rtl/>
        </w:rPr>
        <w:t>הסיבות להפסדים מההשקעות בהן, ה</w:t>
      </w:r>
      <w:r w:rsidRPr="003A6069">
        <w:rPr>
          <w:rtl/>
        </w:rPr>
        <w:t xml:space="preserve">ערך המוסף שהחברות אמורות להשיא לרפאל </w:t>
      </w:r>
      <w:r w:rsidRPr="003A6069">
        <w:rPr>
          <w:rFonts w:hint="eastAsia"/>
          <w:rtl/>
        </w:rPr>
        <w:t>לרבות</w:t>
      </w:r>
      <w:r w:rsidRPr="003A6069">
        <w:rPr>
          <w:rFonts w:hint="cs"/>
          <w:rtl/>
        </w:rPr>
        <w:t xml:space="preserve"> תקבולים מדיבידנד ומחלוקת רווחים, </w:t>
      </w:r>
      <w:r w:rsidRPr="003A6069">
        <w:rPr>
          <w:rtl/>
        </w:rPr>
        <w:t>ו</w:t>
      </w:r>
      <w:r w:rsidRPr="003A6069">
        <w:rPr>
          <w:rFonts w:hint="cs"/>
          <w:rtl/>
        </w:rPr>
        <w:t>ה</w:t>
      </w:r>
      <w:r w:rsidRPr="003A6069">
        <w:rPr>
          <w:rtl/>
        </w:rPr>
        <w:t xml:space="preserve">יעדים בעניין שווי החברות. </w:t>
      </w:r>
    </w:p>
    <w:p w:rsidR="00C149B0" w:rsidRPr="00B431F9" w:rsidP="00B431F9" w14:paraId="5E00BC24" w14:textId="77777777">
      <w:pPr>
        <w:pStyle w:val="73414"/>
        <w:rPr>
          <w:rtl/>
        </w:rPr>
      </w:pPr>
      <w:r w:rsidRPr="00B431F9">
        <w:rPr>
          <w:rFonts w:hint="cs"/>
          <w:rtl/>
        </w:rPr>
        <w:t xml:space="preserve">ההשקעה של רפאל </w:t>
      </w:r>
      <w:r w:rsidRPr="00B431F9">
        <w:rPr>
          <w:rFonts w:hint="cs"/>
          <w:rtl/>
        </w:rPr>
        <w:t>באירונאוטיקס</w:t>
      </w:r>
    </w:p>
    <w:p w:rsidR="00C149B0" w:rsidRPr="003A6069" w:rsidP="003A6069" w14:paraId="5D3E9674" w14:textId="737420A5">
      <w:pPr>
        <w:pStyle w:val="7392"/>
        <w:rPr>
          <w:rtl/>
        </w:rPr>
      </w:pPr>
      <w:r w:rsidRPr="003A6069">
        <w:rPr>
          <w:rFonts w:hint="cs"/>
          <w:rtl/>
        </w:rPr>
        <w:t xml:space="preserve">חברת </w:t>
      </w:r>
      <w:r w:rsidRPr="003A6069">
        <w:rPr>
          <w:rFonts w:hint="cs"/>
          <w:rtl/>
        </w:rPr>
        <w:t>אירונאוטיקס</w:t>
      </w:r>
      <w:r w:rsidRPr="003A6069">
        <w:rPr>
          <w:rFonts w:hint="cs"/>
          <w:rtl/>
        </w:rPr>
        <w:t xml:space="preserve"> והחברות המוחזקות שלה (להלן - קבוצת </w:t>
      </w:r>
      <w:r w:rsidRPr="003A6069">
        <w:rPr>
          <w:rFonts w:hint="cs"/>
          <w:rtl/>
        </w:rPr>
        <w:t>אירונאוטיקס</w:t>
      </w:r>
      <w:r w:rsidRPr="003A6069">
        <w:rPr>
          <w:rFonts w:hint="cs"/>
          <w:rtl/>
        </w:rPr>
        <w:t xml:space="preserve">) מתמחות בפיתוח, בייצור, בשיווק ובהפעלה של מערכות וכלים בלתי מאוישים בדגש על כלי טייס בלתי מאוישים (להלן - </w:t>
      </w:r>
      <w:r w:rsidRPr="003A6069">
        <w:rPr>
          <w:rFonts w:hint="cs"/>
          <w:rtl/>
        </w:rPr>
        <w:t>כטב"מים</w:t>
      </w:r>
      <w:r w:rsidRPr="003A6069">
        <w:rPr>
          <w:rFonts w:hint="cs"/>
          <w:rtl/>
        </w:rPr>
        <w:t xml:space="preserve">), וכן מערכות תצפית ומודיעין מוטסות, מערכות תצפית על גבי בלונים מתנפחים ומערכות שליטה ובקרה (להלן - שו"ב). כמו כן, קבוצת </w:t>
      </w:r>
      <w:r w:rsidRPr="003A6069">
        <w:rPr>
          <w:rFonts w:hint="cs"/>
          <w:rtl/>
        </w:rPr>
        <w:t>אירונאוטיקס</w:t>
      </w:r>
      <w:r w:rsidRPr="003A6069">
        <w:rPr>
          <w:rFonts w:hint="cs"/>
          <w:rtl/>
        </w:rPr>
        <w:t xml:space="preserve"> מספקת מערכי הגנה משולבים הנשלטים באמצעות מערכות </w:t>
      </w:r>
      <w:r w:rsidRPr="003A6069">
        <w:rPr>
          <w:rFonts w:hint="cs"/>
          <w:rtl/>
        </w:rPr>
        <w:t>השו"ב</w:t>
      </w:r>
      <w:r w:rsidRPr="003A6069">
        <w:rPr>
          <w:rFonts w:hint="cs"/>
          <w:rtl/>
        </w:rPr>
        <w:t xml:space="preserve">, פרי פיתוחה. נוסף על כך היא פועלת בתחום הייצור והפיתוח של אמצעי תצפית אלקטרו-אופטיים. </w:t>
      </w:r>
    </w:p>
    <w:p w:rsidR="00C149B0" w:rsidRPr="003A6069" w:rsidP="003A6069" w14:paraId="451ED720" w14:textId="77777777">
      <w:pPr>
        <w:pStyle w:val="7392"/>
        <w:rPr>
          <w:rtl/>
        </w:rPr>
      </w:pPr>
      <w:r w:rsidRPr="003A6069">
        <w:rPr>
          <w:rFonts w:hint="cs"/>
          <w:rtl/>
        </w:rPr>
        <w:t xml:space="preserve">בספטמבר 2019 רכשה רפאל 50% ממניות </w:t>
      </w:r>
      <w:r w:rsidRPr="003A6069">
        <w:rPr>
          <w:rFonts w:hint="cs"/>
          <w:rtl/>
        </w:rPr>
        <w:t>אירונאוטיקס</w:t>
      </w:r>
      <w:r w:rsidRPr="003A6069">
        <w:rPr>
          <w:rFonts w:hint="cs"/>
          <w:rtl/>
        </w:rPr>
        <w:t xml:space="preserve"> תמורת 421.1 מיליון ש"ח. במועד הרכישה רשמה רפאל בספרי החברה את השקעתה </w:t>
      </w:r>
      <w:r w:rsidRPr="003A6069">
        <w:rPr>
          <w:rFonts w:hint="cs"/>
          <w:rtl/>
        </w:rPr>
        <w:t>באירונאוטיקס</w:t>
      </w:r>
      <w:r w:rsidRPr="003A6069">
        <w:rPr>
          <w:rFonts w:hint="cs"/>
          <w:rtl/>
        </w:rPr>
        <w:t xml:space="preserve"> על בסיס השווי המאזני; עודפי עלות בסכום של 99.7 מיליון דולר הוקצו בין נכסים בלתי מוחשיים ומוניטין</w:t>
      </w:r>
      <w:r>
        <w:rPr>
          <w:vertAlign w:val="superscript"/>
          <w:rtl/>
        </w:rPr>
        <w:footnoteReference w:id="69"/>
      </w:r>
      <w:r w:rsidRPr="003A6069">
        <w:rPr>
          <w:rFonts w:hint="cs"/>
          <w:rtl/>
        </w:rPr>
        <w:t xml:space="preserve"> (62.8 ו-36.9 מיליון דולר בהתאמה). על פי מסמכי רפאל, רכישת </w:t>
      </w:r>
      <w:r w:rsidRPr="003A6069">
        <w:rPr>
          <w:rFonts w:hint="cs"/>
          <w:rtl/>
        </w:rPr>
        <w:t>אירונאוטיקס</w:t>
      </w:r>
      <w:r w:rsidRPr="003A6069">
        <w:rPr>
          <w:rFonts w:hint="cs"/>
          <w:rtl/>
        </w:rPr>
        <w:t xml:space="preserve"> </w:t>
      </w:r>
      <w:r w:rsidRPr="003A6069">
        <w:rPr>
          <w:rFonts w:hint="cs"/>
          <w:rtl/>
        </w:rPr>
        <w:t>איפשרה</w:t>
      </w:r>
      <w:r w:rsidRPr="003A6069">
        <w:rPr>
          <w:rFonts w:hint="cs"/>
          <w:rtl/>
        </w:rPr>
        <w:t xml:space="preserve"> לרפאל להיכנס לתחום של </w:t>
      </w:r>
      <w:r w:rsidRPr="003A6069">
        <w:rPr>
          <w:rFonts w:hint="cs"/>
          <w:rtl/>
        </w:rPr>
        <w:t>כטב"מים</w:t>
      </w:r>
      <w:r w:rsidRPr="003A6069">
        <w:rPr>
          <w:rFonts w:hint="cs"/>
          <w:rtl/>
        </w:rPr>
        <w:t xml:space="preserve"> קטנים שנמצא בהתפתחות מואצת, וצפויה להביא לה תועלות סינרגטיות: נוכחות שיווקית במדינות שבהן רפאל טרם פעלה; הרחבת ההיקף של פעילות המחקר, הפיתוח, הייצור והשיווק של מערכות משלימות ומשולבות; ותחומי פיתוח ייעודיים נוספים. </w:t>
      </w:r>
    </w:p>
    <w:p w:rsidR="00C149B0" w:rsidRPr="003A6069" w:rsidP="003A6069" w14:paraId="4B2FD18C" w14:textId="77777777">
      <w:pPr>
        <w:pStyle w:val="7392"/>
        <w:rPr>
          <w:rtl/>
        </w:rPr>
      </w:pPr>
      <w:r w:rsidRPr="003A6069">
        <w:rPr>
          <w:rFonts w:hint="cs"/>
          <w:rtl/>
        </w:rPr>
        <w:t>החל מ-1.4.21, בעקבות חתימה על עדכון ההסכם עם השותף העסקי המקנה לרפאל שליטה</w:t>
      </w:r>
      <w:r>
        <w:rPr>
          <w:vertAlign w:val="superscript"/>
          <w:rtl/>
        </w:rPr>
        <w:footnoteReference w:id="70"/>
      </w:r>
      <w:r w:rsidRPr="003A6069">
        <w:rPr>
          <w:rFonts w:hint="cs"/>
          <w:rtl/>
        </w:rPr>
        <w:t xml:space="preserve"> </w:t>
      </w:r>
      <w:r w:rsidRPr="003A6069">
        <w:rPr>
          <w:rFonts w:hint="cs"/>
          <w:rtl/>
        </w:rPr>
        <w:t>באירונאוטיקס</w:t>
      </w:r>
      <w:r w:rsidRPr="003A6069">
        <w:rPr>
          <w:rFonts w:hint="cs"/>
          <w:rtl/>
        </w:rPr>
        <w:t xml:space="preserve">, אוחדו דוחותיה הכספיים של החברה בדוחות של </w:t>
      </w:r>
      <w:r w:rsidRPr="003A6069">
        <w:rPr>
          <w:rFonts w:hint="eastAsia"/>
          <w:rtl/>
        </w:rPr>
        <w:t>קבוצ</w:t>
      </w:r>
      <w:r w:rsidRPr="003A6069">
        <w:rPr>
          <w:rFonts w:hint="cs"/>
          <w:rtl/>
        </w:rPr>
        <w:t>ת</w:t>
      </w:r>
      <w:r w:rsidRPr="003A6069">
        <w:rPr>
          <w:rtl/>
        </w:rPr>
        <w:t xml:space="preserve"> </w:t>
      </w:r>
      <w:r w:rsidRPr="003A6069">
        <w:rPr>
          <w:rFonts w:hint="cs"/>
          <w:rtl/>
        </w:rPr>
        <w:t>רפאל</w:t>
      </w:r>
      <w:r>
        <w:rPr>
          <w:vertAlign w:val="superscript"/>
          <w:rtl/>
        </w:rPr>
        <w:footnoteReference w:id="71"/>
      </w:r>
      <w:r w:rsidRPr="003A6069">
        <w:rPr>
          <w:rFonts w:hint="cs"/>
          <w:rtl/>
        </w:rPr>
        <w:t>.</w:t>
      </w:r>
    </w:p>
    <w:p w:rsidR="00C149B0" w:rsidRPr="003A6069" w:rsidP="003A6069" w14:paraId="0486C96C" w14:textId="77777777">
      <w:pPr>
        <w:pStyle w:val="7318"/>
        <w:rPr>
          <w:rtl/>
        </w:rPr>
      </w:pPr>
      <w:r w:rsidRPr="003A6069">
        <w:rPr>
          <w:rFonts w:eastAsia="Calibri" w:hint="cs"/>
          <w:rtl/>
        </w:rPr>
        <w:t xml:space="preserve">בביקורת </w:t>
      </w:r>
      <w:r w:rsidRPr="003A6069">
        <w:rPr>
          <w:rFonts w:eastAsia="Calibri" w:hint="eastAsia"/>
          <w:rtl/>
        </w:rPr>
        <w:t>עלה</w:t>
      </w:r>
      <w:r w:rsidRPr="003A6069">
        <w:rPr>
          <w:rFonts w:eastAsia="Calibri"/>
          <w:rtl/>
        </w:rPr>
        <w:t xml:space="preserve"> </w:t>
      </w:r>
      <w:r w:rsidRPr="003A6069">
        <w:rPr>
          <w:rFonts w:eastAsia="Calibri" w:hint="cs"/>
          <w:rtl/>
        </w:rPr>
        <w:t xml:space="preserve">כי בשנת 2020 היה </w:t>
      </w:r>
      <w:r w:rsidRPr="003A6069">
        <w:rPr>
          <w:rFonts w:eastAsia="Calibri"/>
          <w:rtl/>
        </w:rPr>
        <w:t>פער מסוים בין המכירות</w:t>
      </w:r>
      <w:r w:rsidRPr="003A6069">
        <w:rPr>
          <w:rFonts w:eastAsia="Calibri" w:hint="cs"/>
          <w:rtl/>
        </w:rPr>
        <w:t xml:space="preserve"> </w:t>
      </w:r>
      <w:r w:rsidRPr="003A6069">
        <w:rPr>
          <w:rFonts w:eastAsia="Calibri"/>
          <w:rtl/>
        </w:rPr>
        <w:t xml:space="preserve">של </w:t>
      </w:r>
      <w:r w:rsidRPr="003A6069">
        <w:rPr>
          <w:rFonts w:eastAsia="Calibri" w:hint="eastAsia"/>
          <w:rtl/>
        </w:rPr>
        <w:t>אירונאוטיקס</w:t>
      </w:r>
      <w:r w:rsidRPr="003A6069">
        <w:rPr>
          <w:rFonts w:eastAsia="Calibri"/>
          <w:rtl/>
        </w:rPr>
        <w:t xml:space="preserve"> </w:t>
      </w:r>
      <w:r w:rsidRPr="003A6069">
        <w:rPr>
          <w:rFonts w:eastAsia="Calibri" w:hint="cs"/>
          <w:rtl/>
        </w:rPr>
        <w:t>והרווח הגולמי</w:t>
      </w:r>
      <w:r w:rsidRPr="003A6069">
        <w:rPr>
          <w:rFonts w:eastAsia="Calibri"/>
          <w:rtl/>
        </w:rPr>
        <w:t xml:space="preserve"> </w:t>
      </w:r>
      <w:r w:rsidRPr="003A6069">
        <w:rPr>
          <w:rFonts w:eastAsia="Calibri" w:hint="cs"/>
          <w:rtl/>
        </w:rPr>
        <w:t xml:space="preserve">שלה </w:t>
      </w:r>
      <w:r w:rsidRPr="003A6069">
        <w:rPr>
          <w:rFonts w:eastAsia="Calibri"/>
          <w:rtl/>
        </w:rPr>
        <w:t xml:space="preserve">לבין יעדי התקציב; </w:t>
      </w:r>
      <w:r w:rsidRPr="003A6069">
        <w:rPr>
          <w:rFonts w:eastAsia="Calibri" w:hint="cs"/>
          <w:rtl/>
        </w:rPr>
        <w:t>ו</w:t>
      </w:r>
      <w:r w:rsidRPr="003A6069">
        <w:rPr>
          <w:rFonts w:eastAsia="Calibri" w:hint="eastAsia"/>
          <w:rtl/>
        </w:rPr>
        <w:t>כי</w:t>
      </w:r>
      <w:r w:rsidRPr="003A6069">
        <w:rPr>
          <w:rFonts w:eastAsia="Calibri"/>
          <w:rtl/>
        </w:rPr>
        <w:t xml:space="preserve"> בשנת 2021 החברה שיפרה את המכירות ואת ה</w:t>
      </w:r>
      <w:r w:rsidRPr="003A6069">
        <w:rPr>
          <w:rFonts w:eastAsia="Calibri" w:hint="cs"/>
          <w:rtl/>
        </w:rPr>
        <w:t>רווח</w:t>
      </w:r>
      <w:r w:rsidRPr="003A6069">
        <w:rPr>
          <w:rFonts w:eastAsia="Calibri"/>
          <w:rtl/>
        </w:rPr>
        <w:t xml:space="preserve"> </w:t>
      </w:r>
      <w:r w:rsidRPr="003A6069">
        <w:rPr>
          <w:rFonts w:eastAsia="Calibri" w:hint="eastAsia"/>
          <w:rtl/>
        </w:rPr>
        <w:t>הגולמי</w:t>
      </w:r>
      <w:r w:rsidRPr="003A6069">
        <w:rPr>
          <w:rFonts w:eastAsia="Calibri"/>
          <w:rtl/>
        </w:rPr>
        <w:t>.</w:t>
      </w:r>
    </w:p>
    <w:p w:rsidR="00C149B0" w:rsidRPr="000839FF" w:rsidP="000839FF" w14:paraId="41E9D461" w14:textId="77777777">
      <w:pPr>
        <w:pStyle w:val="73512"/>
        <w:rPr>
          <w:rtl/>
        </w:rPr>
      </w:pPr>
      <w:r w:rsidRPr="000839FF">
        <w:rPr>
          <w:rFonts w:hint="cs"/>
          <w:rtl/>
        </w:rPr>
        <w:t xml:space="preserve">השינוי בשווי ההשקעה </w:t>
      </w:r>
      <w:r w:rsidRPr="000839FF">
        <w:rPr>
          <w:rFonts w:hint="cs"/>
          <w:rtl/>
        </w:rPr>
        <w:t>באירונאוטיקס</w:t>
      </w:r>
      <w:r w:rsidRPr="000839FF">
        <w:rPr>
          <w:rFonts w:hint="cs"/>
          <w:rtl/>
        </w:rPr>
        <w:t xml:space="preserve"> בספרי רפאל</w:t>
      </w:r>
    </w:p>
    <w:p w:rsidR="00C149B0" w:rsidRPr="00723D96" w:rsidP="00723D96" w14:paraId="42856428" w14:textId="77777777">
      <w:pPr>
        <w:pStyle w:val="7392"/>
        <w:rPr>
          <w:rtl/>
        </w:rPr>
      </w:pPr>
      <w:r w:rsidRPr="00723D96">
        <w:rPr>
          <w:rFonts w:hint="cs"/>
          <w:rtl/>
        </w:rPr>
        <w:t xml:space="preserve">להלן נתונים לגבי השינוי בספרי רפאל של יתרת ההשקעה </w:t>
      </w:r>
      <w:r w:rsidRPr="00723D96">
        <w:rPr>
          <w:rFonts w:hint="cs"/>
          <w:rtl/>
        </w:rPr>
        <w:t>באירונאוטיקס</w:t>
      </w:r>
      <w:r w:rsidRPr="00723D96">
        <w:rPr>
          <w:rFonts w:hint="cs"/>
          <w:rtl/>
        </w:rPr>
        <w:t xml:space="preserve"> ממועד רכישתה על ידי רפאל:</w:t>
      </w:r>
    </w:p>
    <w:p w:rsidR="00723D96" w:rsidRPr="00723D96" w:rsidP="00723D96" w14:paraId="6FDB4566" w14:textId="2C2B7687">
      <w:pPr>
        <w:pStyle w:val="734"/>
        <w:rPr>
          <w:rtl/>
        </w:rPr>
      </w:pPr>
      <w:r w:rsidRPr="00723D96">
        <w:rPr>
          <w:b w:val="0"/>
          <w:bCs w:val="0"/>
          <w:rtl/>
        </w:rPr>
        <w:t xml:space="preserve">לוח </w:t>
      </w:r>
      <w:r w:rsidRPr="00723D96">
        <w:rPr>
          <w:b w:val="0"/>
          <w:bCs w:val="0"/>
        </w:rPr>
        <w:t>6</w:t>
      </w:r>
      <w:r w:rsidRPr="00723D96">
        <w:rPr>
          <w:b w:val="0"/>
          <w:bCs w:val="0"/>
          <w:rtl/>
        </w:rPr>
        <w:t>:</w:t>
      </w:r>
      <w:r w:rsidRPr="00723D96">
        <w:rPr>
          <w:rFonts w:hint="cs"/>
          <w:rtl/>
        </w:rPr>
        <w:t xml:space="preserve"> הרכב ההשקעה במועד הרכישה (ספטמבר 2019), </w:t>
      </w:r>
      <w:r w:rsidR="00217652">
        <w:rPr>
          <w:rtl/>
        </w:rPr>
        <w:br/>
      </w:r>
      <w:r w:rsidRPr="00723D96">
        <w:rPr>
          <w:rFonts w:hint="cs"/>
          <w:rtl/>
        </w:rPr>
        <w:t>ב-31.3.21</w:t>
      </w:r>
      <w:r>
        <w:rPr>
          <w:rStyle w:val="FootnoteReference0"/>
          <w:rtl/>
        </w:rPr>
        <w:footnoteReference w:id="72"/>
      </w:r>
      <w:r w:rsidRPr="003A6069">
        <w:rPr>
          <w:rFonts w:hint="cs"/>
          <w:vertAlign w:val="superscript"/>
          <w:rtl/>
        </w:rPr>
        <w:t xml:space="preserve"> </w:t>
      </w:r>
      <w:r w:rsidR="00217652">
        <w:rPr>
          <w:rFonts w:hint="cs"/>
          <w:rtl/>
        </w:rPr>
        <w:t xml:space="preserve"> </w:t>
      </w:r>
      <w:r w:rsidRPr="00723D96">
        <w:rPr>
          <w:rFonts w:hint="cs"/>
          <w:rtl/>
        </w:rPr>
        <w:t>וב-31.12.21 (במיליוני ש"ח)</w:t>
      </w:r>
    </w:p>
    <w:tbl>
      <w:tblPr>
        <w:tblStyle w:val="TableGrid"/>
        <w:bidiVisual/>
        <w:tblW w:w="0" w:type="auto"/>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tblLook w:val="04A0"/>
      </w:tblPr>
      <w:tblGrid>
        <w:gridCol w:w="1871"/>
        <w:gridCol w:w="274"/>
        <w:gridCol w:w="1227"/>
        <w:gridCol w:w="1226"/>
        <w:gridCol w:w="283"/>
        <w:gridCol w:w="2224"/>
      </w:tblGrid>
      <w:tr w14:paraId="4319F201" w14:textId="77777777" w:rsidTr="003A6069">
        <w:tblPrEx>
          <w:tblW w:w="0" w:type="auto"/>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tblLook w:val="04A0"/>
        </w:tblPrEx>
        <w:trPr>
          <w:trHeight w:val="25"/>
        </w:trPr>
        <w:tc>
          <w:tcPr>
            <w:tcW w:w="1871" w:type="dxa"/>
            <w:tcBorders>
              <w:left w:val="nil"/>
              <w:right w:val="nil"/>
            </w:tcBorders>
          </w:tcPr>
          <w:p w:rsidR="00723D96" w:rsidRPr="00723D96" w:rsidP="00723D96" w14:paraId="1C8A3BAB" w14:textId="77777777">
            <w:pPr>
              <w:pStyle w:val="73R"/>
              <w:rPr>
                <w:rtl/>
              </w:rPr>
            </w:pPr>
          </w:p>
        </w:tc>
        <w:tc>
          <w:tcPr>
            <w:tcW w:w="274" w:type="dxa"/>
            <w:tcBorders>
              <w:left w:val="nil"/>
            </w:tcBorders>
          </w:tcPr>
          <w:p w:rsidR="00723D96" w:rsidRPr="00723D96" w:rsidP="00723D96" w14:paraId="7E1FCF68" w14:textId="77777777">
            <w:pPr>
              <w:pStyle w:val="73R"/>
              <w:rPr>
                <w:rtl/>
              </w:rPr>
            </w:pPr>
          </w:p>
        </w:tc>
        <w:tc>
          <w:tcPr>
            <w:tcW w:w="2453" w:type="dxa"/>
            <w:gridSpan w:val="2"/>
            <w:shd w:val="clear" w:color="auto" w:fill="B8CCD5"/>
          </w:tcPr>
          <w:p w:rsidR="00723D96" w:rsidRPr="00723D96" w:rsidP="00723D96" w14:paraId="259F0762" w14:textId="0D56FB13">
            <w:pPr>
              <w:pStyle w:val="73R"/>
              <w:rPr>
                <w:rtl/>
              </w:rPr>
            </w:pPr>
            <w:r>
              <w:rPr>
                <w:rFonts w:hint="cs"/>
                <w:rtl/>
              </w:rPr>
              <w:t xml:space="preserve">משקף את חלקה של רפאל </w:t>
            </w:r>
            <w:r>
              <w:rPr>
                <w:rFonts w:hint="cs"/>
                <w:rtl/>
              </w:rPr>
              <w:t>באירונאוטיקס</w:t>
            </w:r>
            <w:r>
              <w:rPr>
                <w:rFonts w:hint="cs"/>
                <w:rtl/>
              </w:rPr>
              <w:t xml:space="preserve"> (50%) לפי שיטת שווי מאזני</w:t>
            </w:r>
          </w:p>
        </w:tc>
        <w:tc>
          <w:tcPr>
            <w:tcW w:w="283" w:type="dxa"/>
          </w:tcPr>
          <w:p w:rsidR="00723D96" w:rsidRPr="00723D96" w:rsidP="00723D96" w14:paraId="60EB0321" w14:textId="77777777">
            <w:pPr>
              <w:pStyle w:val="73R"/>
              <w:rPr>
                <w:rtl/>
              </w:rPr>
            </w:pPr>
          </w:p>
        </w:tc>
        <w:tc>
          <w:tcPr>
            <w:tcW w:w="2224" w:type="dxa"/>
            <w:shd w:val="clear" w:color="auto" w:fill="B8CCD5"/>
          </w:tcPr>
          <w:p w:rsidR="00723D96" w:rsidRPr="00723D96" w:rsidP="00723D96" w14:paraId="5FA7CABF" w14:textId="52A5CF22">
            <w:pPr>
              <w:pStyle w:val="73R"/>
              <w:rPr>
                <w:rtl/>
              </w:rPr>
            </w:pPr>
            <w:r>
              <w:rPr>
                <w:rFonts w:hint="cs"/>
                <w:rtl/>
              </w:rPr>
              <w:t>משקף את יתרת ההשקעה ל-31.12.21, בניכוי התחייבות לבעלי מניות</w:t>
            </w:r>
          </w:p>
        </w:tc>
      </w:tr>
      <w:tr w14:paraId="02B0B2B1" w14:textId="77777777" w:rsidTr="003A6069">
        <w:tblPrEx>
          <w:tblW w:w="0" w:type="auto"/>
          <w:tblLook w:val="04A0"/>
        </w:tblPrEx>
        <w:trPr>
          <w:trHeight w:val="22"/>
        </w:trPr>
        <w:tc>
          <w:tcPr>
            <w:tcW w:w="1871" w:type="dxa"/>
            <w:tcBorders>
              <w:left w:val="nil"/>
              <w:right w:val="nil"/>
            </w:tcBorders>
          </w:tcPr>
          <w:p w:rsidR="00723D96" w:rsidRPr="00723D96" w:rsidP="00723D96" w14:paraId="4BC3F161" w14:textId="77777777">
            <w:pPr>
              <w:pStyle w:val="73R"/>
              <w:rPr>
                <w:rtl/>
              </w:rPr>
            </w:pPr>
          </w:p>
        </w:tc>
        <w:tc>
          <w:tcPr>
            <w:tcW w:w="274" w:type="dxa"/>
            <w:tcBorders>
              <w:left w:val="nil"/>
            </w:tcBorders>
          </w:tcPr>
          <w:p w:rsidR="00723D96" w:rsidRPr="00723D96" w:rsidP="00723D96" w14:paraId="370FFA7E" w14:textId="77777777">
            <w:pPr>
              <w:pStyle w:val="73R"/>
              <w:rPr>
                <w:rtl/>
              </w:rPr>
            </w:pPr>
          </w:p>
        </w:tc>
        <w:tc>
          <w:tcPr>
            <w:tcW w:w="1227" w:type="dxa"/>
            <w:shd w:val="clear" w:color="auto" w:fill="C8DCE4"/>
          </w:tcPr>
          <w:p w:rsidR="00723D96" w:rsidRPr="00723D96" w:rsidP="00723D96" w14:paraId="7B098EF5" w14:textId="1C7FB5E6">
            <w:pPr>
              <w:pStyle w:val="73R"/>
              <w:rPr>
                <w:rtl/>
              </w:rPr>
            </w:pPr>
            <w:r>
              <w:rPr>
                <w:rFonts w:hint="cs"/>
                <w:rtl/>
              </w:rPr>
              <w:t>ברכישה</w:t>
            </w:r>
          </w:p>
        </w:tc>
        <w:tc>
          <w:tcPr>
            <w:tcW w:w="1226" w:type="dxa"/>
            <w:shd w:val="clear" w:color="auto" w:fill="C8DCE4"/>
          </w:tcPr>
          <w:p w:rsidR="00723D96" w:rsidRPr="00723D96" w:rsidP="00723D96" w14:paraId="38BE4F61" w14:textId="44043DE5">
            <w:pPr>
              <w:pStyle w:val="73R"/>
              <w:rPr>
                <w:rtl/>
              </w:rPr>
            </w:pPr>
            <w:r>
              <w:rPr>
                <w:rFonts w:hint="cs"/>
                <w:rtl/>
              </w:rPr>
              <w:t>31.3.21</w:t>
            </w:r>
          </w:p>
        </w:tc>
        <w:tc>
          <w:tcPr>
            <w:tcW w:w="283" w:type="dxa"/>
          </w:tcPr>
          <w:p w:rsidR="00723D96" w:rsidRPr="00723D96" w:rsidP="00723D96" w14:paraId="77F8182C" w14:textId="77777777">
            <w:pPr>
              <w:pStyle w:val="73R"/>
              <w:rPr>
                <w:rtl/>
              </w:rPr>
            </w:pPr>
          </w:p>
        </w:tc>
        <w:tc>
          <w:tcPr>
            <w:tcW w:w="2224" w:type="dxa"/>
            <w:shd w:val="clear" w:color="auto" w:fill="C8DCE4"/>
          </w:tcPr>
          <w:p w:rsidR="00723D96" w:rsidRPr="00723D96" w:rsidP="00723D96" w14:paraId="0E08CD17" w14:textId="688190A8">
            <w:pPr>
              <w:pStyle w:val="73R"/>
              <w:rPr>
                <w:rtl/>
              </w:rPr>
            </w:pPr>
            <w:r>
              <w:rPr>
                <w:rFonts w:hint="cs"/>
                <w:rtl/>
              </w:rPr>
              <w:t>31.12.21</w:t>
            </w:r>
          </w:p>
        </w:tc>
      </w:tr>
      <w:tr w14:paraId="28932024" w14:textId="77777777" w:rsidTr="00723D96">
        <w:tblPrEx>
          <w:tblW w:w="0" w:type="auto"/>
          <w:tblLook w:val="04A0"/>
        </w:tblPrEx>
        <w:trPr>
          <w:trHeight w:val="22"/>
        </w:trPr>
        <w:tc>
          <w:tcPr>
            <w:tcW w:w="1871" w:type="dxa"/>
            <w:shd w:val="clear" w:color="auto" w:fill="DFECEF"/>
          </w:tcPr>
          <w:p w:rsidR="00723D96" w:rsidRPr="00723D96" w:rsidP="00723D96" w14:paraId="42FC2BEF" w14:textId="54B634A7">
            <w:pPr>
              <w:pStyle w:val="73R"/>
              <w:rPr>
                <w:rtl/>
              </w:rPr>
            </w:pPr>
            <w:r>
              <w:rPr>
                <w:rFonts w:hint="cs"/>
                <w:rtl/>
              </w:rPr>
              <w:t>הון עצמי</w:t>
            </w:r>
          </w:p>
        </w:tc>
        <w:tc>
          <w:tcPr>
            <w:tcW w:w="274" w:type="dxa"/>
          </w:tcPr>
          <w:p w:rsidR="00723D96" w:rsidRPr="00723D96" w:rsidP="00723D96" w14:paraId="5F2E3A74" w14:textId="77777777">
            <w:pPr>
              <w:pStyle w:val="73R"/>
              <w:rPr>
                <w:rtl/>
              </w:rPr>
            </w:pPr>
          </w:p>
        </w:tc>
        <w:tc>
          <w:tcPr>
            <w:tcW w:w="1227" w:type="dxa"/>
            <w:shd w:val="clear" w:color="auto" w:fill="DFECEF"/>
          </w:tcPr>
          <w:p w:rsidR="00723D96" w:rsidRPr="00723D96" w:rsidP="00723D96" w14:paraId="0B854AB0" w14:textId="18EF2E2D">
            <w:pPr>
              <w:pStyle w:val="73R"/>
              <w:rPr>
                <w:rtl/>
              </w:rPr>
            </w:pPr>
            <w:r>
              <w:rPr>
                <w:rFonts w:hint="cs"/>
                <w:rtl/>
              </w:rPr>
              <w:t>168</w:t>
            </w:r>
          </w:p>
        </w:tc>
        <w:tc>
          <w:tcPr>
            <w:tcW w:w="1226" w:type="dxa"/>
            <w:shd w:val="clear" w:color="auto" w:fill="DFECEF"/>
          </w:tcPr>
          <w:p w:rsidR="00723D96" w:rsidRPr="00723D96" w:rsidP="00723D96" w14:paraId="138EED8C" w14:textId="5FBE55AA">
            <w:pPr>
              <w:pStyle w:val="73R"/>
              <w:rPr>
                <w:rtl/>
              </w:rPr>
            </w:pPr>
            <w:r>
              <w:rPr>
                <w:rFonts w:hint="cs"/>
                <w:rtl/>
              </w:rPr>
              <w:t>116</w:t>
            </w:r>
          </w:p>
        </w:tc>
        <w:tc>
          <w:tcPr>
            <w:tcW w:w="283" w:type="dxa"/>
          </w:tcPr>
          <w:p w:rsidR="00723D96" w:rsidRPr="00723D96" w:rsidP="00723D96" w14:paraId="6D3BE2C2" w14:textId="77777777">
            <w:pPr>
              <w:pStyle w:val="73R"/>
              <w:rPr>
                <w:rtl/>
              </w:rPr>
            </w:pPr>
          </w:p>
        </w:tc>
        <w:tc>
          <w:tcPr>
            <w:tcW w:w="2224" w:type="dxa"/>
            <w:shd w:val="clear" w:color="auto" w:fill="DFECEF"/>
          </w:tcPr>
          <w:p w:rsidR="00723D96" w:rsidRPr="00723D96" w:rsidP="00723D96" w14:paraId="4FC3E0C7" w14:textId="1512EF93">
            <w:pPr>
              <w:pStyle w:val="73R"/>
              <w:rPr>
                <w:rtl/>
              </w:rPr>
            </w:pPr>
            <w:r>
              <w:rPr>
                <w:rFonts w:hint="cs"/>
                <w:rtl/>
              </w:rPr>
              <w:t>245</w:t>
            </w:r>
          </w:p>
        </w:tc>
      </w:tr>
      <w:tr w14:paraId="7F7F16AB" w14:textId="77777777" w:rsidTr="00723D96">
        <w:tblPrEx>
          <w:tblW w:w="0" w:type="auto"/>
          <w:tblLook w:val="04A0"/>
        </w:tblPrEx>
        <w:trPr>
          <w:trHeight w:val="22"/>
        </w:trPr>
        <w:tc>
          <w:tcPr>
            <w:tcW w:w="1871" w:type="dxa"/>
            <w:shd w:val="clear" w:color="auto" w:fill="F0F8F9"/>
          </w:tcPr>
          <w:p w:rsidR="00723D96" w:rsidRPr="00723D96" w:rsidP="00723D96" w14:paraId="36430B0D" w14:textId="47369E0D">
            <w:pPr>
              <w:pStyle w:val="73R"/>
              <w:rPr>
                <w:rtl/>
              </w:rPr>
            </w:pPr>
            <w:r>
              <w:rPr>
                <w:rFonts w:hint="cs"/>
                <w:rtl/>
              </w:rPr>
              <w:t>עודפי עלות</w:t>
            </w:r>
          </w:p>
        </w:tc>
        <w:tc>
          <w:tcPr>
            <w:tcW w:w="274" w:type="dxa"/>
          </w:tcPr>
          <w:p w:rsidR="00723D96" w:rsidRPr="00723D96" w:rsidP="00723D96" w14:paraId="450BD3E1" w14:textId="77777777">
            <w:pPr>
              <w:pStyle w:val="73R"/>
              <w:rPr>
                <w:rtl/>
              </w:rPr>
            </w:pPr>
          </w:p>
        </w:tc>
        <w:tc>
          <w:tcPr>
            <w:tcW w:w="1227" w:type="dxa"/>
            <w:shd w:val="clear" w:color="auto" w:fill="F0F8F9"/>
          </w:tcPr>
          <w:p w:rsidR="00723D96" w:rsidRPr="00723D96" w:rsidP="00723D96" w14:paraId="71CC36A0" w14:textId="4A4FB58A">
            <w:pPr>
              <w:pStyle w:val="73R"/>
              <w:rPr>
                <w:rtl/>
              </w:rPr>
            </w:pPr>
            <w:r>
              <w:rPr>
                <w:rFonts w:hint="cs"/>
                <w:rtl/>
              </w:rPr>
              <w:t>352</w:t>
            </w:r>
          </w:p>
        </w:tc>
        <w:tc>
          <w:tcPr>
            <w:tcW w:w="1226" w:type="dxa"/>
            <w:shd w:val="clear" w:color="auto" w:fill="F0F8F9"/>
          </w:tcPr>
          <w:p w:rsidR="00723D96" w:rsidRPr="00723D96" w:rsidP="00723D96" w14:paraId="42589ACD" w14:textId="51BE6C21">
            <w:pPr>
              <w:pStyle w:val="73R"/>
              <w:rPr>
                <w:rtl/>
              </w:rPr>
            </w:pPr>
            <w:r>
              <w:rPr>
                <w:rFonts w:hint="cs"/>
                <w:rtl/>
              </w:rPr>
              <w:t>204</w:t>
            </w:r>
          </w:p>
        </w:tc>
        <w:tc>
          <w:tcPr>
            <w:tcW w:w="283" w:type="dxa"/>
          </w:tcPr>
          <w:p w:rsidR="00723D96" w:rsidRPr="00723D96" w:rsidP="00723D96" w14:paraId="5C377BEB" w14:textId="77777777">
            <w:pPr>
              <w:pStyle w:val="73R"/>
              <w:rPr>
                <w:rtl/>
              </w:rPr>
            </w:pPr>
          </w:p>
        </w:tc>
        <w:tc>
          <w:tcPr>
            <w:tcW w:w="2224" w:type="dxa"/>
            <w:shd w:val="clear" w:color="auto" w:fill="F0F8F9"/>
          </w:tcPr>
          <w:p w:rsidR="00723D96" w:rsidRPr="00723D96" w:rsidP="00723D96" w14:paraId="2F44DA7F" w14:textId="198FCE0E">
            <w:pPr>
              <w:pStyle w:val="73R"/>
              <w:rPr>
                <w:rtl/>
              </w:rPr>
            </w:pPr>
            <w:r>
              <w:rPr>
                <w:rFonts w:hint="cs"/>
                <w:rtl/>
              </w:rPr>
              <w:t>340</w:t>
            </w:r>
          </w:p>
        </w:tc>
      </w:tr>
      <w:tr w14:paraId="0DC7B261" w14:textId="77777777" w:rsidTr="00723D96">
        <w:tblPrEx>
          <w:tblW w:w="0" w:type="auto"/>
          <w:tblLook w:val="04A0"/>
        </w:tblPrEx>
        <w:trPr>
          <w:trHeight w:val="22"/>
        </w:trPr>
        <w:tc>
          <w:tcPr>
            <w:tcW w:w="1871" w:type="dxa"/>
            <w:shd w:val="clear" w:color="auto" w:fill="DFECEF"/>
          </w:tcPr>
          <w:p w:rsidR="00723D96" w:rsidRPr="00723D96" w:rsidP="00723D96" w14:paraId="7205F6F2" w14:textId="318688A7">
            <w:pPr>
              <w:pStyle w:val="73R"/>
              <w:rPr>
                <w:b/>
                <w:bCs/>
                <w:rtl/>
              </w:rPr>
            </w:pPr>
            <w:r w:rsidRPr="00723D96">
              <w:rPr>
                <w:rFonts w:hint="cs"/>
                <w:b/>
                <w:bCs/>
                <w:rtl/>
              </w:rPr>
              <w:t>סה״כ</w:t>
            </w:r>
          </w:p>
        </w:tc>
        <w:tc>
          <w:tcPr>
            <w:tcW w:w="274" w:type="dxa"/>
          </w:tcPr>
          <w:p w:rsidR="00723D96" w:rsidRPr="00723D96" w:rsidP="00723D96" w14:paraId="69DF8B43" w14:textId="77777777">
            <w:pPr>
              <w:pStyle w:val="73R"/>
              <w:rPr>
                <w:b/>
                <w:bCs/>
                <w:rtl/>
              </w:rPr>
            </w:pPr>
          </w:p>
        </w:tc>
        <w:tc>
          <w:tcPr>
            <w:tcW w:w="1227" w:type="dxa"/>
            <w:shd w:val="clear" w:color="auto" w:fill="DFECEF"/>
          </w:tcPr>
          <w:p w:rsidR="00723D96" w:rsidRPr="00723D96" w:rsidP="00723D96" w14:paraId="3FEE722A" w14:textId="5EE4C968">
            <w:pPr>
              <w:pStyle w:val="73R"/>
              <w:rPr>
                <w:b/>
                <w:bCs/>
                <w:rtl/>
              </w:rPr>
            </w:pPr>
            <w:r w:rsidRPr="00723D96">
              <w:rPr>
                <w:rFonts w:hint="cs"/>
                <w:b/>
                <w:bCs/>
                <w:rtl/>
              </w:rPr>
              <w:t>520</w:t>
            </w:r>
          </w:p>
        </w:tc>
        <w:tc>
          <w:tcPr>
            <w:tcW w:w="1226" w:type="dxa"/>
            <w:shd w:val="clear" w:color="auto" w:fill="DFECEF"/>
          </w:tcPr>
          <w:p w:rsidR="00723D96" w:rsidRPr="00723D96" w:rsidP="00723D96" w14:paraId="399E9385" w14:textId="5D7116B7">
            <w:pPr>
              <w:pStyle w:val="73R"/>
              <w:rPr>
                <w:b/>
                <w:bCs/>
                <w:rtl/>
              </w:rPr>
            </w:pPr>
            <w:r w:rsidRPr="00723D96">
              <w:rPr>
                <w:rFonts w:hint="cs"/>
                <w:b/>
                <w:bCs/>
                <w:rtl/>
              </w:rPr>
              <w:t>320</w:t>
            </w:r>
          </w:p>
        </w:tc>
        <w:tc>
          <w:tcPr>
            <w:tcW w:w="283" w:type="dxa"/>
          </w:tcPr>
          <w:p w:rsidR="00723D96" w:rsidRPr="00723D96" w:rsidP="00723D96" w14:paraId="138E1C20" w14:textId="77777777">
            <w:pPr>
              <w:pStyle w:val="73R"/>
              <w:rPr>
                <w:b/>
                <w:bCs/>
                <w:rtl/>
              </w:rPr>
            </w:pPr>
          </w:p>
        </w:tc>
        <w:tc>
          <w:tcPr>
            <w:tcW w:w="2224" w:type="dxa"/>
            <w:shd w:val="clear" w:color="auto" w:fill="DFECEF"/>
          </w:tcPr>
          <w:p w:rsidR="00723D96" w:rsidRPr="00723D96" w:rsidP="00723D96" w14:paraId="4995AAD6" w14:textId="07787E22">
            <w:pPr>
              <w:pStyle w:val="73R"/>
              <w:rPr>
                <w:b/>
                <w:bCs/>
                <w:rtl/>
              </w:rPr>
            </w:pPr>
            <w:r w:rsidRPr="00723D96">
              <w:rPr>
                <w:rFonts w:hint="cs"/>
                <w:b/>
                <w:bCs/>
                <w:rtl/>
              </w:rPr>
              <w:t>585</w:t>
            </w:r>
          </w:p>
        </w:tc>
      </w:tr>
      <w:tr w14:paraId="0F8850DE" w14:textId="77777777" w:rsidTr="00723D96">
        <w:tblPrEx>
          <w:tblW w:w="0" w:type="auto"/>
          <w:tblLook w:val="04A0"/>
        </w:tblPrEx>
        <w:trPr>
          <w:trHeight w:val="22"/>
        </w:trPr>
        <w:tc>
          <w:tcPr>
            <w:tcW w:w="1871" w:type="dxa"/>
          </w:tcPr>
          <w:p w:rsidR="00723D96" w:rsidRPr="00723D96" w:rsidP="00723D96" w14:paraId="3DE9B6C5" w14:textId="77777777">
            <w:pPr>
              <w:pStyle w:val="73R"/>
              <w:rPr>
                <w:rtl/>
              </w:rPr>
            </w:pPr>
          </w:p>
        </w:tc>
        <w:tc>
          <w:tcPr>
            <w:tcW w:w="274" w:type="dxa"/>
          </w:tcPr>
          <w:p w:rsidR="00723D96" w:rsidRPr="00723D96" w:rsidP="00723D96" w14:paraId="4A157F47" w14:textId="77777777">
            <w:pPr>
              <w:pStyle w:val="73R"/>
              <w:rPr>
                <w:rtl/>
              </w:rPr>
            </w:pPr>
          </w:p>
        </w:tc>
        <w:tc>
          <w:tcPr>
            <w:tcW w:w="1227" w:type="dxa"/>
          </w:tcPr>
          <w:p w:rsidR="00723D96" w:rsidRPr="00723D96" w:rsidP="00723D96" w14:paraId="35C0AD39" w14:textId="77777777">
            <w:pPr>
              <w:pStyle w:val="73R"/>
              <w:rPr>
                <w:rtl/>
              </w:rPr>
            </w:pPr>
          </w:p>
        </w:tc>
        <w:tc>
          <w:tcPr>
            <w:tcW w:w="1226" w:type="dxa"/>
          </w:tcPr>
          <w:p w:rsidR="00723D96" w:rsidRPr="00723D96" w:rsidP="00723D96" w14:paraId="3BC222CC" w14:textId="77777777">
            <w:pPr>
              <w:pStyle w:val="73R"/>
              <w:rPr>
                <w:rtl/>
              </w:rPr>
            </w:pPr>
          </w:p>
        </w:tc>
        <w:tc>
          <w:tcPr>
            <w:tcW w:w="283" w:type="dxa"/>
          </w:tcPr>
          <w:p w:rsidR="00723D96" w:rsidRPr="00723D96" w:rsidP="00723D96" w14:paraId="21BDC3B4" w14:textId="77777777">
            <w:pPr>
              <w:pStyle w:val="73R"/>
              <w:rPr>
                <w:rtl/>
              </w:rPr>
            </w:pPr>
          </w:p>
        </w:tc>
        <w:tc>
          <w:tcPr>
            <w:tcW w:w="2224" w:type="dxa"/>
          </w:tcPr>
          <w:p w:rsidR="00723D96" w:rsidRPr="00723D96" w:rsidP="00723D96" w14:paraId="4112F686" w14:textId="473B02DD">
            <w:pPr>
              <w:pStyle w:val="73R"/>
              <w:rPr>
                <w:rtl/>
              </w:rPr>
            </w:pPr>
          </w:p>
        </w:tc>
      </w:tr>
      <w:tr w14:paraId="5485CFF5" w14:textId="77777777" w:rsidTr="00723D96">
        <w:tblPrEx>
          <w:tblW w:w="0" w:type="auto"/>
          <w:tblLook w:val="04A0"/>
        </w:tblPrEx>
        <w:trPr>
          <w:trHeight w:val="22"/>
        </w:trPr>
        <w:tc>
          <w:tcPr>
            <w:tcW w:w="1871" w:type="dxa"/>
            <w:shd w:val="clear" w:color="auto" w:fill="DFECEF"/>
          </w:tcPr>
          <w:p w:rsidR="00723D96" w:rsidRPr="00723D96" w:rsidP="00723D96" w14:paraId="54C3EB3D" w14:textId="243B9965">
            <w:pPr>
              <w:pStyle w:val="73R"/>
            </w:pPr>
            <w:r>
              <w:rPr>
                <w:rFonts w:hint="cs"/>
                <w:rtl/>
              </w:rPr>
              <w:t xml:space="preserve">התחייבות אופציית </w:t>
            </w:r>
            <w:r>
              <w:t>PUT</w:t>
            </w:r>
          </w:p>
        </w:tc>
        <w:tc>
          <w:tcPr>
            <w:tcW w:w="274" w:type="dxa"/>
          </w:tcPr>
          <w:p w:rsidR="00723D96" w:rsidRPr="00723D96" w:rsidP="00723D96" w14:paraId="7B245E0B" w14:textId="77777777">
            <w:pPr>
              <w:pStyle w:val="73R"/>
              <w:rPr>
                <w:rtl/>
              </w:rPr>
            </w:pPr>
          </w:p>
        </w:tc>
        <w:tc>
          <w:tcPr>
            <w:tcW w:w="1227" w:type="dxa"/>
            <w:shd w:val="clear" w:color="auto" w:fill="DFECEF"/>
          </w:tcPr>
          <w:p w:rsidR="00723D96" w:rsidRPr="00723D96" w:rsidP="00723D96" w14:paraId="3D38D8DD" w14:textId="35A0C7E7">
            <w:pPr>
              <w:pStyle w:val="73R"/>
              <w:rPr>
                <w:rtl/>
              </w:rPr>
            </w:pPr>
            <w:r>
              <w:rPr>
                <w:rFonts w:hint="cs"/>
                <w:rtl/>
              </w:rPr>
              <w:t>(99)</w:t>
            </w:r>
          </w:p>
        </w:tc>
        <w:tc>
          <w:tcPr>
            <w:tcW w:w="1226" w:type="dxa"/>
            <w:shd w:val="clear" w:color="auto" w:fill="DFECEF"/>
          </w:tcPr>
          <w:p w:rsidR="00723D96" w:rsidRPr="00723D96" w:rsidP="00723D96" w14:paraId="48E45C58" w14:textId="4A2B9A0F">
            <w:pPr>
              <w:pStyle w:val="73R"/>
              <w:rPr>
                <w:rtl/>
              </w:rPr>
            </w:pPr>
            <w:r>
              <w:rPr>
                <w:rFonts w:hint="cs"/>
                <w:rtl/>
              </w:rPr>
              <w:t>(122)</w:t>
            </w:r>
          </w:p>
        </w:tc>
        <w:tc>
          <w:tcPr>
            <w:tcW w:w="283" w:type="dxa"/>
          </w:tcPr>
          <w:p w:rsidR="00723D96" w:rsidRPr="00723D96" w:rsidP="00723D96" w14:paraId="7BB76F70" w14:textId="77777777">
            <w:pPr>
              <w:pStyle w:val="73R"/>
              <w:rPr>
                <w:rtl/>
              </w:rPr>
            </w:pPr>
          </w:p>
        </w:tc>
        <w:tc>
          <w:tcPr>
            <w:tcW w:w="2224" w:type="dxa"/>
            <w:shd w:val="clear" w:color="auto" w:fill="DFECEF"/>
          </w:tcPr>
          <w:p w:rsidR="00723D96" w:rsidRPr="00723D96" w:rsidP="00723D96" w14:paraId="7B93147C" w14:textId="4C81300D">
            <w:pPr>
              <w:pStyle w:val="73R"/>
              <w:rPr>
                <w:rtl/>
              </w:rPr>
            </w:pPr>
            <w:r>
              <w:rPr>
                <w:rFonts w:hint="cs"/>
                <w:rtl/>
              </w:rPr>
              <w:t>(7)</w:t>
            </w:r>
          </w:p>
        </w:tc>
      </w:tr>
      <w:tr w14:paraId="105E2144" w14:textId="77777777" w:rsidTr="00723D96">
        <w:tblPrEx>
          <w:tblW w:w="0" w:type="auto"/>
          <w:tblLook w:val="04A0"/>
        </w:tblPrEx>
        <w:trPr>
          <w:trHeight w:val="22"/>
        </w:trPr>
        <w:tc>
          <w:tcPr>
            <w:tcW w:w="1871" w:type="dxa"/>
            <w:shd w:val="clear" w:color="auto" w:fill="F0F8F9"/>
          </w:tcPr>
          <w:p w:rsidR="00723D96" w:rsidP="00723D96" w14:paraId="4AD5F478" w14:textId="107A438A">
            <w:pPr>
              <w:pStyle w:val="73R"/>
              <w:rPr>
                <w:rtl/>
              </w:rPr>
            </w:pPr>
            <w:r>
              <w:rPr>
                <w:rFonts w:hint="cs"/>
                <w:rtl/>
              </w:rPr>
              <w:t>התחייבות לבעלי מניות</w:t>
            </w:r>
          </w:p>
        </w:tc>
        <w:tc>
          <w:tcPr>
            <w:tcW w:w="274" w:type="dxa"/>
          </w:tcPr>
          <w:p w:rsidR="00723D96" w:rsidRPr="00723D96" w:rsidP="00723D96" w14:paraId="0D1082A7" w14:textId="77777777">
            <w:pPr>
              <w:pStyle w:val="73R"/>
              <w:rPr>
                <w:rtl/>
              </w:rPr>
            </w:pPr>
          </w:p>
        </w:tc>
        <w:tc>
          <w:tcPr>
            <w:tcW w:w="1227" w:type="dxa"/>
            <w:shd w:val="clear" w:color="auto" w:fill="F0F8F9"/>
          </w:tcPr>
          <w:p w:rsidR="00723D96" w:rsidP="00723D96" w14:paraId="4D70F917" w14:textId="77777777">
            <w:pPr>
              <w:pStyle w:val="73R"/>
              <w:rPr>
                <w:rtl/>
              </w:rPr>
            </w:pPr>
          </w:p>
        </w:tc>
        <w:tc>
          <w:tcPr>
            <w:tcW w:w="1226" w:type="dxa"/>
            <w:shd w:val="clear" w:color="auto" w:fill="F0F8F9"/>
          </w:tcPr>
          <w:p w:rsidR="00723D96" w:rsidP="00723D96" w14:paraId="0210B895" w14:textId="77777777">
            <w:pPr>
              <w:pStyle w:val="73R"/>
              <w:rPr>
                <w:rtl/>
              </w:rPr>
            </w:pPr>
          </w:p>
        </w:tc>
        <w:tc>
          <w:tcPr>
            <w:tcW w:w="283" w:type="dxa"/>
          </w:tcPr>
          <w:p w:rsidR="00723D96" w:rsidRPr="00723D96" w:rsidP="00723D96" w14:paraId="5685DBB5" w14:textId="77777777">
            <w:pPr>
              <w:pStyle w:val="73R"/>
              <w:rPr>
                <w:rtl/>
              </w:rPr>
            </w:pPr>
          </w:p>
        </w:tc>
        <w:tc>
          <w:tcPr>
            <w:tcW w:w="2224" w:type="dxa"/>
            <w:shd w:val="clear" w:color="auto" w:fill="F0F8F9"/>
          </w:tcPr>
          <w:p w:rsidR="00723D96" w:rsidP="00723D96" w14:paraId="684A95B5" w14:textId="2CCAA916">
            <w:pPr>
              <w:pStyle w:val="73R"/>
              <w:rPr>
                <w:rtl/>
              </w:rPr>
            </w:pPr>
            <w:r>
              <w:rPr>
                <w:rFonts w:hint="cs"/>
                <w:rtl/>
              </w:rPr>
              <w:t>(463)</w:t>
            </w:r>
          </w:p>
        </w:tc>
      </w:tr>
      <w:tr w14:paraId="7850622D" w14:textId="77777777" w:rsidTr="00723D96">
        <w:tblPrEx>
          <w:tblW w:w="0" w:type="auto"/>
          <w:tblLook w:val="04A0"/>
        </w:tblPrEx>
        <w:trPr>
          <w:trHeight w:val="22"/>
        </w:trPr>
        <w:tc>
          <w:tcPr>
            <w:tcW w:w="1871" w:type="dxa"/>
            <w:shd w:val="clear" w:color="auto" w:fill="DFECEF"/>
          </w:tcPr>
          <w:p w:rsidR="00723D96" w:rsidRPr="00723D96" w:rsidP="00723D96" w14:paraId="062EDF62" w14:textId="766D9234">
            <w:pPr>
              <w:pStyle w:val="73R"/>
              <w:rPr>
                <w:b/>
                <w:bCs/>
                <w:rtl/>
              </w:rPr>
            </w:pPr>
            <w:r w:rsidRPr="00723D96">
              <w:rPr>
                <w:rFonts w:hint="cs"/>
                <w:b/>
                <w:bCs/>
                <w:rtl/>
              </w:rPr>
              <w:t>סה״כ</w:t>
            </w:r>
          </w:p>
        </w:tc>
        <w:tc>
          <w:tcPr>
            <w:tcW w:w="274" w:type="dxa"/>
          </w:tcPr>
          <w:p w:rsidR="00723D96" w:rsidRPr="00723D96" w:rsidP="00723D96" w14:paraId="4F3C767C" w14:textId="77777777">
            <w:pPr>
              <w:pStyle w:val="73R"/>
              <w:rPr>
                <w:b/>
                <w:bCs/>
                <w:rtl/>
              </w:rPr>
            </w:pPr>
          </w:p>
        </w:tc>
        <w:tc>
          <w:tcPr>
            <w:tcW w:w="1227" w:type="dxa"/>
            <w:shd w:val="clear" w:color="auto" w:fill="DFECEF"/>
          </w:tcPr>
          <w:p w:rsidR="00723D96" w:rsidRPr="00723D96" w:rsidP="00723D96" w14:paraId="5D9A629D" w14:textId="3C80E875">
            <w:pPr>
              <w:pStyle w:val="73R"/>
              <w:rPr>
                <w:b/>
                <w:bCs/>
                <w:rtl/>
              </w:rPr>
            </w:pPr>
            <w:r w:rsidRPr="00723D96">
              <w:rPr>
                <w:rFonts w:hint="cs"/>
                <w:b/>
                <w:bCs/>
                <w:rtl/>
              </w:rPr>
              <w:t>421</w:t>
            </w:r>
          </w:p>
        </w:tc>
        <w:tc>
          <w:tcPr>
            <w:tcW w:w="1226" w:type="dxa"/>
            <w:shd w:val="clear" w:color="auto" w:fill="DFECEF"/>
          </w:tcPr>
          <w:p w:rsidR="00723D96" w:rsidRPr="00723D96" w:rsidP="00723D96" w14:paraId="06C60CA3" w14:textId="598BCD3A">
            <w:pPr>
              <w:pStyle w:val="73R"/>
              <w:rPr>
                <w:b/>
                <w:bCs/>
                <w:rtl/>
              </w:rPr>
            </w:pPr>
            <w:r w:rsidRPr="00723D96">
              <w:rPr>
                <w:rFonts w:hint="cs"/>
                <w:b/>
                <w:bCs/>
                <w:rtl/>
              </w:rPr>
              <w:t>198</w:t>
            </w:r>
          </w:p>
        </w:tc>
        <w:tc>
          <w:tcPr>
            <w:tcW w:w="283" w:type="dxa"/>
          </w:tcPr>
          <w:p w:rsidR="00723D96" w:rsidRPr="00723D96" w:rsidP="00723D96" w14:paraId="76DF7665" w14:textId="77777777">
            <w:pPr>
              <w:pStyle w:val="73R"/>
              <w:rPr>
                <w:b/>
                <w:bCs/>
                <w:rtl/>
              </w:rPr>
            </w:pPr>
          </w:p>
        </w:tc>
        <w:tc>
          <w:tcPr>
            <w:tcW w:w="2224" w:type="dxa"/>
            <w:shd w:val="clear" w:color="auto" w:fill="DFECEF"/>
          </w:tcPr>
          <w:p w:rsidR="00723D96" w:rsidRPr="00723D96" w:rsidP="00723D96" w14:paraId="75CDEED5" w14:textId="10EA0143">
            <w:pPr>
              <w:pStyle w:val="73R"/>
              <w:rPr>
                <w:b/>
                <w:bCs/>
                <w:rtl/>
              </w:rPr>
            </w:pPr>
            <w:r w:rsidRPr="00723D96">
              <w:rPr>
                <w:rFonts w:hint="cs"/>
                <w:b/>
                <w:bCs/>
                <w:rtl/>
              </w:rPr>
              <w:t>115</w:t>
            </w:r>
          </w:p>
        </w:tc>
      </w:tr>
    </w:tbl>
    <w:p w:rsidR="00C149B0" w:rsidRPr="00C40BC8" w:rsidP="00C40BC8" w14:paraId="65B5B2A2" w14:textId="77777777">
      <w:pPr>
        <w:pStyle w:val="734"/>
        <w:rPr>
          <w:rtl/>
        </w:rPr>
      </w:pPr>
      <w:r w:rsidRPr="00C40BC8">
        <w:rPr>
          <w:rFonts w:hint="cs"/>
          <w:b w:val="0"/>
          <w:bCs w:val="0"/>
          <w:rtl/>
        </w:rPr>
        <w:t>תרשים 28:</w:t>
      </w:r>
      <w:r w:rsidRPr="00C40BC8">
        <w:rPr>
          <w:rFonts w:hint="cs"/>
          <w:rtl/>
        </w:rPr>
        <w:t xml:space="preserve"> יתרת ערכה בספרים של ההשקעה </w:t>
      </w:r>
      <w:r w:rsidRPr="00C40BC8">
        <w:rPr>
          <w:rFonts w:hint="cs"/>
          <w:rtl/>
        </w:rPr>
        <w:t>באירונאוטיקס</w:t>
      </w:r>
      <w:r w:rsidRPr="00C40BC8">
        <w:rPr>
          <w:rFonts w:hint="cs"/>
          <w:rtl/>
        </w:rPr>
        <w:t xml:space="preserve"> נטו</w:t>
      </w:r>
      <w:r>
        <w:rPr>
          <w:rStyle w:val="FootnoteReference0"/>
          <w:rtl/>
        </w:rPr>
        <w:footnoteReference w:id="73"/>
      </w:r>
      <w:r w:rsidRPr="00C40BC8">
        <w:rPr>
          <w:rFonts w:hint="cs"/>
          <w:rtl/>
        </w:rPr>
        <w:t xml:space="preserve"> </w:t>
      </w:r>
      <w:r w:rsidRPr="00C40BC8">
        <w:rPr>
          <w:rtl/>
        </w:rPr>
        <w:br/>
      </w:r>
      <w:r w:rsidRPr="00C40BC8">
        <w:rPr>
          <w:rFonts w:hint="cs"/>
          <w:rtl/>
        </w:rPr>
        <w:t>מיום הרכישה ועד 31.12.21 (במיליוני ש"ח)</w:t>
      </w:r>
    </w:p>
    <w:p w:rsidR="00C149B0" w:rsidP="00C149B0" w14:paraId="0692E12C" w14:textId="17DC5649">
      <w:pPr>
        <w:spacing w:line="269" w:lineRule="auto"/>
        <w:jc w:val="center"/>
        <w:rPr>
          <w:szCs w:val="20"/>
          <w:rtl/>
        </w:rPr>
      </w:pPr>
      <w:r>
        <w:rPr>
          <w:noProof/>
          <w:szCs w:val="20"/>
          <w:rtl/>
          <w:lang w:val="he-IL"/>
        </w:rPr>
        <w:drawing>
          <wp:inline distT="0" distB="0" distL="0" distR="0">
            <wp:extent cx="3684877" cy="1968815"/>
            <wp:effectExtent l="0" t="0" r="0" b="0"/>
            <wp:docPr id="42" name="תמונה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תמונה 42"/>
                    <pic:cNvPicPr/>
                  </pic:nvPicPr>
                  <pic:blipFill>
                    <a:blip xmlns:r="http://schemas.openxmlformats.org/officeDocument/2006/relationships" r:embed="rId56">
                      <a:extLst>
                        <a:ext xmlns:a="http://schemas.openxmlformats.org/drawingml/2006/main" uri="{28A0092B-C50C-407E-A947-70E740481C1C}">
                          <a14:useLocalDpi xmlns:a14="http://schemas.microsoft.com/office/drawing/2010/main" val="0"/>
                        </a:ext>
                      </a:extLst>
                    </a:blip>
                    <a:stretch>
                      <a:fillRect/>
                    </a:stretch>
                  </pic:blipFill>
                  <pic:spPr>
                    <a:xfrm>
                      <a:off x="0" y="0"/>
                      <a:ext cx="3700439" cy="1977129"/>
                    </a:xfrm>
                    <a:prstGeom prst="rect">
                      <a:avLst/>
                    </a:prstGeom>
                  </pic:spPr>
                </pic:pic>
              </a:graphicData>
            </a:graphic>
          </wp:inline>
        </w:drawing>
      </w:r>
    </w:p>
    <w:p w:rsidR="00C149B0" w:rsidRPr="00C40BC8" w:rsidP="00C40BC8" w14:paraId="4BD5132D" w14:textId="77777777">
      <w:pPr>
        <w:pStyle w:val="738"/>
        <w:rPr>
          <w:rtl/>
        </w:rPr>
      </w:pPr>
      <w:r w:rsidRPr="00C40BC8">
        <w:rPr>
          <w:rFonts w:hint="eastAsia"/>
          <w:rtl/>
        </w:rPr>
        <w:t>על</w:t>
      </w:r>
      <w:r w:rsidRPr="00C40BC8">
        <w:rPr>
          <w:rtl/>
        </w:rPr>
        <w:t xml:space="preserve"> </w:t>
      </w:r>
      <w:r w:rsidRPr="00C40BC8">
        <w:rPr>
          <w:rFonts w:hint="eastAsia"/>
          <w:rtl/>
        </w:rPr>
        <w:t>פי</w:t>
      </w:r>
      <w:r w:rsidRPr="00C40BC8">
        <w:rPr>
          <w:rtl/>
        </w:rPr>
        <w:t xml:space="preserve"> </w:t>
      </w:r>
      <w:r w:rsidRPr="00C40BC8">
        <w:rPr>
          <w:rFonts w:hint="eastAsia"/>
          <w:rtl/>
        </w:rPr>
        <w:t>נתוני</w:t>
      </w:r>
      <w:r w:rsidRPr="00C40BC8">
        <w:rPr>
          <w:rtl/>
        </w:rPr>
        <w:t xml:space="preserve"> </w:t>
      </w:r>
      <w:r w:rsidRPr="00C40BC8">
        <w:rPr>
          <w:rFonts w:hint="eastAsia"/>
          <w:rtl/>
        </w:rPr>
        <w:t>רפאל</w:t>
      </w:r>
      <w:r w:rsidRPr="00C40BC8">
        <w:rPr>
          <w:rtl/>
        </w:rPr>
        <w:t xml:space="preserve">, </w:t>
      </w:r>
      <w:r w:rsidRPr="00C40BC8">
        <w:rPr>
          <w:rFonts w:hint="eastAsia"/>
          <w:rtl/>
        </w:rPr>
        <w:t>בעיבוד</w:t>
      </w:r>
      <w:r w:rsidRPr="00C40BC8">
        <w:rPr>
          <w:rtl/>
        </w:rPr>
        <w:t xml:space="preserve"> </w:t>
      </w:r>
      <w:r w:rsidRPr="00C40BC8">
        <w:rPr>
          <w:rFonts w:hint="eastAsia"/>
          <w:rtl/>
        </w:rPr>
        <w:t>משרד</w:t>
      </w:r>
      <w:r w:rsidRPr="00C40BC8">
        <w:rPr>
          <w:rtl/>
        </w:rPr>
        <w:t xml:space="preserve"> </w:t>
      </w:r>
      <w:r w:rsidRPr="00C40BC8">
        <w:rPr>
          <w:rFonts w:hint="eastAsia"/>
          <w:rtl/>
        </w:rPr>
        <w:t>מבקר</w:t>
      </w:r>
      <w:r w:rsidRPr="00C40BC8">
        <w:rPr>
          <w:rtl/>
        </w:rPr>
        <w:t xml:space="preserve"> </w:t>
      </w:r>
      <w:r w:rsidRPr="00C40BC8">
        <w:rPr>
          <w:rFonts w:hint="eastAsia"/>
          <w:rtl/>
        </w:rPr>
        <w:t>המדינה</w:t>
      </w:r>
      <w:r w:rsidRPr="00C40BC8">
        <w:rPr>
          <w:rFonts w:hint="cs"/>
          <w:rtl/>
        </w:rPr>
        <w:t>.</w:t>
      </w:r>
    </w:p>
    <w:p w:rsidR="00C149B0" w:rsidRPr="00C40BC8" w:rsidP="00C40BC8" w14:paraId="484D760C" w14:textId="61D75EFA">
      <w:pPr>
        <w:pStyle w:val="7318"/>
        <w:rPr>
          <w:rtl/>
        </w:rPr>
      </w:pPr>
      <w:r w:rsidRPr="00C40BC8">
        <w:rPr>
          <w:rFonts w:hint="cs"/>
          <w:rtl/>
        </w:rPr>
        <w:t xml:space="preserve">מהנתונים בלוח ובתרשים עולה כי ערכה בספרים של ההשקעה של רפאל </w:t>
      </w:r>
      <w:r w:rsidRPr="00C40BC8">
        <w:rPr>
          <w:rFonts w:hint="cs"/>
          <w:rtl/>
        </w:rPr>
        <w:t>באירונאוטיקס</w:t>
      </w:r>
      <w:r w:rsidRPr="00C40BC8">
        <w:rPr>
          <w:rFonts w:hint="cs"/>
          <w:rtl/>
        </w:rPr>
        <w:t xml:space="preserve"> ירד ממועד הרכישה (ספטמבר 2019) ועד ל-31.12.21 בכ-306 מיליון ש"ח. מנתוני רפאל עולה כי עיקר ירידת הערך (כ-65% ממנה) נובע מהפחתת עודפי עלות (בסך של 176 מיליון ש"ח) ומהפסדים שוטפים נטו של </w:t>
      </w:r>
      <w:r w:rsidRPr="00C40BC8">
        <w:rPr>
          <w:rFonts w:hint="cs"/>
          <w:rtl/>
        </w:rPr>
        <w:t>אירונאוטיקס</w:t>
      </w:r>
      <w:r w:rsidRPr="00C40BC8">
        <w:rPr>
          <w:rFonts w:hint="cs"/>
          <w:rtl/>
        </w:rPr>
        <w:t xml:space="preserve"> בתקופה זו</w:t>
      </w:r>
      <w:r w:rsidR="00C40BC8">
        <w:t xml:space="preserve"> </w:t>
      </w:r>
      <w:r w:rsidRPr="00C40BC8">
        <w:rPr>
          <w:rFonts w:hint="cs"/>
          <w:rtl/>
        </w:rPr>
        <w:t>(כ-24 מיליון ש"ח)</w:t>
      </w:r>
      <w:r>
        <w:rPr>
          <w:rStyle w:val="FootnoteReference0"/>
          <w:rtl/>
        </w:rPr>
        <w:footnoteReference w:id="74"/>
      </w:r>
      <w:r w:rsidRPr="00C40BC8">
        <w:rPr>
          <w:rFonts w:hint="cs"/>
          <w:rtl/>
        </w:rPr>
        <w:t>.</w:t>
      </w:r>
    </w:p>
    <w:p w:rsidR="00C149B0" w:rsidRPr="00C40BC8" w:rsidP="00C40BC8" w14:paraId="5EB675E3" w14:textId="77777777">
      <w:pPr>
        <w:pStyle w:val="7392"/>
        <w:rPr>
          <w:rtl/>
        </w:rPr>
      </w:pPr>
      <w:r w:rsidRPr="00C40BC8">
        <w:rPr>
          <w:rFonts w:hint="cs"/>
          <w:rtl/>
        </w:rPr>
        <w:t xml:space="preserve">בתגובתה של רפאל על ממצאי הביקורת היא ציינה כי </w:t>
      </w:r>
      <w:r w:rsidRPr="00C40BC8">
        <w:rPr>
          <w:rtl/>
        </w:rPr>
        <w:t xml:space="preserve">קיים מעקב שוטף של ההנהלה ושל הדירקטוריון אחרי ביצועיה העסקיים של </w:t>
      </w:r>
      <w:r w:rsidRPr="00C40BC8">
        <w:rPr>
          <w:rtl/>
        </w:rPr>
        <w:t>אירונאוטיקס</w:t>
      </w:r>
      <w:r w:rsidRPr="00C40BC8">
        <w:rPr>
          <w:rtl/>
        </w:rPr>
        <w:t>.</w:t>
      </w:r>
    </w:p>
    <w:p w:rsidR="00C149B0" w:rsidP="00C40BC8" w14:paraId="18D562E7" w14:textId="77777777">
      <w:pPr>
        <w:pStyle w:val="7318"/>
        <w:rPr>
          <w:rtl/>
        </w:rPr>
      </w:pPr>
      <w:r w:rsidRPr="00D94367">
        <w:rPr>
          <w:rFonts w:hint="cs"/>
          <w:rtl/>
        </w:rPr>
        <w:t xml:space="preserve">נוכח </w:t>
      </w:r>
      <w:r>
        <w:rPr>
          <w:rFonts w:hint="cs"/>
          <w:rtl/>
        </w:rPr>
        <w:t xml:space="preserve">הירידה בערכה בספרים של ההשקעה </w:t>
      </w:r>
      <w:r>
        <w:rPr>
          <w:rFonts w:hint="cs"/>
          <w:rtl/>
        </w:rPr>
        <w:t>באירונאוטיקס</w:t>
      </w:r>
      <w:r w:rsidRPr="00D94367">
        <w:rPr>
          <w:rFonts w:hint="cs"/>
          <w:rtl/>
        </w:rPr>
        <w:t>, מומלץ כי הנהלת רפאל</w:t>
      </w:r>
      <w:r>
        <w:rPr>
          <w:rFonts w:hint="cs"/>
          <w:rtl/>
        </w:rPr>
        <w:t xml:space="preserve"> ודירקטוריון החברה ימשיכו לעקוב אחר ביצועיה ואחר מידת העמידה ביעדי רכישתה.</w:t>
      </w:r>
      <w:r w:rsidRPr="00D94367">
        <w:rPr>
          <w:rFonts w:hint="cs"/>
          <w:rtl/>
        </w:rPr>
        <w:t xml:space="preserve"> </w:t>
      </w:r>
    </w:p>
    <w:p w:rsidR="00C149B0" w:rsidRPr="00F634A4" w:rsidP="00325EA5" w14:paraId="4D3FFECD" w14:textId="77777777">
      <w:pPr>
        <w:pStyle w:val="7329"/>
        <w:bidi/>
        <w:jc w:val="left"/>
        <w:rPr>
          <w:rtl/>
        </w:rPr>
      </w:pPr>
      <w:bookmarkStart w:id="28" w:name="_Toc115616207"/>
      <w:r w:rsidRPr="00F634A4">
        <w:rPr>
          <w:rFonts w:hint="cs"/>
          <w:rtl/>
        </w:rPr>
        <w:t>היבטים בממשל תאגידי</w:t>
      </w:r>
      <w:bookmarkEnd w:id="28"/>
    </w:p>
    <w:p w:rsidR="00C149B0" w:rsidRPr="00F634A4" w:rsidP="00F634A4" w14:paraId="2B1ED1DF" w14:textId="5A0B2852">
      <w:pPr>
        <w:pStyle w:val="7392"/>
        <w:rPr>
          <w:rtl/>
        </w:rPr>
      </w:pPr>
      <w:r w:rsidRPr="00F634A4">
        <w:rPr>
          <w:rtl/>
        </w:rPr>
        <w:t>רשות החברות הממשלתיות הוקמה על פי חוק החברות הממשלתיו</w:t>
      </w:r>
      <w:r w:rsidRPr="00F634A4">
        <w:rPr>
          <w:rFonts w:hint="cs"/>
          <w:rtl/>
        </w:rPr>
        <w:t xml:space="preserve">ת, ובין </w:t>
      </w:r>
      <w:r w:rsidRPr="00F634A4">
        <w:rPr>
          <w:rtl/>
        </w:rPr>
        <w:t>תפקידי</w:t>
      </w:r>
      <w:r w:rsidRPr="00F634A4">
        <w:rPr>
          <w:rFonts w:hint="cs"/>
          <w:rtl/>
        </w:rPr>
        <w:t xml:space="preserve">ה </w:t>
      </w:r>
      <w:r w:rsidRPr="00F634A4">
        <w:rPr>
          <w:rtl/>
        </w:rPr>
        <w:t>-</w:t>
      </w:r>
      <w:r w:rsidRPr="00F634A4">
        <w:rPr>
          <w:rStyle w:val="default"/>
          <w:rtl/>
        </w:rPr>
        <w:t xml:space="preserve"> לייעץ לממשלה ולשרים בעניינים הנוגעים לחברות הממשלתיות; לטפל לפי הנחיות הממשלה בענ</w:t>
      </w:r>
      <w:r w:rsidRPr="00F634A4">
        <w:rPr>
          <w:rStyle w:val="default"/>
          <w:rFonts w:hint="cs"/>
          <w:rtl/>
        </w:rPr>
        <w:t>י</w:t>
      </w:r>
      <w:r w:rsidRPr="00F634A4">
        <w:rPr>
          <w:rStyle w:val="default"/>
          <w:rtl/>
        </w:rPr>
        <w:t xml:space="preserve">ינים המשותפים לכלל החברות הממשלתיות או לסוגי חברות; לייעץ ולסייע לחברות הממשלתיות בניהול עסקיהן; לעקוב ברציפות אחרי הפעילות של כל אחת מן החברות הממשלתיות </w:t>
      </w:r>
      <w:r w:rsidRPr="00F634A4">
        <w:rPr>
          <w:rStyle w:val="default"/>
          <w:rFonts w:hint="cs"/>
          <w:rtl/>
        </w:rPr>
        <w:t xml:space="preserve">ואחר מידת </w:t>
      </w:r>
      <w:r w:rsidRPr="00F634A4">
        <w:rPr>
          <w:rStyle w:val="default"/>
          <w:rtl/>
        </w:rPr>
        <w:t xml:space="preserve">הגשמת מטרותיה, מהלך עסקיה, מצבה הכספי ומדיניות השכר שלה, </w:t>
      </w:r>
      <w:r w:rsidRPr="00F634A4">
        <w:rPr>
          <w:rStyle w:val="default"/>
          <w:rFonts w:hint="cs"/>
          <w:rtl/>
        </w:rPr>
        <w:t>ולדווח לשרים</w:t>
      </w:r>
      <w:r w:rsidRPr="00F634A4">
        <w:rPr>
          <w:rStyle w:val="default"/>
          <w:rtl/>
        </w:rPr>
        <w:t xml:space="preserve"> על ממצאיה; ולבדוק את הדוחות </w:t>
      </w:r>
      <w:r w:rsidRPr="00F634A4">
        <w:rPr>
          <w:rStyle w:val="default"/>
          <w:rFonts w:hint="cs"/>
          <w:rtl/>
        </w:rPr>
        <w:t xml:space="preserve">שמגישות לה </w:t>
      </w:r>
      <w:r w:rsidRPr="00F634A4">
        <w:rPr>
          <w:rStyle w:val="default"/>
          <w:rtl/>
        </w:rPr>
        <w:t>חבר</w:t>
      </w:r>
      <w:r w:rsidRPr="00F634A4">
        <w:rPr>
          <w:rStyle w:val="default"/>
          <w:rFonts w:hint="cs"/>
          <w:rtl/>
        </w:rPr>
        <w:t>ות</w:t>
      </w:r>
      <w:r w:rsidRPr="00F634A4">
        <w:rPr>
          <w:rStyle w:val="default"/>
          <w:rtl/>
        </w:rPr>
        <w:t xml:space="preserve"> ממשלתי</w:t>
      </w:r>
      <w:r w:rsidRPr="00F634A4">
        <w:rPr>
          <w:rStyle w:val="default"/>
          <w:rFonts w:hint="cs"/>
          <w:rtl/>
        </w:rPr>
        <w:t>ו</w:t>
      </w:r>
      <w:r w:rsidRPr="00F634A4">
        <w:rPr>
          <w:rStyle w:val="default"/>
          <w:rtl/>
        </w:rPr>
        <w:t>ת ואת החומר שעליו הם מבוססים, ול</w:t>
      </w:r>
      <w:r w:rsidRPr="00F634A4">
        <w:rPr>
          <w:rStyle w:val="default"/>
          <w:rFonts w:hint="cs"/>
          <w:rtl/>
        </w:rPr>
        <w:t xml:space="preserve">הגיש לחברה ולשרים את </w:t>
      </w:r>
      <w:r w:rsidRPr="00F634A4">
        <w:rPr>
          <w:rStyle w:val="default"/>
          <w:rtl/>
        </w:rPr>
        <w:t xml:space="preserve">הערותיה </w:t>
      </w:r>
      <w:r w:rsidRPr="00F634A4">
        <w:rPr>
          <w:rStyle w:val="default"/>
          <w:rFonts w:hint="cs"/>
          <w:rtl/>
        </w:rPr>
        <w:t>על הדוחות</w:t>
      </w:r>
      <w:r w:rsidRPr="00F634A4">
        <w:rPr>
          <w:rtl/>
        </w:rPr>
        <w:t xml:space="preserve">. </w:t>
      </w:r>
    </w:p>
    <w:p w:rsidR="00C149B0" w:rsidRPr="00F634A4" w:rsidP="00F634A4" w14:paraId="586611DB" w14:textId="77777777">
      <w:pPr>
        <w:pStyle w:val="7392"/>
      </w:pPr>
      <w:r w:rsidRPr="00F634A4">
        <w:rPr>
          <w:rFonts w:hint="cs"/>
          <w:rtl/>
        </w:rPr>
        <w:t>בדוחותיה הכספיים של רפאל נכתב</w:t>
      </w:r>
      <w:r>
        <w:rPr>
          <w:rStyle w:val="FootnoteReference0"/>
          <w:rtl/>
        </w:rPr>
        <w:footnoteReference w:id="75"/>
      </w:r>
      <w:r w:rsidRPr="00F634A4">
        <w:rPr>
          <w:rFonts w:hint="cs"/>
          <w:rtl/>
        </w:rPr>
        <w:t xml:space="preserve"> כי בהיותה חברה בבעלות ממשלתית מלאה חלות עליה הנחיות רשות החברות הממשלתיות. גם בנוהל פנימי של רפאל בנושא "רפאל בע"מ - </w:t>
      </w:r>
      <w:r w:rsidRPr="00F634A4">
        <w:rPr>
          <w:rFonts w:hint="cs"/>
          <w:rtl/>
        </w:rPr>
        <w:t>חזון</w:t>
      </w:r>
      <w:r w:rsidRPr="00F634A4">
        <w:rPr>
          <w:rFonts w:hint="cs"/>
          <w:rtl/>
        </w:rPr>
        <w:t>, ייעוד ומבנה"</w:t>
      </w:r>
      <w:r>
        <w:rPr>
          <w:rStyle w:val="FootnoteReference0"/>
          <w:rtl/>
        </w:rPr>
        <w:footnoteReference w:id="76"/>
      </w:r>
      <w:r w:rsidRPr="00F634A4">
        <w:rPr>
          <w:rFonts w:hint="cs"/>
          <w:rtl/>
        </w:rPr>
        <w:t xml:space="preserve"> נכתב כי רפאל פועלת על פי הוראות רשות החברות הממשלתיות.</w:t>
      </w:r>
    </w:p>
    <w:p w:rsidR="00C149B0" w:rsidRPr="001E7361" w:rsidP="001E7361" w14:paraId="5EC7E116" w14:textId="77777777">
      <w:pPr>
        <w:pStyle w:val="733155"/>
        <w:rPr>
          <w:rtl/>
        </w:rPr>
      </w:pPr>
      <w:bookmarkStart w:id="29" w:name="_Toc115616208"/>
      <w:r w:rsidRPr="001E7361">
        <w:rPr>
          <w:rFonts w:hint="cs"/>
          <w:rtl/>
        </w:rPr>
        <w:t>יעדים פיננסיים שקבעה רשות החברות הממשלתיות לרפאל</w:t>
      </w:r>
      <w:bookmarkEnd w:id="29"/>
    </w:p>
    <w:p w:rsidR="00C149B0" w:rsidRPr="00F634A4" w14:paraId="351303BA" w14:textId="77777777">
      <w:pPr>
        <w:pStyle w:val="735"/>
        <w:numPr>
          <w:ilvl w:val="0"/>
          <w:numId w:val="13"/>
        </w:numPr>
        <w:rPr>
          <w:rtl/>
        </w:rPr>
      </w:pPr>
      <w:r w:rsidRPr="00F634A4">
        <w:rPr>
          <w:rtl/>
        </w:rPr>
        <w:t xml:space="preserve">בשנת 2015 הוציא ארגון </w:t>
      </w:r>
      <w:r w:rsidRPr="00F634A4">
        <w:rPr>
          <w:rFonts w:hint="cs"/>
          <w:rtl/>
        </w:rPr>
        <w:t>ה-</w:t>
      </w:r>
      <w:r w:rsidRPr="00F634A4">
        <w:t>OECD</w:t>
      </w:r>
      <w:r>
        <w:rPr>
          <w:rStyle w:val="FootnoteReference0"/>
          <w:rtl/>
        </w:rPr>
        <w:footnoteReference w:id="77"/>
      </w:r>
      <w:r w:rsidRPr="00F634A4">
        <w:rPr>
          <w:rFonts w:hint="cs"/>
          <w:rtl/>
        </w:rPr>
        <w:t xml:space="preserve"> </w:t>
      </w:r>
      <w:r w:rsidRPr="00F634A4">
        <w:rPr>
          <w:rtl/>
        </w:rPr>
        <w:t>קווים מנחים בנוגע לממשל בחברות</w:t>
      </w:r>
      <w:r w:rsidRPr="00F634A4">
        <w:rPr>
          <w:rFonts w:hint="cs"/>
          <w:rtl/>
        </w:rPr>
        <w:t xml:space="preserve"> </w:t>
      </w:r>
      <w:r w:rsidRPr="00F634A4">
        <w:rPr>
          <w:rtl/>
        </w:rPr>
        <w:t>ממשלתיות</w:t>
      </w:r>
      <w:r>
        <w:rPr>
          <w:vertAlign w:val="superscript"/>
          <w:rtl/>
        </w:rPr>
        <w:footnoteReference w:id="78"/>
      </w:r>
      <w:r w:rsidRPr="00F634A4">
        <w:rPr>
          <w:rtl/>
        </w:rPr>
        <w:t xml:space="preserve"> (להלן - קווים מנחים של ה-</w:t>
      </w:r>
      <w:r w:rsidRPr="00F634A4">
        <w:t>OECD</w:t>
      </w:r>
      <w:r w:rsidRPr="00F634A4">
        <w:rPr>
          <w:rtl/>
        </w:rPr>
        <w:t>).</w:t>
      </w:r>
      <w:r w:rsidRPr="00F634A4">
        <w:rPr>
          <w:rFonts w:hint="cs"/>
          <w:rtl/>
        </w:rPr>
        <w:t xml:space="preserve"> </w:t>
      </w:r>
      <w:r w:rsidRPr="00F634A4">
        <w:rPr>
          <w:rtl/>
        </w:rPr>
        <w:t xml:space="preserve">במסמך נכתב </w:t>
      </w:r>
      <w:r w:rsidRPr="00F634A4">
        <w:rPr>
          <w:rFonts w:hint="cs"/>
          <w:rtl/>
        </w:rPr>
        <w:t xml:space="preserve">כי קשיי הממשל התאגידי נובעים מהעובדה שגורמים שונים, בעלי ניגוד עניינים, מעורבים בנטילת אחריות לביצועי החברות הממשלתיות (ההנהלה, הדירקטוריון, גופים המחזיקים בבעלותם חברות ממשלתיות, משרדי ממשלה, הממשלה והמחוקק); כי על המדינה לפעול כבעלים מיודעים ופעילים וליישם את זכויות הבעלות שלה; כי כאשר חברות ממשלתיות עוסקות בפעילות כלכלית תחרותית אזי הן ישרתו את הציבור על הצד הטוב ביותר בכך שימקסמו את שוויין לטווח הארוך וייצרו זרם נאות של הכנסות לאוצר המדינה. </w:t>
      </w:r>
    </w:p>
    <w:p w:rsidR="00C149B0" w:rsidRPr="00F634A4" w:rsidP="00F634A4" w14:paraId="73CA7D1C" w14:textId="77777777">
      <w:pPr>
        <w:pStyle w:val="7317"/>
        <w:rPr>
          <w:rtl/>
        </w:rPr>
      </w:pPr>
      <w:r w:rsidRPr="00F634A4">
        <w:rPr>
          <w:rFonts w:hint="cs"/>
          <w:rtl/>
        </w:rPr>
        <w:t>עוד נכתב במסמך כי רשות החברות הממשלתיות</w:t>
      </w:r>
      <w:r>
        <w:rPr>
          <w:vertAlign w:val="superscript"/>
          <w:rtl/>
        </w:rPr>
        <w:footnoteReference w:id="79"/>
      </w:r>
      <w:r w:rsidRPr="00F634A4">
        <w:rPr>
          <w:rFonts w:hint="cs"/>
          <w:rtl/>
        </w:rPr>
        <w:t xml:space="preserve"> צריכה לקבוע עבור חברה ממשלתית יעדים תפעוליים, פיננסיים ולא פיננסיים, ולפקח באופן סדיר על יישומם; כי דבר זה יעזור למנוע מצב שבו ניתנת לחברה הממשלתית אוטונומיה "מופרזת" בקביעת יעדיה; כי יעדים אלו יבואו לידי ביטוי כמטרות ספציפיות, כגון יעדים לשיעורי תשואה ומדיניות דיבידנדים; וכי על המדינה לדווח על היעדים ארוכי הטווח של החברה הממשלתית ברמת-העל ולהציג אינדיקטורים בנוגע ליעדיה הכלכליים העיקריים</w:t>
      </w:r>
      <w:r>
        <w:rPr>
          <w:vertAlign w:val="superscript"/>
          <w:rtl/>
        </w:rPr>
        <w:footnoteReference w:id="80"/>
      </w:r>
      <w:r w:rsidRPr="00F634A4">
        <w:rPr>
          <w:rFonts w:hint="cs"/>
          <w:rtl/>
        </w:rPr>
        <w:t xml:space="preserve">. </w:t>
      </w:r>
    </w:p>
    <w:p w:rsidR="00C149B0" w:rsidRPr="00F634A4" w14:paraId="28F484A8" w14:textId="77777777">
      <w:pPr>
        <w:pStyle w:val="735"/>
        <w:numPr>
          <w:ilvl w:val="0"/>
          <w:numId w:val="13"/>
        </w:numPr>
        <w:rPr>
          <w:rtl/>
        </w:rPr>
      </w:pPr>
      <w:r w:rsidRPr="00F634A4">
        <w:rPr>
          <w:rFonts w:hint="cs"/>
          <w:rtl/>
        </w:rPr>
        <w:t xml:space="preserve">בתחילת שנת 2019 התקשרה רשות החברות הממשלתיות עם יועצים אסטרטגיים על מנת לבחון מהלכים שונים למימוש בעלות המדינה על </w:t>
      </w:r>
      <w:r w:rsidRPr="00F634A4">
        <w:rPr>
          <w:rFonts w:hint="eastAsia"/>
          <w:rtl/>
        </w:rPr>
        <w:t>ה</w:t>
      </w:r>
      <w:r w:rsidRPr="00F634A4">
        <w:rPr>
          <w:rFonts w:hint="cs"/>
          <w:rtl/>
        </w:rPr>
        <w:t>חברות הממשלתיות. הבחינה התבססה על מדינות מקרב מדינות ה-</w:t>
      </w:r>
      <w:r w:rsidRPr="00F634A4">
        <w:rPr>
          <w:rFonts w:hint="cs"/>
        </w:rPr>
        <w:t>OECD</w:t>
      </w:r>
      <w:r w:rsidRPr="00F634A4">
        <w:rPr>
          <w:rFonts w:hint="cs"/>
          <w:rtl/>
        </w:rPr>
        <w:t xml:space="preserve"> הדומות במודל ההפעלה שלהן לרשות. הבחינה העלתה </w:t>
      </w:r>
      <w:r w:rsidRPr="00F634A4">
        <w:rPr>
          <w:rFonts w:hint="cs"/>
          <w:rtl/>
        </w:rPr>
        <w:t>את חשיבות קביעת היעדים הפיננסיים לחברות הממשלתיות ואת קיומו של תהליך שנתי סדור בנושא זה, כדי לחזק את אינטרס הבעלות של הרשות כנציגת הבעלים מול החברות</w:t>
      </w:r>
      <w:r>
        <w:rPr>
          <w:vertAlign w:val="superscript"/>
          <w:rtl/>
        </w:rPr>
        <w:footnoteReference w:id="81"/>
      </w:r>
      <w:r w:rsidRPr="00F634A4">
        <w:rPr>
          <w:rFonts w:hint="cs"/>
          <w:rtl/>
        </w:rPr>
        <w:t>.</w:t>
      </w:r>
    </w:p>
    <w:p w:rsidR="00C149B0" w:rsidRPr="00F634A4" w:rsidP="00F634A4" w14:paraId="4791FBFE" w14:textId="77777777">
      <w:pPr>
        <w:pStyle w:val="7317"/>
        <w:rPr>
          <w:rtl/>
        </w:rPr>
      </w:pPr>
      <w:r w:rsidRPr="00F634A4">
        <w:rPr>
          <w:rFonts w:hint="cs"/>
          <w:rtl/>
        </w:rPr>
        <w:t>בספטמבר 2019 העבירה רשות החברות הממשלתיות לרפאל</w:t>
      </w:r>
      <w:r>
        <w:rPr>
          <w:vertAlign w:val="superscript"/>
          <w:rtl/>
        </w:rPr>
        <w:footnoteReference w:id="82"/>
      </w:r>
      <w:r w:rsidRPr="00F634A4">
        <w:rPr>
          <w:rFonts w:hint="cs"/>
          <w:rtl/>
        </w:rPr>
        <w:t xml:space="preserve"> מכתב המפרט את היעדים שנקבעו לחברה למדדים פיננסיים בתחומים - איתנות פיננסית, רווחיות, יעילות תפעולית, צמיחה ותשלומי דיבידנד, שעליה להשיג בתוך חמש שנים</w:t>
      </w:r>
      <w:r>
        <w:rPr>
          <w:vertAlign w:val="superscript"/>
          <w:rtl/>
        </w:rPr>
        <w:footnoteReference w:id="83"/>
      </w:r>
      <w:r w:rsidRPr="00F634A4">
        <w:rPr>
          <w:rFonts w:hint="cs"/>
          <w:rtl/>
        </w:rPr>
        <w:t>. רשות החברות הממשלתיות ציינה במכתבה כי גיבשה יעדים עבור החברות הממשלתיות העיקריות על בסיס תוצאות עסקיות רצויות ב"מצב יציב" בטווח הבינוני והארוך, בהתאם למתודולוגיות ולנתוני שוק מקובלים; כי מטרת היעדים הפיננסיים היא הן לקדם תהליך מתמשך של שיח עם החברות ולשמש אבן דרך לדירקטוריון בחברה בבואו לאשר עסקאות, להתוות מדיניות ולפקח על ההנהלה; והן עבור רשות החברות הממשלתיות בקביעת מדיניות בעלים עבור החברה ובמתן ייעוץ לשרים בנוגע לענייני החברה בהתאם לסמכויותיה בחוק. עוד ציינה הרשות כי המכתב משמש אבן דרך ראשונה ביחס לקביעת המדדים והיעדים הרלוונטיים לשנת 2020; וכי היא מצפה מהחברה לגבש תוכנית עסקית מתאימה, שמטרתה להביא בתוך כמה שנים לעמידה ביעדים אלו, שתכלול ציון אבני דרך ויעדי ביניים לכל מדד</w:t>
      </w:r>
      <w:r>
        <w:rPr>
          <w:vertAlign w:val="superscript"/>
          <w:rtl/>
        </w:rPr>
        <w:footnoteReference w:id="84"/>
      </w:r>
      <w:r w:rsidRPr="00F634A4">
        <w:rPr>
          <w:rFonts w:hint="cs"/>
          <w:rtl/>
        </w:rPr>
        <w:t xml:space="preserve">. </w:t>
      </w:r>
    </w:p>
    <w:p w:rsidR="00C149B0" w:rsidRPr="00F634A4" w:rsidP="00F634A4" w14:paraId="467D2CBE" w14:textId="77777777">
      <w:pPr>
        <w:pStyle w:val="7317"/>
        <w:rPr>
          <w:rtl/>
        </w:rPr>
      </w:pPr>
      <w:r w:rsidRPr="00F634A4">
        <w:rPr>
          <w:rFonts w:hint="cs"/>
          <w:rtl/>
        </w:rPr>
        <w:t xml:space="preserve">רשות החברות הממשלתיות </w:t>
      </w:r>
      <w:r w:rsidRPr="00F634A4">
        <w:rPr>
          <w:rtl/>
        </w:rPr>
        <w:t xml:space="preserve">הנחתה </w:t>
      </w:r>
      <w:r w:rsidRPr="00F634A4">
        <w:rPr>
          <w:rFonts w:hint="cs"/>
          <w:rtl/>
        </w:rPr>
        <w:t xml:space="preserve">את החברה </w:t>
      </w:r>
      <w:r w:rsidRPr="00F634A4">
        <w:rPr>
          <w:rtl/>
        </w:rPr>
        <w:t xml:space="preserve">לקיים </w:t>
      </w:r>
      <w:r w:rsidRPr="00F634A4">
        <w:rPr>
          <w:rFonts w:hint="cs"/>
          <w:rtl/>
        </w:rPr>
        <w:t xml:space="preserve">בתוך 30 יום </w:t>
      </w:r>
      <w:r w:rsidRPr="00F634A4">
        <w:rPr>
          <w:rtl/>
        </w:rPr>
        <w:t>דיון עקרוני בנושא בדירקטוריון</w:t>
      </w:r>
      <w:r w:rsidRPr="00F634A4">
        <w:rPr>
          <w:rFonts w:hint="cs"/>
          <w:rtl/>
        </w:rPr>
        <w:t xml:space="preserve">; לקיים דיונים ועבודת מטה עם הרשות לגיבוש תוכנית עבודה להתכנסות למדדים מוסכמים על שני הצדדים; ולהגיש לרשות עם תוכנית העבודה לשנת 2020 גם הצעה למודל פיננסי, לרבות עדכון של תוכנית העבודה הרב-שנתית והתוכנית האסטרטגית להתכנסות ליעדים האמורים. הרשות ציינה כי היא מתעתדת לקבוע תהליך שנתי סדור למדידה ולבחינה של מידת העמידה ביעדים וכן מנגנון לעדכונם. </w:t>
      </w:r>
    </w:p>
    <w:p w:rsidR="00C149B0" w:rsidRPr="00F634A4" w:rsidP="00F634A4" w14:paraId="4B2A5D53" w14:textId="77777777">
      <w:pPr>
        <w:pStyle w:val="7317"/>
        <w:rPr>
          <w:rtl/>
        </w:rPr>
      </w:pPr>
      <w:r w:rsidRPr="00F634A4">
        <w:rPr>
          <w:rFonts w:hint="cs"/>
          <w:rtl/>
        </w:rPr>
        <w:t>עוד כתבה הרשות כי אם החברה סבורה שאינה מסוגלת להגיע ליעדים בטווח הנראה לעין, עליה לנמק את הסיבות המרכזיות המונעות הגעה ליעד הרצוי ולהציע יעדים חלופיים ומתווה שנתי מתאים, והכול בהתאם לאישור הדירקטוריון ולאישור הרשות. להלן בלוח</w:t>
      </w:r>
      <w:r w:rsidRPr="00F634A4">
        <w:rPr>
          <w:rtl/>
        </w:rPr>
        <w:t xml:space="preserve"> מוצגים היעדים הפיננסיים </w:t>
      </w:r>
      <w:r w:rsidRPr="00F634A4">
        <w:rPr>
          <w:rFonts w:hint="cs"/>
          <w:rtl/>
        </w:rPr>
        <w:t>שקבעה</w:t>
      </w:r>
      <w:r w:rsidRPr="00F634A4">
        <w:rPr>
          <w:rtl/>
        </w:rPr>
        <w:t xml:space="preserve"> רשות </w:t>
      </w:r>
      <w:r w:rsidRPr="00F634A4">
        <w:rPr>
          <w:rFonts w:hint="cs"/>
          <w:rtl/>
        </w:rPr>
        <w:t>החברות הממשלתיות כי על רפאל לעמוד בהם בתוך חמש שנים, ומידת העמידה בהם בשנת 2021:</w:t>
      </w:r>
    </w:p>
    <w:p w:rsidR="00EE10D2" w14:paraId="677A4933" w14:textId="77777777">
      <w:pPr>
        <w:bidi w:val="0"/>
        <w:spacing w:after="200" w:line="276" w:lineRule="auto"/>
        <w:rPr>
          <w:rFonts w:ascii="Tahoma" w:hAnsi="Tahoma" w:eastAsiaTheme="minorEastAsia" w:cs="Tahoma"/>
          <w:color w:val="0D0D0D" w:themeColor="text1" w:themeTint="F2"/>
          <w:szCs w:val="20"/>
          <w:rtl/>
        </w:rPr>
      </w:pPr>
      <w:r>
        <w:rPr>
          <w:b/>
          <w:bCs/>
          <w:rtl/>
        </w:rPr>
        <w:br w:type="page"/>
      </w:r>
    </w:p>
    <w:p w:rsidR="00C149B0" w:rsidRPr="00D94367" w:rsidP="00F634A4" w14:paraId="334B0D00" w14:textId="35570C29">
      <w:pPr>
        <w:pStyle w:val="734"/>
        <w:ind w:left="397"/>
        <w:rPr>
          <w:u w:val="single"/>
          <w:rtl/>
        </w:rPr>
      </w:pPr>
      <w:r w:rsidRPr="00F634A4">
        <w:rPr>
          <w:rFonts w:hint="cs"/>
          <w:b w:val="0"/>
          <w:bCs w:val="0"/>
          <w:rtl/>
        </w:rPr>
        <w:t>לוח 7:</w:t>
      </w:r>
      <w:r w:rsidRPr="0015694A">
        <w:rPr>
          <w:rFonts w:hint="cs"/>
          <w:rtl/>
        </w:rPr>
        <w:t xml:space="preserve"> היעדים הפיננסיים שהגדירה רשות החברות הממשלתיות לרפאל ב</w:t>
      </w:r>
      <w:r>
        <w:rPr>
          <w:rFonts w:hint="cs"/>
          <w:rtl/>
        </w:rPr>
        <w:t>שנת</w:t>
      </w:r>
      <w:r w:rsidRPr="0015694A">
        <w:rPr>
          <w:rFonts w:hint="cs"/>
          <w:rtl/>
        </w:rPr>
        <w:t xml:space="preserve"> 2019 ומידת העמידה ביעדים בשנת 2021</w:t>
      </w:r>
    </w:p>
    <w:tbl>
      <w:tblPr>
        <w:tblStyle w:val="13"/>
        <w:bidiVisual/>
        <w:tblW w:w="4804" w:type="pct"/>
        <w:jc w:val="right"/>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tblLook w:val="04A0"/>
      </w:tblPr>
      <w:tblGrid>
        <w:gridCol w:w="991"/>
        <w:gridCol w:w="1304"/>
        <w:gridCol w:w="1192"/>
        <w:gridCol w:w="1192"/>
        <w:gridCol w:w="793"/>
        <w:gridCol w:w="1599"/>
      </w:tblGrid>
      <w:tr w14:paraId="720F1464" w14:textId="77777777" w:rsidTr="00991B91">
        <w:tblPrEx>
          <w:tblW w:w="4804" w:type="pct"/>
          <w:jc w:val="right"/>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tblLook w:val="04A0"/>
        </w:tblPrEx>
        <w:trPr>
          <w:jc w:val="right"/>
        </w:trPr>
        <w:tc>
          <w:tcPr>
            <w:tcW w:w="700" w:type="pct"/>
            <w:shd w:val="clear" w:color="auto" w:fill="C8DCE4"/>
          </w:tcPr>
          <w:p w:rsidR="00C149B0" w:rsidRPr="00F634A4" w:rsidP="00F634A4" w14:paraId="613E764A" w14:textId="77777777">
            <w:pPr>
              <w:pStyle w:val="73R"/>
              <w:rPr>
                <w:b/>
                <w:bCs/>
                <w:rtl/>
              </w:rPr>
            </w:pPr>
            <w:r w:rsidRPr="00F634A4">
              <w:rPr>
                <w:rFonts w:hint="cs"/>
                <w:b/>
                <w:bCs/>
                <w:rtl/>
              </w:rPr>
              <w:t>ה</w:t>
            </w:r>
            <w:r w:rsidRPr="00F634A4">
              <w:rPr>
                <w:b/>
                <w:bCs/>
                <w:rtl/>
              </w:rPr>
              <w:t>נושא</w:t>
            </w:r>
          </w:p>
        </w:tc>
        <w:tc>
          <w:tcPr>
            <w:tcW w:w="922" w:type="pct"/>
            <w:shd w:val="clear" w:color="auto" w:fill="C8DCE4"/>
          </w:tcPr>
          <w:p w:rsidR="00C149B0" w:rsidRPr="00F634A4" w:rsidP="00F634A4" w14:paraId="344CE50D" w14:textId="77777777">
            <w:pPr>
              <w:pStyle w:val="73R"/>
              <w:rPr>
                <w:b/>
                <w:bCs/>
                <w:rtl/>
              </w:rPr>
            </w:pPr>
            <w:r w:rsidRPr="00F634A4">
              <w:rPr>
                <w:b/>
                <w:bCs/>
                <w:rtl/>
              </w:rPr>
              <w:t>שם המדד</w:t>
            </w:r>
          </w:p>
        </w:tc>
        <w:tc>
          <w:tcPr>
            <w:tcW w:w="843" w:type="pct"/>
            <w:shd w:val="clear" w:color="auto" w:fill="C8DCE4"/>
          </w:tcPr>
          <w:p w:rsidR="00C149B0" w:rsidRPr="00F634A4" w:rsidP="00F634A4" w14:paraId="04FBFA58" w14:textId="77777777">
            <w:pPr>
              <w:pStyle w:val="73R"/>
              <w:rPr>
                <w:b/>
                <w:bCs/>
                <w:rtl/>
              </w:rPr>
            </w:pPr>
            <w:r w:rsidRPr="00F634A4">
              <w:rPr>
                <w:b/>
                <w:bCs/>
                <w:rtl/>
              </w:rPr>
              <w:t>תיאור המדד</w:t>
            </w:r>
          </w:p>
        </w:tc>
        <w:tc>
          <w:tcPr>
            <w:tcW w:w="843" w:type="pct"/>
            <w:shd w:val="clear" w:color="auto" w:fill="C8DCE4"/>
          </w:tcPr>
          <w:p w:rsidR="00C149B0" w:rsidRPr="00F634A4" w:rsidP="00F634A4" w14:paraId="51BFB48B" w14:textId="77777777">
            <w:pPr>
              <w:pStyle w:val="73R"/>
              <w:rPr>
                <w:b/>
                <w:bCs/>
                <w:rtl/>
              </w:rPr>
            </w:pPr>
            <w:r w:rsidRPr="00F634A4">
              <w:rPr>
                <w:b/>
                <w:bCs/>
                <w:rtl/>
              </w:rPr>
              <w:t>אופן החישוב</w:t>
            </w:r>
          </w:p>
        </w:tc>
        <w:tc>
          <w:tcPr>
            <w:tcW w:w="561" w:type="pct"/>
            <w:shd w:val="clear" w:color="auto" w:fill="C8DCE4"/>
          </w:tcPr>
          <w:p w:rsidR="00C149B0" w:rsidRPr="00F634A4" w:rsidP="00F634A4" w14:paraId="427E29A3" w14:textId="77777777">
            <w:pPr>
              <w:pStyle w:val="73R"/>
              <w:rPr>
                <w:b/>
                <w:bCs/>
                <w:rtl/>
              </w:rPr>
            </w:pPr>
            <w:r w:rsidRPr="00F634A4">
              <w:rPr>
                <w:b/>
                <w:bCs/>
                <w:rtl/>
              </w:rPr>
              <w:t>יעד</w:t>
            </w:r>
          </w:p>
        </w:tc>
        <w:tc>
          <w:tcPr>
            <w:tcW w:w="1131" w:type="pct"/>
            <w:shd w:val="clear" w:color="auto" w:fill="C8DCE4"/>
          </w:tcPr>
          <w:p w:rsidR="00C149B0" w:rsidRPr="00F634A4" w:rsidP="00F634A4" w14:paraId="7D1036B1" w14:textId="77777777">
            <w:pPr>
              <w:pStyle w:val="73R"/>
              <w:rPr>
                <w:b/>
                <w:bCs/>
                <w:rtl/>
              </w:rPr>
            </w:pPr>
            <w:r w:rsidRPr="00F634A4">
              <w:rPr>
                <w:b/>
                <w:bCs/>
                <w:rtl/>
              </w:rPr>
              <w:t>2021</w:t>
            </w:r>
            <w:r w:rsidRPr="00F634A4">
              <w:rPr>
                <w:rFonts w:hint="cs"/>
                <w:b/>
                <w:bCs/>
                <w:rtl/>
              </w:rPr>
              <w:t xml:space="preserve"> בפועל</w:t>
            </w:r>
          </w:p>
        </w:tc>
      </w:tr>
      <w:tr w14:paraId="35F1B260" w14:textId="77777777" w:rsidTr="00991B91">
        <w:tblPrEx>
          <w:tblW w:w="4804" w:type="pct"/>
          <w:jc w:val="right"/>
          <w:tblLook w:val="04A0"/>
        </w:tblPrEx>
        <w:trPr>
          <w:jc w:val="right"/>
        </w:trPr>
        <w:tc>
          <w:tcPr>
            <w:tcW w:w="700" w:type="pct"/>
            <w:vMerge w:val="restart"/>
            <w:shd w:val="clear" w:color="auto" w:fill="DFECEF"/>
            <w:vAlign w:val="center"/>
          </w:tcPr>
          <w:p w:rsidR="00C149B0" w:rsidRPr="00F634A4" w:rsidP="00F634A4" w14:paraId="478E3657" w14:textId="77777777">
            <w:pPr>
              <w:pStyle w:val="73R"/>
              <w:rPr>
                <w:b/>
                <w:bCs/>
                <w:rtl/>
              </w:rPr>
            </w:pPr>
            <w:r w:rsidRPr="00F634A4">
              <w:rPr>
                <w:b/>
                <w:bCs/>
                <w:rtl/>
              </w:rPr>
              <w:t xml:space="preserve">איתנות </w:t>
            </w:r>
            <w:r w:rsidRPr="00F634A4">
              <w:rPr>
                <w:b/>
                <w:bCs/>
                <w:u w:val="single"/>
                <w:rtl/>
              </w:rPr>
              <w:t>פיננסית</w:t>
            </w:r>
          </w:p>
        </w:tc>
        <w:tc>
          <w:tcPr>
            <w:tcW w:w="922" w:type="pct"/>
            <w:tcBorders>
              <w:bottom w:val="single" w:sz="4" w:space="0" w:color="B8CCD5"/>
            </w:tcBorders>
            <w:shd w:val="clear" w:color="auto" w:fill="DFECEF"/>
          </w:tcPr>
          <w:p w:rsidR="00C149B0" w:rsidRPr="00680078" w:rsidP="00F634A4" w14:paraId="423C3E65" w14:textId="3560A11F">
            <w:pPr>
              <w:pStyle w:val="73R"/>
              <w:rPr>
                <w:vertAlign w:val="superscript"/>
                <w:rtl/>
              </w:rPr>
            </w:pPr>
            <w:r w:rsidRPr="00680078">
              <w:rPr>
                <w:rtl/>
              </w:rPr>
              <w:t>חוב פיננסי מתואם</w:t>
            </w:r>
            <w:r w:rsidR="00F634A4">
              <w:br/>
            </w:r>
            <w:r w:rsidRPr="00680078">
              <w:rPr>
                <w:rtl/>
              </w:rPr>
              <w:t>ל-</w:t>
            </w:r>
            <w:r w:rsidRPr="00680078">
              <w:rPr>
                <w:rFonts w:asciiTheme="majorBidi" w:hAnsiTheme="majorBidi" w:cstheme="majorBidi"/>
              </w:rPr>
              <w:t>EBITDA</w:t>
            </w:r>
            <w:r w:rsidRPr="00680078">
              <w:rPr>
                <w:rFonts w:asciiTheme="majorBidi" w:hAnsiTheme="majorBidi" w:cstheme="majorBidi"/>
                <w:vertAlign w:val="superscript"/>
                <w:rtl/>
              </w:rPr>
              <w:t>(</w:t>
            </w:r>
            <w:r w:rsidRPr="00680078">
              <w:rPr>
                <w:vertAlign w:val="superscript"/>
                <w:rtl/>
              </w:rPr>
              <w:t>1)</w:t>
            </w:r>
          </w:p>
        </w:tc>
        <w:tc>
          <w:tcPr>
            <w:tcW w:w="843" w:type="pct"/>
            <w:tcBorders>
              <w:bottom w:val="single" w:sz="4" w:space="0" w:color="B8CCD5"/>
            </w:tcBorders>
            <w:shd w:val="clear" w:color="auto" w:fill="DFECEF"/>
          </w:tcPr>
          <w:p w:rsidR="00C149B0" w:rsidRPr="00680078" w:rsidP="00F634A4" w14:paraId="1C328C93" w14:textId="77777777">
            <w:pPr>
              <w:pStyle w:val="73R"/>
              <w:rPr>
                <w:rtl/>
              </w:rPr>
            </w:pPr>
            <w:r w:rsidRPr="00680078">
              <w:rPr>
                <w:rtl/>
              </w:rPr>
              <w:t xml:space="preserve">יחס כיסוי חוב </w:t>
            </w:r>
          </w:p>
        </w:tc>
        <w:tc>
          <w:tcPr>
            <w:tcW w:w="843" w:type="pct"/>
            <w:tcBorders>
              <w:bottom w:val="single" w:sz="4" w:space="0" w:color="B8CCD5"/>
            </w:tcBorders>
            <w:shd w:val="clear" w:color="auto" w:fill="DFECEF"/>
          </w:tcPr>
          <w:p w:rsidR="00C149B0" w:rsidRPr="00680078" w:rsidP="00F634A4" w14:paraId="082EDF02" w14:textId="668E73CC">
            <w:pPr>
              <w:pStyle w:val="73R"/>
              <w:rPr>
                <w:rtl/>
              </w:rPr>
            </w:pPr>
            <w:r w:rsidRPr="00680078">
              <w:rPr>
                <w:rtl/>
              </w:rPr>
              <w:t>חוב פיננסי</w:t>
            </w:r>
            <w:r w:rsidRPr="00680078">
              <w:rPr>
                <w:u w:val="single"/>
                <w:rtl/>
              </w:rPr>
              <w:t xml:space="preserve"> מתואם</w:t>
            </w:r>
            <w:r w:rsidR="00F634A4">
              <w:rPr>
                <w:u w:val="single"/>
              </w:rPr>
              <w:br/>
            </w:r>
            <w:r w:rsidRPr="00680078">
              <w:rPr>
                <w:rFonts w:asciiTheme="majorBidi" w:hAnsiTheme="majorBidi" w:cstheme="majorBidi"/>
              </w:rPr>
              <w:t>EBITDA</w:t>
            </w:r>
          </w:p>
        </w:tc>
        <w:tc>
          <w:tcPr>
            <w:tcW w:w="561" w:type="pct"/>
            <w:tcBorders>
              <w:bottom w:val="single" w:sz="4" w:space="0" w:color="B8CCD5"/>
            </w:tcBorders>
            <w:shd w:val="clear" w:color="auto" w:fill="DFECEF"/>
          </w:tcPr>
          <w:p w:rsidR="00C149B0" w:rsidRPr="00680078" w:rsidP="00F634A4" w14:paraId="092E036E" w14:textId="77777777">
            <w:pPr>
              <w:pStyle w:val="73R"/>
              <w:rPr>
                <w:rtl/>
              </w:rPr>
            </w:pPr>
            <w:r w:rsidRPr="00680078">
              <w:rPr>
                <w:rtl/>
              </w:rPr>
              <w:t>4-2</w:t>
            </w:r>
          </w:p>
        </w:tc>
        <w:tc>
          <w:tcPr>
            <w:tcW w:w="1131" w:type="pct"/>
            <w:tcBorders>
              <w:bottom w:val="single" w:sz="4" w:space="0" w:color="B8CCD5"/>
            </w:tcBorders>
            <w:shd w:val="clear" w:color="auto" w:fill="DFECEF"/>
          </w:tcPr>
          <w:p w:rsidR="00C149B0" w:rsidRPr="00680078" w:rsidP="00F634A4" w14:paraId="4546532D" w14:textId="77777777">
            <w:pPr>
              <w:pStyle w:val="73R"/>
              <w:rPr>
                <w:rtl/>
              </w:rPr>
            </w:pPr>
            <w:r w:rsidRPr="00680078">
              <w:rPr>
                <w:rtl/>
              </w:rPr>
              <w:t>0.3-</w:t>
            </w:r>
          </w:p>
        </w:tc>
      </w:tr>
      <w:tr w14:paraId="444D6C13" w14:textId="77777777" w:rsidTr="00991B91">
        <w:tblPrEx>
          <w:tblW w:w="4804" w:type="pct"/>
          <w:jc w:val="right"/>
          <w:tblLook w:val="04A0"/>
        </w:tblPrEx>
        <w:trPr>
          <w:jc w:val="right"/>
        </w:trPr>
        <w:tc>
          <w:tcPr>
            <w:tcW w:w="700" w:type="pct"/>
            <w:vMerge/>
            <w:shd w:val="clear" w:color="auto" w:fill="DFECEF"/>
            <w:vAlign w:val="center"/>
          </w:tcPr>
          <w:p w:rsidR="00C149B0" w:rsidRPr="00F634A4" w:rsidP="00F634A4" w14:paraId="1454DC3A" w14:textId="77777777">
            <w:pPr>
              <w:pStyle w:val="73R"/>
              <w:rPr>
                <w:b/>
                <w:bCs/>
                <w:rtl/>
              </w:rPr>
            </w:pPr>
          </w:p>
        </w:tc>
        <w:tc>
          <w:tcPr>
            <w:tcW w:w="922" w:type="pct"/>
            <w:tcBorders>
              <w:top w:val="single" w:sz="4" w:space="0" w:color="B8CCD5"/>
            </w:tcBorders>
            <w:shd w:val="clear" w:color="auto" w:fill="DFECEF"/>
          </w:tcPr>
          <w:p w:rsidR="00C149B0" w:rsidRPr="00680078" w:rsidP="00F634A4" w14:paraId="16915E43" w14:textId="77777777">
            <w:pPr>
              <w:pStyle w:val="73R"/>
              <w:rPr>
                <w:rtl/>
              </w:rPr>
            </w:pPr>
            <w:r w:rsidRPr="00680078">
              <w:rPr>
                <w:rFonts w:asciiTheme="majorBidi" w:hAnsiTheme="majorBidi" w:cstheme="majorBidi"/>
              </w:rPr>
              <w:t>FFO</w:t>
            </w:r>
            <w:r w:rsidRPr="00680078">
              <w:rPr>
                <w:u w:val="single"/>
                <w:vertAlign w:val="superscript"/>
                <w:rtl/>
              </w:rPr>
              <w:t>(</w:t>
            </w:r>
            <w:r w:rsidRPr="00680078">
              <w:rPr>
                <w:vertAlign w:val="superscript"/>
                <w:rtl/>
              </w:rPr>
              <w:t>2)</w:t>
            </w:r>
            <w:r w:rsidRPr="00680078">
              <w:rPr>
                <w:rtl/>
              </w:rPr>
              <w:t xml:space="preserve"> + </w:t>
            </w:r>
            <w:r w:rsidRPr="00217652">
              <w:rPr>
                <w:u w:val="single"/>
                <w:rtl/>
              </w:rPr>
              <w:t xml:space="preserve">הוצאות ריבית </w:t>
            </w:r>
            <w:r w:rsidRPr="008D4E7E">
              <w:rPr>
                <w:rtl/>
              </w:rPr>
              <w:t>הוצאות ריבית</w:t>
            </w:r>
          </w:p>
        </w:tc>
        <w:tc>
          <w:tcPr>
            <w:tcW w:w="843" w:type="pct"/>
            <w:tcBorders>
              <w:top w:val="single" w:sz="4" w:space="0" w:color="B8CCD5"/>
            </w:tcBorders>
            <w:shd w:val="clear" w:color="auto" w:fill="DFECEF"/>
          </w:tcPr>
          <w:p w:rsidR="00C149B0" w:rsidRPr="00680078" w:rsidP="00F634A4" w14:paraId="61D9E4DD" w14:textId="77777777">
            <w:pPr>
              <w:pStyle w:val="73R"/>
              <w:rPr>
                <w:rtl/>
              </w:rPr>
            </w:pPr>
            <w:r w:rsidRPr="00680078">
              <w:rPr>
                <w:rtl/>
              </w:rPr>
              <w:t>יכולת החברה לעמוד בתשלומי הריבית באופן שוטף</w:t>
            </w:r>
          </w:p>
        </w:tc>
        <w:tc>
          <w:tcPr>
            <w:tcW w:w="843" w:type="pct"/>
            <w:tcBorders>
              <w:top w:val="single" w:sz="4" w:space="0" w:color="B8CCD5"/>
            </w:tcBorders>
            <w:shd w:val="clear" w:color="auto" w:fill="DFECEF"/>
          </w:tcPr>
          <w:p w:rsidR="00C149B0" w:rsidRPr="00680078" w:rsidP="00941067" w14:paraId="1CE28371" w14:textId="514A8879">
            <w:pPr>
              <w:pStyle w:val="73R"/>
              <w:rPr>
                <w:rtl/>
              </w:rPr>
            </w:pPr>
            <w:r w:rsidRPr="00680078">
              <w:rPr>
                <w:rFonts w:asciiTheme="majorBidi" w:hAnsiTheme="majorBidi" w:cstheme="majorBidi"/>
              </w:rPr>
              <w:t>FFO</w:t>
            </w:r>
            <w:r w:rsidRPr="00680078">
              <w:rPr>
                <w:rtl/>
              </w:rPr>
              <w:t xml:space="preserve">+ </w:t>
            </w:r>
            <w:r w:rsidRPr="00680078">
              <w:rPr>
                <w:rtl/>
              </w:rPr>
              <w:br/>
            </w:r>
            <w:r w:rsidRPr="00941067">
              <w:rPr>
                <w:u w:val="single"/>
                <w:rtl/>
              </w:rPr>
              <w:t xml:space="preserve">הוצאות </w:t>
            </w:r>
            <w:r w:rsidRPr="00680078">
              <w:rPr>
                <w:u w:val="single"/>
                <w:rtl/>
              </w:rPr>
              <w:t>ריבית</w:t>
            </w:r>
            <w:r w:rsidR="00941067">
              <w:rPr>
                <w:u w:val="single"/>
                <w:rtl/>
              </w:rPr>
              <w:br/>
            </w:r>
            <w:r w:rsidRPr="00680078">
              <w:rPr>
                <w:rtl/>
              </w:rPr>
              <w:t>הוצאות ריבית</w:t>
            </w:r>
          </w:p>
        </w:tc>
        <w:tc>
          <w:tcPr>
            <w:tcW w:w="561" w:type="pct"/>
            <w:tcBorders>
              <w:top w:val="single" w:sz="4" w:space="0" w:color="B8CCD5"/>
            </w:tcBorders>
            <w:shd w:val="clear" w:color="auto" w:fill="DFECEF"/>
          </w:tcPr>
          <w:p w:rsidR="00C149B0" w:rsidRPr="00680078" w:rsidP="00F634A4" w14:paraId="38D95999" w14:textId="77777777">
            <w:pPr>
              <w:pStyle w:val="73R"/>
              <w:rPr>
                <w:rtl/>
              </w:rPr>
            </w:pPr>
            <w:r w:rsidRPr="00680078">
              <w:rPr>
                <w:rtl/>
              </w:rPr>
              <w:t>6-3</w:t>
            </w:r>
          </w:p>
        </w:tc>
        <w:tc>
          <w:tcPr>
            <w:tcW w:w="1131" w:type="pct"/>
            <w:tcBorders>
              <w:top w:val="single" w:sz="4" w:space="0" w:color="B8CCD5"/>
            </w:tcBorders>
            <w:shd w:val="clear" w:color="auto" w:fill="DFECEF"/>
          </w:tcPr>
          <w:p w:rsidR="00C149B0" w:rsidRPr="00680078" w:rsidP="00F634A4" w14:paraId="054F0A5E" w14:textId="77777777">
            <w:pPr>
              <w:pStyle w:val="73R"/>
              <w:rPr>
                <w:rtl/>
              </w:rPr>
            </w:pPr>
            <w:r w:rsidRPr="00680078">
              <w:rPr>
                <w:rtl/>
              </w:rPr>
              <w:t>23</w:t>
            </w:r>
          </w:p>
        </w:tc>
      </w:tr>
      <w:tr w14:paraId="470D3E1E" w14:textId="77777777" w:rsidTr="00991B91">
        <w:tblPrEx>
          <w:tblW w:w="4804" w:type="pct"/>
          <w:jc w:val="right"/>
          <w:tblLook w:val="04A0"/>
        </w:tblPrEx>
        <w:trPr>
          <w:jc w:val="right"/>
        </w:trPr>
        <w:tc>
          <w:tcPr>
            <w:tcW w:w="700" w:type="pct"/>
            <w:shd w:val="clear" w:color="auto" w:fill="F0F8F9"/>
            <w:vAlign w:val="center"/>
          </w:tcPr>
          <w:p w:rsidR="00C149B0" w:rsidRPr="00F634A4" w:rsidP="00F634A4" w14:paraId="2119A8D8" w14:textId="77777777">
            <w:pPr>
              <w:pStyle w:val="73R"/>
              <w:rPr>
                <w:b/>
                <w:bCs/>
                <w:u w:val="single"/>
                <w:rtl/>
              </w:rPr>
            </w:pPr>
            <w:r w:rsidRPr="00F634A4">
              <w:rPr>
                <w:b/>
                <w:bCs/>
                <w:u w:val="single"/>
                <w:rtl/>
              </w:rPr>
              <w:t>רווחיות</w:t>
            </w:r>
          </w:p>
        </w:tc>
        <w:tc>
          <w:tcPr>
            <w:tcW w:w="922" w:type="pct"/>
            <w:shd w:val="clear" w:color="auto" w:fill="F0F8F9"/>
          </w:tcPr>
          <w:p w:rsidR="00C149B0" w:rsidRPr="00680078" w:rsidP="00F634A4" w14:paraId="706F36F0" w14:textId="445CED4F">
            <w:pPr>
              <w:pStyle w:val="73R"/>
              <w:rPr>
                <w:rtl/>
              </w:rPr>
            </w:pPr>
            <w:r w:rsidRPr="00217652">
              <w:rPr>
                <w:rFonts w:asciiTheme="majorBidi" w:hAnsiTheme="majorBidi" w:cstheme="majorBidi"/>
                <w:u w:val="single"/>
              </w:rPr>
              <w:t>EBIT</w:t>
            </w:r>
            <w:r w:rsidRPr="00217652">
              <w:rPr>
                <w:u w:val="single"/>
                <w:rtl/>
              </w:rPr>
              <w:t xml:space="preserve"> </w:t>
            </w:r>
            <w:r w:rsidRPr="00217652">
              <w:rPr>
                <w:u w:val="single"/>
                <w:rtl/>
              </w:rPr>
              <w:t>מתואם</w:t>
            </w:r>
            <w:r w:rsidRPr="00680078">
              <w:rPr>
                <w:u w:val="single"/>
                <w:vertAlign w:val="superscript"/>
                <w:rtl/>
              </w:rPr>
              <w:t>(</w:t>
            </w:r>
            <w:r w:rsidRPr="00680078">
              <w:rPr>
                <w:vertAlign w:val="superscript"/>
                <w:rtl/>
              </w:rPr>
              <w:t>3)</w:t>
            </w:r>
            <w:r w:rsidRPr="00680078">
              <w:rPr>
                <w:rtl/>
              </w:rPr>
              <w:t xml:space="preserve"> הכנסות</w:t>
            </w:r>
          </w:p>
        </w:tc>
        <w:tc>
          <w:tcPr>
            <w:tcW w:w="843" w:type="pct"/>
            <w:shd w:val="clear" w:color="auto" w:fill="F0F8F9"/>
          </w:tcPr>
          <w:p w:rsidR="00C149B0" w:rsidRPr="00680078" w:rsidP="00F634A4" w14:paraId="759B9889" w14:textId="77777777">
            <w:pPr>
              <w:pStyle w:val="73R"/>
              <w:rPr>
                <w:rtl/>
              </w:rPr>
            </w:pPr>
            <w:r w:rsidRPr="00680078">
              <w:rPr>
                <w:rtl/>
              </w:rPr>
              <w:t>שיעור רווחיות תפעולית</w:t>
            </w:r>
          </w:p>
        </w:tc>
        <w:tc>
          <w:tcPr>
            <w:tcW w:w="843" w:type="pct"/>
            <w:shd w:val="clear" w:color="auto" w:fill="F0F8F9"/>
          </w:tcPr>
          <w:p w:rsidR="00C149B0" w:rsidRPr="00680078" w:rsidP="00F634A4" w14:paraId="0B73EBBF" w14:textId="6E750DF3">
            <w:pPr>
              <w:pStyle w:val="73R"/>
              <w:rPr>
                <w:rtl/>
              </w:rPr>
            </w:pPr>
            <w:r w:rsidRPr="00217652">
              <w:rPr>
                <w:rFonts w:asciiTheme="majorBidi" w:hAnsiTheme="majorBidi" w:cstheme="majorBidi"/>
                <w:u w:val="single"/>
              </w:rPr>
              <w:t>EBIT</w:t>
            </w:r>
            <w:r w:rsidRPr="00217652">
              <w:rPr>
                <w:u w:val="single"/>
                <w:rtl/>
              </w:rPr>
              <w:t xml:space="preserve"> מתואם</w:t>
            </w:r>
            <w:r w:rsidR="00F634A4">
              <w:rPr>
                <w:u w:val="single"/>
              </w:rPr>
              <w:br/>
            </w:r>
            <w:r w:rsidRPr="00680078">
              <w:rPr>
                <w:rtl/>
              </w:rPr>
              <w:t>הכנסות</w:t>
            </w:r>
          </w:p>
        </w:tc>
        <w:tc>
          <w:tcPr>
            <w:tcW w:w="561" w:type="pct"/>
            <w:shd w:val="clear" w:color="auto" w:fill="F0F8F9"/>
          </w:tcPr>
          <w:p w:rsidR="00C149B0" w:rsidRPr="00680078" w:rsidP="00F634A4" w14:paraId="7927B8E7" w14:textId="77777777">
            <w:pPr>
              <w:pStyle w:val="73R"/>
              <w:rPr>
                <w:rtl/>
              </w:rPr>
            </w:pPr>
            <w:r w:rsidRPr="00680078">
              <w:rPr>
                <w:rtl/>
              </w:rPr>
              <w:t>&gt;9%</w:t>
            </w:r>
          </w:p>
        </w:tc>
        <w:tc>
          <w:tcPr>
            <w:tcW w:w="1131" w:type="pct"/>
            <w:shd w:val="clear" w:color="auto" w:fill="F0F8F9"/>
          </w:tcPr>
          <w:p w:rsidR="00C149B0" w:rsidRPr="00680078" w:rsidP="00F634A4" w14:paraId="03ED70CE" w14:textId="77777777">
            <w:pPr>
              <w:pStyle w:val="73R"/>
              <w:rPr>
                <w:rtl/>
              </w:rPr>
            </w:pPr>
            <w:r w:rsidRPr="00680078">
              <w:rPr>
                <w:rtl/>
              </w:rPr>
              <w:t>5.1%</w:t>
            </w:r>
          </w:p>
        </w:tc>
      </w:tr>
      <w:tr w14:paraId="23D7F43F" w14:textId="77777777" w:rsidTr="00991B91">
        <w:tblPrEx>
          <w:tblW w:w="4804" w:type="pct"/>
          <w:jc w:val="right"/>
          <w:tblLook w:val="04A0"/>
        </w:tblPrEx>
        <w:trPr>
          <w:jc w:val="right"/>
        </w:trPr>
        <w:tc>
          <w:tcPr>
            <w:tcW w:w="700" w:type="pct"/>
            <w:shd w:val="clear" w:color="auto" w:fill="DFECEF"/>
            <w:vAlign w:val="center"/>
          </w:tcPr>
          <w:p w:rsidR="00C149B0" w:rsidRPr="00F634A4" w:rsidP="00F634A4" w14:paraId="537B83CF" w14:textId="77777777">
            <w:pPr>
              <w:pStyle w:val="73R"/>
              <w:rPr>
                <w:b/>
                <w:bCs/>
                <w:u w:val="single"/>
                <w:rtl/>
              </w:rPr>
            </w:pPr>
            <w:r w:rsidRPr="00F634A4">
              <w:rPr>
                <w:b/>
                <w:bCs/>
                <w:u w:val="single"/>
                <w:rtl/>
              </w:rPr>
              <w:t>יעילות</w:t>
            </w:r>
          </w:p>
        </w:tc>
        <w:tc>
          <w:tcPr>
            <w:tcW w:w="922" w:type="pct"/>
            <w:shd w:val="clear" w:color="auto" w:fill="DFECEF"/>
          </w:tcPr>
          <w:p w:rsidR="00C149B0" w:rsidRPr="00680078" w:rsidP="00F634A4" w14:paraId="447C7BCF" w14:textId="77777777">
            <w:pPr>
              <w:pStyle w:val="73R"/>
              <w:rPr>
                <w:rtl/>
              </w:rPr>
            </w:pPr>
            <w:r w:rsidRPr="00680078">
              <w:rPr>
                <w:rtl/>
              </w:rPr>
              <w:t xml:space="preserve">רווח תפעולי לעובד </w:t>
            </w:r>
          </w:p>
        </w:tc>
        <w:tc>
          <w:tcPr>
            <w:tcW w:w="843" w:type="pct"/>
            <w:shd w:val="clear" w:color="auto" w:fill="DFECEF"/>
          </w:tcPr>
          <w:p w:rsidR="00C149B0" w:rsidRPr="00680078" w:rsidP="00F634A4" w14:paraId="76A68558" w14:textId="77777777">
            <w:pPr>
              <w:pStyle w:val="73R"/>
              <w:rPr>
                <w:rtl/>
              </w:rPr>
            </w:pPr>
            <w:r w:rsidRPr="00680078">
              <w:rPr>
                <w:rtl/>
              </w:rPr>
              <w:t>יעילות יחסית של רכיב השכר</w:t>
            </w:r>
          </w:p>
        </w:tc>
        <w:tc>
          <w:tcPr>
            <w:tcW w:w="843" w:type="pct"/>
            <w:shd w:val="clear" w:color="auto" w:fill="DFECEF"/>
          </w:tcPr>
          <w:p w:rsidR="00C149B0" w:rsidRPr="00680078" w:rsidP="00F634A4" w14:paraId="2905798F" w14:textId="2649D139">
            <w:pPr>
              <w:pStyle w:val="73R"/>
              <w:rPr>
                <w:rtl/>
              </w:rPr>
            </w:pPr>
            <w:r w:rsidRPr="00217652">
              <w:rPr>
                <w:rFonts w:asciiTheme="majorBidi" w:hAnsiTheme="majorBidi" w:cstheme="majorBidi"/>
                <w:u w:val="single"/>
              </w:rPr>
              <w:t>EBIT</w:t>
            </w:r>
            <w:r w:rsidRPr="00217652">
              <w:rPr>
                <w:rFonts w:asciiTheme="majorBidi" w:hAnsiTheme="majorBidi" w:cstheme="majorBidi"/>
                <w:u w:val="single"/>
                <w:rtl/>
              </w:rPr>
              <w:t xml:space="preserve"> </w:t>
            </w:r>
            <w:r w:rsidRPr="00217652">
              <w:rPr>
                <w:u w:val="single"/>
                <w:rtl/>
              </w:rPr>
              <w:t>מתואם</w:t>
            </w:r>
            <w:r w:rsidR="00F634A4">
              <w:rPr>
                <w:u w:val="single"/>
              </w:rPr>
              <w:br/>
            </w:r>
            <w:r w:rsidRPr="00680078">
              <w:rPr>
                <w:rtl/>
              </w:rPr>
              <w:t>מספר העובדים</w:t>
            </w:r>
          </w:p>
        </w:tc>
        <w:tc>
          <w:tcPr>
            <w:tcW w:w="561" w:type="pct"/>
            <w:shd w:val="clear" w:color="auto" w:fill="DFECEF"/>
          </w:tcPr>
          <w:p w:rsidR="00C149B0" w:rsidRPr="00680078" w:rsidP="00F634A4" w14:paraId="52153A17" w14:textId="77777777">
            <w:pPr>
              <w:pStyle w:val="73R"/>
              <w:rPr>
                <w:rtl/>
              </w:rPr>
            </w:pPr>
            <w:r w:rsidRPr="00680078">
              <w:rPr>
                <w:rtl/>
              </w:rPr>
              <w:t>&gt;</w:t>
            </w:r>
            <w:r w:rsidRPr="00680078">
              <w:rPr>
                <w:rFonts w:hint="cs"/>
                <w:rtl/>
              </w:rPr>
              <w:t xml:space="preserve"> </w:t>
            </w:r>
            <w:r w:rsidRPr="00217652">
              <w:rPr>
                <w:rFonts w:hint="cs"/>
                <w:spacing w:val="-4"/>
                <w:rtl/>
              </w:rPr>
              <w:t>25,000</w:t>
            </w:r>
            <w:r w:rsidRPr="00680078">
              <w:rPr>
                <w:rFonts w:hint="cs"/>
                <w:rtl/>
              </w:rPr>
              <w:t xml:space="preserve"> דולר</w:t>
            </w:r>
          </w:p>
          <w:p w:rsidR="00C149B0" w:rsidRPr="00680078" w:rsidP="00F634A4" w14:paraId="136267B7" w14:textId="77777777">
            <w:pPr>
              <w:pStyle w:val="73R"/>
              <w:rPr>
                <w:rtl/>
              </w:rPr>
            </w:pPr>
          </w:p>
        </w:tc>
        <w:tc>
          <w:tcPr>
            <w:tcW w:w="1131" w:type="pct"/>
            <w:shd w:val="clear" w:color="auto" w:fill="DFECEF"/>
          </w:tcPr>
          <w:p w:rsidR="00C149B0" w:rsidRPr="00680078" w:rsidP="00F634A4" w14:paraId="41318569" w14:textId="77777777">
            <w:pPr>
              <w:pStyle w:val="73R"/>
              <w:rPr>
                <w:rtl/>
              </w:rPr>
            </w:pPr>
            <w:r w:rsidRPr="00680078">
              <w:rPr>
                <w:rtl/>
              </w:rPr>
              <w:t>17,000 דולר</w:t>
            </w:r>
          </w:p>
        </w:tc>
      </w:tr>
      <w:tr w14:paraId="74989C8C" w14:textId="77777777" w:rsidTr="00991B91">
        <w:tblPrEx>
          <w:tblW w:w="4804" w:type="pct"/>
          <w:jc w:val="right"/>
          <w:tblLook w:val="04A0"/>
        </w:tblPrEx>
        <w:trPr>
          <w:jc w:val="right"/>
        </w:trPr>
        <w:tc>
          <w:tcPr>
            <w:tcW w:w="700" w:type="pct"/>
            <w:vMerge w:val="restart"/>
            <w:shd w:val="clear" w:color="auto" w:fill="F0F8F9"/>
            <w:vAlign w:val="center"/>
          </w:tcPr>
          <w:p w:rsidR="00C149B0" w:rsidRPr="00F634A4" w:rsidP="00F634A4" w14:paraId="23DA1EBE" w14:textId="77777777">
            <w:pPr>
              <w:pStyle w:val="73R"/>
              <w:rPr>
                <w:b/>
                <w:bCs/>
                <w:u w:val="single"/>
                <w:rtl/>
              </w:rPr>
            </w:pPr>
            <w:r w:rsidRPr="00F634A4">
              <w:rPr>
                <w:b/>
                <w:bCs/>
                <w:u w:val="single"/>
                <w:rtl/>
              </w:rPr>
              <w:t>צמיחה</w:t>
            </w:r>
          </w:p>
        </w:tc>
        <w:tc>
          <w:tcPr>
            <w:tcW w:w="922" w:type="pct"/>
            <w:tcBorders>
              <w:bottom w:val="single" w:sz="4" w:space="0" w:color="B8CCD5"/>
            </w:tcBorders>
            <w:shd w:val="clear" w:color="auto" w:fill="F0F8F9"/>
          </w:tcPr>
          <w:p w:rsidR="00C149B0" w:rsidRPr="00680078" w:rsidP="00F634A4" w14:paraId="01DA3233" w14:textId="77777777">
            <w:pPr>
              <w:pStyle w:val="73R"/>
              <w:rPr>
                <w:rtl/>
              </w:rPr>
            </w:pPr>
            <w:r w:rsidRPr="00680078">
              <w:rPr>
                <w:rtl/>
              </w:rPr>
              <w:t>גידול בהכנסות</w:t>
            </w:r>
          </w:p>
        </w:tc>
        <w:tc>
          <w:tcPr>
            <w:tcW w:w="843" w:type="pct"/>
            <w:vMerge w:val="restart"/>
            <w:shd w:val="clear" w:color="auto" w:fill="F0F8F9"/>
          </w:tcPr>
          <w:p w:rsidR="00C149B0" w:rsidRPr="00680078" w:rsidP="00F634A4" w14:paraId="2AC47378" w14:textId="77777777">
            <w:pPr>
              <w:pStyle w:val="73R"/>
              <w:rPr>
                <w:rtl/>
              </w:rPr>
            </w:pPr>
            <w:r w:rsidRPr="00680078">
              <w:rPr>
                <w:rtl/>
              </w:rPr>
              <w:t xml:space="preserve">שיעור </w:t>
            </w:r>
            <w:r w:rsidRPr="00680078">
              <w:rPr>
                <w:rFonts w:hint="cs"/>
                <w:rtl/>
              </w:rPr>
              <w:t>ה</w:t>
            </w:r>
            <w:r w:rsidRPr="00680078">
              <w:rPr>
                <w:rtl/>
              </w:rPr>
              <w:t xml:space="preserve">גידול </w:t>
            </w:r>
            <w:r w:rsidRPr="00680078">
              <w:rPr>
                <w:rFonts w:hint="cs"/>
                <w:rtl/>
              </w:rPr>
              <w:t>ה</w:t>
            </w:r>
            <w:r w:rsidRPr="00680078">
              <w:rPr>
                <w:rtl/>
              </w:rPr>
              <w:t>שנתי בהכנסות</w:t>
            </w:r>
          </w:p>
        </w:tc>
        <w:tc>
          <w:tcPr>
            <w:tcW w:w="843" w:type="pct"/>
            <w:vMerge w:val="restart"/>
            <w:shd w:val="clear" w:color="auto" w:fill="F0F8F9"/>
          </w:tcPr>
          <w:p w:rsidR="00C149B0" w:rsidRPr="00680078" w:rsidP="00F634A4" w14:paraId="707C34DF" w14:textId="1C0724C9">
            <w:pPr>
              <w:pStyle w:val="73R"/>
              <w:rPr>
                <w:rtl/>
              </w:rPr>
            </w:pPr>
            <w:r w:rsidRPr="00680078">
              <w:rPr>
                <w:rtl/>
              </w:rPr>
              <w:t>הכנסות</w:t>
            </w:r>
            <w:r w:rsidRPr="00680078">
              <w:rPr>
                <w:u w:val="single"/>
                <w:rtl/>
              </w:rPr>
              <w:t xml:space="preserve"> בשנה </w:t>
            </w:r>
            <w:r w:rsidRPr="00680078">
              <w:rPr>
                <w:u w:val="single"/>
              </w:rPr>
              <w:t>n</w:t>
            </w:r>
            <w:r w:rsidR="00F634A4">
              <w:rPr>
                <w:u w:val="single"/>
              </w:rPr>
              <w:br/>
            </w:r>
            <w:r w:rsidRPr="00680078">
              <w:rPr>
                <w:rtl/>
              </w:rPr>
              <w:t>הכנסות בשנה 1-</w:t>
            </w:r>
            <w:r w:rsidRPr="00680078">
              <w:t xml:space="preserve"> n</w:t>
            </w:r>
            <w:r w:rsidRPr="00680078">
              <w:rPr>
                <w:rtl/>
              </w:rPr>
              <w:t xml:space="preserve"> </w:t>
            </w:r>
          </w:p>
          <w:p w:rsidR="00C149B0" w:rsidRPr="00680078" w:rsidP="00F634A4" w14:paraId="68053E94" w14:textId="77777777">
            <w:pPr>
              <w:pStyle w:val="73R"/>
              <w:rPr>
                <w:rtl/>
              </w:rPr>
            </w:pPr>
          </w:p>
        </w:tc>
        <w:tc>
          <w:tcPr>
            <w:tcW w:w="561" w:type="pct"/>
            <w:tcBorders>
              <w:bottom w:val="single" w:sz="4" w:space="0" w:color="B8CCD5"/>
            </w:tcBorders>
            <w:shd w:val="clear" w:color="auto" w:fill="F0F8F9"/>
          </w:tcPr>
          <w:p w:rsidR="00C149B0" w:rsidRPr="00680078" w:rsidP="00F634A4" w14:paraId="2C3E9F70" w14:textId="77777777">
            <w:pPr>
              <w:pStyle w:val="73R"/>
              <w:rPr>
                <w:rtl/>
              </w:rPr>
            </w:pPr>
            <w:r w:rsidRPr="00680078">
              <w:rPr>
                <w:rtl/>
              </w:rPr>
              <w:t>&gt;3%</w:t>
            </w:r>
          </w:p>
        </w:tc>
        <w:tc>
          <w:tcPr>
            <w:tcW w:w="1131" w:type="pct"/>
            <w:tcBorders>
              <w:bottom w:val="single" w:sz="4" w:space="0" w:color="B8CCD5"/>
            </w:tcBorders>
            <w:shd w:val="clear" w:color="auto" w:fill="F0F8F9"/>
          </w:tcPr>
          <w:p w:rsidR="00C149B0" w:rsidRPr="00680078" w:rsidP="00F634A4" w14:paraId="79776633" w14:textId="591AF362">
            <w:pPr>
              <w:pStyle w:val="73R"/>
              <w:rPr>
                <w:rtl/>
              </w:rPr>
            </w:pPr>
            <w:r w:rsidRPr="00680078">
              <w:rPr>
                <w:rtl/>
              </w:rPr>
              <w:t>עמידה ביעד בממוצע שנתי</w:t>
            </w:r>
          </w:p>
        </w:tc>
      </w:tr>
      <w:tr w14:paraId="53799D91" w14:textId="77777777" w:rsidTr="00991B91">
        <w:tblPrEx>
          <w:tblW w:w="4804" w:type="pct"/>
          <w:jc w:val="right"/>
          <w:tblLook w:val="04A0"/>
        </w:tblPrEx>
        <w:trPr>
          <w:jc w:val="right"/>
        </w:trPr>
        <w:tc>
          <w:tcPr>
            <w:tcW w:w="700" w:type="pct"/>
            <w:vMerge/>
            <w:shd w:val="clear" w:color="auto" w:fill="F0F8F9"/>
            <w:vAlign w:val="center"/>
          </w:tcPr>
          <w:p w:rsidR="00C149B0" w:rsidRPr="00F634A4" w:rsidP="00F634A4" w14:paraId="1DBAA7F7" w14:textId="77777777">
            <w:pPr>
              <w:pStyle w:val="73R"/>
              <w:rPr>
                <w:b/>
                <w:bCs/>
                <w:rtl/>
              </w:rPr>
            </w:pPr>
          </w:p>
        </w:tc>
        <w:tc>
          <w:tcPr>
            <w:tcW w:w="922" w:type="pct"/>
            <w:tcBorders>
              <w:top w:val="single" w:sz="4" w:space="0" w:color="B8CCD5"/>
            </w:tcBorders>
            <w:shd w:val="clear" w:color="auto" w:fill="F0F8F9"/>
          </w:tcPr>
          <w:p w:rsidR="00C149B0" w:rsidRPr="00680078" w:rsidP="00F634A4" w14:paraId="1CCA6103" w14:textId="77777777">
            <w:pPr>
              <w:pStyle w:val="73R"/>
              <w:rPr>
                <w:rtl/>
              </w:rPr>
            </w:pPr>
            <w:r w:rsidRPr="00680078">
              <w:rPr>
                <w:rtl/>
              </w:rPr>
              <w:t>גידול בהכנסות שאינו משני הלקוחות הגדולים</w:t>
            </w:r>
          </w:p>
        </w:tc>
        <w:tc>
          <w:tcPr>
            <w:tcW w:w="843" w:type="pct"/>
            <w:vMerge/>
            <w:shd w:val="clear" w:color="auto" w:fill="F0F8F9"/>
          </w:tcPr>
          <w:p w:rsidR="00C149B0" w:rsidRPr="00680078" w:rsidP="00F634A4" w14:paraId="1AF85EFF" w14:textId="77777777">
            <w:pPr>
              <w:pStyle w:val="73R"/>
              <w:rPr>
                <w:rtl/>
              </w:rPr>
            </w:pPr>
          </w:p>
        </w:tc>
        <w:tc>
          <w:tcPr>
            <w:tcW w:w="843" w:type="pct"/>
            <w:vMerge/>
            <w:shd w:val="clear" w:color="auto" w:fill="F0F8F9"/>
          </w:tcPr>
          <w:p w:rsidR="00C149B0" w:rsidRPr="00680078" w:rsidP="00F634A4" w14:paraId="45612B3D" w14:textId="77777777">
            <w:pPr>
              <w:pStyle w:val="73R"/>
              <w:rPr>
                <w:rtl/>
              </w:rPr>
            </w:pPr>
          </w:p>
        </w:tc>
        <w:tc>
          <w:tcPr>
            <w:tcW w:w="561" w:type="pct"/>
            <w:tcBorders>
              <w:top w:val="single" w:sz="4" w:space="0" w:color="B8CCD5"/>
            </w:tcBorders>
            <w:shd w:val="clear" w:color="auto" w:fill="F0F8F9"/>
          </w:tcPr>
          <w:p w:rsidR="00C149B0" w:rsidRPr="00680078" w:rsidP="00F634A4" w14:paraId="3BC48B64" w14:textId="77777777">
            <w:pPr>
              <w:pStyle w:val="73R"/>
              <w:rPr>
                <w:rtl/>
              </w:rPr>
            </w:pPr>
            <w:r w:rsidRPr="00680078">
              <w:rPr>
                <w:rtl/>
              </w:rPr>
              <w:t>&gt;5%</w:t>
            </w:r>
          </w:p>
        </w:tc>
        <w:tc>
          <w:tcPr>
            <w:tcW w:w="1131" w:type="pct"/>
            <w:tcBorders>
              <w:top w:val="single" w:sz="4" w:space="0" w:color="B8CCD5"/>
            </w:tcBorders>
            <w:shd w:val="clear" w:color="auto" w:fill="F0F8F9"/>
          </w:tcPr>
          <w:p w:rsidR="00C149B0" w:rsidRPr="00680078" w:rsidP="00F634A4" w14:paraId="7E24590F" w14:textId="77777777">
            <w:pPr>
              <w:pStyle w:val="73R"/>
              <w:rPr>
                <w:vertAlign w:val="superscript"/>
                <w:rtl/>
              </w:rPr>
            </w:pPr>
            <w:r w:rsidRPr="00680078">
              <w:rPr>
                <w:rtl/>
              </w:rPr>
              <w:t>הערכה של רפאל כי היא עומדת ביעד זה בהתייחס למכירות לי</w:t>
            </w:r>
            <w:r w:rsidRPr="00680078">
              <w:rPr>
                <w:rFonts w:hint="cs"/>
                <w:rtl/>
              </w:rPr>
              <w:t>י</w:t>
            </w:r>
            <w:r w:rsidRPr="00680078">
              <w:rPr>
                <w:rtl/>
              </w:rPr>
              <w:t>צוא</w:t>
            </w:r>
          </w:p>
        </w:tc>
      </w:tr>
      <w:tr w14:paraId="3C791ADC" w14:textId="77777777" w:rsidTr="00991B91">
        <w:tblPrEx>
          <w:tblW w:w="4804" w:type="pct"/>
          <w:jc w:val="right"/>
          <w:tblLook w:val="04A0"/>
        </w:tblPrEx>
        <w:trPr>
          <w:jc w:val="right"/>
        </w:trPr>
        <w:tc>
          <w:tcPr>
            <w:tcW w:w="700" w:type="pct"/>
            <w:shd w:val="clear" w:color="auto" w:fill="DFECEF"/>
            <w:vAlign w:val="center"/>
          </w:tcPr>
          <w:p w:rsidR="00C149B0" w:rsidRPr="00217652" w:rsidP="00F634A4" w14:paraId="5D285918" w14:textId="77777777">
            <w:pPr>
              <w:pStyle w:val="73R"/>
              <w:rPr>
                <w:vertAlign w:val="superscript"/>
                <w:rtl/>
              </w:rPr>
            </w:pPr>
            <w:r w:rsidRPr="008D4E7E">
              <w:rPr>
                <w:b/>
                <w:bCs/>
                <w:u w:val="single"/>
                <w:rtl/>
              </w:rPr>
              <w:t>דיבידנד</w:t>
            </w:r>
            <w:r w:rsidRPr="00217652">
              <w:rPr>
                <w:vertAlign w:val="superscript"/>
                <w:rtl/>
              </w:rPr>
              <w:t>(</w:t>
            </w:r>
            <w:r w:rsidRPr="00217652">
              <w:rPr>
                <w:rFonts w:hint="cs"/>
                <w:vertAlign w:val="superscript"/>
                <w:rtl/>
              </w:rPr>
              <w:t>4</w:t>
            </w:r>
            <w:r w:rsidRPr="00217652">
              <w:rPr>
                <w:vertAlign w:val="superscript"/>
                <w:rtl/>
              </w:rPr>
              <w:t>)</w:t>
            </w:r>
          </w:p>
        </w:tc>
        <w:tc>
          <w:tcPr>
            <w:tcW w:w="922" w:type="pct"/>
            <w:shd w:val="clear" w:color="auto" w:fill="DFECEF"/>
          </w:tcPr>
          <w:p w:rsidR="00C149B0" w:rsidRPr="00680078" w:rsidP="00F634A4" w14:paraId="6FEED3FE" w14:textId="77777777">
            <w:pPr>
              <w:pStyle w:val="73R"/>
              <w:rPr>
                <w:rtl/>
              </w:rPr>
            </w:pPr>
            <w:r w:rsidRPr="00680078">
              <w:rPr>
                <w:rtl/>
              </w:rPr>
              <w:t>מדיניות דיבידנדים</w:t>
            </w:r>
          </w:p>
        </w:tc>
        <w:tc>
          <w:tcPr>
            <w:tcW w:w="843" w:type="pct"/>
            <w:shd w:val="clear" w:color="auto" w:fill="DFECEF"/>
          </w:tcPr>
          <w:p w:rsidR="00C149B0" w:rsidRPr="00680078" w:rsidP="00F634A4" w14:paraId="3847B527" w14:textId="77777777">
            <w:pPr>
              <w:pStyle w:val="73R"/>
              <w:rPr>
                <w:rtl/>
              </w:rPr>
            </w:pPr>
            <w:r w:rsidRPr="00680078">
              <w:rPr>
                <w:rtl/>
              </w:rPr>
              <w:t>עמידה בחלוקת דיבידנד לפי מדיניות הבעלים</w:t>
            </w:r>
          </w:p>
        </w:tc>
        <w:tc>
          <w:tcPr>
            <w:tcW w:w="843" w:type="pct"/>
            <w:shd w:val="clear" w:color="auto" w:fill="DFECEF"/>
          </w:tcPr>
          <w:p w:rsidR="00C149B0" w:rsidRPr="00680078" w:rsidP="00F634A4" w14:paraId="31FD7901" w14:textId="77777777">
            <w:pPr>
              <w:pStyle w:val="73R"/>
              <w:rPr>
                <w:rtl/>
              </w:rPr>
            </w:pPr>
          </w:p>
        </w:tc>
        <w:tc>
          <w:tcPr>
            <w:tcW w:w="561" w:type="pct"/>
            <w:shd w:val="clear" w:color="auto" w:fill="DFECEF"/>
          </w:tcPr>
          <w:p w:rsidR="00C149B0" w:rsidRPr="00680078" w:rsidP="00F634A4" w14:paraId="6417DB0D" w14:textId="77777777">
            <w:pPr>
              <w:pStyle w:val="73R"/>
              <w:rPr>
                <w:rtl/>
              </w:rPr>
            </w:pPr>
            <w:r w:rsidRPr="00680078">
              <w:rPr>
                <w:rtl/>
              </w:rPr>
              <w:t>50% מהרווח הנקי</w:t>
            </w:r>
          </w:p>
        </w:tc>
        <w:tc>
          <w:tcPr>
            <w:tcW w:w="1131" w:type="pct"/>
            <w:shd w:val="clear" w:color="auto" w:fill="DFECEF"/>
          </w:tcPr>
          <w:p w:rsidR="00C149B0" w:rsidRPr="00680078" w:rsidP="00F634A4" w14:paraId="023B6AB4" w14:textId="77777777">
            <w:pPr>
              <w:pStyle w:val="73R"/>
              <w:rPr>
                <w:rtl/>
              </w:rPr>
            </w:pPr>
            <w:r w:rsidRPr="00680078">
              <w:rPr>
                <w:rFonts w:hint="cs"/>
                <w:rtl/>
              </w:rPr>
              <w:t>בגין רווחי שנת 2021 הכריזה רפאל על דיבידנד בשיעור של 50%</w:t>
            </w:r>
            <w:r w:rsidRPr="00680078">
              <w:rPr>
                <w:rFonts w:hint="cs"/>
                <w:vertAlign w:val="superscript"/>
                <w:rtl/>
              </w:rPr>
              <w:t>(</w:t>
            </w:r>
            <w:r>
              <w:rPr>
                <w:rFonts w:hint="cs"/>
                <w:vertAlign w:val="superscript"/>
                <w:rtl/>
              </w:rPr>
              <w:t>5</w:t>
            </w:r>
            <w:r w:rsidRPr="00680078">
              <w:rPr>
                <w:vertAlign w:val="superscript"/>
                <w:rtl/>
              </w:rPr>
              <w:t>)</w:t>
            </w:r>
            <w:r w:rsidRPr="00680078">
              <w:rPr>
                <w:rtl/>
              </w:rPr>
              <w:t xml:space="preserve"> (בנושא זה - ראו בהמשך)</w:t>
            </w:r>
            <w:r w:rsidRPr="00680078">
              <w:rPr>
                <w:rFonts w:hint="cs"/>
                <w:rtl/>
              </w:rPr>
              <w:t>.</w:t>
            </w:r>
          </w:p>
        </w:tc>
      </w:tr>
    </w:tbl>
    <w:p w:rsidR="00C149B0" w:rsidRPr="00C40BC8" w:rsidP="00EE10D2" w14:paraId="0D084EDB" w14:textId="5C5BD349">
      <w:pPr>
        <w:pStyle w:val="738"/>
        <w:spacing w:after="0"/>
        <w:ind w:left="397"/>
        <w:rPr>
          <w:rtl/>
        </w:rPr>
      </w:pPr>
      <w:r w:rsidRPr="00C40BC8">
        <w:rPr>
          <w:rFonts w:hint="cs"/>
          <w:rtl/>
        </w:rPr>
        <w:t>לפי מכתב רשות החברות הממשלתיות מספטמבר 2019, תחשיבי רפאל והדוחות התקופתיים של רפאל</w:t>
      </w:r>
      <w:r w:rsidR="00C40BC8">
        <w:t xml:space="preserve"> </w:t>
      </w:r>
      <w:r w:rsidRPr="00C40BC8">
        <w:rPr>
          <w:rFonts w:hint="cs"/>
          <w:rtl/>
        </w:rPr>
        <w:t>ל-31.12.21, בעיבוד משרד מבקר המדינה.</w:t>
      </w:r>
    </w:p>
    <w:p w:rsidR="00C149B0" w:rsidRPr="00C40BC8" w:rsidP="00EE10D2" w14:paraId="4CFD6818" w14:textId="1AD7A265">
      <w:pPr>
        <w:pStyle w:val="738"/>
        <w:spacing w:before="0" w:after="0"/>
        <w:ind w:left="707" w:hanging="310"/>
        <w:rPr>
          <w:rtl/>
        </w:rPr>
      </w:pPr>
      <w:r w:rsidRPr="00C40BC8">
        <w:rPr>
          <w:rFonts w:hint="cs"/>
          <w:rtl/>
        </w:rPr>
        <w:t xml:space="preserve">(1) </w:t>
      </w:r>
      <w:r w:rsidR="00C40BC8">
        <w:tab/>
      </w:r>
      <w:r w:rsidRPr="00C40BC8">
        <w:rPr>
          <w:rtl/>
        </w:rPr>
        <w:t xml:space="preserve">רווח לפני הוצאות (הכנסות) מימון, מיסים על ההכנסה, פחת והפחתות. </w:t>
      </w:r>
    </w:p>
    <w:p w:rsidR="00C149B0" w:rsidRPr="00C40BC8" w:rsidP="00C40BC8" w14:paraId="308F40DA" w14:textId="3B2F6408">
      <w:pPr>
        <w:pStyle w:val="738"/>
        <w:spacing w:before="0" w:after="0"/>
        <w:ind w:left="707" w:hanging="310"/>
        <w:rPr>
          <w:rtl/>
        </w:rPr>
      </w:pPr>
      <w:r w:rsidRPr="00C40BC8">
        <w:rPr>
          <w:rFonts w:hint="cs"/>
          <w:rtl/>
        </w:rPr>
        <w:t>(2)</w:t>
      </w:r>
      <w:r w:rsidR="00C40BC8">
        <w:tab/>
      </w:r>
      <w:r w:rsidRPr="00C40BC8">
        <w:t>Funds From Operations</w:t>
      </w:r>
      <w:r w:rsidRPr="00C40BC8">
        <w:rPr>
          <w:rtl/>
        </w:rPr>
        <w:t xml:space="preserve"> - </w:t>
      </w:r>
      <w:r w:rsidRPr="00C40BC8">
        <w:t>EBITDA = FFO</w:t>
      </w:r>
      <w:r w:rsidRPr="00C40BC8">
        <w:rPr>
          <w:rtl/>
        </w:rPr>
        <w:t xml:space="preserve"> </w:t>
      </w:r>
      <w:r w:rsidRPr="00C40BC8">
        <w:rPr>
          <w:rFonts w:hint="cs"/>
          <w:rtl/>
        </w:rPr>
        <w:t>מתואמת (בניכוי הכנסות והוצאות שאינן בבסיס הפעילות התפעולי של החברה)</w:t>
      </w:r>
      <w:r w:rsidRPr="00C40BC8">
        <w:rPr>
          <w:rtl/>
        </w:rPr>
        <w:t xml:space="preserve"> בניכוי תשלומי ריבית ותשלומי מס כפי שמוצגים בדוח על תזרים המזומנים.</w:t>
      </w:r>
    </w:p>
    <w:p w:rsidR="00C149B0" w:rsidRPr="00C40BC8" w:rsidP="00C40BC8" w14:paraId="02B7C6C3" w14:textId="17E13C5F">
      <w:pPr>
        <w:pStyle w:val="738"/>
        <w:spacing w:before="0" w:after="0"/>
        <w:ind w:left="707" w:hanging="310"/>
        <w:rPr>
          <w:rtl/>
        </w:rPr>
      </w:pPr>
      <w:r w:rsidRPr="00C40BC8">
        <w:rPr>
          <w:rFonts w:hint="cs"/>
          <w:rtl/>
        </w:rPr>
        <w:t>(3)</w:t>
      </w:r>
      <w:r w:rsidR="00C40BC8">
        <w:tab/>
      </w:r>
      <w:r w:rsidRPr="00C40BC8">
        <w:rPr>
          <w:rtl/>
        </w:rPr>
        <w:t>מתבסס על הרווח התפעולי שבדוח רווח והפסד, וכולל התאמות להכנסות ו</w:t>
      </w:r>
      <w:r w:rsidRPr="00C40BC8">
        <w:rPr>
          <w:rFonts w:hint="cs"/>
          <w:rtl/>
        </w:rPr>
        <w:t>ל</w:t>
      </w:r>
      <w:r w:rsidRPr="00C40BC8">
        <w:rPr>
          <w:rtl/>
        </w:rPr>
        <w:t>הוצאות שאינן בבסיס</w:t>
      </w:r>
      <w:r w:rsidRPr="00C40BC8">
        <w:rPr>
          <w:rFonts w:hint="cs"/>
          <w:rtl/>
        </w:rPr>
        <w:t xml:space="preserve"> הפעילות התפעולי של החברה (דוגמת </w:t>
      </w:r>
      <w:r w:rsidRPr="00C40BC8">
        <w:rPr>
          <w:rtl/>
        </w:rPr>
        <w:t>שינוי בהתחייבויות בגין הטבות לעובדים ופער בין הכנסות להוצאות אחרות</w:t>
      </w:r>
      <w:r w:rsidRPr="00C40BC8">
        <w:rPr>
          <w:rFonts w:hint="cs"/>
          <w:rtl/>
        </w:rPr>
        <w:t>).</w:t>
      </w:r>
    </w:p>
    <w:p w:rsidR="00C149B0" w:rsidRPr="00C40BC8" w:rsidP="00C40BC8" w14:paraId="5F50D8F7" w14:textId="3F7477C6">
      <w:pPr>
        <w:pStyle w:val="738"/>
        <w:spacing w:before="0" w:after="0"/>
        <w:ind w:left="707" w:hanging="310"/>
        <w:rPr>
          <w:rtl/>
        </w:rPr>
      </w:pPr>
      <w:r w:rsidRPr="00C40BC8">
        <w:rPr>
          <w:rFonts w:hint="cs"/>
          <w:rtl/>
        </w:rPr>
        <w:t>(4)</w:t>
      </w:r>
      <w:r w:rsidR="00C40BC8">
        <w:tab/>
      </w:r>
      <w:r w:rsidRPr="00C40BC8">
        <w:rPr>
          <w:rFonts w:hint="cs"/>
          <w:rtl/>
        </w:rPr>
        <w:t>הרשות ציינה במכתבה כי האמור בו אינו פוטר את החברה מיישום חוזר הרשות בדבר ייעוד רווחים וקבלת אישור הרשות מדי שנה על ייעוד רווחים כאמור.</w:t>
      </w:r>
    </w:p>
    <w:p w:rsidR="00C149B0" w:rsidRPr="00C40BC8" w:rsidP="00C40BC8" w14:paraId="3BA0696E" w14:textId="60569ADC">
      <w:pPr>
        <w:pStyle w:val="738"/>
        <w:spacing w:before="0"/>
        <w:ind w:left="707" w:hanging="310"/>
        <w:rPr>
          <w:rtl/>
        </w:rPr>
      </w:pPr>
      <w:r w:rsidRPr="00C40BC8">
        <w:rPr>
          <w:rFonts w:hint="cs"/>
          <w:rtl/>
        </w:rPr>
        <w:t>(5)</w:t>
      </w:r>
      <w:r w:rsidR="00C40BC8">
        <w:tab/>
      </w:r>
      <w:r w:rsidRPr="00C40BC8">
        <w:rPr>
          <w:rFonts w:hint="cs"/>
          <w:rtl/>
        </w:rPr>
        <w:t>בניכוי 70 מיליון ש"ח הצמודים למדד המחירים לצרכן (מדד בסיס דצמבר 2010).</w:t>
      </w:r>
    </w:p>
    <w:p w:rsidR="00C149B0" w:rsidRPr="00C40BC8" w:rsidP="00C40BC8" w14:paraId="13F96872" w14:textId="1ADCD7F8">
      <w:pPr>
        <w:pStyle w:val="7310"/>
        <w:rPr>
          <w:rtl/>
        </w:rPr>
      </w:pPr>
      <w:r w:rsidRPr="00C40BC8">
        <w:rPr>
          <w:rFonts w:hint="cs"/>
          <w:rtl/>
        </w:rPr>
        <w:t xml:space="preserve">ממסמכי רפאל עולה כי בשנת 2019 השיגה רפאל את היעדים שקבעה עבורה רשות החברות הממשלתיות במדדי איתנות פיננסית וצמיחה, אך במועד סיום הביקורת (יולי 2022) עדיין לא השיגה רפאל את היעדים שקבעה לה הרשות בנושא הרווחיות התפעולית המתואמת אשר בשנת 2021 היה שיעורה 5.1% לעומת היעד של יותר </w:t>
      </w:r>
      <w:r w:rsidR="00217652">
        <w:rPr>
          <w:rtl/>
        </w:rPr>
        <w:br/>
      </w:r>
      <w:r w:rsidRPr="00C40BC8">
        <w:rPr>
          <w:rFonts w:hint="cs"/>
          <w:rtl/>
        </w:rPr>
        <w:t xml:space="preserve">מ-9%, ובנושא היעילות (רווח תפעולי לעובד) שהסתכם בשנת 2021 ב-17,000 דולר לעובד לעומת יעד של יותר מ-25,000 דולר; יעדים שכאמור מיועדים להשגה בתוך חמש שנים. </w:t>
      </w:r>
    </w:p>
    <w:p w:rsidR="00C149B0" w:rsidRPr="00C40BC8" w:rsidP="00C40BC8" w14:paraId="62289BD4" w14:textId="77777777">
      <w:pPr>
        <w:pStyle w:val="7317"/>
        <w:rPr>
          <w:rtl/>
        </w:rPr>
      </w:pPr>
      <w:r w:rsidRPr="00C40BC8">
        <w:rPr>
          <w:rtl/>
        </w:rPr>
        <w:t xml:space="preserve">בדיון בדירקטוריון </w:t>
      </w:r>
      <w:r w:rsidRPr="00C40BC8">
        <w:rPr>
          <w:rFonts w:hint="cs"/>
          <w:rtl/>
        </w:rPr>
        <w:t xml:space="preserve">רפאל ב-5.11.19 </w:t>
      </w:r>
      <w:r w:rsidRPr="00C40BC8">
        <w:rPr>
          <w:rtl/>
        </w:rPr>
        <w:t>בנושא היעדים הפיננסיים</w:t>
      </w:r>
      <w:r w:rsidRPr="00C40BC8">
        <w:rPr>
          <w:rFonts w:hint="cs"/>
          <w:rtl/>
        </w:rPr>
        <w:t>, שבו השתתף נציג רשות החברות הממשלתיות, ציין</w:t>
      </w:r>
      <w:r w:rsidRPr="00C40BC8">
        <w:rPr>
          <w:rtl/>
        </w:rPr>
        <w:t xml:space="preserve"> </w:t>
      </w:r>
      <w:r w:rsidRPr="00C40BC8">
        <w:rPr>
          <w:rFonts w:hint="cs"/>
          <w:rtl/>
        </w:rPr>
        <w:t>ראש יחידת תכנון ובקרה ברפאל כי הדירקטוריון קבע לחברה לפני כעשור</w:t>
      </w:r>
      <w:r>
        <w:rPr>
          <w:vertAlign w:val="superscript"/>
          <w:rtl/>
        </w:rPr>
        <w:footnoteReference w:id="85"/>
      </w:r>
      <w:r w:rsidRPr="00C40BC8">
        <w:rPr>
          <w:rFonts w:hint="cs"/>
          <w:rtl/>
        </w:rPr>
        <w:t xml:space="preserve"> מדדי ביצוע מרכזיים (</w:t>
      </w:r>
      <w:r w:rsidRPr="00C40BC8">
        <w:t>KPI`s</w:t>
      </w:r>
      <w:r>
        <w:rPr>
          <w:rStyle w:val="FootnoteReference0"/>
          <w:rtl/>
        </w:rPr>
        <w:footnoteReference w:id="86"/>
      </w:r>
      <w:r w:rsidRPr="00C40BC8">
        <w:rPr>
          <w:rFonts w:hint="cs"/>
          <w:rtl/>
        </w:rPr>
        <w:t>); כי הדירקטורים והמנכ"לים של רפאל אימצו מאז מדדים אלו, לרבות את היעד של רווחיות תפעולית בשיעור של 6%; כי מדדים אלו נקבעו</w:t>
      </w:r>
      <w:r w:rsidRPr="00C40BC8">
        <w:t xml:space="preserve"> </w:t>
      </w:r>
      <w:r w:rsidRPr="00C40BC8">
        <w:rPr>
          <w:rFonts w:hint="cs"/>
          <w:rtl/>
        </w:rPr>
        <w:t>בראייה רב-</w:t>
      </w:r>
      <w:r w:rsidRPr="00C40BC8">
        <w:rPr>
          <w:rtl/>
        </w:rPr>
        <w:t>שנתי</w:t>
      </w:r>
      <w:r w:rsidRPr="00C40BC8">
        <w:rPr>
          <w:rFonts w:hint="cs"/>
          <w:rtl/>
        </w:rPr>
        <w:t xml:space="preserve">ת, אך </w:t>
      </w:r>
      <w:r w:rsidRPr="00C40BC8">
        <w:rPr>
          <w:rtl/>
        </w:rPr>
        <w:t>תקציב</w:t>
      </w:r>
      <w:r w:rsidRPr="00C40BC8">
        <w:t xml:space="preserve"> </w:t>
      </w:r>
      <w:r w:rsidRPr="00C40BC8">
        <w:rPr>
          <w:rtl/>
        </w:rPr>
        <w:t>החברה</w:t>
      </w:r>
      <w:r w:rsidRPr="00C40BC8">
        <w:t xml:space="preserve"> </w:t>
      </w:r>
      <w:r w:rsidRPr="00C40BC8">
        <w:rPr>
          <w:rFonts w:hint="cs"/>
          <w:rtl/>
        </w:rPr>
        <w:t>ל</w:t>
      </w:r>
      <w:r w:rsidRPr="00C40BC8">
        <w:rPr>
          <w:rtl/>
        </w:rPr>
        <w:t>כל</w:t>
      </w:r>
      <w:r w:rsidRPr="00C40BC8">
        <w:t xml:space="preserve"> </w:t>
      </w:r>
      <w:r w:rsidRPr="00C40BC8">
        <w:rPr>
          <w:rtl/>
        </w:rPr>
        <w:t>שנה</w:t>
      </w:r>
      <w:r w:rsidRPr="00C40BC8">
        <w:t xml:space="preserve"> </w:t>
      </w:r>
      <w:r w:rsidRPr="00C40BC8">
        <w:rPr>
          <w:rtl/>
        </w:rPr>
        <w:t>יכול</w:t>
      </w:r>
      <w:r w:rsidRPr="00C40BC8">
        <w:t xml:space="preserve"> </w:t>
      </w:r>
      <w:r w:rsidRPr="00C40BC8">
        <w:rPr>
          <w:rtl/>
        </w:rPr>
        <w:t>לסטות</w:t>
      </w:r>
      <w:r w:rsidRPr="00C40BC8">
        <w:t xml:space="preserve"> </w:t>
      </w:r>
      <w:r w:rsidRPr="00C40BC8">
        <w:rPr>
          <w:rtl/>
        </w:rPr>
        <w:t>מיעדים</w:t>
      </w:r>
      <w:r w:rsidRPr="00C40BC8">
        <w:t xml:space="preserve"> </w:t>
      </w:r>
      <w:r w:rsidRPr="00C40BC8">
        <w:rPr>
          <w:rtl/>
        </w:rPr>
        <w:t>אלו</w:t>
      </w:r>
      <w:r w:rsidRPr="00C40BC8">
        <w:t xml:space="preserve"> </w:t>
      </w:r>
      <w:r w:rsidRPr="00C40BC8">
        <w:rPr>
          <w:rtl/>
        </w:rPr>
        <w:t>על</w:t>
      </w:r>
      <w:r w:rsidRPr="00C40BC8">
        <w:t xml:space="preserve"> </w:t>
      </w:r>
      <w:r w:rsidRPr="00C40BC8">
        <w:rPr>
          <w:rtl/>
        </w:rPr>
        <w:t>פי</w:t>
      </w:r>
      <w:r w:rsidRPr="00C40BC8">
        <w:t xml:space="preserve"> </w:t>
      </w:r>
      <w:r w:rsidRPr="00C40BC8">
        <w:rPr>
          <w:rtl/>
        </w:rPr>
        <w:t>הנסיבות</w:t>
      </w:r>
      <w:r w:rsidRPr="00C40BC8">
        <w:t xml:space="preserve"> </w:t>
      </w:r>
      <w:r w:rsidRPr="00C40BC8">
        <w:rPr>
          <w:rtl/>
        </w:rPr>
        <w:t>הרלוונטיות</w:t>
      </w:r>
      <w:r w:rsidRPr="00C40BC8">
        <w:t xml:space="preserve"> </w:t>
      </w:r>
      <w:r w:rsidRPr="00C40BC8">
        <w:rPr>
          <w:rtl/>
        </w:rPr>
        <w:t>לאותה</w:t>
      </w:r>
      <w:r w:rsidRPr="00C40BC8">
        <w:t xml:space="preserve"> </w:t>
      </w:r>
      <w:r w:rsidRPr="00C40BC8">
        <w:rPr>
          <w:rFonts w:hint="cs"/>
          <w:rtl/>
        </w:rPr>
        <w:t>שנה; ו</w:t>
      </w:r>
      <w:r w:rsidRPr="00C40BC8">
        <w:rPr>
          <w:rtl/>
        </w:rPr>
        <w:t>כי עמידה ביעד רווחיות תפעולית של 9% ו</w:t>
      </w:r>
      <w:r w:rsidRPr="00C40BC8">
        <w:rPr>
          <w:rFonts w:hint="cs"/>
          <w:rtl/>
        </w:rPr>
        <w:t xml:space="preserve">יעד יעילות של </w:t>
      </w:r>
      <w:r w:rsidRPr="00C40BC8">
        <w:rPr>
          <w:rtl/>
        </w:rPr>
        <w:t xml:space="preserve">25,000 דולר רווח תפעולי לעובד משמעה הקטנת תקציב המו"פ העצמי </w:t>
      </w:r>
      <w:r w:rsidRPr="00C40BC8">
        <w:rPr>
          <w:rFonts w:hint="cs"/>
          <w:rtl/>
        </w:rPr>
        <w:t xml:space="preserve">של החברה </w:t>
      </w:r>
      <w:r w:rsidRPr="00C40BC8">
        <w:rPr>
          <w:rtl/>
        </w:rPr>
        <w:t xml:space="preserve">בכל </w:t>
      </w:r>
      <w:r w:rsidRPr="00C40BC8">
        <w:rPr>
          <w:rFonts w:hint="cs"/>
          <w:rtl/>
        </w:rPr>
        <w:t xml:space="preserve">אחת מהשנים. </w:t>
      </w:r>
    </w:p>
    <w:p w:rsidR="00C149B0" w:rsidRPr="00C40BC8" w:rsidP="00C40BC8" w14:paraId="4AEEF99E" w14:textId="77777777">
      <w:pPr>
        <w:pStyle w:val="7317"/>
        <w:rPr>
          <w:rtl/>
        </w:rPr>
      </w:pPr>
      <w:r w:rsidRPr="00C40BC8">
        <w:rPr>
          <w:rtl/>
        </w:rPr>
        <w:t xml:space="preserve">נציג רשות החברות </w:t>
      </w:r>
      <w:r w:rsidRPr="00C40BC8">
        <w:rPr>
          <w:rFonts w:hint="cs"/>
          <w:rtl/>
        </w:rPr>
        <w:t>הממשלתיות</w:t>
      </w:r>
      <w:r w:rsidRPr="00C40BC8">
        <w:rPr>
          <w:rtl/>
        </w:rPr>
        <w:t xml:space="preserve"> ציין בדיון בין היתר כי הדירקטוריון הוא הקובע את יעדי החברה, אך נציגי הבעלים חייבים </w:t>
      </w:r>
      <w:r w:rsidRPr="00C40BC8">
        <w:rPr>
          <w:rFonts w:hint="cs"/>
          <w:rtl/>
        </w:rPr>
        <w:t>לחוות</w:t>
      </w:r>
      <w:r w:rsidRPr="00C40BC8">
        <w:rPr>
          <w:rtl/>
        </w:rPr>
        <w:t xml:space="preserve"> את דעתם, וכי "חלק מהמטרה הוא להושיב גם את </w:t>
      </w:r>
      <w:r w:rsidRPr="00C40BC8">
        <w:rPr>
          <w:rtl/>
        </w:rPr>
        <w:t>משהב"ט</w:t>
      </w:r>
      <w:r w:rsidRPr="00C40BC8">
        <w:rPr>
          <w:rtl/>
        </w:rPr>
        <w:t xml:space="preserve"> מול היעדים של החברה ולומר שזו הדרישה ורפאל צריכה לעמוד ביעדים"; כי מדובר על "אבני דרך בתהליך של יצירת יעדים פיננסיים"; וכי ראש יחידת ת</w:t>
      </w:r>
      <w:r w:rsidRPr="00C40BC8">
        <w:rPr>
          <w:rFonts w:hint="cs"/>
          <w:rtl/>
        </w:rPr>
        <w:t>כנון ובקרה</w:t>
      </w:r>
      <w:r w:rsidRPr="00C40BC8">
        <w:rPr>
          <w:rtl/>
        </w:rPr>
        <w:t xml:space="preserve"> ברפאל החל את התהליך מול הרשות וזוהו פערים</w:t>
      </w:r>
      <w:r w:rsidRPr="00C40BC8">
        <w:rPr>
          <w:rFonts w:hint="cs"/>
          <w:rtl/>
        </w:rPr>
        <w:t xml:space="preserve"> בין עמדותיהם לגבי</w:t>
      </w:r>
      <w:r w:rsidRPr="00C40BC8">
        <w:rPr>
          <w:rtl/>
        </w:rPr>
        <w:t xml:space="preserve"> מדדי </w:t>
      </w:r>
      <w:r w:rsidRPr="00C40BC8">
        <w:rPr>
          <w:rFonts w:hint="cs"/>
          <w:rtl/>
        </w:rPr>
        <w:t>ה</w:t>
      </w:r>
      <w:r w:rsidRPr="00C40BC8">
        <w:rPr>
          <w:rtl/>
        </w:rPr>
        <w:t>רווחיות ו</w:t>
      </w:r>
      <w:r w:rsidRPr="00C40BC8">
        <w:rPr>
          <w:rFonts w:hint="cs"/>
          <w:rtl/>
        </w:rPr>
        <w:t>ה</w:t>
      </w:r>
      <w:r w:rsidRPr="00C40BC8">
        <w:rPr>
          <w:rtl/>
        </w:rPr>
        <w:t>יעילות.</w:t>
      </w:r>
    </w:p>
    <w:p w:rsidR="00C149B0" w:rsidRPr="00C40BC8" w:rsidP="00C40BC8" w14:paraId="4CEB07ED" w14:textId="77777777">
      <w:pPr>
        <w:pStyle w:val="7317"/>
        <w:rPr>
          <w:rtl/>
        </w:rPr>
      </w:pPr>
      <w:r w:rsidRPr="00C40BC8">
        <w:rPr>
          <w:rFonts w:hint="cs"/>
          <w:rtl/>
        </w:rPr>
        <w:t>דירקטוריון החברה חזר ואשרר בדיון את מדדי הביצוע המרכזיים (</w:t>
      </w:r>
      <w:r w:rsidRPr="00C40BC8">
        <w:t>KPI`s</w:t>
      </w:r>
      <w:r w:rsidRPr="00C40BC8">
        <w:rPr>
          <w:rFonts w:hint="cs"/>
          <w:rtl/>
        </w:rPr>
        <w:t>) של החברה</w:t>
      </w:r>
      <w:r>
        <w:rPr>
          <w:vertAlign w:val="superscript"/>
          <w:rtl/>
        </w:rPr>
        <w:footnoteReference w:id="87"/>
      </w:r>
      <w:r w:rsidRPr="00C40BC8">
        <w:rPr>
          <w:rFonts w:hint="cs"/>
          <w:rtl/>
        </w:rPr>
        <w:t>, והסמיך את מנכ"ל החברה להמשיך בעבודת המטה מול רשות החברות הממשלתיות בעניין היעדים הפיננסיים.</w:t>
      </w:r>
    </w:p>
    <w:p w:rsidR="00C149B0" w:rsidRPr="00C40BC8" w:rsidP="00C40BC8" w14:paraId="6F9BEDA8" w14:textId="77777777">
      <w:pPr>
        <w:pStyle w:val="7317"/>
        <w:rPr>
          <w:rtl/>
        </w:rPr>
      </w:pPr>
      <w:r w:rsidRPr="00C40BC8">
        <w:rPr>
          <w:rFonts w:hint="cs"/>
          <w:rtl/>
        </w:rPr>
        <w:t>לאחר כארבעה חודשים, בישיבת דירקטוריון ב-</w:t>
      </w:r>
      <w:r w:rsidRPr="00C40BC8">
        <w:rPr>
          <w:rtl/>
        </w:rPr>
        <w:t>25.2.20</w:t>
      </w:r>
      <w:r w:rsidRPr="00C40BC8">
        <w:rPr>
          <w:rFonts w:hint="cs"/>
          <w:rtl/>
        </w:rPr>
        <w:t>,</w:t>
      </w:r>
      <w:r w:rsidRPr="00C40BC8">
        <w:rPr>
          <w:rtl/>
        </w:rPr>
        <w:t xml:space="preserve"> </w:t>
      </w:r>
      <w:r w:rsidRPr="00C40BC8">
        <w:rPr>
          <w:rFonts w:hint="cs"/>
          <w:rtl/>
        </w:rPr>
        <w:t>ציין המנכ"ל כי בשיחה עם נציגי הרשות</w:t>
      </w:r>
      <w:r>
        <w:rPr>
          <w:vertAlign w:val="superscript"/>
          <w:rtl/>
        </w:rPr>
        <w:footnoteReference w:id="88"/>
      </w:r>
      <w:r w:rsidRPr="00C40BC8">
        <w:rPr>
          <w:rFonts w:hint="cs"/>
          <w:rtl/>
        </w:rPr>
        <w:t xml:space="preserve"> הוא הסביר להם כי הדרך היחידה להעלות את הרווח היא על ידי הפחתת הוצאות המו"פ, וכי לחברה אין כל כוונה לעשות זאת.</w:t>
      </w:r>
    </w:p>
    <w:p w:rsidR="00C149B0" w:rsidRPr="00C40BC8" w14:paraId="4BF928B6" w14:textId="77777777">
      <w:pPr>
        <w:pStyle w:val="735"/>
        <w:numPr>
          <w:ilvl w:val="0"/>
          <w:numId w:val="13"/>
        </w:numPr>
        <w:rPr>
          <w:rtl/>
        </w:rPr>
      </w:pPr>
      <w:r w:rsidRPr="00C40BC8">
        <w:rPr>
          <w:rtl/>
        </w:rPr>
        <w:t xml:space="preserve">ב-17.11.21 פרסמה רשות החברות </w:t>
      </w:r>
      <w:r w:rsidRPr="00C40BC8">
        <w:rPr>
          <w:rFonts w:hint="cs"/>
          <w:rtl/>
        </w:rPr>
        <w:t>הממשלתיות</w:t>
      </w:r>
      <w:r w:rsidRPr="00C40BC8">
        <w:rPr>
          <w:rtl/>
        </w:rPr>
        <w:t xml:space="preserve"> חוזר בנושא יעדים פיננסיים, </w:t>
      </w:r>
      <w:r w:rsidRPr="00C40BC8">
        <w:rPr>
          <w:rFonts w:hint="eastAsia"/>
          <w:rtl/>
        </w:rPr>
        <w:t>זאת</w:t>
      </w:r>
      <w:r w:rsidRPr="00C40BC8">
        <w:rPr>
          <w:rtl/>
        </w:rPr>
        <w:t xml:space="preserve"> </w:t>
      </w:r>
      <w:r w:rsidRPr="00C40BC8">
        <w:rPr>
          <w:rFonts w:hint="cs"/>
          <w:rtl/>
        </w:rPr>
        <w:t>כדי</w:t>
      </w:r>
      <w:r w:rsidRPr="00C40BC8">
        <w:rPr>
          <w:rtl/>
        </w:rPr>
        <w:t xml:space="preserve"> לקבוע הליך סדור של שיח שנתי עם החברות הממשלתיות בנושא, </w:t>
      </w:r>
      <w:r w:rsidRPr="00C40BC8">
        <w:rPr>
          <w:rFonts w:hint="cs"/>
          <w:rtl/>
        </w:rPr>
        <w:t>ובכלל זה לקבוע</w:t>
      </w:r>
      <w:r w:rsidRPr="00C40BC8">
        <w:rPr>
          <w:rtl/>
        </w:rPr>
        <w:t xml:space="preserve"> יעדים </w:t>
      </w:r>
      <w:r w:rsidRPr="00C40BC8">
        <w:rPr>
          <w:rFonts w:hint="eastAsia"/>
          <w:rtl/>
        </w:rPr>
        <w:t>פיננסיים</w:t>
      </w:r>
      <w:r w:rsidRPr="00C40BC8">
        <w:rPr>
          <w:rtl/>
        </w:rPr>
        <w:t xml:space="preserve"> ארוכי טווח לחברות הממשלתיות</w:t>
      </w:r>
      <w:r w:rsidRPr="00C40BC8">
        <w:rPr>
          <w:rFonts w:hint="cs"/>
          <w:rtl/>
        </w:rPr>
        <w:t>,</w:t>
      </w:r>
      <w:r w:rsidRPr="00C40BC8">
        <w:rPr>
          <w:rtl/>
        </w:rPr>
        <w:t xml:space="preserve"> </w:t>
      </w:r>
      <w:r w:rsidRPr="00C40BC8">
        <w:rPr>
          <w:rFonts w:hint="cs"/>
          <w:rtl/>
        </w:rPr>
        <w:t>שיאושרו</w:t>
      </w:r>
      <w:r w:rsidRPr="00C40BC8">
        <w:rPr>
          <w:rtl/>
        </w:rPr>
        <w:t xml:space="preserve"> בדירקטוריון החברה; </w:t>
      </w:r>
      <w:r w:rsidRPr="00C40BC8">
        <w:rPr>
          <w:rFonts w:hint="eastAsia"/>
          <w:rtl/>
        </w:rPr>
        <w:t>לקבוע</w:t>
      </w:r>
      <w:r w:rsidRPr="00C40BC8">
        <w:rPr>
          <w:rtl/>
        </w:rPr>
        <w:t xml:space="preserve"> קווים מנחים הנוגעים לאישור יעדים אלו, ו</w:t>
      </w:r>
      <w:r w:rsidRPr="00C40BC8">
        <w:rPr>
          <w:rFonts w:hint="cs"/>
          <w:rtl/>
        </w:rPr>
        <w:t>לגבש</w:t>
      </w:r>
      <w:r w:rsidRPr="00C40BC8">
        <w:rPr>
          <w:rtl/>
        </w:rPr>
        <w:t xml:space="preserve"> תוכנית התכנסות רב-שנתית אשר תשמש את הדירקטוריון בהליך קבלת החלטות ואת הרשות במעקב ופיקוח על החברות; ו</w:t>
      </w:r>
      <w:r w:rsidRPr="00C40BC8">
        <w:rPr>
          <w:rFonts w:hint="eastAsia"/>
          <w:rtl/>
        </w:rPr>
        <w:t>לקבוע</w:t>
      </w:r>
      <w:r w:rsidRPr="00C40BC8">
        <w:rPr>
          <w:rtl/>
        </w:rPr>
        <w:t xml:space="preserve"> תהליכי עבודה לפיקוח, </w:t>
      </w:r>
      <w:r w:rsidRPr="00C40BC8">
        <w:rPr>
          <w:rFonts w:hint="cs"/>
          <w:rtl/>
        </w:rPr>
        <w:t>ל</w:t>
      </w:r>
      <w:r w:rsidRPr="00C40BC8">
        <w:rPr>
          <w:rtl/>
        </w:rPr>
        <w:t>בקרה ו</w:t>
      </w:r>
      <w:r w:rsidRPr="00C40BC8">
        <w:rPr>
          <w:rFonts w:hint="cs"/>
          <w:rtl/>
        </w:rPr>
        <w:t>ל</w:t>
      </w:r>
      <w:r w:rsidRPr="00C40BC8">
        <w:rPr>
          <w:rtl/>
        </w:rPr>
        <w:t xml:space="preserve">טיוב של המדדים והיעדים הפיננסיים. </w:t>
      </w:r>
      <w:r w:rsidRPr="00C40BC8">
        <w:rPr>
          <w:rFonts w:hint="eastAsia"/>
          <w:rtl/>
        </w:rPr>
        <w:t>בחוזר</w:t>
      </w:r>
      <w:r w:rsidRPr="00C40BC8">
        <w:rPr>
          <w:rtl/>
        </w:rPr>
        <w:t xml:space="preserve"> </w:t>
      </w:r>
      <w:r w:rsidRPr="00C40BC8">
        <w:rPr>
          <w:rFonts w:hint="eastAsia"/>
          <w:rtl/>
        </w:rPr>
        <w:t>נקבע</w:t>
      </w:r>
      <w:r w:rsidRPr="00C40BC8">
        <w:rPr>
          <w:rtl/>
        </w:rPr>
        <w:t xml:space="preserve"> </w:t>
      </w:r>
      <w:r w:rsidRPr="00C40BC8">
        <w:rPr>
          <w:rFonts w:hint="eastAsia"/>
          <w:rtl/>
        </w:rPr>
        <w:t>כי</w:t>
      </w:r>
      <w:r w:rsidRPr="00C40BC8">
        <w:rPr>
          <w:rtl/>
        </w:rPr>
        <w:t xml:space="preserve"> </w:t>
      </w:r>
      <w:r w:rsidRPr="00C40BC8">
        <w:rPr>
          <w:rFonts w:hint="eastAsia"/>
          <w:rtl/>
        </w:rPr>
        <w:t>המדדים</w:t>
      </w:r>
      <w:r w:rsidRPr="00C40BC8">
        <w:rPr>
          <w:rtl/>
        </w:rPr>
        <w:t xml:space="preserve"> </w:t>
      </w:r>
      <w:r w:rsidRPr="00C40BC8">
        <w:rPr>
          <w:rFonts w:hint="eastAsia"/>
          <w:rtl/>
        </w:rPr>
        <w:t>יתוקפו</w:t>
      </w:r>
      <w:r w:rsidRPr="00C40BC8">
        <w:rPr>
          <w:rtl/>
        </w:rPr>
        <w:t xml:space="preserve"> </w:t>
      </w:r>
      <w:r w:rsidRPr="00C40BC8">
        <w:rPr>
          <w:rFonts w:hint="eastAsia"/>
          <w:rtl/>
        </w:rPr>
        <w:t>מדי</w:t>
      </w:r>
      <w:r w:rsidRPr="00C40BC8">
        <w:rPr>
          <w:rtl/>
        </w:rPr>
        <w:t xml:space="preserve"> </w:t>
      </w:r>
      <w:r w:rsidRPr="00C40BC8">
        <w:rPr>
          <w:rFonts w:hint="eastAsia"/>
          <w:rtl/>
        </w:rPr>
        <w:t>שנה</w:t>
      </w:r>
      <w:r w:rsidRPr="00C40BC8">
        <w:rPr>
          <w:rtl/>
        </w:rPr>
        <w:t xml:space="preserve"> </w:t>
      </w:r>
      <w:r w:rsidRPr="00C40BC8">
        <w:rPr>
          <w:rFonts w:hint="eastAsia"/>
          <w:rtl/>
        </w:rPr>
        <w:t>בשנה</w:t>
      </w:r>
      <w:r w:rsidRPr="00C40BC8">
        <w:rPr>
          <w:rtl/>
        </w:rPr>
        <w:t xml:space="preserve">, </w:t>
      </w:r>
      <w:r w:rsidRPr="00C40BC8">
        <w:rPr>
          <w:rFonts w:hint="eastAsia"/>
          <w:rtl/>
        </w:rPr>
        <w:t>בין</w:t>
      </w:r>
      <w:r w:rsidRPr="00C40BC8">
        <w:rPr>
          <w:rtl/>
        </w:rPr>
        <w:t xml:space="preserve"> </w:t>
      </w:r>
      <w:r w:rsidRPr="00C40BC8">
        <w:rPr>
          <w:rFonts w:hint="eastAsia"/>
          <w:rtl/>
        </w:rPr>
        <w:t>היתר</w:t>
      </w:r>
      <w:r w:rsidRPr="00C40BC8">
        <w:rPr>
          <w:rtl/>
        </w:rPr>
        <w:t xml:space="preserve"> </w:t>
      </w:r>
      <w:r w:rsidRPr="00C40BC8">
        <w:rPr>
          <w:rFonts w:hint="eastAsia"/>
          <w:rtl/>
        </w:rPr>
        <w:t>בהתאם</w:t>
      </w:r>
      <w:r w:rsidRPr="00C40BC8">
        <w:rPr>
          <w:rtl/>
        </w:rPr>
        <w:t xml:space="preserve"> </w:t>
      </w:r>
      <w:r w:rsidRPr="00C40BC8">
        <w:rPr>
          <w:rFonts w:hint="eastAsia"/>
          <w:rtl/>
        </w:rPr>
        <w:t>לשינויים</w:t>
      </w:r>
      <w:r w:rsidRPr="00C40BC8">
        <w:rPr>
          <w:rtl/>
        </w:rPr>
        <w:t xml:space="preserve"> </w:t>
      </w:r>
      <w:r w:rsidRPr="00C40BC8">
        <w:rPr>
          <w:rFonts w:hint="eastAsia"/>
          <w:rtl/>
        </w:rPr>
        <w:t>אפשריים</w:t>
      </w:r>
      <w:r w:rsidRPr="00C40BC8">
        <w:rPr>
          <w:rtl/>
        </w:rPr>
        <w:t xml:space="preserve"> </w:t>
      </w:r>
      <w:r w:rsidRPr="00C40BC8">
        <w:rPr>
          <w:rFonts w:hint="eastAsia"/>
          <w:rtl/>
        </w:rPr>
        <w:t>באינטרס</w:t>
      </w:r>
      <w:r w:rsidRPr="00C40BC8">
        <w:rPr>
          <w:rFonts w:hint="cs"/>
          <w:rtl/>
        </w:rPr>
        <w:t xml:space="preserve"> של</w:t>
      </w:r>
      <w:r w:rsidRPr="00C40BC8">
        <w:rPr>
          <w:rtl/>
        </w:rPr>
        <w:t xml:space="preserve"> הבעלים.</w:t>
      </w:r>
    </w:p>
    <w:p w:rsidR="00C149B0" w:rsidRPr="00C40BC8" w:rsidP="00C40BC8" w14:paraId="309BB080" w14:textId="77777777">
      <w:pPr>
        <w:pStyle w:val="7317"/>
        <w:rPr>
          <w:rtl/>
        </w:rPr>
      </w:pPr>
      <w:r w:rsidRPr="00C40BC8">
        <w:rPr>
          <w:rFonts w:hint="cs"/>
          <w:rtl/>
        </w:rPr>
        <w:t>בחוזר נקבע כי על חברות, להן הציעה הרשות מדדים פיננסיים, לדון בהם בדירקטוריון החברה; כי לפני שתתקבל החלטה סופית בדירקטוריון יתקיים דיון עם הרשות; וכי אם סברה הרשות כי היעדים הפיננסיים שמציעה החברה אינם תואמים את עמדת הרשות - היא תודיע על כך לחברה. החוזר הנחה כי דירקטוריון החברה יגיש לרשות תוכנית התכנסות רב-שנתית ליעדים שנקבעו, וזאת לא יאוחר מתום הרבעון הראשון של שנת 2022.</w:t>
      </w:r>
    </w:p>
    <w:p w:rsidR="00C149B0" w:rsidRPr="00C40BC8" w:rsidP="00C40BC8" w14:paraId="5FCEE4EE" w14:textId="77777777">
      <w:pPr>
        <w:pStyle w:val="7317"/>
        <w:rPr>
          <w:rtl/>
        </w:rPr>
      </w:pPr>
      <w:r w:rsidRPr="00C40BC8">
        <w:rPr>
          <w:rFonts w:hint="cs"/>
          <w:rtl/>
        </w:rPr>
        <w:t xml:space="preserve">החוזר ציין כי הרשות תהיה רשאית לשקול את היעדים המצופים מהחברה, הרלוונטיים לסמכויות הרשות על פי דין, ובכלל זה מתן תגמול לעובדי החברה. בהקשר זה פורט </w:t>
      </w:r>
      <w:r w:rsidRPr="00C40BC8">
        <w:rPr>
          <w:rtl/>
        </w:rPr>
        <w:t>כי המדדים הפיננסיים</w:t>
      </w:r>
      <w:r w:rsidRPr="00C40BC8">
        <w:rPr>
          <w:rFonts w:hint="cs"/>
          <w:rtl/>
        </w:rPr>
        <w:t>,</w:t>
      </w:r>
      <w:r w:rsidRPr="00C40BC8">
        <w:rPr>
          <w:rtl/>
        </w:rPr>
        <w:t xml:space="preserve"> </w:t>
      </w:r>
      <w:r w:rsidRPr="00C40BC8">
        <w:rPr>
          <w:rFonts w:hint="cs"/>
          <w:rtl/>
        </w:rPr>
        <w:t xml:space="preserve">אם </w:t>
      </w:r>
      <w:r w:rsidRPr="00C40BC8">
        <w:rPr>
          <w:rtl/>
        </w:rPr>
        <w:t>הדירקטוריון</w:t>
      </w:r>
      <w:r w:rsidRPr="00C40BC8">
        <w:rPr>
          <w:rFonts w:hint="cs"/>
          <w:rtl/>
        </w:rPr>
        <w:t xml:space="preserve"> יאשרם,</w:t>
      </w:r>
      <w:r w:rsidRPr="00C40BC8">
        <w:rPr>
          <w:rtl/>
        </w:rPr>
        <w:t xml:space="preserve"> יה</w:t>
      </w:r>
      <w:r w:rsidRPr="00C40BC8">
        <w:rPr>
          <w:rFonts w:hint="cs"/>
          <w:rtl/>
        </w:rPr>
        <w:t>י</w:t>
      </w:r>
      <w:r w:rsidRPr="00C40BC8">
        <w:rPr>
          <w:rtl/>
        </w:rPr>
        <w:t xml:space="preserve">ו חלק מהותי </w:t>
      </w:r>
      <w:r w:rsidRPr="00C40BC8">
        <w:rPr>
          <w:rFonts w:hint="cs"/>
          <w:rtl/>
        </w:rPr>
        <w:t>מ</w:t>
      </w:r>
      <w:r w:rsidRPr="00C40BC8">
        <w:rPr>
          <w:rtl/>
        </w:rPr>
        <w:t xml:space="preserve">תוכנית התגמול </w:t>
      </w:r>
      <w:r w:rsidRPr="00C40BC8">
        <w:rPr>
          <w:rFonts w:hint="cs"/>
          <w:rtl/>
        </w:rPr>
        <w:t>של העובדים הבכירים של החברה</w:t>
      </w:r>
      <w:r w:rsidRPr="00C40BC8">
        <w:rPr>
          <w:rtl/>
        </w:rPr>
        <w:t xml:space="preserve"> בשיעורים ש</w:t>
      </w:r>
      <w:r w:rsidRPr="00C40BC8">
        <w:rPr>
          <w:rFonts w:hint="cs"/>
          <w:rtl/>
        </w:rPr>
        <w:t>ת</w:t>
      </w:r>
      <w:r w:rsidRPr="00C40BC8">
        <w:rPr>
          <w:rtl/>
        </w:rPr>
        <w:t>קבע הרשות</w:t>
      </w:r>
      <w:r>
        <w:rPr>
          <w:vertAlign w:val="superscript"/>
          <w:rtl/>
        </w:rPr>
        <w:footnoteReference w:id="89"/>
      </w:r>
      <w:r w:rsidRPr="00C40BC8">
        <w:rPr>
          <w:rtl/>
        </w:rPr>
        <w:t>; כי תוכנית העבודה השנתית להתכנסות ליעדים, כפי ש</w:t>
      </w:r>
      <w:r w:rsidRPr="00C40BC8">
        <w:rPr>
          <w:rFonts w:hint="cs"/>
          <w:rtl/>
        </w:rPr>
        <w:t>יאשר</w:t>
      </w:r>
      <w:r w:rsidRPr="00C40BC8">
        <w:rPr>
          <w:rtl/>
        </w:rPr>
        <w:t xml:space="preserve"> הדירקטוריון, </w:t>
      </w:r>
      <w:r w:rsidRPr="00C40BC8">
        <w:rPr>
          <w:rFonts w:hint="cs"/>
          <w:rtl/>
        </w:rPr>
        <w:t>תהיה</w:t>
      </w:r>
      <w:r w:rsidRPr="00C40BC8">
        <w:rPr>
          <w:rtl/>
        </w:rPr>
        <w:t xml:space="preserve"> בסיס למדידה במודל </w:t>
      </w:r>
      <w:r w:rsidRPr="00C40BC8">
        <w:rPr>
          <w:rFonts w:hint="cs"/>
          <w:rtl/>
        </w:rPr>
        <w:t>המשמש ל</w:t>
      </w:r>
      <w:r w:rsidRPr="00C40BC8">
        <w:rPr>
          <w:rtl/>
        </w:rPr>
        <w:t xml:space="preserve">תגמול </w:t>
      </w:r>
      <w:r w:rsidRPr="00C40BC8">
        <w:rPr>
          <w:rFonts w:hint="cs"/>
          <w:rtl/>
        </w:rPr>
        <w:t>ול</w:t>
      </w:r>
      <w:r w:rsidRPr="00C40BC8">
        <w:rPr>
          <w:rtl/>
        </w:rPr>
        <w:t>תמרוץ</w:t>
      </w:r>
      <w:r w:rsidRPr="00C40BC8">
        <w:rPr>
          <w:rtl/>
        </w:rPr>
        <w:t xml:space="preserve"> </w:t>
      </w:r>
      <w:r w:rsidRPr="00C40BC8">
        <w:rPr>
          <w:rFonts w:hint="cs"/>
          <w:rtl/>
        </w:rPr>
        <w:t xml:space="preserve">של </w:t>
      </w:r>
      <w:r w:rsidRPr="00C40BC8">
        <w:rPr>
          <w:rtl/>
        </w:rPr>
        <w:t>עובדים בכירים; וכי ככלל אי</w:t>
      </w:r>
      <w:r w:rsidRPr="00C40BC8">
        <w:rPr>
          <w:rFonts w:hint="cs"/>
          <w:rtl/>
        </w:rPr>
        <w:t>-</w:t>
      </w:r>
      <w:r w:rsidRPr="00C40BC8">
        <w:rPr>
          <w:rtl/>
        </w:rPr>
        <w:t xml:space="preserve">עמידה בתוכנית העבודה תוביל להפחתה עד כדי ביטול </w:t>
      </w:r>
      <w:r w:rsidRPr="00C40BC8">
        <w:rPr>
          <w:rFonts w:hint="cs"/>
          <w:rtl/>
        </w:rPr>
        <w:t xml:space="preserve">של </w:t>
      </w:r>
      <w:r w:rsidRPr="00C40BC8">
        <w:rPr>
          <w:rtl/>
        </w:rPr>
        <w:t xml:space="preserve">התגמול לאותה שנה. </w:t>
      </w:r>
    </w:p>
    <w:p w:rsidR="00C149B0" w:rsidRPr="00C40BC8" w:rsidP="00C40BC8" w14:paraId="1F3174C6" w14:textId="77777777">
      <w:pPr>
        <w:pStyle w:val="7317"/>
        <w:rPr>
          <w:rtl/>
        </w:rPr>
      </w:pPr>
      <w:r w:rsidRPr="00C40BC8">
        <w:rPr>
          <w:rFonts w:hint="cs"/>
          <w:rtl/>
        </w:rPr>
        <w:t xml:space="preserve">בחוזר הוצגה חלוקה של החברות הממשלתיות לארבע קבוצות, ובהן קבוצת החברות התחרותיות - חברות הפועלות בשוק תחרותי והכנסותיהן מבוססות על מחירי שוק, קבוצה שבה נכללה רפאל. יצוין כי </w:t>
      </w:r>
      <w:r w:rsidRPr="00C40BC8">
        <w:rPr>
          <w:rtl/>
        </w:rPr>
        <w:t xml:space="preserve">עבור חברות </w:t>
      </w:r>
      <w:r w:rsidRPr="00C40BC8">
        <w:rPr>
          <w:rFonts w:hint="cs"/>
          <w:rtl/>
        </w:rPr>
        <w:t xml:space="preserve">אלה </w:t>
      </w:r>
      <w:r w:rsidRPr="00C40BC8">
        <w:rPr>
          <w:rtl/>
        </w:rPr>
        <w:t xml:space="preserve">קבע </w:t>
      </w:r>
      <w:r w:rsidRPr="00C40BC8">
        <w:rPr>
          <w:rFonts w:hint="cs"/>
          <w:rtl/>
        </w:rPr>
        <w:t xml:space="preserve">החוזר את </w:t>
      </w:r>
      <w:r w:rsidRPr="00C40BC8">
        <w:rPr>
          <w:rtl/>
        </w:rPr>
        <w:t xml:space="preserve">אותם </w:t>
      </w:r>
      <w:r w:rsidRPr="00C40BC8">
        <w:rPr>
          <w:rFonts w:hint="cs"/>
          <w:rtl/>
        </w:rPr>
        <w:t>ה</w:t>
      </w:r>
      <w:r w:rsidRPr="00C40BC8">
        <w:rPr>
          <w:rtl/>
        </w:rPr>
        <w:t xml:space="preserve">יעדים </w:t>
      </w:r>
      <w:r w:rsidRPr="00C40BC8">
        <w:rPr>
          <w:rFonts w:hint="cs"/>
          <w:rtl/>
        </w:rPr>
        <w:t>ה</w:t>
      </w:r>
      <w:r w:rsidRPr="00C40BC8">
        <w:rPr>
          <w:rtl/>
        </w:rPr>
        <w:t xml:space="preserve">פיננסיים </w:t>
      </w:r>
      <w:r w:rsidRPr="00C40BC8">
        <w:rPr>
          <w:rFonts w:hint="cs"/>
          <w:rtl/>
        </w:rPr>
        <w:t>שקבעה</w:t>
      </w:r>
      <w:r w:rsidRPr="00C40BC8">
        <w:rPr>
          <w:rtl/>
        </w:rPr>
        <w:t xml:space="preserve"> הרשות</w:t>
      </w:r>
      <w:r w:rsidRPr="00C40BC8">
        <w:rPr>
          <w:rFonts w:hint="cs"/>
          <w:rtl/>
        </w:rPr>
        <w:t xml:space="preserve"> במכתבה</w:t>
      </w:r>
      <w:r w:rsidRPr="00C40BC8">
        <w:rPr>
          <w:rtl/>
        </w:rPr>
        <w:t xml:space="preserve"> </w:t>
      </w:r>
      <w:r w:rsidRPr="00C40BC8">
        <w:rPr>
          <w:rFonts w:hint="cs"/>
          <w:rtl/>
        </w:rPr>
        <w:t xml:space="preserve">לרפאל </w:t>
      </w:r>
      <w:r w:rsidRPr="00C40BC8">
        <w:rPr>
          <w:rtl/>
        </w:rPr>
        <w:t>מספטמבר 2019.</w:t>
      </w:r>
      <w:r w:rsidRPr="00C40BC8">
        <w:rPr>
          <w:rFonts w:hint="cs"/>
          <w:rtl/>
        </w:rPr>
        <w:t xml:space="preserve"> </w:t>
      </w:r>
    </w:p>
    <w:p w:rsidR="00C149B0" w:rsidRPr="00C40BC8" w14:paraId="4759A280" w14:textId="77777777">
      <w:pPr>
        <w:pStyle w:val="735"/>
        <w:numPr>
          <w:ilvl w:val="0"/>
          <w:numId w:val="13"/>
        </w:numPr>
        <w:rPr>
          <w:rtl/>
        </w:rPr>
      </w:pPr>
      <w:r w:rsidRPr="00C40BC8">
        <w:rPr>
          <w:rtl/>
        </w:rPr>
        <w:t xml:space="preserve">בדיון של ועדת כספים והשקעות </w:t>
      </w:r>
      <w:r w:rsidRPr="00C40BC8">
        <w:rPr>
          <w:rFonts w:hint="cs"/>
          <w:rtl/>
        </w:rPr>
        <w:t>של דירקטוריון רפאל ב</w:t>
      </w:r>
      <w:r w:rsidRPr="00C40BC8">
        <w:rPr>
          <w:rtl/>
        </w:rPr>
        <w:t xml:space="preserve">-16.12.21 ציין </w:t>
      </w:r>
      <w:r w:rsidRPr="00C40BC8">
        <w:rPr>
          <w:rFonts w:hint="cs"/>
          <w:rtl/>
        </w:rPr>
        <w:t>המנכ"ל כי החוזר מציב ל</w:t>
      </w:r>
      <w:r w:rsidRPr="00C40BC8">
        <w:rPr>
          <w:rtl/>
        </w:rPr>
        <w:t>רפאל יעדים פיננסיים ללא התחשבות במאפייני</w:t>
      </w:r>
      <w:r w:rsidRPr="00C40BC8">
        <w:rPr>
          <w:rFonts w:hint="cs"/>
          <w:rtl/>
        </w:rPr>
        <w:t xml:space="preserve">ה, וכי </w:t>
      </w:r>
      <w:r w:rsidRPr="00C40BC8">
        <w:rPr>
          <w:rtl/>
        </w:rPr>
        <w:t>הפחת</w:t>
      </w:r>
      <w:r w:rsidRPr="00C40BC8">
        <w:rPr>
          <w:rFonts w:hint="cs"/>
          <w:rtl/>
        </w:rPr>
        <w:t xml:space="preserve">ה של הוצאות </w:t>
      </w:r>
      <w:r w:rsidRPr="00C40BC8">
        <w:rPr>
          <w:rtl/>
        </w:rPr>
        <w:t>המו"פ ת</w:t>
      </w:r>
      <w:r w:rsidRPr="00C40BC8">
        <w:rPr>
          <w:rFonts w:hint="cs"/>
          <w:rtl/>
        </w:rPr>
        <w:t>אפשר לעמוד</w:t>
      </w:r>
      <w:r w:rsidRPr="00C40BC8">
        <w:rPr>
          <w:rtl/>
        </w:rPr>
        <w:t xml:space="preserve"> ביעדים א</w:t>
      </w:r>
      <w:r w:rsidRPr="00C40BC8">
        <w:rPr>
          <w:rFonts w:hint="cs"/>
          <w:rtl/>
        </w:rPr>
        <w:t>ך</w:t>
      </w:r>
      <w:r w:rsidRPr="00C40BC8">
        <w:rPr>
          <w:rtl/>
        </w:rPr>
        <w:t xml:space="preserve"> </w:t>
      </w:r>
      <w:r w:rsidRPr="00C40BC8">
        <w:rPr>
          <w:rFonts w:hint="cs"/>
          <w:rtl/>
        </w:rPr>
        <w:t xml:space="preserve">היא </w:t>
      </w:r>
      <w:r w:rsidRPr="00C40BC8">
        <w:rPr>
          <w:rtl/>
        </w:rPr>
        <w:t>חותר</w:t>
      </w:r>
      <w:r w:rsidRPr="00C40BC8">
        <w:rPr>
          <w:rFonts w:hint="cs"/>
          <w:rtl/>
        </w:rPr>
        <w:t>ת</w:t>
      </w:r>
      <w:r w:rsidRPr="00C40BC8">
        <w:rPr>
          <w:rtl/>
        </w:rPr>
        <w:t xml:space="preserve"> </w:t>
      </w:r>
      <w:r w:rsidRPr="00C40BC8">
        <w:rPr>
          <w:rFonts w:hint="cs"/>
          <w:rtl/>
        </w:rPr>
        <w:t>"</w:t>
      </w:r>
      <w:r w:rsidRPr="00C40BC8">
        <w:rPr>
          <w:rtl/>
        </w:rPr>
        <w:t>תחת הייעוד של רפאל"</w:t>
      </w:r>
      <w:r w:rsidRPr="00C40BC8">
        <w:rPr>
          <w:rFonts w:hint="cs"/>
          <w:rtl/>
        </w:rPr>
        <w:t>.</w:t>
      </w:r>
    </w:p>
    <w:p w:rsidR="00C149B0" w:rsidRPr="00C40BC8" w:rsidP="00C40BC8" w14:paraId="54BBE8C8" w14:textId="77777777">
      <w:pPr>
        <w:pStyle w:val="7317"/>
        <w:rPr>
          <w:rtl/>
        </w:rPr>
      </w:pPr>
      <w:r w:rsidRPr="00C40BC8">
        <w:rPr>
          <w:rtl/>
        </w:rPr>
        <w:t xml:space="preserve">בדיון </w:t>
      </w:r>
      <w:r w:rsidRPr="00C40BC8">
        <w:rPr>
          <w:rFonts w:hint="cs"/>
          <w:rtl/>
        </w:rPr>
        <w:t>שקיים ה</w:t>
      </w:r>
      <w:r w:rsidRPr="00C40BC8">
        <w:rPr>
          <w:rtl/>
        </w:rPr>
        <w:t xml:space="preserve">דירקטוריון </w:t>
      </w:r>
      <w:r w:rsidRPr="00C40BC8">
        <w:rPr>
          <w:rFonts w:hint="cs"/>
          <w:rtl/>
        </w:rPr>
        <w:t>באותו ה</w:t>
      </w:r>
      <w:r w:rsidRPr="00C40BC8">
        <w:rPr>
          <w:rtl/>
        </w:rPr>
        <w:t xml:space="preserve">יום בנושא היעדים הפיננסיים </w:t>
      </w:r>
      <w:r w:rsidRPr="00C40BC8">
        <w:rPr>
          <w:rFonts w:hint="cs"/>
          <w:rtl/>
        </w:rPr>
        <w:t xml:space="preserve">הוא </w:t>
      </w:r>
      <w:r w:rsidRPr="00C40BC8">
        <w:rPr>
          <w:rtl/>
        </w:rPr>
        <w:t>אימץ את עמדת ועדת הכספים</w:t>
      </w:r>
      <w:r w:rsidRPr="00C40BC8">
        <w:rPr>
          <w:rFonts w:hint="cs"/>
          <w:rtl/>
        </w:rPr>
        <w:t xml:space="preserve"> וההשקעות</w:t>
      </w:r>
      <w:r w:rsidRPr="00C40BC8">
        <w:rPr>
          <w:rtl/>
        </w:rPr>
        <w:t xml:space="preserve"> כי הדיון </w:t>
      </w:r>
      <w:r w:rsidRPr="00C40BC8">
        <w:rPr>
          <w:rFonts w:hint="cs"/>
          <w:rtl/>
        </w:rPr>
        <w:t>בנושא</w:t>
      </w:r>
      <w:r w:rsidRPr="00C40BC8">
        <w:rPr>
          <w:rtl/>
        </w:rPr>
        <w:t xml:space="preserve"> היעדים צריך להתקיים "ללא ההשקעה במו"פ"</w:t>
      </w:r>
      <w:r w:rsidRPr="00C40BC8">
        <w:rPr>
          <w:rFonts w:hint="cs"/>
          <w:rtl/>
        </w:rPr>
        <w:t>.</w:t>
      </w:r>
    </w:p>
    <w:p w:rsidR="00C149B0" w:rsidRPr="00C40BC8" w14:paraId="47DE2A28" w14:textId="77777777">
      <w:pPr>
        <w:pStyle w:val="735"/>
        <w:numPr>
          <w:ilvl w:val="0"/>
          <w:numId w:val="13"/>
        </w:numPr>
        <w:rPr>
          <w:rtl/>
        </w:rPr>
      </w:pPr>
      <w:r w:rsidRPr="00C40BC8">
        <w:rPr>
          <w:rFonts w:hint="cs"/>
          <w:rtl/>
        </w:rPr>
        <w:t>ב-26.4.22 כתבה רשות החברות הממשלתיות</w:t>
      </w:r>
      <w:r>
        <w:rPr>
          <w:vertAlign w:val="superscript"/>
          <w:rtl/>
        </w:rPr>
        <w:footnoteReference w:id="90"/>
      </w:r>
      <w:r w:rsidRPr="00C40BC8">
        <w:rPr>
          <w:rFonts w:hint="cs"/>
          <w:rtl/>
        </w:rPr>
        <w:t xml:space="preserve"> לרפאל כי בשנים האחרונות הרשות פועלת לקידום ולהטמעה של נושא היעדים הפיננסיים; כי במסגרת היעדים שייקבעו יובאו בחשבון הנחות העבודה של החברה בעת בניית תקציבה לשנת 2023 ועדכון התוכנית התקציבית הרב-שנתית, וזאת כדי שהדירקטוריון יאשר את המדדים והיעדים שיסוכמו כיעדי החברה לטווח הארוך במסגרת אישור התקציב לשנת 2023, ולא יאוחר מ-31.12.22.</w:t>
      </w:r>
    </w:p>
    <w:p w:rsidR="00C149B0" w:rsidRPr="00F66433" w:rsidP="00F66433" w14:paraId="310410C8" w14:textId="77777777">
      <w:pPr>
        <w:pStyle w:val="7318"/>
        <w:rPr>
          <w:rtl/>
        </w:rPr>
      </w:pPr>
      <w:r w:rsidRPr="00F66433">
        <w:rPr>
          <w:rFonts w:hint="cs"/>
          <w:rtl/>
        </w:rPr>
        <w:t>מהמתואר לעיל עלה כי משך קרוב לשנתיים, מאז פירטה רשות החברות הממשלתיות לפני רפאל את יעדיה (ספטמבר 2019) ועד למועד סיום הביקורת (יולי 2022), לא סיכמו רפאל והרשות את יעדיה הפיננסיים של החברה.</w:t>
      </w:r>
    </w:p>
    <w:p w:rsidR="00C149B0" w:rsidRPr="00F66433" w:rsidP="00F66433" w14:paraId="040490BE" w14:textId="77777777">
      <w:pPr>
        <w:pStyle w:val="7392"/>
      </w:pPr>
      <w:r w:rsidRPr="00F66433">
        <w:rPr>
          <w:rFonts w:hint="cs"/>
          <w:rtl/>
        </w:rPr>
        <w:t xml:space="preserve">יצוין כי בספטמבר 2019 העבירה רשות החברות הממשלתיות גם </w:t>
      </w:r>
      <w:r w:rsidRPr="00F66433">
        <w:rPr>
          <w:rFonts w:hint="cs"/>
          <w:rtl/>
        </w:rPr>
        <w:t>לתע"א</w:t>
      </w:r>
      <w:r w:rsidRPr="00F66433">
        <w:rPr>
          <w:rFonts w:hint="cs"/>
          <w:rtl/>
        </w:rPr>
        <w:t xml:space="preserve"> רשימה של יעדים המבוססים על מדדים פיננסיים שעל </w:t>
      </w:r>
      <w:r w:rsidRPr="00F66433">
        <w:rPr>
          <w:rFonts w:hint="cs"/>
          <w:rtl/>
        </w:rPr>
        <w:t>התע"א</w:t>
      </w:r>
      <w:r w:rsidRPr="00F66433">
        <w:rPr>
          <w:rFonts w:hint="cs"/>
          <w:rtl/>
        </w:rPr>
        <w:t xml:space="preserve"> להשיג בתוך חמש שנים; וכי בפברואר 2020 עדכנה רשות החברות הממשלתיות את היעדים בשיתוף </w:t>
      </w:r>
      <w:r w:rsidRPr="00F66433">
        <w:rPr>
          <w:rFonts w:hint="cs"/>
          <w:rtl/>
        </w:rPr>
        <w:t>התע"א</w:t>
      </w:r>
      <w:r>
        <w:rPr>
          <w:rStyle w:val="FootnoteReference0"/>
          <w:rtl/>
        </w:rPr>
        <w:footnoteReference w:id="91"/>
      </w:r>
      <w:r w:rsidRPr="00F66433">
        <w:rPr>
          <w:rFonts w:hint="cs"/>
          <w:rtl/>
        </w:rPr>
        <w:t>.</w:t>
      </w:r>
    </w:p>
    <w:p w:rsidR="00C149B0" w:rsidRPr="00D94367" w:rsidP="00F66433" w14:paraId="3E317276" w14:textId="77777777">
      <w:pPr>
        <w:pStyle w:val="7318"/>
        <w:rPr>
          <w:rtl/>
        </w:rPr>
      </w:pPr>
      <w:r w:rsidRPr="00D94367">
        <w:rPr>
          <w:rFonts w:hint="cs"/>
          <w:rtl/>
        </w:rPr>
        <w:t>מומלץ כי רשות החברות</w:t>
      </w:r>
      <w:r>
        <w:rPr>
          <w:rFonts w:hint="cs"/>
          <w:rtl/>
        </w:rPr>
        <w:t xml:space="preserve"> הממשלתיות</w:t>
      </w:r>
      <w:r w:rsidRPr="00D94367">
        <w:rPr>
          <w:rFonts w:hint="cs"/>
          <w:rtl/>
        </w:rPr>
        <w:t xml:space="preserve"> תסיים לסכם עם רפאל יעדים פיננסיים ארוכי טווח לפעילותה </w:t>
      </w:r>
      <w:r>
        <w:rPr>
          <w:rFonts w:hint="cs"/>
          <w:rtl/>
        </w:rPr>
        <w:t xml:space="preserve">אשר </w:t>
      </w:r>
      <w:r w:rsidRPr="00D94367">
        <w:rPr>
          <w:rtl/>
        </w:rPr>
        <w:t>ישקפו את מדיניות</w:t>
      </w:r>
      <w:r w:rsidRPr="00D94367">
        <w:rPr>
          <w:rFonts w:hint="cs"/>
          <w:rtl/>
        </w:rPr>
        <w:t>ה</w:t>
      </w:r>
      <w:r w:rsidRPr="00D94367">
        <w:rPr>
          <w:rtl/>
        </w:rPr>
        <w:t xml:space="preserve"> </w:t>
      </w:r>
      <w:r w:rsidRPr="00D94367">
        <w:rPr>
          <w:rFonts w:hint="cs"/>
          <w:rtl/>
        </w:rPr>
        <w:t>כנציגת ה</w:t>
      </w:r>
      <w:r w:rsidRPr="00D94367">
        <w:rPr>
          <w:rtl/>
        </w:rPr>
        <w:t>בעלים למדידת הצלחתה של החברה</w:t>
      </w:r>
      <w:r w:rsidRPr="00D94367">
        <w:rPr>
          <w:rFonts w:hint="cs"/>
          <w:rtl/>
        </w:rPr>
        <w:t>, בהתחשב בייעוד החברה ובמאפייניה הייחודיים, ויאפשרו בקרה אפקטיבית על פעילותה</w:t>
      </w:r>
      <w:r w:rsidRPr="00D94367">
        <w:rPr>
          <w:rtl/>
        </w:rPr>
        <w:t>.</w:t>
      </w:r>
      <w:r w:rsidRPr="00D94367">
        <w:rPr>
          <w:rFonts w:hint="cs"/>
          <w:rtl/>
        </w:rPr>
        <w:t xml:space="preserve"> בכלל זה מומלץ כי רשות החברות</w:t>
      </w:r>
      <w:r>
        <w:rPr>
          <w:rFonts w:hint="cs"/>
          <w:rtl/>
        </w:rPr>
        <w:t xml:space="preserve"> הממשלתיות</w:t>
      </w:r>
      <w:r w:rsidRPr="00D94367">
        <w:rPr>
          <w:rFonts w:hint="cs"/>
          <w:rtl/>
        </w:rPr>
        <w:t xml:space="preserve"> תתייחס בבחינת היעדים הפיננסיים ליעדים שקבע דירקטוריון החברה במסגרת התוכנית האסטרטגית שלה. </w:t>
      </w:r>
    </w:p>
    <w:p w:rsidR="00C149B0" w:rsidRPr="00D94367" w:rsidP="00F66433" w14:paraId="0A00DD81" w14:textId="4DD6D3CC">
      <w:pPr>
        <w:pStyle w:val="7318"/>
        <w:rPr>
          <w:rtl/>
        </w:rPr>
      </w:pPr>
      <w:r>
        <w:rPr>
          <w:rFonts w:hint="cs"/>
          <w:rtl/>
        </w:rPr>
        <w:t xml:space="preserve">כמו כן, </w:t>
      </w:r>
      <w:r w:rsidRPr="00D94367">
        <w:rPr>
          <w:rFonts w:hint="cs"/>
          <w:rtl/>
        </w:rPr>
        <w:t xml:space="preserve">נוכח </w:t>
      </w:r>
      <w:r>
        <w:rPr>
          <w:rFonts w:hint="cs"/>
          <w:rtl/>
        </w:rPr>
        <w:t>ה</w:t>
      </w:r>
      <w:r w:rsidRPr="00D94367">
        <w:rPr>
          <w:rFonts w:hint="cs"/>
          <w:rtl/>
        </w:rPr>
        <w:t xml:space="preserve">חשיבות </w:t>
      </w:r>
      <w:r w:rsidRPr="00C64790">
        <w:rPr>
          <w:rFonts w:hint="cs"/>
          <w:rtl/>
        </w:rPr>
        <w:t>של היקף</w:t>
      </w:r>
      <w:r w:rsidRPr="00D94367">
        <w:rPr>
          <w:rFonts w:hint="cs"/>
          <w:rtl/>
        </w:rPr>
        <w:t xml:space="preserve"> המו"פ העצמי בחברות הביטחוניות הממשלתיות - רפאל </w:t>
      </w:r>
      <w:r w:rsidRPr="00D94367">
        <w:rPr>
          <w:rFonts w:hint="cs"/>
          <w:rtl/>
        </w:rPr>
        <w:t>והתע"א</w:t>
      </w:r>
      <w:r w:rsidRPr="00D94367">
        <w:rPr>
          <w:rFonts w:hint="cs"/>
          <w:rtl/>
        </w:rPr>
        <w:t xml:space="preserve"> - כחברות טכנולוגיות, מומלץ כי רשות החברות </w:t>
      </w:r>
      <w:r>
        <w:rPr>
          <w:rFonts w:hint="cs"/>
          <w:rtl/>
        </w:rPr>
        <w:t>הממשלתיות</w:t>
      </w:r>
      <w:r w:rsidRPr="00D94367">
        <w:rPr>
          <w:rFonts w:hint="cs"/>
          <w:rtl/>
        </w:rPr>
        <w:t xml:space="preserve"> תבחן בשיתוף ע</w:t>
      </w:r>
      <w:r>
        <w:rPr>
          <w:rFonts w:hint="cs"/>
          <w:rtl/>
        </w:rPr>
        <w:t>י</w:t>
      </w:r>
      <w:r w:rsidRPr="00D94367">
        <w:rPr>
          <w:rFonts w:hint="cs"/>
          <w:rtl/>
        </w:rPr>
        <w:t>מן את הצורך לקבוע בין יעדיהן את היקף המו"פ העצמי המינימלי שעליהן להשקיע על מנת להבטיח את המשך צמיחתן והתפתחותן בשוק הביטחוני התחרותי.</w:t>
      </w:r>
    </w:p>
    <w:p w:rsidR="00C149B0" w:rsidRPr="00F66433" w:rsidP="00F66433" w14:paraId="5E3E6006" w14:textId="77777777">
      <w:pPr>
        <w:pStyle w:val="7392"/>
        <w:rPr>
          <w:rtl/>
        </w:rPr>
      </w:pPr>
      <w:r w:rsidRPr="00F66433">
        <w:rPr>
          <w:rFonts w:hint="cs"/>
          <w:rtl/>
        </w:rPr>
        <w:t xml:space="preserve">בתגובתה של רשות החברות הממשלתיות מנובמבר 2022 על ממצאי הביקורת היא מסרה כי </w:t>
      </w:r>
      <w:r w:rsidRPr="00F66433">
        <w:rPr>
          <w:rtl/>
        </w:rPr>
        <w:t xml:space="preserve">בשבועות הקרובים </w:t>
      </w:r>
      <w:r w:rsidRPr="00F66433">
        <w:rPr>
          <w:rFonts w:hint="cs"/>
          <w:rtl/>
        </w:rPr>
        <w:t>היא</w:t>
      </w:r>
      <w:r w:rsidRPr="00F66433">
        <w:rPr>
          <w:rtl/>
        </w:rPr>
        <w:t xml:space="preserve"> תמשיך בשיח </w:t>
      </w:r>
      <w:r w:rsidRPr="00F66433">
        <w:rPr>
          <w:rFonts w:hint="cs"/>
          <w:rtl/>
        </w:rPr>
        <w:t>עם</w:t>
      </w:r>
      <w:r w:rsidRPr="00F66433">
        <w:rPr>
          <w:rtl/>
        </w:rPr>
        <w:t xml:space="preserve"> </w:t>
      </w:r>
      <w:r w:rsidRPr="00F66433">
        <w:rPr>
          <w:rFonts w:hint="cs"/>
          <w:rtl/>
        </w:rPr>
        <w:t>רפאל</w:t>
      </w:r>
      <w:r w:rsidRPr="00F66433">
        <w:rPr>
          <w:rtl/>
        </w:rPr>
        <w:t xml:space="preserve"> </w:t>
      </w:r>
      <w:r w:rsidRPr="00F66433">
        <w:rPr>
          <w:rFonts w:hint="cs"/>
          <w:rtl/>
        </w:rPr>
        <w:t>כדי</w:t>
      </w:r>
      <w:r w:rsidRPr="00F66433">
        <w:rPr>
          <w:rtl/>
        </w:rPr>
        <w:t xml:space="preserve"> לסיים את הדיון</w:t>
      </w:r>
      <w:r w:rsidRPr="00F66433">
        <w:rPr>
          <w:rFonts w:hint="cs"/>
          <w:rtl/>
        </w:rPr>
        <w:t xml:space="preserve"> בנושא היעדים הפיננסיים תוך התחשבות במאפייני החברה ובסביבה העסקית שבה היא פועלת, וזאת בהתייחס ליעדים המקוריים שהוגדרו עבור החברה בחוזר הרשות ולשינויים הרלוונטיים שחלו מאז, ובאופן שיאפשר קביעת יעדים מתאימים לחברה מנקודת מבטה של הרשות כנציגת הבעלים.</w:t>
      </w:r>
    </w:p>
    <w:p w:rsidR="00C149B0" w:rsidRPr="001E7361" w:rsidP="001E7361" w14:paraId="19F6AEEF" w14:textId="77777777">
      <w:pPr>
        <w:pStyle w:val="733155"/>
        <w:rPr>
          <w:rtl/>
        </w:rPr>
      </w:pPr>
      <w:bookmarkStart w:id="30" w:name="_Toc115616209"/>
      <w:r w:rsidRPr="001E7361">
        <w:rPr>
          <w:rtl/>
        </w:rPr>
        <w:t>חלוקת דיבידנד</w:t>
      </w:r>
      <w:bookmarkEnd w:id="30"/>
      <w:r w:rsidRPr="001E7361">
        <w:rPr>
          <w:rFonts w:hint="cs"/>
          <w:rtl/>
        </w:rPr>
        <w:t xml:space="preserve"> </w:t>
      </w:r>
    </w:p>
    <w:p w:rsidR="00C149B0" w:rsidRPr="00D94367" w:rsidP="00F66433" w14:paraId="27A1B7C1" w14:textId="77777777">
      <w:pPr>
        <w:pStyle w:val="7392"/>
      </w:pPr>
      <w:r w:rsidRPr="00C215AE">
        <w:rPr>
          <w:rtl/>
        </w:rPr>
        <w:t>בחוק החברות</w:t>
      </w:r>
      <w:r w:rsidRPr="00C215AE">
        <w:rPr>
          <w:rFonts w:hint="cs"/>
          <w:rtl/>
        </w:rPr>
        <w:t>, התשנ"ט-1999 (להלן - חוק החברות)</w:t>
      </w:r>
      <w:r w:rsidRPr="00C215AE">
        <w:rPr>
          <w:rtl/>
        </w:rPr>
        <w:t xml:space="preserve"> נקבע כי כל בעל מניה זכאי לקבל דיבידנד</w:t>
      </w:r>
      <w:r>
        <w:rPr>
          <w:vertAlign w:val="superscript"/>
          <w:rtl/>
        </w:rPr>
        <w:footnoteReference w:id="92"/>
      </w:r>
      <w:r w:rsidRPr="00C215AE">
        <w:rPr>
          <w:rtl/>
        </w:rPr>
        <w:t xml:space="preserve"> בהתאם לזכויות הצמודות לכל מניה, אם הוחלט על חלוקת דיבידנד, וכי החלטת החברה על חלוקה זו תתקבל בדירקטוריון החברה</w:t>
      </w:r>
      <w:r>
        <w:rPr>
          <w:vertAlign w:val="superscript"/>
          <w:rtl/>
        </w:rPr>
        <w:footnoteReference w:id="93"/>
      </w:r>
      <w:r w:rsidRPr="00C215AE">
        <w:rPr>
          <w:rtl/>
        </w:rPr>
        <w:t xml:space="preserve">. </w:t>
      </w:r>
      <w:r w:rsidRPr="00C215AE">
        <w:rPr>
          <w:rFonts w:hint="cs"/>
          <w:rtl/>
        </w:rPr>
        <w:t>עוד נקבע בחוק כי חברה רשאית לבצע חלוקה מתוך רווחיה (מבחן הרווח</w:t>
      </w:r>
      <w:r>
        <w:rPr>
          <w:vertAlign w:val="superscript"/>
          <w:rtl/>
        </w:rPr>
        <w:footnoteReference w:id="94"/>
      </w:r>
      <w:r w:rsidRPr="00C215AE">
        <w:rPr>
          <w:rFonts w:hint="cs"/>
          <w:rtl/>
        </w:rPr>
        <w:t xml:space="preserve">) ובלבד שלא קיים חשש סביר שהחלוקה תמנע ממנה את היכולת לעמוד </w:t>
      </w:r>
      <w:r w:rsidRPr="00C215AE">
        <w:rPr>
          <w:rFonts w:hint="cs"/>
          <w:rtl/>
        </w:rPr>
        <w:t>בחבויותיה</w:t>
      </w:r>
      <w:r w:rsidRPr="00C215AE">
        <w:rPr>
          <w:rFonts w:hint="cs"/>
          <w:rtl/>
        </w:rPr>
        <w:t xml:space="preserve"> הקיימות והצפויות, בהגיע מועד קיומן (מבחן יכולת הפירעון).</w:t>
      </w:r>
    </w:p>
    <w:p w:rsidR="00C149B0" w:rsidRPr="00D94367" w:rsidP="00F66433" w14:paraId="0213320C" w14:textId="77777777">
      <w:pPr>
        <w:pStyle w:val="7392"/>
        <w:rPr>
          <w:rtl/>
        </w:rPr>
      </w:pPr>
      <w:r w:rsidRPr="00D94367">
        <w:rPr>
          <w:rtl/>
        </w:rPr>
        <w:t xml:space="preserve">בחוק החברות הממשלתיות נקבע כי החלטת הדירקטוריון בדבר ייעוד הרווחים של החברה או בדבר חלוקה </w:t>
      </w:r>
      <w:r w:rsidRPr="00D94367">
        <w:rPr>
          <w:rFonts w:hint="cs"/>
          <w:rtl/>
        </w:rPr>
        <w:t>כהגדרתה בחוק החברות</w:t>
      </w:r>
      <w:r>
        <w:rPr>
          <w:vertAlign w:val="superscript"/>
          <w:rtl/>
        </w:rPr>
        <w:footnoteReference w:id="95"/>
      </w:r>
      <w:r w:rsidRPr="00D94367">
        <w:rPr>
          <w:rFonts w:hint="cs"/>
          <w:rtl/>
        </w:rPr>
        <w:t xml:space="preserve"> </w:t>
      </w:r>
      <w:r w:rsidRPr="00D94367">
        <w:rPr>
          <w:rtl/>
        </w:rPr>
        <w:t>טעונה אישור של רשות החברות</w:t>
      </w:r>
      <w:r>
        <w:rPr>
          <w:rFonts w:hint="cs"/>
          <w:rtl/>
        </w:rPr>
        <w:t xml:space="preserve"> הממשלתיות</w:t>
      </w:r>
      <w:r w:rsidRPr="00D94367">
        <w:rPr>
          <w:rtl/>
        </w:rPr>
        <w:t>, וכי אם חלקה הרשות על החלטת הדירקטוריון אזי תפעל החברה על פי החלטת הרשות כפי שאישרה אותה הממשלה</w:t>
      </w:r>
      <w:r>
        <w:rPr>
          <w:vertAlign w:val="superscript"/>
          <w:rtl/>
        </w:rPr>
        <w:footnoteReference w:id="96"/>
      </w:r>
      <w:r w:rsidRPr="00D94367">
        <w:rPr>
          <w:rtl/>
        </w:rPr>
        <w:t xml:space="preserve">. עוד נקבע בחוק כי הדירקטוריון ידאג מדי שנה, בין היתר, </w:t>
      </w:r>
      <w:r>
        <w:rPr>
          <w:rFonts w:hint="cs"/>
          <w:rtl/>
        </w:rPr>
        <w:t>להכנת</w:t>
      </w:r>
      <w:r w:rsidRPr="00D94367">
        <w:rPr>
          <w:rtl/>
        </w:rPr>
        <w:t xml:space="preserve"> דוח רווח והפסד, </w:t>
      </w:r>
      <w:r>
        <w:rPr>
          <w:rFonts w:hint="cs"/>
          <w:rtl/>
        </w:rPr>
        <w:t>ובו מפורט, בין היתר,</w:t>
      </w:r>
      <w:r w:rsidRPr="00D94367">
        <w:rPr>
          <w:rtl/>
        </w:rPr>
        <w:t xml:space="preserve"> ייעוד </w:t>
      </w:r>
      <w:r>
        <w:rPr>
          <w:rFonts w:hint="cs"/>
          <w:rtl/>
        </w:rPr>
        <w:t>ה</w:t>
      </w:r>
      <w:r w:rsidRPr="00D94367">
        <w:rPr>
          <w:rtl/>
        </w:rPr>
        <w:t>רווחים.</w:t>
      </w:r>
    </w:p>
    <w:p w:rsidR="00C149B0" w:rsidRPr="00B431F9" w:rsidP="00B431F9" w14:paraId="35739C0D" w14:textId="77777777">
      <w:pPr>
        <w:pStyle w:val="73414"/>
      </w:pPr>
      <w:r w:rsidRPr="00B431F9">
        <w:rPr>
          <w:rFonts w:hint="cs"/>
          <w:rtl/>
        </w:rPr>
        <w:t>חלוקת דיבידנד שוטף</w:t>
      </w:r>
    </w:p>
    <w:p w:rsidR="00C149B0" w:rsidRPr="00D94367" w:rsidP="000839FF" w14:paraId="2F366037" w14:textId="77777777">
      <w:pPr>
        <w:pStyle w:val="7392"/>
        <w:rPr>
          <w:rtl/>
        </w:rPr>
      </w:pPr>
      <w:r w:rsidRPr="00D94367">
        <w:rPr>
          <w:rtl/>
        </w:rPr>
        <w:t>בחוזר</w:t>
      </w:r>
      <w:r w:rsidRPr="00D94367">
        <w:rPr>
          <w:rFonts w:hint="cs"/>
          <w:rtl/>
        </w:rPr>
        <w:t xml:space="preserve"> </w:t>
      </w:r>
      <w:r w:rsidRPr="00D94367">
        <w:rPr>
          <w:rtl/>
        </w:rPr>
        <w:t>של רשות החברות</w:t>
      </w:r>
      <w:r>
        <w:rPr>
          <w:rFonts w:hint="cs"/>
          <w:rtl/>
        </w:rPr>
        <w:t xml:space="preserve"> </w:t>
      </w:r>
      <w:r w:rsidRPr="00CA071B">
        <w:rPr>
          <w:rFonts w:hint="cs"/>
          <w:rtl/>
        </w:rPr>
        <w:t>הממשלתיות</w:t>
      </w:r>
      <w:r w:rsidRPr="00D94367">
        <w:rPr>
          <w:rFonts w:hint="cs"/>
          <w:rtl/>
        </w:rPr>
        <w:t xml:space="preserve"> מ</w:t>
      </w:r>
      <w:r>
        <w:rPr>
          <w:rFonts w:hint="cs"/>
          <w:rtl/>
        </w:rPr>
        <w:t xml:space="preserve">שנת </w:t>
      </w:r>
      <w:r w:rsidRPr="00D94367">
        <w:rPr>
          <w:rFonts w:hint="cs"/>
          <w:rtl/>
        </w:rPr>
        <w:t>2018</w:t>
      </w:r>
      <w:r>
        <w:rPr>
          <w:vertAlign w:val="superscript"/>
          <w:rtl/>
        </w:rPr>
        <w:footnoteReference w:id="97"/>
      </w:r>
      <w:r w:rsidRPr="00D94367">
        <w:rPr>
          <w:rFonts w:hint="cs"/>
          <w:vertAlign w:val="superscript"/>
          <w:rtl/>
        </w:rPr>
        <w:t>,</w:t>
      </w:r>
      <w:r>
        <w:rPr>
          <w:sz w:val="26"/>
          <w:vertAlign w:val="superscript"/>
          <w:rtl/>
        </w:rPr>
        <w:footnoteReference w:id="98"/>
      </w:r>
      <w:r w:rsidRPr="00D94367">
        <w:rPr>
          <w:rtl/>
        </w:rPr>
        <w:t xml:space="preserve"> בנושא </w:t>
      </w:r>
      <w:r>
        <w:rPr>
          <w:rFonts w:hint="cs"/>
          <w:rtl/>
        </w:rPr>
        <w:t>"</w:t>
      </w:r>
      <w:r w:rsidRPr="00D94367">
        <w:rPr>
          <w:rtl/>
        </w:rPr>
        <w:t>חלוקה וייעוד רווחים בחברות ממשלתיות</w:t>
      </w:r>
      <w:r>
        <w:rPr>
          <w:rFonts w:hint="cs"/>
          <w:rtl/>
        </w:rPr>
        <w:t>"</w:t>
      </w:r>
      <w:r w:rsidRPr="00D94367">
        <w:rPr>
          <w:rtl/>
        </w:rPr>
        <w:t xml:space="preserve"> </w:t>
      </w:r>
      <w:r w:rsidRPr="00D94367">
        <w:rPr>
          <w:rFonts w:hint="cs"/>
          <w:rtl/>
        </w:rPr>
        <w:t xml:space="preserve">(להלן - חוזר ייעוד רווחים) </w:t>
      </w:r>
      <w:r w:rsidRPr="00D94367">
        <w:rPr>
          <w:rtl/>
        </w:rPr>
        <w:t xml:space="preserve">נקבע </w:t>
      </w:r>
      <w:r w:rsidRPr="00D94367">
        <w:rPr>
          <w:rFonts w:hint="cs"/>
          <w:rtl/>
        </w:rPr>
        <w:t xml:space="preserve">בין היתר </w:t>
      </w:r>
      <w:r w:rsidRPr="00D94367">
        <w:rPr>
          <w:rtl/>
        </w:rPr>
        <w:t>כי ככלל על חברה ממשלתית לייעד מדי שנה לפחות 50% מרווחיה השוטפים</w:t>
      </w:r>
      <w:r>
        <w:rPr>
          <w:vertAlign w:val="superscript"/>
          <w:rtl/>
        </w:rPr>
        <w:footnoteReference w:id="99"/>
      </w:r>
      <w:r w:rsidRPr="00D94367">
        <w:rPr>
          <w:rFonts w:hint="cs"/>
          <w:rtl/>
        </w:rPr>
        <w:t>,</w:t>
      </w:r>
      <w:r w:rsidRPr="00D94367">
        <w:rPr>
          <w:rtl/>
        </w:rPr>
        <w:t xml:space="preserve"> </w:t>
      </w:r>
      <w:r w:rsidRPr="00D94367">
        <w:rPr>
          <w:rFonts w:hint="cs"/>
          <w:rtl/>
        </w:rPr>
        <w:t>לפני תשלום בונוס מתוך הרווחים לעובדים,</w:t>
      </w:r>
      <w:r w:rsidRPr="00D94367">
        <w:rPr>
          <w:rtl/>
        </w:rPr>
        <w:t xml:space="preserve"> לחלוקת דיבידנד </w:t>
      </w:r>
      <w:r w:rsidRPr="00D94367">
        <w:rPr>
          <w:rFonts w:hint="cs"/>
          <w:rtl/>
        </w:rPr>
        <w:t xml:space="preserve">במזומן </w:t>
      </w:r>
      <w:r w:rsidRPr="00D94367">
        <w:rPr>
          <w:rtl/>
        </w:rPr>
        <w:t>(להלן - דיבידנד שוטף)</w:t>
      </w:r>
      <w:r w:rsidRPr="00D94367">
        <w:rPr>
          <w:rFonts w:hint="cs"/>
          <w:rtl/>
        </w:rPr>
        <w:t>;</w:t>
      </w:r>
      <w:r w:rsidRPr="00D94367">
        <w:rPr>
          <w:rtl/>
        </w:rPr>
        <w:t xml:space="preserve"> </w:t>
      </w:r>
      <w:r w:rsidRPr="00D94367">
        <w:rPr>
          <w:rFonts w:hint="cs"/>
          <w:rtl/>
        </w:rPr>
        <w:t xml:space="preserve">וכי הרשות רשאית לקבוע מדיניות חלוקה שונה לחברה ממשלתית מסוימת או לקבוצה של חברות ממשלתיות וכן לקבל החלטה החורגת ממדיניות זו נוכח נסיבות פרטניות ומנימוקים שיפורטו. </w:t>
      </w:r>
    </w:p>
    <w:p w:rsidR="00C149B0" w:rsidRPr="00D94367" w:rsidP="000839FF" w14:paraId="5415DF04" w14:textId="77777777">
      <w:pPr>
        <w:pStyle w:val="7392"/>
        <w:rPr>
          <w:rtl/>
        </w:rPr>
      </w:pPr>
      <w:r w:rsidRPr="00D94367">
        <w:rPr>
          <w:rtl/>
        </w:rPr>
        <w:t xml:space="preserve">בהתאם להסכם שחתמה </w:t>
      </w:r>
      <w:r w:rsidRPr="00D94367">
        <w:rPr>
          <w:rFonts w:hint="cs"/>
          <w:rtl/>
        </w:rPr>
        <w:t xml:space="preserve">רפאל </w:t>
      </w:r>
      <w:r w:rsidRPr="00D94367">
        <w:rPr>
          <w:rtl/>
        </w:rPr>
        <w:t>עם המדינה במעבר לחברה</w:t>
      </w:r>
      <w:r w:rsidRPr="00D94367">
        <w:rPr>
          <w:rFonts w:hint="cs"/>
          <w:rtl/>
        </w:rPr>
        <w:t xml:space="preserve"> ממשלתית</w:t>
      </w:r>
      <w:r w:rsidRPr="00D94367">
        <w:rPr>
          <w:rtl/>
        </w:rPr>
        <w:t xml:space="preserve">, היא מחויבת </w:t>
      </w:r>
      <w:r w:rsidRPr="00D94367">
        <w:rPr>
          <w:rtl/>
        </w:rPr>
        <w:br/>
        <w:t>מ-1.1.05 ואילך לחלק דיבידנד שנתי לבעלי המניות בסכום שלא יפחת מ-50% מהרווח השנתי הנקי (לרבות בגין רווחי הון)</w:t>
      </w:r>
      <w:r w:rsidRPr="00D94367">
        <w:rPr>
          <w:rFonts w:hint="cs"/>
          <w:rtl/>
        </w:rPr>
        <w:t xml:space="preserve"> בדוחות הכספיים המאוחדים שלה.</w:t>
      </w:r>
      <w:r w:rsidRPr="00D94367">
        <w:rPr>
          <w:rtl/>
        </w:rPr>
        <w:t xml:space="preserve"> </w:t>
      </w:r>
      <w:r w:rsidRPr="00D94367">
        <w:rPr>
          <w:rFonts w:hint="cs"/>
          <w:rtl/>
        </w:rPr>
        <w:t>נושא זה עוגן גם בתקנון החברה. בשנת 2010 הוסכם בין משרד</w:t>
      </w:r>
      <w:r w:rsidRPr="00D94367">
        <w:rPr>
          <w:rtl/>
        </w:rPr>
        <w:t xml:space="preserve"> האוצר</w:t>
      </w:r>
      <w:r w:rsidRPr="00D94367">
        <w:rPr>
          <w:rFonts w:hint="cs"/>
          <w:rtl/>
        </w:rPr>
        <w:t xml:space="preserve"> לרפאל על שינוי מדיניות הדיבידנד הנהוגה בחברה - הפחתת סכום הדיבידנד השוטף</w:t>
      </w:r>
      <w:r w:rsidRPr="00D94367">
        <w:rPr>
          <w:rtl/>
        </w:rPr>
        <w:t xml:space="preserve"> </w:t>
      </w:r>
      <w:r w:rsidRPr="00D94367">
        <w:rPr>
          <w:rFonts w:hint="cs"/>
          <w:rtl/>
        </w:rPr>
        <w:t>והפניית הסכומים שהופחתו לתחומי מחקר ופיתוח</w:t>
      </w:r>
      <w:r>
        <w:rPr>
          <w:vertAlign w:val="superscript"/>
          <w:rtl/>
        </w:rPr>
        <w:footnoteReference w:id="100"/>
      </w:r>
      <w:r w:rsidRPr="00D94367">
        <w:rPr>
          <w:rFonts w:hint="cs"/>
          <w:rtl/>
        </w:rPr>
        <w:t xml:space="preserve">. </w:t>
      </w:r>
      <w:r w:rsidRPr="00D94367">
        <w:rPr>
          <w:rtl/>
        </w:rPr>
        <w:t xml:space="preserve">בשנים </w:t>
      </w:r>
      <w:r w:rsidRPr="00D94367">
        <w:rPr>
          <w:lang w:bidi="en-US"/>
        </w:rPr>
        <w:t>2011</w:t>
      </w:r>
      <w:r w:rsidRPr="00D94367">
        <w:rPr>
          <w:rtl/>
        </w:rPr>
        <w:t xml:space="preserve"> ו-</w:t>
      </w:r>
      <w:r w:rsidRPr="00D94367">
        <w:rPr>
          <w:lang w:bidi="en-US"/>
        </w:rPr>
        <w:t>2012</w:t>
      </w:r>
      <w:r w:rsidRPr="00D94367">
        <w:rPr>
          <w:rtl/>
        </w:rPr>
        <w:t xml:space="preserve"> נוכה סך של </w:t>
      </w:r>
      <w:r w:rsidRPr="00D94367">
        <w:rPr>
          <w:lang w:bidi="en-US"/>
        </w:rPr>
        <w:t>50</w:t>
      </w:r>
      <w:r w:rsidRPr="00D94367">
        <w:rPr>
          <w:rtl/>
        </w:rPr>
        <w:t xml:space="preserve"> מיליון ש״ח מסכום הדיבידנד שהחברה </w:t>
      </w:r>
      <w:r w:rsidRPr="00D94367">
        <w:rPr>
          <w:rFonts w:hint="cs"/>
          <w:rtl/>
        </w:rPr>
        <w:t xml:space="preserve">הייתה </w:t>
      </w:r>
      <w:r w:rsidRPr="00D94367">
        <w:rPr>
          <w:rtl/>
        </w:rPr>
        <w:t>אמורה להעביר למדינה בשל אותן שנים</w:t>
      </w:r>
      <w:r w:rsidRPr="00D94367">
        <w:rPr>
          <w:rFonts w:hint="cs"/>
          <w:rtl/>
        </w:rPr>
        <w:t>, ו</w:t>
      </w:r>
      <w:r w:rsidRPr="00D94367">
        <w:rPr>
          <w:rtl/>
        </w:rPr>
        <w:t xml:space="preserve">משנת </w:t>
      </w:r>
      <w:r w:rsidRPr="00D94367">
        <w:rPr>
          <w:lang w:bidi="en-US"/>
        </w:rPr>
        <w:t>2013</w:t>
      </w:r>
      <w:r w:rsidRPr="00D94367">
        <w:rPr>
          <w:rtl/>
        </w:rPr>
        <w:t xml:space="preserve"> ואילך </w:t>
      </w:r>
      <w:r w:rsidRPr="00D94367">
        <w:rPr>
          <w:rFonts w:hint="cs"/>
          <w:rtl/>
        </w:rPr>
        <w:t>מ</w:t>
      </w:r>
      <w:r w:rsidRPr="00D94367">
        <w:rPr>
          <w:rtl/>
        </w:rPr>
        <w:t xml:space="preserve">נוכה סך של </w:t>
      </w:r>
      <w:r w:rsidRPr="00D94367">
        <w:rPr>
          <w:lang w:bidi="en-US"/>
        </w:rPr>
        <w:t>70</w:t>
      </w:r>
      <w:r w:rsidRPr="00D94367">
        <w:rPr>
          <w:rtl/>
        </w:rPr>
        <w:t xml:space="preserve"> מיליון ש״ח</w:t>
      </w:r>
      <w:r>
        <w:rPr>
          <w:vertAlign w:val="superscript"/>
          <w:rtl/>
        </w:rPr>
        <w:footnoteReference w:id="101"/>
      </w:r>
      <w:r w:rsidRPr="00D94367">
        <w:rPr>
          <w:rFonts w:hint="cs"/>
          <w:rtl/>
        </w:rPr>
        <w:t>.</w:t>
      </w:r>
    </w:p>
    <w:p w:rsidR="00C149B0" w:rsidRPr="000839FF" w:rsidP="000839FF" w14:paraId="66198FC4" w14:textId="77777777">
      <w:pPr>
        <w:pStyle w:val="73512"/>
        <w:rPr>
          <w:rtl/>
        </w:rPr>
      </w:pPr>
      <w:r w:rsidRPr="000839FF">
        <w:rPr>
          <w:rFonts w:hint="cs"/>
          <w:rtl/>
        </w:rPr>
        <w:t>חלוקת דיבידנד שוטף</w:t>
      </w:r>
      <w:r w:rsidRPr="000839FF">
        <w:rPr>
          <w:rtl/>
        </w:rPr>
        <w:t xml:space="preserve"> </w:t>
      </w:r>
      <w:r w:rsidRPr="000839FF">
        <w:rPr>
          <w:rFonts w:hint="cs"/>
          <w:rtl/>
        </w:rPr>
        <w:t>בשנים 2017 - 2021</w:t>
      </w:r>
    </w:p>
    <w:p w:rsidR="00C149B0" w:rsidRPr="000839FF" w:rsidP="000839FF" w14:paraId="7DAD40F2" w14:textId="77777777">
      <w:pPr>
        <w:pStyle w:val="7392"/>
        <w:rPr>
          <w:rtl/>
        </w:rPr>
      </w:pPr>
      <w:r w:rsidRPr="000839FF">
        <w:rPr>
          <w:rtl/>
        </w:rPr>
        <w:t>בחוזר ייעוד רווחים</w:t>
      </w:r>
      <w:r w:rsidRPr="000839FF">
        <w:rPr>
          <w:rFonts w:hint="cs"/>
          <w:rtl/>
        </w:rPr>
        <w:t xml:space="preserve">, שמטרתו, בין היתר, להבהיר את האופן שבו על החברה לתת בדוחותיה הכספיים גילוי ביחס לחלוקה ולייעוד של הרווחים, </w:t>
      </w:r>
      <w:r w:rsidRPr="000839FF">
        <w:rPr>
          <w:rtl/>
        </w:rPr>
        <w:t>נקבע כי על דירקטוריון חברה ממשלתית לקיים דיון בדבר חלוקה או ייעוד</w:t>
      </w:r>
      <w:r w:rsidRPr="000839FF">
        <w:rPr>
          <w:rFonts w:hint="cs"/>
          <w:rtl/>
        </w:rPr>
        <w:t xml:space="preserve"> של</w:t>
      </w:r>
      <w:r w:rsidRPr="000839FF">
        <w:rPr>
          <w:rtl/>
        </w:rPr>
        <w:t xml:space="preserve"> רווחיה השוטפים והצבורים</w:t>
      </w:r>
      <w:r>
        <w:rPr>
          <w:vertAlign w:val="superscript"/>
          <w:rtl/>
        </w:rPr>
        <w:footnoteReference w:id="102"/>
      </w:r>
      <w:r w:rsidRPr="000839FF">
        <w:rPr>
          <w:rtl/>
        </w:rPr>
        <w:t xml:space="preserve"> של החברה </w:t>
      </w:r>
      <w:r w:rsidRPr="000839FF">
        <w:rPr>
          <w:rFonts w:hint="cs"/>
          <w:rtl/>
        </w:rPr>
        <w:t xml:space="preserve">ולקבל החלטה בנושא, וזאת </w:t>
      </w:r>
      <w:r w:rsidRPr="000839FF">
        <w:rPr>
          <w:rtl/>
        </w:rPr>
        <w:t xml:space="preserve">לפחות אחת לשנה ולכל המאוחר במועד אישור הדוחות הכספיים השנתיים; כי על יו"ר דירקטוריון החברה לפנות לרשות בכתב לקבלת אישורה להחלטה זו, לרבות אם הוחלט שלא לחלק או שלא לייעד רווחים, וזאת </w:t>
      </w:r>
      <w:r w:rsidRPr="000839FF">
        <w:rPr>
          <w:rFonts w:hint="cs"/>
          <w:rtl/>
        </w:rPr>
        <w:t>ב</w:t>
      </w:r>
      <w:r w:rsidRPr="000839FF">
        <w:rPr>
          <w:rtl/>
        </w:rPr>
        <w:t xml:space="preserve">תוך 21 ימים ממועד קבלת ההחלטה על ידי הדירקטוריון; כי יו"ר הדירקטוריון בפנייתו לרשות ינמק את החלטת הדירקטוריון </w:t>
      </w:r>
      <w:r w:rsidRPr="000839FF">
        <w:rPr>
          <w:rFonts w:hint="cs"/>
          <w:rtl/>
        </w:rPr>
        <w:t>ובכלל זה יציין</w:t>
      </w:r>
      <w:r w:rsidRPr="000839FF">
        <w:rPr>
          <w:rtl/>
        </w:rPr>
        <w:t xml:space="preserve">, בין היתר, את הסכומים שיועדו לחלוקה, לרבות </w:t>
      </w:r>
      <w:r w:rsidRPr="000839FF">
        <w:rPr>
          <w:rFonts w:hint="cs"/>
          <w:rtl/>
        </w:rPr>
        <w:t xml:space="preserve">את </w:t>
      </w:r>
      <w:r w:rsidRPr="000839FF">
        <w:rPr>
          <w:rtl/>
        </w:rPr>
        <w:t xml:space="preserve">יום ביצוע החלוקה; </w:t>
      </w:r>
      <w:r w:rsidRPr="000839FF">
        <w:rPr>
          <w:rFonts w:hint="cs"/>
          <w:rtl/>
        </w:rPr>
        <w:t xml:space="preserve">ואם החליט הדירקטוריון שלא לחלק רווחים או שלא לייעדם, יציין יו"ר הדירקטוריון </w:t>
      </w:r>
      <w:r w:rsidRPr="000839FF">
        <w:rPr>
          <w:rtl/>
        </w:rPr>
        <w:t>את הנימוקים להחלט</w:t>
      </w:r>
      <w:r w:rsidRPr="000839FF">
        <w:rPr>
          <w:rFonts w:hint="cs"/>
          <w:rtl/>
        </w:rPr>
        <w:t>ה</w:t>
      </w:r>
      <w:r w:rsidRPr="000839FF">
        <w:rPr>
          <w:rtl/>
        </w:rPr>
        <w:t xml:space="preserve">. </w:t>
      </w:r>
    </w:p>
    <w:p w:rsidR="00C149B0" w:rsidRPr="000839FF" w:rsidP="000839FF" w14:paraId="7AA16F95" w14:textId="77777777">
      <w:pPr>
        <w:pStyle w:val="7392"/>
        <w:rPr>
          <w:rtl/>
        </w:rPr>
      </w:pPr>
      <w:r w:rsidRPr="000839FF">
        <w:rPr>
          <w:rFonts w:hint="cs"/>
          <w:rtl/>
        </w:rPr>
        <w:t xml:space="preserve">עוד נקבע בחוזר כי </w:t>
      </w:r>
      <w:r w:rsidRPr="000839FF">
        <w:rPr>
          <w:rtl/>
        </w:rPr>
        <w:t>בדוח הכספי יובא גילוי בדבר החלטת הדירקטוריון בענ</w:t>
      </w:r>
      <w:r w:rsidRPr="000839FF">
        <w:rPr>
          <w:rFonts w:hint="cs"/>
          <w:rtl/>
        </w:rPr>
        <w:t>י</w:t>
      </w:r>
      <w:r w:rsidRPr="000839FF">
        <w:rPr>
          <w:rtl/>
        </w:rPr>
        <w:t xml:space="preserve">ין </w:t>
      </w:r>
      <w:r w:rsidRPr="000839FF">
        <w:rPr>
          <w:rFonts w:hint="cs"/>
          <w:rtl/>
        </w:rPr>
        <w:t>י</w:t>
      </w:r>
      <w:r w:rsidRPr="000839FF">
        <w:rPr>
          <w:rtl/>
        </w:rPr>
        <w:t>יעוד הרווחים של החברה</w:t>
      </w:r>
      <w:r w:rsidRPr="000839FF">
        <w:rPr>
          <w:rFonts w:hint="cs"/>
          <w:rtl/>
        </w:rPr>
        <w:t>,</w:t>
      </w:r>
      <w:r w:rsidRPr="000839FF">
        <w:rPr>
          <w:rtl/>
        </w:rPr>
        <w:t xml:space="preserve"> שהתקבלה במהלך תקופת הדיווח או לאחר תקופת הדיווח ועד מועד אישור הדוחות הכספיים; כי אם לא התקבלו החלטות כאמור בתקופת הדיווח, תצוין עובדה זו במפורש בדוחות הכספיים.</w:t>
      </w:r>
    </w:p>
    <w:p w:rsidR="00C149B0" w:rsidRPr="00256C2E" w:rsidP="000839FF" w14:paraId="1E42A815" w14:textId="77777777">
      <w:pPr>
        <w:pStyle w:val="7318"/>
        <w:rPr>
          <w:rtl/>
        </w:rPr>
      </w:pPr>
      <w:r>
        <w:rPr>
          <w:rFonts w:hint="cs"/>
          <w:rtl/>
        </w:rPr>
        <w:t xml:space="preserve">עלה כי </w:t>
      </w:r>
      <w:r w:rsidRPr="00256C2E">
        <w:rPr>
          <w:rFonts w:hint="cs"/>
          <w:rtl/>
        </w:rPr>
        <w:t>באפריל 2018 הכריזה רפאל על דיבידנד בסכום של כ-100 מיליון ש"ח בגין רווחי שנת 2017, ובאפריל 2019 היא הכריזה על דיבידנד בסכום של כ-166 מיליון ש"ח בגין רווחי שנת 2018. דיבידנדים אלה חולקו ביולי 2019</w:t>
      </w:r>
      <w:r>
        <w:rPr>
          <w:vertAlign w:val="superscript"/>
          <w:rtl/>
        </w:rPr>
        <w:footnoteReference w:id="103"/>
      </w:r>
      <w:r w:rsidRPr="00256C2E">
        <w:rPr>
          <w:rFonts w:hint="cs"/>
          <w:rtl/>
        </w:rPr>
        <w:t xml:space="preserve">. </w:t>
      </w:r>
      <w:r>
        <w:rPr>
          <w:rFonts w:hint="cs"/>
          <w:rtl/>
        </w:rPr>
        <w:t xml:space="preserve">בגין השנים 2019, 2020 </w:t>
      </w:r>
      <w:r>
        <w:rPr>
          <w:rtl/>
        </w:rPr>
        <w:br/>
      </w:r>
      <w:r w:rsidRPr="00256C2E">
        <w:rPr>
          <w:rFonts w:hint="cs"/>
          <w:rtl/>
        </w:rPr>
        <w:t>ו-2021 לא הכריזה רפאל על סכומי הדיבידנד שבכוונתה לחלק</w:t>
      </w:r>
      <w:r>
        <w:rPr>
          <w:rFonts w:hint="cs"/>
          <w:rtl/>
        </w:rPr>
        <w:t xml:space="preserve"> בהתאם לנדרש בחוזר רשות החברות הממשלתיות</w:t>
      </w:r>
      <w:r w:rsidRPr="00256C2E">
        <w:rPr>
          <w:rFonts w:hint="cs"/>
          <w:rtl/>
        </w:rPr>
        <w:t>.</w:t>
      </w:r>
    </w:p>
    <w:p w:rsidR="00C149B0" w:rsidRPr="000839FF" w:rsidP="000839FF" w14:paraId="7E36F854" w14:textId="77777777">
      <w:pPr>
        <w:pStyle w:val="7392"/>
        <w:rPr>
          <w:rtl/>
        </w:rPr>
      </w:pPr>
      <w:r w:rsidRPr="000839FF">
        <w:rPr>
          <w:rtl/>
        </w:rPr>
        <w:t xml:space="preserve">בדיון דירקטוריון מ-24.3.20 בנושא אישור הדוחות הכספיים </w:t>
      </w:r>
      <w:r w:rsidRPr="000839FF">
        <w:rPr>
          <w:rFonts w:hint="cs"/>
          <w:rtl/>
        </w:rPr>
        <w:t xml:space="preserve">לשנת 2019 </w:t>
      </w:r>
      <w:r w:rsidRPr="000839FF">
        <w:rPr>
          <w:rtl/>
        </w:rPr>
        <w:t xml:space="preserve">ציין מנכ"ל </w:t>
      </w:r>
      <w:r w:rsidRPr="000839FF">
        <w:rPr>
          <w:rFonts w:hint="cs"/>
          <w:rtl/>
        </w:rPr>
        <w:t xml:space="preserve">החברה </w:t>
      </w:r>
      <w:r w:rsidRPr="000839FF">
        <w:rPr>
          <w:rtl/>
        </w:rPr>
        <w:t xml:space="preserve">כי הדירקטוריון </w:t>
      </w:r>
      <w:r w:rsidRPr="000839FF">
        <w:rPr>
          <w:rFonts w:hint="cs"/>
          <w:rtl/>
        </w:rPr>
        <w:t>הוא ה</w:t>
      </w:r>
      <w:r w:rsidRPr="000839FF">
        <w:rPr>
          <w:rtl/>
        </w:rPr>
        <w:t>מחליט על חלוקת דיבידנד</w:t>
      </w:r>
      <w:r w:rsidRPr="000839FF">
        <w:rPr>
          <w:rFonts w:hint="cs"/>
          <w:rtl/>
        </w:rPr>
        <w:t>,</w:t>
      </w:r>
      <w:r w:rsidRPr="000839FF">
        <w:rPr>
          <w:rtl/>
        </w:rPr>
        <w:t xml:space="preserve"> שצפוי להגיע ל</w:t>
      </w:r>
      <w:r w:rsidRPr="000839FF">
        <w:rPr>
          <w:rFonts w:hint="cs"/>
          <w:rtl/>
        </w:rPr>
        <w:t>כ</w:t>
      </w:r>
      <w:r w:rsidRPr="000839FF">
        <w:rPr>
          <w:rtl/>
        </w:rPr>
        <w:t xml:space="preserve">-124 </w:t>
      </w:r>
      <w:r w:rsidRPr="000839FF">
        <w:rPr>
          <w:rFonts w:hint="cs"/>
          <w:rtl/>
        </w:rPr>
        <w:t>מיליון</w:t>
      </w:r>
      <w:r w:rsidRPr="000839FF">
        <w:rPr>
          <w:rtl/>
        </w:rPr>
        <w:t xml:space="preserve"> </w:t>
      </w:r>
      <w:r w:rsidRPr="000839FF">
        <w:rPr>
          <w:rFonts w:hint="cs"/>
          <w:rtl/>
        </w:rPr>
        <w:t xml:space="preserve">ש"ח בגין הרווחים השוטפים בשנה זו; וכי </w:t>
      </w:r>
      <w:r w:rsidRPr="000839FF">
        <w:rPr>
          <w:rtl/>
        </w:rPr>
        <w:t xml:space="preserve">ההנהלה </w:t>
      </w:r>
      <w:r w:rsidRPr="000839FF">
        <w:rPr>
          <w:rFonts w:hint="cs"/>
          <w:rtl/>
        </w:rPr>
        <w:t xml:space="preserve">ממליצה לדירקטוריון </w:t>
      </w:r>
      <w:r w:rsidRPr="000839FF">
        <w:rPr>
          <w:rtl/>
        </w:rPr>
        <w:t>שלא לדון כעת בנושא העברת הדיבידנד עבור רווחי שנת 2019</w:t>
      </w:r>
      <w:r w:rsidRPr="000839FF">
        <w:rPr>
          <w:rFonts w:hint="cs"/>
          <w:rtl/>
        </w:rPr>
        <w:t>. הדירקטוריון החליט באותו מועד, בין היתר משיקולי "</w:t>
      </w:r>
      <w:r w:rsidRPr="000839FF">
        <w:rPr>
          <w:rtl/>
        </w:rPr>
        <w:t>התפשטות נגיף הקורונה ומצב החירום ששרויה בו מדינת ישראל ושאר מדינות</w:t>
      </w:r>
      <w:r w:rsidRPr="000839FF">
        <w:rPr>
          <w:rFonts w:hint="cs"/>
          <w:rtl/>
        </w:rPr>
        <w:t xml:space="preserve"> </w:t>
      </w:r>
      <w:r w:rsidRPr="000839FF">
        <w:rPr>
          <w:rtl/>
        </w:rPr>
        <w:t>העולם</w:t>
      </w:r>
      <w:r w:rsidRPr="000839FF">
        <w:rPr>
          <w:rFonts w:hint="cs"/>
          <w:rtl/>
        </w:rPr>
        <w:t>",</w:t>
      </w:r>
      <w:r w:rsidRPr="000839FF">
        <w:rPr>
          <w:rtl/>
        </w:rPr>
        <w:t xml:space="preserve"> </w:t>
      </w:r>
      <w:r w:rsidRPr="000839FF">
        <w:rPr>
          <w:rFonts w:hint="cs"/>
          <w:rtl/>
        </w:rPr>
        <w:t>שעתידות להיות לו השפעות</w:t>
      </w:r>
      <w:r w:rsidRPr="000839FF">
        <w:rPr>
          <w:rtl/>
        </w:rPr>
        <w:t xml:space="preserve"> </w:t>
      </w:r>
      <w:r w:rsidRPr="000839FF">
        <w:rPr>
          <w:rFonts w:hint="cs"/>
          <w:rtl/>
        </w:rPr>
        <w:t>נ</w:t>
      </w:r>
      <w:r w:rsidRPr="000839FF">
        <w:rPr>
          <w:rtl/>
        </w:rPr>
        <w:t>רחבות על המשק הישראלי והעולמי</w:t>
      </w:r>
      <w:r w:rsidRPr="000839FF">
        <w:rPr>
          <w:rFonts w:hint="cs"/>
          <w:rtl/>
        </w:rPr>
        <w:t>, ושיקולים "הי</w:t>
      </w:r>
      <w:r w:rsidRPr="000839FF">
        <w:rPr>
          <w:rtl/>
        </w:rPr>
        <w:t>וצרים חשש ממשי ואי ודאות לגבי המצב</w:t>
      </w:r>
      <w:r w:rsidRPr="000839FF">
        <w:rPr>
          <w:rFonts w:hint="cs"/>
          <w:rtl/>
        </w:rPr>
        <w:t xml:space="preserve"> </w:t>
      </w:r>
      <w:r w:rsidRPr="000839FF">
        <w:rPr>
          <w:rtl/>
        </w:rPr>
        <w:t>העסקי העתידי של רפאל</w:t>
      </w:r>
      <w:r w:rsidRPr="000839FF">
        <w:rPr>
          <w:rFonts w:hint="cs"/>
          <w:rtl/>
        </w:rPr>
        <w:t>", כי הוא</w:t>
      </w:r>
      <w:r w:rsidRPr="000839FF">
        <w:rPr>
          <w:rtl/>
        </w:rPr>
        <w:t xml:space="preserve"> לא </w:t>
      </w:r>
      <w:r w:rsidRPr="000839FF">
        <w:rPr>
          <w:rFonts w:hint="cs"/>
          <w:rtl/>
        </w:rPr>
        <w:t>י</w:t>
      </w:r>
      <w:r w:rsidRPr="000839FF">
        <w:rPr>
          <w:rtl/>
        </w:rPr>
        <w:t xml:space="preserve">דון בנושא העברת הדיבידנד עבור רווחי </w:t>
      </w:r>
      <w:r w:rsidRPr="000839FF">
        <w:rPr>
          <w:rFonts w:hint="cs"/>
          <w:rtl/>
        </w:rPr>
        <w:t>שנת</w:t>
      </w:r>
      <w:r w:rsidRPr="000839FF">
        <w:rPr>
          <w:rtl/>
        </w:rPr>
        <w:t xml:space="preserve"> 2019</w:t>
      </w:r>
      <w:r w:rsidRPr="000839FF">
        <w:rPr>
          <w:rFonts w:hint="cs"/>
          <w:rtl/>
        </w:rPr>
        <w:t xml:space="preserve">, וכי </w:t>
      </w:r>
      <w:r w:rsidRPr="000839FF">
        <w:rPr>
          <w:rtl/>
        </w:rPr>
        <w:t>החלטה בנושא ת</w:t>
      </w:r>
      <w:r w:rsidRPr="000839FF">
        <w:rPr>
          <w:rFonts w:hint="cs"/>
          <w:rtl/>
        </w:rPr>
        <w:t>י</w:t>
      </w:r>
      <w:r w:rsidRPr="000839FF">
        <w:rPr>
          <w:rtl/>
        </w:rPr>
        <w:t>דחה למועד עתידי שייקבע</w:t>
      </w:r>
      <w:r w:rsidRPr="000839FF">
        <w:rPr>
          <w:rFonts w:hint="cs"/>
          <w:rtl/>
        </w:rPr>
        <w:t>.</w:t>
      </w:r>
    </w:p>
    <w:p w:rsidR="00C149B0" w:rsidRPr="000839FF" w:rsidP="000839FF" w14:paraId="1DE1B264" w14:textId="77777777">
      <w:pPr>
        <w:pStyle w:val="7318"/>
        <w:rPr>
          <w:rtl/>
        </w:rPr>
      </w:pPr>
      <w:r w:rsidRPr="000839FF">
        <w:rPr>
          <w:rFonts w:hint="cs"/>
          <w:rtl/>
        </w:rPr>
        <w:t>בביקורת עלה כי בדוח השנתי של החברה לשנת 2019 לא ניתן ביטוי לדחיית הדיון בנושא הדיבידנד השוטף של החברה</w:t>
      </w:r>
      <w:r>
        <w:rPr>
          <w:vertAlign w:val="superscript"/>
          <w:rtl/>
        </w:rPr>
        <w:footnoteReference w:id="104"/>
      </w:r>
      <w:r w:rsidRPr="000839FF">
        <w:rPr>
          <w:rFonts w:hint="cs"/>
          <w:rtl/>
        </w:rPr>
        <w:t xml:space="preserve">. עוד עלה כי בשנת 2021 דירקטוריון החברה לא דן בחלוקת דיבידנד בגין הרווחים השוטפים של שנת 2020, וכי גם בדוח השנתי של החברה לשנה זו לא ניתן ביטוי לנושא. זאת שלא בהתאם לנדרש בחוזר ייעוד רווחים של רשות החברות הממשלתיות. בדוח השנתי של החברה לשנת 2021 נכתב כי בכוונת החברה להמליץ על חלוקת דיבידנדים לשנים 2019 - 2021 לאחר אישור הדוחות הכספיים, בהתאם למתווה המסוכם עם רשות החברות הממשלתיות. עם זאת, לא פורטו בדוח הסיבות לדחיית הדיון. </w:t>
      </w:r>
    </w:p>
    <w:p w:rsidR="00C149B0" w:rsidRPr="00D94367" w:rsidP="000839FF" w14:paraId="7685742D" w14:textId="77777777">
      <w:pPr>
        <w:pStyle w:val="7392"/>
        <w:rPr>
          <w:rtl/>
        </w:rPr>
      </w:pPr>
      <w:r w:rsidRPr="00D94367">
        <w:rPr>
          <w:rFonts w:hint="cs"/>
          <w:rtl/>
        </w:rPr>
        <w:t>ב</w:t>
      </w:r>
      <w:r w:rsidRPr="00D94367">
        <w:rPr>
          <w:rtl/>
        </w:rPr>
        <w:t>-26.5.22 אישר דירקטוריון רפאל סיכום עם רשות החברות</w:t>
      </w:r>
      <w:r>
        <w:rPr>
          <w:rFonts w:hint="cs"/>
          <w:rtl/>
        </w:rPr>
        <w:t xml:space="preserve"> הממשלתיות</w:t>
      </w:r>
      <w:r w:rsidRPr="00D94367">
        <w:rPr>
          <w:rFonts w:hint="cs"/>
          <w:rtl/>
        </w:rPr>
        <w:t>,</w:t>
      </w:r>
      <w:r w:rsidRPr="00D94367">
        <w:rPr>
          <w:rtl/>
        </w:rPr>
        <w:t xml:space="preserve"> </w:t>
      </w:r>
      <w:r>
        <w:rPr>
          <w:rFonts w:hint="cs"/>
          <w:rtl/>
        </w:rPr>
        <w:t>ו</w:t>
      </w:r>
      <w:r w:rsidRPr="00D94367">
        <w:rPr>
          <w:rtl/>
        </w:rPr>
        <w:t xml:space="preserve">לפיו רפאל תכריז על חלוקת דיבידנד בסכום כולל של כ-347.6 מיליון ש"ח בגין רווחי השנים </w:t>
      </w:r>
      <w:r>
        <w:rPr>
          <w:rtl/>
        </w:rPr>
        <w:br/>
      </w:r>
      <w:r w:rsidRPr="00D94367">
        <w:rPr>
          <w:rtl/>
        </w:rPr>
        <w:t>20</w:t>
      </w:r>
      <w:r w:rsidRPr="00D94367">
        <w:rPr>
          <w:rFonts w:hint="cs"/>
          <w:rtl/>
        </w:rPr>
        <w:t xml:space="preserve">19 </w:t>
      </w:r>
      <w:r w:rsidRPr="00D94367">
        <w:rPr>
          <w:rtl/>
        </w:rPr>
        <w:t>-</w:t>
      </w:r>
      <w:r w:rsidRPr="00D94367">
        <w:rPr>
          <w:rFonts w:hint="cs"/>
          <w:rtl/>
        </w:rPr>
        <w:t xml:space="preserve"> </w:t>
      </w:r>
      <w:r w:rsidRPr="00D94367">
        <w:rPr>
          <w:rtl/>
        </w:rPr>
        <w:t>20</w:t>
      </w:r>
      <w:r w:rsidRPr="00D94367">
        <w:rPr>
          <w:rFonts w:hint="cs"/>
          <w:rtl/>
        </w:rPr>
        <w:t xml:space="preserve">21 (ראו פירוט לפי שנים בלוח בהמשך); סכום ממנו </w:t>
      </w:r>
      <w:r w:rsidRPr="00D94367">
        <w:rPr>
          <w:rtl/>
        </w:rPr>
        <w:t>יקוזזו 141.5 מיליון ש"ח</w:t>
      </w:r>
      <w:r>
        <w:rPr>
          <w:vertAlign w:val="superscript"/>
          <w:rtl/>
        </w:rPr>
        <w:footnoteReference w:id="105"/>
      </w:r>
      <w:r w:rsidRPr="00D94367">
        <w:rPr>
          <w:rtl/>
        </w:rPr>
        <w:t xml:space="preserve"> מתוך 269 מיליון ש"ח האפשריים לקיזוז</w:t>
      </w:r>
      <w:r w:rsidRPr="00D94367">
        <w:rPr>
          <w:rFonts w:hint="cs"/>
          <w:rtl/>
        </w:rPr>
        <w:t xml:space="preserve"> בגין דיבידנד מיוחד ששולם בשנת 2019</w:t>
      </w:r>
      <w:r>
        <w:rPr>
          <w:vertAlign w:val="superscript"/>
          <w:rtl/>
        </w:rPr>
        <w:footnoteReference w:id="106"/>
      </w:r>
      <w:r>
        <w:rPr>
          <w:rFonts w:hint="cs"/>
          <w:rtl/>
        </w:rPr>
        <w:t>,</w:t>
      </w:r>
      <w:r w:rsidRPr="00D94367">
        <w:rPr>
          <w:rFonts w:hint="cs"/>
          <w:rtl/>
        </w:rPr>
        <w:t xml:space="preserve"> </w:t>
      </w:r>
      <w:r>
        <w:rPr>
          <w:rFonts w:hint="cs"/>
          <w:rtl/>
        </w:rPr>
        <w:t>ולפי</w:t>
      </w:r>
      <w:r w:rsidRPr="00D94367">
        <w:rPr>
          <w:rFonts w:hint="cs"/>
          <w:rtl/>
        </w:rPr>
        <w:t>כך ישולם בפועל סך של 206.1 מיליון ש"ח</w:t>
      </w:r>
      <w:r w:rsidRPr="00D94367">
        <w:rPr>
          <w:rtl/>
        </w:rPr>
        <w:t xml:space="preserve">. בישיבת הדירקטוריון הציג </w:t>
      </w:r>
      <w:r w:rsidRPr="00D94367">
        <w:rPr>
          <w:rFonts w:hint="cs"/>
          <w:rtl/>
        </w:rPr>
        <w:t xml:space="preserve">סמנכ"ל הכספים של </w:t>
      </w:r>
      <w:r w:rsidRPr="00D94367">
        <w:rPr>
          <w:rtl/>
        </w:rPr>
        <w:t xml:space="preserve">רפאל כי עקב העומס התזרימי על </w:t>
      </w:r>
      <w:r w:rsidRPr="00D94367">
        <w:rPr>
          <w:rFonts w:hint="cs"/>
          <w:rtl/>
        </w:rPr>
        <w:t>החברה</w:t>
      </w:r>
      <w:r w:rsidRPr="00D94367">
        <w:rPr>
          <w:rtl/>
        </w:rPr>
        <w:t xml:space="preserve"> בשנת 2022</w:t>
      </w:r>
      <w:r>
        <w:rPr>
          <w:vertAlign w:val="superscript"/>
          <w:rtl/>
        </w:rPr>
        <w:footnoteReference w:id="107"/>
      </w:r>
      <w:r w:rsidRPr="00D94367">
        <w:rPr>
          <w:rtl/>
        </w:rPr>
        <w:t xml:space="preserve">, סוכם עם הרשות כי תשלום הדיבידנד יבוצע בדצמבר 2022, </w:t>
      </w:r>
      <w:r w:rsidRPr="00D94367">
        <w:rPr>
          <w:rFonts w:hint="cs"/>
          <w:rtl/>
        </w:rPr>
        <w:t>וכי</w:t>
      </w:r>
      <w:r w:rsidRPr="00D94367">
        <w:rPr>
          <w:rtl/>
        </w:rPr>
        <w:t xml:space="preserve"> רפאל שומרת לעצמה את הזכות לפנות לרשות בבקשה לדחיית התשלום לשנת 2023.</w:t>
      </w:r>
    </w:p>
    <w:p w:rsidR="00C149B0" w:rsidP="000839FF" w14:paraId="78C6D7FB" w14:textId="77777777">
      <w:pPr>
        <w:pStyle w:val="7392"/>
        <w:rPr>
          <w:rFonts w:eastAsia="Times New Roman"/>
          <w:sz w:val="24"/>
          <w:rtl/>
        </w:rPr>
      </w:pPr>
      <w:r w:rsidRPr="00D94367">
        <w:rPr>
          <w:rFonts w:eastAsia="Times New Roman" w:hint="cs"/>
          <w:sz w:val="24"/>
          <w:rtl/>
        </w:rPr>
        <w:t xml:space="preserve">להלן </w:t>
      </w:r>
      <w:r w:rsidRPr="00D94367">
        <w:rPr>
          <w:rFonts w:eastAsia="Times New Roman"/>
          <w:sz w:val="24"/>
          <w:rtl/>
        </w:rPr>
        <w:t xml:space="preserve">בלוח מפורטים הדיבידנדים </w:t>
      </w:r>
      <w:r w:rsidRPr="00D94367">
        <w:rPr>
          <w:rFonts w:eastAsia="Times New Roman" w:hint="cs"/>
          <w:sz w:val="24"/>
          <w:rtl/>
        </w:rPr>
        <w:t xml:space="preserve">השוטפים </w:t>
      </w:r>
      <w:r w:rsidRPr="00494CE9">
        <w:rPr>
          <w:rFonts w:eastAsia="Times New Roman" w:hint="cs"/>
          <w:sz w:val="24"/>
          <w:rtl/>
        </w:rPr>
        <w:t>שהכריזה רפאל והדיבידנדים ששילמה בגין רווחי השנים</w:t>
      </w:r>
      <w:r w:rsidRPr="00D94367">
        <w:rPr>
          <w:rFonts w:eastAsia="Times New Roman"/>
          <w:sz w:val="24"/>
          <w:rtl/>
        </w:rPr>
        <w:t xml:space="preserve"> </w:t>
      </w:r>
      <w:r w:rsidRPr="00D94367">
        <w:rPr>
          <w:rFonts w:eastAsia="Times New Roman" w:hint="cs"/>
          <w:sz w:val="24"/>
          <w:rtl/>
        </w:rPr>
        <w:t>2017 - 2021</w:t>
      </w:r>
      <w:r w:rsidRPr="00D94367">
        <w:rPr>
          <w:rFonts w:eastAsia="Times New Roman"/>
          <w:sz w:val="24"/>
          <w:rtl/>
        </w:rPr>
        <w:t>:</w:t>
      </w:r>
    </w:p>
    <w:p w:rsidR="00EE10D2" w14:paraId="258B8BD0" w14:textId="77777777">
      <w:pPr>
        <w:bidi w:val="0"/>
        <w:spacing w:after="200" w:line="276" w:lineRule="auto"/>
        <w:rPr>
          <w:rFonts w:ascii="Tahoma" w:hAnsi="Tahoma" w:eastAsiaTheme="minorEastAsia" w:cs="Tahoma"/>
          <w:color w:val="0D0D0D" w:themeColor="text1" w:themeTint="F2"/>
          <w:szCs w:val="20"/>
          <w:rtl/>
        </w:rPr>
      </w:pPr>
      <w:r>
        <w:rPr>
          <w:b/>
          <w:bCs/>
          <w:rtl/>
        </w:rPr>
        <w:br w:type="page"/>
      </w:r>
    </w:p>
    <w:p w:rsidR="00C149B0" w:rsidRPr="000839FF" w:rsidP="000839FF" w14:paraId="7F58BF47" w14:textId="5589E10D">
      <w:pPr>
        <w:pStyle w:val="734"/>
        <w:rPr>
          <w:rtl/>
        </w:rPr>
      </w:pPr>
      <w:r w:rsidRPr="000839FF">
        <w:rPr>
          <w:b w:val="0"/>
          <w:bCs w:val="0"/>
          <w:rtl/>
        </w:rPr>
        <w:t xml:space="preserve">לוח </w:t>
      </w:r>
      <w:r w:rsidRPr="000839FF">
        <w:rPr>
          <w:rFonts w:hint="cs"/>
          <w:b w:val="0"/>
          <w:bCs w:val="0"/>
          <w:rtl/>
        </w:rPr>
        <w:t>8</w:t>
      </w:r>
      <w:r w:rsidRPr="000839FF">
        <w:rPr>
          <w:b w:val="0"/>
          <w:bCs w:val="0"/>
          <w:rtl/>
        </w:rPr>
        <w:t>:</w:t>
      </w:r>
      <w:r w:rsidRPr="000839FF">
        <w:rPr>
          <w:rtl/>
        </w:rPr>
        <w:t xml:space="preserve"> סכומי הדיבידנד השוטף ב</w:t>
      </w:r>
      <w:r w:rsidRPr="000839FF">
        <w:rPr>
          <w:rFonts w:hint="cs"/>
          <w:rtl/>
        </w:rPr>
        <w:t>גין רווחי ה</w:t>
      </w:r>
      <w:r w:rsidRPr="000839FF">
        <w:rPr>
          <w:rtl/>
        </w:rPr>
        <w:t>שנים 20</w:t>
      </w:r>
      <w:r w:rsidRPr="000839FF">
        <w:rPr>
          <w:rFonts w:hint="cs"/>
          <w:rtl/>
        </w:rPr>
        <w:t xml:space="preserve">17 </w:t>
      </w:r>
      <w:r w:rsidRPr="000839FF">
        <w:rPr>
          <w:rtl/>
        </w:rPr>
        <w:t>-</w:t>
      </w:r>
      <w:r w:rsidRPr="000839FF">
        <w:rPr>
          <w:rFonts w:hint="cs"/>
          <w:rtl/>
        </w:rPr>
        <w:t xml:space="preserve"> </w:t>
      </w:r>
      <w:r w:rsidRPr="000839FF">
        <w:rPr>
          <w:rtl/>
        </w:rPr>
        <w:t>20</w:t>
      </w:r>
      <w:r w:rsidRPr="000839FF">
        <w:rPr>
          <w:rFonts w:hint="cs"/>
          <w:rtl/>
        </w:rPr>
        <w:t>21</w:t>
      </w:r>
      <w:r w:rsidRPr="000839FF">
        <w:rPr>
          <w:rtl/>
        </w:rPr>
        <w:t xml:space="preserve"> </w:t>
      </w:r>
      <w:r w:rsidR="000839FF">
        <w:br/>
      </w:r>
      <w:r w:rsidRPr="000839FF">
        <w:rPr>
          <w:rtl/>
        </w:rPr>
        <w:t>(במיליוני ש"ח)</w:t>
      </w:r>
    </w:p>
    <w:tbl>
      <w:tblPr>
        <w:bidiVisual/>
        <w:tblW w:w="7367" w:type="dxa"/>
        <w:tblBorders>
          <w:left w:val="single" w:sz="4" w:space="0" w:color="000000" w:themeColor="text1"/>
          <w:right w:val="single" w:sz="4" w:space="0" w:color="000000" w:themeColor="text1"/>
          <w:insideV w:val="single" w:sz="4" w:space="0" w:color="000000" w:themeColor="text1"/>
        </w:tblBorders>
        <w:tblLook w:val="04A0"/>
      </w:tblPr>
      <w:tblGrid>
        <w:gridCol w:w="1574"/>
        <w:gridCol w:w="1417"/>
        <w:gridCol w:w="1276"/>
        <w:gridCol w:w="1550"/>
        <w:gridCol w:w="1550"/>
      </w:tblGrid>
      <w:tr w14:paraId="47C5762E" w14:textId="77777777" w:rsidTr="000839FF">
        <w:tblPrEx>
          <w:tblW w:w="7367" w:type="dxa"/>
          <w:tblBorders>
            <w:left w:val="single" w:sz="4" w:space="0" w:color="000000" w:themeColor="text1"/>
            <w:right w:val="single" w:sz="4" w:space="0" w:color="000000" w:themeColor="text1"/>
            <w:insideV w:val="single" w:sz="4" w:space="0" w:color="000000" w:themeColor="text1"/>
          </w:tblBorders>
          <w:tblLook w:val="04A0"/>
        </w:tblPrEx>
        <w:trPr>
          <w:trHeight w:val="691"/>
        </w:trPr>
        <w:tc>
          <w:tcPr>
            <w:tcW w:w="1574" w:type="dxa"/>
            <w:shd w:val="clear" w:color="auto" w:fill="C8DCE4"/>
            <w:vAlign w:val="bottom"/>
            <w:hideMark/>
          </w:tcPr>
          <w:p w:rsidR="00C149B0" w:rsidRPr="000839FF" w:rsidP="000839FF" w14:paraId="0AAEF3D1" w14:textId="77777777">
            <w:pPr>
              <w:pStyle w:val="73R"/>
              <w:rPr>
                <w:b/>
                <w:bCs/>
              </w:rPr>
            </w:pPr>
            <w:r w:rsidRPr="000839FF">
              <w:rPr>
                <w:b/>
                <w:bCs/>
                <w:rtl/>
              </w:rPr>
              <w:t>שנה</w:t>
            </w:r>
          </w:p>
        </w:tc>
        <w:tc>
          <w:tcPr>
            <w:tcW w:w="1417" w:type="dxa"/>
            <w:shd w:val="clear" w:color="auto" w:fill="C8DCE4"/>
            <w:vAlign w:val="bottom"/>
            <w:hideMark/>
          </w:tcPr>
          <w:p w:rsidR="00C149B0" w:rsidRPr="000839FF" w:rsidP="000839FF" w14:paraId="74CC577D" w14:textId="77777777">
            <w:pPr>
              <w:pStyle w:val="73R"/>
              <w:rPr>
                <w:b/>
                <w:bCs/>
                <w:rtl/>
              </w:rPr>
            </w:pPr>
            <w:r w:rsidRPr="000839FF">
              <w:rPr>
                <w:b/>
                <w:bCs/>
                <w:rtl/>
              </w:rPr>
              <w:t>רווח נקי</w:t>
            </w:r>
          </w:p>
        </w:tc>
        <w:tc>
          <w:tcPr>
            <w:tcW w:w="1276" w:type="dxa"/>
            <w:shd w:val="clear" w:color="auto" w:fill="C8DCE4"/>
            <w:vAlign w:val="bottom"/>
            <w:hideMark/>
          </w:tcPr>
          <w:p w:rsidR="00C149B0" w:rsidRPr="000839FF" w:rsidP="000839FF" w14:paraId="5E4549F3" w14:textId="77777777">
            <w:pPr>
              <w:pStyle w:val="73R"/>
              <w:rPr>
                <w:b/>
                <w:bCs/>
                <w:rtl/>
              </w:rPr>
            </w:pPr>
            <w:r w:rsidRPr="000839FF">
              <w:rPr>
                <w:b/>
                <w:bCs/>
                <w:rtl/>
              </w:rPr>
              <w:t>דיבידנד שוטף</w:t>
            </w:r>
            <w:r w:rsidRPr="00217652">
              <w:rPr>
                <w:rFonts w:hint="cs"/>
                <w:vertAlign w:val="superscript"/>
                <w:rtl/>
              </w:rPr>
              <w:t>(1)</w:t>
            </w:r>
          </w:p>
        </w:tc>
        <w:tc>
          <w:tcPr>
            <w:tcW w:w="1550" w:type="dxa"/>
            <w:shd w:val="clear" w:color="auto" w:fill="C8DCE4"/>
            <w:vAlign w:val="bottom"/>
          </w:tcPr>
          <w:p w:rsidR="00C149B0" w:rsidRPr="000839FF" w:rsidP="000839FF" w14:paraId="2332CCB7" w14:textId="77777777">
            <w:pPr>
              <w:pStyle w:val="73R"/>
              <w:rPr>
                <w:b/>
                <w:bCs/>
                <w:rtl/>
              </w:rPr>
            </w:pPr>
            <w:r w:rsidRPr="000839FF">
              <w:rPr>
                <w:rFonts w:hint="cs"/>
                <w:b/>
                <w:bCs/>
                <w:rtl/>
              </w:rPr>
              <w:t>מועד ההכרזה</w:t>
            </w:r>
          </w:p>
        </w:tc>
        <w:tc>
          <w:tcPr>
            <w:tcW w:w="1550" w:type="dxa"/>
            <w:shd w:val="clear" w:color="auto" w:fill="C8DCE4"/>
            <w:vAlign w:val="bottom"/>
            <w:hideMark/>
          </w:tcPr>
          <w:p w:rsidR="00C149B0" w:rsidRPr="000839FF" w:rsidP="000839FF" w14:paraId="6EE44F5C" w14:textId="77777777">
            <w:pPr>
              <w:pStyle w:val="73R"/>
              <w:rPr>
                <w:b/>
                <w:bCs/>
                <w:rtl/>
              </w:rPr>
            </w:pPr>
            <w:r w:rsidRPr="000839FF">
              <w:rPr>
                <w:rFonts w:hint="cs"/>
                <w:b/>
                <w:bCs/>
                <w:rtl/>
              </w:rPr>
              <w:t>מועד החלוקה</w:t>
            </w:r>
          </w:p>
        </w:tc>
      </w:tr>
      <w:tr w14:paraId="51EBE97E" w14:textId="77777777" w:rsidTr="000839FF">
        <w:tblPrEx>
          <w:tblW w:w="7367" w:type="dxa"/>
          <w:tblLook w:val="04A0"/>
        </w:tblPrEx>
        <w:trPr>
          <w:trHeight w:val="315"/>
        </w:trPr>
        <w:tc>
          <w:tcPr>
            <w:tcW w:w="1574" w:type="dxa"/>
            <w:shd w:val="clear" w:color="auto" w:fill="DFECEF"/>
            <w:noWrap/>
            <w:vAlign w:val="bottom"/>
            <w:hideMark/>
          </w:tcPr>
          <w:p w:rsidR="00C149B0" w:rsidRPr="000839FF" w:rsidP="000839FF" w14:paraId="7D53A2FE" w14:textId="77777777">
            <w:pPr>
              <w:pStyle w:val="73R"/>
            </w:pPr>
            <w:r w:rsidRPr="000839FF">
              <w:t>2017</w:t>
            </w:r>
          </w:p>
        </w:tc>
        <w:tc>
          <w:tcPr>
            <w:tcW w:w="1417" w:type="dxa"/>
            <w:shd w:val="clear" w:color="auto" w:fill="DFECEF"/>
            <w:vAlign w:val="center"/>
            <w:hideMark/>
          </w:tcPr>
          <w:p w:rsidR="00C149B0" w:rsidRPr="000839FF" w:rsidP="000839FF" w14:paraId="0CA0D3C7" w14:textId="77777777">
            <w:pPr>
              <w:pStyle w:val="73R"/>
            </w:pPr>
            <w:r w:rsidRPr="000839FF">
              <w:rPr>
                <w:rtl/>
              </w:rPr>
              <w:t>446</w:t>
            </w:r>
          </w:p>
        </w:tc>
        <w:tc>
          <w:tcPr>
            <w:tcW w:w="1276" w:type="dxa"/>
            <w:shd w:val="clear" w:color="auto" w:fill="DFECEF"/>
            <w:vAlign w:val="center"/>
            <w:hideMark/>
          </w:tcPr>
          <w:p w:rsidR="00C149B0" w:rsidRPr="000839FF" w:rsidP="000839FF" w14:paraId="10E9232E" w14:textId="77777777">
            <w:pPr>
              <w:pStyle w:val="73R"/>
              <w:rPr>
                <w:rtl/>
              </w:rPr>
            </w:pPr>
            <w:r w:rsidRPr="000839FF">
              <w:rPr>
                <w:rFonts w:hint="cs"/>
                <w:rtl/>
              </w:rPr>
              <w:t>150</w:t>
            </w:r>
            <w:r w:rsidRPr="00217652">
              <w:rPr>
                <w:rFonts w:hint="cs"/>
                <w:vertAlign w:val="superscript"/>
                <w:rtl/>
              </w:rPr>
              <w:t>(2)</w:t>
            </w:r>
          </w:p>
        </w:tc>
        <w:tc>
          <w:tcPr>
            <w:tcW w:w="1550" w:type="dxa"/>
            <w:shd w:val="clear" w:color="auto" w:fill="DFECEF"/>
          </w:tcPr>
          <w:p w:rsidR="00C149B0" w:rsidRPr="000839FF" w:rsidP="000839FF" w14:paraId="5AF763CA" w14:textId="77777777">
            <w:pPr>
              <w:pStyle w:val="73R"/>
              <w:rPr>
                <w:rtl/>
              </w:rPr>
            </w:pPr>
            <w:r w:rsidRPr="000839FF">
              <w:rPr>
                <w:rFonts w:hint="cs"/>
                <w:rtl/>
              </w:rPr>
              <w:t>4.2018</w:t>
            </w:r>
          </w:p>
        </w:tc>
        <w:tc>
          <w:tcPr>
            <w:tcW w:w="1550" w:type="dxa"/>
            <w:shd w:val="clear" w:color="auto" w:fill="DFECEF"/>
            <w:vAlign w:val="center"/>
          </w:tcPr>
          <w:p w:rsidR="00C149B0" w:rsidRPr="000839FF" w:rsidP="000839FF" w14:paraId="5FBC328B" w14:textId="77777777">
            <w:pPr>
              <w:pStyle w:val="73R"/>
              <w:rPr>
                <w:rtl/>
              </w:rPr>
            </w:pPr>
            <w:r w:rsidRPr="000839FF">
              <w:rPr>
                <w:rFonts w:hint="cs"/>
                <w:rtl/>
              </w:rPr>
              <w:t>7.2019</w:t>
            </w:r>
          </w:p>
        </w:tc>
      </w:tr>
      <w:tr w14:paraId="5554442E" w14:textId="77777777" w:rsidTr="000839FF">
        <w:tblPrEx>
          <w:tblW w:w="7367" w:type="dxa"/>
          <w:tblLook w:val="04A0"/>
        </w:tblPrEx>
        <w:trPr>
          <w:trHeight w:val="315"/>
        </w:trPr>
        <w:tc>
          <w:tcPr>
            <w:tcW w:w="1574" w:type="dxa"/>
            <w:shd w:val="clear" w:color="auto" w:fill="F0F8F9"/>
            <w:noWrap/>
            <w:vAlign w:val="bottom"/>
            <w:hideMark/>
          </w:tcPr>
          <w:p w:rsidR="00C149B0" w:rsidRPr="000839FF" w:rsidP="000839FF" w14:paraId="62696F4C" w14:textId="77777777">
            <w:pPr>
              <w:pStyle w:val="73R"/>
            </w:pPr>
            <w:r w:rsidRPr="000839FF">
              <w:t>2018</w:t>
            </w:r>
          </w:p>
        </w:tc>
        <w:tc>
          <w:tcPr>
            <w:tcW w:w="1417" w:type="dxa"/>
            <w:shd w:val="clear" w:color="auto" w:fill="F0F8F9"/>
            <w:vAlign w:val="center"/>
            <w:hideMark/>
          </w:tcPr>
          <w:p w:rsidR="00C149B0" w:rsidRPr="000839FF" w:rsidP="000839FF" w14:paraId="01DF9F5D" w14:textId="77777777">
            <w:pPr>
              <w:pStyle w:val="73R"/>
            </w:pPr>
            <w:r w:rsidRPr="000839FF">
              <w:rPr>
                <w:rtl/>
              </w:rPr>
              <w:t>479</w:t>
            </w:r>
          </w:p>
        </w:tc>
        <w:tc>
          <w:tcPr>
            <w:tcW w:w="1276" w:type="dxa"/>
            <w:shd w:val="clear" w:color="auto" w:fill="F0F8F9"/>
            <w:vAlign w:val="center"/>
            <w:hideMark/>
          </w:tcPr>
          <w:p w:rsidR="00C149B0" w:rsidRPr="000839FF" w:rsidP="000839FF" w14:paraId="7AF163B6" w14:textId="77777777">
            <w:pPr>
              <w:pStyle w:val="73R"/>
              <w:rPr>
                <w:rtl/>
              </w:rPr>
            </w:pPr>
            <w:r w:rsidRPr="000839FF">
              <w:rPr>
                <w:rtl/>
              </w:rPr>
              <w:t>166</w:t>
            </w:r>
          </w:p>
        </w:tc>
        <w:tc>
          <w:tcPr>
            <w:tcW w:w="1550" w:type="dxa"/>
            <w:shd w:val="clear" w:color="auto" w:fill="F0F8F9"/>
          </w:tcPr>
          <w:p w:rsidR="00C149B0" w:rsidRPr="000839FF" w:rsidP="000839FF" w14:paraId="198B2E6A" w14:textId="77777777">
            <w:pPr>
              <w:pStyle w:val="73R"/>
              <w:rPr>
                <w:rtl/>
              </w:rPr>
            </w:pPr>
            <w:r w:rsidRPr="000839FF">
              <w:rPr>
                <w:rFonts w:hint="cs"/>
                <w:rtl/>
              </w:rPr>
              <w:t>4.2019</w:t>
            </w:r>
          </w:p>
        </w:tc>
        <w:tc>
          <w:tcPr>
            <w:tcW w:w="1550" w:type="dxa"/>
            <w:shd w:val="clear" w:color="auto" w:fill="F0F8F9"/>
            <w:vAlign w:val="center"/>
          </w:tcPr>
          <w:p w:rsidR="00C149B0" w:rsidRPr="000839FF" w:rsidP="000839FF" w14:paraId="0B805547" w14:textId="77777777">
            <w:pPr>
              <w:pStyle w:val="73R"/>
              <w:rPr>
                <w:rtl/>
              </w:rPr>
            </w:pPr>
            <w:r w:rsidRPr="000839FF">
              <w:rPr>
                <w:rFonts w:hint="cs"/>
                <w:rtl/>
              </w:rPr>
              <w:t>7.2019</w:t>
            </w:r>
          </w:p>
        </w:tc>
      </w:tr>
      <w:tr w14:paraId="1886AF5D" w14:textId="77777777" w:rsidTr="000839FF">
        <w:tblPrEx>
          <w:tblW w:w="7367" w:type="dxa"/>
          <w:tblLook w:val="04A0"/>
        </w:tblPrEx>
        <w:trPr>
          <w:trHeight w:val="315"/>
        </w:trPr>
        <w:tc>
          <w:tcPr>
            <w:tcW w:w="1574" w:type="dxa"/>
            <w:shd w:val="clear" w:color="auto" w:fill="DFECEF"/>
            <w:noWrap/>
            <w:vAlign w:val="bottom"/>
            <w:hideMark/>
          </w:tcPr>
          <w:p w:rsidR="00C149B0" w:rsidRPr="000839FF" w:rsidP="000839FF" w14:paraId="1CC88C2E" w14:textId="77777777">
            <w:pPr>
              <w:pStyle w:val="73R"/>
            </w:pPr>
            <w:r w:rsidRPr="000839FF">
              <w:t>2019</w:t>
            </w:r>
          </w:p>
        </w:tc>
        <w:tc>
          <w:tcPr>
            <w:tcW w:w="1417" w:type="dxa"/>
            <w:shd w:val="clear" w:color="auto" w:fill="DFECEF"/>
            <w:vAlign w:val="center"/>
            <w:hideMark/>
          </w:tcPr>
          <w:p w:rsidR="00C149B0" w:rsidRPr="000839FF" w:rsidP="000839FF" w14:paraId="54B670AA" w14:textId="77777777">
            <w:pPr>
              <w:pStyle w:val="73R"/>
            </w:pPr>
            <w:r w:rsidRPr="000839FF">
              <w:rPr>
                <w:rtl/>
              </w:rPr>
              <w:t>397</w:t>
            </w:r>
          </w:p>
        </w:tc>
        <w:tc>
          <w:tcPr>
            <w:tcW w:w="1276" w:type="dxa"/>
            <w:shd w:val="clear" w:color="auto" w:fill="DFECEF"/>
            <w:vAlign w:val="center"/>
            <w:hideMark/>
          </w:tcPr>
          <w:p w:rsidR="00C149B0" w:rsidRPr="000839FF" w:rsidP="000839FF" w14:paraId="760D0D2F" w14:textId="77777777">
            <w:pPr>
              <w:pStyle w:val="73R"/>
              <w:rPr>
                <w:rtl/>
              </w:rPr>
            </w:pPr>
            <w:r w:rsidRPr="000839FF">
              <w:rPr>
                <w:rtl/>
              </w:rPr>
              <w:t>121</w:t>
            </w:r>
            <w:r w:rsidRPr="00217652">
              <w:rPr>
                <w:rFonts w:hint="cs"/>
                <w:vertAlign w:val="superscript"/>
                <w:rtl/>
              </w:rPr>
              <w:t>(3)</w:t>
            </w:r>
          </w:p>
        </w:tc>
        <w:tc>
          <w:tcPr>
            <w:tcW w:w="1550" w:type="dxa"/>
            <w:shd w:val="clear" w:color="auto" w:fill="DFECEF"/>
          </w:tcPr>
          <w:p w:rsidR="00C149B0" w:rsidRPr="000839FF" w:rsidP="000839FF" w14:paraId="6DBFC5B3" w14:textId="77777777">
            <w:pPr>
              <w:pStyle w:val="73R"/>
              <w:rPr>
                <w:rtl/>
              </w:rPr>
            </w:pPr>
            <w:r w:rsidRPr="000839FF">
              <w:rPr>
                <w:rFonts w:hint="cs"/>
                <w:rtl/>
              </w:rPr>
              <w:t>5.2022</w:t>
            </w:r>
            <w:r w:rsidRPr="00122F6F">
              <w:rPr>
                <w:rFonts w:hint="cs"/>
                <w:vertAlign w:val="superscript"/>
                <w:rtl/>
              </w:rPr>
              <w:t>(4)</w:t>
            </w:r>
          </w:p>
        </w:tc>
        <w:tc>
          <w:tcPr>
            <w:tcW w:w="1550" w:type="dxa"/>
            <w:shd w:val="clear" w:color="auto" w:fill="DFECEF"/>
            <w:vAlign w:val="center"/>
          </w:tcPr>
          <w:p w:rsidR="00C149B0" w:rsidRPr="000839FF" w:rsidP="000839FF" w14:paraId="71104728" w14:textId="77777777">
            <w:pPr>
              <w:pStyle w:val="73R"/>
              <w:rPr>
                <w:rtl/>
              </w:rPr>
            </w:pPr>
            <w:r w:rsidRPr="000839FF">
              <w:rPr>
                <w:rFonts w:hint="cs"/>
                <w:rtl/>
              </w:rPr>
              <w:t>-/-</w:t>
            </w:r>
          </w:p>
        </w:tc>
      </w:tr>
      <w:tr w14:paraId="7DE084B9" w14:textId="77777777" w:rsidTr="000839FF">
        <w:tblPrEx>
          <w:tblW w:w="7367" w:type="dxa"/>
          <w:tblLook w:val="04A0"/>
        </w:tblPrEx>
        <w:trPr>
          <w:trHeight w:val="315"/>
        </w:trPr>
        <w:tc>
          <w:tcPr>
            <w:tcW w:w="1574" w:type="dxa"/>
            <w:shd w:val="clear" w:color="auto" w:fill="F0F8F9"/>
            <w:noWrap/>
            <w:vAlign w:val="bottom"/>
            <w:hideMark/>
          </w:tcPr>
          <w:p w:rsidR="00C149B0" w:rsidRPr="000839FF" w:rsidP="000839FF" w14:paraId="02023092" w14:textId="77777777">
            <w:pPr>
              <w:pStyle w:val="73R"/>
            </w:pPr>
            <w:r w:rsidRPr="000839FF">
              <w:t>2020</w:t>
            </w:r>
          </w:p>
        </w:tc>
        <w:tc>
          <w:tcPr>
            <w:tcW w:w="1417" w:type="dxa"/>
            <w:shd w:val="clear" w:color="auto" w:fill="F0F8F9"/>
            <w:vAlign w:val="center"/>
            <w:hideMark/>
          </w:tcPr>
          <w:p w:rsidR="00C149B0" w:rsidRPr="000839FF" w:rsidP="000839FF" w14:paraId="290E03D8" w14:textId="77777777">
            <w:pPr>
              <w:pStyle w:val="73R"/>
            </w:pPr>
            <w:r w:rsidRPr="000839FF">
              <w:rPr>
                <w:rtl/>
              </w:rPr>
              <w:t>322</w:t>
            </w:r>
          </w:p>
        </w:tc>
        <w:tc>
          <w:tcPr>
            <w:tcW w:w="1276" w:type="dxa"/>
            <w:shd w:val="clear" w:color="auto" w:fill="F0F8F9"/>
            <w:vAlign w:val="center"/>
            <w:hideMark/>
          </w:tcPr>
          <w:p w:rsidR="00C149B0" w:rsidRPr="000839FF" w:rsidP="000839FF" w14:paraId="19B62ECB" w14:textId="77777777">
            <w:pPr>
              <w:pStyle w:val="73R"/>
              <w:rPr>
                <w:rtl/>
              </w:rPr>
            </w:pPr>
            <w:r w:rsidRPr="000839FF">
              <w:rPr>
                <w:rtl/>
              </w:rPr>
              <w:t>87</w:t>
            </w:r>
            <w:r w:rsidRPr="00217652">
              <w:rPr>
                <w:rFonts w:hint="cs"/>
                <w:vertAlign w:val="superscript"/>
                <w:rtl/>
              </w:rPr>
              <w:t>(3)</w:t>
            </w:r>
          </w:p>
        </w:tc>
        <w:tc>
          <w:tcPr>
            <w:tcW w:w="1550" w:type="dxa"/>
            <w:shd w:val="clear" w:color="auto" w:fill="F0F8F9"/>
          </w:tcPr>
          <w:p w:rsidR="00C149B0" w:rsidRPr="000839FF" w:rsidP="000839FF" w14:paraId="7D2DEA80" w14:textId="77777777">
            <w:pPr>
              <w:pStyle w:val="73R"/>
              <w:rPr>
                <w:rtl/>
              </w:rPr>
            </w:pPr>
            <w:r w:rsidRPr="000839FF">
              <w:rPr>
                <w:rFonts w:hint="cs"/>
                <w:rtl/>
              </w:rPr>
              <w:t>5.2022</w:t>
            </w:r>
            <w:r w:rsidRPr="00122F6F">
              <w:rPr>
                <w:rFonts w:hint="cs"/>
                <w:vertAlign w:val="superscript"/>
                <w:rtl/>
              </w:rPr>
              <w:t>(4)</w:t>
            </w:r>
          </w:p>
        </w:tc>
        <w:tc>
          <w:tcPr>
            <w:tcW w:w="1550" w:type="dxa"/>
            <w:shd w:val="clear" w:color="auto" w:fill="F0F8F9"/>
            <w:vAlign w:val="center"/>
            <w:hideMark/>
          </w:tcPr>
          <w:p w:rsidR="00C149B0" w:rsidRPr="000839FF" w:rsidP="000839FF" w14:paraId="658A18A6" w14:textId="77777777">
            <w:pPr>
              <w:pStyle w:val="73R"/>
              <w:rPr>
                <w:rtl/>
              </w:rPr>
            </w:pPr>
            <w:r w:rsidRPr="000839FF">
              <w:rPr>
                <w:rFonts w:hint="cs"/>
                <w:rtl/>
              </w:rPr>
              <w:t>-/-</w:t>
            </w:r>
          </w:p>
        </w:tc>
      </w:tr>
      <w:tr w14:paraId="661112E6" w14:textId="77777777" w:rsidTr="000839FF">
        <w:tblPrEx>
          <w:tblW w:w="7367" w:type="dxa"/>
          <w:tblLook w:val="04A0"/>
        </w:tblPrEx>
        <w:trPr>
          <w:trHeight w:val="315"/>
        </w:trPr>
        <w:tc>
          <w:tcPr>
            <w:tcW w:w="1574" w:type="dxa"/>
            <w:shd w:val="clear" w:color="auto" w:fill="DFECEF"/>
            <w:noWrap/>
            <w:vAlign w:val="bottom"/>
            <w:hideMark/>
          </w:tcPr>
          <w:p w:rsidR="00C149B0" w:rsidRPr="000839FF" w:rsidP="000839FF" w14:paraId="2950A70B" w14:textId="77777777">
            <w:pPr>
              <w:pStyle w:val="73R"/>
              <w:rPr>
                <w:rtl/>
              </w:rPr>
            </w:pPr>
            <w:r w:rsidRPr="000839FF">
              <w:t>2021</w:t>
            </w:r>
          </w:p>
        </w:tc>
        <w:tc>
          <w:tcPr>
            <w:tcW w:w="1417" w:type="dxa"/>
            <w:shd w:val="clear" w:color="auto" w:fill="DFECEF"/>
            <w:vAlign w:val="center"/>
            <w:hideMark/>
          </w:tcPr>
          <w:p w:rsidR="00C149B0" w:rsidRPr="000839FF" w:rsidP="000839FF" w14:paraId="162511F6" w14:textId="77777777">
            <w:pPr>
              <w:pStyle w:val="73R"/>
            </w:pPr>
            <w:r w:rsidRPr="000839FF">
              <w:rPr>
                <w:rtl/>
              </w:rPr>
              <w:t>431</w:t>
            </w:r>
          </w:p>
        </w:tc>
        <w:tc>
          <w:tcPr>
            <w:tcW w:w="1276" w:type="dxa"/>
            <w:shd w:val="clear" w:color="auto" w:fill="DFECEF"/>
            <w:vAlign w:val="center"/>
            <w:hideMark/>
          </w:tcPr>
          <w:p w:rsidR="00C149B0" w:rsidRPr="000839FF" w:rsidP="000839FF" w14:paraId="272ED05A" w14:textId="77777777">
            <w:pPr>
              <w:pStyle w:val="73R"/>
              <w:rPr>
                <w:rtl/>
              </w:rPr>
            </w:pPr>
            <w:r w:rsidRPr="000839FF">
              <w:rPr>
                <w:rtl/>
              </w:rPr>
              <w:t>139</w:t>
            </w:r>
            <w:r w:rsidRPr="00217652">
              <w:rPr>
                <w:rFonts w:hint="cs"/>
                <w:vertAlign w:val="superscript"/>
                <w:rtl/>
              </w:rPr>
              <w:t>(3)</w:t>
            </w:r>
          </w:p>
        </w:tc>
        <w:tc>
          <w:tcPr>
            <w:tcW w:w="1550" w:type="dxa"/>
            <w:shd w:val="clear" w:color="auto" w:fill="DFECEF"/>
          </w:tcPr>
          <w:p w:rsidR="00C149B0" w:rsidRPr="000839FF" w:rsidP="000839FF" w14:paraId="49FBD932" w14:textId="77777777">
            <w:pPr>
              <w:pStyle w:val="73R"/>
              <w:rPr>
                <w:rtl/>
              </w:rPr>
            </w:pPr>
            <w:r w:rsidRPr="000839FF">
              <w:rPr>
                <w:rFonts w:hint="cs"/>
                <w:rtl/>
              </w:rPr>
              <w:t>5.2022</w:t>
            </w:r>
            <w:r w:rsidRPr="00122F6F">
              <w:rPr>
                <w:rFonts w:hint="cs"/>
                <w:vertAlign w:val="superscript"/>
                <w:rtl/>
              </w:rPr>
              <w:t>(4)</w:t>
            </w:r>
          </w:p>
        </w:tc>
        <w:tc>
          <w:tcPr>
            <w:tcW w:w="1550" w:type="dxa"/>
            <w:shd w:val="clear" w:color="auto" w:fill="DFECEF"/>
            <w:vAlign w:val="center"/>
            <w:hideMark/>
          </w:tcPr>
          <w:p w:rsidR="00C149B0" w:rsidRPr="000839FF" w:rsidP="000839FF" w14:paraId="5DC83E76" w14:textId="77777777">
            <w:pPr>
              <w:pStyle w:val="73R"/>
              <w:rPr>
                <w:rtl/>
              </w:rPr>
            </w:pPr>
            <w:r w:rsidRPr="000839FF">
              <w:rPr>
                <w:rFonts w:hint="cs"/>
                <w:rtl/>
              </w:rPr>
              <w:t>-/-</w:t>
            </w:r>
          </w:p>
        </w:tc>
      </w:tr>
      <w:tr w14:paraId="4C067084" w14:textId="77777777" w:rsidTr="000839FF">
        <w:tblPrEx>
          <w:tblW w:w="7367" w:type="dxa"/>
          <w:tblLook w:val="04A0"/>
        </w:tblPrEx>
        <w:trPr>
          <w:trHeight w:val="315"/>
        </w:trPr>
        <w:tc>
          <w:tcPr>
            <w:tcW w:w="1574" w:type="dxa"/>
            <w:shd w:val="clear" w:color="auto" w:fill="F0F8F9"/>
            <w:noWrap/>
            <w:vAlign w:val="bottom"/>
          </w:tcPr>
          <w:p w:rsidR="00C149B0" w:rsidRPr="000839FF" w:rsidP="000839FF" w14:paraId="380F002F" w14:textId="77777777">
            <w:pPr>
              <w:pStyle w:val="73R"/>
              <w:rPr>
                <w:b/>
                <w:bCs/>
              </w:rPr>
            </w:pPr>
            <w:r w:rsidRPr="000839FF">
              <w:rPr>
                <w:b/>
                <w:bCs/>
                <w:rtl/>
              </w:rPr>
              <w:t xml:space="preserve">סה"כ </w:t>
            </w:r>
          </w:p>
        </w:tc>
        <w:tc>
          <w:tcPr>
            <w:tcW w:w="1417" w:type="dxa"/>
            <w:shd w:val="clear" w:color="auto" w:fill="F0F8F9"/>
            <w:vAlign w:val="center"/>
          </w:tcPr>
          <w:p w:rsidR="00C149B0" w:rsidRPr="000839FF" w:rsidP="000839FF" w14:paraId="3286E3DE" w14:textId="77777777">
            <w:pPr>
              <w:pStyle w:val="73R"/>
              <w:rPr>
                <w:b/>
                <w:bCs/>
                <w:rtl/>
              </w:rPr>
            </w:pPr>
            <w:r w:rsidRPr="000839FF">
              <w:rPr>
                <w:b/>
                <w:bCs/>
                <w:rtl/>
              </w:rPr>
              <w:t>2,075</w:t>
            </w:r>
          </w:p>
        </w:tc>
        <w:tc>
          <w:tcPr>
            <w:tcW w:w="1276" w:type="dxa"/>
            <w:shd w:val="clear" w:color="auto" w:fill="F0F8F9"/>
            <w:vAlign w:val="center"/>
          </w:tcPr>
          <w:p w:rsidR="00C149B0" w:rsidRPr="000839FF" w:rsidP="000839FF" w14:paraId="7BE0787D" w14:textId="77777777">
            <w:pPr>
              <w:pStyle w:val="73R"/>
              <w:rPr>
                <w:b/>
                <w:bCs/>
                <w:rtl/>
              </w:rPr>
            </w:pPr>
            <w:r w:rsidRPr="000839FF">
              <w:rPr>
                <w:b/>
                <w:bCs/>
                <w:rtl/>
              </w:rPr>
              <w:t>663</w:t>
            </w:r>
          </w:p>
        </w:tc>
        <w:tc>
          <w:tcPr>
            <w:tcW w:w="1550" w:type="dxa"/>
            <w:shd w:val="clear" w:color="auto" w:fill="F0F8F9"/>
          </w:tcPr>
          <w:p w:rsidR="00C149B0" w:rsidRPr="000839FF" w:rsidP="000839FF" w14:paraId="6D7B4021" w14:textId="3C08CC3C">
            <w:pPr>
              <w:pStyle w:val="73R"/>
              <w:rPr>
                <w:b/>
                <w:bCs/>
                <w:rtl/>
              </w:rPr>
            </w:pPr>
          </w:p>
        </w:tc>
        <w:tc>
          <w:tcPr>
            <w:tcW w:w="1550" w:type="dxa"/>
            <w:shd w:val="clear" w:color="auto" w:fill="F0F8F9"/>
            <w:vAlign w:val="center"/>
          </w:tcPr>
          <w:p w:rsidR="00C149B0" w:rsidRPr="000839FF" w:rsidP="000839FF" w14:paraId="2C582168" w14:textId="38900026">
            <w:pPr>
              <w:pStyle w:val="73R"/>
              <w:rPr>
                <w:b/>
                <w:bCs/>
                <w:rtl/>
              </w:rPr>
            </w:pPr>
          </w:p>
        </w:tc>
      </w:tr>
    </w:tbl>
    <w:p w:rsidR="00C149B0" w:rsidRPr="000839FF" w:rsidP="000839FF" w14:paraId="2E175AB6" w14:textId="77777777">
      <w:pPr>
        <w:pStyle w:val="738"/>
        <w:spacing w:after="0"/>
        <w:rPr>
          <w:rtl/>
        </w:rPr>
      </w:pPr>
      <w:r w:rsidRPr="000839FF">
        <w:rPr>
          <w:rFonts w:hint="cs"/>
          <w:rtl/>
        </w:rPr>
        <w:t>לפי</w:t>
      </w:r>
      <w:r w:rsidRPr="000839FF">
        <w:rPr>
          <w:rtl/>
        </w:rPr>
        <w:t xml:space="preserve"> מסמכי רפאל</w:t>
      </w:r>
      <w:r w:rsidRPr="000839FF">
        <w:rPr>
          <w:rFonts w:hint="cs"/>
          <w:rtl/>
        </w:rPr>
        <w:t>.</w:t>
      </w:r>
    </w:p>
    <w:p w:rsidR="00C149B0" w:rsidRPr="000839FF" w:rsidP="000839FF" w14:paraId="50FFBB07" w14:textId="77777777">
      <w:pPr>
        <w:pStyle w:val="738"/>
        <w:spacing w:before="0" w:after="0"/>
        <w:ind w:left="282" w:hanging="282"/>
        <w:rPr>
          <w:rtl/>
        </w:rPr>
      </w:pPr>
      <w:r w:rsidRPr="000839FF">
        <w:rPr>
          <w:rFonts w:hint="cs"/>
          <w:rtl/>
        </w:rPr>
        <w:t xml:space="preserve">(1) </w:t>
      </w:r>
      <w:r w:rsidRPr="000839FF">
        <w:rPr>
          <w:rtl/>
        </w:rPr>
        <w:t xml:space="preserve">משנת 2013 ואילך </w:t>
      </w:r>
      <w:r w:rsidRPr="000839FF">
        <w:rPr>
          <w:rFonts w:hint="cs"/>
          <w:rtl/>
        </w:rPr>
        <w:t xml:space="preserve">- 50% מהרווח הנקי </w:t>
      </w:r>
      <w:r w:rsidRPr="000839FF">
        <w:rPr>
          <w:rtl/>
        </w:rPr>
        <w:t>בניכוי 70 מיליון ש"ח צמוד</w:t>
      </w:r>
      <w:r w:rsidRPr="000839FF">
        <w:rPr>
          <w:rFonts w:hint="cs"/>
          <w:rtl/>
        </w:rPr>
        <w:t>ים</w:t>
      </w:r>
      <w:r w:rsidRPr="000839FF">
        <w:rPr>
          <w:rtl/>
        </w:rPr>
        <w:t xml:space="preserve"> למדד המחירים לצרכן </w:t>
      </w:r>
      <w:r w:rsidRPr="000839FF">
        <w:rPr>
          <w:rFonts w:hint="cs"/>
          <w:rtl/>
        </w:rPr>
        <w:t xml:space="preserve">(מדד בסיס </w:t>
      </w:r>
      <w:r w:rsidRPr="000839FF">
        <w:rPr>
          <w:rtl/>
        </w:rPr>
        <w:t>דצמבר 2010</w:t>
      </w:r>
      <w:r w:rsidRPr="000839FF">
        <w:rPr>
          <w:rFonts w:hint="cs"/>
          <w:rtl/>
        </w:rPr>
        <w:t>)</w:t>
      </w:r>
      <w:r w:rsidRPr="000839FF">
        <w:rPr>
          <w:rtl/>
        </w:rPr>
        <w:t>.</w:t>
      </w:r>
    </w:p>
    <w:p w:rsidR="00C149B0" w:rsidRPr="000839FF" w:rsidP="000839FF" w14:paraId="7DB6DD3F" w14:textId="77777777">
      <w:pPr>
        <w:pStyle w:val="738"/>
        <w:spacing w:before="0" w:after="0"/>
        <w:ind w:left="282" w:hanging="282"/>
        <w:rPr>
          <w:rtl/>
        </w:rPr>
      </w:pPr>
      <w:r w:rsidRPr="000839FF">
        <w:rPr>
          <w:rFonts w:hint="cs"/>
          <w:rtl/>
        </w:rPr>
        <w:t>(2) הדיבידנד שהוכרז היה בסך של כ-100 מיליון ש"ח, לאחר קיזוז של 50 מיליון ש"ח בגין דיבידנד מיוחד שעליו סוכם בשנת 2013 (על כך ראו בהמשך).</w:t>
      </w:r>
    </w:p>
    <w:p w:rsidR="00C149B0" w:rsidRPr="000839FF" w:rsidP="000839FF" w14:paraId="6B52B4B1" w14:textId="77777777">
      <w:pPr>
        <w:pStyle w:val="738"/>
        <w:spacing w:before="0" w:after="0"/>
        <w:ind w:left="282" w:hanging="282"/>
        <w:rPr>
          <w:rtl/>
        </w:rPr>
      </w:pPr>
      <w:r w:rsidRPr="000839FF">
        <w:rPr>
          <w:rFonts w:hint="cs"/>
          <w:rtl/>
        </w:rPr>
        <w:t>(3) הדירקטוריון אישר את הדיבידנד השוטף בגין שנים אלו כאמור בשנת 2022, וקבע כי הוא ישולם לא לפני סוף שנה זו.</w:t>
      </w:r>
    </w:p>
    <w:p w:rsidR="00C149B0" w:rsidRPr="000839FF" w:rsidP="000839FF" w14:paraId="5EEADF6A" w14:textId="77777777">
      <w:pPr>
        <w:pStyle w:val="738"/>
        <w:spacing w:before="0"/>
        <w:rPr>
          <w:rtl/>
        </w:rPr>
      </w:pPr>
      <w:r w:rsidRPr="000839FF">
        <w:rPr>
          <w:rFonts w:hint="cs"/>
          <w:rtl/>
        </w:rPr>
        <w:t>(4) במועד זה אישר הדירקטוריון את חלוקת הדיבידנד.</w:t>
      </w:r>
    </w:p>
    <w:p w:rsidR="00C149B0" w:rsidRPr="000839FF" w:rsidP="000839FF" w14:paraId="7389BBBF" w14:textId="77777777">
      <w:pPr>
        <w:pStyle w:val="7318"/>
        <w:rPr>
          <w:rtl/>
        </w:rPr>
      </w:pPr>
      <w:r w:rsidRPr="000839FF">
        <w:rPr>
          <w:rFonts w:hint="cs"/>
          <w:rtl/>
        </w:rPr>
        <w:t xml:space="preserve">מהלוח עולה כי בגין השנים 2017 - 2021 הכריזה רפאל על דיבידנדים שוטפים בסך של 663 מיליון ש"ח מתוך רווח נקי של יותר מ-2 מיליארד ש"ח. יצוין כי </w:t>
      </w:r>
      <w:bookmarkStart w:id="31" w:name="_Hlk120602904"/>
      <w:r w:rsidRPr="000839FF">
        <w:rPr>
          <w:rFonts w:hint="cs"/>
          <w:rtl/>
        </w:rPr>
        <w:t>בשנים אלו היה לרפאל היקף הכנסות של יותר מ-46 מיליארד ש"ח, ורווחיה הצבורים ל-31.12.21 הסתכמו בסך של כ-4.5 מיליארד ש"ח</w:t>
      </w:r>
      <w:bookmarkEnd w:id="31"/>
      <w:r w:rsidRPr="000839FF">
        <w:rPr>
          <w:rFonts w:hint="cs"/>
          <w:rtl/>
        </w:rPr>
        <w:t xml:space="preserve">. </w:t>
      </w:r>
    </w:p>
    <w:p w:rsidR="00C149B0" w:rsidRPr="000839FF" w:rsidP="000839FF" w14:paraId="05F49137" w14:textId="77777777">
      <w:pPr>
        <w:pStyle w:val="7318"/>
        <w:rPr>
          <w:rtl/>
        </w:rPr>
      </w:pPr>
      <w:r w:rsidRPr="000839FF">
        <w:rPr>
          <w:rFonts w:hint="cs"/>
          <w:rtl/>
        </w:rPr>
        <w:t>מהשתלשלות הדברים המתוארת לעיל עולה כי דירקטוריון רפאל לא קיים הליך לקביעת סכום הדיבידנד השוטף ומועד תשלומו בשנים 2019 - 2021 בהתאם לחוזר הרשות בנושא; וכי רשות החברות הממשלתיות לא עמדה מצידה על קיומו של הליך זה.</w:t>
      </w:r>
    </w:p>
    <w:p w:rsidR="00C149B0" w:rsidRPr="000839FF" w:rsidP="000839FF" w14:paraId="1273A427" w14:textId="77777777">
      <w:pPr>
        <w:pStyle w:val="7392"/>
        <w:rPr>
          <w:rtl/>
        </w:rPr>
      </w:pPr>
      <w:r w:rsidRPr="000839FF">
        <w:rPr>
          <w:rFonts w:hint="cs"/>
          <w:rtl/>
        </w:rPr>
        <w:t>מלשכת סמנכ"ל בכיר ו</w:t>
      </w:r>
      <w:r w:rsidRPr="000839FF">
        <w:rPr>
          <w:rtl/>
        </w:rPr>
        <w:t>ר</w:t>
      </w:r>
      <w:r w:rsidRPr="000839FF">
        <w:rPr>
          <w:rFonts w:hint="eastAsia"/>
          <w:rtl/>
        </w:rPr>
        <w:t>אש</w:t>
      </w:r>
      <w:r w:rsidRPr="000839FF">
        <w:rPr>
          <w:rtl/>
        </w:rPr>
        <w:t xml:space="preserve"> אגף רגולציה, </w:t>
      </w:r>
      <w:r w:rsidRPr="000839FF">
        <w:rPr>
          <w:rtl/>
        </w:rPr>
        <w:t>מינהל</w:t>
      </w:r>
      <w:r w:rsidRPr="000839FF">
        <w:rPr>
          <w:rtl/>
        </w:rPr>
        <w:t xml:space="preserve"> ותקשורת</w:t>
      </w:r>
      <w:r w:rsidRPr="000839FF">
        <w:rPr>
          <w:rFonts w:hint="cs"/>
          <w:rtl/>
        </w:rPr>
        <w:t xml:space="preserve"> נמסר למשרד מבקר המדינה כי הדירקטוריון לא דן בשנים 2020 ו-2021 בנושא חלוקת דיבידנד בגין רווחי השנים 2019 ו-2020 בגלל הדיבידנד החריג ששילמה רפאל בשנת 2019 וההסכם שהיה בגינו עם רשות החברות הממשלתיות. </w:t>
      </w:r>
    </w:p>
    <w:p w:rsidR="00C149B0" w:rsidRPr="000839FF" w:rsidP="000839FF" w14:paraId="796D3658" w14:textId="77777777">
      <w:pPr>
        <w:pStyle w:val="7392"/>
        <w:rPr>
          <w:rtl/>
        </w:rPr>
      </w:pPr>
      <w:r w:rsidRPr="000839FF">
        <w:rPr>
          <w:rFonts w:hint="cs"/>
          <w:rtl/>
        </w:rPr>
        <w:t xml:space="preserve">סגן בכיר למנהלת רשות החברות הממשלתיות מסר למשרד מבקר המדינה כי לפי עמדת </w:t>
      </w:r>
      <w:r w:rsidRPr="000839FF">
        <w:rPr>
          <w:rFonts w:hint="eastAsia"/>
          <w:rtl/>
        </w:rPr>
        <w:t>הרשות</w:t>
      </w:r>
      <w:r w:rsidRPr="000839FF">
        <w:rPr>
          <w:rFonts w:hint="cs"/>
          <w:rtl/>
        </w:rPr>
        <w:t xml:space="preserve"> בשנים 2019 ו-2020 התקיימו נסיבות מיוחדות מבחינת החברה, המצדיקות חריגה ממדיניות הרשות בנושא: חל משבר מגפת הקורונה בד בבד ליישום "תקציב המשכי" במדינה, </w:t>
      </w:r>
      <w:r w:rsidRPr="000839FF">
        <w:rPr>
          <w:rFonts w:hint="cs"/>
          <w:rtl/>
        </w:rPr>
        <w:t xml:space="preserve">והדבר פגע בחברה בכמה מישורים. נוכח זאת, לדבריו, סברה הרשות כי נכון היה לחרוג בשנה זו ממדיניותה. </w:t>
      </w:r>
    </w:p>
    <w:p w:rsidR="00C149B0" w:rsidRPr="000839FF" w:rsidP="000839FF" w14:paraId="6DCAC76D" w14:textId="77777777">
      <w:pPr>
        <w:pStyle w:val="7318"/>
        <w:rPr>
          <w:rtl/>
        </w:rPr>
      </w:pPr>
      <w:r w:rsidRPr="000839FF">
        <w:rPr>
          <w:rtl/>
        </w:rPr>
        <w:t>בהתאם לחוזר רשות החברות הממשלתיות בנושא י</w:t>
      </w:r>
      <w:r w:rsidRPr="000839FF">
        <w:rPr>
          <w:rFonts w:hint="cs"/>
          <w:rtl/>
        </w:rPr>
        <w:t>י</w:t>
      </w:r>
      <w:r w:rsidRPr="000839FF">
        <w:rPr>
          <w:rtl/>
        </w:rPr>
        <w:t>ע</w:t>
      </w:r>
      <w:r w:rsidRPr="000839FF">
        <w:rPr>
          <w:rFonts w:hint="cs"/>
          <w:rtl/>
        </w:rPr>
        <w:t>ו</w:t>
      </w:r>
      <w:r w:rsidRPr="000839FF">
        <w:rPr>
          <w:rtl/>
        </w:rPr>
        <w:t>ד רווחים</w:t>
      </w:r>
      <w:r w:rsidRPr="000839FF">
        <w:rPr>
          <w:rFonts w:hint="cs"/>
          <w:rtl/>
        </w:rPr>
        <w:t xml:space="preserve">, על דירקטוריון רפאל לדון מידי שנה בשנה בנושא זה עד למועד אישור הדוחות הכספיים השנתיים ולקבל החלטה בעניינו; זאת על מנת לבחון אם החברה יכולה לעמוד במחויבותה לחלק דיבידנד שוטף בשיעור 50% מרווחיה השוטפים. </w:t>
      </w:r>
      <w:r w:rsidRPr="000839FF">
        <w:rPr>
          <w:rtl/>
        </w:rPr>
        <w:t xml:space="preserve">בהתייחס לנסיבות המיוחדות </w:t>
      </w:r>
      <w:r w:rsidRPr="000839FF">
        <w:rPr>
          <w:rFonts w:hint="cs"/>
          <w:rtl/>
        </w:rPr>
        <w:t>ש</w:t>
      </w:r>
      <w:r w:rsidRPr="000839FF">
        <w:rPr>
          <w:rtl/>
        </w:rPr>
        <w:t xml:space="preserve">פירטה הרשות, משרד מבקר המדינה מציין כי על פי חוזר הרשות על דירקטוריון החברה לדון בעניין חלוקת דיבידנד בין </w:t>
      </w:r>
      <w:r w:rsidRPr="000839FF">
        <w:rPr>
          <w:rFonts w:hint="cs"/>
          <w:rtl/>
        </w:rPr>
        <w:t>ש</w:t>
      </w:r>
      <w:r w:rsidRPr="000839FF">
        <w:rPr>
          <w:rtl/>
        </w:rPr>
        <w:t xml:space="preserve">יחליט </w:t>
      </w:r>
      <w:r w:rsidRPr="000839FF">
        <w:rPr>
          <w:rFonts w:hint="cs"/>
          <w:rtl/>
        </w:rPr>
        <w:t>לחלקו</w:t>
      </w:r>
      <w:r w:rsidRPr="000839FF">
        <w:rPr>
          <w:rtl/>
        </w:rPr>
        <w:t xml:space="preserve"> ובין לאו; וכי על אף אותן הנסיבות הוחלט במאי 2022 על חלוקת דיבידנדים מרווחי השנים האמורות.</w:t>
      </w:r>
      <w:r w:rsidRPr="000839FF">
        <w:rPr>
          <w:rFonts w:hint="cs"/>
          <w:rtl/>
        </w:rPr>
        <w:t xml:space="preserve"> </w:t>
      </w:r>
    </w:p>
    <w:p w:rsidR="00C149B0" w:rsidRPr="000839FF" w:rsidP="000839FF" w14:paraId="17518B60" w14:textId="77777777">
      <w:pPr>
        <w:pStyle w:val="7318"/>
        <w:rPr>
          <w:rtl/>
        </w:rPr>
      </w:pPr>
      <w:r w:rsidRPr="000839FF">
        <w:rPr>
          <w:rFonts w:hint="cs"/>
          <w:rtl/>
        </w:rPr>
        <w:t xml:space="preserve">אשר למתן גילוי בנושא זה - על רפאל לדווח בדוחותיה הכספיים </w:t>
      </w:r>
      <w:r w:rsidRPr="000839FF">
        <w:rPr>
          <w:rtl/>
        </w:rPr>
        <w:t>בענ</w:t>
      </w:r>
      <w:r w:rsidRPr="000839FF">
        <w:rPr>
          <w:rFonts w:hint="cs"/>
          <w:rtl/>
        </w:rPr>
        <w:t>י</w:t>
      </w:r>
      <w:r w:rsidRPr="000839FF">
        <w:rPr>
          <w:rtl/>
        </w:rPr>
        <w:t xml:space="preserve">ין </w:t>
      </w:r>
      <w:r w:rsidRPr="000839FF">
        <w:rPr>
          <w:rFonts w:hint="cs"/>
          <w:rtl/>
        </w:rPr>
        <w:t>י</w:t>
      </w:r>
      <w:r w:rsidRPr="000839FF">
        <w:rPr>
          <w:rtl/>
        </w:rPr>
        <w:t>יעוד הרווחים של החברה</w:t>
      </w:r>
      <w:r w:rsidRPr="000839FF">
        <w:rPr>
          <w:rFonts w:hint="cs"/>
          <w:rtl/>
        </w:rPr>
        <w:t xml:space="preserve">, כנדרש בחוזרי רשות החברות הממשלתיות; ואם </w:t>
      </w:r>
      <w:r w:rsidRPr="000839FF">
        <w:rPr>
          <w:rtl/>
        </w:rPr>
        <w:t xml:space="preserve">לא התקבלו החלטות </w:t>
      </w:r>
      <w:r w:rsidRPr="000839FF">
        <w:rPr>
          <w:rFonts w:hint="cs"/>
          <w:rtl/>
        </w:rPr>
        <w:t>בעניין זה</w:t>
      </w:r>
      <w:r w:rsidRPr="000839FF">
        <w:rPr>
          <w:rtl/>
        </w:rPr>
        <w:t xml:space="preserve"> בתקופת הדיווח</w:t>
      </w:r>
      <w:r w:rsidRPr="000839FF">
        <w:rPr>
          <w:rFonts w:hint="cs"/>
          <w:rtl/>
        </w:rPr>
        <w:t xml:space="preserve"> ולאחריה, עליה</w:t>
      </w:r>
      <w:r w:rsidRPr="000839FF">
        <w:rPr>
          <w:rtl/>
        </w:rPr>
        <w:t xml:space="preserve"> </w:t>
      </w:r>
      <w:r w:rsidRPr="000839FF">
        <w:rPr>
          <w:rFonts w:hint="cs"/>
          <w:rtl/>
        </w:rPr>
        <w:t xml:space="preserve">לציין </w:t>
      </w:r>
      <w:r w:rsidRPr="000839FF">
        <w:rPr>
          <w:rtl/>
        </w:rPr>
        <w:t>עובדה זו</w:t>
      </w:r>
      <w:r w:rsidRPr="000839FF">
        <w:rPr>
          <w:rFonts w:hint="cs"/>
          <w:rtl/>
        </w:rPr>
        <w:t xml:space="preserve">, לרבות </w:t>
      </w:r>
      <w:r w:rsidRPr="000839FF">
        <w:rPr>
          <w:rtl/>
        </w:rPr>
        <w:t>את נימוקי הדירקטוריון</w:t>
      </w:r>
      <w:r w:rsidRPr="000839FF">
        <w:rPr>
          <w:rFonts w:hint="cs"/>
          <w:rtl/>
        </w:rPr>
        <w:t>. זאת על מנת לספק את המידע הנוגע לנושא למשתמשים בדוחות הכספיים של החברה.</w:t>
      </w:r>
    </w:p>
    <w:p w:rsidR="00C149B0" w:rsidRPr="000839FF" w:rsidP="000839FF" w14:paraId="2E5C8F35" w14:textId="77777777">
      <w:pPr>
        <w:pStyle w:val="7318"/>
        <w:rPr>
          <w:rtl/>
        </w:rPr>
      </w:pPr>
      <w:r w:rsidRPr="000839FF">
        <w:rPr>
          <w:rFonts w:hint="cs"/>
          <w:rtl/>
        </w:rPr>
        <w:t>כמו כן מומלץ כי רשות החברות הממשלתיות תקיים מעקב אחר מימוש הנחיותיה בכל הנוגע להליך חלוקת הדיבידנדים ולדיווח עליו, ותפעל במידת הצורך לשם כך מול דירקטוריון החברה.</w:t>
      </w:r>
    </w:p>
    <w:p w:rsidR="00C149B0" w:rsidRPr="00E4775A" w:rsidP="000839FF" w14:paraId="2FEEB9F9" w14:textId="77777777">
      <w:pPr>
        <w:pStyle w:val="7392"/>
        <w:rPr>
          <w:noProof/>
          <w:rtl/>
          <w:lang w:eastAsia="he-IL"/>
        </w:rPr>
      </w:pPr>
      <w:r w:rsidRPr="00E4775A">
        <w:rPr>
          <w:rFonts w:hint="cs"/>
          <w:noProof/>
          <w:rtl/>
          <w:lang w:eastAsia="he-IL"/>
        </w:rPr>
        <w:t>בתגובתה של רשות החברות הממ</w:t>
      </w:r>
      <w:r>
        <w:rPr>
          <w:rFonts w:hint="cs"/>
          <w:noProof/>
          <w:rtl/>
          <w:lang w:eastAsia="he-IL"/>
        </w:rPr>
        <w:t>ש</w:t>
      </w:r>
      <w:r w:rsidRPr="00E4775A">
        <w:rPr>
          <w:rFonts w:hint="cs"/>
          <w:noProof/>
          <w:rtl/>
          <w:lang w:eastAsia="he-IL"/>
        </w:rPr>
        <w:t xml:space="preserve">לתיות על ממצאי הביקורת היא ציינה כי </w:t>
      </w:r>
      <w:r w:rsidRPr="00E4775A">
        <w:rPr>
          <w:rFonts w:hint="cs"/>
          <w:rtl/>
        </w:rPr>
        <w:t xml:space="preserve">מיום כניסתה </w:t>
      </w:r>
      <w:r>
        <w:rPr>
          <w:rFonts w:hint="cs"/>
          <w:rtl/>
        </w:rPr>
        <w:t xml:space="preserve">של מנהלת הרשות </w:t>
      </w:r>
      <w:r w:rsidRPr="00E4775A">
        <w:rPr>
          <w:rFonts w:hint="cs"/>
          <w:rtl/>
        </w:rPr>
        <w:t>לתפקיד</w:t>
      </w:r>
      <w:r>
        <w:rPr>
          <w:rStyle w:val="FootnoteReference0"/>
          <w:rFonts w:ascii="David" w:hAnsi="David" w:eastAsiaTheme="majorEastAsia"/>
          <w:sz w:val="24"/>
          <w:rtl/>
        </w:rPr>
        <w:footnoteReference w:id="108"/>
      </w:r>
      <w:r w:rsidRPr="00E4775A">
        <w:rPr>
          <w:rFonts w:hint="cs"/>
          <w:rtl/>
        </w:rPr>
        <w:t xml:space="preserve"> </w:t>
      </w:r>
      <w:r>
        <w:rPr>
          <w:rFonts w:hint="cs"/>
          <w:rtl/>
        </w:rPr>
        <w:t xml:space="preserve">היא </w:t>
      </w:r>
      <w:r w:rsidRPr="00E4775A">
        <w:rPr>
          <w:rFonts w:hint="cs"/>
          <w:rtl/>
        </w:rPr>
        <w:t>פועלת למימוש מיטבי של מדיניות משיכת הדיבידנדים מהחברות הממשלתיות</w:t>
      </w:r>
      <w:r w:rsidRPr="00E4775A">
        <w:rPr>
          <w:rFonts w:hint="cs"/>
          <w:noProof/>
          <w:rtl/>
          <w:lang w:eastAsia="he-IL"/>
        </w:rPr>
        <w:t xml:space="preserve">. </w:t>
      </w:r>
    </w:p>
    <w:p w:rsidR="00C149B0" w:rsidRPr="00B431F9" w:rsidP="00B431F9" w14:paraId="74615780" w14:textId="77777777">
      <w:pPr>
        <w:pStyle w:val="73414"/>
      </w:pPr>
      <w:r w:rsidRPr="00B431F9">
        <w:rPr>
          <w:rFonts w:hint="cs"/>
          <w:rtl/>
        </w:rPr>
        <w:t>חלוקת דיבידנד מיוחד</w:t>
      </w:r>
    </w:p>
    <w:p w:rsidR="00C149B0" w:rsidRPr="000839FF" w:rsidP="000839FF" w14:paraId="5566C5BB" w14:textId="77777777">
      <w:pPr>
        <w:pStyle w:val="7392"/>
        <w:rPr>
          <w:rtl/>
        </w:rPr>
      </w:pPr>
      <w:r w:rsidRPr="000839FF">
        <w:rPr>
          <w:rFonts w:hint="cs"/>
          <w:rtl/>
        </w:rPr>
        <w:t>בחוזר ייעוד רווחים נקבע כי נוסף על כך שהרשות רשאית לקבוע מדיניות לגבי חלוקת דיבידנדים מרווחים שוטפים ולקבל החלטות בנושא זה,</w:t>
      </w:r>
      <w:r w:rsidRPr="000839FF">
        <w:rPr>
          <w:rtl/>
        </w:rPr>
        <w:t xml:space="preserve"> ה</w:t>
      </w:r>
      <w:r w:rsidRPr="000839FF">
        <w:rPr>
          <w:rFonts w:hint="cs"/>
          <w:rtl/>
        </w:rPr>
        <w:t>יא גם</w:t>
      </w:r>
      <w:r w:rsidRPr="000839FF">
        <w:rPr>
          <w:rtl/>
        </w:rPr>
        <w:t xml:space="preserve"> רשאית לקבוע מדיניות ייעוד רווחים או לקבל החלטה פרטנית בדבר חלוקה מתוך רווחים צבורים בחברה ממשלתית מסוימת או בקבוצה של חברות (להלן - דיבידנד מיוחד או דיבידנד חריג).</w:t>
      </w:r>
      <w:r w:rsidRPr="000839FF">
        <w:rPr>
          <w:rFonts w:hint="cs"/>
          <w:rtl/>
        </w:rPr>
        <w:t xml:space="preserve"> עוד צוין כי על </w:t>
      </w:r>
      <w:r w:rsidRPr="000839FF">
        <w:rPr>
          <w:rFonts w:hint="eastAsia"/>
          <w:rtl/>
        </w:rPr>
        <w:t>דירקטוריון</w:t>
      </w:r>
      <w:r w:rsidRPr="000839FF">
        <w:rPr>
          <w:rtl/>
        </w:rPr>
        <w:t xml:space="preserve"> החברה לדון לפחות אחת לשנה גם בעניין </w:t>
      </w:r>
      <w:r w:rsidRPr="000839FF">
        <w:rPr>
          <w:rFonts w:hint="cs"/>
          <w:rtl/>
        </w:rPr>
        <w:t>י</w:t>
      </w:r>
      <w:r w:rsidRPr="000839FF">
        <w:rPr>
          <w:rtl/>
        </w:rPr>
        <w:t>יעוד הרווחים הצבורים של החברה</w:t>
      </w:r>
      <w:r w:rsidRPr="000839FF">
        <w:rPr>
          <w:rFonts w:hint="cs"/>
          <w:rtl/>
        </w:rPr>
        <w:t xml:space="preserve"> ולקבל החלטה בנושא</w:t>
      </w:r>
      <w:r w:rsidRPr="000839FF">
        <w:rPr>
          <w:rtl/>
        </w:rPr>
        <w:t>; כי על יו"ר הדירקטוריון לפנות לרשות בכתב לקבלת אישורה להחלטת הדירקטוריון, לרבות הנימוקים הנוגעים</w:t>
      </w:r>
      <w:r w:rsidRPr="000839FF">
        <w:rPr>
          <w:rFonts w:hint="cs"/>
          <w:rtl/>
        </w:rPr>
        <w:t xml:space="preserve"> לכך</w:t>
      </w:r>
      <w:r w:rsidRPr="000839FF">
        <w:rPr>
          <w:rtl/>
        </w:rPr>
        <w:t xml:space="preserve">; </w:t>
      </w:r>
      <w:r w:rsidRPr="000839FF">
        <w:rPr>
          <w:rFonts w:hint="eastAsia"/>
          <w:rtl/>
        </w:rPr>
        <w:t>והרשות</w:t>
      </w:r>
      <w:r w:rsidRPr="000839FF">
        <w:rPr>
          <w:rtl/>
        </w:rPr>
        <w:t xml:space="preserve"> </w:t>
      </w:r>
      <w:r w:rsidRPr="000839FF">
        <w:rPr>
          <w:rFonts w:hint="eastAsia"/>
          <w:rtl/>
        </w:rPr>
        <w:t>תאשר</w:t>
      </w:r>
      <w:r w:rsidRPr="000839FF">
        <w:rPr>
          <w:rtl/>
        </w:rPr>
        <w:t xml:space="preserve"> </w:t>
      </w:r>
      <w:r w:rsidRPr="000839FF">
        <w:rPr>
          <w:rFonts w:hint="eastAsia"/>
          <w:rtl/>
        </w:rPr>
        <w:t>את</w:t>
      </w:r>
      <w:r w:rsidRPr="000839FF">
        <w:rPr>
          <w:rtl/>
        </w:rPr>
        <w:t xml:space="preserve"> </w:t>
      </w:r>
      <w:r w:rsidRPr="000839FF">
        <w:rPr>
          <w:rFonts w:hint="eastAsia"/>
          <w:rtl/>
        </w:rPr>
        <w:t>החלטת</w:t>
      </w:r>
      <w:r w:rsidRPr="000839FF">
        <w:rPr>
          <w:rtl/>
        </w:rPr>
        <w:t xml:space="preserve"> </w:t>
      </w:r>
      <w:r w:rsidRPr="000839FF">
        <w:rPr>
          <w:rFonts w:hint="eastAsia"/>
          <w:rtl/>
        </w:rPr>
        <w:t>הדירקטוריון</w:t>
      </w:r>
      <w:r w:rsidRPr="000839FF">
        <w:rPr>
          <w:rtl/>
        </w:rPr>
        <w:t xml:space="preserve"> </w:t>
      </w:r>
      <w:r w:rsidRPr="000839FF">
        <w:rPr>
          <w:rFonts w:hint="eastAsia"/>
          <w:rtl/>
        </w:rPr>
        <w:t>או</w:t>
      </w:r>
      <w:r w:rsidRPr="000839FF">
        <w:rPr>
          <w:rtl/>
        </w:rPr>
        <w:t xml:space="preserve"> </w:t>
      </w:r>
      <w:r w:rsidRPr="000839FF">
        <w:rPr>
          <w:rFonts w:hint="eastAsia"/>
          <w:rtl/>
        </w:rPr>
        <w:t>תודיע</w:t>
      </w:r>
      <w:r w:rsidRPr="000839FF">
        <w:rPr>
          <w:rtl/>
        </w:rPr>
        <w:t xml:space="preserve"> כי היא חולקת עלי</w:t>
      </w:r>
      <w:r w:rsidRPr="000839FF">
        <w:rPr>
          <w:rFonts w:hint="eastAsia"/>
          <w:rtl/>
        </w:rPr>
        <w:t>ה</w:t>
      </w:r>
      <w:r w:rsidRPr="000839FF">
        <w:rPr>
          <w:rtl/>
        </w:rPr>
        <w:t>.</w:t>
      </w:r>
      <w:r w:rsidRPr="000839FF">
        <w:rPr>
          <w:rFonts w:hint="cs"/>
          <w:rtl/>
        </w:rPr>
        <w:t xml:space="preserve"> אשר לאופן הדיווח על ייעוד הרווחים בדוחות הכספיים, נקבע כי אם החברה והרשות יהיו חלוקות ביניהן בדבר ייעוד רווחי החברה, בדוחות הכספיים של החברה יש לתת גילוי לדבר המחלוקת, לרבות להחלטת הדירקטוריון ולעמדת הרשות.</w:t>
      </w:r>
    </w:p>
    <w:p w:rsidR="00C149B0" w:rsidRPr="000839FF" w:rsidP="000839FF" w14:paraId="62BC7711" w14:textId="77777777">
      <w:pPr>
        <w:pStyle w:val="7392"/>
        <w:rPr>
          <w:rtl/>
        </w:rPr>
      </w:pPr>
      <w:r w:rsidRPr="000839FF">
        <w:rPr>
          <w:rFonts w:hint="cs"/>
          <w:rtl/>
        </w:rPr>
        <w:t xml:space="preserve">בשנת 2013 פנתה רשות החברות הממשלתיות לרפאל בבקשה להעביר למדינה דיבידנד חריג בסך 300 מיליון ש"ח מרווחיה הצבורים, שהיו ב-31.12.12 בסך של כ-1.9 מיליארד ש"ח. לאחר דין ודברים קיבלה הרשות את הטיעונים שהעלתה החברה בהקשר לפגיעה קשה הצפויה לה מתשלום דיבידנד זה, וסוכם כי רפאל תעביר דיבידנד בסכום זה בשנים 2013 ו-2014, וכי הסכום </w:t>
      </w:r>
      <w:r w:rsidRPr="000839FF">
        <w:rPr>
          <w:rFonts w:hint="cs"/>
          <w:rtl/>
        </w:rPr>
        <w:t>ישמש מקדמה על חשבון הדיבידנדים השוטפים בשנים 2015</w:t>
      </w:r>
      <w:r w:rsidRPr="000839FF">
        <w:rPr>
          <w:rFonts w:hint="cs"/>
        </w:rPr>
        <w:t xml:space="preserve"> </w:t>
      </w:r>
      <w:r w:rsidRPr="000839FF">
        <w:rPr>
          <w:rFonts w:hint="cs"/>
          <w:rtl/>
        </w:rPr>
        <w:t>-</w:t>
      </w:r>
      <w:r w:rsidRPr="000839FF">
        <w:rPr>
          <w:rFonts w:hint="cs"/>
        </w:rPr>
        <w:t xml:space="preserve"> </w:t>
      </w:r>
      <w:r w:rsidRPr="000839FF">
        <w:rPr>
          <w:rFonts w:hint="cs"/>
          <w:rtl/>
        </w:rPr>
        <w:t>2018</w:t>
      </w:r>
      <w:r>
        <w:rPr>
          <w:vertAlign w:val="superscript"/>
          <w:rtl/>
        </w:rPr>
        <w:footnoteReference w:id="109"/>
      </w:r>
      <w:r w:rsidRPr="000839FF">
        <w:rPr>
          <w:rFonts w:hint="cs"/>
          <w:rtl/>
        </w:rPr>
        <w:t>, ויופחת מהם כלהלן: 50 מיליון ש"ח בשנת 2015, 100 מיליון ש"ח בשנת 2016, 100 מיליון ש"ח בשנת 2017 ו-50 מיליון ש"ח בשנת 2018.</w:t>
      </w:r>
    </w:p>
    <w:p w:rsidR="00C149B0" w:rsidRPr="000839FF" w:rsidP="000839FF" w14:paraId="7330A2BC" w14:textId="77777777">
      <w:pPr>
        <w:pStyle w:val="7318"/>
      </w:pPr>
      <w:r w:rsidRPr="000839FF">
        <w:rPr>
          <w:rFonts w:hint="cs"/>
          <w:rtl/>
        </w:rPr>
        <w:t xml:space="preserve">הדיבידנד החריג </w:t>
      </w:r>
      <w:r w:rsidRPr="000839FF">
        <w:rPr>
          <w:rtl/>
        </w:rPr>
        <w:t xml:space="preserve">ששילמה רפאל בשנים 2013 ו-2014 </w:t>
      </w:r>
      <w:r w:rsidRPr="000839FF">
        <w:rPr>
          <w:rFonts w:hint="cs"/>
          <w:rtl/>
        </w:rPr>
        <w:t>בהיקף של 300 מיליון ש"ח שימש בפועל להקדמת תשלומי דיבידנד שוטף על ידי רפאל כמתואר לעיל; הקדמה שמשמעותה היא העמדת אשראי על ידי החברה לבעליה, ובמקרה זה - חברה ממשלתית שנתנה למדינת ישראל הלוואה בסך של 300 מיליון ש"ח ללא חיוב בריבית, צעד שמבחינת החברה כרוך היה בעלויות מימון</w:t>
      </w:r>
      <w:r>
        <w:rPr>
          <w:rStyle w:val="FootnoteReference0"/>
          <w:rtl/>
        </w:rPr>
        <w:footnoteReference w:id="110"/>
      </w:r>
      <w:r w:rsidRPr="000839FF">
        <w:rPr>
          <w:rFonts w:hint="cs"/>
          <w:rtl/>
        </w:rPr>
        <w:t xml:space="preserve">. </w:t>
      </w:r>
    </w:p>
    <w:p w:rsidR="00C149B0" w:rsidRPr="00D94367" w:rsidP="000839FF" w14:paraId="2BE00527" w14:textId="77777777">
      <w:pPr>
        <w:pStyle w:val="7392"/>
        <w:rPr>
          <w:shd w:val="clear" w:color="auto" w:fill="FFFFFF"/>
          <w:rtl/>
        </w:rPr>
      </w:pPr>
      <w:r w:rsidRPr="00D94367">
        <w:rPr>
          <w:rtl/>
        </w:rPr>
        <w:t>באוגוסט 2015</w:t>
      </w:r>
      <w:r w:rsidRPr="00D94367">
        <w:rPr>
          <w:rFonts w:hint="cs"/>
          <w:rtl/>
        </w:rPr>
        <w:t xml:space="preserve"> החליטה הממשלה</w:t>
      </w:r>
      <w:r>
        <w:rPr>
          <w:vertAlign w:val="superscript"/>
          <w:rtl/>
        </w:rPr>
        <w:footnoteReference w:id="111"/>
      </w:r>
      <w:r w:rsidRPr="00D94367">
        <w:rPr>
          <w:rtl/>
        </w:rPr>
        <w:t xml:space="preserve"> כי על </w:t>
      </w:r>
      <w:r w:rsidRPr="00D94367">
        <w:rPr>
          <w:shd w:val="clear" w:color="auto" w:fill="FFFFFF"/>
          <w:rtl/>
        </w:rPr>
        <w:t xml:space="preserve">רשות החברות </w:t>
      </w:r>
      <w:r w:rsidRPr="00CA071B">
        <w:rPr>
          <w:rFonts w:hint="cs"/>
          <w:rtl/>
        </w:rPr>
        <w:t>הממשלתיות</w:t>
      </w:r>
      <w:r w:rsidRPr="00D94367">
        <w:rPr>
          <w:shd w:val="clear" w:color="auto" w:fill="FFFFFF"/>
          <w:rtl/>
        </w:rPr>
        <w:t xml:space="preserve"> לפנות </w:t>
      </w:r>
      <w:r w:rsidRPr="00D94367">
        <w:rPr>
          <w:rFonts w:hint="cs"/>
          <w:shd w:val="clear" w:color="auto" w:fill="FFFFFF"/>
          <w:rtl/>
        </w:rPr>
        <w:t>ל</w:t>
      </w:r>
      <w:r w:rsidRPr="00D94367">
        <w:rPr>
          <w:shd w:val="clear" w:color="auto" w:fill="FFFFFF"/>
          <w:rtl/>
        </w:rPr>
        <w:t>דירקטוריון רפאל</w:t>
      </w:r>
      <w:r w:rsidRPr="00D94367">
        <w:rPr>
          <w:rFonts w:hint="cs"/>
          <w:shd w:val="clear" w:color="auto" w:fill="FFFFFF"/>
          <w:rtl/>
        </w:rPr>
        <w:t xml:space="preserve"> או </w:t>
      </w:r>
      <w:r w:rsidRPr="00D94367">
        <w:rPr>
          <w:rFonts w:hint="cs"/>
          <w:shd w:val="clear" w:color="auto" w:fill="FFFFFF"/>
          <w:rtl/>
        </w:rPr>
        <w:t>התע"א</w:t>
      </w:r>
      <w:r w:rsidRPr="00D94367">
        <w:rPr>
          <w:shd w:val="clear" w:color="auto" w:fill="FFFFFF"/>
          <w:rtl/>
        </w:rPr>
        <w:t xml:space="preserve">, </w:t>
      </w:r>
      <w:r w:rsidRPr="00D94367">
        <w:rPr>
          <w:rFonts w:hint="cs"/>
          <w:shd w:val="clear" w:color="auto" w:fill="FFFFFF"/>
          <w:rtl/>
        </w:rPr>
        <w:t xml:space="preserve">וככל שיידרש לדירקטוריונים של חברות נוספות, </w:t>
      </w:r>
      <w:r w:rsidRPr="00D94367">
        <w:rPr>
          <w:shd w:val="clear" w:color="auto" w:fill="FFFFFF"/>
          <w:rtl/>
        </w:rPr>
        <w:t>על מנת שידונו בחלוקת דיבידנד מרווחים שנצברו בסכום כולל של 500 מיליון ש"ח</w:t>
      </w:r>
      <w:r>
        <w:rPr>
          <w:rFonts w:hint="cs"/>
          <w:shd w:val="clear" w:color="auto" w:fill="FFFFFF"/>
          <w:rtl/>
        </w:rPr>
        <w:t>, בנוסף לדיבידנד בגין רווחיהן השוטפים</w:t>
      </w:r>
      <w:r w:rsidRPr="00D94367">
        <w:rPr>
          <w:shd w:val="clear" w:color="auto" w:fill="FFFFFF"/>
          <w:rtl/>
        </w:rPr>
        <w:t>; וכי עליה לבחון את עמדת דירקטוריון החברות כאמור ולפעול ככל הניתן לביצוע ההחלטה</w:t>
      </w:r>
      <w:r>
        <w:rPr>
          <w:rFonts w:hint="cs"/>
          <w:shd w:val="clear" w:color="auto" w:fill="FFFFFF"/>
          <w:rtl/>
        </w:rPr>
        <w:t>, לרבות בדרך של הבאת החלטה לאישור הממשלה ככל שיידרש בנסיבות העניין</w:t>
      </w:r>
      <w:r w:rsidRPr="00D94367">
        <w:rPr>
          <w:shd w:val="clear" w:color="auto" w:fill="FFFFFF"/>
          <w:rtl/>
        </w:rPr>
        <w:t>. ממסמכי רפאל</w:t>
      </w:r>
      <w:r>
        <w:rPr>
          <w:shd w:val="clear" w:color="auto" w:fill="FFFFFF"/>
          <w:vertAlign w:val="superscript"/>
          <w:rtl/>
        </w:rPr>
        <w:footnoteReference w:id="112"/>
      </w:r>
      <w:r w:rsidRPr="00D94367">
        <w:rPr>
          <w:shd w:val="clear" w:color="auto" w:fill="FFFFFF"/>
          <w:rtl/>
        </w:rPr>
        <w:t xml:space="preserve"> ע</w:t>
      </w:r>
      <w:r w:rsidRPr="00D94367">
        <w:rPr>
          <w:rFonts w:hint="cs"/>
          <w:shd w:val="clear" w:color="auto" w:fill="FFFFFF"/>
          <w:rtl/>
        </w:rPr>
        <w:t>ו</w:t>
      </w:r>
      <w:r w:rsidRPr="00D94367">
        <w:rPr>
          <w:shd w:val="clear" w:color="auto" w:fill="FFFFFF"/>
          <w:rtl/>
        </w:rPr>
        <w:t xml:space="preserve">לה </w:t>
      </w:r>
      <w:r>
        <w:rPr>
          <w:rFonts w:hint="cs"/>
          <w:shd w:val="clear" w:color="auto" w:fill="FFFFFF"/>
          <w:rtl/>
        </w:rPr>
        <w:t xml:space="preserve">כי דירקטוריון רפאל דחה את </w:t>
      </w:r>
      <w:r w:rsidRPr="00D94367">
        <w:rPr>
          <w:rFonts w:hint="cs"/>
          <w:shd w:val="clear" w:color="auto" w:fill="FFFFFF"/>
          <w:rtl/>
        </w:rPr>
        <w:t xml:space="preserve">פניית רשות החברות </w:t>
      </w:r>
      <w:r w:rsidRPr="00CA071B">
        <w:rPr>
          <w:rFonts w:hint="cs"/>
          <w:rtl/>
        </w:rPr>
        <w:t>הממשלתיות</w:t>
      </w:r>
      <w:r w:rsidRPr="00D94367">
        <w:rPr>
          <w:rFonts w:hint="cs"/>
          <w:shd w:val="clear" w:color="auto" w:fill="FFFFFF"/>
          <w:rtl/>
        </w:rPr>
        <w:t xml:space="preserve"> לרפאל בבקשה ל</w:t>
      </w:r>
      <w:r w:rsidRPr="00D94367">
        <w:rPr>
          <w:shd w:val="clear" w:color="auto" w:fill="FFFFFF"/>
          <w:rtl/>
        </w:rPr>
        <w:t xml:space="preserve">דיבידנד חריג בהתאם להחלטה </w:t>
      </w:r>
      <w:r w:rsidRPr="00D94367">
        <w:rPr>
          <w:rFonts w:hint="cs"/>
          <w:shd w:val="clear" w:color="auto" w:fill="FFFFFF"/>
          <w:rtl/>
        </w:rPr>
        <w:t xml:space="preserve">האמורה </w:t>
      </w:r>
      <w:r w:rsidRPr="00D94367">
        <w:rPr>
          <w:shd w:val="clear" w:color="auto" w:fill="FFFFFF"/>
          <w:rtl/>
        </w:rPr>
        <w:t>בשנ</w:t>
      </w:r>
      <w:r w:rsidRPr="00D94367">
        <w:rPr>
          <w:rFonts w:hint="cs"/>
          <w:shd w:val="clear" w:color="auto" w:fill="FFFFFF"/>
          <w:rtl/>
        </w:rPr>
        <w:t>ת 2015</w:t>
      </w:r>
      <w:r w:rsidRPr="00D94367">
        <w:rPr>
          <w:shd w:val="clear" w:color="auto" w:fill="FFFFFF"/>
          <w:rtl/>
        </w:rPr>
        <w:t xml:space="preserve"> ו</w:t>
      </w:r>
      <w:r w:rsidRPr="00D94367">
        <w:rPr>
          <w:rFonts w:hint="cs"/>
          <w:shd w:val="clear" w:color="auto" w:fill="FFFFFF"/>
          <w:rtl/>
        </w:rPr>
        <w:t xml:space="preserve">כן </w:t>
      </w:r>
      <w:r>
        <w:rPr>
          <w:rFonts w:hint="cs"/>
          <w:shd w:val="clear" w:color="auto" w:fill="FFFFFF"/>
          <w:rtl/>
        </w:rPr>
        <w:t xml:space="preserve">דחה </w:t>
      </w:r>
      <w:r w:rsidRPr="00D94367">
        <w:rPr>
          <w:shd w:val="clear" w:color="auto" w:fill="FFFFFF"/>
          <w:rtl/>
        </w:rPr>
        <w:t xml:space="preserve">פנייה נוספת </w:t>
      </w:r>
      <w:r w:rsidRPr="00D94367">
        <w:rPr>
          <w:rFonts w:hint="cs"/>
          <w:shd w:val="clear" w:color="auto" w:fill="FFFFFF"/>
          <w:rtl/>
        </w:rPr>
        <w:t xml:space="preserve">של הרשות לחברה </w:t>
      </w:r>
      <w:r w:rsidRPr="00D94367">
        <w:rPr>
          <w:shd w:val="clear" w:color="auto" w:fill="FFFFFF"/>
          <w:rtl/>
        </w:rPr>
        <w:t>שנעשתה ב</w:t>
      </w:r>
      <w:r>
        <w:rPr>
          <w:rFonts w:hint="cs"/>
          <w:shd w:val="clear" w:color="auto" w:fill="FFFFFF"/>
          <w:rtl/>
        </w:rPr>
        <w:t xml:space="preserve">שנת </w:t>
      </w:r>
      <w:r w:rsidRPr="00D94367">
        <w:rPr>
          <w:shd w:val="clear" w:color="auto" w:fill="FFFFFF"/>
          <w:rtl/>
        </w:rPr>
        <w:t xml:space="preserve">2016 </w:t>
      </w:r>
      <w:r w:rsidRPr="00D94367">
        <w:rPr>
          <w:rFonts w:hint="cs"/>
          <w:shd w:val="clear" w:color="auto" w:fill="FFFFFF"/>
          <w:rtl/>
        </w:rPr>
        <w:t>בבקשה</w:t>
      </w:r>
      <w:r w:rsidRPr="00D94367">
        <w:rPr>
          <w:shd w:val="clear" w:color="auto" w:fill="FFFFFF"/>
          <w:rtl/>
        </w:rPr>
        <w:t xml:space="preserve"> לאשר חלוקת דיבידנדים מרווחים שנצברו בסך 350 מיליון ש"ח.</w:t>
      </w:r>
    </w:p>
    <w:p w:rsidR="00C149B0" w:rsidRPr="00D94367" w:rsidP="000839FF" w14:paraId="4C327093" w14:textId="77777777">
      <w:pPr>
        <w:pStyle w:val="7392"/>
        <w:rPr>
          <w:rtl/>
        </w:rPr>
      </w:pPr>
      <w:r w:rsidRPr="00D94367">
        <w:rPr>
          <w:rtl/>
        </w:rPr>
        <w:t>בדומה להחלטת הממשלה מאוגוסט 2015, גם בינואר 2018 החליטה הממשלה</w:t>
      </w:r>
      <w:r>
        <w:rPr>
          <w:vertAlign w:val="superscript"/>
          <w:rtl/>
        </w:rPr>
        <w:footnoteReference w:id="113"/>
      </w:r>
      <w:r w:rsidRPr="00D94367">
        <w:rPr>
          <w:rtl/>
        </w:rPr>
        <w:t xml:space="preserve"> כי על </w:t>
      </w:r>
      <w:r w:rsidRPr="00D94367">
        <w:rPr>
          <w:shd w:val="clear" w:color="auto" w:fill="FFFFFF"/>
          <w:rtl/>
        </w:rPr>
        <w:t xml:space="preserve">רשות החברות </w:t>
      </w:r>
      <w:r w:rsidRPr="00CA071B">
        <w:rPr>
          <w:rFonts w:hint="cs"/>
          <w:rtl/>
        </w:rPr>
        <w:t>הממשלתיות</w:t>
      </w:r>
      <w:r w:rsidRPr="00D94367">
        <w:rPr>
          <w:shd w:val="clear" w:color="auto" w:fill="FFFFFF"/>
          <w:rtl/>
        </w:rPr>
        <w:t xml:space="preserve"> לפנות </w:t>
      </w:r>
      <w:r w:rsidRPr="00D94367">
        <w:rPr>
          <w:rFonts w:hint="cs"/>
          <w:shd w:val="clear" w:color="auto" w:fill="FFFFFF"/>
          <w:rtl/>
        </w:rPr>
        <w:t>ל</w:t>
      </w:r>
      <w:r w:rsidRPr="00D94367">
        <w:rPr>
          <w:shd w:val="clear" w:color="auto" w:fill="FFFFFF"/>
          <w:rtl/>
        </w:rPr>
        <w:t xml:space="preserve">דירקטוריון רפאל, </w:t>
      </w:r>
      <w:r w:rsidRPr="00D94367">
        <w:rPr>
          <w:rFonts w:hint="cs"/>
          <w:shd w:val="clear" w:color="auto" w:fill="FFFFFF"/>
          <w:rtl/>
        </w:rPr>
        <w:t xml:space="preserve">לדירקטוריון </w:t>
      </w:r>
      <w:r w:rsidRPr="00D94367">
        <w:rPr>
          <w:rFonts w:hint="cs"/>
          <w:shd w:val="clear" w:color="auto" w:fill="FFFFFF"/>
          <w:rtl/>
        </w:rPr>
        <w:t>התע"א</w:t>
      </w:r>
      <w:r w:rsidRPr="00D94367">
        <w:rPr>
          <w:rFonts w:hint="cs"/>
          <w:shd w:val="clear" w:color="auto" w:fill="FFFFFF"/>
          <w:rtl/>
        </w:rPr>
        <w:t xml:space="preserve">, וככל שיידרש לדירקטוריונים של חברות נוספות, </w:t>
      </w:r>
      <w:r w:rsidRPr="00D94367">
        <w:rPr>
          <w:shd w:val="clear" w:color="auto" w:fill="FFFFFF"/>
          <w:rtl/>
        </w:rPr>
        <w:t xml:space="preserve">על מנת שידונו </w:t>
      </w:r>
      <w:r w:rsidRPr="00D94367">
        <w:rPr>
          <w:rFonts w:hint="cs"/>
          <w:shd w:val="clear" w:color="auto" w:fill="FFFFFF"/>
          <w:rtl/>
        </w:rPr>
        <w:t xml:space="preserve">במהלך שנת 2019 </w:t>
      </w:r>
      <w:r w:rsidRPr="00D94367">
        <w:rPr>
          <w:shd w:val="clear" w:color="auto" w:fill="FFFFFF"/>
          <w:rtl/>
        </w:rPr>
        <w:t xml:space="preserve">בחלוקת דיבידנד מרווחים צבורים </w:t>
      </w:r>
      <w:r>
        <w:rPr>
          <w:rFonts w:hint="cs"/>
          <w:shd w:val="clear" w:color="auto" w:fill="FFFFFF"/>
          <w:rtl/>
        </w:rPr>
        <w:t xml:space="preserve">עד לאותו מועד </w:t>
      </w:r>
      <w:r w:rsidRPr="00D94367">
        <w:rPr>
          <w:shd w:val="clear" w:color="auto" w:fill="FFFFFF"/>
          <w:rtl/>
        </w:rPr>
        <w:t xml:space="preserve">בסכום </w:t>
      </w:r>
      <w:r w:rsidRPr="00A97371">
        <w:rPr>
          <w:shd w:val="clear" w:color="auto" w:fill="FFFFFF"/>
          <w:rtl/>
        </w:rPr>
        <w:t xml:space="preserve">כולל של </w:t>
      </w:r>
      <w:r w:rsidRPr="00A97371">
        <w:rPr>
          <w:rFonts w:hint="cs"/>
          <w:shd w:val="clear" w:color="auto" w:fill="FFFFFF"/>
          <w:rtl/>
        </w:rPr>
        <w:t>550</w:t>
      </w:r>
      <w:r w:rsidRPr="00A97371">
        <w:rPr>
          <w:shd w:val="clear" w:color="auto" w:fill="FFFFFF"/>
          <w:rtl/>
        </w:rPr>
        <w:t xml:space="preserve"> מיליון</w:t>
      </w:r>
      <w:r w:rsidRPr="00D94367">
        <w:rPr>
          <w:shd w:val="clear" w:color="auto" w:fill="FFFFFF"/>
          <w:rtl/>
        </w:rPr>
        <w:t xml:space="preserve"> ש</w:t>
      </w:r>
      <w:r w:rsidRPr="00D94367">
        <w:rPr>
          <w:rtl/>
        </w:rPr>
        <w:t>"ח</w:t>
      </w:r>
      <w:r w:rsidRPr="00D94367">
        <w:rPr>
          <w:rFonts w:hint="cs"/>
          <w:rtl/>
        </w:rPr>
        <w:t xml:space="preserve">, </w:t>
      </w:r>
      <w:r w:rsidRPr="00D94367">
        <w:rPr>
          <w:shd w:val="clear" w:color="auto" w:fill="FFFFFF"/>
          <w:rtl/>
        </w:rPr>
        <w:t>זאת בנוסף לדיבידנד בגין רווחיהן השוטפים</w:t>
      </w:r>
      <w:r w:rsidRPr="00D94367">
        <w:rPr>
          <w:rFonts w:hint="cs"/>
          <w:rtl/>
        </w:rPr>
        <w:t xml:space="preserve"> לשנים 2016 - 2018</w:t>
      </w:r>
      <w:r w:rsidRPr="00D94367">
        <w:rPr>
          <w:rtl/>
        </w:rPr>
        <w:t>; וכי על הרשות לבחון את עמדת דירקטוריון החברות ולפעול ככל הניתן לביצוע ההחלטה</w:t>
      </w:r>
      <w:r>
        <w:rPr>
          <w:rFonts w:hint="cs"/>
          <w:rtl/>
        </w:rPr>
        <w:t>, לרבות בדרך של הבאת החלטה לאישור הממשלה ככל יידרש בנסיבות העניין</w:t>
      </w:r>
      <w:r w:rsidRPr="00D94367">
        <w:rPr>
          <w:rtl/>
        </w:rPr>
        <w:t xml:space="preserve">. </w:t>
      </w:r>
    </w:p>
    <w:p w:rsidR="00C149B0" w:rsidRPr="00D94367" w:rsidP="000839FF" w14:paraId="46159536" w14:textId="77777777">
      <w:pPr>
        <w:pStyle w:val="7392"/>
        <w:rPr>
          <w:rtl/>
        </w:rPr>
      </w:pPr>
      <w:r w:rsidRPr="00D94367">
        <w:rPr>
          <w:rFonts w:hint="cs"/>
          <w:rtl/>
        </w:rPr>
        <w:t xml:space="preserve">ב-26.12.18 פנה מנהל רשות החברות </w:t>
      </w:r>
      <w:r w:rsidRPr="00CA071B">
        <w:rPr>
          <w:rFonts w:hint="cs"/>
          <w:rtl/>
        </w:rPr>
        <w:t>הממשלתיות</w:t>
      </w:r>
      <w:r w:rsidRPr="00D94367">
        <w:rPr>
          <w:rFonts w:hint="cs"/>
          <w:rtl/>
        </w:rPr>
        <w:t xml:space="preserve"> לדירקטוריון רפאל וציין בין היתר כי גורמי ממשלה </w:t>
      </w:r>
      <w:r>
        <w:rPr>
          <w:rFonts w:hint="cs"/>
          <w:rtl/>
        </w:rPr>
        <w:t>ש</w:t>
      </w:r>
      <w:r w:rsidRPr="00D94367">
        <w:rPr>
          <w:rFonts w:hint="cs"/>
          <w:rtl/>
        </w:rPr>
        <w:t>איתם נפגש</w:t>
      </w:r>
      <w:r>
        <w:rPr>
          <w:rFonts w:hint="cs"/>
          <w:rtl/>
        </w:rPr>
        <w:t>ו נציגי</w:t>
      </w:r>
      <w:r w:rsidRPr="00D94367">
        <w:rPr>
          <w:rFonts w:hint="cs"/>
          <w:rtl/>
        </w:rPr>
        <w:t xml:space="preserve"> הרשות ציינו כי נדרש לקדם את משיכת הדיבידנד החריג נוכח הצורך להתכנס למסגרות התקציב לשנת 2019; כי להערכת הרשות וגורמי ממשלה רפאל תידרש לשלם עד סוף נובמבר 2019 דיבידנד חריג בסך 500 מיליון ש"ח מתוך העודפים הצבורים שלה; כי רפאל מתבקשת לכלול בתקציבה לשנת 2019 את תשלום הדיבידנד החריג; כי לדעת </w:t>
      </w:r>
      <w:r w:rsidRPr="00D94367">
        <w:rPr>
          <w:rFonts w:hint="cs"/>
          <w:rtl/>
        </w:rPr>
        <w:t>הרשות רפאל עומדת במבחני החלוקה</w:t>
      </w:r>
      <w:r>
        <w:rPr>
          <w:vertAlign w:val="superscript"/>
          <w:rtl/>
        </w:rPr>
        <w:footnoteReference w:id="114"/>
      </w:r>
      <w:r w:rsidRPr="00D94367">
        <w:rPr>
          <w:rFonts w:hint="cs"/>
          <w:rtl/>
        </w:rPr>
        <w:t xml:space="preserve">; כי בהתאם לחוק החברות הממשלתיות, החלטת דירקטוריון בדבר ייעוד רווחי החברה טעונה אישור </w:t>
      </w:r>
      <w:r>
        <w:rPr>
          <w:rFonts w:hint="cs"/>
          <w:rtl/>
        </w:rPr>
        <w:t xml:space="preserve">של </w:t>
      </w:r>
      <w:r w:rsidRPr="00D94367">
        <w:rPr>
          <w:rFonts w:hint="cs"/>
          <w:rtl/>
        </w:rPr>
        <w:t>הרשות, ו</w:t>
      </w:r>
      <w:r>
        <w:rPr>
          <w:rFonts w:hint="cs"/>
          <w:rtl/>
        </w:rPr>
        <w:t>אם תתעורר</w:t>
      </w:r>
      <w:r w:rsidRPr="00D94367">
        <w:rPr>
          <w:rFonts w:hint="cs"/>
          <w:rtl/>
        </w:rPr>
        <w:t xml:space="preserve"> מחלוקת - על החברה לפעול לפי החלטת הרשות כפי שאישרה אותה הממשלה; וכי שיקולים נוספים, ענייניים ככל שיהיו (כגון פגיעה ביחסי עבודה, קידום פעילות עסקית, השקעות בתשתיות וכו') אינם גוברים על הצורך בחלוק</w:t>
      </w:r>
      <w:r>
        <w:rPr>
          <w:rFonts w:hint="cs"/>
          <w:rtl/>
        </w:rPr>
        <w:t>ת דיבידנדים</w:t>
      </w:r>
      <w:r w:rsidRPr="00D94367">
        <w:rPr>
          <w:rFonts w:hint="cs"/>
          <w:rtl/>
        </w:rPr>
        <w:t xml:space="preserve">, </w:t>
      </w:r>
      <w:r>
        <w:rPr>
          <w:rFonts w:hint="cs"/>
          <w:rtl/>
        </w:rPr>
        <w:t>אם</w:t>
      </w:r>
      <w:r w:rsidRPr="00D94367">
        <w:rPr>
          <w:rFonts w:hint="cs"/>
          <w:rtl/>
        </w:rPr>
        <w:t xml:space="preserve"> בעלי המניות דורשים זאת והחוק מאפשר זאת.</w:t>
      </w:r>
    </w:p>
    <w:p w:rsidR="00C149B0" w:rsidRPr="00D94367" w:rsidP="000839FF" w14:paraId="450A2257" w14:textId="77777777">
      <w:pPr>
        <w:pStyle w:val="7392"/>
      </w:pPr>
      <w:r w:rsidRPr="00D94367">
        <w:rPr>
          <w:rFonts w:hint="cs"/>
          <w:rtl/>
        </w:rPr>
        <w:t xml:space="preserve">יצוין בהקשר זה כי כלי עזר שגיבשה רשות החברות </w:t>
      </w:r>
      <w:r w:rsidRPr="00CA071B">
        <w:rPr>
          <w:rFonts w:hint="cs"/>
          <w:rtl/>
        </w:rPr>
        <w:t>הממשלתיות</w:t>
      </w:r>
      <w:r w:rsidRPr="00D94367">
        <w:rPr>
          <w:shd w:val="clear" w:color="auto" w:fill="FFFFFF"/>
          <w:rtl/>
        </w:rPr>
        <w:t xml:space="preserve"> </w:t>
      </w:r>
      <w:r>
        <w:rPr>
          <w:rFonts w:hint="cs"/>
          <w:rtl/>
        </w:rPr>
        <w:t xml:space="preserve">עבור </w:t>
      </w:r>
      <w:r w:rsidRPr="00D94367">
        <w:rPr>
          <w:rFonts w:hint="cs"/>
          <w:rtl/>
        </w:rPr>
        <w:t>דירקטורים</w:t>
      </w:r>
      <w:r>
        <w:rPr>
          <w:rFonts w:hint="cs"/>
          <w:rtl/>
        </w:rPr>
        <w:t xml:space="preserve"> </w:t>
      </w:r>
      <w:r w:rsidRPr="00D94367">
        <w:rPr>
          <w:rFonts w:hint="cs"/>
          <w:rtl/>
        </w:rPr>
        <w:t>בחברות ממשלתיות</w:t>
      </w:r>
      <w:r>
        <w:rPr>
          <w:vertAlign w:val="superscript"/>
          <w:rtl/>
        </w:rPr>
        <w:footnoteReference w:id="115"/>
      </w:r>
      <w:r w:rsidRPr="00D94367">
        <w:rPr>
          <w:rFonts w:hint="cs"/>
          <w:rtl/>
        </w:rPr>
        <w:t xml:space="preserve"> מרכז עבורם מידע בנושאים שונים הנוגעים לפעילותם, לרבות היבטים ושיקולים שעליהם להביא בחשבון במסגרת תהליכי קבלת החלטותיהם, ובהם - נושא הדיבידנד. בנושא זה ציינה הרשות כי בין השיקולים שיש להביאם בחשבון, נוסף על תנאי החלוקה המצוינים בחוק, הם אם יש לחברה שימוש חלופי </w:t>
      </w:r>
      <w:r>
        <w:rPr>
          <w:rFonts w:hint="cs"/>
          <w:rtl/>
        </w:rPr>
        <w:t>ב</w:t>
      </w:r>
      <w:r w:rsidRPr="00D94367">
        <w:rPr>
          <w:rFonts w:hint="cs"/>
          <w:rtl/>
        </w:rPr>
        <w:t>כסף שעדיף בהרבה על הטובה שתצמח לבעלי המניות מחלוקתו; ואם חלוקת הדיבידנד עלולה לפגוע בצמיחה של החברה או ביכולותיה להתמודד עם מתחריה. בהתבסס על פסיקות בתי</w:t>
      </w:r>
      <w:r>
        <w:rPr>
          <w:rFonts w:hint="cs"/>
          <w:rtl/>
        </w:rPr>
        <w:t xml:space="preserve"> </w:t>
      </w:r>
      <w:r w:rsidRPr="00D94367">
        <w:rPr>
          <w:rFonts w:hint="cs"/>
          <w:rtl/>
        </w:rPr>
        <w:t>המשפט בנושא</w:t>
      </w:r>
      <w:r>
        <w:rPr>
          <w:vertAlign w:val="superscript"/>
          <w:rtl/>
        </w:rPr>
        <w:footnoteReference w:id="116"/>
      </w:r>
      <w:r w:rsidRPr="00D94367">
        <w:rPr>
          <w:rFonts w:hint="cs"/>
          <w:rtl/>
        </w:rPr>
        <w:t xml:space="preserve">, ציינה הרשות כי חלוקת דיבידנדים לבעלי המניות חייבת להיעשות בזהירות ובכובד ראש; וכי יש לנקוט זהירות יתר כאשר המימון לחלוקת הדיבידנדים מגיע מגיוס הון חיצוני. בהתייחס להשפעת חלוקת דיבידנדים על החברה ציטטה הרשות את דברי שופט בית המשפט העליון, </w:t>
      </w:r>
      <w:r>
        <w:rPr>
          <w:rFonts w:hint="cs"/>
          <w:rtl/>
        </w:rPr>
        <w:t>ו</w:t>
      </w:r>
      <w:r w:rsidRPr="00D94367">
        <w:rPr>
          <w:rFonts w:hint="cs"/>
          <w:rtl/>
        </w:rPr>
        <w:t>לפי</w:t>
      </w:r>
      <w:r>
        <w:rPr>
          <w:rFonts w:hint="cs"/>
          <w:rtl/>
        </w:rPr>
        <w:t>הם</w:t>
      </w:r>
      <w:r w:rsidRPr="00D94367">
        <w:rPr>
          <w:rFonts w:hint="cs"/>
          <w:rtl/>
        </w:rPr>
        <w:t xml:space="preserve"> "ניתן לטעון כי פעולה של חלוקת דיבידנד, מעצם טיבה, מדגימה באופן מובהק את המתח הפוטנציאלי הקיים בין טובת החברה לטובת בעלי מניותיה. זאת, שכן בעוד החלוקה מיטיבה עם בעלי המניות (למצער בטווח הקצר), עצם העברת כספי החברה אל כיסם של בעלי מניותיה מצמצמת את מסת הנכסים של החברה ובכך עשויה לעמוד בניגוד לטובתה (למצער בטווח הארוך)"</w:t>
      </w:r>
      <w:r>
        <w:rPr>
          <w:vertAlign w:val="superscript"/>
          <w:rtl/>
        </w:rPr>
        <w:footnoteReference w:id="117"/>
      </w:r>
      <w:r w:rsidRPr="00D94367">
        <w:rPr>
          <w:rFonts w:hint="cs"/>
          <w:rtl/>
        </w:rPr>
        <w:t>.</w:t>
      </w:r>
    </w:p>
    <w:p w:rsidR="00C149B0" w:rsidRPr="00D94367" w:rsidP="000839FF" w14:paraId="30D448C3" w14:textId="77777777">
      <w:pPr>
        <w:pStyle w:val="7392"/>
        <w:rPr>
          <w:rtl/>
        </w:rPr>
      </w:pPr>
      <w:r w:rsidRPr="00D94367">
        <w:rPr>
          <w:rtl/>
        </w:rPr>
        <w:t>ב-27.12.18 אישר דירקטוריון רפאל את תקציב החברה לשנת 2019. בפרוטוקול הדיון נכתב כי הדירקטוריון בחן לעומק את פניית</w:t>
      </w:r>
      <w:r w:rsidRPr="00D94367">
        <w:rPr>
          <w:rFonts w:hint="cs"/>
          <w:rtl/>
        </w:rPr>
        <w:t>ו</w:t>
      </w:r>
      <w:r w:rsidRPr="00D94367">
        <w:rPr>
          <w:rtl/>
        </w:rPr>
        <w:t xml:space="preserve"> </w:t>
      </w:r>
      <w:r w:rsidRPr="00D94367">
        <w:rPr>
          <w:rFonts w:hint="cs"/>
          <w:rtl/>
        </w:rPr>
        <w:t xml:space="preserve">של </w:t>
      </w:r>
      <w:r w:rsidRPr="00D94367">
        <w:rPr>
          <w:rtl/>
        </w:rPr>
        <w:t xml:space="preserve">מנהל רשות החברות </w:t>
      </w:r>
      <w:r w:rsidRPr="00CA071B">
        <w:rPr>
          <w:rFonts w:hint="cs"/>
          <w:rtl/>
        </w:rPr>
        <w:t>הממשלתיות</w:t>
      </w:r>
      <w:r>
        <w:rPr>
          <w:rFonts w:hint="cs"/>
          <w:rtl/>
        </w:rPr>
        <w:t>,</w:t>
      </w:r>
      <w:r w:rsidRPr="00D94367">
        <w:rPr>
          <w:shd w:val="clear" w:color="auto" w:fill="FFFFFF"/>
          <w:rtl/>
        </w:rPr>
        <w:t xml:space="preserve"> </w:t>
      </w:r>
      <w:r w:rsidRPr="00D94367">
        <w:rPr>
          <w:rFonts w:hint="cs"/>
          <w:rtl/>
        </w:rPr>
        <w:t>ו</w:t>
      </w:r>
      <w:r w:rsidRPr="00D94367">
        <w:rPr>
          <w:rtl/>
        </w:rPr>
        <w:t xml:space="preserve">כי לאחר ששמע את השיקולים התקציביים, העסקיים, הארגוניים והמשפטיים, לרבות שיקולים </w:t>
      </w:r>
      <w:r>
        <w:rPr>
          <w:rFonts w:hint="cs"/>
          <w:rtl/>
        </w:rPr>
        <w:t>הנוגעים</w:t>
      </w:r>
      <w:r w:rsidRPr="00D94367">
        <w:rPr>
          <w:rtl/>
        </w:rPr>
        <w:t xml:space="preserve"> </w:t>
      </w:r>
      <w:r>
        <w:rPr>
          <w:rFonts w:hint="cs"/>
          <w:rtl/>
        </w:rPr>
        <w:t>ל</w:t>
      </w:r>
      <w:r w:rsidRPr="00D94367">
        <w:rPr>
          <w:rtl/>
        </w:rPr>
        <w:t xml:space="preserve">יחסי העבודה בחברה, החליט הדירקטוריון </w:t>
      </w:r>
      <w:r>
        <w:rPr>
          <w:rFonts w:hint="cs"/>
          <w:rtl/>
        </w:rPr>
        <w:t>ש</w:t>
      </w:r>
      <w:r w:rsidRPr="00D94367">
        <w:rPr>
          <w:rtl/>
        </w:rPr>
        <w:t xml:space="preserve">לא לכלול </w:t>
      </w:r>
      <w:r w:rsidRPr="00D94367">
        <w:rPr>
          <w:rFonts w:hint="cs"/>
          <w:rtl/>
        </w:rPr>
        <w:t xml:space="preserve">תשלום </w:t>
      </w:r>
      <w:r w:rsidRPr="00D94367">
        <w:rPr>
          <w:rtl/>
        </w:rPr>
        <w:t xml:space="preserve">דיבידנד </w:t>
      </w:r>
      <w:r w:rsidRPr="00D94367">
        <w:rPr>
          <w:rFonts w:hint="cs"/>
          <w:rtl/>
        </w:rPr>
        <w:t xml:space="preserve">חריג כאמור </w:t>
      </w:r>
      <w:r w:rsidRPr="00D94367">
        <w:rPr>
          <w:rtl/>
        </w:rPr>
        <w:t>בתקציב</w:t>
      </w:r>
      <w:r w:rsidRPr="00D94367">
        <w:rPr>
          <w:rFonts w:hint="cs"/>
          <w:rtl/>
        </w:rPr>
        <w:t xml:space="preserve">; כי </w:t>
      </w:r>
      <w:r w:rsidRPr="00D94367">
        <w:rPr>
          <w:rtl/>
        </w:rPr>
        <w:t>הדירקטוריון שוכנע, על בסיס הנתונים שהצ</w:t>
      </w:r>
      <w:r>
        <w:rPr>
          <w:rFonts w:hint="cs"/>
          <w:rtl/>
        </w:rPr>
        <w:t>י</w:t>
      </w:r>
      <w:r w:rsidRPr="00D94367">
        <w:rPr>
          <w:rtl/>
        </w:rPr>
        <w:t>ג</w:t>
      </w:r>
      <w:r>
        <w:rPr>
          <w:rFonts w:hint="cs"/>
          <w:rtl/>
        </w:rPr>
        <w:t>ה</w:t>
      </w:r>
      <w:r>
        <w:rPr>
          <w:rtl/>
        </w:rPr>
        <w:t xml:space="preserve"> </w:t>
      </w:r>
      <w:r>
        <w:rPr>
          <w:rFonts w:hint="cs"/>
          <w:rtl/>
        </w:rPr>
        <w:t>ל</w:t>
      </w:r>
      <w:r w:rsidRPr="00D94367">
        <w:rPr>
          <w:rtl/>
        </w:rPr>
        <w:t>פניו ההנהלה</w:t>
      </w:r>
      <w:r>
        <w:rPr>
          <w:rFonts w:hint="cs"/>
          <w:rtl/>
        </w:rPr>
        <w:t>,</w:t>
      </w:r>
      <w:r w:rsidRPr="00D94367">
        <w:rPr>
          <w:rtl/>
        </w:rPr>
        <w:t xml:space="preserve"> כי הכללת הדיבידנד בתקציב תביא לפגיעה חמורה בפעילות החברה</w:t>
      </w:r>
      <w:r w:rsidRPr="00D94367">
        <w:rPr>
          <w:rFonts w:hint="cs"/>
          <w:rtl/>
        </w:rPr>
        <w:t>,</w:t>
      </w:r>
      <w:r w:rsidRPr="00D94367">
        <w:rPr>
          <w:rtl/>
        </w:rPr>
        <w:t xml:space="preserve"> ולמעשה תמנע מהחברה לממש את </w:t>
      </w:r>
      <w:r w:rsidRPr="00D94367">
        <w:rPr>
          <w:rFonts w:hint="cs"/>
          <w:rtl/>
        </w:rPr>
        <w:t>ה</w:t>
      </w:r>
      <w:r w:rsidRPr="00D94367">
        <w:rPr>
          <w:rtl/>
        </w:rPr>
        <w:t>תקציב</w:t>
      </w:r>
      <w:r w:rsidRPr="00D94367">
        <w:rPr>
          <w:rFonts w:hint="cs"/>
          <w:rtl/>
        </w:rPr>
        <w:t xml:space="preserve"> לשנה זו ו</w:t>
      </w:r>
      <w:r w:rsidRPr="00D94367">
        <w:rPr>
          <w:rtl/>
        </w:rPr>
        <w:t>את תוכניותיה הרב</w:t>
      </w:r>
      <w:r w:rsidRPr="00D94367">
        <w:rPr>
          <w:rFonts w:hint="cs"/>
          <w:rtl/>
        </w:rPr>
        <w:t>-</w:t>
      </w:r>
      <w:r w:rsidRPr="00D94367">
        <w:rPr>
          <w:rtl/>
        </w:rPr>
        <w:t>שנתיות</w:t>
      </w:r>
      <w:r w:rsidRPr="00D94367">
        <w:rPr>
          <w:rFonts w:hint="cs"/>
          <w:rtl/>
        </w:rPr>
        <w:t xml:space="preserve">; וכי </w:t>
      </w:r>
      <w:r w:rsidRPr="00D94367">
        <w:rPr>
          <w:rtl/>
        </w:rPr>
        <w:t xml:space="preserve">הנימוקים המשפטיים שהוצגו </w:t>
      </w:r>
      <w:r>
        <w:rPr>
          <w:rFonts w:hint="cs"/>
          <w:rtl/>
        </w:rPr>
        <w:t>ל</w:t>
      </w:r>
      <w:r w:rsidRPr="00D94367">
        <w:rPr>
          <w:rtl/>
        </w:rPr>
        <w:t>פני</w:t>
      </w:r>
      <w:r w:rsidRPr="00D94367">
        <w:rPr>
          <w:rFonts w:hint="cs"/>
          <w:rtl/>
        </w:rPr>
        <w:t xml:space="preserve"> הדירקטוריון</w:t>
      </w:r>
      <w:r w:rsidRPr="00D94367">
        <w:rPr>
          <w:rtl/>
        </w:rPr>
        <w:t xml:space="preserve"> </w:t>
      </w:r>
      <w:r w:rsidRPr="00D94367">
        <w:rPr>
          <w:rFonts w:hint="cs"/>
          <w:rtl/>
        </w:rPr>
        <w:t>"</w:t>
      </w:r>
      <w:r w:rsidRPr="00D94367">
        <w:rPr>
          <w:rtl/>
        </w:rPr>
        <w:t>מטילים ספק בדבר חוקיות בקשתו של מנהל הרשות</w:t>
      </w:r>
      <w:r w:rsidRPr="00D94367">
        <w:rPr>
          <w:rFonts w:hint="cs"/>
          <w:rtl/>
        </w:rPr>
        <w:t>"</w:t>
      </w:r>
      <w:r w:rsidRPr="00D94367">
        <w:rPr>
          <w:rtl/>
        </w:rPr>
        <w:t>.</w:t>
      </w:r>
    </w:p>
    <w:p w:rsidR="00C149B0" w:rsidRPr="00D94367" w:rsidP="000839FF" w14:paraId="5AF81C8E" w14:textId="77777777">
      <w:pPr>
        <w:pStyle w:val="7392"/>
        <w:rPr>
          <w:rtl/>
        </w:rPr>
      </w:pPr>
      <w:r w:rsidRPr="00D94367">
        <w:rPr>
          <w:rFonts w:hint="cs"/>
          <w:rtl/>
        </w:rPr>
        <w:t xml:space="preserve">ב-31.12.18 כתב יו"ר הדירקטוריון למנהל רשות החברות </w:t>
      </w:r>
      <w:r>
        <w:rPr>
          <w:rFonts w:hint="cs"/>
          <w:rtl/>
        </w:rPr>
        <w:t xml:space="preserve">הממשלתיות </w:t>
      </w:r>
      <w:r w:rsidRPr="00D94367">
        <w:rPr>
          <w:rFonts w:hint="cs"/>
          <w:rtl/>
        </w:rPr>
        <w:t xml:space="preserve">דאז מכתב, </w:t>
      </w:r>
      <w:r>
        <w:rPr>
          <w:rFonts w:hint="cs"/>
          <w:rtl/>
        </w:rPr>
        <w:t>ו</w:t>
      </w:r>
      <w:r w:rsidRPr="00D94367">
        <w:rPr>
          <w:rFonts w:hint="cs"/>
          <w:rtl/>
        </w:rPr>
        <w:t xml:space="preserve">בו עדכן אותו לגבי החלטת הדירקטוריון להתנגד לכוונת המדינה "לכפות" חלוקת רווחים מהרווחים הצבורים של רפאל, ופירט את הסיבות לכך. בין היתר ציין יו"ר הדירקטוריון כי הבקשה לקבלת דיבידנד מרווחים צבורים </w:t>
      </w:r>
      <w:r>
        <w:rPr>
          <w:rFonts w:hint="cs"/>
          <w:rtl/>
        </w:rPr>
        <w:t>היא בבחינת</w:t>
      </w:r>
      <w:r w:rsidRPr="00D94367">
        <w:rPr>
          <w:rFonts w:hint="cs"/>
          <w:rtl/>
        </w:rPr>
        <w:t xml:space="preserve"> פגיעה חמורה בחברה, לרבות במימוש תוכניתה האסטרטגית להמשך צמיחה והתפתחות, הכוללת רכישת חברות בארץ ובחו"ל, גיוס, קליטה ושימור </w:t>
      </w:r>
      <w:r>
        <w:rPr>
          <w:rFonts w:hint="cs"/>
          <w:rtl/>
        </w:rPr>
        <w:t xml:space="preserve">של </w:t>
      </w:r>
      <w:r w:rsidRPr="00D94367">
        <w:rPr>
          <w:rFonts w:hint="cs"/>
          <w:rtl/>
        </w:rPr>
        <w:t>המשאב האנושי והשקעה בתשתיות ו</w:t>
      </w:r>
      <w:r>
        <w:rPr>
          <w:rFonts w:hint="cs"/>
          <w:rtl/>
        </w:rPr>
        <w:t>ב</w:t>
      </w:r>
      <w:r w:rsidRPr="00D94367">
        <w:rPr>
          <w:rFonts w:hint="cs"/>
          <w:rtl/>
        </w:rPr>
        <w:t>קווי ייצור קריטיים</w:t>
      </w:r>
      <w:r>
        <w:rPr>
          <w:vertAlign w:val="superscript"/>
          <w:rtl/>
        </w:rPr>
        <w:footnoteReference w:id="118"/>
      </w:r>
      <w:r w:rsidRPr="00D94367">
        <w:rPr>
          <w:rFonts w:hint="cs"/>
          <w:rtl/>
        </w:rPr>
        <w:t xml:space="preserve">. </w:t>
      </w:r>
      <w:r>
        <w:rPr>
          <w:rFonts w:hint="cs"/>
          <w:rtl/>
        </w:rPr>
        <w:t xml:space="preserve">עוד ציין </w:t>
      </w:r>
      <w:r w:rsidRPr="00D94367">
        <w:rPr>
          <w:rFonts w:hint="cs"/>
          <w:rtl/>
        </w:rPr>
        <w:t xml:space="preserve">יו"ר הדירקטוריון כי משיכת </w:t>
      </w:r>
      <w:r w:rsidRPr="00D94367">
        <w:rPr>
          <w:rFonts w:hint="cs"/>
          <w:rtl/>
        </w:rPr>
        <w:t xml:space="preserve">דיבידנד חריג תחייב את החברה לגייס הון, דבר שהגדיר כ"אבסורד" בהיבט הכלכלי </w:t>
      </w:r>
      <w:r>
        <w:rPr>
          <w:rFonts w:hint="cs"/>
          <w:rtl/>
        </w:rPr>
        <w:t>ה</w:t>
      </w:r>
      <w:r w:rsidRPr="00D94367">
        <w:rPr>
          <w:rFonts w:hint="cs"/>
          <w:rtl/>
        </w:rPr>
        <w:t xml:space="preserve">לאומי כיוון שעלות גיוס הון על ידי המדינה נמוכה מזו של החברה. לדברי היו"ר, במישור המשפטי - פניית הרשות וניסיונה "לכפות" חלוקת דיבידנד מרווחים צבורים הן "פעולות הנעשות בחוסר סמכות ולכן נגועות באי חוקיות"; והן </w:t>
      </w:r>
      <w:r>
        <w:rPr>
          <w:rFonts w:hint="cs"/>
          <w:rtl/>
        </w:rPr>
        <w:t>בגדר</w:t>
      </w:r>
      <w:r w:rsidRPr="00D94367">
        <w:rPr>
          <w:rFonts w:hint="cs"/>
          <w:rtl/>
        </w:rPr>
        <w:t xml:space="preserve"> "הפרה" של ההסכמים שנעשו בעבר בין רפאל לרשות החברות הממשלתיות. לסיכום כתב יו"ר הדירקטוריון כי במשיכת הדיבידנד יש כדי להביא לפגיעה ממשית ביכולת של רפאל להמשיך לצמוח, לפתח, לקלוט ולשמר כוח אדם איכותי ולממש את היעדים והאתגרים הלאומיים </w:t>
      </w:r>
      <w:r>
        <w:rPr>
          <w:rFonts w:hint="cs"/>
          <w:rtl/>
        </w:rPr>
        <w:t>הניצבים ל</w:t>
      </w:r>
      <w:r w:rsidRPr="00D94367">
        <w:rPr>
          <w:rFonts w:hint="cs"/>
          <w:rtl/>
        </w:rPr>
        <w:t xml:space="preserve">פניה; וכי אם הדבר ייעשה לא יהיה מנוס מעצירה דרסטית של פעילות רפאל, לרבות צמצום משמעותי בתקציב המו"פ; עצירת השקעות אסטרטגיות בתשתיות טכנולוגיות ובמהלכי פיתוח עסקי, דבר שיפגע ביכולת החברה לשרוד בשוק תחרותי; ובחינת מימוש נכסים, </w:t>
      </w:r>
      <w:r>
        <w:rPr>
          <w:rFonts w:hint="cs"/>
          <w:rtl/>
        </w:rPr>
        <w:t>ובכלל זה</w:t>
      </w:r>
      <w:r w:rsidRPr="00D94367">
        <w:rPr>
          <w:rFonts w:hint="cs"/>
          <w:rtl/>
        </w:rPr>
        <w:t xml:space="preserve"> מכירת חברות בנות, על מנת לשמר את היציבות הפיננסית.</w:t>
      </w:r>
    </w:p>
    <w:p w:rsidR="00C149B0" w:rsidRPr="000839FF" w:rsidP="000839FF" w14:paraId="7B6C6ADE" w14:textId="77777777">
      <w:pPr>
        <w:pStyle w:val="7318"/>
        <w:rPr>
          <w:rtl/>
        </w:rPr>
      </w:pPr>
      <w:r w:rsidRPr="000839FF">
        <w:rPr>
          <w:rFonts w:hint="cs"/>
          <w:rtl/>
        </w:rPr>
        <w:t xml:space="preserve">נמצא כי שלא בהתאם להנחיית חוזר ייעוד רווחים, רפאל לא הציגה בדוחותיה הכספיים לשנת 2018 את דרישת הרשות כי החברה תחליט לגבי תשלום דיבידנד מיוחד בסך של 500 מיליון ש"ח בשנת 2019 ואת המחלוקת הקיימת בינה ובין הרשות בעניין זה. </w:t>
      </w:r>
    </w:p>
    <w:p w:rsidR="00C149B0" w:rsidP="000839FF" w14:paraId="094CCD73" w14:textId="74D4FA21">
      <w:pPr>
        <w:pStyle w:val="7392"/>
        <w:rPr>
          <w:szCs w:val="20"/>
          <w:shd w:val="clear" w:color="auto" w:fill="FFFFFF"/>
        </w:rPr>
      </w:pPr>
      <w:r w:rsidRPr="00D94367">
        <w:rPr>
          <w:rFonts w:hint="cs"/>
          <w:rtl/>
        </w:rPr>
        <w:t>ב-16.7.19 חזרה ופנתה רשות החברות</w:t>
      </w:r>
      <w:r>
        <w:rPr>
          <w:rFonts w:hint="cs"/>
          <w:rtl/>
        </w:rPr>
        <w:t xml:space="preserve"> </w:t>
      </w:r>
      <w:r w:rsidRPr="00CA071B">
        <w:rPr>
          <w:rFonts w:hint="cs"/>
          <w:rtl/>
        </w:rPr>
        <w:t>הממשלתיות</w:t>
      </w:r>
      <w:r w:rsidRPr="00D94367">
        <w:rPr>
          <w:rFonts w:ascii="David" w:eastAsia="Times New Roman" w:hAnsi="David"/>
          <w:sz w:val="24"/>
          <w:shd w:val="clear" w:color="auto" w:fill="FFFFFF"/>
          <w:rtl/>
        </w:rPr>
        <w:t xml:space="preserve"> </w:t>
      </w:r>
      <w:r w:rsidRPr="00D94367">
        <w:rPr>
          <w:rFonts w:hint="cs"/>
          <w:rtl/>
        </w:rPr>
        <w:t xml:space="preserve">לרפאל בבקשה לקיים דיון בנושא חלוקת דיבידנד מיוחד בסך 500 מיליון ש"ח תוך בחינת החלוקה בהתאם למבחנים שבחוק החברות. </w:t>
      </w:r>
      <w:r w:rsidR="00122F6F">
        <w:rPr>
          <w:rFonts w:ascii="David" w:hAnsi="David"/>
          <w:sz w:val="24"/>
          <w:shd w:val="clear" w:color="auto" w:fill="FFFFFF"/>
          <w:rtl/>
        </w:rPr>
        <w:br/>
      </w:r>
      <w:r w:rsidRPr="00D94367">
        <w:rPr>
          <w:rFonts w:ascii="David" w:hAnsi="David" w:hint="cs"/>
          <w:sz w:val="24"/>
          <w:shd w:val="clear" w:color="auto" w:fill="FFFFFF"/>
          <w:rtl/>
        </w:rPr>
        <w:t xml:space="preserve">ב-23.7.19 קיים דירקטוריון רפאל דיון בנושא, ובסיכומו הנחה את ההנהלה לקיים הידברות עם גורמי הממשלה המתאימים בדבר </w:t>
      </w:r>
      <w:r>
        <w:rPr>
          <w:rFonts w:ascii="David" w:hAnsi="David" w:hint="cs"/>
          <w:sz w:val="24"/>
          <w:shd w:val="clear" w:color="auto" w:fill="FFFFFF"/>
          <w:rtl/>
        </w:rPr>
        <w:t>האופן שבו משיכת הדיבידנד תשפיע</w:t>
      </w:r>
      <w:r w:rsidRPr="00D94367">
        <w:rPr>
          <w:rFonts w:ascii="David" w:hAnsi="David" w:hint="cs"/>
          <w:sz w:val="24"/>
          <w:shd w:val="clear" w:color="auto" w:fill="FFFFFF"/>
          <w:rtl/>
        </w:rPr>
        <w:t xml:space="preserve"> על החברה ובעניין חוות הדעת של יועמ"ש החברה בדבר חוקיות דרישת הממשלה ורשות החברות</w:t>
      </w:r>
      <w:r>
        <w:rPr>
          <w:rFonts w:ascii="David" w:hAnsi="David" w:hint="cs"/>
          <w:sz w:val="24"/>
          <w:shd w:val="clear" w:color="auto" w:fill="FFFFFF"/>
          <w:rtl/>
        </w:rPr>
        <w:t xml:space="preserve"> הממשלתיות</w:t>
      </w:r>
      <w:r w:rsidRPr="00D94367">
        <w:rPr>
          <w:rFonts w:ascii="David" w:hAnsi="David" w:hint="cs"/>
          <w:sz w:val="24"/>
          <w:shd w:val="clear" w:color="auto" w:fill="FFFFFF"/>
          <w:rtl/>
        </w:rPr>
        <w:t xml:space="preserve">, בהתחשב, בין היתר, "בהתחייבויות קודמות של הממשלה כלפי החברה". </w:t>
      </w:r>
    </w:p>
    <w:p w:rsidR="00C149B0" w:rsidRPr="000839FF" w:rsidP="000839FF" w14:paraId="62725F8F" w14:textId="77777777">
      <w:pPr>
        <w:pStyle w:val="7318"/>
        <w:rPr>
          <w:rtl/>
        </w:rPr>
      </w:pPr>
      <w:r w:rsidRPr="000839FF">
        <w:rPr>
          <w:rFonts w:hint="cs"/>
          <w:rtl/>
        </w:rPr>
        <w:t>ממסמכי רשות החברות הממשלתיות</w:t>
      </w:r>
      <w:r w:rsidRPr="000839FF">
        <w:rPr>
          <w:rtl/>
        </w:rPr>
        <w:t xml:space="preserve"> </w:t>
      </w:r>
      <w:r w:rsidRPr="000839FF">
        <w:rPr>
          <w:rFonts w:hint="cs"/>
          <w:rtl/>
        </w:rPr>
        <w:t>עולה כי באוגוסט 2019 הגיעו רפאל והרשות לסיכום בעניין</w:t>
      </w:r>
      <w:r>
        <w:rPr>
          <w:vertAlign w:val="superscript"/>
          <w:rtl/>
        </w:rPr>
        <w:footnoteReference w:id="119"/>
      </w:r>
      <w:r w:rsidRPr="000839FF">
        <w:rPr>
          <w:rFonts w:hint="cs"/>
          <w:rtl/>
        </w:rPr>
        <w:t>. בהתאם לסיכום זה הכריזה רפאל באוגוסט 2019 על</w:t>
      </w:r>
      <w:r w:rsidRPr="000839FF">
        <w:rPr>
          <w:rtl/>
        </w:rPr>
        <w:t xml:space="preserve"> </w:t>
      </w:r>
      <w:r w:rsidRPr="000839FF">
        <w:rPr>
          <w:rFonts w:hint="cs"/>
          <w:rtl/>
        </w:rPr>
        <w:t xml:space="preserve">חלוקת </w:t>
      </w:r>
      <w:r w:rsidRPr="000839FF">
        <w:rPr>
          <w:rtl/>
        </w:rPr>
        <w:t xml:space="preserve">דיבידנד </w:t>
      </w:r>
      <w:r w:rsidRPr="000839FF">
        <w:rPr>
          <w:rFonts w:hint="cs"/>
          <w:rtl/>
        </w:rPr>
        <w:t>מיוחד</w:t>
      </w:r>
      <w:r w:rsidRPr="000839FF">
        <w:rPr>
          <w:rtl/>
        </w:rPr>
        <w:t xml:space="preserve"> בסך 319 מיליוני ש"ח</w:t>
      </w:r>
      <w:r w:rsidRPr="000839FF">
        <w:rPr>
          <w:rFonts w:hint="cs"/>
          <w:rtl/>
        </w:rPr>
        <w:t>; מתוכו</w:t>
      </w:r>
      <w:r w:rsidRPr="000839FF">
        <w:rPr>
          <w:rtl/>
        </w:rPr>
        <w:t xml:space="preserve"> סך מצטבר של עד 269 מיליוני ש"ח </w:t>
      </w:r>
      <w:r w:rsidRPr="000839FF">
        <w:rPr>
          <w:rFonts w:hint="cs"/>
          <w:rtl/>
        </w:rPr>
        <w:t>ניתן יהיה לקיזוז מדיבידנדים שוטפים עתידיים בגין רווחי ה</w:t>
      </w:r>
      <w:r w:rsidRPr="000839FF">
        <w:rPr>
          <w:rtl/>
        </w:rPr>
        <w:t>שנים 202</w:t>
      </w:r>
      <w:r w:rsidRPr="000839FF">
        <w:rPr>
          <w:rFonts w:hint="cs"/>
          <w:rtl/>
        </w:rPr>
        <w:t xml:space="preserve">0 </w:t>
      </w:r>
      <w:r w:rsidRPr="000839FF">
        <w:rPr>
          <w:rtl/>
        </w:rPr>
        <w:t>-</w:t>
      </w:r>
      <w:r w:rsidRPr="000839FF">
        <w:rPr>
          <w:rFonts w:hint="cs"/>
          <w:rtl/>
        </w:rPr>
        <w:t xml:space="preserve"> </w:t>
      </w:r>
      <w:r w:rsidRPr="000839FF">
        <w:rPr>
          <w:rtl/>
        </w:rPr>
        <w:t>202</w:t>
      </w:r>
      <w:r w:rsidRPr="000839FF">
        <w:rPr>
          <w:rFonts w:hint="cs"/>
          <w:rtl/>
        </w:rPr>
        <w:t xml:space="preserve">5 על פי מתווה שסוכם עם הרשות, ולפיו </w:t>
      </w:r>
      <w:r w:rsidRPr="000839FF">
        <w:rPr>
          <w:rtl/>
        </w:rPr>
        <w:t xml:space="preserve">אם סכום הדיבידנד השוטף יהיה </w:t>
      </w:r>
      <w:r w:rsidRPr="000839FF">
        <w:rPr>
          <w:rFonts w:hint="cs"/>
          <w:rtl/>
        </w:rPr>
        <w:t>יותר</w:t>
      </w:r>
      <w:r w:rsidRPr="000839FF">
        <w:rPr>
          <w:rtl/>
        </w:rPr>
        <w:t xml:space="preserve"> מ-166 מיליוני ש"ח</w:t>
      </w:r>
      <w:r w:rsidRPr="000839FF">
        <w:rPr>
          <w:rFonts w:hint="cs"/>
          <w:rtl/>
        </w:rPr>
        <w:t xml:space="preserve"> -</w:t>
      </w:r>
      <w:r w:rsidRPr="000839FF">
        <w:rPr>
          <w:rtl/>
        </w:rPr>
        <w:t xml:space="preserve"> רפאל תשלם באותה </w:t>
      </w:r>
      <w:r w:rsidRPr="000839FF">
        <w:rPr>
          <w:rFonts w:hint="cs"/>
          <w:rtl/>
        </w:rPr>
        <w:t>ה</w:t>
      </w:r>
      <w:r w:rsidRPr="000839FF">
        <w:rPr>
          <w:rtl/>
        </w:rPr>
        <w:t xml:space="preserve">שנה דיבידנד בסך 166 מיליוני ש"ח בלבד. </w:t>
      </w:r>
    </w:p>
    <w:p w:rsidR="00C149B0" w:rsidRPr="000839FF" w:rsidP="000839FF" w14:paraId="58C8E649" w14:textId="77777777">
      <w:pPr>
        <w:pStyle w:val="7392"/>
        <w:rPr>
          <w:rtl/>
        </w:rPr>
      </w:pPr>
      <w:r w:rsidRPr="000839FF">
        <w:rPr>
          <w:rtl/>
        </w:rPr>
        <w:t xml:space="preserve">יצוין כי </w:t>
      </w:r>
      <w:r w:rsidRPr="000839FF">
        <w:rPr>
          <w:rFonts w:hint="cs"/>
          <w:rtl/>
        </w:rPr>
        <w:t>ה</w:t>
      </w:r>
      <w:r w:rsidRPr="000839FF">
        <w:rPr>
          <w:rtl/>
        </w:rPr>
        <w:t xml:space="preserve">דיבידנדים </w:t>
      </w:r>
      <w:r w:rsidRPr="000839FF">
        <w:rPr>
          <w:rFonts w:hint="cs"/>
          <w:rtl/>
        </w:rPr>
        <w:t xml:space="preserve">השוטפים </w:t>
      </w:r>
      <w:r w:rsidRPr="000839FF">
        <w:rPr>
          <w:rtl/>
        </w:rPr>
        <w:t>שהוכרזו בגין רווחי השנים 2020 ו-2021 לא עמדו בתנאים האמורים וסכומיהם לא הופחתו</w:t>
      </w:r>
      <w:r w:rsidRPr="000839FF">
        <w:rPr>
          <w:rFonts w:hint="cs"/>
          <w:rtl/>
        </w:rPr>
        <w:t>;</w:t>
      </w:r>
      <w:r w:rsidRPr="000839FF">
        <w:rPr>
          <w:rtl/>
        </w:rPr>
        <w:t xml:space="preserve"> וכי נוכח הרווחיות החזויה בשנת 2022 </w:t>
      </w:r>
      <w:r w:rsidRPr="000839FF">
        <w:rPr>
          <w:rFonts w:hint="cs"/>
          <w:rtl/>
        </w:rPr>
        <w:t xml:space="preserve">צפוי כי </w:t>
      </w:r>
      <w:r w:rsidRPr="000839FF">
        <w:rPr>
          <w:rtl/>
        </w:rPr>
        <w:t>גם בשנה זו לא יקוזזו סכומים בגין הדיבידנד המיוחד ששולם.</w:t>
      </w:r>
      <w:r w:rsidRPr="000839FF">
        <w:rPr>
          <w:rFonts w:hint="cs"/>
          <w:rtl/>
        </w:rPr>
        <w:t xml:space="preserve"> כאמור לעיל, בהתאם לסיכום של רפאל עם </w:t>
      </w:r>
      <w:r w:rsidRPr="000839FF">
        <w:rPr>
          <w:rtl/>
        </w:rPr>
        <w:t>רשות החברות</w:t>
      </w:r>
      <w:r w:rsidRPr="000839FF">
        <w:rPr>
          <w:rFonts w:hint="cs"/>
          <w:rtl/>
        </w:rPr>
        <w:t xml:space="preserve"> הממשלתיות</w:t>
      </w:r>
      <w:r w:rsidRPr="000839FF">
        <w:rPr>
          <w:rtl/>
        </w:rPr>
        <w:t xml:space="preserve"> </w:t>
      </w:r>
      <w:r w:rsidRPr="000839FF">
        <w:rPr>
          <w:rFonts w:hint="cs"/>
          <w:rtl/>
        </w:rPr>
        <w:t>לגבי</w:t>
      </w:r>
      <w:r w:rsidRPr="000839FF">
        <w:rPr>
          <w:rtl/>
        </w:rPr>
        <w:t xml:space="preserve"> חלוקת דיבידנד בגין רווחי השנים 20</w:t>
      </w:r>
      <w:r w:rsidRPr="000839FF">
        <w:rPr>
          <w:rFonts w:hint="cs"/>
          <w:rtl/>
        </w:rPr>
        <w:t xml:space="preserve">19 </w:t>
      </w:r>
      <w:r w:rsidRPr="000839FF">
        <w:rPr>
          <w:rtl/>
        </w:rPr>
        <w:t>-</w:t>
      </w:r>
      <w:r w:rsidRPr="000839FF">
        <w:rPr>
          <w:rFonts w:hint="cs"/>
          <w:rtl/>
        </w:rPr>
        <w:t xml:space="preserve"> </w:t>
      </w:r>
      <w:r w:rsidRPr="000839FF">
        <w:rPr>
          <w:rtl/>
        </w:rPr>
        <w:t>20</w:t>
      </w:r>
      <w:r w:rsidRPr="000839FF">
        <w:rPr>
          <w:rFonts w:hint="cs"/>
          <w:rtl/>
        </w:rPr>
        <w:t xml:space="preserve">21, יקוזז סך של כ-141 מיליון ש"ח מהדיבידנדים שישולמו בגין רווחי השנים 2023 ו-2024. </w:t>
      </w:r>
    </w:p>
    <w:p w:rsidR="00C149B0" w:rsidP="000839FF" w14:paraId="2E376998" w14:textId="77777777">
      <w:pPr>
        <w:pStyle w:val="7392"/>
        <w:rPr>
          <w:rtl/>
        </w:rPr>
      </w:pPr>
      <w:r w:rsidRPr="00D94367">
        <w:rPr>
          <w:rFonts w:hint="cs"/>
          <w:rtl/>
        </w:rPr>
        <w:t>ב</w:t>
      </w:r>
      <w:r w:rsidRPr="00D94367">
        <w:rPr>
          <w:rtl/>
        </w:rPr>
        <w:t>-26.5.22</w:t>
      </w:r>
      <w:r w:rsidRPr="00D94367">
        <w:rPr>
          <w:rFonts w:hint="cs"/>
          <w:rtl/>
        </w:rPr>
        <w:t xml:space="preserve">, בישיבה </w:t>
      </w:r>
      <w:r>
        <w:rPr>
          <w:rFonts w:hint="cs"/>
          <w:rtl/>
        </w:rPr>
        <w:t>ש</w:t>
      </w:r>
      <w:r w:rsidRPr="00D94367">
        <w:rPr>
          <w:rFonts w:hint="cs"/>
          <w:rtl/>
        </w:rPr>
        <w:t>בה</w:t>
      </w:r>
      <w:r w:rsidRPr="00D94367">
        <w:rPr>
          <w:rtl/>
        </w:rPr>
        <w:t xml:space="preserve"> אישר דירקטוריון רפאל את הסיכום </w:t>
      </w:r>
      <w:r w:rsidRPr="00D94367">
        <w:rPr>
          <w:rFonts w:hint="cs"/>
          <w:rtl/>
        </w:rPr>
        <w:t xml:space="preserve">שלעיל, </w:t>
      </w:r>
      <w:r w:rsidRPr="00D94367">
        <w:rPr>
          <w:rtl/>
        </w:rPr>
        <w:t xml:space="preserve">ציין </w:t>
      </w:r>
      <w:r w:rsidRPr="00D94367">
        <w:rPr>
          <w:rFonts w:hint="cs"/>
          <w:rtl/>
        </w:rPr>
        <w:t xml:space="preserve">מנכ"ל רפאל </w:t>
      </w:r>
      <w:r w:rsidRPr="00D94367">
        <w:rPr>
          <w:rtl/>
        </w:rPr>
        <w:t xml:space="preserve">כי </w:t>
      </w:r>
      <w:r w:rsidRPr="00D94367">
        <w:rPr>
          <w:rFonts w:hint="cs"/>
          <w:rtl/>
        </w:rPr>
        <w:t>סוכם עם הרשות</w:t>
      </w:r>
      <w:r w:rsidRPr="00D94367">
        <w:rPr>
          <w:rtl/>
        </w:rPr>
        <w:t xml:space="preserve"> שעד </w:t>
      </w:r>
      <w:r>
        <w:rPr>
          <w:rFonts w:hint="cs"/>
          <w:rtl/>
        </w:rPr>
        <w:t>מועד השלמת ה</w:t>
      </w:r>
      <w:r w:rsidRPr="00D94367">
        <w:rPr>
          <w:rtl/>
        </w:rPr>
        <w:t xml:space="preserve">קיזוז </w:t>
      </w:r>
      <w:r>
        <w:rPr>
          <w:rFonts w:hint="cs"/>
          <w:rtl/>
        </w:rPr>
        <w:t xml:space="preserve">של </w:t>
      </w:r>
      <w:r w:rsidRPr="00D94367">
        <w:rPr>
          <w:rtl/>
        </w:rPr>
        <w:t>הדיבידנד המיוחד משנת 2019 (</w:t>
      </w:r>
      <w:r w:rsidRPr="00D94367">
        <w:rPr>
          <w:rFonts w:hint="cs"/>
          <w:rtl/>
        </w:rPr>
        <w:t xml:space="preserve">בשנת </w:t>
      </w:r>
      <w:r w:rsidRPr="00D94367">
        <w:rPr>
          <w:rtl/>
        </w:rPr>
        <w:t>2025), לא י</w:t>
      </w:r>
      <w:r w:rsidRPr="00D94367">
        <w:rPr>
          <w:rFonts w:hint="cs"/>
          <w:rtl/>
        </w:rPr>
        <w:t>ידרש</w:t>
      </w:r>
      <w:r w:rsidRPr="00D94367">
        <w:rPr>
          <w:rtl/>
        </w:rPr>
        <w:t xml:space="preserve"> עוד דיבידנד מיוחד.</w:t>
      </w:r>
      <w:r w:rsidRPr="00D94367">
        <w:rPr>
          <w:rFonts w:hint="cs"/>
          <w:rtl/>
        </w:rPr>
        <w:t xml:space="preserve"> </w:t>
      </w:r>
    </w:p>
    <w:p w:rsidR="00C149B0" w:rsidRPr="000839FF" w:rsidP="000839FF" w14:paraId="1EDAB55A" w14:textId="77777777">
      <w:pPr>
        <w:pStyle w:val="7318"/>
        <w:rPr>
          <w:rtl/>
        </w:rPr>
      </w:pPr>
      <w:bookmarkStart w:id="32" w:name="_Hlk120189543"/>
      <w:r w:rsidRPr="000839FF">
        <w:rPr>
          <w:rFonts w:hint="cs"/>
          <w:rtl/>
        </w:rPr>
        <w:t xml:space="preserve">עלה כי החלטות הממשלה האמורות לקבלת דיבידנדים מיוחדים בסך כולל של 1.05 מיליארד ש"ח מהחברות הממשלתיות לא יושמו במלואן. לא עלה בידי רשות החברות הממשלתיות להציג למשרד מבקר המדינה תיעוד בנוגע לעניין זה. </w:t>
      </w:r>
      <w:bookmarkEnd w:id="32"/>
      <w:r w:rsidRPr="000839FF">
        <w:rPr>
          <w:rFonts w:hint="cs"/>
          <w:rtl/>
        </w:rPr>
        <w:t xml:space="preserve">בנוגע להחלטות אלו הכריזה רפאל על דיבידנד מיוחד בסך של 319 מיליון ש"ח, שלגביו סיכמה הרשות כי </w:t>
      </w:r>
      <w:r w:rsidRPr="000839FF">
        <w:rPr>
          <w:rtl/>
        </w:rPr>
        <w:t xml:space="preserve">סך מצטבר של עד 269 מיליוני ש"ח </w:t>
      </w:r>
      <w:r w:rsidRPr="000839FF">
        <w:rPr>
          <w:rFonts w:hint="cs"/>
          <w:rtl/>
        </w:rPr>
        <w:t>מתוכו</w:t>
      </w:r>
      <w:r w:rsidRPr="000839FF">
        <w:rPr>
          <w:rtl/>
        </w:rPr>
        <w:t xml:space="preserve"> </w:t>
      </w:r>
      <w:r w:rsidRPr="000839FF">
        <w:rPr>
          <w:rFonts w:hint="cs"/>
          <w:rtl/>
        </w:rPr>
        <w:t>ניתן יהיה לקיזוז מדיבידנדים שוטפים עתידיים בגין רווחי ה</w:t>
      </w:r>
      <w:r w:rsidRPr="000839FF">
        <w:rPr>
          <w:rtl/>
        </w:rPr>
        <w:t>שנים 202</w:t>
      </w:r>
      <w:r w:rsidRPr="000839FF">
        <w:rPr>
          <w:rFonts w:hint="cs"/>
          <w:rtl/>
        </w:rPr>
        <w:t xml:space="preserve">0 </w:t>
      </w:r>
      <w:r w:rsidRPr="000839FF">
        <w:rPr>
          <w:rtl/>
        </w:rPr>
        <w:t>-</w:t>
      </w:r>
      <w:r w:rsidRPr="000839FF">
        <w:rPr>
          <w:rFonts w:hint="cs"/>
          <w:rtl/>
        </w:rPr>
        <w:t xml:space="preserve"> </w:t>
      </w:r>
      <w:r w:rsidRPr="000839FF">
        <w:rPr>
          <w:rtl/>
        </w:rPr>
        <w:t>202</w:t>
      </w:r>
      <w:r w:rsidRPr="000839FF">
        <w:rPr>
          <w:rFonts w:hint="cs"/>
          <w:rtl/>
        </w:rPr>
        <w:t>5. זאת, אף כי בהחלטות הממשלה מהשנים 2015 ו-2018 נקבע כי סכומי הדיבידנד המיוחד ייגבו נוסף על הדיבידנדים השוטפים, ואף כי בתקנון החברה נקבע כי על החברה לשלם מדי שנה דיבידנד שוטף בסך 50% מהרווח הנקי שלה.</w:t>
      </w:r>
    </w:p>
    <w:p w:rsidR="00C149B0" w:rsidRPr="000839FF" w:rsidP="000839FF" w14:paraId="476BFBF6" w14:textId="302ABAD3">
      <w:pPr>
        <w:pStyle w:val="7318"/>
        <w:rPr>
          <w:rtl/>
        </w:rPr>
      </w:pPr>
      <w:r w:rsidRPr="000839FF">
        <w:rPr>
          <w:rFonts w:hint="cs"/>
          <w:rtl/>
        </w:rPr>
        <w:t xml:space="preserve">לתשלום דיבידנד מיוחד יש השפעה אפשרית על תוכניות העבודה השנתיות והרב-שנתיות של החברה ועל תזרימי המזומנים שלה בטווחי הזמן הקצר והבינוני </w:t>
      </w:r>
      <w:r w:rsidRPr="000839FF">
        <w:rPr>
          <w:rFonts w:hint="eastAsia"/>
          <w:rtl/>
        </w:rPr>
        <w:t>בהיקף</w:t>
      </w:r>
      <w:r w:rsidRPr="000839FF">
        <w:rPr>
          <w:rtl/>
        </w:rPr>
        <w:t xml:space="preserve"> </w:t>
      </w:r>
      <w:r w:rsidRPr="000839FF">
        <w:rPr>
          <w:rFonts w:hint="eastAsia"/>
          <w:rtl/>
        </w:rPr>
        <w:t>של</w:t>
      </w:r>
      <w:r w:rsidRPr="000839FF">
        <w:rPr>
          <w:rtl/>
        </w:rPr>
        <w:t xml:space="preserve"> </w:t>
      </w:r>
      <w:r w:rsidRPr="000839FF">
        <w:rPr>
          <w:rFonts w:hint="eastAsia"/>
          <w:rtl/>
        </w:rPr>
        <w:t>מאות</w:t>
      </w:r>
      <w:r w:rsidRPr="000839FF">
        <w:rPr>
          <w:rtl/>
        </w:rPr>
        <w:t xml:space="preserve"> </w:t>
      </w:r>
      <w:r w:rsidRPr="000839FF">
        <w:rPr>
          <w:rFonts w:hint="eastAsia"/>
          <w:rtl/>
        </w:rPr>
        <w:t>מיליוני</w:t>
      </w:r>
      <w:r w:rsidRPr="000839FF">
        <w:rPr>
          <w:rtl/>
        </w:rPr>
        <w:t xml:space="preserve"> </w:t>
      </w:r>
      <w:r w:rsidRPr="000839FF">
        <w:rPr>
          <w:rFonts w:hint="eastAsia"/>
          <w:rtl/>
        </w:rPr>
        <w:t>ש</w:t>
      </w:r>
      <w:r w:rsidRPr="000839FF">
        <w:rPr>
          <w:rtl/>
        </w:rPr>
        <w:t xml:space="preserve">"ח </w:t>
      </w:r>
      <w:r w:rsidRPr="000839FF">
        <w:rPr>
          <w:rFonts w:hint="eastAsia"/>
          <w:rtl/>
        </w:rPr>
        <w:t>מרווחיה</w:t>
      </w:r>
      <w:r w:rsidRPr="000839FF">
        <w:rPr>
          <w:rtl/>
        </w:rPr>
        <w:t xml:space="preserve"> </w:t>
      </w:r>
      <w:r w:rsidRPr="000839FF">
        <w:rPr>
          <w:rFonts w:hint="eastAsia"/>
          <w:rtl/>
        </w:rPr>
        <w:t>הצבורים</w:t>
      </w:r>
      <w:r w:rsidRPr="000839FF">
        <w:rPr>
          <w:rFonts w:hint="cs"/>
          <w:rtl/>
        </w:rPr>
        <w:t>,</w:t>
      </w:r>
      <w:r w:rsidRPr="000839FF">
        <w:rPr>
          <w:rtl/>
        </w:rPr>
        <w:t xml:space="preserve"> </w:t>
      </w:r>
      <w:r w:rsidRPr="000839FF">
        <w:rPr>
          <w:rFonts w:hint="cs"/>
          <w:rtl/>
        </w:rPr>
        <w:t xml:space="preserve">תשלום </w:t>
      </w:r>
      <w:r w:rsidRPr="000839FF">
        <w:rPr>
          <w:rFonts w:hint="eastAsia"/>
          <w:rtl/>
        </w:rPr>
        <w:t>שלא</w:t>
      </w:r>
      <w:r w:rsidRPr="000839FF">
        <w:rPr>
          <w:rtl/>
        </w:rPr>
        <w:t xml:space="preserve"> </w:t>
      </w:r>
      <w:r w:rsidRPr="000839FF">
        <w:rPr>
          <w:rFonts w:hint="eastAsia"/>
          <w:rtl/>
        </w:rPr>
        <w:t>נכלל</w:t>
      </w:r>
      <w:r w:rsidRPr="000839FF">
        <w:rPr>
          <w:rtl/>
        </w:rPr>
        <w:t xml:space="preserve"> </w:t>
      </w:r>
      <w:r w:rsidRPr="000839FF">
        <w:rPr>
          <w:rFonts w:hint="eastAsia"/>
          <w:rtl/>
        </w:rPr>
        <w:t>בתוכניות</w:t>
      </w:r>
      <w:r w:rsidRPr="000839FF">
        <w:rPr>
          <w:rtl/>
        </w:rPr>
        <w:t xml:space="preserve"> </w:t>
      </w:r>
      <w:r w:rsidRPr="000839FF">
        <w:rPr>
          <w:rFonts w:hint="eastAsia"/>
          <w:rtl/>
        </w:rPr>
        <w:t>החברה</w:t>
      </w:r>
      <w:r w:rsidRPr="000839FF">
        <w:rPr>
          <w:rFonts w:hint="cs"/>
          <w:rtl/>
        </w:rPr>
        <w:t>.</w:t>
      </w:r>
      <w:r w:rsidRPr="000839FF">
        <w:rPr>
          <w:rtl/>
        </w:rPr>
        <w:t xml:space="preserve"> </w:t>
      </w:r>
      <w:r w:rsidRPr="000839FF">
        <w:rPr>
          <w:rFonts w:hint="eastAsia"/>
          <w:rtl/>
        </w:rPr>
        <w:t>ו</w:t>
      </w:r>
      <w:r w:rsidRPr="000839FF">
        <w:rPr>
          <w:rFonts w:hint="cs"/>
          <w:rtl/>
        </w:rPr>
        <w:t>לפיכ</w:t>
      </w:r>
      <w:r w:rsidRPr="000839FF">
        <w:rPr>
          <w:rFonts w:hint="eastAsia"/>
          <w:rtl/>
        </w:rPr>
        <w:t>ך</w:t>
      </w:r>
      <w:r w:rsidRPr="000839FF">
        <w:rPr>
          <w:rtl/>
        </w:rPr>
        <w:t xml:space="preserve"> </w:t>
      </w:r>
      <w:r w:rsidRPr="000839FF">
        <w:rPr>
          <w:rFonts w:hint="cs"/>
          <w:rtl/>
        </w:rPr>
        <w:t xml:space="preserve">הוא עלול להוסיף גורם של </w:t>
      </w:r>
      <w:r w:rsidRPr="000839FF">
        <w:rPr>
          <w:rFonts w:hint="eastAsia"/>
          <w:rtl/>
        </w:rPr>
        <w:t>אי</w:t>
      </w:r>
      <w:r w:rsidRPr="000839FF">
        <w:rPr>
          <w:rtl/>
        </w:rPr>
        <w:t xml:space="preserve">-ודאות </w:t>
      </w:r>
      <w:r w:rsidRPr="000839FF">
        <w:rPr>
          <w:rFonts w:hint="cs"/>
          <w:rtl/>
        </w:rPr>
        <w:t xml:space="preserve">בכל הנוגע </w:t>
      </w:r>
      <w:r w:rsidRPr="000839FF">
        <w:rPr>
          <w:rFonts w:hint="eastAsia"/>
          <w:rtl/>
        </w:rPr>
        <w:t>לפעילות</w:t>
      </w:r>
      <w:r w:rsidRPr="000839FF">
        <w:rPr>
          <w:rtl/>
        </w:rPr>
        <w:t xml:space="preserve"> </w:t>
      </w:r>
      <w:r w:rsidRPr="000839FF">
        <w:rPr>
          <w:rFonts w:hint="eastAsia"/>
          <w:rtl/>
        </w:rPr>
        <w:t>החברה</w:t>
      </w:r>
      <w:r w:rsidRPr="000839FF">
        <w:rPr>
          <w:rFonts w:hint="cs"/>
          <w:rtl/>
        </w:rPr>
        <w:t xml:space="preserve">. אי לכך, מומלץ כי רשות החברות הממשלתיות תגבש מתווה למימוש החלטות ממשלה בעניין חלוקת דיבידנד מיוחד, לרבות כללים וקווים מנחים, ואת המנגנון ליישומו; וכי היא תציגם לאישור הממשלה. זאת נוכח חשיבות קביעת נורמות למקרים אלה והבקרה עליהם. בכלל זה מומלץ כי הרשות תביא בחשבון גם את התוצאות האפשריות של גיוס הון חיצוני על ידי חברה ממשלתית לצורך תשלום הדיבידנד המיוחד ואת השפעותיו על פעילות החברה. </w:t>
      </w:r>
    </w:p>
    <w:p w:rsidR="00C149B0" w:rsidRPr="00B431F9" w:rsidP="00B431F9" w14:paraId="14ADE409" w14:textId="77777777">
      <w:pPr>
        <w:pStyle w:val="73414"/>
        <w:rPr>
          <w:rtl/>
        </w:rPr>
      </w:pPr>
      <w:bookmarkStart w:id="33" w:name="bookmark226"/>
      <w:r w:rsidRPr="00B431F9">
        <w:rPr>
          <w:rFonts w:hint="cs"/>
          <w:rtl/>
        </w:rPr>
        <w:t xml:space="preserve">עמדת </w:t>
      </w:r>
      <w:r w:rsidRPr="00B431F9">
        <w:rPr>
          <w:rFonts w:hint="cs"/>
          <w:rtl/>
        </w:rPr>
        <w:t>משהב"ט</w:t>
      </w:r>
      <w:r w:rsidRPr="00B431F9">
        <w:rPr>
          <w:rFonts w:hint="cs"/>
          <w:rtl/>
        </w:rPr>
        <w:t xml:space="preserve"> בנושא הדיבידנד מחברות ביטחוניות ממשלתיות</w:t>
      </w:r>
    </w:p>
    <w:p w:rsidR="00C149B0" w:rsidRPr="00D94367" w:rsidP="000839FF" w14:paraId="6E11F4AC" w14:textId="77777777">
      <w:pPr>
        <w:pStyle w:val="7392"/>
        <w:rPr>
          <w:rtl/>
        </w:rPr>
      </w:pPr>
      <w:r w:rsidRPr="00D94367">
        <w:rPr>
          <w:rtl/>
        </w:rPr>
        <w:t>משהב"ט</w:t>
      </w:r>
      <w:r w:rsidRPr="00D94367">
        <w:rPr>
          <w:rtl/>
        </w:rPr>
        <w:t xml:space="preserve"> הוא גורם מרכזי ב</w:t>
      </w:r>
      <w:r w:rsidRPr="00D94367">
        <w:rPr>
          <w:rFonts w:hint="cs"/>
          <w:rtl/>
        </w:rPr>
        <w:t>שוק</w:t>
      </w:r>
      <w:r w:rsidRPr="00D94367">
        <w:rPr>
          <w:rtl/>
        </w:rPr>
        <w:t xml:space="preserve"> הביטחוני בישראל, </w:t>
      </w:r>
      <w:r>
        <w:rPr>
          <w:rFonts w:hint="cs"/>
          <w:rtl/>
        </w:rPr>
        <w:t>ובכלל זה הוא</w:t>
      </w:r>
      <w:r w:rsidRPr="00D94367">
        <w:rPr>
          <w:rtl/>
        </w:rPr>
        <w:t xml:space="preserve"> לקוח מהותי של</w:t>
      </w:r>
      <w:r w:rsidRPr="00D94367">
        <w:rPr>
          <w:rFonts w:hint="cs"/>
          <w:rtl/>
        </w:rPr>
        <w:t xml:space="preserve"> התעשיות הביטחוניות</w:t>
      </w:r>
      <w:r w:rsidRPr="00D94367">
        <w:rPr>
          <w:rtl/>
        </w:rPr>
        <w:t xml:space="preserve">. שר הביטחון הוא השר האחראי לענייני התעשיות הביטחוניות הממשלתיות. </w:t>
      </w:r>
    </w:p>
    <w:p w:rsidR="00C149B0" w:rsidRPr="00D94367" w:rsidP="000839FF" w14:paraId="41E46EA8" w14:textId="77777777">
      <w:pPr>
        <w:pStyle w:val="7392"/>
        <w:rPr>
          <w:rtl/>
        </w:rPr>
      </w:pPr>
      <w:r w:rsidRPr="00D94367">
        <w:rPr>
          <w:rFonts w:hint="cs"/>
          <w:rtl/>
        </w:rPr>
        <w:t xml:space="preserve">ממסמכי </w:t>
      </w:r>
      <w:r w:rsidRPr="00D94367">
        <w:rPr>
          <w:rFonts w:hint="cs"/>
          <w:rtl/>
        </w:rPr>
        <w:t>משהב"ט</w:t>
      </w:r>
      <w:r w:rsidRPr="00D94367">
        <w:rPr>
          <w:rFonts w:hint="cs"/>
          <w:rtl/>
        </w:rPr>
        <w:t xml:space="preserve"> עולה כי הוא פעל </w:t>
      </w:r>
      <w:r>
        <w:rPr>
          <w:rFonts w:hint="cs"/>
          <w:rtl/>
        </w:rPr>
        <w:t>כמה</w:t>
      </w:r>
      <w:r w:rsidRPr="00D94367">
        <w:rPr>
          <w:rFonts w:hint="cs"/>
          <w:rtl/>
        </w:rPr>
        <w:t xml:space="preserve"> פעמים מול גורמים במשרד האוצר על מנת לתמוך בעמדת רפאל לגבי הדרישות כי תשלם דיבידנדים מיוחדים כמפורט לעיל. </w:t>
      </w:r>
      <w:r>
        <w:rPr>
          <w:rFonts w:hint="cs"/>
          <w:rtl/>
        </w:rPr>
        <w:t xml:space="preserve">הדבר עלה, </w:t>
      </w:r>
      <w:r w:rsidRPr="00D94367">
        <w:rPr>
          <w:rFonts w:hint="cs"/>
          <w:rtl/>
        </w:rPr>
        <w:t>למשל</w:t>
      </w:r>
      <w:r>
        <w:rPr>
          <w:rFonts w:hint="cs"/>
          <w:rtl/>
        </w:rPr>
        <w:t>,</w:t>
      </w:r>
      <w:r w:rsidRPr="00D94367">
        <w:rPr>
          <w:rFonts w:hint="cs"/>
          <w:rtl/>
        </w:rPr>
        <w:t xml:space="preserve"> בדיון שקיים מנכ"ל </w:t>
      </w:r>
      <w:r w:rsidRPr="00D94367">
        <w:rPr>
          <w:rFonts w:hint="cs"/>
          <w:rtl/>
        </w:rPr>
        <w:t>משהב"ט</w:t>
      </w:r>
      <w:r w:rsidRPr="00D94367">
        <w:rPr>
          <w:rFonts w:hint="cs"/>
          <w:rtl/>
        </w:rPr>
        <w:t xml:space="preserve"> בינואר 2019 בהשתתפות מנכ"ל רפאל ונציגי </w:t>
      </w:r>
      <w:r w:rsidRPr="00D94367">
        <w:rPr>
          <w:rFonts w:hint="cs"/>
          <w:rtl/>
        </w:rPr>
        <w:t>משהב"ט</w:t>
      </w:r>
      <w:r w:rsidRPr="00D94367">
        <w:rPr>
          <w:rFonts w:hint="cs"/>
          <w:rtl/>
        </w:rPr>
        <w:t xml:space="preserve"> להצגת תוכנית העבודה של רפאל לשנת 2019. בסיכום עיקרי ההתייחסות של נציגי </w:t>
      </w:r>
      <w:r w:rsidRPr="00D94367">
        <w:rPr>
          <w:rFonts w:hint="cs"/>
          <w:rtl/>
        </w:rPr>
        <w:t>משהב"ט</w:t>
      </w:r>
      <w:r w:rsidRPr="00D94367">
        <w:rPr>
          <w:rFonts w:hint="cs"/>
          <w:rtl/>
        </w:rPr>
        <w:t xml:space="preserve"> מדיון זה נכתב כי משיכת דיבידנד מיוחד על ידי המדינה תצמצם למעשה את ההשקעה בפעילויות עבור </w:t>
      </w:r>
      <w:r w:rsidRPr="00D94367">
        <w:rPr>
          <w:rFonts w:hint="cs"/>
          <w:rtl/>
        </w:rPr>
        <w:t>מע</w:t>
      </w:r>
      <w:r>
        <w:rPr>
          <w:rFonts w:hint="cs"/>
          <w:rtl/>
        </w:rPr>
        <w:t>הב"ט</w:t>
      </w:r>
      <w:r w:rsidRPr="00D94367">
        <w:rPr>
          <w:rFonts w:hint="cs"/>
          <w:rtl/>
        </w:rPr>
        <w:t xml:space="preserve">. מנכ"ל </w:t>
      </w:r>
      <w:r w:rsidRPr="00D94367">
        <w:rPr>
          <w:rFonts w:hint="cs"/>
          <w:rtl/>
        </w:rPr>
        <w:t>משהב"ט</w:t>
      </w:r>
      <w:r w:rsidRPr="00D94367">
        <w:rPr>
          <w:rFonts w:hint="cs"/>
          <w:rtl/>
        </w:rPr>
        <w:t xml:space="preserve"> סיכם, בין היתר, כי הוא מסכים עם עמדת רפאל המתנגדת למהלך, נוכח המשמעויות לגבי </w:t>
      </w:r>
      <w:r w:rsidRPr="00D94367">
        <w:rPr>
          <w:rFonts w:hint="cs"/>
          <w:rtl/>
        </w:rPr>
        <w:t>פרויקטי</w:t>
      </w:r>
      <w:r w:rsidRPr="00D94367">
        <w:rPr>
          <w:rFonts w:hint="cs"/>
          <w:rtl/>
        </w:rPr>
        <w:t xml:space="preserve"> מו"פ והשקעות עבור </w:t>
      </w:r>
      <w:r w:rsidRPr="00D94367">
        <w:rPr>
          <w:rFonts w:hint="cs"/>
          <w:rtl/>
        </w:rPr>
        <w:t>מע</w:t>
      </w:r>
      <w:r>
        <w:rPr>
          <w:rFonts w:hint="cs"/>
          <w:rtl/>
        </w:rPr>
        <w:t>הב"ט</w:t>
      </w:r>
      <w:r w:rsidRPr="00D94367">
        <w:rPr>
          <w:rFonts w:hint="cs"/>
          <w:rtl/>
        </w:rPr>
        <w:t xml:space="preserve">. </w:t>
      </w:r>
    </w:p>
    <w:p w:rsidR="00C149B0" w:rsidP="000839FF" w14:paraId="73760CC1" w14:textId="77777777">
      <w:pPr>
        <w:pStyle w:val="7392"/>
        <w:rPr>
          <w:rFonts w:eastAsiaTheme="minorEastAsia"/>
        </w:rPr>
      </w:pPr>
      <w:r w:rsidRPr="00D94367">
        <w:rPr>
          <w:rFonts w:hint="cs"/>
          <w:rtl/>
        </w:rPr>
        <w:t xml:space="preserve">גם בנוגע לדיבידנדים השוטפים פעל </w:t>
      </w:r>
      <w:r w:rsidRPr="00D94367">
        <w:rPr>
          <w:rFonts w:hint="cs"/>
          <w:rtl/>
        </w:rPr>
        <w:t>משהב"ט</w:t>
      </w:r>
      <w:r w:rsidRPr="00D94367">
        <w:rPr>
          <w:rFonts w:hint="cs"/>
          <w:rtl/>
        </w:rPr>
        <w:t xml:space="preserve"> אל מול משרד האוצר. </w:t>
      </w:r>
      <w:r w:rsidRPr="00D94367">
        <w:rPr>
          <w:rtl/>
        </w:rPr>
        <w:t>ב</w:t>
      </w:r>
      <w:r w:rsidRPr="00D94367">
        <w:rPr>
          <w:rFonts w:hint="cs"/>
          <w:rtl/>
        </w:rPr>
        <w:t>-15.1.20</w:t>
      </w:r>
      <w:r w:rsidRPr="00D94367">
        <w:rPr>
          <w:rtl/>
        </w:rPr>
        <w:t xml:space="preserve"> כתב מנכ"ל </w:t>
      </w:r>
      <w:r w:rsidRPr="00D94367">
        <w:rPr>
          <w:rtl/>
        </w:rPr>
        <w:t>משהב"ט</w:t>
      </w:r>
      <w:r w:rsidRPr="00D94367">
        <w:rPr>
          <w:rtl/>
        </w:rPr>
        <w:t xml:space="preserve"> למנהל רשות </w:t>
      </w:r>
      <w:r w:rsidRPr="00F66702">
        <w:rPr>
          <w:rtl/>
        </w:rPr>
        <w:t>החברות</w:t>
      </w:r>
      <w:r w:rsidRPr="00F66702">
        <w:rPr>
          <w:rFonts w:hint="cs"/>
          <w:rtl/>
        </w:rPr>
        <w:t xml:space="preserve"> הממשלתיות</w:t>
      </w:r>
      <w:r w:rsidRPr="00F66702">
        <w:rPr>
          <w:rtl/>
        </w:rPr>
        <w:t xml:space="preserve"> ולראש</w:t>
      </w:r>
      <w:r w:rsidRPr="00D94367">
        <w:rPr>
          <w:rtl/>
        </w:rPr>
        <w:t xml:space="preserve"> אגף התקציבים במשרד האוצר </w:t>
      </w:r>
      <w:r w:rsidRPr="00D94367">
        <w:rPr>
          <w:rFonts w:hint="cs"/>
          <w:rtl/>
        </w:rPr>
        <w:t xml:space="preserve">כי בשנים 2014 - 2019 הועבר לאוצר דיבידנד בגין פעילות שוטפת בהיקף של כמיליארד ש"ח מרפאל </w:t>
      </w:r>
      <w:r w:rsidRPr="00D94367">
        <w:rPr>
          <w:rFonts w:hint="cs"/>
          <w:rtl/>
        </w:rPr>
        <w:t>ו</w:t>
      </w:r>
      <w:r>
        <w:rPr>
          <w:rFonts w:hint="cs"/>
          <w:rtl/>
        </w:rPr>
        <w:t>מהתע"א</w:t>
      </w:r>
      <w:r w:rsidRPr="00D94367">
        <w:rPr>
          <w:rFonts w:hint="cs"/>
          <w:rtl/>
        </w:rPr>
        <w:t xml:space="preserve"> (רובו מרפאל); וכי </w:t>
      </w:r>
      <w:r w:rsidRPr="00D94367">
        <w:rPr>
          <w:rFonts w:hint="cs"/>
          <w:rtl/>
        </w:rPr>
        <w:t>משהב"ט</w:t>
      </w:r>
      <w:r w:rsidRPr="00D94367">
        <w:rPr>
          <w:rFonts w:hint="cs"/>
          <w:rtl/>
        </w:rPr>
        <w:t xml:space="preserve">, אשר פעילותו </w:t>
      </w:r>
      <w:r>
        <w:rPr>
          <w:rFonts w:hint="cs"/>
          <w:rtl/>
        </w:rPr>
        <w:t>משמשת</w:t>
      </w:r>
      <w:r w:rsidRPr="00D94367">
        <w:rPr>
          <w:rFonts w:hint="cs"/>
          <w:rtl/>
        </w:rPr>
        <w:t xml:space="preserve"> מקור מרכזי לרווחי החברות, אינו שותף לדיבידנד זה. עוד כתב המנכ"ל כי </w:t>
      </w:r>
      <w:r w:rsidRPr="00D94367">
        <w:rPr>
          <w:rtl/>
        </w:rPr>
        <w:t xml:space="preserve">ראוי יהיה לייעד נתח מהדיבידנד שמשלמות </w:t>
      </w:r>
      <w:r w:rsidRPr="00D94367">
        <w:rPr>
          <w:rtl/>
        </w:rPr>
        <w:t>התע"א</w:t>
      </w:r>
      <w:r w:rsidRPr="00D94367">
        <w:rPr>
          <w:rtl/>
        </w:rPr>
        <w:t xml:space="preserve"> ורפאל </w:t>
      </w:r>
      <w:r w:rsidRPr="00D94367">
        <w:rPr>
          <w:rtl/>
        </w:rPr>
        <w:t>לפרויקטי</w:t>
      </w:r>
      <w:r w:rsidRPr="00D94367">
        <w:rPr>
          <w:rtl/>
        </w:rPr>
        <w:t xml:space="preserve"> מו"פ ביטחוני, מוקדי ידע ותשתיות לאומיות; כי הוא מבקש לעדכן את נוהל חלוקת הדיבידנד של חברות אלה </w:t>
      </w:r>
      <w:r>
        <w:rPr>
          <w:rFonts w:hint="cs"/>
          <w:rtl/>
        </w:rPr>
        <w:t>באופן</w:t>
      </w:r>
      <w:r w:rsidRPr="00D94367">
        <w:rPr>
          <w:rtl/>
        </w:rPr>
        <w:t xml:space="preserve"> שמחצית ממנו יישאר בחברות וייועד </w:t>
      </w:r>
      <w:r w:rsidRPr="00D94367">
        <w:rPr>
          <w:rtl/>
        </w:rPr>
        <w:t>לפרויקטי</w:t>
      </w:r>
      <w:r w:rsidRPr="00D94367">
        <w:rPr>
          <w:rtl/>
        </w:rPr>
        <w:t xml:space="preserve"> מו"פ שצפויים לתרום לפיתוח העסקי של החברות ולהגדלת רווחיהן; וכי </w:t>
      </w:r>
      <w:r w:rsidRPr="00D94367">
        <w:rPr>
          <w:rtl/>
        </w:rPr>
        <w:t>משהב"ט</w:t>
      </w:r>
      <w:r w:rsidRPr="00D94367">
        <w:rPr>
          <w:rtl/>
        </w:rPr>
        <w:t xml:space="preserve"> יגדיר את השימושים </w:t>
      </w:r>
      <w:r>
        <w:rPr>
          <w:rFonts w:hint="cs"/>
          <w:rtl/>
        </w:rPr>
        <w:t xml:space="preserve">בסכום זה </w:t>
      </w:r>
      <w:r w:rsidRPr="00D94367">
        <w:rPr>
          <w:rtl/>
        </w:rPr>
        <w:t xml:space="preserve">ואת המטרות </w:t>
      </w:r>
      <w:r>
        <w:rPr>
          <w:rFonts w:hint="cs"/>
          <w:rtl/>
        </w:rPr>
        <w:t>שהוא ישמש להשגתן</w:t>
      </w:r>
      <w:r w:rsidRPr="00D94367">
        <w:rPr>
          <w:rtl/>
        </w:rPr>
        <w:t xml:space="preserve"> לצורכי </w:t>
      </w:r>
      <w:r w:rsidRPr="00D94367">
        <w:rPr>
          <w:rtl/>
        </w:rPr>
        <w:t>מעהב"ט</w:t>
      </w:r>
      <w:r w:rsidRPr="00D94367">
        <w:rPr>
          <w:rtl/>
        </w:rPr>
        <w:t xml:space="preserve"> וינהל את הנושא. </w:t>
      </w:r>
    </w:p>
    <w:p w:rsidR="00C149B0" w:rsidRPr="00D94367" w:rsidP="000839FF" w14:paraId="12D42D45" w14:textId="77777777">
      <w:pPr>
        <w:pStyle w:val="7392"/>
        <w:rPr>
          <w:rtl/>
        </w:rPr>
      </w:pPr>
      <w:r w:rsidRPr="00D94367">
        <w:rPr>
          <w:rtl/>
        </w:rPr>
        <w:t xml:space="preserve">ב-18.2.20 התקיים דיון בראשות מנכ"ל </w:t>
      </w:r>
      <w:r w:rsidRPr="00D94367">
        <w:rPr>
          <w:rtl/>
        </w:rPr>
        <w:t>משהב"ט</w:t>
      </w:r>
      <w:r w:rsidRPr="00D94367">
        <w:rPr>
          <w:rtl/>
        </w:rPr>
        <w:t xml:space="preserve"> </w:t>
      </w:r>
      <w:r>
        <w:rPr>
          <w:rFonts w:hint="cs"/>
          <w:rtl/>
        </w:rPr>
        <w:t>ו</w:t>
      </w:r>
      <w:r w:rsidRPr="00D94367">
        <w:rPr>
          <w:rtl/>
        </w:rPr>
        <w:t>בו הציג מנכ"ל רפאל את סיכום</w:t>
      </w:r>
      <w:r w:rsidRPr="00D94367">
        <w:rPr>
          <w:rFonts w:hint="cs"/>
          <w:rtl/>
        </w:rPr>
        <w:t xml:space="preserve"> שנת</w:t>
      </w:r>
      <w:r w:rsidRPr="00D94367">
        <w:rPr>
          <w:rtl/>
        </w:rPr>
        <w:t xml:space="preserve"> 2019 ואת תוכנית העבודה של רפאל לשנת 2020. מנכ"ל </w:t>
      </w:r>
      <w:r w:rsidRPr="00D94367">
        <w:rPr>
          <w:rFonts w:hint="cs"/>
          <w:rtl/>
        </w:rPr>
        <w:t>משהב"ט</w:t>
      </w:r>
      <w:r w:rsidRPr="00D94367">
        <w:rPr>
          <w:rFonts w:hint="cs"/>
          <w:rtl/>
        </w:rPr>
        <w:t xml:space="preserve"> </w:t>
      </w:r>
      <w:r w:rsidRPr="00D94367">
        <w:rPr>
          <w:rtl/>
        </w:rPr>
        <w:t>סיכם, בין היתר, כ</w:t>
      </w:r>
      <w:r w:rsidRPr="00D94367">
        <w:rPr>
          <w:rFonts w:hint="cs"/>
          <w:rtl/>
        </w:rPr>
        <w:t xml:space="preserve">י רפאל </w:t>
      </w:r>
      <w:r>
        <w:rPr>
          <w:rFonts w:hint="cs"/>
          <w:rtl/>
        </w:rPr>
        <w:t>משמשת</w:t>
      </w:r>
      <w:r w:rsidRPr="00D94367">
        <w:rPr>
          <w:rFonts w:hint="cs"/>
          <w:rtl/>
        </w:rPr>
        <w:t xml:space="preserve"> מעבדה לאומית עבור </w:t>
      </w:r>
      <w:r w:rsidRPr="00D94367">
        <w:rPr>
          <w:rFonts w:hint="cs"/>
          <w:rtl/>
        </w:rPr>
        <w:t>מעהב"ט</w:t>
      </w:r>
      <w:r w:rsidRPr="00D94367">
        <w:rPr>
          <w:rFonts w:hint="cs"/>
          <w:rtl/>
        </w:rPr>
        <w:t xml:space="preserve"> </w:t>
      </w:r>
      <w:r>
        <w:rPr>
          <w:rFonts w:hint="cs"/>
          <w:rtl/>
        </w:rPr>
        <w:t>והיא</w:t>
      </w:r>
      <w:r w:rsidRPr="00D94367">
        <w:rPr>
          <w:rFonts w:hint="cs"/>
          <w:rtl/>
        </w:rPr>
        <w:t xml:space="preserve"> גורם מוביל בתחום בהתאם לצורכי מדינת ישראל; כי</w:t>
      </w:r>
      <w:r w:rsidRPr="00D94367">
        <w:rPr>
          <w:rtl/>
        </w:rPr>
        <w:t xml:space="preserve"> בכוונתו להתעקש על העברת 50% מדיבידנד החברה לצרכיה ולצ</w:t>
      </w:r>
      <w:r w:rsidRPr="00D94367">
        <w:rPr>
          <w:rFonts w:hint="cs"/>
          <w:rtl/>
        </w:rPr>
        <w:t>ו</w:t>
      </w:r>
      <w:r w:rsidRPr="00D94367">
        <w:rPr>
          <w:rtl/>
        </w:rPr>
        <w:t xml:space="preserve">רכי מו"פ בהכוונה של </w:t>
      </w:r>
      <w:r w:rsidRPr="00D94367">
        <w:rPr>
          <w:rtl/>
        </w:rPr>
        <w:t>משהב"ט</w:t>
      </w:r>
      <w:r w:rsidRPr="00D94367">
        <w:rPr>
          <w:rFonts w:hint="cs"/>
          <w:rtl/>
        </w:rPr>
        <w:t>;</w:t>
      </w:r>
      <w:r w:rsidRPr="00D94367">
        <w:rPr>
          <w:rtl/>
        </w:rPr>
        <w:t xml:space="preserve"> וכי פנייה בנושא הועברה למשרד האוצר ו</w:t>
      </w:r>
      <w:r w:rsidRPr="00D94367">
        <w:rPr>
          <w:rFonts w:hint="cs"/>
          <w:rtl/>
        </w:rPr>
        <w:t>ל</w:t>
      </w:r>
      <w:r w:rsidRPr="00D94367">
        <w:rPr>
          <w:rtl/>
        </w:rPr>
        <w:t>רשות החברות</w:t>
      </w:r>
      <w:r>
        <w:rPr>
          <w:rFonts w:hint="cs"/>
          <w:rtl/>
        </w:rPr>
        <w:t xml:space="preserve"> הממשלתיות</w:t>
      </w:r>
      <w:r w:rsidRPr="00D94367">
        <w:rPr>
          <w:rtl/>
        </w:rPr>
        <w:t>.</w:t>
      </w:r>
      <w:r w:rsidRPr="00D94367">
        <w:rPr>
          <w:rFonts w:hint="cs"/>
          <w:rtl/>
        </w:rPr>
        <w:t xml:space="preserve"> </w:t>
      </w:r>
    </w:p>
    <w:p w:rsidR="00C149B0" w:rsidRPr="00D94367" w:rsidP="000839FF" w14:paraId="70D96BEE" w14:textId="77777777">
      <w:pPr>
        <w:pStyle w:val="7392"/>
        <w:rPr>
          <w:rtl/>
        </w:rPr>
      </w:pPr>
      <w:r w:rsidRPr="00D94367">
        <w:rPr>
          <w:rFonts w:hint="cs"/>
          <w:rtl/>
        </w:rPr>
        <w:t xml:space="preserve">ב-27.2.20 קיים מנכ"ל </w:t>
      </w:r>
      <w:r w:rsidRPr="00D94367">
        <w:rPr>
          <w:rFonts w:hint="cs"/>
          <w:rtl/>
        </w:rPr>
        <w:t>משהב"ט</w:t>
      </w:r>
      <w:r w:rsidRPr="00D94367">
        <w:rPr>
          <w:rFonts w:hint="cs"/>
          <w:rtl/>
        </w:rPr>
        <w:t xml:space="preserve"> פגישת עבודה עם המשנה לו בין היתר בנושא חלוקת דיבידנד בחברות הממשלתיות הביטחוניות, בהשתתפות הכלכלן הראשי </w:t>
      </w:r>
      <w:r w:rsidRPr="00D94367">
        <w:rPr>
          <w:rFonts w:hint="cs"/>
          <w:rtl/>
        </w:rPr>
        <w:t>למע</w:t>
      </w:r>
      <w:r>
        <w:rPr>
          <w:rFonts w:hint="cs"/>
          <w:rtl/>
        </w:rPr>
        <w:t>הב"ט</w:t>
      </w:r>
      <w:r>
        <w:rPr>
          <w:rFonts w:hint="cs"/>
          <w:rtl/>
        </w:rPr>
        <w:t xml:space="preserve"> </w:t>
      </w:r>
      <w:r w:rsidRPr="00D94367">
        <w:rPr>
          <w:rFonts w:hint="cs"/>
          <w:rtl/>
        </w:rPr>
        <w:t>(להלן - הכלכלן הראשי)</w:t>
      </w:r>
      <w:r>
        <w:rPr>
          <w:rFonts w:hint="cs"/>
          <w:rtl/>
        </w:rPr>
        <w:t>;</w:t>
      </w:r>
      <w:r w:rsidRPr="00D94367">
        <w:rPr>
          <w:rFonts w:hint="cs"/>
          <w:rtl/>
        </w:rPr>
        <w:t xml:space="preserve"> </w:t>
      </w:r>
      <w:r>
        <w:rPr>
          <w:rFonts w:hint="cs"/>
          <w:rtl/>
        </w:rPr>
        <w:t xml:space="preserve">ובפגישה </w:t>
      </w:r>
      <w:r w:rsidRPr="00D94367">
        <w:rPr>
          <w:rFonts w:hint="cs"/>
          <w:rtl/>
        </w:rPr>
        <w:t xml:space="preserve">עדכן </w:t>
      </w:r>
      <w:r>
        <w:rPr>
          <w:rFonts w:hint="cs"/>
          <w:rtl/>
        </w:rPr>
        <w:t xml:space="preserve">הכלכלן הראשי </w:t>
      </w:r>
      <w:r w:rsidRPr="00D94367">
        <w:rPr>
          <w:rFonts w:hint="cs"/>
          <w:rtl/>
        </w:rPr>
        <w:t>כי הציג את בקשת המשרד לרשות החברות</w:t>
      </w:r>
      <w:r>
        <w:rPr>
          <w:rFonts w:hint="cs"/>
          <w:rtl/>
        </w:rPr>
        <w:t xml:space="preserve"> </w:t>
      </w:r>
      <w:r w:rsidRPr="00CA071B">
        <w:rPr>
          <w:rFonts w:hint="cs"/>
          <w:rtl/>
        </w:rPr>
        <w:t>הממשלתיות</w:t>
      </w:r>
      <w:r w:rsidRPr="00D94367">
        <w:rPr>
          <w:rFonts w:eastAsia="Times New Roman"/>
          <w:shd w:val="clear" w:color="auto" w:fill="FFFFFF"/>
          <w:rtl/>
        </w:rPr>
        <w:t xml:space="preserve"> </w:t>
      </w:r>
      <w:r w:rsidRPr="00D94367">
        <w:rPr>
          <w:rFonts w:hint="cs"/>
          <w:rtl/>
        </w:rPr>
        <w:t>ולאגף התקציבים במשרד האוצר</w:t>
      </w:r>
      <w:r>
        <w:rPr>
          <w:rFonts w:hint="cs"/>
          <w:rtl/>
        </w:rPr>
        <w:t>,</w:t>
      </w:r>
      <w:r w:rsidRPr="00D94367">
        <w:rPr>
          <w:rFonts w:hint="cs"/>
          <w:rtl/>
        </w:rPr>
        <w:t xml:space="preserve"> וכי בעוד </w:t>
      </w:r>
      <w:r>
        <w:rPr>
          <w:rFonts w:hint="cs"/>
          <w:rtl/>
        </w:rPr>
        <w:t>ה</w:t>
      </w:r>
      <w:r w:rsidRPr="00D94367">
        <w:rPr>
          <w:rFonts w:hint="cs"/>
          <w:rtl/>
        </w:rPr>
        <w:t>רשות תומכת בבקשת המשרד, אגף התקציבים מבקש כי תוצג לו התועלת מהמהלך לכלכלת המדינה.</w:t>
      </w:r>
    </w:p>
    <w:p w:rsidR="00C149B0" w:rsidRPr="00D94367" w:rsidP="000839FF" w14:paraId="600E8EAF" w14:textId="77777777">
      <w:pPr>
        <w:pStyle w:val="7392"/>
        <w:rPr>
          <w:rtl/>
        </w:rPr>
      </w:pPr>
      <w:r w:rsidRPr="00D94367">
        <w:rPr>
          <w:rFonts w:hint="cs"/>
          <w:rtl/>
        </w:rPr>
        <w:t xml:space="preserve">בפגישת עבודה נוספת </w:t>
      </w:r>
      <w:r>
        <w:rPr>
          <w:rFonts w:hint="cs"/>
          <w:rtl/>
        </w:rPr>
        <w:t>ב</w:t>
      </w:r>
      <w:r w:rsidRPr="00D94367">
        <w:rPr>
          <w:rFonts w:hint="cs"/>
          <w:rtl/>
        </w:rPr>
        <w:t xml:space="preserve">-16.4.20 בין מנכ"ל </w:t>
      </w:r>
      <w:r w:rsidRPr="00D94367">
        <w:rPr>
          <w:rFonts w:hint="cs"/>
          <w:rtl/>
        </w:rPr>
        <w:t>משהב"ט</w:t>
      </w:r>
      <w:r w:rsidRPr="00D94367">
        <w:rPr>
          <w:rFonts w:hint="cs"/>
          <w:rtl/>
        </w:rPr>
        <w:t xml:space="preserve"> למשנה לו עדכן הכלכלן הראשי כי </w:t>
      </w:r>
      <w:r>
        <w:rPr>
          <w:rFonts w:hint="cs"/>
          <w:rtl/>
        </w:rPr>
        <w:t xml:space="preserve">לפי תפיסת </w:t>
      </w:r>
      <w:r w:rsidRPr="00D94367">
        <w:rPr>
          <w:rFonts w:hint="cs"/>
          <w:rtl/>
        </w:rPr>
        <w:t>משרד האוצר</w:t>
      </w:r>
      <w:r>
        <w:rPr>
          <w:rFonts w:hint="cs"/>
          <w:rtl/>
        </w:rPr>
        <w:t>,</w:t>
      </w:r>
      <w:r w:rsidRPr="00D94367">
        <w:rPr>
          <w:rFonts w:hint="cs"/>
          <w:rtl/>
        </w:rPr>
        <w:t xml:space="preserve"> השארת מחצית מהדיבידנד בחברות לטובת המו"פ הביטחוני שקולה להגדלת תקציב הביטחון; וכי לצד זאת </w:t>
      </w:r>
      <w:r>
        <w:rPr>
          <w:rFonts w:hint="cs"/>
          <w:rtl/>
        </w:rPr>
        <w:t xml:space="preserve">גורמים </w:t>
      </w:r>
      <w:r w:rsidRPr="00D94367">
        <w:rPr>
          <w:rFonts w:hint="cs"/>
          <w:rtl/>
        </w:rPr>
        <w:t>במשרד האוצר יהיו מוכנים לשקול השקעות כאלו במודל של תרומה מוכחת למשק האזרחי; כי במצב זה מוצע לבצע בכספי הדיבידנד השקעות ממוקדות בנושאים אשר אינם בהכרח בסדר העדיפויות השוטף של החברות אך יש להן תרומה לצורכי הביטחון ולמשק האזרחי ("מיזמים דואליים"); כי מדובר בהשקעות ו</w:t>
      </w:r>
      <w:r>
        <w:rPr>
          <w:rFonts w:hint="cs"/>
          <w:rtl/>
        </w:rPr>
        <w:t>ב</w:t>
      </w:r>
      <w:r w:rsidRPr="00D94367">
        <w:rPr>
          <w:rFonts w:hint="cs"/>
          <w:rtl/>
        </w:rPr>
        <w:t xml:space="preserve">יוזמות שהתעשיות הביטחוניות כיום נמנעות מלהשקיע בהן; וכי ההשקעות ינוהלו באמצעות קרן ייעודית בתעשייה ל"השקעות דואליות", בפיקוח ובניהול </w:t>
      </w:r>
      <w:r>
        <w:rPr>
          <w:rFonts w:hint="cs"/>
          <w:rtl/>
        </w:rPr>
        <w:t xml:space="preserve">של </w:t>
      </w:r>
      <w:r w:rsidRPr="00D94367">
        <w:rPr>
          <w:rFonts w:hint="cs"/>
          <w:rtl/>
        </w:rPr>
        <w:t>משהב"ט</w:t>
      </w:r>
      <w:r w:rsidRPr="00D94367">
        <w:rPr>
          <w:rFonts w:hint="cs"/>
          <w:rtl/>
        </w:rPr>
        <w:t xml:space="preserve">, התעשיות ומשרד האוצר. עוד ציין הכלכלן הראשי כי ההשקעות והמיזמים יהיו בשלושה תחומים עיקריים: סטארט-אפים המצויים לאחר הוכחת היתכנות ובשלב חיפוש השקעות המשך; השקעות בתשתיות </w:t>
      </w:r>
      <w:r w:rsidRPr="00D94367">
        <w:rPr>
          <w:rFonts w:hint="cs"/>
          <w:rtl/>
        </w:rPr>
        <w:t>ייצוריות</w:t>
      </w:r>
      <w:r w:rsidRPr="00D94367">
        <w:rPr>
          <w:rFonts w:hint="cs"/>
          <w:rtl/>
        </w:rPr>
        <w:t xml:space="preserve"> דואליות, אשר עשויות לשמש לתחומים רבים גם בסקטור האזרחי ולהגדיל את הפריון בחברות ובמשק; והשקעות בפרויקטים אשר צפויים להניב תרומה משמעותית גם בהיבטים אזרחיים לאומיים (כדוגמת </w:t>
      </w:r>
      <w:r w:rsidRPr="00D94367">
        <w:rPr>
          <w:rFonts w:hint="cs"/>
          <w:rtl/>
        </w:rPr>
        <w:t>לוויינות</w:t>
      </w:r>
      <w:r w:rsidRPr="00D94367">
        <w:rPr>
          <w:rFonts w:hint="cs"/>
          <w:rtl/>
        </w:rPr>
        <w:t xml:space="preserve"> או סייבר). מנכ"ל </w:t>
      </w:r>
      <w:r w:rsidRPr="00D94367">
        <w:rPr>
          <w:rFonts w:hint="cs"/>
          <w:rtl/>
        </w:rPr>
        <w:t>משהב"ט</w:t>
      </w:r>
      <w:r w:rsidRPr="00D94367">
        <w:rPr>
          <w:rFonts w:hint="cs"/>
          <w:rtl/>
        </w:rPr>
        <w:t xml:space="preserve"> סיכם כי הוא מאשר להתקדם בנושא מול משרד האוצר והתעשיות הביטחוניות, בהתאם לתחומים שהציג הכלכלן הראשי, </w:t>
      </w:r>
      <w:r>
        <w:rPr>
          <w:rFonts w:hint="cs"/>
          <w:rtl/>
        </w:rPr>
        <w:t>"</w:t>
      </w:r>
      <w:r w:rsidRPr="00D94367">
        <w:rPr>
          <w:rFonts w:hint="cs"/>
          <w:rtl/>
        </w:rPr>
        <w:t>בדגש על כך שההשקעות לא יהיו חלק מהפעילות השוטפת בתעשייה ואינן קשורות לדיונים על תקציב הביטחון</w:t>
      </w:r>
      <w:r>
        <w:rPr>
          <w:rFonts w:hint="cs"/>
          <w:rtl/>
        </w:rPr>
        <w:t>"</w:t>
      </w:r>
      <w:r w:rsidRPr="00D94367">
        <w:rPr>
          <w:rFonts w:hint="cs"/>
          <w:rtl/>
        </w:rPr>
        <w:t xml:space="preserve">. </w:t>
      </w:r>
    </w:p>
    <w:p w:rsidR="00C149B0" w:rsidRPr="0070239E" w:rsidP="000839FF" w14:paraId="2984A7EB" w14:textId="77777777">
      <w:pPr>
        <w:pStyle w:val="7392"/>
        <w:rPr>
          <w:rtl/>
        </w:rPr>
      </w:pPr>
      <w:r w:rsidRPr="00D94367">
        <w:rPr>
          <w:rFonts w:hint="cs"/>
          <w:rtl/>
        </w:rPr>
        <w:t xml:space="preserve">הכלכלן הראשי </w:t>
      </w:r>
      <w:r w:rsidRPr="00D94367">
        <w:rPr>
          <w:rFonts w:hint="cs"/>
          <w:rtl/>
        </w:rPr>
        <w:t>למעהב"ט</w:t>
      </w:r>
      <w:r w:rsidRPr="00D94367">
        <w:rPr>
          <w:rFonts w:hint="cs"/>
          <w:rtl/>
        </w:rPr>
        <w:t xml:space="preserve"> מסר למשרד מבקר המדינה ב-24.8.22 כי מאז אפריל 2020 ועד "לאחרונה" לא הייתה התקדמות בנושא מול </w:t>
      </w:r>
      <w:r>
        <w:rPr>
          <w:rFonts w:hint="cs"/>
          <w:rtl/>
        </w:rPr>
        <w:t xml:space="preserve">משרד </w:t>
      </w:r>
      <w:r w:rsidRPr="00D94367">
        <w:rPr>
          <w:rFonts w:hint="cs"/>
          <w:rtl/>
        </w:rPr>
        <w:t xml:space="preserve">האוצר; </w:t>
      </w:r>
      <w:r>
        <w:rPr>
          <w:rFonts w:hint="cs"/>
          <w:rtl/>
        </w:rPr>
        <w:t>ו</w:t>
      </w:r>
      <w:r w:rsidRPr="00D94367">
        <w:rPr>
          <w:rFonts w:hint="cs"/>
          <w:rtl/>
        </w:rPr>
        <w:t xml:space="preserve">כי לפני </w:t>
      </w:r>
      <w:r>
        <w:rPr>
          <w:rFonts w:hint="cs"/>
          <w:rtl/>
        </w:rPr>
        <w:t>כמה</w:t>
      </w:r>
      <w:r w:rsidRPr="00D94367">
        <w:rPr>
          <w:rFonts w:hint="cs"/>
          <w:rtl/>
        </w:rPr>
        <w:t xml:space="preserve"> שבועות מנכ"ל </w:t>
      </w:r>
      <w:r w:rsidRPr="00D94367">
        <w:rPr>
          <w:rFonts w:hint="cs"/>
          <w:rtl/>
        </w:rPr>
        <w:t>משהב"ט</w:t>
      </w:r>
      <w:r w:rsidRPr="00D94367">
        <w:rPr>
          <w:rFonts w:hint="cs"/>
          <w:rtl/>
        </w:rPr>
        <w:t xml:space="preserve"> ביקש לבחון שוב את הנושא בהקשר של פרויקטים ספציפיים</w:t>
      </w:r>
      <w:r>
        <w:rPr>
          <w:rFonts w:hint="cs"/>
          <w:rtl/>
        </w:rPr>
        <w:t xml:space="preserve">. מלשכת </w:t>
      </w:r>
      <w:r w:rsidRPr="0070239E">
        <w:rPr>
          <w:rFonts w:hint="cs"/>
          <w:rtl/>
        </w:rPr>
        <w:t xml:space="preserve">מנכ"ל </w:t>
      </w:r>
      <w:r w:rsidRPr="0070239E">
        <w:rPr>
          <w:rFonts w:hint="cs"/>
          <w:rtl/>
        </w:rPr>
        <w:t>משהב"ט</w:t>
      </w:r>
      <w:r w:rsidRPr="0070239E">
        <w:rPr>
          <w:rFonts w:hint="cs"/>
          <w:rtl/>
        </w:rPr>
        <w:t xml:space="preserve"> נמסר למשרד מבקר המדינה ב-1.9.22 כי טרם הועברה פנייה בנושא למשרד </w:t>
      </w:r>
      <w:r>
        <w:rPr>
          <w:rFonts w:hint="cs"/>
          <w:rtl/>
        </w:rPr>
        <w:t>ה</w:t>
      </w:r>
      <w:r w:rsidRPr="0070239E">
        <w:rPr>
          <w:rFonts w:hint="cs"/>
          <w:rtl/>
        </w:rPr>
        <w:t xml:space="preserve">אוצר. </w:t>
      </w:r>
    </w:p>
    <w:p w:rsidR="00C149B0" w:rsidRPr="0070239E" w:rsidP="000839FF" w14:paraId="612A9BC4" w14:textId="77777777">
      <w:pPr>
        <w:pStyle w:val="7318"/>
        <w:rPr>
          <w:rtl/>
        </w:rPr>
      </w:pPr>
      <w:r w:rsidRPr="0070239E">
        <w:rPr>
          <w:rFonts w:hint="eastAsia"/>
          <w:rtl/>
        </w:rPr>
        <w:t>עלה</w:t>
      </w:r>
      <w:r w:rsidRPr="0070239E">
        <w:rPr>
          <w:rtl/>
        </w:rPr>
        <w:t xml:space="preserve"> </w:t>
      </w:r>
      <w:r w:rsidRPr="0070239E">
        <w:rPr>
          <w:rFonts w:hint="eastAsia"/>
          <w:rtl/>
        </w:rPr>
        <w:t>כי</w:t>
      </w:r>
      <w:r w:rsidRPr="0070239E">
        <w:rPr>
          <w:rtl/>
        </w:rPr>
        <w:t xml:space="preserve"> הגם שחוק החברות הממשלתיות אינו מקנה </w:t>
      </w:r>
      <w:r w:rsidRPr="0070239E">
        <w:rPr>
          <w:rFonts w:hint="eastAsia"/>
          <w:rtl/>
        </w:rPr>
        <w:t>למשהב</w:t>
      </w:r>
      <w:r w:rsidRPr="0070239E">
        <w:rPr>
          <w:rtl/>
        </w:rPr>
        <w:t>"ט</w:t>
      </w:r>
      <w:r w:rsidRPr="0070239E">
        <w:rPr>
          <w:rtl/>
        </w:rPr>
        <w:t xml:space="preserve"> מעמד בנושא חלוקת הדיבידנדים של החברות הביטחוני</w:t>
      </w:r>
      <w:r>
        <w:rPr>
          <w:rFonts w:hint="cs"/>
          <w:rtl/>
        </w:rPr>
        <w:t>ו</w:t>
      </w:r>
      <w:r w:rsidRPr="0070239E">
        <w:rPr>
          <w:rtl/>
        </w:rPr>
        <w:t xml:space="preserve">ת, </w:t>
      </w:r>
      <w:r w:rsidRPr="0070239E">
        <w:rPr>
          <w:rFonts w:hint="eastAsia"/>
          <w:rtl/>
        </w:rPr>
        <w:t>משהב</w:t>
      </w:r>
      <w:r w:rsidRPr="0070239E">
        <w:rPr>
          <w:rtl/>
        </w:rPr>
        <w:t>"ט</w:t>
      </w:r>
      <w:r w:rsidRPr="0070239E">
        <w:rPr>
          <w:rtl/>
        </w:rPr>
        <w:t xml:space="preserve"> </w:t>
      </w:r>
      <w:r w:rsidRPr="0070239E">
        <w:rPr>
          <w:rFonts w:hint="cs"/>
          <w:rtl/>
        </w:rPr>
        <w:t>פנה</w:t>
      </w:r>
      <w:r w:rsidRPr="0070239E">
        <w:rPr>
          <w:rtl/>
        </w:rPr>
        <w:t xml:space="preserve"> </w:t>
      </w:r>
      <w:r w:rsidRPr="0070239E">
        <w:rPr>
          <w:rFonts w:hint="cs"/>
          <w:rtl/>
        </w:rPr>
        <w:t>ל</w:t>
      </w:r>
      <w:r w:rsidRPr="0070239E">
        <w:rPr>
          <w:rFonts w:hint="eastAsia"/>
          <w:rtl/>
        </w:rPr>
        <w:t>משרד</w:t>
      </w:r>
      <w:r w:rsidRPr="0070239E">
        <w:rPr>
          <w:rtl/>
        </w:rPr>
        <w:t xml:space="preserve"> </w:t>
      </w:r>
      <w:r w:rsidRPr="0070239E">
        <w:rPr>
          <w:rFonts w:hint="eastAsia"/>
          <w:rtl/>
        </w:rPr>
        <w:t>האוצר</w:t>
      </w:r>
      <w:r w:rsidRPr="0070239E">
        <w:rPr>
          <w:rtl/>
        </w:rPr>
        <w:t xml:space="preserve"> </w:t>
      </w:r>
      <w:r w:rsidRPr="0070239E">
        <w:rPr>
          <w:rFonts w:hint="cs"/>
          <w:rtl/>
        </w:rPr>
        <w:t xml:space="preserve">בבקשה </w:t>
      </w:r>
      <w:r w:rsidRPr="0070239E">
        <w:rPr>
          <w:rFonts w:hint="eastAsia"/>
          <w:rtl/>
        </w:rPr>
        <w:t>כי</w:t>
      </w:r>
      <w:r w:rsidRPr="0070239E">
        <w:rPr>
          <w:rtl/>
        </w:rPr>
        <w:t xml:space="preserve"> מחצית </w:t>
      </w:r>
      <w:r w:rsidRPr="0070239E">
        <w:rPr>
          <w:rFonts w:hint="eastAsia"/>
          <w:rtl/>
        </w:rPr>
        <w:t>הדיבידנד</w:t>
      </w:r>
      <w:r w:rsidRPr="0070239E">
        <w:rPr>
          <w:rtl/>
        </w:rPr>
        <w:t xml:space="preserve"> יישאר בחברות הביטחונית וייועד </w:t>
      </w:r>
      <w:r w:rsidRPr="0070239E">
        <w:rPr>
          <w:rtl/>
        </w:rPr>
        <w:t>לפרויקטי</w:t>
      </w:r>
      <w:r w:rsidRPr="0070239E">
        <w:rPr>
          <w:rtl/>
        </w:rPr>
        <w:t xml:space="preserve"> מו"פ שצפויים לתרום לפיתוח העסקי של החברות ולהגדלת רווחיהן</w:t>
      </w:r>
      <w:r>
        <w:rPr>
          <w:rFonts w:hint="cs"/>
          <w:rtl/>
        </w:rPr>
        <w:t>,</w:t>
      </w:r>
      <w:r w:rsidRPr="0070239E">
        <w:rPr>
          <w:rtl/>
        </w:rPr>
        <w:t xml:space="preserve"> וכי </w:t>
      </w:r>
      <w:r w:rsidRPr="0070239E">
        <w:rPr>
          <w:rtl/>
        </w:rPr>
        <w:t>משהב"ט</w:t>
      </w:r>
      <w:r w:rsidRPr="0070239E">
        <w:rPr>
          <w:rtl/>
        </w:rPr>
        <w:t xml:space="preserve"> יגדיר את השימושים ואת המטרות של סכום זה לצורכי </w:t>
      </w:r>
      <w:r w:rsidRPr="0070239E">
        <w:rPr>
          <w:rtl/>
        </w:rPr>
        <w:t>מעהב"ט</w:t>
      </w:r>
      <w:r w:rsidRPr="0070239E">
        <w:rPr>
          <w:rtl/>
        </w:rPr>
        <w:t xml:space="preserve">, וינהל את הנושא. </w:t>
      </w:r>
      <w:r w:rsidRPr="0070239E">
        <w:rPr>
          <w:rFonts w:hint="cs"/>
          <w:rtl/>
        </w:rPr>
        <w:t>בקשה</w:t>
      </w:r>
      <w:r w:rsidRPr="0070239E">
        <w:rPr>
          <w:rtl/>
        </w:rPr>
        <w:t xml:space="preserve"> זו</w:t>
      </w:r>
      <w:r>
        <w:rPr>
          <w:rFonts w:hint="cs"/>
          <w:rtl/>
        </w:rPr>
        <w:t xml:space="preserve"> משמעה </w:t>
      </w:r>
      <w:r w:rsidRPr="0070239E">
        <w:rPr>
          <w:rFonts w:hint="cs"/>
          <w:rtl/>
        </w:rPr>
        <w:t>בקשה</w:t>
      </w:r>
      <w:r w:rsidRPr="0070239E">
        <w:rPr>
          <w:rtl/>
        </w:rPr>
        <w:t xml:space="preserve"> להגדלת </w:t>
      </w:r>
      <w:r w:rsidRPr="0070239E">
        <w:rPr>
          <w:rFonts w:hint="cs"/>
          <w:rtl/>
        </w:rPr>
        <w:t>מקורות</w:t>
      </w:r>
      <w:r w:rsidRPr="0070239E">
        <w:rPr>
          <w:rtl/>
        </w:rPr>
        <w:t xml:space="preserve"> </w:t>
      </w:r>
      <w:r w:rsidRPr="0070239E">
        <w:rPr>
          <w:rtl/>
        </w:rPr>
        <w:t>מע</w:t>
      </w:r>
      <w:r>
        <w:rPr>
          <w:rFonts w:hint="cs"/>
          <w:rtl/>
        </w:rPr>
        <w:t>הב"ט</w:t>
      </w:r>
      <w:r w:rsidRPr="0070239E">
        <w:rPr>
          <w:rtl/>
        </w:rPr>
        <w:t xml:space="preserve"> שלא באמצעות תקציב </w:t>
      </w:r>
      <w:r w:rsidRPr="0070239E">
        <w:rPr>
          <w:rFonts w:hint="eastAsia"/>
          <w:rtl/>
        </w:rPr>
        <w:t>המדינה</w:t>
      </w:r>
      <w:r w:rsidRPr="0070239E">
        <w:rPr>
          <w:rtl/>
        </w:rPr>
        <w:t>.</w:t>
      </w:r>
    </w:p>
    <w:p w:rsidR="00C149B0" w:rsidRPr="00D94367" w:rsidP="000839FF" w14:paraId="3AA68D4A" w14:textId="77777777">
      <w:pPr>
        <w:pStyle w:val="7318"/>
        <w:rPr>
          <w:rtl/>
        </w:rPr>
      </w:pPr>
      <w:r w:rsidRPr="0070239E">
        <w:rPr>
          <w:rFonts w:hint="cs"/>
          <w:rtl/>
        </w:rPr>
        <w:t xml:space="preserve">מומלץ כי </w:t>
      </w:r>
      <w:r>
        <w:rPr>
          <w:rFonts w:hint="cs"/>
          <w:rtl/>
        </w:rPr>
        <w:t xml:space="preserve">משרד האוצר יבחן את </w:t>
      </w:r>
      <w:r w:rsidRPr="0070239E">
        <w:rPr>
          <w:rFonts w:hint="cs"/>
          <w:rtl/>
        </w:rPr>
        <w:t xml:space="preserve">סוגיית ייעוד חלק מהדיבידנדים, שאמורות לשלם החברות הממשלתיות הביטחוניות למדינה, לצורך הרחבת פעילותן, לרבות עבור פרויקטים </w:t>
      </w:r>
      <w:r w:rsidRPr="0070239E">
        <w:rPr>
          <w:rFonts w:hint="cs"/>
          <w:rtl/>
        </w:rPr>
        <w:t>למשהב"ט</w:t>
      </w:r>
      <w:r w:rsidRPr="0070239E">
        <w:rPr>
          <w:rFonts w:hint="cs"/>
          <w:rtl/>
        </w:rPr>
        <w:t xml:space="preserve">, </w:t>
      </w:r>
      <w:r w:rsidRPr="0070239E">
        <w:rPr>
          <w:rFonts w:hint="eastAsia"/>
          <w:rtl/>
        </w:rPr>
        <w:t>בשים</w:t>
      </w:r>
      <w:r w:rsidRPr="0070239E">
        <w:rPr>
          <w:rtl/>
        </w:rPr>
        <w:t xml:space="preserve"> לב לעמדת </w:t>
      </w:r>
      <w:r w:rsidRPr="0070239E">
        <w:rPr>
          <w:rFonts w:hint="eastAsia"/>
          <w:rtl/>
        </w:rPr>
        <w:t>משהב</w:t>
      </w:r>
      <w:r w:rsidRPr="0070239E">
        <w:rPr>
          <w:rtl/>
        </w:rPr>
        <w:t>"ט</w:t>
      </w:r>
      <w:r>
        <w:rPr>
          <w:rFonts w:hint="cs"/>
          <w:rtl/>
        </w:rPr>
        <w:t>.</w:t>
      </w:r>
      <w:r w:rsidRPr="0070239E">
        <w:rPr>
          <w:rFonts w:hint="cs"/>
          <w:rtl/>
        </w:rPr>
        <w:t xml:space="preserve"> </w:t>
      </w:r>
      <w:r>
        <w:rPr>
          <w:rFonts w:hint="cs"/>
          <w:rtl/>
        </w:rPr>
        <w:t xml:space="preserve">זאת בהיותו של </w:t>
      </w:r>
      <w:r w:rsidRPr="0070239E">
        <w:rPr>
          <w:rFonts w:hint="cs"/>
          <w:rtl/>
        </w:rPr>
        <w:t>משרד האוצר</w:t>
      </w:r>
      <w:r>
        <w:rPr>
          <w:rFonts w:hint="cs"/>
          <w:rtl/>
        </w:rPr>
        <w:t xml:space="preserve"> הגורם</w:t>
      </w:r>
      <w:r w:rsidRPr="0070239E">
        <w:rPr>
          <w:rFonts w:hint="cs"/>
          <w:rtl/>
        </w:rPr>
        <w:t xml:space="preserve"> הנושא באחריות להכנת הצעה לאישור הממשלה והכנסת להקצאת מקורות המשק במסגרת תקציב המדינה, אל מול צורכי משק אחרים</w:t>
      </w:r>
      <w:r>
        <w:rPr>
          <w:rFonts w:hint="cs"/>
          <w:rtl/>
        </w:rPr>
        <w:t>. עוד מומלץ כי משרד האוצר יביא את הנושא</w:t>
      </w:r>
      <w:r w:rsidRPr="0070239E">
        <w:rPr>
          <w:rFonts w:hint="cs"/>
          <w:rtl/>
        </w:rPr>
        <w:t xml:space="preserve"> להחלטת הממשלה</w:t>
      </w:r>
      <w:r>
        <w:rPr>
          <w:rFonts w:hint="cs"/>
          <w:rtl/>
        </w:rPr>
        <w:t xml:space="preserve"> ככל שיידרש</w:t>
      </w:r>
      <w:r w:rsidRPr="0070239E">
        <w:rPr>
          <w:rFonts w:hint="cs"/>
          <w:rtl/>
        </w:rPr>
        <w:t>.</w:t>
      </w:r>
      <w:r w:rsidRPr="00D94367">
        <w:rPr>
          <w:rFonts w:hint="cs"/>
          <w:rtl/>
        </w:rPr>
        <w:t xml:space="preserve"> </w:t>
      </w:r>
      <w:bookmarkEnd w:id="33"/>
    </w:p>
    <w:p w:rsidR="00C149B0" w:rsidRPr="001E7361" w:rsidP="001E7361" w14:paraId="2287169E" w14:textId="77777777">
      <w:pPr>
        <w:pStyle w:val="733155"/>
        <w:rPr>
          <w:rtl/>
        </w:rPr>
      </w:pPr>
      <w:bookmarkStart w:id="34" w:name="_Toc115616210"/>
      <w:r w:rsidRPr="001E7361">
        <w:rPr>
          <w:rFonts w:hint="cs"/>
          <w:rtl/>
        </w:rPr>
        <w:t>איוש הדירקטוריון ברפאל</w:t>
      </w:r>
      <w:bookmarkEnd w:id="34"/>
    </w:p>
    <w:p w:rsidR="00C149B0" w:rsidRPr="00D94367" w:rsidP="000839FF" w14:paraId="337B70DC" w14:textId="77777777">
      <w:pPr>
        <w:pStyle w:val="7392"/>
        <w:rPr>
          <w:rtl/>
        </w:rPr>
      </w:pPr>
      <w:r w:rsidRPr="00BD02DE">
        <w:rPr>
          <w:rFonts w:hint="cs"/>
          <w:rtl/>
        </w:rPr>
        <w:t xml:space="preserve">חוק החברות הממשלתיות מייחד לדירקטוריון </w:t>
      </w:r>
      <w:r>
        <w:rPr>
          <w:rFonts w:hint="cs"/>
          <w:rtl/>
        </w:rPr>
        <w:t xml:space="preserve">של חברה ממשלתית </w:t>
      </w:r>
      <w:r w:rsidRPr="00BD02DE">
        <w:rPr>
          <w:rFonts w:hint="cs"/>
          <w:rtl/>
        </w:rPr>
        <w:t>תפקידים מרכזיים ומהותיים, לרבות קביעת המדיניות הכללית של החברה בתחום מטרותיה ואת פעולותיה הפיננסיות;</w:t>
      </w:r>
      <w:r w:rsidRPr="00D94367">
        <w:rPr>
          <w:rFonts w:hint="cs"/>
          <w:rtl/>
        </w:rPr>
        <w:t xml:space="preserve"> קביעת התקציב השנתי של החברה, דרך ביצועו</w:t>
      </w:r>
      <w:r>
        <w:rPr>
          <w:rFonts w:hint="cs"/>
          <w:rtl/>
        </w:rPr>
        <w:t>,</w:t>
      </w:r>
      <w:r w:rsidRPr="00D94367">
        <w:rPr>
          <w:rFonts w:hint="cs"/>
          <w:rtl/>
        </w:rPr>
        <w:t xml:space="preserve"> והשימוש במקורות העומדים לרשות החברה; התווי</w:t>
      </w:r>
      <w:r>
        <w:rPr>
          <w:rFonts w:hint="cs"/>
          <w:rtl/>
        </w:rPr>
        <w:t>י</w:t>
      </w:r>
      <w:r w:rsidRPr="00D94367">
        <w:rPr>
          <w:rFonts w:hint="cs"/>
          <w:rtl/>
        </w:rPr>
        <w:t>ת</w:t>
      </w:r>
      <w:r>
        <w:rPr>
          <w:rFonts w:hint="cs"/>
          <w:rtl/>
        </w:rPr>
        <w:t>ן של</w:t>
      </w:r>
      <w:r w:rsidRPr="00D94367">
        <w:rPr>
          <w:rFonts w:hint="cs"/>
          <w:rtl/>
        </w:rPr>
        <w:t xml:space="preserve"> ת</w:t>
      </w:r>
      <w:r>
        <w:rPr>
          <w:rFonts w:hint="cs"/>
          <w:rtl/>
        </w:rPr>
        <w:t>ו</w:t>
      </w:r>
      <w:r w:rsidRPr="00D94367">
        <w:rPr>
          <w:rFonts w:hint="cs"/>
          <w:rtl/>
        </w:rPr>
        <w:t xml:space="preserve">כנית הפעולה של החברה לאותה שנה </w:t>
      </w:r>
      <w:r>
        <w:rPr>
          <w:rFonts w:hint="cs"/>
          <w:rtl/>
        </w:rPr>
        <w:t xml:space="preserve">ושל </w:t>
      </w:r>
      <w:r w:rsidRPr="00D94367">
        <w:rPr>
          <w:rFonts w:hint="cs"/>
          <w:rtl/>
        </w:rPr>
        <w:t>ת</w:t>
      </w:r>
      <w:r>
        <w:rPr>
          <w:rFonts w:hint="cs"/>
          <w:rtl/>
        </w:rPr>
        <w:t>ו</w:t>
      </w:r>
      <w:r w:rsidRPr="00D94367">
        <w:rPr>
          <w:rFonts w:hint="cs"/>
          <w:rtl/>
        </w:rPr>
        <w:t xml:space="preserve">כניותיה לטווח הארוך; קביעת תקן עובדי החברה ושכרם; ומעקב רציף אחר </w:t>
      </w:r>
      <w:r>
        <w:rPr>
          <w:rFonts w:hint="cs"/>
          <w:rtl/>
        </w:rPr>
        <w:t>מימוש</w:t>
      </w:r>
      <w:r w:rsidRPr="00D94367">
        <w:rPr>
          <w:rFonts w:hint="cs"/>
          <w:rtl/>
        </w:rPr>
        <w:t xml:space="preserve"> מדיניות החברה, יישום ת</w:t>
      </w:r>
      <w:r>
        <w:rPr>
          <w:rFonts w:hint="cs"/>
          <w:rtl/>
        </w:rPr>
        <w:t>ו</w:t>
      </w:r>
      <w:r w:rsidRPr="00D94367">
        <w:rPr>
          <w:rFonts w:hint="cs"/>
          <w:rtl/>
        </w:rPr>
        <w:t>כניותיה וניצול תקציביה. כמו כן על הדירקטוריון לקבוע את אופן בחירת הפקידים הבכירים</w:t>
      </w:r>
      <w:r>
        <w:rPr>
          <w:rStyle w:val="FootnoteReference0"/>
          <w:rtl/>
        </w:rPr>
        <w:footnoteReference w:id="120"/>
      </w:r>
      <w:r w:rsidRPr="00D94367">
        <w:rPr>
          <w:rFonts w:hint="cs"/>
          <w:vertAlign w:val="superscript"/>
          <w:rtl/>
        </w:rPr>
        <w:t>,</w:t>
      </w:r>
      <w:r>
        <w:rPr>
          <w:rFonts w:hint="cs"/>
          <w:vertAlign w:val="superscript"/>
          <w:rtl/>
        </w:rPr>
        <w:t xml:space="preserve"> </w:t>
      </w:r>
      <w:r>
        <w:rPr>
          <w:rStyle w:val="FootnoteReference0"/>
          <w:rtl/>
        </w:rPr>
        <w:footnoteReference w:id="121"/>
      </w:r>
      <w:r w:rsidRPr="00D94367">
        <w:rPr>
          <w:rFonts w:hint="cs"/>
          <w:rtl/>
        </w:rPr>
        <w:t xml:space="preserve">; לאשר, על פי המלצת </w:t>
      </w:r>
      <w:r>
        <w:rPr>
          <w:rFonts w:hint="cs"/>
          <w:rtl/>
        </w:rPr>
        <w:t>המנכ"ל</w:t>
      </w:r>
      <w:r w:rsidRPr="00D94367">
        <w:rPr>
          <w:rFonts w:hint="cs"/>
          <w:rtl/>
        </w:rPr>
        <w:t xml:space="preserve">, את מינוים בהתאם לתקן; למנות את </w:t>
      </w:r>
      <w:r>
        <w:rPr>
          <w:rFonts w:hint="cs"/>
          <w:rtl/>
        </w:rPr>
        <w:t>המנכ"ל</w:t>
      </w:r>
      <w:r w:rsidRPr="00D94367">
        <w:rPr>
          <w:rFonts w:hint="cs"/>
          <w:rtl/>
        </w:rPr>
        <w:t xml:space="preserve">; ולדון בטיוטת הדוחות הכספיים של החברה ובהערות רואה החשבון לגביה. </w:t>
      </w:r>
    </w:p>
    <w:p w:rsidR="00C149B0" w:rsidRPr="00D94367" w:rsidP="000839FF" w14:paraId="21A56A03" w14:textId="77777777">
      <w:pPr>
        <w:pStyle w:val="7392"/>
        <w:rPr>
          <w:rtl/>
        </w:rPr>
      </w:pPr>
      <w:r w:rsidRPr="00D94367">
        <w:rPr>
          <w:rFonts w:ascii="David" w:hAnsi="David"/>
          <w:sz w:val="24"/>
          <w:rtl/>
        </w:rPr>
        <w:t xml:space="preserve">בחוק החברות הממשלתיות </w:t>
      </w:r>
      <w:r w:rsidRPr="00D94367">
        <w:rPr>
          <w:rFonts w:hint="cs"/>
          <w:rtl/>
        </w:rPr>
        <w:t>נקבע כי האחריות והסמכות למינוי דירקטורים מטעם המדינה בחברות ממשלתיות נתונ</w:t>
      </w:r>
      <w:r>
        <w:rPr>
          <w:rFonts w:hint="cs"/>
          <w:rtl/>
        </w:rPr>
        <w:t>ות</w:t>
      </w:r>
      <w:r w:rsidRPr="00D94367">
        <w:rPr>
          <w:rFonts w:hint="cs"/>
          <w:rtl/>
        </w:rPr>
        <w:t xml:space="preserve"> בידי שר האוצר והשר שנקבע כאחראי לענייני החברה</w:t>
      </w:r>
      <w:r>
        <w:rPr>
          <w:rStyle w:val="FootnoteReference0"/>
          <w:rtl/>
        </w:rPr>
        <w:footnoteReference w:id="122"/>
      </w:r>
      <w:r w:rsidRPr="00D94367">
        <w:rPr>
          <w:rFonts w:hint="cs"/>
          <w:rtl/>
        </w:rPr>
        <w:t xml:space="preserve"> (להלן - השרים), זאת לאחר התייעצות עם הוועדה לבדיקת מינויים</w:t>
      </w:r>
      <w:r>
        <w:rPr>
          <w:rStyle w:val="FootnoteReference0"/>
          <w:rtl/>
        </w:rPr>
        <w:footnoteReference w:id="123"/>
      </w:r>
      <w:r w:rsidRPr="00D94367">
        <w:rPr>
          <w:rFonts w:hint="cs"/>
          <w:rtl/>
        </w:rPr>
        <w:t xml:space="preserve"> ובמקרים מסוימים בכפוף לחוות דעתה ולהחלטת הממשלה. בחוק נקבע כי בין תפקידי הוועדה לייעץ לשרים בדבר מידת התאמתו של המועמד לתפקיד בשים לב, בין היתר, לצרכיה המיוחדים של החברה, לגודלה, ולהרכב הדירקטוריון בעת המינוי. עוד נקבע בחוק כי דירקטור יתמנה לתקופה של לא יותר משלוש שנים מתחילת תוקף מינויו; וכי דירקטור שחדל לכהן יכול להתמנות מחדש. המדיניות של רשות החברות </w:t>
      </w:r>
      <w:r w:rsidRPr="00CA071B">
        <w:rPr>
          <w:rFonts w:hint="cs"/>
          <w:rtl/>
        </w:rPr>
        <w:t>הממשלתיות</w:t>
      </w:r>
      <w:r w:rsidRPr="00D94367">
        <w:rPr>
          <w:rFonts w:ascii="David" w:eastAsia="Times New Roman" w:hAnsi="David"/>
          <w:sz w:val="24"/>
          <w:shd w:val="clear" w:color="auto" w:fill="FFFFFF"/>
          <w:rtl/>
        </w:rPr>
        <w:t xml:space="preserve"> </w:t>
      </w:r>
      <w:r w:rsidRPr="00D94367">
        <w:rPr>
          <w:rFonts w:hint="cs"/>
          <w:rtl/>
        </w:rPr>
        <w:t>והוועדה לבדיקת מינויים הייתה כי דירקטור לא ימונה ליותר משתי כהונות</w:t>
      </w:r>
      <w:r>
        <w:rPr>
          <w:rStyle w:val="FootnoteReference0"/>
          <w:rtl/>
        </w:rPr>
        <w:footnoteReference w:id="124"/>
      </w:r>
      <w:r w:rsidRPr="00D94367">
        <w:rPr>
          <w:rFonts w:hint="cs"/>
          <w:rtl/>
        </w:rPr>
        <w:t>.</w:t>
      </w:r>
    </w:p>
    <w:p w:rsidR="00C149B0" w:rsidP="000839FF" w14:paraId="61E0B082" w14:textId="77777777">
      <w:pPr>
        <w:pStyle w:val="7392"/>
        <w:rPr>
          <w:b/>
          <w:bCs/>
          <w:rtl/>
        </w:rPr>
      </w:pPr>
      <w:r>
        <w:rPr>
          <w:rFonts w:hint="cs"/>
          <w:rtl/>
        </w:rPr>
        <w:t xml:space="preserve">תפקידי </w:t>
      </w:r>
      <w:r w:rsidRPr="00D94367">
        <w:rPr>
          <w:rFonts w:hint="cs"/>
          <w:rtl/>
        </w:rPr>
        <w:t xml:space="preserve">רשות החברות הממשלתיות </w:t>
      </w:r>
      <w:r>
        <w:rPr>
          <w:rFonts w:hint="cs"/>
          <w:rtl/>
        </w:rPr>
        <w:t xml:space="preserve">הם, </w:t>
      </w:r>
      <w:r w:rsidRPr="00D94367">
        <w:rPr>
          <w:rFonts w:hint="cs"/>
          <w:rtl/>
        </w:rPr>
        <w:t>בין היתר, ייעוץ לממשלה ולשרים בעניינים הנוגעים לחברות הממשלתיות. בכל הנוגע לאישור דירקטורים לחברות הממשלתיות, עד</w:t>
      </w:r>
      <w:r>
        <w:rPr>
          <w:rFonts w:hint="cs"/>
          <w:rtl/>
        </w:rPr>
        <w:t xml:space="preserve"> שנת</w:t>
      </w:r>
      <w:r w:rsidRPr="00D94367">
        <w:rPr>
          <w:rFonts w:hint="cs"/>
          <w:rtl/>
        </w:rPr>
        <w:t xml:space="preserve"> 2013 בחרו השרים מועמדים לתפקיד</w:t>
      </w:r>
      <w:r>
        <w:rPr>
          <w:rFonts w:hint="cs"/>
          <w:rtl/>
        </w:rPr>
        <w:t>,</w:t>
      </w:r>
      <w:r w:rsidRPr="00D94367">
        <w:rPr>
          <w:rFonts w:hint="cs"/>
          <w:rtl/>
        </w:rPr>
        <w:t xml:space="preserve"> ובהמשך לכך, ולאחר אישור המועמדים בוועדה לבדיקת מנויים וקבלת המלצותיה בעניין, אישרו </w:t>
      </w:r>
      <w:r>
        <w:rPr>
          <w:rFonts w:hint="cs"/>
          <w:rtl/>
        </w:rPr>
        <w:t>את כהונתם</w:t>
      </w:r>
      <w:r w:rsidRPr="00D94367">
        <w:rPr>
          <w:rFonts w:hint="cs"/>
          <w:rtl/>
        </w:rPr>
        <w:t xml:space="preserve"> כדירקטורים בדירקטוריונים של החברות. בנובמבר 2013 החליט שר האוצר דאז על הקמת "נבחרת דירקטורים" שתשמש מאגר שממנו יבחרו </w:t>
      </w:r>
      <w:r w:rsidRPr="00D94367">
        <w:rPr>
          <w:rFonts w:hint="cs"/>
          <w:rtl/>
        </w:rPr>
        <w:t xml:space="preserve">השרים מועמדים </w:t>
      </w:r>
      <w:r>
        <w:rPr>
          <w:rFonts w:hint="cs"/>
          <w:rtl/>
        </w:rPr>
        <w:t>לשמש דירקטורים ב</w:t>
      </w:r>
      <w:r w:rsidRPr="00D94367">
        <w:rPr>
          <w:rFonts w:hint="cs"/>
          <w:rtl/>
        </w:rPr>
        <w:t>דירקטוריונים של החברות שבאחריותם</w:t>
      </w:r>
      <w:r>
        <w:rPr>
          <w:rStyle w:val="FootnoteReference0"/>
          <w:rtl/>
        </w:rPr>
        <w:footnoteReference w:id="125"/>
      </w:r>
      <w:r w:rsidRPr="00D94367">
        <w:rPr>
          <w:rFonts w:hint="cs"/>
          <w:rtl/>
        </w:rPr>
        <w:t>. את "נבחרת הדירקטורים" מנהלת רשות</w:t>
      </w:r>
      <w:r>
        <w:rPr>
          <w:rFonts w:hint="cs"/>
          <w:rtl/>
        </w:rPr>
        <w:t xml:space="preserve"> החברות הממשלתיות.</w:t>
      </w:r>
      <w:r w:rsidRPr="00D94367">
        <w:rPr>
          <w:rFonts w:hint="cs"/>
          <w:rtl/>
        </w:rPr>
        <w:t xml:space="preserve"> </w:t>
      </w:r>
    </w:p>
    <w:p w:rsidR="00C149B0" w:rsidRPr="00B431F9" w:rsidP="00B431F9" w14:paraId="03E046A5" w14:textId="77777777">
      <w:pPr>
        <w:pStyle w:val="73414"/>
        <w:rPr>
          <w:rtl/>
        </w:rPr>
      </w:pPr>
      <w:r w:rsidRPr="00B431F9">
        <w:rPr>
          <w:rFonts w:hint="cs"/>
          <w:rtl/>
        </w:rPr>
        <w:t xml:space="preserve">איוש הדירקטוריון </w:t>
      </w:r>
    </w:p>
    <w:p w:rsidR="00C149B0" w:rsidRPr="000839FF" w:rsidP="000839FF" w14:paraId="4E02CC22" w14:textId="77777777">
      <w:pPr>
        <w:pStyle w:val="7392"/>
        <w:rPr>
          <w:rtl/>
        </w:rPr>
      </w:pPr>
      <w:r w:rsidRPr="000839FF">
        <w:rPr>
          <w:rFonts w:hint="cs"/>
          <w:rtl/>
        </w:rPr>
        <w:t>ביוני 2022 כיהנו בדירקטוריון רפאל שישה דירקטורים. בשנים 2017 - 2021 הייתה תנודתיות במספר הדירקטורים, ובשנת 2021 מספרם פחת מתשעה לארבעה. להלן בתרשים פירוט של מספר הדירקטורים שכיהנו בדירקטוריון רפאל מינואר 2017 ועד יונ</w:t>
      </w:r>
      <w:r w:rsidRPr="000839FF">
        <w:rPr>
          <w:rFonts w:hint="eastAsia"/>
          <w:rtl/>
        </w:rPr>
        <w:t>י</w:t>
      </w:r>
      <w:r w:rsidRPr="000839FF">
        <w:rPr>
          <w:rtl/>
        </w:rPr>
        <w:t xml:space="preserve"> 2022</w:t>
      </w:r>
      <w:r w:rsidRPr="000839FF">
        <w:rPr>
          <w:rFonts w:hint="cs"/>
          <w:rtl/>
        </w:rPr>
        <w:t xml:space="preserve">: </w:t>
      </w:r>
    </w:p>
    <w:p w:rsidR="00C149B0" w:rsidRPr="000839FF" w:rsidP="000839FF" w14:paraId="5C5E03ED" w14:textId="295F68EB">
      <w:pPr>
        <w:pStyle w:val="734"/>
        <w:rPr>
          <w:rtl/>
        </w:rPr>
      </w:pPr>
      <w:r w:rsidRPr="000839FF">
        <w:rPr>
          <w:rFonts w:hint="cs"/>
          <w:b w:val="0"/>
          <w:bCs w:val="0"/>
          <w:rtl/>
        </w:rPr>
        <w:t>תרשים 29:</w:t>
      </w:r>
      <w:r w:rsidRPr="000839FF">
        <w:rPr>
          <w:rFonts w:hint="cs"/>
          <w:rtl/>
        </w:rPr>
        <w:t xml:space="preserve"> מספר הדירקטורים ברפאל, ינואר 2017 - יוני 2022</w:t>
      </w:r>
    </w:p>
    <w:p w:rsidR="00C149B0" w:rsidRPr="00D94367" w:rsidP="00C149B0" w14:paraId="1DC97131" w14:textId="77777777">
      <w:pPr>
        <w:spacing w:line="269" w:lineRule="auto"/>
        <w:jc w:val="center"/>
        <w:rPr>
          <w:b/>
          <w:bCs/>
          <w:rtl/>
        </w:rPr>
      </w:pPr>
      <w:r>
        <w:rPr>
          <w:noProof/>
        </w:rPr>
        <w:drawing>
          <wp:inline distT="0" distB="0" distL="0" distR="0">
            <wp:extent cx="4719955" cy="2501375"/>
            <wp:effectExtent l="0" t="0" r="0" b="0"/>
            <wp:docPr id="1451066650" name="תמונה 6">
              <a:extLst xmlns:a="http://schemas.openxmlformats.org/drawingml/2006/main">
                <a:ext xmlns:a="http://schemas.openxmlformats.org/drawingml/2006/main" uri="{FF2B5EF4-FFF2-40B4-BE49-F238E27FC236}">
                  <a16:creationId xmlns:a16="http://schemas.microsoft.com/office/drawing/2014/main" id="{2E406716-3C44-44E2-80C4-342C73DC86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0" name="תמונה 6">
                      <a:extLst>
                        <a:ext xmlns:a="http://schemas.openxmlformats.org/drawingml/2006/main" uri="{FF2B5EF4-FFF2-40B4-BE49-F238E27FC236}">
                          <a16:creationId xmlns:a16="http://schemas.microsoft.com/office/drawing/2014/main" id="{2E406716-3C44-44E2-80C4-342C73DC86AE}"/>
                        </a:ext>
                      </a:extLst>
                    </pic:cNvPr>
                    <pic:cNvPicPr>
                      <a:picLocks noChangeAspect="1"/>
                    </pic:cNvPicPr>
                  </pic:nvPicPr>
                  <pic:blipFill>
                    <a:blip xmlns:r="http://schemas.openxmlformats.org/officeDocument/2006/relationships" r:embed="rId57">
                      <a:extLst>
                        <a:ext xmlns:a="http://schemas.openxmlformats.org/drawingml/2006/main" uri="{28A0092B-C50C-407E-A947-70E740481C1C}">
                          <a14:useLocalDpi xmlns:a14="http://schemas.microsoft.com/office/drawing/2010/main" val="0"/>
                        </a:ext>
                      </a:extLst>
                    </a:blip>
                    <a:srcRect r="-194"/>
                    <a:stretch>
                      <a:fillRect/>
                    </a:stretch>
                  </pic:blipFill>
                  <pic:spPr bwMode="auto">
                    <a:xfrm>
                      <a:off x="0" y="0"/>
                      <a:ext cx="4760322" cy="252276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149B0" w:rsidRPr="00D94367" w:rsidP="000839FF" w14:paraId="54083353" w14:textId="77777777">
      <w:pPr>
        <w:pStyle w:val="738"/>
        <w:rPr>
          <w:rtl/>
        </w:rPr>
      </w:pPr>
      <w:r w:rsidRPr="00D94367">
        <w:rPr>
          <w:rFonts w:hint="cs"/>
          <w:rtl/>
        </w:rPr>
        <w:t>לפי נתונים מרפאל ומרשות החברות הממשלתיות, בעיבוד משרד מבקר המדינה.</w:t>
      </w:r>
    </w:p>
    <w:p w:rsidR="00C149B0" w:rsidRPr="00B431F9" w:rsidP="00B431F9" w14:paraId="59A5DEC7" w14:textId="77777777">
      <w:pPr>
        <w:pStyle w:val="7318"/>
        <w:rPr>
          <w:rtl/>
        </w:rPr>
      </w:pPr>
      <w:r w:rsidRPr="00B431F9">
        <w:rPr>
          <w:rFonts w:hint="cs"/>
          <w:rtl/>
        </w:rPr>
        <w:t>מהתרשים עולה כי בשנים 2017 - 2021 כיהנו ברפאל בממוצע כשבעה דירקטורים; כי מאוקטובר 2018 ועד יולי 2021 מספר הדירקטורים היה בין שמונה לעשרה, ומאז הלך ופחת מספרם; כי בנובמבר ודצמבר 2021 כיהנו בדירקטוריון רפאל ארבעה דירקטורים, וביוני 2022 היה מספרם שישה</w:t>
      </w:r>
      <w:r>
        <w:rPr>
          <w:rStyle w:val="FootnoteReference0"/>
          <w:rtl/>
        </w:rPr>
        <w:footnoteReference w:id="126"/>
      </w:r>
      <w:r w:rsidRPr="00B431F9">
        <w:rPr>
          <w:rFonts w:hint="cs"/>
          <w:rtl/>
        </w:rPr>
        <w:t>.</w:t>
      </w:r>
    </w:p>
    <w:p w:rsidR="00991B91" w14:paraId="6B464298" w14:textId="77777777">
      <w:pPr>
        <w:bidi w:val="0"/>
        <w:spacing w:after="200" w:line="276" w:lineRule="auto"/>
        <w:rPr>
          <w:rFonts w:ascii="Tahoma" w:hAnsi="Tahoma" w:cs="Tahoma"/>
          <w:color w:val="0D0D0D" w:themeColor="text1" w:themeTint="F2"/>
          <w:sz w:val="18"/>
          <w:szCs w:val="18"/>
          <w:rtl/>
        </w:rPr>
      </w:pPr>
      <w:r>
        <w:rPr>
          <w:rtl/>
        </w:rPr>
        <w:br w:type="page"/>
      </w:r>
    </w:p>
    <w:p w:rsidR="00C149B0" w:rsidRPr="00B431F9" w:rsidP="00B431F9" w14:paraId="4B605A26" w14:textId="0762904B">
      <w:pPr>
        <w:pStyle w:val="7392"/>
        <w:rPr>
          <w:rtl/>
        </w:rPr>
      </w:pPr>
      <w:r w:rsidRPr="00B431F9">
        <w:rPr>
          <w:rFonts w:hint="cs"/>
          <w:rtl/>
        </w:rPr>
        <w:t>להלן מוצגת בלוח תקופת כהונתם של הדירקטורים שכיהנו ברפאל נכון ל-30.6.22:</w:t>
      </w:r>
    </w:p>
    <w:p w:rsidR="00C149B0" w:rsidRPr="00B431F9" w:rsidP="00B431F9" w14:paraId="29E465DF" w14:textId="77777777">
      <w:pPr>
        <w:pStyle w:val="734"/>
        <w:rPr>
          <w:rtl/>
        </w:rPr>
      </w:pPr>
      <w:r w:rsidRPr="00B431F9">
        <w:rPr>
          <w:rFonts w:hint="cs"/>
          <w:b w:val="0"/>
          <w:bCs w:val="0"/>
          <w:rtl/>
        </w:rPr>
        <w:t>לוח 9:</w:t>
      </w:r>
      <w:r w:rsidRPr="00B431F9">
        <w:rPr>
          <w:rFonts w:hint="cs"/>
          <w:rtl/>
        </w:rPr>
        <w:t xml:space="preserve"> תקופת כהונתם של הדירקטורים בדירקטוריון רפאל נכון ל-30.6.22</w:t>
      </w:r>
    </w:p>
    <w:tbl>
      <w:tblPr>
        <w:tblStyle w:val="TableGrid"/>
        <w:bidiVisual/>
        <w:tblW w:w="5000" w:type="pct"/>
        <w:jc w:val="center"/>
        <w:tblBorders>
          <w:top w:val="none" w:sz="0" w:space="0" w:color="auto"/>
          <w:bottom w:val="none" w:sz="0" w:space="0" w:color="auto"/>
          <w:insideH w:val="none" w:sz="0" w:space="0" w:color="auto"/>
        </w:tblBorders>
        <w:shd w:val="clear" w:color="auto" w:fill="FFFFFF" w:themeFill="background1"/>
        <w:tblLook w:val="04A0"/>
      </w:tblPr>
      <w:tblGrid>
        <w:gridCol w:w="1966"/>
        <w:gridCol w:w="2134"/>
        <w:gridCol w:w="3260"/>
      </w:tblGrid>
      <w:tr w14:paraId="24BCAEF8" w14:textId="77777777" w:rsidTr="00122F6F">
        <w:tblPrEx>
          <w:tblW w:w="5000" w:type="pct"/>
          <w:jc w:val="center"/>
          <w:tblBorders>
            <w:top w:val="none" w:sz="0" w:space="0" w:color="auto"/>
            <w:bottom w:val="none" w:sz="0" w:space="0" w:color="auto"/>
            <w:insideH w:val="none" w:sz="0" w:space="0" w:color="auto"/>
          </w:tblBorders>
          <w:shd w:val="clear" w:color="auto" w:fill="FFFFFF" w:themeFill="background1"/>
          <w:tblLook w:val="04A0"/>
        </w:tblPrEx>
        <w:trPr>
          <w:jc w:val="center"/>
        </w:trPr>
        <w:tc>
          <w:tcPr>
            <w:tcW w:w="1335" w:type="pct"/>
            <w:shd w:val="clear" w:color="auto" w:fill="C8DCE4"/>
            <w:vAlign w:val="bottom"/>
          </w:tcPr>
          <w:p w:rsidR="00C149B0" w:rsidRPr="00B431F9" w:rsidP="00B431F9" w14:paraId="3A24EBF6" w14:textId="77777777">
            <w:pPr>
              <w:pStyle w:val="73R"/>
              <w:rPr>
                <w:b/>
                <w:bCs/>
                <w:rtl/>
              </w:rPr>
            </w:pPr>
            <w:r w:rsidRPr="00B431F9">
              <w:rPr>
                <w:rFonts w:hint="cs"/>
                <w:b/>
                <w:bCs/>
                <w:rtl/>
              </w:rPr>
              <w:t>דירקטור</w:t>
            </w:r>
          </w:p>
        </w:tc>
        <w:tc>
          <w:tcPr>
            <w:tcW w:w="1450" w:type="pct"/>
            <w:shd w:val="clear" w:color="auto" w:fill="C8DCE4"/>
            <w:vAlign w:val="bottom"/>
          </w:tcPr>
          <w:p w:rsidR="00C149B0" w:rsidRPr="00B431F9" w:rsidP="00B431F9" w14:paraId="357D0EF0" w14:textId="77777777">
            <w:pPr>
              <w:pStyle w:val="73R"/>
              <w:rPr>
                <w:b/>
                <w:bCs/>
                <w:rtl/>
              </w:rPr>
            </w:pPr>
            <w:r w:rsidRPr="00B431F9">
              <w:rPr>
                <w:rFonts w:hint="cs"/>
                <w:b/>
                <w:bCs/>
                <w:rtl/>
              </w:rPr>
              <w:t>תחילת כהונה</w:t>
            </w:r>
          </w:p>
        </w:tc>
        <w:tc>
          <w:tcPr>
            <w:tcW w:w="2216" w:type="pct"/>
            <w:shd w:val="clear" w:color="auto" w:fill="C8DCE4"/>
            <w:vAlign w:val="bottom"/>
          </w:tcPr>
          <w:p w:rsidR="00C149B0" w:rsidRPr="00B431F9" w:rsidP="00B431F9" w14:paraId="004CFE19" w14:textId="1EE8653B">
            <w:pPr>
              <w:pStyle w:val="73R"/>
              <w:rPr>
                <w:b/>
                <w:bCs/>
                <w:rtl/>
              </w:rPr>
            </w:pPr>
            <w:r w:rsidRPr="00B431F9">
              <w:rPr>
                <w:rFonts w:hint="cs"/>
                <w:b/>
                <w:bCs/>
                <w:rtl/>
              </w:rPr>
              <w:t>משך כהונה</w:t>
            </w:r>
            <w:r w:rsidR="00B431F9">
              <w:rPr>
                <w:b/>
                <w:bCs/>
              </w:rPr>
              <w:t xml:space="preserve"> </w:t>
            </w:r>
            <w:r w:rsidRPr="00B431F9">
              <w:rPr>
                <w:rFonts w:hint="cs"/>
                <w:b/>
                <w:bCs/>
                <w:rtl/>
              </w:rPr>
              <w:t>(שנים)</w:t>
            </w:r>
          </w:p>
        </w:tc>
      </w:tr>
      <w:tr w14:paraId="326F2017" w14:textId="77777777" w:rsidTr="00122F6F">
        <w:tblPrEx>
          <w:tblW w:w="5000" w:type="pct"/>
          <w:jc w:val="center"/>
          <w:shd w:val="clear" w:color="auto" w:fill="FFFFFF" w:themeFill="background1"/>
          <w:tblLook w:val="04A0"/>
        </w:tblPrEx>
        <w:trPr>
          <w:jc w:val="center"/>
        </w:trPr>
        <w:tc>
          <w:tcPr>
            <w:tcW w:w="1335" w:type="pct"/>
            <w:shd w:val="clear" w:color="auto" w:fill="DFECEF"/>
          </w:tcPr>
          <w:p w:rsidR="00C149B0" w:rsidRPr="00B431F9" w:rsidP="00B431F9" w14:paraId="7591282C" w14:textId="77777777">
            <w:pPr>
              <w:pStyle w:val="73R"/>
              <w:rPr>
                <w:rtl/>
              </w:rPr>
            </w:pPr>
            <w:r w:rsidRPr="00B431F9">
              <w:rPr>
                <w:rFonts w:hint="cs"/>
                <w:rtl/>
              </w:rPr>
              <w:t>1</w:t>
            </w:r>
          </w:p>
        </w:tc>
        <w:tc>
          <w:tcPr>
            <w:tcW w:w="1450" w:type="pct"/>
            <w:shd w:val="clear" w:color="auto" w:fill="DFECEF"/>
          </w:tcPr>
          <w:p w:rsidR="00C149B0" w:rsidRPr="00B431F9" w:rsidP="00B431F9" w14:paraId="5CBF2488" w14:textId="77777777">
            <w:pPr>
              <w:pStyle w:val="73R"/>
              <w:rPr>
                <w:rtl/>
              </w:rPr>
            </w:pPr>
            <w:r w:rsidRPr="00B431F9">
              <w:rPr>
                <w:rFonts w:hint="cs"/>
                <w:rtl/>
              </w:rPr>
              <w:t>11.1.17</w:t>
            </w:r>
          </w:p>
        </w:tc>
        <w:tc>
          <w:tcPr>
            <w:tcW w:w="2216" w:type="pct"/>
            <w:shd w:val="clear" w:color="auto" w:fill="DFECEF"/>
            <w:vAlign w:val="bottom"/>
          </w:tcPr>
          <w:p w:rsidR="00C149B0" w:rsidRPr="00B431F9" w:rsidP="00B431F9" w14:paraId="2BE95BAF" w14:textId="77777777">
            <w:pPr>
              <w:pStyle w:val="73R"/>
              <w:rPr>
                <w:rtl/>
              </w:rPr>
            </w:pPr>
            <w:r w:rsidRPr="00B431F9">
              <w:t>5.5</w:t>
            </w:r>
          </w:p>
        </w:tc>
      </w:tr>
      <w:tr w14:paraId="28B3B88B" w14:textId="77777777" w:rsidTr="00122F6F">
        <w:tblPrEx>
          <w:tblW w:w="5000" w:type="pct"/>
          <w:jc w:val="center"/>
          <w:shd w:val="clear" w:color="auto" w:fill="FFFFFF" w:themeFill="background1"/>
          <w:tblLook w:val="04A0"/>
        </w:tblPrEx>
        <w:trPr>
          <w:jc w:val="center"/>
        </w:trPr>
        <w:tc>
          <w:tcPr>
            <w:tcW w:w="1335" w:type="pct"/>
            <w:shd w:val="clear" w:color="auto" w:fill="F0F8F9"/>
          </w:tcPr>
          <w:p w:rsidR="00C149B0" w:rsidRPr="00B431F9" w:rsidP="00B431F9" w14:paraId="6C2EF230" w14:textId="77777777">
            <w:pPr>
              <w:pStyle w:val="73R"/>
              <w:rPr>
                <w:rtl/>
              </w:rPr>
            </w:pPr>
            <w:r w:rsidRPr="00B431F9">
              <w:rPr>
                <w:rFonts w:hint="cs"/>
                <w:rtl/>
              </w:rPr>
              <w:t>2</w:t>
            </w:r>
          </w:p>
        </w:tc>
        <w:tc>
          <w:tcPr>
            <w:tcW w:w="1450" w:type="pct"/>
            <w:shd w:val="clear" w:color="auto" w:fill="F0F8F9"/>
          </w:tcPr>
          <w:p w:rsidR="00C149B0" w:rsidRPr="00B431F9" w:rsidP="00B431F9" w14:paraId="600E017D" w14:textId="77777777">
            <w:pPr>
              <w:pStyle w:val="73R"/>
              <w:rPr>
                <w:rtl/>
              </w:rPr>
            </w:pPr>
            <w:r w:rsidRPr="00B431F9">
              <w:rPr>
                <w:rFonts w:hint="cs"/>
                <w:rtl/>
              </w:rPr>
              <w:t>19.8.18</w:t>
            </w:r>
          </w:p>
        </w:tc>
        <w:tc>
          <w:tcPr>
            <w:tcW w:w="2216" w:type="pct"/>
            <w:shd w:val="clear" w:color="auto" w:fill="F0F8F9"/>
            <w:vAlign w:val="bottom"/>
          </w:tcPr>
          <w:p w:rsidR="00C149B0" w:rsidRPr="00B431F9" w:rsidP="00B431F9" w14:paraId="145C018A" w14:textId="77777777">
            <w:pPr>
              <w:pStyle w:val="73R"/>
              <w:rPr>
                <w:rtl/>
              </w:rPr>
            </w:pPr>
            <w:r w:rsidRPr="00B431F9">
              <w:t>3.9</w:t>
            </w:r>
            <w:r w:rsidRPr="00122F6F">
              <w:rPr>
                <w:vertAlign w:val="superscript"/>
                <w:rtl/>
              </w:rPr>
              <w:t>(1)</w:t>
            </w:r>
          </w:p>
        </w:tc>
      </w:tr>
      <w:tr w14:paraId="555F8B2B" w14:textId="77777777" w:rsidTr="00122F6F">
        <w:tblPrEx>
          <w:tblW w:w="5000" w:type="pct"/>
          <w:jc w:val="center"/>
          <w:shd w:val="clear" w:color="auto" w:fill="FFFFFF" w:themeFill="background1"/>
          <w:tblLook w:val="04A0"/>
        </w:tblPrEx>
        <w:trPr>
          <w:jc w:val="center"/>
        </w:trPr>
        <w:tc>
          <w:tcPr>
            <w:tcW w:w="1335" w:type="pct"/>
            <w:shd w:val="clear" w:color="auto" w:fill="DFECEF"/>
          </w:tcPr>
          <w:p w:rsidR="00C149B0" w:rsidRPr="00B431F9" w:rsidP="00B431F9" w14:paraId="11BB62D2" w14:textId="77777777">
            <w:pPr>
              <w:pStyle w:val="73R"/>
              <w:rPr>
                <w:rtl/>
              </w:rPr>
            </w:pPr>
            <w:r w:rsidRPr="00B431F9">
              <w:rPr>
                <w:rFonts w:hint="cs"/>
                <w:rtl/>
              </w:rPr>
              <w:t>3</w:t>
            </w:r>
          </w:p>
        </w:tc>
        <w:tc>
          <w:tcPr>
            <w:tcW w:w="1450" w:type="pct"/>
            <w:shd w:val="clear" w:color="auto" w:fill="DFECEF"/>
          </w:tcPr>
          <w:p w:rsidR="00C149B0" w:rsidRPr="00B431F9" w:rsidP="00B431F9" w14:paraId="5CCAE037" w14:textId="77777777">
            <w:pPr>
              <w:pStyle w:val="73R"/>
              <w:rPr>
                <w:rtl/>
              </w:rPr>
            </w:pPr>
            <w:r w:rsidRPr="00B431F9">
              <w:rPr>
                <w:rFonts w:hint="cs"/>
                <w:rtl/>
              </w:rPr>
              <w:t>19.8.18</w:t>
            </w:r>
          </w:p>
        </w:tc>
        <w:tc>
          <w:tcPr>
            <w:tcW w:w="2216" w:type="pct"/>
            <w:shd w:val="clear" w:color="auto" w:fill="DFECEF"/>
            <w:vAlign w:val="bottom"/>
          </w:tcPr>
          <w:p w:rsidR="00C149B0" w:rsidRPr="00B431F9" w:rsidP="00B431F9" w14:paraId="6E087438" w14:textId="77777777">
            <w:pPr>
              <w:pStyle w:val="73R"/>
              <w:rPr>
                <w:rtl/>
              </w:rPr>
            </w:pPr>
            <w:r w:rsidRPr="00B431F9">
              <w:t>3.9</w:t>
            </w:r>
            <w:r w:rsidRPr="00122F6F">
              <w:rPr>
                <w:vertAlign w:val="superscript"/>
                <w:rtl/>
              </w:rPr>
              <w:t>(1)</w:t>
            </w:r>
          </w:p>
        </w:tc>
      </w:tr>
      <w:tr w14:paraId="29592F51" w14:textId="77777777" w:rsidTr="00122F6F">
        <w:tblPrEx>
          <w:tblW w:w="5000" w:type="pct"/>
          <w:jc w:val="center"/>
          <w:shd w:val="clear" w:color="auto" w:fill="FFFFFF" w:themeFill="background1"/>
          <w:tblLook w:val="04A0"/>
        </w:tblPrEx>
        <w:trPr>
          <w:jc w:val="center"/>
        </w:trPr>
        <w:tc>
          <w:tcPr>
            <w:tcW w:w="1335" w:type="pct"/>
            <w:shd w:val="clear" w:color="auto" w:fill="F0F8F9"/>
          </w:tcPr>
          <w:p w:rsidR="00C149B0" w:rsidRPr="00B431F9" w:rsidP="00B431F9" w14:paraId="4D6AD027" w14:textId="77777777">
            <w:pPr>
              <w:pStyle w:val="73R"/>
              <w:rPr>
                <w:rtl/>
              </w:rPr>
            </w:pPr>
            <w:r w:rsidRPr="00B431F9">
              <w:rPr>
                <w:rFonts w:hint="cs"/>
                <w:rtl/>
              </w:rPr>
              <w:t>4</w:t>
            </w:r>
          </w:p>
        </w:tc>
        <w:tc>
          <w:tcPr>
            <w:tcW w:w="1450" w:type="pct"/>
            <w:shd w:val="clear" w:color="auto" w:fill="F0F8F9"/>
          </w:tcPr>
          <w:p w:rsidR="00C149B0" w:rsidRPr="00B431F9" w:rsidP="00B431F9" w14:paraId="15C058B7" w14:textId="77777777">
            <w:pPr>
              <w:pStyle w:val="73R"/>
              <w:rPr>
                <w:rtl/>
              </w:rPr>
            </w:pPr>
            <w:r w:rsidRPr="00B431F9">
              <w:rPr>
                <w:rFonts w:hint="cs"/>
                <w:rtl/>
              </w:rPr>
              <w:t>12.11.18</w:t>
            </w:r>
          </w:p>
        </w:tc>
        <w:tc>
          <w:tcPr>
            <w:tcW w:w="2216" w:type="pct"/>
            <w:shd w:val="clear" w:color="auto" w:fill="F0F8F9"/>
            <w:vAlign w:val="bottom"/>
          </w:tcPr>
          <w:p w:rsidR="00C149B0" w:rsidRPr="00B431F9" w:rsidP="00B431F9" w14:paraId="0F181137" w14:textId="77777777">
            <w:pPr>
              <w:pStyle w:val="73R"/>
              <w:rPr>
                <w:rtl/>
              </w:rPr>
            </w:pPr>
            <w:r w:rsidRPr="00B431F9">
              <w:t>3.6</w:t>
            </w:r>
            <w:r w:rsidRPr="00122F6F">
              <w:rPr>
                <w:vertAlign w:val="superscript"/>
                <w:rtl/>
              </w:rPr>
              <w:t>(2)</w:t>
            </w:r>
          </w:p>
        </w:tc>
      </w:tr>
      <w:tr w14:paraId="11D4893F" w14:textId="77777777" w:rsidTr="00122F6F">
        <w:tblPrEx>
          <w:tblW w:w="5000" w:type="pct"/>
          <w:jc w:val="center"/>
          <w:shd w:val="clear" w:color="auto" w:fill="FFFFFF" w:themeFill="background1"/>
          <w:tblLook w:val="04A0"/>
        </w:tblPrEx>
        <w:trPr>
          <w:jc w:val="center"/>
        </w:trPr>
        <w:tc>
          <w:tcPr>
            <w:tcW w:w="1335" w:type="pct"/>
            <w:shd w:val="clear" w:color="auto" w:fill="DFECEF"/>
          </w:tcPr>
          <w:p w:rsidR="00C149B0" w:rsidRPr="00B431F9" w:rsidP="00B431F9" w14:paraId="5D790313" w14:textId="77777777">
            <w:pPr>
              <w:pStyle w:val="73R"/>
              <w:rPr>
                <w:rtl/>
              </w:rPr>
            </w:pPr>
            <w:r w:rsidRPr="00B431F9">
              <w:rPr>
                <w:rFonts w:hint="cs"/>
                <w:rtl/>
              </w:rPr>
              <w:t>5</w:t>
            </w:r>
          </w:p>
        </w:tc>
        <w:tc>
          <w:tcPr>
            <w:tcW w:w="1450" w:type="pct"/>
            <w:shd w:val="clear" w:color="auto" w:fill="DFECEF"/>
          </w:tcPr>
          <w:p w:rsidR="00C149B0" w:rsidRPr="00B431F9" w:rsidP="00B431F9" w14:paraId="0677E924" w14:textId="77777777">
            <w:pPr>
              <w:pStyle w:val="73R"/>
              <w:rPr>
                <w:rtl/>
              </w:rPr>
            </w:pPr>
            <w:r w:rsidRPr="00B431F9">
              <w:rPr>
                <w:rFonts w:hint="cs"/>
                <w:rtl/>
              </w:rPr>
              <w:t>29.1.19</w:t>
            </w:r>
          </w:p>
        </w:tc>
        <w:tc>
          <w:tcPr>
            <w:tcW w:w="2216" w:type="pct"/>
            <w:shd w:val="clear" w:color="auto" w:fill="DFECEF"/>
            <w:vAlign w:val="bottom"/>
          </w:tcPr>
          <w:p w:rsidR="00C149B0" w:rsidRPr="00B431F9" w:rsidP="00B431F9" w14:paraId="4137B982" w14:textId="77777777">
            <w:pPr>
              <w:pStyle w:val="73R"/>
              <w:rPr>
                <w:rtl/>
              </w:rPr>
            </w:pPr>
            <w:r w:rsidRPr="00B431F9">
              <w:t>3.4</w:t>
            </w:r>
            <w:r w:rsidRPr="00122F6F">
              <w:rPr>
                <w:vertAlign w:val="superscript"/>
                <w:rtl/>
              </w:rPr>
              <w:t>(3)</w:t>
            </w:r>
          </w:p>
        </w:tc>
      </w:tr>
      <w:tr w14:paraId="4C1C9C84" w14:textId="77777777" w:rsidTr="00122F6F">
        <w:tblPrEx>
          <w:tblW w:w="5000" w:type="pct"/>
          <w:jc w:val="center"/>
          <w:shd w:val="clear" w:color="auto" w:fill="FFFFFF" w:themeFill="background1"/>
          <w:tblLook w:val="04A0"/>
        </w:tblPrEx>
        <w:trPr>
          <w:jc w:val="center"/>
        </w:trPr>
        <w:tc>
          <w:tcPr>
            <w:tcW w:w="1335" w:type="pct"/>
            <w:shd w:val="clear" w:color="auto" w:fill="F0F8F9"/>
          </w:tcPr>
          <w:p w:rsidR="00C149B0" w:rsidRPr="00B431F9" w:rsidP="00B431F9" w14:paraId="21A1E146" w14:textId="77777777">
            <w:pPr>
              <w:pStyle w:val="73R"/>
              <w:rPr>
                <w:rtl/>
              </w:rPr>
            </w:pPr>
            <w:r w:rsidRPr="00B431F9">
              <w:rPr>
                <w:rFonts w:hint="cs"/>
                <w:rtl/>
              </w:rPr>
              <w:t>6</w:t>
            </w:r>
          </w:p>
        </w:tc>
        <w:tc>
          <w:tcPr>
            <w:tcW w:w="1450" w:type="pct"/>
            <w:shd w:val="clear" w:color="auto" w:fill="F0F8F9"/>
          </w:tcPr>
          <w:p w:rsidR="00C149B0" w:rsidRPr="00B431F9" w:rsidP="00B431F9" w14:paraId="5A4BF46C" w14:textId="77777777">
            <w:pPr>
              <w:pStyle w:val="73R"/>
              <w:rPr>
                <w:rtl/>
              </w:rPr>
            </w:pPr>
            <w:r w:rsidRPr="00B431F9">
              <w:rPr>
                <w:rFonts w:hint="cs"/>
                <w:rtl/>
              </w:rPr>
              <w:t>16.2.22</w:t>
            </w:r>
          </w:p>
        </w:tc>
        <w:tc>
          <w:tcPr>
            <w:tcW w:w="2216" w:type="pct"/>
            <w:shd w:val="clear" w:color="auto" w:fill="F0F8F9"/>
            <w:vAlign w:val="bottom"/>
          </w:tcPr>
          <w:p w:rsidR="00C149B0" w:rsidRPr="00B431F9" w:rsidP="00B431F9" w14:paraId="2EECC3B4" w14:textId="77777777">
            <w:pPr>
              <w:pStyle w:val="73R"/>
              <w:rPr>
                <w:rtl/>
              </w:rPr>
            </w:pPr>
            <w:r w:rsidRPr="00B431F9">
              <w:t>0.4</w:t>
            </w:r>
          </w:p>
        </w:tc>
      </w:tr>
    </w:tbl>
    <w:p w:rsidR="00C149B0" w:rsidRPr="00D94367" w:rsidP="00B431F9" w14:paraId="00AD62C7" w14:textId="77777777">
      <w:pPr>
        <w:pStyle w:val="738"/>
        <w:spacing w:after="0"/>
        <w:rPr>
          <w:rtl/>
        </w:rPr>
      </w:pPr>
      <w:r w:rsidRPr="00D94367">
        <w:rPr>
          <w:rFonts w:hint="cs"/>
          <w:rtl/>
        </w:rPr>
        <w:t>לפי מסמכי רפאל, בעיבוד משרד מבקר המדינה.</w:t>
      </w:r>
    </w:p>
    <w:p w:rsidR="00C149B0" w:rsidRPr="00D94367" w:rsidP="00B431F9" w14:paraId="16B31236" w14:textId="77777777">
      <w:pPr>
        <w:pStyle w:val="738"/>
        <w:spacing w:before="0" w:after="0"/>
        <w:rPr>
          <w:rtl/>
        </w:rPr>
      </w:pPr>
      <w:r w:rsidRPr="00D94367">
        <w:rPr>
          <w:rFonts w:hint="cs"/>
          <w:rtl/>
        </w:rPr>
        <w:t>(1)</w:t>
      </w:r>
      <w:r w:rsidRPr="00D94367">
        <w:rPr>
          <w:rFonts w:hint="cs"/>
          <w:sz w:val="18"/>
          <w:szCs w:val="22"/>
          <w:rtl/>
        </w:rPr>
        <w:t xml:space="preserve"> </w:t>
      </w:r>
      <w:r w:rsidRPr="00D94367">
        <w:rPr>
          <w:rFonts w:hint="cs"/>
          <w:rtl/>
        </w:rPr>
        <w:t>פרט לתקופה שבין 19.8.21 ל-24.10.21.</w:t>
      </w:r>
    </w:p>
    <w:p w:rsidR="00C149B0" w:rsidRPr="00D94367" w:rsidP="00B431F9" w14:paraId="6ECE51A5" w14:textId="77777777">
      <w:pPr>
        <w:pStyle w:val="738"/>
        <w:spacing w:before="0" w:after="0"/>
        <w:rPr>
          <w:rtl/>
        </w:rPr>
      </w:pPr>
      <w:r w:rsidRPr="00D94367">
        <w:rPr>
          <w:rFonts w:hint="cs"/>
          <w:rtl/>
        </w:rPr>
        <w:t>(2)</w:t>
      </w:r>
      <w:r w:rsidRPr="00D94367">
        <w:rPr>
          <w:sz w:val="18"/>
          <w:szCs w:val="22"/>
          <w:rtl/>
        </w:rPr>
        <w:t xml:space="preserve"> </w:t>
      </w:r>
      <w:r w:rsidRPr="00D94367">
        <w:rPr>
          <w:rtl/>
        </w:rPr>
        <w:t>פרט לתקופה</w:t>
      </w:r>
      <w:r w:rsidRPr="00D94367">
        <w:rPr>
          <w:rFonts w:hint="cs"/>
          <w:rtl/>
        </w:rPr>
        <w:t xml:space="preserve"> שבין</w:t>
      </w:r>
      <w:r w:rsidRPr="00D94367">
        <w:rPr>
          <w:rtl/>
        </w:rPr>
        <w:t xml:space="preserve"> 12.11.21</w:t>
      </w:r>
      <w:r w:rsidRPr="00D94367">
        <w:rPr>
          <w:rFonts w:hint="cs"/>
          <w:rtl/>
        </w:rPr>
        <w:t xml:space="preserve"> ל-</w:t>
      </w:r>
      <w:r w:rsidRPr="00D94367">
        <w:rPr>
          <w:rtl/>
        </w:rPr>
        <w:t>16.1.22</w:t>
      </w:r>
      <w:r w:rsidRPr="00D94367">
        <w:rPr>
          <w:rFonts w:hint="cs"/>
          <w:rtl/>
        </w:rPr>
        <w:t>.</w:t>
      </w:r>
    </w:p>
    <w:p w:rsidR="00C149B0" w:rsidP="00B431F9" w14:paraId="7C1F1CD6" w14:textId="77777777">
      <w:pPr>
        <w:pStyle w:val="738"/>
        <w:spacing w:before="0"/>
        <w:rPr>
          <w:rtl/>
        </w:rPr>
      </w:pPr>
      <w:r w:rsidRPr="00D94367">
        <w:rPr>
          <w:rFonts w:hint="cs"/>
          <w:rtl/>
        </w:rPr>
        <w:t>(3)</w:t>
      </w:r>
      <w:r w:rsidRPr="00D94367">
        <w:rPr>
          <w:sz w:val="18"/>
          <w:szCs w:val="22"/>
          <w:rtl/>
        </w:rPr>
        <w:t xml:space="preserve"> </w:t>
      </w:r>
      <w:r w:rsidRPr="00D94367">
        <w:rPr>
          <w:rtl/>
        </w:rPr>
        <w:t>פרט לתקופה</w:t>
      </w:r>
      <w:r w:rsidRPr="00D94367">
        <w:rPr>
          <w:rFonts w:hint="cs"/>
          <w:rtl/>
        </w:rPr>
        <w:t xml:space="preserve"> שבין </w:t>
      </w:r>
      <w:r w:rsidRPr="00D94367">
        <w:rPr>
          <w:rtl/>
        </w:rPr>
        <w:t>29.1.22</w:t>
      </w:r>
      <w:r w:rsidRPr="00D94367">
        <w:rPr>
          <w:rFonts w:hint="cs"/>
          <w:rtl/>
        </w:rPr>
        <w:t xml:space="preserve"> ל-</w:t>
      </w:r>
      <w:r w:rsidRPr="00D94367">
        <w:rPr>
          <w:rtl/>
        </w:rPr>
        <w:t>20.3.22</w:t>
      </w:r>
      <w:r w:rsidRPr="00D94367">
        <w:rPr>
          <w:rFonts w:hint="cs"/>
          <w:rtl/>
        </w:rPr>
        <w:t>.</w:t>
      </w:r>
    </w:p>
    <w:p w:rsidR="00C149B0" w:rsidRPr="00B431F9" w:rsidP="00B431F9" w14:paraId="50A249EF" w14:textId="77777777">
      <w:pPr>
        <w:pStyle w:val="73414"/>
        <w:rPr>
          <w:rtl/>
        </w:rPr>
      </w:pPr>
      <w:r w:rsidRPr="00B431F9">
        <w:rPr>
          <w:rFonts w:hint="cs"/>
          <w:rtl/>
        </w:rPr>
        <w:t>ועדות הדירקטוריון</w:t>
      </w:r>
    </w:p>
    <w:p w:rsidR="00C149B0" w:rsidRPr="00D94367" w:rsidP="00B431F9" w14:paraId="7CFB29F7" w14:textId="77777777">
      <w:pPr>
        <w:pStyle w:val="7392"/>
        <w:rPr>
          <w:rtl/>
        </w:rPr>
      </w:pPr>
      <w:r w:rsidRPr="00D94367">
        <w:rPr>
          <w:rFonts w:hint="cs"/>
          <w:rtl/>
        </w:rPr>
        <w:t>בחוק החברות הממשלתיות נקבע כי הדירקטוריון רשאי להקים מבין חבריו ועדות קבועות או לעניין מסוים; כי סיכומיה של ועדת דירקטוריון יהיו בבחינת המלצות לדירקטוריון, והוא רשאי לאמצם, לשנותם, או לדחותם; וכי על דירקטוריון של חברה</w:t>
      </w:r>
      <w:r>
        <w:rPr>
          <w:rFonts w:hint="cs"/>
          <w:rtl/>
        </w:rPr>
        <w:t xml:space="preserve"> </w:t>
      </w:r>
      <w:r w:rsidRPr="00D94367">
        <w:rPr>
          <w:rFonts w:hint="cs"/>
          <w:rtl/>
        </w:rPr>
        <w:t>ממשלתית למנות ועדת ביקורת</w:t>
      </w:r>
      <w:r>
        <w:rPr>
          <w:rStyle w:val="FootnoteReference0"/>
          <w:rtl/>
        </w:rPr>
        <w:footnoteReference w:id="127"/>
      </w:r>
      <w:r w:rsidRPr="00D94367">
        <w:rPr>
          <w:rFonts w:hint="cs"/>
          <w:rtl/>
        </w:rPr>
        <w:t xml:space="preserve"> מבין חבריו שמספר חבריה לא יפחת משלושה. בנוהל רפאל בנושא ממשל תאגידי</w:t>
      </w:r>
      <w:r>
        <w:rPr>
          <w:rStyle w:val="FootnoteReference0"/>
          <w:rtl/>
        </w:rPr>
        <w:footnoteReference w:id="128"/>
      </w:r>
      <w:r w:rsidRPr="00D94367">
        <w:rPr>
          <w:rFonts w:hint="cs"/>
          <w:rtl/>
        </w:rPr>
        <w:t xml:space="preserve"> (להלן - נוהל ממשל תאגידי) נקבע כי ככלל לא יפחת מספר חברי כל ועדה משלושה,</w:t>
      </w:r>
      <w:r w:rsidRPr="00D94367">
        <w:rPr>
          <w:rFonts w:ascii="David" w:hAnsi="David" w:hint="cs"/>
          <w:sz w:val="24"/>
          <w:rtl/>
        </w:rPr>
        <w:t xml:space="preserve"> וכי המניין החוקי </w:t>
      </w:r>
      <w:r>
        <w:rPr>
          <w:rFonts w:ascii="David" w:hAnsi="David" w:hint="cs"/>
          <w:sz w:val="24"/>
          <w:rtl/>
        </w:rPr>
        <w:t>של כל</w:t>
      </w:r>
      <w:r w:rsidRPr="00D94367">
        <w:rPr>
          <w:rFonts w:ascii="David" w:hAnsi="David" w:hint="cs"/>
          <w:sz w:val="24"/>
          <w:rtl/>
        </w:rPr>
        <w:t xml:space="preserve"> ועדה יהיה רוב חבריה;</w:t>
      </w:r>
      <w:r w:rsidRPr="00D94367">
        <w:rPr>
          <w:rFonts w:hint="cs"/>
          <w:rtl/>
        </w:rPr>
        <w:t xml:space="preserve"> וכן כי הדירקטוריון יגדיר את תחומי הטיפול והאחריות של כל ועדה. </w:t>
      </w:r>
    </w:p>
    <w:p w:rsidR="00C149B0" w:rsidRPr="00D94367" w:rsidP="00B431F9" w14:paraId="4A85E842" w14:textId="77777777">
      <w:pPr>
        <w:pStyle w:val="7392"/>
        <w:rPr>
          <w:b/>
          <w:bCs/>
          <w:rtl/>
        </w:rPr>
      </w:pPr>
      <w:r w:rsidRPr="00D94367">
        <w:rPr>
          <w:rFonts w:hint="cs"/>
          <w:rtl/>
        </w:rPr>
        <w:t xml:space="preserve">נוכח ההיקף הנרחב של פעילות דירקטוריון רפאל, עבודתו נעשית בחלקה במסגרת ועדות דירקטוריון. להלן נתונים </w:t>
      </w:r>
      <w:r>
        <w:rPr>
          <w:rFonts w:hint="cs"/>
          <w:rtl/>
        </w:rPr>
        <w:t>על</w:t>
      </w:r>
      <w:r w:rsidRPr="00D94367">
        <w:rPr>
          <w:rFonts w:hint="cs"/>
          <w:rtl/>
        </w:rPr>
        <w:t xml:space="preserve"> מספר הישיבות שקיים דירקטוריון החברה בשנים </w:t>
      </w:r>
      <w:r>
        <w:rPr>
          <w:rtl/>
        </w:rPr>
        <w:br/>
      </w:r>
      <w:r w:rsidRPr="00D94367">
        <w:rPr>
          <w:rFonts w:hint="cs"/>
          <w:rtl/>
        </w:rPr>
        <w:t>2017 - 2021, לרבות במסגרת ועדותיו</w:t>
      </w:r>
      <w:r w:rsidRPr="00D94367">
        <w:rPr>
          <w:rFonts w:hint="cs"/>
          <w:b/>
          <w:bCs/>
          <w:rtl/>
        </w:rPr>
        <w:t>:</w:t>
      </w:r>
    </w:p>
    <w:p w:rsidR="00122F6F" w14:paraId="154FE001" w14:textId="77777777">
      <w:pPr>
        <w:bidi w:val="0"/>
        <w:spacing w:after="200" w:line="276" w:lineRule="auto"/>
        <w:rPr>
          <w:rFonts w:ascii="Tahoma" w:hAnsi="Tahoma" w:eastAsiaTheme="minorEastAsia" w:cs="Tahoma"/>
          <w:color w:val="0D0D0D" w:themeColor="text1" w:themeTint="F2"/>
          <w:szCs w:val="20"/>
          <w:rtl/>
        </w:rPr>
      </w:pPr>
      <w:r>
        <w:rPr>
          <w:b/>
          <w:bCs/>
          <w:rtl/>
        </w:rPr>
        <w:br w:type="page"/>
      </w:r>
    </w:p>
    <w:p w:rsidR="00C149B0" w:rsidRPr="00B431F9" w:rsidP="00B431F9" w14:paraId="0E2C0BD0" w14:textId="298CB030">
      <w:pPr>
        <w:pStyle w:val="734"/>
        <w:rPr>
          <w:rtl/>
        </w:rPr>
      </w:pPr>
      <w:r w:rsidRPr="00B431F9">
        <w:rPr>
          <w:rFonts w:hint="cs"/>
          <w:b w:val="0"/>
          <w:bCs w:val="0"/>
          <w:rtl/>
        </w:rPr>
        <w:t>לוח 10:</w:t>
      </w:r>
      <w:r w:rsidRPr="00B431F9">
        <w:rPr>
          <w:rFonts w:hint="cs"/>
          <w:rtl/>
        </w:rPr>
        <w:t xml:space="preserve"> מספר ישיבות הדירקטוריון וועדותיו בשנים 2017 - 2021</w:t>
      </w:r>
    </w:p>
    <w:tbl>
      <w:tblPr>
        <w:bidiVisual/>
        <w:tblW w:w="7364" w:type="dxa"/>
        <w:tblBorders>
          <w:left w:val="single" w:sz="4" w:space="0" w:color="000000" w:themeColor="text1"/>
          <w:right w:val="single" w:sz="4" w:space="0" w:color="000000" w:themeColor="text1"/>
          <w:insideV w:val="single" w:sz="4" w:space="0" w:color="000000" w:themeColor="text1"/>
        </w:tblBorders>
        <w:tblLook w:val="04A0"/>
      </w:tblPr>
      <w:tblGrid>
        <w:gridCol w:w="2118"/>
        <w:gridCol w:w="709"/>
        <w:gridCol w:w="850"/>
        <w:gridCol w:w="851"/>
        <w:gridCol w:w="723"/>
        <w:gridCol w:w="709"/>
        <w:gridCol w:w="1404"/>
      </w:tblGrid>
      <w:tr w14:paraId="05C293A7" w14:textId="77777777" w:rsidTr="00B431F9">
        <w:tblPrEx>
          <w:tblW w:w="7364" w:type="dxa"/>
          <w:tblBorders>
            <w:left w:val="single" w:sz="4" w:space="0" w:color="000000" w:themeColor="text1"/>
            <w:right w:val="single" w:sz="4" w:space="0" w:color="000000" w:themeColor="text1"/>
            <w:insideV w:val="single" w:sz="4" w:space="0" w:color="000000" w:themeColor="text1"/>
          </w:tblBorders>
          <w:tblLook w:val="04A0"/>
        </w:tblPrEx>
        <w:trPr>
          <w:trHeight w:val="300"/>
        </w:trPr>
        <w:tc>
          <w:tcPr>
            <w:tcW w:w="2118" w:type="dxa"/>
            <w:shd w:val="clear" w:color="auto" w:fill="C8DCE4"/>
            <w:noWrap/>
            <w:vAlign w:val="bottom"/>
            <w:hideMark/>
          </w:tcPr>
          <w:p w:rsidR="00C149B0" w:rsidRPr="00B431F9" w:rsidP="00B431F9" w14:paraId="4ACDEA40" w14:textId="77777777">
            <w:pPr>
              <w:pStyle w:val="73R"/>
              <w:rPr>
                <w:b/>
                <w:bCs/>
              </w:rPr>
            </w:pPr>
          </w:p>
        </w:tc>
        <w:tc>
          <w:tcPr>
            <w:tcW w:w="709" w:type="dxa"/>
            <w:shd w:val="clear" w:color="auto" w:fill="C8DCE4"/>
            <w:noWrap/>
            <w:vAlign w:val="bottom"/>
            <w:hideMark/>
          </w:tcPr>
          <w:p w:rsidR="00C149B0" w:rsidRPr="00B431F9" w:rsidP="00B431F9" w14:paraId="58A08239" w14:textId="77777777">
            <w:pPr>
              <w:pStyle w:val="73R"/>
              <w:rPr>
                <w:b/>
                <w:bCs/>
              </w:rPr>
            </w:pPr>
            <w:r w:rsidRPr="00B431F9">
              <w:rPr>
                <w:b/>
                <w:bCs/>
              </w:rPr>
              <w:t>2017</w:t>
            </w:r>
          </w:p>
        </w:tc>
        <w:tc>
          <w:tcPr>
            <w:tcW w:w="850" w:type="dxa"/>
            <w:shd w:val="clear" w:color="auto" w:fill="C8DCE4"/>
            <w:noWrap/>
            <w:vAlign w:val="bottom"/>
            <w:hideMark/>
          </w:tcPr>
          <w:p w:rsidR="00C149B0" w:rsidRPr="00B431F9" w:rsidP="00B431F9" w14:paraId="20B0B0E8" w14:textId="77777777">
            <w:pPr>
              <w:pStyle w:val="73R"/>
              <w:rPr>
                <w:b/>
                <w:bCs/>
              </w:rPr>
            </w:pPr>
            <w:r w:rsidRPr="00B431F9">
              <w:rPr>
                <w:b/>
                <w:bCs/>
              </w:rPr>
              <w:t>2018</w:t>
            </w:r>
          </w:p>
        </w:tc>
        <w:tc>
          <w:tcPr>
            <w:tcW w:w="851" w:type="dxa"/>
            <w:shd w:val="clear" w:color="auto" w:fill="C8DCE4"/>
            <w:noWrap/>
            <w:vAlign w:val="bottom"/>
            <w:hideMark/>
          </w:tcPr>
          <w:p w:rsidR="00C149B0" w:rsidRPr="00B431F9" w:rsidP="00B431F9" w14:paraId="357F72D9" w14:textId="77777777">
            <w:pPr>
              <w:pStyle w:val="73R"/>
              <w:rPr>
                <w:b/>
                <w:bCs/>
              </w:rPr>
            </w:pPr>
            <w:r w:rsidRPr="00B431F9">
              <w:rPr>
                <w:b/>
                <w:bCs/>
              </w:rPr>
              <w:t>2019</w:t>
            </w:r>
          </w:p>
        </w:tc>
        <w:tc>
          <w:tcPr>
            <w:tcW w:w="723" w:type="dxa"/>
            <w:shd w:val="clear" w:color="auto" w:fill="C8DCE4"/>
            <w:noWrap/>
            <w:vAlign w:val="bottom"/>
            <w:hideMark/>
          </w:tcPr>
          <w:p w:rsidR="00C149B0" w:rsidRPr="00B431F9" w:rsidP="00B431F9" w14:paraId="7565BC01" w14:textId="77777777">
            <w:pPr>
              <w:pStyle w:val="73R"/>
              <w:rPr>
                <w:b/>
                <w:bCs/>
              </w:rPr>
            </w:pPr>
            <w:r w:rsidRPr="00B431F9">
              <w:rPr>
                <w:b/>
                <w:bCs/>
              </w:rPr>
              <w:t>2020</w:t>
            </w:r>
          </w:p>
        </w:tc>
        <w:tc>
          <w:tcPr>
            <w:tcW w:w="709" w:type="dxa"/>
            <w:shd w:val="clear" w:color="auto" w:fill="C8DCE4"/>
            <w:noWrap/>
            <w:vAlign w:val="bottom"/>
            <w:hideMark/>
          </w:tcPr>
          <w:p w:rsidR="00C149B0" w:rsidRPr="00B431F9" w:rsidP="00B431F9" w14:paraId="5AEA7603" w14:textId="77777777">
            <w:pPr>
              <w:pStyle w:val="73R"/>
              <w:rPr>
                <w:b/>
                <w:bCs/>
              </w:rPr>
            </w:pPr>
            <w:r w:rsidRPr="00B431F9">
              <w:rPr>
                <w:b/>
                <w:bCs/>
              </w:rPr>
              <w:t>2021</w:t>
            </w:r>
          </w:p>
        </w:tc>
        <w:tc>
          <w:tcPr>
            <w:tcW w:w="1404" w:type="dxa"/>
            <w:shd w:val="clear" w:color="auto" w:fill="C8DCE4"/>
            <w:vAlign w:val="bottom"/>
          </w:tcPr>
          <w:p w:rsidR="00C149B0" w:rsidRPr="00B431F9" w:rsidP="00B431F9" w14:paraId="6E56748F" w14:textId="32A08F2B">
            <w:pPr>
              <w:pStyle w:val="73R"/>
              <w:rPr>
                <w:b/>
                <w:bCs/>
              </w:rPr>
            </w:pPr>
            <w:r w:rsidRPr="00B431F9">
              <w:rPr>
                <w:rFonts w:hint="cs"/>
                <w:b/>
                <w:bCs/>
                <w:rtl/>
              </w:rPr>
              <w:t>ממוצע</w:t>
            </w:r>
            <w:r w:rsidRPr="00B431F9" w:rsidR="00B431F9">
              <w:rPr>
                <w:b/>
                <w:bCs/>
              </w:rPr>
              <w:br/>
            </w:r>
            <w:r w:rsidRPr="00B431F9">
              <w:rPr>
                <w:rFonts w:hint="cs"/>
                <w:b/>
                <w:bCs/>
                <w:rtl/>
              </w:rPr>
              <w:t>2017 - 2021</w:t>
            </w:r>
          </w:p>
        </w:tc>
      </w:tr>
      <w:tr w14:paraId="7D877667" w14:textId="77777777" w:rsidTr="00B431F9">
        <w:tblPrEx>
          <w:tblW w:w="7364" w:type="dxa"/>
          <w:tblLook w:val="04A0"/>
        </w:tblPrEx>
        <w:trPr>
          <w:trHeight w:val="285"/>
        </w:trPr>
        <w:tc>
          <w:tcPr>
            <w:tcW w:w="2118" w:type="dxa"/>
            <w:shd w:val="clear" w:color="auto" w:fill="DFECEF"/>
            <w:noWrap/>
            <w:vAlign w:val="bottom"/>
            <w:hideMark/>
          </w:tcPr>
          <w:p w:rsidR="00C149B0" w:rsidRPr="00B431F9" w:rsidP="00B431F9" w14:paraId="14A73155" w14:textId="77777777">
            <w:pPr>
              <w:pStyle w:val="73R"/>
            </w:pPr>
            <w:r w:rsidRPr="00B431F9">
              <w:rPr>
                <w:rtl/>
              </w:rPr>
              <w:t>מליאת הדירקטוריון</w:t>
            </w:r>
          </w:p>
        </w:tc>
        <w:tc>
          <w:tcPr>
            <w:tcW w:w="709" w:type="dxa"/>
            <w:shd w:val="clear" w:color="auto" w:fill="DFECEF"/>
            <w:noWrap/>
            <w:vAlign w:val="bottom"/>
            <w:hideMark/>
          </w:tcPr>
          <w:p w:rsidR="00C149B0" w:rsidRPr="00B431F9" w:rsidP="00B431F9" w14:paraId="6D1C3E2D" w14:textId="77777777">
            <w:pPr>
              <w:pStyle w:val="73R"/>
              <w:rPr>
                <w:rtl/>
              </w:rPr>
            </w:pPr>
            <w:r w:rsidRPr="00B431F9">
              <w:t>28</w:t>
            </w:r>
          </w:p>
        </w:tc>
        <w:tc>
          <w:tcPr>
            <w:tcW w:w="850" w:type="dxa"/>
            <w:shd w:val="clear" w:color="auto" w:fill="DFECEF"/>
            <w:noWrap/>
            <w:vAlign w:val="bottom"/>
            <w:hideMark/>
          </w:tcPr>
          <w:p w:rsidR="00C149B0" w:rsidRPr="00B431F9" w:rsidP="00B431F9" w14:paraId="6F8A3C4E" w14:textId="77777777">
            <w:pPr>
              <w:pStyle w:val="73R"/>
            </w:pPr>
            <w:r w:rsidRPr="00B431F9">
              <w:t>29</w:t>
            </w:r>
          </w:p>
        </w:tc>
        <w:tc>
          <w:tcPr>
            <w:tcW w:w="851" w:type="dxa"/>
            <w:shd w:val="clear" w:color="auto" w:fill="DFECEF"/>
            <w:noWrap/>
            <w:vAlign w:val="bottom"/>
            <w:hideMark/>
          </w:tcPr>
          <w:p w:rsidR="00C149B0" w:rsidRPr="00B431F9" w:rsidP="00B431F9" w14:paraId="25387532" w14:textId="77777777">
            <w:pPr>
              <w:pStyle w:val="73R"/>
            </w:pPr>
            <w:r w:rsidRPr="00B431F9">
              <w:t>25</w:t>
            </w:r>
          </w:p>
        </w:tc>
        <w:tc>
          <w:tcPr>
            <w:tcW w:w="723" w:type="dxa"/>
            <w:shd w:val="clear" w:color="auto" w:fill="DFECEF"/>
            <w:noWrap/>
            <w:vAlign w:val="bottom"/>
            <w:hideMark/>
          </w:tcPr>
          <w:p w:rsidR="00C149B0" w:rsidRPr="00B431F9" w:rsidP="00B431F9" w14:paraId="01F4D88F" w14:textId="77777777">
            <w:pPr>
              <w:pStyle w:val="73R"/>
            </w:pPr>
            <w:r w:rsidRPr="00B431F9">
              <w:t>28</w:t>
            </w:r>
          </w:p>
        </w:tc>
        <w:tc>
          <w:tcPr>
            <w:tcW w:w="709" w:type="dxa"/>
            <w:shd w:val="clear" w:color="auto" w:fill="DFECEF"/>
            <w:noWrap/>
            <w:vAlign w:val="bottom"/>
            <w:hideMark/>
          </w:tcPr>
          <w:p w:rsidR="00C149B0" w:rsidRPr="00B431F9" w:rsidP="00B431F9" w14:paraId="29248DD0" w14:textId="77777777">
            <w:pPr>
              <w:pStyle w:val="73R"/>
            </w:pPr>
            <w:r w:rsidRPr="00B431F9">
              <w:t>20</w:t>
            </w:r>
          </w:p>
        </w:tc>
        <w:tc>
          <w:tcPr>
            <w:tcW w:w="1404" w:type="dxa"/>
            <w:shd w:val="clear" w:color="auto" w:fill="DFECEF"/>
            <w:vAlign w:val="center"/>
          </w:tcPr>
          <w:p w:rsidR="00C149B0" w:rsidRPr="00B431F9" w:rsidP="00B431F9" w14:paraId="7A613050" w14:textId="77777777">
            <w:pPr>
              <w:pStyle w:val="73R"/>
            </w:pPr>
            <w:r w:rsidRPr="00B431F9">
              <w:t>26</w:t>
            </w:r>
          </w:p>
        </w:tc>
      </w:tr>
      <w:tr w14:paraId="3F75CC9A" w14:textId="77777777" w:rsidTr="00B431F9">
        <w:tblPrEx>
          <w:tblW w:w="7364" w:type="dxa"/>
          <w:tblLook w:val="04A0"/>
        </w:tblPrEx>
        <w:trPr>
          <w:trHeight w:val="285"/>
        </w:trPr>
        <w:tc>
          <w:tcPr>
            <w:tcW w:w="2118" w:type="dxa"/>
            <w:shd w:val="clear" w:color="auto" w:fill="F0F8F9"/>
            <w:noWrap/>
            <w:vAlign w:val="bottom"/>
            <w:hideMark/>
          </w:tcPr>
          <w:p w:rsidR="00C149B0" w:rsidRPr="00B431F9" w:rsidP="00B431F9" w14:paraId="50D64BAC" w14:textId="77777777">
            <w:pPr>
              <w:pStyle w:val="73R"/>
            </w:pPr>
            <w:r w:rsidRPr="00B431F9">
              <w:rPr>
                <w:rtl/>
              </w:rPr>
              <w:t>ועדות הדירקטוריון</w:t>
            </w:r>
          </w:p>
        </w:tc>
        <w:tc>
          <w:tcPr>
            <w:tcW w:w="709" w:type="dxa"/>
            <w:shd w:val="clear" w:color="auto" w:fill="F0F8F9"/>
            <w:noWrap/>
            <w:vAlign w:val="bottom"/>
            <w:hideMark/>
          </w:tcPr>
          <w:p w:rsidR="00C149B0" w:rsidRPr="00B431F9" w:rsidP="00B431F9" w14:paraId="4821E1DF" w14:textId="77777777">
            <w:pPr>
              <w:pStyle w:val="73R"/>
              <w:rPr>
                <w:rtl/>
              </w:rPr>
            </w:pPr>
            <w:r w:rsidRPr="00B431F9">
              <w:t>31</w:t>
            </w:r>
          </w:p>
        </w:tc>
        <w:tc>
          <w:tcPr>
            <w:tcW w:w="850" w:type="dxa"/>
            <w:shd w:val="clear" w:color="auto" w:fill="F0F8F9"/>
            <w:noWrap/>
            <w:vAlign w:val="bottom"/>
            <w:hideMark/>
          </w:tcPr>
          <w:p w:rsidR="00C149B0" w:rsidRPr="00B431F9" w:rsidP="00B431F9" w14:paraId="56E3006D" w14:textId="77777777">
            <w:pPr>
              <w:pStyle w:val="73R"/>
            </w:pPr>
            <w:r w:rsidRPr="00B431F9">
              <w:t>27</w:t>
            </w:r>
          </w:p>
        </w:tc>
        <w:tc>
          <w:tcPr>
            <w:tcW w:w="851" w:type="dxa"/>
            <w:shd w:val="clear" w:color="auto" w:fill="F0F8F9"/>
            <w:noWrap/>
            <w:vAlign w:val="bottom"/>
            <w:hideMark/>
          </w:tcPr>
          <w:p w:rsidR="00C149B0" w:rsidRPr="00B431F9" w:rsidP="00B431F9" w14:paraId="5D943C53" w14:textId="77777777">
            <w:pPr>
              <w:pStyle w:val="73R"/>
            </w:pPr>
            <w:r w:rsidRPr="00B431F9">
              <w:t>31</w:t>
            </w:r>
          </w:p>
        </w:tc>
        <w:tc>
          <w:tcPr>
            <w:tcW w:w="723" w:type="dxa"/>
            <w:shd w:val="clear" w:color="auto" w:fill="F0F8F9"/>
            <w:noWrap/>
            <w:vAlign w:val="bottom"/>
            <w:hideMark/>
          </w:tcPr>
          <w:p w:rsidR="00C149B0" w:rsidRPr="00B431F9" w:rsidP="00B431F9" w14:paraId="1ADB171E" w14:textId="77777777">
            <w:pPr>
              <w:pStyle w:val="73R"/>
            </w:pPr>
            <w:r w:rsidRPr="00B431F9">
              <w:t>26</w:t>
            </w:r>
          </w:p>
        </w:tc>
        <w:tc>
          <w:tcPr>
            <w:tcW w:w="709" w:type="dxa"/>
            <w:shd w:val="clear" w:color="auto" w:fill="F0F8F9"/>
            <w:noWrap/>
            <w:vAlign w:val="bottom"/>
            <w:hideMark/>
          </w:tcPr>
          <w:p w:rsidR="00C149B0" w:rsidRPr="00B431F9" w:rsidP="00B431F9" w14:paraId="6212A101" w14:textId="77777777">
            <w:pPr>
              <w:pStyle w:val="73R"/>
            </w:pPr>
            <w:r w:rsidRPr="00B431F9">
              <w:t>28</w:t>
            </w:r>
          </w:p>
        </w:tc>
        <w:tc>
          <w:tcPr>
            <w:tcW w:w="1404" w:type="dxa"/>
            <w:shd w:val="clear" w:color="auto" w:fill="F0F8F9"/>
            <w:vAlign w:val="center"/>
          </w:tcPr>
          <w:p w:rsidR="00C149B0" w:rsidRPr="00B431F9" w:rsidP="00B431F9" w14:paraId="7FB78BA9" w14:textId="77777777">
            <w:pPr>
              <w:pStyle w:val="73R"/>
              <w:rPr>
                <w:rtl/>
              </w:rPr>
            </w:pPr>
            <w:r w:rsidRPr="00B431F9">
              <w:t>29</w:t>
            </w:r>
          </w:p>
        </w:tc>
      </w:tr>
      <w:tr w14:paraId="2D0E2BBF" w14:textId="77777777" w:rsidTr="00B431F9">
        <w:tblPrEx>
          <w:tblW w:w="7364" w:type="dxa"/>
          <w:tblLook w:val="04A0"/>
        </w:tblPrEx>
        <w:trPr>
          <w:trHeight w:val="300"/>
        </w:trPr>
        <w:tc>
          <w:tcPr>
            <w:tcW w:w="2118" w:type="dxa"/>
            <w:shd w:val="clear" w:color="auto" w:fill="DFECEF"/>
            <w:noWrap/>
            <w:vAlign w:val="bottom"/>
            <w:hideMark/>
          </w:tcPr>
          <w:p w:rsidR="00C149B0" w:rsidRPr="00B431F9" w:rsidP="00B431F9" w14:paraId="253713AD" w14:textId="77777777">
            <w:pPr>
              <w:pStyle w:val="73R"/>
              <w:rPr>
                <w:b/>
                <w:bCs/>
              </w:rPr>
            </w:pPr>
            <w:r w:rsidRPr="00B431F9">
              <w:rPr>
                <w:b/>
                <w:bCs/>
                <w:rtl/>
              </w:rPr>
              <w:t>סה"כ ישיבות</w:t>
            </w:r>
          </w:p>
        </w:tc>
        <w:tc>
          <w:tcPr>
            <w:tcW w:w="709" w:type="dxa"/>
            <w:shd w:val="clear" w:color="auto" w:fill="DFECEF"/>
            <w:noWrap/>
            <w:vAlign w:val="center"/>
            <w:hideMark/>
          </w:tcPr>
          <w:p w:rsidR="00C149B0" w:rsidRPr="00B431F9" w:rsidP="00B431F9" w14:paraId="4CFAA49F" w14:textId="77777777">
            <w:pPr>
              <w:pStyle w:val="73R"/>
              <w:rPr>
                <w:b/>
                <w:bCs/>
                <w:rtl/>
              </w:rPr>
            </w:pPr>
            <w:r w:rsidRPr="00B431F9">
              <w:rPr>
                <w:b/>
                <w:bCs/>
              </w:rPr>
              <w:t>59</w:t>
            </w:r>
          </w:p>
        </w:tc>
        <w:tc>
          <w:tcPr>
            <w:tcW w:w="850" w:type="dxa"/>
            <w:shd w:val="clear" w:color="auto" w:fill="DFECEF"/>
            <w:noWrap/>
            <w:vAlign w:val="center"/>
            <w:hideMark/>
          </w:tcPr>
          <w:p w:rsidR="00C149B0" w:rsidRPr="00B431F9" w:rsidP="00B431F9" w14:paraId="468A3A42" w14:textId="77777777">
            <w:pPr>
              <w:pStyle w:val="73R"/>
              <w:rPr>
                <w:b/>
                <w:bCs/>
              </w:rPr>
            </w:pPr>
            <w:r w:rsidRPr="00B431F9">
              <w:rPr>
                <w:b/>
                <w:bCs/>
              </w:rPr>
              <w:t>56</w:t>
            </w:r>
          </w:p>
        </w:tc>
        <w:tc>
          <w:tcPr>
            <w:tcW w:w="851" w:type="dxa"/>
            <w:shd w:val="clear" w:color="auto" w:fill="DFECEF"/>
            <w:noWrap/>
            <w:vAlign w:val="center"/>
            <w:hideMark/>
          </w:tcPr>
          <w:p w:rsidR="00C149B0" w:rsidRPr="00B431F9" w:rsidP="00B431F9" w14:paraId="3FE9CF4B" w14:textId="77777777">
            <w:pPr>
              <w:pStyle w:val="73R"/>
              <w:rPr>
                <w:b/>
                <w:bCs/>
              </w:rPr>
            </w:pPr>
            <w:r w:rsidRPr="00B431F9">
              <w:rPr>
                <w:b/>
                <w:bCs/>
              </w:rPr>
              <w:t>56</w:t>
            </w:r>
          </w:p>
        </w:tc>
        <w:tc>
          <w:tcPr>
            <w:tcW w:w="723" w:type="dxa"/>
            <w:shd w:val="clear" w:color="auto" w:fill="DFECEF"/>
            <w:noWrap/>
            <w:vAlign w:val="center"/>
            <w:hideMark/>
          </w:tcPr>
          <w:p w:rsidR="00C149B0" w:rsidRPr="00B431F9" w:rsidP="00B431F9" w14:paraId="07C23782" w14:textId="77777777">
            <w:pPr>
              <w:pStyle w:val="73R"/>
              <w:rPr>
                <w:b/>
                <w:bCs/>
              </w:rPr>
            </w:pPr>
            <w:r w:rsidRPr="00B431F9">
              <w:rPr>
                <w:b/>
                <w:bCs/>
              </w:rPr>
              <w:t>54</w:t>
            </w:r>
          </w:p>
        </w:tc>
        <w:tc>
          <w:tcPr>
            <w:tcW w:w="709" w:type="dxa"/>
            <w:shd w:val="clear" w:color="auto" w:fill="DFECEF"/>
            <w:noWrap/>
            <w:vAlign w:val="center"/>
            <w:hideMark/>
          </w:tcPr>
          <w:p w:rsidR="00C149B0" w:rsidRPr="00B431F9" w:rsidP="00B431F9" w14:paraId="40D81FBD" w14:textId="77777777">
            <w:pPr>
              <w:pStyle w:val="73R"/>
              <w:rPr>
                <w:b/>
                <w:bCs/>
              </w:rPr>
            </w:pPr>
            <w:r w:rsidRPr="00B431F9">
              <w:rPr>
                <w:b/>
                <w:bCs/>
              </w:rPr>
              <w:t>48</w:t>
            </w:r>
          </w:p>
        </w:tc>
        <w:tc>
          <w:tcPr>
            <w:tcW w:w="1404" w:type="dxa"/>
            <w:shd w:val="clear" w:color="auto" w:fill="DFECEF"/>
            <w:vAlign w:val="center"/>
          </w:tcPr>
          <w:p w:rsidR="00C149B0" w:rsidRPr="00B431F9" w:rsidP="00B431F9" w14:paraId="3E466143" w14:textId="77777777">
            <w:pPr>
              <w:pStyle w:val="73R"/>
              <w:rPr>
                <w:b/>
                <w:bCs/>
                <w:rtl/>
              </w:rPr>
            </w:pPr>
            <w:r w:rsidRPr="00B431F9">
              <w:rPr>
                <w:b/>
                <w:bCs/>
              </w:rPr>
              <w:t>55</w:t>
            </w:r>
          </w:p>
        </w:tc>
      </w:tr>
    </w:tbl>
    <w:p w:rsidR="00C149B0" w:rsidRPr="00B431F9" w:rsidP="00B431F9" w14:paraId="13B10127" w14:textId="77777777">
      <w:pPr>
        <w:pStyle w:val="738"/>
        <w:rPr>
          <w:rtl/>
        </w:rPr>
      </w:pPr>
      <w:r w:rsidRPr="00B431F9">
        <w:rPr>
          <w:rFonts w:hint="cs"/>
          <w:rtl/>
        </w:rPr>
        <w:t xml:space="preserve">לפי מסמכי רפאל, בעיבוד משרד מבקר המדינה. </w:t>
      </w:r>
    </w:p>
    <w:p w:rsidR="00C149B0" w:rsidRPr="00B431F9" w:rsidP="00B431F9" w14:paraId="0885E294" w14:textId="77777777">
      <w:pPr>
        <w:pStyle w:val="7318"/>
        <w:rPr>
          <w:rtl/>
        </w:rPr>
      </w:pPr>
      <w:r w:rsidRPr="00B431F9">
        <w:rPr>
          <w:rFonts w:hint="cs"/>
          <w:rtl/>
        </w:rPr>
        <w:t>מהלוח עולה כי בשנים 2017 - 2021 קיים דירקטוריון רפאל בממוצע כ-55 ישיבות בשנה, מהן 26 ישיבות של מליאת הדירקטוריון; וכי בשנת 2021 פחת מספר הישיבות של מליאת הדירקטוריון בכ-30% ביחס לשנים קודמות.</w:t>
      </w:r>
    </w:p>
    <w:p w:rsidR="00C149B0" w:rsidRPr="00D94367" w:rsidP="00B431F9" w14:paraId="1351FE17" w14:textId="77777777">
      <w:pPr>
        <w:pStyle w:val="7392"/>
      </w:pPr>
      <w:r w:rsidRPr="00D94367">
        <w:rPr>
          <w:rFonts w:hint="cs"/>
          <w:rtl/>
        </w:rPr>
        <w:t xml:space="preserve">בנוהל ממשל תאגידי נכתב כי דירקטוריון רפאל מינה את הוועדות </w:t>
      </w:r>
      <w:r>
        <w:rPr>
          <w:rFonts w:hint="cs"/>
          <w:rtl/>
        </w:rPr>
        <w:t>האלה</w:t>
      </w:r>
      <w:r w:rsidRPr="00D94367">
        <w:rPr>
          <w:rFonts w:hint="cs"/>
          <w:rtl/>
        </w:rPr>
        <w:t xml:space="preserve">: </w:t>
      </w:r>
      <w:r w:rsidRPr="00D94367">
        <w:rPr>
          <w:rtl/>
        </w:rPr>
        <w:t>ועדת</w:t>
      </w:r>
      <w:r w:rsidRPr="00D94367">
        <w:t xml:space="preserve"> </w:t>
      </w:r>
      <w:r w:rsidRPr="00D94367">
        <w:rPr>
          <w:rtl/>
        </w:rPr>
        <w:t>ביקורת</w:t>
      </w:r>
      <w:r w:rsidRPr="00D94367">
        <w:t xml:space="preserve"> </w:t>
      </w:r>
      <w:r w:rsidRPr="00D94367">
        <w:rPr>
          <w:rtl/>
        </w:rPr>
        <w:t>בטיחות</w:t>
      </w:r>
      <w:r w:rsidRPr="00D94367">
        <w:t xml:space="preserve"> </w:t>
      </w:r>
      <w:r w:rsidRPr="00D94367">
        <w:rPr>
          <w:rtl/>
        </w:rPr>
        <w:t>וגהות</w:t>
      </w:r>
      <w:r>
        <w:rPr>
          <w:rStyle w:val="FootnoteReference0"/>
          <w:rFonts w:ascii="David" w:hAnsi="David"/>
          <w:sz w:val="24"/>
          <w:rtl/>
        </w:rPr>
        <w:footnoteReference w:id="129"/>
      </w:r>
      <w:r w:rsidRPr="00D94367">
        <w:rPr>
          <w:rFonts w:hint="cs"/>
          <w:rtl/>
        </w:rPr>
        <w:t xml:space="preserve">, </w:t>
      </w:r>
      <w:r w:rsidRPr="00D94367">
        <w:rPr>
          <w:rtl/>
        </w:rPr>
        <w:t>ועדת</w:t>
      </w:r>
      <w:r w:rsidRPr="00D94367">
        <w:t xml:space="preserve"> </w:t>
      </w:r>
      <w:r w:rsidRPr="00D94367">
        <w:rPr>
          <w:rtl/>
        </w:rPr>
        <w:t>כספים</w:t>
      </w:r>
      <w:r w:rsidRPr="00D94367">
        <w:t xml:space="preserve"> </w:t>
      </w:r>
      <w:r w:rsidRPr="00D94367">
        <w:rPr>
          <w:rtl/>
        </w:rPr>
        <w:t>והשקעות</w:t>
      </w:r>
      <w:r w:rsidRPr="00D94367">
        <w:rPr>
          <w:rFonts w:hint="cs"/>
          <w:rtl/>
        </w:rPr>
        <w:t>, ו</w:t>
      </w:r>
      <w:r w:rsidRPr="00D94367">
        <w:rPr>
          <w:rtl/>
        </w:rPr>
        <w:t>עדת</w:t>
      </w:r>
      <w:r w:rsidRPr="00D94367">
        <w:t xml:space="preserve"> </w:t>
      </w:r>
      <w:r w:rsidRPr="00D94367">
        <w:rPr>
          <w:rtl/>
        </w:rPr>
        <w:t>אסטרטגיה</w:t>
      </w:r>
      <w:r w:rsidRPr="00D94367">
        <w:t xml:space="preserve"> </w:t>
      </w:r>
      <w:r w:rsidRPr="00D94367">
        <w:rPr>
          <w:rtl/>
        </w:rPr>
        <w:t>ופיתוח</w:t>
      </w:r>
      <w:r w:rsidRPr="00D94367">
        <w:t xml:space="preserve"> </w:t>
      </w:r>
      <w:r w:rsidRPr="00D94367">
        <w:rPr>
          <w:rtl/>
        </w:rPr>
        <w:t>עסקי</w:t>
      </w:r>
      <w:r w:rsidRPr="00D94367">
        <w:rPr>
          <w:rFonts w:hint="cs"/>
          <w:rtl/>
        </w:rPr>
        <w:t xml:space="preserve"> וועדת ציות. בנוהל פורטו תפקידי הוועדות; תפקידים שהם מהותיים לתפקוד התקין של רפאל. למשל, על ועדת כספים והשקעות לבחון את טיוטת הדוחות הכספיים ולהמליץ לדירקטוריון </w:t>
      </w:r>
      <w:r>
        <w:rPr>
          <w:rFonts w:hint="cs"/>
          <w:rtl/>
        </w:rPr>
        <w:t>אם לאשרם</w:t>
      </w:r>
      <w:r w:rsidRPr="00D94367">
        <w:rPr>
          <w:rFonts w:hint="cs"/>
          <w:rtl/>
        </w:rPr>
        <w:t xml:space="preserve">; לבחון את </w:t>
      </w:r>
      <w:r>
        <w:rPr>
          <w:rFonts w:hint="cs"/>
          <w:rtl/>
        </w:rPr>
        <w:t>מידת ה</w:t>
      </w:r>
      <w:r w:rsidRPr="00D94367">
        <w:rPr>
          <w:rFonts w:hint="cs"/>
          <w:rtl/>
        </w:rPr>
        <w:t xml:space="preserve">אפקטיביות </w:t>
      </w:r>
      <w:r>
        <w:rPr>
          <w:rFonts w:hint="cs"/>
          <w:rtl/>
        </w:rPr>
        <w:t xml:space="preserve">של </w:t>
      </w:r>
      <w:r w:rsidRPr="00D94367">
        <w:rPr>
          <w:rFonts w:hint="cs"/>
          <w:rtl/>
        </w:rPr>
        <w:t xml:space="preserve">מערך הבקרה הפיננסית הפנימית של החברה ולהמליץ לדירקטוריון בעניינים אלו; ולפקח ולאשר את מדיניות ההשקעות הפיננסיות של החברה. </w:t>
      </w:r>
    </w:p>
    <w:p w:rsidR="00C149B0" w:rsidRPr="00B431F9" w:rsidP="00B431F9" w14:paraId="4B8D8648" w14:textId="77777777">
      <w:pPr>
        <w:pStyle w:val="7318"/>
        <w:rPr>
          <w:rtl/>
        </w:rPr>
      </w:pPr>
      <w:r w:rsidRPr="00B431F9">
        <w:rPr>
          <w:rFonts w:hint="cs"/>
          <w:rtl/>
        </w:rPr>
        <w:t>מפרוטוקול ישיבת הדירקטוריון ב-26.10.21 עלה שבג</w:t>
      </w:r>
      <w:r w:rsidRPr="00B431F9">
        <w:rPr>
          <w:rtl/>
        </w:rPr>
        <w:t>לל מיעוט חברים בדירקטוריון כל חברי</w:t>
      </w:r>
      <w:r w:rsidRPr="00B431F9">
        <w:rPr>
          <w:rFonts w:hint="cs"/>
          <w:rtl/>
        </w:rPr>
        <w:t xml:space="preserve">ו צפויים לשמש </w:t>
      </w:r>
      <w:r w:rsidRPr="00B431F9">
        <w:rPr>
          <w:rtl/>
        </w:rPr>
        <w:t>חברים בכל ועדות</w:t>
      </w:r>
      <w:r w:rsidRPr="00B431F9">
        <w:rPr>
          <w:rFonts w:hint="cs"/>
          <w:rtl/>
        </w:rPr>
        <w:t>יו</w:t>
      </w:r>
      <w:r w:rsidRPr="00B431F9">
        <w:rPr>
          <w:rtl/>
        </w:rPr>
        <w:t>.</w:t>
      </w:r>
      <w:r w:rsidRPr="00B431F9">
        <w:rPr>
          <w:rFonts w:hint="cs"/>
          <w:rtl/>
        </w:rPr>
        <w:t xml:space="preserve"> </w:t>
      </w:r>
    </w:p>
    <w:p w:rsidR="00C149B0" w:rsidRPr="00B431F9" w:rsidP="00B431F9" w14:paraId="0F654E67" w14:textId="77777777">
      <w:pPr>
        <w:pStyle w:val="7318"/>
        <w:rPr>
          <w:rFonts w:eastAsiaTheme="majorEastAsia"/>
          <w:rtl/>
        </w:rPr>
      </w:pPr>
      <w:r w:rsidRPr="00B431F9">
        <w:rPr>
          <w:rFonts w:hint="cs"/>
          <w:rtl/>
        </w:rPr>
        <w:t>חלוקת העבודה בין מליאת הדירקטוריון לבין ועדותיו, שבמסגרתן יפעלו חלק מהדירקטורים, עשויה לייעל את עבודתו, בין היתר, באמצעות מתן אפשרות לחברי הדירקטוריון להעמיק ולהתמחות בנושאים מורכבים. ועדה אשר כל חברי הדירקטוריון חברים בה מייתרת את קיומה ואינה מייעלת את עבודת הדירקטוריון.</w:t>
      </w:r>
      <w:r w:rsidRPr="00B431F9">
        <w:rPr>
          <w:rFonts w:eastAsiaTheme="majorEastAsia" w:hint="cs"/>
          <w:rtl/>
        </w:rPr>
        <w:t xml:space="preserve"> </w:t>
      </w:r>
    </w:p>
    <w:p w:rsidR="00C149B0" w:rsidRPr="00B431F9" w:rsidP="00B431F9" w14:paraId="3C7D7B84" w14:textId="77777777">
      <w:pPr>
        <w:pStyle w:val="7318"/>
        <w:rPr>
          <w:rtl/>
        </w:rPr>
      </w:pPr>
      <w:r w:rsidRPr="00B431F9">
        <w:rPr>
          <w:rFonts w:hint="cs"/>
          <w:rtl/>
        </w:rPr>
        <w:t>מומלץ כי בדירקטוריון רפאל יכהנו דירקטורים במספר שיאפשר את חלוקתו לוועדות על מנת לאפשר לחברי הדירקטוריון להתמחות ולהעמיק בנושאים מורכבים שבתחומי העיסוק של הוועדות.</w:t>
      </w:r>
    </w:p>
    <w:p w:rsidR="00C149B0" w:rsidRPr="00B431F9" w:rsidP="00B431F9" w14:paraId="34F85656" w14:textId="77777777">
      <w:pPr>
        <w:pStyle w:val="73414"/>
        <w:rPr>
          <w:rtl/>
        </w:rPr>
      </w:pPr>
      <w:r w:rsidRPr="00B431F9">
        <w:rPr>
          <w:rFonts w:hint="cs"/>
          <w:rtl/>
        </w:rPr>
        <w:t xml:space="preserve">קביעת מספר דירקטורים מזערי </w:t>
      </w:r>
    </w:p>
    <w:p w:rsidR="00C149B0" w:rsidRPr="00D94367" w:rsidP="00B431F9" w14:paraId="361503D9" w14:textId="77777777">
      <w:pPr>
        <w:pStyle w:val="7392"/>
        <w:rPr>
          <w:rtl/>
        </w:rPr>
      </w:pPr>
      <w:r w:rsidRPr="00D94367">
        <w:rPr>
          <w:rFonts w:hint="cs"/>
          <w:rtl/>
        </w:rPr>
        <w:t>בחוק החברות נקבע כי חברה רשאית לקבוע בתקנונה</w:t>
      </w:r>
      <w:r>
        <w:rPr>
          <w:rStyle w:val="FootnoteReference0"/>
          <w:rtl/>
        </w:rPr>
        <w:footnoteReference w:id="130"/>
      </w:r>
      <w:r w:rsidRPr="00D94367">
        <w:rPr>
          <w:rFonts w:hint="cs"/>
          <w:rtl/>
        </w:rPr>
        <w:t xml:space="preserve"> את מספר הדירקטורים ואת מספרם המזערי והמרבי. בחוק החברות הממשלתיות נקבע כי הקמת חברה ממשלתית טעונה החלטת </w:t>
      </w:r>
      <w:r w:rsidRPr="00D94367">
        <w:rPr>
          <w:rFonts w:hint="cs"/>
          <w:rtl/>
        </w:rPr>
        <w:t xml:space="preserve">ממשלה; וכי בהחלטה להקים חברה ממשלתית תקבע הממשלה, בין היתר, את המספר הכולל של הדירקטורים. בהחלטת הממשלה </w:t>
      </w:r>
      <w:r>
        <w:rPr>
          <w:rFonts w:hint="cs"/>
          <w:rtl/>
        </w:rPr>
        <w:t>בעניין</w:t>
      </w:r>
      <w:r w:rsidRPr="00D94367">
        <w:rPr>
          <w:rFonts w:hint="cs"/>
          <w:rtl/>
        </w:rPr>
        <w:t xml:space="preserve"> הקמת רפאל</w:t>
      </w:r>
      <w:r>
        <w:rPr>
          <w:rStyle w:val="FootnoteReference0"/>
          <w:rtl/>
        </w:rPr>
        <w:footnoteReference w:id="131"/>
      </w:r>
      <w:r w:rsidRPr="00D94367">
        <w:rPr>
          <w:rFonts w:hint="cs"/>
          <w:rtl/>
        </w:rPr>
        <w:t xml:space="preserve"> נקבע כי דירקטוריון החברה </w:t>
      </w:r>
      <w:r>
        <w:rPr>
          <w:rFonts w:hint="cs"/>
          <w:rtl/>
        </w:rPr>
        <w:t>ימנה</w:t>
      </w:r>
      <w:r w:rsidRPr="00D94367">
        <w:rPr>
          <w:rFonts w:hint="cs"/>
          <w:rtl/>
        </w:rPr>
        <w:t xml:space="preserve"> 13 דירקטורים. בתיקון לחוק החברות הממשלתיות</w:t>
      </w:r>
      <w:r>
        <w:rPr>
          <w:rFonts w:hint="cs"/>
          <w:rtl/>
        </w:rPr>
        <w:t xml:space="preserve"> </w:t>
      </w:r>
      <w:r w:rsidRPr="00D94367">
        <w:rPr>
          <w:rFonts w:hint="cs"/>
          <w:rtl/>
        </w:rPr>
        <w:t>מ</w:t>
      </w:r>
      <w:r>
        <w:rPr>
          <w:rFonts w:hint="cs"/>
          <w:rtl/>
        </w:rPr>
        <w:t xml:space="preserve">שנת </w:t>
      </w:r>
      <w:r w:rsidRPr="00D94367">
        <w:rPr>
          <w:rFonts w:hint="cs"/>
          <w:rtl/>
        </w:rPr>
        <w:t xml:space="preserve">2003 נקבע כי בחברה שהמדינה ממנה בה את כל הדירקטורים לא יעלה מספרם הכולל של חברי הדירקטוריון על 12 חברים. </w:t>
      </w:r>
    </w:p>
    <w:p w:rsidR="00C149B0" w:rsidRPr="00D94367" w:rsidP="00B431F9" w14:paraId="5F41772B" w14:textId="77777777">
      <w:pPr>
        <w:pStyle w:val="7392"/>
        <w:rPr>
          <w:rtl/>
        </w:rPr>
      </w:pPr>
      <w:r w:rsidRPr="00D94367">
        <w:rPr>
          <w:rFonts w:hint="cs"/>
          <w:rtl/>
        </w:rPr>
        <w:t xml:space="preserve">ברשות החברות </w:t>
      </w:r>
      <w:r w:rsidRPr="00377921">
        <w:rPr>
          <w:rFonts w:hint="cs"/>
          <w:rtl/>
        </w:rPr>
        <w:t xml:space="preserve">הממשלתיות </w:t>
      </w:r>
      <w:r w:rsidRPr="00D94367">
        <w:rPr>
          <w:rFonts w:hint="cs"/>
          <w:rtl/>
        </w:rPr>
        <w:t xml:space="preserve">פועלת ועדה שמסווגת את החברות הממשלתיות לפי גודלן ומורכבותן ועל פי ניקוד </w:t>
      </w:r>
      <w:r>
        <w:rPr>
          <w:rFonts w:hint="cs"/>
          <w:rtl/>
        </w:rPr>
        <w:t>בטווח של</w:t>
      </w:r>
      <w:r w:rsidRPr="00D94367">
        <w:rPr>
          <w:rFonts w:hint="cs"/>
          <w:rtl/>
        </w:rPr>
        <w:t xml:space="preserve"> 1 </w:t>
      </w:r>
      <w:r>
        <w:rPr>
          <w:rFonts w:hint="cs"/>
          <w:rtl/>
        </w:rPr>
        <w:t xml:space="preserve">עד </w:t>
      </w:r>
      <w:r w:rsidRPr="00D94367">
        <w:rPr>
          <w:rFonts w:hint="cs"/>
          <w:rtl/>
        </w:rPr>
        <w:t>10(1) לחברה הגדולה והמורכבת ביותר</w:t>
      </w:r>
      <w:r>
        <w:rPr>
          <w:rStyle w:val="FootnoteReference0"/>
          <w:rtl/>
        </w:rPr>
        <w:footnoteReference w:id="132"/>
      </w:r>
      <w:r w:rsidRPr="00D94367">
        <w:rPr>
          <w:rFonts w:hint="cs"/>
          <w:rtl/>
        </w:rPr>
        <w:t>. רפאל מוגדרת כחברה בסיווג 10(1) החל מדצמבר 2011. לפי נתוני רשות החברות</w:t>
      </w:r>
      <w:r>
        <w:rPr>
          <w:rFonts w:hint="cs"/>
          <w:rtl/>
        </w:rPr>
        <w:t xml:space="preserve"> הממשלתיות</w:t>
      </w:r>
      <w:r w:rsidRPr="00D94367">
        <w:rPr>
          <w:rFonts w:hint="cs"/>
          <w:rtl/>
        </w:rPr>
        <w:t>, שלוש חברות ממש</w:t>
      </w:r>
      <w:r>
        <w:rPr>
          <w:rFonts w:hint="cs"/>
          <w:rtl/>
        </w:rPr>
        <w:t>לתיות מסווגות בסיווג זה - רפאל,</w:t>
      </w:r>
      <w:r w:rsidRPr="00D94367">
        <w:rPr>
          <w:rFonts w:hint="cs"/>
          <w:rtl/>
        </w:rPr>
        <w:t xml:space="preserve"> </w:t>
      </w:r>
      <w:r w:rsidRPr="00D94367">
        <w:rPr>
          <w:rFonts w:hint="cs"/>
          <w:rtl/>
        </w:rPr>
        <w:t>התע"א</w:t>
      </w:r>
      <w:r w:rsidRPr="00D94367">
        <w:rPr>
          <w:rFonts w:hint="cs"/>
          <w:rtl/>
        </w:rPr>
        <w:t xml:space="preserve"> וחברת החשמל לישראל (להלן - </w:t>
      </w:r>
      <w:r w:rsidRPr="00D94367">
        <w:rPr>
          <w:rFonts w:hint="cs"/>
          <w:rtl/>
        </w:rPr>
        <w:t>חח"י</w:t>
      </w:r>
      <w:r w:rsidRPr="00D94367">
        <w:rPr>
          <w:rFonts w:hint="cs"/>
          <w:rtl/>
        </w:rPr>
        <w:t xml:space="preserve">). </w:t>
      </w:r>
    </w:p>
    <w:p w:rsidR="00C149B0" w:rsidRPr="00D94367" w:rsidP="00B431F9" w14:paraId="6D859691" w14:textId="77777777">
      <w:pPr>
        <w:pStyle w:val="7392"/>
        <w:rPr>
          <w:rtl/>
        </w:rPr>
      </w:pPr>
      <w:r>
        <w:rPr>
          <w:rFonts w:hint="cs"/>
          <w:rtl/>
        </w:rPr>
        <w:t>בלוח הבא</w:t>
      </w:r>
      <w:r w:rsidRPr="00D94367">
        <w:rPr>
          <w:rFonts w:hint="cs"/>
          <w:rtl/>
        </w:rPr>
        <w:t xml:space="preserve"> מובאים נתונים לגבי מספר הדירקטורים המזערי הנדרש בחברות אלה על פי התקנונים שלהן ומספר הדירקטורים בפועל נכון לסוף</w:t>
      </w:r>
      <w:r>
        <w:rPr>
          <w:rFonts w:hint="cs"/>
          <w:rtl/>
        </w:rPr>
        <w:t xml:space="preserve"> שנת</w:t>
      </w:r>
      <w:r w:rsidRPr="00D94367">
        <w:rPr>
          <w:rFonts w:hint="cs"/>
          <w:rtl/>
        </w:rPr>
        <w:t xml:space="preserve"> 2021</w:t>
      </w:r>
      <w:r>
        <w:rPr>
          <w:rFonts w:hint="cs"/>
          <w:rtl/>
        </w:rPr>
        <w:t>:</w:t>
      </w:r>
    </w:p>
    <w:p w:rsidR="00C149B0" w:rsidRPr="00B431F9" w:rsidP="00B431F9" w14:paraId="251D2C17" w14:textId="77777777">
      <w:pPr>
        <w:pStyle w:val="734"/>
        <w:rPr>
          <w:rtl/>
        </w:rPr>
      </w:pPr>
      <w:r w:rsidRPr="00B431F9">
        <w:rPr>
          <w:rFonts w:hint="cs"/>
          <w:b w:val="0"/>
          <w:bCs w:val="0"/>
          <w:rtl/>
        </w:rPr>
        <w:t>לוח 11:</w:t>
      </w:r>
      <w:r w:rsidRPr="00B431F9">
        <w:rPr>
          <w:rFonts w:hint="cs"/>
          <w:rtl/>
        </w:rPr>
        <w:t xml:space="preserve"> מספר דירקטורים בחברות המסווגות בסיווג 10(1)</w:t>
      </w:r>
    </w:p>
    <w:tbl>
      <w:tblPr>
        <w:tblStyle w:val="TableGrid"/>
        <w:bidiVisual/>
        <w:tblW w:w="0" w:type="auto"/>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shd w:val="clear" w:color="auto" w:fill="FFFFFF" w:themeFill="background1"/>
        <w:tblLook w:val="04A0"/>
      </w:tblPr>
      <w:tblGrid>
        <w:gridCol w:w="3015"/>
        <w:gridCol w:w="1402"/>
        <w:gridCol w:w="1414"/>
        <w:gridCol w:w="1529"/>
      </w:tblGrid>
      <w:tr w14:paraId="6C39867F" w14:textId="77777777" w:rsidTr="00B431F9">
        <w:tblPrEx>
          <w:tblW w:w="0" w:type="auto"/>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shd w:val="clear" w:color="auto" w:fill="FFFFFF" w:themeFill="background1"/>
          <w:tblLook w:val="04A0"/>
        </w:tblPrEx>
        <w:tc>
          <w:tcPr>
            <w:tcW w:w="3394" w:type="dxa"/>
            <w:shd w:val="clear" w:color="auto" w:fill="C8DCE4"/>
          </w:tcPr>
          <w:p w:rsidR="00C149B0" w:rsidRPr="00B431F9" w:rsidP="00B431F9" w14:paraId="6B31475E" w14:textId="77777777">
            <w:pPr>
              <w:pStyle w:val="73R"/>
              <w:rPr>
                <w:rtl/>
              </w:rPr>
            </w:pPr>
          </w:p>
        </w:tc>
        <w:tc>
          <w:tcPr>
            <w:tcW w:w="1559" w:type="dxa"/>
            <w:shd w:val="clear" w:color="auto" w:fill="C8DCE4"/>
          </w:tcPr>
          <w:p w:rsidR="00C149B0" w:rsidRPr="00B431F9" w:rsidP="00B431F9" w14:paraId="5C8BD942" w14:textId="77777777">
            <w:pPr>
              <w:pStyle w:val="73R"/>
              <w:rPr>
                <w:b/>
                <w:bCs/>
                <w:rtl/>
              </w:rPr>
            </w:pPr>
            <w:r w:rsidRPr="00B431F9">
              <w:rPr>
                <w:rFonts w:hint="cs"/>
                <w:b/>
                <w:bCs/>
                <w:rtl/>
              </w:rPr>
              <w:t>חח"י</w:t>
            </w:r>
          </w:p>
        </w:tc>
        <w:tc>
          <w:tcPr>
            <w:tcW w:w="1560" w:type="dxa"/>
            <w:shd w:val="clear" w:color="auto" w:fill="C8DCE4"/>
          </w:tcPr>
          <w:p w:rsidR="00C149B0" w:rsidRPr="00B431F9" w:rsidP="00B431F9" w14:paraId="7C1A9968" w14:textId="77777777">
            <w:pPr>
              <w:pStyle w:val="73R"/>
              <w:rPr>
                <w:b/>
                <w:bCs/>
                <w:rtl/>
              </w:rPr>
            </w:pPr>
            <w:r w:rsidRPr="00B431F9">
              <w:rPr>
                <w:rFonts w:hint="cs"/>
                <w:b/>
                <w:bCs/>
                <w:rtl/>
              </w:rPr>
              <w:t>תע"א</w:t>
            </w:r>
          </w:p>
        </w:tc>
        <w:tc>
          <w:tcPr>
            <w:tcW w:w="1698" w:type="dxa"/>
            <w:shd w:val="clear" w:color="auto" w:fill="C8DCE4"/>
          </w:tcPr>
          <w:p w:rsidR="00C149B0" w:rsidRPr="00B431F9" w:rsidP="00B431F9" w14:paraId="237C2238" w14:textId="77777777">
            <w:pPr>
              <w:pStyle w:val="73R"/>
              <w:rPr>
                <w:b/>
                <w:bCs/>
                <w:rtl/>
              </w:rPr>
            </w:pPr>
            <w:r w:rsidRPr="00B431F9">
              <w:rPr>
                <w:rFonts w:hint="cs"/>
                <w:b/>
                <w:bCs/>
                <w:rtl/>
              </w:rPr>
              <w:t>רפאל</w:t>
            </w:r>
          </w:p>
        </w:tc>
      </w:tr>
      <w:tr w14:paraId="26F0EF67" w14:textId="77777777" w:rsidTr="00B431F9">
        <w:tblPrEx>
          <w:tblW w:w="0" w:type="auto"/>
          <w:shd w:val="clear" w:color="auto" w:fill="FFFFFF" w:themeFill="background1"/>
          <w:tblLook w:val="04A0"/>
        </w:tblPrEx>
        <w:tc>
          <w:tcPr>
            <w:tcW w:w="3394" w:type="dxa"/>
            <w:shd w:val="clear" w:color="auto" w:fill="DFECEF"/>
          </w:tcPr>
          <w:p w:rsidR="00C149B0" w:rsidRPr="00B431F9" w:rsidP="00B431F9" w14:paraId="218F1EBB" w14:textId="4058D65E">
            <w:pPr>
              <w:pStyle w:val="73R"/>
              <w:rPr>
                <w:rtl/>
              </w:rPr>
            </w:pPr>
            <w:r w:rsidRPr="00B431F9">
              <w:rPr>
                <w:rFonts w:hint="cs"/>
                <w:rtl/>
              </w:rPr>
              <w:t>מספר הדירקטורים המזערי</w:t>
            </w:r>
            <w:r w:rsidR="00B431F9">
              <w:br/>
            </w:r>
            <w:r w:rsidRPr="00B431F9">
              <w:rPr>
                <w:rFonts w:hint="cs"/>
                <w:rtl/>
              </w:rPr>
              <w:t>הנדרש בתקנון</w:t>
            </w:r>
          </w:p>
        </w:tc>
        <w:tc>
          <w:tcPr>
            <w:tcW w:w="1559" w:type="dxa"/>
            <w:shd w:val="clear" w:color="auto" w:fill="DFECEF"/>
          </w:tcPr>
          <w:p w:rsidR="00C149B0" w:rsidRPr="00B431F9" w:rsidP="00B431F9" w14:paraId="0A9ABC7C" w14:textId="77777777">
            <w:pPr>
              <w:pStyle w:val="73R"/>
              <w:rPr>
                <w:rtl/>
              </w:rPr>
            </w:pPr>
            <w:r w:rsidRPr="00B431F9">
              <w:rPr>
                <w:rFonts w:hint="cs"/>
                <w:rtl/>
              </w:rPr>
              <w:t>7</w:t>
            </w:r>
          </w:p>
        </w:tc>
        <w:tc>
          <w:tcPr>
            <w:tcW w:w="1560" w:type="dxa"/>
            <w:shd w:val="clear" w:color="auto" w:fill="DFECEF"/>
          </w:tcPr>
          <w:p w:rsidR="00C149B0" w:rsidRPr="00B431F9" w:rsidP="00B431F9" w14:paraId="6D3D9EA3" w14:textId="77777777">
            <w:pPr>
              <w:pStyle w:val="73R"/>
              <w:rPr>
                <w:rtl/>
              </w:rPr>
            </w:pPr>
            <w:r w:rsidRPr="00B431F9">
              <w:rPr>
                <w:rFonts w:hint="cs"/>
                <w:rtl/>
              </w:rPr>
              <w:t>5</w:t>
            </w:r>
          </w:p>
        </w:tc>
        <w:tc>
          <w:tcPr>
            <w:tcW w:w="1698" w:type="dxa"/>
            <w:shd w:val="clear" w:color="auto" w:fill="DFECEF"/>
          </w:tcPr>
          <w:p w:rsidR="00C149B0" w:rsidRPr="00B431F9" w:rsidP="00B431F9" w14:paraId="6FFBB8E4" w14:textId="77777777">
            <w:pPr>
              <w:pStyle w:val="73R"/>
              <w:rPr>
                <w:rtl/>
              </w:rPr>
            </w:pPr>
            <w:r w:rsidRPr="00B431F9">
              <w:rPr>
                <w:rFonts w:hint="cs"/>
                <w:rtl/>
              </w:rPr>
              <w:t>לא נקבע</w:t>
            </w:r>
          </w:p>
        </w:tc>
      </w:tr>
      <w:tr w14:paraId="6E1E014A" w14:textId="77777777" w:rsidTr="00B431F9">
        <w:tblPrEx>
          <w:tblW w:w="0" w:type="auto"/>
          <w:shd w:val="clear" w:color="auto" w:fill="FFFFFF" w:themeFill="background1"/>
          <w:tblLook w:val="04A0"/>
        </w:tblPrEx>
        <w:tc>
          <w:tcPr>
            <w:tcW w:w="3394" w:type="dxa"/>
            <w:shd w:val="clear" w:color="auto" w:fill="F0F8F9"/>
          </w:tcPr>
          <w:p w:rsidR="00C149B0" w:rsidRPr="00B431F9" w:rsidP="00B431F9" w14:paraId="041CFD8A" w14:textId="77777777">
            <w:pPr>
              <w:pStyle w:val="73R"/>
              <w:rPr>
                <w:rtl/>
              </w:rPr>
            </w:pPr>
            <w:r w:rsidRPr="00B431F9">
              <w:rPr>
                <w:rFonts w:hint="cs"/>
                <w:rtl/>
              </w:rPr>
              <w:t>מספר הדירקטורים בפועל בסוף שנת 2021</w:t>
            </w:r>
          </w:p>
        </w:tc>
        <w:tc>
          <w:tcPr>
            <w:tcW w:w="1559" w:type="dxa"/>
            <w:shd w:val="clear" w:color="auto" w:fill="F0F8F9"/>
          </w:tcPr>
          <w:p w:rsidR="00C149B0" w:rsidRPr="00B431F9" w:rsidP="00B431F9" w14:paraId="673756AC" w14:textId="77777777">
            <w:pPr>
              <w:pStyle w:val="73R"/>
              <w:rPr>
                <w:rtl/>
              </w:rPr>
            </w:pPr>
            <w:r w:rsidRPr="00B431F9">
              <w:rPr>
                <w:rFonts w:hint="cs"/>
                <w:rtl/>
              </w:rPr>
              <w:t>10</w:t>
            </w:r>
          </w:p>
        </w:tc>
        <w:tc>
          <w:tcPr>
            <w:tcW w:w="1560" w:type="dxa"/>
            <w:shd w:val="clear" w:color="auto" w:fill="F0F8F9"/>
          </w:tcPr>
          <w:p w:rsidR="00C149B0" w:rsidRPr="00B431F9" w:rsidP="00B431F9" w14:paraId="5104DF86" w14:textId="77777777">
            <w:pPr>
              <w:pStyle w:val="73R"/>
              <w:rPr>
                <w:rtl/>
              </w:rPr>
            </w:pPr>
            <w:r w:rsidRPr="00B431F9">
              <w:rPr>
                <w:rFonts w:hint="cs"/>
                <w:rtl/>
              </w:rPr>
              <w:t>9</w:t>
            </w:r>
          </w:p>
        </w:tc>
        <w:tc>
          <w:tcPr>
            <w:tcW w:w="1698" w:type="dxa"/>
            <w:shd w:val="clear" w:color="auto" w:fill="F0F8F9"/>
          </w:tcPr>
          <w:p w:rsidR="00C149B0" w:rsidRPr="00B431F9" w:rsidP="00B431F9" w14:paraId="42FFE5C1" w14:textId="77777777">
            <w:pPr>
              <w:pStyle w:val="73R"/>
              <w:rPr>
                <w:rtl/>
              </w:rPr>
            </w:pPr>
            <w:r w:rsidRPr="00B431F9">
              <w:rPr>
                <w:rFonts w:hint="cs"/>
                <w:rtl/>
              </w:rPr>
              <w:t>4</w:t>
            </w:r>
            <w:r w:rsidRPr="00122F6F">
              <w:rPr>
                <w:rFonts w:hint="cs"/>
                <w:vertAlign w:val="superscript"/>
                <w:rtl/>
              </w:rPr>
              <w:t>(1)</w:t>
            </w:r>
          </w:p>
        </w:tc>
      </w:tr>
    </w:tbl>
    <w:p w:rsidR="00C149B0" w:rsidRPr="00B431F9" w:rsidP="00B431F9" w14:paraId="10246E78" w14:textId="77777777">
      <w:pPr>
        <w:pStyle w:val="738"/>
        <w:spacing w:after="0"/>
        <w:rPr>
          <w:rtl/>
        </w:rPr>
      </w:pPr>
      <w:r w:rsidRPr="00B431F9">
        <w:rPr>
          <w:rFonts w:hint="cs"/>
          <w:rtl/>
        </w:rPr>
        <w:t>לפי נתוני רשות החברות הממשלתיות, בעיבוד מבקר המדינה.</w:t>
      </w:r>
    </w:p>
    <w:p w:rsidR="00C149B0" w:rsidRPr="00B431F9" w:rsidP="00B431F9" w14:paraId="60AEAB5D" w14:textId="77777777">
      <w:pPr>
        <w:pStyle w:val="738"/>
        <w:spacing w:before="0"/>
        <w:rPr>
          <w:rtl/>
        </w:rPr>
      </w:pPr>
      <w:r w:rsidRPr="00B431F9">
        <w:rPr>
          <w:rFonts w:hint="cs"/>
          <w:rtl/>
        </w:rPr>
        <w:t>(1) במועד סיום הביקורת היה מספר הדירקטורים שישה.</w:t>
      </w:r>
    </w:p>
    <w:p w:rsidR="00C149B0" w:rsidRPr="00B431F9" w:rsidP="00B431F9" w14:paraId="27F0EA59" w14:textId="77777777">
      <w:pPr>
        <w:pStyle w:val="7318"/>
        <w:rPr>
          <w:rFonts w:eastAsiaTheme="majorEastAsia"/>
          <w:rtl/>
        </w:rPr>
      </w:pPr>
      <w:r w:rsidRPr="00B431F9">
        <w:rPr>
          <w:rFonts w:hint="cs"/>
          <w:rtl/>
        </w:rPr>
        <w:t xml:space="preserve">מהלוח עולה כי </w:t>
      </w:r>
      <w:r w:rsidRPr="00B431F9">
        <w:rPr>
          <w:rFonts w:hint="eastAsia"/>
          <w:rtl/>
        </w:rPr>
        <w:t>נכון</w:t>
      </w:r>
      <w:r w:rsidRPr="00B431F9">
        <w:rPr>
          <w:rtl/>
        </w:rPr>
        <w:t xml:space="preserve"> </w:t>
      </w:r>
      <w:r w:rsidRPr="00B431F9">
        <w:rPr>
          <w:rFonts w:hint="eastAsia"/>
          <w:rtl/>
        </w:rPr>
        <w:t>לסוף</w:t>
      </w:r>
      <w:r w:rsidRPr="00B431F9">
        <w:rPr>
          <w:rtl/>
        </w:rPr>
        <w:t xml:space="preserve"> </w:t>
      </w:r>
      <w:r w:rsidRPr="00B431F9">
        <w:rPr>
          <w:rFonts w:hint="eastAsia"/>
          <w:rtl/>
        </w:rPr>
        <w:t>שנת</w:t>
      </w:r>
      <w:r w:rsidRPr="00B431F9">
        <w:rPr>
          <w:rtl/>
        </w:rPr>
        <w:t xml:space="preserve"> 2021, </w:t>
      </w:r>
      <w:r w:rsidRPr="00B431F9">
        <w:rPr>
          <w:rFonts w:hint="eastAsia"/>
          <w:rtl/>
        </w:rPr>
        <w:t>מספר</w:t>
      </w:r>
      <w:r w:rsidRPr="00B431F9">
        <w:rPr>
          <w:rtl/>
        </w:rPr>
        <w:t xml:space="preserve"> </w:t>
      </w:r>
      <w:r w:rsidRPr="00B431F9">
        <w:rPr>
          <w:rFonts w:hint="eastAsia"/>
          <w:rtl/>
        </w:rPr>
        <w:t>הדירקטורים</w:t>
      </w:r>
      <w:r w:rsidRPr="00B431F9">
        <w:rPr>
          <w:rtl/>
        </w:rPr>
        <w:t xml:space="preserve"> </w:t>
      </w:r>
      <w:r w:rsidRPr="00B431F9">
        <w:rPr>
          <w:rFonts w:hint="eastAsia"/>
          <w:rtl/>
        </w:rPr>
        <w:t>בפועל</w:t>
      </w:r>
      <w:r w:rsidRPr="00B431F9">
        <w:rPr>
          <w:rtl/>
        </w:rPr>
        <w:t xml:space="preserve"> </w:t>
      </w:r>
      <w:r w:rsidRPr="00B431F9">
        <w:rPr>
          <w:rFonts w:hint="eastAsia"/>
          <w:rtl/>
        </w:rPr>
        <w:t>ברפאל</w:t>
      </w:r>
      <w:r w:rsidRPr="00B431F9">
        <w:rPr>
          <w:rtl/>
        </w:rPr>
        <w:t xml:space="preserve"> </w:t>
      </w:r>
      <w:r w:rsidRPr="00B431F9">
        <w:rPr>
          <w:rFonts w:hint="cs"/>
          <w:rtl/>
        </w:rPr>
        <w:t>היה</w:t>
      </w:r>
      <w:r w:rsidRPr="00B431F9">
        <w:rPr>
          <w:rtl/>
        </w:rPr>
        <w:t xml:space="preserve"> </w:t>
      </w:r>
      <w:r w:rsidRPr="00B431F9">
        <w:rPr>
          <w:rFonts w:hint="eastAsia"/>
          <w:rtl/>
        </w:rPr>
        <w:t>ארבעה</w:t>
      </w:r>
      <w:r w:rsidRPr="00B431F9">
        <w:rPr>
          <w:rFonts w:eastAsiaTheme="majorEastAsia"/>
          <w:rtl/>
        </w:rPr>
        <w:t xml:space="preserve"> </w:t>
      </w:r>
      <w:r w:rsidRPr="00B431F9">
        <w:rPr>
          <w:rFonts w:eastAsiaTheme="majorEastAsia" w:hint="eastAsia"/>
          <w:rtl/>
        </w:rPr>
        <w:t>בלבד</w:t>
      </w:r>
      <w:r w:rsidRPr="00B431F9">
        <w:rPr>
          <w:rFonts w:eastAsiaTheme="majorEastAsia"/>
          <w:rtl/>
        </w:rPr>
        <w:t xml:space="preserve">. </w:t>
      </w:r>
      <w:r w:rsidRPr="00B431F9">
        <w:rPr>
          <w:rFonts w:eastAsiaTheme="majorEastAsia" w:hint="eastAsia"/>
          <w:rtl/>
        </w:rPr>
        <w:t>לשם</w:t>
      </w:r>
      <w:r w:rsidRPr="00B431F9">
        <w:rPr>
          <w:rFonts w:eastAsiaTheme="majorEastAsia"/>
          <w:rtl/>
        </w:rPr>
        <w:t xml:space="preserve"> </w:t>
      </w:r>
      <w:r w:rsidRPr="00B431F9">
        <w:rPr>
          <w:rFonts w:eastAsiaTheme="majorEastAsia" w:hint="eastAsia"/>
          <w:rtl/>
        </w:rPr>
        <w:t>השוואה</w:t>
      </w:r>
      <w:r w:rsidRPr="00B431F9">
        <w:rPr>
          <w:rFonts w:eastAsiaTheme="majorEastAsia"/>
          <w:rtl/>
        </w:rPr>
        <w:t>,</w:t>
      </w:r>
      <w:r w:rsidRPr="00B431F9">
        <w:rPr>
          <w:rFonts w:eastAsiaTheme="majorEastAsia" w:hint="cs"/>
          <w:rtl/>
        </w:rPr>
        <w:t xml:space="preserve"> </w:t>
      </w:r>
      <w:r w:rsidRPr="00B431F9">
        <w:rPr>
          <w:rFonts w:eastAsiaTheme="majorEastAsia" w:hint="cs"/>
          <w:rtl/>
        </w:rPr>
        <w:t>בחח"י</w:t>
      </w:r>
      <w:r w:rsidRPr="00B431F9">
        <w:rPr>
          <w:rFonts w:eastAsiaTheme="majorEastAsia" w:hint="cs"/>
          <w:rtl/>
        </w:rPr>
        <w:t xml:space="preserve"> </w:t>
      </w:r>
      <w:r w:rsidRPr="00B431F9">
        <w:rPr>
          <w:rFonts w:eastAsiaTheme="majorEastAsia" w:hint="cs"/>
          <w:rtl/>
        </w:rPr>
        <w:t>ובתע"א</w:t>
      </w:r>
      <w:r w:rsidRPr="00B431F9">
        <w:rPr>
          <w:rFonts w:eastAsiaTheme="majorEastAsia" w:hint="cs"/>
          <w:rtl/>
        </w:rPr>
        <w:t xml:space="preserve">, חברות אשר רשות החברות </w:t>
      </w:r>
      <w:r w:rsidRPr="00B431F9">
        <w:rPr>
          <w:rFonts w:hint="cs"/>
          <w:rtl/>
        </w:rPr>
        <w:t>הממשלתיות</w:t>
      </w:r>
      <w:r w:rsidRPr="00B431F9">
        <w:rPr>
          <w:rFonts w:eastAsiaTheme="majorEastAsia" w:hint="cs"/>
          <w:rtl/>
        </w:rPr>
        <w:t xml:space="preserve"> </w:t>
      </w:r>
      <w:r w:rsidRPr="00B431F9">
        <w:rPr>
          <w:rFonts w:hint="cs"/>
          <w:rtl/>
        </w:rPr>
        <w:t>סיווגה</w:t>
      </w:r>
      <w:r w:rsidRPr="00B431F9">
        <w:rPr>
          <w:rFonts w:eastAsiaTheme="majorEastAsia" w:hint="cs"/>
          <w:rtl/>
        </w:rPr>
        <w:t xml:space="preserve"> כבעלות רמת מורכבות דומה לזו של רפאל, הוגדר מספר מזערי של שבעה וחמישה דירקטורים (בהתאמה) לפעילות הדירקטוריון, ואילו ברפאל לא הוגדר מספר מזערי של חברי דירקטוריון; וכי מספר הדירקטורים בפועל נכון לסוף שנת 2021 היה יותר מכפול ממספר הדירקטורים ברפאל (עשרה ותשעה דירקטורים לעומת ארבעה). </w:t>
      </w:r>
    </w:p>
    <w:p w:rsidR="00C149B0" w:rsidRPr="00B431F9" w:rsidP="00B431F9" w14:paraId="605B30D2" w14:textId="77777777">
      <w:pPr>
        <w:pStyle w:val="7318"/>
        <w:rPr>
          <w:rFonts w:eastAsiaTheme="majorEastAsia"/>
          <w:rtl/>
        </w:rPr>
      </w:pPr>
      <w:r w:rsidRPr="00B431F9">
        <w:rPr>
          <w:rFonts w:eastAsiaTheme="majorEastAsia" w:hint="cs"/>
          <w:rtl/>
        </w:rPr>
        <w:t xml:space="preserve">נוכח היקף פעילותה הרחב של רפאל, כחברה עסקית ענפה בעלת היקף מכירות שנתי של כ-10 מיליארד ש"ח, מומלץ כי רשות החברות הממשלתיות תפעל בתיאום עם רפאל לבחינת שינוי בתקנון החברה באופן שייקבע </w:t>
      </w:r>
      <w:r w:rsidRPr="00B431F9">
        <w:rPr>
          <w:rFonts w:eastAsiaTheme="majorEastAsia" w:hint="eastAsia"/>
          <w:rtl/>
        </w:rPr>
        <w:t>המספר</w:t>
      </w:r>
      <w:r w:rsidRPr="00B431F9">
        <w:rPr>
          <w:rFonts w:eastAsiaTheme="majorEastAsia"/>
          <w:rtl/>
        </w:rPr>
        <w:t xml:space="preserve"> </w:t>
      </w:r>
      <w:r w:rsidRPr="00B431F9">
        <w:rPr>
          <w:rFonts w:eastAsiaTheme="majorEastAsia" w:hint="eastAsia"/>
          <w:rtl/>
        </w:rPr>
        <w:t>המזערי</w:t>
      </w:r>
      <w:r w:rsidRPr="00B431F9">
        <w:rPr>
          <w:rFonts w:eastAsiaTheme="majorEastAsia" w:hint="cs"/>
          <w:rtl/>
        </w:rPr>
        <w:t xml:space="preserve"> של דירקטורים לפעילות הדירקטוריון, בהתחשב, בין היתר, בגודלה של החברה ובמורכבות פעילותה. עוד מומלץ כי רשות החברות הממשלתיות תבחן את הצורך בקביעת המספר המזערי של דירקטורים בחברה ממשלתית, כפי שנקבע מספרם המרבי. זאת לשם הבטחת קיומו של פורום רחב ומגוון שיוכל למלא באופן המיטבי את המשימות הרבות שבאחריות הדירקטוריון ובסמכותו.</w:t>
      </w:r>
    </w:p>
    <w:p w:rsidR="00C149B0" w:rsidRPr="00B431F9" w:rsidP="00B431F9" w14:paraId="256CD5FC" w14:textId="77777777">
      <w:pPr>
        <w:pStyle w:val="73414"/>
        <w:rPr>
          <w:rtl/>
        </w:rPr>
      </w:pPr>
      <w:r w:rsidRPr="00B431F9">
        <w:rPr>
          <w:rFonts w:hint="cs"/>
          <w:rtl/>
        </w:rPr>
        <w:t>חילופי דירקטורים ברפאל</w:t>
      </w:r>
    </w:p>
    <w:p w:rsidR="00C149B0" w:rsidRPr="00B431F9" w:rsidP="00B431F9" w14:paraId="5B59FB63" w14:textId="77777777">
      <w:pPr>
        <w:pStyle w:val="7392"/>
        <w:rPr>
          <w:rtl/>
        </w:rPr>
      </w:pPr>
      <w:r w:rsidRPr="00B431F9">
        <w:rPr>
          <w:rFonts w:hint="cs"/>
          <w:rtl/>
        </w:rPr>
        <w:t xml:space="preserve">נוכח מורכבות תפקיד הדירקטור ומרכזיותו, יש חשיבות למידת היכרותו את החברה ולניסיון הנצבר שלו בכל הנוגע לתחומי פעילותה. קל וחומר בחברה עסקית ענפה כרפאל. </w:t>
      </w:r>
    </w:p>
    <w:p w:rsidR="00C149B0" w:rsidRPr="00B431F9" w:rsidP="00B431F9" w14:paraId="260DF2D0" w14:textId="3C94F51E">
      <w:pPr>
        <w:pStyle w:val="7392"/>
        <w:rPr>
          <w:rtl/>
        </w:rPr>
      </w:pPr>
      <w:r w:rsidRPr="00B431F9">
        <w:rPr>
          <w:rFonts w:hint="cs"/>
          <w:rtl/>
        </w:rPr>
        <w:t xml:space="preserve">על חשיבות הניסיון הנרכש על ידי הדירקטורים לביצוע תפקידם ניתן ללמוד מפרוטוקולים של דיוני דירקטוריון רפאל לאורך השנים. למשל, בישיבת דירקטוריון ב-16.4.19 ציין </w:t>
      </w:r>
      <w:r w:rsidRPr="00B431F9">
        <w:rPr>
          <w:rtl/>
        </w:rPr>
        <w:t xml:space="preserve">יו"ר </w:t>
      </w:r>
      <w:r w:rsidRPr="00B431F9">
        <w:rPr>
          <w:rFonts w:hint="cs"/>
          <w:rtl/>
        </w:rPr>
        <w:t xml:space="preserve">הדירקטוריון כי </w:t>
      </w:r>
      <w:r w:rsidRPr="00B431F9">
        <w:rPr>
          <w:rtl/>
        </w:rPr>
        <w:t xml:space="preserve">מודל כהונת דירקטורים הוא </w:t>
      </w:r>
      <w:r w:rsidRPr="00B431F9">
        <w:rPr>
          <w:rFonts w:hint="cs"/>
          <w:rtl/>
        </w:rPr>
        <w:t>מודל שלפיו</w:t>
      </w:r>
      <w:r w:rsidRPr="00B431F9">
        <w:rPr>
          <w:rtl/>
        </w:rPr>
        <w:t xml:space="preserve"> כאשר חברים מגיעים למצב </w:t>
      </w:r>
      <w:r w:rsidRPr="00B431F9">
        <w:rPr>
          <w:rFonts w:hint="cs"/>
          <w:rtl/>
        </w:rPr>
        <w:t xml:space="preserve">שבו </w:t>
      </w:r>
      <w:r w:rsidRPr="00B431F9">
        <w:rPr>
          <w:rtl/>
        </w:rPr>
        <w:t xml:space="preserve">ניתן להסתייע </w:t>
      </w:r>
      <w:r w:rsidRPr="00B431F9">
        <w:rPr>
          <w:rFonts w:hint="cs"/>
          <w:rtl/>
        </w:rPr>
        <w:t>ב</w:t>
      </w:r>
      <w:r w:rsidRPr="00B431F9">
        <w:rPr>
          <w:rtl/>
        </w:rPr>
        <w:t>ניסיון ש</w:t>
      </w:r>
      <w:r w:rsidRPr="00B431F9">
        <w:rPr>
          <w:rFonts w:hint="cs"/>
          <w:rtl/>
        </w:rPr>
        <w:t xml:space="preserve">הם </w:t>
      </w:r>
      <w:r w:rsidRPr="00B431F9">
        <w:rPr>
          <w:rtl/>
        </w:rPr>
        <w:t>צברו ובהיכרותם עם החברה, הם עוזבים</w:t>
      </w:r>
      <w:r w:rsidRPr="00B431F9">
        <w:rPr>
          <w:rFonts w:hint="cs"/>
          <w:rtl/>
        </w:rPr>
        <w:t>, וכי מצב זה "</w:t>
      </w:r>
      <w:r w:rsidRPr="00B431F9">
        <w:rPr>
          <w:rtl/>
        </w:rPr>
        <w:t>לא מקל על רפאל</w:t>
      </w:r>
      <w:r w:rsidRPr="00B431F9">
        <w:rPr>
          <w:rFonts w:hint="cs"/>
          <w:rtl/>
        </w:rPr>
        <w:t>"</w:t>
      </w:r>
      <w:r>
        <w:rPr>
          <w:rStyle w:val="FootnoteReference0"/>
          <w:rtl/>
        </w:rPr>
        <w:footnoteReference w:id="133"/>
      </w:r>
      <w:r w:rsidRPr="00B431F9">
        <w:rPr>
          <w:rFonts w:hint="cs"/>
          <w:rtl/>
        </w:rPr>
        <w:t xml:space="preserve">. בישיבת הדירקטוריון ב-26.8.21 ציין היו"ר כי בפגישתו עם מנכ"ל </w:t>
      </w:r>
      <w:r w:rsidRPr="00B431F9">
        <w:rPr>
          <w:rFonts w:hint="cs"/>
          <w:rtl/>
        </w:rPr>
        <w:t>משהב"ט</w:t>
      </w:r>
      <w:r w:rsidRPr="00B431F9">
        <w:rPr>
          <w:rFonts w:hint="cs"/>
          <w:rtl/>
        </w:rPr>
        <w:t xml:space="preserve"> הוא הדגיש לפניו, על רקע פרישתן של שלוש דירקטוריות, כי לדירקטוריון החברה נדרש מינימום של אנשים מעורבים המכירים את החברה; כי החברה גדולה ומורכבת; וכי "דירקטור גם אחרי חצי שנה לא מסוגל לשלוט במורכבות השיקולים כפי שהם בחברת רפאל"; כי אמורים לעזוב את הדירקטוריון דירקטורים נוספים; וכי יש "לטפל בבעיה זו מיד". דירקטור אחר ציין באותה ישיבה כי בחברות מסוגה של רפאל "המיומנות נרכשת תוך כדי מילוי התפקיד", וכי החלפה בתדירות גבוהה של דירקטורים כשהם יודעים למלא את תפקידם ביעילות, היא "לא לעניין". </w:t>
      </w:r>
    </w:p>
    <w:p w:rsidR="00C149B0" w:rsidRPr="00B431F9" w:rsidP="00B431F9" w14:paraId="0028D3FB" w14:textId="77777777">
      <w:pPr>
        <w:pStyle w:val="7318"/>
        <w:rPr>
          <w:rtl/>
        </w:rPr>
      </w:pPr>
      <w:r w:rsidRPr="00B431F9">
        <w:rPr>
          <w:rFonts w:hint="cs"/>
          <w:rtl/>
        </w:rPr>
        <w:t>בביקורת עלה כי בחודשים אוגוסט עד נובמבר 2021 שבעה מתוך תשעה דירקטורים שכיהנו בדירקטוריון רפאל היו אמורים לסיים את תפקידם נוכח חלוף שלוש שנים מאז מינוים</w:t>
      </w:r>
      <w:r>
        <w:rPr>
          <w:rStyle w:val="FootnoteReference0"/>
          <w:rtl/>
        </w:rPr>
        <w:footnoteReference w:id="134"/>
      </w:r>
      <w:r w:rsidRPr="00B431F9">
        <w:rPr>
          <w:rFonts w:hint="cs"/>
          <w:rtl/>
        </w:rPr>
        <w:t>, ודירקטור נוסף היה אמור לסיים את תפקידו בינואר 2022. עוד עלה כי אף שמועד סיום תקופת כהונתם הראשונה של הדירקטורים היה ידוע, השרים הממונים - שר האוצר ושר הביטחון - ורשות החברות הממשלתיות לא השלימו את פעילותם מבעוד מועד לצורך חידוש מינוים או מינוי דירקטורים אחרים במקומם; ואף כי ארבעה מהם</w:t>
      </w:r>
      <w:r>
        <w:rPr>
          <w:rStyle w:val="FootnoteReference0"/>
          <w:rtl/>
        </w:rPr>
        <w:footnoteReference w:id="135"/>
      </w:r>
      <w:r w:rsidRPr="00B431F9">
        <w:rPr>
          <w:rFonts w:hint="cs"/>
          <w:rtl/>
        </w:rPr>
        <w:t xml:space="preserve"> חזרו לשמש כדירקטורים ברפאל, מועד מינוים מחדש היה כחודשיים לאחר סיום כהונתם; וכי דירקטורית חדשה החלה בתפקידה באפריל 2022. בנסיבות אלה, בדצמבר 2021 אישר דירקטוריון החברה את תקציבה לשנת 2022 בהרכב של ארבעה דירקטורים.</w:t>
      </w:r>
    </w:p>
    <w:p w:rsidR="00C149B0" w:rsidRPr="00B431F9" w:rsidP="00B431F9" w14:paraId="3959036C" w14:textId="77777777">
      <w:pPr>
        <w:pStyle w:val="7318"/>
        <w:rPr>
          <w:rtl/>
        </w:rPr>
      </w:pPr>
      <w:r w:rsidRPr="00B431F9">
        <w:rPr>
          <w:rFonts w:hint="cs"/>
          <w:rtl/>
        </w:rPr>
        <w:t>לפיכך, לא הייתה רציפות בכהונתם של דירקטורים ברפאל והיו פרקי זמן שבהם פחת מספרם, זאת נוכח אי-מינויים של דירקטורים חדשים במועד או עיכוב במינוי מחדש של דירקטורים שכהונתם הסתיימה.</w:t>
      </w:r>
    </w:p>
    <w:p w:rsidR="00C149B0" w:rsidRPr="00B431F9" w:rsidP="00B431F9" w14:paraId="26E52BC4" w14:textId="77777777">
      <w:pPr>
        <w:pStyle w:val="7392"/>
        <w:rPr>
          <w:rtl/>
        </w:rPr>
      </w:pPr>
      <w:r w:rsidRPr="00B431F9">
        <w:rPr>
          <w:rFonts w:hint="cs"/>
          <w:rtl/>
        </w:rPr>
        <w:t>בתגובתו של משרד האוצר על ממצאי הביקורת מדצמבר 2022 הוא מסר כי מרגע שהאחריות על רשות החברות עברה למשרד האוצר</w:t>
      </w:r>
      <w:r>
        <w:rPr>
          <w:rStyle w:val="FootnoteReference0"/>
          <w:rtl/>
        </w:rPr>
        <w:footnoteReference w:id="136"/>
      </w:r>
      <w:r w:rsidRPr="00B431F9">
        <w:rPr>
          <w:rFonts w:hint="cs"/>
          <w:rtl/>
        </w:rPr>
        <w:t>, פעל שר האוצר בהקדם לחידוש כהונתן של שתי דירקטוריות ברפאל; ובינואר 2022 הוארכה כהונתו של דירקטור נוסף.</w:t>
      </w:r>
    </w:p>
    <w:p w:rsidR="00C149B0" w:rsidP="00B431F9" w14:paraId="40CCC4C9" w14:textId="77777777">
      <w:pPr>
        <w:pStyle w:val="7318"/>
        <w:rPr>
          <w:rtl/>
        </w:rPr>
      </w:pPr>
      <w:r w:rsidRPr="00D94367">
        <w:rPr>
          <w:rFonts w:hint="cs"/>
          <w:rtl/>
        </w:rPr>
        <w:t xml:space="preserve">מומלץ כי </w:t>
      </w:r>
      <w:r>
        <w:rPr>
          <w:rFonts w:hint="cs"/>
          <w:rtl/>
        </w:rPr>
        <w:t>השרים הנוגעים</w:t>
      </w:r>
      <w:r w:rsidRPr="002E7C78">
        <w:rPr>
          <w:rFonts w:hint="cs"/>
          <w:rtl/>
        </w:rPr>
        <w:t xml:space="preserve"> </w:t>
      </w:r>
      <w:r>
        <w:rPr>
          <w:rFonts w:hint="cs"/>
          <w:rtl/>
        </w:rPr>
        <w:t xml:space="preserve">בדבר - </w:t>
      </w:r>
      <w:r w:rsidRPr="002E7C78">
        <w:rPr>
          <w:rFonts w:hint="cs"/>
          <w:rtl/>
        </w:rPr>
        <w:t>שר האוצר ושר שנקבע כאחראי לענייני חברה</w:t>
      </w:r>
      <w:r>
        <w:rPr>
          <w:rFonts w:hint="cs"/>
          <w:rtl/>
        </w:rPr>
        <w:t xml:space="preserve"> ממשלתית - ו</w:t>
      </w:r>
      <w:r w:rsidRPr="00D94367">
        <w:rPr>
          <w:rFonts w:hint="cs"/>
          <w:rtl/>
        </w:rPr>
        <w:t xml:space="preserve">רשות החברות </w:t>
      </w:r>
      <w:r>
        <w:rPr>
          <w:rFonts w:hint="cs"/>
          <w:rtl/>
        </w:rPr>
        <w:t>הממשלתיות, בהתאם לתפקידיה בעניין זה, י</w:t>
      </w:r>
      <w:r w:rsidRPr="00D94367">
        <w:rPr>
          <w:rFonts w:hint="cs"/>
          <w:rtl/>
        </w:rPr>
        <w:t>פעל</w:t>
      </w:r>
      <w:r>
        <w:rPr>
          <w:rFonts w:hint="cs"/>
          <w:rtl/>
        </w:rPr>
        <w:t>ו</w:t>
      </w:r>
      <w:r w:rsidRPr="00D94367">
        <w:rPr>
          <w:rFonts w:hint="cs"/>
          <w:rtl/>
        </w:rPr>
        <w:t xml:space="preserve"> לכך שהליכי בחירתם של דירקטורים חדשים מטעם המדינה או הארכת כהונתם של דירקטורים מכהנים יחלו מבעוד מועד, </w:t>
      </w:r>
      <w:r>
        <w:rPr>
          <w:rFonts w:hint="cs"/>
          <w:rtl/>
        </w:rPr>
        <w:t>קודם</w:t>
      </w:r>
      <w:r w:rsidRPr="00D94367">
        <w:rPr>
          <w:rFonts w:hint="cs"/>
          <w:rtl/>
        </w:rPr>
        <w:t xml:space="preserve"> </w:t>
      </w:r>
      <w:r>
        <w:rPr>
          <w:rFonts w:hint="cs"/>
          <w:rtl/>
        </w:rPr>
        <w:t>ל</w:t>
      </w:r>
      <w:r w:rsidRPr="00D94367">
        <w:rPr>
          <w:rFonts w:hint="cs"/>
          <w:rtl/>
        </w:rPr>
        <w:t xml:space="preserve">סיום כהונתם של דירקטורים מכהנים, שכן השתהות במינוי דירקטורים חדשים או קטיעת פעילותם של דירקטורים עד למינוי חדש </w:t>
      </w:r>
      <w:r w:rsidRPr="00D94367">
        <w:rPr>
          <w:rFonts w:eastAsiaTheme="majorEastAsia" w:hint="cs"/>
          <w:sz w:val="16"/>
          <w:rtl/>
        </w:rPr>
        <w:t xml:space="preserve">עלולה לפגוע בתפקוד </w:t>
      </w:r>
      <w:r>
        <w:rPr>
          <w:rFonts w:eastAsiaTheme="majorEastAsia" w:hint="cs"/>
          <w:sz w:val="16"/>
          <w:rtl/>
        </w:rPr>
        <w:t>ה</w:t>
      </w:r>
      <w:r w:rsidRPr="00D94367">
        <w:rPr>
          <w:rFonts w:eastAsiaTheme="majorEastAsia" w:hint="cs"/>
          <w:sz w:val="16"/>
          <w:rtl/>
        </w:rPr>
        <w:t xml:space="preserve">מיטבי של הדירקטוריון, </w:t>
      </w:r>
      <w:r>
        <w:rPr>
          <w:rFonts w:eastAsiaTheme="majorEastAsia" w:hint="cs"/>
          <w:sz w:val="16"/>
          <w:rtl/>
        </w:rPr>
        <w:t>ובכלל זה עלולה לפגוע ב</w:t>
      </w:r>
      <w:r w:rsidRPr="00D94367">
        <w:rPr>
          <w:rFonts w:eastAsiaTheme="majorEastAsia" w:hint="cs"/>
          <w:sz w:val="16"/>
          <w:rtl/>
        </w:rPr>
        <w:t>יכולת הפיקוח והבקרה שלו על פעילות החברה, ובכך גם בתוצאות פעילותה.</w:t>
      </w:r>
    </w:p>
    <w:p w:rsidR="00C149B0" w:rsidRPr="00B431F9" w:rsidP="00B431F9" w14:paraId="0AA630E9" w14:textId="77777777">
      <w:pPr>
        <w:pStyle w:val="7392"/>
        <w:rPr>
          <w:rtl/>
        </w:rPr>
      </w:pPr>
      <w:r w:rsidRPr="00B431F9">
        <w:rPr>
          <w:rFonts w:hint="cs"/>
          <w:rtl/>
        </w:rPr>
        <w:t>בתגובתה של רשות החברות הממשלתיות על ממצאי הביקורת היא מסרה</w:t>
      </w:r>
      <w:r w:rsidRPr="00B431F9">
        <w:rPr>
          <w:rtl/>
        </w:rPr>
        <w:t xml:space="preserve"> כי </w:t>
      </w:r>
      <w:r w:rsidRPr="00B431F9">
        <w:rPr>
          <w:rFonts w:hint="cs"/>
          <w:rtl/>
        </w:rPr>
        <w:t xml:space="preserve">היא סבורה שמינוי של דירקטורים בחברות ממשלתיות בעיתוי ובאופן הנדרש הוא בעל חשיבות רבה לתפקוד החברות, ועל כן היא פועלת על מנת לסייע לשרים לאייש את הדירקטוריונים במועד ונוקטת את כל האמצעים העומדים לרשותה לשם כך. </w:t>
      </w:r>
    </w:p>
    <w:p w:rsidR="00C149B0" w:rsidRPr="00B431F9" w:rsidP="00B431F9" w14:paraId="24AEFE9D" w14:textId="77777777">
      <w:pPr>
        <w:pStyle w:val="7318"/>
        <w:rPr>
          <w:rFonts w:eastAsiaTheme="majorEastAsia"/>
          <w:rtl/>
        </w:rPr>
      </w:pPr>
      <w:r w:rsidRPr="00B431F9">
        <w:rPr>
          <w:rFonts w:hint="cs"/>
          <w:rtl/>
        </w:rPr>
        <w:t xml:space="preserve">עוד מומלץ כי </w:t>
      </w:r>
      <w:r w:rsidRPr="00B431F9">
        <w:rPr>
          <w:rFonts w:eastAsiaTheme="majorEastAsia" w:hint="cs"/>
          <w:rtl/>
        </w:rPr>
        <w:t xml:space="preserve">רשות החברות הממשלתיות תבחן אפשרויות להסדרת הליך מינוי מזורז לכהונה נוספת של דירקטורים בחברות ממשלתיות. כמו כן מומלץ כי תתקיים תחלופה הדרגתית של הדירקטורים, כי תיבחן אפשרות לקביעת משך כהונה דיפרנציאלי של דירקטורים בחברות בהתאם לרמת המורכבות של החברות ולסיווגן. </w:t>
      </w:r>
    </w:p>
    <w:p w:rsidR="00C149B0" w:rsidRPr="00B431F9" w:rsidP="00B431F9" w14:paraId="686A87B4" w14:textId="77777777">
      <w:pPr>
        <w:pStyle w:val="7392"/>
        <w:rPr>
          <w:rtl/>
        </w:rPr>
      </w:pPr>
      <w:r w:rsidRPr="00B431F9">
        <w:rPr>
          <w:rFonts w:hint="cs"/>
          <w:rtl/>
        </w:rPr>
        <w:t>בתגובתה של רשות החברות הממשלתיות על ממצאי הביקורת היא מסרה</w:t>
      </w:r>
      <w:r w:rsidRPr="00B431F9">
        <w:rPr>
          <w:rtl/>
        </w:rPr>
        <w:t xml:space="preserve"> כי ב-31.8.22</w:t>
      </w:r>
      <w:r w:rsidRPr="00B431F9">
        <w:rPr>
          <w:rFonts w:hint="cs"/>
          <w:rtl/>
        </w:rPr>
        <w:t xml:space="preserve">, לאחר מועד סיום הביקורת, </w:t>
      </w:r>
      <w:r w:rsidRPr="00B431F9">
        <w:rPr>
          <w:rtl/>
        </w:rPr>
        <w:t xml:space="preserve">מינתה מנהלת </w:t>
      </w:r>
      <w:r w:rsidRPr="00B431F9">
        <w:rPr>
          <w:rFonts w:hint="cs"/>
          <w:rtl/>
        </w:rPr>
        <w:t>ה</w:t>
      </w:r>
      <w:r w:rsidRPr="00B431F9">
        <w:rPr>
          <w:rtl/>
        </w:rPr>
        <w:t xml:space="preserve">רשות </w:t>
      </w:r>
      <w:r w:rsidRPr="00B431F9">
        <w:rPr>
          <w:rFonts w:hint="cs"/>
          <w:rtl/>
        </w:rPr>
        <w:t>ועדה ציבורית ייעודית</w:t>
      </w:r>
      <w:r>
        <w:rPr>
          <w:rStyle w:val="FootnoteReference0"/>
          <w:rtl/>
        </w:rPr>
        <w:footnoteReference w:id="137"/>
      </w:r>
      <w:r w:rsidRPr="00B431F9">
        <w:rPr>
          <w:rtl/>
        </w:rPr>
        <w:t xml:space="preserve">. בכתב המינוי של הוועדה נכתב </w:t>
      </w:r>
      <w:r w:rsidRPr="00B431F9">
        <w:rPr>
          <w:rFonts w:hint="cs"/>
          <w:rtl/>
        </w:rPr>
        <w:t xml:space="preserve">כי </w:t>
      </w:r>
      <w:r w:rsidRPr="00B431F9">
        <w:rPr>
          <w:rtl/>
        </w:rPr>
        <w:t xml:space="preserve">בין תפקידי הוועדה לבחון ולייעץ למנהלת </w:t>
      </w:r>
      <w:r w:rsidRPr="00B431F9">
        <w:rPr>
          <w:rFonts w:hint="cs"/>
          <w:rtl/>
        </w:rPr>
        <w:t>ה</w:t>
      </w:r>
      <w:r w:rsidRPr="00B431F9">
        <w:rPr>
          <w:rtl/>
        </w:rPr>
        <w:t>רשות בנושאים הנוגעים למינויים של דירקטורים, לרבות</w:t>
      </w:r>
      <w:r w:rsidRPr="00B431F9">
        <w:rPr>
          <w:rFonts w:hint="cs"/>
          <w:rtl/>
        </w:rPr>
        <w:t>:</w:t>
      </w:r>
      <w:r w:rsidRPr="00B431F9">
        <w:rPr>
          <w:rtl/>
        </w:rPr>
        <w:t xml:space="preserve"> תמהיל והרכב מומלצים לדירקטוריון בהתייחס לחברות הממשלתיות השונות</w:t>
      </w:r>
      <w:r w:rsidRPr="00B431F9">
        <w:rPr>
          <w:rFonts w:hint="cs"/>
          <w:rtl/>
        </w:rPr>
        <w:t>,</w:t>
      </w:r>
      <w:r w:rsidRPr="00B431F9">
        <w:rPr>
          <w:rtl/>
        </w:rPr>
        <w:t xml:space="preserve"> קביעת מספר הדירקטורים המומלץ בדירקטוריונים</w:t>
      </w:r>
      <w:r w:rsidRPr="00B431F9">
        <w:rPr>
          <w:rFonts w:hint="cs"/>
          <w:rtl/>
        </w:rPr>
        <w:t>,</w:t>
      </w:r>
      <w:r w:rsidRPr="00B431F9">
        <w:rPr>
          <w:rtl/>
        </w:rPr>
        <w:t xml:space="preserve"> בחינת </w:t>
      </w:r>
      <w:r w:rsidRPr="00B431F9">
        <w:rPr>
          <w:rFonts w:hint="cs"/>
          <w:rtl/>
        </w:rPr>
        <w:t>ה</w:t>
      </w:r>
      <w:r w:rsidRPr="00B431F9">
        <w:rPr>
          <w:rtl/>
        </w:rPr>
        <w:t>משך ו</w:t>
      </w:r>
      <w:r w:rsidRPr="00B431F9">
        <w:rPr>
          <w:rFonts w:hint="cs"/>
          <w:rtl/>
        </w:rPr>
        <w:t>ה</w:t>
      </w:r>
      <w:r w:rsidRPr="00B431F9">
        <w:rPr>
          <w:rtl/>
        </w:rPr>
        <w:t xml:space="preserve">רצף </w:t>
      </w:r>
      <w:r w:rsidRPr="00B431F9">
        <w:rPr>
          <w:rFonts w:hint="cs"/>
          <w:rtl/>
        </w:rPr>
        <w:t xml:space="preserve">של </w:t>
      </w:r>
      <w:r w:rsidRPr="00B431F9">
        <w:rPr>
          <w:rtl/>
        </w:rPr>
        <w:t>הכהונה</w:t>
      </w:r>
      <w:r w:rsidRPr="00B431F9">
        <w:rPr>
          <w:rFonts w:hint="cs"/>
          <w:rtl/>
        </w:rPr>
        <w:t>,</w:t>
      </w:r>
      <w:r w:rsidRPr="00B431F9">
        <w:rPr>
          <w:rtl/>
        </w:rPr>
        <w:t xml:space="preserve"> צעדים למניעת ה</w:t>
      </w:r>
      <w:r w:rsidRPr="00B431F9">
        <w:rPr>
          <w:rFonts w:hint="cs"/>
          <w:rtl/>
        </w:rPr>
        <w:t>י</w:t>
      </w:r>
      <w:r w:rsidRPr="00B431F9">
        <w:rPr>
          <w:rtl/>
        </w:rPr>
        <w:t xml:space="preserve">עדר מניין חוקי (קוורום) לפעילות </w:t>
      </w:r>
      <w:r w:rsidRPr="00B431F9">
        <w:rPr>
          <w:rFonts w:hint="cs"/>
          <w:rtl/>
        </w:rPr>
        <w:t>ה</w:t>
      </w:r>
      <w:r w:rsidRPr="00B431F9">
        <w:rPr>
          <w:rtl/>
        </w:rPr>
        <w:t>דירקטוריון ודרכים להתמודד עם מצב של ה</w:t>
      </w:r>
      <w:r w:rsidRPr="00B431F9">
        <w:rPr>
          <w:rFonts w:hint="cs"/>
          <w:rtl/>
        </w:rPr>
        <w:t>י</w:t>
      </w:r>
      <w:r w:rsidRPr="00B431F9">
        <w:rPr>
          <w:rtl/>
        </w:rPr>
        <w:t>עדר קוורום כאמור</w:t>
      </w:r>
      <w:r w:rsidRPr="00B431F9">
        <w:rPr>
          <w:rFonts w:hint="cs"/>
          <w:rtl/>
        </w:rPr>
        <w:t>;</w:t>
      </w:r>
      <w:r w:rsidRPr="00B431F9">
        <w:rPr>
          <w:rtl/>
        </w:rPr>
        <w:t xml:space="preserve"> וכי הוועדה </w:t>
      </w:r>
      <w:r w:rsidRPr="00B431F9">
        <w:rPr>
          <w:rFonts w:hint="cs"/>
          <w:rtl/>
        </w:rPr>
        <w:t>צפויה להגיש</w:t>
      </w:r>
      <w:r w:rsidRPr="00B431F9">
        <w:rPr>
          <w:rtl/>
        </w:rPr>
        <w:t xml:space="preserve"> את המלצותיה </w:t>
      </w:r>
      <w:r w:rsidRPr="00B431F9">
        <w:rPr>
          <w:rFonts w:hint="cs"/>
          <w:rtl/>
        </w:rPr>
        <w:t>כשישה</w:t>
      </w:r>
      <w:r w:rsidRPr="00B431F9">
        <w:rPr>
          <w:rtl/>
        </w:rPr>
        <w:t xml:space="preserve"> חודשים </w:t>
      </w:r>
      <w:r w:rsidRPr="00B431F9">
        <w:rPr>
          <w:rFonts w:hint="cs"/>
          <w:rtl/>
        </w:rPr>
        <w:t xml:space="preserve">לאחר </w:t>
      </w:r>
      <w:r w:rsidRPr="00B431F9">
        <w:rPr>
          <w:rtl/>
        </w:rPr>
        <w:t>תחילת פעילותה.</w:t>
      </w:r>
      <w:r w:rsidRPr="00B431F9">
        <w:rPr>
          <w:rFonts w:hint="cs"/>
          <w:rtl/>
        </w:rPr>
        <w:t xml:space="preserve"> עוד מסרה הרשות כי צפוי שהוועדה תספק מענה מקצועי על נושאים רוחביים העולים בהמלצות הביקורת.</w:t>
      </w:r>
    </w:p>
    <w:p w:rsidR="00C149B0" w:rsidRPr="001E7361" w:rsidP="001E7361" w14:paraId="59E4E6D8" w14:textId="77777777">
      <w:pPr>
        <w:pStyle w:val="733155"/>
        <w:rPr>
          <w:rtl/>
        </w:rPr>
      </w:pPr>
      <w:bookmarkStart w:id="35" w:name="_Toc115616211"/>
      <w:bookmarkStart w:id="36" w:name="_Toc63925940"/>
      <w:r w:rsidRPr="001E7361">
        <w:rPr>
          <w:rFonts w:hint="cs"/>
          <w:rtl/>
        </w:rPr>
        <w:t>מינוי רואה חשבון מבקר</w:t>
      </w:r>
      <w:bookmarkEnd w:id="35"/>
    </w:p>
    <w:p w:rsidR="00C149B0" w:rsidRPr="00D94367" w:rsidP="00B431F9" w14:paraId="3D78E03C" w14:textId="77777777">
      <w:pPr>
        <w:pStyle w:val="7392"/>
        <w:rPr>
          <w:rtl/>
        </w:rPr>
      </w:pPr>
      <w:r w:rsidRPr="00D94367">
        <w:rPr>
          <w:rFonts w:hint="cs"/>
          <w:rtl/>
        </w:rPr>
        <w:t>בחוק החברות</w:t>
      </w:r>
      <w:r>
        <w:rPr>
          <w:rFonts w:hint="cs"/>
          <w:rtl/>
        </w:rPr>
        <w:t xml:space="preserve"> </w:t>
      </w:r>
      <w:r w:rsidRPr="00D94367">
        <w:rPr>
          <w:rFonts w:hint="cs"/>
          <w:rtl/>
        </w:rPr>
        <w:t>נכתב בין היתר כי חברה תמנה רואה חשבון מבקר שיבקר את הדוחות הכספיים השנתיים שלה ויחווה את דעתו עליהם; וכי הוא אחראי כלפי החברה ובעלי מניותיה לאמור בחוות דעתו לגבי הדוחות הכספיים. בחוק החברות הממשלתיות נקבע כי המינוי של רואה חשבון לחברה ממשלתית טעון אישור של רשות החברות</w:t>
      </w:r>
      <w:r>
        <w:rPr>
          <w:rFonts w:hint="cs"/>
          <w:rtl/>
        </w:rPr>
        <w:t xml:space="preserve"> הממשלתיות,</w:t>
      </w:r>
      <w:r w:rsidRPr="00D94367">
        <w:rPr>
          <w:rFonts w:hint="cs"/>
          <w:rtl/>
        </w:rPr>
        <w:t xml:space="preserve"> וכי רואה חשבון של חברה ממשלתית חייב למסור לדירקטוריון, לשרים ולרשות, לפי דרישתם, ידיעות על ענייני החברה, לערוך בחברה ביקורת מיוחדת ולמסור לה דוח על תוצאותיה. </w:t>
      </w:r>
    </w:p>
    <w:p w:rsidR="00C149B0" w:rsidRPr="00D94367" w:rsidP="00B431F9" w14:paraId="613F299F" w14:textId="77777777">
      <w:pPr>
        <w:pStyle w:val="7392"/>
        <w:rPr>
          <w:rtl/>
        </w:rPr>
      </w:pPr>
      <w:r w:rsidRPr="00D94367">
        <w:rPr>
          <w:rFonts w:hint="cs"/>
          <w:rtl/>
        </w:rPr>
        <w:t>בכללי החברות הממשלתיות (מינוי רואי חשבון ושכרם), התשנ"ד-1994 (להלן - כללי החברות הממשלתיות)</w:t>
      </w:r>
      <w:r>
        <w:rPr>
          <w:rFonts w:hint="cs"/>
          <w:rtl/>
        </w:rPr>
        <w:t>,</w:t>
      </w:r>
      <w:r w:rsidRPr="00D94367">
        <w:rPr>
          <w:rFonts w:hint="cs"/>
          <w:rtl/>
        </w:rPr>
        <w:t xml:space="preserve"> שהותקנו מתוקף חוק החברות הממשלתיות נקבע כי שר המשפטים ושר האוצר</w:t>
      </w:r>
      <w:r>
        <w:rPr>
          <w:rStyle w:val="FootnoteReference0"/>
          <w:rtl/>
        </w:rPr>
        <w:footnoteReference w:id="138"/>
      </w:r>
      <w:r w:rsidRPr="00D94367">
        <w:rPr>
          <w:rFonts w:hint="cs"/>
          <w:rtl/>
        </w:rPr>
        <w:t xml:space="preserve"> ימנו ועדה שתפקידה להמליץ, בין היתר, </w:t>
      </w:r>
      <w:r>
        <w:rPr>
          <w:rFonts w:hint="cs"/>
          <w:rtl/>
        </w:rPr>
        <w:t>על דבר</w:t>
      </w:r>
      <w:r w:rsidRPr="00D94367">
        <w:rPr>
          <w:rFonts w:hint="cs"/>
          <w:rtl/>
        </w:rPr>
        <w:t xml:space="preserve"> מינויו </w:t>
      </w:r>
      <w:r>
        <w:rPr>
          <w:rFonts w:hint="cs"/>
          <w:rtl/>
        </w:rPr>
        <w:t xml:space="preserve">או </w:t>
      </w:r>
      <w:r w:rsidRPr="00D94367">
        <w:rPr>
          <w:rFonts w:hint="cs"/>
          <w:rtl/>
        </w:rPr>
        <w:t>ביטול מינויו של רואה חשבון לחברה ממשלתית (להלן - הוועדה למינוי רואי חשבון); כי בוועדה יהיו שבעה חברים</w:t>
      </w:r>
      <w:r>
        <w:rPr>
          <w:rStyle w:val="FootnoteReference0"/>
          <w:rtl/>
        </w:rPr>
        <w:footnoteReference w:id="139"/>
      </w:r>
      <w:r w:rsidRPr="00D94367">
        <w:rPr>
          <w:rFonts w:hint="cs"/>
          <w:rtl/>
        </w:rPr>
        <w:t xml:space="preserve">; כי תוקף פעולותיה של הוועדה לא ייפגע אם התפנה מקומו של אחד מנציגי הציבור, </w:t>
      </w:r>
      <w:r>
        <w:rPr>
          <w:rFonts w:hint="cs"/>
          <w:rtl/>
        </w:rPr>
        <w:t>אלא</w:t>
      </w:r>
      <w:r w:rsidRPr="00D94367">
        <w:rPr>
          <w:rFonts w:hint="cs"/>
          <w:rtl/>
        </w:rPr>
        <w:t xml:space="preserve"> אם </w:t>
      </w:r>
      <w:r>
        <w:rPr>
          <w:rFonts w:hint="cs"/>
          <w:rtl/>
        </w:rPr>
        <w:t xml:space="preserve">כן </w:t>
      </w:r>
      <w:r w:rsidRPr="00D94367">
        <w:rPr>
          <w:rFonts w:hint="cs"/>
          <w:rtl/>
        </w:rPr>
        <w:t xml:space="preserve">הוא מכהן כיו"ר הוועדה; וכי תקופת המינוי של חברי הוועדה תהיה ארבע שנים. </w:t>
      </w:r>
    </w:p>
    <w:p w:rsidR="00C149B0" w:rsidRPr="00D94367" w:rsidP="00B431F9" w14:paraId="4F2CB212" w14:textId="77777777">
      <w:pPr>
        <w:pStyle w:val="7392"/>
        <w:rPr>
          <w:rtl/>
        </w:rPr>
      </w:pPr>
      <w:r w:rsidRPr="00D94367">
        <w:rPr>
          <w:rFonts w:hint="cs"/>
          <w:rtl/>
        </w:rPr>
        <w:t xml:space="preserve">עוד נקבע בכללי החברות הממשלתיות כי רשות החברות </w:t>
      </w:r>
      <w:r>
        <w:rPr>
          <w:rFonts w:hint="cs"/>
          <w:rtl/>
        </w:rPr>
        <w:t xml:space="preserve">הממשלתיות </w:t>
      </w:r>
      <w:r w:rsidRPr="00D94367">
        <w:rPr>
          <w:rFonts w:hint="cs"/>
          <w:rtl/>
        </w:rPr>
        <w:t>תציע לוועדה לפחות חמישה רואי חשבון המתאימים לחברה מסוימת</w:t>
      </w:r>
      <w:r>
        <w:rPr>
          <w:rStyle w:val="FootnoteReference0"/>
          <w:rtl/>
        </w:rPr>
        <w:footnoteReference w:id="140"/>
      </w:r>
      <w:r w:rsidRPr="00D94367">
        <w:rPr>
          <w:rFonts w:hint="cs"/>
          <w:rtl/>
        </w:rPr>
        <w:t xml:space="preserve">, על פי אמות מידה שתקבע להתאמתם של רואי חשבון לסוגי חברות ממשלתיות; כי הוועדה תבחן את הצעת הרשות ותמליץ על רואה חשבון </w:t>
      </w:r>
      <w:r w:rsidRPr="00D94367">
        <w:rPr>
          <w:rFonts w:hint="cs"/>
          <w:rtl/>
        </w:rPr>
        <w:t>מביניהם</w:t>
      </w:r>
      <w:r>
        <w:rPr>
          <w:rStyle w:val="FootnoteReference0"/>
          <w:rtl/>
        </w:rPr>
        <w:footnoteReference w:id="141"/>
      </w:r>
      <w:r w:rsidRPr="00D94367">
        <w:rPr>
          <w:rFonts w:hint="cs"/>
          <w:rtl/>
        </w:rPr>
        <w:t>; כי המלצת הוועדה תובא לדיון, באמצעות רשות החברות</w:t>
      </w:r>
      <w:r>
        <w:rPr>
          <w:rFonts w:hint="cs"/>
          <w:rtl/>
        </w:rPr>
        <w:t xml:space="preserve"> הממשלתיות</w:t>
      </w:r>
      <w:r w:rsidRPr="00D94367">
        <w:rPr>
          <w:rFonts w:hint="cs"/>
          <w:rtl/>
        </w:rPr>
        <w:t xml:space="preserve">, </w:t>
      </w:r>
      <w:r w:rsidRPr="00D94367">
        <w:rPr>
          <w:rFonts w:hint="cs"/>
          <w:rtl/>
        </w:rPr>
        <w:t>באס</w:t>
      </w:r>
      <w:r>
        <w:rPr>
          <w:rFonts w:hint="cs"/>
          <w:rtl/>
        </w:rPr>
        <w:t>י</w:t>
      </w:r>
      <w:r w:rsidRPr="00D94367">
        <w:rPr>
          <w:rFonts w:hint="cs"/>
          <w:rtl/>
        </w:rPr>
        <w:t>פה</w:t>
      </w:r>
      <w:r w:rsidRPr="00D94367">
        <w:rPr>
          <w:rFonts w:hint="cs"/>
          <w:rtl/>
        </w:rPr>
        <w:t xml:space="preserve"> הכללית של החברה</w:t>
      </w:r>
      <w:r>
        <w:rPr>
          <w:rStyle w:val="FootnoteReference0"/>
          <w:rtl/>
        </w:rPr>
        <w:footnoteReference w:id="142"/>
      </w:r>
      <w:r w:rsidRPr="00D94367">
        <w:rPr>
          <w:rFonts w:hint="cs"/>
          <w:rtl/>
        </w:rPr>
        <w:t xml:space="preserve">; כי החלטת </w:t>
      </w:r>
      <w:r w:rsidRPr="00D94367">
        <w:rPr>
          <w:rFonts w:hint="cs"/>
          <w:rtl/>
        </w:rPr>
        <w:t>האס</w:t>
      </w:r>
      <w:r>
        <w:rPr>
          <w:rFonts w:hint="cs"/>
          <w:rtl/>
        </w:rPr>
        <w:t>י</w:t>
      </w:r>
      <w:r w:rsidRPr="00D94367">
        <w:rPr>
          <w:rFonts w:hint="cs"/>
          <w:rtl/>
        </w:rPr>
        <w:t>פה</w:t>
      </w:r>
      <w:r w:rsidRPr="00D94367">
        <w:rPr>
          <w:rFonts w:hint="cs"/>
          <w:rtl/>
        </w:rPr>
        <w:t xml:space="preserve"> הכללית בדבר מינוי רואה חשבון טעונה אישור של רשות החברות</w:t>
      </w:r>
      <w:r>
        <w:rPr>
          <w:rFonts w:hint="cs"/>
          <w:rtl/>
        </w:rPr>
        <w:t xml:space="preserve"> הממשלתיות</w:t>
      </w:r>
      <w:r w:rsidRPr="00D94367">
        <w:rPr>
          <w:rFonts w:hint="cs"/>
          <w:rtl/>
        </w:rPr>
        <w:t>; וכי אישור הרשות למינוי רואה חשבון יינתן לתקופה שהיא תקבע, ובלבד שהתקופה הכוללת של המינוי לא תעלה על שש שנים רצופות</w:t>
      </w:r>
      <w:r>
        <w:rPr>
          <w:rStyle w:val="FootnoteReference0"/>
          <w:rtl/>
        </w:rPr>
        <w:footnoteReference w:id="143"/>
      </w:r>
      <w:r w:rsidRPr="00D94367">
        <w:rPr>
          <w:rFonts w:hint="cs"/>
          <w:rtl/>
        </w:rPr>
        <w:t>.</w:t>
      </w:r>
    </w:p>
    <w:p w:rsidR="00C149B0" w:rsidP="00B431F9" w14:paraId="00B8394E" w14:textId="77777777">
      <w:pPr>
        <w:pStyle w:val="7392"/>
        <w:rPr>
          <w:rtl/>
        </w:rPr>
      </w:pPr>
      <w:r w:rsidRPr="00D94367">
        <w:rPr>
          <w:rFonts w:hint="cs"/>
          <w:rtl/>
        </w:rPr>
        <w:t>העסקת רואי חשבון לתקופה ממושכת עלולה ליצור קשרי תלות לא רצויים בינם ובין החברות</w:t>
      </w:r>
      <w:r>
        <w:rPr>
          <w:rStyle w:val="FootnoteReference0"/>
          <w:rtl/>
        </w:rPr>
        <w:footnoteReference w:id="144"/>
      </w:r>
      <w:r w:rsidRPr="00D94367">
        <w:rPr>
          <w:rFonts w:hint="cs"/>
          <w:rtl/>
        </w:rPr>
        <w:t xml:space="preserve">. יצוין בהקשר זה כי בקווים המנחים של </w:t>
      </w:r>
      <w:r>
        <w:rPr>
          <w:rFonts w:hint="cs"/>
          <w:rtl/>
        </w:rPr>
        <w:t>ה-</w:t>
      </w:r>
      <w:r>
        <w:rPr>
          <w:rFonts w:hint="cs"/>
        </w:rPr>
        <w:t>OECD</w:t>
      </w:r>
      <w:r w:rsidRPr="00D94367">
        <w:rPr>
          <w:rFonts w:hint="cs"/>
          <w:rtl/>
        </w:rPr>
        <w:t xml:space="preserve"> בנוגע לממשל בחברות ממשלתיות</w:t>
      </w:r>
      <w:r>
        <w:rPr>
          <w:rStyle w:val="FootnoteReference0"/>
          <w:rtl/>
        </w:rPr>
        <w:footnoteReference w:id="145"/>
      </w:r>
      <w:r w:rsidRPr="00D94367">
        <w:rPr>
          <w:rFonts w:hint="cs"/>
          <w:rtl/>
        </w:rPr>
        <w:t xml:space="preserve"> נכתב בין היתר כי על מנת לחזק את האמון במידע שנמסר בדיווח הכספי השנתי של חברה ממשלתית יש להכפיפו (לפחות בחברות ממשלתיות גדולות) לביקורת חיצונית אשר תבוצע בהתאם לסטנדרטים בי</w:t>
      </w:r>
      <w:r>
        <w:rPr>
          <w:rFonts w:hint="cs"/>
          <w:rtl/>
        </w:rPr>
        <w:t>ן-</w:t>
      </w:r>
      <w:r w:rsidRPr="00D94367">
        <w:rPr>
          <w:rFonts w:hint="cs"/>
          <w:rtl/>
        </w:rPr>
        <w:t>לאומיים מוכרים; כי על המבקר החיצוני ליהנות מאותם קריטריונים של אי-תלות החלים על חברות במגזר הפרטי</w:t>
      </w:r>
      <w:r>
        <w:rPr>
          <w:rFonts w:hint="cs"/>
          <w:rtl/>
        </w:rPr>
        <w:t xml:space="preserve">; </w:t>
      </w:r>
      <w:r w:rsidRPr="00D94367">
        <w:rPr>
          <w:rFonts w:hint="cs"/>
          <w:rtl/>
        </w:rPr>
        <w:t xml:space="preserve">וכי בדרך כלל מדובר, בין היתר, בקיום רוטציה תקופתית של המבקר או </w:t>
      </w:r>
      <w:r>
        <w:rPr>
          <w:rFonts w:hint="cs"/>
          <w:rtl/>
        </w:rPr>
        <w:t>בקיום</w:t>
      </w:r>
      <w:r w:rsidRPr="00D94367">
        <w:rPr>
          <w:rFonts w:hint="cs"/>
          <w:rtl/>
        </w:rPr>
        <w:t xml:space="preserve"> מכרז לביצוע הביקורת החיצונית.</w:t>
      </w:r>
    </w:p>
    <w:p w:rsidR="008D4E7E" w:rsidP="00B431F9" w14:paraId="0E407E60" w14:textId="77777777">
      <w:pPr>
        <w:pStyle w:val="7318"/>
        <w:rPr>
          <w:b/>
          <w:bCs/>
          <w:rtl/>
        </w:rPr>
      </w:pPr>
      <w:r w:rsidRPr="00B431F9">
        <w:rPr>
          <w:rFonts w:hint="cs"/>
          <w:rtl/>
        </w:rPr>
        <w:t xml:space="preserve">על פי מסמכי רשות החברות הממשלתיות, היא אישרה ב-14.7.08 את החלטת </w:t>
      </w:r>
      <w:r w:rsidRPr="00B431F9">
        <w:rPr>
          <w:rFonts w:hint="cs"/>
          <w:rtl/>
        </w:rPr>
        <w:t>האסיפה</w:t>
      </w:r>
      <w:r w:rsidRPr="00B431F9">
        <w:rPr>
          <w:rFonts w:hint="cs"/>
          <w:rtl/>
        </w:rPr>
        <w:t xml:space="preserve"> הכללית של רפאל למנות את פירמה א' לרואה החשבון המבקר של החברה לשנת 2007, ומשנה זו ועד מועד סיום הביקורת (יולי 2022), קרי במשך יותר מ-15 שנים, המשרד משמש בתפקיד זה</w:t>
      </w:r>
      <w:r>
        <w:rPr>
          <w:rStyle w:val="FootnoteReference0"/>
          <w:rtl/>
        </w:rPr>
        <w:footnoteReference w:id="146"/>
      </w:r>
      <w:r w:rsidRPr="00B431F9">
        <w:rPr>
          <w:rFonts w:hint="cs"/>
          <w:rtl/>
        </w:rPr>
        <w:t xml:space="preserve">. </w:t>
      </w:r>
    </w:p>
    <w:p w:rsidR="00C149B0" w:rsidRPr="008D4E7E" w:rsidP="008D4E7E" w14:paraId="367B13DE" w14:textId="1C9B560A">
      <w:pPr>
        <w:pStyle w:val="7339"/>
        <w:rPr>
          <w:rtl/>
        </w:rPr>
      </w:pPr>
      <w:r w:rsidRPr="008D4E7E">
        <w:rPr>
          <w:rFonts w:hint="cs"/>
          <w:rtl/>
        </w:rPr>
        <w:t>להלן פירוט השתלשלות הדברים:</w:t>
      </w:r>
    </w:p>
    <w:p w:rsidR="00C149B0" w:rsidRPr="0006068B" w:rsidP="0006068B" w14:paraId="2AB5FDC6" w14:textId="77777777">
      <w:pPr>
        <w:pStyle w:val="7392"/>
        <w:rPr>
          <w:rtl/>
        </w:rPr>
      </w:pPr>
      <w:r w:rsidRPr="0006068B">
        <w:rPr>
          <w:rFonts w:hint="cs"/>
          <w:rtl/>
        </w:rPr>
        <w:t xml:space="preserve">ממרץ 2012 עד פברואר 2015 לא התכנסה הוועדה לבחירת רואי חשבון מבקרים מכיוון שהיא הייתה חסרה את ההרכב הנדרש לצורך פעילותה. עקב כך לא הוחלפו בחברות הממשלתיות, לרבות רפאל, רואי חשבון שנדרשה החלפתם. בפברואר 2015 הושלם מינוי חברים חדשים לוועדה והתחדשה פעילותה. </w:t>
      </w:r>
    </w:p>
    <w:p w:rsidR="00C149B0" w:rsidRPr="0006068B" w:rsidP="0006068B" w14:paraId="22D556DE" w14:textId="77777777">
      <w:pPr>
        <w:pStyle w:val="7392"/>
        <w:rPr>
          <w:rtl/>
        </w:rPr>
      </w:pPr>
      <w:r w:rsidRPr="0006068B">
        <w:rPr>
          <w:rFonts w:hint="cs"/>
          <w:rtl/>
        </w:rPr>
        <w:t xml:space="preserve">ב-7.9.15 החליטה הוועדה להמליץ על מינוי פירמה ב' לרואה החשבון של רפאל, אך המלצה זו לא הובאה לפני </w:t>
      </w:r>
      <w:r w:rsidRPr="0006068B">
        <w:rPr>
          <w:rFonts w:hint="cs"/>
          <w:rtl/>
        </w:rPr>
        <w:t>האסיפה</w:t>
      </w:r>
      <w:r w:rsidRPr="0006068B">
        <w:rPr>
          <w:rFonts w:hint="cs"/>
          <w:rtl/>
        </w:rPr>
        <w:t xml:space="preserve"> הכללית לאישורה. משרד האוצר מסר למשרד מבקר המדינה בנובמבר 2016, בהתייחס לממצאי ביקורת בנושא מינוי רואי חשבון מבקרים</w:t>
      </w:r>
      <w:r>
        <w:rPr>
          <w:rStyle w:val="FootnoteReference0"/>
          <w:rtl/>
        </w:rPr>
        <w:footnoteReference w:id="147"/>
      </w:r>
      <w:r w:rsidRPr="0006068B">
        <w:rPr>
          <w:rFonts w:hint="cs"/>
          <w:rtl/>
        </w:rPr>
        <w:t>, כי בכוונתו לכונן ועדה חדשה אשר תדון במינוי רואי חשבון מבקרים לחברות הממשלתיות, ועד להקמתה תוארך כהונתם של רואי חשבון המכהנים ולא ימונו רואי חשבון מבקרים חדשים.</w:t>
      </w:r>
    </w:p>
    <w:p w:rsidR="00C149B0" w:rsidRPr="0006068B" w:rsidP="0006068B" w14:paraId="6D72567E" w14:textId="77777777">
      <w:pPr>
        <w:pStyle w:val="7392"/>
        <w:rPr>
          <w:rtl/>
        </w:rPr>
      </w:pPr>
      <w:r w:rsidRPr="0006068B">
        <w:rPr>
          <w:rFonts w:hint="cs"/>
          <w:rtl/>
        </w:rPr>
        <w:t xml:space="preserve">ב-3.7.22 הודיעה רשות החברות הממשלתיות למשרד מבקר המדינה כי מפברואר 2016 לא הובאו מינויים שהומלצו על ידי הוועדה לאישור </w:t>
      </w:r>
      <w:r w:rsidRPr="0006068B">
        <w:rPr>
          <w:rFonts w:hint="cs"/>
          <w:rtl/>
        </w:rPr>
        <w:t>אסיפות</w:t>
      </w:r>
      <w:r w:rsidRPr="0006068B">
        <w:rPr>
          <w:rFonts w:hint="cs"/>
          <w:rtl/>
        </w:rPr>
        <w:t xml:space="preserve"> כלליות; כי היו כמה חברות שבהן התקיימה רוטציה של רואי חשבון לפני קבלת הודעת מבקר המדינה</w:t>
      </w:r>
      <w:r>
        <w:rPr>
          <w:rStyle w:val="FootnoteReference0"/>
          <w:rtl/>
        </w:rPr>
        <w:footnoteReference w:id="148"/>
      </w:r>
      <w:r w:rsidRPr="0006068B">
        <w:rPr>
          <w:rFonts w:hint="cs"/>
          <w:rtl/>
        </w:rPr>
        <w:t xml:space="preserve">; וכי הוועדה פעלה מאפריל 2015 ועד לדצמבר 2017, עת הסתיימה כהונתו של יו"ר הוועדה. </w:t>
      </w:r>
    </w:p>
    <w:p w:rsidR="00C149B0" w:rsidRPr="0006068B" w:rsidP="0006068B" w14:paraId="566D036D" w14:textId="77777777">
      <w:pPr>
        <w:pStyle w:val="7318"/>
        <w:rPr>
          <w:rtl/>
        </w:rPr>
      </w:pPr>
      <w:r w:rsidRPr="0006068B">
        <w:rPr>
          <w:rFonts w:hint="cs"/>
          <w:rtl/>
        </w:rPr>
        <w:t xml:space="preserve">שלא כעולה מכללי החברות הממשלתיות, במועד סיום הביקורת (יולי 2022) עדיין לא הושלם מינוי חברי הוועדה לבחירת רואי חשבון מבקרים בידי שר המשפטים ושר האוצר, והדבר פגע בקידום תהליך מינוי רואי חשבון מבקרים בחברות הממשלתיות. </w:t>
      </w:r>
    </w:p>
    <w:p w:rsidR="00C149B0" w:rsidRPr="0006068B" w:rsidP="0006068B" w14:paraId="2F295CEB" w14:textId="77777777">
      <w:pPr>
        <w:pStyle w:val="7392"/>
        <w:rPr>
          <w:rtl/>
        </w:rPr>
      </w:pPr>
      <w:r w:rsidRPr="0006068B">
        <w:rPr>
          <w:rFonts w:hint="cs"/>
          <w:rtl/>
        </w:rPr>
        <w:t>ב-1.8.21 קיבלה הממשלה החלטה בנושא הקלות ברגולציה של החברות הממשלתיות</w:t>
      </w:r>
      <w:r>
        <w:rPr>
          <w:rStyle w:val="FootnoteReference0"/>
          <w:rtl/>
        </w:rPr>
        <w:footnoteReference w:id="149"/>
      </w:r>
      <w:r w:rsidRPr="0006068B">
        <w:rPr>
          <w:rFonts w:hint="cs"/>
          <w:rtl/>
        </w:rPr>
        <w:t xml:space="preserve">, ובה נקבע כי לצורך שיפור התנהלות החברות הממשלתיות ובמטרה לשפר את ביצועיהן יש, בין היתר, להטיל על השר הממונה על ביצוע חוק החברות הממשלתיות (כאמור לעיל שר האוצר) ועל שר המשפטים לתקן את כללי החברות הממשלתיות לעיל באופן שהוועדה למינוי רואי חשבון תוכל לפעול במניין חוקי של שלושה מחבריה ותכלול את בעלי התפקידים האלה: החשב הכללי או סגן בכיר לחשב הכללי מטעמו, שישמש גם יו"ר הוועדה; מנכ"ל משרד המשפטים או עובד משרד המשפטים בדרגת סמנכ"ל מטעמו; נשיא לשכת רואי חשבון בישראל או נציג מטעמו; יו"ר דירקטוריון לשעבר של חברה ממשלתית בסיווג 9 ומעלה, שקבע מנהל רשות החברות הממשלתיות; ונציג ציבור שימונה על ידי שר המשפטים בהתייעצות עם שר האוצר. </w:t>
      </w:r>
    </w:p>
    <w:p w:rsidR="00C149B0" w:rsidRPr="0006068B" w:rsidP="0006068B" w14:paraId="60DE618F" w14:textId="77777777">
      <w:pPr>
        <w:pStyle w:val="7392"/>
      </w:pPr>
      <w:r w:rsidRPr="0006068B">
        <w:rPr>
          <w:rFonts w:hint="cs"/>
          <w:rtl/>
        </w:rPr>
        <w:t>ב-8.11.21 כתב ממלא מקומו של מנהל רשות החברות הממשלתיות דאז לשר האוצר ולשר המשפטים כי נכון לנובמבר 2021 הרכב החברים המכהנים בוועדה הוא כדלקמן:</w:t>
      </w:r>
    </w:p>
    <w:tbl>
      <w:tblPr>
        <w:tblStyle w:val="TableGrid"/>
        <w:bidiVisual/>
        <w:tblW w:w="5000" w:type="pct"/>
        <w:tblBorders>
          <w:top w:val="none" w:sz="0" w:space="0" w:color="auto"/>
          <w:bottom w:val="none" w:sz="0" w:space="0" w:color="auto"/>
          <w:insideH w:val="none" w:sz="0" w:space="0" w:color="auto"/>
        </w:tblBorders>
        <w:tblLook w:val="04A0"/>
      </w:tblPr>
      <w:tblGrid>
        <w:gridCol w:w="1833"/>
        <w:gridCol w:w="1108"/>
        <w:gridCol w:w="4419"/>
      </w:tblGrid>
      <w:tr w14:paraId="64971785" w14:textId="77777777" w:rsidTr="0006068B">
        <w:tblPrEx>
          <w:tblW w:w="5000" w:type="pct"/>
          <w:tblBorders>
            <w:top w:val="none" w:sz="0" w:space="0" w:color="auto"/>
            <w:bottom w:val="none" w:sz="0" w:space="0" w:color="auto"/>
            <w:insideH w:val="none" w:sz="0" w:space="0" w:color="auto"/>
          </w:tblBorders>
          <w:tblLook w:val="04A0"/>
        </w:tblPrEx>
        <w:tc>
          <w:tcPr>
            <w:tcW w:w="1245" w:type="pct"/>
            <w:shd w:val="clear" w:color="auto" w:fill="C8DCE4"/>
            <w:vAlign w:val="bottom"/>
          </w:tcPr>
          <w:p w:rsidR="00C149B0" w:rsidRPr="0006068B" w:rsidP="0006068B" w14:paraId="2CC1189E" w14:textId="77777777">
            <w:pPr>
              <w:pStyle w:val="73R"/>
              <w:rPr>
                <w:b/>
                <w:bCs/>
                <w:rtl/>
              </w:rPr>
            </w:pPr>
            <w:r w:rsidRPr="0006068B">
              <w:rPr>
                <w:rFonts w:hint="cs"/>
                <w:b/>
                <w:bCs/>
                <w:rtl/>
              </w:rPr>
              <w:t>הרכב הוועדה</w:t>
            </w:r>
          </w:p>
        </w:tc>
        <w:tc>
          <w:tcPr>
            <w:tcW w:w="753" w:type="pct"/>
            <w:shd w:val="clear" w:color="auto" w:fill="C8DCE4"/>
            <w:vAlign w:val="bottom"/>
          </w:tcPr>
          <w:p w:rsidR="00C149B0" w:rsidRPr="0006068B" w:rsidP="0006068B" w14:paraId="06DA42D6" w14:textId="77777777">
            <w:pPr>
              <w:pStyle w:val="73R"/>
              <w:rPr>
                <w:b/>
                <w:bCs/>
                <w:rtl/>
              </w:rPr>
            </w:pPr>
            <w:r w:rsidRPr="0006068B">
              <w:rPr>
                <w:rFonts w:hint="cs"/>
                <w:b/>
                <w:bCs/>
                <w:rtl/>
              </w:rPr>
              <w:t>סטטוס איוש</w:t>
            </w:r>
          </w:p>
        </w:tc>
        <w:tc>
          <w:tcPr>
            <w:tcW w:w="3002" w:type="pct"/>
            <w:shd w:val="clear" w:color="auto" w:fill="C8DCE4"/>
            <w:vAlign w:val="bottom"/>
          </w:tcPr>
          <w:p w:rsidR="00C149B0" w:rsidRPr="0006068B" w:rsidP="0006068B" w14:paraId="7E42D29F" w14:textId="77777777">
            <w:pPr>
              <w:pStyle w:val="73R"/>
              <w:rPr>
                <w:b/>
                <w:bCs/>
                <w:rtl/>
              </w:rPr>
            </w:pPr>
            <w:r w:rsidRPr="0006068B">
              <w:rPr>
                <w:rFonts w:hint="cs"/>
                <w:b/>
                <w:bCs/>
                <w:rtl/>
              </w:rPr>
              <w:t>הערות</w:t>
            </w:r>
          </w:p>
        </w:tc>
      </w:tr>
      <w:tr w14:paraId="38661CD2" w14:textId="77777777" w:rsidTr="0006068B">
        <w:tblPrEx>
          <w:tblW w:w="5000" w:type="pct"/>
          <w:tblLook w:val="04A0"/>
        </w:tblPrEx>
        <w:tc>
          <w:tcPr>
            <w:tcW w:w="1245" w:type="pct"/>
            <w:vMerge w:val="restart"/>
            <w:shd w:val="clear" w:color="auto" w:fill="DFECEF"/>
          </w:tcPr>
          <w:p w:rsidR="00C149B0" w:rsidRPr="0006068B" w:rsidP="0006068B" w14:paraId="136E299A" w14:textId="77777777">
            <w:pPr>
              <w:pStyle w:val="73R"/>
              <w:spacing w:before="100" w:after="100"/>
              <w:rPr>
                <w:rtl/>
              </w:rPr>
            </w:pPr>
            <w:r w:rsidRPr="0006068B">
              <w:rPr>
                <w:rFonts w:hint="cs"/>
                <w:rtl/>
              </w:rPr>
              <w:t>שלושה נציגי ציבור, אחד מהם משמש יו"ר הוועדה</w:t>
            </w:r>
          </w:p>
        </w:tc>
        <w:tc>
          <w:tcPr>
            <w:tcW w:w="753" w:type="pct"/>
            <w:tcBorders>
              <w:bottom w:val="single" w:sz="4" w:space="0" w:color="B7CCD5"/>
            </w:tcBorders>
            <w:shd w:val="clear" w:color="auto" w:fill="DFECEF"/>
          </w:tcPr>
          <w:p w:rsidR="00C149B0" w:rsidRPr="006F4A2B" w:rsidP="0006068B" w14:paraId="043EBC16" w14:textId="77777777">
            <w:pPr>
              <w:spacing w:before="100" w:after="100" w:line="269" w:lineRule="auto"/>
              <w:jc w:val="center"/>
              <w:rPr>
                <w:sz w:val="18"/>
                <w:szCs w:val="22"/>
                <w:rtl/>
              </w:rPr>
            </w:pPr>
            <w:r w:rsidRPr="006F4A2B">
              <w:rPr>
                <w:rFonts w:hint="cs"/>
                <w:sz w:val="18"/>
                <w:szCs w:val="22"/>
                <w:rtl/>
              </w:rPr>
              <w:t>-</w:t>
            </w:r>
          </w:p>
        </w:tc>
        <w:tc>
          <w:tcPr>
            <w:tcW w:w="3002" w:type="pct"/>
            <w:tcBorders>
              <w:bottom w:val="single" w:sz="4" w:space="0" w:color="B7CCD5"/>
            </w:tcBorders>
            <w:shd w:val="clear" w:color="auto" w:fill="DFECEF"/>
          </w:tcPr>
          <w:p w:rsidR="00C149B0" w:rsidRPr="006F4A2B" w:rsidP="0006068B" w14:paraId="75C241E0" w14:textId="77777777">
            <w:pPr>
              <w:pStyle w:val="7392"/>
              <w:spacing w:before="100" w:after="100"/>
              <w:rPr>
                <w:rtl/>
              </w:rPr>
            </w:pPr>
            <w:r w:rsidRPr="006F4A2B">
              <w:rPr>
                <w:rFonts w:hint="cs"/>
                <w:rtl/>
              </w:rPr>
              <w:t>יו"ר - מינויו נדרש לצורך חידוש פעילות הוועדה</w:t>
            </w:r>
          </w:p>
        </w:tc>
      </w:tr>
      <w:tr w14:paraId="28AF1F7B" w14:textId="77777777" w:rsidTr="0006068B">
        <w:tblPrEx>
          <w:tblW w:w="5000" w:type="pct"/>
          <w:tblLook w:val="04A0"/>
        </w:tblPrEx>
        <w:tc>
          <w:tcPr>
            <w:tcW w:w="1245" w:type="pct"/>
            <w:vMerge/>
            <w:shd w:val="clear" w:color="auto" w:fill="DFECEF"/>
          </w:tcPr>
          <w:p w:rsidR="00C149B0" w:rsidRPr="0006068B" w:rsidP="0006068B" w14:paraId="406C743D" w14:textId="77777777">
            <w:pPr>
              <w:pStyle w:val="73R"/>
              <w:spacing w:before="100" w:after="100"/>
              <w:rPr>
                <w:rtl/>
              </w:rPr>
            </w:pPr>
          </w:p>
        </w:tc>
        <w:tc>
          <w:tcPr>
            <w:tcW w:w="753" w:type="pct"/>
            <w:tcBorders>
              <w:top w:val="single" w:sz="4" w:space="0" w:color="B7CCD5"/>
              <w:bottom w:val="single" w:sz="4" w:space="0" w:color="B7CCD5"/>
            </w:tcBorders>
            <w:shd w:val="clear" w:color="auto" w:fill="DFECEF"/>
          </w:tcPr>
          <w:p w:rsidR="00C149B0" w:rsidRPr="006F4A2B" w14:paraId="1BB41ABC" w14:textId="77777777">
            <w:pPr>
              <w:pStyle w:val="ListParagraph"/>
              <w:numPr>
                <w:ilvl w:val="0"/>
                <w:numId w:val="12"/>
              </w:numPr>
              <w:spacing w:before="100" w:after="100" w:line="269" w:lineRule="auto"/>
              <w:rPr>
                <w:sz w:val="18"/>
                <w:szCs w:val="22"/>
                <w:rtl/>
              </w:rPr>
            </w:pPr>
          </w:p>
        </w:tc>
        <w:tc>
          <w:tcPr>
            <w:tcW w:w="3002" w:type="pct"/>
            <w:tcBorders>
              <w:top w:val="single" w:sz="4" w:space="0" w:color="B7CCD5"/>
              <w:bottom w:val="single" w:sz="4" w:space="0" w:color="B7CCD5"/>
            </w:tcBorders>
            <w:shd w:val="clear" w:color="auto" w:fill="DFECEF"/>
          </w:tcPr>
          <w:p w:rsidR="00C149B0" w:rsidRPr="006F4A2B" w:rsidP="0006068B" w14:paraId="67725837" w14:textId="77777777">
            <w:pPr>
              <w:pStyle w:val="7392"/>
              <w:spacing w:before="100" w:after="100"/>
              <w:rPr>
                <w:rtl/>
              </w:rPr>
            </w:pPr>
          </w:p>
        </w:tc>
      </w:tr>
      <w:tr w14:paraId="432D8B57" w14:textId="77777777" w:rsidTr="0006068B">
        <w:tblPrEx>
          <w:tblW w:w="5000" w:type="pct"/>
          <w:tblLook w:val="04A0"/>
        </w:tblPrEx>
        <w:tc>
          <w:tcPr>
            <w:tcW w:w="1245" w:type="pct"/>
            <w:vMerge/>
            <w:shd w:val="clear" w:color="auto" w:fill="DFECEF"/>
          </w:tcPr>
          <w:p w:rsidR="00C149B0" w:rsidRPr="0006068B" w:rsidP="0006068B" w14:paraId="615781EE" w14:textId="77777777">
            <w:pPr>
              <w:pStyle w:val="73R"/>
              <w:spacing w:before="100" w:after="100"/>
              <w:rPr>
                <w:rtl/>
              </w:rPr>
            </w:pPr>
          </w:p>
        </w:tc>
        <w:tc>
          <w:tcPr>
            <w:tcW w:w="753" w:type="pct"/>
            <w:tcBorders>
              <w:top w:val="single" w:sz="4" w:space="0" w:color="B7CCD5"/>
            </w:tcBorders>
            <w:shd w:val="clear" w:color="auto" w:fill="DFECEF"/>
          </w:tcPr>
          <w:p w:rsidR="00C149B0" w:rsidRPr="006F4A2B" w:rsidP="0006068B" w14:paraId="752075E7" w14:textId="77777777">
            <w:pPr>
              <w:spacing w:before="100" w:after="100" w:line="269" w:lineRule="auto"/>
              <w:jc w:val="center"/>
              <w:rPr>
                <w:sz w:val="18"/>
                <w:szCs w:val="22"/>
                <w:rtl/>
              </w:rPr>
            </w:pPr>
            <w:r w:rsidRPr="006F4A2B">
              <w:rPr>
                <w:rFonts w:hint="cs"/>
                <w:sz w:val="18"/>
                <w:szCs w:val="22"/>
                <w:rtl/>
              </w:rPr>
              <w:t>-</w:t>
            </w:r>
          </w:p>
        </w:tc>
        <w:tc>
          <w:tcPr>
            <w:tcW w:w="3002" w:type="pct"/>
            <w:tcBorders>
              <w:top w:val="single" w:sz="4" w:space="0" w:color="B7CCD5"/>
            </w:tcBorders>
            <w:shd w:val="clear" w:color="auto" w:fill="DFECEF"/>
          </w:tcPr>
          <w:p w:rsidR="00C149B0" w:rsidRPr="006F4A2B" w:rsidP="0006068B" w14:paraId="79581514" w14:textId="77777777">
            <w:pPr>
              <w:pStyle w:val="7392"/>
              <w:spacing w:before="100" w:after="100"/>
              <w:rPr>
                <w:rtl/>
              </w:rPr>
            </w:pPr>
          </w:p>
        </w:tc>
      </w:tr>
      <w:tr w14:paraId="1543AAD1" w14:textId="77777777" w:rsidTr="0006068B">
        <w:tblPrEx>
          <w:tblW w:w="5000" w:type="pct"/>
          <w:tblLook w:val="04A0"/>
        </w:tblPrEx>
        <w:tc>
          <w:tcPr>
            <w:tcW w:w="1245" w:type="pct"/>
            <w:vMerge w:val="restart"/>
            <w:shd w:val="clear" w:color="auto" w:fill="F0F8F9"/>
          </w:tcPr>
          <w:p w:rsidR="00C149B0" w:rsidRPr="0006068B" w:rsidP="0006068B" w14:paraId="454751CF" w14:textId="77777777">
            <w:pPr>
              <w:pStyle w:val="73R"/>
              <w:spacing w:before="100" w:after="100"/>
              <w:rPr>
                <w:rtl/>
              </w:rPr>
            </w:pPr>
            <w:r w:rsidRPr="0006068B">
              <w:rPr>
                <w:rFonts w:hint="cs"/>
                <w:rtl/>
              </w:rPr>
              <w:t>שני נציגי לשכת רואי חשבון</w:t>
            </w:r>
          </w:p>
        </w:tc>
        <w:tc>
          <w:tcPr>
            <w:tcW w:w="753" w:type="pct"/>
            <w:tcBorders>
              <w:bottom w:val="single" w:sz="4" w:space="0" w:color="B7CCD5"/>
            </w:tcBorders>
            <w:shd w:val="clear" w:color="auto" w:fill="F0F8F9"/>
          </w:tcPr>
          <w:p w:rsidR="00C149B0" w:rsidRPr="006F4A2B" w14:paraId="5C1A5DCB" w14:textId="77777777">
            <w:pPr>
              <w:pStyle w:val="ListParagraph"/>
              <w:numPr>
                <w:ilvl w:val="0"/>
                <w:numId w:val="12"/>
              </w:numPr>
              <w:spacing w:before="100" w:after="100" w:line="269" w:lineRule="auto"/>
              <w:rPr>
                <w:sz w:val="18"/>
                <w:szCs w:val="22"/>
                <w:rtl/>
              </w:rPr>
            </w:pPr>
          </w:p>
        </w:tc>
        <w:tc>
          <w:tcPr>
            <w:tcW w:w="3002" w:type="pct"/>
            <w:tcBorders>
              <w:bottom w:val="single" w:sz="4" w:space="0" w:color="B7CCD5"/>
            </w:tcBorders>
            <w:shd w:val="clear" w:color="auto" w:fill="F0F8F9"/>
          </w:tcPr>
          <w:p w:rsidR="00C149B0" w:rsidRPr="006F4A2B" w:rsidP="0006068B" w14:paraId="7A8D2EA7" w14:textId="77777777">
            <w:pPr>
              <w:pStyle w:val="7392"/>
              <w:spacing w:before="100" w:after="100"/>
              <w:rPr>
                <w:rtl/>
              </w:rPr>
            </w:pPr>
          </w:p>
        </w:tc>
      </w:tr>
      <w:tr w14:paraId="7A2D1A4E" w14:textId="77777777" w:rsidTr="0006068B">
        <w:tblPrEx>
          <w:tblW w:w="5000" w:type="pct"/>
          <w:tblLook w:val="04A0"/>
        </w:tblPrEx>
        <w:tc>
          <w:tcPr>
            <w:tcW w:w="1245" w:type="pct"/>
            <w:vMerge/>
          </w:tcPr>
          <w:p w:rsidR="00C149B0" w:rsidRPr="0006068B" w:rsidP="0006068B" w14:paraId="5FFCC800" w14:textId="77777777">
            <w:pPr>
              <w:pStyle w:val="73R"/>
              <w:spacing w:before="100" w:after="100"/>
              <w:rPr>
                <w:rtl/>
              </w:rPr>
            </w:pPr>
          </w:p>
        </w:tc>
        <w:tc>
          <w:tcPr>
            <w:tcW w:w="753" w:type="pct"/>
            <w:tcBorders>
              <w:top w:val="single" w:sz="4" w:space="0" w:color="B7CCD5"/>
            </w:tcBorders>
            <w:shd w:val="clear" w:color="auto" w:fill="F0F8F9"/>
          </w:tcPr>
          <w:p w:rsidR="00C149B0" w:rsidRPr="006F4A2B" w14:paraId="7F918B0D" w14:textId="77777777">
            <w:pPr>
              <w:pStyle w:val="ListParagraph"/>
              <w:numPr>
                <w:ilvl w:val="0"/>
                <w:numId w:val="12"/>
              </w:numPr>
              <w:spacing w:before="100" w:after="100" w:line="269" w:lineRule="auto"/>
              <w:rPr>
                <w:sz w:val="18"/>
                <w:szCs w:val="22"/>
                <w:rtl/>
              </w:rPr>
            </w:pPr>
          </w:p>
        </w:tc>
        <w:tc>
          <w:tcPr>
            <w:tcW w:w="3002" w:type="pct"/>
            <w:tcBorders>
              <w:top w:val="single" w:sz="4" w:space="0" w:color="B7CCD5"/>
            </w:tcBorders>
            <w:shd w:val="clear" w:color="auto" w:fill="F0F8F9"/>
          </w:tcPr>
          <w:p w:rsidR="00C149B0" w:rsidRPr="006F4A2B" w:rsidP="0006068B" w14:paraId="0D9076E0" w14:textId="77777777">
            <w:pPr>
              <w:pStyle w:val="7392"/>
              <w:spacing w:before="100" w:after="100"/>
              <w:rPr>
                <w:rtl/>
              </w:rPr>
            </w:pPr>
          </w:p>
        </w:tc>
      </w:tr>
      <w:tr w14:paraId="4CD3909C" w14:textId="77777777" w:rsidTr="0006068B">
        <w:tblPrEx>
          <w:tblW w:w="5000" w:type="pct"/>
          <w:tblLook w:val="04A0"/>
        </w:tblPrEx>
        <w:tc>
          <w:tcPr>
            <w:tcW w:w="1245" w:type="pct"/>
            <w:shd w:val="clear" w:color="auto" w:fill="DFECEF"/>
          </w:tcPr>
          <w:p w:rsidR="00C149B0" w:rsidRPr="0006068B" w:rsidP="0006068B" w14:paraId="2F57259D" w14:textId="77777777">
            <w:pPr>
              <w:pStyle w:val="73R"/>
              <w:spacing w:before="100" w:after="100"/>
              <w:rPr>
                <w:rtl/>
              </w:rPr>
            </w:pPr>
            <w:r w:rsidRPr="0006068B">
              <w:rPr>
                <w:rFonts w:hint="cs"/>
                <w:rtl/>
              </w:rPr>
              <w:t>עובד משרד המשפטים</w:t>
            </w:r>
          </w:p>
        </w:tc>
        <w:tc>
          <w:tcPr>
            <w:tcW w:w="753" w:type="pct"/>
            <w:shd w:val="clear" w:color="auto" w:fill="DFECEF"/>
          </w:tcPr>
          <w:p w:rsidR="00C149B0" w:rsidRPr="006F4A2B" w:rsidP="0006068B" w14:paraId="3D4AB481" w14:textId="77777777">
            <w:pPr>
              <w:spacing w:before="100" w:after="100" w:line="269" w:lineRule="auto"/>
              <w:jc w:val="center"/>
              <w:rPr>
                <w:sz w:val="18"/>
                <w:szCs w:val="22"/>
                <w:rtl/>
              </w:rPr>
            </w:pPr>
            <w:r w:rsidRPr="006F4A2B">
              <w:rPr>
                <w:rFonts w:hint="cs"/>
                <w:sz w:val="18"/>
                <w:szCs w:val="22"/>
                <w:rtl/>
              </w:rPr>
              <w:t>-</w:t>
            </w:r>
          </w:p>
        </w:tc>
        <w:tc>
          <w:tcPr>
            <w:tcW w:w="3002" w:type="pct"/>
            <w:shd w:val="clear" w:color="auto" w:fill="DFECEF"/>
          </w:tcPr>
          <w:p w:rsidR="00C149B0" w:rsidRPr="006F4A2B" w:rsidP="0006068B" w14:paraId="75FB82BD" w14:textId="77777777">
            <w:pPr>
              <w:pStyle w:val="7392"/>
              <w:spacing w:before="100" w:after="100"/>
              <w:rPr>
                <w:rtl/>
              </w:rPr>
            </w:pPr>
            <w:r w:rsidRPr="006F4A2B">
              <w:rPr>
                <w:rFonts w:hint="cs"/>
                <w:rtl/>
              </w:rPr>
              <w:t>המינוי נדרש לצורך חידוש פעילות הוועדה</w:t>
            </w:r>
          </w:p>
        </w:tc>
      </w:tr>
      <w:tr w14:paraId="078D9AC8" w14:textId="77777777" w:rsidTr="0006068B">
        <w:tblPrEx>
          <w:tblW w:w="5000" w:type="pct"/>
          <w:tblLook w:val="04A0"/>
        </w:tblPrEx>
        <w:tc>
          <w:tcPr>
            <w:tcW w:w="1245" w:type="pct"/>
            <w:shd w:val="clear" w:color="auto" w:fill="F0F8F9"/>
          </w:tcPr>
          <w:p w:rsidR="00C149B0" w:rsidRPr="0006068B" w:rsidP="0006068B" w14:paraId="6B5F8590" w14:textId="77777777">
            <w:pPr>
              <w:pStyle w:val="73R"/>
              <w:spacing w:before="100" w:after="100"/>
              <w:rPr>
                <w:rtl/>
              </w:rPr>
            </w:pPr>
            <w:r w:rsidRPr="0006068B">
              <w:rPr>
                <w:rFonts w:hint="cs"/>
                <w:rtl/>
              </w:rPr>
              <w:t>יו"ר דירקטוריון חברה ממשלתית</w:t>
            </w:r>
          </w:p>
        </w:tc>
        <w:tc>
          <w:tcPr>
            <w:tcW w:w="753" w:type="pct"/>
            <w:shd w:val="clear" w:color="auto" w:fill="F0F8F9"/>
          </w:tcPr>
          <w:p w:rsidR="00C149B0" w:rsidRPr="006F4A2B" w:rsidP="0006068B" w14:paraId="4A93DDCC" w14:textId="77777777">
            <w:pPr>
              <w:spacing w:before="100" w:after="100" w:line="269" w:lineRule="auto"/>
              <w:jc w:val="center"/>
              <w:rPr>
                <w:sz w:val="18"/>
                <w:szCs w:val="22"/>
                <w:rtl/>
              </w:rPr>
            </w:pPr>
            <w:r w:rsidRPr="006F4A2B">
              <w:rPr>
                <w:rFonts w:hint="cs"/>
                <w:sz w:val="18"/>
                <w:szCs w:val="22"/>
                <w:rtl/>
              </w:rPr>
              <w:t>-</w:t>
            </w:r>
          </w:p>
        </w:tc>
        <w:tc>
          <w:tcPr>
            <w:tcW w:w="3002" w:type="pct"/>
            <w:shd w:val="clear" w:color="auto" w:fill="F0F8F9"/>
          </w:tcPr>
          <w:p w:rsidR="00C149B0" w:rsidRPr="006F4A2B" w:rsidP="0006068B" w14:paraId="25B0B7F3" w14:textId="77777777">
            <w:pPr>
              <w:pStyle w:val="7392"/>
              <w:spacing w:before="100" w:after="100"/>
              <w:rPr>
                <w:rtl/>
              </w:rPr>
            </w:pPr>
            <w:r w:rsidRPr="006F4A2B">
              <w:rPr>
                <w:rFonts w:hint="cs"/>
                <w:rtl/>
              </w:rPr>
              <w:t>המינוי נדרש לצורך חידוש פעילות הוועדה</w:t>
            </w:r>
          </w:p>
        </w:tc>
      </w:tr>
    </w:tbl>
    <w:p w:rsidR="0006068B" w:rsidRPr="0006068B" w:rsidP="0006068B" w14:paraId="7B0DCFEC" w14:textId="77777777">
      <w:pPr>
        <w:pStyle w:val="733"/>
        <w:rPr>
          <w:rtl/>
        </w:rPr>
      </w:pPr>
    </w:p>
    <w:p w:rsidR="00C149B0" w:rsidP="0006068B" w14:paraId="5E77924B" w14:textId="45377199">
      <w:pPr>
        <w:pStyle w:val="7392"/>
        <w:rPr>
          <w:szCs w:val="20"/>
          <w:rtl/>
        </w:rPr>
      </w:pPr>
      <w:r>
        <w:rPr>
          <w:rFonts w:hint="cs"/>
          <w:rtl/>
        </w:rPr>
        <w:t xml:space="preserve">מהטבלה עולה כי </w:t>
      </w:r>
      <w:r w:rsidRPr="00D94367">
        <w:rPr>
          <w:rFonts w:hint="cs"/>
          <w:rtl/>
        </w:rPr>
        <w:t>בנובמבר 2021 כיהנו בוועדה שלושה חברים</w:t>
      </w:r>
      <w:r>
        <w:rPr>
          <w:rFonts w:hint="cs"/>
          <w:rtl/>
        </w:rPr>
        <w:t>,</w:t>
      </w:r>
      <w:r w:rsidRPr="00D94367">
        <w:rPr>
          <w:rFonts w:hint="cs"/>
          <w:rtl/>
        </w:rPr>
        <w:t xml:space="preserve"> וכי נדרשו שלושה חברים נוספים, לרבות היו"ר, כדי לחדש את פעילותה.</w:t>
      </w:r>
    </w:p>
    <w:p w:rsidR="00C149B0" w:rsidRPr="00D94367" w:rsidP="0006068B" w14:paraId="2C342475" w14:textId="77777777">
      <w:pPr>
        <w:pStyle w:val="7392"/>
        <w:rPr>
          <w:rtl/>
        </w:rPr>
      </w:pPr>
      <w:r w:rsidRPr="00D94367">
        <w:rPr>
          <w:rFonts w:hint="cs"/>
          <w:rtl/>
        </w:rPr>
        <w:t xml:space="preserve">עוד כתב </w:t>
      </w:r>
      <w:r>
        <w:rPr>
          <w:rFonts w:hint="cs"/>
          <w:rtl/>
        </w:rPr>
        <w:t>ממלא מקום</w:t>
      </w:r>
      <w:r w:rsidRPr="00D94367">
        <w:rPr>
          <w:rFonts w:hint="cs"/>
          <w:rtl/>
        </w:rPr>
        <w:t xml:space="preserve"> מנהל רשות החברות</w:t>
      </w:r>
      <w:r>
        <w:rPr>
          <w:rFonts w:hint="cs"/>
          <w:rtl/>
        </w:rPr>
        <w:t xml:space="preserve"> הממשלתיות</w:t>
      </w:r>
      <w:r w:rsidRPr="00D94367">
        <w:rPr>
          <w:rFonts w:hint="cs"/>
          <w:rtl/>
        </w:rPr>
        <w:t xml:space="preserve">, כי ללא קבלת המלצות הוועדה לא רשאית הרשות לפעול להחלפת רואי חשבון מבקרים בחברות הממשלתיות, אשר בחלקן מכהנים רואי חשבון מבקרים במשך תקופות ממושכות שחורגות מהתקופה המותרת; וכי </w:t>
      </w:r>
      <w:r>
        <w:rPr>
          <w:rFonts w:hint="cs"/>
          <w:rtl/>
        </w:rPr>
        <w:t>נוכח</w:t>
      </w:r>
      <w:r w:rsidRPr="00D94367">
        <w:rPr>
          <w:rFonts w:hint="cs"/>
          <w:rtl/>
        </w:rPr>
        <w:t xml:space="preserve"> האמור הוא מבקש לפעול להשלמת הרכב הוועדה בכלל, ובפרט למינוי חברי הוועדה הנדרשים לחידוש פעילותה. עוד עדכן </w:t>
      </w:r>
      <w:r>
        <w:rPr>
          <w:rFonts w:hint="cs"/>
          <w:rtl/>
        </w:rPr>
        <w:t>ממלא מקום</w:t>
      </w:r>
      <w:r w:rsidRPr="00D94367">
        <w:rPr>
          <w:rFonts w:hint="cs"/>
          <w:rtl/>
        </w:rPr>
        <w:t xml:space="preserve"> מנהל רשות החברות </w:t>
      </w:r>
      <w:r>
        <w:rPr>
          <w:rFonts w:hint="cs"/>
          <w:rtl/>
        </w:rPr>
        <w:t xml:space="preserve">הממשלתיות </w:t>
      </w:r>
      <w:r w:rsidRPr="00D94367">
        <w:rPr>
          <w:rFonts w:hint="cs"/>
          <w:rtl/>
        </w:rPr>
        <w:t xml:space="preserve">במכתבו כי </w:t>
      </w:r>
      <w:r>
        <w:rPr>
          <w:rFonts w:hint="cs"/>
          <w:rtl/>
        </w:rPr>
        <w:t>ה</w:t>
      </w:r>
      <w:r w:rsidRPr="00D94367">
        <w:rPr>
          <w:rFonts w:hint="cs"/>
          <w:rtl/>
        </w:rPr>
        <w:t xml:space="preserve">רשות מקדמת </w:t>
      </w:r>
      <w:r>
        <w:rPr>
          <w:rFonts w:hint="cs"/>
          <w:rtl/>
        </w:rPr>
        <w:t>בד בבד</w:t>
      </w:r>
      <w:r w:rsidRPr="00D94367">
        <w:rPr>
          <w:rFonts w:hint="cs"/>
          <w:rtl/>
        </w:rPr>
        <w:t xml:space="preserve"> את יישום החלטת הממשלה שלעיל ופועלת לתקן את כללי החברות הממשלתיות.</w:t>
      </w:r>
    </w:p>
    <w:p w:rsidR="00C149B0" w:rsidRPr="00D94367" w:rsidP="0006068B" w14:paraId="676774D8" w14:textId="77777777">
      <w:pPr>
        <w:pStyle w:val="7392"/>
        <w:rPr>
          <w:rFonts w:ascii="David" w:eastAsia="Calibri" w:hAnsi="David"/>
          <w:rtl/>
        </w:rPr>
      </w:pPr>
      <w:r w:rsidRPr="00D94367">
        <w:rPr>
          <w:rFonts w:hint="cs"/>
          <w:rtl/>
        </w:rPr>
        <w:t xml:space="preserve">בעקבות החלטת הממשלה מ-1.8.21 הכינה רשות החברות </w:t>
      </w:r>
      <w:r>
        <w:rPr>
          <w:rFonts w:hint="cs"/>
          <w:rtl/>
        </w:rPr>
        <w:t xml:space="preserve">הממשלתיות </w:t>
      </w:r>
      <w:r w:rsidRPr="00D94367">
        <w:rPr>
          <w:rFonts w:hint="cs"/>
          <w:rtl/>
        </w:rPr>
        <w:t>טיוטת תיקון לכללי החברות הממשלתיות</w:t>
      </w:r>
      <w:r>
        <w:rPr>
          <w:rStyle w:val="FootnoteReference0"/>
          <w:rFonts w:ascii="David" w:eastAsia="Calibri" w:hAnsi="David"/>
          <w:rtl/>
        </w:rPr>
        <w:footnoteReference w:id="150"/>
      </w:r>
      <w:r w:rsidRPr="00D94367">
        <w:rPr>
          <w:rFonts w:hint="cs"/>
          <w:rtl/>
        </w:rPr>
        <w:t>. בדברי ההסבר לטיוטה נכתב, בין היתר,</w:t>
      </w:r>
      <w:r w:rsidRPr="00D94367">
        <w:rPr>
          <w:rFonts w:ascii="David" w:eastAsia="Calibri" w:hAnsi="David" w:hint="cs"/>
          <w:rtl/>
        </w:rPr>
        <w:t xml:space="preserve"> כי </w:t>
      </w:r>
      <w:r w:rsidRPr="00D94367">
        <w:rPr>
          <w:rFonts w:ascii="David" w:eastAsia="Calibri" w:hAnsi="David"/>
          <w:rtl/>
        </w:rPr>
        <w:t xml:space="preserve">מטרת התיקון היא לא להידרש להליכי מינוי מורכבים בידי השרים, </w:t>
      </w:r>
      <w:r>
        <w:rPr>
          <w:rFonts w:ascii="David" w:eastAsia="Calibri" w:hAnsi="David" w:hint="cs"/>
          <w:rtl/>
        </w:rPr>
        <w:t>שכן ה</w:t>
      </w:r>
      <w:r w:rsidRPr="00D94367">
        <w:rPr>
          <w:rFonts w:ascii="David" w:eastAsia="Calibri" w:hAnsi="David"/>
          <w:rtl/>
        </w:rPr>
        <w:t>דבר הוביל ל</w:t>
      </w:r>
      <w:r w:rsidRPr="00D94367">
        <w:rPr>
          <w:rFonts w:ascii="David" w:eastAsia="Calibri" w:hAnsi="David" w:hint="cs"/>
          <w:rtl/>
        </w:rPr>
        <w:t>כך</w:t>
      </w:r>
      <w:r w:rsidRPr="00D94367">
        <w:rPr>
          <w:rFonts w:ascii="David" w:eastAsia="Calibri" w:hAnsi="David"/>
          <w:rtl/>
        </w:rPr>
        <w:t xml:space="preserve"> </w:t>
      </w:r>
      <w:r w:rsidRPr="00D94367">
        <w:rPr>
          <w:rFonts w:ascii="David" w:eastAsia="Calibri" w:hAnsi="David" w:hint="cs"/>
          <w:rtl/>
        </w:rPr>
        <w:t xml:space="preserve">שפעילות </w:t>
      </w:r>
      <w:r w:rsidRPr="00D94367">
        <w:rPr>
          <w:rFonts w:ascii="David" w:eastAsia="Calibri" w:hAnsi="David"/>
          <w:rtl/>
        </w:rPr>
        <w:t>הו</w:t>
      </w:r>
      <w:r w:rsidRPr="00D94367">
        <w:rPr>
          <w:rFonts w:ascii="David" w:eastAsia="Calibri" w:hAnsi="David" w:hint="cs"/>
          <w:rtl/>
        </w:rPr>
        <w:t>ו</w:t>
      </w:r>
      <w:r w:rsidRPr="00D94367">
        <w:rPr>
          <w:rFonts w:ascii="David" w:eastAsia="Calibri" w:hAnsi="David"/>
          <w:rtl/>
        </w:rPr>
        <w:t xml:space="preserve">עדה </w:t>
      </w:r>
      <w:r w:rsidRPr="00D94367">
        <w:rPr>
          <w:rFonts w:ascii="David" w:eastAsia="Calibri" w:hAnsi="David" w:hint="cs"/>
          <w:rtl/>
        </w:rPr>
        <w:t>נקטעה במשך</w:t>
      </w:r>
      <w:r w:rsidRPr="00D94367">
        <w:rPr>
          <w:rFonts w:ascii="David" w:eastAsia="Calibri" w:hAnsi="David"/>
          <w:rtl/>
        </w:rPr>
        <w:t xml:space="preserve"> תקופות ארוכות</w:t>
      </w:r>
      <w:r w:rsidRPr="00D94367">
        <w:rPr>
          <w:rFonts w:ascii="David" w:eastAsia="Calibri" w:hAnsi="David" w:hint="cs"/>
          <w:rtl/>
        </w:rPr>
        <w:t xml:space="preserve">; כי על מנת לאפשר לה לפעול גם בנסיבות </w:t>
      </w:r>
      <w:r>
        <w:rPr>
          <w:rFonts w:ascii="David" w:eastAsia="Calibri" w:hAnsi="David" w:hint="cs"/>
          <w:rtl/>
        </w:rPr>
        <w:t>ש</w:t>
      </w:r>
      <w:r w:rsidRPr="00D94367">
        <w:rPr>
          <w:rFonts w:ascii="David" w:eastAsia="Calibri" w:hAnsi="David" w:hint="cs"/>
          <w:rtl/>
        </w:rPr>
        <w:t xml:space="preserve">בהן לא מונו שני חברים המכהנים בוועדה מכוח מינוי השרים, מוצע כי היא תוכל לפעול בהרכב של שלושה חברים ומעלה; וכי </w:t>
      </w:r>
      <w:r w:rsidRPr="00D94367">
        <w:rPr>
          <w:rFonts w:ascii="David" w:eastAsia="Calibri" w:hAnsi="David"/>
          <w:rtl/>
        </w:rPr>
        <w:t xml:space="preserve">תוקף פעולותיה של הוועדה לא ייפגע </w:t>
      </w:r>
      <w:r w:rsidRPr="00D94367">
        <w:rPr>
          <w:rFonts w:ascii="David" w:eastAsia="Calibri" w:hAnsi="David" w:hint="cs"/>
          <w:rtl/>
        </w:rPr>
        <w:t>עקב פינוי</w:t>
      </w:r>
      <w:r w:rsidRPr="00D94367">
        <w:rPr>
          <w:rFonts w:ascii="David" w:eastAsia="Calibri" w:hAnsi="David"/>
          <w:rtl/>
        </w:rPr>
        <w:t xml:space="preserve"> מקומם של עד שניים מבין חברי</w:t>
      </w:r>
      <w:r>
        <w:rPr>
          <w:rFonts w:ascii="David" w:eastAsia="Calibri" w:hAnsi="David" w:hint="cs"/>
          <w:rtl/>
        </w:rPr>
        <w:t>ה</w:t>
      </w:r>
      <w:r w:rsidRPr="00D94367">
        <w:rPr>
          <w:rFonts w:ascii="David" w:eastAsia="Calibri" w:hAnsi="David" w:hint="cs"/>
          <w:rtl/>
        </w:rPr>
        <w:t xml:space="preserve">. </w:t>
      </w:r>
    </w:p>
    <w:p w:rsidR="00C149B0" w:rsidP="0006068B" w14:paraId="06FA623B" w14:textId="77777777">
      <w:pPr>
        <w:pStyle w:val="7392"/>
        <w:rPr>
          <w:rtl/>
        </w:rPr>
      </w:pPr>
      <w:r w:rsidRPr="00D94367">
        <w:rPr>
          <w:rFonts w:hint="cs"/>
          <w:rtl/>
        </w:rPr>
        <w:t xml:space="preserve">ב-8.6.22 מסרה רשות החברות </w:t>
      </w:r>
      <w:r>
        <w:rPr>
          <w:rFonts w:hint="cs"/>
          <w:rtl/>
        </w:rPr>
        <w:t xml:space="preserve">הממשלתיות </w:t>
      </w:r>
      <w:r w:rsidRPr="00D94367">
        <w:rPr>
          <w:rFonts w:hint="cs"/>
          <w:rtl/>
        </w:rPr>
        <w:t>למשרד מבקר המדינה כי התיקון לכללי החברות הממשלתיות פורסם לשימוע לציבור; כי עם סיום ההליך ולאחר בחינת ההערות על ידי כלל גורמי הממשלה המעורבים (רשות החברות</w:t>
      </w:r>
      <w:r>
        <w:rPr>
          <w:rFonts w:hint="cs"/>
          <w:rtl/>
        </w:rPr>
        <w:t xml:space="preserve"> הממשלתיות</w:t>
      </w:r>
      <w:r w:rsidRPr="00D94367">
        <w:rPr>
          <w:rFonts w:hint="cs"/>
          <w:rtl/>
        </w:rPr>
        <w:t>, משרד האוצר ומשרד המשפטים) יובא נוסח התיקון לאישור משרד המשפטים.</w:t>
      </w:r>
    </w:p>
    <w:p w:rsidR="00C149B0" w:rsidP="0006068B" w14:paraId="4E972A27" w14:textId="77777777">
      <w:pPr>
        <w:pStyle w:val="7392"/>
        <w:rPr>
          <w:rtl/>
        </w:rPr>
      </w:pPr>
      <w:r w:rsidRPr="00246AED">
        <w:rPr>
          <w:rFonts w:hint="cs"/>
          <w:rtl/>
        </w:rPr>
        <w:t>בתגובת</w:t>
      </w:r>
      <w:r>
        <w:rPr>
          <w:rFonts w:hint="cs"/>
          <w:rtl/>
        </w:rPr>
        <w:t>ו</w:t>
      </w:r>
      <w:r w:rsidRPr="00246AED">
        <w:rPr>
          <w:rFonts w:hint="cs"/>
          <w:rtl/>
        </w:rPr>
        <w:t xml:space="preserve"> של </w:t>
      </w:r>
      <w:r>
        <w:rPr>
          <w:rFonts w:hint="cs"/>
          <w:rtl/>
        </w:rPr>
        <w:t xml:space="preserve">משרד המשפטים </w:t>
      </w:r>
      <w:r w:rsidRPr="00246AED">
        <w:rPr>
          <w:rFonts w:hint="cs"/>
          <w:rtl/>
        </w:rPr>
        <w:t xml:space="preserve">מנובמבר </w:t>
      </w:r>
      <w:r>
        <w:rPr>
          <w:rFonts w:hint="cs"/>
          <w:rtl/>
        </w:rPr>
        <w:t>2022</w:t>
      </w:r>
      <w:r w:rsidRPr="00246AED">
        <w:rPr>
          <w:rFonts w:hint="cs"/>
          <w:rtl/>
        </w:rPr>
        <w:t xml:space="preserve"> על ממצאי הביקורת</w:t>
      </w:r>
      <w:r>
        <w:rPr>
          <w:rFonts w:hint="cs"/>
          <w:rtl/>
        </w:rPr>
        <w:t xml:space="preserve"> הוא מסר כי </w:t>
      </w:r>
      <w:r>
        <w:rPr>
          <w:rFonts w:ascii="David" w:hAnsi="David"/>
          <w:sz w:val="24"/>
          <w:rtl/>
        </w:rPr>
        <w:t>טיוטת התיקון הועברה לו</w:t>
      </w:r>
      <w:r>
        <w:rPr>
          <w:rFonts w:ascii="David" w:hAnsi="David" w:hint="cs"/>
          <w:sz w:val="24"/>
          <w:rtl/>
        </w:rPr>
        <w:t>ו</w:t>
      </w:r>
      <w:r>
        <w:rPr>
          <w:rFonts w:ascii="David" w:hAnsi="David"/>
          <w:sz w:val="24"/>
          <w:rtl/>
        </w:rPr>
        <w:t>עדת הכספים על</w:t>
      </w:r>
      <w:r>
        <w:rPr>
          <w:rFonts w:ascii="David" w:hAnsi="David" w:hint="cs"/>
          <w:sz w:val="24"/>
          <w:rtl/>
        </w:rPr>
        <w:t xml:space="preserve"> </w:t>
      </w:r>
      <w:r>
        <w:rPr>
          <w:rFonts w:ascii="David" w:hAnsi="David"/>
          <w:sz w:val="24"/>
          <w:rtl/>
        </w:rPr>
        <w:t>ידי שר האוצר ו</w:t>
      </w:r>
      <w:r>
        <w:rPr>
          <w:rFonts w:ascii="David" w:hAnsi="David" w:hint="cs"/>
          <w:sz w:val="24"/>
          <w:rtl/>
        </w:rPr>
        <w:t xml:space="preserve">שר </w:t>
      </w:r>
      <w:r>
        <w:rPr>
          <w:rFonts w:ascii="David" w:hAnsi="David"/>
          <w:sz w:val="24"/>
          <w:rtl/>
        </w:rPr>
        <w:t>המשפטים ב</w:t>
      </w:r>
      <w:r>
        <w:rPr>
          <w:rFonts w:hint="cs"/>
          <w:rtl/>
        </w:rPr>
        <w:t>אוגוסט 2022</w:t>
      </w:r>
      <w:r>
        <w:rPr>
          <w:rStyle w:val="FootnoteReference0"/>
          <w:rtl/>
        </w:rPr>
        <w:footnoteReference w:id="151"/>
      </w:r>
      <w:r>
        <w:rPr>
          <w:rFonts w:hint="cs"/>
          <w:rtl/>
        </w:rPr>
        <w:t>.</w:t>
      </w:r>
      <w:r w:rsidRPr="00246AED">
        <w:rPr>
          <w:rFonts w:hint="cs"/>
          <w:rtl/>
        </w:rPr>
        <w:t xml:space="preserve"> </w:t>
      </w:r>
      <w:r>
        <w:rPr>
          <w:rtl/>
        </w:rPr>
        <w:br/>
      </w:r>
      <w:r>
        <w:rPr>
          <w:rFonts w:hint="cs"/>
          <w:rtl/>
        </w:rPr>
        <w:t xml:space="preserve">בתגובתה של </w:t>
      </w:r>
      <w:r w:rsidRPr="00D94367">
        <w:rPr>
          <w:rFonts w:hint="cs"/>
          <w:rtl/>
        </w:rPr>
        <w:t xml:space="preserve">רשות החברות </w:t>
      </w:r>
      <w:r>
        <w:rPr>
          <w:rFonts w:hint="cs"/>
          <w:rtl/>
        </w:rPr>
        <w:t xml:space="preserve">הממשלתיות על ממצאי הביקורת היא ציינה כי </w:t>
      </w:r>
      <w:r>
        <w:rPr>
          <w:rFonts w:ascii="David" w:hAnsi="David" w:hint="cs"/>
          <w:sz w:val="24"/>
          <w:rtl/>
        </w:rPr>
        <w:t>טרם התקיים דיון בנושא.</w:t>
      </w:r>
    </w:p>
    <w:p w:rsidR="00C149B0" w:rsidRPr="0006068B" w:rsidP="0006068B" w14:paraId="18390744" w14:textId="77777777">
      <w:pPr>
        <w:pStyle w:val="7318"/>
        <w:rPr>
          <w:rtl/>
        </w:rPr>
      </w:pPr>
      <w:r w:rsidRPr="0006068B">
        <w:rPr>
          <w:rFonts w:hint="cs"/>
          <w:rtl/>
        </w:rPr>
        <w:t xml:space="preserve">נוכח </w:t>
      </w:r>
      <w:r w:rsidRPr="0006068B">
        <w:rPr>
          <w:rFonts w:hint="eastAsia"/>
          <w:rtl/>
        </w:rPr>
        <w:t>ה</w:t>
      </w:r>
      <w:r w:rsidRPr="0006068B">
        <w:rPr>
          <w:rFonts w:hint="cs"/>
          <w:rtl/>
        </w:rPr>
        <w:t xml:space="preserve">הרכב </w:t>
      </w:r>
      <w:r w:rsidRPr="0006068B">
        <w:rPr>
          <w:rFonts w:hint="eastAsia"/>
          <w:rtl/>
        </w:rPr>
        <w:t>ה</w:t>
      </w:r>
      <w:r w:rsidRPr="0006068B">
        <w:rPr>
          <w:rFonts w:hint="cs"/>
          <w:rtl/>
        </w:rPr>
        <w:t xml:space="preserve">חסר של הוועדה למינוי רואי חשבון מבקרים במשך תקופות ארוכות, לרבות מסוף שנת 2017 ועד מועד סיום הביקורת (יולי 2022), לא הוחלפו בפרק הזמן הנדרש רואי חשבון מבקרים בחברות ממשלתיות; ברפאל משמש אותו רואה חשבון מבקר </w:t>
      </w:r>
      <w:r w:rsidRPr="0006068B">
        <w:rPr>
          <w:rFonts w:hint="eastAsia"/>
          <w:rtl/>
        </w:rPr>
        <w:t>במשך</w:t>
      </w:r>
      <w:r w:rsidRPr="0006068B">
        <w:rPr>
          <w:rFonts w:hint="cs"/>
          <w:rtl/>
        </w:rPr>
        <w:t xml:space="preserve"> יותר מ-15 שנים. זאת, שלא בהתאם לכללי החברות הממשלתיות.</w:t>
      </w:r>
    </w:p>
    <w:p w:rsidR="00C149B0" w:rsidRPr="0006068B" w:rsidP="0006068B" w14:paraId="5ED88129" w14:textId="77777777">
      <w:pPr>
        <w:pStyle w:val="7392"/>
        <w:rPr>
          <w:rtl/>
        </w:rPr>
      </w:pPr>
      <w:r w:rsidRPr="0006068B">
        <w:rPr>
          <w:rFonts w:hint="cs"/>
          <w:rtl/>
        </w:rPr>
        <w:t>בתגובתה של רשות החברות הממשלתיות על ממצאי הביקורת היא מסרה</w:t>
      </w:r>
      <w:r w:rsidRPr="0006068B">
        <w:rPr>
          <w:rtl/>
        </w:rPr>
        <w:t xml:space="preserve"> </w:t>
      </w:r>
      <w:r w:rsidRPr="0006068B">
        <w:rPr>
          <w:rFonts w:hint="cs"/>
          <w:rtl/>
        </w:rPr>
        <w:t>כי ב-30.10.22 חתמו שר המשפטים ושר האוצר על כתבי מינוי של יו"ר הוועדה למינוי רואי חשבון ושל חבר ועדה נוסף; וכי בכך הושלם ההרכב הנדרש לחידוש פעילות הוועדה.</w:t>
      </w:r>
    </w:p>
    <w:p w:rsidR="00C149B0" w:rsidRPr="00C149B0" w:rsidP="00C149B0" w14:paraId="32DFEA58" w14:textId="77777777">
      <w:pPr>
        <w:pStyle w:val="7318"/>
      </w:pPr>
      <w:r w:rsidRPr="00C149B0">
        <w:rPr>
          <w:rFonts w:hint="cs"/>
          <w:rtl/>
        </w:rPr>
        <w:t>נוכח הקמה מחדש של הוועדה למינוי רואי חשבון, על</w:t>
      </w:r>
      <w:r w:rsidRPr="00C149B0">
        <w:rPr>
          <w:rtl/>
        </w:rPr>
        <w:t xml:space="preserve"> רשות החברות </w:t>
      </w:r>
      <w:r w:rsidRPr="00C149B0">
        <w:rPr>
          <w:rFonts w:hint="cs"/>
          <w:rtl/>
        </w:rPr>
        <w:t>הממשלתיות לפעול בהתאם לסמכויות הנתונות לה כדין על מנת לקדם את כינוסה ופעילותה של הוועדה</w:t>
      </w:r>
      <w:r w:rsidRPr="00C149B0">
        <w:rPr>
          <w:rtl/>
        </w:rPr>
        <w:t xml:space="preserve">. זאת </w:t>
      </w:r>
      <w:r w:rsidRPr="00C149B0">
        <w:rPr>
          <w:rFonts w:hint="cs"/>
          <w:rtl/>
        </w:rPr>
        <w:t xml:space="preserve">כדי </w:t>
      </w:r>
      <w:r w:rsidRPr="00C149B0">
        <w:rPr>
          <w:rtl/>
        </w:rPr>
        <w:t>ש</w:t>
      </w:r>
      <w:r w:rsidRPr="00C149B0">
        <w:rPr>
          <w:rFonts w:hint="eastAsia"/>
          <w:rtl/>
        </w:rPr>
        <w:t>תתקיים</w:t>
      </w:r>
      <w:r w:rsidRPr="00C149B0">
        <w:rPr>
          <w:rtl/>
        </w:rPr>
        <w:t xml:space="preserve"> </w:t>
      </w:r>
      <w:r w:rsidRPr="00C149B0">
        <w:rPr>
          <w:rFonts w:hint="eastAsia"/>
          <w:rtl/>
        </w:rPr>
        <w:t>תחלופה</w:t>
      </w:r>
      <w:r w:rsidRPr="00C149B0">
        <w:rPr>
          <w:rtl/>
        </w:rPr>
        <w:t xml:space="preserve"> </w:t>
      </w:r>
      <w:r w:rsidRPr="00C149B0">
        <w:rPr>
          <w:rFonts w:hint="eastAsia"/>
          <w:rtl/>
        </w:rPr>
        <w:t>ע</w:t>
      </w:r>
      <w:r w:rsidRPr="00C149B0">
        <w:rPr>
          <w:rFonts w:hint="cs"/>
          <w:rtl/>
        </w:rPr>
        <w:t>י</w:t>
      </w:r>
      <w:r w:rsidRPr="00C149B0">
        <w:rPr>
          <w:rFonts w:hint="eastAsia"/>
          <w:rtl/>
        </w:rPr>
        <w:t>תית</w:t>
      </w:r>
      <w:r w:rsidRPr="00C149B0">
        <w:rPr>
          <w:rtl/>
        </w:rPr>
        <w:t xml:space="preserve"> </w:t>
      </w:r>
      <w:r w:rsidRPr="00C149B0">
        <w:rPr>
          <w:rFonts w:hint="eastAsia"/>
          <w:rtl/>
        </w:rPr>
        <w:t>של</w:t>
      </w:r>
      <w:r w:rsidRPr="00C149B0">
        <w:rPr>
          <w:rtl/>
        </w:rPr>
        <w:t xml:space="preserve"> רואי החשבון המבקרים בחברות הממשלתיות, ובהן רפאל, </w:t>
      </w:r>
      <w:r w:rsidRPr="00C149B0">
        <w:rPr>
          <w:rFonts w:hint="cs"/>
          <w:rtl/>
        </w:rPr>
        <w:t xml:space="preserve">כנדרש </w:t>
      </w:r>
      <w:r w:rsidRPr="00C149B0">
        <w:rPr>
          <w:rFonts w:hint="eastAsia"/>
          <w:rtl/>
        </w:rPr>
        <w:t>וכדי</w:t>
      </w:r>
      <w:r w:rsidRPr="00C149B0">
        <w:rPr>
          <w:rtl/>
        </w:rPr>
        <w:t xml:space="preserve"> </w:t>
      </w:r>
      <w:r w:rsidRPr="00C149B0">
        <w:rPr>
          <w:rFonts w:hint="eastAsia"/>
          <w:rtl/>
        </w:rPr>
        <w:t>לא</w:t>
      </w:r>
      <w:r w:rsidRPr="00C149B0">
        <w:rPr>
          <w:rtl/>
        </w:rPr>
        <w:t xml:space="preserve"> ליצור קשרי תלות לא רצויים בין רואי החשבון לבין החברה. </w:t>
      </w:r>
    </w:p>
    <w:p w:rsidR="00C149B0" w:rsidP="00C149B0" w14:paraId="532E13C0" w14:textId="77777777">
      <w:pPr>
        <w:bidi w:val="0"/>
        <w:spacing w:after="200" w:line="276" w:lineRule="auto"/>
        <w:rPr>
          <w:rFonts w:eastAsiaTheme="majorEastAsia"/>
          <w:bCs/>
          <w:szCs w:val="28"/>
          <w:u w:val="single"/>
          <w:rtl/>
        </w:rPr>
      </w:pPr>
      <w:bookmarkStart w:id="37" w:name="_Toc115616212"/>
      <w:bookmarkEnd w:id="36"/>
      <w:r>
        <w:rPr>
          <w:rtl/>
        </w:rPr>
        <w:br w:type="page"/>
      </w:r>
    </w:p>
    <w:p w:rsidR="00C149B0" w:rsidP="00C149B0" w14:paraId="29B8882A" w14:textId="77777777">
      <w:pPr>
        <w:pStyle w:val="7326"/>
        <w:rPr>
          <w:rtl/>
        </w:rPr>
      </w:pPr>
      <w:r>
        <w:rPr>
          <w:rtl/>
        </w:rPr>
        <w:t>סיכום</w:t>
      </w:r>
      <w:bookmarkEnd w:id="37"/>
    </w:p>
    <w:p w:rsidR="00C149B0" w:rsidRPr="00C149B0" w:rsidP="00C149B0" w14:paraId="274C7DD0" w14:textId="77777777">
      <w:pPr>
        <w:pStyle w:val="7318"/>
        <w:rPr>
          <w:rtl/>
        </w:rPr>
      </w:pPr>
      <w:r w:rsidRPr="00C149B0">
        <w:rPr>
          <w:rFonts w:hint="cs"/>
          <w:rtl/>
        </w:rPr>
        <w:t>רפאל מערכות לחימה מתקדמות בע"מ (רפאל) היא חברה ממשלתית מהגדולות במדינת ישראל, בעלת יכולות וטכנולוגיות מתקדמות וייחודיות, העוסקת בתחומי הביטחון ובכלל זה בפיתוח ובייצור של אמצעי לחימה לצה"ל ומכירת מגוון מוצרים בתחומים הביטחוניים ברחבי העולם. בסוף שנת 2021 הועסקו ברפאל, לרבות בחברות הבנות שלה, כ-9,500 עובדים, מכירותיה הסתכמו בכ-10 מיליארד ש"ח, מהם כ-50% לייצוא; וצבר ההזמנות של הקבוצה הסתכם בכ-28.8 מיליארד ש"ח, שהם פי 2.9 מהכנסותיה ממכירות בשנה זו.</w:t>
      </w:r>
    </w:p>
    <w:p w:rsidR="00C149B0" w:rsidRPr="00C149B0" w:rsidP="00C149B0" w14:paraId="3C836423" w14:textId="77777777">
      <w:pPr>
        <w:pStyle w:val="7318"/>
        <w:rPr>
          <w:rtl/>
        </w:rPr>
      </w:pPr>
      <w:r w:rsidRPr="00C149B0">
        <w:rPr>
          <w:rFonts w:hint="cs"/>
          <w:rtl/>
        </w:rPr>
        <w:t xml:space="preserve">בגין השנים 2017 - 2021 הכריזה רפאל על דיבידנדים שוטפים בסך של 663 מיליון ש"ח מתוך רווח נקי של יותר מ-2 מיליארד ש"ח, ומהיקף הכנסות של יותר מ-46 מיליארד ש"ח. הרווחים הצבורים של החברה ל-31.12.21 הסתכמו בסך של כ-4.5 מיליארד ש"ח. </w:t>
      </w:r>
    </w:p>
    <w:p w:rsidR="00C149B0" w:rsidRPr="00C149B0" w:rsidP="00C149B0" w14:paraId="17A568CF" w14:textId="77777777">
      <w:pPr>
        <w:pStyle w:val="7318"/>
        <w:rPr>
          <w:rtl/>
        </w:rPr>
      </w:pPr>
      <w:r w:rsidRPr="00C149B0">
        <w:rPr>
          <w:rFonts w:hint="cs"/>
          <w:rtl/>
        </w:rPr>
        <w:t xml:space="preserve">נוכח מאפייניה של רפאל, ובכלל זה יכולותיה הייחודיות והיקף פעילותה בארץ ובחו"ל, היא משמשת, עם תעשיות ביטחוניות ישראליות נוספות, מרכיב חשוב בביטחון הלאומי של מדינת ישראל. לפיכך שימור איתנותה העסקית והפיננסית הוא אינטרס ביטחוני וכלכלי של המדינה. </w:t>
      </w:r>
    </w:p>
    <w:p w:rsidR="00C149B0" w:rsidRPr="00C149B0" w:rsidP="00C149B0" w14:paraId="3FB29BB9" w14:textId="77777777">
      <w:pPr>
        <w:pStyle w:val="7318"/>
        <w:rPr>
          <w:rtl/>
        </w:rPr>
      </w:pPr>
      <w:r w:rsidRPr="00C149B0">
        <w:rPr>
          <w:rFonts w:hint="cs"/>
          <w:rtl/>
        </w:rPr>
        <w:t xml:space="preserve">ניתוח התוצאות העסקיות של רפאל בתקופה הנבדקת (השנים 2017 - 2021) מעיד </w:t>
      </w:r>
      <w:r w:rsidRPr="00C149B0">
        <w:rPr>
          <w:rtl/>
        </w:rPr>
        <w:t>כי לצד הכנסות מצטברות בסך של כ-46.5 מיליארד ש"ח בשנים 2017 - 2021 ורווחים צבורים בסך של כ-4.5 מיליארד ש"ח ל-31.12.21, מתמודדת החברה עם</w:t>
      </w:r>
      <w:r w:rsidRPr="00C149B0">
        <w:rPr>
          <w:rFonts w:hint="cs"/>
          <w:rtl/>
        </w:rPr>
        <w:t xml:space="preserve"> קשיים, ובהם: ירידה בהכנסותיה (ללא חברות בנות) בשנים 2020 ו-2021; אי-עמידה בשנת 2021 במלוא יעד הצמיחה שנקבע בתוכנית האסטרטגית שלה וירידה ברווח התפעולי יחסית לשנת 2020; שחיקה לאורך שנים ב</w:t>
      </w:r>
      <w:r w:rsidRPr="00C149B0">
        <w:rPr>
          <w:rtl/>
        </w:rPr>
        <w:t xml:space="preserve">רווחיות </w:t>
      </w:r>
      <w:r w:rsidRPr="00C149B0">
        <w:rPr>
          <w:rFonts w:hint="cs"/>
          <w:rtl/>
        </w:rPr>
        <w:t>הפרויקטלית</w:t>
      </w:r>
      <w:r w:rsidRPr="00C149B0">
        <w:rPr>
          <w:rtl/>
        </w:rPr>
        <w:t xml:space="preserve"> </w:t>
      </w:r>
      <w:r w:rsidRPr="00C149B0">
        <w:rPr>
          <w:rFonts w:hint="cs"/>
          <w:rtl/>
        </w:rPr>
        <w:t xml:space="preserve">הגלומה ביתרת צבר ההזמנות </w:t>
      </w:r>
      <w:r w:rsidRPr="00C149B0">
        <w:rPr>
          <w:rFonts w:hint="cs"/>
          <w:rtl/>
        </w:rPr>
        <w:t>לפרויקטי</w:t>
      </w:r>
      <w:r w:rsidRPr="00C149B0">
        <w:rPr>
          <w:rFonts w:hint="cs"/>
          <w:rtl/>
        </w:rPr>
        <w:t xml:space="preserve"> פיתוח </w:t>
      </w:r>
      <w:r w:rsidRPr="00C149B0">
        <w:rPr>
          <w:rFonts w:hint="cs"/>
          <w:rtl/>
        </w:rPr>
        <w:t>ופרויקטי</w:t>
      </w:r>
      <w:r w:rsidRPr="00C149B0">
        <w:rPr>
          <w:rFonts w:hint="cs"/>
          <w:rtl/>
        </w:rPr>
        <w:t xml:space="preserve"> פיתוח וייצור (מעורבים) עיקריים; תחזית הפסד תפעולי בכמה פרויקטים, ובהם פרויקטים </w:t>
      </w:r>
      <w:r w:rsidRPr="00C149B0">
        <w:rPr>
          <w:rFonts w:hint="cs"/>
          <w:rtl/>
        </w:rPr>
        <w:t>למשהב"ט</w:t>
      </w:r>
      <w:r w:rsidRPr="00C149B0">
        <w:rPr>
          <w:rFonts w:hint="cs"/>
          <w:rtl/>
        </w:rPr>
        <w:t>; פער מסוים באבני הדרך החוזיות; ירידה בהכנסות לעובד; אי-עמידה במלוא יעדי התקציב לביצוע רכש מניות בחברות; וקושי בעמידה ביעדיה לקבלת הזמנות חדשות.</w:t>
      </w:r>
    </w:p>
    <w:p w:rsidR="00C149B0" w:rsidRPr="00C149B0" w:rsidP="00C149B0" w14:paraId="420CEFD5" w14:textId="77777777">
      <w:pPr>
        <w:pStyle w:val="7318"/>
        <w:rPr>
          <w:rtl/>
        </w:rPr>
      </w:pPr>
      <w:r w:rsidRPr="00C149B0">
        <w:rPr>
          <w:rFonts w:hint="cs"/>
          <w:rtl/>
        </w:rPr>
        <w:t xml:space="preserve">בשנים האחרונות מתקיימים כמה תהליכים שנועדו להשפיע על תוצאות פעילותה של רפאל בשנים הבאות, ובהם: תיקוף התוכנית האסטרטגית שלה ועדכונה לשנת 2030; וגיבוש יעדים פיננסיים ארוכי טווח לפעילות החברה על ידי רשות החברות הממשלתיות ובתיאום עימה. </w:t>
      </w:r>
    </w:p>
    <w:p w:rsidR="00C149B0" w:rsidRPr="00C149B0" w:rsidP="00C149B0" w14:paraId="0559A03D" w14:textId="77777777">
      <w:pPr>
        <w:pStyle w:val="7318"/>
        <w:rPr>
          <w:rtl/>
        </w:rPr>
      </w:pPr>
      <w:r w:rsidRPr="00C149B0">
        <w:rPr>
          <w:rFonts w:hint="cs"/>
          <w:rtl/>
        </w:rPr>
        <w:t>נוכח נתוניה העסקיים של רפאל בתקופה הנבדקת מומלץ כי הנהלת החברה תפעל לעדכון תוכניתה האסטרטגית, גם נוכח ממצאי דוח זה ובהתאם להמלצותיו ובהלימה עם היעדים הפיננסיים שיסוכמו עם רשות החברות הממשלתיות; וכי התוכנית תובא לבחינת הדירקטוריון ולאישורו. עוד מומלץ כי רשות החברות הממשלתיות תעקוב אחר הליך גיבוש התוכנית ואחר מימושה.</w:t>
      </w:r>
    </w:p>
    <w:sectPr w:rsidSect="00F35B8C">
      <w:headerReference w:type="default" r:id="rId58"/>
      <w:pgSz w:w="11906" w:h="16838" w:code="9"/>
      <w:pgMar w:top="3062" w:right="2268" w:bottom="2552" w:left="2268" w:header="1134" w:footer="1361"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endnote w:type="separator" w:id="0">
    <w:p w:rsidR="00FE10AD" w14:paraId="749B4770" w14:textId="77777777">
      <w:pPr>
        <w:spacing w:line="240" w:lineRule="auto"/>
      </w:pPr>
      <w:r>
        <w:separator/>
      </w:r>
    </w:p>
    <w:p w:rsidR="00FE10AD" w14:paraId="041095C4" w14:textId="77777777"/>
    <w:p w:rsidR="00FE10AD" w14:paraId="0B4E4045" w14:textId="77777777"/>
    <w:p w:rsidR="00FE10AD" w14:paraId="54045628" w14:textId="77777777"/>
  </w:endnote>
  <w:endnote w:type="continuationSeparator" w:id="1">
    <w:p w:rsidR="00FE10AD" w14:paraId="1192D011" w14:textId="77777777">
      <w:pPr>
        <w:spacing w:line="240" w:lineRule="auto"/>
      </w:pPr>
      <w:r>
        <w:continuationSeparator/>
      </w:r>
    </w:p>
    <w:p w:rsidR="00FE10AD" w14:paraId="4844D7BE" w14:textId="77777777"/>
    <w:p w:rsidR="00FE10AD" w14:paraId="14157D60" w14:textId="77777777"/>
    <w:p w:rsidR="00FE10AD" w14:paraId="17778E30"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David">
    <w:altName w:val="Arial"/>
    <w:panose1 w:val="020E0502060401010101"/>
    <w:charset w:val="00"/>
    <w:family w:val="swiss"/>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TypoUpright BT">
    <w:panose1 w:val="020B0604020202020204"/>
    <w:charset w:val="00"/>
    <w:family w:val="script"/>
    <w:pitch w:val="variable"/>
    <w:sig w:usb0="800000AF" w:usb1="1000204A" w:usb2="00000000" w:usb3="00000000" w:csb0="0000001B" w:csb1="00000000"/>
  </w:font>
  <w:font w:name="Tw Cen MT">
    <w:panose1 w:val="020B0602020104020603"/>
    <w:charset w:val="00"/>
    <w:family w:val="swiss"/>
    <w:pitch w:val="variable"/>
    <w:sig w:usb0="00000003" w:usb1="00000000" w:usb2="00000000" w:usb3="00000000" w:csb0="00000003" w:csb1="00000000"/>
  </w:font>
  <w:font w:name="Tw Cen MT Condensed">
    <w:panose1 w:val="020B0606020104020203"/>
    <w:charset w:val="00"/>
    <w:family w:val="swiss"/>
    <w:pitch w:val="variable"/>
    <w:sig w:usb0="00000003" w:usb1="00000000" w:usb2="00000000" w:usb3="00000000" w:csb0="00000003" w:csb1="00000000"/>
  </w:font>
  <w:font w:name="Levenim MT">
    <w:panose1 w:val="02010502060101010101"/>
    <w:charset w:val="B1"/>
    <w:family w:val="auto"/>
    <w:pitch w:val="variable"/>
    <w:sig w:usb0="00000803" w:usb1="00000000" w:usb2="00000000" w:usb3="00000000" w:csb0="00000021" w:csb1="00000000"/>
  </w:font>
  <w:font w:name="Almoni ML Regular AAA">
    <w:altName w:val="Almoni ML Regular AAA"/>
    <w:panose1 w:val="020B0604020202020204"/>
    <w:charset w:val="B1"/>
    <w:family w:val="auto"/>
    <w:pitch w:val="variable"/>
    <w:sig w:usb0="00000A07" w:usb1="40000000" w:usb2="00000000" w:usb3="00000000" w:csb0="000000B7" w:csb1="00000000"/>
  </w:font>
  <w:font w:name="Lucida Sans Unicode">
    <w:panose1 w:val="020B0602030504020204"/>
    <w:charset w:val="00"/>
    <w:family w:val="swiss"/>
    <w:pitch w:val="variable"/>
    <w:sig w:usb0="80000AFF" w:usb1="0000396B" w:usb2="00000000" w:usb3="00000000" w:csb0="000000BF" w:csb1="00000000"/>
  </w:font>
  <w:font w:name="Arial Bold">
    <w:altName w:val="Arial"/>
    <w:panose1 w:val="020B0604020202020204"/>
    <w:charset w:val="00"/>
    <w:family w:val="roman"/>
    <w:notTrueType/>
    <w:pitch w:val="default"/>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rankRuehl">
    <w:panose1 w:val="020E0503060101010101"/>
    <w:charset w:val="B1"/>
    <w:family w:val="swiss"/>
    <w:pitch w:val="variable"/>
    <w:sig w:usb0="00000803" w:usb1="00000000" w:usb2="00000000" w:usb3="00000000" w:csb0="00000021"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Gotham Narrow Light">
    <w:altName w:val="Tahoma"/>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F73EE0" w:rsidP="00AC37C7" w14:paraId="0C89F632" w14:textId="07717369">
    <w:pPr>
      <w:pStyle w:val="Footer"/>
      <w:spacing w:after="120" w:line="312" w:lineRule="auto"/>
      <w:ind w:right="-737"/>
      <w:jc w:val="right"/>
      <w:rPr>
        <w:rFonts w:ascii="Tahoma" w:hAnsi="Tahoma" w:cs="Tahoma"/>
        <w:sz w:val="18"/>
        <w:szCs w:val="18"/>
        <w:rtl/>
      </w:rPr>
    </w:pPr>
    <w:r w:rsidRPr="00F94EB4">
      <w:rPr>
        <w:rFonts w:ascii="Tahoma" w:hAnsi="Tahoma" w:cs="Tahoma"/>
        <w:sz w:val="18"/>
        <w:szCs w:val="18"/>
      </w:rPr>
      <w:t xml:space="preserve">| </w:t>
    </w:r>
    <w:r w:rsidRPr="00F94EB4">
      <w:rPr>
        <w:rFonts w:ascii="Tahoma" w:hAnsi="Tahoma" w:cs="Tahoma"/>
        <w:sz w:val="18"/>
        <w:szCs w:val="18"/>
        <w:rtl/>
      </w:rPr>
      <w:t xml:space="preserve"> </w:t>
    </w:r>
    <w:r>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Pr>
        <w:rFonts w:ascii="Tahoma" w:hAnsi="Tahoma" w:cs="Tahoma"/>
        <w:sz w:val="18"/>
        <w:szCs w:val="18"/>
        <w:rtl/>
      </w:rPr>
      <w:t>3</w:t>
    </w:r>
    <w:r w:rsidRPr="00F94EB4">
      <w:rPr>
        <w:rFonts w:ascii="Tahoma" w:hAnsi="Tahoma" w:cs="Tahoma"/>
        <w:sz w:val="18"/>
        <w:szCs w:val="18"/>
        <w:rtl/>
      </w:rPr>
      <w:fldChar w:fldCharType="end"/>
    </w:r>
    <w:r w:rsidRPr="00F94EB4">
      <w:rPr>
        <w:rFonts w:ascii="Tahoma" w:hAnsi="Tahoma" w:cs="Tahoma"/>
        <w:sz w:val="18"/>
        <w:szCs w:val="18"/>
        <w:rtl/>
      </w:rPr>
      <w:t xml:space="preserve"> </w:t>
    </w:r>
    <w:r>
      <w:rPr>
        <w:rFonts w:ascii="Tahoma" w:hAnsi="Tahoma" w:cs="Tahoma" w:hint="cs"/>
        <w:sz w:val="18"/>
        <w:szCs w:val="18"/>
        <w:rtl/>
      </w:rPr>
      <w:t xml:space="preserve"> |</w:t>
    </w:r>
  </w:p>
  <w:p w:rsidR="00AC37C7" w:rsidRPr="00AC37C7" w:rsidP="00AC37C7" w14:paraId="26654934" w14:textId="77777777">
    <w:pPr>
      <w:pStyle w:val="Footer"/>
      <w:spacing w:after="120" w:line="312" w:lineRule="auto"/>
      <w:ind w:right="-737"/>
      <w:jc w:val="right"/>
      <w:rPr>
        <w:rFonts w:ascii="Tahoma" w:hAnsi="Tahoma" w:cs="Tahoma"/>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4E71DD" w:rsidP="004E71DD" w14:paraId="64C3D7BF" w14:textId="77777777">
    <w:pPr>
      <w:pStyle w:val="Footer"/>
      <w:spacing w:after="120" w:line="312" w:lineRule="auto"/>
      <w:ind w:left="-510"/>
      <w:jc w:val="left"/>
      <w:rPr>
        <w:rFonts w:ascii="Tahoma" w:hAnsi="Tahoma" w:cs="Tahoma"/>
        <w:sz w:val="18"/>
        <w:szCs w:val="18"/>
        <w:rtl/>
      </w:rPr>
    </w:pPr>
  </w:p>
  <w:p w:rsidR="004E71DD" w:rsidP="004E71DD" w14:paraId="4838AE27" w14:textId="77777777">
    <w:pPr>
      <w:pStyle w:val="Footer"/>
      <w:tabs>
        <w:tab w:val="left" w:pos="488"/>
        <w:tab w:val="left" w:pos="522"/>
        <w:tab w:val="clear" w:pos="4153"/>
        <w:tab w:val="clear" w:pos="8306"/>
      </w:tabs>
      <w:spacing w:after="120" w:line="312" w:lineRule="auto"/>
      <w:ind w:left="-737"/>
      <w:jc w:val="left"/>
      <w:rPr>
        <w:rFonts w:ascii="Tahoma" w:hAnsi="Tahoma" w:cs="Tahoma"/>
        <w:color w:val="004E6C"/>
        <w:sz w:val="18"/>
        <w:szCs w:val="18"/>
        <w:rtl/>
      </w:rPr>
    </w:pPr>
    <w:r w:rsidRPr="00F94EB4">
      <w:rPr>
        <w:rFonts w:ascii="Tahoma" w:hAnsi="Tahoma" w:cs="Tahoma"/>
        <w:sz w:val="18"/>
        <w:szCs w:val="18"/>
      </w:rPr>
      <w:t>|</w:t>
    </w:r>
    <w:r w:rsidRPr="00F94EB4">
      <w:rPr>
        <w:rFonts w:ascii="Tahoma" w:hAnsi="Tahoma" w:cs="Tahoma"/>
        <w:sz w:val="18"/>
        <w:szCs w:val="18"/>
        <w:rtl/>
      </w:rPr>
      <w:t xml:space="preserve"> </w:t>
    </w:r>
    <w:r>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Pr>
        <w:rFonts w:ascii="Tahoma" w:hAnsi="Tahoma" w:cs="Tahoma"/>
        <w:sz w:val="18"/>
        <w:szCs w:val="18"/>
        <w:rtl/>
      </w:rPr>
      <w:t>10</w:t>
    </w:r>
    <w:r w:rsidRPr="00F94EB4">
      <w:rPr>
        <w:rFonts w:ascii="Tahoma" w:hAnsi="Tahoma" w:cs="Tahoma"/>
        <w:sz w:val="18"/>
        <w:szCs w:val="18"/>
        <w:rtl/>
      </w:rPr>
      <w:fldChar w:fldCharType="end"/>
    </w:r>
    <w:r>
      <w:rPr>
        <w:rFonts w:ascii="Tahoma" w:hAnsi="Tahoma" w:cs="Tahoma" w:hint="cs"/>
        <w:sz w:val="18"/>
        <w:szCs w:val="18"/>
        <w:rtl/>
      </w:rPr>
      <w:t xml:space="preserve">   </w:t>
    </w:r>
    <w:r w:rsidRPr="0013302E">
      <w:rPr>
        <w:rFonts w:ascii="Tahoma" w:hAnsi="Tahoma" w:cs="Tahoma"/>
        <w:sz w:val="18"/>
        <w:szCs w:val="18"/>
      </w:rPr>
      <w:t>|</w:t>
    </w:r>
    <w:r>
      <w:rPr>
        <w:rFonts w:ascii="Tahoma" w:hAnsi="Tahoma" w:cs="Tahoma" w:hint="cs"/>
        <w:color w:val="004E6C"/>
        <w:sz w:val="18"/>
        <w:szCs w:val="18"/>
        <w:rtl/>
      </w:rPr>
      <w:t xml:space="preserve">     </w:t>
    </w:r>
    <w:r>
      <w:rPr>
        <w:rFonts w:ascii="Tahoma" w:hAnsi="Tahoma" w:cs="Tahoma"/>
        <w:color w:val="004E6C"/>
        <w:sz w:val="18"/>
        <w:szCs w:val="18"/>
        <w:rtl/>
      </w:rPr>
      <w:tab/>
    </w:r>
    <w:r>
      <w:rPr>
        <w:rFonts w:ascii="Tahoma" w:hAnsi="Tahoma" w:cs="Tahoma"/>
        <w:color w:val="004E6C"/>
        <w:sz w:val="18"/>
        <w:szCs w:val="18"/>
        <w:rtl/>
      </w:rPr>
      <w:tab/>
    </w:r>
  </w:p>
  <w:p w:rsidR="008B694B" w:rsidRPr="004E71DD" w:rsidP="004E71DD" w14:paraId="71472E75" w14:textId="77777777">
    <w:pPr>
      <w:pStyle w:val="Footer"/>
      <w:rPr>
        <w:szCs w:val="2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footnote w:type="separator" w:id="0">
    <w:p w:rsidR="00FE10AD" w:rsidP="00E7235E" w14:paraId="7E46B697" w14:textId="77777777">
      <w:pPr>
        <w:spacing w:line="240" w:lineRule="auto"/>
      </w:pPr>
      <w:r>
        <w:separator/>
      </w:r>
    </w:p>
  </w:footnote>
  <w:footnote w:type="continuationSeparator" w:id="1">
    <w:p w:rsidR="00FE10AD" w:rsidP="00C23CC9" w14:paraId="6328A705" w14:textId="77777777">
      <w:pPr>
        <w:spacing w:line="240" w:lineRule="auto"/>
      </w:pPr>
      <w:r>
        <w:continuationSeparator/>
      </w:r>
    </w:p>
    <w:p w:rsidR="00FE10AD" w14:paraId="299C6853" w14:textId="77777777"/>
    <w:p w:rsidR="00FE10AD" w14:paraId="705AF524" w14:textId="77777777"/>
    <w:p w:rsidR="00FE10AD" w14:paraId="6C7B60BC" w14:textId="77777777"/>
  </w:footnote>
  <w:footnote w:id="2">
    <w:p w:rsidR="007B7A98" w:rsidRPr="007B7A98" w:rsidP="0006068B" w14:paraId="5C22131C" w14:textId="77777777">
      <w:pPr>
        <w:pStyle w:val="733"/>
        <w:rPr>
          <w:rtl/>
        </w:rPr>
      </w:pPr>
      <w:r w:rsidRPr="007B7A98">
        <w:footnoteRef/>
      </w:r>
      <w:r w:rsidRPr="007B7A98">
        <w:rPr>
          <w:rtl/>
        </w:rPr>
        <w:t xml:space="preserve"> </w:t>
      </w:r>
      <w:r w:rsidRPr="007B7A98">
        <w:rPr>
          <w:rtl/>
        </w:rPr>
        <w:tab/>
        <w:t>הנתונים הכספיים המובאים בדוח זה מתייחסים לפעילות הקבוצה, אלא אם כן צוין אחרת. הנתונים הכספיים מוצגים במונחים נומינליים.</w:t>
      </w:r>
    </w:p>
  </w:footnote>
  <w:footnote w:id="3">
    <w:p w:rsidR="007B7A98" w:rsidRPr="007B7A98" w:rsidP="0006068B" w14:paraId="321DA0E6" w14:textId="77777777">
      <w:pPr>
        <w:pStyle w:val="733"/>
        <w:rPr>
          <w:rtl/>
        </w:rPr>
      </w:pPr>
      <w:r w:rsidRPr="007B7A98">
        <w:rPr>
          <w:rStyle w:val="FootnoteReference0"/>
          <w:vertAlign w:val="baseline"/>
        </w:rPr>
        <w:footnoteRef/>
      </w:r>
      <w:r w:rsidRPr="007B7A98">
        <w:rPr>
          <w:rtl/>
        </w:rPr>
        <w:t xml:space="preserve"> </w:t>
      </w:r>
      <w:r w:rsidRPr="007B7A98">
        <w:rPr>
          <w:rtl/>
        </w:rPr>
        <w:tab/>
      </w:r>
      <w:bookmarkStart w:id="0" w:name="_Hlk120178381"/>
      <w:r w:rsidRPr="007B7A98">
        <w:rPr>
          <w:rtl/>
        </w:rPr>
        <w:t>בחוק יסוד: משק המדינה נקבע כי "שנת תקציב המשכי" היא שנת כספים שעד לתחילתה לא התקבל חוק התקציב לאותה שנה. לפי חוק זה, בשנה כזאת רשאית הממשלה להוציא בכל חודש סכום השווה ל-1/12 מההוצאה הממשלתית המותרת לשנה הקודמת או מתקרת ההוצאה הממשלתית לשנה הקודמת.</w:t>
      </w:r>
      <w:bookmarkEnd w:id="0"/>
    </w:p>
  </w:footnote>
  <w:footnote w:id="4">
    <w:p w:rsidR="007B7A98" w:rsidRPr="00427A16" w:rsidP="0006068B" w14:paraId="53CCF921" w14:textId="3632773A">
      <w:pPr>
        <w:pStyle w:val="733"/>
        <w:rPr>
          <w:sz w:val="16"/>
          <w:szCs w:val="16"/>
          <w:rtl/>
        </w:rPr>
      </w:pPr>
      <w:r w:rsidRPr="007B7A98">
        <w:rPr>
          <w:rStyle w:val="FootnoteReference0"/>
          <w:vertAlign w:val="baseline"/>
        </w:rPr>
        <w:footnoteRef/>
      </w:r>
      <w:r w:rsidRPr="007B7A98">
        <w:rPr>
          <w:rtl/>
        </w:rPr>
        <w:t xml:space="preserve"> </w:t>
      </w:r>
      <w:r w:rsidRPr="007B7A98">
        <w:rPr>
          <w:rtl/>
        </w:rPr>
        <w:tab/>
        <w:t xml:space="preserve">רפאל </w:t>
      </w:r>
      <w:r w:rsidRPr="007B7A98">
        <w:rPr>
          <w:rtl/>
        </w:rPr>
        <w:t>ואירונאוטיקס</w:t>
      </w:r>
      <w:r w:rsidRPr="007B7A98">
        <w:rPr>
          <w:rtl/>
        </w:rPr>
        <w:t xml:space="preserve"> מחזיקות </w:t>
      </w:r>
      <w:r w:rsidRPr="007B7A98">
        <w:rPr>
          <w:rtl/>
        </w:rPr>
        <w:t>בקונטרופ</w:t>
      </w:r>
      <w:r w:rsidRPr="007B7A98">
        <w:rPr>
          <w:rtl/>
        </w:rPr>
        <w:t xml:space="preserve"> בשיעורים שווים (50%). דוחותיהן הכספיים של </w:t>
      </w:r>
      <w:r w:rsidRPr="007B7A98">
        <w:rPr>
          <w:rtl/>
        </w:rPr>
        <w:t>אירונאוטיקס</w:t>
      </w:r>
      <w:r w:rsidRPr="007B7A98">
        <w:rPr>
          <w:rtl/>
        </w:rPr>
        <w:t xml:space="preserve"> ושל </w:t>
      </w:r>
      <w:r w:rsidRPr="007B7A98">
        <w:rPr>
          <w:rtl/>
        </w:rPr>
        <w:t>קונטרופ</w:t>
      </w:r>
      <w:r w:rsidRPr="007B7A98">
        <w:rPr>
          <w:rtl/>
        </w:rPr>
        <w:t xml:space="preserve"> אוחדו לראשונה ב-1.4.21 לאחר שרפאל השיגה שליטה בחברת </w:t>
      </w:r>
      <w:r w:rsidRPr="007B7A98">
        <w:rPr>
          <w:rtl/>
        </w:rPr>
        <w:t>אירונאוטיקס</w:t>
      </w:r>
      <w:r w:rsidRPr="007B7A98">
        <w:rPr>
          <w:rtl/>
        </w:rPr>
        <w:t>.</w:t>
      </w:r>
    </w:p>
  </w:footnote>
  <w:footnote w:id="5">
    <w:p w:rsidR="008A5A43" w:rsidRPr="008A5A43" w:rsidP="0006068B" w14:paraId="1C935E04" w14:textId="77777777">
      <w:pPr>
        <w:pStyle w:val="733"/>
        <w:rPr>
          <w:rtl/>
        </w:rPr>
      </w:pPr>
      <w:r w:rsidRPr="008A5A43">
        <w:rPr>
          <w:rStyle w:val="FootnoteReference0"/>
          <w:vertAlign w:val="baseline"/>
        </w:rPr>
        <w:footnoteRef/>
      </w:r>
      <w:r w:rsidRPr="008A5A43">
        <w:rPr>
          <w:rtl/>
        </w:rPr>
        <w:t xml:space="preserve"> </w:t>
      </w:r>
      <w:r w:rsidRPr="008A5A43">
        <w:rPr>
          <w:rtl/>
        </w:rPr>
        <w:tab/>
        <w:t>כ-150 פרויקטים (ממוצע שנתי) בשנים 2017 - 2021 לשוק המקומי ולייצוא, שהוזמנו בשיטת התקשרות "מחיר קבוע", אשר ההיקף של כל אחד מהם עולה על 10 מיליון דולר.</w:t>
      </w:r>
    </w:p>
  </w:footnote>
  <w:footnote w:id="6">
    <w:p w:rsidR="008A5A43" w:rsidRPr="008A5A43" w:rsidP="0006068B" w14:paraId="5C8A8582" w14:textId="77777777">
      <w:pPr>
        <w:pStyle w:val="733"/>
      </w:pPr>
      <w:r w:rsidRPr="008A5A43">
        <w:rPr>
          <w:rStyle w:val="FootnoteReference0"/>
          <w:vertAlign w:val="baseline"/>
        </w:rPr>
        <w:footnoteRef/>
      </w:r>
      <w:r w:rsidRPr="008A5A43">
        <w:rPr>
          <w:rtl/>
        </w:rPr>
        <w:t xml:space="preserve"> </w:t>
      </w:r>
      <w:r w:rsidRPr="008A5A43">
        <w:rPr>
          <w:rtl/>
        </w:rPr>
        <w:tab/>
        <w:t xml:space="preserve">רווחיות </w:t>
      </w:r>
      <w:r w:rsidRPr="008A5A43">
        <w:rPr>
          <w:rtl/>
        </w:rPr>
        <w:t>פרויקטלית</w:t>
      </w:r>
      <w:r w:rsidRPr="008A5A43">
        <w:rPr>
          <w:rtl/>
        </w:rPr>
        <w:t xml:space="preserve"> - רווח גולמי בניכוי הוצאות הנהלה וכלליות ובניכוי הוצאות מכירה ושיווק, ללא עלויות מחקר ופיתוח המחושבות על פי עקרונות חשבונאיים. </w:t>
      </w:r>
    </w:p>
  </w:footnote>
  <w:footnote w:id="7">
    <w:p w:rsidR="008A5A43" w:rsidRPr="008A5A43" w:rsidP="0006068B" w14:paraId="4930C60F" w14:textId="77777777">
      <w:pPr>
        <w:pStyle w:val="733"/>
      </w:pPr>
      <w:r w:rsidRPr="008A5A43">
        <w:rPr>
          <w:rStyle w:val="FootnoteReference0"/>
          <w:vertAlign w:val="baseline"/>
        </w:rPr>
        <w:footnoteRef/>
      </w:r>
      <w:r w:rsidRPr="008A5A43">
        <w:rPr>
          <w:rtl/>
        </w:rPr>
        <w:t xml:space="preserve"> </w:t>
      </w:r>
      <w:r w:rsidRPr="008A5A43">
        <w:rPr>
          <w:rtl/>
        </w:rPr>
        <w:tab/>
        <w:t>פרויקטים מעורבים - פרויקטים הכוללים פיתוח וייצור.</w:t>
      </w:r>
    </w:p>
  </w:footnote>
  <w:footnote w:id="8">
    <w:p w:rsidR="008A5A43" w:rsidRPr="00427A16" w:rsidP="0006068B" w14:paraId="4DBDC62D" w14:textId="77777777">
      <w:pPr>
        <w:pStyle w:val="733"/>
        <w:rPr>
          <w:sz w:val="16"/>
          <w:szCs w:val="16"/>
        </w:rPr>
      </w:pPr>
      <w:r w:rsidRPr="0059264E">
        <w:rPr>
          <w:rStyle w:val="71Char"/>
        </w:rPr>
        <w:footnoteRef/>
      </w:r>
      <w:r w:rsidRPr="0059264E">
        <w:rPr>
          <w:rStyle w:val="71Char"/>
          <w:rtl/>
        </w:rPr>
        <w:t xml:space="preserve"> </w:t>
      </w:r>
      <w:r w:rsidRPr="0059264E">
        <w:rPr>
          <w:rStyle w:val="71Char"/>
          <w:rtl/>
        </w:rPr>
        <w:tab/>
      </w:r>
      <w:r w:rsidRPr="00427A16">
        <w:rPr>
          <w:sz w:val="16"/>
          <w:szCs w:val="16"/>
          <w:rtl/>
        </w:rPr>
        <w:t>הפחתת עודפי עלות, מוניטין ונכסים בלתי מוחשיים.</w:t>
      </w:r>
    </w:p>
  </w:footnote>
  <w:footnote w:id="9">
    <w:p w:rsidR="00C149B0" w:rsidRPr="00EE10D2" w:rsidP="00EE10D2" w14:paraId="0C8E9093" w14:textId="513F4A9D">
      <w:pPr>
        <w:pStyle w:val="733"/>
        <w:rPr>
          <w:rtl/>
        </w:rPr>
      </w:pPr>
      <w:r w:rsidRPr="00EE10D2">
        <w:rPr>
          <w:rtl/>
        </w:rPr>
        <w:t>8</w:t>
      </w:r>
      <w:r w:rsidRPr="00EE10D2">
        <w:rPr>
          <w:rtl/>
        </w:rPr>
        <w:tab/>
        <w:t>בדוחות הכספיים ל-31.12</w:t>
      </w:r>
      <w:r w:rsidRPr="00EE10D2">
        <w:rPr>
          <w:rFonts w:hint="cs"/>
          <w:rtl/>
        </w:rPr>
        <w:t>.17</w:t>
      </w:r>
      <w:r w:rsidRPr="00EE10D2">
        <w:rPr>
          <w:rtl/>
        </w:rPr>
        <w:t xml:space="preserve"> רפאל אימצה לראשונה את תקני הדיווח הכספי</w:t>
      </w:r>
      <w:r w:rsidRPr="00EE10D2">
        <w:rPr>
          <w:rFonts w:hint="cs"/>
          <w:rtl/>
        </w:rPr>
        <w:t xml:space="preserve"> הבין-לאומיים</w:t>
      </w:r>
      <w:r w:rsidRPr="00EE10D2">
        <w:t xml:space="preserve">(International Financial Reporting Standards - IFRS) </w:t>
      </w:r>
      <w:r w:rsidRPr="00EE10D2">
        <w:rPr>
          <w:rFonts w:hint="cs"/>
          <w:rtl/>
        </w:rPr>
        <w:t>,</w:t>
      </w:r>
      <w:r w:rsidRPr="00EE10D2">
        <w:rPr>
          <w:rtl/>
        </w:rPr>
        <w:t xml:space="preserve"> המפורסמים על ידי המוסד </w:t>
      </w:r>
      <w:r w:rsidRPr="00EE10D2">
        <w:rPr>
          <w:rFonts w:hint="cs"/>
          <w:rtl/>
        </w:rPr>
        <w:t xml:space="preserve">הבין-לאומי </w:t>
      </w:r>
      <w:r w:rsidRPr="00EE10D2">
        <w:rPr>
          <w:rtl/>
        </w:rPr>
        <w:t>לתקינה חשבונאית.</w:t>
      </w:r>
    </w:p>
  </w:footnote>
  <w:footnote w:id="10">
    <w:p w:rsidR="00C149B0" w:rsidRPr="00EE10D2" w:rsidP="00EE10D2" w14:paraId="544D210E" w14:textId="77777777">
      <w:pPr>
        <w:pStyle w:val="733"/>
        <w:rPr>
          <w:rtl/>
        </w:rPr>
      </w:pPr>
      <w:r w:rsidRPr="00EE10D2">
        <w:rPr>
          <w:rStyle w:val="FootnoteReference0"/>
          <w:vertAlign w:val="baseline"/>
        </w:rPr>
        <w:footnoteRef/>
      </w:r>
      <w:r w:rsidRPr="00EE10D2">
        <w:rPr>
          <w:rtl/>
        </w:rPr>
        <w:t xml:space="preserve"> </w:t>
      </w:r>
      <w:r w:rsidRPr="00EE10D2">
        <w:rPr>
          <w:rtl/>
        </w:rPr>
        <w:tab/>
      </w:r>
      <w:r w:rsidRPr="00EE10D2">
        <w:rPr>
          <w:rFonts w:hint="cs"/>
          <w:rtl/>
        </w:rPr>
        <w:t xml:space="preserve">ישויות שבהן יש לקבוצה השפעה מהותית על המדיניות הכספית והתפעולית, אך לא הושגה בהן שליטה או שליטה משותפת, והן מוכרות לראשונה לפי עלות ומטופלות בהתאם לשיטת השווי המאזני. </w:t>
      </w:r>
    </w:p>
  </w:footnote>
  <w:footnote w:id="11">
    <w:p w:rsidR="00C149B0" w:rsidRPr="00EE10D2" w:rsidP="00EE10D2" w14:paraId="2DFA0522" w14:textId="77777777">
      <w:pPr>
        <w:pStyle w:val="733"/>
        <w:rPr>
          <w:rtl/>
        </w:rPr>
      </w:pPr>
      <w:r w:rsidRPr="00EE10D2">
        <w:rPr>
          <w:rStyle w:val="FootnoteReference0"/>
          <w:vertAlign w:val="baseline"/>
        </w:rPr>
        <w:footnoteRef/>
      </w:r>
      <w:r w:rsidRPr="00EE10D2">
        <w:rPr>
          <w:rtl/>
        </w:rPr>
        <w:t xml:space="preserve"> </w:t>
      </w:r>
      <w:r w:rsidRPr="00EE10D2">
        <w:rPr>
          <w:rtl/>
        </w:rPr>
        <w:tab/>
      </w:r>
      <w:r w:rsidRPr="00EE10D2">
        <w:rPr>
          <w:rFonts w:hint="cs"/>
          <w:rtl/>
        </w:rPr>
        <w:t>הסדרים משותפים שבהם לקבוצה יש זכויות לנכסים נטו של ההסדרים.</w:t>
      </w:r>
    </w:p>
  </w:footnote>
  <w:footnote w:id="12">
    <w:p w:rsidR="00C149B0" w:rsidP="00EE10D2" w14:paraId="6BA3A42B" w14:textId="77777777">
      <w:pPr>
        <w:pStyle w:val="733"/>
      </w:pPr>
      <w:r w:rsidRPr="00EE10D2">
        <w:rPr>
          <w:rStyle w:val="FootnoteReference0"/>
          <w:vertAlign w:val="baseline"/>
        </w:rPr>
        <w:footnoteRef/>
      </w:r>
      <w:r w:rsidRPr="00EE10D2">
        <w:rPr>
          <w:rtl/>
        </w:rPr>
        <w:t xml:space="preserve"> </w:t>
      </w:r>
      <w:r w:rsidRPr="00EE10D2">
        <w:rPr>
          <w:rtl/>
        </w:rPr>
        <w:tab/>
      </w:r>
      <w:r w:rsidRPr="00EE10D2">
        <w:rPr>
          <w:rFonts w:hint="cs"/>
          <w:rtl/>
        </w:rPr>
        <w:t>חברות בנות</w:t>
      </w:r>
      <w:r w:rsidRPr="00C902D5">
        <w:rPr>
          <w:rFonts w:hint="cs"/>
          <w:rtl/>
        </w:rPr>
        <w:t xml:space="preserve"> אלו מחזיקות בחברות נוספות (חברות נכדות) שחלקן מאוחדות בדוחותיהן.</w:t>
      </w:r>
    </w:p>
  </w:footnote>
  <w:footnote w:id="13">
    <w:p w:rsidR="00C149B0" w:rsidRPr="00EE10D2" w:rsidP="00EE10D2" w14:paraId="7FDDF603" w14:textId="77777777">
      <w:pPr>
        <w:pStyle w:val="733"/>
        <w:rPr>
          <w:rtl/>
        </w:rPr>
      </w:pPr>
      <w:r w:rsidRPr="00EE10D2">
        <w:rPr>
          <w:rStyle w:val="FootnoteReference0"/>
          <w:vertAlign w:val="baseline"/>
        </w:rPr>
        <w:footnoteRef/>
      </w:r>
      <w:r w:rsidRPr="00EE10D2">
        <w:rPr>
          <w:rtl/>
        </w:rPr>
        <w:t xml:space="preserve"> </w:t>
      </w:r>
      <w:r w:rsidRPr="00EE10D2">
        <w:rPr>
          <w:rtl/>
        </w:rPr>
        <w:tab/>
      </w:r>
      <w:bookmarkStart w:id="6" w:name="_Hlk120604456"/>
      <w:r w:rsidRPr="00EE10D2">
        <w:rPr>
          <w:rtl/>
        </w:rPr>
        <w:t xml:space="preserve">הנתונים הכספיים המובאים בדוח זה </w:t>
      </w:r>
      <w:r w:rsidRPr="00EE10D2">
        <w:rPr>
          <w:rFonts w:hint="cs"/>
          <w:rtl/>
        </w:rPr>
        <w:t>מתייחסים לפעילות הקבוצה</w:t>
      </w:r>
      <w:r w:rsidRPr="00EE10D2">
        <w:rPr>
          <w:rtl/>
        </w:rPr>
        <w:t xml:space="preserve">, אלא </w:t>
      </w:r>
      <w:r w:rsidRPr="00EE10D2">
        <w:rPr>
          <w:rFonts w:hint="cs"/>
          <w:rtl/>
        </w:rPr>
        <w:t>אם</w:t>
      </w:r>
      <w:r w:rsidRPr="00EE10D2">
        <w:rPr>
          <w:rtl/>
        </w:rPr>
        <w:t xml:space="preserve"> </w:t>
      </w:r>
      <w:r w:rsidRPr="00EE10D2">
        <w:rPr>
          <w:rFonts w:hint="cs"/>
          <w:rtl/>
        </w:rPr>
        <w:t xml:space="preserve">כן </w:t>
      </w:r>
      <w:r w:rsidRPr="00EE10D2">
        <w:rPr>
          <w:rtl/>
        </w:rPr>
        <w:t>צוין אחרת. הנתונים הכספיים מוצגים במונחים נומינליים.</w:t>
      </w:r>
      <w:bookmarkEnd w:id="6"/>
    </w:p>
  </w:footnote>
  <w:footnote w:id="14">
    <w:p w:rsidR="00C149B0" w:rsidP="00EE10D2" w14:paraId="0133BC9E" w14:textId="77777777">
      <w:pPr>
        <w:pStyle w:val="733"/>
        <w:rPr>
          <w:rtl/>
        </w:rPr>
      </w:pPr>
      <w:r w:rsidRPr="00EE10D2">
        <w:rPr>
          <w:rStyle w:val="FootnoteReference0"/>
          <w:vertAlign w:val="baseline"/>
        </w:rPr>
        <w:footnoteRef/>
      </w:r>
      <w:r w:rsidRPr="00EE10D2">
        <w:rPr>
          <w:rtl/>
        </w:rPr>
        <w:t xml:space="preserve"> </w:t>
      </w:r>
      <w:r w:rsidRPr="00EE10D2">
        <w:rPr>
          <w:rtl/>
        </w:rPr>
        <w:tab/>
      </w:r>
      <w:r w:rsidRPr="00EE10D2">
        <w:rPr>
          <w:rFonts w:hint="cs"/>
          <w:rtl/>
        </w:rPr>
        <w:t>רפאל</w:t>
      </w:r>
      <w:r>
        <w:rPr>
          <w:rFonts w:hint="cs"/>
          <w:rtl/>
        </w:rPr>
        <w:t xml:space="preserve"> מכינה תקציב לחברה סולו ולקבוצה.</w:t>
      </w:r>
    </w:p>
  </w:footnote>
  <w:footnote w:id="15">
    <w:p w:rsidR="00C149B0" w:rsidP="0006068B" w14:paraId="38D79FB0" w14:textId="77777777">
      <w:pPr>
        <w:pStyle w:val="733"/>
        <w:rPr>
          <w:rtl/>
        </w:rPr>
      </w:pPr>
      <w:r w:rsidRPr="005E450C">
        <w:footnoteRef/>
      </w:r>
      <w:r w:rsidRPr="005E450C">
        <w:rPr>
          <w:rtl/>
        </w:rPr>
        <w:t xml:space="preserve"> </w:t>
      </w:r>
      <w:r w:rsidRPr="005E450C">
        <w:rPr>
          <w:rtl/>
        </w:rPr>
        <w:tab/>
      </w:r>
      <w:bookmarkStart w:id="8" w:name="_Hlk121043862"/>
      <w:r w:rsidRPr="00B4434C">
        <w:rPr>
          <w:rtl/>
        </w:rPr>
        <w:t>בחוק יסוד: משק המדינה נקבע כי "שנת תקציב המשכי" היא שנת כספים שעד לתחילתה לא התקבל חוק התקציב לאותה שנה.</w:t>
      </w:r>
      <w:r>
        <w:rPr>
          <w:rFonts w:hint="cs"/>
          <w:rtl/>
        </w:rPr>
        <w:t xml:space="preserve"> בהתאם להוראות חוק היסוד</w:t>
      </w:r>
      <w:r w:rsidRPr="00B4434C">
        <w:rPr>
          <w:rtl/>
        </w:rPr>
        <w:t>, ב</w:t>
      </w:r>
      <w:r>
        <w:rPr>
          <w:rFonts w:hint="cs"/>
          <w:rtl/>
        </w:rPr>
        <w:t>תקופת</w:t>
      </w:r>
      <w:r w:rsidRPr="00B4434C">
        <w:rPr>
          <w:rtl/>
        </w:rPr>
        <w:t xml:space="preserve"> </w:t>
      </w:r>
      <w:r>
        <w:rPr>
          <w:rFonts w:hint="cs"/>
          <w:rtl/>
        </w:rPr>
        <w:t>"תקציב המשכי"</w:t>
      </w:r>
      <w:r w:rsidRPr="00B4434C">
        <w:rPr>
          <w:rtl/>
        </w:rPr>
        <w:t xml:space="preserve"> רשאית הממשלה להוציא בכל חודש סכום השווה ל-1/12 מההוצאה הממשלתית המותרת לשנה הקודמת או מתקרת ההוצאה הממשלתית לשנה הקודמת</w:t>
      </w:r>
      <w:r>
        <w:rPr>
          <w:rFonts w:hint="cs"/>
          <w:rtl/>
        </w:rPr>
        <w:t xml:space="preserve"> (בהתאמות מסוימות) והממשלה תהיה רשאית להתחייב בגבולות סכומים שלא יהיה בהם להגדיל את ההוצאה מעבר לסכום ההוצאה בתקציב המשכי</w:t>
      </w:r>
      <w:r w:rsidRPr="00B4434C">
        <w:rPr>
          <w:rtl/>
        </w:rPr>
        <w:t>.</w:t>
      </w:r>
      <w:bookmarkEnd w:id="8"/>
    </w:p>
  </w:footnote>
  <w:footnote w:id="16">
    <w:p w:rsidR="00C149B0" w:rsidRPr="005E450C" w:rsidP="005E450C" w14:paraId="4315F5CF" w14:textId="77777777">
      <w:pPr>
        <w:pStyle w:val="7314"/>
        <w:rPr>
          <w:rtl/>
        </w:rPr>
      </w:pPr>
      <w:r w:rsidRPr="005E450C">
        <w:rPr>
          <w:rStyle w:val="FootnoteReference0"/>
          <w:vertAlign w:val="baseline"/>
        </w:rPr>
        <w:footnoteRef/>
      </w:r>
      <w:r w:rsidRPr="005E450C">
        <w:rPr>
          <w:rtl/>
        </w:rPr>
        <w:t xml:space="preserve"> </w:t>
      </w:r>
      <w:r w:rsidRPr="005E450C">
        <w:rPr>
          <w:rtl/>
        </w:rPr>
        <w:tab/>
      </w:r>
      <w:r w:rsidRPr="005E450C">
        <w:rPr>
          <w:rFonts w:hint="cs"/>
          <w:rtl/>
        </w:rPr>
        <w:t xml:space="preserve">לפי </w:t>
      </w:r>
      <w:r w:rsidRPr="005E450C">
        <w:rPr>
          <w:rtl/>
        </w:rPr>
        <w:t>תקן חשבונאות בי</w:t>
      </w:r>
      <w:r w:rsidRPr="005E450C">
        <w:rPr>
          <w:rFonts w:hint="cs"/>
          <w:rtl/>
        </w:rPr>
        <w:t>ן-</w:t>
      </w:r>
      <w:r w:rsidRPr="005E450C">
        <w:rPr>
          <w:rtl/>
        </w:rPr>
        <w:t xml:space="preserve">לאומי </w:t>
      </w:r>
      <w:r w:rsidRPr="005E450C">
        <w:rPr>
          <w:rFonts w:hint="cs"/>
          <w:rtl/>
        </w:rPr>
        <w:t>מס' 1</w:t>
      </w:r>
      <w:r w:rsidRPr="005E450C">
        <w:rPr>
          <w:rtl/>
        </w:rPr>
        <w:t xml:space="preserve"> (</w:t>
      </w:r>
      <w:r w:rsidRPr="005E450C">
        <w:t>IAS#1</w:t>
      </w:r>
      <w:r w:rsidRPr="005E450C">
        <w:rPr>
          <w:rtl/>
        </w:rPr>
        <w:t>)</w:t>
      </w:r>
      <w:r w:rsidRPr="005E450C">
        <w:rPr>
          <w:rFonts w:hint="cs"/>
          <w:rtl/>
        </w:rPr>
        <w:t xml:space="preserve"> המחזור התפעולי הוא פרק הזמן שחולף בין רכישה של נכסים לצורך עיבוד לבין המימוש שלהם למזומנים או לשווי מזומנים.</w:t>
      </w:r>
    </w:p>
  </w:footnote>
  <w:footnote w:id="17">
    <w:p w:rsidR="00C149B0" w:rsidRPr="005E450C" w:rsidP="005E450C" w14:paraId="3C83E775" w14:textId="77777777">
      <w:pPr>
        <w:pStyle w:val="7314"/>
        <w:rPr>
          <w:rtl/>
        </w:rPr>
      </w:pPr>
      <w:r w:rsidRPr="005E450C">
        <w:rPr>
          <w:rStyle w:val="FootnoteReference0"/>
          <w:vertAlign w:val="baseline"/>
        </w:rPr>
        <w:footnoteRef/>
      </w:r>
      <w:r w:rsidRPr="005E450C">
        <w:rPr>
          <w:rtl/>
        </w:rPr>
        <w:t xml:space="preserve"> </w:t>
      </w:r>
      <w:r w:rsidRPr="005E450C">
        <w:rPr>
          <w:rtl/>
        </w:rPr>
        <w:tab/>
      </w:r>
      <w:r w:rsidRPr="005E450C">
        <w:rPr>
          <w:rFonts w:hint="cs"/>
          <w:rtl/>
        </w:rPr>
        <w:t xml:space="preserve">חוזה ביצוע - הסכם בין שני צדדים או יותר שיוצר זכויות ומחויבויות הניתנות לאכיפה להעברת סחורות או שירותים (או חבילה של זכויות או שירותים). </w:t>
      </w:r>
    </w:p>
  </w:footnote>
  <w:footnote w:id="18">
    <w:p w:rsidR="00C149B0" w:rsidRPr="005E450C" w:rsidP="005E450C" w14:paraId="2B534481" w14:textId="77777777">
      <w:pPr>
        <w:pStyle w:val="7314"/>
        <w:rPr>
          <w:rtl/>
        </w:rPr>
      </w:pPr>
      <w:r w:rsidRPr="005E450C">
        <w:rPr>
          <w:rStyle w:val="FootnoteReference0"/>
          <w:vertAlign w:val="baseline"/>
        </w:rPr>
        <w:footnoteRef/>
      </w:r>
      <w:r w:rsidRPr="005E450C">
        <w:rPr>
          <w:rtl/>
        </w:rPr>
        <w:t xml:space="preserve"> </w:t>
      </w:r>
      <w:r w:rsidRPr="005E450C">
        <w:rPr>
          <w:rtl/>
        </w:rPr>
        <w:tab/>
      </w:r>
      <w:r w:rsidRPr="005E450C">
        <w:rPr>
          <w:rFonts w:hint="cs"/>
          <w:rtl/>
        </w:rPr>
        <w:t>יישום התקן נקבע לתקופות דיווח שנתיות המתחילות ב-1.1.18 או לאחר מכן, וניתן ליישמו מוקדם יותר תוך מתן גילוי לכך. רפאל החלה ליישם את התקן בדוחותיה השנתיים ב-1.1.18.</w:t>
      </w:r>
    </w:p>
  </w:footnote>
  <w:footnote w:id="19">
    <w:p w:rsidR="00C149B0" w:rsidRPr="005E450C" w:rsidP="005E450C" w14:paraId="3477C9E7" w14:textId="77777777">
      <w:pPr>
        <w:pStyle w:val="7314"/>
        <w:rPr>
          <w:rtl/>
        </w:rPr>
      </w:pPr>
      <w:r w:rsidRPr="005E450C">
        <w:rPr>
          <w:rStyle w:val="FootnoteReference0"/>
          <w:vertAlign w:val="baseline"/>
        </w:rPr>
        <w:footnoteRef/>
      </w:r>
      <w:r w:rsidRPr="005E450C">
        <w:rPr>
          <w:rtl/>
        </w:rPr>
        <w:t xml:space="preserve"> </w:t>
      </w:r>
      <w:r w:rsidRPr="005E450C">
        <w:rPr>
          <w:rtl/>
        </w:rPr>
        <w:tab/>
      </w:r>
      <w:r w:rsidRPr="005E450C">
        <w:rPr>
          <w:rFonts w:hint="cs"/>
          <w:rtl/>
        </w:rPr>
        <w:t>בתקן הוגדר כי השגת שליטה על נכס מתייחסת ליכולת לכוון את השימוש בו ולהשיג את כל ההטבות הנותרות ממנו. שליטה כוללת את היכולת למנוע שימוש בנכס על ידי אחרים. ההטבות מהנכס הן תזרימי המזומנים הפוטנציאליים מהשימוש בנכס, הניתנים להשגה בדרכים רבות.</w:t>
      </w:r>
    </w:p>
  </w:footnote>
  <w:footnote w:id="20">
    <w:p w:rsidR="00C149B0" w:rsidRPr="005E450C" w:rsidP="005E450C" w14:paraId="72896FDE" w14:textId="77777777">
      <w:pPr>
        <w:pStyle w:val="7314"/>
        <w:rPr>
          <w:rtl/>
        </w:rPr>
      </w:pPr>
      <w:r w:rsidRPr="005E450C">
        <w:rPr>
          <w:rStyle w:val="FootnoteReference0"/>
          <w:vertAlign w:val="baseline"/>
        </w:rPr>
        <w:footnoteRef/>
      </w:r>
      <w:r w:rsidRPr="005E450C">
        <w:rPr>
          <w:rtl/>
        </w:rPr>
        <w:t xml:space="preserve"> </w:t>
      </w:r>
      <w:r w:rsidRPr="005E450C">
        <w:rPr>
          <w:rtl/>
        </w:rPr>
        <w:tab/>
      </w:r>
      <w:r w:rsidRPr="005E450C">
        <w:rPr>
          <w:rFonts w:hint="cs"/>
          <w:rtl/>
        </w:rPr>
        <w:t>ללא הכרה ברווח.</w:t>
      </w:r>
    </w:p>
  </w:footnote>
  <w:footnote w:id="21">
    <w:p w:rsidR="00C149B0" w:rsidP="005E450C" w14:paraId="1D958665" w14:textId="77777777">
      <w:pPr>
        <w:pStyle w:val="7314"/>
        <w:rPr>
          <w:rtl/>
        </w:rPr>
      </w:pPr>
      <w:r w:rsidRPr="005E450C">
        <w:rPr>
          <w:rStyle w:val="FootnoteReference0"/>
          <w:vertAlign w:val="baseline"/>
        </w:rPr>
        <w:footnoteRef/>
      </w:r>
      <w:r w:rsidRPr="005E450C">
        <w:rPr>
          <w:rtl/>
        </w:rPr>
        <w:t xml:space="preserve"> </w:t>
      </w:r>
      <w:r w:rsidRPr="005E450C">
        <w:rPr>
          <w:rtl/>
        </w:rPr>
        <w:tab/>
      </w:r>
      <w:r w:rsidRPr="005E450C">
        <w:rPr>
          <w:rFonts w:hint="cs"/>
          <w:rtl/>
        </w:rPr>
        <w:t>יתרת ההכנסות</w:t>
      </w:r>
      <w:r>
        <w:rPr>
          <w:rFonts w:hint="cs"/>
          <w:rtl/>
        </w:rPr>
        <w:t xml:space="preserve"> ממכירות מוכרות לפי מועדי האספקה ללקוח או לפי מועד הוצאת החשבונית.</w:t>
      </w:r>
    </w:p>
  </w:footnote>
  <w:footnote w:id="22">
    <w:p w:rsidR="00C149B0" w:rsidRPr="005E450C" w:rsidP="005E450C" w14:paraId="0C519627" w14:textId="77777777">
      <w:pPr>
        <w:pStyle w:val="733"/>
      </w:pPr>
      <w:r w:rsidRPr="005E450C">
        <w:rPr>
          <w:rStyle w:val="FootnoteReference0"/>
          <w:vertAlign w:val="baseline"/>
        </w:rPr>
        <w:footnoteRef/>
      </w:r>
      <w:r w:rsidRPr="005E450C">
        <w:rPr>
          <w:rtl/>
        </w:rPr>
        <w:t xml:space="preserve"> </w:t>
      </w:r>
      <w:r w:rsidRPr="005E450C">
        <w:rPr>
          <w:rtl/>
        </w:rPr>
        <w:tab/>
      </w:r>
      <w:r w:rsidRPr="005E450C">
        <w:rPr>
          <w:rFonts w:hint="cs"/>
          <w:rtl/>
        </w:rPr>
        <w:t>הדוח הכספי (סולו) נכלל במסגרת ביאור לדוח הכספי של הקבוצה.</w:t>
      </w:r>
    </w:p>
  </w:footnote>
  <w:footnote w:id="23">
    <w:p w:rsidR="00C149B0" w:rsidP="005E450C" w14:paraId="30FA1842" w14:textId="77777777">
      <w:pPr>
        <w:pStyle w:val="733"/>
        <w:rPr>
          <w:rtl/>
        </w:rPr>
      </w:pPr>
      <w:r w:rsidRPr="005E450C">
        <w:rPr>
          <w:rStyle w:val="FootnoteReference0"/>
          <w:vertAlign w:val="baseline"/>
        </w:rPr>
        <w:footnoteRef/>
      </w:r>
      <w:r w:rsidRPr="005E450C">
        <w:rPr>
          <w:rtl/>
        </w:rPr>
        <w:t xml:space="preserve"> </w:t>
      </w:r>
      <w:r w:rsidRPr="005E450C">
        <w:rPr>
          <w:rtl/>
        </w:rPr>
        <w:tab/>
      </w:r>
      <w:r>
        <w:rPr>
          <w:rFonts w:hint="cs"/>
          <w:rtl/>
        </w:rPr>
        <w:t>המכירות למשרד הביטחון בשנת 2020 היו בסך של 4,374 מיליון ש"ח; קיטון של כ-206 מיליון ש"ח (כ-4%) לעומת ההכנסות ממכירות בשנת 2019 שהיו בסך של 4,580 מיליון ש"ח.</w:t>
      </w:r>
    </w:p>
  </w:footnote>
  <w:footnote w:id="24">
    <w:p w:rsidR="00C149B0" w:rsidP="0006068B" w14:paraId="05815766" w14:textId="77777777">
      <w:pPr>
        <w:pStyle w:val="733"/>
      </w:pPr>
      <w:r w:rsidRPr="005E450C">
        <w:footnoteRef/>
      </w:r>
      <w:r w:rsidRPr="005E450C">
        <w:rPr>
          <w:rtl/>
        </w:rPr>
        <w:t xml:space="preserve"> </w:t>
      </w:r>
      <w:r>
        <w:rPr>
          <w:rtl/>
        </w:rPr>
        <w:tab/>
      </w:r>
      <w:r>
        <w:rPr>
          <w:rFonts w:hint="cs"/>
          <w:rtl/>
        </w:rPr>
        <w:t xml:space="preserve">נתוני שנת 2021 מוצגים בתרשים זה ללא נתוניהן של חברות </w:t>
      </w:r>
      <w:r>
        <w:rPr>
          <w:rFonts w:hint="cs"/>
          <w:rtl/>
        </w:rPr>
        <w:t>אירונאוטיקס</w:t>
      </w:r>
      <w:r>
        <w:rPr>
          <w:rFonts w:hint="cs"/>
          <w:rtl/>
        </w:rPr>
        <w:t xml:space="preserve"> </w:t>
      </w:r>
      <w:r>
        <w:rPr>
          <w:rFonts w:hint="cs"/>
          <w:rtl/>
        </w:rPr>
        <w:t>וקונטרופ</w:t>
      </w:r>
      <w:r>
        <w:rPr>
          <w:rFonts w:hint="cs"/>
          <w:rtl/>
        </w:rPr>
        <w:t>, שאוחדו לראשונה ב-1.4.21.</w:t>
      </w:r>
    </w:p>
  </w:footnote>
  <w:footnote w:id="25">
    <w:p w:rsidR="00C149B0" w:rsidRPr="005E450C" w:rsidP="005E450C" w14:paraId="4E02991A" w14:textId="77777777">
      <w:pPr>
        <w:pStyle w:val="7314"/>
        <w:rPr>
          <w:rtl/>
        </w:rPr>
      </w:pPr>
      <w:r w:rsidRPr="005E450C">
        <w:rPr>
          <w:rStyle w:val="FootnoteReference0"/>
          <w:vertAlign w:val="baseline"/>
        </w:rPr>
        <w:footnoteRef/>
      </w:r>
      <w:r w:rsidRPr="005E450C">
        <w:rPr>
          <w:rtl/>
        </w:rPr>
        <w:t xml:space="preserve"> </w:t>
      </w:r>
      <w:r w:rsidRPr="005E450C">
        <w:rPr>
          <w:rtl/>
        </w:rPr>
        <w:tab/>
      </w:r>
      <w:r w:rsidRPr="005E450C">
        <w:rPr>
          <w:rFonts w:hint="cs"/>
          <w:rtl/>
        </w:rPr>
        <w:t>בישיבת ועדת כספים והשקעות של הדירקטוריון לסיכום שנת 2021 והצגת הדוחות הכספיים לשנת 2021 מ-22.3.22, הוצג כי הגידול ברווח הנקי בשנת 2021 נובע מהטבת מס שקיבלה החברה.</w:t>
      </w:r>
    </w:p>
  </w:footnote>
  <w:footnote w:id="26">
    <w:p w:rsidR="00C149B0" w:rsidP="005E450C" w14:paraId="54B86B5C" w14:textId="77777777">
      <w:pPr>
        <w:pStyle w:val="7314"/>
      </w:pPr>
      <w:r w:rsidRPr="005E450C">
        <w:rPr>
          <w:rStyle w:val="FootnoteReference0"/>
          <w:vertAlign w:val="baseline"/>
        </w:rPr>
        <w:footnoteRef/>
      </w:r>
      <w:r w:rsidRPr="005E450C">
        <w:rPr>
          <w:rtl/>
        </w:rPr>
        <w:t xml:space="preserve"> </w:t>
      </w:r>
      <w:r w:rsidRPr="005E450C">
        <w:rPr>
          <w:rtl/>
        </w:rPr>
        <w:tab/>
      </w:r>
      <w:r w:rsidRPr="005E450C">
        <w:rPr>
          <w:rFonts w:hint="cs"/>
          <w:rtl/>
        </w:rPr>
        <w:t>הכנסה צבורה (רווחים כלואים) - סה"כ ההכנסה של חברה שנצברה ושמתקיימים לגביה התנאים המפורטים בחוק עידוד</w:t>
      </w:r>
      <w:r>
        <w:rPr>
          <w:rFonts w:hint="cs"/>
          <w:rtl/>
        </w:rPr>
        <w:t xml:space="preserve"> השקעות הון (תיקון מס' 74), התשפ"ב-2021: (א) הכנסה שהייתה פטורה ממס חברות בשנת המס שבה הופקה; (ב) החברה טרם חבה במס חברות בגין הכנסה זו, למעט חבות במס בשל סכום שנתנה לחבר בני אדם המוחזק על ידה.</w:t>
      </w:r>
    </w:p>
  </w:footnote>
  <w:footnote w:id="27">
    <w:p w:rsidR="00C149B0" w:rsidRPr="009C31CB" w:rsidP="0006068B" w14:paraId="41FB9E5C" w14:textId="77777777">
      <w:pPr>
        <w:pStyle w:val="733"/>
        <w:rPr>
          <w:spacing w:val="-2"/>
          <w:rtl/>
        </w:rPr>
      </w:pPr>
      <w:r w:rsidRPr="009C31CB">
        <w:rPr>
          <w:spacing w:val="-2"/>
        </w:rPr>
        <w:footnoteRef/>
      </w:r>
      <w:r w:rsidRPr="009C31CB">
        <w:rPr>
          <w:spacing w:val="-2"/>
          <w:rtl/>
        </w:rPr>
        <w:t xml:space="preserve"> </w:t>
      </w:r>
      <w:r w:rsidRPr="009C31CB">
        <w:rPr>
          <w:spacing w:val="-2"/>
          <w:rtl/>
        </w:rPr>
        <w:tab/>
        <w:t>לצורך ה</w:t>
      </w:r>
      <w:r w:rsidRPr="009C31CB">
        <w:rPr>
          <w:rFonts w:hint="cs"/>
          <w:spacing w:val="-2"/>
          <w:rtl/>
        </w:rPr>
        <w:t>ה</w:t>
      </w:r>
      <w:r w:rsidRPr="009C31CB">
        <w:rPr>
          <w:spacing w:val="-2"/>
          <w:rtl/>
        </w:rPr>
        <w:t>שוואה מוצגים נתוני ההכנסות מ</w:t>
      </w:r>
      <w:r w:rsidRPr="009C31CB">
        <w:rPr>
          <w:rFonts w:hint="cs"/>
          <w:spacing w:val="-2"/>
          <w:rtl/>
        </w:rPr>
        <w:t xml:space="preserve">כלל </w:t>
      </w:r>
      <w:r w:rsidRPr="009C31CB">
        <w:rPr>
          <w:spacing w:val="-2"/>
          <w:rtl/>
        </w:rPr>
        <w:t>מכירות</w:t>
      </w:r>
      <w:r w:rsidRPr="009C31CB">
        <w:rPr>
          <w:rFonts w:hint="cs"/>
          <w:spacing w:val="-2"/>
          <w:rtl/>
        </w:rPr>
        <w:t>יה</w:t>
      </w:r>
      <w:r w:rsidRPr="009C31CB">
        <w:rPr>
          <w:spacing w:val="-2"/>
          <w:rtl/>
        </w:rPr>
        <w:t xml:space="preserve"> של </w:t>
      </w:r>
      <w:r w:rsidRPr="009C31CB">
        <w:rPr>
          <w:spacing w:val="-2"/>
          <w:rtl/>
        </w:rPr>
        <w:t>התע"א</w:t>
      </w:r>
      <w:r w:rsidRPr="009C31CB">
        <w:rPr>
          <w:spacing w:val="-2"/>
          <w:rtl/>
        </w:rPr>
        <w:t>, וכן מוצגים בנפרד נתוני פעילותה בתחום הצבאי</w:t>
      </w:r>
      <w:r w:rsidRPr="009C31CB">
        <w:rPr>
          <w:rFonts w:hint="cs"/>
          <w:spacing w:val="-2"/>
          <w:rtl/>
        </w:rPr>
        <w:t xml:space="preserve">. </w:t>
      </w:r>
      <w:r w:rsidRPr="009C31CB">
        <w:rPr>
          <w:spacing w:val="-2"/>
          <w:rtl/>
        </w:rPr>
        <w:t xml:space="preserve">יצוין כי </w:t>
      </w:r>
      <w:r w:rsidRPr="009C31CB">
        <w:rPr>
          <w:rFonts w:hint="cs"/>
          <w:spacing w:val="-2"/>
          <w:rtl/>
        </w:rPr>
        <w:t xml:space="preserve">ב-1.1.19 הוקמה </w:t>
      </w:r>
      <w:r w:rsidRPr="009C31CB">
        <w:rPr>
          <w:rFonts w:hint="cs"/>
          <w:spacing w:val="-2"/>
          <w:rtl/>
        </w:rPr>
        <w:t>בתע"א</w:t>
      </w:r>
      <w:r w:rsidRPr="009C31CB">
        <w:rPr>
          <w:rFonts w:hint="cs"/>
          <w:spacing w:val="-2"/>
          <w:rtl/>
        </w:rPr>
        <w:t xml:space="preserve"> חטיבת התעופה תוך איחודן של שלוש חטיבות </w:t>
      </w:r>
      <w:r w:rsidRPr="009C31CB">
        <w:rPr>
          <w:spacing w:val="-2"/>
          <w:rtl/>
        </w:rPr>
        <w:t>שעסקו בעיקר בתחומי פעילות אזרחיים וכן חלקים ממפעל מסוים</w:t>
      </w:r>
      <w:r w:rsidRPr="009C31CB">
        <w:rPr>
          <w:rFonts w:hint="cs"/>
          <w:spacing w:val="-2"/>
          <w:rtl/>
        </w:rPr>
        <w:t>.</w:t>
      </w:r>
      <w:r w:rsidRPr="009C31CB">
        <w:rPr>
          <w:spacing w:val="-2"/>
          <w:rtl/>
        </w:rPr>
        <w:t xml:space="preserve"> תוצאותיה הכספיות של חטיבת התעופה לא נכללו בנתוני המגזר הצבאי</w:t>
      </w:r>
      <w:r w:rsidRPr="009C31CB">
        <w:rPr>
          <w:rFonts w:hint="cs"/>
          <w:spacing w:val="-2"/>
          <w:rtl/>
        </w:rPr>
        <w:t>,</w:t>
      </w:r>
      <w:r w:rsidRPr="009C31CB">
        <w:rPr>
          <w:spacing w:val="-2"/>
          <w:rtl/>
        </w:rPr>
        <w:t xml:space="preserve"> מאחר </w:t>
      </w:r>
      <w:r w:rsidRPr="009C31CB">
        <w:rPr>
          <w:rFonts w:hint="cs"/>
          <w:spacing w:val="-2"/>
          <w:rtl/>
        </w:rPr>
        <w:t>ש</w:t>
      </w:r>
      <w:r w:rsidRPr="009C31CB">
        <w:rPr>
          <w:spacing w:val="-2"/>
          <w:rtl/>
        </w:rPr>
        <w:t>עיקר פעילותה של החטיבה הוא במגזר האזרחי.</w:t>
      </w:r>
      <w:r w:rsidRPr="009C31CB">
        <w:rPr>
          <w:rFonts w:hint="cs"/>
          <w:spacing w:val="-2"/>
          <w:rtl/>
        </w:rPr>
        <w:t xml:space="preserve"> נתוני הכנסות ממכירות של המגזר הצבאי </w:t>
      </w:r>
      <w:r w:rsidRPr="009C31CB">
        <w:rPr>
          <w:rFonts w:hint="cs"/>
          <w:spacing w:val="-2"/>
          <w:rtl/>
        </w:rPr>
        <w:t>בתע"א</w:t>
      </w:r>
      <w:r w:rsidRPr="009C31CB">
        <w:rPr>
          <w:rFonts w:hint="cs"/>
          <w:spacing w:val="-2"/>
          <w:rtl/>
        </w:rPr>
        <w:t xml:space="preserve"> התקבלו מהחברה; נתוני הרווחיות של המגזר הצבאי חושבו על ידי משרד מבקר המדינה על פי הנתונים שבדוחות הכספיים של </w:t>
      </w:r>
      <w:r w:rsidRPr="009C31CB">
        <w:rPr>
          <w:rFonts w:hint="cs"/>
          <w:spacing w:val="-2"/>
          <w:rtl/>
        </w:rPr>
        <w:t>התע"א</w:t>
      </w:r>
      <w:r w:rsidRPr="009C31CB">
        <w:rPr>
          <w:rFonts w:hint="cs"/>
          <w:spacing w:val="-2"/>
          <w:rtl/>
        </w:rPr>
        <w:t>.</w:t>
      </w:r>
    </w:p>
  </w:footnote>
  <w:footnote w:id="28">
    <w:p w:rsidR="00C149B0" w:rsidP="0006068B" w14:paraId="6CF70583" w14:textId="77777777">
      <w:pPr>
        <w:pStyle w:val="733"/>
        <w:rPr>
          <w:rtl/>
        </w:rPr>
      </w:pPr>
      <w:r w:rsidRPr="005E450C">
        <w:footnoteRef/>
      </w:r>
      <w:r w:rsidRPr="005E450C">
        <w:rPr>
          <w:rtl/>
        </w:rPr>
        <w:t xml:space="preserve"> </w:t>
      </w:r>
      <w:r>
        <w:rPr>
          <w:rtl/>
        </w:rPr>
        <w:tab/>
      </w:r>
      <w:r>
        <w:rPr>
          <w:rFonts w:hint="cs"/>
          <w:rtl/>
        </w:rPr>
        <w:t xml:space="preserve">ללא אלביט </w:t>
      </w:r>
      <w:r>
        <w:rPr>
          <w:rFonts w:hint="cs"/>
          <w:rtl/>
        </w:rPr>
        <w:t>ותע"א</w:t>
      </w:r>
      <w:r>
        <w:rPr>
          <w:rFonts w:hint="cs"/>
          <w:rtl/>
        </w:rPr>
        <w:t>.</w:t>
      </w:r>
    </w:p>
  </w:footnote>
  <w:footnote w:id="29">
    <w:p w:rsidR="00C149B0" w:rsidP="0006068B" w14:paraId="5B9B677A" w14:textId="77777777">
      <w:pPr>
        <w:pStyle w:val="733"/>
        <w:rPr>
          <w:rtl/>
        </w:rPr>
      </w:pPr>
      <w:r w:rsidRPr="005E450C">
        <w:footnoteRef/>
      </w:r>
      <w:r w:rsidRPr="005E450C">
        <w:rPr>
          <w:rtl/>
        </w:rPr>
        <w:t xml:space="preserve"> </w:t>
      </w:r>
      <w:r w:rsidRPr="005E450C">
        <w:rPr>
          <w:rtl/>
        </w:rPr>
        <w:tab/>
      </w:r>
      <w:r w:rsidRPr="0031407C">
        <w:rPr>
          <w:rtl/>
        </w:rPr>
        <w:t xml:space="preserve">ב-9.2.21 אישרה ועדת כספים והשקעות של הדירקטוריון את בקשת הנהלת רפאל </w:t>
      </w:r>
      <w:r>
        <w:rPr>
          <w:rFonts w:hint="cs"/>
          <w:rtl/>
        </w:rPr>
        <w:t>ל</w:t>
      </w:r>
      <w:r w:rsidRPr="0031407C">
        <w:rPr>
          <w:rtl/>
        </w:rPr>
        <w:t>הגד</w:t>
      </w:r>
      <w:r>
        <w:rPr>
          <w:rFonts w:hint="cs"/>
          <w:rtl/>
        </w:rPr>
        <w:t>י</w:t>
      </w:r>
      <w:r w:rsidRPr="0031407C">
        <w:rPr>
          <w:rtl/>
        </w:rPr>
        <w:t>ל</w:t>
      </w:r>
      <w:r>
        <w:rPr>
          <w:rFonts w:hint="cs"/>
          <w:rtl/>
        </w:rPr>
        <w:t xml:space="preserve"> את</w:t>
      </w:r>
      <w:r w:rsidRPr="0031407C">
        <w:rPr>
          <w:rtl/>
        </w:rPr>
        <w:t xml:space="preserve"> התקציב </w:t>
      </w:r>
      <w:r>
        <w:rPr>
          <w:rFonts w:hint="cs"/>
          <w:rtl/>
        </w:rPr>
        <w:t xml:space="preserve">בסעיף </w:t>
      </w:r>
      <w:r w:rsidRPr="0031407C">
        <w:rPr>
          <w:rtl/>
        </w:rPr>
        <w:t>קבלת הזמנות לשנת 2021 ב-2 מיליארד ש"ח</w:t>
      </w:r>
      <w:r>
        <w:rPr>
          <w:rFonts w:hint="cs"/>
          <w:rtl/>
        </w:rPr>
        <w:t>. התקציב לשנת 2021 המוצג בתרשים כולל סכום זה.</w:t>
      </w:r>
    </w:p>
  </w:footnote>
  <w:footnote w:id="30">
    <w:p w:rsidR="00C149B0" w:rsidRPr="005E450C" w:rsidP="005E450C" w14:paraId="73DD9AF1" w14:textId="77777777">
      <w:pPr>
        <w:pStyle w:val="733"/>
      </w:pPr>
      <w:r w:rsidRPr="005E450C">
        <w:rPr>
          <w:rStyle w:val="FootnoteReference0"/>
          <w:vertAlign w:val="baseline"/>
        </w:rPr>
        <w:footnoteRef/>
      </w:r>
      <w:r w:rsidRPr="005E450C">
        <w:rPr>
          <w:rtl/>
        </w:rPr>
        <w:t xml:space="preserve"> </w:t>
      </w:r>
      <w:r w:rsidRPr="005E450C">
        <w:rPr>
          <w:rtl/>
        </w:rPr>
        <w:tab/>
        <w:t>בפרק "הסברי הדירקטוריון על מצב ענייני החברה בתקופת הדיווח" שנכלל בדוח הדירקטוריון לבעלי המניות לשנה שהסתיימה ב-31.12.20</w:t>
      </w:r>
      <w:r w:rsidRPr="005E450C">
        <w:rPr>
          <w:rFonts w:hint="cs"/>
          <w:rtl/>
        </w:rPr>
        <w:t>.</w:t>
      </w:r>
    </w:p>
  </w:footnote>
  <w:footnote w:id="31">
    <w:p w:rsidR="00C149B0" w:rsidRPr="005E450C" w:rsidP="005E450C" w14:paraId="178E17C6" w14:textId="77777777">
      <w:pPr>
        <w:pStyle w:val="733"/>
        <w:rPr>
          <w:rtl/>
        </w:rPr>
      </w:pPr>
      <w:r w:rsidRPr="005E450C">
        <w:rPr>
          <w:rStyle w:val="FootnoteReference0"/>
          <w:vertAlign w:val="baseline"/>
        </w:rPr>
        <w:footnoteRef/>
      </w:r>
      <w:r w:rsidRPr="005E450C">
        <w:rPr>
          <w:rtl/>
        </w:rPr>
        <w:t xml:space="preserve"> </w:t>
      </w:r>
      <w:r w:rsidRPr="005E450C">
        <w:rPr>
          <w:rtl/>
        </w:rPr>
        <w:tab/>
      </w:r>
      <w:r w:rsidRPr="005E450C">
        <w:rPr>
          <w:rFonts w:hint="cs"/>
          <w:rtl/>
        </w:rPr>
        <w:t>היקף קבלת הזמנות מחו"ל בשנת 2020 היה כ-69% מהתקציב לשנה זו.</w:t>
      </w:r>
    </w:p>
  </w:footnote>
  <w:footnote w:id="32">
    <w:p w:rsidR="00C149B0" w:rsidP="005E450C" w14:paraId="4132C319" w14:textId="77777777">
      <w:pPr>
        <w:pStyle w:val="733"/>
        <w:rPr>
          <w:rtl/>
        </w:rPr>
      </w:pPr>
      <w:r w:rsidRPr="005E450C">
        <w:rPr>
          <w:rStyle w:val="FootnoteReference0"/>
          <w:vertAlign w:val="baseline"/>
        </w:rPr>
        <w:footnoteRef/>
      </w:r>
      <w:r w:rsidRPr="005E450C">
        <w:rPr>
          <w:rtl/>
        </w:rPr>
        <w:t xml:space="preserve"> </w:t>
      </w:r>
      <w:r w:rsidRPr="005E450C">
        <w:tab/>
      </w:r>
      <w:r w:rsidRPr="005E450C">
        <w:rPr>
          <w:rtl/>
        </w:rPr>
        <w:t>בדוח</w:t>
      </w:r>
      <w:r w:rsidRPr="003C0715">
        <w:rPr>
          <w:rtl/>
        </w:rPr>
        <w:t xml:space="preserve"> הדירקטוריון לבעלי המניות לשנה שהסתיימה ב</w:t>
      </w:r>
      <w:r>
        <w:rPr>
          <w:rFonts w:hint="cs"/>
          <w:rtl/>
        </w:rPr>
        <w:t>-31.12.21.</w:t>
      </w:r>
    </w:p>
  </w:footnote>
  <w:footnote w:id="33">
    <w:p w:rsidR="00C149B0" w:rsidP="0006068B" w14:paraId="53736A73" w14:textId="77777777">
      <w:pPr>
        <w:pStyle w:val="733"/>
        <w:rPr>
          <w:rtl/>
        </w:rPr>
      </w:pPr>
      <w:r w:rsidRPr="005E450C">
        <w:footnoteRef/>
      </w:r>
      <w:r w:rsidRPr="005E450C">
        <w:rPr>
          <w:rtl/>
        </w:rPr>
        <w:t xml:space="preserve"> </w:t>
      </w:r>
      <w:r>
        <w:rPr>
          <w:rtl/>
        </w:rPr>
        <w:tab/>
      </w:r>
      <w:r>
        <w:rPr>
          <w:rFonts w:hint="cs"/>
          <w:rtl/>
        </w:rPr>
        <w:t xml:space="preserve">נתוני הביצוע בפועל לשנת 2021 כוללים את נתוניהן של החברות </w:t>
      </w:r>
      <w:r>
        <w:rPr>
          <w:rFonts w:hint="cs"/>
          <w:rtl/>
        </w:rPr>
        <w:t>אירונאוטיקס</w:t>
      </w:r>
      <w:r>
        <w:rPr>
          <w:rFonts w:hint="cs"/>
          <w:rtl/>
        </w:rPr>
        <w:t xml:space="preserve"> </w:t>
      </w:r>
      <w:r>
        <w:rPr>
          <w:rFonts w:hint="cs"/>
          <w:rtl/>
        </w:rPr>
        <w:t>וקונטרופ</w:t>
      </w:r>
      <w:r>
        <w:rPr>
          <w:rFonts w:hint="cs"/>
          <w:rtl/>
        </w:rPr>
        <w:t xml:space="preserve"> שלא נכללו בתכנון תקציב 2021.</w:t>
      </w:r>
    </w:p>
  </w:footnote>
  <w:footnote w:id="34">
    <w:p w:rsidR="00C149B0" w:rsidP="0006068B" w14:paraId="0DC7ABDA" w14:textId="77777777">
      <w:pPr>
        <w:pStyle w:val="733"/>
        <w:rPr>
          <w:rtl/>
        </w:rPr>
      </w:pPr>
      <w:r w:rsidRPr="00A14D0B">
        <w:footnoteRef/>
      </w:r>
      <w:r w:rsidRPr="00A14D0B">
        <w:rPr>
          <w:rtl/>
        </w:rPr>
        <w:t xml:space="preserve"> </w:t>
      </w:r>
      <w:r>
        <w:rPr>
          <w:rtl/>
        </w:rPr>
        <w:tab/>
      </w:r>
      <w:r>
        <w:rPr>
          <w:rFonts w:hint="cs"/>
          <w:rtl/>
        </w:rPr>
        <w:t>כפי שהוסבר לעיל, נוכח אירועים ייחודיים בשנים 2020 ו-2021 התייחסה רפאל בניתוחיה לממוצע תוצאות פעילותה בשנים אלו.</w:t>
      </w:r>
    </w:p>
  </w:footnote>
  <w:footnote w:id="35">
    <w:p w:rsidR="00C149B0" w:rsidRPr="00A14D0B" w:rsidP="00A14D0B" w14:paraId="40187727" w14:textId="77777777">
      <w:pPr>
        <w:pStyle w:val="7314"/>
        <w:rPr>
          <w:rtl/>
        </w:rPr>
      </w:pPr>
      <w:r w:rsidRPr="00A14D0B">
        <w:rPr>
          <w:rStyle w:val="FootnoteReference0"/>
          <w:vertAlign w:val="baseline"/>
        </w:rPr>
        <w:footnoteRef/>
      </w:r>
      <w:r w:rsidRPr="00A14D0B">
        <w:rPr>
          <w:rtl/>
        </w:rPr>
        <w:t xml:space="preserve"> </w:t>
      </w:r>
      <w:r w:rsidRPr="00A14D0B">
        <w:rPr>
          <w:rtl/>
        </w:rPr>
        <w:tab/>
      </w:r>
      <w:r w:rsidRPr="00A14D0B">
        <w:rPr>
          <w:rFonts w:hint="cs"/>
          <w:rtl/>
        </w:rPr>
        <w:t xml:space="preserve">הזמנה מחייבת - הסכם בין שני צדדים או יותר שיוצר זכויות ומחויבויות הניתנות לאכיפה. </w:t>
      </w:r>
    </w:p>
  </w:footnote>
  <w:footnote w:id="36">
    <w:p w:rsidR="00C149B0" w:rsidP="00A14D0B" w14:paraId="059FEC69" w14:textId="77777777">
      <w:pPr>
        <w:pStyle w:val="7314"/>
      </w:pPr>
      <w:r w:rsidRPr="00A14D0B">
        <w:rPr>
          <w:rStyle w:val="FootnoteReference0"/>
          <w:vertAlign w:val="baseline"/>
        </w:rPr>
        <w:footnoteRef/>
      </w:r>
      <w:r w:rsidRPr="00A14D0B">
        <w:rPr>
          <w:rtl/>
        </w:rPr>
        <w:t xml:space="preserve"> </w:t>
      </w:r>
      <w:r w:rsidRPr="00A14D0B">
        <w:rPr>
          <w:rtl/>
        </w:rPr>
        <w:tab/>
      </w:r>
      <w:r>
        <w:rPr>
          <w:rFonts w:hint="cs"/>
          <w:rtl/>
        </w:rPr>
        <w:t xml:space="preserve">ובכלל זה חברות </w:t>
      </w:r>
      <w:r>
        <w:rPr>
          <w:rFonts w:hint="cs"/>
          <w:rtl/>
        </w:rPr>
        <w:t>אירונאוטיקס</w:t>
      </w:r>
      <w:r>
        <w:rPr>
          <w:rFonts w:hint="cs"/>
          <w:rtl/>
        </w:rPr>
        <w:t xml:space="preserve"> </w:t>
      </w:r>
      <w:r>
        <w:rPr>
          <w:rFonts w:hint="cs"/>
          <w:rtl/>
        </w:rPr>
        <w:t>וקונטרופ</w:t>
      </w:r>
      <w:r>
        <w:rPr>
          <w:rFonts w:hint="cs"/>
          <w:rtl/>
        </w:rPr>
        <w:t>.</w:t>
      </w:r>
    </w:p>
  </w:footnote>
  <w:footnote w:id="37">
    <w:p w:rsidR="00C149B0" w:rsidRPr="00A14D0B" w:rsidP="00A14D0B" w14:paraId="633D386E" w14:textId="77777777">
      <w:pPr>
        <w:pStyle w:val="733"/>
      </w:pPr>
      <w:r w:rsidRPr="00A14D0B">
        <w:rPr>
          <w:rStyle w:val="FootnoteReference0"/>
          <w:vertAlign w:val="baseline"/>
        </w:rPr>
        <w:footnoteRef/>
      </w:r>
      <w:r w:rsidRPr="00A14D0B">
        <w:rPr>
          <w:rtl/>
        </w:rPr>
        <w:t xml:space="preserve"> </w:t>
      </w:r>
      <w:r w:rsidRPr="00A14D0B">
        <w:rPr>
          <w:rtl/>
        </w:rPr>
        <w:tab/>
      </w:r>
      <w:r w:rsidRPr="00A14D0B">
        <w:rPr>
          <w:rFonts w:hint="cs"/>
          <w:rtl/>
        </w:rPr>
        <w:t xml:space="preserve">רווחיות </w:t>
      </w:r>
      <w:r w:rsidRPr="00A14D0B">
        <w:rPr>
          <w:rFonts w:hint="cs"/>
          <w:rtl/>
        </w:rPr>
        <w:t>פרויקטלי</w:t>
      </w:r>
      <w:r w:rsidRPr="00A14D0B">
        <w:rPr>
          <w:rFonts w:hint="eastAsia"/>
          <w:rtl/>
        </w:rPr>
        <w:t>ת</w:t>
      </w:r>
      <w:r w:rsidRPr="00A14D0B">
        <w:rPr>
          <w:rFonts w:hint="cs"/>
          <w:rtl/>
        </w:rPr>
        <w:t xml:space="preserve"> </w:t>
      </w:r>
      <w:r w:rsidRPr="00A14D0B">
        <w:rPr>
          <w:rStyle w:val="FootnoteReference0"/>
          <w:rFonts w:hint="cs"/>
          <w:vertAlign w:val="baseline"/>
          <w:rtl/>
        </w:rPr>
        <w:t>- רווח גולמי בניכוי הוצאות הנהלה וכלליות ו</w:t>
      </w:r>
      <w:r w:rsidRPr="00A14D0B">
        <w:rPr>
          <w:rFonts w:hint="cs"/>
          <w:rtl/>
        </w:rPr>
        <w:t xml:space="preserve">בניכוי </w:t>
      </w:r>
      <w:r w:rsidRPr="00A14D0B">
        <w:rPr>
          <w:rStyle w:val="FootnoteReference0"/>
          <w:rFonts w:hint="cs"/>
          <w:vertAlign w:val="baseline"/>
          <w:rtl/>
        </w:rPr>
        <w:t>הוצאות מכירה ושיווק</w:t>
      </w:r>
      <w:r w:rsidRPr="00A14D0B">
        <w:rPr>
          <w:rFonts w:hint="cs"/>
          <w:rtl/>
        </w:rPr>
        <w:t>,</w:t>
      </w:r>
      <w:r w:rsidRPr="00A14D0B">
        <w:rPr>
          <w:rStyle w:val="FootnoteReference0"/>
          <w:rFonts w:hint="cs"/>
          <w:vertAlign w:val="baseline"/>
          <w:rtl/>
        </w:rPr>
        <w:t xml:space="preserve"> ללא עלויות מחקר ופיתוח</w:t>
      </w:r>
      <w:r w:rsidRPr="00A14D0B">
        <w:rPr>
          <w:rFonts w:hint="cs"/>
          <w:rtl/>
        </w:rPr>
        <w:t xml:space="preserve"> מחושבות על פי עקרונות חשבונאיים.</w:t>
      </w:r>
    </w:p>
  </w:footnote>
  <w:footnote w:id="38">
    <w:p w:rsidR="00C149B0" w:rsidP="00A14D0B" w14:paraId="3EAACE52" w14:textId="77777777">
      <w:pPr>
        <w:pStyle w:val="733"/>
      </w:pPr>
      <w:r w:rsidRPr="00A14D0B">
        <w:rPr>
          <w:rStyle w:val="FootnoteReference0"/>
          <w:vertAlign w:val="baseline"/>
        </w:rPr>
        <w:footnoteRef/>
      </w:r>
      <w:r w:rsidRPr="00A14D0B">
        <w:rPr>
          <w:rtl/>
        </w:rPr>
        <w:t xml:space="preserve"> </w:t>
      </w:r>
      <w:r w:rsidRPr="00A14D0B">
        <w:rPr>
          <w:rtl/>
        </w:rPr>
        <w:tab/>
      </w:r>
      <w:r w:rsidRPr="00A14D0B">
        <w:rPr>
          <w:rFonts w:hint="cs"/>
          <w:rtl/>
        </w:rPr>
        <w:t>הניתוח מבוסס על כ-150 פרויקטים (ממוצע שנתי) בשנים 2017 - 2021 לשוק המקומי ולייצוא, שהוזמנו מרפאל (סולו) בשיטת התקש</w:t>
      </w:r>
      <w:r w:rsidRPr="00156D17">
        <w:rPr>
          <w:rFonts w:hint="cs"/>
          <w:rtl/>
        </w:rPr>
        <w:t>רות "מחיר קבוע" ושה</w:t>
      </w:r>
      <w:r>
        <w:rPr>
          <w:rFonts w:hint="cs"/>
          <w:rtl/>
        </w:rPr>
        <w:t>יקף כל אחד מהם הוא יותר מ-10 מיליון דולר. בשנים 2019 - 2021 היה היקף צבר ההזמנות לפרויקטים אלה בשיעור של כ-78% - 83% מתוך כלל הצבר.</w:t>
      </w:r>
    </w:p>
  </w:footnote>
  <w:footnote w:id="39">
    <w:p w:rsidR="00C149B0" w:rsidP="0006068B" w14:paraId="39B9EB05" w14:textId="77777777">
      <w:pPr>
        <w:pStyle w:val="733"/>
        <w:rPr>
          <w:rtl/>
        </w:rPr>
      </w:pPr>
      <w:r w:rsidRPr="00A14D0B">
        <w:footnoteRef/>
      </w:r>
      <w:r w:rsidRPr="00A14D0B">
        <w:rPr>
          <w:rtl/>
        </w:rPr>
        <w:t xml:space="preserve"> </w:t>
      </w:r>
      <w:r>
        <w:rPr>
          <w:rtl/>
        </w:rPr>
        <w:tab/>
      </w:r>
      <w:r>
        <w:rPr>
          <w:rFonts w:hint="cs"/>
          <w:rtl/>
        </w:rPr>
        <w:t xml:space="preserve">סכום ההזמנות היה בסך כולל של כ-51 מיליארד ש"ח ל-163 פרויקטים עיקריים. </w:t>
      </w:r>
    </w:p>
  </w:footnote>
  <w:footnote w:id="40">
    <w:p w:rsidR="00C149B0" w:rsidRPr="00A14D0B" w:rsidP="00A14D0B" w14:paraId="2C79E061" w14:textId="77777777">
      <w:pPr>
        <w:pStyle w:val="7314"/>
        <w:rPr>
          <w:rtl/>
        </w:rPr>
      </w:pPr>
      <w:r w:rsidRPr="00A14D0B">
        <w:rPr>
          <w:rStyle w:val="FootnoteReference0"/>
          <w:vertAlign w:val="baseline"/>
        </w:rPr>
        <w:footnoteRef/>
      </w:r>
      <w:r w:rsidRPr="00A14D0B">
        <w:rPr>
          <w:rtl/>
        </w:rPr>
        <w:t xml:space="preserve"> </w:t>
      </w:r>
      <w:r w:rsidRPr="00A14D0B">
        <w:rPr>
          <w:rtl/>
        </w:rPr>
        <w:tab/>
      </w:r>
      <w:r w:rsidRPr="00A14D0B">
        <w:rPr>
          <w:rFonts w:hint="cs"/>
          <w:rtl/>
        </w:rPr>
        <w:t>רווח תפעולי שווה</w:t>
      </w:r>
      <w:r w:rsidRPr="00A14D0B">
        <w:rPr>
          <w:rStyle w:val="FootnoteReference0"/>
          <w:rFonts w:hint="cs"/>
          <w:vertAlign w:val="baseline"/>
          <w:rtl/>
        </w:rPr>
        <w:t xml:space="preserve"> לרווח </w:t>
      </w:r>
      <w:r w:rsidRPr="00A14D0B">
        <w:rPr>
          <w:rStyle w:val="FootnoteReference0"/>
          <w:rFonts w:hint="cs"/>
          <w:vertAlign w:val="baseline"/>
          <w:rtl/>
        </w:rPr>
        <w:t>פ</w:t>
      </w:r>
      <w:r w:rsidRPr="00A14D0B">
        <w:rPr>
          <w:rFonts w:hint="cs"/>
          <w:rtl/>
        </w:rPr>
        <w:t>רויקטלי</w:t>
      </w:r>
      <w:r w:rsidRPr="00A14D0B">
        <w:rPr>
          <w:rFonts w:hint="cs"/>
          <w:rtl/>
        </w:rPr>
        <w:t xml:space="preserve"> </w:t>
      </w:r>
      <w:r w:rsidRPr="00A14D0B">
        <w:rPr>
          <w:rStyle w:val="FootnoteReference0"/>
          <w:rFonts w:hint="cs"/>
          <w:vertAlign w:val="baseline"/>
          <w:rtl/>
        </w:rPr>
        <w:t>בניכו</w:t>
      </w:r>
      <w:r w:rsidRPr="00A14D0B">
        <w:rPr>
          <w:rFonts w:hint="cs"/>
          <w:rtl/>
        </w:rPr>
        <w:t xml:space="preserve">י הוצאות </w:t>
      </w:r>
      <w:r w:rsidRPr="00A14D0B">
        <w:rPr>
          <w:rStyle w:val="FootnoteReference0"/>
          <w:rFonts w:hint="cs"/>
          <w:vertAlign w:val="baseline"/>
          <w:rtl/>
        </w:rPr>
        <w:t>מחקר ופיתוח</w:t>
      </w:r>
      <w:r w:rsidRPr="00A14D0B">
        <w:rPr>
          <w:rFonts w:hint="cs"/>
          <w:rtl/>
        </w:rPr>
        <w:t xml:space="preserve"> ישירות והעמסת הוצאות מחקר ופיתוח עצמי מחושב על פי עקרונות חשבונאיים.</w:t>
      </w:r>
    </w:p>
  </w:footnote>
  <w:footnote w:id="41">
    <w:p w:rsidR="00C149B0" w:rsidRPr="003C0B09" w:rsidP="00A14D0B" w14:paraId="5AA1C09A" w14:textId="77777777">
      <w:pPr>
        <w:pStyle w:val="7314"/>
        <w:rPr>
          <w:rFonts w:ascii="David" w:hAnsi="David"/>
          <w:rtl/>
        </w:rPr>
      </w:pPr>
      <w:r w:rsidRPr="00A14D0B">
        <w:rPr>
          <w:rStyle w:val="FootnoteReference0"/>
          <w:vertAlign w:val="baseline"/>
        </w:rPr>
        <w:footnoteRef/>
      </w:r>
      <w:r>
        <w:rPr>
          <w:rtl/>
        </w:rPr>
        <w:t xml:space="preserve"> </w:t>
      </w:r>
      <w:r>
        <w:rPr>
          <w:rtl/>
        </w:rPr>
        <w:tab/>
      </w:r>
      <w:r w:rsidRPr="003C0B09">
        <w:rPr>
          <w:rFonts w:ascii="David" w:hAnsi="David"/>
          <w:rtl/>
        </w:rPr>
        <w:t xml:space="preserve">מבקר המדינה, </w:t>
      </w:r>
      <w:r w:rsidRPr="00DB0F66">
        <w:rPr>
          <w:rFonts w:ascii="David" w:hAnsi="David"/>
          <w:b/>
          <w:bCs/>
          <w:rtl/>
        </w:rPr>
        <w:t xml:space="preserve">דוח מבקר המדינה - מאי 2022, "היבטים בקשרי הגומלין בין התעשייה האווירית לישראל בע"מ למשרד הביטחון בדגש על </w:t>
      </w:r>
      <w:r w:rsidRPr="00DB0F66">
        <w:rPr>
          <w:rFonts w:ascii="David" w:hAnsi="David"/>
          <w:b/>
          <w:bCs/>
          <w:rtl/>
        </w:rPr>
        <w:t>פרויקטי</w:t>
      </w:r>
      <w:r w:rsidRPr="00DB0F66">
        <w:rPr>
          <w:rFonts w:ascii="David" w:hAnsi="David"/>
          <w:b/>
          <w:bCs/>
          <w:rtl/>
        </w:rPr>
        <w:t xml:space="preserve"> הפיתוח</w:t>
      </w:r>
      <w:r w:rsidRPr="003C0B09">
        <w:rPr>
          <w:rFonts w:ascii="David" w:hAnsi="David"/>
          <w:rtl/>
        </w:rPr>
        <w:t>", עמ' 42.</w:t>
      </w:r>
    </w:p>
  </w:footnote>
  <w:footnote w:id="42">
    <w:p w:rsidR="00C149B0" w:rsidRPr="00A14D0B" w:rsidP="00A14D0B" w14:paraId="0A66CC35" w14:textId="77777777">
      <w:pPr>
        <w:pStyle w:val="733"/>
      </w:pPr>
      <w:r w:rsidRPr="00A14D0B">
        <w:rPr>
          <w:rStyle w:val="FootnoteReference0"/>
          <w:vertAlign w:val="baseline"/>
        </w:rPr>
        <w:footnoteRef/>
      </w:r>
      <w:r w:rsidRPr="00A14D0B">
        <w:rPr>
          <w:rtl/>
        </w:rPr>
        <w:t xml:space="preserve"> </w:t>
      </w:r>
      <w:r w:rsidRPr="00A14D0B">
        <w:rPr>
          <w:rtl/>
        </w:rPr>
        <w:tab/>
      </w:r>
      <w:r w:rsidRPr="00A14D0B">
        <w:rPr>
          <w:rFonts w:hint="cs"/>
          <w:rtl/>
        </w:rPr>
        <w:t xml:space="preserve">בדוח זה - </w:t>
      </w:r>
      <w:r w:rsidRPr="00A14D0B">
        <w:rPr>
          <w:rFonts w:hint="cs"/>
          <w:rtl/>
        </w:rPr>
        <w:t>משהב"ט</w:t>
      </w:r>
      <w:r w:rsidRPr="00A14D0B">
        <w:rPr>
          <w:rFonts w:hint="cs"/>
          <w:rtl/>
        </w:rPr>
        <w:t xml:space="preserve"> וצה"ל.</w:t>
      </w:r>
    </w:p>
  </w:footnote>
  <w:footnote w:id="43">
    <w:p w:rsidR="00C149B0" w:rsidP="00A14D0B" w14:paraId="24B4D530" w14:textId="77777777">
      <w:pPr>
        <w:pStyle w:val="733"/>
      </w:pPr>
      <w:r w:rsidRPr="00A14D0B">
        <w:rPr>
          <w:rStyle w:val="FootnoteReference0"/>
          <w:vertAlign w:val="baseline"/>
        </w:rPr>
        <w:footnoteRef/>
      </w:r>
      <w:r w:rsidRPr="00A14D0B">
        <w:rPr>
          <w:rtl/>
        </w:rPr>
        <w:t xml:space="preserve"> </w:t>
      </w:r>
      <w:r w:rsidRPr="00A14D0B">
        <w:rPr>
          <w:rtl/>
        </w:rPr>
        <w:tab/>
      </w:r>
      <w:r w:rsidRPr="00A14D0B">
        <w:rPr>
          <w:rFonts w:hint="cs"/>
          <w:rtl/>
        </w:rPr>
        <w:t>חוזר</w:t>
      </w:r>
      <w:r>
        <w:rPr>
          <w:rFonts w:hint="cs"/>
          <w:rtl/>
        </w:rPr>
        <w:t xml:space="preserve"> 1-5-2020 מ-8.1.20.</w:t>
      </w:r>
    </w:p>
  </w:footnote>
  <w:footnote w:id="44">
    <w:p w:rsidR="00C149B0" w:rsidRPr="00A14D0B" w:rsidP="00A14D0B" w14:paraId="4863544D" w14:textId="77777777">
      <w:pPr>
        <w:pStyle w:val="733"/>
      </w:pPr>
      <w:r w:rsidRPr="00A14D0B">
        <w:rPr>
          <w:rStyle w:val="FootnoteReference0"/>
          <w:vertAlign w:val="baseline"/>
        </w:rPr>
        <w:footnoteRef/>
      </w:r>
      <w:r w:rsidRPr="00A14D0B">
        <w:rPr>
          <w:rtl/>
        </w:rPr>
        <w:t xml:space="preserve"> </w:t>
      </w:r>
      <w:r w:rsidRPr="00A14D0B">
        <w:rPr>
          <w:rtl/>
        </w:rPr>
        <w:tab/>
      </w:r>
      <w:r w:rsidRPr="00A14D0B">
        <w:rPr>
          <w:rFonts w:hint="cs"/>
          <w:rtl/>
        </w:rPr>
        <w:t xml:space="preserve">לפי </w:t>
      </w:r>
      <w:r w:rsidRPr="00A14D0B">
        <w:rPr>
          <w:rtl/>
        </w:rPr>
        <w:t>תקן חשבונאות בי</w:t>
      </w:r>
      <w:r w:rsidRPr="00A14D0B">
        <w:rPr>
          <w:rFonts w:hint="cs"/>
          <w:rtl/>
        </w:rPr>
        <w:t>ן-</w:t>
      </w:r>
      <w:r w:rsidRPr="00A14D0B">
        <w:rPr>
          <w:rtl/>
        </w:rPr>
        <w:t xml:space="preserve">לאומי </w:t>
      </w:r>
      <w:r w:rsidRPr="00A14D0B">
        <w:rPr>
          <w:rFonts w:hint="cs"/>
          <w:rtl/>
        </w:rPr>
        <w:t>מס' 1</w:t>
      </w:r>
      <w:r w:rsidRPr="00A14D0B">
        <w:rPr>
          <w:rtl/>
        </w:rPr>
        <w:t xml:space="preserve"> (</w:t>
      </w:r>
      <w:r w:rsidRPr="00A14D0B">
        <w:t>IAS#1</w:t>
      </w:r>
      <w:r w:rsidRPr="00A14D0B">
        <w:rPr>
          <w:rtl/>
        </w:rPr>
        <w:t>)</w:t>
      </w:r>
      <w:r w:rsidRPr="00A14D0B">
        <w:rPr>
          <w:rFonts w:hint="cs"/>
          <w:rtl/>
        </w:rPr>
        <w:t xml:space="preserve"> המחזור התפעולי הוא פרק הזמן שחולף בין רכישה של נכסים לצורך עיבוד לבין המימוש שלהם למזומנים או לשווי מזומנים. </w:t>
      </w:r>
      <w:r w:rsidRPr="00A14D0B">
        <w:rPr>
          <w:rtl/>
        </w:rPr>
        <w:t xml:space="preserve">בדוח התקופתי של רפאל לשנת 2021 נכתב כי תקופת המחזור התפעולי של החברה </w:t>
      </w:r>
      <w:r w:rsidRPr="00A14D0B">
        <w:rPr>
          <w:rFonts w:hint="cs"/>
          <w:rtl/>
        </w:rPr>
        <w:t>נמשכת יותר משנה</w:t>
      </w:r>
      <w:r w:rsidRPr="00A14D0B">
        <w:rPr>
          <w:rtl/>
        </w:rPr>
        <w:t>, ובהתייחס לעבודות על פי ביצוע היא עשויה להימשך שנתיים עד ארבע שנים.</w:t>
      </w:r>
    </w:p>
  </w:footnote>
  <w:footnote w:id="45">
    <w:p w:rsidR="00C149B0" w:rsidRPr="00A14D0B" w:rsidP="00A14D0B" w14:paraId="25A5DADA" w14:textId="77777777">
      <w:pPr>
        <w:pStyle w:val="733"/>
        <w:rPr>
          <w:rtl/>
        </w:rPr>
      </w:pPr>
      <w:r w:rsidRPr="00A14D0B">
        <w:rPr>
          <w:rStyle w:val="FootnoteReference0"/>
          <w:vertAlign w:val="baseline"/>
        </w:rPr>
        <w:footnoteRef/>
      </w:r>
      <w:r w:rsidRPr="00A14D0B">
        <w:rPr>
          <w:rtl/>
        </w:rPr>
        <w:t xml:space="preserve"> </w:t>
      </w:r>
      <w:r w:rsidRPr="00A14D0B">
        <w:rPr>
          <w:rtl/>
        </w:rPr>
        <w:tab/>
      </w:r>
      <w:r w:rsidRPr="00A14D0B">
        <w:rPr>
          <w:rFonts w:hint="cs"/>
          <w:rtl/>
        </w:rPr>
        <w:t>ללא הוצאות והכנסות אחרות, ללא הוצאות והכנסות מימון וללא הוצאות מיסים.</w:t>
      </w:r>
    </w:p>
  </w:footnote>
  <w:footnote w:id="46">
    <w:p w:rsidR="00C149B0" w:rsidP="00A14D0B" w14:paraId="66C99E9B" w14:textId="77777777">
      <w:pPr>
        <w:pStyle w:val="733"/>
        <w:rPr>
          <w:rtl/>
        </w:rPr>
      </w:pPr>
      <w:r w:rsidRPr="00A14D0B">
        <w:rPr>
          <w:rStyle w:val="FootnoteReference0"/>
          <w:vertAlign w:val="baseline"/>
        </w:rPr>
        <w:footnoteRef/>
      </w:r>
      <w:r w:rsidRPr="00A14D0B">
        <w:rPr>
          <w:rtl/>
        </w:rPr>
        <w:t xml:space="preserve"> </w:t>
      </w:r>
      <w:r w:rsidRPr="00A14D0B">
        <w:rPr>
          <w:rtl/>
        </w:rPr>
        <w:tab/>
      </w:r>
      <w:r w:rsidRPr="00A14D0B">
        <w:rPr>
          <w:rFonts w:hint="cs"/>
          <w:rtl/>
        </w:rPr>
        <w:t>הניתוח</w:t>
      </w:r>
      <w:r>
        <w:rPr>
          <w:rFonts w:hint="cs"/>
          <w:rtl/>
        </w:rPr>
        <w:t xml:space="preserve"> לא נעשה על נתוני הקבוצה נוכח השפעת איחודן של </w:t>
      </w:r>
      <w:r>
        <w:rPr>
          <w:rFonts w:hint="cs"/>
          <w:rtl/>
        </w:rPr>
        <w:t>אירונאוטיקס</w:t>
      </w:r>
      <w:r>
        <w:rPr>
          <w:rFonts w:hint="cs"/>
          <w:rtl/>
        </w:rPr>
        <w:t xml:space="preserve"> </w:t>
      </w:r>
      <w:r>
        <w:rPr>
          <w:rFonts w:hint="cs"/>
          <w:rtl/>
        </w:rPr>
        <w:t>וקונטרופ</w:t>
      </w:r>
      <w:r>
        <w:rPr>
          <w:rFonts w:hint="cs"/>
          <w:rtl/>
        </w:rPr>
        <w:t xml:space="preserve"> בשנת 2021 על נתוניה.</w:t>
      </w:r>
    </w:p>
  </w:footnote>
  <w:footnote w:id="47">
    <w:p w:rsidR="00C149B0" w:rsidP="0006068B" w14:paraId="5FD6901A" w14:textId="77777777">
      <w:pPr>
        <w:pStyle w:val="733"/>
      </w:pPr>
      <w:r w:rsidRPr="003A6069">
        <w:footnoteRef/>
      </w:r>
      <w:r w:rsidRPr="003A6069">
        <w:rPr>
          <w:rtl/>
        </w:rPr>
        <w:t xml:space="preserve"> </w:t>
      </w:r>
      <w:r>
        <w:rPr>
          <w:rtl/>
        </w:rPr>
        <w:tab/>
      </w:r>
      <w:r>
        <w:rPr>
          <w:rFonts w:hint="cs"/>
          <w:rtl/>
        </w:rPr>
        <w:t>מהדוחות השנתיים של רפאל לתקופה הנבדקת (2017 - 2021) עולה כי בפברואר 2018 חתמה רפאל על הסכמי שכר עם כל הוועדים בחברה.</w:t>
      </w:r>
    </w:p>
  </w:footnote>
  <w:footnote w:id="48">
    <w:p w:rsidR="00C149B0" w:rsidP="0006068B" w14:paraId="45630F96" w14:textId="77777777">
      <w:pPr>
        <w:pStyle w:val="733"/>
      </w:pPr>
      <w:r w:rsidRPr="003A6069">
        <w:footnoteRef/>
      </w:r>
      <w:r w:rsidRPr="003A6069">
        <w:rPr>
          <w:rtl/>
        </w:rPr>
        <w:t xml:space="preserve"> </w:t>
      </w:r>
      <w:r w:rsidRPr="003A6069">
        <w:rPr>
          <w:rtl/>
        </w:rPr>
        <w:tab/>
      </w:r>
      <w:r w:rsidRPr="00990BBE">
        <w:rPr>
          <w:rFonts w:hint="eastAsia"/>
          <w:rtl/>
        </w:rPr>
        <w:t>חושב</w:t>
      </w:r>
      <w:r w:rsidRPr="00990BBE">
        <w:rPr>
          <w:rtl/>
        </w:rPr>
        <w:t xml:space="preserve"> </w:t>
      </w:r>
      <w:r w:rsidRPr="00990BBE">
        <w:rPr>
          <w:rFonts w:hint="eastAsia"/>
          <w:rtl/>
        </w:rPr>
        <w:t>על</w:t>
      </w:r>
      <w:r w:rsidRPr="00990BBE">
        <w:rPr>
          <w:rtl/>
        </w:rPr>
        <w:t xml:space="preserve"> ידי משרד מבקר המדינה </w:t>
      </w:r>
      <w:r w:rsidRPr="00990BBE">
        <w:rPr>
          <w:rFonts w:hint="eastAsia"/>
          <w:rtl/>
        </w:rPr>
        <w:t>כממוצע</w:t>
      </w:r>
      <w:r w:rsidRPr="00990BBE">
        <w:rPr>
          <w:rtl/>
        </w:rPr>
        <w:t xml:space="preserve"> </w:t>
      </w:r>
      <w:r w:rsidRPr="00990BBE">
        <w:rPr>
          <w:rFonts w:hint="eastAsia"/>
          <w:rtl/>
        </w:rPr>
        <w:t>של</w:t>
      </w:r>
      <w:r w:rsidRPr="00990BBE">
        <w:rPr>
          <w:rtl/>
        </w:rPr>
        <w:t xml:space="preserve"> </w:t>
      </w:r>
      <w:r w:rsidRPr="00990BBE">
        <w:rPr>
          <w:rFonts w:hint="eastAsia"/>
          <w:rtl/>
        </w:rPr>
        <w:t>מספר</w:t>
      </w:r>
      <w:r w:rsidRPr="00990BBE">
        <w:rPr>
          <w:rtl/>
        </w:rPr>
        <w:t xml:space="preserve"> </w:t>
      </w:r>
      <w:r w:rsidRPr="00990BBE">
        <w:rPr>
          <w:rFonts w:hint="eastAsia"/>
          <w:rtl/>
        </w:rPr>
        <w:t>העובדים</w:t>
      </w:r>
      <w:r w:rsidRPr="00990BBE">
        <w:rPr>
          <w:rtl/>
        </w:rPr>
        <w:t xml:space="preserve"> </w:t>
      </w:r>
      <w:r w:rsidRPr="00990BBE">
        <w:rPr>
          <w:rFonts w:hint="eastAsia"/>
          <w:rtl/>
        </w:rPr>
        <w:t>בסוף</w:t>
      </w:r>
      <w:r w:rsidRPr="00990BBE">
        <w:rPr>
          <w:rtl/>
        </w:rPr>
        <w:t xml:space="preserve"> </w:t>
      </w:r>
      <w:r w:rsidRPr="00990BBE">
        <w:rPr>
          <w:rFonts w:hint="eastAsia"/>
          <w:rtl/>
        </w:rPr>
        <w:t>השנה</w:t>
      </w:r>
      <w:r w:rsidRPr="00990BBE">
        <w:rPr>
          <w:rtl/>
        </w:rPr>
        <w:t xml:space="preserve"> </w:t>
      </w:r>
      <w:r w:rsidRPr="00990BBE">
        <w:rPr>
          <w:rFonts w:hint="eastAsia"/>
          <w:rtl/>
        </w:rPr>
        <w:t>הקודמת</w:t>
      </w:r>
      <w:r w:rsidRPr="00990BBE">
        <w:rPr>
          <w:rtl/>
        </w:rPr>
        <w:t xml:space="preserve"> </w:t>
      </w:r>
      <w:r w:rsidRPr="00990BBE">
        <w:rPr>
          <w:rFonts w:hint="eastAsia"/>
          <w:rtl/>
        </w:rPr>
        <w:t>ומספר</w:t>
      </w:r>
      <w:r w:rsidRPr="00990BBE">
        <w:rPr>
          <w:rtl/>
        </w:rPr>
        <w:t xml:space="preserve"> </w:t>
      </w:r>
      <w:r w:rsidRPr="00990BBE">
        <w:rPr>
          <w:rFonts w:hint="eastAsia"/>
          <w:rtl/>
        </w:rPr>
        <w:t>העובדים</w:t>
      </w:r>
      <w:r w:rsidRPr="00990BBE">
        <w:rPr>
          <w:rtl/>
        </w:rPr>
        <w:t xml:space="preserve"> </w:t>
      </w:r>
      <w:r w:rsidRPr="00990BBE">
        <w:rPr>
          <w:rFonts w:hint="eastAsia"/>
          <w:rtl/>
        </w:rPr>
        <w:t>בסוף</w:t>
      </w:r>
      <w:r w:rsidRPr="00990BBE">
        <w:rPr>
          <w:rtl/>
        </w:rPr>
        <w:t xml:space="preserve"> </w:t>
      </w:r>
      <w:r w:rsidRPr="00990BBE">
        <w:rPr>
          <w:rFonts w:hint="eastAsia"/>
          <w:rtl/>
        </w:rPr>
        <w:t>השנה</w:t>
      </w:r>
      <w:r w:rsidRPr="00990BBE">
        <w:rPr>
          <w:rtl/>
        </w:rPr>
        <w:t xml:space="preserve"> </w:t>
      </w:r>
      <w:r w:rsidRPr="00990BBE">
        <w:rPr>
          <w:rFonts w:hint="eastAsia"/>
          <w:rtl/>
        </w:rPr>
        <w:t>הנוכחית</w:t>
      </w:r>
      <w:r w:rsidRPr="00990BBE">
        <w:rPr>
          <w:rtl/>
        </w:rPr>
        <w:t>.</w:t>
      </w:r>
    </w:p>
  </w:footnote>
  <w:footnote w:id="49">
    <w:p w:rsidR="00C149B0" w:rsidRPr="003A6069" w:rsidP="003A6069" w14:paraId="0459B4AE" w14:textId="77777777">
      <w:pPr>
        <w:pStyle w:val="7314"/>
      </w:pPr>
      <w:r w:rsidRPr="003A6069">
        <w:rPr>
          <w:rStyle w:val="FootnoteReference0"/>
          <w:vertAlign w:val="baseline"/>
        </w:rPr>
        <w:footnoteRef/>
      </w:r>
      <w:r w:rsidRPr="003A6069">
        <w:rPr>
          <w:rtl/>
        </w:rPr>
        <w:t xml:space="preserve"> </w:t>
      </w:r>
      <w:r w:rsidRPr="003A6069">
        <w:rPr>
          <w:rtl/>
        </w:rPr>
        <w:tab/>
      </w:r>
      <w:r w:rsidRPr="003A6069">
        <w:rPr>
          <w:rFonts w:hint="cs"/>
          <w:rtl/>
        </w:rPr>
        <w:t xml:space="preserve">ההכנסה לעובד ברפאל, </w:t>
      </w:r>
      <w:r w:rsidRPr="003A6069">
        <w:rPr>
          <w:rFonts w:hint="cs"/>
          <w:rtl/>
        </w:rPr>
        <w:t>בתע"א</w:t>
      </w:r>
      <w:r w:rsidRPr="003A6069">
        <w:rPr>
          <w:rFonts w:hint="cs"/>
          <w:rtl/>
        </w:rPr>
        <w:t xml:space="preserve"> ובאלביט חושבה לפי מספר העובדים הממוצע בכל שנה.</w:t>
      </w:r>
    </w:p>
  </w:footnote>
  <w:footnote w:id="50">
    <w:p w:rsidR="00C149B0" w:rsidP="003A6069" w14:paraId="007519C2" w14:textId="77777777">
      <w:pPr>
        <w:pStyle w:val="7314"/>
        <w:rPr>
          <w:rtl/>
        </w:rPr>
      </w:pPr>
      <w:r w:rsidRPr="003A6069">
        <w:rPr>
          <w:rStyle w:val="FootnoteReference0"/>
          <w:vertAlign w:val="baseline"/>
        </w:rPr>
        <w:footnoteRef/>
      </w:r>
      <w:r w:rsidRPr="003A6069">
        <w:rPr>
          <w:rtl/>
        </w:rPr>
        <w:t xml:space="preserve"> </w:t>
      </w:r>
      <w:r w:rsidRPr="003A6069">
        <w:rPr>
          <w:rtl/>
        </w:rPr>
        <w:tab/>
      </w:r>
      <w:r w:rsidRPr="003A6069">
        <w:rPr>
          <w:rFonts w:hint="cs"/>
          <w:rtl/>
        </w:rPr>
        <w:t>בתרשים</w:t>
      </w:r>
      <w:r>
        <w:rPr>
          <w:rFonts w:hint="cs"/>
          <w:rtl/>
        </w:rPr>
        <w:t xml:space="preserve"> זה ובתרשים הבא הותאמו </w:t>
      </w:r>
      <w:r w:rsidRPr="0071420F">
        <w:rPr>
          <w:rFonts w:hint="cs"/>
          <w:rtl/>
        </w:rPr>
        <w:t xml:space="preserve">נתוני </w:t>
      </w:r>
      <w:r w:rsidRPr="0071420F">
        <w:rPr>
          <w:rFonts w:hint="cs"/>
          <w:rtl/>
        </w:rPr>
        <w:t>אירונאוטיקס</w:t>
      </w:r>
      <w:r w:rsidRPr="0071420F">
        <w:rPr>
          <w:rFonts w:hint="cs"/>
          <w:rtl/>
        </w:rPr>
        <w:t xml:space="preserve"> </w:t>
      </w:r>
      <w:r w:rsidRPr="0071420F">
        <w:rPr>
          <w:rFonts w:hint="cs"/>
          <w:rtl/>
        </w:rPr>
        <w:t>וקונטרופ</w:t>
      </w:r>
      <w:r w:rsidRPr="0071420F">
        <w:rPr>
          <w:rFonts w:hint="cs"/>
          <w:rtl/>
        </w:rPr>
        <w:t xml:space="preserve"> בשנת 2021 לפעילות של שנה שלמה.</w:t>
      </w:r>
    </w:p>
  </w:footnote>
  <w:footnote w:id="51">
    <w:p w:rsidR="00C149B0" w:rsidRPr="00EE10D2" w:rsidP="003A6069" w14:paraId="2769D0D7" w14:textId="77777777">
      <w:pPr>
        <w:pStyle w:val="733"/>
        <w:rPr>
          <w:spacing w:val="-2"/>
          <w:rtl/>
        </w:rPr>
      </w:pPr>
      <w:r w:rsidRPr="00EE10D2">
        <w:rPr>
          <w:rStyle w:val="FootnoteReference0"/>
          <w:spacing w:val="-2"/>
          <w:vertAlign w:val="baseline"/>
        </w:rPr>
        <w:footnoteRef/>
      </w:r>
      <w:r w:rsidRPr="00EE10D2">
        <w:rPr>
          <w:spacing w:val="-2"/>
          <w:rtl/>
        </w:rPr>
        <w:t xml:space="preserve"> </w:t>
      </w:r>
      <w:r w:rsidRPr="00EE10D2">
        <w:rPr>
          <w:spacing w:val="-2"/>
          <w:rtl/>
        </w:rPr>
        <w:tab/>
        <w:t>הירידה במכירות ב</w:t>
      </w:r>
      <w:r w:rsidRPr="00EE10D2">
        <w:rPr>
          <w:rFonts w:hint="cs"/>
          <w:spacing w:val="-2"/>
          <w:rtl/>
        </w:rPr>
        <w:t xml:space="preserve">שנת </w:t>
      </w:r>
      <w:r w:rsidRPr="00EE10D2">
        <w:rPr>
          <w:spacing w:val="-2"/>
          <w:rtl/>
        </w:rPr>
        <w:t xml:space="preserve">2020 הוסברה </w:t>
      </w:r>
      <w:r w:rsidRPr="00EE10D2">
        <w:rPr>
          <w:rFonts w:hint="cs"/>
          <w:spacing w:val="-2"/>
          <w:rtl/>
        </w:rPr>
        <w:t>ב</w:t>
      </w:r>
      <w:r w:rsidRPr="00EE10D2">
        <w:rPr>
          <w:spacing w:val="-2"/>
          <w:rtl/>
        </w:rPr>
        <w:t xml:space="preserve">קיטון בפעילות מול </w:t>
      </w:r>
      <w:r w:rsidRPr="00EE10D2">
        <w:rPr>
          <w:spacing w:val="-2"/>
          <w:rtl/>
        </w:rPr>
        <w:t>משהב"ט</w:t>
      </w:r>
      <w:r w:rsidRPr="00EE10D2">
        <w:rPr>
          <w:rFonts w:hint="cs"/>
          <w:spacing w:val="-2"/>
          <w:rtl/>
        </w:rPr>
        <w:t>.</w:t>
      </w:r>
      <w:r w:rsidRPr="00EE10D2">
        <w:rPr>
          <w:spacing w:val="-2"/>
          <w:rtl/>
        </w:rPr>
        <w:t xml:space="preserve"> בשנת 2021 הגידול במכירות (כולל </w:t>
      </w:r>
      <w:r w:rsidRPr="00EE10D2">
        <w:rPr>
          <w:spacing w:val="-2"/>
          <w:rtl/>
        </w:rPr>
        <w:t>אירונאוטיקס</w:t>
      </w:r>
      <w:r w:rsidRPr="00EE10D2">
        <w:rPr>
          <w:spacing w:val="-2"/>
          <w:rtl/>
        </w:rPr>
        <w:t xml:space="preserve"> </w:t>
      </w:r>
      <w:r w:rsidRPr="00EE10D2">
        <w:rPr>
          <w:spacing w:val="-2"/>
          <w:rtl/>
        </w:rPr>
        <w:t>וקונטרופ</w:t>
      </w:r>
      <w:r w:rsidRPr="00EE10D2">
        <w:rPr>
          <w:spacing w:val="-2"/>
          <w:rtl/>
        </w:rPr>
        <w:t>) היה כ-5% לעומת גידול של כ-8% במצבת העובדים הממוצעת</w:t>
      </w:r>
      <w:r w:rsidRPr="00EE10D2">
        <w:rPr>
          <w:rFonts w:hint="cs"/>
          <w:spacing w:val="-2"/>
          <w:rtl/>
        </w:rPr>
        <w:t>; והדבר פגע במדד מכירות לעובד.</w:t>
      </w:r>
    </w:p>
  </w:footnote>
  <w:footnote w:id="52">
    <w:p w:rsidR="00C149B0" w:rsidRPr="003A6069" w:rsidP="003A6069" w14:paraId="217D85C6" w14:textId="77777777">
      <w:pPr>
        <w:pStyle w:val="733"/>
        <w:rPr>
          <w:rtl/>
        </w:rPr>
      </w:pPr>
      <w:r w:rsidRPr="003A6069">
        <w:rPr>
          <w:rStyle w:val="FootnoteReference0"/>
          <w:vertAlign w:val="baseline"/>
        </w:rPr>
        <w:footnoteRef/>
      </w:r>
      <w:r w:rsidRPr="003A6069">
        <w:rPr>
          <w:rtl/>
        </w:rPr>
        <w:t xml:space="preserve"> </w:t>
      </w:r>
      <w:r w:rsidRPr="003A6069">
        <w:rPr>
          <w:rtl/>
        </w:rPr>
        <w:tab/>
      </w:r>
      <w:r w:rsidRPr="003A6069">
        <w:rPr>
          <w:rFonts w:hint="cs"/>
          <w:rtl/>
        </w:rPr>
        <w:t>כאמור,</w:t>
      </w:r>
      <w:r w:rsidRPr="003A6069">
        <w:rPr>
          <w:rtl/>
        </w:rPr>
        <w:t xml:space="preserve"> בחישוב הרווח הגולמי של רפאל קיימת הטיה כלפי מעלה מאחר </w:t>
      </w:r>
      <w:r w:rsidRPr="003A6069">
        <w:rPr>
          <w:rFonts w:hint="cs"/>
          <w:rtl/>
        </w:rPr>
        <w:t>ש</w:t>
      </w:r>
      <w:r w:rsidRPr="003A6069">
        <w:rPr>
          <w:rtl/>
        </w:rPr>
        <w:t xml:space="preserve">על פי המדיניות החשבונאית הנהוגה בחברה, עלויות בגין הפסד </w:t>
      </w:r>
      <w:r w:rsidRPr="003A6069">
        <w:rPr>
          <w:rtl/>
        </w:rPr>
        <w:t>בפרויקטי</w:t>
      </w:r>
      <w:r w:rsidRPr="003A6069">
        <w:rPr>
          <w:rtl/>
        </w:rPr>
        <w:t xml:space="preserve"> פיתוח וסכומים שנתנה רפאל כהנחה ללקוח נזקפות לעלויות המו"פ העצמי שאינן נכללות בחישוב הרווח הגולמי.</w:t>
      </w:r>
    </w:p>
  </w:footnote>
  <w:footnote w:id="53">
    <w:p w:rsidR="00C149B0" w:rsidRPr="0059383C" w:rsidP="00EE10D2" w14:paraId="79E41323" w14:textId="642DFA99">
      <w:pPr>
        <w:pStyle w:val="733"/>
      </w:pPr>
      <w:r w:rsidRPr="003A6069">
        <w:rPr>
          <w:rStyle w:val="FootnoteReference0"/>
          <w:vertAlign w:val="baseline"/>
        </w:rPr>
        <w:footnoteRef/>
      </w:r>
      <w:r w:rsidRPr="003A6069">
        <w:rPr>
          <w:rtl/>
        </w:rPr>
        <w:t xml:space="preserve"> </w:t>
      </w:r>
      <w:r w:rsidRPr="003A6069">
        <w:tab/>
      </w:r>
      <w:r w:rsidRPr="003A6069">
        <w:rPr>
          <w:rFonts w:hint="cs"/>
          <w:rtl/>
        </w:rPr>
        <w:t xml:space="preserve">יצוין כי קיימת הטיה כלפי מעלה של הרווח וההכנסות ממכירות לעובד של </w:t>
      </w:r>
      <w:r w:rsidRPr="003A6069">
        <w:rPr>
          <w:rFonts w:hint="cs"/>
          <w:rtl/>
        </w:rPr>
        <w:t>התע"א</w:t>
      </w:r>
      <w:r w:rsidRPr="003A6069">
        <w:rPr>
          <w:rFonts w:hint="cs"/>
          <w:rtl/>
        </w:rPr>
        <w:t xml:space="preserve"> כיוון שבחישוב מספר העובדים לא נכללו</w:t>
      </w:r>
      <w:r w:rsidRPr="008D0CA0">
        <w:rPr>
          <w:rFonts w:hint="cs"/>
          <w:rtl/>
        </w:rPr>
        <w:t xml:space="preserve"> </w:t>
      </w:r>
      <w:r>
        <w:rPr>
          <w:rFonts w:hint="cs"/>
          <w:rtl/>
        </w:rPr>
        <w:t xml:space="preserve">313 עובדים (עובדים זרים וחניכים); כי </w:t>
      </w:r>
      <w:r w:rsidRPr="00AA29D5">
        <w:rPr>
          <w:rFonts w:hint="eastAsia"/>
          <w:rtl/>
        </w:rPr>
        <w:t>מספר</w:t>
      </w:r>
      <w:r w:rsidRPr="00AA29D5">
        <w:rPr>
          <w:rtl/>
        </w:rPr>
        <w:t xml:space="preserve"> </w:t>
      </w:r>
      <w:r w:rsidRPr="00AA29D5">
        <w:rPr>
          <w:rFonts w:hint="eastAsia"/>
          <w:rtl/>
        </w:rPr>
        <w:t>העובדים</w:t>
      </w:r>
      <w:r w:rsidRPr="00AA29D5">
        <w:rPr>
          <w:rtl/>
        </w:rPr>
        <w:t xml:space="preserve"> </w:t>
      </w:r>
      <w:r w:rsidRPr="00AA29D5">
        <w:rPr>
          <w:rFonts w:hint="eastAsia"/>
          <w:rtl/>
        </w:rPr>
        <w:t>באלביט</w:t>
      </w:r>
      <w:r w:rsidRPr="00AA29D5">
        <w:rPr>
          <w:rtl/>
        </w:rPr>
        <w:t xml:space="preserve"> </w:t>
      </w:r>
      <w:r>
        <w:rPr>
          <w:rFonts w:hint="cs"/>
          <w:rtl/>
        </w:rPr>
        <w:t>גדל</w:t>
      </w:r>
      <w:r w:rsidRPr="00AA29D5">
        <w:rPr>
          <w:rtl/>
        </w:rPr>
        <w:t xml:space="preserve"> בשנתיים האחרונות</w:t>
      </w:r>
      <w:r>
        <w:rPr>
          <w:rFonts w:hint="cs"/>
          <w:rtl/>
        </w:rPr>
        <w:t>,</w:t>
      </w:r>
      <w:r w:rsidRPr="00AA29D5">
        <w:rPr>
          <w:rtl/>
        </w:rPr>
        <w:t xml:space="preserve"> בעיקר </w:t>
      </w:r>
      <w:r>
        <w:rPr>
          <w:rFonts w:hint="cs"/>
          <w:rtl/>
        </w:rPr>
        <w:t>עקב כך שנוספו</w:t>
      </w:r>
      <w:r w:rsidRPr="00AA29D5">
        <w:rPr>
          <w:rtl/>
        </w:rPr>
        <w:t xml:space="preserve"> כ-1,000 עובדים ב</w:t>
      </w:r>
      <w:r>
        <w:rPr>
          <w:rFonts w:hint="cs"/>
          <w:rtl/>
        </w:rPr>
        <w:t>חברות ב</w:t>
      </w:r>
      <w:r w:rsidRPr="00AA29D5">
        <w:rPr>
          <w:rtl/>
        </w:rPr>
        <w:t>ארה"ב</w:t>
      </w:r>
      <w:r>
        <w:rPr>
          <w:rFonts w:hint="cs"/>
          <w:rtl/>
        </w:rPr>
        <w:t xml:space="preserve">; וכי </w:t>
      </w:r>
      <w:r w:rsidRPr="00AA29D5">
        <w:rPr>
          <w:rtl/>
        </w:rPr>
        <w:t xml:space="preserve">מספר העובדים </w:t>
      </w:r>
      <w:r>
        <w:rPr>
          <w:rFonts w:hint="cs"/>
          <w:rtl/>
        </w:rPr>
        <w:t xml:space="preserve">ברפאל </w:t>
      </w:r>
      <w:r w:rsidRPr="00AA29D5">
        <w:rPr>
          <w:rtl/>
        </w:rPr>
        <w:t xml:space="preserve">כולל </w:t>
      </w:r>
      <w:r>
        <w:rPr>
          <w:rFonts w:hint="cs"/>
          <w:rtl/>
        </w:rPr>
        <w:t xml:space="preserve">את עובדי </w:t>
      </w:r>
      <w:r w:rsidRPr="00AA29D5">
        <w:rPr>
          <w:rtl/>
        </w:rPr>
        <w:t>אירונאוטיקס</w:t>
      </w:r>
      <w:r w:rsidRPr="00AA29D5">
        <w:rPr>
          <w:rtl/>
        </w:rPr>
        <w:t xml:space="preserve"> </w:t>
      </w:r>
      <w:r w:rsidRPr="00AA29D5">
        <w:rPr>
          <w:rtl/>
        </w:rPr>
        <w:t>וקונטרופ</w:t>
      </w:r>
      <w:r w:rsidRPr="00AA29D5">
        <w:rPr>
          <w:rtl/>
        </w:rPr>
        <w:t xml:space="preserve"> </w:t>
      </w:r>
      <w:r w:rsidR="00217652">
        <w:rPr>
          <w:rtl/>
        </w:rPr>
        <w:br/>
      </w:r>
      <w:r w:rsidRPr="00AA29D5">
        <w:rPr>
          <w:rtl/>
        </w:rPr>
        <w:t>(כ-1,053 עובדים)</w:t>
      </w:r>
      <w:r>
        <w:rPr>
          <w:rFonts w:hint="cs"/>
          <w:rtl/>
        </w:rPr>
        <w:t xml:space="preserve"> </w:t>
      </w:r>
      <w:r w:rsidRPr="00AA29D5">
        <w:rPr>
          <w:rtl/>
        </w:rPr>
        <w:t>וחברות בנות</w:t>
      </w:r>
      <w:r>
        <w:rPr>
          <w:rFonts w:hint="cs"/>
          <w:rtl/>
        </w:rPr>
        <w:t xml:space="preserve"> נוספות.</w:t>
      </w:r>
    </w:p>
  </w:footnote>
  <w:footnote w:id="54">
    <w:p w:rsidR="00C149B0" w:rsidRPr="003A6069" w:rsidP="003A6069" w14:paraId="3DBF2757" w14:textId="77777777">
      <w:pPr>
        <w:pStyle w:val="733"/>
      </w:pPr>
      <w:r w:rsidRPr="003A6069">
        <w:rPr>
          <w:rStyle w:val="FootnoteReference0"/>
          <w:vertAlign w:val="baseline"/>
        </w:rPr>
        <w:footnoteRef/>
      </w:r>
      <w:r w:rsidRPr="003A6069">
        <w:rPr>
          <w:rtl/>
        </w:rPr>
        <w:t xml:space="preserve"> </w:t>
      </w:r>
      <w:r w:rsidRPr="003A6069">
        <w:rPr>
          <w:rtl/>
        </w:rPr>
        <w:tab/>
      </w:r>
      <w:r w:rsidRPr="003A6069">
        <w:rPr>
          <w:rFonts w:hint="cs"/>
          <w:rtl/>
        </w:rPr>
        <w:t xml:space="preserve">חברות מאוחדות וחברות שהשקעת רפאל בהן כלולה, במישרין או בעקיפין, בדוח הכספי שלה על בסיס השווי המאזני. </w:t>
      </w:r>
    </w:p>
  </w:footnote>
  <w:footnote w:id="55">
    <w:p w:rsidR="00C149B0" w:rsidRPr="003A6069" w:rsidP="003A6069" w14:paraId="695517BC" w14:textId="77777777">
      <w:pPr>
        <w:pStyle w:val="733"/>
        <w:rPr>
          <w:rtl/>
        </w:rPr>
      </w:pPr>
      <w:r w:rsidRPr="003A6069">
        <w:rPr>
          <w:rStyle w:val="FootnoteReference0"/>
          <w:vertAlign w:val="baseline"/>
        </w:rPr>
        <w:footnoteRef/>
      </w:r>
      <w:r w:rsidRPr="003A6069">
        <w:rPr>
          <w:rtl/>
        </w:rPr>
        <w:t xml:space="preserve"> </w:t>
      </w:r>
      <w:r w:rsidRPr="003A6069">
        <w:rPr>
          <w:rtl/>
        </w:rPr>
        <w:tab/>
      </w:r>
      <w:r w:rsidRPr="003A6069">
        <w:rPr>
          <w:rFonts w:hint="cs"/>
          <w:rtl/>
        </w:rPr>
        <w:t>שווי מאזני - השקעה המוכרת לראשונה לפי העלות, ושערכה בספרים מוגדל או מוקטן בגובה חלקו של המשקיע ברווח או בהפסד של הישות המושקעת לאחר מועד הרכישה.</w:t>
      </w:r>
    </w:p>
  </w:footnote>
  <w:footnote w:id="56">
    <w:p w:rsidR="00C149B0" w:rsidP="003A6069" w14:paraId="007C6D0E" w14:textId="77777777">
      <w:pPr>
        <w:pStyle w:val="733"/>
      </w:pPr>
      <w:r w:rsidRPr="003A6069">
        <w:rPr>
          <w:rStyle w:val="FootnoteReference0"/>
          <w:vertAlign w:val="baseline"/>
        </w:rPr>
        <w:footnoteRef/>
      </w:r>
      <w:r w:rsidRPr="003A6069">
        <w:rPr>
          <w:rtl/>
        </w:rPr>
        <w:t xml:space="preserve"> </w:t>
      </w:r>
      <w:r w:rsidRPr="003A6069">
        <w:rPr>
          <w:rtl/>
        </w:rPr>
        <w:tab/>
      </w:r>
      <w:r w:rsidRPr="003A6069">
        <w:rPr>
          <w:rFonts w:hint="cs"/>
          <w:rtl/>
        </w:rPr>
        <w:t xml:space="preserve">יתרת ההשקעות אינה כוללת את ההשקעה בחברת </w:t>
      </w:r>
      <w:r w:rsidRPr="003A6069">
        <w:rPr>
          <w:rFonts w:hint="cs"/>
          <w:rtl/>
        </w:rPr>
        <w:t>אופגל</w:t>
      </w:r>
      <w:r w:rsidRPr="003A6069">
        <w:rPr>
          <w:rFonts w:hint="cs"/>
          <w:rtl/>
        </w:rPr>
        <w:t xml:space="preserve"> תעשיות </w:t>
      </w:r>
      <w:r w:rsidRPr="003A6069">
        <w:rPr>
          <w:rFonts w:hint="cs"/>
          <w:rtl/>
        </w:rPr>
        <w:t>אופטרוניות</w:t>
      </w:r>
      <w:r w:rsidRPr="003A6069">
        <w:rPr>
          <w:rFonts w:hint="cs"/>
          <w:rtl/>
        </w:rPr>
        <w:t xml:space="preserve"> בע"מ, המוצגת בדוח הכספי של</w:t>
      </w:r>
      <w:r>
        <w:rPr>
          <w:rFonts w:hint="cs"/>
          <w:rtl/>
        </w:rPr>
        <w:t xml:space="preserve"> רפאל כמוחזקת למכירה. החברה נמכרה באפריל 2022.</w:t>
      </w:r>
    </w:p>
  </w:footnote>
  <w:footnote w:id="57">
    <w:p w:rsidR="00C149B0" w:rsidRPr="003A6069" w:rsidP="003A6069" w14:paraId="407058D3" w14:textId="77777777">
      <w:pPr>
        <w:pStyle w:val="733"/>
        <w:rPr>
          <w:rtl/>
        </w:rPr>
      </w:pPr>
      <w:r w:rsidRPr="003A6069">
        <w:rPr>
          <w:rStyle w:val="FootnoteReference0"/>
          <w:vertAlign w:val="baseline"/>
        </w:rPr>
        <w:footnoteRef/>
      </w:r>
      <w:r w:rsidRPr="003A6069">
        <w:rPr>
          <w:rtl/>
        </w:rPr>
        <w:t xml:space="preserve"> </w:t>
      </w:r>
      <w:r w:rsidRPr="003A6069">
        <w:rPr>
          <w:rtl/>
        </w:rPr>
        <w:tab/>
      </w:r>
      <w:r w:rsidRPr="003A6069">
        <w:rPr>
          <w:rFonts w:hint="cs"/>
          <w:rtl/>
        </w:rPr>
        <w:t>חברה שרפאל השלימה רכישה של 50% ממניותיה ב</w:t>
      </w:r>
      <w:r w:rsidRPr="003A6069">
        <w:rPr>
          <w:rtl/>
        </w:rPr>
        <w:t>ספטמבר</w:t>
      </w:r>
      <w:r w:rsidRPr="003A6069">
        <w:rPr>
          <w:rFonts w:hint="cs"/>
          <w:rtl/>
        </w:rPr>
        <w:t xml:space="preserve"> 2019</w:t>
      </w:r>
      <w:r w:rsidRPr="003A6069">
        <w:rPr>
          <w:rtl/>
        </w:rPr>
        <w:t xml:space="preserve">. </w:t>
      </w:r>
    </w:p>
  </w:footnote>
  <w:footnote w:id="58">
    <w:p w:rsidR="00C149B0" w:rsidP="003A6069" w14:paraId="310C6CF9" w14:textId="77777777">
      <w:pPr>
        <w:pStyle w:val="733"/>
      </w:pPr>
      <w:r w:rsidRPr="003A6069">
        <w:rPr>
          <w:rStyle w:val="FootnoteReference0"/>
          <w:vertAlign w:val="baseline"/>
        </w:rPr>
        <w:footnoteRef/>
      </w:r>
      <w:r>
        <w:rPr>
          <w:rtl/>
        </w:rPr>
        <w:t xml:space="preserve"> </w:t>
      </w:r>
      <w:r>
        <w:rPr>
          <w:rtl/>
        </w:rPr>
        <w:tab/>
      </w:r>
      <w:r>
        <w:rPr>
          <w:rFonts w:hint="cs"/>
          <w:rtl/>
        </w:rPr>
        <w:t xml:space="preserve"> </w:t>
      </w:r>
      <w:r w:rsidRPr="006623DC">
        <w:rPr>
          <w:rtl/>
        </w:rPr>
        <w:t xml:space="preserve">מבקר המדינה, </w:t>
      </w:r>
      <w:r w:rsidRPr="00DB0F66">
        <w:rPr>
          <w:b/>
          <w:bCs/>
          <w:rtl/>
        </w:rPr>
        <w:t xml:space="preserve">דוח </w:t>
      </w:r>
      <w:r w:rsidRPr="00DB0F66">
        <w:rPr>
          <w:rFonts w:hint="eastAsia"/>
          <w:b/>
          <w:bCs/>
          <w:rtl/>
        </w:rPr>
        <w:t>מבקר</w:t>
      </w:r>
      <w:r w:rsidRPr="00DB0F66">
        <w:rPr>
          <w:b/>
          <w:bCs/>
          <w:rtl/>
        </w:rPr>
        <w:t xml:space="preserve"> </w:t>
      </w:r>
      <w:r w:rsidRPr="00DB0F66">
        <w:rPr>
          <w:rFonts w:hint="eastAsia"/>
          <w:b/>
          <w:bCs/>
          <w:rtl/>
        </w:rPr>
        <w:t>המדינה</w:t>
      </w:r>
      <w:r w:rsidRPr="00DB0F66">
        <w:rPr>
          <w:b/>
          <w:bCs/>
          <w:rtl/>
        </w:rPr>
        <w:t xml:space="preserve"> </w:t>
      </w:r>
      <w:r w:rsidRPr="00DB0F66">
        <w:rPr>
          <w:rFonts w:hint="cs"/>
          <w:b/>
          <w:bCs/>
          <w:rtl/>
        </w:rPr>
        <w:t xml:space="preserve">- </w:t>
      </w:r>
      <w:r w:rsidRPr="00DB0F66">
        <w:rPr>
          <w:b/>
          <w:bCs/>
          <w:rtl/>
        </w:rPr>
        <w:t>מרץ 2022</w:t>
      </w:r>
      <w:r w:rsidRPr="006623DC">
        <w:rPr>
          <w:rtl/>
        </w:rPr>
        <w:t xml:space="preserve">, עמ' </w:t>
      </w:r>
      <w:r>
        <w:rPr>
          <w:rFonts w:hint="cs"/>
          <w:rtl/>
        </w:rPr>
        <w:t>1309 - 1377</w:t>
      </w:r>
      <w:r w:rsidRPr="006623DC">
        <w:rPr>
          <w:rtl/>
        </w:rPr>
        <w:t>.</w:t>
      </w:r>
    </w:p>
  </w:footnote>
  <w:footnote w:id="59">
    <w:p w:rsidR="00C149B0" w:rsidRPr="003A6069" w:rsidP="003A6069" w14:paraId="44BD54FD" w14:textId="77777777">
      <w:pPr>
        <w:pStyle w:val="733"/>
        <w:rPr>
          <w:rtl/>
        </w:rPr>
      </w:pPr>
      <w:r w:rsidRPr="003A6069">
        <w:rPr>
          <w:rStyle w:val="FootnoteReference0"/>
          <w:vertAlign w:val="baseline"/>
        </w:rPr>
        <w:footnoteRef/>
      </w:r>
      <w:r w:rsidRPr="003A6069">
        <w:rPr>
          <w:rtl/>
        </w:rPr>
        <w:t xml:space="preserve"> </w:t>
      </w:r>
      <w:r w:rsidRPr="003A6069">
        <w:rPr>
          <w:rtl/>
        </w:rPr>
        <w:tab/>
      </w:r>
      <w:r w:rsidRPr="003A6069">
        <w:rPr>
          <w:rFonts w:hint="cs"/>
          <w:rtl/>
        </w:rPr>
        <w:t>אירונאוטיקס</w:t>
      </w:r>
      <w:r w:rsidRPr="003A6069">
        <w:rPr>
          <w:rFonts w:hint="cs"/>
          <w:rtl/>
        </w:rPr>
        <w:t xml:space="preserve"> בע"מ וכנפית בע"מ.</w:t>
      </w:r>
    </w:p>
  </w:footnote>
  <w:footnote w:id="60">
    <w:p w:rsidR="00C149B0" w:rsidP="003A6069" w14:paraId="2E724128" w14:textId="77777777">
      <w:pPr>
        <w:pStyle w:val="733"/>
      </w:pPr>
      <w:r w:rsidRPr="003A6069">
        <w:rPr>
          <w:rStyle w:val="FootnoteReference0"/>
          <w:vertAlign w:val="baseline"/>
        </w:rPr>
        <w:footnoteRef/>
      </w:r>
      <w:r>
        <w:rPr>
          <w:rtl/>
        </w:rPr>
        <w:t xml:space="preserve"> </w:t>
      </w:r>
      <w:r>
        <w:rPr>
          <w:rtl/>
        </w:rPr>
        <w:tab/>
      </w:r>
      <w:r w:rsidRPr="002D327E">
        <w:rPr>
          <w:rtl/>
        </w:rPr>
        <w:t xml:space="preserve">עודף העלות - הפער בין ההון של החברה הנרכשת בעת הרכישה על פי דוחותיה הכספיים ובין התשלום עבור הרכישה. על החברה הרוכשת לייחס את עלות הרכישה לנכסים ולהתחייבויות מוחשיים ולא מוחשיים של החברה הנרכשת, מאחר שלא לכל הנכסים הכלכליים של חברה נרכשת יש ביטוי חשבונאי. גם אם קיים ביטוי חשבונאי לנכסים מסוימים, נכסים אלו אינם מבוטאים בהכרח לפי </w:t>
      </w:r>
      <w:r w:rsidRPr="002D327E">
        <w:rPr>
          <w:rtl/>
        </w:rPr>
        <w:t>שוויים</w:t>
      </w:r>
      <w:r w:rsidRPr="002D327E">
        <w:rPr>
          <w:rtl/>
        </w:rPr>
        <w:t xml:space="preserve"> ההוגן. הפער בין ההון העצמי הנרכש לפי ערכו הפנקסני בספרי החברה לבין עלות הרכישה מיוחס לנכסים הלא מוחשיים, והיתרה מיוחסת למוניטין.</w:t>
      </w:r>
    </w:p>
  </w:footnote>
  <w:footnote w:id="61">
    <w:p w:rsidR="00C149B0" w:rsidRPr="003A6069" w:rsidP="003A6069" w14:paraId="703A6DCD" w14:textId="77777777">
      <w:pPr>
        <w:pStyle w:val="733"/>
        <w:rPr>
          <w:rtl/>
        </w:rPr>
      </w:pPr>
      <w:r w:rsidRPr="003A6069">
        <w:rPr>
          <w:rStyle w:val="FootnoteReference0"/>
          <w:vertAlign w:val="baseline"/>
        </w:rPr>
        <w:footnoteRef/>
      </w:r>
      <w:r w:rsidRPr="003A6069">
        <w:rPr>
          <w:rtl/>
        </w:rPr>
        <w:t xml:space="preserve"> </w:t>
      </w:r>
      <w:r w:rsidRPr="003A6069">
        <w:rPr>
          <w:rtl/>
        </w:rPr>
        <w:tab/>
        <w:t>חברת מגל</w:t>
      </w:r>
      <w:r w:rsidRPr="003A6069">
        <w:rPr>
          <w:rFonts w:hint="cs"/>
          <w:rtl/>
        </w:rPr>
        <w:t xml:space="preserve"> מערכות ביטחון בע"מ (מגל)</w:t>
      </w:r>
      <w:r w:rsidRPr="003A6069">
        <w:rPr>
          <w:rtl/>
        </w:rPr>
        <w:t xml:space="preserve"> וחברת</w:t>
      </w:r>
      <w:r w:rsidRPr="003A6069">
        <w:rPr>
          <w:rFonts w:hint="cs"/>
          <w:rtl/>
        </w:rPr>
        <w:t xml:space="preserve"> </w:t>
      </w:r>
      <w:r w:rsidRPr="003A6069">
        <w:rPr>
          <w:rFonts w:hint="cs"/>
          <w:rtl/>
        </w:rPr>
        <w:t>אי.אס.סי</w:t>
      </w:r>
      <w:r w:rsidRPr="003A6069">
        <w:rPr>
          <w:rFonts w:hint="cs"/>
          <w:rtl/>
        </w:rPr>
        <w:t>.</w:t>
      </w:r>
      <w:r w:rsidRPr="003A6069">
        <w:rPr>
          <w:rtl/>
        </w:rPr>
        <w:t xml:space="preserve"> באז</w:t>
      </w:r>
      <w:r w:rsidRPr="003A6069">
        <w:rPr>
          <w:rFonts w:hint="cs"/>
          <w:rtl/>
        </w:rPr>
        <w:t xml:space="preserve"> בע"מ</w:t>
      </w:r>
      <w:r w:rsidRPr="003A6069">
        <w:rPr>
          <w:rtl/>
        </w:rPr>
        <w:t xml:space="preserve">, </w:t>
      </w:r>
      <w:r w:rsidRPr="003A6069">
        <w:rPr>
          <w:rFonts w:hint="cs"/>
          <w:rtl/>
        </w:rPr>
        <w:t xml:space="preserve">שהיא </w:t>
      </w:r>
      <w:r w:rsidRPr="003A6069">
        <w:rPr>
          <w:rtl/>
        </w:rPr>
        <w:t>חבר</w:t>
      </w:r>
      <w:r w:rsidRPr="003A6069">
        <w:rPr>
          <w:rFonts w:hint="cs"/>
          <w:rtl/>
        </w:rPr>
        <w:t>ה</w:t>
      </w:r>
      <w:r w:rsidRPr="003A6069">
        <w:rPr>
          <w:rtl/>
        </w:rPr>
        <w:t xml:space="preserve"> בת של </w:t>
      </w:r>
      <w:r w:rsidRPr="003A6069">
        <w:rPr>
          <w:rFonts w:hint="cs"/>
          <w:rtl/>
        </w:rPr>
        <w:t xml:space="preserve">חברת </w:t>
      </w:r>
      <w:r w:rsidRPr="003A6069">
        <w:rPr>
          <w:rtl/>
        </w:rPr>
        <w:t>מגל</w:t>
      </w:r>
      <w:r w:rsidRPr="003A6069">
        <w:rPr>
          <w:rFonts w:hint="cs"/>
          <w:rtl/>
        </w:rPr>
        <w:t>.</w:t>
      </w:r>
    </w:p>
  </w:footnote>
  <w:footnote w:id="62">
    <w:p w:rsidR="00C149B0" w:rsidP="003A6069" w14:paraId="0C933C40" w14:textId="1AE9FB57">
      <w:pPr>
        <w:pStyle w:val="733"/>
        <w:rPr>
          <w:rtl/>
        </w:rPr>
      </w:pPr>
      <w:r w:rsidRPr="003A6069">
        <w:rPr>
          <w:rStyle w:val="FootnoteReference0"/>
          <w:vertAlign w:val="baseline"/>
        </w:rPr>
        <w:footnoteRef/>
      </w:r>
      <w:r w:rsidRPr="003A6069">
        <w:rPr>
          <w:rtl/>
        </w:rPr>
        <w:t xml:space="preserve"> </w:t>
      </w:r>
      <w:r w:rsidRPr="003A6069">
        <w:rPr>
          <w:rtl/>
        </w:rPr>
        <w:tab/>
      </w:r>
      <w:r w:rsidRPr="003A6069">
        <w:rPr>
          <w:rFonts w:hint="cs"/>
          <w:rtl/>
        </w:rPr>
        <w:t xml:space="preserve">חברת </w:t>
      </w:r>
      <w:r w:rsidRPr="003A6069">
        <w:rPr>
          <w:rFonts w:hint="cs"/>
        </w:rPr>
        <w:t>PINE</w:t>
      </w:r>
      <w:r w:rsidRPr="003A6069">
        <w:t xml:space="preserve"> </w:t>
      </w:r>
      <w:r w:rsidRPr="003A6069">
        <w:rPr>
          <w:rFonts w:hint="cs"/>
        </w:rPr>
        <w:t>TEL</w:t>
      </w:r>
      <w:r w:rsidRPr="003A6069">
        <w:t>E</w:t>
      </w:r>
      <w:r w:rsidRPr="003A6069">
        <w:rPr>
          <w:rFonts w:hint="cs"/>
        </w:rPr>
        <w:t>COM</w:t>
      </w:r>
      <w:r w:rsidRPr="003A6069">
        <w:t xml:space="preserve"> CO. LTD</w:t>
      </w:r>
      <w:r w:rsidRPr="003A6069">
        <w:rPr>
          <w:rFonts w:hint="cs"/>
          <w:rtl/>
        </w:rPr>
        <w:t>, חברה בת של רפאל בדרום קוריאה, שהוחזקה בשיעור של 49% החל משנת 2013, ובעקבות שינויים בהון השתנה שיעור ההחזקה בה בשנת 2020 ל-100</w:t>
      </w:r>
      <w:r w:rsidRPr="0061399F">
        <w:rPr>
          <w:rFonts w:hint="cs"/>
          <w:rtl/>
        </w:rPr>
        <w:t xml:space="preserve">%. </w:t>
      </w:r>
      <w:r w:rsidRPr="005A07BF">
        <w:rPr>
          <w:rFonts w:hint="cs"/>
          <w:rtl/>
        </w:rPr>
        <w:t>עם הפסקת הפעילות רשמה רפאל</w:t>
      </w:r>
      <w:r>
        <w:rPr>
          <w:rFonts w:hint="cs"/>
          <w:rtl/>
        </w:rPr>
        <w:t xml:space="preserve"> רווחי אקוויטי בסך 194,000 ש"ח. </w:t>
      </w:r>
    </w:p>
  </w:footnote>
  <w:footnote w:id="63">
    <w:p w:rsidR="00C149B0" w:rsidRPr="003A6069" w:rsidP="003A6069" w14:paraId="077B1096" w14:textId="77777777">
      <w:pPr>
        <w:pStyle w:val="7314"/>
        <w:rPr>
          <w:rtl/>
        </w:rPr>
      </w:pPr>
      <w:r w:rsidRPr="003A6069">
        <w:rPr>
          <w:rStyle w:val="FootnoteReference0"/>
          <w:vertAlign w:val="baseline"/>
        </w:rPr>
        <w:footnoteRef/>
      </w:r>
      <w:r w:rsidRPr="003A6069">
        <w:rPr>
          <w:rtl/>
        </w:rPr>
        <w:t xml:space="preserve"> </w:t>
      </w:r>
      <w:r w:rsidRPr="003A6069">
        <w:rPr>
          <w:rtl/>
        </w:rPr>
        <w:tab/>
      </w:r>
      <w:r w:rsidRPr="003A6069">
        <w:rPr>
          <w:rFonts w:hint="cs"/>
          <w:rtl/>
        </w:rPr>
        <w:t xml:space="preserve">בינואר 2012 רפאל רכשה 50% ממניות </w:t>
      </w:r>
      <w:r w:rsidRPr="003A6069">
        <w:rPr>
          <w:rFonts w:hint="cs"/>
          <w:rtl/>
        </w:rPr>
        <w:t>קונטרופ</w:t>
      </w:r>
      <w:r w:rsidRPr="003A6069">
        <w:rPr>
          <w:rFonts w:hint="cs"/>
          <w:rtl/>
        </w:rPr>
        <w:t xml:space="preserve">. חברת </w:t>
      </w:r>
      <w:r w:rsidRPr="003A6069">
        <w:rPr>
          <w:rFonts w:hint="cs"/>
          <w:rtl/>
        </w:rPr>
        <w:t>אירונאוטיקס</w:t>
      </w:r>
      <w:r w:rsidRPr="003A6069">
        <w:rPr>
          <w:rFonts w:hint="cs"/>
          <w:rtl/>
        </w:rPr>
        <w:t xml:space="preserve"> מחזיקה ב-50% המניות הנותרות.</w:t>
      </w:r>
    </w:p>
  </w:footnote>
  <w:footnote w:id="64">
    <w:p w:rsidR="00C149B0" w:rsidRPr="003A6069" w:rsidP="003A6069" w14:paraId="1737F9DA" w14:textId="77777777">
      <w:pPr>
        <w:pStyle w:val="7314"/>
        <w:rPr>
          <w:rtl/>
        </w:rPr>
      </w:pPr>
      <w:r w:rsidRPr="003A6069">
        <w:rPr>
          <w:rStyle w:val="FootnoteReference0"/>
          <w:vertAlign w:val="baseline"/>
        </w:rPr>
        <w:footnoteRef/>
      </w:r>
      <w:r w:rsidRPr="003A6069">
        <w:rPr>
          <w:rtl/>
        </w:rPr>
        <w:t xml:space="preserve"> </w:t>
      </w:r>
      <w:r w:rsidRPr="003A6069">
        <w:rPr>
          <w:rtl/>
        </w:rPr>
        <w:tab/>
      </w:r>
      <w:r w:rsidRPr="003A6069">
        <w:rPr>
          <w:rFonts w:hint="cs"/>
          <w:rtl/>
        </w:rPr>
        <w:t>לאחר הפחתת עודפי עלות, והפסד ממימוש השקעות.</w:t>
      </w:r>
    </w:p>
  </w:footnote>
  <w:footnote w:id="65">
    <w:p w:rsidR="00C149B0" w:rsidRPr="003A6069" w:rsidP="003A6069" w14:paraId="5978CBE1" w14:textId="77777777">
      <w:pPr>
        <w:pStyle w:val="7314"/>
        <w:rPr>
          <w:rtl/>
        </w:rPr>
      </w:pPr>
      <w:r w:rsidRPr="003A6069">
        <w:rPr>
          <w:rStyle w:val="FootnoteReference0"/>
          <w:vertAlign w:val="baseline"/>
        </w:rPr>
        <w:footnoteRef/>
      </w:r>
      <w:r w:rsidRPr="003A6069">
        <w:rPr>
          <w:rtl/>
        </w:rPr>
        <w:t xml:space="preserve"> </w:t>
      </w:r>
      <w:r w:rsidRPr="003A6069">
        <w:rPr>
          <w:rtl/>
        </w:rPr>
        <w:tab/>
      </w:r>
      <w:r w:rsidRPr="003A6069">
        <w:rPr>
          <w:rFonts w:hint="cs"/>
          <w:rtl/>
        </w:rPr>
        <w:t xml:space="preserve">דיבידנד בסך 0.15 מיליון ש"ח מחברת </w:t>
      </w:r>
      <w:r w:rsidRPr="003A6069">
        <w:rPr>
          <w:rFonts w:hint="cs"/>
          <w:rtl/>
        </w:rPr>
        <w:t>שילת</w:t>
      </w:r>
      <w:r w:rsidRPr="003A6069">
        <w:rPr>
          <w:rFonts w:hint="cs"/>
          <w:rtl/>
        </w:rPr>
        <w:t xml:space="preserve"> </w:t>
      </w:r>
      <w:r w:rsidRPr="003A6069">
        <w:rPr>
          <w:rFonts w:hint="cs"/>
          <w:rtl/>
        </w:rPr>
        <w:t>אופטרוניקה</w:t>
      </w:r>
      <w:r w:rsidRPr="003A6069">
        <w:rPr>
          <w:rFonts w:hint="cs"/>
          <w:rtl/>
        </w:rPr>
        <w:t xml:space="preserve"> בע"מ ו-0.2 מיליון ש"ח מחברת </w:t>
      </w:r>
      <w:r w:rsidRPr="003A6069">
        <w:rPr>
          <w:rFonts w:hint="cs"/>
          <w:rtl/>
        </w:rPr>
        <w:t>סיאלו</w:t>
      </w:r>
      <w:r w:rsidRPr="003A6069">
        <w:rPr>
          <w:rFonts w:hint="cs"/>
          <w:rtl/>
        </w:rPr>
        <w:t xml:space="preserve"> טכנולוגיות מתקדמות בע"מ.</w:t>
      </w:r>
    </w:p>
  </w:footnote>
  <w:footnote w:id="66">
    <w:p w:rsidR="00C149B0" w:rsidRPr="003A6069" w:rsidP="003A6069" w14:paraId="0A324C9C" w14:textId="77777777">
      <w:pPr>
        <w:pStyle w:val="7314"/>
      </w:pPr>
      <w:r w:rsidRPr="003A6069">
        <w:rPr>
          <w:rStyle w:val="FootnoteReference0"/>
          <w:vertAlign w:val="baseline"/>
        </w:rPr>
        <w:footnoteRef/>
      </w:r>
      <w:r w:rsidRPr="003A6069">
        <w:rPr>
          <w:rtl/>
        </w:rPr>
        <w:t xml:space="preserve"> </w:t>
      </w:r>
      <w:r w:rsidRPr="003A6069">
        <w:rPr>
          <w:rtl/>
        </w:rPr>
        <w:tab/>
      </w:r>
      <w:r w:rsidRPr="003A6069">
        <w:rPr>
          <w:rFonts w:hint="cs"/>
          <w:rtl/>
        </w:rPr>
        <w:t>חלוקת רווחים משותפות התקני מצב מוצק - המ"מ. שותפות זו הפכה לחברה בע"מ ב-1.1.22, וערב השינוי חולקו הרווחים האמורים.</w:t>
      </w:r>
    </w:p>
  </w:footnote>
  <w:footnote w:id="67">
    <w:p w:rsidR="00C149B0" w:rsidP="003A6069" w14:paraId="46B1B64B" w14:textId="77777777">
      <w:pPr>
        <w:pStyle w:val="7314"/>
        <w:rPr>
          <w:rtl/>
        </w:rPr>
      </w:pPr>
      <w:r w:rsidRPr="003A6069">
        <w:rPr>
          <w:rStyle w:val="FootnoteReference0"/>
          <w:vertAlign w:val="baseline"/>
        </w:rPr>
        <w:footnoteRef/>
      </w:r>
      <w:r w:rsidRPr="003A6069">
        <w:rPr>
          <w:rtl/>
        </w:rPr>
        <w:t xml:space="preserve"> </w:t>
      </w:r>
      <w:r w:rsidRPr="003A6069">
        <w:rPr>
          <w:rtl/>
        </w:rPr>
        <w:tab/>
      </w:r>
      <w:r w:rsidRPr="003A6069">
        <w:rPr>
          <w:rFonts w:hint="cs"/>
          <w:rtl/>
        </w:rPr>
        <w:t>החברות</w:t>
      </w:r>
      <w:r>
        <w:rPr>
          <w:rFonts w:hint="cs"/>
          <w:rtl/>
        </w:rPr>
        <w:t xml:space="preserve"> המוחזקות על פי דוחות רפאל (סולו).</w:t>
      </w:r>
    </w:p>
  </w:footnote>
  <w:footnote w:id="68">
    <w:p w:rsidR="00C149B0" w:rsidP="003A6069" w14:paraId="2AAB28E0" w14:textId="77777777">
      <w:pPr>
        <w:pStyle w:val="7314"/>
        <w:rPr>
          <w:rtl/>
        </w:rPr>
      </w:pPr>
      <w:r w:rsidRPr="003A6069">
        <w:footnoteRef/>
      </w:r>
      <w:r w:rsidRPr="003A6069">
        <w:rPr>
          <w:rtl/>
        </w:rPr>
        <w:t xml:space="preserve"> </w:t>
      </w:r>
      <w:r>
        <w:rPr>
          <w:rtl/>
        </w:rPr>
        <w:tab/>
        <w:t>הפחתת עודפי עלות, מוניטין ונכסים בלתי מוחשיים.</w:t>
      </w:r>
    </w:p>
  </w:footnote>
  <w:footnote w:id="69">
    <w:p w:rsidR="00C149B0" w:rsidRPr="003A6069" w:rsidP="003A6069" w14:paraId="034BD3C0" w14:textId="77777777">
      <w:pPr>
        <w:pStyle w:val="733"/>
        <w:rPr>
          <w:rtl/>
        </w:rPr>
      </w:pPr>
      <w:r w:rsidRPr="003A6069">
        <w:rPr>
          <w:rStyle w:val="FootnoteReference0"/>
          <w:vertAlign w:val="baseline"/>
        </w:rPr>
        <w:footnoteRef/>
      </w:r>
      <w:r w:rsidRPr="003A6069">
        <w:rPr>
          <w:rtl/>
        </w:rPr>
        <w:t xml:space="preserve"> </w:t>
      </w:r>
      <w:r w:rsidRPr="003A6069">
        <w:rPr>
          <w:rtl/>
        </w:rPr>
        <w:tab/>
        <w:t xml:space="preserve">שווי מוניטין - ערך שיורי </w:t>
      </w:r>
      <w:r w:rsidRPr="003A6069">
        <w:rPr>
          <w:rFonts w:hint="cs"/>
          <w:rtl/>
        </w:rPr>
        <w:t>הנקבע לפי</w:t>
      </w:r>
      <w:r w:rsidRPr="003A6069">
        <w:rPr>
          <w:rtl/>
        </w:rPr>
        <w:t xml:space="preserve"> ההפרש בין עלות צירוף העסקים ובין השווי ההוגן של הנכסים המוחשיים נטו והנכסים הבלתי מוחשיים.</w:t>
      </w:r>
    </w:p>
  </w:footnote>
  <w:footnote w:id="70">
    <w:p w:rsidR="00C149B0" w:rsidRPr="003A6069" w:rsidP="003A6069" w14:paraId="0F070CF9" w14:textId="5479CEB5">
      <w:pPr>
        <w:pStyle w:val="733"/>
        <w:rPr>
          <w:rtl/>
        </w:rPr>
      </w:pPr>
      <w:r w:rsidRPr="003A6069">
        <w:rPr>
          <w:rStyle w:val="FootnoteReference0"/>
          <w:vertAlign w:val="baseline"/>
        </w:rPr>
        <w:footnoteRef/>
      </w:r>
      <w:r w:rsidRPr="003A6069">
        <w:rPr>
          <w:rtl/>
        </w:rPr>
        <w:t xml:space="preserve"> </w:t>
      </w:r>
      <w:r w:rsidRPr="003A6069">
        <w:rPr>
          <w:rtl/>
        </w:rPr>
        <w:tab/>
      </w:r>
      <w:r w:rsidRPr="003A6069">
        <w:rPr>
          <w:rFonts w:hint="cs"/>
          <w:rtl/>
        </w:rPr>
        <w:t xml:space="preserve">ב-30.3.21 חתמה רפאל עם השותף על "נייר עקרונות מוסכמים", ולפיו - בהיעדר הסכמה בדירקטוריון, יהיה ליו"ר </w:t>
      </w:r>
      <w:r w:rsidRPr="003A6069">
        <w:rPr>
          <w:rFonts w:hint="cs"/>
          <w:rtl/>
        </w:rPr>
        <w:t>אירונאוטיקס</w:t>
      </w:r>
      <w:r w:rsidRPr="003A6069">
        <w:rPr>
          <w:rFonts w:hint="cs"/>
          <w:rtl/>
        </w:rPr>
        <w:t xml:space="preserve"> (שהוא מנכ"ל רפאל במועד סיום הביקורת) קול נוסף להצבעה, זאת בכפוף למגבלות מסוימות שנקבעו. צוין כי הזכות לקול נוסף תהיה צמודה למנכ"ל הנוכחי של רפאל, ואם יפסיק לשמש בתפקיד המנכ"ל או בתפקיד יו"ר </w:t>
      </w:r>
      <w:r w:rsidRPr="003A6069">
        <w:rPr>
          <w:rFonts w:hint="cs"/>
          <w:rtl/>
        </w:rPr>
        <w:t>אירונאוטיקס</w:t>
      </w:r>
      <w:r w:rsidRPr="003A6069">
        <w:rPr>
          <w:rFonts w:hint="cs"/>
          <w:rtl/>
        </w:rPr>
        <w:t xml:space="preserve"> - הזכות תתבטל אוטומטית בתוך שלושה חודשים. </w:t>
      </w:r>
    </w:p>
  </w:footnote>
  <w:footnote w:id="71">
    <w:p w:rsidR="00C149B0" w:rsidP="003A6069" w14:paraId="1C8963FC" w14:textId="77777777">
      <w:pPr>
        <w:pStyle w:val="733"/>
      </w:pPr>
      <w:r w:rsidRPr="003A6069">
        <w:rPr>
          <w:rStyle w:val="FootnoteReference0"/>
          <w:vertAlign w:val="baseline"/>
        </w:rPr>
        <w:footnoteRef/>
      </w:r>
      <w:r w:rsidRPr="003A6069">
        <w:rPr>
          <w:rtl/>
        </w:rPr>
        <w:t xml:space="preserve"> </w:t>
      </w:r>
      <w:r w:rsidRPr="003A6069">
        <w:rPr>
          <w:rtl/>
        </w:rPr>
        <w:tab/>
      </w:r>
      <w:r w:rsidRPr="003A6069">
        <w:rPr>
          <w:rFonts w:hint="cs"/>
          <w:rtl/>
        </w:rPr>
        <w:t>בדוחות</w:t>
      </w:r>
      <w:r>
        <w:rPr>
          <w:rFonts w:hint="cs"/>
          <w:rtl/>
        </w:rPr>
        <w:t xml:space="preserve"> המאוחדים</w:t>
      </w:r>
      <w:r w:rsidRPr="00F12BEF">
        <w:rPr>
          <w:rtl/>
        </w:rPr>
        <w:t xml:space="preserve"> מוצגת האופציה בסעיף </w:t>
      </w:r>
      <w:r w:rsidRPr="00F12BEF">
        <w:rPr>
          <w:rFonts w:hint="cs"/>
          <w:rtl/>
        </w:rPr>
        <w:t>"</w:t>
      </w:r>
      <w:r w:rsidRPr="00F12BEF">
        <w:rPr>
          <w:rtl/>
        </w:rPr>
        <w:t>התחייבויות לבעל מנ</w:t>
      </w:r>
      <w:r w:rsidRPr="00F12BEF">
        <w:rPr>
          <w:rFonts w:hint="eastAsia"/>
          <w:rtl/>
        </w:rPr>
        <w:t>יות</w:t>
      </w:r>
      <w:r w:rsidRPr="00F12BEF">
        <w:rPr>
          <w:rtl/>
        </w:rPr>
        <w:t xml:space="preserve"> </w:t>
      </w:r>
      <w:r w:rsidRPr="00F12BEF">
        <w:rPr>
          <w:rFonts w:hint="eastAsia"/>
          <w:rtl/>
        </w:rPr>
        <w:t>בחברה</w:t>
      </w:r>
      <w:r w:rsidRPr="00F12BEF">
        <w:rPr>
          <w:rtl/>
        </w:rPr>
        <w:t xml:space="preserve"> </w:t>
      </w:r>
      <w:r w:rsidRPr="00F12BEF">
        <w:rPr>
          <w:rFonts w:hint="eastAsia"/>
          <w:rtl/>
        </w:rPr>
        <w:t>מאוחדת</w:t>
      </w:r>
      <w:r w:rsidRPr="00F12BEF">
        <w:rPr>
          <w:rFonts w:hint="cs"/>
          <w:rtl/>
        </w:rPr>
        <w:t>"</w:t>
      </w:r>
      <w:r>
        <w:rPr>
          <w:rFonts w:hint="cs"/>
          <w:rtl/>
        </w:rPr>
        <w:t>.</w:t>
      </w:r>
    </w:p>
  </w:footnote>
  <w:footnote w:id="72">
    <w:p w:rsidR="00C149B0" w:rsidRPr="00C40BC8" w:rsidP="00C40BC8" w14:paraId="5DCD7584" w14:textId="77777777">
      <w:pPr>
        <w:pStyle w:val="7314"/>
        <w:rPr>
          <w:rtl/>
        </w:rPr>
      </w:pPr>
      <w:r w:rsidRPr="00C40BC8">
        <w:rPr>
          <w:rStyle w:val="FootnoteReference0"/>
          <w:vertAlign w:val="baseline"/>
        </w:rPr>
        <w:footnoteRef/>
      </w:r>
      <w:r w:rsidRPr="00C40BC8">
        <w:rPr>
          <w:rtl/>
        </w:rPr>
        <w:t xml:space="preserve"> </w:t>
      </w:r>
      <w:r w:rsidRPr="00C40BC8">
        <w:rPr>
          <w:rtl/>
        </w:rPr>
        <w:tab/>
      </w:r>
      <w:r w:rsidRPr="00C40BC8">
        <w:rPr>
          <w:rFonts w:hint="cs"/>
          <w:rtl/>
        </w:rPr>
        <w:t>לפני האיחוד.</w:t>
      </w:r>
    </w:p>
  </w:footnote>
  <w:footnote w:id="73">
    <w:p w:rsidR="00C149B0" w:rsidP="00C40BC8" w14:paraId="2E2220EC" w14:textId="77777777">
      <w:pPr>
        <w:pStyle w:val="7314"/>
        <w:rPr>
          <w:rtl/>
        </w:rPr>
      </w:pPr>
      <w:r w:rsidRPr="00C40BC8">
        <w:rPr>
          <w:rStyle w:val="FootnoteReference0"/>
          <w:vertAlign w:val="baseline"/>
        </w:rPr>
        <w:footnoteRef/>
      </w:r>
      <w:r>
        <w:rPr>
          <w:rtl/>
        </w:rPr>
        <w:t xml:space="preserve"> </w:t>
      </w:r>
      <w:r>
        <w:rPr>
          <w:rtl/>
        </w:rPr>
        <w:tab/>
      </w:r>
      <w:r>
        <w:rPr>
          <w:rFonts w:hint="cs"/>
          <w:rtl/>
        </w:rPr>
        <w:t>בניכוי האופציה וההתחייבות לבעל מניות.</w:t>
      </w:r>
    </w:p>
  </w:footnote>
  <w:footnote w:id="74">
    <w:p w:rsidR="00C149B0" w:rsidRPr="00F634A4" w:rsidP="00F634A4" w14:paraId="6E55BAA6" w14:textId="77777777">
      <w:pPr>
        <w:pStyle w:val="733"/>
        <w:rPr>
          <w:rtl/>
        </w:rPr>
      </w:pPr>
      <w:r w:rsidRPr="00F634A4">
        <w:rPr>
          <w:rStyle w:val="FootnoteReference0"/>
          <w:vertAlign w:val="baseline"/>
        </w:rPr>
        <w:footnoteRef/>
      </w:r>
      <w:r w:rsidRPr="00F634A4">
        <w:rPr>
          <w:rtl/>
        </w:rPr>
        <w:t xml:space="preserve"> </w:t>
      </w:r>
      <w:r w:rsidRPr="00F634A4">
        <w:rPr>
          <w:rtl/>
        </w:rPr>
        <w:tab/>
      </w:r>
      <w:r w:rsidRPr="00F634A4">
        <w:rPr>
          <w:rFonts w:hint="cs"/>
          <w:rtl/>
        </w:rPr>
        <w:t>יתרת ההשקעה נובעת משערוך האופציה וההתחייבות לבעל מניות, מהפסד חשבונאי שנוצר באיחוד ומהשפעת שינוי שע"ח על ההשקעה.</w:t>
      </w:r>
    </w:p>
  </w:footnote>
  <w:footnote w:id="75">
    <w:p w:rsidR="00C149B0" w:rsidRPr="00F634A4" w:rsidP="00F634A4" w14:paraId="69E665FE" w14:textId="77777777">
      <w:pPr>
        <w:pStyle w:val="733"/>
        <w:rPr>
          <w:rtl/>
        </w:rPr>
      </w:pPr>
      <w:r w:rsidRPr="00F634A4">
        <w:rPr>
          <w:rStyle w:val="FootnoteReference0"/>
          <w:vertAlign w:val="baseline"/>
        </w:rPr>
        <w:footnoteRef/>
      </w:r>
      <w:r w:rsidRPr="00F634A4">
        <w:rPr>
          <w:rtl/>
        </w:rPr>
        <w:t xml:space="preserve"> </w:t>
      </w:r>
      <w:r w:rsidRPr="00F634A4">
        <w:rPr>
          <w:rtl/>
        </w:rPr>
        <w:tab/>
      </w:r>
      <w:r w:rsidRPr="00F634A4">
        <w:rPr>
          <w:rFonts w:hint="cs"/>
          <w:rtl/>
        </w:rPr>
        <w:t>במסגרת פרק בנושא מגבלות ופיקוח על פעילות החברה.</w:t>
      </w:r>
    </w:p>
  </w:footnote>
  <w:footnote w:id="76">
    <w:p w:rsidR="00C149B0" w:rsidRPr="00F634A4" w:rsidP="00F634A4" w14:paraId="46E3AC7F" w14:textId="77777777">
      <w:pPr>
        <w:pStyle w:val="733"/>
      </w:pPr>
      <w:r w:rsidRPr="00F634A4">
        <w:rPr>
          <w:rStyle w:val="FootnoteReference0"/>
          <w:vertAlign w:val="baseline"/>
        </w:rPr>
        <w:footnoteRef/>
      </w:r>
      <w:r w:rsidRPr="00F634A4">
        <w:rPr>
          <w:rtl/>
        </w:rPr>
        <w:t xml:space="preserve"> </w:t>
      </w:r>
      <w:r w:rsidRPr="00F634A4">
        <w:rPr>
          <w:rtl/>
        </w:rPr>
        <w:tab/>
      </w:r>
      <w:r w:rsidRPr="00F634A4">
        <w:rPr>
          <w:rFonts w:hint="cs"/>
          <w:rtl/>
        </w:rPr>
        <w:t>נוהל 00.00.00, בתוקף מ-1.5.18.</w:t>
      </w:r>
    </w:p>
  </w:footnote>
  <w:footnote w:id="77">
    <w:p w:rsidR="00C149B0" w:rsidRPr="00F634A4" w:rsidP="00F634A4" w14:paraId="275D5B35" w14:textId="77777777">
      <w:pPr>
        <w:pStyle w:val="733"/>
        <w:rPr>
          <w:rtl/>
        </w:rPr>
      </w:pPr>
      <w:r w:rsidRPr="00F634A4">
        <w:rPr>
          <w:rStyle w:val="FootnoteReference0"/>
          <w:vertAlign w:val="baseline"/>
        </w:rPr>
        <w:footnoteRef/>
      </w:r>
      <w:r w:rsidRPr="00F634A4">
        <w:rPr>
          <w:rtl/>
        </w:rPr>
        <w:t xml:space="preserve"> </w:t>
      </w:r>
      <w:r w:rsidRPr="00F634A4">
        <w:rPr>
          <w:rtl/>
        </w:rPr>
        <w:tab/>
      </w:r>
      <w:r w:rsidRPr="00F634A4">
        <w:t xml:space="preserve"> </w:t>
      </w:r>
      <w:r w:rsidRPr="00F634A4">
        <w:rPr>
          <w:rFonts w:hint="cs"/>
        </w:rPr>
        <w:t>OECD</w:t>
      </w:r>
      <w:r w:rsidRPr="00F634A4">
        <w:rPr>
          <w:rFonts w:hint="cs"/>
          <w:rtl/>
        </w:rPr>
        <w:t>(</w:t>
      </w:r>
      <w:r w:rsidRPr="00F634A4">
        <w:t xml:space="preserve"> (Organization for Economic Co-operation and Development</w:t>
      </w:r>
      <w:r w:rsidRPr="00F634A4">
        <w:rPr>
          <w:rFonts w:hint="cs"/>
          <w:rtl/>
        </w:rPr>
        <w:t>- הארגון לשיתוף פעולה כלכלי ופיתוח - מסגרת בין-לאומית המספקת פלטפורמה מחקרית ומעשית להשוואה בין מדינות. הארגון מפרסם מחקרים והמלצות במגוון נושאים כלכליים וחברתיים ומנסח עקרונות וקווים מנחים כדי לסייע למדינות לגבש מדיניות בנושאים אלה. ישראל חברה בארגון משנת 2010.</w:t>
      </w:r>
    </w:p>
  </w:footnote>
  <w:footnote w:id="78">
    <w:p w:rsidR="00C149B0" w:rsidP="00F634A4" w14:paraId="4380B647" w14:textId="77777777">
      <w:pPr>
        <w:pStyle w:val="733"/>
        <w:rPr>
          <w:rtl/>
        </w:rPr>
      </w:pPr>
      <w:r w:rsidRPr="00F634A4">
        <w:rPr>
          <w:rStyle w:val="FootnoteReference0"/>
          <w:vertAlign w:val="baseline"/>
        </w:rPr>
        <w:footnoteRef/>
      </w:r>
      <w:r w:rsidRPr="00F634A4">
        <w:rPr>
          <w:rtl/>
        </w:rPr>
        <w:t xml:space="preserve"> </w:t>
      </w:r>
      <w:r w:rsidRPr="00F634A4">
        <w:rPr>
          <w:rtl/>
        </w:rPr>
        <w:tab/>
      </w:r>
      <w:r w:rsidRPr="00F634A4">
        <w:t>OECD Guidelines on Corporate Governance of State-Owned Enterprises</w:t>
      </w:r>
      <w:r w:rsidRPr="00F634A4">
        <w:rPr>
          <w:rFonts w:hint="cs"/>
          <w:rtl/>
        </w:rPr>
        <w:t>. באתר משרד האוצר מוצג תרגום של המסמך עבור רשות</w:t>
      </w:r>
      <w:r>
        <w:rPr>
          <w:rFonts w:hint="cs"/>
          <w:rtl/>
        </w:rPr>
        <w:t xml:space="preserve"> החברות מינואר 2017.</w:t>
      </w:r>
    </w:p>
  </w:footnote>
  <w:footnote w:id="79">
    <w:p w:rsidR="00C149B0" w:rsidRPr="00F634A4" w:rsidP="00F634A4" w14:paraId="3BDD9A35" w14:textId="77777777">
      <w:pPr>
        <w:pStyle w:val="733"/>
        <w:rPr>
          <w:rtl/>
        </w:rPr>
      </w:pPr>
      <w:r w:rsidRPr="00F634A4">
        <w:rPr>
          <w:rStyle w:val="FootnoteReference0"/>
          <w:vertAlign w:val="baseline"/>
        </w:rPr>
        <w:footnoteRef/>
      </w:r>
      <w:r w:rsidRPr="00F634A4">
        <w:rPr>
          <w:rtl/>
        </w:rPr>
        <w:t xml:space="preserve"> </w:t>
      </w:r>
      <w:r w:rsidRPr="00F634A4">
        <w:rPr>
          <w:rtl/>
        </w:rPr>
        <w:tab/>
      </w:r>
      <w:r w:rsidRPr="00F634A4">
        <w:rPr>
          <w:rFonts w:hint="cs"/>
          <w:rtl/>
        </w:rPr>
        <w:t>במסמך נכתב כי התפקיד הוא של "ישות הבעלות" שהוגדר כגוף האחראי ליישום זכויות הבעלות על חברות הממשלתיות.</w:t>
      </w:r>
    </w:p>
  </w:footnote>
  <w:footnote w:id="80">
    <w:p w:rsidR="00C149B0" w:rsidRPr="00F634A4" w:rsidP="00F634A4" w14:paraId="3F71C9FB" w14:textId="77777777">
      <w:pPr>
        <w:pStyle w:val="733"/>
      </w:pPr>
      <w:r w:rsidRPr="00F634A4">
        <w:rPr>
          <w:rStyle w:val="FootnoteReference0"/>
          <w:vertAlign w:val="baseline"/>
        </w:rPr>
        <w:footnoteRef/>
      </w:r>
      <w:r w:rsidRPr="00F634A4">
        <w:rPr>
          <w:rtl/>
        </w:rPr>
        <w:t xml:space="preserve"> </w:t>
      </w:r>
      <w:r w:rsidRPr="00F634A4">
        <w:rPr>
          <w:rtl/>
        </w:rPr>
        <w:tab/>
      </w:r>
      <w:r w:rsidRPr="00F634A4">
        <w:rPr>
          <w:rFonts w:hint="cs"/>
          <w:rtl/>
        </w:rPr>
        <w:t xml:space="preserve">במסגרת דוח שנתי כולל </w:t>
      </w:r>
      <w:r w:rsidRPr="00F634A4">
        <w:rPr>
          <w:rtl/>
        </w:rPr>
        <w:t>על החברות הממשלתיות</w:t>
      </w:r>
      <w:r w:rsidRPr="00F634A4">
        <w:rPr>
          <w:rFonts w:hint="cs"/>
          <w:rtl/>
        </w:rPr>
        <w:t xml:space="preserve">, שבו יפורטו בין היתר </w:t>
      </w:r>
      <w:r w:rsidRPr="00F634A4">
        <w:rPr>
          <w:rtl/>
        </w:rPr>
        <w:t>הביצועים הכוללים וההתפתחות של החברות וסיכום המידע הפיננסי</w:t>
      </w:r>
      <w:r w:rsidRPr="00F634A4">
        <w:rPr>
          <w:rFonts w:hint="cs"/>
          <w:rtl/>
        </w:rPr>
        <w:t xml:space="preserve"> בנוגע להן</w:t>
      </w:r>
      <w:r w:rsidRPr="00F634A4">
        <w:rPr>
          <w:rtl/>
        </w:rPr>
        <w:t>.</w:t>
      </w:r>
    </w:p>
  </w:footnote>
  <w:footnote w:id="81">
    <w:p w:rsidR="00C149B0" w:rsidRPr="00F634A4" w:rsidP="00F634A4" w14:paraId="0B5E7D26" w14:textId="77777777">
      <w:pPr>
        <w:pStyle w:val="733"/>
      </w:pPr>
      <w:r w:rsidRPr="00F634A4">
        <w:rPr>
          <w:rStyle w:val="FootnoteReference0"/>
          <w:vertAlign w:val="baseline"/>
        </w:rPr>
        <w:footnoteRef/>
      </w:r>
      <w:r w:rsidRPr="00F634A4">
        <w:rPr>
          <w:rtl/>
        </w:rPr>
        <w:t xml:space="preserve"> </w:t>
      </w:r>
      <w:r w:rsidRPr="00F634A4">
        <w:rPr>
          <w:rtl/>
        </w:rPr>
        <w:tab/>
        <w:t>ב</w:t>
      </w:r>
      <w:r w:rsidRPr="00F634A4">
        <w:rPr>
          <w:rFonts w:hint="cs"/>
          <w:rtl/>
        </w:rPr>
        <w:t>התאם ל</w:t>
      </w:r>
      <w:r w:rsidRPr="00F634A4">
        <w:rPr>
          <w:rtl/>
        </w:rPr>
        <w:t>דוח של רשות החברות</w:t>
      </w:r>
      <w:r w:rsidRPr="00F634A4">
        <w:rPr>
          <w:rFonts w:hint="cs"/>
          <w:rtl/>
        </w:rPr>
        <w:t xml:space="preserve"> מספטמבר 2021 </w:t>
      </w:r>
      <w:r w:rsidRPr="00F634A4">
        <w:rPr>
          <w:rtl/>
        </w:rPr>
        <w:t>על פעילותה בשנת 2020</w:t>
      </w:r>
      <w:r w:rsidRPr="00F634A4">
        <w:rPr>
          <w:rFonts w:hint="cs"/>
          <w:rtl/>
        </w:rPr>
        <w:t>.</w:t>
      </w:r>
    </w:p>
  </w:footnote>
  <w:footnote w:id="82">
    <w:p w:rsidR="00C149B0" w:rsidRPr="00F634A4" w:rsidP="00F634A4" w14:paraId="42F3E1E9" w14:textId="77777777">
      <w:pPr>
        <w:pStyle w:val="733"/>
        <w:rPr>
          <w:rtl/>
        </w:rPr>
      </w:pPr>
      <w:r w:rsidRPr="00F634A4">
        <w:rPr>
          <w:rStyle w:val="FootnoteReference0"/>
          <w:vertAlign w:val="baseline"/>
        </w:rPr>
        <w:footnoteRef/>
      </w:r>
      <w:r w:rsidRPr="00F634A4">
        <w:rPr>
          <w:rtl/>
        </w:rPr>
        <w:t xml:space="preserve"> </w:t>
      </w:r>
      <w:r w:rsidRPr="00F634A4">
        <w:rPr>
          <w:rtl/>
        </w:rPr>
        <w:tab/>
      </w:r>
      <w:r w:rsidRPr="00F634A4">
        <w:rPr>
          <w:rFonts w:hint="cs"/>
          <w:rtl/>
        </w:rPr>
        <w:t>ליו"ר הדירקטוריון, למנכ"ל ולסמנכ"ל הכספים.</w:t>
      </w:r>
    </w:p>
  </w:footnote>
  <w:footnote w:id="83">
    <w:p w:rsidR="00C149B0" w:rsidRPr="00F634A4" w:rsidP="00F634A4" w14:paraId="212E8FF2" w14:textId="77777777">
      <w:pPr>
        <w:pStyle w:val="733"/>
        <w:rPr>
          <w:rtl/>
        </w:rPr>
      </w:pPr>
      <w:r w:rsidRPr="00F634A4">
        <w:rPr>
          <w:rStyle w:val="FootnoteReference0"/>
          <w:vertAlign w:val="baseline"/>
        </w:rPr>
        <w:footnoteRef/>
      </w:r>
      <w:r w:rsidRPr="00F634A4">
        <w:rPr>
          <w:rtl/>
        </w:rPr>
        <w:t xml:space="preserve"> </w:t>
      </w:r>
      <w:r w:rsidRPr="00F634A4">
        <w:rPr>
          <w:rtl/>
        </w:rPr>
        <w:tab/>
      </w:r>
      <w:r w:rsidRPr="00F634A4">
        <w:rPr>
          <w:rFonts w:hint="cs"/>
          <w:rtl/>
        </w:rPr>
        <w:t xml:space="preserve">במכתב ציינה הרשות כי חלק מהחברות אינן עומדות במועד כתיבת המכתב ביעדים שהגדירה להן, וכי היעדים עבורן לא יוחלו באופן </w:t>
      </w:r>
      <w:r w:rsidRPr="00F634A4">
        <w:rPr>
          <w:rFonts w:hint="cs"/>
          <w:rtl/>
        </w:rPr>
        <w:t>מיידי</w:t>
      </w:r>
      <w:r w:rsidRPr="00F634A4">
        <w:rPr>
          <w:rFonts w:hint="cs"/>
          <w:rtl/>
        </w:rPr>
        <w:t xml:space="preserve"> אלא יינתן פרק זמן להתכנסות של עד חמש שנים, זאת בהתאם לנקודת הפתיחה של כל חברה.</w:t>
      </w:r>
    </w:p>
  </w:footnote>
  <w:footnote w:id="84">
    <w:p w:rsidR="00C149B0" w:rsidP="00F634A4" w14:paraId="12550AC3" w14:textId="77777777">
      <w:pPr>
        <w:pStyle w:val="733"/>
        <w:rPr>
          <w:rtl/>
        </w:rPr>
      </w:pPr>
      <w:r w:rsidRPr="00F634A4">
        <w:rPr>
          <w:rStyle w:val="FootnoteReference0"/>
          <w:vertAlign w:val="baseline"/>
        </w:rPr>
        <w:footnoteRef/>
      </w:r>
      <w:r w:rsidRPr="00F634A4">
        <w:rPr>
          <w:rtl/>
        </w:rPr>
        <w:t xml:space="preserve"> </w:t>
      </w:r>
      <w:r>
        <w:rPr>
          <w:rtl/>
        </w:rPr>
        <w:tab/>
      </w:r>
      <w:r>
        <w:rPr>
          <w:rFonts w:hint="cs"/>
          <w:rtl/>
        </w:rPr>
        <w:t>תוך התחשבות בהסכמים וברפורמות פרטניות של החברה.</w:t>
      </w:r>
    </w:p>
  </w:footnote>
  <w:footnote w:id="85">
    <w:p w:rsidR="00C149B0" w:rsidRPr="00C40BC8" w:rsidP="00C40BC8" w14:paraId="638A9821" w14:textId="77777777">
      <w:pPr>
        <w:pStyle w:val="712"/>
      </w:pPr>
      <w:r w:rsidRPr="00C40BC8">
        <w:rPr>
          <w:rStyle w:val="FootnoteReference0"/>
          <w:vertAlign w:val="baseline"/>
        </w:rPr>
        <w:footnoteRef/>
      </w:r>
      <w:r w:rsidRPr="00C40BC8">
        <w:rPr>
          <w:rtl/>
        </w:rPr>
        <w:t xml:space="preserve"> </w:t>
      </w:r>
      <w:r w:rsidRPr="00C40BC8">
        <w:rPr>
          <w:rtl/>
        </w:rPr>
        <w:tab/>
      </w:r>
      <w:r w:rsidRPr="00C40BC8">
        <w:rPr>
          <w:rFonts w:hint="cs"/>
          <w:rtl/>
        </w:rPr>
        <w:t xml:space="preserve">על פי מסמכי רפאל, מדדי הביצוע המרכזיים נקבעו בשנת 2008. </w:t>
      </w:r>
    </w:p>
  </w:footnote>
  <w:footnote w:id="86">
    <w:p w:rsidR="00C149B0" w:rsidP="00C40BC8" w14:paraId="56FB1A28" w14:textId="77777777">
      <w:pPr>
        <w:pStyle w:val="712"/>
        <w:rPr>
          <w:rtl/>
        </w:rPr>
      </w:pPr>
      <w:r w:rsidRPr="00C40BC8">
        <w:rPr>
          <w:rStyle w:val="FootnoteReference0"/>
          <w:vertAlign w:val="baseline"/>
        </w:rPr>
        <w:footnoteRef/>
      </w:r>
      <w:r w:rsidRPr="00C40BC8">
        <w:rPr>
          <w:rtl/>
        </w:rPr>
        <w:t xml:space="preserve"> </w:t>
      </w:r>
      <w:r w:rsidRPr="00C40BC8">
        <w:rPr>
          <w:rtl/>
        </w:rPr>
        <w:tab/>
      </w:r>
      <w:r w:rsidRPr="00C40BC8">
        <w:rPr>
          <w:rFonts w:hint="cs"/>
        </w:rPr>
        <w:t>KPI</w:t>
      </w:r>
      <w:r w:rsidRPr="00C40BC8">
        <w:t>`s</w:t>
      </w:r>
      <w:r w:rsidRPr="00C40BC8">
        <w:rPr>
          <w:rFonts w:hint="cs"/>
          <w:rtl/>
        </w:rPr>
        <w:t xml:space="preserve"> - </w:t>
      </w:r>
      <w:r w:rsidRPr="00C40BC8">
        <w:t>Key Performance Indicators</w:t>
      </w:r>
      <w:r>
        <w:rPr>
          <w:rFonts w:hint="cs"/>
          <w:rtl/>
        </w:rPr>
        <w:t>.</w:t>
      </w:r>
    </w:p>
  </w:footnote>
  <w:footnote w:id="87">
    <w:p w:rsidR="00C149B0" w:rsidRPr="00C40BC8" w:rsidP="00C40BC8" w14:paraId="7A274725" w14:textId="77777777">
      <w:pPr>
        <w:pStyle w:val="733"/>
        <w:rPr>
          <w:rtl/>
        </w:rPr>
      </w:pPr>
      <w:r w:rsidRPr="00C40BC8">
        <w:rPr>
          <w:rStyle w:val="FootnoteReference0"/>
          <w:vertAlign w:val="baseline"/>
        </w:rPr>
        <w:footnoteRef/>
      </w:r>
      <w:r w:rsidRPr="00C40BC8">
        <w:rPr>
          <w:rtl/>
        </w:rPr>
        <w:t xml:space="preserve"> </w:t>
      </w:r>
      <w:r w:rsidRPr="00C40BC8">
        <w:rPr>
          <w:rtl/>
        </w:rPr>
        <w:tab/>
      </w:r>
      <w:r w:rsidRPr="00C40BC8">
        <w:rPr>
          <w:rFonts w:hint="cs"/>
          <w:rtl/>
        </w:rPr>
        <w:t>רווחיות גולמית של 21%, רווחיות תפעולית של 6% ורווחיות נקייה של 6%.</w:t>
      </w:r>
    </w:p>
  </w:footnote>
  <w:footnote w:id="88">
    <w:p w:rsidR="00C149B0" w:rsidRPr="00C40BC8" w:rsidP="00C40BC8" w14:paraId="4FE155BE" w14:textId="77777777">
      <w:pPr>
        <w:pStyle w:val="733"/>
        <w:rPr>
          <w:rtl/>
        </w:rPr>
      </w:pPr>
      <w:r w:rsidRPr="00C40BC8">
        <w:rPr>
          <w:rStyle w:val="FootnoteReference0"/>
          <w:vertAlign w:val="baseline"/>
        </w:rPr>
        <w:footnoteRef/>
      </w:r>
      <w:r w:rsidRPr="00C40BC8">
        <w:rPr>
          <w:rtl/>
        </w:rPr>
        <w:t xml:space="preserve"> </w:t>
      </w:r>
      <w:r w:rsidRPr="00C40BC8">
        <w:rPr>
          <w:rtl/>
        </w:rPr>
        <w:tab/>
      </w:r>
      <w:r w:rsidRPr="00C40BC8">
        <w:rPr>
          <w:rFonts w:hint="cs"/>
          <w:rtl/>
        </w:rPr>
        <w:t>סגן מנהל רשות החברות ונציג רשות החברות בדירקטוריון ברפאל.</w:t>
      </w:r>
    </w:p>
  </w:footnote>
  <w:footnote w:id="89">
    <w:p w:rsidR="00C149B0" w:rsidP="00C40BC8" w14:paraId="12A34B3E" w14:textId="77777777">
      <w:pPr>
        <w:pStyle w:val="733"/>
      </w:pPr>
      <w:r w:rsidRPr="00C40BC8">
        <w:rPr>
          <w:rStyle w:val="FootnoteReference0"/>
          <w:vertAlign w:val="baseline"/>
        </w:rPr>
        <w:footnoteRef/>
      </w:r>
      <w:r w:rsidRPr="00C40BC8">
        <w:rPr>
          <w:rtl/>
        </w:rPr>
        <w:t xml:space="preserve"> </w:t>
      </w:r>
      <w:r w:rsidRPr="00C40BC8">
        <w:rPr>
          <w:rtl/>
        </w:rPr>
        <w:tab/>
      </w:r>
      <w:r w:rsidRPr="00C40BC8">
        <w:rPr>
          <w:rFonts w:hint="cs"/>
          <w:rtl/>
        </w:rPr>
        <w:t xml:space="preserve">מטרת מודל התגמול לשפר את ביצועי החברה על ידי </w:t>
      </w:r>
      <w:r w:rsidRPr="00C40BC8">
        <w:rPr>
          <w:rFonts w:hint="cs"/>
          <w:rtl/>
        </w:rPr>
        <w:t>תיגמול</w:t>
      </w:r>
      <w:r w:rsidRPr="00C40BC8">
        <w:rPr>
          <w:rFonts w:hint="cs"/>
          <w:rtl/>
        </w:rPr>
        <w:t xml:space="preserve"> העובדים הבכירים ויצירת מתאם בין מידת השגת יעדי</w:t>
      </w:r>
      <w:r>
        <w:rPr>
          <w:rFonts w:hint="cs"/>
          <w:rtl/>
        </w:rPr>
        <w:t xml:space="preserve"> החברה לבין תגמולם.</w:t>
      </w:r>
    </w:p>
  </w:footnote>
  <w:footnote w:id="90">
    <w:p w:rsidR="00C149B0" w:rsidP="0006068B" w14:paraId="1D8A4E9C" w14:textId="77777777">
      <w:pPr>
        <w:pStyle w:val="733"/>
      </w:pPr>
      <w:r w:rsidRPr="00C40BC8">
        <w:footnoteRef/>
      </w:r>
      <w:r w:rsidRPr="00C40BC8">
        <w:rPr>
          <w:rtl/>
        </w:rPr>
        <w:t xml:space="preserve"> </w:t>
      </w:r>
      <w:r w:rsidRPr="00C40BC8">
        <w:rPr>
          <w:rtl/>
        </w:rPr>
        <w:tab/>
      </w:r>
      <w:r>
        <w:rPr>
          <w:rFonts w:hint="cs"/>
          <w:rtl/>
        </w:rPr>
        <w:t>רכז תעשיות ביטחוניות דאז.</w:t>
      </w:r>
    </w:p>
  </w:footnote>
  <w:footnote w:id="91">
    <w:p w:rsidR="00C149B0" w:rsidRPr="005817E7" w:rsidP="0006068B" w14:paraId="5DF67C47" w14:textId="77777777">
      <w:pPr>
        <w:pStyle w:val="733"/>
        <w:rPr>
          <w:b/>
          <w:bCs/>
          <w:rtl/>
        </w:rPr>
      </w:pPr>
      <w:r w:rsidRPr="000839FF">
        <w:footnoteRef/>
      </w:r>
      <w:r w:rsidRPr="000839FF">
        <w:rPr>
          <w:rtl/>
        </w:rPr>
        <w:t xml:space="preserve"> </w:t>
      </w:r>
      <w:r>
        <w:rPr>
          <w:rtl/>
        </w:rPr>
        <w:tab/>
      </w:r>
      <w:r>
        <w:rPr>
          <w:rFonts w:hint="cs"/>
          <w:rtl/>
        </w:rPr>
        <w:t xml:space="preserve">ראו גם מבקר המדינה, </w:t>
      </w:r>
      <w:r w:rsidRPr="00DB0F66">
        <w:rPr>
          <w:rFonts w:hint="cs"/>
          <w:b/>
          <w:bCs/>
          <w:rtl/>
        </w:rPr>
        <w:t>דוח מבקר המדינה - מרץ 2022</w:t>
      </w:r>
      <w:r>
        <w:rPr>
          <w:rFonts w:hint="cs"/>
          <w:rtl/>
        </w:rPr>
        <w:t>, "</w:t>
      </w:r>
      <w:r w:rsidRPr="00EA40E5">
        <w:rPr>
          <w:rFonts w:hint="cs"/>
          <w:rtl/>
        </w:rPr>
        <w:t>הדוחות הכספיים של התעשייה האווירית לישראל בע"מ - מצב החברה וסיכוניה</w:t>
      </w:r>
      <w:r>
        <w:rPr>
          <w:rFonts w:hint="cs"/>
          <w:rtl/>
        </w:rPr>
        <w:t>"</w:t>
      </w:r>
      <w:r w:rsidRPr="005817E7">
        <w:rPr>
          <w:rFonts w:hint="cs"/>
          <w:rtl/>
        </w:rPr>
        <w:t>, עמ</w:t>
      </w:r>
      <w:r w:rsidRPr="005817E7">
        <w:rPr>
          <w:rFonts w:hint="cs"/>
          <w:b/>
          <w:bCs/>
          <w:rtl/>
        </w:rPr>
        <w:t xml:space="preserve">' </w:t>
      </w:r>
      <w:r w:rsidRPr="005817E7">
        <w:rPr>
          <w:rFonts w:hint="cs"/>
          <w:rtl/>
        </w:rPr>
        <w:t>1205 - 1305.</w:t>
      </w:r>
    </w:p>
  </w:footnote>
  <w:footnote w:id="92">
    <w:p w:rsidR="00C149B0" w:rsidRPr="000839FF" w:rsidP="000839FF" w14:paraId="540AA62E" w14:textId="77777777">
      <w:pPr>
        <w:pStyle w:val="733"/>
      </w:pPr>
      <w:r w:rsidRPr="000839FF">
        <w:rPr>
          <w:rStyle w:val="FootnoteReference0"/>
          <w:vertAlign w:val="baseline"/>
        </w:rPr>
        <w:footnoteRef/>
      </w:r>
      <w:r w:rsidRPr="000839FF">
        <w:rPr>
          <w:rtl/>
        </w:rPr>
        <w:t xml:space="preserve"> </w:t>
      </w:r>
      <w:r w:rsidRPr="000839FF">
        <w:rPr>
          <w:rStyle w:val="default"/>
          <w:rtl/>
        </w:rPr>
        <w:tab/>
      </w:r>
      <w:r w:rsidRPr="000839FF">
        <w:rPr>
          <w:rtl/>
        </w:rPr>
        <w:t xml:space="preserve">כל נכס </w:t>
      </w:r>
      <w:r w:rsidRPr="000839FF">
        <w:rPr>
          <w:rFonts w:hint="cs"/>
          <w:rtl/>
        </w:rPr>
        <w:t>שנותנת</w:t>
      </w:r>
      <w:r w:rsidRPr="000839FF">
        <w:rPr>
          <w:rtl/>
        </w:rPr>
        <w:t xml:space="preserve"> החברה לבעל מניה מכוח זכותו כבעל מניה, בין במזומן ובין בכל דרך אחרת, לרבות העברה ללא תמורה שוות ערך ולמעט מניות הטבה</w:t>
      </w:r>
      <w:r w:rsidRPr="000839FF">
        <w:rPr>
          <w:rFonts w:hint="cs"/>
          <w:rtl/>
        </w:rPr>
        <w:t>.</w:t>
      </w:r>
      <w:r w:rsidRPr="000839FF">
        <w:rPr>
          <w:rtl/>
        </w:rPr>
        <w:t xml:space="preserve"> </w:t>
      </w:r>
    </w:p>
  </w:footnote>
  <w:footnote w:id="93">
    <w:p w:rsidR="00C149B0" w:rsidRPr="00845697" w:rsidP="000839FF" w14:paraId="37960C40" w14:textId="77777777">
      <w:pPr>
        <w:pStyle w:val="733"/>
        <w:rPr>
          <w:rFonts w:ascii="David" w:hAnsi="David"/>
        </w:rPr>
      </w:pPr>
      <w:r w:rsidRPr="000839FF">
        <w:rPr>
          <w:rStyle w:val="FootnoteReference0"/>
          <w:vertAlign w:val="baseline"/>
        </w:rPr>
        <w:footnoteRef/>
      </w:r>
      <w:r w:rsidRPr="00845697">
        <w:rPr>
          <w:rFonts w:ascii="David" w:hAnsi="David"/>
          <w:rtl/>
        </w:rPr>
        <w:t xml:space="preserve"> </w:t>
      </w:r>
      <w:r w:rsidRPr="00845697">
        <w:rPr>
          <w:rFonts w:ascii="David" w:hAnsi="David"/>
          <w:rtl/>
        </w:rPr>
        <w:tab/>
      </w:r>
      <w:r w:rsidRPr="00C531D0">
        <w:rPr>
          <w:rtl/>
        </w:rPr>
        <w:t>ואולם חברה רשאית לקבוע בתקנונה כי ההחלטה תתקבל באחת מהדרכים האלה: (</w:t>
      </w:r>
      <w:r>
        <w:rPr>
          <w:rFonts w:hint="cs"/>
          <w:rtl/>
        </w:rPr>
        <w:t>א</w:t>
      </w:r>
      <w:r w:rsidRPr="00C531D0">
        <w:rPr>
          <w:rtl/>
        </w:rPr>
        <w:t>) </w:t>
      </w:r>
      <w:r w:rsidRPr="00C531D0">
        <w:rPr>
          <w:rtl/>
        </w:rPr>
        <w:t>באסיפה</w:t>
      </w:r>
      <w:r w:rsidRPr="00C531D0">
        <w:rPr>
          <w:rtl/>
        </w:rPr>
        <w:t xml:space="preserve"> הכללית, לאחר שתובא </w:t>
      </w:r>
      <w:r>
        <w:rPr>
          <w:rFonts w:hint="cs"/>
          <w:rtl/>
        </w:rPr>
        <w:t>ל</w:t>
      </w:r>
      <w:r w:rsidRPr="00C531D0">
        <w:rPr>
          <w:rtl/>
        </w:rPr>
        <w:t xml:space="preserve">פניה המלצת הדירקטוריון; </w:t>
      </w:r>
      <w:r w:rsidRPr="00C531D0">
        <w:rPr>
          <w:rtl/>
        </w:rPr>
        <w:t>האסיפה</w:t>
      </w:r>
      <w:r w:rsidRPr="00C531D0">
        <w:rPr>
          <w:rtl/>
        </w:rPr>
        <w:t xml:space="preserve"> רשאית לקבל את ההמלצה או להקטין את הסכום אך לא להגדילו; (</w:t>
      </w:r>
      <w:r>
        <w:rPr>
          <w:rFonts w:hint="cs"/>
          <w:rtl/>
        </w:rPr>
        <w:t>ב</w:t>
      </w:r>
      <w:r w:rsidRPr="00C531D0">
        <w:rPr>
          <w:rtl/>
        </w:rPr>
        <w:t xml:space="preserve">) בדירקטוריון החברה, לאחר </w:t>
      </w:r>
      <w:r w:rsidRPr="00C531D0">
        <w:rPr>
          <w:rtl/>
        </w:rPr>
        <w:t>שהאסיפה</w:t>
      </w:r>
      <w:r w:rsidRPr="00C531D0">
        <w:rPr>
          <w:rtl/>
        </w:rPr>
        <w:t xml:space="preserve"> קבעה את סכום החלוקה המרבי; (</w:t>
      </w:r>
      <w:r>
        <w:rPr>
          <w:rFonts w:hint="cs"/>
          <w:rtl/>
        </w:rPr>
        <w:t>ג</w:t>
      </w:r>
      <w:r w:rsidRPr="00C531D0">
        <w:rPr>
          <w:rtl/>
        </w:rPr>
        <w:t xml:space="preserve">) בדרך אחרת שנקבעה בתקנון, ובלבד שניתנה הזדמנות נאותה לדירקטוריון לקבוע, </w:t>
      </w:r>
      <w:r>
        <w:rPr>
          <w:rFonts w:hint="cs"/>
          <w:rtl/>
        </w:rPr>
        <w:t>לפני</w:t>
      </w:r>
      <w:r w:rsidRPr="00C531D0">
        <w:rPr>
          <w:rtl/>
        </w:rPr>
        <w:t xml:space="preserve"> </w:t>
      </w:r>
      <w:r>
        <w:rPr>
          <w:rFonts w:hint="cs"/>
          <w:rtl/>
        </w:rPr>
        <w:t>ש</w:t>
      </w:r>
      <w:r w:rsidRPr="00C531D0">
        <w:rPr>
          <w:rtl/>
        </w:rPr>
        <w:t>תבוצע החלוקה, כי החלוקה אינה חלוקה אסורה</w:t>
      </w:r>
      <w:r>
        <w:rPr>
          <w:rFonts w:ascii="David" w:hAnsi="David" w:hint="cs"/>
          <w:rtl/>
        </w:rPr>
        <w:t>.</w:t>
      </w:r>
    </w:p>
  </w:footnote>
  <w:footnote w:id="94">
    <w:p w:rsidR="00C149B0" w:rsidRPr="000839FF" w:rsidP="0006068B" w14:paraId="1260CF6A" w14:textId="77777777">
      <w:pPr>
        <w:pStyle w:val="733"/>
        <w:rPr>
          <w:spacing w:val="-2"/>
          <w:rtl/>
        </w:rPr>
      </w:pPr>
      <w:r w:rsidRPr="000839FF">
        <w:footnoteRef/>
      </w:r>
      <w:r w:rsidRPr="000839FF">
        <w:rPr>
          <w:rtl/>
        </w:rPr>
        <w:t xml:space="preserve"> </w:t>
      </w:r>
      <w:r w:rsidRPr="000839FF">
        <w:rPr>
          <w:rtl/>
        </w:rPr>
        <w:tab/>
      </w:r>
      <w:r w:rsidRPr="000839FF">
        <w:rPr>
          <w:rFonts w:hint="cs"/>
          <w:spacing w:val="-2"/>
          <w:rtl/>
        </w:rPr>
        <w:t>לעניין מבחן הרווח - יתרת עודפים או עודפים שנצברו בשנתיים האחרונות, לפי הגבוה מבין השניים, והכול לפי הדוחות הכספיים המותאמים האחרונים, המבוקרים או הסקורים, שהכינה החברה, תוך הפחתת חלוקות קודמות אם לא הופחתו עדיין מהעודפים, ובלבד שהמועד שלגביו נערכו הדוחות אינו מוקדם ביותר משישה חודשים ממועד החלוקה.</w:t>
      </w:r>
    </w:p>
  </w:footnote>
  <w:footnote w:id="95">
    <w:p w:rsidR="00C149B0" w:rsidRPr="000839FF" w:rsidP="000839FF" w14:paraId="2701D905" w14:textId="77777777">
      <w:pPr>
        <w:pStyle w:val="733"/>
      </w:pPr>
      <w:r w:rsidRPr="000839FF">
        <w:rPr>
          <w:rStyle w:val="FootnoteReference0"/>
          <w:vertAlign w:val="baseline"/>
        </w:rPr>
        <w:footnoteRef/>
      </w:r>
      <w:r w:rsidRPr="000839FF">
        <w:rPr>
          <w:rtl/>
        </w:rPr>
        <w:t xml:space="preserve"> </w:t>
      </w:r>
      <w:r w:rsidRPr="000839FF">
        <w:rPr>
          <w:rtl/>
        </w:rPr>
        <w:tab/>
        <w:t>חלוקה</w:t>
      </w:r>
      <w:r w:rsidRPr="000839FF">
        <w:rPr>
          <w:rFonts w:hint="cs"/>
          <w:rtl/>
        </w:rPr>
        <w:t xml:space="preserve"> </w:t>
      </w:r>
      <w:r w:rsidRPr="000839FF">
        <w:rPr>
          <w:rtl/>
        </w:rPr>
        <w:t xml:space="preserve">- מתן דיבידנד או התחייבות </w:t>
      </w:r>
      <w:r w:rsidRPr="000839FF">
        <w:rPr>
          <w:rtl/>
        </w:rPr>
        <w:t>לתיתו</w:t>
      </w:r>
      <w:r w:rsidRPr="000839FF">
        <w:rPr>
          <w:rtl/>
        </w:rPr>
        <w:t xml:space="preserve">, במישרין או בעקיפין, וכן רכישה; ולעניין זה "רכישה" </w:t>
      </w:r>
      <w:r w:rsidRPr="000839FF">
        <w:rPr>
          <w:rFonts w:hint="cs"/>
          <w:rtl/>
        </w:rPr>
        <w:t>-</w:t>
      </w:r>
      <w:r w:rsidRPr="000839FF">
        <w:rPr>
          <w:rtl/>
        </w:rPr>
        <w:t xml:space="preserve"> רכישה או מתן מימון לרכישה, במישרין או בעקיפין, בידי חברה או בידי חברת בת שלה או בידי תאגיד אחר </w:t>
      </w:r>
      <w:r w:rsidRPr="000839FF">
        <w:rPr>
          <w:rFonts w:hint="cs"/>
          <w:rtl/>
        </w:rPr>
        <w:t>ש</w:t>
      </w:r>
      <w:r w:rsidRPr="000839FF">
        <w:rPr>
          <w:rtl/>
        </w:rPr>
        <w:t>בשליטתה, של מניות החברה או ניירות ערך שניתן להמירם למניות החברה או שניתן לממשם במניות החברה, או פדיון של ניירות ערך שהם חלק מהונה העצמי של החברה בהתאם לסעיף 312(ד), ולרבות התחייבות לעשיית כל אחד מאלה, והכ</w:t>
      </w:r>
      <w:r w:rsidRPr="000839FF">
        <w:rPr>
          <w:rFonts w:hint="cs"/>
          <w:rtl/>
        </w:rPr>
        <w:t>ו</w:t>
      </w:r>
      <w:r w:rsidRPr="000839FF">
        <w:rPr>
          <w:rtl/>
        </w:rPr>
        <w:t>ל ובלבד שהמוכר אינו החברה עצמה או תאגיד אחר בבעלותה המלאה של החברה.</w:t>
      </w:r>
    </w:p>
  </w:footnote>
  <w:footnote w:id="96">
    <w:p w:rsidR="00C149B0" w:rsidRPr="000839FF" w:rsidP="000839FF" w14:paraId="0CEF618C" w14:textId="77777777">
      <w:pPr>
        <w:pStyle w:val="733"/>
      </w:pPr>
      <w:r w:rsidRPr="000839FF">
        <w:rPr>
          <w:rStyle w:val="FootnoteReference0"/>
          <w:vertAlign w:val="baseline"/>
        </w:rPr>
        <w:footnoteRef/>
      </w:r>
      <w:r w:rsidRPr="000839FF">
        <w:rPr>
          <w:rtl/>
        </w:rPr>
        <w:t xml:space="preserve"> </w:t>
      </w:r>
      <w:r w:rsidRPr="000839FF">
        <w:rPr>
          <w:rtl/>
        </w:rPr>
        <w:tab/>
      </w:r>
      <w:r w:rsidRPr="000839FF">
        <w:rPr>
          <w:rFonts w:hint="cs"/>
          <w:rtl/>
        </w:rPr>
        <w:t>למעט חברות לגביהן שר האוצר הוא הגורם המאשר וחברות לגביהן תובא המחלוקת להכרעת השרים (</w:t>
      </w:r>
      <w:r w:rsidRPr="000839FF">
        <w:rPr>
          <w:rtl/>
        </w:rPr>
        <w:t>שר האוצר יחד עם השר שנקבע לפי חוק זה כאחראי לענייני החברה</w:t>
      </w:r>
      <w:r w:rsidRPr="000839FF">
        <w:rPr>
          <w:rFonts w:hint="cs"/>
          <w:rtl/>
        </w:rPr>
        <w:t>).</w:t>
      </w:r>
    </w:p>
  </w:footnote>
  <w:footnote w:id="97">
    <w:p w:rsidR="00C149B0" w:rsidRPr="000839FF" w:rsidP="000839FF" w14:paraId="567DEB56" w14:textId="77777777">
      <w:pPr>
        <w:pStyle w:val="733"/>
      </w:pPr>
      <w:r w:rsidRPr="000839FF">
        <w:rPr>
          <w:rStyle w:val="FootnoteReference0"/>
          <w:vertAlign w:val="baseline"/>
        </w:rPr>
        <w:footnoteRef/>
      </w:r>
      <w:r w:rsidRPr="000839FF">
        <w:rPr>
          <w:rtl/>
        </w:rPr>
        <w:t xml:space="preserve"> </w:t>
      </w:r>
      <w:r w:rsidRPr="000839FF">
        <w:rPr>
          <w:rtl/>
        </w:rPr>
        <w:tab/>
      </w:r>
      <w:r w:rsidRPr="000839FF">
        <w:rPr>
          <w:rFonts w:hint="cs"/>
          <w:rtl/>
        </w:rPr>
        <w:t>חוזר 2018-5-2 מדצמבר 2018. קדמו לחוזר זה חוזר ג85/47-2 מדצמבר 1985 בנושא ייעוד רווחים; וחוזר ג97/1-2 מפברואר 1997 בנושא ייעוד רווחים.</w:t>
      </w:r>
    </w:p>
  </w:footnote>
  <w:footnote w:id="98">
    <w:p w:rsidR="00C149B0" w:rsidRPr="000839FF" w:rsidP="000839FF" w14:paraId="37BA13EA" w14:textId="77777777">
      <w:pPr>
        <w:pStyle w:val="733"/>
        <w:rPr>
          <w:rtl/>
        </w:rPr>
      </w:pPr>
      <w:r w:rsidRPr="000839FF">
        <w:rPr>
          <w:rStyle w:val="FootnoteReference0"/>
          <w:vertAlign w:val="baseline"/>
        </w:rPr>
        <w:footnoteRef/>
      </w:r>
      <w:r w:rsidRPr="000839FF">
        <w:rPr>
          <w:rtl/>
        </w:rPr>
        <w:t xml:space="preserve"> </w:t>
      </w:r>
      <w:r w:rsidRPr="000839FF">
        <w:rPr>
          <w:rtl/>
        </w:rPr>
        <w:tab/>
      </w:r>
      <w:r w:rsidRPr="000839FF">
        <w:rPr>
          <w:rFonts w:hint="cs"/>
          <w:rtl/>
        </w:rPr>
        <w:t xml:space="preserve">חוזרי רשות החברות הם בבחינת הנחיה </w:t>
      </w:r>
      <w:r w:rsidRPr="000839FF">
        <w:rPr>
          <w:rFonts w:hint="cs"/>
          <w:rtl/>
        </w:rPr>
        <w:t>מינהלית</w:t>
      </w:r>
      <w:r w:rsidRPr="000839FF">
        <w:rPr>
          <w:rFonts w:hint="cs"/>
          <w:rtl/>
        </w:rPr>
        <w:t>. בחלק מהחוזרים נכללת הוראה לדירקטוריון החברה ולפיה יש להחיל את הקבוע בהם על החברה, ובחוזרים אחרים נקבע שעל הדירקטוריון לדון בהוראות שבהם ולבחון את האפשרות להחיל את עקרונותיהם על החברה.</w:t>
      </w:r>
    </w:p>
  </w:footnote>
  <w:footnote w:id="99">
    <w:p w:rsidR="00C149B0" w:rsidRPr="000839FF" w:rsidP="000839FF" w14:paraId="789AD165" w14:textId="77777777">
      <w:pPr>
        <w:pStyle w:val="733"/>
        <w:rPr>
          <w:rtl/>
        </w:rPr>
      </w:pPr>
      <w:r w:rsidRPr="000839FF">
        <w:rPr>
          <w:rStyle w:val="FootnoteReference0"/>
          <w:vertAlign w:val="baseline"/>
        </w:rPr>
        <w:footnoteRef/>
      </w:r>
      <w:r w:rsidRPr="000839FF">
        <w:rPr>
          <w:rtl/>
        </w:rPr>
        <w:t xml:space="preserve"> </w:t>
      </w:r>
      <w:r w:rsidRPr="000839FF">
        <w:rPr>
          <w:rtl/>
        </w:rPr>
        <w:tab/>
        <w:t xml:space="preserve">עודפים שנצברו החל מתחילת שנת הדיווח הכספי ועד מועד הדוחות הכספיים המבוקרים או הסקורים האחרונים </w:t>
      </w:r>
      <w:r w:rsidRPr="000839FF">
        <w:rPr>
          <w:rFonts w:hint="cs"/>
          <w:rtl/>
        </w:rPr>
        <w:t>שהכינה</w:t>
      </w:r>
      <w:r w:rsidRPr="000839FF">
        <w:rPr>
          <w:rtl/>
        </w:rPr>
        <w:t xml:space="preserve"> החברה הממשלתית לפי כללי </w:t>
      </w:r>
      <w:r w:rsidRPr="000839FF">
        <w:rPr>
          <w:rFonts w:hint="cs"/>
          <w:rtl/>
        </w:rPr>
        <w:t>ה</w:t>
      </w:r>
      <w:r w:rsidRPr="000839FF">
        <w:rPr>
          <w:rtl/>
        </w:rPr>
        <w:t xml:space="preserve">חשבונאות </w:t>
      </w:r>
      <w:r w:rsidRPr="000839FF">
        <w:rPr>
          <w:rFonts w:hint="cs"/>
          <w:rtl/>
        </w:rPr>
        <w:t>ה</w:t>
      </w:r>
      <w:r w:rsidRPr="000839FF">
        <w:rPr>
          <w:rtl/>
        </w:rPr>
        <w:t xml:space="preserve">מקובלים באותה השנה, </w:t>
      </w:r>
      <w:r w:rsidRPr="000839FF">
        <w:rPr>
          <w:rFonts w:hint="cs"/>
          <w:rtl/>
        </w:rPr>
        <w:t>בהתחשב</w:t>
      </w:r>
      <w:r w:rsidRPr="000839FF">
        <w:rPr>
          <w:rtl/>
        </w:rPr>
        <w:t xml:space="preserve"> בהחלטות חלוקה קודמות באותה התקופה. </w:t>
      </w:r>
    </w:p>
  </w:footnote>
  <w:footnote w:id="100">
    <w:p w:rsidR="00C149B0" w:rsidP="000839FF" w14:paraId="66600447" w14:textId="77777777">
      <w:pPr>
        <w:pStyle w:val="733"/>
        <w:rPr>
          <w:rtl/>
        </w:rPr>
      </w:pPr>
      <w:r w:rsidRPr="000839FF">
        <w:rPr>
          <w:rStyle w:val="FootnoteReference0"/>
          <w:vertAlign w:val="baseline"/>
        </w:rPr>
        <w:footnoteRef/>
      </w:r>
      <w:r w:rsidRPr="000839FF">
        <w:rPr>
          <w:rtl/>
        </w:rPr>
        <w:t xml:space="preserve"> </w:t>
      </w:r>
      <w:r w:rsidRPr="000839FF">
        <w:rPr>
          <w:rtl/>
        </w:rPr>
        <w:tab/>
        <w:t>הסיבה</w:t>
      </w:r>
      <w:r w:rsidRPr="00E563B3">
        <w:rPr>
          <w:rtl/>
        </w:rPr>
        <w:t xml:space="preserve"> לניכוי היא החרגת החברה מהחוק לעידוד השקעות הון, התשי"ט-1959.</w:t>
      </w:r>
    </w:p>
  </w:footnote>
  <w:footnote w:id="101">
    <w:p w:rsidR="00C149B0" w:rsidRPr="000839FF" w:rsidP="000839FF" w14:paraId="0C9109EA" w14:textId="77777777">
      <w:pPr>
        <w:pStyle w:val="733"/>
        <w:rPr>
          <w:rtl/>
        </w:rPr>
      </w:pPr>
      <w:r w:rsidRPr="000839FF">
        <w:rPr>
          <w:rStyle w:val="FootnoteReference0"/>
          <w:vertAlign w:val="baseline"/>
        </w:rPr>
        <w:footnoteRef/>
      </w:r>
      <w:r w:rsidRPr="000839FF">
        <w:rPr>
          <w:rtl/>
        </w:rPr>
        <w:t xml:space="preserve"> </w:t>
      </w:r>
      <w:r w:rsidRPr="000839FF">
        <w:rPr>
          <w:rtl/>
        </w:rPr>
        <w:tab/>
      </w:r>
      <w:r w:rsidRPr="000839FF">
        <w:rPr>
          <w:rFonts w:hint="cs"/>
          <w:rtl/>
        </w:rPr>
        <w:t xml:space="preserve">הסכומים המנוכים צמודים למדד המחירים לצרכן. </w:t>
      </w:r>
    </w:p>
  </w:footnote>
  <w:footnote w:id="102">
    <w:p w:rsidR="00C149B0" w:rsidRPr="000839FF" w:rsidP="000839FF" w14:paraId="3335FB9F" w14:textId="77777777">
      <w:pPr>
        <w:pStyle w:val="733"/>
      </w:pPr>
      <w:r w:rsidRPr="000839FF">
        <w:rPr>
          <w:rStyle w:val="FootnoteReference0"/>
          <w:vertAlign w:val="baseline"/>
        </w:rPr>
        <w:footnoteRef/>
      </w:r>
      <w:r w:rsidRPr="000839FF">
        <w:rPr>
          <w:rtl/>
        </w:rPr>
        <w:t xml:space="preserve"> </w:t>
      </w:r>
      <w:r w:rsidRPr="000839FF">
        <w:rPr>
          <w:rtl/>
        </w:rPr>
        <w:tab/>
      </w:r>
      <w:r w:rsidRPr="000839FF">
        <w:rPr>
          <w:rFonts w:hint="cs"/>
          <w:rtl/>
        </w:rPr>
        <w:t>יתרת העודפים לפי הדוחות הכספיים המבוקרים או הסקורים האחרונים שהכינה החברה הממשלתית לפי כללי חשבונאות מקובלים, למעט רווחים שוטפים. ב-31.12.21 יתרה זו הסתכמה בכ-4.5 מיליארד ש"ח.</w:t>
      </w:r>
    </w:p>
  </w:footnote>
  <w:footnote w:id="103">
    <w:p w:rsidR="00C149B0" w:rsidP="000839FF" w14:paraId="3902E3A5" w14:textId="77777777">
      <w:pPr>
        <w:pStyle w:val="733"/>
        <w:rPr>
          <w:rtl/>
        </w:rPr>
      </w:pPr>
      <w:r w:rsidRPr="000839FF">
        <w:rPr>
          <w:rStyle w:val="FootnoteReference0"/>
          <w:vertAlign w:val="baseline"/>
        </w:rPr>
        <w:footnoteRef/>
      </w:r>
      <w:r w:rsidRPr="000839FF">
        <w:rPr>
          <w:rtl/>
        </w:rPr>
        <w:t xml:space="preserve"> </w:t>
      </w:r>
      <w:r w:rsidRPr="000839FF">
        <w:rPr>
          <w:rtl/>
        </w:rPr>
        <w:tab/>
      </w:r>
      <w:r>
        <w:rPr>
          <w:rFonts w:hint="cs"/>
          <w:rtl/>
        </w:rPr>
        <w:t>חודש אחר כך, באוגוסט 2019, חילקה רפאל דיבידנד מיוחד בסך של 319 מיליון ש"ח (על כך ראו בהמשך).</w:t>
      </w:r>
    </w:p>
  </w:footnote>
  <w:footnote w:id="104">
    <w:p w:rsidR="00C149B0" w:rsidRPr="00F50DDA" w:rsidP="0006068B" w14:paraId="3EE40576" w14:textId="77777777">
      <w:pPr>
        <w:pStyle w:val="733"/>
        <w:rPr>
          <w:rtl/>
        </w:rPr>
      </w:pPr>
      <w:r w:rsidRPr="000839FF">
        <w:footnoteRef/>
      </w:r>
      <w:r w:rsidRPr="000839FF">
        <w:rPr>
          <w:rtl/>
        </w:rPr>
        <w:t xml:space="preserve"> </w:t>
      </w:r>
      <w:r>
        <w:rPr>
          <w:rtl/>
        </w:rPr>
        <w:tab/>
      </w:r>
      <w:r>
        <w:rPr>
          <w:rFonts w:hint="cs"/>
          <w:rtl/>
        </w:rPr>
        <w:t>בדוחות הובא פירוט לגבי</w:t>
      </w:r>
      <w:r w:rsidRPr="00F50DDA">
        <w:rPr>
          <w:rtl/>
        </w:rPr>
        <w:t xml:space="preserve"> הדיבידנד המיוחד</w:t>
      </w:r>
      <w:r>
        <w:rPr>
          <w:rFonts w:hint="cs"/>
          <w:rtl/>
        </w:rPr>
        <w:t xml:space="preserve"> שהוכרז באותה השנה.</w:t>
      </w:r>
    </w:p>
  </w:footnote>
  <w:footnote w:id="105">
    <w:p w:rsidR="00C149B0" w:rsidRPr="000839FF" w:rsidP="000839FF" w14:paraId="4CB25583" w14:textId="77777777">
      <w:pPr>
        <w:pStyle w:val="733"/>
        <w:rPr>
          <w:rtl/>
        </w:rPr>
      </w:pPr>
      <w:r w:rsidRPr="000839FF">
        <w:rPr>
          <w:rStyle w:val="FootnoteReference0"/>
          <w:vertAlign w:val="baseline"/>
        </w:rPr>
        <w:footnoteRef/>
      </w:r>
      <w:r w:rsidRPr="000839FF">
        <w:rPr>
          <w:rtl/>
        </w:rPr>
        <w:t xml:space="preserve"> </w:t>
      </w:r>
      <w:r w:rsidRPr="000839FF">
        <w:rPr>
          <w:rtl/>
        </w:rPr>
        <w:tab/>
      </w:r>
      <w:r w:rsidRPr="000839FF">
        <w:rPr>
          <w:rFonts w:hint="cs"/>
          <w:rtl/>
        </w:rPr>
        <w:t xml:space="preserve">66.5 מיליון ש"ח בגין שנת 2023 ו-75 מיליון ש"ח בגין שנת 2024. אם הרווחיות בשנים אלו תהיה בפועל גבוהה מהתחזיות </w:t>
      </w:r>
      <w:r w:rsidRPr="000839FF">
        <w:rPr>
          <w:rFonts w:hint="cs"/>
          <w:rtl/>
        </w:rPr>
        <w:t>בתר"ש</w:t>
      </w:r>
      <w:r w:rsidRPr="000839FF">
        <w:rPr>
          <w:rFonts w:hint="cs"/>
          <w:rtl/>
        </w:rPr>
        <w:t xml:space="preserve"> של רפאל לשנים 2022 - 2024 ניתן יהיה לקזז את ההפרש, בהתאם לסיכום שנקבע.</w:t>
      </w:r>
    </w:p>
  </w:footnote>
  <w:footnote w:id="106">
    <w:p w:rsidR="00C149B0" w:rsidRPr="000839FF" w:rsidP="000839FF" w14:paraId="70874DAA" w14:textId="77777777">
      <w:pPr>
        <w:pStyle w:val="733"/>
        <w:rPr>
          <w:rtl/>
        </w:rPr>
      </w:pPr>
      <w:r w:rsidRPr="000839FF">
        <w:rPr>
          <w:rStyle w:val="FootnoteReference0"/>
          <w:vertAlign w:val="baseline"/>
        </w:rPr>
        <w:footnoteRef/>
      </w:r>
      <w:r w:rsidRPr="000839FF">
        <w:rPr>
          <w:rtl/>
        </w:rPr>
        <w:t xml:space="preserve"> </w:t>
      </w:r>
      <w:r w:rsidRPr="000839FF">
        <w:rPr>
          <w:rFonts w:hint="cs"/>
          <w:rtl/>
        </w:rPr>
        <w:tab/>
        <w:t>בשנת 2019 הגיעו רפאל ורשות החברות לסיכום ולפיו החברה תשלם דיבידנד מיוחד, אשר בחלקו יקוזז מהדיבידנד השוטף שישולם בשנים הבאות (בנושא זה - ראו בהמשך).</w:t>
      </w:r>
    </w:p>
  </w:footnote>
  <w:footnote w:id="107">
    <w:p w:rsidR="00C149B0" w:rsidRPr="00664D80" w:rsidP="000839FF" w14:paraId="11BB731D" w14:textId="77777777">
      <w:pPr>
        <w:pStyle w:val="733"/>
        <w:rPr>
          <w:rtl/>
        </w:rPr>
      </w:pPr>
      <w:r w:rsidRPr="000839FF">
        <w:rPr>
          <w:rStyle w:val="FootnoteReference0"/>
          <w:vertAlign w:val="baseline"/>
        </w:rPr>
        <w:footnoteRef/>
      </w:r>
      <w:r w:rsidRPr="000839FF">
        <w:rPr>
          <w:rtl/>
        </w:rPr>
        <w:t xml:space="preserve"> </w:t>
      </w:r>
      <w:r w:rsidRPr="000839FF">
        <w:rPr>
          <w:rtl/>
        </w:rPr>
        <w:tab/>
      </w:r>
      <w:r w:rsidRPr="000839FF">
        <w:rPr>
          <w:rFonts w:hint="cs"/>
          <w:rtl/>
        </w:rPr>
        <w:t>בין</w:t>
      </w:r>
      <w:r>
        <w:rPr>
          <w:rFonts w:hint="cs"/>
          <w:rtl/>
        </w:rPr>
        <w:t xml:space="preserve"> היתר עקב תשלום צפוי של 450 מיליון ש"ח בגין מס על רווחים כלואים. </w:t>
      </w:r>
    </w:p>
  </w:footnote>
  <w:footnote w:id="108">
    <w:p w:rsidR="00C149B0" w:rsidP="0006068B" w14:paraId="5F3BD8DB" w14:textId="77777777">
      <w:pPr>
        <w:pStyle w:val="733"/>
      </w:pPr>
      <w:r w:rsidRPr="000839FF">
        <w:footnoteRef/>
      </w:r>
      <w:r w:rsidRPr="000839FF">
        <w:rPr>
          <w:rtl/>
        </w:rPr>
        <w:t xml:space="preserve"> </w:t>
      </w:r>
      <w:r>
        <w:rPr>
          <w:rtl/>
        </w:rPr>
        <w:tab/>
      </w:r>
      <w:r>
        <w:rPr>
          <w:rFonts w:hint="cs"/>
          <w:rtl/>
        </w:rPr>
        <w:t>מרץ 2022.</w:t>
      </w:r>
    </w:p>
  </w:footnote>
  <w:footnote w:id="109">
    <w:p w:rsidR="00C149B0" w:rsidRPr="000839FF" w:rsidP="000839FF" w14:paraId="15FB21AD" w14:textId="77777777">
      <w:pPr>
        <w:pStyle w:val="733"/>
        <w:rPr>
          <w:rtl/>
        </w:rPr>
      </w:pPr>
      <w:r w:rsidRPr="000839FF">
        <w:rPr>
          <w:rStyle w:val="FootnoteReference0"/>
          <w:vertAlign w:val="baseline"/>
        </w:rPr>
        <w:footnoteRef/>
      </w:r>
      <w:r w:rsidRPr="000839FF">
        <w:rPr>
          <w:rtl/>
        </w:rPr>
        <w:t xml:space="preserve"> </w:t>
      </w:r>
      <w:r w:rsidRPr="000839FF">
        <w:rPr>
          <w:rtl/>
        </w:rPr>
        <w:tab/>
      </w:r>
      <w:r w:rsidRPr="000839FF">
        <w:rPr>
          <w:rFonts w:hint="cs"/>
          <w:rtl/>
        </w:rPr>
        <w:t xml:space="preserve">תיאור השתלשלות הדברים לקוח ממכתבו של יו"ר דירקטוריון רפאל למנהל רשות החברות </w:t>
      </w:r>
      <w:r w:rsidRPr="000839FF">
        <w:rPr>
          <w:rtl/>
        </w:rPr>
        <w:br/>
      </w:r>
      <w:r w:rsidRPr="000839FF">
        <w:rPr>
          <w:rFonts w:hint="cs"/>
          <w:rtl/>
        </w:rPr>
        <w:t xml:space="preserve">מ-31.12.18. </w:t>
      </w:r>
    </w:p>
  </w:footnote>
  <w:footnote w:id="110">
    <w:p w:rsidR="00C149B0" w:rsidRPr="000839FF" w:rsidP="000839FF" w14:paraId="5E47B4B3" w14:textId="77777777">
      <w:pPr>
        <w:pStyle w:val="733"/>
        <w:rPr>
          <w:rtl/>
        </w:rPr>
      </w:pPr>
      <w:r w:rsidRPr="000839FF">
        <w:rPr>
          <w:rStyle w:val="FootnoteReference0"/>
          <w:vertAlign w:val="baseline"/>
        </w:rPr>
        <w:footnoteRef/>
      </w:r>
      <w:r w:rsidRPr="000839FF">
        <w:rPr>
          <w:rtl/>
        </w:rPr>
        <w:t xml:space="preserve"> </w:t>
      </w:r>
      <w:r w:rsidRPr="000839FF">
        <w:rPr>
          <w:rtl/>
        </w:rPr>
        <w:tab/>
      </w:r>
      <w:r w:rsidRPr="000839FF">
        <w:rPr>
          <w:rFonts w:hint="cs"/>
          <w:rtl/>
        </w:rPr>
        <w:t>במרץ 2012 הנפיקה רפאל למשקיעים מוסדיים ולגופים נוספים אג"ח בסך של כ-500 מיליון ש"ח, בריבית שנתית בשיעור של 4.7%, לפירעון בחמישה תשלומים שנתיים בשנים 2014 - 2018.</w:t>
      </w:r>
    </w:p>
  </w:footnote>
  <w:footnote w:id="111">
    <w:p w:rsidR="00C149B0" w:rsidRPr="000839FF" w:rsidP="000839FF" w14:paraId="7FEC2279" w14:textId="77777777">
      <w:pPr>
        <w:pStyle w:val="733"/>
        <w:rPr>
          <w:rtl/>
        </w:rPr>
      </w:pPr>
      <w:r w:rsidRPr="000839FF">
        <w:rPr>
          <w:rStyle w:val="FootnoteReference0"/>
          <w:vertAlign w:val="baseline"/>
        </w:rPr>
        <w:footnoteRef/>
      </w:r>
      <w:r w:rsidRPr="000839FF">
        <w:rPr>
          <w:rtl/>
        </w:rPr>
        <w:t xml:space="preserve"> </w:t>
      </w:r>
      <w:r w:rsidRPr="000839FF">
        <w:rPr>
          <w:rtl/>
        </w:rPr>
        <w:tab/>
      </w:r>
      <w:r w:rsidRPr="000839FF">
        <w:rPr>
          <w:rFonts w:hint="cs"/>
          <w:rtl/>
        </w:rPr>
        <w:t xml:space="preserve">החלטת הממשלה </w:t>
      </w:r>
      <w:r w:rsidRPr="000839FF">
        <w:rPr>
          <w:rtl/>
        </w:rPr>
        <w:t xml:space="preserve">373 </w:t>
      </w:r>
      <w:r w:rsidRPr="000839FF">
        <w:rPr>
          <w:rFonts w:hint="cs"/>
          <w:rtl/>
        </w:rPr>
        <w:t>(</w:t>
      </w:r>
      <w:r w:rsidRPr="000839FF">
        <w:rPr>
          <w:rtl/>
        </w:rPr>
        <w:t>5.8.15</w:t>
      </w:r>
      <w:r w:rsidRPr="000839FF">
        <w:rPr>
          <w:rFonts w:hint="cs"/>
          <w:rtl/>
        </w:rPr>
        <w:t>), בהמשך להצעת משרד האוצר במסגרת הצעת תקציב המדינה לשנים 2015 - 2016.</w:t>
      </w:r>
    </w:p>
  </w:footnote>
  <w:footnote w:id="112">
    <w:p w:rsidR="00C149B0" w:rsidRPr="000839FF" w:rsidP="000839FF" w14:paraId="20F367EE" w14:textId="77777777">
      <w:pPr>
        <w:pStyle w:val="733"/>
        <w:rPr>
          <w:rtl/>
        </w:rPr>
      </w:pPr>
      <w:r w:rsidRPr="000839FF">
        <w:rPr>
          <w:rStyle w:val="FootnoteReference0"/>
          <w:vertAlign w:val="baseline"/>
        </w:rPr>
        <w:footnoteRef/>
      </w:r>
      <w:r w:rsidRPr="000839FF">
        <w:rPr>
          <w:rtl/>
        </w:rPr>
        <w:t xml:space="preserve"> </w:t>
      </w:r>
      <w:r w:rsidRPr="000839FF">
        <w:rPr>
          <w:rtl/>
        </w:rPr>
        <w:tab/>
      </w:r>
      <w:r w:rsidRPr="000839FF">
        <w:rPr>
          <w:rFonts w:hint="cs"/>
          <w:rtl/>
        </w:rPr>
        <w:t>מצגת לישיבה של דירקטוריון רפאל בנושא דיבידנד מיוחד שהתקיימה ב-23.7.19.</w:t>
      </w:r>
    </w:p>
  </w:footnote>
  <w:footnote w:id="113">
    <w:p w:rsidR="00C149B0" w:rsidP="000839FF" w14:paraId="34E6E58F" w14:textId="77777777">
      <w:pPr>
        <w:pStyle w:val="733"/>
        <w:rPr>
          <w:rtl/>
        </w:rPr>
      </w:pPr>
      <w:r w:rsidRPr="000839FF">
        <w:rPr>
          <w:rStyle w:val="FootnoteReference0"/>
          <w:vertAlign w:val="baseline"/>
        </w:rPr>
        <w:footnoteRef/>
      </w:r>
      <w:r>
        <w:rPr>
          <w:rtl/>
        </w:rPr>
        <w:t xml:space="preserve"> </w:t>
      </w:r>
      <w:r>
        <w:rPr>
          <w:rtl/>
        </w:rPr>
        <w:tab/>
      </w:r>
      <w:r>
        <w:rPr>
          <w:rFonts w:hint="cs"/>
          <w:rtl/>
        </w:rPr>
        <w:t>החלטת הממש</w:t>
      </w:r>
      <w:r>
        <w:rPr>
          <w:rFonts w:hint="cs"/>
          <w:color w:val="272727"/>
          <w:rtl/>
        </w:rPr>
        <w:t>לה 3404 (11.1.18</w:t>
      </w:r>
      <w:r>
        <w:rPr>
          <w:rFonts w:hint="cs"/>
          <w:rtl/>
        </w:rPr>
        <w:t>).</w:t>
      </w:r>
    </w:p>
  </w:footnote>
  <w:footnote w:id="114">
    <w:p w:rsidR="00C149B0" w:rsidRPr="000839FF" w:rsidP="000839FF" w14:paraId="19017F76" w14:textId="77777777">
      <w:pPr>
        <w:pStyle w:val="733"/>
      </w:pPr>
      <w:r w:rsidRPr="000839FF">
        <w:rPr>
          <w:rStyle w:val="FootnoteReference0"/>
          <w:vertAlign w:val="baseline"/>
        </w:rPr>
        <w:footnoteRef/>
      </w:r>
      <w:r w:rsidRPr="000839FF">
        <w:rPr>
          <w:rtl/>
        </w:rPr>
        <w:t xml:space="preserve"> </w:t>
      </w:r>
      <w:r w:rsidRPr="000839FF">
        <w:rPr>
          <w:rtl/>
        </w:rPr>
        <w:tab/>
      </w:r>
      <w:r w:rsidRPr="000839FF">
        <w:rPr>
          <w:rFonts w:hint="cs"/>
          <w:rtl/>
        </w:rPr>
        <w:t>בין היתר בחנה הרשות את יתרת המזומנים וההשקעות לזמן קצר, את יתרת העודפים, את סך החוב הפיננסי יחסית לסך הנכסים, את ההון החוזר ואת הצפי לרווחים בשנים הקרובות.</w:t>
      </w:r>
    </w:p>
  </w:footnote>
  <w:footnote w:id="115">
    <w:p w:rsidR="00C149B0" w:rsidRPr="000839FF" w:rsidP="000839FF" w14:paraId="6983838B" w14:textId="77777777">
      <w:pPr>
        <w:pStyle w:val="733"/>
      </w:pPr>
      <w:r w:rsidRPr="000839FF">
        <w:rPr>
          <w:rStyle w:val="FootnoteReference0"/>
          <w:vertAlign w:val="baseline"/>
        </w:rPr>
        <w:footnoteRef/>
      </w:r>
      <w:r w:rsidRPr="000839FF">
        <w:rPr>
          <w:rtl/>
        </w:rPr>
        <w:t xml:space="preserve"> </w:t>
      </w:r>
      <w:r w:rsidRPr="000839FF">
        <w:rPr>
          <w:rtl/>
        </w:rPr>
        <w:tab/>
      </w:r>
      <w:r w:rsidRPr="000839FF">
        <w:rPr>
          <w:rFonts w:hint="cs"/>
          <w:rtl/>
        </w:rPr>
        <w:t>כלי העזר, הקרוי "</w:t>
      </w:r>
      <w:r w:rsidRPr="000839FF">
        <w:rPr>
          <w:rFonts w:hint="cs"/>
          <w:rtl/>
        </w:rPr>
        <w:t>דירקטורי</w:t>
      </w:r>
      <w:r w:rsidRPr="000839FF">
        <w:rPr>
          <w:rFonts w:hint="cs"/>
          <w:rtl/>
        </w:rPr>
        <w:t>", נמצא באתר רשות החברות.</w:t>
      </w:r>
    </w:p>
  </w:footnote>
  <w:footnote w:id="116">
    <w:p w:rsidR="00C149B0" w:rsidP="000839FF" w14:paraId="755A55BE" w14:textId="77777777">
      <w:pPr>
        <w:pStyle w:val="733"/>
      </w:pPr>
      <w:r w:rsidRPr="000839FF">
        <w:rPr>
          <w:rStyle w:val="FootnoteReference0"/>
          <w:vertAlign w:val="baseline"/>
        </w:rPr>
        <w:footnoteRef/>
      </w:r>
      <w:r>
        <w:rPr>
          <w:rtl/>
        </w:rPr>
        <w:t xml:space="preserve"> </w:t>
      </w:r>
      <w:r>
        <w:rPr>
          <w:rtl/>
        </w:rPr>
        <w:tab/>
      </w:r>
      <w:r w:rsidRPr="00A57342">
        <w:rPr>
          <w:rFonts w:hint="cs"/>
          <w:rtl/>
        </w:rPr>
        <w:t xml:space="preserve">דוגמת פס"ד </w:t>
      </w:r>
      <w:r w:rsidRPr="00A57342">
        <w:rPr>
          <w:rFonts w:hint="cs"/>
          <w:rtl/>
        </w:rPr>
        <w:t>מלרג</w:t>
      </w:r>
      <w:r w:rsidRPr="00A57342">
        <w:rPr>
          <w:rFonts w:hint="cs"/>
          <w:rtl/>
        </w:rPr>
        <w:t xml:space="preserve">: </w:t>
      </w:r>
      <w:r w:rsidRPr="00A57342">
        <w:rPr>
          <w:rFonts w:hint="cs"/>
          <w:rtl/>
        </w:rPr>
        <w:t>פר"ק</w:t>
      </w:r>
      <w:r w:rsidRPr="00A57342">
        <w:rPr>
          <w:rFonts w:hint="cs"/>
          <w:rtl/>
        </w:rPr>
        <w:t xml:space="preserve"> (מחוזי ת"א) 3421-01-15 </w:t>
      </w:r>
      <w:r w:rsidRPr="00A57342">
        <w:rPr>
          <w:rFonts w:hint="cs"/>
          <w:b/>
          <w:bCs/>
          <w:rtl/>
        </w:rPr>
        <w:t>קליר</w:t>
      </w:r>
      <w:r w:rsidRPr="00A57342">
        <w:rPr>
          <w:rFonts w:hint="cs"/>
          <w:b/>
          <w:bCs/>
          <w:rtl/>
        </w:rPr>
        <w:t xml:space="preserve"> נ' סדן</w:t>
      </w:r>
      <w:r w:rsidRPr="00A57342">
        <w:rPr>
          <w:rFonts w:hint="cs"/>
          <w:rtl/>
        </w:rPr>
        <w:t xml:space="preserve"> (פורסם </w:t>
      </w:r>
      <w:r>
        <w:rPr>
          <w:rFonts w:hint="cs"/>
          <w:rtl/>
        </w:rPr>
        <w:t>במאגר משפטי</w:t>
      </w:r>
      <w:r w:rsidRPr="00A57342">
        <w:rPr>
          <w:rFonts w:hint="cs"/>
          <w:rtl/>
        </w:rPr>
        <w:t>, 17.12.16).</w:t>
      </w:r>
    </w:p>
  </w:footnote>
  <w:footnote w:id="117">
    <w:p w:rsidR="00C149B0" w:rsidP="0006068B" w14:paraId="25984998" w14:textId="77777777">
      <w:pPr>
        <w:pStyle w:val="733"/>
      </w:pPr>
      <w:r w:rsidRPr="000839FF">
        <w:footnoteRef/>
      </w:r>
      <w:r w:rsidRPr="000839FF">
        <w:rPr>
          <w:rtl/>
        </w:rPr>
        <w:t xml:space="preserve"> </w:t>
      </w:r>
      <w:r>
        <w:rPr>
          <w:rtl/>
        </w:rPr>
        <w:tab/>
      </w:r>
      <w:r>
        <w:rPr>
          <w:rFonts w:hint="cs"/>
          <w:rtl/>
        </w:rPr>
        <w:t xml:space="preserve">פס"ד בזק: ע"א 7735/14 </w:t>
      </w:r>
      <w:r w:rsidRPr="00B21338">
        <w:rPr>
          <w:rFonts w:hint="cs"/>
          <w:b/>
          <w:bCs/>
          <w:rtl/>
        </w:rPr>
        <w:t>ורדניקוב</w:t>
      </w:r>
      <w:r w:rsidRPr="00B21338">
        <w:rPr>
          <w:rFonts w:hint="cs"/>
          <w:b/>
          <w:bCs/>
          <w:rtl/>
        </w:rPr>
        <w:t xml:space="preserve"> נ' </w:t>
      </w:r>
      <w:r w:rsidRPr="00B21338">
        <w:rPr>
          <w:rFonts w:hint="cs"/>
          <w:b/>
          <w:bCs/>
          <w:rtl/>
        </w:rPr>
        <w:t>אלוביץ</w:t>
      </w:r>
      <w:r w:rsidRPr="00B21338">
        <w:rPr>
          <w:rFonts w:hint="cs"/>
          <w:b/>
          <w:bCs/>
          <w:rtl/>
        </w:rPr>
        <w:t>'</w:t>
      </w:r>
      <w:r>
        <w:rPr>
          <w:rFonts w:hint="cs"/>
          <w:rtl/>
        </w:rPr>
        <w:t xml:space="preserve"> (פורסם במאגר משפטי, 28.12.16).</w:t>
      </w:r>
    </w:p>
  </w:footnote>
  <w:footnote w:id="118">
    <w:p w:rsidR="00C149B0" w:rsidRPr="000839FF" w:rsidP="000839FF" w14:paraId="5E4C1187" w14:textId="77777777">
      <w:pPr>
        <w:pStyle w:val="733"/>
        <w:rPr>
          <w:rtl/>
        </w:rPr>
      </w:pPr>
      <w:r w:rsidRPr="000839FF">
        <w:rPr>
          <w:rStyle w:val="FootnoteReference0"/>
          <w:vertAlign w:val="baseline"/>
        </w:rPr>
        <w:footnoteRef/>
      </w:r>
      <w:r w:rsidRPr="000839FF">
        <w:rPr>
          <w:rtl/>
        </w:rPr>
        <w:t xml:space="preserve"> </w:t>
      </w:r>
      <w:r w:rsidRPr="000839FF">
        <w:rPr>
          <w:rtl/>
        </w:rPr>
        <w:tab/>
      </w:r>
      <w:r w:rsidRPr="000839FF">
        <w:rPr>
          <w:rFonts w:hint="cs"/>
          <w:rtl/>
        </w:rPr>
        <w:t>בשנת 2015 החליט דירקטוריון רפאל לייעד כמיליארד ש"ח בקירוב להשקעה בחידוש תשתיות; תוכנית שלדברי יו"ר הדירקטוריון הייתה בתהליכי מימוש</w:t>
      </w:r>
      <w:r w:rsidRPr="000839FF">
        <w:rPr>
          <w:rtl/>
        </w:rPr>
        <w:t xml:space="preserve">, </w:t>
      </w:r>
      <w:r w:rsidRPr="000839FF">
        <w:rPr>
          <w:rFonts w:hint="eastAsia"/>
          <w:rtl/>
        </w:rPr>
        <w:t>ובעיקר</w:t>
      </w:r>
      <w:r w:rsidRPr="000839FF">
        <w:rPr>
          <w:rtl/>
        </w:rPr>
        <w:t xml:space="preserve"> </w:t>
      </w:r>
      <w:r w:rsidRPr="000839FF">
        <w:rPr>
          <w:rFonts w:hint="eastAsia"/>
          <w:rtl/>
        </w:rPr>
        <w:t>בשנתיים</w:t>
      </w:r>
      <w:r w:rsidRPr="000839FF">
        <w:rPr>
          <w:rtl/>
        </w:rPr>
        <w:t xml:space="preserve"> </w:t>
      </w:r>
      <w:r w:rsidRPr="000839FF">
        <w:rPr>
          <w:rFonts w:hint="eastAsia"/>
          <w:rtl/>
        </w:rPr>
        <w:t>הבאות</w:t>
      </w:r>
      <w:r w:rsidRPr="000839FF">
        <w:rPr>
          <w:rFonts w:hint="cs"/>
          <w:rtl/>
        </w:rPr>
        <w:t xml:space="preserve">. </w:t>
      </w:r>
    </w:p>
  </w:footnote>
  <w:footnote w:id="119">
    <w:p w:rsidR="00C149B0" w:rsidP="000839FF" w14:paraId="2749428F" w14:textId="77777777">
      <w:pPr>
        <w:pStyle w:val="733"/>
        <w:rPr>
          <w:rtl/>
        </w:rPr>
      </w:pPr>
      <w:r w:rsidRPr="000839FF">
        <w:rPr>
          <w:rStyle w:val="FootnoteReference0"/>
          <w:vertAlign w:val="baseline"/>
        </w:rPr>
        <w:footnoteRef/>
      </w:r>
      <w:r>
        <w:rPr>
          <w:rtl/>
        </w:rPr>
        <w:t xml:space="preserve"> </w:t>
      </w:r>
      <w:r>
        <w:rPr>
          <w:rtl/>
        </w:rPr>
        <w:tab/>
      </w:r>
      <w:r w:rsidRPr="004857BD">
        <w:rPr>
          <w:rtl/>
        </w:rPr>
        <w:t>מכתב של רשות החברות לרפאל מ-22.8.19</w:t>
      </w:r>
      <w:r>
        <w:rPr>
          <w:rFonts w:hint="cs"/>
          <w:rtl/>
        </w:rPr>
        <w:t xml:space="preserve"> בנושא </w:t>
      </w:r>
      <w:r w:rsidRPr="00A074D5">
        <w:rPr>
          <w:rFonts w:ascii="David" w:hAnsi="David"/>
          <w:sz w:val="24"/>
          <w:rtl/>
        </w:rPr>
        <w:t>מדיניות חל</w:t>
      </w:r>
      <w:r>
        <w:rPr>
          <w:rFonts w:ascii="David" w:hAnsi="David" w:hint="cs"/>
          <w:sz w:val="24"/>
          <w:rtl/>
        </w:rPr>
        <w:t>ו</w:t>
      </w:r>
      <w:r w:rsidRPr="00A074D5">
        <w:rPr>
          <w:rFonts w:ascii="David" w:hAnsi="David"/>
          <w:sz w:val="24"/>
          <w:rtl/>
        </w:rPr>
        <w:t>קת הרווחים ברפאל בגין רווחי השנים 20</w:t>
      </w:r>
      <w:r>
        <w:rPr>
          <w:rFonts w:ascii="David" w:hAnsi="David" w:hint="cs"/>
          <w:sz w:val="24"/>
          <w:rtl/>
        </w:rPr>
        <w:t xml:space="preserve">20 </w:t>
      </w:r>
      <w:r w:rsidRPr="00A074D5">
        <w:rPr>
          <w:rFonts w:ascii="David" w:hAnsi="David"/>
          <w:sz w:val="24"/>
          <w:rtl/>
        </w:rPr>
        <w:t>-</w:t>
      </w:r>
      <w:r>
        <w:rPr>
          <w:rFonts w:ascii="David" w:hAnsi="David" w:hint="cs"/>
          <w:sz w:val="24"/>
          <w:rtl/>
        </w:rPr>
        <w:t xml:space="preserve"> </w:t>
      </w:r>
      <w:r w:rsidRPr="00A074D5">
        <w:rPr>
          <w:rFonts w:ascii="David" w:hAnsi="David"/>
          <w:sz w:val="24"/>
          <w:rtl/>
        </w:rPr>
        <w:t>202</w:t>
      </w:r>
      <w:r>
        <w:rPr>
          <w:rFonts w:ascii="David" w:hAnsi="David" w:hint="cs"/>
          <w:sz w:val="24"/>
          <w:rtl/>
        </w:rPr>
        <w:t>5.</w:t>
      </w:r>
    </w:p>
  </w:footnote>
  <w:footnote w:id="120">
    <w:p w:rsidR="00C149B0" w:rsidRPr="000839FF" w:rsidP="000839FF" w14:paraId="408B2B9C" w14:textId="77777777">
      <w:pPr>
        <w:pStyle w:val="733"/>
        <w:rPr>
          <w:rtl/>
        </w:rPr>
      </w:pPr>
      <w:r w:rsidRPr="000839FF">
        <w:rPr>
          <w:rStyle w:val="FootnoteReference0"/>
          <w:vertAlign w:val="baseline"/>
        </w:rPr>
        <w:footnoteRef/>
      </w:r>
      <w:r w:rsidRPr="000839FF">
        <w:rPr>
          <w:rtl/>
        </w:rPr>
        <w:t xml:space="preserve"> </w:t>
      </w:r>
      <w:r w:rsidRPr="000839FF">
        <w:rPr>
          <w:rtl/>
        </w:rPr>
        <w:tab/>
      </w:r>
      <w:r w:rsidRPr="000839FF">
        <w:rPr>
          <w:rFonts w:hint="cs"/>
          <w:rtl/>
        </w:rPr>
        <w:t>בכפוף לכללים שיקבע שר האוצר ולפי הצעת רשות החברות הממשלתיות.</w:t>
      </w:r>
    </w:p>
  </w:footnote>
  <w:footnote w:id="121">
    <w:p w:rsidR="00C149B0" w:rsidRPr="000839FF" w:rsidP="000839FF" w14:paraId="3614DA56" w14:textId="77777777">
      <w:pPr>
        <w:pStyle w:val="733"/>
        <w:rPr>
          <w:rtl/>
        </w:rPr>
      </w:pPr>
      <w:r w:rsidRPr="000839FF">
        <w:rPr>
          <w:rStyle w:val="FootnoteReference0"/>
          <w:vertAlign w:val="baseline"/>
        </w:rPr>
        <w:footnoteRef/>
      </w:r>
      <w:r w:rsidRPr="000839FF">
        <w:rPr>
          <w:rtl/>
        </w:rPr>
        <w:t xml:space="preserve"> </w:t>
      </w:r>
      <w:r w:rsidRPr="000839FF">
        <w:rPr>
          <w:rtl/>
        </w:rPr>
        <w:tab/>
      </w:r>
      <w:r w:rsidRPr="000839FF">
        <w:rPr>
          <w:rFonts w:hint="cs"/>
          <w:rtl/>
        </w:rPr>
        <w:t xml:space="preserve">המנכ"ל, </w:t>
      </w:r>
      <w:r w:rsidRPr="000839FF">
        <w:rPr>
          <w:rFonts w:hint="cs"/>
          <w:rtl/>
        </w:rPr>
        <w:t>סגניו</w:t>
      </w:r>
      <w:r w:rsidRPr="000839FF">
        <w:rPr>
          <w:rFonts w:hint="cs"/>
          <w:rtl/>
        </w:rPr>
        <w:t xml:space="preserve"> והמשנה לו, מנהלי האגפים, מנהל ענייני הכספים, המבקר הפנימי, מזכיר החברה ונושאי תפקידים אחרים שקבעו לעניין זה השרים לאחר התייעצות עם רשות החברות הממשלתיות.</w:t>
      </w:r>
    </w:p>
  </w:footnote>
  <w:footnote w:id="122">
    <w:p w:rsidR="00C149B0" w:rsidRPr="000839FF" w:rsidP="000839FF" w14:paraId="5908E6D7" w14:textId="77777777">
      <w:pPr>
        <w:pStyle w:val="733"/>
        <w:rPr>
          <w:rtl/>
        </w:rPr>
      </w:pPr>
      <w:r w:rsidRPr="000839FF">
        <w:rPr>
          <w:rStyle w:val="FootnoteReference0"/>
          <w:vertAlign w:val="baseline"/>
        </w:rPr>
        <w:footnoteRef/>
      </w:r>
      <w:r w:rsidRPr="000839FF">
        <w:rPr>
          <w:rtl/>
        </w:rPr>
        <w:t xml:space="preserve"> </w:t>
      </w:r>
      <w:r w:rsidRPr="000839FF">
        <w:rPr>
          <w:rtl/>
        </w:rPr>
        <w:tab/>
      </w:r>
      <w:r w:rsidRPr="000839FF">
        <w:rPr>
          <w:rFonts w:hint="cs"/>
          <w:rtl/>
        </w:rPr>
        <w:t>ברפאל - שר הביטחון.</w:t>
      </w:r>
    </w:p>
  </w:footnote>
  <w:footnote w:id="123">
    <w:p w:rsidR="00C149B0" w:rsidRPr="000839FF" w:rsidP="000839FF" w14:paraId="458C9887" w14:textId="77777777">
      <w:pPr>
        <w:pStyle w:val="733"/>
        <w:rPr>
          <w:rtl/>
        </w:rPr>
      </w:pPr>
      <w:r w:rsidRPr="000839FF">
        <w:rPr>
          <w:rStyle w:val="FootnoteReference0"/>
          <w:vertAlign w:val="baseline"/>
        </w:rPr>
        <w:footnoteRef/>
      </w:r>
      <w:r w:rsidRPr="000839FF">
        <w:rPr>
          <w:rtl/>
        </w:rPr>
        <w:t xml:space="preserve"> </w:t>
      </w:r>
      <w:r w:rsidRPr="000839FF">
        <w:rPr>
          <w:rtl/>
        </w:rPr>
        <w:tab/>
      </w:r>
      <w:r w:rsidRPr="000839FF">
        <w:rPr>
          <w:rFonts w:hint="cs"/>
          <w:rtl/>
        </w:rPr>
        <w:t xml:space="preserve">ועדה שממנה שר האוצר לבדיקת כשירותם והתאמתם של מועמדים לכהונת דירקטור, יו"ר דירקטוריון או מנכ"ל בחברה ממשלתית. </w:t>
      </w:r>
    </w:p>
  </w:footnote>
  <w:footnote w:id="124">
    <w:p w:rsidR="00C149B0" w:rsidRPr="00754993" w:rsidP="000839FF" w14:paraId="3DC44564" w14:textId="77777777">
      <w:pPr>
        <w:pStyle w:val="733"/>
      </w:pPr>
      <w:r w:rsidRPr="000839FF">
        <w:rPr>
          <w:rStyle w:val="FootnoteReference0"/>
          <w:vertAlign w:val="baseline"/>
        </w:rPr>
        <w:footnoteRef/>
      </w:r>
      <w:r>
        <w:rPr>
          <w:rtl/>
        </w:rPr>
        <w:t xml:space="preserve"> </w:t>
      </w:r>
      <w:r>
        <w:rPr>
          <w:rtl/>
        </w:rPr>
        <w:tab/>
      </w:r>
      <w:r>
        <w:rPr>
          <w:rFonts w:hint="cs"/>
          <w:rtl/>
        </w:rPr>
        <w:t xml:space="preserve">בנושא זה ראו גם מבקר המדינה, </w:t>
      </w:r>
      <w:r w:rsidRPr="00123CE0">
        <w:rPr>
          <w:rFonts w:hint="cs"/>
          <w:b/>
          <w:bCs/>
          <w:rtl/>
        </w:rPr>
        <w:t xml:space="preserve">דוח מיוחד על מינוי דירקטורים בחברות ממשלתיות </w:t>
      </w:r>
      <w:r w:rsidRPr="00123CE0">
        <w:rPr>
          <w:rFonts w:hint="cs"/>
          <w:rtl/>
        </w:rPr>
        <w:t>(</w:t>
      </w:r>
      <w:r w:rsidRPr="005B70C5">
        <w:rPr>
          <w:rFonts w:hint="cs"/>
          <w:rtl/>
        </w:rPr>
        <w:t>2017), עמ' 43.</w:t>
      </w:r>
    </w:p>
  </w:footnote>
  <w:footnote w:id="125">
    <w:p w:rsidR="00C149B0" w:rsidP="00B431F9" w14:paraId="2DA6D8B5" w14:textId="77777777">
      <w:pPr>
        <w:pStyle w:val="7314"/>
      </w:pPr>
      <w:r w:rsidRPr="00B431F9">
        <w:footnoteRef/>
      </w:r>
      <w:r w:rsidRPr="00B431F9">
        <w:rPr>
          <w:rtl/>
        </w:rPr>
        <w:t xml:space="preserve"> </w:t>
      </w:r>
      <w:r w:rsidRPr="00B431F9">
        <w:rPr>
          <w:rtl/>
        </w:rPr>
        <w:tab/>
      </w:r>
      <w:r w:rsidRPr="005B70C5">
        <w:rPr>
          <w:rFonts w:hint="cs"/>
          <w:rtl/>
        </w:rPr>
        <w:t xml:space="preserve">בנושא זה ראו גם מבקר המדינה, </w:t>
      </w:r>
      <w:r w:rsidRPr="005B70C5">
        <w:rPr>
          <w:rFonts w:hint="cs"/>
          <w:b/>
          <w:bCs/>
          <w:rtl/>
        </w:rPr>
        <w:t xml:space="preserve">דוח מיוחד על מינוי דירקטורים בחברות ממשלתיות </w:t>
      </w:r>
      <w:r w:rsidRPr="005B70C5">
        <w:rPr>
          <w:rFonts w:hint="cs"/>
          <w:rtl/>
        </w:rPr>
        <w:t>(2017), עמ' 16.</w:t>
      </w:r>
    </w:p>
  </w:footnote>
  <w:footnote w:id="126">
    <w:p w:rsidR="00C149B0" w:rsidP="00B431F9" w14:paraId="74D46740" w14:textId="77777777">
      <w:pPr>
        <w:pStyle w:val="7314"/>
        <w:rPr>
          <w:rtl/>
        </w:rPr>
      </w:pPr>
      <w:r w:rsidRPr="00B431F9">
        <w:footnoteRef/>
      </w:r>
      <w:r w:rsidRPr="00B431F9">
        <w:rPr>
          <w:rtl/>
        </w:rPr>
        <w:t xml:space="preserve"> </w:t>
      </w:r>
      <w:r w:rsidRPr="00B431F9">
        <w:rPr>
          <w:rtl/>
        </w:rPr>
        <w:tab/>
      </w:r>
      <w:r>
        <w:rPr>
          <w:rFonts w:hint="cs"/>
          <w:rtl/>
        </w:rPr>
        <w:t>בתקופה הנבדקת (2017 - 2021) התקיימו בישראל ארבע מערכות בחירות: באפריל 2019, בספטמבר 2019, במרץ 2020 ובמרץ 2021.</w:t>
      </w:r>
    </w:p>
  </w:footnote>
  <w:footnote w:id="127">
    <w:p w:rsidR="00C149B0" w:rsidRPr="00B431F9" w:rsidP="00B431F9" w14:paraId="1389F7BE" w14:textId="77777777">
      <w:pPr>
        <w:pStyle w:val="7314"/>
        <w:rPr>
          <w:rtl/>
        </w:rPr>
      </w:pPr>
      <w:r w:rsidRPr="00B431F9">
        <w:rPr>
          <w:rStyle w:val="FootnoteReference0"/>
          <w:vertAlign w:val="baseline"/>
        </w:rPr>
        <w:footnoteRef/>
      </w:r>
      <w:r w:rsidRPr="00B431F9">
        <w:rPr>
          <w:rtl/>
        </w:rPr>
        <w:t xml:space="preserve"> </w:t>
      </w:r>
      <w:r w:rsidRPr="00B431F9">
        <w:rPr>
          <w:rtl/>
        </w:rPr>
        <w:tab/>
      </w:r>
      <w:r w:rsidRPr="00B431F9">
        <w:rPr>
          <w:rFonts w:hint="cs"/>
          <w:rtl/>
        </w:rPr>
        <w:t>על פי חוק החברות תפקידיה של ועדת הביקורת הם, בין היתר, לעמוד על ליקויים בניהול העסקי של החברה ולהציע לדירקטוריון דרכים לתיקונם. על פי נוהל ממשל תאגידי של רפאל בין תפקידיה של הוועדה גם לבחון את מדיניות ניהול הסיכונים הכוללת של החברה ולהמליץ לדירקטוריון לגביה.</w:t>
      </w:r>
    </w:p>
  </w:footnote>
  <w:footnote w:id="128">
    <w:p w:rsidR="00C149B0" w:rsidRPr="00B431F9" w:rsidP="00B431F9" w14:paraId="2EF1E04F" w14:textId="77777777">
      <w:pPr>
        <w:pStyle w:val="7314"/>
        <w:rPr>
          <w:rtl/>
        </w:rPr>
      </w:pPr>
      <w:r w:rsidRPr="00B431F9">
        <w:rPr>
          <w:rStyle w:val="FootnoteReference0"/>
          <w:vertAlign w:val="baseline"/>
        </w:rPr>
        <w:footnoteRef/>
      </w:r>
      <w:r w:rsidRPr="00B431F9">
        <w:rPr>
          <w:rtl/>
        </w:rPr>
        <w:t xml:space="preserve"> </w:t>
      </w:r>
      <w:r w:rsidRPr="00B431F9">
        <w:rPr>
          <w:rtl/>
        </w:rPr>
        <w:tab/>
      </w:r>
      <w:r w:rsidRPr="00B431F9">
        <w:rPr>
          <w:rFonts w:hint="cs"/>
          <w:rtl/>
        </w:rPr>
        <w:t>נוהל מס' 00.00.09 בתוקף מ-20.1.19.</w:t>
      </w:r>
    </w:p>
  </w:footnote>
  <w:footnote w:id="129">
    <w:p w:rsidR="00C149B0" w:rsidP="00B431F9" w14:paraId="1036F797" w14:textId="77777777">
      <w:pPr>
        <w:pStyle w:val="7314"/>
        <w:rPr>
          <w:rtl/>
        </w:rPr>
      </w:pPr>
      <w:r w:rsidRPr="00B431F9">
        <w:rPr>
          <w:rStyle w:val="FootnoteReference0"/>
          <w:vertAlign w:val="baseline"/>
        </w:rPr>
        <w:footnoteRef/>
      </w:r>
      <w:r>
        <w:rPr>
          <w:rtl/>
        </w:rPr>
        <w:t xml:space="preserve"> </w:t>
      </w:r>
      <w:r>
        <w:rPr>
          <w:rtl/>
        </w:rPr>
        <w:tab/>
      </w:r>
      <w:r w:rsidRPr="0075382C">
        <w:rPr>
          <w:rFonts w:ascii="David" w:hAnsi="David"/>
          <w:rtl/>
        </w:rPr>
        <w:t>למועד</w:t>
      </w:r>
      <w:r w:rsidRPr="0075382C">
        <w:rPr>
          <w:rFonts w:ascii="David" w:hAnsi="David"/>
        </w:rPr>
        <w:t xml:space="preserve"> </w:t>
      </w:r>
      <w:r w:rsidRPr="0075382C">
        <w:rPr>
          <w:rFonts w:ascii="David" w:hAnsi="David"/>
          <w:rtl/>
        </w:rPr>
        <w:t>הנוהל</w:t>
      </w:r>
      <w:r>
        <w:rPr>
          <w:rFonts w:ascii="David" w:hAnsi="David" w:hint="cs"/>
          <w:rtl/>
        </w:rPr>
        <w:t xml:space="preserve"> פעלו</w:t>
      </w:r>
      <w:r w:rsidRPr="0075382C">
        <w:rPr>
          <w:rFonts w:ascii="David" w:hAnsi="David"/>
        </w:rPr>
        <w:t xml:space="preserve"> </w:t>
      </w:r>
      <w:r w:rsidRPr="0075382C">
        <w:rPr>
          <w:rFonts w:ascii="David" w:hAnsi="David"/>
          <w:rtl/>
        </w:rPr>
        <w:t>ועדת</w:t>
      </w:r>
      <w:r w:rsidRPr="0075382C">
        <w:rPr>
          <w:rFonts w:ascii="David" w:hAnsi="David"/>
        </w:rPr>
        <w:t xml:space="preserve"> </w:t>
      </w:r>
      <w:r w:rsidRPr="0075382C">
        <w:rPr>
          <w:rFonts w:ascii="David" w:hAnsi="David"/>
          <w:rtl/>
        </w:rPr>
        <w:t>הביקורת</w:t>
      </w:r>
      <w:r w:rsidRPr="0075382C">
        <w:rPr>
          <w:rFonts w:ascii="David" w:hAnsi="David"/>
        </w:rPr>
        <w:t xml:space="preserve"> </w:t>
      </w:r>
      <w:r w:rsidRPr="0075382C">
        <w:rPr>
          <w:rFonts w:ascii="David" w:hAnsi="David"/>
          <w:rtl/>
        </w:rPr>
        <w:t>והממשל</w:t>
      </w:r>
      <w:r w:rsidRPr="0075382C">
        <w:rPr>
          <w:rFonts w:ascii="David" w:hAnsi="David"/>
        </w:rPr>
        <w:t xml:space="preserve"> </w:t>
      </w:r>
      <w:r w:rsidRPr="0075382C">
        <w:rPr>
          <w:rFonts w:ascii="David" w:hAnsi="David"/>
          <w:rtl/>
        </w:rPr>
        <w:t>התאגידי</w:t>
      </w:r>
      <w:r w:rsidRPr="0075382C">
        <w:rPr>
          <w:rFonts w:ascii="David" w:hAnsi="David"/>
        </w:rPr>
        <w:t xml:space="preserve"> </w:t>
      </w:r>
      <w:r w:rsidRPr="0075382C">
        <w:rPr>
          <w:rFonts w:ascii="David" w:hAnsi="David"/>
          <w:rtl/>
        </w:rPr>
        <w:t>וועדת</w:t>
      </w:r>
      <w:r w:rsidRPr="0075382C">
        <w:rPr>
          <w:rFonts w:ascii="David" w:hAnsi="David"/>
        </w:rPr>
        <w:t xml:space="preserve"> </w:t>
      </w:r>
      <w:r w:rsidRPr="0075382C">
        <w:rPr>
          <w:rFonts w:ascii="David" w:hAnsi="David"/>
          <w:rtl/>
        </w:rPr>
        <w:t>הבטיחות</w:t>
      </w:r>
      <w:r w:rsidRPr="0075382C">
        <w:rPr>
          <w:rFonts w:ascii="David" w:hAnsi="David"/>
        </w:rPr>
        <w:t xml:space="preserve"> </w:t>
      </w:r>
      <w:r w:rsidRPr="0075382C">
        <w:rPr>
          <w:rFonts w:ascii="David" w:hAnsi="David"/>
          <w:rtl/>
        </w:rPr>
        <w:t>והגהות</w:t>
      </w:r>
      <w:r w:rsidRPr="0075382C">
        <w:rPr>
          <w:rFonts w:ascii="David" w:hAnsi="David"/>
        </w:rPr>
        <w:t xml:space="preserve"> </w:t>
      </w:r>
      <w:r w:rsidRPr="0075382C">
        <w:rPr>
          <w:rFonts w:ascii="David" w:hAnsi="David"/>
          <w:rtl/>
        </w:rPr>
        <w:t>כוועדה</w:t>
      </w:r>
      <w:r w:rsidRPr="0075382C">
        <w:rPr>
          <w:rFonts w:ascii="David" w:hAnsi="David"/>
        </w:rPr>
        <w:t xml:space="preserve"> </w:t>
      </w:r>
      <w:r w:rsidRPr="0075382C">
        <w:rPr>
          <w:rFonts w:ascii="David" w:hAnsi="David"/>
          <w:rtl/>
        </w:rPr>
        <w:t>אחת</w:t>
      </w:r>
      <w:r>
        <w:rPr>
          <w:rFonts w:ascii="David" w:hAnsi="David" w:hint="cs"/>
          <w:rtl/>
        </w:rPr>
        <w:t>.</w:t>
      </w:r>
    </w:p>
  </w:footnote>
  <w:footnote w:id="130">
    <w:p w:rsidR="00C149B0" w:rsidRPr="00B431F9" w:rsidP="00B431F9" w14:paraId="27C51ADF" w14:textId="77777777">
      <w:pPr>
        <w:pStyle w:val="733"/>
      </w:pPr>
      <w:r w:rsidRPr="00B431F9">
        <w:rPr>
          <w:rStyle w:val="FootnoteReference0"/>
          <w:vertAlign w:val="baseline"/>
        </w:rPr>
        <w:footnoteRef/>
      </w:r>
      <w:r w:rsidRPr="00B431F9">
        <w:rPr>
          <w:rtl/>
        </w:rPr>
        <w:t xml:space="preserve"> </w:t>
      </w:r>
      <w:r w:rsidRPr="00B431F9">
        <w:rPr>
          <w:rtl/>
        </w:rPr>
        <w:tab/>
      </w:r>
      <w:r w:rsidRPr="00B431F9">
        <w:rPr>
          <w:rFonts w:hint="cs"/>
          <w:rtl/>
        </w:rPr>
        <w:t>בחוק החברות נקבע כי לכל חברה יהיה תקנון הנרשם עם התאגדות החברה ותקף מעת התאגדותה, וכי דין תקנון כדין חוזה בין החברה לבעלי מניותיה ובינם לבין עצמם.</w:t>
      </w:r>
    </w:p>
  </w:footnote>
  <w:footnote w:id="131">
    <w:p w:rsidR="00C149B0" w:rsidRPr="00B431F9" w:rsidP="00B431F9" w14:paraId="4FA4ADA2" w14:textId="77777777">
      <w:pPr>
        <w:pStyle w:val="733"/>
      </w:pPr>
      <w:r w:rsidRPr="00B431F9">
        <w:rPr>
          <w:rStyle w:val="FootnoteReference0"/>
          <w:vertAlign w:val="baseline"/>
        </w:rPr>
        <w:footnoteRef/>
      </w:r>
      <w:r w:rsidRPr="00B431F9">
        <w:rPr>
          <w:rtl/>
        </w:rPr>
        <w:t xml:space="preserve"> </w:t>
      </w:r>
      <w:r w:rsidRPr="00B431F9">
        <w:rPr>
          <w:rtl/>
        </w:rPr>
        <w:tab/>
      </w:r>
      <w:r w:rsidRPr="00B431F9">
        <w:rPr>
          <w:rFonts w:hint="cs"/>
          <w:rtl/>
        </w:rPr>
        <w:t>החלטת הממשלה 4125 (6.11.94).</w:t>
      </w:r>
    </w:p>
  </w:footnote>
  <w:footnote w:id="132">
    <w:p w:rsidR="00C149B0" w:rsidP="00B431F9" w14:paraId="7BA60AC5" w14:textId="77777777">
      <w:pPr>
        <w:pStyle w:val="733"/>
        <w:rPr>
          <w:rtl/>
        </w:rPr>
      </w:pPr>
      <w:r w:rsidRPr="00B431F9">
        <w:rPr>
          <w:rStyle w:val="FootnoteReference0"/>
          <w:vertAlign w:val="baseline"/>
        </w:rPr>
        <w:footnoteRef/>
      </w:r>
      <w:r w:rsidRPr="00E74B7F">
        <w:rPr>
          <w:rtl/>
        </w:rPr>
        <w:t xml:space="preserve"> </w:t>
      </w:r>
      <w:r w:rsidRPr="00E74B7F">
        <w:rPr>
          <w:rtl/>
        </w:rPr>
        <w:tab/>
      </w:r>
      <w:r w:rsidRPr="00E74B7F">
        <w:rPr>
          <w:rFonts w:hint="cs"/>
          <w:rtl/>
        </w:rPr>
        <w:t xml:space="preserve">בנושא זה ראו גם מבקר המדינה, </w:t>
      </w:r>
      <w:r w:rsidRPr="00E74B7F">
        <w:rPr>
          <w:rFonts w:hint="cs"/>
          <w:b/>
          <w:bCs/>
          <w:rtl/>
        </w:rPr>
        <w:t xml:space="preserve">דוח מיוחד על מינוי דירקטורים בחברות ממשלתיות </w:t>
      </w:r>
      <w:r w:rsidRPr="00E74B7F">
        <w:rPr>
          <w:rFonts w:hint="cs"/>
          <w:rtl/>
        </w:rPr>
        <w:t>(2017), עמ' 27.</w:t>
      </w:r>
      <w:r>
        <w:rPr>
          <w:rFonts w:hint="cs"/>
          <w:rtl/>
        </w:rPr>
        <w:t xml:space="preserve"> </w:t>
      </w:r>
    </w:p>
  </w:footnote>
  <w:footnote w:id="133">
    <w:p w:rsidR="00C149B0" w:rsidRPr="00B431F9" w:rsidP="00B431F9" w14:paraId="2BF82F7D" w14:textId="77777777">
      <w:pPr>
        <w:pStyle w:val="7314"/>
      </w:pPr>
      <w:r w:rsidRPr="00B431F9">
        <w:rPr>
          <w:rStyle w:val="FootnoteReference0"/>
          <w:vertAlign w:val="baseline"/>
        </w:rPr>
        <w:footnoteRef/>
      </w:r>
      <w:r w:rsidRPr="00B431F9">
        <w:rPr>
          <w:rtl/>
        </w:rPr>
        <w:t xml:space="preserve"> </w:t>
      </w:r>
      <w:r w:rsidRPr="00B431F9">
        <w:rPr>
          <w:rtl/>
        </w:rPr>
        <w:tab/>
      </w:r>
      <w:r w:rsidRPr="00B431F9">
        <w:rPr>
          <w:rFonts w:hint="cs"/>
          <w:rtl/>
        </w:rPr>
        <w:t>כאמור, בחוק נקבע כי דירקטור יתמנה לתקופה של לא יותר משלוש שנים מתחילת תוקף מינויו; וכי דירקטור שחדל לכהן יכול להתמנות מחדש.</w:t>
      </w:r>
    </w:p>
  </w:footnote>
  <w:footnote w:id="134">
    <w:p w:rsidR="00C149B0" w:rsidRPr="00B431F9" w:rsidP="00B431F9" w14:paraId="6B429511" w14:textId="77777777">
      <w:pPr>
        <w:pStyle w:val="7314"/>
      </w:pPr>
      <w:r w:rsidRPr="00B431F9">
        <w:rPr>
          <w:rStyle w:val="FootnoteReference0"/>
          <w:vertAlign w:val="baseline"/>
        </w:rPr>
        <w:footnoteRef/>
      </w:r>
      <w:r w:rsidRPr="00B431F9">
        <w:rPr>
          <w:rtl/>
        </w:rPr>
        <w:t xml:space="preserve"> </w:t>
      </w:r>
      <w:r w:rsidRPr="00B431F9">
        <w:rPr>
          <w:rtl/>
        </w:rPr>
        <w:tab/>
      </w:r>
      <w:r w:rsidRPr="00B431F9">
        <w:rPr>
          <w:rFonts w:hint="cs"/>
          <w:rtl/>
        </w:rPr>
        <w:t>שלושה דירקטורים ב-19.8.21; שניים נוספים ב-4.11.21; דירקטור נוסף ב-10.11.21; ודירקטור נוסף ב-11.11.21.</w:t>
      </w:r>
    </w:p>
  </w:footnote>
  <w:footnote w:id="135">
    <w:p w:rsidR="00C149B0" w:rsidP="00B431F9" w14:paraId="745D9207" w14:textId="77777777">
      <w:pPr>
        <w:pStyle w:val="7314"/>
        <w:rPr>
          <w:rtl/>
        </w:rPr>
      </w:pPr>
      <w:r w:rsidRPr="00B431F9">
        <w:rPr>
          <w:rStyle w:val="FootnoteReference0"/>
          <w:vertAlign w:val="baseline"/>
        </w:rPr>
        <w:footnoteRef/>
      </w:r>
      <w:r w:rsidRPr="00B431F9">
        <w:rPr>
          <w:rtl/>
        </w:rPr>
        <w:t xml:space="preserve"> </w:t>
      </w:r>
      <w:r w:rsidRPr="00B431F9">
        <w:rPr>
          <w:rtl/>
        </w:rPr>
        <w:tab/>
      </w:r>
      <w:r>
        <w:rPr>
          <w:rFonts w:hint="cs"/>
          <w:rtl/>
        </w:rPr>
        <w:t>שני דירקטורים ב-25.10.24, דירקטור נוסף ב-17.1.22; ודירקטור נוסף ב-21.3.22.</w:t>
      </w:r>
    </w:p>
  </w:footnote>
  <w:footnote w:id="136">
    <w:p w:rsidR="00C149B0" w:rsidP="0006068B" w14:paraId="44B80344" w14:textId="77777777">
      <w:pPr>
        <w:pStyle w:val="733"/>
        <w:rPr>
          <w:rtl/>
        </w:rPr>
      </w:pPr>
      <w:r w:rsidRPr="00B431F9">
        <w:footnoteRef/>
      </w:r>
      <w:r w:rsidRPr="00B431F9">
        <w:rPr>
          <w:rtl/>
        </w:rPr>
        <w:t xml:space="preserve"> </w:t>
      </w:r>
      <w:r>
        <w:rPr>
          <w:rtl/>
        </w:rPr>
        <w:tab/>
      </w:r>
      <w:r>
        <w:rPr>
          <w:rFonts w:hint="cs"/>
          <w:rtl/>
        </w:rPr>
        <w:t>ביולי 2021 החליטה הממשלה להחזיר לשר האוצר את הסמכויות שניתנו לו לפי חוק החברות הממשלתיות.</w:t>
      </w:r>
    </w:p>
  </w:footnote>
  <w:footnote w:id="137">
    <w:p w:rsidR="00C149B0" w:rsidRPr="00B431F9" w:rsidP="00B431F9" w14:paraId="626210C2" w14:textId="77777777">
      <w:pPr>
        <w:pStyle w:val="733"/>
        <w:rPr>
          <w:rtl/>
        </w:rPr>
      </w:pPr>
      <w:r w:rsidRPr="00B431F9">
        <w:rPr>
          <w:rStyle w:val="FootnoteReference0"/>
          <w:vertAlign w:val="baseline"/>
        </w:rPr>
        <w:footnoteRef/>
      </w:r>
      <w:r w:rsidRPr="00B431F9">
        <w:rPr>
          <w:rtl/>
        </w:rPr>
        <w:t xml:space="preserve"> </w:t>
      </w:r>
      <w:r w:rsidRPr="00B431F9">
        <w:rPr>
          <w:rtl/>
        </w:rPr>
        <w:tab/>
        <w:t xml:space="preserve">ועדה מייעצת </w:t>
      </w:r>
      <w:r w:rsidRPr="00B431F9">
        <w:rPr>
          <w:rFonts w:hint="cs"/>
          <w:rtl/>
        </w:rPr>
        <w:t xml:space="preserve">למנהלת רשות החברות הממשלתיות </w:t>
      </w:r>
      <w:r w:rsidRPr="00B431F9">
        <w:rPr>
          <w:rtl/>
        </w:rPr>
        <w:t xml:space="preserve">בנושא </w:t>
      </w:r>
      <w:r w:rsidRPr="00B431F9">
        <w:rPr>
          <w:rFonts w:hint="cs"/>
          <w:rtl/>
        </w:rPr>
        <w:t>"</w:t>
      </w:r>
      <w:r w:rsidRPr="00B431F9">
        <w:rPr>
          <w:rtl/>
        </w:rPr>
        <w:t>מינוי דירקטורים, יושבי ראש דירקטוריון ומנכ"לים בחברות הממשלתיות וחיזוק מעמדם</w:t>
      </w:r>
      <w:r w:rsidRPr="00B431F9">
        <w:rPr>
          <w:rFonts w:hint="cs"/>
          <w:rtl/>
        </w:rPr>
        <w:t>".</w:t>
      </w:r>
    </w:p>
  </w:footnote>
  <w:footnote w:id="138">
    <w:p w:rsidR="00C149B0" w:rsidRPr="00B431F9" w:rsidP="00B431F9" w14:paraId="6729C023" w14:textId="77777777">
      <w:pPr>
        <w:pStyle w:val="733"/>
        <w:rPr>
          <w:rtl/>
        </w:rPr>
      </w:pPr>
      <w:r w:rsidRPr="00B431F9">
        <w:rPr>
          <w:rStyle w:val="FootnoteReference0"/>
          <w:vertAlign w:val="baseline"/>
        </w:rPr>
        <w:footnoteRef/>
      </w:r>
      <w:r w:rsidRPr="00B431F9">
        <w:rPr>
          <w:rtl/>
        </w:rPr>
        <w:t xml:space="preserve"> </w:t>
      </w:r>
      <w:r w:rsidRPr="00B431F9">
        <w:rPr>
          <w:rtl/>
        </w:rPr>
        <w:tab/>
      </w:r>
      <w:r w:rsidRPr="00B431F9">
        <w:rPr>
          <w:rFonts w:hint="cs"/>
          <w:rtl/>
        </w:rPr>
        <w:t xml:space="preserve">ביוני 2020 החליטה הממשלה להעביר לשר </w:t>
      </w:r>
      <w:r w:rsidRPr="00B431F9">
        <w:rPr>
          <w:rFonts w:hint="cs"/>
          <w:rtl/>
        </w:rPr>
        <w:t>הדיגיטל</w:t>
      </w:r>
      <w:r w:rsidRPr="00B431F9">
        <w:rPr>
          <w:rFonts w:hint="cs"/>
          <w:rtl/>
        </w:rPr>
        <w:t xml:space="preserve"> הלאומי את הסמכויות שניתנו לשר האוצר לפי חוק החברות הממשלתיות. ביולי 2021 החליטה הממשלה להחזיר לשר האוצר את הסמכויות לעיל.</w:t>
      </w:r>
    </w:p>
  </w:footnote>
  <w:footnote w:id="139">
    <w:p w:rsidR="00C149B0" w:rsidP="00B431F9" w14:paraId="47BCDA80" w14:textId="77777777">
      <w:pPr>
        <w:pStyle w:val="733"/>
      </w:pPr>
      <w:r w:rsidRPr="00B431F9">
        <w:rPr>
          <w:rStyle w:val="FootnoteReference0"/>
          <w:vertAlign w:val="baseline"/>
        </w:rPr>
        <w:footnoteRef/>
      </w:r>
      <w:r w:rsidRPr="00B431F9">
        <w:rPr>
          <w:rtl/>
        </w:rPr>
        <w:t xml:space="preserve"> </w:t>
      </w:r>
      <w:r w:rsidRPr="00B431F9">
        <w:rPr>
          <w:rtl/>
        </w:rPr>
        <w:tab/>
      </w:r>
      <w:r w:rsidRPr="00B431F9">
        <w:rPr>
          <w:rFonts w:hint="cs"/>
          <w:rtl/>
        </w:rPr>
        <w:t>שלושה</w:t>
      </w:r>
      <w:r>
        <w:rPr>
          <w:rFonts w:hint="cs"/>
          <w:rtl/>
        </w:rPr>
        <w:t xml:space="preserve"> חברים מקרב הציבור, שני רואי חשבון, יו"ר מועצת רואי החשבון או עובד משרד המשפטים ויו"ר דירקטוריון חברה ממשלתית שתציע רשות החברות.</w:t>
      </w:r>
    </w:p>
  </w:footnote>
  <w:footnote w:id="140">
    <w:p w:rsidR="00C149B0" w:rsidRPr="00B431F9" w:rsidP="00B431F9" w14:paraId="33174DE5" w14:textId="77777777">
      <w:pPr>
        <w:pStyle w:val="733"/>
      </w:pPr>
      <w:r w:rsidRPr="00B431F9">
        <w:rPr>
          <w:rStyle w:val="FootnoteReference0"/>
          <w:vertAlign w:val="baseline"/>
        </w:rPr>
        <w:footnoteRef/>
      </w:r>
      <w:r w:rsidRPr="00B431F9">
        <w:rPr>
          <w:rtl/>
        </w:rPr>
        <w:t xml:space="preserve"> </w:t>
      </w:r>
      <w:r w:rsidRPr="00B431F9">
        <w:rPr>
          <w:rtl/>
        </w:rPr>
        <w:tab/>
      </w:r>
      <w:r w:rsidRPr="00B431F9">
        <w:rPr>
          <w:rFonts w:hint="cs"/>
          <w:rtl/>
        </w:rPr>
        <w:t>מתוך רואי החשבון שפנו לרשות ומעוניינים בהעסקתם כרואי חשבון של חברה ממשלתית.</w:t>
      </w:r>
    </w:p>
  </w:footnote>
  <w:footnote w:id="141">
    <w:p w:rsidR="00C149B0" w:rsidRPr="00B431F9" w:rsidP="00B431F9" w14:paraId="20142B87" w14:textId="77777777">
      <w:pPr>
        <w:pStyle w:val="733"/>
        <w:rPr>
          <w:rtl/>
        </w:rPr>
      </w:pPr>
      <w:r w:rsidRPr="00B431F9">
        <w:rPr>
          <w:rStyle w:val="FootnoteReference0"/>
          <w:vertAlign w:val="baseline"/>
        </w:rPr>
        <w:footnoteRef/>
      </w:r>
      <w:r w:rsidRPr="00B431F9">
        <w:rPr>
          <w:rtl/>
        </w:rPr>
        <w:t xml:space="preserve"> </w:t>
      </w:r>
      <w:r w:rsidRPr="00B431F9">
        <w:rPr>
          <w:rtl/>
        </w:rPr>
        <w:tab/>
      </w:r>
      <w:r w:rsidRPr="00B431F9">
        <w:rPr>
          <w:rFonts w:hint="cs"/>
          <w:rtl/>
        </w:rPr>
        <w:t>או על יותר מרואה חשבון אחד אם סברה הוועדה כי החברה זקוקה לכך.</w:t>
      </w:r>
    </w:p>
  </w:footnote>
  <w:footnote w:id="142">
    <w:p w:rsidR="00C149B0" w:rsidRPr="00B431F9" w:rsidP="00B431F9" w14:paraId="40D68BA5" w14:textId="77777777">
      <w:pPr>
        <w:pStyle w:val="733"/>
        <w:rPr>
          <w:rtl/>
        </w:rPr>
      </w:pPr>
      <w:r w:rsidRPr="00B431F9">
        <w:rPr>
          <w:rStyle w:val="FootnoteReference0"/>
          <w:vertAlign w:val="baseline"/>
        </w:rPr>
        <w:footnoteRef/>
      </w:r>
      <w:r w:rsidRPr="00B431F9">
        <w:rPr>
          <w:rtl/>
        </w:rPr>
        <w:t xml:space="preserve"> </w:t>
      </w:r>
      <w:r w:rsidRPr="00B431F9">
        <w:rPr>
          <w:rtl/>
        </w:rPr>
        <w:tab/>
      </w:r>
      <w:r w:rsidRPr="00B431F9">
        <w:rPr>
          <w:rFonts w:hint="cs"/>
          <w:rtl/>
        </w:rPr>
        <w:t xml:space="preserve">בחוק החברות הממשלתיות נקבע כי השרים ימנו את בא כוח המדינה להשתתפות ולהצבעה </w:t>
      </w:r>
      <w:r w:rsidRPr="00B431F9">
        <w:rPr>
          <w:rFonts w:hint="cs"/>
          <w:rtl/>
        </w:rPr>
        <w:t>באסיפה</w:t>
      </w:r>
      <w:r w:rsidRPr="00B431F9">
        <w:rPr>
          <w:rFonts w:hint="cs"/>
          <w:rtl/>
        </w:rPr>
        <w:t xml:space="preserve"> הכללית של חברה ממשלתית מכוח המניות שהמדינה מחזיקה בהן. בישיבות </w:t>
      </w:r>
      <w:r w:rsidRPr="00B431F9">
        <w:rPr>
          <w:rFonts w:hint="cs"/>
          <w:rtl/>
        </w:rPr>
        <w:t>האסיפה</w:t>
      </w:r>
      <w:r w:rsidRPr="00B431F9">
        <w:rPr>
          <w:rFonts w:hint="cs"/>
          <w:rtl/>
        </w:rPr>
        <w:t xml:space="preserve"> הכללית של רפאל בשנים 2017 - 2020 השתתפו נציג רשות החברות, יו"ר הדירקטוריון ומזכיר החברה.</w:t>
      </w:r>
    </w:p>
  </w:footnote>
  <w:footnote w:id="143">
    <w:p w:rsidR="00C149B0" w:rsidRPr="00B431F9" w:rsidP="00B431F9" w14:paraId="01B81C3A" w14:textId="77777777">
      <w:pPr>
        <w:pStyle w:val="733"/>
      </w:pPr>
      <w:r w:rsidRPr="00B431F9">
        <w:rPr>
          <w:rStyle w:val="FootnoteReference0"/>
          <w:vertAlign w:val="baseline"/>
        </w:rPr>
        <w:footnoteRef/>
      </w:r>
      <w:r w:rsidRPr="00B431F9">
        <w:rPr>
          <w:rtl/>
        </w:rPr>
        <w:t xml:space="preserve"> </w:t>
      </w:r>
      <w:r w:rsidRPr="00B431F9">
        <w:rPr>
          <w:rtl/>
        </w:rPr>
        <w:tab/>
      </w:r>
      <w:r w:rsidRPr="00B431F9">
        <w:rPr>
          <w:rFonts w:hint="cs"/>
          <w:rtl/>
        </w:rPr>
        <w:t xml:space="preserve">הרשות רשאית, לאחר עיון בהמלצת הוועדה, לחזור ולאשר את הארכת תקופת מינויו של רואה החשבון בשנה אחת נוסף על שש השנים, אם סברה כי החלפתו עלולה לגרום נזק ממשי לחברה או לבעלי מניותיה. </w:t>
      </w:r>
    </w:p>
  </w:footnote>
  <w:footnote w:id="144">
    <w:p w:rsidR="00C149B0" w:rsidRPr="00DD6692" w:rsidP="00B431F9" w14:paraId="0F1F8409" w14:textId="77777777">
      <w:pPr>
        <w:pStyle w:val="733"/>
        <w:rPr>
          <w:rtl/>
        </w:rPr>
      </w:pPr>
      <w:r w:rsidRPr="00B431F9">
        <w:rPr>
          <w:rStyle w:val="FootnoteReference0"/>
          <w:vertAlign w:val="baseline"/>
        </w:rPr>
        <w:footnoteRef/>
      </w:r>
      <w:r w:rsidRPr="00B431F9">
        <w:rPr>
          <w:rtl/>
        </w:rPr>
        <w:t xml:space="preserve"> </w:t>
      </w:r>
      <w:r w:rsidRPr="002D255C">
        <w:rPr>
          <w:rtl/>
        </w:rPr>
        <w:tab/>
      </w:r>
      <w:r w:rsidRPr="002D255C">
        <w:rPr>
          <w:rFonts w:hint="cs"/>
          <w:rtl/>
        </w:rPr>
        <w:t xml:space="preserve">בעניין זה ראו גם מבקר המדינה, </w:t>
      </w:r>
      <w:r w:rsidRPr="00CE2C29">
        <w:rPr>
          <w:rFonts w:hint="eastAsia"/>
          <w:b/>
          <w:bCs/>
          <w:rtl/>
        </w:rPr>
        <w:t>דוח</w:t>
      </w:r>
      <w:r w:rsidRPr="00CE2C29">
        <w:rPr>
          <w:b/>
          <w:bCs/>
          <w:rtl/>
        </w:rPr>
        <w:t xml:space="preserve"> </w:t>
      </w:r>
      <w:r w:rsidRPr="00CE2C29">
        <w:rPr>
          <w:rFonts w:hint="eastAsia"/>
          <w:b/>
          <w:bCs/>
          <w:rtl/>
        </w:rPr>
        <w:t>שנתי</w:t>
      </w:r>
      <w:r w:rsidRPr="00CE2C29">
        <w:rPr>
          <w:b/>
          <w:bCs/>
          <w:rtl/>
        </w:rPr>
        <w:t xml:space="preserve"> 57ב</w:t>
      </w:r>
      <w:r w:rsidRPr="002D255C">
        <w:rPr>
          <w:rFonts w:hint="cs"/>
          <w:rtl/>
        </w:rPr>
        <w:t xml:space="preserve"> (2007)</w:t>
      </w:r>
      <w:r w:rsidRPr="002D255C">
        <w:rPr>
          <w:rFonts w:ascii="David" w:hAnsi="David" w:hint="cs"/>
          <w:rtl/>
        </w:rPr>
        <w:t xml:space="preserve">, </w:t>
      </w:r>
      <w:r w:rsidRPr="0072007E">
        <w:rPr>
          <w:rFonts w:ascii="David" w:hAnsi="David"/>
          <w:rtl/>
        </w:rPr>
        <w:t>"</w:t>
      </w:r>
      <w:r w:rsidRPr="00CE2C29">
        <w:rPr>
          <w:rFonts w:ascii="David" w:hAnsi="David" w:hint="eastAsia"/>
          <w:rtl/>
        </w:rPr>
        <w:t>מעקב</w:t>
      </w:r>
      <w:r w:rsidRPr="00CE2C29">
        <w:rPr>
          <w:rFonts w:ascii="David" w:hAnsi="David"/>
          <w:rtl/>
        </w:rPr>
        <w:t xml:space="preserve"> </w:t>
      </w:r>
      <w:r w:rsidRPr="00CE2C29">
        <w:rPr>
          <w:rFonts w:ascii="David" w:hAnsi="David" w:hint="eastAsia"/>
          <w:rtl/>
        </w:rPr>
        <w:t>ובקרה</w:t>
      </w:r>
      <w:r w:rsidRPr="00CE2C29">
        <w:rPr>
          <w:rFonts w:ascii="David" w:hAnsi="David"/>
          <w:rtl/>
        </w:rPr>
        <w:t xml:space="preserve"> </w:t>
      </w:r>
      <w:r w:rsidRPr="00CE2C29">
        <w:rPr>
          <w:rFonts w:ascii="David" w:hAnsi="David" w:hint="eastAsia"/>
          <w:rtl/>
        </w:rPr>
        <w:t>על</w:t>
      </w:r>
      <w:r w:rsidRPr="00CE2C29">
        <w:rPr>
          <w:rFonts w:ascii="David" w:hAnsi="David"/>
          <w:rtl/>
        </w:rPr>
        <w:t xml:space="preserve"> </w:t>
      </w:r>
      <w:r w:rsidRPr="00CE2C29">
        <w:rPr>
          <w:rFonts w:ascii="David" w:hAnsi="David" w:hint="eastAsia"/>
          <w:rtl/>
        </w:rPr>
        <w:t>החברות</w:t>
      </w:r>
      <w:r w:rsidRPr="00CE2C29">
        <w:rPr>
          <w:rFonts w:ascii="David" w:hAnsi="David"/>
          <w:rtl/>
        </w:rPr>
        <w:t xml:space="preserve"> </w:t>
      </w:r>
      <w:r w:rsidRPr="00CE2C29">
        <w:rPr>
          <w:rFonts w:ascii="David" w:hAnsi="David" w:hint="eastAsia"/>
          <w:rtl/>
        </w:rPr>
        <w:t>הממשלתיות</w:t>
      </w:r>
      <w:r w:rsidRPr="0072007E">
        <w:rPr>
          <w:rFonts w:ascii="David" w:hAnsi="David" w:hint="cs"/>
          <w:rtl/>
        </w:rPr>
        <w:t xml:space="preserve">", </w:t>
      </w:r>
      <w:r w:rsidRPr="00DD6692">
        <w:rPr>
          <w:rFonts w:ascii="David" w:hAnsi="David" w:hint="eastAsia"/>
          <w:rtl/>
        </w:rPr>
        <w:t>עמ</w:t>
      </w:r>
      <w:r w:rsidRPr="00DD6692">
        <w:rPr>
          <w:rFonts w:ascii="David" w:hAnsi="David"/>
          <w:rtl/>
        </w:rPr>
        <w:t>'</w:t>
      </w:r>
      <w:r w:rsidRPr="00DD6692">
        <w:rPr>
          <w:rFonts w:ascii="David" w:hAnsi="David" w:hint="cs"/>
          <w:rtl/>
        </w:rPr>
        <w:t xml:space="preserve"> </w:t>
      </w:r>
      <w:r>
        <w:rPr>
          <w:rFonts w:hint="cs"/>
          <w:rtl/>
        </w:rPr>
        <w:t>115</w:t>
      </w:r>
      <w:r w:rsidRPr="00DD6692">
        <w:rPr>
          <w:rFonts w:hint="cs"/>
          <w:rtl/>
        </w:rPr>
        <w:t>.</w:t>
      </w:r>
    </w:p>
  </w:footnote>
  <w:footnote w:id="145">
    <w:p w:rsidR="00C149B0" w:rsidRPr="00B431F9" w:rsidP="00B431F9" w14:paraId="47191222" w14:textId="77777777">
      <w:pPr>
        <w:pStyle w:val="733"/>
        <w:rPr>
          <w:rtl/>
        </w:rPr>
      </w:pPr>
      <w:r w:rsidRPr="00B431F9">
        <w:rPr>
          <w:rStyle w:val="FootnoteReference0"/>
          <w:vertAlign w:val="baseline"/>
        </w:rPr>
        <w:footnoteRef/>
      </w:r>
      <w:r w:rsidRPr="00B431F9">
        <w:rPr>
          <w:rtl/>
        </w:rPr>
        <w:t xml:space="preserve"> </w:t>
      </w:r>
      <w:r w:rsidRPr="00B431F9">
        <w:rPr>
          <w:rtl/>
        </w:rPr>
        <w:tab/>
      </w:r>
      <w:r w:rsidRPr="00B431F9">
        <w:t>OECD Guidelines on Corporate Governance of State-Owned Enterprises</w:t>
      </w:r>
      <w:r w:rsidRPr="00B431F9">
        <w:rPr>
          <w:rFonts w:hint="cs"/>
          <w:rtl/>
        </w:rPr>
        <w:t>. באתר משרד האוצר מוצג תרגום של המסמך עבור רשות החברות מינואר 2017.</w:t>
      </w:r>
    </w:p>
  </w:footnote>
  <w:footnote w:id="146">
    <w:p w:rsidR="00C149B0" w:rsidP="00B431F9" w14:paraId="27D96A0F" w14:textId="77777777">
      <w:pPr>
        <w:pStyle w:val="733"/>
        <w:rPr>
          <w:rtl/>
        </w:rPr>
      </w:pPr>
      <w:r w:rsidRPr="00B431F9">
        <w:rPr>
          <w:rStyle w:val="FootnoteReference0"/>
          <w:vertAlign w:val="baseline"/>
        </w:rPr>
        <w:footnoteRef/>
      </w:r>
      <w:r w:rsidRPr="00B431F9">
        <w:rPr>
          <w:rtl/>
        </w:rPr>
        <w:t xml:space="preserve"> </w:t>
      </w:r>
      <w:r w:rsidRPr="00B431F9">
        <w:rPr>
          <w:rtl/>
        </w:rPr>
        <w:tab/>
      </w:r>
      <w:r>
        <w:rPr>
          <w:rFonts w:hint="cs"/>
          <w:rtl/>
        </w:rPr>
        <w:t>על פי דיווחי רואה החשבון המבקר למשרד מבקר המדינה בהתאם לקווים מנחים לרואה חשבון של איגוד, התשע"ח-2017, הפירמה משמשת בתפקידה זה כבר משנת 2006.</w:t>
      </w:r>
    </w:p>
  </w:footnote>
  <w:footnote w:id="147">
    <w:p w:rsidR="00C149B0" w:rsidP="0006068B" w14:paraId="5AC694C5" w14:textId="77777777">
      <w:pPr>
        <w:pStyle w:val="733"/>
      </w:pPr>
      <w:r w:rsidRPr="0006068B">
        <w:footnoteRef/>
      </w:r>
      <w:r w:rsidRPr="0006068B">
        <w:rPr>
          <w:rtl/>
        </w:rPr>
        <w:t xml:space="preserve"> </w:t>
      </w:r>
      <w:r w:rsidRPr="000F068B">
        <w:rPr>
          <w:rtl/>
        </w:rPr>
        <w:tab/>
      </w:r>
      <w:r>
        <w:rPr>
          <w:rFonts w:hint="cs"/>
          <w:rtl/>
        </w:rPr>
        <w:t xml:space="preserve">ראו בעניין זה בדוח </w:t>
      </w:r>
      <w:r w:rsidRPr="000F068B">
        <w:rPr>
          <w:rFonts w:hint="cs"/>
          <w:rtl/>
        </w:rPr>
        <w:t>מבקר המדינה</w:t>
      </w:r>
      <w:r>
        <w:rPr>
          <w:rFonts w:hint="cs"/>
          <w:rtl/>
        </w:rPr>
        <w:t xml:space="preserve">, </w:t>
      </w:r>
      <w:r w:rsidRPr="00156775">
        <w:rPr>
          <w:rFonts w:hint="cs"/>
          <w:b/>
          <w:bCs/>
          <w:rtl/>
        </w:rPr>
        <w:t>דוח מיוחד על מינוי רואי חשבון מבקרים לחברות ממשלתיות</w:t>
      </w:r>
      <w:r>
        <w:rPr>
          <w:rFonts w:hint="cs"/>
        </w:rPr>
        <w:t xml:space="preserve"> </w:t>
      </w:r>
      <w:r w:rsidRPr="00B96367">
        <w:rPr>
          <w:rFonts w:hint="cs"/>
          <w:rtl/>
        </w:rPr>
        <w:t>(2018)</w:t>
      </w:r>
      <w:r>
        <w:rPr>
          <w:rFonts w:hint="cs"/>
          <w:rtl/>
        </w:rPr>
        <w:t>.</w:t>
      </w:r>
    </w:p>
  </w:footnote>
  <w:footnote w:id="148">
    <w:p w:rsidR="00C149B0" w:rsidRPr="0006068B" w:rsidP="0006068B" w14:paraId="0F4622CF" w14:textId="77777777">
      <w:pPr>
        <w:pStyle w:val="733"/>
      </w:pPr>
      <w:r w:rsidRPr="0006068B">
        <w:rPr>
          <w:rStyle w:val="FootnoteReference0"/>
          <w:vertAlign w:val="baseline"/>
        </w:rPr>
        <w:footnoteRef/>
      </w:r>
      <w:r w:rsidRPr="0006068B">
        <w:rPr>
          <w:rtl/>
        </w:rPr>
        <w:t xml:space="preserve"> </w:t>
      </w:r>
      <w:r w:rsidRPr="0006068B">
        <w:rPr>
          <w:rtl/>
        </w:rPr>
        <w:tab/>
      </w:r>
      <w:r w:rsidRPr="0006068B">
        <w:rPr>
          <w:rFonts w:hint="cs"/>
          <w:rtl/>
        </w:rPr>
        <w:t xml:space="preserve">התבצעה רוטציה גם בכמה חברות לפני פרסום הדוח בנושא (באפריל 2018). </w:t>
      </w:r>
    </w:p>
  </w:footnote>
  <w:footnote w:id="149">
    <w:p w:rsidR="00C149B0" w:rsidP="0006068B" w14:paraId="10B21F7E" w14:textId="77777777">
      <w:pPr>
        <w:pStyle w:val="733"/>
        <w:rPr>
          <w:rtl/>
        </w:rPr>
      </w:pPr>
      <w:r w:rsidRPr="0006068B">
        <w:rPr>
          <w:rStyle w:val="FootnoteReference0"/>
          <w:vertAlign w:val="baseline"/>
        </w:rPr>
        <w:footnoteRef/>
      </w:r>
      <w:r w:rsidRPr="0006068B">
        <w:rPr>
          <w:rtl/>
        </w:rPr>
        <w:t xml:space="preserve"> </w:t>
      </w:r>
      <w:r w:rsidRPr="0006068B">
        <w:rPr>
          <w:rtl/>
        </w:rPr>
        <w:tab/>
      </w:r>
      <w:r>
        <w:rPr>
          <w:rFonts w:hint="cs"/>
          <w:rtl/>
        </w:rPr>
        <w:t>החלטת הממשלה 238 (2021).</w:t>
      </w:r>
    </w:p>
  </w:footnote>
  <w:footnote w:id="150">
    <w:p w:rsidR="00C149B0" w:rsidRPr="0006068B" w:rsidP="0006068B" w14:paraId="1C6ED268" w14:textId="77777777">
      <w:pPr>
        <w:pStyle w:val="733"/>
        <w:rPr>
          <w:rtl/>
        </w:rPr>
      </w:pPr>
      <w:r w:rsidRPr="0006068B">
        <w:rPr>
          <w:rStyle w:val="FootnoteReference0"/>
          <w:vertAlign w:val="baseline"/>
        </w:rPr>
        <w:footnoteRef/>
      </w:r>
      <w:r w:rsidRPr="0006068B">
        <w:rPr>
          <w:rtl/>
        </w:rPr>
        <w:t xml:space="preserve"> </w:t>
      </w:r>
      <w:r w:rsidRPr="0006068B">
        <w:rPr>
          <w:rtl/>
        </w:rPr>
        <w:tab/>
        <w:t>טיוטת כללי החברות הממשלתיות (מינוי רואי חשבון ושכרם) (תיקון), התשפ"ב-2022</w:t>
      </w:r>
      <w:r w:rsidRPr="0006068B">
        <w:rPr>
          <w:rFonts w:hint="cs"/>
          <w:rtl/>
        </w:rPr>
        <w:t>.</w:t>
      </w:r>
    </w:p>
  </w:footnote>
  <w:footnote w:id="151">
    <w:p w:rsidR="00C149B0" w:rsidP="0006068B" w14:paraId="628AAB02" w14:textId="77777777">
      <w:pPr>
        <w:pStyle w:val="733"/>
        <w:rPr>
          <w:rtl/>
        </w:rPr>
      </w:pPr>
      <w:r w:rsidRPr="0006068B">
        <w:rPr>
          <w:rStyle w:val="FootnoteReference0"/>
          <w:vertAlign w:val="baseline"/>
        </w:rPr>
        <w:footnoteRef/>
      </w:r>
      <w:r w:rsidRPr="0006068B">
        <w:rPr>
          <w:rtl/>
        </w:rPr>
        <w:t xml:space="preserve"> </w:t>
      </w:r>
      <w:r>
        <w:rPr>
          <w:rtl/>
        </w:rPr>
        <w:tab/>
      </w:r>
      <w:r>
        <w:rPr>
          <w:rFonts w:hint="cs"/>
          <w:rtl/>
        </w:rPr>
        <w:t>בכפוף לאישור הכללים על ידי ועדת הכספים של הכנסת - יחתמו שר האוצר ושר המשפטים על תיקון הכללים; והתיקון יפורסם ברשומות.</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F73EE0" w:rsidP="007255AF" w14:paraId="5CDEE855" w14:textId="7B9EDBB5">
    <w:pPr>
      <w:pStyle w:val="Header"/>
      <w:tabs>
        <w:tab w:val="left" w:pos="493"/>
        <w:tab w:val="center" w:pos="4111"/>
        <w:tab w:val="clear" w:pos="4153"/>
        <w:tab w:val="right" w:pos="7478"/>
        <w:tab w:val="right" w:pos="8222"/>
        <w:tab w:val="clear" w:pos="8306"/>
      </w:tabs>
      <w:jc w:val="left"/>
      <w:rPr>
        <w:rFonts w:ascii="Tahoma" w:hAnsi="Tahoma" w:cs="Tahoma"/>
        <w:color w:val="002060"/>
        <w:sz w:val="18"/>
        <w:szCs w:val="18"/>
      </w:rPr>
    </w:pPr>
  </w:p>
  <w:p w:rsidR="00F73EE0" w:rsidP="00F2565F" w14:paraId="5465C61E" w14:textId="4E2E39C0">
    <w:pPr>
      <w:pStyle w:val="Header"/>
      <w:tabs>
        <w:tab w:val="left" w:pos="493"/>
        <w:tab w:val="center" w:pos="4111"/>
        <w:tab w:val="clear" w:pos="4153"/>
        <w:tab w:val="right" w:pos="7478"/>
        <w:tab w:val="right" w:pos="8222"/>
        <w:tab w:val="clear" w:pos="8306"/>
      </w:tabs>
      <w:jc w:val="right"/>
      <w:rPr>
        <w:rFonts w:ascii="Tahoma" w:hAnsi="Tahoma" w:cs="Tahoma"/>
        <w:color w:val="002060"/>
        <w:sz w:val="18"/>
        <w:szCs w:val="18"/>
      </w:rPr>
    </w:pPr>
  </w:p>
  <w:p w:rsidR="00F73EE0" w:rsidP="007255AF" w14:paraId="268AFC17" w14:textId="6F16F421">
    <w:pPr>
      <w:pStyle w:val="Header"/>
      <w:tabs>
        <w:tab w:val="left" w:pos="493"/>
        <w:tab w:val="center" w:pos="4111"/>
        <w:tab w:val="clear" w:pos="4153"/>
        <w:tab w:val="right" w:pos="7478"/>
        <w:tab w:val="right" w:pos="8222"/>
        <w:tab w:val="clear" w:pos="8306"/>
      </w:tabs>
      <w:jc w:val="left"/>
      <w:rPr>
        <w:rFonts w:ascii="Tahoma" w:hAnsi="Tahoma" w:cs="Tahoma"/>
        <w:color w:val="002060"/>
        <w:sz w:val="18"/>
        <w:szCs w:val="18"/>
      </w:rPr>
    </w:pPr>
  </w:p>
  <w:p w:rsidR="00F73EE0" w:rsidP="007255AF" w14:paraId="3BA5282B" w14:textId="0DF822A9">
    <w:pPr>
      <w:pStyle w:val="Header"/>
      <w:tabs>
        <w:tab w:val="left" w:pos="493"/>
        <w:tab w:val="center" w:pos="4111"/>
        <w:tab w:val="clear" w:pos="4153"/>
        <w:tab w:val="right" w:pos="7478"/>
        <w:tab w:val="right" w:pos="8222"/>
        <w:tab w:val="clear" w:pos="8306"/>
      </w:tabs>
      <w:jc w:val="left"/>
      <w:rPr>
        <w:rFonts w:ascii="Tahoma" w:hAnsi="Tahoma" w:cs="Tahoma"/>
        <w:color w:val="002060"/>
        <w:sz w:val="18"/>
        <w:szCs w:val="18"/>
      </w:rPr>
    </w:pPr>
  </w:p>
  <w:p w:rsidR="00F73EE0" w:rsidP="00A33696" w14:paraId="0929BB0C" w14:textId="43D2B28E">
    <w:pPr>
      <w:pStyle w:val="Header"/>
      <w:tabs>
        <w:tab w:val="left" w:pos="493"/>
        <w:tab w:val="clear" w:pos="4153"/>
        <w:tab w:val="left" w:pos="5150"/>
        <w:tab w:val="clear" w:pos="8306"/>
      </w:tabs>
      <w:rPr>
        <w:rtl/>
      </w:rPr>
    </w:pPr>
    <w:r>
      <w:rPr>
        <w:rFonts w:ascii="Tahoma" w:hAnsi="Tahoma" w:cs="Tahoma"/>
        <w:noProof/>
        <w:color w:val="002060"/>
        <w:sz w:val="18"/>
        <w:szCs w:val="18"/>
      </w:rPr>
      <w:drawing>
        <wp:anchor distT="0" distB="0" distL="114300" distR="114300" simplePos="0" relativeHeight="251666432" behindDoc="0" locked="0" layoutInCell="1" allowOverlap="1">
          <wp:simplePos x="0" y="0"/>
          <wp:positionH relativeFrom="column">
            <wp:posOffset>4362450</wp:posOffset>
          </wp:positionH>
          <wp:positionV relativeFrom="paragraph">
            <wp:posOffset>6170</wp:posOffset>
          </wp:positionV>
          <wp:extent cx="248285" cy="298450"/>
          <wp:effectExtent l="0" t="0" r="0" b="6350"/>
          <wp:wrapNone/>
          <wp:docPr id="205277201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2016" name="Picture 6"/>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sidRPr="006637B9">
      <w:rPr>
        <w:rFonts w:ascii="Tahoma" w:hAnsi="Tahoma" w:cs="Tahoma"/>
        <w:noProof/>
        <w:color w:val="002060"/>
        <w:sz w:val="18"/>
        <w:szCs w:val="18"/>
      </w:rPr>
      <mc:AlternateContent>
        <mc:Choice Requires="wps">
          <w:drawing>
            <wp:inline distT="0" distB="0" distL="0" distR="0">
              <wp:extent cx="3317344" cy="280800"/>
              <wp:effectExtent l="0" t="0" r="0" b="6350"/>
              <wp:docPr id="18"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317344" cy="280800"/>
                      </a:xfrm>
                      <a:prstGeom prst="rect">
                        <a:avLst/>
                      </a:prstGeom>
                      <a:solidFill>
                        <a:srgbClr val="FFFFFF"/>
                      </a:solidFill>
                      <a:ln w="9525">
                        <a:noFill/>
                        <a:miter lim="800000"/>
                        <a:headEnd/>
                        <a:tailEnd/>
                      </a:ln>
                    </wps:spPr>
                    <wps:txbx>
                      <w:txbxContent>
                        <w:p w:rsidR="00F73EE0" w:rsidP="006637B9" w14:textId="2DD687FA">
                          <w:pPr>
                            <w:jc w:val="left"/>
                          </w:pPr>
                          <w:r>
                            <w:rPr>
                              <w:rFonts w:ascii="Tahoma" w:hAnsi="Tahoma" w:cs="Tahoma" w:hint="cs"/>
                              <w:color w:val="002060"/>
                              <w:sz w:val="18"/>
                              <w:szCs w:val="18"/>
                              <w:rtl/>
                            </w:rPr>
                            <w:t xml:space="preserve">         החינוך החרדי והפיקוח עליו</w:t>
                          </w:r>
                          <w:r>
                            <w:rPr>
                              <w:rFonts w:hint="cs"/>
                              <w:rtl/>
                            </w:rPr>
                            <w:t xml:space="preserve">         </w:t>
                          </w:r>
                        </w:p>
                      </w:txbxContent>
                    </wps:txbx>
                    <wps:bodyPr rot="0" vert="horz" wrap="square" lIns="91440" tIns="45720" rIns="91440" bIns="45720" anchor="t" anchorCtr="0">
                      <a:spAutoFit/>
                    </wps:bodyPr>
                  </wps:wsp>
                </a:graphicData>
              </a:graphic>
            </wp:inline>
          </w:drawing>
        </mc:Choice>
        <mc:Fallback>
          <w:pict>
            <v:shapetype id="_x0000_t202" coordsize="21600,21600" o:spt="202" path="m,l,21600r21600,l21600,xe">
              <v:stroke joinstyle="miter"/>
              <v:path gradientshapeok="t" o:connecttype="rect"/>
            </v:shapetype>
            <v:shape id="Text Box 2" o:spid="_x0000_i2049" type="#_x0000_t202" style="width:261.2pt;height:22.1pt;mso-left-percent:-10001;mso-position-horizontal-relative:char;mso-position-vertical-relative:line;mso-top-percent:-10001;mso-wrap-style:square;visibility:visible;v-text-anchor:top" stroked="f">
              <v:textbox style="mso-fit-shape-to-text:t">
                <w:txbxContent>
                  <w:p w:rsidR="00F73EE0" w:rsidP="006637B9" w14:paraId="7647DFBB" w14:textId="2DD687FA">
                    <w:pPr>
                      <w:jc w:val="left"/>
                    </w:pPr>
                    <w:r>
                      <w:rPr>
                        <w:rFonts w:ascii="Tahoma" w:hAnsi="Tahoma" w:cs="Tahoma" w:hint="cs"/>
                        <w:color w:val="002060"/>
                        <w:sz w:val="18"/>
                        <w:szCs w:val="18"/>
                        <w:rtl/>
                      </w:rPr>
                      <w:t xml:space="preserve">         החינוך החרדי והפיקוח עליו</w:t>
                    </w:r>
                    <w:r>
                      <w:rPr>
                        <w:rFonts w:hint="cs"/>
                        <w:rtl/>
                      </w:rPr>
                      <w:t xml:space="preserve">         </w:t>
                    </w:r>
                  </w:p>
                </w:txbxContent>
              </v:textbox>
              <w10:wrap type="none"/>
              <w10:anchorlock/>
            </v:shape>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-1554480</wp:posOffset>
              </wp:positionH>
              <wp:positionV relativeFrom="paragraph">
                <wp:posOffset>382270</wp:posOffset>
              </wp:positionV>
              <wp:extent cx="7632700" cy="0"/>
              <wp:effectExtent l="0" t="0" r="0" b="0"/>
              <wp:wrapNone/>
              <wp:docPr id="7" name="Straight Connector 7"/>
              <wp:cNvGraphicFramePr/>
              <a:graphic xmlns:a="http://schemas.openxmlformats.org/drawingml/2006/main">
                <a:graphicData uri="http://schemas.microsoft.com/office/word/2010/wordprocessingShape">
                  <wps:wsp xmlns:wps="http://schemas.microsoft.com/office/word/2010/wordprocessingShape">
                    <wps:cNvCnPr/>
                    <wps:spPr>
                      <a:xfrm flipH="1">
                        <a:off x="0" y="0"/>
                        <a:ext cx="76327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 o:spid="_x0000_s2050" style="flip:x;mso-height-percent:0;mso-height-relative:margin;mso-width-percent:0;mso-width-relative:margin;mso-wrap-distance-bottom:0;mso-wrap-distance-left:9pt;mso-wrap-distance-right:9pt;mso-wrap-distance-top:0;mso-wrap-style:square;position:absolute;visibility:visible;z-index:251665408" from="-122.4pt,30.1pt" to="478.6pt,30.1pt" strokecolor="#1cade4"/>
          </w:pict>
        </mc:Fallback>
      </mc:AlternateContent>
    </w:r>
    <w:r>
      <w:rPr>
        <w:rFonts w:ascii="Tahoma" w:hAnsi="Tahoma" w:cs="Tahoma"/>
        <w:color w:val="002060"/>
        <w:sz w:val="18"/>
        <w:szCs w:val="18"/>
      </w:rPr>
      <w:tab/>
    </w:r>
    <w:r>
      <w:rPr>
        <w:rtl/>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F73EE0" w:rsidP="001526AC" w14:paraId="1C6E1265" w14:textId="2D3B16A1">
    <w:pPr>
      <w:pStyle w:val="Header"/>
      <w:tabs>
        <w:tab w:val="left" w:pos="493"/>
        <w:tab w:val="center" w:pos="4111"/>
        <w:tab w:val="clear" w:pos="4153"/>
        <w:tab w:val="right" w:pos="7478"/>
        <w:tab w:val="right" w:pos="8222"/>
        <w:tab w:val="clear" w:pos="8306"/>
      </w:tabs>
      <w:jc w:val="left"/>
      <w:rPr>
        <w:rtl/>
      </w:rPr>
    </w:pPr>
    <w:r>
      <w:rPr>
        <w:noProof/>
      </w:rPr>
      <mc:AlternateContent>
        <mc:Choice Requires="wps">
          <w:drawing>
            <wp:anchor distT="0" distB="0" distL="114300" distR="114300" simplePos="0" relativeHeight="251662336" behindDoc="0" locked="0" layoutInCell="1" allowOverlap="1">
              <wp:simplePos x="0" y="0"/>
              <wp:positionH relativeFrom="column">
                <wp:posOffset>-718185</wp:posOffset>
              </wp:positionH>
              <wp:positionV relativeFrom="paragraph">
                <wp:posOffset>-727710</wp:posOffset>
              </wp:positionV>
              <wp:extent cx="304800" cy="8121650"/>
              <wp:effectExtent l="0" t="0" r="12700" b="19050"/>
              <wp:wrapSquare wrapText="bothSides"/>
              <wp:docPr id="41" name="Text Box 1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04800" cy="8121650"/>
                      </a:xfrm>
                      <a:prstGeom prst="rect">
                        <a:avLst/>
                      </a:prstGeom>
                      <a:solidFill>
                        <a:srgbClr val="00305F"/>
                      </a:solidFill>
                      <a:ln>
                        <a:solidFill>
                          <a:srgbClr val="00305F"/>
                        </a:solidFill>
                      </a:ln>
                    </wps:spPr>
                    <wps:txbx>
                      <w:txbxContent>
                        <w:p w:rsidR="00F73EE0" w:rsidRPr="009B7D1B" w:rsidP="00586851" w14:textId="4347D478">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sidRPr="00565F1B">
                            <w:rPr>
                              <w:rFonts w:ascii="Tahoma" w:hAnsi="Tahoma" w:cs="Tahoma" w:hint="cs"/>
                              <w:sz w:val="24"/>
                              <w:szCs w:val="24"/>
                              <w:rtl/>
                            </w:rPr>
                            <w:t xml:space="preserve">תקציר </w:t>
                          </w:r>
                          <w:r w:rsidRPr="00565F1B">
                            <w:rPr>
                              <w:rFonts w:ascii="Tahoma" w:hAnsi="Tahoma" w:cs="Tahoma" w:hint="cs"/>
                              <w:rtl/>
                            </w:rPr>
                            <w:t xml:space="preserve"> |</w:t>
                          </w:r>
                          <w:r w:rsidRPr="00565F1B" w:rsidR="00A57B23">
                            <w:rPr>
                              <w:rFonts w:ascii="Tahoma" w:hAnsi="Tahoma" w:cs="Tahoma" w:hint="cs"/>
                              <w:sz w:val="24"/>
                              <w:szCs w:val="24"/>
                              <w:rtl/>
                            </w:rPr>
                            <w:t xml:space="preserve"> </w:t>
                          </w:r>
                          <w:r w:rsidRPr="00565F1B" w:rsidR="00A57B23">
                            <w:rPr>
                              <w:rFonts w:ascii="Tahoma" w:hAnsi="Tahoma" w:cs="Tahoma" w:hint="cs"/>
                              <w:rtl/>
                            </w:rPr>
                            <w:t xml:space="preserve"> </w:t>
                          </w:r>
                          <w:r w:rsidRPr="0035435A" w:rsidR="0035435A">
                            <w:rPr>
                              <w:rFonts w:ascii="Tahoma" w:hAnsi="Tahoma" w:cs="Tahoma"/>
                              <w:b/>
                              <w:bCs/>
                              <w:rtl/>
                            </w:rPr>
                            <w:t>הדוחות הכספיים של רפאל מערכות לחימה מתקדמות בע"מ - מצב החברה וסיכוניה</w:t>
                          </w:r>
                        </w:p>
                      </w:txbxContent>
                    </wps:txbx>
                    <wps:bodyPr rot="0" vert="vert270"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7" o:spid="_x0000_s2051" type="#_x0000_t202" style="width:24pt;height:639.5pt;margin-top:-57.3pt;margin-left:-56.55pt;mso-height-percent:0;mso-height-relative:margin;mso-width-percent:0;mso-width-relative:margin;mso-wrap-distance-bottom:0;mso-wrap-distance-left:9pt;mso-wrap-distance-right:9pt;mso-wrap-distance-top:0;mso-wrap-style:square;position:absolute;visibility:visible;v-text-anchor:top;z-index:251663360" fillcolor="#00305f" strokecolor="#00305f">
              <v:textbox style="layout-flow:vertical;mso-layout-flow-alt:bottom-to-top" inset="0,0,0,0">
                <w:txbxContent>
                  <w:p w:rsidR="00F73EE0" w:rsidRPr="009B7D1B" w:rsidP="00586851" w14:paraId="77809697" w14:textId="4347D478">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sidRPr="00565F1B">
                      <w:rPr>
                        <w:rFonts w:ascii="Tahoma" w:hAnsi="Tahoma" w:cs="Tahoma" w:hint="cs"/>
                        <w:sz w:val="24"/>
                        <w:szCs w:val="24"/>
                        <w:rtl/>
                      </w:rPr>
                      <w:t xml:space="preserve">תקציר </w:t>
                    </w:r>
                    <w:r w:rsidRPr="00565F1B">
                      <w:rPr>
                        <w:rFonts w:ascii="Tahoma" w:hAnsi="Tahoma" w:cs="Tahoma" w:hint="cs"/>
                        <w:rtl/>
                      </w:rPr>
                      <w:t xml:space="preserve"> |</w:t>
                    </w:r>
                    <w:r w:rsidRPr="00565F1B" w:rsidR="00A57B23">
                      <w:rPr>
                        <w:rFonts w:ascii="Tahoma" w:hAnsi="Tahoma" w:cs="Tahoma" w:hint="cs"/>
                        <w:sz w:val="24"/>
                        <w:szCs w:val="24"/>
                        <w:rtl/>
                      </w:rPr>
                      <w:t xml:space="preserve"> </w:t>
                    </w:r>
                    <w:r w:rsidRPr="00565F1B" w:rsidR="00A57B23">
                      <w:rPr>
                        <w:rFonts w:ascii="Tahoma" w:hAnsi="Tahoma" w:cs="Tahoma" w:hint="cs"/>
                        <w:rtl/>
                      </w:rPr>
                      <w:t xml:space="preserve"> </w:t>
                    </w:r>
                    <w:r w:rsidRPr="0035435A" w:rsidR="0035435A">
                      <w:rPr>
                        <w:rFonts w:ascii="Tahoma" w:hAnsi="Tahoma" w:cs="Tahoma"/>
                        <w:b/>
                        <w:bCs/>
                        <w:rtl/>
                      </w:rPr>
                      <w:t>הדוחות הכספיים של רפאל מערכות לחימה מתקדמות בע"מ - מצב החברה וסיכוניה</w:t>
                    </w:r>
                  </w:p>
                </w:txbxContent>
              </v:textbox>
              <w10:wrap type="square"/>
            </v:shape>
          </w:pict>
        </mc:Fallback>
      </mc:AlternateContent>
    </w:r>
    <w:r>
      <w:rPr>
        <w:noProof/>
        <w:rtl/>
        <w:lang w:val="he-IL"/>
      </w:rPr>
      <mc:AlternateContent>
        <mc:Choice Requires="wps">
          <w:drawing>
            <wp:anchor distT="0" distB="0" distL="114300" distR="114300" simplePos="0" relativeHeight="251672576" behindDoc="1" locked="0" layoutInCell="1" allowOverlap="1">
              <wp:simplePos x="0" y="0"/>
              <wp:positionH relativeFrom="margin">
                <wp:posOffset>-955675</wp:posOffset>
              </wp:positionH>
              <wp:positionV relativeFrom="margin">
                <wp:posOffset>-1052830</wp:posOffset>
              </wp:positionV>
              <wp:extent cx="6480000" cy="9000000"/>
              <wp:effectExtent l="0" t="0" r="16510" b="10795"/>
              <wp:wrapNone/>
              <wp:docPr id="53" name="Text Box 53"/>
              <wp:cNvGraphicFramePr/>
              <a:graphic xmlns:a="http://schemas.openxmlformats.org/drawingml/2006/main">
                <a:graphicData uri="http://schemas.microsoft.com/office/word/2010/wordprocessingShape">
                  <wps:wsp xmlns:wps="http://schemas.microsoft.com/office/word/2010/wordprocessingShape">
                    <wps:cNvSpPr txBox="1"/>
                    <wps:spPr>
                      <a:xfrm>
                        <a:off x="0" y="0"/>
                        <a:ext cx="6480000" cy="9000000"/>
                      </a:xfrm>
                      <a:prstGeom prst="rect">
                        <a:avLst/>
                      </a:prstGeom>
                      <a:noFill/>
                      <a:ln w="3175">
                        <a:solidFill>
                          <a:schemeClr val="bg1">
                            <a:lumMod val="65000"/>
                          </a:schemeClr>
                        </a:solidFill>
                        <a:prstDash val="lgDash"/>
                      </a:ln>
                    </wps:spPr>
                    <wps:txbx>
                      <w:txbxContent>
                        <w:p w:rsidR="00F73EE0" w:rsidRPr="00FD02CC" w:rsidP="006E67D8" w14:textId="008297F6">
                          <w:pPr>
                            <w:rPr>
                              <w:color w:val="FFFFFF" w:themeColor="background1"/>
                              <w14:textOutline w14:w="19050" w14:cap="rnd" w14:cmpd="dbl">
                                <w14:solidFill>
                                  <w14:schemeClr w14:val="bg1">
                                    <w14:lumMod w14:val="65000"/>
                                  </w14:schemeClr>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53" o:spid="_x0000_s2052" type="#_x0000_t202" style="width:510.25pt;height:708.65pt;margin-top:-82.9pt;margin-left:-75.2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42880" filled="f" strokecolor="#a5a5a5" strokeweight="0.25pt">
              <v:stroke dashstyle="longDash"/>
              <v:textbox>
                <w:txbxContent>
                  <w:p w:rsidR="00F73EE0" w:rsidRPr="00FD02CC" w:rsidP="006E67D8" w14:paraId="3092A244" w14:textId="008297F6">
                    <w:pPr>
                      <w:rPr>
                        <w:color w:val="FFFFFF" w:themeColor="background1"/>
                        <w14:textOutline w14:w="19050" w14:cap="rnd" w14:cmpd="dbl">
                          <w14:solidFill>
                            <w14:schemeClr w14:val="bg1">
                              <w14:lumMod w14:val="65000"/>
                            </w14:schemeClr>
                          </w14:solidFill>
                          <w14:prstDash w14:val="dash"/>
                          <w14:bevel/>
                        </w14:textOutline>
                      </w:rPr>
                    </w:pPr>
                  </w:p>
                </w:txbxContent>
              </v:textbox>
              <w10:wrap anchorx="margin" anchory="margin"/>
            </v:shape>
          </w:pict>
        </mc:Fallback>
      </mc:AlternateContent>
    </w:r>
  </w:p>
  <w:p w:rsidR="00F73EE0" w:rsidP="001526AC" w14:paraId="18DE0C7A" w14:textId="26DB997D">
    <w:pPr>
      <w:pStyle w:val="Header"/>
      <w:tabs>
        <w:tab w:val="left" w:pos="493"/>
        <w:tab w:val="center" w:pos="4111"/>
        <w:tab w:val="clear" w:pos="4153"/>
        <w:tab w:val="right" w:pos="7478"/>
        <w:tab w:val="right" w:pos="8222"/>
        <w:tab w:val="clear" w:pos="8306"/>
      </w:tabs>
      <w:jc w:val="left"/>
      <w:rPr>
        <w:rtl/>
      </w:rPr>
    </w:pPr>
  </w:p>
  <w:p w:rsidR="00F73EE0" w:rsidRPr="001526AC" w:rsidP="00005B23" w14:paraId="1172F310" w14:textId="4AC6226C">
    <w:pPr>
      <w:pStyle w:val="Header"/>
      <w:tabs>
        <w:tab w:val="left" w:pos="493"/>
        <w:tab w:val="center" w:pos="4111"/>
        <w:tab w:val="clear" w:pos="4153"/>
        <w:tab w:val="right" w:pos="7478"/>
        <w:tab w:val="right" w:pos="8222"/>
        <w:tab w:val="clear" w:pos="8306"/>
      </w:tabs>
      <w:jc w:val="left"/>
      <w:rPr>
        <w:rtl/>
      </w:rPr>
    </w:pPr>
    <w:r>
      <w:rPr>
        <w:noProof/>
      </w:rPr>
      <mc:AlternateContent>
        <mc:Choice Requires="wps">
          <w:drawing>
            <wp:anchor distT="0" distB="0" distL="114300" distR="114300" simplePos="0" relativeHeight="251660288" behindDoc="0" locked="0" layoutInCell="1" allowOverlap="1">
              <wp:simplePos x="0" y="0"/>
              <wp:positionH relativeFrom="column">
                <wp:posOffset>-57245</wp:posOffset>
              </wp:positionH>
              <wp:positionV relativeFrom="paragraph">
                <wp:posOffset>642735</wp:posOffset>
              </wp:positionV>
              <wp:extent cx="6177369" cy="0"/>
              <wp:effectExtent l="0" t="0" r="9525" b="12700"/>
              <wp:wrapNone/>
              <wp:docPr id="634" name="Straight Connector 634"/>
              <wp:cNvGraphicFramePr/>
              <a:graphic xmlns:a="http://schemas.openxmlformats.org/drawingml/2006/main">
                <a:graphicData uri="http://schemas.microsoft.com/office/word/2010/wordprocessingShape">
                  <wps:wsp xmlns:wps="http://schemas.microsoft.com/office/word/2010/wordprocessingShape">
                    <wps:cNvCnPr/>
                    <wps:spPr>
                      <a:xfrm flipH="1">
                        <a:off x="0" y="0"/>
                        <a:ext cx="6177369"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34" o:spid="_x0000_s2053" style="flip:x;mso-height-percent:0;mso-height-relative:margin;mso-width-percent:0;mso-width-relative:margin;mso-wrap-distance-bottom:0;mso-wrap-distance-left:9pt;mso-wrap-distance-right:9pt;mso-wrap-distance-top:0;mso-wrap-style:square;position:absolute;visibility:visible;z-index:251661312" from="-4.5pt,50.6pt" to="481.9pt,50.6pt" strokecolor="#0d0d0d" strokeweight="0.25pt"/>
          </w:pict>
        </mc:Fallback>
      </mc:AlternateContent>
    </w:r>
    <w:r w:rsidRPr="00BB30F3">
      <w:rPr>
        <w:rFonts w:ascii="Tahoma" w:hAnsi="Tahoma" w:cs="Tahoma"/>
        <w:noProof/>
        <w:color w:val="002060"/>
        <w:sz w:val="18"/>
        <w:szCs w:val="18"/>
      </w:rPr>
      <mc:AlternateContent>
        <mc:Choice Requires="wps">
          <w:drawing>
            <wp:anchor distT="45720" distB="45720" distL="114300" distR="114300" simplePos="0" relativeHeight="251658240" behindDoc="0" locked="0" layoutInCell="1" allowOverlap="1">
              <wp:simplePos x="0" y="0"/>
              <wp:positionH relativeFrom="column">
                <wp:posOffset>271888</wp:posOffset>
              </wp:positionH>
              <wp:positionV relativeFrom="paragraph">
                <wp:posOffset>351790</wp:posOffset>
              </wp:positionV>
              <wp:extent cx="4459740" cy="295509"/>
              <wp:effectExtent l="0" t="0" r="10795" b="9525"/>
              <wp:wrapNone/>
              <wp:docPr id="4"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59740" cy="295509"/>
                      </a:xfrm>
                      <a:prstGeom prst="rect">
                        <a:avLst/>
                      </a:prstGeom>
                      <a:solidFill>
                        <a:srgbClr val="FFFFFF"/>
                      </a:solidFill>
                      <a:ln w="9525">
                        <a:solidFill>
                          <a:schemeClr val="bg1"/>
                        </a:solidFill>
                        <a:miter lim="800000"/>
                        <a:headEnd/>
                        <a:tailEnd/>
                      </a:ln>
                    </wps:spPr>
                    <wps:txbx>
                      <w:txbxContent>
                        <w:p w:rsidR="00C55DC9" w:rsidRPr="00136A3E" w:rsidP="00C55DC9" w14:textId="45BAA40E">
                          <w:pPr>
                            <w:jc w:val="right"/>
                            <w:rPr>
                              <w:color w:val="0D0D0D" w:themeColor="text1" w:themeTint="F2"/>
                              <w:sz w:val="16"/>
                              <w:szCs w:val="16"/>
                            </w:rPr>
                          </w:pPr>
                          <w:r w:rsidRPr="00A80DC3">
                            <w:rPr>
                              <w:rFonts w:ascii="Tahoma" w:hAnsi="Tahoma" w:cs="Tahoma"/>
                              <w:color w:val="0D0D0D"/>
                              <w:sz w:val="16"/>
                              <w:szCs w:val="16"/>
                              <w:rtl/>
                            </w:rPr>
                            <w:t xml:space="preserve">דוח מבקר המדינה | </w:t>
                          </w:r>
                          <w:r w:rsidR="00BA79D3">
                            <w:rPr>
                              <w:rFonts w:ascii="Tahoma" w:hAnsi="Tahoma" w:cs="Tahoma" w:hint="cs"/>
                              <w:color w:val="0D0D0D"/>
                              <w:sz w:val="16"/>
                              <w:szCs w:val="16"/>
                              <w:rtl/>
                            </w:rPr>
                            <w:t>אדר</w:t>
                          </w:r>
                          <w:r w:rsidRPr="00A80DC3">
                            <w:rPr>
                              <w:rFonts w:ascii="Tahoma" w:hAnsi="Tahoma" w:cs="Tahoma"/>
                              <w:color w:val="0D0D0D"/>
                              <w:sz w:val="16"/>
                              <w:szCs w:val="16"/>
                              <w:rtl/>
                            </w:rPr>
                            <w:t xml:space="preserve"> </w:t>
                          </w:r>
                          <w:r w:rsidRPr="00A80DC3">
                            <w:rPr>
                              <w:rFonts w:ascii="Tahoma" w:hAnsi="Tahoma" w:cs="Tahoma"/>
                              <w:color w:val="0D0D0D"/>
                              <w:sz w:val="16"/>
                              <w:szCs w:val="16"/>
                              <w:rtl/>
                            </w:rPr>
                            <w:t>התשפ״ג</w:t>
                          </w:r>
                          <w:r w:rsidRPr="00A80DC3">
                            <w:rPr>
                              <w:rFonts w:ascii="Tahoma" w:hAnsi="Tahoma" w:cs="Tahoma"/>
                              <w:color w:val="0D0D0D"/>
                              <w:sz w:val="16"/>
                              <w:szCs w:val="16"/>
                              <w:rtl/>
                            </w:rPr>
                            <w:t xml:space="preserve"> | </w:t>
                          </w:r>
                          <w:r>
                            <w:rPr>
                              <w:rFonts w:ascii="Tahoma" w:hAnsi="Tahoma" w:cs="Tahoma" w:hint="cs"/>
                              <w:color w:val="0D0D0D"/>
                              <w:sz w:val="16"/>
                              <w:szCs w:val="16"/>
                              <w:rtl/>
                            </w:rPr>
                            <w:t>פברואר</w:t>
                          </w:r>
                          <w:r w:rsidRPr="00A80DC3">
                            <w:rPr>
                              <w:rFonts w:ascii="Tahoma" w:hAnsi="Tahoma" w:cs="Tahoma"/>
                              <w:color w:val="0D0D0D"/>
                              <w:sz w:val="16"/>
                              <w:szCs w:val="16"/>
                              <w:rtl/>
                            </w:rPr>
                            <w:t xml:space="preserve"> </w:t>
                          </w:r>
                          <w:r>
                            <w:rPr>
                              <w:rFonts w:ascii="Tahoma" w:hAnsi="Tahoma" w:cs="Tahoma" w:hint="cs"/>
                              <w:color w:val="0D0D0D"/>
                              <w:sz w:val="16"/>
                              <w:szCs w:val="16"/>
                              <w:rtl/>
                            </w:rPr>
                            <w:t>2023</w:t>
                          </w:r>
                        </w:p>
                        <w:p w:rsidR="00F73EE0" w:rsidRPr="00136A3E" w:rsidP="00B244B0" w14:textId="34B6912D">
                          <w:pPr>
                            <w:jc w:val="right"/>
                            <w:rPr>
                              <w:color w:val="0D0D0D" w:themeColor="text1" w:themeTint="F2"/>
                              <w:sz w:val="16"/>
                              <w:szCs w:val="16"/>
                            </w:rPr>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54" type="#_x0000_t202" style="width:351.15pt;height:23.25pt;margin-top:27.7pt;margin-left:21.4pt;mso-height-percent:0;mso-height-relative:margin;mso-width-percent:0;mso-width-relative:margin;mso-wrap-distance-bottom:3.6pt;mso-wrap-distance-left:9pt;mso-wrap-distance-right:9pt;mso-wrap-distance-top:3.6pt;mso-wrap-style:square;position:absolute;visibility:visible;v-text-anchor:top;z-index:251659264" strokecolor="white">
              <v:textbox>
                <w:txbxContent>
                  <w:p w:rsidR="00C55DC9" w:rsidRPr="00136A3E" w:rsidP="00C55DC9" w14:paraId="5AEC4C14" w14:textId="45BAA40E">
                    <w:pPr>
                      <w:jc w:val="right"/>
                      <w:rPr>
                        <w:color w:val="0D0D0D" w:themeColor="text1" w:themeTint="F2"/>
                        <w:sz w:val="16"/>
                        <w:szCs w:val="16"/>
                      </w:rPr>
                    </w:pPr>
                    <w:r w:rsidRPr="00A80DC3">
                      <w:rPr>
                        <w:rFonts w:ascii="Tahoma" w:hAnsi="Tahoma" w:cs="Tahoma"/>
                        <w:color w:val="0D0D0D"/>
                        <w:sz w:val="16"/>
                        <w:szCs w:val="16"/>
                        <w:rtl/>
                      </w:rPr>
                      <w:t xml:space="preserve">דוח מבקר המדינה | </w:t>
                    </w:r>
                    <w:r w:rsidR="00BA79D3">
                      <w:rPr>
                        <w:rFonts w:ascii="Tahoma" w:hAnsi="Tahoma" w:cs="Tahoma" w:hint="cs"/>
                        <w:color w:val="0D0D0D"/>
                        <w:sz w:val="16"/>
                        <w:szCs w:val="16"/>
                        <w:rtl/>
                      </w:rPr>
                      <w:t>אדר</w:t>
                    </w:r>
                    <w:r w:rsidRPr="00A80DC3">
                      <w:rPr>
                        <w:rFonts w:ascii="Tahoma" w:hAnsi="Tahoma" w:cs="Tahoma"/>
                        <w:color w:val="0D0D0D"/>
                        <w:sz w:val="16"/>
                        <w:szCs w:val="16"/>
                        <w:rtl/>
                      </w:rPr>
                      <w:t xml:space="preserve"> </w:t>
                    </w:r>
                    <w:r w:rsidRPr="00A80DC3">
                      <w:rPr>
                        <w:rFonts w:ascii="Tahoma" w:hAnsi="Tahoma" w:cs="Tahoma"/>
                        <w:color w:val="0D0D0D"/>
                        <w:sz w:val="16"/>
                        <w:szCs w:val="16"/>
                        <w:rtl/>
                      </w:rPr>
                      <w:t>התשפ״ג</w:t>
                    </w:r>
                    <w:r w:rsidRPr="00A80DC3">
                      <w:rPr>
                        <w:rFonts w:ascii="Tahoma" w:hAnsi="Tahoma" w:cs="Tahoma"/>
                        <w:color w:val="0D0D0D"/>
                        <w:sz w:val="16"/>
                        <w:szCs w:val="16"/>
                        <w:rtl/>
                      </w:rPr>
                      <w:t xml:space="preserve"> | </w:t>
                    </w:r>
                    <w:r>
                      <w:rPr>
                        <w:rFonts w:ascii="Tahoma" w:hAnsi="Tahoma" w:cs="Tahoma" w:hint="cs"/>
                        <w:color w:val="0D0D0D"/>
                        <w:sz w:val="16"/>
                        <w:szCs w:val="16"/>
                        <w:rtl/>
                      </w:rPr>
                      <w:t>פברואר</w:t>
                    </w:r>
                    <w:r w:rsidRPr="00A80DC3">
                      <w:rPr>
                        <w:rFonts w:ascii="Tahoma" w:hAnsi="Tahoma" w:cs="Tahoma"/>
                        <w:color w:val="0D0D0D"/>
                        <w:sz w:val="16"/>
                        <w:szCs w:val="16"/>
                        <w:rtl/>
                      </w:rPr>
                      <w:t xml:space="preserve"> </w:t>
                    </w:r>
                    <w:r>
                      <w:rPr>
                        <w:rFonts w:ascii="Tahoma" w:hAnsi="Tahoma" w:cs="Tahoma" w:hint="cs"/>
                        <w:color w:val="0D0D0D"/>
                        <w:sz w:val="16"/>
                        <w:szCs w:val="16"/>
                        <w:rtl/>
                      </w:rPr>
                      <w:t>2023</w:t>
                    </w:r>
                  </w:p>
                  <w:p w:rsidR="00F73EE0" w:rsidRPr="00136A3E" w:rsidP="00B244B0" w14:paraId="1CF273F4" w14:textId="34B6912D">
                    <w:pPr>
                      <w:jc w:val="right"/>
                      <w:rPr>
                        <w:color w:val="0D0D0D" w:themeColor="text1" w:themeTint="F2"/>
                        <w:sz w:val="16"/>
                        <w:szCs w:val="16"/>
                      </w:rPr>
                    </w:pPr>
                  </w:p>
                </w:txbxContent>
              </v:textbox>
            </v:shape>
          </w:pict>
        </mc:Fallback>
      </mc:AlternateContent>
    </w:r>
    <w:r>
      <w:rPr>
        <w:rFonts w:ascii="Tahoma" w:hAnsi="Tahoma" w:cs="Tahoma"/>
        <w:noProof/>
        <w:sz w:val="22"/>
        <w:szCs w:val="22"/>
        <w:rtl/>
        <w:lang w:val="he-IL"/>
      </w:rPr>
      <w:drawing>
        <wp:anchor distT="0" distB="0" distL="114300" distR="114300" simplePos="0" relativeHeight="251669504" behindDoc="0" locked="0" layoutInCell="1" allowOverlap="1">
          <wp:simplePos x="0" y="0"/>
          <wp:positionH relativeFrom="column">
            <wp:posOffset>-59055</wp:posOffset>
          </wp:positionH>
          <wp:positionV relativeFrom="paragraph">
            <wp:posOffset>345440</wp:posOffset>
          </wp:positionV>
          <wp:extent cx="343535" cy="240030"/>
          <wp:effectExtent l="0" t="0" r="0" b="7620"/>
          <wp:wrapSquare wrapText="bothSides"/>
          <wp:docPr id="2052772017"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2017" name="Picture 10"/>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43535" cy="24003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D658E" w14:paraId="12276F70" w14:textId="7777777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F73EE0" w14:paraId="1D98C7A5" w14:textId="721B4D03">
    <w:pPr>
      <w:pStyle w:val="Header"/>
      <w:rPr>
        <w:rtl/>
      </w:rPr>
    </w:pPr>
    <w:r>
      <w:rPr>
        <w:noProof/>
        <w:rtl/>
        <w:lang w:val="he-IL"/>
      </w:rPr>
      <mc:AlternateContent>
        <mc:Choice Requires="wps">
          <w:drawing>
            <wp:anchor distT="0" distB="0" distL="114300" distR="114300" simplePos="0" relativeHeight="251674624" behindDoc="1" locked="0" layoutInCell="1" allowOverlap="1">
              <wp:simplePos x="0" y="0"/>
              <wp:positionH relativeFrom="margin">
                <wp:posOffset>-954405</wp:posOffset>
              </wp:positionH>
              <wp:positionV relativeFrom="margin">
                <wp:posOffset>-1051560</wp:posOffset>
              </wp:positionV>
              <wp:extent cx="6480000" cy="9000000"/>
              <wp:effectExtent l="0" t="0" r="16510" b="10795"/>
              <wp:wrapNone/>
              <wp:docPr id="31" name="Text Box 31"/>
              <wp:cNvGraphicFramePr/>
              <a:graphic xmlns:a="http://schemas.openxmlformats.org/drawingml/2006/main">
                <a:graphicData uri="http://schemas.microsoft.com/office/word/2010/wordprocessingShape">
                  <wps:wsp xmlns:wps="http://schemas.microsoft.com/office/word/2010/wordprocessingShape">
                    <wps:cNvSpPr txBox="1"/>
                    <wps:spPr>
                      <a:xfrm>
                        <a:off x="0" y="0"/>
                        <a:ext cx="6480000" cy="9000000"/>
                      </a:xfrm>
                      <a:prstGeom prst="rect">
                        <a:avLst/>
                      </a:prstGeom>
                      <a:noFill/>
                      <a:ln w="3175">
                        <a:solidFill>
                          <a:schemeClr val="bg1">
                            <a:lumMod val="65000"/>
                          </a:schemeClr>
                        </a:solidFill>
                        <a:prstDash val="lgDash"/>
                      </a:ln>
                    </wps:spPr>
                    <wps:txbx>
                      <w:txbxContent>
                        <w:p w:rsidR="00F73EE0" w:rsidRPr="00FD02CC" w:rsidP="006E67D8" w14:textId="77777777">
                          <w:pPr>
                            <w:rPr>
                              <w:color w:val="FFFFFF" w:themeColor="background1"/>
                              <w14:textOutline w14:w="12700" w14:cap="rnd" w14:cmpd="dbl">
                                <w14:solidFill>
                                  <w14:srgbClr w14:val="00B050"/>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1" o:spid="_x0000_s2055" type="#_x0000_t202" style="width:510.25pt;height:708.65pt;margin-top:-82.8pt;margin-left:-75.1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40832" filled="f" strokecolor="#a5a5a5" strokeweight="0.25pt">
              <v:stroke dashstyle="longDash"/>
              <v:textbox>
                <w:txbxContent>
                  <w:p w:rsidR="00F73EE0" w:rsidRPr="00FD02CC" w:rsidP="006E67D8" w14:paraId="463FF098" w14:textId="77777777">
                    <w:pPr>
                      <w:rPr>
                        <w:color w:val="FFFFFF" w:themeColor="background1"/>
                        <w14:textOutline w14:w="12700" w14:cap="rnd" w14:cmpd="dbl">
                          <w14:solidFill>
                            <w14:srgbClr w14:val="00B050"/>
                          </w14:solidFill>
                          <w14:prstDash w14:val="dash"/>
                          <w14:bevel/>
                        </w14:textOutline>
                      </w:rPr>
                    </w:pPr>
                  </w:p>
                </w:txbxContent>
              </v:textbox>
              <w10:wrap anchorx="margin" anchory="margin"/>
            </v:shape>
          </w:pict>
        </mc:Fallback>
      </mc:AlternateContent>
    </w:r>
  </w:p>
  <w:p w:rsidR="00F73EE0" w:rsidP="00FD02CC" w14:paraId="7E43B0CF" w14:textId="63DDFE97">
    <w:pPr>
      <w:pStyle w:val="Header"/>
      <w:ind w:firstLine="720"/>
      <w:rPr>
        <w:rtl/>
      </w:rPr>
    </w:pPr>
  </w:p>
  <w:p w:rsidR="00F73EE0" w14:paraId="09A29170" w14:textId="077B7887">
    <w:pPr>
      <w:pStyle w:val="Header"/>
      <w:rPr>
        <w:rtl/>
      </w:rPr>
    </w:pPr>
  </w:p>
  <w:p w:rsidR="00F73EE0" w14:paraId="1CB0A19A" w14:textId="7E7CB891">
    <w:pPr>
      <w:pStyle w:val="Header"/>
      <w:rPr>
        <w:rtl/>
      </w:rPr>
    </w:pPr>
    <w:r w:rsidRPr="006637B9">
      <w:rPr>
        <w:rFonts w:ascii="Tahoma" w:hAnsi="Tahoma" w:cs="Tahoma"/>
        <w:noProof/>
        <w:color w:val="002060"/>
        <w:sz w:val="18"/>
        <w:szCs w:val="18"/>
      </w:rPr>
      <mc:AlternateContent>
        <mc:Choice Requires="wps">
          <w:drawing>
            <wp:anchor distT="0" distB="0" distL="114300" distR="114300" simplePos="0" relativeHeight="251670528" behindDoc="0" locked="0" layoutInCell="1" allowOverlap="1">
              <wp:simplePos x="0" y="0"/>
              <wp:positionH relativeFrom="column">
                <wp:posOffset>-106680</wp:posOffset>
              </wp:positionH>
              <wp:positionV relativeFrom="paragraph">
                <wp:posOffset>205105</wp:posOffset>
              </wp:positionV>
              <wp:extent cx="4536440" cy="280670"/>
              <wp:effectExtent l="0" t="0" r="6985" b="6985"/>
              <wp:wrapSquare wrapText="bothSides"/>
              <wp:docPr id="32"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536440" cy="280670"/>
                      </a:xfrm>
                      <a:prstGeom prst="rect">
                        <a:avLst/>
                      </a:prstGeom>
                      <a:solidFill>
                        <a:srgbClr val="FFFFFF"/>
                      </a:solidFill>
                      <a:ln w="9525">
                        <a:noFill/>
                        <a:miter lim="800000"/>
                        <a:headEnd/>
                        <a:tailEnd/>
                      </a:ln>
                    </wps:spPr>
                    <wps:txbx>
                      <w:txbxContent>
                        <w:p w:rsidR="00F73EE0" w:rsidRPr="003D62C4" w:rsidP="00F559D6" w14:textId="5F456D59">
                          <w:pPr>
                            <w:pStyle w:val="Heading1"/>
                            <w:spacing w:line="269" w:lineRule="auto"/>
                            <w:jc w:val="left"/>
                            <w:rPr>
                              <w:rFonts w:ascii="Tahoma" w:hAnsi="Tahoma" w:eastAsiaTheme="minorHAnsi" w:cs="Tahoma"/>
                              <w:bCs w:val="0"/>
                              <w:color w:val="0D0D0D" w:themeColor="text1" w:themeTint="F2"/>
                              <w:sz w:val="16"/>
                              <w:szCs w:val="16"/>
                              <w:u w:val="none"/>
                            </w:rPr>
                          </w:pPr>
                          <w:r>
                            <w:rPr>
                              <w:rFonts w:ascii="Tahoma" w:hAnsi="Tahoma" w:eastAsiaTheme="minorHAnsi" w:cs="Tahoma" w:hint="cs"/>
                              <w:bCs w:val="0"/>
                              <w:color w:val="0D0D0D" w:themeColor="text1" w:themeTint="F2"/>
                              <w:sz w:val="16"/>
                              <w:szCs w:val="16"/>
                              <w:u w:val="none"/>
                              <w:rtl/>
                            </w:rPr>
                            <w:t>שם של הדוח שם של הדוח</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2056" type="#_x0000_t202" style="width:357.2pt;height:22.1pt;margin-top:16.15pt;margin-left:-8.4pt;mso-width-percent:0;mso-width-relative:margin;mso-wrap-distance-bottom:0;mso-wrap-distance-left:9pt;mso-wrap-distance-right:9pt;mso-wrap-distance-top:0;mso-wrap-style:square;position:absolute;visibility:visible;v-text-anchor:top;z-index:251671552" stroked="f">
              <v:textbox style="mso-fit-shape-to-text:t">
                <w:txbxContent>
                  <w:p w:rsidR="00F73EE0" w:rsidRPr="003D62C4" w:rsidP="00F559D6" w14:paraId="111D0894" w14:textId="5F456D59">
                    <w:pPr>
                      <w:pStyle w:val="Heading1"/>
                      <w:spacing w:line="269" w:lineRule="auto"/>
                      <w:jc w:val="left"/>
                      <w:rPr>
                        <w:rFonts w:ascii="Tahoma" w:hAnsi="Tahoma" w:eastAsiaTheme="minorHAnsi" w:cs="Tahoma"/>
                        <w:bCs w:val="0"/>
                        <w:color w:val="0D0D0D" w:themeColor="text1" w:themeTint="F2"/>
                        <w:sz w:val="16"/>
                        <w:szCs w:val="16"/>
                        <w:u w:val="none"/>
                      </w:rPr>
                    </w:pPr>
                    <w:r>
                      <w:rPr>
                        <w:rFonts w:ascii="Tahoma" w:hAnsi="Tahoma" w:eastAsiaTheme="minorHAnsi" w:cs="Tahoma" w:hint="cs"/>
                        <w:bCs w:val="0"/>
                        <w:color w:val="0D0D0D" w:themeColor="text1" w:themeTint="F2"/>
                        <w:sz w:val="16"/>
                        <w:szCs w:val="16"/>
                        <w:u w:val="none"/>
                        <w:rtl/>
                      </w:rPr>
                      <w:t>שם של הדוח שם של הדוח</w:t>
                    </w:r>
                  </w:p>
                </w:txbxContent>
              </v:textbox>
              <w10:wrap type="square"/>
            </v:shape>
          </w:pict>
        </mc:Fallback>
      </mc:AlternateContent>
    </w:r>
  </w:p>
  <w:p w:rsidR="00F73EE0" w:rsidP="009620E7" w14:paraId="53F52C1C" w14:textId="15562247">
    <w:pPr>
      <w:pStyle w:val="Header"/>
      <w:rPr>
        <w:rtl/>
      </w:rPr>
    </w:pPr>
    <w:r>
      <w:rPr>
        <w:rFonts w:ascii="Tahoma" w:hAnsi="Tahoma" w:cs="Tahoma"/>
        <w:noProof/>
        <w:color w:val="002060"/>
        <w:sz w:val="18"/>
        <w:szCs w:val="18"/>
      </w:rPr>
      <w:drawing>
        <wp:anchor distT="0" distB="0" distL="114300" distR="114300" simplePos="0" relativeHeight="251676672" behindDoc="0" locked="0" layoutInCell="1" allowOverlap="1">
          <wp:simplePos x="0" y="0"/>
          <wp:positionH relativeFrom="column">
            <wp:posOffset>4423410</wp:posOffset>
          </wp:positionH>
          <wp:positionV relativeFrom="paragraph">
            <wp:posOffset>19518</wp:posOffset>
          </wp:positionV>
          <wp:extent cx="248285" cy="298450"/>
          <wp:effectExtent l="0" t="0" r="5715" b="6350"/>
          <wp:wrapNone/>
          <wp:docPr id="205277201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2018" name="Picture 6"/>
                  <pic:cNvPicPr/>
                </pic:nvPicPr>
                <pic:blipFill>
                  <a:blip xmlns:r="http://schemas.openxmlformats.org/officeDocument/2006/relationships" r:embed="rId1">
                    <a:duotone>
                      <a:schemeClr val="accent2">
                        <a:shade val="45000"/>
                        <a:satMod val="135000"/>
                      </a:schemeClr>
                      <a:prstClr val="white"/>
                    </a:duotone>
                    <a:extLst>
                      <a:ext xmlns:a="http://schemas.openxmlformats.org/drawingml/2006/main"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7456" behindDoc="0" locked="0" layoutInCell="1" allowOverlap="1">
              <wp:simplePos x="0" y="0"/>
              <wp:positionH relativeFrom="column">
                <wp:posOffset>-1392883</wp:posOffset>
              </wp:positionH>
              <wp:positionV relativeFrom="paragraph">
                <wp:posOffset>352841</wp:posOffset>
              </wp:positionV>
              <wp:extent cx="6065760" cy="0"/>
              <wp:effectExtent l="0" t="0" r="0" b="0"/>
              <wp:wrapNone/>
              <wp:docPr id="34" name="Straight Connector 34"/>
              <wp:cNvGraphicFramePr/>
              <a:graphic xmlns:a="http://schemas.openxmlformats.org/drawingml/2006/main">
                <a:graphicData uri="http://schemas.microsoft.com/office/word/2010/wordprocessingShape">
                  <wps:wsp xmlns:wps="http://schemas.microsoft.com/office/word/2010/wordprocessingShape">
                    <wps:cNvCnPr/>
                    <wps:spPr>
                      <a:xfrm flipH="1">
                        <a:off x="0" y="0"/>
                        <a:ext cx="6065760"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4" o:spid="_x0000_s2057" style="flip:x;mso-height-percent:0;mso-height-relative:margin;mso-width-percent:0;mso-width-relative:margin;mso-wrap-distance-bottom:0;mso-wrap-distance-left:9pt;mso-wrap-distance-right:9pt;mso-wrap-distance-top:0;mso-wrap-style:square;position:absolute;visibility:visible;z-index:251668480" from="-109.7pt,27.8pt" to="367.9pt,27.8pt" strokecolor="#0d0d0d" strokeweight="0.25p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4E71DD" w:rsidP="004E71DD" w14:paraId="0388F2AD" w14:textId="77777777">
    <w:pPr>
      <w:pStyle w:val="Header"/>
      <w:rPr>
        <w:rtl/>
      </w:rPr>
    </w:pPr>
    <w:r>
      <w:rPr>
        <w:noProof/>
        <w:rtl/>
        <w:lang w:val="he-IL"/>
      </w:rPr>
      <mc:AlternateContent>
        <mc:Choice Requires="wps">
          <w:drawing>
            <wp:anchor distT="0" distB="0" distL="114300" distR="114300" simplePos="0" relativeHeight="251677696" behindDoc="1" locked="0" layoutInCell="1" allowOverlap="1">
              <wp:simplePos x="0" y="0"/>
              <wp:positionH relativeFrom="margin">
                <wp:posOffset>-954405</wp:posOffset>
              </wp:positionH>
              <wp:positionV relativeFrom="margin">
                <wp:posOffset>-1051560</wp:posOffset>
              </wp:positionV>
              <wp:extent cx="6480000" cy="9000000"/>
              <wp:effectExtent l="0" t="0" r="16510" b="10795"/>
              <wp:wrapNone/>
              <wp:docPr id="43" name="Text Box 31"/>
              <wp:cNvGraphicFramePr/>
              <a:graphic xmlns:a="http://schemas.openxmlformats.org/drawingml/2006/main">
                <a:graphicData uri="http://schemas.microsoft.com/office/word/2010/wordprocessingShape">
                  <wps:wsp xmlns:wps="http://schemas.microsoft.com/office/word/2010/wordprocessingShape">
                    <wps:cNvSpPr txBox="1"/>
                    <wps:spPr>
                      <a:xfrm>
                        <a:off x="0" y="0"/>
                        <a:ext cx="6480000" cy="9000000"/>
                      </a:xfrm>
                      <a:prstGeom prst="rect">
                        <a:avLst/>
                      </a:prstGeom>
                      <a:noFill/>
                      <a:ln w="3175">
                        <a:solidFill>
                          <a:schemeClr val="bg1">
                            <a:lumMod val="65000"/>
                          </a:schemeClr>
                        </a:solidFill>
                        <a:prstDash val="lgDash"/>
                      </a:ln>
                    </wps:spPr>
                    <wps:txbx>
                      <w:txbxContent>
                        <w:p w:rsidR="004E71DD" w:rsidRPr="00FD02CC" w:rsidP="004E71DD" w14:textId="77777777">
                          <w:pPr>
                            <w:rPr>
                              <w:color w:val="FFFFFF" w:themeColor="background1"/>
                              <w14:textOutline w14:w="12700" w14:cap="rnd" w14:cmpd="dbl">
                                <w14:solidFill>
                                  <w14:srgbClr w14:val="00B050"/>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2058" type="#_x0000_t202" style="width:510.25pt;height:708.65pt;margin-top:-82.8pt;margin-left:-75.1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37760" filled="f" strokecolor="#a5a5a5" strokeweight="0.25pt">
              <v:stroke dashstyle="longDash"/>
              <v:textbox>
                <w:txbxContent>
                  <w:p w:rsidR="004E71DD" w:rsidRPr="00FD02CC" w:rsidP="004E71DD" w14:paraId="6FF77679" w14:textId="77777777">
                    <w:pPr>
                      <w:rPr>
                        <w:color w:val="FFFFFF" w:themeColor="background1"/>
                        <w14:textOutline w14:w="12700" w14:cap="rnd" w14:cmpd="dbl">
                          <w14:solidFill>
                            <w14:srgbClr w14:val="00B050"/>
                          </w14:solidFill>
                          <w14:prstDash w14:val="dash"/>
                          <w14:bevel/>
                        </w14:textOutline>
                      </w:rPr>
                    </w:pPr>
                  </w:p>
                </w:txbxContent>
              </v:textbox>
              <w10:wrap anchorx="margin" anchory="margin"/>
            </v:shape>
          </w:pict>
        </mc:Fallback>
      </mc:AlternateContent>
    </w:r>
  </w:p>
  <w:p w:rsidR="004E71DD" w:rsidP="004E71DD" w14:paraId="79E8F3BE" w14:textId="77777777">
    <w:pPr>
      <w:pStyle w:val="Header"/>
      <w:ind w:firstLine="720"/>
      <w:rPr>
        <w:rtl/>
      </w:rPr>
    </w:pPr>
  </w:p>
  <w:p w:rsidR="004E71DD" w:rsidP="004E71DD" w14:paraId="78DBB37C" w14:textId="77777777">
    <w:pPr>
      <w:pStyle w:val="Header"/>
      <w:rPr>
        <w:rtl/>
      </w:rPr>
    </w:pPr>
  </w:p>
  <w:p w:rsidR="004E71DD" w:rsidP="004E71DD" w14:paraId="1F8198CE" w14:textId="77777777">
    <w:pPr>
      <w:pStyle w:val="Header"/>
      <w:rPr>
        <w:rtl/>
      </w:rPr>
    </w:pPr>
    <w:r w:rsidRPr="006637B9">
      <w:rPr>
        <w:rFonts w:ascii="Tahoma" w:hAnsi="Tahoma" w:cs="Tahoma"/>
        <w:noProof/>
        <w:color w:val="002060"/>
        <w:sz w:val="18"/>
        <w:szCs w:val="18"/>
      </w:rPr>
      <mc:AlternateContent>
        <mc:Choice Requires="wps">
          <w:drawing>
            <wp:anchor distT="0" distB="0" distL="114300" distR="114300" simplePos="0" relativeHeight="251681792" behindDoc="0" locked="0" layoutInCell="1" allowOverlap="1">
              <wp:simplePos x="0" y="0"/>
              <wp:positionH relativeFrom="column">
                <wp:posOffset>-106680</wp:posOffset>
              </wp:positionH>
              <wp:positionV relativeFrom="paragraph">
                <wp:posOffset>205105</wp:posOffset>
              </wp:positionV>
              <wp:extent cx="4536440" cy="280670"/>
              <wp:effectExtent l="0" t="0" r="6985" b="6985"/>
              <wp:wrapSquare wrapText="bothSides"/>
              <wp:docPr id="4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536440" cy="280670"/>
                      </a:xfrm>
                      <a:prstGeom prst="rect">
                        <a:avLst/>
                      </a:prstGeom>
                      <a:solidFill>
                        <a:srgbClr val="FFFFFF"/>
                      </a:solidFill>
                      <a:ln w="9525">
                        <a:noFill/>
                        <a:miter lim="800000"/>
                        <a:headEnd/>
                        <a:tailEnd/>
                      </a:ln>
                    </wps:spPr>
                    <wps:txbx>
                      <w:txbxContent>
                        <w:p w:rsidR="004E71DD" w:rsidRPr="003D62C4" w:rsidP="004E71DD" w14:textId="75397630">
                          <w:pPr>
                            <w:pStyle w:val="Heading1"/>
                            <w:spacing w:line="269" w:lineRule="auto"/>
                            <w:jc w:val="left"/>
                            <w:rPr>
                              <w:rFonts w:ascii="Tahoma" w:hAnsi="Tahoma" w:eastAsiaTheme="minorHAnsi" w:cs="Tahoma"/>
                              <w:bCs w:val="0"/>
                              <w:color w:val="0D0D0D" w:themeColor="text1" w:themeTint="F2"/>
                              <w:sz w:val="16"/>
                              <w:szCs w:val="16"/>
                              <w:u w:val="none"/>
                            </w:rPr>
                          </w:pPr>
                          <w:r w:rsidRPr="0035435A">
                            <w:rPr>
                              <w:rFonts w:ascii="Tahoma" w:hAnsi="Tahoma" w:eastAsiaTheme="minorHAnsi" w:cs="Tahoma"/>
                              <w:bCs w:val="0"/>
                              <w:color w:val="0D0D0D" w:themeColor="text1" w:themeTint="F2"/>
                              <w:sz w:val="16"/>
                              <w:szCs w:val="16"/>
                              <w:u w:val="none"/>
                              <w:rtl/>
                            </w:rPr>
                            <w:t>הדוחות הכספיים של רפאל מערכות לחימה מתקדמות בע"מ - מצב החברה וסיכוניה</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2059" type="#_x0000_t202" style="width:357.2pt;height:22.1pt;margin-top:16.15pt;margin-left:-8.4pt;mso-width-percent:0;mso-width-relative:margin;mso-wrap-distance-bottom:0;mso-wrap-distance-left:9pt;mso-wrap-distance-right:9pt;mso-wrap-distance-top:0;mso-wrap-style:square;position:absolute;visibility:visible;v-text-anchor:top;z-index:251682816" stroked="f">
              <v:textbox style="mso-fit-shape-to-text:t">
                <w:txbxContent>
                  <w:p w:rsidR="004E71DD" w:rsidRPr="003D62C4" w:rsidP="004E71DD" w14:paraId="66EBAA16" w14:textId="75397630">
                    <w:pPr>
                      <w:pStyle w:val="Heading1"/>
                      <w:spacing w:line="269" w:lineRule="auto"/>
                      <w:jc w:val="left"/>
                      <w:rPr>
                        <w:rFonts w:ascii="Tahoma" w:hAnsi="Tahoma" w:eastAsiaTheme="minorHAnsi" w:cs="Tahoma"/>
                        <w:bCs w:val="0"/>
                        <w:color w:val="0D0D0D" w:themeColor="text1" w:themeTint="F2"/>
                        <w:sz w:val="16"/>
                        <w:szCs w:val="16"/>
                        <w:u w:val="none"/>
                      </w:rPr>
                    </w:pPr>
                    <w:r w:rsidRPr="0035435A">
                      <w:rPr>
                        <w:rFonts w:ascii="Tahoma" w:hAnsi="Tahoma" w:eastAsiaTheme="minorHAnsi" w:cs="Tahoma"/>
                        <w:bCs w:val="0"/>
                        <w:color w:val="0D0D0D" w:themeColor="text1" w:themeTint="F2"/>
                        <w:sz w:val="16"/>
                        <w:szCs w:val="16"/>
                        <w:u w:val="none"/>
                        <w:rtl/>
                      </w:rPr>
                      <w:t>הדוחות הכספיים של רפאל מערכות לחימה מתקדמות בע"מ - מצב החברה וסיכוניה</w:t>
                    </w:r>
                  </w:p>
                </w:txbxContent>
              </v:textbox>
              <w10:wrap type="square"/>
            </v:shape>
          </w:pict>
        </mc:Fallback>
      </mc:AlternateContent>
    </w:r>
  </w:p>
  <w:p w:rsidR="004E71DD" w:rsidP="004E71DD" w14:paraId="49CFDAF2" w14:textId="77777777">
    <w:pPr>
      <w:pStyle w:val="Header"/>
      <w:rPr>
        <w:rtl/>
      </w:rPr>
    </w:pPr>
    <w:r>
      <w:rPr>
        <w:rFonts w:ascii="Tahoma" w:hAnsi="Tahoma" w:cs="Tahoma"/>
        <w:noProof/>
        <w:color w:val="002060"/>
        <w:sz w:val="18"/>
        <w:szCs w:val="18"/>
      </w:rPr>
      <w:drawing>
        <wp:anchor distT="0" distB="0" distL="114300" distR="114300" simplePos="0" relativeHeight="251683840" behindDoc="0" locked="0" layoutInCell="1" allowOverlap="1">
          <wp:simplePos x="0" y="0"/>
          <wp:positionH relativeFrom="column">
            <wp:posOffset>4423410</wp:posOffset>
          </wp:positionH>
          <wp:positionV relativeFrom="paragraph">
            <wp:posOffset>19518</wp:posOffset>
          </wp:positionV>
          <wp:extent cx="248285" cy="298450"/>
          <wp:effectExtent l="0" t="0" r="5715" b="6350"/>
          <wp:wrapNone/>
          <wp:docPr id="4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6"/>
                  <pic:cNvPicPr/>
                </pic:nvPicPr>
                <pic:blipFill>
                  <a:blip xmlns:r="http://schemas.openxmlformats.org/officeDocument/2006/relationships" r:embed="rId1">
                    <a:duotone>
                      <a:schemeClr val="accent2">
                        <a:shade val="45000"/>
                        <a:satMod val="135000"/>
                      </a:schemeClr>
                      <a:prstClr val="white"/>
                    </a:duotone>
                    <a:extLst>
                      <a:ext xmlns:a="http://schemas.openxmlformats.org/drawingml/2006/main"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9744" behindDoc="0" locked="0" layoutInCell="1" allowOverlap="1">
              <wp:simplePos x="0" y="0"/>
              <wp:positionH relativeFrom="column">
                <wp:posOffset>-1392883</wp:posOffset>
              </wp:positionH>
              <wp:positionV relativeFrom="paragraph">
                <wp:posOffset>352841</wp:posOffset>
              </wp:positionV>
              <wp:extent cx="6065760" cy="0"/>
              <wp:effectExtent l="0" t="0" r="0" b="0"/>
              <wp:wrapNone/>
              <wp:docPr id="47" name="Straight Connector 34"/>
              <wp:cNvGraphicFramePr/>
              <a:graphic xmlns:a="http://schemas.openxmlformats.org/drawingml/2006/main">
                <a:graphicData uri="http://schemas.microsoft.com/office/word/2010/wordprocessingShape">
                  <wps:wsp xmlns:wps="http://schemas.microsoft.com/office/word/2010/wordprocessingShape">
                    <wps:cNvCnPr/>
                    <wps:spPr>
                      <a:xfrm flipH="1">
                        <a:off x="0" y="0"/>
                        <a:ext cx="6065760"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4" o:spid="_x0000_s2060" style="flip:x;mso-height-percent:0;mso-height-relative:margin;mso-width-percent:0;mso-width-relative:margin;mso-wrap-distance-bottom:0;mso-wrap-distance-left:9pt;mso-wrap-distance-right:9pt;mso-wrap-distance-top:0;mso-wrap-style:square;position:absolute;visibility:visible;z-index:251680768" from="-109.7pt,27.8pt" to="367.9pt,27.8pt" strokecolor="#0d0d0d" strokeweight="0.25pt"/>
          </w:pict>
        </mc:Fallback>
      </mc:AlternateContent>
    </w:r>
  </w:p>
  <w:p w:rsidR="008B694B" w:rsidRPr="004E71DD" w:rsidP="004E71DD" w14:paraId="4E47EA6D" w14:textId="324E80B4">
    <w:pPr>
      <w:pStyle w:val="Header"/>
      <w:rPr>
        <w:szCs w:val="20"/>
        <w:rtl/>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56721" w:rsidP="001526AC" w14:paraId="1AA96B7A" w14:textId="77777777">
    <w:pPr>
      <w:pStyle w:val="Header"/>
      <w:tabs>
        <w:tab w:val="left" w:pos="493"/>
        <w:tab w:val="center" w:pos="4111"/>
        <w:tab w:val="clear" w:pos="4153"/>
        <w:tab w:val="right" w:pos="7478"/>
        <w:tab w:val="right" w:pos="8222"/>
        <w:tab w:val="clear" w:pos="8306"/>
      </w:tabs>
      <w:jc w:val="left"/>
      <w:rPr>
        <w:rtl/>
      </w:rPr>
    </w:pPr>
    <w:r>
      <w:rPr>
        <w:noProof/>
        <w:rtl/>
        <w:lang w:val="he-IL"/>
      </w:rPr>
      <mc:AlternateContent>
        <mc:Choice Requires="wps">
          <w:drawing>
            <wp:anchor distT="0" distB="0" distL="114300" distR="114300" simplePos="0" relativeHeight="251692032" behindDoc="1" locked="0" layoutInCell="1" allowOverlap="1">
              <wp:simplePos x="0" y="0"/>
              <wp:positionH relativeFrom="margin">
                <wp:posOffset>-955675</wp:posOffset>
              </wp:positionH>
              <wp:positionV relativeFrom="margin">
                <wp:posOffset>-1052830</wp:posOffset>
              </wp:positionV>
              <wp:extent cx="6480000" cy="9000000"/>
              <wp:effectExtent l="0" t="0" r="16510" b="10795"/>
              <wp:wrapNone/>
              <wp:docPr id="59" name="Text Box 53"/>
              <wp:cNvGraphicFramePr/>
              <a:graphic xmlns:a="http://schemas.openxmlformats.org/drawingml/2006/main">
                <a:graphicData uri="http://schemas.microsoft.com/office/word/2010/wordprocessingShape">
                  <wps:wsp xmlns:wps="http://schemas.microsoft.com/office/word/2010/wordprocessingShape">
                    <wps:cNvSpPr txBox="1"/>
                    <wps:spPr>
                      <a:xfrm>
                        <a:off x="0" y="0"/>
                        <a:ext cx="6480000" cy="9000000"/>
                      </a:xfrm>
                      <a:prstGeom prst="rect">
                        <a:avLst/>
                      </a:prstGeom>
                      <a:noFill/>
                      <a:ln w="3175">
                        <a:solidFill>
                          <a:schemeClr val="bg1">
                            <a:lumMod val="65000"/>
                          </a:schemeClr>
                        </a:solidFill>
                        <a:prstDash val="lgDash"/>
                      </a:ln>
                    </wps:spPr>
                    <wps:txbx>
                      <w:txbxContent>
                        <w:p w:rsidR="00E56721" w:rsidRPr="00FD02CC" w:rsidP="006E67D8" w14:textId="77777777">
                          <w:pPr>
                            <w:rPr>
                              <w:color w:val="FFFFFF" w:themeColor="background1"/>
                              <w14:textOutline w14:w="19050" w14:cap="rnd" w14:cmpd="dbl">
                                <w14:solidFill>
                                  <w14:schemeClr w14:val="bg1">
                                    <w14:lumMod w14:val="65000"/>
                                  </w14:schemeClr>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2061" type="#_x0000_t202" style="width:510.25pt;height:708.65pt;margin-top:-82.9pt;margin-left:-75.2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23424" filled="f" strokecolor="#a5a5a5" strokeweight="0.25pt">
              <v:stroke dashstyle="longDash"/>
              <v:textbox>
                <w:txbxContent>
                  <w:p w:rsidR="00E56721" w:rsidRPr="00FD02CC" w:rsidP="006E67D8" w14:paraId="64DE32B9" w14:textId="77777777">
                    <w:pPr>
                      <w:rPr>
                        <w:color w:val="FFFFFF" w:themeColor="background1"/>
                        <w14:textOutline w14:w="19050" w14:cap="rnd" w14:cmpd="dbl">
                          <w14:solidFill>
                            <w14:schemeClr w14:val="bg1">
                              <w14:lumMod w14:val="65000"/>
                            </w14:schemeClr>
                          </w14:solidFill>
                          <w14:prstDash w14:val="dash"/>
                          <w14:bevel/>
                        </w14:textOutline>
                      </w:rPr>
                    </w:pPr>
                  </w:p>
                </w:txbxContent>
              </v:textbox>
              <w10:wrap anchorx="margin" anchory="margin"/>
            </v:shape>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column">
                <wp:posOffset>-716280</wp:posOffset>
              </wp:positionH>
              <wp:positionV relativeFrom="paragraph">
                <wp:posOffset>-729615</wp:posOffset>
              </wp:positionV>
              <wp:extent cx="304800" cy="7958455"/>
              <wp:effectExtent l="0" t="0" r="19050" b="23495"/>
              <wp:wrapSquare wrapText="bothSides"/>
              <wp:docPr id="60" name="Text Box 1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04800" cy="7958455"/>
                      </a:xfrm>
                      <a:prstGeom prst="rect">
                        <a:avLst/>
                      </a:prstGeom>
                      <a:solidFill>
                        <a:srgbClr val="00305F"/>
                      </a:solidFill>
                      <a:ln>
                        <a:solidFill>
                          <a:srgbClr val="00305F"/>
                        </a:solidFill>
                      </a:ln>
                    </wps:spPr>
                    <wps:txbx>
                      <w:txbxContent>
                        <w:p w:rsidR="00E56721" w:rsidRPr="009B7D1B" w:rsidP="0035435A" w14:textId="3AC50673">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Pr>
                              <w:rFonts w:ascii="Tahoma" w:hAnsi="Tahoma" w:cs="Tahoma" w:hint="cs"/>
                              <w:sz w:val="24"/>
                              <w:szCs w:val="24"/>
                              <w:rtl/>
                            </w:rPr>
                            <w:t xml:space="preserve">   </w:t>
                          </w:r>
                          <w:r w:rsidRPr="00565F1B">
                            <w:rPr>
                              <w:rFonts w:ascii="Tahoma" w:hAnsi="Tahoma" w:cs="Tahoma" w:hint="cs"/>
                              <w:rtl/>
                            </w:rPr>
                            <w:t>|</w:t>
                          </w:r>
                          <w:r w:rsidRPr="00565F1B">
                            <w:rPr>
                              <w:rFonts w:ascii="Tahoma" w:hAnsi="Tahoma" w:cs="Tahoma" w:hint="cs"/>
                              <w:sz w:val="24"/>
                              <w:szCs w:val="24"/>
                              <w:rtl/>
                            </w:rPr>
                            <w:t xml:space="preserve"> </w:t>
                          </w:r>
                          <w:r w:rsidRPr="00565F1B">
                            <w:rPr>
                              <w:rFonts w:ascii="Tahoma" w:hAnsi="Tahoma" w:cs="Tahoma" w:hint="cs"/>
                              <w:rtl/>
                            </w:rPr>
                            <w:t xml:space="preserve"> </w:t>
                          </w:r>
                          <w:r w:rsidRPr="0035435A" w:rsidR="0035435A">
                            <w:rPr>
                              <w:rFonts w:ascii="Tahoma" w:hAnsi="Tahoma" w:cs="Tahoma"/>
                              <w:b/>
                              <w:bCs/>
                              <w:rtl/>
                            </w:rPr>
                            <w:t>הדוחות הכספיים של רפאל מערכות לחימה מתקדמות בע"מ - מצב החברה וסיכוניה</w:t>
                          </w:r>
                        </w:p>
                      </w:txbxContent>
                    </wps:txbx>
                    <wps:bodyPr rot="0" vert="vert270"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id="_x0000_s2062" type="#_x0000_t202" style="width:24pt;height:626.65pt;margin-top:-57.45pt;margin-left:-56.4pt;mso-height-percent:0;mso-height-relative:margin;mso-width-percent:0;mso-width-relative:margin;mso-wrap-distance-bottom:0;mso-wrap-distance-left:9pt;mso-wrap-distance-right:9pt;mso-wrap-distance-top:0;mso-wrap-style:square;position:absolute;visibility:visible;v-text-anchor:top;z-index:251689984" fillcolor="#00305f" strokecolor="#00305f">
              <v:textbox style="layout-flow:vertical;mso-layout-flow-alt:bottom-to-top" inset="0,0,0,0">
                <w:txbxContent>
                  <w:p w:rsidR="00E56721" w:rsidRPr="009B7D1B" w:rsidP="0035435A" w14:paraId="3B4CCAD6" w14:textId="3AC50673">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Pr>
                        <w:rFonts w:ascii="Tahoma" w:hAnsi="Tahoma" w:cs="Tahoma" w:hint="cs"/>
                        <w:sz w:val="24"/>
                        <w:szCs w:val="24"/>
                        <w:rtl/>
                      </w:rPr>
                      <w:t xml:space="preserve">   </w:t>
                    </w:r>
                    <w:r w:rsidRPr="00565F1B">
                      <w:rPr>
                        <w:rFonts w:ascii="Tahoma" w:hAnsi="Tahoma" w:cs="Tahoma" w:hint="cs"/>
                        <w:rtl/>
                      </w:rPr>
                      <w:t>|</w:t>
                    </w:r>
                    <w:r w:rsidRPr="00565F1B">
                      <w:rPr>
                        <w:rFonts w:ascii="Tahoma" w:hAnsi="Tahoma" w:cs="Tahoma" w:hint="cs"/>
                        <w:sz w:val="24"/>
                        <w:szCs w:val="24"/>
                        <w:rtl/>
                      </w:rPr>
                      <w:t xml:space="preserve"> </w:t>
                    </w:r>
                    <w:r w:rsidRPr="00565F1B">
                      <w:rPr>
                        <w:rFonts w:ascii="Tahoma" w:hAnsi="Tahoma" w:cs="Tahoma" w:hint="cs"/>
                        <w:rtl/>
                      </w:rPr>
                      <w:t xml:space="preserve"> </w:t>
                    </w:r>
                    <w:r w:rsidRPr="0035435A" w:rsidR="0035435A">
                      <w:rPr>
                        <w:rFonts w:ascii="Tahoma" w:hAnsi="Tahoma" w:cs="Tahoma"/>
                        <w:b/>
                        <w:bCs/>
                        <w:rtl/>
                      </w:rPr>
                      <w:t>הדוחות הכספיים של רפאל מערכות לחימה מתקדמות בע"מ - מצב החברה וסיכוניה</w:t>
                    </w:r>
                  </w:p>
                </w:txbxContent>
              </v:textbox>
              <w10:wrap type="square"/>
            </v:shape>
          </w:pict>
        </mc:Fallback>
      </mc:AlternateContent>
    </w:r>
  </w:p>
  <w:p w:rsidR="00E56721" w:rsidP="001526AC" w14:paraId="708CEE93" w14:textId="77777777">
    <w:pPr>
      <w:pStyle w:val="Header"/>
      <w:tabs>
        <w:tab w:val="left" w:pos="493"/>
        <w:tab w:val="center" w:pos="4111"/>
        <w:tab w:val="clear" w:pos="4153"/>
        <w:tab w:val="right" w:pos="7478"/>
        <w:tab w:val="right" w:pos="8222"/>
        <w:tab w:val="clear" w:pos="8306"/>
      </w:tabs>
      <w:jc w:val="left"/>
      <w:rPr>
        <w:rtl/>
      </w:rPr>
    </w:pPr>
  </w:p>
  <w:p w:rsidR="00E56721" w:rsidRPr="001526AC" w:rsidP="00005B23" w14:paraId="69A973A3" w14:textId="77777777">
    <w:pPr>
      <w:pStyle w:val="Header"/>
      <w:tabs>
        <w:tab w:val="left" w:pos="493"/>
        <w:tab w:val="center" w:pos="4111"/>
        <w:tab w:val="clear" w:pos="4153"/>
        <w:tab w:val="right" w:pos="7478"/>
        <w:tab w:val="right" w:pos="8222"/>
        <w:tab w:val="clear" w:pos="8306"/>
      </w:tabs>
      <w:jc w:val="left"/>
      <w:rPr>
        <w:rtl/>
      </w:rPr>
    </w:pPr>
    <w:r w:rsidRPr="00BB30F3">
      <w:rPr>
        <w:rFonts w:ascii="Tahoma" w:hAnsi="Tahoma" w:cs="Tahoma"/>
        <w:noProof/>
        <w:color w:val="002060"/>
        <w:sz w:val="18"/>
        <w:szCs w:val="18"/>
      </w:rPr>
      <mc:AlternateContent>
        <mc:Choice Requires="wps">
          <w:drawing>
            <wp:anchor distT="45720" distB="45720" distL="114300" distR="114300" simplePos="0" relativeHeight="251684864" behindDoc="0" locked="0" layoutInCell="1" allowOverlap="1">
              <wp:simplePos x="0" y="0"/>
              <wp:positionH relativeFrom="column">
                <wp:posOffset>271888</wp:posOffset>
              </wp:positionH>
              <wp:positionV relativeFrom="paragraph">
                <wp:posOffset>351790</wp:posOffset>
              </wp:positionV>
              <wp:extent cx="4459740" cy="295509"/>
              <wp:effectExtent l="0" t="0" r="10795" b="9525"/>
              <wp:wrapNone/>
              <wp:docPr id="61"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59740" cy="295509"/>
                      </a:xfrm>
                      <a:prstGeom prst="rect">
                        <a:avLst/>
                      </a:prstGeom>
                      <a:solidFill>
                        <a:srgbClr val="FFFFFF"/>
                      </a:solidFill>
                      <a:ln w="9525">
                        <a:solidFill>
                          <a:schemeClr val="bg1"/>
                        </a:solidFill>
                        <a:miter lim="800000"/>
                        <a:headEnd/>
                        <a:tailEnd/>
                      </a:ln>
                    </wps:spPr>
                    <wps:txbx>
                      <w:txbxContent>
                        <w:p w:rsidR="00C55DC9" w:rsidRPr="00136A3E" w:rsidP="00C55DC9" w14:textId="243491CB">
                          <w:pPr>
                            <w:jc w:val="right"/>
                            <w:rPr>
                              <w:color w:val="0D0D0D" w:themeColor="text1" w:themeTint="F2"/>
                              <w:sz w:val="16"/>
                              <w:szCs w:val="16"/>
                            </w:rPr>
                          </w:pPr>
                          <w:r w:rsidRPr="00A80DC3">
                            <w:rPr>
                              <w:rFonts w:ascii="Tahoma" w:hAnsi="Tahoma" w:cs="Tahoma"/>
                              <w:color w:val="0D0D0D"/>
                              <w:sz w:val="16"/>
                              <w:szCs w:val="16"/>
                              <w:rtl/>
                            </w:rPr>
                            <w:t xml:space="preserve">דוח מבקר המדינה | </w:t>
                          </w:r>
                          <w:r w:rsidR="00BA79D3">
                            <w:rPr>
                              <w:rFonts w:ascii="Tahoma" w:hAnsi="Tahoma" w:cs="Tahoma" w:hint="cs"/>
                              <w:color w:val="0D0D0D"/>
                              <w:sz w:val="16"/>
                              <w:szCs w:val="16"/>
                              <w:rtl/>
                            </w:rPr>
                            <w:t>אדר</w:t>
                          </w:r>
                          <w:r w:rsidRPr="00A80DC3">
                            <w:rPr>
                              <w:rFonts w:ascii="Tahoma" w:hAnsi="Tahoma" w:cs="Tahoma"/>
                              <w:color w:val="0D0D0D"/>
                              <w:sz w:val="16"/>
                              <w:szCs w:val="16"/>
                              <w:rtl/>
                            </w:rPr>
                            <w:t xml:space="preserve"> </w:t>
                          </w:r>
                          <w:r w:rsidRPr="00A80DC3">
                            <w:rPr>
                              <w:rFonts w:ascii="Tahoma" w:hAnsi="Tahoma" w:cs="Tahoma"/>
                              <w:color w:val="0D0D0D"/>
                              <w:sz w:val="16"/>
                              <w:szCs w:val="16"/>
                              <w:rtl/>
                            </w:rPr>
                            <w:t>התשפ״ג</w:t>
                          </w:r>
                          <w:r w:rsidRPr="00A80DC3">
                            <w:rPr>
                              <w:rFonts w:ascii="Tahoma" w:hAnsi="Tahoma" w:cs="Tahoma"/>
                              <w:color w:val="0D0D0D"/>
                              <w:sz w:val="16"/>
                              <w:szCs w:val="16"/>
                              <w:rtl/>
                            </w:rPr>
                            <w:t xml:space="preserve"> | </w:t>
                          </w:r>
                          <w:r>
                            <w:rPr>
                              <w:rFonts w:ascii="Tahoma" w:hAnsi="Tahoma" w:cs="Tahoma" w:hint="cs"/>
                              <w:color w:val="0D0D0D"/>
                              <w:sz w:val="16"/>
                              <w:szCs w:val="16"/>
                              <w:rtl/>
                            </w:rPr>
                            <w:t>פברואר</w:t>
                          </w:r>
                          <w:r w:rsidRPr="00A80DC3">
                            <w:rPr>
                              <w:rFonts w:ascii="Tahoma" w:hAnsi="Tahoma" w:cs="Tahoma"/>
                              <w:color w:val="0D0D0D"/>
                              <w:sz w:val="16"/>
                              <w:szCs w:val="16"/>
                              <w:rtl/>
                            </w:rPr>
                            <w:t xml:space="preserve"> </w:t>
                          </w:r>
                          <w:r>
                            <w:rPr>
                              <w:rFonts w:ascii="Tahoma" w:hAnsi="Tahoma" w:cs="Tahoma" w:hint="cs"/>
                              <w:color w:val="0D0D0D"/>
                              <w:sz w:val="16"/>
                              <w:szCs w:val="16"/>
                              <w:rtl/>
                            </w:rPr>
                            <w:t>2023</w:t>
                          </w:r>
                        </w:p>
                        <w:p w:rsidR="00E56721" w:rsidRPr="00C55DC9" w:rsidP="00B244B0" w14:textId="7A514447">
                          <w:pPr>
                            <w:jc w:val="right"/>
                            <w:rPr>
                              <w:color w:val="0D0D0D" w:themeColor="text1" w:themeTint="F2"/>
                              <w:sz w:val="16"/>
                              <w:szCs w:val="16"/>
                            </w:rPr>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63" type="#_x0000_t202" style="width:351.15pt;height:23.25pt;margin-top:27.7pt;margin-left:21.4pt;mso-height-percent:0;mso-height-relative:margin;mso-width-percent:0;mso-width-relative:margin;mso-wrap-distance-bottom:3.6pt;mso-wrap-distance-left:9pt;mso-wrap-distance-right:9pt;mso-wrap-distance-top:3.6pt;mso-wrap-style:square;position:absolute;visibility:visible;v-text-anchor:top;z-index:251685888" strokecolor="white">
              <v:textbox>
                <w:txbxContent>
                  <w:p w:rsidR="00C55DC9" w:rsidRPr="00136A3E" w:rsidP="00C55DC9" w14:paraId="1AB55108" w14:textId="243491CB">
                    <w:pPr>
                      <w:jc w:val="right"/>
                      <w:rPr>
                        <w:color w:val="0D0D0D" w:themeColor="text1" w:themeTint="F2"/>
                        <w:sz w:val="16"/>
                        <w:szCs w:val="16"/>
                      </w:rPr>
                    </w:pPr>
                    <w:r w:rsidRPr="00A80DC3">
                      <w:rPr>
                        <w:rFonts w:ascii="Tahoma" w:hAnsi="Tahoma" w:cs="Tahoma"/>
                        <w:color w:val="0D0D0D"/>
                        <w:sz w:val="16"/>
                        <w:szCs w:val="16"/>
                        <w:rtl/>
                      </w:rPr>
                      <w:t xml:space="preserve">דוח מבקר המדינה | </w:t>
                    </w:r>
                    <w:r w:rsidR="00BA79D3">
                      <w:rPr>
                        <w:rFonts w:ascii="Tahoma" w:hAnsi="Tahoma" w:cs="Tahoma" w:hint="cs"/>
                        <w:color w:val="0D0D0D"/>
                        <w:sz w:val="16"/>
                        <w:szCs w:val="16"/>
                        <w:rtl/>
                      </w:rPr>
                      <w:t>אדר</w:t>
                    </w:r>
                    <w:r w:rsidRPr="00A80DC3">
                      <w:rPr>
                        <w:rFonts w:ascii="Tahoma" w:hAnsi="Tahoma" w:cs="Tahoma"/>
                        <w:color w:val="0D0D0D"/>
                        <w:sz w:val="16"/>
                        <w:szCs w:val="16"/>
                        <w:rtl/>
                      </w:rPr>
                      <w:t xml:space="preserve"> </w:t>
                    </w:r>
                    <w:r w:rsidRPr="00A80DC3">
                      <w:rPr>
                        <w:rFonts w:ascii="Tahoma" w:hAnsi="Tahoma" w:cs="Tahoma"/>
                        <w:color w:val="0D0D0D"/>
                        <w:sz w:val="16"/>
                        <w:szCs w:val="16"/>
                        <w:rtl/>
                      </w:rPr>
                      <w:t>התשפ״ג</w:t>
                    </w:r>
                    <w:r w:rsidRPr="00A80DC3">
                      <w:rPr>
                        <w:rFonts w:ascii="Tahoma" w:hAnsi="Tahoma" w:cs="Tahoma"/>
                        <w:color w:val="0D0D0D"/>
                        <w:sz w:val="16"/>
                        <w:szCs w:val="16"/>
                        <w:rtl/>
                      </w:rPr>
                      <w:t xml:space="preserve"> | </w:t>
                    </w:r>
                    <w:r>
                      <w:rPr>
                        <w:rFonts w:ascii="Tahoma" w:hAnsi="Tahoma" w:cs="Tahoma" w:hint="cs"/>
                        <w:color w:val="0D0D0D"/>
                        <w:sz w:val="16"/>
                        <w:szCs w:val="16"/>
                        <w:rtl/>
                      </w:rPr>
                      <w:t>פברואר</w:t>
                    </w:r>
                    <w:r w:rsidRPr="00A80DC3">
                      <w:rPr>
                        <w:rFonts w:ascii="Tahoma" w:hAnsi="Tahoma" w:cs="Tahoma"/>
                        <w:color w:val="0D0D0D"/>
                        <w:sz w:val="16"/>
                        <w:szCs w:val="16"/>
                        <w:rtl/>
                      </w:rPr>
                      <w:t xml:space="preserve"> </w:t>
                    </w:r>
                    <w:r>
                      <w:rPr>
                        <w:rFonts w:ascii="Tahoma" w:hAnsi="Tahoma" w:cs="Tahoma" w:hint="cs"/>
                        <w:color w:val="0D0D0D"/>
                        <w:sz w:val="16"/>
                        <w:szCs w:val="16"/>
                        <w:rtl/>
                      </w:rPr>
                      <w:t>2023</w:t>
                    </w:r>
                  </w:p>
                  <w:p w:rsidR="00E56721" w:rsidRPr="00C55DC9" w:rsidP="00B244B0" w14:paraId="0C0E463E" w14:textId="7A514447">
                    <w:pPr>
                      <w:jc w:val="right"/>
                      <w:rPr>
                        <w:color w:val="0D0D0D" w:themeColor="text1" w:themeTint="F2"/>
                        <w:sz w:val="16"/>
                        <w:szCs w:val="16"/>
                      </w:rPr>
                    </w:pPr>
                  </w:p>
                </w:txbxContent>
              </v:textbox>
            </v:shape>
          </w:pict>
        </mc:Fallback>
      </mc:AlternateContent>
    </w:r>
    <w:r>
      <w:rPr>
        <w:rFonts w:ascii="Tahoma" w:hAnsi="Tahoma" w:cs="Tahoma"/>
        <w:noProof/>
        <w:sz w:val="22"/>
        <w:szCs w:val="22"/>
        <w:rtl/>
        <w:lang w:val="he-IL"/>
      </w:rPr>
      <w:drawing>
        <wp:anchor distT="0" distB="0" distL="114300" distR="114300" simplePos="0" relativeHeight="251691008" behindDoc="0" locked="0" layoutInCell="1" allowOverlap="1">
          <wp:simplePos x="0" y="0"/>
          <wp:positionH relativeFrom="column">
            <wp:posOffset>-59055</wp:posOffset>
          </wp:positionH>
          <wp:positionV relativeFrom="paragraph">
            <wp:posOffset>345440</wp:posOffset>
          </wp:positionV>
          <wp:extent cx="343535" cy="240030"/>
          <wp:effectExtent l="0" t="0" r="0" b="7620"/>
          <wp:wrapSquare wrapText="bothSides"/>
          <wp:docPr id="1113575872"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75872" name="Picture 10"/>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43535" cy="24003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6912" behindDoc="0" locked="0" layoutInCell="1" allowOverlap="1">
              <wp:simplePos x="0" y="0"/>
              <wp:positionH relativeFrom="column">
                <wp:posOffset>-55880</wp:posOffset>
              </wp:positionH>
              <wp:positionV relativeFrom="paragraph">
                <wp:posOffset>640080</wp:posOffset>
              </wp:positionV>
              <wp:extent cx="6721475" cy="0"/>
              <wp:effectExtent l="0" t="0" r="0" b="0"/>
              <wp:wrapNone/>
              <wp:docPr id="62" name="Straight Connector 634"/>
              <wp:cNvGraphicFramePr/>
              <a:graphic xmlns:a="http://schemas.openxmlformats.org/drawingml/2006/main">
                <a:graphicData uri="http://schemas.microsoft.com/office/word/2010/wordprocessingShape">
                  <wps:wsp xmlns:wps="http://schemas.microsoft.com/office/word/2010/wordprocessingShape">
                    <wps:cNvCnPr/>
                    <wps:spPr>
                      <a:xfrm flipH="1">
                        <a:off x="0" y="0"/>
                        <a:ext cx="6721475"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34" o:spid="_x0000_s2064" style="flip:x;mso-height-percent:0;mso-height-relative:margin;mso-width-percent:0;mso-width-relative:margin;mso-wrap-distance-bottom:0;mso-wrap-distance-left:9pt;mso-wrap-distance-right:9pt;mso-wrap-distance-top:0;mso-wrap-style:square;position:absolute;visibility:visible;z-index:251687936" from="-4.4pt,50.4pt" to="524.85pt,50.4pt" strokecolor="#0d0d0d" strokeweight="0.25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3D77D42"/>
    <w:multiLevelType w:val="hybridMultilevel"/>
    <w:tmpl w:val="9F7261BA"/>
    <w:lvl w:ilvl="0">
      <w:start w:val="1"/>
      <w:numFmt w:val="bullet"/>
      <w:lvlText w:val=""/>
      <w:lvlJc w:val="left"/>
      <w:pPr>
        <w:ind w:left="794" w:hanging="397"/>
      </w:pPr>
      <w:rPr>
        <w:rFonts w:ascii="Symbol" w:hAnsi="Symbol" w:cs="Symbol" w:hint="default"/>
        <w:b/>
        <w:i w:val="0"/>
        <w:caps w:val="0"/>
        <w:strike w:val="0"/>
        <w:dstrike w:val="0"/>
        <w:vanish w:val="0"/>
        <w:color w:val="E41E2A"/>
        <w:sz w:val="28"/>
        <w:szCs w:val="28"/>
        <w:vertAlign w:val="baseline"/>
      </w:rPr>
    </w:lvl>
    <w:lvl w:ilvl="1">
      <w:start w:val="1"/>
      <w:numFmt w:val="bullet"/>
      <w:lvlText w:val="o"/>
      <w:lvlJc w:val="left"/>
      <w:pPr>
        <w:ind w:left="1298" w:hanging="360"/>
      </w:pPr>
      <w:rPr>
        <w:rFonts w:ascii="Courier New" w:hAnsi="Courier New" w:cs="Courier New" w:hint="default"/>
      </w:rPr>
    </w:lvl>
    <w:lvl w:ilvl="2" w:tentative="1">
      <w:start w:val="1"/>
      <w:numFmt w:val="bullet"/>
      <w:lvlText w:val=""/>
      <w:lvlJc w:val="left"/>
      <w:pPr>
        <w:ind w:left="2018" w:hanging="360"/>
      </w:pPr>
      <w:rPr>
        <w:rFonts w:ascii="Wingdings" w:hAnsi="Wingdings" w:hint="default"/>
      </w:rPr>
    </w:lvl>
    <w:lvl w:ilvl="3" w:tentative="1">
      <w:start w:val="1"/>
      <w:numFmt w:val="bullet"/>
      <w:lvlText w:val=""/>
      <w:lvlJc w:val="left"/>
      <w:pPr>
        <w:ind w:left="2738" w:hanging="360"/>
      </w:pPr>
      <w:rPr>
        <w:rFonts w:ascii="Symbol" w:hAnsi="Symbol" w:hint="default"/>
      </w:rPr>
    </w:lvl>
    <w:lvl w:ilvl="4" w:tentative="1">
      <w:start w:val="1"/>
      <w:numFmt w:val="bullet"/>
      <w:lvlText w:val="o"/>
      <w:lvlJc w:val="left"/>
      <w:pPr>
        <w:ind w:left="3458" w:hanging="360"/>
      </w:pPr>
      <w:rPr>
        <w:rFonts w:ascii="Courier New" w:hAnsi="Courier New" w:cs="Courier New" w:hint="default"/>
      </w:rPr>
    </w:lvl>
    <w:lvl w:ilvl="5" w:tentative="1">
      <w:start w:val="1"/>
      <w:numFmt w:val="bullet"/>
      <w:lvlText w:val=""/>
      <w:lvlJc w:val="left"/>
      <w:pPr>
        <w:ind w:left="4178" w:hanging="360"/>
      </w:pPr>
      <w:rPr>
        <w:rFonts w:ascii="Wingdings" w:hAnsi="Wingdings" w:hint="default"/>
      </w:rPr>
    </w:lvl>
    <w:lvl w:ilvl="6" w:tentative="1">
      <w:start w:val="1"/>
      <w:numFmt w:val="bullet"/>
      <w:lvlText w:val=""/>
      <w:lvlJc w:val="left"/>
      <w:pPr>
        <w:ind w:left="4898" w:hanging="360"/>
      </w:pPr>
      <w:rPr>
        <w:rFonts w:ascii="Symbol" w:hAnsi="Symbol" w:hint="default"/>
      </w:rPr>
    </w:lvl>
    <w:lvl w:ilvl="7" w:tentative="1">
      <w:start w:val="1"/>
      <w:numFmt w:val="bullet"/>
      <w:lvlText w:val="o"/>
      <w:lvlJc w:val="left"/>
      <w:pPr>
        <w:ind w:left="5618" w:hanging="360"/>
      </w:pPr>
      <w:rPr>
        <w:rFonts w:ascii="Courier New" w:hAnsi="Courier New" w:cs="Courier New" w:hint="default"/>
      </w:rPr>
    </w:lvl>
    <w:lvl w:ilvl="8" w:tentative="1">
      <w:start w:val="1"/>
      <w:numFmt w:val="bullet"/>
      <w:lvlText w:val=""/>
      <w:lvlJc w:val="left"/>
      <w:pPr>
        <w:ind w:left="6338" w:hanging="360"/>
      </w:pPr>
      <w:rPr>
        <w:rFonts w:ascii="Wingdings" w:hAnsi="Wingdings" w:hint="default"/>
      </w:rPr>
    </w:lvl>
  </w:abstractNum>
  <w:abstractNum w:abstractNumId="1">
    <w:nsid w:val="07C54509"/>
    <w:multiLevelType w:val="multilevel"/>
    <w:tmpl w:val="3030E6FC"/>
    <w:lvl w:ilvl="0">
      <w:start w:val="1"/>
      <w:numFmt w:val="decimal"/>
      <w:pStyle w:val="7324"/>
      <w:lvlText w:val="%1."/>
      <w:lvlJc w:val="left"/>
      <w:pPr>
        <w:ind w:left="340" w:hanging="340"/>
      </w:pPr>
      <w:rPr>
        <w:rFonts w:hint="default"/>
      </w:rPr>
    </w:lvl>
    <w:lvl w:ilvl="1">
      <w:start w:val="1"/>
      <w:numFmt w:val="hebrew1"/>
      <w:lvlText w:val="%2."/>
      <w:lvlJc w:val="left"/>
      <w:pPr>
        <w:ind w:left="680" w:hanging="340"/>
      </w:pPr>
      <w:rPr>
        <w:rFonts w:hint="default"/>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2">
    <w:nsid w:val="09104D8C"/>
    <w:multiLevelType w:val="hybridMultilevel"/>
    <w:tmpl w:val="0CE642E0"/>
    <w:lvl w:ilvl="0">
      <w:start w:val="1"/>
      <w:numFmt w:val="decimal"/>
      <w:pStyle w:val="a37"/>
      <w:suff w:val="nothing"/>
      <w:lvlText w:val="תרשים %1"/>
      <w:lvlJc w:val="left"/>
      <w:pPr>
        <w:ind w:left="1213" w:hanging="363"/>
      </w:pPr>
      <w:rPr>
        <w:rFonts w:hint="default"/>
        <w:vertAlign w:val="baseline"/>
      </w:rPr>
    </w:lvl>
    <w:lvl w:ilvl="1" w:tentative="1">
      <w:start w:val="1"/>
      <w:numFmt w:val="lowerLetter"/>
      <w:lvlText w:val="%2."/>
      <w:lvlJc w:val="left"/>
      <w:pPr>
        <w:ind w:left="3492" w:hanging="360"/>
      </w:pPr>
    </w:lvl>
    <w:lvl w:ilvl="2" w:tentative="1">
      <w:start w:val="1"/>
      <w:numFmt w:val="lowerRoman"/>
      <w:lvlText w:val="%3."/>
      <w:lvlJc w:val="right"/>
      <w:pPr>
        <w:ind w:left="4212" w:hanging="180"/>
      </w:pPr>
    </w:lvl>
    <w:lvl w:ilvl="3" w:tentative="1">
      <w:start w:val="1"/>
      <w:numFmt w:val="decimal"/>
      <w:lvlText w:val="%4."/>
      <w:lvlJc w:val="left"/>
      <w:pPr>
        <w:ind w:left="4932" w:hanging="360"/>
      </w:pPr>
    </w:lvl>
    <w:lvl w:ilvl="4" w:tentative="1">
      <w:start w:val="1"/>
      <w:numFmt w:val="lowerLetter"/>
      <w:lvlText w:val="%5."/>
      <w:lvlJc w:val="left"/>
      <w:pPr>
        <w:ind w:left="5652" w:hanging="360"/>
      </w:pPr>
    </w:lvl>
    <w:lvl w:ilvl="5" w:tentative="1">
      <w:start w:val="1"/>
      <w:numFmt w:val="lowerRoman"/>
      <w:lvlText w:val="%6."/>
      <w:lvlJc w:val="right"/>
      <w:pPr>
        <w:ind w:left="6372" w:hanging="180"/>
      </w:pPr>
    </w:lvl>
    <w:lvl w:ilvl="6" w:tentative="1">
      <w:start w:val="1"/>
      <w:numFmt w:val="decimal"/>
      <w:lvlText w:val="%7."/>
      <w:lvlJc w:val="left"/>
      <w:pPr>
        <w:ind w:left="7092" w:hanging="360"/>
      </w:pPr>
    </w:lvl>
    <w:lvl w:ilvl="7" w:tentative="1">
      <w:start w:val="1"/>
      <w:numFmt w:val="lowerLetter"/>
      <w:lvlText w:val="%8."/>
      <w:lvlJc w:val="left"/>
      <w:pPr>
        <w:ind w:left="7812" w:hanging="360"/>
      </w:pPr>
    </w:lvl>
    <w:lvl w:ilvl="8" w:tentative="1">
      <w:start w:val="1"/>
      <w:numFmt w:val="lowerRoman"/>
      <w:lvlText w:val="%9."/>
      <w:lvlJc w:val="right"/>
      <w:pPr>
        <w:ind w:left="8532" w:hanging="180"/>
      </w:pPr>
    </w:lvl>
  </w:abstractNum>
  <w:abstractNum w:abstractNumId="3">
    <w:nsid w:val="0DDA1A01"/>
    <w:multiLevelType w:val="hybridMultilevel"/>
    <w:tmpl w:val="CD76C6BE"/>
    <w:lvl w:ilvl="0">
      <w:start w:val="1"/>
      <w:numFmt w:val="bullet"/>
      <w:pStyle w:val="73BULLETS"/>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
    <w:nsid w:val="12C12FF7"/>
    <w:multiLevelType w:val="hybridMultilevel"/>
    <w:tmpl w:val="F2646CFC"/>
    <w:lvl w:ilvl="0">
      <w:start w:val="1"/>
      <w:numFmt w:val="bullet"/>
      <w:lvlText w:val=""/>
      <w:lvlJc w:val="left"/>
      <w:pPr>
        <w:ind w:left="794" w:hanging="397"/>
      </w:pPr>
      <w:rPr>
        <w:rFonts w:ascii="Symbol" w:hAnsi="Symbol" w:cs="Symbol" w:hint="default"/>
        <w:b/>
        <w:i w:val="0"/>
        <w:caps w:val="0"/>
        <w:strike w:val="0"/>
        <w:dstrike w:val="0"/>
        <w:vanish w:val="0"/>
        <w:color w:val="FCEC60"/>
        <w:sz w:val="28"/>
        <w:szCs w:val="28"/>
        <w:vertAlign w:val="baseline"/>
      </w:rPr>
    </w:lvl>
    <w:lvl w:ilvl="1">
      <w:start w:val="1"/>
      <w:numFmt w:val="bullet"/>
      <w:lvlText w:val="o"/>
      <w:lvlJc w:val="left"/>
      <w:pPr>
        <w:ind w:left="1298" w:hanging="360"/>
      </w:pPr>
      <w:rPr>
        <w:rFonts w:ascii="Courier New" w:hAnsi="Courier New" w:cs="Courier New" w:hint="default"/>
      </w:rPr>
    </w:lvl>
    <w:lvl w:ilvl="2" w:tentative="1">
      <w:start w:val="1"/>
      <w:numFmt w:val="bullet"/>
      <w:lvlText w:val=""/>
      <w:lvlJc w:val="left"/>
      <w:pPr>
        <w:ind w:left="2018" w:hanging="360"/>
      </w:pPr>
      <w:rPr>
        <w:rFonts w:ascii="Wingdings" w:hAnsi="Wingdings" w:hint="default"/>
      </w:rPr>
    </w:lvl>
    <w:lvl w:ilvl="3" w:tentative="1">
      <w:start w:val="1"/>
      <w:numFmt w:val="bullet"/>
      <w:lvlText w:val=""/>
      <w:lvlJc w:val="left"/>
      <w:pPr>
        <w:ind w:left="2738" w:hanging="360"/>
      </w:pPr>
      <w:rPr>
        <w:rFonts w:ascii="Symbol" w:hAnsi="Symbol" w:hint="default"/>
      </w:rPr>
    </w:lvl>
    <w:lvl w:ilvl="4" w:tentative="1">
      <w:start w:val="1"/>
      <w:numFmt w:val="bullet"/>
      <w:lvlText w:val="o"/>
      <w:lvlJc w:val="left"/>
      <w:pPr>
        <w:ind w:left="3458" w:hanging="360"/>
      </w:pPr>
      <w:rPr>
        <w:rFonts w:ascii="Courier New" w:hAnsi="Courier New" w:cs="Courier New" w:hint="default"/>
      </w:rPr>
    </w:lvl>
    <w:lvl w:ilvl="5" w:tentative="1">
      <w:start w:val="1"/>
      <w:numFmt w:val="bullet"/>
      <w:lvlText w:val=""/>
      <w:lvlJc w:val="left"/>
      <w:pPr>
        <w:ind w:left="4178" w:hanging="360"/>
      </w:pPr>
      <w:rPr>
        <w:rFonts w:ascii="Wingdings" w:hAnsi="Wingdings" w:hint="default"/>
      </w:rPr>
    </w:lvl>
    <w:lvl w:ilvl="6" w:tentative="1">
      <w:start w:val="1"/>
      <w:numFmt w:val="bullet"/>
      <w:lvlText w:val=""/>
      <w:lvlJc w:val="left"/>
      <w:pPr>
        <w:ind w:left="4898" w:hanging="360"/>
      </w:pPr>
      <w:rPr>
        <w:rFonts w:ascii="Symbol" w:hAnsi="Symbol" w:hint="default"/>
      </w:rPr>
    </w:lvl>
    <w:lvl w:ilvl="7" w:tentative="1">
      <w:start w:val="1"/>
      <w:numFmt w:val="bullet"/>
      <w:lvlText w:val="o"/>
      <w:lvlJc w:val="left"/>
      <w:pPr>
        <w:ind w:left="5618" w:hanging="360"/>
      </w:pPr>
      <w:rPr>
        <w:rFonts w:ascii="Courier New" w:hAnsi="Courier New" w:cs="Courier New" w:hint="default"/>
      </w:rPr>
    </w:lvl>
    <w:lvl w:ilvl="8" w:tentative="1">
      <w:start w:val="1"/>
      <w:numFmt w:val="bullet"/>
      <w:lvlText w:val=""/>
      <w:lvlJc w:val="left"/>
      <w:pPr>
        <w:ind w:left="6338" w:hanging="360"/>
      </w:pPr>
      <w:rPr>
        <w:rFonts w:ascii="Wingdings" w:hAnsi="Wingdings" w:hint="default"/>
      </w:rPr>
    </w:lvl>
  </w:abstractNum>
  <w:abstractNum w:abstractNumId="5">
    <w:nsid w:val="14E96EA3"/>
    <w:multiLevelType w:val="hybridMultilevel"/>
    <w:tmpl w:val="1BFE66DC"/>
    <w:lvl w:ilvl="0">
      <w:start w:val="1"/>
      <w:numFmt w:val="decimal"/>
      <w:lvlText w:val="%1."/>
      <w:lvlJc w:val="left"/>
      <w:pPr>
        <w:ind w:left="397" w:hanging="397"/>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nsid w:val="159A6C5A"/>
    <w:multiLevelType w:val="hybridMultilevel"/>
    <w:tmpl w:val="B12A2542"/>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
    <w:nsid w:val="19B61C04"/>
    <w:multiLevelType w:val="hybridMultilevel"/>
    <w:tmpl w:val="66DEB084"/>
    <w:lvl w:ilvl="0">
      <w:start w:val="1"/>
      <w:numFmt w:val="decimal"/>
      <w:lvlText w:val="תרשים %1: "/>
      <w:lvlJc w:val="left"/>
      <w:pPr>
        <w:ind w:left="1440" w:hanging="360"/>
      </w:pPr>
      <w:rPr>
        <w:rFonts w:ascii="David" w:hAnsi="David" w:cs="David" w:hint="default"/>
        <w:b/>
        <w:bCs/>
        <w:i w:val="0"/>
        <w:iCs w:val="0"/>
        <w:sz w:val="24"/>
        <w:szCs w:val="24"/>
      </w:rPr>
    </w:lvl>
    <w:lvl w:ilvl="1">
      <w:start w:val="1"/>
      <w:numFmt w:val="decimal"/>
      <w:pStyle w:val="a39"/>
      <w:suff w:val="nothing"/>
      <w:lvlText w:val="תרשים %2: "/>
      <w:lvlJc w:val="left"/>
      <w:pPr>
        <w:ind w:left="930" w:hanging="363"/>
      </w:pPr>
      <w:rPr>
        <w:rFonts w:ascii="David" w:hAnsi="David" w:cs="David" w:hint="default"/>
        <w:b/>
        <w:bCs/>
        <w:i w:val="0"/>
        <w:iCs w:val="0"/>
        <w:sz w:val="24"/>
        <w:szCs w:val="24"/>
        <w:vertAlign w:val="baseline"/>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
    <w:nsid w:val="2DE56E8C"/>
    <w:multiLevelType w:val="singleLevel"/>
    <w:tmpl w:val="1FD0DF68"/>
    <w:lvl w:ilvl="0">
      <w:start w:val="1"/>
      <w:numFmt w:val="none"/>
      <w:pStyle w:val="BulletList2"/>
      <w:lvlText w:val=""/>
      <w:lvlJc w:val="center"/>
      <w:pPr>
        <w:tabs>
          <w:tab w:val="num" w:pos="1083"/>
        </w:tabs>
        <w:ind w:left="1083" w:hanging="306"/>
      </w:pPr>
      <w:rPr>
        <w:rFonts w:ascii="Symbol" w:hAnsi="Symbol" w:hint="default"/>
      </w:rPr>
    </w:lvl>
  </w:abstractNum>
  <w:abstractNum w:abstractNumId="9">
    <w:nsid w:val="3AD8226E"/>
    <w:multiLevelType w:val="hybridMultilevel"/>
    <w:tmpl w:val="5C045B12"/>
    <w:lvl w:ilvl="0">
      <w:start w:val="1"/>
      <w:numFmt w:val="bullet"/>
      <w:lvlText w:val=""/>
      <w:lvlJc w:val="left"/>
      <w:pPr>
        <w:ind w:left="720" w:hanging="360"/>
      </w:pPr>
      <w:rPr>
        <w:rFonts w:ascii="Symbol" w:hAnsi="Symbol" w:cs="Symbol" w:hint="default"/>
        <w:b/>
        <w:i w:val="0"/>
        <w:caps w:val="0"/>
        <w:strike w:val="0"/>
        <w:dstrike w:val="0"/>
        <w:vanish w:val="0"/>
        <w:color w:val="E41E2A"/>
        <w:sz w:val="28"/>
        <w:szCs w:val="28"/>
        <w:vertAlign w:val="baseline"/>
      </w:rPr>
    </w:lvl>
    <w:lvl w:ilvl="1">
      <w:start w:val="1"/>
      <w:numFmt w:val="bullet"/>
      <w:lvlText w:val="o"/>
      <w:lvlJc w:val="left"/>
      <w:pPr>
        <w:ind w:left="1298" w:hanging="360"/>
      </w:pPr>
      <w:rPr>
        <w:rFonts w:ascii="Courier New" w:hAnsi="Courier New" w:cs="Courier New" w:hint="default"/>
      </w:rPr>
    </w:lvl>
    <w:lvl w:ilvl="2" w:tentative="1">
      <w:start w:val="1"/>
      <w:numFmt w:val="bullet"/>
      <w:lvlText w:val=""/>
      <w:lvlJc w:val="left"/>
      <w:pPr>
        <w:ind w:left="2018" w:hanging="360"/>
      </w:pPr>
      <w:rPr>
        <w:rFonts w:ascii="Wingdings" w:hAnsi="Wingdings" w:hint="default"/>
      </w:rPr>
    </w:lvl>
    <w:lvl w:ilvl="3" w:tentative="1">
      <w:start w:val="1"/>
      <w:numFmt w:val="bullet"/>
      <w:lvlText w:val=""/>
      <w:lvlJc w:val="left"/>
      <w:pPr>
        <w:ind w:left="2738" w:hanging="360"/>
      </w:pPr>
      <w:rPr>
        <w:rFonts w:ascii="Symbol" w:hAnsi="Symbol" w:hint="default"/>
      </w:rPr>
    </w:lvl>
    <w:lvl w:ilvl="4" w:tentative="1">
      <w:start w:val="1"/>
      <w:numFmt w:val="bullet"/>
      <w:lvlText w:val="o"/>
      <w:lvlJc w:val="left"/>
      <w:pPr>
        <w:ind w:left="3458" w:hanging="360"/>
      </w:pPr>
      <w:rPr>
        <w:rFonts w:ascii="Courier New" w:hAnsi="Courier New" w:cs="Courier New" w:hint="default"/>
      </w:rPr>
    </w:lvl>
    <w:lvl w:ilvl="5" w:tentative="1">
      <w:start w:val="1"/>
      <w:numFmt w:val="bullet"/>
      <w:lvlText w:val=""/>
      <w:lvlJc w:val="left"/>
      <w:pPr>
        <w:ind w:left="4178" w:hanging="360"/>
      </w:pPr>
      <w:rPr>
        <w:rFonts w:ascii="Wingdings" w:hAnsi="Wingdings" w:hint="default"/>
      </w:rPr>
    </w:lvl>
    <w:lvl w:ilvl="6" w:tentative="1">
      <w:start w:val="1"/>
      <w:numFmt w:val="bullet"/>
      <w:lvlText w:val=""/>
      <w:lvlJc w:val="left"/>
      <w:pPr>
        <w:ind w:left="4898" w:hanging="360"/>
      </w:pPr>
      <w:rPr>
        <w:rFonts w:ascii="Symbol" w:hAnsi="Symbol" w:hint="default"/>
      </w:rPr>
    </w:lvl>
    <w:lvl w:ilvl="7" w:tentative="1">
      <w:start w:val="1"/>
      <w:numFmt w:val="bullet"/>
      <w:lvlText w:val="o"/>
      <w:lvlJc w:val="left"/>
      <w:pPr>
        <w:ind w:left="5618" w:hanging="360"/>
      </w:pPr>
      <w:rPr>
        <w:rFonts w:ascii="Courier New" w:hAnsi="Courier New" w:cs="Courier New" w:hint="default"/>
      </w:rPr>
    </w:lvl>
    <w:lvl w:ilvl="8" w:tentative="1">
      <w:start w:val="1"/>
      <w:numFmt w:val="bullet"/>
      <w:lvlText w:val=""/>
      <w:lvlJc w:val="left"/>
      <w:pPr>
        <w:ind w:left="6338" w:hanging="360"/>
      </w:pPr>
      <w:rPr>
        <w:rFonts w:ascii="Wingdings" w:hAnsi="Wingdings" w:hint="default"/>
      </w:rPr>
    </w:lvl>
  </w:abstractNum>
  <w:abstractNum w:abstractNumId="10">
    <w:nsid w:val="3BA731A4"/>
    <w:multiLevelType w:val="multilevel"/>
    <w:tmpl w:val="00DEBF2A"/>
    <w:lvl w:ilvl="0">
      <w:start w:val="1"/>
      <w:numFmt w:val="decimal"/>
      <w:pStyle w:val="Hn1"/>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color w:val="auto"/>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1">
    <w:nsid w:val="459C2999"/>
    <w:multiLevelType w:val="multilevel"/>
    <w:tmpl w:val="065C52B0"/>
    <w:lvl w:ilvl="0">
      <w:start w:val="1"/>
      <w:numFmt w:val="hebrew1"/>
      <w:pStyle w:val="7325"/>
      <w:lvlText w:val="%1."/>
      <w:lvlJc w:val="left"/>
      <w:pPr>
        <w:ind w:left="340" w:hanging="340"/>
      </w:pPr>
      <w:rPr>
        <w:rFonts w:ascii="Tahoma" w:eastAsia="Times New Roman" w:hAnsi="Tahoma" w:cs="Tahoma" w:hint="default"/>
        <w:lang w:bidi="he-IL"/>
      </w:rPr>
    </w:lvl>
    <w:lvl w:ilvl="1">
      <w:start w:val="1"/>
      <w:numFmt w:val="hebrew1"/>
      <w:lvlText w:val="%2."/>
      <w:lvlJc w:val="left"/>
      <w:pPr>
        <w:ind w:left="680" w:hanging="340"/>
      </w:pPr>
      <w:rPr>
        <w:rFonts w:hint="default"/>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12">
    <w:nsid w:val="4A2F3141"/>
    <w:multiLevelType w:val="hybridMultilevel"/>
    <w:tmpl w:val="E2F805B6"/>
    <w:lvl w:ilvl="0">
      <w:start w:val="1"/>
      <w:numFmt w:val="bullet"/>
      <w:lvlText w:val=""/>
      <w:lvlJc w:val="left"/>
      <w:pPr>
        <w:ind w:left="794" w:hanging="397"/>
      </w:pPr>
      <w:rPr>
        <w:rFonts w:ascii="Symbol" w:hAnsi="Symbol" w:cs="Symbol" w:hint="default"/>
        <w:b/>
        <w:i w:val="0"/>
        <w:caps w:val="0"/>
        <w:strike w:val="0"/>
        <w:dstrike w:val="0"/>
        <w:vanish w:val="0"/>
        <w:color w:val="FCEC60"/>
        <w:sz w:val="28"/>
        <w:szCs w:val="28"/>
        <w:vertAlign w:val="baseline"/>
      </w:rPr>
    </w:lvl>
    <w:lvl w:ilvl="1">
      <w:start w:val="1"/>
      <w:numFmt w:val="bullet"/>
      <w:lvlText w:val="o"/>
      <w:lvlJc w:val="left"/>
      <w:pPr>
        <w:ind w:left="1298" w:hanging="360"/>
      </w:pPr>
      <w:rPr>
        <w:rFonts w:ascii="Courier New" w:hAnsi="Courier New" w:cs="Courier New" w:hint="default"/>
      </w:rPr>
    </w:lvl>
    <w:lvl w:ilvl="2" w:tentative="1">
      <w:start w:val="1"/>
      <w:numFmt w:val="bullet"/>
      <w:lvlText w:val=""/>
      <w:lvlJc w:val="left"/>
      <w:pPr>
        <w:ind w:left="2018" w:hanging="360"/>
      </w:pPr>
      <w:rPr>
        <w:rFonts w:ascii="Wingdings" w:hAnsi="Wingdings" w:hint="default"/>
      </w:rPr>
    </w:lvl>
    <w:lvl w:ilvl="3" w:tentative="1">
      <w:start w:val="1"/>
      <w:numFmt w:val="bullet"/>
      <w:lvlText w:val=""/>
      <w:lvlJc w:val="left"/>
      <w:pPr>
        <w:ind w:left="2738" w:hanging="360"/>
      </w:pPr>
      <w:rPr>
        <w:rFonts w:ascii="Symbol" w:hAnsi="Symbol" w:hint="default"/>
      </w:rPr>
    </w:lvl>
    <w:lvl w:ilvl="4" w:tentative="1">
      <w:start w:val="1"/>
      <w:numFmt w:val="bullet"/>
      <w:lvlText w:val="o"/>
      <w:lvlJc w:val="left"/>
      <w:pPr>
        <w:ind w:left="3458" w:hanging="360"/>
      </w:pPr>
      <w:rPr>
        <w:rFonts w:ascii="Courier New" w:hAnsi="Courier New" w:cs="Courier New" w:hint="default"/>
      </w:rPr>
    </w:lvl>
    <w:lvl w:ilvl="5" w:tentative="1">
      <w:start w:val="1"/>
      <w:numFmt w:val="bullet"/>
      <w:lvlText w:val=""/>
      <w:lvlJc w:val="left"/>
      <w:pPr>
        <w:ind w:left="4178" w:hanging="360"/>
      </w:pPr>
      <w:rPr>
        <w:rFonts w:ascii="Wingdings" w:hAnsi="Wingdings" w:hint="default"/>
      </w:rPr>
    </w:lvl>
    <w:lvl w:ilvl="6" w:tentative="1">
      <w:start w:val="1"/>
      <w:numFmt w:val="bullet"/>
      <w:lvlText w:val=""/>
      <w:lvlJc w:val="left"/>
      <w:pPr>
        <w:ind w:left="4898" w:hanging="360"/>
      </w:pPr>
      <w:rPr>
        <w:rFonts w:ascii="Symbol" w:hAnsi="Symbol" w:hint="default"/>
      </w:rPr>
    </w:lvl>
    <w:lvl w:ilvl="7" w:tentative="1">
      <w:start w:val="1"/>
      <w:numFmt w:val="bullet"/>
      <w:lvlText w:val="o"/>
      <w:lvlJc w:val="left"/>
      <w:pPr>
        <w:ind w:left="5618" w:hanging="360"/>
      </w:pPr>
      <w:rPr>
        <w:rFonts w:ascii="Courier New" w:hAnsi="Courier New" w:cs="Courier New" w:hint="default"/>
      </w:rPr>
    </w:lvl>
    <w:lvl w:ilvl="8" w:tentative="1">
      <w:start w:val="1"/>
      <w:numFmt w:val="bullet"/>
      <w:lvlText w:val=""/>
      <w:lvlJc w:val="left"/>
      <w:pPr>
        <w:ind w:left="6338" w:hanging="360"/>
      </w:pPr>
      <w:rPr>
        <w:rFonts w:ascii="Wingdings" w:hAnsi="Wingdings" w:hint="default"/>
      </w:rPr>
    </w:lvl>
  </w:abstractNum>
  <w:abstractNum w:abstractNumId="13">
    <w:nsid w:val="5C2D00DD"/>
    <w:multiLevelType w:val="multilevel"/>
    <w:tmpl w:val="CB2CFB36"/>
    <w:styleLink w:val="-"/>
    <w:lvl w:ilvl="0">
      <w:start w:val="1"/>
      <w:numFmt w:val="decimal"/>
      <w:lvlText w:val="%1."/>
      <w:lvlJc w:val="left"/>
      <w:pPr>
        <w:tabs>
          <w:tab w:val="num" w:pos="357"/>
        </w:tabs>
        <w:ind w:left="357" w:hanging="357"/>
      </w:pPr>
    </w:lvl>
    <w:lvl w:ilvl="1">
      <w:start w:val="1"/>
      <w:numFmt w:val="decimal"/>
      <w:lvlText w:val="%1.%2."/>
      <w:lvlJc w:val="left"/>
      <w:pPr>
        <w:tabs>
          <w:tab w:val="num" w:pos="794"/>
        </w:tabs>
        <w:ind w:left="794" w:hanging="437"/>
      </w:pPr>
    </w:lvl>
    <w:lvl w:ilvl="2">
      <w:start w:val="1"/>
      <w:numFmt w:val="decimal"/>
      <w:lvlText w:val="%1.%2.%3."/>
      <w:lvlJc w:val="left"/>
      <w:pPr>
        <w:tabs>
          <w:tab w:val="num" w:pos="1440"/>
        </w:tabs>
        <w:ind w:left="1225" w:hanging="505"/>
      </w:pPr>
    </w:lvl>
    <w:lvl w:ilvl="3">
      <w:start w:val="1"/>
      <w:numFmt w:val="decimal"/>
      <w:lvlText w:val="%1.%2.%3.%4."/>
      <w:lvlJc w:val="left"/>
      <w:pPr>
        <w:tabs>
          <w:tab w:val="num" w:pos="1797"/>
        </w:tabs>
        <w:ind w:left="1729" w:hanging="652"/>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14">
    <w:nsid w:val="5D7F29F7"/>
    <w:multiLevelType w:val="hybridMultilevel"/>
    <w:tmpl w:val="ABFC5A12"/>
    <w:lvl w:ilvl="0">
      <w:start w:val="1"/>
      <w:numFmt w:val="hebrew1"/>
      <w:pStyle w:val="70"/>
      <w:lvlText w:val="%1."/>
      <w:lvlJc w:val="left"/>
      <w:pPr>
        <w:ind w:left="794" w:hanging="397"/>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5">
    <w:nsid w:val="5F743717"/>
    <w:multiLevelType w:val="multilevel"/>
    <w:tmpl w:val="54B40DD4"/>
    <w:lvl w:ilvl="0">
      <w:start w:val="1"/>
      <w:numFmt w:val="decimal"/>
      <w:pStyle w:val="a23"/>
      <w:lvlText w:val="%1."/>
      <w:lvlJc w:val="left"/>
      <w:pPr>
        <w:tabs>
          <w:tab w:val="num" w:pos="360"/>
        </w:tabs>
        <w:ind w:left="360" w:hanging="360"/>
      </w:pPr>
      <w:rPr>
        <w:rFonts w:cs="David" w:hint="cs"/>
        <w:szCs w:val="24"/>
      </w:rPr>
    </w:lvl>
    <w:lvl w:ilvl="1">
      <w:start w:val="1"/>
      <w:numFmt w:val="decimal"/>
      <w:lvlText w:val="%1.%2."/>
      <w:lvlJc w:val="left"/>
      <w:pPr>
        <w:tabs>
          <w:tab w:val="num" w:pos="792"/>
        </w:tabs>
        <w:ind w:left="792" w:hanging="432"/>
      </w:pPr>
      <w:rPr>
        <w:rFonts w:cs="David" w:hint="cs"/>
        <w:b w:val="0"/>
        <w:bCs w:val="0"/>
        <w:sz w:val="24"/>
        <w:szCs w:val="24"/>
      </w:rPr>
    </w:lvl>
    <w:lvl w:ilvl="2">
      <w:start w:val="1"/>
      <w:numFmt w:val="decimal"/>
      <w:lvlText w:val="%1.%2.%3."/>
      <w:lvlJc w:val="left"/>
      <w:pPr>
        <w:tabs>
          <w:tab w:val="num" w:pos="1418"/>
        </w:tabs>
        <w:ind w:left="1418" w:hanging="624"/>
      </w:pPr>
      <w:rPr>
        <w:rFonts w:cs="David" w:hint="cs"/>
        <w:b w:val="0"/>
        <w:bCs w:val="0"/>
        <w:szCs w:val="24"/>
      </w:rPr>
    </w:lvl>
    <w:lvl w:ilvl="3">
      <w:start w:val="1"/>
      <w:numFmt w:val="decimal"/>
      <w:lvlText w:val="%1.%2.%3.%4."/>
      <w:lvlJc w:val="left"/>
      <w:pPr>
        <w:tabs>
          <w:tab w:val="num" w:pos="2098"/>
        </w:tabs>
        <w:ind w:left="2098" w:hanging="680"/>
      </w:pPr>
      <w:rPr>
        <w:rFonts w:cs="David" w:hint="cs"/>
        <w:b w:val="0"/>
        <w:bCs w:val="0"/>
        <w:szCs w:val="24"/>
      </w:rPr>
    </w:lvl>
    <w:lvl w:ilvl="4">
      <w:start w:val="1"/>
      <w:numFmt w:val="decimal"/>
      <w:lvlText w:val="%1.%2.%3.%4.%5."/>
      <w:lvlJc w:val="left"/>
      <w:pPr>
        <w:tabs>
          <w:tab w:val="num" w:pos="2325"/>
        </w:tabs>
        <w:ind w:left="2325" w:hanging="227"/>
      </w:pPr>
      <w:rPr>
        <w:rFonts w:cs="David" w:hint="cs"/>
        <w:szCs w:val="24"/>
      </w:rPr>
    </w:lvl>
    <w:lvl w:ilvl="5">
      <w:start w:val="1"/>
      <w:numFmt w:val="decimal"/>
      <w:lvlText w:val="%1.%2.%3.%4.%5.%6."/>
      <w:lvlJc w:val="left"/>
      <w:pPr>
        <w:tabs>
          <w:tab w:val="num" w:pos="2880"/>
        </w:tabs>
        <w:ind w:left="2736" w:hanging="936"/>
      </w:pPr>
      <w:rPr>
        <w:rFonts w:cs="David" w:hint="cs"/>
      </w:rPr>
    </w:lvl>
    <w:lvl w:ilvl="6">
      <w:start w:val="1"/>
      <w:numFmt w:val="decimal"/>
      <w:lvlText w:val="%1.%2.%3.%4.%5.%6.%7."/>
      <w:lvlJc w:val="left"/>
      <w:pPr>
        <w:tabs>
          <w:tab w:val="num" w:pos="3600"/>
        </w:tabs>
        <w:ind w:left="3240" w:hanging="1080"/>
      </w:pPr>
      <w:rPr>
        <w:rFonts w:cs="TypoUpright BT" w:hint="default"/>
      </w:rPr>
    </w:lvl>
    <w:lvl w:ilvl="7">
      <w:start w:val="1"/>
      <w:numFmt w:val="decimal"/>
      <w:lvlText w:val="%1.%2.%3.%4.%5.%6.%7.%8."/>
      <w:lvlJc w:val="left"/>
      <w:pPr>
        <w:tabs>
          <w:tab w:val="num" w:pos="3960"/>
        </w:tabs>
        <w:ind w:left="3744" w:hanging="1224"/>
      </w:pPr>
      <w:rPr>
        <w:rFonts w:cs="TypoUpright BT" w:hint="default"/>
      </w:rPr>
    </w:lvl>
    <w:lvl w:ilvl="8">
      <w:start w:val="1"/>
      <w:numFmt w:val="decimal"/>
      <w:lvlText w:val="%1.%2.%3.%4.%5.%6.%7.%8.%9."/>
      <w:lvlJc w:val="left"/>
      <w:pPr>
        <w:tabs>
          <w:tab w:val="num" w:pos="4680"/>
        </w:tabs>
        <w:ind w:left="4320" w:hanging="1440"/>
      </w:pPr>
      <w:rPr>
        <w:rFonts w:cs="TypoUpright BT" w:hint="default"/>
      </w:rPr>
    </w:lvl>
  </w:abstractNum>
  <w:abstractNum w:abstractNumId="16">
    <w:nsid w:val="73A3763C"/>
    <w:multiLevelType w:val="hybridMultilevel"/>
    <w:tmpl w:val="5FB2A56C"/>
    <w:lvl w:ilvl="0">
      <w:start w:val="1"/>
      <w:numFmt w:val="bullet"/>
      <w:lvlText w:val=""/>
      <w:lvlJc w:val="left"/>
      <w:pPr>
        <w:ind w:left="720" w:hanging="360"/>
      </w:pPr>
      <w:rPr>
        <w:rFonts w:ascii="Symbol" w:hAnsi="Symbol" w:cs="Symbol" w:hint="default"/>
        <w:b/>
        <w:i w:val="0"/>
        <w:caps w:val="0"/>
        <w:strike w:val="0"/>
        <w:dstrike w:val="0"/>
        <w:vanish w:val="0"/>
        <w:color w:val="E41E2A"/>
        <w:sz w:val="28"/>
        <w:szCs w:val="28"/>
        <w:vertAlign w:val="baseline"/>
      </w:rPr>
    </w:lvl>
    <w:lvl w:ilvl="1">
      <w:start w:val="1"/>
      <w:numFmt w:val="bullet"/>
      <w:lvlText w:val="o"/>
      <w:lvlJc w:val="left"/>
      <w:pPr>
        <w:ind w:left="1298" w:hanging="360"/>
      </w:pPr>
      <w:rPr>
        <w:rFonts w:ascii="Courier New" w:hAnsi="Courier New" w:cs="Courier New" w:hint="default"/>
      </w:rPr>
    </w:lvl>
    <w:lvl w:ilvl="2" w:tentative="1">
      <w:start w:val="1"/>
      <w:numFmt w:val="bullet"/>
      <w:lvlText w:val=""/>
      <w:lvlJc w:val="left"/>
      <w:pPr>
        <w:ind w:left="2018" w:hanging="360"/>
      </w:pPr>
      <w:rPr>
        <w:rFonts w:ascii="Wingdings" w:hAnsi="Wingdings" w:hint="default"/>
      </w:rPr>
    </w:lvl>
    <w:lvl w:ilvl="3" w:tentative="1">
      <w:start w:val="1"/>
      <w:numFmt w:val="bullet"/>
      <w:lvlText w:val=""/>
      <w:lvlJc w:val="left"/>
      <w:pPr>
        <w:ind w:left="2738" w:hanging="360"/>
      </w:pPr>
      <w:rPr>
        <w:rFonts w:ascii="Symbol" w:hAnsi="Symbol" w:hint="default"/>
      </w:rPr>
    </w:lvl>
    <w:lvl w:ilvl="4" w:tentative="1">
      <w:start w:val="1"/>
      <w:numFmt w:val="bullet"/>
      <w:lvlText w:val="o"/>
      <w:lvlJc w:val="left"/>
      <w:pPr>
        <w:ind w:left="3458" w:hanging="360"/>
      </w:pPr>
      <w:rPr>
        <w:rFonts w:ascii="Courier New" w:hAnsi="Courier New" w:cs="Courier New" w:hint="default"/>
      </w:rPr>
    </w:lvl>
    <w:lvl w:ilvl="5" w:tentative="1">
      <w:start w:val="1"/>
      <w:numFmt w:val="bullet"/>
      <w:lvlText w:val=""/>
      <w:lvlJc w:val="left"/>
      <w:pPr>
        <w:ind w:left="4178" w:hanging="360"/>
      </w:pPr>
      <w:rPr>
        <w:rFonts w:ascii="Wingdings" w:hAnsi="Wingdings" w:hint="default"/>
      </w:rPr>
    </w:lvl>
    <w:lvl w:ilvl="6" w:tentative="1">
      <w:start w:val="1"/>
      <w:numFmt w:val="bullet"/>
      <w:lvlText w:val=""/>
      <w:lvlJc w:val="left"/>
      <w:pPr>
        <w:ind w:left="4898" w:hanging="360"/>
      </w:pPr>
      <w:rPr>
        <w:rFonts w:ascii="Symbol" w:hAnsi="Symbol" w:hint="default"/>
      </w:rPr>
    </w:lvl>
    <w:lvl w:ilvl="7" w:tentative="1">
      <w:start w:val="1"/>
      <w:numFmt w:val="bullet"/>
      <w:lvlText w:val="o"/>
      <w:lvlJc w:val="left"/>
      <w:pPr>
        <w:ind w:left="5618" w:hanging="360"/>
      </w:pPr>
      <w:rPr>
        <w:rFonts w:ascii="Courier New" w:hAnsi="Courier New" w:cs="Courier New" w:hint="default"/>
      </w:rPr>
    </w:lvl>
    <w:lvl w:ilvl="8" w:tentative="1">
      <w:start w:val="1"/>
      <w:numFmt w:val="bullet"/>
      <w:lvlText w:val=""/>
      <w:lvlJc w:val="left"/>
      <w:pPr>
        <w:ind w:left="6338" w:hanging="360"/>
      </w:pPr>
      <w:rPr>
        <w:rFonts w:ascii="Wingdings" w:hAnsi="Wingdings" w:hint="default"/>
      </w:rPr>
    </w:lvl>
  </w:abstractNum>
  <w:abstractNum w:abstractNumId="17">
    <w:nsid w:val="7A0E36D9"/>
    <w:multiLevelType w:val="hybridMultilevel"/>
    <w:tmpl w:val="AC6AE464"/>
    <w:lvl w:ilvl="0">
      <w:start w:val="1"/>
      <w:numFmt w:val="bullet"/>
      <w:lvlText w:val=""/>
      <w:lvlJc w:val="left"/>
      <w:pPr>
        <w:ind w:left="794" w:hanging="397"/>
      </w:pPr>
      <w:rPr>
        <w:rFonts w:ascii="Symbol" w:hAnsi="Symbol" w:cs="Symbol" w:hint="default"/>
        <w:b/>
        <w:i w:val="0"/>
        <w:caps w:val="0"/>
        <w:strike w:val="0"/>
        <w:dstrike w:val="0"/>
        <w:vanish w:val="0"/>
        <w:color w:val="E41E2A"/>
        <w:sz w:val="28"/>
        <w:szCs w:val="28"/>
        <w:vertAlign w:val="baseline"/>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8">
    <w:nsid w:val="7D365B29"/>
    <w:multiLevelType w:val="multilevel"/>
    <w:tmpl w:val="E3AA6D54"/>
    <w:lvl w:ilvl="0">
      <w:start w:val="1"/>
      <w:numFmt w:val="hebrew1"/>
      <w:pStyle w:val="7323"/>
      <w:lvlText w:val="%1."/>
      <w:lvlJc w:val="left"/>
      <w:pPr>
        <w:ind w:left="663" w:hanging="340"/>
      </w:pPr>
      <w:rPr>
        <w:rFonts w:ascii="Tahoma" w:hAnsi="Tahoma" w:eastAsiaTheme="minorHAnsi" w:cs="Tahoma" w:hint="default"/>
        <w:b w:val="0"/>
        <w:bCs w:val="0"/>
      </w:rPr>
    </w:lvl>
    <w:lvl w:ilvl="1">
      <w:start w:val="1"/>
      <w:numFmt w:val="hebrew1"/>
      <w:lvlText w:val="%2."/>
      <w:lvlJc w:val="left"/>
      <w:pPr>
        <w:ind w:left="1003" w:hanging="340"/>
      </w:pPr>
    </w:lvl>
    <w:lvl w:ilvl="2">
      <w:start w:val="1"/>
      <w:numFmt w:val="decimal"/>
      <w:lvlText w:val="(%3)"/>
      <w:lvlJc w:val="left"/>
      <w:pPr>
        <w:ind w:left="1400" w:hanging="397"/>
      </w:pPr>
    </w:lvl>
    <w:lvl w:ilvl="3">
      <w:start w:val="1"/>
      <w:numFmt w:val="hebrew1"/>
      <w:lvlText w:val="(%4)"/>
      <w:lvlJc w:val="left"/>
      <w:pPr>
        <w:ind w:left="1797" w:hanging="397"/>
      </w:pPr>
    </w:lvl>
    <w:lvl w:ilvl="4">
      <w:start w:val="1"/>
      <w:numFmt w:val="lowerLetter"/>
      <w:lvlText w:val="(%5)"/>
      <w:lvlJc w:val="left"/>
      <w:pPr>
        <w:ind w:left="2120" w:hanging="357"/>
      </w:pPr>
    </w:lvl>
    <w:lvl w:ilvl="5">
      <w:start w:val="1"/>
      <w:numFmt w:val="lowerRoman"/>
      <w:lvlText w:val="(%6)"/>
      <w:lvlJc w:val="left"/>
      <w:pPr>
        <w:ind w:left="2483" w:hanging="363"/>
      </w:pPr>
    </w:lvl>
    <w:lvl w:ilvl="6">
      <w:start w:val="1"/>
      <w:numFmt w:val="decimal"/>
      <w:lvlText w:val="%7."/>
      <w:lvlJc w:val="left"/>
      <w:pPr>
        <w:ind w:left="2840" w:hanging="357"/>
      </w:pPr>
    </w:lvl>
    <w:lvl w:ilvl="7">
      <w:start w:val="1"/>
      <w:numFmt w:val="lowerLetter"/>
      <w:lvlText w:val="%8."/>
      <w:lvlJc w:val="left"/>
      <w:pPr>
        <w:ind w:left="3203" w:hanging="363"/>
      </w:pPr>
    </w:lvl>
    <w:lvl w:ilvl="8">
      <w:start w:val="1"/>
      <w:numFmt w:val="lowerRoman"/>
      <w:lvlText w:val="%9."/>
      <w:lvlJc w:val="left"/>
      <w:pPr>
        <w:ind w:left="3560" w:hanging="357"/>
      </w:pPr>
    </w:lvl>
  </w:abstractNum>
  <w:abstractNum w:abstractNumId="19">
    <w:nsid w:val="7EC40B20"/>
    <w:multiLevelType w:val="hybridMultilevel"/>
    <w:tmpl w:val="0414F086"/>
    <w:lvl w:ilvl="0">
      <w:start w:val="1"/>
      <w:numFmt w:val="bullet"/>
      <w:lvlText w:val=""/>
      <w:lvlJc w:val="left"/>
      <w:pPr>
        <w:ind w:left="720" w:hanging="360"/>
      </w:pPr>
      <w:rPr>
        <w:rFonts w:ascii="Symbol" w:hAnsi="Symbol" w:cs="Symbol" w:hint="default"/>
        <w:b/>
        <w:i w:val="0"/>
        <w:caps w:val="0"/>
        <w:strike w:val="0"/>
        <w:dstrike w:val="0"/>
        <w:vanish w:val="0"/>
        <w:color w:val="E41E2A"/>
        <w:sz w:val="28"/>
        <w:szCs w:val="28"/>
        <w:vertAlign w:val="baseline"/>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0">
    <w:nsid w:val="7F814684"/>
    <w:multiLevelType w:val="hybridMultilevel"/>
    <w:tmpl w:val="E236CB9E"/>
    <w:lvl w:ilvl="0">
      <w:start w:val="1"/>
      <w:numFmt w:val="bullet"/>
      <w:lvlText w:val=""/>
      <w:lvlJc w:val="left"/>
      <w:pPr>
        <w:ind w:left="794" w:hanging="397"/>
      </w:pPr>
      <w:rPr>
        <w:rFonts w:ascii="Symbol" w:hAnsi="Symbol" w:cs="Symbol" w:hint="default"/>
        <w:b/>
        <w:i w:val="0"/>
        <w:caps w:val="0"/>
        <w:strike w:val="0"/>
        <w:dstrike w:val="0"/>
        <w:vanish w:val="0"/>
        <w:color w:val="E41E2A"/>
        <w:sz w:val="28"/>
        <w:szCs w:val="28"/>
        <w:vertAlign w:val="baseline"/>
      </w:rPr>
    </w:lvl>
    <w:lvl w:ilvl="1">
      <w:start w:val="1"/>
      <w:numFmt w:val="bullet"/>
      <w:lvlText w:val="o"/>
      <w:lvlJc w:val="left"/>
      <w:pPr>
        <w:ind w:left="1298" w:hanging="360"/>
      </w:pPr>
      <w:rPr>
        <w:rFonts w:ascii="Courier New" w:hAnsi="Courier New" w:cs="Courier New" w:hint="default"/>
      </w:rPr>
    </w:lvl>
    <w:lvl w:ilvl="2" w:tentative="1">
      <w:start w:val="1"/>
      <w:numFmt w:val="bullet"/>
      <w:lvlText w:val=""/>
      <w:lvlJc w:val="left"/>
      <w:pPr>
        <w:ind w:left="2018" w:hanging="360"/>
      </w:pPr>
      <w:rPr>
        <w:rFonts w:ascii="Wingdings" w:hAnsi="Wingdings" w:hint="default"/>
      </w:rPr>
    </w:lvl>
    <w:lvl w:ilvl="3" w:tentative="1">
      <w:start w:val="1"/>
      <w:numFmt w:val="bullet"/>
      <w:lvlText w:val=""/>
      <w:lvlJc w:val="left"/>
      <w:pPr>
        <w:ind w:left="2738" w:hanging="360"/>
      </w:pPr>
      <w:rPr>
        <w:rFonts w:ascii="Symbol" w:hAnsi="Symbol" w:hint="default"/>
      </w:rPr>
    </w:lvl>
    <w:lvl w:ilvl="4" w:tentative="1">
      <w:start w:val="1"/>
      <w:numFmt w:val="bullet"/>
      <w:lvlText w:val="o"/>
      <w:lvlJc w:val="left"/>
      <w:pPr>
        <w:ind w:left="3458" w:hanging="360"/>
      </w:pPr>
      <w:rPr>
        <w:rFonts w:ascii="Courier New" w:hAnsi="Courier New" w:cs="Courier New" w:hint="default"/>
      </w:rPr>
    </w:lvl>
    <w:lvl w:ilvl="5" w:tentative="1">
      <w:start w:val="1"/>
      <w:numFmt w:val="bullet"/>
      <w:lvlText w:val=""/>
      <w:lvlJc w:val="left"/>
      <w:pPr>
        <w:ind w:left="4178" w:hanging="360"/>
      </w:pPr>
      <w:rPr>
        <w:rFonts w:ascii="Wingdings" w:hAnsi="Wingdings" w:hint="default"/>
      </w:rPr>
    </w:lvl>
    <w:lvl w:ilvl="6" w:tentative="1">
      <w:start w:val="1"/>
      <w:numFmt w:val="bullet"/>
      <w:lvlText w:val=""/>
      <w:lvlJc w:val="left"/>
      <w:pPr>
        <w:ind w:left="4898" w:hanging="360"/>
      </w:pPr>
      <w:rPr>
        <w:rFonts w:ascii="Symbol" w:hAnsi="Symbol" w:hint="default"/>
      </w:rPr>
    </w:lvl>
    <w:lvl w:ilvl="7" w:tentative="1">
      <w:start w:val="1"/>
      <w:numFmt w:val="bullet"/>
      <w:lvlText w:val="o"/>
      <w:lvlJc w:val="left"/>
      <w:pPr>
        <w:ind w:left="5618" w:hanging="360"/>
      </w:pPr>
      <w:rPr>
        <w:rFonts w:ascii="Courier New" w:hAnsi="Courier New" w:cs="Courier New" w:hint="default"/>
      </w:rPr>
    </w:lvl>
    <w:lvl w:ilvl="8" w:tentative="1">
      <w:start w:val="1"/>
      <w:numFmt w:val="bullet"/>
      <w:lvlText w:val=""/>
      <w:lvlJc w:val="left"/>
      <w:pPr>
        <w:ind w:left="6338" w:hanging="360"/>
      </w:pPr>
      <w:rPr>
        <w:rFonts w:ascii="Wingdings" w:hAnsi="Wingdings" w:hint="default"/>
      </w:rPr>
    </w:lvl>
  </w:abstractNum>
  <w:num w:numId="1">
    <w:abstractNumId w:val="13"/>
  </w:num>
  <w:num w:numId="2">
    <w:abstractNumId w:val="8"/>
  </w:num>
  <w:num w:numId="3">
    <w:abstractNumId w:val="10"/>
  </w:num>
  <w:num w:numId="4">
    <w:abstractNumId w:val="18"/>
  </w:num>
  <w:num w:numId="5">
    <w:abstractNumId w:val="1"/>
  </w:num>
  <w:num w:numId="6">
    <w:abstractNumId w:val="11"/>
  </w:num>
  <w:num w:numId="7">
    <w:abstractNumId w:val="15"/>
  </w:num>
  <w:num w:numId="8">
    <w:abstractNumId w:val="3"/>
  </w:num>
  <w:num w:numId="9">
    <w:abstractNumId w:val="14"/>
  </w:num>
  <w:num w:numId="10">
    <w:abstractNumId w:val="2"/>
  </w:num>
  <w:num w:numId="11">
    <w:abstractNumId w:val="7"/>
  </w:num>
  <w:num w:numId="12">
    <w:abstractNumId w:val="6"/>
  </w:num>
  <w:num w:numId="13">
    <w:abstractNumId w:val="5"/>
  </w:num>
  <w:num w:numId="14">
    <w:abstractNumId w:val="19"/>
  </w:num>
  <w:num w:numId="15">
    <w:abstractNumId w:val="9"/>
  </w:num>
  <w:num w:numId="16">
    <w:abstractNumId w:val="16"/>
  </w:num>
  <w:num w:numId="17">
    <w:abstractNumId w:val="12"/>
  </w:num>
  <w:num w:numId="18">
    <w:abstractNumId w:val="17"/>
  </w:num>
  <w:num w:numId="19">
    <w:abstractNumId w:val="0"/>
  </w:num>
  <w:num w:numId="20">
    <w:abstractNumId w:val="20"/>
  </w:num>
  <w:num w:numId="21">
    <w:abstractNumId w:val="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hideSpellingErrors/>
  <w:hideGrammaticalErrors/>
  <w:zoom w:percent="156"/>
  <w:displayBackgroundShape/>
  <w:gutterAtTop/>
  <w:proofState w:spelling="clean" w:grammar="clean"/>
  <w:attachedTemplate r:id="rId1"/>
  <w:stylePaneFormatFilter w:val="1004" w:allStyles="0" w:alternateStyleNames="0" w:clearFormatting="1" w:customStyles="0" w:directFormattingOnNumbering="0" w:directFormattingOnParagraphs="0" w:directFormattingOnRuns="0" w:directFormattingOnTables="0" w:headingStyles="0" w:latentStyles="1" w:numberingStyles="0" w:stylesInUse="0" w:tableStyles="0" w:top3HeadingStyles="0" w:visibleStyles="0"/>
  <w:stylePaneSortMethod w:val="name"/>
  <w:defaultTabStop w:val="284"/>
  <w:autoHyphenation/>
  <w:evenAndOddHeaders/>
  <w:drawingGridHorizontalSpacing w:val="100"/>
  <w:displayHorizontalDrawingGridEvery w:val="2"/>
  <w:displayVerticalDrawingGridEvery w:val="2"/>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5CC"/>
    <w:rsid w:val="000001A4"/>
    <w:rsid w:val="0000041E"/>
    <w:rsid w:val="0000085D"/>
    <w:rsid w:val="00001899"/>
    <w:rsid w:val="000018EF"/>
    <w:rsid w:val="00001C6B"/>
    <w:rsid w:val="00001D5A"/>
    <w:rsid w:val="00001EF4"/>
    <w:rsid w:val="00002EF7"/>
    <w:rsid w:val="00003343"/>
    <w:rsid w:val="00003557"/>
    <w:rsid w:val="00003B77"/>
    <w:rsid w:val="00003D51"/>
    <w:rsid w:val="00003EBB"/>
    <w:rsid w:val="00003F96"/>
    <w:rsid w:val="00004277"/>
    <w:rsid w:val="0000520D"/>
    <w:rsid w:val="000054B7"/>
    <w:rsid w:val="00005638"/>
    <w:rsid w:val="00005B23"/>
    <w:rsid w:val="00005EE0"/>
    <w:rsid w:val="00006B59"/>
    <w:rsid w:val="00006C34"/>
    <w:rsid w:val="000071AD"/>
    <w:rsid w:val="000100D8"/>
    <w:rsid w:val="0001014C"/>
    <w:rsid w:val="000107D8"/>
    <w:rsid w:val="00011BFC"/>
    <w:rsid w:val="00011DF7"/>
    <w:rsid w:val="00012269"/>
    <w:rsid w:val="00012487"/>
    <w:rsid w:val="00012657"/>
    <w:rsid w:val="00013641"/>
    <w:rsid w:val="00013BC3"/>
    <w:rsid w:val="0001431C"/>
    <w:rsid w:val="0001482C"/>
    <w:rsid w:val="00014D29"/>
    <w:rsid w:val="000155F0"/>
    <w:rsid w:val="000157CF"/>
    <w:rsid w:val="00015A22"/>
    <w:rsid w:val="000166CA"/>
    <w:rsid w:val="000168DE"/>
    <w:rsid w:val="0001735B"/>
    <w:rsid w:val="00020441"/>
    <w:rsid w:val="000206F1"/>
    <w:rsid w:val="00021298"/>
    <w:rsid w:val="00021ED5"/>
    <w:rsid w:val="00021FFB"/>
    <w:rsid w:val="000224FF"/>
    <w:rsid w:val="00023E81"/>
    <w:rsid w:val="000246D2"/>
    <w:rsid w:val="00024E0C"/>
    <w:rsid w:val="000251E2"/>
    <w:rsid w:val="0002526A"/>
    <w:rsid w:val="0002582E"/>
    <w:rsid w:val="000259C7"/>
    <w:rsid w:val="00026245"/>
    <w:rsid w:val="00026367"/>
    <w:rsid w:val="000264D7"/>
    <w:rsid w:val="00026738"/>
    <w:rsid w:val="00026ACC"/>
    <w:rsid w:val="0002705C"/>
    <w:rsid w:val="00027522"/>
    <w:rsid w:val="00027B6F"/>
    <w:rsid w:val="00027BF3"/>
    <w:rsid w:val="0003001D"/>
    <w:rsid w:val="000303C9"/>
    <w:rsid w:val="00031C68"/>
    <w:rsid w:val="00031C69"/>
    <w:rsid w:val="00031CEB"/>
    <w:rsid w:val="00032932"/>
    <w:rsid w:val="00033124"/>
    <w:rsid w:val="0003410F"/>
    <w:rsid w:val="00034327"/>
    <w:rsid w:val="0003494D"/>
    <w:rsid w:val="00035688"/>
    <w:rsid w:val="00035B80"/>
    <w:rsid w:val="00035C03"/>
    <w:rsid w:val="00036B0F"/>
    <w:rsid w:val="00036EB8"/>
    <w:rsid w:val="000406E3"/>
    <w:rsid w:val="00040918"/>
    <w:rsid w:val="00040C4D"/>
    <w:rsid w:val="000413AB"/>
    <w:rsid w:val="000414A8"/>
    <w:rsid w:val="000419ED"/>
    <w:rsid w:val="00042688"/>
    <w:rsid w:val="00042837"/>
    <w:rsid w:val="0004293F"/>
    <w:rsid w:val="00042BB1"/>
    <w:rsid w:val="00043204"/>
    <w:rsid w:val="000436EC"/>
    <w:rsid w:val="00043931"/>
    <w:rsid w:val="00044686"/>
    <w:rsid w:val="000448BE"/>
    <w:rsid w:val="00045038"/>
    <w:rsid w:val="000456D3"/>
    <w:rsid w:val="00046670"/>
    <w:rsid w:val="000470AE"/>
    <w:rsid w:val="00047976"/>
    <w:rsid w:val="00047A92"/>
    <w:rsid w:val="00047CF6"/>
    <w:rsid w:val="000501A4"/>
    <w:rsid w:val="00050419"/>
    <w:rsid w:val="00050995"/>
    <w:rsid w:val="00050BDE"/>
    <w:rsid w:val="00050DDE"/>
    <w:rsid w:val="0005218A"/>
    <w:rsid w:val="00052281"/>
    <w:rsid w:val="00052AE4"/>
    <w:rsid w:val="00052E94"/>
    <w:rsid w:val="000532AA"/>
    <w:rsid w:val="00053AA7"/>
    <w:rsid w:val="00053D09"/>
    <w:rsid w:val="00054562"/>
    <w:rsid w:val="00054B57"/>
    <w:rsid w:val="0005582D"/>
    <w:rsid w:val="0005596D"/>
    <w:rsid w:val="00055CB5"/>
    <w:rsid w:val="00055E07"/>
    <w:rsid w:val="00055E4C"/>
    <w:rsid w:val="00055EC9"/>
    <w:rsid w:val="00056B3E"/>
    <w:rsid w:val="000571B9"/>
    <w:rsid w:val="0005725C"/>
    <w:rsid w:val="00057574"/>
    <w:rsid w:val="00057F8D"/>
    <w:rsid w:val="00060045"/>
    <w:rsid w:val="00060178"/>
    <w:rsid w:val="0006038F"/>
    <w:rsid w:val="0006068B"/>
    <w:rsid w:val="00061010"/>
    <w:rsid w:val="000611FF"/>
    <w:rsid w:val="00061760"/>
    <w:rsid w:val="0006189A"/>
    <w:rsid w:val="000618D0"/>
    <w:rsid w:val="00061A2F"/>
    <w:rsid w:val="00061D7A"/>
    <w:rsid w:val="00062475"/>
    <w:rsid w:val="00062BF2"/>
    <w:rsid w:val="00063297"/>
    <w:rsid w:val="00063A11"/>
    <w:rsid w:val="00063BDC"/>
    <w:rsid w:val="0006411D"/>
    <w:rsid w:val="000644E4"/>
    <w:rsid w:val="0006456C"/>
    <w:rsid w:val="00064637"/>
    <w:rsid w:val="000651DF"/>
    <w:rsid w:val="00066AF6"/>
    <w:rsid w:val="00066F43"/>
    <w:rsid w:val="0006721D"/>
    <w:rsid w:val="000672AB"/>
    <w:rsid w:val="000675B0"/>
    <w:rsid w:val="00067A5D"/>
    <w:rsid w:val="00067A76"/>
    <w:rsid w:val="00067E32"/>
    <w:rsid w:val="00067F12"/>
    <w:rsid w:val="000706BF"/>
    <w:rsid w:val="000707EE"/>
    <w:rsid w:val="00070E3F"/>
    <w:rsid w:val="000710A8"/>
    <w:rsid w:val="00071DAA"/>
    <w:rsid w:val="00071F2E"/>
    <w:rsid w:val="0007200F"/>
    <w:rsid w:val="00072B83"/>
    <w:rsid w:val="00072FE8"/>
    <w:rsid w:val="000736B3"/>
    <w:rsid w:val="000738F6"/>
    <w:rsid w:val="00073B6B"/>
    <w:rsid w:val="00073D9F"/>
    <w:rsid w:val="0007429C"/>
    <w:rsid w:val="00074533"/>
    <w:rsid w:val="00074F31"/>
    <w:rsid w:val="00076452"/>
    <w:rsid w:val="00076758"/>
    <w:rsid w:val="00076ED7"/>
    <w:rsid w:val="0007717F"/>
    <w:rsid w:val="0007762A"/>
    <w:rsid w:val="000779CE"/>
    <w:rsid w:val="00077B79"/>
    <w:rsid w:val="00080072"/>
    <w:rsid w:val="000803F2"/>
    <w:rsid w:val="00080C22"/>
    <w:rsid w:val="00081D0E"/>
    <w:rsid w:val="000821CA"/>
    <w:rsid w:val="000824F8"/>
    <w:rsid w:val="0008345D"/>
    <w:rsid w:val="00083692"/>
    <w:rsid w:val="000837F2"/>
    <w:rsid w:val="000839FF"/>
    <w:rsid w:val="00083FD0"/>
    <w:rsid w:val="00084E3A"/>
    <w:rsid w:val="00085086"/>
    <w:rsid w:val="00085A22"/>
    <w:rsid w:val="00085B99"/>
    <w:rsid w:val="0008625B"/>
    <w:rsid w:val="00086738"/>
    <w:rsid w:val="00086BCD"/>
    <w:rsid w:val="00087176"/>
    <w:rsid w:val="00087686"/>
    <w:rsid w:val="000901C8"/>
    <w:rsid w:val="0009042C"/>
    <w:rsid w:val="00090633"/>
    <w:rsid w:val="000907D0"/>
    <w:rsid w:val="00091397"/>
    <w:rsid w:val="00091811"/>
    <w:rsid w:val="00091A72"/>
    <w:rsid w:val="0009349C"/>
    <w:rsid w:val="00093E30"/>
    <w:rsid w:val="0009432F"/>
    <w:rsid w:val="00094D5D"/>
    <w:rsid w:val="00094E0C"/>
    <w:rsid w:val="00094F15"/>
    <w:rsid w:val="0009524E"/>
    <w:rsid w:val="000953AB"/>
    <w:rsid w:val="0009559D"/>
    <w:rsid w:val="000963C8"/>
    <w:rsid w:val="00096CF4"/>
    <w:rsid w:val="0009703F"/>
    <w:rsid w:val="00097CDE"/>
    <w:rsid w:val="000A00AE"/>
    <w:rsid w:val="000A01F2"/>
    <w:rsid w:val="000A0884"/>
    <w:rsid w:val="000A0915"/>
    <w:rsid w:val="000A134E"/>
    <w:rsid w:val="000A1533"/>
    <w:rsid w:val="000A15B1"/>
    <w:rsid w:val="000A1610"/>
    <w:rsid w:val="000A22CF"/>
    <w:rsid w:val="000A26F1"/>
    <w:rsid w:val="000A2921"/>
    <w:rsid w:val="000A2BD8"/>
    <w:rsid w:val="000A3690"/>
    <w:rsid w:val="000A3E74"/>
    <w:rsid w:val="000A3ED4"/>
    <w:rsid w:val="000A4686"/>
    <w:rsid w:val="000A5140"/>
    <w:rsid w:val="000A567C"/>
    <w:rsid w:val="000A5ABA"/>
    <w:rsid w:val="000A5B75"/>
    <w:rsid w:val="000A65A9"/>
    <w:rsid w:val="000A69A7"/>
    <w:rsid w:val="000A6D5B"/>
    <w:rsid w:val="000A7523"/>
    <w:rsid w:val="000B03E7"/>
    <w:rsid w:val="000B0915"/>
    <w:rsid w:val="000B0929"/>
    <w:rsid w:val="000B0AB9"/>
    <w:rsid w:val="000B1102"/>
    <w:rsid w:val="000B153C"/>
    <w:rsid w:val="000B1C94"/>
    <w:rsid w:val="000B2074"/>
    <w:rsid w:val="000B23E8"/>
    <w:rsid w:val="000B2C5B"/>
    <w:rsid w:val="000B2D9C"/>
    <w:rsid w:val="000B2DBE"/>
    <w:rsid w:val="000B3056"/>
    <w:rsid w:val="000B31AA"/>
    <w:rsid w:val="000B3A23"/>
    <w:rsid w:val="000B4419"/>
    <w:rsid w:val="000B464E"/>
    <w:rsid w:val="000B4F23"/>
    <w:rsid w:val="000B55BB"/>
    <w:rsid w:val="000B597C"/>
    <w:rsid w:val="000B6604"/>
    <w:rsid w:val="000B7912"/>
    <w:rsid w:val="000B7B95"/>
    <w:rsid w:val="000B7D4C"/>
    <w:rsid w:val="000C05CB"/>
    <w:rsid w:val="000C089C"/>
    <w:rsid w:val="000C0B98"/>
    <w:rsid w:val="000C0F17"/>
    <w:rsid w:val="000C164B"/>
    <w:rsid w:val="000C16F6"/>
    <w:rsid w:val="000C1D0D"/>
    <w:rsid w:val="000C27DC"/>
    <w:rsid w:val="000C2AB9"/>
    <w:rsid w:val="000C3BAD"/>
    <w:rsid w:val="000C3EE2"/>
    <w:rsid w:val="000C404B"/>
    <w:rsid w:val="000C43E0"/>
    <w:rsid w:val="000C492E"/>
    <w:rsid w:val="000C50A1"/>
    <w:rsid w:val="000C5E23"/>
    <w:rsid w:val="000C5F85"/>
    <w:rsid w:val="000C6AAF"/>
    <w:rsid w:val="000C7459"/>
    <w:rsid w:val="000D02DC"/>
    <w:rsid w:val="000D04B8"/>
    <w:rsid w:val="000D0837"/>
    <w:rsid w:val="000D11EB"/>
    <w:rsid w:val="000D1714"/>
    <w:rsid w:val="000D2056"/>
    <w:rsid w:val="000D215D"/>
    <w:rsid w:val="000D22F0"/>
    <w:rsid w:val="000D2A57"/>
    <w:rsid w:val="000D2CDA"/>
    <w:rsid w:val="000D2F7F"/>
    <w:rsid w:val="000D2F93"/>
    <w:rsid w:val="000D2FE7"/>
    <w:rsid w:val="000D4B88"/>
    <w:rsid w:val="000D53BB"/>
    <w:rsid w:val="000D543D"/>
    <w:rsid w:val="000D5B81"/>
    <w:rsid w:val="000D5C0B"/>
    <w:rsid w:val="000D63C9"/>
    <w:rsid w:val="000D69F0"/>
    <w:rsid w:val="000D7666"/>
    <w:rsid w:val="000D7EB1"/>
    <w:rsid w:val="000E013E"/>
    <w:rsid w:val="000E0809"/>
    <w:rsid w:val="000E1475"/>
    <w:rsid w:val="000E1FBD"/>
    <w:rsid w:val="000E2359"/>
    <w:rsid w:val="000E23EA"/>
    <w:rsid w:val="000E2715"/>
    <w:rsid w:val="000E2B2C"/>
    <w:rsid w:val="000E3022"/>
    <w:rsid w:val="000E3B68"/>
    <w:rsid w:val="000E3D52"/>
    <w:rsid w:val="000E3DFA"/>
    <w:rsid w:val="000E3F0C"/>
    <w:rsid w:val="000E432E"/>
    <w:rsid w:val="000E44FD"/>
    <w:rsid w:val="000E4CE7"/>
    <w:rsid w:val="000E4D6A"/>
    <w:rsid w:val="000E4DF7"/>
    <w:rsid w:val="000E50E1"/>
    <w:rsid w:val="000E5149"/>
    <w:rsid w:val="000E54D2"/>
    <w:rsid w:val="000E5834"/>
    <w:rsid w:val="000E618D"/>
    <w:rsid w:val="000E6198"/>
    <w:rsid w:val="000E64A1"/>
    <w:rsid w:val="000E6AAF"/>
    <w:rsid w:val="000E6F44"/>
    <w:rsid w:val="000E73AF"/>
    <w:rsid w:val="000E7622"/>
    <w:rsid w:val="000E7B12"/>
    <w:rsid w:val="000F068B"/>
    <w:rsid w:val="000F158C"/>
    <w:rsid w:val="000F1DEA"/>
    <w:rsid w:val="000F23C7"/>
    <w:rsid w:val="000F2408"/>
    <w:rsid w:val="000F2A10"/>
    <w:rsid w:val="000F2E36"/>
    <w:rsid w:val="000F2F7E"/>
    <w:rsid w:val="000F3700"/>
    <w:rsid w:val="000F441E"/>
    <w:rsid w:val="000F4578"/>
    <w:rsid w:val="000F4B6E"/>
    <w:rsid w:val="000F4C79"/>
    <w:rsid w:val="000F5023"/>
    <w:rsid w:val="000F53C2"/>
    <w:rsid w:val="000F59F3"/>
    <w:rsid w:val="000F5EDB"/>
    <w:rsid w:val="000F60AB"/>
    <w:rsid w:val="000F62A9"/>
    <w:rsid w:val="000F6F38"/>
    <w:rsid w:val="000F76A8"/>
    <w:rsid w:val="000F7725"/>
    <w:rsid w:val="000F78AE"/>
    <w:rsid w:val="00101157"/>
    <w:rsid w:val="00101681"/>
    <w:rsid w:val="00101BB0"/>
    <w:rsid w:val="00101D0F"/>
    <w:rsid w:val="00102185"/>
    <w:rsid w:val="0010231B"/>
    <w:rsid w:val="0010237C"/>
    <w:rsid w:val="0010413A"/>
    <w:rsid w:val="00104FBC"/>
    <w:rsid w:val="00105970"/>
    <w:rsid w:val="00106A59"/>
    <w:rsid w:val="00107175"/>
    <w:rsid w:val="0010747A"/>
    <w:rsid w:val="00107A35"/>
    <w:rsid w:val="00107D4A"/>
    <w:rsid w:val="0011021D"/>
    <w:rsid w:val="0011146E"/>
    <w:rsid w:val="0011186B"/>
    <w:rsid w:val="00111AD4"/>
    <w:rsid w:val="00111F8A"/>
    <w:rsid w:val="00112134"/>
    <w:rsid w:val="001122C0"/>
    <w:rsid w:val="00112D92"/>
    <w:rsid w:val="00112E28"/>
    <w:rsid w:val="00113C2F"/>
    <w:rsid w:val="00113E28"/>
    <w:rsid w:val="00114290"/>
    <w:rsid w:val="00114325"/>
    <w:rsid w:val="0011483D"/>
    <w:rsid w:val="00114C7A"/>
    <w:rsid w:val="00114E4E"/>
    <w:rsid w:val="00115432"/>
    <w:rsid w:val="001157CE"/>
    <w:rsid w:val="00115E66"/>
    <w:rsid w:val="00116816"/>
    <w:rsid w:val="00116E1B"/>
    <w:rsid w:val="001172DF"/>
    <w:rsid w:val="00117408"/>
    <w:rsid w:val="00117C0E"/>
    <w:rsid w:val="00117DC2"/>
    <w:rsid w:val="0012150C"/>
    <w:rsid w:val="00121682"/>
    <w:rsid w:val="00121EA1"/>
    <w:rsid w:val="0012279D"/>
    <w:rsid w:val="00122F2F"/>
    <w:rsid w:val="00122F6F"/>
    <w:rsid w:val="001239A8"/>
    <w:rsid w:val="001239E1"/>
    <w:rsid w:val="00123CE0"/>
    <w:rsid w:val="001243A4"/>
    <w:rsid w:val="001247BA"/>
    <w:rsid w:val="00124DC1"/>
    <w:rsid w:val="00125628"/>
    <w:rsid w:val="00125881"/>
    <w:rsid w:val="001262F9"/>
    <w:rsid w:val="001268C7"/>
    <w:rsid w:val="00127D9D"/>
    <w:rsid w:val="001305E5"/>
    <w:rsid w:val="00131349"/>
    <w:rsid w:val="0013138F"/>
    <w:rsid w:val="00131CCD"/>
    <w:rsid w:val="00132126"/>
    <w:rsid w:val="001321A1"/>
    <w:rsid w:val="0013302E"/>
    <w:rsid w:val="0013406B"/>
    <w:rsid w:val="00134F83"/>
    <w:rsid w:val="001354CB"/>
    <w:rsid w:val="00135695"/>
    <w:rsid w:val="00135742"/>
    <w:rsid w:val="00135A23"/>
    <w:rsid w:val="00135B1B"/>
    <w:rsid w:val="00136479"/>
    <w:rsid w:val="00136496"/>
    <w:rsid w:val="0013664A"/>
    <w:rsid w:val="0013667B"/>
    <w:rsid w:val="0013696C"/>
    <w:rsid w:val="00136A10"/>
    <w:rsid w:val="00136A3E"/>
    <w:rsid w:val="0013702C"/>
    <w:rsid w:val="00137337"/>
    <w:rsid w:val="001378D5"/>
    <w:rsid w:val="00137FF0"/>
    <w:rsid w:val="001400DC"/>
    <w:rsid w:val="00140560"/>
    <w:rsid w:val="00140A5E"/>
    <w:rsid w:val="00140CC4"/>
    <w:rsid w:val="00140CD9"/>
    <w:rsid w:val="00141160"/>
    <w:rsid w:val="00141853"/>
    <w:rsid w:val="00141BD6"/>
    <w:rsid w:val="00141E09"/>
    <w:rsid w:val="00141F98"/>
    <w:rsid w:val="00142206"/>
    <w:rsid w:val="00143176"/>
    <w:rsid w:val="001431D6"/>
    <w:rsid w:val="00143B4D"/>
    <w:rsid w:val="00143FFA"/>
    <w:rsid w:val="0014435E"/>
    <w:rsid w:val="0014465D"/>
    <w:rsid w:val="00144908"/>
    <w:rsid w:val="00144BB3"/>
    <w:rsid w:val="00144C4B"/>
    <w:rsid w:val="001451A4"/>
    <w:rsid w:val="0014551F"/>
    <w:rsid w:val="001460BB"/>
    <w:rsid w:val="001466D7"/>
    <w:rsid w:val="0014691B"/>
    <w:rsid w:val="001469CA"/>
    <w:rsid w:val="00146E34"/>
    <w:rsid w:val="0014715B"/>
    <w:rsid w:val="001475C5"/>
    <w:rsid w:val="00150248"/>
    <w:rsid w:val="00150611"/>
    <w:rsid w:val="00150A48"/>
    <w:rsid w:val="00150BE4"/>
    <w:rsid w:val="00150BE7"/>
    <w:rsid w:val="00150BEB"/>
    <w:rsid w:val="00150CC9"/>
    <w:rsid w:val="00150F89"/>
    <w:rsid w:val="00151B16"/>
    <w:rsid w:val="00152452"/>
    <w:rsid w:val="001526AC"/>
    <w:rsid w:val="001527A0"/>
    <w:rsid w:val="00152C2F"/>
    <w:rsid w:val="00153149"/>
    <w:rsid w:val="00153A60"/>
    <w:rsid w:val="00153D95"/>
    <w:rsid w:val="00154091"/>
    <w:rsid w:val="0015454A"/>
    <w:rsid w:val="00154682"/>
    <w:rsid w:val="00154827"/>
    <w:rsid w:val="00154F60"/>
    <w:rsid w:val="00155501"/>
    <w:rsid w:val="001560B9"/>
    <w:rsid w:val="00156775"/>
    <w:rsid w:val="0015694A"/>
    <w:rsid w:val="00156CAA"/>
    <w:rsid w:val="00156D17"/>
    <w:rsid w:val="00156DEF"/>
    <w:rsid w:val="0015702B"/>
    <w:rsid w:val="00157577"/>
    <w:rsid w:val="00157D86"/>
    <w:rsid w:val="00160155"/>
    <w:rsid w:val="0016031C"/>
    <w:rsid w:val="00161124"/>
    <w:rsid w:val="00161717"/>
    <w:rsid w:val="00161DA5"/>
    <w:rsid w:val="00162EAF"/>
    <w:rsid w:val="001630E8"/>
    <w:rsid w:val="001637C1"/>
    <w:rsid w:val="001639FB"/>
    <w:rsid w:val="00163D00"/>
    <w:rsid w:val="001643E4"/>
    <w:rsid w:val="00164534"/>
    <w:rsid w:val="001648F4"/>
    <w:rsid w:val="00164B64"/>
    <w:rsid w:val="00164C99"/>
    <w:rsid w:val="00165294"/>
    <w:rsid w:val="00166364"/>
    <w:rsid w:val="00166477"/>
    <w:rsid w:val="0016692C"/>
    <w:rsid w:val="00166D27"/>
    <w:rsid w:val="001672B6"/>
    <w:rsid w:val="001674FF"/>
    <w:rsid w:val="001675AA"/>
    <w:rsid w:val="00167D07"/>
    <w:rsid w:val="00170230"/>
    <w:rsid w:val="00170320"/>
    <w:rsid w:val="00170625"/>
    <w:rsid w:val="00170904"/>
    <w:rsid w:val="0017091D"/>
    <w:rsid w:val="00170DCB"/>
    <w:rsid w:val="0017146B"/>
    <w:rsid w:val="00171552"/>
    <w:rsid w:val="00171B4A"/>
    <w:rsid w:val="0017200D"/>
    <w:rsid w:val="00172400"/>
    <w:rsid w:val="0017265F"/>
    <w:rsid w:val="001730B0"/>
    <w:rsid w:val="001739FC"/>
    <w:rsid w:val="00173FDD"/>
    <w:rsid w:val="001747CF"/>
    <w:rsid w:val="00174A21"/>
    <w:rsid w:val="00175053"/>
    <w:rsid w:val="0017513A"/>
    <w:rsid w:val="00175FE2"/>
    <w:rsid w:val="00176411"/>
    <w:rsid w:val="00176B96"/>
    <w:rsid w:val="00177D09"/>
    <w:rsid w:val="00177D2F"/>
    <w:rsid w:val="00180392"/>
    <w:rsid w:val="00180A11"/>
    <w:rsid w:val="001814DD"/>
    <w:rsid w:val="00181A6A"/>
    <w:rsid w:val="001821A3"/>
    <w:rsid w:val="00182D37"/>
    <w:rsid w:val="00182DC0"/>
    <w:rsid w:val="00183085"/>
    <w:rsid w:val="001839FA"/>
    <w:rsid w:val="00183DDC"/>
    <w:rsid w:val="0018505D"/>
    <w:rsid w:val="001850C6"/>
    <w:rsid w:val="0018586A"/>
    <w:rsid w:val="001858E5"/>
    <w:rsid w:val="00185AE7"/>
    <w:rsid w:val="00185B85"/>
    <w:rsid w:val="00185C35"/>
    <w:rsid w:val="00186BD2"/>
    <w:rsid w:val="0018758B"/>
    <w:rsid w:val="00187D1B"/>
    <w:rsid w:val="001900F7"/>
    <w:rsid w:val="0019015A"/>
    <w:rsid w:val="00190396"/>
    <w:rsid w:val="00190855"/>
    <w:rsid w:val="00190F93"/>
    <w:rsid w:val="00191D43"/>
    <w:rsid w:val="00191D6C"/>
    <w:rsid w:val="00191FF6"/>
    <w:rsid w:val="00192E51"/>
    <w:rsid w:val="00192F16"/>
    <w:rsid w:val="00193071"/>
    <w:rsid w:val="0019399F"/>
    <w:rsid w:val="00194286"/>
    <w:rsid w:val="00194332"/>
    <w:rsid w:val="00195732"/>
    <w:rsid w:val="00195BC7"/>
    <w:rsid w:val="00195E40"/>
    <w:rsid w:val="00195EBA"/>
    <w:rsid w:val="001960B4"/>
    <w:rsid w:val="00196FD4"/>
    <w:rsid w:val="0019758B"/>
    <w:rsid w:val="00197B6F"/>
    <w:rsid w:val="00197B8A"/>
    <w:rsid w:val="00197CC1"/>
    <w:rsid w:val="001A0135"/>
    <w:rsid w:val="001A0CA6"/>
    <w:rsid w:val="001A166A"/>
    <w:rsid w:val="001A2081"/>
    <w:rsid w:val="001A2A50"/>
    <w:rsid w:val="001A2F88"/>
    <w:rsid w:val="001A30F6"/>
    <w:rsid w:val="001A325B"/>
    <w:rsid w:val="001A385B"/>
    <w:rsid w:val="001A38A7"/>
    <w:rsid w:val="001A3974"/>
    <w:rsid w:val="001A3E92"/>
    <w:rsid w:val="001A40B6"/>
    <w:rsid w:val="001A4B1D"/>
    <w:rsid w:val="001A4C5A"/>
    <w:rsid w:val="001A4FC5"/>
    <w:rsid w:val="001A5D04"/>
    <w:rsid w:val="001A5DF1"/>
    <w:rsid w:val="001A613C"/>
    <w:rsid w:val="001A6276"/>
    <w:rsid w:val="001A72F6"/>
    <w:rsid w:val="001A7D06"/>
    <w:rsid w:val="001A7DFE"/>
    <w:rsid w:val="001B1655"/>
    <w:rsid w:val="001B17FB"/>
    <w:rsid w:val="001B2821"/>
    <w:rsid w:val="001B285C"/>
    <w:rsid w:val="001B2A02"/>
    <w:rsid w:val="001B2ACB"/>
    <w:rsid w:val="001B2D16"/>
    <w:rsid w:val="001B2DBB"/>
    <w:rsid w:val="001B3BE6"/>
    <w:rsid w:val="001B3EFA"/>
    <w:rsid w:val="001B41A2"/>
    <w:rsid w:val="001B49CC"/>
    <w:rsid w:val="001B4B0A"/>
    <w:rsid w:val="001B4E87"/>
    <w:rsid w:val="001B4EA7"/>
    <w:rsid w:val="001B5656"/>
    <w:rsid w:val="001B5DFF"/>
    <w:rsid w:val="001B65B8"/>
    <w:rsid w:val="001B6F86"/>
    <w:rsid w:val="001B70CA"/>
    <w:rsid w:val="001B75F0"/>
    <w:rsid w:val="001C00D8"/>
    <w:rsid w:val="001C057E"/>
    <w:rsid w:val="001C1B42"/>
    <w:rsid w:val="001C2CAD"/>
    <w:rsid w:val="001C2F48"/>
    <w:rsid w:val="001C308D"/>
    <w:rsid w:val="001C3187"/>
    <w:rsid w:val="001C3232"/>
    <w:rsid w:val="001C34D5"/>
    <w:rsid w:val="001C3ED9"/>
    <w:rsid w:val="001C450A"/>
    <w:rsid w:val="001C45D9"/>
    <w:rsid w:val="001C49B8"/>
    <w:rsid w:val="001C5616"/>
    <w:rsid w:val="001C5A02"/>
    <w:rsid w:val="001C5BF5"/>
    <w:rsid w:val="001C5C3E"/>
    <w:rsid w:val="001C5C9D"/>
    <w:rsid w:val="001C5EB7"/>
    <w:rsid w:val="001C5FEF"/>
    <w:rsid w:val="001C6FC8"/>
    <w:rsid w:val="001C72B2"/>
    <w:rsid w:val="001D0073"/>
    <w:rsid w:val="001D0955"/>
    <w:rsid w:val="001D1192"/>
    <w:rsid w:val="001D223A"/>
    <w:rsid w:val="001D2243"/>
    <w:rsid w:val="001D2793"/>
    <w:rsid w:val="001D2F2A"/>
    <w:rsid w:val="001D3679"/>
    <w:rsid w:val="001D3CC2"/>
    <w:rsid w:val="001D4406"/>
    <w:rsid w:val="001D461F"/>
    <w:rsid w:val="001D46D3"/>
    <w:rsid w:val="001D6714"/>
    <w:rsid w:val="001D713E"/>
    <w:rsid w:val="001D77E6"/>
    <w:rsid w:val="001E0306"/>
    <w:rsid w:val="001E09E8"/>
    <w:rsid w:val="001E0A7D"/>
    <w:rsid w:val="001E0D0D"/>
    <w:rsid w:val="001E1049"/>
    <w:rsid w:val="001E1C40"/>
    <w:rsid w:val="001E1EC3"/>
    <w:rsid w:val="001E1FB9"/>
    <w:rsid w:val="001E1FD1"/>
    <w:rsid w:val="001E2246"/>
    <w:rsid w:val="001E23E2"/>
    <w:rsid w:val="001E3778"/>
    <w:rsid w:val="001E3F7F"/>
    <w:rsid w:val="001E462B"/>
    <w:rsid w:val="001E4759"/>
    <w:rsid w:val="001E475C"/>
    <w:rsid w:val="001E527A"/>
    <w:rsid w:val="001E59BD"/>
    <w:rsid w:val="001E5C3E"/>
    <w:rsid w:val="001E61C9"/>
    <w:rsid w:val="001E641F"/>
    <w:rsid w:val="001E66A7"/>
    <w:rsid w:val="001E7361"/>
    <w:rsid w:val="001E773D"/>
    <w:rsid w:val="001F068F"/>
    <w:rsid w:val="001F0BBB"/>
    <w:rsid w:val="001F0DE8"/>
    <w:rsid w:val="001F2E3B"/>
    <w:rsid w:val="001F3363"/>
    <w:rsid w:val="001F3815"/>
    <w:rsid w:val="001F4057"/>
    <w:rsid w:val="001F407D"/>
    <w:rsid w:val="001F4183"/>
    <w:rsid w:val="001F54B2"/>
    <w:rsid w:val="001F5566"/>
    <w:rsid w:val="001F5736"/>
    <w:rsid w:val="001F6AE0"/>
    <w:rsid w:val="001F6B1F"/>
    <w:rsid w:val="001F6BA7"/>
    <w:rsid w:val="001F6CBF"/>
    <w:rsid w:val="001F76D7"/>
    <w:rsid w:val="00200434"/>
    <w:rsid w:val="00200E5B"/>
    <w:rsid w:val="00200FE9"/>
    <w:rsid w:val="002014C8"/>
    <w:rsid w:val="00202068"/>
    <w:rsid w:val="002023F0"/>
    <w:rsid w:val="00202878"/>
    <w:rsid w:val="00202F8B"/>
    <w:rsid w:val="00203277"/>
    <w:rsid w:val="00203604"/>
    <w:rsid w:val="00203E25"/>
    <w:rsid w:val="00205724"/>
    <w:rsid w:val="00205C5F"/>
    <w:rsid w:val="002064F7"/>
    <w:rsid w:val="00206509"/>
    <w:rsid w:val="00206BDB"/>
    <w:rsid w:val="0020761B"/>
    <w:rsid w:val="0021058F"/>
    <w:rsid w:val="0021135F"/>
    <w:rsid w:val="0021150C"/>
    <w:rsid w:val="00212144"/>
    <w:rsid w:val="002127FD"/>
    <w:rsid w:val="00212B04"/>
    <w:rsid w:val="00212EEA"/>
    <w:rsid w:val="002130B4"/>
    <w:rsid w:val="0021348C"/>
    <w:rsid w:val="00214BC0"/>
    <w:rsid w:val="00214CAA"/>
    <w:rsid w:val="002154D1"/>
    <w:rsid w:val="00215BEE"/>
    <w:rsid w:val="0021654E"/>
    <w:rsid w:val="00216875"/>
    <w:rsid w:val="00217652"/>
    <w:rsid w:val="00217B31"/>
    <w:rsid w:val="002202E4"/>
    <w:rsid w:val="0022072A"/>
    <w:rsid w:val="00220B3D"/>
    <w:rsid w:val="0022100A"/>
    <w:rsid w:val="00221160"/>
    <w:rsid w:val="002213EE"/>
    <w:rsid w:val="00221922"/>
    <w:rsid w:val="00221B94"/>
    <w:rsid w:val="00221E3A"/>
    <w:rsid w:val="002220AB"/>
    <w:rsid w:val="00222AAD"/>
    <w:rsid w:val="002237A5"/>
    <w:rsid w:val="00224723"/>
    <w:rsid w:val="002248C1"/>
    <w:rsid w:val="00224C04"/>
    <w:rsid w:val="00224EF7"/>
    <w:rsid w:val="002251A4"/>
    <w:rsid w:val="00225489"/>
    <w:rsid w:val="00225718"/>
    <w:rsid w:val="00225CAE"/>
    <w:rsid w:val="0022615B"/>
    <w:rsid w:val="002263E1"/>
    <w:rsid w:val="00226528"/>
    <w:rsid w:val="0022685E"/>
    <w:rsid w:val="00226C31"/>
    <w:rsid w:val="0022705A"/>
    <w:rsid w:val="00227BBA"/>
    <w:rsid w:val="00227E88"/>
    <w:rsid w:val="0023004B"/>
    <w:rsid w:val="002301B6"/>
    <w:rsid w:val="00230B94"/>
    <w:rsid w:val="00230F6F"/>
    <w:rsid w:val="00231C3C"/>
    <w:rsid w:val="00231DC5"/>
    <w:rsid w:val="00232836"/>
    <w:rsid w:val="002338F8"/>
    <w:rsid w:val="00234167"/>
    <w:rsid w:val="00234AB5"/>
    <w:rsid w:val="00234F9B"/>
    <w:rsid w:val="0023589B"/>
    <w:rsid w:val="00235AEE"/>
    <w:rsid w:val="00235D75"/>
    <w:rsid w:val="002366CE"/>
    <w:rsid w:val="00236D0B"/>
    <w:rsid w:val="00236F10"/>
    <w:rsid w:val="002375D3"/>
    <w:rsid w:val="00237F59"/>
    <w:rsid w:val="0024001A"/>
    <w:rsid w:val="00240887"/>
    <w:rsid w:val="00240A1C"/>
    <w:rsid w:val="00241142"/>
    <w:rsid w:val="00241958"/>
    <w:rsid w:val="002419F2"/>
    <w:rsid w:val="00243E20"/>
    <w:rsid w:val="00244096"/>
    <w:rsid w:val="0024417D"/>
    <w:rsid w:val="00244754"/>
    <w:rsid w:val="00244A94"/>
    <w:rsid w:val="00244C55"/>
    <w:rsid w:val="00245470"/>
    <w:rsid w:val="00246AED"/>
    <w:rsid w:val="00246CD7"/>
    <w:rsid w:val="00247618"/>
    <w:rsid w:val="00247C83"/>
    <w:rsid w:val="00250370"/>
    <w:rsid w:val="0025068A"/>
    <w:rsid w:val="00250751"/>
    <w:rsid w:val="00250A7F"/>
    <w:rsid w:val="00250C24"/>
    <w:rsid w:val="00250D13"/>
    <w:rsid w:val="002516DF"/>
    <w:rsid w:val="00251B50"/>
    <w:rsid w:val="002531F9"/>
    <w:rsid w:val="00253952"/>
    <w:rsid w:val="002539B8"/>
    <w:rsid w:val="002548E5"/>
    <w:rsid w:val="00254CF4"/>
    <w:rsid w:val="00254EF4"/>
    <w:rsid w:val="00255877"/>
    <w:rsid w:val="0025598F"/>
    <w:rsid w:val="00256C2E"/>
    <w:rsid w:val="0025701A"/>
    <w:rsid w:val="002575ED"/>
    <w:rsid w:val="002576EB"/>
    <w:rsid w:val="0026008A"/>
    <w:rsid w:val="00260421"/>
    <w:rsid w:val="00260BF5"/>
    <w:rsid w:val="00260D04"/>
    <w:rsid w:val="0026130F"/>
    <w:rsid w:val="00261C84"/>
    <w:rsid w:val="00262130"/>
    <w:rsid w:val="00262A9E"/>
    <w:rsid w:val="00263521"/>
    <w:rsid w:val="00263A1E"/>
    <w:rsid w:val="00263DB7"/>
    <w:rsid w:val="002643D4"/>
    <w:rsid w:val="00264AC3"/>
    <w:rsid w:val="00264CFB"/>
    <w:rsid w:val="0026519B"/>
    <w:rsid w:val="00265428"/>
    <w:rsid w:val="002654D1"/>
    <w:rsid w:val="0026633D"/>
    <w:rsid w:val="0027101D"/>
    <w:rsid w:val="0027121E"/>
    <w:rsid w:val="0027188F"/>
    <w:rsid w:val="002739B2"/>
    <w:rsid w:val="00273FDF"/>
    <w:rsid w:val="0027424D"/>
    <w:rsid w:val="00275141"/>
    <w:rsid w:val="002753C7"/>
    <w:rsid w:val="00275A79"/>
    <w:rsid w:val="002763F9"/>
    <w:rsid w:val="00276D55"/>
    <w:rsid w:val="00277114"/>
    <w:rsid w:val="002774D4"/>
    <w:rsid w:val="0028138F"/>
    <w:rsid w:val="002813A0"/>
    <w:rsid w:val="00281F46"/>
    <w:rsid w:val="00282151"/>
    <w:rsid w:val="00282C5A"/>
    <w:rsid w:val="00282D4B"/>
    <w:rsid w:val="00283FFC"/>
    <w:rsid w:val="002841CB"/>
    <w:rsid w:val="00284ABA"/>
    <w:rsid w:val="00284B06"/>
    <w:rsid w:val="00284E09"/>
    <w:rsid w:val="00285362"/>
    <w:rsid w:val="00285B61"/>
    <w:rsid w:val="00285E34"/>
    <w:rsid w:val="00285EC0"/>
    <w:rsid w:val="0028686C"/>
    <w:rsid w:val="0028694C"/>
    <w:rsid w:val="002869E1"/>
    <w:rsid w:val="00286A23"/>
    <w:rsid w:val="00286C34"/>
    <w:rsid w:val="002870FF"/>
    <w:rsid w:val="00287385"/>
    <w:rsid w:val="00287BEF"/>
    <w:rsid w:val="00290C01"/>
    <w:rsid w:val="00290CB0"/>
    <w:rsid w:val="00290D96"/>
    <w:rsid w:val="00291775"/>
    <w:rsid w:val="002920D3"/>
    <w:rsid w:val="002925B8"/>
    <w:rsid w:val="00292791"/>
    <w:rsid w:val="00292A58"/>
    <w:rsid w:val="00293FC3"/>
    <w:rsid w:val="00294150"/>
    <w:rsid w:val="00294251"/>
    <w:rsid w:val="00294784"/>
    <w:rsid w:val="00294AF0"/>
    <w:rsid w:val="00296580"/>
    <w:rsid w:val="00296A9F"/>
    <w:rsid w:val="002970CC"/>
    <w:rsid w:val="00297730"/>
    <w:rsid w:val="00297B77"/>
    <w:rsid w:val="00297FD7"/>
    <w:rsid w:val="002A04CC"/>
    <w:rsid w:val="002A0913"/>
    <w:rsid w:val="002A1117"/>
    <w:rsid w:val="002A18D6"/>
    <w:rsid w:val="002A1999"/>
    <w:rsid w:val="002A2132"/>
    <w:rsid w:val="002A232C"/>
    <w:rsid w:val="002A29AB"/>
    <w:rsid w:val="002A2C5A"/>
    <w:rsid w:val="002A3A3E"/>
    <w:rsid w:val="002A4153"/>
    <w:rsid w:val="002A4460"/>
    <w:rsid w:val="002A4707"/>
    <w:rsid w:val="002A4B57"/>
    <w:rsid w:val="002A4F87"/>
    <w:rsid w:val="002A53E2"/>
    <w:rsid w:val="002A57EB"/>
    <w:rsid w:val="002A598C"/>
    <w:rsid w:val="002A6418"/>
    <w:rsid w:val="002A64F8"/>
    <w:rsid w:val="002A68DE"/>
    <w:rsid w:val="002A6A8F"/>
    <w:rsid w:val="002A6B3B"/>
    <w:rsid w:val="002A7D21"/>
    <w:rsid w:val="002B0115"/>
    <w:rsid w:val="002B08F4"/>
    <w:rsid w:val="002B0C29"/>
    <w:rsid w:val="002B10E8"/>
    <w:rsid w:val="002B12C0"/>
    <w:rsid w:val="002B1394"/>
    <w:rsid w:val="002B30DB"/>
    <w:rsid w:val="002B3A8C"/>
    <w:rsid w:val="002B55FA"/>
    <w:rsid w:val="002B5A1F"/>
    <w:rsid w:val="002B5C10"/>
    <w:rsid w:val="002B5C6F"/>
    <w:rsid w:val="002B5D65"/>
    <w:rsid w:val="002B5EF2"/>
    <w:rsid w:val="002B637F"/>
    <w:rsid w:val="002B65DC"/>
    <w:rsid w:val="002B6803"/>
    <w:rsid w:val="002B6FB4"/>
    <w:rsid w:val="002B730D"/>
    <w:rsid w:val="002C06EB"/>
    <w:rsid w:val="002C0C54"/>
    <w:rsid w:val="002C1BB5"/>
    <w:rsid w:val="002C1D86"/>
    <w:rsid w:val="002C1EE0"/>
    <w:rsid w:val="002C28D3"/>
    <w:rsid w:val="002C2B0E"/>
    <w:rsid w:val="002C316A"/>
    <w:rsid w:val="002C3B87"/>
    <w:rsid w:val="002C3D55"/>
    <w:rsid w:val="002C4139"/>
    <w:rsid w:val="002C4302"/>
    <w:rsid w:val="002C4F9F"/>
    <w:rsid w:val="002C54FF"/>
    <w:rsid w:val="002C58AD"/>
    <w:rsid w:val="002C65B3"/>
    <w:rsid w:val="002C6D22"/>
    <w:rsid w:val="002C70A2"/>
    <w:rsid w:val="002C7A5A"/>
    <w:rsid w:val="002C7D35"/>
    <w:rsid w:val="002C7FC3"/>
    <w:rsid w:val="002D083D"/>
    <w:rsid w:val="002D1688"/>
    <w:rsid w:val="002D255C"/>
    <w:rsid w:val="002D2963"/>
    <w:rsid w:val="002D3201"/>
    <w:rsid w:val="002D327E"/>
    <w:rsid w:val="002D32B9"/>
    <w:rsid w:val="002D38CB"/>
    <w:rsid w:val="002D3AC8"/>
    <w:rsid w:val="002D4617"/>
    <w:rsid w:val="002D4D38"/>
    <w:rsid w:val="002D4E81"/>
    <w:rsid w:val="002D5209"/>
    <w:rsid w:val="002D555F"/>
    <w:rsid w:val="002D572F"/>
    <w:rsid w:val="002D5930"/>
    <w:rsid w:val="002D5D2C"/>
    <w:rsid w:val="002D65CF"/>
    <w:rsid w:val="002D6964"/>
    <w:rsid w:val="002D69A4"/>
    <w:rsid w:val="002D6DBD"/>
    <w:rsid w:val="002D6EF5"/>
    <w:rsid w:val="002D79C7"/>
    <w:rsid w:val="002D7F23"/>
    <w:rsid w:val="002E0151"/>
    <w:rsid w:val="002E01CC"/>
    <w:rsid w:val="002E07C7"/>
    <w:rsid w:val="002E0A57"/>
    <w:rsid w:val="002E178D"/>
    <w:rsid w:val="002E188D"/>
    <w:rsid w:val="002E1E1F"/>
    <w:rsid w:val="002E2222"/>
    <w:rsid w:val="002E24BB"/>
    <w:rsid w:val="002E2DB0"/>
    <w:rsid w:val="002E2F27"/>
    <w:rsid w:val="002E3AA6"/>
    <w:rsid w:val="002E424B"/>
    <w:rsid w:val="002E4818"/>
    <w:rsid w:val="002E56EA"/>
    <w:rsid w:val="002E5757"/>
    <w:rsid w:val="002E6467"/>
    <w:rsid w:val="002E6B3E"/>
    <w:rsid w:val="002E707E"/>
    <w:rsid w:val="002E70B8"/>
    <w:rsid w:val="002E7528"/>
    <w:rsid w:val="002E76D3"/>
    <w:rsid w:val="002E7C78"/>
    <w:rsid w:val="002F06E7"/>
    <w:rsid w:val="002F1184"/>
    <w:rsid w:val="002F11D2"/>
    <w:rsid w:val="002F11F4"/>
    <w:rsid w:val="002F1452"/>
    <w:rsid w:val="002F1610"/>
    <w:rsid w:val="002F2019"/>
    <w:rsid w:val="002F24F0"/>
    <w:rsid w:val="002F29CA"/>
    <w:rsid w:val="002F2C5D"/>
    <w:rsid w:val="002F3162"/>
    <w:rsid w:val="002F3B2B"/>
    <w:rsid w:val="002F3C8A"/>
    <w:rsid w:val="002F42B0"/>
    <w:rsid w:val="002F430E"/>
    <w:rsid w:val="002F44B2"/>
    <w:rsid w:val="002F4761"/>
    <w:rsid w:val="002F5163"/>
    <w:rsid w:val="002F5293"/>
    <w:rsid w:val="002F5628"/>
    <w:rsid w:val="002F5A80"/>
    <w:rsid w:val="002F5B51"/>
    <w:rsid w:val="002F5CEC"/>
    <w:rsid w:val="002F69ED"/>
    <w:rsid w:val="002F6FA5"/>
    <w:rsid w:val="002F724D"/>
    <w:rsid w:val="002F78B6"/>
    <w:rsid w:val="002F7C75"/>
    <w:rsid w:val="002F7D09"/>
    <w:rsid w:val="00300146"/>
    <w:rsid w:val="0030043A"/>
    <w:rsid w:val="00300F74"/>
    <w:rsid w:val="0030114C"/>
    <w:rsid w:val="00301153"/>
    <w:rsid w:val="00301A99"/>
    <w:rsid w:val="00301A9A"/>
    <w:rsid w:val="003020D6"/>
    <w:rsid w:val="00302134"/>
    <w:rsid w:val="00302C17"/>
    <w:rsid w:val="00302DC7"/>
    <w:rsid w:val="0030338B"/>
    <w:rsid w:val="003038A7"/>
    <w:rsid w:val="0030415A"/>
    <w:rsid w:val="0030451F"/>
    <w:rsid w:val="00304D83"/>
    <w:rsid w:val="00304E57"/>
    <w:rsid w:val="003050D0"/>
    <w:rsid w:val="0030516B"/>
    <w:rsid w:val="00305A00"/>
    <w:rsid w:val="00305E58"/>
    <w:rsid w:val="003063A3"/>
    <w:rsid w:val="003067B1"/>
    <w:rsid w:val="00306A3B"/>
    <w:rsid w:val="00306A59"/>
    <w:rsid w:val="003071E1"/>
    <w:rsid w:val="003073E1"/>
    <w:rsid w:val="00307A51"/>
    <w:rsid w:val="00307FA5"/>
    <w:rsid w:val="003108E3"/>
    <w:rsid w:val="00310C5E"/>
    <w:rsid w:val="00311190"/>
    <w:rsid w:val="0031135A"/>
    <w:rsid w:val="00312590"/>
    <w:rsid w:val="003126B6"/>
    <w:rsid w:val="0031327E"/>
    <w:rsid w:val="00313D58"/>
    <w:rsid w:val="00313EEC"/>
    <w:rsid w:val="0031407C"/>
    <w:rsid w:val="00314144"/>
    <w:rsid w:val="0031468A"/>
    <w:rsid w:val="003149AC"/>
    <w:rsid w:val="00314F75"/>
    <w:rsid w:val="00315624"/>
    <w:rsid w:val="00315BD6"/>
    <w:rsid w:val="00315D7F"/>
    <w:rsid w:val="00315FF2"/>
    <w:rsid w:val="00316385"/>
    <w:rsid w:val="00316C57"/>
    <w:rsid w:val="00316F0F"/>
    <w:rsid w:val="003177E2"/>
    <w:rsid w:val="0032022E"/>
    <w:rsid w:val="00321066"/>
    <w:rsid w:val="0032110F"/>
    <w:rsid w:val="0032289E"/>
    <w:rsid w:val="003228CE"/>
    <w:rsid w:val="00322998"/>
    <w:rsid w:val="00322A81"/>
    <w:rsid w:val="00323027"/>
    <w:rsid w:val="0032331E"/>
    <w:rsid w:val="003233A8"/>
    <w:rsid w:val="00323874"/>
    <w:rsid w:val="00324236"/>
    <w:rsid w:val="0032448C"/>
    <w:rsid w:val="00324BC1"/>
    <w:rsid w:val="00324C2A"/>
    <w:rsid w:val="00324F0D"/>
    <w:rsid w:val="003257C6"/>
    <w:rsid w:val="00325EA5"/>
    <w:rsid w:val="00325F44"/>
    <w:rsid w:val="00326ABF"/>
    <w:rsid w:val="00326C7C"/>
    <w:rsid w:val="00326EF0"/>
    <w:rsid w:val="00326F6A"/>
    <w:rsid w:val="003271AB"/>
    <w:rsid w:val="00327593"/>
    <w:rsid w:val="0032765C"/>
    <w:rsid w:val="00327D99"/>
    <w:rsid w:val="003303FB"/>
    <w:rsid w:val="003318C2"/>
    <w:rsid w:val="00331924"/>
    <w:rsid w:val="00332663"/>
    <w:rsid w:val="00332C43"/>
    <w:rsid w:val="00332F33"/>
    <w:rsid w:val="00333BC5"/>
    <w:rsid w:val="00334708"/>
    <w:rsid w:val="00334A65"/>
    <w:rsid w:val="00334D20"/>
    <w:rsid w:val="00335267"/>
    <w:rsid w:val="0033564C"/>
    <w:rsid w:val="003356A2"/>
    <w:rsid w:val="0033582C"/>
    <w:rsid w:val="00335A0A"/>
    <w:rsid w:val="00335CDC"/>
    <w:rsid w:val="0033672B"/>
    <w:rsid w:val="00337048"/>
    <w:rsid w:val="003370BA"/>
    <w:rsid w:val="003372D0"/>
    <w:rsid w:val="00337846"/>
    <w:rsid w:val="00337847"/>
    <w:rsid w:val="0033799E"/>
    <w:rsid w:val="00337BB0"/>
    <w:rsid w:val="00337C4E"/>
    <w:rsid w:val="00337EBF"/>
    <w:rsid w:val="00340353"/>
    <w:rsid w:val="0034038A"/>
    <w:rsid w:val="003405D2"/>
    <w:rsid w:val="003405E7"/>
    <w:rsid w:val="0034070F"/>
    <w:rsid w:val="00340C7C"/>
    <w:rsid w:val="00340D4D"/>
    <w:rsid w:val="0034149F"/>
    <w:rsid w:val="003417BA"/>
    <w:rsid w:val="003419FB"/>
    <w:rsid w:val="00341C37"/>
    <w:rsid w:val="00343B0B"/>
    <w:rsid w:val="00343D49"/>
    <w:rsid w:val="00344346"/>
    <w:rsid w:val="00344842"/>
    <w:rsid w:val="00344BBF"/>
    <w:rsid w:val="003451F8"/>
    <w:rsid w:val="00345827"/>
    <w:rsid w:val="00345868"/>
    <w:rsid w:val="0034637E"/>
    <w:rsid w:val="003466B0"/>
    <w:rsid w:val="00346930"/>
    <w:rsid w:val="00347011"/>
    <w:rsid w:val="00347612"/>
    <w:rsid w:val="00347800"/>
    <w:rsid w:val="00347942"/>
    <w:rsid w:val="00347A15"/>
    <w:rsid w:val="003509DF"/>
    <w:rsid w:val="003513C7"/>
    <w:rsid w:val="0035145F"/>
    <w:rsid w:val="00351AD0"/>
    <w:rsid w:val="00351F4E"/>
    <w:rsid w:val="00352339"/>
    <w:rsid w:val="003525D4"/>
    <w:rsid w:val="00352FE4"/>
    <w:rsid w:val="0035300F"/>
    <w:rsid w:val="0035435A"/>
    <w:rsid w:val="00354469"/>
    <w:rsid w:val="0035448A"/>
    <w:rsid w:val="003547DE"/>
    <w:rsid w:val="00355453"/>
    <w:rsid w:val="003555D2"/>
    <w:rsid w:val="003559A1"/>
    <w:rsid w:val="00355B59"/>
    <w:rsid w:val="00356540"/>
    <w:rsid w:val="003566E6"/>
    <w:rsid w:val="00356926"/>
    <w:rsid w:val="00356C79"/>
    <w:rsid w:val="00356CD5"/>
    <w:rsid w:val="003570AC"/>
    <w:rsid w:val="00357420"/>
    <w:rsid w:val="00357544"/>
    <w:rsid w:val="003578DC"/>
    <w:rsid w:val="00357C20"/>
    <w:rsid w:val="00360285"/>
    <w:rsid w:val="0036060B"/>
    <w:rsid w:val="003606C0"/>
    <w:rsid w:val="0036097F"/>
    <w:rsid w:val="003609EB"/>
    <w:rsid w:val="00360D47"/>
    <w:rsid w:val="00360FAE"/>
    <w:rsid w:val="00360FD1"/>
    <w:rsid w:val="00361812"/>
    <w:rsid w:val="00361AA2"/>
    <w:rsid w:val="00362387"/>
    <w:rsid w:val="00363344"/>
    <w:rsid w:val="003633E1"/>
    <w:rsid w:val="00363DC6"/>
    <w:rsid w:val="00363FE3"/>
    <w:rsid w:val="003640C2"/>
    <w:rsid w:val="00364581"/>
    <w:rsid w:val="00364B53"/>
    <w:rsid w:val="00364BCA"/>
    <w:rsid w:val="003651FF"/>
    <w:rsid w:val="0036568B"/>
    <w:rsid w:val="00365AB9"/>
    <w:rsid w:val="00365C9E"/>
    <w:rsid w:val="00365D63"/>
    <w:rsid w:val="00365DC9"/>
    <w:rsid w:val="00365DE2"/>
    <w:rsid w:val="0036639F"/>
    <w:rsid w:val="003665E9"/>
    <w:rsid w:val="003668A5"/>
    <w:rsid w:val="003671E8"/>
    <w:rsid w:val="003675CC"/>
    <w:rsid w:val="0037090C"/>
    <w:rsid w:val="0037112B"/>
    <w:rsid w:val="00371181"/>
    <w:rsid w:val="0037128C"/>
    <w:rsid w:val="00371316"/>
    <w:rsid w:val="00371B1D"/>
    <w:rsid w:val="0037230B"/>
    <w:rsid w:val="00372476"/>
    <w:rsid w:val="003724C3"/>
    <w:rsid w:val="0037259B"/>
    <w:rsid w:val="0037289B"/>
    <w:rsid w:val="003729F9"/>
    <w:rsid w:val="003734FE"/>
    <w:rsid w:val="0037370B"/>
    <w:rsid w:val="00373CE2"/>
    <w:rsid w:val="00374340"/>
    <w:rsid w:val="003757DE"/>
    <w:rsid w:val="00375AE4"/>
    <w:rsid w:val="00375C87"/>
    <w:rsid w:val="00375F4A"/>
    <w:rsid w:val="00376061"/>
    <w:rsid w:val="003763F2"/>
    <w:rsid w:val="00376551"/>
    <w:rsid w:val="00376625"/>
    <w:rsid w:val="0037752E"/>
    <w:rsid w:val="0037753E"/>
    <w:rsid w:val="00377549"/>
    <w:rsid w:val="00377921"/>
    <w:rsid w:val="00377B33"/>
    <w:rsid w:val="00380052"/>
    <w:rsid w:val="003801D8"/>
    <w:rsid w:val="0038065D"/>
    <w:rsid w:val="003806AE"/>
    <w:rsid w:val="003817EF"/>
    <w:rsid w:val="00381983"/>
    <w:rsid w:val="00382741"/>
    <w:rsid w:val="00382981"/>
    <w:rsid w:val="003839AA"/>
    <w:rsid w:val="003842D1"/>
    <w:rsid w:val="003843E4"/>
    <w:rsid w:val="00384988"/>
    <w:rsid w:val="00384EDD"/>
    <w:rsid w:val="00385426"/>
    <w:rsid w:val="003855E1"/>
    <w:rsid w:val="0038575C"/>
    <w:rsid w:val="00385CBB"/>
    <w:rsid w:val="00385FBB"/>
    <w:rsid w:val="00386498"/>
    <w:rsid w:val="00387987"/>
    <w:rsid w:val="00387E5E"/>
    <w:rsid w:val="003907CF"/>
    <w:rsid w:val="003913D9"/>
    <w:rsid w:val="00391776"/>
    <w:rsid w:val="00391943"/>
    <w:rsid w:val="00391D47"/>
    <w:rsid w:val="00392578"/>
    <w:rsid w:val="003926A8"/>
    <w:rsid w:val="00392806"/>
    <w:rsid w:val="003929A4"/>
    <w:rsid w:val="00392CEC"/>
    <w:rsid w:val="00392E92"/>
    <w:rsid w:val="00392F5B"/>
    <w:rsid w:val="00392FB3"/>
    <w:rsid w:val="00393D67"/>
    <w:rsid w:val="003941E1"/>
    <w:rsid w:val="0039455B"/>
    <w:rsid w:val="00394BB1"/>
    <w:rsid w:val="0039563E"/>
    <w:rsid w:val="0039592D"/>
    <w:rsid w:val="00396082"/>
    <w:rsid w:val="00396AAF"/>
    <w:rsid w:val="00396D3F"/>
    <w:rsid w:val="00396EB2"/>
    <w:rsid w:val="00396F8D"/>
    <w:rsid w:val="003971AD"/>
    <w:rsid w:val="00397234"/>
    <w:rsid w:val="00397B41"/>
    <w:rsid w:val="00397C56"/>
    <w:rsid w:val="003A042B"/>
    <w:rsid w:val="003A0852"/>
    <w:rsid w:val="003A08AE"/>
    <w:rsid w:val="003A22C1"/>
    <w:rsid w:val="003A239E"/>
    <w:rsid w:val="003A26D2"/>
    <w:rsid w:val="003A3978"/>
    <w:rsid w:val="003A3D05"/>
    <w:rsid w:val="003A47A9"/>
    <w:rsid w:val="003A5748"/>
    <w:rsid w:val="003A6069"/>
    <w:rsid w:val="003A613A"/>
    <w:rsid w:val="003A66EF"/>
    <w:rsid w:val="003A689D"/>
    <w:rsid w:val="003A769E"/>
    <w:rsid w:val="003A780A"/>
    <w:rsid w:val="003A7F68"/>
    <w:rsid w:val="003B0B84"/>
    <w:rsid w:val="003B0BB0"/>
    <w:rsid w:val="003B0E50"/>
    <w:rsid w:val="003B1053"/>
    <w:rsid w:val="003B166B"/>
    <w:rsid w:val="003B1F61"/>
    <w:rsid w:val="003B23BE"/>
    <w:rsid w:val="003B30AD"/>
    <w:rsid w:val="003B4CBF"/>
    <w:rsid w:val="003B505F"/>
    <w:rsid w:val="003B5247"/>
    <w:rsid w:val="003B57EC"/>
    <w:rsid w:val="003B5853"/>
    <w:rsid w:val="003B5A1E"/>
    <w:rsid w:val="003B5E39"/>
    <w:rsid w:val="003B639B"/>
    <w:rsid w:val="003B6576"/>
    <w:rsid w:val="003B6636"/>
    <w:rsid w:val="003B6D05"/>
    <w:rsid w:val="003B71E3"/>
    <w:rsid w:val="003B7A94"/>
    <w:rsid w:val="003B7CBC"/>
    <w:rsid w:val="003C0715"/>
    <w:rsid w:val="003C0A02"/>
    <w:rsid w:val="003C0B09"/>
    <w:rsid w:val="003C2143"/>
    <w:rsid w:val="003C22AC"/>
    <w:rsid w:val="003C2534"/>
    <w:rsid w:val="003C26AC"/>
    <w:rsid w:val="003C2A0B"/>
    <w:rsid w:val="003C2EC6"/>
    <w:rsid w:val="003C32FE"/>
    <w:rsid w:val="003C3358"/>
    <w:rsid w:val="003C41CF"/>
    <w:rsid w:val="003C4F30"/>
    <w:rsid w:val="003C5044"/>
    <w:rsid w:val="003C5153"/>
    <w:rsid w:val="003C5BB1"/>
    <w:rsid w:val="003C5BC7"/>
    <w:rsid w:val="003C5ED9"/>
    <w:rsid w:val="003C6AE0"/>
    <w:rsid w:val="003C6C20"/>
    <w:rsid w:val="003C6C2D"/>
    <w:rsid w:val="003C73F8"/>
    <w:rsid w:val="003C7457"/>
    <w:rsid w:val="003C7AD3"/>
    <w:rsid w:val="003C7B2D"/>
    <w:rsid w:val="003D04DB"/>
    <w:rsid w:val="003D0F6A"/>
    <w:rsid w:val="003D0F91"/>
    <w:rsid w:val="003D130F"/>
    <w:rsid w:val="003D16F2"/>
    <w:rsid w:val="003D1801"/>
    <w:rsid w:val="003D1D5C"/>
    <w:rsid w:val="003D1EB4"/>
    <w:rsid w:val="003D2136"/>
    <w:rsid w:val="003D2796"/>
    <w:rsid w:val="003D29BF"/>
    <w:rsid w:val="003D2AE6"/>
    <w:rsid w:val="003D2C35"/>
    <w:rsid w:val="003D314F"/>
    <w:rsid w:val="003D3533"/>
    <w:rsid w:val="003D3F08"/>
    <w:rsid w:val="003D415E"/>
    <w:rsid w:val="003D4194"/>
    <w:rsid w:val="003D43B8"/>
    <w:rsid w:val="003D5549"/>
    <w:rsid w:val="003D5B8A"/>
    <w:rsid w:val="003D5BAF"/>
    <w:rsid w:val="003D5CAC"/>
    <w:rsid w:val="003D62C4"/>
    <w:rsid w:val="003D6310"/>
    <w:rsid w:val="003D6CAC"/>
    <w:rsid w:val="003D6FE1"/>
    <w:rsid w:val="003D7383"/>
    <w:rsid w:val="003D7489"/>
    <w:rsid w:val="003D7A6A"/>
    <w:rsid w:val="003E000E"/>
    <w:rsid w:val="003E009E"/>
    <w:rsid w:val="003E0ABC"/>
    <w:rsid w:val="003E14F5"/>
    <w:rsid w:val="003E159B"/>
    <w:rsid w:val="003E20EB"/>
    <w:rsid w:val="003E2333"/>
    <w:rsid w:val="003E248F"/>
    <w:rsid w:val="003E26E6"/>
    <w:rsid w:val="003E2F13"/>
    <w:rsid w:val="003E31EE"/>
    <w:rsid w:val="003E364E"/>
    <w:rsid w:val="003E4AD0"/>
    <w:rsid w:val="003E4D21"/>
    <w:rsid w:val="003E4D5A"/>
    <w:rsid w:val="003E58C2"/>
    <w:rsid w:val="003E5FCA"/>
    <w:rsid w:val="003E66A4"/>
    <w:rsid w:val="003E672B"/>
    <w:rsid w:val="003E6F99"/>
    <w:rsid w:val="003E77E9"/>
    <w:rsid w:val="003E798E"/>
    <w:rsid w:val="003E7E55"/>
    <w:rsid w:val="003F0032"/>
    <w:rsid w:val="003F06E0"/>
    <w:rsid w:val="003F0813"/>
    <w:rsid w:val="003F0C61"/>
    <w:rsid w:val="003F0D90"/>
    <w:rsid w:val="003F0E51"/>
    <w:rsid w:val="003F2708"/>
    <w:rsid w:val="003F2DBB"/>
    <w:rsid w:val="003F2F7C"/>
    <w:rsid w:val="003F316F"/>
    <w:rsid w:val="003F3D90"/>
    <w:rsid w:val="003F3E9D"/>
    <w:rsid w:val="003F4681"/>
    <w:rsid w:val="003F48CD"/>
    <w:rsid w:val="003F4A41"/>
    <w:rsid w:val="003F5B6A"/>
    <w:rsid w:val="003F5DEF"/>
    <w:rsid w:val="003F6A36"/>
    <w:rsid w:val="003F6CB2"/>
    <w:rsid w:val="003F6D65"/>
    <w:rsid w:val="003F7085"/>
    <w:rsid w:val="003F733D"/>
    <w:rsid w:val="003F782E"/>
    <w:rsid w:val="003F7B2B"/>
    <w:rsid w:val="004002DD"/>
    <w:rsid w:val="00400D5E"/>
    <w:rsid w:val="00401ED1"/>
    <w:rsid w:val="00402817"/>
    <w:rsid w:val="004029F9"/>
    <w:rsid w:val="004031B5"/>
    <w:rsid w:val="00403EED"/>
    <w:rsid w:val="0040422D"/>
    <w:rsid w:val="004045D8"/>
    <w:rsid w:val="0040494A"/>
    <w:rsid w:val="00405277"/>
    <w:rsid w:val="0040531A"/>
    <w:rsid w:val="004064E0"/>
    <w:rsid w:val="00406B63"/>
    <w:rsid w:val="00406E80"/>
    <w:rsid w:val="00406F61"/>
    <w:rsid w:val="00406FEF"/>
    <w:rsid w:val="0040710C"/>
    <w:rsid w:val="004078B5"/>
    <w:rsid w:val="00410333"/>
    <w:rsid w:val="0041045D"/>
    <w:rsid w:val="004105DF"/>
    <w:rsid w:val="0041076C"/>
    <w:rsid w:val="00410935"/>
    <w:rsid w:val="00410D67"/>
    <w:rsid w:val="00410D75"/>
    <w:rsid w:val="00410D9E"/>
    <w:rsid w:val="00411396"/>
    <w:rsid w:val="00411671"/>
    <w:rsid w:val="0041180B"/>
    <w:rsid w:val="00411AFD"/>
    <w:rsid w:val="0041212D"/>
    <w:rsid w:val="0041284E"/>
    <w:rsid w:val="00412889"/>
    <w:rsid w:val="00413464"/>
    <w:rsid w:val="00413826"/>
    <w:rsid w:val="00413C2A"/>
    <w:rsid w:val="00414A8A"/>
    <w:rsid w:val="004156B7"/>
    <w:rsid w:val="00416D06"/>
    <w:rsid w:val="00417266"/>
    <w:rsid w:val="0041751A"/>
    <w:rsid w:val="004175BE"/>
    <w:rsid w:val="00417D4C"/>
    <w:rsid w:val="00420371"/>
    <w:rsid w:val="00420374"/>
    <w:rsid w:val="004204DC"/>
    <w:rsid w:val="004206BA"/>
    <w:rsid w:val="0042090E"/>
    <w:rsid w:val="0042091E"/>
    <w:rsid w:val="00420DB1"/>
    <w:rsid w:val="0042151A"/>
    <w:rsid w:val="00421D2C"/>
    <w:rsid w:val="0042232C"/>
    <w:rsid w:val="00422BC0"/>
    <w:rsid w:val="0042391F"/>
    <w:rsid w:val="00423EBB"/>
    <w:rsid w:val="00424D94"/>
    <w:rsid w:val="00424DF9"/>
    <w:rsid w:val="004250F4"/>
    <w:rsid w:val="0042545B"/>
    <w:rsid w:val="00425E72"/>
    <w:rsid w:val="00425E85"/>
    <w:rsid w:val="0042649D"/>
    <w:rsid w:val="00426862"/>
    <w:rsid w:val="00426CE7"/>
    <w:rsid w:val="00426D50"/>
    <w:rsid w:val="00427673"/>
    <w:rsid w:val="004276E0"/>
    <w:rsid w:val="00427A16"/>
    <w:rsid w:val="00427A72"/>
    <w:rsid w:val="00427D9F"/>
    <w:rsid w:val="00430277"/>
    <w:rsid w:val="00430AA9"/>
    <w:rsid w:val="00431AA5"/>
    <w:rsid w:val="00431C39"/>
    <w:rsid w:val="00432A56"/>
    <w:rsid w:val="00433D69"/>
    <w:rsid w:val="00433DC5"/>
    <w:rsid w:val="00434C19"/>
    <w:rsid w:val="00435E93"/>
    <w:rsid w:val="0043603B"/>
    <w:rsid w:val="00436048"/>
    <w:rsid w:val="00436479"/>
    <w:rsid w:val="0043662F"/>
    <w:rsid w:val="0043667B"/>
    <w:rsid w:val="00436B23"/>
    <w:rsid w:val="00436B37"/>
    <w:rsid w:val="00436EC1"/>
    <w:rsid w:val="00437586"/>
    <w:rsid w:val="00437727"/>
    <w:rsid w:val="0043791D"/>
    <w:rsid w:val="00437CB8"/>
    <w:rsid w:val="00437D9B"/>
    <w:rsid w:val="00440A6B"/>
    <w:rsid w:val="00440C19"/>
    <w:rsid w:val="004413C7"/>
    <w:rsid w:val="004414E6"/>
    <w:rsid w:val="004417D2"/>
    <w:rsid w:val="00441D68"/>
    <w:rsid w:val="004424B2"/>
    <w:rsid w:val="004428A8"/>
    <w:rsid w:val="00442E2D"/>
    <w:rsid w:val="00442E67"/>
    <w:rsid w:val="0044305F"/>
    <w:rsid w:val="00443D1B"/>
    <w:rsid w:val="0044419E"/>
    <w:rsid w:val="00444597"/>
    <w:rsid w:val="00444692"/>
    <w:rsid w:val="004453BB"/>
    <w:rsid w:val="00445522"/>
    <w:rsid w:val="0044619B"/>
    <w:rsid w:val="00446802"/>
    <w:rsid w:val="004470C5"/>
    <w:rsid w:val="00447106"/>
    <w:rsid w:val="004474BB"/>
    <w:rsid w:val="004475E5"/>
    <w:rsid w:val="004503E1"/>
    <w:rsid w:val="00451A68"/>
    <w:rsid w:val="00451AA2"/>
    <w:rsid w:val="00451E5C"/>
    <w:rsid w:val="0045209D"/>
    <w:rsid w:val="00452950"/>
    <w:rsid w:val="00452FA4"/>
    <w:rsid w:val="00453265"/>
    <w:rsid w:val="00453750"/>
    <w:rsid w:val="004537EC"/>
    <w:rsid w:val="00453CEB"/>
    <w:rsid w:val="00454096"/>
    <w:rsid w:val="00454112"/>
    <w:rsid w:val="004547C8"/>
    <w:rsid w:val="0045495E"/>
    <w:rsid w:val="00454EF7"/>
    <w:rsid w:val="00455BC0"/>
    <w:rsid w:val="00455C7E"/>
    <w:rsid w:val="00455D98"/>
    <w:rsid w:val="004562F8"/>
    <w:rsid w:val="0045637F"/>
    <w:rsid w:val="00456A60"/>
    <w:rsid w:val="00456AD9"/>
    <w:rsid w:val="00456F88"/>
    <w:rsid w:val="00457ADE"/>
    <w:rsid w:val="00460179"/>
    <w:rsid w:val="00460B1C"/>
    <w:rsid w:val="00460FB8"/>
    <w:rsid w:val="004617CF"/>
    <w:rsid w:val="004622BB"/>
    <w:rsid w:val="00462348"/>
    <w:rsid w:val="004626B6"/>
    <w:rsid w:val="00463683"/>
    <w:rsid w:val="00463FD6"/>
    <w:rsid w:val="00464D56"/>
    <w:rsid w:val="00464DF0"/>
    <w:rsid w:val="00465562"/>
    <w:rsid w:val="00465DDF"/>
    <w:rsid w:val="004661DB"/>
    <w:rsid w:val="004663C7"/>
    <w:rsid w:val="00466B28"/>
    <w:rsid w:val="004676B5"/>
    <w:rsid w:val="00467828"/>
    <w:rsid w:val="00467D5E"/>
    <w:rsid w:val="004700FD"/>
    <w:rsid w:val="0047012B"/>
    <w:rsid w:val="004705A4"/>
    <w:rsid w:val="0047076A"/>
    <w:rsid w:val="0047089B"/>
    <w:rsid w:val="00470B26"/>
    <w:rsid w:val="00471164"/>
    <w:rsid w:val="00471238"/>
    <w:rsid w:val="0047126F"/>
    <w:rsid w:val="00471885"/>
    <w:rsid w:val="00471AA2"/>
    <w:rsid w:val="00471E18"/>
    <w:rsid w:val="00471FC6"/>
    <w:rsid w:val="0047228C"/>
    <w:rsid w:val="004736FF"/>
    <w:rsid w:val="00473871"/>
    <w:rsid w:val="004743DF"/>
    <w:rsid w:val="0047465D"/>
    <w:rsid w:val="00474EE3"/>
    <w:rsid w:val="00474EFE"/>
    <w:rsid w:val="0047620F"/>
    <w:rsid w:val="004763DF"/>
    <w:rsid w:val="00476508"/>
    <w:rsid w:val="004767BA"/>
    <w:rsid w:val="00476C99"/>
    <w:rsid w:val="00477447"/>
    <w:rsid w:val="0047794C"/>
    <w:rsid w:val="004779AA"/>
    <w:rsid w:val="00477F44"/>
    <w:rsid w:val="00480011"/>
    <w:rsid w:val="00480107"/>
    <w:rsid w:val="004809CB"/>
    <w:rsid w:val="00482259"/>
    <w:rsid w:val="00482559"/>
    <w:rsid w:val="0048280E"/>
    <w:rsid w:val="00482C33"/>
    <w:rsid w:val="00482CB5"/>
    <w:rsid w:val="00482D22"/>
    <w:rsid w:val="004830BE"/>
    <w:rsid w:val="004833CE"/>
    <w:rsid w:val="00483526"/>
    <w:rsid w:val="004836A0"/>
    <w:rsid w:val="00483BD1"/>
    <w:rsid w:val="00483D0D"/>
    <w:rsid w:val="004845B2"/>
    <w:rsid w:val="00485309"/>
    <w:rsid w:val="00485787"/>
    <w:rsid w:val="004857BD"/>
    <w:rsid w:val="00486172"/>
    <w:rsid w:val="004865D8"/>
    <w:rsid w:val="0048673E"/>
    <w:rsid w:val="00486D58"/>
    <w:rsid w:val="00487169"/>
    <w:rsid w:val="004875EB"/>
    <w:rsid w:val="004878FE"/>
    <w:rsid w:val="0049015A"/>
    <w:rsid w:val="004902C9"/>
    <w:rsid w:val="00490D8B"/>
    <w:rsid w:val="00490E40"/>
    <w:rsid w:val="00491199"/>
    <w:rsid w:val="00491607"/>
    <w:rsid w:val="004919A3"/>
    <w:rsid w:val="00491D1E"/>
    <w:rsid w:val="00492A59"/>
    <w:rsid w:val="00492B5D"/>
    <w:rsid w:val="00492D47"/>
    <w:rsid w:val="004930AA"/>
    <w:rsid w:val="004939B6"/>
    <w:rsid w:val="00493AE1"/>
    <w:rsid w:val="00493CBE"/>
    <w:rsid w:val="004945A4"/>
    <w:rsid w:val="00494C49"/>
    <w:rsid w:val="00494CE9"/>
    <w:rsid w:val="00495214"/>
    <w:rsid w:val="00495276"/>
    <w:rsid w:val="004955D7"/>
    <w:rsid w:val="0049574B"/>
    <w:rsid w:val="00495B2E"/>
    <w:rsid w:val="004964BE"/>
    <w:rsid w:val="004964E5"/>
    <w:rsid w:val="004965B9"/>
    <w:rsid w:val="00497103"/>
    <w:rsid w:val="004976B0"/>
    <w:rsid w:val="00497953"/>
    <w:rsid w:val="00497FC7"/>
    <w:rsid w:val="00497FC9"/>
    <w:rsid w:val="004A0385"/>
    <w:rsid w:val="004A07F3"/>
    <w:rsid w:val="004A0E02"/>
    <w:rsid w:val="004A0E75"/>
    <w:rsid w:val="004A0EEB"/>
    <w:rsid w:val="004A144B"/>
    <w:rsid w:val="004A1462"/>
    <w:rsid w:val="004A1FF4"/>
    <w:rsid w:val="004A234A"/>
    <w:rsid w:val="004A2819"/>
    <w:rsid w:val="004A30DB"/>
    <w:rsid w:val="004A3415"/>
    <w:rsid w:val="004A3A1C"/>
    <w:rsid w:val="004A4591"/>
    <w:rsid w:val="004A4B21"/>
    <w:rsid w:val="004A581E"/>
    <w:rsid w:val="004A5AE0"/>
    <w:rsid w:val="004A5D89"/>
    <w:rsid w:val="004A5FCA"/>
    <w:rsid w:val="004A60D6"/>
    <w:rsid w:val="004A6B9E"/>
    <w:rsid w:val="004A6C9C"/>
    <w:rsid w:val="004A6CC0"/>
    <w:rsid w:val="004A6FE6"/>
    <w:rsid w:val="004A7203"/>
    <w:rsid w:val="004A7751"/>
    <w:rsid w:val="004A77C4"/>
    <w:rsid w:val="004A7ABE"/>
    <w:rsid w:val="004B0303"/>
    <w:rsid w:val="004B039B"/>
    <w:rsid w:val="004B09A3"/>
    <w:rsid w:val="004B117A"/>
    <w:rsid w:val="004B18AE"/>
    <w:rsid w:val="004B21B0"/>
    <w:rsid w:val="004B2564"/>
    <w:rsid w:val="004B2D77"/>
    <w:rsid w:val="004B2F85"/>
    <w:rsid w:val="004B3850"/>
    <w:rsid w:val="004B3A7A"/>
    <w:rsid w:val="004B42DF"/>
    <w:rsid w:val="004B4502"/>
    <w:rsid w:val="004B4756"/>
    <w:rsid w:val="004B5F7A"/>
    <w:rsid w:val="004B6164"/>
    <w:rsid w:val="004B63AE"/>
    <w:rsid w:val="004B7C1A"/>
    <w:rsid w:val="004C056A"/>
    <w:rsid w:val="004C0FFF"/>
    <w:rsid w:val="004C1260"/>
    <w:rsid w:val="004C1653"/>
    <w:rsid w:val="004C1BDC"/>
    <w:rsid w:val="004C209B"/>
    <w:rsid w:val="004C2149"/>
    <w:rsid w:val="004C2531"/>
    <w:rsid w:val="004C2B02"/>
    <w:rsid w:val="004C3342"/>
    <w:rsid w:val="004C3B1F"/>
    <w:rsid w:val="004C4056"/>
    <w:rsid w:val="004C4396"/>
    <w:rsid w:val="004C4AF0"/>
    <w:rsid w:val="004C4F65"/>
    <w:rsid w:val="004C52B7"/>
    <w:rsid w:val="004C58B1"/>
    <w:rsid w:val="004C6628"/>
    <w:rsid w:val="004C7A8F"/>
    <w:rsid w:val="004C7D9F"/>
    <w:rsid w:val="004D0BEA"/>
    <w:rsid w:val="004D16BE"/>
    <w:rsid w:val="004D181E"/>
    <w:rsid w:val="004D1983"/>
    <w:rsid w:val="004D1BC8"/>
    <w:rsid w:val="004D1D1F"/>
    <w:rsid w:val="004D2576"/>
    <w:rsid w:val="004D2869"/>
    <w:rsid w:val="004D2D0A"/>
    <w:rsid w:val="004D3387"/>
    <w:rsid w:val="004D38B0"/>
    <w:rsid w:val="004D3AAD"/>
    <w:rsid w:val="004D4C8A"/>
    <w:rsid w:val="004D562B"/>
    <w:rsid w:val="004D581B"/>
    <w:rsid w:val="004D5AD1"/>
    <w:rsid w:val="004D708B"/>
    <w:rsid w:val="004D7A95"/>
    <w:rsid w:val="004D7ABD"/>
    <w:rsid w:val="004D7BF2"/>
    <w:rsid w:val="004E0BE3"/>
    <w:rsid w:val="004E0E03"/>
    <w:rsid w:val="004E0F37"/>
    <w:rsid w:val="004E13FA"/>
    <w:rsid w:val="004E1450"/>
    <w:rsid w:val="004E1AA9"/>
    <w:rsid w:val="004E1D0E"/>
    <w:rsid w:val="004E1DB7"/>
    <w:rsid w:val="004E1FE7"/>
    <w:rsid w:val="004E221D"/>
    <w:rsid w:val="004E229B"/>
    <w:rsid w:val="004E2601"/>
    <w:rsid w:val="004E2BF7"/>
    <w:rsid w:val="004E2C89"/>
    <w:rsid w:val="004E3112"/>
    <w:rsid w:val="004E3885"/>
    <w:rsid w:val="004E3B2D"/>
    <w:rsid w:val="004E4096"/>
    <w:rsid w:val="004E5265"/>
    <w:rsid w:val="004E5B3C"/>
    <w:rsid w:val="004E6717"/>
    <w:rsid w:val="004E694F"/>
    <w:rsid w:val="004E6D72"/>
    <w:rsid w:val="004E71DD"/>
    <w:rsid w:val="004E7219"/>
    <w:rsid w:val="004E7332"/>
    <w:rsid w:val="004E776C"/>
    <w:rsid w:val="004E7906"/>
    <w:rsid w:val="004E7A25"/>
    <w:rsid w:val="004E7F0D"/>
    <w:rsid w:val="004F01B0"/>
    <w:rsid w:val="004F05C6"/>
    <w:rsid w:val="004F1244"/>
    <w:rsid w:val="004F19E2"/>
    <w:rsid w:val="004F1D1F"/>
    <w:rsid w:val="004F23B5"/>
    <w:rsid w:val="004F24FD"/>
    <w:rsid w:val="004F2E45"/>
    <w:rsid w:val="004F30E8"/>
    <w:rsid w:val="004F431D"/>
    <w:rsid w:val="004F43AB"/>
    <w:rsid w:val="004F45C7"/>
    <w:rsid w:val="004F4C67"/>
    <w:rsid w:val="004F4F1F"/>
    <w:rsid w:val="004F4F7A"/>
    <w:rsid w:val="004F4F85"/>
    <w:rsid w:val="004F532F"/>
    <w:rsid w:val="004F539A"/>
    <w:rsid w:val="004F5524"/>
    <w:rsid w:val="004F5B56"/>
    <w:rsid w:val="004F679D"/>
    <w:rsid w:val="004F717A"/>
    <w:rsid w:val="0050010C"/>
    <w:rsid w:val="005001D1"/>
    <w:rsid w:val="005001D8"/>
    <w:rsid w:val="005002E1"/>
    <w:rsid w:val="005006C5"/>
    <w:rsid w:val="00500EA7"/>
    <w:rsid w:val="005010B6"/>
    <w:rsid w:val="005011A2"/>
    <w:rsid w:val="00501372"/>
    <w:rsid w:val="0050194A"/>
    <w:rsid w:val="00501D89"/>
    <w:rsid w:val="00501F13"/>
    <w:rsid w:val="0050204B"/>
    <w:rsid w:val="00502507"/>
    <w:rsid w:val="00502920"/>
    <w:rsid w:val="00502A0F"/>
    <w:rsid w:val="00502FAD"/>
    <w:rsid w:val="00503072"/>
    <w:rsid w:val="0050313A"/>
    <w:rsid w:val="005031BB"/>
    <w:rsid w:val="00503380"/>
    <w:rsid w:val="005038C5"/>
    <w:rsid w:val="00503B67"/>
    <w:rsid w:val="00503E67"/>
    <w:rsid w:val="00503F81"/>
    <w:rsid w:val="005048AA"/>
    <w:rsid w:val="005048E9"/>
    <w:rsid w:val="00504A34"/>
    <w:rsid w:val="00505366"/>
    <w:rsid w:val="0050657A"/>
    <w:rsid w:val="00507986"/>
    <w:rsid w:val="00510184"/>
    <w:rsid w:val="00510973"/>
    <w:rsid w:val="00510A6C"/>
    <w:rsid w:val="00510D89"/>
    <w:rsid w:val="00511210"/>
    <w:rsid w:val="00511F6D"/>
    <w:rsid w:val="005125A5"/>
    <w:rsid w:val="00512DCB"/>
    <w:rsid w:val="005130A4"/>
    <w:rsid w:val="0051326F"/>
    <w:rsid w:val="00513BCD"/>
    <w:rsid w:val="00513F33"/>
    <w:rsid w:val="005147FC"/>
    <w:rsid w:val="00514DD2"/>
    <w:rsid w:val="005158BE"/>
    <w:rsid w:val="00515C82"/>
    <w:rsid w:val="005164BC"/>
    <w:rsid w:val="00516835"/>
    <w:rsid w:val="005169B9"/>
    <w:rsid w:val="00516FB8"/>
    <w:rsid w:val="00517613"/>
    <w:rsid w:val="005176B3"/>
    <w:rsid w:val="00517AA9"/>
    <w:rsid w:val="00517E6B"/>
    <w:rsid w:val="0052031E"/>
    <w:rsid w:val="005204F9"/>
    <w:rsid w:val="00520550"/>
    <w:rsid w:val="00520A36"/>
    <w:rsid w:val="00520B9E"/>
    <w:rsid w:val="00520C3B"/>
    <w:rsid w:val="00520C4B"/>
    <w:rsid w:val="0052156D"/>
    <w:rsid w:val="00521A4E"/>
    <w:rsid w:val="00522475"/>
    <w:rsid w:val="005227A0"/>
    <w:rsid w:val="0052289F"/>
    <w:rsid w:val="00522FC1"/>
    <w:rsid w:val="005232B5"/>
    <w:rsid w:val="005239EA"/>
    <w:rsid w:val="00523C70"/>
    <w:rsid w:val="00524289"/>
    <w:rsid w:val="00524F47"/>
    <w:rsid w:val="005250BC"/>
    <w:rsid w:val="005254F8"/>
    <w:rsid w:val="00525690"/>
    <w:rsid w:val="00525736"/>
    <w:rsid w:val="005259CE"/>
    <w:rsid w:val="00526053"/>
    <w:rsid w:val="005265D4"/>
    <w:rsid w:val="00526812"/>
    <w:rsid w:val="0052721A"/>
    <w:rsid w:val="00527B92"/>
    <w:rsid w:val="00527F31"/>
    <w:rsid w:val="00530147"/>
    <w:rsid w:val="0053022D"/>
    <w:rsid w:val="005308B4"/>
    <w:rsid w:val="00530924"/>
    <w:rsid w:val="005315AB"/>
    <w:rsid w:val="00531D8C"/>
    <w:rsid w:val="00532196"/>
    <w:rsid w:val="005324E4"/>
    <w:rsid w:val="005325F3"/>
    <w:rsid w:val="005326D9"/>
    <w:rsid w:val="00532AFD"/>
    <w:rsid w:val="00533572"/>
    <w:rsid w:val="005338E5"/>
    <w:rsid w:val="00534021"/>
    <w:rsid w:val="005342AA"/>
    <w:rsid w:val="00534623"/>
    <w:rsid w:val="005346A1"/>
    <w:rsid w:val="00534833"/>
    <w:rsid w:val="00534A74"/>
    <w:rsid w:val="00534EB1"/>
    <w:rsid w:val="005352B7"/>
    <w:rsid w:val="00535691"/>
    <w:rsid w:val="00535D72"/>
    <w:rsid w:val="00536216"/>
    <w:rsid w:val="0053634C"/>
    <w:rsid w:val="005364E8"/>
    <w:rsid w:val="005369F8"/>
    <w:rsid w:val="00536D35"/>
    <w:rsid w:val="00536DD7"/>
    <w:rsid w:val="005372F8"/>
    <w:rsid w:val="005373BF"/>
    <w:rsid w:val="005379CF"/>
    <w:rsid w:val="00537B4A"/>
    <w:rsid w:val="00537D3D"/>
    <w:rsid w:val="00537EE4"/>
    <w:rsid w:val="0054001C"/>
    <w:rsid w:val="005402FF"/>
    <w:rsid w:val="00540551"/>
    <w:rsid w:val="005408D0"/>
    <w:rsid w:val="00540A49"/>
    <w:rsid w:val="00540FF0"/>
    <w:rsid w:val="00541177"/>
    <w:rsid w:val="005413A3"/>
    <w:rsid w:val="00541A40"/>
    <w:rsid w:val="0054203F"/>
    <w:rsid w:val="00542988"/>
    <w:rsid w:val="00542C8D"/>
    <w:rsid w:val="00542CDA"/>
    <w:rsid w:val="00542EA3"/>
    <w:rsid w:val="0054365A"/>
    <w:rsid w:val="00543699"/>
    <w:rsid w:val="00543A22"/>
    <w:rsid w:val="00543F8A"/>
    <w:rsid w:val="0054509A"/>
    <w:rsid w:val="00545557"/>
    <w:rsid w:val="00545927"/>
    <w:rsid w:val="00546559"/>
    <w:rsid w:val="00546B26"/>
    <w:rsid w:val="005474F6"/>
    <w:rsid w:val="00547C0F"/>
    <w:rsid w:val="00547D62"/>
    <w:rsid w:val="005500D2"/>
    <w:rsid w:val="00550A92"/>
    <w:rsid w:val="00550BA0"/>
    <w:rsid w:val="00550E94"/>
    <w:rsid w:val="005511EC"/>
    <w:rsid w:val="00551544"/>
    <w:rsid w:val="00551B42"/>
    <w:rsid w:val="00551DB7"/>
    <w:rsid w:val="00553469"/>
    <w:rsid w:val="00553B66"/>
    <w:rsid w:val="0055459A"/>
    <w:rsid w:val="00554A8A"/>
    <w:rsid w:val="00554AAD"/>
    <w:rsid w:val="005553F0"/>
    <w:rsid w:val="005554C5"/>
    <w:rsid w:val="005556CA"/>
    <w:rsid w:val="005559D1"/>
    <w:rsid w:val="00555CE4"/>
    <w:rsid w:val="00555D63"/>
    <w:rsid w:val="00556192"/>
    <w:rsid w:val="005565B2"/>
    <w:rsid w:val="00556E6F"/>
    <w:rsid w:val="00556F6F"/>
    <w:rsid w:val="00557296"/>
    <w:rsid w:val="00557A6C"/>
    <w:rsid w:val="005608B2"/>
    <w:rsid w:val="0056099A"/>
    <w:rsid w:val="00560A43"/>
    <w:rsid w:val="00560FD3"/>
    <w:rsid w:val="00561000"/>
    <w:rsid w:val="00561471"/>
    <w:rsid w:val="0056270E"/>
    <w:rsid w:val="00562ECE"/>
    <w:rsid w:val="00563749"/>
    <w:rsid w:val="00563C85"/>
    <w:rsid w:val="00563DDB"/>
    <w:rsid w:val="00564813"/>
    <w:rsid w:val="0056546C"/>
    <w:rsid w:val="0056563A"/>
    <w:rsid w:val="00565966"/>
    <w:rsid w:val="00565B05"/>
    <w:rsid w:val="00565BD3"/>
    <w:rsid w:val="00565F1B"/>
    <w:rsid w:val="00566629"/>
    <w:rsid w:val="005674D2"/>
    <w:rsid w:val="00567686"/>
    <w:rsid w:val="005676DC"/>
    <w:rsid w:val="00567F43"/>
    <w:rsid w:val="005702C5"/>
    <w:rsid w:val="00570460"/>
    <w:rsid w:val="005715C9"/>
    <w:rsid w:val="00571D67"/>
    <w:rsid w:val="00572E2F"/>
    <w:rsid w:val="00572E40"/>
    <w:rsid w:val="00573801"/>
    <w:rsid w:val="00574579"/>
    <w:rsid w:val="00574593"/>
    <w:rsid w:val="00574757"/>
    <w:rsid w:val="0057527E"/>
    <w:rsid w:val="00575554"/>
    <w:rsid w:val="00575A1D"/>
    <w:rsid w:val="00575A7F"/>
    <w:rsid w:val="005764A9"/>
    <w:rsid w:val="00576529"/>
    <w:rsid w:val="00576867"/>
    <w:rsid w:val="00576D2C"/>
    <w:rsid w:val="00576EFD"/>
    <w:rsid w:val="005771BB"/>
    <w:rsid w:val="00577BC4"/>
    <w:rsid w:val="005801AC"/>
    <w:rsid w:val="00580508"/>
    <w:rsid w:val="005806F9"/>
    <w:rsid w:val="00580C5C"/>
    <w:rsid w:val="00580DA8"/>
    <w:rsid w:val="00580F79"/>
    <w:rsid w:val="0058142E"/>
    <w:rsid w:val="005815C2"/>
    <w:rsid w:val="00581795"/>
    <w:rsid w:val="005817E7"/>
    <w:rsid w:val="00581FED"/>
    <w:rsid w:val="00582A39"/>
    <w:rsid w:val="00583B95"/>
    <w:rsid w:val="005850FD"/>
    <w:rsid w:val="0058597D"/>
    <w:rsid w:val="00585BB5"/>
    <w:rsid w:val="00585F34"/>
    <w:rsid w:val="00586223"/>
    <w:rsid w:val="00586851"/>
    <w:rsid w:val="00586891"/>
    <w:rsid w:val="00587DC2"/>
    <w:rsid w:val="005906E5"/>
    <w:rsid w:val="005907E3"/>
    <w:rsid w:val="00590AE1"/>
    <w:rsid w:val="00590EBE"/>
    <w:rsid w:val="0059185F"/>
    <w:rsid w:val="00591F15"/>
    <w:rsid w:val="0059264E"/>
    <w:rsid w:val="0059279B"/>
    <w:rsid w:val="00592EBE"/>
    <w:rsid w:val="00593050"/>
    <w:rsid w:val="0059372F"/>
    <w:rsid w:val="0059383C"/>
    <w:rsid w:val="0059393A"/>
    <w:rsid w:val="00594112"/>
    <w:rsid w:val="0059466A"/>
    <w:rsid w:val="00594734"/>
    <w:rsid w:val="0059494A"/>
    <w:rsid w:val="005950C8"/>
    <w:rsid w:val="0059531A"/>
    <w:rsid w:val="0059595B"/>
    <w:rsid w:val="00595A3D"/>
    <w:rsid w:val="00595D44"/>
    <w:rsid w:val="0059614A"/>
    <w:rsid w:val="005963B4"/>
    <w:rsid w:val="005967C6"/>
    <w:rsid w:val="00596A06"/>
    <w:rsid w:val="005977BF"/>
    <w:rsid w:val="0059796B"/>
    <w:rsid w:val="005A021D"/>
    <w:rsid w:val="005A0737"/>
    <w:rsid w:val="005A07BF"/>
    <w:rsid w:val="005A0CEA"/>
    <w:rsid w:val="005A1450"/>
    <w:rsid w:val="005A17FB"/>
    <w:rsid w:val="005A1852"/>
    <w:rsid w:val="005A190A"/>
    <w:rsid w:val="005A1A1B"/>
    <w:rsid w:val="005A20C9"/>
    <w:rsid w:val="005A2216"/>
    <w:rsid w:val="005A24B5"/>
    <w:rsid w:val="005A2CFC"/>
    <w:rsid w:val="005A2F84"/>
    <w:rsid w:val="005A3347"/>
    <w:rsid w:val="005A4042"/>
    <w:rsid w:val="005A40BA"/>
    <w:rsid w:val="005A4228"/>
    <w:rsid w:val="005A504A"/>
    <w:rsid w:val="005A57D6"/>
    <w:rsid w:val="005A5A70"/>
    <w:rsid w:val="005A7389"/>
    <w:rsid w:val="005A78EE"/>
    <w:rsid w:val="005A7CA2"/>
    <w:rsid w:val="005A7E48"/>
    <w:rsid w:val="005A7FD3"/>
    <w:rsid w:val="005B02F2"/>
    <w:rsid w:val="005B095F"/>
    <w:rsid w:val="005B0B51"/>
    <w:rsid w:val="005B1071"/>
    <w:rsid w:val="005B1790"/>
    <w:rsid w:val="005B1A38"/>
    <w:rsid w:val="005B1F44"/>
    <w:rsid w:val="005B20D0"/>
    <w:rsid w:val="005B21E1"/>
    <w:rsid w:val="005B2AC2"/>
    <w:rsid w:val="005B2BF5"/>
    <w:rsid w:val="005B2DAB"/>
    <w:rsid w:val="005B3945"/>
    <w:rsid w:val="005B4811"/>
    <w:rsid w:val="005B4C75"/>
    <w:rsid w:val="005B529D"/>
    <w:rsid w:val="005B52D1"/>
    <w:rsid w:val="005B53E0"/>
    <w:rsid w:val="005B554D"/>
    <w:rsid w:val="005B5853"/>
    <w:rsid w:val="005B5E6C"/>
    <w:rsid w:val="005B63E4"/>
    <w:rsid w:val="005B69CA"/>
    <w:rsid w:val="005B6AB5"/>
    <w:rsid w:val="005B6CCC"/>
    <w:rsid w:val="005B70C5"/>
    <w:rsid w:val="005B71CE"/>
    <w:rsid w:val="005B757C"/>
    <w:rsid w:val="005B78A1"/>
    <w:rsid w:val="005B7F43"/>
    <w:rsid w:val="005C02D4"/>
    <w:rsid w:val="005C05FF"/>
    <w:rsid w:val="005C0704"/>
    <w:rsid w:val="005C14A0"/>
    <w:rsid w:val="005C1622"/>
    <w:rsid w:val="005C198B"/>
    <w:rsid w:val="005C23D7"/>
    <w:rsid w:val="005C26CE"/>
    <w:rsid w:val="005C27AB"/>
    <w:rsid w:val="005C2859"/>
    <w:rsid w:val="005C287F"/>
    <w:rsid w:val="005C2947"/>
    <w:rsid w:val="005C2D2D"/>
    <w:rsid w:val="005C3857"/>
    <w:rsid w:val="005C4228"/>
    <w:rsid w:val="005C438E"/>
    <w:rsid w:val="005C43F3"/>
    <w:rsid w:val="005C552D"/>
    <w:rsid w:val="005C55B2"/>
    <w:rsid w:val="005C5648"/>
    <w:rsid w:val="005C57A7"/>
    <w:rsid w:val="005C608E"/>
    <w:rsid w:val="005C62D9"/>
    <w:rsid w:val="005C6B05"/>
    <w:rsid w:val="005C6E27"/>
    <w:rsid w:val="005C7994"/>
    <w:rsid w:val="005C7ABF"/>
    <w:rsid w:val="005C7CF3"/>
    <w:rsid w:val="005D00DB"/>
    <w:rsid w:val="005D07D2"/>
    <w:rsid w:val="005D0F46"/>
    <w:rsid w:val="005D0F8C"/>
    <w:rsid w:val="005D14F8"/>
    <w:rsid w:val="005D1BB8"/>
    <w:rsid w:val="005D1FBA"/>
    <w:rsid w:val="005D2018"/>
    <w:rsid w:val="005D24A9"/>
    <w:rsid w:val="005D25B7"/>
    <w:rsid w:val="005D25BE"/>
    <w:rsid w:val="005D293C"/>
    <w:rsid w:val="005D2A58"/>
    <w:rsid w:val="005D30B8"/>
    <w:rsid w:val="005D3ED4"/>
    <w:rsid w:val="005D48FE"/>
    <w:rsid w:val="005D4DA2"/>
    <w:rsid w:val="005D5504"/>
    <w:rsid w:val="005D5864"/>
    <w:rsid w:val="005D5880"/>
    <w:rsid w:val="005D5DA2"/>
    <w:rsid w:val="005D5EAC"/>
    <w:rsid w:val="005D66B0"/>
    <w:rsid w:val="005D6BA1"/>
    <w:rsid w:val="005D6C63"/>
    <w:rsid w:val="005D6E99"/>
    <w:rsid w:val="005D7598"/>
    <w:rsid w:val="005E009F"/>
    <w:rsid w:val="005E0C21"/>
    <w:rsid w:val="005E1367"/>
    <w:rsid w:val="005E1528"/>
    <w:rsid w:val="005E2189"/>
    <w:rsid w:val="005E25F7"/>
    <w:rsid w:val="005E2A5A"/>
    <w:rsid w:val="005E2C15"/>
    <w:rsid w:val="005E35FD"/>
    <w:rsid w:val="005E3B69"/>
    <w:rsid w:val="005E3DDA"/>
    <w:rsid w:val="005E450C"/>
    <w:rsid w:val="005E4583"/>
    <w:rsid w:val="005E4642"/>
    <w:rsid w:val="005E46DC"/>
    <w:rsid w:val="005E4866"/>
    <w:rsid w:val="005E4A51"/>
    <w:rsid w:val="005E4C95"/>
    <w:rsid w:val="005E58A5"/>
    <w:rsid w:val="005E5E61"/>
    <w:rsid w:val="005E6674"/>
    <w:rsid w:val="005E78E7"/>
    <w:rsid w:val="005F00DC"/>
    <w:rsid w:val="005F01BE"/>
    <w:rsid w:val="005F0224"/>
    <w:rsid w:val="005F038B"/>
    <w:rsid w:val="005F049B"/>
    <w:rsid w:val="005F0908"/>
    <w:rsid w:val="005F0B3C"/>
    <w:rsid w:val="005F0E3E"/>
    <w:rsid w:val="005F14B1"/>
    <w:rsid w:val="005F16C0"/>
    <w:rsid w:val="005F1D95"/>
    <w:rsid w:val="005F1FA4"/>
    <w:rsid w:val="005F2129"/>
    <w:rsid w:val="005F22F1"/>
    <w:rsid w:val="005F27EF"/>
    <w:rsid w:val="005F30B1"/>
    <w:rsid w:val="005F3434"/>
    <w:rsid w:val="005F3AEF"/>
    <w:rsid w:val="005F3C03"/>
    <w:rsid w:val="005F3DD2"/>
    <w:rsid w:val="005F4418"/>
    <w:rsid w:val="005F492A"/>
    <w:rsid w:val="005F49D2"/>
    <w:rsid w:val="005F4CED"/>
    <w:rsid w:val="005F5352"/>
    <w:rsid w:val="005F5527"/>
    <w:rsid w:val="005F6B5C"/>
    <w:rsid w:val="005F6BF4"/>
    <w:rsid w:val="005F6D08"/>
    <w:rsid w:val="005F6F91"/>
    <w:rsid w:val="005F7321"/>
    <w:rsid w:val="005F7CC7"/>
    <w:rsid w:val="00600F74"/>
    <w:rsid w:val="00601269"/>
    <w:rsid w:val="00601459"/>
    <w:rsid w:val="00601C2F"/>
    <w:rsid w:val="00602BBC"/>
    <w:rsid w:val="00603003"/>
    <w:rsid w:val="00603ABE"/>
    <w:rsid w:val="00603D36"/>
    <w:rsid w:val="00603F19"/>
    <w:rsid w:val="00604D69"/>
    <w:rsid w:val="006052E4"/>
    <w:rsid w:val="00605442"/>
    <w:rsid w:val="0060549B"/>
    <w:rsid w:val="00605538"/>
    <w:rsid w:val="00605776"/>
    <w:rsid w:val="006061F3"/>
    <w:rsid w:val="0060683C"/>
    <w:rsid w:val="00607532"/>
    <w:rsid w:val="00607C9B"/>
    <w:rsid w:val="006104FE"/>
    <w:rsid w:val="00610930"/>
    <w:rsid w:val="00610B37"/>
    <w:rsid w:val="00611216"/>
    <w:rsid w:val="006112E4"/>
    <w:rsid w:val="0061223F"/>
    <w:rsid w:val="006125B0"/>
    <w:rsid w:val="00612C20"/>
    <w:rsid w:val="00612E61"/>
    <w:rsid w:val="00612FC6"/>
    <w:rsid w:val="0061399F"/>
    <w:rsid w:val="00613D28"/>
    <w:rsid w:val="0061404F"/>
    <w:rsid w:val="0061424C"/>
    <w:rsid w:val="00614C2C"/>
    <w:rsid w:val="00614E96"/>
    <w:rsid w:val="00614EA9"/>
    <w:rsid w:val="00615072"/>
    <w:rsid w:val="00615EA0"/>
    <w:rsid w:val="00615F30"/>
    <w:rsid w:val="00616E27"/>
    <w:rsid w:val="00617088"/>
    <w:rsid w:val="00617831"/>
    <w:rsid w:val="0061794C"/>
    <w:rsid w:val="0062007E"/>
    <w:rsid w:val="00620205"/>
    <w:rsid w:val="006202CC"/>
    <w:rsid w:val="0062030A"/>
    <w:rsid w:val="00620470"/>
    <w:rsid w:val="00620736"/>
    <w:rsid w:val="006212E4"/>
    <w:rsid w:val="00621EF4"/>
    <w:rsid w:val="00622128"/>
    <w:rsid w:val="0062254D"/>
    <w:rsid w:val="006229D3"/>
    <w:rsid w:val="006241BE"/>
    <w:rsid w:val="006244E5"/>
    <w:rsid w:val="0062456C"/>
    <w:rsid w:val="00625009"/>
    <w:rsid w:val="00625523"/>
    <w:rsid w:val="00625759"/>
    <w:rsid w:val="006259EF"/>
    <w:rsid w:val="00625B32"/>
    <w:rsid w:val="00625B8F"/>
    <w:rsid w:val="006266E5"/>
    <w:rsid w:val="006278CC"/>
    <w:rsid w:val="00627912"/>
    <w:rsid w:val="00627F05"/>
    <w:rsid w:val="00630332"/>
    <w:rsid w:val="00630F2B"/>
    <w:rsid w:val="006315AC"/>
    <w:rsid w:val="00631621"/>
    <w:rsid w:val="0063189C"/>
    <w:rsid w:val="00632878"/>
    <w:rsid w:val="006329CF"/>
    <w:rsid w:val="00632A7A"/>
    <w:rsid w:val="00632C05"/>
    <w:rsid w:val="006330FA"/>
    <w:rsid w:val="00633595"/>
    <w:rsid w:val="00634521"/>
    <w:rsid w:val="0063468C"/>
    <w:rsid w:val="00634DAD"/>
    <w:rsid w:val="0063546E"/>
    <w:rsid w:val="006356A3"/>
    <w:rsid w:val="006356C7"/>
    <w:rsid w:val="006358A5"/>
    <w:rsid w:val="006359D0"/>
    <w:rsid w:val="00635B2E"/>
    <w:rsid w:val="006364F7"/>
    <w:rsid w:val="00636D65"/>
    <w:rsid w:val="00636EAC"/>
    <w:rsid w:val="0063728E"/>
    <w:rsid w:val="006372F2"/>
    <w:rsid w:val="0063730B"/>
    <w:rsid w:val="006373B0"/>
    <w:rsid w:val="00637630"/>
    <w:rsid w:val="00637810"/>
    <w:rsid w:val="00637918"/>
    <w:rsid w:val="0063799F"/>
    <w:rsid w:val="00637E30"/>
    <w:rsid w:val="00637E67"/>
    <w:rsid w:val="00640391"/>
    <w:rsid w:val="0064090C"/>
    <w:rsid w:val="00640A83"/>
    <w:rsid w:val="00642D42"/>
    <w:rsid w:val="00642E0E"/>
    <w:rsid w:val="00643044"/>
    <w:rsid w:val="006430ED"/>
    <w:rsid w:val="006434BE"/>
    <w:rsid w:val="00643B35"/>
    <w:rsid w:val="00644879"/>
    <w:rsid w:val="00644C6D"/>
    <w:rsid w:val="0064527F"/>
    <w:rsid w:val="006454AC"/>
    <w:rsid w:val="006457EB"/>
    <w:rsid w:val="00645A81"/>
    <w:rsid w:val="00645CCC"/>
    <w:rsid w:val="00646222"/>
    <w:rsid w:val="0064663D"/>
    <w:rsid w:val="00646CA0"/>
    <w:rsid w:val="00650191"/>
    <w:rsid w:val="00650351"/>
    <w:rsid w:val="006505DC"/>
    <w:rsid w:val="006509BB"/>
    <w:rsid w:val="00650BE0"/>
    <w:rsid w:val="00651032"/>
    <w:rsid w:val="00651361"/>
    <w:rsid w:val="006514C8"/>
    <w:rsid w:val="00651605"/>
    <w:rsid w:val="006516A6"/>
    <w:rsid w:val="00651A21"/>
    <w:rsid w:val="00651FD1"/>
    <w:rsid w:val="00652C86"/>
    <w:rsid w:val="006531CB"/>
    <w:rsid w:val="00653453"/>
    <w:rsid w:val="00653E4D"/>
    <w:rsid w:val="00653F03"/>
    <w:rsid w:val="006541A6"/>
    <w:rsid w:val="00654347"/>
    <w:rsid w:val="00654926"/>
    <w:rsid w:val="00654C6A"/>
    <w:rsid w:val="00655B41"/>
    <w:rsid w:val="00656821"/>
    <w:rsid w:val="006569B1"/>
    <w:rsid w:val="00656F75"/>
    <w:rsid w:val="006572F6"/>
    <w:rsid w:val="00657379"/>
    <w:rsid w:val="006576D8"/>
    <w:rsid w:val="0065797F"/>
    <w:rsid w:val="00657BBC"/>
    <w:rsid w:val="006600F5"/>
    <w:rsid w:val="0066027D"/>
    <w:rsid w:val="00660609"/>
    <w:rsid w:val="006609B1"/>
    <w:rsid w:val="00660AD1"/>
    <w:rsid w:val="00661D76"/>
    <w:rsid w:val="00661E8F"/>
    <w:rsid w:val="00662020"/>
    <w:rsid w:val="006623BF"/>
    <w:rsid w:val="006623DC"/>
    <w:rsid w:val="006624F0"/>
    <w:rsid w:val="0066294A"/>
    <w:rsid w:val="0066318C"/>
    <w:rsid w:val="006637B9"/>
    <w:rsid w:val="00663AAC"/>
    <w:rsid w:val="00663E77"/>
    <w:rsid w:val="00664533"/>
    <w:rsid w:val="0066498E"/>
    <w:rsid w:val="00664D80"/>
    <w:rsid w:val="006659DD"/>
    <w:rsid w:val="00665B84"/>
    <w:rsid w:val="006662AD"/>
    <w:rsid w:val="006668CA"/>
    <w:rsid w:val="00666E99"/>
    <w:rsid w:val="0066760C"/>
    <w:rsid w:val="00667ABB"/>
    <w:rsid w:val="006708C9"/>
    <w:rsid w:val="00670B88"/>
    <w:rsid w:val="00670E84"/>
    <w:rsid w:val="0067240D"/>
    <w:rsid w:val="006726E0"/>
    <w:rsid w:val="006742C5"/>
    <w:rsid w:val="00674A96"/>
    <w:rsid w:val="00674D18"/>
    <w:rsid w:val="006750F1"/>
    <w:rsid w:val="00675A81"/>
    <w:rsid w:val="0067643D"/>
    <w:rsid w:val="0067675D"/>
    <w:rsid w:val="00677A1C"/>
    <w:rsid w:val="00677C73"/>
    <w:rsid w:val="00677F7C"/>
    <w:rsid w:val="00680078"/>
    <w:rsid w:val="0068074C"/>
    <w:rsid w:val="00682FEC"/>
    <w:rsid w:val="006834E5"/>
    <w:rsid w:val="00683564"/>
    <w:rsid w:val="006836FF"/>
    <w:rsid w:val="00683815"/>
    <w:rsid w:val="00683A28"/>
    <w:rsid w:val="00684959"/>
    <w:rsid w:val="00684DEA"/>
    <w:rsid w:val="006854F2"/>
    <w:rsid w:val="0068565C"/>
    <w:rsid w:val="00685CE0"/>
    <w:rsid w:val="0068620A"/>
    <w:rsid w:val="006862BE"/>
    <w:rsid w:val="00686490"/>
    <w:rsid w:val="00686E12"/>
    <w:rsid w:val="0069093D"/>
    <w:rsid w:val="00690E56"/>
    <w:rsid w:val="00691B4D"/>
    <w:rsid w:val="00692151"/>
    <w:rsid w:val="0069225F"/>
    <w:rsid w:val="006923B1"/>
    <w:rsid w:val="0069249C"/>
    <w:rsid w:val="00692613"/>
    <w:rsid w:val="00692D8D"/>
    <w:rsid w:val="0069335D"/>
    <w:rsid w:val="00694A48"/>
    <w:rsid w:val="00694C3C"/>
    <w:rsid w:val="00696ADE"/>
    <w:rsid w:val="0069765A"/>
    <w:rsid w:val="00697E8B"/>
    <w:rsid w:val="006A040F"/>
    <w:rsid w:val="006A0863"/>
    <w:rsid w:val="006A1039"/>
    <w:rsid w:val="006A169F"/>
    <w:rsid w:val="006A21AF"/>
    <w:rsid w:val="006A2D1D"/>
    <w:rsid w:val="006A49AE"/>
    <w:rsid w:val="006A4C49"/>
    <w:rsid w:val="006A52FF"/>
    <w:rsid w:val="006A5837"/>
    <w:rsid w:val="006A5A4C"/>
    <w:rsid w:val="006A5EE2"/>
    <w:rsid w:val="006A6846"/>
    <w:rsid w:val="006A7121"/>
    <w:rsid w:val="006A75AC"/>
    <w:rsid w:val="006A7632"/>
    <w:rsid w:val="006A7897"/>
    <w:rsid w:val="006A7F23"/>
    <w:rsid w:val="006B0109"/>
    <w:rsid w:val="006B056A"/>
    <w:rsid w:val="006B0630"/>
    <w:rsid w:val="006B0FA2"/>
    <w:rsid w:val="006B1475"/>
    <w:rsid w:val="006B1754"/>
    <w:rsid w:val="006B1A63"/>
    <w:rsid w:val="006B1ED5"/>
    <w:rsid w:val="006B20E7"/>
    <w:rsid w:val="006B2A03"/>
    <w:rsid w:val="006B2ABD"/>
    <w:rsid w:val="006B2E94"/>
    <w:rsid w:val="006B307B"/>
    <w:rsid w:val="006B3858"/>
    <w:rsid w:val="006B424E"/>
    <w:rsid w:val="006B4FA7"/>
    <w:rsid w:val="006B5363"/>
    <w:rsid w:val="006B56D9"/>
    <w:rsid w:val="006B59BE"/>
    <w:rsid w:val="006B61DB"/>
    <w:rsid w:val="006B657B"/>
    <w:rsid w:val="006B709C"/>
    <w:rsid w:val="006B7AF5"/>
    <w:rsid w:val="006C01B3"/>
    <w:rsid w:val="006C0671"/>
    <w:rsid w:val="006C0F3D"/>
    <w:rsid w:val="006C0FB3"/>
    <w:rsid w:val="006C150F"/>
    <w:rsid w:val="006C1ABF"/>
    <w:rsid w:val="006C1BD3"/>
    <w:rsid w:val="006C1C44"/>
    <w:rsid w:val="006C1C92"/>
    <w:rsid w:val="006C1D80"/>
    <w:rsid w:val="006C2017"/>
    <w:rsid w:val="006C2950"/>
    <w:rsid w:val="006C2C47"/>
    <w:rsid w:val="006C34ED"/>
    <w:rsid w:val="006C3A8A"/>
    <w:rsid w:val="006C3B12"/>
    <w:rsid w:val="006C3D2D"/>
    <w:rsid w:val="006C4023"/>
    <w:rsid w:val="006C4287"/>
    <w:rsid w:val="006C431D"/>
    <w:rsid w:val="006C4D54"/>
    <w:rsid w:val="006C58DF"/>
    <w:rsid w:val="006C6452"/>
    <w:rsid w:val="006C6CE3"/>
    <w:rsid w:val="006C6D27"/>
    <w:rsid w:val="006C7199"/>
    <w:rsid w:val="006C7422"/>
    <w:rsid w:val="006D0087"/>
    <w:rsid w:val="006D04D2"/>
    <w:rsid w:val="006D09D9"/>
    <w:rsid w:val="006D167F"/>
    <w:rsid w:val="006D176D"/>
    <w:rsid w:val="006D280F"/>
    <w:rsid w:val="006D32A1"/>
    <w:rsid w:val="006D383A"/>
    <w:rsid w:val="006D4161"/>
    <w:rsid w:val="006D4B9E"/>
    <w:rsid w:val="006D5088"/>
    <w:rsid w:val="006D5CCE"/>
    <w:rsid w:val="006D60EF"/>
    <w:rsid w:val="006D6131"/>
    <w:rsid w:val="006D658E"/>
    <w:rsid w:val="006D66B2"/>
    <w:rsid w:val="006D6C22"/>
    <w:rsid w:val="006D6CC0"/>
    <w:rsid w:val="006D6DC4"/>
    <w:rsid w:val="006D73C8"/>
    <w:rsid w:val="006D76F3"/>
    <w:rsid w:val="006D786C"/>
    <w:rsid w:val="006D795F"/>
    <w:rsid w:val="006D79E4"/>
    <w:rsid w:val="006D7BA7"/>
    <w:rsid w:val="006E07AA"/>
    <w:rsid w:val="006E08BF"/>
    <w:rsid w:val="006E123A"/>
    <w:rsid w:val="006E160A"/>
    <w:rsid w:val="006E1791"/>
    <w:rsid w:val="006E24C0"/>
    <w:rsid w:val="006E2C4B"/>
    <w:rsid w:val="006E2C56"/>
    <w:rsid w:val="006E36C3"/>
    <w:rsid w:val="006E3C03"/>
    <w:rsid w:val="006E3E66"/>
    <w:rsid w:val="006E4010"/>
    <w:rsid w:val="006E42E4"/>
    <w:rsid w:val="006E45B0"/>
    <w:rsid w:val="006E4684"/>
    <w:rsid w:val="006E4ABF"/>
    <w:rsid w:val="006E52CE"/>
    <w:rsid w:val="006E57B4"/>
    <w:rsid w:val="006E585B"/>
    <w:rsid w:val="006E5FB1"/>
    <w:rsid w:val="006E6297"/>
    <w:rsid w:val="006E632D"/>
    <w:rsid w:val="006E6560"/>
    <w:rsid w:val="006E663F"/>
    <w:rsid w:val="006E67D8"/>
    <w:rsid w:val="006E6CC2"/>
    <w:rsid w:val="006E6E66"/>
    <w:rsid w:val="006E70B2"/>
    <w:rsid w:val="006E7235"/>
    <w:rsid w:val="006E787E"/>
    <w:rsid w:val="006E7A1D"/>
    <w:rsid w:val="006F0215"/>
    <w:rsid w:val="006F027E"/>
    <w:rsid w:val="006F10E1"/>
    <w:rsid w:val="006F11DD"/>
    <w:rsid w:val="006F161B"/>
    <w:rsid w:val="006F19AA"/>
    <w:rsid w:val="006F19AB"/>
    <w:rsid w:val="006F26FB"/>
    <w:rsid w:val="006F281D"/>
    <w:rsid w:val="006F285F"/>
    <w:rsid w:val="006F2A71"/>
    <w:rsid w:val="006F3142"/>
    <w:rsid w:val="006F347B"/>
    <w:rsid w:val="006F3536"/>
    <w:rsid w:val="006F3A6E"/>
    <w:rsid w:val="006F4068"/>
    <w:rsid w:val="006F4A1E"/>
    <w:rsid w:val="006F4A2B"/>
    <w:rsid w:val="006F4CA3"/>
    <w:rsid w:val="006F4F50"/>
    <w:rsid w:val="006F66C9"/>
    <w:rsid w:val="006F713A"/>
    <w:rsid w:val="006F78A5"/>
    <w:rsid w:val="00700615"/>
    <w:rsid w:val="00700ABF"/>
    <w:rsid w:val="00700C6D"/>
    <w:rsid w:val="00701441"/>
    <w:rsid w:val="00701458"/>
    <w:rsid w:val="00701F32"/>
    <w:rsid w:val="007021CD"/>
    <w:rsid w:val="00702208"/>
    <w:rsid w:val="0070239E"/>
    <w:rsid w:val="00702A1E"/>
    <w:rsid w:val="00702A70"/>
    <w:rsid w:val="00702E9B"/>
    <w:rsid w:val="0070320C"/>
    <w:rsid w:val="007033B5"/>
    <w:rsid w:val="00704670"/>
    <w:rsid w:val="00704B68"/>
    <w:rsid w:val="00704C87"/>
    <w:rsid w:val="00704E3E"/>
    <w:rsid w:val="00705DA7"/>
    <w:rsid w:val="00706096"/>
    <w:rsid w:val="00706400"/>
    <w:rsid w:val="00706474"/>
    <w:rsid w:val="007068AF"/>
    <w:rsid w:val="007069D0"/>
    <w:rsid w:val="0070704B"/>
    <w:rsid w:val="00710AF8"/>
    <w:rsid w:val="00710BF9"/>
    <w:rsid w:val="00710F65"/>
    <w:rsid w:val="007123F2"/>
    <w:rsid w:val="00712ACD"/>
    <w:rsid w:val="0071327A"/>
    <w:rsid w:val="00713714"/>
    <w:rsid w:val="0071397B"/>
    <w:rsid w:val="007139D1"/>
    <w:rsid w:val="00713E05"/>
    <w:rsid w:val="0071420F"/>
    <w:rsid w:val="007149F9"/>
    <w:rsid w:val="00715002"/>
    <w:rsid w:val="007158E1"/>
    <w:rsid w:val="007159B9"/>
    <w:rsid w:val="00715C7C"/>
    <w:rsid w:val="007163C0"/>
    <w:rsid w:val="007167BA"/>
    <w:rsid w:val="00716B1B"/>
    <w:rsid w:val="0072007E"/>
    <w:rsid w:val="007202FA"/>
    <w:rsid w:val="0072059F"/>
    <w:rsid w:val="00720648"/>
    <w:rsid w:val="00720B9C"/>
    <w:rsid w:val="00720C94"/>
    <w:rsid w:val="0072168B"/>
    <w:rsid w:val="007217C3"/>
    <w:rsid w:val="0072199D"/>
    <w:rsid w:val="0072219B"/>
    <w:rsid w:val="00722424"/>
    <w:rsid w:val="0072288D"/>
    <w:rsid w:val="00722DED"/>
    <w:rsid w:val="00722F8A"/>
    <w:rsid w:val="0072357A"/>
    <w:rsid w:val="00723C1D"/>
    <w:rsid w:val="00723CC5"/>
    <w:rsid w:val="00723D96"/>
    <w:rsid w:val="007240CE"/>
    <w:rsid w:val="007244C8"/>
    <w:rsid w:val="00724A11"/>
    <w:rsid w:val="00724B22"/>
    <w:rsid w:val="00725154"/>
    <w:rsid w:val="007253B8"/>
    <w:rsid w:val="007255AF"/>
    <w:rsid w:val="007264A6"/>
    <w:rsid w:val="00726680"/>
    <w:rsid w:val="00726C56"/>
    <w:rsid w:val="00727068"/>
    <w:rsid w:val="007270D6"/>
    <w:rsid w:val="007273AA"/>
    <w:rsid w:val="00727786"/>
    <w:rsid w:val="007278B3"/>
    <w:rsid w:val="00727ADF"/>
    <w:rsid w:val="00727AE5"/>
    <w:rsid w:val="00727BB3"/>
    <w:rsid w:val="00727BCF"/>
    <w:rsid w:val="00727E46"/>
    <w:rsid w:val="00730041"/>
    <w:rsid w:val="0073024E"/>
    <w:rsid w:val="00730D60"/>
    <w:rsid w:val="00731EC4"/>
    <w:rsid w:val="00731FA8"/>
    <w:rsid w:val="00732122"/>
    <w:rsid w:val="0073212E"/>
    <w:rsid w:val="007324C6"/>
    <w:rsid w:val="00732E66"/>
    <w:rsid w:val="0073326F"/>
    <w:rsid w:val="0073378E"/>
    <w:rsid w:val="00733F2B"/>
    <w:rsid w:val="007343B1"/>
    <w:rsid w:val="00734516"/>
    <w:rsid w:val="00734D2F"/>
    <w:rsid w:val="00735043"/>
    <w:rsid w:val="007350EE"/>
    <w:rsid w:val="007356CC"/>
    <w:rsid w:val="0073630E"/>
    <w:rsid w:val="00736941"/>
    <w:rsid w:val="00736983"/>
    <w:rsid w:val="007374FB"/>
    <w:rsid w:val="00737520"/>
    <w:rsid w:val="0074067F"/>
    <w:rsid w:val="007406F6"/>
    <w:rsid w:val="00740C3E"/>
    <w:rsid w:val="00740E0F"/>
    <w:rsid w:val="00742601"/>
    <w:rsid w:val="00742E54"/>
    <w:rsid w:val="00742F99"/>
    <w:rsid w:val="00743A72"/>
    <w:rsid w:val="0074450C"/>
    <w:rsid w:val="00744632"/>
    <w:rsid w:val="00744A32"/>
    <w:rsid w:val="00744A94"/>
    <w:rsid w:val="007452B3"/>
    <w:rsid w:val="007467DE"/>
    <w:rsid w:val="0074683C"/>
    <w:rsid w:val="00746F21"/>
    <w:rsid w:val="00746F99"/>
    <w:rsid w:val="0074714A"/>
    <w:rsid w:val="007474F0"/>
    <w:rsid w:val="00747AC3"/>
    <w:rsid w:val="00747B67"/>
    <w:rsid w:val="00750052"/>
    <w:rsid w:val="00750E46"/>
    <w:rsid w:val="00750F58"/>
    <w:rsid w:val="0075243C"/>
    <w:rsid w:val="007524DB"/>
    <w:rsid w:val="007526C7"/>
    <w:rsid w:val="00753115"/>
    <w:rsid w:val="007536B9"/>
    <w:rsid w:val="0075382C"/>
    <w:rsid w:val="007538C4"/>
    <w:rsid w:val="00753941"/>
    <w:rsid w:val="00753A65"/>
    <w:rsid w:val="00753ADE"/>
    <w:rsid w:val="00754993"/>
    <w:rsid w:val="00754D6C"/>
    <w:rsid w:val="007551D8"/>
    <w:rsid w:val="0075625B"/>
    <w:rsid w:val="00756E22"/>
    <w:rsid w:val="00756E3A"/>
    <w:rsid w:val="0075719C"/>
    <w:rsid w:val="00757B56"/>
    <w:rsid w:val="00760B67"/>
    <w:rsid w:val="00760F3C"/>
    <w:rsid w:val="0076115B"/>
    <w:rsid w:val="00761CE2"/>
    <w:rsid w:val="00761E1F"/>
    <w:rsid w:val="00761E43"/>
    <w:rsid w:val="007634F8"/>
    <w:rsid w:val="00763CCF"/>
    <w:rsid w:val="00763E35"/>
    <w:rsid w:val="00764C13"/>
    <w:rsid w:val="0076503E"/>
    <w:rsid w:val="00765091"/>
    <w:rsid w:val="007657FC"/>
    <w:rsid w:val="0076677C"/>
    <w:rsid w:val="00766829"/>
    <w:rsid w:val="00766AEC"/>
    <w:rsid w:val="0076737F"/>
    <w:rsid w:val="007678E6"/>
    <w:rsid w:val="00767B25"/>
    <w:rsid w:val="007702E5"/>
    <w:rsid w:val="00770AC7"/>
    <w:rsid w:val="0077170D"/>
    <w:rsid w:val="0077176D"/>
    <w:rsid w:val="00771BEC"/>
    <w:rsid w:val="00771F85"/>
    <w:rsid w:val="00772487"/>
    <w:rsid w:val="00772730"/>
    <w:rsid w:val="00772A78"/>
    <w:rsid w:val="0077300F"/>
    <w:rsid w:val="00773308"/>
    <w:rsid w:val="0077389E"/>
    <w:rsid w:val="00773F61"/>
    <w:rsid w:val="00774E68"/>
    <w:rsid w:val="00774E93"/>
    <w:rsid w:val="0077505C"/>
    <w:rsid w:val="00775446"/>
    <w:rsid w:val="0077594D"/>
    <w:rsid w:val="007761EE"/>
    <w:rsid w:val="0077697F"/>
    <w:rsid w:val="00776A46"/>
    <w:rsid w:val="0077727E"/>
    <w:rsid w:val="007772C8"/>
    <w:rsid w:val="00777388"/>
    <w:rsid w:val="00777BAD"/>
    <w:rsid w:val="00777DAD"/>
    <w:rsid w:val="00780097"/>
    <w:rsid w:val="007809A9"/>
    <w:rsid w:val="00780C36"/>
    <w:rsid w:val="00780D40"/>
    <w:rsid w:val="00781125"/>
    <w:rsid w:val="00781F3B"/>
    <w:rsid w:val="007824AB"/>
    <w:rsid w:val="0078358A"/>
    <w:rsid w:val="00783850"/>
    <w:rsid w:val="00783CD9"/>
    <w:rsid w:val="00784D2F"/>
    <w:rsid w:val="00784F53"/>
    <w:rsid w:val="00785D0A"/>
    <w:rsid w:val="00785D38"/>
    <w:rsid w:val="00786364"/>
    <w:rsid w:val="007872E2"/>
    <w:rsid w:val="00787591"/>
    <w:rsid w:val="007877E8"/>
    <w:rsid w:val="00787AC0"/>
    <w:rsid w:val="00787EAD"/>
    <w:rsid w:val="0079068D"/>
    <w:rsid w:val="00790A1C"/>
    <w:rsid w:val="00790BF1"/>
    <w:rsid w:val="00791581"/>
    <w:rsid w:val="0079257D"/>
    <w:rsid w:val="00792AFA"/>
    <w:rsid w:val="00792B80"/>
    <w:rsid w:val="007938BB"/>
    <w:rsid w:val="00795121"/>
    <w:rsid w:val="00795C02"/>
    <w:rsid w:val="00795E68"/>
    <w:rsid w:val="00795F23"/>
    <w:rsid w:val="00796263"/>
    <w:rsid w:val="00796843"/>
    <w:rsid w:val="0079764A"/>
    <w:rsid w:val="00797A48"/>
    <w:rsid w:val="00797D0E"/>
    <w:rsid w:val="00797D14"/>
    <w:rsid w:val="00797DAD"/>
    <w:rsid w:val="007A0926"/>
    <w:rsid w:val="007A1E36"/>
    <w:rsid w:val="007A2FCF"/>
    <w:rsid w:val="007A3AB1"/>
    <w:rsid w:val="007A3DF5"/>
    <w:rsid w:val="007A3F08"/>
    <w:rsid w:val="007A44B6"/>
    <w:rsid w:val="007A4845"/>
    <w:rsid w:val="007A4DFA"/>
    <w:rsid w:val="007A4EBD"/>
    <w:rsid w:val="007A521B"/>
    <w:rsid w:val="007A54C1"/>
    <w:rsid w:val="007A582C"/>
    <w:rsid w:val="007A6C7D"/>
    <w:rsid w:val="007A70F6"/>
    <w:rsid w:val="007A711B"/>
    <w:rsid w:val="007A75A0"/>
    <w:rsid w:val="007A7E74"/>
    <w:rsid w:val="007A7F2A"/>
    <w:rsid w:val="007B0184"/>
    <w:rsid w:val="007B06A5"/>
    <w:rsid w:val="007B0A01"/>
    <w:rsid w:val="007B0BE6"/>
    <w:rsid w:val="007B0C46"/>
    <w:rsid w:val="007B112B"/>
    <w:rsid w:val="007B1E28"/>
    <w:rsid w:val="007B21F2"/>
    <w:rsid w:val="007B328D"/>
    <w:rsid w:val="007B3C58"/>
    <w:rsid w:val="007B3D81"/>
    <w:rsid w:val="007B3FAA"/>
    <w:rsid w:val="007B4427"/>
    <w:rsid w:val="007B44BE"/>
    <w:rsid w:val="007B566B"/>
    <w:rsid w:val="007B571D"/>
    <w:rsid w:val="007B5815"/>
    <w:rsid w:val="007B5B26"/>
    <w:rsid w:val="007B619F"/>
    <w:rsid w:val="007B6592"/>
    <w:rsid w:val="007B687A"/>
    <w:rsid w:val="007B691A"/>
    <w:rsid w:val="007B6942"/>
    <w:rsid w:val="007B6CE2"/>
    <w:rsid w:val="007B6D25"/>
    <w:rsid w:val="007B6FD2"/>
    <w:rsid w:val="007B72DD"/>
    <w:rsid w:val="007B78B6"/>
    <w:rsid w:val="007B7A98"/>
    <w:rsid w:val="007C0288"/>
    <w:rsid w:val="007C07ED"/>
    <w:rsid w:val="007C07F6"/>
    <w:rsid w:val="007C0832"/>
    <w:rsid w:val="007C096F"/>
    <w:rsid w:val="007C09AB"/>
    <w:rsid w:val="007C1372"/>
    <w:rsid w:val="007C17FC"/>
    <w:rsid w:val="007C1C85"/>
    <w:rsid w:val="007C1FF6"/>
    <w:rsid w:val="007C2E02"/>
    <w:rsid w:val="007C2F86"/>
    <w:rsid w:val="007C4108"/>
    <w:rsid w:val="007C45FB"/>
    <w:rsid w:val="007C4A9A"/>
    <w:rsid w:val="007C514B"/>
    <w:rsid w:val="007C553D"/>
    <w:rsid w:val="007C56CB"/>
    <w:rsid w:val="007C5CAC"/>
    <w:rsid w:val="007C6847"/>
    <w:rsid w:val="007C71D4"/>
    <w:rsid w:val="007C71E2"/>
    <w:rsid w:val="007C76F8"/>
    <w:rsid w:val="007C7734"/>
    <w:rsid w:val="007C7D40"/>
    <w:rsid w:val="007D01B9"/>
    <w:rsid w:val="007D0632"/>
    <w:rsid w:val="007D0E2D"/>
    <w:rsid w:val="007D15AE"/>
    <w:rsid w:val="007D16B5"/>
    <w:rsid w:val="007D189C"/>
    <w:rsid w:val="007D1D12"/>
    <w:rsid w:val="007D1D95"/>
    <w:rsid w:val="007D233B"/>
    <w:rsid w:val="007D29F6"/>
    <w:rsid w:val="007D2A91"/>
    <w:rsid w:val="007D337B"/>
    <w:rsid w:val="007D4382"/>
    <w:rsid w:val="007D56D2"/>
    <w:rsid w:val="007D5C93"/>
    <w:rsid w:val="007D61B8"/>
    <w:rsid w:val="007D6945"/>
    <w:rsid w:val="007D6C89"/>
    <w:rsid w:val="007D6CF7"/>
    <w:rsid w:val="007D6DE7"/>
    <w:rsid w:val="007D6DEE"/>
    <w:rsid w:val="007D70B5"/>
    <w:rsid w:val="007D7181"/>
    <w:rsid w:val="007D7206"/>
    <w:rsid w:val="007D72D2"/>
    <w:rsid w:val="007D760B"/>
    <w:rsid w:val="007D77AF"/>
    <w:rsid w:val="007D7E03"/>
    <w:rsid w:val="007D7EB3"/>
    <w:rsid w:val="007D7FD7"/>
    <w:rsid w:val="007E01DB"/>
    <w:rsid w:val="007E10DE"/>
    <w:rsid w:val="007E128A"/>
    <w:rsid w:val="007E19A6"/>
    <w:rsid w:val="007E2A38"/>
    <w:rsid w:val="007E3217"/>
    <w:rsid w:val="007E36FC"/>
    <w:rsid w:val="007E3828"/>
    <w:rsid w:val="007E3B77"/>
    <w:rsid w:val="007E3C92"/>
    <w:rsid w:val="007E405F"/>
    <w:rsid w:val="007E4217"/>
    <w:rsid w:val="007E49EE"/>
    <w:rsid w:val="007E5629"/>
    <w:rsid w:val="007E5AD7"/>
    <w:rsid w:val="007E68C3"/>
    <w:rsid w:val="007E69A8"/>
    <w:rsid w:val="007E6E57"/>
    <w:rsid w:val="007E6E5C"/>
    <w:rsid w:val="007E750F"/>
    <w:rsid w:val="007E7CB0"/>
    <w:rsid w:val="007E7D7C"/>
    <w:rsid w:val="007F02E3"/>
    <w:rsid w:val="007F1517"/>
    <w:rsid w:val="007F1621"/>
    <w:rsid w:val="007F16B7"/>
    <w:rsid w:val="007F17F4"/>
    <w:rsid w:val="007F186C"/>
    <w:rsid w:val="007F1D4F"/>
    <w:rsid w:val="007F34DE"/>
    <w:rsid w:val="007F34EB"/>
    <w:rsid w:val="007F3B20"/>
    <w:rsid w:val="007F3B2C"/>
    <w:rsid w:val="007F3C16"/>
    <w:rsid w:val="007F4051"/>
    <w:rsid w:val="007F42D5"/>
    <w:rsid w:val="007F48AD"/>
    <w:rsid w:val="007F4A1B"/>
    <w:rsid w:val="007F4A20"/>
    <w:rsid w:val="007F4AD9"/>
    <w:rsid w:val="007F4C7A"/>
    <w:rsid w:val="007F52E0"/>
    <w:rsid w:val="007F53B3"/>
    <w:rsid w:val="007F572D"/>
    <w:rsid w:val="007F5D02"/>
    <w:rsid w:val="007F6056"/>
    <w:rsid w:val="007F64B4"/>
    <w:rsid w:val="007F7FF2"/>
    <w:rsid w:val="00800889"/>
    <w:rsid w:val="00800A64"/>
    <w:rsid w:val="00800C46"/>
    <w:rsid w:val="0080175F"/>
    <w:rsid w:val="00801C4D"/>
    <w:rsid w:val="00801F46"/>
    <w:rsid w:val="00802129"/>
    <w:rsid w:val="008024D4"/>
    <w:rsid w:val="00802E55"/>
    <w:rsid w:val="00803382"/>
    <w:rsid w:val="00803804"/>
    <w:rsid w:val="00803CE5"/>
    <w:rsid w:val="00804642"/>
    <w:rsid w:val="008050AB"/>
    <w:rsid w:val="0080548B"/>
    <w:rsid w:val="008059B4"/>
    <w:rsid w:val="00805A57"/>
    <w:rsid w:val="00805B42"/>
    <w:rsid w:val="00805E4B"/>
    <w:rsid w:val="00805F58"/>
    <w:rsid w:val="00805F9E"/>
    <w:rsid w:val="00806D63"/>
    <w:rsid w:val="00807409"/>
    <w:rsid w:val="0080798A"/>
    <w:rsid w:val="00807C14"/>
    <w:rsid w:val="0081021F"/>
    <w:rsid w:val="008102AD"/>
    <w:rsid w:val="0081167C"/>
    <w:rsid w:val="00811E96"/>
    <w:rsid w:val="00811EF6"/>
    <w:rsid w:val="0081268F"/>
    <w:rsid w:val="0081297F"/>
    <w:rsid w:val="008148B4"/>
    <w:rsid w:val="0081495F"/>
    <w:rsid w:val="008153A7"/>
    <w:rsid w:val="008153B7"/>
    <w:rsid w:val="00815EB6"/>
    <w:rsid w:val="0081653B"/>
    <w:rsid w:val="008166A5"/>
    <w:rsid w:val="008168F8"/>
    <w:rsid w:val="00816F7B"/>
    <w:rsid w:val="00820393"/>
    <w:rsid w:val="008203CF"/>
    <w:rsid w:val="00820603"/>
    <w:rsid w:val="00820F52"/>
    <w:rsid w:val="00822420"/>
    <w:rsid w:val="0082350D"/>
    <w:rsid w:val="00823E80"/>
    <w:rsid w:val="008245D8"/>
    <w:rsid w:val="008246BA"/>
    <w:rsid w:val="00824762"/>
    <w:rsid w:val="00824AA0"/>
    <w:rsid w:val="00824B1A"/>
    <w:rsid w:val="00825A14"/>
    <w:rsid w:val="00825A1B"/>
    <w:rsid w:val="00825AAA"/>
    <w:rsid w:val="008303D0"/>
    <w:rsid w:val="00830B48"/>
    <w:rsid w:val="0083121F"/>
    <w:rsid w:val="00831AF4"/>
    <w:rsid w:val="00831B55"/>
    <w:rsid w:val="00831C86"/>
    <w:rsid w:val="00831FC6"/>
    <w:rsid w:val="008327D7"/>
    <w:rsid w:val="00832A1F"/>
    <w:rsid w:val="008330E7"/>
    <w:rsid w:val="00833E19"/>
    <w:rsid w:val="00834535"/>
    <w:rsid w:val="00834E18"/>
    <w:rsid w:val="00834E9C"/>
    <w:rsid w:val="00835707"/>
    <w:rsid w:val="00835CAC"/>
    <w:rsid w:val="0083622F"/>
    <w:rsid w:val="00836462"/>
    <w:rsid w:val="0083646C"/>
    <w:rsid w:val="008364D5"/>
    <w:rsid w:val="008368AA"/>
    <w:rsid w:val="0083723D"/>
    <w:rsid w:val="00837276"/>
    <w:rsid w:val="008372A9"/>
    <w:rsid w:val="008375AA"/>
    <w:rsid w:val="00837997"/>
    <w:rsid w:val="00842138"/>
    <w:rsid w:val="00842561"/>
    <w:rsid w:val="00842BBF"/>
    <w:rsid w:val="00842F70"/>
    <w:rsid w:val="00843FE7"/>
    <w:rsid w:val="0084464C"/>
    <w:rsid w:val="00844CA1"/>
    <w:rsid w:val="00844E79"/>
    <w:rsid w:val="00845656"/>
    <w:rsid w:val="00845697"/>
    <w:rsid w:val="00845894"/>
    <w:rsid w:val="008459A9"/>
    <w:rsid w:val="00845E79"/>
    <w:rsid w:val="00845E9A"/>
    <w:rsid w:val="0084668B"/>
    <w:rsid w:val="00846E79"/>
    <w:rsid w:val="008472B9"/>
    <w:rsid w:val="008472FB"/>
    <w:rsid w:val="00847373"/>
    <w:rsid w:val="008474A5"/>
    <w:rsid w:val="008477E8"/>
    <w:rsid w:val="008478AA"/>
    <w:rsid w:val="00847989"/>
    <w:rsid w:val="00847B0A"/>
    <w:rsid w:val="00847B8A"/>
    <w:rsid w:val="00847C79"/>
    <w:rsid w:val="00847D4E"/>
    <w:rsid w:val="0085005C"/>
    <w:rsid w:val="00850080"/>
    <w:rsid w:val="00850599"/>
    <w:rsid w:val="0085085C"/>
    <w:rsid w:val="00850910"/>
    <w:rsid w:val="00851076"/>
    <w:rsid w:val="008511EC"/>
    <w:rsid w:val="00851379"/>
    <w:rsid w:val="00851C99"/>
    <w:rsid w:val="00851CD4"/>
    <w:rsid w:val="00851E3E"/>
    <w:rsid w:val="00851F62"/>
    <w:rsid w:val="00851FD3"/>
    <w:rsid w:val="00852213"/>
    <w:rsid w:val="0085238A"/>
    <w:rsid w:val="008524EB"/>
    <w:rsid w:val="00852890"/>
    <w:rsid w:val="00852978"/>
    <w:rsid w:val="00852CAB"/>
    <w:rsid w:val="0085318D"/>
    <w:rsid w:val="008535F5"/>
    <w:rsid w:val="00853A58"/>
    <w:rsid w:val="008547B9"/>
    <w:rsid w:val="008565BC"/>
    <w:rsid w:val="00856648"/>
    <w:rsid w:val="00856A67"/>
    <w:rsid w:val="00856B26"/>
    <w:rsid w:val="00856B71"/>
    <w:rsid w:val="00856C36"/>
    <w:rsid w:val="00856C93"/>
    <w:rsid w:val="008573F9"/>
    <w:rsid w:val="00857D59"/>
    <w:rsid w:val="00861572"/>
    <w:rsid w:val="00861731"/>
    <w:rsid w:val="0086190F"/>
    <w:rsid w:val="00861EB1"/>
    <w:rsid w:val="0086219D"/>
    <w:rsid w:val="00862402"/>
    <w:rsid w:val="00862862"/>
    <w:rsid w:val="00862BAF"/>
    <w:rsid w:val="00862D12"/>
    <w:rsid w:val="00863B4F"/>
    <w:rsid w:val="00864147"/>
    <w:rsid w:val="008642D0"/>
    <w:rsid w:val="0086437F"/>
    <w:rsid w:val="00864795"/>
    <w:rsid w:val="0086575B"/>
    <w:rsid w:val="0086613E"/>
    <w:rsid w:val="008674E7"/>
    <w:rsid w:val="008674FE"/>
    <w:rsid w:val="008676E6"/>
    <w:rsid w:val="00867ECB"/>
    <w:rsid w:val="00867FC5"/>
    <w:rsid w:val="008714DB"/>
    <w:rsid w:val="00871578"/>
    <w:rsid w:val="00871B57"/>
    <w:rsid w:val="00871BB6"/>
    <w:rsid w:val="00871E21"/>
    <w:rsid w:val="0087223D"/>
    <w:rsid w:val="0087267C"/>
    <w:rsid w:val="008736E6"/>
    <w:rsid w:val="008747C9"/>
    <w:rsid w:val="00874EB6"/>
    <w:rsid w:val="00875402"/>
    <w:rsid w:val="00875449"/>
    <w:rsid w:val="00875858"/>
    <w:rsid w:val="00876359"/>
    <w:rsid w:val="00876705"/>
    <w:rsid w:val="00876A88"/>
    <w:rsid w:val="00877544"/>
    <w:rsid w:val="00877E88"/>
    <w:rsid w:val="0088002F"/>
    <w:rsid w:val="008802A2"/>
    <w:rsid w:val="008806EF"/>
    <w:rsid w:val="00880A80"/>
    <w:rsid w:val="00881072"/>
    <w:rsid w:val="008816A3"/>
    <w:rsid w:val="008829F7"/>
    <w:rsid w:val="00882E18"/>
    <w:rsid w:val="00884A24"/>
    <w:rsid w:val="00884B09"/>
    <w:rsid w:val="00884F1E"/>
    <w:rsid w:val="00885345"/>
    <w:rsid w:val="00885469"/>
    <w:rsid w:val="008862D8"/>
    <w:rsid w:val="008865D6"/>
    <w:rsid w:val="008866AA"/>
    <w:rsid w:val="008866DF"/>
    <w:rsid w:val="00886AEF"/>
    <w:rsid w:val="00886BD1"/>
    <w:rsid w:val="00887178"/>
    <w:rsid w:val="00887446"/>
    <w:rsid w:val="0088747B"/>
    <w:rsid w:val="00887648"/>
    <w:rsid w:val="008879D3"/>
    <w:rsid w:val="00890168"/>
    <w:rsid w:val="008902CA"/>
    <w:rsid w:val="00890A6C"/>
    <w:rsid w:val="00890D9C"/>
    <w:rsid w:val="00891AC5"/>
    <w:rsid w:val="00892310"/>
    <w:rsid w:val="00892F80"/>
    <w:rsid w:val="00893560"/>
    <w:rsid w:val="00893A03"/>
    <w:rsid w:val="00894610"/>
    <w:rsid w:val="00894E27"/>
    <w:rsid w:val="00895566"/>
    <w:rsid w:val="00895572"/>
    <w:rsid w:val="00895AFB"/>
    <w:rsid w:val="00895BAB"/>
    <w:rsid w:val="00895CB8"/>
    <w:rsid w:val="00895E96"/>
    <w:rsid w:val="008961F6"/>
    <w:rsid w:val="00896315"/>
    <w:rsid w:val="0089661E"/>
    <w:rsid w:val="00896C38"/>
    <w:rsid w:val="00897D19"/>
    <w:rsid w:val="00897F55"/>
    <w:rsid w:val="008A0340"/>
    <w:rsid w:val="008A0544"/>
    <w:rsid w:val="008A056C"/>
    <w:rsid w:val="008A099F"/>
    <w:rsid w:val="008A0C03"/>
    <w:rsid w:val="008A0D84"/>
    <w:rsid w:val="008A12D8"/>
    <w:rsid w:val="008A14DB"/>
    <w:rsid w:val="008A16A0"/>
    <w:rsid w:val="008A1870"/>
    <w:rsid w:val="008A1A62"/>
    <w:rsid w:val="008A1D01"/>
    <w:rsid w:val="008A1DEE"/>
    <w:rsid w:val="008A1FFE"/>
    <w:rsid w:val="008A21D4"/>
    <w:rsid w:val="008A2348"/>
    <w:rsid w:val="008A2836"/>
    <w:rsid w:val="008A2C51"/>
    <w:rsid w:val="008A342D"/>
    <w:rsid w:val="008A35F8"/>
    <w:rsid w:val="008A374A"/>
    <w:rsid w:val="008A388C"/>
    <w:rsid w:val="008A3F6F"/>
    <w:rsid w:val="008A45D1"/>
    <w:rsid w:val="008A4609"/>
    <w:rsid w:val="008A4780"/>
    <w:rsid w:val="008A4896"/>
    <w:rsid w:val="008A4C8C"/>
    <w:rsid w:val="008A5963"/>
    <w:rsid w:val="008A5A43"/>
    <w:rsid w:val="008A5ABF"/>
    <w:rsid w:val="008A5FD4"/>
    <w:rsid w:val="008A60E7"/>
    <w:rsid w:val="008A6E78"/>
    <w:rsid w:val="008A774D"/>
    <w:rsid w:val="008A78F7"/>
    <w:rsid w:val="008B0887"/>
    <w:rsid w:val="008B09E2"/>
    <w:rsid w:val="008B1542"/>
    <w:rsid w:val="008B17A0"/>
    <w:rsid w:val="008B22B0"/>
    <w:rsid w:val="008B2C01"/>
    <w:rsid w:val="008B2E28"/>
    <w:rsid w:val="008B31F7"/>
    <w:rsid w:val="008B33C0"/>
    <w:rsid w:val="008B3522"/>
    <w:rsid w:val="008B3869"/>
    <w:rsid w:val="008B3966"/>
    <w:rsid w:val="008B3D4A"/>
    <w:rsid w:val="008B411B"/>
    <w:rsid w:val="008B4256"/>
    <w:rsid w:val="008B468D"/>
    <w:rsid w:val="008B4F41"/>
    <w:rsid w:val="008B5F0A"/>
    <w:rsid w:val="008B694B"/>
    <w:rsid w:val="008B6972"/>
    <w:rsid w:val="008C05F1"/>
    <w:rsid w:val="008C07C7"/>
    <w:rsid w:val="008C097F"/>
    <w:rsid w:val="008C09EB"/>
    <w:rsid w:val="008C0B8B"/>
    <w:rsid w:val="008C0E17"/>
    <w:rsid w:val="008C1006"/>
    <w:rsid w:val="008C2AB9"/>
    <w:rsid w:val="008C329B"/>
    <w:rsid w:val="008C3DBB"/>
    <w:rsid w:val="008C4092"/>
    <w:rsid w:val="008C4722"/>
    <w:rsid w:val="008C5036"/>
    <w:rsid w:val="008C520D"/>
    <w:rsid w:val="008C5D99"/>
    <w:rsid w:val="008C61AE"/>
    <w:rsid w:val="008C6560"/>
    <w:rsid w:val="008C6F75"/>
    <w:rsid w:val="008C7200"/>
    <w:rsid w:val="008C748E"/>
    <w:rsid w:val="008C7627"/>
    <w:rsid w:val="008C76BC"/>
    <w:rsid w:val="008D043E"/>
    <w:rsid w:val="008D0443"/>
    <w:rsid w:val="008D0B6D"/>
    <w:rsid w:val="008D0CA0"/>
    <w:rsid w:val="008D0D42"/>
    <w:rsid w:val="008D111E"/>
    <w:rsid w:val="008D12BF"/>
    <w:rsid w:val="008D1B62"/>
    <w:rsid w:val="008D1B9E"/>
    <w:rsid w:val="008D1F9A"/>
    <w:rsid w:val="008D2082"/>
    <w:rsid w:val="008D2388"/>
    <w:rsid w:val="008D24C9"/>
    <w:rsid w:val="008D26B5"/>
    <w:rsid w:val="008D359A"/>
    <w:rsid w:val="008D4146"/>
    <w:rsid w:val="008D42F6"/>
    <w:rsid w:val="008D4E7E"/>
    <w:rsid w:val="008D5013"/>
    <w:rsid w:val="008D59E9"/>
    <w:rsid w:val="008D66CC"/>
    <w:rsid w:val="008D70B6"/>
    <w:rsid w:val="008D7367"/>
    <w:rsid w:val="008D73F0"/>
    <w:rsid w:val="008D750B"/>
    <w:rsid w:val="008D7D2D"/>
    <w:rsid w:val="008E006F"/>
    <w:rsid w:val="008E0B35"/>
    <w:rsid w:val="008E0F0B"/>
    <w:rsid w:val="008E1159"/>
    <w:rsid w:val="008E1580"/>
    <w:rsid w:val="008E1A9C"/>
    <w:rsid w:val="008E20F1"/>
    <w:rsid w:val="008E2F17"/>
    <w:rsid w:val="008E3175"/>
    <w:rsid w:val="008E32A1"/>
    <w:rsid w:val="008E32CE"/>
    <w:rsid w:val="008E3CC4"/>
    <w:rsid w:val="008E3DDC"/>
    <w:rsid w:val="008E417F"/>
    <w:rsid w:val="008E4F24"/>
    <w:rsid w:val="008E5512"/>
    <w:rsid w:val="008E566F"/>
    <w:rsid w:val="008E57FE"/>
    <w:rsid w:val="008E59C0"/>
    <w:rsid w:val="008E5F4E"/>
    <w:rsid w:val="008E6511"/>
    <w:rsid w:val="008E6EF3"/>
    <w:rsid w:val="008E75D6"/>
    <w:rsid w:val="008E76F8"/>
    <w:rsid w:val="008F0475"/>
    <w:rsid w:val="008F058D"/>
    <w:rsid w:val="008F080D"/>
    <w:rsid w:val="008F08C3"/>
    <w:rsid w:val="008F1056"/>
    <w:rsid w:val="008F1589"/>
    <w:rsid w:val="008F1873"/>
    <w:rsid w:val="008F18E5"/>
    <w:rsid w:val="008F1E86"/>
    <w:rsid w:val="008F2E02"/>
    <w:rsid w:val="008F3327"/>
    <w:rsid w:val="008F3549"/>
    <w:rsid w:val="008F49E7"/>
    <w:rsid w:val="008F49F7"/>
    <w:rsid w:val="008F4A43"/>
    <w:rsid w:val="008F4BA0"/>
    <w:rsid w:val="008F4D58"/>
    <w:rsid w:val="008F509D"/>
    <w:rsid w:val="008F5110"/>
    <w:rsid w:val="008F51BE"/>
    <w:rsid w:val="008F51FC"/>
    <w:rsid w:val="008F5B13"/>
    <w:rsid w:val="008F5BFB"/>
    <w:rsid w:val="008F6006"/>
    <w:rsid w:val="008F62CE"/>
    <w:rsid w:val="008F71B1"/>
    <w:rsid w:val="008F71BC"/>
    <w:rsid w:val="008F7246"/>
    <w:rsid w:val="008F7DE6"/>
    <w:rsid w:val="00900FAB"/>
    <w:rsid w:val="009015B2"/>
    <w:rsid w:val="00901881"/>
    <w:rsid w:val="00901D1D"/>
    <w:rsid w:val="00901EF9"/>
    <w:rsid w:val="009022AF"/>
    <w:rsid w:val="009022F5"/>
    <w:rsid w:val="00902914"/>
    <w:rsid w:val="00902EB6"/>
    <w:rsid w:val="009033E0"/>
    <w:rsid w:val="00903496"/>
    <w:rsid w:val="009037F5"/>
    <w:rsid w:val="009040D4"/>
    <w:rsid w:val="009044C4"/>
    <w:rsid w:val="00904723"/>
    <w:rsid w:val="00905ACD"/>
    <w:rsid w:val="00905FB1"/>
    <w:rsid w:val="00906209"/>
    <w:rsid w:val="0090659B"/>
    <w:rsid w:val="0090660F"/>
    <w:rsid w:val="00906793"/>
    <w:rsid w:val="009068CE"/>
    <w:rsid w:val="00906D38"/>
    <w:rsid w:val="00906E90"/>
    <w:rsid w:val="00906F53"/>
    <w:rsid w:val="0090752F"/>
    <w:rsid w:val="00907652"/>
    <w:rsid w:val="00907A2C"/>
    <w:rsid w:val="00907C3D"/>
    <w:rsid w:val="0091051D"/>
    <w:rsid w:val="00910533"/>
    <w:rsid w:val="00910C50"/>
    <w:rsid w:val="00911371"/>
    <w:rsid w:val="009117BF"/>
    <w:rsid w:val="009120C5"/>
    <w:rsid w:val="00912796"/>
    <w:rsid w:val="0091293D"/>
    <w:rsid w:val="00912CB8"/>
    <w:rsid w:val="00912D42"/>
    <w:rsid w:val="00913863"/>
    <w:rsid w:val="00913B73"/>
    <w:rsid w:val="00913C62"/>
    <w:rsid w:val="009143C1"/>
    <w:rsid w:val="009147BA"/>
    <w:rsid w:val="00914E96"/>
    <w:rsid w:val="00914ED5"/>
    <w:rsid w:val="009155E5"/>
    <w:rsid w:val="0091566D"/>
    <w:rsid w:val="009160AC"/>
    <w:rsid w:val="00916484"/>
    <w:rsid w:val="00916B7D"/>
    <w:rsid w:val="00916DC6"/>
    <w:rsid w:val="00916F2F"/>
    <w:rsid w:val="00917575"/>
    <w:rsid w:val="009176BF"/>
    <w:rsid w:val="00917ABD"/>
    <w:rsid w:val="00920136"/>
    <w:rsid w:val="00920652"/>
    <w:rsid w:val="00920813"/>
    <w:rsid w:val="009208A1"/>
    <w:rsid w:val="009209E3"/>
    <w:rsid w:val="009212F4"/>
    <w:rsid w:val="00921847"/>
    <w:rsid w:val="00921EDE"/>
    <w:rsid w:val="0092228B"/>
    <w:rsid w:val="0092279A"/>
    <w:rsid w:val="00922D87"/>
    <w:rsid w:val="00923216"/>
    <w:rsid w:val="009234D0"/>
    <w:rsid w:val="00923A33"/>
    <w:rsid w:val="00923DB7"/>
    <w:rsid w:val="009252F5"/>
    <w:rsid w:val="009261BF"/>
    <w:rsid w:val="009266A4"/>
    <w:rsid w:val="00926AD5"/>
    <w:rsid w:val="00926EC9"/>
    <w:rsid w:val="009272C6"/>
    <w:rsid w:val="009279B7"/>
    <w:rsid w:val="0093051C"/>
    <w:rsid w:val="00930866"/>
    <w:rsid w:val="0093107E"/>
    <w:rsid w:val="009313EE"/>
    <w:rsid w:val="00931A9D"/>
    <w:rsid w:val="00931E55"/>
    <w:rsid w:val="009328F8"/>
    <w:rsid w:val="00932F82"/>
    <w:rsid w:val="009336A3"/>
    <w:rsid w:val="00933910"/>
    <w:rsid w:val="00933A3E"/>
    <w:rsid w:val="00934D39"/>
    <w:rsid w:val="00934DEB"/>
    <w:rsid w:val="00935456"/>
    <w:rsid w:val="0093548A"/>
    <w:rsid w:val="00935F94"/>
    <w:rsid w:val="00936381"/>
    <w:rsid w:val="00936B1D"/>
    <w:rsid w:val="00936DD1"/>
    <w:rsid w:val="00936F5C"/>
    <w:rsid w:val="00936F84"/>
    <w:rsid w:val="00937056"/>
    <w:rsid w:val="0093709F"/>
    <w:rsid w:val="009376D4"/>
    <w:rsid w:val="009376D7"/>
    <w:rsid w:val="00937A6E"/>
    <w:rsid w:val="00940851"/>
    <w:rsid w:val="00941067"/>
    <w:rsid w:val="00941194"/>
    <w:rsid w:val="0094125B"/>
    <w:rsid w:val="00941352"/>
    <w:rsid w:val="0094160F"/>
    <w:rsid w:val="0094229E"/>
    <w:rsid w:val="009422BC"/>
    <w:rsid w:val="0094287F"/>
    <w:rsid w:val="00942B51"/>
    <w:rsid w:val="009430E5"/>
    <w:rsid w:val="0094315F"/>
    <w:rsid w:val="009431A3"/>
    <w:rsid w:val="009432CB"/>
    <w:rsid w:val="0094359E"/>
    <w:rsid w:val="009436D4"/>
    <w:rsid w:val="00943AFE"/>
    <w:rsid w:val="00943BD8"/>
    <w:rsid w:val="00943DE3"/>
    <w:rsid w:val="00943F2E"/>
    <w:rsid w:val="00944192"/>
    <w:rsid w:val="009462A7"/>
    <w:rsid w:val="0094678B"/>
    <w:rsid w:val="00946AB7"/>
    <w:rsid w:val="00946B07"/>
    <w:rsid w:val="009474E5"/>
    <w:rsid w:val="00950145"/>
    <w:rsid w:val="009505BB"/>
    <w:rsid w:val="00950DB9"/>
    <w:rsid w:val="00950E72"/>
    <w:rsid w:val="009510AD"/>
    <w:rsid w:val="009513BE"/>
    <w:rsid w:val="00951973"/>
    <w:rsid w:val="00951CEE"/>
    <w:rsid w:val="00951CF7"/>
    <w:rsid w:val="00951DAD"/>
    <w:rsid w:val="00951DBF"/>
    <w:rsid w:val="00951E28"/>
    <w:rsid w:val="00951EFA"/>
    <w:rsid w:val="00951F9F"/>
    <w:rsid w:val="00952259"/>
    <w:rsid w:val="0095242E"/>
    <w:rsid w:val="009538A9"/>
    <w:rsid w:val="00953B97"/>
    <w:rsid w:val="00954408"/>
    <w:rsid w:val="00954D0E"/>
    <w:rsid w:val="00954FE1"/>
    <w:rsid w:val="0095542B"/>
    <w:rsid w:val="009556AE"/>
    <w:rsid w:val="00955DD9"/>
    <w:rsid w:val="009565BD"/>
    <w:rsid w:val="00956939"/>
    <w:rsid w:val="00956AAC"/>
    <w:rsid w:val="00956AB0"/>
    <w:rsid w:val="00956BC0"/>
    <w:rsid w:val="00957866"/>
    <w:rsid w:val="00961878"/>
    <w:rsid w:val="00961B62"/>
    <w:rsid w:val="00961EF6"/>
    <w:rsid w:val="009620E7"/>
    <w:rsid w:val="00962780"/>
    <w:rsid w:val="00962B87"/>
    <w:rsid w:val="00962E13"/>
    <w:rsid w:val="00962FF1"/>
    <w:rsid w:val="009630CE"/>
    <w:rsid w:val="00963188"/>
    <w:rsid w:val="00963209"/>
    <w:rsid w:val="009641AD"/>
    <w:rsid w:val="009642EC"/>
    <w:rsid w:val="009647A2"/>
    <w:rsid w:val="00964E73"/>
    <w:rsid w:val="00965248"/>
    <w:rsid w:val="00965427"/>
    <w:rsid w:val="00965842"/>
    <w:rsid w:val="00966017"/>
    <w:rsid w:val="0096653F"/>
    <w:rsid w:val="009679D9"/>
    <w:rsid w:val="009703F8"/>
    <w:rsid w:val="0097067B"/>
    <w:rsid w:val="009712AE"/>
    <w:rsid w:val="009715BE"/>
    <w:rsid w:val="0097174E"/>
    <w:rsid w:val="00971BE0"/>
    <w:rsid w:val="00971EFA"/>
    <w:rsid w:val="0097253D"/>
    <w:rsid w:val="009725A2"/>
    <w:rsid w:val="00972CE5"/>
    <w:rsid w:val="00973313"/>
    <w:rsid w:val="00973381"/>
    <w:rsid w:val="00973E62"/>
    <w:rsid w:val="00974130"/>
    <w:rsid w:val="00974915"/>
    <w:rsid w:val="009752C7"/>
    <w:rsid w:val="009759F2"/>
    <w:rsid w:val="00976190"/>
    <w:rsid w:val="00976469"/>
    <w:rsid w:val="00976532"/>
    <w:rsid w:val="0097654B"/>
    <w:rsid w:val="00976809"/>
    <w:rsid w:val="00976A43"/>
    <w:rsid w:val="00976B93"/>
    <w:rsid w:val="009770B8"/>
    <w:rsid w:val="00977265"/>
    <w:rsid w:val="00977266"/>
    <w:rsid w:val="00977BEC"/>
    <w:rsid w:val="00977C6D"/>
    <w:rsid w:val="00977F17"/>
    <w:rsid w:val="00980499"/>
    <w:rsid w:val="00980A77"/>
    <w:rsid w:val="00980BF6"/>
    <w:rsid w:val="00981469"/>
    <w:rsid w:val="00981AF3"/>
    <w:rsid w:val="00982497"/>
    <w:rsid w:val="00982885"/>
    <w:rsid w:val="00982C61"/>
    <w:rsid w:val="00982CD1"/>
    <w:rsid w:val="0098342A"/>
    <w:rsid w:val="00983AE1"/>
    <w:rsid w:val="00983E85"/>
    <w:rsid w:val="00984082"/>
    <w:rsid w:val="009854B6"/>
    <w:rsid w:val="00985829"/>
    <w:rsid w:val="00985ACC"/>
    <w:rsid w:val="00985D36"/>
    <w:rsid w:val="00985DBA"/>
    <w:rsid w:val="009865D6"/>
    <w:rsid w:val="00986975"/>
    <w:rsid w:val="0098757B"/>
    <w:rsid w:val="00987708"/>
    <w:rsid w:val="00987CA0"/>
    <w:rsid w:val="00990506"/>
    <w:rsid w:val="00990883"/>
    <w:rsid w:val="00990BBE"/>
    <w:rsid w:val="00990F79"/>
    <w:rsid w:val="009910DC"/>
    <w:rsid w:val="00991584"/>
    <w:rsid w:val="0099172C"/>
    <w:rsid w:val="00991B19"/>
    <w:rsid w:val="00991B91"/>
    <w:rsid w:val="00991F23"/>
    <w:rsid w:val="00992605"/>
    <w:rsid w:val="00992CD6"/>
    <w:rsid w:val="0099339C"/>
    <w:rsid w:val="00993599"/>
    <w:rsid w:val="00994CCA"/>
    <w:rsid w:val="00996FFF"/>
    <w:rsid w:val="009974A8"/>
    <w:rsid w:val="009975C9"/>
    <w:rsid w:val="009A0A09"/>
    <w:rsid w:val="009A0A9F"/>
    <w:rsid w:val="009A0F99"/>
    <w:rsid w:val="009A1489"/>
    <w:rsid w:val="009A245B"/>
    <w:rsid w:val="009A24A2"/>
    <w:rsid w:val="009A2516"/>
    <w:rsid w:val="009A2845"/>
    <w:rsid w:val="009A2B4B"/>
    <w:rsid w:val="009A2FAA"/>
    <w:rsid w:val="009A3127"/>
    <w:rsid w:val="009A349F"/>
    <w:rsid w:val="009A3852"/>
    <w:rsid w:val="009A3D49"/>
    <w:rsid w:val="009A3E52"/>
    <w:rsid w:val="009A4788"/>
    <w:rsid w:val="009A4A6E"/>
    <w:rsid w:val="009A58E6"/>
    <w:rsid w:val="009A5FDB"/>
    <w:rsid w:val="009A6B3F"/>
    <w:rsid w:val="009A78AB"/>
    <w:rsid w:val="009B03D5"/>
    <w:rsid w:val="009B0A9C"/>
    <w:rsid w:val="009B10AE"/>
    <w:rsid w:val="009B1240"/>
    <w:rsid w:val="009B1690"/>
    <w:rsid w:val="009B18D7"/>
    <w:rsid w:val="009B23EE"/>
    <w:rsid w:val="009B257E"/>
    <w:rsid w:val="009B3610"/>
    <w:rsid w:val="009B37D3"/>
    <w:rsid w:val="009B4C61"/>
    <w:rsid w:val="009B4CB0"/>
    <w:rsid w:val="009B4CE0"/>
    <w:rsid w:val="009B54CF"/>
    <w:rsid w:val="009B5A8C"/>
    <w:rsid w:val="009B5C74"/>
    <w:rsid w:val="009B614C"/>
    <w:rsid w:val="009B661E"/>
    <w:rsid w:val="009B68A4"/>
    <w:rsid w:val="009B75F0"/>
    <w:rsid w:val="009B7AD5"/>
    <w:rsid w:val="009B7D1B"/>
    <w:rsid w:val="009C01B9"/>
    <w:rsid w:val="009C0342"/>
    <w:rsid w:val="009C0408"/>
    <w:rsid w:val="009C12CC"/>
    <w:rsid w:val="009C161A"/>
    <w:rsid w:val="009C1DAD"/>
    <w:rsid w:val="009C1E60"/>
    <w:rsid w:val="009C31CB"/>
    <w:rsid w:val="009C3C12"/>
    <w:rsid w:val="009C4088"/>
    <w:rsid w:val="009C47BA"/>
    <w:rsid w:val="009C4B23"/>
    <w:rsid w:val="009C5D49"/>
    <w:rsid w:val="009C6BE2"/>
    <w:rsid w:val="009C718C"/>
    <w:rsid w:val="009C7342"/>
    <w:rsid w:val="009C7345"/>
    <w:rsid w:val="009C7B24"/>
    <w:rsid w:val="009C7BBD"/>
    <w:rsid w:val="009C7FE0"/>
    <w:rsid w:val="009D05CC"/>
    <w:rsid w:val="009D07DD"/>
    <w:rsid w:val="009D09A8"/>
    <w:rsid w:val="009D09AE"/>
    <w:rsid w:val="009D0EE8"/>
    <w:rsid w:val="009D10F3"/>
    <w:rsid w:val="009D11AB"/>
    <w:rsid w:val="009D1B21"/>
    <w:rsid w:val="009D2A1F"/>
    <w:rsid w:val="009D2BAC"/>
    <w:rsid w:val="009D33BC"/>
    <w:rsid w:val="009D41AC"/>
    <w:rsid w:val="009D55EE"/>
    <w:rsid w:val="009D58A8"/>
    <w:rsid w:val="009D5970"/>
    <w:rsid w:val="009D59AE"/>
    <w:rsid w:val="009D5C32"/>
    <w:rsid w:val="009D73F5"/>
    <w:rsid w:val="009D740A"/>
    <w:rsid w:val="009D7D93"/>
    <w:rsid w:val="009E040E"/>
    <w:rsid w:val="009E1385"/>
    <w:rsid w:val="009E15ED"/>
    <w:rsid w:val="009E1607"/>
    <w:rsid w:val="009E1A3F"/>
    <w:rsid w:val="009E21B7"/>
    <w:rsid w:val="009E22AA"/>
    <w:rsid w:val="009E2CF2"/>
    <w:rsid w:val="009E2EA7"/>
    <w:rsid w:val="009E312B"/>
    <w:rsid w:val="009E3966"/>
    <w:rsid w:val="009E41D0"/>
    <w:rsid w:val="009E4844"/>
    <w:rsid w:val="009E4CC2"/>
    <w:rsid w:val="009E5156"/>
    <w:rsid w:val="009E564F"/>
    <w:rsid w:val="009E58C8"/>
    <w:rsid w:val="009E5E7A"/>
    <w:rsid w:val="009E6184"/>
    <w:rsid w:val="009E6333"/>
    <w:rsid w:val="009E655C"/>
    <w:rsid w:val="009E6F2E"/>
    <w:rsid w:val="009E7475"/>
    <w:rsid w:val="009E74E4"/>
    <w:rsid w:val="009E752B"/>
    <w:rsid w:val="009F0A3A"/>
    <w:rsid w:val="009F0BD3"/>
    <w:rsid w:val="009F1A72"/>
    <w:rsid w:val="009F1A79"/>
    <w:rsid w:val="009F1F49"/>
    <w:rsid w:val="009F254C"/>
    <w:rsid w:val="009F2CB1"/>
    <w:rsid w:val="009F3218"/>
    <w:rsid w:val="009F354F"/>
    <w:rsid w:val="009F394C"/>
    <w:rsid w:val="009F3A44"/>
    <w:rsid w:val="009F4F93"/>
    <w:rsid w:val="009F556C"/>
    <w:rsid w:val="009F63EE"/>
    <w:rsid w:val="009F711E"/>
    <w:rsid w:val="009F7F2B"/>
    <w:rsid w:val="00A0001D"/>
    <w:rsid w:val="00A01037"/>
    <w:rsid w:val="00A0119C"/>
    <w:rsid w:val="00A017D4"/>
    <w:rsid w:val="00A01C9C"/>
    <w:rsid w:val="00A01E3D"/>
    <w:rsid w:val="00A01F05"/>
    <w:rsid w:val="00A0287D"/>
    <w:rsid w:val="00A03332"/>
    <w:rsid w:val="00A0369C"/>
    <w:rsid w:val="00A03771"/>
    <w:rsid w:val="00A04024"/>
    <w:rsid w:val="00A04595"/>
    <w:rsid w:val="00A052E4"/>
    <w:rsid w:val="00A0541B"/>
    <w:rsid w:val="00A05DBE"/>
    <w:rsid w:val="00A06208"/>
    <w:rsid w:val="00A0628B"/>
    <w:rsid w:val="00A068D9"/>
    <w:rsid w:val="00A06EB9"/>
    <w:rsid w:val="00A074D5"/>
    <w:rsid w:val="00A1016F"/>
    <w:rsid w:val="00A105AE"/>
    <w:rsid w:val="00A10848"/>
    <w:rsid w:val="00A10996"/>
    <w:rsid w:val="00A10B74"/>
    <w:rsid w:val="00A10C18"/>
    <w:rsid w:val="00A10EC9"/>
    <w:rsid w:val="00A112D6"/>
    <w:rsid w:val="00A11E8D"/>
    <w:rsid w:val="00A11F7F"/>
    <w:rsid w:val="00A1206E"/>
    <w:rsid w:val="00A12648"/>
    <w:rsid w:val="00A13130"/>
    <w:rsid w:val="00A136A9"/>
    <w:rsid w:val="00A13855"/>
    <w:rsid w:val="00A140A3"/>
    <w:rsid w:val="00A14D0B"/>
    <w:rsid w:val="00A15500"/>
    <w:rsid w:val="00A155A6"/>
    <w:rsid w:val="00A15B34"/>
    <w:rsid w:val="00A16421"/>
    <w:rsid w:val="00A1647B"/>
    <w:rsid w:val="00A177A3"/>
    <w:rsid w:val="00A17907"/>
    <w:rsid w:val="00A2072F"/>
    <w:rsid w:val="00A20EFE"/>
    <w:rsid w:val="00A21556"/>
    <w:rsid w:val="00A21903"/>
    <w:rsid w:val="00A22AF7"/>
    <w:rsid w:val="00A23211"/>
    <w:rsid w:val="00A2405B"/>
    <w:rsid w:val="00A241BB"/>
    <w:rsid w:val="00A25467"/>
    <w:rsid w:val="00A2551C"/>
    <w:rsid w:val="00A25C16"/>
    <w:rsid w:val="00A2617B"/>
    <w:rsid w:val="00A264EE"/>
    <w:rsid w:val="00A27672"/>
    <w:rsid w:val="00A27DBB"/>
    <w:rsid w:val="00A27EBC"/>
    <w:rsid w:val="00A27EF7"/>
    <w:rsid w:val="00A30028"/>
    <w:rsid w:val="00A301EF"/>
    <w:rsid w:val="00A3040F"/>
    <w:rsid w:val="00A3123A"/>
    <w:rsid w:val="00A3168A"/>
    <w:rsid w:val="00A31CD2"/>
    <w:rsid w:val="00A32EFA"/>
    <w:rsid w:val="00A335F7"/>
    <w:rsid w:val="00A33696"/>
    <w:rsid w:val="00A339B5"/>
    <w:rsid w:val="00A339FB"/>
    <w:rsid w:val="00A348FE"/>
    <w:rsid w:val="00A34B01"/>
    <w:rsid w:val="00A3521C"/>
    <w:rsid w:val="00A35D28"/>
    <w:rsid w:val="00A35E53"/>
    <w:rsid w:val="00A36254"/>
    <w:rsid w:val="00A36325"/>
    <w:rsid w:val="00A3635F"/>
    <w:rsid w:val="00A368B5"/>
    <w:rsid w:val="00A36905"/>
    <w:rsid w:val="00A36916"/>
    <w:rsid w:val="00A36941"/>
    <w:rsid w:val="00A36BA5"/>
    <w:rsid w:val="00A3747B"/>
    <w:rsid w:val="00A37995"/>
    <w:rsid w:val="00A408EB"/>
    <w:rsid w:val="00A4109A"/>
    <w:rsid w:val="00A4123C"/>
    <w:rsid w:val="00A41312"/>
    <w:rsid w:val="00A4133B"/>
    <w:rsid w:val="00A4189A"/>
    <w:rsid w:val="00A41A4E"/>
    <w:rsid w:val="00A42565"/>
    <w:rsid w:val="00A42621"/>
    <w:rsid w:val="00A436D2"/>
    <w:rsid w:val="00A43752"/>
    <w:rsid w:val="00A4391C"/>
    <w:rsid w:val="00A443B8"/>
    <w:rsid w:val="00A4469D"/>
    <w:rsid w:val="00A452B2"/>
    <w:rsid w:val="00A454E3"/>
    <w:rsid w:val="00A463F3"/>
    <w:rsid w:val="00A46C5F"/>
    <w:rsid w:val="00A47100"/>
    <w:rsid w:val="00A472D1"/>
    <w:rsid w:val="00A47335"/>
    <w:rsid w:val="00A47902"/>
    <w:rsid w:val="00A47B8B"/>
    <w:rsid w:val="00A50258"/>
    <w:rsid w:val="00A5085F"/>
    <w:rsid w:val="00A51149"/>
    <w:rsid w:val="00A52796"/>
    <w:rsid w:val="00A53AB4"/>
    <w:rsid w:val="00A53DBB"/>
    <w:rsid w:val="00A53FB6"/>
    <w:rsid w:val="00A5498C"/>
    <w:rsid w:val="00A549E2"/>
    <w:rsid w:val="00A54FE4"/>
    <w:rsid w:val="00A5541A"/>
    <w:rsid w:val="00A56092"/>
    <w:rsid w:val="00A567CB"/>
    <w:rsid w:val="00A57263"/>
    <w:rsid w:val="00A57342"/>
    <w:rsid w:val="00A57B23"/>
    <w:rsid w:val="00A57DEC"/>
    <w:rsid w:val="00A60C13"/>
    <w:rsid w:val="00A615A6"/>
    <w:rsid w:val="00A61AD5"/>
    <w:rsid w:val="00A61C95"/>
    <w:rsid w:val="00A62ADC"/>
    <w:rsid w:val="00A62D2D"/>
    <w:rsid w:val="00A62DEF"/>
    <w:rsid w:val="00A637C6"/>
    <w:rsid w:val="00A63824"/>
    <w:rsid w:val="00A63A5F"/>
    <w:rsid w:val="00A63D9A"/>
    <w:rsid w:val="00A63FAB"/>
    <w:rsid w:val="00A6458B"/>
    <w:rsid w:val="00A64688"/>
    <w:rsid w:val="00A649B7"/>
    <w:rsid w:val="00A64C0E"/>
    <w:rsid w:val="00A65221"/>
    <w:rsid w:val="00A65327"/>
    <w:rsid w:val="00A6533E"/>
    <w:rsid w:val="00A653AC"/>
    <w:rsid w:val="00A65632"/>
    <w:rsid w:val="00A65BF7"/>
    <w:rsid w:val="00A65DCD"/>
    <w:rsid w:val="00A66506"/>
    <w:rsid w:val="00A66E2A"/>
    <w:rsid w:val="00A6769C"/>
    <w:rsid w:val="00A67E65"/>
    <w:rsid w:val="00A67E6C"/>
    <w:rsid w:val="00A67FE1"/>
    <w:rsid w:val="00A70081"/>
    <w:rsid w:val="00A703C1"/>
    <w:rsid w:val="00A70642"/>
    <w:rsid w:val="00A7067D"/>
    <w:rsid w:val="00A712E0"/>
    <w:rsid w:val="00A7189A"/>
    <w:rsid w:val="00A71C9E"/>
    <w:rsid w:val="00A71DDE"/>
    <w:rsid w:val="00A7228B"/>
    <w:rsid w:val="00A72855"/>
    <w:rsid w:val="00A72A7B"/>
    <w:rsid w:val="00A72B75"/>
    <w:rsid w:val="00A73038"/>
    <w:rsid w:val="00A7328F"/>
    <w:rsid w:val="00A737C5"/>
    <w:rsid w:val="00A73F8D"/>
    <w:rsid w:val="00A74754"/>
    <w:rsid w:val="00A749FD"/>
    <w:rsid w:val="00A74B8A"/>
    <w:rsid w:val="00A74C77"/>
    <w:rsid w:val="00A74D94"/>
    <w:rsid w:val="00A74FBE"/>
    <w:rsid w:val="00A75387"/>
    <w:rsid w:val="00A758BE"/>
    <w:rsid w:val="00A75C2A"/>
    <w:rsid w:val="00A7668A"/>
    <w:rsid w:val="00A76713"/>
    <w:rsid w:val="00A76BC8"/>
    <w:rsid w:val="00A76C99"/>
    <w:rsid w:val="00A76F14"/>
    <w:rsid w:val="00A775D5"/>
    <w:rsid w:val="00A77611"/>
    <w:rsid w:val="00A77E42"/>
    <w:rsid w:val="00A800C8"/>
    <w:rsid w:val="00A801F8"/>
    <w:rsid w:val="00A80DC3"/>
    <w:rsid w:val="00A811CB"/>
    <w:rsid w:val="00A81D00"/>
    <w:rsid w:val="00A81D2F"/>
    <w:rsid w:val="00A81E59"/>
    <w:rsid w:val="00A81EBE"/>
    <w:rsid w:val="00A826F1"/>
    <w:rsid w:val="00A82712"/>
    <w:rsid w:val="00A82D02"/>
    <w:rsid w:val="00A8304F"/>
    <w:rsid w:val="00A83369"/>
    <w:rsid w:val="00A83A27"/>
    <w:rsid w:val="00A8428C"/>
    <w:rsid w:val="00A84364"/>
    <w:rsid w:val="00A84CD0"/>
    <w:rsid w:val="00A858E9"/>
    <w:rsid w:val="00A85E5B"/>
    <w:rsid w:val="00A85E73"/>
    <w:rsid w:val="00A85EC0"/>
    <w:rsid w:val="00A86ED1"/>
    <w:rsid w:val="00A86F9B"/>
    <w:rsid w:val="00A87A64"/>
    <w:rsid w:val="00A915F4"/>
    <w:rsid w:val="00A916EF"/>
    <w:rsid w:val="00A917A9"/>
    <w:rsid w:val="00A91C36"/>
    <w:rsid w:val="00A91D41"/>
    <w:rsid w:val="00A926F4"/>
    <w:rsid w:val="00A93F51"/>
    <w:rsid w:val="00A940CD"/>
    <w:rsid w:val="00A94153"/>
    <w:rsid w:val="00A947D6"/>
    <w:rsid w:val="00A96010"/>
    <w:rsid w:val="00A9684D"/>
    <w:rsid w:val="00A97371"/>
    <w:rsid w:val="00A97402"/>
    <w:rsid w:val="00A97873"/>
    <w:rsid w:val="00AA0426"/>
    <w:rsid w:val="00AA0B30"/>
    <w:rsid w:val="00AA0CEA"/>
    <w:rsid w:val="00AA0EFF"/>
    <w:rsid w:val="00AA1D97"/>
    <w:rsid w:val="00AA1E6C"/>
    <w:rsid w:val="00AA23B0"/>
    <w:rsid w:val="00AA29D5"/>
    <w:rsid w:val="00AA29DC"/>
    <w:rsid w:val="00AA2B4F"/>
    <w:rsid w:val="00AA321D"/>
    <w:rsid w:val="00AA3259"/>
    <w:rsid w:val="00AA383C"/>
    <w:rsid w:val="00AA3C4B"/>
    <w:rsid w:val="00AA44CD"/>
    <w:rsid w:val="00AA4B32"/>
    <w:rsid w:val="00AA4CFF"/>
    <w:rsid w:val="00AA4D52"/>
    <w:rsid w:val="00AA4F04"/>
    <w:rsid w:val="00AA5773"/>
    <w:rsid w:val="00AA60AB"/>
    <w:rsid w:val="00AA6669"/>
    <w:rsid w:val="00AA690A"/>
    <w:rsid w:val="00AA69FE"/>
    <w:rsid w:val="00AA6AB3"/>
    <w:rsid w:val="00AA6D26"/>
    <w:rsid w:val="00AA74C0"/>
    <w:rsid w:val="00AA7D1D"/>
    <w:rsid w:val="00AB0541"/>
    <w:rsid w:val="00AB09EE"/>
    <w:rsid w:val="00AB1065"/>
    <w:rsid w:val="00AB1717"/>
    <w:rsid w:val="00AB19B4"/>
    <w:rsid w:val="00AB2400"/>
    <w:rsid w:val="00AB25DF"/>
    <w:rsid w:val="00AB2FCB"/>
    <w:rsid w:val="00AB4DCD"/>
    <w:rsid w:val="00AB4F87"/>
    <w:rsid w:val="00AB5377"/>
    <w:rsid w:val="00AB5B77"/>
    <w:rsid w:val="00AB6F7E"/>
    <w:rsid w:val="00AB763D"/>
    <w:rsid w:val="00AB7891"/>
    <w:rsid w:val="00AB7B94"/>
    <w:rsid w:val="00AB7D08"/>
    <w:rsid w:val="00AB7F83"/>
    <w:rsid w:val="00AC0B81"/>
    <w:rsid w:val="00AC1D7C"/>
    <w:rsid w:val="00AC2090"/>
    <w:rsid w:val="00AC2300"/>
    <w:rsid w:val="00AC328A"/>
    <w:rsid w:val="00AC3451"/>
    <w:rsid w:val="00AC3506"/>
    <w:rsid w:val="00AC37C7"/>
    <w:rsid w:val="00AC387E"/>
    <w:rsid w:val="00AC4DD2"/>
    <w:rsid w:val="00AC5210"/>
    <w:rsid w:val="00AC54BD"/>
    <w:rsid w:val="00AC5BDF"/>
    <w:rsid w:val="00AC5CE9"/>
    <w:rsid w:val="00AC5DA2"/>
    <w:rsid w:val="00AC662A"/>
    <w:rsid w:val="00AC665E"/>
    <w:rsid w:val="00AC6903"/>
    <w:rsid w:val="00AC6B95"/>
    <w:rsid w:val="00AC722F"/>
    <w:rsid w:val="00AC7290"/>
    <w:rsid w:val="00AC7669"/>
    <w:rsid w:val="00AC79C9"/>
    <w:rsid w:val="00AD03B9"/>
    <w:rsid w:val="00AD0AF6"/>
    <w:rsid w:val="00AD277E"/>
    <w:rsid w:val="00AD343E"/>
    <w:rsid w:val="00AD3A02"/>
    <w:rsid w:val="00AD3B2B"/>
    <w:rsid w:val="00AD4267"/>
    <w:rsid w:val="00AD476A"/>
    <w:rsid w:val="00AD47AA"/>
    <w:rsid w:val="00AD4ABF"/>
    <w:rsid w:val="00AD4C67"/>
    <w:rsid w:val="00AD52D1"/>
    <w:rsid w:val="00AD54E1"/>
    <w:rsid w:val="00AD54E5"/>
    <w:rsid w:val="00AD5632"/>
    <w:rsid w:val="00AD5B3B"/>
    <w:rsid w:val="00AD6222"/>
    <w:rsid w:val="00AD6306"/>
    <w:rsid w:val="00AD6718"/>
    <w:rsid w:val="00AD67DE"/>
    <w:rsid w:val="00AD7076"/>
    <w:rsid w:val="00AD739C"/>
    <w:rsid w:val="00AE070A"/>
    <w:rsid w:val="00AE0712"/>
    <w:rsid w:val="00AE0764"/>
    <w:rsid w:val="00AE0967"/>
    <w:rsid w:val="00AE16D1"/>
    <w:rsid w:val="00AE1BC1"/>
    <w:rsid w:val="00AE1BD1"/>
    <w:rsid w:val="00AE1DBE"/>
    <w:rsid w:val="00AE276C"/>
    <w:rsid w:val="00AE3DF4"/>
    <w:rsid w:val="00AE41D4"/>
    <w:rsid w:val="00AE4788"/>
    <w:rsid w:val="00AE4BEA"/>
    <w:rsid w:val="00AE4C6D"/>
    <w:rsid w:val="00AE4F91"/>
    <w:rsid w:val="00AE50A3"/>
    <w:rsid w:val="00AE54FF"/>
    <w:rsid w:val="00AE563F"/>
    <w:rsid w:val="00AE6595"/>
    <w:rsid w:val="00AE6B0B"/>
    <w:rsid w:val="00AE7185"/>
    <w:rsid w:val="00AE71A8"/>
    <w:rsid w:val="00AE74AF"/>
    <w:rsid w:val="00AE74B3"/>
    <w:rsid w:val="00AE7530"/>
    <w:rsid w:val="00AE7678"/>
    <w:rsid w:val="00AE7891"/>
    <w:rsid w:val="00AF0329"/>
    <w:rsid w:val="00AF0774"/>
    <w:rsid w:val="00AF11B5"/>
    <w:rsid w:val="00AF1F48"/>
    <w:rsid w:val="00AF2007"/>
    <w:rsid w:val="00AF2612"/>
    <w:rsid w:val="00AF2F60"/>
    <w:rsid w:val="00AF3889"/>
    <w:rsid w:val="00AF39DC"/>
    <w:rsid w:val="00AF3BD3"/>
    <w:rsid w:val="00AF3F13"/>
    <w:rsid w:val="00AF3FE3"/>
    <w:rsid w:val="00AF4442"/>
    <w:rsid w:val="00AF4A53"/>
    <w:rsid w:val="00AF4F33"/>
    <w:rsid w:val="00AF52DC"/>
    <w:rsid w:val="00AF5693"/>
    <w:rsid w:val="00AF5D65"/>
    <w:rsid w:val="00AF6195"/>
    <w:rsid w:val="00AF6305"/>
    <w:rsid w:val="00AF6A68"/>
    <w:rsid w:val="00AF72F9"/>
    <w:rsid w:val="00B001C6"/>
    <w:rsid w:val="00B008DF"/>
    <w:rsid w:val="00B00BB3"/>
    <w:rsid w:val="00B00E5C"/>
    <w:rsid w:val="00B011D8"/>
    <w:rsid w:val="00B0131B"/>
    <w:rsid w:val="00B014AD"/>
    <w:rsid w:val="00B01819"/>
    <w:rsid w:val="00B018F4"/>
    <w:rsid w:val="00B022D8"/>
    <w:rsid w:val="00B02540"/>
    <w:rsid w:val="00B026C1"/>
    <w:rsid w:val="00B02836"/>
    <w:rsid w:val="00B02E5C"/>
    <w:rsid w:val="00B039AB"/>
    <w:rsid w:val="00B039E9"/>
    <w:rsid w:val="00B03B7D"/>
    <w:rsid w:val="00B04129"/>
    <w:rsid w:val="00B04DC3"/>
    <w:rsid w:val="00B04EED"/>
    <w:rsid w:val="00B0529B"/>
    <w:rsid w:val="00B05E03"/>
    <w:rsid w:val="00B0644E"/>
    <w:rsid w:val="00B0675C"/>
    <w:rsid w:val="00B10403"/>
    <w:rsid w:val="00B1077D"/>
    <w:rsid w:val="00B107AF"/>
    <w:rsid w:val="00B10841"/>
    <w:rsid w:val="00B10B1F"/>
    <w:rsid w:val="00B11176"/>
    <w:rsid w:val="00B11518"/>
    <w:rsid w:val="00B123B7"/>
    <w:rsid w:val="00B13CB1"/>
    <w:rsid w:val="00B14BEA"/>
    <w:rsid w:val="00B167CE"/>
    <w:rsid w:val="00B16B62"/>
    <w:rsid w:val="00B16DD7"/>
    <w:rsid w:val="00B17902"/>
    <w:rsid w:val="00B17A2E"/>
    <w:rsid w:val="00B17C66"/>
    <w:rsid w:val="00B20292"/>
    <w:rsid w:val="00B206B1"/>
    <w:rsid w:val="00B21338"/>
    <w:rsid w:val="00B22004"/>
    <w:rsid w:val="00B22C0A"/>
    <w:rsid w:val="00B22F42"/>
    <w:rsid w:val="00B22FF9"/>
    <w:rsid w:val="00B23F87"/>
    <w:rsid w:val="00B24213"/>
    <w:rsid w:val="00B242E1"/>
    <w:rsid w:val="00B244B0"/>
    <w:rsid w:val="00B24980"/>
    <w:rsid w:val="00B250B5"/>
    <w:rsid w:val="00B25B42"/>
    <w:rsid w:val="00B2635D"/>
    <w:rsid w:val="00B26409"/>
    <w:rsid w:val="00B267F1"/>
    <w:rsid w:val="00B2725F"/>
    <w:rsid w:val="00B27998"/>
    <w:rsid w:val="00B308E1"/>
    <w:rsid w:val="00B30FEF"/>
    <w:rsid w:val="00B31431"/>
    <w:rsid w:val="00B316BA"/>
    <w:rsid w:val="00B31D3D"/>
    <w:rsid w:val="00B32623"/>
    <w:rsid w:val="00B32BC9"/>
    <w:rsid w:val="00B331DC"/>
    <w:rsid w:val="00B33BCF"/>
    <w:rsid w:val="00B33D65"/>
    <w:rsid w:val="00B3520E"/>
    <w:rsid w:val="00B35546"/>
    <w:rsid w:val="00B3556A"/>
    <w:rsid w:val="00B35594"/>
    <w:rsid w:val="00B3580D"/>
    <w:rsid w:val="00B359BE"/>
    <w:rsid w:val="00B366E5"/>
    <w:rsid w:val="00B36B6D"/>
    <w:rsid w:val="00B3756E"/>
    <w:rsid w:val="00B401AE"/>
    <w:rsid w:val="00B402BB"/>
    <w:rsid w:val="00B403A3"/>
    <w:rsid w:val="00B414AF"/>
    <w:rsid w:val="00B41708"/>
    <w:rsid w:val="00B4206F"/>
    <w:rsid w:val="00B42998"/>
    <w:rsid w:val="00B42DF1"/>
    <w:rsid w:val="00B4301A"/>
    <w:rsid w:val="00B431F9"/>
    <w:rsid w:val="00B43B6A"/>
    <w:rsid w:val="00B43FF7"/>
    <w:rsid w:val="00B4434C"/>
    <w:rsid w:val="00B4438B"/>
    <w:rsid w:val="00B450DF"/>
    <w:rsid w:val="00B453BE"/>
    <w:rsid w:val="00B45979"/>
    <w:rsid w:val="00B46241"/>
    <w:rsid w:val="00B46422"/>
    <w:rsid w:val="00B46735"/>
    <w:rsid w:val="00B468A0"/>
    <w:rsid w:val="00B46FDC"/>
    <w:rsid w:val="00B47896"/>
    <w:rsid w:val="00B47C72"/>
    <w:rsid w:val="00B47D36"/>
    <w:rsid w:val="00B507E9"/>
    <w:rsid w:val="00B50878"/>
    <w:rsid w:val="00B50894"/>
    <w:rsid w:val="00B50D0F"/>
    <w:rsid w:val="00B51EF7"/>
    <w:rsid w:val="00B5205A"/>
    <w:rsid w:val="00B52363"/>
    <w:rsid w:val="00B524C0"/>
    <w:rsid w:val="00B52693"/>
    <w:rsid w:val="00B52CF9"/>
    <w:rsid w:val="00B52D9E"/>
    <w:rsid w:val="00B52E12"/>
    <w:rsid w:val="00B530F8"/>
    <w:rsid w:val="00B53C31"/>
    <w:rsid w:val="00B5445A"/>
    <w:rsid w:val="00B555A9"/>
    <w:rsid w:val="00B55A15"/>
    <w:rsid w:val="00B55A1E"/>
    <w:rsid w:val="00B55E82"/>
    <w:rsid w:val="00B563AF"/>
    <w:rsid w:val="00B563E9"/>
    <w:rsid w:val="00B56902"/>
    <w:rsid w:val="00B56922"/>
    <w:rsid w:val="00B56B70"/>
    <w:rsid w:val="00B57983"/>
    <w:rsid w:val="00B57C81"/>
    <w:rsid w:val="00B6036B"/>
    <w:rsid w:val="00B604C8"/>
    <w:rsid w:val="00B60ED0"/>
    <w:rsid w:val="00B61427"/>
    <w:rsid w:val="00B61DD4"/>
    <w:rsid w:val="00B61DE7"/>
    <w:rsid w:val="00B61FBA"/>
    <w:rsid w:val="00B62189"/>
    <w:rsid w:val="00B627E7"/>
    <w:rsid w:val="00B6283F"/>
    <w:rsid w:val="00B62F33"/>
    <w:rsid w:val="00B630AC"/>
    <w:rsid w:val="00B63937"/>
    <w:rsid w:val="00B65066"/>
    <w:rsid w:val="00B6668D"/>
    <w:rsid w:val="00B666B9"/>
    <w:rsid w:val="00B66A94"/>
    <w:rsid w:val="00B66F81"/>
    <w:rsid w:val="00B67145"/>
    <w:rsid w:val="00B677F1"/>
    <w:rsid w:val="00B67914"/>
    <w:rsid w:val="00B707AF"/>
    <w:rsid w:val="00B70882"/>
    <w:rsid w:val="00B709B8"/>
    <w:rsid w:val="00B72D75"/>
    <w:rsid w:val="00B72F97"/>
    <w:rsid w:val="00B741EF"/>
    <w:rsid w:val="00B747A2"/>
    <w:rsid w:val="00B75001"/>
    <w:rsid w:val="00B75086"/>
    <w:rsid w:val="00B7532D"/>
    <w:rsid w:val="00B75D6E"/>
    <w:rsid w:val="00B75F72"/>
    <w:rsid w:val="00B76DC1"/>
    <w:rsid w:val="00B77CFD"/>
    <w:rsid w:val="00B800B7"/>
    <w:rsid w:val="00B80425"/>
    <w:rsid w:val="00B805C4"/>
    <w:rsid w:val="00B80D1E"/>
    <w:rsid w:val="00B81548"/>
    <w:rsid w:val="00B81633"/>
    <w:rsid w:val="00B81EDF"/>
    <w:rsid w:val="00B81F81"/>
    <w:rsid w:val="00B82FF5"/>
    <w:rsid w:val="00B83A38"/>
    <w:rsid w:val="00B83D46"/>
    <w:rsid w:val="00B84147"/>
    <w:rsid w:val="00B850CE"/>
    <w:rsid w:val="00B85CE0"/>
    <w:rsid w:val="00B862C0"/>
    <w:rsid w:val="00B863D9"/>
    <w:rsid w:val="00B864BA"/>
    <w:rsid w:val="00B86C03"/>
    <w:rsid w:val="00B86E98"/>
    <w:rsid w:val="00B90192"/>
    <w:rsid w:val="00B90A49"/>
    <w:rsid w:val="00B90B9B"/>
    <w:rsid w:val="00B90C7D"/>
    <w:rsid w:val="00B91455"/>
    <w:rsid w:val="00B919E1"/>
    <w:rsid w:val="00B91AD9"/>
    <w:rsid w:val="00B91E87"/>
    <w:rsid w:val="00B92313"/>
    <w:rsid w:val="00B933BC"/>
    <w:rsid w:val="00B93791"/>
    <w:rsid w:val="00B93921"/>
    <w:rsid w:val="00B93C44"/>
    <w:rsid w:val="00B93C72"/>
    <w:rsid w:val="00B94562"/>
    <w:rsid w:val="00B945A2"/>
    <w:rsid w:val="00B94702"/>
    <w:rsid w:val="00B94A97"/>
    <w:rsid w:val="00B94EE8"/>
    <w:rsid w:val="00B962AB"/>
    <w:rsid w:val="00B96367"/>
    <w:rsid w:val="00B966B6"/>
    <w:rsid w:val="00B96717"/>
    <w:rsid w:val="00B968F5"/>
    <w:rsid w:val="00B96C66"/>
    <w:rsid w:val="00B9761E"/>
    <w:rsid w:val="00B97B6F"/>
    <w:rsid w:val="00BA05AF"/>
    <w:rsid w:val="00BA0622"/>
    <w:rsid w:val="00BA096B"/>
    <w:rsid w:val="00BA13D0"/>
    <w:rsid w:val="00BA14DD"/>
    <w:rsid w:val="00BA1C0C"/>
    <w:rsid w:val="00BA1C65"/>
    <w:rsid w:val="00BA1F66"/>
    <w:rsid w:val="00BA23AE"/>
    <w:rsid w:val="00BA260D"/>
    <w:rsid w:val="00BA2A52"/>
    <w:rsid w:val="00BA2F50"/>
    <w:rsid w:val="00BA320A"/>
    <w:rsid w:val="00BA3293"/>
    <w:rsid w:val="00BA3475"/>
    <w:rsid w:val="00BA35C3"/>
    <w:rsid w:val="00BA3C29"/>
    <w:rsid w:val="00BA3F2E"/>
    <w:rsid w:val="00BA403D"/>
    <w:rsid w:val="00BA4357"/>
    <w:rsid w:val="00BA4760"/>
    <w:rsid w:val="00BA4FF0"/>
    <w:rsid w:val="00BA58D9"/>
    <w:rsid w:val="00BA5FB5"/>
    <w:rsid w:val="00BA6E60"/>
    <w:rsid w:val="00BA7003"/>
    <w:rsid w:val="00BA71ED"/>
    <w:rsid w:val="00BA79D3"/>
    <w:rsid w:val="00BA7CCE"/>
    <w:rsid w:val="00BB065D"/>
    <w:rsid w:val="00BB14CF"/>
    <w:rsid w:val="00BB17C8"/>
    <w:rsid w:val="00BB1CF9"/>
    <w:rsid w:val="00BB2101"/>
    <w:rsid w:val="00BB2133"/>
    <w:rsid w:val="00BB26DC"/>
    <w:rsid w:val="00BB27D3"/>
    <w:rsid w:val="00BB2C04"/>
    <w:rsid w:val="00BB30F3"/>
    <w:rsid w:val="00BB315F"/>
    <w:rsid w:val="00BB3186"/>
    <w:rsid w:val="00BB325E"/>
    <w:rsid w:val="00BB3D90"/>
    <w:rsid w:val="00BB48F1"/>
    <w:rsid w:val="00BB5036"/>
    <w:rsid w:val="00BB5BAF"/>
    <w:rsid w:val="00BB5F46"/>
    <w:rsid w:val="00BB6218"/>
    <w:rsid w:val="00BB6888"/>
    <w:rsid w:val="00BB6EFD"/>
    <w:rsid w:val="00BB75F8"/>
    <w:rsid w:val="00BB7709"/>
    <w:rsid w:val="00BB779D"/>
    <w:rsid w:val="00BB7899"/>
    <w:rsid w:val="00BB789F"/>
    <w:rsid w:val="00BB7A4D"/>
    <w:rsid w:val="00BC068E"/>
    <w:rsid w:val="00BC107E"/>
    <w:rsid w:val="00BC1C7C"/>
    <w:rsid w:val="00BC205F"/>
    <w:rsid w:val="00BC31E2"/>
    <w:rsid w:val="00BC3D44"/>
    <w:rsid w:val="00BC4213"/>
    <w:rsid w:val="00BC4C7F"/>
    <w:rsid w:val="00BC4FF8"/>
    <w:rsid w:val="00BC5C80"/>
    <w:rsid w:val="00BC5D5B"/>
    <w:rsid w:val="00BC5F08"/>
    <w:rsid w:val="00BC6161"/>
    <w:rsid w:val="00BC65A4"/>
    <w:rsid w:val="00BC65B2"/>
    <w:rsid w:val="00BC717C"/>
    <w:rsid w:val="00BC75B3"/>
    <w:rsid w:val="00BC7B04"/>
    <w:rsid w:val="00BC7E15"/>
    <w:rsid w:val="00BC7E36"/>
    <w:rsid w:val="00BD020B"/>
    <w:rsid w:val="00BD024E"/>
    <w:rsid w:val="00BD02DE"/>
    <w:rsid w:val="00BD09B1"/>
    <w:rsid w:val="00BD0FE8"/>
    <w:rsid w:val="00BD16D6"/>
    <w:rsid w:val="00BD1B72"/>
    <w:rsid w:val="00BD31B3"/>
    <w:rsid w:val="00BD38B1"/>
    <w:rsid w:val="00BD3BB5"/>
    <w:rsid w:val="00BD41C0"/>
    <w:rsid w:val="00BD485C"/>
    <w:rsid w:val="00BD4AA0"/>
    <w:rsid w:val="00BD521B"/>
    <w:rsid w:val="00BD5E89"/>
    <w:rsid w:val="00BD6053"/>
    <w:rsid w:val="00BD6593"/>
    <w:rsid w:val="00BD66B2"/>
    <w:rsid w:val="00BD71AD"/>
    <w:rsid w:val="00BD7633"/>
    <w:rsid w:val="00BD76B1"/>
    <w:rsid w:val="00BD7725"/>
    <w:rsid w:val="00BD782C"/>
    <w:rsid w:val="00BD786C"/>
    <w:rsid w:val="00BD78AD"/>
    <w:rsid w:val="00BD78F4"/>
    <w:rsid w:val="00BD7CDA"/>
    <w:rsid w:val="00BE0154"/>
    <w:rsid w:val="00BE04EC"/>
    <w:rsid w:val="00BE0973"/>
    <w:rsid w:val="00BE0F6C"/>
    <w:rsid w:val="00BE168E"/>
    <w:rsid w:val="00BE1821"/>
    <w:rsid w:val="00BE1BC9"/>
    <w:rsid w:val="00BE1D73"/>
    <w:rsid w:val="00BE1E0F"/>
    <w:rsid w:val="00BE1EC9"/>
    <w:rsid w:val="00BE1F09"/>
    <w:rsid w:val="00BE26F9"/>
    <w:rsid w:val="00BE2DD8"/>
    <w:rsid w:val="00BE301A"/>
    <w:rsid w:val="00BE400A"/>
    <w:rsid w:val="00BE458A"/>
    <w:rsid w:val="00BE4AD2"/>
    <w:rsid w:val="00BE4BE8"/>
    <w:rsid w:val="00BE4E51"/>
    <w:rsid w:val="00BE57E3"/>
    <w:rsid w:val="00BE5D07"/>
    <w:rsid w:val="00BE61FC"/>
    <w:rsid w:val="00BE7A1E"/>
    <w:rsid w:val="00BF0159"/>
    <w:rsid w:val="00BF03E8"/>
    <w:rsid w:val="00BF0D84"/>
    <w:rsid w:val="00BF1423"/>
    <w:rsid w:val="00BF18FE"/>
    <w:rsid w:val="00BF1C55"/>
    <w:rsid w:val="00BF1F5C"/>
    <w:rsid w:val="00BF224A"/>
    <w:rsid w:val="00BF272F"/>
    <w:rsid w:val="00BF28A4"/>
    <w:rsid w:val="00BF37C5"/>
    <w:rsid w:val="00BF3AAA"/>
    <w:rsid w:val="00BF42FD"/>
    <w:rsid w:val="00BF4810"/>
    <w:rsid w:val="00BF497A"/>
    <w:rsid w:val="00BF4AC8"/>
    <w:rsid w:val="00BF4E3E"/>
    <w:rsid w:val="00BF5598"/>
    <w:rsid w:val="00BF5BF6"/>
    <w:rsid w:val="00BF5E37"/>
    <w:rsid w:val="00BF6983"/>
    <w:rsid w:val="00BF70D4"/>
    <w:rsid w:val="00BF71E4"/>
    <w:rsid w:val="00BF7206"/>
    <w:rsid w:val="00BF7831"/>
    <w:rsid w:val="00BF7B13"/>
    <w:rsid w:val="00BF7F37"/>
    <w:rsid w:val="00C000A0"/>
    <w:rsid w:val="00C00865"/>
    <w:rsid w:val="00C010A6"/>
    <w:rsid w:val="00C0153B"/>
    <w:rsid w:val="00C0163D"/>
    <w:rsid w:val="00C017CA"/>
    <w:rsid w:val="00C02152"/>
    <w:rsid w:val="00C0264E"/>
    <w:rsid w:val="00C03CE8"/>
    <w:rsid w:val="00C04252"/>
    <w:rsid w:val="00C0494D"/>
    <w:rsid w:val="00C04A14"/>
    <w:rsid w:val="00C0531C"/>
    <w:rsid w:val="00C05806"/>
    <w:rsid w:val="00C05FA3"/>
    <w:rsid w:val="00C06A1F"/>
    <w:rsid w:val="00C06D0D"/>
    <w:rsid w:val="00C07158"/>
    <w:rsid w:val="00C073A5"/>
    <w:rsid w:val="00C1006D"/>
    <w:rsid w:val="00C108A9"/>
    <w:rsid w:val="00C10D63"/>
    <w:rsid w:val="00C10E56"/>
    <w:rsid w:val="00C12181"/>
    <w:rsid w:val="00C123A3"/>
    <w:rsid w:val="00C12466"/>
    <w:rsid w:val="00C12553"/>
    <w:rsid w:val="00C13F2B"/>
    <w:rsid w:val="00C141FB"/>
    <w:rsid w:val="00C143BD"/>
    <w:rsid w:val="00C1441B"/>
    <w:rsid w:val="00C149B0"/>
    <w:rsid w:val="00C14FB5"/>
    <w:rsid w:val="00C151EC"/>
    <w:rsid w:val="00C1544B"/>
    <w:rsid w:val="00C15A04"/>
    <w:rsid w:val="00C15D35"/>
    <w:rsid w:val="00C1656A"/>
    <w:rsid w:val="00C166FD"/>
    <w:rsid w:val="00C16815"/>
    <w:rsid w:val="00C16951"/>
    <w:rsid w:val="00C17D4D"/>
    <w:rsid w:val="00C205F8"/>
    <w:rsid w:val="00C20EBC"/>
    <w:rsid w:val="00C2100C"/>
    <w:rsid w:val="00C2106B"/>
    <w:rsid w:val="00C21175"/>
    <w:rsid w:val="00C215AE"/>
    <w:rsid w:val="00C226C2"/>
    <w:rsid w:val="00C2297F"/>
    <w:rsid w:val="00C22CC3"/>
    <w:rsid w:val="00C2305A"/>
    <w:rsid w:val="00C23CC9"/>
    <w:rsid w:val="00C24114"/>
    <w:rsid w:val="00C24503"/>
    <w:rsid w:val="00C2450A"/>
    <w:rsid w:val="00C248DB"/>
    <w:rsid w:val="00C248DD"/>
    <w:rsid w:val="00C2492B"/>
    <w:rsid w:val="00C2557A"/>
    <w:rsid w:val="00C255F6"/>
    <w:rsid w:val="00C256E7"/>
    <w:rsid w:val="00C25831"/>
    <w:rsid w:val="00C2605E"/>
    <w:rsid w:val="00C26EDD"/>
    <w:rsid w:val="00C27400"/>
    <w:rsid w:val="00C27BF6"/>
    <w:rsid w:val="00C27C80"/>
    <w:rsid w:val="00C27C9C"/>
    <w:rsid w:val="00C30482"/>
    <w:rsid w:val="00C30577"/>
    <w:rsid w:val="00C30B3D"/>
    <w:rsid w:val="00C30BEF"/>
    <w:rsid w:val="00C30D62"/>
    <w:rsid w:val="00C30DC6"/>
    <w:rsid w:val="00C31631"/>
    <w:rsid w:val="00C316BC"/>
    <w:rsid w:val="00C31E72"/>
    <w:rsid w:val="00C32004"/>
    <w:rsid w:val="00C323BD"/>
    <w:rsid w:val="00C32DB9"/>
    <w:rsid w:val="00C33180"/>
    <w:rsid w:val="00C33462"/>
    <w:rsid w:val="00C33AE2"/>
    <w:rsid w:val="00C34138"/>
    <w:rsid w:val="00C34324"/>
    <w:rsid w:val="00C344E9"/>
    <w:rsid w:val="00C3492B"/>
    <w:rsid w:val="00C34B08"/>
    <w:rsid w:val="00C35315"/>
    <w:rsid w:val="00C35554"/>
    <w:rsid w:val="00C3555A"/>
    <w:rsid w:val="00C3626C"/>
    <w:rsid w:val="00C364C5"/>
    <w:rsid w:val="00C36CE9"/>
    <w:rsid w:val="00C37741"/>
    <w:rsid w:val="00C37E3D"/>
    <w:rsid w:val="00C4041E"/>
    <w:rsid w:val="00C40BC8"/>
    <w:rsid w:val="00C40C64"/>
    <w:rsid w:val="00C41011"/>
    <w:rsid w:val="00C42239"/>
    <w:rsid w:val="00C433C4"/>
    <w:rsid w:val="00C43B8B"/>
    <w:rsid w:val="00C43FBA"/>
    <w:rsid w:val="00C441CC"/>
    <w:rsid w:val="00C44475"/>
    <w:rsid w:val="00C44F87"/>
    <w:rsid w:val="00C451F2"/>
    <w:rsid w:val="00C45757"/>
    <w:rsid w:val="00C4609E"/>
    <w:rsid w:val="00C46807"/>
    <w:rsid w:val="00C4699B"/>
    <w:rsid w:val="00C47D44"/>
    <w:rsid w:val="00C50B1E"/>
    <w:rsid w:val="00C51C72"/>
    <w:rsid w:val="00C51CB1"/>
    <w:rsid w:val="00C521B4"/>
    <w:rsid w:val="00C52914"/>
    <w:rsid w:val="00C531D0"/>
    <w:rsid w:val="00C539F2"/>
    <w:rsid w:val="00C544CC"/>
    <w:rsid w:val="00C546E7"/>
    <w:rsid w:val="00C55114"/>
    <w:rsid w:val="00C55DC9"/>
    <w:rsid w:val="00C56262"/>
    <w:rsid w:val="00C57198"/>
    <w:rsid w:val="00C578CE"/>
    <w:rsid w:val="00C60CBB"/>
    <w:rsid w:val="00C61597"/>
    <w:rsid w:val="00C617BF"/>
    <w:rsid w:val="00C62692"/>
    <w:rsid w:val="00C62791"/>
    <w:rsid w:val="00C62FA1"/>
    <w:rsid w:val="00C632D6"/>
    <w:rsid w:val="00C63D13"/>
    <w:rsid w:val="00C63F9B"/>
    <w:rsid w:val="00C64069"/>
    <w:rsid w:val="00C646AC"/>
    <w:rsid w:val="00C64790"/>
    <w:rsid w:val="00C64871"/>
    <w:rsid w:val="00C64B36"/>
    <w:rsid w:val="00C64C87"/>
    <w:rsid w:val="00C64EDD"/>
    <w:rsid w:val="00C653BA"/>
    <w:rsid w:val="00C657B4"/>
    <w:rsid w:val="00C6774F"/>
    <w:rsid w:val="00C677AA"/>
    <w:rsid w:val="00C67EA3"/>
    <w:rsid w:val="00C70669"/>
    <w:rsid w:val="00C70A37"/>
    <w:rsid w:val="00C70F72"/>
    <w:rsid w:val="00C713C7"/>
    <w:rsid w:val="00C715CB"/>
    <w:rsid w:val="00C71914"/>
    <w:rsid w:val="00C71A43"/>
    <w:rsid w:val="00C7263B"/>
    <w:rsid w:val="00C727EF"/>
    <w:rsid w:val="00C72D01"/>
    <w:rsid w:val="00C72F2F"/>
    <w:rsid w:val="00C73290"/>
    <w:rsid w:val="00C736A7"/>
    <w:rsid w:val="00C73D50"/>
    <w:rsid w:val="00C74181"/>
    <w:rsid w:val="00C7460F"/>
    <w:rsid w:val="00C74636"/>
    <w:rsid w:val="00C74AF1"/>
    <w:rsid w:val="00C752C9"/>
    <w:rsid w:val="00C759F1"/>
    <w:rsid w:val="00C7613A"/>
    <w:rsid w:val="00C761B9"/>
    <w:rsid w:val="00C77315"/>
    <w:rsid w:val="00C77AEB"/>
    <w:rsid w:val="00C77C98"/>
    <w:rsid w:val="00C80069"/>
    <w:rsid w:val="00C805C9"/>
    <w:rsid w:val="00C805DA"/>
    <w:rsid w:val="00C8096C"/>
    <w:rsid w:val="00C80A78"/>
    <w:rsid w:val="00C80B25"/>
    <w:rsid w:val="00C80F33"/>
    <w:rsid w:val="00C80FD0"/>
    <w:rsid w:val="00C8100B"/>
    <w:rsid w:val="00C816BC"/>
    <w:rsid w:val="00C825DD"/>
    <w:rsid w:val="00C82DDB"/>
    <w:rsid w:val="00C8460B"/>
    <w:rsid w:val="00C852AC"/>
    <w:rsid w:val="00C857F9"/>
    <w:rsid w:val="00C860BC"/>
    <w:rsid w:val="00C86543"/>
    <w:rsid w:val="00C8683F"/>
    <w:rsid w:val="00C86967"/>
    <w:rsid w:val="00C87D19"/>
    <w:rsid w:val="00C9003B"/>
    <w:rsid w:val="00C902D5"/>
    <w:rsid w:val="00C9085E"/>
    <w:rsid w:val="00C9091D"/>
    <w:rsid w:val="00C90D2F"/>
    <w:rsid w:val="00C90FA2"/>
    <w:rsid w:val="00C91CA5"/>
    <w:rsid w:val="00C91D26"/>
    <w:rsid w:val="00C92141"/>
    <w:rsid w:val="00C92267"/>
    <w:rsid w:val="00C93941"/>
    <w:rsid w:val="00C942A2"/>
    <w:rsid w:val="00C94857"/>
    <w:rsid w:val="00C959C2"/>
    <w:rsid w:val="00C95BC5"/>
    <w:rsid w:val="00C95DEA"/>
    <w:rsid w:val="00C95FCA"/>
    <w:rsid w:val="00C974ED"/>
    <w:rsid w:val="00C976AC"/>
    <w:rsid w:val="00C97A8D"/>
    <w:rsid w:val="00C97E8D"/>
    <w:rsid w:val="00C97F02"/>
    <w:rsid w:val="00CA0083"/>
    <w:rsid w:val="00CA04C0"/>
    <w:rsid w:val="00CA071B"/>
    <w:rsid w:val="00CA0837"/>
    <w:rsid w:val="00CA0BD9"/>
    <w:rsid w:val="00CA11E9"/>
    <w:rsid w:val="00CA12B2"/>
    <w:rsid w:val="00CA14DD"/>
    <w:rsid w:val="00CA2FBE"/>
    <w:rsid w:val="00CA4064"/>
    <w:rsid w:val="00CA41D2"/>
    <w:rsid w:val="00CA4753"/>
    <w:rsid w:val="00CA4D91"/>
    <w:rsid w:val="00CA4F20"/>
    <w:rsid w:val="00CA5080"/>
    <w:rsid w:val="00CA5908"/>
    <w:rsid w:val="00CA5A5A"/>
    <w:rsid w:val="00CA5D21"/>
    <w:rsid w:val="00CA5F84"/>
    <w:rsid w:val="00CA6512"/>
    <w:rsid w:val="00CA7A61"/>
    <w:rsid w:val="00CA7BF2"/>
    <w:rsid w:val="00CB0A21"/>
    <w:rsid w:val="00CB0C16"/>
    <w:rsid w:val="00CB1327"/>
    <w:rsid w:val="00CB144F"/>
    <w:rsid w:val="00CB149F"/>
    <w:rsid w:val="00CB1EAE"/>
    <w:rsid w:val="00CB1F5B"/>
    <w:rsid w:val="00CB2147"/>
    <w:rsid w:val="00CB2248"/>
    <w:rsid w:val="00CB28EA"/>
    <w:rsid w:val="00CB30F5"/>
    <w:rsid w:val="00CB315D"/>
    <w:rsid w:val="00CB38FE"/>
    <w:rsid w:val="00CB3B4E"/>
    <w:rsid w:val="00CB3EC6"/>
    <w:rsid w:val="00CB3F32"/>
    <w:rsid w:val="00CB4484"/>
    <w:rsid w:val="00CB4BEE"/>
    <w:rsid w:val="00CB4F56"/>
    <w:rsid w:val="00CB598E"/>
    <w:rsid w:val="00CB67F2"/>
    <w:rsid w:val="00CB68CC"/>
    <w:rsid w:val="00CB6BB5"/>
    <w:rsid w:val="00CB6D6A"/>
    <w:rsid w:val="00CB7873"/>
    <w:rsid w:val="00CC0309"/>
    <w:rsid w:val="00CC06C3"/>
    <w:rsid w:val="00CC07DB"/>
    <w:rsid w:val="00CC0A26"/>
    <w:rsid w:val="00CC0AB1"/>
    <w:rsid w:val="00CC129B"/>
    <w:rsid w:val="00CC1838"/>
    <w:rsid w:val="00CC1C5B"/>
    <w:rsid w:val="00CC31AB"/>
    <w:rsid w:val="00CC341C"/>
    <w:rsid w:val="00CC3645"/>
    <w:rsid w:val="00CC3F55"/>
    <w:rsid w:val="00CC4116"/>
    <w:rsid w:val="00CC4E15"/>
    <w:rsid w:val="00CC54B1"/>
    <w:rsid w:val="00CC55AE"/>
    <w:rsid w:val="00CC5B06"/>
    <w:rsid w:val="00CC7253"/>
    <w:rsid w:val="00CC7751"/>
    <w:rsid w:val="00CC79A2"/>
    <w:rsid w:val="00CC7D66"/>
    <w:rsid w:val="00CD0153"/>
    <w:rsid w:val="00CD02C6"/>
    <w:rsid w:val="00CD092E"/>
    <w:rsid w:val="00CD0A75"/>
    <w:rsid w:val="00CD11DE"/>
    <w:rsid w:val="00CD143E"/>
    <w:rsid w:val="00CD1963"/>
    <w:rsid w:val="00CD19CA"/>
    <w:rsid w:val="00CD1AC2"/>
    <w:rsid w:val="00CD2331"/>
    <w:rsid w:val="00CD2889"/>
    <w:rsid w:val="00CD34FD"/>
    <w:rsid w:val="00CD35E8"/>
    <w:rsid w:val="00CD3E17"/>
    <w:rsid w:val="00CD3EFC"/>
    <w:rsid w:val="00CD467E"/>
    <w:rsid w:val="00CD4860"/>
    <w:rsid w:val="00CD4B86"/>
    <w:rsid w:val="00CD4E3B"/>
    <w:rsid w:val="00CD50A4"/>
    <w:rsid w:val="00CD51ED"/>
    <w:rsid w:val="00CD5CFC"/>
    <w:rsid w:val="00CD63B2"/>
    <w:rsid w:val="00CD6C4D"/>
    <w:rsid w:val="00CD7357"/>
    <w:rsid w:val="00CD7B3A"/>
    <w:rsid w:val="00CE0199"/>
    <w:rsid w:val="00CE0440"/>
    <w:rsid w:val="00CE05E1"/>
    <w:rsid w:val="00CE0620"/>
    <w:rsid w:val="00CE1146"/>
    <w:rsid w:val="00CE16F2"/>
    <w:rsid w:val="00CE176D"/>
    <w:rsid w:val="00CE178F"/>
    <w:rsid w:val="00CE18AA"/>
    <w:rsid w:val="00CE1CC5"/>
    <w:rsid w:val="00CE1E16"/>
    <w:rsid w:val="00CE253C"/>
    <w:rsid w:val="00CE2619"/>
    <w:rsid w:val="00CE291E"/>
    <w:rsid w:val="00CE2920"/>
    <w:rsid w:val="00CE2C29"/>
    <w:rsid w:val="00CE2EE4"/>
    <w:rsid w:val="00CE3346"/>
    <w:rsid w:val="00CE3797"/>
    <w:rsid w:val="00CE3ADA"/>
    <w:rsid w:val="00CE3ECD"/>
    <w:rsid w:val="00CE4025"/>
    <w:rsid w:val="00CE41CB"/>
    <w:rsid w:val="00CE48D3"/>
    <w:rsid w:val="00CE498F"/>
    <w:rsid w:val="00CE5D42"/>
    <w:rsid w:val="00CE5FE1"/>
    <w:rsid w:val="00CE6803"/>
    <w:rsid w:val="00CE693D"/>
    <w:rsid w:val="00CE6D99"/>
    <w:rsid w:val="00CE7351"/>
    <w:rsid w:val="00CF0777"/>
    <w:rsid w:val="00CF0FF4"/>
    <w:rsid w:val="00CF1622"/>
    <w:rsid w:val="00CF1E5A"/>
    <w:rsid w:val="00CF1EB5"/>
    <w:rsid w:val="00CF26D0"/>
    <w:rsid w:val="00CF34DB"/>
    <w:rsid w:val="00CF368F"/>
    <w:rsid w:val="00CF3CAD"/>
    <w:rsid w:val="00CF3DED"/>
    <w:rsid w:val="00CF3E28"/>
    <w:rsid w:val="00CF425F"/>
    <w:rsid w:val="00CF4635"/>
    <w:rsid w:val="00CF46ED"/>
    <w:rsid w:val="00CF4FEF"/>
    <w:rsid w:val="00CF5173"/>
    <w:rsid w:val="00CF51E8"/>
    <w:rsid w:val="00CF5203"/>
    <w:rsid w:val="00CF5BA3"/>
    <w:rsid w:val="00CF637A"/>
    <w:rsid w:val="00CF7C31"/>
    <w:rsid w:val="00D002CA"/>
    <w:rsid w:val="00D00450"/>
    <w:rsid w:val="00D00CF6"/>
    <w:rsid w:val="00D013E2"/>
    <w:rsid w:val="00D0152F"/>
    <w:rsid w:val="00D01AF8"/>
    <w:rsid w:val="00D01BC6"/>
    <w:rsid w:val="00D01F80"/>
    <w:rsid w:val="00D0208A"/>
    <w:rsid w:val="00D025CC"/>
    <w:rsid w:val="00D028B3"/>
    <w:rsid w:val="00D0293C"/>
    <w:rsid w:val="00D02DA7"/>
    <w:rsid w:val="00D0304E"/>
    <w:rsid w:val="00D03067"/>
    <w:rsid w:val="00D03F68"/>
    <w:rsid w:val="00D04031"/>
    <w:rsid w:val="00D044D9"/>
    <w:rsid w:val="00D045D3"/>
    <w:rsid w:val="00D04EC9"/>
    <w:rsid w:val="00D053C2"/>
    <w:rsid w:val="00D05E0E"/>
    <w:rsid w:val="00D06218"/>
    <w:rsid w:val="00D06B40"/>
    <w:rsid w:val="00D077BB"/>
    <w:rsid w:val="00D104AC"/>
    <w:rsid w:val="00D104D2"/>
    <w:rsid w:val="00D10566"/>
    <w:rsid w:val="00D10643"/>
    <w:rsid w:val="00D10F3E"/>
    <w:rsid w:val="00D112CB"/>
    <w:rsid w:val="00D11C6E"/>
    <w:rsid w:val="00D1219B"/>
    <w:rsid w:val="00D128F1"/>
    <w:rsid w:val="00D12AD5"/>
    <w:rsid w:val="00D12BD7"/>
    <w:rsid w:val="00D138B4"/>
    <w:rsid w:val="00D13D12"/>
    <w:rsid w:val="00D140C2"/>
    <w:rsid w:val="00D149DF"/>
    <w:rsid w:val="00D152AA"/>
    <w:rsid w:val="00D15500"/>
    <w:rsid w:val="00D15C15"/>
    <w:rsid w:val="00D15E24"/>
    <w:rsid w:val="00D1621C"/>
    <w:rsid w:val="00D16725"/>
    <w:rsid w:val="00D16D23"/>
    <w:rsid w:val="00D17086"/>
    <w:rsid w:val="00D17570"/>
    <w:rsid w:val="00D17643"/>
    <w:rsid w:val="00D17911"/>
    <w:rsid w:val="00D17FB4"/>
    <w:rsid w:val="00D20188"/>
    <w:rsid w:val="00D201E3"/>
    <w:rsid w:val="00D2027A"/>
    <w:rsid w:val="00D20B23"/>
    <w:rsid w:val="00D20C94"/>
    <w:rsid w:val="00D2140F"/>
    <w:rsid w:val="00D218EF"/>
    <w:rsid w:val="00D22433"/>
    <w:rsid w:val="00D224EF"/>
    <w:rsid w:val="00D22748"/>
    <w:rsid w:val="00D22E55"/>
    <w:rsid w:val="00D232AE"/>
    <w:rsid w:val="00D233E0"/>
    <w:rsid w:val="00D2347F"/>
    <w:rsid w:val="00D23626"/>
    <w:rsid w:val="00D242C0"/>
    <w:rsid w:val="00D242E5"/>
    <w:rsid w:val="00D25371"/>
    <w:rsid w:val="00D26918"/>
    <w:rsid w:val="00D26AEF"/>
    <w:rsid w:val="00D2700D"/>
    <w:rsid w:val="00D27734"/>
    <w:rsid w:val="00D27BED"/>
    <w:rsid w:val="00D301F8"/>
    <w:rsid w:val="00D30A43"/>
    <w:rsid w:val="00D3182A"/>
    <w:rsid w:val="00D31D84"/>
    <w:rsid w:val="00D32136"/>
    <w:rsid w:val="00D3222B"/>
    <w:rsid w:val="00D3227D"/>
    <w:rsid w:val="00D323CB"/>
    <w:rsid w:val="00D330D8"/>
    <w:rsid w:val="00D33197"/>
    <w:rsid w:val="00D331C9"/>
    <w:rsid w:val="00D33567"/>
    <w:rsid w:val="00D33EEE"/>
    <w:rsid w:val="00D341A7"/>
    <w:rsid w:val="00D348D3"/>
    <w:rsid w:val="00D34B4B"/>
    <w:rsid w:val="00D34D16"/>
    <w:rsid w:val="00D35236"/>
    <w:rsid w:val="00D352F1"/>
    <w:rsid w:val="00D35305"/>
    <w:rsid w:val="00D3579C"/>
    <w:rsid w:val="00D37121"/>
    <w:rsid w:val="00D3746F"/>
    <w:rsid w:val="00D376AA"/>
    <w:rsid w:val="00D40043"/>
    <w:rsid w:val="00D40A47"/>
    <w:rsid w:val="00D41051"/>
    <w:rsid w:val="00D410F8"/>
    <w:rsid w:val="00D417AE"/>
    <w:rsid w:val="00D419F5"/>
    <w:rsid w:val="00D41B6F"/>
    <w:rsid w:val="00D41D33"/>
    <w:rsid w:val="00D446AE"/>
    <w:rsid w:val="00D457ED"/>
    <w:rsid w:val="00D468B0"/>
    <w:rsid w:val="00D46A9C"/>
    <w:rsid w:val="00D46AEF"/>
    <w:rsid w:val="00D46D32"/>
    <w:rsid w:val="00D46EB7"/>
    <w:rsid w:val="00D46FA2"/>
    <w:rsid w:val="00D476EB"/>
    <w:rsid w:val="00D478AA"/>
    <w:rsid w:val="00D47F55"/>
    <w:rsid w:val="00D50FBA"/>
    <w:rsid w:val="00D51372"/>
    <w:rsid w:val="00D5162F"/>
    <w:rsid w:val="00D51AD6"/>
    <w:rsid w:val="00D51C50"/>
    <w:rsid w:val="00D525C5"/>
    <w:rsid w:val="00D5266D"/>
    <w:rsid w:val="00D52BBA"/>
    <w:rsid w:val="00D52C1C"/>
    <w:rsid w:val="00D53BD6"/>
    <w:rsid w:val="00D5456F"/>
    <w:rsid w:val="00D548A9"/>
    <w:rsid w:val="00D54AEA"/>
    <w:rsid w:val="00D54E4B"/>
    <w:rsid w:val="00D55A96"/>
    <w:rsid w:val="00D56796"/>
    <w:rsid w:val="00D56D40"/>
    <w:rsid w:val="00D56D85"/>
    <w:rsid w:val="00D60345"/>
    <w:rsid w:val="00D606FC"/>
    <w:rsid w:val="00D60B6B"/>
    <w:rsid w:val="00D60D72"/>
    <w:rsid w:val="00D60D80"/>
    <w:rsid w:val="00D61918"/>
    <w:rsid w:val="00D61CAC"/>
    <w:rsid w:val="00D62F54"/>
    <w:rsid w:val="00D63019"/>
    <w:rsid w:val="00D631BD"/>
    <w:rsid w:val="00D63DA1"/>
    <w:rsid w:val="00D64502"/>
    <w:rsid w:val="00D64812"/>
    <w:rsid w:val="00D64E31"/>
    <w:rsid w:val="00D65360"/>
    <w:rsid w:val="00D65604"/>
    <w:rsid w:val="00D656B6"/>
    <w:rsid w:val="00D65F9D"/>
    <w:rsid w:val="00D666E7"/>
    <w:rsid w:val="00D66C52"/>
    <w:rsid w:val="00D678F8"/>
    <w:rsid w:val="00D67C66"/>
    <w:rsid w:val="00D67E37"/>
    <w:rsid w:val="00D705C5"/>
    <w:rsid w:val="00D706C6"/>
    <w:rsid w:val="00D721EC"/>
    <w:rsid w:val="00D726CE"/>
    <w:rsid w:val="00D73677"/>
    <w:rsid w:val="00D73943"/>
    <w:rsid w:val="00D74912"/>
    <w:rsid w:val="00D74A6E"/>
    <w:rsid w:val="00D75805"/>
    <w:rsid w:val="00D75945"/>
    <w:rsid w:val="00D75B50"/>
    <w:rsid w:val="00D75BE2"/>
    <w:rsid w:val="00D76480"/>
    <w:rsid w:val="00D76CF5"/>
    <w:rsid w:val="00D779F7"/>
    <w:rsid w:val="00D80754"/>
    <w:rsid w:val="00D80941"/>
    <w:rsid w:val="00D81F77"/>
    <w:rsid w:val="00D82F54"/>
    <w:rsid w:val="00D83026"/>
    <w:rsid w:val="00D83045"/>
    <w:rsid w:val="00D8314F"/>
    <w:rsid w:val="00D83354"/>
    <w:rsid w:val="00D83B9A"/>
    <w:rsid w:val="00D844D3"/>
    <w:rsid w:val="00D855A5"/>
    <w:rsid w:val="00D855E1"/>
    <w:rsid w:val="00D857E6"/>
    <w:rsid w:val="00D85885"/>
    <w:rsid w:val="00D8653A"/>
    <w:rsid w:val="00D871CE"/>
    <w:rsid w:val="00D87542"/>
    <w:rsid w:val="00D876D2"/>
    <w:rsid w:val="00D879B1"/>
    <w:rsid w:val="00D87D77"/>
    <w:rsid w:val="00D90174"/>
    <w:rsid w:val="00D916CC"/>
    <w:rsid w:val="00D917C2"/>
    <w:rsid w:val="00D91AF5"/>
    <w:rsid w:val="00D920CA"/>
    <w:rsid w:val="00D927D8"/>
    <w:rsid w:val="00D92BFA"/>
    <w:rsid w:val="00D935D1"/>
    <w:rsid w:val="00D936E6"/>
    <w:rsid w:val="00D9375F"/>
    <w:rsid w:val="00D937F8"/>
    <w:rsid w:val="00D93883"/>
    <w:rsid w:val="00D93A88"/>
    <w:rsid w:val="00D93B43"/>
    <w:rsid w:val="00D93D76"/>
    <w:rsid w:val="00D93D78"/>
    <w:rsid w:val="00D93F6A"/>
    <w:rsid w:val="00D93FAF"/>
    <w:rsid w:val="00D94046"/>
    <w:rsid w:val="00D940D3"/>
    <w:rsid w:val="00D94367"/>
    <w:rsid w:val="00D945EB"/>
    <w:rsid w:val="00D9478A"/>
    <w:rsid w:val="00D94DB5"/>
    <w:rsid w:val="00D95202"/>
    <w:rsid w:val="00D95458"/>
    <w:rsid w:val="00D9598E"/>
    <w:rsid w:val="00D95B44"/>
    <w:rsid w:val="00D95C20"/>
    <w:rsid w:val="00D961B5"/>
    <w:rsid w:val="00D961C7"/>
    <w:rsid w:val="00D96BFE"/>
    <w:rsid w:val="00D96D52"/>
    <w:rsid w:val="00D96F7E"/>
    <w:rsid w:val="00D9778A"/>
    <w:rsid w:val="00D97B59"/>
    <w:rsid w:val="00D97C16"/>
    <w:rsid w:val="00D97D49"/>
    <w:rsid w:val="00DA022A"/>
    <w:rsid w:val="00DA025F"/>
    <w:rsid w:val="00DA04E9"/>
    <w:rsid w:val="00DA0755"/>
    <w:rsid w:val="00DA07A7"/>
    <w:rsid w:val="00DA08A5"/>
    <w:rsid w:val="00DA1D77"/>
    <w:rsid w:val="00DA23AB"/>
    <w:rsid w:val="00DA2B4B"/>
    <w:rsid w:val="00DA4512"/>
    <w:rsid w:val="00DA4D03"/>
    <w:rsid w:val="00DA4EAF"/>
    <w:rsid w:val="00DA5A16"/>
    <w:rsid w:val="00DA6949"/>
    <w:rsid w:val="00DA7D0B"/>
    <w:rsid w:val="00DB07CA"/>
    <w:rsid w:val="00DB0823"/>
    <w:rsid w:val="00DB0A27"/>
    <w:rsid w:val="00DB0E2A"/>
    <w:rsid w:val="00DB0F66"/>
    <w:rsid w:val="00DB111E"/>
    <w:rsid w:val="00DB19F5"/>
    <w:rsid w:val="00DB2629"/>
    <w:rsid w:val="00DB2718"/>
    <w:rsid w:val="00DB2773"/>
    <w:rsid w:val="00DB27E9"/>
    <w:rsid w:val="00DB2A06"/>
    <w:rsid w:val="00DB383F"/>
    <w:rsid w:val="00DB3A50"/>
    <w:rsid w:val="00DB4D6A"/>
    <w:rsid w:val="00DB52B9"/>
    <w:rsid w:val="00DB532F"/>
    <w:rsid w:val="00DB53D6"/>
    <w:rsid w:val="00DB5641"/>
    <w:rsid w:val="00DB5CC0"/>
    <w:rsid w:val="00DB5FF0"/>
    <w:rsid w:val="00DB63F1"/>
    <w:rsid w:val="00DB65D7"/>
    <w:rsid w:val="00DB6791"/>
    <w:rsid w:val="00DB6C38"/>
    <w:rsid w:val="00DB6E05"/>
    <w:rsid w:val="00DB6E76"/>
    <w:rsid w:val="00DB72E7"/>
    <w:rsid w:val="00DB736F"/>
    <w:rsid w:val="00DB7445"/>
    <w:rsid w:val="00DB7D53"/>
    <w:rsid w:val="00DB7F62"/>
    <w:rsid w:val="00DC0464"/>
    <w:rsid w:val="00DC0632"/>
    <w:rsid w:val="00DC0787"/>
    <w:rsid w:val="00DC0F18"/>
    <w:rsid w:val="00DC1303"/>
    <w:rsid w:val="00DC1403"/>
    <w:rsid w:val="00DC345A"/>
    <w:rsid w:val="00DC389B"/>
    <w:rsid w:val="00DC3904"/>
    <w:rsid w:val="00DC394C"/>
    <w:rsid w:val="00DC42A4"/>
    <w:rsid w:val="00DC42EA"/>
    <w:rsid w:val="00DC4933"/>
    <w:rsid w:val="00DC558C"/>
    <w:rsid w:val="00DC5ED6"/>
    <w:rsid w:val="00DC5F7A"/>
    <w:rsid w:val="00DC6513"/>
    <w:rsid w:val="00DC693E"/>
    <w:rsid w:val="00DC723A"/>
    <w:rsid w:val="00DC7C31"/>
    <w:rsid w:val="00DD0C3F"/>
    <w:rsid w:val="00DD1CDA"/>
    <w:rsid w:val="00DD1F41"/>
    <w:rsid w:val="00DD26CC"/>
    <w:rsid w:val="00DD3543"/>
    <w:rsid w:val="00DD3766"/>
    <w:rsid w:val="00DD380F"/>
    <w:rsid w:val="00DD4656"/>
    <w:rsid w:val="00DD503F"/>
    <w:rsid w:val="00DD514C"/>
    <w:rsid w:val="00DD5BE3"/>
    <w:rsid w:val="00DD60E2"/>
    <w:rsid w:val="00DD6692"/>
    <w:rsid w:val="00DD691A"/>
    <w:rsid w:val="00DD6DE7"/>
    <w:rsid w:val="00DD71D6"/>
    <w:rsid w:val="00DD73A8"/>
    <w:rsid w:val="00DD7687"/>
    <w:rsid w:val="00DD7B55"/>
    <w:rsid w:val="00DE0569"/>
    <w:rsid w:val="00DE0797"/>
    <w:rsid w:val="00DE08C3"/>
    <w:rsid w:val="00DE094A"/>
    <w:rsid w:val="00DE17FA"/>
    <w:rsid w:val="00DE1971"/>
    <w:rsid w:val="00DE1ACD"/>
    <w:rsid w:val="00DE1DAB"/>
    <w:rsid w:val="00DE20A2"/>
    <w:rsid w:val="00DE261E"/>
    <w:rsid w:val="00DE269D"/>
    <w:rsid w:val="00DE2C35"/>
    <w:rsid w:val="00DE30DA"/>
    <w:rsid w:val="00DE3288"/>
    <w:rsid w:val="00DE4BC3"/>
    <w:rsid w:val="00DE4BE6"/>
    <w:rsid w:val="00DE4E52"/>
    <w:rsid w:val="00DE52B7"/>
    <w:rsid w:val="00DE59EE"/>
    <w:rsid w:val="00DE5EFD"/>
    <w:rsid w:val="00DE6636"/>
    <w:rsid w:val="00DE6C5F"/>
    <w:rsid w:val="00DE6E8C"/>
    <w:rsid w:val="00DE70EA"/>
    <w:rsid w:val="00DF0175"/>
    <w:rsid w:val="00DF0B89"/>
    <w:rsid w:val="00DF0CFA"/>
    <w:rsid w:val="00DF131B"/>
    <w:rsid w:val="00DF152E"/>
    <w:rsid w:val="00DF164A"/>
    <w:rsid w:val="00DF299E"/>
    <w:rsid w:val="00DF2BC6"/>
    <w:rsid w:val="00DF3044"/>
    <w:rsid w:val="00DF353C"/>
    <w:rsid w:val="00DF3DF8"/>
    <w:rsid w:val="00DF4216"/>
    <w:rsid w:val="00DF46B7"/>
    <w:rsid w:val="00DF46C8"/>
    <w:rsid w:val="00DF476B"/>
    <w:rsid w:val="00DF4978"/>
    <w:rsid w:val="00DF55D6"/>
    <w:rsid w:val="00DF58F4"/>
    <w:rsid w:val="00DF5AAF"/>
    <w:rsid w:val="00DF6074"/>
    <w:rsid w:val="00DF6BF4"/>
    <w:rsid w:val="00DF6FD0"/>
    <w:rsid w:val="00DF73B6"/>
    <w:rsid w:val="00DF781C"/>
    <w:rsid w:val="00E00270"/>
    <w:rsid w:val="00E008D8"/>
    <w:rsid w:val="00E00C6B"/>
    <w:rsid w:val="00E00D29"/>
    <w:rsid w:val="00E02A3C"/>
    <w:rsid w:val="00E02F70"/>
    <w:rsid w:val="00E032F6"/>
    <w:rsid w:val="00E03F4C"/>
    <w:rsid w:val="00E03F4E"/>
    <w:rsid w:val="00E0439C"/>
    <w:rsid w:val="00E049A5"/>
    <w:rsid w:val="00E051FB"/>
    <w:rsid w:val="00E056B0"/>
    <w:rsid w:val="00E05984"/>
    <w:rsid w:val="00E05C27"/>
    <w:rsid w:val="00E05C4F"/>
    <w:rsid w:val="00E063DE"/>
    <w:rsid w:val="00E0671B"/>
    <w:rsid w:val="00E06E82"/>
    <w:rsid w:val="00E07453"/>
    <w:rsid w:val="00E07DB1"/>
    <w:rsid w:val="00E07E7B"/>
    <w:rsid w:val="00E07F6A"/>
    <w:rsid w:val="00E10117"/>
    <w:rsid w:val="00E10961"/>
    <w:rsid w:val="00E10EA5"/>
    <w:rsid w:val="00E118AB"/>
    <w:rsid w:val="00E11C81"/>
    <w:rsid w:val="00E11E0F"/>
    <w:rsid w:val="00E11E5E"/>
    <w:rsid w:val="00E12077"/>
    <w:rsid w:val="00E121E9"/>
    <w:rsid w:val="00E129D1"/>
    <w:rsid w:val="00E12F2F"/>
    <w:rsid w:val="00E12FBA"/>
    <w:rsid w:val="00E1319F"/>
    <w:rsid w:val="00E13A48"/>
    <w:rsid w:val="00E13FB6"/>
    <w:rsid w:val="00E14ACF"/>
    <w:rsid w:val="00E14BAD"/>
    <w:rsid w:val="00E14D14"/>
    <w:rsid w:val="00E159EC"/>
    <w:rsid w:val="00E15AC4"/>
    <w:rsid w:val="00E15C68"/>
    <w:rsid w:val="00E16E4C"/>
    <w:rsid w:val="00E173EF"/>
    <w:rsid w:val="00E177CD"/>
    <w:rsid w:val="00E20A78"/>
    <w:rsid w:val="00E20B50"/>
    <w:rsid w:val="00E20B5E"/>
    <w:rsid w:val="00E20F69"/>
    <w:rsid w:val="00E20FC3"/>
    <w:rsid w:val="00E21906"/>
    <w:rsid w:val="00E221AF"/>
    <w:rsid w:val="00E224BF"/>
    <w:rsid w:val="00E22732"/>
    <w:rsid w:val="00E22B39"/>
    <w:rsid w:val="00E2398E"/>
    <w:rsid w:val="00E23A5C"/>
    <w:rsid w:val="00E2406F"/>
    <w:rsid w:val="00E24570"/>
    <w:rsid w:val="00E2459F"/>
    <w:rsid w:val="00E24B98"/>
    <w:rsid w:val="00E2527D"/>
    <w:rsid w:val="00E262A9"/>
    <w:rsid w:val="00E2688C"/>
    <w:rsid w:val="00E2693C"/>
    <w:rsid w:val="00E26F87"/>
    <w:rsid w:val="00E2710F"/>
    <w:rsid w:val="00E3047D"/>
    <w:rsid w:val="00E3066D"/>
    <w:rsid w:val="00E30AF9"/>
    <w:rsid w:val="00E31FB7"/>
    <w:rsid w:val="00E32363"/>
    <w:rsid w:val="00E32488"/>
    <w:rsid w:val="00E327E4"/>
    <w:rsid w:val="00E32E77"/>
    <w:rsid w:val="00E3313E"/>
    <w:rsid w:val="00E33575"/>
    <w:rsid w:val="00E33758"/>
    <w:rsid w:val="00E33942"/>
    <w:rsid w:val="00E34C86"/>
    <w:rsid w:val="00E34DB8"/>
    <w:rsid w:val="00E35369"/>
    <w:rsid w:val="00E355D9"/>
    <w:rsid w:val="00E35682"/>
    <w:rsid w:val="00E356B6"/>
    <w:rsid w:val="00E35DF9"/>
    <w:rsid w:val="00E3649B"/>
    <w:rsid w:val="00E3697A"/>
    <w:rsid w:val="00E3745E"/>
    <w:rsid w:val="00E37A35"/>
    <w:rsid w:val="00E37B12"/>
    <w:rsid w:val="00E37BEF"/>
    <w:rsid w:val="00E37D65"/>
    <w:rsid w:val="00E403C7"/>
    <w:rsid w:val="00E40A27"/>
    <w:rsid w:val="00E41042"/>
    <w:rsid w:val="00E41074"/>
    <w:rsid w:val="00E4127C"/>
    <w:rsid w:val="00E41B14"/>
    <w:rsid w:val="00E41DD4"/>
    <w:rsid w:val="00E4219A"/>
    <w:rsid w:val="00E42241"/>
    <w:rsid w:val="00E424A0"/>
    <w:rsid w:val="00E425C4"/>
    <w:rsid w:val="00E42698"/>
    <w:rsid w:val="00E426C9"/>
    <w:rsid w:val="00E4274A"/>
    <w:rsid w:val="00E433FB"/>
    <w:rsid w:val="00E4381F"/>
    <w:rsid w:val="00E43B12"/>
    <w:rsid w:val="00E43E66"/>
    <w:rsid w:val="00E443AB"/>
    <w:rsid w:val="00E444BC"/>
    <w:rsid w:val="00E4510E"/>
    <w:rsid w:val="00E45294"/>
    <w:rsid w:val="00E46906"/>
    <w:rsid w:val="00E4697F"/>
    <w:rsid w:val="00E46A8F"/>
    <w:rsid w:val="00E46B21"/>
    <w:rsid w:val="00E46EA3"/>
    <w:rsid w:val="00E4775A"/>
    <w:rsid w:val="00E47D3D"/>
    <w:rsid w:val="00E47E7C"/>
    <w:rsid w:val="00E50223"/>
    <w:rsid w:val="00E5059B"/>
    <w:rsid w:val="00E50F61"/>
    <w:rsid w:val="00E51502"/>
    <w:rsid w:val="00E51789"/>
    <w:rsid w:val="00E51C1B"/>
    <w:rsid w:val="00E52143"/>
    <w:rsid w:val="00E52D13"/>
    <w:rsid w:val="00E52FD1"/>
    <w:rsid w:val="00E5332C"/>
    <w:rsid w:val="00E53353"/>
    <w:rsid w:val="00E535A6"/>
    <w:rsid w:val="00E53C45"/>
    <w:rsid w:val="00E53CE0"/>
    <w:rsid w:val="00E53D7C"/>
    <w:rsid w:val="00E53DA7"/>
    <w:rsid w:val="00E540FC"/>
    <w:rsid w:val="00E54C11"/>
    <w:rsid w:val="00E55DB0"/>
    <w:rsid w:val="00E563B3"/>
    <w:rsid w:val="00E56721"/>
    <w:rsid w:val="00E5703B"/>
    <w:rsid w:val="00E577EC"/>
    <w:rsid w:val="00E57C4D"/>
    <w:rsid w:val="00E602BD"/>
    <w:rsid w:val="00E61A8D"/>
    <w:rsid w:val="00E62337"/>
    <w:rsid w:val="00E62809"/>
    <w:rsid w:val="00E63321"/>
    <w:rsid w:val="00E634AD"/>
    <w:rsid w:val="00E635BD"/>
    <w:rsid w:val="00E63675"/>
    <w:rsid w:val="00E6378F"/>
    <w:rsid w:val="00E638A7"/>
    <w:rsid w:val="00E63FAC"/>
    <w:rsid w:val="00E64141"/>
    <w:rsid w:val="00E645E9"/>
    <w:rsid w:val="00E646D8"/>
    <w:rsid w:val="00E64C9D"/>
    <w:rsid w:val="00E64F6C"/>
    <w:rsid w:val="00E6537A"/>
    <w:rsid w:val="00E65567"/>
    <w:rsid w:val="00E65B31"/>
    <w:rsid w:val="00E65B3E"/>
    <w:rsid w:val="00E65F2E"/>
    <w:rsid w:val="00E65FF3"/>
    <w:rsid w:val="00E660EC"/>
    <w:rsid w:val="00E6618A"/>
    <w:rsid w:val="00E66BA9"/>
    <w:rsid w:val="00E67470"/>
    <w:rsid w:val="00E67A24"/>
    <w:rsid w:val="00E67C62"/>
    <w:rsid w:val="00E67D62"/>
    <w:rsid w:val="00E7025B"/>
    <w:rsid w:val="00E70552"/>
    <w:rsid w:val="00E712A0"/>
    <w:rsid w:val="00E712F8"/>
    <w:rsid w:val="00E71416"/>
    <w:rsid w:val="00E7174D"/>
    <w:rsid w:val="00E7235E"/>
    <w:rsid w:val="00E72B05"/>
    <w:rsid w:val="00E72E0E"/>
    <w:rsid w:val="00E72FE7"/>
    <w:rsid w:val="00E73D0E"/>
    <w:rsid w:val="00E74A39"/>
    <w:rsid w:val="00E74B7F"/>
    <w:rsid w:val="00E75609"/>
    <w:rsid w:val="00E75790"/>
    <w:rsid w:val="00E75BCD"/>
    <w:rsid w:val="00E76031"/>
    <w:rsid w:val="00E76714"/>
    <w:rsid w:val="00E80437"/>
    <w:rsid w:val="00E8064A"/>
    <w:rsid w:val="00E81031"/>
    <w:rsid w:val="00E81525"/>
    <w:rsid w:val="00E8184C"/>
    <w:rsid w:val="00E81B55"/>
    <w:rsid w:val="00E823A0"/>
    <w:rsid w:val="00E824EF"/>
    <w:rsid w:val="00E82AF9"/>
    <w:rsid w:val="00E82CEF"/>
    <w:rsid w:val="00E83A79"/>
    <w:rsid w:val="00E83B1E"/>
    <w:rsid w:val="00E83D05"/>
    <w:rsid w:val="00E83DC4"/>
    <w:rsid w:val="00E83DCE"/>
    <w:rsid w:val="00E842A8"/>
    <w:rsid w:val="00E84360"/>
    <w:rsid w:val="00E84746"/>
    <w:rsid w:val="00E847B3"/>
    <w:rsid w:val="00E84E89"/>
    <w:rsid w:val="00E859DB"/>
    <w:rsid w:val="00E85AEE"/>
    <w:rsid w:val="00E86400"/>
    <w:rsid w:val="00E86804"/>
    <w:rsid w:val="00E86871"/>
    <w:rsid w:val="00E870BF"/>
    <w:rsid w:val="00E871BC"/>
    <w:rsid w:val="00E87A23"/>
    <w:rsid w:val="00E90229"/>
    <w:rsid w:val="00E90ABA"/>
    <w:rsid w:val="00E9108A"/>
    <w:rsid w:val="00E9166A"/>
    <w:rsid w:val="00E91899"/>
    <w:rsid w:val="00E92268"/>
    <w:rsid w:val="00E9246B"/>
    <w:rsid w:val="00E92604"/>
    <w:rsid w:val="00E927A2"/>
    <w:rsid w:val="00E928ED"/>
    <w:rsid w:val="00E936C2"/>
    <w:rsid w:val="00E93B8A"/>
    <w:rsid w:val="00E942AE"/>
    <w:rsid w:val="00E949C6"/>
    <w:rsid w:val="00E94CDE"/>
    <w:rsid w:val="00E96274"/>
    <w:rsid w:val="00E96B3D"/>
    <w:rsid w:val="00E96D36"/>
    <w:rsid w:val="00E97421"/>
    <w:rsid w:val="00E974B7"/>
    <w:rsid w:val="00E97DD3"/>
    <w:rsid w:val="00EA00A6"/>
    <w:rsid w:val="00EA1134"/>
    <w:rsid w:val="00EA1489"/>
    <w:rsid w:val="00EA148E"/>
    <w:rsid w:val="00EA1A6D"/>
    <w:rsid w:val="00EA21DA"/>
    <w:rsid w:val="00EA28D1"/>
    <w:rsid w:val="00EA2AE4"/>
    <w:rsid w:val="00EA335A"/>
    <w:rsid w:val="00EA3D63"/>
    <w:rsid w:val="00EA40E5"/>
    <w:rsid w:val="00EA4DF2"/>
    <w:rsid w:val="00EA4F3D"/>
    <w:rsid w:val="00EA5342"/>
    <w:rsid w:val="00EA55C1"/>
    <w:rsid w:val="00EA5AC0"/>
    <w:rsid w:val="00EA61F0"/>
    <w:rsid w:val="00EA6555"/>
    <w:rsid w:val="00EA6854"/>
    <w:rsid w:val="00EA7391"/>
    <w:rsid w:val="00EB0265"/>
    <w:rsid w:val="00EB05FE"/>
    <w:rsid w:val="00EB0AA6"/>
    <w:rsid w:val="00EB1273"/>
    <w:rsid w:val="00EB1636"/>
    <w:rsid w:val="00EB16A8"/>
    <w:rsid w:val="00EB1C22"/>
    <w:rsid w:val="00EB1ED2"/>
    <w:rsid w:val="00EB22C0"/>
    <w:rsid w:val="00EB396F"/>
    <w:rsid w:val="00EB400B"/>
    <w:rsid w:val="00EB4B77"/>
    <w:rsid w:val="00EB4F3B"/>
    <w:rsid w:val="00EB50F0"/>
    <w:rsid w:val="00EB5C40"/>
    <w:rsid w:val="00EB5DB5"/>
    <w:rsid w:val="00EB600D"/>
    <w:rsid w:val="00EB6A2C"/>
    <w:rsid w:val="00EB6B83"/>
    <w:rsid w:val="00EB6DA9"/>
    <w:rsid w:val="00EB7804"/>
    <w:rsid w:val="00EC0343"/>
    <w:rsid w:val="00EC08AD"/>
    <w:rsid w:val="00EC0F29"/>
    <w:rsid w:val="00EC1828"/>
    <w:rsid w:val="00EC1B2E"/>
    <w:rsid w:val="00EC2514"/>
    <w:rsid w:val="00EC287C"/>
    <w:rsid w:val="00EC2AB4"/>
    <w:rsid w:val="00EC2B87"/>
    <w:rsid w:val="00EC3089"/>
    <w:rsid w:val="00EC4214"/>
    <w:rsid w:val="00EC4338"/>
    <w:rsid w:val="00EC45B6"/>
    <w:rsid w:val="00EC4966"/>
    <w:rsid w:val="00EC4ABA"/>
    <w:rsid w:val="00EC4FF0"/>
    <w:rsid w:val="00EC5263"/>
    <w:rsid w:val="00EC57A2"/>
    <w:rsid w:val="00EC59EB"/>
    <w:rsid w:val="00EC6083"/>
    <w:rsid w:val="00EC6229"/>
    <w:rsid w:val="00EC6B44"/>
    <w:rsid w:val="00EC73C2"/>
    <w:rsid w:val="00EC749B"/>
    <w:rsid w:val="00EC760C"/>
    <w:rsid w:val="00EC7CED"/>
    <w:rsid w:val="00ED025B"/>
    <w:rsid w:val="00ED0541"/>
    <w:rsid w:val="00ED0A14"/>
    <w:rsid w:val="00ED0D39"/>
    <w:rsid w:val="00ED0EA7"/>
    <w:rsid w:val="00ED172E"/>
    <w:rsid w:val="00ED179E"/>
    <w:rsid w:val="00ED19D4"/>
    <w:rsid w:val="00ED1F4F"/>
    <w:rsid w:val="00ED33A3"/>
    <w:rsid w:val="00ED353C"/>
    <w:rsid w:val="00ED36F0"/>
    <w:rsid w:val="00ED3E4C"/>
    <w:rsid w:val="00ED41B5"/>
    <w:rsid w:val="00ED41CA"/>
    <w:rsid w:val="00ED41DC"/>
    <w:rsid w:val="00ED42A0"/>
    <w:rsid w:val="00ED4972"/>
    <w:rsid w:val="00ED5433"/>
    <w:rsid w:val="00ED5746"/>
    <w:rsid w:val="00ED63D1"/>
    <w:rsid w:val="00ED6D2B"/>
    <w:rsid w:val="00ED78DB"/>
    <w:rsid w:val="00ED7DE0"/>
    <w:rsid w:val="00EE0119"/>
    <w:rsid w:val="00EE0BC0"/>
    <w:rsid w:val="00EE0E63"/>
    <w:rsid w:val="00EE10D2"/>
    <w:rsid w:val="00EE11C7"/>
    <w:rsid w:val="00EE123E"/>
    <w:rsid w:val="00EE1558"/>
    <w:rsid w:val="00EE298D"/>
    <w:rsid w:val="00EE2B5D"/>
    <w:rsid w:val="00EE2BB3"/>
    <w:rsid w:val="00EE3291"/>
    <w:rsid w:val="00EE343A"/>
    <w:rsid w:val="00EE37A3"/>
    <w:rsid w:val="00EE3E91"/>
    <w:rsid w:val="00EE4E61"/>
    <w:rsid w:val="00EE4F91"/>
    <w:rsid w:val="00EE6737"/>
    <w:rsid w:val="00EE6D5C"/>
    <w:rsid w:val="00EE7093"/>
    <w:rsid w:val="00EE70C3"/>
    <w:rsid w:val="00EE7375"/>
    <w:rsid w:val="00EE7465"/>
    <w:rsid w:val="00EE75B5"/>
    <w:rsid w:val="00EE7E8F"/>
    <w:rsid w:val="00EF03CC"/>
    <w:rsid w:val="00EF2215"/>
    <w:rsid w:val="00EF302F"/>
    <w:rsid w:val="00EF3061"/>
    <w:rsid w:val="00EF3B49"/>
    <w:rsid w:val="00EF45CF"/>
    <w:rsid w:val="00EF4B52"/>
    <w:rsid w:val="00EF5517"/>
    <w:rsid w:val="00EF596F"/>
    <w:rsid w:val="00EF5CDA"/>
    <w:rsid w:val="00EF63E5"/>
    <w:rsid w:val="00EF6DC4"/>
    <w:rsid w:val="00EF70BA"/>
    <w:rsid w:val="00F0000A"/>
    <w:rsid w:val="00F002A4"/>
    <w:rsid w:val="00F0031B"/>
    <w:rsid w:val="00F005E5"/>
    <w:rsid w:val="00F0071E"/>
    <w:rsid w:val="00F00B5D"/>
    <w:rsid w:val="00F00BE5"/>
    <w:rsid w:val="00F00CF5"/>
    <w:rsid w:val="00F013CB"/>
    <w:rsid w:val="00F018BF"/>
    <w:rsid w:val="00F01B1E"/>
    <w:rsid w:val="00F01B25"/>
    <w:rsid w:val="00F01FA5"/>
    <w:rsid w:val="00F02214"/>
    <w:rsid w:val="00F02230"/>
    <w:rsid w:val="00F0267C"/>
    <w:rsid w:val="00F03379"/>
    <w:rsid w:val="00F03425"/>
    <w:rsid w:val="00F0345E"/>
    <w:rsid w:val="00F036C6"/>
    <w:rsid w:val="00F03CE6"/>
    <w:rsid w:val="00F03FC4"/>
    <w:rsid w:val="00F03FF1"/>
    <w:rsid w:val="00F04BF2"/>
    <w:rsid w:val="00F05790"/>
    <w:rsid w:val="00F05CF9"/>
    <w:rsid w:val="00F06960"/>
    <w:rsid w:val="00F06967"/>
    <w:rsid w:val="00F07390"/>
    <w:rsid w:val="00F0755E"/>
    <w:rsid w:val="00F07E52"/>
    <w:rsid w:val="00F07E70"/>
    <w:rsid w:val="00F106E4"/>
    <w:rsid w:val="00F10B1D"/>
    <w:rsid w:val="00F10ECA"/>
    <w:rsid w:val="00F11011"/>
    <w:rsid w:val="00F1103C"/>
    <w:rsid w:val="00F115D6"/>
    <w:rsid w:val="00F1171C"/>
    <w:rsid w:val="00F119FB"/>
    <w:rsid w:val="00F11F70"/>
    <w:rsid w:val="00F12333"/>
    <w:rsid w:val="00F1255D"/>
    <w:rsid w:val="00F12BEF"/>
    <w:rsid w:val="00F12F5F"/>
    <w:rsid w:val="00F137C0"/>
    <w:rsid w:val="00F145D4"/>
    <w:rsid w:val="00F14AEC"/>
    <w:rsid w:val="00F14ED0"/>
    <w:rsid w:val="00F15ED6"/>
    <w:rsid w:val="00F15F5B"/>
    <w:rsid w:val="00F16210"/>
    <w:rsid w:val="00F164D5"/>
    <w:rsid w:val="00F1792F"/>
    <w:rsid w:val="00F17A56"/>
    <w:rsid w:val="00F20151"/>
    <w:rsid w:val="00F20474"/>
    <w:rsid w:val="00F209A2"/>
    <w:rsid w:val="00F20E9E"/>
    <w:rsid w:val="00F21AB6"/>
    <w:rsid w:val="00F223D4"/>
    <w:rsid w:val="00F223D5"/>
    <w:rsid w:val="00F2283A"/>
    <w:rsid w:val="00F22A84"/>
    <w:rsid w:val="00F22A8F"/>
    <w:rsid w:val="00F22ED6"/>
    <w:rsid w:val="00F23EB4"/>
    <w:rsid w:val="00F24BD2"/>
    <w:rsid w:val="00F2529A"/>
    <w:rsid w:val="00F25333"/>
    <w:rsid w:val="00F2565F"/>
    <w:rsid w:val="00F25A72"/>
    <w:rsid w:val="00F25BCF"/>
    <w:rsid w:val="00F25F5E"/>
    <w:rsid w:val="00F260CB"/>
    <w:rsid w:val="00F26C19"/>
    <w:rsid w:val="00F27649"/>
    <w:rsid w:val="00F27A70"/>
    <w:rsid w:val="00F27B0A"/>
    <w:rsid w:val="00F30F64"/>
    <w:rsid w:val="00F3192A"/>
    <w:rsid w:val="00F31E2D"/>
    <w:rsid w:val="00F322C3"/>
    <w:rsid w:val="00F32553"/>
    <w:rsid w:val="00F32690"/>
    <w:rsid w:val="00F327CE"/>
    <w:rsid w:val="00F332ED"/>
    <w:rsid w:val="00F33552"/>
    <w:rsid w:val="00F335AB"/>
    <w:rsid w:val="00F33C8D"/>
    <w:rsid w:val="00F342BD"/>
    <w:rsid w:val="00F3444F"/>
    <w:rsid w:val="00F348D1"/>
    <w:rsid w:val="00F35955"/>
    <w:rsid w:val="00F35B8C"/>
    <w:rsid w:val="00F36249"/>
    <w:rsid w:val="00F3669D"/>
    <w:rsid w:val="00F36C33"/>
    <w:rsid w:val="00F37660"/>
    <w:rsid w:val="00F378C1"/>
    <w:rsid w:val="00F40730"/>
    <w:rsid w:val="00F40CC5"/>
    <w:rsid w:val="00F40E48"/>
    <w:rsid w:val="00F410B5"/>
    <w:rsid w:val="00F41836"/>
    <w:rsid w:val="00F41A8A"/>
    <w:rsid w:val="00F41AF4"/>
    <w:rsid w:val="00F41DE0"/>
    <w:rsid w:val="00F425B9"/>
    <w:rsid w:val="00F42FBC"/>
    <w:rsid w:val="00F4385E"/>
    <w:rsid w:val="00F43B0D"/>
    <w:rsid w:val="00F43BFB"/>
    <w:rsid w:val="00F43F5D"/>
    <w:rsid w:val="00F4401D"/>
    <w:rsid w:val="00F44398"/>
    <w:rsid w:val="00F44758"/>
    <w:rsid w:val="00F448C3"/>
    <w:rsid w:val="00F44C53"/>
    <w:rsid w:val="00F45085"/>
    <w:rsid w:val="00F450F4"/>
    <w:rsid w:val="00F45564"/>
    <w:rsid w:val="00F4632F"/>
    <w:rsid w:val="00F463F1"/>
    <w:rsid w:val="00F46892"/>
    <w:rsid w:val="00F469B2"/>
    <w:rsid w:val="00F47200"/>
    <w:rsid w:val="00F47953"/>
    <w:rsid w:val="00F502B2"/>
    <w:rsid w:val="00F50572"/>
    <w:rsid w:val="00F505BC"/>
    <w:rsid w:val="00F507D5"/>
    <w:rsid w:val="00F50DDA"/>
    <w:rsid w:val="00F50E5A"/>
    <w:rsid w:val="00F50EC6"/>
    <w:rsid w:val="00F511FB"/>
    <w:rsid w:val="00F51333"/>
    <w:rsid w:val="00F52456"/>
    <w:rsid w:val="00F5281E"/>
    <w:rsid w:val="00F531AA"/>
    <w:rsid w:val="00F536B7"/>
    <w:rsid w:val="00F537AD"/>
    <w:rsid w:val="00F53BDD"/>
    <w:rsid w:val="00F53FEE"/>
    <w:rsid w:val="00F54DAB"/>
    <w:rsid w:val="00F559D6"/>
    <w:rsid w:val="00F55A97"/>
    <w:rsid w:val="00F55CC6"/>
    <w:rsid w:val="00F55CDC"/>
    <w:rsid w:val="00F56161"/>
    <w:rsid w:val="00F561CC"/>
    <w:rsid w:val="00F563CD"/>
    <w:rsid w:val="00F56862"/>
    <w:rsid w:val="00F56FE5"/>
    <w:rsid w:val="00F575AF"/>
    <w:rsid w:val="00F57925"/>
    <w:rsid w:val="00F57A83"/>
    <w:rsid w:val="00F604F4"/>
    <w:rsid w:val="00F60AFA"/>
    <w:rsid w:val="00F61098"/>
    <w:rsid w:val="00F6112B"/>
    <w:rsid w:val="00F62588"/>
    <w:rsid w:val="00F627EB"/>
    <w:rsid w:val="00F629BF"/>
    <w:rsid w:val="00F632EA"/>
    <w:rsid w:val="00F633D8"/>
    <w:rsid w:val="00F634A4"/>
    <w:rsid w:val="00F6431B"/>
    <w:rsid w:val="00F64B3B"/>
    <w:rsid w:val="00F64BF7"/>
    <w:rsid w:val="00F64C76"/>
    <w:rsid w:val="00F64CCC"/>
    <w:rsid w:val="00F64ED6"/>
    <w:rsid w:val="00F650D5"/>
    <w:rsid w:val="00F65747"/>
    <w:rsid w:val="00F65AD5"/>
    <w:rsid w:val="00F65F15"/>
    <w:rsid w:val="00F66072"/>
    <w:rsid w:val="00F660F7"/>
    <w:rsid w:val="00F6638A"/>
    <w:rsid w:val="00F66433"/>
    <w:rsid w:val="00F66673"/>
    <w:rsid w:val="00F66702"/>
    <w:rsid w:val="00F6692A"/>
    <w:rsid w:val="00F66E97"/>
    <w:rsid w:val="00F6754F"/>
    <w:rsid w:val="00F6755D"/>
    <w:rsid w:val="00F675B0"/>
    <w:rsid w:val="00F679A8"/>
    <w:rsid w:val="00F67AB4"/>
    <w:rsid w:val="00F67C61"/>
    <w:rsid w:val="00F7028A"/>
    <w:rsid w:val="00F70564"/>
    <w:rsid w:val="00F7076A"/>
    <w:rsid w:val="00F707C9"/>
    <w:rsid w:val="00F70DE9"/>
    <w:rsid w:val="00F70E58"/>
    <w:rsid w:val="00F710FE"/>
    <w:rsid w:val="00F719B2"/>
    <w:rsid w:val="00F71BEA"/>
    <w:rsid w:val="00F73DA6"/>
    <w:rsid w:val="00F73E69"/>
    <w:rsid w:val="00F73EE0"/>
    <w:rsid w:val="00F74196"/>
    <w:rsid w:val="00F744F4"/>
    <w:rsid w:val="00F74887"/>
    <w:rsid w:val="00F74A01"/>
    <w:rsid w:val="00F74A84"/>
    <w:rsid w:val="00F74AA8"/>
    <w:rsid w:val="00F74F89"/>
    <w:rsid w:val="00F75A10"/>
    <w:rsid w:val="00F75D9F"/>
    <w:rsid w:val="00F76063"/>
    <w:rsid w:val="00F76D11"/>
    <w:rsid w:val="00F77276"/>
    <w:rsid w:val="00F77A8D"/>
    <w:rsid w:val="00F77D27"/>
    <w:rsid w:val="00F77E98"/>
    <w:rsid w:val="00F80013"/>
    <w:rsid w:val="00F8095A"/>
    <w:rsid w:val="00F81308"/>
    <w:rsid w:val="00F8143C"/>
    <w:rsid w:val="00F81441"/>
    <w:rsid w:val="00F81476"/>
    <w:rsid w:val="00F81681"/>
    <w:rsid w:val="00F81731"/>
    <w:rsid w:val="00F81E11"/>
    <w:rsid w:val="00F8260F"/>
    <w:rsid w:val="00F831F9"/>
    <w:rsid w:val="00F83228"/>
    <w:rsid w:val="00F834A7"/>
    <w:rsid w:val="00F847A0"/>
    <w:rsid w:val="00F85ABF"/>
    <w:rsid w:val="00F85D19"/>
    <w:rsid w:val="00F860A3"/>
    <w:rsid w:val="00F864FC"/>
    <w:rsid w:val="00F86808"/>
    <w:rsid w:val="00F87387"/>
    <w:rsid w:val="00F8741E"/>
    <w:rsid w:val="00F8760E"/>
    <w:rsid w:val="00F87620"/>
    <w:rsid w:val="00F8773E"/>
    <w:rsid w:val="00F9082B"/>
    <w:rsid w:val="00F90A1D"/>
    <w:rsid w:val="00F9142D"/>
    <w:rsid w:val="00F915A4"/>
    <w:rsid w:val="00F91EF0"/>
    <w:rsid w:val="00F92104"/>
    <w:rsid w:val="00F9227B"/>
    <w:rsid w:val="00F92733"/>
    <w:rsid w:val="00F92E2B"/>
    <w:rsid w:val="00F93676"/>
    <w:rsid w:val="00F93A3D"/>
    <w:rsid w:val="00F93C72"/>
    <w:rsid w:val="00F93C99"/>
    <w:rsid w:val="00F93DCD"/>
    <w:rsid w:val="00F94009"/>
    <w:rsid w:val="00F9412A"/>
    <w:rsid w:val="00F9466A"/>
    <w:rsid w:val="00F94C16"/>
    <w:rsid w:val="00F94D3F"/>
    <w:rsid w:val="00F94EB4"/>
    <w:rsid w:val="00F9591A"/>
    <w:rsid w:val="00F9689E"/>
    <w:rsid w:val="00F96F26"/>
    <w:rsid w:val="00F970A3"/>
    <w:rsid w:val="00F97F91"/>
    <w:rsid w:val="00FA03A6"/>
    <w:rsid w:val="00FA03D6"/>
    <w:rsid w:val="00FA066D"/>
    <w:rsid w:val="00FA0956"/>
    <w:rsid w:val="00FA0FB3"/>
    <w:rsid w:val="00FA1118"/>
    <w:rsid w:val="00FA1126"/>
    <w:rsid w:val="00FA1816"/>
    <w:rsid w:val="00FA1B03"/>
    <w:rsid w:val="00FA24F3"/>
    <w:rsid w:val="00FA263E"/>
    <w:rsid w:val="00FA2798"/>
    <w:rsid w:val="00FA3679"/>
    <w:rsid w:val="00FA3A4D"/>
    <w:rsid w:val="00FA41F1"/>
    <w:rsid w:val="00FA42BC"/>
    <w:rsid w:val="00FA4635"/>
    <w:rsid w:val="00FA509C"/>
    <w:rsid w:val="00FA5180"/>
    <w:rsid w:val="00FA58CA"/>
    <w:rsid w:val="00FA5C21"/>
    <w:rsid w:val="00FA5FCE"/>
    <w:rsid w:val="00FA655C"/>
    <w:rsid w:val="00FA6B30"/>
    <w:rsid w:val="00FA6C13"/>
    <w:rsid w:val="00FA761A"/>
    <w:rsid w:val="00FA76A5"/>
    <w:rsid w:val="00FA786A"/>
    <w:rsid w:val="00FA7CA3"/>
    <w:rsid w:val="00FA7DA0"/>
    <w:rsid w:val="00FB0515"/>
    <w:rsid w:val="00FB0EE9"/>
    <w:rsid w:val="00FB0EFB"/>
    <w:rsid w:val="00FB0F8A"/>
    <w:rsid w:val="00FB11F1"/>
    <w:rsid w:val="00FB1300"/>
    <w:rsid w:val="00FB19BF"/>
    <w:rsid w:val="00FB20F3"/>
    <w:rsid w:val="00FB252E"/>
    <w:rsid w:val="00FB2EB5"/>
    <w:rsid w:val="00FB2ED0"/>
    <w:rsid w:val="00FB30F6"/>
    <w:rsid w:val="00FB34E4"/>
    <w:rsid w:val="00FB38ED"/>
    <w:rsid w:val="00FB3DE3"/>
    <w:rsid w:val="00FB3F26"/>
    <w:rsid w:val="00FB4C8E"/>
    <w:rsid w:val="00FB4D15"/>
    <w:rsid w:val="00FB4D9E"/>
    <w:rsid w:val="00FB4E84"/>
    <w:rsid w:val="00FB588A"/>
    <w:rsid w:val="00FB6302"/>
    <w:rsid w:val="00FB68DD"/>
    <w:rsid w:val="00FB7718"/>
    <w:rsid w:val="00FB7F99"/>
    <w:rsid w:val="00FC02F4"/>
    <w:rsid w:val="00FC2683"/>
    <w:rsid w:val="00FC2810"/>
    <w:rsid w:val="00FC299F"/>
    <w:rsid w:val="00FC3213"/>
    <w:rsid w:val="00FC3C6C"/>
    <w:rsid w:val="00FC48C6"/>
    <w:rsid w:val="00FC4A91"/>
    <w:rsid w:val="00FC4E0B"/>
    <w:rsid w:val="00FC5B7C"/>
    <w:rsid w:val="00FC6141"/>
    <w:rsid w:val="00FC623A"/>
    <w:rsid w:val="00FC646D"/>
    <w:rsid w:val="00FC65E5"/>
    <w:rsid w:val="00FC665B"/>
    <w:rsid w:val="00FC6C78"/>
    <w:rsid w:val="00FC6CEF"/>
    <w:rsid w:val="00FC6E1D"/>
    <w:rsid w:val="00FC740E"/>
    <w:rsid w:val="00FD02CC"/>
    <w:rsid w:val="00FD1685"/>
    <w:rsid w:val="00FD1AA4"/>
    <w:rsid w:val="00FD1BD4"/>
    <w:rsid w:val="00FD1EA8"/>
    <w:rsid w:val="00FD2DBC"/>
    <w:rsid w:val="00FD2FA7"/>
    <w:rsid w:val="00FD3B87"/>
    <w:rsid w:val="00FD4B79"/>
    <w:rsid w:val="00FD5465"/>
    <w:rsid w:val="00FD58EF"/>
    <w:rsid w:val="00FD5BC9"/>
    <w:rsid w:val="00FD620D"/>
    <w:rsid w:val="00FD64B8"/>
    <w:rsid w:val="00FD667B"/>
    <w:rsid w:val="00FD7165"/>
    <w:rsid w:val="00FE00CF"/>
    <w:rsid w:val="00FE013B"/>
    <w:rsid w:val="00FE0207"/>
    <w:rsid w:val="00FE10AD"/>
    <w:rsid w:val="00FE1303"/>
    <w:rsid w:val="00FE1ABB"/>
    <w:rsid w:val="00FE291B"/>
    <w:rsid w:val="00FE330C"/>
    <w:rsid w:val="00FE3B4E"/>
    <w:rsid w:val="00FE40C1"/>
    <w:rsid w:val="00FE410C"/>
    <w:rsid w:val="00FE4DBC"/>
    <w:rsid w:val="00FE50B4"/>
    <w:rsid w:val="00FE546C"/>
    <w:rsid w:val="00FE54AE"/>
    <w:rsid w:val="00FE5671"/>
    <w:rsid w:val="00FE59BB"/>
    <w:rsid w:val="00FE5E25"/>
    <w:rsid w:val="00FE6AE8"/>
    <w:rsid w:val="00FE70D5"/>
    <w:rsid w:val="00FE7127"/>
    <w:rsid w:val="00FE7FB9"/>
    <w:rsid w:val="00FF041F"/>
    <w:rsid w:val="00FF0C67"/>
    <w:rsid w:val="00FF0E6A"/>
    <w:rsid w:val="00FF0F69"/>
    <w:rsid w:val="00FF1623"/>
    <w:rsid w:val="00FF1E96"/>
    <w:rsid w:val="00FF21EF"/>
    <w:rsid w:val="00FF2A34"/>
    <w:rsid w:val="00FF2BA8"/>
    <w:rsid w:val="00FF364B"/>
    <w:rsid w:val="00FF3803"/>
    <w:rsid w:val="00FF4871"/>
    <w:rsid w:val="00FF4A4D"/>
    <w:rsid w:val="00FF556E"/>
    <w:rsid w:val="00FF5630"/>
    <w:rsid w:val="00FF5813"/>
    <w:rsid w:val="00FF5E54"/>
    <w:rsid w:val="00FF5E85"/>
    <w:rsid w:val="00FF680F"/>
    <w:rsid w:val="00FF69CB"/>
    <w:rsid w:val="00FF6AD9"/>
    <w:rsid w:val="00FF6B4E"/>
    <w:rsid w:val="00FF7C76"/>
  </w:rsids>
  <w:docVars>
    <w:docVar w:name="btnwarning" w:val="1"/>
    <w:docVar w:name="sivug" w:val="1"/>
    <w:docVar w:name="space" w:val="1.3"/>
  </w:docVars>
  <m:mathPr>
    <m:mathFont m:val="Cambria Math"/>
  </m:mathPr>
  <w:themeFontLang w:val="en-US" w:bidi="he-IL"/>
  <w:clrSchemeMapping w:bg1="light1" w:t1="dark1" w:bg2="light2" w:t2="dark2" w:accent1="accent1" w:accent2="accent2" w:accent3="accent3" w:accent4="accent4" w:accent5="accent5" w:accent6="accent6" w:hyperlink="hyperlink" w:followedHyperlink="followedHyperlink"/>
  <w14:docId w14:val="20A2A98B"/>
  <w15:docId w15:val="{422F9390-8713-499C-A610-9FFE0F697D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hAnsi="Times New Roman" w:eastAsiaTheme="minorHAnsi" w:cs="David"/>
        <w:szCs w:val="24"/>
        <w:lang w:val="en-US" w:eastAsia="en-US" w:bidi="he-IL"/>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E2619"/>
    <w:pPr>
      <w:bidi/>
      <w:spacing w:after="0" w:line="312" w:lineRule="auto"/>
    </w:pPr>
  </w:style>
  <w:style w:type="paragraph" w:styleId="Heading1">
    <w:name w:val="heading 1"/>
    <w:basedOn w:val="Normal"/>
    <w:next w:val="Normal"/>
    <w:link w:val="11"/>
    <w:uiPriority w:val="1"/>
    <w:qFormat/>
    <w:rsid w:val="00F41DE0"/>
    <w:pPr>
      <w:keepNext/>
      <w:keepLines/>
      <w:jc w:val="center"/>
      <w:outlineLvl w:val="0"/>
    </w:pPr>
    <w:rPr>
      <w:rFonts w:eastAsiaTheme="majorEastAsia"/>
      <w:bCs/>
      <w:szCs w:val="36"/>
      <w:u w:val="single"/>
    </w:rPr>
  </w:style>
  <w:style w:type="paragraph" w:styleId="Heading2">
    <w:name w:val="heading 2"/>
    <w:basedOn w:val="Normal"/>
    <w:next w:val="Normal"/>
    <w:link w:val="22"/>
    <w:uiPriority w:val="1"/>
    <w:qFormat/>
    <w:rsid w:val="00F41DE0"/>
    <w:pPr>
      <w:keepNext/>
      <w:keepLines/>
      <w:spacing w:before="480"/>
      <w:jc w:val="center"/>
      <w:outlineLvl w:val="1"/>
    </w:pPr>
    <w:rPr>
      <w:rFonts w:eastAsiaTheme="majorEastAsia"/>
      <w:bCs/>
      <w:szCs w:val="32"/>
    </w:rPr>
  </w:style>
  <w:style w:type="paragraph" w:styleId="Heading3">
    <w:name w:val="heading 3"/>
    <w:basedOn w:val="Normal"/>
    <w:next w:val="Normal"/>
    <w:link w:val="32"/>
    <w:uiPriority w:val="1"/>
    <w:qFormat/>
    <w:rsid w:val="00F41DE0"/>
    <w:pPr>
      <w:keepNext/>
      <w:keepLines/>
      <w:spacing w:before="240"/>
      <w:outlineLvl w:val="2"/>
    </w:pPr>
    <w:rPr>
      <w:rFonts w:eastAsiaTheme="majorEastAsia"/>
      <w:bCs/>
      <w:szCs w:val="28"/>
      <w:u w:val="single"/>
    </w:rPr>
  </w:style>
  <w:style w:type="paragraph" w:styleId="Heading4">
    <w:name w:val="heading 4"/>
    <w:basedOn w:val="Normal"/>
    <w:next w:val="Normal"/>
    <w:link w:val="41"/>
    <w:uiPriority w:val="1"/>
    <w:qFormat/>
    <w:rsid w:val="00F41DE0"/>
    <w:pPr>
      <w:keepNext/>
      <w:keepLines/>
      <w:spacing w:before="240"/>
      <w:outlineLvl w:val="3"/>
    </w:pPr>
    <w:rPr>
      <w:rFonts w:eastAsiaTheme="majorEastAsia"/>
      <w:bCs/>
      <w:szCs w:val="26"/>
    </w:rPr>
  </w:style>
  <w:style w:type="paragraph" w:styleId="Heading5">
    <w:name w:val="heading 5"/>
    <w:basedOn w:val="Normal"/>
    <w:next w:val="Normal"/>
    <w:link w:val="51"/>
    <w:uiPriority w:val="1"/>
    <w:qFormat/>
    <w:rsid w:val="00F41DE0"/>
    <w:pPr>
      <w:keepNext/>
      <w:keepLines/>
      <w:outlineLvl w:val="4"/>
    </w:pPr>
    <w:rPr>
      <w:rFonts w:eastAsiaTheme="majorEastAsia"/>
      <w:bCs/>
      <w:spacing w:val="40"/>
    </w:rPr>
  </w:style>
  <w:style w:type="paragraph" w:styleId="Heading6">
    <w:name w:val="heading 6"/>
    <w:basedOn w:val="Normal"/>
    <w:next w:val="Normal"/>
    <w:link w:val="61"/>
    <w:uiPriority w:val="1"/>
    <w:qFormat/>
    <w:rsid w:val="00F41DE0"/>
    <w:pPr>
      <w:keepNext/>
      <w:keepLines/>
      <w:outlineLvl w:val="5"/>
    </w:pPr>
    <w:rPr>
      <w:rFonts w:eastAsiaTheme="majorEastAsia"/>
      <w:spacing w:val="40"/>
    </w:rPr>
  </w:style>
  <w:style w:type="paragraph" w:styleId="Heading7">
    <w:name w:val="heading 7"/>
    <w:basedOn w:val="Normal"/>
    <w:next w:val="Normal"/>
    <w:link w:val="71"/>
    <w:uiPriority w:val="1"/>
    <w:qFormat/>
    <w:rsid w:val="00F41DE0"/>
    <w:pPr>
      <w:keepNext/>
      <w:keepLines/>
      <w:outlineLvl w:val="6"/>
    </w:pPr>
    <w:rPr>
      <w:rFonts w:eastAsiaTheme="majorEastAsia"/>
      <w:bCs/>
      <w:spacing w:val="40"/>
    </w:rPr>
  </w:style>
  <w:style w:type="paragraph" w:styleId="Heading8">
    <w:name w:val="heading 8"/>
    <w:basedOn w:val="Normal"/>
    <w:next w:val="Normal"/>
    <w:link w:val="81"/>
    <w:uiPriority w:val="1"/>
    <w:qFormat/>
    <w:rsid w:val="00F41DE0"/>
    <w:pPr>
      <w:keepNext/>
      <w:keepLines/>
      <w:outlineLvl w:val="7"/>
    </w:pPr>
    <w:rPr>
      <w:rFonts w:eastAsiaTheme="majorEastAsia"/>
      <w:spacing w:val="40"/>
    </w:rPr>
  </w:style>
  <w:style w:type="paragraph" w:styleId="Heading9">
    <w:name w:val="heading 9"/>
    <w:basedOn w:val="Normal"/>
    <w:next w:val="Normal"/>
    <w:link w:val="92"/>
    <w:uiPriority w:val="9"/>
    <w:unhideWhenUsed/>
    <w:qFormat/>
    <w:rsid w:val="00BA23A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11">
    <w:name w:val="כותרת 1 תו1"/>
    <w:basedOn w:val="DefaultParagraphFont"/>
    <w:link w:val="Heading1"/>
    <w:uiPriority w:val="1"/>
    <w:rsid w:val="00F41DE0"/>
    <w:rPr>
      <w:rFonts w:eastAsiaTheme="majorEastAsia"/>
      <w:bCs/>
      <w:szCs w:val="36"/>
      <w:u w:val="single"/>
    </w:rPr>
  </w:style>
  <w:style w:type="character" w:customStyle="1" w:styleId="22">
    <w:name w:val="כותרת 2 תו2"/>
    <w:basedOn w:val="DefaultParagraphFont"/>
    <w:link w:val="Heading2"/>
    <w:uiPriority w:val="1"/>
    <w:rsid w:val="00F41DE0"/>
    <w:rPr>
      <w:rFonts w:eastAsiaTheme="majorEastAsia"/>
      <w:bCs/>
      <w:szCs w:val="32"/>
    </w:rPr>
  </w:style>
  <w:style w:type="character" w:customStyle="1" w:styleId="32">
    <w:name w:val="כותרת 3 תו2"/>
    <w:basedOn w:val="DefaultParagraphFont"/>
    <w:link w:val="Heading3"/>
    <w:uiPriority w:val="1"/>
    <w:rsid w:val="00F41DE0"/>
    <w:rPr>
      <w:rFonts w:eastAsiaTheme="majorEastAsia"/>
      <w:bCs/>
      <w:szCs w:val="28"/>
      <w:u w:val="single"/>
    </w:rPr>
  </w:style>
  <w:style w:type="character" w:customStyle="1" w:styleId="41">
    <w:name w:val="כותרת 4 תו1"/>
    <w:basedOn w:val="DefaultParagraphFont"/>
    <w:link w:val="Heading4"/>
    <w:uiPriority w:val="1"/>
    <w:rsid w:val="00F41DE0"/>
    <w:rPr>
      <w:rFonts w:eastAsiaTheme="majorEastAsia"/>
      <w:bCs/>
      <w:szCs w:val="26"/>
    </w:rPr>
  </w:style>
  <w:style w:type="character" w:customStyle="1" w:styleId="51">
    <w:name w:val="כותרת 5 תו1"/>
    <w:basedOn w:val="DefaultParagraphFont"/>
    <w:link w:val="Heading5"/>
    <w:uiPriority w:val="1"/>
    <w:rsid w:val="00F41DE0"/>
    <w:rPr>
      <w:rFonts w:eastAsiaTheme="majorEastAsia"/>
      <w:bCs/>
      <w:spacing w:val="40"/>
    </w:rPr>
  </w:style>
  <w:style w:type="character" w:customStyle="1" w:styleId="61">
    <w:name w:val="כותרת 6 תו1"/>
    <w:basedOn w:val="DefaultParagraphFont"/>
    <w:link w:val="Heading6"/>
    <w:uiPriority w:val="1"/>
    <w:rsid w:val="00F41DE0"/>
    <w:rPr>
      <w:rFonts w:eastAsiaTheme="majorEastAsia"/>
      <w:spacing w:val="40"/>
    </w:rPr>
  </w:style>
  <w:style w:type="character" w:customStyle="1" w:styleId="71">
    <w:name w:val="כותרת 7 תו1"/>
    <w:basedOn w:val="DefaultParagraphFont"/>
    <w:link w:val="Heading7"/>
    <w:uiPriority w:val="1"/>
    <w:rsid w:val="00F41DE0"/>
    <w:rPr>
      <w:rFonts w:eastAsiaTheme="majorEastAsia"/>
      <w:bCs/>
      <w:spacing w:val="40"/>
    </w:rPr>
  </w:style>
  <w:style w:type="character" w:customStyle="1" w:styleId="81">
    <w:name w:val="כותרת 8 תו1"/>
    <w:basedOn w:val="DefaultParagraphFont"/>
    <w:link w:val="Heading8"/>
    <w:uiPriority w:val="1"/>
    <w:rsid w:val="00F41DE0"/>
    <w:rPr>
      <w:rFonts w:eastAsiaTheme="majorEastAsia"/>
      <w:spacing w:val="40"/>
    </w:rPr>
  </w:style>
  <w:style w:type="paragraph" w:styleId="Header">
    <w:name w:val="header"/>
    <w:basedOn w:val="Normal"/>
    <w:link w:val="1"/>
    <w:uiPriority w:val="99"/>
    <w:unhideWhenUsed/>
    <w:rsid w:val="000501A4"/>
    <w:pPr>
      <w:tabs>
        <w:tab w:val="center" w:pos="4153"/>
        <w:tab w:val="right" w:pos="8306"/>
      </w:tabs>
      <w:spacing w:line="240" w:lineRule="auto"/>
    </w:pPr>
  </w:style>
  <w:style w:type="character" w:customStyle="1" w:styleId="1">
    <w:name w:val="כותרת עליונה תו1"/>
    <w:basedOn w:val="DefaultParagraphFont"/>
    <w:link w:val="Header"/>
    <w:uiPriority w:val="99"/>
    <w:rsid w:val="000501A4"/>
  </w:style>
  <w:style w:type="paragraph" w:styleId="Footer">
    <w:name w:val="footer"/>
    <w:aliases w:val="כותרת תחתונה תו תו תו,כותרת תחתונה תו תו תו תו תו"/>
    <w:basedOn w:val="Normal"/>
    <w:link w:val="2"/>
    <w:uiPriority w:val="99"/>
    <w:unhideWhenUsed/>
    <w:qFormat/>
    <w:rsid w:val="000501A4"/>
    <w:pPr>
      <w:tabs>
        <w:tab w:val="center" w:pos="4153"/>
        <w:tab w:val="right" w:pos="8306"/>
      </w:tabs>
      <w:spacing w:line="240" w:lineRule="auto"/>
    </w:pPr>
  </w:style>
  <w:style w:type="character" w:customStyle="1" w:styleId="2">
    <w:name w:val="כותרת תחתונה תו2"/>
    <w:aliases w:val="כותרת תחתונה תו תו תו תו,כותרת תחתונה תו תו תו תו תו תו"/>
    <w:basedOn w:val="DefaultParagraphFont"/>
    <w:link w:val="Footer"/>
    <w:uiPriority w:val="99"/>
    <w:rsid w:val="000501A4"/>
  </w:style>
  <w:style w:type="paragraph" w:styleId="Date">
    <w:name w:val="Date"/>
    <w:basedOn w:val="Normal"/>
    <w:next w:val="Normal"/>
    <w:link w:val="23"/>
    <w:uiPriority w:val="99"/>
    <w:unhideWhenUsed/>
    <w:rsid w:val="000501A4"/>
    <w:pPr>
      <w:spacing w:before="120" w:line="240" w:lineRule="auto"/>
    </w:pPr>
  </w:style>
  <w:style w:type="character" w:customStyle="1" w:styleId="23">
    <w:name w:val="תאריך תו2"/>
    <w:basedOn w:val="DefaultParagraphFont"/>
    <w:link w:val="Date"/>
    <w:uiPriority w:val="99"/>
    <w:rsid w:val="000501A4"/>
  </w:style>
  <w:style w:type="paragraph" w:styleId="FootnoteText">
    <w:name w:val="footnote text"/>
    <w:aliases w:val=" Char,FOOTNOTES,Footnote Text - Sharp,Footnote Text - Sharp Char,Footnote Text - Sharp Char Char,Footnote Text Char Char Char Char Char,Footnote reference,Sharp - Footnote Text,Sharp - Footnote Text1 Char,fn,footnote text,single space"/>
    <w:basedOn w:val="Normal"/>
    <w:link w:val="3"/>
    <w:uiPriority w:val="99"/>
    <w:qFormat/>
    <w:rsid w:val="00574579"/>
    <w:pPr>
      <w:spacing w:line="240" w:lineRule="auto"/>
      <w:ind w:left="720" w:hanging="720"/>
    </w:pPr>
    <w:rPr>
      <w:szCs w:val="20"/>
    </w:rPr>
  </w:style>
  <w:style w:type="character" w:customStyle="1" w:styleId="3">
    <w:name w:val="טקסט הערת שוליים תו3"/>
    <w:aliases w:val=" Char תו1,FOOTNOTES תו1,Footnote Text - Sharp Char Char תו1,Footnote Text - Sharp Char תו1,Footnote Text - Sharp תו1,Footnote Text Char Char Char Char Char תו1,Footnote reference תו1,Sharp - Footnote Text תו1,fn תו1,footnote text תו"/>
    <w:basedOn w:val="DefaultParagraphFont"/>
    <w:link w:val="FootnoteText"/>
    <w:uiPriority w:val="99"/>
    <w:rsid w:val="00574579"/>
    <w:rPr>
      <w:szCs w:val="20"/>
    </w:rPr>
  </w:style>
  <w:style w:type="character" w:styleId="FootnoteReference0">
    <w:name w:val="footnote reference"/>
    <w:aliases w:val="Footnote Reference_0,Footnote Reference_0_0,Footnote Reference_0_0_0,Footnote Reference_1,Footnote Reference_1_0,Footnote Reference_2,Footnote Reference_2_0,Footnote Reference_3,Footnote Reference_4,fr,הפניה להערת שוליים חדש,מ"/>
    <w:basedOn w:val="DefaultParagraphFont"/>
    <w:uiPriority w:val="99"/>
    <w:unhideWhenUsed/>
    <w:rsid w:val="00566629"/>
    <w:rPr>
      <w:vertAlign w:val="superscript"/>
    </w:rPr>
  </w:style>
  <w:style w:type="table" w:styleId="TableGrid">
    <w:name w:val="Table Grid"/>
    <w:basedOn w:val="TableNormal"/>
    <w:uiPriority w:val="39"/>
    <w:rsid w:val="00F41D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Accent1">
    <w:name w:val="Grid Table 2 Accent 1"/>
    <w:basedOn w:val="TableNormal"/>
    <w:uiPriority w:val="47"/>
    <w:rsid w:val="006A5837"/>
    <w:pPr>
      <w:spacing w:after="0" w:line="240" w:lineRule="auto"/>
    </w:pPr>
    <w:tblPr>
      <w:tblStyleRowBandSize w:val="1"/>
      <w:tblStyleColBandSize w:val="1"/>
      <w:tblBorders>
        <w:top w:val="single" w:sz="2" w:space="0" w:color="76CDEE" w:themeColor="accent1" w:themeTint="99"/>
        <w:bottom w:val="single" w:sz="2" w:space="0" w:color="76CDEE" w:themeColor="accent1" w:themeTint="99"/>
        <w:insideH w:val="single" w:sz="2" w:space="0" w:color="76CDEE" w:themeColor="accent1" w:themeTint="99"/>
        <w:insideV w:val="single" w:sz="2" w:space="0" w:color="76CDEE" w:themeColor="accent1" w:themeTint="99"/>
      </w:tblBorders>
    </w:tblPr>
    <w:tblStylePr w:type="firstRow">
      <w:rPr>
        <w:b/>
        <w:bCs/>
      </w:rPr>
      <w:tblPr/>
      <w:tcPr>
        <w:tcBorders>
          <w:top w:val="nil"/>
          <w:bottom w:val="single" w:sz="12" w:space="0" w:color="76CDEE" w:themeColor="accent1" w:themeTint="99"/>
          <w:insideH w:val="nil"/>
          <w:insideV w:val="nil"/>
        </w:tcBorders>
        <w:shd w:val="clear" w:color="auto" w:fill="FFFFFF" w:themeFill="background1"/>
      </w:tcPr>
    </w:tblStylePr>
    <w:tblStylePr w:type="lastRow">
      <w:rPr>
        <w:b/>
        <w:bCs/>
      </w:rPr>
      <w:tblPr/>
      <w:tcPr>
        <w:tcBorders>
          <w:top w:val="double" w:sz="2" w:space="0" w:color="76CDE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paragraph" w:styleId="BalloonText">
    <w:name w:val="Balloon Text"/>
    <w:basedOn w:val="Normal"/>
    <w:link w:val="10"/>
    <w:uiPriority w:val="99"/>
    <w:unhideWhenUsed/>
    <w:rsid w:val="00AF6305"/>
    <w:pPr>
      <w:spacing w:line="240" w:lineRule="auto"/>
    </w:pPr>
    <w:rPr>
      <w:rFonts w:ascii="Tahoma" w:hAnsi="Tahoma" w:cs="Tahoma"/>
      <w:sz w:val="18"/>
      <w:szCs w:val="18"/>
    </w:rPr>
  </w:style>
  <w:style w:type="character" w:customStyle="1" w:styleId="10">
    <w:name w:val="טקסט בלונים תו1"/>
    <w:basedOn w:val="DefaultParagraphFont"/>
    <w:link w:val="BalloonText"/>
    <w:uiPriority w:val="99"/>
    <w:rsid w:val="00AF6305"/>
    <w:rPr>
      <w:rFonts w:ascii="Tahoma" w:hAnsi="Tahoma" w:cs="Tahoma"/>
      <w:sz w:val="18"/>
      <w:szCs w:val="18"/>
    </w:rPr>
  </w:style>
  <w:style w:type="character" w:styleId="CommentReference">
    <w:name w:val="annotation reference"/>
    <w:basedOn w:val="DefaultParagraphFont"/>
    <w:uiPriority w:val="99"/>
    <w:unhideWhenUsed/>
    <w:rsid w:val="005F492A"/>
    <w:rPr>
      <w:sz w:val="16"/>
      <w:szCs w:val="16"/>
    </w:rPr>
  </w:style>
  <w:style w:type="paragraph" w:styleId="CommentText">
    <w:name w:val="annotation text"/>
    <w:basedOn w:val="Normal"/>
    <w:link w:val="12"/>
    <w:uiPriority w:val="99"/>
    <w:unhideWhenUsed/>
    <w:rsid w:val="005F492A"/>
    <w:pPr>
      <w:spacing w:line="240" w:lineRule="auto"/>
    </w:pPr>
    <w:rPr>
      <w:szCs w:val="20"/>
    </w:rPr>
  </w:style>
  <w:style w:type="character" w:customStyle="1" w:styleId="12">
    <w:name w:val="טקסט הערה תו1"/>
    <w:basedOn w:val="DefaultParagraphFont"/>
    <w:link w:val="CommentText"/>
    <w:uiPriority w:val="99"/>
    <w:rsid w:val="005F492A"/>
    <w:rPr>
      <w:szCs w:val="20"/>
    </w:rPr>
  </w:style>
  <w:style w:type="paragraph" w:styleId="CommentSubject">
    <w:name w:val="annotation subject"/>
    <w:basedOn w:val="CommentText"/>
    <w:next w:val="CommentText"/>
    <w:link w:val="24"/>
    <w:uiPriority w:val="99"/>
    <w:unhideWhenUsed/>
    <w:rsid w:val="005F492A"/>
    <w:rPr>
      <w:b/>
      <w:bCs/>
    </w:rPr>
  </w:style>
  <w:style w:type="character" w:customStyle="1" w:styleId="24">
    <w:name w:val="נושא הערה תו2"/>
    <w:basedOn w:val="12"/>
    <w:link w:val="CommentSubject"/>
    <w:uiPriority w:val="99"/>
    <w:rsid w:val="005F492A"/>
    <w:rPr>
      <w:b/>
      <w:bCs/>
      <w:szCs w:val="20"/>
    </w:rPr>
  </w:style>
  <w:style w:type="paragraph" w:styleId="ListParagraph">
    <w:name w:val="List Paragraph"/>
    <w:aliases w:val="Bullet List,FooterText,LP1,List Paragraph1,List Paragraph_0,List Paragraph_1,List Paragraph_2,Paragraphe de liste1,lp1,numbered,style 2,פיסקת bullets"/>
    <w:basedOn w:val="Normal"/>
    <w:link w:val="a2"/>
    <w:uiPriority w:val="34"/>
    <w:qFormat/>
    <w:rsid w:val="003F6D65"/>
    <w:pPr>
      <w:ind w:left="720"/>
      <w:contextualSpacing/>
    </w:pPr>
  </w:style>
  <w:style w:type="paragraph" w:customStyle="1" w:styleId="731">
    <w:name w:val="73א כותרת 1"/>
    <w:qFormat/>
    <w:rsid w:val="0078358A"/>
    <w:pPr>
      <w:keepNext/>
      <w:keepLines/>
      <w:pageBreakBefore/>
      <w:widowControl w:val="0"/>
      <w:spacing w:before="360" w:after="240" w:line="440" w:lineRule="exact"/>
      <w:jc w:val="center"/>
      <w:outlineLvl w:val="0"/>
    </w:pPr>
    <w:rPr>
      <w:rFonts w:ascii="Tahoma" w:hAnsi="Tahoma" w:cs="Tahoma"/>
      <w:b/>
      <w:bCs/>
      <w:noProof/>
      <w:color w:val="00305F"/>
      <w:sz w:val="40"/>
      <w:szCs w:val="36"/>
    </w:rPr>
  </w:style>
  <w:style w:type="paragraph" w:customStyle="1" w:styleId="73">
    <w:name w:val="73א פעולות ביקורת"/>
    <w:basedOn w:val="216"/>
    <w:qFormat/>
    <w:rsid w:val="00F07E70"/>
    <w:pPr>
      <w:pBdr>
        <w:top w:val="double" w:sz="12" w:space="5" w:color="auto"/>
      </w:pBdr>
      <w:spacing w:before="360"/>
      <w:outlineLvl w:val="9"/>
    </w:pPr>
    <w:rPr>
      <w:b/>
      <w:noProof/>
      <w:sz w:val="31"/>
      <w:szCs w:val="31"/>
      <w:lang w:val="he-IL"/>
    </w:rPr>
  </w:style>
  <w:style w:type="character" w:styleId="Hyperlink">
    <w:name w:val="Hyperlink"/>
    <w:basedOn w:val="DefaultParagraphFont"/>
    <w:uiPriority w:val="99"/>
    <w:unhideWhenUsed/>
    <w:rsid w:val="005A4042"/>
    <w:rPr>
      <w:color w:val="6B9F25" w:themeColor="hyperlink"/>
      <w:u w:val="single"/>
    </w:rPr>
  </w:style>
  <w:style w:type="paragraph" w:customStyle="1" w:styleId="p00">
    <w:name w:val="p00"/>
    <w:basedOn w:val="Normal"/>
    <w:rsid w:val="00C24503"/>
    <w:pPr>
      <w:bidi w:val="0"/>
      <w:spacing w:before="100" w:beforeAutospacing="1" w:after="100" w:afterAutospacing="1" w:line="240" w:lineRule="auto"/>
      <w:jc w:val="left"/>
    </w:pPr>
    <w:rPr>
      <w:rFonts w:eastAsia="Times New Roman" w:cs="Times New Roman"/>
      <w:sz w:val="24"/>
    </w:rPr>
  </w:style>
  <w:style w:type="paragraph" w:styleId="Revision">
    <w:name w:val="Revision"/>
    <w:hidden/>
    <w:uiPriority w:val="99"/>
    <w:semiHidden/>
    <w:rsid w:val="00AF6A68"/>
    <w:pPr>
      <w:spacing w:after="0" w:line="240" w:lineRule="auto"/>
      <w:jc w:val="left"/>
    </w:pPr>
  </w:style>
  <w:style w:type="character" w:customStyle="1" w:styleId="default">
    <w:name w:val="default"/>
    <w:basedOn w:val="DefaultParagraphFont"/>
    <w:rsid w:val="00C24503"/>
  </w:style>
  <w:style w:type="paragraph" w:customStyle="1" w:styleId="NAME">
    <w:name w:val="NAME"/>
    <w:basedOn w:val="Normal"/>
    <w:rsid w:val="00D5266D"/>
    <w:pPr>
      <w:spacing w:before="2000" w:after="120"/>
      <w:jc w:val="center"/>
      <w:outlineLvl w:val="0"/>
    </w:pPr>
    <w:rPr>
      <w:rFonts w:ascii="Tahoma" w:eastAsia="Times New Roman" w:hAnsi="Tahoma" w:cs="Tahoma"/>
      <w:color w:val="2A2AA6"/>
      <w:sz w:val="42"/>
      <w:szCs w:val="42"/>
      <w:lang w:eastAsia="he-IL"/>
    </w:rPr>
  </w:style>
  <w:style w:type="paragraph" w:customStyle="1" w:styleId="P000">
    <w:name w:val="P00"/>
    <w:link w:val="P001"/>
    <w:rsid w:val="00C24503"/>
    <w:pPr>
      <w:widowControl w:val="0"/>
      <w:tabs>
        <w:tab w:val="left" w:pos="624"/>
        <w:tab w:val="left" w:pos="1021"/>
        <w:tab w:val="left" w:pos="1474"/>
        <w:tab w:val="left" w:pos="1928"/>
        <w:tab w:val="left" w:pos="2381"/>
        <w:tab w:val="left" w:pos="2835"/>
        <w:tab w:val="right" w:leader="dot" w:pos="6259"/>
      </w:tabs>
      <w:suppressAutoHyphens/>
      <w:autoSpaceDE w:val="0"/>
      <w:autoSpaceDN w:val="0"/>
      <w:bidi/>
      <w:spacing w:before="60" w:after="0" w:line="240" w:lineRule="auto"/>
      <w:ind w:left="2835"/>
    </w:pPr>
    <w:rPr>
      <w:rFonts w:eastAsia="Times New Roman" w:cs="Times New Roman"/>
      <w:noProof/>
      <w:szCs w:val="26"/>
      <w:lang w:eastAsia="he-IL"/>
    </w:rPr>
  </w:style>
  <w:style w:type="character" w:customStyle="1" w:styleId="730">
    <w:name w:val="כותרת 7 תו3"/>
    <w:basedOn w:val="DefaultParagraphFont"/>
    <w:uiPriority w:val="1"/>
    <w:rsid w:val="00456AD9"/>
    <w:rPr>
      <w:rFonts w:asciiTheme="majorHAnsi" w:eastAsiaTheme="majorEastAsia" w:hAnsiTheme="majorHAnsi" w:cstheme="majorBidi"/>
      <w:b/>
      <w:bCs/>
      <w:color w:val="134163" w:themeColor="accent2" w:themeShade="80"/>
      <w:sz w:val="22"/>
      <w:szCs w:val="22"/>
    </w:rPr>
  </w:style>
  <w:style w:type="character" w:customStyle="1" w:styleId="P001">
    <w:name w:val="P00 תו"/>
    <w:link w:val="P000"/>
    <w:rsid w:val="00C24503"/>
    <w:rPr>
      <w:rFonts w:eastAsia="Times New Roman" w:cs="Times New Roman"/>
      <w:noProof/>
      <w:szCs w:val="26"/>
      <w:lang w:eastAsia="he-IL"/>
    </w:rPr>
  </w:style>
  <w:style w:type="character" w:customStyle="1" w:styleId="732">
    <w:name w:val="73א קוביה רצה תו"/>
    <w:basedOn w:val="DefaultParagraphFont"/>
    <w:link w:val="7318"/>
    <w:rsid w:val="004B039B"/>
    <w:rPr>
      <w:rFonts w:ascii="Tahoma" w:eastAsia="Times New Roman" w:hAnsi="Tahoma" w:cs="Tahoma"/>
      <w:color w:val="0D0D0D" w:themeColor="text1" w:themeTint="F2"/>
      <w:sz w:val="18"/>
      <w:szCs w:val="18"/>
      <w:shd w:val="solid" w:color="CEEAF5" w:fill="auto"/>
      <w:lang w:eastAsia="he-IL"/>
    </w:rPr>
  </w:style>
  <w:style w:type="table" w:customStyle="1" w:styleId="13">
    <w:name w:val="רשת טבלה1"/>
    <w:basedOn w:val="TableNormal"/>
    <w:next w:val="TableGrid"/>
    <w:uiPriority w:val="39"/>
    <w:rsid w:val="008B17A0"/>
    <w:pPr>
      <w:spacing w:after="0" w:line="240" w:lineRule="auto"/>
      <w:jc w:val="left"/>
    </w:pPr>
    <w:rPr>
      <w:rFonts w:eastAsia="Times New Roman"/>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NEW-BlueTable">
    <w:name w:val="NEW-Blue Table"/>
    <w:basedOn w:val="GridTable4Accent1"/>
    <w:uiPriority w:val="99"/>
    <w:rsid w:val="00DC345A"/>
    <w:pPr>
      <w:spacing w:before="120" w:after="120"/>
      <w:jc w:val="left"/>
    </w:pPr>
    <w:rPr>
      <w:rFonts w:ascii="Almoni ML Regular AAA" w:eastAsia="Almoni ML Regular AAA" w:hAnsi="Almoni ML Regular AAA" w:cs="Almoni ML Regular AAA"/>
      <w:sz w:val="18"/>
      <w:szCs w:val="18"/>
    </w:rPr>
    <w:tblPr>
      <w:tblBorders>
        <w:top w:val="none" w:sz="0" w:space="0" w:color="auto"/>
        <w:left w:val="single" w:sz="4" w:space="0" w:color="auto"/>
        <w:bottom w:val="none" w:sz="0" w:space="0" w:color="auto"/>
        <w:right w:val="single" w:sz="4" w:space="0" w:color="auto"/>
        <w:insideH w:val="none" w:sz="0" w:space="0" w:color="auto"/>
        <w:insideV w:val="single" w:sz="4" w:space="0" w:color="auto"/>
      </w:tblBorders>
      <w:tblCellMar>
        <w:top w:w="57" w:type="dxa"/>
        <w:left w:w="57" w:type="dxa"/>
        <w:bottom w:w="57" w:type="dxa"/>
        <w:right w:w="57" w:type="dxa"/>
      </w:tblCellMar>
    </w:tblPr>
    <w:tcPr>
      <w:shd w:val="clear" w:color="auto" w:fill="auto"/>
      <w:vAlign w:val="center"/>
    </w:tcPr>
    <w:tblStylePr w:type="firstRow">
      <w:pPr>
        <w:jc w:val="left"/>
      </w:pPr>
      <w:rPr>
        <w:rFonts w:ascii="Almoni ML Regular AAA" w:eastAsia="Almoni ML Regular AAA" w:hAnsi="Almoni ML Regular AAA" w:cs="Almoni ML Regular AAA"/>
        <w:b/>
        <w:bCs/>
        <w:iCs w:val="0"/>
        <w:color w:val="auto"/>
        <w:sz w:val="18"/>
        <w:szCs w:val="18"/>
      </w:rPr>
      <w:tblPr/>
      <w:tcPr>
        <w:tcBorders>
          <w:top w:val="nil"/>
          <w:left w:val="single" w:sz="4" w:space="0" w:color="auto"/>
          <w:bottom w:val="nil"/>
          <w:right w:val="single" w:sz="4" w:space="0" w:color="auto"/>
          <w:insideH w:val="nil"/>
          <w:insideV w:val="single" w:sz="4" w:space="0" w:color="auto"/>
          <w:tl2br w:val="nil"/>
          <w:tr2bl w:val="nil"/>
        </w:tcBorders>
        <w:shd w:val="clear" w:color="auto" w:fill="C6DCE4"/>
      </w:tcPr>
    </w:tblStylePr>
    <w:tblStylePr w:type="lastRow">
      <w:rPr>
        <w:rFonts w:ascii="Almoni ML Regular AAA" w:eastAsia="Almoni ML Regular AAA" w:hAnsi="Almoni ML Regular AAA" w:cs="Almoni ML Regular AAA"/>
        <w:b w:val="0"/>
        <w:bCs/>
        <w:i w:val="0"/>
        <w:iCs w:val="0"/>
        <w:color w:val="auto"/>
        <w:sz w:val="18"/>
        <w:szCs w:val="18"/>
      </w:rPr>
      <w:tblPr/>
      <w:tcPr>
        <w:tcBorders>
          <w:top w:val="double" w:sz="4" w:space="0" w:color="1CADE4" w:themeColor="accent1"/>
        </w:tcBorders>
        <w:shd w:val="clear" w:color="auto" w:fill="C6DCE4"/>
      </w:tcPr>
    </w:tblStylePr>
    <w:tblStylePr w:type="firstCol">
      <w:rPr>
        <w:rFonts w:ascii="Almoni ML Regular AAA" w:eastAsia="Almoni ML Regular AAA" w:hAnsi="Almoni ML Regular AAA" w:cs="Almoni ML Regular AAA"/>
        <w:b/>
        <w:bCs w:val="0"/>
        <w:sz w:val="18"/>
        <w:szCs w:val="18"/>
      </w:rPr>
    </w:tblStylePr>
    <w:tblStylePr w:type="lastCol">
      <w:rPr>
        <w:rFonts w:ascii="Almoni ML Regular AAA" w:eastAsia="Almoni ML Regular AAA" w:hAnsi="Almoni ML Regular AAA" w:cs="Almoni ML Regular AAA"/>
        <w:b w:val="0"/>
        <w:bCs w:val="0"/>
        <w:i w:val="0"/>
        <w:iCs w:val="0"/>
        <w:sz w:val="18"/>
        <w:szCs w:val="18"/>
      </w:rPr>
    </w:tblStylePr>
    <w:tblStylePr w:type="band1Vert">
      <w:rPr>
        <w:rFonts w:cs="Almoni ML Regular AAA"/>
        <w:bCs w:val="0"/>
        <w:iCs w:val="0"/>
        <w:sz w:val="18"/>
        <w:szCs w:val="18"/>
      </w:rPr>
      <w:tblPr/>
      <w:tcPr>
        <w:shd w:val="clear" w:color="auto" w:fill="D1EEF9" w:themeFill="accent1" w:themeFillTint="33"/>
      </w:tcPr>
    </w:tblStylePr>
    <w:tblStylePr w:type="band2Vert">
      <w:rPr>
        <w:rFonts w:cs="Almoni ML Regular AAA"/>
        <w:bCs w:val="0"/>
        <w:sz w:val="18"/>
        <w:szCs w:val="18"/>
      </w:rPr>
    </w:tblStylePr>
    <w:tblStylePr w:type="band1Horz">
      <w:rPr>
        <w:rFonts w:cs="Almoni ML Regular AAA"/>
        <w:bCs w:val="0"/>
        <w:sz w:val="18"/>
        <w:szCs w:val="18"/>
      </w:rPr>
      <w:tblPr/>
      <w:tcPr>
        <w:shd w:val="clear" w:color="auto" w:fill="DBE8EE"/>
      </w:tcPr>
    </w:tblStylePr>
    <w:tblStylePr w:type="band2Horz">
      <w:rPr>
        <w:rFonts w:cs="Almoni ML Regular AAA"/>
        <w:bCs w:val="0"/>
        <w:sz w:val="18"/>
        <w:szCs w:val="18"/>
      </w:rPr>
      <w:tblPr/>
      <w:tcPr>
        <w:shd w:val="clear" w:color="auto" w:fill="ECF4F5"/>
      </w:tcPr>
    </w:tblStylePr>
    <w:tblStylePr w:type="neCell">
      <w:rPr>
        <w:rFonts w:cs="Almoni ML Regular AAA"/>
        <w:sz w:val="18"/>
        <w:szCs w:val="18"/>
      </w:rPr>
    </w:tblStylePr>
    <w:tblStylePr w:type="nwCell">
      <w:rPr>
        <w:rFonts w:cs="Almoni ML Regular AAA"/>
        <w:sz w:val="18"/>
        <w:szCs w:val="18"/>
      </w:rPr>
    </w:tblStylePr>
    <w:tblStylePr w:type="seCell">
      <w:rPr>
        <w:rFonts w:cs="Almoni ML Regular AAA"/>
        <w:sz w:val="18"/>
        <w:szCs w:val="18"/>
      </w:rPr>
    </w:tblStylePr>
    <w:tblStylePr w:type="swCell">
      <w:rPr>
        <w:rFonts w:cs="Almoni ML Regular AAA"/>
        <w:sz w:val="18"/>
        <w:szCs w:val="18"/>
      </w:rPr>
    </w:tblStylePr>
  </w:style>
  <w:style w:type="table" w:customStyle="1" w:styleId="1-41">
    <w:name w:val="טבלת רשת 1 בהירה - הדגשה 41"/>
    <w:basedOn w:val="TableNormal"/>
    <w:uiPriority w:val="46"/>
    <w:rsid w:val="00444597"/>
    <w:pPr>
      <w:spacing w:after="0" w:line="240" w:lineRule="auto"/>
    </w:pPr>
    <w:tblPr>
      <w:tblStyleRowBandSize w:val="1"/>
      <w:tblStyleColBandSize w:val="1"/>
      <w:tblBorders>
        <w:top w:val="single" w:sz="4" w:space="0" w:color="B2E4D5" w:themeColor="accent4" w:themeTint="66"/>
        <w:left w:val="single" w:sz="4" w:space="0" w:color="B2E4D5" w:themeColor="accent4" w:themeTint="66"/>
        <w:bottom w:val="single" w:sz="4" w:space="0" w:color="B2E4D5" w:themeColor="accent4" w:themeTint="66"/>
        <w:right w:val="single" w:sz="4" w:space="0" w:color="B2E4D5" w:themeColor="accent4" w:themeTint="66"/>
        <w:insideH w:val="single" w:sz="4" w:space="0" w:color="B2E4D5" w:themeColor="accent4" w:themeTint="66"/>
        <w:insideV w:val="single" w:sz="4" w:space="0" w:color="B2E4D5" w:themeColor="accent4" w:themeTint="66"/>
      </w:tblBorders>
    </w:tblPr>
    <w:tblStylePr w:type="firstRow">
      <w:rPr>
        <w:b/>
        <w:bCs/>
      </w:rPr>
      <w:tblPr/>
      <w:tcPr>
        <w:tcBorders>
          <w:bottom w:val="single" w:sz="12" w:space="0" w:color="8CD6C0" w:themeColor="accent4" w:themeTint="99"/>
        </w:tcBorders>
      </w:tcPr>
    </w:tblStylePr>
    <w:tblStylePr w:type="lastRow">
      <w:rPr>
        <w:b/>
        <w:bCs/>
      </w:rPr>
      <w:tblPr/>
      <w:tcPr>
        <w:tcBorders>
          <w:top w:val="double" w:sz="2" w:space="0" w:color="8CD6C0" w:themeColor="accent4" w:themeTint="99"/>
        </w:tcBorders>
      </w:tcPr>
    </w:tblStylePr>
    <w:tblStylePr w:type="firstCol">
      <w:rPr>
        <w:b/>
        <w:bCs/>
      </w:rPr>
    </w:tblStylePr>
    <w:tblStylePr w:type="lastCol">
      <w:rPr>
        <w:b/>
        <w:bCs/>
      </w:rPr>
    </w:tblStylePr>
  </w:style>
  <w:style w:type="character" w:styleId="Strong">
    <w:name w:val="Strong"/>
    <w:basedOn w:val="DefaultParagraphFont"/>
    <w:uiPriority w:val="22"/>
    <w:qFormat/>
    <w:rsid w:val="00444597"/>
    <w:rPr>
      <w:b/>
      <w:bCs/>
    </w:rPr>
  </w:style>
  <w:style w:type="paragraph" w:customStyle="1" w:styleId="rtejustify">
    <w:name w:val="rtejustify"/>
    <w:basedOn w:val="Normal"/>
    <w:rsid w:val="00444597"/>
    <w:pPr>
      <w:bidi w:val="0"/>
      <w:spacing w:before="100" w:beforeAutospacing="1" w:after="100" w:afterAutospacing="1" w:line="240" w:lineRule="auto"/>
      <w:jc w:val="left"/>
    </w:pPr>
    <w:rPr>
      <w:rFonts w:eastAsia="Times New Roman" w:cs="Times New Roman"/>
      <w:sz w:val="24"/>
    </w:rPr>
  </w:style>
  <w:style w:type="table" w:styleId="GridTable4Accent1">
    <w:name w:val="Grid Table 4 Accent 1"/>
    <w:basedOn w:val="TableNormal"/>
    <w:uiPriority w:val="49"/>
    <w:rsid w:val="00EE343A"/>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insideV w:val="nil"/>
        </w:tcBorders>
        <w:shd w:val="clear" w:color="auto" w:fill="1CADE4" w:themeFill="accent1"/>
      </w:tcPr>
    </w:tblStylePr>
    <w:tblStylePr w:type="lastRow">
      <w:rPr>
        <w:b/>
        <w:bCs/>
      </w:rPr>
      <w:tblPr/>
      <w:tcPr>
        <w:tcBorders>
          <w:top w:val="double" w:sz="4" w:space="0" w:color="1CADE4" w:themeColor="accent1"/>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paragraph" w:styleId="Caption">
    <w:name w:val="caption"/>
    <w:basedOn w:val="Normal"/>
    <w:next w:val="Normal"/>
    <w:uiPriority w:val="35"/>
    <w:unhideWhenUsed/>
    <w:qFormat/>
    <w:rsid w:val="00444597"/>
    <w:pPr>
      <w:spacing w:after="200" w:line="240" w:lineRule="auto"/>
    </w:pPr>
    <w:rPr>
      <w:i/>
      <w:iCs/>
      <w:color w:val="335B74" w:themeColor="text2"/>
      <w:sz w:val="18"/>
      <w:szCs w:val="18"/>
    </w:rPr>
  </w:style>
  <w:style w:type="character" w:customStyle="1" w:styleId="Bodytext2">
    <w:name w:val="Body text (2)_"/>
    <w:basedOn w:val="DefaultParagraphFont"/>
    <w:link w:val="Bodytext20"/>
    <w:rsid w:val="00444597"/>
    <w:rPr>
      <w:rFonts w:eastAsia="Times New Roman" w:cs="Times New Roman"/>
      <w:sz w:val="22"/>
      <w:szCs w:val="22"/>
      <w:shd w:val="clear" w:color="auto" w:fill="FFFFFF"/>
    </w:rPr>
  </w:style>
  <w:style w:type="paragraph" w:customStyle="1" w:styleId="Bodytext20">
    <w:name w:val="Body text (2)"/>
    <w:basedOn w:val="Normal"/>
    <w:link w:val="Bodytext2"/>
    <w:rsid w:val="00444597"/>
    <w:pPr>
      <w:widowControl w:val="0"/>
      <w:shd w:val="clear" w:color="auto" w:fill="FFFFFF"/>
      <w:spacing w:line="259" w:lineRule="exact"/>
    </w:pPr>
    <w:rPr>
      <w:rFonts w:eastAsia="Times New Roman" w:cs="Times New Roman"/>
      <w:sz w:val="22"/>
      <w:szCs w:val="22"/>
    </w:rPr>
  </w:style>
  <w:style w:type="character" w:customStyle="1" w:styleId="Bodytext7">
    <w:name w:val="Body text (7)_"/>
    <w:basedOn w:val="DefaultParagraphFont"/>
    <w:link w:val="Bodytext70"/>
    <w:rsid w:val="00444597"/>
    <w:rPr>
      <w:rFonts w:eastAsia="Times New Roman" w:cs="Times New Roman"/>
      <w:sz w:val="22"/>
      <w:szCs w:val="22"/>
      <w:shd w:val="clear" w:color="auto" w:fill="FFFFFF"/>
    </w:rPr>
  </w:style>
  <w:style w:type="paragraph" w:customStyle="1" w:styleId="Bodytext70">
    <w:name w:val="Body text (7)"/>
    <w:basedOn w:val="Normal"/>
    <w:link w:val="Bodytext7"/>
    <w:rsid w:val="00444597"/>
    <w:pPr>
      <w:widowControl w:val="0"/>
      <w:shd w:val="clear" w:color="auto" w:fill="FFFFFF"/>
      <w:spacing w:line="384" w:lineRule="exact"/>
      <w:ind w:hanging="360"/>
    </w:pPr>
    <w:rPr>
      <w:rFonts w:eastAsia="Times New Roman" w:cs="Times New Roman"/>
      <w:sz w:val="22"/>
      <w:szCs w:val="22"/>
    </w:rPr>
  </w:style>
  <w:style w:type="character" w:customStyle="1" w:styleId="Bodytext2Bold">
    <w:name w:val="Body text (2) + Bold"/>
    <w:basedOn w:val="Bodytext2"/>
    <w:rsid w:val="00444597"/>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he-IL" w:eastAsia="he-IL" w:bidi="he-IL"/>
    </w:rPr>
  </w:style>
  <w:style w:type="character" w:customStyle="1" w:styleId="Bodytext3">
    <w:name w:val="Body text (3)_"/>
    <w:basedOn w:val="DefaultParagraphFont"/>
    <w:rsid w:val="00444597"/>
    <w:rPr>
      <w:rFonts w:ascii="Lucida Sans Unicode" w:eastAsia="Lucida Sans Unicode" w:hAnsi="Lucida Sans Unicode" w:cs="Lucida Sans Unicode"/>
      <w:b w:val="0"/>
      <w:bCs w:val="0"/>
      <w:i w:val="0"/>
      <w:iCs w:val="0"/>
      <w:smallCaps w:val="0"/>
      <w:strike w:val="0"/>
      <w:sz w:val="16"/>
      <w:szCs w:val="16"/>
      <w:u w:val="none"/>
    </w:rPr>
  </w:style>
  <w:style w:type="character" w:customStyle="1" w:styleId="Bodytext30">
    <w:name w:val="Body text (3)"/>
    <w:basedOn w:val="Bodytext3"/>
    <w:rsid w:val="00444597"/>
    <w:rPr>
      <w:rFonts w:ascii="Lucida Sans Unicode" w:eastAsia="Lucida Sans Unicode" w:hAnsi="Lucida Sans Unicode" w:cs="Lucida Sans Unicode"/>
      <w:b w:val="0"/>
      <w:bCs w:val="0"/>
      <w:i w:val="0"/>
      <w:iCs w:val="0"/>
      <w:smallCaps w:val="0"/>
      <w:strike w:val="0"/>
      <w:color w:val="000000"/>
      <w:spacing w:val="0"/>
      <w:w w:val="100"/>
      <w:position w:val="0"/>
      <w:sz w:val="16"/>
      <w:szCs w:val="16"/>
      <w:u w:val="none"/>
      <w:lang w:val="he-IL" w:eastAsia="he-IL" w:bidi="he-IL"/>
    </w:rPr>
  </w:style>
  <w:style w:type="character" w:customStyle="1" w:styleId="Bodytext2Spacing-1pt">
    <w:name w:val="Body text (2) + Spacing -1 pt"/>
    <w:basedOn w:val="Bodytext2"/>
    <w:rsid w:val="00444597"/>
    <w:rPr>
      <w:rFonts w:ascii="Lucida Sans Unicode" w:eastAsia="Lucida Sans Unicode" w:hAnsi="Lucida Sans Unicode" w:cs="Lucida Sans Unicode"/>
      <w:b w:val="0"/>
      <w:bCs w:val="0"/>
      <w:i w:val="0"/>
      <w:iCs w:val="0"/>
      <w:smallCaps w:val="0"/>
      <w:strike w:val="0"/>
      <w:color w:val="000000"/>
      <w:spacing w:val="-30"/>
      <w:w w:val="100"/>
      <w:position w:val="0"/>
      <w:sz w:val="20"/>
      <w:szCs w:val="20"/>
      <w:u w:val="none"/>
      <w:shd w:val="clear" w:color="auto" w:fill="FFFFFF"/>
      <w:lang w:val="en-US" w:eastAsia="en-US" w:bidi="en-US"/>
    </w:rPr>
  </w:style>
  <w:style w:type="character" w:customStyle="1" w:styleId="Bodytext6">
    <w:name w:val="Body text (6)_"/>
    <w:basedOn w:val="DefaultParagraphFont"/>
    <w:link w:val="Bodytext60"/>
    <w:rsid w:val="00444597"/>
    <w:rPr>
      <w:rFonts w:ascii="Lucida Sans Unicode" w:eastAsia="Lucida Sans Unicode" w:hAnsi="Lucida Sans Unicode" w:cs="Lucida Sans Unicode"/>
      <w:b/>
      <w:bCs/>
      <w:szCs w:val="20"/>
      <w:shd w:val="clear" w:color="auto" w:fill="FFFFFF"/>
    </w:rPr>
  </w:style>
  <w:style w:type="paragraph" w:customStyle="1" w:styleId="Bodytext60">
    <w:name w:val="Body text (6)"/>
    <w:basedOn w:val="Normal"/>
    <w:link w:val="Bodytext6"/>
    <w:rsid w:val="00444597"/>
    <w:pPr>
      <w:widowControl w:val="0"/>
      <w:shd w:val="clear" w:color="auto" w:fill="FFFFFF"/>
      <w:spacing w:line="370" w:lineRule="exact"/>
    </w:pPr>
    <w:rPr>
      <w:rFonts w:ascii="Lucida Sans Unicode" w:eastAsia="Lucida Sans Unicode" w:hAnsi="Lucida Sans Unicode" w:cs="Lucida Sans Unicode"/>
      <w:b/>
      <w:bCs/>
      <w:szCs w:val="20"/>
    </w:rPr>
  </w:style>
  <w:style w:type="character" w:customStyle="1" w:styleId="Bodytext6NotBold">
    <w:name w:val="Body text (6) + Not Bold"/>
    <w:aliases w:val="Spacing -1 pt"/>
    <w:basedOn w:val="Bodytext6"/>
    <w:rsid w:val="00444597"/>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he-IL" w:eastAsia="he-IL" w:bidi="he-IL"/>
    </w:rPr>
  </w:style>
  <w:style w:type="paragraph" w:styleId="BodyTextIndent">
    <w:name w:val="Body Text Indent"/>
    <w:basedOn w:val="Normal"/>
    <w:link w:val="a"/>
    <w:uiPriority w:val="99"/>
    <w:unhideWhenUsed/>
    <w:rsid w:val="0006189A"/>
    <w:pPr>
      <w:spacing w:after="120"/>
      <w:ind w:left="340"/>
    </w:pPr>
    <w:rPr>
      <w:rFonts w:ascii="Tahoma" w:hAnsi="Tahoma" w:cs="Tahoma"/>
      <w:sz w:val="16"/>
      <w:szCs w:val="20"/>
    </w:rPr>
  </w:style>
  <w:style w:type="character" w:customStyle="1" w:styleId="a">
    <w:name w:val="כניסה בגוף טקסט תו"/>
    <w:basedOn w:val="DefaultParagraphFont"/>
    <w:link w:val="BodyTextIndent"/>
    <w:uiPriority w:val="99"/>
    <w:rsid w:val="0006189A"/>
    <w:rPr>
      <w:rFonts w:ascii="Tahoma" w:hAnsi="Tahoma" w:cs="Tahoma"/>
      <w:sz w:val="16"/>
      <w:szCs w:val="20"/>
    </w:rPr>
  </w:style>
  <w:style w:type="paragraph" w:customStyle="1" w:styleId="121">
    <w:name w:val="כותרת 1_21"/>
    <w:basedOn w:val="Normal"/>
    <w:link w:val="121Char"/>
    <w:qFormat/>
    <w:rsid w:val="00454096"/>
    <w:pPr>
      <w:spacing w:before="1440"/>
      <w:jc w:val="center"/>
      <w:outlineLvl w:val="0"/>
    </w:pPr>
    <w:rPr>
      <w:rFonts w:ascii="Tahoma" w:hAnsi="Tahoma" w:eastAsiaTheme="minorEastAsia" w:cs="Tahoma"/>
      <w:color w:val="2A2AA6"/>
      <w:sz w:val="42"/>
      <w:szCs w:val="42"/>
    </w:rPr>
  </w:style>
  <w:style w:type="character" w:customStyle="1" w:styleId="alink">
    <w:name w:val="a_link"/>
    <w:basedOn w:val="DefaultParagraphFont"/>
    <w:rsid w:val="00417266"/>
    <w:rPr>
      <w:color w:val="0000FF"/>
    </w:rPr>
  </w:style>
  <w:style w:type="paragraph" w:customStyle="1" w:styleId="a0">
    <w:name w:val="תואר"/>
    <w:basedOn w:val="Normal"/>
    <w:link w:val="a1"/>
    <w:qFormat/>
    <w:rsid w:val="00417266"/>
    <w:pPr>
      <w:spacing w:line="240" w:lineRule="auto"/>
      <w:jc w:val="center"/>
    </w:pPr>
    <w:rPr>
      <w:rFonts w:eastAsia="Times New Roman" w:cs="Times New Roman"/>
      <w:b/>
      <w:bCs/>
      <w:sz w:val="32"/>
      <w:szCs w:val="32"/>
      <w:lang w:eastAsia="he-IL"/>
    </w:rPr>
  </w:style>
  <w:style w:type="character" w:customStyle="1" w:styleId="a1">
    <w:name w:val="תואר תו"/>
    <w:link w:val="a0"/>
    <w:locked/>
    <w:rsid w:val="00417266"/>
    <w:rPr>
      <w:rFonts w:eastAsia="Times New Roman" w:cs="Times New Roman"/>
      <w:b/>
      <w:bCs/>
      <w:sz w:val="32"/>
      <w:szCs w:val="32"/>
      <w:lang w:eastAsia="he-IL"/>
    </w:rPr>
  </w:style>
  <w:style w:type="character" w:styleId="Emphasis">
    <w:name w:val="Emphasis"/>
    <w:basedOn w:val="DefaultParagraphFont"/>
    <w:uiPriority w:val="20"/>
    <w:qFormat/>
    <w:rsid w:val="00417266"/>
    <w:rPr>
      <w:i/>
      <w:iCs/>
    </w:rPr>
  </w:style>
  <w:style w:type="character" w:customStyle="1" w:styleId="25">
    <w:name w:val="טקסט הערת שוליים תו2"/>
    <w:uiPriority w:val="99"/>
    <w:rsid w:val="00417266"/>
    <w:rPr>
      <w:rFonts w:cs="David"/>
    </w:rPr>
  </w:style>
  <w:style w:type="paragraph" w:styleId="TOCHeading">
    <w:name w:val="TOC Heading"/>
    <w:basedOn w:val="Heading1"/>
    <w:next w:val="Normal"/>
    <w:uiPriority w:val="39"/>
    <w:unhideWhenUsed/>
    <w:qFormat/>
    <w:rsid w:val="00417266"/>
    <w:pPr>
      <w:spacing w:before="240" w:line="259" w:lineRule="auto"/>
      <w:jc w:val="left"/>
      <w:outlineLvl w:val="9"/>
    </w:pPr>
    <w:rPr>
      <w:rFonts w:asciiTheme="majorHAnsi" w:hAnsiTheme="majorHAnsi" w:cstheme="majorBidi"/>
      <w:bCs w:val="0"/>
      <w:color w:val="1481AB" w:themeColor="accent1" w:themeShade="BF"/>
      <w:sz w:val="32"/>
      <w:szCs w:val="32"/>
      <w:u w:val="none"/>
      <w:rtl/>
      <w:cs/>
    </w:rPr>
  </w:style>
  <w:style w:type="character" w:customStyle="1" w:styleId="highlightspan">
    <w:name w:val="highlightspan"/>
    <w:basedOn w:val="DefaultParagraphFont"/>
    <w:rsid w:val="00417266"/>
  </w:style>
  <w:style w:type="character" w:customStyle="1" w:styleId="14">
    <w:name w:val="נושא הערה תו1"/>
    <w:basedOn w:val="12"/>
    <w:uiPriority w:val="99"/>
    <w:semiHidden/>
    <w:rsid w:val="00417266"/>
    <w:rPr>
      <w:b/>
      <w:bCs/>
      <w:szCs w:val="20"/>
    </w:rPr>
  </w:style>
  <w:style w:type="character" w:styleId="FollowedHyperlink">
    <w:name w:val="FollowedHyperlink"/>
    <w:basedOn w:val="DefaultParagraphFont"/>
    <w:uiPriority w:val="99"/>
    <w:semiHidden/>
    <w:unhideWhenUsed/>
    <w:rsid w:val="00417266"/>
    <w:rPr>
      <w:color w:val="B26B02" w:themeColor="followedHyperlink"/>
      <w:u w:val="single"/>
    </w:rPr>
  </w:style>
  <w:style w:type="paragraph" w:styleId="TableofFigures">
    <w:name w:val="table of figures"/>
    <w:basedOn w:val="Normal"/>
    <w:next w:val="Normal"/>
    <w:uiPriority w:val="99"/>
    <w:semiHidden/>
    <w:unhideWhenUsed/>
    <w:rsid w:val="00417266"/>
  </w:style>
  <w:style w:type="character" w:styleId="PlaceholderText">
    <w:name w:val="Placeholder Text"/>
    <w:basedOn w:val="DefaultParagraphFont"/>
    <w:uiPriority w:val="99"/>
    <w:semiHidden/>
    <w:rsid w:val="00417266"/>
    <w:rPr>
      <w:color w:val="808080"/>
    </w:rPr>
  </w:style>
  <w:style w:type="paragraph" w:customStyle="1" w:styleId="733155">
    <w:name w:val="73א כותרת 3_15.5"/>
    <w:basedOn w:val="Heading3"/>
    <w:link w:val="7331550"/>
    <w:qFormat/>
    <w:rsid w:val="0078358A"/>
    <w:pPr>
      <w:spacing w:before="360" w:after="180" w:line="240" w:lineRule="atLeast"/>
      <w:jc w:val="left"/>
    </w:pPr>
    <w:rPr>
      <w:rFonts w:ascii="Tahoma" w:eastAsia="Times New Roman" w:hAnsi="Tahoma" w:cs="Tahoma"/>
      <w:b/>
      <w:color w:val="00305F"/>
      <w:sz w:val="32"/>
      <w:szCs w:val="31"/>
      <w:u w:val="none"/>
    </w:rPr>
  </w:style>
  <w:style w:type="paragraph" w:customStyle="1" w:styleId="100">
    <w:name w:val="טקסט רץ 10"/>
    <w:basedOn w:val="Normal"/>
    <w:link w:val="10Char"/>
    <w:qFormat/>
    <w:rsid w:val="00705DA7"/>
    <w:pPr>
      <w:spacing w:after="120"/>
    </w:pPr>
    <w:rPr>
      <w:rFonts w:ascii="Tahoma" w:hAnsi="Tahoma" w:cs="Tahoma"/>
      <w:szCs w:val="20"/>
    </w:rPr>
  </w:style>
  <w:style w:type="character" w:customStyle="1" w:styleId="7331550">
    <w:name w:val="73א כותרת 3_15.5 תו"/>
    <w:basedOn w:val="32"/>
    <w:link w:val="733155"/>
    <w:rsid w:val="0078358A"/>
    <w:rPr>
      <w:rFonts w:ascii="Tahoma" w:eastAsia="Times New Roman" w:hAnsi="Tahoma" w:cs="Tahoma"/>
      <w:b/>
      <w:bCs/>
      <w:color w:val="00305F"/>
      <w:sz w:val="32"/>
      <w:szCs w:val="31"/>
      <w:u w:val="single"/>
    </w:rPr>
  </w:style>
  <w:style w:type="paragraph" w:customStyle="1" w:styleId="733">
    <w:name w:val="73א הערות שוליים"/>
    <w:basedOn w:val="FootnoteText"/>
    <w:link w:val="7330"/>
    <w:qFormat/>
    <w:rsid w:val="0078358A"/>
    <w:pPr>
      <w:spacing w:after="60" w:line="220" w:lineRule="exact"/>
      <w:ind w:left="397" w:hanging="397"/>
    </w:pPr>
    <w:rPr>
      <w:rFonts w:ascii="Tahoma" w:hAnsi="Tahoma" w:cs="Tahoma"/>
      <w:color w:val="0D0D0D" w:themeColor="text1" w:themeTint="F2"/>
      <w:sz w:val="14"/>
      <w:szCs w:val="14"/>
    </w:rPr>
  </w:style>
  <w:style w:type="paragraph" w:customStyle="1" w:styleId="734">
    <w:name w:val="73א לוחות/תרשימים/תמונות/אינפוגרפיקה/מפות"/>
    <w:basedOn w:val="Normal"/>
    <w:qFormat/>
    <w:rsid w:val="004B039B"/>
    <w:pPr>
      <w:keepNext/>
      <w:keepLines/>
      <w:widowControl w:val="0"/>
      <w:spacing w:before="240" w:after="240" w:line="260" w:lineRule="exact"/>
      <w:jc w:val="center"/>
      <w:outlineLvl w:val="6"/>
    </w:pPr>
    <w:rPr>
      <w:rFonts w:ascii="Tahoma" w:hAnsi="Tahoma" w:eastAsiaTheme="minorEastAsia" w:cs="Tahoma"/>
      <w:b/>
      <w:bCs/>
      <w:color w:val="0D0D0D" w:themeColor="text1" w:themeTint="F2"/>
      <w:szCs w:val="20"/>
    </w:rPr>
  </w:style>
  <w:style w:type="paragraph" w:customStyle="1" w:styleId="218">
    <w:name w:val="כותרת 2_18"/>
    <w:basedOn w:val="Heading2"/>
    <w:link w:val="218Char"/>
    <w:qFormat/>
    <w:rsid w:val="00635B2E"/>
    <w:pPr>
      <w:keepLines w:val="0"/>
      <w:spacing w:before="600" w:after="120"/>
      <w:jc w:val="left"/>
    </w:pPr>
    <w:rPr>
      <w:rFonts w:ascii="Arial Bold" w:eastAsia="Times New Roman" w:hAnsi="Arial Bold" w:cs="Tahoma"/>
      <w:bCs w:val="0"/>
      <w:color w:val="365F91"/>
      <w:sz w:val="36"/>
      <w:szCs w:val="36"/>
    </w:rPr>
  </w:style>
  <w:style w:type="character" w:customStyle="1" w:styleId="218Char">
    <w:name w:val="כותרת 2_18 Char"/>
    <w:link w:val="218"/>
    <w:rsid w:val="00635B2E"/>
    <w:rPr>
      <w:rFonts w:ascii="Arial Bold" w:eastAsia="Times New Roman" w:hAnsi="Arial Bold" w:cs="Tahoma"/>
      <w:color w:val="365F91"/>
      <w:sz w:val="36"/>
      <w:szCs w:val="36"/>
    </w:rPr>
  </w:style>
  <w:style w:type="character" w:customStyle="1" w:styleId="a2">
    <w:name w:val="פיסקת רשימה תו"/>
    <w:aliases w:val="Bullet List תו,FooterText תו,LP1 תו,List Paragraph1 תו,List Paragraph_0 תו,List Paragraph_1 תו,List Paragraph_2 תו,Paragraphe de liste1 תו,lp1 תו,numbered תו,style 2 תו,פיסקת bullets תו"/>
    <w:link w:val="ListParagraph"/>
    <w:uiPriority w:val="34"/>
    <w:rsid w:val="00DD7B55"/>
  </w:style>
  <w:style w:type="paragraph" w:customStyle="1" w:styleId="735">
    <w:name w:val="73א הזחה ראשונה מספר"/>
    <w:basedOn w:val="ListParagraph"/>
    <w:link w:val="7337"/>
    <w:qFormat/>
    <w:rsid w:val="007C76F8"/>
    <w:pPr>
      <w:spacing w:after="180" w:line="260" w:lineRule="exact"/>
      <w:ind w:left="0"/>
      <w:contextualSpacing w:val="0"/>
    </w:pPr>
    <w:rPr>
      <w:rFonts w:ascii="Tahoma" w:hAnsi="Tahoma" w:cs="Tahoma"/>
      <w:color w:val="0D0D0D" w:themeColor="text1" w:themeTint="F2"/>
      <w:sz w:val="18"/>
      <w:szCs w:val="18"/>
    </w:rPr>
  </w:style>
  <w:style w:type="paragraph" w:customStyle="1" w:styleId="736">
    <w:name w:val="73א הזחה שנייה ריק"/>
    <w:basedOn w:val="BodyTextIndent"/>
    <w:link w:val="7312"/>
    <w:qFormat/>
    <w:rsid w:val="0074714A"/>
    <w:pPr>
      <w:spacing w:after="180" w:line="260" w:lineRule="exact"/>
      <w:ind w:left="794"/>
    </w:pPr>
    <w:rPr>
      <w:color w:val="0D0D0D" w:themeColor="text1" w:themeTint="F2"/>
      <w:sz w:val="18"/>
      <w:szCs w:val="18"/>
    </w:rPr>
  </w:style>
  <w:style w:type="paragraph" w:customStyle="1" w:styleId="737">
    <w:name w:val="73א הזחה שנייה אותיות"/>
    <w:basedOn w:val="ListParagraph"/>
    <w:qFormat/>
    <w:rsid w:val="00591F15"/>
    <w:pPr>
      <w:spacing w:after="180" w:line="260" w:lineRule="exact"/>
      <w:ind w:left="0"/>
    </w:pPr>
    <w:rPr>
      <w:rFonts w:ascii="Tahoma" w:hAnsi="Tahoma" w:cs="Tahoma"/>
      <w:color w:val="0D0D0D" w:themeColor="text1" w:themeTint="F2"/>
      <w:sz w:val="18"/>
      <w:szCs w:val="18"/>
    </w:rPr>
  </w:style>
  <w:style w:type="paragraph" w:customStyle="1" w:styleId="738">
    <w:name w:val="73א מקרא+הערות לתרשים/לוח/תמונה"/>
    <w:basedOn w:val="733"/>
    <w:link w:val="7331"/>
    <w:qFormat/>
    <w:rsid w:val="004B039B"/>
    <w:pPr>
      <w:widowControl w:val="0"/>
      <w:spacing w:before="120" w:after="240" w:line="260" w:lineRule="exact"/>
      <w:ind w:left="0" w:firstLine="0"/>
    </w:pPr>
    <w:rPr>
      <w:sz w:val="16"/>
      <w:szCs w:val="16"/>
    </w:rPr>
  </w:style>
  <w:style w:type="paragraph" w:customStyle="1" w:styleId="739">
    <w:name w:val="73א קוביה כחולה הזחה שנייה"/>
    <w:basedOn w:val="Normal"/>
    <w:qFormat/>
    <w:rsid w:val="00FF6AD9"/>
    <w:pPr>
      <w:keepLines/>
      <w:pBdr>
        <w:top w:val="single" w:sz="18" w:space="4" w:color="CEEAF6"/>
        <w:left w:val="single" w:sz="18" w:space="11" w:color="CEEAF6"/>
        <w:bottom w:val="single" w:sz="18" w:space="6" w:color="CEEAF6"/>
        <w:right w:val="single" w:sz="18" w:space="11" w:color="CEEAF6"/>
      </w:pBdr>
      <w:shd w:val="solid" w:color="CEEAF6" w:fill="auto"/>
      <w:tabs>
        <w:tab w:val="left" w:pos="624"/>
      </w:tabs>
      <w:spacing w:after="180" w:line="260" w:lineRule="exact"/>
      <w:ind w:left="1077" w:right="284"/>
    </w:pPr>
    <w:rPr>
      <w:rFonts w:ascii="Tahoma" w:eastAsia="Times New Roman" w:hAnsi="Tahoma" w:cs="Tahoma"/>
      <w:color w:val="0D0D0D" w:themeColor="text1" w:themeTint="F2"/>
      <w:sz w:val="18"/>
      <w:szCs w:val="18"/>
      <w:lang w:eastAsia="he-IL"/>
    </w:rPr>
  </w:style>
  <w:style w:type="paragraph" w:customStyle="1" w:styleId="7310">
    <w:name w:val="73א קוביה כחולה בתוך הזחה ראשונה"/>
    <w:basedOn w:val="739"/>
    <w:qFormat/>
    <w:rsid w:val="00003557"/>
    <w:pPr>
      <w:pBdr>
        <w:top w:val="single" w:sz="18" w:space="4" w:color="CEEAF5"/>
        <w:left w:val="single" w:sz="18" w:space="11" w:color="CEEAF5"/>
        <w:bottom w:val="single" w:sz="18" w:space="6" w:color="CEEAF5"/>
        <w:right w:val="single" w:sz="18" w:space="11" w:color="CEEAF5"/>
      </w:pBdr>
      <w:shd w:val="solid" w:color="CEEAF5" w:fill="auto"/>
      <w:spacing w:after="120"/>
      <w:ind w:left="680" w:right="227"/>
    </w:pPr>
  </w:style>
  <w:style w:type="paragraph" w:customStyle="1" w:styleId="7311">
    <w:name w:val="73א הזחה שנייה ללא מספר"/>
    <w:basedOn w:val="736"/>
    <w:link w:val="7313"/>
    <w:qFormat/>
    <w:rsid w:val="00543F8A"/>
  </w:style>
  <w:style w:type="character" w:customStyle="1" w:styleId="7312">
    <w:name w:val="73א הזחה שנייה ריק תו"/>
    <w:basedOn w:val="a"/>
    <w:link w:val="736"/>
    <w:rsid w:val="0074714A"/>
    <w:rPr>
      <w:rFonts w:ascii="Tahoma" w:hAnsi="Tahoma" w:cs="Tahoma"/>
      <w:color w:val="0D0D0D" w:themeColor="text1" w:themeTint="F2"/>
      <w:sz w:val="18"/>
      <w:szCs w:val="18"/>
    </w:rPr>
  </w:style>
  <w:style w:type="character" w:customStyle="1" w:styleId="7313">
    <w:name w:val="73א הזחה שנייה ללא מספר תו"/>
    <w:basedOn w:val="7312"/>
    <w:link w:val="7311"/>
    <w:rsid w:val="00543F8A"/>
    <w:rPr>
      <w:rFonts w:ascii="Tahoma" w:hAnsi="Tahoma" w:cs="Tahoma"/>
      <w:color w:val="0D0D0D" w:themeColor="text1" w:themeTint="F2"/>
      <w:sz w:val="18"/>
      <w:szCs w:val="18"/>
    </w:rPr>
  </w:style>
  <w:style w:type="paragraph" w:customStyle="1" w:styleId="7314">
    <w:name w:val="73א מספור הערות שוליים"/>
    <w:basedOn w:val="733"/>
    <w:qFormat/>
    <w:rsid w:val="003B639B"/>
  </w:style>
  <w:style w:type="paragraph" w:customStyle="1" w:styleId="73R">
    <w:name w:val="73א טבלה טקסט R"/>
    <w:basedOn w:val="Normal"/>
    <w:qFormat/>
    <w:rsid w:val="00520550"/>
    <w:pPr>
      <w:spacing w:before="120" w:after="120" w:line="180" w:lineRule="exact"/>
      <w:jc w:val="left"/>
    </w:pPr>
    <w:rPr>
      <w:rFonts w:ascii="Tahoma" w:hAnsi="Tahoma" w:eastAsiaTheme="minorEastAsia" w:cs="Tahoma"/>
      <w:sz w:val="16"/>
      <w:szCs w:val="16"/>
    </w:rPr>
  </w:style>
  <w:style w:type="paragraph" w:customStyle="1" w:styleId="73B">
    <w:name w:val="73א טבלה טקסט B"/>
    <w:basedOn w:val="Normal"/>
    <w:qFormat/>
    <w:rsid w:val="00520550"/>
    <w:pPr>
      <w:spacing w:before="120" w:after="120" w:line="180" w:lineRule="exact"/>
      <w:jc w:val="left"/>
    </w:pPr>
    <w:rPr>
      <w:rFonts w:ascii="Tahoma" w:hAnsi="Tahoma" w:eastAsiaTheme="minorEastAsia" w:cs="Tahoma"/>
      <w:b/>
      <w:bCs/>
      <w:sz w:val="16"/>
      <w:szCs w:val="16"/>
    </w:rPr>
  </w:style>
  <w:style w:type="paragraph" w:customStyle="1" w:styleId="73HEADER">
    <w:name w:val="73א טבלה HEADER"/>
    <w:basedOn w:val="Normal"/>
    <w:qFormat/>
    <w:rsid w:val="00520550"/>
    <w:pPr>
      <w:spacing w:before="120" w:after="120" w:line="180" w:lineRule="exact"/>
      <w:jc w:val="left"/>
    </w:pPr>
    <w:rPr>
      <w:rFonts w:ascii="Tahoma" w:hAnsi="Tahoma" w:eastAsiaTheme="minorEastAsia" w:cs="Tahoma"/>
      <w:b/>
      <w:color w:val="0D0D0D" w:themeColor="text1" w:themeTint="F2"/>
      <w:sz w:val="16"/>
      <w:szCs w:val="16"/>
    </w:rPr>
  </w:style>
  <w:style w:type="paragraph" w:customStyle="1" w:styleId="a3">
    <w:name w:val="כניסה שלישית"/>
    <w:basedOn w:val="ListParagraph"/>
    <w:qFormat/>
    <w:rsid w:val="008E5512"/>
    <w:pPr>
      <w:spacing w:after="120"/>
      <w:ind w:left="0"/>
    </w:pPr>
    <w:rPr>
      <w:rFonts w:ascii="Tahoma" w:hAnsi="Tahoma" w:cs="Tahoma"/>
      <w:szCs w:val="20"/>
    </w:rPr>
  </w:style>
  <w:style w:type="paragraph" w:customStyle="1" w:styleId="7315">
    <w:name w:val="73א הזחה שלישית"/>
    <w:basedOn w:val="7311"/>
    <w:qFormat/>
    <w:rsid w:val="00591F15"/>
    <w:pPr>
      <w:ind w:left="1191"/>
    </w:pPr>
  </w:style>
  <w:style w:type="paragraph" w:customStyle="1" w:styleId="7316">
    <w:name w:val="73א קוביה כחולה הזחה שלישית"/>
    <w:basedOn w:val="739"/>
    <w:qFormat/>
    <w:rsid w:val="00FF6AD9"/>
    <w:pPr>
      <w:framePr w:wrap="around" w:vAnchor="text" w:hAnchor="text" w:y="1"/>
      <w:shd w:val="solid" w:color="CEEAF6" w:fill="CEEAF6"/>
      <w:spacing w:after="120"/>
      <w:ind w:left="1474"/>
    </w:pPr>
  </w:style>
  <w:style w:type="paragraph" w:customStyle="1" w:styleId="15">
    <w:name w:val="קוביה הזחה 1"/>
    <w:basedOn w:val="739"/>
    <w:qFormat/>
    <w:rsid w:val="005C2859"/>
    <w:pPr>
      <w:ind w:left="680"/>
    </w:pPr>
  </w:style>
  <w:style w:type="paragraph" w:customStyle="1" w:styleId="7317">
    <w:name w:val="73א הזחה ראשונה ללא מספר"/>
    <w:basedOn w:val="7311"/>
    <w:qFormat/>
    <w:rsid w:val="003570AC"/>
    <w:pPr>
      <w:ind w:left="397"/>
    </w:pPr>
  </w:style>
  <w:style w:type="paragraph" w:customStyle="1" w:styleId="7318">
    <w:name w:val="73א קוביה רצה"/>
    <w:basedOn w:val="7310"/>
    <w:link w:val="732"/>
    <w:qFormat/>
    <w:rsid w:val="004B039B"/>
    <w:pPr>
      <w:ind w:left="227"/>
    </w:pPr>
  </w:style>
  <w:style w:type="paragraph" w:customStyle="1" w:styleId="73414">
    <w:name w:val="73א כותרת 4_14"/>
    <w:basedOn w:val="Heading4"/>
    <w:qFormat/>
    <w:rsid w:val="0078358A"/>
    <w:pPr>
      <w:spacing w:after="180" w:line="240" w:lineRule="atLeast"/>
      <w:jc w:val="left"/>
    </w:pPr>
    <w:rPr>
      <w:rFonts w:ascii="Tahoma" w:hAnsi="Tahoma" w:cs="Tahoma"/>
      <w:b/>
      <w:color w:val="00305F"/>
      <w:sz w:val="28"/>
      <w:szCs w:val="28"/>
    </w:rPr>
  </w:style>
  <w:style w:type="paragraph" w:customStyle="1" w:styleId="7319">
    <w:name w:val="73א הזחה בתוך קוביה"/>
    <w:basedOn w:val="7318"/>
    <w:qFormat/>
    <w:rsid w:val="009D0EE8"/>
    <w:pPr>
      <w:ind w:left="0"/>
    </w:pPr>
  </w:style>
  <w:style w:type="paragraph" w:customStyle="1" w:styleId="73512">
    <w:name w:val="73א כותרת 5_12"/>
    <w:basedOn w:val="100"/>
    <w:qFormat/>
    <w:rsid w:val="0078358A"/>
    <w:pPr>
      <w:keepNext/>
      <w:keepLines/>
      <w:spacing w:before="240" w:after="180" w:line="240" w:lineRule="atLeast"/>
      <w:jc w:val="left"/>
      <w:outlineLvl w:val="4"/>
    </w:pPr>
    <w:rPr>
      <w:b/>
      <w:bCs/>
      <w:color w:val="00305F"/>
      <w:sz w:val="24"/>
      <w:szCs w:val="24"/>
    </w:rPr>
  </w:style>
  <w:style w:type="paragraph" w:customStyle="1" w:styleId="7320">
    <w:name w:val="73א מספרים בתוך קוביה"/>
    <w:basedOn w:val="7319"/>
    <w:rsid w:val="00520550"/>
  </w:style>
  <w:style w:type="paragraph" w:customStyle="1" w:styleId="73110">
    <w:name w:val="73א אותיות בתוך קוביה 1"/>
    <w:basedOn w:val="7320"/>
    <w:qFormat/>
    <w:rsid w:val="00B30FEF"/>
  </w:style>
  <w:style w:type="numbering" w:customStyle="1" w:styleId="-">
    <w:name w:val="משרד האוצר - מדורג"/>
    <w:uiPriority w:val="99"/>
    <w:rsid w:val="006D5CCE"/>
    <w:pPr>
      <w:numPr>
        <w:numId w:val="1"/>
      </w:numPr>
    </w:pPr>
  </w:style>
  <w:style w:type="paragraph" w:customStyle="1" w:styleId="gmail-msolistparagraph">
    <w:name w:val="gmail-msolistparagraph"/>
    <w:basedOn w:val="Normal"/>
    <w:uiPriority w:val="99"/>
    <w:rsid w:val="006D5CCE"/>
    <w:pPr>
      <w:bidi w:val="0"/>
      <w:spacing w:before="100" w:beforeAutospacing="1" w:after="100" w:afterAutospacing="1" w:line="240" w:lineRule="auto"/>
      <w:jc w:val="left"/>
    </w:pPr>
    <w:rPr>
      <w:rFonts w:cs="Times New Roman"/>
      <w:sz w:val="24"/>
    </w:rPr>
  </w:style>
  <w:style w:type="paragraph" w:styleId="PlainText">
    <w:name w:val="Plain Text"/>
    <w:basedOn w:val="Normal"/>
    <w:link w:val="a4"/>
    <w:uiPriority w:val="99"/>
    <w:unhideWhenUsed/>
    <w:rsid w:val="006D5CCE"/>
    <w:pPr>
      <w:spacing w:line="240" w:lineRule="auto"/>
      <w:jc w:val="left"/>
    </w:pPr>
    <w:rPr>
      <w:rFonts w:ascii="Calibri" w:hAnsi="Calibri" w:cstheme="minorBidi"/>
      <w:sz w:val="22"/>
      <w:szCs w:val="21"/>
    </w:rPr>
  </w:style>
  <w:style w:type="character" w:customStyle="1" w:styleId="a4">
    <w:name w:val="טקסט רגיל תו"/>
    <w:basedOn w:val="DefaultParagraphFont"/>
    <w:link w:val="PlainText"/>
    <w:uiPriority w:val="99"/>
    <w:rsid w:val="006D5CCE"/>
    <w:rPr>
      <w:rFonts w:ascii="Calibri" w:hAnsi="Calibri" w:cstheme="minorBidi"/>
      <w:sz w:val="22"/>
      <w:szCs w:val="21"/>
    </w:rPr>
  </w:style>
  <w:style w:type="table" w:customStyle="1" w:styleId="26">
    <w:name w:val="רשת טבלה2"/>
    <w:basedOn w:val="TableNormal"/>
    <w:next w:val="TableGrid"/>
    <w:uiPriority w:val="59"/>
    <w:rsid w:val="006D5CCE"/>
    <w:pPr>
      <w:spacing w:after="0" w:line="240" w:lineRule="auto"/>
      <w:jc w:val="left"/>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a5"/>
    <w:uiPriority w:val="99"/>
    <w:semiHidden/>
    <w:unhideWhenUsed/>
    <w:rsid w:val="006D5CCE"/>
    <w:pPr>
      <w:spacing w:line="240" w:lineRule="auto"/>
    </w:pPr>
    <w:rPr>
      <w:szCs w:val="20"/>
    </w:rPr>
  </w:style>
  <w:style w:type="character" w:customStyle="1" w:styleId="a5">
    <w:name w:val="טקסט הערת סיום תו"/>
    <w:basedOn w:val="DefaultParagraphFont"/>
    <w:link w:val="EndnoteText"/>
    <w:uiPriority w:val="99"/>
    <w:semiHidden/>
    <w:rsid w:val="006D5CCE"/>
    <w:rPr>
      <w:szCs w:val="20"/>
    </w:rPr>
  </w:style>
  <w:style w:type="character" w:styleId="EndnoteReference">
    <w:name w:val="endnote reference"/>
    <w:basedOn w:val="DefaultParagraphFont"/>
    <w:uiPriority w:val="99"/>
    <w:semiHidden/>
    <w:unhideWhenUsed/>
    <w:rsid w:val="006D5CCE"/>
    <w:rPr>
      <w:vertAlign w:val="superscript"/>
    </w:rPr>
  </w:style>
  <w:style w:type="paragraph" w:customStyle="1" w:styleId="110">
    <w:name w:val="כותרת 11"/>
    <w:basedOn w:val="Normal"/>
    <w:next w:val="Normal"/>
    <w:link w:val="16"/>
    <w:uiPriority w:val="1"/>
    <w:qFormat/>
    <w:rsid w:val="002516DF"/>
    <w:pPr>
      <w:keepNext/>
      <w:keepLines/>
      <w:jc w:val="center"/>
      <w:outlineLvl w:val="0"/>
    </w:pPr>
    <w:rPr>
      <w:rFonts w:eastAsia="Times New Roman"/>
      <w:bCs/>
      <w:szCs w:val="36"/>
      <w:u w:val="single"/>
    </w:rPr>
  </w:style>
  <w:style w:type="paragraph" w:customStyle="1" w:styleId="210">
    <w:name w:val="כותרת 21"/>
    <w:basedOn w:val="Normal"/>
    <w:next w:val="Normal"/>
    <w:link w:val="27"/>
    <w:uiPriority w:val="1"/>
    <w:qFormat/>
    <w:rsid w:val="002516DF"/>
    <w:pPr>
      <w:keepNext/>
      <w:keepLines/>
      <w:spacing w:before="480"/>
      <w:jc w:val="center"/>
      <w:outlineLvl w:val="1"/>
    </w:pPr>
    <w:rPr>
      <w:rFonts w:eastAsia="Times New Roman"/>
      <w:bCs/>
      <w:szCs w:val="32"/>
    </w:rPr>
  </w:style>
  <w:style w:type="paragraph" w:customStyle="1" w:styleId="31">
    <w:name w:val="כותרת 31"/>
    <w:basedOn w:val="Normal"/>
    <w:next w:val="Normal"/>
    <w:link w:val="30"/>
    <w:uiPriority w:val="1"/>
    <w:qFormat/>
    <w:rsid w:val="002516DF"/>
    <w:pPr>
      <w:keepNext/>
      <w:keepLines/>
      <w:spacing w:before="120"/>
      <w:outlineLvl w:val="2"/>
    </w:pPr>
    <w:rPr>
      <w:rFonts w:eastAsia="Times New Roman"/>
      <w:bCs/>
      <w:szCs w:val="28"/>
      <w:u w:val="single"/>
    </w:rPr>
  </w:style>
  <w:style w:type="paragraph" w:customStyle="1" w:styleId="410">
    <w:name w:val="כותרת 41"/>
    <w:basedOn w:val="Normal"/>
    <w:next w:val="Normal"/>
    <w:link w:val="4"/>
    <w:uiPriority w:val="1"/>
    <w:qFormat/>
    <w:rsid w:val="002516DF"/>
    <w:pPr>
      <w:keepNext/>
      <w:keepLines/>
      <w:spacing w:before="120"/>
      <w:outlineLvl w:val="3"/>
    </w:pPr>
    <w:rPr>
      <w:rFonts w:eastAsia="Times New Roman"/>
      <w:bCs/>
      <w:szCs w:val="26"/>
    </w:rPr>
  </w:style>
  <w:style w:type="paragraph" w:customStyle="1" w:styleId="510">
    <w:name w:val="כותרת 51"/>
    <w:basedOn w:val="Normal"/>
    <w:next w:val="Normal"/>
    <w:link w:val="5"/>
    <w:uiPriority w:val="1"/>
    <w:qFormat/>
    <w:rsid w:val="002516DF"/>
    <w:pPr>
      <w:keepNext/>
      <w:keepLines/>
      <w:outlineLvl w:val="4"/>
    </w:pPr>
    <w:rPr>
      <w:rFonts w:eastAsia="Times New Roman"/>
      <w:bCs/>
      <w:spacing w:val="40"/>
    </w:rPr>
  </w:style>
  <w:style w:type="paragraph" w:customStyle="1" w:styleId="610">
    <w:name w:val="כותרת 61"/>
    <w:basedOn w:val="Normal"/>
    <w:next w:val="Normal"/>
    <w:link w:val="6"/>
    <w:uiPriority w:val="1"/>
    <w:qFormat/>
    <w:rsid w:val="002516DF"/>
    <w:pPr>
      <w:keepNext/>
      <w:keepLines/>
      <w:outlineLvl w:val="5"/>
    </w:pPr>
    <w:rPr>
      <w:rFonts w:eastAsia="Times New Roman"/>
      <w:spacing w:val="40"/>
    </w:rPr>
  </w:style>
  <w:style w:type="paragraph" w:customStyle="1" w:styleId="710">
    <w:name w:val="כותרת 71"/>
    <w:basedOn w:val="Normal"/>
    <w:next w:val="Normal"/>
    <w:link w:val="7"/>
    <w:uiPriority w:val="1"/>
    <w:qFormat/>
    <w:rsid w:val="002516DF"/>
    <w:pPr>
      <w:keepNext/>
      <w:keepLines/>
      <w:outlineLvl w:val="6"/>
    </w:pPr>
    <w:rPr>
      <w:rFonts w:eastAsia="Times New Roman"/>
      <w:bCs/>
      <w:spacing w:val="40"/>
    </w:rPr>
  </w:style>
  <w:style w:type="paragraph" w:customStyle="1" w:styleId="810">
    <w:name w:val="כותרת 81"/>
    <w:basedOn w:val="Normal"/>
    <w:next w:val="Normal"/>
    <w:link w:val="8"/>
    <w:uiPriority w:val="1"/>
    <w:qFormat/>
    <w:rsid w:val="002516DF"/>
    <w:pPr>
      <w:keepNext/>
      <w:keepLines/>
      <w:outlineLvl w:val="7"/>
    </w:pPr>
    <w:rPr>
      <w:rFonts w:eastAsia="Times New Roman"/>
      <w:spacing w:val="40"/>
    </w:rPr>
  </w:style>
  <w:style w:type="character" w:customStyle="1" w:styleId="16">
    <w:name w:val="כותרת 1 תו"/>
    <w:link w:val="110"/>
    <w:uiPriority w:val="1"/>
    <w:rsid w:val="002516DF"/>
    <w:rPr>
      <w:rFonts w:eastAsia="Times New Roman"/>
      <w:bCs/>
      <w:szCs w:val="36"/>
      <w:u w:val="single"/>
    </w:rPr>
  </w:style>
  <w:style w:type="character" w:customStyle="1" w:styleId="27">
    <w:name w:val="כותרת 2 תו"/>
    <w:link w:val="210"/>
    <w:uiPriority w:val="1"/>
    <w:rsid w:val="002516DF"/>
    <w:rPr>
      <w:rFonts w:eastAsia="Times New Roman"/>
      <w:bCs/>
      <w:szCs w:val="32"/>
    </w:rPr>
  </w:style>
  <w:style w:type="character" w:customStyle="1" w:styleId="30">
    <w:name w:val="כותרת 3 תו"/>
    <w:link w:val="31"/>
    <w:uiPriority w:val="1"/>
    <w:rsid w:val="002516DF"/>
    <w:rPr>
      <w:rFonts w:eastAsia="Times New Roman"/>
      <w:bCs/>
      <w:szCs w:val="28"/>
      <w:u w:val="single"/>
    </w:rPr>
  </w:style>
  <w:style w:type="character" w:customStyle="1" w:styleId="4">
    <w:name w:val="כותרת 4 תו"/>
    <w:link w:val="410"/>
    <w:uiPriority w:val="1"/>
    <w:rsid w:val="002516DF"/>
    <w:rPr>
      <w:rFonts w:eastAsia="Times New Roman"/>
      <w:bCs/>
      <w:szCs w:val="26"/>
    </w:rPr>
  </w:style>
  <w:style w:type="character" w:customStyle="1" w:styleId="5">
    <w:name w:val="כותרת 5 תו"/>
    <w:link w:val="510"/>
    <w:uiPriority w:val="1"/>
    <w:rsid w:val="002516DF"/>
    <w:rPr>
      <w:rFonts w:eastAsia="Times New Roman"/>
      <w:bCs/>
      <w:spacing w:val="40"/>
    </w:rPr>
  </w:style>
  <w:style w:type="character" w:customStyle="1" w:styleId="6">
    <w:name w:val="כותרת 6 תו"/>
    <w:link w:val="610"/>
    <w:uiPriority w:val="1"/>
    <w:rsid w:val="002516DF"/>
    <w:rPr>
      <w:rFonts w:eastAsia="Times New Roman"/>
      <w:spacing w:val="40"/>
    </w:rPr>
  </w:style>
  <w:style w:type="character" w:customStyle="1" w:styleId="7">
    <w:name w:val="כותרת 7 תו"/>
    <w:link w:val="710"/>
    <w:uiPriority w:val="1"/>
    <w:rsid w:val="002516DF"/>
    <w:rPr>
      <w:rFonts w:eastAsia="Times New Roman"/>
      <w:bCs/>
      <w:spacing w:val="40"/>
    </w:rPr>
  </w:style>
  <w:style w:type="character" w:customStyle="1" w:styleId="8">
    <w:name w:val="כותרת 8 תו"/>
    <w:link w:val="810"/>
    <w:uiPriority w:val="1"/>
    <w:rsid w:val="002516DF"/>
    <w:rPr>
      <w:rFonts w:eastAsia="Times New Roman"/>
      <w:spacing w:val="40"/>
    </w:rPr>
  </w:style>
  <w:style w:type="paragraph" w:customStyle="1" w:styleId="17">
    <w:name w:val="כותרת עליונה1"/>
    <w:basedOn w:val="Normal"/>
    <w:link w:val="a6"/>
    <w:uiPriority w:val="99"/>
    <w:unhideWhenUsed/>
    <w:rsid w:val="002516DF"/>
    <w:pPr>
      <w:tabs>
        <w:tab w:val="center" w:pos="4153"/>
        <w:tab w:val="right" w:pos="8306"/>
      </w:tabs>
      <w:spacing w:line="240" w:lineRule="auto"/>
    </w:pPr>
    <w:rPr>
      <w:rFonts w:eastAsia="Calibri"/>
    </w:rPr>
  </w:style>
  <w:style w:type="character" w:customStyle="1" w:styleId="a6">
    <w:name w:val="כותרת עליונה תו"/>
    <w:basedOn w:val="DefaultParagraphFont"/>
    <w:link w:val="17"/>
    <w:uiPriority w:val="99"/>
    <w:rsid w:val="002516DF"/>
    <w:rPr>
      <w:rFonts w:eastAsia="Calibri"/>
    </w:rPr>
  </w:style>
  <w:style w:type="paragraph" w:customStyle="1" w:styleId="18">
    <w:name w:val="כותרת תחתונה1"/>
    <w:basedOn w:val="Normal"/>
    <w:link w:val="a7"/>
    <w:uiPriority w:val="99"/>
    <w:unhideWhenUsed/>
    <w:rsid w:val="002516DF"/>
    <w:pPr>
      <w:tabs>
        <w:tab w:val="center" w:pos="4153"/>
        <w:tab w:val="right" w:pos="8306"/>
      </w:tabs>
      <w:spacing w:line="240" w:lineRule="auto"/>
    </w:pPr>
    <w:rPr>
      <w:rFonts w:eastAsia="Calibri"/>
    </w:rPr>
  </w:style>
  <w:style w:type="character" w:customStyle="1" w:styleId="a7">
    <w:name w:val="כותרת תחתונה תו"/>
    <w:basedOn w:val="DefaultParagraphFont"/>
    <w:link w:val="18"/>
    <w:uiPriority w:val="99"/>
    <w:rsid w:val="002516DF"/>
    <w:rPr>
      <w:rFonts w:eastAsia="Calibri"/>
    </w:rPr>
  </w:style>
  <w:style w:type="paragraph" w:customStyle="1" w:styleId="19">
    <w:name w:val="תאריך1"/>
    <w:basedOn w:val="Normal"/>
    <w:next w:val="Normal"/>
    <w:link w:val="a8"/>
    <w:uiPriority w:val="99"/>
    <w:unhideWhenUsed/>
    <w:rsid w:val="002516DF"/>
    <w:pPr>
      <w:spacing w:before="120" w:line="240" w:lineRule="auto"/>
    </w:pPr>
    <w:rPr>
      <w:rFonts w:eastAsia="Calibri"/>
    </w:rPr>
  </w:style>
  <w:style w:type="character" w:customStyle="1" w:styleId="a8">
    <w:name w:val="תאריך תו"/>
    <w:basedOn w:val="DefaultParagraphFont"/>
    <w:link w:val="19"/>
    <w:uiPriority w:val="99"/>
    <w:rsid w:val="002516DF"/>
    <w:rPr>
      <w:rFonts w:eastAsia="Calibri"/>
    </w:rPr>
  </w:style>
  <w:style w:type="character" w:customStyle="1" w:styleId="a9">
    <w:name w:val="טקסט הערת שוליים תו"/>
    <w:aliases w:val=" Char תו,Char תו,FOOTNOTES תו,Footnote Text - Sharp Char Char תו,Footnote Text - Sharp Char תו,Footnote Text - Sharp תו,Footnote Text Char Char Char Char Char תו,Footnote Text תו,Footnote reference תו,Sharp - Footnote Text תו,fn תו"/>
    <w:uiPriority w:val="99"/>
    <w:rsid w:val="002516DF"/>
    <w:rPr>
      <w:szCs w:val="20"/>
    </w:rPr>
  </w:style>
  <w:style w:type="character" w:customStyle="1" w:styleId="111">
    <w:name w:val="הפניה להערת שוליים1"/>
    <w:unhideWhenUsed/>
    <w:rsid w:val="002516DF"/>
    <w:rPr>
      <w:vertAlign w:val="superscript"/>
    </w:rPr>
  </w:style>
  <w:style w:type="paragraph" w:customStyle="1" w:styleId="112">
    <w:name w:val="פיסקת רשימה1"/>
    <w:basedOn w:val="Normal"/>
    <w:uiPriority w:val="34"/>
    <w:qFormat/>
    <w:rsid w:val="002516DF"/>
    <w:pPr>
      <w:ind w:left="720"/>
      <w:contextualSpacing/>
    </w:pPr>
    <w:rPr>
      <w:rFonts w:eastAsia="Calibri"/>
    </w:rPr>
  </w:style>
  <w:style w:type="paragraph" w:customStyle="1" w:styleId="a10">
    <w:name w:val="סגנון רגיל +"/>
    <w:basedOn w:val="Normal"/>
    <w:rsid w:val="002516DF"/>
    <w:pPr>
      <w:overflowPunct w:val="0"/>
      <w:autoSpaceDE w:val="0"/>
      <w:autoSpaceDN w:val="0"/>
      <w:adjustRightInd w:val="0"/>
      <w:spacing w:line="240" w:lineRule="auto"/>
      <w:jc w:val="left"/>
      <w:textAlignment w:val="baseline"/>
    </w:pPr>
    <w:rPr>
      <w:rFonts w:ascii="Arial" w:eastAsia="Times New Roman" w:hAnsi="Arial" w:cs="Arial"/>
      <w:sz w:val="22"/>
      <w:szCs w:val="22"/>
      <w:lang w:eastAsia="he-IL"/>
    </w:rPr>
  </w:style>
  <w:style w:type="paragraph" w:customStyle="1" w:styleId="113">
    <w:name w:val="טקסט בלונים1"/>
    <w:basedOn w:val="Normal"/>
    <w:link w:val="a11"/>
    <w:uiPriority w:val="99"/>
    <w:semiHidden/>
    <w:unhideWhenUsed/>
    <w:rsid w:val="002516DF"/>
    <w:pPr>
      <w:spacing w:line="240" w:lineRule="auto"/>
    </w:pPr>
    <w:rPr>
      <w:rFonts w:ascii="Tahoma" w:eastAsia="Calibri" w:hAnsi="Tahoma" w:cs="Tahoma"/>
      <w:sz w:val="18"/>
      <w:szCs w:val="18"/>
    </w:rPr>
  </w:style>
  <w:style w:type="character" w:customStyle="1" w:styleId="a11">
    <w:name w:val="טקסט בלונים תו"/>
    <w:link w:val="113"/>
    <w:uiPriority w:val="99"/>
    <w:semiHidden/>
    <w:rsid w:val="002516DF"/>
    <w:rPr>
      <w:rFonts w:ascii="Tahoma" w:eastAsia="Calibri" w:hAnsi="Tahoma" w:cs="Tahoma"/>
      <w:sz w:val="18"/>
      <w:szCs w:val="18"/>
    </w:rPr>
  </w:style>
  <w:style w:type="paragraph" w:customStyle="1" w:styleId="114">
    <w:name w:val="גוף טקסט1"/>
    <w:basedOn w:val="Normal"/>
    <w:link w:val="115"/>
    <w:uiPriority w:val="99"/>
    <w:rsid w:val="002516DF"/>
    <w:pPr>
      <w:spacing w:before="180" w:after="120" w:line="230" w:lineRule="exact"/>
    </w:pPr>
    <w:rPr>
      <w:rFonts w:eastAsia="Times New Roman" w:cs="FrankRuehl"/>
      <w:sz w:val="22"/>
      <w:szCs w:val="22"/>
    </w:rPr>
  </w:style>
  <w:style w:type="character" w:customStyle="1" w:styleId="a12">
    <w:name w:val="גוף טקסט תו"/>
    <w:basedOn w:val="DefaultParagraphFont"/>
    <w:rsid w:val="002516DF"/>
  </w:style>
  <w:style w:type="character" w:customStyle="1" w:styleId="115">
    <w:name w:val="גוף טקסט תו1"/>
    <w:link w:val="114"/>
    <w:uiPriority w:val="99"/>
    <w:rsid w:val="002516DF"/>
    <w:rPr>
      <w:rFonts w:eastAsia="Times New Roman" w:cs="FrankRuehl"/>
      <w:sz w:val="22"/>
      <w:szCs w:val="22"/>
    </w:rPr>
  </w:style>
  <w:style w:type="character" w:customStyle="1" w:styleId="116">
    <w:name w:val="כותרת תחתונה תו1"/>
    <w:uiPriority w:val="99"/>
    <w:rsid w:val="002516DF"/>
    <w:rPr>
      <w:rFonts w:cs="David"/>
      <w:sz w:val="24"/>
      <w:szCs w:val="24"/>
    </w:rPr>
  </w:style>
  <w:style w:type="character" w:customStyle="1" w:styleId="117">
    <w:name w:val="טקסט הערת שוליים תו1"/>
    <w:aliases w:val="Sharp - Footnote Text1 Char תו"/>
    <w:locked/>
    <w:rsid w:val="002516DF"/>
    <w:rPr>
      <w:rFonts w:cs="David"/>
      <w:sz w:val="20"/>
      <w:szCs w:val="20"/>
      <w:lang w:bidi="he-IL"/>
    </w:rPr>
  </w:style>
  <w:style w:type="character" w:customStyle="1" w:styleId="9">
    <w:name w:val="כותרת 9 תו"/>
    <w:uiPriority w:val="9"/>
    <w:locked/>
    <w:rsid w:val="002516DF"/>
    <w:rPr>
      <w:rFonts w:ascii="Cambria" w:hAnsi="Cambria" w:cs="Times New Roman"/>
    </w:rPr>
  </w:style>
  <w:style w:type="paragraph" w:customStyle="1" w:styleId="BulletList2">
    <w:name w:val="Bullet List 2"/>
    <w:basedOn w:val="Normal"/>
    <w:link w:val="BulletList20"/>
    <w:rsid w:val="002516DF"/>
    <w:pPr>
      <w:numPr>
        <w:numId w:val="2"/>
      </w:numPr>
      <w:snapToGrid w:val="0"/>
      <w:spacing w:before="120" w:line="320" w:lineRule="exact"/>
    </w:pPr>
    <w:rPr>
      <w:rFonts w:eastAsia="Times New Roman"/>
      <w:sz w:val="22"/>
      <w:szCs w:val="28"/>
      <w:lang w:eastAsia="he-IL"/>
    </w:rPr>
  </w:style>
  <w:style w:type="paragraph" w:customStyle="1" w:styleId="Hn1">
    <w:name w:val="Hn1"/>
    <w:basedOn w:val="Normal"/>
    <w:next w:val="Normal"/>
    <w:rsid w:val="002516DF"/>
    <w:pPr>
      <w:keepNext/>
      <w:numPr>
        <w:numId w:val="3"/>
      </w:numPr>
      <w:snapToGrid w:val="0"/>
      <w:spacing w:before="240" w:after="120" w:line="320" w:lineRule="exact"/>
      <w:outlineLvl w:val="0"/>
    </w:pPr>
    <w:rPr>
      <w:rFonts w:eastAsia="Times New Roman"/>
      <w:b/>
      <w:bCs/>
      <w:kern w:val="32"/>
      <w:sz w:val="28"/>
      <w:szCs w:val="32"/>
      <w:lang w:val="pl-PL" w:eastAsia="he-IL"/>
    </w:rPr>
  </w:style>
  <w:style w:type="character" w:customStyle="1" w:styleId="BulletList20">
    <w:name w:val="Bullet List 2 תו"/>
    <w:link w:val="BulletList2"/>
    <w:rsid w:val="002516DF"/>
    <w:rPr>
      <w:rFonts w:eastAsia="Times New Roman"/>
      <w:sz w:val="22"/>
      <w:szCs w:val="28"/>
      <w:lang w:eastAsia="he-IL"/>
    </w:rPr>
  </w:style>
  <w:style w:type="table" w:customStyle="1" w:styleId="5-11">
    <w:name w:val="טבלת רשת 5 כהה - הדגשה 11"/>
    <w:basedOn w:val="TableNormal"/>
    <w:uiPriority w:val="50"/>
    <w:rsid w:val="002516DF"/>
    <w:pPr>
      <w:spacing w:after="0" w:line="240" w:lineRule="auto"/>
      <w:jc w:val="left"/>
    </w:pPr>
    <w:rPr>
      <w:rFonts w:eastAsia="Calibri"/>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3-11">
    <w:name w:val="טבלת רשימה 3 - הדגשה 11"/>
    <w:basedOn w:val="TableNormal"/>
    <w:uiPriority w:val="48"/>
    <w:rsid w:val="002516DF"/>
    <w:pPr>
      <w:spacing w:after="0" w:line="240" w:lineRule="auto"/>
      <w:jc w:val="left"/>
    </w:pPr>
    <w:rPr>
      <w:rFonts w:eastAsia="Calibri"/>
      <w:szCs w:val="20"/>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310">
    <w:name w:val="טבלת רשימה 31"/>
    <w:basedOn w:val="TableNormal"/>
    <w:uiPriority w:val="48"/>
    <w:rsid w:val="002516DF"/>
    <w:pPr>
      <w:spacing w:after="0" w:line="240" w:lineRule="auto"/>
      <w:jc w:val="left"/>
    </w:pPr>
    <w:rPr>
      <w:rFonts w:eastAsia="Calibri"/>
      <w:szCs w:val="20"/>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118">
    <w:name w:val="רשת טבלה בהירה1"/>
    <w:basedOn w:val="TableNormal"/>
    <w:uiPriority w:val="40"/>
    <w:rsid w:val="002516DF"/>
    <w:pPr>
      <w:spacing w:after="0" w:line="240" w:lineRule="auto"/>
      <w:jc w:val="left"/>
    </w:pPr>
    <w:rPr>
      <w:rFonts w:eastAsia="Calibri"/>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119">
    <w:name w:val="הפניה להערה1"/>
    <w:uiPriority w:val="99"/>
    <w:semiHidden/>
    <w:unhideWhenUsed/>
    <w:rsid w:val="002516DF"/>
    <w:rPr>
      <w:sz w:val="16"/>
      <w:szCs w:val="16"/>
    </w:rPr>
  </w:style>
  <w:style w:type="paragraph" w:customStyle="1" w:styleId="120">
    <w:name w:val="טקסט הערה1"/>
    <w:basedOn w:val="Normal"/>
    <w:link w:val="a13"/>
    <w:uiPriority w:val="99"/>
    <w:unhideWhenUsed/>
    <w:rsid w:val="002516DF"/>
    <w:pPr>
      <w:spacing w:line="240" w:lineRule="auto"/>
    </w:pPr>
    <w:rPr>
      <w:rFonts w:eastAsia="Calibri"/>
      <w:szCs w:val="20"/>
    </w:rPr>
  </w:style>
  <w:style w:type="character" w:customStyle="1" w:styleId="a13">
    <w:name w:val="טקסט הערה תו"/>
    <w:link w:val="120"/>
    <w:uiPriority w:val="99"/>
    <w:rsid w:val="002516DF"/>
    <w:rPr>
      <w:rFonts w:eastAsia="Calibri"/>
      <w:szCs w:val="20"/>
    </w:rPr>
  </w:style>
  <w:style w:type="paragraph" w:customStyle="1" w:styleId="122">
    <w:name w:val="נושא הערה1"/>
    <w:basedOn w:val="120"/>
    <w:next w:val="120"/>
    <w:link w:val="a14"/>
    <w:uiPriority w:val="99"/>
    <w:semiHidden/>
    <w:unhideWhenUsed/>
    <w:rsid w:val="002516DF"/>
    <w:rPr>
      <w:b/>
      <w:bCs/>
    </w:rPr>
  </w:style>
  <w:style w:type="character" w:customStyle="1" w:styleId="a14">
    <w:name w:val="נושא הערה תו"/>
    <w:link w:val="122"/>
    <w:uiPriority w:val="99"/>
    <w:semiHidden/>
    <w:rsid w:val="002516DF"/>
    <w:rPr>
      <w:rFonts w:eastAsia="Calibri"/>
      <w:b/>
      <w:bCs/>
      <w:szCs w:val="20"/>
    </w:rPr>
  </w:style>
  <w:style w:type="character" w:customStyle="1" w:styleId="211">
    <w:name w:val="כותרת 2 תו1"/>
    <w:basedOn w:val="DefaultParagraphFont"/>
    <w:uiPriority w:val="1"/>
    <w:rsid w:val="002516DF"/>
    <w:rPr>
      <w:rFonts w:asciiTheme="majorHAnsi" w:eastAsiaTheme="majorEastAsia" w:hAnsiTheme="majorHAnsi" w:cstheme="majorBidi"/>
      <w:color w:val="1481AB" w:themeColor="accent1" w:themeShade="BF"/>
      <w:sz w:val="26"/>
      <w:szCs w:val="26"/>
    </w:rPr>
  </w:style>
  <w:style w:type="character" w:customStyle="1" w:styleId="311">
    <w:name w:val="כותרת 3 תו1"/>
    <w:basedOn w:val="DefaultParagraphFont"/>
    <w:uiPriority w:val="1"/>
    <w:rsid w:val="002516DF"/>
    <w:rPr>
      <w:rFonts w:asciiTheme="majorHAnsi" w:eastAsiaTheme="majorEastAsia" w:hAnsiTheme="majorHAnsi" w:cstheme="majorBidi"/>
      <w:color w:val="0D5571" w:themeColor="accent1" w:themeShade="7F"/>
      <w:sz w:val="24"/>
      <w:szCs w:val="24"/>
    </w:rPr>
  </w:style>
  <w:style w:type="character" w:customStyle="1" w:styleId="123">
    <w:name w:val="תאריך תו1"/>
    <w:basedOn w:val="DefaultParagraphFont"/>
    <w:uiPriority w:val="99"/>
    <w:semiHidden/>
    <w:rsid w:val="002516DF"/>
    <w:rPr>
      <w:szCs w:val="24"/>
    </w:rPr>
  </w:style>
  <w:style w:type="character" w:customStyle="1" w:styleId="170">
    <w:name w:val="תו תו17"/>
    <w:semiHidden/>
    <w:locked/>
    <w:rsid w:val="002516DF"/>
    <w:rPr>
      <w:b/>
      <w:spacing w:val="40"/>
      <w:sz w:val="24"/>
      <w:lang w:val="en-US" w:eastAsia="he-IL" w:bidi="he-IL"/>
    </w:rPr>
  </w:style>
  <w:style w:type="character" w:customStyle="1" w:styleId="big-number">
    <w:name w:val="big-number"/>
    <w:basedOn w:val="DefaultParagraphFont"/>
    <w:rsid w:val="00387987"/>
  </w:style>
  <w:style w:type="paragraph" w:customStyle="1" w:styleId="p22">
    <w:name w:val="p22"/>
    <w:basedOn w:val="Normal"/>
    <w:rsid w:val="00387987"/>
    <w:pPr>
      <w:bidi w:val="0"/>
      <w:spacing w:before="100" w:beforeAutospacing="1" w:after="100" w:afterAutospacing="1" w:line="240" w:lineRule="auto"/>
      <w:jc w:val="left"/>
    </w:pPr>
    <w:rPr>
      <w:rFonts w:eastAsia="Times New Roman" w:cs="Times New Roman"/>
      <w:sz w:val="24"/>
    </w:rPr>
  </w:style>
  <w:style w:type="paragraph" w:customStyle="1" w:styleId="p11">
    <w:name w:val="p11"/>
    <w:basedOn w:val="Normal"/>
    <w:rsid w:val="00387987"/>
    <w:pPr>
      <w:bidi w:val="0"/>
      <w:spacing w:before="100" w:beforeAutospacing="1" w:after="100" w:afterAutospacing="1" w:line="240" w:lineRule="auto"/>
      <w:jc w:val="left"/>
    </w:pPr>
    <w:rPr>
      <w:rFonts w:eastAsia="Times New Roman" w:cs="Times New Roman"/>
      <w:sz w:val="24"/>
    </w:rPr>
  </w:style>
  <w:style w:type="table" w:customStyle="1" w:styleId="4-41">
    <w:name w:val="טבלת רשת 4 - הדגשה 41"/>
    <w:basedOn w:val="TableNormal"/>
    <w:uiPriority w:val="49"/>
    <w:rsid w:val="00387987"/>
    <w:pPr>
      <w:spacing w:after="0" w:line="240" w:lineRule="auto"/>
    </w:pPr>
    <w:tblPr>
      <w:tblStyleRowBandSize w:val="1"/>
      <w:tblStyleColBandSize w:val="1"/>
      <w:tblBorders>
        <w:top w:val="single" w:sz="4" w:space="0" w:color="8CD6C0" w:themeColor="accent4" w:themeTint="99"/>
        <w:left w:val="single" w:sz="4" w:space="0" w:color="8CD6C0" w:themeColor="accent4" w:themeTint="99"/>
        <w:bottom w:val="single" w:sz="4" w:space="0" w:color="8CD6C0" w:themeColor="accent4" w:themeTint="99"/>
        <w:right w:val="single" w:sz="4" w:space="0" w:color="8CD6C0" w:themeColor="accent4" w:themeTint="99"/>
        <w:insideH w:val="single" w:sz="4" w:space="0" w:color="8CD6C0" w:themeColor="accent4" w:themeTint="99"/>
        <w:insideV w:val="single" w:sz="4" w:space="0" w:color="8CD6C0" w:themeColor="accent4" w:themeTint="99"/>
      </w:tblBorders>
    </w:tblPr>
    <w:tblStylePr w:type="firstRow">
      <w:rPr>
        <w:b/>
        <w:bCs/>
        <w:color w:val="FFFFFF" w:themeColor="background1"/>
      </w:rPr>
      <w:tblPr/>
      <w:tcPr>
        <w:tcBorders>
          <w:top w:val="single" w:sz="4" w:space="0" w:color="42BA97" w:themeColor="accent4"/>
          <w:left w:val="single" w:sz="4" w:space="0" w:color="42BA97" w:themeColor="accent4"/>
          <w:bottom w:val="single" w:sz="4" w:space="0" w:color="42BA97" w:themeColor="accent4"/>
          <w:right w:val="single" w:sz="4" w:space="0" w:color="42BA97" w:themeColor="accent4"/>
          <w:insideH w:val="nil"/>
          <w:insideV w:val="nil"/>
        </w:tcBorders>
        <w:shd w:val="clear" w:color="auto" w:fill="42BA97" w:themeFill="accent4"/>
      </w:tcPr>
    </w:tblStylePr>
    <w:tblStylePr w:type="lastRow">
      <w:rPr>
        <w:b/>
        <w:bCs/>
      </w:rPr>
      <w:tblPr/>
      <w:tcPr>
        <w:tcBorders>
          <w:top w:val="double" w:sz="4" w:space="0" w:color="42BA97" w:themeColor="accent4"/>
        </w:tcBorders>
      </w:tcPr>
    </w:tblStylePr>
    <w:tblStylePr w:type="firstCol">
      <w:rPr>
        <w:b/>
        <w:bCs/>
      </w:rPr>
    </w:tblStylePr>
    <w:tblStylePr w:type="lastCol">
      <w:rPr>
        <w:b/>
        <w:bCs/>
      </w:rPr>
    </w:tblStylePr>
    <w:tblStylePr w:type="band1Vert">
      <w:tblPr/>
      <w:tcPr>
        <w:shd w:val="clear" w:color="auto" w:fill="D8F1EA" w:themeFill="accent4" w:themeFillTint="33"/>
      </w:tcPr>
    </w:tblStylePr>
    <w:tblStylePr w:type="band1Horz">
      <w:tblPr/>
      <w:tcPr>
        <w:shd w:val="clear" w:color="auto" w:fill="D8F1EA" w:themeFill="accent4" w:themeFillTint="33"/>
      </w:tcPr>
    </w:tblStylePr>
  </w:style>
  <w:style w:type="table" w:customStyle="1" w:styleId="1-11">
    <w:name w:val="טבלת רשת 1 בהירה - הדגשה 11"/>
    <w:basedOn w:val="TableNormal"/>
    <w:uiPriority w:val="46"/>
    <w:rsid w:val="00387987"/>
    <w:pPr>
      <w:spacing w:after="0" w:line="240" w:lineRule="auto"/>
    </w:pPr>
    <w:tblPr>
      <w:tblStyleRowBandSize w:val="1"/>
      <w:tblStyleColBandSize w:val="1"/>
      <w:tblBorders>
        <w:top w:val="single" w:sz="4" w:space="0" w:color="A4DDF4" w:themeColor="accent1" w:themeTint="66"/>
        <w:left w:val="single" w:sz="4" w:space="0" w:color="A4DDF4" w:themeColor="accent1" w:themeTint="66"/>
        <w:bottom w:val="single" w:sz="4" w:space="0" w:color="A4DDF4" w:themeColor="accent1" w:themeTint="66"/>
        <w:right w:val="single" w:sz="4" w:space="0" w:color="A4DDF4" w:themeColor="accent1" w:themeTint="66"/>
        <w:insideH w:val="single" w:sz="4" w:space="0" w:color="A4DDF4" w:themeColor="accent1" w:themeTint="66"/>
        <w:insideV w:val="single" w:sz="4" w:space="0" w:color="A4DDF4" w:themeColor="accent1" w:themeTint="66"/>
      </w:tblBorders>
    </w:tblPr>
    <w:tblStylePr w:type="firstRow">
      <w:rPr>
        <w:b/>
        <w:bCs/>
      </w:rPr>
      <w:tblPr/>
      <w:tcPr>
        <w:tcBorders>
          <w:bottom w:val="single" w:sz="12" w:space="0" w:color="76CDEE" w:themeColor="accent1" w:themeTint="99"/>
        </w:tcBorders>
      </w:tcPr>
    </w:tblStylePr>
    <w:tblStylePr w:type="lastRow">
      <w:rPr>
        <w:b/>
        <w:bCs/>
      </w:rPr>
      <w:tblPr/>
      <w:tcPr>
        <w:tcBorders>
          <w:top w:val="double" w:sz="2" w:space="0" w:color="76CDEE" w:themeColor="accent1" w:themeTint="99"/>
        </w:tcBorders>
      </w:tcPr>
    </w:tblStylePr>
    <w:tblStylePr w:type="firstCol">
      <w:rPr>
        <w:b/>
        <w:bCs/>
      </w:rPr>
    </w:tblStylePr>
    <w:tblStylePr w:type="lastCol">
      <w:rPr>
        <w:b/>
        <w:bCs/>
      </w:rPr>
    </w:tblStylePr>
  </w:style>
  <w:style w:type="table" w:customStyle="1" w:styleId="1-31">
    <w:name w:val="טבלת רשת 1 בהירה - הדגשה 31"/>
    <w:basedOn w:val="TableNormal"/>
    <w:uiPriority w:val="46"/>
    <w:rsid w:val="00387987"/>
    <w:pPr>
      <w:spacing w:after="0" w:line="240" w:lineRule="auto"/>
    </w:pPr>
    <w:tblPr>
      <w:tblStyleRowBandSize w:val="1"/>
      <w:tblStyleColBandSize w:val="1"/>
      <w:tblBorders>
        <w:top w:val="single" w:sz="4" w:space="0" w:color="A8EBEF" w:themeColor="accent3" w:themeTint="66"/>
        <w:left w:val="single" w:sz="4" w:space="0" w:color="A8EBEF" w:themeColor="accent3" w:themeTint="66"/>
        <w:bottom w:val="single" w:sz="4" w:space="0" w:color="A8EBEF" w:themeColor="accent3" w:themeTint="66"/>
        <w:right w:val="single" w:sz="4" w:space="0" w:color="A8EBEF" w:themeColor="accent3" w:themeTint="66"/>
        <w:insideH w:val="single" w:sz="4" w:space="0" w:color="A8EBEF" w:themeColor="accent3" w:themeTint="66"/>
        <w:insideV w:val="single" w:sz="4" w:space="0" w:color="A8EBEF" w:themeColor="accent3" w:themeTint="66"/>
      </w:tblBorders>
    </w:tblPr>
    <w:tblStylePr w:type="firstRow">
      <w:rPr>
        <w:b/>
        <w:bCs/>
      </w:rPr>
      <w:tblPr/>
      <w:tcPr>
        <w:tcBorders>
          <w:bottom w:val="single" w:sz="12" w:space="0" w:color="7CE1E7" w:themeColor="accent3" w:themeTint="99"/>
        </w:tcBorders>
      </w:tcPr>
    </w:tblStylePr>
    <w:tblStylePr w:type="lastRow">
      <w:rPr>
        <w:b/>
        <w:bCs/>
      </w:rPr>
      <w:tblPr/>
      <w:tcPr>
        <w:tcBorders>
          <w:top w:val="double" w:sz="2" w:space="0" w:color="7CE1E7" w:themeColor="accent3" w:themeTint="99"/>
        </w:tcBorders>
      </w:tcPr>
    </w:tblStylePr>
    <w:tblStylePr w:type="firstCol">
      <w:rPr>
        <w:b/>
        <w:bCs/>
      </w:rPr>
    </w:tblStylePr>
    <w:tblStylePr w:type="lastCol">
      <w:rPr>
        <w:b/>
        <w:bCs/>
      </w:rPr>
    </w:tblStylePr>
  </w:style>
  <w:style w:type="table" w:customStyle="1" w:styleId="4-11">
    <w:name w:val="טבלת רשת 4 - הדגשה 11"/>
    <w:basedOn w:val="TableNormal"/>
    <w:uiPriority w:val="49"/>
    <w:rsid w:val="00387987"/>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insideV w:val="nil"/>
        </w:tcBorders>
        <w:shd w:val="clear" w:color="auto" w:fill="1CADE4" w:themeFill="accent1"/>
      </w:tcPr>
    </w:tblStylePr>
    <w:tblStylePr w:type="lastRow">
      <w:rPr>
        <w:b/>
        <w:bCs/>
      </w:rPr>
      <w:tblPr/>
      <w:tcPr>
        <w:tcBorders>
          <w:top w:val="double" w:sz="4" w:space="0" w:color="1CADE4" w:themeColor="accent1"/>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1110">
    <w:name w:val="טבלת רשת 1 בהירה1"/>
    <w:basedOn w:val="TableNormal"/>
    <w:uiPriority w:val="46"/>
    <w:rsid w:val="0038798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511">
    <w:name w:val="טבלה רגילה 51"/>
    <w:basedOn w:val="TableNormal"/>
    <w:uiPriority w:val="45"/>
    <w:rsid w:val="0038798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5-51">
    <w:name w:val="טבלת רשת 5 כהה - הדגשה 51"/>
    <w:basedOn w:val="TableNormal"/>
    <w:uiPriority w:val="50"/>
    <w:rsid w:val="0038798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BDA"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E885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E885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E885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E8853" w:themeFill="accent5"/>
      </w:tcPr>
    </w:tblStylePr>
    <w:tblStylePr w:type="band1Vert">
      <w:tblPr/>
      <w:tcPr>
        <w:shd w:val="clear" w:color="auto" w:fill="A9D7B6" w:themeFill="accent5" w:themeFillTint="66"/>
      </w:tcPr>
    </w:tblStylePr>
    <w:tblStylePr w:type="band1Horz">
      <w:tblPr/>
      <w:tcPr>
        <w:shd w:val="clear" w:color="auto" w:fill="A9D7B6" w:themeFill="accent5" w:themeFillTint="66"/>
      </w:tcPr>
    </w:tblStylePr>
  </w:style>
  <w:style w:type="paragraph" w:customStyle="1" w:styleId="7321">
    <w:name w:val="73א כוכבית טקסט רץ"/>
    <w:basedOn w:val="Normal"/>
    <w:qFormat/>
    <w:rsid w:val="00A6769C"/>
    <w:pPr>
      <w:spacing w:after="180" w:line="260" w:lineRule="exact"/>
      <w:jc w:val="center"/>
    </w:pPr>
    <w:rPr>
      <w:rFonts w:ascii="Segoe UI Symbol" w:hAnsi="Segoe UI Symbol" w:cs="Segoe UI Symbol"/>
      <w:color w:val="0D0D0D" w:themeColor="text1" w:themeTint="F2"/>
      <w:sz w:val="18"/>
      <w:szCs w:val="18"/>
    </w:rPr>
  </w:style>
  <w:style w:type="paragraph" w:customStyle="1" w:styleId="7322">
    <w:name w:val="73א כוכבית בתוך קוביה"/>
    <w:basedOn w:val="7318"/>
    <w:qFormat/>
    <w:rsid w:val="001F0DE8"/>
    <w:pPr>
      <w:jc w:val="center"/>
    </w:pPr>
    <w:rPr>
      <w:rFonts w:ascii="Segoe UI Symbol" w:hAnsi="Segoe UI Symbol" w:cs="Segoe UI Symbol"/>
    </w:rPr>
  </w:style>
  <w:style w:type="paragraph" w:customStyle="1" w:styleId="7323">
    <w:name w:val="73א הזחה אותיות"/>
    <w:basedOn w:val="ListParagraph"/>
    <w:qFormat/>
    <w:rsid w:val="0086219D"/>
    <w:pPr>
      <w:numPr>
        <w:numId w:val="4"/>
      </w:numPr>
      <w:spacing w:after="180" w:line="260" w:lineRule="exact"/>
      <w:ind w:left="794" w:hanging="397"/>
    </w:pPr>
    <w:rPr>
      <w:rFonts w:ascii="Tahoma" w:hAnsi="Tahoma" w:cs="Tahoma"/>
      <w:color w:val="0D0D0D" w:themeColor="text1" w:themeTint="F2"/>
      <w:sz w:val="18"/>
      <w:szCs w:val="18"/>
    </w:rPr>
  </w:style>
  <w:style w:type="paragraph" w:customStyle="1" w:styleId="7324">
    <w:name w:val="73א מספור בתוך קוביה"/>
    <w:basedOn w:val="ListParagraph"/>
    <w:qFormat/>
    <w:rsid w:val="00520550"/>
    <w:pPr>
      <w:numPr>
        <w:numId w:val="5"/>
      </w:numPr>
      <w:pBdr>
        <w:top w:val="single" w:sz="18" w:space="4" w:color="CEEAF6"/>
        <w:left w:val="single" w:sz="18" w:space="11" w:color="CEEAF6"/>
        <w:bottom w:val="single" w:sz="18" w:space="6" w:color="CEEAF6"/>
        <w:right w:val="single" w:sz="18" w:space="11" w:color="CEEAF6"/>
      </w:pBdr>
      <w:shd w:val="solid" w:color="CEEAF6" w:fill="CEEAF6"/>
      <w:spacing w:after="120" w:line="260" w:lineRule="exact"/>
      <w:ind w:left="1077" w:right="227" w:hanging="397"/>
      <w:contextualSpacing w:val="0"/>
    </w:pPr>
    <w:rPr>
      <w:rFonts w:ascii="Tahoma" w:hAnsi="Tahoma" w:cs="Tahoma"/>
      <w:color w:val="0D0D0D" w:themeColor="text1" w:themeTint="F2"/>
      <w:sz w:val="18"/>
      <w:szCs w:val="18"/>
    </w:rPr>
  </w:style>
  <w:style w:type="paragraph" w:customStyle="1" w:styleId="a15">
    <w:name w:val="נבנצלים"/>
    <w:basedOn w:val="Normal"/>
    <w:next w:val="Normal"/>
    <w:rsid w:val="00114E4E"/>
    <w:pPr>
      <w:widowControl w:val="0"/>
      <w:ind w:left="-567"/>
    </w:pPr>
    <w:rPr>
      <w:rFonts w:eastAsia="Times New Roman"/>
      <w:sz w:val="24"/>
      <w:szCs w:val="20"/>
      <w:lang w:eastAsia="he-IL"/>
    </w:rPr>
  </w:style>
  <w:style w:type="paragraph" w:styleId="BodyText">
    <w:name w:val="Body Text"/>
    <w:basedOn w:val="Normal"/>
    <w:link w:val="28"/>
    <w:unhideWhenUsed/>
    <w:rsid w:val="00114E4E"/>
    <w:pPr>
      <w:spacing w:after="120"/>
    </w:pPr>
  </w:style>
  <w:style w:type="character" w:customStyle="1" w:styleId="28">
    <w:name w:val="גוף טקסט תו2"/>
    <w:basedOn w:val="DefaultParagraphFont"/>
    <w:link w:val="BodyText"/>
    <w:uiPriority w:val="99"/>
    <w:rsid w:val="00114E4E"/>
  </w:style>
  <w:style w:type="character" w:customStyle="1" w:styleId="Bodytext5">
    <w:name w:val="Body text (5)_"/>
    <w:basedOn w:val="DefaultParagraphFont"/>
    <w:link w:val="Bodytext50"/>
    <w:rsid w:val="00114E4E"/>
    <w:rPr>
      <w:rFonts w:ascii="David" w:eastAsia="David" w:hAnsi="David"/>
      <w:sz w:val="21"/>
      <w:szCs w:val="21"/>
      <w:shd w:val="clear" w:color="auto" w:fill="FFFFFF"/>
    </w:rPr>
  </w:style>
  <w:style w:type="paragraph" w:customStyle="1" w:styleId="Bodytext50">
    <w:name w:val="Body text (5)"/>
    <w:basedOn w:val="Normal"/>
    <w:link w:val="Bodytext5"/>
    <w:rsid w:val="00114E4E"/>
    <w:pPr>
      <w:widowControl w:val="0"/>
      <w:shd w:val="clear" w:color="auto" w:fill="FFFFFF"/>
      <w:spacing w:before="480" w:line="234" w:lineRule="exact"/>
      <w:ind w:hanging="5440"/>
      <w:jc w:val="left"/>
    </w:pPr>
    <w:rPr>
      <w:rFonts w:ascii="David" w:eastAsia="David" w:hAnsi="David"/>
      <w:sz w:val="21"/>
      <w:szCs w:val="21"/>
    </w:rPr>
  </w:style>
  <w:style w:type="paragraph" w:styleId="Subtitle">
    <w:name w:val="Subtitle"/>
    <w:basedOn w:val="Normal"/>
    <w:next w:val="Normal"/>
    <w:link w:val="a16"/>
    <w:qFormat/>
    <w:rsid w:val="00114E4E"/>
    <w:pPr>
      <w:spacing w:after="60" w:line="240" w:lineRule="auto"/>
      <w:jc w:val="center"/>
      <w:outlineLvl w:val="1"/>
    </w:pPr>
    <w:rPr>
      <w:rFonts w:ascii="Cambria" w:eastAsia="Times New Roman" w:hAnsi="Cambria" w:cs="Times New Roman"/>
      <w:sz w:val="24"/>
      <w:lang w:val="x-none" w:eastAsia="x-none"/>
    </w:rPr>
  </w:style>
  <w:style w:type="character" w:customStyle="1" w:styleId="a16">
    <w:name w:val="כותרת משנה תו"/>
    <w:basedOn w:val="DefaultParagraphFont"/>
    <w:link w:val="Subtitle"/>
    <w:rsid w:val="00114E4E"/>
    <w:rPr>
      <w:rFonts w:ascii="Cambria" w:eastAsia="Times New Roman" w:hAnsi="Cambria" w:cs="Times New Roman"/>
      <w:sz w:val="24"/>
      <w:lang w:val="x-none" w:eastAsia="x-none"/>
    </w:rPr>
  </w:style>
  <w:style w:type="paragraph" w:styleId="HTMLTopofForm">
    <w:name w:val="HTML Top of Form"/>
    <w:basedOn w:val="Normal"/>
    <w:next w:val="Normal"/>
    <w:link w:val="z-"/>
    <w:hidden/>
    <w:uiPriority w:val="99"/>
    <w:semiHidden/>
    <w:unhideWhenUsed/>
    <w:rsid w:val="00114E4E"/>
    <w:pPr>
      <w:pBdr>
        <w:bottom w:val="single" w:sz="6" w:space="1" w:color="auto"/>
      </w:pBdr>
      <w:bidi w:val="0"/>
      <w:spacing w:line="240" w:lineRule="auto"/>
      <w:jc w:val="center"/>
    </w:pPr>
    <w:rPr>
      <w:rFonts w:ascii="Arial" w:eastAsia="Times New Roman" w:hAnsi="Arial" w:cs="Arial"/>
      <w:vanish/>
      <w:sz w:val="16"/>
      <w:szCs w:val="16"/>
    </w:rPr>
  </w:style>
  <w:style w:type="character" w:customStyle="1" w:styleId="z-">
    <w:name w:val="z-ראש טופס תו"/>
    <w:basedOn w:val="DefaultParagraphFont"/>
    <w:link w:val="HTMLTopofForm"/>
    <w:uiPriority w:val="99"/>
    <w:semiHidden/>
    <w:rsid w:val="00114E4E"/>
    <w:rPr>
      <w:rFonts w:ascii="Arial" w:eastAsia="Times New Roman" w:hAnsi="Arial" w:cs="Arial"/>
      <w:vanish/>
      <w:sz w:val="16"/>
      <w:szCs w:val="16"/>
    </w:rPr>
  </w:style>
  <w:style w:type="character" w:customStyle="1" w:styleId="92">
    <w:name w:val="כותרת 9 תו2"/>
    <w:basedOn w:val="DefaultParagraphFont"/>
    <w:link w:val="Heading9"/>
    <w:uiPriority w:val="9"/>
    <w:semiHidden/>
    <w:rsid w:val="00BA23AE"/>
    <w:rPr>
      <w:rFonts w:asciiTheme="majorHAnsi" w:eastAsiaTheme="majorEastAsia" w:hAnsiTheme="majorHAnsi" w:cstheme="majorBidi"/>
      <w:i/>
      <w:iCs/>
      <w:color w:val="272727" w:themeColor="text1" w:themeTint="D8"/>
      <w:sz w:val="21"/>
      <w:szCs w:val="21"/>
    </w:rPr>
  </w:style>
  <w:style w:type="paragraph" w:customStyle="1" w:styleId="font2">
    <w:name w:val="font_2"/>
    <w:basedOn w:val="Normal"/>
    <w:rsid w:val="00BA23AE"/>
    <w:pPr>
      <w:bidi w:val="0"/>
      <w:spacing w:before="100" w:beforeAutospacing="1" w:after="100" w:afterAutospacing="1" w:line="240" w:lineRule="auto"/>
      <w:jc w:val="left"/>
    </w:pPr>
    <w:rPr>
      <w:rFonts w:eastAsia="Times New Roman" w:cs="Times New Roman"/>
      <w:sz w:val="24"/>
    </w:rPr>
  </w:style>
  <w:style w:type="table" w:customStyle="1" w:styleId="4-61">
    <w:name w:val="טבלת רשת 4 - הדגשה 61"/>
    <w:basedOn w:val="TableNormal"/>
    <w:uiPriority w:val="49"/>
    <w:rsid w:val="00BA23AE"/>
    <w:pPr>
      <w:spacing w:after="0" w:line="240" w:lineRule="auto"/>
    </w:pPr>
    <w:tblPr>
      <w:tblStyleRowBandSize w:val="1"/>
      <w:tblStyleColBandSize w:val="1"/>
      <w:tblBorders>
        <w:top w:val="single" w:sz="4" w:space="0" w:color="A0C7C5" w:themeColor="accent6" w:themeTint="99"/>
        <w:left w:val="single" w:sz="4" w:space="0" w:color="A0C7C5" w:themeColor="accent6" w:themeTint="99"/>
        <w:bottom w:val="single" w:sz="4" w:space="0" w:color="A0C7C5" w:themeColor="accent6" w:themeTint="99"/>
        <w:right w:val="single" w:sz="4" w:space="0" w:color="A0C7C5" w:themeColor="accent6" w:themeTint="99"/>
        <w:insideH w:val="single" w:sz="4" w:space="0" w:color="A0C7C5" w:themeColor="accent6" w:themeTint="99"/>
        <w:insideV w:val="single" w:sz="4" w:space="0" w:color="A0C7C5" w:themeColor="accent6" w:themeTint="99"/>
      </w:tblBorders>
    </w:tblPr>
    <w:tblStylePr w:type="firstRow">
      <w:rPr>
        <w:b/>
        <w:bCs/>
        <w:color w:val="FFFFFF" w:themeColor="background1"/>
      </w:rPr>
      <w:tblPr/>
      <w:tcPr>
        <w:tcBorders>
          <w:top w:val="single" w:sz="4" w:space="0" w:color="62A39F" w:themeColor="accent6"/>
          <w:left w:val="single" w:sz="4" w:space="0" w:color="62A39F" w:themeColor="accent6"/>
          <w:bottom w:val="single" w:sz="4" w:space="0" w:color="62A39F" w:themeColor="accent6"/>
          <w:right w:val="single" w:sz="4" w:space="0" w:color="62A39F" w:themeColor="accent6"/>
          <w:insideH w:val="nil"/>
          <w:insideV w:val="nil"/>
        </w:tcBorders>
        <w:shd w:val="clear" w:color="auto" w:fill="62A39F" w:themeFill="accent6"/>
      </w:tcPr>
    </w:tblStylePr>
    <w:tblStylePr w:type="lastRow">
      <w:rPr>
        <w:b/>
        <w:bCs/>
      </w:rPr>
      <w:tblPr/>
      <w:tcPr>
        <w:tcBorders>
          <w:top w:val="double" w:sz="4" w:space="0" w:color="62A39F" w:themeColor="accent6"/>
        </w:tcBorders>
      </w:tcPr>
    </w:tblStylePr>
    <w:tblStylePr w:type="firstCol">
      <w:rPr>
        <w:b/>
        <w:bCs/>
      </w:rPr>
    </w:tblStylePr>
    <w:tblStylePr w:type="lastCol">
      <w:rPr>
        <w:b/>
        <w:bCs/>
      </w:rPr>
    </w:tblStylePr>
    <w:tblStylePr w:type="band1Vert">
      <w:tblPr/>
      <w:tcPr>
        <w:shd w:val="clear" w:color="auto" w:fill="DFECEB" w:themeFill="accent6" w:themeFillTint="33"/>
      </w:tcPr>
    </w:tblStylePr>
    <w:tblStylePr w:type="band1Horz">
      <w:tblPr/>
      <w:tcPr>
        <w:shd w:val="clear" w:color="auto" w:fill="DFECEB" w:themeFill="accent6" w:themeFillTint="33"/>
      </w:tcPr>
    </w:tblStylePr>
  </w:style>
  <w:style w:type="table" w:customStyle="1" w:styleId="312">
    <w:name w:val="טבלת רשת 31"/>
    <w:basedOn w:val="TableNormal"/>
    <w:uiPriority w:val="48"/>
    <w:rsid w:val="00BA23A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P220">
    <w:name w:val="P22"/>
    <w:basedOn w:val="Normal"/>
    <w:rsid w:val="00454096"/>
    <w:pPr>
      <w:widowControl w:val="0"/>
      <w:tabs>
        <w:tab w:val="left" w:pos="1474"/>
        <w:tab w:val="left" w:pos="1928"/>
        <w:tab w:val="left" w:pos="2381"/>
        <w:tab w:val="left" w:pos="2835"/>
        <w:tab w:val="right" w:leader="dot" w:pos="6259"/>
      </w:tabs>
      <w:suppressAutoHyphens/>
      <w:autoSpaceDE w:val="0"/>
      <w:autoSpaceDN w:val="0"/>
      <w:spacing w:before="60" w:line="240" w:lineRule="auto"/>
      <w:ind w:left="2835" w:right="1021"/>
    </w:pPr>
    <w:rPr>
      <w:rFonts w:eastAsia="Times New Roman" w:cs="FrankRuehl"/>
      <w:noProof/>
      <w:szCs w:val="26"/>
      <w:lang w:eastAsia="he-IL"/>
    </w:rPr>
  </w:style>
  <w:style w:type="paragraph" w:customStyle="1" w:styleId="P33">
    <w:name w:val="P33"/>
    <w:basedOn w:val="Normal"/>
    <w:rsid w:val="00454096"/>
    <w:pPr>
      <w:widowControl w:val="0"/>
      <w:tabs>
        <w:tab w:val="left" w:pos="1928"/>
        <w:tab w:val="left" w:pos="2381"/>
        <w:tab w:val="left" w:pos="2835"/>
        <w:tab w:val="right" w:leader="dot" w:pos="6259"/>
      </w:tabs>
      <w:suppressAutoHyphens/>
      <w:autoSpaceDE w:val="0"/>
      <w:autoSpaceDN w:val="0"/>
      <w:spacing w:before="60" w:line="240" w:lineRule="auto"/>
      <w:ind w:left="2835" w:right="1474"/>
    </w:pPr>
    <w:rPr>
      <w:rFonts w:eastAsia="Times New Roman" w:cs="FrankRuehl"/>
      <w:noProof/>
      <w:szCs w:val="26"/>
      <w:lang w:eastAsia="he-IL"/>
    </w:rPr>
  </w:style>
  <w:style w:type="table" w:customStyle="1" w:styleId="6-31">
    <w:name w:val="טבלת רשת 6 צבעונית - הדגשה 31"/>
    <w:basedOn w:val="TableNormal"/>
    <w:uiPriority w:val="51"/>
    <w:rsid w:val="00BA23AE"/>
    <w:pPr>
      <w:spacing w:after="0" w:line="240" w:lineRule="auto"/>
    </w:pPr>
    <w:rPr>
      <w:color w:val="1D99A0" w:themeColor="accent3" w:themeShade="BF"/>
    </w:rPr>
    <w:tblPr>
      <w:tblStyleRowBandSize w:val="1"/>
      <w:tblStyleColBandSize w:val="1"/>
      <w:tblBorders>
        <w:top w:val="single" w:sz="4" w:space="0" w:color="7CE1E7" w:themeColor="accent3" w:themeTint="99"/>
        <w:left w:val="single" w:sz="4" w:space="0" w:color="7CE1E7" w:themeColor="accent3" w:themeTint="99"/>
        <w:bottom w:val="single" w:sz="4" w:space="0" w:color="7CE1E7" w:themeColor="accent3" w:themeTint="99"/>
        <w:right w:val="single" w:sz="4" w:space="0" w:color="7CE1E7" w:themeColor="accent3" w:themeTint="99"/>
        <w:insideH w:val="single" w:sz="4" w:space="0" w:color="7CE1E7" w:themeColor="accent3" w:themeTint="99"/>
        <w:insideV w:val="single" w:sz="4" w:space="0" w:color="7CE1E7" w:themeColor="accent3" w:themeTint="99"/>
      </w:tblBorders>
    </w:tblPr>
    <w:tblStylePr w:type="firstRow">
      <w:rPr>
        <w:b/>
        <w:bCs/>
      </w:rPr>
      <w:tblPr/>
      <w:tcPr>
        <w:tcBorders>
          <w:bottom w:val="single" w:sz="12" w:space="0" w:color="7CE1E7" w:themeColor="accent3" w:themeTint="99"/>
        </w:tcBorders>
      </w:tcPr>
    </w:tblStylePr>
    <w:tblStylePr w:type="lastRow">
      <w:rPr>
        <w:b/>
        <w:bCs/>
      </w:rPr>
      <w:tblPr/>
      <w:tcPr>
        <w:tcBorders>
          <w:top w:val="double" w:sz="4" w:space="0" w:color="7CE1E7" w:themeColor="accent3" w:themeTint="99"/>
        </w:tcBorders>
      </w:tcPr>
    </w:tblStylePr>
    <w:tblStylePr w:type="firstCol">
      <w:rPr>
        <w:b/>
        <w:bCs/>
      </w:rPr>
    </w:tblStylePr>
    <w:tblStylePr w:type="lastCol">
      <w:rPr>
        <w:b/>
        <w:bCs/>
      </w:rPr>
    </w:tblStylePr>
    <w:tblStylePr w:type="band1Vert">
      <w:tblPr/>
      <w:tcPr>
        <w:shd w:val="clear" w:color="auto" w:fill="D3F5F7" w:themeFill="accent3" w:themeFillTint="33"/>
      </w:tcPr>
    </w:tblStylePr>
    <w:tblStylePr w:type="band1Horz">
      <w:tblPr/>
      <w:tcPr>
        <w:shd w:val="clear" w:color="auto" w:fill="D3F5F7" w:themeFill="accent3" w:themeFillTint="33"/>
      </w:tcPr>
    </w:tblStylePr>
  </w:style>
  <w:style w:type="paragraph" w:styleId="NoSpacing">
    <w:name w:val="No Spacing"/>
    <w:link w:val="a17"/>
    <w:uiPriority w:val="1"/>
    <w:qFormat/>
    <w:rsid w:val="00BA23AE"/>
    <w:pPr>
      <w:bidi/>
      <w:spacing w:after="0" w:line="240" w:lineRule="auto"/>
      <w:jc w:val="left"/>
    </w:pPr>
    <w:rPr>
      <w:rFonts w:asciiTheme="minorHAnsi" w:eastAsiaTheme="minorEastAsia" w:hAnsiTheme="minorHAnsi" w:cstheme="minorBidi"/>
      <w:sz w:val="22"/>
      <w:szCs w:val="22"/>
    </w:rPr>
  </w:style>
  <w:style w:type="character" w:customStyle="1" w:styleId="a17">
    <w:name w:val="ללא מרווח תו"/>
    <w:basedOn w:val="DefaultParagraphFont"/>
    <w:link w:val="NoSpacing"/>
    <w:uiPriority w:val="1"/>
    <w:rsid w:val="00BA23AE"/>
    <w:rPr>
      <w:rFonts w:asciiTheme="minorHAnsi" w:eastAsiaTheme="minorEastAsia" w:hAnsiTheme="minorHAnsi" w:cstheme="minorBidi"/>
      <w:sz w:val="22"/>
      <w:szCs w:val="22"/>
    </w:rPr>
  </w:style>
  <w:style w:type="paragraph" w:customStyle="1" w:styleId="CharChar">
    <w:name w:val="גופן ברירת המחדל של קטע פסקה תו Char תו Char תו"/>
    <w:basedOn w:val="Normal"/>
    <w:rsid w:val="00BA23AE"/>
    <w:pPr>
      <w:keepLines/>
      <w:tabs>
        <w:tab w:val="left" w:pos="397"/>
        <w:tab w:val="left" w:pos="794"/>
        <w:tab w:val="left" w:pos="1191"/>
        <w:tab w:val="left" w:pos="1588"/>
        <w:tab w:val="left" w:pos="1985"/>
        <w:tab w:val="left" w:pos="2381"/>
        <w:tab w:val="left" w:pos="2778"/>
        <w:tab w:val="left" w:pos="3175"/>
        <w:tab w:val="left" w:pos="3572"/>
      </w:tabs>
      <w:spacing w:line="240" w:lineRule="auto"/>
    </w:pPr>
    <w:rPr>
      <w:rFonts w:ascii="Arial" w:eastAsia="Times New Roman" w:hAnsi="Arial"/>
      <w:noProof/>
      <w:sz w:val="24"/>
      <w:szCs w:val="28"/>
      <w:lang w:eastAsia="he-IL"/>
    </w:rPr>
  </w:style>
  <w:style w:type="character" w:customStyle="1" w:styleId="91">
    <w:name w:val="כותרת 9 תו1"/>
    <w:basedOn w:val="DefaultParagraphFont"/>
    <w:uiPriority w:val="9"/>
    <w:rsid w:val="00BA23AE"/>
    <w:rPr>
      <w:rFonts w:asciiTheme="majorHAnsi" w:eastAsiaTheme="majorEastAsia" w:hAnsiTheme="majorHAnsi" w:cstheme="majorBidi"/>
      <w:i/>
      <w:iCs/>
      <w:color w:val="134163" w:themeColor="accent2" w:themeShade="80"/>
      <w:sz w:val="22"/>
      <w:szCs w:val="22"/>
    </w:rPr>
  </w:style>
  <w:style w:type="table" w:customStyle="1" w:styleId="411">
    <w:name w:val="טבלת רשת 41"/>
    <w:basedOn w:val="TableNormal"/>
    <w:uiPriority w:val="49"/>
    <w:rsid w:val="00BA23A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12">
    <w:name w:val="טבלת רשת 21"/>
    <w:basedOn w:val="TableNormal"/>
    <w:uiPriority w:val="47"/>
    <w:rsid w:val="00BA23A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a18">
    <w:name w:val="טבלה הערות מתחת"/>
    <w:basedOn w:val="733"/>
    <w:qFormat/>
    <w:rsid w:val="00771BEC"/>
    <w:pPr>
      <w:spacing w:before="120"/>
    </w:pPr>
  </w:style>
  <w:style w:type="paragraph" w:customStyle="1" w:styleId="7325">
    <w:name w:val="73א אותיות רשימה א"/>
    <w:aliases w:val="ב"/>
    <w:basedOn w:val="ListParagraph"/>
    <w:qFormat/>
    <w:rsid w:val="00A858E9"/>
    <w:pPr>
      <w:widowControl w:val="0"/>
      <w:numPr>
        <w:numId w:val="6"/>
      </w:numPr>
      <w:spacing w:after="180" w:line="260" w:lineRule="exact"/>
    </w:pPr>
    <w:rPr>
      <w:rFonts w:ascii="Tahoma" w:hAnsi="Tahoma" w:cs="Tahoma"/>
      <w:color w:val="0D0D0D" w:themeColor="text1" w:themeTint="F2"/>
      <w:sz w:val="18"/>
      <w:szCs w:val="18"/>
    </w:rPr>
  </w:style>
  <w:style w:type="paragraph" w:customStyle="1" w:styleId="a19">
    <w:name w:val="אורח"/>
    <w:basedOn w:val="Normal"/>
    <w:next w:val="Normal"/>
    <w:rsid w:val="00CF1EB5"/>
    <w:pPr>
      <w:spacing w:line="240" w:lineRule="exact"/>
    </w:pPr>
    <w:rPr>
      <w:rFonts w:ascii="David" w:eastAsia="Times New Roman" w:hAnsi="David"/>
      <w:sz w:val="24"/>
      <w:u w:val="single"/>
    </w:rPr>
  </w:style>
  <w:style w:type="paragraph" w:customStyle="1" w:styleId="a20">
    <w:name w:val="קריאות"/>
    <w:basedOn w:val="Normal"/>
    <w:next w:val="Normal"/>
    <w:rsid w:val="00CF1EB5"/>
    <w:pPr>
      <w:spacing w:line="240" w:lineRule="exact"/>
    </w:pPr>
    <w:rPr>
      <w:rFonts w:ascii="David" w:eastAsia="Times New Roman" w:hAnsi="David"/>
      <w:sz w:val="24"/>
      <w:u w:val="single"/>
      <w:lang w:eastAsia="he-IL"/>
    </w:rPr>
  </w:style>
  <w:style w:type="paragraph" w:customStyle="1" w:styleId="-0">
    <w:name w:val="דובר-המשך"/>
    <w:basedOn w:val="Normal"/>
    <w:next w:val="Normal"/>
    <w:rsid w:val="00CF1EB5"/>
    <w:pPr>
      <w:spacing w:line="240" w:lineRule="exact"/>
    </w:pPr>
    <w:rPr>
      <w:rFonts w:ascii="David" w:eastAsia="Times New Roman" w:hAnsi="David"/>
      <w:sz w:val="24"/>
      <w:u w:val="single"/>
      <w:lang w:eastAsia="he-IL"/>
    </w:rPr>
  </w:style>
  <w:style w:type="paragraph" w:customStyle="1" w:styleId="a21">
    <w:name w:val="יור"/>
    <w:basedOn w:val="Normal"/>
    <w:next w:val="Normal"/>
    <w:rsid w:val="00CF1EB5"/>
    <w:pPr>
      <w:spacing w:line="240" w:lineRule="exact"/>
    </w:pPr>
    <w:rPr>
      <w:rFonts w:ascii="David" w:eastAsia="Times New Roman" w:hAnsi="David"/>
      <w:sz w:val="24"/>
      <w:u w:val="single"/>
      <w:lang w:eastAsia="he-IL"/>
    </w:rPr>
  </w:style>
  <w:style w:type="character" w:customStyle="1" w:styleId="Char3">
    <w:name w:val="ציטוט בג&quot;צ Char"/>
    <w:link w:val="a22"/>
    <w:locked/>
    <w:rsid w:val="00CF1EB5"/>
    <w:rPr>
      <w:bCs/>
      <w:noProof/>
      <w:sz w:val="24"/>
      <w:lang w:eastAsia="he-IL"/>
    </w:rPr>
  </w:style>
  <w:style w:type="paragraph" w:customStyle="1" w:styleId="a22">
    <w:name w:val="ציטוט בג&quot;צ"/>
    <w:basedOn w:val="Normal"/>
    <w:link w:val="Char3"/>
    <w:qFormat/>
    <w:rsid w:val="00CF1EB5"/>
    <w:pPr>
      <w:spacing w:line="240" w:lineRule="auto"/>
      <w:ind w:left="1440" w:right="1440"/>
    </w:pPr>
    <w:rPr>
      <w:bCs/>
      <w:noProof/>
      <w:sz w:val="24"/>
      <w:lang w:eastAsia="he-IL"/>
    </w:rPr>
  </w:style>
  <w:style w:type="paragraph" w:customStyle="1" w:styleId="7380">
    <w:name w:val="73א כותרת 8"/>
    <w:basedOn w:val="Heading8"/>
    <w:qFormat/>
    <w:rsid w:val="003855E1"/>
    <w:pPr>
      <w:spacing w:after="120"/>
    </w:pPr>
    <w:rPr>
      <w:rFonts w:ascii="Tahoma" w:hAnsi="Tahoma" w:cs="Tahoma"/>
      <w:color w:val="00305F"/>
      <w:spacing w:val="20"/>
      <w:sz w:val="19"/>
      <w:szCs w:val="19"/>
    </w:rPr>
  </w:style>
  <w:style w:type="paragraph" w:customStyle="1" w:styleId="73610">
    <w:name w:val="73א כותרת 6_10"/>
    <w:basedOn w:val="73512"/>
    <w:link w:val="736100"/>
    <w:qFormat/>
    <w:rsid w:val="0078358A"/>
    <w:pPr>
      <w:outlineLvl w:val="5"/>
    </w:pPr>
    <w:rPr>
      <w:sz w:val="20"/>
      <w:szCs w:val="20"/>
    </w:rPr>
  </w:style>
  <w:style w:type="table" w:customStyle="1" w:styleId="5-31">
    <w:name w:val="טבלת רשת 5 כהה - הדגשה 31"/>
    <w:basedOn w:val="TableNormal"/>
    <w:uiPriority w:val="50"/>
    <w:rsid w:val="00E73D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F5F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7CED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7CED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7CED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7CED7" w:themeFill="accent3"/>
      </w:tcPr>
    </w:tblStylePr>
    <w:tblStylePr w:type="band1Vert">
      <w:tblPr/>
      <w:tcPr>
        <w:shd w:val="clear" w:color="auto" w:fill="A8EBEF" w:themeFill="accent3" w:themeFillTint="66"/>
      </w:tcPr>
    </w:tblStylePr>
    <w:tblStylePr w:type="band1Horz">
      <w:tblPr/>
      <w:tcPr>
        <w:shd w:val="clear" w:color="auto" w:fill="A8EBEF" w:themeFill="accent3" w:themeFillTint="66"/>
      </w:tcPr>
    </w:tblStylePr>
  </w:style>
  <w:style w:type="table" w:customStyle="1" w:styleId="2-11">
    <w:name w:val="טבלת רשת 2 - הדגשה 11"/>
    <w:basedOn w:val="TableNormal"/>
    <w:uiPriority w:val="47"/>
    <w:rsid w:val="00E73D0E"/>
    <w:pPr>
      <w:spacing w:after="0" w:line="240" w:lineRule="auto"/>
    </w:pPr>
    <w:tblPr>
      <w:tblStyleRowBandSize w:val="1"/>
      <w:tblStyleColBandSize w:val="1"/>
      <w:tblBorders>
        <w:top w:val="single" w:sz="2" w:space="0" w:color="76CDEE" w:themeColor="accent1" w:themeTint="99"/>
        <w:bottom w:val="single" w:sz="2" w:space="0" w:color="76CDEE" w:themeColor="accent1" w:themeTint="99"/>
        <w:insideH w:val="single" w:sz="2" w:space="0" w:color="76CDEE" w:themeColor="accent1" w:themeTint="99"/>
        <w:insideV w:val="single" w:sz="2" w:space="0" w:color="76CDEE" w:themeColor="accent1" w:themeTint="99"/>
      </w:tblBorders>
    </w:tblPr>
    <w:tblStylePr w:type="firstRow">
      <w:rPr>
        <w:b/>
        <w:bCs/>
      </w:rPr>
      <w:tblPr/>
      <w:tcPr>
        <w:tcBorders>
          <w:top w:val="nil"/>
          <w:bottom w:val="single" w:sz="12" w:space="0" w:color="76CDEE" w:themeColor="accent1" w:themeTint="99"/>
          <w:insideH w:val="nil"/>
          <w:insideV w:val="nil"/>
        </w:tcBorders>
        <w:shd w:val="clear" w:color="auto" w:fill="FFFFFF" w:themeFill="background1"/>
      </w:tcPr>
    </w:tblStylePr>
    <w:tblStylePr w:type="lastRow">
      <w:rPr>
        <w:b/>
        <w:bCs/>
      </w:rPr>
      <w:tblPr/>
      <w:tcPr>
        <w:tcBorders>
          <w:top w:val="double" w:sz="2" w:space="0" w:color="76CDE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4-110">
    <w:name w:val="טבלת רשימה 4 - הדגשה 11"/>
    <w:basedOn w:val="TableNormal"/>
    <w:uiPriority w:val="49"/>
    <w:rsid w:val="00E73D0E"/>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tcBorders>
        <w:shd w:val="clear" w:color="auto" w:fill="1CADE4" w:themeFill="accent1"/>
      </w:tcPr>
    </w:tblStylePr>
    <w:tblStylePr w:type="lastRow">
      <w:rPr>
        <w:b/>
        <w:bCs/>
      </w:rPr>
      <w:tblPr/>
      <w:tcPr>
        <w:tcBorders>
          <w:top w:val="double" w:sz="4" w:space="0" w:color="76CDEE" w:themeColor="accent1" w:themeTint="99"/>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6-11">
    <w:name w:val="טבלת רשת 6 צבעונית - הדגשה 11"/>
    <w:basedOn w:val="TableNormal"/>
    <w:uiPriority w:val="51"/>
    <w:rsid w:val="00E73D0E"/>
    <w:pPr>
      <w:spacing w:after="0" w:line="240" w:lineRule="auto"/>
    </w:pPr>
    <w:rPr>
      <w:color w:val="1481AB" w:themeColor="accent1" w:themeShade="BF"/>
    </w:r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rPr>
      <w:tblPr/>
      <w:tcPr>
        <w:tcBorders>
          <w:bottom w:val="single" w:sz="12" w:space="0" w:color="76CDEE" w:themeColor="accent1" w:themeTint="99"/>
        </w:tcBorders>
      </w:tcPr>
    </w:tblStylePr>
    <w:tblStylePr w:type="lastRow">
      <w:rPr>
        <w:b/>
        <w:bCs/>
      </w:rPr>
      <w:tblPr/>
      <w:tcPr>
        <w:tcBorders>
          <w:top w:val="double" w:sz="4" w:space="0" w:color="76CDEE" w:themeColor="accent1" w:themeTint="99"/>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character" w:customStyle="1" w:styleId="124">
    <w:name w:val="כותרת טקסט1"/>
    <w:basedOn w:val="DefaultParagraphFont"/>
    <w:rsid w:val="00D81F77"/>
  </w:style>
  <w:style w:type="paragraph" w:customStyle="1" w:styleId="a23">
    <w:name w:val="כותרת סעיף"/>
    <w:basedOn w:val="Normal"/>
    <w:rsid w:val="005F7321"/>
    <w:pPr>
      <w:numPr>
        <w:numId w:val="7"/>
      </w:numPr>
      <w:spacing w:before="240" w:line="360" w:lineRule="auto"/>
    </w:pPr>
    <w:rPr>
      <w:rFonts w:ascii="Arial" w:eastAsia="Times New Roman" w:hAnsi="Arial" w:cs="Arial"/>
      <w:b/>
      <w:bCs/>
      <w:color w:val="1B3461"/>
      <w:sz w:val="22"/>
      <w:szCs w:val="22"/>
    </w:rPr>
  </w:style>
  <w:style w:type="paragraph" w:customStyle="1" w:styleId="73BULLETS">
    <w:name w:val="73א בולטים BULLETS ריק"/>
    <w:basedOn w:val="ListParagraph"/>
    <w:qFormat/>
    <w:rsid w:val="00497FC7"/>
    <w:pPr>
      <w:widowControl w:val="0"/>
      <w:numPr>
        <w:numId w:val="8"/>
      </w:numPr>
      <w:spacing w:after="180" w:line="260" w:lineRule="exact"/>
      <w:contextualSpacing w:val="0"/>
    </w:pPr>
    <w:rPr>
      <w:rFonts w:ascii="Tahoma" w:eastAsia="Times New Roman" w:hAnsi="Tahoma" w:cs="Tahoma"/>
      <w:color w:val="0D0D0D" w:themeColor="text1" w:themeTint="F2"/>
      <w:sz w:val="18"/>
      <w:szCs w:val="18"/>
      <w:lang w:eastAsia="he-IL"/>
    </w:rPr>
  </w:style>
  <w:style w:type="paragraph" w:customStyle="1" w:styleId="73BULLETS07">
    <w:name w:val="73א בולטים BULLETS ריק הזחה 0.7"/>
    <w:basedOn w:val="73BULLETS"/>
    <w:qFormat/>
    <w:rsid w:val="00AA4F04"/>
    <w:pPr>
      <w:ind w:left="794"/>
    </w:pPr>
  </w:style>
  <w:style w:type="character" w:customStyle="1" w:styleId="EndnoteTextChar1">
    <w:name w:val="Endnote Text Char1"/>
    <w:basedOn w:val="DefaultParagraphFont"/>
    <w:uiPriority w:val="99"/>
    <w:semiHidden/>
    <w:rsid w:val="00DF2BC6"/>
    <w:rPr>
      <w:szCs w:val="20"/>
    </w:rPr>
  </w:style>
  <w:style w:type="character" w:customStyle="1" w:styleId="UnresolvedMention1">
    <w:name w:val="Unresolved Mention1"/>
    <w:basedOn w:val="DefaultParagraphFont"/>
    <w:uiPriority w:val="99"/>
    <w:semiHidden/>
    <w:unhideWhenUsed/>
    <w:rsid w:val="00B24213"/>
    <w:rPr>
      <w:color w:val="605E5C"/>
      <w:shd w:val="clear" w:color="auto" w:fill="E1DFDD"/>
    </w:rPr>
  </w:style>
  <w:style w:type="character" w:customStyle="1" w:styleId="Bodytext4">
    <w:name w:val="Body text (4)_"/>
    <w:basedOn w:val="DefaultParagraphFont"/>
    <w:link w:val="Bodytext40"/>
    <w:rsid w:val="008C0B8B"/>
    <w:rPr>
      <w:rFonts w:ascii="David" w:eastAsia="David" w:hAnsi="David"/>
      <w:b/>
      <w:bCs/>
      <w:sz w:val="22"/>
      <w:szCs w:val="22"/>
      <w:shd w:val="clear" w:color="auto" w:fill="FFFFFF"/>
    </w:rPr>
  </w:style>
  <w:style w:type="paragraph" w:customStyle="1" w:styleId="Bodytext40">
    <w:name w:val="Body text (4)"/>
    <w:basedOn w:val="Normal"/>
    <w:link w:val="Bodytext4"/>
    <w:rsid w:val="008C0B8B"/>
    <w:pPr>
      <w:widowControl w:val="0"/>
      <w:shd w:val="clear" w:color="auto" w:fill="FFFFFF"/>
      <w:adjustRightInd w:val="0"/>
      <w:spacing w:before="480" w:after="60" w:line="0" w:lineRule="atLeast"/>
      <w:ind w:hanging="360"/>
      <w:jc w:val="center"/>
      <w:textAlignment w:val="baseline"/>
    </w:pPr>
    <w:rPr>
      <w:rFonts w:ascii="David" w:eastAsia="David" w:hAnsi="David"/>
      <w:b/>
      <w:bCs/>
      <w:sz w:val="22"/>
      <w:szCs w:val="22"/>
    </w:rPr>
  </w:style>
  <w:style w:type="character" w:customStyle="1" w:styleId="Bodytext6NotItalic">
    <w:name w:val="Body text (6) + Not Italic"/>
    <w:basedOn w:val="DefaultParagraphFont"/>
    <w:rsid w:val="008C0B8B"/>
    <w:rPr>
      <w:rFonts w:ascii="David" w:eastAsia="David" w:hAnsi="David" w:cs="David"/>
      <w:b w:val="0"/>
      <w:bCs w:val="0"/>
      <w:i/>
      <w:iCs/>
      <w:smallCaps w:val="0"/>
      <w:strike w:val="0"/>
      <w:color w:val="000000"/>
      <w:spacing w:val="0"/>
      <w:w w:val="100"/>
      <w:position w:val="0"/>
      <w:sz w:val="22"/>
      <w:szCs w:val="22"/>
      <w:u w:val="none"/>
      <w:lang w:val="he-IL" w:eastAsia="he-IL" w:bidi="he-IL"/>
    </w:rPr>
  </w:style>
  <w:style w:type="paragraph" w:customStyle="1" w:styleId="big-header">
    <w:name w:val="big-header"/>
    <w:basedOn w:val="Normal"/>
    <w:rsid w:val="00205724"/>
    <w:pPr>
      <w:keepNext/>
      <w:keepLines/>
      <w:widowControl w:val="0"/>
      <w:tabs>
        <w:tab w:val="left" w:pos="624"/>
        <w:tab w:val="left" w:pos="1021"/>
        <w:tab w:val="left" w:pos="1474"/>
        <w:tab w:val="left" w:pos="1928"/>
        <w:tab w:val="left" w:pos="2381"/>
        <w:tab w:val="left" w:pos="2835"/>
      </w:tabs>
      <w:suppressAutoHyphens/>
      <w:autoSpaceDE w:val="0"/>
      <w:autoSpaceDN w:val="0"/>
      <w:spacing w:before="440" w:after="120" w:line="240" w:lineRule="auto"/>
      <w:ind w:left="2835"/>
      <w:jc w:val="center"/>
    </w:pPr>
    <w:rPr>
      <w:rFonts w:eastAsia="Times New Roman" w:cs="FrankRuehl"/>
      <w:noProof/>
      <w:szCs w:val="32"/>
      <w:lang w:eastAsia="he-IL"/>
    </w:rPr>
  </w:style>
  <w:style w:type="character" w:customStyle="1" w:styleId="UnresolvedMention11">
    <w:name w:val="Unresolved Mention11"/>
    <w:basedOn w:val="DefaultParagraphFont"/>
    <w:uiPriority w:val="99"/>
    <w:semiHidden/>
    <w:unhideWhenUsed/>
    <w:rsid w:val="00205724"/>
    <w:rPr>
      <w:color w:val="605E5C"/>
      <w:shd w:val="clear" w:color="auto" w:fill="E1DFDD"/>
    </w:rPr>
  </w:style>
  <w:style w:type="character" w:customStyle="1" w:styleId="Bodytext7Exact">
    <w:name w:val="Body text (7) Exact"/>
    <w:basedOn w:val="Bodytext7"/>
    <w:rsid w:val="003B6D05"/>
    <w:rPr>
      <w:rFonts w:ascii="Tahoma" w:eastAsia="Tahoma" w:hAnsi="Tahoma" w:cs="Tahoma"/>
      <w:b/>
      <w:bCs/>
      <w:i w:val="0"/>
      <w:iCs w:val="0"/>
      <w:smallCaps w:val="0"/>
      <w:strike w:val="0"/>
      <w:color w:val="FFFFFF"/>
      <w:sz w:val="22"/>
      <w:szCs w:val="22"/>
      <w:u w:val="none"/>
      <w:shd w:val="clear" w:color="auto" w:fill="FFFFFF"/>
    </w:rPr>
  </w:style>
  <w:style w:type="character" w:customStyle="1" w:styleId="Bodytext7NotBoldExact">
    <w:name w:val="Body text (7) + Not Bold Exact"/>
    <w:basedOn w:val="Bodytext7"/>
    <w:rsid w:val="003B6D05"/>
    <w:rPr>
      <w:rFonts w:ascii="Tahoma" w:eastAsia="Tahoma" w:hAnsi="Tahoma" w:cs="Tahoma"/>
      <w:b/>
      <w:bCs/>
      <w:i w:val="0"/>
      <w:iCs w:val="0"/>
      <w:smallCaps w:val="0"/>
      <w:strike w:val="0"/>
      <w:color w:val="FFFFFF"/>
      <w:sz w:val="22"/>
      <w:szCs w:val="22"/>
      <w:u w:val="none"/>
      <w:shd w:val="clear" w:color="auto" w:fill="FFFFFF"/>
    </w:rPr>
  </w:style>
  <w:style w:type="character" w:customStyle="1" w:styleId="Bodytext713pt">
    <w:name w:val="Body text (7) + 13 pt"/>
    <w:aliases w:val="Not Bold Exact"/>
    <w:basedOn w:val="Bodytext7"/>
    <w:rsid w:val="003B6D05"/>
    <w:rPr>
      <w:rFonts w:ascii="Tahoma" w:eastAsia="Tahoma" w:hAnsi="Tahoma" w:cs="Tahoma"/>
      <w:b/>
      <w:bCs/>
      <w:i w:val="0"/>
      <w:iCs w:val="0"/>
      <w:smallCaps w:val="0"/>
      <w:strike w:val="0"/>
      <w:color w:val="FFFFFF"/>
      <w:sz w:val="26"/>
      <w:szCs w:val="26"/>
      <w:u w:val="none"/>
      <w:shd w:val="clear" w:color="auto" w:fill="FFFFFF"/>
    </w:rPr>
  </w:style>
  <w:style w:type="paragraph" w:customStyle="1" w:styleId="a24">
    <w:name w:val="טקסט רץ"/>
    <w:basedOn w:val="100"/>
    <w:link w:val="Char4"/>
    <w:qFormat/>
    <w:rsid w:val="00D17911"/>
    <w:pPr>
      <w:spacing w:after="180" w:line="260" w:lineRule="exact"/>
    </w:pPr>
    <w:rPr>
      <w:color w:val="0D0D0D"/>
      <w:szCs w:val="18"/>
    </w:rPr>
  </w:style>
  <w:style w:type="paragraph" w:customStyle="1" w:styleId="213">
    <w:name w:val="הערות שוליים 21"/>
    <w:basedOn w:val="FootnoteText"/>
    <w:link w:val="21Char"/>
    <w:qFormat/>
    <w:rsid w:val="001D2243"/>
    <w:pPr>
      <w:spacing w:after="60" w:line="220" w:lineRule="exact"/>
      <w:ind w:left="397" w:hanging="397"/>
    </w:pPr>
    <w:rPr>
      <w:rFonts w:ascii="Tahoma" w:hAnsi="Tahoma" w:cs="Tahoma"/>
      <w:color w:val="0D0D0D" w:themeColor="text1" w:themeTint="F2"/>
      <w:sz w:val="14"/>
      <w:szCs w:val="14"/>
    </w:rPr>
  </w:style>
  <w:style w:type="character" w:customStyle="1" w:styleId="10Char">
    <w:name w:val="טקסט רץ 10 Char"/>
    <w:basedOn w:val="DefaultParagraphFont"/>
    <w:link w:val="100"/>
    <w:rsid w:val="00D17911"/>
    <w:rPr>
      <w:rFonts w:ascii="Tahoma" w:hAnsi="Tahoma" w:cs="Tahoma"/>
      <w:szCs w:val="20"/>
    </w:rPr>
  </w:style>
  <w:style w:type="character" w:customStyle="1" w:styleId="Char4">
    <w:name w:val="טקסט רץ Char"/>
    <w:basedOn w:val="10Char"/>
    <w:link w:val="a24"/>
    <w:rsid w:val="00D17911"/>
    <w:rPr>
      <w:rFonts w:ascii="Tahoma" w:hAnsi="Tahoma" w:cs="Tahoma"/>
      <w:color w:val="0D0D0D"/>
      <w:szCs w:val="18"/>
    </w:rPr>
  </w:style>
  <w:style w:type="character" w:customStyle="1" w:styleId="21Char">
    <w:name w:val="הערות שוליים 21 Char"/>
    <w:basedOn w:val="3"/>
    <w:link w:val="213"/>
    <w:rsid w:val="001D2243"/>
    <w:rPr>
      <w:rFonts w:ascii="Tahoma" w:hAnsi="Tahoma" w:cs="Tahoma"/>
      <w:color w:val="0D0D0D" w:themeColor="text1" w:themeTint="F2"/>
      <w:sz w:val="14"/>
      <w:szCs w:val="14"/>
    </w:rPr>
  </w:style>
  <w:style w:type="paragraph" w:customStyle="1" w:styleId="22021">
    <w:name w:val="כותרת 2 תקציר 2021"/>
    <w:basedOn w:val="121"/>
    <w:link w:val="22021Char"/>
    <w:qFormat/>
    <w:rsid w:val="00E64141"/>
    <w:pPr>
      <w:spacing w:before="360" w:after="240" w:line="440" w:lineRule="exact"/>
      <w:jc w:val="left"/>
      <w:outlineLvl w:val="1"/>
    </w:pPr>
    <w:rPr>
      <w:b/>
      <w:bCs/>
      <w:color w:val="00305F"/>
      <w:sz w:val="34"/>
      <w:szCs w:val="34"/>
    </w:rPr>
  </w:style>
  <w:style w:type="paragraph" w:customStyle="1" w:styleId="a25">
    <w:name w:val="אייקון טורקיז רקע"/>
    <w:basedOn w:val="121"/>
    <w:link w:val="Char5"/>
    <w:qFormat/>
    <w:rsid w:val="00C51CB1"/>
    <w:pPr>
      <w:spacing w:before="360" w:after="240" w:line="440" w:lineRule="exact"/>
      <w:jc w:val="left"/>
      <w:outlineLvl w:val="1"/>
    </w:pPr>
    <w:rPr>
      <w:b/>
      <w:bCs/>
      <w:noProof/>
      <w:color w:val="00305F"/>
      <w:sz w:val="22"/>
      <w:szCs w:val="22"/>
      <w:lang w:val="he-IL"/>
    </w:rPr>
  </w:style>
  <w:style w:type="character" w:customStyle="1" w:styleId="121Char">
    <w:name w:val="כותרת 1_21 Char"/>
    <w:basedOn w:val="DefaultParagraphFont"/>
    <w:link w:val="121"/>
    <w:rsid w:val="00454096"/>
    <w:rPr>
      <w:rFonts w:ascii="Tahoma" w:hAnsi="Tahoma" w:eastAsiaTheme="minorEastAsia" w:cs="Tahoma"/>
      <w:color w:val="2A2AA6"/>
      <w:sz w:val="42"/>
      <w:szCs w:val="42"/>
    </w:rPr>
  </w:style>
  <w:style w:type="character" w:customStyle="1" w:styleId="22021Char">
    <w:name w:val="כותרת 2 תקציר 2021 Char"/>
    <w:basedOn w:val="121Char"/>
    <w:link w:val="22021"/>
    <w:rsid w:val="00E64141"/>
    <w:rPr>
      <w:rFonts w:ascii="Tahoma" w:hAnsi="Tahoma" w:eastAsiaTheme="minorEastAsia" w:cs="Tahoma"/>
      <w:b/>
      <w:bCs/>
      <w:color w:val="00305F"/>
      <w:sz w:val="34"/>
      <w:szCs w:val="34"/>
    </w:rPr>
  </w:style>
  <w:style w:type="paragraph" w:customStyle="1" w:styleId="12021">
    <w:name w:val="כותרת 1   2021"/>
    <w:basedOn w:val="121"/>
    <w:link w:val="12021Char"/>
    <w:qFormat/>
    <w:rsid w:val="008D750B"/>
    <w:pPr>
      <w:spacing w:before="360" w:after="180" w:line="440" w:lineRule="exact"/>
    </w:pPr>
    <w:rPr>
      <w:b/>
      <w:bCs/>
      <w:color w:val="00305F"/>
      <w:sz w:val="34"/>
      <w:szCs w:val="34"/>
    </w:rPr>
  </w:style>
  <w:style w:type="character" w:customStyle="1" w:styleId="Char5">
    <w:name w:val="אייקון טורקיז רקע Char"/>
    <w:basedOn w:val="121Char"/>
    <w:link w:val="a25"/>
    <w:rsid w:val="00C51CB1"/>
    <w:rPr>
      <w:rFonts w:ascii="Tahoma" w:hAnsi="Tahoma" w:eastAsiaTheme="minorEastAsia" w:cs="Tahoma"/>
      <w:b/>
      <w:bCs/>
      <w:noProof/>
      <w:color w:val="00305F"/>
      <w:sz w:val="22"/>
      <w:szCs w:val="22"/>
      <w:lang w:val="he-IL"/>
    </w:rPr>
  </w:style>
  <w:style w:type="paragraph" w:customStyle="1" w:styleId="2021">
    <w:name w:val="מספרים גדולים בטבלת תקציר 2021"/>
    <w:basedOn w:val="121"/>
    <w:link w:val="2021Char"/>
    <w:qFormat/>
    <w:rsid w:val="00C27BF6"/>
    <w:pPr>
      <w:spacing w:before="120" w:line="240" w:lineRule="auto"/>
      <w:jc w:val="left"/>
    </w:pPr>
    <w:rPr>
      <w:b/>
      <w:bCs/>
      <w:color w:val="0D0D0D" w:themeColor="text1" w:themeTint="F2"/>
      <w:sz w:val="36"/>
      <w:szCs w:val="36"/>
    </w:rPr>
  </w:style>
  <w:style w:type="character" w:customStyle="1" w:styleId="12021Char">
    <w:name w:val="כותרת 1   2021 Char"/>
    <w:basedOn w:val="121Char"/>
    <w:link w:val="12021"/>
    <w:rsid w:val="008D750B"/>
    <w:rPr>
      <w:rFonts w:ascii="Tahoma" w:hAnsi="Tahoma" w:eastAsiaTheme="minorEastAsia" w:cs="Tahoma"/>
      <w:b/>
      <w:bCs/>
      <w:color w:val="00305F"/>
      <w:sz w:val="34"/>
      <w:szCs w:val="34"/>
    </w:rPr>
  </w:style>
  <w:style w:type="paragraph" w:customStyle="1" w:styleId="20210">
    <w:name w:val="ערכים בלוח התקציר 2021"/>
    <w:basedOn w:val="121"/>
    <w:link w:val="2021Char0"/>
    <w:qFormat/>
    <w:rsid w:val="00C27BF6"/>
    <w:pPr>
      <w:spacing w:before="0" w:after="180" w:line="240" w:lineRule="auto"/>
      <w:jc w:val="left"/>
    </w:pPr>
    <w:rPr>
      <w:color w:val="0D0D0D" w:themeColor="text1" w:themeTint="F2"/>
      <w:w w:val="90"/>
      <w:sz w:val="18"/>
      <w:szCs w:val="18"/>
    </w:rPr>
  </w:style>
  <w:style w:type="character" w:customStyle="1" w:styleId="2021Char">
    <w:name w:val="מספרים גדולים בטבלת תקציר 2021 Char"/>
    <w:basedOn w:val="121Char"/>
    <w:link w:val="2021"/>
    <w:rsid w:val="00C27BF6"/>
    <w:rPr>
      <w:rFonts w:ascii="Tahoma" w:hAnsi="Tahoma" w:eastAsiaTheme="minorEastAsia" w:cs="Tahoma"/>
      <w:b/>
      <w:bCs/>
      <w:color w:val="0D0D0D" w:themeColor="text1" w:themeTint="F2"/>
      <w:sz w:val="36"/>
      <w:szCs w:val="36"/>
    </w:rPr>
  </w:style>
  <w:style w:type="paragraph" w:customStyle="1" w:styleId="732021">
    <w:name w:val="73א כיתוב בתוך טבלת תקציר 2021"/>
    <w:basedOn w:val="20210"/>
    <w:link w:val="7320210"/>
    <w:qFormat/>
    <w:rsid w:val="00662020"/>
    <w:pPr>
      <w:keepNext/>
      <w:spacing w:before="60" w:line="260" w:lineRule="exact"/>
    </w:pPr>
  </w:style>
  <w:style w:type="character" w:customStyle="1" w:styleId="2021Char0">
    <w:name w:val="ערכים בלוח התקציר 2021 Char"/>
    <w:basedOn w:val="121Char"/>
    <w:link w:val="20210"/>
    <w:rsid w:val="00C27BF6"/>
    <w:rPr>
      <w:rFonts w:ascii="Tahoma" w:hAnsi="Tahoma" w:eastAsiaTheme="minorEastAsia" w:cs="Tahoma"/>
      <w:color w:val="0D0D0D" w:themeColor="text1" w:themeTint="F2"/>
      <w:w w:val="90"/>
      <w:sz w:val="18"/>
      <w:szCs w:val="18"/>
    </w:rPr>
  </w:style>
  <w:style w:type="character" w:customStyle="1" w:styleId="7320210">
    <w:name w:val="73א כיתוב בתוך טבלת תקציר 2021 תו"/>
    <w:basedOn w:val="2021Char0"/>
    <w:link w:val="732021"/>
    <w:rsid w:val="00662020"/>
    <w:rPr>
      <w:rFonts w:ascii="Tahoma" w:hAnsi="Tahoma" w:eastAsiaTheme="minorEastAsia" w:cs="Tahoma"/>
      <w:color w:val="0D0D0D" w:themeColor="text1" w:themeTint="F2"/>
      <w:w w:val="90"/>
      <w:sz w:val="18"/>
      <w:szCs w:val="18"/>
    </w:rPr>
  </w:style>
  <w:style w:type="paragraph" w:customStyle="1" w:styleId="214">
    <w:name w:val="סיכום תקציר 21"/>
    <w:basedOn w:val="Normal"/>
    <w:link w:val="21Char0"/>
    <w:qFormat/>
    <w:rsid w:val="00454096"/>
    <w:pPr>
      <w:spacing w:after="180" w:line="240" w:lineRule="atLeast"/>
      <w:jc w:val="left"/>
      <w:outlineLvl w:val="1"/>
    </w:pPr>
    <w:rPr>
      <w:rFonts w:ascii="Tahoma" w:hAnsi="Tahoma" w:eastAsiaTheme="minorEastAsia" w:cs="Tahoma"/>
      <w:b/>
      <w:bCs/>
      <w:color w:val="00305F"/>
      <w:sz w:val="34"/>
      <w:szCs w:val="32"/>
    </w:rPr>
  </w:style>
  <w:style w:type="paragraph" w:customStyle="1" w:styleId="215">
    <w:name w:val="עיקרי המלצות הביקורת 21"/>
    <w:basedOn w:val="Normal"/>
    <w:link w:val="21Char1"/>
    <w:qFormat/>
    <w:rsid w:val="00454096"/>
    <w:pPr>
      <w:spacing w:after="180" w:line="240" w:lineRule="atLeast"/>
      <w:jc w:val="left"/>
      <w:outlineLvl w:val="1"/>
    </w:pPr>
    <w:rPr>
      <w:rFonts w:ascii="Tahoma" w:hAnsi="Tahoma" w:eastAsiaTheme="minorEastAsia" w:cs="Tahoma"/>
      <w:b/>
      <w:bCs/>
      <w:color w:val="002E5F"/>
      <w:sz w:val="34"/>
      <w:szCs w:val="32"/>
    </w:rPr>
  </w:style>
  <w:style w:type="character" w:customStyle="1" w:styleId="21Char0">
    <w:name w:val="סיכום תקציר 21 Char"/>
    <w:basedOn w:val="DefaultParagraphFont"/>
    <w:link w:val="214"/>
    <w:rsid w:val="00454096"/>
    <w:rPr>
      <w:rFonts w:ascii="Tahoma" w:hAnsi="Tahoma" w:eastAsiaTheme="minorEastAsia" w:cs="Tahoma"/>
      <w:b/>
      <w:bCs/>
      <w:color w:val="00305F"/>
      <w:sz w:val="34"/>
      <w:szCs w:val="32"/>
    </w:rPr>
  </w:style>
  <w:style w:type="paragraph" w:customStyle="1" w:styleId="216">
    <w:name w:val="פעולות הביקורת 21"/>
    <w:basedOn w:val="Normal"/>
    <w:link w:val="21Char2"/>
    <w:qFormat/>
    <w:rsid w:val="00454096"/>
    <w:pPr>
      <w:spacing w:after="180" w:line="240" w:lineRule="atLeast"/>
      <w:jc w:val="left"/>
      <w:outlineLvl w:val="1"/>
    </w:pPr>
    <w:rPr>
      <w:rFonts w:ascii="Tahoma" w:hAnsi="Tahoma" w:eastAsiaTheme="minorEastAsia" w:cs="Tahoma"/>
      <w:bCs/>
      <w:color w:val="00305F"/>
      <w:sz w:val="32"/>
      <w:szCs w:val="32"/>
    </w:rPr>
  </w:style>
  <w:style w:type="character" w:customStyle="1" w:styleId="21Char1">
    <w:name w:val="עיקרי המלצות הביקורת 21 Char"/>
    <w:basedOn w:val="DefaultParagraphFont"/>
    <w:link w:val="215"/>
    <w:rsid w:val="00454096"/>
    <w:rPr>
      <w:rFonts w:ascii="Tahoma" w:hAnsi="Tahoma" w:eastAsiaTheme="minorEastAsia" w:cs="Tahoma"/>
      <w:b/>
      <w:bCs/>
      <w:color w:val="002E5F"/>
      <w:sz w:val="34"/>
      <w:szCs w:val="32"/>
    </w:rPr>
  </w:style>
  <w:style w:type="character" w:customStyle="1" w:styleId="21Char2">
    <w:name w:val="פעולות הביקורת 21 Char"/>
    <w:basedOn w:val="DefaultParagraphFont"/>
    <w:link w:val="216"/>
    <w:rsid w:val="00454096"/>
    <w:rPr>
      <w:rFonts w:ascii="Tahoma" w:hAnsi="Tahoma" w:eastAsiaTheme="minorEastAsia" w:cs="Tahoma"/>
      <w:b w:val="0"/>
      <w:bCs/>
      <w:color w:val="00305F"/>
      <w:sz w:val="32"/>
      <w:szCs w:val="32"/>
    </w:rPr>
  </w:style>
  <w:style w:type="paragraph" w:customStyle="1" w:styleId="217">
    <w:name w:val="פעולות הביקורת21"/>
    <w:basedOn w:val="Normal"/>
    <w:link w:val="21Char3"/>
    <w:qFormat/>
    <w:rsid w:val="001F3363"/>
    <w:pPr>
      <w:spacing w:after="180" w:line="260" w:lineRule="exact"/>
      <w:ind w:left="-1"/>
    </w:pPr>
    <w:rPr>
      <w:rFonts w:ascii="Tahoma" w:hAnsi="Tahoma" w:cs="Tahoma"/>
      <w:sz w:val="18"/>
      <w:szCs w:val="18"/>
    </w:rPr>
  </w:style>
  <w:style w:type="paragraph" w:customStyle="1" w:styleId="20211">
    <w:name w:val="טקסט רץ 2021"/>
    <w:basedOn w:val="Normal"/>
    <w:rsid w:val="00454096"/>
    <w:pPr>
      <w:spacing w:after="180" w:line="240" w:lineRule="atLeast"/>
      <w:jc w:val="left"/>
      <w:outlineLvl w:val="1"/>
    </w:pPr>
    <w:rPr>
      <w:rFonts w:ascii="Tahoma" w:hAnsi="Tahoma" w:eastAsiaTheme="minorEastAsia" w:cs="Tahoma"/>
      <w:b/>
      <w:bCs/>
      <w:color w:val="00305F"/>
      <w:sz w:val="34"/>
      <w:szCs w:val="32"/>
    </w:rPr>
  </w:style>
  <w:style w:type="paragraph" w:customStyle="1" w:styleId="a26">
    <w:name w:val="לוחות/תרשימים/תמונות/אינפוגרפיקה/מפות"/>
    <w:basedOn w:val="Normal"/>
    <w:qFormat/>
    <w:rsid w:val="00A93F51"/>
    <w:pPr>
      <w:keepNext/>
      <w:spacing w:after="200"/>
      <w:jc w:val="center"/>
    </w:pPr>
    <w:rPr>
      <w:rFonts w:ascii="Tahoma" w:hAnsi="Tahoma" w:eastAsiaTheme="minorEastAsia" w:cs="Tahoma"/>
      <w:color w:val="1481AB" w:themeColor="accent1" w:themeShade="BF"/>
      <w:szCs w:val="20"/>
    </w:rPr>
  </w:style>
  <w:style w:type="paragraph" w:customStyle="1" w:styleId="7326">
    <w:name w:val="73א כותרת סיכום"/>
    <w:basedOn w:val="733155"/>
    <w:qFormat/>
    <w:rsid w:val="00662020"/>
    <w:rPr>
      <w:b w:val="0"/>
      <w:sz w:val="31"/>
    </w:rPr>
  </w:style>
  <w:style w:type="paragraph" w:customStyle="1" w:styleId="7327">
    <w:name w:val="73א תמונת המצב העולה מן הביקורת"/>
    <w:basedOn w:val="216"/>
    <w:link w:val="7328"/>
    <w:qFormat/>
    <w:rsid w:val="00F07E70"/>
    <w:pPr>
      <w:keepNext/>
      <w:keepLines/>
      <w:pBdr>
        <w:top w:val="single" w:sz="12" w:space="5" w:color="auto"/>
      </w:pBdr>
      <w:spacing w:before="360"/>
      <w:outlineLvl w:val="9"/>
    </w:pPr>
    <w:rPr>
      <w:sz w:val="31"/>
      <w:szCs w:val="31"/>
    </w:rPr>
  </w:style>
  <w:style w:type="character" w:customStyle="1" w:styleId="7328">
    <w:name w:val="73א תמונת המצב העולה מן הביקורת תו"/>
    <w:basedOn w:val="21Char2"/>
    <w:link w:val="7327"/>
    <w:rsid w:val="00F07E70"/>
    <w:rPr>
      <w:rFonts w:ascii="Tahoma" w:hAnsi="Tahoma" w:eastAsiaTheme="minorEastAsia" w:cs="Tahoma"/>
      <w:b w:val="0"/>
      <w:bCs/>
      <w:color w:val="00305F"/>
      <w:sz w:val="31"/>
      <w:szCs w:val="31"/>
    </w:rPr>
  </w:style>
  <w:style w:type="paragraph" w:customStyle="1" w:styleId="7329">
    <w:name w:val="73א כותרת 2"/>
    <w:link w:val="73210"/>
    <w:qFormat/>
    <w:rsid w:val="0078358A"/>
    <w:pPr>
      <w:keepNext/>
      <w:keepLines/>
      <w:spacing w:before="360" w:after="240" w:line="240" w:lineRule="atLeast"/>
      <w:jc w:val="right"/>
      <w:outlineLvl w:val="1"/>
    </w:pPr>
    <w:rPr>
      <w:rFonts w:ascii="Tahoma" w:hAnsi="Tahoma" w:cs="Tahoma"/>
      <w:b/>
      <w:bCs/>
      <w:color w:val="00305F"/>
      <w:sz w:val="34"/>
      <w:szCs w:val="34"/>
    </w:rPr>
  </w:style>
  <w:style w:type="character" w:customStyle="1" w:styleId="73210">
    <w:name w:val="73א כותרת 2 תו"/>
    <w:basedOn w:val="DefaultParagraphFont"/>
    <w:link w:val="7329"/>
    <w:rsid w:val="0078358A"/>
    <w:rPr>
      <w:rFonts w:ascii="Tahoma" w:hAnsi="Tahoma" w:cs="Tahoma"/>
      <w:b/>
      <w:bCs/>
      <w:color w:val="00305F"/>
      <w:sz w:val="34"/>
      <w:szCs w:val="34"/>
    </w:rPr>
  </w:style>
  <w:style w:type="character" w:customStyle="1" w:styleId="7330">
    <w:name w:val="73א הערות שוליים תו"/>
    <w:basedOn w:val="3"/>
    <w:link w:val="733"/>
    <w:rsid w:val="0078358A"/>
    <w:rPr>
      <w:rFonts w:ascii="Tahoma" w:hAnsi="Tahoma" w:cs="Tahoma"/>
      <w:color w:val="0D0D0D" w:themeColor="text1" w:themeTint="F2"/>
      <w:sz w:val="14"/>
      <w:szCs w:val="14"/>
    </w:rPr>
  </w:style>
  <w:style w:type="paragraph" w:customStyle="1" w:styleId="7300">
    <w:name w:val="73א מקרא לתרשים תמונה לוח רווח אחרי 0"/>
    <w:basedOn w:val="738"/>
    <w:link w:val="7301"/>
    <w:qFormat/>
    <w:rsid w:val="00050995"/>
    <w:pPr>
      <w:spacing w:after="0"/>
    </w:pPr>
  </w:style>
  <w:style w:type="character" w:customStyle="1" w:styleId="7331">
    <w:name w:val="73א מקרא+הערות לתרשים/לוח/תמונה תו"/>
    <w:basedOn w:val="7330"/>
    <w:link w:val="738"/>
    <w:rsid w:val="004B039B"/>
    <w:rPr>
      <w:rFonts w:ascii="Tahoma" w:hAnsi="Tahoma" w:cs="Tahoma"/>
      <w:color w:val="0D0D0D" w:themeColor="text1" w:themeTint="F2"/>
      <w:sz w:val="16"/>
      <w:szCs w:val="16"/>
    </w:rPr>
  </w:style>
  <w:style w:type="character" w:customStyle="1" w:styleId="7301">
    <w:name w:val="73א מקרא לתרשים תמונה לוח רווח אחרי 0 תו"/>
    <w:basedOn w:val="7331"/>
    <w:link w:val="7300"/>
    <w:rsid w:val="00050995"/>
    <w:rPr>
      <w:rFonts w:ascii="Tahoma" w:hAnsi="Tahoma" w:cs="Tahoma"/>
      <w:color w:val="0D0D0D" w:themeColor="text1" w:themeTint="F2"/>
      <w:sz w:val="16"/>
      <w:szCs w:val="16"/>
    </w:rPr>
  </w:style>
  <w:style w:type="paragraph" w:customStyle="1" w:styleId="7390">
    <w:name w:val="73א בולד 9 בתוך שורה"/>
    <w:basedOn w:val="217"/>
    <w:link w:val="7391"/>
    <w:qFormat/>
    <w:rsid w:val="00FF6AD9"/>
    <w:pPr>
      <w:ind w:left="397"/>
    </w:pPr>
    <w:rPr>
      <w:bCs/>
      <w:noProof/>
      <w:color w:val="0D0D0D" w:themeColor="text1" w:themeTint="F2"/>
      <w:lang w:val="he-IL"/>
    </w:rPr>
  </w:style>
  <w:style w:type="character" w:customStyle="1" w:styleId="21Char3">
    <w:name w:val="פעולות הביקורת21 Char"/>
    <w:basedOn w:val="DefaultParagraphFont"/>
    <w:link w:val="217"/>
    <w:rsid w:val="001F3363"/>
    <w:rPr>
      <w:rFonts w:ascii="Tahoma" w:hAnsi="Tahoma" w:cs="Tahoma"/>
      <w:color w:val="0D0D0D" w:themeColor="text1" w:themeTint="F2"/>
      <w:sz w:val="18"/>
      <w:szCs w:val="18"/>
    </w:rPr>
  </w:style>
  <w:style w:type="character" w:customStyle="1" w:styleId="7391">
    <w:name w:val="73א בולד 9 בתוך שורה תו"/>
    <w:basedOn w:val="21Char3"/>
    <w:link w:val="7390"/>
    <w:rsid w:val="00FF6AD9"/>
    <w:rPr>
      <w:rFonts w:ascii="Tahoma" w:hAnsi="Tahoma" w:cs="Tahoma"/>
      <w:bCs/>
      <w:noProof/>
      <w:color w:val="0D0D0D" w:themeColor="text1" w:themeTint="F2"/>
      <w:sz w:val="18"/>
      <w:szCs w:val="18"/>
      <w:lang w:val="he-IL"/>
    </w:rPr>
  </w:style>
  <w:style w:type="paragraph" w:customStyle="1" w:styleId="33">
    <w:name w:val="שורת רווח לפני כותרת 3 בטקסט רץ"/>
    <w:basedOn w:val="Normal"/>
    <w:link w:val="3Char"/>
    <w:qFormat/>
    <w:rsid w:val="001F3363"/>
    <w:pPr>
      <w:spacing w:after="180" w:line="260" w:lineRule="exact"/>
      <w:outlineLvl w:val="2"/>
    </w:pPr>
    <w:rPr>
      <w:rFonts w:ascii="Tahoma" w:hAnsi="Tahoma" w:cs="Tahoma"/>
      <w:color w:val="0D0D0D" w:themeColor="text1" w:themeTint="F2"/>
      <w:sz w:val="18"/>
      <w:szCs w:val="18"/>
    </w:rPr>
  </w:style>
  <w:style w:type="character" w:customStyle="1" w:styleId="3Char">
    <w:name w:val="שורת רווח לפני כותרת 3 בטקסט רץ Char"/>
    <w:basedOn w:val="DefaultParagraphFont"/>
    <w:link w:val="33"/>
    <w:rsid w:val="001F3363"/>
    <w:rPr>
      <w:rFonts w:ascii="Tahoma" w:hAnsi="Tahoma" w:cs="Tahoma"/>
      <w:color w:val="0D0D0D" w:themeColor="text1" w:themeTint="F2"/>
      <w:sz w:val="18"/>
      <w:szCs w:val="18"/>
    </w:rPr>
  </w:style>
  <w:style w:type="paragraph" w:customStyle="1" w:styleId="73111">
    <w:name w:val="73א מרווח של 1 בטקס רץ"/>
    <w:basedOn w:val="Normal"/>
    <w:link w:val="73112"/>
    <w:qFormat/>
    <w:rsid w:val="001F3363"/>
    <w:pPr>
      <w:spacing w:after="180" w:line="260" w:lineRule="exact"/>
    </w:pPr>
    <w:rPr>
      <w:rFonts w:ascii="Tahoma" w:hAnsi="Tahoma" w:cs="Tahoma"/>
      <w:color w:val="0D0D0D" w:themeColor="text1" w:themeTint="F2"/>
      <w:spacing w:val="20"/>
      <w:sz w:val="18"/>
      <w:szCs w:val="18"/>
    </w:rPr>
  </w:style>
  <w:style w:type="character" w:customStyle="1" w:styleId="73112">
    <w:name w:val="73א מרווח של 1 בטקס רץ תו"/>
    <w:basedOn w:val="DefaultParagraphFont"/>
    <w:link w:val="73111"/>
    <w:rsid w:val="001F3363"/>
    <w:rPr>
      <w:rFonts w:ascii="Tahoma" w:hAnsi="Tahoma" w:cs="Tahoma"/>
      <w:color w:val="0D0D0D" w:themeColor="text1" w:themeTint="F2"/>
      <w:spacing w:val="20"/>
      <w:sz w:val="18"/>
      <w:szCs w:val="18"/>
    </w:rPr>
  </w:style>
  <w:style w:type="paragraph" w:customStyle="1" w:styleId="a27">
    <w:name w:val="כותרת לבנה בתוך תבנית אדומה בתקציר"/>
    <w:basedOn w:val="Normal"/>
    <w:link w:val="Char6"/>
    <w:qFormat/>
    <w:rsid w:val="009D41AC"/>
    <w:pPr>
      <w:spacing w:before="120" w:line="240" w:lineRule="atLeast"/>
      <w:ind w:left="170" w:right="113"/>
      <w:jc w:val="left"/>
    </w:pPr>
    <w:rPr>
      <w:rFonts w:ascii="Tahoma" w:hAnsi="Tahoma" w:cs="Tahoma"/>
      <w:b/>
      <w:bCs/>
      <w:color w:val="FFFFFF" w:themeColor="background1"/>
      <w:sz w:val="22"/>
      <w:szCs w:val="22"/>
    </w:rPr>
  </w:style>
  <w:style w:type="paragraph" w:customStyle="1" w:styleId="7332">
    <w:name w:val="73א כותרת לבנה בתוך תבנית אדומה בתקציר"/>
    <w:basedOn w:val="a27"/>
    <w:link w:val="7333"/>
    <w:qFormat/>
    <w:rsid w:val="009D41AC"/>
  </w:style>
  <w:style w:type="character" w:customStyle="1" w:styleId="Char6">
    <w:name w:val="כותרת לבנה בתוך תבנית אדומה בתקציר Char"/>
    <w:basedOn w:val="DefaultParagraphFont"/>
    <w:link w:val="a27"/>
    <w:rsid w:val="009D41AC"/>
    <w:rPr>
      <w:rFonts w:ascii="Tahoma" w:hAnsi="Tahoma" w:cs="Tahoma"/>
      <w:b/>
      <w:bCs/>
      <w:color w:val="FFFFFF" w:themeColor="background1"/>
      <w:sz w:val="22"/>
      <w:szCs w:val="22"/>
    </w:rPr>
  </w:style>
  <w:style w:type="character" w:customStyle="1" w:styleId="7333">
    <w:name w:val="73א כותרת לבנה בתוך תבנית אדומה בתקציר תו"/>
    <w:basedOn w:val="Char6"/>
    <w:link w:val="7332"/>
    <w:rsid w:val="009D41AC"/>
    <w:rPr>
      <w:rFonts w:ascii="Tahoma" w:hAnsi="Tahoma" w:cs="Tahoma"/>
      <w:b/>
      <w:bCs/>
      <w:color w:val="FFFFFF" w:themeColor="background1"/>
      <w:sz w:val="22"/>
      <w:szCs w:val="22"/>
    </w:rPr>
  </w:style>
  <w:style w:type="paragraph" w:customStyle="1" w:styleId="73113">
    <w:name w:val="73א רשימה ממספר 1"/>
    <w:qFormat/>
    <w:rsid w:val="00662020"/>
    <w:pPr>
      <w:pBdr>
        <w:top w:val="single" w:sz="18" w:space="4" w:color="CEEAF5"/>
        <w:left w:val="single" w:sz="18" w:space="11" w:color="CEEAF5"/>
        <w:bottom w:val="single" w:sz="18" w:space="6" w:color="CEEAF5"/>
        <w:right w:val="single" w:sz="18" w:space="11" w:color="CEEAF5"/>
      </w:pBdr>
      <w:shd w:val="solid" w:color="CEEAF5" w:fill="auto"/>
      <w:spacing w:after="120"/>
      <w:ind w:left="397" w:hanging="397"/>
    </w:pPr>
    <w:rPr>
      <w:rFonts w:ascii="Tahoma" w:hAnsi="Tahoma" w:cs="Tahoma"/>
      <w:color w:val="0D0D0D" w:themeColor="text1" w:themeTint="F2"/>
      <w:sz w:val="18"/>
      <w:szCs w:val="18"/>
    </w:rPr>
  </w:style>
  <w:style w:type="table" w:styleId="GridTable5DarkAccent1">
    <w:name w:val="Grid Table 5 Dark Accent 1"/>
    <w:basedOn w:val="TableNormal"/>
    <w:uiPriority w:val="50"/>
    <w:rsid w:val="00E425C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1EEF9"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CADE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CADE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CADE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CADE4" w:themeFill="accent1"/>
      </w:tcPr>
    </w:tblStylePr>
    <w:tblStylePr w:type="band1Vert">
      <w:tblPr/>
      <w:tcPr>
        <w:shd w:val="clear" w:color="auto" w:fill="A4DDF4" w:themeFill="accent1" w:themeFillTint="66"/>
      </w:tcPr>
    </w:tblStylePr>
    <w:tblStylePr w:type="band1Horz">
      <w:tblPr/>
      <w:tcPr>
        <w:shd w:val="clear" w:color="auto" w:fill="A4DDF4" w:themeFill="accent1" w:themeFillTint="66"/>
      </w:tcPr>
    </w:tblStylePr>
  </w:style>
  <w:style w:type="character" w:styleId="UnresolvedMention">
    <w:name w:val="Unresolved Mention"/>
    <w:basedOn w:val="DefaultParagraphFont"/>
    <w:uiPriority w:val="99"/>
    <w:semiHidden/>
    <w:unhideWhenUsed/>
    <w:rsid w:val="00965248"/>
    <w:rPr>
      <w:color w:val="605E5C"/>
      <w:shd w:val="clear" w:color="auto" w:fill="E1DFDD"/>
    </w:rPr>
  </w:style>
  <w:style w:type="paragraph" w:customStyle="1" w:styleId="7334">
    <w:name w:val="73א היפרלינק"/>
    <w:basedOn w:val="733"/>
    <w:link w:val="7335"/>
    <w:qFormat/>
    <w:rsid w:val="00973E62"/>
    <w:pPr>
      <w:bidi w:val="0"/>
    </w:pPr>
    <w:rPr>
      <w:color w:val="0000FF"/>
      <w:u w:val="single"/>
    </w:rPr>
  </w:style>
  <w:style w:type="character" w:customStyle="1" w:styleId="7335">
    <w:name w:val="73א היפרלינק תו"/>
    <w:basedOn w:val="7330"/>
    <w:link w:val="7334"/>
    <w:rsid w:val="00973E62"/>
    <w:rPr>
      <w:rFonts w:ascii="Tahoma" w:hAnsi="Tahoma" w:cs="Tahoma"/>
      <w:color w:val="0000FF"/>
      <w:sz w:val="14"/>
      <w:szCs w:val="14"/>
      <w:u w:val="single"/>
    </w:rPr>
  </w:style>
  <w:style w:type="paragraph" w:customStyle="1" w:styleId="7336">
    <w:name w:val="73א קוביה כחולה עם מספר מוזח"/>
    <w:basedOn w:val="735"/>
    <w:link w:val="7338"/>
    <w:qFormat/>
    <w:rsid w:val="00FF6AD9"/>
    <w:pPr>
      <w:pBdr>
        <w:top w:val="single" w:sz="18" w:space="4" w:color="CEEAF6"/>
        <w:left w:val="single" w:sz="18" w:space="11" w:color="CEEAF6"/>
        <w:bottom w:val="single" w:sz="18" w:space="6" w:color="CEEAF6"/>
        <w:right w:val="single" w:sz="18" w:space="11" w:color="CEEAF6"/>
      </w:pBdr>
      <w:shd w:val="clear" w:color="auto" w:fill="CEEAF6"/>
    </w:pPr>
  </w:style>
  <w:style w:type="character" w:customStyle="1" w:styleId="7337">
    <w:name w:val="73א הזחה ראשונה מספר תו"/>
    <w:basedOn w:val="a2"/>
    <w:link w:val="735"/>
    <w:rsid w:val="00BE57E3"/>
    <w:rPr>
      <w:rFonts w:ascii="Tahoma" w:hAnsi="Tahoma" w:cs="Tahoma"/>
      <w:color w:val="0D0D0D" w:themeColor="text1" w:themeTint="F2"/>
      <w:sz w:val="18"/>
      <w:szCs w:val="18"/>
    </w:rPr>
  </w:style>
  <w:style w:type="character" w:customStyle="1" w:styleId="7338">
    <w:name w:val="73א קוביה כחולה עם מספר מוזח תו"/>
    <w:basedOn w:val="7337"/>
    <w:link w:val="7336"/>
    <w:rsid w:val="00FF6AD9"/>
    <w:rPr>
      <w:rFonts w:ascii="Tahoma" w:hAnsi="Tahoma" w:cs="Tahoma"/>
      <w:color w:val="0D0D0D" w:themeColor="text1" w:themeTint="F2"/>
      <w:sz w:val="18"/>
      <w:szCs w:val="18"/>
      <w:shd w:val="clear" w:color="auto" w:fill="CEEAF6"/>
    </w:rPr>
  </w:style>
  <w:style w:type="paragraph" w:customStyle="1" w:styleId="7339">
    <w:name w:val="73א כותרת טקסט רץ מודגשת"/>
    <w:basedOn w:val="Normal"/>
    <w:link w:val="7340"/>
    <w:qFormat/>
    <w:rsid w:val="001F3363"/>
    <w:pPr>
      <w:spacing w:after="180" w:line="260" w:lineRule="exact"/>
    </w:pPr>
    <w:rPr>
      <w:rFonts w:ascii="Tahoma" w:hAnsi="Tahoma" w:cs="Tahoma"/>
      <w:b/>
      <w:bCs/>
      <w:color w:val="0D0D0D" w:themeColor="text1" w:themeTint="F2"/>
      <w:sz w:val="18"/>
      <w:szCs w:val="18"/>
    </w:rPr>
  </w:style>
  <w:style w:type="character" w:customStyle="1" w:styleId="7340">
    <w:name w:val="73א כותרת טקסט רץ מודגשת תו"/>
    <w:basedOn w:val="DefaultParagraphFont"/>
    <w:link w:val="7339"/>
    <w:rsid w:val="001F3363"/>
    <w:rPr>
      <w:rFonts w:ascii="Tahoma" w:hAnsi="Tahoma" w:cs="Tahoma"/>
      <w:b/>
      <w:bCs/>
      <w:color w:val="0D0D0D" w:themeColor="text1" w:themeTint="F2"/>
      <w:sz w:val="18"/>
      <w:szCs w:val="18"/>
    </w:rPr>
  </w:style>
  <w:style w:type="paragraph" w:customStyle="1" w:styleId="7370">
    <w:name w:val="73א כותרת 7 בתוך טקסט"/>
    <w:basedOn w:val="7392"/>
    <w:link w:val="7371"/>
    <w:qFormat/>
    <w:rsid w:val="0078358A"/>
    <w:rPr>
      <w:bCs/>
    </w:rPr>
  </w:style>
  <w:style w:type="character" w:customStyle="1" w:styleId="7371">
    <w:name w:val="73א כותרת 7 בתוך טקסט תו"/>
    <w:basedOn w:val="7337"/>
    <w:link w:val="7370"/>
    <w:rsid w:val="0078358A"/>
    <w:rPr>
      <w:rFonts w:ascii="Tahoma" w:hAnsi="Tahoma" w:cs="Tahoma"/>
      <w:bCs/>
      <w:color w:val="0D0D0D" w:themeColor="text1" w:themeTint="F2"/>
      <w:sz w:val="18"/>
      <w:szCs w:val="18"/>
    </w:rPr>
  </w:style>
  <w:style w:type="paragraph" w:customStyle="1" w:styleId="P110">
    <w:name w:val="P11"/>
    <w:basedOn w:val="Normal"/>
    <w:rsid w:val="00454096"/>
    <w:pPr>
      <w:widowControl w:val="0"/>
      <w:tabs>
        <w:tab w:val="left" w:pos="1021"/>
        <w:tab w:val="left" w:pos="1474"/>
        <w:tab w:val="left" w:pos="1928"/>
        <w:tab w:val="left" w:pos="2381"/>
        <w:tab w:val="left" w:pos="2835"/>
        <w:tab w:val="right" w:leader="dot" w:pos="6259"/>
      </w:tabs>
      <w:suppressAutoHyphens/>
      <w:autoSpaceDE w:val="0"/>
      <w:autoSpaceDN w:val="0"/>
      <w:spacing w:before="60" w:line="240" w:lineRule="auto"/>
      <w:ind w:left="2835" w:right="624"/>
    </w:pPr>
    <w:rPr>
      <w:rFonts w:eastAsia="Times New Roman" w:cs="Times New Roman"/>
      <w:noProof/>
      <w:szCs w:val="26"/>
      <w:lang w:eastAsia="he-IL"/>
    </w:rPr>
  </w:style>
  <w:style w:type="paragraph" w:customStyle="1" w:styleId="a28">
    <w:name w:val="מלל מוצלל"/>
    <w:basedOn w:val="Normal"/>
    <w:rsid w:val="00901D1D"/>
    <w:pPr>
      <w:pBdr>
        <w:top w:val="single" w:sz="4" w:space="8" w:color="FFFFFF"/>
        <w:left w:val="single" w:sz="4" w:space="12" w:color="FFFFFF"/>
        <w:bottom w:val="single" w:sz="4" w:space="8" w:color="FFFFFF"/>
        <w:right w:val="single" w:sz="4" w:space="12" w:color="FFFFFF"/>
      </w:pBdr>
      <w:shd w:val="pct10" w:color="auto" w:fill="FFFFFF"/>
      <w:spacing w:line="288" w:lineRule="auto"/>
      <w:ind w:left="305" w:right="284"/>
    </w:pPr>
    <w:rPr>
      <w:rFonts w:eastAsia="Times New Roman" w:cs="Times New Roman"/>
      <w:sz w:val="24"/>
      <w:lang w:eastAsia="he-IL"/>
    </w:rPr>
  </w:style>
  <w:style w:type="paragraph" w:styleId="HTMLPreformatted">
    <w:name w:val="HTML Preformatted"/>
    <w:basedOn w:val="Normal"/>
    <w:link w:val="HTML"/>
    <w:uiPriority w:val="99"/>
    <w:semiHidden/>
    <w:unhideWhenUsed/>
    <w:rsid w:val="00901D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240" w:lineRule="auto"/>
      <w:jc w:val="left"/>
    </w:pPr>
    <w:rPr>
      <w:rFonts w:ascii="Courier New" w:eastAsia="Times New Roman" w:hAnsi="Courier New" w:cs="Courier New"/>
      <w:szCs w:val="20"/>
    </w:rPr>
  </w:style>
  <w:style w:type="character" w:customStyle="1" w:styleId="HTML">
    <w:name w:val="HTML מעוצב מראש תו"/>
    <w:basedOn w:val="DefaultParagraphFont"/>
    <w:link w:val="HTMLPreformatted"/>
    <w:uiPriority w:val="99"/>
    <w:semiHidden/>
    <w:rsid w:val="00901D1D"/>
    <w:rPr>
      <w:rFonts w:ascii="Courier New" w:eastAsia="Times New Roman" w:hAnsi="Courier New" w:cs="Courier New"/>
      <w:szCs w:val="20"/>
    </w:rPr>
  </w:style>
  <w:style w:type="paragraph" w:customStyle="1" w:styleId="Default0">
    <w:name w:val="Default"/>
    <w:rsid w:val="00901D1D"/>
    <w:pPr>
      <w:autoSpaceDE w:val="0"/>
      <w:autoSpaceDN w:val="0"/>
      <w:adjustRightInd w:val="0"/>
      <w:spacing w:after="0" w:line="240" w:lineRule="auto"/>
      <w:jc w:val="left"/>
    </w:pPr>
    <w:rPr>
      <w:rFonts w:ascii="Gotham Narrow Light" w:hAnsi="Gotham Narrow Light" w:cs="Gotham Narrow Light"/>
      <w:color w:val="000000"/>
      <w:sz w:val="24"/>
    </w:rPr>
  </w:style>
  <w:style w:type="paragraph" w:customStyle="1" w:styleId="Pa14">
    <w:name w:val="Pa14"/>
    <w:basedOn w:val="Default0"/>
    <w:next w:val="Default0"/>
    <w:uiPriority w:val="99"/>
    <w:rsid w:val="00901D1D"/>
    <w:pPr>
      <w:spacing w:line="180" w:lineRule="atLeast"/>
    </w:pPr>
    <w:rPr>
      <w:rFonts w:cs="David"/>
      <w:color w:val="auto"/>
    </w:rPr>
  </w:style>
  <w:style w:type="table" w:styleId="GridTable5DarkAccent5">
    <w:name w:val="Grid Table 5 Dark Accent 5"/>
    <w:basedOn w:val="TableNormal"/>
    <w:uiPriority w:val="50"/>
    <w:rsid w:val="00901D1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BDA"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E885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E885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E885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E8853" w:themeFill="accent5"/>
      </w:tcPr>
    </w:tblStylePr>
    <w:tblStylePr w:type="band1Vert">
      <w:tblPr/>
      <w:tcPr>
        <w:shd w:val="clear" w:color="auto" w:fill="A9D7B6" w:themeFill="accent5" w:themeFillTint="66"/>
      </w:tcPr>
    </w:tblStylePr>
    <w:tblStylePr w:type="band1Horz">
      <w:tblPr/>
      <w:tcPr>
        <w:shd w:val="clear" w:color="auto" w:fill="A9D7B6" w:themeFill="accent5" w:themeFillTint="66"/>
      </w:tcPr>
    </w:tblStylePr>
  </w:style>
  <w:style w:type="character" w:customStyle="1" w:styleId="a29">
    <w:name w:val="נבנצאל תו"/>
    <w:basedOn w:val="DefaultParagraphFont"/>
    <w:link w:val="a30"/>
    <w:uiPriority w:val="99"/>
    <w:locked/>
    <w:rsid w:val="00905FB1"/>
    <w:rPr>
      <w:szCs w:val="20"/>
    </w:rPr>
  </w:style>
  <w:style w:type="paragraph" w:customStyle="1" w:styleId="a30">
    <w:name w:val="נבנצאל"/>
    <w:basedOn w:val="Normal"/>
    <w:next w:val="Normal"/>
    <w:link w:val="a29"/>
    <w:uiPriority w:val="99"/>
    <w:rsid w:val="00905FB1"/>
    <w:pPr>
      <w:ind w:left="-567"/>
    </w:pPr>
    <w:rPr>
      <w:szCs w:val="20"/>
    </w:rPr>
  </w:style>
  <w:style w:type="paragraph" w:styleId="DocumentMap">
    <w:name w:val="Document Map"/>
    <w:basedOn w:val="Normal"/>
    <w:link w:val="a31"/>
    <w:uiPriority w:val="99"/>
    <w:semiHidden/>
    <w:unhideWhenUsed/>
    <w:rsid w:val="0030451F"/>
    <w:pPr>
      <w:spacing w:line="240" w:lineRule="auto"/>
    </w:pPr>
    <w:rPr>
      <w:rFonts w:ascii="Tahoma" w:hAnsi="Tahoma" w:cs="Tahoma"/>
      <w:sz w:val="16"/>
      <w:szCs w:val="16"/>
    </w:rPr>
  </w:style>
  <w:style w:type="character" w:customStyle="1" w:styleId="a31">
    <w:name w:val="מפת מסמך תו"/>
    <w:basedOn w:val="DefaultParagraphFont"/>
    <w:link w:val="DocumentMap"/>
    <w:uiPriority w:val="99"/>
    <w:semiHidden/>
    <w:rsid w:val="0030451F"/>
    <w:rPr>
      <w:rFonts w:ascii="Tahoma" w:hAnsi="Tahoma" w:cs="Tahoma"/>
      <w:sz w:val="16"/>
      <w:szCs w:val="16"/>
    </w:rPr>
  </w:style>
  <w:style w:type="paragraph" w:customStyle="1" w:styleId="125">
    <w:name w:val="סגנון1"/>
    <w:basedOn w:val="Caption"/>
    <w:qFormat/>
    <w:rsid w:val="0030451F"/>
    <w:pPr>
      <w:jc w:val="center"/>
    </w:pPr>
    <w:rPr>
      <w:b/>
      <w:bCs/>
      <w:iCs w:val="0"/>
      <w:color w:val="000000" w:themeColor="text1"/>
      <w:sz w:val="24"/>
      <w:szCs w:val="24"/>
    </w:rPr>
  </w:style>
  <w:style w:type="paragraph" w:customStyle="1" w:styleId="29">
    <w:name w:val="סגנון2"/>
    <w:basedOn w:val="Caption"/>
    <w:autoRedefine/>
    <w:qFormat/>
    <w:rsid w:val="0030451F"/>
    <w:pPr>
      <w:jc w:val="center"/>
    </w:pPr>
    <w:rPr>
      <w:b/>
      <w:bCs/>
      <w:iCs w:val="0"/>
      <w:color w:val="000000" w:themeColor="text1"/>
      <w:sz w:val="24"/>
      <w:szCs w:val="24"/>
    </w:rPr>
  </w:style>
  <w:style w:type="paragraph" w:customStyle="1" w:styleId="34">
    <w:name w:val="סגנון3"/>
    <w:basedOn w:val="Caption"/>
    <w:autoRedefine/>
    <w:qFormat/>
    <w:rsid w:val="0030451F"/>
    <w:pPr>
      <w:jc w:val="center"/>
    </w:pPr>
    <w:rPr>
      <w:b/>
      <w:bCs/>
      <w:iCs w:val="0"/>
      <w:color w:val="000000" w:themeColor="text1"/>
      <w:sz w:val="24"/>
      <w:szCs w:val="24"/>
    </w:rPr>
  </w:style>
  <w:style w:type="paragraph" w:customStyle="1" w:styleId="40">
    <w:name w:val="סגנון4"/>
    <w:basedOn w:val="Caption"/>
    <w:autoRedefine/>
    <w:qFormat/>
    <w:rsid w:val="0030451F"/>
    <w:pPr>
      <w:jc w:val="center"/>
    </w:pPr>
    <w:rPr>
      <w:b/>
      <w:bCs/>
      <w:iCs w:val="0"/>
      <w:color w:val="000000" w:themeColor="text1"/>
      <w:sz w:val="24"/>
      <w:szCs w:val="24"/>
    </w:rPr>
  </w:style>
  <w:style w:type="paragraph" w:customStyle="1" w:styleId="a32">
    <w:name w:val="סגנון כיתוב + לא מודגש לא נטוי"/>
    <w:basedOn w:val="Caption"/>
    <w:rsid w:val="0030451F"/>
    <w:pPr>
      <w:spacing w:after="0"/>
    </w:pPr>
    <w:rPr>
      <w:i w:val="0"/>
      <w:color w:val="auto"/>
      <w:sz w:val="20"/>
      <w:szCs w:val="24"/>
    </w:rPr>
  </w:style>
  <w:style w:type="paragraph" w:customStyle="1" w:styleId="-8">
    <w:name w:val="רשויות מקומיות - כותרת 8 בתוך טקסט"/>
    <w:basedOn w:val="Normal"/>
    <w:link w:val="-8Char"/>
    <w:qFormat/>
    <w:rsid w:val="001F3363"/>
    <w:pPr>
      <w:spacing w:after="180" w:line="260" w:lineRule="exact"/>
    </w:pPr>
    <w:rPr>
      <w:rFonts w:ascii="Tahoma" w:hAnsi="Tahoma" w:cs="Tahoma"/>
      <w:color w:val="00305F"/>
      <w:spacing w:val="20"/>
      <w:sz w:val="18"/>
      <w:szCs w:val="18"/>
    </w:rPr>
  </w:style>
  <w:style w:type="character" w:customStyle="1" w:styleId="-8Char">
    <w:name w:val="רשויות מקומיות - כותרת 8 בתוך טקסט Char"/>
    <w:basedOn w:val="DefaultParagraphFont"/>
    <w:link w:val="-8"/>
    <w:rsid w:val="001F3363"/>
    <w:rPr>
      <w:rFonts w:ascii="Tahoma" w:hAnsi="Tahoma" w:cs="Tahoma"/>
      <w:color w:val="00305F"/>
      <w:spacing w:val="20"/>
      <w:sz w:val="18"/>
      <w:szCs w:val="18"/>
    </w:rPr>
  </w:style>
  <w:style w:type="paragraph" w:customStyle="1" w:styleId="7350">
    <w:name w:val="73א כותרת 5 בתוך טקסט מודגש"/>
    <w:basedOn w:val="Normal"/>
    <w:link w:val="7351"/>
    <w:qFormat/>
    <w:rsid w:val="001F3363"/>
    <w:pPr>
      <w:spacing w:after="180" w:line="260" w:lineRule="exact"/>
    </w:pPr>
    <w:rPr>
      <w:rFonts w:ascii="Tahoma" w:hAnsi="Tahoma" w:cs="Tahoma"/>
      <w:bCs/>
      <w:color w:val="00305F"/>
      <w:sz w:val="18"/>
      <w:szCs w:val="18"/>
    </w:rPr>
  </w:style>
  <w:style w:type="character" w:customStyle="1" w:styleId="7351">
    <w:name w:val="73א כותרת 5 בתוך טקסט מודגש תו"/>
    <w:basedOn w:val="DefaultParagraphFont"/>
    <w:link w:val="7350"/>
    <w:rsid w:val="001F3363"/>
    <w:rPr>
      <w:rFonts w:ascii="Tahoma" w:hAnsi="Tahoma" w:cs="Tahoma"/>
      <w:bCs/>
      <w:color w:val="00305F"/>
      <w:sz w:val="18"/>
      <w:szCs w:val="18"/>
    </w:rPr>
  </w:style>
  <w:style w:type="paragraph" w:customStyle="1" w:styleId="7381">
    <w:name w:val="73א כותרת 8 בתוך טקסט"/>
    <w:basedOn w:val="Normal"/>
    <w:link w:val="7382"/>
    <w:qFormat/>
    <w:rsid w:val="0078358A"/>
    <w:pPr>
      <w:spacing w:after="180" w:line="260" w:lineRule="exact"/>
    </w:pPr>
    <w:rPr>
      <w:rFonts w:ascii="Tahoma" w:hAnsi="Tahoma" w:cs="Tahoma"/>
      <w:color w:val="0D0D0D" w:themeColor="text1" w:themeTint="F2"/>
      <w:spacing w:val="20"/>
      <w:sz w:val="19"/>
      <w:szCs w:val="18"/>
    </w:rPr>
  </w:style>
  <w:style w:type="character" w:customStyle="1" w:styleId="7382">
    <w:name w:val="73א כותרת 8 בתוך טקסט תו"/>
    <w:basedOn w:val="DefaultParagraphFont"/>
    <w:link w:val="7381"/>
    <w:rsid w:val="0078358A"/>
    <w:rPr>
      <w:rFonts w:ascii="Tahoma" w:hAnsi="Tahoma" w:cs="Tahoma"/>
      <w:color w:val="0D0D0D" w:themeColor="text1" w:themeTint="F2"/>
      <w:spacing w:val="20"/>
      <w:sz w:val="19"/>
      <w:szCs w:val="18"/>
    </w:rPr>
  </w:style>
  <w:style w:type="paragraph" w:styleId="NormalWeb">
    <w:name w:val="Normal (Web)"/>
    <w:basedOn w:val="Normal"/>
    <w:uiPriority w:val="99"/>
    <w:unhideWhenUsed/>
    <w:rsid w:val="007A3AB1"/>
    <w:pPr>
      <w:bidi w:val="0"/>
      <w:spacing w:before="100" w:beforeAutospacing="1" w:after="100" w:afterAutospacing="1" w:line="240" w:lineRule="auto"/>
      <w:jc w:val="left"/>
    </w:pPr>
    <w:rPr>
      <w:rFonts w:eastAsia="Times New Roman" w:cs="Times New Roman"/>
      <w:color w:val="000000" w:themeColor="text1"/>
      <w:sz w:val="24"/>
      <w:szCs w:val="18"/>
    </w:rPr>
  </w:style>
  <w:style w:type="paragraph" w:customStyle="1" w:styleId="7341">
    <w:name w:val="73א מקרא+הערות לתרשים/לוח/תמונה כוכבית"/>
    <w:basedOn w:val="738"/>
    <w:qFormat/>
    <w:rsid w:val="002F430E"/>
    <w:pPr>
      <w:framePr w:wrap="around" w:vAnchor="text" w:hAnchor="text" w:y="1"/>
    </w:pPr>
  </w:style>
  <w:style w:type="paragraph" w:customStyle="1" w:styleId="a33">
    <w:name w:val="הערות לתרשימים"/>
    <w:basedOn w:val="738"/>
    <w:next w:val="733"/>
    <w:qFormat/>
    <w:rsid w:val="007A3AB1"/>
    <w:pPr>
      <w:framePr w:wrap="around" w:vAnchor="text" w:hAnchor="text" w:y="1"/>
      <w:spacing w:after="0"/>
    </w:pPr>
  </w:style>
  <w:style w:type="paragraph" w:customStyle="1" w:styleId="90">
    <w:name w:val="טקסט רץ 9 מודגש חדש"/>
    <w:basedOn w:val="Normal"/>
    <w:qFormat/>
    <w:rsid w:val="001F3363"/>
    <w:pPr>
      <w:spacing w:after="180" w:line="260" w:lineRule="exact"/>
    </w:pPr>
    <w:rPr>
      <w:rFonts w:ascii="Tahoma" w:hAnsi="Tahoma" w:cs="Tahoma"/>
      <w:b/>
      <w:bCs/>
      <w:color w:val="0D0D0D" w:themeColor="text1" w:themeTint="F2"/>
      <w:sz w:val="18"/>
      <w:szCs w:val="18"/>
    </w:rPr>
  </w:style>
  <w:style w:type="character" w:customStyle="1" w:styleId="7372">
    <w:name w:val="73א כותרת 7 הדגשת קטע בטקסט רץ תו"/>
    <w:basedOn w:val="DefaultParagraphFont"/>
    <w:link w:val="7373"/>
    <w:rsid w:val="001F3363"/>
    <w:rPr>
      <w:rFonts w:ascii="Tahoma" w:hAnsi="Tahoma" w:cs="Tahoma"/>
      <w:bCs/>
      <w:color w:val="0D0D0D" w:themeColor="text1" w:themeTint="F2"/>
      <w:sz w:val="18"/>
      <w:szCs w:val="18"/>
    </w:rPr>
  </w:style>
  <w:style w:type="paragraph" w:customStyle="1" w:styleId="7373">
    <w:name w:val="73א כותרת 7 הדגשת קטע בטקסט רץ"/>
    <w:basedOn w:val="7392"/>
    <w:link w:val="7372"/>
    <w:qFormat/>
    <w:rsid w:val="001F3363"/>
    <w:rPr>
      <w:bCs/>
    </w:rPr>
  </w:style>
  <w:style w:type="paragraph" w:customStyle="1" w:styleId="-1">
    <w:name w:val="מבקר המדינה - עמוד שער(לבן)"/>
    <w:basedOn w:val="Normal"/>
    <w:qFormat/>
    <w:rsid w:val="003570AC"/>
    <w:pPr>
      <w:ind w:left="2268"/>
    </w:pPr>
    <w:rPr>
      <w:rFonts w:ascii="Tahoma" w:hAnsi="Tahoma" w:cs="Tahoma"/>
      <w:sz w:val="18"/>
      <w:szCs w:val="18"/>
    </w:rPr>
  </w:style>
  <w:style w:type="paragraph" w:customStyle="1" w:styleId="-2">
    <w:name w:val="עמוד שער פנימי - שם החטיבה"/>
    <w:basedOn w:val="Normal"/>
    <w:qFormat/>
    <w:rsid w:val="003570AC"/>
    <w:pPr>
      <w:ind w:left="2268"/>
      <w:jc w:val="left"/>
    </w:pPr>
    <w:rPr>
      <w:rFonts w:ascii="Tahoma" w:hAnsi="Tahoma" w:eastAsiaTheme="minorEastAsia" w:cs="Tahoma"/>
      <w:color w:val="FFFFFF" w:themeColor="background1"/>
      <w:sz w:val="28"/>
      <w:szCs w:val="28"/>
    </w:rPr>
  </w:style>
  <w:style w:type="paragraph" w:customStyle="1" w:styleId="-3">
    <w:name w:val="עמוד שער פנימי - שם הכתבה"/>
    <w:basedOn w:val="Normal"/>
    <w:qFormat/>
    <w:rsid w:val="003570AC"/>
    <w:pPr>
      <w:spacing w:before="360" w:line="600" w:lineRule="exact"/>
      <w:ind w:left="2268"/>
      <w:jc w:val="left"/>
    </w:pPr>
    <w:rPr>
      <w:rFonts w:ascii="Tahoma" w:hAnsi="Tahoma" w:cs="Tahoma"/>
      <w:b/>
      <w:bCs/>
      <w:sz w:val="40"/>
      <w:szCs w:val="40"/>
    </w:rPr>
  </w:style>
  <w:style w:type="paragraph" w:customStyle="1" w:styleId="a34">
    <w:name w:val="מספרים גדולים בנתוני מפתח"/>
    <w:basedOn w:val="Normal"/>
    <w:qFormat/>
    <w:rsid w:val="002D4D38"/>
    <w:pPr>
      <w:spacing w:before="120" w:line="240" w:lineRule="auto"/>
      <w:jc w:val="center"/>
    </w:pPr>
    <w:rPr>
      <w:rFonts w:ascii="Tahoma" w:hAnsi="Tahoma" w:cs="Tahoma"/>
      <w:b/>
      <w:bCs/>
      <w:spacing w:val="-28"/>
      <w:sz w:val="36"/>
      <w:szCs w:val="36"/>
    </w:rPr>
  </w:style>
  <w:style w:type="paragraph" w:styleId="ListNumber3">
    <w:name w:val="List Number 3"/>
    <w:basedOn w:val="Normal"/>
    <w:unhideWhenUsed/>
    <w:rsid w:val="00920813"/>
    <w:pPr>
      <w:overflowPunct w:val="0"/>
      <w:autoSpaceDE w:val="0"/>
      <w:autoSpaceDN w:val="0"/>
      <w:adjustRightInd w:val="0"/>
      <w:spacing w:after="120" w:line="360" w:lineRule="auto"/>
      <w:ind w:left="849" w:hanging="283"/>
      <w:textAlignment w:val="baseline"/>
    </w:pPr>
    <w:rPr>
      <w:rFonts w:ascii="David" w:eastAsia="Times New Roman" w:hAnsi="David"/>
      <w:sz w:val="24"/>
    </w:rPr>
  </w:style>
  <w:style w:type="table" w:styleId="ListTable5DarkAccent1">
    <w:name w:val="List Table 5 Dark Accent 1"/>
    <w:basedOn w:val="TableNormal"/>
    <w:uiPriority w:val="50"/>
    <w:rsid w:val="00920813"/>
    <w:pPr>
      <w:spacing w:after="0" w:line="240" w:lineRule="auto"/>
    </w:pPr>
    <w:rPr>
      <w:color w:val="FFFFFF" w:themeColor="background1"/>
    </w:rPr>
    <w:tblPr>
      <w:tblStyleRowBandSize w:val="1"/>
      <w:tblStyleColBandSize w:val="1"/>
      <w:tblBorders>
        <w:top w:val="single" w:sz="24" w:space="0" w:color="1CADE4" w:themeColor="accent1"/>
        <w:left w:val="single" w:sz="24" w:space="0" w:color="1CADE4" w:themeColor="accent1"/>
        <w:bottom w:val="single" w:sz="24" w:space="0" w:color="1CADE4" w:themeColor="accent1"/>
        <w:right w:val="single" w:sz="24" w:space="0" w:color="1CADE4" w:themeColor="accent1"/>
      </w:tblBorders>
    </w:tblPr>
    <w:tcPr>
      <w:shd w:val="clear" w:color="auto" w:fill="1CADE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7ColorfulAccent4">
    <w:name w:val="List Table 7 Colorful Accent 4"/>
    <w:basedOn w:val="TableNormal"/>
    <w:uiPriority w:val="52"/>
    <w:rsid w:val="00920813"/>
    <w:pPr>
      <w:spacing w:after="0" w:line="240" w:lineRule="auto"/>
    </w:pPr>
    <w:rPr>
      <w:color w:val="318B7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2BA9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2BA9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2BA9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2BA97" w:themeColor="accent4"/>
        </w:tcBorders>
        <w:shd w:val="clear" w:color="auto" w:fill="FFFFFF" w:themeFill="background1"/>
      </w:tcPr>
    </w:tblStylePr>
    <w:tblStylePr w:type="band1Vert">
      <w:tblPr/>
      <w:tcPr>
        <w:shd w:val="clear" w:color="auto" w:fill="D8F1EA" w:themeFill="accent4" w:themeFillTint="33"/>
      </w:tcPr>
    </w:tblStylePr>
    <w:tblStylePr w:type="band1Horz">
      <w:tblPr/>
      <w:tcPr>
        <w:shd w:val="clear" w:color="auto" w:fill="D8F1EA"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7392">
    <w:name w:val="73א טקסט רץ 9"/>
    <w:basedOn w:val="a24"/>
    <w:link w:val="7393"/>
    <w:qFormat/>
    <w:rsid w:val="0078358A"/>
    <w:rPr>
      <w:color w:val="0D0D0D" w:themeColor="text1" w:themeTint="F2"/>
      <w:sz w:val="18"/>
    </w:rPr>
  </w:style>
  <w:style w:type="character" w:customStyle="1" w:styleId="7393">
    <w:name w:val="73א טקסט רץ 9 תו"/>
    <w:basedOn w:val="Char4"/>
    <w:link w:val="7392"/>
    <w:rsid w:val="0078358A"/>
    <w:rPr>
      <w:rFonts w:ascii="Tahoma" w:hAnsi="Tahoma" w:cs="Tahoma"/>
      <w:color w:val="0D0D0D" w:themeColor="text1" w:themeTint="F2"/>
      <w:sz w:val="18"/>
      <w:szCs w:val="18"/>
    </w:rPr>
  </w:style>
  <w:style w:type="character" w:styleId="SubtleReference">
    <w:name w:val="Subtle Reference"/>
    <w:basedOn w:val="DefaultParagraphFont"/>
    <w:uiPriority w:val="31"/>
    <w:rsid w:val="003B23BE"/>
    <w:rPr>
      <w:smallCaps/>
      <w:color w:val="5A5A5A" w:themeColor="text1" w:themeTint="A5"/>
    </w:rPr>
  </w:style>
  <w:style w:type="paragraph" w:customStyle="1" w:styleId="RESHET">
    <w:name w:val="RESHET"/>
    <w:basedOn w:val="Normal"/>
    <w:rsid w:val="001A4FC5"/>
    <w:pPr>
      <w:keepLines/>
      <w:pBdr>
        <w:top w:val="single" w:sz="12" w:space="4" w:color="CEEAF5"/>
        <w:left w:val="single" w:sz="12" w:space="11" w:color="CEEAF5"/>
        <w:bottom w:val="single" w:sz="12" w:space="6" w:color="CEEAF5"/>
        <w:right w:val="single" w:sz="12" w:space="11" w:color="CEEAF5"/>
      </w:pBdr>
      <w:shd w:val="solid" w:color="CEEAF5" w:fill="auto"/>
      <w:tabs>
        <w:tab w:val="left" w:pos="624"/>
      </w:tabs>
      <w:spacing w:after="120" w:line="240" w:lineRule="exact"/>
      <w:ind w:left="227" w:right="2495"/>
    </w:pPr>
    <w:rPr>
      <w:rFonts w:ascii="Tahoma" w:eastAsia="Times New Roman" w:hAnsi="Tahoma" w:cs="Tahoma"/>
      <w:sz w:val="17"/>
      <w:szCs w:val="18"/>
      <w:lang w:eastAsia="he-IL"/>
    </w:rPr>
  </w:style>
  <w:style w:type="paragraph" w:customStyle="1" w:styleId="tab-name">
    <w:name w:val="tab-name"/>
    <w:basedOn w:val="Normal"/>
    <w:qFormat/>
    <w:rsid w:val="001A4FC5"/>
    <w:pPr>
      <w:keepNext/>
      <w:spacing w:before="120" w:after="120" w:line="320" w:lineRule="exact"/>
      <w:ind w:right="2268"/>
      <w:jc w:val="left"/>
    </w:pPr>
    <w:rPr>
      <w:rFonts w:ascii="Tahoma" w:hAnsi="Tahoma" w:eastAsiaTheme="minorEastAsia" w:cs="Tahoma"/>
      <w:color w:val="1481AB" w:themeColor="accent1" w:themeShade="BF"/>
      <w:sz w:val="18"/>
      <w:szCs w:val="18"/>
    </w:rPr>
  </w:style>
  <w:style w:type="paragraph" w:customStyle="1" w:styleId="running-text">
    <w:name w:val="running-text"/>
    <w:qFormat/>
    <w:rsid w:val="001A4FC5"/>
    <w:pPr>
      <w:spacing w:after="120" w:line="240" w:lineRule="exact"/>
      <w:ind w:right="2268"/>
    </w:pPr>
    <w:rPr>
      <w:rFonts w:ascii="Tahoma" w:hAnsi="Tahoma" w:eastAsiaTheme="minorEastAsia" w:cs="Tahoma"/>
      <w:sz w:val="17"/>
      <w:szCs w:val="18"/>
    </w:rPr>
  </w:style>
  <w:style w:type="paragraph" w:customStyle="1" w:styleId="text-source">
    <w:name w:val="text-source"/>
    <w:basedOn w:val="Normal"/>
    <w:next w:val="Normal"/>
    <w:qFormat/>
    <w:rsid w:val="001A4FC5"/>
    <w:pPr>
      <w:shd w:val="clear" w:color="auto" w:fill="FFFFFF"/>
      <w:spacing w:before="120" w:after="240" w:line="200" w:lineRule="exact"/>
      <w:ind w:right="2268"/>
      <w:jc w:val="left"/>
    </w:pPr>
    <w:rPr>
      <w:rFonts w:ascii="Tahoma" w:eastAsia="Times New Roman" w:hAnsi="Tahoma" w:cs="Tahoma"/>
      <w:color w:val="222222"/>
      <w:sz w:val="14"/>
      <w:szCs w:val="14"/>
    </w:rPr>
  </w:style>
  <w:style w:type="character" w:customStyle="1" w:styleId="Heading20">
    <w:name w:val="Heading #2_"/>
    <w:basedOn w:val="DefaultParagraphFont"/>
    <w:link w:val="Heading21"/>
    <w:rsid w:val="001A4FC5"/>
    <w:rPr>
      <w:rFonts w:ascii="David" w:eastAsia="David" w:hAnsi="David"/>
      <w:b/>
      <w:bCs/>
      <w:szCs w:val="20"/>
      <w:shd w:val="clear" w:color="auto" w:fill="FFFFFF"/>
    </w:rPr>
  </w:style>
  <w:style w:type="character" w:customStyle="1" w:styleId="Heading2NotBold">
    <w:name w:val="Heading #2 + Not Bold"/>
    <w:basedOn w:val="Heading20"/>
    <w:rsid w:val="001A4FC5"/>
    <w:rPr>
      <w:rFonts w:ascii="David" w:eastAsia="David" w:hAnsi="David"/>
      <w:b/>
      <w:bCs/>
      <w:color w:val="000000"/>
      <w:spacing w:val="0"/>
      <w:w w:val="100"/>
      <w:position w:val="0"/>
      <w:szCs w:val="20"/>
      <w:shd w:val="clear" w:color="auto" w:fill="FFFFFF"/>
      <w:lang w:val="he-IL" w:eastAsia="he-IL" w:bidi="he-IL"/>
    </w:rPr>
  </w:style>
  <w:style w:type="paragraph" w:customStyle="1" w:styleId="Heading21">
    <w:name w:val="Heading #2"/>
    <w:basedOn w:val="Normal"/>
    <w:link w:val="Heading20"/>
    <w:rsid w:val="001A4FC5"/>
    <w:pPr>
      <w:widowControl w:val="0"/>
      <w:shd w:val="clear" w:color="auto" w:fill="FFFFFF"/>
      <w:spacing w:before="360" w:after="180" w:line="0" w:lineRule="atLeast"/>
      <w:jc w:val="left"/>
      <w:outlineLvl w:val="1"/>
    </w:pPr>
    <w:rPr>
      <w:rFonts w:ascii="David" w:eastAsia="David" w:hAnsi="David"/>
      <w:b/>
      <w:bCs/>
      <w:szCs w:val="20"/>
    </w:rPr>
  </w:style>
  <w:style w:type="paragraph" w:customStyle="1" w:styleId="6-">
    <w:name w:val="כותרת 6 -דוח קורונה"/>
    <w:basedOn w:val="Normal"/>
    <w:qFormat/>
    <w:rsid w:val="001F3363"/>
    <w:pPr>
      <w:keepNext/>
      <w:keepLines/>
      <w:spacing w:before="240" w:after="180" w:line="240" w:lineRule="atLeast"/>
      <w:jc w:val="left"/>
    </w:pPr>
    <w:rPr>
      <w:rFonts w:ascii="Tahoma" w:hAnsi="Tahoma" w:cs="Tahoma"/>
      <w:color w:val="00305F"/>
      <w:sz w:val="18"/>
      <w:szCs w:val="20"/>
    </w:rPr>
  </w:style>
  <w:style w:type="paragraph" w:styleId="TOC2">
    <w:name w:val="toc 2"/>
    <w:basedOn w:val="Normal"/>
    <w:next w:val="Normal"/>
    <w:autoRedefine/>
    <w:uiPriority w:val="39"/>
    <w:unhideWhenUsed/>
    <w:qFormat/>
    <w:rsid w:val="00C9003B"/>
    <w:pPr>
      <w:tabs>
        <w:tab w:val="right" w:leader="dot" w:pos="8211"/>
      </w:tabs>
      <w:spacing w:after="100"/>
      <w:ind w:left="200"/>
    </w:pPr>
  </w:style>
  <w:style w:type="paragraph" w:styleId="TOC3">
    <w:name w:val="toc 3"/>
    <w:basedOn w:val="Normal"/>
    <w:next w:val="Normal"/>
    <w:autoRedefine/>
    <w:uiPriority w:val="39"/>
    <w:unhideWhenUsed/>
    <w:qFormat/>
    <w:rsid w:val="00C9003B"/>
    <w:pPr>
      <w:spacing w:after="100"/>
      <w:ind w:left="400"/>
    </w:pPr>
  </w:style>
  <w:style w:type="paragraph" w:styleId="TOC1">
    <w:name w:val="toc 1"/>
    <w:basedOn w:val="Normal"/>
    <w:next w:val="Normal"/>
    <w:autoRedefine/>
    <w:uiPriority w:val="39"/>
    <w:unhideWhenUsed/>
    <w:qFormat/>
    <w:rsid w:val="00C9003B"/>
    <w:pPr>
      <w:spacing w:after="100" w:line="259" w:lineRule="auto"/>
      <w:jc w:val="left"/>
    </w:pPr>
    <w:rPr>
      <w:rFonts w:asciiTheme="minorHAnsi" w:eastAsiaTheme="minorEastAsia" w:hAnsiTheme="minorHAnsi" w:cs="Times New Roman"/>
      <w:sz w:val="22"/>
      <w:szCs w:val="22"/>
      <w:rtl/>
      <w:cs/>
    </w:rPr>
  </w:style>
  <w:style w:type="paragraph" w:styleId="TOC4">
    <w:name w:val="toc 4"/>
    <w:basedOn w:val="Normal"/>
    <w:next w:val="Normal"/>
    <w:autoRedefine/>
    <w:uiPriority w:val="39"/>
    <w:unhideWhenUsed/>
    <w:rsid w:val="00C9003B"/>
    <w:pPr>
      <w:spacing w:after="100"/>
      <w:ind w:left="600"/>
    </w:pPr>
  </w:style>
  <w:style w:type="paragraph" w:styleId="TOC6">
    <w:name w:val="toc 6"/>
    <w:basedOn w:val="Normal"/>
    <w:next w:val="Normal"/>
    <w:autoRedefine/>
    <w:uiPriority w:val="39"/>
    <w:unhideWhenUsed/>
    <w:rsid w:val="00C9003B"/>
    <w:pPr>
      <w:spacing w:after="100"/>
      <w:ind w:left="1000"/>
    </w:pPr>
  </w:style>
  <w:style w:type="paragraph" w:styleId="TOC5">
    <w:name w:val="toc 5"/>
    <w:basedOn w:val="Normal"/>
    <w:next w:val="Normal"/>
    <w:autoRedefine/>
    <w:uiPriority w:val="39"/>
    <w:unhideWhenUsed/>
    <w:rsid w:val="00C9003B"/>
    <w:pPr>
      <w:spacing w:after="100"/>
      <w:ind w:left="800"/>
    </w:pPr>
  </w:style>
  <w:style w:type="paragraph" w:customStyle="1" w:styleId="ruller41">
    <w:name w:val="ruller41"/>
    <w:basedOn w:val="Normal"/>
    <w:rsid w:val="00C9003B"/>
    <w:pPr>
      <w:bidi w:val="0"/>
      <w:spacing w:before="100" w:beforeAutospacing="1" w:after="100" w:afterAutospacing="1" w:line="240" w:lineRule="auto"/>
      <w:jc w:val="left"/>
    </w:pPr>
    <w:rPr>
      <w:rFonts w:eastAsia="Times New Roman" w:cs="Times New Roman"/>
      <w:sz w:val="24"/>
    </w:rPr>
  </w:style>
  <w:style w:type="character" w:customStyle="1" w:styleId="736100">
    <w:name w:val="73א כותרת 6_10 תו"/>
    <w:basedOn w:val="DefaultParagraphFont"/>
    <w:link w:val="73610"/>
    <w:rsid w:val="0078358A"/>
    <w:rPr>
      <w:rFonts w:ascii="Tahoma" w:hAnsi="Tahoma" w:cs="Tahoma"/>
      <w:b/>
      <w:bCs/>
      <w:color w:val="00305F"/>
      <w:szCs w:val="20"/>
    </w:rPr>
  </w:style>
  <w:style w:type="paragraph" w:customStyle="1" w:styleId="msonormal">
    <w:name w:val="msonormal"/>
    <w:basedOn w:val="Normal"/>
    <w:rsid w:val="007324C6"/>
    <w:pPr>
      <w:bidi w:val="0"/>
      <w:spacing w:before="100" w:beforeAutospacing="1" w:after="100" w:afterAutospacing="1" w:line="240" w:lineRule="auto"/>
      <w:jc w:val="left"/>
    </w:pPr>
    <w:rPr>
      <w:rFonts w:eastAsia="Times New Roman" w:cs="Times New Roman"/>
      <w:sz w:val="24"/>
    </w:rPr>
  </w:style>
  <w:style w:type="paragraph" w:styleId="TOC7">
    <w:name w:val="toc 7"/>
    <w:basedOn w:val="Normal"/>
    <w:next w:val="Normal"/>
    <w:autoRedefine/>
    <w:uiPriority w:val="39"/>
    <w:unhideWhenUsed/>
    <w:rsid w:val="007324C6"/>
    <w:pPr>
      <w:spacing w:after="100" w:line="259" w:lineRule="auto"/>
      <w:ind w:left="1320"/>
      <w:jc w:val="left"/>
    </w:pPr>
    <w:rPr>
      <w:rFonts w:asciiTheme="minorHAnsi" w:hAnsiTheme="minorHAnsi" w:cstheme="minorBidi"/>
      <w:sz w:val="22"/>
      <w:szCs w:val="22"/>
    </w:rPr>
  </w:style>
  <w:style w:type="paragraph" w:customStyle="1" w:styleId="ruller4">
    <w:name w:val="ruller4"/>
    <w:basedOn w:val="Normal"/>
    <w:rsid w:val="007324C6"/>
    <w:pPr>
      <w:bidi w:val="0"/>
      <w:spacing w:before="100" w:beforeAutospacing="1" w:after="100" w:afterAutospacing="1" w:line="240" w:lineRule="auto"/>
      <w:jc w:val="left"/>
    </w:pPr>
    <w:rPr>
      <w:rFonts w:eastAsia="Times New Roman" w:cs="Times New Roman"/>
      <w:sz w:val="24"/>
    </w:rPr>
  </w:style>
  <w:style w:type="table" w:styleId="GridTable1LightAccent5">
    <w:name w:val="Grid Table 1 Light Accent 5"/>
    <w:basedOn w:val="TableNormal"/>
    <w:uiPriority w:val="46"/>
    <w:rsid w:val="005D0F8C"/>
    <w:pPr>
      <w:bidi/>
      <w:spacing w:after="0" w:line="240" w:lineRule="auto"/>
      <w:ind w:left="720" w:hanging="720"/>
    </w:pPr>
    <w:tblPr>
      <w:tblStyleRowBandSize w:val="1"/>
      <w:tblStyleColBandSize w:val="1"/>
      <w:tblBorders>
        <w:top w:val="single" w:sz="4" w:space="0" w:color="A9D7B6" w:themeColor="accent5" w:themeTint="66"/>
        <w:left w:val="single" w:sz="4" w:space="0" w:color="A9D7B6" w:themeColor="accent5" w:themeTint="66"/>
        <w:bottom w:val="single" w:sz="4" w:space="0" w:color="A9D7B6" w:themeColor="accent5" w:themeTint="66"/>
        <w:right w:val="single" w:sz="4" w:space="0" w:color="A9D7B6" w:themeColor="accent5" w:themeTint="66"/>
        <w:insideH w:val="single" w:sz="4" w:space="0" w:color="A9D7B6" w:themeColor="accent5" w:themeTint="66"/>
        <w:insideV w:val="single" w:sz="4" w:space="0" w:color="A9D7B6" w:themeColor="accent5" w:themeTint="66"/>
      </w:tblBorders>
    </w:tblPr>
    <w:tblStylePr w:type="firstRow">
      <w:rPr>
        <w:b/>
        <w:bCs/>
      </w:rPr>
      <w:tblPr/>
      <w:tcPr>
        <w:tcBorders>
          <w:bottom w:val="single" w:sz="12" w:space="0" w:color="7EC492" w:themeColor="accent5" w:themeTint="99"/>
        </w:tcBorders>
      </w:tcPr>
    </w:tblStylePr>
    <w:tblStylePr w:type="lastRow">
      <w:rPr>
        <w:b/>
        <w:bCs/>
      </w:rPr>
      <w:tblPr/>
      <w:tcPr>
        <w:tcBorders>
          <w:top w:val="double" w:sz="2" w:space="0" w:color="7EC492" w:themeColor="accent5" w:themeTint="99"/>
        </w:tcBorders>
      </w:tcPr>
    </w:tblStylePr>
    <w:tblStylePr w:type="firstCol">
      <w:rPr>
        <w:b/>
        <w:bCs/>
      </w:rPr>
    </w:tblStylePr>
    <w:tblStylePr w:type="lastCol">
      <w:rPr>
        <w:b/>
        <w:bCs/>
      </w:rPr>
    </w:tblStylePr>
  </w:style>
  <w:style w:type="table" w:styleId="GridTable6ColorfulAccent5">
    <w:name w:val="Grid Table 6 Colorful Accent 5"/>
    <w:basedOn w:val="TableNormal"/>
    <w:uiPriority w:val="51"/>
    <w:rsid w:val="005D0F8C"/>
    <w:pPr>
      <w:bidi/>
      <w:spacing w:after="0" w:line="240" w:lineRule="auto"/>
      <w:ind w:left="720" w:hanging="720"/>
    </w:pPr>
    <w:rPr>
      <w:color w:val="2E653E" w:themeColor="accent5" w:themeShade="BF"/>
    </w:rPr>
    <w:tblPr>
      <w:tblStyleRowBandSize w:val="1"/>
      <w:tblStyleColBandSize w:val="1"/>
      <w:tblBorders>
        <w:top w:val="single" w:sz="4" w:space="0" w:color="7EC492" w:themeColor="accent5" w:themeTint="99"/>
        <w:left w:val="single" w:sz="4" w:space="0" w:color="7EC492" w:themeColor="accent5" w:themeTint="99"/>
        <w:bottom w:val="single" w:sz="4" w:space="0" w:color="7EC492" w:themeColor="accent5" w:themeTint="99"/>
        <w:right w:val="single" w:sz="4" w:space="0" w:color="7EC492" w:themeColor="accent5" w:themeTint="99"/>
        <w:insideH w:val="single" w:sz="4" w:space="0" w:color="7EC492" w:themeColor="accent5" w:themeTint="99"/>
        <w:insideV w:val="single" w:sz="4" w:space="0" w:color="7EC492" w:themeColor="accent5" w:themeTint="99"/>
      </w:tblBorders>
    </w:tblPr>
    <w:tblStylePr w:type="firstRow">
      <w:rPr>
        <w:b/>
        <w:bCs/>
      </w:rPr>
      <w:tblPr/>
      <w:tcPr>
        <w:tcBorders>
          <w:bottom w:val="single" w:sz="12" w:space="0" w:color="7EC492" w:themeColor="accent5" w:themeTint="99"/>
        </w:tcBorders>
      </w:tcPr>
    </w:tblStylePr>
    <w:tblStylePr w:type="lastRow">
      <w:rPr>
        <w:b/>
        <w:bCs/>
      </w:rPr>
      <w:tblPr/>
      <w:tcPr>
        <w:tcBorders>
          <w:top w:val="double" w:sz="4" w:space="0" w:color="7EC492" w:themeColor="accent5" w:themeTint="99"/>
        </w:tcBorders>
      </w:tcPr>
    </w:tblStylePr>
    <w:tblStylePr w:type="firstCol">
      <w:rPr>
        <w:b/>
        <w:bCs/>
      </w:rPr>
    </w:tblStylePr>
    <w:tblStylePr w:type="lastCol">
      <w:rPr>
        <w:b/>
        <w:bCs/>
      </w:rPr>
    </w:tblStylePr>
    <w:tblStylePr w:type="band1Vert">
      <w:tblPr/>
      <w:tcPr>
        <w:shd w:val="clear" w:color="auto" w:fill="D3EBDA" w:themeFill="accent5" w:themeFillTint="33"/>
      </w:tcPr>
    </w:tblStylePr>
    <w:tblStylePr w:type="band1Horz">
      <w:tblPr/>
      <w:tcPr>
        <w:shd w:val="clear" w:color="auto" w:fill="D3EBDA" w:themeFill="accent5" w:themeFillTint="33"/>
      </w:tcPr>
    </w:tblStylePr>
  </w:style>
  <w:style w:type="table" w:styleId="GridTable4Accent5">
    <w:name w:val="Grid Table 4 Accent 5"/>
    <w:basedOn w:val="TableNormal"/>
    <w:uiPriority w:val="49"/>
    <w:rsid w:val="005D0F8C"/>
    <w:pPr>
      <w:bidi/>
      <w:spacing w:after="0" w:line="240" w:lineRule="auto"/>
      <w:ind w:left="720" w:hanging="720"/>
    </w:pPr>
    <w:tblPr>
      <w:tblStyleRowBandSize w:val="1"/>
      <w:tblStyleColBandSize w:val="1"/>
      <w:tblBorders>
        <w:top w:val="single" w:sz="4" w:space="0" w:color="7EC492" w:themeColor="accent5" w:themeTint="99"/>
        <w:left w:val="single" w:sz="4" w:space="0" w:color="7EC492" w:themeColor="accent5" w:themeTint="99"/>
        <w:bottom w:val="single" w:sz="4" w:space="0" w:color="7EC492" w:themeColor="accent5" w:themeTint="99"/>
        <w:right w:val="single" w:sz="4" w:space="0" w:color="7EC492" w:themeColor="accent5" w:themeTint="99"/>
        <w:insideH w:val="single" w:sz="4" w:space="0" w:color="7EC492" w:themeColor="accent5" w:themeTint="99"/>
        <w:insideV w:val="single" w:sz="4" w:space="0" w:color="7EC492" w:themeColor="accent5" w:themeTint="99"/>
      </w:tblBorders>
    </w:tblPr>
    <w:tblStylePr w:type="firstRow">
      <w:rPr>
        <w:b/>
        <w:bCs/>
        <w:color w:val="FFFFFF" w:themeColor="background1"/>
      </w:rPr>
      <w:tblPr/>
      <w:tcPr>
        <w:tcBorders>
          <w:top w:val="single" w:sz="4" w:space="0" w:color="3E8853" w:themeColor="accent5"/>
          <w:left w:val="single" w:sz="4" w:space="0" w:color="3E8853" w:themeColor="accent5"/>
          <w:bottom w:val="single" w:sz="4" w:space="0" w:color="3E8853" w:themeColor="accent5"/>
          <w:right w:val="single" w:sz="4" w:space="0" w:color="3E8853" w:themeColor="accent5"/>
          <w:insideH w:val="nil"/>
          <w:insideV w:val="nil"/>
        </w:tcBorders>
        <w:shd w:val="clear" w:color="auto" w:fill="3E8853" w:themeFill="accent5"/>
      </w:tcPr>
    </w:tblStylePr>
    <w:tblStylePr w:type="lastRow">
      <w:rPr>
        <w:b/>
        <w:bCs/>
      </w:rPr>
      <w:tblPr/>
      <w:tcPr>
        <w:tcBorders>
          <w:top w:val="double" w:sz="4" w:space="0" w:color="3E8853" w:themeColor="accent5"/>
        </w:tcBorders>
      </w:tcPr>
    </w:tblStylePr>
    <w:tblStylePr w:type="firstCol">
      <w:rPr>
        <w:b/>
        <w:bCs/>
      </w:rPr>
    </w:tblStylePr>
    <w:tblStylePr w:type="lastCol">
      <w:rPr>
        <w:b/>
        <w:bCs/>
      </w:rPr>
    </w:tblStylePr>
    <w:tblStylePr w:type="band1Vert">
      <w:tblPr/>
      <w:tcPr>
        <w:shd w:val="clear" w:color="auto" w:fill="D3EBDA" w:themeFill="accent5" w:themeFillTint="33"/>
      </w:tcPr>
    </w:tblStylePr>
    <w:tblStylePr w:type="band1Horz">
      <w:tblPr/>
      <w:tcPr>
        <w:shd w:val="clear" w:color="auto" w:fill="D3EBDA" w:themeFill="accent5" w:themeFillTint="33"/>
      </w:tcPr>
    </w:tblStylePr>
  </w:style>
  <w:style w:type="paragraph" w:customStyle="1" w:styleId="50">
    <w:name w:val="סגנון5"/>
    <w:basedOn w:val="739"/>
    <w:qFormat/>
    <w:rsid w:val="005D0F8C"/>
    <w:pPr>
      <w:pBdr>
        <w:top w:val="single" w:sz="18" w:space="4" w:color="CFEBF6"/>
        <w:left w:val="single" w:sz="18" w:space="11" w:color="CFEBF6"/>
        <w:bottom w:val="single" w:sz="18" w:space="6" w:color="CFEBF6"/>
        <w:right w:val="single" w:sz="18" w:space="11" w:color="CFEBF6"/>
      </w:pBdr>
      <w:shd w:val="solid" w:color="DBE4FA" w:fill="auto"/>
    </w:pPr>
  </w:style>
  <w:style w:type="paragraph" w:customStyle="1" w:styleId="60">
    <w:name w:val="סגנון6"/>
    <w:basedOn w:val="7316"/>
    <w:qFormat/>
    <w:rsid w:val="005D0F8C"/>
    <w:pPr>
      <w:framePr w:wrap="around"/>
      <w:pBdr>
        <w:top w:val="single" w:sz="18" w:space="4" w:color="CFEBF6"/>
        <w:left w:val="single" w:sz="18" w:space="11" w:color="CFEBF6"/>
        <w:bottom w:val="single" w:sz="18" w:space="6" w:color="CFEBF6"/>
        <w:right w:val="single" w:sz="18" w:space="11" w:color="CFEBF6"/>
      </w:pBdr>
      <w:shd w:val="solid" w:color="DBE4FA" w:fill="auto"/>
      <w:spacing w:after="240"/>
      <w:ind w:left="1417"/>
    </w:pPr>
    <w:rPr>
      <w:rFonts w:eastAsiaTheme="minorHAnsi"/>
    </w:rPr>
  </w:style>
  <w:style w:type="table" w:customStyle="1" w:styleId="Table3">
    <w:name w:val="Table3"/>
    <w:basedOn w:val="TableNormal"/>
    <w:rsid w:val="00B91AD9"/>
    <w:pPr>
      <w:bidi/>
      <w:jc w:val="left"/>
    </w:pPr>
    <w:rPr>
      <w:rFonts w:ascii="Calibri" w:eastAsia="Calibri" w:hAnsi="Calibri" w:cs="Calibri"/>
      <w:sz w:val="22"/>
      <w:szCs w:val="22"/>
    </w:rPr>
    <w:tblPr>
      <w:tblStyleRowBandSize w:val="1"/>
      <w:tblStyleColBandSize w:val="1"/>
      <w:tblCellMar>
        <w:left w:w="115" w:type="dxa"/>
        <w:right w:w="115" w:type="dxa"/>
      </w:tblCellMar>
    </w:tblPr>
  </w:style>
  <w:style w:type="paragraph" w:styleId="TOC8">
    <w:name w:val="toc 8"/>
    <w:basedOn w:val="Normal"/>
    <w:next w:val="Normal"/>
    <w:autoRedefine/>
    <w:uiPriority w:val="39"/>
    <w:unhideWhenUsed/>
    <w:rsid w:val="00B91AD9"/>
    <w:pPr>
      <w:spacing w:after="100" w:line="259" w:lineRule="auto"/>
      <w:ind w:left="1540"/>
      <w:jc w:val="left"/>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B91AD9"/>
    <w:pPr>
      <w:spacing w:after="100" w:line="259" w:lineRule="auto"/>
      <w:ind w:left="1760"/>
      <w:jc w:val="left"/>
    </w:pPr>
    <w:rPr>
      <w:rFonts w:asciiTheme="minorHAnsi" w:eastAsiaTheme="minorEastAsia" w:hAnsiTheme="minorHAnsi" w:cstheme="minorBidi"/>
      <w:sz w:val="22"/>
      <w:szCs w:val="22"/>
    </w:rPr>
  </w:style>
  <w:style w:type="character" w:styleId="PageNumber">
    <w:name w:val="page number"/>
    <w:basedOn w:val="DefaultParagraphFont"/>
    <w:uiPriority w:val="99"/>
    <w:semiHidden/>
    <w:unhideWhenUsed/>
    <w:rsid w:val="005B2BF5"/>
  </w:style>
  <w:style w:type="table" w:customStyle="1" w:styleId="126">
    <w:name w:val="טבלת רשת1"/>
    <w:basedOn w:val="TableNormal"/>
    <w:next w:val="TableGrid"/>
    <w:uiPriority w:val="59"/>
    <w:rsid w:val="005B2BF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basedOn w:val="Normal"/>
    <w:uiPriority w:val="99"/>
    <w:semiHidden/>
    <w:unhideWhenUsed/>
    <w:rsid w:val="005B2BF5"/>
    <w:pPr>
      <w:tabs>
        <w:tab w:val="num" w:pos="360"/>
      </w:tabs>
      <w:spacing w:line="360" w:lineRule="auto"/>
      <w:ind w:left="360" w:hanging="360"/>
      <w:contextualSpacing/>
    </w:pPr>
    <w:rPr>
      <w:sz w:val="24"/>
    </w:rPr>
  </w:style>
  <w:style w:type="character" w:customStyle="1" w:styleId="Bodytext2105pt">
    <w:name w:val="Body text (2) + 10.5 pt"/>
    <w:aliases w:val="11 pt,8 pt,8.5 pt,Body text (2) + 11 pt,Body text (2) + David,Body text (23) + David,Bold,Spacing 0 pt"/>
    <w:basedOn w:val="DefaultParagraphFont"/>
    <w:rsid w:val="005B2BF5"/>
    <w:rPr>
      <w:rFonts w:ascii="David" w:eastAsia="David" w:hAnsi="David" w:cs="David"/>
      <w:b w:val="0"/>
      <w:bCs w:val="0"/>
      <w:i w:val="0"/>
      <w:iCs w:val="0"/>
      <w:smallCaps w:val="0"/>
      <w:strike w:val="0"/>
      <w:color w:val="000000"/>
      <w:spacing w:val="0"/>
      <w:w w:val="100"/>
      <w:position w:val="0"/>
      <w:sz w:val="21"/>
      <w:szCs w:val="21"/>
      <w:u w:val="none"/>
      <w:lang w:val="he-IL" w:eastAsia="he-IL" w:bidi="he-IL"/>
    </w:rPr>
  </w:style>
  <w:style w:type="character" w:customStyle="1" w:styleId="Bodytext6Bold">
    <w:name w:val="Body text (6) + Bold"/>
    <w:basedOn w:val="Bodytext6"/>
    <w:rsid w:val="005B2BF5"/>
    <w:rPr>
      <w:rFonts w:ascii="Lucida Sans Unicode" w:eastAsia="Lucida Sans Unicode" w:hAnsi="Lucida Sans Unicode" w:cs="Lucida Sans Unicode"/>
      <w:b/>
      <w:bCs/>
      <w:i w:val="0"/>
      <w:iCs w:val="0"/>
      <w:smallCaps w:val="0"/>
      <w:strike w:val="0"/>
      <w:color w:val="000000"/>
      <w:spacing w:val="0"/>
      <w:w w:val="100"/>
      <w:position w:val="0"/>
      <w:sz w:val="19"/>
      <w:szCs w:val="19"/>
      <w:u w:val="none"/>
      <w:shd w:val="clear" w:color="auto" w:fill="FFFFFF"/>
      <w:lang w:val="he-IL" w:eastAsia="he-IL" w:bidi="he-IL"/>
    </w:rPr>
  </w:style>
  <w:style w:type="character" w:customStyle="1" w:styleId="Bodytext69pt1">
    <w:name w:val="Body text (6) + 9 pt1"/>
    <w:basedOn w:val="Bodytext6"/>
    <w:rsid w:val="005B2BF5"/>
    <w:rPr>
      <w:rFonts w:ascii="Lucida Sans Unicode" w:eastAsia="Lucida Sans Unicode" w:hAnsi="Lucida Sans Unicode" w:cs="Lucida Sans Unicode"/>
      <w:b w:val="0"/>
      <w:bCs w:val="0"/>
      <w:i w:val="0"/>
      <w:iCs w:val="0"/>
      <w:smallCaps w:val="0"/>
      <w:strike w:val="0"/>
      <w:color w:val="000000"/>
      <w:spacing w:val="0"/>
      <w:w w:val="100"/>
      <w:position w:val="0"/>
      <w:sz w:val="18"/>
      <w:szCs w:val="18"/>
      <w:u w:val="none"/>
      <w:shd w:val="clear" w:color="auto" w:fill="FFFFFF"/>
      <w:lang w:val="he-IL" w:eastAsia="he-IL" w:bidi="he-IL"/>
    </w:rPr>
  </w:style>
  <w:style w:type="character" w:customStyle="1" w:styleId="Heading10">
    <w:name w:val="Heading #1_"/>
    <w:basedOn w:val="DefaultParagraphFont"/>
    <w:link w:val="Heading11"/>
    <w:rsid w:val="005B2BF5"/>
    <w:rPr>
      <w:rFonts w:ascii="David" w:eastAsia="David" w:hAnsi="David"/>
      <w:b/>
      <w:bCs/>
      <w:sz w:val="54"/>
      <w:szCs w:val="54"/>
      <w:shd w:val="clear" w:color="auto" w:fill="FFFFFF"/>
    </w:rPr>
  </w:style>
  <w:style w:type="character" w:customStyle="1" w:styleId="Heading1Italic">
    <w:name w:val="Heading #1 + Italic"/>
    <w:basedOn w:val="Heading10"/>
    <w:rsid w:val="005B2BF5"/>
    <w:rPr>
      <w:rFonts w:ascii="David" w:eastAsia="David" w:hAnsi="David"/>
      <w:b/>
      <w:bCs/>
      <w:i/>
      <w:iCs/>
      <w:color w:val="000000"/>
      <w:spacing w:val="0"/>
      <w:w w:val="100"/>
      <w:position w:val="0"/>
      <w:sz w:val="54"/>
      <w:szCs w:val="54"/>
      <w:shd w:val="clear" w:color="auto" w:fill="FFFFFF"/>
      <w:lang w:val="he-IL" w:eastAsia="he-IL" w:bidi="he-IL"/>
    </w:rPr>
  </w:style>
  <w:style w:type="paragraph" w:customStyle="1" w:styleId="Heading11">
    <w:name w:val="Heading #1"/>
    <w:basedOn w:val="Normal"/>
    <w:link w:val="Heading10"/>
    <w:rsid w:val="005B2BF5"/>
    <w:pPr>
      <w:widowControl w:val="0"/>
      <w:shd w:val="clear" w:color="auto" w:fill="FFFFFF"/>
      <w:spacing w:before="4260" w:after="360" w:line="0" w:lineRule="atLeast"/>
      <w:jc w:val="left"/>
      <w:outlineLvl w:val="0"/>
    </w:pPr>
    <w:rPr>
      <w:rFonts w:ascii="David" w:eastAsia="David" w:hAnsi="David"/>
      <w:b/>
      <w:bCs/>
      <w:sz w:val="54"/>
      <w:szCs w:val="54"/>
    </w:rPr>
  </w:style>
  <w:style w:type="character" w:customStyle="1" w:styleId="Bodytext28pt">
    <w:name w:val="Body text (2) + 8 pt"/>
    <w:basedOn w:val="Bodytext2"/>
    <w:rsid w:val="005B2BF5"/>
    <w:rPr>
      <w:rFonts w:ascii="Lucida Sans Unicode" w:eastAsia="Lucida Sans Unicode" w:hAnsi="Lucida Sans Unicode" w:cs="Lucida Sans Unicode"/>
      <w:color w:val="000000"/>
      <w:spacing w:val="0"/>
      <w:w w:val="100"/>
      <w:position w:val="0"/>
      <w:sz w:val="16"/>
      <w:szCs w:val="16"/>
      <w:shd w:val="clear" w:color="auto" w:fill="FFFFFF"/>
      <w:lang w:val="he-IL" w:eastAsia="he-IL" w:bidi="he-IL"/>
    </w:rPr>
  </w:style>
  <w:style w:type="paragraph" w:customStyle="1" w:styleId="Bodytext21">
    <w:name w:val="Body text (2)1"/>
    <w:basedOn w:val="Normal"/>
    <w:rsid w:val="005B2BF5"/>
    <w:pPr>
      <w:widowControl w:val="0"/>
      <w:shd w:val="clear" w:color="auto" w:fill="FFFFFF"/>
      <w:spacing w:line="371" w:lineRule="exact"/>
      <w:ind w:hanging="740"/>
    </w:pPr>
    <w:rPr>
      <w:rFonts w:ascii="David" w:eastAsia="David" w:hAnsi="David"/>
      <w:sz w:val="22"/>
      <w:szCs w:val="22"/>
    </w:rPr>
  </w:style>
  <w:style w:type="paragraph" w:customStyle="1" w:styleId="a35">
    <w:name w:val="כותרת ראשית לדוח"/>
    <w:qFormat/>
    <w:rsid w:val="000F5023"/>
    <w:pPr>
      <w:spacing w:before="360" w:line="600" w:lineRule="exact"/>
      <w:ind w:left="2268"/>
      <w:jc w:val="left"/>
    </w:pPr>
    <w:rPr>
      <w:rFonts w:ascii="Tahoma" w:hAnsi="Tahoma" w:cs="Tahoma"/>
      <w:b/>
      <w:bCs/>
      <w:sz w:val="44"/>
      <w:szCs w:val="44"/>
    </w:rPr>
  </w:style>
  <w:style w:type="paragraph" w:customStyle="1" w:styleId="a36">
    <w:name w:val="תאריך הדוח"/>
    <w:qFormat/>
    <w:rsid w:val="000F5023"/>
    <w:pPr>
      <w:ind w:left="2268"/>
      <w:jc w:val="left"/>
    </w:pPr>
    <w:rPr>
      <w:rFonts w:ascii="Tahoma" w:hAnsi="Tahoma" w:cs="Tahoma"/>
      <w:sz w:val="18"/>
      <w:szCs w:val="18"/>
    </w:rPr>
  </w:style>
  <w:style w:type="paragraph" w:customStyle="1" w:styleId="70">
    <w:name w:val="סגנון7"/>
    <w:basedOn w:val="7336"/>
    <w:qFormat/>
    <w:rsid w:val="00F1103C"/>
    <w:pPr>
      <w:numPr>
        <w:numId w:val="9"/>
      </w:numPr>
      <w:ind w:left="850" w:right="284" w:hanging="425"/>
    </w:pPr>
    <w:rPr>
      <w:noProof/>
      <w:lang w:val="he-IL"/>
    </w:rPr>
  </w:style>
  <w:style w:type="paragraph" w:customStyle="1" w:styleId="711">
    <w:name w:val="71ג קוביה כחולה עם מספרים מוזחים"/>
    <w:basedOn w:val="Normal"/>
    <w:qFormat/>
    <w:rsid w:val="00B85CE0"/>
    <w:pPr>
      <w:pBdr>
        <w:top w:val="single" w:sz="4" w:space="4" w:color="CEEAF5"/>
        <w:left w:val="single" w:sz="4" w:space="11" w:color="CEEAF5"/>
        <w:bottom w:val="single" w:sz="4" w:space="6" w:color="CEEAF5"/>
        <w:right w:val="single" w:sz="4" w:space="11" w:color="CEEAF5"/>
      </w:pBdr>
      <w:shd w:val="clear" w:color="auto" w:fill="CEEAF5"/>
      <w:spacing w:after="180" w:line="260" w:lineRule="exact"/>
      <w:ind w:left="681" w:right="227" w:hanging="397"/>
    </w:pPr>
    <w:rPr>
      <w:rFonts w:ascii="Tahoma" w:hAnsi="Tahoma" w:cs="Tahoma"/>
      <w:color w:val="0D0D0D" w:themeColor="text1" w:themeTint="F2"/>
      <w:sz w:val="18"/>
      <w:szCs w:val="18"/>
    </w:rPr>
  </w:style>
  <w:style w:type="paragraph" w:customStyle="1" w:styleId="712">
    <w:name w:val="71ג הערות שוליים"/>
    <w:basedOn w:val="FootnoteText"/>
    <w:link w:val="71Char"/>
    <w:qFormat/>
    <w:rsid w:val="00437586"/>
    <w:pPr>
      <w:spacing w:after="60" w:line="220" w:lineRule="exact"/>
      <w:ind w:left="397" w:hanging="397"/>
    </w:pPr>
    <w:rPr>
      <w:rFonts w:ascii="Tahoma" w:hAnsi="Tahoma" w:cs="Tahoma"/>
      <w:color w:val="0D0D0D" w:themeColor="text1" w:themeTint="F2"/>
      <w:sz w:val="14"/>
      <w:szCs w:val="14"/>
    </w:rPr>
  </w:style>
  <w:style w:type="character" w:customStyle="1" w:styleId="71Char">
    <w:name w:val="71ג הערות שוליים Char"/>
    <w:basedOn w:val="3"/>
    <w:link w:val="712"/>
    <w:rsid w:val="00437586"/>
    <w:rPr>
      <w:rFonts w:ascii="Tahoma" w:hAnsi="Tahoma" w:cs="Tahoma"/>
      <w:color w:val="0D0D0D" w:themeColor="text1" w:themeTint="F2"/>
      <w:sz w:val="14"/>
      <w:szCs w:val="14"/>
    </w:rPr>
  </w:style>
  <w:style w:type="paragraph" w:customStyle="1" w:styleId="713">
    <w:name w:val="71ג הזחה מספר בסוגריים"/>
    <w:basedOn w:val="ListParagraph"/>
    <w:qFormat/>
    <w:rsid w:val="00437586"/>
    <w:pPr>
      <w:spacing w:after="180" w:line="260" w:lineRule="exact"/>
      <w:ind w:left="0"/>
      <w:contextualSpacing w:val="0"/>
    </w:pPr>
    <w:rPr>
      <w:rFonts w:ascii="Tahoma" w:hAnsi="Tahoma" w:cs="Tahoma"/>
      <w:sz w:val="18"/>
      <w:szCs w:val="18"/>
    </w:rPr>
  </w:style>
  <w:style w:type="paragraph" w:customStyle="1" w:styleId="7120">
    <w:name w:val="71ג אותות בתוך קוביה 2"/>
    <w:basedOn w:val="Normal"/>
    <w:qFormat/>
    <w:rsid w:val="008E566F"/>
    <w:pPr>
      <w:keepLines/>
      <w:pBdr>
        <w:top w:val="single" w:sz="18" w:space="4" w:color="CEEAF5"/>
        <w:left w:val="single" w:sz="18" w:space="11" w:color="CEEAF5"/>
        <w:bottom w:val="single" w:sz="18" w:space="6" w:color="CEEAF5"/>
        <w:right w:val="single" w:sz="18" w:space="11" w:color="CEEAF5"/>
      </w:pBdr>
      <w:shd w:val="solid" w:color="CEEAF5" w:fill="auto"/>
      <w:tabs>
        <w:tab w:val="left" w:pos="624"/>
      </w:tabs>
      <w:spacing w:after="180" w:line="260" w:lineRule="exact"/>
      <w:ind w:right="227"/>
    </w:pPr>
    <w:rPr>
      <w:rFonts w:ascii="Tahoma" w:eastAsia="Times New Roman" w:hAnsi="Tahoma" w:cs="Tahoma"/>
      <w:color w:val="0D0D0D" w:themeColor="text1" w:themeTint="F2"/>
      <w:sz w:val="18"/>
      <w:szCs w:val="18"/>
      <w:lang w:eastAsia="he-IL"/>
    </w:rPr>
  </w:style>
  <w:style w:type="paragraph" w:customStyle="1" w:styleId="219">
    <w:name w:val="סגנון זמני 2"/>
    <w:basedOn w:val="Normal"/>
    <w:link w:val="220"/>
    <w:qFormat/>
    <w:rsid w:val="00C149B0"/>
    <w:pPr>
      <w:autoSpaceDE w:val="0"/>
      <w:autoSpaceDN w:val="0"/>
      <w:spacing w:line="360" w:lineRule="auto"/>
    </w:pPr>
    <w:rPr>
      <w:rFonts w:ascii="David" w:eastAsia="Times New Roman" w:hAnsi="David" w:cs="Times New Roman"/>
      <w:noProof/>
      <w:sz w:val="24"/>
      <w:szCs w:val="26"/>
      <w:u w:val="single"/>
      <w:lang w:eastAsia="he-IL"/>
    </w:rPr>
  </w:style>
  <w:style w:type="paragraph" w:customStyle="1" w:styleId="a37">
    <w:name w:val="כותרת תרשים"/>
    <w:basedOn w:val="Normal"/>
    <w:next w:val="Normal"/>
    <w:link w:val="a38"/>
    <w:qFormat/>
    <w:rsid w:val="00C149B0"/>
    <w:pPr>
      <w:keepNext/>
      <w:keepLines/>
      <w:numPr>
        <w:numId w:val="10"/>
      </w:numPr>
      <w:tabs>
        <w:tab w:val="left" w:pos="567"/>
        <w:tab w:val="left" w:pos="851"/>
      </w:tabs>
      <w:spacing w:line="360" w:lineRule="auto"/>
      <w:jc w:val="center"/>
    </w:pPr>
    <w:rPr>
      <w:rFonts w:ascii="David" w:hAnsi="David"/>
      <w:b/>
      <w:bCs/>
      <w:sz w:val="24"/>
    </w:rPr>
  </w:style>
  <w:style w:type="character" w:customStyle="1" w:styleId="a38">
    <w:name w:val="כותרת תרשים תו"/>
    <w:basedOn w:val="DefaultParagraphFont"/>
    <w:link w:val="a37"/>
    <w:rsid w:val="00C149B0"/>
    <w:rPr>
      <w:rFonts w:ascii="David" w:hAnsi="David"/>
      <w:b/>
      <w:bCs/>
      <w:sz w:val="24"/>
    </w:rPr>
  </w:style>
  <w:style w:type="character" w:customStyle="1" w:styleId="Bodytext16">
    <w:name w:val="Body text (16)_"/>
    <w:basedOn w:val="DefaultParagraphFont"/>
    <w:link w:val="Bodytext160"/>
    <w:rsid w:val="00C149B0"/>
    <w:rPr>
      <w:rFonts w:ascii="Lucida Sans Unicode" w:eastAsia="Lucida Sans Unicode" w:hAnsi="Lucida Sans Unicode" w:cs="Lucida Sans Unicode"/>
      <w:spacing w:val="-10"/>
      <w:sz w:val="19"/>
      <w:szCs w:val="19"/>
      <w:shd w:val="clear" w:color="auto" w:fill="FFFFFF"/>
      <w:lang w:bidi="en-US"/>
    </w:rPr>
  </w:style>
  <w:style w:type="character" w:customStyle="1" w:styleId="Tablecaption">
    <w:name w:val="Table caption_"/>
    <w:basedOn w:val="DefaultParagraphFont"/>
    <w:link w:val="Tablecaption0"/>
    <w:rsid w:val="00C149B0"/>
    <w:rPr>
      <w:rFonts w:ascii="Lucida Sans Unicode" w:eastAsia="Lucida Sans Unicode" w:hAnsi="Lucida Sans Unicode" w:cs="Lucida Sans Unicode"/>
      <w:spacing w:val="-10"/>
      <w:sz w:val="19"/>
      <w:szCs w:val="19"/>
      <w:shd w:val="clear" w:color="auto" w:fill="FFFFFF"/>
    </w:rPr>
  </w:style>
  <w:style w:type="paragraph" w:customStyle="1" w:styleId="Bodytext160">
    <w:name w:val="Body text (16)"/>
    <w:basedOn w:val="Normal"/>
    <w:link w:val="Bodytext16"/>
    <w:rsid w:val="00C149B0"/>
    <w:pPr>
      <w:widowControl w:val="0"/>
      <w:shd w:val="clear" w:color="auto" w:fill="FFFFFF"/>
      <w:bidi w:val="0"/>
      <w:spacing w:line="0" w:lineRule="atLeast"/>
      <w:jc w:val="left"/>
    </w:pPr>
    <w:rPr>
      <w:rFonts w:ascii="Lucida Sans Unicode" w:eastAsia="Lucida Sans Unicode" w:hAnsi="Lucida Sans Unicode" w:cs="Lucida Sans Unicode"/>
      <w:spacing w:val="-10"/>
      <w:sz w:val="19"/>
      <w:szCs w:val="19"/>
      <w:lang w:bidi="en-US"/>
    </w:rPr>
  </w:style>
  <w:style w:type="paragraph" w:customStyle="1" w:styleId="Tablecaption0">
    <w:name w:val="Table caption"/>
    <w:basedOn w:val="Normal"/>
    <w:link w:val="Tablecaption"/>
    <w:rsid w:val="00C149B0"/>
    <w:pPr>
      <w:widowControl w:val="0"/>
      <w:shd w:val="clear" w:color="auto" w:fill="FFFFFF"/>
      <w:spacing w:line="0" w:lineRule="atLeast"/>
      <w:jc w:val="left"/>
    </w:pPr>
    <w:rPr>
      <w:rFonts w:ascii="Lucida Sans Unicode" w:eastAsia="Lucida Sans Unicode" w:hAnsi="Lucida Sans Unicode" w:cs="Lucida Sans Unicode"/>
      <w:spacing w:val="-10"/>
      <w:sz w:val="19"/>
      <w:szCs w:val="19"/>
    </w:rPr>
  </w:style>
  <w:style w:type="character" w:customStyle="1" w:styleId="Heading40">
    <w:name w:val="Heading #4_"/>
    <w:basedOn w:val="DefaultParagraphFont"/>
    <w:rsid w:val="00C149B0"/>
    <w:rPr>
      <w:rFonts w:ascii="David" w:eastAsia="David" w:hAnsi="David" w:cs="David"/>
      <w:b/>
      <w:bCs/>
      <w:i w:val="0"/>
      <w:iCs w:val="0"/>
      <w:smallCaps w:val="0"/>
      <w:strike w:val="0"/>
      <w:sz w:val="28"/>
      <w:szCs w:val="28"/>
      <w:u w:val="none"/>
    </w:rPr>
  </w:style>
  <w:style w:type="character" w:customStyle="1" w:styleId="Heading41">
    <w:name w:val="Heading #4"/>
    <w:basedOn w:val="Heading40"/>
    <w:rsid w:val="00C149B0"/>
    <w:rPr>
      <w:rFonts w:ascii="David" w:eastAsia="David" w:hAnsi="David" w:cs="David"/>
      <w:b/>
      <w:bCs/>
      <w:i w:val="0"/>
      <w:iCs w:val="0"/>
      <w:smallCaps w:val="0"/>
      <w:strike w:val="0"/>
      <w:color w:val="000000"/>
      <w:spacing w:val="0"/>
      <w:w w:val="100"/>
      <w:position w:val="0"/>
      <w:sz w:val="28"/>
      <w:szCs w:val="28"/>
      <w:u w:val="single"/>
      <w:lang w:val="he-IL" w:eastAsia="he-IL" w:bidi="he-IL"/>
    </w:rPr>
  </w:style>
  <w:style w:type="character" w:customStyle="1" w:styleId="Heading54">
    <w:name w:val="Heading #5 (4)_"/>
    <w:basedOn w:val="DefaultParagraphFont"/>
    <w:rsid w:val="00C149B0"/>
    <w:rPr>
      <w:rFonts w:ascii="Lucida Sans Unicode" w:eastAsia="Lucida Sans Unicode" w:hAnsi="Lucida Sans Unicode" w:cs="Lucida Sans Unicode"/>
      <w:b/>
      <w:bCs/>
      <w:i w:val="0"/>
      <w:iCs w:val="0"/>
      <w:smallCaps w:val="0"/>
      <w:strike w:val="0"/>
      <w:spacing w:val="-10"/>
      <w:sz w:val="19"/>
      <w:szCs w:val="19"/>
      <w:u w:val="none"/>
    </w:rPr>
  </w:style>
  <w:style w:type="character" w:customStyle="1" w:styleId="Heading540">
    <w:name w:val="Heading #5 (4)"/>
    <w:basedOn w:val="Heading54"/>
    <w:rsid w:val="00C149B0"/>
    <w:rPr>
      <w:rFonts w:ascii="Lucida Sans Unicode" w:eastAsia="Lucida Sans Unicode" w:hAnsi="Lucida Sans Unicode" w:cs="Lucida Sans Unicode"/>
      <w:b/>
      <w:bCs/>
      <w:i w:val="0"/>
      <w:iCs w:val="0"/>
      <w:smallCaps w:val="0"/>
      <w:strike w:val="0"/>
      <w:color w:val="000000"/>
      <w:spacing w:val="-10"/>
      <w:w w:val="100"/>
      <w:position w:val="0"/>
      <w:sz w:val="19"/>
      <w:szCs w:val="19"/>
      <w:u w:val="single"/>
      <w:lang w:val="he-IL" w:eastAsia="he-IL" w:bidi="he-IL"/>
    </w:rPr>
  </w:style>
  <w:style w:type="character" w:customStyle="1" w:styleId="Heading4LucidaSansUnicode">
    <w:name w:val="Heading #4 + Lucida Sans Unicode"/>
    <w:aliases w:val="Not Bold"/>
    <w:basedOn w:val="Heading40"/>
    <w:rsid w:val="00C149B0"/>
    <w:rPr>
      <w:rFonts w:ascii="Lucida Sans Unicode" w:eastAsia="Lucida Sans Unicode" w:hAnsi="Lucida Sans Unicode" w:cs="Lucida Sans Unicode"/>
      <w:b/>
      <w:bCs/>
      <w:i w:val="0"/>
      <w:iCs w:val="0"/>
      <w:smallCaps w:val="0"/>
      <w:strike w:val="0"/>
      <w:color w:val="000000"/>
      <w:spacing w:val="0"/>
      <w:w w:val="100"/>
      <w:position w:val="0"/>
      <w:sz w:val="28"/>
      <w:szCs w:val="28"/>
      <w:u w:val="none"/>
      <w:lang w:val="he-IL" w:eastAsia="he-IL" w:bidi="he-IL"/>
    </w:rPr>
  </w:style>
  <w:style w:type="character" w:customStyle="1" w:styleId="Heading55">
    <w:name w:val="Heading #5 (5)_"/>
    <w:basedOn w:val="DefaultParagraphFont"/>
    <w:link w:val="Heading550"/>
    <w:rsid w:val="00C149B0"/>
    <w:rPr>
      <w:rFonts w:ascii="David" w:eastAsia="David" w:hAnsi="David"/>
      <w:b/>
      <w:bCs/>
      <w:sz w:val="22"/>
      <w:szCs w:val="22"/>
      <w:shd w:val="clear" w:color="auto" w:fill="FFFFFF"/>
    </w:rPr>
  </w:style>
  <w:style w:type="paragraph" w:customStyle="1" w:styleId="Heading550">
    <w:name w:val="Heading #5 (5)"/>
    <w:basedOn w:val="Normal"/>
    <w:link w:val="Heading55"/>
    <w:rsid w:val="00C149B0"/>
    <w:pPr>
      <w:widowControl w:val="0"/>
      <w:shd w:val="clear" w:color="auto" w:fill="FFFFFF"/>
      <w:spacing w:before="720" w:after="60" w:line="0" w:lineRule="atLeast"/>
      <w:ind w:hanging="500"/>
      <w:outlineLvl w:val="4"/>
    </w:pPr>
    <w:rPr>
      <w:rFonts w:ascii="David" w:eastAsia="David" w:hAnsi="David"/>
      <w:b/>
      <w:bCs/>
      <w:sz w:val="22"/>
      <w:szCs w:val="22"/>
    </w:rPr>
  </w:style>
  <w:style w:type="character" w:customStyle="1" w:styleId="Bodytext27">
    <w:name w:val="Body text (27)_"/>
    <w:basedOn w:val="DefaultParagraphFont"/>
    <w:rsid w:val="00C149B0"/>
    <w:rPr>
      <w:rFonts w:ascii="David" w:eastAsia="David" w:hAnsi="David" w:cs="David"/>
      <w:b w:val="0"/>
      <w:bCs w:val="0"/>
      <w:i w:val="0"/>
      <w:iCs w:val="0"/>
      <w:smallCaps w:val="0"/>
      <w:strike w:val="0"/>
      <w:sz w:val="22"/>
      <w:szCs w:val="22"/>
      <w:u w:val="none"/>
    </w:rPr>
  </w:style>
  <w:style w:type="character" w:customStyle="1" w:styleId="Bodytext270">
    <w:name w:val="Body text (27)"/>
    <w:basedOn w:val="Bodytext27"/>
    <w:rsid w:val="00C149B0"/>
    <w:rPr>
      <w:rFonts w:ascii="David" w:eastAsia="David" w:hAnsi="David" w:cs="David"/>
      <w:b w:val="0"/>
      <w:bCs w:val="0"/>
      <w:i w:val="0"/>
      <w:iCs w:val="0"/>
      <w:smallCaps w:val="0"/>
      <w:strike w:val="0"/>
      <w:color w:val="000000"/>
      <w:spacing w:val="0"/>
      <w:w w:val="100"/>
      <w:position w:val="0"/>
      <w:sz w:val="22"/>
      <w:szCs w:val="22"/>
      <w:u w:val="single"/>
      <w:lang w:val="he-IL" w:eastAsia="he-IL" w:bidi="he-IL"/>
    </w:rPr>
  </w:style>
  <w:style w:type="character" w:customStyle="1" w:styleId="Bodytext23">
    <w:name w:val="Body text (23)_"/>
    <w:basedOn w:val="DefaultParagraphFont"/>
    <w:link w:val="Bodytext230"/>
    <w:rsid w:val="00C149B0"/>
    <w:rPr>
      <w:rFonts w:ascii="Arial" w:eastAsia="Arial" w:hAnsi="Arial" w:cs="Arial"/>
      <w:b/>
      <w:bCs/>
      <w:sz w:val="18"/>
      <w:szCs w:val="18"/>
      <w:shd w:val="clear" w:color="auto" w:fill="FFFFFF"/>
    </w:rPr>
  </w:style>
  <w:style w:type="character" w:customStyle="1" w:styleId="Tablecaption16">
    <w:name w:val="Table caption (16)_"/>
    <w:basedOn w:val="DefaultParagraphFont"/>
    <w:link w:val="Tablecaption160"/>
    <w:rsid w:val="00C149B0"/>
    <w:rPr>
      <w:rFonts w:ascii="David" w:eastAsia="David" w:hAnsi="David"/>
      <w:b/>
      <w:bCs/>
      <w:sz w:val="16"/>
      <w:szCs w:val="16"/>
      <w:shd w:val="clear" w:color="auto" w:fill="FFFFFF"/>
    </w:rPr>
  </w:style>
  <w:style w:type="paragraph" w:customStyle="1" w:styleId="Bodytext230">
    <w:name w:val="Body text (23)"/>
    <w:basedOn w:val="Normal"/>
    <w:link w:val="Bodytext23"/>
    <w:rsid w:val="00C149B0"/>
    <w:pPr>
      <w:widowControl w:val="0"/>
      <w:shd w:val="clear" w:color="auto" w:fill="FFFFFF"/>
      <w:spacing w:before="120" w:after="120" w:line="0" w:lineRule="atLeast"/>
      <w:ind w:hanging="380"/>
    </w:pPr>
    <w:rPr>
      <w:rFonts w:ascii="Arial" w:eastAsia="Arial" w:hAnsi="Arial" w:cs="Arial"/>
      <w:b/>
      <w:bCs/>
      <w:sz w:val="18"/>
      <w:szCs w:val="18"/>
    </w:rPr>
  </w:style>
  <w:style w:type="paragraph" w:customStyle="1" w:styleId="Tablecaption160">
    <w:name w:val="Table caption (16)"/>
    <w:basedOn w:val="Normal"/>
    <w:link w:val="Tablecaption16"/>
    <w:rsid w:val="00C149B0"/>
    <w:pPr>
      <w:widowControl w:val="0"/>
      <w:shd w:val="clear" w:color="auto" w:fill="FFFFFF"/>
      <w:spacing w:line="0" w:lineRule="atLeast"/>
      <w:jc w:val="left"/>
    </w:pPr>
    <w:rPr>
      <w:rFonts w:ascii="David" w:eastAsia="David" w:hAnsi="David"/>
      <w:b/>
      <w:bCs/>
      <w:sz w:val="16"/>
      <w:szCs w:val="16"/>
    </w:rPr>
  </w:style>
  <w:style w:type="character" w:customStyle="1" w:styleId="Bodytext6Spacing0pt">
    <w:name w:val="Body text (6) + Spacing 0 pt"/>
    <w:basedOn w:val="Bodytext6"/>
    <w:rsid w:val="00C149B0"/>
    <w:rPr>
      <w:rFonts w:ascii="Lucida Sans Unicode" w:eastAsia="Lucida Sans Unicode" w:hAnsi="Lucida Sans Unicode" w:cs="Lucida Sans Unicode"/>
      <w:b w:val="0"/>
      <w:bCs w:val="0"/>
      <w:i w:val="0"/>
      <w:iCs w:val="0"/>
      <w:smallCaps w:val="0"/>
      <w:strike w:val="0"/>
      <w:color w:val="000000"/>
      <w:spacing w:val="0"/>
      <w:w w:val="100"/>
      <w:position w:val="0"/>
      <w:sz w:val="22"/>
      <w:szCs w:val="22"/>
      <w:u w:val="none"/>
      <w:shd w:val="clear" w:color="auto" w:fill="FFFFFF"/>
      <w:lang w:val="he-IL" w:eastAsia="he-IL" w:bidi="he-IL"/>
    </w:rPr>
  </w:style>
  <w:style w:type="character" w:customStyle="1" w:styleId="Bodytext28">
    <w:name w:val="Body text (28)_"/>
    <w:basedOn w:val="DefaultParagraphFont"/>
    <w:link w:val="Bodytext280"/>
    <w:rsid w:val="00C149B0"/>
    <w:rPr>
      <w:rFonts w:ascii="Lucida Sans Unicode" w:eastAsia="Lucida Sans Unicode" w:hAnsi="Lucida Sans Unicode" w:cs="Lucida Sans Unicode"/>
      <w:spacing w:val="-10"/>
      <w:sz w:val="21"/>
      <w:szCs w:val="21"/>
      <w:shd w:val="clear" w:color="auto" w:fill="FFFFFF"/>
    </w:rPr>
  </w:style>
  <w:style w:type="character" w:customStyle="1" w:styleId="Bodytext29">
    <w:name w:val="Body text (29)_"/>
    <w:basedOn w:val="DefaultParagraphFont"/>
    <w:rsid w:val="00C149B0"/>
    <w:rPr>
      <w:rFonts w:ascii="Lucida Sans Unicode" w:eastAsia="Lucida Sans Unicode" w:hAnsi="Lucida Sans Unicode" w:cs="Lucida Sans Unicode"/>
      <w:b/>
      <w:bCs/>
      <w:i w:val="0"/>
      <w:iCs w:val="0"/>
      <w:smallCaps w:val="0"/>
      <w:strike w:val="0"/>
      <w:spacing w:val="-10"/>
      <w:sz w:val="22"/>
      <w:szCs w:val="22"/>
      <w:u w:val="none"/>
    </w:rPr>
  </w:style>
  <w:style w:type="character" w:customStyle="1" w:styleId="Bodytext290">
    <w:name w:val="Body text (29)"/>
    <w:basedOn w:val="Bodytext29"/>
    <w:rsid w:val="00C149B0"/>
    <w:rPr>
      <w:rFonts w:ascii="Lucida Sans Unicode" w:eastAsia="Lucida Sans Unicode" w:hAnsi="Lucida Sans Unicode" w:cs="Lucida Sans Unicode"/>
      <w:b/>
      <w:bCs/>
      <w:i w:val="0"/>
      <w:iCs w:val="0"/>
      <w:smallCaps w:val="0"/>
      <w:strike w:val="0"/>
      <w:color w:val="000000"/>
      <w:spacing w:val="-10"/>
      <w:w w:val="100"/>
      <w:position w:val="0"/>
      <w:sz w:val="22"/>
      <w:szCs w:val="22"/>
      <w:u w:val="none"/>
      <w:lang w:val="he-IL" w:eastAsia="he-IL" w:bidi="he-IL"/>
    </w:rPr>
  </w:style>
  <w:style w:type="character" w:customStyle="1" w:styleId="Heading30">
    <w:name w:val="Heading #3_"/>
    <w:basedOn w:val="DefaultParagraphFont"/>
    <w:rsid w:val="00C149B0"/>
    <w:rPr>
      <w:rFonts w:ascii="Lucida Sans Unicode" w:eastAsia="Lucida Sans Unicode" w:hAnsi="Lucida Sans Unicode" w:cs="Lucida Sans Unicode"/>
      <w:b/>
      <w:bCs/>
      <w:i w:val="0"/>
      <w:iCs w:val="0"/>
      <w:smallCaps w:val="0"/>
      <w:strike w:val="0"/>
      <w:spacing w:val="-10"/>
      <w:sz w:val="22"/>
      <w:szCs w:val="22"/>
      <w:u w:val="none"/>
    </w:rPr>
  </w:style>
  <w:style w:type="character" w:customStyle="1" w:styleId="Heading31">
    <w:name w:val="Heading #3"/>
    <w:basedOn w:val="Heading30"/>
    <w:rsid w:val="00C149B0"/>
    <w:rPr>
      <w:rFonts w:ascii="Lucida Sans Unicode" w:eastAsia="Lucida Sans Unicode" w:hAnsi="Lucida Sans Unicode" w:cs="Lucida Sans Unicode"/>
      <w:b/>
      <w:bCs/>
      <w:i w:val="0"/>
      <w:iCs w:val="0"/>
      <w:smallCaps w:val="0"/>
      <w:strike w:val="0"/>
      <w:color w:val="000000"/>
      <w:spacing w:val="-10"/>
      <w:w w:val="100"/>
      <w:position w:val="0"/>
      <w:sz w:val="22"/>
      <w:szCs w:val="22"/>
      <w:u w:val="none"/>
      <w:lang w:val="he-IL" w:eastAsia="he-IL" w:bidi="he-IL"/>
    </w:rPr>
  </w:style>
  <w:style w:type="character" w:customStyle="1" w:styleId="Tablecaption6Exact">
    <w:name w:val="Table caption (6) Exact"/>
    <w:basedOn w:val="DefaultParagraphFont"/>
    <w:rsid w:val="00C149B0"/>
    <w:rPr>
      <w:rFonts w:ascii="David" w:eastAsia="David" w:hAnsi="David" w:cs="David"/>
      <w:b/>
      <w:bCs/>
      <w:i w:val="0"/>
      <w:iCs w:val="0"/>
      <w:smallCaps w:val="0"/>
      <w:strike w:val="0"/>
      <w:sz w:val="17"/>
      <w:szCs w:val="17"/>
      <w:u w:val="none"/>
    </w:rPr>
  </w:style>
  <w:style w:type="character" w:customStyle="1" w:styleId="Bodytext39">
    <w:name w:val="Body text (39)_"/>
    <w:basedOn w:val="DefaultParagraphFont"/>
    <w:link w:val="Bodytext390"/>
    <w:rsid w:val="00C149B0"/>
    <w:rPr>
      <w:rFonts w:ascii="Lucida Sans Unicode" w:eastAsia="Lucida Sans Unicode" w:hAnsi="Lucida Sans Unicode" w:cs="Lucida Sans Unicode"/>
      <w:spacing w:val="-10"/>
      <w:sz w:val="21"/>
      <w:szCs w:val="21"/>
      <w:shd w:val="clear" w:color="auto" w:fill="FFFFFF"/>
      <w:lang w:bidi="en-US"/>
    </w:rPr>
  </w:style>
  <w:style w:type="character" w:customStyle="1" w:styleId="Tablecaption6">
    <w:name w:val="Table caption (6)_"/>
    <w:basedOn w:val="DefaultParagraphFont"/>
    <w:link w:val="Tablecaption60"/>
    <w:rsid w:val="00C149B0"/>
    <w:rPr>
      <w:rFonts w:ascii="David" w:eastAsia="David" w:hAnsi="David"/>
      <w:b/>
      <w:bCs/>
      <w:sz w:val="17"/>
      <w:szCs w:val="17"/>
      <w:shd w:val="clear" w:color="auto" w:fill="FFFFFF"/>
    </w:rPr>
  </w:style>
  <w:style w:type="paragraph" w:customStyle="1" w:styleId="Bodytext280">
    <w:name w:val="Body text (28)"/>
    <w:basedOn w:val="Normal"/>
    <w:link w:val="Bodytext28"/>
    <w:rsid w:val="00C149B0"/>
    <w:pPr>
      <w:widowControl w:val="0"/>
      <w:shd w:val="clear" w:color="auto" w:fill="FFFFFF"/>
      <w:spacing w:before="180" w:after="180" w:line="0" w:lineRule="atLeast"/>
      <w:ind w:hanging="460"/>
    </w:pPr>
    <w:rPr>
      <w:rFonts w:ascii="Lucida Sans Unicode" w:eastAsia="Lucida Sans Unicode" w:hAnsi="Lucida Sans Unicode" w:cs="Lucida Sans Unicode"/>
      <w:spacing w:val="-10"/>
      <w:sz w:val="21"/>
      <w:szCs w:val="21"/>
    </w:rPr>
  </w:style>
  <w:style w:type="paragraph" w:customStyle="1" w:styleId="Tablecaption60">
    <w:name w:val="Table caption (6)"/>
    <w:basedOn w:val="Normal"/>
    <w:link w:val="Tablecaption6"/>
    <w:rsid w:val="00C149B0"/>
    <w:pPr>
      <w:widowControl w:val="0"/>
      <w:shd w:val="clear" w:color="auto" w:fill="FFFFFF"/>
      <w:spacing w:line="0" w:lineRule="atLeast"/>
      <w:jc w:val="left"/>
    </w:pPr>
    <w:rPr>
      <w:rFonts w:ascii="David" w:eastAsia="David" w:hAnsi="David"/>
      <w:b/>
      <w:bCs/>
      <w:sz w:val="17"/>
      <w:szCs w:val="17"/>
    </w:rPr>
  </w:style>
  <w:style w:type="paragraph" w:customStyle="1" w:styleId="Bodytext390">
    <w:name w:val="Body text (39)"/>
    <w:basedOn w:val="Normal"/>
    <w:link w:val="Bodytext39"/>
    <w:rsid w:val="00C149B0"/>
    <w:pPr>
      <w:widowControl w:val="0"/>
      <w:shd w:val="clear" w:color="auto" w:fill="FFFFFF"/>
      <w:bidi w:val="0"/>
      <w:spacing w:line="298" w:lineRule="exact"/>
      <w:jc w:val="left"/>
    </w:pPr>
    <w:rPr>
      <w:rFonts w:ascii="Lucida Sans Unicode" w:eastAsia="Lucida Sans Unicode" w:hAnsi="Lucida Sans Unicode" w:cs="Lucida Sans Unicode"/>
      <w:spacing w:val="-10"/>
      <w:sz w:val="21"/>
      <w:szCs w:val="21"/>
      <w:lang w:bidi="en-US"/>
    </w:rPr>
  </w:style>
  <w:style w:type="character" w:customStyle="1" w:styleId="Tablecaption7">
    <w:name w:val="Table caption (7)_"/>
    <w:basedOn w:val="DefaultParagraphFont"/>
    <w:link w:val="Tablecaption70"/>
    <w:rsid w:val="00C149B0"/>
    <w:rPr>
      <w:rFonts w:ascii="David" w:eastAsia="David" w:hAnsi="David"/>
      <w:b/>
      <w:bCs/>
      <w:sz w:val="17"/>
      <w:szCs w:val="17"/>
      <w:shd w:val="clear" w:color="auto" w:fill="FFFFFF"/>
      <w:lang w:bidi="en-US"/>
    </w:rPr>
  </w:style>
  <w:style w:type="paragraph" w:customStyle="1" w:styleId="Tablecaption70">
    <w:name w:val="Table caption (7)"/>
    <w:basedOn w:val="Normal"/>
    <w:link w:val="Tablecaption7"/>
    <w:rsid w:val="00C149B0"/>
    <w:pPr>
      <w:widowControl w:val="0"/>
      <w:shd w:val="clear" w:color="auto" w:fill="FFFFFF"/>
      <w:bidi w:val="0"/>
      <w:spacing w:line="0" w:lineRule="atLeast"/>
    </w:pPr>
    <w:rPr>
      <w:rFonts w:ascii="David" w:eastAsia="David" w:hAnsi="David"/>
      <w:b/>
      <w:bCs/>
      <w:sz w:val="17"/>
      <w:szCs w:val="17"/>
      <w:lang w:bidi="en-US"/>
    </w:rPr>
  </w:style>
  <w:style w:type="character" w:customStyle="1" w:styleId="Bodytext29Spacing-1pt">
    <w:name w:val="Body text (29) + Spacing -1 pt"/>
    <w:basedOn w:val="Bodytext29"/>
    <w:rsid w:val="00C149B0"/>
    <w:rPr>
      <w:rFonts w:ascii="Lucida Sans Unicode" w:eastAsia="Lucida Sans Unicode" w:hAnsi="Lucida Sans Unicode" w:cs="Lucida Sans Unicode"/>
      <w:b/>
      <w:bCs/>
      <w:i w:val="0"/>
      <w:iCs w:val="0"/>
      <w:smallCaps w:val="0"/>
      <w:strike w:val="0"/>
      <w:color w:val="000000"/>
      <w:spacing w:val="-20"/>
      <w:w w:val="100"/>
      <w:position w:val="0"/>
      <w:sz w:val="22"/>
      <w:szCs w:val="22"/>
      <w:u w:val="none"/>
      <w:lang w:val="he-IL" w:eastAsia="he-IL" w:bidi="he-IL"/>
    </w:rPr>
  </w:style>
  <w:style w:type="character" w:customStyle="1" w:styleId="Heading33">
    <w:name w:val="Heading #3 (3)_"/>
    <w:basedOn w:val="DefaultParagraphFont"/>
    <w:link w:val="Heading330"/>
    <w:rsid w:val="00C149B0"/>
    <w:rPr>
      <w:rFonts w:ascii="Lucida Sans Unicode" w:eastAsia="Lucida Sans Unicode" w:hAnsi="Lucida Sans Unicode" w:cs="Lucida Sans Unicode"/>
      <w:spacing w:val="-10"/>
      <w:sz w:val="21"/>
      <w:szCs w:val="21"/>
      <w:shd w:val="clear" w:color="auto" w:fill="FFFFFF"/>
    </w:rPr>
  </w:style>
  <w:style w:type="paragraph" w:customStyle="1" w:styleId="Heading330">
    <w:name w:val="Heading #3 (3)"/>
    <w:basedOn w:val="Normal"/>
    <w:link w:val="Heading33"/>
    <w:rsid w:val="00C149B0"/>
    <w:pPr>
      <w:widowControl w:val="0"/>
      <w:shd w:val="clear" w:color="auto" w:fill="FFFFFF"/>
      <w:spacing w:before="240" w:line="221" w:lineRule="exact"/>
      <w:ind w:hanging="500"/>
      <w:outlineLvl w:val="2"/>
    </w:pPr>
    <w:rPr>
      <w:rFonts w:ascii="Lucida Sans Unicode" w:eastAsia="Lucida Sans Unicode" w:hAnsi="Lucida Sans Unicode" w:cs="Lucida Sans Unicode"/>
      <w:spacing w:val="-10"/>
      <w:sz w:val="21"/>
      <w:szCs w:val="21"/>
    </w:rPr>
  </w:style>
  <w:style w:type="character" w:customStyle="1" w:styleId="Tablecaption5Exact">
    <w:name w:val="Table caption (5) Exact"/>
    <w:basedOn w:val="DefaultParagraphFont"/>
    <w:rsid w:val="00C149B0"/>
    <w:rPr>
      <w:rFonts w:ascii="Lucida Sans Unicode" w:eastAsia="Lucida Sans Unicode" w:hAnsi="Lucida Sans Unicode" w:cs="Lucida Sans Unicode"/>
      <w:b w:val="0"/>
      <w:bCs w:val="0"/>
      <w:i w:val="0"/>
      <w:iCs w:val="0"/>
      <w:smallCaps w:val="0"/>
      <w:strike w:val="0"/>
      <w:spacing w:val="-10"/>
      <w:sz w:val="21"/>
      <w:szCs w:val="21"/>
      <w:u w:val="none"/>
    </w:rPr>
  </w:style>
  <w:style w:type="character" w:customStyle="1" w:styleId="Tablecaption5">
    <w:name w:val="Table caption (5)_"/>
    <w:basedOn w:val="DefaultParagraphFont"/>
    <w:link w:val="Tablecaption50"/>
    <w:rsid w:val="00C149B0"/>
    <w:rPr>
      <w:rFonts w:ascii="Lucida Sans Unicode" w:eastAsia="Lucida Sans Unicode" w:hAnsi="Lucida Sans Unicode" w:cs="Lucida Sans Unicode"/>
      <w:spacing w:val="-10"/>
      <w:sz w:val="21"/>
      <w:szCs w:val="21"/>
      <w:shd w:val="clear" w:color="auto" w:fill="FFFFFF"/>
    </w:rPr>
  </w:style>
  <w:style w:type="paragraph" w:customStyle="1" w:styleId="Tablecaption50">
    <w:name w:val="Table caption (5)"/>
    <w:basedOn w:val="Normal"/>
    <w:link w:val="Tablecaption5"/>
    <w:rsid w:val="00C149B0"/>
    <w:pPr>
      <w:widowControl w:val="0"/>
      <w:shd w:val="clear" w:color="auto" w:fill="FFFFFF"/>
      <w:spacing w:line="0" w:lineRule="atLeast"/>
      <w:jc w:val="left"/>
    </w:pPr>
    <w:rPr>
      <w:rFonts w:ascii="Lucida Sans Unicode" w:eastAsia="Lucida Sans Unicode" w:hAnsi="Lucida Sans Unicode" w:cs="Lucida Sans Unicode"/>
      <w:spacing w:val="-10"/>
      <w:sz w:val="21"/>
      <w:szCs w:val="21"/>
    </w:rPr>
  </w:style>
  <w:style w:type="character" w:customStyle="1" w:styleId="Bodytext28Exact">
    <w:name w:val="Body text (28) Exact"/>
    <w:basedOn w:val="DefaultParagraphFont"/>
    <w:rsid w:val="00C149B0"/>
    <w:rPr>
      <w:rFonts w:ascii="Lucida Sans Unicode" w:eastAsia="Lucida Sans Unicode" w:hAnsi="Lucida Sans Unicode" w:cs="Lucida Sans Unicode"/>
      <w:b w:val="0"/>
      <w:bCs w:val="0"/>
      <w:i w:val="0"/>
      <w:iCs w:val="0"/>
      <w:smallCaps w:val="0"/>
      <w:strike w:val="0"/>
      <w:spacing w:val="-10"/>
      <w:sz w:val="21"/>
      <w:szCs w:val="21"/>
      <w:u w:val="none"/>
    </w:rPr>
  </w:style>
  <w:style w:type="character" w:customStyle="1" w:styleId="220">
    <w:name w:val="סגנון זמני 2 תו"/>
    <w:basedOn w:val="P001"/>
    <w:link w:val="219"/>
    <w:rsid w:val="00C149B0"/>
    <w:rPr>
      <w:rFonts w:ascii="David" w:eastAsia="Times New Roman" w:hAnsi="David" w:cs="Times New Roman"/>
      <w:noProof/>
      <w:sz w:val="24"/>
      <w:szCs w:val="26"/>
      <w:u w:val="single"/>
      <w:lang w:eastAsia="he-IL"/>
    </w:rPr>
  </w:style>
  <w:style w:type="paragraph" w:customStyle="1" w:styleId="a39">
    <w:name w:val="תרשים"/>
    <w:basedOn w:val="Normal"/>
    <w:next w:val="Normal"/>
    <w:link w:val="a40"/>
    <w:qFormat/>
    <w:rsid w:val="00C149B0"/>
    <w:pPr>
      <w:keepNext/>
      <w:keepLines/>
      <w:numPr>
        <w:ilvl w:val="1"/>
        <w:numId w:val="11"/>
      </w:numPr>
      <w:jc w:val="center"/>
    </w:pPr>
    <w:rPr>
      <w:rFonts w:ascii="David" w:eastAsia="Times New Roman" w:hAnsi="David"/>
      <w:b/>
      <w:bCs/>
      <w:sz w:val="24"/>
      <w:lang w:eastAsia="he-IL"/>
    </w:rPr>
  </w:style>
  <w:style w:type="character" w:customStyle="1" w:styleId="a40">
    <w:name w:val="תרשים תו"/>
    <w:basedOn w:val="DefaultParagraphFont"/>
    <w:link w:val="a39"/>
    <w:rsid w:val="00C149B0"/>
    <w:rPr>
      <w:rFonts w:ascii="David" w:eastAsia="Times New Roman" w:hAnsi="David"/>
      <w:b/>
      <w:bCs/>
      <w:sz w:val="24"/>
      <w:lang w:eastAsia="he-IL"/>
    </w:rPr>
  </w:style>
  <w:style w:type="paragraph" w:customStyle="1" w:styleId="sig-0">
    <w:name w:val="sig-0"/>
    <w:basedOn w:val="P000"/>
    <w:rsid w:val="00C149B0"/>
    <w:pPr>
      <w:tabs>
        <w:tab w:val="clear" w:pos="624"/>
        <w:tab w:val="clear" w:pos="1021"/>
        <w:tab w:val="clear" w:pos="1474"/>
        <w:tab w:val="clear" w:pos="1928"/>
        <w:tab w:val="clear" w:pos="2381"/>
        <w:tab w:val="clear" w:pos="2835"/>
        <w:tab w:val="center" w:pos="4820"/>
        <w:tab w:val="clear" w:pos="6259"/>
      </w:tabs>
    </w:pPr>
    <w:rPr>
      <w:rFonts w:cs="FrankRueh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image" Target="media/image1.jpeg" /><Relationship Id="rId11" Type="http://schemas.openxmlformats.org/officeDocument/2006/relationships/image" Target="media/image2.jpeg" /><Relationship Id="rId12" Type="http://schemas.openxmlformats.org/officeDocument/2006/relationships/header" Target="header1.xml" /><Relationship Id="rId13" Type="http://schemas.openxmlformats.org/officeDocument/2006/relationships/header" Target="header2.xml" /><Relationship Id="rId14" Type="http://schemas.openxmlformats.org/officeDocument/2006/relationships/footer" Target="footer1.xml" /><Relationship Id="rId15" Type="http://schemas.openxmlformats.org/officeDocument/2006/relationships/header" Target="header3.xml" /><Relationship Id="rId16" Type="http://schemas.openxmlformats.org/officeDocument/2006/relationships/header" Target="header4.xml" /><Relationship Id="rId17" Type="http://schemas.openxmlformats.org/officeDocument/2006/relationships/image" Target="media/image4.jpeg" /><Relationship Id="rId18" Type="http://schemas.openxmlformats.org/officeDocument/2006/relationships/image" Target="media/image5.jpeg" /><Relationship Id="rId19" Type="http://schemas.openxmlformats.org/officeDocument/2006/relationships/image" Target="media/image6.jpeg" /><Relationship Id="rId2" Type="http://schemas.openxmlformats.org/officeDocument/2006/relationships/endnotes" Target="endnotes.xml" /><Relationship Id="rId20" Type="http://schemas.openxmlformats.org/officeDocument/2006/relationships/image" Target="media/image7.jpeg" /><Relationship Id="rId21" Type="http://schemas.openxmlformats.org/officeDocument/2006/relationships/image" Target="media/image8.jpeg" /><Relationship Id="rId22" Type="http://schemas.openxmlformats.org/officeDocument/2006/relationships/image" Target="media/image9.jpeg" /><Relationship Id="rId23" Type="http://schemas.openxmlformats.org/officeDocument/2006/relationships/image" Target="media/image10.jpeg" /><Relationship Id="rId24" Type="http://schemas.openxmlformats.org/officeDocument/2006/relationships/image" Target="media/image11.jpeg" /><Relationship Id="rId25" Type="http://schemas.openxmlformats.org/officeDocument/2006/relationships/image" Target="media/image12.emf" /><Relationship Id="rId26" Type="http://schemas.openxmlformats.org/officeDocument/2006/relationships/image" Target="media/image13.emf" /><Relationship Id="rId27" Type="http://schemas.openxmlformats.org/officeDocument/2006/relationships/image" Target="media/image14.png" /><Relationship Id="rId28" Type="http://schemas.openxmlformats.org/officeDocument/2006/relationships/header" Target="header5.xml" /><Relationship Id="rId29" Type="http://schemas.openxmlformats.org/officeDocument/2006/relationships/footer" Target="footer2.xml" /><Relationship Id="rId3" Type="http://schemas.openxmlformats.org/officeDocument/2006/relationships/settings" Target="settings.xml" /><Relationship Id="rId30" Type="http://schemas.openxmlformats.org/officeDocument/2006/relationships/image" Target="media/image15.emf" /><Relationship Id="rId31" Type="http://schemas.openxmlformats.org/officeDocument/2006/relationships/image" Target="media/image16.emf" /><Relationship Id="rId32" Type="http://schemas.openxmlformats.org/officeDocument/2006/relationships/image" Target="media/image17.emf" /><Relationship Id="rId33" Type="http://schemas.openxmlformats.org/officeDocument/2006/relationships/image" Target="media/image18.emf" /><Relationship Id="rId34" Type="http://schemas.openxmlformats.org/officeDocument/2006/relationships/image" Target="media/image19.emf" /><Relationship Id="rId35" Type="http://schemas.openxmlformats.org/officeDocument/2006/relationships/image" Target="media/image20.emf" /><Relationship Id="rId36" Type="http://schemas.openxmlformats.org/officeDocument/2006/relationships/image" Target="media/image21.emf" /><Relationship Id="rId37" Type="http://schemas.openxmlformats.org/officeDocument/2006/relationships/image" Target="media/image22.emf" /><Relationship Id="rId38" Type="http://schemas.openxmlformats.org/officeDocument/2006/relationships/image" Target="media/image23.emf" /><Relationship Id="rId39" Type="http://schemas.openxmlformats.org/officeDocument/2006/relationships/image" Target="media/image24.emf" /><Relationship Id="rId4" Type="http://schemas.openxmlformats.org/officeDocument/2006/relationships/webSettings" Target="webSettings.xml" /><Relationship Id="rId40" Type="http://schemas.openxmlformats.org/officeDocument/2006/relationships/image" Target="media/image25.jpeg" /><Relationship Id="rId41" Type="http://schemas.openxmlformats.org/officeDocument/2006/relationships/image" Target="media/image26.jpeg" /><Relationship Id="rId42" Type="http://schemas.openxmlformats.org/officeDocument/2006/relationships/image" Target="media/image27.emf" /><Relationship Id="rId43" Type="http://schemas.openxmlformats.org/officeDocument/2006/relationships/image" Target="media/image28.emf" /><Relationship Id="rId44" Type="http://schemas.openxmlformats.org/officeDocument/2006/relationships/image" Target="media/image29.emf" /><Relationship Id="rId45" Type="http://schemas.openxmlformats.org/officeDocument/2006/relationships/image" Target="media/image30.emf" /><Relationship Id="rId46" Type="http://schemas.openxmlformats.org/officeDocument/2006/relationships/image" Target="media/image31.emf" /><Relationship Id="rId47" Type="http://schemas.openxmlformats.org/officeDocument/2006/relationships/image" Target="media/image32.emf" /><Relationship Id="rId48" Type="http://schemas.openxmlformats.org/officeDocument/2006/relationships/image" Target="media/image33.emf" /><Relationship Id="rId49" Type="http://schemas.openxmlformats.org/officeDocument/2006/relationships/image" Target="media/image34.emf" /><Relationship Id="rId5" Type="http://schemas.openxmlformats.org/officeDocument/2006/relationships/fontTable" Target="fontTable.xml" /><Relationship Id="rId50" Type="http://schemas.openxmlformats.org/officeDocument/2006/relationships/image" Target="media/image35.emf" /><Relationship Id="rId51" Type="http://schemas.openxmlformats.org/officeDocument/2006/relationships/image" Target="media/image36.emf" /><Relationship Id="rId52" Type="http://schemas.openxmlformats.org/officeDocument/2006/relationships/image" Target="media/image37.emf" /><Relationship Id="rId53" Type="http://schemas.openxmlformats.org/officeDocument/2006/relationships/image" Target="media/image38.emf" /><Relationship Id="rId54" Type="http://schemas.openxmlformats.org/officeDocument/2006/relationships/image" Target="media/image39.emf" /><Relationship Id="rId55" Type="http://schemas.openxmlformats.org/officeDocument/2006/relationships/image" Target="media/image40.emf" /><Relationship Id="rId56" Type="http://schemas.openxmlformats.org/officeDocument/2006/relationships/image" Target="media/image41.emf" /><Relationship Id="rId57" Type="http://schemas.openxmlformats.org/officeDocument/2006/relationships/image" Target="media/image42.emf" /><Relationship Id="rId58" Type="http://schemas.openxmlformats.org/officeDocument/2006/relationships/header" Target="header6.xml" /><Relationship Id="rId59" Type="http://schemas.openxmlformats.org/officeDocument/2006/relationships/theme" Target="theme/theme1.xml" /><Relationship Id="rId6" Type="http://schemas.openxmlformats.org/officeDocument/2006/relationships/customXml" Target="../customXml/item1.xml" /><Relationship Id="rId60" Type="http://schemas.openxmlformats.org/officeDocument/2006/relationships/numbering" Target="numbering.xml" /><Relationship Id="rId61" Type="http://schemas.openxmlformats.org/officeDocument/2006/relationships/styles" Target="styles.xml" /><Relationship Id="rId7" Type="http://schemas.openxmlformats.org/officeDocument/2006/relationships/customXml" Target="../customXml/item2.xml" /><Relationship Id="rId8" Type="http://schemas.openxmlformats.org/officeDocument/2006/relationships/customXml" Target="../customXml/item3.xml" /><Relationship Id="rId9" Type="http://schemas.openxmlformats.org/officeDocument/2006/relationships/customXml" Target="../customXml/item4.xml" /></Relationships>
</file>

<file path=word/_rels/header1.xml.rels><?xml version="1.0" encoding="utf-8" standalone="yes"?><Relationships xmlns="http://schemas.openxmlformats.org/package/2006/relationships"><Relationship Id="rId1" Type="http://schemas.openxmlformats.org/officeDocument/2006/relationships/image" Target="media/image3.jpeg" /></Relationships>
</file>

<file path=word/_rels/header2.xml.rels><?xml version="1.0" encoding="utf-8" standalone="yes"?><Relationships xmlns="http://schemas.openxmlformats.org/package/2006/relationships"><Relationship Id="rId1" Type="http://schemas.openxmlformats.org/officeDocument/2006/relationships/image" Target="media/image2.jpeg" /></Relationships>
</file>

<file path=word/_rels/header4.xml.rels><?xml version="1.0" encoding="utf-8" standalone="yes"?><Relationships xmlns="http://schemas.openxmlformats.org/package/2006/relationships"><Relationship Id="rId1" Type="http://schemas.openxmlformats.org/officeDocument/2006/relationships/image" Target="media/image3.jpeg" /></Relationships>
</file>

<file path=word/_rels/header5.xml.rels><?xml version="1.0" encoding="utf-8" standalone="yes"?><Relationships xmlns="http://schemas.openxmlformats.org/package/2006/relationships"><Relationship Id="rId1" Type="http://schemas.openxmlformats.org/officeDocument/2006/relationships/image" Target="media/image3.jpeg" /></Relationships>
</file>

<file path=word/_rels/header6.xml.rels><?xml version="1.0" encoding="utf-8" standalone="yes"?><Relationships xmlns="http://schemas.openxmlformats.org/package/2006/relationships"><Relationship Id="rId1" Type="http://schemas.openxmlformats.org/officeDocument/2006/relationships/image" Target="media/image2.jpeg" /></Relationships>
</file>

<file path=word/_rels/settings.xml.rels><?xml version="1.0" encoding="utf-8" standalone="yes"?><Relationships xmlns="http://schemas.openxmlformats.org/package/2006/relationships"><Relationship Id="rId1" Type="http://schemas.openxmlformats.org/officeDocument/2006/relationships/attachedTemplate" Target="file:///H:\Word%20Templates\&#1514;&#1489;&#1504;&#1497;&#1493;&#1514;%20&#1502;&#1489;&#1511;&#1512;%20&#1492;&#1502;&#1491;&#1497;&#1504;&#1492;\&#1514;&#1489;&#1504;&#1497;&#1514;%20&#1500;&#1499;&#1514;&#1497;&#1489;&#1514;%20&#1502;&#1496;&#1500;&#1514;%20&#1489;&#1497;&#1511;&#1493;&#1512;&#1514;%20&#1502;&#1506;&#1493;&#1491;&#1499;&#1504;&#1514;.dotm" TargetMode="External" /></Relationships>
</file>

<file path=word/theme/_rels/theme1.xml.rels><?xml version="1.0" encoding="utf-8" standalone="yes"?><Relationships xmlns="http://schemas.openxmlformats.org/package/2006/relationships"><Relationship Id="rId1" Type="http://schemas.openxmlformats.org/officeDocument/2006/relationships/image" Target="../media/image42.jpeg" /></Relationships>
</file>

<file path=word/theme/theme1.xml><?xml version="1.0" encoding="utf-8"?>
<a:theme xmlns:a="http://schemas.openxmlformats.org/drawingml/2006/main" name="אינטגרל">
  <a:themeElements>
    <a:clrScheme name="אינטגרל">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B9F25"/>
      </a:hlink>
      <a:folHlink>
        <a:srgbClr val="B26B02"/>
      </a:folHlink>
    </a:clrScheme>
    <a:fontScheme name="אינטגרל">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אינטגרל">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Elements>
  <a:objectDefaults/>
  <a:extraClrSchemeLst/>
  <a:extLst>
    <a:ext uri="{05A4C25C-085E-4340-85A3-A5531E510DB2}">
      <thm15:themeFamily xmlns:thm15="http://schemas.microsoft.com/office/thememl/2012/main" name="Integral" id="{3577F8C9-A904-41D8-97D2-FD898F53F20E}" vid="{682D6EBE-8D36-4FF2-9DB3-F3D8D7B6715D}"/>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מסמך" ma:contentTypeID="0x01010064D459DCDBE1C04FBE70D8D923394CD3" ma:contentTypeVersion="2" ma:contentTypeDescription="צור מסמך חדש." ma:contentTypeScope="" ma:versionID="9a436d2ca61e67980963c1fccdfa83dc">
  <xsd:schema xmlns:xsd="http://www.w3.org/2001/XMLSchema" xmlns:xs="http://www.w3.org/2001/XMLSchema" xmlns:p="http://schemas.microsoft.com/office/2006/metadata/properties" xmlns:ns1="http://schemas.microsoft.com/sharepoint/v3" xmlns:ns2="2427becb-8270-4354-8f06-4353a268df37" targetNamespace="http://schemas.microsoft.com/office/2006/metadata/properties" ma:root="true" ma:fieldsID="574495a27bf9a3eaefafacddbc7c960c" ns1:_="" ns2:_="">
    <xsd:import namespace="http://schemas.microsoft.com/sharepoint/v3"/>
    <xsd:import namespace="2427becb-8270-4354-8f06-4353a268df37"/>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מתזמן תאריך התחלה" ma:description="'מתזמן תאריך התחלה' הוא עמודת אתר שיוצרת תכונת הפרסום. היא משמשת לציון התאריך והשעה שבהם יופיע הדף לראשונה בפני מבקרי האתר." ma:hidden="true" ma:internalName="PublishingStartDate">
      <xsd:simpleType>
        <xsd:restriction base="dms:Unknown"/>
      </xsd:simpleType>
    </xsd:element>
    <xsd:element name="PublishingExpirationDate" ma:index="9" nillable="true" ma:displayName="מתזמן תאריך סיום" ma:description="'תזמון תאריך הסיום' הוא עמודת אתר שיוצרת תכונת הפרסום. היא משמשת לציון התאריך והשעה שבהם הדף לא יופיע עוד בפני מבקרי האתר."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427becb-8270-4354-8f06-4353a268df37" elementFormDefault="qualified">
    <xsd:import namespace="http://schemas.microsoft.com/office/2006/documentManagement/types"/>
    <xsd:import namespace="http://schemas.microsoft.com/office/infopath/2007/PartnerControls"/>
    <xsd:element name="SharedWithUsers" ma:index="10" nillable="true" ma:displayName="משותף עם"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סוג תוכן"/>
        <xsd:element ref="dc:title" minOccurs="0" maxOccurs="1" ma:index="4" ma:displayName="כותר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F9CFEA8-9C19-4567-AE07-A888A48557E2}">
  <ds:schemaRefs>
    <ds:schemaRef ds:uri="http://schemas.openxmlformats.org/officeDocument/2006/bibliography"/>
  </ds:schemaRefs>
</ds:datastoreItem>
</file>

<file path=customXml/itemProps2.xml><?xml version="1.0" encoding="utf-8"?>
<ds:datastoreItem xmlns:ds="http://schemas.openxmlformats.org/officeDocument/2006/customXml" ds:itemID="{F7603606-5E1C-4A20-A662-7530344C0C79}">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757FBE56-D535-4B43-8192-F257DD46A7EA}"/>
</file>

<file path=customXml/itemProps4.xml><?xml version="1.0" encoding="utf-8"?>
<ds:datastoreItem xmlns:ds="http://schemas.openxmlformats.org/officeDocument/2006/customXml" ds:itemID="{EF14C8F3-99B9-42DE-920E-5707BD78BD9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otalTime>0</TotalTime>
  <Pages>0</Pages>
  <Words>0</Words>
  <Characters>0</Characters>
  <Application>Microsoft Office Word</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0x01010064D459DCDBE1C04FBE70D8D923394CD3</vt:lpwstr>
  </property>
</Properties>
</file>