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0112D273">
      <w:pPr>
        <w:rPr>
          <w:rtl/>
        </w:rPr>
      </w:pPr>
      <w:r>
        <w:rPr>
          <w:noProof/>
        </w:rPr>
        <mc:AlternateContent>
          <mc:Choice Requires="wps">
            <w:drawing>
              <wp:anchor distT="0" distB="0" distL="114300" distR="114300" simplePos="0" relativeHeight="25167155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3904"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EB78F8">
        <w:rPr>
          <w:rFonts w:hint="cs"/>
          <w:rtl/>
        </w:rPr>
        <w:t xml:space="preserve">  </w:t>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536636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257598</wp:posOffset>
                </wp:positionV>
                <wp:extent cx="30502" cy="3130127"/>
                <wp:effectExtent l="25400" t="12700" r="33020" b="3238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30502" cy="31301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6432" from="241.15pt,20.3pt" to="243.55pt,266.7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1932305</wp:posOffset>
                </wp:positionV>
                <wp:extent cx="2877866"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8480" from="4.8pt,152.15pt" to="231.4pt,152.15pt" strokecolor="white" strokeweight="1.5pt"/>
            </w:pict>
          </mc:Fallback>
        </mc:AlternateContent>
      </w:r>
      <w:r w:rsidRPr="0030415A" w:rsidR="008E4AF5">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-27940</wp:posOffset>
                </wp:positionH>
                <wp:positionV relativeFrom="paragraph">
                  <wp:posOffset>344805</wp:posOffset>
                </wp:positionV>
                <wp:extent cx="4503420" cy="4273550"/>
                <wp:effectExtent l="0" t="0" r="508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342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01B25" w:rsidP="0052031E" w14:textId="09B3165E">
                            <w:pPr>
                              <w:ind w:left="2268"/>
                              <w:rPr>
                                <w:rtl/>
                              </w:rPr>
                            </w:pPr>
                            <w:r>
                              <w:rPr>
                                <w:rFonts w:ascii="Tahoma" w:hAnsi="Tahoma" w:cs="Tahoma" w:hint="cs"/>
                                <w:spacing w:val="-2"/>
                                <w:sz w:val="18"/>
                                <w:szCs w:val="18"/>
                                <w:rtl/>
                              </w:rPr>
                              <w:t xml:space="preserve">דוח </w:t>
                            </w:r>
                            <w:r w:rsidRPr="00086051" w:rsidR="00086051">
                              <w:rPr>
                                <w:rFonts w:ascii="Tahoma" w:hAnsi="Tahoma" w:cs="Tahoma"/>
                                <w:spacing w:val="-2"/>
                                <w:sz w:val="18"/>
                                <w:szCs w:val="18"/>
                                <w:rtl/>
                              </w:rPr>
                              <w:t>מבקר המדינה | סייבר ומערכות מידע | התשפ"ג-2022</w:t>
                            </w:r>
                          </w:p>
                          <w:p w:rsidR="00086051" w:rsidP="0052031E" w14:textId="77777777">
                            <w:pPr>
                              <w:ind w:left="2268"/>
                              <w:rPr>
                                <w:rtl/>
                              </w:rPr>
                            </w:pPr>
                          </w:p>
                          <w:p w:rsidR="00F73EE0" w:rsidP="0052031E" w14:textId="74581754">
                            <w:pPr>
                              <w:ind w:left="2268"/>
                            </w:pPr>
                          </w:p>
                          <w:p w:rsidR="00055A52" w:rsidP="0052031E" w14:textId="77777777">
                            <w:pPr>
                              <w:ind w:left="2268"/>
                              <w:rPr>
                                <w:rtl/>
                              </w:rPr>
                            </w:pPr>
                          </w:p>
                          <w:p w:rsidR="005D0F8C" w:rsidRPr="000A3ED4" w:rsidP="00230754" w14:textId="75994D80">
                            <w:pPr>
                              <w:pStyle w:val="-2"/>
                              <w:rPr>
                                <w:rtl/>
                              </w:rPr>
                            </w:pPr>
                            <w:r w:rsidRPr="00E77FD9">
                              <w:rPr>
                                <w:rtl/>
                              </w:rPr>
                              <w:t>משרד התחבורה והבטיחות בדרכים</w:t>
                            </w:r>
                            <w:r w:rsidR="00696813">
                              <w:rPr>
                                <w:rFonts w:hint="cs"/>
                                <w:rtl/>
                              </w:rPr>
                              <w:t xml:space="preserve"> </w:t>
                            </w:r>
                          </w:p>
                          <w:p w:rsidR="00C30482" w:rsidP="00E77FD9" w14:textId="584A78DD">
                            <w:pPr>
                              <w:spacing w:before="360" w:line="600" w:lineRule="exact"/>
                              <w:ind w:left="2268"/>
                              <w:jc w:val="left"/>
                              <w:rPr>
                                <w:rFonts w:ascii="Tahoma" w:hAnsi="Tahoma" w:cs="Tahoma"/>
                                <w:b/>
                                <w:bCs/>
                                <w:color w:val="FFFFFF" w:themeColor="background1"/>
                                <w:sz w:val="44"/>
                                <w:szCs w:val="44"/>
                                <w:rtl/>
                              </w:rPr>
                            </w:pPr>
                            <w:r w:rsidRPr="00E77FD9">
                              <w:rPr>
                                <w:rFonts w:ascii="Tahoma" w:hAnsi="Tahoma" w:cs="Tahoma"/>
                                <w:b/>
                                <w:bCs/>
                                <w:sz w:val="44"/>
                                <w:szCs w:val="44"/>
                                <w:rtl/>
                              </w:rPr>
                              <w:t>הגנת הסייבר במגזר התחבורה</w:t>
                            </w:r>
                          </w:p>
                          <w:p w:rsidR="00086051" w:rsidRPr="001F3363" w:rsidP="00E77FD9"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4.6pt;height:336.5pt;margin-top:27.15pt;margin-left:-2.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01B25" w:rsidP="0052031E" w14:paraId="55A55087" w14:textId="09B3165E">
                      <w:pPr>
                        <w:ind w:left="2268"/>
                        <w:rPr>
                          <w:rtl/>
                        </w:rPr>
                      </w:pPr>
                      <w:r>
                        <w:rPr>
                          <w:rFonts w:ascii="Tahoma" w:hAnsi="Tahoma" w:cs="Tahoma" w:hint="cs"/>
                          <w:spacing w:val="-2"/>
                          <w:sz w:val="18"/>
                          <w:szCs w:val="18"/>
                          <w:rtl/>
                        </w:rPr>
                        <w:t xml:space="preserve">דוח </w:t>
                      </w:r>
                      <w:r w:rsidRPr="00086051" w:rsidR="00086051">
                        <w:rPr>
                          <w:rFonts w:ascii="Tahoma" w:hAnsi="Tahoma" w:cs="Tahoma"/>
                          <w:spacing w:val="-2"/>
                          <w:sz w:val="18"/>
                          <w:szCs w:val="18"/>
                          <w:rtl/>
                        </w:rPr>
                        <w:t>מבקר המדינה | סייבר ומערכות מידע | התשפ"ג-2022</w:t>
                      </w:r>
                    </w:p>
                    <w:p w:rsidR="00086051" w:rsidP="0052031E" w14:paraId="10C6F49A" w14:textId="77777777">
                      <w:pPr>
                        <w:ind w:left="2268"/>
                        <w:rPr>
                          <w:rtl/>
                        </w:rPr>
                      </w:pPr>
                    </w:p>
                    <w:p w:rsidR="00F73EE0" w:rsidP="0052031E" w14:paraId="537675A5" w14:textId="74581754">
                      <w:pPr>
                        <w:ind w:left="2268"/>
                      </w:pPr>
                    </w:p>
                    <w:p w:rsidR="00055A52" w:rsidP="0052031E" w14:paraId="7283F5B0" w14:textId="77777777">
                      <w:pPr>
                        <w:ind w:left="2268"/>
                        <w:rPr>
                          <w:rtl/>
                        </w:rPr>
                      </w:pPr>
                    </w:p>
                    <w:p w:rsidR="005D0F8C" w:rsidRPr="000A3ED4" w:rsidP="00230754" w14:paraId="361EED1E" w14:textId="75994D80">
                      <w:pPr>
                        <w:pStyle w:val="-2"/>
                        <w:rPr>
                          <w:rtl/>
                        </w:rPr>
                      </w:pPr>
                      <w:r w:rsidRPr="00E77FD9">
                        <w:rPr>
                          <w:rtl/>
                        </w:rPr>
                        <w:t>משרד התחבורה והבטיחות בדרכים</w:t>
                      </w:r>
                      <w:r w:rsidR="00696813">
                        <w:rPr>
                          <w:rFonts w:hint="cs"/>
                          <w:rtl/>
                        </w:rPr>
                        <w:t xml:space="preserve"> </w:t>
                      </w:r>
                    </w:p>
                    <w:p w:rsidR="00C30482" w:rsidP="00E77FD9" w14:paraId="5BE5E625" w14:textId="584A78DD">
                      <w:pPr>
                        <w:spacing w:before="360" w:line="600" w:lineRule="exact"/>
                        <w:ind w:left="2268"/>
                        <w:jc w:val="left"/>
                        <w:rPr>
                          <w:rFonts w:ascii="Tahoma" w:hAnsi="Tahoma" w:cs="Tahoma"/>
                          <w:b/>
                          <w:bCs/>
                          <w:color w:val="FFFFFF" w:themeColor="background1"/>
                          <w:sz w:val="44"/>
                          <w:szCs w:val="44"/>
                          <w:rtl/>
                        </w:rPr>
                      </w:pPr>
                      <w:r w:rsidRPr="00E77FD9">
                        <w:rPr>
                          <w:rFonts w:ascii="Tahoma" w:hAnsi="Tahoma" w:cs="Tahoma"/>
                          <w:b/>
                          <w:bCs/>
                          <w:sz w:val="44"/>
                          <w:szCs w:val="44"/>
                          <w:rtl/>
                        </w:rPr>
                        <w:t>הגנת הסייבר במגזר התחבורה</w:t>
                      </w:r>
                    </w:p>
                    <w:p w:rsidR="00086051" w:rsidRPr="001F3363" w:rsidP="00E77FD9" w14:paraId="3C0B8988"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C83A7F">
        <w:rPr>
          <w:rFonts w:ascii="Tahoma" w:hAnsi="Tahoma" w:cs="Tahoma"/>
          <w:noProof/>
          <w:sz w:val="22"/>
          <w:szCs w:val="22"/>
          <w:rtl/>
          <w:lang w:val="he-IL"/>
        </w:rPr>
        <w:drawing>
          <wp:anchor distT="0" distB="0" distL="114300" distR="114300" simplePos="0" relativeHeight="251677696"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-1549188</wp:posOffset>
                </wp:positionH>
                <wp:positionV relativeFrom="paragraph">
                  <wp:posOffset>209550</wp:posOffset>
                </wp:positionV>
                <wp:extent cx="7601578" cy="1713297"/>
                <wp:effectExtent l="0" t="0" r="6350" b="127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7132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34.9pt;margin-top:16.5pt;margin-left:-122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P="000E64A1" w14:paraId="291315C1" w14:textId="514133F9">
      <w:pPr>
        <w:jc w:val="left"/>
        <w:rPr>
          <w:rFonts w:ascii="Tahoma" w:hAnsi="Tahoma" w:cs="Tahoma"/>
          <w:sz w:val="22"/>
          <w:szCs w:val="22"/>
          <w:rtl/>
        </w:rPr>
        <w:sectPr w:rsidSect="00FF5807">
          <w:headerReference w:type="even" r:id="rId18"/>
          <w:pgSz w:w="11906" w:h="16838" w:code="9"/>
          <w:pgMar w:top="3062" w:right="2268" w:bottom="2552" w:left="2268" w:header="709" w:footer="709" w:gutter="0"/>
          <w:cols w:space="720"/>
          <w:bidi/>
          <w:rtlGutter/>
          <w:docGrid w:linePitch="272"/>
        </w:sectPr>
      </w:pPr>
    </w:p>
    <w:p w:rsidR="00B93C72" w:rsidRPr="00864200" w:rsidP="00864200" w14:paraId="4ED3AA37" w14:textId="500F964D">
      <w:pPr>
        <w:pStyle w:val="7329"/>
        <w:bidi/>
        <w:jc w:val="left"/>
        <w:rPr>
          <w:rtl/>
        </w:rPr>
      </w:pPr>
      <w:r w:rsidRPr="00864200">
        <w:rPr>
          <w:noProof/>
          <w:rtl/>
        </w:rPr>
        <w:drawing>
          <wp:anchor distT="0" distB="0" distL="114300" distR="114300" simplePos="0" relativeHeight="251678720" behindDoc="0" locked="0" layoutInCell="1" allowOverlap="1">
            <wp:simplePos x="0" y="0"/>
            <wp:positionH relativeFrom="column">
              <wp:posOffset>3304994</wp:posOffset>
            </wp:positionH>
            <wp:positionV relativeFrom="paragraph">
              <wp:posOffset>654685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4200" w:rsidR="00586851">
        <w:rPr>
          <w:noProof/>
          <w:rtl/>
        </w:rPr>
        <mc:AlternateContent>
          <mc:Choice Requires="wps">
            <w:drawing>
              <wp:anchor distT="0" distB="0" distL="114300" distR="114300" simplePos="0" relativeHeight="251673600"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4624" fillcolor="#00305f" stroked="f" strokeweight="1.25pt"/>
            </w:pict>
          </mc:Fallback>
        </mc:AlternateContent>
      </w:r>
      <w:r w:rsidRPr="00E77FD9" w:rsidR="00E77FD9">
        <w:rPr>
          <w:noProof/>
          <w:rtl/>
        </w:rPr>
        <w:t>הגנת הסייבר במגזר התחבורה</w:t>
      </w:r>
    </w:p>
    <w:p w:rsidR="008E4AF5" w:rsidRPr="008E4AF5" w:rsidP="009C0567" w14:paraId="35D75340" w14:textId="5D86CBE4">
      <w:pPr>
        <w:pStyle w:val="7392"/>
        <w:spacing w:before="360"/>
        <w:rPr>
          <w:rtl/>
        </w:rPr>
      </w:pPr>
      <w:r w:rsidRPr="007A7B3C">
        <w:rPr>
          <w:rtl/>
        </w:rPr>
        <w:t>משרד התחבורה והבטיחות בדרכים ממונה על קביעת המדיניות בענף התחבורה וכן על שירותי מערכות התחבורה בים, באוויר וביבשה. מגזר התחבורה כולל גופים מסוגים שונים - ממשלתיים, ציבוריים ופרטיים, הפועלים במגוון תחומים: התחבורה הימית, התחבורה היבשתית, התחבורה האווירית, התחבורה הציבורית, התשתיות התחבורתיות והתחבורה החכמה</w:t>
      </w:r>
      <w:r w:rsidRPr="008E4AF5">
        <w:rPr>
          <w:rtl/>
        </w:rPr>
        <w:t>.</w:t>
      </w:r>
    </w:p>
    <w:p w:rsidR="008E4AF5" w:rsidRPr="008E4AF5" w:rsidP="008E4AF5" w14:paraId="20A18429" w14:textId="45BA01D2">
      <w:pPr>
        <w:pStyle w:val="7392"/>
        <w:rPr>
          <w:rtl/>
        </w:rPr>
      </w:pPr>
      <w:r w:rsidRPr="007A7B3C">
        <w:rPr>
          <w:rtl/>
        </w:rPr>
        <w:t>בשנים האחרונות קיימת עלייה חדה במספרם ובחומרתם של אירועי סייבר המשבשים את פעילותם התקינה של ארגונים בארץ ובעולם. בתחום התחבורה קיימים סיכונים רבים שעלולים להתממש כתוצאה מפגיעות במרחב הסייבר: פגיעה בתשתיות התחבורה ובאמצעי תחבורה המוניים שעשויה לגרום לפגיעה בחיי אדם, להפסקת תהליכי ייצור, לנזק כלכלי כבד, לדלף מידע אישי, לפגיעה במוניטין של הארגון הנפגע ובמקרים מסוימים אף להשלכות פוטנציאליות במישור הביטחוני</w:t>
      </w:r>
      <w:r w:rsidRPr="008E4AF5">
        <w:rPr>
          <w:rtl/>
        </w:rPr>
        <w:t>.</w:t>
      </w:r>
    </w:p>
    <w:p w:rsidR="008E4AF5" w:rsidRPr="008E4AF5" w:rsidP="008E4AF5" w14:paraId="6F57DE6D" w14:textId="4440FDE0">
      <w:pPr>
        <w:pStyle w:val="7392"/>
        <w:rPr>
          <w:rtl/>
        </w:rPr>
      </w:pPr>
      <w:r w:rsidRPr="007A7B3C">
        <w:rPr>
          <w:rtl/>
        </w:rPr>
        <w:t>החלטת ממשלה 2443 משנת 2015 הטילה על משרדי הממשלה, ובכללם משרד התחבורה, לקדם את הטיפול בהיערכות לאיומי סייבר במגזר שבו הם פועלים. במסגרת זו הוקם אגף הסייבר במשרד התחבורה שמנחה את הגופים במגזר, למעט גופים שמוגדרים כתשתיות מדינה קריטיות (</w:t>
      </w:r>
      <w:r w:rsidRPr="007A7B3C">
        <w:rPr>
          <w:rtl/>
        </w:rPr>
        <w:t>תמ"ק</w:t>
      </w:r>
      <w:r w:rsidRPr="007A7B3C">
        <w:rPr>
          <w:rtl/>
        </w:rPr>
        <w:t>) שמונחים ישירות על ידי מערך הסייבר</w:t>
      </w:r>
      <w:r w:rsidRPr="008E4AF5">
        <w:rPr>
          <w:rtl/>
        </w:rPr>
        <w:t xml:space="preserve">. </w:t>
      </w:r>
    </w:p>
    <w:p w:rsidR="008E4AF5" w:rsidP="008E4AF5" w14:paraId="18FCEB05" w14:textId="0CD95246">
      <w:pPr>
        <w:pStyle w:val="7392"/>
        <w:rPr>
          <w:rtl/>
        </w:rPr>
      </w:pPr>
      <w:r w:rsidRPr="007A7B3C">
        <w:rPr>
          <w:rtl/>
        </w:rPr>
        <w:t>מאסדרים</w:t>
      </w:r>
      <w:r w:rsidRPr="007A7B3C">
        <w:rPr>
          <w:rtl/>
        </w:rPr>
        <w:t xml:space="preserve"> מגזריים יכולים לחייב גופים שמונחים על ידם לעמוד בדרישות סייבר בכמה אופנים: חוקים, תקנות, התניית מתן רישיון בעמידה בדרישות סייבר, מתן הנחיות והכללת דרישות סייבר במסגרת ההתקשרויות. משרד התחבורה הנחה את הגופים במגזר לעמוד בדרישות הסייבר שנכללו במסגרת המדיניות להגנת הסייבר</w:t>
      </w:r>
      <w:r w:rsidRPr="008E4AF5">
        <w:rPr>
          <w:rtl/>
        </w:rPr>
        <w:t xml:space="preserve">. </w:t>
      </w:r>
    </w:p>
    <w:p w:rsidR="00887964" w:rsidRPr="008E4AF5" w:rsidP="008E4AF5" w14:paraId="62FA50D3" w14:textId="0AD31F13">
      <w:pPr>
        <w:pStyle w:val="7392"/>
        <w:rPr>
          <w:rtl/>
        </w:rPr>
      </w:pPr>
    </w:p>
    <w:p w:rsidR="008E4AF5" w14:paraId="26024462" w14:textId="77777777">
      <w:pPr>
        <w:bidi w:val="0"/>
        <w:spacing w:after="200" w:line="276" w:lineRule="auto"/>
        <w:rPr>
          <w:rFonts w:ascii="Tahoma" w:hAnsi="Tahoma" w:cs="Tahoma"/>
          <w:color w:val="0D0D0D" w:themeColor="text1" w:themeTint="F2"/>
          <w:sz w:val="18"/>
          <w:szCs w:val="18"/>
          <w:rtl/>
        </w:rPr>
      </w:pPr>
      <w:r>
        <w:rPr>
          <w:rtl/>
        </w:rPr>
        <w:br w:type="page"/>
      </w:r>
    </w:p>
    <w:p w:rsidR="008E4AF5" w:rsidP="008E4AF5" w14:paraId="39D0D630" w14:textId="263F8B3B">
      <w:pPr>
        <w:pStyle w:val="7392"/>
        <w:rPr>
          <w:rtl/>
        </w:rPr>
      </w:pPr>
      <w:r w:rsidRPr="008033CB">
        <w:rPr>
          <w:noProof/>
          <w:sz w:val="19"/>
          <w:szCs w:val="19"/>
          <w:rtl/>
        </w:rPr>
        <w:drawing>
          <wp:anchor distT="0" distB="0" distL="114300" distR="114300" simplePos="0" relativeHeight="251705344" behindDoc="0" locked="0" layoutInCell="1" allowOverlap="1">
            <wp:simplePos x="0" y="0"/>
            <wp:positionH relativeFrom="column">
              <wp:posOffset>-65405</wp:posOffset>
            </wp:positionH>
            <wp:positionV relativeFrom="paragraph">
              <wp:posOffset>365125</wp:posOffset>
            </wp:positionV>
            <wp:extent cx="4921250" cy="418719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921250" cy="4187190"/>
                    </a:xfrm>
                    <a:prstGeom prst="rect">
                      <a:avLst/>
                    </a:prstGeom>
                  </pic:spPr>
                </pic:pic>
              </a:graphicData>
            </a:graphic>
            <wp14:sizeRelH relativeFrom="page">
              <wp14:pctWidth>0</wp14:pctWidth>
            </wp14:sizeRelH>
            <wp14:sizeRelV relativeFrom="page">
              <wp14:pctHeight>0</wp14:pctHeight>
            </wp14:sizeRelV>
          </wp:anchor>
        </w:drawing>
      </w:r>
      <w:r w:rsidRPr="007A7B3C" w:rsidR="00887964">
        <w:rPr>
          <w:rtl/>
        </w:rPr>
        <w:t>להלן תרשים המתאר את תחומי הפעילות במגזר התחבורה</w:t>
      </w:r>
      <w:r w:rsidRPr="008E4AF5">
        <w:rPr>
          <w:rtl/>
        </w:rPr>
        <w:t>:</w:t>
      </w:r>
    </w:p>
    <w:p w:rsidR="009E011D" w:rsidP="009E011D" w14:paraId="2AA141C4" w14:textId="7C59300B">
      <w:pPr>
        <w:pStyle w:val="7392"/>
        <w:rPr>
          <w:rtl/>
        </w:rPr>
      </w:pPr>
    </w:p>
    <w:p w:rsidR="009E011D" w14:paraId="5196BF67" w14:textId="1DB4252C">
      <w:pPr>
        <w:bidi w:val="0"/>
        <w:spacing w:after="200" w:line="276" w:lineRule="auto"/>
        <w:rPr>
          <w:rFonts w:ascii="Tahoma" w:hAnsi="Tahoma" w:cs="Tahoma"/>
          <w:color w:val="0D0D0D" w:themeColor="text1" w:themeTint="F2"/>
          <w:sz w:val="18"/>
          <w:szCs w:val="18"/>
          <w:rtl/>
        </w:rPr>
      </w:pPr>
      <w:r>
        <w:rPr>
          <w:rtl/>
        </w:rPr>
        <w:br w:type="page"/>
      </w:r>
    </w:p>
    <w:p w:rsidR="005D0F8C" w:rsidP="009E011D" w14:paraId="5CB031CB" w14:textId="04951BBF">
      <w:pPr>
        <w:pStyle w:val="7392"/>
        <w:rPr>
          <w:b/>
          <w:bCs/>
          <w:color w:val="00305F"/>
          <w:sz w:val="32"/>
          <w:szCs w:val="32"/>
          <w:rtl/>
        </w:rPr>
      </w:pPr>
      <w:r w:rsidRPr="001F3363">
        <w:rPr>
          <w:noProof/>
          <w:rtl/>
        </w:rPr>
        <w:drawing>
          <wp:anchor distT="0" distB="0" distL="114300" distR="114300" simplePos="0" relativeHeight="251679744" behindDoc="0" locked="0" layoutInCell="1" allowOverlap="1">
            <wp:simplePos x="0" y="0"/>
            <wp:positionH relativeFrom="column">
              <wp:posOffset>3356610</wp:posOffset>
            </wp:positionH>
            <wp:positionV relativeFrom="paragraph">
              <wp:posOffset>0</wp:posOffset>
            </wp:positionV>
            <wp:extent cx="1405255" cy="43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236"/>
        <w:gridCol w:w="1531"/>
        <w:gridCol w:w="236"/>
        <w:gridCol w:w="1871"/>
        <w:gridCol w:w="251"/>
        <w:gridCol w:w="1531"/>
      </w:tblGrid>
      <w:tr w14:paraId="58B4726B" w14:textId="77777777" w:rsidTr="00815587">
        <w:tblPrEx>
          <w:tblW w:w="7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871" w:type="dxa"/>
            <w:tcBorders>
              <w:bottom w:val="single" w:sz="12" w:space="0" w:color="000000" w:themeColor="text1"/>
            </w:tcBorders>
            <w:vAlign w:val="bottom"/>
          </w:tcPr>
          <w:p w:rsidR="00420374" w:rsidRPr="004562F8" w:rsidP="00887964" w14:paraId="23EB689E" w14:textId="1028353D">
            <w:pPr>
              <w:spacing w:before="240" w:after="60" w:line="240" w:lineRule="auto"/>
              <w:jc w:val="left"/>
              <w:rPr>
                <w:b/>
                <w:bCs/>
                <w:spacing w:val="-28"/>
                <w:rtl/>
              </w:rPr>
            </w:pPr>
            <w:r>
              <w:rPr>
                <w:rFonts w:ascii="Tahoma" w:hAnsi="Tahoma" w:eastAsiaTheme="minorEastAsia" w:cs="Tahoma" w:hint="cs"/>
                <w:b/>
                <w:bCs/>
                <w:color w:val="0D0D0D" w:themeColor="text1" w:themeTint="F2"/>
                <w:spacing w:val="-14"/>
                <w:sz w:val="36"/>
                <w:szCs w:val="36"/>
                <w:rtl/>
              </w:rPr>
              <w:t>28,000</w:t>
            </w:r>
            <w:r w:rsidRPr="00FF0545" w:rsidR="003F6E07">
              <w:rPr>
                <w:rFonts w:ascii="Tahoma" w:hAnsi="Tahoma" w:eastAsiaTheme="minorEastAsia" w:cs="Tahoma" w:hint="cs"/>
                <w:b/>
                <w:bCs/>
                <w:color w:val="0D0D0D" w:themeColor="text1" w:themeTint="F2"/>
                <w:spacing w:val="-14"/>
                <w:sz w:val="26"/>
                <w:szCs w:val="26"/>
                <w:rtl/>
              </w:rPr>
              <w:t xml:space="preserve"> </w:t>
            </w:r>
          </w:p>
        </w:tc>
        <w:tc>
          <w:tcPr>
            <w:tcW w:w="236" w:type="dxa"/>
            <w:vAlign w:val="bottom"/>
          </w:tcPr>
          <w:p w:rsidR="00420374" w:rsidP="00887964" w14:paraId="19192EA5" w14:textId="77777777">
            <w:pPr>
              <w:spacing w:before="240" w:after="60" w:line="240" w:lineRule="auto"/>
              <w:jc w:val="left"/>
              <w:rPr>
                <w:rtl/>
              </w:rPr>
            </w:pPr>
          </w:p>
        </w:tc>
        <w:tc>
          <w:tcPr>
            <w:tcW w:w="1531" w:type="dxa"/>
            <w:tcBorders>
              <w:bottom w:val="single" w:sz="12" w:space="0" w:color="000000" w:themeColor="text1"/>
            </w:tcBorders>
            <w:vAlign w:val="bottom"/>
          </w:tcPr>
          <w:p w:rsidR="00420374" w:rsidRPr="003F6E07" w:rsidP="00887964" w14:paraId="761F4116" w14:textId="5981AD83">
            <w:pPr>
              <w:pStyle w:val="2021"/>
              <w:spacing w:before="240" w:after="60"/>
              <w:rPr>
                <w:spacing w:val="-14"/>
                <w:sz w:val="26"/>
                <w:szCs w:val="26"/>
                <w:rtl/>
              </w:rPr>
            </w:pPr>
            <w:r>
              <w:rPr>
                <w:rFonts w:hint="cs"/>
                <w:spacing w:val="-14"/>
                <w:rtl/>
              </w:rPr>
              <w:t>4</w:t>
            </w:r>
            <w:r w:rsidRPr="003F6E07" w:rsidR="003F6E07">
              <w:rPr>
                <w:rFonts w:hint="cs"/>
                <w:spacing w:val="-14"/>
                <w:sz w:val="26"/>
                <w:szCs w:val="26"/>
                <w:rtl/>
              </w:rPr>
              <w:t xml:space="preserve"> </w:t>
            </w:r>
            <w:r>
              <w:rPr>
                <w:rFonts w:hint="cs"/>
                <w:spacing w:val="-14"/>
                <w:sz w:val="26"/>
                <w:szCs w:val="26"/>
                <w:rtl/>
              </w:rPr>
              <w:t xml:space="preserve">מתוך </w:t>
            </w:r>
            <w:r w:rsidRPr="00887964">
              <w:rPr>
                <w:rFonts w:hint="cs"/>
                <w:spacing w:val="-14"/>
                <w:rtl/>
              </w:rPr>
              <w:t>5</w:t>
            </w:r>
          </w:p>
        </w:tc>
        <w:tc>
          <w:tcPr>
            <w:tcW w:w="236" w:type="dxa"/>
            <w:vAlign w:val="bottom"/>
          </w:tcPr>
          <w:p w:rsidR="00420374" w:rsidRPr="003F6E07" w:rsidP="00887964" w14:paraId="2810DE55" w14:textId="77777777">
            <w:pPr>
              <w:spacing w:before="240" w:after="60" w:line="240" w:lineRule="auto"/>
              <w:jc w:val="left"/>
              <w:rPr>
                <w:rFonts w:ascii="Tahoma" w:hAnsi="Tahoma" w:eastAsiaTheme="minorEastAsia" w:cs="Tahoma"/>
                <w:b/>
                <w:bCs/>
                <w:color w:val="0D0D0D" w:themeColor="text1" w:themeTint="F2"/>
                <w:spacing w:val="-14"/>
                <w:sz w:val="26"/>
                <w:szCs w:val="26"/>
                <w:rtl/>
              </w:rPr>
            </w:pPr>
          </w:p>
        </w:tc>
        <w:tc>
          <w:tcPr>
            <w:tcW w:w="1871" w:type="dxa"/>
            <w:tcBorders>
              <w:bottom w:val="single" w:sz="12" w:space="0" w:color="000000" w:themeColor="text1"/>
            </w:tcBorders>
            <w:vAlign w:val="bottom"/>
          </w:tcPr>
          <w:p w:rsidR="00420374" w:rsidRPr="003F6E07" w:rsidP="00887964" w14:paraId="2A2E27BD" w14:textId="2F42489A">
            <w:pPr>
              <w:pStyle w:val="2021"/>
              <w:spacing w:before="240" w:after="60"/>
              <w:rPr>
                <w:spacing w:val="-14"/>
                <w:sz w:val="26"/>
                <w:szCs w:val="26"/>
                <w:rtl/>
              </w:rPr>
            </w:pPr>
            <w:r>
              <w:rPr>
                <w:rFonts w:hint="cs"/>
                <w:spacing w:val="-14"/>
                <w:rtl/>
              </w:rPr>
              <w:t>6</w:t>
            </w:r>
            <w:r w:rsidRPr="003F6E07" w:rsidR="003F6E07">
              <w:rPr>
                <w:rFonts w:hint="cs"/>
                <w:spacing w:val="-14"/>
                <w:sz w:val="26"/>
                <w:szCs w:val="26"/>
                <w:rtl/>
              </w:rPr>
              <w:t xml:space="preserve"> </w:t>
            </w:r>
            <w:r>
              <w:rPr>
                <w:rFonts w:hint="cs"/>
                <w:spacing w:val="-14"/>
                <w:sz w:val="26"/>
                <w:szCs w:val="26"/>
                <w:rtl/>
              </w:rPr>
              <w:t xml:space="preserve">מתוך </w:t>
            </w:r>
            <w:r w:rsidRPr="00887964">
              <w:rPr>
                <w:rFonts w:hint="cs"/>
                <w:spacing w:val="-14"/>
                <w:rtl/>
              </w:rPr>
              <w:t>30</w:t>
            </w:r>
          </w:p>
        </w:tc>
        <w:tc>
          <w:tcPr>
            <w:tcW w:w="251" w:type="dxa"/>
            <w:vAlign w:val="bottom"/>
          </w:tcPr>
          <w:p w:rsidR="00420374" w:rsidRPr="003F6E07" w:rsidP="00887964" w14:paraId="47B754BA" w14:textId="77777777">
            <w:pPr>
              <w:pStyle w:val="2021"/>
              <w:spacing w:before="240" w:after="60"/>
              <w:rPr>
                <w:spacing w:val="-14"/>
                <w:sz w:val="26"/>
                <w:szCs w:val="26"/>
                <w:rtl/>
              </w:rPr>
            </w:pPr>
          </w:p>
        </w:tc>
        <w:tc>
          <w:tcPr>
            <w:tcW w:w="1531" w:type="dxa"/>
            <w:tcBorders>
              <w:bottom w:val="single" w:sz="12" w:space="0" w:color="000000" w:themeColor="text1"/>
            </w:tcBorders>
            <w:vAlign w:val="bottom"/>
          </w:tcPr>
          <w:p w:rsidR="00420374" w:rsidRPr="003F6E07" w:rsidP="00887964" w14:paraId="5F3A3FF5" w14:textId="0ED20F1C">
            <w:pPr>
              <w:pStyle w:val="2021"/>
              <w:spacing w:before="240" w:after="60"/>
              <w:rPr>
                <w:spacing w:val="-14"/>
                <w:sz w:val="26"/>
                <w:szCs w:val="26"/>
                <w:rtl/>
              </w:rPr>
            </w:pPr>
            <w:r>
              <w:rPr>
                <w:rFonts w:hint="cs"/>
                <w:spacing w:val="-14"/>
                <w:rtl/>
              </w:rPr>
              <w:t>7</w:t>
            </w:r>
            <w:r w:rsidR="008E4AF5">
              <w:rPr>
                <w:rFonts w:hint="cs"/>
                <w:spacing w:val="-14"/>
                <w:sz w:val="26"/>
                <w:szCs w:val="26"/>
                <w:rtl/>
              </w:rPr>
              <w:t xml:space="preserve"> שנים</w:t>
            </w:r>
          </w:p>
        </w:tc>
      </w:tr>
      <w:tr w14:paraId="6DFAF81C" w14:textId="77777777" w:rsidTr="00815587">
        <w:tblPrEx>
          <w:tblW w:w="7527" w:type="dxa"/>
          <w:tblLayout w:type="fixed"/>
          <w:tblLook w:val="04A0"/>
        </w:tblPrEx>
        <w:tc>
          <w:tcPr>
            <w:tcW w:w="1871" w:type="dxa"/>
            <w:tcBorders>
              <w:top w:val="single" w:sz="12" w:space="0" w:color="000000" w:themeColor="text1"/>
            </w:tcBorders>
          </w:tcPr>
          <w:p w:rsidR="00420374" w:rsidRPr="00E52143" w:rsidP="00937056" w14:paraId="1D96599A" w14:textId="7A3EA35D">
            <w:pPr>
              <w:pStyle w:val="732021"/>
              <w:spacing w:before="0"/>
              <w:rPr>
                <w:rtl/>
              </w:rPr>
            </w:pPr>
            <w:r w:rsidRPr="007A7B3C">
              <w:rPr>
                <w:rtl/>
              </w:rPr>
              <w:t>מספר הגופים הפועלים במגזר התחבורה, לרבות בתחום הרכב הפרטי, התשתיות, התחבורה הציבורית, התעופה והים</w:t>
            </w:r>
          </w:p>
        </w:tc>
        <w:tc>
          <w:tcPr>
            <w:tcW w:w="236" w:type="dxa"/>
          </w:tcPr>
          <w:p w:rsidR="00420374" w:rsidRPr="00E52143" w:rsidP="00937056" w14:paraId="2BF81D8C" w14:textId="77777777">
            <w:pPr>
              <w:pStyle w:val="732021"/>
              <w:spacing w:before="0"/>
              <w:rPr>
                <w:rtl/>
              </w:rPr>
            </w:pPr>
          </w:p>
        </w:tc>
        <w:tc>
          <w:tcPr>
            <w:tcW w:w="1531" w:type="dxa"/>
            <w:tcBorders>
              <w:top w:val="single" w:sz="12" w:space="0" w:color="000000" w:themeColor="text1"/>
            </w:tcBorders>
          </w:tcPr>
          <w:p w:rsidR="00420374" w:rsidRPr="00E52143" w:rsidP="00864200" w14:paraId="68924AF7" w14:textId="03FFE78C">
            <w:pPr>
              <w:pStyle w:val="732021"/>
              <w:spacing w:before="0" w:after="360"/>
              <w:rPr>
                <w:rtl/>
              </w:rPr>
            </w:pPr>
            <w:r w:rsidRPr="007A7B3C">
              <w:rPr>
                <w:rtl/>
              </w:rPr>
              <w:t>דירוג האיום על הפרטיות שקבעה הרשות להגנת הפרטיות בנוגע לתחום התחבורה</w:t>
            </w:r>
          </w:p>
        </w:tc>
        <w:tc>
          <w:tcPr>
            <w:tcW w:w="236" w:type="dxa"/>
          </w:tcPr>
          <w:p w:rsidR="00420374" w:rsidRPr="00E52143" w:rsidP="00937056" w14:paraId="4F52CE08" w14:textId="77777777">
            <w:pPr>
              <w:pStyle w:val="732021"/>
              <w:spacing w:before="0"/>
              <w:rPr>
                <w:rtl/>
              </w:rPr>
            </w:pPr>
          </w:p>
        </w:tc>
        <w:tc>
          <w:tcPr>
            <w:tcW w:w="1871" w:type="dxa"/>
            <w:tcBorders>
              <w:top w:val="single" w:sz="12" w:space="0" w:color="000000" w:themeColor="text1"/>
            </w:tcBorders>
          </w:tcPr>
          <w:p w:rsidR="00420374" w:rsidRPr="00E52143" w:rsidP="00937056" w14:paraId="203F9568" w14:textId="7EFA2EAE">
            <w:pPr>
              <w:pStyle w:val="732021"/>
              <w:spacing w:before="0"/>
              <w:rPr>
                <w:rtl/>
              </w:rPr>
            </w:pPr>
            <w:r w:rsidRPr="007A7B3C">
              <w:rPr>
                <w:rtl/>
              </w:rPr>
              <w:t>20% מהגופים שמוגדרים כתשתיות מדינה קריטיות ומחזיקים במערכות ממוחשבות חיוניות שייכים למגזר התחבורה</w:t>
            </w:r>
          </w:p>
        </w:tc>
        <w:tc>
          <w:tcPr>
            <w:tcW w:w="251" w:type="dxa"/>
          </w:tcPr>
          <w:p w:rsidR="00420374" w:rsidRPr="00E52143" w:rsidP="00937056" w14:paraId="42538096" w14:textId="77777777">
            <w:pPr>
              <w:pStyle w:val="732021"/>
              <w:spacing w:before="0"/>
              <w:rPr>
                <w:rtl/>
              </w:rPr>
            </w:pPr>
          </w:p>
        </w:tc>
        <w:tc>
          <w:tcPr>
            <w:tcW w:w="1531" w:type="dxa"/>
            <w:tcBorders>
              <w:top w:val="single" w:sz="12" w:space="0" w:color="000000" w:themeColor="text1"/>
            </w:tcBorders>
          </w:tcPr>
          <w:p w:rsidR="00887964" w:rsidRPr="00E52143" w:rsidP="00887964" w14:paraId="1878D11D" w14:textId="3C7DEF5D">
            <w:pPr>
              <w:pStyle w:val="732021"/>
              <w:spacing w:before="0"/>
              <w:rPr>
                <w:rtl/>
              </w:rPr>
            </w:pPr>
            <w:r w:rsidRPr="007A7B3C">
              <w:rPr>
                <w:rtl/>
              </w:rPr>
              <w:t xml:space="preserve">משך העיכוב בחקיקת חוק הסייבר, שטרם הושלם, ביחס לנדרש בהחלטת ממשלה 2444 </w:t>
            </w:r>
            <w:r w:rsidRPr="007A7B3C">
              <w:rPr>
                <w:rtl/>
              </w:rPr>
              <w:br/>
              <w:t>משנת 2015</w:t>
            </w:r>
          </w:p>
        </w:tc>
      </w:tr>
      <w:tr w14:paraId="09539850" w14:textId="77777777" w:rsidTr="00815587">
        <w:tblPrEx>
          <w:tblW w:w="7527" w:type="dxa"/>
          <w:tblLayout w:type="fixed"/>
          <w:tblLook w:val="04A0"/>
        </w:tblPrEx>
        <w:tc>
          <w:tcPr>
            <w:tcW w:w="1871" w:type="dxa"/>
            <w:tcBorders>
              <w:bottom w:val="single" w:sz="12" w:space="0" w:color="000000" w:themeColor="text1"/>
            </w:tcBorders>
            <w:vAlign w:val="bottom"/>
          </w:tcPr>
          <w:p w:rsidR="00887964" w:rsidRPr="004562F8" w:rsidP="00887964" w14:paraId="617C8C1C" w14:textId="2DA8A049">
            <w:pPr>
              <w:spacing w:before="240" w:after="60" w:line="240" w:lineRule="auto"/>
              <w:jc w:val="left"/>
              <w:rPr>
                <w:b/>
                <w:bCs/>
                <w:spacing w:val="-28"/>
                <w:rtl/>
              </w:rPr>
            </w:pPr>
            <w:r w:rsidRPr="00887964">
              <w:rPr>
                <w:rFonts w:ascii="Tahoma" w:hAnsi="Tahoma" w:eastAsiaTheme="minorEastAsia" w:cs="Tahoma"/>
                <w:b/>
                <w:bCs/>
                <w:color w:val="0D0D0D" w:themeColor="text1" w:themeTint="F2"/>
                <w:spacing w:val="-14"/>
                <w:sz w:val="36"/>
                <w:szCs w:val="36"/>
                <w:rtl/>
              </w:rPr>
              <w:t>36</w:t>
            </w:r>
            <w:r w:rsidRPr="007A7B3C">
              <w:rPr>
                <w:rFonts w:ascii="Tahoma" w:hAnsi="Tahoma" w:eastAsiaTheme="minorEastAsia" w:cs="Tahoma"/>
                <w:b/>
                <w:bCs/>
                <w:color w:val="0D0D0D" w:themeColor="text1" w:themeTint="F2"/>
                <w:spacing w:val="-14"/>
                <w:sz w:val="26"/>
                <w:szCs w:val="26"/>
                <w:rtl/>
              </w:rPr>
              <w:t xml:space="preserve"> </w:t>
            </w:r>
            <w:r>
              <w:rPr>
                <w:rFonts w:ascii="Tahoma" w:hAnsi="Tahoma" w:eastAsiaTheme="minorEastAsia" w:cs="Tahoma"/>
                <w:b/>
                <w:bCs/>
                <w:color w:val="0D0D0D" w:themeColor="text1" w:themeTint="F2"/>
                <w:spacing w:val="-14"/>
                <w:sz w:val="26"/>
                <w:szCs w:val="26"/>
                <w:rtl/>
              </w:rPr>
              <w:br/>
            </w:r>
            <w:r w:rsidRPr="007A7B3C">
              <w:rPr>
                <w:rFonts w:ascii="Tahoma" w:hAnsi="Tahoma" w:eastAsiaTheme="minorEastAsia" w:cs="Tahoma"/>
                <w:b/>
                <w:bCs/>
                <w:color w:val="0D0D0D" w:themeColor="text1" w:themeTint="F2"/>
                <w:spacing w:val="-14"/>
                <w:sz w:val="26"/>
                <w:szCs w:val="26"/>
                <w:rtl/>
              </w:rPr>
              <w:t>מיליארד ש"ח</w:t>
            </w:r>
          </w:p>
        </w:tc>
        <w:tc>
          <w:tcPr>
            <w:tcW w:w="236" w:type="dxa"/>
            <w:vAlign w:val="bottom"/>
          </w:tcPr>
          <w:p w:rsidR="00887964" w:rsidP="00887964" w14:paraId="02180BAE" w14:textId="77777777">
            <w:pPr>
              <w:spacing w:before="240" w:after="60" w:line="240" w:lineRule="auto"/>
              <w:jc w:val="left"/>
              <w:rPr>
                <w:rtl/>
              </w:rPr>
            </w:pPr>
          </w:p>
        </w:tc>
        <w:tc>
          <w:tcPr>
            <w:tcW w:w="1531" w:type="dxa"/>
            <w:tcBorders>
              <w:bottom w:val="single" w:sz="12" w:space="0" w:color="000000" w:themeColor="text1"/>
            </w:tcBorders>
            <w:vAlign w:val="bottom"/>
          </w:tcPr>
          <w:p w:rsidR="00887964" w:rsidRPr="003F6E07" w:rsidP="00887964" w14:paraId="6F84CF33" w14:textId="06EF51F4">
            <w:pPr>
              <w:pStyle w:val="2021"/>
              <w:spacing w:before="240" w:after="60"/>
              <w:rPr>
                <w:spacing w:val="-14"/>
                <w:sz w:val="26"/>
                <w:szCs w:val="26"/>
                <w:rtl/>
              </w:rPr>
            </w:pPr>
            <w:r w:rsidRPr="00887964">
              <w:rPr>
                <w:spacing w:val="-14"/>
                <w:rtl/>
              </w:rPr>
              <w:t xml:space="preserve">6.3 </w:t>
            </w:r>
            <w:r w:rsidRPr="00887964">
              <w:rPr>
                <w:spacing w:val="-14"/>
                <w:sz w:val="26"/>
                <w:szCs w:val="26"/>
                <w:rtl/>
              </w:rPr>
              <w:br/>
              <w:t>מיליון ש"ח</w:t>
            </w:r>
          </w:p>
        </w:tc>
        <w:tc>
          <w:tcPr>
            <w:tcW w:w="236" w:type="dxa"/>
            <w:vAlign w:val="bottom"/>
          </w:tcPr>
          <w:p w:rsidR="00887964" w:rsidRPr="003F6E07" w:rsidP="00887964" w14:paraId="550DD230" w14:textId="77777777">
            <w:pPr>
              <w:spacing w:before="240" w:after="60" w:line="240" w:lineRule="auto"/>
              <w:jc w:val="left"/>
              <w:rPr>
                <w:rFonts w:ascii="Tahoma" w:hAnsi="Tahoma" w:eastAsiaTheme="minorEastAsia" w:cs="Tahoma"/>
                <w:b/>
                <w:bCs/>
                <w:color w:val="0D0D0D" w:themeColor="text1" w:themeTint="F2"/>
                <w:spacing w:val="-14"/>
                <w:sz w:val="26"/>
                <w:szCs w:val="26"/>
                <w:rtl/>
              </w:rPr>
            </w:pPr>
          </w:p>
        </w:tc>
        <w:tc>
          <w:tcPr>
            <w:tcW w:w="1871" w:type="dxa"/>
            <w:tcBorders>
              <w:bottom w:val="single" w:sz="12" w:space="0" w:color="000000" w:themeColor="text1"/>
            </w:tcBorders>
            <w:vAlign w:val="bottom"/>
          </w:tcPr>
          <w:p w:rsidR="00887964" w:rsidRPr="00C5351A" w:rsidP="00887964" w14:paraId="0E45532F" w14:textId="1ED7677A">
            <w:pPr>
              <w:pStyle w:val="2021"/>
              <w:spacing w:before="240" w:after="60"/>
              <w:rPr>
                <w:spacing w:val="-22"/>
                <w:sz w:val="26"/>
                <w:szCs w:val="26"/>
                <w:rtl/>
              </w:rPr>
            </w:pPr>
            <w:r w:rsidRPr="00C5351A">
              <w:rPr>
                <w:rFonts w:hint="cs"/>
                <w:spacing w:val="-22"/>
                <w:rtl/>
              </w:rPr>
              <w:t>21</w:t>
            </w:r>
            <w:r w:rsidRPr="00C5351A">
              <w:rPr>
                <w:rFonts w:hint="cs"/>
                <w:spacing w:val="-22"/>
                <w:sz w:val="26"/>
                <w:szCs w:val="26"/>
                <w:rtl/>
              </w:rPr>
              <w:t xml:space="preserve"> מתוך</w:t>
            </w:r>
            <w:r w:rsidRPr="00815587">
              <w:rPr>
                <w:rFonts w:hint="cs"/>
                <w:spacing w:val="-22"/>
                <w:rtl/>
              </w:rPr>
              <w:t xml:space="preserve"> </w:t>
            </w:r>
            <w:r w:rsidRPr="00C5351A">
              <w:rPr>
                <w:rFonts w:hint="cs"/>
                <w:spacing w:val="-22"/>
                <w:rtl/>
              </w:rPr>
              <w:t>35</w:t>
            </w:r>
          </w:p>
        </w:tc>
        <w:tc>
          <w:tcPr>
            <w:tcW w:w="251" w:type="dxa"/>
            <w:vAlign w:val="bottom"/>
          </w:tcPr>
          <w:p w:rsidR="00887964" w:rsidRPr="003F6E07" w:rsidP="00887964" w14:paraId="1494DA17" w14:textId="77777777">
            <w:pPr>
              <w:pStyle w:val="2021"/>
              <w:spacing w:before="240" w:after="60"/>
              <w:rPr>
                <w:spacing w:val="-14"/>
                <w:sz w:val="26"/>
                <w:szCs w:val="26"/>
                <w:rtl/>
              </w:rPr>
            </w:pPr>
          </w:p>
        </w:tc>
        <w:tc>
          <w:tcPr>
            <w:tcW w:w="1531" w:type="dxa"/>
            <w:tcBorders>
              <w:bottom w:val="single" w:sz="12" w:space="0" w:color="000000" w:themeColor="text1"/>
            </w:tcBorders>
            <w:vAlign w:val="bottom"/>
          </w:tcPr>
          <w:p w:rsidR="00887964" w:rsidRPr="003F6E07" w:rsidP="00887964" w14:paraId="2D7F57AF" w14:textId="1BD79B1B">
            <w:pPr>
              <w:pStyle w:val="2021"/>
              <w:spacing w:before="240" w:after="60"/>
              <w:rPr>
                <w:spacing w:val="-14"/>
                <w:sz w:val="26"/>
                <w:szCs w:val="26"/>
                <w:rtl/>
              </w:rPr>
            </w:pPr>
            <w:r>
              <w:rPr>
                <w:rFonts w:hint="cs"/>
                <w:spacing w:val="-14"/>
                <w:rtl/>
              </w:rPr>
              <w:t>0%</w:t>
            </w:r>
            <w:r>
              <w:rPr>
                <w:rFonts w:hint="cs"/>
                <w:spacing w:val="-14"/>
                <w:sz w:val="26"/>
                <w:szCs w:val="26"/>
                <w:rtl/>
              </w:rPr>
              <w:t xml:space="preserve"> </w:t>
            </w:r>
          </w:p>
        </w:tc>
      </w:tr>
      <w:tr w14:paraId="4CA7D678" w14:textId="77777777" w:rsidTr="00815587">
        <w:tblPrEx>
          <w:tblW w:w="7527" w:type="dxa"/>
          <w:tblLayout w:type="fixed"/>
          <w:tblLook w:val="04A0"/>
        </w:tblPrEx>
        <w:tc>
          <w:tcPr>
            <w:tcW w:w="1871" w:type="dxa"/>
            <w:tcBorders>
              <w:top w:val="single" w:sz="12" w:space="0" w:color="000000" w:themeColor="text1"/>
            </w:tcBorders>
          </w:tcPr>
          <w:p w:rsidR="00887964" w:rsidRPr="00E52143" w:rsidP="000F53D6" w14:paraId="6706F054" w14:textId="40A6C6B8">
            <w:pPr>
              <w:pStyle w:val="732021"/>
              <w:spacing w:before="0"/>
              <w:rPr>
                <w:rtl/>
              </w:rPr>
            </w:pPr>
            <w:r w:rsidRPr="007A7B3C">
              <w:rPr>
                <w:rtl/>
              </w:rPr>
              <w:t>תקציב הפיתוח של משרד התחבורה לשנת 2022</w:t>
            </w:r>
          </w:p>
        </w:tc>
        <w:tc>
          <w:tcPr>
            <w:tcW w:w="236" w:type="dxa"/>
          </w:tcPr>
          <w:p w:rsidR="00887964" w:rsidRPr="00E52143" w:rsidP="000F53D6" w14:paraId="103EBA5C" w14:textId="77777777">
            <w:pPr>
              <w:pStyle w:val="732021"/>
              <w:spacing w:before="0"/>
              <w:rPr>
                <w:rtl/>
              </w:rPr>
            </w:pPr>
          </w:p>
        </w:tc>
        <w:tc>
          <w:tcPr>
            <w:tcW w:w="1531" w:type="dxa"/>
            <w:tcBorders>
              <w:top w:val="single" w:sz="12" w:space="0" w:color="000000" w:themeColor="text1"/>
            </w:tcBorders>
          </w:tcPr>
          <w:p w:rsidR="00887964" w:rsidRPr="00E52143" w:rsidP="000F53D6" w14:paraId="518007DB" w14:textId="7AF65B43">
            <w:pPr>
              <w:pStyle w:val="732021"/>
              <w:spacing w:before="0" w:after="360"/>
              <w:rPr>
                <w:rtl/>
              </w:rPr>
            </w:pPr>
            <w:r w:rsidRPr="007A7B3C">
              <w:rPr>
                <w:rtl/>
              </w:rPr>
              <w:t>התקציב שאושר לאגף הסייבר מתוך סך הדרישות שהגיש בסך 30 מיליון ש"ח (21%) נכון לדצמבר 2021</w:t>
            </w:r>
          </w:p>
        </w:tc>
        <w:tc>
          <w:tcPr>
            <w:tcW w:w="236" w:type="dxa"/>
          </w:tcPr>
          <w:p w:rsidR="00887964" w:rsidRPr="00E52143" w:rsidP="000F53D6" w14:paraId="37BA2B62" w14:textId="77777777">
            <w:pPr>
              <w:pStyle w:val="732021"/>
              <w:spacing w:before="0"/>
              <w:rPr>
                <w:rtl/>
              </w:rPr>
            </w:pPr>
          </w:p>
        </w:tc>
        <w:tc>
          <w:tcPr>
            <w:tcW w:w="1871" w:type="dxa"/>
            <w:tcBorders>
              <w:top w:val="single" w:sz="12" w:space="0" w:color="000000" w:themeColor="text1"/>
            </w:tcBorders>
          </w:tcPr>
          <w:p w:rsidR="00887964" w:rsidRPr="00E52143" w:rsidP="000F53D6" w14:paraId="7C1F2BBC" w14:textId="66587B3C">
            <w:pPr>
              <w:pStyle w:val="732021"/>
              <w:spacing w:before="0"/>
              <w:rPr>
                <w:rtl/>
              </w:rPr>
            </w:pPr>
            <w:r>
              <w:rPr>
                <w:rFonts w:hint="cs"/>
                <w:rtl/>
              </w:rPr>
              <w:t>60</w:t>
            </w:r>
            <w:r w:rsidRPr="007A7B3C">
              <w:rPr>
                <w:rtl/>
              </w:rPr>
              <w:t>%</w:t>
            </w:r>
            <w:r w:rsidRPr="007A7B3C">
              <w:rPr>
                <w:rFonts w:hint="cs"/>
                <w:rtl/>
              </w:rPr>
              <w:t xml:space="preserve"> </w:t>
            </w:r>
            <w:r w:rsidRPr="007A7B3C">
              <w:rPr>
                <w:rtl/>
              </w:rPr>
              <w:t>מהגופים שמתוכננים להתחבר למרכז ניטור אירועי אבטחת מידע מגזרי (</w:t>
            </w:r>
            <w:r w:rsidRPr="007A7B3C">
              <w:t>SOC</w:t>
            </w:r>
            <w:r w:rsidRPr="007A7B3C">
              <w:rPr>
                <w:rtl/>
              </w:rPr>
              <w:t>) לא חוברו אליו עד מועד סיום הביקורת</w:t>
            </w:r>
          </w:p>
        </w:tc>
        <w:tc>
          <w:tcPr>
            <w:tcW w:w="251" w:type="dxa"/>
          </w:tcPr>
          <w:p w:rsidR="00887964" w:rsidRPr="00E52143" w:rsidP="000F53D6" w14:paraId="52DDC308" w14:textId="77777777">
            <w:pPr>
              <w:pStyle w:val="732021"/>
              <w:spacing w:before="0"/>
              <w:rPr>
                <w:rtl/>
              </w:rPr>
            </w:pPr>
          </w:p>
        </w:tc>
        <w:tc>
          <w:tcPr>
            <w:tcW w:w="1531" w:type="dxa"/>
            <w:tcBorders>
              <w:top w:val="single" w:sz="12" w:space="0" w:color="000000" w:themeColor="text1"/>
            </w:tcBorders>
          </w:tcPr>
          <w:p w:rsidR="00887964" w:rsidRPr="00E52143" w:rsidP="000F53D6" w14:paraId="208FEDF0" w14:textId="71672E7F">
            <w:pPr>
              <w:pStyle w:val="732021"/>
              <w:spacing w:before="0"/>
              <w:rPr>
                <w:rtl/>
              </w:rPr>
            </w:pPr>
            <w:r w:rsidRPr="007A7B3C">
              <w:rPr>
                <w:rtl/>
              </w:rPr>
              <w:t xml:space="preserve">שיעור הגופים שביצעו מבדקי חֲדִירוּת לאיתור פרצות אבטחה </w:t>
            </w:r>
            <w:r w:rsidRPr="007A7B3C">
              <w:rPr>
                <w:rFonts w:hint="cs"/>
                <w:rtl/>
              </w:rPr>
              <w:t>במ</w:t>
            </w:r>
            <w:r w:rsidR="002750B3">
              <w:rPr>
                <w:rFonts w:hint="cs"/>
                <w:rtl/>
              </w:rPr>
              <w:t>ערכות בתחום ה</w:t>
            </w:r>
            <w:r w:rsidRPr="007A7B3C">
              <w:rPr>
                <w:rFonts w:hint="cs"/>
                <w:rtl/>
              </w:rPr>
              <w:t xml:space="preserve">תחבורה </w:t>
            </w:r>
            <w:r w:rsidRPr="007A7B3C">
              <w:rPr>
                <w:rtl/>
              </w:rPr>
              <w:t xml:space="preserve">בשנים 2019 - 2021 </w:t>
            </w:r>
            <w:r>
              <w:rPr>
                <w:rtl/>
              </w:rPr>
              <w:br/>
            </w:r>
            <w:r w:rsidRPr="007A7B3C">
              <w:rPr>
                <w:rtl/>
              </w:rPr>
              <w:t>(0 מתוך 8 גופים שנבדקו בביקורת)</w:t>
            </w:r>
          </w:p>
        </w:tc>
      </w:tr>
    </w:tbl>
    <w:p w:rsidR="00187AD2" w:rsidRPr="009C0567" w:rsidP="009C0567" w14:paraId="14F18AA1" w14:textId="5E6586DE">
      <w:pPr>
        <w:pStyle w:val="73"/>
        <w:rPr>
          <w:rtl/>
        </w:rPr>
      </w:pPr>
      <w:r w:rsidRPr="009C0567">
        <w:rPr>
          <w:rtl/>
        </w:rPr>
        <w:t>פעולות הביקורת</w:t>
      </w:r>
    </w:p>
    <w:p w:rsidR="00187AD2" w:rsidP="00864200" w14:paraId="1166A3A6" w14:textId="47B6D08D">
      <w:pPr>
        <w:pStyle w:val="7392"/>
        <w:ind w:left="282" w:hanging="282"/>
        <w:rPr>
          <w:rtl/>
        </w:rPr>
      </w:pPr>
      <w:r w:rsidRPr="00864200">
        <w:rPr>
          <w:noProof/>
        </w:rPr>
        <w:drawing>
          <wp:anchor distT="0" distB="3600450" distL="114300" distR="114300" simplePos="0" relativeHeight="251680768" behindDoc="0" locked="0" layoutInCell="1" allowOverlap="1">
            <wp:simplePos x="0" y="0"/>
            <wp:positionH relativeFrom="column">
              <wp:posOffset>4535170</wp:posOffset>
            </wp:positionH>
            <wp:positionV relativeFrom="paragraph">
              <wp:posOffset>55971</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AFB" w:rsidR="00F775D4">
        <w:rPr>
          <w:rtl/>
        </w:rPr>
        <w:t xml:space="preserve">בחודשים מרץ 2021 עד אפריל 2022 בדק משרד מבקר המדינה את הגנת הסייבר במגזר התחבורה. הביקורת נעשתה במשרד התחבורה - באגף הסייבר ובמחלקת הייעוץ המשפטי; במערך הסייבר הלאומי במשרד ראש הממשלה - באגף להכוונה מגזרית וביחידה להנחיית גופי </w:t>
      </w:r>
      <w:r w:rsidRPr="00145AFB" w:rsidR="00F775D4">
        <w:rPr>
          <w:rtl/>
        </w:rPr>
        <w:t>תמ"ק</w:t>
      </w:r>
      <w:r w:rsidRPr="00145AFB" w:rsidR="00F775D4">
        <w:rPr>
          <w:rtl/>
        </w:rPr>
        <w:t xml:space="preserve"> (אגף </w:t>
      </w:r>
      <w:r w:rsidRPr="00145AFB" w:rsidR="00F775D4">
        <w:rPr>
          <w:rtl/>
        </w:rPr>
        <w:t>תמ"ק</w:t>
      </w:r>
      <w:r w:rsidRPr="00145AFB" w:rsidR="00F775D4">
        <w:rPr>
          <w:rtl/>
        </w:rPr>
        <w:t xml:space="preserve">); וברשות להגנת הפרטיות במשרד המשפטים. בדיקות השלמה נעשו </w:t>
      </w:r>
      <w:r w:rsidRPr="00145AFB" w:rsidR="00F775D4">
        <w:rPr>
          <w:rFonts w:hint="cs"/>
          <w:rtl/>
        </w:rPr>
        <w:t>בכמה חברות ממשלתיות</w:t>
      </w:r>
      <w:r w:rsidRPr="00145AFB" w:rsidR="00F775D4">
        <w:rPr>
          <w:rtl/>
        </w:rPr>
        <w:t>, וביחידות הגנת הסייבר המגזריות במשרד האנרגיה, במשרד להגנת הסביבה, במשרד התקשורת ובמשרד הבריאות</w:t>
      </w:r>
      <w:r>
        <w:rPr>
          <w:rFonts w:hint="cs"/>
          <w:rtl/>
        </w:rPr>
        <w:t>.</w:t>
      </w:r>
    </w:p>
    <w:p w:rsidR="00864200" w:rsidRPr="00864200" w:rsidP="00864200" w14:paraId="4542DDC9" w14:textId="5F61C112">
      <w:pPr>
        <w:pStyle w:val="7392"/>
        <w:ind w:left="282" w:hanging="282"/>
        <w:rPr>
          <w:rtl/>
        </w:rPr>
      </w:pPr>
      <w:r w:rsidRPr="00145AFB">
        <w:rPr>
          <w:rtl/>
        </w:rPr>
        <w:t>במסגרת הביקורת, משרד מבקר המדינה ביצע בשיתוף עיריי</w:t>
      </w:r>
      <w:r w:rsidRPr="00145AFB">
        <w:rPr>
          <w:rFonts w:hint="cs"/>
          <w:rtl/>
        </w:rPr>
        <w:t xml:space="preserve">ה א' </w:t>
      </w:r>
      <w:r w:rsidRPr="00145AFB">
        <w:rPr>
          <w:rtl/>
        </w:rPr>
        <w:t xml:space="preserve">מהלך חדשני - מבדק חדירה </w:t>
      </w:r>
      <w:r w:rsidRPr="00145AFB">
        <w:rPr>
          <w:rFonts w:hint="cs"/>
          <w:rtl/>
        </w:rPr>
        <w:t xml:space="preserve">במערכות </w:t>
      </w:r>
      <w:r w:rsidR="002750B3">
        <w:rPr>
          <w:rFonts w:hint="cs"/>
          <w:rtl/>
        </w:rPr>
        <w:t>בתחום</w:t>
      </w:r>
      <w:r w:rsidRPr="00145AFB">
        <w:rPr>
          <w:rFonts w:hint="cs"/>
          <w:rtl/>
        </w:rPr>
        <w:t xml:space="preserve"> התחבורה </w:t>
      </w:r>
      <w:r w:rsidRPr="00145AFB">
        <w:rPr>
          <w:rtl/>
        </w:rPr>
        <w:t>שלה כדי לבחון היבטים בהגנת הסייבר</w:t>
      </w:r>
      <w:r w:rsidRPr="00864200">
        <w:rPr>
          <w:rFonts w:hint="cs"/>
          <w:rtl/>
        </w:rPr>
        <w:t>.</w:t>
      </w:r>
    </w:p>
    <w:p w:rsidR="00F775D4" w:rsidP="00864200" w14:paraId="7B3C568F" w14:textId="7AA0C08B">
      <w:pPr>
        <w:pStyle w:val="7392"/>
        <w:ind w:left="282"/>
        <w:rPr>
          <w:rtl/>
        </w:rPr>
      </w:pPr>
      <w:r w:rsidRPr="00145AFB">
        <w:rPr>
          <w:rtl/>
        </w:rPr>
        <w:t xml:space="preserve">כמו כן המשרד הפיץ בקרב עשר עיריות ושתי חברות ממשלתיות שאלון הבודק את היבטי הגנת הסייבר בנוגע </w:t>
      </w:r>
      <w:r w:rsidRPr="00145AFB">
        <w:rPr>
          <w:rFonts w:hint="cs"/>
          <w:rtl/>
        </w:rPr>
        <w:t xml:space="preserve">למערכות </w:t>
      </w:r>
      <w:r w:rsidR="002750B3">
        <w:rPr>
          <w:rFonts w:hint="cs"/>
          <w:rtl/>
        </w:rPr>
        <w:t>בתחום ה</w:t>
      </w:r>
      <w:r w:rsidRPr="00145AFB">
        <w:rPr>
          <w:rFonts w:hint="cs"/>
          <w:rtl/>
        </w:rPr>
        <w:t xml:space="preserve">תחבורה </w:t>
      </w:r>
      <w:r w:rsidRPr="00145AFB">
        <w:rPr>
          <w:rtl/>
        </w:rPr>
        <w:t>כדי לבחון את הנושאים ברמה המערכתית</w:t>
      </w:r>
      <w:r>
        <w:rPr>
          <w:rFonts w:hint="cs"/>
          <w:rtl/>
        </w:rPr>
        <w:t>.</w:t>
      </w:r>
    </w:p>
    <w:p w:rsidR="00187AD2" w:rsidP="00864200" w14:paraId="66A240D3" w14:textId="5DB704A0">
      <w:pPr>
        <w:pStyle w:val="7392"/>
        <w:ind w:left="282"/>
        <w:rPr>
          <w:rtl/>
        </w:rPr>
      </w:pPr>
      <w:r w:rsidRPr="00145AFB">
        <w:rPr>
          <w:rtl/>
        </w:rPr>
        <w:t xml:space="preserve">הדוח שבנדון הומצא לראש הממשלה ביום </w:t>
      </w:r>
      <w:r w:rsidRPr="00145AFB">
        <w:rPr>
          <w:rFonts w:hint="cs"/>
          <w:rtl/>
        </w:rPr>
        <w:t>31/7/22</w:t>
      </w:r>
      <w:r w:rsidRPr="00145AFB">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w:t>
      </w:r>
      <w:r w:rsidR="007A39F0">
        <w:rPr>
          <w:rFonts w:hint="cs"/>
          <w:rtl/>
        </w:rPr>
        <w:t>,</w:t>
      </w:r>
      <w:r w:rsidRPr="00145AFB">
        <w:rPr>
          <w:rtl/>
        </w:rPr>
        <w:t xml:space="preserve"> ובשים לב לנימוקי הממשלה, לאחר היוועצות עם הגופים האמונים על אבטחת המידע הביטחוני ובתיאום עם יו"ר הכנסת, </w:t>
      </w:r>
      <w:r w:rsidRPr="00145AFB">
        <w:rPr>
          <w:rtl/>
        </w:rPr>
        <w:t>משלא</w:t>
      </w:r>
      <w:r w:rsidRPr="00145AFB">
        <w:rPr>
          <w:rtl/>
        </w:rPr>
        <w:t xml:space="preserve"> התכנסה ועדת המשנה האמורה, הוחלט לפרסם דוח זה תוך הטלת חיסיון על חלקים ממנו. חלקים אלה לא יונחו על שולחן הכנסת ולא יפורסמו</w:t>
      </w:r>
      <w:r w:rsidRPr="00394FAC">
        <w:rPr>
          <w:rtl/>
        </w:rPr>
        <w:t>.</w:t>
      </w:r>
      <w:r>
        <w:rPr>
          <w:rFonts w:hint="cs"/>
          <w:rtl/>
        </w:rPr>
        <w:t xml:space="preserve"> </w:t>
      </w:r>
    </w:p>
    <w:p w:rsidR="00864200" w:rsidRPr="00864200" w:rsidP="00864200" w14:paraId="4AC52D9F" w14:textId="59E83F20">
      <w:pPr>
        <w:pStyle w:val="7392"/>
        <w:ind w:left="282"/>
        <w:rPr>
          <w:rtl/>
        </w:rPr>
      </w:pPr>
      <w:r w:rsidRPr="00145AFB">
        <w:rPr>
          <w:rtl/>
        </w:rPr>
        <w:t>ממצאי דוח הביקורת והמלצותיו נכונים למועד המצאתו האמור לעיל</w:t>
      </w:r>
      <w:r w:rsidR="00FE390D">
        <w:rPr>
          <w:rFonts w:hint="cs"/>
          <w:rtl/>
        </w:rPr>
        <w:t>.</w:t>
      </w:r>
    </w:p>
    <w:p w:rsidR="002753C7" w:rsidRPr="00662020" w:rsidP="002753C7" w14:paraId="690F076D" w14:textId="60DD9FB0">
      <w:pPr>
        <w:pStyle w:val="7327"/>
        <w:rPr>
          <w:rtl/>
        </w:rPr>
      </w:pPr>
      <w:r w:rsidRPr="00662020">
        <w:rPr>
          <w:rFonts w:hint="cs"/>
          <w:rtl/>
        </w:rPr>
        <w:t>תמונת המצב העולה מן הביקורת</w:t>
      </w:r>
    </w:p>
    <w:p w:rsidR="00420374" w:rsidRPr="002539B8" w:rsidP="00420374" w14:paraId="6CAF3371" w14:textId="31441C79">
      <w:pPr>
        <w:pStyle w:val="7317"/>
        <w:spacing w:after="240"/>
        <w:rPr>
          <w:sz w:val="10"/>
          <w:szCs w:val="10"/>
          <w:rtl/>
        </w:rPr>
      </w:pPr>
      <w:r w:rsidRPr="00362C00">
        <w:rPr>
          <w:noProof/>
          <w:rtl/>
        </w:rPr>
        <w:drawing>
          <wp:anchor distT="0" distB="0" distL="114300" distR="114300" simplePos="0" relativeHeight="251693056"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4633B8" w14:paraId="18555822" w14:textId="55A5ED55">
      <w:pPr>
        <w:pStyle w:val="7392"/>
        <w:ind w:left="424"/>
        <w:rPr>
          <w:rtl/>
        </w:rPr>
      </w:pPr>
      <w:r w:rsidRPr="00F775D4">
        <w:rPr>
          <w:rFonts w:hint="cs"/>
          <w:b/>
          <w:bCs/>
          <w:noProof/>
          <w:rtl/>
        </w:rPr>
        <w:drawing>
          <wp:anchor distT="0" distB="3600450" distL="114300" distR="114300" simplePos="0" relativeHeight="251683840"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אסדרה ברמת חקיקה ראשית</w:t>
      </w:r>
      <w:r w:rsidRPr="00145AFB" w:rsidR="00F775D4">
        <w:rPr>
          <w:rtl/>
        </w:rPr>
        <w:t xml:space="preserve"> - נכון למועד סיום הביקורת באפריל 2022, לא הושלמה חקיקת חוק הסייבר, וזאת יותר משבע שנים ממועד החלטת הממשלה 2444, וכן </w:t>
      </w:r>
      <w:r w:rsidRPr="00145AFB" w:rsidR="00F775D4">
        <w:rPr>
          <w:rtl/>
        </w:rPr>
        <w:t>אסדרת</w:t>
      </w:r>
      <w:r w:rsidRPr="00145AFB" w:rsidR="00F775D4">
        <w:rPr>
          <w:rtl/>
        </w:rPr>
        <w:t xml:space="preserve"> תחום הסייבר לא הושלמה במסגרת עבודת הצוות הבין-משרדי שהוקם באוגוסט 2021. נוכח זאת כל מאסדר, נדרש לפעול באופן עצמאי ולבצע תיקונים בחוקים ובתקנות שלו כדי ליישם את דרישות הסייבר במגזר שלו, בכלל זה משרד התחבורה</w:t>
      </w:r>
      <w:r w:rsidR="00E25056">
        <w:rPr>
          <w:rFonts w:hint="cs"/>
          <w:rtl/>
        </w:rPr>
        <w:t>.</w:t>
      </w:r>
    </w:p>
    <w:p w:rsidR="00420374" w:rsidRPr="0093709F" w:rsidP="004633B8" w14:paraId="1D22E15A" w14:textId="66D5F360">
      <w:pPr>
        <w:pStyle w:val="7392"/>
        <w:ind w:left="424"/>
      </w:pPr>
      <w:r w:rsidRPr="00F775D4">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הכנסת דרישות סייבר לתקנות ולחוקים במגזר התחבורה</w:t>
      </w:r>
      <w:r w:rsidRPr="00145AFB" w:rsidR="00F775D4">
        <w:rPr>
          <w:rtl/>
        </w:rPr>
        <w:t xml:space="preserve"> - במשך יותר משבע שנים לא השלים משרד התחבורה את עבודת המטה לבחינת התיקונים והשינויים הנדרשים לאסדרה בתחומי פעילותו למימוש אפקטיבי של האחריות להגנת הסייבר במגזר. משרד התחבורה בחר להמתין לאסדרה במסגרת חוק הסייבר, למעט בתחום הרכב האוטונומי שהוא נושא אחד מיני רבים, זאת שעה שעלו עיכובים בחקיקתו. במצב זה חסרים למשרד התחבורה כלים לאכוף על הגופים במגזר (בהם מפעילי תחבורה ציבורית, נמלי ים וחברות תעופה) את דרישות הסייבר שקבע במסגרת המדיניות להגנת הסייבר במגזר</w:t>
      </w:r>
      <w:r w:rsidRPr="0093709F">
        <w:rPr>
          <w:rFonts w:hint="cs"/>
          <w:rtl/>
        </w:rPr>
        <w:t xml:space="preserve">. </w:t>
      </w:r>
    </w:p>
    <w:p w:rsidR="00420374" w:rsidRPr="0093709F" w:rsidP="004633B8" w14:paraId="5E2BFABB" w14:textId="49070C8B">
      <w:pPr>
        <w:pStyle w:val="7392"/>
        <w:ind w:left="424"/>
        <w:rPr>
          <w:rtl/>
        </w:rPr>
      </w:pPr>
      <w:r w:rsidRPr="00F775D4">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הכנסת דרישות סייבר להתקשרויות עם מפעילים בתחום התחבורה</w:t>
      </w:r>
      <w:r w:rsidRPr="00145AFB" w:rsidR="00F775D4">
        <w:rPr>
          <w:rtl/>
        </w:rPr>
        <w:t xml:space="preserve"> - משרד התחבורה החל בספטמבר 2021 בהכנסת נספחי סייבר מחייבים בהתקשרויות חדשות בתחומי התשתיות היבשתיות, אולם עדיין ישנם תחומים בהם המשרד אינו מחייב לכלול דרישות סייבר בהתקשרויות חדשות. יודגש כי בתחומי פעילותו של המשרד חלק מההסכמים נחתמים לתקופה ארוכה, כאשר בהסכמים שנחתמו בעבר אין דרישות סייבר. למשל: נמלים - זיכיון ל-25 שנים; הפעלת אשכולות תחבורה ציבורית</w:t>
      </w:r>
      <w:r w:rsidRPr="00145AFB" w:rsidR="00F775D4">
        <w:t xml:space="preserve"> </w:t>
      </w:r>
      <w:r w:rsidRPr="00145AFB" w:rsidR="00F775D4">
        <w:rPr>
          <w:rtl/>
        </w:rPr>
        <w:t>- 10 שנים. עוד עלה כי למשרד אין מיפוי מרוכז של ההתקשרויות הקיימות לרבות מועד סיומן, וממילא אין בידו רישום אם קיימות בחוזים אלה דרישות סייבר. נוכח זאת קיים סיכון שגם ההתקשרויות שצפויות להסתיים בשנים הקרובות יוארכו, מבלי שיתווספו להן דרישות סייבר במסגרת הארכתן וחידושן</w:t>
      </w:r>
      <w:r w:rsidRPr="0093709F">
        <w:rPr>
          <w:rFonts w:hint="cs"/>
          <w:rtl/>
        </w:rPr>
        <w:t>.</w:t>
      </w:r>
    </w:p>
    <w:p w:rsidR="00420374" w:rsidRPr="0093709F" w:rsidP="004633B8" w14:paraId="583ECB3F" w14:textId="52A6CA68">
      <w:pPr>
        <w:pStyle w:val="7392"/>
        <w:ind w:left="424"/>
      </w:pPr>
      <w:r w:rsidRPr="00F775D4">
        <w:rPr>
          <w:rFonts w:hint="cs"/>
          <w:b/>
          <w:bCs/>
          <w:noProof/>
          <w:rtl/>
        </w:rPr>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ביקורות לבחינת מצב הגנת הסייבר בגופי תחבורה גדולים שביצע משרד התחבורה</w:t>
      </w:r>
      <w:r w:rsidRPr="00145AFB" w:rsidR="00F775D4">
        <w:rPr>
          <w:rtl/>
        </w:rPr>
        <w:t xml:space="preserve"> - בשנת 2021 ביצע משרד התחבורה ביקורות כדי לבחון את מידת עמידת חלק </w:t>
      </w:r>
      <w:r w:rsidRPr="00145AFB" w:rsidR="00F775D4">
        <w:rPr>
          <w:rtl/>
        </w:rPr>
        <w:t>מהגופים בדרישות הסייבר שפרסם במסגרת המדיניות להגנת הסייבר במגזר. הביקורות בוצעו על חברות בתחומים שונים ובהן חברות תחבורה ציבורית, חברות תשתיות כבישים, ונמלי ים. בביקורות נמצאו שורה של ליקויים רוחביים המחייבים טיפול מערכתי, אך המשרד לא ביצע מעקב אחר תיקון הליקויים שמצא בביקורות אלו</w:t>
      </w:r>
      <w:r w:rsidRPr="0093709F">
        <w:rPr>
          <w:rFonts w:hint="cs"/>
          <w:rtl/>
        </w:rPr>
        <w:t xml:space="preserve">. </w:t>
      </w:r>
    </w:p>
    <w:p w:rsidR="00420374" w:rsidRPr="0093709F" w:rsidP="004633B8" w14:paraId="7C081EA1" w14:textId="2604243B">
      <w:pPr>
        <w:pStyle w:val="7392"/>
        <w:ind w:left="424"/>
      </w:pPr>
      <w:r w:rsidRPr="00F775D4">
        <w:rPr>
          <w:rFonts w:hint="cs"/>
          <w:b/>
          <w:bCs/>
          <w:noProof/>
          <w:rtl/>
        </w:rPr>
        <w:drawing>
          <wp:anchor distT="0" distB="3600450" distL="114300" distR="114300" simplePos="0" relativeHeight="251687936" behindDoc="1" locked="0" layoutInCell="1" allowOverlap="1">
            <wp:simplePos x="0" y="0"/>
            <wp:positionH relativeFrom="column">
              <wp:posOffset>4518025</wp:posOffset>
            </wp:positionH>
            <wp:positionV relativeFrom="paragraph">
              <wp:posOffset>29659</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משאבי אגף הסייבר</w:t>
      </w:r>
      <w:r w:rsidRPr="00145AFB" w:rsidR="00F775D4">
        <w:rPr>
          <w:rtl/>
        </w:rPr>
        <w:t xml:space="preserve"> - משאבי כוח האדם והתקציב הדרושים לטובת מימוש אחריות של משרד התחבורה בתחום הסייבר במגזר אינם מספיקים (למשל: באגף מועסקים שלושה עובדים במקום חמישה, ואושרו לו 6.3 מיליון ש"ח (21%) מהתקציב שהאגף ביקש לצורך מימוש תפקידו), כך שהוא אינו יכול לתת מענה לחלק מהאיומים הניצבים בפניו. בשל היעדר המשאבים נמצאו משימות של אגף הסייבר שלא בוצעו, ובהן: בניית יכולת התערבות באירועי סייבר; פעילויות להעלאת החוסן במגזר; הרחבת הביקורות בגופי המגזר; וליווי הגופים בתיקון ליקויים חמורים</w:t>
      </w:r>
      <w:r w:rsidRPr="0093709F">
        <w:rPr>
          <w:rFonts w:hint="cs"/>
          <w:rtl/>
        </w:rPr>
        <w:t xml:space="preserve">. </w:t>
      </w:r>
    </w:p>
    <w:p w:rsidR="00420374" w:rsidRPr="0093709F" w:rsidP="004633B8" w14:paraId="5E8BF229" w14:textId="70553E9E">
      <w:pPr>
        <w:pStyle w:val="7392"/>
        <w:ind w:left="424"/>
        <w:rPr>
          <w:rtl/>
        </w:rPr>
      </w:pPr>
      <w:r w:rsidRPr="00F775D4">
        <w:rPr>
          <w:rFonts w:hint="cs"/>
          <w:b/>
          <w:bCs/>
          <w:noProof/>
          <w:rtl/>
        </w:rPr>
        <w:drawing>
          <wp:anchor distT="0" distB="3600450" distL="114300" distR="114300" simplePos="0" relativeHeight="251688960"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גיבוש תמונת מצב מגזרית</w:t>
      </w:r>
      <w:r w:rsidRPr="00145AFB" w:rsidR="00F775D4">
        <w:rPr>
          <w:rtl/>
        </w:rPr>
        <w:t xml:space="preserve"> - משרד התחבורה אחראי לקדם את הטיפול בהיערכות לאיומי הסייבר של כל המגזר, אולם הוא מתקשה במילוי תפקידו מהסיבות האלו: המשרד אינו רואה את התמונה המגזרית כולה על תתי-המגזרים שבה (למשל תחום התחבורה האווירית וגופי </w:t>
      </w:r>
      <w:r w:rsidRPr="00145AFB" w:rsidR="00F775D4">
        <w:rPr>
          <w:rtl/>
        </w:rPr>
        <w:t>התמ"ק</w:t>
      </w:r>
      <w:r w:rsidRPr="00145AFB" w:rsidR="00F775D4">
        <w:rPr>
          <w:rtl/>
        </w:rPr>
        <w:t xml:space="preserve"> שמנחה מערך הסייבר); הוא אינו רואה את מפת הסיכונים ואת הפערים הקיימים בכל גוף; והוא אינו מקבל מידע חיוני מהגופים על פעילויות שהם עצמם ביצעו, כמו מבדקי חדירות, תוכניות עבודה לתיקון הליקויים, דיווח על אירועי סייבר ותחקירים עליהם שביצע הגוף. כמו כן נמצאו פערים במספר אירועי הסייבר שדווחו </w:t>
      </w:r>
      <w:r w:rsidRPr="00145AFB" w:rsidR="00F775D4">
        <w:rPr>
          <w:rtl/>
        </w:rPr>
        <w:t>למאסדרים</w:t>
      </w:r>
      <w:r w:rsidRPr="00145AFB" w:rsidR="00F775D4">
        <w:rPr>
          <w:rtl/>
        </w:rPr>
        <w:t xml:space="preserve"> השונים</w:t>
      </w:r>
      <w:r w:rsidRPr="0093709F">
        <w:rPr>
          <w:rFonts w:hint="cs"/>
          <w:rtl/>
        </w:rPr>
        <w:t>.</w:t>
      </w:r>
    </w:p>
    <w:p w:rsidR="000E336A" w:rsidP="004633B8" w14:paraId="7B2A7394" w14:textId="45B90C93">
      <w:pPr>
        <w:pStyle w:val="7392"/>
        <w:ind w:left="424"/>
        <w:rPr>
          <w:noProof/>
        </w:rPr>
      </w:pPr>
      <w:r w:rsidRPr="00F775D4">
        <w:rPr>
          <w:rFonts w:hint="cs"/>
          <w:b/>
          <w:bCs/>
          <w:noProof/>
          <w:rtl/>
        </w:rPr>
        <w:drawing>
          <wp:anchor distT="0" distB="1800225" distL="114300" distR="114300" simplePos="0" relativeHeight="251689984"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 xml:space="preserve">מרכז לניטור אירועי אבטחת מידע </w:t>
      </w:r>
      <w:r w:rsidRPr="00F775D4" w:rsidR="00F775D4">
        <w:rPr>
          <w:b/>
          <w:bCs/>
        </w:rPr>
        <w:t>SOC)</w:t>
      </w:r>
      <w:r w:rsidRPr="00F775D4" w:rsidR="00F775D4">
        <w:rPr>
          <w:b/>
          <w:bCs/>
          <w:rtl/>
        </w:rPr>
        <w:t xml:space="preserve"> מגזרי)</w:t>
      </w:r>
      <w:r w:rsidRPr="00145AFB" w:rsidR="00F775D4">
        <w:rPr>
          <w:rtl/>
        </w:rPr>
        <w:t xml:space="preserve"> - 21 מתוך 35 מהגופים שמתוכננים להיות מחוברים ל-</w:t>
      </w:r>
      <w:r w:rsidRPr="00145AFB" w:rsidR="00F775D4">
        <w:t>SOC</w:t>
      </w:r>
      <w:r w:rsidRPr="00145AFB" w:rsidR="00F775D4">
        <w:rPr>
          <w:rtl/>
        </w:rPr>
        <w:t xml:space="preserve"> המגזרי שהקים משרד התחבורה לא חוברו אליו עד מועד סיום הביקורת ולא נקבעה תוכנית עבודה מפורטת לחיבור </w:t>
      </w:r>
      <w:r w:rsidRPr="00145AFB" w:rsidR="00F775D4">
        <w:rPr>
          <w:rtl/>
        </w:rPr>
        <w:t>ולמבצוע</w:t>
      </w:r>
      <w:r w:rsidRPr="00145AFB" w:rsidR="00F775D4">
        <w:rPr>
          <w:rtl/>
        </w:rPr>
        <w:t xml:space="preserve"> של כלל הגופים. כן עלה כי ההתקשרות הנוכחית של משרד התחבורה עם </w:t>
      </w:r>
      <w:r w:rsidRPr="00145AFB" w:rsidR="00F775D4">
        <w:rPr>
          <w:rtl/>
        </w:rPr>
        <w:t>רש"ת</w:t>
      </w:r>
      <w:r w:rsidRPr="00145AFB" w:rsidR="00F775D4">
        <w:rPr>
          <w:rtl/>
        </w:rPr>
        <w:t xml:space="preserve"> בנוגע להפעלת ה-</w:t>
      </w:r>
      <w:r w:rsidRPr="00145AFB" w:rsidR="00F775D4">
        <w:t>SOC</w:t>
      </w:r>
      <w:r w:rsidRPr="00145AFB" w:rsidR="00F775D4">
        <w:rPr>
          <w:rtl/>
        </w:rPr>
        <w:t xml:space="preserve"> נחתמה לשנה אחת בלבד ואינה נותנת מענה מלא לארגונים גדולים</w:t>
      </w:r>
      <w:r w:rsidRPr="0093709F" w:rsidR="00420374">
        <w:rPr>
          <w:rFonts w:hint="cs"/>
          <w:rtl/>
        </w:rPr>
        <w:t>.</w:t>
      </w:r>
    </w:p>
    <w:p w:rsidR="000E336A" w:rsidP="004633B8" w14:paraId="7C74CF71" w14:textId="0B0A128B">
      <w:pPr>
        <w:pStyle w:val="7392"/>
        <w:ind w:left="424"/>
        <w:rPr>
          <w:noProof/>
        </w:rPr>
      </w:pPr>
      <w:r w:rsidRPr="00F775D4">
        <w:rPr>
          <w:rFonts w:hint="cs"/>
          <w:b/>
          <w:bCs/>
          <w:noProof/>
          <w:rtl/>
        </w:rPr>
        <w:drawing>
          <wp:anchor distT="0" distB="1800225" distL="114300" distR="114300" simplePos="0" relativeHeight="25169100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שיתוף מידע</w:t>
      </w:r>
      <w:r w:rsidRPr="00145AFB" w:rsidR="00F775D4">
        <w:rPr>
          <w:rtl/>
        </w:rPr>
        <w:t xml:space="preserve"> - נמצא כי שיתוף המידע בתחום הסייבר בין גופים דומים (כמו למשל נמלי הים ומערכות </w:t>
      </w:r>
      <w:r w:rsidR="002750B3">
        <w:rPr>
          <w:rFonts w:hint="cs"/>
          <w:rtl/>
        </w:rPr>
        <w:t>בתחום</w:t>
      </w:r>
      <w:r w:rsidRPr="00145AFB" w:rsidR="00F775D4">
        <w:rPr>
          <w:rtl/>
        </w:rPr>
        <w:t xml:space="preserve"> </w:t>
      </w:r>
      <w:r w:rsidRPr="00145AFB" w:rsidR="00F775D4">
        <w:rPr>
          <w:rFonts w:hint="cs"/>
          <w:rtl/>
        </w:rPr>
        <w:t>התחבורה</w:t>
      </w:r>
      <w:r w:rsidRPr="00145AFB" w:rsidR="00F775D4">
        <w:rPr>
          <w:rtl/>
        </w:rPr>
        <w:t>) הוא חלקי. כן נמצא כי לא קיימת תבנית לצורך פרסום מכרזים בתחום הסייבר לשימוש הגופים במגזר</w:t>
      </w:r>
      <w:r>
        <w:rPr>
          <w:rFonts w:hint="cs"/>
          <w:rtl/>
        </w:rPr>
        <w:t>.</w:t>
      </w:r>
    </w:p>
    <w:p w:rsidR="00420374" w:rsidP="004633B8" w14:paraId="39D5E97C" w14:textId="4C8EF815">
      <w:pPr>
        <w:pStyle w:val="7392"/>
        <w:ind w:left="424"/>
        <w:rPr>
          <w:rtl/>
        </w:rPr>
      </w:pPr>
      <w:r w:rsidRPr="00F775D4">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 xml:space="preserve">הנחיית </w:t>
      </w:r>
      <w:r w:rsidRPr="00F775D4" w:rsidR="00F775D4">
        <w:rPr>
          <w:rFonts w:hint="cs"/>
          <w:b/>
          <w:bCs/>
          <w:rtl/>
        </w:rPr>
        <w:t xml:space="preserve">מערכות </w:t>
      </w:r>
      <w:r w:rsidR="002750B3">
        <w:rPr>
          <w:rFonts w:hint="cs"/>
          <w:b/>
          <w:bCs/>
          <w:rtl/>
        </w:rPr>
        <w:t>בתחום</w:t>
      </w:r>
      <w:r w:rsidRPr="00F775D4" w:rsidR="00F775D4">
        <w:rPr>
          <w:rFonts w:hint="cs"/>
          <w:b/>
          <w:bCs/>
          <w:rtl/>
        </w:rPr>
        <w:t xml:space="preserve"> </w:t>
      </w:r>
      <w:r w:rsidR="002750B3">
        <w:rPr>
          <w:rFonts w:hint="cs"/>
          <w:b/>
          <w:bCs/>
          <w:rtl/>
        </w:rPr>
        <w:t>ה</w:t>
      </w:r>
      <w:r w:rsidRPr="00F775D4" w:rsidR="00F775D4">
        <w:rPr>
          <w:rFonts w:hint="cs"/>
          <w:b/>
          <w:bCs/>
          <w:rtl/>
        </w:rPr>
        <w:t>תחבורה</w:t>
      </w:r>
      <w:r w:rsidRPr="00145AFB" w:rsidR="00F775D4">
        <w:rPr>
          <w:rFonts w:hint="cs"/>
          <w:rtl/>
        </w:rPr>
        <w:t xml:space="preserve"> </w:t>
      </w:r>
      <w:r w:rsidRPr="00145AFB" w:rsidR="00F775D4">
        <w:rPr>
          <w:rtl/>
        </w:rPr>
        <w:t xml:space="preserve">- </w:t>
      </w:r>
      <w:r w:rsidRPr="00145AFB" w:rsidR="00F775D4">
        <w:rPr>
          <w:rFonts w:hint="cs"/>
          <w:rtl/>
        </w:rPr>
        <w:t xml:space="preserve">מערכת תחבורה </w:t>
      </w:r>
      <w:r w:rsidRPr="00145AFB" w:rsidR="00F775D4">
        <w:rPr>
          <w:rtl/>
        </w:rPr>
        <w:t>עירוני</w:t>
      </w:r>
      <w:r w:rsidRPr="00145AFB" w:rsidR="00F775D4">
        <w:rPr>
          <w:rFonts w:hint="cs"/>
          <w:rtl/>
        </w:rPr>
        <w:t>ת</w:t>
      </w:r>
      <w:r w:rsidRPr="00145AFB" w:rsidR="00F775D4">
        <w:rPr>
          <w:rtl/>
        </w:rPr>
        <w:t xml:space="preserve"> אחראי</w:t>
      </w:r>
      <w:r w:rsidRPr="00145AFB" w:rsidR="00F775D4">
        <w:rPr>
          <w:rFonts w:hint="cs"/>
          <w:rtl/>
        </w:rPr>
        <w:t>ת</w:t>
      </w:r>
      <w:r w:rsidRPr="00145AFB" w:rsidR="00F775D4">
        <w:rPr>
          <w:rtl/>
        </w:rPr>
        <w:t xml:space="preserve"> על </w:t>
      </w:r>
      <w:r w:rsidRPr="00145AFB" w:rsidR="00F775D4">
        <w:rPr>
          <w:rFonts w:hint="cs"/>
          <w:rtl/>
        </w:rPr>
        <w:t>התחבורה בתחום השיפוט של העיר שבה היא פועלת</w:t>
      </w:r>
      <w:r w:rsidRPr="00145AFB" w:rsidR="00F775D4">
        <w:rPr>
          <w:rtl/>
        </w:rPr>
        <w:t>. בסקר שערך משרד מבקר המדינה בעשר עיריות ו</w:t>
      </w:r>
      <w:r w:rsidRPr="00145AFB" w:rsidR="00F775D4">
        <w:rPr>
          <w:rFonts w:hint="eastAsia"/>
          <w:rtl/>
        </w:rPr>
        <w:t>ב</w:t>
      </w:r>
      <w:r w:rsidRPr="00145AFB" w:rsidR="00F775D4">
        <w:rPr>
          <w:rtl/>
        </w:rPr>
        <w:t xml:space="preserve">שתי חברות עלו פערים מהותיים בין מצב הגנת הסייבר של </w:t>
      </w:r>
      <w:r w:rsidR="00436383">
        <w:rPr>
          <w:rFonts w:hint="cs"/>
          <w:rtl/>
        </w:rPr>
        <w:t>המערכות</w:t>
      </w:r>
      <w:r w:rsidRPr="00145AFB" w:rsidR="00F775D4">
        <w:rPr>
          <w:rtl/>
        </w:rPr>
        <w:t xml:space="preserve"> לבין דרישות הסייבר של משרד התחבורה. כן עלה כי כל </w:t>
      </w:r>
      <w:r w:rsidR="00436383">
        <w:rPr>
          <w:rFonts w:hint="cs"/>
          <w:rtl/>
        </w:rPr>
        <w:t>ה</w:t>
      </w:r>
      <w:r w:rsidRPr="00145AFB" w:rsidR="00F775D4">
        <w:rPr>
          <w:rFonts w:hint="cs"/>
          <w:rtl/>
        </w:rPr>
        <w:t xml:space="preserve">מערכות </w:t>
      </w:r>
      <w:r w:rsidR="002750B3">
        <w:rPr>
          <w:rFonts w:hint="cs"/>
          <w:rtl/>
        </w:rPr>
        <w:t>בתחום</w:t>
      </w:r>
      <w:r w:rsidRPr="00145AFB" w:rsidR="00F775D4">
        <w:rPr>
          <w:rFonts w:hint="cs"/>
          <w:rtl/>
        </w:rPr>
        <w:t xml:space="preserve"> התחבורה </w:t>
      </w:r>
      <w:r w:rsidRPr="00145AFB" w:rsidR="00F775D4">
        <w:rPr>
          <w:rtl/>
        </w:rPr>
        <w:t xml:space="preserve">(למעט </w:t>
      </w:r>
      <w:r w:rsidRPr="00145AFB" w:rsidR="00F775D4">
        <w:rPr>
          <w:rFonts w:hint="cs"/>
          <w:rtl/>
        </w:rPr>
        <w:t xml:space="preserve">המערכות </w:t>
      </w:r>
      <w:r w:rsidRPr="00145AFB" w:rsidR="00F775D4">
        <w:rPr>
          <w:rtl/>
        </w:rPr>
        <w:t>המופעל</w:t>
      </w:r>
      <w:r w:rsidRPr="00145AFB" w:rsidR="00F775D4">
        <w:rPr>
          <w:rFonts w:hint="cs"/>
          <w:rtl/>
        </w:rPr>
        <w:t xml:space="preserve">ות </w:t>
      </w:r>
      <w:r w:rsidRPr="00145AFB" w:rsidR="00F775D4">
        <w:rPr>
          <w:rtl/>
        </w:rPr>
        <w:t xml:space="preserve">על ידי </w:t>
      </w:r>
      <w:r w:rsidRPr="00145AFB" w:rsidR="00F775D4">
        <w:rPr>
          <w:rFonts w:hint="cs"/>
          <w:rtl/>
        </w:rPr>
        <w:t>חברות התשתית ועירייה א'</w:t>
      </w:r>
      <w:r w:rsidRPr="00145AFB" w:rsidR="00F775D4">
        <w:rPr>
          <w:rtl/>
        </w:rPr>
        <w:t>) אינ</w:t>
      </w:r>
      <w:r w:rsidRPr="00145AFB" w:rsidR="00F775D4">
        <w:rPr>
          <w:rFonts w:hint="cs"/>
          <w:rtl/>
        </w:rPr>
        <w:t>ן</w:t>
      </w:r>
      <w:r w:rsidRPr="00145AFB" w:rsidR="00F775D4">
        <w:rPr>
          <w:rtl/>
        </w:rPr>
        <w:t xml:space="preserve"> מונח</w:t>
      </w:r>
      <w:r w:rsidRPr="00145AFB" w:rsidR="00F775D4">
        <w:rPr>
          <w:rFonts w:hint="cs"/>
          <w:rtl/>
        </w:rPr>
        <w:t>ות</w:t>
      </w:r>
      <w:r w:rsidRPr="00145AFB" w:rsidR="00F775D4">
        <w:rPr>
          <w:rtl/>
        </w:rPr>
        <w:t xml:space="preserve"> על ידי משרד הפנים או משרד התחבורה, אף שיש כאלו שפגיעה </w:t>
      </w:r>
      <w:r w:rsidRPr="00145AFB" w:rsidR="00F775D4">
        <w:rPr>
          <w:rFonts w:hint="cs"/>
          <w:rtl/>
        </w:rPr>
        <w:t>בהן</w:t>
      </w:r>
      <w:r w:rsidRPr="00145AFB" w:rsidR="00F775D4">
        <w:rPr>
          <w:rtl/>
        </w:rPr>
        <w:t xml:space="preserve"> עשויה לגרום לפגיעה כלכלית ניכרת ואף לפגיעה בחיי אדם</w:t>
      </w:r>
      <w:r w:rsidR="000E336A">
        <w:rPr>
          <w:rFonts w:hint="cs"/>
          <w:rtl/>
        </w:rPr>
        <w:t>.</w:t>
      </w:r>
      <w:r w:rsidRPr="0093709F">
        <w:rPr>
          <w:rFonts w:hint="cs"/>
          <w:rtl/>
        </w:rPr>
        <w:t xml:space="preserve"> </w:t>
      </w:r>
    </w:p>
    <w:p w:rsidR="00864200" w:rsidP="00864200" w14:paraId="1E06D9DE" w14:textId="0B1D353F">
      <w:pPr>
        <w:pStyle w:val="7392"/>
        <w:ind w:left="424"/>
        <w:rPr>
          <w:noProof/>
          <w:rtl/>
        </w:rPr>
      </w:pPr>
      <w:r w:rsidRPr="00F775D4">
        <w:rPr>
          <w:rFonts w:hint="cs"/>
          <w:b/>
          <w:bCs/>
          <w:noProof/>
          <w:rtl/>
        </w:rPr>
        <w:drawing>
          <wp:anchor distT="0" distB="1800225" distL="114300" distR="114300" simplePos="0" relativeHeight="25169817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 xml:space="preserve">מבדקי חדירה וסקרי סיכונים </w:t>
      </w:r>
      <w:r w:rsidR="007E4EE0">
        <w:rPr>
          <w:rFonts w:hint="cs"/>
          <w:b/>
          <w:bCs/>
          <w:rtl/>
        </w:rPr>
        <w:t xml:space="preserve">על </w:t>
      </w:r>
      <w:r w:rsidRPr="00F775D4" w:rsidR="00F775D4">
        <w:rPr>
          <w:rFonts w:hint="cs"/>
          <w:b/>
          <w:bCs/>
          <w:rtl/>
        </w:rPr>
        <w:t xml:space="preserve">מערכות </w:t>
      </w:r>
      <w:r w:rsidR="002750B3">
        <w:rPr>
          <w:rFonts w:hint="cs"/>
          <w:b/>
          <w:bCs/>
          <w:rtl/>
        </w:rPr>
        <w:t>בתחום</w:t>
      </w:r>
      <w:r w:rsidRPr="00F775D4" w:rsidR="00F775D4">
        <w:rPr>
          <w:rFonts w:hint="cs"/>
          <w:b/>
          <w:bCs/>
          <w:rtl/>
        </w:rPr>
        <w:t xml:space="preserve"> התחבורה</w:t>
      </w:r>
      <w:r w:rsidRPr="00145AFB" w:rsidR="00F775D4">
        <w:rPr>
          <w:rFonts w:hint="cs"/>
          <w:rtl/>
        </w:rPr>
        <w:t xml:space="preserve"> </w:t>
      </w:r>
      <w:r w:rsidRPr="00145AFB" w:rsidR="00F775D4">
        <w:rPr>
          <w:rtl/>
        </w:rPr>
        <w:t>- מתוצאות שאלון בנושא הגנת הסייב</w:t>
      </w:r>
      <w:r w:rsidRPr="00145AFB" w:rsidR="00F775D4">
        <w:rPr>
          <w:rFonts w:hint="cs"/>
          <w:rtl/>
        </w:rPr>
        <w:t xml:space="preserve">ר, </w:t>
      </w:r>
      <w:r w:rsidR="00367948">
        <w:rPr>
          <w:rFonts w:hint="cs"/>
          <w:rtl/>
        </w:rPr>
        <w:t>ש</w:t>
      </w:r>
      <w:r w:rsidRPr="007E4EE0" w:rsidR="007E4EE0">
        <w:rPr>
          <w:rtl/>
        </w:rPr>
        <w:t xml:space="preserve">הועבר לגופים המחזיקים מערכות בתחום התחבורה העירונית </w:t>
      </w:r>
      <w:r w:rsidR="007E4EE0">
        <w:rPr>
          <w:rtl/>
        </w:rPr>
        <w:br/>
      </w:r>
      <w:r w:rsidRPr="007E4EE0" w:rsidR="007E4EE0">
        <w:rPr>
          <w:rtl/>
        </w:rPr>
        <w:t>והבין עירונית</w:t>
      </w:r>
      <w:r w:rsidRPr="00145AFB" w:rsidR="00F775D4">
        <w:rPr>
          <w:rtl/>
        </w:rPr>
        <w:t>, עלה כי בשנים 2019 - 2021 אף אחד מהגופים שנבדקו לא ביצע מבדקי חדירה, וכי 75% מהגופים שנבדקו לא ביצעו סקרי סיכונים</w:t>
      </w:r>
      <w:r>
        <w:rPr>
          <w:rFonts w:hint="cs"/>
          <w:rtl/>
        </w:rPr>
        <w:t>.</w:t>
      </w:r>
    </w:p>
    <w:p w:rsidR="00864200" w:rsidP="00864200" w14:paraId="6A610BEE" w14:textId="001B3006">
      <w:pPr>
        <w:pStyle w:val="7392"/>
        <w:ind w:left="424"/>
        <w:rPr>
          <w:rtl/>
        </w:rPr>
      </w:pPr>
      <w:r w:rsidRPr="00F775D4">
        <w:rPr>
          <w:rFonts w:hint="cs"/>
          <w:b/>
          <w:bCs/>
          <w:noProof/>
          <w:rtl/>
        </w:rPr>
        <w:drawing>
          <wp:anchor distT="0" distB="720090" distL="114300" distR="114300" simplePos="0" relativeHeight="251699200"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התאוששות עסקית, סביבת בדיקות וניטור</w:t>
      </w:r>
      <w:r w:rsidRPr="00145AFB" w:rsidR="00F775D4">
        <w:rPr>
          <w:rtl/>
        </w:rPr>
        <w:t xml:space="preserve"> - מתוצאות שאלון בנושא הגנת הסייבר על </w:t>
      </w:r>
      <w:r w:rsidRPr="00145AFB" w:rsidR="00F775D4">
        <w:rPr>
          <w:rFonts w:hint="cs"/>
          <w:rtl/>
        </w:rPr>
        <w:t xml:space="preserve">מערכות </w:t>
      </w:r>
      <w:r w:rsidR="002750B3">
        <w:rPr>
          <w:rFonts w:hint="cs"/>
          <w:rtl/>
        </w:rPr>
        <w:t>בתחום ה</w:t>
      </w:r>
      <w:r w:rsidRPr="00145AFB" w:rsidR="00F775D4">
        <w:rPr>
          <w:rFonts w:hint="cs"/>
          <w:rtl/>
        </w:rPr>
        <w:t>תחבורה</w:t>
      </w:r>
      <w:r w:rsidRPr="00145AFB" w:rsidR="00F775D4">
        <w:rPr>
          <w:rtl/>
        </w:rPr>
        <w:t xml:space="preserve"> עלה כי בשנים 2019 - 2021 ב</w:t>
      </w:r>
      <w:r w:rsidRPr="00145AFB" w:rsidR="00F775D4">
        <w:rPr>
          <w:rFonts w:hint="cs"/>
          <w:rtl/>
        </w:rPr>
        <w:t xml:space="preserve">חלק </w:t>
      </w:r>
      <w:r w:rsidRPr="00145AFB" w:rsidR="00F775D4">
        <w:rPr>
          <w:rtl/>
        </w:rPr>
        <w:t>מהגופים שנבדקו לא קיימת תוכנית להתאוששות עסקית להתמודדות עם אירועי אסון ובהם אירועי סייבר. כן נמצא כי ב</w:t>
      </w:r>
      <w:r w:rsidRPr="00145AFB" w:rsidR="00F775D4">
        <w:rPr>
          <w:rFonts w:hint="cs"/>
          <w:rtl/>
        </w:rPr>
        <w:t xml:space="preserve">חלק גדול </w:t>
      </w:r>
      <w:r w:rsidRPr="00145AFB" w:rsidR="00F775D4">
        <w:rPr>
          <w:rtl/>
        </w:rPr>
        <w:t>מהגופים שנבדקו אין סביבת בדיקות שבה נבדקים עדכוני תוכנה ואבטחה קודם התקנתם.</w:t>
      </w:r>
      <w:r w:rsidRPr="00145AFB" w:rsidR="00F775D4">
        <w:rPr>
          <w:rFonts w:hint="cs"/>
          <w:rtl/>
        </w:rPr>
        <w:t xml:space="preserve"> כן </w:t>
      </w:r>
      <w:r w:rsidRPr="00145AFB" w:rsidR="00F775D4">
        <w:rPr>
          <w:rtl/>
        </w:rPr>
        <w:t>נמצא כי ב</w:t>
      </w:r>
      <w:r w:rsidRPr="00145AFB" w:rsidR="00F775D4">
        <w:rPr>
          <w:rFonts w:hint="cs"/>
          <w:rtl/>
        </w:rPr>
        <w:t>חלק גדול</w:t>
      </w:r>
      <w:r w:rsidRPr="00145AFB" w:rsidR="00F775D4">
        <w:rPr>
          <w:rtl/>
        </w:rPr>
        <w:t xml:space="preserve"> </w:t>
      </w:r>
      <w:r w:rsidRPr="00145AFB" w:rsidR="00F775D4">
        <w:rPr>
          <w:rFonts w:hint="cs"/>
          <w:rtl/>
        </w:rPr>
        <w:t>מ</w:t>
      </w:r>
      <w:r w:rsidRPr="00145AFB" w:rsidR="00F775D4">
        <w:rPr>
          <w:rtl/>
        </w:rPr>
        <w:t>הגופים שנבדקו אין</w:t>
      </w:r>
      <w:r w:rsidRPr="00145AFB" w:rsidR="00F775D4">
        <w:rPr>
          <w:rFonts w:hint="cs"/>
          <w:rtl/>
        </w:rPr>
        <w:t xml:space="preserve"> חיבור למערכת בקרה מסוימת</w:t>
      </w:r>
      <w:r>
        <w:rPr>
          <w:rFonts w:hint="cs"/>
          <w:rtl/>
        </w:rPr>
        <w:t>.</w:t>
      </w:r>
      <w:r w:rsidRPr="0093709F">
        <w:rPr>
          <w:rFonts w:hint="cs"/>
          <w:rtl/>
        </w:rPr>
        <w:t xml:space="preserve"> </w:t>
      </w:r>
    </w:p>
    <w:p w:rsidR="00864200" w:rsidP="00864200" w14:paraId="2A8FC51D" w14:textId="7BDAECEC">
      <w:pPr>
        <w:pStyle w:val="7392"/>
        <w:ind w:left="424"/>
        <w:rPr>
          <w:noProof/>
          <w:rtl/>
        </w:rPr>
      </w:pPr>
      <w:r w:rsidRPr="00F775D4">
        <w:rPr>
          <w:rFonts w:hint="cs"/>
          <w:noProof/>
          <w:rtl/>
        </w:rPr>
        <w:drawing>
          <wp:anchor distT="0" distB="0" distL="114300" distR="114300" simplePos="0" relativeHeight="251682816" behindDoc="0" locked="0" layoutInCell="1" allowOverlap="1">
            <wp:simplePos x="0" y="0"/>
            <wp:positionH relativeFrom="column">
              <wp:posOffset>2431415</wp:posOffset>
            </wp:positionH>
            <wp:positionV relativeFrom="paragraph">
              <wp:posOffset>1004993</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r w:rsidRPr="00F775D4">
        <w:rPr>
          <w:rFonts w:hint="cs"/>
          <w:b/>
          <w:bCs/>
          <w:noProof/>
          <w:rtl/>
        </w:rPr>
        <w:drawing>
          <wp:anchor distT="0" distB="720090" distL="114300" distR="114300" simplePos="0" relativeHeight="251700224"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775D4" w:rsidR="00F775D4">
        <w:rPr>
          <w:b/>
          <w:bCs/>
          <w:rtl/>
        </w:rPr>
        <w:t xml:space="preserve">מבדק חדירה </w:t>
      </w:r>
      <w:r w:rsidRPr="00F775D4" w:rsidR="00F775D4">
        <w:rPr>
          <w:rFonts w:hint="cs"/>
          <w:b/>
          <w:bCs/>
          <w:rtl/>
        </w:rPr>
        <w:t xml:space="preserve">במערכות </w:t>
      </w:r>
      <w:r w:rsidR="002750B3">
        <w:rPr>
          <w:rFonts w:hint="cs"/>
          <w:b/>
          <w:bCs/>
          <w:rtl/>
        </w:rPr>
        <w:t>בתחום</w:t>
      </w:r>
      <w:r w:rsidRPr="00F775D4" w:rsidR="00F775D4">
        <w:rPr>
          <w:rFonts w:hint="cs"/>
          <w:b/>
          <w:bCs/>
          <w:rtl/>
        </w:rPr>
        <w:t xml:space="preserve"> התחבורה בעירייה א'</w:t>
      </w:r>
      <w:r w:rsidRPr="00145AFB" w:rsidR="00F775D4">
        <w:rPr>
          <w:rFonts w:hint="cs"/>
          <w:rtl/>
        </w:rPr>
        <w:t xml:space="preserve"> </w:t>
      </w:r>
      <w:r w:rsidRPr="00145AFB" w:rsidR="00F775D4">
        <w:rPr>
          <w:rtl/>
        </w:rPr>
        <w:t xml:space="preserve">- במסגרת מבדק החדירה שבוצע כחלק מהביקורת, </w:t>
      </w:r>
      <w:r w:rsidRPr="00145AFB" w:rsidR="00F775D4">
        <w:rPr>
          <w:rFonts w:hint="cs"/>
          <w:rtl/>
        </w:rPr>
        <w:t xml:space="preserve">נבדקו כל הנושאים האלה ובחלקם נמצאו ליקויים: </w:t>
      </w:r>
      <w:r w:rsidRPr="00145AFB" w:rsidR="00F775D4">
        <w:rPr>
          <w:rtl/>
        </w:rPr>
        <w:t xml:space="preserve">ניהול משתמשים והרשאות; תיעוד וניטור; בקרת גישה לרשת; הגנת עמדות ושרתים; סגמנטציה ובקרת זרימה; </w:t>
      </w:r>
      <w:r w:rsidRPr="00145AFB" w:rsidR="00F775D4">
        <w:rPr>
          <w:rFonts w:hint="cs"/>
          <w:rtl/>
        </w:rPr>
        <w:t>עדכניות התוכנה</w:t>
      </w:r>
      <w:r w:rsidRPr="00145AFB" w:rsidR="00F775D4">
        <w:rPr>
          <w:rtl/>
        </w:rPr>
        <w:t xml:space="preserve"> </w:t>
      </w:r>
      <w:r w:rsidRPr="00145AFB" w:rsidR="00F775D4">
        <w:rPr>
          <w:rFonts w:hint="cs"/>
          <w:rtl/>
        </w:rPr>
        <w:t>ואבטחת הגישה</w:t>
      </w:r>
      <w:r w:rsidRPr="00145AFB" w:rsidR="00F775D4">
        <w:rPr>
          <w:rtl/>
        </w:rPr>
        <w:t xml:space="preserve"> לרשת התקשורת</w:t>
      </w:r>
      <w:r>
        <w:rPr>
          <w:rFonts w:hint="cs"/>
          <w:rtl/>
        </w:rPr>
        <w:t>.</w:t>
      </w:r>
    </w:p>
    <w:p w:rsidR="00420374" w:rsidRPr="00F775D4" w:rsidP="00F775D4" w14:paraId="5E6B04AD" w14:textId="08517801">
      <w:pPr>
        <w:pStyle w:val="7392"/>
        <w:spacing w:before="360"/>
        <w:rPr>
          <w:rtl/>
        </w:rPr>
      </w:pPr>
      <w:r w:rsidRPr="00145AFB">
        <w:rPr>
          <w:rtl/>
        </w:rPr>
        <w:t xml:space="preserve">משרד מבקר המדינה מציין לחיוב את שיתוף הפעולה מצד </w:t>
      </w:r>
      <w:r w:rsidRPr="00145AFB">
        <w:rPr>
          <w:rFonts w:hint="cs"/>
          <w:rtl/>
        </w:rPr>
        <w:t>עירייה א'</w:t>
      </w:r>
      <w:r w:rsidRPr="00145AFB">
        <w:rPr>
          <w:rtl/>
        </w:rPr>
        <w:t xml:space="preserve"> בכל שלבי מבדק החדירה: החל בתכנונו, דרך ביצועו, תהליך הצגת הממצאים, הנכונות לשפר את התהליכים הקיימים, וכלה בטיפול בחלק מהליקויים שנמצאו בזמן קצר ביותר</w:t>
      </w:r>
      <w:r w:rsidRPr="00F775D4">
        <w:rPr>
          <w:rtl/>
        </w:rPr>
        <w:t>.</w:t>
      </w:r>
    </w:p>
    <w:p w:rsidR="00C14AC2" w:rsidP="00F775D4" w14:paraId="205415C2" w14:textId="081B237E">
      <w:pPr>
        <w:pStyle w:val="7392"/>
        <w:ind w:left="-1"/>
        <w:rPr>
          <w:rtl/>
        </w:rPr>
      </w:pPr>
      <w:r w:rsidRPr="00145AFB">
        <w:rPr>
          <w:rtl/>
        </w:rPr>
        <w:t xml:space="preserve">משרד מבקר המדינה מציין לחיוב את הפעילות </w:t>
      </w:r>
      <w:r w:rsidRPr="00145AFB">
        <w:rPr>
          <w:rFonts w:hint="cs"/>
          <w:rtl/>
        </w:rPr>
        <w:t>שביצע משרד התחבורה</w:t>
      </w:r>
      <w:r w:rsidRPr="00145AFB">
        <w:rPr>
          <w:rtl/>
        </w:rPr>
        <w:t xml:space="preserve"> בתחום הרכב האוטונומי, לרבות תיקון החוק, פרסום הנוהל והקמת מרכז הניסויים</w:t>
      </w:r>
      <w:r w:rsidRPr="00145AFB">
        <w:rPr>
          <w:rFonts w:hint="cs"/>
          <w:rtl/>
        </w:rPr>
        <w:t xml:space="preserve"> בבאר שבע</w:t>
      </w:r>
      <w:r w:rsidRPr="00145AFB">
        <w:rPr>
          <w:rtl/>
        </w:rPr>
        <w:t>. עם זאת, משרד התחבורה טרם החל בביצוע ביקורות בתחום זה.</w:t>
      </w:r>
      <w:r w:rsidRPr="00145AFB">
        <w:rPr>
          <w:rFonts w:hint="cs"/>
          <w:rtl/>
        </w:rPr>
        <w:t xml:space="preserve"> </w:t>
      </w:r>
      <w:r w:rsidRPr="00145AFB">
        <w:rPr>
          <w:rtl/>
        </w:rPr>
        <w:t xml:space="preserve">במהלך הביקורת חל שיפור בכמה תחומים שבהם פועל אגף הסייבר במשרד התחבורה, ובהם הקמת </w:t>
      </w:r>
      <w:r w:rsidRPr="00145AFB">
        <w:t>SOC</w:t>
      </w:r>
      <w:r w:rsidRPr="00145AFB">
        <w:rPr>
          <w:rtl/>
        </w:rPr>
        <w:t xml:space="preserve"> מגזרי, פרסום מדיניות וביצוע ביקורות בחלק מהגופים המונחים לבחינת עמידת הגופים בה</w:t>
      </w:r>
      <w:r>
        <w:rPr>
          <w:rFonts w:hint="cs"/>
          <w:rtl/>
        </w:rPr>
        <w:t>.</w:t>
      </w:r>
    </w:p>
    <w:p w:rsidR="002753C7" w:rsidRPr="00662020" w:rsidP="002B5D24" w14:paraId="7C748CCB" w14:textId="258E8C3B">
      <w:pPr>
        <w:pStyle w:val="7327"/>
        <w:spacing w:before="480" w:after="360"/>
        <w:rPr>
          <w:rtl/>
        </w:rPr>
      </w:pPr>
      <w:r w:rsidRPr="00662020">
        <w:rPr>
          <w:rFonts w:hint="cs"/>
          <w:rtl/>
        </w:rPr>
        <w:t>עיקרי המלצות הביקורת</w:t>
      </w:r>
    </w:p>
    <w:p w:rsidR="0093709F" w:rsidRPr="000952AB" w:rsidP="000952AB" w14:paraId="0466320B" w14:textId="7FEFF5CE">
      <w:pPr>
        <w:pStyle w:val="7317"/>
      </w:pPr>
      <w:r w:rsidRPr="000952AB">
        <w:rPr>
          <w:rFonts w:hint="cs"/>
          <w:noProof/>
          <w:rtl/>
        </w:rPr>
        <w:drawing>
          <wp:anchor distT="0" distB="1440180" distL="107950" distR="114300" simplePos="0" relativeHeight="251694080" behindDoc="1" locked="0" layoutInCell="1" allowOverlap="1">
            <wp:simplePos x="0" y="0"/>
            <wp:positionH relativeFrom="column">
              <wp:posOffset>4546600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 xml:space="preserve">על מערך הסייבר להשלים את התהליך הנדרש לצורך חקיקת חוק הסייבר. נושא זה רלוונטי לכלל המגזרים, לכן מוצע כי מערך הסייבר יפעל יחד עם הצוות הבין-משרדי להשלמת בחינת </w:t>
      </w:r>
      <w:r w:rsidRPr="000952AB" w:rsidR="00F775D4">
        <w:rPr>
          <w:rtl/>
        </w:rPr>
        <w:t>אסדרת</w:t>
      </w:r>
      <w:r w:rsidRPr="000952AB" w:rsidR="00F775D4">
        <w:rPr>
          <w:rtl/>
        </w:rPr>
        <w:t xml:space="preserve"> תחום הסייבר וידון גם בצורך בהכנסת אסדרה רוחבית שתיתן מענה לכלל המגזרים בתחום הסייבר</w:t>
      </w:r>
      <w:r w:rsidRPr="000952AB" w:rsidR="005D0F8C">
        <w:rPr>
          <w:rFonts w:hint="cs"/>
          <w:rtl/>
        </w:rPr>
        <w:t xml:space="preserve">. </w:t>
      </w:r>
    </w:p>
    <w:p w:rsidR="005D0F8C" w:rsidRPr="000952AB" w:rsidP="000952AB" w14:paraId="6C626C68" w14:textId="3D27ACD4">
      <w:pPr>
        <w:pStyle w:val="7317"/>
      </w:pPr>
      <w:r w:rsidRPr="000952AB">
        <w:rPr>
          <w:rFonts w:hint="cs"/>
          <w:noProof/>
          <w:rtl/>
        </w:rPr>
        <w:drawing>
          <wp:anchor distT="0" distB="1440180" distL="107950" distR="114300" simplePos="0" relativeHeight="251695104" behindDoc="1" locked="0" layoutInCell="1" allowOverlap="1">
            <wp:simplePos x="0" y="0"/>
            <wp:positionH relativeFrom="column">
              <wp:posOffset>4552315</wp:posOffset>
            </wp:positionH>
            <wp:positionV relativeFrom="paragraph">
              <wp:posOffset>38735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מומלץ כי משרד התחבורה ייזום תיקון לחוקים ולתקנות ויגדיר סדר עדיפות להתחלת הפעילות בתחום תוך מתן עדיפות לתחומים שבהם מוקמים פרויקטים חדשים רחבי היקף ותחומים שבהם יש סיכוני סייבר רבים ומצב ההגנה הנוכחי של הגופים אינו מספק להם מענה הולם. כמו כן מוצע כי משרד התחבורה יבחן את האפשרות לעדכן את הזיכיונות, הרישיונות וההתקשרויות הקיימות ולהוסיף להן דרישות מתחום הגנת הסייבר, בפרט לאלו שמסתיימות בקרוב</w:t>
      </w:r>
      <w:r w:rsidRPr="000952AB">
        <w:rPr>
          <w:rtl/>
        </w:rPr>
        <w:t xml:space="preserve">. </w:t>
      </w:r>
    </w:p>
    <w:p w:rsidR="005D0F8C" w:rsidRPr="000952AB" w:rsidP="000952AB" w14:paraId="16E5BFEE" w14:textId="0F675445">
      <w:pPr>
        <w:pStyle w:val="7317"/>
        <w:rPr>
          <w:rtl/>
        </w:rPr>
      </w:pPr>
      <w:r w:rsidRPr="000952AB">
        <w:rPr>
          <w:rFonts w:hint="cs"/>
          <w:noProof/>
          <w:rtl/>
        </w:rPr>
        <w:drawing>
          <wp:anchor distT="0" distB="1440180" distL="107950" distR="114300" simplePos="0" relativeHeight="251696128" behindDoc="1" locked="0" layoutInCell="1" allowOverlap="1">
            <wp:simplePos x="0" y="0"/>
            <wp:positionH relativeFrom="column">
              <wp:posOffset>4549140</wp:posOffset>
            </wp:positionH>
            <wp:positionV relativeFrom="paragraph">
              <wp:posOffset>15875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מומלץ כי משרד התחבורה, בשיתוף מערך הסייבר והרשות להגנת הפרטיות, יבחן כיצד ניתן להעביר את המידע הרלוונטי ביניהם, לצורך הפקת לקחים מאירועים, נקיטת פעולות להעלאת החוסן של הגופים במגזר וטיוב ההנחיות</w:t>
      </w:r>
      <w:r w:rsidRPr="000952AB">
        <w:rPr>
          <w:rFonts w:hint="cs"/>
          <w:rtl/>
        </w:rPr>
        <w:t>.</w:t>
      </w:r>
    </w:p>
    <w:p w:rsidR="00706096" w:rsidRPr="000952AB" w:rsidP="000952AB" w14:paraId="3F6A2BE4" w14:textId="02C0094E">
      <w:pPr>
        <w:pStyle w:val="7317"/>
        <w:rPr>
          <w:rtl/>
        </w:rPr>
      </w:pPr>
      <w:r w:rsidRPr="000952AB">
        <w:rPr>
          <w:rFonts w:hint="cs"/>
          <w:noProof/>
          <w:rtl/>
        </w:rPr>
        <w:drawing>
          <wp:anchor distT="0" distB="1440180" distL="107950" distR="114300" simplePos="0" relativeHeight="251697152" behindDoc="1" locked="0" layoutInCell="1" allowOverlap="1">
            <wp:simplePos x="0" y="0"/>
            <wp:positionH relativeFrom="column">
              <wp:posOffset>4557395</wp:posOffset>
            </wp:positionH>
            <wp:positionV relativeFrom="paragraph">
              <wp:posOffset>25400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 xml:space="preserve">מומלץ כי משרד התחבורה יבחן את האפשרויות העומדות לפניו להפעלת </w:t>
      </w:r>
      <w:r w:rsidRPr="000952AB" w:rsidR="00F775D4">
        <w:t>SOC</w:t>
      </w:r>
      <w:r w:rsidRPr="000952AB" w:rsidR="00F775D4">
        <w:rPr>
          <w:rtl/>
        </w:rPr>
        <w:t xml:space="preserve"> בצורה קבועה. עוד מומלץ למשרד התחבורה לבחון כיצד </w:t>
      </w:r>
      <w:r w:rsidRPr="000952AB" w:rsidR="00F775D4">
        <w:rPr>
          <w:rtl/>
        </w:rPr>
        <w:t>לנטר</w:t>
      </w:r>
      <w:r w:rsidRPr="000952AB" w:rsidR="00F775D4">
        <w:rPr>
          <w:rtl/>
        </w:rPr>
        <w:t xml:space="preserve"> בצורה אפקטיבית גופים גדולים. נוכח העובדה שייקח זמן לחבר את כל הגופים ל-</w:t>
      </w:r>
      <w:r w:rsidRPr="000952AB" w:rsidR="00F775D4">
        <w:t>SOC</w:t>
      </w:r>
      <w:r w:rsidRPr="000952AB" w:rsidR="00F775D4">
        <w:rPr>
          <w:rtl/>
        </w:rPr>
        <w:t xml:space="preserve">, מוצע למשרד התחבורה </w:t>
      </w:r>
      <w:r w:rsidRPr="000952AB" w:rsidR="00F775D4">
        <w:rPr>
          <w:rtl/>
        </w:rPr>
        <w:t>לתעדף</w:t>
      </w:r>
      <w:r w:rsidRPr="000952AB" w:rsidR="00F775D4">
        <w:rPr>
          <w:rtl/>
        </w:rPr>
        <w:t xml:space="preserve"> את הטיפול בגופים שאינם מנוטרים כלל</w:t>
      </w:r>
      <w:r w:rsidRPr="000952AB">
        <w:rPr>
          <w:rFonts w:hint="cs"/>
          <w:rtl/>
        </w:rPr>
        <w:t>.</w:t>
      </w:r>
    </w:p>
    <w:p w:rsidR="00670C7D" w:rsidRPr="000952AB" w:rsidP="000952AB" w14:paraId="3736116A" w14:textId="03005E7E">
      <w:pPr>
        <w:pStyle w:val="7317"/>
        <w:rPr>
          <w:rtl/>
        </w:rPr>
      </w:pPr>
      <w:r w:rsidRPr="000952AB">
        <w:rPr>
          <w:rFonts w:hint="cs"/>
          <w:noProof/>
          <w:rtl/>
        </w:rPr>
        <w:drawing>
          <wp:anchor distT="0" distB="1440180" distL="107950" distR="114300" simplePos="0" relativeHeight="251701248" behindDoc="1" locked="0" layoutInCell="1" allowOverlap="1">
            <wp:simplePos x="0" y="0"/>
            <wp:positionH relativeFrom="column">
              <wp:posOffset>4556125</wp:posOffset>
            </wp:positionH>
            <wp:positionV relativeFrom="paragraph">
              <wp:posOffset>15875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 xml:space="preserve">מומלץ כי מערך הסייבר ואגפי הסייבר המגזריים, ובהם אגף הסייבר במשרד התחבורה, יעלו צרכים משותפים בתחום הסייבר לצורך הכנת תבניות שיוכלו לשמש את כלל הגופים במגזר - בין היתר בתחומים האלו: גיוס יועצים; רכש כלים; רכש שירותי התערבות באירועים; הקמה ותפעול של </w:t>
      </w:r>
      <w:r w:rsidRPr="000952AB" w:rsidR="00F775D4">
        <w:t>SOC</w:t>
      </w:r>
      <w:r w:rsidRPr="000952AB">
        <w:rPr>
          <w:rFonts w:hint="cs"/>
          <w:rtl/>
        </w:rPr>
        <w:t>.</w:t>
      </w:r>
    </w:p>
    <w:p w:rsidR="00C14AC2" w:rsidRPr="000952AB" w:rsidP="000952AB" w14:paraId="45B7FACC" w14:textId="680285D5">
      <w:pPr>
        <w:pStyle w:val="7317"/>
      </w:pPr>
      <w:r w:rsidRPr="000952AB">
        <w:rPr>
          <w:rFonts w:hint="cs"/>
          <w:noProof/>
          <w:rtl/>
        </w:rPr>
        <w:drawing>
          <wp:anchor distT="0" distB="1440180" distL="107950" distR="114300" simplePos="0" relativeHeight="251706368" behindDoc="1" locked="0" layoutInCell="1" allowOverlap="1">
            <wp:simplePos x="0" y="0"/>
            <wp:positionH relativeFrom="column">
              <wp:posOffset>4553585</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 xml:space="preserve">נוכח הממצאים שעלו מהשאלון וממבדק החדירה בנושא הגנת הסייבר </w:t>
      </w:r>
      <w:r w:rsidRPr="000952AB" w:rsidR="00F775D4">
        <w:rPr>
          <w:rFonts w:hint="cs"/>
          <w:rtl/>
        </w:rPr>
        <w:t xml:space="preserve">במערכות </w:t>
      </w:r>
      <w:r w:rsidR="002750B3">
        <w:rPr>
          <w:rFonts w:hint="cs"/>
          <w:rtl/>
        </w:rPr>
        <w:t>בתחום</w:t>
      </w:r>
      <w:r w:rsidRPr="000952AB" w:rsidR="00F775D4">
        <w:rPr>
          <w:rFonts w:hint="cs"/>
          <w:rtl/>
        </w:rPr>
        <w:t xml:space="preserve"> </w:t>
      </w:r>
      <w:r w:rsidR="002750B3">
        <w:rPr>
          <w:rFonts w:hint="cs"/>
          <w:rtl/>
        </w:rPr>
        <w:t>ה</w:t>
      </w:r>
      <w:r w:rsidRPr="000952AB" w:rsidR="00F775D4">
        <w:rPr>
          <w:rFonts w:hint="cs"/>
          <w:rtl/>
        </w:rPr>
        <w:t>תחבורה</w:t>
      </w:r>
      <w:r w:rsidRPr="000952AB" w:rsidR="00F775D4">
        <w:rPr>
          <w:rtl/>
        </w:rPr>
        <w:t xml:space="preserve">, מומלץ כי משרד הפנים ומשרד התחבורה בשיתוף מערך הסייבר יפעלו יחד להסדרת תחומי האחריות ביניהם ולקביעת נהלים מתאימים כך שנושא הגנת הסייבר </w:t>
      </w:r>
      <w:r w:rsidRPr="000952AB" w:rsidR="00F775D4">
        <w:rPr>
          <w:rFonts w:hint="cs"/>
          <w:rtl/>
        </w:rPr>
        <w:t xml:space="preserve">במערכות </w:t>
      </w:r>
      <w:r w:rsidR="002750B3">
        <w:rPr>
          <w:rFonts w:hint="cs"/>
          <w:rtl/>
        </w:rPr>
        <w:t>בתחום</w:t>
      </w:r>
      <w:r w:rsidRPr="000952AB" w:rsidR="00F775D4">
        <w:rPr>
          <w:rFonts w:hint="cs"/>
          <w:rtl/>
        </w:rPr>
        <w:t xml:space="preserve"> </w:t>
      </w:r>
      <w:r w:rsidR="002750B3">
        <w:rPr>
          <w:rFonts w:hint="cs"/>
          <w:rtl/>
        </w:rPr>
        <w:t>ה</w:t>
      </w:r>
      <w:r w:rsidRPr="000952AB" w:rsidR="00F775D4">
        <w:rPr>
          <w:rFonts w:hint="cs"/>
          <w:rtl/>
        </w:rPr>
        <w:t xml:space="preserve">תחבורה </w:t>
      </w:r>
      <w:r w:rsidRPr="000952AB" w:rsidR="00F775D4">
        <w:rPr>
          <w:rtl/>
        </w:rPr>
        <w:t xml:space="preserve">ברשויות המקומיות יקבל את המענה </w:t>
      </w:r>
      <w:r w:rsidRPr="000952AB" w:rsidR="00F775D4">
        <w:rPr>
          <w:rtl/>
        </w:rPr>
        <w:t>האסדרתי</w:t>
      </w:r>
      <w:r w:rsidRPr="000952AB" w:rsidR="00F775D4">
        <w:rPr>
          <w:rtl/>
        </w:rPr>
        <w:t xml:space="preserve"> ההולם. זאת על מנת שגורם מנחה יבצע פיקוח ובקרה על תיקון הליקויים ועל הגנת המערכות מפני תקיפות סייבר</w:t>
      </w:r>
      <w:r w:rsidRPr="000952AB">
        <w:rPr>
          <w:rFonts w:hint="cs"/>
          <w:rtl/>
        </w:rPr>
        <w:t xml:space="preserve">. </w:t>
      </w:r>
    </w:p>
    <w:p w:rsidR="00C14AC2" w:rsidRPr="000952AB" w:rsidP="000952AB" w14:paraId="41FC8614" w14:textId="2A26BBBA">
      <w:pPr>
        <w:pStyle w:val="7317"/>
      </w:pPr>
      <w:r w:rsidRPr="000952AB">
        <w:rPr>
          <w:rFonts w:hint="cs"/>
          <w:noProof/>
          <w:rtl/>
        </w:rPr>
        <w:drawing>
          <wp:anchor distT="0" distB="1440180" distL="107950" distR="114300" simplePos="0" relativeHeight="251707392" behindDoc="1" locked="0" layoutInCell="1" allowOverlap="1">
            <wp:simplePos x="0" y="0"/>
            <wp:positionH relativeFrom="column">
              <wp:posOffset>4553585</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נוכח הממצאים שעלו מהשאלון, על הגופים שנבדקו לקיים הערכת מצב ולקבוע תוכנית עבודה לתיקון הליקויים. מומלץ כי כלל הרשויות שבהן מותקנ</w:t>
      </w:r>
      <w:r w:rsidR="0004229E">
        <w:rPr>
          <w:rFonts w:hint="cs"/>
          <w:rtl/>
        </w:rPr>
        <w:t>ו</w:t>
      </w:r>
      <w:r w:rsidRPr="000952AB" w:rsidR="00F775D4">
        <w:rPr>
          <w:rtl/>
        </w:rPr>
        <w:t>ת מערכ</w:t>
      </w:r>
      <w:r w:rsidR="0004229E">
        <w:rPr>
          <w:rFonts w:hint="cs"/>
          <w:rtl/>
        </w:rPr>
        <w:t>ו</w:t>
      </w:r>
      <w:r w:rsidRPr="000952AB" w:rsidR="00F775D4">
        <w:rPr>
          <w:rtl/>
        </w:rPr>
        <w:t xml:space="preserve">ת </w:t>
      </w:r>
      <w:r w:rsidR="002750B3">
        <w:rPr>
          <w:rFonts w:hint="cs"/>
          <w:rtl/>
        </w:rPr>
        <w:t>בתחום</w:t>
      </w:r>
      <w:r w:rsidRPr="000952AB" w:rsidR="00F775D4">
        <w:rPr>
          <w:rFonts w:hint="cs"/>
          <w:rtl/>
        </w:rPr>
        <w:t xml:space="preserve"> </w:t>
      </w:r>
      <w:r w:rsidR="002750B3">
        <w:rPr>
          <w:rFonts w:hint="cs"/>
          <w:rtl/>
        </w:rPr>
        <w:t>ה</w:t>
      </w:r>
      <w:r w:rsidRPr="000952AB" w:rsidR="00F775D4">
        <w:rPr>
          <w:rFonts w:hint="cs"/>
          <w:rtl/>
        </w:rPr>
        <w:t>תחבורה</w:t>
      </w:r>
      <w:r w:rsidRPr="000952AB" w:rsidR="00F775D4">
        <w:rPr>
          <w:rtl/>
        </w:rPr>
        <w:t>, יבדקו את מערכותיהן באמצעות סקרי סיכונים ומבדקי חדירה ויפעלו לתקן את הממצאים שבתחומן</w:t>
      </w:r>
      <w:r w:rsidRPr="000952AB">
        <w:rPr>
          <w:rFonts w:hint="cs"/>
          <w:rtl/>
        </w:rPr>
        <w:t xml:space="preserve">. </w:t>
      </w:r>
    </w:p>
    <w:p w:rsidR="00C14AC2" w:rsidRPr="000952AB" w:rsidP="000952AB" w14:paraId="591744FA" w14:textId="25EC878A">
      <w:pPr>
        <w:pStyle w:val="7317"/>
      </w:pPr>
      <w:r w:rsidRPr="000952AB">
        <w:rPr>
          <w:rFonts w:hint="cs"/>
          <w:noProof/>
          <w:rtl/>
        </w:rPr>
        <w:drawing>
          <wp:anchor distT="0" distB="1440180" distL="107950" distR="114300" simplePos="0" relativeHeight="251708416" behindDoc="1" locked="0" layoutInCell="1" allowOverlap="1">
            <wp:simplePos x="0" y="0"/>
            <wp:positionH relativeFrom="column">
              <wp:posOffset>4553585</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52AB" w:rsidR="00F775D4">
        <w:rPr>
          <w:rtl/>
        </w:rPr>
        <w:t>מומלץ כי עיריי</w:t>
      </w:r>
      <w:r w:rsidRPr="000952AB" w:rsidR="00F775D4">
        <w:rPr>
          <w:rFonts w:hint="eastAsia"/>
          <w:rtl/>
        </w:rPr>
        <w:t>ה</w:t>
      </w:r>
      <w:r w:rsidRPr="000952AB" w:rsidR="00F775D4">
        <w:rPr>
          <w:rtl/>
        </w:rPr>
        <w:t xml:space="preserve"> </w:t>
      </w:r>
      <w:r w:rsidRPr="000952AB" w:rsidR="00F775D4">
        <w:rPr>
          <w:rFonts w:hint="eastAsia"/>
          <w:rtl/>
        </w:rPr>
        <w:t>א</w:t>
      </w:r>
      <w:r w:rsidRPr="000952AB" w:rsidR="00F775D4">
        <w:rPr>
          <w:rtl/>
        </w:rPr>
        <w:t>'</w:t>
      </w:r>
      <w:r w:rsidRPr="000952AB" w:rsidR="00F775D4">
        <w:rPr>
          <w:rFonts w:hint="cs"/>
          <w:rtl/>
        </w:rPr>
        <w:t xml:space="preserve"> </w:t>
      </w:r>
      <w:r w:rsidRPr="000952AB" w:rsidR="00F775D4">
        <w:rPr>
          <w:rtl/>
        </w:rPr>
        <w:t xml:space="preserve">תפעל לתקן את הליקויים שעלו במבדק החדירה </w:t>
      </w:r>
      <w:r w:rsidRPr="000952AB" w:rsidR="00F775D4">
        <w:rPr>
          <w:rFonts w:hint="cs"/>
          <w:rtl/>
        </w:rPr>
        <w:t xml:space="preserve">במערכת </w:t>
      </w:r>
      <w:r w:rsidR="002750B3">
        <w:rPr>
          <w:rFonts w:hint="cs"/>
          <w:rtl/>
        </w:rPr>
        <w:t>בתחום</w:t>
      </w:r>
      <w:r w:rsidRPr="000952AB" w:rsidR="00F775D4">
        <w:rPr>
          <w:rFonts w:hint="cs"/>
          <w:rtl/>
        </w:rPr>
        <w:t xml:space="preserve"> התחבורה</w:t>
      </w:r>
      <w:r w:rsidRPr="000952AB">
        <w:rPr>
          <w:rFonts w:hint="cs"/>
          <w:rtl/>
        </w:rPr>
        <w:t xml:space="preserve">. </w:t>
      </w:r>
    </w:p>
    <w:p w:rsidR="009469DF" w14:paraId="765FB9F7"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9469DF" w14:paraId="6DC28C4F" w14:textId="57919EE1">
      <w:pPr>
        <w:tabs>
          <w:tab w:val="right" w:pos="7370"/>
        </w:tabs>
        <w:bidi w:val="0"/>
        <w:spacing w:after="200" w:line="276" w:lineRule="auto"/>
        <w:rPr>
          <w:rtl/>
        </w:rPr>
      </w:pPr>
      <w:r w:rsidRPr="00D527BD">
        <w:rPr>
          <w:noProof/>
          <w:szCs w:val="20"/>
          <w:rtl/>
        </w:rPr>
        <w:t xml:space="preserve"> </w:t>
      </w:r>
      <w:r w:rsidRPr="00D527BD" w:rsidR="00F775D4">
        <w:rPr>
          <w:noProof/>
          <w:szCs w:val="20"/>
          <w:rtl/>
        </w:rPr>
        <w:drawing>
          <wp:anchor distT="0" distB="0" distL="114300" distR="114300" simplePos="0" relativeHeight="251681792" behindDoc="1" locked="0" layoutInCell="1" allowOverlap="1">
            <wp:simplePos x="0" y="0"/>
            <wp:positionH relativeFrom="column">
              <wp:posOffset>-57429</wp:posOffset>
            </wp:positionH>
            <wp:positionV relativeFrom="paragraph">
              <wp:posOffset>-152741</wp:posOffset>
            </wp:positionV>
            <wp:extent cx="4712335" cy="74341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3550" cy="749917"/>
                    </a:xfrm>
                    <a:prstGeom prst="rect">
                      <a:avLst/>
                    </a:prstGeom>
                  </pic:spPr>
                </pic:pic>
              </a:graphicData>
            </a:graphic>
            <wp14:sizeRelH relativeFrom="margin">
              <wp14:pctWidth>0</wp14:pctWidth>
            </wp14:sizeRelH>
            <wp14:sizeRelV relativeFrom="margin">
              <wp14:pctHeight>0</wp14:pctHeight>
            </wp14:sizeRelV>
          </wp:anchor>
        </w:drawing>
      </w:r>
      <w:r w:rsidRPr="00D527BD" w:rsidR="00F775D4">
        <w:rPr>
          <w:noProof/>
          <w:szCs w:val="20"/>
          <w:rtl/>
        </w:rPr>
        <mc:AlternateContent>
          <mc:Choice Requires="wps">
            <w:drawing>
              <wp:anchor distT="0" distB="0" distL="114300" distR="114300" simplePos="0" relativeHeight="251675648" behindDoc="0" locked="0" layoutInCell="1" allowOverlap="1">
                <wp:simplePos x="0" y="0"/>
                <wp:positionH relativeFrom="column">
                  <wp:posOffset>396054</wp:posOffset>
                </wp:positionH>
                <wp:positionV relativeFrom="paragraph">
                  <wp:posOffset>-63531</wp:posOffset>
                </wp:positionV>
                <wp:extent cx="4096633" cy="438615"/>
                <wp:effectExtent l="0" t="0" r="5715" b="635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96633" cy="438615"/>
                        </a:xfrm>
                        <a:prstGeom prst="rect">
                          <a:avLst/>
                        </a:prstGeom>
                        <a:solidFill>
                          <a:srgbClr val="F05260"/>
                        </a:solidFill>
                        <a:ln w="9525">
                          <a:noFill/>
                          <a:miter lim="800000"/>
                          <a:headEnd/>
                          <a:tailEnd/>
                        </a:ln>
                      </wps:spPr>
                      <wps:txbx>
                        <w:txbxContent>
                          <w:p w:rsidR="005D0F8C" w:rsidRPr="005C7ABF" w:rsidP="005A4A63" w14:textId="5BAB03BD">
                            <w:pPr>
                              <w:spacing w:line="240" w:lineRule="auto"/>
                              <w:ind w:right="113"/>
                              <w:suppressOverlap/>
                              <w:jc w:val="left"/>
                              <w:rPr>
                                <w:rFonts w:ascii="Tahoma" w:hAnsi="Tahoma" w:cs="Tahoma"/>
                                <w:b/>
                                <w:bCs/>
                                <w:color w:val="FFFFFF" w:themeColor="background1"/>
                                <w:spacing w:val="-4"/>
                                <w:sz w:val="22"/>
                                <w:szCs w:val="22"/>
                                <w:rtl/>
                              </w:rPr>
                            </w:pPr>
                            <w:r w:rsidRPr="00F775D4">
                              <w:rPr>
                                <w:rFonts w:ascii="Tahoma" w:hAnsi="Tahoma" w:cs="Tahoma"/>
                                <w:b/>
                                <w:bCs/>
                                <w:color w:val="FFFFFF" w:themeColor="background1"/>
                                <w:spacing w:val="-4"/>
                                <w:sz w:val="22"/>
                                <w:szCs w:val="22"/>
                                <w:rtl/>
                              </w:rPr>
                              <w:t xml:space="preserve">סוגי הגופים במגזר התחבורה </w:t>
                            </w:r>
                            <w:r w:rsidRPr="00F775D4">
                              <w:rPr>
                                <w:rFonts w:ascii="Tahoma" w:hAnsi="Tahoma" w:cs="Tahoma"/>
                                <w:b/>
                                <w:bCs/>
                                <w:color w:val="FFFFFF" w:themeColor="background1"/>
                                <w:spacing w:val="-4"/>
                                <w:sz w:val="22"/>
                                <w:szCs w:val="22"/>
                                <w:rtl/>
                              </w:rPr>
                              <w:t>והמאסדרים</w:t>
                            </w:r>
                            <w:r w:rsidRPr="00F775D4">
                              <w:rPr>
                                <w:rFonts w:ascii="Tahoma" w:hAnsi="Tahoma" w:cs="Tahoma"/>
                                <w:b/>
                                <w:bCs/>
                                <w:color w:val="FFFFFF" w:themeColor="background1"/>
                                <w:spacing w:val="-4"/>
                                <w:sz w:val="22"/>
                                <w:szCs w:val="22"/>
                                <w:rtl/>
                              </w:rPr>
                              <w:t xml:space="preserve"> שלהם בתחום הגנת הסייבר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22.55pt;height:34.55pt;margin-top:-5pt;margin-left:31.2pt;mso-height-percent:0;mso-height-relative:margin;mso-width-percent:0;mso-width-relative:margin;mso-wrap-distance-bottom:0;mso-wrap-distance-left:9pt;mso-wrap-distance-right:9pt;mso-wrap-distance-top:0;mso-wrap-style:square;position:absolute;visibility:visible;v-text-anchor:middle;z-index:251676672" fillcolor="#f05260" stroked="f">
                <v:textbox>
                  <w:txbxContent>
                    <w:p w:rsidR="005D0F8C" w:rsidRPr="005C7ABF" w:rsidP="005A4A63" w14:paraId="1D5D7976" w14:textId="5BAB03BD">
                      <w:pPr>
                        <w:spacing w:line="240" w:lineRule="auto"/>
                        <w:ind w:right="113"/>
                        <w:suppressOverlap/>
                        <w:jc w:val="left"/>
                        <w:rPr>
                          <w:rFonts w:ascii="Tahoma" w:hAnsi="Tahoma" w:cs="Tahoma"/>
                          <w:b/>
                          <w:bCs/>
                          <w:color w:val="FFFFFF" w:themeColor="background1"/>
                          <w:spacing w:val="-4"/>
                          <w:sz w:val="22"/>
                          <w:szCs w:val="22"/>
                          <w:rtl/>
                        </w:rPr>
                      </w:pPr>
                      <w:r w:rsidRPr="00F775D4">
                        <w:rPr>
                          <w:rFonts w:ascii="Tahoma" w:hAnsi="Tahoma" w:cs="Tahoma"/>
                          <w:b/>
                          <w:bCs/>
                          <w:color w:val="FFFFFF" w:themeColor="background1"/>
                          <w:spacing w:val="-4"/>
                          <w:sz w:val="22"/>
                          <w:szCs w:val="22"/>
                          <w:rtl/>
                        </w:rPr>
                        <w:t xml:space="preserve">סוגי הגופים במגזר התחבורה </w:t>
                      </w:r>
                      <w:r w:rsidRPr="00F775D4">
                        <w:rPr>
                          <w:rFonts w:ascii="Tahoma" w:hAnsi="Tahoma" w:cs="Tahoma"/>
                          <w:b/>
                          <w:bCs/>
                          <w:color w:val="FFFFFF" w:themeColor="background1"/>
                          <w:spacing w:val="-4"/>
                          <w:sz w:val="22"/>
                          <w:szCs w:val="22"/>
                          <w:rtl/>
                        </w:rPr>
                        <w:t>והמאסדרים</w:t>
                      </w:r>
                      <w:r w:rsidRPr="00F775D4">
                        <w:rPr>
                          <w:rFonts w:ascii="Tahoma" w:hAnsi="Tahoma" w:cs="Tahoma"/>
                          <w:b/>
                          <w:bCs/>
                          <w:color w:val="FFFFFF" w:themeColor="background1"/>
                          <w:spacing w:val="-4"/>
                          <w:sz w:val="22"/>
                          <w:szCs w:val="22"/>
                          <w:rtl/>
                        </w:rPr>
                        <w:t xml:space="preserve"> שלהם בתחום הגנת הסייבר</w:t>
                      </w:r>
                    </w:p>
                  </w:txbxContent>
                </v:textbox>
              </v:shape>
            </w:pict>
          </mc:Fallback>
        </mc:AlternateContent>
      </w:r>
      <w:r>
        <w:rPr>
          <w:rtl/>
        </w:rPr>
        <w:t xml:space="preserve"> </w:t>
      </w:r>
    </w:p>
    <w:p w:rsidR="00670C7D" w:rsidRPr="00626987" w:rsidP="00626987" w14:paraId="405C6938" w14:textId="0888F2C9">
      <w:pPr>
        <w:pStyle w:val="738"/>
        <w:spacing w:before="480" w:after="0"/>
        <w:rPr>
          <w:color w:val="FFFFFF" w:themeColor="background1"/>
          <w:rtl/>
        </w:rPr>
      </w:pPr>
      <w:r w:rsidRPr="00B10EAA">
        <w:rPr>
          <w:noProof/>
          <w:sz w:val="22"/>
          <w:szCs w:val="22"/>
          <w:rtl/>
        </w:rPr>
        <w:drawing>
          <wp:anchor distT="0" distB="0" distL="114300" distR="114300" simplePos="0" relativeHeight="251709440" behindDoc="0" locked="0" layoutInCell="1" allowOverlap="1">
            <wp:simplePos x="0" y="0"/>
            <wp:positionH relativeFrom="column">
              <wp:posOffset>76835</wp:posOffset>
            </wp:positionH>
            <wp:positionV relativeFrom="paragraph">
              <wp:posOffset>342900</wp:posOffset>
            </wp:positionV>
            <wp:extent cx="4487545" cy="5168265"/>
            <wp:effectExtent l="0" t="0" r="0" b="0"/>
            <wp:wrapTopAndBottom/>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7545" cy="516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987" w:rsidR="009469DF">
        <w:rPr>
          <w:color w:val="FFFFFF" w:themeColor="background1"/>
          <w:rtl/>
        </w:rPr>
        <w:t>.</w:t>
      </w:r>
    </w:p>
    <w:p w:rsidR="002F07E0" w14:paraId="6DF0ADDB" w14:textId="70C85C29">
      <w:pPr>
        <w:bidi w:val="0"/>
        <w:spacing w:after="200" w:line="276" w:lineRule="auto"/>
        <w:rPr>
          <w:rFonts w:ascii="Tahoma" w:hAnsi="Tahoma" w:cs="Tahoma"/>
          <w:color w:val="0D0D0D" w:themeColor="text1" w:themeTint="F2"/>
          <w:sz w:val="16"/>
          <w:szCs w:val="16"/>
          <w:rtl/>
        </w:rPr>
      </w:pPr>
      <w:r>
        <w:rPr>
          <w:rtl/>
        </w:rPr>
        <w:br w:type="page"/>
      </w:r>
    </w:p>
    <w:p w:rsidR="004028C2" w:rsidP="004028C2" w14:paraId="3B91C176" w14:textId="2B31A81A">
      <w:pPr>
        <w:tabs>
          <w:tab w:val="right" w:pos="7370"/>
        </w:tabs>
        <w:bidi w:val="0"/>
        <w:spacing w:after="200" w:line="276" w:lineRule="auto"/>
        <w:rPr>
          <w:rtl/>
        </w:rPr>
      </w:pPr>
      <w:r w:rsidRPr="00D527BD">
        <w:rPr>
          <w:noProof/>
          <w:szCs w:val="20"/>
          <w:rtl/>
        </w:rPr>
        <w:drawing>
          <wp:anchor distT="0" distB="0" distL="114300" distR="114300" simplePos="0" relativeHeight="251704320" behindDoc="1" locked="0" layoutInCell="1" allowOverlap="1">
            <wp:simplePos x="0" y="0"/>
            <wp:positionH relativeFrom="column">
              <wp:posOffset>-87165</wp:posOffset>
            </wp:positionH>
            <wp:positionV relativeFrom="paragraph">
              <wp:posOffset>-152741</wp:posOffset>
            </wp:positionV>
            <wp:extent cx="4712335" cy="802888"/>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364" cy="809197"/>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702272" behindDoc="0" locked="0" layoutInCell="1" allowOverlap="1">
                <wp:simplePos x="0" y="0"/>
                <wp:positionH relativeFrom="column">
                  <wp:posOffset>269674</wp:posOffset>
                </wp:positionH>
                <wp:positionV relativeFrom="paragraph">
                  <wp:posOffset>-63531</wp:posOffset>
                </wp:positionV>
                <wp:extent cx="4223013" cy="484195"/>
                <wp:effectExtent l="0" t="0" r="635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23013" cy="484195"/>
                        </a:xfrm>
                        <a:prstGeom prst="rect">
                          <a:avLst/>
                        </a:prstGeom>
                        <a:solidFill>
                          <a:srgbClr val="F05260"/>
                        </a:solidFill>
                        <a:ln w="9525">
                          <a:noFill/>
                          <a:miter lim="800000"/>
                          <a:headEnd/>
                          <a:tailEnd/>
                        </a:ln>
                      </wps:spPr>
                      <wps:txbx>
                        <w:txbxContent>
                          <w:p w:rsidR="004028C2" w:rsidRPr="005C7ABF" w:rsidP="004028C2" w14:textId="6B6313F6">
                            <w:pPr>
                              <w:spacing w:line="240" w:lineRule="auto"/>
                              <w:ind w:right="113"/>
                              <w:suppressOverlap/>
                              <w:jc w:val="left"/>
                              <w:rPr>
                                <w:rFonts w:ascii="Tahoma" w:hAnsi="Tahoma" w:cs="Tahoma"/>
                                <w:b/>
                                <w:bCs/>
                                <w:color w:val="FFFFFF" w:themeColor="background1"/>
                                <w:spacing w:val="-4"/>
                                <w:sz w:val="22"/>
                                <w:szCs w:val="22"/>
                                <w:rtl/>
                              </w:rPr>
                            </w:pPr>
                            <w:r w:rsidRPr="006A098A">
                              <w:rPr>
                                <w:rFonts w:ascii="Tahoma" w:hAnsi="Tahoma" w:cs="Tahoma"/>
                                <w:b/>
                                <w:bCs/>
                                <w:color w:val="FFFFFF" w:themeColor="background1"/>
                                <w:spacing w:val="-4"/>
                                <w:sz w:val="22"/>
                                <w:szCs w:val="22"/>
                                <w:rtl/>
                              </w:rPr>
                              <w:t xml:space="preserve">מצב ההגנה בתחומים שנבדקו במסגרת שאלון על מערכות </w:t>
                            </w:r>
                            <w:r w:rsidR="002750B3">
                              <w:rPr>
                                <w:rFonts w:ascii="Tahoma" w:hAnsi="Tahoma" w:cs="Tahoma" w:hint="cs"/>
                                <w:b/>
                                <w:bCs/>
                                <w:color w:val="FFFFFF" w:themeColor="background1"/>
                                <w:spacing w:val="-4"/>
                                <w:sz w:val="22"/>
                                <w:szCs w:val="22"/>
                                <w:rtl/>
                              </w:rPr>
                              <w:t>בתחום</w:t>
                            </w:r>
                            <w:r w:rsidRPr="006A098A">
                              <w:rPr>
                                <w:rFonts w:ascii="Tahoma" w:hAnsi="Tahoma" w:cs="Tahoma"/>
                                <w:b/>
                                <w:bCs/>
                                <w:color w:val="FFFFFF" w:themeColor="background1"/>
                                <w:spacing w:val="-4"/>
                                <w:sz w:val="22"/>
                                <w:szCs w:val="22"/>
                                <w:rtl/>
                              </w:rPr>
                              <w:t xml:space="preserve"> התחבורה</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32.5pt;height:38.15pt;margin-top:-5pt;margin-left:21.25pt;mso-height-percent:0;mso-height-relative:margin;mso-width-percent:0;mso-width-relative:margin;mso-wrap-distance-bottom:0;mso-wrap-distance-left:9pt;mso-wrap-distance-right:9pt;mso-wrap-distance-top:0;mso-wrap-style:square;position:absolute;visibility:visible;v-text-anchor:middle;z-index:251703296" fillcolor="#f05260" stroked="f">
                <v:textbox>
                  <w:txbxContent>
                    <w:p w:rsidR="004028C2" w:rsidRPr="005C7ABF" w:rsidP="004028C2" w14:paraId="62793CEC" w14:textId="6B6313F6">
                      <w:pPr>
                        <w:spacing w:line="240" w:lineRule="auto"/>
                        <w:ind w:right="113"/>
                        <w:suppressOverlap/>
                        <w:jc w:val="left"/>
                        <w:rPr>
                          <w:rFonts w:ascii="Tahoma" w:hAnsi="Tahoma" w:cs="Tahoma"/>
                          <w:b/>
                          <w:bCs/>
                          <w:color w:val="FFFFFF" w:themeColor="background1"/>
                          <w:spacing w:val="-4"/>
                          <w:sz w:val="22"/>
                          <w:szCs w:val="22"/>
                          <w:rtl/>
                        </w:rPr>
                      </w:pPr>
                      <w:r w:rsidRPr="006A098A">
                        <w:rPr>
                          <w:rFonts w:ascii="Tahoma" w:hAnsi="Tahoma" w:cs="Tahoma"/>
                          <w:b/>
                          <w:bCs/>
                          <w:color w:val="FFFFFF" w:themeColor="background1"/>
                          <w:spacing w:val="-4"/>
                          <w:sz w:val="22"/>
                          <w:szCs w:val="22"/>
                          <w:rtl/>
                        </w:rPr>
                        <w:t xml:space="preserve">מצב ההגנה בתחומים שנבדקו במסגרת שאלון על מערכות </w:t>
                      </w:r>
                      <w:r w:rsidR="002750B3">
                        <w:rPr>
                          <w:rFonts w:ascii="Tahoma" w:hAnsi="Tahoma" w:cs="Tahoma" w:hint="cs"/>
                          <w:b/>
                          <w:bCs/>
                          <w:color w:val="FFFFFF" w:themeColor="background1"/>
                          <w:spacing w:val="-4"/>
                          <w:sz w:val="22"/>
                          <w:szCs w:val="22"/>
                          <w:rtl/>
                        </w:rPr>
                        <w:t>בתחום</w:t>
                      </w:r>
                      <w:r w:rsidRPr="006A098A">
                        <w:rPr>
                          <w:rFonts w:ascii="Tahoma" w:hAnsi="Tahoma" w:cs="Tahoma"/>
                          <w:b/>
                          <w:bCs/>
                          <w:color w:val="FFFFFF" w:themeColor="background1"/>
                          <w:spacing w:val="-4"/>
                          <w:sz w:val="22"/>
                          <w:szCs w:val="22"/>
                          <w:rtl/>
                        </w:rPr>
                        <w:t xml:space="preserve"> התחבורה</w:t>
                      </w:r>
                    </w:p>
                  </w:txbxContent>
                </v:textbox>
              </v:shape>
            </w:pict>
          </mc:Fallback>
        </mc:AlternateContent>
      </w:r>
      <w:r>
        <w:rPr>
          <w:rtl/>
        </w:rPr>
        <w:t xml:space="preserve"> </w:t>
      </w:r>
    </w:p>
    <w:p w:rsidR="004028C2" w:rsidRPr="00626987" w:rsidP="004028C2" w14:paraId="61B79FEF" w14:textId="2B0AB963">
      <w:pPr>
        <w:pStyle w:val="738"/>
        <w:spacing w:before="360" w:after="0"/>
        <w:rPr>
          <w:color w:val="FFFFFF" w:themeColor="background1"/>
          <w:rtl/>
        </w:rPr>
      </w:pPr>
      <w:r>
        <w:rPr>
          <w:noProof/>
          <w:color w:val="FFFFFF" w:themeColor="background1"/>
          <w:rtl/>
          <w:lang w:val="he-IL"/>
        </w:rPr>
        <w:drawing>
          <wp:anchor distT="0" distB="0" distL="114300" distR="114300" simplePos="0" relativeHeight="251710464" behindDoc="0" locked="0" layoutInCell="1" allowOverlap="1">
            <wp:simplePos x="0" y="0"/>
            <wp:positionH relativeFrom="column">
              <wp:posOffset>194310</wp:posOffset>
            </wp:positionH>
            <wp:positionV relativeFrom="paragraph">
              <wp:posOffset>383540</wp:posOffset>
            </wp:positionV>
            <wp:extent cx="4168140" cy="6437630"/>
            <wp:effectExtent l="0" t="0" r="0" b="1270"/>
            <wp:wrapTopAndBottom/>
            <wp:docPr id="2052770944" name="תמונה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תמונה 2052770944"/>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168140" cy="6437630"/>
                    </a:xfrm>
                    <a:prstGeom prst="rect">
                      <a:avLst/>
                    </a:prstGeom>
                  </pic:spPr>
                </pic:pic>
              </a:graphicData>
            </a:graphic>
            <wp14:sizeRelH relativeFrom="page">
              <wp14:pctWidth>0</wp14:pctWidth>
            </wp14:sizeRelH>
            <wp14:sizeRelV relativeFrom="page">
              <wp14:pctHeight>0</wp14:pctHeight>
            </wp14:sizeRelV>
          </wp:anchor>
        </w:drawing>
      </w:r>
      <w:r w:rsidRPr="00626987">
        <w:rPr>
          <w:color w:val="FFFFFF" w:themeColor="background1"/>
          <w:rtl/>
        </w:rPr>
        <w:t>ע</w:t>
      </w:r>
    </w:p>
    <w:p w:rsidR="002F07E0" w:rsidP="002F07E0" w14:paraId="454A99C1" w14:textId="3906497D">
      <w:pPr>
        <w:pStyle w:val="73"/>
        <w:rPr>
          <w:rtl/>
        </w:rPr>
      </w:pPr>
      <w:r w:rsidRPr="00EF3061">
        <w:rPr>
          <w:rFonts w:hint="cs"/>
          <w:rtl/>
        </w:rPr>
        <w:t>סיכום</w:t>
      </w:r>
    </w:p>
    <w:p w:rsidR="006A098A" w:rsidRPr="00C27377" w:rsidP="006A098A" w14:paraId="0914B5A5" w14:textId="77777777">
      <w:pPr>
        <w:pStyle w:val="7392"/>
        <w:rPr>
          <w:rtl/>
        </w:rPr>
      </w:pPr>
      <w:r w:rsidRPr="00C27377">
        <w:rPr>
          <w:rtl/>
        </w:rPr>
        <w:t>תשתיות התחבורה נועדו להבטיח את הבטיחות והיעילות של התחבורה הימית, התחבורה האווירית והתחבורה היבשתית עבור כל משתמשי הדרך. ככל שתשתית מסוימת חיונית יותר לחיי היום-יום של התושבים, כך היא מושכת יותר את התוקפים, וככל שהיא תלויה יותר בממד הסייבר, כך היא פגיעה יותר לתקיפות שעשויות לגרום לשיבושים בתפקודה התקין ואף להשבתתה המלאה, לפגיעה כלכלית ניכרת ולפגיעה בחיי אדם.</w:t>
      </w:r>
    </w:p>
    <w:p w:rsidR="006A098A" w:rsidRPr="00C27377" w:rsidP="006A098A" w14:paraId="7A893AC7" w14:textId="77777777">
      <w:pPr>
        <w:pStyle w:val="7392"/>
        <w:rPr>
          <w:rtl/>
        </w:rPr>
      </w:pPr>
      <w:r w:rsidRPr="00C27377">
        <w:rPr>
          <w:rtl/>
        </w:rPr>
        <w:t xml:space="preserve">ממצאי דוח זה משקפים בעיה מבנית ותפקודית יסודית בכל הנוגע להיערכות של מדינת ישראל לאיומי הסייבר במגזר התחבורה. במהלך הביקורת חל שיפור בכמה תחומים שבהם פועל אגף הסייבר במשרד התחבורה, ובהם: הקמת </w:t>
      </w:r>
      <w:r w:rsidRPr="00C27377">
        <w:t>SOC</w:t>
      </w:r>
      <w:r w:rsidRPr="00C27377">
        <w:rPr>
          <w:rtl/>
        </w:rPr>
        <w:t xml:space="preserve"> מגזרי לקבלת תמונת מצב ענפית מלאה, שתאפשר זיהוי מכנה משותף בעת תקיפה וכן תאפשר התרעה מפני חשיפה אפשרית לגופים דומים, שתסייע להם להיערך ולהתגונן; פרסום מדיניות וביצוע ביקורות בחלק מהגופים המונחים לבחינת עמידת הגופים בה; קידום </w:t>
      </w:r>
      <w:r w:rsidRPr="00C27377">
        <w:rPr>
          <w:rtl/>
        </w:rPr>
        <w:t>אסדרת</w:t>
      </w:r>
      <w:r w:rsidRPr="00C27377">
        <w:rPr>
          <w:rtl/>
        </w:rPr>
        <w:t xml:space="preserve"> תחום הרכב האוטונומי, לרבות תיקון החוק, פרסום נוהל והקמת מרכז הניסויים </w:t>
      </w:r>
      <w:r w:rsidRPr="00C27377">
        <w:rPr>
          <w:rFonts w:hint="cs"/>
          <w:rtl/>
        </w:rPr>
        <w:t xml:space="preserve">בבאר שבע. </w:t>
      </w:r>
      <w:r w:rsidRPr="00C27377">
        <w:rPr>
          <w:rtl/>
        </w:rPr>
        <w:t>עם זאת עדיין קיימות כמה בעיות יסודיות:</w:t>
      </w:r>
    </w:p>
    <w:p w:rsidR="006A098A" w:rsidRPr="00C27377" w:rsidP="006A098A" w14:paraId="7DA0DB33" w14:textId="77777777">
      <w:pPr>
        <w:pStyle w:val="7392"/>
        <w:rPr>
          <w:rtl/>
        </w:rPr>
      </w:pPr>
      <w:r w:rsidRPr="00C27377">
        <w:rPr>
          <w:rtl/>
        </w:rPr>
        <w:t>חסרה הסדרת תחומי האחריות והסמכות של מערך הסייבר ומשרד התחבורה בכל הנוגע לגופים שאינם תשתית מדינה קריטיות (</w:t>
      </w:r>
      <w:r w:rsidRPr="00C27377">
        <w:rPr>
          <w:rtl/>
        </w:rPr>
        <w:t>תמ"ק</w:t>
      </w:r>
      <w:r w:rsidRPr="00C27377">
        <w:rPr>
          <w:rtl/>
        </w:rPr>
        <w:t>); משרד התחבורה אחראי לפעילויות המגזר אולם אין בידיו תמונה מלאה של מצב ההגנה של הגופים בו; היעדר הלימה בין האיומים והמענים להם במגזר כולו לבין המשאבים של משרד התחבורה; היעדר דרישות סייבר בהתקשרויות בחלק ניכר מהפעילויות במגזר והיעדר הקצאת המשאבים הנדרשים לכך על ידי הגופים.</w:t>
      </w:r>
    </w:p>
    <w:p w:rsidR="006A098A" w:rsidRPr="00C27377" w:rsidP="006A098A" w14:paraId="1F063DEC" w14:textId="77777777">
      <w:pPr>
        <w:pStyle w:val="7392"/>
        <w:rPr>
          <w:rtl/>
        </w:rPr>
      </w:pPr>
      <w:r w:rsidRPr="00C27377">
        <w:rPr>
          <w:rtl/>
        </w:rPr>
        <w:t>הבעיה התפקודית והמבנית שהועלתה בדוח זה אפשר כי היא רלוונטית למגזרים גדולים נוספים, ולכן טיפול מערכתי בנושאים אלו עשוי לשפר את מוכנות המשק והמגזרים הגדולים הפועלים בו להתמודד עם אירועי סייבר.</w:t>
      </w:r>
    </w:p>
    <w:p w:rsidR="006A098A" w:rsidRPr="00C27377" w:rsidP="006A098A" w14:paraId="4D824D17" w14:textId="0B267312">
      <w:pPr>
        <w:pStyle w:val="7392"/>
        <w:rPr>
          <w:rtl/>
        </w:rPr>
      </w:pPr>
      <w:r w:rsidRPr="00C27377">
        <w:rPr>
          <w:rtl/>
        </w:rPr>
        <w:t xml:space="preserve">במסגרת ביקורת זו בוצע מבדק חדירה על ידי צוות הביקורת </w:t>
      </w:r>
      <w:r w:rsidRPr="00C27377">
        <w:rPr>
          <w:rFonts w:hint="cs"/>
          <w:rtl/>
        </w:rPr>
        <w:t xml:space="preserve">במערכות </w:t>
      </w:r>
      <w:r w:rsidR="002750B3">
        <w:rPr>
          <w:rFonts w:hint="cs"/>
          <w:rtl/>
        </w:rPr>
        <w:t>בתחום</w:t>
      </w:r>
      <w:r w:rsidRPr="00C27377">
        <w:rPr>
          <w:rFonts w:hint="cs"/>
          <w:rtl/>
        </w:rPr>
        <w:t xml:space="preserve"> התחבורה בעירייה א'</w:t>
      </w:r>
      <w:r w:rsidRPr="00C27377">
        <w:rPr>
          <w:rtl/>
        </w:rPr>
        <w:t xml:space="preserve">. חשיבותה של פעולה חדשנית זו, שיושמה לראשונה בדוח ביקורת של משרד מבקר המדינה, הינה בכך שהיא מאפשרת להעריך את מוכנותו האמיתית של הגוף לעמוד בפני התקפות סייבר, באמצעות שימוש בכלים החושפים חולשות אבטחה בסביבת העבודה התפעולית של הגוף ולסייע בכך באופן מעשי וממשי לשיפור רמת ההגנה של הגופים המבוקרים. </w:t>
      </w:r>
    </w:p>
    <w:p w:rsidR="006A098A" w:rsidRPr="00C27377" w:rsidP="006A098A" w14:paraId="1AD45AB4" w14:textId="77777777">
      <w:pPr>
        <w:pStyle w:val="7392"/>
        <w:rPr>
          <w:rtl/>
        </w:rPr>
      </w:pPr>
      <w:r w:rsidRPr="00C27377">
        <w:rPr>
          <w:rtl/>
        </w:rPr>
        <w:t>על משרד התחבורה ועל מערך הסייבר לוודא כי תשתיות התחבורה, ובפרט התשתיות הקריטיות, מבצעות הערכת סיכונים באופן שוטף ומשפרות את מידת עמידתן בפני מתקפות סייבר אפשריות.</w:t>
      </w:r>
    </w:p>
    <w:p w:rsidR="00E77FD9" w:rsidP="00E77FD9" w14:paraId="55F5EFB6" w14:textId="4FE01052">
      <w:pPr>
        <w:pStyle w:val="7392"/>
        <w:rPr>
          <w:rtl/>
        </w:rPr>
        <w:sectPr w:rsidSect="003E0E84">
          <w:headerReference w:type="even" r:id="rId30"/>
          <w:footerReference w:type="even" r:id="rId31"/>
          <w:pgSz w:w="11906" w:h="16838" w:code="9"/>
          <w:pgMar w:top="3062" w:right="2268" w:bottom="2552" w:left="2268" w:header="1134" w:footer="1361" w:gutter="0"/>
          <w:pgNumType w:start="39"/>
          <w:cols w:space="708"/>
          <w:bidi/>
          <w:rtlGutter/>
          <w:docGrid w:linePitch="360"/>
        </w:sectPr>
      </w:pPr>
    </w:p>
    <w:p w:rsidR="00814E9E" w:rsidRPr="00814E9E" w:rsidP="00814E9E" w14:paraId="293EB88B" w14:textId="6D9F8128">
      <w:pPr>
        <w:pStyle w:val="7392"/>
      </w:pPr>
      <w:r>
        <w:rPr>
          <w:noProof/>
        </w:rPr>
        <mc:AlternateContent>
          <mc:Choice Requires="wps">
            <w:drawing>
              <wp:anchor distT="0" distB="0" distL="114300" distR="114300" simplePos="0" relativeHeight="251711488" behindDoc="0" locked="0" layoutInCell="1" allowOverlap="1">
                <wp:simplePos x="0" y="0"/>
                <wp:positionH relativeFrom="column">
                  <wp:posOffset>-1446711</wp:posOffset>
                </wp:positionH>
                <wp:positionV relativeFrom="paragraph">
                  <wp:posOffset>-1996621</wp:posOffset>
                </wp:positionV>
                <wp:extent cx="7818120" cy="10156190"/>
                <wp:effectExtent l="0" t="0" r="17780" b="16510"/>
                <wp:wrapNone/>
                <wp:docPr id="32" name="מלבן 32"/>
                <wp:cNvGraphicFramePr/>
                <a:graphic xmlns:a="http://schemas.openxmlformats.org/drawingml/2006/main">
                  <a:graphicData uri="http://schemas.microsoft.com/office/word/2010/wordprocessingShape">
                    <wps:wsp xmlns:wps="http://schemas.microsoft.com/office/word/2010/wordprocessingShape">
                      <wps:cNvSpPr/>
                      <wps:spPr>
                        <a:xfrm>
                          <a:off x="0" y="0"/>
                          <a:ext cx="7818120" cy="10156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2" o:spid="_x0000_s1036" style="width:615.6pt;height:799.7pt;margin-top:-157.2pt;margin-left:-113.9pt;mso-height-percent:0;mso-height-relative:margin;mso-width-percent:0;mso-width-relative:margin;mso-wrap-distance-bottom:0;mso-wrap-distance-left:9pt;mso-wrap-distance-right:9pt;mso-wrap-distance-top:0;mso-wrap-style:square;position:absolute;visibility:visible;v-text-anchor:middle;z-index:251712512" fillcolor="white" strokecolor="white" strokeweight="1.25pt"/>
            </w:pict>
          </mc:Fallback>
        </mc:AlternateContent>
      </w:r>
    </w:p>
    <w:sectPr w:rsidSect="00795EDF">
      <w:headerReference w:type="default" r:id="rId3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DC4CE8" w14:paraId="09B0399B" w14:textId="77777777">
      <w:pPr>
        <w:spacing w:line="240" w:lineRule="auto"/>
      </w:pPr>
      <w:r>
        <w:separator/>
      </w:r>
    </w:p>
    <w:p w:rsidR="00DC4CE8" w14:paraId="489EADB9" w14:textId="77777777"/>
    <w:p w:rsidR="00DC4CE8" w14:paraId="0A7B77D0" w14:textId="77777777"/>
    <w:p w:rsidR="00DC4CE8" w14:paraId="3DB025BA" w14:textId="77777777"/>
  </w:endnote>
  <w:endnote w:type="continuationSeparator" w:id="1">
    <w:p w:rsidR="00DC4CE8" w14:paraId="1AB0E7AC" w14:textId="77777777">
      <w:pPr>
        <w:spacing w:line="240" w:lineRule="auto"/>
      </w:pPr>
      <w:r>
        <w:continuationSeparator/>
      </w:r>
    </w:p>
    <w:p w:rsidR="00DC4CE8" w14:paraId="0FB46D6E" w14:textId="77777777"/>
    <w:p w:rsidR="00DC4CE8" w14:paraId="17D6D46E" w14:textId="77777777"/>
    <w:p w:rsidR="00DC4CE8" w14:paraId="27A02DA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948" w14:paraId="17D7829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15F1" w:rsidP="007715F1" w14:paraId="0EB5A3D8"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Pr="007715F1" w:rsidP="007715F1" w14:paraId="0C89F632" w14:textId="293C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948" w14:paraId="5D44007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08D6625F" w14:textId="77777777">
    <w:pPr>
      <w:pStyle w:val="Footer"/>
      <w:spacing w:after="120" w:line="312" w:lineRule="auto"/>
      <w:ind w:left="-510"/>
      <w:jc w:val="left"/>
      <w:rPr>
        <w:rFonts w:ascii="Tahoma" w:hAnsi="Tahoma" w:cs="Tahoma"/>
        <w:sz w:val="18"/>
        <w:szCs w:val="18"/>
        <w:rtl/>
      </w:rPr>
    </w:pPr>
  </w:p>
  <w:p w:rsidR="00DE55B1" w:rsidP="00DE55B1" w14:paraId="23888365"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E55B1" w:rsidP="00DE55B1"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C4CE8" w:rsidP="00E7235E" w14:paraId="32BAB7AA" w14:textId="77777777">
      <w:pPr>
        <w:spacing w:line="240" w:lineRule="auto"/>
      </w:pPr>
      <w:r>
        <w:separator/>
      </w:r>
    </w:p>
  </w:footnote>
  <w:footnote w:type="continuationSeparator" w:id="1">
    <w:p w:rsidR="00DC4CE8" w:rsidP="00C23CC9" w14:paraId="5E3EFEF4" w14:textId="77777777">
      <w:pPr>
        <w:spacing w:line="240" w:lineRule="auto"/>
      </w:pPr>
      <w:r>
        <w:continuationSeparator/>
      </w:r>
    </w:p>
    <w:p w:rsidR="00DC4CE8" w14:paraId="31C7B234" w14:textId="77777777"/>
    <w:p w:rsidR="00DC4CE8" w14:paraId="550C4D61" w14:textId="77777777"/>
    <w:p w:rsidR="00DC4CE8" w14:paraId="54016FE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6745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800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E77FD9" w14:textId="6425D08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E77FD9" w:rsidR="00E77FD9">
                            <w:rPr>
                              <w:rFonts w:ascii="Tahoma" w:hAnsi="Tahoma" w:cs="Tahoma"/>
                              <w:b/>
                              <w:bCs/>
                              <w:rtl/>
                            </w:rPr>
                            <w:t>הגנת הסייבר במגזר התחבורה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E77FD9" w14:paraId="77809697" w14:textId="6425D08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E77FD9" w:rsidR="00E77FD9">
                      <w:rPr>
                        <w:rFonts w:ascii="Tahoma" w:hAnsi="Tahoma" w:cs="Tahoma"/>
                        <w:b/>
                        <w:bCs/>
                        <w:rtl/>
                      </w:rPr>
                      <w:t>הגנת הסייבר במגזר התחבורה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25F6A139">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1A2" w:rsidRPr="00385E24" w:rsidP="00AE01A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AE01A2" w:rsidP="00B244B0" w14:textId="366DC3BB">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AE01A2" w:rsidRPr="00385E24" w:rsidP="00AE01A2" w14:paraId="2BFA9D86"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AE01A2" w:rsidP="00B244B0" w14:paraId="1CF273F4" w14:textId="366DC3BB">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620E7" w14:paraId="53F52C1C" w14:textId="21889EBC">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218A0B59" w14:textId="77777777">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E55B1" w:rsidRPr="00FD02CC" w:rsidP="00DE55B1"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DE55B1" w:rsidRPr="00FD02CC" w:rsidP="00DE55B1" w14:paraId="49FF964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E55B1" w:rsidP="00DE55B1" w14:paraId="47E2256E" w14:textId="77777777">
    <w:pPr>
      <w:pStyle w:val="Header"/>
      <w:ind w:firstLine="720"/>
      <w:rPr>
        <w:rtl/>
      </w:rPr>
    </w:pPr>
  </w:p>
  <w:p w:rsidR="00DE55B1" w:rsidP="00DE55B1" w14:paraId="49C2CD78" w14:textId="77777777">
    <w:pPr>
      <w:pStyle w:val="Header"/>
      <w:rPr>
        <w:rtl/>
      </w:rPr>
    </w:pPr>
  </w:p>
  <w:p w:rsidR="00DE55B1" w:rsidP="00DE55B1" w14:paraId="51514CA2" w14:textId="7777777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7257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E55B1" w:rsidRPr="003D62C4" w:rsidP="00DE55B1" w14:textId="5C325C2D">
                          <w:pPr>
                            <w:pStyle w:val="Heading1"/>
                            <w:spacing w:line="269" w:lineRule="auto"/>
                            <w:jc w:val="left"/>
                            <w:rPr>
                              <w:rFonts w:ascii="Tahoma" w:hAnsi="Tahoma" w:eastAsiaTheme="minorHAnsi" w:cs="Tahoma"/>
                              <w:bCs w:val="0"/>
                              <w:color w:val="0D0D0D" w:themeColor="text1" w:themeTint="F2"/>
                              <w:sz w:val="16"/>
                              <w:szCs w:val="16"/>
                              <w:u w:val="none"/>
                            </w:rPr>
                          </w:pPr>
                          <w:r w:rsidRPr="00E77FD9">
                            <w:rPr>
                              <w:rFonts w:ascii="Tahoma" w:hAnsi="Tahoma" w:eastAsiaTheme="minorHAnsi" w:cs="Tahoma"/>
                              <w:bCs w:val="0"/>
                              <w:color w:val="0D0D0D" w:themeColor="text1" w:themeTint="F2"/>
                              <w:sz w:val="16"/>
                              <w:szCs w:val="16"/>
                              <w:u w:val="none"/>
                              <w:rtl/>
                            </w:rPr>
                            <w:t>הגנת הסייבר במגזר התחבורה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3600" stroked="f">
              <v:textbox style="mso-fit-shape-to-text:t">
                <w:txbxContent>
                  <w:p w:rsidR="00DE55B1" w:rsidRPr="003D62C4" w:rsidP="00DE55B1" w14:paraId="6D34E6E0" w14:textId="5C325C2D">
                    <w:pPr>
                      <w:pStyle w:val="Heading1"/>
                      <w:spacing w:line="269" w:lineRule="auto"/>
                      <w:jc w:val="left"/>
                      <w:rPr>
                        <w:rFonts w:ascii="Tahoma" w:hAnsi="Tahoma" w:eastAsiaTheme="minorHAnsi" w:cs="Tahoma"/>
                        <w:bCs w:val="0"/>
                        <w:color w:val="0D0D0D" w:themeColor="text1" w:themeTint="F2"/>
                        <w:sz w:val="16"/>
                        <w:szCs w:val="16"/>
                        <w:u w:val="none"/>
                      </w:rPr>
                    </w:pPr>
                    <w:r w:rsidRPr="00E77FD9">
                      <w:rPr>
                        <w:rFonts w:ascii="Tahoma" w:hAnsi="Tahoma" w:eastAsiaTheme="minorHAnsi" w:cs="Tahoma"/>
                        <w:bCs w:val="0"/>
                        <w:color w:val="0D0D0D" w:themeColor="text1" w:themeTint="F2"/>
                        <w:sz w:val="16"/>
                        <w:szCs w:val="16"/>
                        <w:u w:val="none"/>
                        <w:rtl/>
                      </w:rPr>
                      <w:t>הגנת הסייבר במגזר התחבורה</w:t>
                    </w:r>
                  </w:p>
                </w:txbxContent>
              </v:textbox>
              <w10:wrap type="square"/>
            </v:shape>
          </w:pict>
        </mc:Fallback>
      </mc:AlternateContent>
    </w:r>
  </w:p>
  <w:p w:rsidR="008B694B" w:rsidRPr="00DE55B1" w:rsidP="00DE55B1" w14:paraId="4E47EA6D" w14:textId="6AEDCC82">
    <w:pPr>
      <w:pStyle w:val="Header"/>
      <w:rPr>
        <w:rtl/>
      </w:rPr>
    </w:pPr>
    <w:r>
      <w:rPr>
        <w:noProof/>
      </w:rPr>
      <mc:AlternateContent>
        <mc:Choice Requires="wps">
          <w:drawing>
            <wp:anchor distT="0" distB="0" distL="114300" distR="114300" simplePos="0" relativeHeight="25167052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1552"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77FD9" w:rsidP="001526AC" w14:paraId="58B0495C"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384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77FD9"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1616" filled="f" strokecolor="#a5a5a5" strokeweight="0.25pt">
              <v:stroke dashstyle="longDash"/>
              <v:textbox>
                <w:txbxContent>
                  <w:p w:rsidR="00E77FD9" w:rsidRPr="00FD02CC" w:rsidP="006E67D8" w14:paraId="1DB4EDF8"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2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77FD9" w:rsidRPr="009B7D1B" w:rsidP="00E77FD9" w14:textId="4B71903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77FD9">
                            <w:rPr>
                              <w:rFonts w:ascii="Tahoma" w:hAnsi="Tahoma" w:cs="Tahoma"/>
                              <w:b/>
                              <w:bCs/>
                              <w:rtl/>
                            </w:rPr>
                            <w:t>הגנת הסייבר במגזר התחבורה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59"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77FD9" w:rsidRPr="009B7D1B" w:rsidP="00E77FD9" w14:paraId="1C6B4CD5" w14:textId="4B71903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77FD9">
                      <w:rPr>
                        <w:rFonts w:ascii="Tahoma" w:hAnsi="Tahoma" w:cs="Tahoma"/>
                        <w:b/>
                        <w:bCs/>
                        <w:rtl/>
                      </w:rPr>
                      <w:t>הגנת הסייבר במגזר התחבורה</w:t>
                    </w:r>
                  </w:p>
                </w:txbxContent>
              </v:textbox>
              <w10:wrap type="square"/>
            </v:shape>
          </w:pict>
        </mc:Fallback>
      </mc:AlternateContent>
    </w:r>
  </w:p>
  <w:p w:rsidR="00E77FD9" w:rsidP="001526AC" w14:paraId="7DFB4122" w14:textId="77777777">
    <w:pPr>
      <w:pStyle w:val="Header"/>
      <w:tabs>
        <w:tab w:val="left" w:pos="493"/>
        <w:tab w:val="center" w:pos="4111"/>
        <w:tab w:val="clear" w:pos="4153"/>
        <w:tab w:val="right" w:pos="7478"/>
        <w:tab w:val="right" w:pos="8222"/>
        <w:tab w:val="clear" w:pos="8306"/>
      </w:tabs>
      <w:jc w:val="left"/>
      <w:rPr>
        <w:rtl/>
      </w:rPr>
    </w:pPr>
  </w:p>
  <w:p w:rsidR="00E77FD9" w:rsidRPr="001526AC" w:rsidP="00005B23" w14:paraId="2AFEB914" w14:textId="77777777">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85888"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1A2" w:rsidRPr="00385E24" w:rsidP="00AE01A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E77FD9" w:rsidRPr="00AE01A2" w:rsidP="00B244B0" w14:textId="1E9AB224">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0"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AE01A2" w:rsidRPr="00385E24" w:rsidP="00AE01A2" w14:paraId="2FB0D630"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E77FD9" w:rsidRPr="00AE01A2" w:rsidP="00B244B0" w14:paraId="59988289" w14:textId="1E9AB224">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3"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1"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CA8AC054"/>
    <w:lvl w:ilvl="0">
      <w:start w:val="1"/>
      <w:numFmt w:val="decimal"/>
      <w:lvlText w:val="%1."/>
      <w:lvlJc w:val="left"/>
      <w:pPr>
        <w:tabs>
          <w:tab w:val="num" w:pos="1492"/>
        </w:tabs>
        <w:ind w:left="1492" w:hanging="360"/>
      </w:pPr>
    </w:lvl>
  </w:abstractNum>
  <w:abstractNum w:abstractNumId="1">
    <w:nsid w:val="FFFFFF7D"/>
    <w:multiLevelType w:val="singleLevel"/>
    <w:tmpl w:val="DD92EB22"/>
    <w:lvl w:ilvl="0">
      <w:start w:val="1"/>
      <w:numFmt w:val="decimal"/>
      <w:lvlText w:val="%1."/>
      <w:lvlJc w:val="left"/>
      <w:pPr>
        <w:tabs>
          <w:tab w:val="num" w:pos="1209"/>
        </w:tabs>
        <w:ind w:left="1209" w:hanging="360"/>
      </w:pPr>
    </w:lvl>
  </w:abstractNum>
  <w:abstractNum w:abstractNumId="2">
    <w:nsid w:val="FFFFFF7F"/>
    <w:multiLevelType w:val="singleLevel"/>
    <w:tmpl w:val="319A6A20"/>
    <w:lvl w:ilvl="0">
      <w:start w:val="1"/>
      <w:numFmt w:val="decimal"/>
      <w:lvlText w:val="%1."/>
      <w:lvlJc w:val="left"/>
      <w:pPr>
        <w:tabs>
          <w:tab w:val="num" w:pos="643"/>
        </w:tabs>
        <w:ind w:left="643" w:hanging="360"/>
      </w:pPr>
    </w:lvl>
  </w:abstractNum>
  <w:abstractNum w:abstractNumId="3">
    <w:nsid w:val="FFFFFF80"/>
    <w:multiLevelType w:val="singleLevel"/>
    <w:tmpl w:val="C2F49A9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87BE086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E48849A"/>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98AC837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EF6A41FC"/>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AE77CE9"/>
    <w:multiLevelType w:val="hybridMultilevel"/>
    <w:tmpl w:val="6EA415B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5CC573A"/>
    <w:multiLevelType w:val="hybridMultilevel"/>
    <w:tmpl w:val="7C52E9E4"/>
    <w:lvl w:ilvl="0">
      <w:start w:val="1"/>
      <w:numFmt w:val="decimal"/>
      <w:lvlText w:val="%1."/>
      <w:lvlJc w:val="left"/>
      <w:pPr>
        <w:ind w:left="357" w:hanging="35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CED4844"/>
    <w:multiLevelType w:val="hybridMultilevel"/>
    <w:tmpl w:val="3880D33A"/>
    <w:lvl w:ilvl="0">
      <w:start w:val="1"/>
      <w:numFmt w:val="decimal"/>
      <w:lvlText w:val="%1."/>
      <w:lvlJc w:val="left"/>
      <w:pPr>
        <w:ind w:left="357" w:hanging="35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nsid w:val="30527762"/>
    <w:multiLevelType w:val="hybridMultilevel"/>
    <w:tmpl w:val="92E87472"/>
    <w:lvl w:ilvl="0">
      <w:start w:val="1"/>
      <w:numFmt w:val="decimal"/>
      <w:lvlText w:val="%1."/>
      <w:lvlJc w:val="left"/>
      <w:pPr>
        <w:ind w:left="357" w:hanging="35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9E96273"/>
    <w:multiLevelType w:val="hybridMultilevel"/>
    <w:tmpl w:val="40AA2B0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4EB96612"/>
    <w:multiLevelType w:val="hybridMultilevel"/>
    <w:tmpl w:val="331899B6"/>
    <w:lvl w:ilvl="0">
      <w:start w:val="1"/>
      <w:numFmt w:val="decimal"/>
      <w:lvlText w:val="%1."/>
      <w:lvlJc w:val="left"/>
      <w:pPr>
        <w:ind w:left="357" w:hanging="35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BD54843"/>
    <w:multiLevelType w:val="hybridMultilevel"/>
    <w:tmpl w:val="6C9E50B2"/>
    <w:lvl w:ilvl="0">
      <w:start w:val="1"/>
      <w:numFmt w:val="decimal"/>
      <w:lvlText w:val="%1."/>
      <w:lvlJc w:val="left"/>
      <w:pPr>
        <w:ind w:left="357" w:hanging="35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nsid w:val="63C0180B"/>
    <w:multiLevelType w:val="hybridMultilevel"/>
    <w:tmpl w:val="7CF2F15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DF237EF"/>
    <w:multiLevelType w:val="hybridMultilevel"/>
    <w:tmpl w:val="2C96FF7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nsid w:val="7D7E2E5D"/>
    <w:multiLevelType w:val="hybridMultilevel"/>
    <w:tmpl w:val="A9ACC32C"/>
    <w:lvl w:ilvl="0">
      <w:start w:val="1"/>
      <w:numFmt w:val="decimal"/>
      <w:lvlText w:val="%1."/>
      <w:lvlJc w:val="left"/>
      <w:pPr>
        <w:ind w:left="357" w:hanging="357"/>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7"/>
  </w:num>
  <w:num w:numId="2">
    <w:abstractNumId w:val="21"/>
  </w:num>
  <w:num w:numId="3">
    <w:abstractNumId w:val="13"/>
  </w:num>
  <w:num w:numId="4">
    <w:abstractNumId w:val="16"/>
  </w:num>
  <w:num w:numId="5">
    <w:abstractNumId w:val="25"/>
  </w:num>
  <w:num w:numId="6">
    <w:abstractNumId w:val="8"/>
  </w:num>
  <w:num w:numId="7">
    <w:abstractNumId w:val="18"/>
  </w:num>
  <w:num w:numId="8">
    <w:abstractNumId w:val="22"/>
  </w:num>
  <w:num w:numId="9">
    <w:abstractNumId w:val="10"/>
  </w:num>
  <w:num w:numId="10">
    <w:abstractNumId w:val="23"/>
  </w:num>
  <w:num w:numId="11">
    <w:abstractNumId w:val="9"/>
  </w:num>
  <w:num w:numId="12">
    <w:abstractNumId w:val="15"/>
  </w:num>
  <w:num w:numId="13">
    <w:abstractNumId w:val="24"/>
  </w:num>
  <w:num w:numId="14">
    <w:abstractNumId w:val="11"/>
  </w:num>
  <w:num w:numId="15">
    <w:abstractNumId w:val="19"/>
  </w:num>
  <w:num w:numId="16">
    <w:abstractNumId w:val="12"/>
  </w:num>
  <w:num w:numId="17">
    <w:abstractNumId w:val="14"/>
  </w:num>
  <w:num w:numId="18">
    <w:abstractNumId w:val="26"/>
  </w:num>
  <w:num w:numId="19">
    <w:abstractNumId w:val="20"/>
  </w:num>
  <w:num w:numId="20">
    <w:abstractNumId w:val="3"/>
  </w:num>
  <w:num w:numId="21">
    <w:abstractNumId w:val="4"/>
  </w:num>
  <w:num w:numId="22">
    <w:abstractNumId w:val="5"/>
  </w:num>
  <w:num w:numId="23">
    <w:abstractNumId w:val="6"/>
  </w:num>
  <w:num w:numId="24">
    <w:abstractNumId w:val="7"/>
  </w:num>
  <w:num w:numId="25">
    <w:abstractNumId w:val="0"/>
  </w:num>
  <w:num w:numId="26">
    <w:abstractNumId w:val="1"/>
  </w:num>
  <w:num w:numId="2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4"/>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89"/>
    <w:rsid w:val="0003001D"/>
    <w:rsid w:val="000303C9"/>
    <w:rsid w:val="00031C68"/>
    <w:rsid w:val="00031C69"/>
    <w:rsid w:val="00031CEB"/>
    <w:rsid w:val="00032932"/>
    <w:rsid w:val="00033124"/>
    <w:rsid w:val="000335D9"/>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29E"/>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EE8"/>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051"/>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2AB"/>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0EE"/>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318"/>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3D6"/>
    <w:rsid w:val="000F5EDB"/>
    <w:rsid w:val="000F60AB"/>
    <w:rsid w:val="000F62A9"/>
    <w:rsid w:val="000F6F38"/>
    <w:rsid w:val="000F76A8"/>
    <w:rsid w:val="000F7725"/>
    <w:rsid w:val="000F78AE"/>
    <w:rsid w:val="00100029"/>
    <w:rsid w:val="00101157"/>
    <w:rsid w:val="00101681"/>
    <w:rsid w:val="00101BB0"/>
    <w:rsid w:val="00101D0F"/>
    <w:rsid w:val="00102185"/>
    <w:rsid w:val="0010231B"/>
    <w:rsid w:val="0010237C"/>
    <w:rsid w:val="0010413A"/>
    <w:rsid w:val="00104BF9"/>
    <w:rsid w:val="00104FBC"/>
    <w:rsid w:val="00105970"/>
    <w:rsid w:val="00106A59"/>
    <w:rsid w:val="00107175"/>
    <w:rsid w:val="0010747A"/>
    <w:rsid w:val="00107A35"/>
    <w:rsid w:val="00107D4A"/>
    <w:rsid w:val="0011021D"/>
    <w:rsid w:val="0011146E"/>
    <w:rsid w:val="0011186B"/>
    <w:rsid w:val="00111AD4"/>
    <w:rsid w:val="00111B30"/>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AFB"/>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2E5"/>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26E"/>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AD2"/>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D06"/>
    <w:rsid w:val="001A7DFE"/>
    <w:rsid w:val="001B1655"/>
    <w:rsid w:val="001B17FB"/>
    <w:rsid w:val="001B2821"/>
    <w:rsid w:val="001B285C"/>
    <w:rsid w:val="001B2A02"/>
    <w:rsid w:val="001B2A6D"/>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1DC"/>
    <w:rsid w:val="002643D4"/>
    <w:rsid w:val="00264AC3"/>
    <w:rsid w:val="00264CFB"/>
    <w:rsid w:val="0026519B"/>
    <w:rsid w:val="00265428"/>
    <w:rsid w:val="002654D1"/>
    <w:rsid w:val="0026633D"/>
    <w:rsid w:val="0027101D"/>
    <w:rsid w:val="0027121E"/>
    <w:rsid w:val="0027188F"/>
    <w:rsid w:val="002739B2"/>
    <w:rsid w:val="00273FDF"/>
    <w:rsid w:val="0027424D"/>
    <w:rsid w:val="002750B3"/>
    <w:rsid w:val="00275141"/>
    <w:rsid w:val="002753C7"/>
    <w:rsid w:val="00275A79"/>
    <w:rsid w:val="002763F9"/>
    <w:rsid w:val="00276D55"/>
    <w:rsid w:val="00277114"/>
    <w:rsid w:val="002774D4"/>
    <w:rsid w:val="002807C8"/>
    <w:rsid w:val="0028138F"/>
    <w:rsid w:val="002813A0"/>
    <w:rsid w:val="00281F46"/>
    <w:rsid w:val="00282151"/>
    <w:rsid w:val="00282246"/>
    <w:rsid w:val="00282C5A"/>
    <w:rsid w:val="00282D4B"/>
    <w:rsid w:val="00283FFC"/>
    <w:rsid w:val="0028406A"/>
    <w:rsid w:val="002841CB"/>
    <w:rsid w:val="002844F7"/>
    <w:rsid w:val="00284ABA"/>
    <w:rsid w:val="00284B06"/>
    <w:rsid w:val="00285362"/>
    <w:rsid w:val="00285B61"/>
    <w:rsid w:val="00285EC0"/>
    <w:rsid w:val="00286181"/>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0D6"/>
    <w:rsid w:val="002A7D21"/>
    <w:rsid w:val="002B0115"/>
    <w:rsid w:val="002B08F4"/>
    <w:rsid w:val="002B0C29"/>
    <w:rsid w:val="002B10E8"/>
    <w:rsid w:val="002B12C0"/>
    <w:rsid w:val="002B1394"/>
    <w:rsid w:val="002B2126"/>
    <w:rsid w:val="002B30DB"/>
    <w:rsid w:val="002B3A8C"/>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316A"/>
    <w:rsid w:val="002C3870"/>
    <w:rsid w:val="002C3B87"/>
    <w:rsid w:val="002C3D55"/>
    <w:rsid w:val="002C4139"/>
    <w:rsid w:val="002C4302"/>
    <w:rsid w:val="002C4F9F"/>
    <w:rsid w:val="002C54FF"/>
    <w:rsid w:val="002C58AD"/>
    <w:rsid w:val="002C65B3"/>
    <w:rsid w:val="002C6D22"/>
    <w:rsid w:val="002C6D2E"/>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99A"/>
    <w:rsid w:val="002E1E1F"/>
    <w:rsid w:val="002E1F6C"/>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2F7FB1"/>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CA"/>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948"/>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8BA"/>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6796"/>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4FAC"/>
    <w:rsid w:val="00395146"/>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678"/>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0E84"/>
    <w:rsid w:val="003E14F5"/>
    <w:rsid w:val="003E159B"/>
    <w:rsid w:val="003E20EB"/>
    <w:rsid w:val="003E2333"/>
    <w:rsid w:val="003E248F"/>
    <w:rsid w:val="003E26E6"/>
    <w:rsid w:val="003E2F13"/>
    <w:rsid w:val="003E31EE"/>
    <w:rsid w:val="003E364E"/>
    <w:rsid w:val="003E4AD0"/>
    <w:rsid w:val="003E4D21"/>
    <w:rsid w:val="003E4D5A"/>
    <w:rsid w:val="003E56BD"/>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25"/>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D69"/>
    <w:rsid w:val="00433DC5"/>
    <w:rsid w:val="00434C19"/>
    <w:rsid w:val="00435E93"/>
    <w:rsid w:val="0043603B"/>
    <w:rsid w:val="00436048"/>
    <w:rsid w:val="00436383"/>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6E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27F"/>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48E"/>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DE4"/>
    <w:rsid w:val="00471E18"/>
    <w:rsid w:val="00471FC6"/>
    <w:rsid w:val="0047228C"/>
    <w:rsid w:val="004723DB"/>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5DD4"/>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E80"/>
    <w:rsid w:val="004A1FF4"/>
    <w:rsid w:val="004A234A"/>
    <w:rsid w:val="004A2819"/>
    <w:rsid w:val="004A30DB"/>
    <w:rsid w:val="004A3415"/>
    <w:rsid w:val="004A3A1C"/>
    <w:rsid w:val="004A4B21"/>
    <w:rsid w:val="004A581E"/>
    <w:rsid w:val="004A5AE0"/>
    <w:rsid w:val="004A5D89"/>
    <w:rsid w:val="004A5FCA"/>
    <w:rsid w:val="004A60D6"/>
    <w:rsid w:val="004A6AD5"/>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1BE2"/>
    <w:rsid w:val="004C209B"/>
    <w:rsid w:val="004C2149"/>
    <w:rsid w:val="004C22B7"/>
    <w:rsid w:val="004C2531"/>
    <w:rsid w:val="004C2B02"/>
    <w:rsid w:val="004C3342"/>
    <w:rsid w:val="004C3B1F"/>
    <w:rsid w:val="004C4056"/>
    <w:rsid w:val="004C4396"/>
    <w:rsid w:val="004C4AF0"/>
    <w:rsid w:val="004C4F65"/>
    <w:rsid w:val="004C525B"/>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B3"/>
    <w:rsid w:val="004E6717"/>
    <w:rsid w:val="004E694F"/>
    <w:rsid w:val="004E6D72"/>
    <w:rsid w:val="004E7219"/>
    <w:rsid w:val="004E7332"/>
    <w:rsid w:val="004E7564"/>
    <w:rsid w:val="004E776C"/>
    <w:rsid w:val="004E7906"/>
    <w:rsid w:val="004E7A25"/>
    <w:rsid w:val="004E7F0D"/>
    <w:rsid w:val="004F01B0"/>
    <w:rsid w:val="004F05C6"/>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721A"/>
    <w:rsid w:val="0052795B"/>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79B"/>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0BA"/>
    <w:rsid w:val="00561471"/>
    <w:rsid w:val="0056270E"/>
    <w:rsid w:val="00562ECE"/>
    <w:rsid w:val="00563749"/>
    <w:rsid w:val="00563A42"/>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9B"/>
    <w:rsid w:val="00577BC4"/>
    <w:rsid w:val="005801AC"/>
    <w:rsid w:val="00580508"/>
    <w:rsid w:val="005806F9"/>
    <w:rsid w:val="00580C5C"/>
    <w:rsid w:val="00580DA8"/>
    <w:rsid w:val="00580F79"/>
    <w:rsid w:val="0058142E"/>
    <w:rsid w:val="005815C2"/>
    <w:rsid w:val="00581795"/>
    <w:rsid w:val="00581FED"/>
    <w:rsid w:val="00582A39"/>
    <w:rsid w:val="0058326C"/>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7D6"/>
    <w:rsid w:val="005A5A70"/>
    <w:rsid w:val="005A6C8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483"/>
    <w:rsid w:val="005C3857"/>
    <w:rsid w:val="005C4228"/>
    <w:rsid w:val="005C438E"/>
    <w:rsid w:val="005C43F3"/>
    <w:rsid w:val="005C552D"/>
    <w:rsid w:val="005C55B2"/>
    <w:rsid w:val="005C5648"/>
    <w:rsid w:val="005C57A7"/>
    <w:rsid w:val="005C608E"/>
    <w:rsid w:val="005C62D9"/>
    <w:rsid w:val="005C66E2"/>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5C17"/>
    <w:rsid w:val="006061F3"/>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987"/>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2B4"/>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9D0"/>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97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65A"/>
    <w:rsid w:val="00697E8B"/>
    <w:rsid w:val="006A040F"/>
    <w:rsid w:val="006A0863"/>
    <w:rsid w:val="006A098A"/>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476"/>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0F50"/>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BEE"/>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8DC"/>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8F1"/>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1F"/>
    <w:rsid w:val="007678E6"/>
    <w:rsid w:val="00767B25"/>
    <w:rsid w:val="007702E5"/>
    <w:rsid w:val="00770AC7"/>
    <w:rsid w:val="007715F1"/>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EDF"/>
    <w:rsid w:val="00795F23"/>
    <w:rsid w:val="00796843"/>
    <w:rsid w:val="0079764A"/>
    <w:rsid w:val="00797A48"/>
    <w:rsid w:val="00797D0E"/>
    <w:rsid w:val="00797D14"/>
    <w:rsid w:val="00797DAD"/>
    <w:rsid w:val="007A0632"/>
    <w:rsid w:val="007A0926"/>
    <w:rsid w:val="007A1E36"/>
    <w:rsid w:val="007A24E6"/>
    <w:rsid w:val="007A2FCF"/>
    <w:rsid w:val="007A39F0"/>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B3C"/>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4B"/>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4EE0"/>
    <w:rsid w:val="007E5629"/>
    <w:rsid w:val="007E5AD7"/>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3EC"/>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07E"/>
    <w:rsid w:val="0081167C"/>
    <w:rsid w:val="00811B73"/>
    <w:rsid w:val="00811E96"/>
    <w:rsid w:val="00811EF6"/>
    <w:rsid w:val="0081268F"/>
    <w:rsid w:val="0081297F"/>
    <w:rsid w:val="008148B4"/>
    <w:rsid w:val="0081495F"/>
    <w:rsid w:val="00814E9E"/>
    <w:rsid w:val="008153A7"/>
    <w:rsid w:val="008153B7"/>
    <w:rsid w:val="00815587"/>
    <w:rsid w:val="00815EB6"/>
    <w:rsid w:val="0081653B"/>
    <w:rsid w:val="008166A5"/>
    <w:rsid w:val="008168F8"/>
    <w:rsid w:val="00816F7B"/>
    <w:rsid w:val="00820393"/>
    <w:rsid w:val="008203CF"/>
    <w:rsid w:val="00820603"/>
    <w:rsid w:val="00820F52"/>
    <w:rsid w:val="0082130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5707"/>
    <w:rsid w:val="00835CAC"/>
    <w:rsid w:val="00835EF0"/>
    <w:rsid w:val="0083622F"/>
    <w:rsid w:val="008362BC"/>
    <w:rsid w:val="00836343"/>
    <w:rsid w:val="00836462"/>
    <w:rsid w:val="0083646C"/>
    <w:rsid w:val="008364D5"/>
    <w:rsid w:val="008368AA"/>
    <w:rsid w:val="0083723D"/>
    <w:rsid w:val="00837276"/>
    <w:rsid w:val="008372A9"/>
    <w:rsid w:val="008375AA"/>
    <w:rsid w:val="00837997"/>
    <w:rsid w:val="0084108E"/>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B4F"/>
    <w:rsid w:val="00864147"/>
    <w:rsid w:val="00864200"/>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64"/>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39"/>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524"/>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AF5"/>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52D"/>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6BD"/>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0567"/>
    <w:rsid w:val="009C12CC"/>
    <w:rsid w:val="009C161A"/>
    <w:rsid w:val="009C1DAD"/>
    <w:rsid w:val="009C1E60"/>
    <w:rsid w:val="009C344D"/>
    <w:rsid w:val="009C3921"/>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11D"/>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5F81"/>
    <w:rsid w:val="00A06208"/>
    <w:rsid w:val="00A0628B"/>
    <w:rsid w:val="00A06764"/>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7F7"/>
    <w:rsid w:val="00A20EFE"/>
    <w:rsid w:val="00A21556"/>
    <w:rsid w:val="00A21903"/>
    <w:rsid w:val="00A22AF7"/>
    <w:rsid w:val="00A23211"/>
    <w:rsid w:val="00A23E24"/>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2F3D"/>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A4F"/>
    <w:rsid w:val="00A408EB"/>
    <w:rsid w:val="00A4109A"/>
    <w:rsid w:val="00A41312"/>
    <w:rsid w:val="00A4133B"/>
    <w:rsid w:val="00A4189A"/>
    <w:rsid w:val="00A41A4E"/>
    <w:rsid w:val="00A42565"/>
    <w:rsid w:val="00A42621"/>
    <w:rsid w:val="00A428CB"/>
    <w:rsid w:val="00A436D2"/>
    <w:rsid w:val="00A43752"/>
    <w:rsid w:val="00A4391C"/>
    <w:rsid w:val="00A443B8"/>
    <w:rsid w:val="00A4469D"/>
    <w:rsid w:val="00A452B2"/>
    <w:rsid w:val="00A454D8"/>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16"/>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0CFA"/>
    <w:rsid w:val="00A915F4"/>
    <w:rsid w:val="00A916EF"/>
    <w:rsid w:val="00A917A9"/>
    <w:rsid w:val="00A91C36"/>
    <w:rsid w:val="00A91D41"/>
    <w:rsid w:val="00A926F4"/>
    <w:rsid w:val="00A93F51"/>
    <w:rsid w:val="00A940CD"/>
    <w:rsid w:val="00A94153"/>
    <w:rsid w:val="00A96010"/>
    <w:rsid w:val="00A960E9"/>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1A2"/>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40"/>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224C"/>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4B81"/>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1FB5"/>
    <w:rsid w:val="00B4206F"/>
    <w:rsid w:val="00B425F1"/>
    <w:rsid w:val="00B42998"/>
    <w:rsid w:val="00B42DF1"/>
    <w:rsid w:val="00B4301A"/>
    <w:rsid w:val="00B43B6A"/>
    <w:rsid w:val="00B43C8B"/>
    <w:rsid w:val="00B43FF7"/>
    <w:rsid w:val="00B4438B"/>
    <w:rsid w:val="00B4451E"/>
    <w:rsid w:val="00B450DF"/>
    <w:rsid w:val="00B453BE"/>
    <w:rsid w:val="00B45979"/>
    <w:rsid w:val="00B46241"/>
    <w:rsid w:val="00B46422"/>
    <w:rsid w:val="00B46735"/>
    <w:rsid w:val="00B468A0"/>
    <w:rsid w:val="00B46B4C"/>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5F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3D74"/>
    <w:rsid w:val="00B842EA"/>
    <w:rsid w:val="00B850CE"/>
    <w:rsid w:val="00B862C0"/>
    <w:rsid w:val="00B863D9"/>
    <w:rsid w:val="00B864BA"/>
    <w:rsid w:val="00B86C03"/>
    <w:rsid w:val="00B86C42"/>
    <w:rsid w:val="00B86E98"/>
    <w:rsid w:val="00B86F63"/>
    <w:rsid w:val="00B90192"/>
    <w:rsid w:val="00B90A49"/>
    <w:rsid w:val="00B90AC6"/>
    <w:rsid w:val="00B90B9B"/>
    <w:rsid w:val="00B90C7D"/>
    <w:rsid w:val="00B91455"/>
    <w:rsid w:val="00B919E1"/>
    <w:rsid w:val="00B91AD9"/>
    <w:rsid w:val="00B91E87"/>
    <w:rsid w:val="00B92313"/>
    <w:rsid w:val="00B933BC"/>
    <w:rsid w:val="00B93791"/>
    <w:rsid w:val="00B93921"/>
    <w:rsid w:val="00B93C44"/>
    <w:rsid w:val="00B93C72"/>
    <w:rsid w:val="00B9444C"/>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5F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0FB"/>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42B"/>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2AA9"/>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58"/>
    <w:rsid w:val="00C14AC2"/>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377"/>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AB2"/>
    <w:rsid w:val="00C40C64"/>
    <w:rsid w:val="00C41011"/>
    <w:rsid w:val="00C42239"/>
    <w:rsid w:val="00C433C4"/>
    <w:rsid w:val="00C43B8B"/>
    <w:rsid w:val="00C43FBA"/>
    <w:rsid w:val="00C441CC"/>
    <w:rsid w:val="00C44475"/>
    <w:rsid w:val="00C445BA"/>
    <w:rsid w:val="00C44F87"/>
    <w:rsid w:val="00C451F2"/>
    <w:rsid w:val="00C45757"/>
    <w:rsid w:val="00C4609E"/>
    <w:rsid w:val="00C46807"/>
    <w:rsid w:val="00C47D44"/>
    <w:rsid w:val="00C50B1E"/>
    <w:rsid w:val="00C51C72"/>
    <w:rsid w:val="00C51CB1"/>
    <w:rsid w:val="00C521B4"/>
    <w:rsid w:val="00C52914"/>
    <w:rsid w:val="00C53449"/>
    <w:rsid w:val="00C5351A"/>
    <w:rsid w:val="00C539F2"/>
    <w:rsid w:val="00C544CC"/>
    <w:rsid w:val="00C546E7"/>
    <w:rsid w:val="00C55114"/>
    <w:rsid w:val="00C5625E"/>
    <w:rsid w:val="00C56262"/>
    <w:rsid w:val="00C57198"/>
    <w:rsid w:val="00C578CE"/>
    <w:rsid w:val="00C60CBB"/>
    <w:rsid w:val="00C61597"/>
    <w:rsid w:val="00C617BF"/>
    <w:rsid w:val="00C6235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1F8"/>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52F"/>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3B9"/>
    <w:rsid w:val="00CA5908"/>
    <w:rsid w:val="00CA5A5A"/>
    <w:rsid w:val="00CA5D21"/>
    <w:rsid w:val="00CA5F84"/>
    <w:rsid w:val="00CA6198"/>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631"/>
    <w:rsid w:val="00CE291E"/>
    <w:rsid w:val="00CE2920"/>
    <w:rsid w:val="00CE2C34"/>
    <w:rsid w:val="00CE2C53"/>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2AB"/>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7B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69A9"/>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4CE8"/>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A84"/>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056"/>
    <w:rsid w:val="00E2527D"/>
    <w:rsid w:val="00E262A9"/>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428"/>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6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703B"/>
    <w:rsid w:val="00E577EC"/>
    <w:rsid w:val="00E57C4D"/>
    <w:rsid w:val="00E602BD"/>
    <w:rsid w:val="00E61A8D"/>
    <w:rsid w:val="00E62337"/>
    <w:rsid w:val="00E62809"/>
    <w:rsid w:val="00E63321"/>
    <w:rsid w:val="00E63374"/>
    <w:rsid w:val="00E634AD"/>
    <w:rsid w:val="00E635BD"/>
    <w:rsid w:val="00E63675"/>
    <w:rsid w:val="00E637A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9F1"/>
    <w:rsid w:val="00E72B05"/>
    <w:rsid w:val="00E72E0E"/>
    <w:rsid w:val="00E72FE7"/>
    <w:rsid w:val="00E73D0E"/>
    <w:rsid w:val="00E74A39"/>
    <w:rsid w:val="00E75609"/>
    <w:rsid w:val="00E75790"/>
    <w:rsid w:val="00E75BCD"/>
    <w:rsid w:val="00E76031"/>
    <w:rsid w:val="00E76714"/>
    <w:rsid w:val="00E77FD9"/>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9BB"/>
    <w:rsid w:val="00E90A8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53"/>
    <w:rsid w:val="00EB6DA9"/>
    <w:rsid w:val="00EB7804"/>
    <w:rsid w:val="00EB78F8"/>
    <w:rsid w:val="00EC0343"/>
    <w:rsid w:val="00EC08AD"/>
    <w:rsid w:val="00EC0F29"/>
    <w:rsid w:val="00EC1828"/>
    <w:rsid w:val="00EC1B2E"/>
    <w:rsid w:val="00EC2250"/>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3A9"/>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823"/>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49"/>
    <w:rsid w:val="00F332ED"/>
    <w:rsid w:val="00F33552"/>
    <w:rsid w:val="00F335AB"/>
    <w:rsid w:val="00F33C8D"/>
    <w:rsid w:val="00F342BD"/>
    <w:rsid w:val="00F3444F"/>
    <w:rsid w:val="00F347DD"/>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5D4"/>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089"/>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D56"/>
    <w:rsid w:val="00FC6E1D"/>
    <w:rsid w:val="00FC740E"/>
    <w:rsid w:val="00FD02CC"/>
    <w:rsid w:val="00FD1685"/>
    <w:rsid w:val="00FD1AA4"/>
    <w:rsid w:val="00FD1BD4"/>
    <w:rsid w:val="00FD1EA8"/>
    <w:rsid w:val="00FD2DBC"/>
    <w:rsid w:val="00FD2FA7"/>
    <w:rsid w:val="00FD3B87"/>
    <w:rsid w:val="00FD4325"/>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90D"/>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9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
    <w:name w:val="73א פעולות ביקורת"/>
    <w:basedOn w:val="216"/>
    <w:qFormat/>
    <w:rsid w:val="00845C1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845C15"/>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845C15"/>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1"/>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845C15"/>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1"/>
      </w:numPr>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9"/>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5"/>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6"/>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right="22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qFormat/>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845C15"/>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45C15"/>
    <w:rPr>
      <w:rFonts w:ascii="Tahoma" w:hAnsi="Tahoma" w:eastAsiaTheme="minorEastAsia" w:cs="Tahoma"/>
      <w:b w:val="0"/>
      <w:bCs/>
      <w:color w:val="00305F"/>
      <w:sz w:val="31"/>
      <w:szCs w:val="31"/>
    </w:rPr>
  </w:style>
  <w:style w:type="paragraph" w:customStyle="1" w:styleId="7329">
    <w:name w:val="73א כותרת 2"/>
    <w:link w:val="73210"/>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203D89"/>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qFormat/>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45C15"/>
    <w:rPr>
      <w:color w:val="0D0D0D" w:themeColor="text1" w:themeTint="F2"/>
      <w:sz w:val="18"/>
    </w:rPr>
  </w:style>
  <w:style w:type="character" w:customStyle="1" w:styleId="7393">
    <w:name w:val="73א טקסט רץ 9 תו"/>
    <w:basedOn w:val="Char4"/>
    <w:link w:val="7392"/>
    <w:rsid w:val="00845C15"/>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D404DD"/>
    <w:rPr>
      <w:rFonts w:ascii="Tahoma" w:hAnsi="Tahoma" w:cs="Tahoma"/>
      <w:color w:val="0D0D0D" w:themeColor="text1" w:themeTint="F2"/>
      <w:sz w:val="16"/>
      <w:szCs w:val="16"/>
    </w:rPr>
  </w:style>
  <w:style w:type="paragraph" w:customStyle="1" w:styleId="a35">
    <w:name w:val="תאריך הדוח"/>
    <w:qFormat/>
    <w:rsid w:val="00C5625E"/>
    <w:pPr>
      <w:ind w:left="2268"/>
      <w:jc w:val="left"/>
    </w:pPr>
    <w:rPr>
      <w:rFonts w:ascii="Tahoma" w:hAnsi="Tahoma" w:cs="Tahoma"/>
      <w:sz w:val="18"/>
      <w:szCs w:val="18"/>
    </w:rPr>
  </w:style>
  <w:style w:type="paragraph" w:customStyle="1" w:styleId="a3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Normal"/>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DefaultParagraphFont"/>
    <w:rsid w:val="002B2126"/>
  </w:style>
  <w:style w:type="character" w:customStyle="1" w:styleId="articlebodytext">
    <w:name w:val="article_body_text"/>
    <w:basedOn w:val="DefaultParagraphFont"/>
    <w:rsid w:val="002B2126"/>
  </w:style>
  <w:style w:type="table" w:styleId="GridTableLight">
    <w:name w:val="Grid Table Light"/>
    <w:basedOn w:val="TableNormal"/>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hAnsi="Tahoma" w:eastAsiaTheme="minorEastAsia" w:cs="Tahoma"/>
      <w:sz w:val="17"/>
      <w:szCs w:val="17"/>
    </w:rPr>
  </w:style>
  <w:style w:type="character" w:customStyle="1" w:styleId="nlmpublisher-name">
    <w:name w:val="nlm_publisher-name"/>
    <w:basedOn w:val="DefaultParagraphFont"/>
    <w:rsid w:val="007715F1"/>
  </w:style>
  <w:style w:type="character" w:customStyle="1" w:styleId="nlmyear">
    <w:name w:val="nlm_year"/>
    <w:basedOn w:val="DefaultParagraphFont"/>
    <w:rsid w:val="007715F1"/>
  </w:style>
  <w:style w:type="character" w:customStyle="1" w:styleId="mw-headline">
    <w:name w:val="mw-headline"/>
    <w:basedOn w:val="DefaultParagraphFont"/>
    <w:rsid w:val="007A0632"/>
  </w:style>
  <w:style w:type="paragraph" w:customStyle="1" w:styleId="HNormal">
    <w:name w:val="HNormal"/>
    <w:rsid w:val="007A0632"/>
    <w:pPr>
      <w:bidi/>
      <w:spacing w:after="120" w:line="240" w:lineRule="auto"/>
    </w:pPr>
    <w:rPr>
      <w:rFonts w:eastAsia="Times New Roman"/>
      <w:noProof/>
      <w:lang w:eastAsia="he-IL"/>
    </w:rPr>
  </w:style>
  <w:style w:type="paragraph" w:customStyle="1" w:styleId="a37">
    <w:name w:val="הערות שוליים"/>
    <w:basedOn w:val="FootnoteText"/>
    <w:qFormat/>
    <w:rsid w:val="007A0632"/>
    <w:pPr>
      <w:spacing w:after="60" w:line="312" w:lineRule="auto"/>
      <w:ind w:left="397" w:hanging="397"/>
    </w:pPr>
    <w:rPr>
      <w:rFonts w:ascii="Tahoma" w:hAnsi="Tahoma" w:cs="Tahoma"/>
      <w:sz w:val="16"/>
      <w:szCs w:val="16"/>
    </w:rPr>
  </w:style>
  <w:style w:type="paragraph" w:customStyle="1" w:styleId="R">
    <w:name w:val="טקסט R טבלה"/>
    <w:basedOn w:val="Normal"/>
    <w:qFormat/>
    <w:rsid w:val="007A0632"/>
    <w:pPr>
      <w:spacing w:before="40" w:after="40"/>
      <w:jc w:val="left"/>
    </w:pPr>
    <w:rPr>
      <w:rFonts w:ascii="Tahoma" w:hAnsi="Tahoma" w:eastAsiaTheme="minorEastAsia" w:cs="Tahoma"/>
      <w:szCs w:val="20"/>
    </w:rPr>
  </w:style>
  <w:style w:type="paragraph" w:customStyle="1" w:styleId="a38">
    <w:name w:val="כותרת טבלה"/>
    <w:basedOn w:val="Normal"/>
    <w:qFormat/>
    <w:rsid w:val="007A0632"/>
    <w:pPr>
      <w:spacing w:before="40" w:after="40"/>
      <w:jc w:val="left"/>
    </w:pPr>
    <w:rPr>
      <w:rFonts w:ascii="Tahoma" w:hAnsi="Tahoma" w:eastAsiaTheme="minorEastAsia" w:cs="Tahoma"/>
      <w:b/>
      <w:bCs/>
      <w:color w:val="000000" w:themeColor="text1"/>
      <w:szCs w:val="20"/>
    </w:rPr>
  </w:style>
  <w:style w:type="table" w:styleId="GridTable5Dark">
    <w:name w:val="Grid Table 5 Dark"/>
    <w:basedOn w:val="TableNormal"/>
    <w:uiPriority w:val="50"/>
    <w:rsid w:val="007A06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7A06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7A063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7A06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16">
    <w:name w:val="כותרת 3_16"/>
    <w:basedOn w:val="Heading3"/>
    <w:link w:val="316Char"/>
    <w:qFormat/>
    <w:rsid w:val="007A0632"/>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DefaultParagraphFont"/>
    <w:link w:val="316"/>
    <w:rsid w:val="007A0632"/>
    <w:rPr>
      <w:rFonts w:ascii="Tahoma" w:eastAsia="Times New Roman" w:hAnsi="Tahoma" w:cs="Tahoma"/>
      <w:color w:val="009692"/>
      <w:sz w:val="32"/>
      <w:szCs w:val="32"/>
    </w:rPr>
  </w:style>
  <w:style w:type="table" w:styleId="GridTable1Light">
    <w:name w:val="Grid Table 1 Light"/>
    <w:basedOn w:val="TableNormal"/>
    <w:uiPriority w:val="46"/>
    <w:rsid w:val="007A0632"/>
    <w:pPr>
      <w:spacing w:after="0" w:line="240" w:lineRule="auto"/>
      <w:jc w:val="left"/>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7A063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3.jpeg" /><Relationship Id="rId2" Type="http://schemas.openxmlformats.org/officeDocument/2006/relationships/endnotes" Target="endnotes.xml" /><Relationship Id="rId20" Type="http://schemas.openxmlformats.org/officeDocument/2006/relationships/image" Target="media/image4.emf" /><Relationship Id="rId21" Type="http://schemas.openxmlformats.org/officeDocument/2006/relationships/image" Target="media/image5.jpeg" /><Relationship Id="rId22" Type="http://schemas.openxmlformats.org/officeDocument/2006/relationships/image" Target="media/image6.jpeg" /><Relationship Id="rId23" Type="http://schemas.openxmlformats.org/officeDocument/2006/relationships/image" Target="media/image7.jpeg" /><Relationship Id="rId24" Type="http://schemas.openxmlformats.org/officeDocument/2006/relationships/image" Target="media/image8.jpeg" /><Relationship Id="rId25" Type="http://schemas.openxmlformats.org/officeDocument/2006/relationships/image" Target="media/image9.jpeg" /><Relationship Id="rId26" Type="http://schemas.openxmlformats.org/officeDocument/2006/relationships/image" Target="media/image10.jpeg" /><Relationship Id="rId27" Type="http://schemas.openxmlformats.org/officeDocument/2006/relationships/image" Target="media/image11.jpeg" /><Relationship Id="rId28" Type="http://schemas.openxmlformats.org/officeDocument/2006/relationships/image" Target="media/image12.emf" /><Relationship Id="rId29" Type="http://schemas.openxmlformats.org/officeDocument/2006/relationships/image" Target="media/image13.emf"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header" Target="header6.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5.xml.rels><?xml version="1.0" encoding="utf-8" standalone="yes"?><Relationships xmlns="http://schemas.openxmlformats.org/package/2006/relationships"><Relationship Id="rId1"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4.395cd2fe-a202-4504-9a42-2a92a5cac3f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27BB9ED-9A60-4C06-8887-AA8270E07C1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