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63775048"/>
    <w:bookmarkEnd w:id="0"/>
    <w:p w14:paraId="1815C0C8" w14:textId="116D82E1" w:rsidR="008B2E28" w:rsidRDefault="009D10F3" w:rsidP="008D2388">
      <w:pPr>
        <w:spacing w:line="240" w:lineRule="atLeast"/>
        <w:jc w:val="center"/>
        <w:rPr>
          <w:rFonts w:ascii="Tahoma" w:hAnsi="Tahoma" w:cs="Tahoma"/>
          <w:sz w:val="22"/>
          <w:szCs w:val="22"/>
          <w:rtl/>
        </w:rPr>
      </w:pPr>
      <w:r>
        <w:rPr>
          <w:noProof/>
        </w:rPr>
        <mc:AlternateContent>
          <mc:Choice Requires="wps">
            <w:drawing>
              <wp:anchor distT="0" distB="0" distL="114300" distR="114300" simplePos="0" relativeHeight="251775488" behindDoc="1" locked="0" layoutInCell="1" allowOverlap="1" wp14:anchorId="4AB4C1EF" wp14:editId="4FF9F163">
                <wp:simplePos x="0" y="0"/>
                <wp:positionH relativeFrom="column">
                  <wp:posOffset>-589915</wp:posOffset>
                </wp:positionH>
                <wp:positionV relativeFrom="paragraph">
                  <wp:posOffset>-243673</wp:posOffset>
                </wp:positionV>
                <wp:extent cx="6721475" cy="0"/>
                <wp:effectExtent l="0" t="0" r="0" b="0"/>
                <wp:wrapNone/>
                <wp:docPr id="618" name="Straight Connector 618"/>
                <wp:cNvGraphicFramePr/>
                <a:graphic xmlns:a="http://schemas.openxmlformats.org/drawingml/2006/main">
                  <a:graphicData uri="http://schemas.microsoft.com/office/word/2010/wordprocessingShape">
                    <wps:wsp>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A3E50F" id="Straight Connector 618" o:spid="_x0000_s1026" style="position:absolute;left:0;text-align:left;flip:x;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45pt,-19.2pt" to="482.8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iKn/gEAAFQEAAAOAAAAZHJzL2Uyb0RvYy54bWysVE2P0zAQvSPxHyzfaZLCdiFquoeuFg58&#10;VCz8AK9jN5Zsj2V7m/TfM7bTsAtcQFwsz9ebec+TbG8mo8lJ+KDAdrRZ1ZQIy6FX9tjR79/uXr2l&#10;JERme6bBio6eRaA3u5cvtqNrxRoG0L3wBEFsaEfX0SFG11ZV4IMwLKzACYtBCd6wiKY/Vr1nI6Ib&#10;Xa3relON4HvngYsQ0HtbgnSX8aUUPH6RMohIdEdxtphPn8+HdFa7LWuPnrlB8XkM9g9TGKYsNl2g&#10;bllk5NGr36CM4h4CyLjiYCqQUnGROSCbpv6Fzf3AnMhcUJzgFpnC/4Pln08HT1Tf0U2DT2WZwUe6&#10;j56p4xDJHqxFCcGTFEWtRhdaLNnbg5+t4A4+EZ+kN0Rq5T7gGmQpkByZstLnRWkxRcLRubleN2+u&#10;ryjhl1hVIBKU8yG+F2BIunRUK5tEYC07fQwR22LqJSW5tSVjR183CJfMAFr1d0rrbKQ9EnvtyYnh&#10;BsSpjKYfzSfoi+/dVV3Pe4Bu3JbivnixWV7GBJJbP8HHmLboTKoUHfItnrUog30VErVFvqXtAlRa&#10;MM6FjU3SNSNhdiqTOPtSWBdOz2k8L5zzU6nIG/83xUtF7gw2LsVGWfB/6p5ELCPLkn9RoPBOEjxA&#10;f84bkqXB1c0M588sfRtP7Vz+82ew+wEAAP//AwBQSwMEFAAGAAgAAAAhADqErCvfAAAACwEAAA8A&#10;AABkcnMvZG93bnJldi54bWxMj9tKw0AQhu8F32EZwbt206qhidkUK0pFEOnB+212TEKzsyG7Ofj2&#10;jiDo3Rw+/vkmW0+2EQN2vnakYDGPQCAVztRUKjgenmcrED5oMrpxhAq+0MM6v7zIdGrcSDsc9qEU&#10;HEI+1QqqENpUSl9UaLWfuxaJd5+uszpw25XSdHrkcNvIZRTF0uqa+EKlW3yssDjve6vg7WM7vQ5j&#10;sRk2i8N527/sju9PlVLXV9PDPYiAU/iD4Uef1SFnp5PryXjRKJgly4RRLm5WtyCYSOK7GMTpdyLz&#10;TP7/If8GAAD//wMAUEsBAi0AFAAGAAgAAAAhALaDOJL+AAAA4QEAABMAAAAAAAAAAAAAAAAAAAAA&#10;AFtDb250ZW50X1R5cGVzXS54bWxQSwECLQAUAAYACAAAACEAOP0h/9YAAACUAQAACwAAAAAAAAAA&#10;AAAAAAAvAQAAX3JlbHMvLnJlbHNQSwECLQAUAAYACAAAACEAALoip/4BAABUBAAADgAAAAAAAAAA&#10;AAAAAAAuAgAAZHJzL2Uyb0RvYy54bWxQSwECLQAUAAYACAAAACEAOoSsK98AAAALAQAADwAAAAAA&#10;AAAAAAAAAABYBAAAZHJzL2Rvd25yZXYueG1sUEsFBgAAAAAEAAQA8wAAAGQFAAAAAA==&#10;" strokecolor="#0d0d0d [3069]" strokeweight=".25pt"/>
            </w:pict>
          </mc:Fallback>
        </mc:AlternateContent>
      </w:r>
      <w:r w:rsidR="003C32FE">
        <w:rPr>
          <w:rFonts w:ascii="Tahoma" w:hAnsi="Tahoma" w:cs="Tahoma"/>
          <w:noProof/>
          <w:szCs w:val="18"/>
        </w:rPr>
        <mc:AlternateContent>
          <mc:Choice Requires="wps">
            <w:drawing>
              <wp:anchor distT="0" distB="0" distL="114300" distR="114300" simplePos="0" relativeHeight="251661824" behindDoc="0" locked="0" layoutInCell="1" allowOverlap="1" wp14:anchorId="677A2A3F" wp14:editId="601E5F5C">
                <wp:simplePos x="0" y="0"/>
                <wp:positionH relativeFrom="column">
                  <wp:posOffset>-15163846</wp:posOffset>
                </wp:positionH>
                <wp:positionV relativeFrom="paragraph">
                  <wp:posOffset>-5918996</wp:posOffset>
                </wp:positionV>
                <wp:extent cx="20269200" cy="15478699"/>
                <wp:effectExtent l="0" t="0" r="19050" b="28575"/>
                <wp:wrapNone/>
                <wp:docPr id="11" name="Rectangle 11"/>
                <wp:cNvGraphicFramePr/>
                <a:graphic xmlns:a="http://schemas.openxmlformats.org/drawingml/2006/main">
                  <a:graphicData uri="http://schemas.microsoft.com/office/word/2010/wordprocessingShape">
                    <wps:wsp>
                      <wps:cNvSpPr/>
                      <wps:spPr>
                        <a:xfrm>
                          <a:off x="0" y="0"/>
                          <a:ext cx="20269200" cy="15478699"/>
                        </a:xfrm>
                        <a:prstGeom prst="rect">
                          <a:avLst/>
                        </a:prstGeom>
                        <a:solidFill>
                          <a:srgbClr val="00305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209AEA" id="Rectangle 11" o:spid="_x0000_s1026" style="position:absolute;left:0;text-align:left;margin-left:-1194pt;margin-top:-466.05pt;width:1596pt;height:1218.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q84jgIAAHIFAAAOAAAAZHJzL2Uyb0RvYy54bWysVEtPGzEQvlfqf7B8L7tJEyARGxSBUlVC&#10;gICKs+O1k5W8HnfsZJP++o69DyKKeqiaw8bjmfnm9Y2vrg+1YXuFvgJb8NFZzpmyEsrKbgr+42X1&#10;5ZIzH4QthQGrCn5Unl8vPn+6atxcjWELplTICMT6eeMKvg3BzbPMy62qhT8DpywpNWAtAom4yUoU&#10;DaHXJhvn+XnWAJYOQSrv6fa2VfJFwtdayfCgtVeBmYJTbiF9MX3X8ZstrsR8g8JtK9mlIf4hi1pU&#10;loIOULciCLbD6g+oupIIHnQ4k1BnoHUlVaqBqhnl76p53gqnUi3UHO+GNvn/Byvv94/IqpJmN+LM&#10;ippm9ERdE3ZjFKM7alDj/Jzsnt0jdpKnY6z2oLGO/1QHO6SmHoemqkNgki7H+fh8RqPiTJJyNJ1c&#10;XJ7PZhE3ewNw6MM3BTWLh4IjZZDaKfZ3PrSmvUmM58FU5aoyJgm4Wd8YZHsRZ5x/zaerDv3ELItF&#10;tGmnUzgaFZ2NfVKa6o+JpoiJeWrAE1IqG0ataitK1YaZ5vTro0SuRo9UUQKMyJrSG7A7gN6yBemx&#10;2/o6++iqEnEH5/xvibXOg0eKDDYMznVlAT8CMFRVF7m1p/RPWhOPayiPxA6Edm28k6uK5nMnfHgU&#10;SHtCQ6XdDw/00QaagkN34mwL+Ouj+2hP9CUtZw3tXcH9z51AxZn5bonYs9FkEhc1CZPpxZgEPNWs&#10;TzV2V98AjZ24S9mlY7QPpr/VCPUrPRHLGJVUwkqKXXAZsBduQvse0CMj1XKZzGg5nQh39tnJCB67&#10;Gvn3cngV6DqSBmL4PfQ7KubvuNraRk8Ly10AXSUiv/W16zctdiJO9wjFl+NUTlZvT+XiNwAAAP//&#10;AwBQSwMEFAAGAAgAAAAhAMCA25XjAAAADwEAAA8AAABkcnMvZG93bnJldi54bWxMj81qwzAQhO+F&#10;voPYQm+JFKcOjms5hEKht5C0FHpbW4ptqh8jKY7z9t2e2tvuzjD7TbWbrWGTDnHwTsJqKYBp13o1&#10;uE7Cx/vrogAWEzqFxjst4aYj7Or7uwpL5a/uqKdT6hiFuFiihD6lseQ8tr22GJd+1I60sw8WE62h&#10;4yrglcKt4ZkQG25xcPShx1G/9Lr9Pl2shP18ONw+m+OXnfLhzbTjJvCAUj4+zPtnYEnP6c8Mv/iE&#10;DjUxNf7iVGRGwiJbFwW1STRu19kKGJkK8USnhty5yHPgdcX/96h/AAAA//8DAFBLAQItABQABgAI&#10;AAAAIQC2gziS/gAAAOEBAAATAAAAAAAAAAAAAAAAAAAAAABbQ29udGVudF9UeXBlc10ueG1sUEsB&#10;Ai0AFAAGAAgAAAAhADj9If/WAAAAlAEAAAsAAAAAAAAAAAAAAAAALwEAAF9yZWxzLy5yZWxzUEsB&#10;Ai0AFAAGAAgAAAAhAMRirziOAgAAcgUAAA4AAAAAAAAAAAAAAAAALgIAAGRycy9lMm9Eb2MueG1s&#10;UEsBAi0AFAAGAAgAAAAhAMCA25XjAAAADwEAAA8AAAAAAAAAAAAAAAAA6AQAAGRycy9kb3ducmV2&#10;LnhtbFBLBQYAAAAABAAEAPMAAAD4BQAAAAA=&#10;" fillcolor="#00305f" strokecolor="#243f60 [1604]" strokeweight="2pt"/>
            </w:pict>
          </mc:Fallback>
        </mc:AlternateContent>
      </w:r>
      <w:r w:rsidR="003C32FE">
        <w:rPr>
          <w:rFonts w:hint="cs"/>
          <w:noProof/>
          <w:rtl/>
          <w:lang w:val="he-IL"/>
        </w:rPr>
        <w:drawing>
          <wp:anchor distT="0" distB="0" distL="114300" distR="114300" simplePos="0" relativeHeight="251665920" behindDoc="0" locked="0" layoutInCell="1" allowOverlap="1" wp14:anchorId="48268CB6" wp14:editId="083D42AA">
            <wp:simplePos x="0" y="0"/>
            <wp:positionH relativeFrom="column">
              <wp:posOffset>-7113867</wp:posOffset>
            </wp:positionH>
            <wp:positionV relativeFrom="paragraph">
              <wp:posOffset>-4161346</wp:posOffset>
            </wp:positionV>
            <wp:extent cx="474980" cy="177800"/>
            <wp:effectExtent l="0" t="0" r="1270" b="0"/>
            <wp:wrapNone/>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6" name="Picture 956"/>
                    <pic:cNvPicPr preferRelativeResize="0"/>
                  </pic:nvPicPr>
                  <pic:blipFill>
                    <a:blip r:embed="rId11" cstate="print">
                      <a:extLst>
                        <a:ext uri="{28A0092B-C50C-407E-A947-70E740481C1C}">
                          <a14:useLocalDpi xmlns:a14="http://schemas.microsoft.com/office/drawing/2010/main" val="0"/>
                        </a:ext>
                      </a:extLst>
                    </a:blip>
                    <a:stretch>
                      <a:fillRect/>
                    </a:stretch>
                  </pic:blipFill>
                  <pic:spPr>
                    <a:xfrm>
                      <a:off x="0" y="0"/>
                      <a:ext cx="474980" cy="177800"/>
                    </a:xfrm>
                    <a:prstGeom prst="rect">
                      <a:avLst/>
                    </a:prstGeom>
                  </pic:spPr>
                </pic:pic>
              </a:graphicData>
            </a:graphic>
            <wp14:sizeRelH relativeFrom="margin">
              <wp14:pctWidth>0</wp14:pctWidth>
            </wp14:sizeRelH>
            <wp14:sizeRelV relativeFrom="margin">
              <wp14:pctHeight>0</wp14:pctHeight>
            </wp14:sizeRelV>
          </wp:anchor>
        </w:drawing>
      </w:r>
    </w:p>
    <w:p w14:paraId="09862827" w14:textId="38BAB0E9" w:rsidR="008B2E28" w:rsidRDefault="0030415A" w:rsidP="008D2388">
      <w:pPr>
        <w:spacing w:line="240" w:lineRule="atLeast"/>
        <w:jc w:val="center"/>
        <w:rPr>
          <w:rFonts w:ascii="Tahoma" w:hAnsi="Tahoma" w:cs="Tahoma"/>
          <w:sz w:val="22"/>
          <w:szCs w:val="22"/>
          <w:rtl/>
        </w:rPr>
      </w:pPr>
      <w:r w:rsidRPr="0030415A">
        <w:rPr>
          <w:rFonts w:ascii="Tahoma" w:hAnsi="Tahoma" w:cs="Tahoma"/>
          <w:noProof/>
          <w:sz w:val="22"/>
          <w:szCs w:val="22"/>
          <w:rtl/>
        </w:rPr>
        <mc:AlternateContent>
          <mc:Choice Requires="wps">
            <w:drawing>
              <wp:anchor distT="0" distB="0" distL="114300" distR="114300" simplePos="0" relativeHeight="251659776" behindDoc="0" locked="0" layoutInCell="1" allowOverlap="1" wp14:anchorId="2B74F5FF" wp14:editId="31331900">
                <wp:simplePos x="0" y="0"/>
                <wp:positionH relativeFrom="column">
                  <wp:posOffset>7165975</wp:posOffset>
                </wp:positionH>
                <wp:positionV relativeFrom="paragraph">
                  <wp:posOffset>281305</wp:posOffset>
                </wp:positionV>
                <wp:extent cx="0" cy="2235835"/>
                <wp:effectExtent l="19050" t="0" r="19050" b="31115"/>
                <wp:wrapNone/>
                <wp:docPr id="16" name="Straight Connector 16"/>
                <wp:cNvGraphicFramePr/>
                <a:graphic xmlns:a="http://schemas.openxmlformats.org/drawingml/2006/main">
                  <a:graphicData uri="http://schemas.microsoft.com/office/word/2010/wordprocessingShape">
                    <wps:wsp>
                      <wps:cNvCnPr/>
                      <wps:spPr>
                        <a:xfrm>
                          <a:off x="0" y="0"/>
                          <a:ext cx="0" cy="2235835"/>
                        </a:xfrm>
                        <a:prstGeom prst="line">
                          <a:avLst/>
                        </a:prstGeom>
                        <a:ln w="444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10494C" id="Straight Connector 16" o:spid="_x0000_s1026" style="position:absolute;left:0;text-align:left;z-index:251659776;visibility:visible;mso-wrap-style:square;mso-wrap-distance-left:9pt;mso-wrap-distance-top:0;mso-wrap-distance-right:9pt;mso-wrap-distance-bottom:0;mso-position-horizontal:absolute;mso-position-horizontal-relative:text;mso-position-vertical:absolute;mso-position-vertical-relative:text" from="564.25pt,22.15pt" to="564.25pt,19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vgM2gEAAA8EAAAOAAAAZHJzL2Uyb0RvYy54bWysU8GO2yAQvVfqPyDujZNsslpZcfaQ1fZS&#10;tVG3+wEEDzESMAhonPx9B+w4q7aq1KoXbGDem3lvhs3j2Rp2ghA1uoYvZnPOwElstTs2/PXb84cH&#10;zmISrhUGHTT8ApE/bt+/2/S+hiV2aFoIjEhcrHvf8C4lX1dVlB1YEWfowdGlwmBFom04Vm0QPbFb&#10;Uy3n8/uqx9D6gBJipNOn4ZJvC79SINMXpSIkZhpOtaWyhrIe8lptN6I+BuE7LccyxD9UYYV2lHSi&#10;ehJJsO9B/0JltQwYUaWZRFuhUlpC0UBqFvOf1Lx0wkPRQuZEP9kU/x+t/HzaB6Zb6t09Z05Y6tFL&#10;CkIfu8R26Bw5iIHRJTnV+1gTYOf2YdxFvw9Z9lkFm78kiJ2Lu5fJXTgnJodDSafL5d364W6d+aob&#10;0IeYPgJaln8abrTLwkUtTp9iGkKvIfnYONY3fLVareclLKLR7bM2Jl+W4YGdCewkqO2H42JM9iaK&#10;UhtHFWRJg4jyly4GBv6voMgWKnsxJMgDeeMUUoJLV17jKDrDFFUwAcfK/gQc4zMUyrD+DXhClMzo&#10;0gS22mH4XdnpfC1ZDfFXBwbd2YIDtpfS3mINTV1p0/hC8li/3Rf47R1vfwAAAP//AwBQSwMEFAAG&#10;AAgAAAAhANOarI/eAAAADAEAAA8AAABkcnMvZG93bnJldi54bWxMj8FOwzAMhu9IvENkJG4s3dpu&#10;ozSdEILDjgyEdsxSr6naOFWSbeHtycQBjr/96ffnehPNyM7ofG9JwHyWAUNStu2pE/D58fawBuaD&#10;pFaOllDAN3rYNLc3taxae6F3PO9Cx1IJ+UoK0CFMFedeaTTSz+yElHZH64wMKbqOt05eUrkZ+SLL&#10;ltzIntIFLSd80aiG3ckIyEpVuu1+GvK4Cioe3evXVg9C3N/F5ydgAWP4g+Gqn9ShSU4He6LWszHl&#10;+WJdJlZAUeTArsTv5CAgf1wWwJua/3+i+QEAAP//AwBQSwECLQAUAAYACAAAACEAtoM4kv4AAADh&#10;AQAAEwAAAAAAAAAAAAAAAAAAAAAAW0NvbnRlbnRfVHlwZXNdLnhtbFBLAQItABQABgAIAAAAIQA4&#10;/SH/1gAAAJQBAAALAAAAAAAAAAAAAAAAAC8BAABfcmVscy8ucmVsc1BLAQItABQABgAIAAAAIQD8&#10;2vgM2gEAAA8EAAAOAAAAAAAAAAAAAAAAAC4CAABkcnMvZTJvRG9jLnhtbFBLAQItABQABgAIAAAA&#10;IQDTmqyP3gAAAAwBAAAPAAAAAAAAAAAAAAAAADQEAABkcnMvZG93bnJldi54bWxQSwUGAAAAAAQA&#10;BADzAAAAPwUAAAAA&#10;" strokecolor="white [3212]" strokeweight="3.5pt"/>
            </w:pict>
          </mc:Fallback>
        </mc:AlternateContent>
      </w:r>
    </w:p>
    <w:p w14:paraId="1061471B" w14:textId="4127C7C1" w:rsidR="008B2E28" w:rsidRDefault="008B2E28" w:rsidP="008D2388">
      <w:pPr>
        <w:spacing w:line="240" w:lineRule="atLeast"/>
        <w:jc w:val="center"/>
        <w:rPr>
          <w:rFonts w:ascii="Tahoma" w:hAnsi="Tahoma" w:cs="Tahoma"/>
          <w:sz w:val="22"/>
          <w:szCs w:val="22"/>
          <w:rtl/>
        </w:rPr>
      </w:pPr>
    </w:p>
    <w:p w14:paraId="40B3A360" w14:textId="3F96A396" w:rsidR="008B2E28" w:rsidRDefault="008B2E28" w:rsidP="008D2388">
      <w:pPr>
        <w:spacing w:line="240" w:lineRule="atLeast"/>
        <w:jc w:val="center"/>
        <w:rPr>
          <w:rFonts w:ascii="Tahoma" w:hAnsi="Tahoma" w:cs="Tahoma"/>
          <w:sz w:val="22"/>
          <w:szCs w:val="22"/>
          <w:rtl/>
        </w:rPr>
      </w:pPr>
    </w:p>
    <w:p w14:paraId="665C333F" w14:textId="76424F71" w:rsidR="003C32FE" w:rsidRPr="00170230" w:rsidRDefault="003C32FE" w:rsidP="003C32FE">
      <w:pPr>
        <w:spacing w:line="240" w:lineRule="atLeast"/>
        <w:jc w:val="center"/>
        <w:rPr>
          <w:rFonts w:ascii="Tahoma" w:hAnsi="Tahoma" w:cs="Tahoma"/>
          <w:szCs w:val="18"/>
          <w:rtl/>
        </w:rPr>
      </w:pPr>
    </w:p>
    <w:p w14:paraId="7A26D94A" w14:textId="65D11E71" w:rsidR="003C32FE" w:rsidRDefault="000127BE" w:rsidP="003C32FE">
      <w:pPr>
        <w:spacing w:line="240" w:lineRule="atLeast"/>
        <w:jc w:val="center"/>
        <w:rPr>
          <w:rFonts w:ascii="Tahoma" w:hAnsi="Tahoma" w:cs="Tahoma"/>
          <w:sz w:val="22"/>
          <w:szCs w:val="22"/>
          <w:rtl/>
        </w:rPr>
      </w:pPr>
      <w:r>
        <w:rPr>
          <w:rFonts w:ascii="Tahoma" w:hAnsi="Tahoma" w:cs="Tahoma"/>
          <w:noProof/>
          <w:sz w:val="22"/>
          <w:szCs w:val="22"/>
          <w:rtl/>
          <w:lang w:val="he-IL"/>
        </w:rPr>
        <mc:AlternateContent>
          <mc:Choice Requires="wps">
            <w:drawing>
              <wp:anchor distT="0" distB="0" distL="114300" distR="114300" simplePos="0" relativeHeight="251678208" behindDoc="0" locked="0" layoutInCell="1" allowOverlap="1" wp14:anchorId="7734C2EE" wp14:editId="5EA0A385">
                <wp:simplePos x="0" y="0"/>
                <wp:positionH relativeFrom="column">
                  <wp:posOffset>3074093</wp:posOffset>
                </wp:positionH>
                <wp:positionV relativeFrom="paragraph">
                  <wp:posOffset>369224</wp:posOffset>
                </wp:positionV>
                <wp:extent cx="0" cy="3786909"/>
                <wp:effectExtent l="25400" t="0" r="25400" b="36195"/>
                <wp:wrapNone/>
                <wp:docPr id="5" name="Straight Connector 5"/>
                <wp:cNvGraphicFramePr/>
                <a:graphic xmlns:a="http://schemas.openxmlformats.org/drawingml/2006/main">
                  <a:graphicData uri="http://schemas.microsoft.com/office/word/2010/wordprocessingShape">
                    <wps:wsp>
                      <wps:cNvCnPr/>
                      <wps:spPr>
                        <a:xfrm>
                          <a:off x="0" y="0"/>
                          <a:ext cx="0" cy="3786909"/>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DD4A6B5" id="Straight Connector 5" o:spid="_x0000_s1026" style="position:absolute;left:0;text-align:left;z-index:25167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2.05pt,29.05pt" to="242.05pt,327.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YclvAEAAN4DAAAOAAAAZHJzL2Uyb0RvYy54bWysU8Fu1DAQvSPxD5bvbLJFlG202R5alQuC&#13;&#10;CsoHeJ3xxpLtsWyzyf49YyebrQAhUfXi2ON5b948T7a3ozXsCCFqdC1fr2rOwEnstDu0/MfTw7sN&#13;&#10;ZzEJ1wmDDlp+gshvd2/fbAffwBX2aDoIjEhcbAbf8j4l31RVlD1YEVfowdGlwmBFomM4VF0QA7Fb&#13;&#10;U13V9XU1YOh8QAkxUvR+uuS7wq8UyPRVqQiJmZaTtlTWUNZ9XqvdVjSHIHyv5SxDvECFFdpR0YXq&#13;&#10;XiTBfgb9B5XVMmBElVYSbYVKaQmlB+pmXf/WzfdeeCi9kDnRLzbF16OVX4537jGQDYOPTfSPIXcx&#13;&#10;qmDzl/SxsZh1WsyCMTE5BSVF33/cXN/UN9nI6gL0IaZPgJblTcuNdrkP0Yjj55im1HNKDhvHhpZ/&#13;&#10;qDd1XdIiGt09aGPyZZkFuDOBHQW94v6wnos9y6LSxpGCSxNll04GJv5voJjuSPZ6KpDn68IppASX&#13;&#10;zrzGUXaGKVKwAGdl/wLO+RkKZfb+B7wgSmV0aQFb7TD8TXYaz5LVlH92YOo7W7DH7lSet1hDQ1Se&#13;&#10;aR74PKXPzwV++S13vwAAAP//AwBQSwMEFAAGAAgAAAAhAByunmHhAAAADwEAAA8AAABkcnMvZG93&#13;&#10;bnJldi54bWxMT0tPwzAMviPxHyIjcWPpUFtVXdMJbeLAhUHhwNFrsqYsj9KkW/n3GHEYF1u2P3+P&#13;&#10;aj1bw05qDL13ApaLBJhyrZe96wS8vz3eFcBCRCfReKcEfKsA6/r6qsJS+rN7VacmdoxIXChRgI5x&#13;&#10;KDkPrVYWw8IPytHt4EeLkcax43LEM5Fbw++TJOcWe0cKGge10ao9NpMV8NygeZp0evjcbl4+dvnR&#13;&#10;x92XF+L2Zt6uqDysgEU1x8sH/GYg/1CTsb2fnAzMCEiLdElQAVlBnQB/i72APEsz4HXF/+eofwAA&#13;&#10;AP//AwBQSwECLQAUAAYACAAAACEAtoM4kv4AAADhAQAAEwAAAAAAAAAAAAAAAAAAAAAAW0NvbnRl&#13;&#10;bnRfVHlwZXNdLnhtbFBLAQItABQABgAIAAAAIQA4/SH/1gAAAJQBAAALAAAAAAAAAAAAAAAAAC8B&#13;&#10;AABfcmVscy8ucmVsc1BLAQItABQABgAIAAAAIQBCuYclvAEAAN4DAAAOAAAAAAAAAAAAAAAAAC4C&#13;&#10;AABkcnMvZTJvRG9jLnhtbFBLAQItABQABgAIAAAAIQAcrp5h4QAAAA8BAAAPAAAAAAAAAAAAAAAA&#13;&#10;ABYEAABkcnMvZG93bnJldi54bWxQSwUGAAAAAAQABADzAAAAJAUAAAAA&#13;&#10;" strokecolor="white [3212]" strokeweight="4pt"/>
            </w:pict>
          </mc:Fallback>
        </mc:AlternateContent>
      </w:r>
      <w:r>
        <w:rPr>
          <w:rFonts w:ascii="Tahoma" w:hAnsi="Tahoma" w:cs="Tahoma"/>
          <w:noProof/>
          <w:sz w:val="22"/>
          <w:szCs w:val="22"/>
          <w:rtl/>
          <w:lang w:val="he-IL"/>
        </w:rPr>
        <mc:AlternateContent>
          <mc:Choice Requires="wps">
            <w:drawing>
              <wp:anchor distT="0" distB="0" distL="114300" distR="114300" simplePos="0" relativeHeight="251679232" behindDoc="0" locked="0" layoutInCell="1" allowOverlap="1" wp14:anchorId="53584DBA" wp14:editId="17CD5784">
                <wp:simplePos x="0" y="0"/>
                <wp:positionH relativeFrom="column">
                  <wp:posOffset>-363220</wp:posOffset>
                </wp:positionH>
                <wp:positionV relativeFrom="paragraph">
                  <wp:posOffset>1860608</wp:posOffset>
                </wp:positionV>
                <wp:extent cx="3221005" cy="0"/>
                <wp:effectExtent l="12700" t="12700" r="5080" b="12700"/>
                <wp:wrapNone/>
                <wp:docPr id="8" name="Straight Connector 8"/>
                <wp:cNvGraphicFramePr/>
                <a:graphic xmlns:a="http://schemas.openxmlformats.org/drawingml/2006/main">
                  <a:graphicData uri="http://schemas.microsoft.com/office/word/2010/wordprocessingShape">
                    <wps:wsp>
                      <wps:cNvCnPr/>
                      <wps:spPr>
                        <a:xfrm flipH="1">
                          <a:off x="0" y="0"/>
                          <a:ext cx="3221005"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451F5B" id="Straight Connector 8" o:spid="_x0000_s1026" style="position:absolute;left:0;text-align:left;flip:x;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pt,146.5pt" to="225pt,1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gfExwEAAOgDAAAOAAAAZHJzL2Uyb0RvYy54bWysU8tu2zAQvBfoPxC815JdJGgFyzkkSHsI&#13;&#10;0qCPD6CppUWA5BIka8l/nyVlyUl6atELIe5jdma42t6M1rAjhKjRtXy9qjkDJ7HT7tDyXz/vP3zi&#13;&#10;LCbhOmHQQctPEPnN7v277eAb2GCPpoPACMTFZvAt71PyTVVF2YMVcYUeHCUVBisSXcOh6oIYCN2a&#13;&#10;alPX19WAofMBJcRI0bspyXcFXymQ6ZtSERIzLSduqZyhnPt8VrutaA5B+F7LMw3xDyys0I6GLlB3&#13;&#10;Ign2O+g/oKyWASOqtJJoK1RKSygaSM26fqPmRy88FC1kTvSLTfH/wcrH4617CmTD4GMT/VPIKkYV&#13;&#10;LFNG+6/0pkUXMWVjse202AZjYpKCHzebdV1fcSbnXDVBZCgfYvoCaFn+aLnRLisSjTg+xERjqXQu&#13;&#10;yWHj2EAzP9dXdSmLaHR3r43JybIVcGsCOwp6z/1hnd+PEF5U0c04Cl7klK90MjDhfwfFdEe0J2Fv&#13;&#10;MIWU4NKMaxxV5zZFDJbGM7O8ohcyrxvP9bkVyhb+TfPSUSajS0uz1Q7D5Mvr6WmcKaupfnZg0p0t&#13;&#10;2GN3Kg9drKF1Ks6dVz/v68t7ab/8oLtnAAAA//8DAFBLAwQUAAYACAAAACEABRJQeOIAAAAQAQAA&#13;&#10;DwAAAGRycy9kb3ducmV2LnhtbExPS0/CQBC+m/gfNmPiDbZUECzdEiPxwIEQKgePS3f6iN3Z2l1K&#13;&#10;/feOiYleJvP45nukm9G2YsDeN44UzKYRCKTCmYYqBae318kKhA+ajG4doYIv9LDJbm9SnRh3pSMO&#13;&#10;eagEk5BPtII6hC6R0hc1Wu2nrkPiW+l6qwOPfSVNr69MblsZR9GjtLohVqh1hy81Fh/5xSr4LPOy&#13;&#10;WB2277vd7FAOc7cPx3Gv1P3duF1zeV6DCDiGvw/4ycD+IWNjZ3ch40WrYLJYxgxVED89cDJGzBcR&#13;&#10;N+ffjcxS+T9I9g0AAP//AwBQSwECLQAUAAYACAAAACEAtoM4kv4AAADhAQAAEwAAAAAAAAAAAAAA&#13;&#10;AAAAAAAAW0NvbnRlbnRfVHlwZXNdLnhtbFBLAQItABQABgAIAAAAIQA4/SH/1gAAAJQBAAALAAAA&#13;&#10;AAAAAAAAAAAAAC8BAABfcmVscy8ucmVsc1BLAQItABQABgAIAAAAIQBglgfExwEAAOgDAAAOAAAA&#13;&#10;AAAAAAAAAAAAAC4CAABkcnMvZTJvRG9jLnhtbFBLAQItABQABgAIAAAAIQAFElB44gAAABABAAAP&#13;&#10;AAAAAAAAAAAAAAAAACEEAABkcnMvZG93bnJldi54bWxQSwUGAAAAAAQABADzAAAAMAUAAAAA&#13;&#10;" strokecolor="white [3212]" strokeweight="1.5pt"/>
            </w:pict>
          </mc:Fallback>
        </mc:AlternateContent>
      </w:r>
      <w:r w:rsidR="005912C3" w:rsidRPr="0030415A">
        <w:rPr>
          <w:rFonts w:ascii="Tahoma" w:hAnsi="Tahoma" w:cs="Tahoma"/>
          <w:noProof/>
          <w:sz w:val="22"/>
          <w:szCs w:val="22"/>
          <w:rtl/>
        </w:rPr>
        <mc:AlternateContent>
          <mc:Choice Requires="wps">
            <w:drawing>
              <wp:anchor distT="45720" distB="45720" distL="114300" distR="114300" simplePos="0" relativeHeight="251662848" behindDoc="0" locked="0" layoutInCell="1" allowOverlap="1" wp14:anchorId="0862BFB6" wp14:editId="3535F7C9">
                <wp:simplePos x="0" y="0"/>
                <wp:positionH relativeFrom="column">
                  <wp:posOffset>-525780</wp:posOffset>
                </wp:positionH>
                <wp:positionV relativeFrom="paragraph">
                  <wp:posOffset>262255</wp:posOffset>
                </wp:positionV>
                <wp:extent cx="4938395" cy="4273550"/>
                <wp:effectExtent l="0" t="0" r="1905" b="635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8395" cy="4273550"/>
                        </a:xfrm>
                        <a:prstGeom prst="rect">
                          <a:avLst/>
                        </a:prstGeom>
                        <a:solidFill>
                          <a:srgbClr val="00305F"/>
                        </a:solidFill>
                        <a:ln w="9525">
                          <a:noFill/>
                          <a:miter lim="800000"/>
                          <a:headEnd/>
                          <a:tailEnd/>
                        </a:ln>
                      </wps:spPr>
                      <wps:txbx>
                        <w:txbxContent>
                          <w:p w14:paraId="3B790B1A" w14:textId="77777777" w:rsidR="00CB22A1" w:rsidRDefault="00CB22A1" w:rsidP="0052031E">
                            <w:pPr>
                              <w:ind w:left="2268"/>
                              <w:rPr>
                                <w:rFonts w:ascii="Tahoma" w:hAnsi="Tahoma" w:cs="Tahoma"/>
                                <w:sz w:val="18"/>
                                <w:szCs w:val="18"/>
                                <w:rtl/>
                              </w:rPr>
                            </w:pPr>
                          </w:p>
                          <w:p w14:paraId="01373895" w14:textId="77777777" w:rsidR="00CB22A1" w:rsidRDefault="00CB22A1" w:rsidP="0052031E">
                            <w:pPr>
                              <w:ind w:left="2268"/>
                              <w:rPr>
                                <w:rFonts w:ascii="Tahoma" w:hAnsi="Tahoma" w:cs="Tahoma"/>
                                <w:sz w:val="18"/>
                                <w:szCs w:val="18"/>
                                <w:rtl/>
                              </w:rPr>
                            </w:pPr>
                          </w:p>
                          <w:p w14:paraId="5AD57072" w14:textId="77777777" w:rsidR="00FA1B80" w:rsidRPr="0052031E" w:rsidRDefault="00FA1B80" w:rsidP="00FA1B80">
                            <w:pPr>
                              <w:ind w:left="2268"/>
                              <w:jc w:val="left"/>
                              <w:rPr>
                                <w:rFonts w:ascii="Tahoma" w:hAnsi="Tahoma" w:cs="Tahoma"/>
                                <w:sz w:val="18"/>
                                <w:szCs w:val="18"/>
                                <w:rtl/>
                              </w:rPr>
                            </w:pPr>
                            <w:r>
                              <w:rPr>
                                <w:rFonts w:ascii="Tahoma" w:hAnsi="Tahoma" w:cs="Tahoma" w:hint="cs"/>
                                <w:sz w:val="18"/>
                                <w:szCs w:val="18"/>
                                <w:rtl/>
                              </w:rPr>
                              <w:t xml:space="preserve">דוח </w:t>
                            </w:r>
                            <w:r w:rsidRPr="0052031E">
                              <w:rPr>
                                <w:rFonts w:ascii="Tahoma" w:hAnsi="Tahoma" w:cs="Tahoma"/>
                                <w:sz w:val="18"/>
                                <w:szCs w:val="18"/>
                                <w:rtl/>
                              </w:rPr>
                              <w:t>מבקר המדינה</w:t>
                            </w:r>
                            <w:r>
                              <w:rPr>
                                <w:rFonts w:ascii="Tahoma" w:hAnsi="Tahoma" w:cs="Tahoma" w:hint="cs"/>
                                <w:sz w:val="18"/>
                                <w:szCs w:val="18"/>
                                <w:rtl/>
                              </w:rPr>
                              <w:t xml:space="preserve">  </w:t>
                            </w:r>
                            <w:r w:rsidRPr="0052031E">
                              <w:rPr>
                                <w:rFonts w:ascii="Tahoma" w:hAnsi="Tahoma" w:cs="Tahoma"/>
                                <w:sz w:val="18"/>
                                <w:szCs w:val="18"/>
                                <w:rtl/>
                              </w:rPr>
                              <w:t>|</w:t>
                            </w:r>
                            <w:r>
                              <w:rPr>
                                <w:rFonts w:ascii="Tahoma" w:hAnsi="Tahoma" w:cs="Tahoma" w:hint="cs"/>
                                <w:sz w:val="18"/>
                                <w:szCs w:val="18"/>
                                <w:rtl/>
                              </w:rPr>
                              <w:t xml:space="preserve">  אייר התשפ״ב </w:t>
                            </w:r>
                            <w:r w:rsidRPr="0052031E">
                              <w:rPr>
                                <w:rFonts w:ascii="Tahoma" w:hAnsi="Tahoma" w:cs="Tahoma"/>
                                <w:sz w:val="18"/>
                                <w:szCs w:val="18"/>
                                <w:rtl/>
                              </w:rPr>
                              <w:t xml:space="preserve"> |</w:t>
                            </w:r>
                            <w:r>
                              <w:rPr>
                                <w:rFonts w:ascii="Tahoma" w:hAnsi="Tahoma" w:cs="Tahoma" w:hint="cs"/>
                                <w:sz w:val="18"/>
                                <w:szCs w:val="18"/>
                                <w:rtl/>
                              </w:rPr>
                              <w:t xml:space="preserve">  מאי 2022 </w:t>
                            </w:r>
                          </w:p>
                          <w:p w14:paraId="7A4F68DA" w14:textId="7C112340" w:rsidR="00CB22A1" w:rsidRDefault="00CB22A1" w:rsidP="0052031E">
                            <w:pPr>
                              <w:ind w:left="2268"/>
                            </w:pPr>
                          </w:p>
                          <w:p w14:paraId="388256FF" w14:textId="77777777" w:rsidR="000127BE" w:rsidRDefault="000127BE" w:rsidP="0052031E">
                            <w:pPr>
                              <w:ind w:left="2268"/>
                              <w:rPr>
                                <w:rtl/>
                              </w:rPr>
                            </w:pPr>
                          </w:p>
                          <w:p w14:paraId="537675A5" w14:textId="77777777" w:rsidR="00CB22A1" w:rsidRDefault="00CB22A1" w:rsidP="0052031E">
                            <w:pPr>
                              <w:ind w:left="2268"/>
                              <w:rPr>
                                <w:rtl/>
                              </w:rPr>
                            </w:pPr>
                          </w:p>
                          <w:p w14:paraId="028C1DED" w14:textId="739BF9CB" w:rsidR="00CB22A1" w:rsidRPr="00876ED9" w:rsidRDefault="004F70ED" w:rsidP="0052031E">
                            <w:pPr>
                              <w:ind w:left="2268"/>
                              <w:rPr>
                                <w:rFonts w:ascii="Tahoma" w:eastAsiaTheme="minorEastAsia" w:hAnsi="Tahoma" w:cs="Tahoma"/>
                                <w:color w:val="FFFFFF" w:themeColor="background1"/>
                                <w:sz w:val="28"/>
                                <w:szCs w:val="28"/>
                                <w:rtl/>
                              </w:rPr>
                            </w:pPr>
                            <w:r>
                              <w:rPr>
                                <w:rFonts w:ascii="Tahoma" w:eastAsiaTheme="minorEastAsia" w:hAnsi="Tahoma" w:cs="Tahoma" w:hint="cs"/>
                                <w:color w:val="FFFFFF" w:themeColor="background1"/>
                                <w:sz w:val="28"/>
                                <w:szCs w:val="28"/>
                                <w:rtl/>
                              </w:rPr>
                              <w:t>משרד האוצר</w:t>
                            </w:r>
                          </w:p>
                          <w:p w14:paraId="5464BE8D" w14:textId="22BE27FF" w:rsidR="00CB22A1" w:rsidRPr="00344BBF" w:rsidRDefault="005912C3" w:rsidP="002D268F">
                            <w:pPr>
                              <w:spacing w:before="360" w:line="600" w:lineRule="exact"/>
                              <w:ind w:left="2268"/>
                              <w:jc w:val="left"/>
                              <w:rPr>
                                <w:rFonts w:ascii="Tahoma" w:hAnsi="Tahoma" w:cs="Tahoma"/>
                                <w:b/>
                                <w:bCs/>
                                <w:color w:val="FFFFFF" w:themeColor="background1"/>
                                <w:sz w:val="44"/>
                                <w:szCs w:val="44"/>
                                <w:rtl/>
                              </w:rPr>
                            </w:pPr>
                            <w:r w:rsidRPr="005912C3">
                              <w:rPr>
                                <w:rFonts w:ascii="Tahoma" w:hAnsi="Tahoma" w:cs="Tahoma"/>
                                <w:b/>
                                <w:bCs/>
                                <w:color w:val="FFFFFF" w:themeColor="background1"/>
                                <w:sz w:val="44"/>
                                <w:szCs w:val="44"/>
                                <w:rtl/>
                              </w:rPr>
                              <w:t>הדוחות הכספיים של מדינת ישראל ליום 31.12.2020 - חייבים ויתרות חובה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62BFB6" id="_x0000_t202" coordsize="21600,21600" o:spt="202" path="m,l,21600r21600,l21600,xe">
                <v:stroke joinstyle="miter"/>
                <v:path gradientshapeok="t" o:connecttype="rect"/>
              </v:shapetype>
              <v:shape id="_x0000_s1026" type="#_x0000_t202" style="position:absolute;left:0;text-align:left;margin-left:-41.4pt;margin-top:20.65pt;width:388.85pt;height:336.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prN1EQIAAPcDAAAOAAAAZHJzL2Uyb0RvYy54bWysU9uO2yAQfa/Uf0C8N3Yu7iZWnNU221SV&#13;&#10;thdp2w/AGMeowFAgsdOv3wFns9H2rSoPaIYZDjNnDuvbQStyFM5LMBWdTnJKhOHQSLOv6M8fu3dL&#13;&#10;SnxgpmEKjKjoSXh6u3n7Zt3bUsygA9UIRxDE+LK3Fe1CsGWWed4JzfwErDAYbMFpFtB1+6xxrEd0&#13;&#10;rbJZnr/PenCNdcCF93h6PwbpJuG3reDhW9t6EYiqKNYW0u7SXsc926xZuXfMdpKfy2D/UIVm0uCj&#13;&#10;F6h7Fhg5OPkXlJbcgYc2TDjoDNpWcpF6wG6m+atuHjtmReoFyfH2QpP/f7D86/HRfnckDB9gwAGm&#13;&#10;Jrx9AP7LEwPbjpm9uHMO+k6wBh+eRsqy3vryfDVS7UsfQer+CzQ4ZHYIkICG1unICvZJEB0HcLqQ&#13;&#10;LoZAOB4uVvPlfFVQwjG2mN3MiyKNJWPl83XrfPgkQJNoVNThVBM8Oz74EMth5XNKfM2Dks1OKpUc&#13;&#10;t6+3ypEjiwrI53mxSx28SlOG9BVdFbMiIRuI95M4tAyoUCV1RZd5XKNmIh0fTZNSApNqtLESZc78&#13;&#10;REpGcsJQD5gYeaqhOSFTDkYl4s9BowP3h5IeVVhR//vAnKBEfTbI9mq6WETZJmdR3MzQcdeR+jrC&#13;&#10;DEeoigZKRnMbktQjDwbucCqtTHy9VHKuFdWVaDz/hCjfaz9lvfzXzRMAAAD//wMAUEsDBBQABgAI&#13;&#10;AAAAIQDJaaCP6AAAAA8BAAAPAAAAZHJzL2Rvd25yZXYueG1sTI9BT4NAEIXvJv6HzZh4Me0CJS2l&#13;&#10;DI3WNvGgh1YTPW5hBCI7S9ltwX/vetLLJC8z8973svWoW3Gh3jaGEcJpAIK4MGXDFcLb626SgLBO&#13;&#10;calaw4TwTRbW+fVVptLSDLyny8FVwpuwTRVC7VyXSmmLmrSyU9MR+92n6bVyXvaVLHs1eHPdyigI&#13;&#10;5lKrhn1CrTra1FR8Hc4a4SEaPnZUdC+n7TuftvtNcve0eEa8vRkfV37cr0A4Gt3fB/x28PyQe7Cj&#13;&#10;OXNpRYswSSLP7xDicAbCH8yX8RLEEWERxjOQeSb/98h/AAAA//8DAFBLAQItABQABgAIAAAAIQC2&#13;&#10;gziS/gAAAOEBAAATAAAAAAAAAAAAAAAAAAAAAABbQ29udGVudF9UeXBlc10ueG1sUEsBAi0AFAAG&#13;&#10;AAgAAAAhADj9If/WAAAAlAEAAAsAAAAAAAAAAAAAAAAALwEAAF9yZWxzLy5yZWxzUEsBAi0AFAAG&#13;&#10;AAgAAAAhADams3URAgAA9wMAAA4AAAAAAAAAAAAAAAAALgIAAGRycy9lMm9Eb2MueG1sUEsBAi0A&#13;&#10;FAAGAAgAAAAhAMlpoI/oAAAADwEAAA8AAAAAAAAAAAAAAAAAawQAAGRycy9kb3ducmV2LnhtbFBL&#13;&#10;BQYAAAAABAAEAPMAAACABQAAAAA=&#13;&#10;" fillcolor="#00305f" stroked="f">
                <v:textbox>
                  <w:txbxContent>
                    <w:p w14:paraId="3B790B1A" w14:textId="77777777" w:rsidR="00CB22A1" w:rsidRDefault="00CB22A1" w:rsidP="0052031E">
                      <w:pPr>
                        <w:ind w:left="2268"/>
                        <w:rPr>
                          <w:rFonts w:ascii="Tahoma" w:hAnsi="Tahoma" w:cs="Tahoma"/>
                          <w:sz w:val="18"/>
                          <w:szCs w:val="18"/>
                          <w:rtl/>
                        </w:rPr>
                      </w:pPr>
                    </w:p>
                    <w:p w14:paraId="01373895" w14:textId="77777777" w:rsidR="00CB22A1" w:rsidRDefault="00CB22A1" w:rsidP="0052031E">
                      <w:pPr>
                        <w:ind w:left="2268"/>
                        <w:rPr>
                          <w:rFonts w:ascii="Tahoma" w:hAnsi="Tahoma" w:cs="Tahoma"/>
                          <w:sz w:val="18"/>
                          <w:szCs w:val="18"/>
                          <w:rtl/>
                        </w:rPr>
                      </w:pPr>
                    </w:p>
                    <w:p w14:paraId="5AD57072" w14:textId="77777777" w:rsidR="00FA1B80" w:rsidRPr="0052031E" w:rsidRDefault="00FA1B80" w:rsidP="00FA1B80">
                      <w:pPr>
                        <w:ind w:left="2268"/>
                        <w:jc w:val="left"/>
                        <w:rPr>
                          <w:rFonts w:ascii="Tahoma" w:hAnsi="Tahoma" w:cs="Tahoma"/>
                          <w:sz w:val="18"/>
                          <w:szCs w:val="18"/>
                          <w:rtl/>
                        </w:rPr>
                      </w:pPr>
                      <w:r>
                        <w:rPr>
                          <w:rFonts w:ascii="Tahoma" w:hAnsi="Tahoma" w:cs="Tahoma" w:hint="cs"/>
                          <w:sz w:val="18"/>
                          <w:szCs w:val="18"/>
                          <w:rtl/>
                        </w:rPr>
                        <w:t xml:space="preserve">דוח </w:t>
                      </w:r>
                      <w:r w:rsidRPr="0052031E">
                        <w:rPr>
                          <w:rFonts w:ascii="Tahoma" w:hAnsi="Tahoma" w:cs="Tahoma"/>
                          <w:sz w:val="18"/>
                          <w:szCs w:val="18"/>
                          <w:rtl/>
                        </w:rPr>
                        <w:t>מבקר המדינה</w:t>
                      </w:r>
                      <w:r>
                        <w:rPr>
                          <w:rFonts w:ascii="Tahoma" w:hAnsi="Tahoma" w:cs="Tahoma" w:hint="cs"/>
                          <w:sz w:val="18"/>
                          <w:szCs w:val="18"/>
                          <w:rtl/>
                        </w:rPr>
                        <w:t xml:space="preserve">  </w:t>
                      </w:r>
                      <w:r w:rsidRPr="0052031E">
                        <w:rPr>
                          <w:rFonts w:ascii="Tahoma" w:hAnsi="Tahoma" w:cs="Tahoma"/>
                          <w:sz w:val="18"/>
                          <w:szCs w:val="18"/>
                          <w:rtl/>
                        </w:rPr>
                        <w:t>|</w:t>
                      </w:r>
                      <w:r>
                        <w:rPr>
                          <w:rFonts w:ascii="Tahoma" w:hAnsi="Tahoma" w:cs="Tahoma" w:hint="cs"/>
                          <w:sz w:val="18"/>
                          <w:szCs w:val="18"/>
                          <w:rtl/>
                        </w:rPr>
                        <w:t xml:space="preserve">  אייר התשפ״ב </w:t>
                      </w:r>
                      <w:r w:rsidRPr="0052031E">
                        <w:rPr>
                          <w:rFonts w:ascii="Tahoma" w:hAnsi="Tahoma" w:cs="Tahoma"/>
                          <w:sz w:val="18"/>
                          <w:szCs w:val="18"/>
                          <w:rtl/>
                        </w:rPr>
                        <w:t xml:space="preserve"> |</w:t>
                      </w:r>
                      <w:r>
                        <w:rPr>
                          <w:rFonts w:ascii="Tahoma" w:hAnsi="Tahoma" w:cs="Tahoma" w:hint="cs"/>
                          <w:sz w:val="18"/>
                          <w:szCs w:val="18"/>
                          <w:rtl/>
                        </w:rPr>
                        <w:t xml:space="preserve">  מאי 2022 </w:t>
                      </w:r>
                    </w:p>
                    <w:p w14:paraId="7A4F68DA" w14:textId="7C112340" w:rsidR="00CB22A1" w:rsidRDefault="00CB22A1" w:rsidP="0052031E">
                      <w:pPr>
                        <w:ind w:left="2268"/>
                      </w:pPr>
                    </w:p>
                    <w:p w14:paraId="388256FF" w14:textId="77777777" w:rsidR="000127BE" w:rsidRDefault="000127BE" w:rsidP="0052031E">
                      <w:pPr>
                        <w:ind w:left="2268"/>
                        <w:rPr>
                          <w:rtl/>
                        </w:rPr>
                      </w:pPr>
                    </w:p>
                    <w:p w14:paraId="537675A5" w14:textId="77777777" w:rsidR="00CB22A1" w:rsidRDefault="00CB22A1" w:rsidP="0052031E">
                      <w:pPr>
                        <w:ind w:left="2268"/>
                        <w:rPr>
                          <w:rtl/>
                        </w:rPr>
                      </w:pPr>
                    </w:p>
                    <w:p w14:paraId="028C1DED" w14:textId="739BF9CB" w:rsidR="00CB22A1" w:rsidRPr="00876ED9" w:rsidRDefault="004F70ED" w:rsidP="0052031E">
                      <w:pPr>
                        <w:ind w:left="2268"/>
                        <w:rPr>
                          <w:rFonts w:ascii="Tahoma" w:eastAsiaTheme="minorEastAsia" w:hAnsi="Tahoma" w:cs="Tahoma"/>
                          <w:color w:val="FFFFFF" w:themeColor="background1"/>
                          <w:sz w:val="28"/>
                          <w:szCs w:val="28"/>
                          <w:rtl/>
                        </w:rPr>
                      </w:pPr>
                      <w:r>
                        <w:rPr>
                          <w:rFonts w:ascii="Tahoma" w:eastAsiaTheme="minorEastAsia" w:hAnsi="Tahoma" w:cs="Tahoma" w:hint="cs"/>
                          <w:color w:val="FFFFFF" w:themeColor="background1"/>
                          <w:sz w:val="28"/>
                          <w:szCs w:val="28"/>
                          <w:rtl/>
                        </w:rPr>
                        <w:t>משרד האוצר</w:t>
                      </w:r>
                    </w:p>
                    <w:p w14:paraId="5464BE8D" w14:textId="22BE27FF" w:rsidR="00CB22A1" w:rsidRPr="00344BBF" w:rsidRDefault="005912C3" w:rsidP="002D268F">
                      <w:pPr>
                        <w:spacing w:before="360" w:line="600" w:lineRule="exact"/>
                        <w:ind w:left="2268"/>
                        <w:jc w:val="left"/>
                        <w:rPr>
                          <w:rFonts w:ascii="Tahoma" w:hAnsi="Tahoma" w:cs="Tahoma"/>
                          <w:b/>
                          <w:bCs/>
                          <w:color w:val="FFFFFF" w:themeColor="background1"/>
                          <w:sz w:val="44"/>
                          <w:szCs w:val="44"/>
                          <w:rtl/>
                        </w:rPr>
                      </w:pPr>
                      <w:r w:rsidRPr="005912C3">
                        <w:rPr>
                          <w:rFonts w:ascii="Tahoma" w:hAnsi="Tahoma" w:cs="Tahoma"/>
                          <w:b/>
                          <w:bCs/>
                          <w:color w:val="FFFFFF" w:themeColor="background1"/>
                          <w:sz w:val="44"/>
                          <w:szCs w:val="44"/>
                          <w:rtl/>
                        </w:rPr>
                        <w:t>הדוחות הכספיים של מדינת ישראל ליום 31.12.2020 - חייבים ויתרות חובה</w:t>
                      </w:r>
                    </w:p>
                  </w:txbxContent>
                </v:textbox>
                <w10:wrap type="square"/>
              </v:shape>
            </w:pict>
          </mc:Fallback>
        </mc:AlternateContent>
      </w:r>
      <w:r w:rsidR="006E08BF">
        <w:rPr>
          <w:rFonts w:ascii="Tahoma" w:hAnsi="Tahoma" w:cs="Tahoma"/>
          <w:noProof/>
          <w:sz w:val="22"/>
          <w:szCs w:val="22"/>
          <w:rtl/>
          <w:lang w:val="he-IL"/>
        </w:rPr>
        <w:drawing>
          <wp:anchor distT="0" distB="0" distL="114300" distR="114300" simplePos="0" relativeHeight="251677184" behindDoc="0" locked="0" layoutInCell="1" allowOverlap="1" wp14:anchorId="0642EECC" wp14:editId="61EF1CED">
            <wp:simplePos x="0" y="0"/>
            <wp:positionH relativeFrom="column">
              <wp:posOffset>3257550</wp:posOffset>
            </wp:positionH>
            <wp:positionV relativeFrom="paragraph">
              <wp:posOffset>439420</wp:posOffset>
            </wp:positionV>
            <wp:extent cx="1010285" cy="70739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10285" cy="707390"/>
                    </a:xfrm>
                    <a:prstGeom prst="rect">
                      <a:avLst/>
                    </a:prstGeom>
                  </pic:spPr>
                </pic:pic>
              </a:graphicData>
            </a:graphic>
            <wp14:sizeRelH relativeFrom="margin">
              <wp14:pctWidth>0</wp14:pctWidth>
            </wp14:sizeRelH>
            <wp14:sizeRelV relativeFrom="margin">
              <wp14:pctHeight>0</wp14:pctHeight>
            </wp14:sizeRelV>
          </wp:anchor>
        </w:drawing>
      </w:r>
    </w:p>
    <w:p w14:paraId="3F6AF12E" w14:textId="51CC11AE" w:rsidR="003C32FE" w:rsidRDefault="003C32FE" w:rsidP="003C32FE">
      <w:pPr>
        <w:spacing w:line="240" w:lineRule="atLeast"/>
        <w:jc w:val="center"/>
        <w:rPr>
          <w:rFonts w:ascii="Tahoma" w:hAnsi="Tahoma" w:cs="Tahoma"/>
          <w:sz w:val="22"/>
          <w:szCs w:val="22"/>
          <w:rtl/>
        </w:rPr>
      </w:pPr>
    </w:p>
    <w:p w14:paraId="5F398D7B" w14:textId="4F30E2B5" w:rsidR="00E35DF9" w:rsidRPr="00406E80" w:rsidRDefault="00E35DF9" w:rsidP="008D2388">
      <w:pPr>
        <w:spacing w:line="240" w:lineRule="atLeast"/>
        <w:jc w:val="center"/>
        <w:rPr>
          <w:rFonts w:ascii="Tahoma" w:hAnsi="Tahoma" w:cs="Tahoma"/>
          <w:color w:val="C6D9F1"/>
          <w:sz w:val="22"/>
          <w:szCs w:val="22"/>
          <w:rtl/>
        </w:rPr>
      </w:pPr>
    </w:p>
    <w:p w14:paraId="1D311F15" w14:textId="47FC2C8F" w:rsidR="008C0B8B" w:rsidRDefault="008C0B8B" w:rsidP="008D2388">
      <w:pPr>
        <w:spacing w:line="240" w:lineRule="atLeast"/>
        <w:jc w:val="center"/>
        <w:rPr>
          <w:rFonts w:ascii="Tahoma" w:hAnsi="Tahoma" w:cs="Tahoma"/>
          <w:sz w:val="22"/>
          <w:szCs w:val="22"/>
          <w:rtl/>
        </w:rPr>
      </w:pPr>
    </w:p>
    <w:p w14:paraId="1AC7C61F" w14:textId="7EB27B86" w:rsidR="008C0B8B" w:rsidRDefault="008C0B8B" w:rsidP="008D2388">
      <w:pPr>
        <w:spacing w:line="240" w:lineRule="atLeast"/>
        <w:jc w:val="center"/>
        <w:rPr>
          <w:rFonts w:ascii="Tahoma" w:hAnsi="Tahoma" w:cs="Tahoma"/>
          <w:sz w:val="22"/>
          <w:szCs w:val="22"/>
          <w:rtl/>
        </w:rPr>
      </w:pPr>
    </w:p>
    <w:p w14:paraId="1081EBD1" w14:textId="1102587C" w:rsidR="00E35DF9" w:rsidRDefault="00E35DF9" w:rsidP="008D2388">
      <w:pPr>
        <w:spacing w:line="240" w:lineRule="atLeast"/>
        <w:jc w:val="center"/>
        <w:rPr>
          <w:rFonts w:ascii="Tahoma" w:hAnsi="Tahoma" w:cs="Tahoma"/>
          <w:sz w:val="22"/>
          <w:szCs w:val="22"/>
          <w:rtl/>
        </w:rPr>
      </w:pPr>
    </w:p>
    <w:p w14:paraId="4090303B" w14:textId="24E90DE2" w:rsidR="00035688" w:rsidRDefault="00035688" w:rsidP="008D2388">
      <w:pPr>
        <w:spacing w:line="240" w:lineRule="atLeast"/>
        <w:jc w:val="center"/>
        <w:rPr>
          <w:rFonts w:ascii="Tahoma" w:hAnsi="Tahoma" w:cs="Tahoma"/>
          <w:sz w:val="22"/>
          <w:szCs w:val="22"/>
          <w:rtl/>
        </w:rPr>
        <w:sectPr w:rsidR="00035688" w:rsidSect="00F619AB">
          <w:headerReference w:type="even" r:id="rId13"/>
          <w:headerReference w:type="default" r:id="rId14"/>
          <w:footerReference w:type="default" r:id="rId15"/>
          <w:pgSz w:w="11906" w:h="16838" w:code="9"/>
          <w:pgMar w:top="3062" w:right="2268" w:bottom="2552" w:left="2268" w:header="1134" w:footer="1361" w:gutter="0"/>
          <w:cols w:space="720"/>
          <w:titlePg/>
          <w:bidi/>
          <w:rtlGutter/>
          <w:docGrid w:linePitch="272"/>
        </w:sectPr>
      </w:pPr>
    </w:p>
    <w:p w14:paraId="67CE1943" w14:textId="0F8F3485" w:rsidR="00BF5BF6" w:rsidRDefault="00A4391C" w:rsidP="000E64A1">
      <w:pPr>
        <w:spacing w:line="240" w:lineRule="atLeast"/>
        <w:jc w:val="left"/>
        <w:rPr>
          <w:rFonts w:ascii="Tahoma" w:hAnsi="Tahoma" w:cs="Tahoma"/>
          <w:sz w:val="22"/>
          <w:szCs w:val="22"/>
          <w:rtl/>
        </w:rPr>
      </w:pPr>
      <w:r>
        <w:rPr>
          <w:rFonts w:ascii="Tahoma" w:hAnsi="Tahoma" w:cs="Tahoma"/>
          <w:noProof/>
          <w:sz w:val="22"/>
          <w:szCs w:val="22"/>
          <w:rtl/>
          <w:lang w:val="he-IL"/>
        </w:rPr>
        <w:lastRenderedPageBreak/>
        <mc:AlternateContent>
          <mc:Choice Requires="wps">
            <w:drawing>
              <wp:anchor distT="0" distB="0" distL="114300" distR="114300" simplePos="0" relativeHeight="251732480" behindDoc="0" locked="0" layoutInCell="1" allowOverlap="1" wp14:anchorId="62E8C69A" wp14:editId="2569AF68">
                <wp:simplePos x="0" y="0"/>
                <wp:positionH relativeFrom="column">
                  <wp:posOffset>-1468755</wp:posOffset>
                </wp:positionH>
                <wp:positionV relativeFrom="paragraph">
                  <wp:posOffset>-1182370</wp:posOffset>
                </wp:positionV>
                <wp:extent cx="7601578" cy="1543050"/>
                <wp:effectExtent l="0" t="0" r="0" b="0"/>
                <wp:wrapNone/>
                <wp:docPr id="24" name="Rectangle 24"/>
                <wp:cNvGraphicFramePr/>
                <a:graphic xmlns:a="http://schemas.openxmlformats.org/drawingml/2006/main">
                  <a:graphicData uri="http://schemas.microsoft.com/office/word/2010/wordprocessingShape">
                    <wps:wsp>
                      <wps:cNvSpPr/>
                      <wps:spPr>
                        <a:xfrm flipV="1">
                          <a:off x="0" y="0"/>
                          <a:ext cx="7601578" cy="1543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AE33E" id="Rectangle 24" o:spid="_x0000_s1026" style="position:absolute;left:0;text-align:left;margin-left:-115.65pt;margin-top:-93.1pt;width:598.55pt;height:121.5pt;flip:y;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22KnQIAAJEFAAAOAAAAZHJzL2Uyb0RvYy54bWysVF1v2yAUfZ+0/4B4X21nSbtFdaqoVadJ&#10;VRu13fpMMMRImMuAxMl+/S5gp11X7WGaHyzgHs794Nx7frHvNNkJ5xWYmlYnJSXCcGiU2dT02+P1&#10;h0+U+MBMwzQYUdOD8PRi8f7deW/nYgIt6EY4giTGz3tb0zYEOy8Kz1vRMX8CVhg0SnAdC7h1m6Jx&#10;rEf2TheTsjwtenCNdcCF93h6lY10kfilFDzcSelFILqmGFtIf5f+6/gvFudsvnHMtooPYbB/iKJj&#10;yqDTI9UVC4xsnfqDqlPcgQcZTjh0BUipuEg5YDZV+Sqbh5ZZkXLB4nh7LJP/f7T8drdyRDU1nUwp&#10;MazDN7rHqjGz0YLgGRaot36OuAe7csPO4zJmu5euI1Ir+x3fPuWPGZF9Ku/hWF6xD4Tj4dlpWc3O&#10;UBAcbdVs+rGcpQcoMlEktM6HLwI6Ehc1dRhJomW7Gx/QOUJHSIR70Kq5VlqnTdSMuNSO7Bi+9npT&#10;xeDxxm8obSLWQLyVzfGkiDnmrNIqHLSIOG3uhcTyYPSTFEgS5rMTxrkwIafuW9aI7HtW4jd6H8NK&#10;sSTCyCzR/5F7IBiRmWTkzlEO+HhVJF0fL5d/CyxfPt5InsGE4+VOGXBvEWjMavCc8WORcmlildbQ&#10;HFA8DnJXecuvFT7bDfNhxRy2ETYcjoZwhz+poa8pDCtKWnA/3zqPeFQ3WinpsS1r6n9smROU6K8G&#10;df+5mk5jH6fNdHY2wY17aVm/tJhtdwmohQqHkOVpGfFBj6fSQfeEE2QZvaKJGY6+a8qDGzeXIY8L&#10;nEFcLJcJhr1rWbgxD5aPwo+yfNw/MWcH7QaU/S2MLczmryScsfE9DCy3AaRK+n6u61Bv7PsknGFG&#10;xcHycp9Qz5N08QsAAP//AwBQSwMEFAAGAAgAAAAhABPlzWXiAAAADAEAAA8AAABkcnMvZG93bnJl&#10;di54bWxMj8tOwzAQRfdI/IM1SOxa56FYaYhTAaKLSqhSWxYs3XhIImI7st02/D3Diu5mNEd3zq3X&#10;sxnZBX0YnJWQLhNgaFunB9tJ+DhuFiWwEJXVanQWJfxggHVzf1erSrur3ePlEDtGITZUSkIf41Rx&#10;HtoejQpLN6Gl25fzRkVafce1V1cKNyPPkkRwowZLH3o14WuP7ffhbCR0n8Xm7eW4zfd+68T7yuNu&#10;yHZSPj7Mz0/AIs7xH4Y/fVKHhpxO7mx1YKOERZanObE0paXIgBGzEgXVOUkoRAm8qfltieYXAAD/&#10;/wMAUEsBAi0AFAAGAAgAAAAhALaDOJL+AAAA4QEAABMAAAAAAAAAAAAAAAAAAAAAAFtDb250ZW50&#10;X1R5cGVzXS54bWxQSwECLQAUAAYACAAAACEAOP0h/9YAAACUAQAACwAAAAAAAAAAAAAAAAAvAQAA&#10;X3JlbHMvLnJlbHNQSwECLQAUAAYACAAAACEA/adtip0CAACRBQAADgAAAAAAAAAAAAAAAAAuAgAA&#10;ZHJzL2Uyb0RvYy54bWxQSwECLQAUAAYACAAAACEAE+XNZeIAAAAMAQAADwAAAAAAAAAAAAAAAAD3&#10;BAAAZHJzL2Rvd25yZXYueG1sUEsFBgAAAAAEAAQA8wAAAAYGAAAAAA==&#10;" fillcolor="white [3212]" stroked="f" strokeweight="2pt"/>
            </w:pict>
          </mc:Fallback>
        </mc:AlternateContent>
      </w:r>
    </w:p>
    <w:p w14:paraId="291315C1" w14:textId="514133F9" w:rsidR="000E64A1" w:rsidRDefault="000E64A1" w:rsidP="000E64A1">
      <w:pPr>
        <w:jc w:val="left"/>
        <w:rPr>
          <w:rFonts w:ascii="Tahoma" w:hAnsi="Tahoma" w:cs="Tahoma"/>
          <w:sz w:val="22"/>
          <w:szCs w:val="22"/>
          <w:rtl/>
        </w:rPr>
        <w:sectPr w:rsidR="000E64A1" w:rsidSect="00F619AB">
          <w:headerReference w:type="even" r:id="rId16"/>
          <w:pgSz w:w="11906" w:h="16838" w:code="9"/>
          <w:pgMar w:top="3062" w:right="2268" w:bottom="2552" w:left="2268" w:header="709" w:footer="709" w:gutter="0"/>
          <w:pgNumType w:start="0"/>
          <w:cols w:space="720"/>
          <w:bidi/>
          <w:rtlGutter/>
          <w:docGrid w:linePitch="272"/>
        </w:sectPr>
      </w:pPr>
    </w:p>
    <w:p w14:paraId="32190477" w14:textId="0C96A0CD" w:rsidR="009E3D6D" w:rsidRDefault="0012082F" w:rsidP="006F18DE">
      <w:pPr>
        <w:pStyle w:val="7120"/>
        <w:rPr>
          <w:rtl/>
        </w:rPr>
      </w:pPr>
      <w:r>
        <w:rPr>
          <w:noProof/>
          <w:rtl/>
          <w:lang w:val="he-IL"/>
        </w:rPr>
        <w:lastRenderedPageBreak/>
        <mc:AlternateContent>
          <mc:Choice Requires="wps">
            <w:drawing>
              <wp:anchor distT="0" distB="0" distL="114300" distR="114300" simplePos="0" relativeHeight="251976192" behindDoc="0" locked="0" layoutInCell="1" allowOverlap="1" wp14:anchorId="7749C24D" wp14:editId="6FBA14A0">
                <wp:simplePos x="0" y="0"/>
                <wp:positionH relativeFrom="column">
                  <wp:posOffset>-662709</wp:posOffset>
                </wp:positionH>
                <wp:positionV relativeFrom="paragraph">
                  <wp:posOffset>318307</wp:posOffset>
                </wp:positionV>
                <wp:extent cx="186690" cy="5152275"/>
                <wp:effectExtent l="12700" t="12700" r="16510" b="17145"/>
                <wp:wrapNone/>
                <wp:docPr id="6" name="מלבן 6"/>
                <wp:cNvGraphicFramePr/>
                <a:graphic xmlns:a="http://schemas.openxmlformats.org/drawingml/2006/main">
                  <a:graphicData uri="http://schemas.microsoft.com/office/word/2010/wordprocessingShape">
                    <wps:wsp>
                      <wps:cNvSpPr/>
                      <wps:spPr>
                        <a:xfrm>
                          <a:off x="0" y="0"/>
                          <a:ext cx="186690" cy="5152275"/>
                        </a:xfrm>
                        <a:prstGeom prst="rect">
                          <a:avLst/>
                        </a:prstGeom>
                        <a:solidFill>
                          <a:srgbClr val="00305F"/>
                        </a:solidFill>
                        <a:ln>
                          <a:solidFill>
                            <a:srgbClr val="00305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29A061" id="מלבן 6" o:spid="_x0000_s1026" style="position:absolute;left:0;text-align:left;margin-left:-52.2pt;margin-top:25.05pt;width:14.7pt;height:405.7pt;z-index:25197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IeQXfgIAAIgFAAAOAAAAZHJzL2Uyb0RvYy54bWysVE1v2zAMvQ/YfxB0X21nTdcGdYqgRYYB&#13;&#10;RVusHXpWZCkxIIsapcTJfv0o+SNdV+xQLAdFFMlH8pnk5dW+MWyn0NdgS16c5JwpK6Gq7brkP56W&#13;&#10;n84580HYShiwquQH5fnV/OOHy9bN1AQ2YCqFjECsn7Wu5JsQ3CzLvNyoRvgTcMqSUgM2IpCI66xC&#13;&#10;0RJ6Y7JJnp9lLWDlEKTynl5vOiWfJ3ytlQz3WnsVmCk55RbSielcxTObX4rZGoXb1LJPQ7wji0bU&#13;&#10;loKOUDciCLbF+i+oppYIHnQ4kdBkoHUtVaqBqinyV9U8boRTqRYix7uRJv//YOXd7tE9INHQOj/z&#13;&#10;dI1V7DU28Z/yY/tE1mEkS+0Dk/RYnJ+dXRClklTTYjqZfJlGNrOjt0MfvipoWLyUHOljJI7E7taH&#13;&#10;znQwicE8mLpa1sYkAdera4NsJ+KHyz/n02WP/oeZse/zpCyja3YsOt3CwagIaOx3pVldUZmTlHLq&#13;&#10;RzUmJKRUNhSdaiMq1eU5zek3pBk7OHokShJgRNZU34jdAwyWHciA3RHU20dXldp5dM7/lVjnPHqk&#13;&#10;yGDD6NzUFvAtAENV9ZE7+4GkjprI0gqqwwMyhG6YvJPLmj7wrfDhQSBNDzUFbYRwT4c20JYc+htn&#13;&#10;G8Bfb71He2pq0nLW0jSW3P/cClScmW+W2v2iOD2N45uE0+mXCQn4UrN6qbHb5hqobwraPU6ma7QP&#13;&#10;ZnjVCM0zLY5FjEoqYSXFLrkMOAjXodsStHqkWiySGY2sE+HWPjoZwSOrsYGf9s8CXd/lgebjDobJ&#13;&#10;FbNXzd7ZRk8Li20AXadJOPLa803jnhqnX01xn7yUk9Vxgc5/AwAA//8DAFBLAwQUAAYACAAAACEA&#13;&#10;Ug91k+cAAAAQAQAADwAAAGRycy9kb3ducmV2LnhtbEyPMU/DMBCFdyT+g3VIbKlt2pSSxqlQUAdY&#13;&#10;EKEMbG58JCmxHcVuG/j1HBMsJ53uvXfvyzeT7dkJx9B5p0DOBDB0tTedaxTsXrfJCliI2hnde4cK&#13;&#10;vjDApri8yHVm/Nm94KmKDaMQFzKtoI1xyDgPdYtWh5kf0NHtw49WR1rHhptRnync9vxGiCW3unP0&#13;&#10;odUDli3Wn9XRKjgc6ucybNP50yPO70RVyt33+5tS11fTw5rG/RpYxCn+OeCXgfpDQcX2/uhMYL2C&#13;&#10;RIrFgrQKUiGBkSK5TQlxr2C1lCnwIuf/QYofAAAA//8DAFBLAQItABQABgAIAAAAIQC2gziS/gAA&#13;&#10;AOEBAAATAAAAAAAAAAAAAAAAAAAAAABbQ29udGVudF9UeXBlc10ueG1sUEsBAi0AFAAGAAgAAAAh&#13;&#10;ADj9If/WAAAAlAEAAAsAAAAAAAAAAAAAAAAALwEAAF9yZWxzLy5yZWxzUEsBAi0AFAAGAAgAAAAh&#13;&#10;AMQh5Bd+AgAAiAUAAA4AAAAAAAAAAAAAAAAALgIAAGRycy9lMm9Eb2MueG1sUEsBAi0AFAAGAAgA&#13;&#10;AAAhAFIPdZPnAAAAEAEAAA8AAAAAAAAAAAAAAAAA2AQAAGRycy9kb3ducmV2LnhtbFBLBQYAAAAA&#13;&#10;BAAEAPMAAADsBQAAAAA=&#13;&#10;" fillcolor="#00305f" strokecolor="#00305f" strokeweight="2pt"/>
            </w:pict>
          </mc:Fallback>
        </mc:AlternateContent>
      </w:r>
      <w:r w:rsidR="004C73F8">
        <w:rPr>
          <w:noProof/>
          <w:rtl/>
        </w:rPr>
        <w:drawing>
          <wp:anchor distT="0" distB="0" distL="114300" distR="114300" simplePos="0" relativeHeight="251680256" behindDoc="0" locked="0" layoutInCell="1" allowOverlap="1" wp14:anchorId="510ACD8F" wp14:editId="199480EA">
            <wp:simplePos x="0" y="0"/>
            <wp:positionH relativeFrom="margin">
              <wp:posOffset>3321050</wp:posOffset>
            </wp:positionH>
            <wp:positionV relativeFrom="paragraph">
              <wp:posOffset>973479</wp:posOffset>
            </wp:positionV>
            <wp:extent cx="1386840" cy="42164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86840" cy="421640"/>
                    </a:xfrm>
                    <a:prstGeom prst="rect">
                      <a:avLst/>
                    </a:prstGeom>
                  </pic:spPr>
                </pic:pic>
              </a:graphicData>
            </a:graphic>
          </wp:anchor>
        </w:drawing>
      </w:r>
      <w:r w:rsidR="005912C3" w:rsidRPr="005912C3">
        <w:rPr>
          <w:rtl/>
        </w:rPr>
        <w:t>הדוחות הכספיים של מדינת ישראל ליום 31.12.2020 - חייבים ויתרות חובה</w:t>
      </w:r>
    </w:p>
    <w:p w14:paraId="5A405736" w14:textId="77777777" w:rsidR="004C73F8" w:rsidRPr="005702A0" w:rsidRDefault="004C73F8" w:rsidP="004C73F8">
      <w:pPr>
        <w:framePr w:hSpace="180" w:wrap="around" w:vAnchor="text" w:hAnchor="text" w:xAlign="center" w:y="1"/>
        <w:spacing w:before="120" w:after="120" w:line="288" w:lineRule="auto"/>
        <w:ind w:left="-1"/>
        <w:suppressOverlap/>
        <w:rPr>
          <w:rFonts w:ascii="Tahoma" w:hAnsi="Tahoma" w:cs="Tahoma"/>
          <w:color w:val="0D0D0D" w:themeColor="text1" w:themeTint="F2"/>
          <w:sz w:val="18"/>
          <w:szCs w:val="18"/>
          <w:rtl/>
        </w:rPr>
      </w:pPr>
      <w:r w:rsidRPr="005702A0">
        <w:rPr>
          <w:rFonts w:ascii="Tahoma" w:hAnsi="Tahoma" w:cs="Tahoma"/>
          <w:color w:val="0D0D0D" w:themeColor="text1" w:themeTint="F2"/>
          <w:sz w:val="18"/>
          <w:szCs w:val="18"/>
          <w:rtl/>
        </w:rPr>
        <w:t>הדוחות הכספיים של המדינה מציגים בין היתר את היקף החובות כלפי המדינה. החובות יכולים לנבוע מאספקת שירותים מטעם המדינה ומהטלת חיובים, כגון אגרות, קנסות או עיצומים כספיים מכוח דינים שונים. נוסף על כך, לעיתים המדינה זכאית לפיצוי או להחזר הוצאות מכוח פסקי דין, הסכמים או סיבות אחרות.</w:t>
      </w:r>
    </w:p>
    <w:p w14:paraId="438CAA5E" w14:textId="56C5CD91" w:rsidR="009E3D6D" w:rsidRDefault="004C73F8" w:rsidP="004C73F8">
      <w:pPr>
        <w:pStyle w:val="7190"/>
        <w:rPr>
          <w:b/>
          <w:bCs/>
          <w:rtl/>
        </w:rPr>
      </w:pPr>
      <w:r w:rsidRPr="005702A0">
        <w:rPr>
          <w:rtl/>
        </w:rPr>
        <w:t xml:space="preserve">בסעיף 12 לחוק מבקר המדינה, </w:t>
      </w:r>
      <w:proofErr w:type="spellStart"/>
      <w:r w:rsidRPr="005702A0">
        <w:rPr>
          <w:rtl/>
        </w:rPr>
        <w:t>התשי"ח</w:t>
      </w:r>
      <w:proofErr w:type="spellEnd"/>
      <w:r w:rsidRPr="005702A0">
        <w:rPr>
          <w:rtl/>
        </w:rPr>
        <w:t>-1958 [נוסח משולב], נקבע כי בכל שנה - במועד שיקבע המבקר, אולם לא יאוחר משישה חודשים לאחר תום שנת הכספים של המדינה - ימציא שר האוצר למבקר המדינה "דין וחשבון כולל על ההכנסות וההוצאות של המדינה באותה שנה". עוד נקבע בסעיף כי במועד שיקבע המבקר, אולם לא יאוחר מתשעה חדשים לאחר תום שנת הכספים של המדינה, ימציא שר האוצר למבקר המדינה את "מאזן זכויותיה והתחייבויותיה של המדינה למועד תום שנת הכספים". הדוחות הכספיים המאוחדים של המדינה ל-31.12.2020 הוגשו למבקר המדינה ופורסמו ביולי 2021</w:t>
      </w:r>
      <w:r w:rsidR="00CD022B" w:rsidRPr="009E3D6D">
        <w:rPr>
          <w:rtl/>
        </w:rPr>
        <w:t>.</w:t>
      </w:r>
      <w:r w:rsidR="00CD022B" w:rsidRPr="00DD5B43">
        <w:rPr>
          <w:rtl/>
        </w:rPr>
        <w:t xml:space="preserve"> </w:t>
      </w:r>
    </w:p>
    <w:p w14:paraId="37F3ACFD" w14:textId="77777777" w:rsidR="009E3D6D" w:rsidRDefault="009E3D6D" w:rsidP="001C670A">
      <w:pPr>
        <w:pStyle w:val="7190"/>
        <w:bidi w:val="0"/>
        <w:rPr>
          <w:rtl/>
        </w:rPr>
      </w:pPr>
      <w:r>
        <w:rPr>
          <w:rtl/>
        </w:rPr>
        <w:br w:type="page"/>
      </w:r>
    </w:p>
    <w:p w14:paraId="0A7BF7D8" w14:textId="67A0AA43" w:rsidR="00CD022B" w:rsidRPr="00DD5B43" w:rsidRDefault="009E3D6D" w:rsidP="009E3D6D">
      <w:pPr>
        <w:pStyle w:val="7190"/>
        <w:rPr>
          <w:b/>
          <w:bCs/>
          <w:rtl/>
        </w:rPr>
      </w:pPr>
      <w:r>
        <w:rPr>
          <w:b/>
          <w:bCs/>
          <w:noProof/>
          <w:sz w:val="22"/>
          <w:szCs w:val="22"/>
          <w:rtl/>
          <w:lang w:val="he-IL"/>
        </w:rPr>
        <w:lastRenderedPageBreak/>
        <w:drawing>
          <wp:anchor distT="0" distB="0" distL="114300" distR="114300" simplePos="0" relativeHeight="251906560" behindDoc="0" locked="0" layoutInCell="1" allowOverlap="1" wp14:anchorId="2B7BF5B6" wp14:editId="17D67692">
            <wp:simplePos x="0" y="0"/>
            <wp:positionH relativeFrom="column">
              <wp:posOffset>3258540</wp:posOffset>
            </wp:positionH>
            <wp:positionV relativeFrom="paragraph">
              <wp:posOffset>545</wp:posOffset>
            </wp:positionV>
            <wp:extent cx="1405255" cy="431800"/>
            <wp:effectExtent l="0" t="0" r="4445"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05255" cy="431800"/>
                    </a:xfrm>
                    <a:prstGeom prst="rect">
                      <a:avLst/>
                    </a:prstGeom>
                  </pic:spPr>
                </pic:pic>
              </a:graphicData>
            </a:graphic>
            <wp14:sizeRelH relativeFrom="margin">
              <wp14:pctWidth>0</wp14:pctWidth>
            </wp14:sizeRelH>
            <wp14:sizeRelV relativeFrom="margin">
              <wp14:pctHeight>0</wp14:pctHeight>
            </wp14:sizeRelV>
          </wp:anchor>
        </w:drawing>
      </w:r>
    </w:p>
    <w:p w14:paraId="3283CEA6" w14:textId="60A985A1" w:rsidR="00F7759D" w:rsidRDefault="00F7759D" w:rsidP="00CD022B">
      <w:pPr>
        <w:pStyle w:val="7190"/>
        <w:rPr>
          <w:rtl/>
        </w:rPr>
      </w:pPr>
    </w:p>
    <w:tbl>
      <w:tblPr>
        <w:tblStyle w:val="ad"/>
        <w:bidiVisual/>
        <w:tblW w:w="7342" w:type="dxa"/>
        <w:tblInd w:w="5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8"/>
        <w:gridCol w:w="1843"/>
        <w:gridCol w:w="1814"/>
        <w:gridCol w:w="1757"/>
      </w:tblGrid>
      <w:tr w:rsidR="00CD29D6" w:rsidRPr="000E7BE6" w14:paraId="7597E23C" w14:textId="77777777" w:rsidTr="004C73F8">
        <w:tc>
          <w:tcPr>
            <w:tcW w:w="1928" w:type="dxa"/>
            <w:vAlign w:val="bottom"/>
          </w:tcPr>
          <w:p w14:paraId="1E1AF3C6" w14:textId="47AAB6F3" w:rsidR="00CD29D6" w:rsidRPr="00864A2A" w:rsidRDefault="004C73F8" w:rsidP="00602F1C">
            <w:pPr>
              <w:pStyle w:val="2021"/>
              <w:spacing w:before="0"/>
              <w:rPr>
                <w:rtl/>
              </w:rPr>
            </w:pPr>
            <w:r>
              <w:rPr>
                <w:rFonts w:hint="cs"/>
                <w:rtl/>
              </w:rPr>
              <w:t>732</w:t>
            </w:r>
            <w:r w:rsidR="00141541">
              <w:rPr>
                <w:rFonts w:hint="cs"/>
                <w:rtl/>
              </w:rPr>
              <w:t xml:space="preserve"> </w:t>
            </w:r>
            <w:r>
              <w:rPr>
                <w:rFonts w:hint="cs"/>
                <w:sz w:val="26"/>
                <w:szCs w:val="26"/>
                <w:rtl/>
              </w:rPr>
              <w:t>מיליארד ש״ח</w:t>
            </w:r>
            <w:r w:rsidR="00864A2A" w:rsidRPr="00864A2A">
              <w:rPr>
                <w:rtl/>
              </w:rPr>
              <w:t xml:space="preserve"> </w:t>
            </w:r>
          </w:p>
        </w:tc>
        <w:tc>
          <w:tcPr>
            <w:tcW w:w="1843" w:type="dxa"/>
            <w:vAlign w:val="bottom"/>
          </w:tcPr>
          <w:p w14:paraId="1D9D023E" w14:textId="7A8728FA" w:rsidR="00CD29D6" w:rsidRPr="00864A2A" w:rsidRDefault="004C73F8" w:rsidP="00602F1C">
            <w:pPr>
              <w:spacing w:line="240" w:lineRule="auto"/>
              <w:jc w:val="left"/>
              <w:rPr>
                <w:rFonts w:ascii="Tahoma" w:hAnsi="Tahoma" w:cs="Tahoma"/>
                <w:spacing w:val="-10"/>
                <w:sz w:val="26"/>
                <w:szCs w:val="26"/>
                <w:rtl/>
              </w:rPr>
            </w:pPr>
            <w:r>
              <w:rPr>
                <w:rFonts w:ascii="Tahoma" w:eastAsiaTheme="minorEastAsia" w:hAnsi="Tahoma" w:cs="Tahoma" w:hint="cs"/>
                <w:b/>
                <w:bCs/>
                <w:color w:val="0D0D0D" w:themeColor="text1" w:themeTint="F2"/>
                <w:spacing w:val="-12"/>
                <w:sz w:val="36"/>
                <w:szCs w:val="36"/>
                <w:rtl/>
              </w:rPr>
              <w:t xml:space="preserve">69.2 </w:t>
            </w:r>
            <w:r w:rsidRPr="004C73F8">
              <w:rPr>
                <w:rFonts w:ascii="Tahoma" w:eastAsiaTheme="minorEastAsia" w:hAnsi="Tahoma" w:cs="Tahoma" w:hint="cs"/>
                <w:b/>
                <w:bCs/>
                <w:color w:val="0D0D0D" w:themeColor="text1" w:themeTint="F2"/>
                <w:spacing w:val="-12"/>
                <w:sz w:val="26"/>
                <w:szCs w:val="26"/>
                <w:rtl/>
              </w:rPr>
              <w:t>מיליארד ש״ח</w:t>
            </w:r>
            <w:r w:rsidR="00760601" w:rsidRPr="007F4E99">
              <w:rPr>
                <w:rFonts w:ascii="Tahoma" w:eastAsiaTheme="minorEastAsia" w:hAnsi="Tahoma" w:cs="Tahoma"/>
                <w:b/>
                <w:bCs/>
                <w:color w:val="0D0D0D" w:themeColor="text1" w:themeTint="F2"/>
                <w:spacing w:val="-12"/>
                <w:sz w:val="26"/>
                <w:szCs w:val="26"/>
                <w:rtl/>
              </w:rPr>
              <w:t xml:space="preserve"> </w:t>
            </w:r>
          </w:p>
        </w:tc>
        <w:tc>
          <w:tcPr>
            <w:tcW w:w="1814" w:type="dxa"/>
            <w:vAlign w:val="bottom"/>
          </w:tcPr>
          <w:p w14:paraId="6113CBED" w14:textId="1A02D272" w:rsidR="00CD29D6" w:rsidRPr="00864A2A" w:rsidRDefault="004C73F8" w:rsidP="00602F1C">
            <w:pPr>
              <w:spacing w:line="240" w:lineRule="auto"/>
              <w:jc w:val="left"/>
              <w:rPr>
                <w:rFonts w:ascii="Tahoma" w:hAnsi="Tahoma" w:cs="Tahoma"/>
                <w:spacing w:val="-10"/>
                <w:sz w:val="26"/>
                <w:szCs w:val="26"/>
                <w:rtl/>
              </w:rPr>
            </w:pPr>
            <w:r>
              <w:rPr>
                <w:rFonts w:ascii="Tahoma" w:eastAsiaTheme="minorEastAsia" w:hAnsi="Tahoma" w:cs="Tahoma" w:hint="cs"/>
                <w:b/>
                <w:bCs/>
                <w:color w:val="0D0D0D" w:themeColor="text1" w:themeTint="F2"/>
                <w:spacing w:val="-12"/>
                <w:sz w:val="36"/>
                <w:szCs w:val="36"/>
                <w:rtl/>
              </w:rPr>
              <w:t>14.1</w:t>
            </w:r>
            <w:r>
              <w:rPr>
                <w:rFonts w:ascii="Tahoma" w:eastAsiaTheme="minorEastAsia" w:hAnsi="Tahoma" w:cs="Tahoma"/>
                <w:b/>
                <w:bCs/>
                <w:color w:val="0D0D0D" w:themeColor="text1" w:themeTint="F2"/>
                <w:spacing w:val="-12"/>
                <w:sz w:val="36"/>
                <w:szCs w:val="36"/>
                <w:rtl/>
              </w:rPr>
              <w:br/>
            </w:r>
            <w:r w:rsidRPr="004C73F8">
              <w:rPr>
                <w:rFonts w:ascii="Tahoma" w:eastAsiaTheme="minorEastAsia" w:hAnsi="Tahoma" w:cs="Tahoma" w:hint="cs"/>
                <w:b/>
                <w:bCs/>
                <w:color w:val="0D0D0D" w:themeColor="text1" w:themeTint="F2"/>
                <w:spacing w:val="-12"/>
                <w:sz w:val="26"/>
                <w:szCs w:val="26"/>
                <w:rtl/>
              </w:rPr>
              <w:t>מיליארד ש״ח</w:t>
            </w:r>
            <w:r w:rsidR="00760601" w:rsidRPr="004C73F8">
              <w:rPr>
                <w:rFonts w:ascii="Tahoma" w:eastAsiaTheme="minorEastAsia" w:hAnsi="Tahoma" w:cs="Tahoma"/>
                <w:b/>
                <w:bCs/>
                <w:color w:val="0D0D0D" w:themeColor="text1" w:themeTint="F2"/>
                <w:spacing w:val="-12"/>
                <w:sz w:val="26"/>
                <w:szCs w:val="26"/>
                <w:rtl/>
              </w:rPr>
              <w:t xml:space="preserve"> </w:t>
            </w:r>
          </w:p>
        </w:tc>
        <w:tc>
          <w:tcPr>
            <w:tcW w:w="1757" w:type="dxa"/>
            <w:vAlign w:val="bottom"/>
          </w:tcPr>
          <w:p w14:paraId="4F8327BA" w14:textId="4681DE38" w:rsidR="00CD29D6" w:rsidRPr="00760601" w:rsidRDefault="004C73F8" w:rsidP="00864A2A">
            <w:pPr>
              <w:pStyle w:val="2021"/>
              <w:spacing w:before="360"/>
              <w:rPr>
                <w:spacing w:val="-26"/>
                <w:rtl/>
              </w:rPr>
            </w:pPr>
            <w:r>
              <w:rPr>
                <w:rFonts w:hint="cs"/>
                <w:spacing w:val="-12"/>
                <w:rtl/>
              </w:rPr>
              <w:t>5%</w:t>
            </w:r>
          </w:p>
        </w:tc>
      </w:tr>
      <w:tr w:rsidR="003E252F" w:rsidRPr="009A73F6" w14:paraId="5AD4AD14" w14:textId="77777777" w:rsidTr="004C73F8">
        <w:tc>
          <w:tcPr>
            <w:tcW w:w="1928" w:type="dxa"/>
          </w:tcPr>
          <w:p w14:paraId="2188EAF4" w14:textId="5CB7D04D" w:rsidR="003E252F" w:rsidRPr="00664A6F" w:rsidRDefault="003E252F" w:rsidP="003E252F">
            <w:pPr>
              <w:pStyle w:val="20211"/>
              <w:spacing w:after="0" w:line="160" w:lineRule="exact"/>
              <w:rPr>
                <w:rtl/>
              </w:rPr>
            </w:pPr>
            <w:r>
              <w:rPr>
                <w:rFonts w:hint="cs"/>
                <w:noProof/>
                <w:w w:val="100"/>
                <w:rtl/>
                <w:lang w:val="he-IL"/>
              </w:rPr>
              <mc:AlternateContent>
                <mc:Choice Requires="wps">
                  <w:drawing>
                    <wp:anchor distT="0" distB="0" distL="114300" distR="114300" simplePos="0" relativeHeight="251910656" behindDoc="0" locked="0" layoutInCell="1" allowOverlap="1" wp14:anchorId="12BEFB75" wp14:editId="5187EF0A">
                      <wp:simplePos x="0" y="0"/>
                      <wp:positionH relativeFrom="column">
                        <wp:posOffset>8890</wp:posOffset>
                      </wp:positionH>
                      <wp:positionV relativeFrom="paragraph">
                        <wp:posOffset>52070</wp:posOffset>
                      </wp:positionV>
                      <wp:extent cx="1028700" cy="0"/>
                      <wp:effectExtent l="0" t="0" r="0" b="0"/>
                      <wp:wrapNone/>
                      <wp:docPr id="9" name="Straight Connector 9"/>
                      <wp:cNvGraphicFramePr/>
                      <a:graphic xmlns:a="http://schemas.openxmlformats.org/drawingml/2006/main">
                        <a:graphicData uri="http://schemas.microsoft.com/office/word/2010/wordprocessingShape">
                          <wps:wsp>
                            <wps:cNvCnPr/>
                            <wps:spPr>
                              <a:xfrm flipH="1">
                                <a:off x="0" y="0"/>
                                <a:ext cx="1028700" cy="0"/>
                              </a:xfrm>
                              <a:prstGeom prst="line">
                                <a:avLst/>
                              </a:prstGeom>
                              <a:ln w="1270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197CEC" id="Straight Connector 9" o:spid="_x0000_s1026" style="position:absolute;left:0;text-align:left;flip:x;z-index:251910656;visibility:visible;mso-wrap-style:square;mso-wrap-distance-left:9pt;mso-wrap-distance-top:0;mso-wrap-distance-right:9pt;mso-wrap-distance-bottom:0;mso-position-horizontal:absolute;mso-position-horizontal-relative:text;mso-position-vertical:absolute;mso-position-vertical-relative:text" from=".7pt,4.1pt" to="81.7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Tfm+QEAAFEEAAAOAAAAZHJzL2Uyb0RvYy54bWysVNuO2yAQfa/Uf0C8N3Yitd214uxDVts+&#10;9BJ12w9gMcRIwKCBjZO/7wCJd3tRpVZ9QTDMnDnnMPb65ugsOyiMBnzPl4uWM+UlDMbve/7t692r&#10;K85iEn4QFrzq+UlFfrN5+WI9hU6tYAQ7KGQE4mM3hZ6PKYWuaaIclRNxAUF5utSATiQ64r4ZUEyE&#10;7myzats3zQQ4BASpYqTobb3km4KvtZLps9ZRJWZ7TtxSWbGsD3ltNmvR7VGE0cgzDfEPLJwwnprO&#10;ULciCfaI5hcoZyRCBJ0WElwDWhupigZSs2x/UnM/iqCKFjInhtmm+P9g5afDDpkZen7NmReOnug+&#10;oTD7MbEteE8GArLr7NMUYkfpW7/D8ymGHWbRR42OaWvCexqBYgMJY8fi8ml2WR0TkxRctqurty09&#10;hrzcNRUiQwWM6Z0Cx/Km59b4bIDoxOFDTNSWUi8pOWw9mwhxlfHyOYI1w52xthzyEKmtRXYQ9Pzp&#10;WLnZR/cRhhq7ft1SZRkCCtOo1PAlSt3KJGaQ0vsZPt1ZT8FsSzWi7NLJqsrsi9JkbBZcqf3IRkip&#10;fFrm3gWJsnOZJu5z4VnTnwrP+blUlXH/m+K5onQGn+ZiZzzg72hnEytlXfMvDlTd2YIHGE5lRIo1&#10;NLdF4fkbyx/G83Mpf/oTbL4DAAD//wMAUEsDBBQABgAIAAAAIQC5gxlw2gAAAAUBAAAPAAAAZHJz&#10;L2Rvd25yZXYueG1sTI5NS8NAFEX3Qv/D8Aru7EwbKSVmUlQouPCDxoIup5nXJDbzJmSmafz3vrrR&#10;5eFe7j3ZenStGLAPjScN85kCgVR621ClYfe+uVmBCNGQNa0n1PCNAdb55CozqfVn2uJQxErwCIXU&#10;aKhj7FIpQ1mjM2HmOyTODr53JjL2lbS9OfO4a+VCqaV0piF+qE2HjzWWx+LkNBw+kpgUX59Kvb08&#10;vDa7jeyengetr6fj/R2IiGP8K8NFn9UhZ6e9P5ENomW+5aKG1QLEJV0mzPtflnkm/9vnPwAAAP//&#10;AwBQSwECLQAUAAYACAAAACEAtoM4kv4AAADhAQAAEwAAAAAAAAAAAAAAAAAAAAAAW0NvbnRlbnRf&#10;VHlwZXNdLnhtbFBLAQItABQABgAIAAAAIQA4/SH/1gAAAJQBAAALAAAAAAAAAAAAAAAAAC8BAABf&#10;cmVscy8ucmVsc1BLAQItABQABgAIAAAAIQCXyTfm+QEAAFEEAAAOAAAAAAAAAAAAAAAAAC4CAABk&#10;cnMvZTJvRG9jLnhtbFBLAQItABQABgAIAAAAIQC5gxlw2gAAAAUBAAAPAAAAAAAAAAAAAAAAAFME&#10;AABkcnMvZG93bnJldi54bWxQSwUGAAAAAAQABADzAAAAWgUAAAAA&#10;" strokecolor="#0d0d0d [3069]" strokeweight="1pt"/>
                  </w:pict>
                </mc:Fallback>
              </mc:AlternateContent>
            </w:r>
          </w:p>
        </w:tc>
        <w:tc>
          <w:tcPr>
            <w:tcW w:w="1843" w:type="dxa"/>
          </w:tcPr>
          <w:p w14:paraId="1CAA58ED" w14:textId="77AEE407" w:rsidR="003E252F" w:rsidRPr="00664A6F" w:rsidRDefault="003E252F" w:rsidP="003E252F">
            <w:pPr>
              <w:pStyle w:val="20211"/>
              <w:spacing w:after="0" w:line="160" w:lineRule="exact"/>
              <w:rPr>
                <w:rtl/>
              </w:rPr>
            </w:pPr>
            <w:r>
              <w:rPr>
                <w:noProof/>
                <w:w w:val="100"/>
                <w:rtl/>
                <w:lang w:val="he-IL"/>
              </w:rPr>
              <mc:AlternateContent>
                <mc:Choice Requires="wps">
                  <w:drawing>
                    <wp:anchor distT="0" distB="0" distL="114300" distR="114300" simplePos="0" relativeHeight="251911680" behindDoc="0" locked="0" layoutInCell="1" allowOverlap="1" wp14:anchorId="0B6ED85B" wp14:editId="46CF5C81">
                      <wp:simplePos x="0" y="0"/>
                      <wp:positionH relativeFrom="column">
                        <wp:posOffset>17145</wp:posOffset>
                      </wp:positionH>
                      <wp:positionV relativeFrom="paragraph">
                        <wp:posOffset>52070</wp:posOffset>
                      </wp:positionV>
                      <wp:extent cx="1000125" cy="0"/>
                      <wp:effectExtent l="0" t="0" r="0" b="0"/>
                      <wp:wrapNone/>
                      <wp:docPr id="39" name="Straight Connector 39"/>
                      <wp:cNvGraphicFramePr/>
                      <a:graphic xmlns:a="http://schemas.openxmlformats.org/drawingml/2006/main">
                        <a:graphicData uri="http://schemas.microsoft.com/office/word/2010/wordprocessingShape">
                          <wps:wsp>
                            <wps:cNvCnPr/>
                            <wps:spPr>
                              <a:xfrm flipH="1">
                                <a:off x="0" y="0"/>
                                <a:ext cx="1000125" cy="0"/>
                              </a:xfrm>
                              <a:prstGeom prst="line">
                                <a:avLst/>
                              </a:prstGeom>
                              <a:ln w="1270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0A41FC" id="Straight Connector 39" o:spid="_x0000_s1026" style="position:absolute;left:0;text-align:left;flip:x;z-index:251911680;visibility:visible;mso-wrap-style:square;mso-wrap-distance-left:9pt;mso-wrap-distance-top:0;mso-wrap-distance-right:9pt;mso-wrap-distance-bottom:0;mso-position-horizontal:absolute;mso-position-horizontal-relative:text;mso-position-vertical:absolute;mso-position-vertical-relative:text" from="1.35pt,4.1pt" to="80.1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up3+gEAAFMEAAAOAAAAZHJzL2Uyb0RvYy54bWysVNuO0zAQfUfiHyy/06RFC2zUdB+6Wnjg&#10;UrHwAV7HbizZHmvsbdq/Z2y32RUgJBAvVjyXM+ecTLK+OTrLDgqjAd/z5aLlTHkJg/H7nn//dvfq&#10;HWcxCT8IC171/KQiv9m8fLGeQqdWMIIdFDIC8bGbQs/HlELXNFGOyom4gKA8JTWgE4muuG8GFBOh&#10;O9us2vZNMwEOAUGqGCl6W5N8U/C1VjJ90TqqxGzPiVsqJ5bzIZ/NZi26PYowGnmmIf6BhRPG09AZ&#10;6lYkwR7R/ALljESIoNNCgmtAayNV0UBqlu1Pau5HEVTRQubEMNsU/x+s/HzYITNDz19fc+aFo3d0&#10;n1CY/ZjYFrwnBwEZJcmpKcSOGrZ+h+dbDDvMso8aHdPWhA+0BMUIksaOxefT7LM6JiYpuGzbdrm6&#10;4kxeck2FyFABY3qvwLH80HNrfLZAdOLwMSYaS6WXkhy2nk2EuHrbtqUsgjXDnbE2J8saqa1FdhC0&#10;AOlYudlH9wmGGru+IjJ1DShMy1LDlyhNm0HK7Gf4lLOegtmWakR5SierKrOvSpO1WXCllpf6iY2Q&#10;Uvm0zLMLElXnNk3c58azpj81nutzqyoL/zfNc0eZDD7Nzc54wN/RziZWyrrWXxyourMFDzCcyooU&#10;a2hzi8LzV5Y/jef30v70L9j8AAAA//8DAFBLAwQUAAYACAAAACEAteNcDdsAAAAFAQAADwAAAGRy&#10;cy9kb3ducmV2LnhtbEyOT0vDQBTE70K/w/IK3uxuU6glZlNUKHjwD40FPW6zr0ls9m3IbtP47X31&#10;orcZZpj5ZevRtWLAPjSeNMxnCgRS6W1DlYbd++ZmBSJEQ9a0nlDDNwZY55OrzKTWn2mLQxErwSMU&#10;UqOhjrFLpQxljc6Eme+QODv43pnItq+k7c2Zx10rE6WW0pmG+KE2HT7WWB6Lk9Nw+FjERfH1qdTb&#10;y8Nrs9vI7ul50Pp6Ot7fgYg4xr8yXPAZHXJm2vsT2SBaDcktFzWsEhCXdKlY7H+9zDP5nz7/AQAA&#10;//8DAFBLAQItABQABgAIAAAAIQC2gziS/gAAAOEBAAATAAAAAAAAAAAAAAAAAAAAAABbQ29udGVu&#10;dF9UeXBlc10ueG1sUEsBAi0AFAAGAAgAAAAhADj9If/WAAAAlAEAAAsAAAAAAAAAAAAAAAAALwEA&#10;AF9yZWxzLy5yZWxzUEsBAi0AFAAGAAgAAAAhALcu6nf6AQAAUwQAAA4AAAAAAAAAAAAAAAAALgIA&#10;AGRycy9lMm9Eb2MueG1sUEsBAi0AFAAGAAgAAAAhALXjXA3bAAAABQEAAA8AAAAAAAAAAAAAAAAA&#10;VAQAAGRycy9kb3ducmV2LnhtbFBLBQYAAAAABAAEAPMAAABcBQAAAAA=&#10;" strokecolor="#0d0d0d [3069]" strokeweight="1pt"/>
                  </w:pict>
                </mc:Fallback>
              </mc:AlternateContent>
            </w:r>
          </w:p>
        </w:tc>
        <w:tc>
          <w:tcPr>
            <w:tcW w:w="1814" w:type="dxa"/>
          </w:tcPr>
          <w:p w14:paraId="4E223E1C" w14:textId="1D7BBC89" w:rsidR="003E252F" w:rsidRPr="00664A6F" w:rsidRDefault="003E252F" w:rsidP="003E252F">
            <w:pPr>
              <w:pStyle w:val="20211"/>
              <w:spacing w:after="0" w:line="160" w:lineRule="exact"/>
              <w:rPr>
                <w:rtl/>
              </w:rPr>
            </w:pPr>
            <w:r>
              <w:rPr>
                <w:noProof/>
                <w:w w:val="100"/>
                <w:rtl/>
                <w:lang w:val="he-IL"/>
              </w:rPr>
              <mc:AlternateContent>
                <mc:Choice Requires="wps">
                  <w:drawing>
                    <wp:anchor distT="0" distB="0" distL="114300" distR="114300" simplePos="0" relativeHeight="251912704" behindDoc="0" locked="0" layoutInCell="1" allowOverlap="1" wp14:anchorId="2EFC9FD3" wp14:editId="65E123E3">
                      <wp:simplePos x="0" y="0"/>
                      <wp:positionH relativeFrom="column">
                        <wp:posOffset>-50800</wp:posOffset>
                      </wp:positionH>
                      <wp:positionV relativeFrom="paragraph">
                        <wp:posOffset>52070</wp:posOffset>
                      </wp:positionV>
                      <wp:extent cx="1066800" cy="0"/>
                      <wp:effectExtent l="0" t="0" r="0" b="0"/>
                      <wp:wrapNone/>
                      <wp:docPr id="48" name="Straight Connector 48"/>
                      <wp:cNvGraphicFramePr/>
                      <a:graphic xmlns:a="http://schemas.openxmlformats.org/drawingml/2006/main">
                        <a:graphicData uri="http://schemas.microsoft.com/office/word/2010/wordprocessingShape">
                          <wps:wsp>
                            <wps:cNvCnPr/>
                            <wps:spPr>
                              <a:xfrm flipH="1">
                                <a:off x="0" y="0"/>
                                <a:ext cx="1066800" cy="0"/>
                              </a:xfrm>
                              <a:prstGeom prst="line">
                                <a:avLst/>
                              </a:prstGeom>
                              <a:ln w="1270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57A45D" id="Straight Connector 48" o:spid="_x0000_s1026" style="position:absolute;left:0;text-align:left;flip:x;z-index:251912704;visibility:visible;mso-wrap-style:square;mso-wrap-distance-left:9pt;mso-wrap-distance-top:0;mso-wrap-distance-right:9pt;mso-wrap-distance-bottom:0;mso-position-horizontal:absolute;mso-position-horizontal-relative:text;mso-position-vertical:absolute;mso-position-vertical-relative:text" from="-4pt,4.1pt" to="80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ofP+gEAAFMEAAAOAAAAZHJzL2Uyb0RvYy54bWysVNuO0zAQfUfiHyy/06QVlCVqug9dLTxw&#10;WbHwAV5n3FiyPZbtbdq/Z2y3YbkICcSL5bmdOXM8yeb6aA07QIgaXc+Xi5YzcBIH7fY9//rl9sUV&#10;ZzEJNwiDDnp+gsivt8+fbSbfwQpHNAMERiAudpPv+ZiS75omyhGsiAv04CioMFiRyAz7ZghiInRr&#10;mlXbrpsJw+ADSoiRvDc1yLcFXymQ6ZNSERIzPSduqZyhnA/5bLYb0e2D8KOWZxriH1hYoR01naFu&#10;RBLsMehfoKyWASOqtJBoG1RKSygz0DTL9qdp7kfhocxC4kQ/yxT/H6z8eLgLTA89f0kv5YSlN7pP&#10;Qej9mNgOnSMFMTAKklKTjx0V7NxdOFvR34U89lEFy5TR/h0tQRGCRmPHovNp1hmOiUlyLtv1+qql&#10;55CXWFMhMpQPMb0FtCxfem60yxKIThzex0RtKfWSkt3GsYkQV68JL9sRjR5utTHFyGsEOxPYQdAC&#10;pGPlZh7tBxyq782rlirLGpCblqW6L17qVnYxg5TeT/ApZhw5syxViHJLJwOV2WdQJG0euFL7kY2Q&#10;Elxa5t4FibJzmSLuc+F5pj8VnvNzKZSF/5viuaJ0RpfmYqsdht/RziJWyqrmXxSoc2cJHnA4lRUp&#10;0tDmlgnPX1n+NJ7apfz7v2D7DQAA//8DAFBLAwQUAAYACAAAACEADytRX9sAAAAGAQAADwAAAGRy&#10;cy9kb3ducmV2LnhtbEyPQUvDQBCF74L/YRmht3bXFkqI2RQVCh7airGgx212mkSzsyE7TeO/d+ul&#10;Hj/e8N432Wp0rRiwD40nDfczBQKp9LahSsP+fT1NQAQ2ZE3rCTX8YIBVfnuTmdT6M73hUHAlYgmF&#10;1GiombtUylDW6EyY+Q4pZkffO8MR+0ra3pxjuWvlXKmldKahuFCbDp9rLL+Lk9Nw/Fjwovj6VOp1&#10;+7Rr9mvZvWwGrSd34+MDCMaRr8dw0Y/qkEengz+RDaLVME3iK6whmYO4xEsV+fDHMs/kf/38FwAA&#10;//8DAFBLAQItABQABgAIAAAAIQC2gziS/gAAAOEBAAATAAAAAAAAAAAAAAAAAAAAAABbQ29udGVu&#10;dF9UeXBlc10ueG1sUEsBAi0AFAAGAAgAAAAhADj9If/WAAAAlAEAAAsAAAAAAAAAAAAAAAAALwEA&#10;AF9yZWxzLy5yZWxzUEsBAi0AFAAGAAgAAAAhAMeeh8/6AQAAUwQAAA4AAAAAAAAAAAAAAAAALgIA&#10;AGRycy9lMm9Eb2MueG1sUEsBAi0AFAAGAAgAAAAhAA8rUV/bAAAABgEAAA8AAAAAAAAAAAAAAAAA&#10;VAQAAGRycy9kb3ducmV2LnhtbFBLBQYAAAAABAAEAPMAAABcBQAAAAA=&#10;" strokecolor="#0d0d0d [3069]" strokeweight="1pt"/>
                  </w:pict>
                </mc:Fallback>
              </mc:AlternateContent>
            </w:r>
          </w:p>
        </w:tc>
        <w:tc>
          <w:tcPr>
            <w:tcW w:w="1757" w:type="dxa"/>
          </w:tcPr>
          <w:p w14:paraId="12B592FD" w14:textId="5735BA00" w:rsidR="003E252F" w:rsidRPr="00664A6F" w:rsidRDefault="003E252F" w:rsidP="003E252F">
            <w:pPr>
              <w:pStyle w:val="20211"/>
              <w:spacing w:after="0" w:line="160" w:lineRule="exact"/>
              <w:rPr>
                <w:rtl/>
              </w:rPr>
            </w:pPr>
            <w:r>
              <w:rPr>
                <w:rFonts w:hint="cs"/>
                <w:noProof/>
                <w:w w:val="100"/>
                <w:rtl/>
                <w:lang w:val="he-IL"/>
              </w:rPr>
              <mc:AlternateContent>
                <mc:Choice Requires="wps">
                  <w:drawing>
                    <wp:anchor distT="0" distB="0" distL="114300" distR="114300" simplePos="0" relativeHeight="251913728" behindDoc="0" locked="0" layoutInCell="1" allowOverlap="1" wp14:anchorId="35932C44" wp14:editId="432D87AD">
                      <wp:simplePos x="0" y="0"/>
                      <wp:positionH relativeFrom="column">
                        <wp:posOffset>34290</wp:posOffset>
                      </wp:positionH>
                      <wp:positionV relativeFrom="paragraph">
                        <wp:posOffset>52070</wp:posOffset>
                      </wp:positionV>
                      <wp:extent cx="1000125" cy="0"/>
                      <wp:effectExtent l="0" t="0" r="0" b="0"/>
                      <wp:wrapNone/>
                      <wp:docPr id="50" name="Straight Connector 50"/>
                      <wp:cNvGraphicFramePr/>
                      <a:graphic xmlns:a="http://schemas.openxmlformats.org/drawingml/2006/main">
                        <a:graphicData uri="http://schemas.microsoft.com/office/word/2010/wordprocessingShape">
                          <wps:wsp>
                            <wps:cNvCnPr/>
                            <wps:spPr>
                              <a:xfrm flipH="1">
                                <a:off x="0" y="0"/>
                                <a:ext cx="1000125" cy="0"/>
                              </a:xfrm>
                              <a:prstGeom prst="line">
                                <a:avLst/>
                              </a:prstGeom>
                              <a:ln w="1270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E7F093" id="Straight Connector 50" o:spid="_x0000_s1026" style="position:absolute;left:0;text-align:left;flip:x;z-index:251913728;visibility:visible;mso-wrap-style:square;mso-wrap-distance-left:9pt;mso-wrap-distance-top:0;mso-wrap-distance-right:9pt;mso-wrap-distance-bottom:0;mso-position-horizontal:absolute;mso-position-horizontal-relative:text;mso-position-vertical:absolute;mso-position-vertical-relative:text" from="2.7pt,4.1pt" to="81.4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jt++QEAAFMEAAAOAAAAZHJzL2Uyb0RvYy54bWysVNuO2yAQfa/Uf0C8N3YipRcrzj5kte1D&#10;L1G3/QAWDzESMAjYOPn7DpB4V21VqVVfkJnLmXOOx97cnKxhRwhRo+v5ctFyBk7ioN2h59+/3b16&#10;y1lMwg3CoIOenyHym+3LF5vJd7DCEc0AgRGIi93kez6m5LumiXIEK+ICPThKKgxWJLqGQzMEMRG6&#10;Nc2qbV83E4bBB5QQI0Vva5JvC75SINMXpSIkZnpO3FI5Qzkf8tlsN6I7BOFHLS80xD+wsEI7GjpD&#10;3Yok2GPQv0BZLQNGVGkh0TaolJZQNJCaZfuTmvtReChayJzoZ5vi/4OVn4/7wPTQ8zXZ44Sld3Sf&#10;gtCHMbEdOkcOYmCUJKcmHztq2Ll9uNyi34cs+6SCZcpo/4GWoBhB0tip+HyefYZTYpKCy7Ztl6s1&#10;Z/KaaypEhvIhpveAluWHnhvtsgWiE8ePMdFYKr2W5LBxbCLE1Zu2LWURjR7utDE5WdYIdiawo6AF&#10;SKfKzTzaTzjU2Ls1kalrQGFalhq+RmnaDFJmP8OnnHEUzLZUI8pTOhuozL6CImuz4EotL/UTGyEl&#10;uLTMswsSVec2RdznxoumPzVe6nMrlIX/m+a5o0xGl+Zmqx2G39HOJlbKqtZfHai6swUPOJzLihRr&#10;aHOLwstXlj+N5/fS/vQv2P4AAAD//wMAUEsDBBQABgAIAAAAIQCgWAtB2wAAAAUBAAAPAAAAZHJz&#10;L2Rvd25yZXYueG1sTI7BTsMwEETvSPyDtUjcqE0KVQlxKkCqxAGKmlaC4zbeJoF4HcVuGv4elwsc&#10;RzN687LFaFsxUO8bxxquJwoEcelMw5WG7WZ5NQfhA7LB1jFp+CYPi/z8LMPUuCOvaShCJSKEfYoa&#10;6hC6VEpf1mTRT1xHHLu96y2GGPtKmh6PEW5bmSg1kxYbjg81dvRUU/lVHKyG/fs0TIvPD6XeXh9X&#10;zXYpu+eXQevLi/HhHkSgMfyN4aQf1SGPTjt3YONFq+H2Jg41zBMQp3aW3IHY/WaZZ/K/ff4DAAD/&#10;/wMAUEsBAi0AFAAGAAgAAAAhALaDOJL+AAAA4QEAABMAAAAAAAAAAAAAAAAAAAAAAFtDb250ZW50&#10;X1R5cGVzXS54bWxQSwECLQAUAAYACAAAACEAOP0h/9YAAACUAQAACwAAAAAAAAAAAAAAAAAvAQAA&#10;X3JlbHMvLnJlbHNQSwECLQAUAAYACAAAACEAaOI7fvkBAABTBAAADgAAAAAAAAAAAAAAAAAuAgAA&#10;ZHJzL2Uyb0RvYy54bWxQSwECLQAUAAYACAAAACEAoFgLQdsAAAAFAQAADwAAAAAAAAAAAAAAAABT&#10;BAAAZHJzL2Rvd25yZXYueG1sUEsFBgAAAAAEAAQA8wAAAFsFAAAAAA==&#10;" strokecolor="#0d0d0d [3069]" strokeweight="1pt"/>
                  </w:pict>
                </mc:Fallback>
              </mc:AlternateContent>
            </w:r>
          </w:p>
        </w:tc>
      </w:tr>
      <w:tr w:rsidR="00CD29D6" w:rsidRPr="009A73F6" w14:paraId="7ECC4220" w14:textId="77777777" w:rsidTr="004C73F8">
        <w:tc>
          <w:tcPr>
            <w:tcW w:w="1928" w:type="dxa"/>
          </w:tcPr>
          <w:p w14:paraId="5ECF0591" w14:textId="2DE7F34E" w:rsidR="00CD29D6" w:rsidRPr="009A73F6" w:rsidRDefault="004C73F8" w:rsidP="007542AC">
            <w:pPr>
              <w:pStyle w:val="20211"/>
              <w:rPr>
                <w:rtl/>
              </w:rPr>
            </w:pPr>
            <w:r w:rsidRPr="005702A0">
              <w:rPr>
                <w:rtl/>
              </w:rPr>
              <w:t>סך נכסי המדינה לפי הדוחות הכספיים, נכון ל-31.12.2020 - גידול של כ-5.3% לעומת שנת 2019</w:t>
            </w:r>
          </w:p>
        </w:tc>
        <w:tc>
          <w:tcPr>
            <w:tcW w:w="1843" w:type="dxa"/>
          </w:tcPr>
          <w:p w14:paraId="12474103" w14:textId="170F25F5" w:rsidR="000E71A5" w:rsidRPr="001D564B" w:rsidRDefault="004C73F8" w:rsidP="00141541">
            <w:pPr>
              <w:pStyle w:val="20211"/>
              <w:rPr>
                <w:rtl/>
              </w:rPr>
            </w:pPr>
            <w:r w:rsidRPr="005702A0">
              <w:rPr>
                <w:rtl/>
              </w:rPr>
              <w:t>סך החובות נטו למדינה לפי הדוחות הכספיים, נכון ל-31.12.2020 - גידול של כ-3.9% לעומת שנת 2019</w:t>
            </w:r>
          </w:p>
          <w:p w14:paraId="47156990" w14:textId="356C3351" w:rsidR="00A469C0" w:rsidRPr="00864A2A" w:rsidRDefault="00A469C0" w:rsidP="00864A2A">
            <w:pPr>
              <w:spacing w:line="240" w:lineRule="auto"/>
              <w:ind w:right="23"/>
              <w:jc w:val="left"/>
              <w:rPr>
                <w:rFonts w:ascii="Tahoma" w:eastAsiaTheme="minorEastAsia" w:hAnsi="Tahoma" w:cs="Tahoma"/>
                <w:color w:val="0D0D0D" w:themeColor="text1" w:themeTint="F2"/>
                <w:w w:val="90"/>
                <w:sz w:val="18"/>
                <w:szCs w:val="18"/>
                <w:rtl/>
              </w:rPr>
            </w:pPr>
          </w:p>
        </w:tc>
        <w:tc>
          <w:tcPr>
            <w:tcW w:w="1814" w:type="dxa"/>
          </w:tcPr>
          <w:p w14:paraId="1B7F83A5" w14:textId="46425916" w:rsidR="00CD29D6" w:rsidRPr="00EB223C" w:rsidRDefault="004C73F8" w:rsidP="007542AC">
            <w:pPr>
              <w:pStyle w:val="20211"/>
              <w:rPr>
                <w:rtl/>
              </w:rPr>
            </w:pPr>
            <w:r w:rsidRPr="005702A0">
              <w:rPr>
                <w:rtl/>
              </w:rPr>
              <w:t xml:space="preserve">סך ההפרשה לחובות מסופקים לפי הדוחות הכספיים, נכון </w:t>
            </w:r>
            <w:r w:rsidRPr="005702A0">
              <w:rPr>
                <w:rtl/>
              </w:rPr>
              <w:br/>
              <w:t>ל-31.12.2020 - גידול של כ-4.5% לעומת שנת 2019</w:t>
            </w:r>
          </w:p>
        </w:tc>
        <w:tc>
          <w:tcPr>
            <w:tcW w:w="1757" w:type="dxa"/>
          </w:tcPr>
          <w:p w14:paraId="05EA0B9D" w14:textId="6094B96A" w:rsidR="00CD29D6" w:rsidRPr="009A73F6" w:rsidRDefault="004C73F8" w:rsidP="007542AC">
            <w:pPr>
              <w:pStyle w:val="20211"/>
              <w:rPr>
                <w:rtl/>
              </w:rPr>
            </w:pPr>
            <w:r w:rsidRPr="005702A0">
              <w:rPr>
                <w:rtl/>
              </w:rPr>
              <w:t xml:space="preserve">שיעור חייבים ויתרות חובה </w:t>
            </w:r>
            <w:proofErr w:type="spellStart"/>
            <w:r w:rsidRPr="005702A0">
              <w:rPr>
                <w:rtl/>
              </w:rPr>
              <w:t>מהתמ"ג</w:t>
            </w:r>
            <w:proofErr w:type="spellEnd"/>
            <w:r w:rsidRPr="005702A0">
              <w:rPr>
                <w:rtl/>
              </w:rPr>
              <w:t xml:space="preserve"> לשנת 2020, לעומת השיעור בארצות הברית, קנדה, אוסטרליה וניו זילנד (1.5% - 7.5%)</w:t>
            </w:r>
          </w:p>
        </w:tc>
      </w:tr>
      <w:tr w:rsidR="00760601" w:rsidRPr="00760601" w14:paraId="115EC27C" w14:textId="77777777" w:rsidTr="004C7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28" w:type="dxa"/>
            <w:tcBorders>
              <w:top w:val="nil"/>
              <w:left w:val="nil"/>
              <w:bottom w:val="nil"/>
              <w:right w:val="nil"/>
            </w:tcBorders>
            <w:vAlign w:val="bottom"/>
          </w:tcPr>
          <w:p w14:paraId="5A88E868" w14:textId="1B6D6129" w:rsidR="00760601" w:rsidRPr="00864A2A" w:rsidRDefault="004C73F8" w:rsidP="00A469C0">
            <w:pPr>
              <w:pStyle w:val="2021"/>
              <w:rPr>
                <w:rtl/>
              </w:rPr>
            </w:pPr>
            <w:r>
              <w:rPr>
                <w:rFonts w:hint="cs"/>
                <w:rtl/>
              </w:rPr>
              <w:t>164</w:t>
            </w:r>
            <w:r w:rsidR="000E71A5">
              <w:rPr>
                <w:rFonts w:hint="cs"/>
                <w:rtl/>
              </w:rPr>
              <w:t xml:space="preserve"> </w:t>
            </w:r>
            <w:r w:rsidR="000E71A5">
              <w:rPr>
                <w:spacing w:val="-12"/>
                <w:sz w:val="26"/>
                <w:szCs w:val="26"/>
                <w:rtl/>
              </w:rPr>
              <w:br/>
            </w:r>
            <w:r w:rsidRPr="004C73F8">
              <w:rPr>
                <w:rFonts w:hint="cs"/>
                <w:spacing w:val="-12"/>
                <w:sz w:val="26"/>
                <w:szCs w:val="26"/>
                <w:rtl/>
              </w:rPr>
              <w:t>מיליארד ש״ח</w:t>
            </w:r>
          </w:p>
        </w:tc>
        <w:tc>
          <w:tcPr>
            <w:tcW w:w="1843" w:type="dxa"/>
            <w:tcBorders>
              <w:top w:val="nil"/>
              <w:left w:val="nil"/>
              <w:bottom w:val="nil"/>
              <w:right w:val="nil"/>
            </w:tcBorders>
            <w:vAlign w:val="bottom"/>
          </w:tcPr>
          <w:p w14:paraId="5148B4EC" w14:textId="7F88ACA3" w:rsidR="00760601" w:rsidRPr="00864A2A" w:rsidRDefault="004C73F8" w:rsidP="00A469C0">
            <w:pPr>
              <w:spacing w:before="120" w:line="240" w:lineRule="auto"/>
              <w:jc w:val="left"/>
              <w:rPr>
                <w:rFonts w:ascii="Tahoma" w:hAnsi="Tahoma" w:cs="Tahoma"/>
                <w:spacing w:val="-10"/>
                <w:sz w:val="26"/>
                <w:szCs w:val="26"/>
                <w:rtl/>
              </w:rPr>
            </w:pPr>
            <w:r>
              <w:rPr>
                <w:rFonts w:ascii="Tahoma" w:eastAsiaTheme="minorEastAsia" w:hAnsi="Tahoma" w:cs="Tahoma" w:hint="cs"/>
                <w:b/>
                <w:bCs/>
                <w:color w:val="0D0D0D" w:themeColor="text1" w:themeTint="F2"/>
                <w:spacing w:val="-12"/>
                <w:sz w:val="36"/>
                <w:szCs w:val="36"/>
                <w:rtl/>
              </w:rPr>
              <w:t>170</w:t>
            </w:r>
            <w:r>
              <w:rPr>
                <w:rFonts w:ascii="Tahoma" w:eastAsiaTheme="minorEastAsia" w:hAnsi="Tahoma" w:cs="Tahoma"/>
                <w:b/>
                <w:bCs/>
                <w:color w:val="0D0D0D" w:themeColor="text1" w:themeTint="F2"/>
                <w:spacing w:val="-12"/>
                <w:sz w:val="36"/>
                <w:szCs w:val="36"/>
                <w:rtl/>
              </w:rPr>
              <w:br/>
            </w:r>
            <w:r w:rsidRPr="004C73F8">
              <w:rPr>
                <w:rFonts w:ascii="Tahoma" w:eastAsiaTheme="minorEastAsia" w:hAnsi="Tahoma" w:cs="Tahoma" w:hint="cs"/>
                <w:b/>
                <w:bCs/>
                <w:color w:val="0D0D0D" w:themeColor="text1" w:themeTint="F2"/>
                <w:spacing w:val="-12"/>
                <w:sz w:val="26"/>
                <w:szCs w:val="26"/>
                <w:rtl/>
              </w:rPr>
              <w:t>מיליארד ש״ח</w:t>
            </w:r>
            <w:r w:rsidR="000E71A5">
              <w:rPr>
                <w:rFonts w:ascii="Tahoma" w:eastAsiaTheme="minorEastAsia" w:hAnsi="Tahoma" w:cs="Tahoma" w:hint="cs"/>
                <w:b/>
                <w:bCs/>
                <w:color w:val="0D0D0D" w:themeColor="text1" w:themeTint="F2"/>
                <w:spacing w:val="-12"/>
                <w:sz w:val="36"/>
                <w:szCs w:val="36"/>
                <w:rtl/>
              </w:rPr>
              <w:t xml:space="preserve"> </w:t>
            </w:r>
          </w:p>
        </w:tc>
        <w:tc>
          <w:tcPr>
            <w:tcW w:w="1814" w:type="dxa"/>
            <w:tcBorders>
              <w:top w:val="nil"/>
              <w:left w:val="nil"/>
              <w:bottom w:val="nil"/>
              <w:right w:val="nil"/>
            </w:tcBorders>
            <w:vAlign w:val="bottom"/>
          </w:tcPr>
          <w:p w14:paraId="6D51A516" w14:textId="62870826" w:rsidR="00760601" w:rsidRPr="00864A2A" w:rsidRDefault="004C73F8" w:rsidP="00A469C0">
            <w:pPr>
              <w:spacing w:before="360" w:line="240" w:lineRule="auto"/>
              <w:jc w:val="left"/>
              <w:rPr>
                <w:rFonts w:ascii="Tahoma" w:hAnsi="Tahoma" w:cs="Tahoma"/>
                <w:spacing w:val="-10"/>
                <w:sz w:val="26"/>
                <w:szCs w:val="26"/>
                <w:rtl/>
              </w:rPr>
            </w:pPr>
            <w:r>
              <w:rPr>
                <w:rFonts w:ascii="Tahoma" w:eastAsiaTheme="minorEastAsia" w:hAnsi="Tahoma" w:cs="Tahoma" w:hint="cs"/>
                <w:b/>
                <w:bCs/>
                <w:color w:val="0D0D0D" w:themeColor="text1" w:themeTint="F2"/>
                <w:spacing w:val="-12"/>
                <w:sz w:val="36"/>
                <w:szCs w:val="36"/>
                <w:rtl/>
              </w:rPr>
              <w:t>64%</w:t>
            </w:r>
            <w:r w:rsidR="000E71A5">
              <w:rPr>
                <w:rFonts w:ascii="Tahoma" w:eastAsiaTheme="minorEastAsia" w:hAnsi="Tahoma" w:cs="Tahoma" w:hint="cs"/>
                <w:b/>
                <w:bCs/>
                <w:color w:val="0D0D0D" w:themeColor="text1" w:themeTint="F2"/>
                <w:spacing w:val="-12"/>
                <w:sz w:val="36"/>
                <w:szCs w:val="36"/>
                <w:rtl/>
              </w:rPr>
              <w:t xml:space="preserve"> </w:t>
            </w:r>
          </w:p>
        </w:tc>
        <w:tc>
          <w:tcPr>
            <w:tcW w:w="1757" w:type="dxa"/>
            <w:tcBorders>
              <w:top w:val="nil"/>
              <w:left w:val="nil"/>
              <w:bottom w:val="nil"/>
              <w:right w:val="nil"/>
            </w:tcBorders>
            <w:vAlign w:val="bottom"/>
          </w:tcPr>
          <w:p w14:paraId="703737A6" w14:textId="6F0067F4" w:rsidR="00760601" w:rsidRPr="00A469C0" w:rsidRDefault="004C73F8" w:rsidP="00A469C0">
            <w:pPr>
              <w:pStyle w:val="2021"/>
              <w:spacing w:before="360"/>
              <w:rPr>
                <w:spacing w:val="-26"/>
                <w:rtl/>
              </w:rPr>
            </w:pPr>
            <w:r>
              <w:rPr>
                <w:rFonts w:hint="cs"/>
                <w:spacing w:val="-12"/>
                <w:rtl/>
              </w:rPr>
              <w:t>921</w:t>
            </w:r>
            <w:r>
              <w:rPr>
                <w:spacing w:val="-12"/>
                <w:rtl/>
              </w:rPr>
              <w:br/>
            </w:r>
            <w:r w:rsidRPr="004C73F8">
              <w:rPr>
                <w:rFonts w:hint="cs"/>
                <w:sz w:val="26"/>
                <w:szCs w:val="26"/>
                <w:rtl/>
              </w:rPr>
              <w:t>מיליון ש״ח</w:t>
            </w:r>
          </w:p>
        </w:tc>
      </w:tr>
      <w:tr w:rsidR="00760601" w:rsidRPr="00664A6F" w14:paraId="60F510EB" w14:textId="77777777" w:rsidTr="004C7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28" w:type="dxa"/>
            <w:tcBorders>
              <w:top w:val="nil"/>
              <w:left w:val="nil"/>
              <w:bottom w:val="nil"/>
              <w:right w:val="nil"/>
            </w:tcBorders>
          </w:tcPr>
          <w:p w14:paraId="7B57C72A" w14:textId="77777777" w:rsidR="00760601" w:rsidRPr="00664A6F" w:rsidRDefault="00760601" w:rsidP="008B5847">
            <w:pPr>
              <w:pStyle w:val="20211"/>
              <w:spacing w:after="0" w:line="160" w:lineRule="exact"/>
              <w:rPr>
                <w:rtl/>
              </w:rPr>
            </w:pPr>
            <w:r>
              <w:rPr>
                <w:rFonts w:hint="cs"/>
                <w:noProof/>
                <w:w w:val="100"/>
                <w:rtl/>
                <w:lang w:val="he-IL"/>
              </w:rPr>
              <mc:AlternateContent>
                <mc:Choice Requires="wps">
                  <w:drawing>
                    <wp:anchor distT="0" distB="0" distL="114300" distR="114300" simplePos="0" relativeHeight="251938304" behindDoc="0" locked="0" layoutInCell="1" allowOverlap="1" wp14:anchorId="4F6E2120" wp14:editId="4EF9B100">
                      <wp:simplePos x="0" y="0"/>
                      <wp:positionH relativeFrom="column">
                        <wp:posOffset>8890</wp:posOffset>
                      </wp:positionH>
                      <wp:positionV relativeFrom="paragraph">
                        <wp:posOffset>52070</wp:posOffset>
                      </wp:positionV>
                      <wp:extent cx="1028700" cy="0"/>
                      <wp:effectExtent l="0" t="0" r="0" b="0"/>
                      <wp:wrapNone/>
                      <wp:docPr id="765912946" name="Straight Connector 9"/>
                      <wp:cNvGraphicFramePr/>
                      <a:graphic xmlns:a="http://schemas.openxmlformats.org/drawingml/2006/main">
                        <a:graphicData uri="http://schemas.microsoft.com/office/word/2010/wordprocessingShape">
                          <wps:wsp>
                            <wps:cNvCnPr/>
                            <wps:spPr>
                              <a:xfrm flipH="1">
                                <a:off x="0" y="0"/>
                                <a:ext cx="1028700" cy="0"/>
                              </a:xfrm>
                              <a:prstGeom prst="line">
                                <a:avLst/>
                              </a:prstGeom>
                              <a:ln w="1270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4E5D86" id="Straight Connector 9" o:spid="_x0000_s1026" style="position:absolute;left:0;text-align:left;flip:x;z-index:251938304;visibility:visible;mso-wrap-style:square;mso-wrap-distance-left:9pt;mso-wrap-distance-top:0;mso-wrap-distance-right:9pt;mso-wrap-distance-bottom:0;mso-position-horizontal:absolute;mso-position-horizontal-relative:text;mso-position-vertical:absolute;mso-position-vertical-relative:text" from=".7pt,4.1pt" to="81.7pt,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jmLAQIAAFkEAAAOAAAAZHJzL2Uyb0RvYy54bWysVMtu2zAQvBfoPxC815KMxokFyzk4SHvo&#13;&#10;w0jaD2Ao0iJAcgmSseS/75K01fSBAi16IbTLndnZ0Uqb28lochQ+KLAdbRY1JcJy6JU9dPTrl/s3&#13;&#10;N5SEyGzPNFjR0ZMI9Hb7+tVmdK1YwgC6F54giQ3t6Do6xOjaqgp8EIaFBThh8VKCNyxi6A9V79mI&#13;&#10;7EZXy7peVSP43nngIgTM3pVLus38UgoeP0sZRCS6o6gt5tPn8ymd1XbD2oNnblD8LIP9gwrDlMWm&#13;&#10;M9Udi4w8e/ULlVHcQwAZFxxMBVIqLvIMOE1T/zTN48CcyLOgOcHNNoX/R8s/HfeeqL6j16urdbNc&#13;&#10;v11RYpnBV/UYPVOHIZIdWItGgifr5NfoQouwnd37cxTc3qfhJ+kNkVq597gK2Q4ckEzZ7dPstpgi&#13;&#10;4Zhs6uXNdY0vhV/uqkKRqJwP8Z0AQ9JDR7WyyQjWsuOHELEtll5KUlpbMiLjMvGlOIBW/b3SOgdp&#13;&#10;mcROe3JkuAZxKtr0s/kIfcmtr2pE5mXANK5MSV+y2C1vZCLJvV/w4522mEy2FCPyUzxpUZQ9CIkG&#13;&#10;p4GLtB/VMM6FjU3qnZmwOsEkap+B55n+BDzXJ6jIa/834BmRO4ONM9goC/53spOJRbIs9RcHytzJ&#13;&#10;gifoT3lFsjW4v3nC87eWPpCXcYZ//yNsvwEAAP//AwBQSwMEFAAGAAgAAAAhAMeKN83fAAAACgEA&#13;&#10;AA8AAABkcnMvZG93bnJldi54bWxMj09Lw0AQxe+C32EZwZvdtZFS0myKfyh4UIux0B632WkSzc6G&#13;&#10;7DaN396pF70M/Hgzb97LlqNrxYB9aDxpuJ0oEEiltw1VGjYfq5s5iBANWdN6Qg3fGGCZX15kJrX+&#13;&#10;RO84FLESbEIhNRrqGLtUylDW6EyY+A6JtYPvnYmMfSVtb05s7lo5VWomnWmIP9Smw8cay6/i6DQc&#13;&#10;tklMis+dUuvXh7dms5Ld88ug9fXV+LTgcb8AEXGMfxdw7sD5Iedge38kG0TLfMeLGuZTEGd1ljDv&#13;&#10;f1nmmfxfIf8BAAD//wMAUEsBAi0AFAAGAAgAAAAhALaDOJL+AAAA4QEAABMAAAAAAAAAAAAAAAAA&#13;&#10;AAAAAFtDb250ZW50X1R5cGVzXS54bWxQSwECLQAUAAYACAAAACEAOP0h/9YAAACUAQAACwAAAAAA&#13;&#10;AAAAAAAAAAAvAQAAX3JlbHMvLnJlbHNQSwECLQAUAAYACAAAACEABSo5iwECAABZBAAADgAAAAAA&#13;&#10;AAAAAAAAAAAuAgAAZHJzL2Uyb0RvYy54bWxQSwECLQAUAAYACAAAACEAx4o3zd8AAAAKAQAADwAA&#13;&#10;AAAAAAAAAAAAAABbBAAAZHJzL2Rvd25yZXYueG1sUEsFBgAAAAAEAAQA8wAAAGcFAAAAAA==&#13;&#10;" strokecolor="#0d0d0d [3069]" strokeweight="1pt"/>
                  </w:pict>
                </mc:Fallback>
              </mc:AlternateContent>
            </w:r>
          </w:p>
        </w:tc>
        <w:tc>
          <w:tcPr>
            <w:tcW w:w="1843" w:type="dxa"/>
            <w:tcBorders>
              <w:top w:val="nil"/>
              <w:left w:val="nil"/>
              <w:bottom w:val="nil"/>
              <w:right w:val="nil"/>
            </w:tcBorders>
          </w:tcPr>
          <w:p w14:paraId="71809855" w14:textId="77777777" w:rsidR="00760601" w:rsidRPr="00664A6F" w:rsidRDefault="00760601" w:rsidP="008B5847">
            <w:pPr>
              <w:pStyle w:val="20211"/>
              <w:spacing w:after="0" w:line="160" w:lineRule="exact"/>
              <w:rPr>
                <w:rtl/>
              </w:rPr>
            </w:pPr>
            <w:r>
              <w:rPr>
                <w:noProof/>
                <w:w w:val="100"/>
                <w:rtl/>
                <w:lang w:val="he-IL"/>
              </w:rPr>
              <mc:AlternateContent>
                <mc:Choice Requires="wps">
                  <w:drawing>
                    <wp:anchor distT="0" distB="0" distL="114300" distR="114300" simplePos="0" relativeHeight="251939328" behindDoc="0" locked="0" layoutInCell="1" allowOverlap="1" wp14:anchorId="5C0827D0" wp14:editId="3FEC3619">
                      <wp:simplePos x="0" y="0"/>
                      <wp:positionH relativeFrom="column">
                        <wp:posOffset>17145</wp:posOffset>
                      </wp:positionH>
                      <wp:positionV relativeFrom="paragraph">
                        <wp:posOffset>52070</wp:posOffset>
                      </wp:positionV>
                      <wp:extent cx="1000125" cy="0"/>
                      <wp:effectExtent l="0" t="0" r="0" b="0"/>
                      <wp:wrapNone/>
                      <wp:docPr id="765912947" name="Straight Connector 39"/>
                      <wp:cNvGraphicFramePr/>
                      <a:graphic xmlns:a="http://schemas.openxmlformats.org/drawingml/2006/main">
                        <a:graphicData uri="http://schemas.microsoft.com/office/word/2010/wordprocessingShape">
                          <wps:wsp>
                            <wps:cNvCnPr/>
                            <wps:spPr>
                              <a:xfrm flipH="1">
                                <a:off x="0" y="0"/>
                                <a:ext cx="1000125" cy="0"/>
                              </a:xfrm>
                              <a:prstGeom prst="line">
                                <a:avLst/>
                              </a:prstGeom>
                              <a:ln w="1270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6B82E3" id="Straight Connector 39" o:spid="_x0000_s1026" style="position:absolute;left:0;text-align:left;flip:x;z-index:251939328;visibility:visible;mso-wrap-style:square;mso-wrap-distance-left:9pt;mso-wrap-distance-top:0;mso-wrap-distance-right:9pt;mso-wrap-distance-bottom:0;mso-position-horizontal:absolute;mso-position-horizontal-relative:text;mso-position-vertical:absolute;mso-position-vertical-relative:text" from="1.35pt,4.1pt" to="80.1pt,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g56fAgIAAFoEAAAOAAAAZHJzL2Uyb0RvYy54bWysVMtu2zAQvBfoPxC815LcOq4Fyzk4SHvo&#13;&#10;w0jSD2Ao0iJAcgmSsey/75K0laAtCqTohRD3MTszWml9fTSaHIQPCmxHm1lNibAcemX3Hf3xcPvu&#13;&#10;IyUhMtszDVZ09CQCvd68fbMeXSvmMIDuhScIYkM7uo4OMbq2qgIfhGFhBk5YTErwhkW8+n3VezYi&#13;&#10;utHVvK6vqhF87zxwEQJGb0qSbjK+lILH71IGEYnuKHKL+fT5fExntVmzdu+ZGxQ/02D/wMIwZXHo&#13;&#10;BHXDIiNPXv0GZRT3EEDGGQdTgZSKi6wB1TT1L2ruB+ZE1oLmBDfZFP4fLP922Hmi+o4urxarZr76&#13;&#10;sKTEMoOv6j56pvZDJFuwFo0ET96vkmGjCy32be3On2/B7XxSf5TeEKmV+4y7kP1AheSY7T5Ndotj&#13;&#10;JByDTV3XzXxBCb/kqgKRoJwP8ZMAQ9JDR7WyyQnWssOXEHEsll5KUlhbMiLifFnXuSyAVv2t0jol&#13;&#10;8zaJrfbkwHAP4rFw00/mK/QltlogmbINGMadKeFLFKdNIHn2C3zMaYvBZEsxIj/FkxaF2Z2Q6HAS&#13;&#10;XKil3X5mwzgXNjZpdkbC6tQmkfvUeNb0t8ZzfWoVee9f0zx15Mlg49RslAX/J9rJxEJZlvqLA0V3&#13;&#10;suAR+lNekWwNLnBWeP7Y0hfy8p7bn38Jm58AAAD//wMAUEsDBBQABgAIAAAAIQDL6nKw3wAAAAoB&#13;&#10;AAAPAAAAZHJzL2Rvd25yZXYueG1sTE9NT8MwDL0j8R8iI3FjCZ00pq7pxIcmcQAmyqTtmDVeW2ic&#13;&#10;qsm68u/xuMDF8tOz30e2HF0rBuxD40nD7USBQCq9bajSsPlY3cxBhGjImtYTavjGAMv88iIzqfUn&#13;&#10;esehiJVgEQqp0VDH2KVShrJGZ8LEd0jMHXzvTGTYV9L25sTirpWJUjPpTEPsUJsOH2ssv4qj03DY&#13;&#10;TuO0+NwptX59eGs2K9k9vwxaX1+NTwse9wsQEcf49wHnDpwfcg6290eyQbQakjs+1DBPQJzZmeJl&#13;&#10;/4tlnsn/FfIfAAAA//8DAFBLAQItABQABgAIAAAAIQC2gziS/gAAAOEBAAATAAAAAAAAAAAAAAAA&#13;&#10;AAAAAABbQ29udGVudF9UeXBlc10ueG1sUEsBAi0AFAAGAAgAAAAhADj9If/WAAAAlAEAAAsAAAAA&#13;&#10;AAAAAAAAAAAALwEAAF9yZWxzLy5yZWxzUEsBAi0AFAAGAAgAAAAhACGDnp8CAgAAWgQAAA4AAAAA&#13;&#10;AAAAAAAAAAAALgIAAGRycy9lMm9Eb2MueG1sUEsBAi0AFAAGAAgAAAAhAMvqcrDfAAAACgEAAA8A&#13;&#10;AAAAAAAAAAAAAAAAXAQAAGRycy9kb3ducmV2LnhtbFBLBQYAAAAABAAEAPMAAABoBQAAAAA=&#13;&#10;" strokecolor="#0d0d0d [3069]" strokeweight="1pt"/>
                  </w:pict>
                </mc:Fallback>
              </mc:AlternateContent>
            </w:r>
          </w:p>
        </w:tc>
        <w:tc>
          <w:tcPr>
            <w:tcW w:w="1814" w:type="dxa"/>
            <w:tcBorders>
              <w:top w:val="nil"/>
              <w:left w:val="nil"/>
              <w:bottom w:val="nil"/>
              <w:right w:val="nil"/>
            </w:tcBorders>
          </w:tcPr>
          <w:p w14:paraId="6D60DB4E" w14:textId="77777777" w:rsidR="00760601" w:rsidRPr="00664A6F" w:rsidRDefault="00760601" w:rsidP="008B5847">
            <w:pPr>
              <w:pStyle w:val="20211"/>
              <w:spacing w:after="0" w:line="160" w:lineRule="exact"/>
              <w:rPr>
                <w:rtl/>
              </w:rPr>
            </w:pPr>
            <w:r>
              <w:rPr>
                <w:noProof/>
                <w:w w:val="100"/>
                <w:rtl/>
                <w:lang w:val="he-IL"/>
              </w:rPr>
              <mc:AlternateContent>
                <mc:Choice Requires="wps">
                  <w:drawing>
                    <wp:anchor distT="0" distB="0" distL="114300" distR="114300" simplePos="0" relativeHeight="251940352" behindDoc="0" locked="0" layoutInCell="1" allowOverlap="1" wp14:anchorId="63E42742" wp14:editId="42C3086F">
                      <wp:simplePos x="0" y="0"/>
                      <wp:positionH relativeFrom="column">
                        <wp:posOffset>-50800</wp:posOffset>
                      </wp:positionH>
                      <wp:positionV relativeFrom="paragraph">
                        <wp:posOffset>52070</wp:posOffset>
                      </wp:positionV>
                      <wp:extent cx="1066800" cy="0"/>
                      <wp:effectExtent l="0" t="0" r="0" b="0"/>
                      <wp:wrapNone/>
                      <wp:docPr id="765912948" name="Straight Connector 48"/>
                      <wp:cNvGraphicFramePr/>
                      <a:graphic xmlns:a="http://schemas.openxmlformats.org/drawingml/2006/main">
                        <a:graphicData uri="http://schemas.microsoft.com/office/word/2010/wordprocessingShape">
                          <wps:wsp>
                            <wps:cNvCnPr/>
                            <wps:spPr>
                              <a:xfrm flipH="1">
                                <a:off x="0" y="0"/>
                                <a:ext cx="1066800" cy="0"/>
                              </a:xfrm>
                              <a:prstGeom prst="line">
                                <a:avLst/>
                              </a:prstGeom>
                              <a:ln w="1270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9FBA05" id="Straight Connector 48" o:spid="_x0000_s1026" style="position:absolute;left:0;text-align:left;flip:x;z-index:251940352;visibility:visible;mso-wrap-style:square;mso-wrap-distance-left:9pt;mso-wrap-distance-top:0;mso-wrap-distance-right:9pt;mso-wrap-distance-bottom:0;mso-position-horizontal:absolute;mso-position-horizontal-relative:text;mso-position-vertical:absolute;mso-position-vertical-relative:text" from="-4pt,4.1pt" to="80pt,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OpQHAQIAAFoEAAAOAAAAZHJzL2Uyb0RvYy54bWysVNuO2yAQfa/Uf0C8N7ajbnZjxdmHrLZ9&#13;&#10;6CXabT+AxRAjAYOAjZ2/7wCJu72oUqu+IOZ25sxh7M3tZDQ5Ch8U2I42i5oSYTn0yh46+vXL/Zsb&#13;&#10;SkJktmcarOjoSQR6u339ajO6VixhAN0LTxDEhnZ0HR1idG1VBT4Iw8ICnLAYlOANi2j6Q9V7NiK6&#13;&#10;0dWyrlfVCL53HrgIAb13JUi3GV9KweNnKYOIRHcUucV8+nw+pbPablh78MwNip9psH9gYZiy2HSG&#13;&#10;umORkWevfoEyinsIIOOCg6lASsVFngGnaeqfpnkcmBN5FhQnuFmm8P9g+afj3hPVd/R6dbVuluu3&#13;&#10;+GCWGXyqx+iZOgyR7MBaFBI8wSAKNrrQYt3O7v3ZCm7v0/ST9IZIrdx73IWsB05Ipiz3aZZbTJFw&#13;&#10;dDb1anVT46vwS6wqEAnK+RDfCTAkXTqqlU1KsJYdP4SIbTH1kpLc2pIREZfXiJfsAFr190rrbKRt&#13;&#10;EjvtyZHhHsSpcNPP5iP0xbe+qrEybwO6cWeK++LFbnklE0ju/QIfY9qiM8lShMi3eNKiMHsQEhVO&#13;&#10;AxdqP7JhnAsbm9Q7I2F2KpPIfS48z/SnwnN+KhV57/+meK7IncHGudgoC/53tJOIhbIs+RcFytxJ&#13;&#10;gifoT3lFsjS4wHnC88eWvpCXdi7//kvYfgMAAP//AwBQSwMEFAAGAAgAAAAhAD1ZUejgAAAACwEA&#13;&#10;AA8AAABkcnMvZG93bnJldi54bWxMj81qwzAQhO+FvoPYQm+J1ASCcSyHtCXQQ3+IG2iOirWx3Vor&#13;&#10;YymO+/bd9NJeFj6GmZ3JVqNrxYB9aDxpuJsqEEiltw1VGnbvm0kCIkRD1rSeUMM3Bljl11eZSa0/&#13;&#10;0xaHIlaCQyikRkMdY5dKGcoanQlT3yGxdvS9M5Gxr6TtzZnDXStnSi2kMw3xh9p0+FBj+VWcnIbj&#13;&#10;xzzOi8+9Um8v96/NbiO7p+dB69ub8XHJZ70EEXGMfw64bOD+kHOxgz+RDaLVMEl4T9SQzEBc5IVi&#13;&#10;PvyyzDP5f0P+AwAA//8DAFBLAQItABQABgAIAAAAIQC2gziS/gAAAOEBAAATAAAAAAAAAAAAAAAA&#13;&#10;AAAAAABbQ29udGVudF9UeXBlc10ueG1sUEsBAi0AFAAGAAgAAAAhADj9If/WAAAAlAEAAAsAAAAA&#13;&#10;AAAAAAAAAAAALwEAAF9yZWxzLy5yZWxzUEsBAi0AFAAGAAgAAAAhAMo6lAcBAgAAWgQAAA4AAAAA&#13;&#10;AAAAAAAAAAAALgIAAGRycy9lMm9Eb2MueG1sUEsBAi0AFAAGAAgAAAAhAD1ZUejgAAAACwEAAA8A&#13;&#10;AAAAAAAAAAAAAAAAWwQAAGRycy9kb3ducmV2LnhtbFBLBQYAAAAABAAEAPMAAABoBQAAAAA=&#13;&#10;" strokecolor="#0d0d0d [3069]" strokeweight="1pt"/>
                  </w:pict>
                </mc:Fallback>
              </mc:AlternateContent>
            </w:r>
          </w:p>
        </w:tc>
        <w:tc>
          <w:tcPr>
            <w:tcW w:w="1757" w:type="dxa"/>
            <w:tcBorders>
              <w:top w:val="nil"/>
              <w:left w:val="nil"/>
              <w:bottom w:val="nil"/>
              <w:right w:val="nil"/>
            </w:tcBorders>
          </w:tcPr>
          <w:p w14:paraId="37CA24DD" w14:textId="77777777" w:rsidR="00760601" w:rsidRPr="00664A6F" w:rsidRDefault="00760601" w:rsidP="008B5847">
            <w:pPr>
              <w:pStyle w:val="20211"/>
              <w:spacing w:after="0" w:line="160" w:lineRule="exact"/>
              <w:rPr>
                <w:rtl/>
              </w:rPr>
            </w:pPr>
            <w:r>
              <w:rPr>
                <w:rFonts w:hint="cs"/>
                <w:noProof/>
                <w:w w:val="100"/>
                <w:rtl/>
                <w:lang w:val="he-IL"/>
              </w:rPr>
              <mc:AlternateContent>
                <mc:Choice Requires="wps">
                  <w:drawing>
                    <wp:anchor distT="0" distB="0" distL="114300" distR="114300" simplePos="0" relativeHeight="251941376" behindDoc="0" locked="0" layoutInCell="1" allowOverlap="1" wp14:anchorId="4F277506" wp14:editId="37C133D5">
                      <wp:simplePos x="0" y="0"/>
                      <wp:positionH relativeFrom="column">
                        <wp:posOffset>34290</wp:posOffset>
                      </wp:positionH>
                      <wp:positionV relativeFrom="paragraph">
                        <wp:posOffset>52070</wp:posOffset>
                      </wp:positionV>
                      <wp:extent cx="1000125" cy="0"/>
                      <wp:effectExtent l="0" t="0" r="0" b="0"/>
                      <wp:wrapNone/>
                      <wp:docPr id="765912949" name="Straight Connector 50"/>
                      <wp:cNvGraphicFramePr/>
                      <a:graphic xmlns:a="http://schemas.openxmlformats.org/drawingml/2006/main">
                        <a:graphicData uri="http://schemas.microsoft.com/office/word/2010/wordprocessingShape">
                          <wps:wsp>
                            <wps:cNvCnPr/>
                            <wps:spPr>
                              <a:xfrm flipH="1">
                                <a:off x="0" y="0"/>
                                <a:ext cx="1000125" cy="0"/>
                              </a:xfrm>
                              <a:prstGeom prst="line">
                                <a:avLst/>
                              </a:prstGeom>
                              <a:ln w="1270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554CE7" id="Straight Connector 50" o:spid="_x0000_s1026" style="position:absolute;left:0;text-align:left;flip:x;z-index:251941376;visibility:visible;mso-wrap-style:square;mso-wrap-distance-left:9pt;mso-wrap-distance-top:0;mso-wrap-distance-right:9pt;mso-wrap-distance-bottom:0;mso-position-horizontal:absolute;mso-position-horizontal-relative:text;mso-position-vertical:absolute;mso-position-vertical-relative:text" from="2.7pt,4.1pt" to="81.45pt,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rwADAAIAAFoEAAAOAAAAZHJzL2Uyb0RvYy54bWysVMuO0zAU3SPxD5b3NA/RGRo1nUVHAwse&#13;&#10;FQMf4HHsxpLta9mepv17ru02HQFCArGx4vs495yTm6zvjkaTg/BBge1ps6gpEZbDoOy+p9+/Pbx5&#13;&#10;R0mIzA5MgxU9PYlA7zavX60n14kWRtCD8ARBbOgm19MxRtdVVeCjMCwswAmLSQnesIhXv68GzyZE&#13;&#10;N7pq6/qmmsAPzgMXIWD0viTpJuNLKXj8ImUQkeieIreYT5/Pp3RWmzXr9p65UfEzDfYPLAxTFofO&#13;&#10;UPcsMvLs1S9QRnEPAWRccDAVSKm4yBpQTVP/pOZxZE5kLWhOcLNN4f/B8s+HnSdq6OntzXLVtKu3&#13;&#10;K0osM/iqHqNnaj9GsgVr0UjwZJkNm1zosG9rdx7tS7fgdj6pP0pviNTKfcBdyH6gQnLMdp9mu8Ux&#13;&#10;Eo7Bpq7rpl1Swi+5qkAkKOdDfC/AkPTQU61scoJ17PAxRByLpZeSFNaWTIjY3tZ1Lgug1fCgtE7J&#13;&#10;vE1iqz05MNyDeCzc9LP5BEOJrZZIpmwDhnFnSvgSxWkzSJ79Ah9z2mLwakR+iictCrOvQqLDSXCh&#13;&#10;lnb7yoZxLmxs0uyMhNWpTSL3ufGs6U+N5/rUKvLe/03z3JEng41zs1EW/O9oJxMLZVnqLw4U3cmC&#13;&#10;JxhOeUWyNbjAWeH5Y0tfyMt7br/+EjY/AAAA//8DAFBLAwQUAAYACAAAACEA3lEl/OAAAAAKAQAA&#13;&#10;DwAAAGRycy9kb3ducmV2LnhtbExPy07DMBC8I/EP1iJxozYpVCXNpuKhShwoiFAJjm68TQLxOord&#13;&#10;NPw9Lhe4jDSa3Xlky9G2YqDeN44RLicKBHHpTMMVwuZtdTEH4YNmo1vHhPBNHpb56UmmU+MO/EpD&#13;&#10;ESoRTdinGqEOoUul9GVNVvuJ64ijtnO91SHSvpKm14dobluZKDWTVjccE2rd0X1N5Vextwi792mY&#13;&#10;Fp8fSr2s756bzUp2j08D4vnZ+LCIcLsAEWgMfx9w3BD7Qx6Lbd2ejRctwvVVPESYJyCO6iy5AbH9&#13;&#10;5TLP5P8J+Q8AAAD//wMAUEsBAi0AFAAGAAgAAAAhALaDOJL+AAAA4QEAABMAAAAAAAAAAAAAAAAA&#13;&#10;AAAAAFtDb250ZW50X1R5cGVzXS54bWxQSwECLQAUAAYACAAAACEAOP0h/9YAAACUAQAACwAAAAAA&#13;&#10;AAAAAAAAAAAvAQAAX3JlbHMvLnJlbHNQSwECLQAUAAYACAAAACEAcq8AAwACAABaBAAADgAAAAAA&#13;&#10;AAAAAAAAAAAuAgAAZHJzL2Uyb0RvYy54bWxQSwECLQAUAAYACAAAACEA3lEl/OAAAAAKAQAADwAA&#13;&#10;AAAAAAAAAAAAAABaBAAAZHJzL2Rvd25yZXYueG1sUEsFBgAAAAAEAAQA8wAAAGcFAAAAAA==&#13;&#10;" strokecolor="#0d0d0d [3069]" strokeweight="1pt"/>
                  </w:pict>
                </mc:Fallback>
              </mc:AlternateContent>
            </w:r>
          </w:p>
        </w:tc>
      </w:tr>
      <w:tr w:rsidR="00760601" w:rsidRPr="009A73F6" w14:paraId="0C7068B8" w14:textId="77777777" w:rsidTr="004C73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28" w:type="dxa"/>
            <w:tcBorders>
              <w:top w:val="nil"/>
              <w:left w:val="nil"/>
              <w:bottom w:val="nil"/>
              <w:right w:val="nil"/>
            </w:tcBorders>
          </w:tcPr>
          <w:p w14:paraId="3496F105" w14:textId="45FF6453" w:rsidR="00760601" w:rsidRPr="009A73F6" w:rsidRDefault="004C73F8" w:rsidP="008B5847">
            <w:pPr>
              <w:pStyle w:val="20211"/>
              <w:rPr>
                <w:rtl/>
              </w:rPr>
            </w:pPr>
            <w:r w:rsidRPr="005702A0">
              <w:rPr>
                <w:rtl/>
              </w:rPr>
              <w:t>הגידול במלוות פנים וחוץ בשנת 2020, אשר נובע בין היתר ממשבר הקורונה</w:t>
            </w:r>
          </w:p>
        </w:tc>
        <w:tc>
          <w:tcPr>
            <w:tcW w:w="1843" w:type="dxa"/>
            <w:tcBorders>
              <w:top w:val="nil"/>
              <w:left w:val="nil"/>
              <w:bottom w:val="nil"/>
              <w:right w:val="nil"/>
            </w:tcBorders>
          </w:tcPr>
          <w:p w14:paraId="1DA92B01" w14:textId="293A8C03" w:rsidR="00760601" w:rsidRPr="00864A2A" w:rsidRDefault="004C73F8" w:rsidP="008B5847">
            <w:pPr>
              <w:spacing w:line="240" w:lineRule="auto"/>
              <w:ind w:right="23"/>
              <w:jc w:val="left"/>
              <w:rPr>
                <w:rFonts w:ascii="Tahoma" w:eastAsiaTheme="minorEastAsia" w:hAnsi="Tahoma" w:cs="Tahoma"/>
                <w:color w:val="0D0D0D" w:themeColor="text1" w:themeTint="F2"/>
                <w:w w:val="90"/>
                <w:sz w:val="18"/>
                <w:szCs w:val="18"/>
                <w:rtl/>
              </w:rPr>
            </w:pPr>
            <w:r w:rsidRPr="005702A0">
              <w:rPr>
                <w:rFonts w:ascii="Tahoma" w:hAnsi="Tahoma" w:cs="Tahoma"/>
                <w:sz w:val="18"/>
                <w:szCs w:val="18"/>
                <w:rtl/>
              </w:rPr>
              <w:t>הגירעון החשבונאי המאוחד בשנת 2020, אשר נובע בין היתר ממשבר הקורונה</w:t>
            </w:r>
          </w:p>
        </w:tc>
        <w:tc>
          <w:tcPr>
            <w:tcW w:w="1814" w:type="dxa"/>
            <w:tcBorders>
              <w:top w:val="nil"/>
              <w:left w:val="nil"/>
              <w:bottom w:val="nil"/>
              <w:right w:val="nil"/>
            </w:tcBorders>
          </w:tcPr>
          <w:p w14:paraId="7DE38533" w14:textId="03C31FA9" w:rsidR="00760601" w:rsidRPr="00EB223C" w:rsidRDefault="004C73F8" w:rsidP="008B5847">
            <w:pPr>
              <w:pStyle w:val="20211"/>
              <w:rPr>
                <w:rtl/>
              </w:rPr>
            </w:pPr>
            <w:r w:rsidRPr="005702A0">
              <w:rPr>
                <w:rtl/>
              </w:rPr>
              <w:t xml:space="preserve">מכלל החיובים במשרדי הממשלה אינם מנוהלים באמצעות מערכת </w:t>
            </w:r>
            <w:proofErr w:type="spellStart"/>
            <w:r w:rsidRPr="005702A0">
              <w:rPr>
                <w:rtl/>
              </w:rPr>
              <w:t>מרכב"ה</w:t>
            </w:r>
            <w:proofErr w:type="spellEnd"/>
          </w:p>
        </w:tc>
        <w:tc>
          <w:tcPr>
            <w:tcW w:w="1757" w:type="dxa"/>
            <w:tcBorders>
              <w:top w:val="nil"/>
              <w:left w:val="nil"/>
              <w:bottom w:val="nil"/>
              <w:right w:val="nil"/>
            </w:tcBorders>
          </w:tcPr>
          <w:p w14:paraId="1C79EC71" w14:textId="21FF3275" w:rsidR="00760601" w:rsidRPr="009A73F6" w:rsidRDefault="004C73F8" w:rsidP="008B5847">
            <w:pPr>
              <w:pStyle w:val="20211"/>
              <w:rPr>
                <w:rtl/>
              </w:rPr>
            </w:pPr>
            <w:r w:rsidRPr="005702A0">
              <w:rPr>
                <w:rtl/>
              </w:rPr>
              <w:t xml:space="preserve">סכום החובות שגבה בשנת 2020 המרכז לגביית קנסות, אגרות והוצאות - גידול של </w:t>
            </w:r>
            <w:r w:rsidRPr="005702A0">
              <w:rPr>
                <w:rtl/>
              </w:rPr>
              <w:br/>
              <w:t>כ-17% לעומת שנת 2019</w:t>
            </w:r>
          </w:p>
        </w:tc>
      </w:tr>
    </w:tbl>
    <w:p w14:paraId="50268CD0" w14:textId="15301592" w:rsidR="00A469C0" w:rsidRDefault="00A469C0" w:rsidP="00A469C0">
      <w:pPr>
        <w:pStyle w:val="100"/>
        <w:tabs>
          <w:tab w:val="center" w:pos="3685"/>
        </w:tabs>
        <w:spacing w:after="0" w:line="240" w:lineRule="exact"/>
        <w:rPr>
          <w:b/>
          <w:bCs/>
          <w:color w:val="00305F"/>
          <w:sz w:val="32"/>
          <w:szCs w:val="32"/>
          <w:rtl/>
        </w:rPr>
      </w:pPr>
      <w:r>
        <w:rPr>
          <w:b/>
          <w:bCs/>
          <w:noProof/>
          <w:color w:val="00305F"/>
          <w:sz w:val="32"/>
          <w:szCs w:val="32"/>
          <w:rtl/>
          <w:lang w:val="he-IL"/>
        </w:rPr>
        <mc:AlternateContent>
          <mc:Choice Requires="wpg">
            <w:drawing>
              <wp:anchor distT="0" distB="0" distL="114300" distR="114300" simplePos="0" relativeHeight="251688448" behindDoc="0" locked="0" layoutInCell="1" allowOverlap="1" wp14:anchorId="7839D982" wp14:editId="3956E03F">
                <wp:simplePos x="0" y="0"/>
                <wp:positionH relativeFrom="column">
                  <wp:posOffset>-58420</wp:posOffset>
                </wp:positionH>
                <wp:positionV relativeFrom="paragraph">
                  <wp:posOffset>95299</wp:posOffset>
                </wp:positionV>
                <wp:extent cx="4724400" cy="38100"/>
                <wp:effectExtent l="12700" t="12700" r="0" b="12700"/>
                <wp:wrapNone/>
                <wp:docPr id="45" name="Group 45"/>
                <wp:cNvGraphicFramePr/>
                <a:graphic xmlns:a="http://schemas.openxmlformats.org/drawingml/2006/main">
                  <a:graphicData uri="http://schemas.microsoft.com/office/word/2010/wordprocessingGroup">
                    <wpg:wgp>
                      <wpg:cNvGrpSpPr/>
                      <wpg:grpSpPr>
                        <a:xfrm>
                          <a:off x="0" y="0"/>
                          <a:ext cx="4724400" cy="38100"/>
                          <a:chOff x="0" y="0"/>
                          <a:chExt cx="4724400" cy="38100"/>
                        </a:xfrm>
                      </wpg:grpSpPr>
                      <wps:wsp>
                        <wps:cNvPr id="27" name="Straight Connector 27"/>
                        <wps:cNvCnPr/>
                        <wps:spPr>
                          <a:xfrm flipH="1">
                            <a:off x="0" y="38100"/>
                            <a:ext cx="4724400" cy="0"/>
                          </a:xfrm>
                          <a:prstGeom prst="line">
                            <a:avLst/>
                          </a:prstGeom>
                          <a:ln w="19050" cmpd="sng">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28" name="Straight Connector 28"/>
                        <wps:cNvCnPr/>
                        <wps:spPr>
                          <a:xfrm flipH="1">
                            <a:off x="0" y="0"/>
                            <a:ext cx="4724400" cy="0"/>
                          </a:xfrm>
                          <a:prstGeom prst="line">
                            <a:avLst/>
                          </a:prstGeom>
                          <a:ln w="19050" cmpd="sng">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BF02E06" id="Group 45" o:spid="_x0000_s1026" style="position:absolute;left:0;text-align:left;margin-left:-4.6pt;margin-top:7.5pt;width:372pt;height:3pt;z-index:251688448;mso-width-relative:margin;mso-height-relative:margin" coordsize="47244,3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4zSBdgIAAF4IAAAOAAAAZHJzL2Uyb0RvYy54bWzslslu2zAQQO8F+g+E7o1k12kcIXIOSZMe&#13;&#10;ugRN+wEMRUoEuIFkLPvvOxxKyooCTYCecpHF4ayPM5RPTndakS33QVrTFIuDqiDcMNtK0zXF718X&#13;&#10;H9YFCZGalipreFPseShON+/fnQyu5kvbW9VyT8CJCfXgmqKP0dVlGVjPNQ0H1nEDm8J6TSMsfVe2&#13;&#10;ng7gXatyWVWfysH61nnLeAggPc+bxQb9C8FZ/CFE4JGopoDcIj49Pm/Ss9yc0Lrz1PWSjWnQF2Sh&#13;&#10;qTQQdHZ1TiMlt14+caUl8zZYEQ+Y1aUVQjKONUA1i+pRNZfe3jqspauHzs2YAO0jTi92y75vrzyR&#13;&#10;bVOsDgtiqIYzwrAE1gBncF0NOpfeXbsrPwq6vEr17oTX6RcqITvEup+x8l0kDISro+VqVQF9Bnsf&#13;&#10;1wt4Reysh7N5YsX6z3+1K6egZcptTmVw0EDhjlF4HaPrnjqO6EOqf2S0PJoYXUdPZddHcmaNgS6z&#13;&#10;nsAm8kGDMzPSCnUAcBMqIpR0X2BQsFkeQLsH5llwCG0untbOh3jJrSbppSmUNClfWtPt1xAhEVCd&#13;&#10;VJJYGTJA3OPqMB2EdnDiwXRoEayS7YVUKunh5PEz5cmWwszEXU5V3epvts2y48NqOkIQpzNE1UkK&#13;&#10;gWcnmMY9/7CnDAjTaWUu+Bb3iuckf3IB3QhNk8POjnIIyhg3cZE4oyfQTmYCcp8Nq1xTukDuynho&#13;&#10;OOonU453xL8YzxYY2Zo4G2tprH8ueoKYUxZZfyKQ604Ibmy7x45BNNDIafT+R0fD/Zyn/rmOXr+q&#13;&#10;o8cxf+vmt27GhsePGE7u+MFNX8n7a9S6+1uw+QMAAP//AwBQSwMEFAAGAAgAAAAhABLdTSLkAAAA&#13;&#10;DQEAAA8AAABkcnMvZG93bnJldi54bWxMj09vwjAMxe+T9h0iT9oN0paxsdIUIfbnhCYNJqHdTGPa&#13;&#10;iiapmtCWbz/vtF0s2c9+fr9sNZpG9NT52lkF8TQCQbZwuralgq/922QBwge0GhtnScGVPKzy25sM&#13;&#10;U+0G+0n9LpSCTaxPUUEVQptK6YuKDPqpa8mydnKdwcBtV0rd4cDmppFJFD1Kg7XlDxW2tKmoOO8u&#13;&#10;RsH7gMN6Fr/22/Npc/3ezz8O25iUur8bX5Zc1ksQgcbwdwG/DJwfcg52dBervWgUTJ4T3uT5nLlY&#13;&#10;f5o9MM9RQRJHIPNM/qfIfwAAAP//AwBQSwECLQAUAAYACAAAACEAtoM4kv4AAADhAQAAEwAAAAAA&#13;&#10;AAAAAAAAAAAAAAAAW0NvbnRlbnRfVHlwZXNdLnhtbFBLAQItABQABgAIAAAAIQA4/SH/1gAAAJQB&#13;&#10;AAALAAAAAAAAAAAAAAAAAC8BAABfcmVscy8ucmVsc1BLAQItABQABgAIAAAAIQBp4zSBdgIAAF4I&#13;&#10;AAAOAAAAAAAAAAAAAAAAAC4CAABkcnMvZTJvRG9jLnhtbFBLAQItABQABgAIAAAAIQAS3U0i5AAA&#13;&#10;AA0BAAAPAAAAAAAAAAAAAAAAANAEAABkcnMvZG93bnJldi54bWxQSwUGAAAAAAQABADzAAAA4QUA&#13;&#10;AAAA&#13;&#10;">
                <v:line id="Straight Connector 27" o:spid="_x0000_s1027" style="position:absolute;flip:x;visibility:visible;mso-wrap-style:square" from="0,381" to="47244,3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vpTjyQAAAOAAAAAPAAAAZHJzL2Rvd25yZXYueG1sRI9Ba8JA&#13;&#10;FITvgv9heYVeRDeGoiW6itgGehHRetDbI/tMQrNvk+xW4793BcHLwDDMN8x82ZlKXKh1pWUF41EE&#13;&#10;gjizuuRcweE3HX6CcB5ZY2WZFNzIwXLR780x0fbKO7rsfS4ChF2CCgrv60RKlxVk0I1sTRyys20N&#13;&#10;+mDbXOoWrwFuKhlH0UQaLDksFFjTuqDsb/9vFKxPm+0xmnTxYJA24+Mhbb7PH41S72/d1yzIagbC&#13;&#10;U+dfjSfiRyuIp/A4FM6AXNwBAAD//wMAUEsBAi0AFAAGAAgAAAAhANvh9svuAAAAhQEAABMAAAAA&#13;&#10;AAAAAAAAAAAAAAAAAFtDb250ZW50X1R5cGVzXS54bWxQSwECLQAUAAYACAAAACEAWvQsW78AAAAV&#13;&#10;AQAACwAAAAAAAAAAAAAAAAAfAQAAX3JlbHMvLnJlbHNQSwECLQAUAAYACAAAACEA+L6U48kAAADg&#13;&#10;AAAADwAAAAAAAAAAAAAAAAAHAgAAZHJzL2Rvd25yZXYueG1sUEsFBgAAAAADAAMAtwAAAP0CAAAA&#13;&#10;AA==&#13;&#10;" strokecolor="#0d0d0d [3069]" strokeweight="1.5pt"/>
                <v:line id="Straight Connector 28" o:spid="_x0000_s1028" style="position:absolute;flip:x;visibility:visible;mso-wrap-style:square" from="0,0" to="4724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IQCRygAAAOAAAAAPAAAAZHJzL2Rvd25yZXYueG1sRI/BasJA&#13;&#10;EIbvhb7DMoVeRDeGIhJdRWwDvZRS9aC3ITsmwexskt1q+vadg+Bl4Gf4v5lvuR5co67Uh9qzgekk&#13;&#10;AUVceFtzaeCwz8dzUCEiW2w8k4E/CrBePT8tMbP+xj903cVSCYRDhgaqGNtM61BU5DBMfEssu7Pv&#13;&#10;HUaJfaltjzeBu0anSTLTDmuWCxW2tK2ouOx+nYHt6ev7mMyGdDTKu+nxkHcf57fOmNeX4X0hY7MA&#13;&#10;FWmIj8Yd8WkNpPKxCIkM6NU/AAAA//8DAFBLAQItABQABgAIAAAAIQDb4fbL7gAAAIUBAAATAAAA&#13;&#10;AAAAAAAAAAAAAAAAAABbQ29udGVudF9UeXBlc10ueG1sUEsBAi0AFAAGAAgAAAAhAFr0LFu/AAAA&#13;&#10;FQEAAAsAAAAAAAAAAAAAAAAAHwEAAF9yZWxzLy5yZWxzUEsBAi0AFAAGAAgAAAAhAIkhAJHKAAAA&#13;&#10;4AAAAA8AAAAAAAAAAAAAAAAABwIAAGRycy9kb3ducmV2LnhtbFBLBQYAAAAAAwADALcAAAD+AgAA&#13;&#10;AAA=&#13;&#10;" strokecolor="#0d0d0d [3069]" strokeweight="1.5pt"/>
              </v:group>
            </w:pict>
          </mc:Fallback>
        </mc:AlternateContent>
      </w:r>
    </w:p>
    <w:p w14:paraId="71F4F422" w14:textId="546DC7F7" w:rsidR="00A469C0" w:rsidRPr="00C62692" w:rsidRDefault="00A469C0" w:rsidP="00A469C0">
      <w:pPr>
        <w:pStyle w:val="216"/>
        <w:spacing w:before="120"/>
        <w:rPr>
          <w:rtl/>
        </w:rPr>
      </w:pPr>
      <w:r w:rsidRPr="00C62692">
        <w:rPr>
          <w:rFonts w:hint="cs"/>
          <w:rtl/>
        </w:rPr>
        <w:t>פעולות הביקורת</w:t>
      </w:r>
    </w:p>
    <w:p w14:paraId="006D7436" w14:textId="06D9539D" w:rsidR="00141541" w:rsidRPr="00381463" w:rsidRDefault="00A469C0" w:rsidP="00141541">
      <w:pPr>
        <w:pStyle w:val="714"/>
        <w:numPr>
          <w:ilvl w:val="0"/>
          <w:numId w:val="0"/>
        </w:numPr>
        <w:ind w:left="397"/>
        <w:rPr>
          <w:rtl/>
        </w:rPr>
      </w:pPr>
      <w:r w:rsidRPr="00666E99">
        <w:rPr>
          <w:noProof/>
        </w:rPr>
        <w:drawing>
          <wp:anchor distT="0" distB="0" distL="114300" distR="114300" simplePos="0" relativeHeight="251943424" behindDoc="0" locked="0" layoutInCell="1" allowOverlap="1" wp14:anchorId="791EFA68" wp14:editId="6F5CB6F8">
            <wp:simplePos x="0" y="0"/>
            <wp:positionH relativeFrom="column">
              <wp:posOffset>4559202</wp:posOffset>
            </wp:positionH>
            <wp:positionV relativeFrom="paragraph">
              <wp:posOffset>58420</wp:posOffset>
            </wp:positionV>
            <wp:extent cx="162000" cy="162000"/>
            <wp:effectExtent l="0" t="0" r="9525" b="9525"/>
            <wp:wrapSquare wrapText="bothSides"/>
            <wp:docPr id="24785161"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תמונה 33"/>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62000" cy="1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73F8" w:rsidRPr="005702A0">
        <w:rPr>
          <w:rtl/>
        </w:rPr>
        <w:t>בחודשים יולי - נובמבר 2021 בדק משרד מבקר המדינה את המגמות השונות העולות מהדוחות הכספיים ואת סדרי הטיפול של הממשלה ברישום החובות בסעיף "חייבים ויתרות חובה", המופיע בדוחות הכספיים המאוחדים של המדינה ובדוחות הכספיים של משרדי הממשלה</w:t>
      </w:r>
      <w:r w:rsidR="004C73F8" w:rsidRPr="00D9005D">
        <w:rPr>
          <w:vertAlign w:val="superscript"/>
          <w:rtl/>
        </w:rPr>
        <w:footnoteReference w:id="1"/>
      </w:r>
      <w:r w:rsidR="004C73F8" w:rsidRPr="005702A0">
        <w:rPr>
          <w:rtl/>
        </w:rPr>
        <w:t xml:space="preserve">. הבדיקה נעשתה באגף החשב הכללי במשרד האוצר (להלן - אגף </w:t>
      </w:r>
      <w:proofErr w:type="spellStart"/>
      <w:r w:rsidR="004C73F8" w:rsidRPr="005702A0">
        <w:rPr>
          <w:rtl/>
        </w:rPr>
        <w:t>החשכ"ל</w:t>
      </w:r>
      <w:proofErr w:type="spellEnd"/>
      <w:r w:rsidR="004C73F8" w:rsidRPr="005702A0">
        <w:rPr>
          <w:rtl/>
        </w:rPr>
        <w:t xml:space="preserve">) וברשות האכיפה והגבייה (להלן גם - הרשות) וכן בכמה משרדי ממשלה, יחידות סמך וישויות ממשלתיות אחרות, ובכלל זה משרד המשפטים, משרד הכלכלה והתעשייה, המשרד לביטחון הפנים, הנהלת בתי המשפט, משרד הבינוי והשיכון, רשות מקרקעי ישראל (להלן - </w:t>
      </w:r>
      <w:proofErr w:type="spellStart"/>
      <w:r w:rsidR="004C73F8" w:rsidRPr="005702A0">
        <w:rPr>
          <w:rtl/>
        </w:rPr>
        <w:t>רמ"י</w:t>
      </w:r>
      <w:proofErr w:type="spellEnd"/>
      <w:r w:rsidR="004C73F8" w:rsidRPr="005702A0">
        <w:rPr>
          <w:rtl/>
        </w:rPr>
        <w:t xml:space="preserve">), משרד התחבורה והבטיחות בדרכים (להלן - משרד התחבורה), משרד הבריאות, משרד </w:t>
      </w:r>
      <w:proofErr w:type="spellStart"/>
      <w:r w:rsidR="004C73F8" w:rsidRPr="005702A0">
        <w:rPr>
          <w:rtl/>
        </w:rPr>
        <w:t>האנרגייה</w:t>
      </w:r>
      <w:proofErr w:type="spellEnd"/>
      <w:r w:rsidR="004C73F8" w:rsidRPr="005702A0">
        <w:rPr>
          <w:rtl/>
        </w:rPr>
        <w:t>, הרשות הממשלתית למים ולביוב, רשות המיסים בישראל (להלן - רשות המיסים), משרד החינוך, משרד הפנים, משרד התקשורת ומשרד התיירות. בדיקות השלמה נעשו בחברת דואר ישראל בע"מ</w:t>
      </w:r>
      <w:r w:rsidR="00141541" w:rsidRPr="00381463">
        <w:rPr>
          <w:rtl/>
        </w:rPr>
        <w:t xml:space="preserve">. </w:t>
      </w:r>
    </w:p>
    <w:p w14:paraId="5FFC4203" w14:textId="4F91C100" w:rsidR="000E71A5" w:rsidRDefault="00602F1C" w:rsidP="00602F1C">
      <w:pPr>
        <w:rPr>
          <w:rtl/>
        </w:rPr>
      </w:pPr>
      <w:r>
        <w:rPr>
          <w:noProof/>
          <w:sz w:val="22"/>
          <w:szCs w:val="22"/>
        </w:rPr>
        <w:lastRenderedPageBreak/>
        <mc:AlternateContent>
          <mc:Choice Requires="wps">
            <w:drawing>
              <wp:anchor distT="0" distB="0" distL="114300" distR="114300" simplePos="0" relativeHeight="251950592" behindDoc="0" locked="0" layoutInCell="1" allowOverlap="1" wp14:anchorId="3DA0E973" wp14:editId="21B2DB62">
                <wp:simplePos x="0" y="0"/>
                <wp:positionH relativeFrom="column">
                  <wp:posOffset>-30480</wp:posOffset>
                </wp:positionH>
                <wp:positionV relativeFrom="paragraph">
                  <wp:posOffset>-52920</wp:posOffset>
                </wp:positionV>
                <wp:extent cx="4733925" cy="0"/>
                <wp:effectExtent l="0" t="12700" r="15875" b="12700"/>
                <wp:wrapNone/>
                <wp:docPr id="3" name="Straight Connector 3"/>
                <wp:cNvGraphicFramePr/>
                <a:graphic xmlns:a="http://schemas.openxmlformats.org/drawingml/2006/main">
                  <a:graphicData uri="http://schemas.microsoft.com/office/word/2010/wordprocessingShape">
                    <wps:wsp>
                      <wps:cNvCnPr/>
                      <wps:spPr>
                        <a:xfrm>
                          <a:off x="0" y="0"/>
                          <a:ext cx="4733925"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99DBF6E" id="Straight Connector 3" o:spid="_x0000_s1026" style="position:absolute;left:0;text-align:left;z-index:251950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pt,-4.15pt" to="370.35pt,-4.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4gyvQEAAN4DAAAOAAAAZHJzL2Uyb0RvYy54bWysU8Fu3CAQvVfqPyDuXXs3SZta680hUXqp&#13;&#10;2qhtPoDgYY0EDAKy9v59B7xrR01VqVUvGIZ5b+Y9xtub0Rp2gBA1upavVzVn4CR22u1b/vjj/t01&#13;&#10;ZzEJ1wmDDlp+hMhvdm/fbAffwAZ7NB0ERiQuNoNveZ+Sb6oqyh6siCv04OhSYbAi0THsqy6Igdit&#13;&#10;qTZ1/b4aMHQ+oIQYKXo3XfJd4VcKZPqqVITETMupt1TWUNanvFa7rWj2Qfhey1Mb4h+6sEI7KjpT&#13;&#10;3Ykk2HPQr6islgEjqrSSaCtUSksoGkjNuv5FzfdeeChayJzoZ5vi/6OVXw637iGQDYOPTfQPIasY&#13;&#10;VbD5S/2xsZh1nM2CMTFJwcsPFxcfN1ecyfNdtQB9iOkToGV503KjXdYhGnH4HBMVo9RzSg4bx4aW&#13;&#10;b64u67qkRTS6u9fG5MsyC3BrAjsIesU0rvOrEcOLLDoZR8FFRNmlo4GJ/xsopjtqez0VyPO1cAop&#13;&#10;waUzr3GUnWGKOpiBp87+BDzlZyiU2fsb8IwoldGlGWy1w/C7thcr1JR/dmDSnS14wu5YnrdYQ0NU&#13;&#10;nDsNfJ7Sl+cCX37L3U8AAAD//wMAUEsDBBQABgAIAAAAIQAKz9Md4AAAAA0BAAAPAAAAZHJzL2Rv&#13;&#10;d25yZXYueG1sTI9BT8MwDIXvSPyHyEjctgQYbOqaTgjEkcM2DuyWNV5baJyuzraOX48RB7jYsp/8&#13;&#10;/L18MYRWHbHnJpKFm7EBhVRG31Bl4W39MpqB4uTIuzYSWjgjw6K4vMhd5uOJlnhcpUqJCXHmLNQp&#13;&#10;dZnWXNYYHI9jhyTaLvbBJRn7SvvencQ8tPrWmAcdXEPyoXYdPtVYfq4OwcLuY39uAu7JbJjvw/vS&#13;&#10;f+nNq7XXV8PzXMrjHFTCIf1dwE8G4YdCwLbxQJ5Va2E0EfwkfXYHSvTpxExBbX8Xusj1/xTFNwAA&#13;&#10;AP//AwBQSwECLQAUAAYACAAAACEAtoM4kv4AAADhAQAAEwAAAAAAAAAAAAAAAAAAAAAAW0NvbnRl&#13;&#10;bnRfVHlwZXNdLnhtbFBLAQItABQABgAIAAAAIQA4/SH/1gAAAJQBAAALAAAAAAAAAAAAAAAAAC8B&#13;&#10;AABfcmVscy8ucmVsc1BLAQItABQABgAIAAAAIQCbT4gyvQEAAN4DAAAOAAAAAAAAAAAAAAAAAC4C&#13;&#10;AABkcnMvZTJvRG9jLnhtbFBLAQItABQABgAIAAAAIQAKz9Md4AAAAA0BAAAPAAAAAAAAAAAAAAAA&#13;&#10;ABcEAABkcnMvZG93bnJldi54bWxQSwUGAAAAAAQABADzAAAAJAUAAAAA&#13;&#10;" strokecolor="black [3213]" strokeweight="2pt"/>
            </w:pict>
          </mc:Fallback>
        </mc:AlternateContent>
      </w:r>
      <w:r w:rsidR="000E71A5" w:rsidRPr="00362C00">
        <w:rPr>
          <w:noProof/>
          <w:rtl/>
        </w:rPr>
        <w:drawing>
          <wp:anchor distT="0" distB="0" distL="114300" distR="114300" simplePos="0" relativeHeight="251948544" behindDoc="0" locked="0" layoutInCell="1" allowOverlap="1" wp14:anchorId="6B7D4B1F" wp14:editId="0E12FEF7">
            <wp:simplePos x="0" y="0"/>
            <wp:positionH relativeFrom="column">
              <wp:posOffset>2433320</wp:posOffset>
            </wp:positionH>
            <wp:positionV relativeFrom="paragraph">
              <wp:posOffset>495925</wp:posOffset>
            </wp:positionV>
            <wp:extent cx="2270125" cy="195580"/>
            <wp:effectExtent l="0" t="0" r="0" b="0"/>
            <wp:wrapSquare wrapText="bothSides"/>
            <wp:docPr id="15"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650760" name="DISLIKE.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70125" cy="195580"/>
                    </a:xfrm>
                    <a:prstGeom prst="rect">
                      <a:avLst/>
                    </a:prstGeom>
                  </pic:spPr>
                </pic:pic>
              </a:graphicData>
            </a:graphic>
            <wp14:sizeRelH relativeFrom="margin">
              <wp14:pctWidth>0</wp14:pctWidth>
            </wp14:sizeRelH>
            <wp14:sizeRelV relativeFrom="margin">
              <wp14:pctHeight>0</wp14:pctHeight>
            </wp14:sizeRelV>
          </wp:anchor>
        </w:drawing>
      </w:r>
      <w:r w:rsidR="000E71A5" w:rsidRPr="0060683C">
        <w:rPr>
          <w:noProof/>
          <w:sz w:val="22"/>
          <w:szCs w:val="22"/>
        </w:rPr>
        <mc:AlternateContent>
          <mc:Choice Requires="wps">
            <w:drawing>
              <wp:anchor distT="45720" distB="45720" distL="114300" distR="114300" simplePos="0" relativeHeight="251949568" behindDoc="0" locked="0" layoutInCell="1" allowOverlap="1" wp14:anchorId="69881DC4" wp14:editId="6BC77E98">
                <wp:simplePos x="0" y="0"/>
                <wp:positionH relativeFrom="column">
                  <wp:posOffset>131445</wp:posOffset>
                </wp:positionH>
                <wp:positionV relativeFrom="paragraph">
                  <wp:posOffset>81915</wp:posOffset>
                </wp:positionV>
                <wp:extent cx="4667250" cy="390525"/>
                <wp:effectExtent l="0" t="0" r="19050" b="2857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0" cy="390525"/>
                        </a:xfrm>
                        <a:prstGeom prst="rect">
                          <a:avLst/>
                        </a:prstGeom>
                        <a:solidFill>
                          <a:srgbClr val="FFFFFF"/>
                        </a:solidFill>
                        <a:ln w="9525">
                          <a:solidFill>
                            <a:schemeClr val="bg1"/>
                          </a:solidFill>
                          <a:miter lim="800000"/>
                          <a:headEnd/>
                          <a:tailEnd/>
                        </a:ln>
                      </wps:spPr>
                      <wps:txbx>
                        <w:txbxContent>
                          <w:p w14:paraId="1C5C79FF" w14:textId="77777777" w:rsidR="000E71A5" w:rsidRPr="00A25467" w:rsidRDefault="000E71A5" w:rsidP="000E71A5">
                            <w:pPr>
                              <w:pStyle w:val="216"/>
                              <w:rPr>
                                <w:rtl/>
                              </w:rPr>
                            </w:pPr>
                            <w:r w:rsidRPr="00AA2B4F">
                              <w:rPr>
                                <w:rFonts w:hint="cs"/>
                                <w:rtl/>
                              </w:rPr>
                              <w:t>תמונת</w:t>
                            </w:r>
                            <w:r w:rsidRPr="00A25467">
                              <w:rPr>
                                <w:rFonts w:hint="cs"/>
                                <w:rtl/>
                              </w:rPr>
                              <w:t xml:space="preserve"> </w:t>
                            </w:r>
                            <w:r>
                              <w:rPr>
                                <w:rFonts w:hint="cs"/>
                                <w:rtl/>
                              </w:rPr>
                              <w:t>ה</w:t>
                            </w:r>
                            <w:r w:rsidRPr="00A25467">
                              <w:rPr>
                                <w:rFonts w:hint="cs"/>
                                <w:rtl/>
                              </w:rPr>
                              <w:t>מצב העולה מן הביקורת</w:t>
                            </w:r>
                          </w:p>
                          <w:p w14:paraId="22C0F824" w14:textId="77777777" w:rsidR="000E71A5" w:rsidRDefault="000E71A5" w:rsidP="000E71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81DC4" id="_x0000_s1027" type="#_x0000_t202" style="position:absolute;left:0;text-align:left;margin-left:10.35pt;margin-top:6.45pt;width:367.5pt;height:30.75pt;z-index:25194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gC1uFgIAACUEAAAOAAAAZHJzL2Uyb0RvYy54bWysU9tu2zAMfR+wfxD0vtjxkrQx4hRdugwD&#13;&#10;ugvQ7QNkWbaFyaImKbGzry8lu2nWvg3TgyCK0iF5eLi5GTpFjsI6Cbqg81lKidAcKqmbgv78sX93&#13;&#10;TYnzTFdMgRYFPQlHb7Zv32x6k4sMWlCVsARBtMt7U9DWe5MnieOt6JibgREanTXYjnk0bZNUlvWI&#13;&#10;3qkkS9NV0oOtjAUunMPbu9FJtxG/rgX33+raCU9UQTE3H3cb9zLsyXbD8sYy00o+pcH+IYuOSY1B&#13;&#10;z1B3zDNysPIVVCe5BQe1n3HoEqhryUWsAauZpy+qeWiZEbEWJMeZM03u/8Hyr8cH890SP3yAARsY&#13;&#10;i3DmHvgvRzTsWqYbcWst9K1gFQaeB8qS3rh8+hqodrkLIGX/BSpsMjt4iEBDbbvACtZJEB0bcDqT&#13;&#10;LgZPOF4uVqurbIkujr7363SZLWMIlj/9Ntb5TwI6Eg4FtdjUiM6O986HbFj+9CQEc6BktZdKRcM2&#13;&#10;5U5ZcmQogH1cE/pfz5QmfUHXIfZriKBFcQYpm5GCF4E66VHISnYFvU7DGqUVWPuoqygzz6Qaz5ix&#13;&#10;0hONgbmRQz+UA5HVxHFgtYTqhLxaGHWLc4aHFuwfSnrUbEHd7wOzghL1WWNv1vPFIog8GovlVYaG&#13;&#10;vfSUlx6mOUIV1FMyHnc+DkYgQMMt9rCWkd7nTKaUUYuR9Wlugtgv7fjqebq3jwAAAP//AwBQSwME&#13;&#10;FAAGAAgAAAAhAD+KXEvhAAAADQEAAA8AAABkcnMvZG93bnJldi54bWxMT8FOwzAMvSPxD5GRuLGE&#13;&#10;qttY13RCTOyG0AoaHNPGtBWNUzXZVvh6zAkulv2e/fxevplcL044hs6ThtuZAoFUe9tRo+H15fHm&#13;&#10;DkSIhqzpPaGGLwywKS4vcpNZf6Y9nsrYCBahkBkNbYxDJmWoW3QmzPyAxNyHH52JPI6NtKM5s7jr&#13;&#10;ZaLUQjrTEX9ozYAPLdaf5dFpCLVaHJ7T8vBWyR1+r6zdvu+etL6+mrZrLvdrEBGn+HcBvxnYPxRs&#13;&#10;rPJHskH0GhK15E3GkxUI5pfzOQMVN2kKssjl/xTFDwAAAP//AwBQSwECLQAUAAYACAAAACEAtoM4&#13;&#10;kv4AAADhAQAAEwAAAAAAAAAAAAAAAAAAAAAAW0NvbnRlbnRfVHlwZXNdLnhtbFBLAQItABQABgAI&#13;&#10;AAAAIQA4/SH/1gAAAJQBAAALAAAAAAAAAAAAAAAAAC8BAABfcmVscy8ucmVsc1BLAQItABQABgAI&#13;&#10;AAAAIQBEgC1uFgIAACUEAAAOAAAAAAAAAAAAAAAAAC4CAABkcnMvZTJvRG9jLnhtbFBLAQItABQA&#13;&#10;BgAIAAAAIQA/ilxL4QAAAA0BAAAPAAAAAAAAAAAAAAAAAHAEAABkcnMvZG93bnJldi54bWxQSwUG&#13;&#10;AAAAAAQABADzAAAAfgUAAAAA&#13;&#10;" strokecolor="white [3212]">
                <v:textbox>
                  <w:txbxContent>
                    <w:p w14:paraId="1C5C79FF" w14:textId="77777777" w:rsidR="000E71A5" w:rsidRPr="00A25467" w:rsidRDefault="000E71A5" w:rsidP="000E71A5">
                      <w:pPr>
                        <w:pStyle w:val="216"/>
                        <w:rPr>
                          <w:rtl/>
                        </w:rPr>
                      </w:pPr>
                      <w:r w:rsidRPr="00AA2B4F">
                        <w:rPr>
                          <w:rFonts w:hint="cs"/>
                          <w:rtl/>
                        </w:rPr>
                        <w:t>תמונת</w:t>
                      </w:r>
                      <w:r w:rsidRPr="00A25467">
                        <w:rPr>
                          <w:rFonts w:hint="cs"/>
                          <w:rtl/>
                        </w:rPr>
                        <w:t xml:space="preserve"> </w:t>
                      </w:r>
                      <w:r>
                        <w:rPr>
                          <w:rFonts w:hint="cs"/>
                          <w:rtl/>
                        </w:rPr>
                        <w:t>ה</w:t>
                      </w:r>
                      <w:r w:rsidRPr="00A25467">
                        <w:rPr>
                          <w:rFonts w:hint="cs"/>
                          <w:rtl/>
                        </w:rPr>
                        <w:t>מצב העולה מן הביקורת</w:t>
                      </w:r>
                    </w:p>
                    <w:p w14:paraId="22C0F824" w14:textId="77777777" w:rsidR="000E71A5" w:rsidRDefault="000E71A5" w:rsidP="000E71A5"/>
                  </w:txbxContent>
                </v:textbox>
                <w10:wrap type="square"/>
              </v:shape>
            </w:pict>
          </mc:Fallback>
        </mc:AlternateContent>
      </w:r>
    </w:p>
    <w:p w14:paraId="738EF70B" w14:textId="0C329A8C" w:rsidR="000E71A5" w:rsidRPr="00716B1B" w:rsidRDefault="000E71A5" w:rsidP="00602F1C">
      <w:pPr>
        <w:pStyle w:val="71f3"/>
        <w:spacing w:before="120"/>
      </w:pPr>
      <w:r w:rsidRPr="00277A80">
        <w:rPr>
          <w:rStyle w:val="717Char0"/>
          <w:rFonts w:hint="cs"/>
          <w:noProof/>
          <w:rtl/>
        </w:rPr>
        <w:drawing>
          <wp:anchor distT="0" distB="3600450" distL="114300" distR="114300" simplePos="0" relativeHeight="251952640" behindDoc="0" locked="0" layoutInCell="1" allowOverlap="1" wp14:anchorId="6E4F9504" wp14:editId="09415453">
            <wp:simplePos x="0" y="0"/>
            <wp:positionH relativeFrom="column">
              <wp:posOffset>4522470</wp:posOffset>
            </wp:positionH>
            <wp:positionV relativeFrom="paragraph">
              <wp:posOffset>127215</wp:posOffset>
            </wp:positionV>
            <wp:extent cx="161925" cy="161925"/>
            <wp:effectExtent l="0" t="0" r="3175" b="317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4C73F8" w:rsidRPr="00D9005D">
        <w:rPr>
          <w:rStyle w:val="717Char0"/>
          <w:rtl/>
        </w:rPr>
        <w:t>השפעת משבר הקורונה על הדוחות הכספיים של המדינה לשנת</w:t>
      </w:r>
      <w:r w:rsidR="004C73F8" w:rsidRPr="005702A0">
        <w:rPr>
          <w:rtl/>
        </w:rPr>
        <w:t xml:space="preserve"> </w:t>
      </w:r>
      <w:r w:rsidR="004C73F8" w:rsidRPr="00D9005D">
        <w:rPr>
          <w:rStyle w:val="717Char0"/>
          <w:rtl/>
        </w:rPr>
        <w:t>2020</w:t>
      </w:r>
      <w:r w:rsidR="004C73F8" w:rsidRPr="005702A0">
        <w:rPr>
          <w:rtl/>
        </w:rPr>
        <w:t xml:space="preserve"> - מנתוני הדוחות הכספיים עולה כי ההוצאות בשנת 2020 קטנו </w:t>
      </w:r>
      <w:proofErr w:type="spellStart"/>
      <w:r w:rsidR="004C73F8" w:rsidRPr="005702A0">
        <w:rPr>
          <w:rtl/>
        </w:rPr>
        <w:t>בכ</w:t>
      </w:r>
      <w:proofErr w:type="spellEnd"/>
      <w:r w:rsidR="004C73F8" w:rsidRPr="005702A0">
        <w:rPr>
          <w:rtl/>
        </w:rPr>
        <w:t xml:space="preserve">-31 מיליארד ש"ח לעומת שנת 2019 (בין היתר עקב גידול בהוצאה הציבורית מצד אחד, ומקיטון של כ-105 מיליארד ש"ח בהוצאה בגין המחויבות האקטוארית של המוסד לביטוח לאומי לזכאים מצד שני). עוד עולה מנתוני הדוחות הכספיים כי הכנסות המדינה בשנת 2020 פחתו </w:t>
      </w:r>
      <w:proofErr w:type="spellStart"/>
      <w:r w:rsidR="004C73F8" w:rsidRPr="005702A0">
        <w:rPr>
          <w:rtl/>
        </w:rPr>
        <w:t>בכ</w:t>
      </w:r>
      <w:proofErr w:type="spellEnd"/>
      <w:r w:rsidR="004C73F8" w:rsidRPr="005702A0">
        <w:rPr>
          <w:rtl/>
        </w:rPr>
        <w:t xml:space="preserve">-17 מיליארד ש"ח לעומת שנת 2019, וכי לגירעון החשבונאי השנתי, שהיה כ-170 מיליארד ש"ח, נוספו שינויים בנכסים נטו (הגדלת הגירעון) בסכום של 66 מיליארד ש"ח, דבר אשר הביא להגדלת הגירעון החשבונאי המצטבר </w:t>
      </w:r>
      <w:proofErr w:type="spellStart"/>
      <w:r w:rsidR="004C73F8" w:rsidRPr="005702A0">
        <w:rPr>
          <w:rtl/>
        </w:rPr>
        <w:t>לכ</w:t>
      </w:r>
      <w:proofErr w:type="spellEnd"/>
      <w:r w:rsidR="004C73F8" w:rsidRPr="005702A0">
        <w:rPr>
          <w:rtl/>
        </w:rPr>
        <w:t>-236 מיליארד ש"ח. סכום זה מומן ברובו על ידי עלייה בסכום החוב הממשלתי (מלוות פנים וחוץ, כולל חלויות שוטפות) של כ-164 מיליארד ש"ח</w:t>
      </w:r>
      <w:r w:rsidRPr="00716B1B">
        <w:rPr>
          <w:rtl/>
        </w:rPr>
        <w:t>.</w:t>
      </w:r>
    </w:p>
    <w:p w14:paraId="4EA85117" w14:textId="17BBC278" w:rsidR="000E71A5" w:rsidRPr="00951B96" w:rsidRDefault="000E71A5" w:rsidP="00187AC7">
      <w:pPr>
        <w:pStyle w:val="71f3"/>
      </w:pPr>
      <w:r w:rsidRPr="0078031D">
        <w:rPr>
          <w:rStyle w:val="717Char0"/>
          <w:rFonts w:hint="cs"/>
          <w:noProof/>
          <w:rtl/>
        </w:rPr>
        <w:drawing>
          <wp:anchor distT="0" distB="3600450" distL="114300" distR="114300" simplePos="0" relativeHeight="251953664" behindDoc="0" locked="0" layoutInCell="1" allowOverlap="1" wp14:anchorId="79A8EF09" wp14:editId="60E7384F">
            <wp:simplePos x="0" y="0"/>
            <wp:positionH relativeFrom="column">
              <wp:posOffset>4518025</wp:posOffset>
            </wp:positionH>
            <wp:positionV relativeFrom="paragraph">
              <wp:posOffset>28575</wp:posOffset>
            </wp:positionV>
            <wp:extent cx="161925" cy="161925"/>
            <wp:effectExtent l="0" t="0" r="9525" b="952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4C73F8" w:rsidRPr="00D9005D">
        <w:rPr>
          <w:rStyle w:val="717Char0"/>
          <w:rtl/>
        </w:rPr>
        <w:t>חייבים ויתרות חובה והפרשה לחובות</w:t>
      </w:r>
      <w:r w:rsidR="004C73F8" w:rsidRPr="005702A0">
        <w:rPr>
          <w:rtl/>
        </w:rPr>
        <w:t xml:space="preserve"> </w:t>
      </w:r>
      <w:r w:rsidR="004C73F8" w:rsidRPr="00D9005D">
        <w:rPr>
          <w:rStyle w:val="717Char0"/>
          <w:rtl/>
        </w:rPr>
        <w:t xml:space="preserve">מסופקים - השוואה בין-לאומית </w:t>
      </w:r>
      <w:r w:rsidR="004C73F8" w:rsidRPr="005702A0">
        <w:rPr>
          <w:rtl/>
        </w:rPr>
        <w:t>- נמצא שהיקף החייבים ויתרות החובה ל-31.12.2020 הוא כ-69.2 מיליארד ש"ח מתוך היקף סך הנכסים העומד על כ-732 מיליארד ש"ח (שיעור בגובה של כ-9.5%). נתון זה גבוה לעומת רוב המדינות הנבחרות. פער זה יכול להעיד על שפוטנציאל הגבייה של החובות למדינה הוא גבוה לעומת הביצוע בפועל, בהשוואה לרוב המדינות הנבחרות. יצוין שהפער גם יכול לנבוע מכך שבדוחות הכספיים של מדינת ישראל לא רשומים נכסים בהיקף כספי נרחב. כמו כן נמצא שיש שונות בין המדינות הנבחרות בתהליך חישוב ההפרשה לחובות מסופקים בדוחות הכספיים</w:t>
      </w:r>
      <w:r w:rsidRPr="00951B96">
        <w:rPr>
          <w:rtl/>
        </w:rPr>
        <w:t xml:space="preserve">. </w:t>
      </w:r>
    </w:p>
    <w:p w14:paraId="2A3BAF02" w14:textId="5F2A4603" w:rsidR="000E71A5" w:rsidRPr="00903496" w:rsidRDefault="000E71A5" w:rsidP="000E71A5">
      <w:pPr>
        <w:pStyle w:val="71f3"/>
      </w:pPr>
      <w:r w:rsidRPr="0078031D">
        <w:rPr>
          <w:rStyle w:val="717Char0"/>
          <w:rFonts w:hint="cs"/>
          <w:noProof/>
          <w:rtl/>
        </w:rPr>
        <w:drawing>
          <wp:anchor distT="0" distB="3600450" distL="114300" distR="114300" simplePos="0" relativeHeight="251954688" behindDoc="0" locked="0" layoutInCell="1" allowOverlap="1" wp14:anchorId="21681B46" wp14:editId="31EB0779">
            <wp:simplePos x="0" y="0"/>
            <wp:positionH relativeFrom="column">
              <wp:posOffset>4518025</wp:posOffset>
            </wp:positionH>
            <wp:positionV relativeFrom="paragraph">
              <wp:posOffset>46990</wp:posOffset>
            </wp:positionV>
            <wp:extent cx="161925" cy="161925"/>
            <wp:effectExtent l="0" t="0" r="9525" b="952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190CB1" w:rsidRPr="00D9005D">
        <w:rPr>
          <w:rStyle w:val="717Char0"/>
          <w:rtl/>
        </w:rPr>
        <w:t>הסתייגויות מהותיות הנוגעות לנתוני הסעיף "חייבים ויתרות חובה" שבאחריות רשות המיסים</w:t>
      </w:r>
      <w:r w:rsidR="00190CB1" w:rsidRPr="005702A0">
        <w:rPr>
          <w:rtl/>
        </w:rPr>
        <w:t xml:space="preserve"> - משנת 2009 נרשמות בדוחות הכספיים של המדינה הסתייגויות מהותיות הנוגעות לנתוני הסעיף "חייבים ויתרות חובה" שבאחריות רשות המיסים. סעיף זה מוצג בדוחות הכספיים בסכום של כ-15 מיליארד ש"ח נכון ל-31.12.2020. עוד נמצא כי אף שלדברי רשות המיסים היא החלה בטיוב הנתונים בדוחות הכספיים לפני כמה שנים, עד מועד סיום הביקורת היא לא סיימה פעולה זו</w:t>
      </w:r>
      <w:r w:rsidRPr="00E12644">
        <w:rPr>
          <w:rtl/>
        </w:rPr>
        <w:t>.</w:t>
      </w:r>
    </w:p>
    <w:p w14:paraId="4EB5966C" w14:textId="5ECE62F5" w:rsidR="000E71A5" w:rsidRPr="00903496" w:rsidRDefault="000E71A5" w:rsidP="000E71A5">
      <w:pPr>
        <w:pStyle w:val="71f3"/>
      </w:pPr>
      <w:r w:rsidRPr="0078031D">
        <w:rPr>
          <w:rStyle w:val="717Char0"/>
          <w:rFonts w:hint="cs"/>
          <w:noProof/>
          <w:rtl/>
        </w:rPr>
        <w:drawing>
          <wp:anchor distT="0" distB="3600450" distL="114300" distR="114300" simplePos="0" relativeHeight="251955712" behindDoc="0" locked="0" layoutInCell="1" allowOverlap="1" wp14:anchorId="208A8BE5" wp14:editId="7E2588FC">
            <wp:simplePos x="0" y="0"/>
            <wp:positionH relativeFrom="column">
              <wp:posOffset>4518025</wp:posOffset>
            </wp:positionH>
            <wp:positionV relativeFrom="paragraph">
              <wp:posOffset>46990</wp:posOffset>
            </wp:positionV>
            <wp:extent cx="161925" cy="161925"/>
            <wp:effectExtent l="0" t="0" r="9525" b="952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190CB1" w:rsidRPr="00D9005D">
        <w:rPr>
          <w:rStyle w:val="717Char0"/>
          <w:rtl/>
        </w:rPr>
        <w:t>מערכות המחשוב המשמשות לניהול החובות לגבייה</w:t>
      </w:r>
      <w:r w:rsidR="00190CB1" w:rsidRPr="005702A0">
        <w:rPr>
          <w:rtl/>
        </w:rPr>
        <w:t xml:space="preserve"> - על פי נתוני אגף </w:t>
      </w:r>
      <w:proofErr w:type="spellStart"/>
      <w:r w:rsidR="00190CB1" w:rsidRPr="005702A0">
        <w:rPr>
          <w:rtl/>
        </w:rPr>
        <w:t>החשכ"ל</w:t>
      </w:r>
      <w:proofErr w:type="spellEnd"/>
      <w:r w:rsidR="00190CB1" w:rsidRPr="005702A0">
        <w:rPr>
          <w:rtl/>
        </w:rPr>
        <w:t xml:space="preserve">, 64% מכלל החיובים במשרדי הממשלה אינם מנוהלים באמצעות מערכת </w:t>
      </w:r>
      <w:proofErr w:type="spellStart"/>
      <w:r w:rsidR="00190CB1" w:rsidRPr="005702A0">
        <w:rPr>
          <w:rtl/>
        </w:rPr>
        <w:t>מרכב"ה</w:t>
      </w:r>
      <w:proofErr w:type="spellEnd"/>
      <w:r w:rsidR="00190CB1" w:rsidRPr="005702A0">
        <w:rPr>
          <w:rtl/>
        </w:rPr>
        <w:t>, ונוסף על כך 44% מהם נוצרים ידנית. מצב זה גורם להיעדר ידע מלא על רשימת החובות ברמת המשרד הממשלתי וברמת הממשלה ולהיעדר נתונים מלאים בנוגע למצבת החובות למשרדי הממשלה ויחידות הסמך וכן לגבי נתוני הגבייה בפועל. כפועל יוצא מכך לא מתקיימת בקרה חשבונאית נאותה לגבי האפשרות של משרדי הממשלה למצות את זכויותיהם במלואן</w:t>
      </w:r>
      <w:r w:rsidRPr="00903496">
        <w:rPr>
          <w:rtl/>
        </w:rPr>
        <w:t>.</w:t>
      </w:r>
    </w:p>
    <w:p w14:paraId="27589E01" w14:textId="4FA6C958" w:rsidR="000E71A5" w:rsidRPr="00C80B25" w:rsidRDefault="000E71A5" w:rsidP="000E71A5">
      <w:pPr>
        <w:pStyle w:val="71f3"/>
      </w:pPr>
      <w:r w:rsidRPr="0078031D">
        <w:rPr>
          <w:rStyle w:val="717Char0"/>
          <w:rFonts w:hint="cs"/>
          <w:noProof/>
          <w:rtl/>
        </w:rPr>
        <w:drawing>
          <wp:anchor distT="0" distB="3600450" distL="114300" distR="114300" simplePos="0" relativeHeight="251956736" behindDoc="0" locked="0" layoutInCell="1" allowOverlap="1" wp14:anchorId="01051F9D" wp14:editId="3C9A8B73">
            <wp:simplePos x="0" y="0"/>
            <wp:positionH relativeFrom="column">
              <wp:posOffset>4518025</wp:posOffset>
            </wp:positionH>
            <wp:positionV relativeFrom="paragraph">
              <wp:posOffset>47625</wp:posOffset>
            </wp:positionV>
            <wp:extent cx="161925" cy="161925"/>
            <wp:effectExtent l="0" t="0" r="9525" b="952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190CB1" w:rsidRPr="00D9005D">
        <w:rPr>
          <w:rStyle w:val="717Char0"/>
          <w:rtl/>
        </w:rPr>
        <w:t>תמריצים לשיפור הליכי הגבייה</w:t>
      </w:r>
      <w:r w:rsidR="00190CB1" w:rsidRPr="005702A0">
        <w:rPr>
          <w:rtl/>
        </w:rPr>
        <w:t xml:space="preserve"> - נמצא כי אגף </w:t>
      </w:r>
      <w:proofErr w:type="spellStart"/>
      <w:r w:rsidR="00190CB1" w:rsidRPr="005702A0">
        <w:rPr>
          <w:rtl/>
        </w:rPr>
        <w:t>החשכ"ל</w:t>
      </w:r>
      <w:proofErr w:type="spellEnd"/>
      <w:r w:rsidR="00190CB1" w:rsidRPr="005702A0">
        <w:rPr>
          <w:rtl/>
        </w:rPr>
        <w:t xml:space="preserve"> ואגף התקציבים במשרד האוצר קיימו כמה דיונים בנוגע למודל התמריצים. מטרת מודל התמריצים היא עידוד משרדי הממשלה לשפר את תהליכי הגבייה והאכיפה ולהגדיל את הכנסות המדינה, באמצעות מתן תמריצים חיוביים ושליליים למשרדים על הגדלת ההכנסות או על ביצוע אבני דרך משמעותיות בעניין שיפור תהליכי הגבייה והאכיפה. במועד הביקורת לא נקבע </w:t>
      </w:r>
      <w:r w:rsidR="00190CB1" w:rsidRPr="005702A0">
        <w:rPr>
          <w:rtl/>
        </w:rPr>
        <w:lastRenderedPageBreak/>
        <w:t>למשרדי הממשלה מודל תמריצים לגביית חובות, זאת שלא בהתאם להחלטת הממשלה משנת 2013 בדבר "העמקת פעילות גביית החובות בממשלה</w:t>
      </w:r>
      <w:r w:rsidR="00190CB1">
        <w:rPr>
          <w:rFonts w:hint="cs"/>
          <w:rtl/>
        </w:rPr>
        <w:t>״</w:t>
      </w:r>
      <w:r>
        <w:rPr>
          <w:rFonts w:hint="cs"/>
          <w:rtl/>
        </w:rPr>
        <w:t>.</w:t>
      </w:r>
    </w:p>
    <w:p w14:paraId="0DB24E01" w14:textId="5E8A5A88" w:rsidR="000E71A5" w:rsidRPr="0069093D" w:rsidRDefault="000E71A5" w:rsidP="000E71A5">
      <w:pPr>
        <w:pStyle w:val="71f3"/>
      </w:pPr>
      <w:r w:rsidRPr="00277A80">
        <w:rPr>
          <w:rStyle w:val="717Char0"/>
          <w:rFonts w:hint="cs"/>
          <w:noProof/>
          <w:rtl/>
        </w:rPr>
        <w:drawing>
          <wp:anchor distT="0" distB="3600450" distL="114300" distR="114300" simplePos="0" relativeHeight="251957760" behindDoc="0" locked="0" layoutInCell="1" allowOverlap="1" wp14:anchorId="0FE48436" wp14:editId="4CB0CADB">
            <wp:simplePos x="0" y="0"/>
            <wp:positionH relativeFrom="column">
              <wp:posOffset>4547919</wp:posOffset>
            </wp:positionH>
            <wp:positionV relativeFrom="paragraph">
              <wp:posOffset>43180</wp:posOffset>
            </wp:positionV>
            <wp:extent cx="161925" cy="161925"/>
            <wp:effectExtent l="0" t="0" r="3175" b="317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190CB1" w:rsidRPr="00D9005D">
        <w:rPr>
          <w:rStyle w:val="717Char0"/>
          <w:rtl/>
        </w:rPr>
        <w:t>הטיפול בגביית אגרות מקצוע במשרדי הממשלה</w:t>
      </w:r>
      <w:r w:rsidR="00190CB1" w:rsidRPr="005702A0">
        <w:rPr>
          <w:rtl/>
        </w:rPr>
        <w:t xml:space="preserve"> - בהחלטת הממשלה 4813 מ-12.1.2020 נקבע כי יש להקים ועדה שתבחן את שיפור האפשרויות לגביית האגרות הממשלתיות, לרבות העברתן לגבייה באמצעות המרכז לגביית קנסות, אגרות והוצאות (</w:t>
      </w:r>
      <w:proofErr w:type="spellStart"/>
      <w:r w:rsidR="00190CB1" w:rsidRPr="005702A0">
        <w:rPr>
          <w:rtl/>
        </w:rPr>
        <w:t>המג"ק</w:t>
      </w:r>
      <w:proofErr w:type="spellEnd"/>
      <w:r w:rsidR="00190CB1" w:rsidRPr="005702A0">
        <w:rPr>
          <w:rtl/>
        </w:rPr>
        <w:t>). כפי שעולה מטיוטת הדוח של הוועדה לאגרות ממשלתיות, לא קיימת מתודולוגיה סדורה בעניין הטיפול בכל 723 אגרות המקצוע במשרדי הממשלה. הדבר מביא לחוסר תיאום וחוסר אחידות בפעילות המשרדים, ואגרות המקצוע, אשר צריכות להיגבות פעם בשנה, נגבות בדרכים שונות ולעיתים אינן נגבות</w:t>
      </w:r>
      <w:r>
        <w:rPr>
          <w:rtl/>
        </w:rPr>
        <w:t>.</w:t>
      </w:r>
    </w:p>
    <w:p w14:paraId="09F9AA7F" w14:textId="142E40DF" w:rsidR="000E71A5" w:rsidRDefault="000E71A5" w:rsidP="00FB17A6">
      <w:pPr>
        <w:spacing w:after="180" w:line="288" w:lineRule="auto"/>
        <w:ind w:left="-1"/>
        <w:rPr>
          <w:rFonts w:ascii="Tahoma" w:hAnsi="Tahoma" w:cs="Tahoma"/>
          <w:color w:val="0D0D0D" w:themeColor="text1" w:themeTint="F2"/>
          <w:sz w:val="18"/>
          <w:szCs w:val="18"/>
          <w:rtl/>
        </w:rPr>
      </w:pPr>
      <w:r w:rsidRPr="00277A80">
        <w:rPr>
          <w:rStyle w:val="717Char0"/>
          <w:rFonts w:hint="cs"/>
          <w:noProof/>
          <w:rtl/>
        </w:rPr>
        <w:drawing>
          <wp:anchor distT="0" distB="3600450" distL="114300" distR="114300" simplePos="0" relativeHeight="251958784" behindDoc="0" locked="0" layoutInCell="1" allowOverlap="1" wp14:anchorId="35631916" wp14:editId="35C63F8D">
            <wp:simplePos x="0" y="0"/>
            <wp:positionH relativeFrom="column">
              <wp:posOffset>4552999</wp:posOffset>
            </wp:positionH>
            <wp:positionV relativeFrom="paragraph">
              <wp:posOffset>31750</wp:posOffset>
            </wp:positionV>
            <wp:extent cx="161925" cy="161925"/>
            <wp:effectExtent l="0" t="0" r="3175" b="3175"/>
            <wp:wrapSquare wrapText="bothSides"/>
            <wp:docPr id="2052770944" name="Picture 2052770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190CB1" w:rsidRPr="00D9005D">
        <w:rPr>
          <w:rStyle w:val="717Char0"/>
          <w:rtl/>
        </w:rPr>
        <w:t>דוח גיול חובות</w:t>
      </w:r>
      <w:r w:rsidR="00190CB1" w:rsidRPr="005702A0">
        <w:rPr>
          <w:rFonts w:ascii="Tahoma" w:hAnsi="Tahoma" w:cs="Tahoma"/>
          <w:color w:val="0D0D0D" w:themeColor="text1" w:themeTint="F2"/>
          <w:sz w:val="18"/>
          <w:szCs w:val="18"/>
          <w:rtl/>
        </w:rPr>
        <w:t xml:space="preserve"> - לאגף </w:t>
      </w:r>
      <w:proofErr w:type="spellStart"/>
      <w:r w:rsidR="00190CB1" w:rsidRPr="005702A0">
        <w:rPr>
          <w:rFonts w:ascii="Tahoma" w:hAnsi="Tahoma" w:cs="Tahoma"/>
          <w:color w:val="0D0D0D" w:themeColor="text1" w:themeTint="F2"/>
          <w:sz w:val="18"/>
          <w:szCs w:val="18"/>
          <w:rtl/>
        </w:rPr>
        <w:t>החשכ"ל</w:t>
      </w:r>
      <w:proofErr w:type="spellEnd"/>
      <w:r w:rsidR="00190CB1" w:rsidRPr="005702A0">
        <w:rPr>
          <w:rFonts w:ascii="Tahoma" w:hAnsi="Tahoma" w:cs="Tahoma"/>
          <w:color w:val="0D0D0D" w:themeColor="text1" w:themeTint="F2"/>
          <w:sz w:val="18"/>
          <w:szCs w:val="18"/>
          <w:rtl/>
        </w:rPr>
        <w:t xml:space="preserve"> אין נתונים מלאים על גיול יתרות החוב המצוינות בדוחות הכספיים של המדינה, ואין לו אפשרות להפיק דוח גיול לגבי יתרת החייבים ויתרות חובה המצוינת בדוחות הכספיים של המדינה</w:t>
      </w:r>
      <w:r w:rsidRPr="007F4E99">
        <w:rPr>
          <w:rFonts w:ascii="Tahoma" w:hAnsi="Tahoma" w:cs="Tahoma"/>
          <w:color w:val="0D0D0D" w:themeColor="text1" w:themeTint="F2"/>
          <w:sz w:val="18"/>
          <w:szCs w:val="18"/>
          <w:rtl/>
        </w:rPr>
        <w:t>.</w:t>
      </w:r>
    </w:p>
    <w:p w14:paraId="714FC83B" w14:textId="42EE8AE3" w:rsidR="00FB17A6" w:rsidRDefault="00FB17A6" w:rsidP="00FB17A6">
      <w:pPr>
        <w:spacing w:after="180" w:line="288" w:lineRule="auto"/>
        <w:ind w:left="-1"/>
        <w:rPr>
          <w:rFonts w:ascii="Tahoma" w:hAnsi="Tahoma" w:cs="Tahoma"/>
          <w:color w:val="0D0D0D" w:themeColor="text1" w:themeTint="F2"/>
          <w:sz w:val="18"/>
          <w:szCs w:val="18"/>
          <w:rtl/>
        </w:rPr>
      </w:pPr>
      <w:r w:rsidRPr="00277A80">
        <w:rPr>
          <w:rStyle w:val="717Char0"/>
          <w:rFonts w:hint="cs"/>
          <w:noProof/>
          <w:rtl/>
        </w:rPr>
        <w:drawing>
          <wp:anchor distT="0" distB="3600450" distL="114300" distR="114300" simplePos="0" relativeHeight="251978240" behindDoc="0" locked="0" layoutInCell="1" allowOverlap="1" wp14:anchorId="1CC16530" wp14:editId="789D10B9">
            <wp:simplePos x="0" y="0"/>
            <wp:positionH relativeFrom="column">
              <wp:posOffset>4535514</wp:posOffset>
            </wp:positionH>
            <wp:positionV relativeFrom="paragraph">
              <wp:posOffset>31750</wp:posOffset>
            </wp:positionV>
            <wp:extent cx="161925" cy="161925"/>
            <wp:effectExtent l="0" t="0" r="3175" b="3175"/>
            <wp:wrapSquare wrapText="bothSides"/>
            <wp:docPr id="21" name="Picture 2052770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190CB1" w:rsidRPr="00D9005D">
        <w:rPr>
          <w:rStyle w:val="717Char0"/>
          <w:rtl/>
        </w:rPr>
        <w:t>הפרשה לחובות מסופקים במשרדי הממשלה</w:t>
      </w:r>
      <w:r w:rsidR="00190CB1" w:rsidRPr="005702A0">
        <w:rPr>
          <w:rFonts w:ascii="Tahoma" w:hAnsi="Tahoma" w:cs="Tahoma"/>
          <w:color w:val="0D0D0D" w:themeColor="text1" w:themeTint="F2"/>
          <w:sz w:val="18"/>
          <w:szCs w:val="18"/>
          <w:rtl/>
        </w:rPr>
        <w:t xml:space="preserve"> - 14 מ-15 משרדי הממשלה ויחידות הסמך שנבדקו אינם עומדים בדרישות הגילוי של התנועה בחשבון הפרשה לחובות מסופקים, כפי שנדרש בהוראת </w:t>
      </w:r>
      <w:proofErr w:type="spellStart"/>
      <w:r w:rsidR="00190CB1" w:rsidRPr="005702A0">
        <w:rPr>
          <w:rFonts w:ascii="Tahoma" w:hAnsi="Tahoma" w:cs="Tahoma"/>
          <w:color w:val="0D0D0D" w:themeColor="text1" w:themeTint="F2"/>
          <w:sz w:val="18"/>
          <w:szCs w:val="18"/>
          <w:rtl/>
        </w:rPr>
        <w:t>התכ"ם</w:t>
      </w:r>
      <w:proofErr w:type="spellEnd"/>
      <w:r w:rsidR="00190CB1" w:rsidRPr="005702A0">
        <w:rPr>
          <w:rFonts w:ascii="Tahoma" w:hAnsi="Tahoma" w:cs="Tahoma"/>
          <w:color w:val="0D0D0D" w:themeColor="text1" w:themeTint="F2"/>
          <w:sz w:val="18"/>
          <w:szCs w:val="18"/>
          <w:rtl/>
        </w:rPr>
        <w:t xml:space="preserve"> בנושא, ובפרט אינם מציגים את סכומי החובות שנמחקו ואת סכומי הגבייה של חובות מסופקים או אבודים, אם היו. כמו כן, רשות האכיפה והגבייה מבצעת הפרשה כללית בלבד בשיעור קבוע של 57% (בסכום של כ-2.4 מיליארד ש"ח נכון ל-31.12.2020 מחובות ברוטו בסכום של כ-4.3 מיליארד ש"ח), המבוסס על חישוב שנעשה במשרד רואי חשבון חיצוני בשנת 2017</w:t>
      </w:r>
    </w:p>
    <w:p w14:paraId="4E3F0161" w14:textId="396F2BAA" w:rsidR="00FB17A6" w:rsidRPr="00FB17A6" w:rsidRDefault="00FB17A6" w:rsidP="00FB17A6">
      <w:pPr>
        <w:pStyle w:val="71f3"/>
      </w:pPr>
      <w:r w:rsidRPr="00277A80">
        <w:rPr>
          <w:rStyle w:val="717Char0"/>
          <w:rFonts w:hint="cs"/>
          <w:noProof/>
          <w:rtl/>
        </w:rPr>
        <w:drawing>
          <wp:anchor distT="0" distB="3600450" distL="114300" distR="114300" simplePos="0" relativeHeight="251980288" behindDoc="0" locked="0" layoutInCell="1" allowOverlap="1" wp14:anchorId="6224CCE3" wp14:editId="66E87A95">
            <wp:simplePos x="0" y="0"/>
            <wp:positionH relativeFrom="column">
              <wp:posOffset>4552999</wp:posOffset>
            </wp:positionH>
            <wp:positionV relativeFrom="paragraph">
              <wp:posOffset>31750</wp:posOffset>
            </wp:positionV>
            <wp:extent cx="161925" cy="161925"/>
            <wp:effectExtent l="0" t="0" r="3175" b="3175"/>
            <wp:wrapSquare wrapText="bothSides"/>
            <wp:docPr id="25" name="Picture 2052770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190CB1" w:rsidRPr="00D9005D">
        <w:rPr>
          <w:rStyle w:val="717Char0"/>
          <w:rtl/>
        </w:rPr>
        <w:t xml:space="preserve">אופן ההצגה והפרסום של הדוחות הכספיים הנפרדים של משרדי הממשלה (דוחות סולו) </w:t>
      </w:r>
      <w:r w:rsidR="00190CB1" w:rsidRPr="005702A0">
        <w:rPr>
          <w:rtl/>
        </w:rPr>
        <w:t xml:space="preserve">- נמצא כי יש שונות באופן ההצגה של סעיפים שונים בדוחות הכספיים בין משרד למשרד. לדוגמה, משרדים מסוימים כוללים בסעיף חייבים ויתרות חובה גם את "ההוצאות מראש" או את "ההכנסות לקבל", ואילו משרדים אחרים כוללים סעיפים אלו בנפרד או תחת סעיפים אחרים. כמו כן, יש משרדים שמפצלים בדוח על המצב הכספי את סעיף "חייבים ויתרות חובה" ל"חייבים מעסקאות שאינן חליפין", ל"חייבים מעסקאות חליפין" </w:t>
      </w:r>
      <w:proofErr w:type="spellStart"/>
      <w:r w:rsidR="00190CB1" w:rsidRPr="005702A0">
        <w:rPr>
          <w:rtl/>
        </w:rPr>
        <w:t>ול"חייבים</w:t>
      </w:r>
      <w:proofErr w:type="spellEnd"/>
      <w:r w:rsidR="00190CB1" w:rsidRPr="005702A0">
        <w:rPr>
          <w:rtl/>
        </w:rPr>
        <w:t xml:space="preserve"> אחרים", ואילו משרדים אחרים מציגים הפרדה זו רק בביאור. כמו כן נמצא שהדוחות הכספיים הנפרדים של משרדי הממשלה אינם מפורסמים לציבור</w:t>
      </w:r>
      <w:r w:rsidRPr="00FB17A6">
        <w:rPr>
          <w:rtl/>
        </w:rPr>
        <w:t>.</w:t>
      </w:r>
    </w:p>
    <w:p w14:paraId="6272DBE1" w14:textId="629D7A8E" w:rsidR="00D9005D" w:rsidRDefault="00FB17A6" w:rsidP="00FB17A6">
      <w:pPr>
        <w:spacing w:after="180" w:line="288" w:lineRule="auto"/>
        <w:ind w:left="-1"/>
        <w:rPr>
          <w:rFonts w:ascii="Tahoma" w:hAnsi="Tahoma" w:cs="Tahoma"/>
          <w:color w:val="0D0D0D" w:themeColor="text1" w:themeTint="F2"/>
          <w:sz w:val="18"/>
          <w:szCs w:val="18"/>
        </w:rPr>
      </w:pPr>
      <w:r w:rsidRPr="00381463">
        <w:rPr>
          <w:rFonts w:ascii="Tahoma" w:hAnsi="Tahoma" w:cs="Tahoma"/>
          <w:color w:val="0D0D0D" w:themeColor="text1" w:themeTint="F2"/>
          <w:sz w:val="18"/>
          <w:szCs w:val="18"/>
          <w:rtl/>
        </w:rPr>
        <w:t xml:space="preserve"> </w:t>
      </w:r>
    </w:p>
    <w:p w14:paraId="6812B62F" w14:textId="47C67865" w:rsidR="00FB17A6" w:rsidRPr="007F4E99" w:rsidRDefault="00D9005D" w:rsidP="0095353E">
      <w:pPr>
        <w:bidi w:val="0"/>
        <w:spacing w:after="200" w:line="276" w:lineRule="auto"/>
        <w:rPr>
          <w:rFonts w:ascii="Tahoma" w:hAnsi="Tahoma" w:cs="Tahoma"/>
          <w:color w:val="0D0D0D" w:themeColor="text1" w:themeTint="F2"/>
          <w:sz w:val="18"/>
          <w:szCs w:val="18"/>
        </w:rPr>
      </w:pPr>
      <w:r>
        <w:rPr>
          <w:rFonts w:ascii="Tahoma" w:hAnsi="Tahoma" w:cs="Tahoma"/>
          <w:color w:val="0D0D0D" w:themeColor="text1" w:themeTint="F2"/>
          <w:sz w:val="18"/>
          <w:szCs w:val="18"/>
        </w:rPr>
        <w:br w:type="page"/>
      </w:r>
    </w:p>
    <w:p w14:paraId="43DA3F56" w14:textId="24059714" w:rsidR="00FB17A6" w:rsidRPr="00FB17A6" w:rsidRDefault="0095353E" w:rsidP="00277A80">
      <w:pPr>
        <w:pStyle w:val="71f3"/>
        <w:spacing w:before="360"/>
        <w:rPr>
          <w:rtl/>
        </w:rPr>
      </w:pPr>
      <w:r w:rsidRPr="00277A80">
        <w:rPr>
          <w:rStyle w:val="717Char0"/>
          <w:rFonts w:hint="cs"/>
          <w:noProof/>
          <w:rtl/>
        </w:rPr>
        <w:lastRenderedPageBreak/>
        <w:drawing>
          <wp:anchor distT="0" distB="0" distL="114300" distR="114300" simplePos="0" relativeHeight="251962880" behindDoc="0" locked="0" layoutInCell="1" allowOverlap="1" wp14:anchorId="06198448" wp14:editId="3A3D1490">
            <wp:simplePos x="0" y="0"/>
            <wp:positionH relativeFrom="column">
              <wp:posOffset>2088066</wp:posOffset>
            </wp:positionH>
            <wp:positionV relativeFrom="paragraph">
              <wp:posOffset>0</wp:posOffset>
            </wp:positionV>
            <wp:extent cx="2355215" cy="180340"/>
            <wp:effectExtent l="0" t="0" r="0" b="0"/>
            <wp:wrapTopAndBottom/>
            <wp:docPr id="19" name="תמונה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799796" name="lik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55215" cy="180340"/>
                    </a:xfrm>
                    <a:prstGeom prst="rect">
                      <a:avLst/>
                    </a:prstGeom>
                  </pic:spPr>
                </pic:pic>
              </a:graphicData>
            </a:graphic>
            <wp14:sizeRelH relativeFrom="margin">
              <wp14:pctWidth>0</wp14:pctWidth>
            </wp14:sizeRelH>
          </wp:anchor>
        </w:drawing>
      </w:r>
      <w:r w:rsidR="00190CB1" w:rsidRPr="00D9005D">
        <w:rPr>
          <w:rStyle w:val="717Char0"/>
          <w:rtl/>
        </w:rPr>
        <w:t xml:space="preserve">פרסום הוראת </w:t>
      </w:r>
      <w:proofErr w:type="spellStart"/>
      <w:r w:rsidR="00190CB1" w:rsidRPr="00D9005D">
        <w:rPr>
          <w:rStyle w:val="717Char0"/>
          <w:rtl/>
        </w:rPr>
        <w:t>תכ"ם</w:t>
      </w:r>
      <w:proofErr w:type="spellEnd"/>
      <w:r w:rsidR="00190CB1" w:rsidRPr="005702A0">
        <w:rPr>
          <w:rtl/>
        </w:rPr>
        <w:t xml:space="preserve"> - בנובמבר 2018 פרסם החשב הכללי דאז הוראת </w:t>
      </w:r>
      <w:proofErr w:type="spellStart"/>
      <w:r w:rsidR="00190CB1" w:rsidRPr="005702A0">
        <w:rPr>
          <w:rtl/>
        </w:rPr>
        <w:t>תכ"ם</w:t>
      </w:r>
      <w:proofErr w:type="spellEnd"/>
      <w:r w:rsidR="00190CB1" w:rsidRPr="0095353E">
        <w:rPr>
          <w:vertAlign w:val="superscript"/>
          <w:rtl/>
        </w:rPr>
        <w:footnoteReference w:id="2"/>
      </w:r>
      <w:r w:rsidR="00190CB1" w:rsidRPr="005702A0">
        <w:rPr>
          <w:rtl/>
        </w:rPr>
        <w:t xml:space="preserve"> בנושא "גבייה ואכיפה במשרדי הממשלה". זאת במטרה להסדיר קווים מנחים ואחידים אשר ינחו את משרדי הממשלה בגיבוש נוהלי עבודה ותהליכי עבודה שיתמכו בפעילות הניהול והגבייה של החיובים והחובות, לרבות פיקוח ובקרה על גבייתם</w:t>
      </w:r>
      <w:r w:rsidR="00FB17A6" w:rsidRPr="00FB17A6">
        <w:rPr>
          <w:rtl/>
        </w:rPr>
        <w:t>.</w:t>
      </w:r>
    </w:p>
    <w:p w14:paraId="74204013" w14:textId="74C25548" w:rsidR="00D11B5C" w:rsidRPr="001D564B" w:rsidRDefault="00190CB1" w:rsidP="00FB17A6">
      <w:pPr>
        <w:pStyle w:val="71f3"/>
        <w:rPr>
          <w:rtl/>
        </w:rPr>
      </w:pPr>
      <w:r w:rsidRPr="00D9005D">
        <w:rPr>
          <w:rStyle w:val="717Char0"/>
          <w:rtl/>
        </w:rPr>
        <w:t>מיפוי כלל החיובים המופקים במשרדי הממשלה</w:t>
      </w:r>
      <w:r w:rsidRPr="005702A0">
        <w:rPr>
          <w:rtl/>
        </w:rPr>
        <w:t xml:space="preserve"> - אגף </w:t>
      </w:r>
      <w:proofErr w:type="spellStart"/>
      <w:r w:rsidRPr="005702A0">
        <w:rPr>
          <w:rtl/>
        </w:rPr>
        <w:t>החשכ"ל</w:t>
      </w:r>
      <w:proofErr w:type="spellEnd"/>
      <w:r w:rsidRPr="005702A0">
        <w:rPr>
          <w:rtl/>
        </w:rPr>
        <w:t xml:space="preserve"> ביצע עם משרדי הממשלה מיפוי של כלל החיובים המופקים במשרדי הממשלה</w:t>
      </w:r>
      <w:r w:rsidR="00D11B5C" w:rsidRPr="00FB17A6">
        <w:rPr>
          <w:rtl/>
        </w:rPr>
        <w:t>.</w:t>
      </w:r>
      <w:r w:rsidR="00D11B5C" w:rsidRPr="001D564B">
        <w:rPr>
          <w:rtl/>
        </w:rPr>
        <w:t xml:space="preserve"> </w:t>
      </w:r>
    </w:p>
    <w:p w14:paraId="07054052" w14:textId="6CD38D55" w:rsidR="00D11B5C" w:rsidRDefault="00D11B5C" w:rsidP="00277A80">
      <w:pPr>
        <w:pStyle w:val="71f3"/>
        <w:spacing w:after="120"/>
        <w:rPr>
          <w:rtl/>
        </w:rPr>
      </w:pPr>
    </w:p>
    <w:p w14:paraId="1813BEAE" w14:textId="07BEF383" w:rsidR="00C914A4" w:rsidRPr="003A3978" w:rsidRDefault="00C914A4" w:rsidP="00C914A4">
      <w:pPr>
        <w:pStyle w:val="71f3"/>
      </w:pPr>
      <w:r w:rsidRPr="00277A80">
        <w:rPr>
          <w:rStyle w:val="717Char0"/>
          <w:noProof/>
        </w:rPr>
        <w:drawing>
          <wp:anchor distT="0" distB="3600450" distL="114300" distR="114300" simplePos="0" relativeHeight="251968000" behindDoc="0" locked="0" layoutInCell="1" allowOverlap="1" wp14:anchorId="695A592D" wp14:editId="69C3FBFC">
            <wp:simplePos x="0" y="0"/>
            <wp:positionH relativeFrom="column">
              <wp:posOffset>4539615</wp:posOffset>
            </wp:positionH>
            <wp:positionV relativeFrom="paragraph">
              <wp:posOffset>491490</wp:posOffset>
            </wp:positionV>
            <wp:extent cx="140335" cy="161925"/>
            <wp:effectExtent l="0" t="0" r="0" b="9525"/>
            <wp:wrapSquare wrapText="bothSides"/>
            <wp:docPr id="587"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תמונה 3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40335" cy="16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7A80">
        <w:rPr>
          <w:rStyle w:val="717Char0"/>
          <w:b/>
          <w:noProof/>
          <w:rtl/>
        </w:rPr>
        <mc:AlternateContent>
          <mc:Choice Requires="wps">
            <w:drawing>
              <wp:anchor distT="0" distB="0" distL="114300" distR="114300" simplePos="0" relativeHeight="251965952" behindDoc="0" locked="0" layoutInCell="1" allowOverlap="1" wp14:anchorId="30359045" wp14:editId="6A1A4D1A">
                <wp:simplePos x="0" y="0"/>
                <wp:positionH relativeFrom="column">
                  <wp:posOffset>-114300</wp:posOffset>
                </wp:positionH>
                <wp:positionV relativeFrom="paragraph">
                  <wp:posOffset>6350</wp:posOffset>
                </wp:positionV>
                <wp:extent cx="4733925" cy="0"/>
                <wp:effectExtent l="0" t="0" r="0" b="0"/>
                <wp:wrapNone/>
                <wp:docPr id="585" name="Straight Connector 585"/>
                <wp:cNvGraphicFramePr/>
                <a:graphic xmlns:a="http://schemas.openxmlformats.org/drawingml/2006/main">
                  <a:graphicData uri="http://schemas.microsoft.com/office/word/2010/wordprocessingShape">
                    <wps:wsp>
                      <wps:cNvCnPr/>
                      <wps:spPr>
                        <a:xfrm>
                          <a:off x="0" y="0"/>
                          <a:ext cx="4733925"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3FA9000" id="Straight Connector 585" o:spid="_x0000_s1026" style="position:absolute;left:0;text-align:left;z-index:25196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pt,.5pt" to="363.75pt,.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4gyvQEAAN4DAAAOAAAAZHJzL2Uyb0RvYy54bWysU8Fu3CAQvVfqPyDuXXs3SZta680hUXqp&#13;&#10;2qhtPoDgYY0EDAKy9v59B7xrR01VqVUvGIZ5b+Y9xtub0Rp2gBA1upavVzVn4CR22u1b/vjj/t01&#13;&#10;ZzEJ1wmDDlp+hMhvdm/fbAffwAZ7NB0ERiQuNoNveZ+Sb6oqyh6siCv04OhSYbAi0THsqy6Igdit&#13;&#10;qTZ1/b4aMHQ+oIQYKXo3XfJd4VcKZPqqVITETMupt1TWUNanvFa7rWj2Qfhey1Mb4h+6sEI7KjpT&#13;&#10;3Ykk2HPQr6islgEjqrSSaCtUSksoGkjNuv5FzfdeeChayJzoZ5vi/6OVXw637iGQDYOPTfQPIasY&#13;&#10;VbD5S/2xsZh1nM2CMTFJwcsPFxcfN1ecyfNdtQB9iOkToGV503KjXdYhGnH4HBMVo9RzSg4bx4aW&#13;&#10;b64u67qkRTS6u9fG5MsyC3BrAjsIesU0rvOrEcOLLDoZR8FFRNmlo4GJ/xsopjtqez0VyPO1cAop&#13;&#10;waUzr3GUnWGKOpiBp87+BDzlZyiU2fsb8IwoldGlGWy1w/C7thcr1JR/dmDSnS14wu5YnrdYQ0NU&#13;&#10;nDsNfJ7Sl+cCX37L3U8AAAD//wMAUEsDBBQABgAIAAAAIQCmnvDX3gAAAAwBAAAPAAAAZHJzL2Rv&#13;&#10;d25yZXYueG1sTI8xb8JADIX3SvyHk5G6wQUkCgq5IETVsQO0Q9lMziRpc76QOyD019ftQhdbT5/8&#13;&#10;/F626l2jLtSF2rOByTgBRVx4W3Np4P3tZbQAFSKyxcYzGbhRgFU+eMgwtf7KW7rsYqnEhEOKBqoY&#13;&#10;21TrUFTkMIx9Syzs6DuHUWRXatvhVcxdo6dJ8qQd1iwfKmxpU1HxtTs7A8fP0612dOJkH8LMfWzt&#13;&#10;t96/GvM47J+XMtZLUJH6eL+A3w6SH3IJdvBntkE1BkaThRSKAmQJn0/nM1CHP63zTP8vkf8AAAD/&#13;&#10;/wMAUEsBAi0AFAAGAAgAAAAhALaDOJL+AAAA4QEAABMAAAAAAAAAAAAAAAAAAAAAAFtDb250ZW50&#13;&#10;X1R5cGVzXS54bWxQSwECLQAUAAYACAAAACEAOP0h/9YAAACUAQAACwAAAAAAAAAAAAAAAAAvAQAA&#13;&#10;X3JlbHMvLnJlbHNQSwECLQAUAAYACAAAACEAm0+IMr0BAADeAwAADgAAAAAAAAAAAAAAAAAuAgAA&#13;&#10;ZHJzL2Uyb0RvYy54bWxQSwECLQAUAAYACAAAACEApp7w194AAAAMAQAADwAAAAAAAAAAAAAAAAAX&#13;&#10;BAAAZHJzL2Rvd25yZXYueG1sUEsFBgAAAAAEAAQA8wAAACIFAAAAAA==&#13;&#10;" strokecolor="black [3213]" strokeweight="2pt"/>
            </w:pict>
          </mc:Fallback>
        </mc:AlternateContent>
      </w:r>
      <w:r w:rsidRPr="00277A80">
        <w:rPr>
          <w:rStyle w:val="717Char0"/>
          <w:b/>
          <w:noProof/>
          <w:rtl/>
        </w:rPr>
        <mc:AlternateContent>
          <mc:Choice Requires="wps">
            <w:drawing>
              <wp:anchor distT="45720" distB="45720" distL="114300" distR="114300" simplePos="0" relativeHeight="251964928" behindDoc="0" locked="0" layoutInCell="1" allowOverlap="1" wp14:anchorId="36A49247" wp14:editId="628C74F9">
                <wp:simplePos x="0" y="0"/>
                <wp:positionH relativeFrom="column">
                  <wp:posOffset>60325</wp:posOffset>
                </wp:positionH>
                <wp:positionV relativeFrom="paragraph">
                  <wp:posOffset>17145</wp:posOffset>
                </wp:positionV>
                <wp:extent cx="4667250" cy="390525"/>
                <wp:effectExtent l="0" t="0" r="19050" b="28575"/>
                <wp:wrapSquare wrapText="bothSides"/>
                <wp:docPr id="5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0" cy="390525"/>
                        </a:xfrm>
                        <a:prstGeom prst="rect">
                          <a:avLst/>
                        </a:prstGeom>
                        <a:solidFill>
                          <a:srgbClr val="FFFFFF"/>
                        </a:solidFill>
                        <a:ln w="9525">
                          <a:solidFill>
                            <a:schemeClr val="bg1"/>
                          </a:solidFill>
                          <a:miter lim="800000"/>
                          <a:headEnd/>
                          <a:tailEnd/>
                        </a:ln>
                      </wps:spPr>
                      <wps:txbx>
                        <w:txbxContent>
                          <w:p w14:paraId="52B54D5A" w14:textId="77777777" w:rsidR="00C914A4" w:rsidRPr="00A25467" w:rsidRDefault="00C914A4" w:rsidP="00C914A4">
                            <w:pPr>
                              <w:pStyle w:val="216"/>
                              <w:rPr>
                                <w:rtl/>
                              </w:rPr>
                            </w:pPr>
                            <w:r>
                              <w:rPr>
                                <w:rFonts w:hint="cs"/>
                                <w:rtl/>
                              </w:rPr>
                              <w:t>עיקרי המלצות הביקורת</w:t>
                            </w:r>
                          </w:p>
                          <w:p w14:paraId="106544F9" w14:textId="77777777" w:rsidR="00C914A4" w:rsidRDefault="00C914A4" w:rsidP="00C914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A49247" id="_x0000_s1028" type="#_x0000_t202" style="position:absolute;left:0;text-align:left;margin-left:4.75pt;margin-top:1.35pt;width:367.5pt;height:30.75pt;z-index:25196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u+vGAIAACUEAAAOAAAAZHJzL2Uyb0RvYy54bWysU9tu2zAMfR+wfxD0vtjxkrQx4hRdugwD&#13;&#10;ugvQ7QNkWbaFyaImKbGzry8lu2nWvg3TgyCK0iF5eLi5GTpFjsI6Cbqg81lKidAcKqmbgv78sX93&#13;&#10;TYnzTFdMgRYFPQlHb7Zv32x6k4sMWlCVsARBtMt7U9DWe5MnieOt6JibgREanTXYjnk0bZNUlvWI&#13;&#10;3qkkS9NV0oOtjAUunMPbu9FJtxG/rgX33+raCU9UQTE3H3cb9zLsyXbD8sYy00o+pcH+IYuOSY1B&#13;&#10;z1B3zDNysPIVVCe5BQe1n3HoEqhryUWsAauZpy+qeWiZEbEWJMeZM03u/8Hyr8cH890SP3yAARsY&#13;&#10;i3DmHvgvRzTsWqYbcWst9K1gFQaeB8qS3rh8+hqodrkLIGX/BSpsMjt4iEBDbbvACtZJEB0bcDqT&#13;&#10;LgZPOF4uVqurbIkujr7363SZLWMIlj/9Ntb5TwI6Eg4FtdjUiM6O986HbFj+9CQEc6BktZdKRcM2&#13;&#10;5U5ZcmQogH1cE/pfz5QmfUHXIfZriKBFcQYpm5GCF4E66VHISnYFvU7DGqUVWPuoqygzz6Qaz5ix&#13;&#10;0hONgbmRQz+UA5FVQbPwN7BaQnVCXi2MusU5w0ML9g8lPWq2oO73gVlBifqssTfr+WIRRB6NxfIq&#13;&#10;Q8NeespLD9McoQrqKRmPOx8HIxCg4RZ7WMtI73MmU8qoxcj6NDdB7Jd2fPU83dtHAAAA//8DAFBL&#13;&#10;AwQUAAYACAAAACEAADCWDeAAAAALAQAADwAAAGRycy9kb3ducmV2LnhtbExPTU+DQBC9m/Q/bKaJ&#13;&#10;N7tIkFrK0jQ29maMaKrHhR2BlJ0l7LZFf73jSS8veXkz7yPfTLYXZxx950jB7SICgVQ701Gj4O31&#13;&#10;8eYehA+ajO4doYIv9LApZle5zoy70Auey9AINiGfaQVtCEMmpa9btNov3IDE2qcbrQ5Mx0aaUV/Y&#13;&#10;3PYyjqJUWt0RJ7R6wIcW62N5sgp8HaWH56Q8vFdyj98rY3Yf+yelrufTbs2wXYMIOIW/D/jdwP2h&#13;&#10;4GKVO5HxolewuuNDBfESBKvLJGFeKUiTGGSRy/8bih8AAAD//wMAUEsBAi0AFAAGAAgAAAAhALaD&#13;&#10;OJL+AAAA4QEAABMAAAAAAAAAAAAAAAAAAAAAAFtDb250ZW50X1R5cGVzXS54bWxQSwECLQAUAAYA&#13;&#10;CAAAACEAOP0h/9YAAACUAQAACwAAAAAAAAAAAAAAAAAvAQAAX3JlbHMvLnJlbHNQSwECLQAUAAYA&#13;&#10;CAAAACEAc17vrxgCAAAlBAAADgAAAAAAAAAAAAAAAAAuAgAAZHJzL2Uyb0RvYy54bWxQSwECLQAU&#13;&#10;AAYACAAAACEAADCWDeAAAAALAQAADwAAAAAAAAAAAAAAAAByBAAAZHJzL2Rvd25yZXYueG1sUEsF&#13;&#10;BgAAAAAEAAQA8wAAAH8FAAAAAA==&#13;&#10;" strokecolor="white [3212]">
                <v:textbox>
                  <w:txbxContent>
                    <w:p w14:paraId="52B54D5A" w14:textId="77777777" w:rsidR="00C914A4" w:rsidRPr="00A25467" w:rsidRDefault="00C914A4" w:rsidP="00C914A4">
                      <w:pPr>
                        <w:pStyle w:val="216"/>
                        <w:rPr>
                          <w:rtl/>
                        </w:rPr>
                      </w:pPr>
                      <w:r>
                        <w:rPr>
                          <w:rFonts w:hint="cs"/>
                          <w:rtl/>
                        </w:rPr>
                        <w:t>עיקרי המלצות הביקורת</w:t>
                      </w:r>
                    </w:p>
                    <w:p w14:paraId="106544F9" w14:textId="77777777" w:rsidR="00C914A4" w:rsidRDefault="00C914A4" w:rsidP="00C914A4"/>
                  </w:txbxContent>
                </v:textbox>
                <w10:wrap type="square"/>
              </v:shape>
            </w:pict>
          </mc:Fallback>
        </mc:AlternateContent>
      </w:r>
      <w:r w:rsidR="00190CB1" w:rsidRPr="009104BE">
        <w:rPr>
          <w:rtl/>
        </w:rPr>
        <w:t>מומלץ כי משרד האוצר יגבש תוכנית רב-שנתית לצורך הפחתת הגירעון לרמות שתוכננו לפני משבר הקורונה</w:t>
      </w:r>
      <w:r w:rsidRPr="003A3978">
        <w:rPr>
          <w:rtl/>
        </w:rPr>
        <w:t>.</w:t>
      </w:r>
    </w:p>
    <w:p w14:paraId="4886D1DB" w14:textId="576D7BB5" w:rsidR="00C914A4" w:rsidRPr="003A3978" w:rsidRDefault="00C914A4" w:rsidP="00C914A4">
      <w:pPr>
        <w:pStyle w:val="71f3"/>
      </w:pPr>
      <w:r w:rsidRPr="00277A80">
        <w:rPr>
          <w:rStyle w:val="717Char0"/>
          <w:noProof/>
        </w:rPr>
        <w:drawing>
          <wp:anchor distT="0" distB="3600450" distL="114300" distR="114300" simplePos="0" relativeHeight="251966976" behindDoc="0" locked="0" layoutInCell="1" allowOverlap="1" wp14:anchorId="417063BA" wp14:editId="0FAEA64C">
            <wp:simplePos x="0" y="0"/>
            <wp:positionH relativeFrom="column">
              <wp:posOffset>4539615</wp:posOffset>
            </wp:positionH>
            <wp:positionV relativeFrom="paragraph">
              <wp:posOffset>4396</wp:posOffset>
            </wp:positionV>
            <wp:extent cx="140335" cy="161925"/>
            <wp:effectExtent l="0" t="0" r="0" b="3175"/>
            <wp:wrapSquare wrapText="bothSides"/>
            <wp:docPr id="586"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תמונה 3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40335" cy="16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0CB1" w:rsidRPr="009104BE">
        <w:rPr>
          <w:rtl/>
        </w:rPr>
        <w:t xml:space="preserve">מומלץ כי בהתאם להחלטת הממשלה, שר האוצר, בשיתוף אגף </w:t>
      </w:r>
      <w:proofErr w:type="spellStart"/>
      <w:r w:rsidR="00190CB1" w:rsidRPr="009104BE">
        <w:rPr>
          <w:rtl/>
        </w:rPr>
        <w:t>החשכ"ל</w:t>
      </w:r>
      <w:proofErr w:type="spellEnd"/>
      <w:r w:rsidR="00190CB1" w:rsidRPr="009104BE">
        <w:rPr>
          <w:rtl/>
        </w:rPr>
        <w:t>, יקבע מודל תמריצים חיוביים ושליליים למשרדי הממשלה לשם גביית חובות</w:t>
      </w:r>
      <w:r w:rsidRPr="003A3978">
        <w:rPr>
          <w:rtl/>
        </w:rPr>
        <w:t>.</w:t>
      </w:r>
      <w:r w:rsidRPr="003A3978">
        <w:rPr>
          <w:rFonts w:hint="cs"/>
          <w:rtl/>
        </w:rPr>
        <w:t xml:space="preserve"> </w:t>
      </w:r>
    </w:p>
    <w:p w14:paraId="772DA4AF" w14:textId="7804CE02" w:rsidR="00C914A4" w:rsidRPr="00003EBB" w:rsidRDefault="00C914A4" w:rsidP="00C914A4">
      <w:pPr>
        <w:pStyle w:val="71f3"/>
        <w:rPr>
          <w:rtl/>
        </w:rPr>
      </w:pPr>
      <w:r w:rsidRPr="00277A80">
        <w:rPr>
          <w:rStyle w:val="717Char0"/>
          <w:noProof/>
        </w:rPr>
        <w:drawing>
          <wp:anchor distT="0" distB="3600450" distL="114300" distR="114300" simplePos="0" relativeHeight="251969024" behindDoc="0" locked="0" layoutInCell="1" allowOverlap="1" wp14:anchorId="3A2E6F47" wp14:editId="226FBD14">
            <wp:simplePos x="0" y="0"/>
            <wp:positionH relativeFrom="column">
              <wp:posOffset>4539615</wp:posOffset>
            </wp:positionH>
            <wp:positionV relativeFrom="paragraph">
              <wp:posOffset>9525</wp:posOffset>
            </wp:positionV>
            <wp:extent cx="140335" cy="161925"/>
            <wp:effectExtent l="0" t="0" r="0" b="9525"/>
            <wp:wrapSquare wrapText="bothSides"/>
            <wp:docPr id="589"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תמונה 3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40335" cy="16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0CB1" w:rsidRPr="009104BE">
        <w:rPr>
          <w:rtl/>
        </w:rPr>
        <w:t xml:space="preserve">נוכח חשיבות המידע הכלול בדוחות הנפרדים של משרדי הממשלה (דוחות הסולו), מומלץ כי אגף </w:t>
      </w:r>
      <w:proofErr w:type="spellStart"/>
      <w:r w:rsidR="00190CB1" w:rsidRPr="009104BE">
        <w:rPr>
          <w:rtl/>
        </w:rPr>
        <w:t>החשכ"ל</w:t>
      </w:r>
      <w:proofErr w:type="spellEnd"/>
      <w:r w:rsidR="00190CB1" w:rsidRPr="009104BE">
        <w:rPr>
          <w:rtl/>
        </w:rPr>
        <w:t xml:space="preserve"> יפרסם דוחות אלה באתר המרשתת (האינטרנט) שלו</w:t>
      </w:r>
      <w:r w:rsidRPr="00003EBB">
        <w:rPr>
          <w:rtl/>
        </w:rPr>
        <w:t>.</w:t>
      </w:r>
    </w:p>
    <w:p w14:paraId="2D13BD85" w14:textId="3E366B44" w:rsidR="00C914A4" w:rsidRPr="00577C64" w:rsidRDefault="00C914A4" w:rsidP="00C914A4">
      <w:pPr>
        <w:pStyle w:val="71f3"/>
      </w:pPr>
      <w:r w:rsidRPr="00277A80">
        <w:rPr>
          <w:rStyle w:val="717Char0"/>
          <w:noProof/>
        </w:rPr>
        <w:drawing>
          <wp:anchor distT="0" distB="3600450" distL="114300" distR="114300" simplePos="0" relativeHeight="251970048" behindDoc="0" locked="0" layoutInCell="1" allowOverlap="1" wp14:anchorId="33B56A47" wp14:editId="51BB009B">
            <wp:simplePos x="0" y="0"/>
            <wp:positionH relativeFrom="column">
              <wp:posOffset>4539615</wp:posOffset>
            </wp:positionH>
            <wp:positionV relativeFrom="paragraph">
              <wp:posOffset>28575</wp:posOffset>
            </wp:positionV>
            <wp:extent cx="140335" cy="161925"/>
            <wp:effectExtent l="0" t="0" r="0" b="9525"/>
            <wp:wrapSquare wrapText="bothSides"/>
            <wp:docPr id="590"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תמונה 3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40335" cy="16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0CB1" w:rsidRPr="009104BE">
        <w:rPr>
          <w:rtl/>
        </w:rPr>
        <w:t xml:space="preserve">מומלץ כי אגף </w:t>
      </w:r>
      <w:proofErr w:type="spellStart"/>
      <w:r w:rsidR="00190CB1" w:rsidRPr="009104BE">
        <w:rPr>
          <w:rtl/>
        </w:rPr>
        <w:t>החשכ"ל</w:t>
      </w:r>
      <w:proofErr w:type="spellEnd"/>
      <w:r w:rsidR="00190CB1" w:rsidRPr="009104BE">
        <w:rPr>
          <w:rtl/>
        </w:rPr>
        <w:t xml:space="preserve"> יפעל להשלמת הפתרון של מערכת גבייה רוחבית שתשקף תמונת מצב מהימנה בנוגע למצבת החייבים במשרדי הממשלה ותמצה את פוטנציאל הגבייה של הממשלה. עוד מומלץ כי אגף </w:t>
      </w:r>
      <w:proofErr w:type="spellStart"/>
      <w:r w:rsidR="00190CB1" w:rsidRPr="009104BE">
        <w:rPr>
          <w:rtl/>
        </w:rPr>
        <w:t>החשכ"ל</w:t>
      </w:r>
      <w:proofErr w:type="spellEnd"/>
      <w:r w:rsidR="00190CB1" w:rsidRPr="009104BE">
        <w:rPr>
          <w:rtl/>
        </w:rPr>
        <w:t xml:space="preserve"> ישלים, בשיתוף </w:t>
      </w:r>
      <w:proofErr w:type="spellStart"/>
      <w:r w:rsidR="00190CB1" w:rsidRPr="009104BE">
        <w:rPr>
          <w:rtl/>
        </w:rPr>
        <w:t>המג"ק</w:t>
      </w:r>
      <w:proofErr w:type="spellEnd"/>
      <w:r w:rsidR="00190CB1" w:rsidRPr="009104BE">
        <w:rPr>
          <w:rtl/>
        </w:rPr>
        <w:t>, את ההסדרה בנושא ייעול הגבייה הממשלתית בתחום האגרות המקצועיות</w:t>
      </w:r>
      <w:r>
        <w:rPr>
          <w:rFonts w:hint="cs"/>
          <w:rtl/>
        </w:rPr>
        <w:t>.</w:t>
      </w:r>
    </w:p>
    <w:p w14:paraId="4F7E0D38" w14:textId="4F0F6DDA" w:rsidR="00C914A4" w:rsidRPr="003A3978" w:rsidRDefault="00C914A4" w:rsidP="00C914A4">
      <w:pPr>
        <w:pStyle w:val="71f3"/>
      </w:pPr>
      <w:r w:rsidRPr="00277A80">
        <w:rPr>
          <w:rStyle w:val="717Char0"/>
          <w:noProof/>
        </w:rPr>
        <w:drawing>
          <wp:anchor distT="0" distB="3600450" distL="114300" distR="114300" simplePos="0" relativeHeight="251972096" behindDoc="0" locked="0" layoutInCell="1" allowOverlap="1" wp14:anchorId="23771E32" wp14:editId="2BCE16F8">
            <wp:simplePos x="0" y="0"/>
            <wp:positionH relativeFrom="column">
              <wp:posOffset>4539615</wp:posOffset>
            </wp:positionH>
            <wp:positionV relativeFrom="paragraph">
              <wp:posOffset>4396</wp:posOffset>
            </wp:positionV>
            <wp:extent cx="140335" cy="161925"/>
            <wp:effectExtent l="0" t="0" r="0" b="3175"/>
            <wp:wrapSquare wrapText="bothSides"/>
            <wp:docPr id="24785183"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תמונה 3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40335" cy="16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0CB1" w:rsidRPr="009104BE">
        <w:rPr>
          <w:rtl/>
        </w:rPr>
        <w:t xml:space="preserve">מומלץ כי רשות האכיפה והגבייה, </w:t>
      </w:r>
      <w:proofErr w:type="spellStart"/>
      <w:r w:rsidR="00190CB1" w:rsidRPr="009104BE">
        <w:rPr>
          <w:rtl/>
        </w:rPr>
        <w:t>מינהלת</w:t>
      </w:r>
      <w:proofErr w:type="spellEnd"/>
      <w:r w:rsidR="00190CB1" w:rsidRPr="009104BE">
        <w:rPr>
          <w:rtl/>
        </w:rPr>
        <w:t xml:space="preserve"> היישום ואגף </w:t>
      </w:r>
      <w:proofErr w:type="spellStart"/>
      <w:r w:rsidR="00190CB1" w:rsidRPr="009104BE">
        <w:rPr>
          <w:rtl/>
        </w:rPr>
        <w:t>החשכ"ל</w:t>
      </w:r>
      <w:proofErr w:type="spellEnd"/>
      <w:r w:rsidR="00190CB1" w:rsidRPr="009104BE">
        <w:rPr>
          <w:rtl/>
        </w:rPr>
        <w:t xml:space="preserve"> יבחנו הקמה של מערך ממוחשב להעברת החובות </w:t>
      </w:r>
      <w:proofErr w:type="spellStart"/>
      <w:r w:rsidR="00190CB1" w:rsidRPr="009104BE">
        <w:rPr>
          <w:rtl/>
        </w:rPr>
        <w:t>למינהל</w:t>
      </w:r>
      <w:proofErr w:type="spellEnd"/>
      <w:r w:rsidR="00190CB1" w:rsidRPr="009104BE">
        <w:rPr>
          <w:rtl/>
        </w:rPr>
        <w:t xml:space="preserve"> הגבייה הממשלתי. מערך מעין זה עשוי למנוע טעויות אפשריות ולחסוך זמן ומשאבים בעת העברת החובות</w:t>
      </w:r>
      <w:r w:rsidRPr="003A3978">
        <w:rPr>
          <w:rtl/>
        </w:rPr>
        <w:t>.</w:t>
      </w:r>
      <w:r w:rsidRPr="003A3978">
        <w:rPr>
          <w:rFonts w:hint="cs"/>
          <w:rtl/>
        </w:rPr>
        <w:t xml:space="preserve"> </w:t>
      </w:r>
    </w:p>
    <w:p w14:paraId="7A1D4C05" w14:textId="77777777" w:rsidR="00C914A4" w:rsidRDefault="00C914A4" w:rsidP="00B26350">
      <w:pPr>
        <w:pStyle w:val="71f3"/>
        <w:rPr>
          <w:rtl/>
        </w:rPr>
      </w:pPr>
      <w:r w:rsidRPr="00277A80">
        <w:rPr>
          <w:rStyle w:val="717Char0"/>
          <w:noProof/>
        </w:rPr>
        <w:drawing>
          <wp:anchor distT="0" distB="3600450" distL="114300" distR="114300" simplePos="0" relativeHeight="251973120" behindDoc="0" locked="0" layoutInCell="1" allowOverlap="1" wp14:anchorId="1C53E16B" wp14:editId="58FB779F">
            <wp:simplePos x="0" y="0"/>
            <wp:positionH relativeFrom="column">
              <wp:posOffset>4539615</wp:posOffset>
            </wp:positionH>
            <wp:positionV relativeFrom="paragraph">
              <wp:posOffset>9525</wp:posOffset>
            </wp:positionV>
            <wp:extent cx="140335" cy="161925"/>
            <wp:effectExtent l="0" t="0" r="0" b="9525"/>
            <wp:wrapSquare wrapText="bothSides"/>
            <wp:docPr id="24785184"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תמונה 3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40335" cy="16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0CB1" w:rsidRPr="009104BE">
        <w:rPr>
          <w:rtl/>
        </w:rPr>
        <w:t xml:space="preserve">מומלץ כי אגף </w:t>
      </w:r>
      <w:proofErr w:type="spellStart"/>
      <w:r w:rsidR="00190CB1" w:rsidRPr="009104BE">
        <w:rPr>
          <w:rtl/>
        </w:rPr>
        <w:t>החשכ"ל</w:t>
      </w:r>
      <w:proofErr w:type="spellEnd"/>
      <w:r w:rsidR="00190CB1" w:rsidRPr="009104BE">
        <w:rPr>
          <w:rtl/>
        </w:rPr>
        <w:t xml:space="preserve"> ורשות האכיפה והגבייה ימשיכו לשפר את שיתוף הפעולה בין משרדי הממשלה לגופי האכיפה, בין היתר באמצעות חתימה על מסמך אמנת השירות וקידום הקמת ועד מנהל שיקיף את כלל פעילות הגבייה הממשלתית, כדי שגביית החובות עבור המדינה תתבצע בצורה היעילה ביותר</w:t>
      </w:r>
      <w:r w:rsidRPr="00003EBB">
        <w:rPr>
          <w:rtl/>
        </w:rPr>
        <w:t>.</w:t>
      </w:r>
    </w:p>
    <w:p w14:paraId="79B707A0" w14:textId="2A4CB99D" w:rsidR="00190CB1" w:rsidRPr="003A3978" w:rsidRDefault="00190CB1" w:rsidP="00190CB1">
      <w:pPr>
        <w:pStyle w:val="71f3"/>
      </w:pPr>
      <w:r w:rsidRPr="00277A80">
        <w:rPr>
          <w:rStyle w:val="717Char0"/>
          <w:noProof/>
        </w:rPr>
        <w:drawing>
          <wp:anchor distT="0" distB="3600450" distL="114300" distR="114300" simplePos="0" relativeHeight="251998720" behindDoc="0" locked="0" layoutInCell="1" allowOverlap="1" wp14:anchorId="7DAC8207" wp14:editId="5E053EF4">
            <wp:simplePos x="0" y="0"/>
            <wp:positionH relativeFrom="column">
              <wp:posOffset>4539615</wp:posOffset>
            </wp:positionH>
            <wp:positionV relativeFrom="paragraph">
              <wp:posOffset>4396</wp:posOffset>
            </wp:positionV>
            <wp:extent cx="140335" cy="161925"/>
            <wp:effectExtent l="0" t="0" r="0" b="3175"/>
            <wp:wrapSquare wrapText="bothSides"/>
            <wp:docPr id="24785174"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תמונה 3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40335" cy="16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04BE">
        <w:rPr>
          <w:rtl/>
        </w:rPr>
        <w:t xml:space="preserve">מומלץ כי אגף </w:t>
      </w:r>
      <w:proofErr w:type="spellStart"/>
      <w:r w:rsidRPr="009104BE">
        <w:rPr>
          <w:rtl/>
        </w:rPr>
        <w:t>החשכ"ל</w:t>
      </w:r>
      <w:proofErr w:type="spellEnd"/>
      <w:r w:rsidRPr="009104BE">
        <w:rPr>
          <w:rtl/>
        </w:rPr>
        <w:t xml:space="preserve"> יעקוב אחר סכום ההפרשה לחובות מסופקים ואחר שיעורו של סכום זה מסעיף חייבים ויתרות חובה, יבחן את המשמעויות של נתונים אלו ויפעל להקטנתם ככל שניתן</w:t>
      </w:r>
      <w:r w:rsidRPr="003A3978">
        <w:rPr>
          <w:rtl/>
        </w:rPr>
        <w:t>.</w:t>
      </w:r>
      <w:r w:rsidRPr="003A3978">
        <w:rPr>
          <w:rFonts w:hint="cs"/>
          <w:rtl/>
        </w:rPr>
        <w:t xml:space="preserve"> </w:t>
      </w:r>
    </w:p>
    <w:p w14:paraId="3CC61AEA" w14:textId="50FA477D" w:rsidR="00190CB1" w:rsidRPr="00190CB1" w:rsidRDefault="00190CB1" w:rsidP="00B26350">
      <w:pPr>
        <w:pStyle w:val="71f3"/>
        <w:rPr>
          <w:rtl/>
        </w:rPr>
        <w:sectPr w:rsidR="00190CB1" w:rsidRPr="00190CB1" w:rsidSect="005A603C">
          <w:footerReference w:type="even" r:id="rId24"/>
          <w:footerReference w:type="default" r:id="rId25"/>
          <w:headerReference w:type="first" r:id="rId26"/>
          <w:footerReference w:type="first" r:id="rId27"/>
          <w:pgSz w:w="11906" w:h="16838" w:code="9"/>
          <w:pgMar w:top="3062" w:right="2268" w:bottom="2552" w:left="2268" w:header="1134" w:footer="1361" w:gutter="0"/>
          <w:pgNumType w:start="959"/>
          <w:cols w:space="708"/>
          <w:bidi/>
          <w:rtlGutter/>
          <w:docGrid w:linePitch="360"/>
        </w:sectPr>
      </w:pPr>
    </w:p>
    <w:p w14:paraId="7C4B2BA3" w14:textId="223248A2" w:rsidR="0078740E" w:rsidRPr="0078740E" w:rsidRDefault="00211C85" w:rsidP="00211C85">
      <w:pPr>
        <w:pStyle w:val="71c"/>
        <w:bidi w:val="0"/>
        <w:spacing w:before="360"/>
        <w:jc w:val="right"/>
        <w:rPr>
          <w:rtl/>
        </w:rPr>
      </w:pPr>
      <w:r w:rsidRPr="008E070D">
        <w:rPr>
          <w:noProof/>
        </w:rPr>
        <w:lastRenderedPageBreak/>
        <w:drawing>
          <wp:anchor distT="0" distB="0" distL="114300" distR="114300" simplePos="0" relativeHeight="252058112" behindDoc="1" locked="0" layoutInCell="1" allowOverlap="1" wp14:anchorId="7D279829" wp14:editId="0C15B34B">
            <wp:simplePos x="0" y="0"/>
            <wp:positionH relativeFrom="column">
              <wp:posOffset>54610</wp:posOffset>
            </wp:positionH>
            <wp:positionV relativeFrom="paragraph">
              <wp:posOffset>767598</wp:posOffset>
            </wp:positionV>
            <wp:extent cx="4677410" cy="3150235"/>
            <wp:effectExtent l="0" t="0" r="0" b="0"/>
            <wp:wrapTopAndBottom/>
            <wp:docPr id="24785175" name="תמונה 2478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5175" name="תמונה 24785175"/>
                    <pic:cNvPicPr/>
                  </pic:nvPicPr>
                  <pic:blipFill>
                    <a:blip r:embed="rId28">
                      <a:extLst>
                        <a:ext uri="{28A0092B-C50C-407E-A947-70E740481C1C}">
                          <a14:useLocalDpi xmlns:a14="http://schemas.microsoft.com/office/drawing/2010/main" val="0"/>
                        </a:ext>
                      </a:extLst>
                    </a:blip>
                    <a:stretch>
                      <a:fillRect/>
                    </a:stretch>
                  </pic:blipFill>
                  <pic:spPr bwMode="auto">
                    <a:xfrm>
                      <a:off x="0" y="0"/>
                      <a:ext cx="4677410" cy="3150235"/>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C1D24">
        <w:rPr>
          <w:noProof/>
          <w:rtl/>
        </w:rPr>
        <mc:AlternateContent>
          <mc:Choice Requires="wpg">
            <w:drawing>
              <wp:anchor distT="0" distB="0" distL="114300" distR="114300" simplePos="0" relativeHeight="252002816" behindDoc="0" locked="0" layoutInCell="1" allowOverlap="1" wp14:anchorId="1A63A043" wp14:editId="16E218F3">
                <wp:simplePos x="0" y="0"/>
                <wp:positionH relativeFrom="margin">
                  <wp:posOffset>29210</wp:posOffset>
                </wp:positionH>
                <wp:positionV relativeFrom="paragraph">
                  <wp:posOffset>1905</wp:posOffset>
                </wp:positionV>
                <wp:extent cx="4787900" cy="640080"/>
                <wp:effectExtent l="0" t="0" r="0" b="0"/>
                <wp:wrapSquare wrapText="bothSides"/>
                <wp:docPr id="24785176" name="Group 2052770959"/>
                <wp:cNvGraphicFramePr/>
                <a:graphic xmlns:a="http://schemas.openxmlformats.org/drawingml/2006/main">
                  <a:graphicData uri="http://schemas.microsoft.com/office/word/2010/wordprocessingGroup">
                    <wpg:wgp>
                      <wpg:cNvGrpSpPr/>
                      <wpg:grpSpPr>
                        <a:xfrm>
                          <a:off x="0" y="0"/>
                          <a:ext cx="4787900" cy="640080"/>
                          <a:chOff x="0" y="108021"/>
                          <a:chExt cx="4787900" cy="641738"/>
                        </a:xfrm>
                      </wpg:grpSpPr>
                      <pic:pic xmlns:pic="http://schemas.openxmlformats.org/drawingml/2006/picture">
                        <pic:nvPicPr>
                          <pic:cNvPr id="24785177" name="Picture 2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108021"/>
                            <a:ext cx="4787900" cy="641738"/>
                          </a:xfrm>
                          <a:prstGeom prst="rect">
                            <a:avLst/>
                          </a:prstGeom>
                        </pic:spPr>
                      </pic:pic>
                      <wps:wsp>
                        <wps:cNvPr id="24785178" name="Text Box 2"/>
                        <wps:cNvSpPr txBox="1">
                          <a:spLocks noChangeArrowheads="1"/>
                        </wps:cNvSpPr>
                        <wps:spPr bwMode="auto">
                          <a:xfrm>
                            <a:off x="276225" y="187994"/>
                            <a:ext cx="4428490" cy="384960"/>
                          </a:xfrm>
                          <a:prstGeom prst="rect">
                            <a:avLst/>
                          </a:prstGeom>
                          <a:solidFill>
                            <a:srgbClr val="F05260"/>
                          </a:solidFill>
                          <a:ln w="9525">
                            <a:noFill/>
                            <a:miter lim="800000"/>
                            <a:headEnd/>
                            <a:tailEnd/>
                          </a:ln>
                        </wps:spPr>
                        <wps:txbx>
                          <w:txbxContent>
                            <w:p w14:paraId="7FBCA7DD" w14:textId="38632F05" w:rsidR="0078740E" w:rsidRPr="00211C85" w:rsidRDefault="00211C85" w:rsidP="00211C85">
                              <w:pPr>
                                <w:pStyle w:val="71fc"/>
                                <w:spacing w:before="0"/>
                                <w:rPr>
                                  <w:b w:val="0"/>
                                  <w:bCs/>
                                </w:rPr>
                              </w:pPr>
                              <w:r w:rsidRPr="00377FEE">
                                <w:rPr>
                                  <w:bCs/>
                                  <w:rtl/>
                                </w:rPr>
                                <w:t xml:space="preserve">שיעור חייבים ויתרות חובה מכלל התמ"ג </w:t>
                              </w:r>
                            </w:p>
                          </w:txbxContent>
                        </wps:txbx>
                        <wps:bodyPr rot="0" vert="horz" wrap="square" lIns="91440" tIns="45720" rIns="91440" bIns="45720" anchor="ctr" anchorCtr="0">
                          <a:noAutofit/>
                        </wps:bodyPr>
                      </wps:wsp>
                    </wpg:wgp>
                  </a:graphicData>
                </a:graphic>
                <wp14:sizeRelV relativeFrom="margin">
                  <wp14:pctHeight>0</wp14:pctHeight>
                </wp14:sizeRelV>
              </wp:anchor>
            </w:drawing>
          </mc:Choice>
          <mc:Fallback>
            <w:pict>
              <v:group w14:anchorId="1A63A043" id="Group 2052770959" o:spid="_x0000_s1029" style="position:absolute;left:0;text-align:left;margin-left:2.3pt;margin-top:.15pt;width:377pt;height:50.4pt;z-index:252002816;mso-position-horizontal-relative:margin;mso-height-relative:margin" coordorigin=",1080" coordsize="47879,641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o7xNTwMAAK4HAAAOAAAAZHJzL2Uyb0RvYy54bWycVdtu3DYQfS/QfyD4&#13;&#10;HuviXe+uYDlI7dgIkLZGk34ARVErIhLJktzVOl/fQ0rea4I2MWDtjDgcnjlzRrx9u+s7shXWSa1K&#13;&#10;ml2llAjFdS3VuqR/f358s6TEeaZq1mklSvoiHH179+svt4MpRK5b3dXCEiRRrhhMSVvvTZEkjrei&#13;&#10;Z+5KG6Gw2GjbMw/XrpPasgHZ+y7J0/QmGbStjdVcOIe3D+MivYv5m0Zw/2fTOOFJV1Jg8/Fp47MK&#13;&#10;z+TulhVry0wr+QSD/QSKnkmFQ/epHphnZGPlRapecqudbvwV132im0ZyEWtANVl6Vs2T1RsTa1kX&#13;&#10;w9rsaQK1Zzz9dFr+x/bJmk/m2YKJwazBRfRCLbvG9uEXKMkuUvayp0zsPOF4OVssF6sUzHKs3czS&#13;&#10;dDlxylsQf9iWYSHPRrp5+/7bu7PF9TKEJK9nJyeIjOQF/icaYF3Q8N9ywS6/sYJOSfr/laNn9svG&#13;&#10;vEHHDPOykp30L1F96E0ApbbPkj/b0QGjz5bIuqQ5yJlniwUlivXQPoLC2SS/DkWGjSF23MlCZR81&#13;&#10;/+KI0vctU2vxzhnIF0MVKTkNT4J7cmzVSfMouy40LNhTgZD6mVS+wdEowwfNN71QfpwrKzrUqpVr&#13;&#10;pXGU2EL0lUBR9kOdoduYaY+SjJXKj1113grP23B+Axx/AfvYyv1CBH3AGUpwEN53pXasme/o7UIx&#13;&#10;4NE6/yR0T4IBvMCBNrGCbT+6CdFrCJR2ABFNuGEM8C1yrwzCu+Dwh8btU8uMAISQ9kIc+DyO4vgc&#13;&#10;KvxN70ge6Jxiw1wSv8PrIINQhTNnIrFWD61gNUCOQjnaOuYJHJNq+F3XaBjbeB0TnQ13vrjJ8zkl&#13;&#10;mOIME72ajU3d0z7Ll7PVNObXMG/imO8H9QdpRx26k/WrXp1dV/edJVuGr/RjOs/32U/COkWGkq7m&#13;&#10;wBmoUDrsB1ms6KXHLdLJvqTLNPyN6AMv71UdQzyT3WgDdKfQ+kDUqL9g+V21i1MbhzO8qXT9Auas&#13;&#10;hopQOS45GK22XykZcGGU1P2zYeFT0n1QYH+VzWbhhonObL7I4djjlep4hSmOVCXl3lIyOvc+3ktj&#13;&#10;ae/Qp0ZGvR6wTKChzWjFSwHWya1z7MeowzV79y8AAAD//wMAUEsDBAoAAAAAAAAAIQBfYmi7WQQA&#13;&#10;AFkEAAAUAAAAZHJzL21lZGlhL2ltYWdlMS5wbmeJUE5HDQoaCgAAAA1JSERSAAAEZgAAAKwIAwAA&#13;&#10;AA6rWgAAAAABc1JHQgCuzhzpAAAABGdBTUEAALGPC/xhBQAAALRQTFRFAAAA/wAA/0lJvwAgvwBA&#13;&#10;qgAcqgA5qhw5xgA54zk5mQAzswAzvxUrsRQn605O7TdJzDNEvyBA8UdVvBs2whg980lVrhc6uRc6&#13;&#10;xRc66EZRvBY3whQ9vRM5vRxC9klbuRo+70pa71Bg90hY91BY8E1V8E1d8U5c8kpXvSE97U9cviNB&#13;&#10;yzBHviNDviREviRDvyRDvSRDviRDviREviRDvyRDviRDwCRD71FfviRD71FfvyVE8FJgecjFfAAA&#13;&#10;ADp0Uk5TAAEHCAgJCQkJCQoKDA0NDg8QEhMVFRYWFhYXGRsbHB0fICAgISEkJjY6O0/r7vr6+/v7&#13;&#10;/Pz9/f3+/s7BbFgAAAAJcEhZcwAAIdUAACHVAQSctJ0AAALoSURBVHhe7dvHdtRAEIbRNjnnHE0G&#13;&#10;kzGZ938vwNTBZiyO1Zr+d/eupOrq7bfQnGkAAAAAAAAAAAAAAAAAAAAs9gNgHS8qJv9XiwDLyAwQ&#13;&#10;JjNAmMwAYTIDhMkMECYzQJjMAGEyA4TJDBAmM0CYzABhMgOEyQwQJjNAmMwAYTIDhMkMECYzQJjM&#13;&#10;AGEyA4TJDBAmM0CYzABhMgOEyQwQJjNAmMwAYTIDhMkMECYzQJjMAGEyA4TJDBAmM0CYzABhMgOE&#13;&#10;yQwQJjNAmMwAYTIDhMkMECYzQJjMAGEyA4TJDBAmM0CYzABhMgOEyQwQJjNAmMwAYTIDhMkMECYz&#13;&#10;QJjMAGEyA4TJDBAmM0CYzABhMgOEyQwQJjNAmMwAYTIDhMkMECYzQJjMAGEyA4TJDBAmM0CYzABh&#13;&#10;MgOEyQwQJjNAmMwAYTIDhMkMECYzQJjMAGEyA4TJDBAmM0CYzABhMgOEyQwQJjNAmMwAYTIDhMkM&#13;&#10;ECYzQJjMAGEyA4TJDBAmM0CYzABhMgOEyQwQJjNA2MGZeVKbAIscnJn2rFYBlpiRmbZZuwALzMlM&#13;&#10;O/eltgG6zcpMO1nbAN3mZabdq3WAXjMz057WPkCnuZlpD+oCQJ/ZmWmXfAcGlpifmbbxre4AdOjI&#13;&#10;TLtadwA69GSmPapLAPN1ZaY9rlsAs/Vlpt30fQbo1JmZtuH3JqBPb2ba+boIME93ZvzvAOjTn5n2&#13;&#10;sK4CzLEgM+3QJsB+L19PeXWh0gGwrq3vE7ZP1ynA2iYzc7YOAdY3lZk7dQYwwERm7tcRwAj7MvPx&#13;&#10;cp0ADLGamQ+n6gBgjJXMfD5ac4BBVjJzpcYAo/ybmbs1BRhmb2Y+XashwDh7MvPmWM0ABtrNzPaJ&#13;&#10;GgGMtJuZizUBGOpvZm7XAGCsyszXG/UOMNifzLw9XK8Ao+1k5r3fmICYncwcrxeA8X5n5no9AwT8&#13;&#10;ysytegRI2Hp3pp4AIp4fqQcAAAAAAAAAAAAAAAAAAAAAAAAIa+0nc77Q7MfOa0IAAAAASUVORK5C&#13;&#10;YIJQSwMEFAAGAAgAAAAhAOEoiy7gAAAACwEAAA8AAABkcnMvZG93bnJldi54bWxMT8tqwzAQvBf6&#13;&#10;D2ILvTWymiYNjuUQ0scpBJoUSm8ba2ObWJKxFNv5+25P7WVhmMfOZKvRNqKnLtTeaVCTBAS5wpva&#13;&#10;lRo+D28PCxAhojPYeEcarhRgld/eZJgaP7gP6vexFBziQooaqhjbVMpQVGQxTHxLjrmT7yxGhl0p&#13;&#10;TYcDh9tGPibJXFqsHX+osKVNRcV5f7Ea3gcc1lP12m/Pp831+zDbfW0VaX1/N74s+ayXICKN8c8B&#13;&#10;vxu4P+Rc7OgvzgTRaHias1DDFASTz7MFwyOrEqVA5pn8vyH/AQ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QItABQABgAIAAAAIQCxgme2CgEAABMCAAATAAAAAAAAAAAAAAAAAAAAAABbQ29udGVudF9U&#13;&#10;eXBlc10ueG1sUEsBAi0AFAAGAAgAAAAhADj9If/WAAAAlAEAAAsAAAAAAAAAAAAAAAAAOwEAAF9y&#13;&#10;ZWxzLy5yZWxzUEsBAi0AFAAGAAgAAAAhAMajvE1PAwAArgcAAA4AAAAAAAAAAAAAAAAAOgIAAGRy&#13;&#10;cy9lMm9Eb2MueG1sUEsBAi0ACgAAAAAAAAAhAF9iaLtZBAAAWQQAABQAAAAAAAAAAAAAAAAAtQUA&#13;&#10;AGRycy9tZWRpYS9pbWFnZTEucG5nUEsBAi0AFAAGAAgAAAAhAOEoiy7gAAAACwEAAA8AAAAAAAAA&#13;&#10;AAAAAAAAQAoAAGRycy9kb3ducmV2LnhtbFBLAQItABQABgAIAAAAIQCqJg6+vAAAACEBAAAZAAAA&#13;&#10;AAAAAAAAAAAAAE0LAABkcnMvX3JlbHMvZTJvRG9jLnhtbC5yZWxzUEsFBgAAAAAGAAYAfAEAAEAM&#13;&#10;AAAAAA==&#13;&#10;">
                <v:shape id="Picture 23" o:spid="_x0000_s1030" type="#_x0000_t75" style="position:absolute;top:1080;width:47879;height:64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B1lBzQAAAOYAAAAPAAAAZHJzL2Rvd25yZXYueG1sRI9PS8NA&#13;&#10;FMTvQr/D8gRvdpOgpqbdlqoIQfDQPwd7e2Rfk2D27bK7pvHbu4LgZWAY5jfMajOZQYzkQ29ZQT7P&#13;&#10;QBA3VvfcKjgeXm8XIEJE1jhYJgXfFGCznl2tsNL2wjsa97EVCcKhQgVdjK6SMjQdGQxz64hTdrbe&#13;&#10;YEzWt1J7vCS4GWSRZQ/SYM9poUNHzx01n/svo+BU1+9tKOLbmfyBnx5z9zGenFI319PLMsl2CSLS&#13;&#10;FP8bf4haKyjuysV9XpbweytdArn+AQAA//8DAFBLAQItABQABgAIAAAAIQDb4fbL7gAAAIUBAAAT&#13;&#10;AAAAAAAAAAAAAAAAAAAAAABbQ29udGVudF9UeXBlc10ueG1sUEsBAi0AFAAGAAgAAAAhAFr0LFu/&#13;&#10;AAAAFQEAAAsAAAAAAAAAAAAAAAAAHwEAAF9yZWxzLy5yZWxzUEsBAi0AFAAGAAgAAAAhAGAHWUHN&#13;&#10;AAAA5gAAAA8AAAAAAAAAAAAAAAAABwIAAGRycy9kb3ducmV2LnhtbFBLBQYAAAAAAwADALcAAAAB&#13;&#10;AwAAAAA=&#13;&#10;">
                  <v:imagedata r:id="rId30" o:title=""/>
                </v:shape>
                <v:shape id="_x0000_s1031" type="#_x0000_t202" style="position:absolute;left:2762;top:1879;width:44285;height:385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KiLv0AAAAOYAAAAPAAAAZHJzL2Rvd25yZXYueG1sRI9NS8NA&#13;&#10;EIbvgv9hGcGLtJtWbUrabUn9KEIPYhXPY3ZMFrOzIbu20V/fOQheBl6G95l5luvBt+pAfXSBDUzG&#13;&#10;GSjiKljHtYG318fRHFRMyBbbwGTghyKsV+dnSyxsOPILHfapVgLhWKCBJqWu0DpWDXmM49ARy+4z&#13;&#10;9B6TxL7WtsejwH2rp1k20x4dy4UGO7prqPraf3sDzyW67Ue4ynbXv7l72Gzet+XOG3N5MdwvZJQL&#13;&#10;UImG9N/4QzxZA9ObfH47yeVv0RIl0KsTAAAA//8DAFBLAQItABQABgAIAAAAIQDb4fbL7gAAAIUB&#13;&#10;AAATAAAAAAAAAAAAAAAAAAAAAABbQ29udGVudF9UeXBlc10ueG1sUEsBAi0AFAAGAAgAAAAhAFr0&#13;&#10;LFu/AAAAFQEAAAsAAAAAAAAAAAAAAAAAHwEAAF9yZWxzLy5yZWxzUEsBAi0AFAAGAAgAAAAhABEq&#13;&#10;Iu/QAAAA5gAAAA8AAAAAAAAAAAAAAAAABwIAAGRycy9kb3ducmV2LnhtbFBLBQYAAAAAAwADALcA&#13;&#10;AAAEAwAAAAA=&#13;&#10;" fillcolor="#f05260" stroked="f">
                  <v:textbox>
                    <w:txbxContent>
                      <w:p w14:paraId="7FBCA7DD" w14:textId="38632F05" w:rsidR="0078740E" w:rsidRPr="00211C85" w:rsidRDefault="00211C85" w:rsidP="00211C85">
                        <w:pPr>
                          <w:pStyle w:val="71fc"/>
                          <w:spacing w:before="0"/>
                          <w:rPr>
                            <w:b w:val="0"/>
                            <w:bCs/>
                          </w:rPr>
                        </w:pPr>
                        <w:r w:rsidRPr="00377FEE">
                          <w:rPr>
                            <w:bCs/>
                            <w:rtl/>
                          </w:rPr>
                          <w:t xml:space="preserve">שיעור חייבים ויתרות חובה מכלל התמ"ג </w:t>
                        </w:r>
                      </w:p>
                    </w:txbxContent>
                  </v:textbox>
                </v:shape>
                <w10:wrap type="square" anchorx="margin"/>
              </v:group>
            </w:pict>
          </mc:Fallback>
        </mc:AlternateContent>
      </w:r>
      <w:r w:rsidRPr="00211C85">
        <w:rPr>
          <w:noProof/>
        </w:rPr>
        <w:t xml:space="preserve"> </w:t>
      </w:r>
      <w:r w:rsidR="00F479E5" w:rsidRPr="00F479E5">
        <w:rPr>
          <w:rtl/>
        </w:rPr>
        <w:t>על פי הדוחות הכספיים של המדינה לשנים 2015 - 2020, בעיבוד משרד מבקר המדינה</w:t>
      </w:r>
      <w:r w:rsidR="0078740E" w:rsidRPr="0078740E">
        <w:rPr>
          <w:rFonts w:hint="cs"/>
          <w:rtl/>
        </w:rPr>
        <w:t xml:space="preserve">. </w:t>
      </w:r>
    </w:p>
    <w:p w14:paraId="2823C801" w14:textId="03F37A89" w:rsidR="0078740E" w:rsidRPr="00190CB1" w:rsidRDefault="0078740E" w:rsidP="0078740E">
      <w:pPr>
        <w:pStyle w:val="71c"/>
        <w:bidi w:val="0"/>
        <w:jc w:val="right"/>
        <w:rPr>
          <w:rtl/>
        </w:rPr>
      </w:pPr>
    </w:p>
    <w:p w14:paraId="16893BF8" w14:textId="7444F1F1" w:rsidR="00211C85" w:rsidRDefault="00277A80">
      <w:pPr>
        <w:bidi w:val="0"/>
        <w:spacing w:after="200" w:line="276" w:lineRule="auto"/>
        <w:rPr>
          <w:rFonts w:ascii="Tahoma" w:hAnsi="Tahoma" w:cs="Tahoma"/>
          <w:color w:val="0D0D0D" w:themeColor="text1" w:themeTint="F2"/>
          <w:sz w:val="16"/>
          <w:szCs w:val="16"/>
          <w:rtl/>
        </w:rPr>
      </w:pPr>
      <w:r>
        <w:rPr>
          <w:rtl/>
        </w:rPr>
        <w:br w:type="page"/>
      </w:r>
    </w:p>
    <w:p w14:paraId="28957A15" w14:textId="7375146C" w:rsidR="00211C85" w:rsidRPr="0078740E" w:rsidRDefault="00211C85" w:rsidP="00663652">
      <w:pPr>
        <w:pStyle w:val="71c"/>
        <w:bidi w:val="0"/>
        <w:spacing w:before="360"/>
        <w:jc w:val="right"/>
        <w:rPr>
          <w:rtl/>
        </w:rPr>
      </w:pPr>
      <w:r w:rsidRPr="008E070D">
        <w:rPr>
          <w:noProof/>
        </w:rPr>
        <w:lastRenderedPageBreak/>
        <w:drawing>
          <wp:anchor distT="0" distB="0" distL="114300" distR="114300" simplePos="0" relativeHeight="252056064" behindDoc="0" locked="0" layoutInCell="1" allowOverlap="1" wp14:anchorId="09793898" wp14:editId="1D5C8AB9">
            <wp:simplePos x="0" y="0"/>
            <wp:positionH relativeFrom="column">
              <wp:posOffset>157480</wp:posOffset>
            </wp:positionH>
            <wp:positionV relativeFrom="paragraph">
              <wp:posOffset>875345</wp:posOffset>
            </wp:positionV>
            <wp:extent cx="4616450" cy="2689225"/>
            <wp:effectExtent l="0" t="0" r="6350" b="3175"/>
            <wp:wrapTopAndBottom/>
            <wp:docPr id="52" name="תמונה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תמונה 52"/>
                    <pic:cNvPicPr/>
                  </pic:nvPicPr>
                  <pic:blipFill>
                    <a:blip r:embed="rId31">
                      <a:extLst>
                        <a:ext uri="{28A0092B-C50C-407E-A947-70E740481C1C}">
                          <a14:useLocalDpi xmlns:a14="http://schemas.microsoft.com/office/drawing/2010/main" val="0"/>
                        </a:ext>
                      </a:extLst>
                    </a:blip>
                    <a:stretch>
                      <a:fillRect/>
                    </a:stretch>
                  </pic:blipFill>
                  <pic:spPr>
                    <a:xfrm>
                      <a:off x="0" y="0"/>
                      <a:ext cx="4616450" cy="2689225"/>
                    </a:xfrm>
                    <a:prstGeom prst="rect">
                      <a:avLst/>
                    </a:prstGeom>
                  </pic:spPr>
                </pic:pic>
              </a:graphicData>
            </a:graphic>
            <wp14:sizeRelH relativeFrom="page">
              <wp14:pctWidth>0</wp14:pctWidth>
            </wp14:sizeRelH>
            <wp14:sizeRelV relativeFrom="page">
              <wp14:pctHeight>0</wp14:pctHeight>
            </wp14:sizeRelV>
          </wp:anchor>
        </w:drawing>
      </w:r>
      <w:r w:rsidRPr="00DC1D24">
        <w:rPr>
          <w:noProof/>
          <w:rtl/>
        </w:rPr>
        <mc:AlternateContent>
          <mc:Choice Requires="wpg">
            <w:drawing>
              <wp:anchor distT="0" distB="0" distL="114300" distR="114300" simplePos="0" relativeHeight="252055040" behindDoc="0" locked="0" layoutInCell="1" allowOverlap="1" wp14:anchorId="7471C864" wp14:editId="4C218FA0">
                <wp:simplePos x="0" y="0"/>
                <wp:positionH relativeFrom="margin">
                  <wp:posOffset>30795</wp:posOffset>
                </wp:positionH>
                <wp:positionV relativeFrom="paragraph">
                  <wp:posOffset>595</wp:posOffset>
                </wp:positionV>
                <wp:extent cx="4787900" cy="777240"/>
                <wp:effectExtent l="0" t="0" r="0" b="0"/>
                <wp:wrapSquare wrapText="bothSides"/>
                <wp:docPr id="30" name="Group 2052770959"/>
                <wp:cNvGraphicFramePr/>
                <a:graphic xmlns:a="http://schemas.openxmlformats.org/drawingml/2006/main">
                  <a:graphicData uri="http://schemas.microsoft.com/office/word/2010/wordprocessingGroup">
                    <wpg:wgp>
                      <wpg:cNvGrpSpPr/>
                      <wpg:grpSpPr>
                        <a:xfrm>
                          <a:off x="0" y="0"/>
                          <a:ext cx="4787900" cy="777240"/>
                          <a:chOff x="0" y="108021"/>
                          <a:chExt cx="4787900" cy="779253"/>
                        </a:xfrm>
                      </wpg:grpSpPr>
                      <pic:pic xmlns:pic="http://schemas.openxmlformats.org/drawingml/2006/picture">
                        <pic:nvPicPr>
                          <pic:cNvPr id="38" name="Picture 2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108021"/>
                            <a:ext cx="4787900" cy="779253"/>
                          </a:xfrm>
                          <a:prstGeom prst="rect">
                            <a:avLst/>
                          </a:prstGeom>
                        </pic:spPr>
                      </pic:pic>
                      <wps:wsp>
                        <wps:cNvPr id="42" name="Text Box 2"/>
                        <wps:cNvSpPr txBox="1">
                          <a:spLocks noChangeArrowheads="1"/>
                        </wps:cNvSpPr>
                        <wps:spPr bwMode="auto">
                          <a:xfrm>
                            <a:off x="276225" y="187993"/>
                            <a:ext cx="4428490" cy="502327"/>
                          </a:xfrm>
                          <a:prstGeom prst="rect">
                            <a:avLst/>
                          </a:prstGeom>
                          <a:solidFill>
                            <a:srgbClr val="F05260"/>
                          </a:solidFill>
                          <a:ln w="9525">
                            <a:noFill/>
                            <a:miter lim="800000"/>
                            <a:headEnd/>
                            <a:tailEnd/>
                          </a:ln>
                        </wps:spPr>
                        <wps:txbx>
                          <w:txbxContent>
                            <w:p w14:paraId="656A2B4C" w14:textId="77777777" w:rsidR="00211C85" w:rsidRPr="00A47335" w:rsidRDefault="00211C85" w:rsidP="00211C85">
                              <w:pPr>
                                <w:pStyle w:val="71fc"/>
                                <w:spacing w:before="0"/>
                                <w:rPr>
                                  <w:b w:val="0"/>
                                  <w:bCs/>
                                </w:rPr>
                              </w:pPr>
                              <w:r w:rsidRPr="008E070D">
                                <w:rPr>
                                  <w:bCs/>
                                  <w:noProof/>
                                  <w:rtl/>
                                </w:rPr>
                                <w:t>הגירעון בפועל, כולל השפעות משבר הקורונה, לעומת תחזית אגף החשכ"ל לפני המשבר</w:t>
                              </w:r>
                            </w:p>
                          </w:txbxContent>
                        </wps:txbx>
                        <wps:bodyPr rot="0" vert="horz" wrap="square" lIns="91440" tIns="45720" rIns="91440" bIns="45720" anchor="ctr" anchorCtr="0">
                          <a:noAutofit/>
                        </wps:bodyPr>
                      </wps:wsp>
                    </wpg:wgp>
                  </a:graphicData>
                </a:graphic>
                <wp14:sizeRelV relativeFrom="margin">
                  <wp14:pctHeight>0</wp14:pctHeight>
                </wp14:sizeRelV>
              </wp:anchor>
            </w:drawing>
          </mc:Choice>
          <mc:Fallback>
            <w:pict>
              <v:group w14:anchorId="7471C864" id="_x0000_s1032" style="position:absolute;left:0;text-align:left;margin-left:2.4pt;margin-top:.05pt;width:377pt;height:61.2pt;z-index:252055040;mso-position-horizontal-relative:margin;mso-height-relative:margin" coordorigin=",1080" coordsize="47879,77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1AUXTgMAAKIHAAAOAAAAZHJzL2Uyb0RvYy54bWycVdtu2zgQfV9g/4Hg&#13;&#10;eyNZsWNbiFJ0kyYo0N0NevkAiqIsohLJJWnL6dfvISVfk6AXA5ZmRHJ45swZ8vrttmvJRlgntSro&#13;&#10;5CKlRCiuK6lWBf365f7NghLnmapYq5Uo6JNw9O3Nn39c9yYXmW50WwlLEES5vDcFbbw3eZI43oiO&#13;&#10;uQtthMJgrW3HPFy7SirLekTv2iRL06uk17YyVnPhHL7eDYP0Jsava8H9v3XthCdtQYHNx6eNzzI8&#13;&#10;k5trlq8sM43kIwz2Gyg6JhU23Ye6Y56RtZXPQnWSW+107S+47hJd15KLmAOymaRn2TxYvTYxl1Xe&#13;&#10;r8yeJlB7xtNvh+X/bB6s+WweLZjozQpcRC/ksq1tF95ASbaRsqc9ZWLrCcfH6XwxX6ZglmNsPp9n&#13;&#10;05FT3oD4w7JJukizyUA3b96/vHqZzS7DlGS3d3KCyEie4z/SAOsZDT+WC1b5tRV0DNL9VIyO2W9r&#13;&#10;8wYVM8zLUrbSP0X1oTYBlNo8Sv5oBweMPloiq4JeQvuKdVA9hsOuJIvphSVh1rCGhZw+av7NEaVv&#13;&#10;G6ZW4p0zEC7aKZJxOj0J7smGZSvNvWzbUKpgj6lB5GcieYGdQYB3mq87ofzQUVa0yFIr10jjKLG5&#13;&#10;6EqBdOyHaoI6o5s9UjJWKj/U03krPG/C/jVwfAL2oYj7gQj6gDOk4CC5V0V2rJZXlPZMK+DROv8g&#13;&#10;dEeCAbzAgQKxnG0+uhHRbgo0dgARTbihAXAKuR2D8J5x+EuN9rlhRgBCCHuQxTTbyeJLyO0vvSVZ&#13;&#10;IHKcFXqR+C0+BwEE/M6cycNa3TeCVYA3SORo6RAnsEvK/m9doVRs7XUMdNbQ2fwqy2aUoHMn6OJl&#13;&#10;FCfL94RPs8V0Obb2LM0us/lJc/4i4chDt7LaKdXZVXnbWrJhOJnv01l2FQ8OtP7JtFaRvqDLGXAG&#13;&#10;KpQO60EWyzvpcXO0sivoIg2/QYyBl/eqilM8k+1gI2yrUPRA1KC8YPltuY2dOt3xX+rqCcxZDf0g&#13;&#10;c1xsMBptv1PS45IoqPtvzcLx0X5QYH85meK8Iz4609k8g2OPR8rjEaY4QhWUe0vJ4Nz6eBcNqb1D&#13;&#10;nWoZlRrQDVhG0FBltOJFAOvkpjn246zD1XrzPwAAAP//AwBQSwMECgAAAAAAAAAhAF9iaLtZBAAA&#13;&#10;WQQAABQAAABkcnMvbWVkaWEvaW1hZ2UxLnBuZ4lQTkcNChoKAAAADUlIRFIAAARmAAAArAgDAAAA&#13;&#10;DqtaAAAAAAFzUkdCAK7OHOkAAAAEZ0FNQQAAsY8L/GEFAAAAtFBMVEUAAAD/AAD/SUm/ACC/AECq&#13;&#10;AByqADmqHDnGADnjOTmZADOzADO/FSuxFCfrTk7tN0nMM0S/IEDxR1W8GzbCGD3zSVWuFzq5FzrF&#13;&#10;FzroRlG8FjfCFD29Ezm9HEL2SVu5Gj7vSlrvUGD3SFj3UFjwTVXwTV3xTlzySle9IT3tT1y+I0HL&#13;&#10;MEe+I0O+JES+JEO/JEO9JEO+JEO+JES+JEO/JEO+JEPAJEPvUV++JEPvUV+/JUTwUmB5yMV8AAAA&#13;&#10;OnRSTlMAAQcICAkJCQkJCgoMDQ0ODxASExUVFhYWFhcZGxscHR8gICAhISQmNjo7T+vu+vr7+/v8&#13;&#10;/P39/f7+zsFsWAAAAAlwSFlzAAAh1QAAIdUBBJy0nQAAAuhJREFUeF7t28d21EAQhtE2OeccTQaT&#13;&#10;MZn3fy/A1MFmLI7Vmv53966k6urtt9CcaQAAAAAAAAAAAAAAAAAAACz2A2AdLyom/1eLAMvIDBAm&#13;&#10;M0CYzABhMgOEyQwQJjNAmMwAYTIDhMkMECYzQJjMAGEyA4TJDBAmM0CYzABhMgOEyQwQJjNAmMwA&#13;&#10;YTIDhMkMECYzQJjMAGEyA4TJDBAmM0CYzABhMgOEyQwQJjNAmMwAYTIDhMkMECYzQJjMAGEyA4TJ&#13;&#10;DBAmM0CYzABhMgOEyQwQJjNAmMwAYTIDhMkMECYzQJjMAGEyA4TJDBAmM0CYzABhMgOEyQwQJjNA&#13;&#10;mMwAYTIDhMkMECYzQJjMAGEyA4TJDBAmM0CYzABhMgOEyQwQJjNAmMwAYTIDhMkMECYzQJjMAGEy&#13;&#10;A4TJDBAmM0CYzABhMgOEyQwQJjNAmMwAYTIDhMkMECYzQJjMAGEyA4TJDBAmM0CYzABhMgOEyQwQ&#13;&#10;JjNAmMwAYTIDhMkMECYzQJjMAGEyA4TJDBAmM0DYwZl5UpsAixycmfasVgGWmJGZtlm7AAvMyUw7&#13;&#10;96W2AbrNykw7WdsA3eZlpt2rdYBeMzPTntY+QKe5mWkP6gJAn9mZaZd8BwaWmJ+ZtvGt7gB06MhM&#13;&#10;u1p3ADr0ZKY9qksA83Vlpj2uWwCz9WWm3fR9BujUmZm24fcmoE9vZtr5uggwT3dm/O8A6NOfmfaw&#13;&#10;rgLMsSAz7dAmwH4vX095daHSAbCure8Ttk/XKcDaJjNztg4B1jeVmTt1BjDARGbu1xHACPsy8/Fy&#13;&#10;nQAMsZqZD6fqAGCMlcx8PlpzgEFWMnOlxgCj/JuZuzUFGGZvZj5dqyHAOHsy8+ZYzQAG2s3M9oka&#13;&#10;AYy0m5mLNQEY6m9mbtcAYKzKzNcb9Q4w2J/MvD1crwCj7WTmvd+YgJidzByvF4Dxfmfmej0DBPzK&#13;&#10;zK16BEjYenemngAinh+pBwAAAAAAAAAAAAAAAAAAAAAAAAhr7SdzvtDsx85rQgAAAABJRU5ErkJg&#13;&#10;glBLAwQUAAYACAAAACEALSoZQuEAAAALAQAADwAAAGRycy9kb3ducmV2LnhtbEyPzWrDMBCE74W+&#13;&#10;g9hCb41st26DYzmE9OcUAk0KpbeNtbFNLMlYiu28fTen9rIwO+zsN/lyMq0YqPeNswriWQSCbOl0&#13;&#10;YysFX/v3hzkIH9BqbJ0lBRfysCxub3LMtBvtJw27UAkOsT5DBXUIXSalL2sy6GeuI8ve0fUGA8u+&#13;&#10;krrHkcNNK5MoepYGG8sfauxoXVN52p2Ngo8Rx9Vj/DZsTsf15Wefbr83MSl1fze9LnisFiACTeHv&#13;&#10;Aq4dmB8KBju4s9VetAqemD5c14LNl3TO8sAySVKQRS7/dyh+AQ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QItABQABgAIAAAAIQCxgme2CgEAABMCAAATAAAAAAAAAAAAAAAAAAAAAABbQ29udGVudF9U&#13;&#10;eXBlc10ueG1sUEsBAi0AFAAGAAgAAAAhADj9If/WAAAAlAEAAAsAAAAAAAAAAAAAAAAAOwEAAF9y&#13;&#10;ZWxzLy5yZWxzUEsBAi0AFAAGAAgAAAAhABrUBRdOAwAAogcAAA4AAAAAAAAAAAAAAAAAOgIAAGRy&#13;&#10;cy9lMm9Eb2MueG1sUEsBAi0ACgAAAAAAAAAhAF9iaLtZBAAAWQQAABQAAAAAAAAAAAAAAAAAtAUA&#13;&#10;AGRycy9tZWRpYS9pbWFnZTEucG5nUEsBAi0AFAAGAAgAAAAhAC0qGULhAAAACwEAAA8AAAAAAAAA&#13;&#10;AAAAAAAAPwoAAGRycy9kb3ducmV2LnhtbFBLAQItABQABgAIAAAAIQCqJg6+vAAAACEBAAAZAAAA&#13;&#10;AAAAAAAAAAAAAE0LAABkcnMvX3JlbHMvZTJvRG9jLnhtbC5yZWxzUEsFBgAAAAAGAAYAfAEAAEAM&#13;&#10;AAAAAA==&#13;&#10;">
                <v:shape id="Picture 23" o:spid="_x0000_s1033" type="#_x0000_t75" style="position:absolute;top:1080;width:47879;height:77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Pki8yAAAAOAAAAAPAAAAZHJzL2Rvd25yZXYueG1sRI/BasMw&#13;&#10;DIbvg72D0WC31WkLY03rlm6jEAY7rO2hvYlYTUJj2dhemr39dBjsIvgR/yd9q83oejVQTJ1nA9NJ&#13;&#10;AYq49rbjxsDxsHt6AZUyssXeMxn4oQSb9f3dCkvrb/xFwz43SiCcSjTQ5hxKrVPdksM08YFYdhcf&#13;&#10;HWaJsdE24k3grtezonjWDjuWCy0Gemupvu6/nYFzVX02aZY/LhQP/LqYhtNwDsY8PozvSxnbJahM&#13;&#10;Y/5v/CEqa2AuH4uQyIBe/wIAAP//AwBQSwECLQAUAAYACAAAACEA2+H2y+4AAACFAQAAEwAAAAAA&#13;&#10;AAAAAAAAAAAAAAAAW0NvbnRlbnRfVHlwZXNdLnhtbFBLAQItABQABgAIAAAAIQBa9CxbvwAAABUB&#13;&#10;AAALAAAAAAAAAAAAAAAAAB8BAABfcmVscy8ucmVsc1BLAQItABQABgAIAAAAIQDAPki8yAAAAOAA&#13;&#10;AAAPAAAAAAAAAAAAAAAAAAcCAABkcnMvZG93bnJldi54bWxQSwUGAAAAAAMAAwC3AAAA/AIAAAAA&#13;&#10;">
                  <v:imagedata r:id="rId30" o:title=""/>
                </v:shape>
                <v:shape id="_x0000_s1034" type="#_x0000_t202" style="position:absolute;left:2762;top:1879;width:44285;height:50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F9BKygAAAOAAAAAPAAAAZHJzL2Rvd25yZXYueG1sRI9PawIx&#13;&#10;FMTvQr9DeIIXqdlasWU1ylr/IHiQ2tLz6+a5G7p5WTZR1376piB4GRiG+Q0znbe2EmdqvHGs4GmQ&#13;&#10;gCDOnTZcKPj8WD++gvABWWPlmBRcycN89tCZYqrdhd/pfAiFiBD2KSooQ6hTKX1ekkU/cDVxzI6u&#13;&#10;sRiibQqpG7xEuK3kMEnG0qLhuFBiTW8l5T+Hk1Wwz9Bsvl0/2T3/vpjVYvG1yXZWqV63XU6iZBMQ&#13;&#10;gdpwb9wQW61gNIT/Q/EMyNkfAAAA//8DAFBLAQItABQABgAIAAAAIQDb4fbL7gAAAIUBAAATAAAA&#13;&#10;AAAAAAAAAAAAAAAAAABbQ29udGVudF9UeXBlc10ueG1sUEsBAi0AFAAGAAgAAAAhAFr0LFu/AAAA&#13;&#10;FQEAAAsAAAAAAAAAAAAAAAAAHwEAAF9yZWxzLy5yZWxzUEsBAi0AFAAGAAgAAAAhAOMX0ErKAAAA&#13;&#10;4AAAAA8AAAAAAAAAAAAAAAAABwIAAGRycy9kb3ducmV2LnhtbFBLBQYAAAAAAwADALcAAAD+AgAA&#13;&#10;AAA=&#13;&#10;" fillcolor="#f05260" stroked="f">
                  <v:textbox>
                    <w:txbxContent>
                      <w:p w14:paraId="656A2B4C" w14:textId="77777777" w:rsidR="00211C85" w:rsidRPr="00A47335" w:rsidRDefault="00211C85" w:rsidP="00211C85">
                        <w:pPr>
                          <w:pStyle w:val="71fc"/>
                          <w:spacing w:before="0"/>
                          <w:rPr>
                            <w:b w:val="0"/>
                            <w:bCs/>
                          </w:rPr>
                        </w:pPr>
                        <w:r w:rsidRPr="008E070D">
                          <w:rPr>
                            <w:bCs/>
                            <w:noProof/>
                            <w:rtl/>
                          </w:rPr>
                          <w:t>הגירעון בפועל, כולל השפעות משבר הקורונה, לעומת תחזית אגף החשכ"ל לפני המשבר</w:t>
                        </w:r>
                      </w:p>
                    </w:txbxContent>
                  </v:textbox>
                </v:shape>
                <w10:wrap type="square" anchorx="margin"/>
              </v:group>
            </w:pict>
          </mc:Fallback>
        </mc:AlternateContent>
      </w:r>
      <w:r w:rsidRPr="00734962">
        <w:rPr>
          <w:rtl/>
        </w:rPr>
        <w:t>המקור: משרד האוצר, המבוא לדוחות הכספיים של מדינת ישראל לשנת 2020</w:t>
      </w:r>
      <w:r w:rsidRPr="0078740E">
        <w:rPr>
          <w:rFonts w:hint="cs"/>
          <w:rtl/>
        </w:rPr>
        <w:t xml:space="preserve">. </w:t>
      </w:r>
    </w:p>
    <w:p w14:paraId="0898B526" w14:textId="3E8FCB29" w:rsidR="00211C85" w:rsidRDefault="00211C85">
      <w:pPr>
        <w:bidi w:val="0"/>
        <w:spacing w:after="200" w:line="276" w:lineRule="auto"/>
        <w:rPr>
          <w:rFonts w:ascii="Tahoma" w:hAnsi="Tahoma" w:cs="Tahoma"/>
          <w:color w:val="0D0D0D" w:themeColor="text1" w:themeTint="F2"/>
          <w:sz w:val="16"/>
          <w:szCs w:val="16"/>
        </w:rPr>
      </w:pPr>
      <w:r>
        <w:rPr>
          <w:rFonts w:ascii="Tahoma" w:hAnsi="Tahoma" w:cs="Tahoma"/>
          <w:color w:val="0D0D0D" w:themeColor="text1" w:themeTint="F2"/>
          <w:sz w:val="16"/>
          <w:szCs w:val="16"/>
        </w:rPr>
        <w:br w:type="page"/>
      </w:r>
    </w:p>
    <w:p w14:paraId="5E9C70D4" w14:textId="5C79236D" w:rsidR="00F27A70" w:rsidRPr="00C94863" w:rsidRDefault="00C94863" w:rsidP="00C94863">
      <w:pPr>
        <w:pStyle w:val="71fa"/>
        <w:spacing w:before="360"/>
        <w:rPr>
          <w:rtl/>
        </w:rPr>
      </w:pPr>
      <w:r>
        <w:rPr>
          <w:noProof/>
          <w:rtl/>
          <w:lang w:val="he-IL"/>
        </w:rPr>
        <w:lastRenderedPageBreak/>
        <mc:AlternateContent>
          <mc:Choice Requires="wpg">
            <w:drawing>
              <wp:anchor distT="0" distB="0" distL="114300" distR="114300" simplePos="0" relativeHeight="251898368" behindDoc="0" locked="0" layoutInCell="1" allowOverlap="1" wp14:anchorId="7CDD7FA0" wp14:editId="740733CC">
                <wp:simplePos x="0" y="0"/>
                <wp:positionH relativeFrom="margin">
                  <wp:posOffset>-5080</wp:posOffset>
                </wp:positionH>
                <wp:positionV relativeFrom="paragraph">
                  <wp:posOffset>12805</wp:posOffset>
                </wp:positionV>
                <wp:extent cx="4679950" cy="37465"/>
                <wp:effectExtent l="12700" t="12700" r="6350" b="13335"/>
                <wp:wrapSquare wrapText="bothSides"/>
                <wp:docPr id="55" name="Group 55"/>
                <wp:cNvGraphicFramePr/>
                <a:graphic xmlns:a="http://schemas.openxmlformats.org/drawingml/2006/main">
                  <a:graphicData uri="http://schemas.microsoft.com/office/word/2010/wordprocessingGroup">
                    <wpg:wgp>
                      <wpg:cNvGrpSpPr/>
                      <wpg:grpSpPr>
                        <a:xfrm>
                          <a:off x="0" y="0"/>
                          <a:ext cx="4679950" cy="37465"/>
                          <a:chOff x="0" y="0"/>
                          <a:chExt cx="4724400" cy="38100"/>
                        </a:xfrm>
                      </wpg:grpSpPr>
                      <wps:wsp>
                        <wps:cNvPr id="56" name="Straight Connector 56"/>
                        <wps:cNvCnPr/>
                        <wps:spPr>
                          <a:xfrm flipH="1">
                            <a:off x="0" y="38100"/>
                            <a:ext cx="4724400" cy="0"/>
                          </a:xfrm>
                          <a:prstGeom prst="line">
                            <a:avLst/>
                          </a:prstGeom>
                          <a:ln w="19050" cmpd="sng">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57" name="Straight Connector 57"/>
                        <wps:cNvCnPr/>
                        <wps:spPr>
                          <a:xfrm flipH="1">
                            <a:off x="0" y="0"/>
                            <a:ext cx="4724400" cy="0"/>
                          </a:xfrm>
                          <a:prstGeom prst="line">
                            <a:avLst/>
                          </a:prstGeom>
                          <a:ln w="19050" cmpd="sng">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38914D9" id="Group 55" o:spid="_x0000_s1026" style="position:absolute;left:0;text-align:left;margin-left:-.4pt;margin-top:1pt;width:368.5pt;height:2.95pt;z-index:251898368;mso-position-horizontal-relative:margin" coordsize="47244,3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y5skggIAAF4IAAAOAAAAZHJzL2Uyb0RvYy54bWzsVslu2zAQvRfoPxC615ITL7EQOYekcQ9t&#13;&#10;E9TtBzAUKRHgBpK27L/vkJQUJykKNAF6ykUWh/NmefNI+fLqIAXaU+u4VlU2nRQZooromqumyn79&#13;&#10;vP10kSHnsaqx0IpW2ZG67Gr98cNlZ0p6plstamoRBFGu7EyVtd6bMs8daanEbqINVbDJtJXYw9I2&#13;&#10;eW1xB9GlyM+KYpF32tbGakKdA+tN2szWMT5jlPg7xhz1SFQZ1Obj08bnQ3jm60tcNhablpO+DPyK&#13;&#10;KiTmCpKOoW6wx2hn+YtQkhOrnWZ+QrTMNWOc0NgDdDMtnnWzsXpnYi9N2TVmpAmofcbTq8OS7/t7&#13;&#10;i3hdZfN5hhSWMKOYFsEayOlMU4LPxpqtube9oUmr0O+BWRl+oRN0iLQeR1rpwSMCxtliuVrNgX0C&#13;&#10;e+fL2SJGxiVpYTYvUKT9POCWZ7NZMeAupvAKBeRD0jzUNpbSGRCQe+TIvY2jbYsNjdS70P/A0WLg&#13;&#10;aOst5k3r0bVWClSmLZovEmERcK16tlzpgLiBKsQEN1/goESxPCHtfGgQlyNxpwQ8bR6Xxjq/oVqi&#13;&#10;8FJlgqtQLy7x/qvziafBJZiFQh3kXRVxENLAxJ1qIsJpwetbLkTwiyePXguL9hjOjD+kUsVOftN1&#13;&#10;ssEs0ygg6k6GGUbXwQoDGoPEcZ3Ehz2hwBimlXiJb/4oaCryB2WgRhBNSjsGSikwIVT5aS8DocA7&#13;&#10;wBjUPgKL1FO4QB7beArs/QOUxjviX8AjImbWyo9gyZW2f8oeSEwTYcl/YCD1HSh40PUxKiZSA0IO&#13;&#10;R+9/KHr5N0Uv36To/nZ9V/O7mqPg40cs3gj9Bzd8JU/X0evxb8H6NwAAAP//AwBQSwMEFAAGAAgA&#13;&#10;AAAhAKW/cbrhAAAACgEAAA8AAABkcnMvZG93bnJldi54bWxMj09rwkAQxe+FfodlCr3VTSK1NWYj&#13;&#10;Yv+cRKgWpLcxOybB7G7Irkn89h1P7WWY4fHe/F62HE0jeup87ayCeBKBIFs4XdtSwff+4+kVhA9o&#13;&#10;NTbOkoIreVjm93cZptoN9ov6XSgFh1ifooIqhDaV0hcVGfQT15Jl7eQ6g4HPrpS6w4HDTSOTKJpJ&#13;&#10;g7XlDxW2tK6oOO8uRsHngMNqGr/3m/Npff3ZP28Pm5iUenwY3xY8VgsQgcbw54BbB+aHnMGO7mK1&#13;&#10;F42CG31QkHArVl+mswTEkZc5yDyT/yvkvwAAAP//AwBQSwECLQAUAAYACAAAACEAtoM4kv4AAADh&#13;&#10;AQAAEwAAAAAAAAAAAAAAAAAAAAAAW0NvbnRlbnRfVHlwZXNdLnhtbFBLAQItABQABgAIAAAAIQA4&#13;&#10;/SH/1gAAAJQBAAALAAAAAAAAAAAAAAAAAC8BAABfcmVscy8ucmVsc1BLAQItABQABgAIAAAAIQBg&#13;&#10;y5skggIAAF4IAAAOAAAAAAAAAAAAAAAAAC4CAABkcnMvZTJvRG9jLnhtbFBLAQItABQABgAIAAAA&#13;&#10;IQClv3G64QAAAAoBAAAPAAAAAAAAAAAAAAAAANwEAABkcnMvZG93bnJldi54bWxQSwUGAAAAAAQA&#13;&#10;BADzAAAA6gUAAAAA&#13;&#10;">
                <v:line id="Straight Connector 56" o:spid="_x0000_s1027" style="position:absolute;flip:x;visibility:visible;mso-wrap-style:square" from="0,381" to="47244,3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9EIFyQAAAOAAAAAPAAAAZHJzL2Rvd25yZXYueG1sRI9Ba8JA&#13;&#10;FITvBf/D8gq9iG6UNpToKqIGehFp6kFvj+wzCc2+TbJbjf/eFYReBoZhvmHmy97U4kKdqywrmIwj&#13;&#10;EMS51RUXCg4/6egThPPIGmvLpOBGDpaLwcscE22v/E2XzBciQNglqKD0vkmkdHlJBt3YNsQhO9vO&#13;&#10;oA+2K6Tu8BrgppbTKIqlwYrDQokNrUvKf7M/o2B92u2PUdxPh8O0nRwPabs9v7dKvb32m1mQ1QyE&#13;&#10;p97/N56IL63gI4bHoXAG5OIOAAD//wMAUEsBAi0AFAAGAAgAAAAhANvh9svuAAAAhQEAABMAAAAA&#13;&#10;AAAAAAAAAAAAAAAAAFtDb250ZW50X1R5cGVzXS54bWxQSwECLQAUAAYACAAAACEAWvQsW78AAAAV&#13;&#10;AQAACwAAAAAAAAAAAAAAAAAfAQAAX3JlbHMvLnJlbHNQSwECLQAUAAYACAAAACEAz/RCBckAAADg&#13;&#10;AAAADwAAAAAAAAAAAAAAAAAHAgAAZHJzL2Rvd25yZXYueG1sUEsFBgAAAAADAAMAtwAAAP0CAAAA&#13;&#10;AA==&#13;&#10;" strokecolor="#0d0d0d [3069]" strokeweight="1.5pt"/>
                <v:line id="Straight Connector 57" o:spid="_x0000_s1028" style="position:absolute;flip:x;visibility:visible;mso-wrap-style:square" from="0,0" to="4724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uOeeygAAAOAAAAAPAAAAZHJzL2Rvd25yZXYueG1sRI/Na8JA&#13;&#10;FMTvgv/D8oReRDdK/SC6imgDvRTx42Bvj+wzCc2+TbJbTf97Vyh4GRiG+Q2zXLemFDdqXGFZwWgY&#13;&#10;gSBOrS44U3A+JYM5COeRNZaWScEfOVivup0lxtre+UC3o89EgLCLUUHufRVL6dKcDLqhrYhDdrWN&#13;&#10;QR9sk0nd4D3ATSnHUTSVBgsOCzlWtM0p/Tn+GgXb76/9JZq2434/qUeXc1J/XN9rpd567W4RZLMA&#13;&#10;4an1r8Y/4lMrmMzgeSicAbl6AAAA//8DAFBLAQItABQABgAIAAAAIQDb4fbL7gAAAIUBAAATAAAA&#13;&#10;AAAAAAAAAAAAAAAAAABbQ29udGVudF9UeXBlc10ueG1sUEsBAi0AFAAGAAgAAAAhAFr0LFu/AAAA&#13;&#10;FQEAAAsAAAAAAAAAAAAAAAAAHwEAAF9yZWxzLy5yZWxzUEsBAi0AFAAGAAgAAAAhAKC4557KAAAA&#13;&#10;4AAAAA8AAAAAAAAAAAAAAAAABwIAAGRycy9kb3ducmV2LnhtbFBLBQYAAAAAAwADALcAAAD+AgAA&#13;&#10;AAA=&#13;&#10;" strokecolor="#0d0d0d [3069]" strokeweight="1.5pt"/>
                <w10:wrap type="square" anchorx="margin"/>
              </v:group>
            </w:pict>
          </mc:Fallback>
        </mc:AlternateContent>
      </w:r>
      <w:r w:rsidR="00EC6229" w:rsidRPr="00EF3061">
        <w:rPr>
          <w:rFonts w:hint="cs"/>
          <w:rtl/>
        </w:rPr>
        <w:t>ס</w:t>
      </w:r>
      <w:r w:rsidR="00EC6229" w:rsidRPr="00C94863">
        <w:rPr>
          <w:rFonts w:hint="cs"/>
          <w:rtl/>
        </w:rPr>
        <w:t>יכום</w:t>
      </w:r>
    </w:p>
    <w:p w14:paraId="4F89ABD7" w14:textId="5B9EBD2A" w:rsidR="0078031D" w:rsidRPr="00640147" w:rsidRDefault="0078740E" w:rsidP="00277A80">
      <w:pPr>
        <w:pStyle w:val="7190"/>
        <w:rPr>
          <w:rtl/>
        </w:rPr>
      </w:pPr>
      <w:r w:rsidRPr="00734962">
        <w:rPr>
          <w:rtl/>
        </w:rPr>
        <w:t xml:space="preserve">כחלק מהפעילויות השוטפות במשרדי הממשלה, לעיתים נוצרת למשרד הממשלתי זכות לקבלת כספים שעשויה להתגבש לידי חוב. על פי הדוחות הכספיים של המדינה ליום 31.12.2020 סעיף חייבים ויתרות חובה נמצא במגמת עלייה בשנים האחרונות - </w:t>
      </w:r>
      <w:proofErr w:type="spellStart"/>
      <w:r w:rsidRPr="00734962">
        <w:rPr>
          <w:rtl/>
        </w:rPr>
        <w:t>מכ</w:t>
      </w:r>
      <w:proofErr w:type="spellEnd"/>
      <w:r w:rsidRPr="00734962">
        <w:rPr>
          <w:rtl/>
        </w:rPr>
        <w:t xml:space="preserve">-49 מיליארד ש"ח בשנת 2015 </w:t>
      </w:r>
      <w:proofErr w:type="spellStart"/>
      <w:r w:rsidRPr="00734962">
        <w:rPr>
          <w:rtl/>
        </w:rPr>
        <w:t>לכ</w:t>
      </w:r>
      <w:proofErr w:type="spellEnd"/>
      <w:r w:rsidRPr="00734962">
        <w:rPr>
          <w:rtl/>
        </w:rPr>
        <w:t xml:space="preserve">-69 מיליארד ש"ח בשנת 2020 (בניכוי הפרשה לחובות מסופקים). ניהול יתרת החובות וגבייתם חשובים לצורך שמירה על נכסי המדינה ומיצוי מלוא זכויותיה. בביקורת עלה כי במשרדי הממשלה מתבצעת עבודה ידנית רבה בנושא, ולא באמצעות תהליכים אוטומטיים, דבר המקשה לשלוט בניהול החוב ולמנוע פיגורים ומביא להתיישנות חובות. הדבר בא לידי ביטוי בחוסר שקיפות ובהיעדר ידע על אודות רשימת חובות מסודרת ברמת המשרד וברמת הממשלה, וכן בהיעדר נתונים מלאים לגבי מצבת החובות למשרדי הממשלה וליחידות הממשלתיות. עוד עולה כי אין אחידות באופן ניהול הרישום החשבונאי בעת העברת החובות ממשרדי הממשלה לטיפולו של </w:t>
      </w:r>
      <w:proofErr w:type="spellStart"/>
      <w:r w:rsidRPr="00734962">
        <w:rPr>
          <w:rtl/>
        </w:rPr>
        <w:t>המג"ק</w:t>
      </w:r>
      <w:proofErr w:type="spellEnd"/>
      <w:r w:rsidRPr="00734962">
        <w:rPr>
          <w:rtl/>
        </w:rPr>
        <w:t xml:space="preserve">, ויש משרדים שמשאירים את החוב בספריהם אף לאחר העברתו לטיפולו של </w:t>
      </w:r>
      <w:proofErr w:type="spellStart"/>
      <w:r w:rsidRPr="00734962">
        <w:rPr>
          <w:rtl/>
        </w:rPr>
        <w:t>המג"ק</w:t>
      </w:r>
      <w:proofErr w:type="spellEnd"/>
      <w:r w:rsidRPr="00734962">
        <w:rPr>
          <w:rtl/>
        </w:rPr>
        <w:t xml:space="preserve">, דבר היכול ליצור כפילות של יתרות החוב בדוחות הכספיים המאוחדים של המדינה. על אגף </w:t>
      </w:r>
      <w:proofErr w:type="spellStart"/>
      <w:r w:rsidRPr="00734962">
        <w:rPr>
          <w:rtl/>
        </w:rPr>
        <w:t>החשכ"ל</w:t>
      </w:r>
      <w:proofErr w:type="spellEnd"/>
      <w:r w:rsidRPr="00734962">
        <w:rPr>
          <w:rtl/>
        </w:rPr>
        <w:t xml:space="preserve"> לפעול לתיקון הליקויים שצוינו בדוח, ובכלל זה להשלים את יישום מערכת הגבייה הרוחבית, כדי שזו תאפשר קבלת תמונת מצב מהימנה וזמינה בנוגע למצבת החייבים ולנתוני הגבייה. כמו כן, עליו לפעול לשיפור תהליך הגבייה של המשרדים באמצעות רשות האכיפה והגבייה ולגביית כלל החובות. פעולות אלו יבטיחו את מיצוי פוטנציאל הגבייה של הממשלה. עוד עלה בביקורת כי למשבר הקורונה הייתה השפעה נרחבת על הדוחות הכספיים לשנת 2020, ועל המדינה להיערך לסגירת הפערים בעתיד בראייה רב-שנתית</w:t>
      </w:r>
      <w:r w:rsidR="0078031D" w:rsidRPr="00640147">
        <w:rPr>
          <w:rtl/>
        </w:rPr>
        <w:t>.</w:t>
      </w:r>
    </w:p>
    <w:p w14:paraId="6F92330A" w14:textId="77777777" w:rsidR="0078031D" w:rsidRPr="00640147" w:rsidRDefault="0078031D" w:rsidP="0078031D">
      <w:pPr>
        <w:spacing w:line="288" w:lineRule="auto"/>
        <w:ind w:left="-851" w:right="-567"/>
        <w:rPr>
          <w:rFonts w:ascii="Tahoma" w:hAnsi="Tahoma" w:cs="Tahoma"/>
          <w:color w:val="0D0D0D" w:themeColor="text1" w:themeTint="F2"/>
          <w:sz w:val="18"/>
          <w:szCs w:val="18"/>
          <w:rtl/>
        </w:rPr>
      </w:pPr>
    </w:p>
    <w:p w14:paraId="1A2D546B" w14:textId="1BADEE67" w:rsidR="00F96F26" w:rsidRDefault="00F96F26" w:rsidP="00F96F26">
      <w:pPr>
        <w:bidi w:val="0"/>
        <w:spacing w:after="200" w:line="276" w:lineRule="auto"/>
        <w:jc w:val="right"/>
        <w:sectPr w:rsidR="00F96F26" w:rsidSect="00F74498">
          <w:headerReference w:type="even" r:id="rId32"/>
          <w:headerReference w:type="default" r:id="rId33"/>
          <w:type w:val="continuous"/>
          <w:pgSz w:w="11906" w:h="16838" w:code="9"/>
          <w:pgMar w:top="3062" w:right="2268" w:bottom="2552" w:left="2268" w:header="1134" w:footer="1361" w:gutter="0"/>
          <w:cols w:space="708"/>
          <w:bidi/>
          <w:rtlGutter/>
          <w:docGrid w:linePitch="360"/>
        </w:sectPr>
      </w:pPr>
    </w:p>
    <w:p w14:paraId="66430899" w14:textId="77777777" w:rsidR="004D47C8" w:rsidRDefault="004D47C8">
      <w:pPr>
        <w:bidi w:val="0"/>
        <w:spacing w:after="200" w:line="276" w:lineRule="auto"/>
        <w:rPr>
          <w:rFonts w:ascii="Tahoma" w:eastAsia="Times New Roman" w:hAnsi="Tahoma" w:cs="Tahoma"/>
          <w:b/>
          <w:bCs/>
          <w:color w:val="00305F"/>
          <w:sz w:val="32"/>
          <w:szCs w:val="32"/>
          <w:rtl/>
        </w:rPr>
      </w:pPr>
      <w:r>
        <w:rPr>
          <w:rtl/>
        </w:rPr>
        <w:br w:type="page"/>
      </w:r>
    </w:p>
    <w:p w14:paraId="7ECBB177" w14:textId="568BA835" w:rsidR="00760601" w:rsidRPr="00760601" w:rsidRDefault="005912C3" w:rsidP="00760601">
      <w:pPr>
        <w:pStyle w:val="7120"/>
        <w:rPr>
          <w:rtl/>
        </w:rPr>
      </w:pPr>
      <w:r w:rsidRPr="005912C3">
        <w:rPr>
          <w:rtl/>
        </w:rPr>
        <w:lastRenderedPageBreak/>
        <w:t>הדוחות הכספיים של מדינת ישראל ליום 31.12.2020 - חייבים ויתרות חובה</w:t>
      </w:r>
    </w:p>
    <w:p w14:paraId="49CB31CF" w14:textId="7E4A2DCB" w:rsidR="00116E1B" w:rsidRPr="00234FC9" w:rsidRDefault="002C6C7D" w:rsidP="00234FC9">
      <w:pPr>
        <w:pStyle w:val="71155"/>
        <w:rPr>
          <w:rtl/>
        </w:rPr>
      </w:pPr>
      <w:r w:rsidRPr="00234FC9">
        <w:rPr>
          <w:rFonts w:hint="cs"/>
          <w:rtl/>
        </w:rPr>
        <w:t>מ</w:t>
      </w:r>
      <w:r w:rsidR="00116E1B" w:rsidRPr="00234FC9">
        <w:rPr>
          <w:rFonts w:hint="cs"/>
          <w:rtl/>
        </w:rPr>
        <w:t>בוא</w:t>
      </w:r>
    </w:p>
    <w:p w14:paraId="2FBD9EFE" w14:textId="77777777" w:rsidR="007C4395" w:rsidRDefault="007C4395" w:rsidP="002A738D">
      <w:pPr>
        <w:pStyle w:val="7190"/>
        <w:rPr>
          <w:rtl/>
        </w:rPr>
      </w:pPr>
      <w:r>
        <w:rPr>
          <w:rFonts w:hint="cs"/>
          <w:rtl/>
        </w:rPr>
        <w:t xml:space="preserve">בסעיף 12 לחוק מבקר המדינה, </w:t>
      </w:r>
      <w:proofErr w:type="spellStart"/>
      <w:r>
        <w:rPr>
          <w:rFonts w:hint="cs"/>
          <w:rtl/>
        </w:rPr>
        <w:t>התשי"ח</w:t>
      </w:r>
      <w:proofErr w:type="spellEnd"/>
      <w:r>
        <w:rPr>
          <w:rFonts w:hint="cs"/>
          <w:rtl/>
        </w:rPr>
        <w:t>-1958 [נוסח משולב] (להלן - החוק), נקבע כי בכל שנה - במועד שיקבע המבקר, אולם לא יאוחר משישה חודשים לאחר תום שנת הכספים של המדינה - ימציא שר האוצר למבקר המדינה "דין וחשבון כולל על ההכנסות וההוצאות של המדינה באותה שנה". עוד נקבע בסעיף כי במועד שיקבע המבקר, אולם לא יאוחר מתשעה חודשים לאחר תום שנת הכספים של המדינה, ימציא שר האוצר למבקר המדינה את "מאזן זכויותיה והתחייבויותיה של המדינה למועד תום שנת הכספים". הדוחות הכספיים המאוחדים של המדינה ליום 31.12.2020 (להלן - הדוחות הכספיים ל-31.12.2020) הוגשו למבקר המדינה ופורסמו ביולי 2021.</w:t>
      </w:r>
    </w:p>
    <w:p w14:paraId="188951EA" w14:textId="77777777" w:rsidR="007C4395" w:rsidRDefault="007C4395" w:rsidP="002A738D">
      <w:pPr>
        <w:pStyle w:val="7190"/>
        <w:rPr>
          <w:rtl/>
        </w:rPr>
      </w:pPr>
      <w:r>
        <w:rPr>
          <w:rFonts w:hint="cs"/>
          <w:rtl/>
        </w:rPr>
        <w:t>להלן תמצית הנתונים הכספיים העיקריים של מדינת ישראל (במיליארדי ש"ח)</w:t>
      </w:r>
      <w:r>
        <w:rPr>
          <w:rStyle w:val="ac"/>
          <w:rtl/>
        </w:rPr>
        <w:footnoteReference w:id="3"/>
      </w:r>
      <w:r>
        <w:rPr>
          <w:rFonts w:hint="cs"/>
          <w:rtl/>
        </w:rPr>
        <w:t>:</w:t>
      </w:r>
    </w:p>
    <w:p w14:paraId="3A42A825" w14:textId="77777777" w:rsidR="0036544B" w:rsidRDefault="0036544B">
      <w:pPr>
        <w:bidi w:val="0"/>
        <w:spacing w:after="200" w:line="276" w:lineRule="auto"/>
        <w:rPr>
          <w:rFonts w:ascii="Tahoma" w:eastAsiaTheme="minorEastAsia" w:hAnsi="Tahoma" w:cs="Tahoma"/>
          <w:color w:val="0D0D0D" w:themeColor="text1" w:themeTint="F2"/>
          <w:szCs w:val="20"/>
          <w:rtl/>
        </w:rPr>
      </w:pPr>
      <w:r>
        <w:rPr>
          <w:b/>
          <w:bCs/>
          <w:rtl/>
        </w:rPr>
        <w:br w:type="page"/>
      </w:r>
    </w:p>
    <w:p w14:paraId="6718371A" w14:textId="1B51A10C" w:rsidR="007C4395" w:rsidRPr="00EC550D" w:rsidRDefault="007C4395" w:rsidP="00EC550D">
      <w:pPr>
        <w:pStyle w:val="71a"/>
        <w:rPr>
          <w:rtl/>
        </w:rPr>
      </w:pPr>
      <w:r w:rsidRPr="00EC550D">
        <w:rPr>
          <w:rFonts w:hint="cs"/>
          <w:b w:val="0"/>
          <w:bCs w:val="0"/>
          <w:rtl/>
        </w:rPr>
        <w:lastRenderedPageBreak/>
        <w:t xml:space="preserve">לוח </w:t>
      </w:r>
      <w:r w:rsidRPr="00EC550D">
        <w:rPr>
          <w:rFonts w:hint="cs"/>
          <w:b w:val="0"/>
          <w:bCs w:val="0"/>
          <w:rtl/>
        </w:rPr>
        <w:fldChar w:fldCharType="begin"/>
      </w:r>
      <w:r w:rsidRPr="00EC550D">
        <w:rPr>
          <w:rFonts w:hint="cs"/>
          <w:b w:val="0"/>
          <w:bCs w:val="0"/>
          <w:rtl/>
        </w:rPr>
        <w:instrText xml:space="preserve"> </w:instrText>
      </w:r>
      <w:r w:rsidRPr="00EC550D">
        <w:rPr>
          <w:b w:val="0"/>
          <w:bCs w:val="0"/>
        </w:rPr>
        <w:instrText>SEQ</w:instrText>
      </w:r>
      <w:r w:rsidRPr="00EC550D">
        <w:rPr>
          <w:rFonts w:hint="cs"/>
          <w:b w:val="0"/>
          <w:bCs w:val="0"/>
          <w:rtl/>
        </w:rPr>
        <w:instrText xml:space="preserve"> לוח \* </w:instrText>
      </w:r>
      <w:r w:rsidRPr="00EC550D">
        <w:rPr>
          <w:b w:val="0"/>
          <w:bCs w:val="0"/>
        </w:rPr>
        <w:instrText>ARABIC</w:instrText>
      </w:r>
      <w:r w:rsidRPr="00EC550D">
        <w:rPr>
          <w:rFonts w:hint="cs"/>
          <w:b w:val="0"/>
          <w:bCs w:val="0"/>
          <w:rtl/>
        </w:rPr>
        <w:instrText xml:space="preserve"> </w:instrText>
      </w:r>
      <w:r w:rsidRPr="00EC550D">
        <w:rPr>
          <w:rFonts w:hint="cs"/>
          <w:b w:val="0"/>
          <w:bCs w:val="0"/>
          <w:rtl/>
        </w:rPr>
        <w:fldChar w:fldCharType="separate"/>
      </w:r>
      <w:r w:rsidR="003D59E1">
        <w:rPr>
          <w:b w:val="0"/>
          <w:bCs w:val="0"/>
          <w:noProof/>
          <w:rtl/>
        </w:rPr>
        <w:t>1</w:t>
      </w:r>
      <w:r w:rsidRPr="00EC550D">
        <w:rPr>
          <w:rFonts w:hint="cs"/>
          <w:b w:val="0"/>
          <w:bCs w:val="0"/>
          <w:rtl/>
        </w:rPr>
        <w:fldChar w:fldCharType="end"/>
      </w:r>
      <w:r w:rsidRPr="00EC550D">
        <w:rPr>
          <w:rFonts w:hint="cs"/>
          <w:rtl/>
        </w:rPr>
        <w:t>: נתוני הביצוע הכספי, 2017 - 2020 (במיליארדי ש"ח בבסיס מצטבר</w:t>
      </w:r>
      <w:r w:rsidRPr="0036544B">
        <w:rPr>
          <w:rStyle w:val="ac"/>
          <w:rtl/>
        </w:rPr>
        <w:footnoteReference w:id="4"/>
      </w:r>
      <w:r w:rsidRPr="00EC550D">
        <w:rPr>
          <w:rFonts w:hint="cs"/>
          <w:rtl/>
        </w:rPr>
        <w:t>)</w:t>
      </w:r>
    </w:p>
    <w:tbl>
      <w:tblPr>
        <w:tblStyle w:val="5-1"/>
        <w:bidiVisual/>
        <w:tblW w:w="5000" w:type="pct"/>
        <w:tblBorders>
          <w:top w:val="none" w:sz="0" w:space="0" w:color="auto"/>
          <w:left w:val="single" w:sz="4" w:space="0" w:color="auto"/>
          <w:bottom w:val="none" w:sz="0" w:space="0" w:color="auto"/>
          <w:right w:val="single" w:sz="4" w:space="0" w:color="auto"/>
          <w:insideH w:val="none" w:sz="0" w:space="0" w:color="auto"/>
          <w:insideV w:val="none" w:sz="0" w:space="0" w:color="auto"/>
        </w:tblBorders>
        <w:shd w:val="clear" w:color="auto" w:fill="C7DCE4"/>
        <w:tblLook w:val="04A0" w:firstRow="1" w:lastRow="0" w:firstColumn="1" w:lastColumn="0" w:noHBand="0" w:noVBand="1"/>
      </w:tblPr>
      <w:tblGrid>
        <w:gridCol w:w="3609"/>
        <w:gridCol w:w="939"/>
        <w:gridCol w:w="941"/>
        <w:gridCol w:w="939"/>
        <w:gridCol w:w="932"/>
      </w:tblGrid>
      <w:tr w:rsidR="0036544B" w14:paraId="059CB19C" w14:textId="77777777" w:rsidTr="004D4D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2" w:type="pct"/>
            <w:tcBorders>
              <w:left w:val="single" w:sz="4" w:space="0" w:color="auto"/>
              <w:right w:val="single" w:sz="4" w:space="0" w:color="auto"/>
            </w:tcBorders>
            <w:shd w:val="clear" w:color="auto" w:fill="C7DCE4"/>
          </w:tcPr>
          <w:p w14:paraId="2706CA05" w14:textId="77777777" w:rsidR="007C4395" w:rsidRPr="009E6326" w:rsidRDefault="007C4395" w:rsidP="009E6326">
            <w:pPr>
              <w:pStyle w:val="71B0"/>
              <w:rPr>
                <w:b/>
                <w:bCs/>
                <w:rtl/>
              </w:rPr>
            </w:pPr>
          </w:p>
        </w:tc>
        <w:tc>
          <w:tcPr>
            <w:tcW w:w="2548" w:type="pct"/>
            <w:gridSpan w:val="4"/>
            <w:tcBorders>
              <w:left w:val="single" w:sz="4" w:space="0" w:color="auto"/>
              <w:right w:val="single" w:sz="4" w:space="0" w:color="auto"/>
            </w:tcBorders>
            <w:shd w:val="clear" w:color="auto" w:fill="C7DCE4"/>
            <w:hideMark/>
          </w:tcPr>
          <w:p w14:paraId="50DE923B" w14:textId="276234BF" w:rsidR="007C4395" w:rsidRPr="009E6326" w:rsidRDefault="007C4395" w:rsidP="009E6326">
            <w:pPr>
              <w:pStyle w:val="71B0"/>
              <w:cnfStyle w:val="100000000000" w:firstRow="1" w:lastRow="0" w:firstColumn="0" w:lastColumn="0" w:oddVBand="0" w:evenVBand="0" w:oddHBand="0" w:evenHBand="0" w:firstRowFirstColumn="0" w:firstRowLastColumn="0" w:lastRowFirstColumn="0" w:lastRowLastColumn="0"/>
              <w:rPr>
                <w:b/>
                <w:bCs/>
                <w:rtl/>
              </w:rPr>
            </w:pPr>
            <w:r w:rsidRPr="009E6326">
              <w:rPr>
                <w:rFonts w:hint="cs"/>
                <w:b/>
                <w:bCs/>
                <w:rtl/>
              </w:rPr>
              <w:t xml:space="preserve">מדינת ישראל, דוח מאוחד </w:t>
            </w:r>
            <w:r w:rsidR="009E6326">
              <w:rPr>
                <w:b/>
                <w:bCs/>
                <w:rtl/>
              </w:rPr>
              <w:br/>
            </w:r>
            <w:r w:rsidRPr="009E6326">
              <w:rPr>
                <w:rFonts w:hint="cs"/>
                <w:b/>
                <w:bCs/>
                <w:rtl/>
              </w:rPr>
              <w:t xml:space="preserve">לשנה שהסתיימה ביום 31 בדצמבר </w:t>
            </w:r>
          </w:p>
        </w:tc>
      </w:tr>
      <w:tr w:rsidR="0036544B" w14:paraId="0C79C80D" w14:textId="77777777" w:rsidTr="0036544B">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452" w:type="pct"/>
            <w:tcBorders>
              <w:left w:val="none" w:sz="0" w:space="0" w:color="auto"/>
              <w:right w:val="single" w:sz="4" w:space="0" w:color="auto"/>
            </w:tcBorders>
            <w:shd w:val="clear" w:color="auto" w:fill="DCE9EE"/>
          </w:tcPr>
          <w:p w14:paraId="67566EC8" w14:textId="77777777" w:rsidR="007C4395" w:rsidRDefault="007C4395" w:rsidP="009E6326">
            <w:pPr>
              <w:pStyle w:val="71R"/>
              <w:rPr>
                <w:rtl/>
              </w:rPr>
            </w:pPr>
          </w:p>
        </w:tc>
        <w:tc>
          <w:tcPr>
            <w:tcW w:w="638" w:type="pct"/>
            <w:tcBorders>
              <w:left w:val="single" w:sz="4" w:space="0" w:color="auto"/>
              <w:right w:val="single" w:sz="4" w:space="0" w:color="auto"/>
            </w:tcBorders>
            <w:shd w:val="clear" w:color="auto" w:fill="DCE9EE"/>
            <w:hideMark/>
          </w:tcPr>
          <w:p w14:paraId="79E4E8F0" w14:textId="77777777" w:rsidR="007C4395" w:rsidRPr="0036544B"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36544B">
              <w:rPr>
                <w:rFonts w:hint="cs"/>
                <w:b/>
                <w:bCs/>
                <w:rtl/>
              </w:rPr>
              <w:t>2017</w:t>
            </w:r>
          </w:p>
        </w:tc>
        <w:tc>
          <w:tcPr>
            <w:tcW w:w="639" w:type="pct"/>
            <w:tcBorders>
              <w:left w:val="single" w:sz="4" w:space="0" w:color="auto"/>
              <w:right w:val="single" w:sz="4" w:space="0" w:color="auto"/>
            </w:tcBorders>
            <w:shd w:val="clear" w:color="auto" w:fill="DCE9EE"/>
            <w:hideMark/>
          </w:tcPr>
          <w:p w14:paraId="5DC929CF" w14:textId="77777777" w:rsidR="007C4395" w:rsidRPr="0036544B"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36544B">
              <w:rPr>
                <w:rFonts w:hint="cs"/>
                <w:b/>
                <w:bCs/>
                <w:rtl/>
              </w:rPr>
              <w:t>2018</w:t>
            </w:r>
          </w:p>
        </w:tc>
        <w:tc>
          <w:tcPr>
            <w:tcW w:w="638" w:type="pct"/>
            <w:tcBorders>
              <w:left w:val="single" w:sz="4" w:space="0" w:color="auto"/>
              <w:right w:val="single" w:sz="4" w:space="0" w:color="auto"/>
            </w:tcBorders>
            <w:shd w:val="clear" w:color="auto" w:fill="DCE9EE"/>
            <w:hideMark/>
          </w:tcPr>
          <w:p w14:paraId="0955D653" w14:textId="77777777" w:rsidR="007C4395" w:rsidRPr="0036544B"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36544B">
              <w:rPr>
                <w:rFonts w:hint="cs"/>
                <w:b/>
                <w:bCs/>
                <w:rtl/>
              </w:rPr>
              <w:t>2019</w:t>
            </w:r>
          </w:p>
        </w:tc>
        <w:tc>
          <w:tcPr>
            <w:tcW w:w="633" w:type="pct"/>
            <w:tcBorders>
              <w:left w:val="single" w:sz="4" w:space="0" w:color="auto"/>
            </w:tcBorders>
            <w:shd w:val="clear" w:color="auto" w:fill="DCE9EE"/>
            <w:hideMark/>
          </w:tcPr>
          <w:p w14:paraId="3D0BE5C0" w14:textId="77777777" w:rsidR="007C4395" w:rsidRPr="0036544B"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36544B">
              <w:rPr>
                <w:rFonts w:hint="cs"/>
                <w:b/>
                <w:bCs/>
                <w:rtl/>
              </w:rPr>
              <w:t>2020</w:t>
            </w:r>
          </w:p>
        </w:tc>
      </w:tr>
      <w:tr w:rsidR="0036544B" w14:paraId="47FD8F6F" w14:textId="77777777" w:rsidTr="0036544B">
        <w:tc>
          <w:tcPr>
            <w:cnfStyle w:val="001000000000" w:firstRow="0" w:lastRow="0" w:firstColumn="1" w:lastColumn="0" w:oddVBand="0" w:evenVBand="0" w:oddHBand="0" w:evenHBand="0" w:firstRowFirstColumn="0" w:firstRowLastColumn="0" w:lastRowFirstColumn="0" w:lastRowLastColumn="0"/>
            <w:tcW w:w="2452" w:type="pct"/>
            <w:tcBorders>
              <w:left w:val="none" w:sz="0" w:space="0" w:color="auto"/>
              <w:right w:val="single" w:sz="4" w:space="0" w:color="auto"/>
            </w:tcBorders>
            <w:shd w:val="clear" w:color="auto" w:fill="EDF5F6"/>
            <w:hideMark/>
          </w:tcPr>
          <w:p w14:paraId="36FC5145" w14:textId="77777777" w:rsidR="007C4395" w:rsidRDefault="007C4395" w:rsidP="009E6326">
            <w:pPr>
              <w:pStyle w:val="71R"/>
              <w:rPr>
                <w:rtl/>
              </w:rPr>
            </w:pPr>
            <w:r>
              <w:rPr>
                <w:rFonts w:hint="cs"/>
                <w:rtl/>
              </w:rPr>
              <w:t>הביצוע הכספי</w:t>
            </w:r>
          </w:p>
        </w:tc>
        <w:tc>
          <w:tcPr>
            <w:tcW w:w="2548" w:type="pct"/>
            <w:gridSpan w:val="4"/>
            <w:tcBorders>
              <w:left w:val="single" w:sz="4" w:space="0" w:color="auto"/>
            </w:tcBorders>
            <w:shd w:val="clear" w:color="auto" w:fill="EDF5F6"/>
          </w:tcPr>
          <w:p w14:paraId="08C6A6E7"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p>
        </w:tc>
      </w:tr>
      <w:tr w:rsidR="0036544B" w14:paraId="284EC836" w14:textId="77777777" w:rsidTr="003654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2" w:type="pct"/>
            <w:tcBorders>
              <w:left w:val="none" w:sz="0" w:space="0" w:color="auto"/>
              <w:right w:val="single" w:sz="4" w:space="0" w:color="auto"/>
            </w:tcBorders>
            <w:shd w:val="clear" w:color="auto" w:fill="DCE9EE"/>
            <w:hideMark/>
          </w:tcPr>
          <w:p w14:paraId="657472E8" w14:textId="77777777" w:rsidR="007C4395" w:rsidRDefault="007C4395" w:rsidP="009E6326">
            <w:pPr>
              <w:pStyle w:val="71R"/>
              <w:rPr>
                <w:rtl/>
              </w:rPr>
            </w:pPr>
            <w:r>
              <w:rPr>
                <w:rFonts w:hint="cs"/>
                <w:b w:val="0"/>
                <w:bCs w:val="0"/>
                <w:rtl/>
              </w:rPr>
              <w:t>הכנסות ממיסים ומאגרות</w:t>
            </w:r>
          </w:p>
        </w:tc>
        <w:tc>
          <w:tcPr>
            <w:tcW w:w="638" w:type="pct"/>
            <w:tcBorders>
              <w:left w:val="single" w:sz="4" w:space="0" w:color="auto"/>
              <w:right w:val="single" w:sz="4" w:space="0" w:color="auto"/>
            </w:tcBorders>
            <w:shd w:val="clear" w:color="auto" w:fill="DCE9EE"/>
            <w:hideMark/>
          </w:tcPr>
          <w:p w14:paraId="3F692977"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384</w:t>
            </w:r>
          </w:p>
        </w:tc>
        <w:tc>
          <w:tcPr>
            <w:tcW w:w="639" w:type="pct"/>
            <w:tcBorders>
              <w:left w:val="single" w:sz="4" w:space="0" w:color="auto"/>
              <w:right w:val="single" w:sz="4" w:space="0" w:color="auto"/>
            </w:tcBorders>
            <w:shd w:val="clear" w:color="auto" w:fill="DCE9EE"/>
            <w:hideMark/>
          </w:tcPr>
          <w:p w14:paraId="40688562"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380</w:t>
            </w:r>
          </w:p>
        </w:tc>
        <w:tc>
          <w:tcPr>
            <w:tcW w:w="638" w:type="pct"/>
            <w:tcBorders>
              <w:left w:val="single" w:sz="4" w:space="0" w:color="auto"/>
              <w:right w:val="single" w:sz="4" w:space="0" w:color="auto"/>
            </w:tcBorders>
            <w:shd w:val="clear" w:color="auto" w:fill="DCE9EE"/>
            <w:hideMark/>
          </w:tcPr>
          <w:p w14:paraId="04D1E190"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396</w:t>
            </w:r>
          </w:p>
        </w:tc>
        <w:tc>
          <w:tcPr>
            <w:tcW w:w="633" w:type="pct"/>
            <w:tcBorders>
              <w:left w:val="single" w:sz="4" w:space="0" w:color="auto"/>
            </w:tcBorders>
            <w:shd w:val="clear" w:color="auto" w:fill="DCE9EE"/>
            <w:hideMark/>
          </w:tcPr>
          <w:p w14:paraId="02C70671"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389</w:t>
            </w:r>
          </w:p>
        </w:tc>
      </w:tr>
      <w:tr w:rsidR="0036544B" w14:paraId="27455AC5" w14:textId="77777777" w:rsidTr="0036544B">
        <w:tc>
          <w:tcPr>
            <w:cnfStyle w:val="001000000000" w:firstRow="0" w:lastRow="0" w:firstColumn="1" w:lastColumn="0" w:oddVBand="0" w:evenVBand="0" w:oddHBand="0" w:evenHBand="0" w:firstRowFirstColumn="0" w:firstRowLastColumn="0" w:lastRowFirstColumn="0" w:lastRowLastColumn="0"/>
            <w:tcW w:w="2452" w:type="pct"/>
            <w:tcBorders>
              <w:left w:val="none" w:sz="0" w:space="0" w:color="auto"/>
              <w:right w:val="single" w:sz="4" w:space="0" w:color="auto"/>
            </w:tcBorders>
            <w:shd w:val="clear" w:color="auto" w:fill="EDF5F6"/>
            <w:hideMark/>
          </w:tcPr>
          <w:p w14:paraId="71638B12" w14:textId="77777777" w:rsidR="007C4395" w:rsidRDefault="007C4395" w:rsidP="009E6326">
            <w:pPr>
              <w:pStyle w:val="71R"/>
              <w:rPr>
                <w:rtl/>
              </w:rPr>
            </w:pPr>
            <w:r>
              <w:rPr>
                <w:rFonts w:hint="cs"/>
                <w:b w:val="0"/>
                <w:bCs w:val="0"/>
                <w:rtl/>
              </w:rPr>
              <w:t>הכנסות מהעברות</w:t>
            </w:r>
          </w:p>
        </w:tc>
        <w:tc>
          <w:tcPr>
            <w:tcW w:w="638" w:type="pct"/>
            <w:tcBorders>
              <w:left w:val="single" w:sz="4" w:space="0" w:color="auto"/>
              <w:right w:val="single" w:sz="4" w:space="0" w:color="auto"/>
            </w:tcBorders>
            <w:shd w:val="clear" w:color="auto" w:fill="EDF5F6"/>
            <w:hideMark/>
          </w:tcPr>
          <w:p w14:paraId="12DB1F03"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13</w:t>
            </w:r>
          </w:p>
        </w:tc>
        <w:tc>
          <w:tcPr>
            <w:tcW w:w="639" w:type="pct"/>
            <w:tcBorders>
              <w:left w:val="single" w:sz="4" w:space="0" w:color="auto"/>
              <w:right w:val="single" w:sz="4" w:space="0" w:color="auto"/>
            </w:tcBorders>
            <w:shd w:val="clear" w:color="auto" w:fill="EDF5F6"/>
            <w:hideMark/>
          </w:tcPr>
          <w:p w14:paraId="7B417819"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14</w:t>
            </w:r>
          </w:p>
        </w:tc>
        <w:tc>
          <w:tcPr>
            <w:tcW w:w="638" w:type="pct"/>
            <w:tcBorders>
              <w:left w:val="single" w:sz="4" w:space="0" w:color="auto"/>
              <w:right w:val="single" w:sz="4" w:space="0" w:color="auto"/>
            </w:tcBorders>
            <w:shd w:val="clear" w:color="auto" w:fill="EDF5F6"/>
            <w:hideMark/>
          </w:tcPr>
          <w:p w14:paraId="19A95843"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13</w:t>
            </w:r>
          </w:p>
        </w:tc>
        <w:tc>
          <w:tcPr>
            <w:tcW w:w="633" w:type="pct"/>
            <w:tcBorders>
              <w:left w:val="single" w:sz="4" w:space="0" w:color="auto"/>
            </w:tcBorders>
            <w:shd w:val="clear" w:color="auto" w:fill="EDF5F6"/>
            <w:hideMark/>
          </w:tcPr>
          <w:p w14:paraId="10ABBB83"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13</w:t>
            </w:r>
          </w:p>
        </w:tc>
      </w:tr>
      <w:tr w:rsidR="0036544B" w14:paraId="4D8F5699" w14:textId="77777777" w:rsidTr="003654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2" w:type="pct"/>
            <w:tcBorders>
              <w:left w:val="none" w:sz="0" w:space="0" w:color="auto"/>
              <w:right w:val="single" w:sz="4" w:space="0" w:color="auto"/>
            </w:tcBorders>
            <w:shd w:val="clear" w:color="auto" w:fill="DCE9EE"/>
            <w:hideMark/>
          </w:tcPr>
          <w:p w14:paraId="2AB80AAA" w14:textId="77777777" w:rsidR="007C4395" w:rsidRDefault="007C4395" w:rsidP="009E6326">
            <w:pPr>
              <w:pStyle w:val="71R"/>
              <w:rPr>
                <w:rtl/>
              </w:rPr>
            </w:pPr>
            <w:r>
              <w:rPr>
                <w:rFonts w:hint="cs"/>
                <w:b w:val="0"/>
                <w:bCs w:val="0"/>
                <w:rtl/>
              </w:rPr>
              <w:t>הכנסות מעסקאות חליפין</w:t>
            </w:r>
          </w:p>
        </w:tc>
        <w:tc>
          <w:tcPr>
            <w:tcW w:w="638" w:type="pct"/>
            <w:tcBorders>
              <w:left w:val="single" w:sz="4" w:space="0" w:color="auto"/>
              <w:right w:val="single" w:sz="4" w:space="0" w:color="auto"/>
            </w:tcBorders>
            <w:shd w:val="clear" w:color="auto" w:fill="DCE9EE"/>
            <w:hideMark/>
          </w:tcPr>
          <w:p w14:paraId="717DE017"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89</w:t>
            </w:r>
          </w:p>
        </w:tc>
        <w:tc>
          <w:tcPr>
            <w:tcW w:w="639" w:type="pct"/>
            <w:tcBorders>
              <w:left w:val="single" w:sz="4" w:space="0" w:color="auto"/>
              <w:right w:val="single" w:sz="4" w:space="0" w:color="auto"/>
            </w:tcBorders>
            <w:shd w:val="clear" w:color="auto" w:fill="DCE9EE"/>
            <w:hideMark/>
          </w:tcPr>
          <w:p w14:paraId="050AC560"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92</w:t>
            </w:r>
          </w:p>
        </w:tc>
        <w:tc>
          <w:tcPr>
            <w:tcW w:w="638" w:type="pct"/>
            <w:tcBorders>
              <w:left w:val="single" w:sz="4" w:space="0" w:color="auto"/>
              <w:right w:val="single" w:sz="4" w:space="0" w:color="auto"/>
            </w:tcBorders>
            <w:shd w:val="clear" w:color="auto" w:fill="DCE9EE"/>
            <w:hideMark/>
          </w:tcPr>
          <w:p w14:paraId="0942A076"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93</w:t>
            </w:r>
          </w:p>
        </w:tc>
        <w:tc>
          <w:tcPr>
            <w:tcW w:w="633" w:type="pct"/>
            <w:tcBorders>
              <w:left w:val="single" w:sz="4" w:space="0" w:color="auto"/>
            </w:tcBorders>
            <w:shd w:val="clear" w:color="auto" w:fill="DCE9EE"/>
            <w:hideMark/>
          </w:tcPr>
          <w:p w14:paraId="5C128544"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85</w:t>
            </w:r>
          </w:p>
        </w:tc>
      </w:tr>
      <w:tr w:rsidR="0036544B" w14:paraId="51143E7F" w14:textId="77777777" w:rsidTr="0036544B">
        <w:tc>
          <w:tcPr>
            <w:cnfStyle w:val="001000000000" w:firstRow="0" w:lastRow="0" w:firstColumn="1" w:lastColumn="0" w:oddVBand="0" w:evenVBand="0" w:oddHBand="0" w:evenHBand="0" w:firstRowFirstColumn="0" w:firstRowLastColumn="0" w:lastRowFirstColumn="0" w:lastRowLastColumn="0"/>
            <w:tcW w:w="2452" w:type="pct"/>
            <w:tcBorders>
              <w:left w:val="none" w:sz="0" w:space="0" w:color="auto"/>
              <w:right w:val="single" w:sz="4" w:space="0" w:color="auto"/>
            </w:tcBorders>
            <w:shd w:val="clear" w:color="auto" w:fill="EDF5F6"/>
            <w:hideMark/>
          </w:tcPr>
          <w:p w14:paraId="0EF9FDB5" w14:textId="77777777" w:rsidR="007C4395" w:rsidRDefault="007C4395" w:rsidP="009E6326">
            <w:pPr>
              <w:pStyle w:val="71R"/>
              <w:rPr>
                <w:rtl/>
              </w:rPr>
            </w:pPr>
            <w:r>
              <w:rPr>
                <w:rFonts w:hint="cs"/>
                <w:b w:val="0"/>
                <w:bCs w:val="0"/>
                <w:rtl/>
              </w:rPr>
              <w:t>הכנסות אחרות</w:t>
            </w:r>
          </w:p>
        </w:tc>
        <w:tc>
          <w:tcPr>
            <w:tcW w:w="638" w:type="pct"/>
            <w:tcBorders>
              <w:left w:val="single" w:sz="4" w:space="0" w:color="auto"/>
              <w:right w:val="single" w:sz="4" w:space="0" w:color="auto"/>
            </w:tcBorders>
            <w:shd w:val="clear" w:color="auto" w:fill="EDF5F6"/>
            <w:hideMark/>
          </w:tcPr>
          <w:p w14:paraId="2786BF3B"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9</w:t>
            </w:r>
          </w:p>
        </w:tc>
        <w:tc>
          <w:tcPr>
            <w:tcW w:w="639" w:type="pct"/>
            <w:tcBorders>
              <w:left w:val="single" w:sz="4" w:space="0" w:color="auto"/>
              <w:right w:val="single" w:sz="4" w:space="0" w:color="auto"/>
            </w:tcBorders>
            <w:shd w:val="clear" w:color="auto" w:fill="EDF5F6"/>
            <w:hideMark/>
          </w:tcPr>
          <w:p w14:paraId="7762EFEE"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10</w:t>
            </w:r>
          </w:p>
        </w:tc>
        <w:tc>
          <w:tcPr>
            <w:tcW w:w="638" w:type="pct"/>
            <w:tcBorders>
              <w:left w:val="single" w:sz="4" w:space="0" w:color="auto"/>
              <w:right w:val="single" w:sz="4" w:space="0" w:color="auto"/>
            </w:tcBorders>
            <w:shd w:val="clear" w:color="auto" w:fill="EDF5F6"/>
            <w:hideMark/>
          </w:tcPr>
          <w:p w14:paraId="299B71D4"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7</w:t>
            </w:r>
          </w:p>
        </w:tc>
        <w:tc>
          <w:tcPr>
            <w:tcW w:w="633" w:type="pct"/>
            <w:tcBorders>
              <w:left w:val="single" w:sz="4" w:space="0" w:color="auto"/>
            </w:tcBorders>
            <w:shd w:val="clear" w:color="auto" w:fill="EDF5F6"/>
            <w:hideMark/>
          </w:tcPr>
          <w:p w14:paraId="4B6A88F0"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5</w:t>
            </w:r>
          </w:p>
        </w:tc>
      </w:tr>
      <w:tr w:rsidR="0036544B" w14:paraId="52B01534" w14:textId="77777777" w:rsidTr="003654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2" w:type="pct"/>
            <w:tcBorders>
              <w:left w:val="none" w:sz="0" w:space="0" w:color="auto"/>
              <w:right w:val="single" w:sz="4" w:space="0" w:color="auto"/>
            </w:tcBorders>
            <w:shd w:val="clear" w:color="auto" w:fill="C7DCE4"/>
            <w:hideMark/>
          </w:tcPr>
          <w:p w14:paraId="10AE69C7" w14:textId="77777777" w:rsidR="007C4395" w:rsidRDefault="007C4395" w:rsidP="009E6326">
            <w:pPr>
              <w:pStyle w:val="71R"/>
              <w:rPr>
                <w:rtl/>
              </w:rPr>
            </w:pPr>
            <w:r>
              <w:rPr>
                <w:rFonts w:hint="cs"/>
                <w:rtl/>
              </w:rPr>
              <w:t>סך הכול הכנסות</w:t>
            </w:r>
          </w:p>
        </w:tc>
        <w:tc>
          <w:tcPr>
            <w:tcW w:w="638" w:type="pct"/>
            <w:tcBorders>
              <w:left w:val="single" w:sz="4" w:space="0" w:color="auto"/>
              <w:right w:val="single" w:sz="4" w:space="0" w:color="auto"/>
            </w:tcBorders>
            <w:shd w:val="clear" w:color="auto" w:fill="C7DCE4"/>
            <w:hideMark/>
          </w:tcPr>
          <w:p w14:paraId="0E1CB064" w14:textId="77777777" w:rsidR="007C4395" w:rsidRPr="0036544B"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36544B">
              <w:rPr>
                <w:rFonts w:hint="cs"/>
                <w:b/>
                <w:bCs/>
                <w:rtl/>
              </w:rPr>
              <w:t>495</w:t>
            </w:r>
          </w:p>
        </w:tc>
        <w:tc>
          <w:tcPr>
            <w:tcW w:w="639" w:type="pct"/>
            <w:tcBorders>
              <w:left w:val="single" w:sz="4" w:space="0" w:color="auto"/>
              <w:right w:val="single" w:sz="4" w:space="0" w:color="auto"/>
            </w:tcBorders>
            <w:shd w:val="clear" w:color="auto" w:fill="C7DCE4"/>
            <w:hideMark/>
          </w:tcPr>
          <w:p w14:paraId="7DA7AF89" w14:textId="77777777" w:rsidR="007C4395" w:rsidRPr="0036544B"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36544B">
              <w:rPr>
                <w:rFonts w:hint="cs"/>
                <w:b/>
                <w:bCs/>
                <w:rtl/>
              </w:rPr>
              <w:t>496</w:t>
            </w:r>
          </w:p>
        </w:tc>
        <w:tc>
          <w:tcPr>
            <w:tcW w:w="638" w:type="pct"/>
            <w:tcBorders>
              <w:left w:val="single" w:sz="4" w:space="0" w:color="auto"/>
              <w:right w:val="single" w:sz="4" w:space="0" w:color="auto"/>
            </w:tcBorders>
            <w:shd w:val="clear" w:color="auto" w:fill="C7DCE4"/>
            <w:hideMark/>
          </w:tcPr>
          <w:p w14:paraId="2506185A" w14:textId="77777777" w:rsidR="007C4395" w:rsidRPr="0036544B"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36544B">
              <w:rPr>
                <w:rFonts w:hint="cs"/>
                <w:b/>
                <w:bCs/>
                <w:rtl/>
              </w:rPr>
              <w:t>509</w:t>
            </w:r>
          </w:p>
        </w:tc>
        <w:tc>
          <w:tcPr>
            <w:tcW w:w="633" w:type="pct"/>
            <w:tcBorders>
              <w:left w:val="single" w:sz="4" w:space="0" w:color="auto"/>
            </w:tcBorders>
            <w:shd w:val="clear" w:color="auto" w:fill="C7DCE4"/>
            <w:hideMark/>
          </w:tcPr>
          <w:p w14:paraId="75E0F8A7" w14:textId="77777777" w:rsidR="007C4395" w:rsidRPr="0036544B"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36544B">
              <w:rPr>
                <w:rFonts w:hint="cs"/>
                <w:b/>
                <w:bCs/>
                <w:rtl/>
              </w:rPr>
              <w:t>492</w:t>
            </w:r>
          </w:p>
        </w:tc>
      </w:tr>
      <w:tr w:rsidR="0036544B" w14:paraId="214DEDEA" w14:textId="77777777" w:rsidTr="0036544B">
        <w:tc>
          <w:tcPr>
            <w:cnfStyle w:val="001000000000" w:firstRow="0" w:lastRow="0" w:firstColumn="1" w:lastColumn="0" w:oddVBand="0" w:evenVBand="0" w:oddHBand="0" w:evenHBand="0" w:firstRowFirstColumn="0" w:firstRowLastColumn="0" w:lastRowFirstColumn="0" w:lastRowLastColumn="0"/>
            <w:tcW w:w="2452" w:type="pct"/>
            <w:tcBorders>
              <w:left w:val="none" w:sz="0" w:space="0" w:color="auto"/>
              <w:right w:val="single" w:sz="4" w:space="0" w:color="auto"/>
            </w:tcBorders>
            <w:shd w:val="clear" w:color="auto" w:fill="DCE9EE"/>
            <w:hideMark/>
          </w:tcPr>
          <w:p w14:paraId="482A5384" w14:textId="77777777" w:rsidR="007C4395" w:rsidRDefault="007C4395" w:rsidP="009E6326">
            <w:pPr>
              <w:pStyle w:val="71R"/>
              <w:rPr>
                <w:rtl/>
              </w:rPr>
            </w:pPr>
            <w:r>
              <w:rPr>
                <w:rFonts w:hint="cs"/>
                <w:b w:val="0"/>
                <w:bCs w:val="0"/>
                <w:rtl/>
              </w:rPr>
              <w:t>שכר עבודה והטבות לעובדים</w:t>
            </w:r>
          </w:p>
        </w:tc>
        <w:tc>
          <w:tcPr>
            <w:tcW w:w="638" w:type="pct"/>
            <w:tcBorders>
              <w:left w:val="single" w:sz="4" w:space="0" w:color="auto"/>
              <w:right w:val="single" w:sz="4" w:space="0" w:color="auto"/>
            </w:tcBorders>
            <w:shd w:val="clear" w:color="auto" w:fill="DCE9EE"/>
            <w:hideMark/>
          </w:tcPr>
          <w:p w14:paraId="1AD2D0D0"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145</w:t>
            </w:r>
          </w:p>
        </w:tc>
        <w:tc>
          <w:tcPr>
            <w:tcW w:w="639" w:type="pct"/>
            <w:tcBorders>
              <w:left w:val="single" w:sz="4" w:space="0" w:color="auto"/>
              <w:right w:val="single" w:sz="4" w:space="0" w:color="auto"/>
            </w:tcBorders>
            <w:shd w:val="clear" w:color="auto" w:fill="DCE9EE"/>
            <w:hideMark/>
          </w:tcPr>
          <w:p w14:paraId="24A17795"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129</w:t>
            </w:r>
          </w:p>
        </w:tc>
        <w:tc>
          <w:tcPr>
            <w:tcW w:w="638" w:type="pct"/>
            <w:tcBorders>
              <w:left w:val="single" w:sz="4" w:space="0" w:color="auto"/>
              <w:right w:val="single" w:sz="4" w:space="0" w:color="auto"/>
            </w:tcBorders>
            <w:shd w:val="clear" w:color="auto" w:fill="DCE9EE"/>
            <w:hideMark/>
          </w:tcPr>
          <w:p w14:paraId="6175558F"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130</w:t>
            </w:r>
          </w:p>
        </w:tc>
        <w:tc>
          <w:tcPr>
            <w:tcW w:w="633" w:type="pct"/>
            <w:tcBorders>
              <w:left w:val="single" w:sz="4" w:space="0" w:color="auto"/>
            </w:tcBorders>
            <w:shd w:val="clear" w:color="auto" w:fill="DCE9EE"/>
            <w:hideMark/>
          </w:tcPr>
          <w:p w14:paraId="6D604542"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115</w:t>
            </w:r>
          </w:p>
        </w:tc>
      </w:tr>
      <w:tr w:rsidR="0036544B" w14:paraId="3A7B1092" w14:textId="77777777" w:rsidTr="003654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2" w:type="pct"/>
            <w:tcBorders>
              <w:left w:val="none" w:sz="0" w:space="0" w:color="auto"/>
              <w:right w:val="single" w:sz="4" w:space="0" w:color="auto"/>
            </w:tcBorders>
            <w:shd w:val="clear" w:color="auto" w:fill="DCE9EE"/>
            <w:hideMark/>
          </w:tcPr>
          <w:p w14:paraId="45ACE414" w14:textId="77777777" w:rsidR="007C4395" w:rsidRDefault="007C4395" w:rsidP="009E6326">
            <w:pPr>
              <w:pStyle w:val="71R"/>
              <w:rPr>
                <w:rtl/>
              </w:rPr>
            </w:pPr>
            <w:r>
              <w:rPr>
                <w:rFonts w:hint="cs"/>
                <w:b w:val="0"/>
                <w:bCs w:val="0"/>
                <w:rtl/>
              </w:rPr>
              <w:t>תמיכות, הקצבות והעברות</w:t>
            </w:r>
          </w:p>
        </w:tc>
        <w:tc>
          <w:tcPr>
            <w:tcW w:w="638" w:type="pct"/>
            <w:tcBorders>
              <w:left w:val="single" w:sz="4" w:space="0" w:color="auto"/>
              <w:right w:val="single" w:sz="4" w:space="0" w:color="auto"/>
            </w:tcBorders>
            <w:shd w:val="clear" w:color="auto" w:fill="DCE9EE"/>
            <w:hideMark/>
          </w:tcPr>
          <w:p w14:paraId="14B6A457"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283</w:t>
            </w:r>
          </w:p>
        </w:tc>
        <w:tc>
          <w:tcPr>
            <w:tcW w:w="639" w:type="pct"/>
            <w:tcBorders>
              <w:left w:val="single" w:sz="4" w:space="0" w:color="auto"/>
              <w:right w:val="single" w:sz="4" w:space="0" w:color="auto"/>
            </w:tcBorders>
            <w:shd w:val="clear" w:color="auto" w:fill="DCE9EE"/>
            <w:hideMark/>
          </w:tcPr>
          <w:p w14:paraId="3DCB659D"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248</w:t>
            </w:r>
          </w:p>
        </w:tc>
        <w:tc>
          <w:tcPr>
            <w:tcW w:w="638" w:type="pct"/>
            <w:tcBorders>
              <w:left w:val="single" w:sz="4" w:space="0" w:color="auto"/>
              <w:right w:val="single" w:sz="4" w:space="0" w:color="auto"/>
            </w:tcBorders>
            <w:shd w:val="clear" w:color="auto" w:fill="DCE9EE"/>
            <w:hideMark/>
          </w:tcPr>
          <w:p w14:paraId="3F0600DE"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413</w:t>
            </w:r>
          </w:p>
        </w:tc>
        <w:tc>
          <w:tcPr>
            <w:tcW w:w="633" w:type="pct"/>
            <w:tcBorders>
              <w:left w:val="single" w:sz="4" w:space="0" w:color="auto"/>
            </w:tcBorders>
            <w:shd w:val="clear" w:color="auto" w:fill="DCE9EE"/>
            <w:hideMark/>
          </w:tcPr>
          <w:p w14:paraId="645C0D67"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383</w:t>
            </w:r>
          </w:p>
        </w:tc>
      </w:tr>
      <w:tr w:rsidR="0036544B" w14:paraId="6C76FDEE" w14:textId="77777777" w:rsidTr="0036544B">
        <w:tc>
          <w:tcPr>
            <w:cnfStyle w:val="001000000000" w:firstRow="0" w:lastRow="0" w:firstColumn="1" w:lastColumn="0" w:oddVBand="0" w:evenVBand="0" w:oddHBand="0" w:evenHBand="0" w:firstRowFirstColumn="0" w:firstRowLastColumn="0" w:lastRowFirstColumn="0" w:lastRowLastColumn="0"/>
            <w:tcW w:w="2452" w:type="pct"/>
            <w:tcBorders>
              <w:left w:val="none" w:sz="0" w:space="0" w:color="auto"/>
              <w:right w:val="single" w:sz="4" w:space="0" w:color="auto"/>
            </w:tcBorders>
            <w:shd w:val="clear" w:color="auto" w:fill="DCE9EE"/>
            <w:hideMark/>
          </w:tcPr>
          <w:p w14:paraId="1E3776F3" w14:textId="77777777" w:rsidR="007C4395" w:rsidRDefault="007C4395" w:rsidP="009E6326">
            <w:pPr>
              <w:pStyle w:val="71R"/>
              <w:rPr>
                <w:rtl/>
              </w:rPr>
            </w:pPr>
            <w:r>
              <w:rPr>
                <w:rFonts w:hint="cs"/>
                <w:b w:val="0"/>
                <w:bCs w:val="0"/>
                <w:rtl/>
              </w:rPr>
              <w:t xml:space="preserve">הוצאות תפעוליות </w:t>
            </w:r>
          </w:p>
        </w:tc>
        <w:tc>
          <w:tcPr>
            <w:tcW w:w="638" w:type="pct"/>
            <w:tcBorders>
              <w:left w:val="single" w:sz="4" w:space="0" w:color="auto"/>
              <w:right w:val="single" w:sz="4" w:space="0" w:color="auto"/>
            </w:tcBorders>
            <w:shd w:val="clear" w:color="auto" w:fill="DCE9EE"/>
            <w:hideMark/>
          </w:tcPr>
          <w:p w14:paraId="50DB0DCF"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111</w:t>
            </w:r>
          </w:p>
        </w:tc>
        <w:tc>
          <w:tcPr>
            <w:tcW w:w="639" w:type="pct"/>
            <w:tcBorders>
              <w:left w:val="single" w:sz="4" w:space="0" w:color="auto"/>
              <w:right w:val="single" w:sz="4" w:space="0" w:color="auto"/>
            </w:tcBorders>
            <w:shd w:val="clear" w:color="auto" w:fill="DCE9EE"/>
            <w:hideMark/>
          </w:tcPr>
          <w:p w14:paraId="7EADAD9D"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112</w:t>
            </w:r>
          </w:p>
        </w:tc>
        <w:tc>
          <w:tcPr>
            <w:tcW w:w="638" w:type="pct"/>
            <w:tcBorders>
              <w:left w:val="single" w:sz="4" w:space="0" w:color="auto"/>
              <w:right w:val="single" w:sz="4" w:space="0" w:color="auto"/>
            </w:tcBorders>
            <w:shd w:val="clear" w:color="auto" w:fill="DCE9EE"/>
            <w:hideMark/>
          </w:tcPr>
          <w:p w14:paraId="67EA640F"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114</w:t>
            </w:r>
          </w:p>
        </w:tc>
        <w:tc>
          <w:tcPr>
            <w:tcW w:w="633" w:type="pct"/>
            <w:tcBorders>
              <w:left w:val="single" w:sz="4" w:space="0" w:color="auto"/>
            </w:tcBorders>
            <w:shd w:val="clear" w:color="auto" w:fill="DCE9EE"/>
            <w:hideMark/>
          </w:tcPr>
          <w:p w14:paraId="260D6F63"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130</w:t>
            </w:r>
          </w:p>
        </w:tc>
      </w:tr>
      <w:tr w:rsidR="0036544B" w14:paraId="591BBBB1" w14:textId="77777777" w:rsidTr="003654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2" w:type="pct"/>
            <w:tcBorders>
              <w:left w:val="none" w:sz="0" w:space="0" w:color="auto"/>
              <w:right w:val="single" w:sz="4" w:space="0" w:color="auto"/>
            </w:tcBorders>
            <w:shd w:val="clear" w:color="auto" w:fill="EDF5F6"/>
            <w:hideMark/>
          </w:tcPr>
          <w:p w14:paraId="2BF892EA" w14:textId="77777777" w:rsidR="007C4395" w:rsidRDefault="007C4395" w:rsidP="009E6326">
            <w:pPr>
              <w:pStyle w:val="71R"/>
              <w:rPr>
                <w:rtl/>
              </w:rPr>
            </w:pPr>
            <w:r>
              <w:rPr>
                <w:rFonts w:hint="cs"/>
                <w:b w:val="0"/>
                <w:bCs w:val="0"/>
                <w:rtl/>
              </w:rPr>
              <w:t>הוצאות הנהלה ואחרות</w:t>
            </w:r>
          </w:p>
        </w:tc>
        <w:tc>
          <w:tcPr>
            <w:tcW w:w="638" w:type="pct"/>
            <w:tcBorders>
              <w:left w:val="single" w:sz="4" w:space="0" w:color="auto"/>
              <w:right w:val="single" w:sz="4" w:space="0" w:color="auto"/>
            </w:tcBorders>
            <w:shd w:val="clear" w:color="auto" w:fill="EDF5F6"/>
            <w:hideMark/>
          </w:tcPr>
          <w:p w14:paraId="7A28F3CB"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14</w:t>
            </w:r>
          </w:p>
        </w:tc>
        <w:tc>
          <w:tcPr>
            <w:tcW w:w="639" w:type="pct"/>
            <w:tcBorders>
              <w:left w:val="single" w:sz="4" w:space="0" w:color="auto"/>
              <w:right w:val="single" w:sz="4" w:space="0" w:color="auto"/>
            </w:tcBorders>
            <w:shd w:val="clear" w:color="auto" w:fill="EDF5F6"/>
            <w:hideMark/>
          </w:tcPr>
          <w:p w14:paraId="101DBC51"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12</w:t>
            </w:r>
          </w:p>
        </w:tc>
        <w:tc>
          <w:tcPr>
            <w:tcW w:w="638" w:type="pct"/>
            <w:tcBorders>
              <w:left w:val="single" w:sz="4" w:space="0" w:color="auto"/>
              <w:right w:val="single" w:sz="4" w:space="0" w:color="auto"/>
            </w:tcBorders>
            <w:shd w:val="clear" w:color="auto" w:fill="EDF5F6"/>
            <w:hideMark/>
          </w:tcPr>
          <w:p w14:paraId="5FCE35C8"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13</w:t>
            </w:r>
          </w:p>
        </w:tc>
        <w:tc>
          <w:tcPr>
            <w:tcW w:w="633" w:type="pct"/>
            <w:tcBorders>
              <w:left w:val="single" w:sz="4" w:space="0" w:color="auto"/>
            </w:tcBorders>
            <w:shd w:val="clear" w:color="auto" w:fill="EDF5F6"/>
            <w:hideMark/>
          </w:tcPr>
          <w:p w14:paraId="04F22901"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13</w:t>
            </w:r>
          </w:p>
        </w:tc>
      </w:tr>
      <w:tr w:rsidR="0036544B" w14:paraId="32E2D4C1" w14:textId="77777777" w:rsidTr="0036544B">
        <w:tc>
          <w:tcPr>
            <w:cnfStyle w:val="001000000000" w:firstRow="0" w:lastRow="0" w:firstColumn="1" w:lastColumn="0" w:oddVBand="0" w:evenVBand="0" w:oddHBand="0" w:evenHBand="0" w:firstRowFirstColumn="0" w:firstRowLastColumn="0" w:lastRowFirstColumn="0" w:lastRowLastColumn="0"/>
            <w:tcW w:w="2452" w:type="pct"/>
            <w:tcBorders>
              <w:left w:val="none" w:sz="0" w:space="0" w:color="auto"/>
              <w:right w:val="single" w:sz="4" w:space="0" w:color="auto"/>
            </w:tcBorders>
            <w:shd w:val="clear" w:color="auto" w:fill="DCE9EE"/>
            <w:hideMark/>
          </w:tcPr>
          <w:p w14:paraId="17FC5536" w14:textId="77777777" w:rsidR="007C4395" w:rsidRDefault="007C4395" w:rsidP="009E6326">
            <w:pPr>
              <w:pStyle w:val="71R"/>
              <w:rPr>
                <w:rtl/>
              </w:rPr>
            </w:pPr>
            <w:r>
              <w:rPr>
                <w:rFonts w:hint="cs"/>
                <w:b w:val="0"/>
                <w:bCs w:val="0"/>
                <w:rtl/>
              </w:rPr>
              <w:t>הוצאות מימון, נטו</w:t>
            </w:r>
          </w:p>
        </w:tc>
        <w:tc>
          <w:tcPr>
            <w:tcW w:w="638" w:type="pct"/>
            <w:tcBorders>
              <w:left w:val="single" w:sz="4" w:space="0" w:color="auto"/>
              <w:right w:val="single" w:sz="4" w:space="0" w:color="auto"/>
            </w:tcBorders>
            <w:shd w:val="clear" w:color="auto" w:fill="DCE9EE"/>
            <w:hideMark/>
          </w:tcPr>
          <w:p w14:paraId="465DBF46"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25</w:t>
            </w:r>
          </w:p>
        </w:tc>
        <w:tc>
          <w:tcPr>
            <w:tcW w:w="639" w:type="pct"/>
            <w:tcBorders>
              <w:left w:val="single" w:sz="4" w:space="0" w:color="auto"/>
              <w:right w:val="single" w:sz="4" w:space="0" w:color="auto"/>
            </w:tcBorders>
            <w:shd w:val="clear" w:color="auto" w:fill="DCE9EE"/>
            <w:hideMark/>
          </w:tcPr>
          <w:p w14:paraId="157FC549"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37</w:t>
            </w:r>
          </w:p>
        </w:tc>
        <w:tc>
          <w:tcPr>
            <w:tcW w:w="638" w:type="pct"/>
            <w:tcBorders>
              <w:left w:val="single" w:sz="4" w:space="0" w:color="auto"/>
              <w:right w:val="single" w:sz="4" w:space="0" w:color="auto"/>
            </w:tcBorders>
            <w:shd w:val="clear" w:color="auto" w:fill="DCE9EE"/>
            <w:hideMark/>
          </w:tcPr>
          <w:p w14:paraId="61C047BA"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23</w:t>
            </w:r>
          </w:p>
        </w:tc>
        <w:tc>
          <w:tcPr>
            <w:tcW w:w="633" w:type="pct"/>
            <w:tcBorders>
              <w:left w:val="single" w:sz="4" w:space="0" w:color="auto"/>
            </w:tcBorders>
            <w:shd w:val="clear" w:color="auto" w:fill="DCE9EE"/>
            <w:hideMark/>
          </w:tcPr>
          <w:p w14:paraId="288C8BFB"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21</w:t>
            </w:r>
          </w:p>
        </w:tc>
      </w:tr>
      <w:tr w:rsidR="0036544B" w14:paraId="2D058A20" w14:textId="77777777" w:rsidTr="003654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2" w:type="pct"/>
            <w:tcBorders>
              <w:left w:val="none" w:sz="0" w:space="0" w:color="auto"/>
              <w:right w:val="single" w:sz="4" w:space="0" w:color="auto"/>
            </w:tcBorders>
            <w:shd w:val="clear" w:color="auto" w:fill="C7DCE4"/>
            <w:hideMark/>
          </w:tcPr>
          <w:p w14:paraId="4308CF46" w14:textId="77777777" w:rsidR="007C4395" w:rsidRDefault="007C4395" w:rsidP="009E6326">
            <w:pPr>
              <w:pStyle w:val="71R"/>
              <w:rPr>
                <w:rtl/>
              </w:rPr>
            </w:pPr>
            <w:r>
              <w:rPr>
                <w:rFonts w:hint="cs"/>
                <w:rtl/>
              </w:rPr>
              <w:t>סך הכול הוצאות</w:t>
            </w:r>
          </w:p>
        </w:tc>
        <w:tc>
          <w:tcPr>
            <w:tcW w:w="638" w:type="pct"/>
            <w:tcBorders>
              <w:left w:val="single" w:sz="4" w:space="0" w:color="auto"/>
              <w:right w:val="single" w:sz="4" w:space="0" w:color="auto"/>
            </w:tcBorders>
            <w:shd w:val="clear" w:color="auto" w:fill="C7DCE4"/>
            <w:hideMark/>
          </w:tcPr>
          <w:p w14:paraId="44047E21" w14:textId="77777777" w:rsidR="007C4395" w:rsidRPr="0036544B"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36544B">
              <w:rPr>
                <w:rFonts w:hint="cs"/>
                <w:b/>
                <w:bCs/>
                <w:rtl/>
              </w:rPr>
              <w:t>578</w:t>
            </w:r>
          </w:p>
        </w:tc>
        <w:tc>
          <w:tcPr>
            <w:tcW w:w="639" w:type="pct"/>
            <w:tcBorders>
              <w:left w:val="single" w:sz="4" w:space="0" w:color="auto"/>
              <w:right w:val="single" w:sz="4" w:space="0" w:color="auto"/>
            </w:tcBorders>
            <w:shd w:val="clear" w:color="auto" w:fill="C7DCE4"/>
            <w:hideMark/>
          </w:tcPr>
          <w:p w14:paraId="7B679FB0" w14:textId="77777777" w:rsidR="007C4395" w:rsidRPr="0036544B"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36544B">
              <w:rPr>
                <w:rFonts w:hint="cs"/>
                <w:b/>
                <w:bCs/>
                <w:rtl/>
              </w:rPr>
              <w:t>538</w:t>
            </w:r>
          </w:p>
        </w:tc>
        <w:tc>
          <w:tcPr>
            <w:tcW w:w="638" w:type="pct"/>
            <w:tcBorders>
              <w:left w:val="single" w:sz="4" w:space="0" w:color="auto"/>
              <w:right w:val="single" w:sz="4" w:space="0" w:color="auto"/>
            </w:tcBorders>
            <w:shd w:val="clear" w:color="auto" w:fill="C7DCE4"/>
            <w:hideMark/>
          </w:tcPr>
          <w:p w14:paraId="51660BC3" w14:textId="77777777" w:rsidR="007C4395" w:rsidRPr="0036544B"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36544B">
              <w:rPr>
                <w:rFonts w:hint="cs"/>
                <w:b/>
                <w:bCs/>
                <w:rtl/>
              </w:rPr>
              <w:t>693</w:t>
            </w:r>
          </w:p>
        </w:tc>
        <w:tc>
          <w:tcPr>
            <w:tcW w:w="633" w:type="pct"/>
            <w:tcBorders>
              <w:left w:val="single" w:sz="4" w:space="0" w:color="auto"/>
            </w:tcBorders>
            <w:shd w:val="clear" w:color="auto" w:fill="C7DCE4"/>
            <w:hideMark/>
          </w:tcPr>
          <w:p w14:paraId="52DE162C" w14:textId="77777777" w:rsidR="007C4395" w:rsidRPr="0036544B"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36544B">
              <w:rPr>
                <w:rFonts w:hint="cs"/>
                <w:b/>
                <w:bCs/>
                <w:rtl/>
              </w:rPr>
              <w:t>662</w:t>
            </w:r>
          </w:p>
        </w:tc>
      </w:tr>
      <w:tr w:rsidR="0036544B" w14:paraId="688F43F4" w14:textId="77777777" w:rsidTr="0036544B">
        <w:tc>
          <w:tcPr>
            <w:cnfStyle w:val="001000000000" w:firstRow="0" w:lastRow="0" w:firstColumn="1" w:lastColumn="0" w:oddVBand="0" w:evenVBand="0" w:oddHBand="0" w:evenHBand="0" w:firstRowFirstColumn="0" w:firstRowLastColumn="0" w:lastRowFirstColumn="0" w:lastRowLastColumn="0"/>
            <w:tcW w:w="2452" w:type="pct"/>
            <w:tcBorders>
              <w:right w:val="single" w:sz="4" w:space="0" w:color="auto"/>
            </w:tcBorders>
            <w:shd w:val="clear" w:color="auto" w:fill="B6CBD4"/>
            <w:hideMark/>
          </w:tcPr>
          <w:p w14:paraId="4890B5EE" w14:textId="77777777" w:rsidR="007C4395" w:rsidRDefault="007C4395" w:rsidP="009E6326">
            <w:pPr>
              <w:pStyle w:val="71R"/>
              <w:rPr>
                <w:rtl/>
              </w:rPr>
            </w:pPr>
            <w:r>
              <w:rPr>
                <w:rFonts w:hint="cs"/>
                <w:rtl/>
              </w:rPr>
              <w:t xml:space="preserve">גירעון חשבונאי נטו </w:t>
            </w:r>
          </w:p>
        </w:tc>
        <w:tc>
          <w:tcPr>
            <w:tcW w:w="638" w:type="pct"/>
            <w:tcBorders>
              <w:left w:val="single" w:sz="4" w:space="0" w:color="auto"/>
              <w:right w:val="single" w:sz="4" w:space="0" w:color="auto"/>
            </w:tcBorders>
            <w:shd w:val="clear" w:color="auto" w:fill="B6CBD4"/>
            <w:hideMark/>
          </w:tcPr>
          <w:p w14:paraId="72A05029" w14:textId="77777777" w:rsidR="007C4395" w:rsidRPr="0036544B"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36544B">
              <w:rPr>
                <w:rFonts w:hint="cs"/>
                <w:b/>
                <w:bCs/>
                <w:rtl/>
              </w:rPr>
              <w:t>(83)</w:t>
            </w:r>
          </w:p>
        </w:tc>
        <w:tc>
          <w:tcPr>
            <w:tcW w:w="639" w:type="pct"/>
            <w:tcBorders>
              <w:left w:val="single" w:sz="4" w:space="0" w:color="auto"/>
              <w:right w:val="single" w:sz="4" w:space="0" w:color="auto"/>
            </w:tcBorders>
            <w:shd w:val="clear" w:color="auto" w:fill="B6CBD4"/>
            <w:hideMark/>
          </w:tcPr>
          <w:p w14:paraId="0B3039E5" w14:textId="77777777" w:rsidR="007C4395" w:rsidRPr="0036544B"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36544B">
              <w:rPr>
                <w:rFonts w:hint="cs"/>
                <w:b/>
                <w:bCs/>
                <w:rtl/>
              </w:rPr>
              <w:t>(42)</w:t>
            </w:r>
          </w:p>
        </w:tc>
        <w:tc>
          <w:tcPr>
            <w:tcW w:w="638" w:type="pct"/>
            <w:tcBorders>
              <w:left w:val="single" w:sz="4" w:space="0" w:color="auto"/>
              <w:right w:val="single" w:sz="4" w:space="0" w:color="auto"/>
            </w:tcBorders>
            <w:shd w:val="clear" w:color="auto" w:fill="B6CBD4"/>
            <w:hideMark/>
          </w:tcPr>
          <w:p w14:paraId="5429C98D" w14:textId="77777777" w:rsidR="007C4395" w:rsidRPr="0036544B"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36544B">
              <w:rPr>
                <w:rFonts w:hint="cs"/>
                <w:b/>
                <w:bCs/>
                <w:rtl/>
              </w:rPr>
              <w:t>(184)</w:t>
            </w:r>
          </w:p>
        </w:tc>
        <w:tc>
          <w:tcPr>
            <w:tcW w:w="633" w:type="pct"/>
            <w:tcBorders>
              <w:left w:val="single" w:sz="4" w:space="0" w:color="auto"/>
            </w:tcBorders>
            <w:shd w:val="clear" w:color="auto" w:fill="B6CBD4"/>
            <w:hideMark/>
          </w:tcPr>
          <w:p w14:paraId="62260B60" w14:textId="77777777" w:rsidR="007C4395" w:rsidRPr="0036544B"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36544B">
              <w:rPr>
                <w:rFonts w:hint="cs"/>
                <w:b/>
                <w:bCs/>
                <w:rtl/>
              </w:rPr>
              <w:t>(170)</w:t>
            </w:r>
          </w:p>
        </w:tc>
      </w:tr>
    </w:tbl>
    <w:p w14:paraId="5B2EDEED" w14:textId="77777777" w:rsidR="007C4395" w:rsidRPr="00EC550D" w:rsidRDefault="007C4395" w:rsidP="00EC550D">
      <w:pPr>
        <w:pStyle w:val="71c"/>
        <w:rPr>
          <w:rtl/>
        </w:rPr>
      </w:pPr>
      <w:r w:rsidRPr="00EC550D">
        <w:rPr>
          <w:rFonts w:hint="cs"/>
          <w:rtl/>
        </w:rPr>
        <w:t>על פי</w:t>
      </w:r>
      <w:r w:rsidRPr="00EC550D">
        <w:rPr>
          <w:rtl/>
        </w:rPr>
        <w:t xml:space="preserve"> הדו</w:t>
      </w:r>
      <w:r w:rsidRPr="00EC550D">
        <w:rPr>
          <w:rFonts w:hint="eastAsia"/>
          <w:rtl/>
        </w:rPr>
        <w:t>חות</w:t>
      </w:r>
      <w:r w:rsidRPr="00EC550D">
        <w:rPr>
          <w:rtl/>
        </w:rPr>
        <w:t xml:space="preserve"> </w:t>
      </w:r>
      <w:r w:rsidRPr="00EC550D">
        <w:rPr>
          <w:rFonts w:hint="eastAsia"/>
          <w:rtl/>
        </w:rPr>
        <w:t>הכספיים</w:t>
      </w:r>
      <w:r w:rsidRPr="00EC550D">
        <w:rPr>
          <w:rtl/>
        </w:rPr>
        <w:t xml:space="preserve"> </w:t>
      </w:r>
      <w:r w:rsidRPr="00EC550D">
        <w:rPr>
          <w:rFonts w:hint="eastAsia"/>
          <w:rtl/>
        </w:rPr>
        <w:t>של</w:t>
      </w:r>
      <w:r w:rsidRPr="00EC550D">
        <w:rPr>
          <w:rtl/>
        </w:rPr>
        <w:t xml:space="preserve"> </w:t>
      </w:r>
      <w:r w:rsidRPr="00EC550D">
        <w:rPr>
          <w:rFonts w:hint="eastAsia"/>
          <w:rtl/>
        </w:rPr>
        <w:t>מדינת</w:t>
      </w:r>
      <w:r w:rsidRPr="00EC550D">
        <w:rPr>
          <w:rtl/>
        </w:rPr>
        <w:t xml:space="preserve"> </w:t>
      </w:r>
      <w:r w:rsidRPr="00EC550D">
        <w:rPr>
          <w:rFonts w:hint="eastAsia"/>
          <w:rtl/>
        </w:rPr>
        <w:t>ישראל</w:t>
      </w:r>
      <w:r w:rsidRPr="00EC550D">
        <w:rPr>
          <w:rtl/>
        </w:rPr>
        <w:t xml:space="preserve"> </w:t>
      </w:r>
      <w:r w:rsidRPr="00EC550D">
        <w:rPr>
          <w:rFonts w:hint="eastAsia"/>
          <w:rtl/>
        </w:rPr>
        <w:t>לשנים</w:t>
      </w:r>
      <w:r w:rsidRPr="00EC550D">
        <w:rPr>
          <w:rtl/>
        </w:rPr>
        <w:t xml:space="preserve"> 20</w:t>
      </w:r>
      <w:r w:rsidRPr="00EC550D">
        <w:rPr>
          <w:rFonts w:hint="cs"/>
          <w:rtl/>
        </w:rPr>
        <w:t>17</w:t>
      </w:r>
      <w:r w:rsidRPr="00EC550D">
        <w:rPr>
          <w:rtl/>
        </w:rPr>
        <w:t xml:space="preserve"> - 20</w:t>
      </w:r>
      <w:r w:rsidRPr="00EC550D">
        <w:rPr>
          <w:rFonts w:hint="cs"/>
          <w:rtl/>
        </w:rPr>
        <w:t>20</w:t>
      </w:r>
      <w:r w:rsidRPr="00EC550D">
        <w:rPr>
          <w:rtl/>
        </w:rPr>
        <w:t xml:space="preserve">, </w:t>
      </w:r>
      <w:r w:rsidRPr="00EC550D">
        <w:rPr>
          <w:rFonts w:hint="eastAsia"/>
          <w:rtl/>
        </w:rPr>
        <w:t>משרד</w:t>
      </w:r>
      <w:r w:rsidRPr="00EC550D">
        <w:rPr>
          <w:rtl/>
        </w:rPr>
        <w:t xml:space="preserve"> </w:t>
      </w:r>
      <w:r w:rsidRPr="00EC550D">
        <w:rPr>
          <w:rFonts w:hint="eastAsia"/>
          <w:rtl/>
        </w:rPr>
        <w:t>האוצר</w:t>
      </w:r>
      <w:r w:rsidRPr="00EC550D">
        <w:rPr>
          <w:rFonts w:hint="cs"/>
          <w:rtl/>
        </w:rPr>
        <w:t>,</w:t>
      </w:r>
      <w:r w:rsidRPr="00EC550D">
        <w:rPr>
          <w:rtl/>
        </w:rPr>
        <w:t xml:space="preserve"> בעיבוד משרד מבקר המדינה.</w:t>
      </w:r>
    </w:p>
    <w:p w14:paraId="302B0A88" w14:textId="77777777" w:rsidR="007C4395" w:rsidRDefault="007C4395" w:rsidP="007C4395">
      <w:pPr>
        <w:bidi w:val="0"/>
        <w:spacing w:after="200" w:line="276" w:lineRule="auto"/>
        <w:rPr>
          <w:sz w:val="22"/>
          <w:szCs w:val="22"/>
          <w:rtl/>
        </w:rPr>
      </w:pPr>
      <w:r>
        <w:rPr>
          <w:sz w:val="22"/>
          <w:szCs w:val="22"/>
          <w:rtl/>
        </w:rPr>
        <w:br w:type="page"/>
      </w:r>
    </w:p>
    <w:p w14:paraId="7E3FD47A" w14:textId="3EE88946" w:rsidR="007C4395" w:rsidRPr="00EC550D" w:rsidRDefault="007C4395" w:rsidP="00EC550D">
      <w:pPr>
        <w:pStyle w:val="71a"/>
        <w:rPr>
          <w:rtl/>
        </w:rPr>
      </w:pPr>
      <w:r w:rsidRPr="00EC550D">
        <w:rPr>
          <w:rFonts w:hint="cs"/>
          <w:b w:val="0"/>
          <w:bCs w:val="0"/>
          <w:rtl/>
        </w:rPr>
        <w:lastRenderedPageBreak/>
        <w:t xml:space="preserve">לוח </w:t>
      </w:r>
      <w:r w:rsidRPr="00EC550D">
        <w:rPr>
          <w:rFonts w:hint="cs"/>
          <w:b w:val="0"/>
          <w:bCs w:val="0"/>
          <w:rtl/>
        </w:rPr>
        <w:fldChar w:fldCharType="begin"/>
      </w:r>
      <w:r w:rsidRPr="00EC550D">
        <w:rPr>
          <w:rFonts w:hint="cs"/>
          <w:b w:val="0"/>
          <w:bCs w:val="0"/>
          <w:rtl/>
        </w:rPr>
        <w:instrText xml:space="preserve"> </w:instrText>
      </w:r>
      <w:r w:rsidRPr="00EC550D">
        <w:rPr>
          <w:b w:val="0"/>
          <w:bCs w:val="0"/>
        </w:rPr>
        <w:instrText>SEQ</w:instrText>
      </w:r>
      <w:r w:rsidRPr="00EC550D">
        <w:rPr>
          <w:rFonts w:hint="cs"/>
          <w:b w:val="0"/>
          <w:bCs w:val="0"/>
          <w:rtl/>
        </w:rPr>
        <w:instrText xml:space="preserve"> לוח \* </w:instrText>
      </w:r>
      <w:r w:rsidRPr="00EC550D">
        <w:rPr>
          <w:b w:val="0"/>
          <w:bCs w:val="0"/>
        </w:rPr>
        <w:instrText>ARABIC</w:instrText>
      </w:r>
      <w:r w:rsidRPr="00EC550D">
        <w:rPr>
          <w:rFonts w:hint="cs"/>
          <w:b w:val="0"/>
          <w:bCs w:val="0"/>
          <w:rtl/>
        </w:rPr>
        <w:instrText xml:space="preserve"> </w:instrText>
      </w:r>
      <w:r w:rsidRPr="00EC550D">
        <w:rPr>
          <w:rFonts w:hint="cs"/>
          <w:b w:val="0"/>
          <w:bCs w:val="0"/>
          <w:rtl/>
        </w:rPr>
        <w:fldChar w:fldCharType="separate"/>
      </w:r>
      <w:r w:rsidR="003D59E1">
        <w:rPr>
          <w:b w:val="0"/>
          <w:bCs w:val="0"/>
          <w:noProof/>
          <w:rtl/>
        </w:rPr>
        <w:t>2</w:t>
      </w:r>
      <w:r w:rsidRPr="00EC550D">
        <w:rPr>
          <w:rFonts w:hint="cs"/>
          <w:b w:val="0"/>
          <w:bCs w:val="0"/>
          <w:rtl/>
        </w:rPr>
        <w:fldChar w:fldCharType="end"/>
      </w:r>
      <w:r w:rsidRPr="00EC550D">
        <w:rPr>
          <w:rFonts w:hint="cs"/>
          <w:b w:val="0"/>
          <w:bCs w:val="0"/>
          <w:rtl/>
        </w:rPr>
        <w:t>:</w:t>
      </w:r>
      <w:r w:rsidRPr="00EC550D">
        <w:rPr>
          <w:rFonts w:hint="cs"/>
          <w:rtl/>
        </w:rPr>
        <w:t xml:space="preserve"> המצב הכספי, 2017 - 2020 (במיליארדי ש"ח)</w:t>
      </w:r>
    </w:p>
    <w:tbl>
      <w:tblPr>
        <w:tblStyle w:val="5-1"/>
        <w:bidiVisual/>
        <w:tblW w:w="5000" w:type="pct"/>
        <w:tblBorders>
          <w:top w:val="none" w:sz="0" w:space="0" w:color="auto"/>
          <w:left w:val="single" w:sz="4" w:space="0" w:color="auto"/>
          <w:bottom w:val="none" w:sz="0" w:space="0" w:color="auto"/>
          <w:right w:val="single" w:sz="4" w:space="0" w:color="auto"/>
          <w:insideH w:val="single" w:sz="4" w:space="0" w:color="auto"/>
          <w:insideV w:val="single" w:sz="4" w:space="0" w:color="auto"/>
        </w:tblBorders>
        <w:tblLook w:val="04A0" w:firstRow="1" w:lastRow="0" w:firstColumn="1" w:lastColumn="0" w:noHBand="0" w:noVBand="1"/>
      </w:tblPr>
      <w:tblGrid>
        <w:gridCol w:w="3617"/>
        <w:gridCol w:w="935"/>
        <w:gridCol w:w="935"/>
        <w:gridCol w:w="935"/>
        <w:gridCol w:w="938"/>
      </w:tblGrid>
      <w:tr w:rsidR="004D4D58" w14:paraId="7AA323B8" w14:textId="77777777" w:rsidTr="004D4D5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58" w:type="pct"/>
            <w:tcBorders>
              <w:left w:val="single" w:sz="4" w:space="0" w:color="auto"/>
              <w:bottom w:val="nil"/>
            </w:tcBorders>
            <w:shd w:val="clear" w:color="auto" w:fill="C7DCE4"/>
            <w:hideMark/>
          </w:tcPr>
          <w:p w14:paraId="71C73AB0" w14:textId="77777777" w:rsidR="007C4395" w:rsidRPr="009E6326" w:rsidRDefault="007C4395" w:rsidP="009E6326">
            <w:pPr>
              <w:pStyle w:val="71B0"/>
              <w:rPr>
                <w:b/>
                <w:bCs/>
                <w:rtl/>
              </w:rPr>
            </w:pPr>
            <w:r w:rsidRPr="009E6326">
              <w:rPr>
                <w:rFonts w:hint="cs"/>
                <w:b/>
                <w:bCs/>
                <w:rtl/>
              </w:rPr>
              <w:t xml:space="preserve"> </w:t>
            </w:r>
          </w:p>
        </w:tc>
        <w:tc>
          <w:tcPr>
            <w:tcW w:w="2542" w:type="pct"/>
            <w:gridSpan w:val="4"/>
            <w:tcBorders>
              <w:bottom w:val="nil"/>
              <w:right w:val="single" w:sz="4" w:space="0" w:color="auto"/>
            </w:tcBorders>
            <w:shd w:val="clear" w:color="auto" w:fill="C7DCE4"/>
            <w:hideMark/>
          </w:tcPr>
          <w:p w14:paraId="7F54FE0D" w14:textId="58BE0416" w:rsidR="007C4395" w:rsidRPr="009E6326" w:rsidRDefault="007C4395" w:rsidP="009E6326">
            <w:pPr>
              <w:pStyle w:val="71B0"/>
              <w:cnfStyle w:val="100000000000" w:firstRow="1" w:lastRow="0" w:firstColumn="0" w:lastColumn="0" w:oddVBand="0" w:evenVBand="0" w:oddHBand="0" w:evenHBand="0" w:firstRowFirstColumn="0" w:firstRowLastColumn="0" w:lastRowFirstColumn="0" w:lastRowLastColumn="0"/>
              <w:rPr>
                <w:b/>
                <w:bCs/>
                <w:rtl/>
              </w:rPr>
            </w:pPr>
            <w:r w:rsidRPr="009E6326">
              <w:rPr>
                <w:rFonts w:hint="cs"/>
                <w:b/>
                <w:bCs/>
                <w:rtl/>
              </w:rPr>
              <w:t xml:space="preserve">מדינת ישראל, דוח מאוחד </w:t>
            </w:r>
            <w:r w:rsidR="009E6326">
              <w:rPr>
                <w:b/>
                <w:bCs/>
                <w:rtl/>
              </w:rPr>
              <w:br/>
            </w:r>
            <w:r w:rsidRPr="009E6326">
              <w:rPr>
                <w:rFonts w:hint="cs"/>
                <w:b/>
                <w:bCs/>
                <w:rtl/>
              </w:rPr>
              <w:t>לשנה שהסתיימה ביום 31 בדצמבר</w:t>
            </w:r>
          </w:p>
        </w:tc>
      </w:tr>
      <w:tr w:rsidR="004D4D58" w14:paraId="44DE123B" w14:textId="77777777" w:rsidTr="004D4D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8" w:type="pct"/>
            <w:tcBorders>
              <w:top w:val="nil"/>
              <w:left w:val="none" w:sz="0" w:space="0" w:color="auto"/>
              <w:bottom w:val="nil"/>
            </w:tcBorders>
            <w:shd w:val="clear" w:color="auto" w:fill="DCE9EE"/>
          </w:tcPr>
          <w:p w14:paraId="5F9E4972" w14:textId="77777777" w:rsidR="007C4395" w:rsidRPr="004D4D58" w:rsidRDefault="007C4395" w:rsidP="009E6326">
            <w:pPr>
              <w:pStyle w:val="71R"/>
              <w:rPr>
                <w:rtl/>
              </w:rPr>
            </w:pPr>
          </w:p>
        </w:tc>
        <w:tc>
          <w:tcPr>
            <w:tcW w:w="635" w:type="pct"/>
            <w:tcBorders>
              <w:top w:val="nil"/>
              <w:bottom w:val="nil"/>
            </w:tcBorders>
            <w:shd w:val="clear" w:color="auto" w:fill="DCE9EE"/>
            <w:hideMark/>
          </w:tcPr>
          <w:p w14:paraId="56748124" w14:textId="77777777" w:rsidR="007C4395" w:rsidRPr="004D4D58"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4D4D58">
              <w:rPr>
                <w:rFonts w:hint="cs"/>
                <w:b/>
                <w:bCs/>
                <w:rtl/>
              </w:rPr>
              <w:t>2017</w:t>
            </w:r>
          </w:p>
        </w:tc>
        <w:tc>
          <w:tcPr>
            <w:tcW w:w="635" w:type="pct"/>
            <w:tcBorders>
              <w:top w:val="nil"/>
              <w:bottom w:val="nil"/>
            </w:tcBorders>
            <w:shd w:val="clear" w:color="auto" w:fill="DCE9EE"/>
            <w:hideMark/>
          </w:tcPr>
          <w:p w14:paraId="4E8B1D0A" w14:textId="77777777" w:rsidR="007C4395" w:rsidRPr="004D4D58"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4D4D58">
              <w:rPr>
                <w:rFonts w:hint="cs"/>
                <w:b/>
                <w:bCs/>
                <w:rtl/>
              </w:rPr>
              <w:t>2018</w:t>
            </w:r>
          </w:p>
        </w:tc>
        <w:tc>
          <w:tcPr>
            <w:tcW w:w="635" w:type="pct"/>
            <w:tcBorders>
              <w:top w:val="nil"/>
              <w:bottom w:val="nil"/>
            </w:tcBorders>
            <w:shd w:val="clear" w:color="auto" w:fill="DCE9EE"/>
            <w:hideMark/>
          </w:tcPr>
          <w:p w14:paraId="49E5F61A" w14:textId="77777777" w:rsidR="007C4395" w:rsidRPr="004D4D58"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4D4D58">
              <w:rPr>
                <w:rFonts w:hint="cs"/>
                <w:b/>
                <w:bCs/>
                <w:rtl/>
              </w:rPr>
              <w:t>2019</w:t>
            </w:r>
          </w:p>
        </w:tc>
        <w:tc>
          <w:tcPr>
            <w:tcW w:w="636" w:type="pct"/>
            <w:tcBorders>
              <w:top w:val="nil"/>
              <w:bottom w:val="nil"/>
            </w:tcBorders>
            <w:shd w:val="clear" w:color="auto" w:fill="DCE9EE"/>
            <w:hideMark/>
          </w:tcPr>
          <w:p w14:paraId="161F2BC0" w14:textId="77777777" w:rsidR="007C4395" w:rsidRPr="004D4D58"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4D4D58">
              <w:rPr>
                <w:rFonts w:hint="cs"/>
                <w:b/>
                <w:bCs/>
                <w:rtl/>
              </w:rPr>
              <w:t>2020</w:t>
            </w:r>
          </w:p>
        </w:tc>
      </w:tr>
      <w:tr w:rsidR="004D4D58" w14:paraId="5965F483" w14:textId="77777777" w:rsidTr="004D4D58">
        <w:tc>
          <w:tcPr>
            <w:cnfStyle w:val="001000000000" w:firstRow="0" w:lastRow="0" w:firstColumn="1" w:lastColumn="0" w:oddVBand="0" w:evenVBand="0" w:oddHBand="0" w:evenHBand="0" w:firstRowFirstColumn="0" w:firstRowLastColumn="0" w:lastRowFirstColumn="0" w:lastRowLastColumn="0"/>
            <w:tcW w:w="2458" w:type="pct"/>
            <w:tcBorders>
              <w:top w:val="nil"/>
              <w:left w:val="single" w:sz="4" w:space="0" w:color="auto"/>
              <w:bottom w:val="nil"/>
            </w:tcBorders>
            <w:shd w:val="clear" w:color="auto" w:fill="C7DCE4"/>
            <w:hideMark/>
          </w:tcPr>
          <w:p w14:paraId="166E4517" w14:textId="77777777" w:rsidR="007C4395" w:rsidRDefault="007C4395" w:rsidP="009E6326">
            <w:pPr>
              <w:pStyle w:val="71R"/>
              <w:rPr>
                <w:rtl/>
              </w:rPr>
            </w:pPr>
            <w:r>
              <w:rPr>
                <w:rFonts w:hint="cs"/>
                <w:b w:val="0"/>
                <w:bCs w:val="0"/>
                <w:rtl/>
              </w:rPr>
              <w:t>המצב הכספי</w:t>
            </w:r>
          </w:p>
        </w:tc>
        <w:tc>
          <w:tcPr>
            <w:tcW w:w="2542" w:type="pct"/>
            <w:gridSpan w:val="4"/>
            <w:tcBorders>
              <w:top w:val="nil"/>
              <w:bottom w:val="nil"/>
            </w:tcBorders>
            <w:shd w:val="clear" w:color="auto" w:fill="C7DCE4"/>
          </w:tcPr>
          <w:p w14:paraId="1F5D4D2A"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p>
        </w:tc>
      </w:tr>
      <w:tr w:rsidR="004D4D58" w14:paraId="1840B30A" w14:textId="77777777" w:rsidTr="004D4D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8" w:type="pct"/>
            <w:tcBorders>
              <w:top w:val="nil"/>
              <w:left w:val="none" w:sz="0" w:space="0" w:color="auto"/>
              <w:bottom w:val="nil"/>
            </w:tcBorders>
            <w:shd w:val="clear" w:color="auto" w:fill="EDF5F6"/>
            <w:hideMark/>
          </w:tcPr>
          <w:p w14:paraId="37621E88" w14:textId="77777777" w:rsidR="007C4395" w:rsidRPr="00B62766" w:rsidRDefault="007C4395" w:rsidP="009E6326">
            <w:pPr>
              <w:pStyle w:val="71R"/>
              <w:rPr>
                <w:rtl/>
              </w:rPr>
            </w:pPr>
            <w:r w:rsidRPr="00B62766">
              <w:rPr>
                <w:rFonts w:hint="cs"/>
                <w:rtl/>
              </w:rPr>
              <w:t>נכסים שוטפים</w:t>
            </w:r>
          </w:p>
        </w:tc>
        <w:tc>
          <w:tcPr>
            <w:tcW w:w="635" w:type="pct"/>
            <w:tcBorders>
              <w:top w:val="nil"/>
              <w:bottom w:val="nil"/>
            </w:tcBorders>
            <w:shd w:val="clear" w:color="auto" w:fill="EDF5F6"/>
            <w:hideMark/>
          </w:tcPr>
          <w:p w14:paraId="4A3A122F" w14:textId="77777777" w:rsidR="007C4395" w:rsidRPr="00B62766"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B62766">
              <w:rPr>
                <w:rFonts w:hint="cs"/>
                <w:b/>
                <w:bCs/>
                <w:rtl/>
              </w:rPr>
              <w:t>135</w:t>
            </w:r>
          </w:p>
        </w:tc>
        <w:tc>
          <w:tcPr>
            <w:tcW w:w="635" w:type="pct"/>
            <w:tcBorders>
              <w:top w:val="nil"/>
              <w:bottom w:val="nil"/>
            </w:tcBorders>
            <w:shd w:val="clear" w:color="auto" w:fill="EDF5F6"/>
            <w:hideMark/>
          </w:tcPr>
          <w:p w14:paraId="30D8798E" w14:textId="77777777" w:rsidR="007C4395" w:rsidRPr="00B62766"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B62766">
              <w:rPr>
                <w:rFonts w:hint="cs"/>
                <w:b/>
                <w:bCs/>
                <w:rtl/>
              </w:rPr>
              <w:t>131</w:t>
            </w:r>
          </w:p>
        </w:tc>
        <w:tc>
          <w:tcPr>
            <w:tcW w:w="635" w:type="pct"/>
            <w:tcBorders>
              <w:top w:val="nil"/>
              <w:bottom w:val="nil"/>
            </w:tcBorders>
            <w:shd w:val="clear" w:color="auto" w:fill="EDF5F6"/>
            <w:hideMark/>
          </w:tcPr>
          <w:p w14:paraId="7BBC0650" w14:textId="77777777" w:rsidR="007C4395" w:rsidRPr="00B62766"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B62766">
              <w:rPr>
                <w:rFonts w:hint="cs"/>
                <w:b/>
                <w:bCs/>
                <w:rtl/>
              </w:rPr>
              <w:t>130</w:t>
            </w:r>
          </w:p>
        </w:tc>
        <w:tc>
          <w:tcPr>
            <w:tcW w:w="636" w:type="pct"/>
            <w:tcBorders>
              <w:top w:val="nil"/>
              <w:bottom w:val="nil"/>
            </w:tcBorders>
            <w:shd w:val="clear" w:color="auto" w:fill="EDF5F6"/>
          </w:tcPr>
          <w:p w14:paraId="774B2112" w14:textId="77777777" w:rsidR="007C4395" w:rsidRPr="00B62766"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B62766">
              <w:rPr>
                <w:rFonts w:hint="cs"/>
                <w:b/>
                <w:bCs/>
                <w:rtl/>
              </w:rPr>
              <w:t>162</w:t>
            </w:r>
          </w:p>
        </w:tc>
      </w:tr>
      <w:tr w:rsidR="004D4D58" w14:paraId="2CE24565" w14:textId="77777777" w:rsidTr="004D4D58">
        <w:tc>
          <w:tcPr>
            <w:cnfStyle w:val="001000000000" w:firstRow="0" w:lastRow="0" w:firstColumn="1" w:lastColumn="0" w:oddVBand="0" w:evenVBand="0" w:oddHBand="0" w:evenHBand="0" w:firstRowFirstColumn="0" w:firstRowLastColumn="0" w:lastRowFirstColumn="0" w:lastRowLastColumn="0"/>
            <w:tcW w:w="2458" w:type="pct"/>
            <w:tcBorders>
              <w:top w:val="nil"/>
              <w:left w:val="none" w:sz="0" w:space="0" w:color="auto"/>
              <w:bottom w:val="nil"/>
            </w:tcBorders>
            <w:shd w:val="clear" w:color="auto" w:fill="DCE9EE"/>
            <w:hideMark/>
          </w:tcPr>
          <w:p w14:paraId="05215815" w14:textId="77777777" w:rsidR="007C4395" w:rsidRDefault="007C4395" w:rsidP="009E6326">
            <w:pPr>
              <w:pStyle w:val="71R"/>
              <w:rPr>
                <w:rtl/>
              </w:rPr>
            </w:pPr>
            <w:r>
              <w:rPr>
                <w:rFonts w:hint="cs"/>
                <w:b w:val="0"/>
                <w:bCs w:val="0"/>
                <w:rtl/>
              </w:rPr>
              <w:t>השקעות פיננסיות והלוואות</w:t>
            </w:r>
          </w:p>
        </w:tc>
        <w:tc>
          <w:tcPr>
            <w:tcW w:w="635" w:type="pct"/>
            <w:tcBorders>
              <w:top w:val="nil"/>
              <w:bottom w:val="nil"/>
            </w:tcBorders>
            <w:shd w:val="clear" w:color="auto" w:fill="DCE9EE"/>
            <w:hideMark/>
          </w:tcPr>
          <w:p w14:paraId="6B3CE21C"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58</w:t>
            </w:r>
          </w:p>
        </w:tc>
        <w:tc>
          <w:tcPr>
            <w:tcW w:w="635" w:type="pct"/>
            <w:tcBorders>
              <w:top w:val="nil"/>
              <w:bottom w:val="nil"/>
            </w:tcBorders>
            <w:shd w:val="clear" w:color="auto" w:fill="DCE9EE"/>
            <w:hideMark/>
          </w:tcPr>
          <w:p w14:paraId="19BB4D20"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45</w:t>
            </w:r>
          </w:p>
        </w:tc>
        <w:tc>
          <w:tcPr>
            <w:tcW w:w="635" w:type="pct"/>
            <w:tcBorders>
              <w:top w:val="nil"/>
              <w:bottom w:val="nil"/>
            </w:tcBorders>
            <w:shd w:val="clear" w:color="auto" w:fill="DCE9EE"/>
            <w:hideMark/>
          </w:tcPr>
          <w:p w14:paraId="418A8F54"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45</w:t>
            </w:r>
          </w:p>
        </w:tc>
        <w:tc>
          <w:tcPr>
            <w:tcW w:w="636" w:type="pct"/>
            <w:tcBorders>
              <w:top w:val="nil"/>
              <w:bottom w:val="nil"/>
            </w:tcBorders>
            <w:shd w:val="clear" w:color="auto" w:fill="DCE9EE"/>
          </w:tcPr>
          <w:p w14:paraId="7BA96706"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40</w:t>
            </w:r>
          </w:p>
        </w:tc>
      </w:tr>
      <w:tr w:rsidR="004D4D58" w14:paraId="31FD656A" w14:textId="77777777" w:rsidTr="004D4D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8" w:type="pct"/>
            <w:tcBorders>
              <w:top w:val="nil"/>
              <w:left w:val="none" w:sz="0" w:space="0" w:color="auto"/>
              <w:bottom w:val="nil"/>
            </w:tcBorders>
            <w:shd w:val="clear" w:color="auto" w:fill="EDF5F6"/>
            <w:hideMark/>
          </w:tcPr>
          <w:p w14:paraId="7F8D0309" w14:textId="77777777" w:rsidR="007C4395" w:rsidRDefault="007C4395" w:rsidP="009E6326">
            <w:pPr>
              <w:pStyle w:val="71R"/>
              <w:rPr>
                <w:rtl/>
              </w:rPr>
            </w:pPr>
            <w:r>
              <w:rPr>
                <w:rFonts w:hint="cs"/>
                <w:b w:val="0"/>
                <w:bCs w:val="0"/>
                <w:rtl/>
              </w:rPr>
              <w:t>רכוש קבוע</w:t>
            </w:r>
            <w:r>
              <w:rPr>
                <w:rFonts w:hint="cs"/>
                <w:rtl/>
              </w:rPr>
              <w:t xml:space="preserve"> </w:t>
            </w:r>
          </w:p>
        </w:tc>
        <w:tc>
          <w:tcPr>
            <w:tcW w:w="635" w:type="pct"/>
            <w:tcBorders>
              <w:top w:val="nil"/>
              <w:bottom w:val="nil"/>
            </w:tcBorders>
            <w:shd w:val="clear" w:color="auto" w:fill="EDF5F6"/>
            <w:hideMark/>
          </w:tcPr>
          <w:p w14:paraId="5FBA7E2F"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387</w:t>
            </w:r>
          </w:p>
        </w:tc>
        <w:tc>
          <w:tcPr>
            <w:tcW w:w="635" w:type="pct"/>
            <w:tcBorders>
              <w:top w:val="nil"/>
              <w:bottom w:val="nil"/>
            </w:tcBorders>
            <w:shd w:val="clear" w:color="auto" w:fill="EDF5F6"/>
            <w:hideMark/>
          </w:tcPr>
          <w:p w14:paraId="1087AC1E"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419</w:t>
            </w:r>
          </w:p>
        </w:tc>
        <w:tc>
          <w:tcPr>
            <w:tcW w:w="635" w:type="pct"/>
            <w:tcBorders>
              <w:top w:val="nil"/>
              <w:bottom w:val="nil"/>
            </w:tcBorders>
            <w:shd w:val="clear" w:color="auto" w:fill="EDF5F6"/>
            <w:hideMark/>
          </w:tcPr>
          <w:p w14:paraId="3FE2A29C"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505</w:t>
            </w:r>
          </w:p>
        </w:tc>
        <w:tc>
          <w:tcPr>
            <w:tcW w:w="636" w:type="pct"/>
            <w:tcBorders>
              <w:top w:val="nil"/>
              <w:bottom w:val="nil"/>
            </w:tcBorders>
            <w:shd w:val="clear" w:color="auto" w:fill="EDF5F6"/>
          </w:tcPr>
          <w:p w14:paraId="74851ED9"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512</w:t>
            </w:r>
          </w:p>
        </w:tc>
      </w:tr>
      <w:tr w:rsidR="004D4D58" w14:paraId="2D22808B" w14:textId="77777777" w:rsidTr="004D4D58">
        <w:tc>
          <w:tcPr>
            <w:cnfStyle w:val="001000000000" w:firstRow="0" w:lastRow="0" w:firstColumn="1" w:lastColumn="0" w:oddVBand="0" w:evenVBand="0" w:oddHBand="0" w:evenHBand="0" w:firstRowFirstColumn="0" w:firstRowLastColumn="0" w:lastRowFirstColumn="0" w:lastRowLastColumn="0"/>
            <w:tcW w:w="2458" w:type="pct"/>
            <w:tcBorders>
              <w:top w:val="nil"/>
              <w:left w:val="none" w:sz="0" w:space="0" w:color="auto"/>
              <w:bottom w:val="nil"/>
            </w:tcBorders>
            <w:shd w:val="clear" w:color="auto" w:fill="DCE9EE"/>
            <w:hideMark/>
          </w:tcPr>
          <w:p w14:paraId="612873A4" w14:textId="77777777" w:rsidR="007C4395" w:rsidRDefault="007C4395" w:rsidP="009E6326">
            <w:pPr>
              <w:pStyle w:val="71R"/>
              <w:rPr>
                <w:rtl/>
              </w:rPr>
            </w:pPr>
            <w:r>
              <w:rPr>
                <w:rFonts w:hint="cs"/>
                <w:b w:val="0"/>
                <w:bCs w:val="0"/>
                <w:rtl/>
              </w:rPr>
              <w:t>חייבים ונכסים אחרים</w:t>
            </w:r>
            <w:r w:rsidRPr="00D70257">
              <w:rPr>
                <w:rFonts w:hint="cs"/>
                <w:b w:val="0"/>
                <w:bCs w:val="0"/>
                <w:rtl/>
              </w:rPr>
              <w:t xml:space="preserve"> לזמן ארוך</w:t>
            </w:r>
          </w:p>
        </w:tc>
        <w:tc>
          <w:tcPr>
            <w:tcW w:w="635" w:type="pct"/>
            <w:tcBorders>
              <w:top w:val="nil"/>
              <w:bottom w:val="nil"/>
            </w:tcBorders>
            <w:shd w:val="clear" w:color="auto" w:fill="DCE9EE"/>
            <w:hideMark/>
          </w:tcPr>
          <w:p w14:paraId="67E93623"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8</w:t>
            </w:r>
          </w:p>
        </w:tc>
        <w:tc>
          <w:tcPr>
            <w:tcW w:w="635" w:type="pct"/>
            <w:tcBorders>
              <w:top w:val="nil"/>
              <w:bottom w:val="nil"/>
            </w:tcBorders>
            <w:shd w:val="clear" w:color="auto" w:fill="DCE9EE"/>
            <w:hideMark/>
          </w:tcPr>
          <w:p w14:paraId="78CEDB91"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15</w:t>
            </w:r>
          </w:p>
        </w:tc>
        <w:tc>
          <w:tcPr>
            <w:tcW w:w="635" w:type="pct"/>
            <w:tcBorders>
              <w:top w:val="nil"/>
              <w:bottom w:val="nil"/>
            </w:tcBorders>
            <w:shd w:val="clear" w:color="auto" w:fill="DCE9EE"/>
            <w:hideMark/>
          </w:tcPr>
          <w:p w14:paraId="32CA375F"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15</w:t>
            </w:r>
          </w:p>
        </w:tc>
        <w:tc>
          <w:tcPr>
            <w:tcW w:w="636" w:type="pct"/>
            <w:tcBorders>
              <w:top w:val="nil"/>
              <w:bottom w:val="nil"/>
            </w:tcBorders>
            <w:shd w:val="clear" w:color="auto" w:fill="DCE9EE"/>
          </w:tcPr>
          <w:p w14:paraId="12BB0E5B"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18</w:t>
            </w:r>
          </w:p>
        </w:tc>
      </w:tr>
      <w:tr w:rsidR="004D4D58" w14:paraId="7A361A9A" w14:textId="77777777" w:rsidTr="004D4D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8" w:type="pct"/>
            <w:tcBorders>
              <w:top w:val="nil"/>
              <w:left w:val="none" w:sz="0" w:space="0" w:color="auto"/>
              <w:bottom w:val="nil"/>
            </w:tcBorders>
            <w:shd w:val="clear" w:color="auto" w:fill="C7DCE4"/>
            <w:hideMark/>
          </w:tcPr>
          <w:p w14:paraId="1FAA12EA" w14:textId="77777777" w:rsidR="007C4395" w:rsidRDefault="007C4395" w:rsidP="009E6326">
            <w:pPr>
              <w:pStyle w:val="71R"/>
              <w:rPr>
                <w:rtl/>
              </w:rPr>
            </w:pPr>
            <w:r>
              <w:rPr>
                <w:rFonts w:hint="cs"/>
                <w:rtl/>
              </w:rPr>
              <w:t>סך הכול נכסים</w:t>
            </w:r>
          </w:p>
        </w:tc>
        <w:tc>
          <w:tcPr>
            <w:tcW w:w="635" w:type="pct"/>
            <w:tcBorders>
              <w:top w:val="nil"/>
              <w:bottom w:val="nil"/>
            </w:tcBorders>
            <w:shd w:val="clear" w:color="auto" w:fill="C7DCE4"/>
            <w:hideMark/>
          </w:tcPr>
          <w:p w14:paraId="5AA45A3F" w14:textId="77777777" w:rsidR="007C4395" w:rsidRPr="00B62766"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B62766">
              <w:rPr>
                <w:rFonts w:hint="cs"/>
                <w:b/>
                <w:bCs/>
                <w:rtl/>
              </w:rPr>
              <w:t>588</w:t>
            </w:r>
          </w:p>
        </w:tc>
        <w:tc>
          <w:tcPr>
            <w:tcW w:w="635" w:type="pct"/>
            <w:tcBorders>
              <w:top w:val="nil"/>
              <w:bottom w:val="nil"/>
            </w:tcBorders>
            <w:shd w:val="clear" w:color="auto" w:fill="C7DCE4"/>
            <w:hideMark/>
          </w:tcPr>
          <w:p w14:paraId="6E270869" w14:textId="77777777" w:rsidR="007C4395" w:rsidRPr="00B62766"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B62766">
              <w:rPr>
                <w:rFonts w:hint="cs"/>
                <w:b/>
                <w:bCs/>
                <w:rtl/>
              </w:rPr>
              <w:t>610</w:t>
            </w:r>
          </w:p>
        </w:tc>
        <w:tc>
          <w:tcPr>
            <w:tcW w:w="635" w:type="pct"/>
            <w:tcBorders>
              <w:top w:val="nil"/>
              <w:bottom w:val="nil"/>
            </w:tcBorders>
            <w:shd w:val="clear" w:color="auto" w:fill="C7DCE4"/>
            <w:hideMark/>
          </w:tcPr>
          <w:p w14:paraId="6A7AA911" w14:textId="77777777" w:rsidR="007C4395" w:rsidRPr="00B62766"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B62766">
              <w:rPr>
                <w:rFonts w:hint="cs"/>
                <w:b/>
                <w:bCs/>
                <w:rtl/>
              </w:rPr>
              <w:t>695</w:t>
            </w:r>
          </w:p>
        </w:tc>
        <w:tc>
          <w:tcPr>
            <w:tcW w:w="636" w:type="pct"/>
            <w:tcBorders>
              <w:top w:val="nil"/>
              <w:bottom w:val="nil"/>
            </w:tcBorders>
            <w:shd w:val="clear" w:color="auto" w:fill="C7DCE4"/>
          </w:tcPr>
          <w:p w14:paraId="7EB4D401" w14:textId="77777777" w:rsidR="007C4395" w:rsidRPr="00B62766"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B62766">
              <w:rPr>
                <w:rFonts w:hint="cs"/>
                <w:b/>
                <w:bCs/>
                <w:rtl/>
              </w:rPr>
              <w:t>732</w:t>
            </w:r>
          </w:p>
        </w:tc>
      </w:tr>
      <w:tr w:rsidR="004D4D58" w14:paraId="76317CAF" w14:textId="77777777" w:rsidTr="004D4D58">
        <w:tc>
          <w:tcPr>
            <w:cnfStyle w:val="001000000000" w:firstRow="0" w:lastRow="0" w:firstColumn="1" w:lastColumn="0" w:oddVBand="0" w:evenVBand="0" w:oddHBand="0" w:evenHBand="0" w:firstRowFirstColumn="0" w:firstRowLastColumn="0" w:lastRowFirstColumn="0" w:lastRowLastColumn="0"/>
            <w:tcW w:w="2458" w:type="pct"/>
            <w:tcBorders>
              <w:top w:val="nil"/>
              <w:left w:val="none" w:sz="0" w:space="0" w:color="auto"/>
              <w:bottom w:val="nil"/>
            </w:tcBorders>
            <w:shd w:val="clear" w:color="auto" w:fill="EDF5F6"/>
            <w:hideMark/>
          </w:tcPr>
          <w:p w14:paraId="08A78A0C" w14:textId="77777777" w:rsidR="007C4395" w:rsidRDefault="007C4395" w:rsidP="009E6326">
            <w:pPr>
              <w:pStyle w:val="71R"/>
              <w:rPr>
                <w:rtl/>
              </w:rPr>
            </w:pPr>
            <w:r>
              <w:rPr>
                <w:rFonts w:hint="cs"/>
                <w:rtl/>
              </w:rPr>
              <w:t xml:space="preserve">התחייבויות שוטפות </w:t>
            </w:r>
          </w:p>
        </w:tc>
        <w:tc>
          <w:tcPr>
            <w:tcW w:w="635" w:type="pct"/>
            <w:tcBorders>
              <w:top w:val="nil"/>
              <w:bottom w:val="nil"/>
            </w:tcBorders>
            <w:shd w:val="clear" w:color="auto" w:fill="EDF5F6"/>
            <w:hideMark/>
          </w:tcPr>
          <w:p w14:paraId="1E67AAD4" w14:textId="77777777" w:rsidR="007C4395" w:rsidRPr="004D4D58"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4D4D58">
              <w:rPr>
                <w:rFonts w:hint="cs"/>
                <w:b/>
                <w:bCs/>
                <w:rtl/>
              </w:rPr>
              <w:t>161</w:t>
            </w:r>
          </w:p>
        </w:tc>
        <w:tc>
          <w:tcPr>
            <w:tcW w:w="635" w:type="pct"/>
            <w:tcBorders>
              <w:top w:val="nil"/>
              <w:bottom w:val="nil"/>
            </w:tcBorders>
            <w:shd w:val="clear" w:color="auto" w:fill="EDF5F6"/>
            <w:hideMark/>
          </w:tcPr>
          <w:p w14:paraId="0A1150E6" w14:textId="77777777" w:rsidR="007C4395" w:rsidRPr="004D4D58"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4D4D58">
              <w:rPr>
                <w:rFonts w:hint="cs"/>
                <w:b/>
                <w:bCs/>
                <w:rtl/>
              </w:rPr>
              <w:t>171</w:t>
            </w:r>
          </w:p>
        </w:tc>
        <w:tc>
          <w:tcPr>
            <w:tcW w:w="635" w:type="pct"/>
            <w:tcBorders>
              <w:top w:val="nil"/>
              <w:bottom w:val="nil"/>
            </w:tcBorders>
            <w:shd w:val="clear" w:color="auto" w:fill="EDF5F6"/>
            <w:hideMark/>
          </w:tcPr>
          <w:p w14:paraId="55593EC7" w14:textId="77777777" w:rsidR="007C4395" w:rsidRPr="004D4D58"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4D4D58">
              <w:rPr>
                <w:rFonts w:hint="cs"/>
                <w:b/>
                <w:bCs/>
                <w:rtl/>
              </w:rPr>
              <w:t>177</w:t>
            </w:r>
          </w:p>
        </w:tc>
        <w:tc>
          <w:tcPr>
            <w:tcW w:w="636" w:type="pct"/>
            <w:tcBorders>
              <w:top w:val="nil"/>
              <w:bottom w:val="nil"/>
            </w:tcBorders>
            <w:shd w:val="clear" w:color="auto" w:fill="EDF5F6"/>
          </w:tcPr>
          <w:p w14:paraId="5BCA2D1C" w14:textId="77777777" w:rsidR="007C4395" w:rsidRPr="004D4D58"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4D4D58">
              <w:rPr>
                <w:rFonts w:hint="cs"/>
                <w:b/>
                <w:bCs/>
                <w:rtl/>
              </w:rPr>
              <w:t>197</w:t>
            </w:r>
          </w:p>
        </w:tc>
      </w:tr>
      <w:tr w:rsidR="004D4D58" w14:paraId="32263516" w14:textId="77777777" w:rsidTr="004D4D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8" w:type="pct"/>
            <w:tcBorders>
              <w:top w:val="nil"/>
              <w:left w:val="none" w:sz="0" w:space="0" w:color="auto"/>
              <w:bottom w:val="nil"/>
            </w:tcBorders>
            <w:shd w:val="clear" w:color="auto" w:fill="DCE9EE"/>
            <w:hideMark/>
          </w:tcPr>
          <w:p w14:paraId="63894CE5" w14:textId="77777777" w:rsidR="007C4395" w:rsidRDefault="007C4395" w:rsidP="009E6326">
            <w:pPr>
              <w:pStyle w:val="71R"/>
              <w:rPr>
                <w:rtl/>
              </w:rPr>
            </w:pPr>
            <w:r>
              <w:rPr>
                <w:rFonts w:hint="cs"/>
                <w:b w:val="0"/>
                <w:bCs w:val="0"/>
                <w:rtl/>
              </w:rPr>
              <w:t>מלוות פנים וחוץ לזמן ארוך</w:t>
            </w:r>
          </w:p>
        </w:tc>
        <w:tc>
          <w:tcPr>
            <w:tcW w:w="635" w:type="pct"/>
            <w:tcBorders>
              <w:top w:val="nil"/>
              <w:bottom w:val="nil"/>
            </w:tcBorders>
            <w:shd w:val="clear" w:color="auto" w:fill="DCE9EE"/>
            <w:hideMark/>
          </w:tcPr>
          <w:p w14:paraId="2557C8D5"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744</w:t>
            </w:r>
          </w:p>
        </w:tc>
        <w:tc>
          <w:tcPr>
            <w:tcW w:w="635" w:type="pct"/>
            <w:tcBorders>
              <w:top w:val="nil"/>
              <w:bottom w:val="nil"/>
            </w:tcBorders>
            <w:shd w:val="clear" w:color="auto" w:fill="DCE9EE"/>
            <w:hideMark/>
          </w:tcPr>
          <w:p w14:paraId="33C04C7A"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780</w:t>
            </w:r>
          </w:p>
        </w:tc>
        <w:tc>
          <w:tcPr>
            <w:tcW w:w="635" w:type="pct"/>
            <w:tcBorders>
              <w:top w:val="nil"/>
              <w:bottom w:val="nil"/>
            </w:tcBorders>
            <w:shd w:val="clear" w:color="auto" w:fill="DCE9EE"/>
            <w:hideMark/>
          </w:tcPr>
          <w:p w14:paraId="7342A787"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812</w:t>
            </w:r>
          </w:p>
        </w:tc>
        <w:tc>
          <w:tcPr>
            <w:tcW w:w="636" w:type="pct"/>
            <w:tcBorders>
              <w:top w:val="nil"/>
              <w:bottom w:val="nil"/>
            </w:tcBorders>
            <w:shd w:val="clear" w:color="auto" w:fill="DCE9EE"/>
          </w:tcPr>
          <w:p w14:paraId="5F21E39F"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961</w:t>
            </w:r>
          </w:p>
        </w:tc>
      </w:tr>
      <w:tr w:rsidR="004D4D58" w14:paraId="02B3975D" w14:textId="77777777" w:rsidTr="004D4D58">
        <w:tc>
          <w:tcPr>
            <w:cnfStyle w:val="001000000000" w:firstRow="0" w:lastRow="0" w:firstColumn="1" w:lastColumn="0" w:oddVBand="0" w:evenVBand="0" w:oddHBand="0" w:evenHBand="0" w:firstRowFirstColumn="0" w:firstRowLastColumn="0" w:lastRowFirstColumn="0" w:lastRowLastColumn="0"/>
            <w:tcW w:w="2458" w:type="pct"/>
            <w:tcBorders>
              <w:top w:val="nil"/>
              <w:left w:val="none" w:sz="0" w:space="0" w:color="auto"/>
              <w:bottom w:val="nil"/>
            </w:tcBorders>
            <w:shd w:val="clear" w:color="auto" w:fill="EDF5F6"/>
            <w:hideMark/>
          </w:tcPr>
          <w:p w14:paraId="7ECF5D29" w14:textId="77777777" w:rsidR="007C4395" w:rsidRDefault="007C4395" w:rsidP="009E6326">
            <w:pPr>
              <w:pStyle w:val="71R"/>
              <w:rPr>
                <w:rtl/>
              </w:rPr>
            </w:pPr>
            <w:r>
              <w:rPr>
                <w:rFonts w:hint="cs"/>
                <w:b w:val="0"/>
                <w:bCs w:val="0"/>
                <w:rtl/>
              </w:rPr>
              <w:t>התחייבויות בגין זכויות עובדים</w:t>
            </w:r>
          </w:p>
        </w:tc>
        <w:tc>
          <w:tcPr>
            <w:tcW w:w="635" w:type="pct"/>
            <w:tcBorders>
              <w:top w:val="nil"/>
              <w:bottom w:val="nil"/>
            </w:tcBorders>
            <w:shd w:val="clear" w:color="auto" w:fill="EDF5F6"/>
            <w:hideMark/>
          </w:tcPr>
          <w:p w14:paraId="7435FBBB"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717</w:t>
            </w:r>
          </w:p>
        </w:tc>
        <w:tc>
          <w:tcPr>
            <w:tcW w:w="635" w:type="pct"/>
            <w:tcBorders>
              <w:top w:val="nil"/>
              <w:bottom w:val="nil"/>
            </w:tcBorders>
            <w:shd w:val="clear" w:color="auto" w:fill="EDF5F6"/>
            <w:hideMark/>
          </w:tcPr>
          <w:p w14:paraId="56072F4A"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680</w:t>
            </w:r>
          </w:p>
        </w:tc>
        <w:tc>
          <w:tcPr>
            <w:tcW w:w="635" w:type="pct"/>
            <w:tcBorders>
              <w:top w:val="nil"/>
              <w:bottom w:val="nil"/>
            </w:tcBorders>
            <w:shd w:val="clear" w:color="auto" w:fill="EDF5F6"/>
            <w:hideMark/>
          </w:tcPr>
          <w:p w14:paraId="6CAE1B8C"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828</w:t>
            </w:r>
          </w:p>
        </w:tc>
        <w:tc>
          <w:tcPr>
            <w:tcW w:w="636" w:type="pct"/>
            <w:tcBorders>
              <w:top w:val="nil"/>
              <w:bottom w:val="nil"/>
            </w:tcBorders>
            <w:shd w:val="clear" w:color="auto" w:fill="EDF5F6"/>
          </w:tcPr>
          <w:p w14:paraId="6E63B8C0"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873</w:t>
            </w:r>
          </w:p>
        </w:tc>
      </w:tr>
      <w:tr w:rsidR="004D4D58" w14:paraId="4D4018C9" w14:textId="77777777" w:rsidTr="004D4D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8" w:type="pct"/>
            <w:tcBorders>
              <w:top w:val="nil"/>
              <w:left w:val="none" w:sz="0" w:space="0" w:color="auto"/>
              <w:bottom w:val="nil"/>
            </w:tcBorders>
            <w:shd w:val="clear" w:color="auto" w:fill="DCE9EE"/>
            <w:hideMark/>
          </w:tcPr>
          <w:p w14:paraId="3EC276C5" w14:textId="77777777" w:rsidR="007C4395" w:rsidRDefault="007C4395" w:rsidP="009E6326">
            <w:pPr>
              <w:pStyle w:val="71R"/>
              <w:rPr>
                <w:rtl/>
              </w:rPr>
            </w:pPr>
            <w:r>
              <w:rPr>
                <w:rFonts w:hint="cs"/>
                <w:b w:val="0"/>
                <w:bCs w:val="0"/>
                <w:rtl/>
              </w:rPr>
              <w:t>עתודות בגין אירועי ביטוח</w:t>
            </w:r>
          </w:p>
        </w:tc>
        <w:tc>
          <w:tcPr>
            <w:tcW w:w="635" w:type="pct"/>
            <w:tcBorders>
              <w:top w:val="nil"/>
              <w:bottom w:val="nil"/>
            </w:tcBorders>
            <w:shd w:val="clear" w:color="auto" w:fill="DCE9EE"/>
            <w:hideMark/>
          </w:tcPr>
          <w:p w14:paraId="45532EF2"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712</w:t>
            </w:r>
          </w:p>
        </w:tc>
        <w:tc>
          <w:tcPr>
            <w:tcW w:w="635" w:type="pct"/>
            <w:tcBorders>
              <w:top w:val="nil"/>
              <w:bottom w:val="nil"/>
            </w:tcBorders>
            <w:shd w:val="clear" w:color="auto" w:fill="DCE9EE"/>
            <w:hideMark/>
          </w:tcPr>
          <w:p w14:paraId="233CE06B"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729</w:t>
            </w:r>
          </w:p>
        </w:tc>
        <w:tc>
          <w:tcPr>
            <w:tcW w:w="635" w:type="pct"/>
            <w:tcBorders>
              <w:top w:val="nil"/>
              <w:bottom w:val="nil"/>
            </w:tcBorders>
            <w:shd w:val="clear" w:color="auto" w:fill="DCE9EE"/>
            <w:hideMark/>
          </w:tcPr>
          <w:p w14:paraId="717A2EED"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893</w:t>
            </w:r>
          </w:p>
        </w:tc>
        <w:tc>
          <w:tcPr>
            <w:tcW w:w="636" w:type="pct"/>
            <w:tcBorders>
              <w:top w:val="nil"/>
              <w:bottom w:val="nil"/>
            </w:tcBorders>
            <w:shd w:val="clear" w:color="auto" w:fill="DCE9EE"/>
          </w:tcPr>
          <w:p w14:paraId="776733EE"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952</w:t>
            </w:r>
          </w:p>
        </w:tc>
      </w:tr>
      <w:tr w:rsidR="004D4D58" w14:paraId="4E411179" w14:textId="77777777" w:rsidTr="004D4D58">
        <w:tc>
          <w:tcPr>
            <w:cnfStyle w:val="001000000000" w:firstRow="0" w:lastRow="0" w:firstColumn="1" w:lastColumn="0" w:oddVBand="0" w:evenVBand="0" w:oddHBand="0" w:evenHBand="0" w:firstRowFirstColumn="0" w:firstRowLastColumn="0" w:lastRowFirstColumn="0" w:lastRowLastColumn="0"/>
            <w:tcW w:w="2458" w:type="pct"/>
            <w:tcBorders>
              <w:top w:val="nil"/>
              <w:left w:val="none" w:sz="0" w:space="0" w:color="auto"/>
              <w:bottom w:val="nil"/>
            </w:tcBorders>
            <w:shd w:val="clear" w:color="auto" w:fill="EDF5F6"/>
            <w:hideMark/>
          </w:tcPr>
          <w:p w14:paraId="2F03C371" w14:textId="77777777" w:rsidR="007C4395" w:rsidRDefault="007C4395" w:rsidP="009E6326">
            <w:pPr>
              <w:pStyle w:val="71R"/>
              <w:rPr>
                <w:rtl/>
              </w:rPr>
            </w:pPr>
            <w:r>
              <w:rPr>
                <w:rFonts w:hint="cs"/>
                <w:b w:val="0"/>
                <w:bCs w:val="0"/>
                <w:rtl/>
              </w:rPr>
              <w:t>התחייבויות אחרות לזמן ארוך</w:t>
            </w:r>
          </w:p>
        </w:tc>
        <w:tc>
          <w:tcPr>
            <w:tcW w:w="635" w:type="pct"/>
            <w:tcBorders>
              <w:top w:val="nil"/>
              <w:bottom w:val="nil"/>
            </w:tcBorders>
            <w:shd w:val="clear" w:color="auto" w:fill="EDF5F6"/>
            <w:hideMark/>
          </w:tcPr>
          <w:p w14:paraId="3E6D9985"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192</w:t>
            </w:r>
          </w:p>
        </w:tc>
        <w:tc>
          <w:tcPr>
            <w:tcW w:w="635" w:type="pct"/>
            <w:tcBorders>
              <w:top w:val="nil"/>
              <w:bottom w:val="nil"/>
            </w:tcBorders>
            <w:shd w:val="clear" w:color="auto" w:fill="EDF5F6"/>
            <w:hideMark/>
          </w:tcPr>
          <w:p w14:paraId="0DA76A7F"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202</w:t>
            </w:r>
          </w:p>
        </w:tc>
        <w:tc>
          <w:tcPr>
            <w:tcW w:w="635" w:type="pct"/>
            <w:tcBorders>
              <w:top w:val="nil"/>
              <w:bottom w:val="nil"/>
            </w:tcBorders>
            <w:shd w:val="clear" w:color="auto" w:fill="EDF5F6"/>
            <w:hideMark/>
          </w:tcPr>
          <w:p w14:paraId="6AAD422E"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208</w:t>
            </w:r>
          </w:p>
        </w:tc>
        <w:tc>
          <w:tcPr>
            <w:tcW w:w="636" w:type="pct"/>
            <w:tcBorders>
              <w:top w:val="nil"/>
              <w:bottom w:val="nil"/>
            </w:tcBorders>
            <w:shd w:val="clear" w:color="auto" w:fill="EDF5F6"/>
          </w:tcPr>
          <w:p w14:paraId="13D0D9D2"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208</w:t>
            </w:r>
          </w:p>
        </w:tc>
      </w:tr>
      <w:tr w:rsidR="004D4D58" w14:paraId="6DB2BDD4" w14:textId="77777777" w:rsidTr="004D4D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8" w:type="pct"/>
            <w:tcBorders>
              <w:top w:val="nil"/>
              <w:left w:val="none" w:sz="0" w:space="0" w:color="auto"/>
              <w:bottom w:val="nil"/>
            </w:tcBorders>
            <w:shd w:val="clear" w:color="auto" w:fill="B6CBD4"/>
            <w:hideMark/>
          </w:tcPr>
          <w:p w14:paraId="31483409" w14:textId="77777777" w:rsidR="007C4395" w:rsidRDefault="007C4395" w:rsidP="009E6326">
            <w:pPr>
              <w:pStyle w:val="71R"/>
              <w:rPr>
                <w:rtl/>
              </w:rPr>
            </w:pPr>
            <w:r>
              <w:rPr>
                <w:rFonts w:hint="cs"/>
                <w:rtl/>
              </w:rPr>
              <w:t>סך הכול התחייבויות</w:t>
            </w:r>
          </w:p>
        </w:tc>
        <w:tc>
          <w:tcPr>
            <w:tcW w:w="635" w:type="pct"/>
            <w:tcBorders>
              <w:top w:val="nil"/>
              <w:bottom w:val="nil"/>
            </w:tcBorders>
            <w:shd w:val="clear" w:color="auto" w:fill="B6CBD4"/>
            <w:hideMark/>
          </w:tcPr>
          <w:p w14:paraId="3A011862" w14:textId="77777777" w:rsidR="007C4395" w:rsidRPr="00B62766"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B62766">
              <w:rPr>
                <w:rFonts w:hint="cs"/>
                <w:b/>
                <w:bCs/>
                <w:rtl/>
              </w:rPr>
              <w:t>2,526</w:t>
            </w:r>
          </w:p>
        </w:tc>
        <w:tc>
          <w:tcPr>
            <w:tcW w:w="635" w:type="pct"/>
            <w:tcBorders>
              <w:top w:val="nil"/>
              <w:bottom w:val="nil"/>
            </w:tcBorders>
            <w:shd w:val="clear" w:color="auto" w:fill="B6CBD4"/>
            <w:hideMark/>
          </w:tcPr>
          <w:p w14:paraId="57113CA5" w14:textId="77777777" w:rsidR="007C4395" w:rsidRPr="00B62766"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B62766">
              <w:rPr>
                <w:rFonts w:hint="cs"/>
                <w:b/>
                <w:bCs/>
                <w:rtl/>
              </w:rPr>
              <w:t>2,562</w:t>
            </w:r>
          </w:p>
        </w:tc>
        <w:tc>
          <w:tcPr>
            <w:tcW w:w="635" w:type="pct"/>
            <w:tcBorders>
              <w:top w:val="nil"/>
              <w:bottom w:val="nil"/>
            </w:tcBorders>
            <w:shd w:val="clear" w:color="auto" w:fill="B6CBD4"/>
            <w:hideMark/>
          </w:tcPr>
          <w:p w14:paraId="4B506600" w14:textId="77777777" w:rsidR="007C4395" w:rsidRPr="00B62766"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B62766">
              <w:rPr>
                <w:rFonts w:hint="cs"/>
                <w:b/>
                <w:bCs/>
                <w:rtl/>
              </w:rPr>
              <w:t>2,918</w:t>
            </w:r>
          </w:p>
        </w:tc>
        <w:tc>
          <w:tcPr>
            <w:tcW w:w="636" w:type="pct"/>
            <w:tcBorders>
              <w:top w:val="nil"/>
              <w:bottom w:val="nil"/>
            </w:tcBorders>
            <w:shd w:val="clear" w:color="auto" w:fill="B6CBD4"/>
          </w:tcPr>
          <w:p w14:paraId="6665E298" w14:textId="77777777" w:rsidR="007C4395" w:rsidRPr="00B62766"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B62766">
              <w:rPr>
                <w:rFonts w:hint="cs"/>
                <w:b/>
                <w:bCs/>
                <w:rtl/>
              </w:rPr>
              <w:t>3,191</w:t>
            </w:r>
          </w:p>
        </w:tc>
      </w:tr>
      <w:tr w:rsidR="004D4D58" w14:paraId="110129BE" w14:textId="77777777" w:rsidTr="004D4D58">
        <w:tc>
          <w:tcPr>
            <w:cnfStyle w:val="001000000000" w:firstRow="0" w:lastRow="0" w:firstColumn="1" w:lastColumn="0" w:oddVBand="0" w:evenVBand="0" w:oddHBand="0" w:evenHBand="0" w:firstRowFirstColumn="0" w:firstRowLastColumn="0" w:lastRowFirstColumn="0" w:lastRowLastColumn="0"/>
            <w:tcW w:w="2458" w:type="pct"/>
            <w:tcBorders>
              <w:top w:val="nil"/>
              <w:left w:val="none" w:sz="0" w:space="0" w:color="auto"/>
              <w:bottom w:val="nil"/>
            </w:tcBorders>
            <w:shd w:val="clear" w:color="auto" w:fill="C7DCE4"/>
            <w:hideMark/>
          </w:tcPr>
          <w:p w14:paraId="7D295B55" w14:textId="77777777" w:rsidR="007C4395" w:rsidRDefault="007C4395" w:rsidP="009E6326">
            <w:pPr>
              <w:pStyle w:val="71R"/>
              <w:rPr>
                <w:rtl/>
              </w:rPr>
            </w:pPr>
            <w:r>
              <w:rPr>
                <w:rFonts w:hint="cs"/>
                <w:rtl/>
              </w:rPr>
              <w:t xml:space="preserve">התחייבויות נטו / גירעון בהון </w:t>
            </w:r>
          </w:p>
        </w:tc>
        <w:tc>
          <w:tcPr>
            <w:tcW w:w="635" w:type="pct"/>
            <w:tcBorders>
              <w:top w:val="nil"/>
              <w:bottom w:val="nil"/>
            </w:tcBorders>
            <w:shd w:val="clear" w:color="auto" w:fill="C7DCE4"/>
            <w:hideMark/>
          </w:tcPr>
          <w:p w14:paraId="36A1CCAE" w14:textId="77777777" w:rsidR="007C4395" w:rsidRPr="00B62766"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B62766">
              <w:rPr>
                <w:rFonts w:hint="cs"/>
                <w:b/>
                <w:bCs/>
                <w:rtl/>
              </w:rPr>
              <w:t>(1,938)</w:t>
            </w:r>
          </w:p>
        </w:tc>
        <w:tc>
          <w:tcPr>
            <w:tcW w:w="635" w:type="pct"/>
            <w:tcBorders>
              <w:top w:val="nil"/>
              <w:bottom w:val="nil"/>
            </w:tcBorders>
            <w:shd w:val="clear" w:color="auto" w:fill="C7DCE4"/>
            <w:hideMark/>
          </w:tcPr>
          <w:p w14:paraId="78361257" w14:textId="77777777" w:rsidR="007C4395" w:rsidRPr="00B62766"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B62766">
              <w:rPr>
                <w:rFonts w:hint="cs"/>
                <w:b/>
                <w:bCs/>
                <w:rtl/>
              </w:rPr>
              <w:t>(1,952)</w:t>
            </w:r>
          </w:p>
        </w:tc>
        <w:tc>
          <w:tcPr>
            <w:tcW w:w="635" w:type="pct"/>
            <w:tcBorders>
              <w:top w:val="nil"/>
              <w:bottom w:val="nil"/>
            </w:tcBorders>
            <w:shd w:val="clear" w:color="auto" w:fill="C7DCE4"/>
            <w:hideMark/>
          </w:tcPr>
          <w:p w14:paraId="4D6A795C" w14:textId="77777777" w:rsidR="007C4395" w:rsidRPr="00B62766"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B62766">
              <w:rPr>
                <w:rFonts w:hint="cs"/>
                <w:b/>
                <w:bCs/>
                <w:rtl/>
              </w:rPr>
              <w:t>(2,223)</w:t>
            </w:r>
          </w:p>
        </w:tc>
        <w:tc>
          <w:tcPr>
            <w:tcW w:w="636" w:type="pct"/>
            <w:tcBorders>
              <w:top w:val="nil"/>
              <w:bottom w:val="nil"/>
            </w:tcBorders>
            <w:shd w:val="clear" w:color="auto" w:fill="C7DCE4"/>
          </w:tcPr>
          <w:p w14:paraId="08BE8BAD" w14:textId="77777777" w:rsidR="007C4395" w:rsidRPr="00B62766"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B62766">
              <w:rPr>
                <w:rFonts w:hint="cs"/>
                <w:b/>
                <w:bCs/>
                <w:rtl/>
              </w:rPr>
              <w:t>(2,459)</w:t>
            </w:r>
          </w:p>
        </w:tc>
      </w:tr>
    </w:tbl>
    <w:p w14:paraId="74AB12D8" w14:textId="77777777" w:rsidR="007C4395" w:rsidRPr="00BA2FBE" w:rsidRDefault="007C4395" w:rsidP="00BA2FBE">
      <w:pPr>
        <w:pStyle w:val="71c"/>
        <w:rPr>
          <w:rtl/>
        </w:rPr>
      </w:pPr>
      <w:r w:rsidRPr="00BA2FBE">
        <w:rPr>
          <w:rFonts w:hint="cs"/>
          <w:rtl/>
        </w:rPr>
        <w:t>על פי</w:t>
      </w:r>
      <w:r w:rsidRPr="00BA2FBE">
        <w:rPr>
          <w:rtl/>
        </w:rPr>
        <w:t xml:space="preserve"> הדוחות </w:t>
      </w:r>
      <w:r w:rsidRPr="00BA2FBE">
        <w:rPr>
          <w:rFonts w:hint="eastAsia"/>
          <w:rtl/>
        </w:rPr>
        <w:t>הכספיים</w:t>
      </w:r>
      <w:r w:rsidRPr="00BA2FBE">
        <w:rPr>
          <w:rtl/>
        </w:rPr>
        <w:t xml:space="preserve"> </w:t>
      </w:r>
      <w:r w:rsidRPr="00BA2FBE">
        <w:rPr>
          <w:rFonts w:hint="eastAsia"/>
          <w:rtl/>
        </w:rPr>
        <w:t>של</w:t>
      </w:r>
      <w:r w:rsidRPr="00BA2FBE">
        <w:rPr>
          <w:rtl/>
        </w:rPr>
        <w:t xml:space="preserve"> </w:t>
      </w:r>
      <w:r w:rsidRPr="00BA2FBE">
        <w:rPr>
          <w:rFonts w:hint="eastAsia"/>
          <w:rtl/>
        </w:rPr>
        <w:t>מדינת</w:t>
      </w:r>
      <w:r w:rsidRPr="00BA2FBE">
        <w:rPr>
          <w:rtl/>
        </w:rPr>
        <w:t xml:space="preserve"> </w:t>
      </w:r>
      <w:r w:rsidRPr="00BA2FBE">
        <w:rPr>
          <w:rFonts w:hint="eastAsia"/>
          <w:rtl/>
        </w:rPr>
        <w:t>ישראל</w:t>
      </w:r>
      <w:r w:rsidRPr="00BA2FBE">
        <w:rPr>
          <w:rtl/>
        </w:rPr>
        <w:t xml:space="preserve"> </w:t>
      </w:r>
      <w:r w:rsidRPr="00BA2FBE">
        <w:rPr>
          <w:rFonts w:hint="eastAsia"/>
          <w:rtl/>
        </w:rPr>
        <w:t>לשנים</w:t>
      </w:r>
      <w:r w:rsidRPr="00BA2FBE">
        <w:rPr>
          <w:rtl/>
        </w:rPr>
        <w:t xml:space="preserve"> 20</w:t>
      </w:r>
      <w:r w:rsidRPr="00BA2FBE">
        <w:rPr>
          <w:rFonts w:hint="cs"/>
          <w:rtl/>
        </w:rPr>
        <w:t xml:space="preserve">17 </w:t>
      </w:r>
      <w:r w:rsidRPr="00BA2FBE">
        <w:rPr>
          <w:rtl/>
        </w:rPr>
        <w:t>-</w:t>
      </w:r>
      <w:r w:rsidRPr="00BA2FBE">
        <w:rPr>
          <w:rFonts w:hint="cs"/>
          <w:rtl/>
        </w:rPr>
        <w:t xml:space="preserve"> </w:t>
      </w:r>
      <w:r w:rsidRPr="00BA2FBE">
        <w:rPr>
          <w:rtl/>
        </w:rPr>
        <w:t>20</w:t>
      </w:r>
      <w:r w:rsidRPr="00BA2FBE">
        <w:rPr>
          <w:rFonts w:hint="cs"/>
          <w:rtl/>
        </w:rPr>
        <w:t>20</w:t>
      </w:r>
      <w:r w:rsidRPr="00BA2FBE">
        <w:rPr>
          <w:rtl/>
        </w:rPr>
        <w:t xml:space="preserve">, </w:t>
      </w:r>
      <w:r w:rsidRPr="00BA2FBE">
        <w:rPr>
          <w:rFonts w:hint="eastAsia"/>
          <w:rtl/>
        </w:rPr>
        <w:t>משרד</w:t>
      </w:r>
      <w:r w:rsidRPr="00BA2FBE">
        <w:rPr>
          <w:rtl/>
        </w:rPr>
        <w:t xml:space="preserve"> </w:t>
      </w:r>
      <w:r w:rsidRPr="00BA2FBE">
        <w:rPr>
          <w:rFonts w:hint="eastAsia"/>
          <w:rtl/>
        </w:rPr>
        <w:t>האוצר</w:t>
      </w:r>
      <w:r w:rsidRPr="00BA2FBE">
        <w:rPr>
          <w:rtl/>
        </w:rPr>
        <w:t xml:space="preserve">, </w:t>
      </w:r>
      <w:r w:rsidRPr="00BA2FBE">
        <w:rPr>
          <w:rFonts w:hint="eastAsia"/>
          <w:rtl/>
        </w:rPr>
        <w:t>בעיבוד</w:t>
      </w:r>
      <w:r w:rsidRPr="00BA2FBE">
        <w:rPr>
          <w:rtl/>
        </w:rPr>
        <w:t xml:space="preserve"> </w:t>
      </w:r>
      <w:r w:rsidRPr="00BA2FBE">
        <w:rPr>
          <w:rFonts w:hint="eastAsia"/>
          <w:rtl/>
        </w:rPr>
        <w:t>משרד</w:t>
      </w:r>
      <w:r w:rsidRPr="00BA2FBE">
        <w:rPr>
          <w:rtl/>
        </w:rPr>
        <w:t xml:space="preserve"> </w:t>
      </w:r>
      <w:r w:rsidRPr="00BA2FBE">
        <w:rPr>
          <w:rFonts w:hint="eastAsia"/>
          <w:rtl/>
        </w:rPr>
        <w:t>מבקר</w:t>
      </w:r>
      <w:r w:rsidRPr="00BA2FBE">
        <w:rPr>
          <w:rtl/>
        </w:rPr>
        <w:t xml:space="preserve"> </w:t>
      </w:r>
      <w:r w:rsidRPr="00BA2FBE">
        <w:rPr>
          <w:rFonts w:hint="eastAsia"/>
          <w:rtl/>
        </w:rPr>
        <w:t>המדינה</w:t>
      </w:r>
      <w:r w:rsidRPr="00BA2FBE">
        <w:rPr>
          <w:rtl/>
        </w:rPr>
        <w:t>.</w:t>
      </w:r>
    </w:p>
    <w:p w14:paraId="61FEEAD8" w14:textId="77777777" w:rsidR="007C4395" w:rsidRPr="00D1544A" w:rsidRDefault="007C4395" w:rsidP="002A738D">
      <w:pPr>
        <w:pStyle w:val="7190"/>
        <w:rPr>
          <w:rtl/>
        </w:rPr>
      </w:pPr>
      <w:r>
        <w:rPr>
          <w:rFonts w:hint="cs"/>
          <w:rtl/>
        </w:rPr>
        <w:t xml:space="preserve">מהלוחות שלעיל עולה כי בשנת 2020 הסתכם הגירעון החשבונאי נטו </w:t>
      </w:r>
      <w:proofErr w:type="spellStart"/>
      <w:r>
        <w:rPr>
          <w:rFonts w:hint="cs"/>
          <w:rtl/>
        </w:rPr>
        <w:t>בכ</w:t>
      </w:r>
      <w:proofErr w:type="spellEnd"/>
      <w:r>
        <w:rPr>
          <w:rFonts w:hint="cs"/>
          <w:rtl/>
        </w:rPr>
        <w:t xml:space="preserve">-170 מיליארד ש"ח, לעומת כ-184 מיליארד ש"ח בשנת 2019 וכי ההון </w:t>
      </w:r>
      <w:r w:rsidRPr="00D1544A">
        <w:rPr>
          <w:rtl/>
        </w:rPr>
        <w:t>המאוחד נטו</w:t>
      </w:r>
      <w:r>
        <w:rPr>
          <w:rStyle w:val="ac"/>
          <w:rtl/>
        </w:rPr>
        <w:footnoteReference w:id="5"/>
      </w:r>
      <w:r w:rsidRPr="00D1544A">
        <w:rPr>
          <w:rtl/>
        </w:rPr>
        <w:t xml:space="preserve"> </w:t>
      </w:r>
      <w:r>
        <w:rPr>
          <w:rFonts w:hint="cs"/>
          <w:rtl/>
        </w:rPr>
        <w:t>קטן</w:t>
      </w:r>
      <w:r w:rsidRPr="00D1544A">
        <w:rPr>
          <w:rtl/>
        </w:rPr>
        <w:t xml:space="preserve"> </w:t>
      </w:r>
      <w:r>
        <w:rPr>
          <w:rFonts w:hint="cs"/>
          <w:rtl/>
        </w:rPr>
        <w:t>בשנים 2019 עד 2020</w:t>
      </w:r>
      <w:r>
        <w:rPr>
          <w:rtl/>
        </w:rPr>
        <w:t xml:space="preserve"> </w:t>
      </w:r>
      <w:proofErr w:type="spellStart"/>
      <w:r>
        <w:rPr>
          <w:rtl/>
        </w:rPr>
        <w:t>בכ</w:t>
      </w:r>
      <w:proofErr w:type="spellEnd"/>
      <w:r>
        <w:rPr>
          <w:rtl/>
        </w:rPr>
        <w:t>-</w:t>
      </w:r>
      <w:r w:rsidRPr="00D1544A">
        <w:rPr>
          <w:rtl/>
        </w:rPr>
        <w:t>236 מיליארד ש"ח</w:t>
      </w:r>
      <w:r>
        <w:rPr>
          <w:rFonts w:hint="cs"/>
          <w:rtl/>
        </w:rPr>
        <w:t>.</w:t>
      </w:r>
    </w:p>
    <w:p w14:paraId="3BDEDD6D" w14:textId="77777777" w:rsidR="004D4D58" w:rsidRDefault="004D4D58">
      <w:pPr>
        <w:bidi w:val="0"/>
        <w:spacing w:after="200" w:line="276" w:lineRule="auto"/>
        <w:rPr>
          <w:rFonts w:ascii="Tahoma" w:hAnsi="Tahoma" w:cs="Tahoma"/>
          <w:color w:val="0D0D0D" w:themeColor="text1" w:themeTint="F2"/>
          <w:sz w:val="18"/>
          <w:szCs w:val="18"/>
          <w:rtl/>
        </w:rPr>
      </w:pPr>
      <w:r>
        <w:rPr>
          <w:rtl/>
        </w:rPr>
        <w:br w:type="page"/>
      </w:r>
    </w:p>
    <w:p w14:paraId="0B843C69" w14:textId="3B4E09E8" w:rsidR="007C4395" w:rsidRDefault="007C4395" w:rsidP="002A738D">
      <w:pPr>
        <w:pStyle w:val="7190"/>
        <w:rPr>
          <w:rtl/>
        </w:rPr>
      </w:pPr>
      <w:r>
        <w:rPr>
          <w:rFonts w:hint="cs"/>
          <w:rtl/>
        </w:rPr>
        <w:lastRenderedPageBreak/>
        <w:t>נכסי המדינה הכלולים בדוחות הכספיים ל-31.12.2020 נחלקים לנכסים שוטפים ולנכסים שאינם שוטפים</w:t>
      </w:r>
      <w:r>
        <w:rPr>
          <w:rStyle w:val="ac"/>
          <w:rtl/>
        </w:rPr>
        <w:footnoteReference w:id="6"/>
      </w:r>
      <w:r>
        <w:rPr>
          <w:rFonts w:hint="cs"/>
          <w:rtl/>
        </w:rPr>
        <w:t xml:space="preserve">. סך כל נכסי </w:t>
      </w:r>
      <w:r w:rsidRPr="005F597B">
        <w:rPr>
          <w:rFonts w:hint="cs"/>
          <w:rtl/>
        </w:rPr>
        <w:t xml:space="preserve">המדינה המוצגים הוא כ-732 מיליארד ש"ח, מהם נכסים שוטפים בהיקף של כ-162 מיליארד ש"ח, ובהם </w:t>
      </w:r>
      <w:r w:rsidRPr="005F597B">
        <w:rPr>
          <w:rFonts w:hint="eastAsia"/>
          <w:rtl/>
        </w:rPr>
        <w:t>סעיף</w:t>
      </w:r>
      <w:r w:rsidRPr="005F597B">
        <w:rPr>
          <w:rtl/>
        </w:rPr>
        <w:t xml:space="preserve"> חייבים ויתרות חובה בסך של כ-69 </w:t>
      </w:r>
      <w:r w:rsidRPr="005F597B">
        <w:rPr>
          <w:rFonts w:hint="eastAsia"/>
          <w:rtl/>
        </w:rPr>
        <w:t>מיליארד</w:t>
      </w:r>
      <w:r w:rsidRPr="005F597B">
        <w:rPr>
          <w:rFonts w:hint="cs"/>
          <w:rtl/>
        </w:rPr>
        <w:t xml:space="preserve"> ש"ח (</w:t>
      </w:r>
      <w:r>
        <w:rPr>
          <w:rFonts w:hint="cs"/>
          <w:rtl/>
        </w:rPr>
        <w:t>בניכוי הפרשה לחובות מסופקים</w:t>
      </w:r>
      <w:r>
        <w:rPr>
          <w:rStyle w:val="ac"/>
          <w:rtl/>
        </w:rPr>
        <w:footnoteReference w:id="7"/>
      </w:r>
      <w:r>
        <w:rPr>
          <w:rFonts w:hint="cs"/>
          <w:rtl/>
        </w:rPr>
        <w:t>).</w:t>
      </w:r>
    </w:p>
    <w:p w14:paraId="6B0E36BF" w14:textId="77777777" w:rsidR="007C4395" w:rsidRDefault="007C4395" w:rsidP="002A738D">
      <w:pPr>
        <w:pStyle w:val="7190"/>
        <w:rPr>
          <w:rtl/>
        </w:rPr>
      </w:pPr>
      <w:r>
        <w:rPr>
          <w:rFonts w:hint="cs"/>
          <w:rtl/>
        </w:rPr>
        <w:t xml:space="preserve">סעיף החייבים בדוחות הכספיים מייצג חיובים וחובות של גורמים שונים כלפי הישויות הממשלתיות השונות, ובכלל זה משרדי הממשלה, שטרם נפרעו עד ליום המאזן. מדובר בנכס שעומד בכללי ההכרה כנכס בדוחות הכספיים של המדינה אך על המדינה </w:t>
      </w:r>
      <w:r w:rsidRPr="005F597B">
        <w:rPr>
          <w:rFonts w:hint="cs"/>
          <w:rtl/>
        </w:rPr>
        <w:t>לגבות אותו</w:t>
      </w:r>
      <w:r w:rsidRPr="005F597B">
        <w:rPr>
          <w:rtl/>
        </w:rPr>
        <w:t>.</w:t>
      </w:r>
      <w:r w:rsidRPr="005F597B">
        <w:rPr>
          <w:rFonts w:hint="cs"/>
          <w:rtl/>
        </w:rPr>
        <w:t xml:space="preserve"> סעיף חייבים</w:t>
      </w:r>
      <w:r>
        <w:rPr>
          <w:rFonts w:hint="cs"/>
          <w:rtl/>
        </w:rPr>
        <w:t xml:space="preserve"> ויתרות חובה מוצג בניכוי הפרשה לחובות מסופקים, כלומר הפרשה בגין חובות שגבייתם מוטלת בספק, וזאת במטרה לשקף בדוחות הכספיים באופן אמין ככל האפשר את סכום החוב הניתן לגבייה בפועל.</w:t>
      </w:r>
    </w:p>
    <w:p w14:paraId="1B573CD8" w14:textId="3F7101AB" w:rsidR="007C4395" w:rsidRDefault="007C4395" w:rsidP="002A738D">
      <w:pPr>
        <w:pStyle w:val="7190"/>
        <w:rPr>
          <w:rtl/>
        </w:rPr>
      </w:pPr>
      <w:r>
        <w:rPr>
          <w:rFonts w:hint="cs"/>
          <w:rtl/>
        </w:rPr>
        <w:t>עיקר הסעיף הוא יתרת חייבים בגין עסקאות שאינן חליפין</w:t>
      </w:r>
      <w:r>
        <w:rPr>
          <w:rStyle w:val="ac"/>
          <w:rtl/>
        </w:rPr>
        <w:footnoteReference w:id="8"/>
      </w:r>
      <w:r>
        <w:rPr>
          <w:rFonts w:hint="cs"/>
          <w:rtl/>
        </w:rPr>
        <w:t xml:space="preserve"> (23.9 מיליארד ש"ח נכון </w:t>
      </w:r>
      <w:r>
        <w:rPr>
          <w:rtl/>
        </w:rPr>
        <w:br/>
      </w:r>
      <w:r>
        <w:rPr>
          <w:rFonts w:hint="cs"/>
          <w:rtl/>
        </w:rPr>
        <w:t>ל-31.12.2020), וחייבים בגין עסקאות חליפין</w:t>
      </w:r>
      <w:r>
        <w:rPr>
          <w:rStyle w:val="ac"/>
          <w:rtl/>
        </w:rPr>
        <w:footnoteReference w:id="9"/>
      </w:r>
      <w:r>
        <w:rPr>
          <w:rFonts w:hint="cs"/>
          <w:rtl/>
        </w:rPr>
        <w:t xml:space="preserve"> (19.2 מיליארד ש"ח נכון ל-31.12.2020), שהם כ-52% מכלל החייבים ויתרות החובה לפני ניכוי הפרשה לחובות מסופקים.</w:t>
      </w:r>
    </w:p>
    <w:p w14:paraId="4DB82065" w14:textId="781CFAF9" w:rsidR="007C4395" w:rsidRPr="00EC550D" w:rsidRDefault="007C4395" w:rsidP="005B6AA2">
      <w:pPr>
        <w:pStyle w:val="71a"/>
        <w:spacing w:after="120"/>
        <w:rPr>
          <w:rtl/>
        </w:rPr>
      </w:pPr>
      <w:r w:rsidRPr="00EC550D">
        <w:rPr>
          <w:rFonts w:hint="cs"/>
          <w:b w:val="0"/>
          <w:bCs w:val="0"/>
          <w:rtl/>
        </w:rPr>
        <w:t xml:space="preserve">תרשים </w:t>
      </w:r>
      <w:r w:rsidRPr="00EC550D">
        <w:rPr>
          <w:rFonts w:hint="cs"/>
          <w:b w:val="0"/>
          <w:bCs w:val="0"/>
          <w:rtl/>
        </w:rPr>
        <w:fldChar w:fldCharType="begin"/>
      </w:r>
      <w:r w:rsidRPr="00EC550D">
        <w:rPr>
          <w:rFonts w:hint="cs"/>
          <w:b w:val="0"/>
          <w:bCs w:val="0"/>
          <w:rtl/>
        </w:rPr>
        <w:instrText xml:space="preserve"> </w:instrText>
      </w:r>
      <w:r w:rsidRPr="00EC550D">
        <w:rPr>
          <w:b w:val="0"/>
          <w:bCs w:val="0"/>
        </w:rPr>
        <w:instrText>SEQ</w:instrText>
      </w:r>
      <w:r w:rsidRPr="00EC550D">
        <w:rPr>
          <w:rFonts w:hint="cs"/>
          <w:b w:val="0"/>
          <w:bCs w:val="0"/>
          <w:rtl/>
        </w:rPr>
        <w:instrText xml:space="preserve"> תרשים_ \* </w:instrText>
      </w:r>
      <w:r w:rsidRPr="00EC550D">
        <w:rPr>
          <w:b w:val="0"/>
          <w:bCs w:val="0"/>
        </w:rPr>
        <w:instrText>ARABIC</w:instrText>
      </w:r>
      <w:r w:rsidRPr="00EC550D">
        <w:rPr>
          <w:rFonts w:hint="cs"/>
          <w:b w:val="0"/>
          <w:bCs w:val="0"/>
          <w:rtl/>
        </w:rPr>
        <w:instrText xml:space="preserve"> </w:instrText>
      </w:r>
      <w:r w:rsidRPr="00EC550D">
        <w:rPr>
          <w:rFonts w:hint="cs"/>
          <w:b w:val="0"/>
          <w:bCs w:val="0"/>
          <w:rtl/>
        </w:rPr>
        <w:fldChar w:fldCharType="separate"/>
      </w:r>
      <w:r w:rsidR="003D59E1">
        <w:rPr>
          <w:b w:val="0"/>
          <w:bCs w:val="0"/>
          <w:noProof/>
          <w:rtl/>
        </w:rPr>
        <w:t>1</w:t>
      </w:r>
      <w:r w:rsidRPr="00EC550D">
        <w:rPr>
          <w:rFonts w:hint="cs"/>
          <w:b w:val="0"/>
          <w:bCs w:val="0"/>
          <w:rtl/>
        </w:rPr>
        <w:fldChar w:fldCharType="end"/>
      </w:r>
      <w:r w:rsidRPr="00EC550D">
        <w:rPr>
          <w:rFonts w:hint="cs"/>
          <w:b w:val="0"/>
          <w:bCs w:val="0"/>
          <w:rtl/>
        </w:rPr>
        <w:t xml:space="preserve">: </w:t>
      </w:r>
      <w:r w:rsidRPr="00EC550D">
        <w:rPr>
          <w:rFonts w:hint="cs"/>
          <w:rtl/>
        </w:rPr>
        <w:t>הרכב נכסים שוטפים ל-31.12.2020 (במיליארדי ש"ח)</w:t>
      </w:r>
    </w:p>
    <w:p w14:paraId="2BBFAF6A" w14:textId="77777777" w:rsidR="007C4395" w:rsidRDefault="007C4395" w:rsidP="007C4395">
      <w:pPr>
        <w:spacing w:line="269" w:lineRule="auto"/>
        <w:jc w:val="center"/>
        <w:rPr>
          <w:rtl/>
        </w:rPr>
      </w:pPr>
      <w:r>
        <w:rPr>
          <w:noProof/>
        </w:rPr>
        <w:drawing>
          <wp:inline distT="0" distB="0" distL="0" distR="0" wp14:anchorId="7D5CE715" wp14:editId="7DE82984">
            <wp:extent cx="2330511" cy="2216828"/>
            <wp:effectExtent l="0" t="0" r="0" b="0"/>
            <wp:docPr id="24785204" name="תמונה 24785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5204" name="תמונה 24785204"/>
                    <pic:cNvPicPr/>
                  </pic:nvPicPr>
                  <pic:blipFill>
                    <a:blip r:embed="rId34">
                      <a:extLst>
                        <a:ext uri="{28A0092B-C50C-407E-A947-70E740481C1C}">
                          <a14:useLocalDpi xmlns:a14="http://schemas.microsoft.com/office/drawing/2010/main" val="0"/>
                        </a:ext>
                      </a:extLst>
                    </a:blip>
                    <a:stretch>
                      <a:fillRect/>
                    </a:stretch>
                  </pic:blipFill>
                  <pic:spPr>
                    <a:xfrm>
                      <a:off x="0" y="0"/>
                      <a:ext cx="2330511" cy="2216828"/>
                    </a:xfrm>
                    <a:prstGeom prst="rect">
                      <a:avLst/>
                    </a:prstGeom>
                  </pic:spPr>
                </pic:pic>
              </a:graphicData>
            </a:graphic>
          </wp:inline>
        </w:drawing>
      </w:r>
    </w:p>
    <w:p w14:paraId="73B93E7C" w14:textId="77777777" w:rsidR="007C4395" w:rsidRPr="0017051F" w:rsidRDefault="007C4395" w:rsidP="00BA2FBE">
      <w:pPr>
        <w:pStyle w:val="71c"/>
        <w:rPr>
          <w:rtl/>
        </w:rPr>
      </w:pPr>
      <w:r w:rsidRPr="0017051F">
        <w:rPr>
          <w:rFonts w:hint="eastAsia"/>
          <w:rtl/>
        </w:rPr>
        <w:t>על</w:t>
      </w:r>
      <w:r w:rsidRPr="0017051F">
        <w:rPr>
          <w:rtl/>
        </w:rPr>
        <w:t xml:space="preserve"> </w:t>
      </w:r>
      <w:r w:rsidRPr="0017051F">
        <w:rPr>
          <w:rFonts w:hint="eastAsia"/>
          <w:rtl/>
        </w:rPr>
        <w:t>פי</w:t>
      </w:r>
      <w:r w:rsidRPr="0017051F">
        <w:rPr>
          <w:rtl/>
        </w:rPr>
        <w:t xml:space="preserve"> נתוני הדוחות הכספיים לשנ</w:t>
      </w:r>
      <w:r w:rsidRPr="0017051F">
        <w:rPr>
          <w:rFonts w:hint="eastAsia"/>
          <w:rtl/>
        </w:rPr>
        <w:t>ת</w:t>
      </w:r>
      <w:r w:rsidRPr="0017051F">
        <w:rPr>
          <w:rtl/>
        </w:rPr>
        <w:t xml:space="preserve"> 2020, בעיבוד משרד מבקר המדינה.</w:t>
      </w:r>
    </w:p>
    <w:p w14:paraId="249F181B" w14:textId="77777777" w:rsidR="007C4395" w:rsidRDefault="007C4395" w:rsidP="006F4D0D">
      <w:pPr>
        <w:pStyle w:val="71155"/>
        <w:rPr>
          <w:rtl/>
        </w:rPr>
      </w:pPr>
      <w:r>
        <w:rPr>
          <w:rFonts w:hint="cs"/>
          <w:rtl/>
        </w:rPr>
        <w:lastRenderedPageBreak/>
        <w:t>פעולות הביקורת</w:t>
      </w:r>
    </w:p>
    <w:p w14:paraId="066C7D6F" w14:textId="77777777" w:rsidR="007C4395" w:rsidRDefault="007C4395" w:rsidP="002A738D">
      <w:pPr>
        <w:pStyle w:val="7190"/>
        <w:rPr>
          <w:rtl/>
        </w:rPr>
      </w:pPr>
      <w:r>
        <w:rPr>
          <w:rFonts w:hint="cs"/>
          <w:rtl/>
        </w:rPr>
        <w:t>בחודשים יולי - נובמבר 2021 בדק משרד מבקר המדינה את המגמות השונות העולות מהדוחות הכספיים ואת סדרי הטיפול של הממשלה ברישום החובות בסעיף "חייבים ויתרות חובה", המופיע בדוחות הכספיים המאוחדים של המדינה ובדוחות הכספיים של משרדי הממשלה</w:t>
      </w:r>
      <w:r>
        <w:rPr>
          <w:rStyle w:val="ac"/>
          <w:rtl/>
        </w:rPr>
        <w:footnoteReference w:id="10"/>
      </w:r>
      <w:r>
        <w:rPr>
          <w:rFonts w:hint="cs"/>
          <w:rtl/>
        </w:rPr>
        <w:t xml:space="preserve">. הבדיקה נעשתה באגף החשב הכללי במשרד האוצר (להלן - אגף </w:t>
      </w:r>
      <w:proofErr w:type="spellStart"/>
      <w:r>
        <w:rPr>
          <w:rFonts w:hint="cs"/>
          <w:rtl/>
        </w:rPr>
        <w:t>החשכ"ל</w:t>
      </w:r>
      <w:proofErr w:type="spellEnd"/>
      <w:r>
        <w:rPr>
          <w:rFonts w:hint="cs"/>
          <w:rtl/>
        </w:rPr>
        <w:t>) וברשות האכיפה והגבייה (להלן גם - הרשות) וכן בכמה משרדי ממשלה</w:t>
      </w:r>
      <w:r>
        <w:rPr>
          <w:rFonts w:hint="cs"/>
          <w:sz w:val="24"/>
          <w:rtl/>
        </w:rPr>
        <w:t>, יחידות סמך וישויות ממשלתיות אחרות, ובכלל זה</w:t>
      </w:r>
      <w:r>
        <w:rPr>
          <w:rFonts w:hint="cs"/>
          <w:rtl/>
        </w:rPr>
        <w:t xml:space="preserve"> משרד המשפטים, משרד הכלכלה והתעשייה, המשרד לביטחון הפנים, הנהלת בתי המשפט, משרד הבינוי והשיכון, רשות מקרקעי ישראל (להלן - </w:t>
      </w:r>
      <w:proofErr w:type="spellStart"/>
      <w:r>
        <w:rPr>
          <w:rFonts w:hint="cs"/>
          <w:rtl/>
        </w:rPr>
        <w:t>רמ"י</w:t>
      </w:r>
      <w:proofErr w:type="spellEnd"/>
      <w:r>
        <w:rPr>
          <w:rFonts w:hint="cs"/>
          <w:rtl/>
        </w:rPr>
        <w:t xml:space="preserve">), משרד התחבורה והבטיחות בדרכים (להלן - משרד התחבורה), משרד הבריאות, משרד </w:t>
      </w:r>
      <w:proofErr w:type="spellStart"/>
      <w:r>
        <w:rPr>
          <w:rFonts w:hint="cs"/>
          <w:rtl/>
        </w:rPr>
        <w:t>האנרגייה</w:t>
      </w:r>
      <w:proofErr w:type="spellEnd"/>
      <w:r>
        <w:rPr>
          <w:rFonts w:hint="cs"/>
          <w:rtl/>
        </w:rPr>
        <w:t>, הרשות הממשלתית למים ולביוב, רשות המיסים בישראל (להלן - רשות המיסים), משרד החינוך, משרד הפנים, משרד התקשורת ומשרד התיירות. בדיקות השלמה נעשו בחברת דואר ישראל בע"מ.</w:t>
      </w:r>
    </w:p>
    <w:p w14:paraId="0B14B297" w14:textId="77777777" w:rsidR="007C4395" w:rsidRDefault="007C4395" w:rsidP="006F4D0D">
      <w:pPr>
        <w:pStyle w:val="71155"/>
        <w:rPr>
          <w:rtl/>
        </w:rPr>
      </w:pPr>
      <w:r>
        <w:rPr>
          <w:rFonts w:hint="cs"/>
          <w:rtl/>
        </w:rPr>
        <w:t>ניתוח מגמות העולות מהדוחות הכספיים ליום 31.12.2020</w:t>
      </w:r>
    </w:p>
    <w:p w14:paraId="3414053A" w14:textId="77777777" w:rsidR="007C4395" w:rsidRPr="000B02F2" w:rsidRDefault="007C4395" w:rsidP="002A738D">
      <w:pPr>
        <w:pStyle w:val="7190"/>
        <w:rPr>
          <w:rtl/>
        </w:rPr>
      </w:pPr>
      <w:r w:rsidRPr="000B02F2">
        <w:rPr>
          <w:rFonts w:hint="cs"/>
          <w:rtl/>
        </w:rPr>
        <w:t>ה</w:t>
      </w:r>
      <w:r>
        <w:rPr>
          <w:rFonts w:hint="cs"/>
          <w:rtl/>
        </w:rPr>
        <w:t>דוחות</w:t>
      </w:r>
      <w:r w:rsidRPr="000B02F2">
        <w:rPr>
          <w:rFonts w:hint="cs"/>
          <w:rtl/>
        </w:rPr>
        <w:t xml:space="preserve"> הכספיים של ממשלת ישראל אמורים לשקף ל</w:t>
      </w:r>
      <w:r>
        <w:rPr>
          <w:rFonts w:hint="cs"/>
          <w:rtl/>
        </w:rPr>
        <w:t>ְ</w:t>
      </w:r>
      <w:r w:rsidRPr="000B02F2">
        <w:rPr>
          <w:rFonts w:hint="cs"/>
          <w:rtl/>
        </w:rPr>
        <w:t xml:space="preserve">ציבור מקבלי ההחלטות מבט כולל על מצבה הכלכלי של המדינה בסוגיות פיננסיות חשובות. </w:t>
      </w:r>
      <w:r>
        <w:rPr>
          <w:rFonts w:hint="cs"/>
          <w:rtl/>
        </w:rPr>
        <w:t>דוחות</w:t>
      </w:r>
      <w:r w:rsidRPr="000B02F2">
        <w:rPr>
          <w:rFonts w:hint="cs"/>
          <w:rtl/>
        </w:rPr>
        <w:t xml:space="preserve"> אל</w:t>
      </w:r>
      <w:r>
        <w:rPr>
          <w:rFonts w:hint="cs"/>
          <w:rtl/>
        </w:rPr>
        <w:t>ו</w:t>
      </w:r>
      <w:r w:rsidRPr="000B02F2">
        <w:rPr>
          <w:rFonts w:hint="cs"/>
          <w:rtl/>
        </w:rPr>
        <w:t xml:space="preserve"> מסייעים בקבלת החלטות ניהוליות ובבחינת השאלה אם המדינה נהגה באחריותיות (</w:t>
      </w:r>
      <w:r>
        <w:t>a</w:t>
      </w:r>
      <w:r w:rsidRPr="000B02F2">
        <w:t>ccountability</w:t>
      </w:r>
      <w:r w:rsidRPr="000B02F2">
        <w:rPr>
          <w:rFonts w:hint="cs"/>
          <w:rtl/>
        </w:rPr>
        <w:t>) בעת השימוש בסך המשאבים שהופקדו בידה.</w:t>
      </w:r>
    </w:p>
    <w:p w14:paraId="7F1948A6" w14:textId="77777777" w:rsidR="007C4395" w:rsidRDefault="007C4395" w:rsidP="002A738D">
      <w:pPr>
        <w:pStyle w:val="7190"/>
        <w:rPr>
          <w:rtl/>
        </w:rPr>
      </w:pPr>
      <w:r w:rsidRPr="000B02F2">
        <w:rPr>
          <w:rFonts w:hint="cs"/>
          <w:rtl/>
        </w:rPr>
        <w:t>תהליכי הגלובליזציה</w:t>
      </w:r>
      <w:r>
        <w:rPr>
          <w:rFonts w:hint="cs"/>
          <w:rtl/>
        </w:rPr>
        <w:t>,</w:t>
      </w:r>
      <w:r w:rsidRPr="000B02F2">
        <w:rPr>
          <w:rFonts w:hint="cs"/>
          <w:rtl/>
        </w:rPr>
        <w:t xml:space="preserve"> שהחלו בעשורים האחרונים של המאה העשרים</w:t>
      </w:r>
      <w:r>
        <w:rPr>
          <w:rFonts w:hint="cs"/>
          <w:rtl/>
        </w:rPr>
        <w:t>,</w:t>
      </w:r>
      <w:r w:rsidRPr="000B02F2">
        <w:rPr>
          <w:rFonts w:hint="cs"/>
          <w:rtl/>
        </w:rPr>
        <w:t xml:space="preserve"> חיזקו את הצורך באחידות הדיווח החשבונאי ברחבי העולם ובקיומו של גוף תקינה אחד, שישרת מטרות משותפות של כל המדינות החברות בו</w:t>
      </w:r>
      <w:r w:rsidRPr="000B02F2">
        <w:t>.</w:t>
      </w:r>
      <w:r w:rsidRPr="000B02F2">
        <w:rPr>
          <w:rFonts w:hint="cs"/>
          <w:rtl/>
        </w:rPr>
        <w:t xml:space="preserve"> לפני כשני עשורים החלה ממשלת ישראל בתהליך של רפורמה מקיפה בחשבונאות הממשלתית, שמהותה אימוץ התקינה החשבונאית הבין-לאומית למגזר הציבורי</w:t>
      </w:r>
      <w:r>
        <w:rPr>
          <w:rStyle w:val="ac"/>
          <w:rtl/>
        </w:rPr>
        <w:footnoteReference w:id="11"/>
      </w:r>
      <w:r w:rsidRPr="000B02F2">
        <w:rPr>
          <w:rFonts w:hint="cs"/>
          <w:rtl/>
        </w:rPr>
        <w:t>. כך למעשה היא הצטרפה למספר רב של ממשלות מובילות בעולם שביצעו אף הן רפורמה מקיפה בחשבונאות הממשלתית. לתקינה בין-לאומית אחידה בין מדינות בעלות אופי כלכלי ועסקי דומה, לאמור שפה עסקית בין-לאומית אחת, יכול</w:t>
      </w:r>
      <w:r>
        <w:rPr>
          <w:rFonts w:hint="cs"/>
          <w:rtl/>
        </w:rPr>
        <w:t>ים</w:t>
      </w:r>
      <w:r w:rsidRPr="000B02F2">
        <w:rPr>
          <w:rFonts w:hint="cs"/>
          <w:rtl/>
        </w:rPr>
        <w:t xml:space="preserve"> להיות יתרונות חשובים ביחס לתקינה מקומית נפרדת בכל מדינה ומדינה, בהם שיפור יכולת ההשוואתיות בין דיווחים כספיים של מדינות שונות.</w:t>
      </w:r>
    </w:p>
    <w:p w14:paraId="08050C8F" w14:textId="77777777" w:rsidR="007C4395" w:rsidRPr="000B02F2" w:rsidRDefault="007C4395" w:rsidP="007C4395">
      <w:pPr>
        <w:bidi w:val="0"/>
        <w:spacing w:after="200" w:line="276" w:lineRule="auto"/>
        <w:rPr>
          <w:rtl/>
        </w:rPr>
      </w:pPr>
      <w:r>
        <w:rPr>
          <w:rtl/>
        </w:rPr>
        <w:br w:type="page"/>
      </w:r>
    </w:p>
    <w:p w14:paraId="44BF6DFD" w14:textId="77777777" w:rsidR="007C4395" w:rsidRPr="000B02F2" w:rsidRDefault="007C4395" w:rsidP="002A738D">
      <w:pPr>
        <w:pStyle w:val="7190"/>
        <w:rPr>
          <w:rtl/>
        </w:rPr>
      </w:pPr>
      <w:r w:rsidRPr="000B02F2">
        <w:rPr>
          <w:rFonts w:hint="cs"/>
          <w:rtl/>
        </w:rPr>
        <w:lastRenderedPageBreak/>
        <w:t>משרד מבקר המדינה בחר לע</w:t>
      </w:r>
      <w:r>
        <w:rPr>
          <w:rFonts w:hint="cs"/>
          <w:rtl/>
        </w:rPr>
        <w:t>רוך</w:t>
      </w:r>
      <w:r w:rsidRPr="000B02F2">
        <w:rPr>
          <w:rFonts w:hint="cs"/>
          <w:rtl/>
        </w:rPr>
        <w:t xml:space="preserve"> השוואה רוחבית בין הדיווחים הכספיים של </w:t>
      </w:r>
      <w:r>
        <w:rPr>
          <w:rFonts w:hint="cs"/>
          <w:rtl/>
        </w:rPr>
        <w:t>חמש</w:t>
      </w:r>
      <w:r w:rsidRPr="000B02F2">
        <w:rPr>
          <w:rFonts w:hint="cs"/>
          <w:rtl/>
        </w:rPr>
        <w:t xml:space="preserve"> ממשלות - ארצות הברית, אוסטרליה, ניו זילנד</w:t>
      </w:r>
      <w:r>
        <w:rPr>
          <w:rFonts w:hint="cs"/>
          <w:rtl/>
        </w:rPr>
        <w:t xml:space="preserve">, </w:t>
      </w:r>
      <w:r w:rsidRPr="000B02F2">
        <w:rPr>
          <w:rFonts w:hint="cs"/>
          <w:rtl/>
        </w:rPr>
        <w:t>קנדה</w:t>
      </w:r>
      <w:r>
        <w:rPr>
          <w:rFonts w:hint="cs"/>
          <w:rtl/>
        </w:rPr>
        <w:t xml:space="preserve"> ובריטניה</w:t>
      </w:r>
      <w:r>
        <w:rPr>
          <w:rStyle w:val="ac"/>
          <w:rtl/>
        </w:rPr>
        <w:footnoteReference w:id="12"/>
      </w:r>
      <w:r w:rsidRPr="000B02F2">
        <w:rPr>
          <w:rFonts w:hint="cs"/>
          <w:rtl/>
        </w:rPr>
        <w:t xml:space="preserve"> אל מול </w:t>
      </w:r>
      <w:r>
        <w:rPr>
          <w:rFonts w:hint="cs"/>
          <w:rtl/>
        </w:rPr>
        <w:t>דוחות</w:t>
      </w:r>
      <w:r w:rsidRPr="000B02F2">
        <w:rPr>
          <w:rFonts w:hint="cs"/>
          <w:rtl/>
        </w:rPr>
        <w:t xml:space="preserve"> ממשלת ישראל.</w:t>
      </w:r>
    </w:p>
    <w:p w14:paraId="7EEB6AE8" w14:textId="77777777" w:rsidR="007C4395" w:rsidRDefault="007C4395" w:rsidP="002A738D">
      <w:pPr>
        <w:pStyle w:val="7190"/>
        <w:rPr>
          <w:rtl/>
        </w:rPr>
      </w:pPr>
      <w:r w:rsidRPr="000B02F2">
        <w:rPr>
          <w:rFonts w:hint="cs"/>
          <w:rtl/>
        </w:rPr>
        <w:t>יש לציין כי השוואת ה</w:t>
      </w:r>
      <w:r>
        <w:rPr>
          <w:rFonts w:hint="cs"/>
          <w:rtl/>
        </w:rPr>
        <w:t>דוחות</w:t>
      </w:r>
      <w:r w:rsidRPr="000B02F2">
        <w:rPr>
          <w:rFonts w:hint="cs"/>
          <w:rtl/>
        </w:rPr>
        <w:t xml:space="preserve"> הכספיים של הממשלות האמורות ל</w:t>
      </w:r>
      <w:r>
        <w:rPr>
          <w:rFonts w:hint="cs"/>
          <w:rtl/>
        </w:rPr>
        <w:t>דוחות</w:t>
      </w:r>
      <w:r w:rsidRPr="000B02F2">
        <w:rPr>
          <w:rFonts w:hint="cs"/>
          <w:rtl/>
        </w:rPr>
        <w:t xml:space="preserve"> הכספיים המאוחדים של ממשלת ישראל (הכוללים למעשה את כל משרדי הממשלה, יחידות הסמך, החברות הממשלתיות והתאגידים הסטטוטוריים) מוגבלת מהבחינה החשבונאית, </w:t>
      </w:r>
      <w:r>
        <w:rPr>
          <w:rFonts w:hint="cs"/>
          <w:rtl/>
        </w:rPr>
        <w:t xml:space="preserve">וזאת </w:t>
      </w:r>
      <w:r w:rsidRPr="000B02F2">
        <w:rPr>
          <w:rFonts w:hint="cs"/>
          <w:rtl/>
        </w:rPr>
        <w:t xml:space="preserve">בשל </w:t>
      </w:r>
      <w:r>
        <w:rPr>
          <w:rFonts w:hint="cs"/>
          <w:rtl/>
        </w:rPr>
        <w:t>אי-</w:t>
      </w:r>
      <w:r w:rsidRPr="000B02F2">
        <w:rPr>
          <w:rFonts w:hint="cs"/>
          <w:rtl/>
        </w:rPr>
        <w:t xml:space="preserve">הצגת </w:t>
      </w:r>
      <w:r>
        <w:rPr>
          <w:rFonts w:hint="cs"/>
          <w:rtl/>
        </w:rPr>
        <w:t>כמה</w:t>
      </w:r>
      <w:r w:rsidRPr="000B02F2">
        <w:rPr>
          <w:rFonts w:hint="cs"/>
          <w:rtl/>
        </w:rPr>
        <w:t xml:space="preserve"> מהנתונים הכספיים</w:t>
      </w:r>
      <w:r>
        <w:rPr>
          <w:rFonts w:hint="cs"/>
          <w:rtl/>
        </w:rPr>
        <w:t xml:space="preserve"> המהותיים בדוחות של המדינה</w:t>
      </w:r>
      <w:r w:rsidRPr="000B02F2">
        <w:rPr>
          <w:rFonts w:hint="cs"/>
          <w:rtl/>
        </w:rPr>
        <w:t xml:space="preserve">. </w:t>
      </w:r>
      <w:r>
        <w:rPr>
          <w:rFonts w:hint="cs"/>
          <w:rtl/>
        </w:rPr>
        <w:t xml:space="preserve">משרד </w:t>
      </w:r>
      <w:r w:rsidRPr="000B02F2">
        <w:rPr>
          <w:rFonts w:hint="cs"/>
          <w:rtl/>
        </w:rPr>
        <w:t>מבקר המדינה ציין ב</w:t>
      </w:r>
      <w:r>
        <w:rPr>
          <w:rFonts w:hint="cs"/>
          <w:rtl/>
        </w:rPr>
        <w:t>דוחות</w:t>
      </w:r>
      <w:r w:rsidRPr="000B02F2">
        <w:rPr>
          <w:rFonts w:hint="cs"/>
          <w:rtl/>
        </w:rPr>
        <w:t>יו הקודמים</w:t>
      </w:r>
      <w:r>
        <w:rPr>
          <w:rStyle w:val="ac"/>
          <w:rtl/>
        </w:rPr>
        <w:footnoteReference w:id="13"/>
      </w:r>
      <w:r w:rsidRPr="000B02F2">
        <w:rPr>
          <w:rFonts w:hint="cs"/>
          <w:rtl/>
        </w:rPr>
        <w:t xml:space="preserve"> כי ב</w:t>
      </w:r>
      <w:r>
        <w:rPr>
          <w:rFonts w:hint="cs"/>
          <w:rtl/>
        </w:rPr>
        <w:t>דוחות</w:t>
      </w:r>
      <w:r w:rsidRPr="000B02F2">
        <w:rPr>
          <w:rFonts w:hint="cs"/>
          <w:rtl/>
        </w:rPr>
        <w:t xml:space="preserve"> הכספיים של ממשלת ישראל חסרים נתונים בהיקף כספי נרחב</w:t>
      </w:r>
      <w:r>
        <w:rPr>
          <w:rFonts w:hint="cs"/>
          <w:rtl/>
        </w:rPr>
        <w:t>,</w:t>
      </w:r>
      <w:r w:rsidRPr="000B02F2">
        <w:rPr>
          <w:rFonts w:hint="cs"/>
          <w:rtl/>
        </w:rPr>
        <w:t xml:space="preserve"> כגון </w:t>
      </w:r>
      <w:r>
        <w:rPr>
          <w:rFonts w:hint="cs"/>
          <w:rtl/>
        </w:rPr>
        <w:t xml:space="preserve">של </w:t>
      </w:r>
      <w:r w:rsidRPr="000B02F2">
        <w:rPr>
          <w:rFonts w:hint="cs"/>
          <w:rtl/>
        </w:rPr>
        <w:t xml:space="preserve">שווי קרקעות (שאומדן שוויין </w:t>
      </w:r>
      <w:r>
        <w:rPr>
          <w:rFonts w:hint="cs"/>
          <w:rtl/>
        </w:rPr>
        <w:t>ההוגן ב</w:t>
      </w:r>
      <w:r w:rsidRPr="000B02F2">
        <w:rPr>
          <w:rFonts w:hint="cs"/>
          <w:rtl/>
        </w:rPr>
        <w:t>-</w:t>
      </w:r>
      <w:r>
        <w:rPr>
          <w:rFonts w:hint="cs"/>
          <w:rtl/>
        </w:rPr>
        <w:t>31.12.2020</w:t>
      </w:r>
      <w:r w:rsidRPr="000B02F2">
        <w:rPr>
          <w:rFonts w:hint="cs"/>
          <w:rtl/>
        </w:rPr>
        <w:t xml:space="preserve"> </w:t>
      </w:r>
      <w:r>
        <w:rPr>
          <w:rFonts w:hint="cs"/>
          <w:rtl/>
        </w:rPr>
        <w:t>נ</w:t>
      </w:r>
      <w:r w:rsidRPr="000B02F2">
        <w:rPr>
          <w:rFonts w:hint="cs"/>
          <w:rtl/>
        </w:rPr>
        <w:t>א</w:t>
      </w:r>
      <w:r>
        <w:rPr>
          <w:rFonts w:hint="cs"/>
          <w:rtl/>
        </w:rPr>
        <w:t>מד</w:t>
      </w:r>
      <w:r w:rsidRPr="000B02F2">
        <w:rPr>
          <w:rFonts w:hint="cs"/>
          <w:rtl/>
        </w:rPr>
        <w:t xml:space="preserve"> </w:t>
      </w:r>
      <w:r>
        <w:rPr>
          <w:rFonts w:hint="cs"/>
          <w:rtl/>
        </w:rPr>
        <w:t>ב-</w:t>
      </w:r>
      <w:r w:rsidRPr="000B02F2">
        <w:rPr>
          <w:rFonts w:hint="cs"/>
          <w:rtl/>
        </w:rPr>
        <w:t>615 מיליארד ש"ח) ו</w:t>
      </w:r>
      <w:r>
        <w:rPr>
          <w:rFonts w:hint="cs"/>
          <w:rtl/>
        </w:rPr>
        <w:t xml:space="preserve">של </w:t>
      </w:r>
      <w:r w:rsidRPr="000B02F2">
        <w:rPr>
          <w:rFonts w:hint="cs"/>
          <w:rtl/>
        </w:rPr>
        <w:t>נכסים בלתי מוחשיים (</w:t>
      </w:r>
      <w:r>
        <w:rPr>
          <w:rFonts w:hint="cs"/>
          <w:rtl/>
        </w:rPr>
        <w:t xml:space="preserve">המוצגים ב-31.12.2020 ב-6.4 מיליארד ש"ח, אך אינם כוללים נכסים </w:t>
      </w:r>
      <w:proofErr w:type="spellStart"/>
      <w:r>
        <w:rPr>
          <w:rFonts w:hint="cs"/>
          <w:rtl/>
        </w:rPr>
        <w:t>ששוויים</w:t>
      </w:r>
      <w:proofErr w:type="spellEnd"/>
      <w:r>
        <w:rPr>
          <w:rFonts w:hint="cs"/>
          <w:rtl/>
        </w:rPr>
        <w:t xml:space="preserve"> עשוי להיות מהותי</w:t>
      </w:r>
      <w:r w:rsidRPr="000B02F2">
        <w:rPr>
          <w:rFonts w:hint="cs"/>
          <w:rtl/>
        </w:rPr>
        <w:t>). כמו כן, ה</w:t>
      </w:r>
      <w:r>
        <w:rPr>
          <w:rFonts w:hint="cs"/>
          <w:rtl/>
        </w:rPr>
        <w:t>דוחות</w:t>
      </w:r>
      <w:r w:rsidRPr="000B02F2">
        <w:rPr>
          <w:rFonts w:hint="cs"/>
          <w:rtl/>
        </w:rPr>
        <w:t xml:space="preserve"> הכספיים המאוחדים עדיין אינם כוללים את נתוני כל הישויות הממשלתיות.</w:t>
      </w:r>
    </w:p>
    <w:p w14:paraId="28714AFB" w14:textId="77777777" w:rsidR="007C4395" w:rsidRPr="000B02F2" w:rsidRDefault="007C4395" w:rsidP="002A738D">
      <w:pPr>
        <w:pStyle w:val="7190"/>
        <w:rPr>
          <w:rtl/>
        </w:rPr>
      </w:pPr>
      <w:r>
        <w:rPr>
          <w:rFonts w:hint="cs"/>
          <w:rtl/>
        </w:rPr>
        <w:t xml:space="preserve">בתשובת אגף החשב הכללי מינואר 2022 (להלן - תשובת אגף </w:t>
      </w:r>
      <w:proofErr w:type="spellStart"/>
      <w:r>
        <w:rPr>
          <w:rFonts w:hint="cs"/>
          <w:rtl/>
        </w:rPr>
        <w:t>החשכ"ל</w:t>
      </w:r>
      <w:proofErr w:type="spellEnd"/>
      <w:r>
        <w:rPr>
          <w:rFonts w:hint="cs"/>
          <w:rtl/>
        </w:rPr>
        <w:t xml:space="preserve">) צוין כי הוא פועל באופן שוטף לאיחוד ישויות ממשלתיות נוספות ככל שנדרש ולהשלמת המידע החסר בדוחות הכספיים. אגף </w:t>
      </w:r>
      <w:proofErr w:type="spellStart"/>
      <w:r>
        <w:rPr>
          <w:rFonts w:hint="cs"/>
          <w:rtl/>
        </w:rPr>
        <w:t>החשכ"ל</w:t>
      </w:r>
      <w:proofErr w:type="spellEnd"/>
      <w:r>
        <w:rPr>
          <w:rFonts w:hint="cs"/>
          <w:rtl/>
        </w:rPr>
        <w:t xml:space="preserve"> הוסיף כי אומנם </w:t>
      </w:r>
      <w:r>
        <w:rPr>
          <w:rtl/>
        </w:rPr>
        <w:t xml:space="preserve">ההשוואה שבוצעה </w:t>
      </w:r>
      <w:r>
        <w:rPr>
          <w:rFonts w:hint="cs"/>
          <w:rtl/>
        </w:rPr>
        <w:t>הייתה בין</w:t>
      </w:r>
      <w:r>
        <w:rPr>
          <w:rtl/>
        </w:rPr>
        <w:t xml:space="preserve"> הדוחות הכספיים המאוחדים של מדינת ישראל </w:t>
      </w:r>
      <w:r>
        <w:rPr>
          <w:rFonts w:hint="cs"/>
          <w:rtl/>
        </w:rPr>
        <w:t>ל</w:t>
      </w:r>
      <w:r>
        <w:rPr>
          <w:rtl/>
        </w:rPr>
        <w:t xml:space="preserve">דוחות </w:t>
      </w:r>
      <w:r>
        <w:rPr>
          <w:rFonts w:hint="cs"/>
          <w:rtl/>
        </w:rPr>
        <w:t>ה</w:t>
      </w:r>
      <w:r>
        <w:rPr>
          <w:rtl/>
        </w:rPr>
        <w:t xml:space="preserve">כספיים של מדינות מפותחות מבחינה חשבונאית, אך אין בהכרח מדובר במדינות הייחוס </w:t>
      </w:r>
      <w:r>
        <w:rPr>
          <w:rFonts w:hint="cs"/>
          <w:rtl/>
        </w:rPr>
        <w:t>ש</w:t>
      </w:r>
      <w:r>
        <w:rPr>
          <w:rtl/>
        </w:rPr>
        <w:t>אליהן ניתן להשוות את הנתונים הכספיים המוצגים בדוחות הכספיים</w:t>
      </w:r>
      <w:r>
        <w:rPr>
          <w:rFonts w:hint="cs"/>
          <w:rtl/>
        </w:rPr>
        <w:t>.</w:t>
      </w:r>
    </w:p>
    <w:p w14:paraId="1D564D09" w14:textId="77777777" w:rsidR="007C4395" w:rsidRDefault="007C4395" w:rsidP="002A738D">
      <w:pPr>
        <w:pStyle w:val="7190"/>
        <w:rPr>
          <w:rtl/>
        </w:rPr>
      </w:pPr>
      <w:r>
        <w:rPr>
          <w:rFonts w:hint="cs"/>
          <w:rtl/>
        </w:rPr>
        <w:t>להלן מגמות העולות מהדוחות הכספיים ל-31.12.2020 וכן ממצאי השוואה שערך משרד מבקר המדינה בין נתונים אלו לנתוני הדוחות הכספיים של מדינות נבחרות:</w:t>
      </w:r>
    </w:p>
    <w:p w14:paraId="12D6218C" w14:textId="77777777" w:rsidR="007C4395" w:rsidRDefault="007C4395" w:rsidP="006F4D0D">
      <w:pPr>
        <w:pStyle w:val="71414"/>
        <w:rPr>
          <w:rtl/>
        </w:rPr>
      </w:pPr>
      <w:r>
        <w:rPr>
          <w:rFonts w:hint="cs"/>
          <w:rtl/>
        </w:rPr>
        <w:lastRenderedPageBreak/>
        <w:t>הכנסות</w:t>
      </w:r>
    </w:p>
    <w:p w14:paraId="3BD1B214" w14:textId="7D6F1DBF" w:rsidR="007C4395" w:rsidRPr="00BB4151" w:rsidRDefault="007C4395" w:rsidP="00EC550D">
      <w:pPr>
        <w:pStyle w:val="71a"/>
        <w:rPr>
          <w:rtl/>
        </w:rPr>
      </w:pPr>
      <w:r w:rsidRPr="00EC550D">
        <w:rPr>
          <w:rFonts w:hint="cs"/>
          <w:b w:val="0"/>
          <w:bCs w:val="0"/>
          <w:rtl/>
        </w:rPr>
        <w:t xml:space="preserve">תרשים 2: </w:t>
      </w:r>
      <w:r w:rsidRPr="00BB4151">
        <w:rPr>
          <w:rFonts w:hint="cs"/>
          <w:rtl/>
        </w:rPr>
        <w:t xml:space="preserve">פילוח הכנסות המדינה בשנים 2015 - 2020 </w:t>
      </w:r>
      <w:r w:rsidR="001B0973">
        <w:br/>
      </w:r>
      <w:r w:rsidRPr="00BB4151">
        <w:rPr>
          <w:rFonts w:hint="cs"/>
          <w:rtl/>
        </w:rPr>
        <w:t>(במיליארדי ש"ח)</w:t>
      </w:r>
    </w:p>
    <w:p w14:paraId="76A98846" w14:textId="77777777" w:rsidR="007C4395" w:rsidRDefault="007C4395" w:rsidP="00952D55">
      <w:pPr>
        <w:spacing w:line="269" w:lineRule="auto"/>
        <w:ind w:left="-57"/>
        <w:rPr>
          <w:sz w:val="18"/>
          <w:szCs w:val="22"/>
          <w:rtl/>
        </w:rPr>
      </w:pPr>
      <w:r>
        <w:rPr>
          <w:noProof/>
          <w:sz w:val="18"/>
          <w:szCs w:val="22"/>
        </w:rPr>
        <w:drawing>
          <wp:inline distT="0" distB="0" distL="0" distR="0" wp14:anchorId="318BFDFE" wp14:editId="24BB72F5">
            <wp:extent cx="4696623" cy="2427811"/>
            <wp:effectExtent l="0" t="0" r="2540" b="0"/>
            <wp:docPr id="24785205" name="תמונה 24785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5205" name="תמונה 24785205"/>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4696623" cy="2427811"/>
                    </a:xfrm>
                    <a:prstGeom prst="rect">
                      <a:avLst/>
                    </a:prstGeom>
                    <a:noFill/>
                  </pic:spPr>
                </pic:pic>
              </a:graphicData>
            </a:graphic>
          </wp:inline>
        </w:drawing>
      </w:r>
    </w:p>
    <w:p w14:paraId="60DDCB8E" w14:textId="77777777" w:rsidR="007C4395" w:rsidRPr="00BA2FBE" w:rsidRDefault="007C4395" w:rsidP="00BA2FBE">
      <w:pPr>
        <w:pStyle w:val="71c"/>
        <w:rPr>
          <w:rtl/>
        </w:rPr>
      </w:pPr>
      <w:r w:rsidRPr="00BA2FBE">
        <w:rPr>
          <w:rFonts w:hint="eastAsia"/>
          <w:rtl/>
        </w:rPr>
        <w:t>על</w:t>
      </w:r>
      <w:r w:rsidRPr="00BA2FBE">
        <w:rPr>
          <w:rtl/>
        </w:rPr>
        <w:t xml:space="preserve"> </w:t>
      </w:r>
      <w:r w:rsidRPr="00BA2FBE">
        <w:rPr>
          <w:rFonts w:hint="eastAsia"/>
          <w:rtl/>
        </w:rPr>
        <w:t>פי</w:t>
      </w:r>
      <w:r w:rsidRPr="00BA2FBE">
        <w:rPr>
          <w:rtl/>
        </w:rPr>
        <w:t xml:space="preserve"> נתוני הדוחות הכספיים לשנים 2015 - 2020, בעיבוד משרד מבקר המדינה.</w:t>
      </w:r>
    </w:p>
    <w:p w14:paraId="37D6F69B" w14:textId="77777777" w:rsidR="007C4395" w:rsidRPr="00675951" w:rsidRDefault="007C4395" w:rsidP="00675951">
      <w:pPr>
        <w:pStyle w:val="71f4"/>
        <w:rPr>
          <w:rtl/>
        </w:rPr>
      </w:pPr>
      <w:r w:rsidRPr="00675951">
        <w:rPr>
          <w:rFonts w:hint="eastAsia"/>
          <w:rtl/>
        </w:rPr>
        <w:t>מהתרשים</w:t>
      </w:r>
      <w:r w:rsidRPr="00675951">
        <w:rPr>
          <w:rtl/>
        </w:rPr>
        <w:t xml:space="preserve"> </w:t>
      </w:r>
      <w:r w:rsidRPr="00675951">
        <w:rPr>
          <w:rFonts w:hint="eastAsia"/>
          <w:rtl/>
        </w:rPr>
        <w:t>עולה</w:t>
      </w:r>
      <w:r w:rsidRPr="00675951">
        <w:rPr>
          <w:rtl/>
        </w:rPr>
        <w:t xml:space="preserve"> </w:t>
      </w:r>
      <w:r w:rsidRPr="00675951">
        <w:rPr>
          <w:rFonts w:hint="eastAsia"/>
          <w:rtl/>
        </w:rPr>
        <w:t>כי</w:t>
      </w:r>
      <w:r w:rsidRPr="00675951">
        <w:rPr>
          <w:rtl/>
        </w:rPr>
        <w:t xml:space="preserve"> </w:t>
      </w:r>
      <w:r w:rsidRPr="00675951">
        <w:rPr>
          <w:rFonts w:hint="eastAsia"/>
          <w:rtl/>
        </w:rPr>
        <w:t>בשנת</w:t>
      </w:r>
      <w:r w:rsidRPr="00675951">
        <w:rPr>
          <w:rtl/>
        </w:rPr>
        <w:t xml:space="preserve"> 2020 </w:t>
      </w:r>
      <w:r w:rsidRPr="00675951">
        <w:rPr>
          <w:rFonts w:hint="eastAsia"/>
          <w:rtl/>
        </w:rPr>
        <w:t>היו</w:t>
      </w:r>
      <w:r w:rsidRPr="00675951">
        <w:rPr>
          <w:rtl/>
        </w:rPr>
        <w:t xml:space="preserve"> </w:t>
      </w:r>
      <w:r w:rsidRPr="00675951">
        <w:rPr>
          <w:rFonts w:hint="eastAsia"/>
          <w:rtl/>
        </w:rPr>
        <w:t>הכנסות</w:t>
      </w:r>
      <w:r w:rsidRPr="00675951">
        <w:rPr>
          <w:rtl/>
        </w:rPr>
        <w:t xml:space="preserve"> </w:t>
      </w:r>
      <w:r w:rsidRPr="00675951">
        <w:rPr>
          <w:rFonts w:hint="eastAsia"/>
          <w:rtl/>
        </w:rPr>
        <w:t>המדינה</w:t>
      </w:r>
      <w:r w:rsidRPr="00675951">
        <w:rPr>
          <w:rtl/>
        </w:rPr>
        <w:t xml:space="preserve"> </w:t>
      </w:r>
      <w:r w:rsidRPr="00675951">
        <w:rPr>
          <w:rFonts w:hint="eastAsia"/>
          <w:rtl/>
        </w:rPr>
        <w:t>ממ</w:t>
      </w:r>
      <w:r w:rsidRPr="00675951">
        <w:rPr>
          <w:rFonts w:hint="cs"/>
          <w:rtl/>
        </w:rPr>
        <w:t>י</w:t>
      </w:r>
      <w:r w:rsidRPr="00675951">
        <w:rPr>
          <w:rFonts w:hint="eastAsia"/>
          <w:rtl/>
        </w:rPr>
        <w:t>סים</w:t>
      </w:r>
      <w:r w:rsidRPr="00675951">
        <w:rPr>
          <w:rStyle w:val="ac"/>
          <w:rtl/>
        </w:rPr>
        <w:footnoteReference w:id="14"/>
      </w:r>
      <w:r w:rsidRPr="00675951">
        <w:rPr>
          <w:rtl/>
        </w:rPr>
        <w:t xml:space="preserve"> ומאגרות, על פי נתוני הדוחות הכספיים, כ-389 מיליארד ש"ח - קיטון של כ-7 מיליארד ש"ח משנת 2019. </w:t>
      </w:r>
    </w:p>
    <w:p w14:paraId="4CBF60FD" w14:textId="77777777" w:rsidR="007C4395" w:rsidRDefault="007C4395" w:rsidP="002A738D">
      <w:pPr>
        <w:pStyle w:val="7190"/>
        <w:rPr>
          <w:rtl/>
        </w:rPr>
      </w:pPr>
      <w:r>
        <w:rPr>
          <w:rFonts w:hint="cs"/>
          <w:rtl/>
        </w:rPr>
        <w:t xml:space="preserve">בתרשימים </w:t>
      </w:r>
      <w:r w:rsidRPr="00FF052F">
        <w:rPr>
          <w:rFonts w:hint="cs"/>
          <w:rtl/>
        </w:rPr>
        <w:t xml:space="preserve">הבאים מוצג פילוח של הכנסות המדינה ממיסים </w:t>
      </w:r>
      <w:r w:rsidRPr="00FF052F">
        <w:rPr>
          <w:rFonts w:hint="eastAsia"/>
          <w:rtl/>
        </w:rPr>
        <w:t>ישירים</w:t>
      </w:r>
      <w:r w:rsidRPr="00FF052F">
        <w:rPr>
          <w:rtl/>
        </w:rPr>
        <w:t xml:space="preserve"> </w:t>
      </w:r>
      <w:r w:rsidRPr="00FF052F">
        <w:rPr>
          <w:rFonts w:hint="eastAsia"/>
          <w:rtl/>
        </w:rPr>
        <w:t>ומאגרות</w:t>
      </w:r>
      <w:r w:rsidRPr="00FF052F">
        <w:rPr>
          <w:rtl/>
        </w:rPr>
        <w:t xml:space="preserve"> </w:t>
      </w:r>
      <w:r w:rsidRPr="00FF052F">
        <w:rPr>
          <w:rFonts w:hint="eastAsia"/>
          <w:rtl/>
        </w:rPr>
        <w:t>וכן</w:t>
      </w:r>
      <w:r w:rsidRPr="00FF052F">
        <w:rPr>
          <w:rtl/>
        </w:rPr>
        <w:t xml:space="preserve"> ממיסים עקיפים </w:t>
      </w:r>
      <w:r w:rsidRPr="00FF052F">
        <w:rPr>
          <w:rFonts w:hint="eastAsia"/>
          <w:rtl/>
        </w:rPr>
        <w:t>לשנת</w:t>
      </w:r>
      <w:r w:rsidRPr="00FF052F">
        <w:rPr>
          <w:rtl/>
        </w:rPr>
        <w:t xml:space="preserve"> 2020:</w:t>
      </w:r>
    </w:p>
    <w:p w14:paraId="64F8AB17" w14:textId="77777777" w:rsidR="007C4395" w:rsidRPr="00EC550D" w:rsidRDefault="007C4395" w:rsidP="00EC550D">
      <w:pPr>
        <w:pStyle w:val="71a"/>
        <w:rPr>
          <w:rtl/>
        </w:rPr>
      </w:pPr>
      <w:r w:rsidRPr="00EC550D">
        <w:rPr>
          <w:rFonts w:hint="cs"/>
          <w:b w:val="0"/>
          <w:bCs w:val="0"/>
          <w:rtl/>
        </w:rPr>
        <w:lastRenderedPageBreak/>
        <w:t>תרשים 3:</w:t>
      </w:r>
      <w:r w:rsidRPr="00EC550D">
        <w:rPr>
          <w:rFonts w:hint="cs"/>
          <w:rtl/>
        </w:rPr>
        <w:t xml:space="preserve"> פילוח הכנסות המדינה ממיסים ישירים ומאגרות לשנת 2020 (במיליוני ש"ח)</w:t>
      </w:r>
    </w:p>
    <w:p w14:paraId="32C881C0" w14:textId="77777777" w:rsidR="007C4395" w:rsidRPr="002A738D" w:rsidRDefault="007C4395" w:rsidP="000D4398">
      <w:pPr>
        <w:spacing w:line="269" w:lineRule="auto"/>
        <w:ind w:left="-283"/>
        <w:rPr>
          <w:rStyle w:val="719Char"/>
          <w:rtl/>
        </w:rPr>
      </w:pPr>
      <w:r>
        <w:rPr>
          <w:noProof/>
        </w:rPr>
        <w:drawing>
          <wp:inline distT="0" distB="0" distL="0" distR="0" wp14:anchorId="0F5ACD12" wp14:editId="3A7F0B35">
            <wp:extent cx="5348131" cy="3174094"/>
            <wp:effectExtent l="0" t="0" r="0" b="0"/>
            <wp:docPr id="37" name="תמונה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תמונה 37"/>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348131" cy="3174094"/>
                    </a:xfrm>
                    <a:prstGeom prst="rect">
                      <a:avLst/>
                    </a:prstGeom>
                    <a:noFill/>
                  </pic:spPr>
                </pic:pic>
              </a:graphicData>
            </a:graphic>
          </wp:inline>
        </w:drawing>
      </w:r>
    </w:p>
    <w:p w14:paraId="512667E8" w14:textId="77777777" w:rsidR="007C4395" w:rsidRPr="00BA2FBE" w:rsidRDefault="007C4395" w:rsidP="00BA2FBE">
      <w:pPr>
        <w:pStyle w:val="71c"/>
        <w:rPr>
          <w:rtl/>
        </w:rPr>
      </w:pPr>
      <w:r w:rsidRPr="00BA2FBE">
        <w:rPr>
          <w:rFonts w:hint="eastAsia"/>
          <w:rtl/>
        </w:rPr>
        <w:t>על</w:t>
      </w:r>
      <w:r w:rsidRPr="00BA2FBE">
        <w:rPr>
          <w:rtl/>
        </w:rPr>
        <w:t xml:space="preserve"> </w:t>
      </w:r>
      <w:r w:rsidRPr="00BA2FBE">
        <w:rPr>
          <w:rFonts w:hint="eastAsia"/>
          <w:rtl/>
        </w:rPr>
        <w:t>פי</w:t>
      </w:r>
      <w:r w:rsidRPr="00BA2FBE">
        <w:rPr>
          <w:rtl/>
        </w:rPr>
        <w:t xml:space="preserve"> נתוני הדוחות הכספיים של </w:t>
      </w:r>
      <w:r w:rsidRPr="00BA2FBE">
        <w:rPr>
          <w:rFonts w:hint="eastAsia"/>
          <w:rtl/>
        </w:rPr>
        <w:t>מדינת</w:t>
      </w:r>
      <w:r w:rsidRPr="00BA2FBE">
        <w:rPr>
          <w:rtl/>
        </w:rPr>
        <w:t xml:space="preserve"> ישראל לשנת 2020, בעיבוד משרד מבקר המדינה.</w:t>
      </w:r>
    </w:p>
    <w:p w14:paraId="496D2239" w14:textId="25E85E86" w:rsidR="007C4395" w:rsidRPr="00EC550D" w:rsidRDefault="000D4398" w:rsidP="000D4398">
      <w:pPr>
        <w:pStyle w:val="71a"/>
        <w:spacing w:after="120"/>
        <w:rPr>
          <w:rtl/>
        </w:rPr>
      </w:pPr>
      <w:r>
        <w:rPr>
          <w:noProof/>
        </w:rPr>
        <w:lastRenderedPageBreak/>
        <w:drawing>
          <wp:anchor distT="0" distB="0" distL="114300" distR="114300" simplePos="0" relativeHeight="252045824" behindDoc="0" locked="0" layoutInCell="1" allowOverlap="1" wp14:anchorId="469809A8" wp14:editId="3DA681EA">
            <wp:simplePos x="0" y="0"/>
            <wp:positionH relativeFrom="column">
              <wp:posOffset>-321310</wp:posOffset>
            </wp:positionH>
            <wp:positionV relativeFrom="paragraph">
              <wp:posOffset>441960</wp:posOffset>
            </wp:positionV>
            <wp:extent cx="5406390" cy="3208655"/>
            <wp:effectExtent l="0" t="0" r="0" b="0"/>
            <wp:wrapTopAndBottom/>
            <wp:docPr id="24785206" name="תמונה 24785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5206" name="תמונה 24785206"/>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406390" cy="3208655"/>
                    </a:xfrm>
                    <a:prstGeom prst="rect">
                      <a:avLst/>
                    </a:prstGeom>
                    <a:noFill/>
                  </pic:spPr>
                </pic:pic>
              </a:graphicData>
            </a:graphic>
            <wp14:sizeRelH relativeFrom="page">
              <wp14:pctWidth>0</wp14:pctWidth>
            </wp14:sizeRelH>
            <wp14:sizeRelV relativeFrom="page">
              <wp14:pctHeight>0</wp14:pctHeight>
            </wp14:sizeRelV>
          </wp:anchor>
        </w:drawing>
      </w:r>
      <w:r w:rsidR="007C4395" w:rsidRPr="00EC550D">
        <w:rPr>
          <w:rFonts w:hint="cs"/>
          <w:b w:val="0"/>
          <w:bCs w:val="0"/>
          <w:rtl/>
        </w:rPr>
        <w:t>תרשים 4:</w:t>
      </w:r>
      <w:r w:rsidR="007C4395" w:rsidRPr="00EC550D">
        <w:rPr>
          <w:rFonts w:hint="cs"/>
          <w:rtl/>
        </w:rPr>
        <w:t xml:space="preserve"> פילוח הכנסות המדינה ממיסים עקיפים לשנת 2020 </w:t>
      </w:r>
      <w:r>
        <w:br/>
      </w:r>
      <w:r w:rsidR="007C4395" w:rsidRPr="00EC550D">
        <w:rPr>
          <w:rFonts w:hint="cs"/>
          <w:rtl/>
        </w:rPr>
        <w:t>(במיליוני ש"ח)</w:t>
      </w:r>
    </w:p>
    <w:p w14:paraId="33722A96" w14:textId="6F21F10C" w:rsidR="007C4395" w:rsidRPr="00BA2FBE" w:rsidRDefault="007C4395" w:rsidP="000D4398">
      <w:pPr>
        <w:pStyle w:val="71c"/>
        <w:spacing w:before="240"/>
        <w:rPr>
          <w:rtl/>
        </w:rPr>
      </w:pPr>
      <w:r w:rsidRPr="00BA2FBE">
        <w:rPr>
          <w:rFonts w:hint="eastAsia"/>
          <w:rtl/>
        </w:rPr>
        <w:t>על</w:t>
      </w:r>
      <w:r w:rsidRPr="00BA2FBE">
        <w:rPr>
          <w:rtl/>
        </w:rPr>
        <w:t xml:space="preserve"> </w:t>
      </w:r>
      <w:r w:rsidRPr="00BA2FBE">
        <w:rPr>
          <w:rFonts w:hint="eastAsia"/>
          <w:rtl/>
        </w:rPr>
        <w:t>פי</w:t>
      </w:r>
      <w:r w:rsidRPr="00BA2FBE">
        <w:rPr>
          <w:rtl/>
        </w:rPr>
        <w:t xml:space="preserve"> נתוני הדוחות הכספיים של </w:t>
      </w:r>
      <w:r w:rsidRPr="00BA2FBE">
        <w:rPr>
          <w:rFonts w:hint="eastAsia"/>
          <w:rtl/>
        </w:rPr>
        <w:t>מדינת</w:t>
      </w:r>
      <w:r w:rsidRPr="00BA2FBE">
        <w:rPr>
          <w:rtl/>
        </w:rPr>
        <w:t xml:space="preserve"> ישראל לשנת 2020, בעיבוד משרד מבקר המדינה.</w:t>
      </w:r>
    </w:p>
    <w:p w14:paraId="3DD89522" w14:textId="49FBBA76" w:rsidR="007C4395" w:rsidRPr="003D030E" w:rsidRDefault="007C4395" w:rsidP="002A738D">
      <w:pPr>
        <w:pStyle w:val="7190"/>
        <w:rPr>
          <w:rtl/>
        </w:rPr>
      </w:pPr>
      <w:r w:rsidRPr="003D030E">
        <w:rPr>
          <w:rFonts w:hint="cs"/>
          <w:rtl/>
        </w:rPr>
        <w:t>בתרשים שלהלן מוצג שיעור הכנסות המדינה ממיסים כאחוז מהתוצר המקומי הגולמי</w:t>
      </w:r>
      <w:r w:rsidRPr="00FD32B7">
        <w:rPr>
          <w:rStyle w:val="ac"/>
          <w:rtl/>
        </w:rPr>
        <w:footnoteReference w:id="15"/>
      </w:r>
      <w:r w:rsidRPr="0010191A">
        <w:rPr>
          <w:rStyle w:val="ac"/>
          <w:rFonts w:hint="cs"/>
          <w:b/>
          <w:bCs/>
          <w:rtl/>
        </w:rPr>
        <w:t xml:space="preserve"> </w:t>
      </w:r>
      <w:r w:rsidRPr="003D030E">
        <w:rPr>
          <w:rFonts w:hint="cs"/>
          <w:rtl/>
        </w:rPr>
        <w:t xml:space="preserve">(להלן - </w:t>
      </w:r>
      <w:proofErr w:type="spellStart"/>
      <w:r w:rsidRPr="003D030E">
        <w:rPr>
          <w:rFonts w:hint="cs"/>
          <w:rtl/>
        </w:rPr>
        <w:t>התמ"ג</w:t>
      </w:r>
      <w:proofErr w:type="spellEnd"/>
      <w:r w:rsidRPr="003D030E">
        <w:rPr>
          <w:rFonts w:hint="cs"/>
          <w:rtl/>
        </w:rPr>
        <w:t>) בשנים 2015 - 2020:</w:t>
      </w:r>
    </w:p>
    <w:p w14:paraId="3468B415" w14:textId="77777777" w:rsidR="002A738D" w:rsidRDefault="002A738D">
      <w:pPr>
        <w:bidi w:val="0"/>
        <w:spacing w:after="200" w:line="276" w:lineRule="auto"/>
        <w:rPr>
          <w:rFonts w:ascii="Tahoma" w:eastAsiaTheme="minorEastAsia" w:hAnsi="Tahoma" w:cs="Tahoma"/>
          <w:color w:val="0D0D0D" w:themeColor="text1" w:themeTint="F2"/>
          <w:szCs w:val="20"/>
          <w:rtl/>
        </w:rPr>
      </w:pPr>
      <w:r>
        <w:rPr>
          <w:b/>
          <w:bCs/>
          <w:rtl/>
        </w:rPr>
        <w:br w:type="page"/>
      </w:r>
    </w:p>
    <w:p w14:paraId="38DE0E9F" w14:textId="3609C4C8" w:rsidR="007C4395" w:rsidRPr="003D030E" w:rsidRDefault="000D4398" w:rsidP="00EC550D">
      <w:pPr>
        <w:pStyle w:val="71a"/>
        <w:rPr>
          <w:rtl/>
        </w:rPr>
      </w:pPr>
      <w:r>
        <w:rPr>
          <w:noProof/>
        </w:rPr>
        <w:lastRenderedPageBreak/>
        <w:drawing>
          <wp:anchor distT="0" distB="0" distL="114300" distR="114300" simplePos="0" relativeHeight="252046848" behindDoc="0" locked="0" layoutInCell="1" allowOverlap="1" wp14:anchorId="7E260FDB" wp14:editId="702F309A">
            <wp:simplePos x="0" y="0"/>
            <wp:positionH relativeFrom="column">
              <wp:posOffset>-103505</wp:posOffset>
            </wp:positionH>
            <wp:positionV relativeFrom="paragraph">
              <wp:posOffset>406400</wp:posOffset>
            </wp:positionV>
            <wp:extent cx="4875530" cy="2512060"/>
            <wp:effectExtent l="0" t="0" r="0" b="0"/>
            <wp:wrapTopAndBottom/>
            <wp:docPr id="24785207" name="תמונה 24785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5207" name="תמונה 24785207"/>
                    <pic:cNvPicPr/>
                  </pic:nvPicPr>
                  <pic:blipFill rotWithShape="1">
                    <a:blip r:embed="rId38">
                      <a:extLst>
                        <a:ext uri="{28A0092B-C50C-407E-A947-70E740481C1C}">
                          <a14:useLocalDpi xmlns:a14="http://schemas.microsoft.com/office/drawing/2010/main" val="0"/>
                        </a:ext>
                      </a:extLst>
                    </a:blip>
                    <a:srcRect l="2298" r="2519"/>
                    <a:stretch/>
                  </pic:blipFill>
                  <pic:spPr bwMode="auto">
                    <a:xfrm>
                      <a:off x="0" y="0"/>
                      <a:ext cx="4875530" cy="2512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4395" w:rsidRPr="00EC550D">
        <w:rPr>
          <w:rFonts w:hint="cs"/>
          <w:b w:val="0"/>
          <w:bCs w:val="0"/>
          <w:rtl/>
        </w:rPr>
        <w:t xml:space="preserve">תרשים 5: </w:t>
      </w:r>
      <w:r w:rsidR="007C4395" w:rsidRPr="003D030E">
        <w:rPr>
          <w:rFonts w:hint="cs"/>
          <w:rtl/>
        </w:rPr>
        <w:t xml:space="preserve">שיעור ההכנסות ממיסים </w:t>
      </w:r>
      <w:proofErr w:type="spellStart"/>
      <w:r w:rsidR="007C4395" w:rsidRPr="003D030E">
        <w:rPr>
          <w:rFonts w:hint="cs"/>
          <w:rtl/>
        </w:rPr>
        <w:t>מהתמ"ג</w:t>
      </w:r>
      <w:proofErr w:type="spellEnd"/>
      <w:r w:rsidR="007C4395" w:rsidRPr="003D030E">
        <w:rPr>
          <w:rFonts w:hint="cs"/>
          <w:rtl/>
        </w:rPr>
        <w:t xml:space="preserve"> בשנים 2015 - 2020 (באחוזים)</w:t>
      </w:r>
    </w:p>
    <w:p w14:paraId="70249003" w14:textId="31055E92" w:rsidR="007C4395" w:rsidRPr="00BA2FBE" w:rsidRDefault="007C4395" w:rsidP="000D4398">
      <w:pPr>
        <w:pStyle w:val="71c"/>
        <w:spacing w:before="360"/>
        <w:rPr>
          <w:rtl/>
        </w:rPr>
      </w:pPr>
      <w:r w:rsidRPr="00BA2FBE">
        <w:rPr>
          <w:rFonts w:hint="eastAsia"/>
          <w:rtl/>
        </w:rPr>
        <w:t>על</w:t>
      </w:r>
      <w:r w:rsidRPr="00BA2FBE">
        <w:rPr>
          <w:rtl/>
        </w:rPr>
        <w:t xml:space="preserve"> </w:t>
      </w:r>
      <w:r w:rsidRPr="00BA2FBE">
        <w:rPr>
          <w:rFonts w:hint="eastAsia"/>
          <w:rtl/>
        </w:rPr>
        <w:t>פי</w:t>
      </w:r>
      <w:r w:rsidRPr="00BA2FBE">
        <w:rPr>
          <w:rtl/>
        </w:rPr>
        <w:t xml:space="preserve"> נתוני </w:t>
      </w:r>
      <w:proofErr w:type="spellStart"/>
      <w:r w:rsidRPr="00BA2FBE">
        <w:rPr>
          <w:rFonts w:hint="eastAsia"/>
          <w:rtl/>
        </w:rPr>
        <w:t>מינהל</w:t>
      </w:r>
      <w:proofErr w:type="spellEnd"/>
      <w:r w:rsidRPr="00BA2FBE">
        <w:rPr>
          <w:rtl/>
        </w:rPr>
        <w:t xml:space="preserve"> הכנסות המדינה והמבוא לדוחות הכספיים של המדינה לשנ</w:t>
      </w:r>
      <w:r w:rsidRPr="00BA2FBE">
        <w:rPr>
          <w:rFonts w:hint="eastAsia"/>
          <w:rtl/>
        </w:rPr>
        <w:t>ים</w:t>
      </w:r>
      <w:r w:rsidRPr="00BA2FBE">
        <w:rPr>
          <w:rtl/>
        </w:rPr>
        <w:t xml:space="preserve"> 2015 - 2020, </w:t>
      </w:r>
      <w:r w:rsidRPr="00BA2FBE">
        <w:rPr>
          <w:rFonts w:hint="eastAsia"/>
          <w:rtl/>
        </w:rPr>
        <w:t>בעיבוד</w:t>
      </w:r>
      <w:r w:rsidRPr="00BA2FBE">
        <w:rPr>
          <w:rtl/>
        </w:rPr>
        <w:t xml:space="preserve"> </w:t>
      </w:r>
      <w:r w:rsidRPr="00BA2FBE">
        <w:rPr>
          <w:rFonts w:hint="eastAsia"/>
          <w:rtl/>
        </w:rPr>
        <w:t>משרד</w:t>
      </w:r>
      <w:r w:rsidRPr="00BA2FBE">
        <w:rPr>
          <w:rtl/>
        </w:rPr>
        <w:t xml:space="preserve"> </w:t>
      </w:r>
      <w:r w:rsidRPr="00BA2FBE">
        <w:rPr>
          <w:rFonts w:hint="eastAsia"/>
          <w:rtl/>
        </w:rPr>
        <w:t>מבקר</w:t>
      </w:r>
      <w:r w:rsidRPr="00BA2FBE">
        <w:rPr>
          <w:rtl/>
        </w:rPr>
        <w:t xml:space="preserve"> </w:t>
      </w:r>
      <w:r w:rsidRPr="00BA2FBE">
        <w:rPr>
          <w:rFonts w:hint="eastAsia"/>
          <w:rtl/>
        </w:rPr>
        <w:t>המדינה</w:t>
      </w:r>
      <w:r w:rsidRPr="00BA2FBE">
        <w:rPr>
          <w:rtl/>
        </w:rPr>
        <w:t>.</w:t>
      </w:r>
    </w:p>
    <w:p w14:paraId="45B5C730" w14:textId="4FB285A0" w:rsidR="007C4395" w:rsidRPr="00AB3873" w:rsidRDefault="007C4395" w:rsidP="003B2683">
      <w:pPr>
        <w:pStyle w:val="71f4"/>
        <w:rPr>
          <w:rtl/>
        </w:rPr>
      </w:pPr>
      <w:r w:rsidRPr="00AB3873">
        <w:rPr>
          <w:rFonts w:hint="cs"/>
          <w:rtl/>
        </w:rPr>
        <w:t>מהתרשים</w:t>
      </w:r>
      <w:r>
        <w:rPr>
          <w:rFonts w:hint="cs"/>
          <w:rtl/>
        </w:rPr>
        <w:t xml:space="preserve"> לעיל עולה כי שיעור ההכנסות ממיסים </w:t>
      </w:r>
      <w:proofErr w:type="spellStart"/>
      <w:r>
        <w:rPr>
          <w:rFonts w:hint="cs"/>
          <w:rtl/>
        </w:rPr>
        <w:t>מהתמ"ג</w:t>
      </w:r>
      <w:proofErr w:type="spellEnd"/>
      <w:r>
        <w:rPr>
          <w:rFonts w:hint="cs"/>
          <w:rtl/>
        </w:rPr>
        <w:t xml:space="preserve"> ירד מ-23.34% בשנת 2015 ל-22.42% בשנת 2020.</w:t>
      </w:r>
      <w:r w:rsidRPr="00AB3873">
        <w:rPr>
          <w:rFonts w:hint="cs"/>
          <w:rtl/>
        </w:rPr>
        <w:t xml:space="preserve"> </w:t>
      </w:r>
    </w:p>
    <w:p w14:paraId="69A75F44" w14:textId="4785C803" w:rsidR="007C4395" w:rsidRDefault="007C4395" w:rsidP="002A738D">
      <w:pPr>
        <w:pStyle w:val="7190"/>
        <w:rPr>
          <w:rtl/>
        </w:rPr>
      </w:pPr>
      <w:r w:rsidRPr="00CA1DDF">
        <w:rPr>
          <w:rFonts w:hint="cs"/>
          <w:rtl/>
        </w:rPr>
        <w:t>בתרשים שלהלן מוצג פילוח של</w:t>
      </w:r>
      <w:r>
        <w:rPr>
          <w:rFonts w:hint="cs"/>
          <w:rtl/>
        </w:rPr>
        <w:t xml:space="preserve"> שיעור הכנסות המדינות השונות שנבחרו להשוואה ממי</w:t>
      </w:r>
      <w:r w:rsidRPr="00CA1DDF">
        <w:rPr>
          <w:rFonts w:hint="cs"/>
          <w:rtl/>
        </w:rPr>
        <w:t xml:space="preserve">סים בשנת </w:t>
      </w:r>
      <w:r>
        <w:rPr>
          <w:rFonts w:hint="cs"/>
          <w:rtl/>
        </w:rPr>
        <w:t>2020</w:t>
      </w:r>
      <w:r w:rsidRPr="00CA1DDF">
        <w:rPr>
          <w:rFonts w:hint="cs"/>
          <w:rtl/>
        </w:rPr>
        <w:t xml:space="preserve"> כאחוז </w:t>
      </w:r>
      <w:proofErr w:type="spellStart"/>
      <w:r>
        <w:rPr>
          <w:rFonts w:hint="cs"/>
          <w:rtl/>
        </w:rPr>
        <w:t>מ</w:t>
      </w:r>
      <w:r w:rsidRPr="00CA1DDF">
        <w:rPr>
          <w:rFonts w:hint="cs"/>
          <w:rtl/>
        </w:rPr>
        <w:t>התמ"ג</w:t>
      </w:r>
      <w:proofErr w:type="spellEnd"/>
      <w:r w:rsidRPr="00CA1DDF">
        <w:rPr>
          <w:rFonts w:hint="cs"/>
          <w:rtl/>
        </w:rPr>
        <w:t>:</w:t>
      </w:r>
    </w:p>
    <w:p w14:paraId="54FEA3F2" w14:textId="77777777" w:rsidR="007C4395" w:rsidRDefault="007C4395" w:rsidP="007C4395">
      <w:pPr>
        <w:bidi w:val="0"/>
        <w:spacing w:after="200" w:line="276" w:lineRule="auto"/>
        <w:rPr>
          <w:rtl/>
        </w:rPr>
      </w:pPr>
      <w:r>
        <w:rPr>
          <w:rtl/>
        </w:rPr>
        <w:br w:type="page"/>
      </w:r>
    </w:p>
    <w:p w14:paraId="47E45880" w14:textId="77777777" w:rsidR="007C4395" w:rsidRPr="003D030E" w:rsidRDefault="007C4395" w:rsidP="00EC550D">
      <w:pPr>
        <w:pStyle w:val="71a"/>
        <w:rPr>
          <w:rtl/>
        </w:rPr>
      </w:pPr>
      <w:r w:rsidRPr="00EC550D">
        <w:rPr>
          <w:rFonts w:hint="cs"/>
          <w:b w:val="0"/>
          <w:bCs w:val="0"/>
          <w:rtl/>
        </w:rPr>
        <w:lastRenderedPageBreak/>
        <w:t>תרשים 6:</w:t>
      </w:r>
      <w:r w:rsidRPr="003D030E">
        <w:rPr>
          <w:rFonts w:hint="cs"/>
          <w:rtl/>
        </w:rPr>
        <w:t xml:space="preserve"> שיעור ההכנסות ממיסים </w:t>
      </w:r>
      <w:proofErr w:type="spellStart"/>
      <w:r w:rsidRPr="003D030E">
        <w:rPr>
          <w:rFonts w:hint="cs"/>
          <w:rtl/>
        </w:rPr>
        <w:t>מהתמ"ג</w:t>
      </w:r>
      <w:proofErr w:type="spellEnd"/>
      <w:r w:rsidRPr="003D030E">
        <w:rPr>
          <w:rFonts w:hint="cs"/>
          <w:rtl/>
        </w:rPr>
        <w:t xml:space="preserve"> במדינות נבחרות בשנת 2020 (באחוזים)</w:t>
      </w:r>
    </w:p>
    <w:p w14:paraId="1E23FB52" w14:textId="77777777" w:rsidR="007C4395" w:rsidRPr="002A738D" w:rsidRDefault="007C4395" w:rsidP="007C4395">
      <w:pPr>
        <w:spacing w:line="269" w:lineRule="auto"/>
        <w:jc w:val="center"/>
        <w:rPr>
          <w:rStyle w:val="719Char"/>
          <w:rtl/>
        </w:rPr>
      </w:pPr>
      <w:r>
        <w:rPr>
          <w:i/>
          <w:iCs/>
          <w:noProof/>
        </w:rPr>
        <w:drawing>
          <wp:inline distT="0" distB="0" distL="0" distR="0" wp14:anchorId="1C540F67" wp14:editId="4C45348C">
            <wp:extent cx="4791712" cy="2571162"/>
            <wp:effectExtent l="0" t="0" r="0" b="0"/>
            <wp:docPr id="58" name="תמונה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תמונה 58"/>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4791712" cy="2571162"/>
                    </a:xfrm>
                    <a:prstGeom prst="rect">
                      <a:avLst/>
                    </a:prstGeom>
                    <a:noFill/>
                  </pic:spPr>
                </pic:pic>
              </a:graphicData>
            </a:graphic>
          </wp:inline>
        </w:drawing>
      </w:r>
    </w:p>
    <w:p w14:paraId="656D43F1" w14:textId="77777777" w:rsidR="007C4395" w:rsidRPr="00BA2FBE" w:rsidRDefault="007C4395" w:rsidP="00BA2FBE">
      <w:pPr>
        <w:pStyle w:val="71c"/>
        <w:rPr>
          <w:rtl/>
        </w:rPr>
      </w:pPr>
      <w:r w:rsidRPr="00BA2FBE">
        <w:rPr>
          <w:rFonts w:hint="eastAsia"/>
          <w:rtl/>
        </w:rPr>
        <w:t>על</w:t>
      </w:r>
      <w:r w:rsidRPr="00BA2FBE">
        <w:rPr>
          <w:rtl/>
        </w:rPr>
        <w:t xml:space="preserve"> </w:t>
      </w:r>
      <w:r w:rsidRPr="00BA2FBE">
        <w:rPr>
          <w:rFonts w:hint="eastAsia"/>
          <w:rtl/>
        </w:rPr>
        <w:t>פי</w:t>
      </w:r>
      <w:r w:rsidRPr="00BA2FBE">
        <w:rPr>
          <w:rtl/>
        </w:rPr>
        <w:t xml:space="preserve"> נתוני </w:t>
      </w:r>
      <w:proofErr w:type="spellStart"/>
      <w:r w:rsidRPr="00BA2FBE">
        <w:rPr>
          <w:rFonts w:hint="eastAsia"/>
          <w:rtl/>
        </w:rPr>
        <w:t>מינהל</w:t>
      </w:r>
      <w:proofErr w:type="spellEnd"/>
      <w:r w:rsidRPr="00BA2FBE">
        <w:rPr>
          <w:rtl/>
        </w:rPr>
        <w:t xml:space="preserve"> הכנסות המדינה לשנת 2020</w:t>
      </w:r>
      <w:r w:rsidRPr="00BA2FBE">
        <w:rPr>
          <w:rStyle w:val="ac"/>
          <w:rtl/>
        </w:rPr>
        <w:footnoteReference w:id="16"/>
      </w:r>
      <w:r w:rsidRPr="00BA2FBE">
        <w:rPr>
          <w:rtl/>
        </w:rPr>
        <w:t xml:space="preserve">, </w:t>
      </w:r>
      <w:r w:rsidRPr="00BA2FBE">
        <w:rPr>
          <w:rFonts w:hint="eastAsia"/>
          <w:rtl/>
        </w:rPr>
        <w:t>הדוחות</w:t>
      </w:r>
      <w:r w:rsidRPr="00BA2FBE">
        <w:rPr>
          <w:rtl/>
        </w:rPr>
        <w:t xml:space="preserve"> הכספיים של ניו זילנד, ארצות הברית, אוסטרליה וקנדה, נתוני הבנק העולמי, בעיבוד משרד מבקר המדינה. </w:t>
      </w:r>
    </w:p>
    <w:p w14:paraId="2BD45582" w14:textId="77777777" w:rsidR="007C4395" w:rsidRPr="00185289" w:rsidRDefault="007C4395" w:rsidP="003B2683">
      <w:pPr>
        <w:pStyle w:val="71f4"/>
        <w:rPr>
          <w:rtl/>
        </w:rPr>
      </w:pPr>
      <w:r w:rsidRPr="00272A31">
        <w:rPr>
          <w:rFonts w:hint="cs"/>
          <w:rtl/>
        </w:rPr>
        <w:t>מהתרשים לע</w:t>
      </w:r>
      <w:r>
        <w:rPr>
          <w:rFonts w:hint="cs"/>
          <w:rtl/>
        </w:rPr>
        <w:t>יל עולה ששיעור ההכנסות ממי</w:t>
      </w:r>
      <w:r w:rsidRPr="00272A31">
        <w:rPr>
          <w:rFonts w:hint="cs"/>
          <w:rtl/>
        </w:rPr>
        <w:t xml:space="preserve">סים </w:t>
      </w:r>
      <w:proofErr w:type="spellStart"/>
      <w:r w:rsidRPr="00272A31">
        <w:rPr>
          <w:rFonts w:hint="cs"/>
          <w:rtl/>
        </w:rPr>
        <w:t>מהתמ"ג</w:t>
      </w:r>
      <w:proofErr w:type="spellEnd"/>
      <w:r w:rsidRPr="00272A31">
        <w:rPr>
          <w:rFonts w:hint="cs"/>
          <w:rtl/>
        </w:rPr>
        <w:t xml:space="preserve"> במדינת ישראל בשנת 2020 הינו גבוה מקנדה וארה"ב (כ-12% </w:t>
      </w:r>
      <w:proofErr w:type="spellStart"/>
      <w:r w:rsidRPr="00272A31">
        <w:rPr>
          <w:rFonts w:hint="cs"/>
          <w:rtl/>
        </w:rPr>
        <w:t>וכ</w:t>
      </w:r>
      <w:proofErr w:type="spellEnd"/>
      <w:r w:rsidRPr="00272A31">
        <w:rPr>
          <w:rFonts w:hint="cs"/>
          <w:rtl/>
        </w:rPr>
        <w:t xml:space="preserve">-17%, בהתאמה) ונמוך מאוסטרליה וניו זילנד (כ-23% </w:t>
      </w:r>
      <w:proofErr w:type="spellStart"/>
      <w:r w:rsidRPr="00272A31">
        <w:rPr>
          <w:rFonts w:hint="cs"/>
          <w:rtl/>
        </w:rPr>
        <w:t>וכ</w:t>
      </w:r>
      <w:proofErr w:type="spellEnd"/>
      <w:r w:rsidRPr="00272A31">
        <w:rPr>
          <w:rFonts w:hint="cs"/>
          <w:rtl/>
        </w:rPr>
        <w:t>-26% בהתאמה).</w:t>
      </w:r>
    </w:p>
    <w:p w14:paraId="0BE137B8" w14:textId="77777777" w:rsidR="007C4395" w:rsidRPr="0053269F" w:rsidRDefault="007C4395" w:rsidP="006F4D0D">
      <w:pPr>
        <w:pStyle w:val="71414"/>
        <w:rPr>
          <w:rtl/>
        </w:rPr>
      </w:pPr>
      <w:r>
        <w:rPr>
          <w:rFonts w:hint="cs"/>
          <w:rtl/>
        </w:rPr>
        <w:t xml:space="preserve">מסגרות ההוצאה החוקיות בשנת 2020 </w:t>
      </w:r>
    </w:p>
    <w:p w14:paraId="5A233900" w14:textId="77777777" w:rsidR="007C4395" w:rsidRDefault="007C4395" w:rsidP="002A738D">
      <w:pPr>
        <w:pStyle w:val="7190"/>
        <w:rPr>
          <w:rtl/>
        </w:rPr>
      </w:pPr>
      <w:r>
        <w:rPr>
          <w:rFonts w:hint="cs"/>
          <w:rtl/>
        </w:rPr>
        <w:t xml:space="preserve">סעיף </w:t>
      </w:r>
      <w:proofErr w:type="spellStart"/>
      <w:r>
        <w:rPr>
          <w:rFonts w:hint="cs"/>
          <w:rtl/>
        </w:rPr>
        <w:t>3ב</w:t>
      </w:r>
      <w:proofErr w:type="spellEnd"/>
      <w:r>
        <w:rPr>
          <w:rFonts w:hint="cs"/>
          <w:rtl/>
        </w:rPr>
        <w:t xml:space="preserve"> לחוק-יסוד: משק המדינה (להלן - חוק היסוד) מעגן את הכללים לביצוע הוצאות המדינה בשנה ללא תקציב מדינה מאושר (להלן - תקציב המשכי). חוק היסוד מגדיר במצב כאמור את מגבלת ההוצאה (השנתית והחודשית) וכן קובע מדרג חשיבות להוצאות. היעדר קביעת תקציב המדינה בחוק כנדרש, מביא לפיזור הכנסת באופן אוטומטי</w:t>
      </w:r>
      <w:r>
        <w:rPr>
          <w:rStyle w:val="ac"/>
          <w:rtl/>
        </w:rPr>
        <w:footnoteReference w:id="17"/>
      </w:r>
      <w:r>
        <w:rPr>
          <w:rFonts w:hint="cs"/>
          <w:rtl/>
        </w:rPr>
        <w:t xml:space="preserve">. בכדי לא להעמיד עובדות בלתי הפיכות לפני הממשלה הנכנסת והכנסת הבאה, וזאת כחלק ממכלול השיקולים שמחייבים את הממשלה היוצאת באיפוק ובריסון בתקופת בחירות וממשלת מעבר, נקבעה </w:t>
      </w:r>
      <w:r>
        <w:rPr>
          <w:rFonts w:hint="cs"/>
          <w:rtl/>
        </w:rPr>
        <w:lastRenderedPageBreak/>
        <w:t>הוראה בנוגע למסגרת התקציבית שתהיה הממשלה רשאית להוציא, כל עוד לא אושר התקציב. כמו כן נקבעו מגבלות נוספות לגבי מגבלת ההוצאה החודשית ולגבי סוגי ההוצאה המותרים</w:t>
      </w:r>
      <w:r>
        <w:rPr>
          <w:rStyle w:val="ac"/>
          <w:rtl/>
        </w:rPr>
        <w:footnoteReference w:id="18"/>
      </w:r>
      <w:r>
        <w:rPr>
          <w:rFonts w:hint="cs"/>
          <w:rtl/>
        </w:rPr>
        <w:t>.</w:t>
      </w:r>
    </w:p>
    <w:p w14:paraId="144EA6D2" w14:textId="77777777" w:rsidR="007C4395" w:rsidRDefault="007C4395" w:rsidP="002A738D">
      <w:pPr>
        <w:pStyle w:val="7190"/>
        <w:rPr>
          <w:rtl/>
        </w:rPr>
      </w:pPr>
      <w:r>
        <w:rPr>
          <w:rFonts w:hint="cs"/>
          <w:rtl/>
        </w:rPr>
        <w:t>בשנת 2020 התנהלה הממשלה במסגרת מנגנון התקציב ההמשכי. בעקבות התפרצות נגיף הקורונה, החל מחודש מרץ 2020, החליטה הממשלה להוציא סכומים ניכרים מעבר למסגרת ההוצאה בתקציב המשכי, כך שעיקר האתגר היה בשמירת האיזון בין עקרון ההמשכיות והגבלת ההוצאה בשנה ללא תקציב מאושר, לבין הזרמת הסיוע המסיבי הנדרש למשק בתקופת משבר בריאותי וכלכלי. אשר על כן, במטרה לספק מענה למשבר, נעשו כמה תיקונים בחוק היסוד כהוראת שעה, במסגרתם שונו רכיבי חישוב מסגרת ההוצאה השנתית המותרת והוגדרו "קופסאות" הוצאה תקציביות נפרדות עבור התוכנית הכלכלית לסיוע למשק להתמודדות עם משבר הקורונה (להלן - התוכנית הכלכלית).</w:t>
      </w:r>
    </w:p>
    <w:p w14:paraId="28627665" w14:textId="77777777" w:rsidR="007C4395" w:rsidRDefault="007C4395" w:rsidP="002A738D">
      <w:pPr>
        <w:pStyle w:val="7190"/>
        <w:rPr>
          <w:rtl/>
        </w:rPr>
      </w:pPr>
      <w:r>
        <w:rPr>
          <w:rFonts w:hint="cs"/>
          <w:rtl/>
        </w:rPr>
        <w:t>כאמור, בשל תיקון חוק היסוד, נוצרו שתי מכסות המגבילות את היקף ההוצאה החודשי המותר לביצוע בשנה ללא תקציב מאושר: (א) מכסת הוצאה בגין הוצאות התקציב ההמשכי; (ב) מכסת הוצאות בגין התוכנית הכלכלית.</w:t>
      </w:r>
    </w:p>
    <w:p w14:paraId="6464CBB1" w14:textId="3C6DB213" w:rsidR="007C4395" w:rsidRDefault="007C4395" w:rsidP="002A738D">
      <w:pPr>
        <w:pStyle w:val="7190"/>
        <w:rPr>
          <w:rtl/>
        </w:rPr>
      </w:pPr>
      <w:r>
        <w:rPr>
          <w:rFonts w:hint="cs"/>
          <w:rtl/>
        </w:rPr>
        <w:t xml:space="preserve">מכסת ההוצאה השנתית בגין הוצאות התקציב ההמשכי עמדה על כ-410.8 מיליארד ש"ח, והיא משקפת מכסה חודשית של כ-33.3 מיליארד ש"ח עבור כל אחד מהחודשים ינואר עד אוגוסט; כ-41.6 מיליארד ש"ח בחודש ספטמבר; מכסה חודשית של כ-34.2 מיליארד ש"ח בחודשים אוקטובר עד דצמבר. הוצאות הממשלה בשנת 2020 ממכסה זו הסתכמו </w:t>
      </w:r>
      <w:proofErr w:type="spellStart"/>
      <w:r>
        <w:rPr>
          <w:rFonts w:hint="cs"/>
          <w:rtl/>
        </w:rPr>
        <w:t>בכ</w:t>
      </w:r>
      <w:proofErr w:type="spellEnd"/>
      <w:r>
        <w:rPr>
          <w:rFonts w:hint="cs"/>
          <w:rtl/>
        </w:rPr>
        <w:t>-410.6 מיליארד ש"ח (כמעט 100% ביצוע).</w:t>
      </w:r>
    </w:p>
    <w:p w14:paraId="09E73EB0" w14:textId="77777777" w:rsidR="007C4395" w:rsidRDefault="007C4395" w:rsidP="002A738D">
      <w:pPr>
        <w:pStyle w:val="7190"/>
        <w:rPr>
          <w:rtl/>
        </w:rPr>
      </w:pPr>
      <w:r>
        <w:rPr>
          <w:rFonts w:hint="cs"/>
          <w:rtl/>
        </w:rPr>
        <w:t xml:space="preserve">מכסת ההוצאות בגין התוכנית הכלכלית עמדה על כ-84.8 מיליארד ש"ח. סך הוצאות </w:t>
      </w:r>
      <w:r w:rsidRPr="00B168DE">
        <w:rPr>
          <w:rFonts w:hint="cs"/>
          <w:rtl/>
        </w:rPr>
        <w:t>הממשלה המיוחדות להתמודדות עם משבר הקורונה</w:t>
      </w:r>
      <w:r>
        <w:rPr>
          <w:rFonts w:hint="cs"/>
          <w:rtl/>
        </w:rPr>
        <w:t xml:space="preserve"> (להלן הוצאות בגין הקורונה) בשנת 2020 הנכללות במכסה זו הסתכמו </w:t>
      </w:r>
      <w:proofErr w:type="spellStart"/>
      <w:r>
        <w:rPr>
          <w:rFonts w:hint="cs"/>
          <w:rtl/>
        </w:rPr>
        <w:t>בכ</w:t>
      </w:r>
      <w:proofErr w:type="spellEnd"/>
      <w:r>
        <w:rPr>
          <w:rFonts w:hint="cs"/>
          <w:rtl/>
        </w:rPr>
        <w:t>-68.6 מיליארד ש"ח במזומן</w:t>
      </w:r>
      <w:r>
        <w:rPr>
          <w:rStyle w:val="ac"/>
          <w:rtl/>
        </w:rPr>
        <w:footnoteReference w:id="19"/>
      </w:r>
      <w:r>
        <w:rPr>
          <w:rFonts w:hint="cs"/>
          <w:rtl/>
        </w:rPr>
        <w:t xml:space="preserve"> (כ-81% ביצוע).</w:t>
      </w:r>
    </w:p>
    <w:p w14:paraId="075CA34F" w14:textId="77777777" w:rsidR="007C4395" w:rsidRDefault="007C4395" w:rsidP="006F4D0D">
      <w:pPr>
        <w:pStyle w:val="71414"/>
        <w:rPr>
          <w:rtl/>
        </w:rPr>
      </w:pPr>
      <w:r>
        <w:rPr>
          <w:rFonts w:hint="cs"/>
          <w:rtl/>
        </w:rPr>
        <w:t>השפעת משבר הקורונה על הדוחות הכספיים של המדינה לשנת 2020</w:t>
      </w:r>
    </w:p>
    <w:p w14:paraId="07F1B81D" w14:textId="77777777" w:rsidR="007C4395" w:rsidRPr="007838E7" w:rsidRDefault="007C4395" w:rsidP="002A738D">
      <w:pPr>
        <w:pStyle w:val="7190"/>
        <w:rPr>
          <w:rtl/>
        </w:rPr>
      </w:pPr>
      <w:r>
        <w:rPr>
          <w:rFonts w:hint="cs"/>
          <w:rtl/>
        </w:rPr>
        <w:t>כפי שעולה מהדוחות הכספיים של המדינה ל-31.12.2020, התוכנית הכלכלית חולקה לארבעה רבדים עיקריים של סיוע - מענה בריאותי ואזרחי; ביטחון סוציאלי; המשכיות עסקית; האצת המשק - נוסף על חלוקה אחרת לפי מקור ההוצאה: תקציבי, אשראי ותזרים, הוצאה באמצעות המוסד לביטוח לאומי וכן הקטנת הכנסות. להלן עיקרי הצעדים שביצעה המדינה במסגרת התוכנית הכלכלית, לצד פירוט אופן השפעתם על הדוחות הכספיים שלה:</w:t>
      </w:r>
    </w:p>
    <w:p w14:paraId="5F30DCAB" w14:textId="77777777" w:rsidR="007C4395" w:rsidRPr="00BA2FBE" w:rsidRDefault="007C4395" w:rsidP="00BA2FBE">
      <w:pPr>
        <w:pStyle w:val="714"/>
      </w:pPr>
      <w:r w:rsidRPr="00BA2FBE">
        <w:rPr>
          <w:rFonts w:hint="cs"/>
          <w:rtl/>
        </w:rPr>
        <w:t xml:space="preserve">בין השנים 2019 ל-2020 חלה ירידה בהכנסות המדינה ממיסים ואגרות מ-395,626 מיליון ש"ח בשנת 2019 ל-388,858 מיליון ש"ח בשנת 2020. ירידה זו נבעה מירידות בהיקף הגבייה של סעיפים שונים בעקבות משבר הקורונה. הירידה האמורה קוזזה על ידי עלייה בהכנסות המדינה ממס הכנסה שכירים יחידים וממס ערך מוסף. להלן פירוט הסעיפים העיקריים: </w:t>
      </w:r>
    </w:p>
    <w:p w14:paraId="708E656F" w14:textId="77777777" w:rsidR="007C4395" w:rsidRPr="00DA7163" w:rsidRDefault="007C4395" w:rsidP="00BA2FBE">
      <w:pPr>
        <w:pStyle w:val="71a"/>
        <w:rPr>
          <w:rtl/>
        </w:rPr>
      </w:pPr>
      <w:r w:rsidRPr="00BA2FBE">
        <w:rPr>
          <w:rFonts w:hint="cs"/>
          <w:b w:val="0"/>
          <w:bCs w:val="0"/>
          <w:rtl/>
        </w:rPr>
        <w:lastRenderedPageBreak/>
        <w:t>לוח 3:</w:t>
      </w:r>
      <w:r>
        <w:rPr>
          <w:rFonts w:hint="cs"/>
          <w:rtl/>
        </w:rPr>
        <w:t xml:space="preserve"> סעיפים נבחרים בהכנסות המדינה ממיסים ואגרות (במיליוני ש"ח)</w:t>
      </w:r>
    </w:p>
    <w:tbl>
      <w:tblPr>
        <w:tblStyle w:val="5-1"/>
        <w:bidiVisual/>
        <w:tblW w:w="7355" w:type="dxa"/>
        <w:tblInd w:w="991" w:type="dxa"/>
        <w:tblLook w:val="04A0" w:firstRow="1" w:lastRow="0" w:firstColumn="1" w:lastColumn="0" w:noHBand="0" w:noVBand="1"/>
      </w:tblPr>
      <w:tblGrid>
        <w:gridCol w:w="997"/>
        <w:gridCol w:w="1709"/>
        <w:gridCol w:w="2721"/>
        <w:gridCol w:w="964"/>
        <w:gridCol w:w="964"/>
      </w:tblGrid>
      <w:tr w:rsidR="009D2E97" w14:paraId="06707390" w14:textId="77777777" w:rsidTr="00200533">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997" w:type="dxa"/>
            <w:shd w:val="clear" w:color="auto" w:fill="C7DCE4"/>
          </w:tcPr>
          <w:p w14:paraId="21D640F2" w14:textId="77777777" w:rsidR="007C4395" w:rsidRPr="009E6326" w:rsidRDefault="007C4395" w:rsidP="009E6326">
            <w:pPr>
              <w:pStyle w:val="71B0"/>
              <w:rPr>
                <w:b/>
                <w:bCs/>
                <w:rtl/>
              </w:rPr>
            </w:pPr>
          </w:p>
        </w:tc>
        <w:tc>
          <w:tcPr>
            <w:tcW w:w="1709" w:type="dxa"/>
            <w:shd w:val="clear" w:color="auto" w:fill="C7DCE4"/>
          </w:tcPr>
          <w:p w14:paraId="338653DD" w14:textId="77777777" w:rsidR="007C4395" w:rsidRPr="009E6326" w:rsidRDefault="007C4395" w:rsidP="009E6326">
            <w:pPr>
              <w:pStyle w:val="71B0"/>
              <w:cnfStyle w:val="100000000000" w:firstRow="1" w:lastRow="0" w:firstColumn="0" w:lastColumn="0" w:oddVBand="0" w:evenVBand="0" w:oddHBand="0" w:evenHBand="0" w:firstRowFirstColumn="0" w:firstRowLastColumn="0" w:lastRowFirstColumn="0" w:lastRowLastColumn="0"/>
              <w:rPr>
                <w:b/>
                <w:bCs/>
                <w:rtl/>
              </w:rPr>
            </w:pPr>
          </w:p>
        </w:tc>
        <w:tc>
          <w:tcPr>
            <w:tcW w:w="2721" w:type="dxa"/>
            <w:tcBorders>
              <w:bottom w:val="single" w:sz="4" w:space="0" w:color="FFFFFF" w:themeColor="background1"/>
            </w:tcBorders>
            <w:shd w:val="clear" w:color="auto" w:fill="C7DCE4"/>
          </w:tcPr>
          <w:p w14:paraId="434C17DB" w14:textId="77777777" w:rsidR="007C4395" w:rsidRPr="009D2E97" w:rsidRDefault="007C4395" w:rsidP="009E6326">
            <w:pPr>
              <w:pStyle w:val="71B0"/>
              <w:cnfStyle w:val="100000000000" w:firstRow="1" w:lastRow="0" w:firstColumn="0" w:lastColumn="0" w:oddVBand="0" w:evenVBand="0" w:oddHBand="0" w:evenHBand="0" w:firstRowFirstColumn="0" w:firstRowLastColumn="0" w:lastRowFirstColumn="0" w:lastRowLastColumn="0"/>
              <w:rPr>
                <w:b/>
                <w:bCs/>
                <w:rtl/>
              </w:rPr>
            </w:pPr>
          </w:p>
        </w:tc>
        <w:tc>
          <w:tcPr>
            <w:tcW w:w="964" w:type="dxa"/>
            <w:tcBorders>
              <w:left w:val="single" w:sz="4" w:space="0" w:color="FFFFFF" w:themeColor="background1"/>
              <w:bottom w:val="single" w:sz="4" w:space="0" w:color="FFFFFF" w:themeColor="background1"/>
              <w:right w:val="single" w:sz="4" w:space="0" w:color="FFFFFF" w:themeColor="background1"/>
            </w:tcBorders>
            <w:shd w:val="clear" w:color="auto" w:fill="C7DCE4"/>
          </w:tcPr>
          <w:p w14:paraId="593C0CD7" w14:textId="77777777" w:rsidR="007C4395" w:rsidRPr="009E6326" w:rsidRDefault="007C4395" w:rsidP="009E6326">
            <w:pPr>
              <w:pStyle w:val="71B0"/>
              <w:cnfStyle w:val="100000000000" w:firstRow="1" w:lastRow="0" w:firstColumn="0" w:lastColumn="0" w:oddVBand="0" w:evenVBand="0" w:oddHBand="0" w:evenHBand="0" w:firstRowFirstColumn="0" w:firstRowLastColumn="0" w:lastRowFirstColumn="0" w:lastRowLastColumn="0"/>
              <w:rPr>
                <w:b/>
                <w:bCs/>
                <w:rtl/>
              </w:rPr>
            </w:pPr>
            <w:r w:rsidRPr="009E6326">
              <w:rPr>
                <w:rFonts w:hint="cs"/>
                <w:b/>
                <w:bCs/>
                <w:rtl/>
              </w:rPr>
              <w:t>2020</w:t>
            </w:r>
          </w:p>
        </w:tc>
        <w:tc>
          <w:tcPr>
            <w:tcW w:w="964" w:type="dxa"/>
            <w:tcBorders>
              <w:left w:val="single" w:sz="4" w:space="0" w:color="FFFFFF" w:themeColor="background1"/>
              <w:bottom w:val="single" w:sz="4" w:space="0" w:color="FFFFFF" w:themeColor="background1"/>
            </w:tcBorders>
            <w:shd w:val="clear" w:color="auto" w:fill="C7DCE4"/>
          </w:tcPr>
          <w:p w14:paraId="6FC57D9A" w14:textId="77777777" w:rsidR="007C4395" w:rsidRPr="009E6326" w:rsidRDefault="007C4395" w:rsidP="009E6326">
            <w:pPr>
              <w:pStyle w:val="71B0"/>
              <w:cnfStyle w:val="100000000000" w:firstRow="1" w:lastRow="0" w:firstColumn="0" w:lastColumn="0" w:oddVBand="0" w:evenVBand="0" w:oddHBand="0" w:evenHBand="0" w:firstRowFirstColumn="0" w:firstRowLastColumn="0" w:lastRowFirstColumn="0" w:lastRowLastColumn="0"/>
              <w:rPr>
                <w:b/>
                <w:bCs/>
                <w:rtl/>
              </w:rPr>
            </w:pPr>
            <w:r w:rsidRPr="009E6326">
              <w:rPr>
                <w:rFonts w:hint="cs"/>
                <w:b/>
                <w:bCs/>
                <w:rtl/>
              </w:rPr>
              <w:t>2019</w:t>
            </w:r>
          </w:p>
        </w:tc>
      </w:tr>
      <w:tr w:rsidR="009D2E97" w14:paraId="3D425018" w14:textId="77777777" w:rsidTr="00200533">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997" w:type="dxa"/>
            <w:vMerge w:val="restart"/>
            <w:tcBorders>
              <w:top w:val="single" w:sz="4" w:space="0" w:color="FFFFFF" w:themeColor="background1"/>
            </w:tcBorders>
            <w:shd w:val="clear" w:color="auto" w:fill="DCE9EE"/>
          </w:tcPr>
          <w:p w14:paraId="230DFD1B" w14:textId="77777777" w:rsidR="007C4395" w:rsidRPr="009E6326" w:rsidRDefault="007C4395" w:rsidP="009E6326">
            <w:pPr>
              <w:pStyle w:val="71R"/>
              <w:rPr>
                <w:rtl/>
              </w:rPr>
            </w:pPr>
            <w:r w:rsidRPr="009E6326">
              <w:rPr>
                <w:noProof/>
                <w:rtl/>
              </w:rPr>
              <mc:AlternateContent>
                <mc:Choice Requires="wps">
                  <w:drawing>
                    <wp:anchor distT="0" distB="0" distL="114300" distR="114300" simplePos="0" relativeHeight="252005888" behindDoc="0" locked="0" layoutInCell="1" allowOverlap="1" wp14:anchorId="204C9AF1" wp14:editId="7F9188CA">
                      <wp:simplePos x="0" y="0"/>
                      <wp:positionH relativeFrom="column">
                        <wp:posOffset>45658</wp:posOffset>
                      </wp:positionH>
                      <wp:positionV relativeFrom="paragraph">
                        <wp:posOffset>137795</wp:posOffset>
                      </wp:positionV>
                      <wp:extent cx="352425" cy="600075"/>
                      <wp:effectExtent l="38100" t="12700" r="3175" b="22225"/>
                      <wp:wrapNone/>
                      <wp:docPr id="24785201" name="חץ למטה 24785201"/>
                      <wp:cNvGraphicFramePr/>
                      <a:graphic xmlns:a="http://schemas.openxmlformats.org/drawingml/2006/main">
                        <a:graphicData uri="http://schemas.microsoft.com/office/word/2010/wordprocessingShape">
                          <wps:wsp>
                            <wps:cNvSpPr/>
                            <wps:spPr>
                              <a:xfrm>
                                <a:off x="0" y="0"/>
                                <a:ext cx="352425" cy="600075"/>
                              </a:xfrm>
                              <a:prstGeom prst="downArrow">
                                <a:avLst/>
                              </a:prstGeom>
                              <a:solidFill>
                                <a:srgbClr val="EF5C66"/>
                              </a:solidFill>
                              <a:ln>
                                <a:solidFill>
                                  <a:srgbClr val="EF5C6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1" fromWordArt="0" anchor="ctr" anchorCtr="0" forceAA="0" compatLnSpc="1">
                              <a:prstTxWarp prst="textNoShape">
                                <a:avLst/>
                              </a:prstTxWarp>
                            </wps:bodyPr>
                          </wps:wsp>
                        </a:graphicData>
                      </a:graphic>
                      <wp14:sizeRelV relativeFrom="margin">
                        <wp14:pctHeight>0</wp14:pctHeight>
                      </wp14:sizeRelV>
                    </wp:anchor>
                  </w:drawing>
                </mc:Choice>
                <mc:Fallback>
                  <w:pict>
                    <v:shapetype w14:anchorId="296D927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חץ למטה 24785201" o:spid="_x0000_s1026" type="#_x0000_t67" style="position:absolute;left:0;text-align:left;margin-left:3.6pt;margin-top:10.85pt;width:27.75pt;height:47.25pt;z-index:25200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bpU5YAIAAEoFAAAOAAAAZHJzL2Uyb0RvYy54bWysVMFu2zAMvQ/YPwi6L3ayJRuMOkWQLrsE&#13;&#10;bbF06FmVpdiALGqUGif7+lGy425tsUOxiyyK5CP5TPLi8tgadlDoG7Aln05yzpSVUDV2X/Ifd5sP&#13;&#10;XzjzQdhKGLCq5Cfl+eXy/buLzhVqBjWYSiEjEOuLzpW8DsEVWeZlrVrhJ+CUJaUGbEUgEfdZhaIj&#13;&#10;9NZkszxfZB1g5RCk8p5er3olXyZ8rZUMN1p7FZgpOeUW0onpfIhntrwQxR6Fqxs5pCHekEUrGktB&#13;&#10;R6grEQR7xOYFVNtIBA86TCS0GWjdSJVqoGqm+bNqdrVwKtVC5Hg30uT/H6y8PuzcLRINnfOFp2us&#13;&#10;4qixjV/Kjx0TWaeRLHUMTNLjx/ns02zOmSTVIs/zz/NIZvbk7NCHbwpaFi8lr6CzK0ToEk/isPWh&#13;&#10;tz/bxYAeTFNtGmOSgPuHtUF2EPTzvm7m68ViCPGXmbFv86RUo2v2VHi6hZNREdDY70qzpqJSZynl&#13;&#10;1JNqTEhIqWyY9qpaVKrPc05UpLYi+NEj8ZIAI7Km+kbsASD2+0vsnqDBPrqq1NKjc/6vxHrn0SNF&#13;&#10;BhtG57axgK8BGKpqiNzbn0nqqYksPUB1ukWG0A+Ud3LT0F/eCh9uBdIE0azRVgg3dGgDXclhuHFW&#13;&#10;A/567T3aU2OTlrOOJrLk/uejQMWZfWzXQD0wpV3iZLoSPgZzftUI7T0tglVEIJWwknBKLgOehXXo&#13;&#10;p55WiVSrVTKjEXQibO3OyQgeGYrNeHe8F+iGtg3U79dwnkRRPGvc3nYgqGdlEGhg028flkvcCH/K&#13;&#10;yeppBS5/AwAA//8DAFBLAwQUAAYACAAAACEA5Pw+U+EAAAAMAQAADwAAAGRycy9kb3ducmV2Lnht&#13;&#10;bExPPU/DMBDdkfgP1lVio06MlNI0ToWgwNKlhaWbGx9JWn9EsdOk/HqOCZY7nd6791GsJ2vYBfvQ&#13;&#10;eichnSfA0FVet66W8Pnxev8ILETltDLeoYQrBliXtzeFyrUf3Q4v+1gzEnEhVxKaGLuc81A1aFWY&#13;&#10;+w4dYV++tyrS2ddc92okcWu4SJKMW9U6cmhUh88NVuf9YCWczu+Ht4fr0vTDYeM337vtsh23Ut7N&#13;&#10;ppcVjacVsIhT/PuA3w6UH0oKdvSD04EZCQtBRAkiXQAjOBO0j0RLMwG8LPj/EuUPAAAA//8DAFBL&#13;&#10;AQItABQABgAIAAAAIQC2gziS/gAAAOEBAAATAAAAAAAAAAAAAAAAAAAAAABbQ29udGVudF9UeXBl&#13;&#10;c10ueG1sUEsBAi0AFAAGAAgAAAAhADj9If/WAAAAlAEAAAsAAAAAAAAAAAAAAAAALwEAAF9yZWxz&#13;&#10;Ly5yZWxzUEsBAi0AFAAGAAgAAAAhAFdulTlgAgAASgUAAA4AAAAAAAAAAAAAAAAALgIAAGRycy9l&#13;&#10;Mm9Eb2MueG1sUEsBAi0AFAAGAAgAAAAhAOT8PlPhAAAADAEAAA8AAAAAAAAAAAAAAAAAugQAAGRy&#13;&#10;cy9kb3ducmV2LnhtbFBLBQYAAAAABAAEAPMAAADIBQAAAAA=&#13;&#10;" adj="15257" fillcolor="#ef5c66" strokecolor="#ef5c66" strokeweight="2pt"/>
                  </w:pict>
                </mc:Fallback>
              </mc:AlternateContent>
            </w:r>
          </w:p>
        </w:tc>
        <w:tc>
          <w:tcPr>
            <w:tcW w:w="1709" w:type="dxa"/>
            <w:vMerge w:val="restart"/>
            <w:tcBorders>
              <w:top w:val="single" w:sz="4" w:space="0" w:color="FFFFFF" w:themeColor="background1"/>
            </w:tcBorders>
            <w:shd w:val="clear" w:color="auto" w:fill="DCE9EE"/>
          </w:tcPr>
          <w:p w14:paraId="6AB3CB93" w14:textId="77777777" w:rsidR="007C4395" w:rsidRPr="009D2E97"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9D2E97">
              <w:rPr>
                <w:rFonts w:hint="cs"/>
                <w:b/>
                <w:bCs/>
                <w:rtl/>
              </w:rPr>
              <w:t>ירידה בהיקף הגבייה</w:t>
            </w:r>
          </w:p>
        </w:tc>
        <w:tc>
          <w:tcPr>
            <w:tcW w:w="2721" w:type="dxa"/>
            <w:tcBorders>
              <w:top w:val="single" w:sz="4" w:space="0" w:color="FFFFFF" w:themeColor="background1"/>
              <w:bottom w:val="single" w:sz="4" w:space="0" w:color="FFFFFF" w:themeColor="background1"/>
            </w:tcBorders>
            <w:shd w:val="clear" w:color="auto" w:fill="DCE9EE"/>
          </w:tcPr>
          <w:p w14:paraId="0E95AD48" w14:textId="77777777" w:rsidR="007C4395" w:rsidRPr="009D2E97"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9D2E97">
              <w:rPr>
                <w:rFonts w:hint="cs"/>
                <w:b/>
                <w:bCs/>
                <w:rtl/>
              </w:rPr>
              <w:t>מס הכנסה - חברות</w:t>
            </w:r>
          </w:p>
        </w:tc>
        <w:tc>
          <w:tcPr>
            <w:tcW w:w="9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CE9EE"/>
          </w:tcPr>
          <w:p w14:paraId="1F2565B2"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34,330</w:t>
            </w:r>
          </w:p>
        </w:tc>
        <w:tc>
          <w:tcPr>
            <w:tcW w:w="9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CE9EE"/>
          </w:tcPr>
          <w:p w14:paraId="78BB1C87"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39,855</w:t>
            </w:r>
          </w:p>
        </w:tc>
      </w:tr>
      <w:tr w:rsidR="009D2E97" w14:paraId="73ADE37B" w14:textId="77777777" w:rsidTr="00200533">
        <w:trPr>
          <w:trHeight w:val="317"/>
        </w:trPr>
        <w:tc>
          <w:tcPr>
            <w:cnfStyle w:val="001000000000" w:firstRow="0" w:lastRow="0" w:firstColumn="1" w:lastColumn="0" w:oddVBand="0" w:evenVBand="0" w:oddHBand="0" w:evenHBand="0" w:firstRowFirstColumn="0" w:firstRowLastColumn="0" w:lastRowFirstColumn="0" w:lastRowLastColumn="0"/>
            <w:tcW w:w="997" w:type="dxa"/>
            <w:vMerge/>
            <w:shd w:val="clear" w:color="auto" w:fill="DCE9EE"/>
          </w:tcPr>
          <w:p w14:paraId="340775AC" w14:textId="77777777" w:rsidR="007C4395" w:rsidRPr="009E6326" w:rsidRDefault="007C4395" w:rsidP="009E6326">
            <w:pPr>
              <w:pStyle w:val="71R"/>
              <w:rPr>
                <w:rtl/>
              </w:rPr>
            </w:pPr>
          </w:p>
        </w:tc>
        <w:tc>
          <w:tcPr>
            <w:tcW w:w="1709" w:type="dxa"/>
            <w:vMerge/>
            <w:shd w:val="clear" w:color="auto" w:fill="C6D9F1" w:themeFill="text2" w:themeFillTint="33"/>
          </w:tcPr>
          <w:p w14:paraId="1D3A0FDE" w14:textId="77777777" w:rsidR="007C4395" w:rsidRPr="009D2E97"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p>
        </w:tc>
        <w:tc>
          <w:tcPr>
            <w:tcW w:w="2721" w:type="dxa"/>
            <w:tcBorders>
              <w:top w:val="single" w:sz="4" w:space="0" w:color="FFFFFF" w:themeColor="background1"/>
              <w:bottom w:val="single" w:sz="4" w:space="0" w:color="FFFFFF" w:themeColor="background1"/>
            </w:tcBorders>
            <w:shd w:val="clear" w:color="auto" w:fill="EDF5F6"/>
          </w:tcPr>
          <w:p w14:paraId="577F7CF5" w14:textId="77777777" w:rsidR="007C4395" w:rsidRPr="009D2E97"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9D2E97">
              <w:rPr>
                <w:rFonts w:hint="cs"/>
                <w:b/>
                <w:bCs/>
                <w:rtl/>
              </w:rPr>
              <w:t>מיסי דלק</w:t>
            </w:r>
          </w:p>
        </w:tc>
        <w:tc>
          <w:tcPr>
            <w:tcW w:w="9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5F6"/>
          </w:tcPr>
          <w:p w14:paraId="50E99D84"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16,451</w:t>
            </w:r>
          </w:p>
        </w:tc>
        <w:tc>
          <w:tcPr>
            <w:tcW w:w="9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5F6"/>
          </w:tcPr>
          <w:p w14:paraId="2D4CBAFA"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18,979</w:t>
            </w:r>
          </w:p>
        </w:tc>
      </w:tr>
      <w:tr w:rsidR="009D2E97" w14:paraId="0195E406" w14:textId="77777777" w:rsidTr="00200533">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997" w:type="dxa"/>
            <w:vMerge/>
            <w:shd w:val="clear" w:color="auto" w:fill="DCE9EE"/>
          </w:tcPr>
          <w:p w14:paraId="70FCDDA4" w14:textId="77777777" w:rsidR="007C4395" w:rsidRPr="009E6326" w:rsidRDefault="007C4395" w:rsidP="009E6326">
            <w:pPr>
              <w:pStyle w:val="71R"/>
              <w:rPr>
                <w:rtl/>
              </w:rPr>
            </w:pPr>
          </w:p>
        </w:tc>
        <w:tc>
          <w:tcPr>
            <w:tcW w:w="1709" w:type="dxa"/>
            <w:vMerge/>
            <w:shd w:val="clear" w:color="auto" w:fill="C6D9F1" w:themeFill="text2" w:themeFillTint="33"/>
          </w:tcPr>
          <w:p w14:paraId="2FCFD570" w14:textId="77777777" w:rsidR="007C4395" w:rsidRPr="009D2E97"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p>
        </w:tc>
        <w:tc>
          <w:tcPr>
            <w:tcW w:w="2721" w:type="dxa"/>
            <w:tcBorders>
              <w:top w:val="single" w:sz="4" w:space="0" w:color="FFFFFF" w:themeColor="background1"/>
              <w:bottom w:val="single" w:sz="4" w:space="0" w:color="FFFFFF" w:themeColor="background1"/>
            </w:tcBorders>
            <w:shd w:val="clear" w:color="auto" w:fill="DCE9EE"/>
          </w:tcPr>
          <w:p w14:paraId="533C0313" w14:textId="77777777" w:rsidR="007C4395" w:rsidRPr="009D2E97"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9D2E97">
              <w:rPr>
                <w:rFonts w:hint="cs"/>
                <w:b/>
                <w:bCs/>
                <w:rtl/>
              </w:rPr>
              <w:t>מכס</w:t>
            </w:r>
          </w:p>
        </w:tc>
        <w:tc>
          <w:tcPr>
            <w:tcW w:w="9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CE9EE"/>
          </w:tcPr>
          <w:p w14:paraId="404EE47E"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64,506</w:t>
            </w:r>
          </w:p>
        </w:tc>
        <w:tc>
          <w:tcPr>
            <w:tcW w:w="9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CE9EE"/>
          </w:tcPr>
          <w:p w14:paraId="2DA08187"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67,726</w:t>
            </w:r>
          </w:p>
        </w:tc>
      </w:tr>
      <w:tr w:rsidR="009D2E97" w14:paraId="629913DB" w14:textId="77777777" w:rsidTr="00200533">
        <w:trPr>
          <w:trHeight w:val="317"/>
        </w:trPr>
        <w:tc>
          <w:tcPr>
            <w:cnfStyle w:val="001000000000" w:firstRow="0" w:lastRow="0" w:firstColumn="1" w:lastColumn="0" w:oddVBand="0" w:evenVBand="0" w:oddHBand="0" w:evenHBand="0" w:firstRowFirstColumn="0" w:firstRowLastColumn="0" w:lastRowFirstColumn="0" w:lastRowLastColumn="0"/>
            <w:tcW w:w="997" w:type="dxa"/>
            <w:vMerge/>
            <w:tcBorders>
              <w:bottom w:val="single" w:sz="4" w:space="0" w:color="FFFFFF" w:themeColor="background1"/>
            </w:tcBorders>
            <w:shd w:val="clear" w:color="auto" w:fill="DCE9EE"/>
          </w:tcPr>
          <w:p w14:paraId="6E5974B2" w14:textId="77777777" w:rsidR="007C4395" w:rsidRPr="009E6326" w:rsidRDefault="007C4395" w:rsidP="009E6326">
            <w:pPr>
              <w:pStyle w:val="71R"/>
              <w:rPr>
                <w:rtl/>
              </w:rPr>
            </w:pPr>
          </w:p>
        </w:tc>
        <w:tc>
          <w:tcPr>
            <w:tcW w:w="1709" w:type="dxa"/>
            <w:vMerge/>
            <w:tcBorders>
              <w:bottom w:val="single" w:sz="4" w:space="0" w:color="FFFFFF" w:themeColor="background1"/>
            </w:tcBorders>
            <w:shd w:val="clear" w:color="auto" w:fill="C6D9F1" w:themeFill="text2" w:themeFillTint="33"/>
          </w:tcPr>
          <w:p w14:paraId="78DECB8B" w14:textId="77777777" w:rsidR="007C4395" w:rsidRPr="009D2E97"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p>
        </w:tc>
        <w:tc>
          <w:tcPr>
            <w:tcW w:w="2721" w:type="dxa"/>
            <w:tcBorders>
              <w:top w:val="single" w:sz="4" w:space="0" w:color="FFFFFF" w:themeColor="background1"/>
              <w:bottom w:val="single" w:sz="4" w:space="0" w:color="FFFFFF" w:themeColor="background1"/>
            </w:tcBorders>
            <w:shd w:val="clear" w:color="auto" w:fill="EDF5F6"/>
          </w:tcPr>
          <w:p w14:paraId="16339B0B" w14:textId="77777777" w:rsidR="007C4395" w:rsidRPr="009D2E97"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9D2E97">
              <w:rPr>
                <w:rFonts w:hint="cs"/>
                <w:b/>
                <w:bCs/>
                <w:rtl/>
              </w:rPr>
              <w:t>דמי ביטוח לאומי וביטוח בריאות</w:t>
            </w:r>
          </w:p>
        </w:tc>
        <w:tc>
          <w:tcPr>
            <w:tcW w:w="9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5F6"/>
          </w:tcPr>
          <w:p w14:paraId="54CFBF19"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73,420</w:t>
            </w:r>
          </w:p>
        </w:tc>
        <w:tc>
          <w:tcPr>
            <w:tcW w:w="9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5F6"/>
          </w:tcPr>
          <w:p w14:paraId="40E31493"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75,126</w:t>
            </w:r>
          </w:p>
        </w:tc>
      </w:tr>
      <w:tr w:rsidR="009D2E97" w14:paraId="7171E777" w14:textId="77777777" w:rsidTr="00200533">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997" w:type="dxa"/>
            <w:tcBorders>
              <w:top w:val="single" w:sz="4" w:space="0" w:color="FFFFFF" w:themeColor="background1"/>
              <w:bottom w:val="single" w:sz="4" w:space="0" w:color="FFFFFF" w:themeColor="background1"/>
            </w:tcBorders>
            <w:shd w:val="clear" w:color="auto" w:fill="C7DCE4"/>
          </w:tcPr>
          <w:p w14:paraId="259BAB33" w14:textId="77777777" w:rsidR="007C4395" w:rsidRPr="009E6326" w:rsidRDefault="007C4395" w:rsidP="009E6326">
            <w:pPr>
              <w:pStyle w:val="71R"/>
              <w:rPr>
                <w:rtl/>
              </w:rPr>
            </w:pPr>
          </w:p>
        </w:tc>
        <w:tc>
          <w:tcPr>
            <w:tcW w:w="1709" w:type="dxa"/>
            <w:tcBorders>
              <w:top w:val="single" w:sz="4" w:space="0" w:color="FFFFFF" w:themeColor="background1"/>
              <w:bottom w:val="single" w:sz="4" w:space="0" w:color="FFFFFF" w:themeColor="background1"/>
            </w:tcBorders>
            <w:shd w:val="clear" w:color="auto" w:fill="C7DCE4"/>
          </w:tcPr>
          <w:p w14:paraId="600399EB" w14:textId="77777777" w:rsidR="007C4395" w:rsidRPr="009D2E97"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p>
        </w:tc>
        <w:tc>
          <w:tcPr>
            <w:tcW w:w="2721" w:type="dxa"/>
            <w:tcBorders>
              <w:top w:val="single" w:sz="4" w:space="0" w:color="FFFFFF" w:themeColor="background1"/>
              <w:bottom w:val="single" w:sz="4" w:space="0" w:color="FFFFFF" w:themeColor="background1"/>
            </w:tcBorders>
            <w:shd w:val="clear" w:color="auto" w:fill="C7DCE4"/>
          </w:tcPr>
          <w:p w14:paraId="0534B6C6" w14:textId="77777777" w:rsidR="007C4395" w:rsidRPr="009D2E97"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p>
        </w:tc>
        <w:tc>
          <w:tcPr>
            <w:tcW w:w="9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7DCE4"/>
          </w:tcPr>
          <w:p w14:paraId="52547AB5"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p>
        </w:tc>
        <w:tc>
          <w:tcPr>
            <w:tcW w:w="9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7DCE4"/>
          </w:tcPr>
          <w:p w14:paraId="0DF4551D"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p>
        </w:tc>
      </w:tr>
      <w:tr w:rsidR="009D2E97" w14:paraId="4315121C" w14:textId="77777777" w:rsidTr="00200533">
        <w:trPr>
          <w:trHeight w:val="317"/>
        </w:trPr>
        <w:tc>
          <w:tcPr>
            <w:cnfStyle w:val="001000000000" w:firstRow="0" w:lastRow="0" w:firstColumn="1" w:lastColumn="0" w:oddVBand="0" w:evenVBand="0" w:oddHBand="0" w:evenHBand="0" w:firstRowFirstColumn="0" w:firstRowLastColumn="0" w:lastRowFirstColumn="0" w:lastRowLastColumn="0"/>
            <w:tcW w:w="997" w:type="dxa"/>
            <w:vMerge w:val="restart"/>
            <w:tcBorders>
              <w:top w:val="single" w:sz="4" w:space="0" w:color="FFFFFF" w:themeColor="background1"/>
            </w:tcBorders>
            <w:shd w:val="clear" w:color="auto" w:fill="EDF5F6"/>
          </w:tcPr>
          <w:p w14:paraId="39C9A755" w14:textId="77777777" w:rsidR="007C4395" w:rsidRPr="009E6326" w:rsidRDefault="007C4395" w:rsidP="009E6326">
            <w:pPr>
              <w:pStyle w:val="71R"/>
              <w:rPr>
                <w:rtl/>
              </w:rPr>
            </w:pPr>
            <w:r w:rsidRPr="009E6326">
              <w:rPr>
                <w:noProof/>
                <w:rtl/>
              </w:rPr>
              <mc:AlternateContent>
                <mc:Choice Requires="wps">
                  <w:drawing>
                    <wp:anchor distT="0" distB="0" distL="114300" distR="114300" simplePos="0" relativeHeight="252006912" behindDoc="0" locked="0" layoutInCell="1" allowOverlap="1" wp14:anchorId="0DF6AF11" wp14:editId="72F921EB">
                      <wp:simplePos x="0" y="0"/>
                      <wp:positionH relativeFrom="column">
                        <wp:posOffset>-12285</wp:posOffset>
                      </wp:positionH>
                      <wp:positionV relativeFrom="paragraph">
                        <wp:posOffset>108585</wp:posOffset>
                      </wp:positionV>
                      <wp:extent cx="409575" cy="285750"/>
                      <wp:effectExtent l="50800" t="25400" r="22225" b="19050"/>
                      <wp:wrapNone/>
                      <wp:docPr id="24785203" name="חץ למעלה 24785203"/>
                      <wp:cNvGraphicFramePr/>
                      <a:graphic xmlns:a="http://schemas.openxmlformats.org/drawingml/2006/main">
                        <a:graphicData uri="http://schemas.microsoft.com/office/word/2010/wordprocessingShape">
                          <wps:wsp>
                            <wps:cNvSpPr/>
                            <wps:spPr>
                              <a:xfrm>
                                <a:off x="0" y="0"/>
                                <a:ext cx="409575" cy="285750"/>
                              </a:xfrm>
                              <a:prstGeom prst="upArrow">
                                <a:avLst/>
                              </a:prstGeom>
                              <a:solidFill>
                                <a:srgbClr val="4BBD97"/>
                              </a:solidFill>
                              <a:ln>
                                <a:solidFill>
                                  <a:srgbClr val="4BBD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18725CA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חץ למעלה 24785203" o:spid="_x0000_s1026" type="#_x0000_t68" style="position:absolute;left:0;text-align:left;margin-left:-.95pt;margin-top:8.55pt;width:32.25pt;height:22.5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2GFPYwIAAEgFAAAOAAAAZHJzL2Uyb0RvYy54bWysVN9P3DAMfp+0/yHK+2jvxA2o6KGDE3tB&#13;&#10;gICJ55Am10ppnDm5693++jnpDzaG9oDWh9SJ7S/2F9vnF/vWsJ1C34At+ewo50xZCVVjNyX//nT9&#13;&#10;5ZQzH4SthAGrSn5Qnl8sP38671yh5lCDqRQyArG+6FzJ6xBckWVe1qoV/gicsqTUgK0ItMVNVqHo&#13;&#10;CL012TzPv2YdYOUQpPKeTte9ki8TvtZKhjutvQrMlJxiC2nFtL7ENVuei2KDwtWNHMIQH4iiFY2l&#13;&#10;SyeotQiCbbH5C6ptJIIHHY4ktBlo3UiVcqBsZvmbbB5r4VTKhcjxbqLJ/z9Yebt7dPdINHTOF57E&#13;&#10;mMVeYxv/FB/bJ7IOE1lqH5ikw+P8bHGy4EySan5KYiIze3V26MM3BS2LQsm3boUIXWJJ7G58oDvJ&#13;&#10;erSK13kwTXXdGJM2uHm5Msh2gp7u+PJyfXYSX4tc/jAz9mOehBNds9e0kxQORkVAYx+UZk1Fic5T&#13;&#10;yKki1RSQkFLZMOtVtahUH+cip28MM9Zw9EhBJ8CIrCm/CXsAGC17kBG7z3awj64qFfTknP8rsN55&#13;&#10;8kg3gw2Tc9tYwPcADGU13NzbjyT11ESWXqA63CND6NvJO3nd0BvfCB/uBVL/UKfRTAh3tGgDXclh&#13;&#10;kDirAX++dx7tqaxJy1lH/Vhy/2MrUHFmt+0VUA3MaJI4mUTCx2DGU43QPtMYWEUEUgkrCafkMuC4&#13;&#10;uQp9z9MgkWq1SmbUgE6EG/voZASPDMVifNo/C3RD0Qaq9lsY+1AUbwq3tx0I6lkZNtSu6dmH0RLn&#13;&#10;we/7ZPU6AJe/AAAA//8DAFBLAwQUAAYACAAAACEADapQcd8AAAAMAQAADwAAAGRycy9kb3ducmV2&#13;&#10;LnhtbExPS0/DMAy+I/EfIiNx29LuUFjXdOKhcuCC6Ji4Zo1pC4lTNVlX/j3eaVxs2Z/9PYrt7KyY&#13;&#10;cAy9JwXpMgGB1HjTU6vgY1ct7kGEqMlo6wkV/GKAbXl9Vejc+BO941THVjAJhVwr6GIccilD06HT&#13;&#10;YekHJMa+/Oh05HFspRn1icmdlaskyaTTPbFCpwd86rD5qY9Ogant/vUlG+j7sdlNb9V6X38OlVK3&#13;&#10;N/PzhsvDBkTEOV4+4JyB/UPJxg7+SCYIq2CRrvmS93cpCMazVQbicO4pyLKQ/0OUfwAAAP//AwBQ&#13;&#10;SwECLQAUAAYACAAAACEAtoM4kv4AAADhAQAAEwAAAAAAAAAAAAAAAAAAAAAAW0NvbnRlbnRfVHlw&#13;&#10;ZXNdLnhtbFBLAQItABQABgAIAAAAIQA4/SH/1gAAAJQBAAALAAAAAAAAAAAAAAAAAC8BAABfcmVs&#13;&#10;cy8ucmVsc1BLAQItABQABgAIAAAAIQCn2GFPYwIAAEgFAAAOAAAAAAAAAAAAAAAAAC4CAABkcnMv&#13;&#10;ZTJvRG9jLnhtbFBLAQItABQABgAIAAAAIQANqlBx3wAAAAwBAAAPAAAAAAAAAAAAAAAAAL0EAABk&#13;&#10;cnMvZG93bnJldi54bWxQSwUGAAAAAAQABADzAAAAyQUAAAAA&#13;&#10;" adj="10800" fillcolor="#4bbd97" strokecolor="#4bbd97" strokeweight="2pt"/>
                  </w:pict>
                </mc:Fallback>
              </mc:AlternateContent>
            </w:r>
          </w:p>
        </w:tc>
        <w:tc>
          <w:tcPr>
            <w:tcW w:w="1709" w:type="dxa"/>
            <w:vMerge w:val="restart"/>
            <w:tcBorders>
              <w:top w:val="single" w:sz="4" w:space="0" w:color="FFFFFF" w:themeColor="background1"/>
            </w:tcBorders>
            <w:shd w:val="clear" w:color="auto" w:fill="EDF5F6"/>
          </w:tcPr>
          <w:p w14:paraId="08253F53" w14:textId="77777777" w:rsidR="007C4395" w:rsidRPr="009D2E97"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9D2E97">
              <w:rPr>
                <w:rFonts w:hint="cs"/>
                <w:b/>
                <w:bCs/>
                <w:rtl/>
              </w:rPr>
              <w:t>עלייה בהכנסות</w:t>
            </w:r>
          </w:p>
        </w:tc>
        <w:tc>
          <w:tcPr>
            <w:tcW w:w="2721" w:type="dxa"/>
            <w:tcBorders>
              <w:top w:val="single" w:sz="4" w:space="0" w:color="FFFFFF" w:themeColor="background1"/>
              <w:bottom w:val="single" w:sz="4" w:space="0" w:color="FFFFFF" w:themeColor="background1"/>
            </w:tcBorders>
            <w:shd w:val="clear" w:color="auto" w:fill="EDF5F6"/>
          </w:tcPr>
          <w:p w14:paraId="17FB05A8" w14:textId="77777777" w:rsidR="007C4395" w:rsidRPr="009D2E97"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9D2E97">
              <w:rPr>
                <w:rFonts w:hint="cs"/>
                <w:b/>
                <w:bCs/>
                <w:rtl/>
              </w:rPr>
              <w:t>מס הכנסה - שכירים - יחידים</w:t>
            </w:r>
          </w:p>
        </w:tc>
        <w:tc>
          <w:tcPr>
            <w:tcW w:w="9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5F6"/>
          </w:tcPr>
          <w:p w14:paraId="1414C1D8"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100,139</w:t>
            </w:r>
          </w:p>
        </w:tc>
        <w:tc>
          <w:tcPr>
            <w:tcW w:w="9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F5F6"/>
          </w:tcPr>
          <w:p w14:paraId="7B5D3DB4"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97,341</w:t>
            </w:r>
          </w:p>
        </w:tc>
      </w:tr>
      <w:tr w:rsidR="009D2E97" w14:paraId="00880A05" w14:textId="77777777" w:rsidTr="00200533">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997" w:type="dxa"/>
            <w:vMerge/>
            <w:shd w:val="clear" w:color="auto" w:fill="EDF5F6"/>
          </w:tcPr>
          <w:p w14:paraId="1A648F6B" w14:textId="77777777" w:rsidR="007C4395" w:rsidRPr="009E6326" w:rsidRDefault="007C4395" w:rsidP="009E6326">
            <w:pPr>
              <w:pStyle w:val="71R"/>
              <w:rPr>
                <w:rtl/>
              </w:rPr>
            </w:pPr>
          </w:p>
        </w:tc>
        <w:tc>
          <w:tcPr>
            <w:tcW w:w="1709" w:type="dxa"/>
            <w:vMerge/>
            <w:tcBorders>
              <w:bottom w:val="single" w:sz="4" w:space="0" w:color="FFFFFF" w:themeColor="background1"/>
            </w:tcBorders>
            <w:shd w:val="clear" w:color="auto" w:fill="EDF5F6"/>
          </w:tcPr>
          <w:p w14:paraId="1EDECE25"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p>
        </w:tc>
        <w:tc>
          <w:tcPr>
            <w:tcW w:w="2721" w:type="dxa"/>
            <w:tcBorders>
              <w:top w:val="single" w:sz="4" w:space="0" w:color="FFFFFF" w:themeColor="background1"/>
              <w:bottom w:val="single" w:sz="4" w:space="0" w:color="FFFFFF" w:themeColor="background1"/>
            </w:tcBorders>
            <w:shd w:val="clear" w:color="auto" w:fill="DCE9EE"/>
          </w:tcPr>
          <w:p w14:paraId="649725D9" w14:textId="77777777" w:rsidR="007C4395" w:rsidRPr="009D2E97"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9D2E97">
              <w:rPr>
                <w:rFonts w:hint="cs"/>
                <w:b/>
                <w:bCs/>
                <w:rtl/>
              </w:rPr>
              <w:t>מס ערך מוסף</w:t>
            </w:r>
          </w:p>
        </w:tc>
        <w:tc>
          <w:tcPr>
            <w:tcW w:w="9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CE9EE"/>
          </w:tcPr>
          <w:p w14:paraId="1593EFD1"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57,558</w:t>
            </w:r>
          </w:p>
        </w:tc>
        <w:tc>
          <w:tcPr>
            <w:tcW w:w="9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CE9EE"/>
          </w:tcPr>
          <w:p w14:paraId="6763F3AC"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54,813</w:t>
            </w:r>
          </w:p>
        </w:tc>
      </w:tr>
    </w:tbl>
    <w:p w14:paraId="08141271" w14:textId="77777777" w:rsidR="007C4395" w:rsidRPr="00BA2FBE" w:rsidRDefault="007C4395" w:rsidP="00BA2FBE">
      <w:pPr>
        <w:pStyle w:val="71c"/>
        <w:rPr>
          <w:rtl/>
        </w:rPr>
      </w:pPr>
      <w:r w:rsidRPr="00BA2FBE">
        <w:rPr>
          <w:rFonts w:hint="eastAsia"/>
          <w:rtl/>
        </w:rPr>
        <w:t>על</w:t>
      </w:r>
      <w:r w:rsidRPr="00BA2FBE">
        <w:rPr>
          <w:rtl/>
        </w:rPr>
        <w:t xml:space="preserve"> </w:t>
      </w:r>
      <w:r w:rsidRPr="00BA2FBE">
        <w:rPr>
          <w:rFonts w:hint="eastAsia"/>
          <w:rtl/>
        </w:rPr>
        <w:t>פי</w:t>
      </w:r>
      <w:r w:rsidRPr="00BA2FBE">
        <w:rPr>
          <w:rtl/>
        </w:rPr>
        <w:t xml:space="preserve"> </w:t>
      </w:r>
      <w:r w:rsidRPr="00BA2FBE">
        <w:rPr>
          <w:rFonts w:hint="eastAsia"/>
          <w:rtl/>
        </w:rPr>
        <w:t>הדוחות</w:t>
      </w:r>
      <w:r w:rsidRPr="00BA2FBE">
        <w:rPr>
          <w:rtl/>
        </w:rPr>
        <w:t xml:space="preserve"> </w:t>
      </w:r>
      <w:r w:rsidRPr="00BA2FBE">
        <w:rPr>
          <w:rFonts w:hint="eastAsia"/>
          <w:rtl/>
        </w:rPr>
        <w:t>הכספיים</w:t>
      </w:r>
      <w:r w:rsidRPr="00BA2FBE">
        <w:rPr>
          <w:rtl/>
        </w:rPr>
        <w:t xml:space="preserve"> </w:t>
      </w:r>
      <w:r w:rsidRPr="00BA2FBE">
        <w:rPr>
          <w:rFonts w:hint="eastAsia"/>
          <w:rtl/>
        </w:rPr>
        <w:t>של</w:t>
      </w:r>
      <w:r w:rsidRPr="00BA2FBE">
        <w:rPr>
          <w:rtl/>
        </w:rPr>
        <w:t xml:space="preserve"> </w:t>
      </w:r>
      <w:r w:rsidRPr="00BA2FBE">
        <w:rPr>
          <w:rFonts w:hint="eastAsia"/>
          <w:rtl/>
        </w:rPr>
        <w:t>המדינה</w:t>
      </w:r>
      <w:r w:rsidRPr="00BA2FBE">
        <w:rPr>
          <w:rtl/>
        </w:rPr>
        <w:t xml:space="preserve"> </w:t>
      </w:r>
      <w:r w:rsidRPr="00BA2FBE">
        <w:rPr>
          <w:rFonts w:hint="eastAsia"/>
          <w:rtl/>
        </w:rPr>
        <w:t>לשנת</w:t>
      </w:r>
      <w:r w:rsidRPr="00BA2FBE">
        <w:rPr>
          <w:rtl/>
        </w:rPr>
        <w:t xml:space="preserve"> 2020, </w:t>
      </w:r>
      <w:r w:rsidRPr="00BA2FBE">
        <w:rPr>
          <w:rFonts w:hint="eastAsia"/>
          <w:rtl/>
        </w:rPr>
        <w:t>בעיבוד</w:t>
      </w:r>
      <w:r w:rsidRPr="00BA2FBE">
        <w:rPr>
          <w:rtl/>
        </w:rPr>
        <w:t xml:space="preserve"> </w:t>
      </w:r>
      <w:r w:rsidRPr="00BA2FBE">
        <w:rPr>
          <w:rFonts w:hint="eastAsia"/>
          <w:rtl/>
        </w:rPr>
        <w:t>משרד</w:t>
      </w:r>
      <w:r w:rsidRPr="00BA2FBE">
        <w:rPr>
          <w:rtl/>
        </w:rPr>
        <w:t xml:space="preserve"> </w:t>
      </w:r>
      <w:r w:rsidRPr="00BA2FBE">
        <w:rPr>
          <w:rFonts w:hint="eastAsia"/>
          <w:rtl/>
        </w:rPr>
        <w:t>מבקר</w:t>
      </w:r>
      <w:r w:rsidRPr="00BA2FBE">
        <w:rPr>
          <w:rtl/>
        </w:rPr>
        <w:t xml:space="preserve"> </w:t>
      </w:r>
      <w:r w:rsidRPr="00BA2FBE">
        <w:rPr>
          <w:rFonts w:hint="eastAsia"/>
          <w:rtl/>
        </w:rPr>
        <w:t>המדינה</w:t>
      </w:r>
      <w:r w:rsidRPr="00BA2FBE">
        <w:rPr>
          <w:rFonts w:hint="cs"/>
          <w:rtl/>
        </w:rPr>
        <w:t>.</w:t>
      </w:r>
    </w:p>
    <w:p w14:paraId="0514239D" w14:textId="77777777" w:rsidR="007C4395" w:rsidRDefault="007C4395" w:rsidP="00BA2FBE">
      <w:pPr>
        <w:pStyle w:val="714"/>
        <w:rPr>
          <w:rtl/>
        </w:rPr>
      </w:pPr>
      <w:r>
        <w:rPr>
          <w:rFonts w:hint="cs"/>
          <w:rtl/>
        </w:rPr>
        <w:t xml:space="preserve">לצורך מימון התוכנית הכלכלית גויס חוב בהיקף של כ-265 מיליארד ש"ח, מתוכו כ-191 מיליארד ש"ח בחוב מקומי (165 מיליארד ש"ח בחוב הסחיר </w:t>
      </w:r>
      <w:proofErr w:type="spellStart"/>
      <w:r>
        <w:rPr>
          <w:rFonts w:hint="cs"/>
          <w:rtl/>
        </w:rPr>
        <w:t>וכ</w:t>
      </w:r>
      <w:proofErr w:type="spellEnd"/>
      <w:r>
        <w:rPr>
          <w:rFonts w:hint="cs"/>
          <w:rtl/>
        </w:rPr>
        <w:t xml:space="preserve">-26 מיליארד ש"ח בחוב הלא סחיר) </w:t>
      </w:r>
      <w:proofErr w:type="spellStart"/>
      <w:r>
        <w:rPr>
          <w:rFonts w:hint="cs"/>
          <w:rtl/>
        </w:rPr>
        <w:t>וכ</w:t>
      </w:r>
      <w:proofErr w:type="spellEnd"/>
      <w:r>
        <w:rPr>
          <w:rFonts w:hint="cs"/>
          <w:rtl/>
        </w:rPr>
        <w:t>-74 מיליארד ש"ח בחוב חיצוני. צעד זה השפיע על הנזילות של המדינה ובא לידי ביטוי בין היתר בסעיפי מזומנים, שווי מזומנים, מלוות פנים ומלוות חוץ</w:t>
      </w:r>
      <w:r w:rsidRPr="00BA2FBE">
        <w:rPr>
          <w:vertAlign w:val="superscript"/>
          <w:rtl/>
        </w:rPr>
        <w:footnoteReference w:id="20"/>
      </w:r>
      <w:r>
        <w:rPr>
          <w:rFonts w:hint="cs"/>
          <w:rtl/>
        </w:rPr>
        <w:t>.</w:t>
      </w:r>
    </w:p>
    <w:p w14:paraId="70A6F81A" w14:textId="77777777" w:rsidR="007C4395" w:rsidRDefault="007C4395" w:rsidP="00BA2FBE">
      <w:pPr>
        <w:pStyle w:val="714"/>
        <w:rPr>
          <w:rtl/>
        </w:rPr>
      </w:pPr>
      <w:r>
        <w:rPr>
          <w:rFonts w:hint="cs"/>
          <w:rtl/>
        </w:rPr>
        <w:t>מהדוחות הכספיים של כמה מהישויות המאוחדות בדוחות הכספיים של הממשלה עולה כי נבחנו גיוסי אשראי לצורך התמודדות עם המשבר. גיוסים אלו באים לידי ביטוי בסעיפים מזומנים ושווי מזומנים ופיקדונות והשקעות לזמן קצר.</w:t>
      </w:r>
    </w:p>
    <w:p w14:paraId="5088F4E1" w14:textId="2D2707DB" w:rsidR="007C4395" w:rsidRDefault="007C4395" w:rsidP="00BA2FBE">
      <w:pPr>
        <w:pStyle w:val="714"/>
        <w:rPr>
          <w:rtl/>
        </w:rPr>
      </w:pPr>
      <w:r>
        <w:rPr>
          <w:rFonts w:hint="cs"/>
          <w:rtl/>
        </w:rPr>
        <w:t>מתן תוכניות סיוע מיוחדות למגזר הפרטי במטרה לסייע לעסקים לצלוח את מצוקת הנזילות שחוו, כדוגמת קרנות לעסקים במסלולים שונים, שבאות לידי ביטוי בסעיפים ערבויות המדינה וקרנות הון ממשלתיות חוץ תקציביות</w:t>
      </w:r>
      <w:r w:rsidRPr="00BA2FBE">
        <w:rPr>
          <w:vertAlign w:val="superscript"/>
          <w:rtl/>
        </w:rPr>
        <w:footnoteReference w:id="21"/>
      </w:r>
      <w:r>
        <w:rPr>
          <w:rFonts w:hint="cs"/>
          <w:rtl/>
        </w:rPr>
        <w:t xml:space="preserve">. כך לדוגמה עמד הגידול במסגרת הערבויות שהעמידה המדינה מ-14.8 מיליארד ש"ח בתום שנת 2019 </w:t>
      </w:r>
      <w:proofErr w:type="spellStart"/>
      <w:r>
        <w:rPr>
          <w:rFonts w:hint="cs"/>
          <w:rtl/>
        </w:rPr>
        <w:t>לכ</w:t>
      </w:r>
      <w:proofErr w:type="spellEnd"/>
      <w:r>
        <w:rPr>
          <w:rFonts w:hint="cs"/>
          <w:rtl/>
        </w:rPr>
        <w:t xml:space="preserve">-22 מיליארד ש"ח בתום שנת 2020. גידול זה נבע בעיקרו מערבויות שניתנו כדי לסייע לעסקים להתמודד עם הקורונה באמצעות שתי </w:t>
      </w:r>
      <w:proofErr w:type="spellStart"/>
      <w:r>
        <w:rPr>
          <w:rFonts w:hint="cs"/>
          <w:rtl/>
        </w:rPr>
        <w:t>תכניות</w:t>
      </w:r>
      <w:proofErr w:type="spellEnd"/>
      <w:r>
        <w:rPr>
          <w:rFonts w:hint="cs"/>
          <w:rtl/>
        </w:rPr>
        <w:t xml:space="preserve"> סיוע מיוחדות: תוכנית </w:t>
      </w:r>
      <w:r>
        <w:t>Top-Up</w:t>
      </w:r>
      <w:r>
        <w:rPr>
          <w:rFonts w:hint="cs"/>
          <w:rtl/>
        </w:rPr>
        <w:t xml:space="preserve"> (קורונה) לביטוח אשראי ספקים לטווח קצר בסכום מסגרת של כ-2.7 מיליארד ש"ח וקרן להלוואות בערבות מדינה </w:t>
      </w:r>
      <w:r>
        <w:rPr>
          <w:rFonts w:hint="cs"/>
          <w:rtl/>
        </w:rPr>
        <w:lastRenderedPageBreak/>
        <w:t xml:space="preserve">לעסקים להתמודדות עם קשיים </w:t>
      </w:r>
      <w:proofErr w:type="spellStart"/>
      <w:r>
        <w:rPr>
          <w:rFonts w:hint="cs"/>
          <w:rtl/>
        </w:rPr>
        <w:t>תזרימיים</w:t>
      </w:r>
      <w:proofErr w:type="spellEnd"/>
      <w:r>
        <w:rPr>
          <w:rFonts w:hint="cs"/>
          <w:rtl/>
        </w:rPr>
        <w:t xml:space="preserve"> שנובעים מהתפשטות נגיף הקורונה בסכום מסגרת של כ-5.8 מיליארד ש"ח. הגידול במסגרת הערבויות קוזז בעיקר על ידי ירידה במסגרת ערבויות סחר חוץ שניתנו לחברת "</w:t>
      </w:r>
      <w:proofErr w:type="spellStart"/>
      <w:r>
        <w:rPr>
          <w:rFonts w:hint="cs"/>
          <w:rtl/>
        </w:rPr>
        <w:t>אשרא</w:t>
      </w:r>
      <w:proofErr w:type="spellEnd"/>
      <w:r>
        <w:rPr>
          <w:rFonts w:hint="cs"/>
          <w:rtl/>
        </w:rPr>
        <w:t xml:space="preserve"> - החברה הישראלית לביטוח סיכוני סחר חוץ בע"מ" מסכום של כ-12.1 מיליארד ש"ח בשנת 2019 לסכום של כ-11.3 מיליארד ש"ח בשנת 2020.</w:t>
      </w:r>
    </w:p>
    <w:p w14:paraId="31274A42" w14:textId="77777777" w:rsidR="007C4395" w:rsidRDefault="007C4395" w:rsidP="00BA2FBE">
      <w:pPr>
        <w:pStyle w:val="714"/>
        <w:rPr>
          <w:rtl/>
        </w:rPr>
      </w:pPr>
      <w:r>
        <w:rPr>
          <w:rFonts w:hint="cs"/>
          <w:rtl/>
        </w:rPr>
        <w:t>מתן הקלות בפירעון תשלומי משכנתאות ללווים</w:t>
      </w:r>
      <w:r w:rsidRPr="0098222D">
        <w:rPr>
          <w:vertAlign w:val="superscript"/>
          <w:rtl/>
        </w:rPr>
        <w:footnoteReference w:id="22"/>
      </w:r>
      <w:r>
        <w:rPr>
          <w:rFonts w:hint="cs"/>
          <w:rtl/>
        </w:rPr>
        <w:t>. בכמה מהישויות הממשלתיות נמנעו מפעולות גבייה אקטיביות של חובות, דבר אשר השפיע ישירות על רישום יתרת ההלוואות ובא לידי ביטוי בסעיף הלוואות לזמן ארוך.</w:t>
      </w:r>
    </w:p>
    <w:p w14:paraId="4B589CBE" w14:textId="77777777" w:rsidR="007C4395" w:rsidRDefault="007C4395" w:rsidP="00BA2FBE">
      <w:pPr>
        <w:pStyle w:val="714"/>
      </w:pPr>
      <w:r>
        <w:rPr>
          <w:rFonts w:hint="cs"/>
          <w:rtl/>
        </w:rPr>
        <w:t>מרבית ההוצאה התקציבית בגין התוכנית הכלכלית קיבלה ביטוי בסעיפי הוצאות של תמיכות, הקצבות והעברות, והיא כוללת העברות שונות שביצעה הממשלה - הן באמצעות משרדי הממשלה השונים והן באמצעות המוסד לביטוח לאומי - במתווה של מענקים, תמיכות, העברות שונות, תשלומי קצבאות וסיוע לקופות החולים, כדוגמת תשלומי אבטלה וחל"ת, תמיכות בנושא חינוך, תמיכות לרשויות מקומיות, תמיכות בנושא רווחה ותמיכות לתעשייה.</w:t>
      </w:r>
    </w:p>
    <w:p w14:paraId="21820BE7" w14:textId="77777777" w:rsidR="007C4395" w:rsidRDefault="007C4395" w:rsidP="0098222D">
      <w:pPr>
        <w:pStyle w:val="714"/>
        <w:numPr>
          <w:ilvl w:val="0"/>
          <w:numId w:val="0"/>
        </w:numPr>
        <w:ind w:left="397"/>
        <w:rPr>
          <w:rtl/>
        </w:rPr>
      </w:pPr>
      <w:r>
        <w:rPr>
          <w:rFonts w:hint="cs"/>
          <w:rtl/>
        </w:rPr>
        <w:t>להלן פירוט הגידול בסעיפים נבחרים בסעיף תמיכות, הקצבות והעברות בהשוואה של שנת 2019 לשנת 2020 בהם חל גידול משמעותי בהוצאה בשל משבר הקורונה:</w:t>
      </w:r>
    </w:p>
    <w:p w14:paraId="150F5F75" w14:textId="77777777" w:rsidR="007C4395" w:rsidRPr="00BA2FBE" w:rsidRDefault="007C4395" w:rsidP="00BA2FBE">
      <w:pPr>
        <w:pStyle w:val="71a"/>
        <w:rPr>
          <w:rtl/>
        </w:rPr>
      </w:pPr>
      <w:r w:rsidRPr="00BA2FBE">
        <w:rPr>
          <w:rFonts w:hint="cs"/>
          <w:b w:val="0"/>
          <w:bCs w:val="0"/>
          <w:rtl/>
        </w:rPr>
        <w:t>לוח 4:</w:t>
      </w:r>
      <w:r w:rsidRPr="00BA2FBE">
        <w:rPr>
          <w:rFonts w:hint="cs"/>
          <w:rtl/>
        </w:rPr>
        <w:t xml:space="preserve"> סעיפים נבחרים בסעיף תמיכות, הקצבות והעברות בשנים 2019 - 2020 (במיליוני ש"ח)</w:t>
      </w:r>
    </w:p>
    <w:tbl>
      <w:tblPr>
        <w:tblStyle w:val="5-1"/>
        <w:bidiVisual/>
        <w:tblW w:w="5000" w:type="pct"/>
        <w:jc w:val="right"/>
        <w:tblBorders>
          <w:top w:val="none" w:sz="0" w:space="0" w:color="auto"/>
          <w:left w:val="single" w:sz="4" w:space="0" w:color="auto"/>
          <w:bottom w:val="none" w:sz="0" w:space="0" w:color="auto"/>
          <w:right w:val="single" w:sz="4" w:space="0" w:color="auto"/>
          <w:insideH w:val="none" w:sz="0" w:space="0" w:color="auto"/>
          <w:insideV w:val="single" w:sz="4" w:space="0" w:color="auto"/>
        </w:tblBorders>
        <w:tblLook w:val="04A0" w:firstRow="1" w:lastRow="0" w:firstColumn="1" w:lastColumn="0" w:noHBand="0" w:noVBand="1"/>
      </w:tblPr>
      <w:tblGrid>
        <w:gridCol w:w="963"/>
        <w:gridCol w:w="930"/>
        <w:gridCol w:w="927"/>
        <w:gridCol w:w="808"/>
        <w:gridCol w:w="3732"/>
      </w:tblGrid>
      <w:tr w:rsidR="009E6326" w14:paraId="0F67D128" w14:textId="77777777" w:rsidTr="00200533">
        <w:trPr>
          <w:cnfStyle w:val="100000000000" w:firstRow="1" w:lastRow="0" w:firstColumn="0" w:lastColumn="0" w:oddVBand="0" w:evenVBand="0" w:oddHBand="0" w:evenHBand="0" w:firstRowFirstColumn="0" w:firstRowLastColumn="0" w:lastRowFirstColumn="0" w:lastRowLastColumn="0"/>
          <w:trHeight w:val="307"/>
          <w:tblHeader/>
          <w:jc w:val="right"/>
        </w:trPr>
        <w:tc>
          <w:tcPr>
            <w:cnfStyle w:val="001000000000" w:firstRow="0" w:lastRow="0" w:firstColumn="1" w:lastColumn="0" w:oddVBand="0" w:evenVBand="0" w:oddHBand="0" w:evenHBand="0" w:firstRowFirstColumn="0" w:firstRowLastColumn="0" w:lastRowFirstColumn="0" w:lastRowLastColumn="0"/>
            <w:tcW w:w="656" w:type="pct"/>
            <w:tcBorders>
              <w:top w:val="none" w:sz="0" w:space="0" w:color="auto"/>
              <w:left w:val="none" w:sz="0" w:space="0" w:color="auto"/>
              <w:right w:val="none" w:sz="0" w:space="0" w:color="auto"/>
            </w:tcBorders>
            <w:shd w:val="clear" w:color="auto" w:fill="B6CBD4"/>
          </w:tcPr>
          <w:p w14:paraId="09CDCA5F" w14:textId="77777777" w:rsidR="007C4395" w:rsidRDefault="007C4395" w:rsidP="008E20EA">
            <w:pPr>
              <w:spacing w:line="269" w:lineRule="auto"/>
              <w:rPr>
                <w:color w:val="000000" w:themeColor="text1"/>
                <w:sz w:val="22"/>
                <w:szCs w:val="22"/>
                <w:rtl/>
              </w:rPr>
            </w:pPr>
          </w:p>
        </w:tc>
        <w:tc>
          <w:tcPr>
            <w:tcW w:w="624" w:type="pct"/>
            <w:tcBorders>
              <w:top w:val="none" w:sz="0" w:space="0" w:color="auto"/>
              <w:left w:val="none" w:sz="0" w:space="0" w:color="auto"/>
              <w:right w:val="none" w:sz="0" w:space="0" w:color="auto"/>
            </w:tcBorders>
            <w:shd w:val="clear" w:color="auto" w:fill="B6CBD4"/>
          </w:tcPr>
          <w:p w14:paraId="36D96133" w14:textId="77777777" w:rsidR="007C4395" w:rsidRPr="00DA7163" w:rsidRDefault="007C4395" w:rsidP="008E20EA">
            <w:pPr>
              <w:spacing w:line="269" w:lineRule="auto"/>
              <w:cnfStyle w:val="100000000000" w:firstRow="1" w:lastRow="0" w:firstColumn="0" w:lastColumn="0" w:oddVBand="0" w:evenVBand="0" w:oddHBand="0" w:evenHBand="0" w:firstRowFirstColumn="0" w:firstRowLastColumn="0" w:lastRowFirstColumn="0" w:lastRowLastColumn="0"/>
              <w:rPr>
                <w:color w:val="000000" w:themeColor="text1"/>
                <w:sz w:val="22"/>
                <w:szCs w:val="22"/>
                <w:rtl/>
              </w:rPr>
            </w:pPr>
          </w:p>
        </w:tc>
        <w:tc>
          <w:tcPr>
            <w:tcW w:w="632" w:type="pct"/>
            <w:tcBorders>
              <w:top w:val="none" w:sz="0" w:space="0" w:color="auto"/>
              <w:left w:val="none" w:sz="0" w:space="0" w:color="auto"/>
              <w:right w:val="none" w:sz="0" w:space="0" w:color="auto"/>
            </w:tcBorders>
            <w:shd w:val="clear" w:color="auto" w:fill="B6CBD4"/>
          </w:tcPr>
          <w:p w14:paraId="4C72AE54" w14:textId="77777777" w:rsidR="007C4395" w:rsidRPr="009E6326" w:rsidRDefault="007C4395" w:rsidP="009E6326">
            <w:pPr>
              <w:pStyle w:val="71B0"/>
              <w:cnfStyle w:val="100000000000" w:firstRow="1" w:lastRow="0" w:firstColumn="0" w:lastColumn="0" w:oddVBand="0" w:evenVBand="0" w:oddHBand="0" w:evenHBand="0" w:firstRowFirstColumn="0" w:firstRowLastColumn="0" w:lastRowFirstColumn="0" w:lastRowLastColumn="0"/>
              <w:rPr>
                <w:b/>
                <w:bCs/>
                <w:rtl/>
              </w:rPr>
            </w:pPr>
            <w:r w:rsidRPr="009E6326">
              <w:rPr>
                <w:rFonts w:hint="cs"/>
                <w:b/>
                <w:bCs/>
                <w:rtl/>
              </w:rPr>
              <w:t>2020</w:t>
            </w:r>
          </w:p>
        </w:tc>
        <w:tc>
          <w:tcPr>
            <w:tcW w:w="551" w:type="pct"/>
            <w:tcBorders>
              <w:top w:val="none" w:sz="0" w:space="0" w:color="auto"/>
              <w:left w:val="none" w:sz="0" w:space="0" w:color="auto"/>
              <w:right w:val="none" w:sz="0" w:space="0" w:color="auto"/>
            </w:tcBorders>
            <w:shd w:val="clear" w:color="auto" w:fill="B6CBD4"/>
          </w:tcPr>
          <w:p w14:paraId="6696AD52" w14:textId="77777777" w:rsidR="007C4395" w:rsidRPr="009E6326" w:rsidRDefault="007C4395" w:rsidP="009E6326">
            <w:pPr>
              <w:pStyle w:val="71B0"/>
              <w:cnfStyle w:val="100000000000" w:firstRow="1" w:lastRow="0" w:firstColumn="0" w:lastColumn="0" w:oddVBand="0" w:evenVBand="0" w:oddHBand="0" w:evenHBand="0" w:firstRowFirstColumn="0" w:firstRowLastColumn="0" w:lastRowFirstColumn="0" w:lastRowLastColumn="0"/>
              <w:rPr>
                <w:b/>
                <w:bCs/>
                <w:rtl/>
              </w:rPr>
            </w:pPr>
            <w:r w:rsidRPr="009E6326">
              <w:rPr>
                <w:rFonts w:hint="cs"/>
                <w:b/>
                <w:bCs/>
                <w:rtl/>
              </w:rPr>
              <w:t>2019</w:t>
            </w:r>
          </w:p>
        </w:tc>
        <w:tc>
          <w:tcPr>
            <w:tcW w:w="2537" w:type="pct"/>
            <w:tcBorders>
              <w:top w:val="none" w:sz="0" w:space="0" w:color="auto"/>
              <w:left w:val="none" w:sz="0" w:space="0" w:color="auto"/>
              <w:right w:val="none" w:sz="0" w:space="0" w:color="auto"/>
            </w:tcBorders>
            <w:shd w:val="clear" w:color="auto" w:fill="B6CBD4"/>
          </w:tcPr>
          <w:p w14:paraId="3D8416B4" w14:textId="77777777" w:rsidR="007C4395" w:rsidRPr="009E6326" w:rsidRDefault="007C4395" w:rsidP="009E6326">
            <w:pPr>
              <w:pStyle w:val="71B0"/>
              <w:cnfStyle w:val="100000000000" w:firstRow="1" w:lastRow="0" w:firstColumn="0" w:lastColumn="0" w:oddVBand="0" w:evenVBand="0" w:oddHBand="0" w:evenHBand="0" w:firstRowFirstColumn="0" w:firstRowLastColumn="0" w:lastRowFirstColumn="0" w:lastRowLastColumn="0"/>
              <w:rPr>
                <w:b/>
                <w:bCs/>
                <w:rtl/>
              </w:rPr>
            </w:pPr>
            <w:r w:rsidRPr="009E6326">
              <w:rPr>
                <w:rFonts w:hint="cs"/>
                <w:b/>
                <w:bCs/>
                <w:rtl/>
              </w:rPr>
              <w:t>הסבר לגידול</w:t>
            </w:r>
          </w:p>
        </w:tc>
      </w:tr>
      <w:tr w:rsidR="009E6326" w:rsidRPr="009E6326" w14:paraId="438E6698" w14:textId="77777777" w:rsidTr="00200533">
        <w:trPr>
          <w:cnfStyle w:val="000000100000" w:firstRow="0" w:lastRow="0" w:firstColumn="0" w:lastColumn="0" w:oddVBand="0" w:evenVBand="0" w:oddHBand="1" w:evenHBand="0" w:firstRowFirstColumn="0" w:firstRowLastColumn="0" w:lastRowFirstColumn="0" w:lastRowLastColumn="0"/>
          <w:trHeight w:val="307"/>
          <w:jc w:val="right"/>
        </w:trPr>
        <w:tc>
          <w:tcPr>
            <w:cnfStyle w:val="001000000000" w:firstRow="0" w:lastRow="0" w:firstColumn="1" w:lastColumn="0" w:oddVBand="0" w:evenVBand="0" w:oddHBand="0" w:evenHBand="0" w:firstRowFirstColumn="0" w:firstRowLastColumn="0" w:lastRowFirstColumn="0" w:lastRowLastColumn="0"/>
            <w:tcW w:w="656" w:type="pct"/>
            <w:vMerge w:val="restart"/>
            <w:tcBorders>
              <w:left w:val="none" w:sz="0" w:space="0" w:color="auto"/>
            </w:tcBorders>
            <w:shd w:val="clear" w:color="auto" w:fill="C8DCE4"/>
          </w:tcPr>
          <w:p w14:paraId="1CCFB63D" w14:textId="77777777" w:rsidR="007C4395" w:rsidRPr="009E6326" w:rsidRDefault="007C4395" w:rsidP="009E6326">
            <w:pPr>
              <w:pStyle w:val="71R"/>
              <w:rPr>
                <w:rtl/>
              </w:rPr>
            </w:pPr>
            <w:r w:rsidRPr="009E6326">
              <w:rPr>
                <w:rFonts w:hint="cs"/>
                <w:rtl/>
              </w:rPr>
              <w:t>גמלאות המוסד לביטוח לאומי</w:t>
            </w:r>
          </w:p>
        </w:tc>
        <w:tc>
          <w:tcPr>
            <w:tcW w:w="624" w:type="pct"/>
            <w:shd w:val="clear" w:color="auto" w:fill="DDEAEE"/>
          </w:tcPr>
          <w:p w14:paraId="678EF94E" w14:textId="77777777" w:rsidR="007C4395" w:rsidRPr="00B62766"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B62766">
              <w:rPr>
                <w:rFonts w:hint="cs"/>
                <w:b/>
                <w:bCs/>
                <w:rtl/>
              </w:rPr>
              <w:t>אבטלה</w:t>
            </w:r>
          </w:p>
        </w:tc>
        <w:tc>
          <w:tcPr>
            <w:tcW w:w="632" w:type="pct"/>
            <w:shd w:val="clear" w:color="auto" w:fill="DDEAEE"/>
          </w:tcPr>
          <w:p w14:paraId="72FF198C"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23,940</w:t>
            </w:r>
          </w:p>
        </w:tc>
        <w:tc>
          <w:tcPr>
            <w:tcW w:w="551" w:type="pct"/>
            <w:shd w:val="clear" w:color="auto" w:fill="DDEAEE"/>
          </w:tcPr>
          <w:p w14:paraId="3F84057F"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3,872</w:t>
            </w:r>
          </w:p>
        </w:tc>
        <w:tc>
          <w:tcPr>
            <w:tcW w:w="2537" w:type="pct"/>
            <w:shd w:val="clear" w:color="auto" w:fill="DDEAEE"/>
          </w:tcPr>
          <w:p w14:paraId="46D3B9DE"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tl/>
              </w:rPr>
              <w:t>בהתאם לשינויי חקיקה שבוצעו במהלך שנת 2020 הורחב</w:t>
            </w:r>
            <w:r w:rsidRPr="009E6326">
              <w:rPr>
                <w:rFonts w:hint="cs"/>
                <w:rtl/>
              </w:rPr>
              <w:t>ו</w:t>
            </w:r>
            <w:r w:rsidRPr="009E6326">
              <w:rPr>
                <w:rtl/>
              </w:rPr>
              <w:t xml:space="preserve"> באופן זמני </w:t>
            </w:r>
            <w:r w:rsidRPr="009E6326">
              <w:rPr>
                <w:rFonts w:hint="cs"/>
                <w:rtl/>
              </w:rPr>
              <w:t>תנאי ה</w:t>
            </w:r>
            <w:r w:rsidRPr="009E6326">
              <w:rPr>
                <w:rtl/>
              </w:rPr>
              <w:t>זכאות לדמי אבטלה המשולמים על ידי המוסד ביטוח לאומי.</w:t>
            </w:r>
          </w:p>
        </w:tc>
      </w:tr>
      <w:tr w:rsidR="009E6326" w:rsidRPr="009E6326" w14:paraId="7E2B26D6" w14:textId="77777777" w:rsidTr="00200533">
        <w:trPr>
          <w:trHeight w:val="307"/>
          <w:jc w:val="right"/>
        </w:trPr>
        <w:tc>
          <w:tcPr>
            <w:cnfStyle w:val="001000000000" w:firstRow="0" w:lastRow="0" w:firstColumn="1" w:lastColumn="0" w:oddVBand="0" w:evenVBand="0" w:oddHBand="0" w:evenHBand="0" w:firstRowFirstColumn="0" w:firstRowLastColumn="0" w:lastRowFirstColumn="0" w:lastRowLastColumn="0"/>
            <w:tcW w:w="656" w:type="pct"/>
            <w:vMerge/>
            <w:tcBorders>
              <w:left w:val="none" w:sz="0" w:space="0" w:color="auto"/>
            </w:tcBorders>
            <w:shd w:val="clear" w:color="auto" w:fill="C8DCE4"/>
          </w:tcPr>
          <w:p w14:paraId="4902B31B" w14:textId="77777777" w:rsidR="007C4395" w:rsidRPr="009E6326" w:rsidRDefault="007C4395" w:rsidP="009E6326">
            <w:pPr>
              <w:pStyle w:val="71R"/>
              <w:rPr>
                <w:rtl/>
              </w:rPr>
            </w:pPr>
          </w:p>
        </w:tc>
        <w:tc>
          <w:tcPr>
            <w:tcW w:w="624" w:type="pct"/>
            <w:shd w:val="clear" w:color="auto" w:fill="EEF6F7"/>
          </w:tcPr>
          <w:p w14:paraId="079DDD24" w14:textId="77777777" w:rsidR="007C4395" w:rsidRPr="00B62766"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B62766">
              <w:rPr>
                <w:rFonts w:hint="cs"/>
                <w:b/>
                <w:bCs/>
                <w:rtl/>
              </w:rPr>
              <w:t>הקצבות בגין חוקים והסכמים שונים</w:t>
            </w:r>
          </w:p>
        </w:tc>
        <w:tc>
          <w:tcPr>
            <w:tcW w:w="632" w:type="pct"/>
            <w:shd w:val="clear" w:color="auto" w:fill="EEF6F7"/>
          </w:tcPr>
          <w:p w14:paraId="4E3968BF"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22,233</w:t>
            </w:r>
          </w:p>
        </w:tc>
        <w:tc>
          <w:tcPr>
            <w:tcW w:w="551" w:type="pct"/>
            <w:shd w:val="clear" w:color="auto" w:fill="EEF6F7"/>
          </w:tcPr>
          <w:p w14:paraId="0B7449D9"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10,322</w:t>
            </w:r>
          </w:p>
        </w:tc>
        <w:tc>
          <w:tcPr>
            <w:tcW w:w="2537" w:type="pct"/>
            <w:shd w:val="clear" w:color="auto" w:fill="EEF6F7"/>
          </w:tcPr>
          <w:p w14:paraId="0741B0E0"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tl/>
              </w:rPr>
              <w:t>הגידול בסעיף זה נובע בעיקרו מתשלום מענק לכל אזרח ומענק חד פעמי (פסח) ששולמו במסגרת הת</w:t>
            </w:r>
            <w:r w:rsidRPr="009E6326">
              <w:rPr>
                <w:rFonts w:hint="cs"/>
                <w:rtl/>
              </w:rPr>
              <w:t>ו</w:t>
            </w:r>
            <w:r w:rsidRPr="009E6326">
              <w:rPr>
                <w:rtl/>
              </w:rPr>
              <w:t>כנית הכלכלית.</w:t>
            </w:r>
          </w:p>
        </w:tc>
      </w:tr>
      <w:tr w:rsidR="00200533" w:rsidRPr="009E6326" w14:paraId="4CF72B57" w14:textId="77777777" w:rsidTr="00200533">
        <w:trPr>
          <w:cnfStyle w:val="000000100000" w:firstRow="0" w:lastRow="0" w:firstColumn="0" w:lastColumn="0" w:oddVBand="0" w:evenVBand="0" w:oddHBand="1" w:evenHBand="0" w:firstRowFirstColumn="0" w:firstRowLastColumn="0" w:lastRowFirstColumn="0" w:lastRowLastColumn="0"/>
          <w:trHeight w:val="307"/>
          <w:jc w:val="right"/>
        </w:trPr>
        <w:tc>
          <w:tcPr>
            <w:cnfStyle w:val="001000000000" w:firstRow="0" w:lastRow="0" w:firstColumn="1" w:lastColumn="0" w:oddVBand="0" w:evenVBand="0" w:oddHBand="0" w:evenHBand="0" w:firstRowFirstColumn="0" w:firstRowLastColumn="0" w:lastRowFirstColumn="0" w:lastRowLastColumn="0"/>
            <w:tcW w:w="1280" w:type="pct"/>
            <w:gridSpan w:val="2"/>
            <w:tcBorders>
              <w:left w:val="none" w:sz="0" w:space="0" w:color="auto"/>
            </w:tcBorders>
            <w:shd w:val="clear" w:color="auto" w:fill="DDEAEE"/>
          </w:tcPr>
          <w:p w14:paraId="587DD90D" w14:textId="7EB44CBB" w:rsidR="007C4395" w:rsidRPr="009E6326" w:rsidRDefault="007C4395" w:rsidP="009E6326">
            <w:pPr>
              <w:pStyle w:val="71R"/>
              <w:rPr>
                <w:rtl/>
              </w:rPr>
            </w:pPr>
            <w:r w:rsidRPr="009E6326">
              <w:rPr>
                <w:rFonts w:hint="cs"/>
                <w:rtl/>
              </w:rPr>
              <w:t>העברות חד</w:t>
            </w:r>
            <w:r w:rsidR="005138DE">
              <w:rPr>
                <w:rFonts w:hint="cs"/>
                <w:rtl/>
              </w:rPr>
              <w:t>-</w:t>
            </w:r>
            <w:r w:rsidRPr="009E6326">
              <w:rPr>
                <w:rFonts w:hint="cs"/>
                <w:rtl/>
              </w:rPr>
              <w:t>צדדיות מכוח חוקים ותקנות</w:t>
            </w:r>
          </w:p>
        </w:tc>
        <w:tc>
          <w:tcPr>
            <w:tcW w:w="632" w:type="pct"/>
            <w:shd w:val="clear" w:color="auto" w:fill="DDEAEE"/>
          </w:tcPr>
          <w:p w14:paraId="6EFCA48E"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26,661</w:t>
            </w:r>
          </w:p>
        </w:tc>
        <w:tc>
          <w:tcPr>
            <w:tcW w:w="551" w:type="pct"/>
            <w:shd w:val="clear" w:color="auto" w:fill="DDEAEE"/>
          </w:tcPr>
          <w:p w14:paraId="6D41DDCF"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2,723</w:t>
            </w:r>
          </w:p>
        </w:tc>
        <w:tc>
          <w:tcPr>
            <w:tcW w:w="2537" w:type="pct"/>
            <w:shd w:val="clear" w:color="auto" w:fill="DDEAEE"/>
          </w:tcPr>
          <w:p w14:paraId="12E742B7"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tl/>
              </w:rPr>
              <w:t>מתוכם כ-23.8 מיליארד ש"ח מענקי קורונה מרשות המ</w:t>
            </w:r>
            <w:r w:rsidRPr="009E6326">
              <w:rPr>
                <w:rFonts w:hint="cs"/>
                <w:rtl/>
              </w:rPr>
              <w:t>י</w:t>
            </w:r>
            <w:r w:rsidRPr="009E6326">
              <w:rPr>
                <w:rtl/>
              </w:rPr>
              <w:t>סים.</w:t>
            </w:r>
          </w:p>
        </w:tc>
      </w:tr>
      <w:tr w:rsidR="00200533" w:rsidRPr="009E6326" w14:paraId="0B618B1E" w14:textId="77777777" w:rsidTr="00200533">
        <w:trPr>
          <w:trHeight w:val="307"/>
          <w:jc w:val="right"/>
        </w:trPr>
        <w:tc>
          <w:tcPr>
            <w:cnfStyle w:val="001000000000" w:firstRow="0" w:lastRow="0" w:firstColumn="1" w:lastColumn="0" w:oddVBand="0" w:evenVBand="0" w:oddHBand="0" w:evenHBand="0" w:firstRowFirstColumn="0" w:firstRowLastColumn="0" w:lastRowFirstColumn="0" w:lastRowLastColumn="0"/>
            <w:tcW w:w="1280" w:type="pct"/>
            <w:gridSpan w:val="2"/>
            <w:tcBorders>
              <w:left w:val="none" w:sz="0" w:space="0" w:color="auto"/>
              <w:bottom w:val="none" w:sz="0" w:space="0" w:color="auto"/>
            </w:tcBorders>
            <w:shd w:val="clear" w:color="auto" w:fill="EEF6F7"/>
          </w:tcPr>
          <w:p w14:paraId="41467FAC" w14:textId="77777777" w:rsidR="007C4395" w:rsidRPr="009E6326" w:rsidRDefault="007C4395" w:rsidP="009E6326">
            <w:pPr>
              <w:pStyle w:val="71R"/>
              <w:rPr>
                <w:rtl/>
              </w:rPr>
            </w:pPr>
            <w:r w:rsidRPr="009E6326">
              <w:rPr>
                <w:rFonts w:hint="cs"/>
                <w:rtl/>
              </w:rPr>
              <w:t>מטרות תשתיות</w:t>
            </w:r>
          </w:p>
        </w:tc>
        <w:tc>
          <w:tcPr>
            <w:tcW w:w="632" w:type="pct"/>
            <w:shd w:val="clear" w:color="auto" w:fill="EEF6F7"/>
          </w:tcPr>
          <w:p w14:paraId="489CC5DF"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7,511</w:t>
            </w:r>
          </w:p>
        </w:tc>
        <w:tc>
          <w:tcPr>
            <w:tcW w:w="551" w:type="pct"/>
            <w:shd w:val="clear" w:color="auto" w:fill="EEF6F7"/>
          </w:tcPr>
          <w:p w14:paraId="415FD46D"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3,688</w:t>
            </w:r>
          </w:p>
        </w:tc>
        <w:tc>
          <w:tcPr>
            <w:tcW w:w="2537" w:type="pct"/>
            <w:shd w:val="clear" w:color="auto" w:fill="EEF6F7"/>
          </w:tcPr>
          <w:p w14:paraId="14654054"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tl/>
              </w:rPr>
              <w:t xml:space="preserve">עיקר הגידול </w:t>
            </w:r>
            <w:r w:rsidRPr="009E6326">
              <w:rPr>
                <w:rFonts w:hint="cs"/>
                <w:rtl/>
              </w:rPr>
              <w:t>נובע</w:t>
            </w:r>
            <w:r w:rsidRPr="009E6326">
              <w:rPr>
                <w:rtl/>
              </w:rPr>
              <w:t xml:space="preserve"> מסיוע של משרד הפנים בתשתי</w:t>
            </w:r>
            <w:r w:rsidRPr="009E6326">
              <w:rPr>
                <w:rFonts w:hint="cs"/>
                <w:rtl/>
              </w:rPr>
              <w:t>ו</w:t>
            </w:r>
            <w:r w:rsidRPr="009E6326">
              <w:rPr>
                <w:rtl/>
              </w:rPr>
              <w:t>ת הרשויות המקומיות אשר מומנו במסגרת הת</w:t>
            </w:r>
            <w:r w:rsidRPr="009E6326">
              <w:rPr>
                <w:rFonts w:hint="cs"/>
                <w:rtl/>
              </w:rPr>
              <w:t>ו</w:t>
            </w:r>
            <w:r w:rsidRPr="009E6326">
              <w:rPr>
                <w:rtl/>
              </w:rPr>
              <w:t>כנית הכלכלית.</w:t>
            </w:r>
          </w:p>
        </w:tc>
      </w:tr>
    </w:tbl>
    <w:p w14:paraId="3822C502" w14:textId="4A3AFEB2" w:rsidR="007C4395" w:rsidRPr="00BA2FBE" w:rsidRDefault="007C4395" w:rsidP="00BA2FBE">
      <w:pPr>
        <w:pStyle w:val="71c"/>
        <w:ind w:left="397"/>
        <w:rPr>
          <w:rtl/>
        </w:rPr>
      </w:pPr>
      <w:r w:rsidRPr="00BA2FBE">
        <w:rPr>
          <w:rFonts w:hint="cs"/>
          <w:rtl/>
        </w:rPr>
        <w:lastRenderedPageBreak/>
        <w:t>על פי הדוחות הכספיים של המדינה לשנת 2020, בעיבוד משרד מבקר המדינה.</w:t>
      </w:r>
    </w:p>
    <w:p w14:paraId="18B6109B" w14:textId="77777777" w:rsidR="007C4395" w:rsidRPr="0098222D" w:rsidRDefault="007C4395" w:rsidP="0098222D">
      <w:pPr>
        <w:pStyle w:val="71e"/>
        <w:pBdr>
          <w:top w:val="single" w:sz="18" w:space="4" w:color="CEEAF5"/>
          <w:left w:val="single" w:sz="18" w:space="11" w:color="CEEAF5"/>
          <w:bottom w:val="single" w:sz="18" w:space="6" w:color="CEEAF5"/>
          <w:right w:val="single" w:sz="18" w:space="11" w:color="CEEAF5"/>
        </w:pBdr>
        <w:shd w:val="solid" w:color="CEEAF5" w:fill="auto"/>
        <w:ind w:left="680"/>
        <w:rPr>
          <w:rtl/>
        </w:rPr>
      </w:pPr>
      <w:r w:rsidRPr="0098222D">
        <w:rPr>
          <w:rFonts w:hint="cs"/>
          <w:rtl/>
        </w:rPr>
        <w:t>על אף הגידול בשיעור התמיכות כאמור לעיל, חלה בין השנים 2019 ל-2020 ירידה בסכום הכולל של סעיף גמלאות המוסד ביטוח לאומי בתוך סעיף תמיכות, הקצבות והעברות, הנובעת מקיטון של כ-105 מיליארד ש"ח במחויבות האקטוארית של המוסד לביטוח לאומי לזכאים</w:t>
      </w:r>
      <w:r w:rsidRPr="0098222D">
        <w:rPr>
          <w:vertAlign w:val="superscript"/>
          <w:rtl/>
        </w:rPr>
        <w:footnoteReference w:id="23"/>
      </w:r>
      <w:r w:rsidRPr="0098222D">
        <w:rPr>
          <w:rFonts w:hint="cs"/>
          <w:rtl/>
        </w:rPr>
        <w:t>. לפיכך, סך ההוצאות בגין תמיכות, הקצבות והעברות ירדו מ-412,431 מיליון ש"ח בשנת 2019 ל-383,022 מיליון ש"ח בשנת 2020.</w:t>
      </w:r>
    </w:p>
    <w:p w14:paraId="4CFD4B5D" w14:textId="77777777" w:rsidR="0098222D" w:rsidRDefault="007C4395" w:rsidP="0098222D">
      <w:pPr>
        <w:pStyle w:val="714"/>
      </w:pPr>
      <w:r>
        <w:rPr>
          <w:rFonts w:hint="cs"/>
          <w:rtl/>
        </w:rPr>
        <w:t xml:space="preserve">השפעה על הסעיפים מלאי והוצאות תפעוליות בשל ההצטיידות שנדרשה במסגרת ההתמודדות עם המשבר, מצד משרדי הממשלה, בהם משרד הבריאות, משרד הביטחון, המשרד לביטחון הפנים, משרד החינוך, משטרת ישראל ומשרד החוץ. נוסף על הוצאות משרדי הממשלה, היו הוצאות של ישויות אחרות הנכללות בדוחות הכספיים המאוחדים של המדינה, הוצאות אשר לא מומנו באופן ישיר מתקציב המדינה אלא מתוצאות פעילות הישויות. </w:t>
      </w:r>
    </w:p>
    <w:p w14:paraId="1BA7C79A" w14:textId="25126018" w:rsidR="007C4395" w:rsidRDefault="007C4395" w:rsidP="0098222D">
      <w:pPr>
        <w:pStyle w:val="71e"/>
        <w:pBdr>
          <w:top w:val="single" w:sz="18" w:space="4" w:color="CEEAF5"/>
          <w:left w:val="single" w:sz="18" w:space="11" w:color="CEEAF5"/>
          <w:bottom w:val="single" w:sz="18" w:space="6" w:color="CEEAF5"/>
          <w:right w:val="single" w:sz="18" w:space="11" w:color="CEEAF5"/>
        </w:pBdr>
        <w:shd w:val="solid" w:color="CEEAF5" w:fill="auto"/>
        <w:ind w:left="680"/>
        <w:rPr>
          <w:rtl/>
        </w:rPr>
      </w:pPr>
      <w:r w:rsidRPr="0098222D">
        <w:rPr>
          <w:rFonts w:hint="cs"/>
          <w:rtl/>
        </w:rPr>
        <w:t xml:space="preserve">סך ההוצאות התפעוליות עלו מ-114,476 מיליון ש"ח בשנת 2019 ל-129,864 מיליון ש"ח בשנת 2020. חלק גדול מהגידול בהוצאות התפעוליות נבע מגידול של צריכת חומרים וביצוע עבודות מ-33,623 מיליון ש"ח בשנת 2019 ל-46,139 מיליון ש"ח בשנת 2020 בגין רכישת ציוד רפואי להתמודדות עם מגפת הקורונה. </w:t>
      </w:r>
    </w:p>
    <w:p w14:paraId="0EA128C1" w14:textId="77777777" w:rsidR="007C4395" w:rsidRDefault="007C4395" w:rsidP="0098222D">
      <w:pPr>
        <w:pStyle w:val="714"/>
        <w:rPr>
          <w:rtl/>
        </w:rPr>
      </w:pPr>
      <w:r>
        <w:rPr>
          <w:rFonts w:hint="cs"/>
          <w:rtl/>
        </w:rPr>
        <w:t>חלק מהוצאות המשרדים כולל הוצאות בגין פרסום וקמפיינים בנושא הסברה וסיוע למשק. מנגד, חל צמצום בעלויות המשרדים והגופים הציבוריים, בין היתר בעלויות נסיעה לחו"ל, וזאת לצד עלויות שהיו כרוכות בהתאמת אותם גופים למתכונת העבודה מרחוק.</w:t>
      </w:r>
    </w:p>
    <w:p w14:paraId="57F73CA5" w14:textId="77777777" w:rsidR="0098222D" w:rsidRPr="0098222D" w:rsidRDefault="007C4395" w:rsidP="0098222D">
      <w:pPr>
        <w:pStyle w:val="714"/>
      </w:pPr>
      <w:r>
        <w:rPr>
          <w:rFonts w:hint="cs"/>
          <w:rtl/>
        </w:rPr>
        <w:t>במהלך שנת 2020 נחתמו הסכמים קיבוציים ייחודיים במגזר הציבורי נוסף על הסכמים ייחודיים במערכת הבריאות לשם התמודדות עם משבר הקורונה. להסכמים אלו השפעה על הוצאות השכר השוטפות בתקופת המשבר ועל רכיבי מחויבות מסוימים של המדינה בגין זכויות עובדים, בהם הפרשה לחופשה ומחלה.</w:t>
      </w:r>
    </w:p>
    <w:p w14:paraId="57A5245E" w14:textId="42DE7CED" w:rsidR="007C4395" w:rsidRPr="0098222D" w:rsidRDefault="007C4395" w:rsidP="0098222D">
      <w:pPr>
        <w:pStyle w:val="71e"/>
        <w:pBdr>
          <w:top w:val="single" w:sz="18" w:space="4" w:color="CEEAF5"/>
          <w:left w:val="single" w:sz="18" w:space="11" w:color="CEEAF5"/>
          <w:bottom w:val="single" w:sz="18" w:space="6" w:color="CEEAF5"/>
          <w:right w:val="single" w:sz="18" w:space="11" w:color="CEEAF5"/>
        </w:pBdr>
        <w:shd w:val="solid" w:color="CEEAF5" w:fill="auto"/>
        <w:ind w:left="680"/>
        <w:rPr>
          <w:rtl/>
        </w:rPr>
      </w:pPr>
      <w:r w:rsidRPr="0098222D">
        <w:rPr>
          <w:rFonts w:hint="eastAsia"/>
          <w:rtl/>
        </w:rPr>
        <w:t>סך</w:t>
      </w:r>
      <w:r w:rsidRPr="0098222D">
        <w:rPr>
          <w:rtl/>
        </w:rPr>
        <w:t xml:space="preserve"> </w:t>
      </w:r>
      <w:r w:rsidRPr="0098222D">
        <w:rPr>
          <w:rFonts w:hint="eastAsia"/>
          <w:rtl/>
        </w:rPr>
        <w:t>הוצאות</w:t>
      </w:r>
      <w:r w:rsidRPr="0098222D">
        <w:rPr>
          <w:rtl/>
        </w:rPr>
        <w:t xml:space="preserve"> </w:t>
      </w:r>
      <w:r w:rsidRPr="0098222D">
        <w:rPr>
          <w:rFonts w:hint="eastAsia"/>
          <w:rtl/>
        </w:rPr>
        <w:t>שכר</w:t>
      </w:r>
      <w:r w:rsidRPr="0098222D">
        <w:rPr>
          <w:rtl/>
        </w:rPr>
        <w:t xml:space="preserve"> </w:t>
      </w:r>
      <w:r w:rsidRPr="0098222D">
        <w:rPr>
          <w:rFonts w:hint="eastAsia"/>
          <w:rtl/>
        </w:rPr>
        <w:t>עבודה</w:t>
      </w:r>
      <w:r w:rsidRPr="0098222D">
        <w:rPr>
          <w:rtl/>
        </w:rPr>
        <w:t xml:space="preserve"> </w:t>
      </w:r>
      <w:r w:rsidRPr="0098222D">
        <w:rPr>
          <w:rFonts w:hint="eastAsia"/>
          <w:rtl/>
        </w:rPr>
        <w:t>והטבות</w:t>
      </w:r>
      <w:r w:rsidRPr="0098222D">
        <w:rPr>
          <w:rtl/>
        </w:rPr>
        <w:t xml:space="preserve"> </w:t>
      </w:r>
      <w:r w:rsidRPr="0098222D">
        <w:rPr>
          <w:rFonts w:hint="eastAsia"/>
          <w:rtl/>
        </w:rPr>
        <w:t>לעובדים</w:t>
      </w:r>
      <w:r w:rsidRPr="0098222D">
        <w:rPr>
          <w:rtl/>
        </w:rPr>
        <w:t xml:space="preserve"> </w:t>
      </w:r>
      <w:r w:rsidRPr="0098222D">
        <w:rPr>
          <w:rFonts w:hint="eastAsia"/>
          <w:rtl/>
        </w:rPr>
        <w:t>ירדו</w:t>
      </w:r>
      <w:r w:rsidRPr="0098222D">
        <w:rPr>
          <w:rtl/>
        </w:rPr>
        <w:t xml:space="preserve"> </w:t>
      </w:r>
      <w:r w:rsidRPr="0098222D">
        <w:rPr>
          <w:rFonts w:hint="eastAsia"/>
          <w:rtl/>
        </w:rPr>
        <w:t>מ</w:t>
      </w:r>
      <w:r w:rsidRPr="0098222D">
        <w:rPr>
          <w:rtl/>
        </w:rPr>
        <w:t xml:space="preserve">-130,498 מיליון ש"ח בשנת 2019 ל-115,419 מיליון ש"ח בשנת 2020. </w:t>
      </w:r>
      <w:r w:rsidRPr="0098222D">
        <w:rPr>
          <w:rFonts w:hint="eastAsia"/>
          <w:rtl/>
        </w:rPr>
        <w:t>הקיטון</w:t>
      </w:r>
      <w:r w:rsidRPr="0098222D">
        <w:rPr>
          <w:rtl/>
        </w:rPr>
        <w:t xml:space="preserve"> נבע מירידה בהוצאות בגין </w:t>
      </w:r>
      <w:r w:rsidRPr="0098222D">
        <w:rPr>
          <w:rFonts w:hint="eastAsia"/>
          <w:rtl/>
        </w:rPr>
        <w:t>תוכנית</w:t>
      </w:r>
      <w:r w:rsidRPr="0098222D">
        <w:rPr>
          <w:rtl/>
        </w:rPr>
        <w:t xml:space="preserve"> להטבה מוגדרת</w:t>
      </w:r>
      <w:r w:rsidRPr="0098222D">
        <w:rPr>
          <w:vertAlign w:val="superscript"/>
          <w:rtl/>
        </w:rPr>
        <w:footnoteReference w:id="24"/>
      </w:r>
      <w:r w:rsidRPr="0098222D">
        <w:rPr>
          <w:rtl/>
        </w:rPr>
        <w:t xml:space="preserve"> מ-19,086 מיליון ש"ח בשנת 2019 ל-2,427 מיליון </w:t>
      </w:r>
      <w:r w:rsidRPr="0098222D">
        <w:rPr>
          <w:rFonts w:hint="eastAsia"/>
          <w:rtl/>
        </w:rPr>
        <w:t>ש</w:t>
      </w:r>
      <w:r w:rsidRPr="0098222D">
        <w:rPr>
          <w:rtl/>
        </w:rPr>
        <w:t xml:space="preserve">"ח בשנת 2020. </w:t>
      </w:r>
      <w:r w:rsidRPr="0098222D">
        <w:rPr>
          <w:rFonts w:hint="eastAsia"/>
          <w:rtl/>
        </w:rPr>
        <w:t>הקיטון</w:t>
      </w:r>
      <w:r w:rsidRPr="0098222D">
        <w:rPr>
          <w:rtl/>
        </w:rPr>
        <w:t xml:space="preserve"> </w:t>
      </w:r>
      <w:r w:rsidRPr="0098222D">
        <w:rPr>
          <w:rFonts w:hint="eastAsia"/>
          <w:rtl/>
        </w:rPr>
        <w:t>קוזז</w:t>
      </w:r>
      <w:r w:rsidRPr="0098222D">
        <w:rPr>
          <w:rtl/>
        </w:rPr>
        <w:t xml:space="preserve"> </w:t>
      </w:r>
      <w:r w:rsidRPr="0098222D">
        <w:rPr>
          <w:rFonts w:hint="cs"/>
          <w:rtl/>
        </w:rPr>
        <w:t xml:space="preserve">חלקית </w:t>
      </w:r>
      <w:r w:rsidRPr="0098222D">
        <w:rPr>
          <w:rFonts w:hint="eastAsia"/>
          <w:rtl/>
        </w:rPr>
        <w:t>על</w:t>
      </w:r>
      <w:r w:rsidRPr="0098222D">
        <w:rPr>
          <w:rtl/>
        </w:rPr>
        <w:t xml:space="preserve"> </w:t>
      </w:r>
      <w:r w:rsidRPr="0098222D">
        <w:rPr>
          <w:rFonts w:hint="eastAsia"/>
          <w:rtl/>
        </w:rPr>
        <w:t>ידי</w:t>
      </w:r>
      <w:r w:rsidRPr="0098222D">
        <w:rPr>
          <w:rtl/>
        </w:rPr>
        <w:t xml:space="preserve"> </w:t>
      </w:r>
      <w:r w:rsidRPr="0098222D">
        <w:rPr>
          <w:rFonts w:hint="eastAsia"/>
          <w:rtl/>
        </w:rPr>
        <w:t>גידול</w:t>
      </w:r>
      <w:r w:rsidRPr="0098222D">
        <w:rPr>
          <w:rtl/>
        </w:rPr>
        <w:t xml:space="preserve"> </w:t>
      </w:r>
      <w:r w:rsidRPr="0098222D">
        <w:rPr>
          <w:rFonts w:hint="eastAsia"/>
          <w:rtl/>
        </w:rPr>
        <w:t>בהוצאות</w:t>
      </w:r>
      <w:r w:rsidRPr="0098222D">
        <w:rPr>
          <w:rtl/>
        </w:rPr>
        <w:t xml:space="preserve"> שכר עבודה מ-108,273 מיליון ש"ח בשנת 2019 ל-110,119 מיליון ש"ח בשנת 2020 </w:t>
      </w:r>
      <w:r w:rsidRPr="0098222D">
        <w:rPr>
          <w:rFonts w:hint="eastAsia"/>
          <w:rtl/>
        </w:rPr>
        <w:t>שנבע</w:t>
      </w:r>
      <w:r w:rsidRPr="0098222D">
        <w:rPr>
          <w:rtl/>
        </w:rPr>
        <w:t xml:space="preserve"> </w:t>
      </w:r>
      <w:r w:rsidRPr="0098222D">
        <w:rPr>
          <w:rFonts w:hint="eastAsia"/>
          <w:rtl/>
        </w:rPr>
        <w:t>מגיוס</w:t>
      </w:r>
      <w:r w:rsidRPr="0098222D">
        <w:rPr>
          <w:rtl/>
        </w:rPr>
        <w:t xml:space="preserve"> נטו חיובי של עובדים, בין היתר במערכת הבריאות </w:t>
      </w:r>
      <w:r w:rsidRPr="0098222D">
        <w:rPr>
          <w:rFonts w:hint="eastAsia"/>
          <w:rtl/>
        </w:rPr>
        <w:t>ובמשרד</w:t>
      </w:r>
      <w:r w:rsidRPr="0098222D">
        <w:rPr>
          <w:rtl/>
        </w:rPr>
        <w:t xml:space="preserve"> </w:t>
      </w:r>
      <w:r w:rsidRPr="0098222D">
        <w:rPr>
          <w:rFonts w:hint="eastAsia"/>
          <w:rtl/>
        </w:rPr>
        <w:t>החינוך</w:t>
      </w:r>
      <w:r w:rsidRPr="0098222D">
        <w:rPr>
          <w:rtl/>
        </w:rPr>
        <w:t xml:space="preserve"> בעקבות משבר הקורונה.</w:t>
      </w:r>
    </w:p>
    <w:p w14:paraId="75710316" w14:textId="77777777" w:rsidR="007C4395" w:rsidRDefault="007C4395" w:rsidP="002A738D">
      <w:pPr>
        <w:pStyle w:val="7190"/>
        <w:rPr>
          <w:rtl/>
        </w:rPr>
      </w:pPr>
      <w:r>
        <w:rPr>
          <w:rFonts w:hint="cs"/>
          <w:rtl/>
        </w:rPr>
        <w:lastRenderedPageBreak/>
        <w:t>בתרשים שלהלן מוצגת ההתפתחות של ההכנסות וההוצאות התקציביות כאחוז מהתוצר בין השנים 2014 - 2020, כמובא במבוא לדוחות הכספיים של המדינה</w:t>
      </w:r>
      <w:r>
        <w:rPr>
          <w:rStyle w:val="ac"/>
          <w:rtl/>
        </w:rPr>
        <w:footnoteReference w:id="25"/>
      </w:r>
      <w:r>
        <w:rPr>
          <w:rFonts w:hint="cs"/>
          <w:rtl/>
        </w:rPr>
        <w:t>:</w:t>
      </w:r>
    </w:p>
    <w:p w14:paraId="3AF880FB" w14:textId="02429B6D" w:rsidR="007C4395" w:rsidRPr="006F6F9E" w:rsidRDefault="002A738D" w:rsidP="00EC550D">
      <w:pPr>
        <w:pStyle w:val="71a"/>
        <w:rPr>
          <w:rtl/>
        </w:rPr>
      </w:pPr>
      <w:r>
        <w:rPr>
          <w:noProof/>
        </w:rPr>
        <w:drawing>
          <wp:anchor distT="0" distB="0" distL="114300" distR="114300" simplePos="0" relativeHeight="252044800" behindDoc="0" locked="0" layoutInCell="1" allowOverlap="1" wp14:anchorId="5BA3EE8D" wp14:editId="4D317431">
            <wp:simplePos x="0" y="0"/>
            <wp:positionH relativeFrom="column">
              <wp:posOffset>-34290</wp:posOffset>
            </wp:positionH>
            <wp:positionV relativeFrom="paragraph">
              <wp:posOffset>499745</wp:posOffset>
            </wp:positionV>
            <wp:extent cx="4769485" cy="3157855"/>
            <wp:effectExtent l="0" t="0" r="5715" b="4445"/>
            <wp:wrapTopAndBottom/>
            <wp:docPr id="24785208" name="תמונה 24785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5208" name="תמונה 24785208"/>
                    <pic:cNvPicPr/>
                  </pic:nvPicPr>
                  <pic:blipFill>
                    <a:blip r:embed="rId40">
                      <a:extLst>
                        <a:ext uri="{28A0092B-C50C-407E-A947-70E740481C1C}">
                          <a14:useLocalDpi xmlns:a14="http://schemas.microsoft.com/office/drawing/2010/main" val="0"/>
                        </a:ext>
                      </a:extLst>
                    </a:blip>
                    <a:stretch>
                      <a:fillRect/>
                    </a:stretch>
                  </pic:blipFill>
                  <pic:spPr>
                    <a:xfrm>
                      <a:off x="0" y="0"/>
                      <a:ext cx="4769485" cy="3157855"/>
                    </a:xfrm>
                    <a:prstGeom prst="rect">
                      <a:avLst/>
                    </a:prstGeom>
                  </pic:spPr>
                </pic:pic>
              </a:graphicData>
            </a:graphic>
            <wp14:sizeRelH relativeFrom="page">
              <wp14:pctWidth>0</wp14:pctWidth>
            </wp14:sizeRelH>
            <wp14:sizeRelV relativeFrom="page">
              <wp14:pctHeight>0</wp14:pctHeight>
            </wp14:sizeRelV>
          </wp:anchor>
        </w:drawing>
      </w:r>
      <w:r w:rsidR="007C4395" w:rsidRPr="00EC550D">
        <w:rPr>
          <w:rFonts w:hint="cs"/>
          <w:b w:val="0"/>
          <w:bCs w:val="0"/>
          <w:rtl/>
        </w:rPr>
        <w:t>תרשים 7:</w:t>
      </w:r>
      <w:r w:rsidR="007C4395" w:rsidRPr="00C653FC">
        <w:rPr>
          <w:rFonts w:hint="cs"/>
          <w:rtl/>
        </w:rPr>
        <w:t xml:space="preserve"> התפתחות ההוצאות וההכנסות כאחוז מהתוצר בשנים</w:t>
      </w:r>
      <w:r w:rsidR="00200533">
        <w:br/>
      </w:r>
      <w:r w:rsidR="007C4395" w:rsidRPr="00C653FC">
        <w:rPr>
          <w:rFonts w:hint="cs"/>
          <w:rtl/>
        </w:rPr>
        <w:t>2014 - 2020 (באחוזים)</w:t>
      </w:r>
    </w:p>
    <w:p w14:paraId="3D56169A" w14:textId="77777777" w:rsidR="007C4395" w:rsidRPr="0098222D" w:rsidRDefault="007C4395" w:rsidP="00663652">
      <w:pPr>
        <w:pStyle w:val="71c"/>
        <w:spacing w:before="360"/>
        <w:rPr>
          <w:rtl/>
        </w:rPr>
      </w:pPr>
      <w:r w:rsidRPr="0098222D">
        <w:rPr>
          <w:rFonts w:hint="eastAsia"/>
          <w:rtl/>
        </w:rPr>
        <w:t>המקור</w:t>
      </w:r>
      <w:r w:rsidRPr="0098222D">
        <w:rPr>
          <w:rtl/>
        </w:rPr>
        <w:t xml:space="preserve">: </w:t>
      </w:r>
      <w:r w:rsidRPr="0098222D">
        <w:rPr>
          <w:rFonts w:hint="cs"/>
          <w:rtl/>
        </w:rPr>
        <w:t xml:space="preserve">משרד האוצר, </w:t>
      </w:r>
      <w:r w:rsidRPr="0098222D">
        <w:rPr>
          <w:rFonts w:hint="eastAsia"/>
          <w:rtl/>
        </w:rPr>
        <w:t>המבוא</w:t>
      </w:r>
      <w:r w:rsidRPr="0098222D">
        <w:rPr>
          <w:rtl/>
        </w:rPr>
        <w:t xml:space="preserve"> </w:t>
      </w:r>
      <w:r w:rsidRPr="0098222D">
        <w:rPr>
          <w:rFonts w:hint="eastAsia"/>
          <w:rtl/>
        </w:rPr>
        <w:t>לדוחות</w:t>
      </w:r>
      <w:r w:rsidRPr="0098222D">
        <w:rPr>
          <w:rtl/>
        </w:rPr>
        <w:t xml:space="preserve"> </w:t>
      </w:r>
      <w:r w:rsidRPr="0098222D">
        <w:rPr>
          <w:rFonts w:hint="eastAsia"/>
          <w:rtl/>
        </w:rPr>
        <w:t>הכספיים</w:t>
      </w:r>
      <w:r w:rsidRPr="0098222D">
        <w:rPr>
          <w:rtl/>
        </w:rPr>
        <w:t xml:space="preserve"> </w:t>
      </w:r>
      <w:r w:rsidRPr="0098222D">
        <w:rPr>
          <w:rFonts w:hint="eastAsia"/>
          <w:rtl/>
        </w:rPr>
        <w:t>של</w:t>
      </w:r>
      <w:r w:rsidRPr="0098222D">
        <w:rPr>
          <w:rtl/>
        </w:rPr>
        <w:t xml:space="preserve"> </w:t>
      </w:r>
      <w:r w:rsidRPr="0098222D">
        <w:rPr>
          <w:rFonts w:hint="eastAsia"/>
          <w:rtl/>
        </w:rPr>
        <w:t>מדינת</w:t>
      </w:r>
      <w:r w:rsidRPr="0098222D">
        <w:rPr>
          <w:rtl/>
        </w:rPr>
        <w:t xml:space="preserve"> </w:t>
      </w:r>
      <w:r w:rsidRPr="0098222D">
        <w:rPr>
          <w:rFonts w:hint="eastAsia"/>
          <w:rtl/>
        </w:rPr>
        <w:t>ישראל</w:t>
      </w:r>
      <w:r w:rsidRPr="0098222D">
        <w:rPr>
          <w:rtl/>
        </w:rPr>
        <w:t xml:space="preserve"> </w:t>
      </w:r>
      <w:r w:rsidRPr="0098222D">
        <w:rPr>
          <w:rFonts w:hint="eastAsia"/>
          <w:rtl/>
        </w:rPr>
        <w:t>לשנת</w:t>
      </w:r>
      <w:r w:rsidRPr="0098222D">
        <w:rPr>
          <w:rtl/>
        </w:rPr>
        <w:t xml:space="preserve"> 2020.</w:t>
      </w:r>
    </w:p>
    <w:p w14:paraId="2AADEFC2" w14:textId="595D29B9" w:rsidR="007C4395" w:rsidRPr="00E41770" w:rsidRDefault="007C4395" w:rsidP="003B2683">
      <w:pPr>
        <w:pStyle w:val="71f4"/>
        <w:rPr>
          <w:rtl/>
        </w:rPr>
      </w:pPr>
      <w:r w:rsidRPr="00E41770">
        <w:rPr>
          <w:rFonts w:hint="eastAsia"/>
          <w:rtl/>
        </w:rPr>
        <w:t>מהתרשים</w:t>
      </w:r>
      <w:r w:rsidRPr="00E41770">
        <w:rPr>
          <w:rtl/>
        </w:rPr>
        <w:t xml:space="preserve"> </w:t>
      </w:r>
      <w:r w:rsidRPr="00E41770">
        <w:rPr>
          <w:rFonts w:hint="eastAsia"/>
          <w:rtl/>
        </w:rPr>
        <w:t>לעיל</w:t>
      </w:r>
      <w:r w:rsidRPr="00E41770">
        <w:rPr>
          <w:rtl/>
        </w:rPr>
        <w:t xml:space="preserve"> </w:t>
      </w:r>
      <w:r w:rsidRPr="00E41770">
        <w:rPr>
          <w:rFonts w:hint="eastAsia"/>
          <w:rtl/>
        </w:rPr>
        <w:t>עולה</w:t>
      </w:r>
      <w:r w:rsidRPr="00E41770">
        <w:rPr>
          <w:rtl/>
        </w:rPr>
        <w:t xml:space="preserve">, </w:t>
      </w:r>
      <w:r w:rsidRPr="00E41770">
        <w:rPr>
          <w:rFonts w:hint="eastAsia"/>
          <w:rtl/>
        </w:rPr>
        <w:t>שרמת</w:t>
      </w:r>
      <w:r w:rsidRPr="00E41770">
        <w:rPr>
          <w:rtl/>
        </w:rPr>
        <w:t xml:space="preserve"> </w:t>
      </w:r>
      <w:r w:rsidRPr="00E41770">
        <w:rPr>
          <w:rFonts w:hint="eastAsia"/>
          <w:rtl/>
        </w:rPr>
        <w:t>הוצאות</w:t>
      </w:r>
      <w:r w:rsidRPr="00E41770">
        <w:rPr>
          <w:rtl/>
        </w:rPr>
        <w:t xml:space="preserve"> </w:t>
      </w:r>
      <w:r w:rsidRPr="00E41770">
        <w:rPr>
          <w:rFonts w:hint="eastAsia"/>
          <w:rtl/>
        </w:rPr>
        <w:t>הממשלה</w:t>
      </w:r>
      <w:r w:rsidRPr="00E41770">
        <w:rPr>
          <w:rtl/>
        </w:rPr>
        <w:t xml:space="preserve"> </w:t>
      </w:r>
      <w:r w:rsidRPr="00E41770">
        <w:rPr>
          <w:rFonts w:hint="eastAsia"/>
          <w:rtl/>
        </w:rPr>
        <w:t>בשנת</w:t>
      </w:r>
      <w:r w:rsidRPr="00E41770">
        <w:rPr>
          <w:rtl/>
        </w:rPr>
        <w:t xml:space="preserve"> 2020 </w:t>
      </w:r>
      <w:r w:rsidRPr="00E41770">
        <w:rPr>
          <w:rFonts w:hint="eastAsia"/>
          <w:rtl/>
        </w:rPr>
        <w:t>עמדה</w:t>
      </w:r>
      <w:r w:rsidRPr="00E41770">
        <w:rPr>
          <w:rtl/>
        </w:rPr>
        <w:t xml:space="preserve"> </w:t>
      </w:r>
      <w:r w:rsidRPr="00E41770">
        <w:rPr>
          <w:rFonts w:hint="eastAsia"/>
          <w:rtl/>
        </w:rPr>
        <w:t>על</w:t>
      </w:r>
      <w:r w:rsidRPr="00E41770">
        <w:rPr>
          <w:rtl/>
        </w:rPr>
        <w:t xml:space="preserve"> </w:t>
      </w:r>
      <w:r w:rsidRPr="00E41770">
        <w:rPr>
          <w:rFonts w:hint="eastAsia"/>
          <w:rtl/>
        </w:rPr>
        <w:t>כ</w:t>
      </w:r>
      <w:r w:rsidRPr="00E41770">
        <w:rPr>
          <w:rtl/>
        </w:rPr>
        <w:t xml:space="preserve">-34.5% </w:t>
      </w:r>
      <w:r w:rsidRPr="00E41770">
        <w:rPr>
          <w:rFonts w:hint="eastAsia"/>
          <w:rtl/>
        </w:rPr>
        <w:t>תוצר</w:t>
      </w:r>
      <w:r w:rsidRPr="00E41770">
        <w:rPr>
          <w:rtl/>
        </w:rPr>
        <w:t xml:space="preserve"> </w:t>
      </w:r>
      <w:r w:rsidRPr="00E41770">
        <w:rPr>
          <w:rFonts w:hint="eastAsia"/>
          <w:rtl/>
        </w:rPr>
        <w:t>לעומת</w:t>
      </w:r>
      <w:r w:rsidRPr="00E41770">
        <w:rPr>
          <w:rtl/>
        </w:rPr>
        <w:t xml:space="preserve"> </w:t>
      </w:r>
      <w:r w:rsidRPr="00E41770">
        <w:rPr>
          <w:rFonts w:hint="eastAsia"/>
          <w:rtl/>
        </w:rPr>
        <w:t>כ</w:t>
      </w:r>
      <w:r w:rsidRPr="00E41770">
        <w:rPr>
          <w:rtl/>
        </w:rPr>
        <w:t xml:space="preserve">-28.4% </w:t>
      </w:r>
      <w:r w:rsidRPr="00E41770">
        <w:rPr>
          <w:rFonts w:hint="eastAsia"/>
          <w:rtl/>
        </w:rPr>
        <w:t>תוצר</w:t>
      </w:r>
      <w:r w:rsidRPr="00E41770">
        <w:rPr>
          <w:rtl/>
        </w:rPr>
        <w:t xml:space="preserve"> </w:t>
      </w:r>
      <w:r w:rsidRPr="00E41770">
        <w:rPr>
          <w:rFonts w:hint="eastAsia"/>
          <w:rtl/>
        </w:rPr>
        <w:t>בשנת</w:t>
      </w:r>
      <w:r w:rsidRPr="00E41770">
        <w:rPr>
          <w:rtl/>
        </w:rPr>
        <w:t xml:space="preserve"> 2019. </w:t>
      </w:r>
      <w:r w:rsidRPr="00E41770">
        <w:rPr>
          <w:rFonts w:hint="eastAsia"/>
          <w:rtl/>
        </w:rPr>
        <w:t>יחד</w:t>
      </w:r>
      <w:r w:rsidRPr="00E41770">
        <w:rPr>
          <w:rtl/>
        </w:rPr>
        <w:t xml:space="preserve"> </w:t>
      </w:r>
      <w:r w:rsidRPr="00E41770">
        <w:rPr>
          <w:rFonts w:hint="eastAsia"/>
          <w:rtl/>
        </w:rPr>
        <w:t>עם</w:t>
      </w:r>
      <w:r w:rsidRPr="00E41770">
        <w:rPr>
          <w:rtl/>
        </w:rPr>
        <w:t xml:space="preserve"> </w:t>
      </w:r>
      <w:r w:rsidRPr="00E41770">
        <w:rPr>
          <w:rFonts w:hint="eastAsia"/>
          <w:rtl/>
        </w:rPr>
        <w:t>זאת</w:t>
      </w:r>
      <w:r w:rsidRPr="00E41770">
        <w:rPr>
          <w:rtl/>
        </w:rPr>
        <w:t xml:space="preserve">, </w:t>
      </w:r>
      <w:r w:rsidRPr="00E41770">
        <w:rPr>
          <w:rFonts w:hint="eastAsia"/>
          <w:rtl/>
        </w:rPr>
        <w:t>ללא</w:t>
      </w:r>
      <w:r w:rsidRPr="00E41770">
        <w:rPr>
          <w:rtl/>
        </w:rPr>
        <w:t xml:space="preserve"> </w:t>
      </w:r>
      <w:r w:rsidRPr="00E41770">
        <w:rPr>
          <w:rFonts w:hint="eastAsia"/>
          <w:rtl/>
        </w:rPr>
        <w:t>השפעת</w:t>
      </w:r>
      <w:r w:rsidRPr="00E41770">
        <w:rPr>
          <w:rtl/>
        </w:rPr>
        <w:t xml:space="preserve"> </w:t>
      </w:r>
      <w:r w:rsidRPr="00E41770">
        <w:rPr>
          <w:rFonts w:hint="eastAsia"/>
          <w:rtl/>
        </w:rPr>
        <w:t>משבר</w:t>
      </w:r>
      <w:r w:rsidRPr="00E41770">
        <w:rPr>
          <w:rtl/>
        </w:rPr>
        <w:t xml:space="preserve"> </w:t>
      </w:r>
      <w:r w:rsidRPr="00E41770">
        <w:rPr>
          <w:rFonts w:hint="eastAsia"/>
          <w:rtl/>
        </w:rPr>
        <w:t>הקורונה</w:t>
      </w:r>
      <w:r w:rsidRPr="00E41770">
        <w:rPr>
          <w:rtl/>
        </w:rPr>
        <w:t xml:space="preserve"> </w:t>
      </w:r>
      <w:r w:rsidRPr="00E41770">
        <w:rPr>
          <w:rFonts w:hint="eastAsia"/>
          <w:rtl/>
        </w:rPr>
        <w:t>ותחת</w:t>
      </w:r>
      <w:r w:rsidRPr="00E41770">
        <w:rPr>
          <w:rtl/>
        </w:rPr>
        <w:t xml:space="preserve"> </w:t>
      </w:r>
      <w:r w:rsidRPr="00E41770">
        <w:rPr>
          <w:rFonts w:hint="eastAsia"/>
          <w:rtl/>
        </w:rPr>
        <w:t>מגבלות</w:t>
      </w:r>
      <w:r w:rsidRPr="00E41770">
        <w:rPr>
          <w:rtl/>
        </w:rPr>
        <w:t xml:space="preserve"> </w:t>
      </w:r>
      <w:r w:rsidRPr="00E41770">
        <w:rPr>
          <w:rFonts w:hint="eastAsia"/>
          <w:rtl/>
        </w:rPr>
        <w:t>התקציב</w:t>
      </w:r>
      <w:r w:rsidRPr="00E41770">
        <w:rPr>
          <w:rtl/>
        </w:rPr>
        <w:t xml:space="preserve"> </w:t>
      </w:r>
      <w:r w:rsidRPr="00E41770">
        <w:rPr>
          <w:rFonts w:hint="eastAsia"/>
          <w:rtl/>
        </w:rPr>
        <w:t>ההמשכי</w:t>
      </w:r>
      <w:r w:rsidRPr="00E41770">
        <w:rPr>
          <w:rtl/>
        </w:rPr>
        <w:t xml:space="preserve"> </w:t>
      </w:r>
      <w:r w:rsidRPr="00E41770">
        <w:rPr>
          <w:rFonts w:hint="eastAsia"/>
          <w:rtl/>
        </w:rPr>
        <w:t>רמת</w:t>
      </w:r>
      <w:r w:rsidRPr="00E41770">
        <w:rPr>
          <w:rtl/>
        </w:rPr>
        <w:t xml:space="preserve"> </w:t>
      </w:r>
      <w:r w:rsidRPr="00E41770">
        <w:rPr>
          <w:rFonts w:hint="eastAsia"/>
          <w:rtl/>
        </w:rPr>
        <w:t>ההוצאה</w:t>
      </w:r>
      <w:r w:rsidRPr="00E41770">
        <w:rPr>
          <w:rtl/>
        </w:rPr>
        <w:t xml:space="preserve"> </w:t>
      </w:r>
      <w:r w:rsidRPr="00E41770">
        <w:rPr>
          <w:rFonts w:hint="eastAsia"/>
          <w:rtl/>
        </w:rPr>
        <w:t>הממשלתית</w:t>
      </w:r>
      <w:r w:rsidRPr="00E41770">
        <w:rPr>
          <w:rtl/>
        </w:rPr>
        <w:t xml:space="preserve"> </w:t>
      </w:r>
      <w:r w:rsidRPr="00E41770">
        <w:rPr>
          <w:rFonts w:hint="eastAsia"/>
          <w:rtl/>
        </w:rPr>
        <w:t>הייתה</w:t>
      </w:r>
      <w:r w:rsidRPr="00E41770">
        <w:rPr>
          <w:rtl/>
        </w:rPr>
        <w:t xml:space="preserve"> </w:t>
      </w:r>
      <w:r w:rsidRPr="00E41770">
        <w:rPr>
          <w:rFonts w:hint="eastAsia"/>
          <w:rtl/>
        </w:rPr>
        <w:t>יורדת</w:t>
      </w:r>
      <w:r w:rsidRPr="00E41770">
        <w:rPr>
          <w:rtl/>
        </w:rPr>
        <w:t xml:space="preserve"> </w:t>
      </w:r>
      <w:r w:rsidRPr="00E41770">
        <w:rPr>
          <w:rFonts w:hint="eastAsia"/>
          <w:rtl/>
        </w:rPr>
        <w:t>בשנת</w:t>
      </w:r>
      <w:r w:rsidRPr="00E41770">
        <w:rPr>
          <w:rtl/>
        </w:rPr>
        <w:t xml:space="preserve"> 2020 </w:t>
      </w:r>
      <w:proofErr w:type="spellStart"/>
      <w:r w:rsidRPr="00E41770">
        <w:rPr>
          <w:rFonts w:hint="eastAsia"/>
          <w:rtl/>
        </w:rPr>
        <w:t>לכ</w:t>
      </w:r>
      <w:proofErr w:type="spellEnd"/>
      <w:r w:rsidRPr="00E41770">
        <w:rPr>
          <w:rtl/>
        </w:rPr>
        <w:t xml:space="preserve">-28.0% </w:t>
      </w:r>
      <w:r w:rsidRPr="00E41770">
        <w:rPr>
          <w:rFonts w:hint="eastAsia"/>
          <w:rtl/>
        </w:rPr>
        <w:t>תוצר</w:t>
      </w:r>
      <w:r w:rsidRPr="00E41770">
        <w:rPr>
          <w:rtl/>
        </w:rPr>
        <w:t xml:space="preserve">. </w:t>
      </w:r>
      <w:r w:rsidRPr="00E41770">
        <w:rPr>
          <w:rFonts w:hint="eastAsia"/>
          <w:rtl/>
        </w:rPr>
        <w:t>בבחינה</w:t>
      </w:r>
      <w:r w:rsidRPr="00E41770">
        <w:rPr>
          <w:rtl/>
        </w:rPr>
        <w:t xml:space="preserve"> </w:t>
      </w:r>
      <w:r w:rsidRPr="00E41770">
        <w:rPr>
          <w:rFonts w:hint="eastAsia"/>
          <w:rtl/>
        </w:rPr>
        <w:t>של</w:t>
      </w:r>
      <w:r w:rsidRPr="00E41770">
        <w:rPr>
          <w:rtl/>
        </w:rPr>
        <w:t xml:space="preserve"> </w:t>
      </w:r>
      <w:r w:rsidRPr="00E41770">
        <w:rPr>
          <w:rFonts w:hint="eastAsia"/>
          <w:rtl/>
        </w:rPr>
        <w:t>הכנסות</w:t>
      </w:r>
      <w:r w:rsidRPr="00E41770">
        <w:rPr>
          <w:rtl/>
        </w:rPr>
        <w:t xml:space="preserve"> </w:t>
      </w:r>
      <w:r w:rsidRPr="00E41770">
        <w:rPr>
          <w:rFonts w:hint="eastAsia"/>
          <w:rtl/>
        </w:rPr>
        <w:t>המדינה</w:t>
      </w:r>
      <w:r w:rsidRPr="00E41770">
        <w:rPr>
          <w:rtl/>
        </w:rPr>
        <w:t xml:space="preserve"> </w:t>
      </w:r>
      <w:r w:rsidRPr="00E41770">
        <w:rPr>
          <w:rFonts w:hint="eastAsia"/>
          <w:rtl/>
        </w:rPr>
        <w:t>ניתן</w:t>
      </w:r>
      <w:r w:rsidRPr="00E41770">
        <w:rPr>
          <w:rtl/>
        </w:rPr>
        <w:t xml:space="preserve"> </w:t>
      </w:r>
      <w:r w:rsidRPr="00E41770">
        <w:rPr>
          <w:rFonts w:hint="eastAsia"/>
          <w:rtl/>
        </w:rPr>
        <w:t>לראות</w:t>
      </w:r>
      <w:r w:rsidRPr="00E41770">
        <w:rPr>
          <w:rtl/>
        </w:rPr>
        <w:t xml:space="preserve"> </w:t>
      </w:r>
      <w:r w:rsidRPr="00E41770">
        <w:rPr>
          <w:rFonts w:hint="eastAsia"/>
          <w:rtl/>
        </w:rPr>
        <w:t>שבשנת</w:t>
      </w:r>
      <w:r w:rsidRPr="00E41770">
        <w:rPr>
          <w:rtl/>
        </w:rPr>
        <w:t xml:space="preserve"> 2020 </w:t>
      </w:r>
      <w:r w:rsidRPr="00E41770">
        <w:rPr>
          <w:rFonts w:hint="eastAsia"/>
          <w:rtl/>
        </w:rPr>
        <w:t>הרמה</w:t>
      </w:r>
      <w:r w:rsidRPr="00E41770">
        <w:rPr>
          <w:rtl/>
        </w:rPr>
        <w:t xml:space="preserve"> </w:t>
      </w:r>
      <w:r w:rsidRPr="00E41770">
        <w:rPr>
          <w:rFonts w:hint="eastAsia"/>
          <w:rtl/>
        </w:rPr>
        <w:t>עמדה</w:t>
      </w:r>
      <w:r w:rsidRPr="00E41770">
        <w:rPr>
          <w:rtl/>
        </w:rPr>
        <w:t xml:space="preserve"> </w:t>
      </w:r>
      <w:r w:rsidRPr="00E41770">
        <w:rPr>
          <w:rFonts w:hint="eastAsia"/>
          <w:rtl/>
        </w:rPr>
        <w:t>על</w:t>
      </w:r>
      <w:r w:rsidRPr="00E41770">
        <w:rPr>
          <w:rtl/>
        </w:rPr>
        <w:t xml:space="preserve"> </w:t>
      </w:r>
      <w:r w:rsidRPr="00E41770">
        <w:rPr>
          <w:rFonts w:hint="eastAsia"/>
          <w:rtl/>
        </w:rPr>
        <w:t>כ</w:t>
      </w:r>
      <w:r w:rsidRPr="00E41770">
        <w:rPr>
          <w:rtl/>
        </w:rPr>
        <w:t xml:space="preserve">-22.9% </w:t>
      </w:r>
      <w:r w:rsidRPr="00E41770">
        <w:rPr>
          <w:rFonts w:hint="eastAsia"/>
          <w:rtl/>
        </w:rPr>
        <w:t>תוצר</w:t>
      </w:r>
      <w:r w:rsidRPr="00E41770">
        <w:rPr>
          <w:rtl/>
        </w:rPr>
        <w:t xml:space="preserve"> </w:t>
      </w:r>
      <w:r w:rsidRPr="00E41770">
        <w:rPr>
          <w:rFonts w:hint="eastAsia"/>
          <w:rtl/>
        </w:rPr>
        <w:t>לעומת</w:t>
      </w:r>
      <w:r w:rsidRPr="00E41770">
        <w:rPr>
          <w:rtl/>
        </w:rPr>
        <w:t xml:space="preserve"> </w:t>
      </w:r>
      <w:r w:rsidRPr="00E41770">
        <w:rPr>
          <w:rFonts w:hint="eastAsia"/>
          <w:rtl/>
        </w:rPr>
        <w:t>כ</w:t>
      </w:r>
      <w:r w:rsidRPr="00E41770">
        <w:rPr>
          <w:rtl/>
        </w:rPr>
        <w:t xml:space="preserve">-24.7% </w:t>
      </w:r>
      <w:r w:rsidRPr="00E41770">
        <w:rPr>
          <w:rFonts w:hint="eastAsia"/>
          <w:rtl/>
        </w:rPr>
        <w:t>תוצר</w:t>
      </w:r>
      <w:r w:rsidRPr="00E41770">
        <w:rPr>
          <w:rtl/>
        </w:rPr>
        <w:t xml:space="preserve"> בשנת 2019. </w:t>
      </w:r>
      <w:r w:rsidRPr="00E41770">
        <w:rPr>
          <w:rFonts w:hint="eastAsia"/>
          <w:rtl/>
        </w:rPr>
        <w:t>יחד</w:t>
      </w:r>
      <w:r w:rsidRPr="00E41770">
        <w:rPr>
          <w:rtl/>
        </w:rPr>
        <w:t xml:space="preserve"> </w:t>
      </w:r>
      <w:r w:rsidRPr="00E41770">
        <w:rPr>
          <w:rFonts w:hint="eastAsia"/>
          <w:rtl/>
        </w:rPr>
        <w:t>עם</w:t>
      </w:r>
      <w:r w:rsidRPr="00E41770">
        <w:rPr>
          <w:rtl/>
        </w:rPr>
        <w:t xml:space="preserve"> </w:t>
      </w:r>
      <w:r w:rsidRPr="00E41770">
        <w:rPr>
          <w:rFonts w:hint="eastAsia"/>
          <w:rtl/>
        </w:rPr>
        <w:t>זאת</w:t>
      </w:r>
      <w:r w:rsidRPr="00E41770">
        <w:rPr>
          <w:rtl/>
        </w:rPr>
        <w:t xml:space="preserve">, </w:t>
      </w:r>
      <w:r w:rsidRPr="00E41770">
        <w:rPr>
          <w:rFonts w:hint="eastAsia"/>
          <w:rtl/>
        </w:rPr>
        <w:t>הכנסות</w:t>
      </w:r>
      <w:r w:rsidRPr="00E41770">
        <w:rPr>
          <w:rtl/>
        </w:rPr>
        <w:t xml:space="preserve"> </w:t>
      </w:r>
      <w:r w:rsidRPr="00E41770">
        <w:rPr>
          <w:rFonts w:hint="eastAsia"/>
          <w:rtl/>
        </w:rPr>
        <w:t>המדינה</w:t>
      </w:r>
      <w:r w:rsidRPr="00E41770">
        <w:rPr>
          <w:rtl/>
        </w:rPr>
        <w:t xml:space="preserve"> </w:t>
      </w:r>
      <w:r w:rsidRPr="00E41770">
        <w:rPr>
          <w:rFonts w:hint="eastAsia"/>
          <w:rtl/>
        </w:rPr>
        <w:t>החזויות</w:t>
      </w:r>
      <w:r w:rsidRPr="00E41770">
        <w:rPr>
          <w:rtl/>
        </w:rPr>
        <w:t xml:space="preserve"> </w:t>
      </w:r>
      <w:r w:rsidRPr="00E41770">
        <w:rPr>
          <w:rFonts w:hint="eastAsia"/>
          <w:rtl/>
        </w:rPr>
        <w:t>טרם</w:t>
      </w:r>
      <w:r w:rsidRPr="00E41770">
        <w:rPr>
          <w:rtl/>
        </w:rPr>
        <w:t xml:space="preserve"> </w:t>
      </w:r>
      <w:r w:rsidRPr="00E41770">
        <w:rPr>
          <w:rFonts w:hint="eastAsia"/>
          <w:rtl/>
        </w:rPr>
        <w:t>משבר</w:t>
      </w:r>
      <w:r w:rsidRPr="00E41770">
        <w:rPr>
          <w:rtl/>
        </w:rPr>
        <w:t xml:space="preserve"> </w:t>
      </w:r>
      <w:r w:rsidRPr="00E41770">
        <w:rPr>
          <w:rFonts w:hint="eastAsia"/>
          <w:rtl/>
        </w:rPr>
        <w:t>הקורונה</w:t>
      </w:r>
      <w:r w:rsidRPr="00E41770">
        <w:rPr>
          <w:rtl/>
        </w:rPr>
        <w:t xml:space="preserve"> </w:t>
      </w:r>
      <w:r w:rsidRPr="00E41770">
        <w:rPr>
          <w:rFonts w:hint="eastAsia"/>
          <w:rtl/>
        </w:rPr>
        <w:t>צפויות</w:t>
      </w:r>
      <w:r w:rsidRPr="00E41770">
        <w:rPr>
          <w:rtl/>
        </w:rPr>
        <w:t xml:space="preserve"> </w:t>
      </w:r>
      <w:r w:rsidRPr="00E41770">
        <w:rPr>
          <w:rFonts w:hint="eastAsia"/>
          <w:rtl/>
        </w:rPr>
        <w:t>היו</w:t>
      </w:r>
      <w:r w:rsidRPr="00E41770">
        <w:rPr>
          <w:rtl/>
        </w:rPr>
        <w:t xml:space="preserve"> </w:t>
      </w:r>
      <w:r w:rsidRPr="00E41770">
        <w:rPr>
          <w:rFonts w:hint="eastAsia"/>
          <w:rtl/>
        </w:rPr>
        <w:t>לעמוד</w:t>
      </w:r>
      <w:r w:rsidRPr="00E41770">
        <w:rPr>
          <w:rtl/>
        </w:rPr>
        <w:t xml:space="preserve"> </w:t>
      </w:r>
      <w:r w:rsidRPr="00E41770">
        <w:rPr>
          <w:rFonts w:hint="eastAsia"/>
          <w:rtl/>
        </w:rPr>
        <w:t>בשנת</w:t>
      </w:r>
      <w:r w:rsidRPr="00E41770">
        <w:rPr>
          <w:rtl/>
        </w:rPr>
        <w:t xml:space="preserve"> 2020 </w:t>
      </w:r>
      <w:r w:rsidRPr="00E41770">
        <w:rPr>
          <w:rFonts w:hint="eastAsia"/>
          <w:rtl/>
        </w:rPr>
        <w:t>על</w:t>
      </w:r>
      <w:r w:rsidRPr="00E41770">
        <w:rPr>
          <w:rtl/>
        </w:rPr>
        <w:t xml:space="preserve"> </w:t>
      </w:r>
      <w:r w:rsidRPr="00E41770">
        <w:rPr>
          <w:rFonts w:hint="eastAsia"/>
          <w:rtl/>
        </w:rPr>
        <w:t>סך</w:t>
      </w:r>
      <w:r w:rsidRPr="00E41770">
        <w:rPr>
          <w:rtl/>
        </w:rPr>
        <w:t xml:space="preserve"> </w:t>
      </w:r>
      <w:r w:rsidRPr="00E41770">
        <w:rPr>
          <w:rFonts w:hint="eastAsia"/>
          <w:rtl/>
        </w:rPr>
        <w:t>של</w:t>
      </w:r>
      <w:r w:rsidRPr="00E41770">
        <w:rPr>
          <w:rtl/>
        </w:rPr>
        <w:t xml:space="preserve"> </w:t>
      </w:r>
      <w:r w:rsidRPr="00E41770">
        <w:rPr>
          <w:rFonts w:hint="eastAsia"/>
          <w:rtl/>
        </w:rPr>
        <w:t>כ</w:t>
      </w:r>
      <w:r w:rsidRPr="00E41770">
        <w:rPr>
          <w:rtl/>
        </w:rPr>
        <w:t xml:space="preserve">-24.6% </w:t>
      </w:r>
      <w:r w:rsidRPr="00E41770">
        <w:rPr>
          <w:rFonts w:hint="eastAsia"/>
          <w:rtl/>
        </w:rPr>
        <w:t>תוצר</w:t>
      </w:r>
      <w:r w:rsidRPr="00E41770">
        <w:rPr>
          <w:rtl/>
        </w:rPr>
        <w:t>.</w:t>
      </w:r>
    </w:p>
    <w:p w14:paraId="6DD3A8D6" w14:textId="29DE89E7" w:rsidR="007C4395" w:rsidRDefault="007C4395" w:rsidP="002A738D">
      <w:pPr>
        <w:pStyle w:val="7190"/>
        <w:rPr>
          <w:rtl/>
        </w:rPr>
      </w:pPr>
      <w:r>
        <w:rPr>
          <w:rFonts w:hint="cs"/>
          <w:rtl/>
        </w:rPr>
        <w:t>בתרשים שלהלן מוצגת התפתחות הגירעון התקציבי המצטבר כאחוז מהתוצר בין השנים 2014 - 2020, כמובא במבוא לדוחות הכספיים של המדינה:</w:t>
      </w:r>
    </w:p>
    <w:p w14:paraId="7D3F796B" w14:textId="7D4366CC" w:rsidR="007C4395" w:rsidRPr="006F6F9E" w:rsidRDefault="002A738D" w:rsidP="00EC550D">
      <w:pPr>
        <w:pStyle w:val="71a"/>
        <w:rPr>
          <w:rtl/>
        </w:rPr>
      </w:pPr>
      <w:r>
        <w:rPr>
          <w:noProof/>
        </w:rPr>
        <w:lastRenderedPageBreak/>
        <w:drawing>
          <wp:anchor distT="0" distB="0" distL="114300" distR="114300" simplePos="0" relativeHeight="252043776" behindDoc="0" locked="0" layoutInCell="1" allowOverlap="1" wp14:anchorId="1142BFE3" wp14:editId="68BFA500">
            <wp:simplePos x="0" y="0"/>
            <wp:positionH relativeFrom="column">
              <wp:posOffset>-19050</wp:posOffset>
            </wp:positionH>
            <wp:positionV relativeFrom="paragraph">
              <wp:posOffset>414020</wp:posOffset>
            </wp:positionV>
            <wp:extent cx="4671695" cy="2714625"/>
            <wp:effectExtent l="0" t="0" r="1905" b="3175"/>
            <wp:wrapTopAndBottom/>
            <wp:docPr id="24785213" name="תמונה 24785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5213" name="תמונה 24785213"/>
                    <pic:cNvPicPr/>
                  </pic:nvPicPr>
                  <pic:blipFill>
                    <a:blip r:embed="rId41">
                      <a:extLst>
                        <a:ext uri="{28A0092B-C50C-407E-A947-70E740481C1C}">
                          <a14:useLocalDpi xmlns:a14="http://schemas.microsoft.com/office/drawing/2010/main" val="0"/>
                        </a:ext>
                      </a:extLst>
                    </a:blip>
                    <a:srcRect t="117" b="117"/>
                    <a:stretch>
                      <a:fillRect/>
                    </a:stretch>
                  </pic:blipFill>
                  <pic:spPr bwMode="auto">
                    <a:xfrm>
                      <a:off x="0" y="0"/>
                      <a:ext cx="4671695" cy="2714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4395" w:rsidRPr="00EC550D">
        <w:rPr>
          <w:rFonts w:hint="cs"/>
          <w:b w:val="0"/>
          <w:bCs w:val="0"/>
          <w:rtl/>
        </w:rPr>
        <w:t>תרשים 8:</w:t>
      </w:r>
      <w:r w:rsidR="007C4395" w:rsidRPr="00735003">
        <w:rPr>
          <w:rFonts w:hint="cs"/>
          <w:rtl/>
        </w:rPr>
        <w:t xml:space="preserve"> התפתחות הגירעון המצטבר כאחוז מהתוצר בשנים 2014 - 2020 (באחוזים)</w:t>
      </w:r>
    </w:p>
    <w:p w14:paraId="3EE067DB" w14:textId="77777777" w:rsidR="007C4395" w:rsidRPr="0098222D" w:rsidRDefault="007C4395" w:rsidP="00663652">
      <w:pPr>
        <w:pStyle w:val="71c"/>
        <w:spacing w:before="360"/>
        <w:rPr>
          <w:rtl/>
        </w:rPr>
      </w:pPr>
      <w:r w:rsidRPr="0098222D">
        <w:rPr>
          <w:rFonts w:hint="eastAsia"/>
          <w:rtl/>
        </w:rPr>
        <w:t>המקור</w:t>
      </w:r>
      <w:r w:rsidRPr="0098222D">
        <w:rPr>
          <w:rtl/>
        </w:rPr>
        <w:t xml:space="preserve">: </w:t>
      </w:r>
      <w:r w:rsidRPr="0098222D">
        <w:rPr>
          <w:rFonts w:hint="eastAsia"/>
          <w:rtl/>
        </w:rPr>
        <w:t>משרד</w:t>
      </w:r>
      <w:r w:rsidRPr="0098222D">
        <w:rPr>
          <w:rtl/>
        </w:rPr>
        <w:t xml:space="preserve"> </w:t>
      </w:r>
      <w:r w:rsidRPr="0098222D">
        <w:rPr>
          <w:rFonts w:hint="eastAsia"/>
          <w:rtl/>
        </w:rPr>
        <w:t>האוצר</w:t>
      </w:r>
      <w:r w:rsidRPr="0098222D">
        <w:rPr>
          <w:rtl/>
        </w:rPr>
        <w:t xml:space="preserve">, </w:t>
      </w:r>
      <w:r w:rsidRPr="0098222D">
        <w:rPr>
          <w:rFonts w:hint="eastAsia"/>
          <w:rtl/>
        </w:rPr>
        <w:t>המבוא</w:t>
      </w:r>
      <w:r w:rsidRPr="0098222D">
        <w:rPr>
          <w:rtl/>
        </w:rPr>
        <w:t xml:space="preserve"> </w:t>
      </w:r>
      <w:r w:rsidRPr="0098222D">
        <w:rPr>
          <w:rFonts w:hint="eastAsia"/>
          <w:rtl/>
        </w:rPr>
        <w:t>לדוחות</w:t>
      </w:r>
      <w:r w:rsidRPr="0098222D">
        <w:rPr>
          <w:rtl/>
        </w:rPr>
        <w:t xml:space="preserve"> </w:t>
      </w:r>
      <w:r w:rsidRPr="0098222D">
        <w:rPr>
          <w:rFonts w:hint="eastAsia"/>
          <w:rtl/>
        </w:rPr>
        <w:t>הכספיים</w:t>
      </w:r>
      <w:r w:rsidRPr="0098222D">
        <w:rPr>
          <w:rtl/>
        </w:rPr>
        <w:t xml:space="preserve"> </w:t>
      </w:r>
      <w:r w:rsidRPr="0098222D">
        <w:rPr>
          <w:rFonts w:hint="eastAsia"/>
          <w:rtl/>
        </w:rPr>
        <w:t>של</w:t>
      </w:r>
      <w:r w:rsidRPr="0098222D">
        <w:rPr>
          <w:rtl/>
        </w:rPr>
        <w:t xml:space="preserve"> </w:t>
      </w:r>
      <w:r w:rsidRPr="0098222D">
        <w:rPr>
          <w:rFonts w:hint="eastAsia"/>
          <w:rtl/>
        </w:rPr>
        <w:t>מדינת</w:t>
      </w:r>
      <w:r w:rsidRPr="0098222D">
        <w:rPr>
          <w:rtl/>
        </w:rPr>
        <w:t xml:space="preserve"> </w:t>
      </w:r>
      <w:r w:rsidRPr="0098222D">
        <w:rPr>
          <w:rFonts w:hint="eastAsia"/>
          <w:rtl/>
        </w:rPr>
        <w:t>ישראל</w:t>
      </w:r>
      <w:r w:rsidRPr="0098222D">
        <w:rPr>
          <w:rtl/>
        </w:rPr>
        <w:t xml:space="preserve"> </w:t>
      </w:r>
      <w:r w:rsidRPr="0098222D">
        <w:rPr>
          <w:rFonts w:hint="eastAsia"/>
          <w:rtl/>
        </w:rPr>
        <w:t>לשנת</w:t>
      </w:r>
      <w:r w:rsidRPr="0098222D">
        <w:rPr>
          <w:rtl/>
        </w:rPr>
        <w:t xml:space="preserve"> 2020.</w:t>
      </w:r>
    </w:p>
    <w:p w14:paraId="41FD113A" w14:textId="444F9665" w:rsidR="007C4395" w:rsidRDefault="007C4395" w:rsidP="00675951">
      <w:pPr>
        <w:pStyle w:val="71f4"/>
        <w:rPr>
          <w:rFonts w:eastAsiaTheme="minorHAnsi"/>
          <w:rtl/>
        </w:rPr>
      </w:pPr>
      <w:r w:rsidRPr="00675951">
        <w:rPr>
          <w:rFonts w:eastAsiaTheme="minorHAnsi" w:hint="cs"/>
          <w:rtl/>
        </w:rPr>
        <w:t xml:space="preserve">מהתרשים </w:t>
      </w:r>
      <w:r w:rsidRPr="00675951">
        <w:rPr>
          <w:rFonts w:eastAsiaTheme="minorHAnsi" w:hint="eastAsia"/>
          <w:rtl/>
        </w:rPr>
        <w:t>עולה</w:t>
      </w:r>
      <w:r w:rsidRPr="00675951">
        <w:rPr>
          <w:rFonts w:eastAsiaTheme="minorHAnsi"/>
          <w:rtl/>
        </w:rPr>
        <w:t xml:space="preserve"> כי </w:t>
      </w:r>
      <w:r w:rsidRPr="00675951">
        <w:rPr>
          <w:rFonts w:eastAsiaTheme="minorHAnsi" w:hint="eastAsia"/>
          <w:rtl/>
        </w:rPr>
        <w:t>פעולות</w:t>
      </w:r>
      <w:r w:rsidRPr="00675951">
        <w:rPr>
          <w:rFonts w:eastAsiaTheme="minorHAnsi"/>
          <w:rtl/>
        </w:rPr>
        <w:t xml:space="preserve"> </w:t>
      </w:r>
      <w:r w:rsidRPr="00675951">
        <w:rPr>
          <w:rFonts w:eastAsiaTheme="minorHAnsi" w:hint="eastAsia"/>
          <w:rtl/>
        </w:rPr>
        <w:t>הממשלה</w:t>
      </w:r>
      <w:r w:rsidRPr="00675951">
        <w:rPr>
          <w:rFonts w:eastAsiaTheme="minorHAnsi"/>
          <w:rtl/>
        </w:rPr>
        <w:t xml:space="preserve"> </w:t>
      </w:r>
      <w:r w:rsidRPr="00675951">
        <w:rPr>
          <w:rFonts w:eastAsiaTheme="minorHAnsi" w:hint="eastAsia"/>
          <w:rtl/>
        </w:rPr>
        <w:t>לסיוע</w:t>
      </w:r>
      <w:r w:rsidRPr="00675951">
        <w:rPr>
          <w:rFonts w:eastAsiaTheme="minorHAnsi"/>
          <w:rtl/>
        </w:rPr>
        <w:t xml:space="preserve"> </w:t>
      </w:r>
      <w:r w:rsidRPr="00675951">
        <w:rPr>
          <w:rFonts w:eastAsiaTheme="minorHAnsi" w:hint="eastAsia"/>
          <w:rtl/>
        </w:rPr>
        <w:t>למשק</w:t>
      </w:r>
      <w:r w:rsidRPr="00675951">
        <w:rPr>
          <w:rFonts w:eastAsiaTheme="minorHAnsi"/>
          <w:rtl/>
        </w:rPr>
        <w:t xml:space="preserve"> </w:t>
      </w:r>
      <w:r w:rsidRPr="00675951">
        <w:rPr>
          <w:rFonts w:eastAsiaTheme="minorHAnsi" w:hint="eastAsia"/>
          <w:rtl/>
        </w:rPr>
        <w:t>ולצמצום</w:t>
      </w:r>
      <w:r w:rsidRPr="00675951">
        <w:rPr>
          <w:rFonts w:eastAsiaTheme="minorHAnsi"/>
          <w:rtl/>
        </w:rPr>
        <w:t xml:space="preserve"> </w:t>
      </w:r>
      <w:r w:rsidRPr="00675951">
        <w:rPr>
          <w:rFonts w:eastAsiaTheme="minorHAnsi" w:hint="eastAsia"/>
          <w:rtl/>
        </w:rPr>
        <w:t>הפגיעה</w:t>
      </w:r>
      <w:r w:rsidRPr="00675951">
        <w:rPr>
          <w:rFonts w:eastAsiaTheme="minorHAnsi"/>
          <w:rtl/>
        </w:rPr>
        <w:t xml:space="preserve"> </w:t>
      </w:r>
      <w:r w:rsidRPr="00675951">
        <w:rPr>
          <w:rFonts w:eastAsiaTheme="minorHAnsi" w:hint="eastAsia"/>
          <w:rtl/>
        </w:rPr>
        <w:t>הכלכלית</w:t>
      </w:r>
      <w:r w:rsidRPr="00675951">
        <w:rPr>
          <w:rFonts w:eastAsiaTheme="minorHAnsi"/>
          <w:rtl/>
        </w:rPr>
        <w:t xml:space="preserve"> </w:t>
      </w:r>
      <w:r w:rsidRPr="00675951">
        <w:rPr>
          <w:rFonts w:eastAsiaTheme="minorHAnsi" w:hint="eastAsia"/>
          <w:rtl/>
        </w:rPr>
        <w:t>באזרחי</w:t>
      </w:r>
      <w:r w:rsidRPr="00675951">
        <w:rPr>
          <w:rFonts w:eastAsiaTheme="minorHAnsi"/>
          <w:rtl/>
        </w:rPr>
        <w:t xml:space="preserve"> </w:t>
      </w:r>
      <w:r w:rsidRPr="00675951">
        <w:rPr>
          <w:rFonts w:eastAsiaTheme="minorHAnsi" w:hint="eastAsia"/>
          <w:rtl/>
        </w:rPr>
        <w:t>המדינה</w:t>
      </w:r>
      <w:r w:rsidRPr="00675951">
        <w:rPr>
          <w:rFonts w:eastAsiaTheme="minorHAnsi"/>
          <w:rtl/>
        </w:rPr>
        <w:t xml:space="preserve"> </w:t>
      </w:r>
      <w:r w:rsidRPr="00675951">
        <w:rPr>
          <w:rFonts w:eastAsiaTheme="minorHAnsi" w:hint="eastAsia"/>
          <w:rtl/>
        </w:rPr>
        <w:t>בגין</w:t>
      </w:r>
      <w:r w:rsidRPr="00675951">
        <w:rPr>
          <w:rFonts w:eastAsiaTheme="minorHAnsi"/>
          <w:rtl/>
        </w:rPr>
        <w:t xml:space="preserve"> </w:t>
      </w:r>
      <w:r w:rsidRPr="00675951">
        <w:rPr>
          <w:rFonts w:eastAsiaTheme="minorHAnsi" w:hint="eastAsia"/>
          <w:rtl/>
        </w:rPr>
        <w:t>משבר</w:t>
      </w:r>
      <w:r w:rsidRPr="00675951">
        <w:rPr>
          <w:rFonts w:eastAsiaTheme="minorHAnsi"/>
          <w:rtl/>
        </w:rPr>
        <w:t xml:space="preserve"> </w:t>
      </w:r>
      <w:r w:rsidRPr="00675951">
        <w:rPr>
          <w:rFonts w:eastAsiaTheme="minorHAnsi" w:hint="eastAsia"/>
          <w:rtl/>
        </w:rPr>
        <w:t>הקורונה</w:t>
      </w:r>
      <w:r w:rsidRPr="00675951">
        <w:rPr>
          <w:rFonts w:eastAsiaTheme="minorHAnsi"/>
          <w:rtl/>
        </w:rPr>
        <w:t xml:space="preserve"> </w:t>
      </w:r>
      <w:r w:rsidRPr="00675951">
        <w:rPr>
          <w:rFonts w:eastAsiaTheme="minorHAnsi" w:hint="eastAsia"/>
          <w:rtl/>
        </w:rPr>
        <w:t>הביאו</w:t>
      </w:r>
      <w:r w:rsidRPr="00675951">
        <w:rPr>
          <w:rFonts w:eastAsiaTheme="minorHAnsi"/>
          <w:rtl/>
        </w:rPr>
        <w:t xml:space="preserve"> </w:t>
      </w:r>
      <w:r w:rsidRPr="00675951">
        <w:rPr>
          <w:rFonts w:eastAsiaTheme="minorHAnsi" w:hint="eastAsia"/>
          <w:rtl/>
        </w:rPr>
        <w:t>להגדלה</w:t>
      </w:r>
      <w:r w:rsidRPr="00675951">
        <w:rPr>
          <w:rFonts w:eastAsiaTheme="minorHAnsi"/>
          <w:rtl/>
        </w:rPr>
        <w:t xml:space="preserve"> </w:t>
      </w:r>
      <w:r w:rsidRPr="00675951">
        <w:rPr>
          <w:rFonts w:eastAsiaTheme="minorHAnsi" w:hint="eastAsia"/>
          <w:rtl/>
        </w:rPr>
        <w:t>ניכרת</w:t>
      </w:r>
      <w:r w:rsidRPr="00675951">
        <w:rPr>
          <w:rFonts w:eastAsiaTheme="minorHAnsi"/>
          <w:rtl/>
        </w:rPr>
        <w:t xml:space="preserve"> </w:t>
      </w:r>
      <w:r w:rsidRPr="00675951">
        <w:rPr>
          <w:rFonts w:eastAsiaTheme="minorHAnsi" w:hint="eastAsia"/>
          <w:rtl/>
        </w:rPr>
        <w:t>של</w:t>
      </w:r>
      <w:r w:rsidRPr="00675951">
        <w:rPr>
          <w:rFonts w:eastAsiaTheme="minorHAnsi"/>
          <w:rtl/>
        </w:rPr>
        <w:t xml:space="preserve"> </w:t>
      </w:r>
      <w:r w:rsidRPr="00675951">
        <w:rPr>
          <w:rFonts w:eastAsiaTheme="minorHAnsi" w:hint="eastAsia"/>
          <w:rtl/>
        </w:rPr>
        <w:t>ההוצאה</w:t>
      </w:r>
      <w:r w:rsidRPr="00675951">
        <w:rPr>
          <w:rFonts w:eastAsiaTheme="minorHAnsi"/>
          <w:rtl/>
        </w:rPr>
        <w:t xml:space="preserve"> </w:t>
      </w:r>
      <w:r w:rsidRPr="00675951">
        <w:rPr>
          <w:rFonts w:eastAsiaTheme="minorHAnsi" w:hint="eastAsia"/>
          <w:rtl/>
        </w:rPr>
        <w:t>הציבורית</w:t>
      </w:r>
      <w:r w:rsidRPr="00675951">
        <w:rPr>
          <w:rFonts w:eastAsiaTheme="minorHAnsi"/>
          <w:rtl/>
        </w:rPr>
        <w:t xml:space="preserve"> </w:t>
      </w:r>
      <w:r w:rsidRPr="00675951">
        <w:rPr>
          <w:rFonts w:eastAsiaTheme="minorHAnsi" w:hint="eastAsia"/>
          <w:rtl/>
        </w:rPr>
        <w:t>כך</w:t>
      </w:r>
      <w:r w:rsidRPr="00675951">
        <w:rPr>
          <w:rFonts w:eastAsiaTheme="minorHAnsi"/>
          <w:rtl/>
        </w:rPr>
        <w:t xml:space="preserve"> שרמת הגירעון המצטבר בשנת 2020 עמדה על כ-11.5% תוצר לעומת כ-3.7% תוצר בשנת 2019</w:t>
      </w:r>
      <w:r w:rsidRPr="00675951">
        <w:rPr>
          <w:rFonts w:eastAsiaTheme="minorHAnsi" w:hint="cs"/>
          <w:rtl/>
        </w:rPr>
        <w:t>. יצוין כי</w:t>
      </w:r>
      <w:r w:rsidRPr="00675951">
        <w:rPr>
          <w:rFonts w:eastAsiaTheme="minorHAnsi"/>
          <w:rtl/>
        </w:rPr>
        <w:t xml:space="preserve"> </w:t>
      </w:r>
      <w:r w:rsidRPr="00675951">
        <w:rPr>
          <w:rFonts w:eastAsiaTheme="minorHAnsi" w:hint="eastAsia"/>
          <w:rtl/>
        </w:rPr>
        <w:t>בהתאם</w:t>
      </w:r>
      <w:r w:rsidRPr="00675951">
        <w:rPr>
          <w:rFonts w:eastAsiaTheme="minorHAnsi"/>
          <w:rtl/>
        </w:rPr>
        <w:t xml:space="preserve"> </w:t>
      </w:r>
      <w:r w:rsidRPr="00675951">
        <w:rPr>
          <w:rFonts w:eastAsiaTheme="minorHAnsi" w:hint="eastAsia"/>
          <w:rtl/>
        </w:rPr>
        <w:t>להערכות</w:t>
      </w:r>
      <w:r w:rsidRPr="00675951">
        <w:rPr>
          <w:rFonts w:eastAsiaTheme="minorHAnsi"/>
          <w:rtl/>
        </w:rPr>
        <w:t xml:space="preserve"> משרד האוצר</w:t>
      </w:r>
      <w:r w:rsidRPr="00675951">
        <w:rPr>
          <w:rFonts w:eastAsiaTheme="minorHAnsi" w:hint="cs"/>
          <w:rtl/>
        </w:rPr>
        <w:t>,</w:t>
      </w:r>
      <w:r w:rsidRPr="00675951">
        <w:rPr>
          <w:rFonts w:eastAsiaTheme="minorHAnsi"/>
          <w:rtl/>
        </w:rPr>
        <w:t xml:space="preserve"> </w:t>
      </w:r>
      <w:r w:rsidRPr="00675951">
        <w:rPr>
          <w:rFonts w:eastAsiaTheme="minorHAnsi" w:hint="eastAsia"/>
          <w:rtl/>
        </w:rPr>
        <w:t>הגירעון</w:t>
      </w:r>
      <w:r w:rsidRPr="00675951">
        <w:rPr>
          <w:rFonts w:eastAsiaTheme="minorHAnsi"/>
          <w:rtl/>
        </w:rPr>
        <w:t xml:space="preserve"> המשוער </w:t>
      </w:r>
      <w:r w:rsidRPr="00675951">
        <w:rPr>
          <w:rFonts w:eastAsiaTheme="minorHAnsi" w:hint="eastAsia"/>
          <w:rtl/>
        </w:rPr>
        <w:t>ללא</w:t>
      </w:r>
      <w:r w:rsidRPr="00675951">
        <w:rPr>
          <w:rFonts w:eastAsiaTheme="minorHAnsi"/>
          <w:rtl/>
        </w:rPr>
        <w:t xml:space="preserve"> </w:t>
      </w:r>
      <w:r w:rsidRPr="00675951">
        <w:rPr>
          <w:rFonts w:eastAsiaTheme="minorHAnsi" w:hint="eastAsia"/>
          <w:rtl/>
        </w:rPr>
        <w:t>השפעות</w:t>
      </w:r>
      <w:r w:rsidRPr="00675951">
        <w:rPr>
          <w:rFonts w:eastAsiaTheme="minorHAnsi"/>
          <w:rtl/>
        </w:rPr>
        <w:t xml:space="preserve"> משבר הקורונה בשנת 2020 </w:t>
      </w:r>
      <w:r w:rsidRPr="00675951">
        <w:rPr>
          <w:rFonts w:eastAsiaTheme="minorHAnsi" w:hint="eastAsia"/>
          <w:rtl/>
        </w:rPr>
        <w:t>צפוי</w:t>
      </w:r>
      <w:r w:rsidRPr="00675951">
        <w:rPr>
          <w:rFonts w:eastAsiaTheme="minorHAnsi"/>
          <w:rtl/>
        </w:rPr>
        <w:t xml:space="preserve"> </w:t>
      </w:r>
      <w:r w:rsidRPr="00675951">
        <w:rPr>
          <w:rFonts w:eastAsiaTheme="minorHAnsi" w:hint="eastAsia"/>
          <w:rtl/>
        </w:rPr>
        <w:t>היה</w:t>
      </w:r>
      <w:r w:rsidRPr="00675951">
        <w:rPr>
          <w:rFonts w:eastAsiaTheme="minorHAnsi"/>
          <w:rtl/>
        </w:rPr>
        <w:t xml:space="preserve"> </w:t>
      </w:r>
      <w:r w:rsidRPr="00675951">
        <w:rPr>
          <w:rFonts w:eastAsiaTheme="minorHAnsi" w:hint="eastAsia"/>
          <w:rtl/>
        </w:rPr>
        <w:t>לעמוד</w:t>
      </w:r>
      <w:r w:rsidRPr="00675951">
        <w:rPr>
          <w:rFonts w:eastAsiaTheme="minorHAnsi"/>
          <w:rtl/>
        </w:rPr>
        <w:t xml:space="preserve"> על כ-3.3%</w:t>
      </w:r>
      <w:r w:rsidRPr="00675951">
        <w:rPr>
          <w:rStyle w:val="ac"/>
          <w:rtl/>
        </w:rPr>
        <w:footnoteReference w:id="26"/>
      </w:r>
      <w:r w:rsidRPr="00675951">
        <w:rPr>
          <w:rFonts w:eastAsiaTheme="minorHAnsi"/>
          <w:rtl/>
        </w:rPr>
        <w:t>.</w:t>
      </w:r>
    </w:p>
    <w:p w14:paraId="3C49846C" w14:textId="77777777" w:rsidR="00B62766" w:rsidRPr="00B62766" w:rsidRDefault="00B62766" w:rsidP="00B62766">
      <w:pPr>
        <w:pStyle w:val="7190"/>
        <w:spacing w:after="0"/>
        <w:rPr>
          <w:rtl/>
        </w:rPr>
      </w:pPr>
    </w:p>
    <w:p w14:paraId="248AC1A7" w14:textId="77777777" w:rsidR="007C4395" w:rsidRDefault="007C4395" w:rsidP="003B2683">
      <w:pPr>
        <w:pStyle w:val="71f4"/>
        <w:rPr>
          <w:rtl/>
        </w:rPr>
      </w:pPr>
      <w:r w:rsidRPr="00A47C4C">
        <w:rPr>
          <w:rFonts w:hint="eastAsia"/>
          <w:rtl/>
        </w:rPr>
        <w:t>מנתוני</w:t>
      </w:r>
      <w:r w:rsidRPr="00A47C4C">
        <w:rPr>
          <w:rtl/>
        </w:rPr>
        <w:t xml:space="preserve"> </w:t>
      </w:r>
      <w:r w:rsidRPr="00A47C4C">
        <w:rPr>
          <w:rFonts w:hint="eastAsia"/>
          <w:rtl/>
        </w:rPr>
        <w:t>הדוחות</w:t>
      </w:r>
      <w:r w:rsidRPr="00A47C4C">
        <w:rPr>
          <w:rtl/>
        </w:rPr>
        <w:t xml:space="preserve"> </w:t>
      </w:r>
      <w:r w:rsidRPr="00A47C4C">
        <w:rPr>
          <w:rFonts w:hint="eastAsia"/>
          <w:rtl/>
        </w:rPr>
        <w:t>הכספיים</w:t>
      </w:r>
      <w:r w:rsidRPr="00A47C4C">
        <w:rPr>
          <w:rtl/>
        </w:rPr>
        <w:t xml:space="preserve"> </w:t>
      </w:r>
      <w:r w:rsidRPr="00A47C4C">
        <w:rPr>
          <w:rFonts w:hint="eastAsia"/>
          <w:rtl/>
        </w:rPr>
        <w:t>עולה</w:t>
      </w:r>
      <w:r w:rsidRPr="00A47C4C">
        <w:rPr>
          <w:rtl/>
        </w:rPr>
        <w:t xml:space="preserve"> </w:t>
      </w:r>
      <w:r w:rsidRPr="00A47C4C">
        <w:rPr>
          <w:rFonts w:hint="eastAsia"/>
          <w:rtl/>
        </w:rPr>
        <w:t>כי</w:t>
      </w:r>
      <w:r w:rsidRPr="00A47C4C">
        <w:rPr>
          <w:rtl/>
        </w:rPr>
        <w:t xml:space="preserve"> </w:t>
      </w:r>
      <w:r>
        <w:rPr>
          <w:rFonts w:hint="cs"/>
          <w:rtl/>
        </w:rPr>
        <w:t xml:space="preserve">סך </w:t>
      </w:r>
      <w:r w:rsidRPr="00A47C4C">
        <w:rPr>
          <w:rtl/>
        </w:rPr>
        <w:t xml:space="preserve">ההוצאות בשנת 2020 </w:t>
      </w:r>
      <w:r w:rsidRPr="00A47C4C">
        <w:rPr>
          <w:rFonts w:hint="eastAsia"/>
          <w:rtl/>
        </w:rPr>
        <w:t>בהשוואה</w:t>
      </w:r>
      <w:r w:rsidRPr="00A47C4C">
        <w:rPr>
          <w:rtl/>
        </w:rPr>
        <w:t xml:space="preserve"> לשנת 2019 </w:t>
      </w:r>
      <w:r w:rsidRPr="00A47C4C">
        <w:rPr>
          <w:rFonts w:hint="eastAsia"/>
          <w:rtl/>
        </w:rPr>
        <w:t>קטנו</w:t>
      </w:r>
      <w:r w:rsidRPr="00A47C4C">
        <w:rPr>
          <w:rtl/>
        </w:rPr>
        <w:t xml:space="preserve"> </w:t>
      </w:r>
      <w:proofErr w:type="spellStart"/>
      <w:r w:rsidRPr="00A47C4C">
        <w:rPr>
          <w:rtl/>
        </w:rPr>
        <w:t>בכ</w:t>
      </w:r>
      <w:proofErr w:type="spellEnd"/>
      <w:r w:rsidRPr="00A47C4C">
        <w:rPr>
          <w:rtl/>
        </w:rPr>
        <w:t>-</w:t>
      </w:r>
      <w:r w:rsidRPr="00A47C4C">
        <w:rPr>
          <w:rFonts w:hint="cs"/>
          <w:rtl/>
        </w:rPr>
        <w:t>31</w:t>
      </w:r>
      <w:r w:rsidRPr="00A47C4C">
        <w:rPr>
          <w:rtl/>
        </w:rPr>
        <w:t xml:space="preserve"> </w:t>
      </w:r>
      <w:r w:rsidRPr="00A47C4C">
        <w:rPr>
          <w:rFonts w:hint="eastAsia"/>
          <w:rtl/>
        </w:rPr>
        <w:t>מיליארד</w:t>
      </w:r>
      <w:r w:rsidRPr="00A47C4C">
        <w:rPr>
          <w:rtl/>
        </w:rPr>
        <w:t xml:space="preserve"> </w:t>
      </w:r>
      <w:r w:rsidRPr="00A47C4C">
        <w:rPr>
          <w:rFonts w:hint="eastAsia"/>
          <w:rtl/>
        </w:rPr>
        <w:t>ש</w:t>
      </w:r>
      <w:r w:rsidRPr="00A47C4C">
        <w:rPr>
          <w:rtl/>
        </w:rPr>
        <w:t>"ח (</w:t>
      </w:r>
      <w:r w:rsidRPr="00A47C4C">
        <w:rPr>
          <w:rFonts w:hint="cs"/>
          <w:rtl/>
        </w:rPr>
        <w:t xml:space="preserve">בין היתר </w:t>
      </w:r>
      <w:r w:rsidRPr="00A47C4C">
        <w:rPr>
          <w:rFonts w:hint="eastAsia"/>
          <w:rtl/>
        </w:rPr>
        <w:t>כתוצאה</w:t>
      </w:r>
      <w:r w:rsidRPr="00A47C4C">
        <w:rPr>
          <w:rtl/>
        </w:rPr>
        <w:t xml:space="preserve"> </w:t>
      </w:r>
      <w:r w:rsidRPr="00A47C4C">
        <w:rPr>
          <w:rFonts w:hint="eastAsia"/>
          <w:rtl/>
        </w:rPr>
        <w:t>מגידול</w:t>
      </w:r>
      <w:r w:rsidRPr="00A47C4C">
        <w:rPr>
          <w:rtl/>
        </w:rPr>
        <w:t xml:space="preserve"> </w:t>
      </w:r>
      <w:r w:rsidRPr="00A47C4C">
        <w:rPr>
          <w:rFonts w:hint="eastAsia"/>
          <w:rtl/>
        </w:rPr>
        <w:t>בהוצאה</w:t>
      </w:r>
      <w:r w:rsidRPr="00A47C4C">
        <w:rPr>
          <w:rtl/>
        </w:rPr>
        <w:t xml:space="preserve"> </w:t>
      </w:r>
      <w:r w:rsidRPr="00A47C4C">
        <w:rPr>
          <w:rFonts w:hint="eastAsia"/>
          <w:rtl/>
        </w:rPr>
        <w:t>הציבורית</w:t>
      </w:r>
      <w:r w:rsidRPr="00A47C4C">
        <w:rPr>
          <w:rtl/>
        </w:rPr>
        <w:t xml:space="preserve"> </w:t>
      </w:r>
      <w:r w:rsidRPr="00A47C4C">
        <w:rPr>
          <w:rFonts w:hint="eastAsia"/>
          <w:rtl/>
        </w:rPr>
        <w:t>מחד</w:t>
      </w:r>
      <w:r w:rsidRPr="00A47C4C">
        <w:rPr>
          <w:rFonts w:hint="cs"/>
          <w:rtl/>
        </w:rPr>
        <w:t>,</w:t>
      </w:r>
      <w:r w:rsidRPr="00A47C4C">
        <w:rPr>
          <w:rtl/>
        </w:rPr>
        <w:t xml:space="preserve"> </w:t>
      </w:r>
      <w:r w:rsidRPr="00A47C4C">
        <w:rPr>
          <w:rFonts w:hint="eastAsia"/>
          <w:rtl/>
        </w:rPr>
        <w:t>ומאידך</w:t>
      </w:r>
      <w:r w:rsidRPr="00A47C4C">
        <w:rPr>
          <w:rFonts w:hint="cs"/>
          <w:rtl/>
        </w:rPr>
        <w:t xml:space="preserve"> </w:t>
      </w:r>
      <w:r w:rsidRPr="00A47C4C">
        <w:rPr>
          <w:rFonts w:hint="eastAsia"/>
          <w:rtl/>
        </w:rPr>
        <w:t>מ</w:t>
      </w:r>
      <w:r w:rsidRPr="00A47C4C">
        <w:rPr>
          <w:rtl/>
        </w:rPr>
        <w:t>קיטון של כ-105 מיליארד ש"ח ב</w:t>
      </w:r>
      <w:r>
        <w:rPr>
          <w:rFonts w:hint="cs"/>
          <w:rtl/>
        </w:rPr>
        <w:t>הוצאה בגין המחויבות</w:t>
      </w:r>
      <w:r w:rsidRPr="00A47C4C">
        <w:rPr>
          <w:rtl/>
        </w:rPr>
        <w:t xml:space="preserve"> האקטוארי</w:t>
      </w:r>
      <w:r>
        <w:rPr>
          <w:rtl/>
        </w:rPr>
        <w:t>ת של המוסד לביטוח לאומי לזכאים</w:t>
      </w:r>
      <w:r w:rsidRPr="00A47C4C">
        <w:rPr>
          <w:rFonts w:hint="cs"/>
          <w:rtl/>
        </w:rPr>
        <w:t>)</w:t>
      </w:r>
      <w:r w:rsidRPr="00A47C4C">
        <w:rPr>
          <w:rtl/>
        </w:rPr>
        <w:t>.</w:t>
      </w:r>
      <w:r w:rsidRPr="00A47C4C">
        <w:rPr>
          <w:rFonts w:hint="cs"/>
          <w:rtl/>
        </w:rPr>
        <w:t xml:space="preserve"> </w:t>
      </w:r>
      <w:r w:rsidRPr="00A47C4C">
        <w:rPr>
          <w:rFonts w:hint="eastAsia"/>
          <w:rtl/>
        </w:rPr>
        <w:t>עוד</w:t>
      </w:r>
      <w:r w:rsidRPr="00A47C4C">
        <w:rPr>
          <w:rtl/>
        </w:rPr>
        <w:t xml:space="preserve"> עולה</w:t>
      </w:r>
      <w:r w:rsidRPr="00A47C4C">
        <w:rPr>
          <w:rFonts w:hint="cs"/>
          <w:rtl/>
        </w:rPr>
        <w:t xml:space="preserve"> מנתוני הדוחות הכספיים</w:t>
      </w:r>
      <w:r w:rsidRPr="00A47C4C">
        <w:rPr>
          <w:rtl/>
        </w:rPr>
        <w:t xml:space="preserve"> כי </w:t>
      </w:r>
      <w:r w:rsidRPr="00A47C4C">
        <w:rPr>
          <w:rFonts w:hint="cs"/>
          <w:rtl/>
        </w:rPr>
        <w:t>סך</w:t>
      </w:r>
      <w:r w:rsidRPr="00A47C4C">
        <w:rPr>
          <w:rtl/>
        </w:rPr>
        <w:t xml:space="preserve"> </w:t>
      </w:r>
      <w:r w:rsidRPr="00A47C4C">
        <w:rPr>
          <w:rFonts w:hint="eastAsia"/>
          <w:rtl/>
        </w:rPr>
        <w:t>הכנסות</w:t>
      </w:r>
      <w:r w:rsidRPr="00A47C4C">
        <w:rPr>
          <w:rtl/>
        </w:rPr>
        <w:t xml:space="preserve"> </w:t>
      </w:r>
      <w:r w:rsidRPr="00A47C4C">
        <w:rPr>
          <w:rFonts w:hint="eastAsia"/>
          <w:rtl/>
        </w:rPr>
        <w:t>המדינה</w:t>
      </w:r>
      <w:r w:rsidRPr="00A47C4C">
        <w:rPr>
          <w:rtl/>
        </w:rPr>
        <w:t xml:space="preserve"> פחתו </w:t>
      </w:r>
      <w:proofErr w:type="spellStart"/>
      <w:r w:rsidRPr="00A47C4C">
        <w:rPr>
          <w:rtl/>
        </w:rPr>
        <w:t>בכ</w:t>
      </w:r>
      <w:proofErr w:type="spellEnd"/>
      <w:r w:rsidRPr="00A47C4C">
        <w:rPr>
          <w:rtl/>
        </w:rPr>
        <w:t xml:space="preserve">-17 </w:t>
      </w:r>
      <w:r w:rsidRPr="00A47C4C">
        <w:rPr>
          <w:rFonts w:hint="eastAsia"/>
          <w:rtl/>
        </w:rPr>
        <w:t>כמיליארד</w:t>
      </w:r>
      <w:r w:rsidRPr="00A47C4C">
        <w:rPr>
          <w:rtl/>
        </w:rPr>
        <w:t xml:space="preserve"> </w:t>
      </w:r>
      <w:r w:rsidRPr="00A47C4C">
        <w:rPr>
          <w:rFonts w:hint="eastAsia"/>
          <w:rtl/>
        </w:rPr>
        <w:t>ש</w:t>
      </w:r>
      <w:r w:rsidRPr="00A47C4C">
        <w:rPr>
          <w:rtl/>
        </w:rPr>
        <w:t xml:space="preserve">"ח </w:t>
      </w:r>
      <w:r w:rsidRPr="00A47C4C">
        <w:rPr>
          <w:rFonts w:hint="eastAsia"/>
          <w:rtl/>
        </w:rPr>
        <w:t>וכי</w:t>
      </w:r>
      <w:r w:rsidRPr="00A47C4C">
        <w:rPr>
          <w:rtl/>
        </w:rPr>
        <w:t xml:space="preserve"> </w:t>
      </w:r>
      <w:r w:rsidRPr="00A47C4C">
        <w:rPr>
          <w:rFonts w:hint="eastAsia"/>
          <w:rtl/>
        </w:rPr>
        <w:t>לג</w:t>
      </w:r>
      <w:r>
        <w:rPr>
          <w:rFonts w:hint="cs"/>
          <w:rtl/>
        </w:rPr>
        <w:t>י</w:t>
      </w:r>
      <w:r w:rsidRPr="00A47C4C">
        <w:rPr>
          <w:rFonts w:hint="eastAsia"/>
          <w:rtl/>
        </w:rPr>
        <w:t>רעון</w:t>
      </w:r>
      <w:r w:rsidRPr="00A47C4C">
        <w:rPr>
          <w:rtl/>
        </w:rPr>
        <w:t xml:space="preserve"> </w:t>
      </w:r>
      <w:r>
        <w:rPr>
          <w:rFonts w:hint="cs"/>
          <w:rtl/>
        </w:rPr>
        <w:t xml:space="preserve">החשבונאי </w:t>
      </w:r>
      <w:r w:rsidRPr="00A47C4C">
        <w:rPr>
          <w:rFonts w:hint="eastAsia"/>
          <w:rtl/>
        </w:rPr>
        <w:t>השנתי</w:t>
      </w:r>
      <w:r w:rsidRPr="00A47C4C">
        <w:rPr>
          <w:rtl/>
        </w:rPr>
        <w:t xml:space="preserve"> </w:t>
      </w:r>
      <w:r w:rsidRPr="00A47C4C">
        <w:rPr>
          <w:rFonts w:hint="cs"/>
          <w:rtl/>
        </w:rPr>
        <w:t>שעמד על כ-</w:t>
      </w:r>
      <w:r w:rsidRPr="00A47C4C">
        <w:rPr>
          <w:rtl/>
        </w:rPr>
        <w:t xml:space="preserve">170 </w:t>
      </w:r>
      <w:r w:rsidRPr="00A47C4C">
        <w:rPr>
          <w:rFonts w:hint="eastAsia"/>
          <w:rtl/>
        </w:rPr>
        <w:t>מיליארד</w:t>
      </w:r>
      <w:r w:rsidRPr="00A47C4C">
        <w:rPr>
          <w:rtl/>
        </w:rPr>
        <w:t xml:space="preserve"> </w:t>
      </w:r>
      <w:r w:rsidRPr="00A47C4C">
        <w:rPr>
          <w:rFonts w:hint="eastAsia"/>
          <w:rtl/>
        </w:rPr>
        <w:t>ש</w:t>
      </w:r>
      <w:r w:rsidRPr="00A47C4C">
        <w:rPr>
          <w:rtl/>
        </w:rPr>
        <w:t xml:space="preserve">"ח </w:t>
      </w:r>
      <w:r w:rsidRPr="00A47C4C">
        <w:rPr>
          <w:rFonts w:hint="eastAsia"/>
          <w:rtl/>
        </w:rPr>
        <w:t>נוספו</w:t>
      </w:r>
      <w:r w:rsidRPr="00A47C4C">
        <w:rPr>
          <w:rtl/>
        </w:rPr>
        <w:t xml:space="preserve"> </w:t>
      </w:r>
      <w:r w:rsidRPr="00A47C4C">
        <w:rPr>
          <w:rFonts w:hint="eastAsia"/>
          <w:rtl/>
        </w:rPr>
        <w:t>שינויים</w:t>
      </w:r>
      <w:r w:rsidRPr="00A47C4C">
        <w:rPr>
          <w:rtl/>
        </w:rPr>
        <w:t xml:space="preserve"> </w:t>
      </w:r>
      <w:r w:rsidRPr="00A47C4C">
        <w:rPr>
          <w:rFonts w:hint="eastAsia"/>
          <w:rtl/>
        </w:rPr>
        <w:t>בנכסים</w:t>
      </w:r>
      <w:r w:rsidRPr="00A47C4C">
        <w:rPr>
          <w:rtl/>
        </w:rPr>
        <w:t xml:space="preserve"> </w:t>
      </w:r>
      <w:r w:rsidRPr="00A47C4C">
        <w:rPr>
          <w:rFonts w:hint="eastAsia"/>
          <w:rtl/>
        </w:rPr>
        <w:t>נטו</w:t>
      </w:r>
      <w:r w:rsidRPr="00A47C4C">
        <w:rPr>
          <w:rtl/>
        </w:rPr>
        <w:t xml:space="preserve"> (</w:t>
      </w:r>
      <w:r w:rsidRPr="00A47C4C">
        <w:rPr>
          <w:rFonts w:hint="eastAsia"/>
          <w:rtl/>
        </w:rPr>
        <w:t>הגדלת</w:t>
      </w:r>
      <w:r w:rsidRPr="00A47C4C">
        <w:rPr>
          <w:rtl/>
        </w:rPr>
        <w:t xml:space="preserve"> </w:t>
      </w:r>
      <w:r w:rsidRPr="00A47C4C">
        <w:rPr>
          <w:rFonts w:hint="cs"/>
          <w:rtl/>
        </w:rPr>
        <w:t>ה</w:t>
      </w:r>
      <w:r w:rsidRPr="00A47C4C">
        <w:rPr>
          <w:rFonts w:hint="eastAsia"/>
          <w:rtl/>
        </w:rPr>
        <w:t>ג</w:t>
      </w:r>
      <w:r>
        <w:rPr>
          <w:rFonts w:hint="cs"/>
          <w:rtl/>
        </w:rPr>
        <w:t>י</w:t>
      </w:r>
      <w:r w:rsidRPr="00A47C4C">
        <w:rPr>
          <w:rFonts w:hint="eastAsia"/>
          <w:rtl/>
        </w:rPr>
        <w:t>רעון</w:t>
      </w:r>
      <w:r w:rsidRPr="00A47C4C">
        <w:rPr>
          <w:rtl/>
        </w:rPr>
        <w:t xml:space="preserve">) </w:t>
      </w:r>
      <w:r w:rsidRPr="00A47C4C">
        <w:rPr>
          <w:rFonts w:hint="eastAsia"/>
          <w:rtl/>
        </w:rPr>
        <w:t>בהיקף</w:t>
      </w:r>
      <w:r w:rsidRPr="00A47C4C">
        <w:rPr>
          <w:rtl/>
        </w:rPr>
        <w:t xml:space="preserve"> </w:t>
      </w:r>
      <w:r w:rsidRPr="00A47C4C">
        <w:rPr>
          <w:rFonts w:hint="eastAsia"/>
          <w:rtl/>
        </w:rPr>
        <w:t>של</w:t>
      </w:r>
      <w:r w:rsidRPr="00A47C4C">
        <w:rPr>
          <w:rtl/>
        </w:rPr>
        <w:t xml:space="preserve"> 6</w:t>
      </w:r>
      <w:r w:rsidRPr="00A47C4C">
        <w:rPr>
          <w:rFonts w:hint="cs"/>
          <w:rtl/>
        </w:rPr>
        <w:t>6</w:t>
      </w:r>
      <w:r w:rsidRPr="00A47C4C">
        <w:rPr>
          <w:rtl/>
        </w:rPr>
        <w:t xml:space="preserve"> מיליארד ש"ח </w:t>
      </w:r>
      <w:r w:rsidRPr="00A47C4C">
        <w:rPr>
          <w:rFonts w:hint="eastAsia"/>
          <w:rtl/>
        </w:rPr>
        <w:t>אשר</w:t>
      </w:r>
      <w:r w:rsidRPr="00A47C4C">
        <w:rPr>
          <w:rtl/>
        </w:rPr>
        <w:t xml:space="preserve"> </w:t>
      </w:r>
      <w:r w:rsidRPr="00A47C4C">
        <w:rPr>
          <w:rFonts w:hint="eastAsia"/>
          <w:rtl/>
        </w:rPr>
        <w:t>הביאו</w:t>
      </w:r>
      <w:r w:rsidRPr="00A47C4C">
        <w:rPr>
          <w:rtl/>
        </w:rPr>
        <w:t xml:space="preserve"> </w:t>
      </w:r>
      <w:r w:rsidRPr="00A47C4C">
        <w:rPr>
          <w:rFonts w:hint="eastAsia"/>
          <w:rtl/>
        </w:rPr>
        <w:t>להגדלת</w:t>
      </w:r>
      <w:r w:rsidRPr="00A47C4C">
        <w:rPr>
          <w:rtl/>
        </w:rPr>
        <w:t xml:space="preserve"> </w:t>
      </w:r>
      <w:r w:rsidRPr="00A47C4C">
        <w:rPr>
          <w:rFonts w:hint="eastAsia"/>
          <w:rtl/>
        </w:rPr>
        <w:t>הג</w:t>
      </w:r>
      <w:r>
        <w:rPr>
          <w:rFonts w:hint="cs"/>
          <w:rtl/>
        </w:rPr>
        <w:t>י</w:t>
      </w:r>
      <w:r w:rsidRPr="00A47C4C">
        <w:rPr>
          <w:rFonts w:hint="eastAsia"/>
          <w:rtl/>
        </w:rPr>
        <w:t>רעון</w:t>
      </w:r>
      <w:r w:rsidRPr="00A47C4C">
        <w:rPr>
          <w:rtl/>
        </w:rPr>
        <w:t xml:space="preserve"> </w:t>
      </w:r>
      <w:r>
        <w:rPr>
          <w:rFonts w:hint="cs"/>
          <w:rtl/>
        </w:rPr>
        <w:t xml:space="preserve">החשבונאי </w:t>
      </w:r>
      <w:r w:rsidRPr="00A47C4C">
        <w:rPr>
          <w:rFonts w:hint="eastAsia"/>
          <w:rtl/>
        </w:rPr>
        <w:t>המצטבר</w:t>
      </w:r>
      <w:r w:rsidRPr="00A47C4C">
        <w:rPr>
          <w:rtl/>
        </w:rPr>
        <w:t xml:space="preserve"> </w:t>
      </w:r>
      <w:proofErr w:type="spellStart"/>
      <w:r w:rsidRPr="00A47C4C">
        <w:rPr>
          <w:rFonts w:hint="cs"/>
          <w:rtl/>
        </w:rPr>
        <w:t>ל</w:t>
      </w:r>
      <w:r w:rsidRPr="00A47C4C">
        <w:rPr>
          <w:rFonts w:hint="eastAsia"/>
          <w:rtl/>
        </w:rPr>
        <w:t>כ</w:t>
      </w:r>
      <w:proofErr w:type="spellEnd"/>
      <w:r w:rsidRPr="00A47C4C">
        <w:rPr>
          <w:rtl/>
        </w:rPr>
        <w:t>-23</w:t>
      </w:r>
      <w:r w:rsidRPr="00A47C4C">
        <w:rPr>
          <w:rFonts w:hint="cs"/>
          <w:rtl/>
        </w:rPr>
        <w:t>6</w:t>
      </w:r>
      <w:r w:rsidRPr="00A47C4C">
        <w:rPr>
          <w:rtl/>
        </w:rPr>
        <w:t xml:space="preserve"> מ</w:t>
      </w:r>
      <w:r w:rsidRPr="00A47C4C">
        <w:rPr>
          <w:rFonts w:hint="eastAsia"/>
          <w:rtl/>
        </w:rPr>
        <w:t>יליארד</w:t>
      </w:r>
      <w:r w:rsidRPr="00A47C4C">
        <w:rPr>
          <w:rtl/>
        </w:rPr>
        <w:t xml:space="preserve"> ש"ח</w:t>
      </w:r>
      <w:r w:rsidRPr="00A47C4C">
        <w:rPr>
          <w:rFonts w:hint="cs"/>
          <w:rtl/>
        </w:rPr>
        <w:t>. סכום זה</w:t>
      </w:r>
      <w:r w:rsidRPr="00A47C4C">
        <w:rPr>
          <w:rtl/>
        </w:rPr>
        <w:t xml:space="preserve"> </w:t>
      </w:r>
      <w:r w:rsidRPr="00A47C4C">
        <w:rPr>
          <w:rFonts w:hint="cs"/>
          <w:rtl/>
        </w:rPr>
        <w:t>מומן</w:t>
      </w:r>
      <w:r w:rsidRPr="00A47C4C">
        <w:rPr>
          <w:rtl/>
        </w:rPr>
        <w:t xml:space="preserve"> ברוב</w:t>
      </w:r>
      <w:r w:rsidRPr="00A47C4C">
        <w:rPr>
          <w:rFonts w:hint="cs"/>
          <w:rtl/>
        </w:rPr>
        <w:t>ו</w:t>
      </w:r>
      <w:r w:rsidRPr="00A47C4C">
        <w:rPr>
          <w:rtl/>
        </w:rPr>
        <w:t xml:space="preserve"> ע"י </w:t>
      </w:r>
      <w:r w:rsidRPr="00A47C4C">
        <w:rPr>
          <w:rFonts w:hint="cs"/>
          <w:rtl/>
        </w:rPr>
        <w:t>ע</w:t>
      </w:r>
      <w:r w:rsidRPr="00A47C4C">
        <w:rPr>
          <w:rFonts w:hint="eastAsia"/>
          <w:rtl/>
        </w:rPr>
        <w:t>לי</w:t>
      </w:r>
      <w:r w:rsidRPr="00A47C4C">
        <w:rPr>
          <w:rFonts w:hint="cs"/>
          <w:rtl/>
        </w:rPr>
        <w:t>י</w:t>
      </w:r>
      <w:r w:rsidRPr="00A47C4C">
        <w:rPr>
          <w:rFonts w:hint="eastAsia"/>
          <w:rtl/>
        </w:rPr>
        <w:t>ה</w:t>
      </w:r>
      <w:r w:rsidRPr="00A47C4C">
        <w:rPr>
          <w:rtl/>
        </w:rPr>
        <w:t xml:space="preserve"> </w:t>
      </w:r>
      <w:r w:rsidRPr="00A47C4C">
        <w:rPr>
          <w:rFonts w:hint="eastAsia"/>
          <w:rtl/>
        </w:rPr>
        <w:t>בגובה</w:t>
      </w:r>
      <w:r w:rsidRPr="00A47C4C">
        <w:rPr>
          <w:rtl/>
        </w:rPr>
        <w:t xml:space="preserve"> </w:t>
      </w:r>
      <w:r w:rsidRPr="00A47C4C">
        <w:rPr>
          <w:rFonts w:hint="eastAsia"/>
          <w:rtl/>
        </w:rPr>
        <w:t>החוב</w:t>
      </w:r>
      <w:r w:rsidRPr="00A47C4C">
        <w:rPr>
          <w:rtl/>
        </w:rPr>
        <w:t xml:space="preserve"> </w:t>
      </w:r>
      <w:r w:rsidRPr="00A47C4C">
        <w:rPr>
          <w:rFonts w:hint="eastAsia"/>
          <w:rtl/>
        </w:rPr>
        <w:t>הממשלתי</w:t>
      </w:r>
      <w:r w:rsidRPr="00A47C4C">
        <w:rPr>
          <w:rtl/>
        </w:rPr>
        <w:t xml:space="preserve"> (מלוות פנים וחוץ</w:t>
      </w:r>
      <w:r w:rsidRPr="00A47C4C">
        <w:rPr>
          <w:rFonts w:hint="cs"/>
          <w:rtl/>
        </w:rPr>
        <w:t xml:space="preserve"> כולל חלויות שוטפות</w:t>
      </w:r>
      <w:r w:rsidRPr="00A47C4C">
        <w:rPr>
          <w:rtl/>
        </w:rPr>
        <w:t xml:space="preserve">) </w:t>
      </w:r>
      <w:proofErr w:type="spellStart"/>
      <w:r w:rsidRPr="00A47C4C">
        <w:rPr>
          <w:rFonts w:hint="eastAsia"/>
          <w:rtl/>
        </w:rPr>
        <w:t>בכ</w:t>
      </w:r>
      <w:proofErr w:type="spellEnd"/>
      <w:r w:rsidRPr="00A47C4C">
        <w:rPr>
          <w:rtl/>
        </w:rPr>
        <w:t>-</w:t>
      </w:r>
      <w:r w:rsidRPr="00A47C4C">
        <w:rPr>
          <w:rFonts w:hint="cs"/>
          <w:rtl/>
        </w:rPr>
        <w:t>164</w:t>
      </w:r>
      <w:r w:rsidRPr="00A47C4C">
        <w:rPr>
          <w:rtl/>
        </w:rPr>
        <w:t xml:space="preserve"> </w:t>
      </w:r>
      <w:r w:rsidRPr="00A47C4C">
        <w:rPr>
          <w:rFonts w:hint="eastAsia"/>
          <w:rtl/>
        </w:rPr>
        <w:t>מיליארד</w:t>
      </w:r>
      <w:r w:rsidRPr="00A47C4C">
        <w:rPr>
          <w:rtl/>
        </w:rPr>
        <w:t xml:space="preserve"> </w:t>
      </w:r>
      <w:r w:rsidRPr="00A47C4C">
        <w:rPr>
          <w:rFonts w:hint="cs"/>
          <w:rtl/>
        </w:rPr>
        <w:t>ש"ח.</w:t>
      </w:r>
      <w:r w:rsidRPr="00A47C4C">
        <w:rPr>
          <w:rtl/>
        </w:rPr>
        <w:t xml:space="preserve"> </w:t>
      </w:r>
    </w:p>
    <w:p w14:paraId="7A33E680" w14:textId="77777777" w:rsidR="007C4395" w:rsidRDefault="007C4395" w:rsidP="003B2683">
      <w:pPr>
        <w:pStyle w:val="71f4"/>
        <w:rPr>
          <w:rtl/>
        </w:rPr>
      </w:pPr>
      <w:r w:rsidRPr="00C72420">
        <w:rPr>
          <w:rtl/>
        </w:rPr>
        <w:lastRenderedPageBreak/>
        <w:t xml:space="preserve">מומלץ </w:t>
      </w:r>
      <w:r w:rsidRPr="00C72420">
        <w:rPr>
          <w:rFonts w:hint="cs"/>
          <w:rtl/>
        </w:rPr>
        <w:t>כי משרד האוצר י</w:t>
      </w:r>
      <w:r w:rsidRPr="00C72420">
        <w:rPr>
          <w:rtl/>
        </w:rPr>
        <w:t>גבש ת</w:t>
      </w:r>
      <w:r>
        <w:rPr>
          <w:rFonts w:hint="cs"/>
          <w:rtl/>
        </w:rPr>
        <w:t>ו</w:t>
      </w:r>
      <w:r w:rsidRPr="00C72420">
        <w:rPr>
          <w:rtl/>
        </w:rPr>
        <w:t>כנית רב</w:t>
      </w:r>
      <w:r>
        <w:rPr>
          <w:rFonts w:hint="cs"/>
          <w:rtl/>
        </w:rPr>
        <w:t>-</w:t>
      </w:r>
      <w:r w:rsidRPr="00C72420">
        <w:rPr>
          <w:rtl/>
        </w:rPr>
        <w:t>שנתית לצורך הורדת הג</w:t>
      </w:r>
      <w:r w:rsidRPr="00C72420">
        <w:rPr>
          <w:rFonts w:hint="cs"/>
          <w:rtl/>
        </w:rPr>
        <w:t>י</w:t>
      </w:r>
      <w:r w:rsidRPr="00C72420">
        <w:rPr>
          <w:rtl/>
        </w:rPr>
        <w:t>רעון לרמ</w:t>
      </w:r>
      <w:r w:rsidRPr="00C72420">
        <w:rPr>
          <w:rFonts w:hint="cs"/>
          <w:rtl/>
        </w:rPr>
        <w:t xml:space="preserve">ות </w:t>
      </w:r>
      <w:r>
        <w:rPr>
          <w:rFonts w:hint="cs"/>
          <w:rtl/>
        </w:rPr>
        <w:t>שתוכננו</w:t>
      </w:r>
      <w:r w:rsidRPr="00C72420">
        <w:rPr>
          <w:rtl/>
        </w:rPr>
        <w:t xml:space="preserve"> </w:t>
      </w:r>
      <w:r>
        <w:rPr>
          <w:rFonts w:hint="cs"/>
          <w:rtl/>
        </w:rPr>
        <w:t>לפני</w:t>
      </w:r>
      <w:r w:rsidRPr="00C72420">
        <w:rPr>
          <w:rtl/>
        </w:rPr>
        <w:t xml:space="preserve"> משבר הקורונה</w:t>
      </w:r>
      <w:r>
        <w:rPr>
          <w:rFonts w:hint="cs"/>
          <w:rtl/>
        </w:rPr>
        <w:t>.</w:t>
      </w:r>
    </w:p>
    <w:p w14:paraId="341EBD9A" w14:textId="77777777" w:rsidR="007C4395" w:rsidRDefault="007C4395" w:rsidP="002A738D">
      <w:pPr>
        <w:pStyle w:val="7190"/>
        <w:rPr>
          <w:rtl/>
        </w:rPr>
      </w:pPr>
      <w:r>
        <w:rPr>
          <w:rFonts w:hint="cs"/>
          <w:rtl/>
        </w:rPr>
        <w:t xml:space="preserve">בתשובת אגף </w:t>
      </w:r>
      <w:proofErr w:type="spellStart"/>
      <w:r>
        <w:rPr>
          <w:rFonts w:hint="cs"/>
          <w:rtl/>
        </w:rPr>
        <w:t>החשכ"ל</w:t>
      </w:r>
      <w:proofErr w:type="spellEnd"/>
      <w:r>
        <w:rPr>
          <w:rFonts w:hint="cs"/>
          <w:rtl/>
        </w:rPr>
        <w:t xml:space="preserve"> נמסר כי נוכח</w:t>
      </w:r>
      <w:r w:rsidRPr="000B3C56">
        <w:rPr>
          <w:rtl/>
        </w:rPr>
        <w:t xml:space="preserve"> משבר הקורונה גובש מתווה לצמצום הגירעון ועדכון חוק הפחתת הגירעון והגבלת ההוצאה התקציבית</w:t>
      </w:r>
      <w:r>
        <w:rPr>
          <w:rFonts w:hint="cs"/>
          <w:rtl/>
        </w:rPr>
        <w:t xml:space="preserve">, </w:t>
      </w:r>
      <w:proofErr w:type="spellStart"/>
      <w:r>
        <w:rPr>
          <w:rFonts w:hint="cs"/>
          <w:rtl/>
        </w:rPr>
        <w:t>התשנ"ב</w:t>
      </w:r>
      <w:proofErr w:type="spellEnd"/>
      <w:r>
        <w:rPr>
          <w:rFonts w:hint="cs"/>
          <w:rtl/>
        </w:rPr>
        <w:t xml:space="preserve">-1992. כמו כן, </w:t>
      </w:r>
      <w:r w:rsidRPr="000B3C56">
        <w:rPr>
          <w:rtl/>
        </w:rPr>
        <w:t xml:space="preserve">לפי אומדן הגירעון </w:t>
      </w:r>
      <w:r>
        <w:rPr>
          <w:rFonts w:hint="cs"/>
          <w:rtl/>
        </w:rPr>
        <w:t>המעודכן</w:t>
      </w:r>
      <w:r w:rsidRPr="000B3C56">
        <w:rPr>
          <w:rtl/>
        </w:rPr>
        <w:t xml:space="preserve"> </w:t>
      </w:r>
      <w:r>
        <w:rPr>
          <w:rtl/>
        </w:rPr>
        <w:t>לנובמבר 2021</w:t>
      </w:r>
      <w:r>
        <w:rPr>
          <w:rFonts w:hint="cs"/>
          <w:rtl/>
        </w:rPr>
        <w:t xml:space="preserve">, </w:t>
      </w:r>
      <w:r w:rsidRPr="000B3C56">
        <w:rPr>
          <w:rtl/>
        </w:rPr>
        <w:t xml:space="preserve">שיעור הגירעון </w:t>
      </w:r>
      <w:proofErr w:type="spellStart"/>
      <w:r w:rsidRPr="000B3C56">
        <w:rPr>
          <w:rtl/>
        </w:rPr>
        <w:t>מהתמ״ג</w:t>
      </w:r>
      <w:proofErr w:type="spellEnd"/>
      <w:r w:rsidRPr="000B3C56">
        <w:rPr>
          <w:rtl/>
        </w:rPr>
        <w:t xml:space="preserve"> </w:t>
      </w:r>
      <w:r>
        <w:rPr>
          <w:rFonts w:hint="cs"/>
          <w:rtl/>
        </w:rPr>
        <w:t>הוא</w:t>
      </w:r>
      <w:r w:rsidRPr="000B3C56">
        <w:rPr>
          <w:rtl/>
        </w:rPr>
        <w:t xml:space="preserve"> 4.6%, </w:t>
      </w:r>
      <w:r>
        <w:rPr>
          <w:rFonts w:hint="cs"/>
          <w:rtl/>
        </w:rPr>
        <w:t>שיעור ה</w:t>
      </w:r>
      <w:r w:rsidRPr="000B3C56">
        <w:rPr>
          <w:rtl/>
        </w:rPr>
        <w:t xml:space="preserve">נמוך </w:t>
      </w:r>
      <w:r>
        <w:rPr>
          <w:rFonts w:hint="cs"/>
          <w:rtl/>
        </w:rPr>
        <w:t>במידה</w:t>
      </w:r>
      <w:r w:rsidRPr="000B3C56">
        <w:rPr>
          <w:rtl/>
        </w:rPr>
        <w:t xml:space="preserve"> ניכר</w:t>
      </w:r>
      <w:r>
        <w:rPr>
          <w:rFonts w:hint="cs"/>
          <w:rtl/>
        </w:rPr>
        <w:t>ת</w:t>
      </w:r>
      <w:r w:rsidRPr="000B3C56">
        <w:rPr>
          <w:rtl/>
        </w:rPr>
        <w:t xml:space="preserve"> מהתחזיות מתחילת</w:t>
      </w:r>
      <w:r>
        <w:rPr>
          <w:rFonts w:hint="cs"/>
          <w:rtl/>
        </w:rPr>
        <w:t xml:space="preserve"> שנת</w:t>
      </w:r>
      <w:r w:rsidRPr="000B3C56">
        <w:rPr>
          <w:rtl/>
        </w:rPr>
        <w:t xml:space="preserve"> 2021 ומיעד הגירעון שהוגדר ל</w:t>
      </w:r>
      <w:r>
        <w:rPr>
          <w:rFonts w:hint="cs"/>
          <w:rtl/>
        </w:rPr>
        <w:t xml:space="preserve">אותה </w:t>
      </w:r>
      <w:r w:rsidRPr="000B3C56">
        <w:rPr>
          <w:rtl/>
        </w:rPr>
        <w:t>שנ</w:t>
      </w:r>
      <w:r>
        <w:rPr>
          <w:rFonts w:hint="cs"/>
          <w:rtl/>
        </w:rPr>
        <w:t>ה</w:t>
      </w:r>
      <w:r w:rsidRPr="000B3C56">
        <w:rPr>
          <w:rtl/>
        </w:rPr>
        <w:t>.</w:t>
      </w:r>
    </w:p>
    <w:p w14:paraId="6CE370C2" w14:textId="6F318DE4" w:rsidR="007C4395" w:rsidRPr="00D1544A" w:rsidRDefault="007C4395" w:rsidP="002A738D">
      <w:pPr>
        <w:pStyle w:val="7190"/>
        <w:rPr>
          <w:rtl/>
        </w:rPr>
      </w:pPr>
      <w:r>
        <w:rPr>
          <w:rFonts w:hint="cs"/>
          <w:rtl/>
        </w:rPr>
        <w:t xml:space="preserve">יצוין כי לאחר מועד סיום הביקורת פורסם אומדן גירעון מעודכן לדצמבר 2021, ולפיו שיעור הגירעון </w:t>
      </w:r>
      <w:proofErr w:type="spellStart"/>
      <w:r>
        <w:rPr>
          <w:rFonts w:hint="cs"/>
          <w:rtl/>
        </w:rPr>
        <w:t>מהתמ"ג</w:t>
      </w:r>
      <w:proofErr w:type="spellEnd"/>
      <w:r>
        <w:rPr>
          <w:rFonts w:hint="cs"/>
          <w:rtl/>
        </w:rPr>
        <w:t xml:space="preserve"> לשנת 2021 היה כ-4.5%.</w:t>
      </w:r>
    </w:p>
    <w:p w14:paraId="6C69B770" w14:textId="77777777" w:rsidR="007C4395" w:rsidRDefault="007C4395" w:rsidP="006F4D0D">
      <w:pPr>
        <w:pStyle w:val="71414"/>
        <w:rPr>
          <w:rtl/>
        </w:rPr>
      </w:pPr>
      <w:r>
        <w:rPr>
          <w:rFonts w:hint="cs"/>
          <w:rtl/>
        </w:rPr>
        <w:t xml:space="preserve">פילוח תקציב המדינה בשנים 2016 - 2020 </w:t>
      </w:r>
    </w:p>
    <w:p w14:paraId="2EAF325C" w14:textId="77777777" w:rsidR="007C4395" w:rsidRDefault="007C4395" w:rsidP="002A738D">
      <w:pPr>
        <w:pStyle w:val="7190"/>
        <w:rPr>
          <w:rtl/>
        </w:rPr>
      </w:pPr>
      <w:r>
        <w:rPr>
          <w:rFonts w:hint="cs"/>
          <w:rtl/>
        </w:rPr>
        <w:t xml:space="preserve">בתרשים שלהלן מוצג פילוח של ביצוע תקציב המדינה בחלוקה למשרדים השונים בשנים </w:t>
      </w:r>
      <w:r>
        <w:rPr>
          <w:rtl/>
        </w:rPr>
        <w:br/>
      </w:r>
      <w:r>
        <w:rPr>
          <w:rFonts w:hint="cs"/>
          <w:rtl/>
        </w:rPr>
        <w:t>2016 - 2020.</w:t>
      </w:r>
    </w:p>
    <w:p w14:paraId="122BB1D7" w14:textId="069772A6" w:rsidR="007C4395" w:rsidRPr="00EC550D" w:rsidRDefault="00BC13E5" w:rsidP="00EC550D">
      <w:pPr>
        <w:pStyle w:val="71a"/>
        <w:rPr>
          <w:rtl/>
        </w:rPr>
      </w:pPr>
      <w:r w:rsidRPr="00EC550D">
        <w:rPr>
          <w:b w:val="0"/>
          <w:bCs w:val="0"/>
          <w:noProof/>
        </w:rPr>
        <w:drawing>
          <wp:anchor distT="0" distB="0" distL="114300" distR="114300" simplePos="0" relativeHeight="252020224" behindDoc="1" locked="0" layoutInCell="1" allowOverlap="1" wp14:anchorId="431F9A4C" wp14:editId="5D19118E">
            <wp:simplePos x="0" y="0"/>
            <wp:positionH relativeFrom="column">
              <wp:posOffset>-66040</wp:posOffset>
            </wp:positionH>
            <wp:positionV relativeFrom="paragraph">
              <wp:posOffset>577215</wp:posOffset>
            </wp:positionV>
            <wp:extent cx="4868545" cy="2484120"/>
            <wp:effectExtent l="0" t="0" r="0" b="0"/>
            <wp:wrapTopAndBottom/>
            <wp:docPr id="24785214" name="תמונה 24785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5214" name="תמונה 24785214"/>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4868545" cy="2484120"/>
                    </a:xfrm>
                    <a:prstGeom prst="rect">
                      <a:avLst/>
                    </a:prstGeom>
                    <a:noFill/>
                  </pic:spPr>
                </pic:pic>
              </a:graphicData>
            </a:graphic>
            <wp14:sizeRelH relativeFrom="margin">
              <wp14:pctWidth>0</wp14:pctWidth>
            </wp14:sizeRelH>
            <wp14:sizeRelV relativeFrom="margin">
              <wp14:pctHeight>0</wp14:pctHeight>
            </wp14:sizeRelV>
          </wp:anchor>
        </w:drawing>
      </w:r>
      <w:r w:rsidR="007C4395" w:rsidRPr="00EC550D">
        <w:rPr>
          <w:rFonts w:hint="cs"/>
          <w:b w:val="0"/>
          <w:bCs w:val="0"/>
          <w:rtl/>
        </w:rPr>
        <w:t>תרשים 9:</w:t>
      </w:r>
      <w:r w:rsidR="007C4395" w:rsidRPr="00EC550D">
        <w:rPr>
          <w:rFonts w:hint="cs"/>
          <w:rtl/>
        </w:rPr>
        <w:t xml:space="preserve"> ביצוע תקציב משרדים שונים ושיעורו מתקציב המדינה בשנים 2016 - 2020 (באחוזים* ובמיליארדי ש"ח)</w:t>
      </w:r>
    </w:p>
    <w:p w14:paraId="3C14C97F" w14:textId="77777777" w:rsidR="007C4395" w:rsidRPr="0098222D" w:rsidRDefault="007C4395" w:rsidP="0098222D">
      <w:pPr>
        <w:pStyle w:val="71c"/>
        <w:spacing w:after="0"/>
        <w:rPr>
          <w:rtl/>
        </w:rPr>
      </w:pPr>
      <w:r w:rsidRPr="0098222D">
        <w:rPr>
          <w:rFonts w:hint="eastAsia"/>
          <w:rtl/>
        </w:rPr>
        <w:t>על</w:t>
      </w:r>
      <w:r w:rsidRPr="0098222D">
        <w:rPr>
          <w:rtl/>
        </w:rPr>
        <w:t xml:space="preserve"> </w:t>
      </w:r>
      <w:r w:rsidRPr="0098222D">
        <w:rPr>
          <w:rFonts w:hint="eastAsia"/>
          <w:rtl/>
        </w:rPr>
        <w:t>פי</w:t>
      </w:r>
      <w:r w:rsidRPr="0098222D">
        <w:rPr>
          <w:rtl/>
        </w:rPr>
        <w:t xml:space="preserve"> נתוני מערכת פיסקלי-דיגיטלי (</w:t>
      </w:r>
      <w:proofErr w:type="spellStart"/>
      <w:r w:rsidRPr="0098222D">
        <w:rPr>
          <w:rtl/>
        </w:rPr>
        <w:t>טאבלו</w:t>
      </w:r>
      <w:proofErr w:type="spellEnd"/>
      <w:r w:rsidRPr="0098222D">
        <w:rPr>
          <w:rtl/>
        </w:rPr>
        <w:t xml:space="preserve">) לביצוע תקציב המדינה, אגף התקציבים שבמשרד האוצר, בעיבוד משרד מבקר המדינה. </w:t>
      </w:r>
    </w:p>
    <w:p w14:paraId="0482EBB3" w14:textId="50F2C6E6" w:rsidR="007C4395" w:rsidRPr="0098222D" w:rsidRDefault="007C4395" w:rsidP="0098222D">
      <w:pPr>
        <w:pStyle w:val="71c"/>
        <w:spacing w:before="0" w:after="0"/>
        <w:ind w:left="397" w:hanging="397"/>
        <w:rPr>
          <w:rtl/>
        </w:rPr>
      </w:pPr>
      <w:r w:rsidRPr="0098222D">
        <w:rPr>
          <w:rtl/>
        </w:rPr>
        <w:t xml:space="preserve">* </w:t>
      </w:r>
      <w:r w:rsidR="0098222D">
        <w:rPr>
          <w:rtl/>
        </w:rPr>
        <w:tab/>
      </w:r>
      <w:r w:rsidRPr="0098222D">
        <w:rPr>
          <w:rFonts w:hint="eastAsia"/>
          <w:rtl/>
        </w:rPr>
        <w:t>אחוז</w:t>
      </w:r>
      <w:r w:rsidRPr="0098222D">
        <w:rPr>
          <w:rtl/>
        </w:rPr>
        <w:t xml:space="preserve"> </w:t>
      </w:r>
      <w:r w:rsidRPr="0098222D">
        <w:rPr>
          <w:rFonts w:hint="eastAsia"/>
          <w:rtl/>
        </w:rPr>
        <w:t>מתוך</w:t>
      </w:r>
      <w:r w:rsidRPr="0098222D">
        <w:rPr>
          <w:rtl/>
        </w:rPr>
        <w:t xml:space="preserve"> </w:t>
      </w:r>
      <w:r w:rsidRPr="0098222D">
        <w:rPr>
          <w:rFonts w:hint="eastAsia"/>
          <w:rtl/>
        </w:rPr>
        <w:t>התקציב</w:t>
      </w:r>
      <w:r w:rsidRPr="0098222D">
        <w:rPr>
          <w:rtl/>
        </w:rPr>
        <w:t xml:space="preserve"> </w:t>
      </w:r>
      <w:r w:rsidRPr="0098222D">
        <w:rPr>
          <w:rFonts w:hint="eastAsia"/>
          <w:rtl/>
        </w:rPr>
        <w:t>השנתי</w:t>
      </w:r>
      <w:r w:rsidRPr="0098222D">
        <w:rPr>
          <w:rtl/>
        </w:rPr>
        <w:t>.</w:t>
      </w:r>
    </w:p>
    <w:p w14:paraId="2D98EE59" w14:textId="0CC53C1A" w:rsidR="007C4395" w:rsidRPr="0098222D" w:rsidRDefault="007C4395" w:rsidP="0098222D">
      <w:pPr>
        <w:pStyle w:val="71c"/>
        <w:spacing w:before="0"/>
        <w:ind w:left="397" w:hanging="397"/>
        <w:rPr>
          <w:rtl/>
        </w:rPr>
      </w:pPr>
      <w:r w:rsidRPr="0098222D">
        <w:rPr>
          <w:rtl/>
        </w:rPr>
        <w:t xml:space="preserve">** </w:t>
      </w:r>
      <w:r w:rsidR="0098222D">
        <w:rPr>
          <w:rtl/>
        </w:rPr>
        <w:tab/>
      </w:r>
      <w:r w:rsidRPr="0098222D">
        <w:rPr>
          <w:rFonts w:hint="eastAsia"/>
          <w:rtl/>
        </w:rPr>
        <w:t>נתוני</w:t>
      </w:r>
      <w:r w:rsidRPr="0098222D">
        <w:rPr>
          <w:rtl/>
        </w:rPr>
        <w:t xml:space="preserve"> </w:t>
      </w:r>
      <w:r w:rsidRPr="0098222D">
        <w:rPr>
          <w:rFonts w:hint="eastAsia"/>
          <w:rtl/>
        </w:rPr>
        <w:t>ביצוע</w:t>
      </w:r>
      <w:r w:rsidRPr="0098222D">
        <w:rPr>
          <w:rtl/>
        </w:rPr>
        <w:t xml:space="preserve"> </w:t>
      </w:r>
      <w:r w:rsidRPr="0098222D">
        <w:rPr>
          <w:rFonts w:hint="eastAsia"/>
          <w:rtl/>
        </w:rPr>
        <w:t>תקציב</w:t>
      </w:r>
      <w:r w:rsidRPr="0098222D">
        <w:rPr>
          <w:rtl/>
        </w:rPr>
        <w:t xml:space="preserve"> </w:t>
      </w:r>
      <w:r w:rsidRPr="0098222D">
        <w:rPr>
          <w:rFonts w:hint="eastAsia"/>
          <w:rtl/>
        </w:rPr>
        <w:t>המשרדים</w:t>
      </w:r>
      <w:r w:rsidRPr="0098222D">
        <w:rPr>
          <w:rtl/>
        </w:rPr>
        <w:t xml:space="preserve"> </w:t>
      </w:r>
      <w:r w:rsidRPr="0098222D">
        <w:rPr>
          <w:rFonts w:hint="eastAsia"/>
          <w:rtl/>
        </w:rPr>
        <w:t>השונים</w:t>
      </w:r>
      <w:r w:rsidRPr="0098222D">
        <w:rPr>
          <w:rtl/>
        </w:rPr>
        <w:t xml:space="preserve"> </w:t>
      </w:r>
      <w:r w:rsidRPr="0098222D">
        <w:rPr>
          <w:rFonts w:hint="eastAsia"/>
          <w:rtl/>
        </w:rPr>
        <w:t>כוללים</w:t>
      </w:r>
      <w:r w:rsidRPr="0098222D">
        <w:rPr>
          <w:rtl/>
        </w:rPr>
        <w:t xml:space="preserve"> </w:t>
      </w:r>
      <w:r w:rsidRPr="0098222D">
        <w:rPr>
          <w:rFonts w:hint="eastAsia"/>
          <w:rtl/>
        </w:rPr>
        <w:t>גם</w:t>
      </w:r>
      <w:r w:rsidRPr="0098222D">
        <w:rPr>
          <w:rtl/>
        </w:rPr>
        <w:t xml:space="preserve"> </w:t>
      </w:r>
      <w:r w:rsidRPr="0098222D">
        <w:rPr>
          <w:rFonts w:hint="eastAsia"/>
          <w:rtl/>
        </w:rPr>
        <w:t>את</w:t>
      </w:r>
      <w:r w:rsidRPr="0098222D">
        <w:rPr>
          <w:rtl/>
        </w:rPr>
        <w:t xml:space="preserve"> </w:t>
      </w:r>
      <w:r w:rsidRPr="0098222D">
        <w:rPr>
          <w:rFonts w:hint="eastAsia"/>
          <w:rtl/>
        </w:rPr>
        <w:t>הוצאות</w:t>
      </w:r>
      <w:r w:rsidRPr="0098222D">
        <w:rPr>
          <w:rtl/>
        </w:rPr>
        <w:t xml:space="preserve"> </w:t>
      </w:r>
      <w:r w:rsidRPr="0098222D">
        <w:rPr>
          <w:rFonts w:hint="eastAsia"/>
          <w:rtl/>
        </w:rPr>
        <w:t>הממשלה</w:t>
      </w:r>
      <w:r w:rsidRPr="0098222D">
        <w:rPr>
          <w:rtl/>
        </w:rPr>
        <w:t xml:space="preserve"> </w:t>
      </w:r>
      <w:r w:rsidRPr="0098222D">
        <w:rPr>
          <w:rFonts w:hint="eastAsia"/>
          <w:rtl/>
        </w:rPr>
        <w:t>המיוחדות</w:t>
      </w:r>
      <w:r w:rsidRPr="0098222D">
        <w:rPr>
          <w:rtl/>
        </w:rPr>
        <w:t xml:space="preserve"> </w:t>
      </w:r>
      <w:r w:rsidRPr="0098222D">
        <w:rPr>
          <w:rFonts w:hint="eastAsia"/>
          <w:rtl/>
        </w:rPr>
        <w:t>להתמודדות</w:t>
      </w:r>
      <w:r w:rsidRPr="0098222D">
        <w:rPr>
          <w:rtl/>
        </w:rPr>
        <w:t xml:space="preserve"> </w:t>
      </w:r>
      <w:r w:rsidRPr="0098222D">
        <w:rPr>
          <w:rFonts w:hint="eastAsia"/>
          <w:rtl/>
        </w:rPr>
        <w:t>עם</w:t>
      </w:r>
      <w:r w:rsidRPr="0098222D">
        <w:rPr>
          <w:rtl/>
        </w:rPr>
        <w:t xml:space="preserve"> </w:t>
      </w:r>
      <w:r w:rsidRPr="0098222D">
        <w:rPr>
          <w:rFonts w:hint="eastAsia"/>
          <w:rtl/>
        </w:rPr>
        <w:t>משבר</w:t>
      </w:r>
      <w:r w:rsidRPr="0098222D">
        <w:rPr>
          <w:rtl/>
        </w:rPr>
        <w:t xml:space="preserve"> </w:t>
      </w:r>
      <w:r w:rsidRPr="0098222D">
        <w:rPr>
          <w:rFonts w:hint="eastAsia"/>
          <w:rtl/>
        </w:rPr>
        <w:t>הקורונה</w:t>
      </w:r>
      <w:r w:rsidRPr="0098222D">
        <w:rPr>
          <w:rtl/>
        </w:rPr>
        <w:t>.</w:t>
      </w:r>
    </w:p>
    <w:p w14:paraId="5EFC8846" w14:textId="41F6AF45" w:rsidR="007C4395" w:rsidRPr="00675951" w:rsidRDefault="007C4395" w:rsidP="00675951">
      <w:pPr>
        <w:pStyle w:val="71f4"/>
        <w:rPr>
          <w:rtl/>
        </w:rPr>
      </w:pPr>
      <w:r w:rsidRPr="00675951">
        <w:rPr>
          <w:rFonts w:hint="cs"/>
          <w:rtl/>
        </w:rPr>
        <w:lastRenderedPageBreak/>
        <w:t xml:space="preserve">מהנתונים עולה כי חלה עלייה </w:t>
      </w:r>
      <w:r w:rsidRPr="00675951">
        <w:rPr>
          <w:rFonts w:hint="eastAsia"/>
          <w:rtl/>
        </w:rPr>
        <w:t>בסכומי</w:t>
      </w:r>
      <w:r w:rsidRPr="00675951">
        <w:rPr>
          <w:rtl/>
        </w:rPr>
        <w:t xml:space="preserve"> </w:t>
      </w:r>
      <w:r w:rsidRPr="00675951">
        <w:rPr>
          <w:rFonts w:hint="eastAsia"/>
          <w:rtl/>
        </w:rPr>
        <w:t>ההוצאה</w:t>
      </w:r>
      <w:r w:rsidRPr="00675951">
        <w:rPr>
          <w:rFonts w:hint="cs"/>
          <w:rtl/>
        </w:rPr>
        <w:t xml:space="preserve"> של מרבית המשרדים האזרחיים במהלך שנים אלו. מגמה זו משתקפת אף בדוחות הכספיים של המדינה: מצוין בהם כי ההוצאה האזרחית </w:t>
      </w:r>
      <w:r w:rsidRPr="00675951">
        <w:rPr>
          <w:rFonts w:hint="eastAsia"/>
          <w:rtl/>
        </w:rPr>
        <w:t>כאחוז</w:t>
      </w:r>
      <w:r w:rsidRPr="00675951">
        <w:rPr>
          <w:rtl/>
        </w:rPr>
        <w:t xml:space="preserve"> מביצוע התקציב </w:t>
      </w:r>
      <w:r w:rsidRPr="00675951">
        <w:rPr>
          <w:rFonts w:hint="cs"/>
          <w:rtl/>
        </w:rPr>
        <w:t>הכולל עלתה במהלך השנים האחרונות מרמה של 70.3% בסוף שנת</w:t>
      </w:r>
      <w:r w:rsidR="00675951">
        <w:rPr>
          <w:rFonts w:hint="cs"/>
          <w:rtl/>
        </w:rPr>
        <w:t xml:space="preserve"> </w:t>
      </w:r>
      <w:r w:rsidRPr="00675951">
        <w:rPr>
          <w:rFonts w:hint="cs"/>
          <w:rtl/>
        </w:rPr>
        <w:t>2016, ל-77.5% בסוף שנת 2020</w:t>
      </w:r>
      <w:r w:rsidRPr="00675951">
        <w:rPr>
          <w:rStyle w:val="ac"/>
          <w:rtl/>
        </w:rPr>
        <w:footnoteReference w:id="27"/>
      </w:r>
      <w:r w:rsidRPr="00675951">
        <w:rPr>
          <w:rFonts w:hint="cs"/>
          <w:rtl/>
        </w:rPr>
        <w:t xml:space="preserve"> (בנטרול הוצאות בגין הקורונה ל-73.9%).</w:t>
      </w:r>
    </w:p>
    <w:p w14:paraId="1904CB43" w14:textId="77777777" w:rsidR="007C4395" w:rsidRDefault="007C4395" w:rsidP="002A738D">
      <w:pPr>
        <w:pStyle w:val="7190"/>
        <w:rPr>
          <w:rtl/>
        </w:rPr>
      </w:pPr>
      <w:r>
        <w:rPr>
          <w:rFonts w:hint="cs"/>
          <w:rtl/>
        </w:rPr>
        <w:t>בתרשים שלהלן מוצג פילוח של ביצוע תקציב המדינה בחלוקה לתחומים שונים בשנת 2020 (עם הוצאות בגין הקורונה וללא הוצאות בגין הקורונה).</w:t>
      </w:r>
    </w:p>
    <w:p w14:paraId="67F6770B" w14:textId="2A3AC701" w:rsidR="007C4395" w:rsidRPr="00EC550D" w:rsidRDefault="007C4395" w:rsidP="00EC550D">
      <w:pPr>
        <w:pStyle w:val="71a"/>
        <w:rPr>
          <w:rtl/>
        </w:rPr>
      </w:pPr>
      <w:r w:rsidRPr="00EC550D">
        <w:rPr>
          <w:rFonts w:hint="cs"/>
          <w:b w:val="0"/>
          <w:bCs w:val="0"/>
          <w:rtl/>
        </w:rPr>
        <w:t>תרשים 10:</w:t>
      </w:r>
      <w:r w:rsidRPr="00EC550D">
        <w:rPr>
          <w:rFonts w:hint="cs"/>
          <w:rtl/>
        </w:rPr>
        <w:t xml:space="preserve"> ביצוע תקציב המדינה בתחומים שונים בשנת 2020 </w:t>
      </w:r>
      <w:r w:rsidR="00724521">
        <w:br/>
      </w:r>
      <w:r w:rsidRPr="00EC550D">
        <w:rPr>
          <w:rFonts w:hint="cs"/>
          <w:rtl/>
        </w:rPr>
        <w:t>(במיליארדי ש"ח)</w:t>
      </w:r>
    </w:p>
    <w:p w14:paraId="7541D98E" w14:textId="77777777" w:rsidR="007C4395" w:rsidRPr="001D59BF" w:rsidRDefault="007C4395" w:rsidP="007C4395">
      <w:pPr>
        <w:spacing w:line="269" w:lineRule="auto"/>
        <w:jc w:val="center"/>
        <w:rPr>
          <w:rtl/>
        </w:rPr>
      </w:pPr>
      <w:r>
        <w:rPr>
          <w:noProof/>
        </w:rPr>
        <w:drawing>
          <wp:inline distT="0" distB="0" distL="0" distR="0" wp14:anchorId="787F5756" wp14:editId="69C215B0">
            <wp:extent cx="4727000" cy="2886710"/>
            <wp:effectExtent l="0" t="0" r="0" b="0"/>
            <wp:docPr id="62" name="תמונה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תמונה 62"/>
                    <pic:cNvPicPr>
                      <a:picLocks noChangeAspect="1" noChangeArrowheads="1"/>
                    </pic:cNvPicPr>
                  </pic:nvPicPr>
                  <pic:blipFill>
                    <a:blip r:embed="rId43">
                      <a:extLst>
                        <a:ext uri="{28A0092B-C50C-407E-A947-70E740481C1C}">
                          <a14:useLocalDpi xmlns:a14="http://schemas.microsoft.com/office/drawing/2010/main" val="0"/>
                        </a:ext>
                      </a:extLst>
                    </a:blip>
                    <a:srcRect t="1125" b="1125"/>
                    <a:stretch>
                      <a:fillRect/>
                    </a:stretch>
                  </pic:blipFill>
                  <pic:spPr bwMode="auto">
                    <a:xfrm>
                      <a:off x="0" y="0"/>
                      <a:ext cx="4729604" cy="2888300"/>
                    </a:xfrm>
                    <a:prstGeom prst="rect">
                      <a:avLst/>
                    </a:prstGeom>
                    <a:noFill/>
                    <a:ln>
                      <a:noFill/>
                    </a:ln>
                    <a:extLst>
                      <a:ext uri="{53640926-AAD7-44D8-BBD7-CCE9431645EC}">
                        <a14:shadowObscured xmlns:a14="http://schemas.microsoft.com/office/drawing/2010/main"/>
                      </a:ext>
                    </a:extLst>
                  </pic:spPr>
                </pic:pic>
              </a:graphicData>
            </a:graphic>
          </wp:inline>
        </w:drawing>
      </w:r>
    </w:p>
    <w:p w14:paraId="7A440063" w14:textId="059F5D0F" w:rsidR="007C4395" w:rsidRPr="0098222D" w:rsidRDefault="007C4395" w:rsidP="0098222D">
      <w:pPr>
        <w:pStyle w:val="71c"/>
        <w:rPr>
          <w:rtl/>
        </w:rPr>
      </w:pPr>
      <w:r w:rsidRPr="0098222D">
        <w:rPr>
          <w:rFonts w:hint="eastAsia"/>
          <w:rtl/>
        </w:rPr>
        <w:t>על</w:t>
      </w:r>
      <w:r w:rsidRPr="0098222D">
        <w:rPr>
          <w:rtl/>
        </w:rPr>
        <w:t xml:space="preserve"> </w:t>
      </w:r>
      <w:r w:rsidRPr="0098222D">
        <w:rPr>
          <w:rFonts w:hint="eastAsia"/>
          <w:rtl/>
        </w:rPr>
        <w:t>פי</w:t>
      </w:r>
      <w:r w:rsidRPr="0098222D">
        <w:rPr>
          <w:rtl/>
        </w:rPr>
        <w:t xml:space="preserve"> נתוני ביצוע ברוטו מהמבוא </w:t>
      </w:r>
      <w:r w:rsidRPr="0098222D">
        <w:rPr>
          <w:rFonts w:hint="eastAsia"/>
          <w:rtl/>
        </w:rPr>
        <w:t>ל</w:t>
      </w:r>
      <w:r w:rsidRPr="0098222D">
        <w:rPr>
          <w:rtl/>
        </w:rPr>
        <w:t xml:space="preserve">דוחות הכספיים של </w:t>
      </w:r>
      <w:r w:rsidRPr="0098222D">
        <w:rPr>
          <w:rFonts w:hint="eastAsia"/>
          <w:rtl/>
        </w:rPr>
        <w:t>מדינת</w:t>
      </w:r>
      <w:r w:rsidRPr="0098222D">
        <w:rPr>
          <w:rtl/>
        </w:rPr>
        <w:t xml:space="preserve"> ישראל, בעיבוד משרד מבקר המדינה.</w:t>
      </w:r>
    </w:p>
    <w:p w14:paraId="490784FD" w14:textId="62F5FB17" w:rsidR="007C4395" w:rsidRPr="00675951" w:rsidRDefault="007C4395" w:rsidP="00675951">
      <w:pPr>
        <w:pStyle w:val="71f4"/>
        <w:rPr>
          <w:rFonts w:eastAsiaTheme="minorHAnsi"/>
          <w:rtl/>
        </w:rPr>
      </w:pPr>
      <w:r w:rsidRPr="00675951">
        <w:rPr>
          <w:rFonts w:eastAsiaTheme="minorHAnsi" w:hint="cs"/>
          <w:rtl/>
        </w:rPr>
        <w:t>מהתרשים ניתן לראות כי עיקר ההוצאות בגין הקורונה בשנת 2020 בא לידי ביטוי בתחומים האלו: הרווחה והביטוח הלאומי - כ-19.7 מיליארד ש"ח; הבריאות - כ-10.4 מיליארד ש"ח; המסחר, התעשייה והחקלאות - כ-5 מיליארד ש"ח</w:t>
      </w:r>
      <w:r w:rsidRPr="00675951">
        <w:rPr>
          <w:rStyle w:val="ac"/>
          <w:rtl/>
        </w:rPr>
        <w:footnoteReference w:id="28"/>
      </w:r>
      <w:r w:rsidRPr="00675951">
        <w:rPr>
          <w:rFonts w:eastAsiaTheme="minorHAnsi" w:hint="cs"/>
          <w:rtl/>
        </w:rPr>
        <w:t>.</w:t>
      </w:r>
    </w:p>
    <w:p w14:paraId="4085BE91" w14:textId="77777777" w:rsidR="007C4395" w:rsidRDefault="007C4395" w:rsidP="006F4D0D">
      <w:pPr>
        <w:pStyle w:val="71414"/>
        <w:rPr>
          <w:rtl/>
        </w:rPr>
      </w:pPr>
      <w:r w:rsidRPr="00CA1DDF">
        <w:rPr>
          <w:rFonts w:hint="cs"/>
          <w:rtl/>
        </w:rPr>
        <w:lastRenderedPageBreak/>
        <w:t xml:space="preserve">פילוח הוצאות תקציב המדינה לשנת </w:t>
      </w:r>
      <w:r>
        <w:rPr>
          <w:rFonts w:hint="cs"/>
          <w:rtl/>
        </w:rPr>
        <w:t>2020</w:t>
      </w:r>
      <w:r w:rsidRPr="00CA1DDF">
        <w:rPr>
          <w:rFonts w:hint="cs"/>
          <w:rtl/>
        </w:rPr>
        <w:t xml:space="preserve"> בהשוואה למדינות נבחרות</w:t>
      </w:r>
    </w:p>
    <w:p w14:paraId="42C236AD" w14:textId="0462F24C" w:rsidR="007C4395" w:rsidRPr="00C653FC" w:rsidRDefault="007C4395" w:rsidP="002A738D">
      <w:pPr>
        <w:pStyle w:val="7190"/>
        <w:rPr>
          <w:rtl/>
        </w:rPr>
      </w:pPr>
      <w:r w:rsidRPr="00CA1DDF">
        <w:rPr>
          <w:rFonts w:hint="cs"/>
          <w:rtl/>
        </w:rPr>
        <w:t>ניתוח השוואה בין-לאומית של רכיבי הנכסים, ההתחייבות, ההוצאות וההכנסות של המדינה הוא כלי ניהול</w:t>
      </w:r>
      <w:r>
        <w:rPr>
          <w:rFonts w:hint="cs"/>
          <w:rtl/>
        </w:rPr>
        <w:t>י</w:t>
      </w:r>
      <w:r w:rsidRPr="00CA1DDF">
        <w:rPr>
          <w:rFonts w:hint="cs"/>
          <w:rtl/>
        </w:rPr>
        <w:t xml:space="preserve"> לדרגי הניהול הבכיר ולמקבלי ההחלטות בדרג המדיני במערכת הממשלתית. שקיפות נתונים אחידים ומבוקרים</w:t>
      </w:r>
      <w:r>
        <w:rPr>
          <w:rFonts w:hint="cs"/>
          <w:rtl/>
        </w:rPr>
        <w:t xml:space="preserve"> והשוואתם לנתוני מדינות שונות במקרים המתאימים, עשויים לתרום להבנה טובה יותר של תהליכים כלכליים בממשלה, ומתוך כך - גם לשיפורם וייעולם. </w:t>
      </w:r>
    </w:p>
    <w:p w14:paraId="2FB854CE" w14:textId="77777777" w:rsidR="007C4395" w:rsidRDefault="007C4395" w:rsidP="006F4D0D">
      <w:pPr>
        <w:pStyle w:val="71512"/>
        <w:rPr>
          <w:rtl/>
        </w:rPr>
      </w:pPr>
      <w:r>
        <w:rPr>
          <w:rFonts w:hint="cs"/>
          <w:rtl/>
        </w:rPr>
        <w:t>פילוח</w:t>
      </w:r>
      <w:r w:rsidRPr="002C5E39">
        <w:rPr>
          <w:rFonts w:hint="cs"/>
          <w:rtl/>
        </w:rPr>
        <w:t xml:space="preserve"> הוצאות של ממשלות נבחרות לשנת </w:t>
      </w:r>
      <w:r>
        <w:rPr>
          <w:rFonts w:hint="cs"/>
          <w:rtl/>
        </w:rPr>
        <w:t>2020</w:t>
      </w:r>
    </w:p>
    <w:p w14:paraId="4D9A2107" w14:textId="23AC498B" w:rsidR="007C4395" w:rsidRDefault="007C4395" w:rsidP="002A738D">
      <w:pPr>
        <w:pStyle w:val="7190"/>
        <w:rPr>
          <w:rtl/>
        </w:rPr>
      </w:pPr>
      <w:r w:rsidRPr="002C5E39">
        <w:rPr>
          <w:rFonts w:hint="cs"/>
          <w:rtl/>
        </w:rPr>
        <w:t xml:space="preserve">בתרשים </w:t>
      </w:r>
      <w:r>
        <w:rPr>
          <w:rFonts w:hint="cs"/>
          <w:rtl/>
        </w:rPr>
        <w:t>ש</w:t>
      </w:r>
      <w:r w:rsidRPr="002C5E39">
        <w:rPr>
          <w:rFonts w:hint="cs"/>
          <w:rtl/>
        </w:rPr>
        <w:t xml:space="preserve">להלן מוצג פילוח של הוצאות המדינות השונות לתחומים השונים בשנת </w:t>
      </w:r>
      <w:r>
        <w:rPr>
          <w:rFonts w:hint="cs"/>
          <w:rtl/>
        </w:rPr>
        <w:t>2020</w:t>
      </w:r>
      <w:r w:rsidRPr="002C5E39">
        <w:rPr>
          <w:rFonts w:hint="cs"/>
          <w:rtl/>
        </w:rPr>
        <w:t>, באחוזים מתוך התקציב כולו:</w:t>
      </w:r>
    </w:p>
    <w:p w14:paraId="554E480D" w14:textId="238E26AD" w:rsidR="007C4395" w:rsidRDefault="00724521" w:rsidP="00EC550D">
      <w:pPr>
        <w:pStyle w:val="71a"/>
      </w:pPr>
      <w:r w:rsidRPr="00EC550D">
        <w:rPr>
          <w:b w:val="0"/>
          <w:bCs w:val="0"/>
          <w:noProof/>
        </w:rPr>
        <w:drawing>
          <wp:anchor distT="0" distB="0" distL="114300" distR="114300" simplePos="0" relativeHeight="252021248" behindDoc="1" locked="0" layoutInCell="1" allowOverlap="1" wp14:anchorId="53708CF5" wp14:editId="59D33B1D">
            <wp:simplePos x="0" y="0"/>
            <wp:positionH relativeFrom="column">
              <wp:posOffset>-27940</wp:posOffset>
            </wp:positionH>
            <wp:positionV relativeFrom="paragraph">
              <wp:posOffset>471170</wp:posOffset>
            </wp:positionV>
            <wp:extent cx="4677410" cy="3738880"/>
            <wp:effectExtent l="0" t="0" r="0" b="0"/>
            <wp:wrapTopAndBottom/>
            <wp:docPr id="24785215" name="תמונה 24785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5215" name="תמונה 24785215"/>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4677410" cy="3738880"/>
                    </a:xfrm>
                    <a:prstGeom prst="rect">
                      <a:avLst/>
                    </a:prstGeom>
                    <a:noFill/>
                  </pic:spPr>
                </pic:pic>
              </a:graphicData>
            </a:graphic>
            <wp14:sizeRelH relativeFrom="margin">
              <wp14:pctWidth>0</wp14:pctWidth>
            </wp14:sizeRelH>
            <wp14:sizeRelV relativeFrom="margin">
              <wp14:pctHeight>0</wp14:pctHeight>
            </wp14:sizeRelV>
          </wp:anchor>
        </w:drawing>
      </w:r>
      <w:r w:rsidR="007C4395" w:rsidRPr="00EC550D">
        <w:rPr>
          <w:rFonts w:hint="cs"/>
          <w:b w:val="0"/>
          <w:bCs w:val="0"/>
          <w:rtl/>
        </w:rPr>
        <w:t>תרשים 11:</w:t>
      </w:r>
      <w:r w:rsidR="007C4395" w:rsidRPr="00C653FC">
        <w:rPr>
          <w:rFonts w:hint="cs"/>
          <w:rtl/>
        </w:rPr>
        <w:t xml:space="preserve"> פילוח הוצאות ממשלות נבחרות לשנת 2020, בחלוקה לתחומים, </w:t>
      </w:r>
      <w:r w:rsidR="007C4395">
        <w:rPr>
          <w:rtl/>
        </w:rPr>
        <w:br/>
      </w:r>
      <w:r w:rsidR="007C4395" w:rsidRPr="00C653FC">
        <w:rPr>
          <w:rFonts w:hint="cs"/>
          <w:rtl/>
        </w:rPr>
        <w:t>מתוך סך כל התקציב (באחוזים)</w:t>
      </w:r>
    </w:p>
    <w:p w14:paraId="372EF829" w14:textId="77777777" w:rsidR="007C4395" w:rsidRPr="0098222D" w:rsidRDefault="007C4395" w:rsidP="00251876">
      <w:pPr>
        <w:pStyle w:val="71c"/>
        <w:spacing w:before="360" w:after="0"/>
        <w:rPr>
          <w:rtl/>
        </w:rPr>
      </w:pPr>
      <w:r w:rsidRPr="0098222D">
        <w:rPr>
          <w:rFonts w:hint="eastAsia"/>
          <w:rtl/>
        </w:rPr>
        <w:t>על</w:t>
      </w:r>
      <w:r w:rsidRPr="0098222D">
        <w:rPr>
          <w:rtl/>
        </w:rPr>
        <w:t xml:space="preserve"> </w:t>
      </w:r>
      <w:r w:rsidRPr="0098222D">
        <w:rPr>
          <w:rFonts w:hint="eastAsia"/>
          <w:rtl/>
        </w:rPr>
        <w:t>פי</w:t>
      </w:r>
      <w:r w:rsidRPr="0098222D">
        <w:rPr>
          <w:rtl/>
        </w:rPr>
        <w:t xml:space="preserve"> הדוחות הכספיים של ישראל, ניו זילנד,</w:t>
      </w:r>
      <w:r w:rsidRPr="0098222D">
        <w:rPr>
          <w:rFonts w:hint="cs"/>
          <w:rtl/>
        </w:rPr>
        <w:t xml:space="preserve"> ארצות הברית,</w:t>
      </w:r>
      <w:r w:rsidRPr="0098222D">
        <w:rPr>
          <w:rtl/>
        </w:rPr>
        <w:t xml:space="preserve"> אוסטרליה ו</w:t>
      </w:r>
      <w:r w:rsidRPr="0098222D">
        <w:rPr>
          <w:rFonts w:hint="cs"/>
          <w:rtl/>
        </w:rPr>
        <w:t>קנדה</w:t>
      </w:r>
      <w:r w:rsidRPr="0098222D">
        <w:rPr>
          <w:rtl/>
        </w:rPr>
        <w:t xml:space="preserve"> לשנת 2020, בעיבוד משרד מבקר המדינה.</w:t>
      </w:r>
    </w:p>
    <w:p w14:paraId="48E4BCB0" w14:textId="6661F825" w:rsidR="007C4395" w:rsidRPr="0098222D" w:rsidRDefault="007C4395" w:rsidP="00010778">
      <w:pPr>
        <w:pStyle w:val="71c"/>
        <w:spacing w:before="0"/>
        <w:ind w:left="397" w:hanging="397"/>
        <w:rPr>
          <w:rtl/>
        </w:rPr>
      </w:pPr>
      <w:r w:rsidRPr="0098222D">
        <w:rPr>
          <w:rtl/>
        </w:rPr>
        <w:t xml:space="preserve">* </w:t>
      </w:r>
      <w:r w:rsidR="0098222D">
        <w:rPr>
          <w:rtl/>
        </w:rPr>
        <w:tab/>
      </w:r>
      <w:r w:rsidRPr="0098222D">
        <w:rPr>
          <w:rFonts w:hint="eastAsia"/>
          <w:rtl/>
        </w:rPr>
        <w:t>הדוחות</w:t>
      </w:r>
      <w:r w:rsidRPr="0098222D">
        <w:rPr>
          <w:rtl/>
        </w:rPr>
        <w:t xml:space="preserve"> </w:t>
      </w:r>
      <w:r w:rsidRPr="0098222D">
        <w:rPr>
          <w:rFonts w:hint="eastAsia"/>
          <w:rtl/>
        </w:rPr>
        <w:t>הכספיים</w:t>
      </w:r>
      <w:r w:rsidRPr="0098222D">
        <w:rPr>
          <w:rtl/>
        </w:rPr>
        <w:t xml:space="preserve"> </w:t>
      </w:r>
      <w:r w:rsidRPr="0098222D">
        <w:rPr>
          <w:rFonts w:hint="eastAsia"/>
          <w:rtl/>
        </w:rPr>
        <w:t>של</w:t>
      </w:r>
      <w:r w:rsidRPr="0098222D">
        <w:rPr>
          <w:rtl/>
        </w:rPr>
        <w:t xml:space="preserve"> </w:t>
      </w:r>
      <w:r w:rsidRPr="0098222D">
        <w:rPr>
          <w:rFonts w:hint="eastAsia"/>
          <w:rtl/>
        </w:rPr>
        <w:t>ניו</w:t>
      </w:r>
      <w:r w:rsidRPr="0098222D">
        <w:rPr>
          <w:rtl/>
        </w:rPr>
        <w:t xml:space="preserve"> </w:t>
      </w:r>
      <w:r w:rsidRPr="0098222D">
        <w:rPr>
          <w:rFonts w:hint="eastAsia"/>
          <w:rtl/>
        </w:rPr>
        <w:t>זילנד</w:t>
      </w:r>
      <w:r w:rsidRPr="0098222D">
        <w:rPr>
          <w:rtl/>
        </w:rPr>
        <w:t xml:space="preserve"> </w:t>
      </w:r>
      <w:r w:rsidRPr="0098222D">
        <w:rPr>
          <w:rFonts w:hint="eastAsia"/>
          <w:rtl/>
        </w:rPr>
        <w:t>ואוסטרליה</w:t>
      </w:r>
      <w:r w:rsidRPr="0098222D">
        <w:rPr>
          <w:rtl/>
        </w:rPr>
        <w:t xml:space="preserve"> </w:t>
      </w:r>
      <w:r w:rsidRPr="0098222D">
        <w:rPr>
          <w:rFonts w:hint="eastAsia"/>
          <w:rtl/>
        </w:rPr>
        <w:t>הם</w:t>
      </w:r>
      <w:r w:rsidRPr="0098222D">
        <w:rPr>
          <w:rtl/>
        </w:rPr>
        <w:t xml:space="preserve"> </w:t>
      </w:r>
      <w:r w:rsidRPr="0098222D">
        <w:rPr>
          <w:rFonts w:hint="eastAsia"/>
          <w:rtl/>
        </w:rPr>
        <w:t>לשנה</w:t>
      </w:r>
      <w:r w:rsidRPr="0098222D">
        <w:rPr>
          <w:rtl/>
        </w:rPr>
        <w:t xml:space="preserve"> </w:t>
      </w:r>
      <w:r w:rsidRPr="0098222D">
        <w:rPr>
          <w:rFonts w:hint="eastAsia"/>
          <w:rtl/>
        </w:rPr>
        <w:t>שהסתיימה</w:t>
      </w:r>
      <w:r w:rsidRPr="0098222D">
        <w:rPr>
          <w:rtl/>
        </w:rPr>
        <w:t xml:space="preserve"> </w:t>
      </w:r>
      <w:r w:rsidRPr="0098222D">
        <w:rPr>
          <w:rFonts w:hint="eastAsia"/>
          <w:rtl/>
        </w:rPr>
        <w:t>ביום</w:t>
      </w:r>
      <w:r w:rsidRPr="0098222D">
        <w:rPr>
          <w:rtl/>
        </w:rPr>
        <w:t xml:space="preserve"> 30 </w:t>
      </w:r>
      <w:r w:rsidRPr="0098222D">
        <w:rPr>
          <w:rFonts w:hint="eastAsia"/>
          <w:rtl/>
        </w:rPr>
        <w:t>ביוני</w:t>
      </w:r>
      <w:r w:rsidRPr="0098222D">
        <w:rPr>
          <w:rtl/>
        </w:rPr>
        <w:t xml:space="preserve"> 2020, והדוחות הכספיים של קנדה הם לשנה שהסתיימה </w:t>
      </w:r>
      <w:r w:rsidRPr="0098222D">
        <w:rPr>
          <w:rFonts w:hint="eastAsia"/>
          <w:rtl/>
        </w:rPr>
        <w:t>ביום</w:t>
      </w:r>
      <w:r w:rsidRPr="0098222D">
        <w:rPr>
          <w:rtl/>
        </w:rPr>
        <w:t xml:space="preserve"> 31 </w:t>
      </w:r>
      <w:r w:rsidRPr="0098222D">
        <w:rPr>
          <w:rFonts w:hint="eastAsia"/>
          <w:rtl/>
        </w:rPr>
        <w:t>במרץ</w:t>
      </w:r>
      <w:r w:rsidRPr="0098222D">
        <w:rPr>
          <w:rtl/>
        </w:rPr>
        <w:t xml:space="preserve"> 2020.</w:t>
      </w:r>
    </w:p>
    <w:p w14:paraId="2A3849F9" w14:textId="3835D617" w:rsidR="007C4395" w:rsidRDefault="007C4395" w:rsidP="003B2683">
      <w:pPr>
        <w:pStyle w:val="71f4"/>
        <w:rPr>
          <w:rtl/>
        </w:rPr>
      </w:pPr>
      <w:r>
        <w:rPr>
          <w:rFonts w:hint="cs"/>
          <w:rtl/>
        </w:rPr>
        <w:lastRenderedPageBreak/>
        <w:t>מהתרשים</w:t>
      </w:r>
      <w:r w:rsidRPr="002C5E39">
        <w:rPr>
          <w:rFonts w:hint="cs"/>
          <w:rtl/>
        </w:rPr>
        <w:t xml:space="preserve"> עולה כי שיעורי ההוצאה בגין תחומי </w:t>
      </w:r>
      <w:r>
        <w:rPr>
          <w:rFonts w:hint="cs"/>
          <w:rtl/>
        </w:rPr>
        <w:t>ה</w:t>
      </w:r>
      <w:r w:rsidRPr="002C5E39">
        <w:rPr>
          <w:rFonts w:hint="cs"/>
          <w:rtl/>
        </w:rPr>
        <w:t xml:space="preserve">ביטחון וביטחון </w:t>
      </w:r>
      <w:r>
        <w:rPr>
          <w:rFonts w:hint="cs"/>
          <w:rtl/>
        </w:rPr>
        <w:t>ה</w:t>
      </w:r>
      <w:r w:rsidRPr="002C5E39">
        <w:rPr>
          <w:rFonts w:hint="cs"/>
          <w:rtl/>
        </w:rPr>
        <w:t>פנים של ממשלות ארצות הברית וישראל גבוה</w:t>
      </w:r>
      <w:r>
        <w:rPr>
          <w:rFonts w:hint="cs"/>
          <w:rtl/>
        </w:rPr>
        <w:t xml:space="preserve">ים במידה ניכרת מאלו של אוסטרליה, </w:t>
      </w:r>
      <w:r w:rsidRPr="002C5E39">
        <w:rPr>
          <w:rFonts w:hint="cs"/>
          <w:rtl/>
        </w:rPr>
        <w:t>ניו זילנד</w:t>
      </w:r>
      <w:r>
        <w:rPr>
          <w:rFonts w:hint="cs"/>
          <w:rtl/>
        </w:rPr>
        <w:t xml:space="preserve"> וקנדה (26% ו-22% בהתאמה לעומת 7%, 6% ו-11% בהתאמה)</w:t>
      </w:r>
      <w:r w:rsidRPr="002C5E39">
        <w:rPr>
          <w:rFonts w:hint="cs"/>
          <w:rtl/>
        </w:rPr>
        <w:t xml:space="preserve">. </w:t>
      </w:r>
      <w:r>
        <w:rPr>
          <w:rFonts w:hint="cs"/>
          <w:rtl/>
        </w:rPr>
        <w:t xml:space="preserve">עם זאת, </w:t>
      </w:r>
      <w:r w:rsidRPr="002C5E39">
        <w:rPr>
          <w:rFonts w:hint="cs"/>
          <w:rtl/>
        </w:rPr>
        <w:t>שיעורי ההוצאה בתחומים חברתיים</w:t>
      </w:r>
      <w:r>
        <w:rPr>
          <w:rFonts w:hint="cs"/>
          <w:rtl/>
        </w:rPr>
        <w:t>,</w:t>
      </w:r>
      <w:r w:rsidRPr="002C5E39">
        <w:rPr>
          <w:rFonts w:hint="cs"/>
          <w:rtl/>
        </w:rPr>
        <w:t xml:space="preserve"> כגון ביטוח לאומי, רווחה ובריאות </w:t>
      </w:r>
      <w:r>
        <w:rPr>
          <w:rFonts w:hint="cs"/>
          <w:rtl/>
        </w:rPr>
        <w:t xml:space="preserve">- </w:t>
      </w:r>
      <w:r w:rsidRPr="002C5E39">
        <w:rPr>
          <w:rFonts w:hint="cs"/>
          <w:rtl/>
        </w:rPr>
        <w:t>בישראל</w:t>
      </w:r>
      <w:r>
        <w:rPr>
          <w:rFonts w:hint="cs"/>
          <w:rtl/>
        </w:rPr>
        <w:t xml:space="preserve"> ובארצות הברית - </w:t>
      </w:r>
      <w:r w:rsidRPr="002C5E39">
        <w:rPr>
          <w:rFonts w:hint="cs"/>
          <w:rtl/>
        </w:rPr>
        <w:t>נמוכים בהשוואה ליתר המדינות שנבדקו</w:t>
      </w:r>
      <w:r>
        <w:rPr>
          <w:rFonts w:hint="cs"/>
          <w:rtl/>
        </w:rPr>
        <w:t xml:space="preserve"> (לדוגמה בתחום הביטוח הלאומי והרווחה: 15% ו-18% בישראל ובארה"ב, בהתאמה לעומת 33%, 36% ו-31% באוסטרליה, ניו זילנד וקנדה בהתאמה)</w:t>
      </w:r>
      <w:r w:rsidRPr="002C5E39">
        <w:rPr>
          <w:rFonts w:hint="cs"/>
          <w:rtl/>
        </w:rPr>
        <w:t>.</w:t>
      </w:r>
    </w:p>
    <w:p w14:paraId="4C7AA9D3" w14:textId="77777777" w:rsidR="007C4395" w:rsidRDefault="007C4395" w:rsidP="006F4D0D">
      <w:pPr>
        <w:pStyle w:val="71414"/>
        <w:rPr>
          <w:rtl/>
        </w:rPr>
      </w:pPr>
      <w:r w:rsidRPr="004650C8">
        <w:rPr>
          <w:rFonts w:hint="cs"/>
          <w:rtl/>
        </w:rPr>
        <w:t>פילוח מצבת הנכסים של מדינת ישראל בשנים 2015 - 2020</w:t>
      </w:r>
    </w:p>
    <w:p w14:paraId="18D1F1BA" w14:textId="77777777" w:rsidR="007C4395" w:rsidRDefault="007C4395" w:rsidP="002A738D">
      <w:pPr>
        <w:pStyle w:val="7190"/>
        <w:rPr>
          <w:rtl/>
        </w:rPr>
      </w:pPr>
      <w:r w:rsidRPr="004650C8">
        <w:rPr>
          <w:rFonts w:hint="cs"/>
          <w:rtl/>
        </w:rPr>
        <w:t>להלן פילוח של מצבת הנכסים של המדינה לשנים 2015 - 2020 לפי חלוקה לתחומים, כפי שעולה מה</w:t>
      </w:r>
      <w:r>
        <w:rPr>
          <w:rFonts w:hint="cs"/>
          <w:rtl/>
        </w:rPr>
        <w:t>דוחות</w:t>
      </w:r>
      <w:r w:rsidRPr="004650C8">
        <w:rPr>
          <w:rFonts w:hint="cs"/>
          <w:rtl/>
        </w:rPr>
        <w:t xml:space="preserve"> הכספיים של המדינה</w:t>
      </w:r>
      <w:r>
        <w:rPr>
          <w:rFonts w:hint="cs"/>
          <w:rtl/>
        </w:rPr>
        <w:t>:</w:t>
      </w:r>
    </w:p>
    <w:p w14:paraId="49331987" w14:textId="77777777" w:rsidR="007C4395" w:rsidRPr="004650C8" w:rsidRDefault="007C4395" w:rsidP="006F4D0D">
      <w:pPr>
        <w:pStyle w:val="71a"/>
        <w:rPr>
          <w:rtl/>
        </w:rPr>
      </w:pPr>
      <w:r w:rsidRPr="00EC550D">
        <w:rPr>
          <w:rFonts w:hint="cs"/>
          <w:b w:val="0"/>
          <w:bCs w:val="0"/>
          <w:rtl/>
        </w:rPr>
        <w:t>תרשים 12:</w:t>
      </w:r>
      <w:r w:rsidRPr="004650C8">
        <w:rPr>
          <w:rFonts w:hint="cs"/>
          <w:rtl/>
        </w:rPr>
        <w:t xml:space="preserve"> פילוח נכסי המדינה בשנים 2015 - 2020 (במיליארדי ש"ח)</w:t>
      </w:r>
    </w:p>
    <w:p w14:paraId="48672948" w14:textId="77777777" w:rsidR="007C4395" w:rsidRPr="004650C8" w:rsidRDefault="007C4395" w:rsidP="007C4395">
      <w:pPr>
        <w:spacing w:line="269" w:lineRule="auto"/>
        <w:rPr>
          <w:sz w:val="22"/>
          <w:szCs w:val="22"/>
          <w:rtl/>
        </w:rPr>
      </w:pPr>
      <w:r>
        <w:rPr>
          <w:noProof/>
          <w:sz w:val="22"/>
          <w:szCs w:val="22"/>
        </w:rPr>
        <w:drawing>
          <wp:inline distT="0" distB="0" distL="0" distR="0" wp14:anchorId="65991407" wp14:editId="59B30452">
            <wp:extent cx="4710447" cy="2984205"/>
            <wp:effectExtent l="0" t="0" r="0" b="0"/>
            <wp:docPr id="765912896" name="תמונה 76591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896" name="תמונה 765912896"/>
                    <pic:cNvPicPr>
                      <a:picLocks noChangeAspect="1" noChangeArrowheads="1"/>
                    </pic:cNvPicPr>
                  </pic:nvPicPr>
                  <pic:blipFill>
                    <a:blip r:embed="rId45">
                      <a:extLst>
                        <a:ext uri="{28A0092B-C50C-407E-A947-70E740481C1C}">
                          <a14:useLocalDpi xmlns:a14="http://schemas.microsoft.com/office/drawing/2010/main" val="0"/>
                        </a:ext>
                      </a:extLst>
                    </a:blip>
                    <a:srcRect t="474" b="474"/>
                    <a:stretch>
                      <a:fillRect/>
                    </a:stretch>
                  </pic:blipFill>
                  <pic:spPr bwMode="auto">
                    <a:xfrm>
                      <a:off x="0" y="0"/>
                      <a:ext cx="4720528" cy="2990592"/>
                    </a:xfrm>
                    <a:prstGeom prst="rect">
                      <a:avLst/>
                    </a:prstGeom>
                    <a:noFill/>
                    <a:ln>
                      <a:noFill/>
                    </a:ln>
                    <a:extLst>
                      <a:ext uri="{53640926-AAD7-44D8-BBD7-CCE9431645EC}">
                        <a14:shadowObscured xmlns:a14="http://schemas.microsoft.com/office/drawing/2010/main"/>
                      </a:ext>
                    </a:extLst>
                  </pic:spPr>
                </pic:pic>
              </a:graphicData>
            </a:graphic>
          </wp:inline>
        </w:drawing>
      </w:r>
    </w:p>
    <w:p w14:paraId="38A795CF" w14:textId="77777777" w:rsidR="007C4395" w:rsidRPr="00010778" w:rsidRDefault="007C4395" w:rsidP="00010778">
      <w:pPr>
        <w:pStyle w:val="71c"/>
        <w:rPr>
          <w:rtl/>
        </w:rPr>
      </w:pPr>
      <w:r w:rsidRPr="00010778">
        <w:rPr>
          <w:rFonts w:hint="eastAsia"/>
          <w:rtl/>
        </w:rPr>
        <w:t>על</w:t>
      </w:r>
      <w:r w:rsidRPr="00010778">
        <w:rPr>
          <w:rtl/>
        </w:rPr>
        <w:t xml:space="preserve"> </w:t>
      </w:r>
      <w:r w:rsidRPr="00010778">
        <w:rPr>
          <w:rFonts w:hint="eastAsia"/>
          <w:rtl/>
        </w:rPr>
        <w:t>פי</w:t>
      </w:r>
      <w:r w:rsidRPr="00010778">
        <w:rPr>
          <w:rtl/>
        </w:rPr>
        <w:t xml:space="preserve"> הדוחות </w:t>
      </w:r>
      <w:r w:rsidRPr="00010778">
        <w:rPr>
          <w:rFonts w:hint="eastAsia"/>
          <w:rtl/>
        </w:rPr>
        <w:t>הכספיים</w:t>
      </w:r>
      <w:r w:rsidRPr="00010778">
        <w:rPr>
          <w:rtl/>
        </w:rPr>
        <w:t xml:space="preserve"> </w:t>
      </w:r>
      <w:r w:rsidRPr="00010778">
        <w:rPr>
          <w:rFonts w:hint="eastAsia"/>
          <w:rtl/>
        </w:rPr>
        <w:t>של</w:t>
      </w:r>
      <w:r w:rsidRPr="00010778">
        <w:rPr>
          <w:rtl/>
        </w:rPr>
        <w:t xml:space="preserve"> </w:t>
      </w:r>
      <w:r w:rsidRPr="00010778">
        <w:rPr>
          <w:rFonts w:hint="eastAsia"/>
          <w:rtl/>
        </w:rPr>
        <w:t>המדינה</w:t>
      </w:r>
      <w:r w:rsidRPr="00010778">
        <w:rPr>
          <w:rtl/>
        </w:rPr>
        <w:t xml:space="preserve"> </w:t>
      </w:r>
      <w:r w:rsidRPr="00010778">
        <w:rPr>
          <w:rFonts w:hint="eastAsia"/>
          <w:rtl/>
        </w:rPr>
        <w:t>לשנים</w:t>
      </w:r>
      <w:r w:rsidRPr="00010778">
        <w:rPr>
          <w:rtl/>
        </w:rPr>
        <w:t xml:space="preserve"> 2015 - 2020, </w:t>
      </w:r>
      <w:r w:rsidRPr="00010778">
        <w:rPr>
          <w:rFonts w:hint="eastAsia"/>
          <w:rtl/>
        </w:rPr>
        <w:t>בעיבוד</w:t>
      </w:r>
      <w:r w:rsidRPr="00010778">
        <w:rPr>
          <w:rtl/>
        </w:rPr>
        <w:t xml:space="preserve"> </w:t>
      </w:r>
      <w:r w:rsidRPr="00010778">
        <w:rPr>
          <w:rFonts w:hint="eastAsia"/>
          <w:rtl/>
        </w:rPr>
        <w:t>משרד</w:t>
      </w:r>
      <w:r w:rsidRPr="00010778">
        <w:rPr>
          <w:rtl/>
        </w:rPr>
        <w:t xml:space="preserve"> </w:t>
      </w:r>
      <w:r w:rsidRPr="00010778">
        <w:rPr>
          <w:rFonts w:hint="eastAsia"/>
          <w:rtl/>
        </w:rPr>
        <w:t>מבקר</w:t>
      </w:r>
      <w:r w:rsidRPr="00010778">
        <w:rPr>
          <w:rtl/>
        </w:rPr>
        <w:t xml:space="preserve"> </w:t>
      </w:r>
      <w:r w:rsidRPr="00010778">
        <w:rPr>
          <w:rFonts w:hint="eastAsia"/>
          <w:rtl/>
        </w:rPr>
        <w:t>המדינה</w:t>
      </w:r>
      <w:r w:rsidRPr="00010778">
        <w:rPr>
          <w:rtl/>
        </w:rPr>
        <w:t>.</w:t>
      </w:r>
    </w:p>
    <w:p w14:paraId="102AFA32" w14:textId="77777777" w:rsidR="007C4395" w:rsidRDefault="007C4395" w:rsidP="002A738D">
      <w:pPr>
        <w:pStyle w:val="7190"/>
        <w:rPr>
          <w:b/>
          <w:bCs/>
          <w:rtl/>
        </w:rPr>
      </w:pPr>
      <w:r w:rsidRPr="004650C8">
        <w:rPr>
          <w:rFonts w:hint="cs"/>
          <w:rtl/>
        </w:rPr>
        <w:t xml:space="preserve">סך </w:t>
      </w:r>
      <w:r>
        <w:rPr>
          <w:rFonts w:hint="cs"/>
          <w:rtl/>
        </w:rPr>
        <w:t>הנכסים המוצגים</w:t>
      </w:r>
      <w:r w:rsidRPr="004650C8">
        <w:rPr>
          <w:rFonts w:hint="cs"/>
          <w:rtl/>
        </w:rPr>
        <w:t xml:space="preserve"> בתרשים </w:t>
      </w:r>
      <w:r>
        <w:rPr>
          <w:rFonts w:hint="cs"/>
          <w:rtl/>
        </w:rPr>
        <w:t xml:space="preserve">היה </w:t>
      </w:r>
      <w:r w:rsidRPr="004650C8">
        <w:rPr>
          <w:rFonts w:hint="cs"/>
          <w:rtl/>
        </w:rPr>
        <w:t>ליום 31.12.</w:t>
      </w:r>
      <w:r>
        <w:rPr>
          <w:rFonts w:hint="cs"/>
          <w:rtl/>
        </w:rPr>
        <w:t>20</w:t>
      </w:r>
      <w:r w:rsidRPr="004650C8">
        <w:rPr>
          <w:rFonts w:hint="cs"/>
          <w:rtl/>
        </w:rPr>
        <w:t>19 כ-</w:t>
      </w:r>
      <w:r>
        <w:rPr>
          <w:rFonts w:hint="cs"/>
          <w:rtl/>
        </w:rPr>
        <w:t>695 מיליארד</w:t>
      </w:r>
      <w:r w:rsidRPr="004650C8">
        <w:rPr>
          <w:rFonts w:hint="cs"/>
          <w:rtl/>
        </w:rPr>
        <w:t xml:space="preserve"> </w:t>
      </w:r>
      <w:r>
        <w:rPr>
          <w:rFonts w:hint="cs"/>
          <w:rtl/>
        </w:rPr>
        <w:t>ש"ח, ואילו סך הנכסים היה</w:t>
      </w:r>
      <w:r w:rsidRPr="004650C8">
        <w:rPr>
          <w:rFonts w:hint="cs"/>
          <w:rtl/>
        </w:rPr>
        <w:t xml:space="preserve"> ליום </w:t>
      </w:r>
      <w:r>
        <w:rPr>
          <w:rFonts w:hint="cs"/>
          <w:rtl/>
        </w:rPr>
        <w:t>31.12.2020</w:t>
      </w:r>
      <w:r w:rsidRPr="004650C8">
        <w:rPr>
          <w:rFonts w:hint="cs"/>
          <w:rtl/>
        </w:rPr>
        <w:t xml:space="preserve"> כ-</w:t>
      </w:r>
      <w:r>
        <w:rPr>
          <w:rFonts w:hint="cs"/>
          <w:rtl/>
        </w:rPr>
        <w:t xml:space="preserve">732 מיליארד ש"ח, </w:t>
      </w:r>
      <w:r w:rsidRPr="004650C8">
        <w:rPr>
          <w:rFonts w:hint="cs"/>
          <w:rtl/>
        </w:rPr>
        <w:t>(גידול של כ-</w:t>
      </w:r>
      <w:r>
        <w:rPr>
          <w:rFonts w:hint="cs"/>
          <w:rtl/>
        </w:rPr>
        <w:t>5</w:t>
      </w:r>
      <w:r w:rsidRPr="004650C8">
        <w:rPr>
          <w:rFonts w:hint="cs"/>
          <w:rtl/>
        </w:rPr>
        <w:t>.</w:t>
      </w:r>
      <w:r>
        <w:rPr>
          <w:rFonts w:hint="cs"/>
          <w:rtl/>
        </w:rPr>
        <w:t>3</w:t>
      </w:r>
      <w:r w:rsidRPr="004650C8">
        <w:rPr>
          <w:rFonts w:hint="cs"/>
          <w:rtl/>
        </w:rPr>
        <w:t>%).</w:t>
      </w:r>
    </w:p>
    <w:p w14:paraId="66A0B340" w14:textId="65D50536" w:rsidR="007C4395" w:rsidRPr="00675951" w:rsidRDefault="007C4395" w:rsidP="00675951">
      <w:pPr>
        <w:pStyle w:val="71f4"/>
        <w:rPr>
          <w:rtl/>
        </w:rPr>
      </w:pPr>
      <w:r w:rsidRPr="00675951">
        <w:rPr>
          <w:rFonts w:hint="cs"/>
          <w:rtl/>
        </w:rPr>
        <w:t>בבחינה של פילוח הרכב הנכסים עולה כי עיקר הגידול נובע מהנכסים השוטפים (גידול של כ-32 מיליארד ש"ח).</w:t>
      </w:r>
    </w:p>
    <w:p w14:paraId="3E099BFB" w14:textId="1FA51B18" w:rsidR="007C4395" w:rsidRDefault="007C4395" w:rsidP="006F4D0D">
      <w:pPr>
        <w:pStyle w:val="71512"/>
        <w:rPr>
          <w:rtl/>
        </w:rPr>
      </w:pPr>
      <w:r w:rsidRPr="00AA5CEE">
        <w:rPr>
          <w:rFonts w:hint="cs"/>
          <w:rtl/>
        </w:rPr>
        <w:lastRenderedPageBreak/>
        <w:t>פילוח מצבת הנכסים השוטפים של מדינת ישראל בשנים</w:t>
      </w:r>
      <w:r w:rsidR="00262AD0">
        <w:br/>
      </w:r>
      <w:r w:rsidRPr="00AA5CEE">
        <w:rPr>
          <w:rFonts w:hint="cs"/>
          <w:rtl/>
        </w:rPr>
        <w:t>201</w:t>
      </w:r>
      <w:r>
        <w:rPr>
          <w:rFonts w:hint="cs"/>
          <w:rtl/>
        </w:rPr>
        <w:t>5</w:t>
      </w:r>
      <w:r w:rsidRPr="00AA5CEE">
        <w:rPr>
          <w:rFonts w:hint="cs"/>
          <w:rtl/>
        </w:rPr>
        <w:t xml:space="preserve"> - 2020</w:t>
      </w:r>
      <w:r>
        <w:rPr>
          <w:rFonts w:hint="cs"/>
          <w:rtl/>
        </w:rPr>
        <w:t xml:space="preserve"> </w:t>
      </w:r>
    </w:p>
    <w:p w14:paraId="11B1BE15" w14:textId="77777777" w:rsidR="007C4395" w:rsidRDefault="007C4395" w:rsidP="002A738D">
      <w:pPr>
        <w:pStyle w:val="7190"/>
        <w:rPr>
          <w:rtl/>
        </w:rPr>
      </w:pPr>
      <w:r>
        <w:rPr>
          <w:rtl/>
        </w:rPr>
        <w:t xml:space="preserve">להלן פילוח של מצבת </w:t>
      </w:r>
      <w:r>
        <w:rPr>
          <w:rFonts w:hint="cs"/>
          <w:rtl/>
        </w:rPr>
        <w:t>הנכסים השוטפים</w:t>
      </w:r>
      <w:r w:rsidRPr="000F5114">
        <w:rPr>
          <w:rtl/>
        </w:rPr>
        <w:t xml:space="preserve"> של המדינה לשנים 201</w:t>
      </w:r>
      <w:r>
        <w:rPr>
          <w:rFonts w:hint="cs"/>
          <w:rtl/>
        </w:rPr>
        <w:t>5</w:t>
      </w:r>
      <w:r w:rsidRPr="000F5114">
        <w:rPr>
          <w:rtl/>
        </w:rPr>
        <w:t xml:space="preserve"> - 20</w:t>
      </w:r>
      <w:r>
        <w:rPr>
          <w:rFonts w:hint="cs"/>
          <w:rtl/>
        </w:rPr>
        <w:t>20</w:t>
      </w:r>
      <w:r w:rsidRPr="000F5114">
        <w:rPr>
          <w:rtl/>
        </w:rPr>
        <w:t xml:space="preserve"> לפי חלוקה לתחומים, כפי שעולה מה</w:t>
      </w:r>
      <w:r>
        <w:rPr>
          <w:rtl/>
        </w:rPr>
        <w:t>דוחות</w:t>
      </w:r>
      <w:r w:rsidRPr="000F5114">
        <w:rPr>
          <w:rtl/>
        </w:rPr>
        <w:t xml:space="preserve"> הכספיים של המדינה</w:t>
      </w:r>
      <w:r>
        <w:rPr>
          <w:rFonts w:hint="cs"/>
          <w:rtl/>
        </w:rPr>
        <w:t>:</w:t>
      </w:r>
    </w:p>
    <w:p w14:paraId="2CED9D2D" w14:textId="0426786B" w:rsidR="007C4395" w:rsidRPr="00C653FC" w:rsidRDefault="00CF292C" w:rsidP="00EC550D">
      <w:pPr>
        <w:pStyle w:val="71a"/>
        <w:rPr>
          <w:rtl/>
        </w:rPr>
      </w:pPr>
      <w:r>
        <w:rPr>
          <w:noProof/>
        </w:rPr>
        <w:drawing>
          <wp:anchor distT="0" distB="0" distL="114300" distR="114300" simplePos="0" relativeHeight="252047872" behindDoc="0" locked="0" layoutInCell="1" allowOverlap="1" wp14:anchorId="375CFF73" wp14:editId="07A542AC">
            <wp:simplePos x="0" y="0"/>
            <wp:positionH relativeFrom="column">
              <wp:posOffset>-15688</wp:posOffset>
            </wp:positionH>
            <wp:positionV relativeFrom="paragraph">
              <wp:posOffset>463550</wp:posOffset>
            </wp:positionV>
            <wp:extent cx="4686300" cy="2427605"/>
            <wp:effectExtent l="0" t="0" r="0" b="0"/>
            <wp:wrapTopAndBottom/>
            <wp:docPr id="765912897" name="תמונה 76591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897" name="תמונה 765912897"/>
                    <pic:cNvPicPr/>
                  </pic:nvPicPr>
                  <pic:blipFill>
                    <a:blip r:embed="rId46">
                      <a:extLst>
                        <a:ext uri="{28A0092B-C50C-407E-A947-70E740481C1C}">
                          <a14:useLocalDpi xmlns:a14="http://schemas.microsoft.com/office/drawing/2010/main" val="0"/>
                        </a:ext>
                      </a:extLst>
                    </a:blip>
                    <a:stretch>
                      <a:fillRect/>
                    </a:stretch>
                  </pic:blipFill>
                  <pic:spPr bwMode="auto">
                    <a:xfrm>
                      <a:off x="0" y="0"/>
                      <a:ext cx="4686300" cy="242760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4395" w:rsidRPr="00EC550D">
        <w:rPr>
          <w:rFonts w:hint="cs"/>
          <w:b w:val="0"/>
          <w:bCs w:val="0"/>
          <w:rtl/>
        </w:rPr>
        <w:t>תרשים 13:</w:t>
      </w:r>
      <w:r w:rsidR="007C4395" w:rsidRPr="00C653FC">
        <w:rPr>
          <w:rFonts w:hint="cs"/>
          <w:rtl/>
        </w:rPr>
        <w:t xml:space="preserve"> פילוח הנכסים השוטפים של המדינה לשנים 2015 - 2020 (במיליוני ש"ח)</w:t>
      </w:r>
    </w:p>
    <w:p w14:paraId="2E4D165B" w14:textId="2531D789" w:rsidR="007C4395" w:rsidRPr="005134EA" w:rsidRDefault="007C4395" w:rsidP="005134EA">
      <w:pPr>
        <w:pStyle w:val="71c"/>
        <w:rPr>
          <w:rtl/>
        </w:rPr>
      </w:pPr>
      <w:r w:rsidRPr="005134EA">
        <w:rPr>
          <w:rFonts w:hint="eastAsia"/>
          <w:rtl/>
        </w:rPr>
        <w:t>על</w:t>
      </w:r>
      <w:r w:rsidRPr="005134EA">
        <w:rPr>
          <w:rtl/>
        </w:rPr>
        <w:t xml:space="preserve"> </w:t>
      </w:r>
      <w:r w:rsidRPr="005134EA">
        <w:rPr>
          <w:rFonts w:hint="eastAsia"/>
          <w:rtl/>
        </w:rPr>
        <w:t>פי</w:t>
      </w:r>
      <w:r w:rsidRPr="005134EA">
        <w:rPr>
          <w:rtl/>
        </w:rPr>
        <w:t xml:space="preserve"> הדוחות הכספיים של המדינה לשנים 2015 - 2020, בעיבוד משרד מבקר המדינה.</w:t>
      </w:r>
    </w:p>
    <w:p w14:paraId="5E5F665E" w14:textId="77777777" w:rsidR="007C4395" w:rsidRPr="00C653FC" w:rsidRDefault="007C4395" w:rsidP="00CF292C">
      <w:pPr>
        <w:pStyle w:val="7190"/>
        <w:rPr>
          <w:rtl/>
        </w:rPr>
      </w:pPr>
      <w:r w:rsidRPr="00C653FC">
        <w:rPr>
          <w:rtl/>
        </w:rPr>
        <w:t>סך ה</w:t>
      </w:r>
      <w:r w:rsidRPr="00C653FC">
        <w:rPr>
          <w:rFonts w:hint="eastAsia"/>
          <w:rtl/>
        </w:rPr>
        <w:t>נכסים</w:t>
      </w:r>
      <w:r w:rsidRPr="00C653FC">
        <w:rPr>
          <w:rtl/>
        </w:rPr>
        <w:t xml:space="preserve"> </w:t>
      </w:r>
      <w:r w:rsidRPr="00C653FC">
        <w:rPr>
          <w:rFonts w:hint="eastAsia"/>
          <w:rtl/>
        </w:rPr>
        <w:t>השוטפים</w:t>
      </w:r>
      <w:r w:rsidRPr="00C653FC">
        <w:rPr>
          <w:rtl/>
        </w:rPr>
        <w:t xml:space="preserve"> המוצג</w:t>
      </w:r>
      <w:r w:rsidRPr="00C653FC">
        <w:rPr>
          <w:rFonts w:hint="eastAsia"/>
          <w:rtl/>
        </w:rPr>
        <w:t>ים</w:t>
      </w:r>
      <w:r w:rsidRPr="00C653FC">
        <w:rPr>
          <w:rtl/>
        </w:rPr>
        <w:t xml:space="preserve"> בתרשים</w:t>
      </w:r>
      <w:r w:rsidRPr="00C653FC">
        <w:rPr>
          <w:rFonts w:hint="cs"/>
          <w:rtl/>
        </w:rPr>
        <w:t xml:space="preserve"> היה ל</w:t>
      </w:r>
      <w:r w:rsidRPr="00C653FC">
        <w:rPr>
          <w:rtl/>
        </w:rPr>
        <w:t>יום 31.12.</w:t>
      </w:r>
      <w:r w:rsidRPr="00C653FC">
        <w:rPr>
          <w:rFonts w:hint="cs"/>
          <w:rtl/>
        </w:rPr>
        <w:t>20</w:t>
      </w:r>
      <w:r w:rsidRPr="00C653FC">
        <w:rPr>
          <w:rtl/>
        </w:rPr>
        <w:t xml:space="preserve">19 כ-130 מיליארד </w:t>
      </w:r>
      <w:r w:rsidRPr="00C653FC">
        <w:rPr>
          <w:rFonts w:hint="cs"/>
          <w:rtl/>
        </w:rPr>
        <w:t>ש"ח, ואילו סך הנכסים השוטפים היה ל</w:t>
      </w:r>
      <w:r w:rsidRPr="00C653FC">
        <w:rPr>
          <w:rtl/>
        </w:rPr>
        <w:t xml:space="preserve">יום 31.12.2020 כ-162 מיליארד ש"ח (גידול של כ-24%). </w:t>
      </w:r>
    </w:p>
    <w:p w14:paraId="14C4836C" w14:textId="36A242D2" w:rsidR="007C4395" w:rsidRDefault="007C4395" w:rsidP="00675951">
      <w:pPr>
        <w:pStyle w:val="71f4"/>
        <w:rPr>
          <w:rtl/>
        </w:rPr>
      </w:pPr>
      <w:r w:rsidRPr="00E23BE4">
        <w:rPr>
          <w:rtl/>
        </w:rPr>
        <w:t>ב</w:t>
      </w:r>
      <w:r>
        <w:rPr>
          <w:rtl/>
        </w:rPr>
        <w:t>בחינה של פילוח הֶרכב ה</w:t>
      </w:r>
      <w:r>
        <w:rPr>
          <w:rFonts w:hint="cs"/>
          <w:rtl/>
        </w:rPr>
        <w:t>נכסים השוטפים</w:t>
      </w:r>
      <w:r w:rsidRPr="00E23BE4">
        <w:rPr>
          <w:rtl/>
        </w:rPr>
        <w:t xml:space="preserve"> עולה </w:t>
      </w:r>
      <w:r>
        <w:rPr>
          <w:rFonts w:hint="cs"/>
          <w:rtl/>
        </w:rPr>
        <w:t xml:space="preserve">שעיקר סעיף הנכסים השוטפים מורכב מסעיף חייבים ויתרות חובה, לצד סעיף מזומנים ושווי מזומנים. יצוין כי בין השנים 2019 ל-2020 חל </w:t>
      </w:r>
      <w:r w:rsidRPr="00E23BE4">
        <w:rPr>
          <w:rtl/>
        </w:rPr>
        <w:t xml:space="preserve">גידול </w:t>
      </w:r>
      <w:r>
        <w:rPr>
          <w:rFonts w:hint="cs"/>
          <w:rtl/>
        </w:rPr>
        <w:t xml:space="preserve">בהיקף של </w:t>
      </w:r>
      <w:r w:rsidRPr="00E23BE4">
        <w:rPr>
          <w:rtl/>
        </w:rPr>
        <w:t>כ-</w:t>
      </w:r>
      <w:r>
        <w:rPr>
          <w:rFonts w:hint="cs"/>
          <w:rtl/>
        </w:rPr>
        <w:t>28</w:t>
      </w:r>
      <w:r>
        <w:rPr>
          <w:rtl/>
        </w:rPr>
        <w:t xml:space="preserve"> מיליארד ש"ח</w:t>
      </w:r>
      <w:r w:rsidRPr="00E23BE4">
        <w:rPr>
          <w:rtl/>
        </w:rPr>
        <w:t xml:space="preserve"> </w:t>
      </w:r>
      <w:r>
        <w:rPr>
          <w:rFonts w:hint="cs"/>
          <w:rtl/>
        </w:rPr>
        <w:t xml:space="preserve">(כ-80%) </w:t>
      </w:r>
      <w:r w:rsidRPr="00E23BE4">
        <w:rPr>
          <w:rtl/>
        </w:rPr>
        <w:t xml:space="preserve">בסעיף </w:t>
      </w:r>
      <w:r>
        <w:rPr>
          <w:rFonts w:hint="cs"/>
          <w:rtl/>
        </w:rPr>
        <w:t>מזומנים ושווי מזומנים.</w:t>
      </w:r>
      <w:r w:rsidRPr="00E23BE4">
        <w:rPr>
          <w:rtl/>
        </w:rPr>
        <w:t xml:space="preserve"> </w:t>
      </w:r>
      <w:r>
        <w:rPr>
          <w:rFonts w:hint="cs"/>
          <w:rtl/>
        </w:rPr>
        <w:t xml:space="preserve">גידול זה נובע </w:t>
      </w:r>
      <w:r w:rsidRPr="00E23BE4">
        <w:rPr>
          <w:rtl/>
        </w:rPr>
        <w:t>בין היתר</w:t>
      </w:r>
      <w:r>
        <w:rPr>
          <w:rFonts w:hint="cs"/>
          <w:rtl/>
        </w:rPr>
        <w:t xml:space="preserve"> </w:t>
      </w:r>
      <w:r w:rsidRPr="00E7083B">
        <w:rPr>
          <w:rFonts w:hint="cs"/>
          <w:rtl/>
        </w:rPr>
        <w:t>מהרחבת היקפי גיוס ההון למימון הוצאות הממשלה בגין משבר הקורונה.</w:t>
      </w:r>
      <w:r w:rsidRPr="00675951">
        <w:rPr>
          <w:rFonts w:eastAsiaTheme="minorHAnsi" w:hint="cs"/>
          <w:rtl/>
        </w:rPr>
        <w:t xml:space="preserve"> כן עולה מהתרשים כי יש גידול של כ-41% בסעיף חייבים ויתרות חובה - מסכום של כ-49.2 מיליארד ש"ח בשנת 2015, </w:t>
      </w:r>
      <w:proofErr w:type="spellStart"/>
      <w:r w:rsidRPr="00675951">
        <w:rPr>
          <w:rFonts w:eastAsiaTheme="minorHAnsi" w:hint="cs"/>
          <w:rtl/>
        </w:rPr>
        <w:t>לכ</w:t>
      </w:r>
      <w:proofErr w:type="spellEnd"/>
      <w:r w:rsidRPr="00675951">
        <w:rPr>
          <w:rFonts w:eastAsiaTheme="minorHAnsi" w:hint="cs"/>
          <w:rtl/>
        </w:rPr>
        <w:t>-69.2 מיליארד ש"ח בשנת 2020.</w:t>
      </w:r>
    </w:p>
    <w:p w14:paraId="51F27A89" w14:textId="77777777" w:rsidR="007C4395" w:rsidRDefault="007C4395" w:rsidP="006F4D0D">
      <w:pPr>
        <w:pStyle w:val="71512"/>
        <w:rPr>
          <w:rtl/>
        </w:rPr>
      </w:pPr>
      <w:r>
        <w:rPr>
          <w:rFonts w:hint="cs"/>
          <w:rtl/>
        </w:rPr>
        <w:t>סעיף חייבים ויתרות חובה</w:t>
      </w:r>
    </w:p>
    <w:p w14:paraId="4AE20792" w14:textId="09EA3A00" w:rsidR="007C4395" w:rsidRDefault="007C4395" w:rsidP="002A738D">
      <w:pPr>
        <w:pStyle w:val="7190"/>
        <w:rPr>
          <w:rtl/>
        </w:rPr>
      </w:pPr>
      <w:r>
        <w:rPr>
          <w:rFonts w:hint="cs"/>
          <w:rtl/>
        </w:rPr>
        <w:t>סעיף חייבים ויתרות חובה בדוחות הכספיים מייצג את הזכות של המדינה לקבלת כספים. הזכות יכולה להיווצר כתוצאה מאספקת שירותים מטעם המדינה ומהטלת חיובים, כגון אגרות, קנסות או עיצומים כספיים מכוח דיונים שונים. נוסף על כך, לעיתים המדינה זכאית לפיצוי או להחזר הוצאות מכוח פסקי דין, הסכמים או מסיבות אחרות.</w:t>
      </w:r>
    </w:p>
    <w:p w14:paraId="5C493E62" w14:textId="77777777" w:rsidR="007C4395" w:rsidRPr="006F4D0D" w:rsidRDefault="007C4395" w:rsidP="006F4D0D">
      <w:pPr>
        <w:pStyle w:val="71612"/>
        <w:rPr>
          <w:rtl/>
        </w:rPr>
      </w:pPr>
      <w:r w:rsidRPr="006F4D0D">
        <w:rPr>
          <w:rFonts w:hint="cs"/>
          <w:rtl/>
        </w:rPr>
        <w:lastRenderedPageBreak/>
        <w:t xml:space="preserve">חייבים ויתרות חובה - מגמות </w:t>
      </w:r>
    </w:p>
    <w:p w14:paraId="00EB2759" w14:textId="77777777" w:rsidR="007C4395" w:rsidRDefault="007C4395" w:rsidP="002A738D">
      <w:pPr>
        <w:pStyle w:val="7190"/>
        <w:rPr>
          <w:rtl/>
        </w:rPr>
      </w:pPr>
      <w:r>
        <w:rPr>
          <w:rFonts w:hint="cs"/>
          <w:rtl/>
        </w:rPr>
        <w:t>משרד מבקר המדינה בחן את סעיף חייבים ויתרות חובה כפי שהופיע בדוחות הכספיים של המדינה ביחס לתמ"ג של כל שנה. יצוין כי שינוי ביתרת החייבים יכול לנבוע מהיווצרות חובות חדשים, ממחיקת חובות משנים קודמות, מגביית חובות - הן שוטפים והן משנים קודמות - ומשינוי בסעיף הפרשה לחובות מסופקים.</w:t>
      </w:r>
    </w:p>
    <w:p w14:paraId="3CD70CB8" w14:textId="1FCA1DD5" w:rsidR="007C4395" w:rsidRDefault="002A738D" w:rsidP="00EC550D">
      <w:pPr>
        <w:pStyle w:val="71a"/>
        <w:rPr>
          <w:rtl/>
        </w:rPr>
      </w:pPr>
      <w:r>
        <w:rPr>
          <w:noProof/>
        </w:rPr>
        <w:drawing>
          <wp:anchor distT="0" distB="0" distL="114300" distR="114300" simplePos="0" relativeHeight="252048896" behindDoc="0" locked="0" layoutInCell="1" allowOverlap="1" wp14:anchorId="4ECD67AE" wp14:editId="6F688CDB">
            <wp:simplePos x="0" y="0"/>
            <wp:positionH relativeFrom="column">
              <wp:posOffset>-11430</wp:posOffset>
            </wp:positionH>
            <wp:positionV relativeFrom="paragraph">
              <wp:posOffset>316865</wp:posOffset>
            </wp:positionV>
            <wp:extent cx="4624070" cy="3114040"/>
            <wp:effectExtent l="0" t="0" r="0" b="0"/>
            <wp:wrapTopAndBottom/>
            <wp:docPr id="765912898" name="תמונה 76591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898" name="תמונה 765912898"/>
                    <pic:cNvPicPr/>
                  </pic:nvPicPr>
                  <pic:blipFill>
                    <a:blip r:embed="rId28">
                      <a:extLst>
                        <a:ext uri="{28A0092B-C50C-407E-A947-70E740481C1C}">
                          <a14:useLocalDpi xmlns:a14="http://schemas.microsoft.com/office/drawing/2010/main" val="0"/>
                        </a:ext>
                      </a:extLst>
                    </a:blip>
                    <a:stretch>
                      <a:fillRect/>
                    </a:stretch>
                  </pic:blipFill>
                  <pic:spPr>
                    <a:xfrm>
                      <a:off x="0" y="0"/>
                      <a:ext cx="4624070" cy="3114040"/>
                    </a:xfrm>
                    <a:prstGeom prst="rect">
                      <a:avLst/>
                    </a:prstGeom>
                  </pic:spPr>
                </pic:pic>
              </a:graphicData>
            </a:graphic>
            <wp14:sizeRelH relativeFrom="page">
              <wp14:pctWidth>0</wp14:pctWidth>
            </wp14:sizeRelH>
            <wp14:sizeRelV relativeFrom="page">
              <wp14:pctHeight>0</wp14:pctHeight>
            </wp14:sizeRelV>
          </wp:anchor>
        </w:drawing>
      </w:r>
      <w:r w:rsidR="007C4395" w:rsidRPr="00EC550D">
        <w:rPr>
          <w:rFonts w:hint="cs"/>
          <w:b w:val="0"/>
          <w:bCs w:val="0"/>
          <w:rtl/>
        </w:rPr>
        <w:t>תרשים 14:</w:t>
      </w:r>
      <w:r w:rsidR="007C4395">
        <w:rPr>
          <w:rFonts w:hint="cs"/>
          <w:rtl/>
        </w:rPr>
        <w:t xml:space="preserve"> שיעור חייבים ויתרות חובה מכלל </w:t>
      </w:r>
      <w:proofErr w:type="spellStart"/>
      <w:r w:rsidR="007C4395">
        <w:rPr>
          <w:rFonts w:hint="cs"/>
          <w:rtl/>
        </w:rPr>
        <w:t>התמ"ג</w:t>
      </w:r>
      <w:proofErr w:type="spellEnd"/>
      <w:r w:rsidR="007C4395">
        <w:rPr>
          <w:rFonts w:hint="cs"/>
          <w:rtl/>
        </w:rPr>
        <w:t xml:space="preserve"> (באחוזים)</w:t>
      </w:r>
    </w:p>
    <w:p w14:paraId="76368BDF" w14:textId="77777777" w:rsidR="007C4395" w:rsidRPr="00010778" w:rsidRDefault="007C4395" w:rsidP="00010778">
      <w:pPr>
        <w:pStyle w:val="71c"/>
        <w:rPr>
          <w:rtl/>
        </w:rPr>
      </w:pPr>
      <w:r w:rsidRPr="00010778">
        <w:rPr>
          <w:rFonts w:hint="eastAsia"/>
          <w:rtl/>
        </w:rPr>
        <w:t>על</w:t>
      </w:r>
      <w:r w:rsidRPr="00010778">
        <w:rPr>
          <w:rtl/>
        </w:rPr>
        <w:t xml:space="preserve"> </w:t>
      </w:r>
      <w:r w:rsidRPr="00010778">
        <w:rPr>
          <w:rFonts w:hint="eastAsia"/>
          <w:rtl/>
        </w:rPr>
        <w:t>פי</w:t>
      </w:r>
      <w:r w:rsidRPr="00010778">
        <w:rPr>
          <w:rtl/>
        </w:rPr>
        <w:t xml:space="preserve"> הדוחות </w:t>
      </w:r>
      <w:r w:rsidRPr="00010778">
        <w:rPr>
          <w:rFonts w:hint="eastAsia"/>
          <w:rtl/>
        </w:rPr>
        <w:t>הכספיים</w:t>
      </w:r>
      <w:r w:rsidRPr="00010778">
        <w:rPr>
          <w:rtl/>
        </w:rPr>
        <w:t xml:space="preserve"> </w:t>
      </w:r>
      <w:r w:rsidRPr="00010778">
        <w:rPr>
          <w:rFonts w:hint="eastAsia"/>
          <w:rtl/>
        </w:rPr>
        <w:t>של</w:t>
      </w:r>
      <w:r w:rsidRPr="00010778">
        <w:rPr>
          <w:rtl/>
        </w:rPr>
        <w:t xml:space="preserve"> </w:t>
      </w:r>
      <w:r w:rsidRPr="00010778">
        <w:rPr>
          <w:rFonts w:hint="eastAsia"/>
          <w:rtl/>
        </w:rPr>
        <w:t>המדינה</w:t>
      </w:r>
      <w:r w:rsidRPr="00010778">
        <w:rPr>
          <w:rtl/>
        </w:rPr>
        <w:t xml:space="preserve"> </w:t>
      </w:r>
      <w:r w:rsidRPr="00010778">
        <w:rPr>
          <w:rFonts w:hint="eastAsia"/>
          <w:rtl/>
        </w:rPr>
        <w:t>לשנים</w:t>
      </w:r>
      <w:r w:rsidRPr="00010778">
        <w:rPr>
          <w:rtl/>
        </w:rPr>
        <w:t xml:space="preserve"> 2015 - 2020, </w:t>
      </w:r>
      <w:r w:rsidRPr="00010778">
        <w:rPr>
          <w:rFonts w:hint="eastAsia"/>
          <w:rtl/>
        </w:rPr>
        <w:t>בעיבוד</w:t>
      </w:r>
      <w:r w:rsidRPr="00010778">
        <w:rPr>
          <w:rtl/>
        </w:rPr>
        <w:t xml:space="preserve"> </w:t>
      </w:r>
      <w:r w:rsidRPr="00010778">
        <w:rPr>
          <w:rFonts w:hint="eastAsia"/>
          <w:rtl/>
        </w:rPr>
        <w:t>משרד</w:t>
      </w:r>
      <w:r w:rsidRPr="00010778">
        <w:rPr>
          <w:rtl/>
        </w:rPr>
        <w:t xml:space="preserve"> </w:t>
      </w:r>
      <w:r w:rsidRPr="00010778">
        <w:rPr>
          <w:rFonts w:hint="eastAsia"/>
          <w:rtl/>
        </w:rPr>
        <w:t>מבקר</w:t>
      </w:r>
      <w:r w:rsidRPr="00010778">
        <w:rPr>
          <w:rtl/>
        </w:rPr>
        <w:t xml:space="preserve"> </w:t>
      </w:r>
      <w:r w:rsidRPr="00010778">
        <w:rPr>
          <w:rFonts w:hint="eastAsia"/>
          <w:rtl/>
        </w:rPr>
        <w:t>המדינה</w:t>
      </w:r>
      <w:r w:rsidRPr="00010778">
        <w:rPr>
          <w:rtl/>
        </w:rPr>
        <w:t>.</w:t>
      </w:r>
    </w:p>
    <w:p w14:paraId="25A0E50C" w14:textId="77777777" w:rsidR="007C4395" w:rsidRPr="00675951" w:rsidRDefault="007C4395" w:rsidP="00675951">
      <w:pPr>
        <w:pStyle w:val="71f4"/>
        <w:rPr>
          <w:rtl/>
        </w:rPr>
      </w:pPr>
      <w:r w:rsidRPr="00675951">
        <w:rPr>
          <w:rFonts w:hint="cs"/>
          <w:rtl/>
        </w:rPr>
        <w:t xml:space="preserve">כעולה מהתרשים שלעיל, שיעור סעיף חייבים ויתרות חובה מתוך </w:t>
      </w:r>
      <w:proofErr w:type="spellStart"/>
      <w:r w:rsidRPr="00675951">
        <w:rPr>
          <w:rFonts w:hint="cs"/>
          <w:rtl/>
        </w:rPr>
        <w:t>התמ"ג</w:t>
      </w:r>
      <w:proofErr w:type="spellEnd"/>
      <w:r w:rsidRPr="00675951">
        <w:rPr>
          <w:rFonts w:hint="cs"/>
          <w:rtl/>
        </w:rPr>
        <w:t xml:space="preserve"> עלה בשנים שנבדקו מ-4.28% ל-4.99%. יצוין שחלה ירידה משנת 2017 לשנת 2018, אך שיעור החייבים מתוך </w:t>
      </w:r>
      <w:proofErr w:type="spellStart"/>
      <w:r w:rsidRPr="00675951">
        <w:rPr>
          <w:rFonts w:hint="cs"/>
          <w:rtl/>
        </w:rPr>
        <w:t>התמ"ג</w:t>
      </w:r>
      <w:proofErr w:type="spellEnd"/>
      <w:r w:rsidRPr="00675951">
        <w:rPr>
          <w:rFonts w:hint="cs"/>
          <w:rtl/>
        </w:rPr>
        <w:t xml:space="preserve"> חזר בשנת 2020 לרמה של שנת 2017.</w:t>
      </w:r>
    </w:p>
    <w:p w14:paraId="472B4258" w14:textId="426EFB0F" w:rsidR="007C4395" w:rsidRPr="0091279E" w:rsidRDefault="007C4395" w:rsidP="002A738D">
      <w:pPr>
        <w:pStyle w:val="7190"/>
        <w:rPr>
          <w:rtl/>
        </w:rPr>
      </w:pPr>
      <w:r>
        <w:rPr>
          <w:rFonts w:hint="cs"/>
          <w:rtl/>
        </w:rPr>
        <w:t>משרד מבקר המדינה בחן בפרמטרים שונים את היקף סעיף חייבים ויתרות חובה מול מדינות נבחרות בעולם (ארה"ב, אוסטרליה, ניו זילנד וקנדה).</w:t>
      </w:r>
    </w:p>
    <w:p w14:paraId="619CFC77" w14:textId="77777777" w:rsidR="007C4395" w:rsidRPr="006F4D0D" w:rsidRDefault="007C4395" w:rsidP="006F4D0D">
      <w:pPr>
        <w:pStyle w:val="71612"/>
        <w:rPr>
          <w:rtl/>
        </w:rPr>
      </w:pPr>
      <w:r w:rsidRPr="006F4D0D">
        <w:rPr>
          <w:rFonts w:hint="cs"/>
          <w:rtl/>
        </w:rPr>
        <w:t>חייבים ויתרות חובה - השוואה בין-לאומית</w:t>
      </w:r>
    </w:p>
    <w:p w14:paraId="5E8E3A8B" w14:textId="77777777" w:rsidR="007C4395" w:rsidRDefault="007C4395" w:rsidP="002A738D">
      <w:pPr>
        <w:pStyle w:val="7190"/>
        <w:rPr>
          <w:rtl/>
        </w:rPr>
      </w:pPr>
      <w:r>
        <w:rPr>
          <w:rFonts w:hint="cs"/>
          <w:rtl/>
        </w:rPr>
        <w:t>התרשים שלהלן משווה את שיעור סעיף חייבים ויתרות חובה בדוחות הכספיים של כל מדינה מהמדינות הנבדקות ביחס לתמ"ג בשנת 2020.</w:t>
      </w:r>
    </w:p>
    <w:p w14:paraId="1168D41F" w14:textId="77777777" w:rsidR="007C4395" w:rsidRDefault="007C4395" w:rsidP="007C4395">
      <w:pPr>
        <w:bidi w:val="0"/>
        <w:spacing w:after="200" w:line="276" w:lineRule="auto"/>
        <w:rPr>
          <w:rtl/>
        </w:rPr>
      </w:pPr>
      <w:r>
        <w:rPr>
          <w:rtl/>
        </w:rPr>
        <w:br w:type="page"/>
      </w:r>
    </w:p>
    <w:p w14:paraId="7D9E52C5" w14:textId="4E82CE20" w:rsidR="007C4395" w:rsidRPr="00675951" w:rsidRDefault="002A738D" w:rsidP="00675951">
      <w:pPr>
        <w:pStyle w:val="71a"/>
        <w:rPr>
          <w:rtl/>
        </w:rPr>
      </w:pPr>
      <w:r>
        <w:rPr>
          <w:noProof/>
        </w:rPr>
        <w:lastRenderedPageBreak/>
        <w:drawing>
          <wp:anchor distT="0" distB="0" distL="114300" distR="114300" simplePos="0" relativeHeight="252042752" behindDoc="0" locked="0" layoutInCell="1" allowOverlap="1" wp14:anchorId="1DDF8ED1" wp14:editId="4FDCE69B">
            <wp:simplePos x="0" y="0"/>
            <wp:positionH relativeFrom="column">
              <wp:posOffset>50165</wp:posOffset>
            </wp:positionH>
            <wp:positionV relativeFrom="paragraph">
              <wp:posOffset>394335</wp:posOffset>
            </wp:positionV>
            <wp:extent cx="4621530" cy="3707130"/>
            <wp:effectExtent l="0" t="0" r="1270" b="0"/>
            <wp:wrapTopAndBottom/>
            <wp:docPr id="765912899" name="תמונה 76591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899" name="תמונה 765912899"/>
                    <pic:cNvPicPr/>
                  </pic:nvPicPr>
                  <pic:blipFill>
                    <a:blip r:embed="rId47">
                      <a:extLst>
                        <a:ext uri="{28A0092B-C50C-407E-A947-70E740481C1C}">
                          <a14:useLocalDpi xmlns:a14="http://schemas.microsoft.com/office/drawing/2010/main" val="0"/>
                        </a:ext>
                      </a:extLst>
                    </a:blip>
                    <a:stretch>
                      <a:fillRect/>
                    </a:stretch>
                  </pic:blipFill>
                  <pic:spPr>
                    <a:xfrm>
                      <a:off x="0" y="0"/>
                      <a:ext cx="4621530" cy="3707130"/>
                    </a:xfrm>
                    <a:prstGeom prst="rect">
                      <a:avLst/>
                    </a:prstGeom>
                  </pic:spPr>
                </pic:pic>
              </a:graphicData>
            </a:graphic>
            <wp14:sizeRelH relativeFrom="page">
              <wp14:pctWidth>0</wp14:pctWidth>
            </wp14:sizeRelH>
            <wp14:sizeRelV relativeFrom="page">
              <wp14:pctHeight>0</wp14:pctHeight>
            </wp14:sizeRelV>
          </wp:anchor>
        </w:drawing>
      </w:r>
      <w:r w:rsidR="007C4395" w:rsidRPr="00675951">
        <w:rPr>
          <w:rFonts w:hint="cs"/>
          <w:b w:val="0"/>
          <w:bCs w:val="0"/>
          <w:rtl/>
        </w:rPr>
        <w:t xml:space="preserve">תרשים 15: </w:t>
      </w:r>
      <w:r w:rsidR="007C4395" w:rsidRPr="00675951">
        <w:rPr>
          <w:rStyle w:val="71Char6"/>
          <w:rFonts w:eastAsiaTheme="minorEastAsia" w:hint="cs"/>
          <w:sz w:val="20"/>
          <w:szCs w:val="20"/>
          <w:shd w:val="clear" w:color="auto" w:fill="auto"/>
          <w:rtl/>
          <w:lang w:eastAsia="en-US"/>
        </w:rPr>
        <w:t xml:space="preserve">שיעור חייבים ויתרות חובה של מדינות נבחרות מתוך </w:t>
      </w:r>
      <w:proofErr w:type="spellStart"/>
      <w:r w:rsidR="007C4395" w:rsidRPr="00675951">
        <w:rPr>
          <w:rStyle w:val="71Char6"/>
          <w:rFonts w:eastAsiaTheme="minorEastAsia" w:hint="cs"/>
          <w:sz w:val="20"/>
          <w:szCs w:val="20"/>
          <w:shd w:val="clear" w:color="auto" w:fill="auto"/>
          <w:rtl/>
          <w:lang w:eastAsia="en-US"/>
        </w:rPr>
        <w:t>התמ"ג</w:t>
      </w:r>
      <w:proofErr w:type="spellEnd"/>
      <w:r w:rsidR="007C4395" w:rsidRPr="00675951">
        <w:rPr>
          <w:rStyle w:val="71Char6"/>
          <w:rFonts w:eastAsiaTheme="minorEastAsia" w:hint="cs"/>
          <w:sz w:val="20"/>
          <w:szCs w:val="20"/>
          <w:shd w:val="clear" w:color="auto" w:fill="auto"/>
          <w:rtl/>
          <w:lang w:eastAsia="en-US"/>
        </w:rPr>
        <w:t>, 2020 (באחוזים)</w:t>
      </w:r>
    </w:p>
    <w:p w14:paraId="7910E2E2" w14:textId="08421CD1" w:rsidR="007C4395" w:rsidRPr="00010778" w:rsidRDefault="007C4395" w:rsidP="00010778">
      <w:pPr>
        <w:pStyle w:val="71c"/>
        <w:rPr>
          <w:rtl/>
        </w:rPr>
      </w:pPr>
      <w:r w:rsidRPr="00010778">
        <w:rPr>
          <w:rFonts w:hint="eastAsia"/>
          <w:rtl/>
        </w:rPr>
        <w:t>על</w:t>
      </w:r>
      <w:r w:rsidRPr="00010778">
        <w:rPr>
          <w:rtl/>
        </w:rPr>
        <w:t xml:space="preserve"> </w:t>
      </w:r>
      <w:r w:rsidRPr="00010778">
        <w:rPr>
          <w:rFonts w:hint="eastAsia"/>
          <w:rtl/>
        </w:rPr>
        <w:t>פי</w:t>
      </w:r>
      <w:r w:rsidRPr="00010778">
        <w:rPr>
          <w:rtl/>
        </w:rPr>
        <w:t xml:space="preserve"> הדוחות </w:t>
      </w:r>
      <w:r w:rsidRPr="00010778">
        <w:rPr>
          <w:rFonts w:hint="eastAsia"/>
          <w:rtl/>
        </w:rPr>
        <w:t>הכספיים</w:t>
      </w:r>
      <w:r w:rsidRPr="00010778">
        <w:rPr>
          <w:rtl/>
        </w:rPr>
        <w:t xml:space="preserve"> </w:t>
      </w:r>
      <w:r w:rsidRPr="00010778">
        <w:rPr>
          <w:rFonts w:hint="eastAsia"/>
          <w:rtl/>
        </w:rPr>
        <w:t>של</w:t>
      </w:r>
      <w:r w:rsidRPr="00010778">
        <w:rPr>
          <w:rtl/>
        </w:rPr>
        <w:t xml:space="preserve"> </w:t>
      </w:r>
      <w:r w:rsidRPr="00010778">
        <w:rPr>
          <w:rFonts w:hint="eastAsia"/>
          <w:rtl/>
        </w:rPr>
        <w:t>מדינת</w:t>
      </w:r>
      <w:r w:rsidRPr="00010778">
        <w:rPr>
          <w:rtl/>
        </w:rPr>
        <w:t xml:space="preserve"> </w:t>
      </w:r>
      <w:r w:rsidRPr="00010778">
        <w:rPr>
          <w:rFonts w:hint="eastAsia"/>
          <w:rtl/>
        </w:rPr>
        <w:t>ישראל</w:t>
      </w:r>
      <w:r w:rsidRPr="00010778">
        <w:rPr>
          <w:rtl/>
        </w:rPr>
        <w:t xml:space="preserve"> </w:t>
      </w:r>
      <w:r w:rsidRPr="00010778">
        <w:rPr>
          <w:rFonts w:hint="eastAsia"/>
          <w:rtl/>
        </w:rPr>
        <w:t>לשנת</w:t>
      </w:r>
      <w:r w:rsidRPr="00010778">
        <w:rPr>
          <w:rtl/>
        </w:rPr>
        <w:t xml:space="preserve"> 2020 </w:t>
      </w:r>
      <w:r w:rsidRPr="00010778">
        <w:rPr>
          <w:rFonts w:hint="eastAsia"/>
          <w:rtl/>
        </w:rPr>
        <w:t>והדוחות</w:t>
      </w:r>
      <w:r w:rsidRPr="00010778">
        <w:rPr>
          <w:rtl/>
        </w:rPr>
        <w:t xml:space="preserve"> </w:t>
      </w:r>
      <w:r w:rsidRPr="00010778">
        <w:rPr>
          <w:rFonts w:hint="eastAsia"/>
          <w:rtl/>
        </w:rPr>
        <w:t>הכספיים</w:t>
      </w:r>
      <w:r w:rsidRPr="00010778">
        <w:rPr>
          <w:rtl/>
        </w:rPr>
        <w:t xml:space="preserve"> </w:t>
      </w:r>
      <w:r w:rsidRPr="00010778">
        <w:rPr>
          <w:rFonts w:hint="eastAsia"/>
          <w:rtl/>
        </w:rPr>
        <w:t>של</w:t>
      </w:r>
      <w:r w:rsidRPr="00010778">
        <w:rPr>
          <w:rtl/>
        </w:rPr>
        <w:t xml:space="preserve"> </w:t>
      </w:r>
      <w:r w:rsidRPr="00010778">
        <w:rPr>
          <w:rFonts w:hint="eastAsia"/>
          <w:rtl/>
        </w:rPr>
        <w:t>ארצות</w:t>
      </w:r>
      <w:r w:rsidRPr="00010778">
        <w:rPr>
          <w:rtl/>
        </w:rPr>
        <w:t xml:space="preserve"> </w:t>
      </w:r>
      <w:r w:rsidRPr="00010778">
        <w:rPr>
          <w:rFonts w:hint="eastAsia"/>
          <w:rtl/>
        </w:rPr>
        <w:t>הברית</w:t>
      </w:r>
      <w:r w:rsidRPr="00010778">
        <w:rPr>
          <w:rtl/>
        </w:rPr>
        <w:t xml:space="preserve">, </w:t>
      </w:r>
      <w:r w:rsidRPr="00010778">
        <w:rPr>
          <w:rFonts w:hint="eastAsia"/>
          <w:rtl/>
        </w:rPr>
        <w:t>אוסטרליה</w:t>
      </w:r>
      <w:r w:rsidRPr="00010778">
        <w:rPr>
          <w:rtl/>
        </w:rPr>
        <w:t xml:space="preserve">, </w:t>
      </w:r>
      <w:r w:rsidR="006C5FAE">
        <w:br/>
      </w:r>
      <w:r w:rsidRPr="00010778">
        <w:rPr>
          <w:rFonts w:hint="eastAsia"/>
          <w:rtl/>
        </w:rPr>
        <w:t>ניו</w:t>
      </w:r>
      <w:r w:rsidRPr="00010778">
        <w:rPr>
          <w:rtl/>
        </w:rPr>
        <w:t xml:space="preserve"> </w:t>
      </w:r>
      <w:r w:rsidRPr="00010778">
        <w:rPr>
          <w:rFonts w:hint="eastAsia"/>
          <w:rtl/>
        </w:rPr>
        <w:t>זילנד</w:t>
      </w:r>
      <w:r w:rsidRPr="00010778">
        <w:rPr>
          <w:rtl/>
        </w:rPr>
        <w:t xml:space="preserve"> </w:t>
      </w:r>
      <w:r w:rsidRPr="00010778">
        <w:rPr>
          <w:rFonts w:hint="eastAsia"/>
          <w:rtl/>
        </w:rPr>
        <w:t>וקנדה</w:t>
      </w:r>
      <w:r w:rsidRPr="00010778">
        <w:rPr>
          <w:rtl/>
        </w:rPr>
        <w:t xml:space="preserve">, </w:t>
      </w:r>
      <w:r w:rsidRPr="00010778">
        <w:rPr>
          <w:rFonts w:hint="eastAsia"/>
          <w:rtl/>
        </w:rPr>
        <w:t>בעיבוד</w:t>
      </w:r>
      <w:r w:rsidRPr="00010778">
        <w:rPr>
          <w:rtl/>
        </w:rPr>
        <w:t xml:space="preserve"> </w:t>
      </w:r>
      <w:r w:rsidRPr="00010778">
        <w:rPr>
          <w:rFonts w:hint="eastAsia"/>
          <w:rtl/>
        </w:rPr>
        <w:t>משרד</w:t>
      </w:r>
      <w:r w:rsidRPr="00010778">
        <w:rPr>
          <w:rtl/>
        </w:rPr>
        <w:t xml:space="preserve"> </w:t>
      </w:r>
      <w:r w:rsidRPr="00010778">
        <w:rPr>
          <w:rFonts w:hint="eastAsia"/>
          <w:rtl/>
        </w:rPr>
        <w:t>מבקר</w:t>
      </w:r>
      <w:r w:rsidRPr="00010778">
        <w:rPr>
          <w:rtl/>
        </w:rPr>
        <w:t xml:space="preserve"> </w:t>
      </w:r>
      <w:r w:rsidRPr="00010778">
        <w:rPr>
          <w:rFonts w:hint="eastAsia"/>
          <w:rtl/>
        </w:rPr>
        <w:t>המדינה</w:t>
      </w:r>
      <w:r w:rsidRPr="00010778">
        <w:rPr>
          <w:rtl/>
        </w:rPr>
        <w:t>.</w:t>
      </w:r>
    </w:p>
    <w:p w14:paraId="17DCE832" w14:textId="77777777" w:rsidR="007C4395" w:rsidRDefault="007C4395" w:rsidP="00675951">
      <w:pPr>
        <w:pStyle w:val="71f4"/>
        <w:rPr>
          <w:rtl/>
        </w:rPr>
      </w:pPr>
      <w:r>
        <w:rPr>
          <w:rFonts w:hint="cs"/>
          <w:rtl/>
        </w:rPr>
        <w:t>כעולה מהתרשים שלעיל, שיעור סעיף חייבים ויתרות חובה ליום 31.12.2020 עומד על כ-5% מסך התוצר בישראל בשנת 2020, נתון קטן מזה של שתיים מהמדינות שנבדקו (ניו זילנד וקנדה) אך גדול מזה של שתי האחרות (ארה"ב ואוסטרליה).</w:t>
      </w:r>
    </w:p>
    <w:p w14:paraId="10C495D1" w14:textId="77777777" w:rsidR="007C4395" w:rsidRPr="006F4D0D" w:rsidRDefault="007C4395" w:rsidP="006F4D0D">
      <w:pPr>
        <w:pStyle w:val="71612"/>
        <w:rPr>
          <w:rtl/>
        </w:rPr>
      </w:pPr>
      <w:r w:rsidRPr="006F4D0D">
        <w:rPr>
          <w:rFonts w:hint="cs"/>
          <w:rtl/>
        </w:rPr>
        <w:t xml:space="preserve">חייבים ויתרות חובה, מתוך סך הנכסים </w:t>
      </w:r>
    </w:p>
    <w:p w14:paraId="60B4299F" w14:textId="77777777" w:rsidR="007C4395" w:rsidRDefault="007C4395" w:rsidP="002A738D">
      <w:pPr>
        <w:pStyle w:val="7190"/>
        <w:rPr>
          <w:rtl/>
        </w:rPr>
      </w:pPr>
      <w:r>
        <w:rPr>
          <w:rFonts w:hint="cs"/>
          <w:rtl/>
        </w:rPr>
        <w:t>התרשים שלהלן משווה את שיעור סעיף חייבים ויתרות חובה מתוך סך הנכסים בהשוואה למדינות הנבחרות בעולם.</w:t>
      </w:r>
    </w:p>
    <w:p w14:paraId="7AADA987" w14:textId="77777777" w:rsidR="007C4395" w:rsidRDefault="007C4395" w:rsidP="007C4395">
      <w:pPr>
        <w:bidi w:val="0"/>
        <w:spacing w:after="200" w:line="276" w:lineRule="auto"/>
        <w:rPr>
          <w:rtl/>
        </w:rPr>
      </w:pPr>
      <w:r>
        <w:rPr>
          <w:rtl/>
        </w:rPr>
        <w:br w:type="page"/>
      </w:r>
    </w:p>
    <w:p w14:paraId="734D880A" w14:textId="0670AC72" w:rsidR="007C4395" w:rsidRPr="00E61946" w:rsidRDefault="002A738D" w:rsidP="00EC550D">
      <w:pPr>
        <w:pStyle w:val="71a"/>
        <w:rPr>
          <w:rtl/>
        </w:rPr>
      </w:pPr>
      <w:r>
        <w:rPr>
          <w:noProof/>
        </w:rPr>
        <w:lastRenderedPageBreak/>
        <w:drawing>
          <wp:anchor distT="0" distB="0" distL="114300" distR="114300" simplePos="0" relativeHeight="252049920" behindDoc="0" locked="0" layoutInCell="1" allowOverlap="1" wp14:anchorId="79480124" wp14:editId="114F97D7">
            <wp:simplePos x="0" y="0"/>
            <wp:positionH relativeFrom="column">
              <wp:posOffset>-104775</wp:posOffset>
            </wp:positionH>
            <wp:positionV relativeFrom="paragraph">
              <wp:posOffset>433070</wp:posOffset>
            </wp:positionV>
            <wp:extent cx="4836160" cy="3512820"/>
            <wp:effectExtent l="0" t="0" r="2540" b="0"/>
            <wp:wrapTopAndBottom/>
            <wp:docPr id="765912900" name="תמונה 76591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00" name="תמונה 765912900"/>
                    <pic:cNvPicPr/>
                  </pic:nvPicPr>
                  <pic:blipFill>
                    <a:blip r:embed="rId48">
                      <a:extLst>
                        <a:ext uri="{28A0092B-C50C-407E-A947-70E740481C1C}">
                          <a14:useLocalDpi xmlns:a14="http://schemas.microsoft.com/office/drawing/2010/main" val="0"/>
                        </a:ext>
                      </a:extLst>
                    </a:blip>
                    <a:stretch>
                      <a:fillRect/>
                    </a:stretch>
                  </pic:blipFill>
                  <pic:spPr>
                    <a:xfrm>
                      <a:off x="0" y="0"/>
                      <a:ext cx="4836160" cy="3512820"/>
                    </a:xfrm>
                    <a:prstGeom prst="rect">
                      <a:avLst/>
                    </a:prstGeom>
                  </pic:spPr>
                </pic:pic>
              </a:graphicData>
            </a:graphic>
            <wp14:sizeRelH relativeFrom="page">
              <wp14:pctWidth>0</wp14:pctWidth>
            </wp14:sizeRelH>
            <wp14:sizeRelV relativeFrom="page">
              <wp14:pctHeight>0</wp14:pctHeight>
            </wp14:sizeRelV>
          </wp:anchor>
        </w:drawing>
      </w:r>
      <w:r w:rsidR="007C4395" w:rsidRPr="00EC550D">
        <w:rPr>
          <w:rFonts w:hint="cs"/>
          <w:b w:val="0"/>
          <w:bCs w:val="0"/>
          <w:rtl/>
        </w:rPr>
        <w:t>תרשים 16:</w:t>
      </w:r>
      <w:r w:rsidR="007C4395" w:rsidRPr="00E61946">
        <w:rPr>
          <w:rFonts w:hint="cs"/>
          <w:rtl/>
        </w:rPr>
        <w:t xml:space="preserve"> שיעור החייבים ויתרות החובה של מדינות נבחרות מסך הנכסים, 2020 (באחוזים)</w:t>
      </w:r>
    </w:p>
    <w:p w14:paraId="543F46BA" w14:textId="6E30FC4F" w:rsidR="007C4395" w:rsidRPr="00010778" w:rsidRDefault="007C4395" w:rsidP="00010778">
      <w:pPr>
        <w:pStyle w:val="71c"/>
        <w:rPr>
          <w:rtl/>
        </w:rPr>
      </w:pPr>
      <w:r w:rsidRPr="00010778">
        <w:rPr>
          <w:rFonts w:hint="eastAsia"/>
          <w:rtl/>
        </w:rPr>
        <w:t>על</w:t>
      </w:r>
      <w:r w:rsidRPr="00010778">
        <w:rPr>
          <w:rtl/>
        </w:rPr>
        <w:t xml:space="preserve"> </w:t>
      </w:r>
      <w:r w:rsidRPr="00010778">
        <w:rPr>
          <w:rFonts w:hint="eastAsia"/>
          <w:rtl/>
        </w:rPr>
        <w:t>פי</w:t>
      </w:r>
      <w:r w:rsidRPr="00010778">
        <w:rPr>
          <w:rtl/>
        </w:rPr>
        <w:t xml:space="preserve"> הדוחות </w:t>
      </w:r>
      <w:r w:rsidRPr="00010778">
        <w:rPr>
          <w:rFonts w:hint="eastAsia"/>
          <w:rtl/>
        </w:rPr>
        <w:t>הכספיים</w:t>
      </w:r>
      <w:r w:rsidRPr="00010778">
        <w:rPr>
          <w:rtl/>
        </w:rPr>
        <w:t xml:space="preserve"> </w:t>
      </w:r>
      <w:r w:rsidRPr="00010778">
        <w:rPr>
          <w:rFonts w:hint="eastAsia"/>
          <w:rtl/>
        </w:rPr>
        <w:t>של</w:t>
      </w:r>
      <w:r w:rsidRPr="00010778">
        <w:rPr>
          <w:rtl/>
        </w:rPr>
        <w:t xml:space="preserve"> </w:t>
      </w:r>
      <w:r w:rsidRPr="00010778">
        <w:rPr>
          <w:rFonts w:hint="eastAsia"/>
          <w:rtl/>
        </w:rPr>
        <w:t>מדינת</w:t>
      </w:r>
      <w:r w:rsidRPr="00010778">
        <w:rPr>
          <w:rtl/>
        </w:rPr>
        <w:t xml:space="preserve"> </w:t>
      </w:r>
      <w:r w:rsidRPr="00010778">
        <w:rPr>
          <w:rFonts w:hint="eastAsia"/>
          <w:rtl/>
        </w:rPr>
        <w:t>ישראל</w:t>
      </w:r>
      <w:r w:rsidRPr="00010778">
        <w:rPr>
          <w:rtl/>
        </w:rPr>
        <w:t xml:space="preserve"> </w:t>
      </w:r>
      <w:r w:rsidRPr="00010778">
        <w:rPr>
          <w:rFonts w:hint="eastAsia"/>
          <w:rtl/>
        </w:rPr>
        <w:t>לשנת</w:t>
      </w:r>
      <w:r w:rsidRPr="00010778">
        <w:rPr>
          <w:rtl/>
        </w:rPr>
        <w:t xml:space="preserve"> 2020 </w:t>
      </w:r>
      <w:r w:rsidRPr="00010778">
        <w:rPr>
          <w:rFonts w:hint="eastAsia"/>
          <w:rtl/>
        </w:rPr>
        <w:t>והדוחות</w:t>
      </w:r>
      <w:r w:rsidRPr="00010778">
        <w:rPr>
          <w:rtl/>
        </w:rPr>
        <w:t xml:space="preserve"> </w:t>
      </w:r>
      <w:r w:rsidRPr="00010778">
        <w:rPr>
          <w:rFonts w:hint="eastAsia"/>
          <w:rtl/>
        </w:rPr>
        <w:t>הכספיים</w:t>
      </w:r>
      <w:r w:rsidRPr="00010778">
        <w:rPr>
          <w:rtl/>
        </w:rPr>
        <w:t xml:space="preserve"> </w:t>
      </w:r>
      <w:r w:rsidRPr="00010778">
        <w:rPr>
          <w:rFonts w:hint="eastAsia"/>
          <w:rtl/>
        </w:rPr>
        <w:t>של</w:t>
      </w:r>
      <w:r w:rsidRPr="00010778">
        <w:rPr>
          <w:rtl/>
        </w:rPr>
        <w:t xml:space="preserve"> </w:t>
      </w:r>
      <w:r w:rsidRPr="00010778">
        <w:rPr>
          <w:rFonts w:hint="eastAsia"/>
          <w:rtl/>
        </w:rPr>
        <w:t>ארצות</w:t>
      </w:r>
      <w:r w:rsidRPr="00010778">
        <w:rPr>
          <w:rtl/>
        </w:rPr>
        <w:t xml:space="preserve"> </w:t>
      </w:r>
      <w:r w:rsidRPr="00010778">
        <w:rPr>
          <w:rFonts w:hint="eastAsia"/>
          <w:rtl/>
        </w:rPr>
        <w:t>הברית</w:t>
      </w:r>
      <w:r w:rsidRPr="00010778">
        <w:rPr>
          <w:rtl/>
        </w:rPr>
        <w:t xml:space="preserve">, </w:t>
      </w:r>
      <w:r w:rsidRPr="00010778">
        <w:rPr>
          <w:rFonts w:hint="eastAsia"/>
          <w:rtl/>
        </w:rPr>
        <w:t>אוסטרליה</w:t>
      </w:r>
      <w:r w:rsidRPr="00010778">
        <w:rPr>
          <w:rtl/>
        </w:rPr>
        <w:t xml:space="preserve">, </w:t>
      </w:r>
      <w:r w:rsidR="006C5FAE">
        <w:br/>
      </w:r>
      <w:r w:rsidRPr="00010778">
        <w:rPr>
          <w:rFonts w:hint="eastAsia"/>
          <w:rtl/>
        </w:rPr>
        <w:t>ניו</w:t>
      </w:r>
      <w:r w:rsidRPr="00010778">
        <w:rPr>
          <w:rtl/>
        </w:rPr>
        <w:t xml:space="preserve"> </w:t>
      </w:r>
      <w:r w:rsidRPr="00010778">
        <w:rPr>
          <w:rFonts w:hint="eastAsia"/>
          <w:rtl/>
        </w:rPr>
        <w:t>זילנד</w:t>
      </w:r>
      <w:r w:rsidRPr="00010778">
        <w:rPr>
          <w:rtl/>
        </w:rPr>
        <w:t xml:space="preserve"> </w:t>
      </w:r>
      <w:r w:rsidRPr="00010778">
        <w:rPr>
          <w:rFonts w:hint="eastAsia"/>
          <w:rtl/>
        </w:rPr>
        <w:t>וקנדה</w:t>
      </w:r>
      <w:r w:rsidRPr="00010778">
        <w:rPr>
          <w:rtl/>
        </w:rPr>
        <w:t xml:space="preserve">, </w:t>
      </w:r>
      <w:r w:rsidRPr="00010778">
        <w:rPr>
          <w:rFonts w:hint="eastAsia"/>
          <w:rtl/>
        </w:rPr>
        <w:t>בעיבוד</w:t>
      </w:r>
      <w:r w:rsidRPr="00010778">
        <w:rPr>
          <w:rtl/>
        </w:rPr>
        <w:t xml:space="preserve"> </w:t>
      </w:r>
      <w:r w:rsidRPr="00010778">
        <w:rPr>
          <w:rFonts w:hint="eastAsia"/>
          <w:rtl/>
        </w:rPr>
        <w:t>משרד</w:t>
      </w:r>
      <w:r w:rsidRPr="00010778">
        <w:rPr>
          <w:rtl/>
        </w:rPr>
        <w:t xml:space="preserve"> </w:t>
      </w:r>
      <w:r w:rsidRPr="00010778">
        <w:rPr>
          <w:rFonts w:hint="eastAsia"/>
          <w:rtl/>
        </w:rPr>
        <w:t>מבקר</w:t>
      </w:r>
      <w:r w:rsidRPr="00010778">
        <w:rPr>
          <w:rtl/>
        </w:rPr>
        <w:t xml:space="preserve"> </w:t>
      </w:r>
      <w:r w:rsidRPr="00010778">
        <w:rPr>
          <w:rFonts w:hint="eastAsia"/>
          <w:rtl/>
        </w:rPr>
        <w:t>המדינה</w:t>
      </w:r>
      <w:r w:rsidRPr="00010778">
        <w:rPr>
          <w:rtl/>
        </w:rPr>
        <w:t>.</w:t>
      </w:r>
    </w:p>
    <w:p w14:paraId="1A894336" w14:textId="7AA923EF" w:rsidR="007C4395" w:rsidRDefault="007C4395" w:rsidP="00675951">
      <w:pPr>
        <w:pStyle w:val="71f4"/>
        <w:rPr>
          <w:rtl/>
        </w:rPr>
      </w:pPr>
      <w:r w:rsidRPr="00675951">
        <w:rPr>
          <w:rFonts w:hint="cs"/>
          <w:rtl/>
        </w:rPr>
        <w:t xml:space="preserve">כעולה מהתרשים שלעיל, שיעור סעיף חייבים ויתרות חובה ליום 31.12.2020 עומד על כ-9.5% מתוך סך הנכסים ליום 31.12.2020. נתון זה גבוה לעומת רוב המדינות הנבחרות. פער זה יכול להעיד על כך שפוטנציאל הגבייה של החובות למדינה הוא גבוה ביחס לביצוע בפועל, לעומת רוב המדינות הנבחרות. יצוין שהפער גם יכול לנבוע מכך שבדוחות הכספיים של מדינת ישראל </w:t>
      </w:r>
      <w:r w:rsidRPr="00675951">
        <w:rPr>
          <w:rFonts w:hint="eastAsia"/>
          <w:rtl/>
        </w:rPr>
        <w:t>לא</w:t>
      </w:r>
      <w:r w:rsidRPr="00675951">
        <w:rPr>
          <w:rtl/>
        </w:rPr>
        <w:t xml:space="preserve"> </w:t>
      </w:r>
      <w:r w:rsidRPr="00675951">
        <w:rPr>
          <w:rFonts w:hint="eastAsia"/>
          <w:rtl/>
        </w:rPr>
        <w:t>רשומים</w:t>
      </w:r>
      <w:r w:rsidRPr="00675951">
        <w:rPr>
          <w:rFonts w:hint="cs"/>
          <w:rtl/>
        </w:rPr>
        <w:t xml:space="preserve"> נכסים בהיקף כספי נרחב.</w:t>
      </w:r>
    </w:p>
    <w:p w14:paraId="45D47AD7" w14:textId="77777777" w:rsidR="00FA26CB" w:rsidRPr="00FA26CB" w:rsidRDefault="00FA26CB" w:rsidP="00FA26CB">
      <w:pPr>
        <w:pStyle w:val="7190"/>
        <w:spacing w:after="0"/>
        <w:rPr>
          <w:rtl/>
        </w:rPr>
      </w:pPr>
    </w:p>
    <w:p w14:paraId="1EE4373A" w14:textId="77777777" w:rsidR="007C4395" w:rsidRDefault="007C4395" w:rsidP="003B2683">
      <w:pPr>
        <w:pStyle w:val="71f4"/>
        <w:rPr>
          <w:rtl/>
        </w:rPr>
      </w:pPr>
      <w:r w:rsidRPr="00E45210">
        <w:rPr>
          <w:rFonts w:hint="eastAsia"/>
          <w:rtl/>
        </w:rPr>
        <w:t>מומלץ</w:t>
      </w:r>
      <w:r w:rsidRPr="00E45210">
        <w:rPr>
          <w:rtl/>
        </w:rPr>
        <w:t xml:space="preserve"> </w:t>
      </w:r>
      <w:r w:rsidRPr="00E45210">
        <w:rPr>
          <w:rFonts w:hint="eastAsia"/>
          <w:rtl/>
        </w:rPr>
        <w:t>כי</w:t>
      </w:r>
      <w:r w:rsidRPr="00E45210">
        <w:rPr>
          <w:rtl/>
        </w:rPr>
        <w:t xml:space="preserve"> </w:t>
      </w:r>
      <w:r w:rsidRPr="00E45210">
        <w:rPr>
          <w:rFonts w:hint="eastAsia"/>
          <w:rtl/>
        </w:rPr>
        <w:t>משרד</w:t>
      </w:r>
      <w:r w:rsidRPr="00E45210">
        <w:rPr>
          <w:rtl/>
        </w:rPr>
        <w:t xml:space="preserve"> </w:t>
      </w:r>
      <w:r w:rsidRPr="00E45210">
        <w:rPr>
          <w:rFonts w:hint="eastAsia"/>
          <w:rtl/>
        </w:rPr>
        <w:t>האוצר</w:t>
      </w:r>
      <w:r w:rsidRPr="00E45210">
        <w:rPr>
          <w:rtl/>
        </w:rPr>
        <w:t xml:space="preserve"> </w:t>
      </w:r>
      <w:r w:rsidRPr="00E45210">
        <w:rPr>
          <w:rFonts w:hint="eastAsia"/>
          <w:rtl/>
        </w:rPr>
        <w:t>יעק</w:t>
      </w:r>
      <w:r>
        <w:rPr>
          <w:rFonts w:hint="cs"/>
          <w:rtl/>
        </w:rPr>
        <w:t>ו</w:t>
      </w:r>
      <w:r w:rsidRPr="00E45210">
        <w:rPr>
          <w:rFonts w:hint="eastAsia"/>
          <w:rtl/>
        </w:rPr>
        <w:t>ב</w:t>
      </w:r>
      <w:r w:rsidRPr="00E45210">
        <w:rPr>
          <w:rtl/>
        </w:rPr>
        <w:t xml:space="preserve"> </w:t>
      </w:r>
      <w:r>
        <w:rPr>
          <w:rFonts w:hint="cs"/>
          <w:rtl/>
        </w:rPr>
        <w:t>מפעם לפעם</w:t>
      </w:r>
      <w:r w:rsidRPr="00E45210">
        <w:rPr>
          <w:rtl/>
        </w:rPr>
        <w:t xml:space="preserve"> </w:t>
      </w:r>
      <w:r w:rsidRPr="00E45210">
        <w:rPr>
          <w:rFonts w:hint="eastAsia"/>
          <w:rtl/>
        </w:rPr>
        <w:t>אחר</w:t>
      </w:r>
      <w:r w:rsidRPr="00E45210">
        <w:rPr>
          <w:rtl/>
        </w:rPr>
        <w:t xml:space="preserve"> שיעור סעיף חייבים ויתרות חובה </w:t>
      </w:r>
      <w:proofErr w:type="spellStart"/>
      <w:r w:rsidRPr="00E45210">
        <w:rPr>
          <w:rtl/>
        </w:rPr>
        <w:t>מהתמ"ג</w:t>
      </w:r>
      <w:proofErr w:type="spellEnd"/>
      <w:r w:rsidRPr="00E45210">
        <w:rPr>
          <w:rtl/>
        </w:rPr>
        <w:t xml:space="preserve"> </w:t>
      </w:r>
      <w:r>
        <w:rPr>
          <w:rFonts w:hint="cs"/>
          <w:rtl/>
        </w:rPr>
        <w:t>ו</w:t>
      </w:r>
      <w:r w:rsidRPr="00E45210">
        <w:rPr>
          <w:rtl/>
        </w:rPr>
        <w:t>שיעור</w:t>
      </w:r>
      <w:r>
        <w:rPr>
          <w:rFonts w:hint="cs"/>
          <w:rtl/>
        </w:rPr>
        <w:t>ו</w:t>
      </w:r>
      <w:r w:rsidRPr="00E45210">
        <w:rPr>
          <w:rtl/>
        </w:rPr>
        <w:t xml:space="preserve"> מכלל הנכסים</w:t>
      </w:r>
      <w:r>
        <w:rPr>
          <w:rFonts w:hint="cs"/>
          <w:rtl/>
        </w:rPr>
        <w:t xml:space="preserve">, </w:t>
      </w:r>
      <w:r w:rsidRPr="00E45210">
        <w:rPr>
          <w:rFonts w:hint="eastAsia"/>
          <w:rtl/>
        </w:rPr>
        <w:t>יבחן</w:t>
      </w:r>
      <w:r w:rsidRPr="00E45210">
        <w:rPr>
          <w:rtl/>
        </w:rPr>
        <w:t xml:space="preserve"> </w:t>
      </w:r>
      <w:r w:rsidRPr="00E45210">
        <w:rPr>
          <w:rFonts w:hint="eastAsia"/>
          <w:rtl/>
        </w:rPr>
        <w:t>את</w:t>
      </w:r>
      <w:r w:rsidRPr="00E45210">
        <w:rPr>
          <w:rtl/>
        </w:rPr>
        <w:t xml:space="preserve"> </w:t>
      </w:r>
      <w:r w:rsidRPr="00E45210">
        <w:rPr>
          <w:rFonts w:hint="eastAsia"/>
          <w:rtl/>
        </w:rPr>
        <w:t>משמעות</w:t>
      </w:r>
      <w:r w:rsidRPr="00E45210">
        <w:rPr>
          <w:rtl/>
        </w:rPr>
        <w:t xml:space="preserve"> </w:t>
      </w:r>
      <w:r>
        <w:rPr>
          <w:rFonts w:hint="cs"/>
          <w:rtl/>
        </w:rPr>
        <w:t>ה</w:t>
      </w:r>
      <w:r w:rsidRPr="00E45210">
        <w:rPr>
          <w:rFonts w:hint="eastAsia"/>
          <w:rtl/>
        </w:rPr>
        <w:t>שינויים</w:t>
      </w:r>
      <w:r w:rsidRPr="00E45210">
        <w:rPr>
          <w:rtl/>
        </w:rPr>
        <w:t xml:space="preserve"> בשיעורים אלו</w:t>
      </w:r>
      <w:r>
        <w:rPr>
          <w:rFonts w:hint="cs"/>
          <w:rtl/>
        </w:rPr>
        <w:t xml:space="preserve"> </w:t>
      </w:r>
      <w:r w:rsidRPr="00E45210">
        <w:rPr>
          <w:rFonts w:hint="eastAsia"/>
          <w:rtl/>
        </w:rPr>
        <w:t>ו</w:t>
      </w:r>
      <w:r>
        <w:rPr>
          <w:rFonts w:hint="cs"/>
          <w:rtl/>
        </w:rPr>
        <w:t xml:space="preserve">יבצע </w:t>
      </w:r>
      <w:r w:rsidRPr="00E45210">
        <w:rPr>
          <w:rFonts w:hint="eastAsia"/>
          <w:rtl/>
        </w:rPr>
        <w:t>בהתאם</w:t>
      </w:r>
      <w:r w:rsidRPr="00E45210">
        <w:rPr>
          <w:rtl/>
        </w:rPr>
        <w:t xml:space="preserve"> </w:t>
      </w:r>
      <w:r w:rsidRPr="00E45210">
        <w:rPr>
          <w:rFonts w:hint="eastAsia"/>
          <w:rtl/>
        </w:rPr>
        <w:t>את</w:t>
      </w:r>
      <w:r w:rsidRPr="00E45210">
        <w:rPr>
          <w:rtl/>
        </w:rPr>
        <w:t xml:space="preserve"> </w:t>
      </w:r>
      <w:r w:rsidRPr="00E45210">
        <w:rPr>
          <w:rFonts w:hint="eastAsia"/>
          <w:rtl/>
        </w:rPr>
        <w:t>הפעולות</w:t>
      </w:r>
      <w:r w:rsidRPr="00E45210">
        <w:rPr>
          <w:rtl/>
        </w:rPr>
        <w:t xml:space="preserve"> </w:t>
      </w:r>
      <w:r w:rsidRPr="00E45210">
        <w:rPr>
          <w:rFonts w:hint="eastAsia"/>
          <w:rtl/>
        </w:rPr>
        <w:t>הנדרשות</w:t>
      </w:r>
      <w:r w:rsidRPr="00E45210">
        <w:rPr>
          <w:rtl/>
        </w:rPr>
        <w:t xml:space="preserve"> </w:t>
      </w:r>
      <w:r>
        <w:rPr>
          <w:rFonts w:hint="cs"/>
          <w:rtl/>
        </w:rPr>
        <w:t>לביצוע ובכלל זה השלמת רישום מצבת הנכסים בדוחות הכספיים של המדינה</w:t>
      </w:r>
      <w:r w:rsidRPr="00E45210">
        <w:rPr>
          <w:rtl/>
        </w:rPr>
        <w:t>.</w:t>
      </w:r>
    </w:p>
    <w:p w14:paraId="34275FEC" w14:textId="77777777" w:rsidR="007C4395" w:rsidRPr="007F19D1" w:rsidRDefault="007C4395" w:rsidP="002A738D">
      <w:pPr>
        <w:pStyle w:val="7190"/>
        <w:rPr>
          <w:rtl/>
        </w:rPr>
      </w:pPr>
      <w:r>
        <w:rPr>
          <w:rFonts w:hint="cs"/>
          <w:rtl/>
        </w:rPr>
        <w:lastRenderedPageBreak/>
        <w:t xml:space="preserve">בתשובת אגף </w:t>
      </w:r>
      <w:proofErr w:type="spellStart"/>
      <w:r>
        <w:rPr>
          <w:rFonts w:hint="cs"/>
          <w:rtl/>
        </w:rPr>
        <w:t>החשכ"ל</w:t>
      </w:r>
      <w:proofErr w:type="spellEnd"/>
      <w:r>
        <w:rPr>
          <w:rFonts w:hint="cs"/>
          <w:rtl/>
        </w:rPr>
        <w:t xml:space="preserve"> נמסר כי האגף פועל באופן מתמיד מול הגופים הממשלתיים להשלמת החוסרים של נכסי המדינה בדוחות הכספיים. אגף </w:t>
      </w:r>
      <w:proofErr w:type="spellStart"/>
      <w:r>
        <w:rPr>
          <w:rFonts w:hint="cs"/>
          <w:rtl/>
        </w:rPr>
        <w:t>החשכ"ל</w:t>
      </w:r>
      <w:proofErr w:type="spellEnd"/>
      <w:r>
        <w:rPr>
          <w:rFonts w:hint="cs"/>
          <w:rtl/>
        </w:rPr>
        <w:t xml:space="preserve"> הוסיף כי יבחן את הצגת המידע כאמור.</w:t>
      </w:r>
    </w:p>
    <w:p w14:paraId="6597AEE2" w14:textId="77777777" w:rsidR="007C4395" w:rsidRDefault="007C4395" w:rsidP="006F4D0D">
      <w:pPr>
        <w:pStyle w:val="71155"/>
        <w:rPr>
          <w:rtl/>
        </w:rPr>
      </w:pPr>
      <w:r>
        <w:rPr>
          <w:rFonts w:hint="cs"/>
          <w:rtl/>
        </w:rPr>
        <w:t xml:space="preserve">ניתוח דוחות כספיים של משרדי ממשלה </w:t>
      </w:r>
    </w:p>
    <w:p w14:paraId="071CFF41" w14:textId="77777777" w:rsidR="007C4395" w:rsidRDefault="007C4395" w:rsidP="002A738D">
      <w:pPr>
        <w:pStyle w:val="7190"/>
        <w:rPr>
          <w:rtl/>
        </w:rPr>
      </w:pPr>
      <w:r>
        <w:rPr>
          <w:rFonts w:hint="cs"/>
          <w:rtl/>
        </w:rPr>
        <w:t>הדוחות הכספיים המאוחדים של מדינת ישראל אינם מבוקרים</w:t>
      </w:r>
      <w:r>
        <w:rPr>
          <w:rStyle w:val="ac"/>
          <w:rtl/>
        </w:rPr>
        <w:footnoteReference w:id="29"/>
      </w:r>
      <w:r>
        <w:rPr>
          <w:rFonts w:hint="cs"/>
          <w:rtl/>
        </w:rPr>
        <w:t>, אך מרבית הדוחות הכספיים של הישויות המאוחדות בדוחות הכספיים הינם מבוקרים. נוסף על כך, הדוחות הכספיים המאוחדים נערכו לפי מבנה היררכי המבוסס בעיקרו על כללי חשבונאות בדבר איחוד דוחות כספיים. כמו כן, הדוחות הכספיים כוללים את פעילותן, את מצבן ואת ביצוען הכספי של מעל 200 ישויות ממשלתיות.</w:t>
      </w:r>
    </w:p>
    <w:p w14:paraId="048ED8D8" w14:textId="77777777" w:rsidR="007C4395" w:rsidRDefault="007C4395" w:rsidP="002A738D">
      <w:pPr>
        <w:pStyle w:val="7190"/>
        <w:rPr>
          <w:rtl/>
        </w:rPr>
      </w:pPr>
      <w:r>
        <w:rPr>
          <w:rFonts w:hint="cs"/>
          <w:rtl/>
        </w:rPr>
        <w:t xml:space="preserve">משרד מבקר המדינה בחן את הדוחות הכספיים של </w:t>
      </w:r>
      <w:r w:rsidRPr="009E2DBF">
        <w:rPr>
          <w:rFonts w:hint="cs"/>
          <w:rtl/>
        </w:rPr>
        <w:t xml:space="preserve">מספר משרדי ממשלה מבוקרים נבחרים (להלן - המשרדים הנבדקים) אשר שימשו לצד </w:t>
      </w:r>
      <w:r>
        <w:rPr>
          <w:rFonts w:hint="cs"/>
          <w:rtl/>
        </w:rPr>
        <w:t>דוחות</w:t>
      </w:r>
      <w:r w:rsidRPr="009E2DBF">
        <w:rPr>
          <w:rFonts w:hint="cs"/>
          <w:rtl/>
        </w:rPr>
        <w:t xml:space="preserve"> כספיים של משרדי ממשלה וישויות ממשלתיות נוספות</w:t>
      </w:r>
      <w:r>
        <w:rPr>
          <w:rFonts w:hint="cs"/>
          <w:rtl/>
        </w:rPr>
        <w:t>,</w:t>
      </w:r>
      <w:r w:rsidRPr="009E2DBF">
        <w:rPr>
          <w:rFonts w:hint="cs"/>
          <w:rtl/>
        </w:rPr>
        <w:t xml:space="preserve"> בסיס ל</w:t>
      </w:r>
      <w:r>
        <w:rPr>
          <w:rFonts w:hint="cs"/>
          <w:rtl/>
        </w:rPr>
        <w:t>דוחות</w:t>
      </w:r>
      <w:r w:rsidRPr="009E2DBF">
        <w:rPr>
          <w:rFonts w:hint="cs"/>
          <w:rtl/>
        </w:rPr>
        <w:t xml:space="preserve"> הכספיים המאוחדים של המד</w:t>
      </w:r>
      <w:r>
        <w:rPr>
          <w:rFonts w:hint="cs"/>
          <w:rtl/>
        </w:rPr>
        <w:t>ינה.</w:t>
      </w:r>
    </w:p>
    <w:p w14:paraId="77218825" w14:textId="77777777" w:rsidR="007C4395" w:rsidRDefault="007C4395" w:rsidP="006F4D0D">
      <w:pPr>
        <w:pStyle w:val="71414"/>
        <w:rPr>
          <w:rtl/>
        </w:rPr>
      </w:pPr>
      <w:r>
        <w:rPr>
          <w:rFonts w:hint="cs"/>
          <w:rtl/>
        </w:rPr>
        <w:t>דוחות על הביצוע הכספי</w:t>
      </w:r>
    </w:p>
    <w:p w14:paraId="5C70DDB0" w14:textId="77777777" w:rsidR="007C4395" w:rsidRDefault="007C4395" w:rsidP="002A738D">
      <w:pPr>
        <w:pStyle w:val="7190"/>
        <w:rPr>
          <w:rtl/>
        </w:rPr>
      </w:pPr>
      <w:r>
        <w:rPr>
          <w:rFonts w:hint="cs"/>
          <w:rtl/>
        </w:rPr>
        <w:t>להלן תמצית נתוני הביצוע הכספי כפי שהופיעו בדוחות הכספיים של משרדי הממשלה הנבדקים בשנים 2019 ו-2020:</w:t>
      </w:r>
    </w:p>
    <w:p w14:paraId="47FEE9FD" w14:textId="77777777" w:rsidR="00BB2A32" w:rsidRDefault="00BB2A32">
      <w:pPr>
        <w:bidi w:val="0"/>
        <w:spacing w:after="200" w:line="276" w:lineRule="auto"/>
        <w:rPr>
          <w:rFonts w:ascii="Tahoma" w:eastAsiaTheme="minorEastAsia" w:hAnsi="Tahoma" w:cs="Tahoma"/>
          <w:color w:val="0D0D0D" w:themeColor="text1" w:themeTint="F2"/>
          <w:szCs w:val="20"/>
          <w:rtl/>
        </w:rPr>
      </w:pPr>
      <w:r>
        <w:rPr>
          <w:b/>
          <w:bCs/>
          <w:rtl/>
        </w:rPr>
        <w:br w:type="page"/>
      </w:r>
    </w:p>
    <w:p w14:paraId="70F598A7" w14:textId="49652310" w:rsidR="007C4395" w:rsidRPr="00E61946" w:rsidRDefault="007C4395" w:rsidP="00EC550D">
      <w:pPr>
        <w:pStyle w:val="71a"/>
        <w:rPr>
          <w:rtl/>
        </w:rPr>
      </w:pPr>
      <w:r w:rsidRPr="00EC550D">
        <w:rPr>
          <w:rFonts w:hint="cs"/>
          <w:b w:val="0"/>
          <w:bCs w:val="0"/>
          <w:rtl/>
        </w:rPr>
        <w:lastRenderedPageBreak/>
        <w:t>לוח 5:</w:t>
      </w:r>
      <w:r w:rsidRPr="00E61946">
        <w:rPr>
          <w:rFonts w:hint="cs"/>
          <w:rtl/>
        </w:rPr>
        <w:t xml:space="preserve"> נתוני תמצית הביצוע הכספי לשנת 2020 (במיליוני ש"ח בבסיס מצטבר</w:t>
      </w:r>
      <w:r>
        <w:rPr>
          <w:rStyle w:val="ac"/>
          <w:rtl/>
        </w:rPr>
        <w:footnoteReference w:id="30"/>
      </w:r>
      <w:r w:rsidRPr="003717A4">
        <w:rPr>
          <w:rFonts w:hint="cs"/>
          <w:rtl/>
        </w:rPr>
        <w:t>)</w:t>
      </w:r>
    </w:p>
    <w:tbl>
      <w:tblPr>
        <w:bidiVisual/>
        <w:tblW w:w="5024" w:type="pct"/>
        <w:tblBorders>
          <w:left w:val="single" w:sz="4" w:space="0" w:color="auto"/>
          <w:right w:val="single" w:sz="4" w:space="0" w:color="auto"/>
          <w:insideV w:val="single" w:sz="4" w:space="0" w:color="auto"/>
        </w:tblBorders>
        <w:tblLook w:val="04A0" w:firstRow="1" w:lastRow="0" w:firstColumn="1" w:lastColumn="0" w:noHBand="0" w:noVBand="1"/>
      </w:tblPr>
      <w:tblGrid>
        <w:gridCol w:w="2382"/>
        <w:gridCol w:w="976"/>
        <w:gridCol w:w="1044"/>
        <w:gridCol w:w="1010"/>
        <w:gridCol w:w="1007"/>
        <w:gridCol w:w="976"/>
      </w:tblGrid>
      <w:tr w:rsidR="009E6326" w:rsidRPr="00B45160" w14:paraId="3A3A7C70" w14:textId="77777777" w:rsidTr="009429B3">
        <w:trPr>
          <w:trHeight w:val="624"/>
          <w:tblHeader/>
        </w:trPr>
        <w:tc>
          <w:tcPr>
            <w:tcW w:w="1610" w:type="pct"/>
            <w:shd w:val="clear" w:color="auto" w:fill="B6CBD4"/>
            <w:vAlign w:val="center"/>
            <w:hideMark/>
          </w:tcPr>
          <w:p w14:paraId="18EE3834" w14:textId="77777777" w:rsidR="009E6326" w:rsidRPr="00B45160" w:rsidRDefault="009E6326" w:rsidP="00B45160">
            <w:pPr>
              <w:spacing w:before="60" w:line="240" w:lineRule="auto"/>
              <w:rPr>
                <w:rFonts w:ascii="Arial" w:eastAsia="Times New Roman" w:hAnsi="Arial"/>
                <w:b/>
                <w:bCs/>
                <w:color w:val="FFFFFF"/>
                <w:sz w:val="15"/>
                <w:szCs w:val="15"/>
              </w:rPr>
            </w:pPr>
            <w:r w:rsidRPr="00B45160">
              <w:rPr>
                <w:rFonts w:ascii="Arial" w:eastAsia="Times New Roman" w:hAnsi="Arial" w:hint="cs"/>
                <w:b/>
                <w:bCs/>
                <w:color w:val="FFFFFF"/>
                <w:sz w:val="15"/>
                <w:szCs w:val="15"/>
                <w:rtl/>
              </w:rPr>
              <w:t> </w:t>
            </w:r>
          </w:p>
        </w:tc>
        <w:tc>
          <w:tcPr>
            <w:tcW w:w="3390" w:type="pct"/>
            <w:gridSpan w:val="5"/>
            <w:shd w:val="clear" w:color="auto" w:fill="B6CBD4"/>
            <w:vAlign w:val="center"/>
            <w:hideMark/>
          </w:tcPr>
          <w:p w14:paraId="05EEEE59" w14:textId="55052F0B" w:rsidR="009E6326" w:rsidRPr="00B45160" w:rsidRDefault="009E6326" w:rsidP="00B45160">
            <w:pPr>
              <w:pStyle w:val="71B0"/>
              <w:spacing w:before="60" w:after="0" w:line="240" w:lineRule="auto"/>
              <w:rPr>
                <w:rFonts w:eastAsia="Times New Roman"/>
                <w:sz w:val="15"/>
                <w:szCs w:val="15"/>
                <w:rtl/>
              </w:rPr>
            </w:pPr>
            <w:r w:rsidRPr="00B45160">
              <w:rPr>
                <w:rFonts w:eastAsia="Times New Roman" w:hint="cs"/>
                <w:sz w:val="15"/>
                <w:szCs w:val="15"/>
                <w:rtl/>
              </w:rPr>
              <w:t>משרדי ממשלה נבדקים, דוח כספי</w:t>
            </w:r>
            <w:r w:rsidR="006C5FAE" w:rsidRPr="00B45160">
              <w:rPr>
                <w:rFonts w:eastAsia="Times New Roman"/>
                <w:sz w:val="15"/>
                <w:szCs w:val="15"/>
              </w:rPr>
              <w:br/>
            </w:r>
            <w:r w:rsidRPr="00B45160">
              <w:rPr>
                <w:rFonts w:eastAsia="Times New Roman" w:hint="cs"/>
                <w:sz w:val="15"/>
                <w:szCs w:val="15"/>
                <w:rtl/>
              </w:rPr>
              <w:t>לשנה שהסתיימה ביום 31 בדצמבר 2020</w:t>
            </w:r>
          </w:p>
        </w:tc>
      </w:tr>
      <w:tr w:rsidR="00BB2A32" w:rsidRPr="00B45160" w14:paraId="3DD48E77" w14:textId="77777777" w:rsidTr="00633AF4">
        <w:trPr>
          <w:trHeight w:val="301"/>
        </w:trPr>
        <w:tc>
          <w:tcPr>
            <w:tcW w:w="1610" w:type="pct"/>
            <w:shd w:val="clear" w:color="auto" w:fill="C8DCE4"/>
            <w:vAlign w:val="bottom"/>
            <w:hideMark/>
          </w:tcPr>
          <w:p w14:paraId="529D1417" w14:textId="77777777" w:rsidR="007C4395" w:rsidRPr="00B45160" w:rsidRDefault="007C4395" w:rsidP="00633AF4">
            <w:pPr>
              <w:pStyle w:val="71R"/>
              <w:spacing w:before="60" w:after="60" w:line="240" w:lineRule="auto"/>
              <w:rPr>
                <w:rFonts w:eastAsia="Times New Roman"/>
                <w:sz w:val="15"/>
                <w:szCs w:val="15"/>
                <w:rtl/>
              </w:rPr>
            </w:pPr>
            <w:r w:rsidRPr="00B45160">
              <w:rPr>
                <w:rFonts w:eastAsia="Times New Roman" w:hint="cs"/>
                <w:sz w:val="15"/>
                <w:szCs w:val="15"/>
                <w:rtl/>
              </w:rPr>
              <w:t> </w:t>
            </w:r>
          </w:p>
        </w:tc>
        <w:tc>
          <w:tcPr>
            <w:tcW w:w="660" w:type="pct"/>
            <w:shd w:val="clear" w:color="auto" w:fill="C8DCE4"/>
            <w:vAlign w:val="bottom"/>
            <w:hideMark/>
          </w:tcPr>
          <w:p w14:paraId="6F1888D9" w14:textId="77777777" w:rsidR="007C4395" w:rsidRPr="00B45160" w:rsidRDefault="007C4395" w:rsidP="00633AF4">
            <w:pPr>
              <w:pStyle w:val="71R"/>
              <w:spacing w:before="60" w:after="60" w:line="240" w:lineRule="auto"/>
              <w:rPr>
                <w:rFonts w:eastAsia="Times New Roman"/>
                <w:b/>
                <w:bCs/>
                <w:color w:val="000000"/>
                <w:sz w:val="15"/>
                <w:szCs w:val="15"/>
                <w:rtl/>
              </w:rPr>
            </w:pPr>
            <w:r w:rsidRPr="00B45160">
              <w:rPr>
                <w:rFonts w:eastAsia="Times New Roman" w:hint="cs"/>
                <w:b/>
                <w:bCs/>
                <w:color w:val="000000"/>
                <w:sz w:val="15"/>
                <w:szCs w:val="15"/>
                <w:rtl/>
              </w:rPr>
              <w:t>הבינוי והשיכון</w:t>
            </w:r>
          </w:p>
        </w:tc>
        <w:tc>
          <w:tcPr>
            <w:tcW w:w="706" w:type="pct"/>
            <w:shd w:val="clear" w:color="auto" w:fill="C8DCE4"/>
            <w:vAlign w:val="bottom"/>
            <w:hideMark/>
          </w:tcPr>
          <w:p w14:paraId="1B46EC83" w14:textId="77777777" w:rsidR="007C4395" w:rsidRPr="00B45160" w:rsidRDefault="007C4395" w:rsidP="00633AF4">
            <w:pPr>
              <w:pStyle w:val="71R"/>
              <w:spacing w:before="60" w:after="60" w:line="240" w:lineRule="auto"/>
              <w:rPr>
                <w:rFonts w:eastAsia="Times New Roman"/>
                <w:b/>
                <w:bCs/>
                <w:color w:val="000000"/>
                <w:sz w:val="15"/>
                <w:szCs w:val="15"/>
                <w:rtl/>
              </w:rPr>
            </w:pPr>
            <w:r w:rsidRPr="00B45160">
              <w:rPr>
                <w:rFonts w:eastAsia="Times New Roman" w:hint="cs"/>
                <w:b/>
                <w:bCs/>
                <w:color w:val="000000"/>
                <w:sz w:val="15"/>
                <w:szCs w:val="15"/>
                <w:rtl/>
              </w:rPr>
              <w:t>הבריאות</w:t>
            </w:r>
            <w:r w:rsidRPr="00B45160">
              <w:rPr>
                <w:rStyle w:val="ac"/>
                <w:rFonts w:ascii="Arial" w:eastAsia="Times New Roman" w:hAnsi="Arial"/>
                <w:b/>
                <w:bCs/>
                <w:color w:val="000000"/>
                <w:sz w:val="15"/>
                <w:szCs w:val="15"/>
                <w:rtl/>
              </w:rPr>
              <w:footnoteReference w:id="31"/>
            </w:r>
          </w:p>
        </w:tc>
        <w:tc>
          <w:tcPr>
            <w:tcW w:w="683" w:type="pct"/>
            <w:shd w:val="clear" w:color="auto" w:fill="C8DCE4"/>
            <w:vAlign w:val="bottom"/>
            <w:hideMark/>
          </w:tcPr>
          <w:p w14:paraId="0AEC24DA" w14:textId="77777777" w:rsidR="007C4395" w:rsidRPr="00B45160" w:rsidRDefault="007C4395" w:rsidP="00633AF4">
            <w:pPr>
              <w:pStyle w:val="71R"/>
              <w:spacing w:before="60" w:after="60" w:line="240" w:lineRule="auto"/>
              <w:rPr>
                <w:rFonts w:eastAsia="Times New Roman"/>
                <w:b/>
                <w:bCs/>
                <w:color w:val="000000"/>
                <w:sz w:val="15"/>
                <w:szCs w:val="15"/>
                <w:rtl/>
              </w:rPr>
            </w:pPr>
            <w:r w:rsidRPr="00B45160">
              <w:rPr>
                <w:rFonts w:eastAsia="Times New Roman" w:hint="cs"/>
                <w:b/>
                <w:bCs/>
                <w:color w:val="000000"/>
                <w:sz w:val="15"/>
                <w:szCs w:val="15"/>
                <w:rtl/>
              </w:rPr>
              <w:t>הכלכלה והתעשייה</w:t>
            </w:r>
          </w:p>
        </w:tc>
        <w:tc>
          <w:tcPr>
            <w:tcW w:w="681" w:type="pct"/>
            <w:shd w:val="clear" w:color="auto" w:fill="C8DCE4"/>
            <w:vAlign w:val="bottom"/>
            <w:hideMark/>
          </w:tcPr>
          <w:p w14:paraId="204E68B5" w14:textId="77777777" w:rsidR="007C4395" w:rsidRPr="00B45160" w:rsidRDefault="007C4395" w:rsidP="00633AF4">
            <w:pPr>
              <w:pStyle w:val="71R"/>
              <w:spacing w:before="60" w:after="60" w:line="240" w:lineRule="auto"/>
              <w:rPr>
                <w:rFonts w:eastAsia="Times New Roman"/>
                <w:b/>
                <w:bCs/>
                <w:color w:val="000000"/>
                <w:sz w:val="15"/>
                <w:szCs w:val="15"/>
                <w:rtl/>
              </w:rPr>
            </w:pPr>
            <w:r w:rsidRPr="00B45160">
              <w:rPr>
                <w:rFonts w:eastAsia="Times New Roman" w:hint="cs"/>
                <w:b/>
                <w:bCs/>
                <w:color w:val="000000"/>
                <w:sz w:val="15"/>
                <w:szCs w:val="15"/>
                <w:rtl/>
              </w:rPr>
              <w:t>המשפטים</w:t>
            </w:r>
          </w:p>
        </w:tc>
        <w:tc>
          <w:tcPr>
            <w:tcW w:w="660" w:type="pct"/>
            <w:shd w:val="clear" w:color="auto" w:fill="C8DCE4"/>
            <w:vAlign w:val="bottom"/>
            <w:hideMark/>
          </w:tcPr>
          <w:p w14:paraId="7B13B35A" w14:textId="77777777" w:rsidR="007C4395" w:rsidRPr="00B45160" w:rsidRDefault="007C4395" w:rsidP="00633AF4">
            <w:pPr>
              <w:pStyle w:val="71R"/>
              <w:spacing w:before="60" w:after="60" w:line="240" w:lineRule="auto"/>
              <w:rPr>
                <w:rFonts w:eastAsia="Times New Roman"/>
                <w:b/>
                <w:bCs/>
                <w:color w:val="000000"/>
                <w:sz w:val="15"/>
                <w:szCs w:val="15"/>
                <w:rtl/>
              </w:rPr>
            </w:pPr>
            <w:r w:rsidRPr="00B45160">
              <w:rPr>
                <w:rFonts w:eastAsia="Times New Roman" w:hint="cs"/>
                <w:b/>
                <w:bCs/>
                <w:color w:val="000000"/>
                <w:sz w:val="15"/>
                <w:szCs w:val="15"/>
                <w:rtl/>
              </w:rPr>
              <w:t>הפנים</w:t>
            </w:r>
          </w:p>
        </w:tc>
      </w:tr>
      <w:tr w:rsidR="00B45160" w:rsidRPr="00B45160" w14:paraId="423C2680" w14:textId="77777777" w:rsidTr="00262AD0">
        <w:trPr>
          <w:trHeight w:val="301"/>
        </w:trPr>
        <w:tc>
          <w:tcPr>
            <w:tcW w:w="1610" w:type="pct"/>
            <w:shd w:val="clear" w:color="auto" w:fill="B6CBD4"/>
            <w:vAlign w:val="center"/>
            <w:hideMark/>
          </w:tcPr>
          <w:p w14:paraId="1E6A2DFE" w14:textId="77777777" w:rsidR="007C4395" w:rsidRPr="00B45160" w:rsidRDefault="007C4395" w:rsidP="00B45160">
            <w:pPr>
              <w:pStyle w:val="71B0"/>
              <w:spacing w:line="240" w:lineRule="auto"/>
              <w:rPr>
                <w:sz w:val="15"/>
                <w:szCs w:val="15"/>
                <w:rtl/>
              </w:rPr>
            </w:pPr>
            <w:r w:rsidRPr="00B45160">
              <w:rPr>
                <w:rFonts w:hint="cs"/>
                <w:sz w:val="15"/>
                <w:szCs w:val="15"/>
                <w:rtl/>
              </w:rPr>
              <w:t>הביצוע הכספי</w:t>
            </w:r>
          </w:p>
        </w:tc>
        <w:tc>
          <w:tcPr>
            <w:tcW w:w="2730" w:type="pct"/>
            <w:gridSpan w:val="4"/>
            <w:shd w:val="clear" w:color="auto" w:fill="DDEAEE"/>
            <w:vAlign w:val="center"/>
            <w:hideMark/>
          </w:tcPr>
          <w:p w14:paraId="6A733D0A" w14:textId="77777777" w:rsidR="007C4395" w:rsidRPr="00B45160" w:rsidRDefault="007C4395" w:rsidP="00B45160">
            <w:pPr>
              <w:pStyle w:val="71B0"/>
              <w:rPr>
                <w:sz w:val="15"/>
                <w:szCs w:val="15"/>
                <w:rtl/>
              </w:rPr>
            </w:pPr>
            <w:r w:rsidRPr="00B45160">
              <w:rPr>
                <w:rFonts w:hint="cs"/>
                <w:sz w:val="15"/>
                <w:szCs w:val="15"/>
                <w:rtl/>
              </w:rPr>
              <w:t> </w:t>
            </w:r>
          </w:p>
        </w:tc>
        <w:tc>
          <w:tcPr>
            <w:tcW w:w="660" w:type="pct"/>
            <w:shd w:val="clear" w:color="auto" w:fill="DDEAEE"/>
            <w:vAlign w:val="center"/>
            <w:hideMark/>
          </w:tcPr>
          <w:p w14:paraId="61F9ABAE" w14:textId="77777777" w:rsidR="007C4395" w:rsidRPr="00B45160" w:rsidRDefault="007C4395" w:rsidP="00B45160">
            <w:pPr>
              <w:pStyle w:val="71B0"/>
              <w:rPr>
                <w:sz w:val="15"/>
                <w:szCs w:val="15"/>
                <w:rtl/>
              </w:rPr>
            </w:pPr>
            <w:r w:rsidRPr="00B45160">
              <w:rPr>
                <w:rFonts w:hint="cs"/>
                <w:sz w:val="15"/>
                <w:szCs w:val="15"/>
                <w:rtl/>
              </w:rPr>
              <w:t> </w:t>
            </w:r>
          </w:p>
        </w:tc>
      </w:tr>
      <w:tr w:rsidR="00BB2A32" w:rsidRPr="00B45160" w14:paraId="6FFEEF87" w14:textId="77777777" w:rsidTr="009429B3">
        <w:trPr>
          <w:trHeight w:val="301"/>
        </w:trPr>
        <w:tc>
          <w:tcPr>
            <w:tcW w:w="1610" w:type="pct"/>
            <w:shd w:val="clear" w:color="auto" w:fill="EEF6F7"/>
            <w:vAlign w:val="center"/>
            <w:hideMark/>
          </w:tcPr>
          <w:p w14:paraId="189DD2BF" w14:textId="77777777" w:rsidR="007C4395" w:rsidRPr="00B45160" w:rsidRDefault="007C4395" w:rsidP="00B45160">
            <w:pPr>
              <w:pStyle w:val="71B0"/>
              <w:spacing w:line="240" w:lineRule="auto"/>
              <w:rPr>
                <w:rFonts w:eastAsia="Times New Roman"/>
                <w:sz w:val="15"/>
                <w:szCs w:val="15"/>
                <w:rtl/>
              </w:rPr>
            </w:pPr>
            <w:r w:rsidRPr="00B45160">
              <w:rPr>
                <w:rFonts w:eastAsia="Times New Roman" w:hint="cs"/>
                <w:sz w:val="15"/>
                <w:szCs w:val="15"/>
                <w:rtl/>
              </w:rPr>
              <w:t>הכנסות מעסקאות שאינן חליפין</w:t>
            </w:r>
          </w:p>
        </w:tc>
        <w:tc>
          <w:tcPr>
            <w:tcW w:w="660" w:type="pct"/>
            <w:shd w:val="clear" w:color="auto" w:fill="EEF6F7"/>
            <w:vAlign w:val="center"/>
            <w:hideMark/>
          </w:tcPr>
          <w:p w14:paraId="79AA9F7B" w14:textId="77777777" w:rsidR="007C4395" w:rsidRPr="00B45160" w:rsidRDefault="007C4395" w:rsidP="00B45160">
            <w:pPr>
              <w:pStyle w:val="71B0"/>
              <w:rPr>
                <w:rFonts w:eastAsia="Times New Roman"/>
                <w:sz w:val="15"/>
                <w:szCs w:val="15"/>
                <w:rtl/>
              </w:rPr>
            </w:pPr>
            <w:r w:rsidRPr="00B45160">
              <w:rPr>
                <w:rFonts w:eastAsia="Times New Roman" w:hint="cs"/>
                <w:sz w:val="15"/>
                <w:szCs w:val="15"/>
                <w:rtl/>
              </w:rPr>
              <w:t> </w:t>
            </w:r>
          </w:p>
        </w:tc>
        <w:tc>
          <w:tcPr>
            <w:tcW w:w="706" w:type="pct"/>
            <w:shd w:val="clear" w:color="auto" w:fill="EEF6F7"/>
            <w:vAlign w:val="center"/>
            <w:hideMark/>
          </w:tcPr>
          <w:p w14:paraId="21B5376F" w14:textId="77777777" w:rsidR="007C4395" w:rsidRPr="00B45160" w:rsidRDefault="007C4395" w:rsidP="00B45160">
            <w:pPr>
              <w:pStyle w:val="71B0"/>
              <w:rPr>
                <w:rFonts w:eastAsia="Times New Roman"/>
                <w:sz w:val="15"/>
                <w:szCs w:val="15"/>
                <w:rtl/>
              </w:rPr>
            </w:pPr>
            <w:r w:rsidRPr="00B45160">
              <w:rPr>
                <w:rFonts w:eastAsia="Times New Roman" w:hint="cs"/>
                <w:sz w:val="15"/>
                <w:szCs w:val="15"/>
                <w:rtl/>
              </w:rPr>
              <w:t> </w:t>
            </w:r>
          </w:p>
        </w:tc>
        <w:tc>
          <w:tcPr>
            <w:tcW w:w="683" w:type="pct"/>
            <w:shd w:val="clear" w:color="auto" w:fill="EEF6F7"/>
            <w:vAlign w:val="center"/>
            <w:hideMark/>
          </w:tcPr>
          <w:p w14:paraId="401C59A4" w14:textId="77777777" w:rsidR="007C4395" w:rsidRPr="00B45160" w:rsidRDefault="007C4395" w:rsidP="00B45160">
            <w:pPr>
              <w:pStyle w:val="71B0"/>
              <w:rPr>
                <w:rFonts w:eastAsia="Times New Roman"/>
                <w:sz w:val="15"/>
                <w:szCs w:val="15"/>
                <w:rtl/>
              </w:rPr>
            </w:pPr>
            <w:r w:rsidRPr="00B45160">
              <w:rPr>
                <w:rFonts w:eastAsia="Times New Roman" w:hint="cs"/>
                <w:sz w:val="15"/>
                <w:szCs w:val="15"/>
                <w:rtl/>
              </w:rPr>
              <w:t> </w:t>
            </w:r>
          </w:p>
        </w:tc>
        <w:tc>
          <w:tcPr>
            <w:tcW w:w="681" w:type="pct"/>
            <w:shd w:val="clear" w:color="auto" w:fill="EEF6F7"/>
            <w:vAlign w:val="center"/>
            <w:hideMark/>
          </w:tcPr>
          <w:p w14:paraId="1AA7CAE3" w14:textId="77777777" w:rsidR="007C4395" w:rsidRPr="00B45160" w:rsidRDefault="007C4395" w:rsidP="00B45160">
            <w:pPr>
              <w:pStyle w:val="71B0"/>
              <w:rPr>
                <w:rFonts w:eastAsia="Times New Roman"/>
                <w:sz w:val="15"/>
                <w:szCs w:val="15"/>
                <w:rtl/>
              </w:rPr>
            </w:pPr>
            <w:r w:rsidRPr="00B45160">
              <w:rPr>
                <w:rFonts w:eastAsia="Times New Roman" w:hint="cs"/>
                <w:sz w:val="15"/>
                <w:szCs w:val="15"/>
                <w:rtl/>
              </w:rPr>
              <w:t> </w:t>
            </w:r>
          </w:p>
        </w:tc>
        <w:tc>
          <w:tcPr>
            <w:tcW w:w="660" w:type="pct"/>
            <w:shd w:val="clear" w:color="auto" w:fill="EEF6F7"/>
            <w:vAlign w:val="center"/>
            <w:hideMark/>
          </w:tcPr>
          <w:p w14:paraId="321F25EE" w14:textId="77777777" w:rsidR="007C4395" w:rsidRPr="00B45160" w:rsidRDefault="007C4395" w:rsidP="00B45160">
            <w:pPr>
              <w:pStyle w:val="71B0"/>
              <w:rPr>
                <w:rFonts w:eastAsia="Times New Roman"/>
                <w:sz w:val="15"/>
                <w:szCs w:val="15"/>
                <w:rtl/>
              </w:rPr>
            </w:pPr>
            <w:r w:rsidRPr="00B45160">
              <w:rPr>
                <w:rFonts w:eastAsia="Times New Roman" w:hint="cs"/>
                <w:sz w:val="15"/>
                <w:szCs w:val="15"/>
                <w:rtl/>
              </w:rPr>
              <w:t> </w:t>
            </w:r>
          </w:p>
        </w:tc>
      </w:tr>
      <w:tr w:rsidR="00BB2A32" w:rsidRPr="00B45160" w14:paraId="6B2EC7D8" w14:textId="77777777" w:rsidTr="009429B3">
        <w:trPr>
          <w:trHeight w:val="340"/>
        </w:trPr>
        <w:tc>
          <w:tcPr>
            <w:tcW w:w="1610" w:type="pct"/>
            <w:shd w:val="clear" w:color="auto" w:fill="DDEAEE"/>
            <w:vAlign w:val="center"/>
            <w:hideMark/>
          </w:tcPr>
          <w:p w14:paraId="2238069B" w14:textId="77777777" w:rsidR="007C4395" w:rsidRPr="00B45160" w:rsidRDefault="007C4395" w:rsidP="00B45160">
            <w:pPr>
              <w:pStyle w:val="71R"/>
              <w:spacing w:line="240" w:lineRule="auto"/>
              <w:rPr>
                <w:sz w:val="15"/>
                <w:szCs w:val="15"/>
                <w:rtl/>
              </w:rPr>
            </w:pPr>
            <w:r w:rsidRPr="00B45160">
              <w:rPr>
                <w:rFonts w:hint="cs"/>
                <w:sz w:val="15"/>
                <w:szCs w:val="15"/>
                <w:rtl/>
              </w:rPr>
              <w:t>הכנסות מתקציב</w:t>
            </w:r>
          </w:p>
        </w:tc>
        <w:tc>
          <w:tcPr>
            <w:tcW w:w="660" w:type="pct"/>
            <w:shd w:val="clear" w:color="auto" w:fill="DDEAEE"/>
            <w:vAlign w:val="center"/>
            <w:hideMark/>
          </w:tcPr>
          <w:p w14:paraId="5A6225D3" w14:textId="77777777" w:rsidR="007C4395" w:rsidRPr="00B45160" w:rsidRDefault="007C4395" w:rsidP="00B45160">
            <w:pPr>
              <w:pStyle w:val="71R"/>
              <w:rPr>
                <w:sz w:val="15"/>
                <w:szCs w:val="15"/>
                <w:rtl/>
              </w:rPr>
            </w:pPr>
            <w:r w:rsidRPr="00B45160">
              <w:rPr>
                <w:rFonts w:hint="cs"/>
                <w:sz w:val="15"/>
                <w:szCs w:val="15"/>
                <w:rtl/>
              </w:rPr>
              <w:t>4,825</w:t>
            </w:r>
          </w:p>
        </w:tc>
        <w:tc>
          <w:tcPr>
            <w:tcW w:w="706" w:type="pct"/>
            <w:shd w:val="clear" w:color="auto" w:fill="DDEAEE"/>
            <w:vAlign w:val="center"/>
            <w:hideMark/>
          </w:tcPr>
          <w:p w14:paraId="0251EE5E" w14:textId="77777777" w:rsidR="007C4395" w:rsidRPr="00B45160" w:rsidRDefault="007C4395" w:rsidP="00B45160">
            <w:pPr>
              <w:pStyle w:val="71R"/>
              <w:rPr>
                <w:sz w:val="15"/>
                <w:szCs w:val="15"/>
                <w:rtl/>
              </w:rPr>
            </w:pPr>
            <w:r w:rsidRPr="00B45160">
              <w:rPr>
                <w:rFonts w:hint="cs"/>
                <w:sz w:val="15"/>
                <w:szCs w:val="15"/>
                <w:rtl/>
              </w:rPr>
              <w:t>51,164</w:t>
            </w:r>
          </w:p>
        </w:tc>
        <w:tc>
          <w:tcPr>
            <w:tcW w:w="683" w:type="pct"/>
            <w:shd w:val="clear" w:color="auto" w:fill="DDEAEE"/>
            <w:vAlign w:val="center"/>
            <w:hideMark/>
          </w:tcPr>
          <w:p w14:paraId="1C32300B" w14:textId="77777777" w:rsidR="007C4395" w:rsidRPr="00B45160" w:rsidRDefault="007C4395" w:rsidP="00B45160">
            <w:pPr>
              <w:pStyle w:val="71R"/>
              <w:rPr>
                <w:sz w:val="15"/>
                <w:szCs w:val="15"/>
                <w:rtl/>
              </w:rPr>
            </w:pPr>
            <w:r w:rsidRPr="00B45160">
              <w:rPr>
                <w:rFonts w:hint="cs"/>
                <w:sz w:val="15"/>
                <w:szCs w:val="15"/>
                <w:rtl/>
              </w:rPr>
              <w:t>1,569</w:t>
            </w:r>
          </w:p>
        </w:tc>
        <w:tc>
          <w:tcPr>
            <w:tcW w:w="681" w:type="pct"/>
            <w:shd w:val="clear" w:color="auto" w:fill="DDEAEE"/>
            <w:vAlign w:val="center"/>
            <w:hideMark/>
          </w:tcPr>
          <w:p w14:paraId="4C69C9B3" w14:textId="77777777" w:rsidR="007C4395" w:rsidRPr="00B45160" w:rsidRDefault="007C4395" w:rsidP="00B45160">
            <w:pPr>
              <w:pStyle w:val="71R"/>
              <w:rPr>
                <w:sz w:val="15"/>
                <w:szCs w:val="15"/>
                <w:rtl/>
              </w:rPr>
            </w:pPr>
            <w:r w:rsidRPr="00B45160">
              <w:rPr>
                <w:rFonts w:hint="cs"/>
                <w:sz w:val="15"/>
                <w:szCs w:val="15"/>
                <w:rtl/>
              </w:rPr>
              <w:t>1,573</w:t>
            </w:r>
          </w:p>
        </w:tc>
        <w:tc>
          <w:tcPr>
            <w:tcW w:w="660" w:type="pct"/>
            <w:shd w:val="clear" w:color="auto" w:fill="DDEAEE"/>
            <w:vAlign w:val="center"/>
            <w:hideMark/>
          </w:tcPr>
          <w:p w14:paraId="116BAF3F" w14:textId="77777777" w:rsidR="007C4395" w:rsidRPr="00B45160" w:rsidRDefault="007C4395" w:rsidP="00B45160">
            <w:pPr>
              <w:pStyle w:val="71R"/>
              <w:rPr>
                <w:sz w:val="15"/>
                <w:szCs w:val="15"/>
                <w:rtl/>
              </w:rPr>
            </w:pPr>
            <w:r w:rsidRPr="00B45160">
              <w:rPr>
                <w:rFonts w:hint="cs"/>
                <w:sz w:val="15"/>
                <w:szCs w:val="15"/>
                <w:rtl/>
              </w:rPr>
              <w:t>9,733</w:t>
            </w:r>
          </w:p>
        </w:tc>
      </w:tr>
      <w:tr w:rsidR="00BB2A32" w:rsidRPr="00B45160" w14:paraId="3BC0E34D" w14:textId="77777777" w:rsidTr="009429B3">
        <w:trPr>
          <w:trHeight w:val="340"/>
        </w:trPr>
        <w:tc>
          <w:tcPr>
            <w:tcW w:w="1610" w:type="pct"/>
            <w:shd w:val="clear" w:color="auto" w:fill="EEF6F7"/>
            <w:vAlign w:val="center"/>
            <w:hideMark/>
          </w:tcPr>
          <w:p w14:paraId="7CB5A000" w14:textId="77777777" w:rsidR="007C4395" w:rsidRPr="00B45160" w:rsidRDefault="007C4395" w:rsidP="00B45160">
            <w:pPr>
              <w:pStyle w:val="71R"/>
              <w:spacing w:line="240" w:lineRule="auto"/>
              <w:rPr>
                <w:sz w:val="15"/>
                <w:szCs w:val="15"/>
                <w:rtl/>
              </w:rPr>
            </w:pPr>
            <w:r w:rsidRPr="00B45160">
              <w:rPr>
                <w:rFonts w:hint="cs"/>
                <w:sz w:val="15"/>
                <w:szCs w:val="15"/>
                <w:rtl/>
              </w:rPr>
              <w:t>הכנסות מהעברות</w:t>
            </w:r>
          </w:p>
        </w:tc>
        <w:tc>
          <w:tcPr>
            <w:tcW w:w="660" w:type="pct"/>
            <w:shd w:val="clear" w:color="auto" w:fill="EEF6F7"/>
            <w:vAlign w:val="center"/>
            <w:hideMark/>
          </w:tcPr>
          <w:p w14:paraId="5EC82DFD" w14:textId="77777777" w:rsidR="007C4395" w:rsidRPr="00B45160" w:rsidRDefault="007C4395" w:rsidP="00B45160">
            <w:pPr>
              <w:pStyle w:val="71R"/>
              <w:rPr>
                <w:sz w:val="15"/>
                <w:szCs w:val="15"/>
                <w:rtl/>
              </w:rPr>
            </w:pPr>
            <w:r w:rsidRPr="00B45160">
              <w:rPr>
                <w:rFonts w:hint="cs"/>
                <w:sz w:val="15"/>
                <w:szCs w:val="15"/>
                <w:rtl/>
              </w:rPr>
              <w:t> 0</w:t>
            </w:r>
          </w:p>
        </w:tc>
        <w:tc>
          <w:tcPr>
            <w:tcW w:w="706" w:type="pct"/>
            <w:shd w:val="clear" w:color="auto" w:fill="EEF6F7"/>
            <w:vAlign w:val="center"/>
            <w:hideMark/>
          </w:tcPr>
          <w:p w14:paraId="409924D7" w14:textId="77777777" w:rsidR="007C4395" w:rsidRPr="00B45160" w:rsidRDefault="007C4395" w:rsidP="00B45160">
            <w:pPr>
              <w:pStyle w:val="71R"/>
              <w:rPr>
                <w:sz w:val="15"/>
                <w:szCs w:val="15"/>
                <w:rtl/>
              </w:rPr>
            </w:pPr>
            <w:r w:rsidRPr="00B45160">
              <w:rPr>
                <w:rFonts w:hint="cs"/>
                <w:sz w:val="15"/>
                <w:szCs w:val="15"/>
                <w:rtl/>
              </w:rPr>
              <w:t>595</w:t>
            </w:r>
          </w:p>
        </w:tc>
        <w:tc>
          <w:tcPr>
            <w:tcW w:w="683" w:type="pct"/>
            <w:shd w:val="clear" w:color="auto" w:fill="EEF6F7"/>
            <w:vAlign w:val="center"/>
            <w:hideMark/>
          </w:tcPr>
          <w:p w14:paraId="4E273574" w14:textId="77777777" w:rsidR="007C4395" w:rsidRPr="00B45160" w:rsidRDefault="007C4395" w:rsidP="00B45160">
            <w:pPr>
              <w:pStyle w:val="71R"/>
              <w:rPr>
                <w:sz w:val="15"/>
                <w:szCs w:val="15"/>
                <w:rtl/>
              </w:rPr>
            </w:pPr>
            <w:r w:rsidRPr="00B45160">
              <w:rPr>
                <w:rFonts w:hint="cs"/>
                <w:sz w:val="15"/>
                <w:szCs w:val="15"/>
                <w:rtl/>
              </w:rPr>
              <w:t>55</w:t>
            </w:r>
          </w:p>
        </w:tc>
        <w:tc>
          <w:tcPr>
            <w:tcW w:w="681" w:type="pct"/>
            <w:shd w:val="clear" w:color="auto" w:fill="EEF6F7"/>
            <w:vAlign w:val="center"/>
            <w:hideMark/>
          </w:tcPr>
          <w:p w14:paraId="513A8BD1" w14:textId="77777777" w:rsidR="007C4395" w:rsidRPr="00B45160" w:rsidRDefault="007C4395" w:rsidP="00B45160">
            <w:pPr>
              <w:pStyle w:val="71R"/>
              <w:rPr>
                <w:sz w:val="15"/>
                <w:szCs w:val="15"/>
                <w:rtl/>
              </w:rPr>
            </w:pPr>
            <w:r w:rsidRPr="00B45160">
              <w:rPr>
                <w:rFonts w:hint="cs"/>
                <w:sz w:val="15"/>
                <w:szCs w:val="15"/>
                <w:rtl/>
              </w:rPr>
              <w:t>119</w:t>
            </w:r>
          </w:p>
        </w:tc>
        <w:tc>
          <w:tcPr>
            <w:tcW w:w="660" w:type="pct"/>
            <w:shd w:val="clear" w:color="auto" w:fill="EEF6F7"/>
            <w:vAlign w:val="center"/>
            <w:hideMark/>
          </w:tcPr>
          <w:p w14:paraId="4E12A140" w14:textId="77777777" w:rsidR="007C4395" w:rsidRPr="00B45160" w:rsidRDefault="007C4395" w:rsidP="00B45160">
            <w:pPr>
              <w:pStyle w:val="71R"/>
              <w:rPr>
                <w:sz w:val="15"/>
                <w:szCs w:val="15"/>
                <w:rtl/>
              </w:rPr>
            </w:pPr>
            <w:r w:rsidRPr="00B45160">
              <w:rPr>
                <w:rFonts w:hint="cs"/>
                <w:sz w:val="15"/>
                <w:szCs w:val="15"/>
                <w:rtl/>
              </w:rPr>
              <w:t> 0</w:t>
            </w:r>
          </w:p>
        </w:tc>
      </w:tr>
      <w:tr w:rsidR="00BB2A32" w:rsidRPr="00B45160" w14:paraId="528C60BC" w14:textId="77777777" w:rsidTr="009429B3">
        <w:trPr>
          <w:trHeight w:val="340"/>
        </w:trPr>
        <w:tc>
          <w:tcPr>
            <w:tcW w:w="1610" w:type="pct"/>
            <w:shd w:val="clear" w:color="auto" w:fill="DDEAEE"/>
            <w:vAlign w:val="center"/>
            <w:hideMark/>
          </w:tcPr>
          <w:p w14:paraId="71DCCCA6" w14:textId="77777777" w:rsidR="007C4395" w:rsidRPr="00B45160" w:rsidRDefault="007C4395" w:rsidP="00B45160">
            <w:pPr>
              <w:pStyle w:val="71R"/>
              <w:spacing w:line="240" w:lineRule="auto"/>
              <w:rPr>
                <w:sz w:val="15"/>
                <w:szCs w:val="15"/>
                <w:rtl/>
              </w:rPr>
            </w:pPr>
            <w:r w:rsidRPr="00B45160">
              <w:rPr>
                <w:rFonts w:hint="cs"/>
                <w:sz w:val="15"/>
                <w:szCs w:val="15"/>
                <w:rtl/>
              </w:rPr>
              <w:t>הכנסות אחרות</w:t>
            </w:r>
          </w:p>
        </w:tc>
        <w:tc>
          <w:tcPr>
            <w:tcW w:w="660" w:type="pct"/>
            <w:shd w:val="clear" w:color="auto" w:fill="DDEAEE"/>
            <w:vAlign w:val="center"/>
            <w:hideMark/>
          </w:tcPr>
          <w:p w14:paraId="3EA3E7AD" w14:textId="77777777" w:rsidR="007C4395" w:rsidRPr="00B45160" w:rsidRDefault="007C4395" w:rsidP="00B45160">
            <w:pPr>
              <w:pStyle w:val="71R"/>
              <w:rPr>
                <w:sz w:val="15"/>
                <w:szCs w:val="15"/>
                <w:rtl/>
              </w:rPr>
            </w:pPr>
            <w:r w:rsidRPr="00B45160">
              <w:rPr>
                <w:rFonts w:hint="cs"/>
                <w:sz w:val="15"/>
                <w:szCs w:val="15"/>
                <w:rtl/>
              </w:rPr>
              <w:t>57</w:t>
            </w:r>
          </w:p>
        </w:tc>
        <w:tc>
          <w:tcPr>
            <w:tcW w:w="706" w:type="pct"/>
            <w:shd w:val="clear" w:color="auto" w:fill="DDEAEE"/>
            <w:vAlign w:val="center"/>
            <w:hideMark/>
          </w:tcPr>
          <w:p w14:paraId="30FBBCED" w14:textId="77777777" w:rsidR="007C4395" w:rsidRPr="00B45160" w:rsidRDefault="007C4395" w:rsidP="00B45160">
            <w:pPr>
              <w:pStyle w:val="71R"/>
              <w:rPr>
                <w:sz w:val="15"/>
                <w:szCs w:val="15"/>
                <w:rtl/>
              </w:rPr>
            </w:pPr>
            <w:r w:rsidRPr="00B45160">
              <w:rPr>
                <w:rFonts w:hint="cs"/>
                <w:sz w:val="15"/>
                <w:szCs w:val="15"/>
                <w:rtl/>
              </w:rPr>
              <w:t>25,624</w:t>
            </w:r>
          </w:p>
        </w:tc>
        <w:tc>
          <w:tcPr>
            <w:tcW w:w="683" w:type="pct"/>
            <w:shd w:val="clear" w:color="auto" w:fill="DDEAEE"/>
            <w:vAlign w:val="center"/>
            <w:hideMark/>
          </w:tcPr>
          <w:p w14:paraId="448BAB36" w14:textId="77777777" w:rsidR="007C4395" w:rsidRPr="00B45160" w:rsidRDefault="007C4395" w:rsidP="00B45160">
            <w:pPr>
              <w:pStyle w:val="71R"/>
              <w:rPr>
                <w:sz w:val="15"/>
                <w:szCs w:val="15"/>
                <w:rtl/>
              </w:rPr>
            </w:pPr>
            <w:r w:rsidRPr="00B45160">
              <w:rPr>
                <w:rFonts w:hint="cs"/>
                <w:sz w:val="15"/>
                <w:szCs w:val="15"/>
                <w:rtl/>
              </w:rPr>
              <w:t>25</w:t>
            </w:r>
          </w:p>
        </w:tc>
        <w:tc>
          <w:tcPr>
            <w:tcW w:w="681" w:type="pct"/>
            <w:shd w:val="clear" w:color="auto" w:fill="DDEAEE"/>
            <w:vAlign w:val="center"/>
            <w:hideMark/>
          </w:tcPr>
          <w:p w14:paraId="3D340BA9" w14:textId="77777777" w:rsidR="007C4395" w:rsidRPr="00B45160" w:rsidRDefault="007C4395" w:rsidP="00B45160">
            <w:pPr>
              <w:pStyle w:val="71R"/>
              <w:rPr>
                <w:sz w:val="15"/>
                <w:szCs w:val="15"/>
                <w:rtl/>
              </w:rPr>
            </w:pPr>
            <w:r w:rsidRPr="00B45160">
              <w:rPr>
                <w:rFonts w:hint="cs"/>
                <w:sz w:val="15"/>
                <w:szCs w:val="15"/>
                <w:rtl/>
              </w:rPr>
              <w:t>660</w:t>
            </w:r>
          </w:p>
        </w:tc>
        <w:tc>
          <w:tcPr>
            <w:tcW w:w="660" w:type="pct"/>
            <w:shd w:val="clear" w:color="auto" w:fill="DDEAEE"/>
            <w:vAlign w:val="center"/>
            <w:hideMark/>
          </w:tcPr>
          <w:p w14:paraId="10B03275" w14:textId="77777777" w:rsidR="007C4395" w:rsidRPr="00B45160" w:rsidRDefault="007C4395" w:rsidP="00B45160">
            <w:pPr>
              <w:pStyle w:val="71R"/>
              <w:rPr>
                <w:sz w:val="15"/>
                <w:szCs w:val="15"/>
                <w:rtl/>
              </w:rPr>
            </w:pPr>
            <w:r w:rsidRPr="00B45160">
              <w:rPr>
                <w:rFonts w:hint="cs"/>
                <w:sz w:val="15"/>
                <w:szCs w:val="15"/>
                <w:rtl/>
              </w:rPr>
              <w:t> 0</w:t>
            </w:r>
          </w:p>
        </w:tc>
      </w:tr>
      <w:tr w:rsidR="00BB2A32" w:rsidRPr="00B45160" w14:paraId="23C76E9F" w14:textId="77777777" w:rsidTr="009429B3">
        <w:trPr>
          <w:trHeight w:val="301"/>
        </w:trPr>
        <w:tc>
          <w:tcPr>
            <w:tcW w:w="1610" w:type="pct"/>
            <w:shd w:val="clear" w:color="auto" w:fill="EEF6F7"/>
            <w:vAlign w:val="center"/>
            <w:hideMark/>
          </w:tcPr>
          <w:p w14:paraId="6E67E8E8" w14:textId="77777777" w:rsidR="007C4395" w:rsidRPr="00B45160" w:rsidRDefault="007C4395" w:rsidP="00B45160">
            <w:pPr>
              <w:pStyle w:val="71B0"/>
              <w:spacing w:line="240" w:lineRule="auto"/>
              <w:rPr>
                <w:sz w:val="15"/>
                <w:szCs w:val="15"/>
                <w:rtl/>
              </w:rPr>
            </w:pPr>
            <w:r w:rsidRPr="00B45160">
              <w:rPr>
                <w:rFonts w:hint="cs"/>
                <w:sz w:val="15"/>
                <w:szCs w:val="15"/>
                <w:rtl/>
              </w:rPr>
              <w:t>סך הכול הכנסות מעסקאות שאינן חליפין</w:t>
            </w:r>
          </w:p>
        </w:tc>
        <w:tc>
          <w:tcPr>
            <w:tcW w:w="660" w:type="pct"/>
            <w:shd w:val="clear" w:color="auto" w:fill="EEF6F7"/>
            <w:vAlign w:val="center"/>
            <w:hideMark/>
          </w:tcPr>
          <w:p w14:paraId="235EF99B" w14:textId="77777777" w:rsidR="007C4395" w:rsidRPr="00B45160" w:rsidRDefault="007C4395" w:rsidP="00B45160">
            <w:pPr>
              <w:pStyle w:val="71B0"/>
              <w:rPr>
                <w:sz w:val="15"/>
                <w:szCs w:val="15"/>
                <w:rtl/>
              </w:rPr>
            </w:pPr>
            <w:r w:rsidRPr="00B45160">
              <w:rPr>
                <w:rFonts w:hint="cs"/>
                <w:sz w:val="15"/>
                <w:szCs w:val="15"/>
                <w:rtl/>
              </w:rPr>
              <w:t>4,882</w:t>
            </w:r>
          </w:p>
        </w:tc>
        <w:tc>
          <w:tcPr>
            <w:tcW w:w="706" w:type="pct"/>
            <w:shd w:val="clear" w:color="auto" w:fill="EEF6F7"/>
            <w:vAlign w:val="center"/>
            <w:hideMark/>
          </w:tcPr>
          <w:p w14:paraId="0D9A6363" w14:textId="77777777" w:rsidR="007C4395" w:rsidRPr="00B45160" w:rsidRDefault="007C4395" w:rsidP="00B45160">
            <w:pPr>
              <w:pStyle w:val="71B0"/>
              <w:rPr>
                <w:sz w:val="15"/>
                <w:szCs w:val="15"/>
                <w:rtl/>
              </w:rPr>
            </w:pPr>
            <w:r w:rsidRPr="00B45160">
              <w:rPr>
                <w:rFonts w:hint="cs"/>
                <w:sz w:val="15"/>
                <w:szCs w:val="15"/>
                <w:rtl/>
              </w:rPr>
              <w:t>77,383</w:t>
            </w:r>
          </w:p>
        </w:tc>
        <w:tc>
          <w:tcPr>
            <w:tcW w:w="683" w:type="pct"/>
            <w:shd w:val="clear" w:color="auto" w:fill="EEF6F7"/>
            <w:vAlign w:val="center"/>
            <w:hideMark/>
          </w:tcPr>
          <w:p w14:paraId="76E389A7" w14:textId="77777777" w:rsidR="007C4395" w:rsidRPr="00B45160" w:rsidRDefault="007C4395" w:rsidP="00B45160">
            <w:pPr>
              <w:pStyle w:val="71B0"/>
              <w:rPr>
                <w:sz w:val="15"/>
                <w:szCs w:val="15"/>
                <w:rtl/>
              </w:rPr>
            </w:pPr>
            <w:r w:rsidRPr="00B45160">
              <w:rPr>
                <w:rFonts w:hint="cs"/>
                <w:sz w:val="15"/>
                <w:szCs w:val="15"/>
                <w:rtl/>
              </w:rPr>
              <w:t>1,649</w:t>
            </w:r>
          </w:p>
        </w:tc>
        <w:tc>
          <w:tcPr>
            <w:tcW w:w="681" w:type="pct"/>
            <w:shd w:val="clear" w:color="auto" w:fill="EEF6F7"/>
            <w:vAlign w:val="center"/>
            <w:hideMark/>
          </w:tcPr>
          <w:p w14:paraId="1224D0D2" w14:textId="77777777" w:rsidR="007C4395" w:rsidRPr="00B45160" w:rsidRDefault="007C4395" w:rsidP="00B45160">
            <w:pPr>
              <w:pStyle w:val="71B0"/>
              <w:rPr>
                <w:sz w:val="15"/>
                <w:szCs w:val="15"/>
                <w:rtl/>
              </w:rPr>
            </w:pPr>
            <w:r w:rsidRPr="00B45160">
              <w:rPr>
                <w:rFonts w:hint="cs"/>
                <w:sz w:val="15"/>
                <w:szCs w:val="15"/>
                <w:rtl/>
              </w:rPr>
              <w:t>2,352</w:t>
            </w:r>
          </w:p>
        </w:tc>
        <w:tc>
          <w:tcPr>
            <w:tcW w:w="660" w:type="pct"/>
            <w:shd w:val="clear" w:color="auto" w:fill="EEF6F7"/>
            <w:vAlign w:val="center"/>
            <w:hideMark/>
          </w:tcPr>
          <w:p w14:paraId="296BB33A" w14:textId="77777777" w:rsidR="007C4395" w:rsidRPr="00B45160" w:rsidRDefault="007C4395" w:rsidP="00B45160">
            <w:pPr>
              <w:pStyle w:val="71B0"/>
              <w:rPr>
                <w:sz w:val="15"/>
                <w:szCs w:val="15"/>
                <w:rtl/>
              </w:rPr>
            </w:pPr>
            <w:r w:rsidRPr="00B45160">
              <w:rPr>
                <w:rFonts w:hint="cs"/>
                <w:sz w:val="15"/>
                <w:szCs w:val="15"/>
                <w:rtl/>
              </w:rPr>
              <w:t>9,733</w:t>
            </w:r>
          </w:p>
        </w:tc>
      </w:tr>
      <w:tr w:rsidR="00BB2A32" w:rsidRPr="00B45160" w14:paraId="0B01C59D" w14:textId="77777777" w:rsidTr="009429B3">
        <w:trPr>
          <w:trHeight w:val="301"/>
        </w:trPr>
        <w:tc>
          <w:tcPr>
            <w:tcW w:w="1610" w:type="pct"/>
            <w:shd w:val="clear" w:color="auto" w:fill="DDEAEE"/>
            <w:vAlign w:val="center"/>
            <w:hideMark/>
          </w:tcPr>
          <w:p w14:paraId="34EB863B" w14:textId="77777777" w:rsidR="007C4395" w:rsidRPr="00B45160" w:rsidRDefault="007C4395" w:rsidP="00B45160">
            <w:pPr>
              <w:pStyle w:val="71B0"/>
              <w:spacing w:line="240" w:lineRule="auto"/>
              <w:rPr>
                <w:sz w:val="15"/>
                <w:szCs w:val="15"/>
                <w:rtl/>
              </w:rPr>
            </w:pPr>
            <w:r w:rsidRPr="00B45160">
              <w:rPr>
                <w:rFonts w:hint="cs"/>
                <w:sz w:val="15"/>
                <w:szCs w:val="15"/>
                <w:rtl/>
              </w:rPr>
              <w:t>סך הכול הכנסות מעסקאות חליפין</w:t>
            </w:r>
          </w:p>
        </w:tc>
        <w:tc>
          <w:tcPr>
            <w:tcW w:w="660" w:type="pct"/>
            <w:shd w:val="clear" w:color="auto" w:fill="DDEAEE"/>
            <w:vAlign w:val="center"/>
            <w:hideMark/>
          </w:tcPr>
          <w:p w14:paraId="4A894F50" w14:textId="77777777" w:rsidR="007C4395" w:rsidRPr="00B45160" w:rsidRDefault="007C4395" w:rsidP="00B45160">
            <w:pPr>
              <w:pStyle w:val="71B0"/>
              <w:rPr>
                <w:sz w:val="15"/>
                <w:szCs w:val="15"/>
                <w:rtl/>
              </w:rPr>
            </w:pPr>
            <w:r w:rsidRPr="00B45160">
              <w:rPr>
                <w:rFonts w:hint="cs"/>
                <w:sz w:val="15"/>
                <w:szCs w:val="15"/>
                <w:rtl/>
              </w:rPr>
              <w:t>1,335</w:t>
            </w:r>
          </w:p>
        </w:tc>
        <w:tc>
          <w:tcPr>
            <w:tcW w:w="706" w:type="pct"/>
            <w:shd w:val="clear" w:color="auto" w:fill="DDEAEE"/>
            <w:vAlign w:val="center"/>
            <w:hideMark/>
          </w:tcPr>
          <w:p w14:paraId="10B48DA7" w14:textId="77777777" w:rsidR="007C4395" w:rsidRPr="00B45160" w:rsidRDefault="007C4395" w:rsidP="00B45160">
            <w:pPr>
              <w:pStyle w:val="71B0"/>
              <w:rPr>
                <w:sz w:val="15"/>
                <w:szCs w:val="15"/>
                <w:rtl/>
              </w:rPr>
            </w:pPr>
            <w:r w:rsidRPr="00B45160">
              <w:rPr>
                <w:rFonts w:hint="cs"/>
                <w:sz w:val="15"/>
                <w:szCs w:val="15"/>
                <w:rtl/>
              </w:rPr>
              <w:t>712</w:t>
            </w:r>
          </w:p>
        </w:tc>
        <w:tc>
          <w:tcPr>
            <w:tcW w:w="683" w:type="pct"/>
            <w:shd w:val="clear" w:color="auto" w:fill="DDEAEE"/>
            <w:vAlign w:val="center"/>
            <w:hideMark/>
          </w:tcPr>
          <w:p w14:paraId="79AAEE1F" w14:textId="77777777" w:rsidR="007C4395" w:rsidRPr="00B45160" w:rsidRDefault="007C4395" w:rsidP="00B45160">
            <w:pPr>
              <w:pStyle w:val="71B0"/>
              <w:rPr>
                <w:sz w:val="15"/>
                <w:szCs w:val="15"/>
                <w:rtl/>
              </w:rPr>
            </w:pPr>
            <w:r w:rsidRPr="00B45160">
              <w:rPr>
                <w:rFonts w:hint="cs"/>
                <w:sz w:val="15"/>
                <w:szCs w:val="15"/>
                <w:rtl/>
              </w:rPr>
              <w:t>88</w:t>
            </w:r>
          </w:p>
        </w:tc>
        <w:tc>
          <w:tcPr>
            <w:tcW w:w="681" w:type="pct"/>
            <w:shd w:val="clear" w:color="auto" w:fill="DDEAEE"/>
            <w:vAlign w:val="center"/>
            <w:hideMark/>
          </w:tcPr>
          <w:p w14:paraId="2D7E0CC8" w14:textId="77777777" w:rsidR="007C4395" w:rsidRPr="00B45160" w:rsidRDefault="007C4395" w:rsidP="00B45160">
            <w:pPr>
              <w:pStyle w:val="71B0"/>
              <w:rPr>
                <w:sz w:val="15"/>
                <w:szCs w:val="15"/>
                <w:rtl/>
              </w:rPr>
            </w:pPr>
            <w:r w:rsidRPr="00B45160">
              <w:rPr>
                <w:rFonts w:hint="cs"/>
                <w:sz w:val="15"/>
                <w:szCs w:val="15"/>
                <w:rtl/>
              </w:rPr>
              <w:t>5</w:t>
            </w:r>
          </w:p>
        </w:tc>
        <w:tc>
          <w:tcPr>
            <w:tcW w:w="660" w:type="pct"/>
            <w:shd w:val="clear" w:color="auto" w:fill="DDEAEE"/>
            <w:vAlign w:val="center"/>
            <w:hideMark/>
          </w:tcPr>
          <w:p w14:paraId="57BD0F53" w14:textId="77777777" w:rsidR="007C4395" w:rsidRPr="00B45160" w:rsidRDefault="007C4395" w:rsidP="00B45160">
            <w:pPr>
              <w:pStyle w:val="71B0"/>
              <w:rPr>
                <w:sz w:val="15"/>
                <w:szCs w:val="15"/>
                <w:rtl/>
              </w:rPr>
            </w:pPr>
            <w:r w:rsidRPr="00B45160">
              <w:rPr>
                <w:rFonts w:hint="cs"/>
                <w:sz w:val="15"/>
                <w:szCs w:val="15"/>
                <w:rtl/>
              </w:rPr>
              <w:t>0</w:t>
            </w:r>
          </w:p>
        </w:tc>
      </w:tr>
      <w:tr w:rsidR="00BB2A32" w:rsidRPr="00B45160" w14:paraId="2F71BE66" w14:textId="77777777" w:rsidTr="009429B3">
        <w:trPr>
          <w:trHeight w:val="340"/>
        </w:trPr>
        <w:tc>
          <w:tcPr>
            <w:tcW w:w="1610" w:type="pct"/>
            <w:shd w:val="clear" w:color="auto" w:fill="EEF6F7"/>
            <w:vAlign w:val="center"/>
          </w:tcPr>
          <w:p w14:paraId="5E06BF12" w14:textId="77777777" w:rsidR="007C4395" w:rsidRPr="00B45160" w:rsidRDefault="007C4395" w:rsidP="00B45160">
            <w:pPr>
              <w:pStyle w:val="71B0"/>
              <w:spacing w:line="240" w:lineRule="auto"/>
              <w:rPr>
                <w:sz w:val="15"/>
                <w:szCs w:val="15"/>
                <w:rtl/>
              </w:rPr>
            </w:pPr>
            <w:r w:rsidRPr="00B45160">
              <w:rPr>
                <w:rFonts w:hint="cs"/>
                <w:sz w:val="15"/>
                <w:szCs w:val="15"/>
                <w:rtl/>
              </w:rPr>
              <w:t>הכנסות אחרות</w:t>
            </w:r>
          </w:p>
        </w:tc>
        <w:tc>
          <w:tcPr>
            <w:tcW w:w="660" w:type="pct"/>
            <w:shd w:val="clear" w:color="auto" w:fill="EEF6F7"/>
            <w:vAlign w:val="center"/>
          </w:tcPr>
          <w:p w14:paraId="43DD07BB" w14:textId="77777777" w:rsidR="007C4395" w:rsidRPr="00B45160" w:rsidRDefault="007C4395" w:rsidP="00B45160">
            <w:pPr>
              <w:pStyle w:val="71B0"/>
              <w:rPr>
                <w:sz w:val="15"/>
                <w:szCs w:val="15"/>
                <w:rtl/>
              </w:rPr>
            </w:pPr>
            <w:r w:rsidRPr="00B45160">
              <w:rPr>
                <w:rFonts w:hint="cs"/>
                <w:sz w:val="15"/>
                <w:szCs w:val="15"/>
                <w:rtl/>
              </w:rPr>
              <w:t>139</w:t>
            </w:r>
          </w:p>
        </w:tc>
        <w:tc>
          <w:tcPr>
            <w:tcW w:w="706" w:type="pct"/>
            <w:shd w:val="clear" w:color="auto" w:fill="EEF6F7"/>
            <w:vAlign w:val="center"/>
          </w:tcPr>
          <w:p w14:paraId="117E63E2" w14:textId="77777777" w:rsidR="007C4395" w:rsidRPr="00B45160" w:rsidRDefault="007C4395" w:rsidP="00B45160">
            <w:pPr>
              <w:pStyle w:val="71B0"/>
              <w:rPr>
                <w:sz w:val="15"/>
                <w:szCs w:val="15"/>
                <w:rtl/>
              </w:rPr>
            </w:pPr>
            <w:r w:rsidRPr="00B45160">
              <w:rPr>
                <w:rFonts w:hint="cs"/>
                <w:sz w:val="15"/>
                <w:szCs w:val="15"/>
                <w:rtl/>
              </w:rPr>
              <w:t>0</w:t>
            </w:r>
          </w:p>
        </w:tc>
        <w:tc>
          <w:tcPr>
            <w:tcW w:w="683" w:type="pct"/>
            <w:shd w:val="clear" w:color="auto" w:fill="EEF6F7"/>
            <w:vAlign w:val="center"/>
          </w:tcPr>
          <w:p w14:paraId="38CA8B80" w14:textId="77777777" w:rsidR="007C4395" w:rsidRPr="00B45160" w:rsidRDefault="007C4395" w:rsidP="00B45160">
            <w:pPr>
              <w:pStyle w:val="71B0"/>
              <w:rPr>
                <w:sz w:val="15"/>
                <w:szCs w:val="15"/>
                <w:rtl/>
              </w:rPr>
            </w:pPr>
            <w:r w:rsidRPr="00B45160">
              <w:rPr>
                <w:rFonts w:hint="cs"/>
                <w:sz w:val="15"/>
                <w:szCs w:val="15"/>
                <w:rtl/>
              </w:rPr>
              <w:t>0</w:t>
            </w:r>
          </w:p>
        </w:tc>
        <w:tc>
          <w:tcPr>
            <w:tcW w:w="681" w:type="pct"/>
            <w:shd w:val="clear" w:color="auto" w:fill="EEF6F7"/>
            <w:vAlign w:val="center"/>
          </w:tcPr>
          <w:p w14:paraId="4D568265" w14:textId="77777777" w:rsidR="007C4395" w:rsidRPr="00B45160" w:rsidRDefault="007C4395" w:rsidP="00B45160">
            <w:pPr>
              <w:pStyle w:val="71B0"/>
              <w:rPr>
                <w:sz w:val="15"/>
                <w:szCs w:val="15"/>
                <w:rtl/>
              </w:rPr>
            </w:pPr>
            <w:r w:rsidRPr="00B45160">
              <w:rPr>
                <w:rFonts w:hint="cs"/>
                <w:sz w:val="15"/>
                <w:szCs w:val="15"/>
                <w:rtl/>
              </w:rPr>
              <w:t>0</w:t>
            </w:r>
          </w:p>
        </w:tc>
        <w:tc>
          <w:tcPr>
            <w:tcW w:w="660" w:type="pct"/>
            <w:shd w:val="clear" w:color="auto" w:fill="EEF6F7"/>
            <w:vAlign w:val="center"/>
          </w:tcPr>
          <w:p w14:paraId="0AD52ED1" w14:textId="77777777" w:rsidR="007C4395" w:rsidRPr="00B45160" w:rsidRDefault="007C4395" w:rsidP="00B45160">
            <w:pPr>
              <w:pStyle w:val="71B0"/>
              <w:rPr>
                <w:sz w:val="15"/>
                <w:szCs w:val="15"/>
                <w:rtl/>
              </w:rPr>
            </w:pPr>
            <w:r w:rsidRPr="00B45160">
              <w:rPr>
                <w:rFonts w:hint="cs"/>
                <w:sz w:val="15"/>
                <w:szCs w:val="15"/>
                <w:rtl/>
              </w:rPr>
              <w:t>4</w:t>
            </w:r>
          </w:p>
        </w:tc>
      </w:tr>
      <w:tr w:rsidR="00BB2A32" w:rsidRPr="00B45160" w14:paraId="3255A48B" w14:textId="77777777" w:rsidTr="009429B3">
        <w:trPr>
          <w:trHeight w:val="340"/>
        </w:trPr>
        <w:tc>
          <w:tcPr>
            <w:tcW w:w="1610" w:type="pct"/>
            <w:shd w:val="clear" w:color="auto" w:fill="C8DCE4"/>
            <w:vAlign w:val="center"/>
            <w:hideMark/>
          </w:tcPr>
          <w:p w14:paraId="39A22AEB" w14:textId="77777777" w:rsidR="007C4395" w:rsidRPr="00B45160" w:rsidRDefault="007C4395" w:rsidP="00B45160">
            <w:pPr>
              <w:pStyle w:val="71B0"/>
              <w:spacing w:line="240" w:lineRule="auto"/>
              <w:rPr>
                <w:sz w:val="15"/>
                <w:szCs w:val="15"/>
                <w:rtl/>
              </w:rPr>
            </w:pPr>
            <w:r w:rsidRPr="00B45160">
              <w:rPr>
                <w:rFonts w:hint="cs"/>
                <w:sz w:val="15"/>
                <w:szCs w:val="15"/>
                <w:rtl/>
              </w:rPr>
              <w:t>סך הכול הכנסות</w:t>
            </w:r>
          </w:p>
        </w:tc>
        <w:tc>
          <w:tcPr>
            <w:tcW w:w="660" w:type="pct"/>
            <w:shd w:val="clear" w:color="auto" w:fill="C8DCE4"/>
            <w:vAlign w:val="center"/>
            <w:hideMark/>
          </w:tcPr>
          <w:p w14:paraId="1D554760" w14:textId="77777777" w:rsidR="007C4395" w:rsidRPr="00B45160" w:rsidRDefault="007C4395" w:rsidP="00B45160">
            <w:pPr>
              <w:pStyle w:val="71B0"/>
              <w:rPr>
                <w:sz w:val="15"/>
                <w:szCs w:val="15"/>
                <w:rtl/>
              </w:rPr>
            </w:pPr>
            <w:r w:rsidRPr="00B45160">
              <w:rPr>
                <w:rFonts w:hint="cs"/>
                <w:sz w:val="15"/>
                <w:szCs w:val="15"/>
                <w:rtl/>
              </w:rPr>
              <w:t>6,356</w:t>
            </w:r>
          </w:p>
        </w:tc>
        <w:tc>
          <w:tcPr>
            <w:tcW w:w="706" w:type="pct"/>
            <w:shd w:val="clear" w:color="auto" w:fill="C8DCE4"/>
            <w:vAlign w:val="center"/>
            <w:hideMark/>
          </w:tcPr>
          <w:p w14:paraId="6B9FE4B8" w14:textId="77777777" w:rsidR="007C4395" w:rsidRPr="00B45160" w:rsidRDefault="007C4395" w:rsidP="00B45160">
            <w:pPr>
              <w:pStyle w:val="71B0"/>
              <w:rPr>
                <w:sz w:val="15"/>
                <w:szCs w:val="15"/>
                <w:rtl/>
              </w:rPr>
            </w:pPr>
            <w:r w:rsidRPr="00B45160">
              <w:rPr>
                <w:rFonts w:hint="cs"/>
                <w:sz w:val="15"/>
                <w:szCs w:val="15"/>
                <w:rtl/>
              </w:rPr>
              <w:t>78,095</w:t>
            </w:r>
          </w:p>
        </w:tc>
        <w:tc>
          <w:tcPr>
            <w:tcW w:w="683" w:type="pct"/>
            <w:shd w:val="clear" w:color="auto" w:fill="C8DCE4"/>
            <w:vAlign w:val="center"/>
            <w:hideMark/>
          </w:tcPr>
          <w:p w14:paraId="7016658B" w14:textId="77777777" w:rsidR="007C4395" w:rsidRPr="00B45160" w:rsidRDefault="007C4395" w:rsidP="00B45160">
            <w:pPr>
              <w:pStyle w:val="71B0"/>
              <w:rPr>
                <w:sz w:val="15"/>
                <w:szCs w:val="15"/>
                <w:rtl/>
              </w:rPr>
            </w:pPr>
            <w:r w:rsidRPr="00B45160">
              <w:rPr>
                <w:rFonts w:hint="cs"/>
                <w:sz w:val="15"/>
                <w:szCs w:val="15"/>
                <w:rtl/>
              </w:rPr>
              <w:t>1,737</w:t>
            </w:r>
          </w:p>
        </w:tc>
        <w:tc>
          <w:tcPr>
            <w:tcW w:w="681" w:type="pct"/>
            <w:shd w:val="clear" w:color="auto" w:fill="C8DCE4"/>
            <w:vAlign w:val="center"/>
            <w:hideMark/>
          </w:tcPr>
          <w:p w14:paraId="26428BB2" w14:textId="77777777" w:rsidR="007C4395" w:rsidRPr="00B45160" w:rsidRDefault="007C4395" w:rsidP="00B45160">
            <w:pPr>
              <w:pStyle w:val="71B0"/>
              <w:rPr>
                <w:sz w:val="15"/>
                <w:szCs w:val="15"/>
                <w:rtl/>
              </w:rPr>
            </w:pPr>
            <w:r w:rsidRPr="00B45160">
              <w:rPr>
                <w:rFonts w:hint="cs"/>
                <w:sz w:val="15"/>
                <w:szCs w:val="15"/>
                <w:rtl/>
              </w:rPr>
              <w:t>2,357</w:t>
            </w:r>
          </w:p>
        </w:tc>
        <w:tc>
          <w:tcPr>
            <w:tcW w:w="660" w:type="pct"/>
            <w:shd w:val="clear" w:color="auto" w:fill="C8DCE4"/>
            <w:vAlign w:val="center"/>
            <w:hideMark/>
          </w:tcPr>
          <w:p w14:paraId="61F5EB6D" w14:textId="77777777" w:rsidR="007C4395" w:rsidRPr="00B45160" w:rsidRDefault="007C4395" w:rsidP="00B45160">
            <w:pPr>
              <w:pStyle w:val="71B0"/>
              <w:rPr>
                <w:sz w:val="15"/>
                <w:szCs w:val="15"/>
                <w:rtl/>
              </w:rPr>
            </w:pPr>
            <w:r w:rsidRPr="00B45160">
              <w:rPr>
                <w:rFonts w:hint="cs"/>
                <w:sz w:val="15"/>
                <w:szCs w:val="15"/>
                <w:rtl/>
              </w:rPr>
              <w:t>9,737</w:t>
            </w:r>
          </w:p>
        </w:tc>
      </w:tr>
      <w:tr w:rsidR="00BB2A32" w:rsidRPr="00B45160" w14:paraId="08F9B0EA" w14:textId="77777777" w:rsidTr="009429B3">
        <w:trPr>
          <w:trHeight w:val="340"/>
        </w:trPr>
        <w:tc>
          <w:tcPr>
            <w:tcW w:w="1610" w:type="pct"/>
            <w:shd w:val="clear" w:color="auto" w:fill="DDEAEE"/>
            <w:vAlign w:val="center"/>
            <w:hideMark/>
          </w:tcPr>
          <w:p w14:paraId="1A962A36" w14:textId="77777777" w:rsidR="007C4395" w:rsidRPr="00B45160" w:rsidRDefault="007C4395" w:rsidP="00B45160">
            <w:pPr>
              <w:pStyle w:val="71R"/>
              <w:spacing w:line="240" w:lineRule="auto"/>
              <w:rPr>
                <w:sz w:val="15"/>
                <w:szCs w:val="15"/>
                <w:rtl/>
              </w:rPr>
            </w:pPr>
            <w:r w:rsidRPr="00B45160">
              <w:rPr>
                <w:rFonts w:hint="cs"/>
                <w:sz w:val="15"/>
                <w:szCs w:val="15"/>
                <w:rtl/>
              </w:rPr>
              <w:t>תמיכות</w:t>
            </w:r>
          </w:p>
        </w:tc>
        <w:tc>
          <w:tcPr>
            <w:tcW w:w="660" w:type="pct"/>
            <w:shd w:val="clear" w:color="auto" w:fill="DDEAEE"/>
            <w:vAlign w:val="center"/>
            <w:hideMark/>
          </w:tcPr>
          <w:p w14:paraId="0DDE188F" w14:textId="77777777" w:rsidR="007C4395" w:rsidRPr="00B45160" w:rsidRDefault="007C4395" w:rsidP="00B45160">
            <w:pPr>
              <w:pStyle w:val="71R"/>
              <w:rPr>
                <w:sz w:val="15"/>
                <w:szCs w:val="15"/>
                <w:rtl/>
              </w:rPr>
            </w:pPr>
            <w:r w:rsidRPr="00B45160">
              <w:rPr>
                <w:rFonts w:hint="cs"/>
                <w:sz w:val="15"/>
                <w:szCs w:val="15"/>
                <w:rtl/>
              </w:rPr>
              <w:t>3,611</w:t>
            </w:r>
          </w:p>
        </w:tc>
        <w:tc>
          <w:tcPr>
            <w:tcW w:w="706" w:type="pct"/>
            <w:shd w:val="clear" w:color="auto" w:fill="DDEAEE"/>
            <w:vAlign w:val="center"/>
            <w:hideMark/>
          </w:tcPr>
          <w:p w14:paraId="1C60EF9B" w14:textId="77777777" w:rsidR="007C4395" w:rsidRPr="00B45160" w:rsidRDefault="007C4395" w:rsidP="00B45160">
            <w:pPr>
              <w:pStyle w:val="71R"/>
              <w:rPr>
                <w:sz w:val="15"/>
                <w:szCs w:val="15"/>
                <w:rtl/>
              </w:rPr>
            </w:pPr>
            <w:r w:rsidRPr="00B45160">
              <w:rPr>
                <w:rFonts w:hint="cs"/>
                <w:sz w:val="15"/>
                <w:szCs w:val="15"/>
                <w:rtl/>
              </w:rPr>
              <w:t>7,159</w:t>
            </w:r>
          </w:p>
        </w:tc>
        <w:tc>
          <w:tcPr>
            <w:tcW w:w="683" w:type="pct"/>
            <w:shd w:val="clear" w:color="auto" w:fill="DDEAEE"/>
            <w:vAlign w:val="center"/>
            <w:hideMark/>
          </w:tcPr>
          <w:p w14:paraId="4DD4D5FD" w14:textId="77777777" w:rsidR="007C4395" w:rsidRPr="00B45160" w:rsidRDefault="007C4395" w:rsidP="00B45160">
            <w:pPr>
              <w:pStyle w:val="71R"/>
              <w:rPr>
                <w:sz w:val="15"/>
                <w:szCs w:val="15"/>
                <w:rtl/>
              </w:rPr>
            </w:pPr>
            <w:r w:rsidRPr="00B45160">
              <w:rPr>
                <w:rFonts w:hint="cs"/>
                <w:sz w:val="15"/>
                <w:szCs w:val="15"/>
                <w:rtl/>
              </w:rPr>
              <w:t>958</w:t>
            </w:r>
          </w:p>
        </w:tc>
        <w:tc>
          <w:tcPr>
            <w:tcW w:w="681" w:type="pct"/>
            <w:shd w:val="clear" w:color="auto" w:fill="DDEAEE"/>
            <w:vAlign w:val="center"/>
            <w:hideMark/>
          </w:tcPr>
          <w:p w14:paraId="79222C17" w14:textId="77777777" w:rsidR="007C4395" w:rsidRPr="00B45160" w:rsidRDefault="007C4395" w:rsidP="00B45160">
            <w:pPr>
              <w:pStyle w:val="71R"/>
              <w:rPr>
                <w:sz w:val="15"/>
                <w:szCs w:val="15"/>
                <w:rtl/>
              </w:rPr>
            </w:pPr>
            <w:r w:rsidRPr="00B45160">
              <w:rPr>
                <w:rFonts w:hint="cs"/>
                <w:sz w:val="15"/>
                <w:szCs w:val="15"/>
                <w:rtl/>
              </w:rPr>
              <w:t>374</w:t>
            </w:r>
          </w:p>
        </w:tc>
        <w:tc>
          <w:tcPr>
            <w:tcW w:w="660" w:type="pct"/>
            <w:shd w:val="clear" w:color="auto" w:fill="DDEAEE"/>
            <w:vAlign w:val="center"/>
            <w:hideMark/>
          </w:tcPr>
          <w:p w14:paraId="2F025EC0" w14:textId="77777777" w:rsidR="007C4395" w:rsidRPr="00B45160" w:rsidRDefault="007C4395" w:rsidP="00B45160">
            <w:pPr>
              <w:pStyle w:val="71R"/>
              <w:rPr>
                <w:sz w:val="15"/>
                <w:szCs w:val="15"/>
                <w:rtl/>
              </w:rPr>
            </w:pPr>
            <w:r w:rsidRPr="00B45160">
              <w:rPr>
                <w:rFonts w:hint="cs"/>
                <w:sz w:val="15"/>
                <w:szCs w:val="15"/>
                <w:rtl/>
              </w:rPr>
              <w:t>9,325</w:t>
            </w:r>
          </w:p>
        </w:tc>
      </w:tr>
      <w:tr w:rsidR="00BB2A32" w:rsidRPr="00B45160" w14:paraId="3EA44442" w14:textId="77777777" w:rsidTr="009429B3">
        <w:trPr>
          <w:trHeight w:val="340"/>
        </w:trPr>
        <w:tc>
          <w:tcPr>
            <w:tcW w:w="1610" w:type="pct"/>
            <w:shd w:val="clear" w:color="auto" w:fill="EEF6F7"/>
            <w:vAlign w:val="center"/>
            <w:hideMark/>
          </w:tcPr>
          <w:p w14:paraId="6E04A738" w14:textId="77777777" w:rsidR="007C4395" w:rsidRPr="00B45160" w:rsidRDefault="007C4395" w:rsidP="00B45160">
            <w:pPr>
              <w:pStyle w:val="71R"/>
              <w:spacing w:line="240" w:lineRule="auto"/>
              <w:rPr>
                <w:sz w:val="15"/>
                <w:szCs w:val="15"/>
                <w:rtl/>
              </w:rPr>
            </w:pPr>
            <w:r w:rsidRPr="00B45160">
              <w:rPr>
                <w:rFonts w:hint="cs"/>
                <w:sz w:val="15"/>
                <w:szCs w:val="15"/>
                <w:rtl/>
              </w:rPr>
              <w:t>הוצאות תפעוליות</w:t>
            </w:r>
          </w:p>
        </w:tc>
        <w:tc>
          <w:tcPr>
            <w:tcW w:w="660" w:type="pct"/>
            <w:shd w:val="clear" w:color="auto" w:fill="EEF6F7"/>
            <w:vAlign w:val="center"/>
            <w:hideMark/>
          </w:tcPr>
          <w:p w14:paraId="4390019C" w14:textId="77777777" w:rsidR="007C4395" w:rsidRPr="00B45160" w:rsidRDefault="007C4395" w:rsidP="00B45160">
            <w:pPr>
              <w:pStyle w:val="71R"/>
              <w:rPr>
                <w:sz w:val="15"/>
                <w:szCs w:val="15"/>
                <w:rtl/>
              </w:rPr>
            </w:pPr>
            <w:r w:rsidRPr="00B45160">
              <w:rPr>
                <w:rFonts w:hint="cs"/>
                <w:sz w:val="15"/>
                <w:szCs w:val="15"/>
                <w:rtl/>
              </w:rPr>
              <w:t>1,149</w:t>
            </w:r>
          </w:p>
        </w:tc>
        <w:tc>
          <w:tcPr>
            <w:tcW w:w="706" w:type="pct"/>
            <w:shd w:val="clear" w:color="auto" w:fill="EEF6F7"/>
            <w:vAlign w:val="center"/>
            <w:hideMark/>
          </w:tcPr>
          <w:p w14:paraId="069A97AA" w14:textId="77777777" w:rsidR="007C4395" w:rsidRPr="00B45160" w:rsidRDefault="007C4395" w:rsidP="00B45160">
            <w:pPr>
              <w:pStyle w:val="71R"/>
              <w:rPr>
                <w:sz w:val="15"/>
                <w:szCs w:val="15"/>
                <w:rtl/>
              </w:rPr>
            </w:pPr>
            <w:r w:rsidRPr="00B45160">
              <w:rPr>
                <w:rFonts w:hint="cs"/>
                <w:sz w:val="15"/>
                <w:szCs w:val="15"/>
                <w:rtl/>
              </w:rPr>
              <w:t>15,190</w:t>
            </w:r>
          </w:p>
        </w:tc>
        <w:tc>
          <w:tcPr>
            <w:tcW w:w="683" w:type="pct"/>
            <w:shd w:val="clear" w:color="auto" w:fill="EEF6F7"/>
            <w:vAlign w:val="center"/>
            <w:hideMark/>
          </w:tcPr>
          <w:p w14:paraId="73B90E00" w14:textId="77777777" w:rsidR="007C4395" w:rsidRPr="00B45160" w:rsidRDefault="007C4395" w:rsidP="00B45160">
            <w:pPr>
              <w:pStyle w:val="71R"/>
              <w:rPr>
                <w:sz w:val="15"/>
                <w:szCs w:val="15"/>
                <w:rtl/>
              </w:rPr>
            </w:pPr>
            <w:r w:rsidRPr="00B45160">
              <w:rPr>
                <w:rFonts w:hint="cs"/>
                <w:sz w:val="15"/>
                <w:szCs w:val="15"/>
                <w:rtl/>
              </w:rPr>
              <w:t>432</w:t>
            </w:r>
          </w:p>
        </w:tc>
        <w:tc>
          <w:tcPr>
            <w:tcW w:w="681" w:type="pct"/>
            <w:shd w:val="clear" w:color="auto" w:fill="EEF6F7"/>
            <w:vAlign w:val="center"/>
            <w:hideMark/>
          </w:tcPr>
          <w:p w14:paraId="1D5B0D83" w14:textId="77777777" w:rsidR="007C4395" w:rsidRPr="00B45160" w:rsidRDefault="007C4395" w:rsidP="00B45160">
            <w:pPr>
              <w:pStyle w:val="71R"/>
              <w:rPr>
                <w:sz w:val="15"/>
                <w:szCs w:val="15"/>
                <w:rtl/>
              </w:rPr>
            </w:pPr>
            <w:r w:rsidRPr="00B45160">
              <w:rPr>
                <w:rFonts w:hint="cs"/>
                <w:sz w:val="15"/>
                <w:szCs w:val="15"/>
                <w:rtl/>
              </w:rPr>
              <w:t>483</w:t>
            </w:r>
          </w:p>
        </w:tc>
        <w:tc>
          <w:tcPr>
            <w:tcW w:w="660" w:type="pct"/>
            <w:shd w:val="clear" w:color="auto" w:fill="EEF6F7"/>
            <w:vAlign w:val="center"/>
            <w:hideMark/>
          </w:tcPr>
          <w:p w14:paraId="492229A4" w14:textId="77777777" w:rsidR="007C4395" w:rsidRPr="00B45160" w:rsidRDefault="007C4395" w:rsidP="00B45160">
            <w:pPr>
              <w:pStyle w:val="71R"/>
              <w:rPr>
                <w:sz w:val="15"/>
                <w:szCs w:val="15"/>
                <w:rtl/>
              </w:rPr>
            </w:pPr>
            <w:r w:rsidRPr="00B45160">
              <w:rPr>
                <w:rFonts w:hint="cs"/>
                <w:sz w:val="15"/>
                <w:szCs w:val="15"/>
                <w:rtl/>
              </w:rPr>
              <w:t>153</w:t>
            </w:r>
          </w:p>
        </w:tc>
      </w:tr>
      <w:tr w:rsidR="00BB2A32" w:rsidRPr="00B45160" w14:paraId="7722FDE0" w14:textId="77777777" w:rsidTr="009429B3">
        <w:trPr>
          <w:trHeight w:val="340"/>
        </w:trPr>
        <w:tc>
          <w:tcPr>
            <w:tcW w:w="1610" w:type="pct"/>
            <w:shd w:val="clear" w:color="auto" w:fill="DDEAEE"/>
            <w:vAlign w:val="center"/>
            <w:hideMark/>
          </w:tcPr>
          <w:p w14:paraId="3EDB5CFC" w14:textId="77777777" w:rsidR="007C4395" w:rsidRPr="00B45160" w:rsidRDefault="007C4395" w:rsidP="00B45160">
            <w:pPr>
              <w:pStyle w:val="71R"/>
              <w:spacing w:line="240" w:lineRule="auto"/>
              <w:rPr>
                <w:sz w:val="15"/>
                <w:szCs w:val="15"/>
                <w:rtl/>
              </w:rPr>
            </w:pPr>
            <w:r w:rsidRPr="00B45160">
              <w:rPr>
                <w:rFonts w:hint="cs"/>
                <w:sz w:val="15"/>
                <w:szCs w:val="15"/>
                <w:rtl/>
              </w:rPr>
              <w:t>שכר עבודה והטבות לעובדים</w:t>
            </w:r>
          </w:p>
        </w:tc>
        <w:tc>
          <w:tcPr>
            <w:tcW w:w="660" w:type="pct"/>
            <w:shd w:val="clear" w:color="auto" w:fill="DDEAEE"/>
            <w:vAlign w:val="center"/>
            <w:hideMark/>
          </w:tcPr>
          <w:p w14:paraId="008B148E" w14:textId="77777777" w:rsidR="007C4395" w:rsidRPr="00B45160" w:rsidRDefault="007C4395" w:rsidP="00B45160">
            <w:pPr>
              <w:pStyle w:val="71R"/>
              <w:rPr>
                <w:sz w:val="15"/>
                <w:szCs w:val="15"/>
                <w:rtl/>
              </w:rPr>
            </w:pPr>
            <w:r w:rsidRPr="00B45160">
              <w:rPr>
                <w:rFonts w:hint="cs"/>
                <w:sz w:val="15"/>
                <w:szCs w:val="15"/>
                <w:rtl/>
              </w:rPr>
              <w:t>159</w:t>
            </w:r>
          </w:p>
        </w:tc>
        <w:tc>
          <w:tcPr>
            <w:tcW w:w="706" w:type="pct"/>
            <w:shd w:val="clear" w:color="auto" w:fill="DDEAEE"/>
            <w:vAlign w:val="center"/>
            <w:hideMark/>
          </w:tcPr>
          <w:p w14:paraId="72A0395D" w14:textId="77777777" w:rsidR="007C4395" w:rsidRPr="00B45160" w:rsidRDefault="007C4395" w:rsidP="00B45160">
            <w:pPr>
              <w:pStyle w:val="71R"/>
              <w:rPr>
                <w:sz w:val="15"/>
                <w:szCs w:val="15"/>
                <w:rtl/>
              </w:rPr>
            </w:pPr>
            <w:r w:rsidRPr="00B45160">
              <w:rPr>
                <w:rFonts w:hint="cs"/>
                <w:sz w:val="15"/>
                <w:szCs w:val="15"/>
                <w:rtl/>
              </w:rPr>
              <w:t>718</w:t>
            </w:r>
          </w:p>
        </w:tc>
        <w:tc>
          <w:tcPr>
            <w:tcW w:w="683" w:type="pct"/>
            <w:shd w:val="clear" w:color="auto" w:fill="DDEAEE"/>
            <w:vAlign w:val="center"/>
            <w:hideMark/>
          </w:tcPr>
          <w:p w14:paraId="07C5A451" w14:textId="77777777" w:rsidR="007C4395" w:rsidRPr="00B45160" w:rsidRDefault="007C4395" w:rsidP="00B45160">
            <w:pPr>
              <w:pStyle w:val="71R"/>
              <w:rPr>
                <w:sz w:val="15"/>
                <w:szCs w:val="15"/>
                <w:rtl/>
              </w:rPr>
            </w:pPr>
            <w:r w:rsidRPr="00B45160">
              <w:rPr>
                <w:rFonts w:hint="cs"/>
                <w:sz w:val="15"/>
                <w:szCs w:val="15"/>
                <w:rtl/>
              </w:rPr>
              <w:t>222</w:t>
            </w:r>
          </w:p>
        </w:tc>
        <w:tc>
          <w:tcPr>
            <w:tcW w:w="681" w:type="pct"/>
            <w:shd w:val="clear" w:color="auto" w:fill="DDEAEE"/>
            <w:vAlign w:val="center"/>
            <w:hideMark/>
          </w:tcPr>
          <w:p w14:paraId="443D7C49" w14:textId="77777777" w:rsidR="007C4395" w:rsidRPr="00B45160" w:rsidRDefault="007C4395" w:rsidP="00B45160">
            <w:pPr>
              <w:pStyle w:val="71R"/>
              <w:rPr>
                <w:sz w:val="15"/>
                <w:szCs w:val="15"/>
                <w:rtl/>
              </w:rPr>
            </w:pPr>
            <w:r w:rsidRPr="00B45160">
              <w:rPr>
                <w:rFonts w:hint="cs"/>
                <w:sz w:val="15"/>
                <w:szCs w:val="15"/>
                <w:rtl/>
              </w:rPr>
              <w:t>1,306</w:t>
            </w:r>
          </w:p>
        </w:tc>
        <w:tc>
          <w:tcPr>
            <w:tcW w:w="660" w:type="pct"/>
            <w:shd w:val="clear" w:color="auto" w:fill="DDEAEE"/>
            <w:vAlign w:val="center"/>
            <w:hideMark/>
          </w:tcPr>
          <w:p w14:paraId="05D5D397" w14:textId="77777777" w:rsidR="007C4395" w:rsidRPr="00B45160" w:rsidRDefault="007C4395" w:rsidP="00B45160">
            <w:pPr>
              <w:pStyle w:val="71R"/>
              <w:rPr>
                <w:sz w:val="15"/>
                <w:szCs w:val="15"/>
                <w:rtl/>
              </w:rPr>
            </w:pPr>
            <w:r w:rsidRPr="00B45160">
              <w:rPr>
                <w:rFonts w:hint="cs"/>
                <w:sz w:val="15"/>
                <w:szCs w:val="15"/>
                <w:rtl/>
              </w:rPr>
              <w:t>135</w:t>
            </w:r>
          </w:p>
        </w:tc>
      </w:tr>
      <w:tr w:rsidR="00BB2A32" w:rsidRPr="00B45160" w14:paraId="2AF2FDC4" w14:textId="77777777" w:rsidTr="009429B3">
        <w:trPr>
          <w:trHeight w:val="340"/>
        </w:trPr>
        <w:tc>
          <w:tcPr>
            <w:tcW w:w="1610" w:type="pct"/>
            <w:shd w:val="clear" w:color="auto" w:fill="EEF6F7"/>
            <w:vAlign w:val="center"/>
            <w:hideMark/>
          </w:tcPr>
          <w:p w14:paraId="14727928" w14:textId="77777777" w:rsidR="007C4395" w:rsidRPr="00B45160" w:rsidRDefault="007C4395" w:rsidP="00B45160">
            <w:pPr>
              <w:pStyle w:val="71R"/>
              <w:spacing w:line="240" w:lineRule="auto"/>
              <w:rPr>
                <w:sz w:val="15"/>
                <w:szCs w:val="15"/>
                <w:rtl/>
              </w:rPr>
            </w:pPr>
            <w:r w:rsidRPr="00B45160">
              <w:rPr>
                <w:rFonts w:hint="cs"/>
                <w:sz w:val="15"/>
                <w:szCs w:val="15"/>
                <w:rtl/>
              </w:rPr>
              <w:t>הנהלה וכלליות</w:t>
            </w:r>
          </w:p>
        </w:tc>
        <w:tc>
          <w:tcPr>
            <w:tcW w:w="660" w:type="pct"/>
            <w:shd w:val="clear" w:color="auto" w:fill="EEF6F7"/>
            <w:vAlign w:val="center"/>
            <w:hideMark/>
          </w:tcPr>
          <w:p w14:paraId="069EB3E6" w14:textId="77777777" w:rsidR="007C4395" w:rsidRPr="00B45160" w:rsidRDefault="007C4395" w:rsidP="00B45160">
            <w:pPr>
              <w:pStyle w:val="71R"/>
              <w:rPr>
                <w:sz w:val="15"/>
                <w:szCs w:val="15"/>
                <w:rtl/>
              </w:rPr>
            </w:pPr>
            <w:r w:rsidRPr="00B45160">
              <w:rPr>
                <w:rFonts w:hint="cs"/>
                <w:sz w:val="15"/>
                <w:szCs w:val="15"/>
                <w:rtl/>
              </w:rPr>
              <w:t>17</w:t>
            </w:r>
          </w:p>
        </w:tc>
        <w:tc>
          <w:tcPr>
            <w:tcW w:w="706" w:type="pct"/>
            <w:shd w:val="clear" w:color="auto" w:fill="EEF6F7"/>
            <w:vAlign w:val="center"/>
            <w:hideMark/>
          </w:tcPr>
          <w:p w14:paraId="11683328" w14:textId="77777777" w:rsidR="007C4395" w:rsidRPr="00B45160" w:rsidRDefault="007C4395" w:rsidP="00B45160">
            <w:pPr>
              <w:pStyle w:val="71R"/>
              <w:rPr>
                <w:sz w:val="15"/>
                <w:szCs w:val="15"/>
                <w:rtl/>
              </w:rPr>
            </w:pPr>
            <w:r w:rsidRPr="00B45160">
              <w:rPr>
                <w:rFonts w:hint="cs"/>
                <w:sz w:val="15"/>
                <w:szCs w:val="15"/>
                <w:rtl/>
              </w:rPr>
              <w:t>549</w:t>
            </w:r>
          </w:p>
        </w:tc>
        <w:tc>
          <w:tcPr>
            <w:tcW w:w="683" w:type="pct"/>
            <w:shd w:val="clear" w:color="auto" w:fill="EEF6F7"/>
            <w:vAlign w:val="center"/>
            <w:hideMark/>
          </w:tcPr>
          <w:p w14:paraId="657F4CA3" w14:textId="77777777" w:rsidR="007C4395" w:rsidRPr="00B45160" w:rsidRDefault="007C4395" w:rsidP="00B45160">
            <w:pPr>
              <w:pStyle w:val="71R"/>
              <w:rPr>
                <w:sz w:val="15"/>
                <w:szCs w:val="15"/>
                <w:rtl/>
              </w:rPr>
            </w:pPr>
            <w:r w:rsidRPr="00B45160">
              <w:rPr>
                <w:rFonts w:hint="cs"/>
                <w:sz w:val="15"/>
                <w:szCs w:val="15"/>
                <w:rtl/>
              </w:rPr>
              <w:t>80</w:t>
            </w:r>
          </w:p>
        </w:tc>
        <w:tc>
          <w:tcPr>
            <w:tcW w:w="681" w:type="pct"/>
            <w:shd w:val="clear" w:color="auto" w:fill="EEF6F7"/>
            <w:vAlign w:val="center"/>
            <w:hideMark/>
          </w:tcPr>
          <w:p w14:paraId="5FABF183" w14:textId="77777777" w:rsidR="007C4395" w:rsidRPr="00B45160" w:rsidRDefault="007C4395" w:rsidP="00B45160">
            <w:pPr>
              <w:pStyle w:val="71R"/>
              <w:rPr>
                <w:sz w:val="15"/>
                <w:szCs w:val="15"/>
                <w:rtl/>
              </w:rPr>
            </w:pPr>
            <w:r w:rsidRPr="00B45160">
              <w:rPr>
                <w:rFonts w:hint="cs"/>
                <w:sz w:val="15"/>
                <w:szCs w:val="15"/>
                <w:rtl/>
              </w:rPr>
              <w:t>174</w:t>
            </w:r>
          </w:p>
        </w:tc>
        <w:tc>
          <w:tcPr>
            <w:tcW w:w="660" w:type="pct"/>
            <w:shd w:val="clear" w:color="auto" w:fill="EEF6F7"/>
            <w:vAlign w:val="center"/>
            <w:hideMark/>
          </w:tcPr>
          <w:p w14:paraId="625D28CC" w14:textId="77777777" w:rsidR="007C4395" w:rsidRPr="00B45160" w:rsidRDefault="007C4395" w:rsidP="00B45160">
            <w:pPr>
              <w:pStyle w:val="71R"/>
              <w:rPr>
                <w:sz w:val="15"/>
                <w:szCs w:val="15"/>
                <w:rtl/>
              </w:rPr>
            </w:pPr>
            <w:r w:rsidRPr="00B45160">
              <w:rPr>
                <w:rFonts w:hint="cs"/>
                <w:sz w:val="15"/>
                <w:szCs w:val="15"/>
                <w:rtl/>
              </w:rPr>
              <w:t>35</w:t>
            </w:r>
          </w:p>
        </w:tc>
      </w:tr>
      <w:tr w:rsidR="00BB2A32" w:rsidRPr="00B45160" w14:paraId="26ABAA45" w14:textId="77777777" w:rsidTr="009429B3">
        <w:trPr>
          <w:trHeight w:val="340"/>
        </w:trPr>
        <w:tc>
          <w:tcPr>
            <w:tcW w:w="1610" w:type="pct"/>
            <w:shd w:val="clear" w:color="auto" w:fill="DDEAEE"/>
            <w:vAlign w:val="center"/>
            <w:hideMark/>
          </w:tcPr>
          <w:p w14:paraId="46FE1202" w14:textId="77777777" w:rsidR="007C4395" w:rsidRPr="00B45160" w:rsidRDefault="007C4395" w:rsidP="00B45160">
            <w:pPr>
              <w:pStyle w:val="71R"/>
              <w:spacing w:line="240" w:lineRule="auto"/>
              <w:rPr>
                <w:sz w:val="15"/>
                <w:szCs w:val="15"/>
                <w:rtl/>
              </w:rPr>
            </w:pPr>
            <w:r w:rsidRPr="00B45160">
              <w:rPr>
                <w:rFonts w:hint="cs"/>
                <w:sz w:val="15"/>
                <w:szCs w:val="15"/>
                <w:rtl/>
              </w:rPr>
              <w:t>שיווק ויחסי ציבור</w:t>
            </w:r>
          </w:p>
        </w:tc>
        <w:tc>
          <w:tcPr>
            <w:tcW w:w="660" w:type="pct"/>
            <w:shd w:val="clear" w:color="auto" w:fill="DDEAEE"/>
            <w:vAlign w:val="center"/>
            <w:hideMark/>
          </w:tcPr>
          <w:p w14:paraId="1C05AD59" w14:textId="77777777" w:rsidR="007C4395" w:rsidRPr="00B45160" w:rsidRDefault="007C4395" w:rsidP="00B45160">
            <w:pPr>
              <w:pStyle w:val="71R"/>
              <w:rPr>
                <w:sz w:val="15"/>
                <w:szCs w:val="15"/>
                <w:rtl/>
              </w:rPr>
            </w:pPr>
            <w:r w:rsidRPr="00B45160">
              <w:rPr>
                <w:rFonts w:hint="cs"/>
                <w:sz w:val="15"/>
                <w:szCs w:val="15"/>
                <w:rtl/>
              </w:rPr>
              <w:t> 0</w:t>
            </w:r>
          </w:p>
        </w:tc>
        <w:tc>
          <w:tcPr>
            <w:tcW w:w="706" w:type="pct"/>
            <w:shd w:val="clear" w:color="auto" w:fill="DDEAEE"/>
            <w:vAlign w:val="center"/>
            <w:hideMark/>
          </w:tcPr>
          <w:p w14:paraId="20D7E1E9" w14:textId="77777777" w:rsidR="007C4395" w:rsidRPr="00B45160" w:rsidRDefault="007C4395" w:rsidP="00B45160">
            <w:pPr>
              <w:pStyle w:val="71R"/>
              <w:rPr>
                <w:sz w:val="15"/>
                <w:szCs w:val="15"/>
                <w:rtl/>
              </w:rPr>
            </w:pPr>
            <w:r w:rsidRPr="00B45160">
              <w:rPr>
                <w:rFonts w:hint="cs"/>
                <w:sz w:val="15"/>
                <w:szCs w:val="15"/>
                <w:rtl/>
              </w:rPr>
              <w:t>112</w:t>
            </w:r>
          </w:p>
        </w:tc>
        <w:tc>
          <w:tcPr>
            <w:tcW w:w="683" w:type="pct"/>
            <w:shd w:val="clear" w:color="auto" w:fill="DDEAEE"/>
            <w:vAlign w:val="center"/>
            <w:hideMark/>
          </w:tcPr>
          <w:p w14:paraId="1502726D" w14:textId="77777777" w:rsidR="007C4395" w:rsidRPr="00B45160" w:rsidRDefault="007C4395" w:rsidP="00B45160">
            <w:pPr>
              <w:pStyle w:val="71R"/>
              <w:rPr>
                <w:sz w:val="15"/>
                <w:szCs w:val="15"/>
                <w:rtl/>
              </w:rPr>
            </w:pPr>
            <w:r w:rsidRPr="00B45160">
              <w:rPr>
                <w:rFonts w:hint="cs"/>
                <w:sz w:val="15"/>
                <w:szCs w:val="15"/>
                <w:rtl/>
              </w:rPr>
              <w:t>7</w:t>
            </w:r>
          </w:p>
        </w:tc>
        <w:tc>
          <w:tcPr>
            <w:tcW w:w="681" w:type="pct"/>
            <w:shd w:val="clear" w:color="auto" w:fill="DDEAEE"/>
            <w:vAlign w:val="center"/>
            <w:hideMark/>
          </w:tcPr>
          <w:p w14:paraId="19EC7DB7" w14:textId="77777777" w:rsidR="007C4395" w:rsidRPr="00B45160" w:rsidRDefault="007C4395" w:rsidP="00B45160">
            <w:pPr>
              <w:pStyle w:val="71R"/>
              <w:rPr>
                <w:sz w:val="15"/>
                <w:szCs w:val="15"/>
                <w:rtl/>
              </w:rPr>
            </w:pPr>
            <w:r w:rsidRPr="00B45160">
              <w:rPr>
                <w:rFonts w:hint="cs"/>
                <w:sz w:val="15"/>
                <w:szCs w:val="15"/>
                <w:rtl/>
              </w:rPr>
              <w:t>5</w:t>
            </w:r>
          </w:p>
        </w:tc>
        <w:tc>
          <w:tcPr>
            <w:tcW w:w="660" w:type="pct"/>
            <w:shd w:val="clear" w:color="auto" w:fill="DDEAEE"/>
            <w:vAlign w:val="center"/>
            <w:hideMark/>
          </w:tcPr>
          <w:p w14:paraId="209F9F36" w14:textId="77777777" w:rsidR="007C4395" w:rsidRPr="00B45160" w:rsidRDefault="007C4395" w:rsidP="00B45160">
            <w:pPr>
              <w:pStyle w:val="71R"/>
              <w:rPr>
                <w:sz w:val="15"/>
                <w:szCs w:val="15"/>
                <w:rtl/>
              </w:rPr>
            </w:pPr>
            <w:r w:rsidRPr="00B45160">
              <w:rPr>
                <w:rFonts w:hint="cs"/>
                <w:sz w:val="15"/>
                <w:szCs w:val="15"/>
                <w:rtl/>
              </w:rPr>
              <w:t>0 </w:t>
            </w:r>
          </w:p>
        </w:tc>
      </w:tr>
      <w:tr w:rsidR="00BB2A32" w:rsidRPr="00B45160" w14:paraId="19E23877" w14:textId="77777777" w:rsidTr="009429B3">
        <w:trPr>
          <w:trHeight w:val="340"/>
        </w:trPr>
        <w:tc>
          <w:tcPr>
            <w:tcW w:w="1610" w:type="pct"/>
            <w:shd w:val="clear" w:color="auto" w:fill="EEF6F7"/>
            <w:vAlign w:val="center"/>
            <w:hideMark/>
          </w:tcPr>
          <w:p w14:paraId="22AFCFC4" w14:textId="77777777" w:rsidR="007C4395" w:rsidRPr="00B45160" w:rsidRDefault="007C4395" w:rsidP="00B45160">
            <w:pPr>
              <w:pStyle w:val="71R"/>
              <w:spacing w:line="240" w:lineRule="auto"/>
              <w:rPr>
                <w:sz w:val="15"/>
                <w:szCs w:val="15"/>
                <w:rtl/>
              </w:rPr>
            </w:pPr>
            <w:r w:rsidRPr="00B45160">
              <w:rPr>
                <w:rFonts w:hint="cs"/>
                <w:sz w:val="15"/>
                <w:szCs w:val="15"/>
                <w:rtl/>
              </w:rPr>
              <w:t>הוצאות אחרות, נטו</w:t>
            </w:r>
          </w:p>
        </w:tc>
        <w:tc>
          <w:tcPr>
            <w:tcW w:w="660" w:type="pct"/>
            <w:shd w:val="clear" w:color="auto" w:fill="EEF6F7"/>
            <w:vAlign w:val="center"/>
            <w:hideMark/>
          </w:tcPr>
          <w:p w14:paraId="4DC25C9B" w14:textId="77777777" w:rsidR="007C4395" w:rsidRPr="00B45160" w:rsidRDefault="007C4395" w:rsidP="00B45160">
            <w:pPr>
              <w:pStyle w:val="71R"/>
              <w:rPr>
                <w:sz w:val="15"/>
                <w:szCs w:val="15"/>
                <w:rtl/>
              </w:rPr>
            </w:pPr>
            <w:r w:rsidRPr="00B45160">
              <w:rPr>
                <w:rFonts w:hint="cs"/>
                <w:sz w:val="15"/>
                <w:szCs w:val="15"/>
                <w:rtl/>
              </w:rPr>
              <w:t>1,787</w:t>
            </w:r>
          </w:p>
        </w:tc>
        <w:tc>
          <w:tcPr>
            <w:tcW w:w="706" w:type="pct"/>
            <w:shd w:val="clear" w:color="auto" w:fill="EEF6F7"/>
            <w:vAlign w:val="center"/>
            <w:hideMark/>
          </w:tcPr>
          <w:p w14:paraId="34678E4F" w14:textId="77777777" w:rsidR="007C4395" w:rsidRPr="00B45160" w:rsidRDefault="007C4395" w:rsidP="00B45160">
            <w:pPr>
              <w:pStyle w:val="71R"/>
              <w:rPr>
                <w:sz w:val="15"/>
                <w:szCs w:val="15"/>
                <w:rtl/>
              </w:rPr>
            </w:pPr>
            <w:r w:rsidRPr="00B45160">
              <w:rPr>
                <w:rFonts w:hint="cs"/>
                <w:sz w:val="15"/>
                <w:szCs w:val="15"/>
                <w:rtl/>
              </w:rPr>
              <w:t>53,270</w:t>
            </w:r>
          </w:p>
        </w:tc>
        <w:tc>
          <w:tcPr>
            <w:tcW w:w="683" w:type="pct"/>
            <w:shd w:val="clear" w:color="auto" w:fill="EEF6F7"/>
            <w:vAlign w:val="center"/>
            <w:hideMark/>
          </w:tcPr>
          <w:p w14:paraId="03CB4B0A" w14:textId="77777777" w:rsidR="007C4395" w:rsidRPr="00B45160" w:rsidRDefault="007C4395" w:rsidP="00B45160">
            <w:pPr>
              <w:pStyle w:val="71R"/>
              <w:rPr>
                <w:sz w:val="15"/>
                <w:szCs w:val="15"/>
                <w:rtl/>
              </w:rPr>
            </w:pPr>
            <w:r w:rsidRPr="00B45160">
              <w:rPr>
                <w:rFonts w:hint="cs"/>
                <w:sz w:val="15"/>
                <w:szCs w:val="15"/>
                <w:rtl/>
              </w:rPr>
              <w:t>14</w:t>
            </w:r>
          </w:p>
        </w:tc>
        <w:tc>
          <w:tcPr>
            <w:tcW w:w="681" w:type="pct"/>
            <w:shd w:val="clear" w:color="auto" w:fill="EEF6F7"/>
            <w:vAlign w:val="center"/>
            <w:hideMark/>
          </w:tcPr>
          <w:p w14:paraId="290A660C" w14:textId="77777777" w:rsidR="007C4395" w:rsidRPr="00B45160" w:rsidRDefault="007C4395" w:rsidP="00B45160">
            <w:pPr>
              <w:pStyle w:val="71R"/>
              <w:rPr>
                <w:sz w:val="15"/>
                <w:szCs w:val="15"/>
                <w:rtl/>
              </w:rPr>
            </w:pPr>
            <w:r w:rsidRPr="00B45160">
              <w:rPr>
                <w:rFonts w:hint="cs"/>
                <w:sz w:val="15"/>
                <w:szCs w:val="15"/>
                <w:rtl/>
              </w:rPr>
              <w:t>51</w:t>
            </w:r>
          </w:p>
        </w:tc>
        <w:tc>
          <w:tcPr>
            <w:tcW w:w="660" w:type="pct"/>
            <w:shd w:val="clear" w:color="auto" w:fill="EEF6F7"/>
            <w:vAlign w:val="center"/>
            <w:hideMark/>
          </w:tcPr>
          <w:p w14:paraId="0EF9A2AB" w14:textId="77777777" w:rsidR="007C4395" w:rsidRPr="00B45160" w:rsidRDefault="007C4395" w:rsidP="00B45160">
            <w:pPr>
              <w:pStyle w:val="71R"/>
              <w:rPr>
                <w:sz w:val="15"/>
                <w:szCs w:val="15"/>
                <w:rtl/>
              </w:rPr>
            </w:pPr>
            <w:r w:rsidRPr="00B45160">
              <w:rPr>
                <w:rFonts w:hint="cs"/>
                <w:sz w:val="15"/>
                <w:szCs w:val="15"/>
                <w:rtl/>
              </w:rPr>
              <w:t>0 </w:t>
            </w:r>
          </w:p>
        </w:tc>
      </w:tr>
      <w:tr w:rsidR="00BB2A32" w:rsidRPr="00B45160" w14:paraId="16F113CF" w14:textId="77777777" w:rsidTr="009429B3">
        <w:trPr>
          <w:trHeight w:val="397"/>
        </w:trPr>
        <w:tc>
          <w:tcPr>
            <w:tcW w:w="1610" w:type="pct"/>
            <w:shd w:val="clear" w:color="auto" w:fill="C8DCE4"/>
            <w:vAlign w:val="center"/>
            <w:hideMark/>
          </w:tcPr>
          <w:p w14:paraId="169CE581" w14:textId="77777777" w:rsidR="007C4395" w:rsidRPr="00B45160" w:rsidRDefault="007C4395" w:rsidP="00B45160">
            <w:pPr>
              <w:pStyle w:val="71B0"/>
              <w:spacing w:line="240" w:lineRule="auto"/>
              <w:rPr>
                <w:rFonts w:eastAsia="Times New Roman"/>
                <w:sz w:val="15"/>
                <w:szCs w:val="15"/>
                <w:rtl/>
              </w:rPr>
            </w:pPr>
            <w:r w:rsidRPr="00B45160">
              <w:rPr>
                <w:rFonts w:eastAsia="Times New Roman" w:hint="cs"/>
                <w:sz w:val="15"/>
                <w:szCs w:val="15"/>
                <w:rtl/>
              </w:rPr>
              <w:t>סך הכול הוצאות</w:t>
            </w:r>
          </w:p>
        </w:tc>
        <w:tc>
          <w:tcPr>
            <w:tcW w:w="660" w:type="pct"/>
            <w:shd w:val="clear" w:color="auto" w:fill="C8DCE4"/>
            <w:vAlign w:val="center"/>
            <w:hideMark/>
          </w:tcPr>
          <w:p w14:paraId="1C1D4927" w14:textId="77777777" w:rsidR="007C4395" w:rsidRPr="00B45160" w:rsidRDefault="007C4395" w:rsidP="00B45160">
            <w:pPr>
              <w:pStyle w:val="71B0"/>
              <w:rPr>
                <w:rFonts w:eastAsia="Times New Roman"/>
                <w:sz w:val="15"/>
                <w:szCs w:val="15"/>
                <w:rtl/>
              </w:rPr>
            </w:pPr>
            <w:r w:rsidRPr="00B45160">
              <w:rPr>
                <w:rFonts w:eastAsia="Times New Roman" w:hint="cs"/>
                <w:sz w:val="15"/>
                <w:szCs w:val="15"/>
                <w:rtl/>
              </w:rPr>
              <w:t>6,723</w:t>
            </w:r>
          </w:p>
        </w:tc>
        <w:tc>
          <w:tcPr>
            <w:tcW w:w="706" w:type="pct"/>
            <w:shd w:val="clear" w:color="auto" w:fill="C8DCE4"/>
            <w:vAlign w:val="center"/>
            <w:hideMark/>
          </w:tcPr>
          <w:p w14:paraId="2A8C14FE" w14:textId="77777777" w:rsidR="007C4395" w:rsidRPr="00B45160" w:rsidRDefault="007C4395" w:rsidP="00B45160">
            <w:pPr>
              <w:pStyle w:val="71B0"/>
              <w:rPr>
                <w:rFonts w:eastAsia="Times New Roman"/>
                <w:sz w:val="15"/>
                <w:szCs w:val="15"/>
                <w:rtl/>
              </w:rPr>
            </w:pPr>
            <w:r w:rsidRPr="00B45160">
              <w:rPr>
                <w:rFonts w:eastAsia="Times New Roman" w:hint="cs"/>
                <w:sz w:val="15"/>
                <w:szCs w:val="15"/>
                <w:rtl/>
              </w:rPr>
              <w:t>76,998</w:t>
            </w:r>
          </w:p>
        </w:tc>
        <w:tc>
          <w:tcPr>
            <w:tcW w:w="683" w:type="pct"/>
            <w:shd w:val="clear" w:color="auto" w:fill="C8DCE4"/>
            <w:vAlign w:val="center"/>
            <w:hideMark/>
          </w:tcPr>
          <w:p w14:paraId="5B0E141C" w14:textId="77777777" w:rsidR="007C4395" w:rsidRPr="00B45160" w:rsidRDefault="007C4395" w:rsidP="00B45160">
            <w:pPr>
              <w:pStyle w:val="71B0"/>
              <w:rPr>
                <w:rFonts w:eastAsia="Times New Roman"/>
                <w:sz w:val="15"/>
                <w:szCs w:val="15"/>
                <w:rtl/>
              </w:rPr>
            </w:pPr>
            <w:r w:rsidRPr="00B45160">
              <w:rPr>
                <w:rFonts w:eastAsia="Times New Roman" w:hint="cs"/>
                <w:sz w:val="15"/>
                <w:szCs w:val="15"/>
                <w:rtl/>
              </w:rPr>
              <w:t>1,713</w:t>
            </w:r>
          </w:p>
        </w:tc>
        <w:tc>
          <w:tcPr>
            <w:tcW w:w="681" w:type="pct"/>
            <w:shd w:val="clear" w:color="auto" w:fill="C8DCE4"/>
            <w:vAlign w:val="center"/>
            <w:hideMark/>
          </w:tcPr>
          <w:p w14:paraId="46266D15" w14:textId="77777777" w:rsidR="007C4395" w:rsidRPr="00B45160" w:rsidRDefault="007C4395" w:rsidP="00B45160">
            <w:pPr>
              <w:pStyle w:val="71B0"/>
              <w:rPr>
                <w:rFonts w:eastAsia="Times New Roman"/>
                <w:sz w:val="15"/>
                <w:szCs w:val="15"/>
                <w:rtl/>
              </w:rPr>
            </w:pPr>
            <w:r w:rsidRPr="00B45160">
              <w:rPr>
                <w:rFonts w:eastAsia="Times New Roman" w:hint="cs"/>
                <w:sz w:val="15"/>
                <w:szCs w:val="15"/>
                <w:rtl/>
              </w:rPr>
              <w:t>2,393</w:t>
            </w:r>
          </w:p>
        </w:tc>
        <w:tc>
          <w:tcPr>
            <w:tcW w:w="660" w:type="pct"/>
            <w:shd w:val="clear" w:color="auto" w:fill="C8DCE4"/>
            <w:vAlign w:val="center"/>
            <w:hideMark/>
          </w:tcPr>
          <w:p w14:paraId="4B33A295" w14:textId="77777777" w:rsidR="007C4395" w:rsidRPr="00B45160" w:rsidRDefault="007C4395" w:rsidP="00B45160">
            <w:pPr>
              <w:pStyle w:val="71B0"/>
              <w:rPr>
                <w:rFonts w:eastAsia="Times New Roman"/>
                <w:sz w:val="15"/>
                <w:szCs w:val="15"/>
                <w:rtl/>
              </w:rPr>
            </w:pPr>
            <w:r w:rsidRPr="00B45160">
              <w:rPr>
                <w:rFonts w:eastAsia="Times New Roman" w:hint="cs"/>
                <w:sz w:val="15"/>
                <w:szCs w:val="15"/>
                <w:rtl/>
              </w:rPr>
              <w:t>9,648</w:t>
            </w:r>
          </w:p>
        </w:tc>
      </w:tr>
      <w:tr w:rsidR="00BB2A32" w:rsidRPr="00B45160" w14:paraId="24D8169A" w14:textId="77777777" w:rsidTr="009429B3">
        <w:trPr>
          <w:trHeight w:val="397"/>
        </w:trPr>
        <w:tc>
          <w:tcPr>
            <w:tcW w:w="1610" w:type="pct"/>
            <w:shd w:val="clear" w:color="auto" w:fill="B6CBD4"/>
            <w:vAlign w:val="center"/>
            <w:hideMark/>
          </w:tcPr>
          <w:p w14:paraId="3991B255" w14:textId="77777777" w:rsidR="007C4395" w:rsidRPr="00B45160" w:rsidRDefault="007C4395" w:rsidP="00B45160">
            <w:pPr>
              <w:pStyle w:val="71B0"/>
              <w:spacing w:line="240" w:lineRule="auto"/>
              <w:rPr>
                <w:spacing w:val="-4"/>
                <w:sz w:val="15"/>
                <w:szCs w:val="15"/>
                <w:rtl/>
              </w:rPr>
            </w:pPr>
            <w:r w:rsidRPr="00B45160">
              <w:rPr>
                <w:rFonts w:hint="eastAsia"/>
                <w:spacing w:val="-4"/>
                <w:sz w:val="15"/>
                <w:szCs w:val="15"/>
                <w:rtl/>
              </w:rPr>
              <w:t>עודף</w:t>
            </w:r>
            <w:r w:rsidRPr="00B45160">
              <w:rPr>
                <w:spacing w:val="-4"/>
                <w:sz w:val="15"/>
                <w:szCs w:val="15"/>
                <w:rtl/>
              </w:rPr>
              <w:t xml:space="preserve"> (גירעון) </w:t>
            </w:r>
            <w:r w:rsidRPr="00B45160">
              <w:rPr>
                <w:rFonts w:hint="eastAsia"/>
                <w:spacing w:val="-4"/>
                <w:sz w:val="15"/>
                <w:szCs w:val="15"/>
                <w:rtl/>
              </w:rPr>
              <w:t>חשבונאי</w:t>
            </w:r>
            <w:r w:rsidRPr="00B45160">
              <w:rPr>
                <w:spacing w:val="-4"/>
                <w:sz w:val="15"/>
                <w:szCs w:val="15"/>
                <w:rtl/>
              </w:rPr>
              <w:t xml:space="preserve">, </w:t>
            </w:r>
            <w:r w:rsidRPr="00B45160">
              <w:rPr>
                <w:rFonts w:hint="eastAsia"/>
                <w:spacing w:val="-4"/>
                <w:sz w:val="15"/>
                <w:szCs w:val="15"/>
                <w:rtl/>
              </w:rPr>
              <w:t>נטו</w:t>
            </w:r>
            <w:r w:rsidRPr="00B45160">
              <w:rPr>
                <w:spacing w:val="-4"/>
                <w:sz w:val="15"/>
                <w:szCs w:val="15"/>
                <w:rtl/>
              </w:rPr>
              <w:t xml:space="preserve"> </w:t>
            </w:r>
          </w:p>
        </w:tc>
        <w:tc>
          <w:tcPr>
            <w:tcW w:w="660" w:type="pct"/>
            <w:shd w:val="clear" w:color="auto" w:fill="B6CBD4"/>
            <w:vAlign w:val="center"/>
            <w:hideMark/>
          </w:tcPr>
          <w:p w14:paraId="25734152" w14:textId="77777777" w:rsidR="007C4395" w:rsidRPr="00B45160" w:rsidRDefault="007C4395" w:rsidP="00B45160">
            <w:pPr>
              <w:pStyle w:val="71B0"/>
              <w:rPr>
                <w:sz w:val="15"/>
                <w:szCs w:val="15"/>
                <w:rtl/>
              </w:rPr>
            </w:pPr>
            <w:r w:rsidRPr="00B45160">
              <w:rPr>
                <w:sz w:val="15"/>
                <w:szCs w:val="15"/>
                <w:rtl/>
              </w:rPr>
              <w:t>(367)</w:t>
            </w:r>
          </w:p>
        </w:tc>
        <w:tc>
          <w:tcPr>
            <w:tcW w:w="706" w:type="pct"/>
            <w:shd w:val="clear" w:color="auto" w:fill="B6CBD4"/>
            <w:vAlign w:val="center"/>
            <w:hideMark/>
          </w:tcPr>
          <w:p w14:paraId="519DA37B" w14:textId="77777777" w:rsidR="007C4395" w:rsidRPr="00B45160" w:rsidRDefault="007C4395" w:rsidP="00B45160">
            <w:pPr>
              <w:pStyle w:val="71B0"/>
              <w:rPr>
                <w:sz w:val="15"/>
                <w:szCs w:val="15"/>
                <w:rtl/>
              </w:rPr>
            </w:pPr>
            <w:r w:rsidRPr="00B45160">
              <w:rPr>
                <w:sz w:val="15"/>
                <w:szCs w:val="15"/>
                <w:rtl/>
              </w:rPr>
              <w:t>1,097</w:t>
            </w:r>
          </w:p>
        </w:tc>
        <w:tc>
          <w:tcPr>
            <w:tcW w:w="683" w:type="pct"/>
            <w:shd w:val="clear" w:color="auto" w:fill="B6CBD4"/>
            <w:vAlign w:val="center"/>
            <w:hideMark/>
          </w:tcPr>
          <w:p w14:paraId="27958478" w14:textId="77777777" w:rsidR="007C4395" w:rsidRPr="00B45160" w:rsidRDefault="007C4395" w:rsidP="00B45160">
            <w:pPr>
              <w:pStyle w:val="71B0"/>
              <w:rPr>
                <w:sz w:val="15"/>
                <w:szCs w:val="15"/>
                <w:rtl/>
              </w:rPr>
            </w:pPr>
            <w:r w:rsidRPr="00B45160">
              <w:rPr>
                <w:sz w:val="15"/>
                <w:szCs w:val="15"/>
                <w:rtl/>
              </w:rPr>
              <w:t>24</w:t>
            </w:r>
          </w:p>
        </w:tc>
        <w:tc>
          <w:tcPr>
            <w:tcW w:w="681" w:type="pct"/>
            <w:shd w:val="clear" w:color="auto" w:fill="B6CBD4"/>
            <w:vAlign w:val="center"/>
            <w:hideMark/>
          </w:tcPr>
          <w:p w14:paraId="2E07C0D1" w14:textId="77777777" w:rsidR="007C4395" w:rsidRPr="00B45160" w:rsidRDefault="007C4395" w:rsidP="00B45160">
            <w:pPr>
              <w:pStyle w:val="71B0"/>
              <w:rPr>
                <w:sz w:val="15"/>
                <w:szCs w:val="15"/>
                <w:rtl/>
              </w:rPr>
            </w:pPr>
            <w:r w:rsidRPr="00B45160">
              <w:rPr>
                <w:sz w:val="15"/>
                <w:szCs w:val="15"/>
                <w:rtl/>
              </w:rPr>
              <w:t>(36)</w:t>
            </w:r>
          </w:p>
        </w:tc>
        <w:tc>
          <w:tcPr>
            <w:tcW w:w="660" w:type="pct"/>
            <w:shd w:val="clear" w:color="auto" w:fill="B6CBD4"/>
            <w:vAlign w:val="center"/>
            <w:hideMark/>
          </w:tcPr>
          <w:p w14:paraId="7A7CE7DE" w14:textId="77777777" w:rsidR="007C4395" w:rsidRPr="00B45160" w:rsidRDefault="007C4395" w:rsidP="00B45160">
            <w:pPr>
              <w:pStyle w:val="71B0"/>
              <w:rPr>
                <w:sz w:val="15"/>
                <w:szCs w:val="15"/>
                <w:rtl/>
              </w:rPr>
            </w:pPr>
            <w:r w:rsidRPr="00B45160">
              <w:rPr>
                <w:sz w:val="15"/>
                <w:szCs w:val="15"/>
                <w:rtl/>
              </w:rPr>
              <w:t>89</w:t>
            </w:r>
          </w:p>
        </w:tc>
      </w:tr>
    </w:tbl>
    <w:p w14:paraId="10E7DB9A" w14:textId="77777777" w:rsidR="007C4395" w:rsidRPr="00BB2A32" w:rsidRDefault="007C4395" w:rsidP="00BB2A32">
      <w:pPr>
        <w:pStyle w:val="71c"/>
        <w:rPr>
          <w:rtl/>
        </w:rPr>
      </w:pPr>
      <w:r w:rsidRPr="00BB2A32">
        <w:rPr>
          <w:rFonts w:hint="cs"/>
          <w:rtl/>
        </w:rPr>
        <w:lastRenderedPageBreak/>
        <w:t>על פי</w:t>
      </w:r>
      <w:r w:rsidRPr="00BB2A32">
        <w:rPr>
          <w:rtl/>
        </w:rPr>
        <w:t xml:space="preserve"> הדוחות </w:t>
      </w:r>
      <w:r w:rsidRPr="00BB2A32">
        <w:rPr>
          <w:rFonts w:hint="eastAsia"/>
          <w:rtl/>
        </w:rPr>
        <w:t>הכספיים</w:t>
      </w:r>
      <w:r w:rsidRPr="00BB2A32">
        <w:rPr>
          <w:rtl/>
        </w:rPr>
        <w:t xml:space="preserve"> </w:t>
      </w:r>
      <w:r w:rsidRPr="00BB2A32">
        <w:rPr>
          <w:rFonts w:hint="eastAsia"/>
          <w:rtl/>
        </w:rPr>
        <w:t>של</w:t>
      </w:r>
      <w:r w:rsidRPr="00BB2A32">
        <w:rPr>
          <w:rtl/>
        </w:rPr>
        <w:t xml:space="preserve"> </w:t>
      </w:r>
      <w:r w:rsidRPr="00BB2A32">
        <w:rPr>
          <w:rFonts w:hint="eastAsia"/>
          <w:rtl/>
        </w:rPr>
        <w:t>המשרדים</w:t>
      </w:r>
      <w:r w:rsidRPr="00BB2A32">
        <w:rPr>
          <w:rtl/>
        </w:rPr>
        <w:t xml:space="preserve"> לשנת 2020, בעיבוד משרד מבקר המדינה.</w:t>
      </w:r>
    </w:p>
    <w:p w14:paraId="218DBA4F" w14:textId="4FE13030" w:rsidR="007C4395" w:rsidRPr="00E61946" w:rsidRDefault="007C4395" w:rsidP="00EC550D">
      <w:pPr>
        <w:pStyle w:val="71a"/>
        <w:rPr>
          <w:rtl/>
        </w:rPr>
      </w:pPr>
      <w:r w:rsidRPr="00EC550D">
        <w:rPr>
          <w:rFonts w:hint="cs"/>
          <w:b w:val="0"/>
          <w:bCs w:val="0"/>
          <w:rtl/>
        </w:rPr>
        <w:t>לוח 6:</w:t>
      </w:r>
      <w:r w:rsidRPr="00E61946">
        <w:rPr>
          <w:rFonts w:hint="cs"/>
          <w:rtl/>
        </w:rPr>
        <w:t xml:space="preserve"> נתוני תמצית הביצוע הכספי לשנת 2019 (במיליוני ש"ח </w:t>
      </w:r>
      <w:r w:rsidR="009429B3">
        <w:br/>
      </w:r>
      <w:r w:rsidRPr="00E61946">
        <w:rPr>
          <w:rFonts w:hint="cs"/>
          <w:rtl/>
        </w:rPr>
        <w:t>בבסיס מצטבר)</w:t>
      </w:r>
    </w:p>
    <w:tbl>
      <w:tblPr>
        <w:tblStyle w:val="230"/>
        <w:bidiVisual/>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2461"/>
        <w:gridCol w:w="951"/>
        <w:gridCol w:w="952"/>
        <w:gridCol w:w="1024"/>
        <w:gridCol w:w="1022"/>
        <w:gridCol w:w="950"/>
      </w:tblGrid>
      <w:tr w:rsidR="009E6326" w14:paraId="0A8E664D" w14:textId="77777777" w:rsidTr="009429B3">
        <w:trPr>
          <w:trHeight w:val="567"/>
        </w:trPr>
        <w:tc>
          <w:tcPr>
            <w:tcW w:w="1686" w:type="pct"/>
            <w:shd w:val="clear" w:color="auto" w:fill="B6CBD4"/>
            <w:hideMark/>
          </w:tcPr>
          <w:p w14:paraId="553132BA" w14:textId="77777777" w:rsidR="009E6326" w:rsidRPr="009429B3" w:rsidRDefault="009E6326" w:rsidP="009429B3">
            <w:pPr>
              <w:pStyle w:val="71HEADER"/>
              <w:spacing w:line="240" w:lineRule="auto"/>
              <w:rPr>
                <w:b w:val="0"/>
                <w:bCs/>
              </w:rPr>
            </w:pPr>
            <w:r w:rsidRPr="009429B3">
              <w:rPr>
                <w:rFonts w:hint="cs"/>
                <w:b w:val="0"/>
                <w:bCs/>
                <w:rtl/>
              </w:rPr>
              <w:t> </w:t>
            </w:r>
          </w:p>
        </w:tc>
        <w:tc>
          <w:tcPr>
            <w:tcW w:w="3314" w:type="pct"/>
            <w:gridSpan w:val="5"/>
            <w:shd w:val="clear" w:color="auto" w:fill="B6CBD4"/>
            <w:hideMark/>
          </w:tcPr>
          <w:p w14:paraId="4C2EF800" w14:textId="6B5B7EC9" w:rsidR="009E6326" w:rsidRPr="009429B3" w:rsidRDefault="009E6326" w:rsidP="009429B3">
            <w:pPr>
              <w:pStyle w:val="71HEADER"/>
              <w:spacing w:line="240" w:lineRule="auto"/>
              <w:rPr>
                <w:b w:val="0"/>
                <w:bCs/>
                <w:rtl/>
              </w:rPr>
            </w:pPr>
            <w:r w:rsidRPr="009429B3">
              <w:rPr>
                <w:rFonts w:hint="cs"/>
                <w:b w:val="0"/>
                <w:bCs/>
                <w:rtl/>
              </w:rPr>
              <w:t>משרדי ממשלה נבחרים, דוח כספי</w:t>
            </w:r>
            <w:r w:rsidR="00490127">
              <w:rPr>
                <w:b w:val="0"/>
                <w:bCs/>
              </w:rPr>
              <w:t xml:space="preserve"> </w:t>
            </w:r>
          </w:p>
          <w:p w14:paraId="5B73F517" w14:textId="40ECEC25" w:rsidR="009E6326" w:rsidRPr="009429B3" w:rsidRDefault="009E6326" w:rsidP="009429B3">
            <w:pPr>
              <w:pStyle w:val="71HEADER"/>
              <w:spacing w:line="240" w:lineRule="auto"/>
              <w:rPr>
                <w:b w:val="0"/>
                <w:bCs/>
                <w:rtl/>
              </w:rPr>
            </w:pPr>
            <w:r w:rsidRPr="009429B3">
              <w:rPr>
                <w:rFonts w:hint="cs"/>
                <w:b w:val="0"/>
                <w:bCs/>
                <w:rtl/>
              </w:rPr>
              <w:t>לשנה שהסתיימה ביום 31 בדצמבר 2019</w:t>
            </w:r>
          </w:p>
        </w:tc>
      </w:tr>
      <w:tr w:rsidR="009429B3" w14:paraId="1CD029FE" w14:textId="77777777" w:rsidTr="00633AF4">
        <w:trPr>
          <w:trHeight w:val="227"/>
        </w:trPr>
        <w:tc>
          <w:tcPr>
            <w:tcW w:w="1686" w:type="pct"/>
            <w:shd w:val="clear" w:color="auto" w:fill="C8DCE4"/>
            <w:vAlign w:val="bottom"/>
            <w:hideMark/>
          </w:tcPr>
          <w:p w14:paraId="1B4A4722" w14:textId="77777777" w:rsidR="007C4395" w:rsidRPr="004C59D3" w:rsidRDefault="007C4395" w:rsidP="00633AF4">
            <w:pPr>
              <w:pStyle w:val="71B0"/>
              <w:spacing w:line="240" w:lineRule="auto"/>
              <w:rPr>
                <w:rFonts w:eastAsia="Times New Roman"/>
                <w:rtl/>
              </w:rPr>
            </w:pPr>
            <w:r w:rsidRPr="004C59D3">
              <w:rPr>
                <w:rFonts w:eastAsia="Times New Roman" w:hint="cs"/>
                <w:rtl/>
              </w:rPr>
              <w:t> </w:t>
            </w:r>
          </w:p>
        </w:tc>
        <w:tc>
          <w:tcPr>
            <w:tcW w:w="660" w:type="pct"/>
            <w:shd w:val="clear" w:color="auto" w:fill="C8DCE4"/>
            <w:vAlign w:val="bottom"/>
            <w:hideMark/>
          </w:tcPr>
          <w:p w14:paraId="0B97B1F5" w14:textId="77777777" w:rsidR="007C4395" w:rsidRPr="004C59D3" w:rsidRDefault="007C4395" w:rsidP="00633AF4">
            <w:pPr>
              <w:pStyle w:val="71B0"/>
              <w:spacing w:line="240" w:lineRule="auto"/>
              <w:rPr>
                <w:rFonts w:eastAsia="Times New Roman"/>
                <w:color w:val="000000"/>
                <w:rtl/>
              </w:rPr>
            </w:pPr>
            <w:r w:rsidRPr="004C59D3">
              <w:rPr>
                <w:rFonts w:eastAsia="Times New Roman" w:hint="cs"/>
                <w:color w:val="000000"/>
                <w:rtl/>
              </w:rPr>
              <w:t>הבינוי והשיכון</w:t>
            </w:r>
          </w:p>
        </w:tc>
        <w:tc>
          <w:tcPr>
            <w:tcW w:w="660" w:type="pct"/>
            <w:shd w:val="clear" w:color="auto" w:fill="C8DCE4"/>
            <w:vAlign w:val="bottom"/>
            <w:hideMark/>
          </w:tcPr>
          <w:p w14:paraId="5592B442" w14:textId="77777777" w:rsidR="007C4395" w:rsidRPr="004C59D3" w:rsidRDefault="007C4395" w:rsidP="00633AF4">
            <w:pPr>
              <w:pStyle w:val="71B0"/>
              <w:spacing w:line="240" w:lineRule="auto"/>
              <w:rPr>
                <w:rFonts w:eastAsia="Times New Roman"/>
                <w:color w:val="000000"/>
                <w:rtl/>
              </w:rPr>
            </w:pPr>
            <w:r>
              <w:rPr>
                <w:rFonts w:eastAsia="Times New Roman" w:hint="cs"/>
                <w:color w:val="000000"/>
                <w:rtl/>
              </w:rPr>
              <w:t>הבריאות</w:t>
            </w:r>
          </w:p>
        </w:tc>
        <w:tc>
          <w:tcPr>
            <w:tcW w:w="664" w:type="pct"/>
            <w:shd w:val="clear" w:color="auto" w:fill="C8DCE4"/>
            <w:vAlign w:val="bottom"/>
            <w:hideMark/>
          </w:tcPr>
          <w:p w14:paraId="781A20EA" w14:textId="77777777" w:rsidR="007C4395" w:rsidRPr="004C59D3" w:rsidRDefault="007C4395" w:rsidP="00633AF4">
            <w:pPr>
              <w:pStyle w:val="71B0"/>
              <w:spacing w:line="240" w:lineRule="auto"/>
              <w:rPr>
                <w:rFonts w:eastAsia="Times New Roman"/>
                <w:color w:val="000000"/>
                <w:rtl/>
              </w:rPr>
            </w:pPr>
            <w:r w:rsidRPr="004C59D3">
              <w:rPr>
                <w:rFonts w:eastAsia="Times New Roman" w:hint="cs"/>
                <w:color w:val="000000"/>
                <w:rtl/>
              </w:rPr>
              <w:t>הכלכלה והתעשייה</w:t>
            </w:r>
          </w:p>
        </w:tc>
        <w:tc>
          <w:tcPr>
            <w:tcW w:w="671" w:type="pct"/>
            <w:shd w:val="clear" w:color="auto" w:fill="C8DCE4"/>
            <w:vAlign w:val="bottom"/>
            <w:hideMark/>
          </w:tcPr>
          <w:p w14:paraId="1D6DA227" w14:textId="77777777" w:rsidR="007C4395" w:rsidRPr="004C59D3" w:rsidRDefault="007C4395" w:rsidP="00633AF4">
            <w:pPr>
              <w:pStyle w:val="71B0"/>
              <w:spacing w:line="240" w:lineRule="auto"/>
              <w:rPr>
                <w:rFonts w:eastAsia="Times New Roman"/>
                <w:color w:val="000000"/>
                <w:rtl/>
              </w:rPr>
            </w:pPr>
            <w:r w:rsidRPr="004C59D3">
              <w:rPr>
                <w:rFonts w:eastAsia="Times New Roman" w:hint="cs"/>
                <w:color w:val="000000"/>
                <w:rtl/>
              </w:rPr>
              <w:t>המשפטים</w:t>
            </w:r>
          </w:p>
        </w:tc>
        <w:tc>
          <w:tcPr>
            <w:tcW w:w="659" w:type="pct"/>
            <w:shd w:val="clear" w:color="auto" w:fill="C8DCE4"/>
            <w:vAlign w:val="bottom"/>
            <w:hideMark/>
          </w:tcPr>
          <w:p w14:paraId="11F27070" w14:textId="77777777" w:rsidR="007C4395" w:rsidRPr="004C59D3" w:rsidRDefault="007C4395" w:rsidP="00633AF4">
            <w:pPr>
              <w:pStyle w:val="71B0"/>
              <w:spacing w:line="240" w:lineRule="auto"/>
              <w:rPr>
                <w:rFonts w:eastAsia="Times New Roman"/>
                <w:color w:val="000000"/>
                <w:rtl/>
              </w:rPr>
            </w:pPr>
            <w:r w:rsidRPr="004C59D3">
              <w:rPr>
                <w:rFonts w:eastAsia="Times New Roman" w:hint="cs"/>
                <w:color w:val="000000"/>
                <w:rtl/>
              </w:rPr>
              <w:t>הפנים</w:t>
            </w:r>
          </w:p>
        </w:tc>
      </w:tr>
      <w:tr w:rsidR="007C4395" w14:paraId="3214DD5D" w14:textId="77777777" w:rsidTr="00262AD0">
        <w:trPr>
          <w:trHeight w:val="303"/>
        </w:trPr>
        <w:tc>
          <w:tcPr>
            <w:tcW w:w="1686" w:type="pct"/>
            <w:shd w:val="clear" w:color="auto" w:fill="B6CBD4"/>
            <w:hideMark/>
          </w:tcPr>
          <w:p w14:paraId="78E7BCAD"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הביצוע הכספי</w:t>
            </w:r>
          </w:p>
        </w:tc>
        <w:tc>
          <w:tcPr>
            <w:tcW w:w="2655" w:type="pct"/>
            <w:gridSpan w:val="4"/>
            <w:shd w:val="clear" w:color="auto" w:fill="DDEAEE"/>
            <w:hideMark/>
          </w:tcPr>
          <w:p w14:paraId="6D3E3D05"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 </w:t>
            </w:r>
          </w:p>
        </w:tc>
        <w:tc>
          <w:tcPr>
            <w:tcW w:w="659" w:type="pct"/>
            <w:shd w:val="clear" w:color="auto" w:fill="DDEAEE"/>
            <w:hideMark/>
          </w:tcPr>
          <w:p w14:paraId="07B7D28B"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 </w:t>
            </w:r>
          </w:p>
        </w:tc>
      </w:tr>
      <w:tr w:rsidR="009429B3" w14:paraId="513FEA38" w14:textId="77777777" w:rsidTr="009429B3">
        <w:trPr>
          <w:trHeight w:val="303"/>
        </w:trPr>
        <w:tc>
          <w:tcPr>
            <w:tcW w:w="1686" w:type="pct"/>
            <w:shd w:val="clear" w:color="auto" w:fill="EEF6F7"/>
            <w:hideMark/>
          </w:tcPr>
          <w:p w14:paraId="657CFB78" w14:textId="77777777" w:rsidR="007C4395" w:rsidRPr="00FA26CB" w:rsidRDefault="007C4395" w:rsidP="009429B3">
            <w:pPr>
              <w:pStyle w:val="71R"/>
              <w:spacing w:line="240" w:lineRule="auto"/>
              <w:rPr>
                <w:rFonts w:eastAsia="Times New Roman"/>
                <w:b/>
                <w:bCs/>
                <w:color w:val="000000"/>
                <w:rtl/>
              </w:rPr>
            </w:pPr>
            <w:r w:rsidRPr="00FA26CB">
              <w:rPr>
                <w:rFonts w:eastAsia="Times New Roman" w:hint="cs"/>
                <w:b/>
                <w:bCs/>
                <w:color w:val="000000"/>
                <w:rtl/>
              </w:rPr>
              <w:t>הכנסות מעסקאות שאינן חליפין</w:t>
            </w:r>
          </w:p>
        </w:tc>
        <w:tc>
          <w:tcPr>
            <w:tcW w:w="660" w:type="pct"/>
            <w:shd w:val="clear" w:color="auto" w:fill="EEF6F7"/>
            <w:hideMark/>
          </w:tcPr>
          <w:p w14:paraId="06C81DC3"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 </w:t>
            </w:r>
          </w:p>
        </w:tc>
        <w:tc>
          <w:tcPr>
            <w:tcW w:w="660" w:type="pct"/>
            <w:shd w:val="clear" w:color="auto" w:fill="EEF6F7"/>
            <w:hideMark/>
          </w:tcPr>
          <w:p w14:paraId="462A7C49"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 </w:t>
            </w:r>
          </w:p>
        </w:tc>
        <w:tc>
          <w:tcPr>
            <w:tcW w:w="664" w:type="pct"/>
            <w:shd w:val="clear" w:color="auto" w:fill="EEF6F7"/>
            <w:hideMark/>
          </w:tcPr>
          <w:p w14:paraId="66EECA11"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 </w:t>
            </w:r>
          </w:p>
        </w:tc>
        <w:tc>
          <w:tcPr>
            <w:tcW w:w="671" w:type="pct"/>
            <w:shd w:val="clear" w:color="auto" w:fill="EEF6F7"/>
            <w:hideMark/>
          </w:tcPr>
          <w:p w14:paraId="71CAEE4D"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 </w:t>
            </w:r>
          </w:p>
        </w:tc>
        <w:tc>
          <w:tcPr>
            <w:tcW w:w="659" w:type="pct"/>
            <w:shd w:val="clear" w:color="auto" w:fill="EEF6F7"/>
            <w:hideMark/>
          </w:tcPr>
          <w:p w14:paraId="1124F10B"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 </w:t>
            </w:r>
          </w:p>
        </w:tc>
      </w:tr>
      <w:tr w:rsidR="009429B3" w14:paraId="02DD327E" w14:textId="77777777" w:rsidTr="009429B3">
        <w:trPr>
          <w:trHeight w:val="303"/>
        </w:trPr>
        <w:tc>
          <w:tcPr>
            <w:tcW w:w="1686" w:type="pct"/>
            <w:shd w:val="clear" w:color="auto" w:fill="DDEAEE"/>
            <w:hideMark/>
          </w:tcPr>
          <w:p w14:paraId="1C093B2A"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הכנסות מתקציב</w:t>
            </w:r>
          </w:p>
        </w:tc>
        <w:tc>
          <w:tcPr>
            <w:tcW w:w="660" w:type="pct"/>
            <w:shd w:val="clear" w:color="auto" w:fill="DDEAEE"/>
            <w:hideMark/>
          </w:tcPr>
          <w:p w14:paraId="292F856A"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4,508</w:t>
            </w:r>
          </w:p>
        </w:tc>
        <w:tc>
          <w:tcPr>
            <w:tcW w:w="660" w:type="pct"/>
            <w:shd w:val="clear" w:color="auto" w:fill="DDEAEE"/>
            <w:hideMark/>
          </w:tcPr>
          <w:p w14:paraId="1F1DEE1B"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38,339</w:t>
            </w:r>
          </w:p>
        </w:tc>
        <w:tc>
          <w:tcPr>
            <w:tcW w:w="664" w:type="pct"/>
            <w:shd w:val="clear" w:color="auto" w:fill="DDEAEE"/>
            <w:hideMark/>
          </w:tcPr>
          <w:p w14:paraId="5A4436EE"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972</w:t>
            </w:r>
          </w:p>
        </w:tc>
        <w:tc>
          <w:tcPr>
            <w:tcW w:w="671" w:type="pct"/>
            <w:shd w:val="clear" w:color="auto" w:fill="DDEAEE"/>
            <w:hideMark/>
          </w:tcPr>
          <w:p w14:paraId="05FC405A"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1,427</w:t>
            </w:r>
          </w:p>
        </w:tc>
        <w:tc>
          <w:tcPr>
            <w:tcW w:w="659" w:type="pct"/>
            <w:shd w:val="clear" w:color="auto" w:fill="DDEAEE"/>
            <w:hideMark/>
          </w:tcPr>
          <w:p w14:paraId="393D61C9"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7,045</w:t>
            </w:r>
          </w:p>
        </w:tc>
      </w:tr>
      <w:tr w:rsidR="009429B3" w14:paraId="4EC284C4" w14:textId="77777777" w:rsidTr="009429B3">
        <w:trPr>
          <w:trHeight w:val="303"/>
        </w:trPr>
        <w:tc>
          <w:tcPr>
            <w:tcW w:w="1686" w:type="pct"/>
            <w:shd w:val="clear" w:color="auto" w:fill="EEF6F7"/>
            <w:hideMark/>
          </w:tcPr>
          <w:p w14:paraId="7AE6B069"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הכנסות מהעברות</w:t>
            </w:r>
          </w:p>
        </w:tc>
        <w:tc>
          <w:tcPr>
            <w:tcW w:w="660" w:type="pct"/>
            <w:shd w:val="clear" w:color="auto" w:fill="EEF6F7"/>
            <w:hideMark/>
          </w:tcPr>
          <w:p w14:paraId="7F0AA587"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0</w:t>
            </w:r>
          </w:p>
        </w:tc>
        <w:tc>
          <w:tcPr>
            <w:tcW w:w="660" w:type="pct"/>
            <w:shd w:val="clear" w:color="auto" w:fill="EEF6F7"/>
            <w:hideMark/>
          </w:tcPr>
          <w:p w14:paraId="567D26D9"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195</w:t>
            </w:r>
          </w:p>
        </w:tc>
        <w:tc>
          <w:tcPr>
            <w:tcW w:w="664" w:type="pct"/>
            <w:shd w:val="clear" w:color="auto" w:fill="EEF6F7"/>
            <w:hideMark/>
          </w:tcPr>
          <w:p w14:paraId="1A4847F3"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17</w:t>
            </w:r>
          </w:p>
        </w:tc>
        <w:tc>
          <w:tcPr>
            <w:tcW w:w="671" w:type="pct"/>
            <w:shd w:val="clear" w:color="auto" w:fill="EEF6F7"/>
            <w:hideMark/>
          </w:tcPr>
          <w:p w14:paraId="61FCE514"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122</w:t>
            </w:r>
          </w:p>
        </w:tc>
        <w:tc>
          <w:tcPr>
            <w:tcW w:w="659" w:type="pct"/>
            <w:shd w:val="clear" w:color="auto" w:fill="EEF6F7"/>
            <w:hideMark/>
          </w:tcPr>
          <w:p w14:paraId="3DED2C1F"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0</w:t>
            </w:r>
          </w:p>
        </w:tc>
      </w:tr>
      <w:tr w:rsidR="009429B3" w14:paraId="5DC76F9E" w14:textId="77777777" w:rsidTr="009429B3">
        <w:trPr>
          <w:trHeight w:val="303"/>
        </w:trPr>
        <w:tc>
          <w:tcPr>
            <w:tcW w:w="1686" w:type="pct"/>
            <w:shd w:val="clear" w:color="auto" w:fill="DDEAEE"/>
            <w:hideMark/>
          </w:tcPr>
          <w:p w14:paraId="176C3570"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הכנסות אחרות</w:t>
            </w:r>
          </w:p>
        </w:tc>
        <w:tc>
          <w:tcPr>
            <w:tcW w:w="660" w:type="pct"/>
            <w:shd w:val="clear" w:color="auto" w:fill="DDEAEE"/>
            <w:hideMark/>
          </w:tcPr>
          <w:p w14:paraId="2D4AC22F"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10</w:t>
            </w:r>
          </w:p>
        </w:tc>
        <w:tc>
          <w:tcPr>
            <w:tcW w:w="660" w:type="pct"/>
            <w:shd w:val="clear" w:color="auto" w:fill="DDEAEE"/>
            <w:hideMark/>
          </w:tcPr>
          <w:p w14:paraId="28085D44"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25,968</w:t>
            </w:r>
          </w:p>
        </w:tc>
        <w:tc>
          <w:tcPr>
            <w:tcW w:w="664" w:type="pct"/>
            <w:shd w:val="clear" w:color="auto" w:fill="DDEAEE"/>
            <w:hideMark/>
          </w:tcPr>
          <w:p w14:paraId="63EECB86"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16</w:t>
            </w:r>
          </w:p>
        </w:tc>
        <w:tc>
          <w:tcPr>
            <w:tcW w:w="671" w:type="pct"/>
            <w:shd w:val="clear" w:color="auto" w:fill="DDEAEE"/>
            <w:hideMark/>
          </w:tcPr>
          <w:p w14:paraId="5B02BB01"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700</w:t>
            </w:r>
          </w:p>
        </w:tc>
        <w:tc>
          <w:tcPr>
            <w:tcW w:w="659" w:type="pct"/>
            <w:shd w:val="clear" w:color="auto" w:fill="DDEAEE"/>
            <w:hideMark/>
          </w:tcPr>
          <w:p w14:paraId="12CD01B6"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0</w:t>
            </w:r>
          </w:p>
        </w:tc>
      </w:tr>
      <w:tr w:rsidR="009429B3" w14:paraId="2176CC45" w14:textId="77777777" w:rsidTr="009429B3">
        <w:trPr>
          <w:trHeight w:val="303"/>
        </w:trPr>
        <w:tc>
          <w:tcPr>
            <w:tcW w:w="1686" w:type="pct"/>
            <w:shd w:val="clear" w:color="auto" w:fill="EEF6F7"/>
            <w:hideMark/>
          </w:tcPr>
          <w:p w14:paraId="4711EBB2"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סך הכול הכנסות מעסקאות שאינן חליפין</w:t>
            </w:r>
          </w:p>
        </w:tc>
        <w:tc>
          <w:tcPr>
            <w:tcW w:w="660" w:type="pct"/>
            <w:shd w:val="clear" w:color="auto" w:fill="EEF6F7"/>
            <w:hideMark/>
          </w:tcPr>
          <w:p w14:paraId="158BE9B4"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4,518</w:t>
            </w:r>
          </w:p>
        </w:tc>
        <w:tc>
          <w:tcPr>
            <w:tcW w:w="660" w:type="pct"/>
            <w:shd w:val="clear" w:color="auto" w:fill="EEF6F7"/>
            <w:hideMark/>
          </w:tcPr>
          <w:p w14:paraId="3391504B"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64,502</w:t>
            </w:r>
          </w:p>
        </w:tc>
        <w:tc>
          <w:tcPr>
            <w:tcW w:w="664" w:type="pct"/>
            <w:shd w:val="clear" w:color="auto" w:fill="EEF6F7"/>
            <w:hideMark/>
          </w:tcPr>
          <w:p w14:paraId="68C22609"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1,005</w:t>
            </w:r>
          </w:p>
        </w:tc>
        <w:tc>
          <w:tcPr>
            <w:tcW w:w="671" w:type="pct"/>
            <w:shd w:val="clear" w:color="auto" w:fill="EEF6F7"/>
            <w:hideMark/>
          </w:tcPr>
          <w:p w14:paraId="7B3A0A79"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2,249</w:t>
            </w:r>
          </w:p>
        </w:tc>
        <w:tc>
          <w:tcPr>
            <w:tcW w:w="659" w:type="pct"/>
            <w:shd w:val="clear" w:color="auto" w:fill="EEF6F7"/>
            <w:hideMark/>
          </w:tcPr>
          <w:p w14:paraId="7CB0B0AD"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7,045</w:t>
            </w:r>
          </w:p>
        </w:tc>
      </w:tr>
      <w:tr w:rsidR="009429B3" w14:paraId="2FC4C3DA" w14:textId="77777777" w:rsidTr="009429B3">
        <w:trPr>
          <w:trHeight w:val="303"/>
        </w:trPr>
        <w:tc>
          <w:tcPr>
            <w:tcW w:w="1686" w:type="pct"/>
            <w:shd w:val="clear" w:color="auto" w:fill="DDEAEE"/>
            <w:hideMark/>
          </w:tcPr>
          <w:p w14:paraId="65872A70"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סך הכול הכנסות מעסקאות חליפין</w:t>
            </w:r>
          </w:p>
        </w:tc>
        <w:tc>
          <w:tcPr>
            <w:tcW w:w="660" w:type="pct"/>
            <w:shd w:val="clear" w:color="auto" w:fill="DDEAEE"/>
            <w:hideMark/>
          </w:tcPr>
          <w:p w14:paraId="0D73ED72"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2,060</w:t>
            </w:r>
          </w:p>
        </w:tc>
        <w:tc>
          <w:tcPr>
            <w:tcW w:w="660" w:type="pct"/>
            <w:shd w:val="clear" w:color="auto" w:fill="DDEAEE"/>
            <w:hideMark/>
          </w:tcPr>
          <w:p w14:paraId="3368F153"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717</w:t>
            </w:r>
          </w:p>
        </w:tc>
        <w:tc>
          <w:tcPr>
            <w:tcW w:w="664" w:type="pct"/>
            <w:shd w:val="clear" w:color="auto" w:fill="DDEAEE"/>
            <w:hideMark/>
          </w:tcPr>
          <w:p w14:paraId="5BFEDEDC"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127</w:t>
            </w:r>
          </w:p>
        </w:tc>
        <w:tc>
          <w:tcPr>
            <w:tcW w:w="671" w:type="pct"/>
            <w:shd w:val="clear" w:color="auto" w:fill="DDEAEE"/>
            <w:hideMark/>
          </w:tcPr>
          <w:p w14:paraId="5BB8725D"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5</w:t>
            </w:r>
          </w:p>
        </w:tc>
        <w:tc>
          <w:tcPr>
            <w:tcW w:w="659" w:type="pct"/>
            <w:shd w:val="clear" w:color="auto" w:fill="DDEAEE"/>
            <w:hideMark/>
          </w:tcPr>
          <w:p w14:paraId="4E084ED3"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0</w:t>
            </w:r>
          </w:p>
        </w:tc>
      </w:tr>
      <w:tr w:rsidR="009429B3" w14:paraId="51B4C088" w14:textId="77777777" w:rsidTr="009429B3">
        <w:trPr>
          <w:trHeight w:val="303"/>
        </w:trPr>
        <w:tc>
          <w:tcPr>
            <w:tcW w:w="1686" w:type="pct"/>
            <w:shd w:val="clear" w:color="auto" w:fill="EEF6F7"/>
            <w:hideMark/>
          </w:tcPr>
          <w:p w14:paraId="2A9A5BD0"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הכנסות אחרות</w:t>
            </w:r>
          </w:p>
        </w:tc>
        <w:tc>
          <w:tcPr>
            <w:tcW w:w="660" w:type="pct"/>
            <w:shd w:val="clear" w:color="auto" w:fill="EEF6F7"/>
            <w:hideMark/>
          </w:tcPr>
          <w:p w14:paraId="7EC0F753"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538</w:t>
            </w:r>
          </w:p>
        </w:tc>
        <w:tc>
          <w:tcPr>
            <w:tcW w:w="660" w:type="pct"/>
            <w:shd w:val="clear" w:color="auto" w:fill="EEF6F7"/>
            <w:hideMark/>
          </w:tcPr>
          <w:p w14:paraId="4BDD3745"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0</w:t>
            </w:r>
          </w:p>
        </w:tc>
        <w:tc>
          <w:tcPr>
            <w:tcW w:w="664" w:type="pct"/>
            <w:shd w:val="clear" w:color="auto" w:fill="EEF6F7"/>
            <w:hideMark/>
          </w:tcPr>
          <w:p w14:paraId="009E1F52"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0</w:t>
            </w:r>
          </w:p>
        </w:tc>
        <w:tc>
          <w:tcPr>
            <w:tcW w:w="671" w:type="pct"/>
            <w:shd w:val="clear" w:color="auto" w:fill="EEF6F7"/>
            <w:hideMark/>
          </w:tcPr>
          <w:p w14:paraId="4D244AAE"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0</w:t>
            </w:r>
          </w:p>
        </w:tc>
        <w:tc>
          <w:tcPr>
            <w:tcW w:w="659" w:type="pct"/>
            <w:shd w:val="clear" w:color="auto" w:fill="EEF6F7"/>
            <w:hideMark/>
          </w:tcPr>
          <w:p w14:paraId="0451D067"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10</w:t>
            </w:r>
          </w:p>
        </w:tc>
      </w:tr>
      <w:tr w:rsidR="009429B3" w:rsidRPr="009429B3" w14:paraId="4D9C7532" w14:textId="77777777" w:rsidTr="009429B3">
        <w:trPr>
          <w:trHeight w:val="303"/>
        </w:trPr>
        <w:tc>
          <w:tcPr>
            <w:tcW w:w="1686" w:type="pct"/>
            <w:shd w:val="clear" w:color="auto" w:fill="C8DCE4"/>
            <w:hideMark/>
          </w:tcPr>
          <w:p w14:paraId="1E4AF554"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סך הכול הכנסות</w:t>
            </w:r>
          </w:p>
        </w:tc>
        <w:tc>
          <w:tcPr>
            <w:tcW w:w="660" w:type="pct"/>
            <w:shd w:val="clear" w:color="auto" w:fill="C8DCE4"/>
            <w:hideMark/>
          </w:tcPr>
          <w:p w14:paraId="3CB25BC7"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7,116</w:t>
            </w:r>
          </w:p>
        </w:tc>
        <w:tc>
          <w:tcPr>
            <w:tcW w:w="660" w:type="pct"/>
            <w:shd w:val="clear" w:color="auto" w:fill="C8DCE4"/>
            <w:hideMark/>
          </w:tcPr>
          <w:p w14:paraId="2177A6FA"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65,219</w:t>
            </w:r>
          </w:p>
        </w:tc>
        <w:tc>
          <w:tcPr>
            <w:tcW w:w="664" w:type="pct"/>
            <w:shd w:val="clear" w:color="auto" w:fill="C8DCE4"/>
            <w:hideMark/>
          </w:tcPr>
          <w:p w14:paraId="064D9BD1"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1,132</w:t>
            </w:r>
          </w:p>
        </w:tc>
        <w:tc>
          <w:tcPr>
            <w:tcW w:w="671" w:type="pct"/>
            <w:shd w:val="clear" w:color="auto" w:fill="C8DCE4"/>
            <w:hideMark/>
          </w:tcPr>
          <w:p w14:paraId="6A5F4FFA"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2,254</w:t>
            </w:r>
          </w:p>
        </w:tc>
        <w:tc>
          <w:tcPr>
            <w:tcW w:w="659" w:type="pct"/>
            <w:shd w:val="clear" w:color="auto" w:fill="C8DCE4"/>
            <w:hideMark/>
          </w:tcPr>
          <w:p w14:paraId="658C2CB8" w14:textId="77777777" w:rsidR="007C4395" w:rsidRPr="009429B3" w:rsidRDefault="007C4395" w:rsidP="009429B3">
            <w:pPr>
              <w:pStyle w:val="71R"/>
              <w:spacing w:line="240" w:lineRule="auto"/>
              <w:rPr>
                <w:rFonts w:eastAsia="Times New Roman"/>
                <w:b/>
                <w:bCs/>
                <w:color w:val="000000"/>
                <w:rtl/>
              </w:rPr>
            </w:pPr>
            <w:r w:rsidRPr="009429B3">
              <w:rPr>
                <w:rFonts w:eastAsia="Times New Roman" w:hint="cs"/>
                <w:b/>
                <w:bCs/>
                <w:color w:val="000000"/>
                <w:rtl/>
              </w:rPr>
              <w:t>7,055</w:t>
            </w:r>
          </w:p>
        </w:tc>
      </w:tr>
      <w:tr w:rsidR="009429B3" w14:paraId="51CC92EB" w14:textId="77777777" w:rsidTr="009429B3">
        <w:trPr>
          <w:trHeight w:val="303"/>
        </w:trPr>
        <w:tc>
          <w:tcPr>
            <w:tcW w:w="1686" w:type="pct"/>
            <w:shd w:val="clear" w:color="auto" w:fill="DDEAEE"/>
            <w:hideMark/>
          </w:tcPr>
          <w:p w14:paraId="0648DDA7"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תמיכות</w:t>
            </w:r>
          </w:p>
        </w:tc>
        <w:tc>
          <w:tcPr>
            <w:tcW w:w="660" w:type="pct"/>
            <w:shd w:val="clear" w:color="auto" w:fill="DDEAEE"/>
            <w:hideMark/>
          </w:tcPr>
          <w:p w14:paraId="346C0505"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3,457</w:t>
            </w:r>
          </w:p>
        </w:tc>
        <w:tc>
          <w:tcPr>
            <w:tcW w:w="660" w:type="pct"/>
            <w:shd w:val="clear" w:color="auto" w:fill="DDEAEE"/>
            <w:hideMark/>
          </w:tcPr>
          <w:p w14:paraId="2F0950E2"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4,311</w:t>
            </w:r>
          </w:p>
        </w:tc>
        <w:tc>
          <w:tcPr>
            <w:tcW w:w="664" w:type="pct"/>
            <w:shd w:val="clear" w:color="auto" w:fill="DDEAEE"/>
            <w:hideMark/>
          </w:tcPr>
          <w:p w14:paraId="1370AD32"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498</w:t>
            </w:r>
          </w:p>
        </w:tc>
        <w:tc>
          <w:tcPr>
            <w:tcW w:w="671" w:type="pct"/>
            <w:shd w:val="clear" w:color="auto" w:fill="DDEAEE"/>
            <w:hideMark/>
          </w:tcPr>
          <w:p w14:paraId="64B10864"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336</w:t>
            </w:r>
          </w:p>
        </w:tc>
        <w:tc>
          <w:tcPr>
            <w:tcW w:w="659" w:type="pct"/>
            <w:shd w:val="clear" w:color="auto" w:fill="DDEAEE"/>
            <w:hideMark/>
          </w:tcPr>
          <w:p w14:paraId="769BCB20"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6,576</w:t>
            </w:r>
          </w:p>
        </w:tc>
      </w:tr>
      <w:tr w:rsidR="009429B3" w14:paraId="3240B0A6" w14:textId="77777777" w:rsidTr="009429B3">
        <w:trPr>
          <w:trHeight w:val="303"/>
        </w:trPr>
        <w:tc>
          <w:tcPr>
            <w:tcW w:w="1686" w:type="pct"/>
            <w:shd w:val="clear" w:color="auto" w:fill="EEF6F7"/>
            <w:hideMark/>
          </w:tcPr>
          <w:p w14:paraId="302D2ACC"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הוצאות תפעוליות</w:t>
            </w:r>
          </w:p>
        </w:tc>
        <w:tc>
          <w:tcPr>
            <w:tcW w:w="660" w:type="pct"/>
            <w:shd w:val="clear" w:color="auto" w:fill="EEF6F7"/>
            <w:hideMark/>
          </w:tcPr>
          <w:p w14:paraId="4FCF9D63"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1,071</w:t>
            </w:r>
          </w:p>
        </w:tc>
        <w:tc>
          <w:tcPr>
            <w:tcW w:w="660" w:type="pct"/>
            <w:shd w:val="clear" w:color="auto" w:fill="EEF6F7"/>
            <w:hideMark/>
          </w:tcPr>
          <w:p w14:paraId="6AD5D187"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8,389</w:t>
            </w:r>
          </w:p>
        </w:tc>
        <w:tc>
          <w:tcPr>
            <w:tcW w:w="664" w:type="pct"/>
            <w:shd w:val="clear" w:color="auto" w:fill="EEF6F7"/>
            <w:hideMark/>
          </w:tcPr>
          <w:p w14:paraId="27D41DD5"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469</w:t>
            </w:r>
          </w:p>
        </w:tc>
        <w:tc>
          <w:tcPr>
            <w:tcW w:w="671" w:type="pct"/>
            <w:shd w:val="clear" w:color="auto" w:fill="EEF6F7"/>
            <w:hideMark/>
          </w:tcPr>
          <w:p w14:paraId="0F893C8A"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441</w:t>
            </w:r>
          </w:p>
        </w:tc>
        <w:tc>
          <w:tcPr>
            <w:tcW w:w="659" w:type="pct"/>
            <w:shd w:val="clear" w:color="auto" w:fill="EEF6F7"/>
            <w:hideMark/>
          </w:tcPr>
          <w:p w14:paraId="1EE42A8A"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197</w:t>
            </w:r>
          </w:p>
        </w:tc>
      </w:tr>
      <w:tr w:rsidR="009429B3" w14:paraId="41031D31" w14:textId="77777777" w:rsidTr="009429B3">
        <w:trPr>
          <w:trHeight w:val="303"/>
        </w:trPr>
        <w:tc>
          <w:tcPr>
            <w:tcW w:w="1686" w:type="pct"/>
            <w:shd w:val="clear" w:color="auto" w:fill="DDEAEE"/>
            <w:hideMark/>
          </w:tcPr>
          <w:p w14:paraId="76C592D7"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שכר עבודה והטבות לעובדים</w:t>
            </w:r>
          </w:p>
        </w:tc>
        <w:tc>
          <w:tcPr>
            <w:tcW w:w="660" w:type="pct"/>
            <w:shd w:val="clear" w:color="auto" w:fill="DDEAEE"/>
            <w:hideMark/>
          </w:tcPr>
          <w:p w14:paraId="149F2756"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164</w:t>
            </w:r>
          </w:p>
        </w:tc>
        <w:tc>
          <w:tcPr>
            <w:tcW w:w="660" w:type="pct"/>
            <w:shd w:val="clear" w:color="auto" w:fill="DDEAEE"/>
            <w:hideMark/>
          </w:tcPr>
          <w:p w14:paraId="38B4D101"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688</w:t>
            </w:r>
          </w:p>
        </w:tc>
        <w:tc>
          <w:tcPr>
            <w:tcW w:w="664" w:type="pct"/>
            <w:shd w:val="clear" w:color="auto" w:fill="DDEAEE"/>
            <w:hideMark/>
          </w:tcPr>
          <w:p w14:paraId="0BC2E723"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217</w:t>
            </w:r>
          </w:p>
        </w:tc>
        <w:tc>
          <w:tcPr>
            <w:tcW w:w="671" w:type="pct"/>
            <w:shd w:val="clear" w:color="auto" w:fill="DDEAEE"/>
            <w:hideMark/>
          </w:tcPr>
          <w:p w14:paraId="4F29E00A"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1,244</w:t>
            </w:r>
          </w:p>
        </w:tc>
        <w:tc>
          <w:tcPr>
            <w:tcW w:w="659" w:type="pct"/>
            <w:shd w:val="clear" w:color="auto" w:fill="DDEAEE"/>
            <w:hideMark/>
          </w:tcPr>
          <w:p w14:paraId="1484AD90"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161</w:t>
            </w:r>
          </w:p>
        </w:tc>
      </w:tr>
      <w:tr w:rsidR="009429B3" w14:paraId="40A6318F" w14:textId="77777777" w:rsidTr="009429B3">
        <w:trPr>
          <w:trHeight w:val="303"/>
        </w:trPr>
        <w:tc>
          <w:tcPr>
            <w:tcW w:w="1686" w:type="pct"/>
            <w:shd w:val="clear" w:color="auto" w:fill="EEF6F7"/>
            <w:hideMark/>
          </w:tcPr>
          <w:p w14:paraId="2F83BD43"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הנהלה וכלליות</w:t>
            </w:r>
          </w:p>
        </w:tc>
        <w:tc>
          <w:tcPr>
            <w:tcW w:w="660" w:type="pct"/>
            <w:shd w:val="clear" w:color="auto" w:fill="EEF6F7"/>
            <w:hideMark/>
          </w:tcPr>
          <w:p w14:paraId="6C0092B9"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215</w:t>
            </w:r>
          </w:p>
        </w:tc>
        <w:tc>
          <w:tcPr>
            <w:tcW w:w="660" w:type="pct"/>
            <w:shd w:val="clear" w:color="auto" w:fill="EEF6F7"/>
            <w:hideMark/>
          </w:tcPr>
          <w:p w14:paraId="6D09A5CF"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533</w:t>
            </w:r>
          </w:p>
        </w:tc>
        <w:tc>
          <w:tcPr>
            <w:tcW w:w="664" w:type="pct"/>
            <w:shd w:val="clear" w:color="auto" w:fill="EEF6F7"/>
            <w:hideMark/>
          </w:tcPr>
          <w:p w14:paraId="262AF7E7"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7</w:t>
            </w:r>
          </w:p>
        </w:tc>
        <w:tc>
          <w:tcPr>
            <w:tcW w:w="671" w:type="pct"/>
            <w:shd w:val="clear" w:color="auto" w:fill="EEF6F7"/>
            <w:hideMark/>
          </w:tcPr>
          <w:p w14:paraId="59751C94"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177</w:t>
            </w:r>
          </w:p>
        </w:tc>
        <w:tc>
          <w:tcPr>
            <w:tcW w:w="659" w:type="pct"/>
            <w:shd w:val="clear" w:color="auto" w:fill="EEF6F7"/>
            <w:hideMark/>
          </w:tcPr>
          <w:p w14:paraId="7CD6346D"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69</w:t>
            </w:r>
          </w:p>
        </w:tc>
      </w:tr>
      <w:tr w:rsidR="009429B3" w14:paraId="6941A0D5" w14:textId="77777777" w:rsidTr="009429B3">
        <w:trPr>
          <w:trHeight w:val="303"/>
        </w:trPr>
        <w:tc>
          <w:tcPr>
            <w:tcW w:w="1686" w:type="pct"/>
            <w:shd w:val="clear" w:color="auto" w:fill="DDEAEE"/>
            <w:hideMark/>
          </w:tcPr>
          <w:p w14:paraId="42C80D72"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שיווק ויחסי ציבור</w:t>
            </w:r>
          </w:p>
        </w:tc>
        <w:tc>
          <w:tcPr>
            <w:tcW w:w="660" w:type="pct"/>
            <w:shd w:val="clear" w:color="auto" w:fill="DDEAEE"/>
            <w:hideMark/>
          </w:tcPr>
          <w:p w14:paraId="0FB8A7BB"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0</w:t>
            </w:r>
          </w:p>
        </w:tc>
        <w:tc>
          <w:tcPr>
            <w:tcW w:w="660" w:type="pct"/>
            <w:shd w:val="clear" w:color="auto" w:fill="DDEAEE"/>
            <w:hideMark/>
          </w:tcPr>
          <w:p w14:paraId="3A077831"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23</w:t>
            </w:r>
          </w:p>
        </w:tc>
        <w:tc>
          <w:tcPr>
            <w:tcW w:w="664" w:type="pct"/>
            <w:shd w:val="clear" w:color="auto" w:fill="DDEAEE"/>
            <w:hideMark/>
          </w:tcPr>
          <w:p w14:paraId="4B9ABFAD"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13</w:t>
            </w:r>
          </w:p>
        </w:tc>
        <w:tc>
          <w:tcPr>
            <w:tcW w:w="671" w:type="pct"/>
            <w:shd w:val="clear" w:color="auto" w:fill="DDEAEE"/>
            <w:hideMark/>
          </w:tcPr>
          <w:p w14:paraId="0AB81B74"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17</w:t>
            </w:r>
          </w:p>
        </w:tc>
        <w:tc>
          <w:tcPr>
            <w:tcW w:w="659" w:type="pct"/>
            <w:shd w:val="clear" w:color="auto" w:fill="DDEAEE"/>
            <w:hideMark/>
          </w:tcPr>
          <w:p w14:paraId="5401EF2E" w14:textId="77777777" w:rsidR="007C4395" w:rsidRPr="004C59D3" w:rsidRDefault="007C4395" w:rsidP="009429B3">
            <w:pPr>
              <w:pStyle w:val="71R"/>
              <w:spacing w:line="240" w:lineRule="auto"/>
              <w:rPr>
                <w:rFonts w:eastAsia="Times New Roman"/>
                <w:color w:val="000000"/>
                <w:rtl/>
              </w:rPr>
            </w:pPr>
            <w:r w:rsidRPr="004C59D3">
              <w:rPr>
                <w:rFonts w:eastAsia="Times New Roman" w:hint="cs"/>
                <w:color w:val="000000"/>
                <w:rtl/>
              </w:rPr>
              <w:t>0</w:t>
            </w:r>
          </w:p>
        </w:tc>
      </w:tr>
      <w:tr w:rsidR="009429B3" w14:paraId="64396D49" w14:textId="77777777" w:rsidTr="009429B3">
        <w:trPr>
          <w:trHeight w:val="303"/>
        </w:trPr>
        <w:tc>
          <w:tcPr>
            <w:tcW w:w="1686" w:type="pct"/>
            <w:shd w:val="clear" w:color="auto" w:fill="EEF6F7"/>
            <w:hideMark/>
          </w:tcPr>
          <w:p w14:paraId="15C40584" w14:textId="77777777" w:rsidR="007C4395" w:rsidRPr="004C59D3" w:rsidRDefault="007C4395" w:rsidP="009429B3">
            <w:pPr>
              <w:pStyle w:val="71R"/>
              <w:spacing w:line="240" w:lineRule="auto"/>
              <w:rPr>
                <w:rFonts w:eastAsia="Times New Roman"/>
                <w:rtl/>
              </w:rPr>
            </w:pPr>
            <w:r w:rsidRPr="004C59D3">
              <w:rPr>
                <w:rFonts w:eastAsia="Times New Roman" w:hint="cs"/>
                <w:rtl/>
              </w:rPr>
              <w:t>הוצאות אחרות, נטו</w:t>
            </w:r>
          </w:p>
        </w:tc>
        <w:tc>
          <w:tcPr>
            <w:tcW w:w="660" w:type="pct"/>
            <w:shd w:val="clear" w:color="auto" w:fill="EEF6F7"/>
            <w:hideMark/>
          </w:tcPr>
          <w:p w14:paraId="1C144F47" w14:textId="77777777" w:rsidR="007C4395" w:rsidRPr="004C59D3" w:rsidRDefault="007C4395" w:rsidP="009429B3">
            <w:pPr>
              <w:pStyle w:val="71R"/>
              <w:spacing w:line="240" w:lineRule="auto"/>
              <w:rPr>
                <w:rFonts w:eastAsia="Times New Roman"/>
                <w:rtl/>
              </w:rPr>
            </w:pPr>
            <w:r w:rsidRPr="004C59D3">
              <w:rPr>
                <w:rFonts w:eastAsia="Times New Roman" w:hint="cs"/>
                <w:rtl/>
              </w:rPr>
              <w:t>1,776</w:t>
            </w:r>
          </w:p>
        </w:tc>
        <w:tc>
          <w:tcPr>
            <w:tcW w:w="660" w:type="pct"/>
            <w:shd w:val="clear" w:color="auto" w:fill="EEF6F7"/>
            <w:hideMark/>
          </w:tcPr>
          <w:p w14:paraId="523224B8" w14:textId="77777777" w:rsidR="007C4395" w:rsidRPr="004C59D3" w:rsidRDefault="007C4395" w:rsidP="009429B3">
            <w:pPr>
              <w:pStyle w:val="71R"/>
              <w:spacing w:line="240" w:lineRule="auto"/>
              <w:rPr>
                <w:rFonts w:eastAsia="Times New Roman"/>
                <w:rtl/>
              </w:rPr>
            </w:pPr>
            <w:r w:rsidRPr="004C59D3">
              <w:rPr>
                <w:rFonts w:eastAsia="Times New Roman" w:hint="cs"/>
                <w:rtl/>
              </w:rPr>
              <w:t>50,295</w:t>
            </w:r>
          </w:p>
        </w:tc>
        <w:tc>
          <w:tcPr>
            <w:tcW w:w="664" w:type="pct"/>
            <w:shd w:val="clear" w:color="auto" w:fill="EEF6F7"/>
            <w:hideMark/>
          </w:tcPr>
          <w:p w14:paraId="68B77D16" w14:textId="77777777" w:rsidR="007C4395" w:rsidRPr="004C59D3" w:rsidRDefault="007C4395" w:rsidP="009429B3">
            <w:pPr>
              <w:pStyle w:val="71R"/>
              <w:spacing w:line="240" w:lineRule="auto"/>
              <w:rPr>
                <w:rFonts w:eastAsia="Times New Roman"/>
                <w:rtl/>
              </w:rPr>
            </w:pPr>
            <w:r w:rsidRPr="004C59D3">
              <w:rPr>
                <w:rFonts w:eastAsia="Times New Roman" w:hint="cs"/>
                <w:rtl/>
              </w:rPr>
              <w:t>0</w:t>
            </w:r>
          </w:p>
        </w:tc>
        <w:tc>
          <w:tcPr>
            <w:tcW w:w="671" w:type="pct"/>
            <w:shd w:val="clear" w:color="auto" w:fill="EEF6F7"/>
            <w:hideMark/>
          </w:tcPr>
          <w:p w14:paraId="62469174" w14:textId="77777777" w:rsidR="007C4395" w:rsidRPr="004C59D3" w:rsidRDefault="007C4395" w:rsidP="009429B3">
            <w:pPr>
              <w:pStyle w:val="71R"/>
              <w:spacing w:line="240" w:lineRule="auto"/>
              <w:rPr>
                <w:rFonts w:eastAsia="Times New Roman"/>
                <w:rtl/>
              </w:rPr>
            </w:pPr>
            <w:r w:rsidRPr="004C59D3">
              <w:rPr>
                <w:rFonts w:eastAsia="Times New Roman" w:hint="cs"/>
                <w:rtl/>
              </w:rPr>
              <w:t>63</w:t>
            </w:r>
          </w:p>
        </w:tc>
        <w:tc>
          <w:tcPr>
            <w:tcW w:w="659" w:type="pct"/>
            <w:shd w:val="clear" w:color="auto" w:fill="EEF6F7"/>
            <w:hideMark/>
          </w:tcPr>
          <w:p w14:paraId="4846EE86" w14:textId="77777777" w:rsidR="007C4395" w:rsidRPr="004C59D3" w:rsidRDefault="007C4395" w:rsidP="009429B3">
            <w:pPr>
              <w:pStyle w:val="71R"/>
              <w:spacing w:line="240" w:lineRule="auto"/>
              <w:rPr>
                <w:rFonts w:eastAsia="Times New Roman"/>
                <w:rtl/>
              </w:rPr>
            </w:pPr>
            <w:r w:rsidRPr="004C59D3">
              <w:rPr>
                <w:rFonts w:eastAsia="Times New Roman" w:hint="cs"/>
                <w:rtl/>
              </w:rPr>
              <w:t>1</w:t>
            </w:r>
          </w:p>
        </w:tc>
      </w:tr>
      <w:tr w:rsidR="009429B3" w14:paraId="26547F79" w14:textId="77777777" w:rsidTr="009429B3">
        <w:trPr>
          <w:trHeight w:val="303"/>
        </w:trPr>
        <w:tc>
          <w:tcPr>
            <w:tcW w:w="1686" w:type="pct"/>
            <w:shd w:val="clear" w:color="auto" w:fill="C8DCE4"/>
            <w:hideMark/>
          </w:tcPr>
          <w:p w14:paraId="0A2264DC" w14:textId="77777777" w:rsidR="007C4395" w:rsidRPr="004C59D3" w:rsidRDefault="007C4395" w:rsidP="009429B3">
            <w:pPr>
              <w:pStyle w:val="71R"/>
              <w:spacing w:line="240" w:lineRule="auto"/>
              <w:rPr>
                <w:rFonts w:eastAsia="Times New Roman"/>
                <w:b/>
                <w:bCs/>
                <w:rtl/>
              </w:rPr>
            </w:pPr>
            <w:r w:rsidRPr="004C59D3">
              <w:rPr>
                <w:rFonts w:eastAsia="Times New Roman" w:hint="cs"/>
                <w:b/>
                <w:bCs/>
                <w:rtl/>
              </w:rPr>
              <w:t>סך הכול הוצאות</w:t>
            </w:r>
          </w:p>
        </w:tc>
        <w:tc>
          <w:tcPr>
            <w:tcW w:w="660" w:type="pct"/>
            <w:shd w:val="clear" w:color="auto" w:fill="C8DCE4"/>
            <w:hideMark/>
          </w:tcPr>
          <w:p w14:paraId="64840F81" w14:textId="77777777" w:rsidR="007C4395" w:rsidRPr="004C59D3" w:rsidRDefault="007C4395" w:rsidP="009429B3">
            <w:pPr>
              <w:pStyle w:val="71R"/>
              <w:spacing w:line="240" w:lineRule="auto"/>
              <w:rPr>
                <w:rFonts w:eastAsia="Times New Roman"/>
                <w:b/>
                <w:bCs/>
                <w:rtl/>
              </w:rPr>
            </w:pPr>
            <w:r w:rsidRPr="004C59D3">
              <w:rPr>
                <w:rFonts w:eastAsia="Times New Roman" w:hint="cs"/>
                <w:b/>
                <w:bCs/>
                <w:rtl/>
              </w:rPr>
              <w:t>6,683</w:t>
            </w:r>
          </w:p>
        </w:tc>
        <w:tc>
          <w:tcPr>
            <w:tcW w:w="660" w:type="pct"/>
            <w:shd w:val="clear" w:color="auto" w:fill="C8DCE4"/>
            <w:hideMark/>
          </w:tcPr>
          <w:p w14:paraId="3953C1EC" w14:textId="77777777" w:rsidR="007C4395" w:rsidRPr="004C59D3" w:rsidRDefault="007C4395" w:rsidP="009429B3">
            <w:pPr>
              <w:pStyle w:val="71R"/>
              <w:spacing w:line="240" w:lineRule="auto"/>
              <w:rPr>
                <w:rFonts w:eastAsia="Times New Roman"/>
                <w:b/>
                <w:bCs/>
                <w:rtl/>
              </w:rPr>
            </w:pPr>
            <w:r w:rsidRPr="004C59D3">
              <w:rPr>
                <w:rFonts w:eastAsia="Times New Roman" w:hint="cs"/>
                <w:b/>
                <w:bCs/>
                <w:rtl/>
              </w:rPr>
              <w:t>64,239</w:t>
            </w:r>
          </w:p>
        </w:tc>
        <w:tc>
          <w:tcPr>
            <w:tcW w:w="664" w:type="pct"/>
            <w:shd w:val="clear" w:color="auto" w:fill="C8DCE4"/>
            <w:hideMark/>
          </w:tcPr>
          <w:p w14:paraId="5D435073" w14:textId="77777777" w:rsidR="007C4395" w:rsidRPr="004C59D3" w:rsidRDefault="007C4395" w:rsidP="009429B3">
            <w:pPr>
              <w:pStyle w:val="71R"/>
              <w:spacing w:line="240" w:lineRule="auto"/>
              <w:rPr>
                <w:rFonts w:eastAsia="Times New Roman"/>
                <w:b/>
                <w:bCs/>
                <w:rtl/>
              </w:rPr>
            </w:pPr>
            <w:r w:rsidRPr="004C59D3">
              <w:rPr>
                <w:rFonts w:eastAsia="Times New Roman" w:hint="cs"/>
                <w:b/>
                <w:bCs/>
                <w:rtl/>
              </w:rPr>
              <w:t>1,204</w:t>
            </w:r>
          </w:p>
        </w:tc>
        <w:tc>
          <w:tcPr>
            <w:tcW w:w="671" w:type="pct"/>
            <w:shd w:val="clear" w:color="auto" w:fill="C8DCE4"/>
            <w:hideMark/>
          </w:tcPr>
          <w:p w14:paraId="7A72442F" w14:textId="77777777" w:rsidR="007C4395" w:rsidRPr="004C59D3" w:rsidRDefault="007C4395" w:rsidP="009429B3">
            <w:pPr>
              <w:pStyle w:val="71R"/>
              <w:spacing w:line="240" w:lineRule="auto"/>
              <w:rPr>
                <w:rFonts w:eastAsia="Times New Roman"/>
                <w:b/>
                <w:bCs/>
                <w:rtl/>
              </w:rPr>
            </w:pPr>
            <w:r w:rsidRPr="004C59D3">
              <w:rPr>
                <w:rFonts w:eastAsia="Times New Roman" w:hint="cs"/>
                <w:b/>
                <w:bCs/>
                <w:rtl/>
              </w:rPr>
              <w:t>2,278</w:t>
            </w:r>
          </w:p>
        </w:tc>
        <w:tc>
          <w:tcPr>
            <w:tcW w:w="659" w:type="pct"/>
            <w:shd w:val="clear" w:color="auto" w:fill="C8DCE4"/>
            <w:hideMark/>
          </w:tcPr>
          <w:p w14:paraId="0CAEBB4F" w14:textId="77777777" w:rsidR="007C4395" w:rsidRPr="004C59D3" w:rsidRDefault="007C4395" w:rsidP="009429B3">
            <w:pPr>
              <w:pStyle w:val="71R"/>
              <w:spacing w:line="240" w:lineRule="auto"/>
              <w:rPr>
                <w:rFonts w:eastAsia="Times New Roman"/>
                <w:b/>
                <w:bCs/>
                <w:rtl/>
              </w:rPr>
            </w:pPr>
            <w:r w:rsidRPr="004C59D3">
              <w:rPr>
                <w:rFonts w:eastAsia="Times New Roman" w:hint="cs"/>
                <w:b/>
                <w:bCs/>
                <w:rtl/>
              </w:rPr>
              <w:t>7,004</w:t>
            </w:r>
          </w:p>
        </w:tc>
      </w:tr>
      <w:tr w:rsidR="009429B3" w14:paraId="7CE7BEB6" w14:textId="77777777" w:rsidTr="009429B3">
        <w:trPr>
          <w:trHeight w:val="303"/>
        </w:trPr>
        <w:tc>
          <w:tcPr>
            <w:tcW w:w="1686" w:type="pct"/>
            <w:shd w:val="clear" w:color="auto" w:fill="B6CBD4"/>
            <w:hideMark/>
          </w:tcPr>
          <w:p w14:paraId="12AAFA29" w14:textId="77777777" w:rsidR="007C4395" w:rsidRPr="0072224A" w:rsidRDefault="007C4395" w:rsidP="009429B3">
            <w:pPr>
              <w:pStyle w:val="71R"/>
              <w:spacing w:line="240" w:lineRule="auto"/>
              <w:rPr>
                <w:rFonts w:eastAsia="Times New Roman"/>
                <w:b/>
                <w:bCs/>
                <w:sz w:val="24"/>
                <w:rtl/>
              </w:rPr>
            </w:pPr>
            <w:r w:rsidRPr="0072224A">
              <w:rPr>
                <w:rFonts w:eastAsia="Times New Roman" w:hint="cs"/>
                <w:b/>
                <w:bCs/>
                <w:sz w:val="24"/>
                <w:rtl/>
              </w:rPr>
              <w:t xml:space="preserve">עודף (גירעון) חשבונאי, נטו </w:t>
            </w:r>
          </w:p>
        </w:tc>
        <w:tc>
          <w:tcPr>
            <w:tcW w:w="660" w:type="pct"/>
            <w:shd w:val="clear" w:color="auto" w:fill="B6CBD4"/>
            <w:hideMark/>
          </w:tcPr>
          <w:p w14:paraId="444BA906" w14:textId="77777777" w:rsidR="007C4395" w:rsidRPr="0072224A" w:rsidRDefault="007C4395" w:rsidP="009429B3">
            <w:pPr>
              <w:pStyle w:val="71R"/>
              <w:spacing w:line="240" w:lineRule="auto"/>
              <w:rPr>
                <w:rFonts w:eastAsia="Times New Roman"/>
                <w:b/>
                <w:bCs/>
                <w:sz w:val="24"/>
                <w:rtl/>
              </w:rPr>
            </w:pPr>
            <w:r w:rsidRPr="0072224A">
              <w:rPr>
                <w:rFonts w:eastAsia="Times New Roman" w:hint="cs"/>
                <w:b/>
                <w:bCs/>
                <w:sz w:val="24"/>
                <w:rtl/>
              </w:rPr>
              <w:t>433</w:t>
            </w:r>
          </w:p>
        </w:tc>
        <w:tc>
          <w:tcPr>
            <w:tcW w:w="660" w:type="pct"/>
            <w:shd w:val="clear" w:color="auto" w:fill="B6CBD4"/>
            <w:hideMark/>
          </w:tcPr>
          <w:p w14:paraId="25A01283" w14:textId="77777777" w:rsidR="007C4395" w:rsidRPr="0072224A" w:rsidRDefault="007C4395" w:rsidP="009429B3">
            <w:pPr>
              <w:pStyle w:val="71R"/>
              <w:spacing w:line="240" w:lineRule="auto"/>
              <w:rPr>
                <w:rFonts w:eastAsia="Times New Roman"/>
                <w:b/>
                <w:bCs/>
                <w:sz w:val="24"/>
                <w:rtl/>
              </w:rPr>
            </w:pPr>
            <w:r w:rsidRPr="0072224A">
              <w:rPr>
                <w:rFonts w:eastAsia="Times New Roman" w:hint="cs"/>
                <w:b/>
                <w:bCs/>
                <w:sz w:val="24"/>
                <w:rtl/>
              </w:rPr>
              <w:t>980</w:t>
            </w:r>
          </w:p>
        </w:tc>
        <w:tc>
          <w:tcPr>
            <w:tcW w:w="664" w:type="pct"/>
            <w:shd w:val="clear" w:color="auto" w:fill="B6CBD4"/>
            <w:hideMark/>
          </w:tcPr>
          <w:p w14:paraId="08F3026F" w14:textId="77777777" w:rsidR="007C4395" w:rsidRPr="0072224A" w:rsidRDefault="007C4395" w:rsidP="009429B3">
            <w:pPr>
              <w:pStyle w:val="71R"/>
              <w:spacing w:line="240" w:lineRule="auto"/>
              <w:rPr>
                <w:rFonts w:eastAsia="Times New Roman"/>
                <w:b/>
                <w:bCs/>
                <w:sz w:val="24"/>
                <w:rtl/>
              </w:rPr>
            </w:pPr>
            <w:r w:rsidRPr="0072224A">
              <w:rPr>
                <w:rFonts w:eastAsia="Times New Roman" w:hint="cs"/>
                <w:b/>
                <w:bCs/>
                <w:sz w:val="24"/>
                <w:rtl/>
              </w:rPr>
              <w:t>(72)</w:t>
            </w:r>
          </w:p>
        </w:tc>
        <w:tc>
          <w:tcPr>
            <w:tcW w:w="671" w:type="pct"/>
            <w:shd w:val="clear" w:color="auto" w:fill="B6CBD4"/>
            <w:hideMark/>
          </w:tcPr>
          <w:p w14:paraId="6DB123CE" w14:textId="77777777" w:rsidR="007C4395" w:rsidRPr="0072224A" w:rsidRDefault="007C4395" w:rsidP="009429B3">
            <w:pPr>
              <w:pStyle w:val="71R"/>
              <w:spacing w:line="240" w:lineRule="auto"/>
              <w:rPr>
                <w:rFonts w:eastAsia="Times New Roman"/>
                <w:b/>
                <w:bCs/>
                <w:sz w:val="24"/>
                <w:rtl/>
              </w:rPr>
            </w:pPr>
            <w:r w:rsidRPr="0072224A">
              <w:rPr>
                <w:rFonts w:eastAsia="Times New Roman" w:hint="cs"/>
                <w:b/>
                <w:bCs/>
                <w:sz w:val="24"/>
                <w:rtl/>
              </w:rPr>
              <w:t>(24)</w:t>
            </w:r>
          </w:p>
        </w:tc>
        <w:tc>
          <w:tcPr>
            <w:tcW w:w="659" w:type="pct"/>
            <w:shd w:val="clear" w:color="auto" w:fill="B6CBD4"/>
            <w:hideMark/>
          </w:tcPr>
          <w:p w14:paraId="3FB77A9D" w14:textId="77777777" w:rsidR="007C4395" w:rsidRPr="0072224A" w:rsidRDefault="007C4395" w:rsidP="009429B3">
            <w:pPr>
              <w:pStyle w:val="71R"/>
              <w:spacing w:line="240" w:lineRule="auto"/>
              <w:rPr>
                <w:rFonts w:eastAsia="Times New Roman"/>
                <w:b/>
                <w:bCs/>
                <w:sz w:val="24"/>
                <w:rtl/>
              </w:rPr>
            </w:pPr>
            <w:r w:rsidRPr="0072224A">
              <w:rPr>
                <w:rFonts w:eastAsia="Times New Roman" w:hint="cs"/>
                <w:b/>
                <w:bCs/>
                <w:sz w:val="24"/>
                <w:rtl/>
              </w:rPr>
              <w:t>51</w:t>
            </w:r>
          </w:p>
        </w:tc>
      </w:tr>
    </w:tbl>
    <w:p w14:paraId="618C389D" w14:textId="77777777" w:rsidR="007C4395" w:rsidRPr="00010778" w:rsidRDefault="007C4395" w:rsidP="00010778">
      <w:pPr>
        <w:pStyle w:val="71c"/>
        <w:rPr>
          <w:rtl/>
        </w:rPr>
      </w:pPr>
      <w:r w:rsidRPr="00010778">
        <w:rPr>
          <w:rFonts w:hint="cs"/>
          <w:rtl/>
        </w:rPr>
        <w:t>על פי</w:t>
      </w:r>
      <w:r w:rsidRPr="00010778">
        <w:rPr>
          <w:rtl/>
        </w:rPr>
        <w:t xml:space="preserve"> הדוחות </w:t>
      </w:r>
      <w:r w:rsidRPr="00010778">
        <w:rPr>
          <w:rFonts w:hint="eastAsia"/>
          <w:rtl/>
        </w:rPr>
        <w:t>הכספיים</w:t>
      </w:r>
      <w:r w:rsidRPr="00010778">
        <w:rPr>
          <w:rtl/>
        </w:rPr>
        <w:t xml:space="preserve"> </w:t>
      </w:r>
      <w:r w:rsidRPr="00010778">
        <w:rPr>
          <w:rFonts w:hint="eastAsia"/>
          <w:rtl/>
        </w:rPr>
        <w:t>של</w:t>
      </w:r>
      <w:r w:rsidRPr="00010778">
        <w:rPr>
          <w:rtl/>
        </w:rPr>
        <w:t xml:space="preserve"> </w:t>
      </w:r>
      <w:r w:rsidRPr="00010778">
        <w:rPr>
          <w:rFonts w:hint="eastAsia"/>
          <w:rtl/>
        </w:rPr>
        <w:t>המשרדים</w:t>
      </w:r>
      <w:r w:rsidRPr="00010778">
        <w:rPr>
          <w:rtl/>
        </w:rPr>
        <w:t xml:space="preserve"> לשנת 20</w:t>
      </w:r>
      <w:r w:rsidRPr="00010778">
        <w:rPr>
          <w:rFonts w:hint="cs"/>
          <w:rtl/>
        </w:rPr>
        <w:t>19</w:t>
      </w:r>
      <w:r w:rsidRPr="00010778">
        <w:rPr>
          <w:rtl/>
        </w:rPr>
        <w:t>, בעיבוד משרד מבקר המדינה.</w:t>
      </w:r>
    </w:p>
    <w:p w14:paraId="5B64B979" w14:textId="77777777" w:rsidR="007C4395" w:rsidRDefault="007C4395" w:rsidP="00010778">
      <w:pPr>
        <w:pStyle w:val="7190"/>
        <w:rPr>
          <w:rtl/>
        </w:rPr>
      </w:pPr>
      <w:r w:rsidRPr="00010778">
        <w:rPr>
          <w:rFonts w:hint="cs"/>
          <w:rtl/>
        </w:rPr>
        <w:lastRenderedPageBreak/>
        <w:t>להלן ניתוח לכל משרד ומשרד בהתאם ללוחות לעיל:</w:t>
      </w:r>
    </w:p>
    <w:p w14:paraId="422C3A03" w14:textId="2D1763BB" w:rsidR="007C4395" w:rsidRDefault="007C4395" w:rsidP="0038598B">
      <w:pPr>
        <w:pStyle w:val="71512"/>
        <w:numPr>
          <w:ilvl w:val="0"/>
          <w:numId w:val="24"/>
        </w:numPr>
        <w:ind w:left="424" w:hanging="425"/>
      </w:pPr>
      <w:r>
        <w:rPr>
          <w:rFonts w:hint="cs"/>
          <w:rtl/>
        </w:rPr>
        <w:t>משרד הבינוי והשיכון</w:t>
      </w:r>
    </w:p>
    <w:p w14:paraId="35BA63E0" w14:textId="77777777" w:rsidR="007C4395" w:rsidRDefault="007C4395" w:rsidP="00675951">
      <w:pPr>
        <w:pStyle w:val="71f3"/>
        <w:rPr>
          <w:rtl/>
        </w:rPr>
      </w:pPr>
      <w:r>
        <w:rPr>
          <w:rFonts w:hint="cs"/>
          <w:rtl/>
        </w:rPr>
        <w:t xml:space="preserve">היקף ההכנסות מעסקאות חליפין של משרד הבינוי והשיכון הוא הגבוה ביותר מקרב המשרדים שנבדקו. סעיף הכנסות מעסקאות חליפין כולל תת-סעיף בשם "הכנסות מביצוע עבודות". תת-סעיף זה רשם קיטון של 37% בשנת 2020 לעומת שנת 2019 (יצוין כי ההכנסות מביצוע עבודות משקפות את ההכרה בהכנסה מרווח אפס בשנה ספציפית ולא את תקבולי המזומנים. הירידה בסך ההכנסות בשנת 2020 לעומת שנת 2019 נובעת בין השאר מתקבולים עבור חוב של </w:t>
      </w:r>
      <w:proofErr w:type="spellStart"/>
      <w:r>
        <w:rPr>
          <w:rFonts w:hint="cs"/>
          <w:rtl/>
        </w:rPr>
        <w:t>רמ"י</w:t>
      </w:r>
      <w:proofErr w:type="spellEnd"/>
      <w:r>
        <w:rPr>
          <w:rFonts w:hint="cs"/>
          <w:rtl/>
        </w:rPr>
        <w:t xml:space="preserve"> שנרשמו בשנת 2019 כהכנסות אחרות). כמו כן, בהתאם לדוחות הכספיים של משרד הבינוי והשיכון חלה ירידה בהיקף שיווק הקרקעות בשל משבר הקורונה, דבר שעשוי להשפיע על היקף ההכנסות העתידיות של המדינה וכן על מחירי הדיור.</w:t>
      </w:r>
    </w:p>
    <w:p w14:paraId="4A965999" w14:textId="747CFBB4" w:rsidR="007C4395" w:rsidRPr="009E2DBF" w:rsidRDefault="007C4395" w:rsidP="0038598B">
      <w:pPr>
        <w:pStyle w:val="71512"/>
        <w:numPr>
          <w:ilvl w:val="0"/>
          <w:numId w:val="24"/>
        </w:numPr>
        <w:ind w:left="424" w:hanging="425"/>
      </w:pPr>
      <w:r w:rsidRPr="009E2DBF">
        <w:rPr>
          <w:rFonts w:hint="cs"/>
          <w:rtl/>
        </w:rPr>
        <w:t>משרד הבריאות</w:t>
      </w:r>
    </w:p>
    <w:p w14:paraId="04F81887" w14:textId="77777777" w:rsidR="007C4395" w:rsidRPr="00E61946" w:rsidRDefault="007C4395" w:rsidP="00675951">
      <w:pPr>
        <w:pStyle w:val="71f3"/>
        <w:rPr>
          <w:rtl/>
        </w:rPr>
      </w:pPr>
      <w:r w:rsidRPr="00E61946">
        <w:rPr>
          <w:rFonts w:hint="cs"/>
          <w:rtl/>
        </w:rPr>
        <w:t xml:space="preserve">ההוצאות התפעוליות במשרד הבריאות הן הגבוהות ביותר מקרב המשרדים שנבדקו. הוצאות אלו אף גדלו ב-81% לעומת שנת 2019. הגידול נבע בעיקר מקניית שירותים רפואיים מגורמים חיצוניים (גידול של כ-2.1 מיליון ש"ח); ציוד עזר רפואי (גידול של כ-2.6 מיליון ש"ח); השתתפות בהפעלת מוסדות ציבור (גידול של כ-1.3 מיליון ש"ח). בהתאם לדוחות הכספיים של משרד הבריאות, למשבר הקורונה הייתה השפעה מכרעת על הגידול האמור, בין היתר בתקצוב כספים לצורך כיסוי הפגיעה בבתי החולים עקב מעבר לפעילות אלקטיבית מותאמת, רכש והצטיידות של ציוד מגן מתכלה, תרופות וכן רכישת חיסוני קורונה. </w:t>
      </w:r>
    </w:p>
    <w:p w14:paraId="3CD1B3A2" w14:textId="08652F86" w:rsidR="007C4395" w:rsidRDefault="007C4395" w:rsidP="0038598B">
      <w:pPr>
        <w:pStyle w:val="71512"/>
        <w:numPr>
          <w:ilvl w:val="0"/>
          <w:numId w:val="24"/>
        </w:numPr>
        <w:ind w:left="424" w:hanging="425"/>
        <w:rPr>
          <w:rtl/>
        </w:rPr>
      </w:pPr>
      <w:r w:rsidRPr="009E2DBF">
        <w:rPr>
          <w:rFonts w:hint="cs"/>
          <w:rtl/>
        </w:rPr>
        <w:t>משרד הכלכלה והת</w:t>
      </w:r>
      <w:r>
        <w:rPr>
          <w:rFonts w:hint="cs"/>
          <w:rtl/>
        </w:rPr>
        <w:t>עשייה</w:t>
      </w:r>
    </w:p>
    <w:p w14:paraId="53E5175B" w14:textId="77777777" w:rsidR="007C4395" w:rsidRDefault="007C4395" w:rsidP="00675951">
      <w:pPr>
        <w:pStyle w:val="71f3"/>
        <w:rPr>
          <w:rtl/>
        </w:rPr>
      </w:pPr>
      <w:r w:rsidRPr="009E2DBF">
        <w:rPr>
          <w:rFonts w:hint="cs"/>
          <w:rtl/>
        </w:rPr>
        <w:t>מה</w:t>
      </w:r>
      <w:r>
        <w:rPr>
          <w:rFonts w:hint="cs"/>
          <w:rtl/>
        </w:rPr>
        <w:t>דוחות</w:t>
      </w:r>
      <w:r w:rsidRPr="009E2DBF">
        <w:rPr>
          <w:rFonts w:hint="cs"/>
          <w:rtl/>
        </w:rPr>
        <w:t xml:space="preserve"> הכספיים של משרד הכלכלה והתעשייה עולה כי חל גידול של כ-92% בהיקף התמיכות בשנת 2020 לעומת שנת 2019. משבר הקורונה השפיע בעיקר על התמיכות ו</w:t>
      </w:r>
      <w:r>
        <w:rPr>
          <w:rFonts w:hint="cs"/>
          <w:rtl/>
        </w:rPr>
        <w:t>על ה</w:t>
      </w:r>
      <w:r w:rsidRPr="009E2DBF">
        <w:rPr>
          <w:rFonts w:hint="cs"/>
          <w:rtl/>
        </w:rPr>
        <w:t xml:space="preserve">מענקים </w:t>
      </w:r>
      <w:r>
        <w:rPr>
          <w:rFonts w:hint="cs"/>
          <w:rtl/>
        </w:rPr>
        <w:t>ה</w:t>
      </w:r>
      <w:r w:rsidRPr="009E2DBF">
        <w:rPr>
          <w:rFonts w:hint="cs"/>
          <w:rtl/>
        </w:rPr>
        <w:t>מיוחדים להתמודדות במשבר</w:t>
      </w:r>
      <w:r>
        <w:rPr>
          <w:rFonts w:hint="cs"/>
          <w:rtl/>
        </w:rPr>
        <w:t>,</w:t>
      </w:r>
      <w:r w:rsidRPr="009E2DBF">
        <w:rPr>
          <w:rFonts w:hint="cs"/>
          <w:rtl/>
        </w:rPr>
        <w:t xml:space="preserve"> בה</w:t>
      </w:r>
      <w:r>
        <w:rPr>
          <w:rFonts w:hint="cs"/>
          <w:rtl/>
        </w:rPr>
        <w:t>ם</w:t>
      </w:r>
      <w:r w:rsidRPr="009E2DBF">
        <w:rPr>
          <w:rFonts w:hint="cs"/>
          <w:rtl/>
        </w:rPr>
        <w:t xml:space="preserve"> סיוע בהתאמות לעסקים, סיוע למעונות יום פרטיים, קידום היצוא לחו"ל, מענק לשימור עובדים ושיפוי רשויות מקומיות בגין ארנונה.</w:t>
      </w:r>
    </w:p>
    <w:p w14:paraId="16BDDF2B" w14:textId="399C9A1C" w:rsidR="007C4395" w:rsidRDefault="007C4395" w:rsidP="0038598B">
      <w:pPr>
        <w:pStyle w:val="71512"/>
        <w:numPr>
          <w:ilvl w:val="0"/>
          <w:numId w:val="24"/>
        </w:numPr>
        <w:ind w:left="424" w:hanging="425"/>
        <w:rPr>
          <w:rtl/>
        </w:rPr>
      </w:pPr>
      <w:r>
        <w:rPr>
          <w:rFonts w:hint="cs"/>
          <w:rtl/>
        </w:rPr>
        <w:t>משרד המשפטים</w:t>
      </w:r>
    </w:p>
    <w:p w14:paraId="0D2737AF" w14:textId="77777777" w:rsidR="007C4395" w:rsidRPr="009E2DBF" w:rsidRDefault="007C4395" w:rsidP="00675951">
      <w:pPr>
        <w:pStyle w:val="71f3"/>
        <w:rPr>
          <w:rtl/>
        </w:rPr>
      </w:pPr>
      <w:r>
        <w:rPr>
          <w:rFonts w:hint="cs"/>
          <w:rtl/>
        </w:rPr>
        <w:t xml:space="preserve">משרד </w:t>
      </w:r>
      <w:r w:rsidRPr="009E2DBF">
        <w:rPr>
          <w:rFonts w:hint="cs"/>
          <w:rtl/>
        </w:rPr>
        <w:t>המשפטים ציין ב</w:t>
      </w:r>
      <w:r>
        <w:rPr>
          <w:rFonts w:hint="cs"/>
          <w:rtl/>
        </w:rPr>
        <w:t>דוחות</w:t>
      </w:r>
      <w:r w:rsidRPr="009E2DBF">
        <w:rPr>
          <w:rFonts w:hint="cs"/>
          <w:rtl/>
        </w:rPr>
        <w:t xml:space="preserve"> הכספיים של</w:t>
      </w:r>
      <w:r>
        <w:rPr>
          <w:rFonts w:hint="cs"/>
          <w:rtl/>
        </w:rPr>
        <w:t>ו של</w:t>
      </w:r>
      <w:r w:rsidRPr="009E2DBF">
        <w:rPr>
          <w:rFonts w:hint="cs"/>
          <w:rtl/>
        </w:rPr>
        <w:t xml:space="preserve">משבר הקורונה הייתה השפעה על המישור הארגוני של המשרד, בין היתר בהרחבת יכולת </w:t>
      </w:r>
      <w:r>
        <w:rPr>
          <w:rFonts w:hint="cs"/>
          <w:rtl/>
        </w:rPr>
        <w:t>ה</w:t>
      </w:r>
      <w:r w:rsidRPr="009E2DBF">
        <w:rPr>
          <w:rFonts w:hint="cs"/>
          <w:rtl/>
        </w:rPr>
        <w:t>עבודה מרחוק, רכש רישיונות תוכנה לחיבור מרחוק ותוכנות גישה. בהתאם, המשרד מציג ב</w:t>
      </w:r>
      <w:r>
        <w:rPr>
          <w:rFonts w:hint="cs"/>
          <w:rtl/>
        </w:rPr>
        <w:t>דוחות</w:t>
      </w:r>
      <w:r w:rsidRPr="009E2DBF">
        <w:rPr>
          <w:rFonts w:hint="cs"/>
          <w:rtl/>
        </w:rPr>
        <w:t xml:space="preserve">יו הכספיים לשנת 2020 במסגרת ההוצאות התפעוליות, גידול של הוצאות תחזוקת מחשוב וציוד </w:t>
      </w:r>
      <w:r>
        <w:rPr>
          <w:rFonts w:hint="cs"/>
          <w:rtl/>
        </w:rPr>
        <w:t xml:space="preserve">- </w:t>
      </w:r>
      <w:proofErr w:type="spellStart"/>
      <w:r w:rsidRPr="009E2DBF">
        <w:rPr>
          <w:rFonts w:hint="cs"/>
          <w:rtl/>
        </w:rPr>
        <w:t>מכ</w:t>
      </w:r>
      <w:proofErr w:type="spellEnd"/>
      <w:r w:rsidRPr="009E2DBF">
        <w:rPr>
          <w:rFonts w:hint="cs"/>
          <w:rtl/>
        </w:rPr>
        <w:t xml:space="preserve">-129 מיליון ש"ח </w:t>
      </w:r>
      <w:r>
        <w:rPr>
          <w:rFonts w:hint="cs"/>
          <w:rtl/>
        </w:rPr>
        <w:t xml:space="preserve">בשנת 2019 </w:t>
      </w:r>
      <w:proofErr w:type="spellStart"/>
      <w:r w:rsidRPr="009E2DBF">
        <w:rPr>
          <w:rFonts w:hint="cs"/>
          <w:rtl/>
        </w:rPr>
        <w:t>לכ</w:t>
      </w:r>
      <w:proofErr w:type="spellEnd"/>
      <w:r w:rsidRPr="009E2DBF">
        <w:rPr>
          <w:rFonts w:hint="cs"/>
          <w:rtl/>
        </w:rPr>
        <w:t>-164 מיליון ש"ח</w:t>
      </w:r>
      <w:r>
        <w:rPr>
          <w:rFonts w:hint="cs"/>
          <w:rtl/>
        </w:rPr>
        <w:t xml:space="preserve"> בשנת 2020</w:t>
      </w:r>
      <w:r w:rsidRPr="009E2DBF">
        <w:rPr>
          <w:rFonts w:hint="cs"/>
          <w:rtl/>
        </w:rPr>
        <w:t xml:space="preserve"> (גידול של כ-27%).</w:t>
      </w:r>
    </w:p>
    <w:p w14:paraId="348FFDDB" w14:textId="2C618400" w:rsidR="007C4395" w:rsidRPr="009E2DBF" w:rsidRDefault="007C4395" w:rsidP="0038598B">
      <w:pPr>
        <w:pStyle w:val="71512"/>
        <w:numPr>
          <w:ilvl w:val="0"/>
          <w:numId w:val="24"/>
        </w:numPr>
        <w:ind w:left="424" w:hanging="425"/>
        <w:rPr>
          <w:rtl/>
        </w:rPr>
      </w:pPr>
      <w:r w:rsidRPr="009E2DBF">
        <w:rPr>
          <w:rFonts w:hint="cs"/>
          <w:rtl/>
        </w:rPr>
        <w:t>משרד הפנים</w:t>
      </w:r>
    </w:p>
    <w:p w14:paraId="130A86C4" w14:textId="77777777" w:rsidR="007C4395" w:rsidRDefault="007C4395" w:rsidP="00675951">
      <w:pPr>
        <w:pStyle w:val="71f3"/>
        <w:rPr>
          <w:rtl/>
        </w:rPr>
      </w:pPr>
      <w:r>
        <w:rPr>
          <w:rFonts w:hint="cs"/>
          <w:rtl/>
        </w:rPr>
        <w:t xml:space="preserve">סעיף התמיכות מהותי בדוחות הכספיים לשנה זו והסתכם </w:t>
      </w:r>
      <w:proofErr w:type="spellStart"/>
      <w:r>
        <w:rPr>
          <w:rFonts w:hint="cs"/>
          <w:rtl/>
        </w:rPr>
        <w:t>בכ</w:t>
      </w:r>
      <w:proofErr w:type="spellEnd"/>
      <w:r>
        <w:rPr>
          <w:rFonts w:hint="cs"/>
          <w:rtl/>
        </w:rPr>
        <w:t xml:space="preserve">-9.3 מיליארד ש"ח, והוא גדל בשנת 2020 </w:t>
      </w:r>
      <w:proofErr w:type="spellStart"/>
      <w:r>
        <w:rPr>
          <w:rFonts w:hint="cs"/>
          <w:rtl/>
        </w:rPr>
        <w:t>בכ</w:t>
      </w:r>
      <w:proofErr w:type="spellEnd"/>
      <w:r>
        <w:rPr>
          <w:rFonts w:hint="cs"/>
          <w:rtl/>
        </w:rPr>
        <w:t xml:space="preserve">-42% לעומת שנת 2019. מהביאור לסעיף עולה כי הגידול נובע בעיקר </w:t>
      </w:r>
      <w:r>
        <w:rPr>
          <w:rFonts w:hint="cs"/>
          <w:rtl/>
        </w:rPr>
        <w:lastRenderedPageBreak/>
        <w:t>מסיוע בתשתית לרשויות מקומיות בסכום של כ-3.5 מיליארד ש"ח. כמו כן, לפי הדוח הכספי השפיע משבר הקורונה על הדוחות הכספיים הן בהקצאת שיפוי תקציבי לרשויות מקומיות בשל הנחיית הממשלה על הנחה בארנונה, והן בגיבוש ובקידום של מיזם הסיוע "ביטחון תזונתי למשפחות מוחלשות".</w:t>
      </w:r>
    </w:p>
    <w:p w14:paraId="15E0B644" w14:textId="77777777" w:rsidR="007C4395" w:rsidRPr="004E7C9A" w:rsidRDefault="007C4395" w:rsidP="00675951">
      <w:pPr>
        <w:pStyle w:val="71f3"/>
        <w:rPr>
          <w:rtl/>
        </w:rPr>
      </w:pPr>
      <w:r>
        <w:rPr>
          <w:rFonts w:hint="cs"/>
          <w:rtl/>
        </w:rPr>
        <w:t xml:space="preserve">בתשובת משרד הפנים מינואר 2022 (להלן - תשובת משרד הפנים) צוין כי </w:t>
      </w:r>
      <w:r w:rsidRPr="000D4ABE">
        <w:rPr>
          <w:rtl/>
        </w:rPr>
        <w:t>רובו ככולו של הגידול בסעיף התמיכות מקורו בתקצוב נוסף</w:t>
      </w:r>
      <w:r>
        <w:rPr>
          <w:rFonts w:hint="cs"/>
          <w:rtl/>
        </w:rPr>
        <w:t xml:space="preserve"> לרשויות המקומיות</w:t>
      </w:r>
      <w:r w:rsidRPr="000D4ABE">
        <w:rPr>
          <w:rtl/>
        </w:rPr>
        <w:t xml:space="preserve"> לצורך התמודדות</w:t>
      </w:r>
      <w:r>
        <w:rPr>
          <w:rFonts w:hint="cs"/>
          <w:rtl/>
        </w:rPr>
        <w:t>ן</w:t>
      </w:r>
      <w:r w:rsidRPr="000D4ABE">
        <w:rPr>
          <w:rtl/>
        </w:rPr>
        <w:t xml:space="preserve"> עם משבר הקורונה. </w:t>
      </w:r>
      <w:r>
        <w:rPr>
          <w:rFonts w:hint="cs"/>
          <w:rtl/>
        </w:rPr>
        <w:t>משרד הפנים ציין כי ב</w:t>
      </w:r>
      <w:r w:rsidRPr="000D4ABE">
        <w:rPr>
          <w:rtl/>
        </w:rPr>
        <w:t>דוחות הכספיים של</w:t>
      </w:r>
      <w:r>
        <w:rPr>
          <w:rFonts w:hint="cs"/>
          <w:rtl/>
        </w:rPr>
        <w:t>ו</w:t>
      </w:r>
      <w:r w:rsidRPr="000D4ABE">
        <w:rPr>
          <w:rtl/>
        </w:rPr>
        <w:t xml:space="preserve"> הגידול מופיע תחת </w:t>
      </w:r>
      <w:r>
        <w:rPr>
          <w:rFonts w:hint="cs"/>
          <w:rtl/>
        </w:rPr>
        <w:t>ה</w:t>
      </w:r>
      <w:r w:rsidRPr="000D4ABE">
        <w:rPr>
          <w:rtl/>
        </w:rPr>
        <w:t xml:space="preserve">סעיף </w:t>
      </w:r>
      <w:r>
        <w:rPr>
          <w:rFonts w:hint="cs"/>
          <w:rtl/>
        </w:rPr>
        <w:t>"</w:t>
      </w:r>
      <w:r w:rsidRPr="000D4ABE">
        <w:rPr>
          <w:rtl/>
        </w:rPr>
        <w:t>סיוע בתשתיות לרשויות מקומיות</w:t>
      </w:r>
      <w:r>
        <w:rPr>
          <w:rFonts w:hint="cs"/>
          <w:rtl/>
        </w:rPr>
        <w:t>",</w:t>
      </w:r>
      <w:r w:rsidRPr="000D4ABE">
        <w:rPr>
          <w:rtl/>
        </w:rPr>
        <w:t xml:space="preserve"> שהו</w:t>
      </w:r>
      <w:r>
        <w:rPr>
          <w:rFonts w:hint="cs"/>
          <w:rtl/>
        </w:rPr>
        <w:t>א</w:t>
      </w:r>
      <w:r w:rsidRPr="000D4ABE">
        <w:rPr>
          <w:rtl/>
        </w:rPr>
        <w:t xml:space="preserve"> סעיף גנרי שהגד</w:t>
      </w:r>
      <w:r>
        <w:rPr>
          <w:rFonts w:hint="cs"/>
          <w:rtl/>
        </w:rPr>
        <w:t>י</w:t>
      </w:r>
      <w:r w:rsidRPr="000D4ABE">
        <w:rPr>
          <w:rtl/>
        </w:rPr>
        <w:t xml:space="preserve">ר </w:t>
      </w:r>
      <w:proofErr w:type="spellStart"/>
      <w:r w:rsidRPr="000D4ABE">
        <w:rPr>
          <w:rtl/>
        </w:rPr>
        <w:t>החשכ"</w:t>
      </w:r>
      <w:r>
        <w:rPr>
          <w:rtl/>
        </w:rPr>
        <w:t>ל</w:t>
      </w:r>
      <w:proofErr w:type="spellEnd"/>
      <w:r>
        <w:rPr>
          <w:rtl/>
        </w:rPr>
        <w:t>.</w:t>
      </w:r>
    </w:p>
    <w:p w14:paraId="3922CCB1" w14:textId="33B50434" w:rsidR="007C4395" w:rsidRPr="006F4D0D" w:rsidRDefault="007C4395" w:rsidP="002A738D">
      <w:pPr>
        <w:pStyle w:val="7190"/>
        <w:rPr>
          <w:sz w:val="20"/>
          <w:szCs w:val="24"/>
          <w:rtl/>
        </w:rPr>
      </w:pPr>
      <w:r>
        <w:rPr>
          <w:rFonts w:hint="cs"/>
          <w:rtl/>
        </w:rPr>
        <w:t>ניתן לראות שלמשבר הקורונה הייתה השפעה עמוקה על דוחותיהם הכספיים של משרדי הממשלה שנבדקו. המשרדים שנבדקו, ובעיקר משרד הבריאות, הושפעו מעלייה לא צפויה בהוצאות (בעיקר בהוצאות התפעוליות) לשם התמודדות רציפה עם המשבר.</w:t>
      </w:r>
    </w:p>
    <w:p w14:paraId="071362D1" w14:textId="77777777" w:rsidR="007C4395" w:rsidRDefault="007C4395" w:rsidP="006F4D0D">
      <w:pPr>
        <w:pStyle w:val="71414"/>
        <w:rPr>
          <w:rtl/>
        </w:rPr>
      </w:pPr>
      <w:r>
        <w:rPr>
          <w:rFonts w:hint="cs"/>
          <w:rtl/>
        </w:rPr>
        <w:t>דוחות על המצב הכספי</w:t>
      </w:r>
    </w:p>
    <w:p w14:paraId="0DC2AE77" w14:textId="77777777" w:rsidR="007C4395" w:rsidRDefault="007C4395" w:rsidP="002A738D">
      <w:pPr>
        <w:pStyle w:val="7190"/>
        <w:rPr>
          <w:rtl/>
        </w:rPr>
      </w:pPr>
      <w:r>
        <w:rPr>
          <w:rFonts w:hint="cs"/>
          <w:rtl/>
        </w:rPr>
        <w:t>להלן תמצית נתוני המצב הכספי כפי שהופיעו בדוחות הכספיים של משרדי הממשלה שנבדקו:</w:t>
      </w:r>
    </w:p>
    <w:p w14:paraId="00ABCA19" w14:textId="77777777" w:rsidR="007C4395" w:rsidRPr="004E7C9A" w:rsidRDefault="007C4395" w:rsidP="007C4395">
      <w:pPr>
        <w:bidi w:val="0"/>
        <w:spacing w:after="200" w:line="276" w:lineRule="auto"/>
        <w:rPr>
          <w:rtl/>
        </w:rPr>
      </w:pPr>
      <w:r>
        <w:rPr>
          <w:rtl/>
        </w:rPr>
        <w:br w:type="page"/>
      </w:r>
    </w:p>
    <w:p w14:paraId="5974E3C4" w14:textId="77777777" w:rsidR="007C4395" w:rsidRPr="00EC550D" w:rsidRDefault="007C4395" w:rsidP="00EC550D">
      <w:pPr>
        <w:pStyle w:val="71a"/>
        <w:rPr>
          <w:rtl/>
        </w:rPr>
      </w:pPr>
      <w:r w:rsidRPr="00EC550D">
        <w:rPr>
          <w:rFonts w:hint="cs"/>
          <w:b w:val="0"/>
          <w:bCs w:val="0"/>
          <w:rtl/>
        </w:rPr>
        <w:lastRenderedPageBreak/>
        <w:t>לוח 7:</w:t>
      </w:r>
      <w:r w:rsidRPr="00EC550D">
        <w:rPr>
          <w:rFonts w:hint="cs"/>
          <w:rtl/>
        </w:rPr>
        <w:t xml:space="preserve"> נתוני המצב הכספי ליום 31.12.2020 (במיליוני ש"ח)</w:t>
      </w:r>
    </w:p>
    <w:tbl>
      <w:tblPr>
        <w:tblStyle w:val="230"/>
        <w:bidiVisual/>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2231"/>
        <w:gridCol w:w="1021"/>
        <w:gridCol w:w="1022"/>
        <w:gridCol w:w="1025"/>
        <w:gridCol w:w="1022"/>
        <w:gridCol w:w="1039"/>
      </w:tblGrid>
      <w:tr w:rsidR="009E6326" w14:paraId="609D7FD7" w14:textId="77777777" w:rsidTr="00AA7459">
        <w:trPr>
          <w:trHeight w:val="567"/>
        </w:trPr>
        <w:tc>
          <w:tcPr>
            <w:tcW w:w="1516" w:type="pct"/>
            <w:shd w:val="clear" w:color="auto" w:fill="B6CBD4"/>
            <w:vAlign w:val="center"/>
            <w:hideMark/>
          </w:tcPr>
          <w:p w14:paraId="7452C95E" w14:textId="77777777" w:rsidR="009E6326" w:rsidRDefault="009E6326" w:rsidP="00AA7459">
            <w:pPr>
              <w:spacing w:line="240" w:lineRule="auto"/>
              <w:jc w:val="left"/>
              <w:rPr>
                <w:rFonts w:ascii="Arial" w:hAnsi="Arial"/>
                <w:color w:val="FFFFFF"/>
                <w:sz w:val="22"/>
                <w:szCs w:val="22"/>
                <w:u w:val="single"/>
              </w:rPr>
            </w:pPr>
          </w:p>
        </w:tc>
        <w:tc>
          <w:tcPr>
            <w:tcW w:w="3484" w:type="pct"/>
            <w:gridSpan w:val="5"/>
            <w:shd w:val="clear" w:color="auto" w:fill="B6CBD4"/>
            <w:vAlign w:val="center"/>
            <w:hideMark/>
          </w:tcPr>
          <w:p w14:paraId="2704076C" w14:textId="528C4D1C" w:rsidR="009E6326" w:rsidRPr="009E6326" w:rsidRDefault="009E6326" w:rsidP="00AA7459">
            <w:pPr>
              <w:pStyle w:val="71B0"/>
              <w:spacing w:line="240" w:lineRule="auto"/>
              <w:rPr>
                <w:rtl/>
              </w:rPr>
            </w:pPr>
            <w:r w:rsidRPr="009E6326">
              <w:rPr>
                <w:rFonts w:hint="cs"/>
                <w:rtl/>
              </w:rPr>
              <w:t>משרדי ממשלה נבדקים, דוח כספי</w:t>
            </w:r>
            <w:r w:rsidR="00481D6E">
              <w:t xml:space="preserve"> </w:t>
            </w:r>
            <w:r w:rsidRPr="009E6326">
              <w:rPr>
                <w:rFonts w:hint="cs"/>
                <w:rtl/>
              </w:rPr>
              <w:t>ליום 31 בדצמבר 2020</w:t>
            </w:r>
          </w:p>
        </w:tc>
      </w:tr>
      <w:tr w:rsidR="00633AF4" w14:paraId="38F32FF9" w14:textId="77777777" w:rsidTr="00F03460">
        <w:trPr>
          <w:trHeight w:val="20"/>
        </w:trPr>
        <w:tc>
          <w:tcPr>
            <w:tcW w:w="1516" w:type="pct"/>
            <w:shd w:val="clear" w:color="auto" w:fill="C8DCE4"/>
            <w:vAlign w:val="bottom"/>
            <w:hideMark/>
          </w:tcPr>
          <w:p w14:paraId="3DCAB195" w14:textId="77777777" w:rsidR="007C4395" w:rsidRPr="009E6326" w:rsidRDefault="007C4395" w:rsidP="00490127">
            <w:pPr>
              <w:pStyle w:val="71R"/>
              <w:spacing w:before="80" w:line="240" w:lineRule="auto"/>
              <w:rPr>
                <w:b/>
                <w:bCs/>
                <w:rtl/>
              </w:rPr>
            </w:pPr>
            <w:r w:rsidRPr="009E6326">
              <w:rPr>
                <w:rFonts w:hint="cs"/>
                <w:b/>
                <w:bCs/>
                <w:rtl/>
              </w:rPr>
              <w:t> </w:t>
            </w:r>
          </w:p>
        </w:tc>
        <w:tc>
          <w:tcPr>
            <w:tcW w:w="694" w:type="pct"/>
            <w:shd w:val="clear" w:color="auto" w:fill="C8DCE4"/>
            <w:vAlign w:val="bottom"/>
            <w:hideMark/>
          </w:tcPr>
          <w:p w14:paraId="240B6DDC" w14:textId="77777777" w:rsidR="007C4395" w:rsidRPr="009E6326" w:rsidRDefault="007C4395" w:rsidP="00490127">
            <w:pPr>
              <w:pStyle w:val="71R"/>
              <w:spacing w:before="80" w:line="240" w:lineRule="auto"/>
              <w:rPr>
                <w:b/>
                <w:bCs/>
                <w:color w:val="000000"/>
                <w:rtl/>
              </w:rPr>
            </w:pPr>
            <w:r w:rsidRPr="009E6326">
              <w:rPr>
                <w:rFonts w:hint="cs"/>
                <w:b/>
                <w:bCs/>
                <w:color w:val="000000"/>
                <w:rtl/>
              </w:rPr>
              <w:t>הבינוי והשיכון</w:t>
            </w:r>
          </w:p>
        </w:tc>
        <w:tc>
          <w:tcPr>
            <w:tcW w:w="694" w:type="pct"/>
            <w:shd w:val="clear" w:color="auto" w:fill="C8DCE4"/>
            <w:vAlign w:val="bottom"/>
            <w:hideMark/>
          </w:tcPr>
          <w:p w14:paraId="65824465" w14:textId="77777777" w:rsidR="007C4395" w:rsidRPr="009E6326" w:rsidRDefault="007C4395" w:rsidP="00490127">
            <w:pPr>
              <w:pStyle w:val="71R"/>
              <w:spacing w:before="80" w:line="240" w:lineRule="auto"/>
              <w:rPr>
                <w:b/>
                <w:bCs/>
                <w:color w:val="000000"/>
                <w:rtl/>
              </w:rPr>
            </w:pPr>
            <w:r w:rsidRPr="009E6326">
              <w:rPr>
                <w:rFonts w:hint="cs"/>
                <w:b/>
                <w:bCs/>
                <w:color w:val="000000"/>
                <w:rtl/>
              </w:rPr>
              <w:t>הבריאות</w:t>
            </w:r>
          </w:p>
        </w:tc>
        <w:tc>
          <w:tcPr>
            <w:tcW w:w="696" w:type="pct"/>
            <w:shd w:val="clear" w:color="auto" w:fill="C8DCE4"/>
            <w:vAlign w:val="bottom"/>
            <w:hideMark/>
          </w:tcPr>
          <w:p w14:paraId="5186CEBA" w14:textId="77777777" w:rsidR="007C4395" w:rsidRPr="009E6326" w:rsidRDefault="007C4395" w:rsidP="00490127">
            <w:pPr>
              <w:pStyle w:val="71R"/>
              <w:spacing w:before="80" w:line="240" w:lineRule="auto"/>
              <w:rPr>
                <w:b/>
                <w:bCs/>
                <w:color w:val="000000"/>
                <w:rtl/>
              </w:rPr>
            </w:pPr>
            <w:r w:rsidRPr="009E6326">
              <w:rPr>
                <w:rFonts w:hint="cs"/>
                <w:b/>
                <w:bCs/>
                <w:color w:val="000000"/>
                <w:rtl/>
              </w:rPr>
              <w:t>הכלכלה והתעשייה</w:t>
            </w:r>
          </w:p>
        </w:tc>
        <w:tc>
          <w:tcPr>
            <w:tcW w:w="694" w:type="pct"/>
            <w:shd w:val="clear" w:color="auto" w:fill="C8DCE4"/>
            <w:vAlign w:val="bottom"/>
            <w:hideMark/>
          </w:tcPr>
          <w:p w14:paraId="3BB58EF6" w14:textId="77777777" w:rsidR="007C4395" w:rsidRPr="009E6326" w:rsidRDefault="007C4395" w:rsidP="00490127">
            <w:pPr>
              <w:pStyle w:val="71R"/>
              <w:spacing w:before="80" w:line="240" w:lineRule="auto"/>
              <w:rPr>
                <w:b/>
                <w:bCs/>
                <w:color w:val="000000"/>
                <w:rtl/>
              </w:rPr>
            </w:pPr>
            <w:r w:rsidRPr="009E6326">
              <w:rPr>
                <w:rFonts w:hint="cs"/>
                <w:b/>
                <w:bCs/>
                <w:color w:val="000000"/>
                <w:rtl/>
              </w:rPr>
              <w:t>המשפטים</w:t>
            </w:r>
          </w:p>
        </w:tc>
        <w:tc>
          <w:tcPr>
            <w:tcW w:w="705" w:type="pct"/>
            <w:shd w:val="clear" w:color="auto" w:fill="C8DCE4"/>
            <w:vAlign w:val="bottom"/>
            <w:hideMark/>
          </w:tcPr>
          <w:p w14:paraId="3F3A4198" w14:textId="77777777" w:rsidR="007C4395" w:rsidRPr="009E6326" w:rsidRDefault="007C4395" w:rsidP="00490127">
            <w:pPr>
              <w:pStyle w:val="71R"/>
              <w:spacing w:before="80" w:line="240" w:lineRule="auto"/>
              <w:rPr>
                <w:b/>
                <w:bCs/>
                <w:color w:val="000000"/>
                <w:rtl/>
              </w:rPr>
            </w:pPr>
            <w:r w:rsidRPr="009E6326">
              <w:rPr>
                <w:rFonts w:hint="cs"/>
                <w:b/>
                <w:bCs/>
                <w:color w:val="000000"/>
                <w:rtl/>
              </w:rPr>
              <w:t>הפנים</w:t>
            </w:r>
          </w:p>
        </w:tc>
      </w:tr>
      <w:tr w:rsidR="00262AD0" w14:paraId="69BB43C5" w14:textId="77777777" w:rsidTr="001415C9">
        <w:trPr>
          <w:trHeight w:val="294"/>
        </w:trPr>
        <w:tc>
          <w:tcPr>
            <w:tcW w:w="1516" w:type="pct"/>
            <w:shd w:val="clear" w:color="auto" w:fill="B7CBD4"/>
            <w:hideMark/>
          </w:tcPr>
          <w:p w14:paraId="64842F6F" w14:textId="77777777" w:rsidR="007C4395" w:rsidRPr="00633AF4" w:rsidRDefault="007C4395" w:rsidP="00490127">
            <w:pPr>
              <w:pStyle w:val="71R"/>
              <w:spacing w:before="60" w:after="60" w:line="240" w:lineRule="auto"/>
              <w:rPr>
                <w:rtl/>
              </w:rPr>
            </w:pPr>
            <w:r w:rsidRPr="00633AF4">
              <w:rPr>
                <w:rFonts w:hint="cs"/>
                <w:rtl/>
              </w:rPr>
              <w:t>המצב הכספי</w:t>
            </w:r>
          </w:p>
        </w:tc>
        <w:tc>
          <w:tcPr>
            <w:tcW w:w="3484" w:type="pct"/>
            <w:gridSpan w:val="5"/>
            <w:shd w:val="clear" w:color="auto" w:fill="DDEAEE"/>
            <w:hideMark/>
          </w:tcPr>
          <w:p w14:paraId="3E1C9635" w14:textId="77777777" w:rsidR="007C4395" w:rsidRPr="00633AF4" w:rsidRDefault="007C4395" w:rsidP="00490127">
            <w:pPr>
              <w:pStyle w:val="71R"/>
              <w:spacing w:before="60" w:after="60" w:line="240" w:lineRule="auto"/>
              <w:rPr>
                <w:rtl/>
              </w:rPr>
            </w:pPr>
            <w:r w:rsidRPr="00633AF4">
              <w:rPr>
                <w:rFonts w:hint="cs"/>
                <w:rtl/>
              </w:rPr>
              <w:t> </w:t>
            </w:r>
          </w:p>
        </w:tc>
      </w:tr>
      <w:tr w:rsidR="00F03460" w14:paraId="64829EFB" w14:textId="77777777" w:rsidTr="00F03460">
        <w:trPr>
          <w:trHeight w:val="454"/>
        </w:trPr>
        <w:tc>
          <w:tcPr>
            <w:tcW w:w="5000" w:type="pct"/>
            <w:gridSpan w:val="6"/>
            <w:shd w:val="clear" w:color="auto" w:fill="C8DCE4"/>
            <w:vAlign w:val="center"/>
            <w:hideMark/>
          </w:tcPr>
          <w:p w14:paraId="213760A0" w14:textId="067F31AC" w:rsidR="00F03460" w:rsidRDefault="00F03460" w:rsidP="00F03460">
            <w:pPr>
              <w:pStyle w:val="71R"/>
              <w:spacing w:before="60" w:after="60" w:line="240" w:lineRule="auto"/>
              <w:rPr>
                <w:b/>
                <w:bCs/>
                <w:rtl/>
              </w:rPr>
            </w:pPr>
            <w:r>
              <w:rPr>
                <w:rFonts w:hint="cs"/>
                <w:b/>
                <w:bCs/>
                <w:rtl/>
              </w:rPr>
              <w:t>נכסים שוטפים</w:t>
            </w:r>
          </w:p>
        </w:tc>
      </w:tr>
      <w:tr w:rsidR="00633AF4" w14:paraId="54113572" w14:textId="77777777" w:rsidTr="00F03460">
        <w:trPr>
          <w:trHeight w:val="294"/>
        </w:trPr>
        <w:tc>
          <w:tcPr>
            <w:tcW w:w="1516" w:type="pct"/>
            <w:shd w:val="clear" w:color="auto" w:fill="DDEAEE"/>
            <w:hideMark/>
          </w:tcPr>
          <w:p w14:paraId="021A009E" w14:textId="77777777" w:rsidR="007C4395" w:rsidRPr="00633AF4" w:rsidRDefault="007C4395" w:rsidP="00490127">
            <w:pPr>
              <w:pStyle w:val="71R"/>
              <w:spacing w:before="60" w:after="60" w:line="240" w:lineRule="auto"/>
              <w:rPr>
                <w:rtl/>
              </w:rPr>
            </w:pPr>
            <w:r w:rsidRPr="00633AF4">
              <w:rPr>
                <w:rFonts w:hint="cs"/>
                <w:rtl/>
              </w:rPr>
              <w:t>מזומנים ופיקדונות</w:t>
            </w:r>
          </w:p>
        </w:tc>
        <w:tc>
          <w:tcPr>
            <w:tcW w:w="694" w:type="pct"/>
            <w:shd w:val="clear" w:color="auto" w:fill="DDEAEE"/>
            <w:hideMark/>
          </w:tcPr>
          <w:p w14:paraId="3A96636C" w14:textId="77777777" w:rsidR="007C4395" w:rsidRPr="00633AF4" w:rsidRDefault="007C4395" w:rsidP="00490127">
            <w:pPr>
              <w:pStyle w:val="71R"/>
              <w:spacing w:before="60" w:after="60" w:line="240" w:lineRule="auto"/>
              <w:rPr>
                <w:rtl/>
              </w:rPr>
            </w:pPr>
            <w:r w:rsidRPr="00633AF4">
              <w:rPr>
                <w:rFonts w:hint="cs"/>
                <w:rtl/>
              </w:rPr>
              <w:t> 0</w:t>
            </w:r>
          </w:p>
        </w:tc>
        <w:tc>
          <w:tcPr>
            <w:tcW w:w="694" w:type="pct"/>
            <w:shd w:val="clear" w:color="auto" w:fill="DDEAEE"/>
            <w:hideMark/>
          </w:tcPr>
          <w:p w14:paraId="3670FEA7" w14:textId="77777777" w:rsidR="007C4395" w:rsidRPr="00633AF4" w:rsidRDefault="007C4395" w:rsidP="00490127">
            <w:pPr>
              <w:pStyle w:val="71R"/>
              <w:spacing w:before="60" w:after="60" w:line="240" w:lineRule="auto"/>
              <w:rPr>
                <w:rtl/>
              </w:rPr>
            </w:pPr>
            <w:r w:rsidRPr="00633AF4">
              <w:rPr>
                <w:rFonts w:hint="cs"/>
                <w:rtl/>
              </w:rPr>
              <w:t> 0</w:t>
            </w:r>
          </w:p>
        </w:tc>
        <w:tc>
          <w:tcPr>
            <w:tcW w:w="696" w:type="pct"/>
            <w:shd w:val="clear" w:color="auto" w:fill="DDEAEE"/>
            <w:hideMark/>
          </w:tcPr>
          <w:p w14:paraId="27E62409" w14:textId="77777777" w:rsidR="007C4395" w:rsidRPr="00633AF4" w:rsidRDefault="007C4395" w:rsidP="00490127">
            <w:pPr>
              <w:pStyle w:val="71R"/>
              <w:spacing w:before="60" w:after="60" w:line="240" w:lineRule="auto"/>
              <w:rPr>
                <w:rtl/>
              </w:rPr>
            </w:pPr>
            <w:r w:rsidRPr="00633AF4">
              <w:rPr>
                <w:rFonts w:hint="cs"/>
                <w:rtl/>
              </w:rPr>
              <w:t>20</w:t>
            </w:r>
          </w:p>
        </w:tc>
        <w:tc>
          <w:tcPr>
            <w:tcW w:w="694" w:type="pct"/>
            <w:shd w:val="clear" w:color="auto" w:fill="DDEAEE"/>
            <w:hideMark/>
          </w:tcPr>
          <w:p w14:paraId="43013F2B" w14:textId="77777777" w:rsidR="007C4395" w:rsidRPr="00633AF4" w:rsidRDefault="007C4395" w:rsidP="00490127">
            <w:pPr>
              <w:pStyle w:val="71R"/>
              <w:spacing w:before="60" w:after="60" w:line="240" w:lineRule="auto"/>
              <w:rPr>
                <w:rtl/>
              </w:rPr>
            </w:pPr>
            <w:r w:rsidRPr="00633AF4">
              <w:rPr>
                <w:rFonts w:hint="cs"/>
                <w:rtl/>
              </w:rPr>
              <w:t>1</w:t>
            </w:r>
          </w:p>
        </w:tc>
        <w:tc>
          <w:tcPr>
            <w:tcW w:w="705" w:type="pct"/>
            <w:shd w:val="clear" w:color="auto" w:fill="DDEAEE"/>
            <w:hideMark/>
          </w:tcPr>
          <w:p w14:paraId="21E11C8E" w14:textId="77777777" w:rsidR="007C4395" w:rsidRPr="00633AF4" w:rsidRDefault="007C4395" w:rsidP="00490127">
            <w:pPr>
              <w:pStyle w:val="71R"/>
              <w:spacing w:before="60" w:after="60" w:line="240" w:lineRule="auto"/>
              <w:rPr>
                <w:rtl/>
              </w:rPr>
            </w:pPr>
            <w:r w:rsidRPr="00633AF4">
              <w:rPr>
                <w:rFonts w:hint="cs"/>
                <w:rtl/>
              </w:rPr>
              <w:t>13</w:t>
            </w:r>
          </w:p>
        </w:tc>
      </w:tr>
      <w:tr w:rsidR="00633AF4" w14:paraId="6E2802F4" w14:textId="77777777" w:rsidTr="00F03460">
        <w:trPr>
          <w:trHeight w:val="294"/>
        </w:trPr>
        <w:tc>
          <w:tcPr>
            <w:tcW w:w="1516" w:type="pct"/>
            <w:shd w:val="clear" w:color="auto" w:fill="EEF6F7"/>
            <w:hideMark/>
          </w:tcPr>
          <w:p w14:paraId="333C49A8" w14:textId="77777777" w:rsidR="007C4395" w:rsidRPr="00633AF4" w:rsidRDefault="007C4395" w:rsidP="00490127">
            <w:pPr>
              <w:pStyle w:val="71R"/>
              <w:spacing w:before="60" w:after="60" w:line="240" w:lineRule="auto"/>
              <w:rPr>
                <w:rtl/>
              </w:rPr>
            </w:pPr>
            <w:r w:rsidRPr="00633AF4">
              <w:rPr>
                <w:rFonts w:hint="cs"/>
                <w:rtl/>
              </w:rPr>
              <w:t>חייבים ויתרות חובה</w:t>
            </w:r>
          </w:p>
        </w:tc>
        <w:tc>
          <w:tcPr>
            <w:tcW w:w="694" w:type="pct"/>
            <w:shd w:val="clear" w:color="auto" w:fill="EEF6F7"/>
            <w:hideMark/>
          </w:tcPr>
          <w:p w14:paraId="2AE27372" w14:textId="77777777" w:rsidR="007C4395" w:rsidRPr="00633AF4" w:rsidRDefault="007C4395" w:rsidP="00490127">
            <w:pPr>
              <w:pStyle w:val="71R"/>
              <w:spacing w:before="60" w:after="60" w:line="240" w:lineRule="auto"/>
              <w:rPr>
                <w:rtl/>
              </w:rPr>
            </w:pPr>
            <w:r w:rsidRPr="00633AF4">
              <w:rPr>
                <w:rFonts w:hint="cs"/>
                <w:rtl/>
              </w:rPr>
              <w:t>623</w:t>
            </w:r>
          </w:p>
        </w:tc>
        <w:tc>
          <w:tcPr>
            <w:tcW w:w="694" w:type="pct"/>
            <w:shd w:val="clear" w:color="auto" w:fill="EEF6F7"/>
            <w:hideMark/>
          </w:tcPr>
          <w:p w14:paraId="4C73A5D8" w14:textId="77777777" w:rsidR="007C4395" w:rsidRPr="00633AF4" w:rsidRDefault="007C4395" w:rsidP="00490127">
            <w:pPr>
              <w:pStyle w:val="71R"/>
              <w:spacing w:before="60" w:after="60" w:line="240" w:lineRule="auto"/>
              <w:rPr>
                <w:rtl/>
              </w:rPr>
            </w:pPr>
            <w:r w:rsidRPr="00633AF4">
              <w:rPr>
                <w:rFonts w:hint="cs"/>
                <w:rtl/>
              </w:rPr>
              <w:t>1,525</w:t>
            </w:r>
          </w:p>
        </w:tc>
        <w:tc>
          <w:tcPr>
            <w:tcW w:w="696" w:type="pct"/>
            <w:shd w:val="clear" w:color="auto" w:fill="EEF6F7"/>
            <w:hideMark/>
          </w:tcPr>
          <w:p w14:paraId="0BAE299C" w14:textId="77777777" w:rsidR="007C4395" w:rsidRPr="00633AF4" w:rsidRDefault="007C4395" w:rsidP="00490127">
            <w:pPr>
              <w:pStyle w:val="71R"/>
              <w:spacing w:before="60" w:after="60" w:line="240" w:lineRule="auto"/>
              <w:rPr>
                <w:rtl/>
              </w:rPr>
            </w:pPr>
            <w:r w:rsidRPr="00633AF4">
              <w:rPr>
                <w:rFonts w:hint="cs"/>
                <w:rtl/>
              </w:rPr>
              <w:t>138</w:t>
            </w:r>
          </w:p>
        </w:tc>
        <w:tc>
          <w:tcPr>
            <w:tcW w:w="694" w:type="pct"/>
            <w:shd w:val="clear" w:color="auto" w:fill="EEF6F7"/>
            <w:hideMark/>
          </w:tcPr>
          <w:p w14:paraId="337F0CDB" w14:textId="77777777" w:rsidR="007C4395" w:rsidRPr="00633AF4" w:rsidRDefault="007C4395" w:rsidP="00490127">
            <w:pPr>
              <w:pStyle w:val="71R"/>
              <w:spacing w:before="60" w:after="60" w:line="240" w:lineRule="auto"/>
              <w:rPr>
                <w:rtl/>
              </w:rPr>
            </w:pPr>
            <w:r w:rsidRPr="00633AF4">
              <w:rPr>
                <w:rFonts w:hint="cs"/>
                <w:rtl/>
              </w:rPr>
              <w:t>74</w:t>
            </w:r>
          </w:p>
        </w:tc>
        <w:tc>
          <w:tcPr>
            <w:tcW w:w="705" w:type="pct"/>
            <w:shd w:val="clear" w:color="auto" w:fill="EEF6F7"/>
            <w:hideMark/>
          </w:tcPr>
          <w:p w14:paraId="2C1CF677" w14:textId="77777777" w:rsidR="007C4395" w:rsidRPr="00633AF4" w:rsidRDefault="007C4395" w:rsidP="00490127">
            <w:pPr>
              <w:pStyle w:val="71R"/>
              <w:spacing w:before="60" w:after="60" w:line="240" w:lineRule="auto"/>
              <w:rPr>
                <w:rtl/>
              </w:rPr>
            </w:pPr>
            <w:r w:rsidRPr="00633AF4">
              <w:rPr>
                <w:rFonts w:hint="cs"/>
                <w:rtl/>
              </w:rPr>
              <w:t>58</w:t>
            </w:r>
          </w:p>
        </w:tc>
      </w:tr>
      <w:tr w:rsidR="00633AF4" w14:paraId="5D63E02B" w14:textId="77777777" w:rsidTr="00F03460">
        <w:trPr>
          <w:trHeight w:val="294"/>
        </w:trPr>
        <w:tc>
          <w:tcPr>
            <w:tcW w:w="1516" w:type="pct"/>
            <w:shd w:val="clear" w:color="auto" w:fill="DDEAEE"/>
            <w:hideMark/>
          </w:tcPr>
          <w:p w14:paraId="10062EAC" w14:textId="77777777" w:rsidR="007C4395" w:rsidRPr="00633AF4" w:rsidRDefault="007C4395" w:rsidP="00490127">
            <w:pPr>
              <w:pStyle w:val="71R"/>
              <w:spacing w:before="60" w:after="60" w:line="240" w:lineRule="auto"/>
              <w:rPr>
                <w:rtl/>
              </w:rPr>
            </w:pPr>
            <w:r w:rsidRPr="00633AF4">
              <w:rPr>
                <w:rFonts w:hint="cs"/>
                <w:rtl/>
              </w:rPr>
              <w:t>מלאי</w:t>
            </w:r>
          </w:p>
        </w:tc>
        <w:tc>
          <w:tcPr>
            <w:tcW w:w="694" w:type="pct"/>
            <w:shd w:val="clear" w:color="auto" w:fill="DDEAEE"/>
            <w:hideMark/>
          </w:tcPr>
          <w:p w14:paraId="583942D7" w14:textId="77777777" w:rsidR="007C4395" w:rsidRPr="00633AF4" w:rsidRDefault="007C4395" w:rsidP="00490127">
            <w:pPr>
              <w:pStyle w:val="71R"/>
              <w:spacing w:before="60" w:after="60" w:line="240" w:lineRule="auto"/>
              <w:rPr>
                <w:rtl/>
              </w:rPr>
            </w:pPr>
            <w:r w:rsidRPr="00633AF4">
              <w:rPr>
                <w:rFonts w:hint="cs"/>
                <w:rtl/>
              </w:rPr>
              <w:t> 0</w:t>
            </w:r>
          </w:p>
        </w:tc>
        <w:tc>
          <w:tcPr>
            <w:tcW w:w="694" w:type="pct"/>
            <w:shd w:val="clear" w:color="auto" w:fill="DDEAEE"/>
            <w:hideMark/>
          </w:tcPr>
          <w:p w14:paraId="27C62173" w14:textId="77777777" w:rsidR="007C4395" w:rsidRPr="00633AF4" w:rsidRDefault="007C4395" w:rsidP="00490127">
            <w:pPr>
              <w:pStyle w:val="71R"/>
              <w:spacing w:before="60" w:after="60" w:line="240" w:lineRule="auto"/>
              <w:rPr>
                <w:rtl/>
              </w:rPr>
            </w:pPr>
            <w:r w:rsidRPr="00633AF4">
              <w:rPr>
                <w:rFonts w:hint="cs"/>
                <w:rtl/>
              </w:rPr>
              <w:t>214</w:t>
            </w:r>
          </w:p>
        </w:tc>
        <w:tc>
          <w:tcPr>
            <w:tcW w:w="696" w:type="pct"/>
            <w:shd w:val="clear" w:color="auto" w:fill="DDEAEE"/>
            <w:hideMark/>
          </w:tcPr>
          <w:p w14:paraId="76FE0F77" w14:textId="77777777" w:rsidR="007C4395" w:rsidRPr="00633AF4" w:rsidRDefault="007C4395" w:rsidP="00490127">
            <w:pPr>
              <w:pStyle w:val="71R"/>
              <w:spacing w:before="60" w:after="60" w:line="240" w:lineRule="auto"/>
              <w:rPr>
                <w:rtl/>
              </w:rPr>
            </w:pPr>
            <w:r w:rsidRPr="00633AF4">
              <w:rPr>
                <w:rFonts w:hint="cs"/>
                <w:rtl/>
              </w:rPr>
              <w:t>0 </w:t>
            </w:r>
          </w:p>
        </w:tc>
        <w:tc>
          <w:tcPr>
            <w:tcW w:w="694" w:type="pct"/>
            <w:shd w:val="clear" w:color="auto" w:fill="DDEAEE"/>
            <w:hideMark/>
          </w:tcPr>
          <w:p w14:paraId="0BA44E81" w14:textId="77777777" w:rsidR="007C4395" w:rsidRPr="00633AF4" w:rsidRDefault="007C4395" w:rsidP="00490127">
            <w:pPr>
              <w:pStyle w:val="71R"/>
              <w:spacing w:before="60" w:after="60" w:line="240" w:lineRule="auto"/>
              <w:rPr>
                <w:rtl/>
              </w:rPr>
            </w:pPr>
            <w:r w:rsidRPr="00633AF4">
              <w:rPr>
                <w:rFonts w:hint="cs"/>
                <w:rtl/>
              </w:rPr>
              <w:t>0 </w:t>
            </w:r>
          </w:p>
        </w:tc>
        <w:tc>
          <w:tcPr>
            <w:tcW w:w="705" w:type="pct"/>
            <w:shd w:val="clear" w:color="auto" w:fill="DDEAEE"/>
            <w:hideMark/>
          </w:tcPr>
          <w:p w14:paraId="39647185" w14:textId="77777777" w:rsidR="007C4395" w:rsidRPr="00633AF4" w:rsidRDefault="007C4395" w:rsidP="00490127">
            <w:pPr>
              <w:pStyle w:val="71R"/>
              <w:spacing w:before="60" w:after="60" w:line="240" w:lineRule="auto"/>
              <w:rPr>
                <w:rtl/>
              </w:rPr>
            </w:pPr>
            <w:r w:rsidRPr="00633AF4">
              <w:rPr>
                <w:rFonts w:hint="cs"/>
                <w:rtl/>
              </w:rPr>
              <w:t>1</w:t>
            </w:r>
          </w:p>
        </w:tc>
      </w:tr>
      <w:tr w:rsidR="00F03460" w14:paraId="07223B8A" w14:textId="77777777" w:rsidTr="00F03460">
        <w:trPr>
          <w:trHeight w:val="294"/>
        </w:trPr>
        <w:tc>
          <w:tcPr>
            <w:tcW w:w="1516" w:type="pct"/>
            <w:shd w:val="clear" w:color="auto" w:fill="EFF7F8"/>
            <w:hideMark/>
          </w:tcPr>
          <w:p w14:paraId="5B9BBE31" w14:textId="0167AD78" w:rsidR="007C4395" w:rsidRDefault="007C4395" w:rsidP="00490127">
            <w:pPr>
              <w:pStyle w:val="71R"/>
              <w:spacing w:before="60" w:after="60" w:line="240" w:lineRule="auto"/>
              <w:rPr>
                <w:b/>
                <w:bCs/>
                <w:rtl/>
              </w:rPr>
            </w:pPr>
            <w:r>
              <w:rPr>
                <w:rFonts w:hint="cs"/>
                <w:b/>
                <w:bCs/>
                <w:rtl/>
              </w:rPr>
              <w:t>סך הכול</w:t>
            </w:r>
            <w:r w:rsidR="00AA7459">
              <w:rPr>
                <w:rFonts w:hint="cs"/>
                <w:b/>
                <w:bCs/>
                <w:rtl/>
              </w:rPr>
              <w:t xml:space="preserve"> נכסים שוטפים</w:t>
            </w:r>
            <w:r w:rsidR="00633AF4">
              <w:rPr>
                <w:b/>
                <w:bCs/>
              </w:rPr>
              <w:t xml:space="preserve"> </w:t>
            </w:r>
          </w:p>
        </w:tc>
        <w:tc>
          <w:tcPr>
            <w:tcW w:w="694" w:type="pct"/>
            <w:shd w:val="clear" w:color="auto" w:fill="EFF7F8"/>
            <w:hideMark/>
          </w:tcPr>
          <w:p w14:paraId="00DC3F36" w14:textId="77777777" w:rsidR="007C4395" w:rsidRDefault="007C4395" w:rsidP="00490127">
            <w:pPr>
              <w:pStyle w:val="71R"/>
              <w:spacing w:before="60" w:after="60" w:line="240" w:lineRule="auto"/>
              <w:rPr>
                <w:b/>
                <w:bCs/>
                <w:rtl/>
              </w:rPr>
            </w:pPr>
            <w:r>
              <w:rPr>
                <w:rFonts w:hint="cs"/>
                <w:b/>
                <w:bCs/>
                <w:rtl/>
              </w:rPr>
              <w:t>623</w:t>
            </w:r>
          </w:p>
        </w:tc>
        <w:tc>
          <w:tcPr>
            <w:tcW w:w="694" w:type="pct"/>
            <w:shd w:val="clear" w:color="auto" w:fill="EFF7F8"/>
            <w:hideMark/>
          </w:tcPr>
          <w:p w14:paraId="1C71B331" w14:textId="77777777" w:rsidR="007C4395" w:rsidRDefault="007C4395" w:rsidP="00490127">
            <w:pPr>
              <w:pStyle w:val="71R"/>
              <w:spacing w:before="60" w:after="60" w:line="240" w:lineRule="auto"/>
              <w:rPr>
                <w:b/>
                <w:bCs/>
                <w:rtl/>
              </w:rPr>
            </w:pPr>
            <w:r>
              <w:rPr>
                <w:rFonts w:hint="cs"/>
                <w:b/>
                <w:bCs/>
                <w:rtl/>
              </w:rPr>
              <w:t>1,739</w:t>
            </w:r>
          </w:p>
        </w:tc>
        <w:tc>
          <w:tcPr>
            <w:tcW w:w="696" w:type="pct"/>
            <w:shd w:val="clear" w:color="auto" w:fill="EFF7F8"/>
            <w:hideMark/>
          </w:tcPr>
          <w:p w14:paraId="50F41799" w14:textId="77777777" w:rsidR="007C4395" w:rsidRDefault="007C4395" w:rsidP="00490127">
            <w:pPr>
              <w:pStyle w:val="71R"/>
              <w:spacing w:before="60" w:after="60" w:line="240" w:lineRule="auto"/>
              <w:rPr>
                <w:b/>
                <w:bCs/>
                <w:rtl/>
              </w:rPr>
            </w:pPr>
            <w:r>
              <w:rPr>
                <w:rFonts w:hint="cs"/>
                <w:b/>
                <w:bCs/>
                <w:rtl/>
              </w:rPr>
              <w:t>158</w:t>
            </w:r>
          </w:p>
        </w:tc>
        <w:tc>
          <w:tcPr>
            <w:tcW w:w="694" w:type="pct"/>
            <w:shd w:val="clear" w:color="auto" w:fill="EFF7F8"/>
            <w:hideMark/>
          </w:tcPr>
          <w:p w14:paraId="3F3A21C9" w14:textId="77777777" w:rsidR="007C4395" w:rsidRDefault="007C4395" w:rsidP="00490127">
            <w:pPr>
              <w:pStyle w:val="71R"/>
              <w:spacing w:before="60" w:after="60" w:line="240" w:lineRule="auto"/>
              <w:rPr>
                <w:b/>
                <w:bCs/>
                <w:rtl/>
              </w:rPr>
            </w:pPr>
            <w:r>
              <w:rPr>
                <w:rFonts w:hint="cs"/>
                <w:b/>
                <w:bCs/>
                <w:rtl/>
              </w:rPr>
              <w:t>75</w:t>
            </w:r>
          </w:p>
        </w:tc>
        <w:tc>
          <w:tcPr>
            <w:tcW w:w="705" w:type="pct"/>
            <w:shd w:val="clear" w:color="auto" w:fill="EFF7F8"/>
            <w:hideMark/>
          </w:tcPr>
          <w:p w14:paraId="342EEC0B" w14:textId="77777777" w:rsidR="007C4395" w:rsidRDefault="007C4395" w:rsidP="00490127">
            <w:pPr>
              <w:pStyle w:val="71R"/>
              <w:spacing w:before="60" w:after="60" w:line="240" w:lineRule="auto"/>
              <w:rPr>
                <w:b/>
                <w:bCs/>
                <w:rtl/>
              </w:rPr>
            </w:pPr>
            <w:r>
              <w:rPr>
                <w:rFonts w:hint="cs"/>
                <w:b/>
                <w:bCs/>
                <w:rtl/>
              </w:rPr>
              <w:t>72</w:t>
            </w:r>
          </w:p>
        </w:tc>
      </w:tr>
      <w:tr w:rsidR="00F03460" w14:paraId="62B07092" w14:textId="77777777" w:rsidTr="00F03460">
        <w:trPr>
          <w:trHeight w:val="454"/>
        </w:trPr>
        <w:tc>
          <w:tcPr>
            <w:tcW w:w="5000" w:type="pct"/>
            <w:gridSpan w:val="6"/>
            <w:shd w:val="clear" w:color="auto" w:fill="C8DCE4"/>
            <w:vAlign w:val="center"/>
          </w:tcPr>
          <w:p w14:paraId="7E3F6FC9" w14:textId="73921323" w:rsidR="00F03460" w:rsidRDefault="00F03460" w:rsidP="00F03460">
            <w:pPr>
              <w:pStyle w:val="71R"/>
              <w:spacing w:before="60" w:after="60" w:line="240" w:lineRule="auto"/>
              <w:rPr>
                <w:rtl/>
              </w:rPr>
            </w:pPr>
            <w:r>
              <w:rPr>
                <w:rFonts w:hint="cs"/>
                <w:b/>
                <w:bCs/>
                <w:rtl/>
              </w:rPr>
              <w:t>נכסים לא שוטפים</w:t>
            </w:r>
          </w:p>
        </w:tc>
      </w:tr>
      <w:tr w:rsidR="00C27921" w14:paraId="22665B32" w14:textId="77777777" w:rsidTr="00F03460">
        <w:trPr>
          <w:trHeight w:val="294"/>
        </w:trPr>
        <w:tc>
          <w:tcPr>
            <w:tcW w:w="1516" w:type="pct"/>
            <w:shd w:val="clear" w:color="auto" w:fill="EEF6F7"/>
            <w:hideMark/>
          </w:tcPr>
          <w:p w14:paraId="23043EB1" w14:textId="77777777" w:rsidR="00C27921" w:rsidRPr="00FE2D43" w:rsidRDefault="00C27921" w:rsidP="00C27921">
            <w:pPr>
              <w:pStyle w:val="71R"/>
              <w:spacing w:before="60" w:after="60" w:line="240" w:lineRule="auto"/>
              <w:rPr>
                <w:rtl/>
              </w:rPr>
            </w:pPr>
            <w:r w:rsidRPr="00FE2D43">
              <w:rPr>
                <w:rFonts w:hint="cs"/>
                <w:rtl/>
              </w:rPr>
              <w:t>פיקדון בגין כלי רכב</w:t>
            </w:r>
          </w:p>
        </w:tc>
        <w:tc>
          <w:tcPr>
            <w:tcW w:w="694" w:type="pct"/>
            <w:shd w:val="clear" w:color="auto" w:fill="EEF6F7"/>
            <w:hideMark/>
          </w:tcPr>
          <w:p w14:paraId="74E5D427" w14:textId="77777777" w:rsidR="00C27921" w:rsidRPr="00FE2D43" w:rsidRDefault="00C27921" w:rsidP="00C27921">
            <w:pPr>
              <w:pStyle w:val="71R"/>
              <w:spacing w:before="60" w:after="60" w:line="240" w:lineRule="auto"/>
              <w:rPr>
                <w:rtl/>
              </w:rPr>
            </w:pPr>
            <w:r w:rsidRPr="00FE2D43">
              <w:rPr>
                <w:rFonts w:hint="cs"/>
                <w:rtl/>
              </w:rPr>
              <w:t>5</w:t>
            </w:r>
          </w:p>
        </w:tc>
        <w:tc>
          <w:tcPr>
            <w:tcW w:w="694" w:type="pct"/>
            <w:shd w:val="clear" w:color="auto" w:fill="EEF6F7"/>
            <w:hideMark/>
          </w:tcPr>
          <w:p w14:paraId="3008E3CA" w14:textId="77777777" w:rsidR="00C27921" w:rsidRPr="00FE2D43" w:rsidRDefault="00C27921" w:rsidP="00C27921">
            <w:pPr>
              <w:pStyle w:val="71R"/>
              <w:spacing w:before="60" w:after="60" w:line="240" w:lineRule="auto"/>
              <w:rPr>
                <w:rtl/>
              </w:rPr>
            </w:pPr>
            <w:r w:rsidRPr="00FE2D43">
              <w:rPr>
                <w:rFonts w:hint="cs"/>
                <w:rtl/>
              </w:rPr>
              <w:t>21</w:t>
            </w:r>
          </w:p>
        </w:tc>
        <w:tc>
          <w:tcPr>
            <w:tcW w:w="696" w:type="pct"/>
            <w:shd w:val="clear" w:color="auto" w:fill="EEF6F7"/>
            <w:hideMark/>
          </w:tcPr>
          <w:p w14:paraId="60178D87" w14:textId="77777777" w:rsidR="00C27921" w:rsidRDefault="00C27921" w:rsidP="00C27921">
            <w:pPr>
              <w:pStyle w:val="71R"/>
              <w:spacing w:before="60" w:after="60" w:line="240" w:lineRule="auto"/>
              <w:rPr>
                <w:rtl/>
              </w:rPr>
            </w:pPr>
            <w:r>
              <w:rPr>
                <w:rFonts w:hint="cs"/>
                <w:rtl/>
              </w:rPr>
              <w:t>13</w:t>
            </w:r>
          </w:p>
        </w:tc>
        <w:tc>
          <w:tcPr>
            <w:tcW w:w="694" w:type="pct"/>
            <w:shd w:val="clear" w:color="auto" w:fill="EEF6F7"/>
            <w:hideMark/>
          </w:tcPr>
          <w:p w14:paraId="029D6962" w14:textId="77777777" w:rsidR="00C27921" w:rsidRDefault="00C27921" w:rsidP="00C27921">
            <w:pPr>
              <w:pStyle w:val="71R"/>
              <w:spacing w:before="60" w:after="60" w:line="240" w:lineRule="auto"/>
              <w:rPr>
                <w:rtl/>
              </w:rPr>
            </w:pPr>
            <w:r>
              <w:rPr>
                <w:rFonts w:hint="cs"/>
                <w:rtl/>
              </w:rPr>
              <w:t> 14</w:t>
            </w:r>
          </w:p>
        </w:tc>
        <w:tc>
          <w:tcPr>
            <w:tcW w:w="705" w:type="pct"/>
            <w:shd w:val="clear" w:color="auto" w:fill="EEF6F7"/>
            <w:hideMark/>
          </w:tcPr>
          <w:p w14:paraId="6BE0994F" w14:textId="77777777" w:rsidR="00C27921" w:rsidRDefault="00C27921" w:rsidP="00C27921">
            <w:pPr>
              <w:pStyle w:val="71R"/>
              <w:spacing w:before="60" w:after="60" w:line="240" w:lineRule="auto"/>
              <w:rPr>
                <w:rtl/>
              </w:rPr>
            </w:pPr>
            <w:r>
              <w:rPr>
                <w:rFonts w:hint="cs"/>
                <w:rtl/>
              </w:rPr>
              <w:t>7</w:t>
            </w:r>
          </w:p>
        </w:tc>
      </w:tr>
      <w:tr w:rsidR="00C27921" w14:paraId="6FBF2E47" w14:textId="77777777" w:rsidTr="00F03460">
        <w:trPr>
          <w:trHeight w:val="294"/>
        </w:trPr>
        <w:tc>
          <w:tcPr>
            <w:tcW w:w="1516" w:type="pct"/>
            <w:shd w:val="clear" w:color="auto" w:fill="DDEAEE"/>
            <w:hideMark/>
          </w:tcPr>
          <w:p w14:paraId="4BC56282" w14:textId="77777777" w:rsidR="00C27921" w:rsidRPr="00FE2D43" w:rsidRDefault="00C27921" w:rsidP="00C27921">
            <w:pPr>
              <w:pStyle w:val="71R"/>
              <w:spacing w:before="60" w:after="60" w:line="240" w:lineRule="auto"/>
              <w:rPr>
                <w:rtl/>
              </w:rPr>
            </w:pPr>
            <w:r w:rsidRPr="00FE2D43">
              <w:rPr>
                <w:rFonts w:hint="cs"/>
                <w:rtl/>
              </w:rPr>
              <w:t>מלאי בלתי שוטף</w:t>
            </w:r>
          </w:p>
        </w:tc>
        <w:tc>
          <w:tcPr>
            <w:tcW w:w="694" w:type="pct"/>
            <w:shd w:val="clear" w:color="auto" w:fill="DDEAEE"/>
            <w:hideMark/>
          </w:tcPr>
          <w:p w14:paraId="6E60EACB" w14:textId="77777777" w:rsidR="00C27921" w:rsidRPr="00FE2D43" w:rsidRDefault="00C27921" w:rsidP="00C27921">
            <w:pPr>
              <w:pStyle w:val="71R"/>
              <w:spacing w:before="60" w:after="60" w:line="240" w:lineRule="auto"/>
              <w:rPr>
                <w:rtl/>
              </w:rPr>
            </w:pPr>
            <w:r w:rsidRPr="00FE2D43">
              <w:rPr>
                <w:rFonts w:hint="cs"/>
                <w:rtl/>
              </w:rPr>
              <w:t>0 </w:t>
            </w:r>
          </w:p>
        </w:tc>
        <w:tc>
          <w:tcPr>
            <w:tcW w:w="694" w:type="pct"/>
            <w:shd w:val="clear" w:color="auto" w:fill="DDEAEE"/>
            <w:hideMark/>
          </w:tcPr>
          <w:p w14:paraId="171C5839" w14:textId="77777777" w:rsidR="00C27921" w:rsidRPr="00FE2D43" w:rsidRDefault="00C27921" w:rsidP="00C27921">
            <w:pPr>
              <w:pStyle w:val="71R"/>
              <w:spacing w:before="60" w:after="60" w:line="240" w:lineRule="auto"/>
              <w:rPr>
                <w:rtl/>
              </w:rPr>
            </w:pPr>
            <w:r w:rsidRPr="00FE2D43">
              <w:rPr>
                <w:rFonts w:hint="cs"/>
                <w:rtl/>
              </w:rPr>
              <w:t>1,755</w:t>
            </w:r>
          </w:p>
        </w:tc>
        <w:tc>
          <w:tcPr>
            <w:tcW w:w="696" w:type="pct"/>
            <w:shd w:val="clear" w:color="auto" w:fill="DDEAEE"/>
            <w:hideMark/>
          </w:tcPr>
          <w:p w14:paraId="35713A88" w14:textId="77777777" w:rsidR="00C27921" w:rsidRDefault="00C27921" w:rsidP="00C27921">
            <w:pPr>
              <w:pStyle w:val="71R"/>
              <w:spacing w:before="60" w:after="60" w:line="240" w:lineRule="auto"/>
              <w:rPr>
                <w:rtl/>
              </w:rPr>
            </w:pPr>
            <w:r>
              <w:rPr>
                <w:rFonts w:hint="cs"/>
                <w:rtl/>
              </w:rPr>
              <w:t>107</w:t>
            </w:r>
          </w:p>
        </w:tc>
        <w:tc>
          <w:tcPr>
            <w:tcW w:w="694" w:type="pct"/>
            <w:shd w:val="clear" w:color="auto" w:fill="DDEAEE"/>
            <w:hideMark/>
          </w:tcPr>
          <w:p w14:paraId="53DF333F" w14:textId="77777777" w:rsidR="00C27921" w:rsidRDefault="00C27921" w:rsidP="00C27921">
            <w:pPr>
              <w:pStyle w:val="71R"/>
              <w:spacing w:before="60" w:after="60" w:line="240" w:lineRule="auto"/>
              <w:rPr>
                <w:rtl/>
              </w:rPr>
            </w:pPr>
            <w:r>
              <w:rPr>
                <w:rFonts w:hint="cs"/>
                <w:rtl/>
              </w:rPr>
              <w:t> 0</w:t>
            </w:r>
          </w:p>
        </w:tc>
        <w:tc>
          <w:tcPr>
            <w:tcW w:w="705" w:type="pct"/>
            <w:shd w:val="clear" w:color="auto" w:fill="DDEAEE"/>
            <w:hideMark/>
          </w:tcPr>
          <w:p w14:paraId="34BDC870" w14:textId="77777777" w:rsidR="00C27921" w:rsidRDefault="00C27921" w:rsidP="00C27921">
            <w:pPr>
              <w:pStyle w:val="71R"/>
              <w:spacing w:before="60" w:after="60" w:line="240" w:lineRule="auto"/>
              <w:rPr>
                <w:rtl/>
              </w:rPr>
            </w:pPr>
            <w:r>
              <w:rPr>
                <w:rFonts w:hint="cs"/>
                <w:rtl/>
              </w:rPr>
              <w:t>145</w:t>
            </w:r>
          </w:p>
        </w:tc>
      </w:tr>
      <w:tr w:rsidR="00C27921" w14:paraId="2D718E61" w14:textId="77777777" w:rsidTr="00F03460">
        <w:trPr>
          <w:trHeight w:val="294"/>
        </w:trPr>
        <w:tc>
          <w:tcPr>
            <w:tcW w:w="1516" w:type="pct"/>
            <w:shd w:val="clear" w:color="auto" w:fill="EEF6F7"/>
            <w:hideMark/>
          </w:tcPr>
          <w:p w14:paraId="145F3F79" w14:textId="77777777" w:rsidR="00C27921" w:rsidRPr="00FE2D43" w:rsidRDefault="00C27921" w:rsidP="00C27921">
            <w:pPr>
              <w:pStyle w:val="71R"/>
              <w:spacing w:before="60" w:after="60" w:line="240" w:lineRule="auto"/>
              <w:rPr>
                <w:rtl/>
              </w:rPr>
            </w:pPr>
            <w:r w:rsidRPr="00FE2D43">
              <w:rPr>
                <w:rFonts w:hint="eastAsia"/>
                <w:rtl/>
              </w:rPr>
              <w:t>רכוש</w:t>
            </w:r>
            <w:r w:rsidRPr="00FE2D43">
              <w:rPr>
                <w:rtl/>
              </w:rPr>
              <w:t xml:space="preserve"> </w:t>
            </w:r>
            <w:r w:rsidRPr="00FE2D43">
              <w:rPr>
                <w:rFonts w:hint="eastAsia"/>
                <w:rtl/>
              </w:rPr>
              <w:t>קבוע</w:t>
            </w:r>
            <w:r w:rsidRPr="00FE2D43">
              <w:rPr>
                <w:rtl/>
              </w:rPr>
              <w:t xml:space="preserve"> </w:t>
            </w:r>
            <w:r w:rsidRPr="00FE2D43">
              <w:rPr>
                <w:rFonts w:hint="eastAsia"/>
                <w:rtl/>
              </w:rPr>
              <w:t>ונכסים</w:t>
            </w:r>
            <w:r w:rsidRPr="00FE2D43">
              <w:rPr>
                <w:rtl/>
              </w:rPr>
              <w:t xml:space="preserve"> </w:t>
            </w:r>
            <w:r w:rsidRPr="00FE2D43">
              <w:rPr>
                <w:rFonts w:hint="eastAsia"/>
                <w:rtl/>
              </w:rPr>
              <w:t>בלתי</w:t>
            </w:r>
            <w:r w:rsidRPr="00FE2D43">
              <w:rPr>
                <w:rtl/>
              </w:rPr>
              <w:t xml:space="preserve"> </w:t>
            </w:r>
            <w:r w:rsidRPr="00FE2D43">
              <w:rPr>
                <w:rFonts w:hint="eastAsia"/>
                <w:rtl/>
              </w:rPr>
              <w:t>מוחשיים</w:t>
            </w:r>
            <w:r w:rsidRPr="00FE2D43">
              <w:rPr>
                <w:rtl/>
              </w:rPr>
              <w:t xml:space="preserve">, </w:t>
            </w:r>
            <w:r w:rsidRPr="00FE2D43">
              <w:rPr>
                <w:rFonts w:hint="eastAsia"/>
                <w:rtl/>
              </w:rPr>
              <w:t>נטו</w:t>
            </w:r>
          </w:p>
        </w:tc>
        <w:tc>
          <w:tcPr>
            <w:tcW w:w="694" w:type="pct"/>
            <w:shd w:val="clear" w:color="auto" w:fill="EEF6F7"/>
            <w:hideMark/>
          </w:tcPr>
          <w:p w14:paraId="2512CB2B" w14:textId="77777777" w:rsidR="00C27921" w:rsidRPr="00FE2D43" w:rsidRDefault="00C27921" w:rsidP="00C27921">
            <w:pPr>
              <w:pStyle w:val="71R"/>
              <w:spacing w:before="60" w:after="60" w:line="240" w:lineRule="auto"/>
              <w:rPr>
                <w:rtl/>
              </w:rPr>
            </w:pPr>
            <w:r w:rsidRPr="00FE2D43">
              <w:rPr>
                <w:rtl/>
              </w:rPr>
              <w:t>15,150</w:t>
            </w:r>
          </w:p>
        </w:tc>
        <w:tc>
          <w:tcPr>
            <w:tcW w:w="694" w:type="pct"/>
            <w:shd w:val="clear" w:color="auto" w:fill="EEF6F7"/>
            <w:hideMark/>
          </w:tcPr>
          <w:p w14:paraId="5D08EBAA" w14:textId="77777777" w:rsidR="00C27921" w:rsidRPr="00FE2D43" w:rsidRDefault="00C27921" w:rsidP="00C27921">
            <w:pPr>
              <w:pStyle w:val="71R"/>
              <w:spacing w:before="60" w:after="60" w:line="240" w:lineRule="auto"/>
              <w:rPr>
                <w:rtl/>
              </w:rPr>
            </w:pPr>
            <w:r w:rsidRPr="00FE2D43">
              <w:rPr>
                <w:rFonts w:hint="cs"/>
                <w:rtl/>
              </w:rPr>
              <w:t>1,937</w:t>
            </w:r>
          </w:p>
        </w:tc>
        <w:tc>
          <w:tcPr>
            <w:tcW w:w="696" w:type="pct"/>
            <w:shd w:val="clear" w:color="auto" w:fill="EEF6F7"/>
            <w:hideMark/>
          </w:tcPr>
          <w:p w14:paraId="3A45B7B1" w14:textId="77777777" w:rsidR="00C27921" w:rsidRDefault="00C27921" w:rsidP="00C27921">
            <w:pPr>
              <w:pStyle w:val="71R"/>
              <w:spacing w:before="60" w:after="60" w:line="240" w:lineRule="auto"/>
              <w:rPr>
                <w:rtl/>
              </w:rPr>
            </w:pPr>
            <w:r>
              <w:rPr>
                <w:rFonts w:hint="cs"/>
                <w:rtl/>
              </w:rPr>
              <w:t>39</w:t>
            </w:r>
          </w:p>
        </w:tc>
        <w:tc>
          <w:tcPr>
            <w:tcW w:w="694" w:type="pct"/>
            <w:shd w:val="clear" w:color="auto" w:fill="EEF6F7"/>
            <w:hideMark/>
          </w:tcPr>
          <w:p w14:paraId="1FA4E076" w14:textId="77777777" w:rsidR="00C27921" w:rsidRDefault="00C27921" w:rsidP="00C27921">
            <w:pPr>
              <w:pStyle w:val="71R"/>
              <w:spacing w:before="60" w:after="60" w:line="240" w:lineRule="auto"/>
              <w:rPr>
                <w:rtl/>
              </w:rPr>
            </w:pPr>
            <w:r>
              <w:rPr>
                <w:rFonts w:hint="cs"/>
                <w:rtl/>
              </w:rPr>
              <w:t>387</w:t>
            </w:r>
          </w:p>
        </w:tc>
        <w:tc>
          <w:tcPr>
            <w:tcW w:w="705" w:type="pct"/>
            <w:shd w:val="clear" w:color="auto" w:fill="EEF6F7"/>
            <w:hideMark/>
          </w:tcPr>
          <w:p w14:paraId="1343DC92" w14:textId="77777777" w:rsidR="00C27921" w:rsidRDefault="00C27921" w:rsidP="00C27921">
            <w:pPr>
              <w:pStyle w:val="71R"/>
              <w:spacing w:before="60" w:after="60" w:line="240" w:lineRule="auto"/>
              <w:rPr>
                <w:rtl/>
              </w:rPr>
            </w:pPr>
            <w:r>
              <w:rPr>
                <w:rFonts w:hint="cs"/>
                <w:rtl/>
              </w:rPr>
              <w:t>25</w:t>
            </w:r>
          </w:p>
        </w:tc>
      </w:tr>
      <w:tr w:rsidR="00C27921" w14:paraId="4FCA69F3" w14:textId="77777777" w:rsidTr="00F03460">
        <w:trPr>
          <w:trHeight w:val="294"/>
        </w:trPr>
        <w:tc>
          <w:tcPr>
            <w:tcW w:w="1516" w:type="pct"/>
            <w:shd w:val="clear" w:color="auto" w:fill="DDEAEE"/>
            <w:hideMark/>
          </w:tcPr>
          <w:p w14:paraId="786FE1B2" w14:textId="77777777" w:rsidR="00C27921" w:rsidRPr="00481D6E" w:rsidRDefault="00C27921" w:rsidP="00C27921">
            <w:pPr>
              <w:pStyle w:val="71R"/>
              <w:spacing w:before="60" w:after="60" w:line="240" w:lineRule="auto"/>
              <w:rPr>
                <w:spacing w:val="-4"/>
                <w:rtl/>
              </w:rPr>
            </w:pPr>
            <w:r w:rsidRPr="00481D6E">
              <w:rPr>
                <w:rFonts w:hint="cs"/>
                <w:spacing w:val="-4"/>
                <w:rtl/>
              </w:rPr>
              <w:t>יתרות חובה אחרות לזמן ארוך</w:t>
            </w:r>
          </w:p>
        </w:tc>
        <w:tc>
          <w:tcPr>
            <w:tcW w:w="694" w:type="pct"/>
            <w:shd w:val="clear" w:color="auto" w:fill="DDEAEE"/>
            <w:hideMark/>
          </w:tcPr>
          <w:p w14:paraId="77326E49" w14:textId="77777777" w:rsidR="00C27921" w:rsidRPr="00FE2D43" w:rsidRDefault="00C27921" w:rsidP="00C27921">
            <w:pPr>
              <w:pStyle w:val="71R"/>
              <w:spacing w:before="60" w:after="60" w:line="240" w:lineRule="auto"/>
              <w:rPr>
                <w:rtl/>
              </w:rPr>
            </w:pPr>
            <w:r w:rsidRPr="00FE2D43">
              <w:rPr>
                <w:rFonts w:hint="cs"/>
                <w:rtl/>
              </w:rPr>
              <w:t>187</w:t>
            </w:r>
          </w:p>
        </w:tc>
        <w:tc>
          <w:tcPr>
            <w:tcW w:w="694" w:type="pct"/>
            <w:shd w:val="clear" w:color="auto" w:fill="DDEAEE"/>
            <w:hideMark/>
          </w:tcPr>
          <w:p w14:paraId="64BDD3D7" w14:textId="77777777" w:rsidR="00C27921" w:rsidRPr="00FE2D43" w:rsidRDefault="00C27921" w:rsidP="00C27921">
            <w:pPr>
              <w:pStyle w:val="71R"/>
              <w:spacing w:before="60" w:after="60" w:line="240" w:lineRule="auto"/>
              <w:rPr>
                <w:rtl/>
              </w:rPr>
            </w:pPr>
            <w:r w:rsidRPr="00FE2D43">
              <w:rPr>
                <w:rFonts w:hint="cs"/>
                <w:rtl/>
              </w:rPr>
              <w:t>8,062</w:t>
            </w:r>
          </w:p>
        </w:tc>
        <w:tc>
          <w:tcPr>
            <w:tcW w:w="696" w:type="pct"/>
            <w:shd w:val="clear" w:color="auto" w:fill="DDEAEE"/>
            <w:hideMark/>
          </w:tcPr>
          <w:p w14:paraId="6174B98B" w14:textId="77777777" w:rsidR="00C27921" w:rsidRDefault="00C27921" w:rsidP="00C27921">
            <w:pPr>
              <w:pStyle w:val="71R"/>
              <w:spacing w:before="60" w:after="60" w:line="240" w:lineRule="auto"/>
              <w:rPr>
                <w:rtl/>
              </w:rPr>
            </w:pPr>
            <w:r>
              <w:rPr>
                <w:rFonts w:hint="cs"/>
                <w:rtl/>
              </w:rPr>
              <w:t>153</w:t>
            </w:r>
          </w:p>
        </w:tc>
        <w:tc>
          <w:tcPr>
            <w:tcW w:w="694" w:type="pct"/>
            <w:shd w:val="clear" w:color="auto" w:fill="DDEAEE"/>
            <w:hideMark/>
          </w:tcPr>
          <w:p w14:paraId="55FEEC8D" w14:textId="77777777" w:rsidR="00C27921" w:rsidRDefault="00C27921" w:rsidP="00C27921">
            <w:pPr>
              <w:pStyle w:val="71R"/>
              <w:spacing w:before="60" w:after="60" w:line="240" w:lineRule="auto"/>
              <w:rPr>
                <w:rtl/>
              </w:rPr>
            </w:pPr>
            <w:r>
              <w:rPr>
                <w:rFonts w:hint="cs"/>
                <w:rtl/>
              </w:rPr>
              <w:t>43</w:t>
            </w:r>
          </w:p>
        </w:tc>
        <w:tc>
          <w:tcPr>
            <w:tcW w:w="705" w:type="pct"/>
            <w:shd w:val="clear" w:color="auto" w:fill="DDEAEE"/>
            <w:hideMark/>
          </w:tcPr>
          <w:p w14:paraId="2FC5BC02" w14:textId="77777777" w:rsidR="00C27921" w:rsidRDefault="00C27921" w:rsidP="00C27921">
            <w:pPr>
              <w:pStyle w:val="71R"/>
              <w:spacing w:before="60" w:after="60" w:line="240" w:lineRule="auto"/>
              <w:rPr>
                <w:rtl/>
              </w:rPr>
            </w:pPr>
            <w:r>
              <w:rPr>
                <w:rFonts w:hint="cs"/>
                <w:rtl/>
              </w:rPr>
              <w:t>0 </w:t>
            </w:r>
          </w:p>
        </w:tc>
      </w:tr>
      <w:tr w:rsidR="00C27921" w14:paraId="285E8404" w14:textId="77777777" w:rsidTr="00F03460">
        <w:trPr>
          <w:trHeight w:val="294"/>
        </w:trPr>
        <w:tc>
          <w:tcPr>
            <w:tcW w:w="1516" w:type="pct"/>
            <w:shd w:val="clear" w:color="auto" w:fill="EFF7F8"/>
            <w:hideMark/>
          </w:tcPr>
          <w:p w14:paraId="234F6539" w14:textId="1BF3CAFF" w:rsidR="00C27921" w:rsidRPr="00AA7459" w:rsidRDefault="00C27921" w:rsidP="00C27921">
            <w:pPr>
              <w:pStyle w:val="71R"/>
              <w:spacing w:before="60" w:after="60" w:line="240" w:lineRule="auto"/>
              <w:rPr>
                <w:b/>
                <w:bCs/>
                <w:spacing w:val="-6"/>
                <w:rtl/>
              </w:rPr>
            </w:pPr>
            <w:r w:rsidRPr="00AA7459">
              <w:rPr>
                <w:rFonts w:hint="cs"/>
                <w:b/>
                <w:bCs/>
                <w:spacing w:val="-6"/>
                <w:rtl/>
              </w:rPr>
              <w:t>סך הכול</w:t>
            </w:r>
            <w:r w:rsidR="00AA7459" w:rsidRPr="00AA7459">
              <w:rPr>
                <w:rFonts w:hint="cs"/>
                <w:b/>
                <w:bCs/>
                <w:spacing w:val="-6"/>
                <w:rtl/>
              </w:rPr>
              <w:t xml:space="preserve"> נכסים לא שוטפים</w:t>
            </w:r>
          </w:p>
        </w:tc>
        <w:tc>
          <w:tcPr>
            <w:tcW w:w="694" w:type="pct"/>
            <w:shd w:val="clear" w:color="auto" w:fill="EFF7F8"/>
            <w:hideMark/>
          </w:tcPr>
          <w:p w14:paraId="37EAFC4C" w14:textId="77777777" w:rsidR="00C27921" w:rsidRPr="00FE2D43" w:rsidRDefault="00C27921" w:rsidP="00C27921">
            <w:pPr>
              <w:pStyle w:val="71R"/>
              <w:spacing w:before="60" w:after="60" w:line="240" w:lineRule="auto"/>
              <w:rPr>
                <w:b/>
                <w:bCs/>
                <w:rtl/>
              </w:rPr>
            </w:pPr>
            <w:r w:rsidRPr="00FE2D43">
              <w:rPr>
                <w:rFonts w:hint="cs"/>
                <w:b/>
                <w:bCs/>
                <w:rtl/>
              </w:rPr>
              <w:t>15,342</w:t>
            </w:r>
          </w:p>
        </w:tc>
        <w:tc>
          <w:tcPr>
            <w:tcW w:w="694" w:type="pct"/>
            <w:shd w:val="clear" w:color="auto" w:fill="EFF7F8"/>
            <w:hideMark/>
          </w:tcPr>
          <w:p w14:paraId="4CDDB91D" w14:textId="77777777" w:rsidR="00C27921" w:rsidRPr="00FE2D43" w:rsidRDefault="00C27921" w:rsidP="00C27921">
            <w:pPr>
              <w:pStyle w:val="71R"/>
              <w:spacing w:before="60" w:after="60" w:line="240" w:lineRule="auto"/>
              <w:rPr>
                <w:b/>
                <w:bCs/>
                <w:rtl/>
              </w:rPr>
            </w:pPr>
            <w:r w:rsidRPr="00FE2D43">
              <w:rPr>
                <w:rFonts w:hint="cs"/>
                <w:b/>
                <w:bCs/>
                <w:rtl/>
              </w:rPr>
              <w:t>11,775</w:t>
            </w:r>
          </w:p>
        </w:tc>
        <w:tc>
          <w:tcPr>
            <w:tcW w:w="696" w:type="pct"/>
            <w:shd w:val="clear" w:color="auto" w:fill="EFF7F8"/>
            <w:hideMark/>
          </w:tcPr>
          <w:p w14:paraId="71136EA4" w14:textId="77777777" w:rsidR="00C27921" w:rsidRDefault="00C27921" w:rsidP="00C27921">
            <w:pPr>
              <w:pStyle w:val="71R"/>
              <w:spacing w:before="60" w:after="60" w:line="240" w:lineRule="auto"/>
              <w:rPr>
                <w:b/>
                <w:bCs/>
                <w:rtl/>
              </w:rPr>
            </w:pPr>
            <w:r>
              <w:rPr>
                <w:rFonts w:hint="cs"/>
                <w:b/>
                <w:bCs/>
                <w:rtl/>
              </w:rPr>
              <w:t>312</w:t>
            </w:r>
          </w:p>
        </w:tc>
        <w:tc>
          <w:tcPr>
            <w:tcW w:w="694" w:type="pct"/>
            <w:shd w:val="clear" w:color="auto" w:fill="EFF7F8"/>
            <w:hideMark/>
          </w:tcPr>
          <w:p w14:paraId="11887301" w14:textId="77777777" w:rsidR="00C27921" w:rsidRDefault="00C27921" w:rsidP="00C27921">
            <w:pPr>
              <w:pStyle w:val="71R"/>
              <w:spacing w:before="60" w:after="60" w:line="240" w:lineRule="auto"/>
              <w:rPr>
                <w:b/>
                <w:bCs/>
                <w:rtl/>
              </w:rPr>
            </w:pPr>
            <w:r>
              <w:rPr>
                <w:rFonts w:hint="cs"/>
                <w:b/>
                <w:bCs/>
                <w:rtl/>
              </w:rPr>
              <w:t>444</w:t>
            </w:r>
          </w:p>
        </w:tc>
        <w:tc>
          <w:tcPr>
            <w:tcW w:w="705" w:type="pct"/>
            <w:shd w:val="clear" w:color="auto" w:fill="EFF7F8"/>
            <w:hideMark/>
          </w:tcPr>
          <w:p w14:paraId="3AB0B6B8" w14:textId="77777777" w:rsidR="00C27921" w:rsidRDefault="00C27921" w:rsidP="00C27921">
            <w:pPr>
              <w:pStyle w:val="71R"/>
              <w:spacing w:before="60" w:after="60" w:line="240" w:lineRule="auto"/>
              <w:rPr>
                <w:b/>
                <w:bCs/>
                <w:rtl/>
              </w:rPr>
            </w:pPr>
            <w:r>
              <w:rPr>
                <w:rFonts w:hint="cs"/>
                <w:b/>
                <w:bCs/>
                <w:rtl/>
              </w:rPr>
              <w:t>177</w:t>
            </w:r>
          </w:p>
        </w:tc>
      </w:tr>
      <w:tr w:rsidR="00C27921" w14:paraId="1C8A709C" w14:textId="77777777" w:rsidTr="00F03460">
        <w:trPr>
          <w:trHeight w:val="294"/>
        </w:trPr>
        <w:tc>
          <w:tcPr>
            <w:tcW w:w="1516" w:type="pct"/>
            <w:shd w:val="clear" w:color="auto" w:fill="DEEBEE"/>
            <w:hideMark/>
          </w:tcPr>
          <w:p w14:paraId="4CFB58C1" w14:textId="53B00D6E" w:rsidR="00C27921" w:rsidRPr="00FE2D43" w:rsidRDefault="00C27921" w:rsidP="00C27921">
            <w:pPr>
              <w:pStyle w:val="71R"/>
              <w:spacing w:before="60" w:after="60" w:line="240" w:lineRule="auto"/>
              <w:rPr>
                <w:b/>
                <w:bCs/>
                <w:rtl/>
              </w:rPr>
            </w:pPr>
            <w:r w:rsidRPr="00FE2D43">
              <w:rPr>
                <w:rFonts w:hint="cs"/>
                <w:b/>
                <w:bCs/>
                <w:rtl/>
              </w:rPr>
              <w:t>סך הכול נכסים</w:t>
            </w:r>
            <w:r w:rsidR="00AA7459">
              <w:rPr>
                <w:rFonts w:hint="cs"/>
                <w:b/>
                <w:bCs/>
                <w:rtl/>
              </w:rPr>
              <w:t xml:space="preserve"> </w:t>
            </w:r>
          </w:p>
        </w:tc>
        <w:tc>
          <w:tcPr>
            <w:tcW w:w="694" w:type="pct"/>
            <w:shd w:val="clear" w:color="auto" w:fill="DEEBEE"/>
            <w:hideMark/>
          </w:tcPr>
          <w:p w14:paraId="6188D301" w14:textId="77777777" w:rsidR="00C27921" w:rsidRPr="00FE2D43" w:rsidRDefault="00C27921" w:rsidP="00C27921">
            <w:pPr>
              <w:pStyle w:val="71R"/>
              <w:spacing w:before="60" w:after="60" w:line="240" w:lineRule="auto"/>
              <w:rPr>
                <w:b/>
                <w:bCs/>
                <w:rtl/>
              </w:rPr>
            </w:pPr>
            <w:r w:rsidRPr="00FE2D43">
              <w:rPr>
                <w:rFonts w:hint="cs"/>
                <w:b/>
                <w:bCs/>
                <w:rtl/>
              </w:rPr>
              <w:t>15,965</w:t>
            </w:r>
          </w:p>
        </w:tc>
        <w:tc>
          <w:tcPr>
            <w:tcW w:w="694" w:type="pct"/>
            <w:shd w:val="clear" w:color="auto" w:fill="DEEBEE"/>
            <w:hideMark/>
          </w:tcPr>
          <w:p w14:paraId="5913C6F8" w14:textId="77777777" w:rsidR="00C27921" w:rsidRPr="00FE2D43" w:rsidRDefault="00C27921" w:rsidP="00C27921">
            <w:pPr>
              <w:pStyle w:val="71R"/>
              <w:spacing w:before="60" w:after="60" w:line="240" w:lineRule="auto"/>
              <w:rPr>
                <w:b/>
                <w:bCs/>
                <w:rtl/>
              </w:rPr>
            </w:pPr>
            <w:r w:rsidRPr="00FE2D43">
              <w:rPr>
                <w:rFonts w:hint="cs"/>
                <w:b/>
                <w:bCs/>
                <w:rtl/>
              </w:rPr>
              <w:t>13,514</w:t>
            </w:r>
          </w:p>
        </w:tc>
        <w:tc>
          <w:tcPr>
            <w:tcW w:w="696" w:type="pct"/>
            <w:shd w:val="clear" w:color="auto" w:fill="DEEBEE"/>
            <w:hideMark/>
          </w:tcPr>
          <w:p w14:paraId="66C510BA" w14:textId="77777777" w:rsidR="00C27921" w:rsidRDefault="00C27921" w:rsidP="00C27921">
            <w:pPr>
              <w:pStyle w:val="71R"/>
              <w:spacing w:before="60" w:after="60" w:line="240" w:lineRule="auto"/>
              <w:rPr>
                <w:b/>
                <w:bCs/>
                <w:rtl/>
              </w:rPr>
            </w:pPr>
            <w:r>
              <w:rPr>
                <w:rFonts w:hint="cs"/>
                <w:b/>
                <w:bCs/>
                <w:rtl/>
              </w:rPr>
              <w:t>470</w:t>
            </w:r>
          </w:p>
        </w:tc>
        <w:tc>
          <w:tcPr>
            <w:tcW w:w="694" w:type="pct"/>
            <w:shd w:val="clear" w:color="auto" w:fill="DEEBEE"/>
            <w:hideMark/>
          </w:tcPr>
          <w:p w14:paraId="311F9A58" w14:textId="77777777" w:rsidR="00C27921" w:rsidRDefault="00C27921" w:rsidP="00C27921">
            <w:pPr>
              <w:pStyle w:val="71R"/>
              <w:spacing w:before="60" w:after="60" w:line="240" w:lineRule="auto"/>
              <w:rPr>
                <w:b/>
                <w:bCs/>
                <w:rtl/>
              </w:rPr>
            </w:pPr>
            <w:r>
              <w:rPr>
                <w:rFonts w:hint="cs"/>
                <w:b/>
                <w:bCs/>
                <w:rtl/>
              </w:rPr>
              <w:t>519</w:t>
            </w:r>
          </w:p>
        </w:tc>
        <w:tc>
          <w:tcPr>
            <w:tcW w:w="705" w:type="pct"/>
            <w:shd w:val="clear" w:color="auto" w:fill="DEEBEE"/>
            <w:hideMark/>
          </w:tcPr>
          <w:p w14:paraId="2470F597" w14:textId="77777777" w:rsidR="00C27921" w:rsidRDefault="00C27921" w:rsidP="00C27921">
            <w:pPr>
              <w:pStyle w:val="71R"/>
              <w:spacing w:before="60" w:after="60" w:line="240" w:lineRule="auto"/>
              <w:rPr>
                <w:b/>
                <w:bCs/>
                <w:rtl/>
              </w:rPr>
            </w:pPr>
            <w:r>
              <w:rPr>
                <w:rFonts w:hint="cs"/>
                <w:b/>
                <w:bCs/>
                <w:rtl/>
              </w:rPr>
              <w:t>249</w:t>
            </w:r>
          </w:p>
        </w:tc>
      </w:tr>
      <w:tr w:rsidR="00F03460" w14:paraId="2FF3D28E" w14:textId="77777777" w:rsidTr="00F03460">
        <w:trPr>
          <w:trHeight w:val="454"/>
        </w:trPr>
        <w:tc>
          <w:tcPr>
            <w:tcW w:w="5000" w:type="pct"/>
            <w:gridSpan w:val="6"/>
            <w:shd w:val="clear" w:color="auto" w:fill="C8DCE4"/>
            <w:vAlign w:val="center"/>
          </w:tcPr>
          <w:p w14:paraId="4CBAA90A" w14:textId="13014C78" w:rsidR="00F03460" w:rsidRDefault="00F03460" w:rsidP="00F03460">
            <w:pPr>
              <w:pStyle w:val="71R"/>
              <w:spacing w:before="60" w:after="60" w:line="240" w:lineRule="auto"/>
              <w:rPr>
                <w:rtl/>
              </w:rPr>
            </w:pPr>
            <w:r w:rsidRPr="00FE2D43">
              <w:rPr>
                <w:rFonts w:hint="cs"/>
                <w:b/>
                <w:bCs/>
                <w:rtl/>
              </w:rPr>
              <w:t>התחייבויות שוטפות</w:t>
            </w:r>
          </w:p>
        </w:tc>
      </w:tr>
      <w:tr w:rsidR="00C27921" w14:paraId="4DB503AA" w14:textId="77777777" w:rsidTr="00F03460">
        <w:trPr>
          <w:trHeight w:val="294"/>
        </w:trPr>
        <w:tc>
          <w:tcPr>
            <w:tcW w:w="1516" w:type="pct"/>
            <w:shd w:val="clear" w:color="auto" w:fill="DDEAEE"/>
            <w:hideMark/>
          </w:tcPr>
          <w:p w14:paraId="35FA3592" w14:textId="77777777" w:rsidR="00C27921" w:rsidRPr="00FE2D43" w:rsidRDefault="00C27921" w:rsidP="00C27921">
            <w:pPr>
              <w:pStyle w:val="71R"/>
              <w:spacing w:before="60" w:after="60" w:line="240" w:lineRule="auto"/>
              <w:rPr>
                <w:rtl/>
              </w:rPr>
            </w:pPr>
            <w:r w:rsidRPr="00FE2D43">
              <w:rPr>
                <w:rFonts w:hint="cs"/>
                <w:rtl/>
              </w:rPr>
              <w:t>ספקים ונותני שירותים</w:t>
            </w:r>
          </w:p>
        </w:tc>
        <w:tc>
          <w:tcPr>
            <w:tcW w:w="694" w:type="pct"/>
            <w:shd w:val="clear" w:color="auto" w:fill="DDEAEE"/>
            <w:hideMark/>
          </w:tcPr>
          <w:p w14:paraId="5AE5EB78" w14:textId="77777777" w:rsidR="00C27921" w:rsidRPr="00FE2D43" w:rsidRDefault="00C27921" w:rsidP="00C27921">
            <w:pPr>
              <w:pStyle w:val="71R"/>
              <w:spacing w:before="60" w:after="60" w:line="240" w:lineRule="auto"/>
              <w:rPr>
                <w:rtl/>
              </w:rPr>
            </w:pPr>
            <w:r w:rsidRPr="00FE2D43">
              <w:rPr>
                <w:rFonts w:hint="cs"/>
                <w:rtl/>
              </w:rPr>
              <w:t>53</w:t>
            </w:r>
          </w:p>
        </w:tc>
        <w:tc>
          <w:tcPr>
            <w:tcW w:w="694" w:type="pct"/>
            <w:shd w:val="clear" w:color="auto" w:fill="DDEAEE"/>
            <w:hideMark/>
          </w:tcPr>
          <w:p w14:paraId="418734BC" w14:textId="77777777" w:rsidR="00C27921" w:rsidRPr="00FE2D43" w:rsidRDefault="00C27921" w:rsidP="00C27921">
            <w:pPr>
              <w:pStyle w:val="71R"/>
              <w:spacing w:before="60" w:after="60" w:line="240" w:lineRule="auto"/>
              <w:rPr>
                <w:rtl/>
              </w:rPr>
            </w:pPr>
            <w:r w:rsidRPr="00FE2D43">
              <w:rPr>
                <w:rFonts w:hint="cs"/>
                <w:rtl/>
              </w:rPr>
              <w:t>50</w:t>
            </w:r>
          </w:p>
        </w:tc>
        <w:tc>
          <w:tcPr>
            <w:tcW w:w="696" w:type="pct"/>
            <w:shd w:val="clear" w:color="auto" w:fill="DDEAEE"/>
            <w:hideMark/>
          </w:tcPr>
          <w:p w14:paraId="7AFED77A" w14:textId="77777777" w:rsidR="00C27921" w:rsidRDefault="00C27921" w:rsidP="00C27921">
            <w:pPr>
              <w:pStyle w:val="71R"/>
              <w:spacing w:before="60" w:after="60" w:line="240" w:lineRule="auto"/>
              <w:rPr>
                <w:rtl/>
              </w:rPr>
            </w:pPr>
            <w:r>
              <w:rPr>
                <w:rFonts w:hint="cs"/>
                <w:rtl/>
              </w:rPr>
              <w:t> 0</w:t>
            </w:r>
          </w:p>
        </w:tc>
        <w:tc>
          <w:tcPr>
            <w:tcW w:w="694" w:type="pct"/>
            <w:shd w:val="clear" w:color="auto" w:fill="DDEAEE"/>
            <w:hideMark/>
          </w:tcPr>
          <w:p w14:paraId="1D9D5297" w14:textId="77777777" w:rsidR="00C27921" w:rsidRDefault="00C27921" w:rsidP="00C27921">
            <w:pPr>
              <w:pStyle w:val="71R"/>
              <w:spacing w:before="60" w:after="60" w:line="240" w:lineRule="auto"/>
              <w:rPr>
                <w:rtl/>
              </w:rPr>
            </w:pPr>
            <w:r>
              <w:rPr>
                <w:rFonts w:hint="cs"/>
                <w:rtl/>
              </w:rPr>
              <w:t> 0</w:t>
            </w:r>
          </w:p>
        </w:tc>
        <w:tc>
          <w:tcPr>
            <w:tcW w:w="705" w:type="pct"/>
            <w:shd w:val="clear" w:color="auto" w:fill="DDEAEE"/>
            <w:hideMark/>
          </w:tcPr>
          <w:p w14:paraId="37763AA8" w14:textId="77777777" w:rsidR="00C27921" w:rsidRDefault="00C27921" w:rsidP="00C27921">
            <w:pPr>
              <w:pStyle w:val="71R"/>
              <w:spacing w:before="60" w:after="60" w:line="240" w:lineRule="auto"/>
              <w:rPr>
                <w:rtl/>
              </w:rPr>
            </w:pPr>
            <w:r>
              <w:rPr>
                <w:rFonts w:hint="cs"/>
                <w:rtl/>
              </w:rPr>
              <w:t> 0</w:t>
            </w:r>
          </w:p>
        </w:tc>
      </w:tr>
      <w:tr w:rsidR="00C27921" w14:paraId="48A3DF76" w14:textId="77777777" w:rsidTr="00F03460">
        <w:trPr>
          <w:trHeight w:val="294"/>
        </w:trPr>
        <w:tc>
          <w:tcPr>
            <w:tcW w:w="1516" w:type="pct"/>
            <w:shd w:val="clear" w:color="auto" w:fill="EEF6F7"/>
            <w:hideMark/>
          </w:tcPr>
          <w:p w14:paraId="345A7949" w14:textId="77777777" w:rsidR="00C27921" w:rsidRPr="00FE2D43" w:rsidRDefault="00C27921" w:rsidP="00C27921">
            <w:pPr>
              <w:pStyle w:val="71R"/>
              <w:spacing w:before="60" w:after="60" w:line="240" w:lineRule="auto"/>
              <w:rPr>
                <w:rtl/>
              </w:rPr>
            </w:pPr>
            <w:r w:rsidRPr="00FE2D43">
              <w:rPr>
                <w:rFonts w:hint="eastAsia"/>
                <w:rtl/>
              </w:rPr>
              <w:t>זכאים</w:t>
            </w:r>
            <w:r w:rsidRPr="00FE2D43">
              <w:rPr>
                <w:rtl/>
              </w:rPr>
              <w:t xml:space="preserve"> </w:t>
            </w:r>
            <w:r w:rsidRPr="00FE2D43">
              <w:rPr>
                <w:rFonts w:hint="eastAsia"/>
                <w:rtl/>
              </w:rPr>
              <w:t>ויתרות</w:t>
            </w:r>
            <w:r w:rsidRPr="00FE2D43">
              <w:rPr>
                <w:rtl/>
              </w:rPr>
              <w:t xml:space="preserve"> </w:t>
            </w:r>
            <w:r w:rsidRPr="00FE2D43">
              <w:rPr>
                <w:rFonts w:hint="eastAsia"/>
                <w:rtl/>
              </w:rPr>
              <w:t>זכות</w:t>
            </w:r>
          </w:p>
        </w:tc>
        <w:tc>
          <w:tcPr>
            <w:tcW w:w="694" w:type="pct"/>
            <w:shd w:val="clear" w:color="auto" w:fill="EEF6F7"/>
            <w:hideMark/>
          </w:tcPr>
          <w:p w14:paraId="0DEBA7E9" w14:textId="77777777" w:rsidR="00C27921" w:rsidRPr="00FE2D43" w:rsidRDefault="00C27921" w:rsidP="00C27921">
            <w:pPr>
              <w:pStyle w:val="71R"/>
              <w:spacing w:before="60" w:after="60" w:line="240" w:lineRule="auto"/>
              <w:rPr>
                <w:rtl/>
              </w:rPr>
            </w:pPr>
            <w:r w:rsidRPr="00FE2D43">
              <w:rPr>
                <w:rFonts w:hint="cs"/>
                <w:rtl/>
              </w:rPr>
              <w:t>190</w:t>
            </w:r>
          </w:p>
        </w:tc>
        <w:tc>
          <w:tcPr>
            <w:tcW w:w="694" w:type="pct"/>
            <w:shd w:val="clear" w:color="auto" w:fill="EEF6F7"/>
            <w:hideMark/>
          </w:tcPr>
          <w:p w14:paraId="24954693" w14:textId="77777777" w:rsidR="00C27921" w:rsidRPr="00FE2D43" w:rsidRDefault="00C27921" w:rsidP="00C27921">
            <w:pPr>
              <w:pStyle w:val="71R"/>
              <w:spacing w:before="60" w:after="60" w:line="240" w:lineRule="auto"/>
              <w:rPr>
                <w:rtl/>
              </w:rPr>
            </w:pPr>
            <w:r w:rsidRPr="00FE2D43">
              <w:rPr>
                <w:rFonts w:hint="cs"/>
                <w:rtl/>
              </w:rPr>
              <w:t>1,384</w:t>
            </w:r>
          </w:p>
        </w:tc>
        <w:tc>
          <w:tcPr>
            <w:tcW w:w="696" w:type="pct"/>
            <w:shd w:val="clear" w:color="auto" w:fill="EEF6F7"/>
            <w:hideMark/>
          </w:tcPr>
          <w:p w14:paraId="0DC14056" w14:textId="77777777" w:rsidR="00C27921" w:rsidRDefault="00C27921" w:rsidP="00C27921">
            <w:pPr>
              <w:pStyle w:val="71R"/>
              <w:spacing w:before="60" w:after="60" w:line="240" w:lineRule="auto"/>
              <w:rPr>
                <w:rtl/>
              </w:rPr>
            </w:pPr>
            <w:r>
              <w:rPr>
                <w:rFonts w:hint="cs"/>
                <w:rtl/>
              </w:rPr>
              <w:t>24</w:t>
            </w:r>
          </w:p>
        </w:tc>
        <w:tc>
          <w:tcPr>
            <w:tcW w:w="694" w:type="pct"/>
            <w:shd w:val="clear" w:color="auto" w:fill="EEF6F7"/>
            <w:hideMark/>
          </w:tcPr>
          <w:p w14:paraId="49CDC8EE" w14:textId="77777777" w:rsidR="00C27921" w:rsidRDefault="00C27921" w:rsidP="00C27921">
            <w:pPr>
              <w:pStyle w:val="71R"/>
              <w:spacing w:before="60" w:after="60" w:line="240" w:lineRule="auto"/>
              <w:rPr>
                <w:rtl/>
              </w:rPr>
            </w:pPr>
            <w:r>
              <w:rPr>
                <w:rFonts w:hint="cs"/>
                <w:rtl/>
              </w:rPr>
              <w:t>128</w:t>
            </w:r>
          </w:p>
        </w:tc>
        <w:tc>
          <w:tcPr>
            <w:tcW w:w="705" w:type="pct"/>
            <w:shd w:val="clear" w:color="auto" w:fill="EEF6F7"/>
            <w:hideMark/>
          </w:tcPr>
          <w:p w14:paraId="76A23A4F" w14:textId="77777777" w:rsidR="00C27921" w:rsidRDefault="00C27921" w:rsidP="00C27921">
            <w:pPr>
              <w:pStyle w:val="71R"/>
              <w:spacing w:before="60" w:after="60" w:line="240" w:lineRule="auto"/>
              <w:rPr>
                <w:rtl/>
              </w:rPr>
            </w:pPr>
            <w:r>
              <w:rPr>
                <w:rFonts w:hint="cs"/>
                <w:rtl/>
              </w:rPr>
              <w:t>40</w:t>
            </w:r>
          </w:p>
        </w:tc>
      </w:tr>
      <w:tr w:rsidR="00C27921" w14:paraId="601F3532" w14:textId="77777777" w:rsidTr="00F03460">
        <w:trPr>
          <w:trHeight w:val="294"/>
        </w:trPr>
        <w:tc>
          <w:tcPr>
            <w:tcW w:w="1516" w:type="pct"/>
            <w:shd w:val="clear" w:color="auto" w:fill="DDEAEE"/>
            <w:hideMark/>
          </w:tcPr>
          <w:p w14:paraId="51C087F6" w14:textId="77777777" w:rsidR="00C27921" w:rsidRPr="00FE2D43" w:rsidRDefault="00C27921" w:rsidP="00C27921">
            <w:pPr>
              <w:pStyle w:val="71R"/>
              <w:spacing w:before="60" w:after="60" w:line="240" w:lineRule="auto"/>
              <w:rPr>
                <w:rtl/>
              </w:rPr>
            </w:pPr>
            <w:r w:rsidRPr="00FE2D43">
              <w:rPr>
                <w:rFonts w:hint="eastAsia"/>
                <w:rtl/>
              </w:rPr>
              <w:t>התחייבויות</w:t>
            </w:r>
            <w:r w:rsidRPr="00FE2D43">
              <w:rPr>
                <w:rtl/>
              </w:rPr>
              <w:t xml:space="preserve"> </w:t>
            </w:r>
            <w:r w:rsidRPr="00FE2D43">
              <w:rPr>
                <w:rFonts w:hint="eastAsia"/>
                <w:rtl/>
              </w:rPr>
              <w:t>שוטפות</w:t>
            </w:r>
            <w:r w:rsidRPr="00FE2D43">
              <w:rPr>
                <w:rtl/>
              </w:rPr>
              <w:t xml:space="preserve"> </w:t>
            </w:r>
            <w:r w:rsidRPr="00FE2D43">
              <w:rPr>
                <w:rFonts w:hint="eastAsia"/>
                <w:rtl/>
              </w:rPr>
              <w:t>אחרות</w:t>
            </w:r>
          </w:p>
        </w:tc>
        <w:tc>
          <w:tcPr>
            <w:tcW w:w="694" w:type="pct"/>
            <w:shd w:val="clear" w:color="auto" w:fill="DDEAEE"/>
            <w:hideMark/>
          </w:tcPr>
          <w:p w14:paraId="622CB6E4" w14:textId="77777777" w:rsidR="00C27921" w:rsidRPr="00FE2D43" w:rsidRDefault="00C27921" w:rsidP="00C27921">
            <w:pPr>
              <w:pStyle w:val="71R"/>
              <w:spacing w:before="60" w:after="60" w:line="240" w:lineRule="auto"/>
              <w:rPr>
                <w:rtl/>
              </w:rPr>
            </w:pPr>
            <w:r w:rsidRPr="00FE2D43">
              <w:rPr>
                <w:rFonts w:hint="cs"/>
                <w:rtl/>
              </w:rPr>
              <w:t>3,596</w:t>
            </w:r>
          </w:p>
        </w:tc>
        <w:tc>
          <w:tcPr>
            <w:tcW w:w="694" w:type="pct"/>
            <w:shd w:val="clear" w:color="auto" w:fill="DDEAEE"/>
            <w:hideMark/>
          </w:tcPr>
          <w:p w14:paraId="68713074" w14:textId="77777777" w:rsidR="00C27921" w:rsidRPr="00FE2D43" w:rsidRDefault="00C27921" w:rsidP="00C27921">
            <w:pPr>
              <w:pStyle w:val="71R"/>
              <w:spacing w:before="60" w:after="60" w:line="240" w:lineRule="auto"/>
              <w:rPr>
                <w:rtl/>
              </w:rPr>
            </w:pPr>
            <w:r w:rsidRPr="00FE2D43">
              <w:rPr>
                <w:rFonts w:hint="cs"/>
                <w:rtl/>
              </w:rPr>
              <w:t>1,374</w:t>
            </w:r>
          </w:p>
        </w:tc>
        <w:tc>
          <w:tcPr>
            <w:tcW w:w="696" w:type="pct"/>
            <w:shd w:val="clear" w:color="auto" w:fill="DDEAEE"/>
            <w:hideMark/>
          </w:tcPr>
          <w:p w14:paraId="595CB3FF" w14:textId="77777777" w:rsidR="00C27921" w:rsidRDefault="00C27921" w:rsidP="00C27921">
            <w:pPr>
              <w:pStyle w:val="71R"/>
              <w:spacing w:before="60" w:after="60" w:line="240" w:lineRule="auto"/>
              <w:rPr>
                <w:rtl/>
              </w:rPr>
            </w:pPr>
            <w:r>
              <w:rPr>
                <w:rFonts w:hint="cs"/>
                <w:rtl/>
              </w:rPr>
              <w:t>20</w:t>
            </w:r>
          </w:p>
        </w:tc>
        <w:tc>
          <w:tcPr>
            <w:tcW w:w="694" w:type="pct"/>
            <w:shd w:val="clear" w:color="auto" w:fill="DDEAEE"/>
            <w:hideMark/>
          </w:tcPr>
          <w:p w14:paraId="54722004" w14:textId="77777777" w:rsidR="00C27921" w:rsidRDefault="00C27921" w:rsidP="00C27921">
            <w:pPr>
              <w:pStyle w:val="71R"/>
              <w:spacing w:before="60" w:after="60" w:line="240" w:lineRule="auto"/>
              <w:rPr>
                <w:rtl/>
              </w:rPr>
            </w:pPr>
            <w:r>
              <w:rPr>
                <w:rFonts w:hint="cs"/>
                <w:rtl/>
              </w:rPr>
              <w:t>200</w:t>
            </w:r>
          </w:p>
        </w:tc>
        <w:tc>
          <w:tcPr>
            <w:tcW w:w="705" w:type="pct"/>
            <w:shd w:val="clear" w:color="auto" w:fill="DDEAEE"/>
            <w:hideMark/>
          </w:tcPr>
          <w:p w14:paraId="39432640" w14:textId="77777777" w:rsidR="00C27921" w:rsidRDefault="00C27921" w:rsidP="00C27921">
            <w:pPr>
              <w:pStyle w:val="71R"/>
              <w:spacing w:before="60" w:after="60" w:line="240" w:lineRule="auto"/>
              <w:rPr>
                <w:rtl/>
              </w:rPr>
            </w:pPr>
            <w:r>
              <w:rPr>
                <w:rFonts w:hint="cs"/>
                <w:rtl/>
              </w:rPr>
              <w:t> 0</w:t>
            </w:r>
          </w:p>
        </w:tc>
      </w:tr>
      <w:tr w:rsidR="00C27921" w14:paraId="691B15A7" w14:textId="77777777" w:rsidTr="00F03460">
        <w:trPr>
          <w:trHeight w:val="294"/>
        </w:trPr>
        <w:tc>
          <w:tcPr>
            <w:tcW w:w="1516" w:type="pct"/>
            <w:shd w:val="clear" w:color="auto" w:fill="EEF6F7"/>
            <w:hideMark/>
          </w:tcPr>
          <w:p w14:paraId="2848B81A" w14:textId="44EFDCAD" w:rsidR="00C27921" w:rsidRPr="00FE2D43" w:rsidRDefault="00C27921" w:rsidP="00C27921">
            <w:pPr>
              <w:pStyle w:val="71R"/>
              <w:spacing w:before="60" w:after="60" w:line="240" w:lineRule="auto"/>
              <w:rPr>
                <w:b/>
                <w:bCs/>
                <w:rtl/>
              </w:rPr>
            </w:pPr>
            <w:r w:rsidRPr="00FE2D43">
              <w:rPr>
                <w:rFonts w:hint="cs"/>
                <w:b/>
                <w:bCs/>
                <w:rtl/>
              </w:rPr>
              <w:t>סך הכול</w:t>
            </w:r>
            <w:r w:rsidR="00F03460">
              <w:rPr>
                <w:rFonts w:hint="cs"/>
                <w:b/>
                <w:bCs/>
                <w:rtl/>
              </w:rPr>
              <w:t xml:space="preserve"> </w:t>
            </w:r>
            <w:r w:rsidR="00F03460" w:rsidRPr="00AA7459">
              <w:rPr>
                <w:rFonts w:hint="cs"/>
                <w:b/>
                <w:bCs/>
                <w:rtl/>
              </w:rPr>
              <w:t>התחייבויות שוטפות</w:t>
            </w:r>
          </w:p>
        </w:tc>
        <w:tc>
          <w:tcPr>
            <w:tcW w:w="694" w:type="pct"/>
            <w:shd w:val="clear" w:color="auto" w:fill="EEF6F7"/>
            <w:hideMark/>
          </w:tcPr>
          <w:p w14:paraId="08CB775E" w14:textId="77777777" w:rsidR="00C27921" w:rsidRPr="00FE2D43" w:rsidRDefault="00C27921" w:rsidP="00C27921">
            <w:pPr>
              <w:pStyle w:val="71R"/>
              <w:spacing w:before="60" w:after="60" w:line="240" w:lineRule="auto"/>
              <w:rPr>
                <w:b/>
                <w:bCs/>
                <w:rtl/>
              </w:rPr>
            </w:pPr>
            <w:r w:rsidRPr="00FE2D43">
              <w:rPr>
                <w:rFonts w:hint="cs"/>
                <w:b/>
                <w:bCs/>
                <w:rtl/>
              </w:rPr>
              <w:t>3,839</w:t>
            </w:r>
          </w:p>
        </w:tc>
        <w:tc>
          <w:tcPr>
            <w:tcW w:w="694" w:type="pct"/>
            <w:shd w:val="clear" w:color="auto" w:fill="EEF6F7"/>
            <w:hideMark/>
          </w:tcPr>
          <w:p w14:paraId="00AF144A" w14:textId="77777777" w:rsidR="00C27921" w:rsidRPr="00FE2D43" w:rsidRDefault="00C27921" w:rsidP="00C27921">
            <w:pPr>
              <w:pStyle w:val="71R"/>
              <w:spacing w:before="60" w:after="60" w:line="240" w:lineRule="auto"/>
              <w:rPr>
                <w:b/>
                <w:bCs/>
                <w:rtl/>
              </w:rPr>
            </w:pPr>
            <w:r w:rsidRPr="00FE2D43">
              <w:rPr>
                <w:rFonts w:hint="cs"/>
                <w:b/>
                <w:bCs/>
                <w:rtl/>
              </w:rPr>
              <w:t>2,808</w:t>
            </w:r>
          </w:p>
        </w:tc>
        <w:tc>
          <w:tcPr>
            <w:tcW w:w="696" w:type="pct"/>
            <w:shd w:val="clear" w:color="auto" w:fill="EEF6F7"/>
            <w:hideMark/>
          </w:tcPr>
          <w:p w14:paraId="57AA04C4" w14:textId="77777777" w:rsidR="00C27921" w:rsidRDefault="00C27921" w:rsidP="00C27921">
            <w:pPr>
              <w:pStyle w:val="71R"/>
              <w:spacing w:before="60" w:after="60" w:line="240" w:lineRule="auto"/>
              <w:rPr>
                <w:b/>
                <w:bCs/>
                <w:rtl/>
              </w:rPr>
            </w:pPr>
            <w:r>
              <w:rPr>
                <w:rFonts w:hint="cs"/>
                <w:b/>
                <w:bCs/>
                <w:rtl/>
              </w:rPr>
              <w:t>44</w:t>
            </w:r>
          </w:p>
        </w:tc>
        <w:tc>
          <w:tcPr>
            <w:tcW w:w="694" w:type="pct"/>
            <w:shd w:val="clear" w:color="auto" w:fill="EEF6F7"/>
            <w:hideMark/>
          </w:tcPr>
          <w:p w14:paraId="3085C1A6" w14:textId="77777777" w:rsidR="00C27921" w:rsidRDefault="00C27921" w:rsidP="00C27921">
            <w:pPr>
              <w:pStyle w:val="71R"/>
              <w:spacing w:before="60" w:after="60" w:line="240" w:lineRule="auto"/>
              <w:rPr>
                <w:b/>
                <w:bCs/>
                <w:rtl/>
              </w:rPr>
            </w:pPr>
            <w:r>
              <w:rPr>
                <w:rFonts w:hint="cs"/>
                <w:b/>
                <w:bCs/>
                <w:rtl/>
              </w:rPr>
              <w:t>328</w:t>
            </w:r>
          </w:p>
        </w:tc>
        <w:tc>
          <w:tcPr>
            <w:tcW w:w="705" w:type="pct"/>
            <w:shd w:val="clear" w:color="auto" w:fill="EEF6F7"/>
            <w:hideMark/>
          </w:tcPr>
          <w:p w14:paraId="1662D892" w14:textId="77777777" w:rsidR="00C27921" w:rsidRDefault="00C27921" w:rsidP="00C27921">
            <w:pPr>
              <w:pStyle w:val="71R"/>
              <w:spacing w:before="60" w:after="60" w:line="240" w:lineRule="auto"/>
              <w:rPr>
                <w:b/>
                <w:bCs/>
                <w:rtl/>
              </w:rPr>
            </w:pPr>
            <w:r>
              <w:rPr>
                <w:rFonts w:hint="cs"/>
                <w:b/>
                <w:bCs/>
                <w:rtl/>
              </w:rPr>
              <w:t>40</w:t>
            </w:r>
          </w:p>
        </w:tc>
      </w:tr>
      <w:tr w:rsidR="00F03460" w14:paraId="52413DAC" w14:textId="77777777" w:rsidTr="00F03460">
        <w:trPr>
          <w:trHeight w:val="454"/>
        </w:trPr>
        <w:tc>
          <w:tcPr>
            <w:tcW w:w="5000" w:type="pct"/>
            <w:gridSpan w:val="6"/>
            <w:shd w:val="clear" w:color="auto" w:fill="C8DCE4"/>
            <w:vAlign w:val="center"/>
          </w:tcPr>
          <w:p w14:paraId="1CCBD1ED" w14:textId="17891F30" w:rsidR="00F03460" w:rsidRDefault="00F03460" w:rsidP="00F03460">
            <w:pPr>
              <w:pStyle w:val="71R"/>
              <w:spacing w:before="60" w:after="60" w:line="240" w:lineRule="auto"/>
              <w:rPr>
                <w:rtl/>
              </w:rPr>
            </w:pPr>
            <w:r w:rsidRPr="00FE2D43">
              <w:rPr>
                <w:rFonts w:hint="cs"/>
                <w:b/>
                <w:bCs/>
                <w:rtl/>
              </w:rPr>
              <w:t>התחייבויות לא שוטפות</w:t>
            </w:r>
          </w:p>
        </w:tc>
      </w:tr>
      <w:tr w:rsidR="00C27921" w14:paraId="5B6F24DA" w14:textId="77777777" w:rsidTr="00F03460">
        <w:trPr>
          <w:trHeight w:val="294"/>
        </w:trPr>
        <w:tc>
          <w:tcPr>
            <w:tcW w:w="1516" w:type="pct"/>
            <w:shd w:val="clear" w:color="auto" w:fill="DDEAEE"/>
            <w:hideMark/>
          </w:tcPr>
          <w:p w14:paraId="4CC686C6" w14:textId="77777777" w:rsidR="00C27921" w:rsidRPr="00FE2D43" w:rsidRDefault="00C27921" w:rsidP="00C27921">
            <w:pPr>
              <w:pStyle w:val="71R"/>
              <w:spacing w:before="60" w:after="60" w:line="240" w:lineRule="auto"/>
              <w:rPr>
                <w:rtl/>
              </w:rPr>
            </w:pPr>
            <w:r w:rsidRPr="00FE2D43">
              <w:rPr>
                <w:rFonts w:hint="cs"/>
                <w:rtl/>
              </w:rPr>
              <w:t>התחייבויות בשל סיום יחסי עובד</w:t>
            </w:r>
            <w:r>
              <w:rPr>
                <w:rFonts w:hint="cs"/>
                <w:rtl/>
              </w:rPr>
              <w:t>-</w:t>
            </w:r>
            <w:r w:rsidRPr="00FE2D43">
              <w:rPr>
                <w:rFonts w:hint="cs"/>
                <w:rtl/>
              </w:rPr>
              <w:t>מעביד, נטו</w:t>
            </w:r>
          </w:p>
        </w:tc>
        <w:tc>
          <w:tcPr>
            <w:tcW w:w="694" w:type="pct"/>
            <w:shd w:val="clear" w:color="auto" w:fill="DDEAEE"/>
            <w:hideMark/>
          </w:tcPr>
          <w:p w14:paraId="772D4333" w14:textId="77777777" w:rsidR="00C27921" w:rsidRPr="00FE2D43" w:rsidRDefault="00C27921" w:rsidP="00C27921">
            <w:pPr>
              <w:pStyle w:val="71R"/>
              <w:spacing w:before="60" w:after="60" w:line="240" w:lineRule="auto"/>
              <w:rPr>
                <w:rtl/>
              </w:rPr>
            </w:pPr>
            <w:r w:rsidRPr="00FE2D43">
              <w:rPr>
                <w:rFonts w:hint="cs"/>
                <w:rtl/>
              </w:rPr>
              <w:t>28</w:t>
            </w:r>
          </w:p>
        </w:tc>
        <w:tc>
          <w:tcPr>
            <w:tcW w:w="694" w:type="pct"/>
            <w:shd w:val="clear" w:color="auto" w:fill="DDEAEE"/>
            <w:hideMark/>
          </w:tcPr>
          <w:p w14:paraId="1E780399" w14:textId="77777777" w:rsidR="00C27921" w:rsidRPr="00FE2D43" w:rsidRDefault="00C27921" w:rsidP="00C27921">
            <w:pPr>
              <w:pStyle w:val="71R"/>
              <w:spacing w:before="60" w:after="60" w:line="240" w:lineRule="auto"/>
              <w:rPr>
                <w:rtl/>
              </w:rPr>
            </w:pPr>
            <w:r w:rsidRPr="00FE2D43">
              <w:rPr>
                <w:rFonts w:hint="cs"/>
                <w:rtl/>
              </w:rPr>
              <w:t>169</w:t>
            </w:r>
          </w:p>
        </w:tc>
        <w:tc>
          <w:tcPr>
            <w:tcW w:w="696" w:type="pct"/>
            <w:shd w:val="clear" w:color="auto" w:fill="DDEAEE"/>
            <w:hideMark/>
          </w:tcPr>
          <w:p w14:paraId="7D2ED906" w14:textId="77777777" w:rsidR="00C27921" w:rsidRDefault="00C27921" w:rsidP="00C27921">
            <w:pPr>
              <w:pStyle w:val="71R"/>
              <w:spacing w:before="60" w:after="60" w:line="240" w:lineRule="auto"/>
              <w:rPr>
                <w:rtl/>
              </w:rPr>
            </w:pPr>
            <w:r>
              <w:rPr>
                <w:rFonts w:hint="cs"/>
                <w:rtl/>
              </w:rPr>
              <w:t>26</w:t>
            </w:r>
          </w:p>
        </w:tc>
        <w:tc>
          <w:tcPr>
            <w:tcW w:w="694" w:type="pct"/>
            <w:shd w:val="clear" w:color="auto" w:fill="DDEAEE"/>
            <w:hideMark/>
          </w:tcPr>
          <w:p w14:paraId="0948B039" w14:textId="77777777" w:rsidR="00C27921" w:rsidRDefault="00C27921" w:rsidP="00C27921">
            <w:pPr>
              <w:pStyle w:val="71R"/>
              <w:spacing w:before="60" w:after="60" w:line="240" w:lineRule="auto"/>
              <w:rPr>
                <w:rtl/>
              </w:rPr>
            </w:pPr>
            <w:r>
              <w:rPr>
                <w:rFonts w:hint="cs"/>
                <w:rtl/>
              </w:rPr>
              <w:t>210</w:t>
            </w:r>
          </w:p>
        </w:tc>
        <w:tc>
          <w:tcPr>
            <w:tcW w:w="705" w:type="pct"/>
            <w:shd w:val="clear" w:color="auto" w:fill="DDEAEE"/>
            <w:hideMark/>
          </w:tcPr>
          <w:p w14:paraId="449D23B1" w14:textId="77777777" w:rsidR="00C27921" w:rsidRDefault="00C27921" w:rsidP="00C27921">
            <w:pPr>
              <w:pStyle w:val="71R"/>
              <w:spacing w:before="60" w:after="60" w:line="240" w:lineRule="auto"/>
              <w:rPr>
                <w:rtl/>
              </w:rPr>
            </w:pPr>
            <w:r>
              <w:rPr>
                <w:rFonts w:hint="cs"/>
                <w:rtl/>
              </w:rPr>
              <w:t>40</w:t>
            </w:r>
          </w:p>
        </w:tc>
      </w:tr>
      <w:tr w:rsidR="00C27921" w14:paraId="23B21C7E" w14:textId="77777777" w:rsidTr="00F03460">
        <w:trPr>
          <w:trHeight w:val="294"/>
        </w:trPr>
        <w:tc>
          <w:tcPr>
            <w:tcW w:w="1516" w:type="pct"/>
            <w:shd w:val="clear" w:color="auto" w:fill="EEF6F7"/>
            <w:hideMark/>
          </w:tcPr>
          <w:p w14:paraId="51E59A15" w14:textId="77777777" w:rsidR="00C27921" w:rsidRPr="00FE2D43" w:rsidRDefault="00C27921" w:rsidP="00C27921">
            <w:pPr>
              <w:pStyle w:val="71R"/>
              <w:spacing w:before="60" w:after="60" w:line="240" w:lineRule="auto"/>
              <w:rPr>
                <w:rtl/>
              </w:rPr>
            </w:pPr>
            <w:r w:rsidRPr="00FE2D43">
              <w:rPr>
                <w:rFonts w:hint="cs"/>
                <w:rtl/>
              </w:rPr>
              <w:t>הפרשה לתביעות משפטיות</w:t>
            </w:r>
          </w:p>
        </w:tc>
        <w:tc>
          <w:tcPr>
            <w:tcW w:w="694" w:type="pct"/>
            <w:shd w:val="clear" w:color="auto" w:fill="EEF6F7"/>
            <w:hideMark/>
          </w:tcPr>
          <w:p w14:paraId="7054FE21" w14:textId="77777777" w:rsidR="00C27921" w:rsidRPr="00FE2D43" w:rsidRDefault="00C27921" w:rsidP="00C27921">
            <w:pPr>
              <w:pStyle w:val="71R"/>
              <w:spacing w:before="60" w:after="60" w:line="240" w:lineRule="auto"/>
              <w:rPr>
                <w:rtl/>
              </w:rPr>
            </w:pPr>
            <w:r w:rsidRPr="00FE2D43">
              <w:rPr>
                <w:rFonts w:hint="cs"/>
                <w:rtl/>
              </w:rPr>
              <w:t>136</w:t>
            </w:r>
          </w:p>
        </w:tc>
        <w:tc>
          <w:tcPr>
            <w:tcW w:w="694" w:type="pct"/>
            <w:shd w:val="clear" w:color="auto" w:fill="EEF6F7"/>
            <w:hideMark/>
          </w:tcPr>
          <w:p w14:paraId="07A6246A" w14:textId="77777777" w:rsidR="00C27921" w:rsidRPr="00FE2D43" w:rsidRDefault="00C27921" w:rsidP="00C27921">
            <w:pPr>
              <w:pStyle w:val="71R"/>
              <w:spacing w:before="60" w:after="60" w:line="240" w:lineRule="auto"/>
              <w:rPr>
                <w:rtl/>
              </w:rPr>
            </w:pPr>
            <w:r w:rsidRPr="00FE2D43">
              <w:rPr>
                <w:rFonts w:hint="cs"/>
                <w:rtl/>
              </w:rPr>
              <w:t>566</w:t>
            </w:r>
          </w:p>
        </w:tc>
        <w:tc>
          <w:tcPr>
            <w:tcW w:w="696" w:type="pct"/>
            <w:shd w:val="clear" w:color="auto" w:fill="EEF6F7"/>
            <w:hideMark/>
          </w:tcPr>
          <w:p w14:paraId="0BCFA3B1" w14:textId="77777777" w:rsidR="00C27921" w:rsidRDefault="00C27921" w:rsidP="00C27921">
            <w:pPr>
              <w:pStyle w:val="71R"/>
              <w:spacing w:before="60" w:after="60" w:line="240" w:lineRule="auto"/>
              <w:rPr>
                <w:rtl/>
              </w:rPr>
            </w:pPr>
            <w:r>
              <w:rPr>
                <w:rFonts w:hint="cs"/>
                <w:rtl/>
              </w:rPr>
              <w:t>13</w:t>
            </w:r>
          </w:p>
        </w:tc>
        <w:tc>
          <w:tcPr>
            <w:tcW w:w="694" w:type="pct"/>
            <w:shd w:val="clear" w:color="auto" w:fill="EEF6F7"/>
            <w:hideMark/>
          </w:tcPr>
          <w:p w14:paraId="37C78515" w14:textId="77777777" w:rsidR="00C27921" w:rsidRDefault="00C27921" w:rsidP="00C27921">
            <w:pPr>
              <w:pStyle w:val="71R"/>
              <w:spacing w:before="60" w:after="60" w:line="240" w:lineRule="auto"/>
              <w:rPr>
                <w:rtl/>
              </w:rPr>
            </w:pPr>
            <w:r>
              <w:rPr>
                <w:rFonts w:hint="cs"/>
                <w:rtl/>
              </w:rPr>
              <w:t>21</w:t>
            </w:r>
          </w:p>
        </w:tc>
        <w:tc>
          <w:tcPr>
            <w:tcW w:w="705" w:type="pct"/>
            <w:shd w:val="clear" w:color="auto" w:fill="EEF6F7"/>
            <w:hideMark/>
          </w:tcPr>
          <w:p w14:paraId="7C4950EA" w14:textId="77777777" w:rsidR="00C27921" w:rsidRDefault="00C27921" w:rsidP="00C27921">
            <w:pPr>
              <w:pStyle w:val="71R"/>
              <w:spacing w:before="60" w:after="60" w:line="240" w:lineRule="auto"/>
              <w:rPr>
                <w:rtl/>
              </w:rPr>
            </w:pPr>
            <w:r>
              <w:rPr>
                <w:rFonts w:hint="cs"/>
                <w:rtl/>
              </w:rPr>
              <w:t>0 </w:t>
            </w:r>
          </w:p>
        </w:tc>
      </w:tr>
      <w:tr w:rsidR="00C27921" w14:paraId="7C7530ED" w14:textId="77777777" w:rsidTr="00F03460">
        <w:trPr>
          <w:trHeight w:val="294"/>
        </w:trPr>
        <w:tc>
          <w:tcPr>
            <w:tcW w:w="1516" w:type="pct"/>
            <w:shd w:val="clear" w:color="auto" w:fill="DDEAEE"/>
            <w:hideMark/>
          </w:tcPr>
          <w:p w14:paraId="02FBCE71" w14:textId="77777777" w:rsidR="00C27921" w:rsidRPr="00AA7459" w:rsidRDefault="00C27921" w:rsidP="00C27921">
            <w:pPr>
              <w:pStyle w:val="71R"/>
              <w:spacing w:before="60" w:after="60" w:line="240" w:lineRule="auto"/>
              <w:rPr>
                <w:spacing w:val="-6"/>
                <w:rtl/>
              </w:rPr>
            </w:pPr>
            <w:r w:rsidRPr="00AA7459">
              <w:rPr>
                <w:rFonts w:hint="eastAsia"/>
                <w:spacing w:val="-6"/>
                <w:rtl/>
              </w:rPr>
              <w:t>התחייבויות</w:t>
            </w:r>
            <w:r w:rsidRPr="00AA7459">
              <w:rPr>
                <w:spacing w:val="-6"/>
                <w:rtl/>
              </w:rPr>
              <w:t xml:space="preserve"> </w:t>
            </w:r>
            <w:r w:rsidRPr="00AA7459">
              <w:rPr>
                <w:rFonts w:hint="eastAsia"/>
                <w:spacing w:val="-6"/>
                <w:rtl/>
              </w:rPr>
              <w:t>לא</w:t>
            </w:r>
            <w:r w:rsidRPr="00AA7459">
              <w:rPr>
                <w:spacing w:val="-6"/>
                <w:rtl/>
              </w:rPr>
              <w:t xml:space="preserve"> </w:t>
            </w:r>
            <w:r w:rsidRPr="00AA7459">
              <w:rPr>
                <w:rFonts w:hint="eastAsia"/>
                <w:spacing w:val="-6"/>
                <w:rtl/>
              </w:rPr>
              <w:t>שוטפות</w:t>
            </w:r>
            <w:r w:rsidRPr="00AA7459">
              <w:rPr>
                <w:spacing w:val="-6"/>
                <w:rtl/>
              </w:rPr>
              <w:t xml:space="preserve"> </w:t>
            </w:r>
            <w:r w:rsidRPr="00AA7459">
              <w:rPr>
                <w:rFonts w:hint="eastAsia"/>
                <w:spacing w:val="-6"/>
                <w:rtl/>
              </w:rPr>
              <w:t>אחרות</w:t>
            </w:r>
          </w:p>
        </w:tc>
        <w:tc>
          <w:tcPr>
            <w:tcW w:w="694" w:type="pct"/>
            <w:shd w:val="clear" w:color="auto" w:fill="DDEAEE"/>
            <w:hideMark/>
          </w:tcPr>
          <w:p w14:paraId="112B6F2A" w14:textId="77777777" w:rsidR="00C27921" w:rsidRPr="00FE2D43" w:rsidRDefault="00C27921" w:rsidP="00C27921">
            <w:pPr>
              <w:pStyle w:val="71R"/>
              <w:spacing w:before="60" w:after="60" w:line="240" w:lineRule="auto"/>
              <w:rPr>
                <w:rtl/>
              </w:rPr>
            </w:pPr>
            <w:r w:rsidRPr="00FE2D43">
              <w:rPr>
                <w:rtl/>
              </w:rPr>
              <w:t>0</w:t>
            </w:r>
            <w:r w:rsidRPr="00FE2D43">
              <w:rPr>
                <w:rFonts w:hint="eastAsia"/>
                <w:rtl/>
              </w:rPr>
              <w:t> </w:t>
            </w:r>
          </w:p>
        </w:tc>
        <w:tc>
          <w:tcPr>
            <w:tcW w:w="694" w:type="pct"/>
            <w:shd w:val="clear" w:color="auto" w:fill="DDEAEE"/>
            <w:hideMark/>
          </w:tcPr>
          <w:p w14:paraId="4A5454E2" w14:textId="77777777" w:rsidR="00C27921" w:rsidRPr="00FE2D43" w:rsidRDefault="00C27921" w:rsidP="00C27921">
            <w:pPr>
              <w:pStyle w:val="71R"/>
              <w:spacing w:before="60" w:after="60" w:line="240" w:lineRule="auto"/>
              <w:rPr>
                <w:rtl/>
              </w:rPr>
            </w:pPr>
            <w:r w:rsidRPr="00FE2D43">
              <w:rPr>
                <w:rFonts w:hint="cs"/>
                <w:rtl/>
              </w:rPr>
              <w:t>3</w:t>
            </w:r>
          </w:p>
        </w:tc>
        <w:tc>
          <w:tcPr>
            <w:tcW w:w="696" w:type="pct"/>
            <w:shd w:val="clear" w:color="auto" w:fill="DDEAEE"/>
            <w:hideMark/>
          </w:tcPr>
          <w:p w14:paraId="20493C8B" w14:textId="77777777" w:rsidR="00C27921" w:rsidRDefault="00C27921" w:rsidP="00C27921">
            <w:pPr>
              <w:pStyle w:val="71R"/>
              <w:spacing w:before="60" w:after="60" w:line="240" w:lineRule="auto"/>
              <w:rPr>
                <w:rtl/>
              </w:rPr>
            </w:pPr>
            <w:r>
              <w:rPr>
                <w:rFonts w:hint="cs"/>
                <w:rtl/>
              </w:rPr>
              <w:t>790</w:t>
            </w:r>
          </w:p>
        </w:tc>
        <w:tc>
          <w:tcPr>
            <w:tcW w:w="694" w:type="pct"/>
            <w:shd w:val="clear" w:color="auto" w:fill="DDEAEE"/>
            <w:hideMark/>
          </w:tcPr>
          <w:p w14:paraId="34A45D30" w14:textId="77777777" w:rsidR="00C27921" w:rsidRDefault="00C27921" w:rsidP="00C27921">
            <w:pPr>
              <w:pStyle w:val="71R"/>
              <w:spacing w:before="60" w:after="60" w:line="240" w:lineRule="auto"/>
              <w:rPr>
                <w:rtl/>
              </w:rPr>
            </w:pPr>
            <w:r>
              <w:rPr>
                <w:rFonts w:hint="cs"/>
                <w:rtl/>
              </w:rPr>
              <w:t>0 </w:t>
            </w:r>
          </w:p>
        </w:tc>
        <w:tc>
          <w:tcPr>
            <w:tcW w:w="705" w:type="pct"/>
            <w:shd w:val="clear" w:color="auto" w:fill="DDEAEE"/>
            <w:hideMark/>
          </w:tcPr>
          <w:p w14:paraId="2097D939" w14:textId="77777777" w:rsidR="00C27921" w:rsidRDefault="00C27921" w:rsidP="00C27921">
            <w:pPr>
              <w:pStyle w:val="71R"/>
              <w:spacing w:before="60" w:after="60" w:line="240" w:lineRule="auto"/>
              <w:rPr>
                <w:rtl/>
              </w:rPr>
            </w:pPr>
            <w:r>
              <w:rPr>
                <w:rFonts w:hint="cs"/>
                <w:rtl/>
              </w:rPr>
              <w:t>0 </w:t>
            </w:r>
          </w:p>
        </w:tc>
      </w:tr>
      <w:tr w:rsidR="00C27921" w14:paraId="7EABAEA3" w14:textId="77777777" w:rsidTr="00F03460">
        <w:trPr>
          <w:trHeight w:val="294"/>
        </w:trPr>
        <w:tc>
          <w:tcPr>
            <w:tcW w:w="1516" w:type="pct"/>
            <w:shd w:val="clear" w:color="auto" w:fill="EEF6F7"/>
            <w:hideMark/>
          </w:tcPr>
          <w:p w14:paraId="36E2F068" w14:textId="14E9AB78" w:rsidR="00C27921" w:rsidRPr="00FE2D43" w:rsidRDefault="00C27921" w:rsidP="00C27921">
            <w:pPr>
              <w:pStyle w:val="71R"/>
              <w:spacing w:before="60" w:after="60" w:line="240" w:lineRule="auto"/>
              <w:rPr>
                <w:b/>
                <w:bCs/>
                <w:rtl/>
              </w:rPr>
            </w:pPr>
            <w:r w:rsidRPr="00FE2D43">
              <w:rPr>
                <w:rFonts w:hint="cs"/>
                <w:b/>
                <w:bCs/>
                <w:rtl/>
              </w:rPr>
              <w:t>סך הכול</w:t>
            </w:r>
            <w:r w:rsidR="00F03460">
              <w:rPr>
                <w:b/>
                <w:bCs/>
              </w:rPr>
              <w:t xml:space="preserve"> </w:t>
            </w:r>
            <w:r w:rsidR="00F03460" w:rsidRPr="00F03460">
              <w:rPr>
                <w:rFonts w:hint="cs"/>
                <w:b/>
                <w:bCs/>
                <w:rtl/>
              </w:rPr>
              <w:t>התחייבויות</w:t>
            </w:r>
            <w:r w:rsidR="00F03460">
              <w:rPr>
                <w:b/>
                <w:bCs/>
              </w:rPr>
              <w:t xml:space="preserve"> </w:t>
            </w:r>
            <w:r w:rsidR="00F03460">
              <w:rPr>
                <w:rFonts w:hint="cs"/>
                <w:b/>
                <w:bCs/>
                <w:rtl/>
              </w:rPr>
              <w:t>לא שוטפות</w:t>
            </w:r>
            <w:r w:rsidRPr="00FE2D43">
              <w:rPr>
                <w:rFonts w:hint="cs"/>
                <w:b/>
                <w:bCs/>
                <w:rtl/>
              </w:rPr>
              <w:t xml:space="preserve"> </w:t>
            </w:r>
          </w:p>
        </w:tc>
        <w:tc>
          <w:tcPr>
            <w:tcW w:w="694" w:type="pct"/>
            <w:shd w:val="clear" w:color="auto" w:fill="EEF6F7"/>
            <w:hideMark/>
          </w:tcPr>
          <w:p w14:paraId="3B2D8672" w14:textId="77777777" w:rsidR="00C27921" w:rsidRPr="00FE2D43" w:rsidRDefault="00C27921" w:rsidP="00C27921">
            <w:pPr>
              <w:pStyle w:val="71R"/>
              <w:spacing w:before="60" w:after="60" w:line="240" w:lineRule="auto"/>
              <w:rPr>
                <w:b/>
                <w:bCs/>
                <w:rtl/>
              </w:rPr>
            </w:pPr>
            <w:r w:rsidRPr="00FE2D43">
              <w:rPr>
                <w:rFonts w:hint="cs"/>
                <w:b/>
                <w:bCs/>
                <w:rtl/>
              </w:rPr>
              <w:t>164</w:t>
            </w:r>
          </w:p>
        </w:tc>
        <w:tc>
          <w:tcPr>
            <w:tcW w:w="694" w:type="pct"/>
            <w:shd w:val="clear" w:color="auto" w:fill="EEF6F7"/>
            <w:hideMark/>
          </w:tcPr>
          <w:p w14:paraId="5C8B93E3" w14:textId="77777777" w:rsidR="00C27921" w:rsidRPr="00FE2D43" w:rsidRDefault="00C27921" w:rsidP="00C27921">
            <w:pPr>
              <w:pStyle w:val="71R"/>
              <w:spacing w:before="60" w:after="60" w:line="240" w:lineRule="auto"/>
              <w:rPr>
                <w:b/>
                <w:bCs/>
                <w:rtl/>
              </w:rPr>
            </w:pPr>
            <w:r w:rsidRPr="00FE2D43">
              <w:rPr>
                <w:rFonts w:hint="cs"/>
                <w:b/>
                <w:bCs/>
                <w:rtl/>
              </w:rPr>
              <w:t>738</w:t>
            </w:r>
          </w:p>
        </w:tc>
        <w:tc>
          <w:tcPr>
            <w:tcW w:w="696" w:type="pct"/>
            <w:shd w:val="clear" w:color="auto" w:fill="EEF6F7"/>
            <w:hideMark/>
          </w:tcPr>
          <w:p w14:paraId="71B54873" w14:textId="77777777" w:rsidR="00C27921" w:rsidRDefault="00C27921" w:rsidP="00C27921">
            <w:pPr>
              <w:pStyle w:val="71R"/>
              <w:spacing w:before="60" w:after="60" w:line="240" w:lineRule="auto"/>
              <w:rPr>
                <w:b/>
                <w:bCs/>
                <w:rtl/>
              </w:rPr>
            </w:pPr>
            <w:r>
              <w:rPr>
                <w:rFonts w:hint="cs"/>
                <w:b/>
                <w:bCs/>
                <w:rtl/>
              </w:rPr>
              <w:t>829</w:t>
            </w:r>
          </w:p>
        </w:tc>
        <w:tc>
          <w:tcPr>
            <w:tcW w:w="694" w:type="pct"/>
            <w:shd w:val="clear" w:color="auto" w:fill="EEF6F7"/>
            <w:hideMark/>
          </w:tcPr>
          <w:p w14:paraId="52A94D93" w14:textId="77777777" w:rsidR="00C27921" w:rsidRDefault="00C27921" w:rsidP="00C27921">
            <w:pPr>
              <w:pStyle w:val="71R"/>
              <w:spacing w:before="60" w:after="60" w:line="240" w:lineRule="auto"/>
              <w:rPr>
                <w:b/>
                <w:bCs/>
                <w:rtl/>
              </w:rPr>
            </w:pPr>
            <w:r>
              <w:rPr>
                <w:rFonts w:hint="cs"/>
                <w:b/>
                <w:bCs/>
                <w:rtl/>
              </w:rPr>
              <w:t>231</w:t>
            </w:r>
          </w:p>
        </w:tc>
        <w:tc>
          <w:tcPr>
            <w:tcW w:w="705" w:type="pct"/>
            <w:shd w:val="clear" w:color="auto" w:fill="EEF6F7"/>
            <w:hideMark/>
          </w:tcPr>
          <w:p w14:paraId="4411EC86" w14:textId="77777777" w:rsidR="00C27921" w:rsidRDefault="00C27921" w:rsidP="00C27921">
            <w:pPr>
              <w:pStyle w:val="71R"/>
              <w:spacing w:before="60" w:after="60" w:line="240" w:lineRule="auto"/>
              <w:rPr>
                <w:b/>
                <w:bCs/>
                <w:rtl/>
              </w:rPr>
            </w:pPr>
            <w:r>
              <w:rPr>
                <w:rFonts w:hint="cs"/>
                <w:b/>
                <w:bCs/>
                <w:rtl/>
              </w:rPr>
              <w:t>40</w:t>
            </w:r>
          </w:p>
        </w:tc>
      </w:tr>
      <w:tr w:rsidR="00C27921" w14:paraId="2FE8B5FF" w14:textId="77777777" w:rsidTr="00AA7459">
        <w:trPr>
          <w:trHeight w:val="294"/>
        </w:trPr>
        <w:tc>
          <w:tcPr>
            <w:tcW w:w="1516" w:type="pct"/>
            <w:shd w:val="clear" w:color="auto" w:fill="DEEBEE"/>
            <w:hideMark/>
          </w:tcPr>
          <w:p w14:paraId="1B579AE1" w14:textId="77777777" w:rsidR="00C27921" w:rsidRPr="00FE2D43" w:rsidRDefault="00C27921" w:rsidP="00C27921">
            <w:pPr>
              <w:pStyle w:val="71R"/>
              <w:spacing w:before="60" w:after="60" w:line="240" w:lineRule="auto"/>
              <w:rPr>
                <w:b/>
                <w:bCs/>
                <w:rtl/>
              </w:rPr>
            </w:pPr>
            <w:r w:rsidRPr="00FE2D43">
              <w:rPr>
                <w:rFonts w:hint="cs"/>
                <w:b/>
                <w:bCs/>
                <w:rtl/>
              </w:rPr>
              <w:t>סך הכול התחייבויות</w:t>
            </w:r>
          </w:p>
        </w:tc>
        <w:tc>
          <w:tcPr>
            <w:tcW w:w="694" w:type="pct"/>
            <w:shd w:val="clear" w:color="auto" w:fill="DEEBEE"/>
            <w:hideMark/>
          </w:tcPr>
          <w:p w14:paraId="0ADD605D" w14:textId="77777777" w:rsidR="00C27921" w:rsidRPr="00FE2D43" w:rsidRDefault="00C27921" w:rsidP="00C27921">
            <w:pPr>
              <w:pStyle w:val="71R"/>
              <w:spacing w:before="60" w:after="60" w:line="240" w:lineRule="auto"/>
              <w:rPr>
                <w:b/>
                <w:bCs/>
                <w:rtl/>
              </w:rPr>
            </w:pPr>
            <w:r w:rsidRPr="00FE2D43">
              <w:rPr>
                <w:rFonts w:hint="cs"/>
                <w:b/>
                <w:bCs/>
                <w:rtl/>
              </w:rPr>
              <w:t>4,003</w:t>
            </w:r>
          </w:p>
        </w:tc>
        <w:tc>
          <w:tcPr>
            <w:tcW w:w="694" w:type="pct"/>
            <w:shd w:val="clear" w:color="auto" w:fill="DEEBEE"/>
            <w:hideMark/>
          </w:tcPr>
          <w:p w14:paraId="69C69338" w14:textId="77777777" w:rsidR="00C27921" w:rsidRPr="00FE2D43" w:rsidRDefault="00C27921" w:rsidP="00C27921">
            <w:pPr>
              <w:pStyle w:val="71R"/>
              <w:spacing w:before="60" w:after="60" w:line="240" w:lineRule="auto"/>
              <w:rPr>
                <w:b/>
                <w:bCs/>
                <w:rtl/>
              </w:rPr>
            </w:pPr>
            <w:r w:rsidRPr="00FE2D43">
              <w:rPr>
                <w:rFonts w:hint="cs"/>
                <w:b/>
                <w:bCs/>
                <w:rtl/>
              </w:rPr>
              <w:t>3,546</w:t>
            </w:r>
          </w:p>
        </w:tc>
        <w:tc>
          <w:tcPr>
            <w:tcW w:w="696" w:type="pct"/>
            <w:shd w:val="clear" w:color="auto" w:fill="DEEBEE"/>
            <w:hideMark/>
          </w:tcPr>
          <w:p w14:paraId="020AB778" w14:textId="77777777" w:rsidR="00C27921" w:rsidRDefault="00C27921" w:rsidP="00C27921">
            <w:pPr>
              <w:pStyle w:val="71R"/>
              <w:spacing w:before="60" w:after="60" w:line="240" w:lineRule="auto"/>
              <w:rPr>
                <w:b/>
                <w:bCs/>
                <w:rtl/>
              </w:rPr>
            </w:pPr>
            <w:r>
              <w:rPr>
                <w:rFonts w:hint="cs"/>
                <w:b/>
                <w:bCs/>
                <w:rtl/>
              </w:rPr>
              <w:t>873</w:t>
            </w:r>
          </w:p>
        </w:tc>
        <w:tc>
          <w:tcPr>
            <w:tcW w:w="694" w:type="pct"/>
            <w:shd w:val="clear" w:color="auto" w:fill="DEEBEE"/>
            <w:hideMark/>
          </w:tcPr>
          <w:p w14:paraId="702D2E30" w14:textId="77777777" w:rsidR="00C27921" w:rsidRDefault="00C27921" w:rsidP="00C27921">
            <w:pPr>
              <w:pStyle w:val="71R"/>
              <w:spacing w:before="60" w:after="60" w:line="240" w:lineRule="auto"/>
              <w:rPr>
                <w:b/>
                <w:bCs/>
                <w:rtl/>
              </w:rPr>
            </w:pPr>
            <w:r>
              <w:rPr>
                <w:rFonts w:hint="cs"/>
                <w:b/>
                <w:bCs/>
                <w:rtl/>
              </w:rPr>
              <w:t>559</w:t>
            </w:r>
          </w:p>
        </w:tc>
        <w:tc>
          <w:tcPr>
            <w:tcW w:w="705" w:type="pct"/>
            <w:shd w:val="clear" w:color="auto" w:fill="DEEBEE"/>
            <w:hideMark/>
          </w:tcPr>
          <w:p w14:paraId="1051DF1B" w14:textId="77777777" w:rsidR="00C27921" w:rsidRDefault="00C27921" w:rsidP="00C27921">
            <w:pPr>
              <w:pStyle w:val="71R"/>
              <w:spacing w:before="60" w:after="60" w:line="240" w:lineRule="auto"/>
              <w:rPr>
                <w:b/>
                <w:bCs/>
                <w:rtl/>
              </w:rPr>
            </w:pPr>
            <w:r>
              <w:rPr>
                <w:rFonts w:hint="cs"/>
                <w:b/>
                <w:bCs/>
                <w:rtl/>
              </w:rPr>
              <w:t>80</w:t>
            </w:r>
          </w:p>
        </w:tc>
      </w:tr>
      <w:tr w:rsidR="00C27921" w14:paraId="5B71DD01" w14:textId="77777777" w:rsidTr="00F03460">
        <w:trPr>
          <w:trHeight w:val="294"/>
        </w:trPr>
        <w:tc>
          <w:tcPr>
            <w:tcW w:w="1516" w:type="pct"/>
            <w:shd w:val="clear" w:color="auto" w:fill="B6CBD4"/>
            <w:hideMark/>
          </w:tcPr>
          <w:p w14:paraId="0D9AD167" w14:textId="77777777" w:rsidR="00C27921" w:rsidRDefault="00C27921" w:rsidP="00C27921">
            <w:pPr>
              <w:pStyle w:val="71R"/>
              <w:spacing w:before="60" w:after="60" w:line="240" w:lineRule="auto"/>
              <w:rPr>
                <w:b/>
                <w:bCs/>
                <w:rtl/>
              </w:rPr>
            </w:pPr>
            <w:r>
              <w:rPr>
                <w:rFonts w:hint="cs"/>
                <w:b/>
                <w:bCs/>
                <w:rtl/>
              </w:rPr>
              <w:t xml:space="preserve">נכסים נטו / גירעון בהון </w:t>
            </w:r>
          </w:p>
        </w:tc>
        <w:tc>
          <w:tcPr>
            <w:tcW w:w="694" w:type="pct"/>
            <w:shd w:val="clear" w:color="auto" w:fill="B6CBD4"/>
            <w:hideMark/>
          </w:tcPr>
          <w:p w14:paraId="07602720" w14:textId="77777777" w:rsidR="00C27921" w:rsidRDefault="00C27921" w:rsidP="00C27921">
            <w:pPr>
              <w:pStyle w:val="71R"/>
              <w:spacing w:before="60" w:after="60" w:line="240" w:lineRule="auto"/>
              <w:rPr>
                <w:b/>
                <w:bCs/>
                <w:rtl/>
              </w:rPr>
            </w:pPr>
            <w:r>
              <w:rPr>
                <w:rFonts w:hint="cs"/>
                <w:b/>
                <w:bCs/>
                <w:rtl/>
              </w:rPr>
              <w:t>11,962</w:t>
            </w:r>
          </w:p>
        </w:tc>
        <w:tc>
          <w:tcPr>
            <w:tcW w:w="694" w:type="pct"/>
            <w:shd w:val="clear" w:color="auto" w:fill="B6CBD4"/>
            <w:hideMark/>
          </w:tcPr>
          <w:p w14:paraId="0EC9ADC7" w14:textId="77777777" w:rsidR="00C27921" w:rsidRDefault="00C27921" w:rsidP="00C27921">
            <w:pPr>
              <w:pStyle w:val="71R"/>
              <w:spacing w:before="60" w:after="60" w:line="240" w:lineRule="auto"/>
              <w:rPr>
                <w:b/>
                <w:bCs/>
                <w:rtl/>
              </w:rPr>
            </w:pPr>
            <w:r>
              <w:rPr>
                <w:rFonts w:hint="cs"/>
                <w:b/>
                <w:bCs/>
                <w:rtl/>
              </w:rPr>
              <w:t>9,968</w:t>
            </w:r>
          </w:p>
        </w:tc>
        <w:tc>
          <w:tcPr>
            <w:tcW w:w="696" w:type="pct"/>
            <w:shd w:val="clear" w:color="auto" w:fill="B6CBD4"/>
            <w:hideMark/>
          </w:tcPr>
          <w:p w14:paraId="6A1C52C7" w14:textId="77777777" w:rsidR="00C27921" w:rsidRDefault="00C27921" w:rsidP="00C27921">
            <w:pPr>
              <w:pStyle w:val="71R"/>
              <w:spacing w:before="60" w:after="60" w:line="240" w:lineRule="auto"/>
              <w:rPr>
                <w:b/>
                <w:bCs/>
                <w:rtl/>
              </w:rPr>
            </w:pPr>
            <w:r>
              <w:rPr>
                <w:rFonts w:hint="cs"/>
                <w:b/>
                <w:bCs/>
                <w:rtl/>
              </w:rPr>
              <w:t>(403)</w:t>
            </w:r>
          </w:p>
        </w:tc>
        <w:tc>
          <w:tcPr>
            <w:tcW w:w="694" w:type="pct"/>
            <w:shd w:val="clear" w:color="auto" w:fill="B6CBD4"/>
            <w:hideMark/>
          </w:tcPr>
          <w:p w14:paraId="5BA091EE" w14:textId="77777777" w:rsidR="00C27921" w:rsidRDefault="00C27921" w:rsidP="00C27921">
            <w:pPr>
              <w:pStyle w:val="71R"/>
              <w:spacing w:before="60" w:after="60" w:line="240" w:lineRule="auto"/>
              <w:rPr>
                <w:b/>
                <w:bCs/>
                <w:rtl/>
              </w:rPr>
            </w:pPr>
            <w:r>
              <w:rPr>
                <w:rFonts w:hint="cs"/>
                <w:b/>
                <w:bCs/>
                <w:rtl/>
              </w:rPr>
              <w:t>(40)</w:t>
            </w:r>
          </w:p>
        </w:tc>
        <w:tc>
          <w:tcPr>
            <w:tcW w:w="705" w:type="pct"/>
            <w:shd w:val="clear" w:color="auto" w:fill="B6CBD4"/>
            <w:hideMark/>
          </w:tcPr>
          <w:p w14:paraId="3A0B380B" w14:textId="77777777" w:rsidR="00C27921" w:rsidRDefault="00C27921" w:rsidP="00C27921">
            <w:pPr>
              <w:pStyle w:val="71R"/>
              <w:spacing w:before="60" w:after="60" w:line="240" w:lineRule="auto"/>
              <w:rPr>
                <w:b/>
                <w:bCs/>
                <w:rtl/>
              </w:rPr>
            </w:pPr>
            <w:r>
              <w:rPr>
                <w:rFonts w:hint="cs"/>
                <w:b/>
                <w:bCs/>
                <w:rtl/>
              </w:rPr>
              <w:t>169</w:t>
            </w:r>
          </w:p>
        </w:tc>
      </w:tr>
    </w:tbl>
    <w:p w14:paraId="3A38557E" w14:textId="77777777" w:rsidR="007C4395" w:rsidRPr="00010778" w:rsidRDefault="007C4395" w:rsidP="00010778">
      <w:pPr>
        <w:pStyle w:val="71c"/>
        <w:rPr>
          <w:rtl/>
        </w:rPr>
      </w:pPr>
      <w:r w:rsidRPr="00010778">
        <w:rPr>
          <w:rFonts w:hint="cs"/>
          <w:rtl/>
        </w:rPr>
        <w:t>על פי</w:t>
      </w:r>
      <w:r w:rsidRPr="00010778">
        <w:rPr>
          <w:rtl/>
        </w:rPr>
        <w:t xml:space="preserve"> הדוחות </w:t>
      </w:r>
      <w:r w:rsidRPr="00010778">
        <w:rPr>
          <w:rFonts w:hint="eastAsia"/>
          <w:rtl/>
        </w:rPr>
        <w:t>הכספיים</w:t>
      </w:r>
      <w:r w:rsidRPr="00010778">
        <w:rPr>
          <w:rtl/>
        </w:rPr>
        <w:t xml:space="preserve"> </w:t>
      </w:r>
      <w:r w:rsidRPr="00010778">
        <w:rPr>
          <w:rFonts w:hint="eastAsia"/>
          <w:rtl/>
        </w:rPr>
        <w:t>של</w:t>
      </w:r>
      <w:r w:rsidRPr="00010778">
        <w:rPr>
          <w:rtl/>
        </w:rPr>
        <w:t xml:space="preserve"> </w:t>
      </w:r>
      <w:r w:rsidRPr="00010778">
        <w:rPr>
          <w:rFonts w:hint="eastAsia"/>
          <w:rtl/>
        </w:rPr>
        <w:t>המשרדים</w:t>
      </w:r>
      <w:r w:rsidRPr="00010778">
        <w:rPr>
          <w:rtl/>
        </w:rPr>
        <w:t xml:space="preserve"> </w:t>
      </w:r>
      <w:r w:rsidRPr="00010778">
        <w:rPr>
          <w:rFonts w:hint="eastAsia"/>
          <w:rtl/>
        </w:rPr>
        <w:t>לשנת</w:t>
      </w:r>
      <w:r w:rsidRPr="00010778">
        <w:rPr>
          <w:rtl/>
        </w:rPr>
        <w:t xml:space="preserve"> 2020, </w:t>
      </w:r>
      <w:r w:rsidRPr="00010778">
        <w:rPr>
          <w:rFonts w:hint="eastAsia"/>
          <w:rtl/>
        </w:rPr>
        <w:t>בעיבוד</w:t>
      </w:r>
      <w:r w:rsidRPr="00010778">
        <w:rPr>
          <w:rtl/>
        </w:rPr>
        <w:t xml:space="preserve"> </w:t>
      </w:r>
      <w:r w:rsidRPr="00010778">
        <w:rPr>
          <w:rFonts w:hint="eastAsia"/>
          <w:rtl/>
        </w:rPr>
        <w:t>משרד</w:t>
      </w:r>
      <w:r w:rsidRPr="00010778">
        <w:rPr>
          <w:rtl/>
        </w:rPr>
        <w:t xml:space="preserve"> </w:t>
      </w:r>
      <w:r w:rsidRPr="00010778">
        <w:rPr>
          <w:rFonts w:hint="eastAsia"/>
          <w:rtl/>
        </w:rPr>
        <w:t>מבקר</w:t>
      </w:r>
      <w:r w:rsidRPr="00010778">
        <w:rPr>
          <w:rtl/>
        </w:rPr>
        <w:t xml:space="preserve"> </w:t>
      </w:r>
      <w:r w:rsidRPr="00010778">
        <w:rPr>
          <w:rFonts w:hint="eastAsia"/>
          <w:rtl/>
        </w:rPr>
        <w:t>המדינה</w:t>
      </w:r>
      <w:r w:rsidRPr="00010778">
        <w:rPr>
          <w:rtl/>
        </w:rPr>
        <w:t>.</w:t>
      </w:r>
    </w:p>
    <w:p w14:paraId="60F940C5" w14:textId="77777777" w:rsidR="007C4395" w:rsidRPr="00D17A11" w:rsidRDefault="007C4395" w:rsidP="00EC550D">
      <w:pPr>
        <w:pStyle w:val="71a"/>
        <w:rPr>
          <w:rtl/>
        </w:rPr>
      </w:pPr>
      <w:r w:rsidRPr="00EC550D">
        <w:rPr>
          <w:rFonts w:hint="cs"/>
          <w:b w:val="0"/>
          <w:bCs w:val="0"/>
          <w:rtl/>
        </w:rPr>
        <w:lastRenderedPageBreak/>
        <w:t>לוח 8:</w:t>
      </w:r>
      <w:r w:rsidRPr="00D17A11">
        <w:rPr>
          <w:rFonts w:hint="cs"/>
          <w:rtl/>
        </w:rPr>
        <w:t xml:space="preserve"> נתוני המצב הכספי ליום 31.12.2019 (במיליוני ש"ח)</w:t>
      </w:r>
    </w:p>
    <w:tbl>
      <w:tblPr>
        <w:bidiVisual/>
        <w:tblW w:w="5028" w:type="pct"/>
        <w:tblInd w:w="-20" w:type="dxa"/>
        <w:tblBorders>
          <w:left w:val="single" w:sz="4" w:space="0" w:color="auto"/>
          <w:right w:val="single" w:sz="4" w:space="0" w:color="auto"/>
          <w:insideV w:val="single" w:sz="4" w:space="0" w:color="auto"/>
        </w:tblBorders>
        <w:tblLook w:val="04A0" w:firstRow="1" w:lastRow="0" w:firstColumn="1" w:lastColumn="0" w:noHBand="0" w:noVBand="1"/>
      </w:tblPr>
      <w:tblGrid>
        <w:gridCol w:w="2335"/>
        <w:gridCol w:w="1013"/>
        <w:gridCol w:w="1012"/>
        <w:gridCol w:w="1014"/>
        <w:gridCol w:w="1012"/>
        <w:gridCol w:w="1015"/>
      </w:tblGrid>
      <w:tr w:rsidR="009E6326" w14:paraId="7014C6CD" w14:textId="77777777" w:rsidTr="00CF3B33">
        <w:trPr>
          <w:trHeight w:val="454"/>
        </w:trPr>
        <w:tc>
          <w:tcPr>
            <w:tcW w:w="1577" w:type="pct"/>
            <w:shd w:val="clear" w:color="auto" w:fill="B6CBD4"/>
            <w:vAlign w:val="center"/>
            <w:hideMark/>
          </w:tcPr>
          <w:p w14:paraId="5536AADE" w14:textId="77777777" w:rsidR="009E6326" w:rsidRPr="009E6326" w:rsidRDefault="009E6326" w:rsidP="00CF3B33">
            <w:pPr>
              <w:pStyle w:val="71HEADER"/>
              <w:spacing w:line="240" w:lineRule="auto"/>
              <w:rPr>
                <w:b w:val="0"/>
                <w:bCs/>
              </w:rPr>
            </w:pPr>
            <w:r w:rsidRPr="009E6326">
              <w:rPr>
                <w:rFonts w:hint="cs"/>
                <w:b w:val="0"/>
                <w:bCs/>
                <w:rtl/>
              </w:rPr>
              <w:t> </w:t>
            </w:r>
          </w:p>
        </w:tc>
        <w:tc>
          <w:tcPr>
            <w:tcW w:w="3423" w:type="pct"/>
            <w:gridSpan w:val="5"/>
            <w:shd w:val="clear" w:color="auto" w:fill="B6CBD4"/>
            <w:vAlign w:val="center"/>
            <w:hideMark/>
          </w:tcPr>
          <w:p w14:paraId="2D45F6AB" w14:textId="5F59B1AF" w:rsidR="009E6326" w:rsidRPr="009E6326" w:rsidRDefault="009E6326" w:rsidP="00CF3B33">
            <w:pPr>
              <w:pStyle w:val="71HEADER"/>
              <w:spacing w:line="240" w:lineRule="auto"/>
              <w:rPr>
                <w:b w:val="0"/>
                <w:bCs/>
                <w:rtl/>
              </w:rPr>
            </w:pPr>
            <w:r w:rsidRPr="009E6326">
              <w:rPr>
                <w:rFonts w:hint="cs"/>
                <w:b w:val="0"/>
                <w:bCs/>
                <w:rtl/>
              </w:rPr>
              <w:t>משרדי ממשלה נבחרים, דוח כספי</w:t>
            </w:r>
            <w:r w:rsidR="00CF3B33">
              <w:rPr>
                <w:rFonts w:hint="cs"/>
                <w:b w:val="0"/>
                <w:bCs/>
                <w:rtl/>
              </w:rPr>
              <w:t xml:space="preserve"> </w:t>
            </w:r>
            <w:r w:rsidRPr="009E6326">
              <w:rPr>
                <w:rFonts w:hint="cs"/>
                <w:b w:val="0"/>
                <w:bCs/>
                <w:rtl/>
              </w:rPr>
              <w:t>ליום 31 בדצמבר 2019</w:t>
            </w:r>
          </w:p>
        </w:tc>
      </w:tr>
      <w:tr w:rsidR="00DD281F" w14:paraId="0C4EE468" w14:textId="77777777" w:rsidTr="00CF3B33">
        <w:trPr>
          <w:trHeight w:val="262"/>
        </w:trPr>
        <w:tc>
          <w:tcPr>
            <w:tcW w:w="1577" w:type="pct"/>
            <w:shd w:val="clear" w:color="auto" w:fill="C8DCE4"/>
            <w:vAlign w:val="bottom"/>
            <w:hideMark/>
          </w:tcPr>
          <w:p w14:paraId="0E625AEE" w14:textId="77777777" w:rsidR="007C4395" w:rsidRPr="00490127" w:rsidRDefault="007C4395" w:rsidP="00490127">
            <w:pPr>
              <w:pStyle w:val="71R"/>
              <w:spacing w:before="60" w:after="60" w:line="240" w:lineRule="auto"/>
              <w:rPr>
                <w:b/>
                <w:bCs/>
                <w:rtl/>
              </w:rPr>
            </w:pPr>
            <w:r w:rsidRPr="00490127">
              <w:rPr>
                <w:rFonts w:hint="cs"/>
                <w:b/>
                <w:bCs/>
                <w:rtl/>
              </w:rPr>
              <w:t> </w:t>
            </w:r>
          </w:p>
        </w:tc>
        <w:tc>
          <w:tcPr>
            <w:tcW w:w="684" w:type="pct"/>
            <w:shd w:val="clear" w:color="auto" w:fill="C8DCE4"/>
            <w:vAlign w:val="bottom"/>
            <w:hideMark/>
          </w:tcPr>
          <w:p w14:paraId="6E471960" w14:textId="77777777" w:rsidR="007C4395" w:rsidRPr="00490127" w:rsidRDefault="007C4395" w:rsidP="00490127">
            <w:pPr>
              <w:pStyle w:val="71R"/>
              <w:spacing w:before="60" w:after="60" w:line="240" w:lineRule="auto"/>
              <w:rPr>
                <w:b/>
                <w:bCs/>
                <w:rtl/>
              </w:rPr>
            </w:pPr>
            <w:r w:rsidRPr="00490127">
              <w:rPr>
                <w:rFonts w:hint="cs"/>
                <w:b/>
                <w:bCs/>
                <w:rtl/>
              </w:rPr>
              <w:t>הבינוי והשיכון</w:t>
            </w:r>
          </w:p>
        </w:tc>
        <w:tc>
          <w:tcPr>
            <w:tcW w:w="684" w:type="pct"/>
            <w:shd w:val="clear" w:color="auto" w:fill="C8DCE4"/>
            <w:vAlign w:val="bottom"/>
            <w:hideMark/>
          </w:tcPr>
          <w:p w14:paraId="38A56B91" w14:textId="77777777" w:rsidR="007C4395" w:rsidRPr="00490127" w:rsidRDefault="007C4395" w:rsidP="00490127">
            <w:pPr>
              <w:pStyle w:val="71R"/>
              <w:spacing w:before="60" w:after="60" w:line="240" w:lineRule="auto"/>
              <w:rPr>
                <w:b/>
                <w:bCs/>
                <w:rtl/>
              </w:rPr>
            </w:pPr>
            <w:r w:rsidRPr="00490127">
              <w:rPr>
                <w:rFonts w:hint="cs"/>
                <w:b/>
                <w:bCs/>
                <w:rtl/>
              </w:rPr>
              <w:t>הבריאות</w:t>
            </w:r>
          </w:p>
        </w:tc>
        <w:tc>
          <w:tcPr>
            <w:tcW w:w="685" w:type="pct"/>
            <w:shd w:val="clear" w:color="auto" w:fill="C8DCE4"/>
            <w:vAlign w:val="bottom"/>
            <w:hideMark/>
          </w:tcPr>
          <w:p w14:paraId="3D1C5E89" w14:textId="77777777" w:rsidR="007C4395" w:rsidRPr="00490127" w:rsidRDefault="007C4395" w:rsidP="00490127">
            <w:pPr>
              <w:pStyle w:val="71R"/>
              <w:spacing w:before="60" w:after="60" w:line="240" w:lineRule="auto"/>
              <w:rPr>
                <w:b/>
                <w:bCs/>
                <w:rtl/>
              </w:rPr>
            </w:pPr>
            <w:r w:rsidRPr="00490127">
              <w:rPr>
                <w:rFonts w:hint="cs"/>
                <w:b/>
                <w:bCs/>
                <w:rtl/>
              </w:rPr>
              <w:t>הכלכלה והתעשייה</w:t>
            </w:r>
          </w:p>
        </w:tc>
        <w:tc>
          <w:tcPr>
            <w:tcW w:w="684" w:type="pct"/>
            <w:shd w:val="clear" w:color="auto" w:fill="C8DCE4"/>
            <w:vAlign w:val="bottom"/>
            <w:hideMark/>
          </w:tcPr>
          <w:p w14:paraId="046384D7" w14:textId="77777777" w:rsidR="007C4395" w:rsidRPr="00490127" w:rsidRDefault="007C4395" w:rsidP="00490127">
            <w:pPr>
              <w:pStyle w:val="71R"/>
              <w:spacing w:before="60" w:after="60" w:line="240" w:lineRule="auto"/>
              <w:rPr>
                <w:b/>
                <w:bCs/>
                <w:rtl/>
              </w:rPr>
            </w:pPr>
            <w:r w:rsidRPr="00490127">
              <w:rPr>
                <w:rFonts w:hint="cs"/>
                <w:b/>
                <w:bCs/>
                <w:rtl/>
              </w:rPr>
              <w:t>המשפטים</w:t>
            </w:r>
          </w:p>
        </w:tc>
        <w:tc>
          <w:tcPr>
            <w:tcW w:w="686" w:type="pct"/>
            <w:shd w:val="clear" w:color="auto" w:fill="C8DCE4"/>
            <w:vAlign w:val="bottom"/>
            <w:hideMark/>
          </w:tcPr>
          <w:p w14:paraId="78EBE220" w14:textId="77777777" w:rsidR="007C4395" w:rsidRPr="00490127" w:rsidRDefault="007C4395" w:rsidP="00490127">
            <w:pPr>
              <w:pStyle w:val="71R"/>
              <w:spacing w:before="60" w:after="60" w:line="240" w:lineRule="auto"/>
              <w:rPr>
                <w:b/>
                <w:bCs/>
                <w:rtl/>
              </w:rPr>
            </w:pPr>
            <w:r w:rsidRPr="00490127">
              <w:rPr>
                <w:rFonts w:hint="cs"/>
                <w:b/>
                <w:bCs/>
                <w:rtl/>
              </w:rPr>
              <w:t>הפנים</w:t>
            </w:r>
          </w:p>
        </w:tc>
      </w:tr>
      <w:tr w:rsidR="007C4395" w14:paraId="565764E3" w14:textId="77777777" w:rsidTr="001415C9">
        <w:trPr>
          <w:trHeight w:val="262"/>
        </w:trPr>
        <w:tc>
          <w:tcPr>
            <w:tcW w:w="1577" w:type="pct"/>
            <w:shd w:val="clear" w:color="auto" w:fill="B7CBD4"/>
            <w:vAlign w:val="center"/>
            <w:hideMark/>
          </w:tcPr>
          <w:p w14:paraId="499D2A25" w14:textId="77777777" w:rsidR="007C4395" w:rsidRPr="00490127" w:rsidRDefault="007C4395" w:rsidP="00490127">
            <w:pPr>
              <w:pStyle w:val="71R"/>
              <w:spacing w:before="60" w:after="60" w:line="240" w:lineRule="auto"/>
              <w:rPr>
                <w:rtl/>
              </w:rPr>
            </w:pPr>
            <w:r w:rsidRPr="00490127">
              <w:rPr>
                <w:rFonts w:hint="cs"/>
                <w:rtl/>
              </w:rPr>
              <w:t>המצב הכספי</w:t>
            </w:r>
          </w:p>
        </w:tc>
        <w:tc>
          <w:tcPr>
            <w:tcW w:w="3423" w:type="pct"/>
            <w:gridSpan w:val="5"/>
            <w:shd w:val="clear" w:color="auto" w:fill="DDEAEE"/>
            <w:vAlign w:val="center"/>
            <w:hideMark/>
          </w:tcPr>
          <w:p w14:paraId="2D66A868" w14:textId="77777777" w:rsidR="007C4395" w:rsidRPr="00490127" w:rsidRDefault="007C4395" w:rsidP="00490127">
            <w:pPr>
              <w:pStyle w:val="71R"/>
              <w:spacing w:before="60" w:after="60" w:line="240" w:lineRule="auto"/>
              <w:rPr>
                <w:rtl/>
              </w:rPr>
            </w:pPr>
            <w:r w:rsidRPr="00490127">
              <w:rPr>
                <w:rFonts w:hint="cs"/>
                <w:rtl/>
              </w:rPr>
              <w:t> </w:t>
            </w:r>
          </w:p>
        </w:tc>
      </w:tr>
      <w:tr w:rsidR="00CF3B33" w14:paraId="6CD91294" w14:textId="77777777" w:rsidTr="00CF3B33">
        <w:trPr>
          <w:trHeight w:val="454"/>
        </w:trPr>
        <w:tc>
          <w:tcPr>
            <w:tcW w:w="5000" w:type="pct"/>
            <w:gridSpan w:val="6"/>
            <w:shd w:val="clear" w:color="auto" w:fill="C8DCE4"/>
            <w:vAlign w:val="center"/>
            <w:hideMark/>
          </w:tcPr>
          <w:p w14:paraId="5632905D" w14:textId="33AB5346" w:rsidR="00CF3B33" w:rsidRPr="00CF3B33" w:rsidRDefault="00CF3B33" w:rsidP="00CF3B33">
            <w:pPr>
              <w:pStyle w:val="71R"/>
              <w:spacing w:before="60" w:after="60" w:line="240" w:lineRule="auto"/>
              <w:rPr>
                <w:b/>
                <w:bCs/>
                <w:rtl/>
              </w:rPr>
            </w:pPr>
            <w:r w:rsidRPr="002B5D71">
              <w:rPr>
                <w:rFonts w:hint="cs"/>
                <w:b/>
                <w:bCs/>
                <w:rtl/>
              </w:rPr>
              <w:t>נכסים שוטפים</w:t>
            </w:r>
            <w:r w:rsidRPr="00490127">
              <w:rPr>
                <w:rFonts w:hint="cs"/>
                <w:rtl/>
              </w:rPr>
              <w:t> </w:t>
            </w:r>
          </w:p>
        </w:tc>
      </w:tr>
      <w:tr w:rsidR="00DD281F" w14:paraId="152F7286" w14:textId="77777777" w:rsidTr="00CF3B33">
        <w:trPr>
          <w:trHeight w:val="262"/>
        </w:trPr>
        <w:tc>
          <w:tcPr>
            <w:tcW w:w="1577" w:type="pct"/>
            <w:shd w:val="clear" w:color="auto" w:fill="EFF7F8"/>
            <w:hideMark/>
          </w:tcPr>
          <w:p w14:paraId="5EAAACF4" w14:textId="77777777" w:rsidR="007C4395" w:rsidRPr="00490127" w:rsidRDefault="007C4395" w:rsidP="00490127">
            <w:pPr>
              <w:pStyle w:val="71R"/>
              <w:spacing w:before="60" w:after="60" w:line="240" w:lineRule="auto"/>
              <w:rPr>
                <w:rtl/>
              </w:rPr>
            </w:pPr>
            <w:r w:rsidRPr="00490127">
              <w:rPr>
                <w:rFonts w:hint="cs"/>
                <w:rtl/>
              </w:rPr>
              <w:t>מזומנים ופיקדונות</w:t>
            </w:r>
          </w:p>
        </w:tc>
        <w:tc>
          <w:tcPr>
            <w:tcW w:w="684" w:type="pct"/>
            <w:shd w:val="clear" w:color="auto" w:fill="EFF7F8"/>
            <w:hideMark/>
          </w:tcPr>
          <w:p w14:paraId="54B9E9C7" w14:textId="77777777" w:rsidR="007C4395" w:rsidRPr="00490127" w:rsidRDefault="007C4395" w:rsidP="00490127">
            <w:pPr>
              <w:pStyle w:val="71R"/>
              <w:spacing w:before="60" w:after="60" w:line="240" w:lineRule="auto"/>
              <w:rPr>
                <w:rtl/>
              </w:rPr>
            </w:pPr>
            <w:r w:rsidRPr="00490127">
              <w:rPr>
                <w:rFonts w:hint="cs"/>
                <w:rtl/>
              </w:rPr>
              <w:t>0</w:t>
            </w:r>
          </w:p>
        </w:tc>
        <w:tc>
          <w:tcPr>
            <w:tcW w:w="684" w:type="pct"/>
            <w:shd w:val="clear" w:color="auto" w:fill="EFF7F8"/>
            <w:hideMark/>
          </w:tcPr>
          <w:p w14:paraId="7B4A48A9" w14:textId="77777777" w:rsidR="007C4395" w:rsidRPr="00490127" w:rsidRDefault="007C4395" w:rsidP="00490127">
            <w:pPr>
              <w:pStyle w:val="71R"/>
              <w:spacing w:before="60" w:after="60" w:line="240" w:lineRule="auto"/>
              <w:rPr>
                <w:rtl/>
              </w:rPr>
            </w:pPr>
            <w:r w:rsidRPr="00490127">
              <w:rPr>
                <w:rFonts w:hint="cs"/>
                <w:rtl/>
              </w:rPr>
              <w:t>0</w:t>
            </w:r>
          </w:p>
        </w:tc>
        <w:tc>
          <w:tcPr>
            <w:tcW w:w="685" w:type="pct"/>
            <w:shd w:val="clear" w:color="auto" w:fill="EFF7F8"/>
            <w:hideMark/>
          </w:tcPr>
          <w:p w14:paraId="6BD285A3" w14:textId="77777777" w:rsidR="007C4395" w:rsidRPr="00490127" w:rsidRDefault="007C4395" w:rsidP="00490127">
            <w:pPr>
              <w:pStyle w:val="71R"/>
              <w:spacing w:before="60" w:after="60" w:line="240" w:lineRule="auto"/>
              <w:rPr>
                <w:rtl/>
              </w:rPr>
            </w:pPr>
            <w:r w:rsidRPr="00490127">
              <w:rPr>
                <w:rFonts w:hint="cs"/>
                <w:rtl/>
              </w:rPr>
              <w:t>30</w:t>
            </w:r>
          </w:p>
        </w:tc>
        <w:tc>
          <w:tcPr>
            <w:tcW w:w="684" w:type="pct"/>
            <w:shd w:val="clear" w:color="auto" w:fill="EFF7F8"/>
            <w:hideMark/>
          </w:tcPr>
          <w:p w14:paraId="065D9D01" w14:textId="77777777" w:rsidR="007C4395" w:rsidRPr="00490127" w:rsidRDefault="007C4395" w:rsidP="00490127">
            <w:pPr>
              <w:pStyle w:val="71R"/>
              <w:spacing w:before="60" w:after="60" w:line="240" w:lineRule="auto"/>
              <w:rPr>
                <w:rtl/>
              </w:rPr>
            </w:pPr>
            <w:r w:rsidRPr="00490127">
              <w:rPr>
                <w:rFonts w:hint="cs"/>
                <w:rtl/>
              </w:rPr>
              <w:t>2</w:t>
            </w:r>
          </w:p>
        </w:tc>
        <w:tc>
          <w:tcPr>
            <w:tcW w:w="686" w:type="pct"/>
            <w:shd w:val="clear" w:color="auto" w:fill="EFF7F8"/>
            <w:hideMark/>
          </w:tcPr>
          <w:p w14:paraId="505CDA4C" w14:textId="77777777" w:rsidR="007C4395" w:rsidRPr="00490127" w:rsidRDefault="007C4395" w:rsidP="00490127">
            <w:pPr>
              <w:pStyle w:val="71R"/>
              <w:spacing w:before="60" w:after="60" w:line="240" w:lineRule="auto"/>
              <w:rPr>
                <w:rtl/>
              </w:rPr>
            </w:pPr>
            <w:r w:rsidRPr="00490127">
              <w:rPr>
                <w:rFonts w:hint="cs"/>
                <w:rtl/>
              </w:rPr>
              <w:t>13</w:t>
            </w:r>
          </w:p>
        </w:tc>
      </w:tr>
      <w:tr w:rsidR="00DD281F" w14:paraId="643B8C26" w14:textId="77777777" w:rsidTr="00CF3B33">
        <w:trPr>
          <w:trHeight w:val="262"/>
        </w:trPr>
        <w:tc>
          <w:tcPr>
            <w:tcW w:w="1577" w:type="pct"/>
            <w:shd w:val="clear" w:color="auto" w:fill="DDEAEE"/>
            <w:hideMark/>
          </w:tcPr>
          <w:p w14:paraId="58493B25" w14:textId="77777777" w:rsidR="007C4395" w:rsidRPr="00490127" w:rsidRDefault="007C4395" w:rsidP="00490127">
            <w:pPr>
              <w:pStyle w:val="71R"/>
              <w:spacing w:before="60" w:after="60" w:line="240" w:lineRule="auto"/>
              <w:rPr>
                <w:rtl/>
              </w:rPr>
            </w:pPr>
            <w:r w:rsidRPr="00490127">
              <w:rPr>
                <w:rFonts w:hint="cs"/>
                <w:rtl/>
              </w:rPr>
              <w:t>חייבים ויתרות חובה</w:t>
            </w:r>
          </w:p>
        </w:tc>
        <w:tc>
          <w:tcPr>
            <w:tcW w:w="684" w:type="pct"/>
            <w:shd w:val="clear" w:color="auto" w:fill="DDEAEE"/>
            <w:hideMark/>
          </w:tcPr>
          <w:p w14:paraId="0C6EEAB0" w14:textId="77777777" w:rsidR="007C4395" w:rsidRPr="00490127" w:rsidRDefault="007C4395" w:rsidP="00490127">
            <w:pPr>
              <w:pStyle w:val="71R"/>
              <w:spacing w:before="60" w:after="60" w:line="240" w:lineRule="auto"/>
              <w:rPr>
                <w:rtl/>
              </w:rPr>
            </w:pPr>
            <w:r w:rsidRPr="00490127">
              <w:rPr>
                <w:rFonts w:hint="cs"/>
                <w:rtl/>
              </w:rPr>
              <w:t>1,232</w:t>
            </w:r>
          </w:p>
        </w:tc>
        <w:tc>
          <w:tcPr>
            <w:tcW w:w="684" w:type="pct"/>
            <w:shd w:val="clear" w:color="auto" w:fill="DDEAEE"/>
            <w:hideMark/>
          </w:tcPr>
          <w:p w14:paraId="162E192A" w14:textId="77777777" w:rsidR="007C4395" w:rsidRPr="00490127" w:rsidRDefault="007C4395" w:rsidP="00490127">
            <w:pPr>
              <w:pStyle w:val="71R"/>
              <w:spacing w:before="60" w:after="60" w:line="240" w:lineRule="auto"/>
              <w:rPr>
                <w:rtl/>
              </w:rPr>
            </w:pPr>
            <w:r w:rsidRPr="00490127">
              <w:rPr>
                <w:rFonts w:hint="cs"/>
                <w:rtl/>
              </w:rPr>
              <w:t>1,463</w:t>
            </w:r>
          </w:p>
        </w:tc>
        <w:tc>
          <w:tcPr>
            <w:tcW w:w="685" w:type="pct"/>
            <w:shd w:val="clear" w:color="auto" w:fill="DDEAEE"/>
            <w:hideMark/>
          </w:tcPr>
          <w:p w14:paraId="01880EB8" w14:textId="77777777" w:rsidR="007C4395" w:rsidRPr="00490127" w:rsidRDefault="007C4395" w:rsidP="00490127">
            <w:pPr>
              <w:pStyle w:val="71R"/>
              <w:spacing w:before="60" w:after="60" w:line="240" w:lineRule="auto"/>
              <w:rPr>
                <w:rtl/>
              </w:rPr>
            </w:pPr>
            <w:r w:rsidRPr="00490127">
              <w:rPr>
                <w:rFonts w:hint="cs"/>
                <w:rtl/>
              </w:rPr>
              <w:t>137</w:t>
            </w:r>
          </w:p>
        </w:tc>
        <w:tc>
          <w:tcPr>
            <w:tcW w:w="684" w:type="pct"/>
            <w:shd w:val="clear" w:color="auto" w:fill="DDEAEE"/>
            <w:hideMark/>
          </w:tcPr>
          <w:p w14:paraId="5BA94DA2" w14:textId="77777777" w:rsidR="007C4395" w:rsidRPr="00490127" w:rsidRDefault="007C4395" w:rsidP="00490127">
            <w:pPr>
              <w:pStyle w:val="71R"/>
              <w:spacing w:before="60" w:after="60" w:line="240" w:lineRule="auto"/>
              <w:rPr>
                <w:rtl/>
              </w:rPr>
            </w:pPr>
            <w:r w:rsidRPr="00490127">
              <w:rPr>
                <w:rFonts w:hint="cs"/>
                <w:rtl/>
              </w:rPr>
              <w:t>74</w:t>
            </w:r>
          </w:p>
        </w:tc>
        <w:tc>
          <w:tcPr>
            <w:tcW w:w="686" w:type="pct"/>
            <w:shd w:val="clear" w:color="auto" w:fill="DDEAEE"/>
            <w:hideMark/>
          </w:tcPr>
          <w:p w14:paraId="091420D0" w14:textId="77777777" w:rsidR="007C4395" w:rsidRPr="00490127" w:rsidRDefault="007C4395" w:rsidP="00490127">
            <w:pPr>
              <w:pStyle w:val="71R"/>
              <w:spacing w:before="60" w:after="60" w:line="240" w:lineRule="auto"/>
              <w:rPr>
                <w:rtl/>
              </w:rPr>
            </w:pPr>
            <w:r w:rsidRPr="00490127">
              <w:rPr>
                <w:rFonts w:hint="cs"/>
                <w:rtl/>
              </w:rPr>
              <w:t>9</w:t>
            </w:r>
          </w:p>
        </w:tc>
      </w:tr>
      <w:tr w:rsidR="00DD281F" w14:paraId="5DBCE4C5" w14:textId="77777777" w:rsidTr="00CF3B33">
        <w:trPr>
          <w:trHeight w:val="262"/>
        </w:trPr>
        <w:tc>
          <w:tcPr>
            <w:tcW w:w="1577" w:type="pct"/>
            <w:shd w:val="clear" w:color="auto" w:fill="EFF7F8"/>
            <w:hideMark/>
          </w:tcPr>
          <w:p w14:paraId="5B7C7DAC" w14:textId="77777777" w:rsidR="007C4395" w:rsidRPr="00490127" w:rsidRDefault="007C4395" w:rsidP="00490127">
            <w:pPr>
              <w:pStyle w:val="71R"/>
              <w:spacing w:before="60" w:after="60" w:line="240" w:lineRule="auto"/>
              <w:rPr>
                <w:rtl/>
              </w:rPr>
            </w:pPr>
            <w:r w:rsidRPr="00490127">
              <w:rPr>
                <w:rFonts w:hint="cs"/>
                <w:rtl/>
              </w:rPr>
              <w:t>מלאי</w:t>
            </w:r>
          </w:p>
        </w:tc>
        <w:tc>
          <w:tcPr>
            <w:tcW w:w="684" w:type="pct"/>
            <w:shd w:val="clear" w:color="auto" w:fill="EFF7F8"/>
            <w:hideMark/>
          </w:tcPr>
          <w:p w14:paraId="51EE1097" w14:textId="77777777" w:rsidR="007C4395" w:rsidRPr="00490127" w:rsidRDefault="007C4395" w:rsidP="00490127">
            <w:pPr>
              <w:pStyle w:val="71R"/>
              <w:spacing w:before="60" w:after="60" w:line="240" w:lineRule="auto"/>
              <w:rPr>
                <w:rtl/>
              </w:rPr>
            </w:pPr>
            <w:r w:rsidRPr="00490127">
              <w:rPr>
                <w:rFonts w:hint="cs"/>
                <w:rtl/>
              </w:rPr>
              <w:t>0</w:t>
            </w:r>
          </w:p>
        </w:tc>
        <w:tc>
          <w:tcPr>
            <w:tcW w:w="684" w:type="pct"/>
            <w:shd w:val="clear" w:color="auto" w:fill="EFF7F8"/>
            <w:hideMark/>
          </w:tcPr>
          <w:p w14:paraId="34FF5A48" w14:textId="77777777" w:rsidR="007C4395" w:rsidRPr="00490127" w:rsidRDefault="007C4395" w:rsidP="00490127">
            <w:pPr>
              <w:pStyle w:val="71R"/>
              <w:spacing w:before="60" w:after="60" w:line="240" w:lineRule="auto"/>
              <w:rPr>
                <w:rtl/>
              </w:rPr>
            </w:pPr>
            <w:r w:rsidRPr="00490127">
              <w:rPr>
                <w:rFonts w:hint="cs"/>
                <w:rtl/>
              </w:rPr>
              <w:t>183</w:t>
            </w:r>
          </w:p>
        </w:tc>
        <w:tc>
          <w:tcPr>
            <w:tcW w:w="685" w:type="pct"/>
            <w:shd w:val="clear" w:color="auto" w:fill="EFF7F8"/>
            <w:hideMark/>
          </w:tcPr>
          <w:p w14:paraId="43374570" w14:textId="77777777" w:rsidR="007C4395" w:rsidRPr="00490127" w:rsidRDefault="007C4395" w:rsidP="00490127">
            <w:pPr>
              <w:pStyle w:val="71R"/>
              <w:spacing w:before="60" w:after="60" w:line="240" w:lineRule="auto"/>
              <w:rPr>
                <w:rtl/>
              </w:rPr>
            </w:pPr>
            <w:r w:rsidRPr="00490127">
              <w:rPr>
                <w:rFonts w:hint="cs"/>
                <w:rtl/>
              </w:rPr>
              <w:t>0</w:t>
            </w:r>
          </w:p>
        </w:tc>
        <w:tc>
          <w:tcPr>
            <w:tcW w:w="684" w:type="pct"/>
            <w:shd w:val="clear" w:color="auto" w:fill="EFF7F8"/>
            <w:hideMark/>
          </w:tcPr>
          <w:p w14:paraId="3A6FA5E4" w14:textId="77777777" w:rsidR="007C4395" w:rsidRPr="00490127" w:rsidRDefault="007C4395" w:rsidP="00490127">
            <w:pPr>
              <w:pStyle w:val="71R"/>
              <w:spacing w:before="60" w:after="60" w:line="240" w:lineRule="auto"/>
              <w:rPr>
                <w:rtl/>
              </w:rPr>
            </w:pPr>
            <w:r w:rsidRPr="00490127">
              <w:rPr>
                <w:rFonts w:hint="cs"/>
                <w:rtl/>
              </w:rPr>
              <w:t>0</w:t>
            </w:r>
          </w:p>
        </w:tc>
        <w:tc>
          <w:tcPr>
            <w:tcW w:w="686" w:type="pct"/>
            <w:shd w:val="clear" w:color="auto" w:fill="EFF7F8"/>
            <w:hideMark/>
          </w:tcPr>
          <w:p w14:paraId="683BEB40" w14:textId="77777777" w:rsidR="007C4395" w:rsidRPr="00490127" w:rsidRDefault="007C4395" w:rsidP="00490127">
            <w:pPr>
              <w:pStyle w:val="71R"/>
              <w:spacing w:before="60" w:after="60" w:line="240" w:lineRule="auto"/>
              <w:rPr>
                <w:rtl/>
              </w:rPr>
            </w:pPr>
            <w:r w:rsidRPr="00490127">
              <w:rPr>
                <w:rFonts w:hint="cs"/>
                <w:rtl/>
              </w:rPr>
              <w:t>0</w:t>
            </w:r>
          </w:p>
        </w:tc>
      </w:tr>
      <w:tr w:rsidR="00DD281F" w14:paraId="761086CF" w14:textId="77777777" w:rsidTr="00CF3B33">
        <w:trPr>
          <w:trHeight w:val="262"/>
        </w:trPr>
        <w:tc>
          <w:tcPr>
            <w:tcW w:w="1577" w:type="pct"/>
            <w:shd w:val="clear" w:color="auto" w:fill="DDEAEE"/>
            <w:hideMark/>
          </w:tcPr>
          <w:p w14:paraId="32A13056" w14:textId="7DA0EFD6" w:rsidR="007C4395" w:rsidRPr="002B5D71" w:rsidRDefault="007C4395" w:rsidP="00490127">
            <w:pPr>
              <w:pStyle w:val="71R"/>
              <w:spacing w:before="60" w:after="60" w:line="240" w:lineRule="auto"/>
              <w:rPr>
                <w:b/>
                <w:bCs/>
                <w:rtl/>
              </w:rPr>
            </w:pPr>
            <w:r w:rsidRPr="002B5D71">
              <w:rPr>
                <w:rFonts w:hint="cs"/>
                <w:b/>
                <w:bCs/>
                <w:rtl/>
              </w:rPr>
              <w:t>סך הכול נכסים שוטפים</w:t>
            </w:r>
          </w:p>
        </w:tc>
        <w:tc>
          <w:tcPr>
            <w:tcW w:w="684" w:type="pct"/>
            <w:shd w:val="clear" w:color="auto" w:fill="DDEAEE"/>
            <w:hideMark/>
          </w:tcPr>
          <w:p w14:paraId="6CC813C1" w14:textId="77777777" w:rsidR="007C4395" w:rsidRPr="002B5D71" w:rsidRDefault="007C4395" w:rsidP="00490127">
            <w:pPr>
              <w:pStyle w:val="71R"/>
              <w:spacing w:before="60" w:after="60" w:line="240" w:lineRule="auto"/>
              <w:rPr>
                <w:b/>
                <w:bCs/>
                <w:rtl/>
              </w:rPr>
            </w:pPr>
            <w:r w:rsidRPr="002B5D71">
              <w:rPr>
                <w:rFonts w:hint="cs"/>
                <w:b/>
                <w:bCs/>
                <w:rtl/>
              </w:rPr>
              <w:t>1,232</w:t>
            </w:r>
          </w:p>
        </w:tc>
        <w:tc>
          <w:tcPr>
            <w:tcW w:w="684" w:type="pct"/>
            <w:shd w:val="clear" w:color="auto" w:fill="DDEAEE"/>
            <w:hideMark/>
          </w:tcPr>
          <w:p w14:paraId="52AABC03" w14:textId="77777777" w:rsidR="007C4395" w:rsidRPr="002B5D71" w:rsidRDefault="007C4395" w:rsidP="00490127">
            <w:pPr>
              <w:pStyle w:val="71R"/>
              <w:spacing w:before="60" w:after="60" w:line="240" w:lineRule="auto"/>
              <w:rPr>
                <w:b/>
                <w:bCs/>
                <w:rtl/>
              </w:rPr>
            </w:pPr>
            <w:r w:rsidRPr="002B5D71">
              <w:rPr>
                <w:rFonts w:hint="cs"/>
                <w:b/>
                <w:bCs/>
                <w:rtl/>
              </w:rPr>
              <w:t>1,646</w:t>
            </w:r>
          </w:p>
        </w:tc>
        <w:tc>
          <w:tcPr>
            <w:tcW w:w="685" w:type="pct"/>
            <w:shd w:val="clear" w:color="auto" w:fill="DDEAEE"/>
            <w:hideMark/>
          </w:tcPr>
          <w:p w14:paraId="7AFBA451" w14:textId="77777777" w:rsidR="007C4395" w:rsidRPr="002B5D71" w:rsidRDefault="007C4395" w:rsidP="00490127">
            <w:pPr>
              <w:pStyle w:val="71R"/>
              <w:spacing w:before="60" w:after="60" w:line="240" w:lineRule="auto"/>
              <w:rPr>
                <w:b/>
                <w:bCs/>
                <w:rtl/>
              </w:rPr>
            </w:pPr>
            <w:r w:rsidRPr="002B5D71">
              <w:rPr>
                <w:rFonts w:hint="cs"/>
                <w:b/>
                <w:bCs/>
                <w:rtl/>
              </w:rPr>
              <w:t>167</w:t>
            </w:r>
          </w:p>
        </w:tc>
        <w:tc>
          <w:tcPr>
            <w:tcW w:w="684" w:type="pct"/>
            <w:shd w:val="clear" w:color="auto" w:fill="DDEAEE"/>
            <w:hideMark/>
          </w:tcPr>
          <w:p w14:paraId="22DBA07A" w14:textId="77777777" w:rsidR="007C4395" w:rsidRPr="002B5D71" w:rsidRDefault="007C4395" w:rsidP="00490127">
            <w:pPr>
              <w:pStyle w:val="71R"/>
              <w:spacing w:before="60" w:after="60" w:line="240" w:lineRule="auto"/>
              <w:rPr>
                <w:b/>
                <w:bCs/>
                <w:rtl/>
              </w:rPr>
            </w:pPr>
            <w:r w:rsidRPr="002B5D71">
              <w:rPr>
                <w:rFonts w:hint="cs"/>
                <w:b/>
                <w:bCs/>
                <w:rtl/>
              </w:rPr>
              <w:t>76</w:t>
            </w:r>
          </w:p>
        </w:tc>
        <w:tc>
          <w:tcPr>
            <w:tcW w:w="686" w:type="pct"/>
            <w:shd w:val="clear" w:color="auto" w:fill="DDEAEE"/>
            <w:hideMark/>
          </w:tcPr>
          <w:p w14:paraId="5EA83545" w14:textId="77777777" w:rsidR="007C4395" w:rsidRPr="002B5D71" w:rsidRDefault="007C4395" w:rsidP="00490127">
            <w:pPr>
              <w:pStyle w:val="71R"/>
              <w:spacing w:before="60" w:after="60" w:line="240" w:lineRule="auto"/>
              <w:rPr>
                <w:b/>
                <w:bCs/>
                <w:rtl/>
              </w:rPr>
            </w:pPr>
            <w:r w:rsidRPr="002B5D71">
              <w:rPr>
                <w:rFonts w:hint="cs"/>
                <w:b/>
                <w:bCs/>
                <w:rtl/>
              </w:rPr>
              <w:t>22</w:t>
            </w:r>
          </w:p>
        </w:tc>
      </w:tr>
      <w:tr w:rsidR="00CF3B33" w14:paraId="75509D4E" w14:textId="77777777" w:rsidTr="00CF3B33">
        <w:trPr>
          <w:trHeight w:val="454"/>
        </w:trPr>
        <w:tc>
          <w:tcPr>
            <w:tcW w:w="5000" w:type="pct"/>
            <w:gridSpan w:val="6"/>
            <w:shd w:val="clear" w:color="auto" w:fill="C8DCE4"/>
            <w:vAlign w:val="center"/>
          </w:tcPr>
          <w:p w14:paraId="15E46057" w14:textId="1B87D589" w:rsidR="00CF3B33" w:rsidRPr="002B5D71" w:rsidRDefault="00CF3B33" w:rsidP="00CF3B33">
            <w:pPr>
              <w:pStyle w:val="71R"/>
              <w:spacing w:before="60" w:after="60" w:line="240" w:lineRule="auto"/>
              <w:rPr>
                <w:b/>
                <w:bCs/>
                <w:rtl/>
              </w:rPr>
            </w:pPr>
            <w:r w:rsidRPr="002B5D71">
              <w:rPr>
                <w:rFonts w:hint="cs"/>
                <w:b/>
                <w:bCs/>
                <w:rtl/>
              </w:rPr>
              <w:t>נכסים לא שוטפים</w:t>
            </w:r>
          </w:p>
        </w:tc>
      </w:tr>
      <w:tr w:rsidR="00DD281F" w14:paraId="28F12F75" w14:textId="77777777" w:rsidTr="00CF3B33">
        <w:trPr>
          <w:trHeight w:val="262"/>
        </w:trPr>
        <w:tc>
          <w:tcPr>
            <w:tcW w:w="1577" w:type="pct"/>
            <w:shd w:val="clear" w:color="auto" w:fill="EFF7F8"/>
            <w:hideMark/>
          </w:tcPr>
          <w:p w14:paraId="10E55BBB" w14:textId="77777777" w:rsidR="007C4395" w:rsidRPr="00490127" w:rsidRDefault="007C4395" w:rsidP="00490127">
            <w:pPr>
              <w:pStyle w:val="71R"/>
              <w:spacing w:before="60" w:after="60" w:line="240" w:lineRule="auto"/>
              <w:rPr>
                <w:rtl/>
              </w:rPr>
            </w:pPr>
            <w:r w:rsidRPr="00490127">
              <w:rPr>
                <w:rFonts w:hint="cs"/>
                <w:rtl/>
              </w:rPr>
              <w:t>פיקדון בגין כלי רכב</w:t>
            </w:r>
          </w:p>
        </w:tc>
        <w:tc>
          <w:tcPr>
            <w:tcW w:w="684" w:type="pct"/>
            <w:shd w:val="clear" w:color="auto" w:fill="EFF7F8"/>
            <w:hideMark/>
          </w:tcPr>
          <w:p w14:paraId="49FCCC75" w14:textId="77777777" w:rsidR="007C4395" w:rsidRPr="00490127" w:rsidRDefault="007C4395" w:rsidP="00490127">
            <w:pPr>
              <w:pStyle w:val="71R"/>
              <w:spacing w:before="60" w:after="60" w:line="240" w:lineRule="auto"/>
              <w:rPr>
                <w:rtl/>
              </w:rPr>
            </w:pPr>
            <w:r w:rsidRPr="00490127">
              <w:rPr>
                <w:rFonts w:hint="cs"/>
                <w:rtl/>
              </w:rPr>
              <w:t>6</w:t>
            </w:r>
          </w:p>
        </w:tc>
        <w:tc>
          <w:tcPr>
            <w:tcW w:w="684" w:type="pct"/>
            <w:shd w:val="clear" w:color="auto" w:fill="EFF7F8"/>
            <w:hideMark/>
          </w:tcPr>
          <w:p w14:paraId="023C6ED6" w14:textId="77777777" w:rsidR="007C4395" w:rsidRPr="00490127" w:rsidRDefault="007C4395" w:rsidP="00490127">
            <w:pPr>
              <w:pStyle w:val="71R"/>
              <w:spacing w:before="60" w:after="60" w:line="240" w:lineRule="auto"/>
              <w:rPr>
                <w:rtl/>
              </w:rPr>
            </w:pPr>
            <w:r w:rsidRPr="00490127">
              <w:rPr>
                <w:rFonts w:hint="cs"/>
                <w:rtl/>
              </w:rPr>
              <w:t>21</w:t>
            </w:r>
          </w:p>
        </w:tc>
        <w:tc>
          <w:tcPr>
            <w:tcW w:w="685" w:type="pct"/>
            <w:shd w:val="clear" w:color="auto" w:fill="EFF7F8"/>
            <w:hideMark/>
          </w:tcPr>
          <w:p w14:paraId="6374C269" w14:textId="77777777" w:rsidR="007C4395" w:rsidRPr="00490127" w:rsidRDefault="007C4395" w:rsidP="00490127">
            <w:pPr>
              <w:pStyle w:val="71R"/>
              <w:spacing w:before="60" w:after="60" w:line="240" w:lineRule="auto"/>
              <w:rPr>
                <w:rtl/>
              </w:rPr>
            </w:pPr>
            <w:r w:rsidRPr="00490127">
              <w:rPr>
                <w:rFonts w:hint="cs"/>
                <w:rtl/>
              </w:rPr>
              <w:t>12</w:t>
            </w:r>
          </w:p>
        </w:tc>
        <w:tc>
          <w:tcPr>
            <w:tcW w:w="684" w:type="pct"/>
            <w:shd w:val="clear" w:color="auto" w:fill="EFF7F8"/>
            <w:hideMark/>
          </w:tcPr>
          <w:p w14:paraId="1153189B" w14:textId="77777777" w:rsidR="007C4395" w:rsidRPr="00490127" w:rsidRDefault="007C4395" w:rsidP="00490127">
            <w:pPr>
              <w:pStyle w:val="71R"/>
              <w:spacing w:before="60" w:after="60" w:line="240" w:lineRule="auto"/>
              <w:rPr>
                <w:rtl/>
              </w:rPr>
            </w:pPr>
            <w:r w:rsidRPr="00490127">
              <w:rPr>
                <w:rFonts w:hint="cs"/>
                <w:rtl/>
              </w:rPr>
              <w:t>14</w:t>
            </w:r>
          </w:p>
        </w:tc>
        <w:tc>
          <w:tcPr>
            <w:tcW w:w="686" w:type="pct"/>
            <w:shd w:val="clear" w:color="auto" w:fill="EFF7F8"/>
            <w:hideMark/>
          </w:tcPr>
          <w:p w14:paraId="3BE3B05A" w14:textId="77777777" w:rsidR="007C4395" w:rsidRPr="00490127" w:rsidRDefault="007C4395" w:rsidP="00490127">
            <w:pPr>
              <w:pStyle w:val="71R"/>
              <w:spacing w:before="60" w:after="60" w:line="240" w:lineRule="auto"/>
              <w:rPr>
                <w:rtl/>
              </w:rPr>
            </w:pPr>
            <w:r w:rsidRPr="00490127">
              <w:rPr>
                <w:rFonts w:hint="cs"/>
                <w:rtl/>
              </w:rPr>
              <w:t>6</w:t>
            </w:r>
          </w:p>
        </w:tc>
      </w:tr>
      <w:tr w:rsidR="00DD281F" w14:paraId="11233155" w14:textId="77777777" w:rsidTr="00CF3B33">
        <w:trPr>
          <w:trHeight w:val="262"/>
        </w:trPr>
        <w:tc>
          <w:tcPr>
            <w:tcW w:w="1577" w:type="pct"/>
            <w:shd w:val="clear" w:color="auto" w:fill="DDEAEE"/>
            <w:hideMark/>
          </w:tcPr>
          <w:p w14:paraId="47B66F46" w14:textId="77777777" w:rsidR="007C4395" w:rsidRPr="00490127" w:rsidRDefault="007C4395" w:rsidP="00490127">
            <w:pPr>
              <w:pStyle w:val="71R"/>
              <w:spacing w:before="60" w:after="60" w:line="240" w:lineRule="auto"/>
              <w:rPr>
                <w:rtl/>
              </w:rPr>
            </w:pPr>
            <w:r w:rsidRPr="00490127">
              <w:rPr>
                <w:rFonts w:hint="cs"/>
                <w:rtl/>
              </w:rPr>
              <w:t>מלאי בלתי שוטף</w:t>
            </w:r>
          </w:p>
        </w:tc>
        <w:tc>
          <w:tcPr>
            <w:tcW w:w="684" w:type="pct"/>
            <w:shd w:val="clear" w:color="auto" w:fill="DDEAEE"/>
            <w:hideMark/>
          </w:tcPr>
          <w:p w14:paraId="3CD7AD1E" w14:textId="77777777" w:rsidR="007C4395" w:rsidRPr="00490127" w:rsidRDefault="007C4395" w:rsidP="00490127">
            <w:pPr>
              <w:pStyle w:val="71R"/>
              <w:spacing w:before="60" w:after="60" w:line="240" w:lineRule="auto"/>
              <w:rPr>
                <w:rtl/>
              </w:rPr>
            </w:pPr>
            <w:r w:rsidRPr="00490127">
              <w:rPr>
                <w:rFonts w:hint="cs"/>
                <w:rtl/>
              </w:rPr>
              <w:t>0</w:t>
            </w:r>
          </w:p>
        </w:tc>
        <w:tc>
          <w:tcPr>
            <w:tcW w:w="684" w:type="pct"/>
            <w:shd w:val="clear" w:color="auto" w:fill="DDEAEE"/>
            <w:hideMark/>
          </w:tcPr>
          <w:p w14:paraId="391925D3" w14:textId="77777777" w:rsidR="007C4395" w:rsidRPr="00490127" w:rsidRDefault="007C4395" w:rsidP="00490127">
            <w:pPr>
              <w:pStyle w:val="71R"/>
              <w:spacing w:before="60" w:after="60" w:line="240" w:lineRule="auto"/>
              <w:rPr>
                <w:rtl/>
              </w:rPr>
            </w:pPr>
            <w:r w:rsidRPr="00490127">
              <w:rPr>
                <w:rFonts w:hint="cs"/>
                <w:rtl/>
              </w:rPr>
              <w:t>275</w:t>
            </w:r>
          </w:p>
        </w:tc>
        <w:tc>
          <w:tcPr>
            <w:tcW w:w="685" w:type="pct"/>
            <w:shd w:val="clear" w:color="auto" w:fill="DDEAEE"/>
            <w:hideMark/>
          </w:tcPr>
          <w:p w14:paraId="14CCE5E6" w14:textId="77777777" w:rsidR="007C4395" w:rsidRPr="00490127" w:rsidRDefault="007C4395" w:rsidP="00490127">
            <w:pPr>
              <w:pStyle w:val="71R"/>
              <w:spacing w:before="60" w:after="60" w:line="240" w:lineRule="auto"/>
              <w:rPr>
                <w:rtl/>
              </w:rPr>
            </w:pPr>
            <w:r w:rsidRPr="00490127">
              <w:rPr>
                <w:rFonts w:hint="cs"/>
                <w:rtl/>
              </w:rPr>
              <w:t>105</w:t>
            </w:r>
          </w:p>
        </w:tc>
        <w:tc>
          <w:tcPr>
            <w:tcW w:w="684" w:type="pct"/>
            <w:shd w:val="clear" w:color="auto" w:fill="DDEAEE"/>
            <w:hideMark/>
          </w:tcPr>
          <w:p w14:paraId="139C5EA8" w14:textId="77777777" w:rsidR="007C4395" w:rsidRPr="00490127" w:rsidRDefault="007C4395" w:rsidP="00490127">
            <w:pPr>
              <w:pStyle w:val="71R"/>
              <w:spacing w:before="60" w:after="60" w:line="240" w:lineRule="auto"/>
              <w:rPr>
                <w:rtl/>
              </w:rPr>
            </w:pPr>
            <w:r w:rsidRPr="00490127">
              <w:rPr>
                <w:rFonts w:hint="cs"/>
                <w:rtl/>
              </w:rPr>
              <w:t>0</w:t>
            </w:r>
          </w:p>
        </w:tc>
        <w:tc>
          <w:tcPr>
            <w:tcW w:w="686" w:type="pct"/>
            <w:shd w:val="clear" w:color="auto" w:fill="DDEAEE"/>
            <w:hideMark/>
          </w:tcPr>
          <w:p w14:paraId="70E80C0D" w14:textId="77777777" w:rsidR="007C4395" w:rsidRPr="00490127" w:rsidRDefault="007C4395" w:rsidP="00490127">
            <w:pPr>
              <w:pStyle w:val="71R"/>
              <w:spacing w:before="60" w:after="60" w:line="240" w:lineRule="auto"/>
              <w:rPr>
                <w:rtl/>
              </w:rPr>
            </w:pPr>
            <w:r w:rsidRPr="00490127">
              <w:rPr>
                <w:rFonts w:hint="cs"/>
                <w:rtl/>
              </w:rPr>
              <w:t>130</w:t>
            </w:r>
          </w:p>
        </w:tc>
      </w:tr>
      <w:tr w:rsidR="00DD281F" w14:paraId="4180F939" w14:textId="77777777" w:rsidTr="00CF3B33">
        <w:trPr>
          <w:trHeight w:val="262"/>
        </w:trPr>
        <w:tc>
          <w:tcPr>
            <w:tcW w:w="1577" w:type="pct"/>
            <w:shd w:val="clear" w:color="auto" w:fill="EFF7F8"/>
            <w:hideMark/>
          </w:tcPr>
          <w:p w14:paraId="0E283EDB" w14:textId="77777777" w:rsidR="007C4395" w:rsidRPr="00490127" w:rsidRDefault="007C4395" w:rsidP="00490127">
            <w:pPr>
              <w:pStyle w:val="71R"/>
              <w:spacing w:before="60" w:after="60" w:line="240" w:lineRule="auto"/>
              <w:rPr>
                <w:rtl/>
              </w:rPr>
            </w:pPr>
            <w:r w:rsidRPr="00490127">
              <w:rPr>
                <w:rFonts w:hint="cs"/>
                <w:rtl/>
              </w:rPr>
              <w:t>רכוש קבוע ונכסים בלתי מוחשיים, נטו</w:t>
            </w:r>
          </w:p>
        </w:tc>
        <w:tc>
          <w:tcPr>
            <w:tcW w:w="684" w:type="pct"/>
            <w:shd w:val="clear" w:color="auto" w:fill="EFF7F8"/>
            <w:hideMark/>
          </w:tcPr>
          <w:p w14:paraId="39001B25" w14:textId="77777777" w:rsidR="007C4395" w:rsidRPr="00490127" w:rsidRDefault="007C4395" w:rsidP="00490127">
            <w:pPr>
              <w:pStyle w:val="71R"/>
              <w:spacing w:before="60" w:after="60" w:line="240" w:lineRule="auto"/>
              <w:rPr>
                <w:rtl/>
              </w:rPr>
            </w:pPr>
            <w:r w:rsidRPr="00490127">
              <w:rPr>
                <w:rFonts w:hint="cs"/>
                <w:rtl/>
              </w:rPr>
              <w:t>15,178</w:t>
            </w:r>
          </w:p>
        </w:tc>
        <w:tc>
          <w:tcPr>
            <w:tcW w:w="684" w:type="pct"/>
            <w:shd w:val="clear" w:color="auto" w:fill="EFF7F8"/>
            <w:hideMark/>
          </w:tcPr>
          <w:p w14:paraId="541E2E23" w14:textId="77777777" w:rsidR="007C4395" w:rsidRPr="00490127" w:rsidRDefault="007C4395" w:rsidP="00490127">
            <w:pPr>
              <w:pStyle w:val="71R"/>
              <w:spacing w:before="60" w:after="60" w:line="240" w:lineRule="auto"/>
              <w:rPr>
                <w:rtl/>
              </w:rPr>
            </w:pPr>
            <w:r w:rsidRPr="00490127">
              <w:rPr>
                <w:rFonts w:hint="cs"/>
                <w:rtl/>
              </w:rPr>
              <w:t>1,979</w:t>
            </w:r>
          </w:p>
        </w:tc>
        <w:tc>
          <w:tcPr>
            <w:tcW w:w="685" w:type="pct"/>
            <w:shd w:val="clear" w:color="auto" w:fill="EFF7F8"/>
            <w:hideMark/>
          </w:tcPr>
          <w:p w14:paraId="24DCCA6F" w14:textId="77777777" w:rsidR="007C4395" w:rsidRPr="00490127" w:rsidRDefault="007C4395" w:rsidP="00490127">
            <w:pPr>
              <w:pStyle w:val="71R"/>
              <w:spacing w:before="60" w:after="60" w:line="240" w:lineRule="auto"/>
              <w:rPr>
                <w:rtl/>
              </w:rPr>
            </w:pPr>
            <w:r w:rsidRPr="00490127">
              <w:rPr>
                <w:rFonts w:hint="cs"/>
                <w:rtl/>
              </w:rPr>
              <w:t>21</w:t>
            </w:r>
          </w:p>
        </w:tc>
        <w:tc>
          <w:tcPr>
            <w:tcW w:w="684" w:type="pct"/>
            <w:shd w:val="clear" w:color="auto" w:fill="EFF7F8"/>
            <w:hideMark/>
          </w:tcPr>
          <w:p w14:paraId="454ED65F" w14:textId="77777777" w:rsidR="007C4395" w:rsidRPr="00490127" w:rsidRDefault="007C4395" w:rsidP="00490127">
            <w:pPr>
              <w:pStyle w:val="71R"/>
              <w:spacing w:before="60" w:after="60" w:line="240" w:lineRule="auto"/>
              <w:rPr>
                <w:rtl/>
              </w:rPr>
            </w:pPr>
            <w:r w:rsidRPr="00490127">
              <w:rPr>
                <w:rFonts w:hint="cs"/>
                <w:rtl/>
              </w:rPr>
              <w:t>390</w:t>
            </w:r>
          </w:p>
        </w:tc>
        <w:tc>
          <w:tcPr>
            <w:tcW w:w="686" w:type="pct"/>
            <w:shd w:val="clear" w:color="auto" w:fill="EFF7F8"/>
            <w:hideMark/>
          </w:tcPr>
          <w:p w14:paraId="7C82D060" w14:textId="77777777" w:rsidR="007C4395" w:rsidRPr="00490127" w:rsidRDefault="007C4395" w:rsidP="00490127">
            <w:pPr>
              <w:pStyle w:val="71R"/>
              <w:spacing w:before="60" w:after="60" w:line="240" w:lineRule="auto"/>
              <w:rPr>
                <w:rtl/>
              </w:rPr>
            </w:pPr>
            <w:r w:rsidRPr="00490127">
              <w:rPr>
                <w:rFonts w:hint="cs"/>
                <w:rtl/>
              </w:rPr>
              <w:t>31</w:t>
            </w:r>
          </w:p>
        </w:tc>
      </w:tr>
      <w:tr w:rsidR="00DD281F" w14:paraId="48A44DC4" w14:textId="77777777" w:rsidTr="00CF3B33">
        <w:trPr>
          <w:trHeight w:val="262"/>
        </w:trPr>
        <w:tc>
          <w:tcPr>
            <w:tcW w:w="1577" w:type="pct"/>
            <w:shd w:val="clear" w:color="auto" w:fill="DDEAEE"/>
            <w:hideMark/>
          </w:tcPr>
          <w:p w14:paraId="0BE5CD69" w14:textId="77777777" w:rsidR="007C4395" w:rsidRPr="00490127" w:rsidRDefault="007C4395" w:rsidP="00490127">
            <w:pPr>
              <w:pStyle w:val="71R"/>
              <w:spacing w:before="60" w:after="60" w:line="240" w:lineRule="auto"/>
              <w:rPr>
                <w:rtl/>
              </w:rPr>
            </w:pPr>
            <w:r w:rsidRPr="00490127">
              <w:rPr>
                <w:rFonts w:hint="cs"/>
                <w:rtl/>
              </w:rPr>
              <w:t>יתרות חובה אחרות לזמן ארוך</w:t>
            </w:r>
          </w:p>
        </w:tc>
        <w:tc>
          <w:tcPr>
            <w:tcW w:w="684" w:type="pct"/>
            <w:shd w:val="clear" w:color="auto" w:fill="DDEAEE"/>
            <w:hideMark/>
          </w:tcPr>
          <w:p w14:paraId="0A05F67C" w14:textId="77777777" w:rsidR="007C4395" w:rsidRPr="00490127" w:rsidRDefault="007C4395" w:rsidP="00490127">
            <w:pPr>
              <w:pStyle w:val="71R"/>
              <w:spacing w:before="60" w:after="60" w:line="240" w:lineRule="auto"/>
              <w:rPr>
                <w:rtl/>
              </w:rPr>
            </w:pPr>
            <w:r w:rsidRPr="00490127">
              <w:rPr>
                <w:rFonts w:hint="cs"/>
                <w:rtl/>
              </w:rPr>
              <w:t>111</w:t>
            </w:r>
          </w:p>
        </w:tc>
        <w:tc>
          <w:tcPr>
            <w:tcW w:w="684" w:type="pct"/>
            <w:shd w:val="clear" w:color="auto" w:fill="DDEAEE"/>
            <w:hideMark/>
          </w:tcPr>
          <w:p w14:paraId="21CDB583" w14:textId="77777777" w:rsidR="007C4395" w:rsidRPr="00490127" w:rsidRDefault="007C4395" w:rsidP="00490127">
            <w:pPr>
              <w:pStyle w:val="71R"/>
              <w:spacing w:before="60" w:after="60" w:line="240" w:lineRule="auto"/>
              <w:rPr>
                <w:rtl/>
              </w:rPr>
            </w:pPr>
            <w:r w:rsidRPr="00490127">
              <w:rPr>
                <w:rFonts w:hint="cs"/>
                <w:rtl/>
              </w:rPr>
              <w:t>7,090</w:t>
            </w:r>
          </w:p>
        </w:tc>
        <w:tc>
          <w:tcPr>
            <w:tcW w:w="685" w:type="pct"/>
            <w:shd w:val="clear" w:color="auto" w:fill="DDEAEE"/>
            <w:hideMark/>
          </w:tcPr>
          <w:p w14:paraId="6BB91A7C" w14:textId="77777777" w:rsidR="007C4395" w:rsidRPr="00490127" w:rsidRDefault="007C4395" w:rsidP="00490127">
            <w:pPr>
              <w:pStyle w:val="71R"/>
              <w:spacing w:before="60" w:after="60" w:line="240" w:lineRule="auto"/>
              <w:rPr>
                <w:rtl/>
              </w:rPr>
            </w:pPr>
            <w:r w:rsidRPr="00490127">
              <w:rPr>
                <w:rFonts w:hint="cs"/>
                <w:rtl/>
              </w:rPr>
              <w:t>178</w:t>
            </w:r>
          </w:p>
        </w:tc>
        <w:tc>
          <w:tcPr>
            <w:tcW w:w="684" w:type="pct"/>
            <w:shd w:val="clear" w:color="auto" w:fill="DDEAEE"/>
            <w:hideMark/>
          </w:tcPr>
          <w:p w14:paraId="3739F438" w14:textId="77777777" w:rsidR="007C4395" w:rsidRPr="00490127" w:rsidRDefault="007C4395" w:rsidP="00490127">
            <w:pPr>
              <w:pStyle w:val="71R"/>
              <w:spacing w:before="60" w:after="60" w:line="240" w:lineRule="auto"/>
              <w:rPr>
                <w:rtl/>
              </w:rPr>
            </w:pPr>
            <w:r w:rsidRPr="00490127">
              <w:rPr>
                <w:rFonts w:hint="cs"/>
                <w:rtl/>
              </w:rPr>
              <w:t>41</w:t>
            </w:r>
          </w:p>
        </w:tc>
        <w:tc>
          <w:tcPr>
            <w:tcW w:w="686" w:type="pct"/>
            <w:shd w:val="clear" w:color="auto" w:fill="DDEAEE"/>
            <w:hideMark/>
          </w:tcPr>
          <w:p w14:paraId="455AD4D8" w14:textId="77777777" w:rsidR="007C4395" w:rsidRPr="00490127" w:rsidRDefault="007C4395" w:rsidP="00490127">
            <w:pPr>
              <w:pStyle w:val="71R"/>
              <w:spacing w:before="60" w:after="60" w:line="240" w:lineRule="auto"/>
              <w:rPr>
                <w:rtl/>
              </w:rPr>
            </w:pPr>
            <w:r w:rsidRPr="00490127">
              <w:rPr>
                <w:rFonts w:hint="cs"/>
                <w:rtl/>
              </w:rPr>
              <w:t> 0</w:t>
            </w:r>
          </w:p>
        </w:tc>
      </w:tr>
      <w:tr w:rsidR="00DD281F" w14:paraId="1DC9E3F9" w14:textId="77777777" w:rsidTr="00CF3B33">
        <w:trPr>
          <w:trHeight w:val="262"/>
        </w:trPr>
        <w:tc>
          <w:tcPr>
            <w:tcW w:w="1577" w:type="pct"/>
            <w:shd w:val="clear" w:color="auto" w:fill="EFF7F8"/>
            <w:hideMark/>
          </w:tcPr>
          <w:p w14:paraId="6248363D" w14:textId="77777777" w:rsidR="007C4395" w:rsidRPr="00CF3B33" w:rsidRDefault="007C4395" w:rsidP="00490127">
            <w:pPr>
              <w:pStyle w:val="71R"/>
              <w:spacing w:before="60" w:after="60" w:line="240" w:lineRule="auto"/>
              <w:rPr>
                <w:b/>
                <w:bCs/>
                <w:spacing w:val="-6"/>
                <w:rtl/>
              </w:rPr>
            </w:pPr>
            <w:r w:rsidRPr="00CF3B33">
              <w:rPr>
                <w:rFonts w:hint="cs"/>
                <w:b/>
                <w:bCs/>
                <w:spacing w:val="-6"/>
                <w:rtl/>
              </w:rPr>
              <w:t>סך הכול נכסים לא שוטפים</w:t>
            </w:r>
          </w:p>
        </w:tc>
        <w:tc>
          <w:tcPr>
            <w:tcW w:w="684" w:type="pct"/>
            <w:shd w:val="clear" w:color="auto" w:fill="EFF7F8"/>
            <w:hideMark/>
          </w:tcPr>
          <w:p w14:paraId="07559A6E" w14:textId="77777777" w:rsidR="007C4395" w:rsidRPr="00CF3B33" w:rsidRDefault="007C4395" w:rsidP="00490127">
            <w:pPr>
              <w:pStyle w:val="71R"/>
              <w:spacing w:before="60" w:after="60" w:line="240" w:lineRule="auto"/>
              <w:rPr>
                <w:b/>
                <w:bCs/>
                <w:rtl/>
              </w:rPr>
            </w:pPr>
            <w:r w:rsidRPr="00CF3B33">
              <w:rPr>
                <w:rFonts w:hint="cs"/>
                <w:b/>
                <w:bCs/>
                <w:rtl/>
              </w:rPr>
              <w:t>15,295</w:t>
            </w:r>
          </w:p>
        </w:tc>
        <w:tc>
          <w:tcPr>
            <w:tcW w:w="684" w:type="pct"/>
            <w:shd w:val="clear" w:color="auto" w:fill="EFF7F8"/>
            <w:hideMark/>
          </w:tcPr>
          <w:p w14:paraId="7A122062" w14:textId="77777777" w:rsidR="007C4395" w:rsidRPr="00CF3B33" w:rsidRDefault="007C4395" w:rsidP="00490127">
            <w:pPr>
              <w:pStyle w:val="71R"/>
              <w:spacing w:before="60" w:after="60" w:line="240" w:lineRule="auto"/>
              <w:rPr>
                <w:b/>
                <w:bCs/>
                <w:rtl/>
              </w:rPr>
            </w:pPr>
            <w:r w:rsidRPr="00CF3B33">
              <w:rPr>
                <w:rFonts w:hint="cs"/>
                <w:b/>
                <w:bCs/>
                <w:rtl/>
              </w:rPr>
              <w:t>9,365</w:t>
            </w:r>
          </w:p>
        </w:tc>
        <w:tc>
          <w:tcPr>
            <w:tcW w:w="685" w:type="pct"/>
            <w:shd w:val="clear" w:color="auto" w:fill="EFF7F8"/>
            <w:hideMark/>
          </w:tcPr>
          <w:p w14:paraId="2471592C" w14:textId="77777777" w:rsidR="007C4395" w:rsidRPr="00CF3B33" w:rsidRDefault="007C4395" w:rsidP="00490127">
            <w:pPr>
              <w:pStyle w:val="71R"/>
              <w:spacing w:before="60" w:after="60" w:line="240" w:lineRule="auto"/>
              <w:rPr>
                <w:b/>
                <w:bCs/>
                <w:rtl/>
              </w:rPr>
            </w:pPr>
            <w:r w:rsidRPr="00CF3B33">
              <w:rPr>
                <w:rFonts w:hint="cs"/>
                <w:b/>
                <w:bCs/>
                <w:rtl/>
              </w:rPr>
              <w:t>316</w:t>
            </w:r>
          </w:p>
        </w:tc>
        <w:tc>
          <w:tcPr>
            <w:tcW w:w="684" w:type="pct"/>
            <w:shd w:val="clear" w:color="auto" w:fill="EFF7F8"/>
            <w:hideMark/>
          </w:tcPr>
          <w:p w14:paraId="2B76B358" w14:textId="77777777" w:rsidR="007C4395" w:rsidRPr="00CF3B33" w:rsidRDefault="007C4395" w:rsidP="00490127">
            <w:pPr>
              <w:pStyle w:val="71R"/>
              <w:spacing w:before="60" w:after="60" w:line="240" w:lineRule="auto"/>
              <w:rPr>
                <w:b/>
                <w:bCs/>
                <w:rtl/>
              </w:rPr>
            </w:pPr>
            <w:r w:rsidRPr="00CF3B33">
              <w:rPr>
                <w:rFonts w:hint="cs"/>
                <w:b/>
                <w:bCs/>
                <w:rtl/>
              </w:rPr>
              <w:t>445</w:t>
            </w:r>
          </w:p>
        </w:tc>
        <w:tc>
          <w:tcPr>
            <w:tcW w:w="686" w:type="pct"/>
            <w:shd w:val="clear" w:color="auto" w:fill="EFF7F8"/>
            <w:hideMark/>
          </w:tcPr>
          <w:p w14:paraId="03CAFFF4" w14:textId="77777777" w:rsidR="007C4395" w:rsidRPr="00CF3B33" w:rsidRDefault="007C4395" w:rsidP="00490127">
            <w:pPr>
              <w:pStyle w:val="71R"/>
              <w:spacing w:before="60" w:after="60" w:line="240" w:lineRule="auto"/>
              <w:rPr>
                <w:b/>
                <w:bCs/>
                <w:rtl/>
              </w:rPr>
            </w:pPr>
            <w:r w:rsidRPr="00CF3B33">
              <w:rPr>
                <w:rFonts w:hint="cs"/>
                <w:b/>
                <w:bCs/>
                <w:rtl/>
              </w:rPr>
              <w:t>167</w:t>
            </w:r>
          </w:p>
        </w:tc>
      </w:tr>
      <w:tr w:rsidR="00DD281F" w14:paraId="29B27E65" w14:textId="77777777" w:rsidTr="00CF3B33">
        <w:trPr>
          <w:trHeight w:val="262"/>
        </w:trPr>
        <w:tc>
          <w:tcPr>
            <w:tcW w:w="1577" w:type="pct"/>
            <w:shd w:val="clear" w:color="auto" w:fill="DEEBEE"/>
            <w:hideMark/>
          </w:tcPr>
          <w:p w14:paraId="653B8100" w14:textId="4DA7F280" w:rsidR="007C4395" w:rsidRPr="002B5D71" w:rsidRDefault="007C4395" w:rsidP="00490127">
            <w:pPr>
              <w:pStyle w:val="71R"/>
              <w:spacing w:before="60" w:after="60" w:line="240" w:lineRule="auto"/>
              <w:rPr>
                <w:b/>
                <w:bCs/>
                <w:rtl/>
              </w:rPr>
            </w:pPr>
            <w:r w:rsidRPr="002B5D71">
              <w:rPr>
                <w:rFonts w:hint="cs"/>
                <w:b/>
                <w:bCs/>
                <w:rtl/>
              </w:rPr>
              <w:t>סך הכול נכסים</w:t>
            </w:r>
          </w:p>
        </w:tc>
        <w:tc>
          <w:tcPr>
            <w:tcW w:w="684" w:type="pct"/>
            <w:shd w:val="clear" w:color="auto" w:fill="DEEBEE"/>
            <w:hideMark/>
          </w:tcPr>
          <w:p w14:paraId="36D0CA06" w14:textId="77777777" w:rsidR="007C4395" w:rsidRPr="002B5D71" w:rsidRDefault="007C4395" w:rsidP="00490127">
            <w:pPr>
              <w:pStyle w:val="71R"/>
              <w:spacing w:before="60" w:after="60" w:line="240" w:lineRule="auto"/>
              <w:rPr>
                <w:b/>
                <w:bCs/>
                <w:rtl/>
              </w:rPr>
            </w:pPr>
            <w:r w:rsidRPr="002B5D71">
              <w:rPr>
                <w:rFonts w:hint="cs"/>
                <w:b/>
                <w:bCs/>
                <w:rtl/>
              </w:rPr>
              <w:t>16,527</w:t>
            </w:r>
          </w:p>
        </w:tc>
        <w:tc>
          <w:tcPr>
            <w:tcW w:w="684" w:type="pct"/>
            <w:shd w:val="clear" w:color="auto" w:fill="DEEBEE"/>
            <w:hideMark/>
          </w:tcPr>
          <w:p w14:paraId="02E306AD" w14:textId="77777777" w:rsidR="007C4395" w:rsidRPr="002B5D71" w:rsidRDefault="007C4395" w:rsidP="00490127">
            <w:pPr>
              <w:pStyle w:val="71R"/>
              <w:spacing w:before="60" w:after="60" w:line="240" w:lineRule="auto"/>
              <w:rPr>
                <w:b/>
                <w:bCs/>
                <w:rtl/>
              </w:rPr>
            </w:pPr>
            <w:r w:rsidRPr="002B5D71">
              <w:rPr>
                <w:rFonts w:hint="cs"/>
                <w:b/>
                <w:bCs/>
                <w:rtl/>
              </w:rPr>
              <w:t>11,011</w:t>
            </w:r>
          </w:p>
        </w:tc>
        <w:tc>
          <w:tcPr>
            <w:tcW w:w="685" w:type="pct"/>
            <w:shd w:val="clear" w:color="auto" w:fill="DEEBEE"/>
            <w:hideMark/>
          </w:tcPr>
          <w:p w14:paraId="5A83BAB1" w14:textId="77777777" w:rsidR="007C4395" w:rsidRPr="002B5D71" w:rsidRDefault="007C4395" w:rsidP="00490127">
            <w:pPr>
              <w:pStyle w:val="71R"/>
              <w:spacing w:before="60" w:after="60" w:line="240" w:lineRule="auto"/>
              <w:rPr>
                <w:b/>
                <w:bCs/>
                <w:rtl/>
              </w:rPr>
            </w:pPr>
            <w:r w:rsidRPr="002B5D71">
              <w:rPr>
                <w:rFonts w:hint="cs"/>
                <w:b/>
                <w:bCs/>
                <w:rtl/>
              </w:rPr>
              <w:t>483</w:t>
            </w:r>
          </w:p>
        </w:tc>
        <w:tc>
          <w:tcPr>
            <w:tcW w:w="684" w:type="pct"/>
            <w:shd w:val="clear" w:color="auto" w:fill="DEEBEE"/>
            <w:hideMark/>
          </w:tcPr>
          <w:p w14:paraId="0A9DF9B7" w14:textId="77777777" w:rsidR="007C4395" w:rsidRPr="002B5D71" w:rsidRDefault="007C4395" w:rsidP="00490127">
            <w:pPr>
              <w:pStyle w:val="71R"/>
              <w:spacing w:before="60" w:after="60" w:line="240" w:lineRule="auto"/>
              <w:rPr>
                <w:b/>
                <w:bCs/>
                <w:rtl/>
              </w:rPr>
            </w:pPr>
            <w:r w:rsidRPr="002B5D71">
              <w:rPr>
                <w:rFonts w:hint="cs"/>
                <w:b/>
                <w:bCs/>
                <w:rtl/>
              </w:rPr>
              <w:t>521</w:t>
            </w:r>
          </w:p>
        </w:tc>
        <w:tc>
          <w:tcPr>
            <w:tcW w:w="686" w:type="pct"/>
            <w:shd w:val="clear" w:color="auto" w:fill="DEEBEE"/>
            <w:hideMark/>
          </w:tcPr>
          <w:p w14:paraId="69818AB0" w14:textId="77777777" w:rsidR="007C4395" w:rsidRPr="002B5D71" w:rsidRDefault="007C4395" w:rsidP="00490127">
            <w:pPr>
              <w:pStyle w:val="71R"/>
              <w:spacing w:before="60" w:after="60" w:line="240" w:lineRule="auto"/>
              <w:rPr>
                <w:b/>
                <w:bCs/>
                <w:rtl/>
              </w:rPr>
            </w:pPr>
            <w:r w:rsidRPr="002B5D71">
              <w:rPr>
                <w:rFonts w:hint="cs"/>
                <w:b/>
                <w:bCs/>
                <w:rtl/>
              </w:rPr>
              <w:t>189</w:t>
            </w:r>
          </w:p>
        </w:tc>
      </w:tr>
      <w:tr w:rsidR="00CF3B33" w14:paraId="72214AE1" w14:textId="77777777" w:rsidTr="00CF3B33">
        <w:trPr>
          <w:trHeight w:val="454"/>
        </w:trPr>
        <w:tc>
          <w:tcPr>
            <w:tcW w:w="5000" w:type="pct"/>
            <w:gridSpan w:val="6"/>
            <w:shd w:val="clear" w:color="auto" w:fill="C8DCE4"/>
            <w:vAlign w:val="center"/>
          </w:tcPr>
          <w:p w14:paraId="3A9E9E07" w14:textId="165CF391" w:rsidR="00CF3B33" w:rsidRPr="002B5D71" w:rsidRDefault="00CF3B33" w:rsidP="00CF3B33">
            <w:pPr>
              <w:pStyle w:val="71R"/>
              <w:spacing w:before="60" w:after="60" w:line="240" w:lineRule="auto"/>
              <w:rPr>
                <w:b/>
                <w:bCs/>
                <w:rtl/>
              </w:rPr>
            </w:pPr>
            <w:r w:rsidRPr="002B5D71">
              <w:rPr>
                <w:rFonts w:hint="cs"/>
                <w:b/>
                <w:bCs/>
                <w:rtl/>
              </w:rPr>
              <w:t>התחייבויות שוטפות</w:t>
            </w:r>
          </w:p>
        </w:tc>
      </w:tr>
      <w:tr w:rsidR="00DD281F" w14:paraId="3490DE14" w14:textId="77777777" w:rsidTr="00CF3B33">
        <w:trPr>
          <w:trHeight w:val="262"/>
        </w:trPr>
        <w:tc>
          <w:tcPr>
            <w:tcW w:w="1577" w:type="pct"/>
            <w:shd w:val="clear" w:color="auto" w:fill="EFF7F8"/>
            <w:hideMark/>
          </w:tcPr>
          <w:p w14:paraId="20C86B61" w14:textId="77777777" w:rsidR="007C4395" w:rsidRPr="00490127" w:rsidRDefault="007C4395" w:rsidP="00490127">
            <w:pPr>
              <w:pStyle w:val="71R"/>
              <w:spacing w:before="60" w:after="60" w:line="240" w:lineRule="auto"/>
              <w:rPr>
                <w:rtl/>
              </w:rPr>
            </w:pPr>
            <w:r w:rsidRPr="00490127">
              <w:rPr>
                <w:rFonts w:hint="cs"/>
                <w:rtl/>
              </w:rPr>
              <w:t>ספקים ונותני שירותים</w:t>
            </w:r>
          </w:p>
        </w:tc>
        <w:tc>
          <w:tcPr>
            <w:tcW w:w="684" w:type="pct"/>
            <w:shd w:val="clear" w:color="auto" w:fill="EFF7F8"/>
            <w:hideMark/>
          </w:tcPr>
          <w:p w14:paraId="43CC2801" w14:textId="77777777" w:rsidR="007C4395" w:rsidRPr="00490127" w:rsidRDefault="007C4395" w:rsidP="00490127">
            <w:pPr>
              <w:pStyle w:val="71R"/>
              <w:spacing w:before="60" w:after="60" w:line="240" w:lineRule="auto"/>
              <w:rPr>
                <w:rtl/>
              </w:rPr>
            </w:pPr>
            <w:r w:rsidRPr="00490127">
              <w:rPr>
                <w:rFonts w:hint="cs"/>
                <w:rtl/>
              </w:rPr>
              <w:t>127</w:t>
            </w:r>
          </w:p>
        </w:tc>
        <w:tc>
          <w:tcPr>
            <w:tcW w:w="684" w:type="pct"/>
            <w:shd w:val="clear" w:color="auto" w:fill="EFF7F8"/>
            <w:hideMark/>
          </w:tcPr>
          <w:p w14:paraId="0A2777F2" w14:textId="77777777" w:rsidR="007C4395" w:rsidRPr="00490127" w:rsidRDefault="007C4395" w:rsidP="00490127">
            <w:pPr>
              <w:pStyle w:val="71R"/>
              <w:spacing w:before="60" w:after="60" w:line="240" w:lineRule="auto"/>
              <w:rPr>
                <w:rtl/>
              </w:rPr>
            </w:pPr>
            <w:r w:rsidRPr="00490127">
              <w:rPr>
                <w:rFonts w:hint="cs"/>
                <w:rtl/>
              </w:rPr>
              <w:t>14</w:t>
            </w:r>
          </w:p>
        </w:tc>
        <w:tc>
          <w:tcPr>
            <w:tcW w:w="685" w:type="pct"/>
            <w:shd w:val="clear" w:color="auto" w:fill="EFF7F8"/>
            <w:hideMark/>
          </w:tcPr>
          <w:p w14:paraId="273140A1" w14:textId="77777777" w:rsidR="007C4395" w:rsidRPr="00490127" w:rsidRDefault="007C4395" w:rsidP="00490127">
            <w:pPr>
              <w:pStyle w:val="71R"/>
              <w:spacing w:before="60" w:after="60" w:line="240" w:lineRule="auto"/>
              <w:rPr>
                <w:rtl/>
              </w:rPr>
            </w:pPr>
            <w:r w:rsidRPr="00490127">
              <w:rPr>
                <w:rFonts w:hint="cs"/>
                <w:rtl/>
              </w:rPr>
              <w:t>0</w:t>
            </w:r>
          </w:p>
        </w:tc>
        <w:tc>
          <w:tcPr>
            <w:tcW w:w="684" w:type="pct"/>
            <w:shd w:val="clear" w:color="auto" w:fill="EFF7F8"/>
            <w:hideMark/>
          </w:tcPr>
          <w:p w14:paraId="27891F6E" w14:textId="77777777" w:rsidR="007C4395" w:rsidRPr="00490127" w:rsidRDefault="007C4395" w:rsidP="00490127">
            <w:pPr>
              <w:pStyle w:val="71R"/>
              <w:spacing w:before="60" w:after="60" w:line="240" w:lineRule="auto"/>
              <w:rPr>
                <w:rtl/>
              </w:rPr>
            </w:pPr>
            <w:r w:rsidRPr="00490127">
              <w:rPr>
                <w:rFonts w:hint="cs"/>
                <w:rtl/>
              </w:rPr>
              <w:t>0</w:t>
            </w:r>
          </w:p>
        </w:tc>
        <w:tc>
          <w:tcPr>
            <w:tcW w:w="686" w:type="pct"/>
            <w:shd w:val="clear" w:color="auto" w:fill="EFF7F8"/>
            <w:hideMark/>
          </w:tcPr>
          <w:p w14:paraId="5287889D" w14:textId="77777777" w:rsidR="007C4395" w:rsidRPr="00490127" w:rsidRDefault="007C4395" w:rsidP="00490127">
            <w:pPr>
              <w:pStyle w:val="71R"/>
              <w:spacing w:before="60" w:after="60" w:line="240" w:lineRule="auto"/>
              <w:rPr>
                <w:rtl/>
              </w:rPr>
            </w:pPr>
            <w:r w:rsidRPr="00490127">
              <w:rPr>
                <w:rFonts w:hint="cs"/>
                <w:rtl/>
              </w:rPr>
              <w:t>0</w:t>
            </w:r>
          </w:p>
        </w:tc>
      </w:tr>
      <w:tr w:rsidR="00DD281F" w14:paraId="2221F105" w14:textId="77777777" w:rsidTr="00CF3B33">
        <w:trPr>
          <w:trHeight w:val="262"/>
        </w:trPr>
        <w:tc>
          <w:tcPr>
            <w:tcW w:w="1577" w:type="pct"/>
            <w:shd w:val="clear" w:color="auto" w:fill="DDEAEE"/>
            <w:hideMark/>
          </w:tcPr>
          <w:p w14:paraId="34A48673" w14:textId="77777777" w:rsidR="007C4395" w:rsidRPr="00490127" w:rsidRDefault="007C4395" w:rsidP="00490127">
            <w:pPr>
              <w:pStyle w:val="71R"/>
              <w:spacing w:before="60" w:after="60" w:line="240" w:lineRule="auto"/>
              <w:rPr>
                <w:rtl/>
              </w:rPr>
            </w:pPr>
            <w:r w:rsidRPr="00490127">
              <w:rPr>
                <w:rFonts w:hint="cs"/>
                <w:rtl/>
              </w:rPr>
              <w:t>זכאים ויתרות זכות</w:t>
            </w:r>
          </w:p>
        </w:tc>
        <w:tc>
          <w:tcPr>
            <w:tcW w:w="684" w:type="pct"/>
            <w:shd w:val="clear" w:color="auto" w:fill="DDEAEE"/>
            <w:hideMark/>
          </w:tcPr>
          <w:p w14:paraId="26C6B3CF" w14:textId="77777777" w:rsidR="007C4395" w:rsidRPr="00490127" w:rsidRDefault="007C4395" w:rsidP="00490127">
            <w:pPr>
              <w:pStyle w:val="71R"/>
              <w:spacing w:before="60" w:after="60" w:line="240" w:lineRule="auto"/>
              <w:rPr>
                <w:rtl/>
              </w:rPr>
            </w:pPr>
            <w:r w:rsidRPr="00490127">
              <w:rPr>
                <w:rFonts w:hint="cs"/>
                <w:rtl/>
              </w:rPr>
              <w:t>280</w:t>
            </w:r>
          </w:p>
        </w:tc>
        <w:tc>
          <w:tcPr>
            <w:tcW w:w="684" w:type="pct"/>
            <w:shd w:val="clear" w:color="auto" w:fill="DDEAEE"/>
            <w:hideMark/>
          </w:tcPr>
          <w:p w14:paraId="2FECD15C" w14:textId="77777777" w:rsidR="007C4395" w:rsidRPr="00490127" w:rsidRDefault="007C4395" w:rsidP="00490127">
            <w:pPr>
              <w:pStyle w:val="71R"/>
              <w:spacing w:before="60" w:after="60" w:line="240" w:lineRule="auto"/>
              <w:rPr>
                <w:rtl/>
              </w:rPr>
            </w:pPr>
            <w:r w:rsidRPr="00490127">
              <w:rPr>
                <w:rFonts w:hint="cs"/>
                <w:rtl/>
              </w:rPr>
              <w:t>802</w:t>
            </w:r>
          </w:p>
        </w:tc>
        <w:tc>
          <w:tcPr>
            <w:tcW w:w="685" w:type="pct"/>
            <w:shd w:val="clear" w:color="auto" w:fill="DDEAEE"/>
            <w:hideMark/>
          </w:tcPr>
          <w:p w14:paraId="2B288300" w14:textId="77777777" w:rsidR="007C4395" w:rsidRPr="00490127" w:rsidRDefault="007C4395" w:rsidP="00490127">
            <w:pPr>
              <w:pStyle w:val="71R"/>
              <w:spacing w:before="60" w:after="60" w:line="240" w:lineRule="auto"/>
              <w:rPr>
                <w:rtl/>
              </w:rPr>
            </w:pPr>
            <w:r w:rsidRPr="00490127">
              <w:rPr>
                <w:rFonts w:hint="cs"/>
                <w:rtl/>
              </w:rPr>
              <w:t>11</w:t>
            </w:r>
          </w:p>
        </w:tc>
        <w:tc>
          <w:tcPr>
            <w:tcW w:w="684" w:type="pct"/>
            <w:shd w:val="clear" w:color="auto" w:fill="DDEAEE"/>
            <w:hideMark/>
          </w:tcPr>
          <w:p w14:paraId="4C3662E7" w14:textId="77777777" w:rsidR="007C4395" w:rsidRPr="00490127" w:rsidRDefault="007C4395" w:rsidP="00490127">
            <w:pPr>
              <w:pStyle w:val="71R"/>
              <w:spacing w:before="60" w:after="60" w:line="240" w:lineRule="auto"/>
              <w:rPr>
                <w:rtl/>
              </w:rPr>
            </w:pPr>
            <w:r w:rsidRPr="00490127">
              <w:rPr>
                <w:rFonts w:hint="cs"/>
                <w:rtl/>
              </w:rPr>
              <w:t>144</w:t>
            </w:r>
          </w:p>
        </w:tc>
        <w:tc>
          <w:tcPr>
            <w:tcW w:w="686" w:type="pct"/>
            <w:shd w:val="clear" w:color="auto" w:fill="DDEAEE"/>
            <w:hideMark/>
          </w:tcPr>
          <w:p w14:paraId="5D7D11D5" w14:textId="77777777" w:rsidR="007C4395" w:rsidRPr="00490127" w:rsidRDefault="007C4395" w:rsidP="00490127">
            <w:pPr>
              <w:pStyle w:val="71R"/>
              <w:spacing w:before="60" w:after="60" w:line="240" w:lineRule="auto"/>
              <w:rPr>
                <w:rtl/>
              </w:rPr>
            </w:pPr>
            <w:r w:rsidRPr="00490127">
              <w:rPr>
                <w:rFonts w:hint="cs"/>
                <w:rtl/>
              </w:rPr>
              <w:t>78</w:t>
            </w:r>
          </w:p>
        </w:tc>
      </w:tr>
      <w:tr w:rsidR="00DD281F" w14:paraId="037D853C" w14:textId="77777777" w:rsidTr="00CF3B33">
        <w:trPr>
          <w:trHeight w:val="262"/>
        </w:trPr>
        <w:tc>
          <w:tcPr>
            <w:tcW w:w="1577" w:type="pct"/>
            <w:shd w:val="clear" w:color="auto" w:fill="EFF7F8"/>
            <w:hideMark/>
          </w:tcPr>
          <w:p w14:paraId="0B282217" w14:textId="77777777" w:rsidR="007C4395" w:rsidRPr="00490127" w:rsidRDefault="007C4395" w:rsidP="00490127">
            <w:pPr>
              <w:pStyle w:val="71R"/>
              <w:spacing w:before="60" w:after="60" w:line="240" w:lineRule="auto"/>
              <w:rPr>
                <w:rtl/>
              </w:rPr>
            </w:pPr>
            <w:r w:rsidRPr="00490127">
              <w:rPr>
                <w:rFonts w:hint="cs"/>
                <w:rtl/>
              </w:rPr>
              <w:t>התחייבויות שוטפות אחרות</w:t>
            </w:r>
          </w:p>
        </w:tc>
        <w:tc>
          <w:tcPr>
            <w:tcW w:w="684" w:type="pct"/>
            <w:shd w:val="clear" w:color="auto" w:fill="EFF7F8"/>
            <w:hideMark/>
          </w:tcPr>
          <w:p w14:paraId="1DB07498" w14:textId="77777777" w:rsidR="007C4395" w:rsidRPr="00490127" w:rsidRDefault="007C4395" w:rsidP="00490127">
            <w:pPr>
              <w:pStyle w:val="71R"/>
              <w:spacing w:before="60" w:after="60" w:line="240" w:lineRule="auto"/>
              <w:rPr>
                <w:rtl/>
              </w:rPr>
            </w:pPr>
            <w:r w:rsidRPr="00490127">
              <w:rPr>
                <w:rFonts w:hint="cs"/>
                <w:rtl/>
              </w:rPr>
              <w:t>3,526</w:t>
            </w:r>
          </w:p>
        </w:tc>
        <w:tc>
          <w:tcPr>
            <w:tcW w:w="684" w:type="pct"/>
            <w:shd w:val="clear" w:color="auto" w:fill="EFF7F8"/>
            <w:hideMark/>
          </w:tcPr>
          <w:p w14:paraId="1575B374" w14:textId="77777777" w:rsidR="007C4395" w:rsidRPr="00490127" w:rsidRDefault="007C4395" w:rsidP="00490127">
            <w:pPr>
              <w:pStyle w:val="71R"/>
              <w:spacing w:before="60" w:after="60" w:line="240" w:lineRule="auto"/>
              <w:rPr>
                <w:rtl/>
              </w:rPr>
            </w:pPr>
            <w:r w:rsidRPr="00490127">
              <w:rPr>
                <w:rFonts w:hint="cs"/>
                <w:rtl/>
              </w:rPr>
              <w:t>810</w:t>
            </w:r>
          </w:p>
        </w:tc>
        <w:tc>
          <w:tcPr>
            <w:tcW w:w="685" w:type="pct"/>
            <w:shd w:val="clear" w:color="auto" w:fill="EFF7F8"/>
            <w:hideMark/>
          </w:tcPr>
          <w:p w14:paraId="5F722083" w14:textId="77777777" w:rsidR="007C4395" w:rsidRPr="00490127" w:rsidRDefault="007C4395" w:rsidP="00490127">
            <w:pPr>
              <w:pStyle w:val="71R"/>
              <w:spacing w:before="60" w:after="60" w:line="240" w:lineRule="auto"/>
              <w:rPr>
                <w:rtl/>
              </w:rPr>
            </w:pPr>
            <w:r w:rsidRPr="00490127">
              <w:rPr>
                <w:rFonts w:hint="cs"/>
                <w:rtl/>
              </w:rPr>
              <w:t>20</w:t>
            </w:r>
          </w:p>
        </w:tc>
        <w:tc>
          <w:tcPr>
            <w:tcW w:w="684" w:type="pct"/>
            <w:shd w:val="clear" w:color="auto" w:fill="EFF7F8"/>
            <w:hideMark/>
          </w:tcPr>
          <w:p w14:paraId="38562459" w14:textId="77777777" w:rsidR="007C4395" w:rsidRPr="00490127" w:rsidRDefault="007C4395" w:rsidP="00490127">
            <w:pPr>
              <w:pStyle w:val="71R"/>
              <w:spacing w:before="60" w:after="60" w:line="240" w:lineRule="auto"/>
              <w:rPr>
                <w:rtl/>
              </w:rPr>
            </w:pPr>
            <w:r w:rsidRPr="00490127">
              <w:rPr>
                <w:rFonts w:hint="cs"/>
                <w:rtl/>
              </w:rPr>
              <w:t>190</w:t>
            </w:r>
          </w:p>
        </w:tc>
        <w:tc>
          <w:tcPr>
            <w:tcW w:w="686" w:type="pct"/>
            <w:shd w:val="clear" w:color="auto" w:fill="EFF7F8"/>
            <w:hideMark/>
          </w:tcPr>
          <w:p w14:paraId="5BBD2D3E" w14:textId="77777777" w:rsidR="007C4395" w:rsidRPr="00490127" w:rsidRDefault="007C4395" w:rsidP="00490127">
            <w:pPr>
              <w:pStyle w:val="71R"/>
              <w:spacing w:before="60" w:after="60" w:line="240" w:lineRule="auto"/>
              <w:rPr>
                <w:rtl/>
              </w:rPr>
            </w:pPr>
            <w:r w:rsidRPr="00490127">
              <w:rPr>
                <w:rFonts w:hint="cs"/>
                <w:rtl/>
              </w:rPr>
              <w:t>0</w:t>
            </w:r>
          </w:p>
        </w:tc>
      </w:tr>
      <w:tr w:rsidR="00DD281F" w14:paraId="20BB6EE0" w14:textId="77777777" w:rsidTr="00CF3B33">
        <w:trPr>
          <w:trHeight w:val="262"/>
        </w:trPr>
        <w:tc>
          <w:tcPr>
            <w:tcW w:w="1577" w:type="pct"/>
            <w:shd w:val="clear" w:color="auto" w:fill="DDEAEE"/>
            <w:hideMark/>
          </w:tcPr>
          <w:p w14:paraId="016CFCE2" w14:textId="77777777" w:rsidR="007C4395" w:rsidRPr="002B5D71" w:rsidRDefault="007C4395" w:rsidP="00490127">
            <w:pPr>
              <w:pStyle w:val="71R"/>
              <w:spacing w:before="60" w:after="60" w:line="240" w:lineRule="auto"/>
              <w:rPr>
                <w:b/>
                <w:bCs/>
                <w:rtl/>
              </w:rPr>
            </w:pPr>
            <w:r w:rsidRPr="002B5D71">
              <w:rPr>
                <w:rFonts w:hint="cs"/>
                <w:b/>
                <w:bCs/>
                <w:rtl/>
              </w:rPr>
              <w:t>סך הכול התחייבויות שוטפות</w:t>
            </w:r>
          </w:p>
        </w:tc>
        <w:tc>
          <w:tcPr>
            <w:tcW w:w="684" w:type="pct"/>
            <w:shd w:val="clear" w:color="auto" w:fill="DDEAEE"/>
            <w:hideMark/>
          </w:tcPr>
          <w:p w14:paraId="4D2E126A" w14:textId="77777777" w:rsidR="007C4395" w:rsidRPr="002B5D71" w:rsidRDefault="007C4395" w:rsidP="00490127">
            <w:pPr>
              <w:pStyle w:val="71R"/>
              <w:spacing w:before="60" w:after="60" w:line="240" w:lineRule="auto"/>
              <w:rPr>
                <w:b/>
                <w:bCs/>
                <w:rtl/>
              </w:rPr>
            </w:pPr>
            <w:r w:rsidRPr="002B5D71">
              <w:rPr>
                <w:rFonts w:hint="cs"/>
                <w:b/>
                <w:bCs/>
                <w:rtl/>
              </w:rPr>
              <w:t>3,933</w:t>
            </w:r>
          </w:p>
        </w:tc>
        <w:tc>
          <w:tcPr>
            <w:tcW w:w="684" w:type="pct"/>
            <w:shd w:val="clear" w:color="auto" w:fill="DDEAEE"/>
            <w:hideMark/>
          </w:tcPr>
          <w:p w14:paraId="7B853BB4" w14:textId="77777777" w:rsidR="007C4395" w:rsidRPr="002B5D71" w:rsidRDefault="007C4395" w:rsidP="00490127">
            <w:pPr>
              <w:pStyle w:val="71R"/>
              <w:spacing w:before="60" w:after="60" w:line="240" w:lineRule="auto"/>
              <w:rPr>
                <w:b/>
                <w:bCs/>
                <w:rtl/>
              </w:rPr>
            </w:pPr>
            <w:r w:rsidRPr="002B5D71">
              <w:rPr>
                <w:rFonts w:hint="cs"/>
                <w:b/>
                <w:bCs/>
                <w:rtl/>
              </w:rPr>
              <w:t>1,626</w:t>
            </w:r>
          </w:p>
        </w:tc>
        <w:tc>
          <w:tcPr>
            <w:tcW w:w="685" w:type="pct"/>
            <w:shd w:val="clear" w:color="auto" w:fill="DDEAEE"/>
            <w:hideMark/>
          </w:tcPr>
          <w:p w14:paraId="415073D5" w14:textId="77777777" w:rsidR="007C4395" w:rsidRPr="002B5D71" w:rsidRDefault="007C4395" w:rsidP="00490127">
            <w:pPr>
              <w:pStyle w:val="71R"/>
              <w:spacing w:before="60" w:after="60" w:line="240" w:lineRule="auto"/>
              <w:rPr>
                <w:b/>
                <w:bCs/>
                <w:rtl/>
              </w:rPr>
            </w:pPr>
            <w:r w:rsidRPr="002B5D71">
              <w:rPr>
                <w:rFonts w:hint="cs"/>
                <w:b/>
                <w:bCs/>
                <w:rtl/>
              </w:rPr>
              <w:t>31</w:t>
            </w:r>
          </w:p>
        </w:tc>
        <w:tc>
          <w:tcPr>
            <w:tcW w:w="684" w:type="pct"/>
            <w:shd w:val="clear" w:color="auto" w:fill="DDEAEE"/>
            <w:hideMark/>
          </w:tcPr>
          <w:p w14:paraId="46788D91" w14:textId="77777777" w:rsidR="007C4395" w:rsidRPr="002B5D71" w:rsidRDefault="007C4395" w:rsidP="00490127">
            <w:pPr>
              <w:pStyle w:val="71R"/>
              <w:spacing w:before="60" w:after="60" w:line="240" w:lineRule="auto"/>
              <w:rPr>
                <w:b/>
                <w:bCs/>
                <w:rtl/>
              </w:rPr>
            </w:pPr>
            <w:r w:rsidRPr="002B5D71">
              <w:rPr>
                <w:rFonts w:hint="cs"/>
                <w:b/>
                <w:bCs/>
                <w:rtl/>
              </w:rPr>
              <w:t>334</w:t>
            </w:r>
          </w:p>
        </w:tc>
        <w:tc>
          <w:tcPr>
            <w:tcW w:w="686" w:type="pct"/>
            <w:shd w:val="clear" w:color="auto" w:fill="DDEAEE"/>
            <w:hideMark/>
          </w:tcPr>
          <w:p w14:paraId="19DBCFB1" w14:textId="77777777" w:rsidR="007C4395" w:rsidRPr="002B5D71" w:rsidRDefault="007C4395" w:rsidP="00490127">
            <w:pPr>
              <w:pStyle w:val="71R"/>
              <w:spacing w:before="60" w:after="60" w:line="240" w:lineRule="auto"/>
              <w:rPr>
                <w:b/>
                <w:bCs/>
                <w:rtl/>
              </w:rPr>
            </w:pPr>
            <w:r w:rsidRPr="002B5D71">
              <w:rPr>
                <w:rFonts w:hint="cs"/>
                <w:b/>
                <w:bCs/>
                <w:rtl/>
              </w:rPr>
              <w:t>78</w:t>
            </w:r>
          </w:p>
        </w:tc>
      </w:tr>
      <w:tr w:rsidR="00CF3B33" w14:paraId="58186C93" w14:textId="77777777" w:rsidTr="00CF3B33">
        <w:trPr>
          <w:trHeight w:val="454"/>
        </w:trPr>
        <w:tc>
          <w:tcPr>
            <w:tcW w:w="5000" w:type="pct"/>
            <w:gridSpan w:val="6"/>
            <w:shd w:val="clear" w:color="auto" w:fill="C8DCE4"/>
            <w:vAlign w:val="center"/>
            <w:hideMark/>
          </w:tcPr>
          <w:p w14:paraId="342A5C01" w14:textId="1CB7D1D8" w:rsidR="00CF3B33" w:rsidRPr="002B5D71" w:rsidRDefault="00CF3B33" w:rsidP="00CF3B33">
            <w:pPr>
              <w:pStyle w:val="71R"/>
              <w:spacing w:before="60" w:after="60" w:line="240" w:lineRule="auto"/>
              <w:rPr>
                <w:b/>
                <w:bCs/>
                <w:rtl/>
              </w:rPr>
            </w:pPr>
            <w:r w:rsidRPr="002B5D71">
              <w:rPr>
                <w:rFonts w:hint="cs"/>
                <w:b/>
                <w:bCs/>
                <w:rtl/>
              </w:rPr>
              <w:t>התחייבויות לא שוטפות</w:t>
            </w:r>
          </w:p>
        </w:tc>
      </w:tr>
      <w:tr w:rsidR="00DD281F" w14:paraId="05EFD5FE" w14:textId="77777777" w:rsidTr="00CF3B33">
        <w:trPr>
          <w:trHeight w:val="262"/>
        </w:trPr>
        <w:tc>
          <w:tcPr>
            <w:tcW w:w="1577" w:type="pct"/>
            <w:shd w:val="clear" w:color="auto" w:fill="EFF7F8"/>
            <w:hideMark/>
          </w:tcPr>
          <w:p w14:paraId="3C0A37EB" w14:textId="77777777" w:rsidR="007C4395" w:rsidRPr="00490127" w:rsidRDefault="007C4395" w:rsidP="00490127">
            <w:pPr>
              <w:pStyle w:val="71R"/>
              <w:spacing w:before="60" w:after="60" w:line="240" w:lineRule="auto"/>
              <w:rPr>
                <w:rtl/>
              </w:rPr>
            </w:pPr>
            <w:r w:rsidRPr="00490127">
              <w:rPr>
                <w:rFonts w:hint="cs"/>
                <w:rtl/>
              </w:rPr>
              <w:t>התחייבויות בשל סיום יחסי עובד מעביד, נטו</w:t>
            </w:r>
          </w:p>
        </w:tc>
        <w:tc>
          <w:tcPr>
            <w:tcW w:w="684" w:type="pct"/>
            <w:shd w:val="clear" w:color="auto" w:fill="EFF7F8"/>
            <w:hideMark/>
          </w:tcPr>
          <w:p w14:paraId="6F0FF727" w14:textId="77777777" w:rsidR="007C4395" w:rsidRPr="00490127" w:rsidRDefault="007C4395" w:rsidP="00490127">
            <w:pPr>
              <w:pStyle w:val="71R"/>
              <w:spacing w:before="60" w:after="60" w:line="240" w:lineRule="auto"/>
              <w:rPr>
                <w:rtl/>
              </w:rPr>
            </w:pPr>
            <w:r w:rsidRPr="00490127">
              <w:rPr>
                <w:rFonts w:hint="cs"/>
                <w:rtl/>
              </w:rPr>
              <w:t>27</w:t>
            </w:r>
          </w:p>
        </w:tc>
        <w:tc>
          <w:tcPr>
            <w:tcW w:w="684" w:type="pct"/>
            <w:shd w:val="clear" w:color="auto" w:fill="EFF7F8"/>
            <w:hideMark/>
          </w:tcPr>
          <w:p w14:paraId="528989A1" w14:textId="77777777" w:rsidR="007C4395" w:rsidRPr="00490127" w:rsidRDefault="007C4395" w:rsidP="00490127">
            <w:pPr>
              <w:pStyle w:val="71R"/>
              <w:spacing w:before="60" w:after="60" w:line="240" w:lineRule="auto"/>
              <w:rPr>
                <w:rtl/>
              </w:rPr>
            </w:pPr>
            <w:r w:rsidRPr="00490127">
              <w:rPr>
                <w:rFonts w:hint="cs"/>
                <w:rtl/>
              </w:rPr>
              <w:t>168</w:t>
            </w:r>
          </w:p>
        </w:tc>
        <w:tc>
          <w:tcPr>
            <w:tcW w:w="685" w:type="pct"/>
            <w:shd w:val="clear" w:color="auto" w:fill="EFF7F8"/>
            <w:hideMark/>
          </w:tcPr>
          <w:p w14:paraId="0171C613" w14:textId="77777777" w:rsidR="007C4395" w:rsidRPr="00490127" w:rsidRDefault="007C4395" w:rsidP="00490127">
            <w:pPr>
              <w:pStyle w:val="71R"/>
              <w:spacing w:before="60" w:after="60" w:line="240" w:lineRule="auto"/>
              <w:rPr>
                <w:rtl/>
              </w:rPr>
            </w:pPr>
            <w:r w:rsidRPr="00490127">
              <w:rPr>
                <w:rFonts w:hint="cs"/>
                <w:rtl/>
              </w:rPr>
              <w:t>25</w:t>
            </w:r>
          </w:p>
        </w:tc>
        <w:tc>
          <w:tcPr>
            <w:tcW w:w="684" w:type="pct"/>
            <w:shd w:val="clear" w:color="auto" w:fill="EFF7F8"/>
            <w:hideMark/>
          </w:tcPr>
          <w:p w14:paraId="04C87F8D" w14:textId="77777777" w:rsidR="007C4395" w:rsidRPr="00490127" w:rsidRDefault="007C4395" w:rsidP="00490127">
            <w:pPr>
              <w:pStyle w:val="71R"/>
              <w:spacing w:before="60" w:after="60" w:line="240" w:lineRule="auto"/>
              <w:rPr>
                <w:rtl/>
              </w:rPr>
            </w:pPr>
            <w:r w:rsidRPr="00490127">
              <w:rPr>
                <w:rFonts w:hint="cs"/>
                <w:rtl/>
              </w:rPr>
              <w:t>199</w:t>
            </w:r>
          </w:p>
        </w:tc>
        <w:tc>
          <w:tcPr>
            <w:tcW w:w="686" w:type="pct"/>
            <w:shd w:val="clear" w:color="auto" w:fill="EFF7F8"/>
            <w:hideMark/>
          </w:tcPr>
          <w:p w14:paraId="1AD203FE" w14:textId="77777777" w:rsidR="007C4395" w:rsidRPr="00490127" w:rsidRDefault="007C4395" w:rsidP="00490127">
            <w:pPr>
              <w:pStyle w:val="71R"/>
              <w:spacing w:before="60" w:after="60" w:line="240" w:lineRule="auto"/>
              <w:rPr>
                <w:rtl/>
              </w:rPr>
            </w:pPr>
            <w:r w:rsidRPr="00490127">
              <w:rPr>
                <w:rFonts w:hint="cs"/>
                <w:rtl/>
              </w:rPr>
              <w:t>36</w:t>
            </w:r>
          </w:p>
        </w:tc>
      </w:tr>
      <w:tr w:rsidR="00DD281F" w14:paraId="65A5B004" w14:textId="77777777" w:rsidTr="00CF3B33">
        <w:trPr>
          <w:trHeight w:val="262"/>
        </w:trPr>
        <w:tc>
          <w:tcPr>
            <w:tcW w:w="1577" w:type="pct"/>
            <w:shd w:val="clear" w:color="auto" w:fill="DDEAEE"/>
            <w:hideMark/>
          </w:tcPr>
          <w:p w14:paraId="5CF113A0" w14:textId="77777777" w:rsidR="007C4395" w:rsidRPr="00490127" w:rsidRDefault="007C4395" w:rsidP="00490127">
            <w:pPr>
              <w:pStyle w:val="71R"/>
              <w:spacing w:before="60" w:after="60" w:line="240" w:lineRule="auto"/>
              <w:rPr>
                <w:rtl/>
              </w:rPr>
            </w:pPr>
            <w:r w:rsidRPr="00490127">
              <w:rPr>
                <w:rFonts w:hint="cs"/>
                <w:rtl/>
              </w:rPr>
              <w:t>הפרשה לתביעות משפטיות</w:t>
            </w:r>
          </w:p>
        </w:tc>
        <w:tc>
          <w:tcPr>
            <w:tcW w:w="684" w:type="pct"/>
            <w:shd w:val="clear" w:color="auto" w:fill="DDEAEE"/>
            <w:hideMark/>
          </w:tcPr>
          <w:p w14:paraId="278AD8FA" w14:textId="77777777" w:rsidR="007C4395" w:rsidRPr="00490127" w:rsidRDefault="007C4395" w:rsidP="00490127">
            <w:pPr>
              <w:pStyle w:val="71R"/>
              <w:spacing w:before="60" w:after="60" w:line="240" w:lineRule="auto"/>
              <w:rPr>
                <w:rtl/>
              </w:rPr>
            </w:pPr>
            <w:r w:rsidRPr="00490127">
              <w:rPr>
                <w:rFonts w:hint="cs"/>
                <w:rtl/>
              </w:rPr>
              <w:t>243</w:t>
            </w:r>
          </w:p>
        </w:tc>
        <w:tc>
          <w:tcPr>
            <w:tcW w:w="684" w:type="pct"/>
            <w:shd w:val="clear" w:color="auto" w:fill="DDEAEE"/>
            <w:hideMark/>
          </w:tcPr>
          <w:p w14:paraId="14B2A393" w14:textId="77777777" w:rsidR="007C4395" w:rsidRPr="00490127" w:rsidRDefault="007C4395" w:rsidP="00490127">
            <w:pPr>
              <w:pStyle w:val="71R"/>
              <w:spacing w:before="60" w:after="60" w:line="240" w:lineRule="auto"/>
              <w:rPr>
                <w:rtl/>
              </w:rPr>
            </w:pPr>
            <w:r w:rsidRPr="00490127">
              <w:rPr>
                <w:rFonts w:hint="cs"/>
                <w:rtl/>
              </w:rPr>
              <w:t>690</w:t>
            </w:r>
          </w:p>
        </w:tc>
        <w:tc>
          <w:tcPr>
            <w:tcW w:w="685" w:type="pct"/>
            <w:shd w:val="clear" w:color="auto" w:fill="DDEAEE"/>
            <w:hideMark/>
          </w:tcPr>
          <w:p w14:paraId="2439ED16" w14:textId="77777777" w:rsidR="007C4395" w:rsidRPr="00490127" w:rsidRDefault="007C4395" w:rsidP="00490127">
            <w:pPr>
              <w:pStyle w:val="71R"/>
              <w:spacing w:before="60" w:after="60" w:line="240" w:lineRule="auto"/>
              <w:rPr>
                <w:rtl/>
              </w:rPr>
            </w:pPr>
            <w:r w:rsidRPr="00490127">
              <w:rPr>
                <w:rFonts w:hint="cs"/>
                <w:rtl/>
              </w:rPr>
              <w:t>12</w:t>
            </w:r>
          </w:p>
        </w:tc>
        <w:tc>
          <w:tcPr>
            <w:tcW w:w="684" w:type="pct"/>
            <w:shd w:val="clear" w:color="auto" w:fill="DDEAEE"/>
            <w:hideMark/>
          </w:tcPr>
          <w:p w14:paraId="5D491EAF" w14:textId="77777777" w:rsidR="007C4395" w:rsidRPr="00490127" w:rsidRDefault="007C4395" w:rsidP="00490127">
            <w:pPr>
              <w:pStyle w:val="71R"/>
              <w:spacing w:before="60" w:after="60" w:line="240" w:lineRule="auto"/>
              <w:rPr>
                <w:rtl/>
              </w:rPr>
            </w:pPr>
            <w:r w:rsidRPr="00490127">
              <w:rPr>
                <w:rFonts w:hint="cs"/>
                <w:rtl/>
              </w:rPr>
              <w:t>13</w:t>
            </w:r>
          </w:p>
        </w:tc>
        <w:tc>
          <w:tcPr>
            <w:tcW w:w="686" w:type="pct"/>
            <w:shd w:val="clear" w:color="auto" w:fill="DDEAEE"/>
            <w:hideMark/>
          </w:tcPr>
          <w:p w14:paraId="592B1A88" w14:textId="77777777" w:rsidR="007C4395" w:rsidRPr="00490127" w:rsidRDefault="007C4395" w:rsidP="00490127">
            <w:pPr>
              <w:pStyle w:val="71R"/>
              <w:spacing w:before="60" w:after="60" w:line="240" w:lineRule="auto"/>
              <w:rPr>
                <w:rtl/>
              </w:rPr>
            </w:pPr>
            <w:r w:rsidRPr="00490127">
              <w:rPr>
                <w:rFonts w:hint="cs"/>
                <w:rtl/>
              </w:rPr>
              <w:t>0</w:t>
            </w:r>
          </w:p>
        </w:tc>
      </w:tr>
      <w:tr w:rsidR="00DD281F" w14:paraId="60C1D2BA" w14:textId="77777777" w:rsidTr="00CF3B33">
        <w:trPr>
          <w:trHeight w:val="262"/>
        </w:trPr>
        <w:tc>
          <w:tcPr>
            <w:tcW w:w="1577" w:type="pct"/>
            <w:shd w:val="clear" w:color="auto" w:fill="EFF7F8"/>
            <w:hideMark/>
          </w:tcPr>
          <w:p w14:paraId="205E76C7" w14:textId="77777777" w:rsidR="007C4395" w:rsidRPr="00490127" w:rsidRDefault="007C4395" w:rsidP="00490127">
            <w:pPr>
              <w:pStyle w:val="71R"/>
              <w:spacing w:before="60" w:after="60" w:line="240" w:lineRule="auto"/>
              <w:rPr>
                <w:rtl/>
              </w:rPr>
            </w:pPr>
            <w:r w:rsidRPr="00490127">
              <w:rPr>
                <w:rFonts w:hint="cs"/>
                <w:rtl/>
              </w:rPr>
              <w:t>התחייבויות לא שוטפות אחרות</w:t>
            </w:r>
          </w:p>
        </w:tc>
        <w:tc>
          <w:tcPr>
            <w:tcW w:w="684" w:type="pct"/>
            <w:shd w:val="clear" w:color="auto" w:fill="EFF7F8"/>
            <w:hideMark/>
          </w:tcPr>
          <w:p w14:paraId="62FF644B" w14:textId="77777777" w:rsidR="007C4395" w:rsidRPr="00490127" w:rsidRDefault="007C4395" w:rsidP="00490127">
            <w:pPr>
              <w:pStyle w:val="71R"/>
              <w:spacing w:before="60" w:after="60" w:line="240" w:lineRule="auto"/>
              <w:rPr>
                <w:rtl/>
              </w:rPr>
            </w:pPr>
            <w:r w:rsidRPr="00490127">
              <w:rPr>
                <w:rFonts w:hint="cs"/>
                <w:rtl/>
              </w:rPr>
              <w:t>0</w:t>
            </w:r>
          </w:p>
        </w:tc>
        <w:tc>
          <w:tcPr>
            <w:tcW w:w="684" w:type="pct"/>
            <w:shd w:val="clear" w:color="auto" w:fill="EFF7F8"/>
            <w:hideMark/>
          </w:tcPr>
          <w:p w14:paraId="7AB76D54" w14:textId="77777777" w:rsidR="007C4395" w:rsidRPr="00490127" w:rsidRDefault="007C4395" w:rsidP="00490127">
            <w:pPr>
              <w:pStyle w:val="71R"/>
              <w:spacing w:before="60" w:after="60" w:line="240" w:lineRule="auto"/>
              <w:rPr>
                <w:rtl/>
              </w:rPr>
            </w:pPr>
            <w:r w:rsidRPr="00490127">
              <w:rPr>
                <w:rFonts w:hint="cs"/>
                <w:rtl/>
              </w:rPr>
              <w:t>3</w:t>
            </w:r>
          </w:p>
        </w:tc>
        <w:tc>
          <w:tcPr>
            <w:tcW w:w="685" w:type="pct"/>
            <w:shd w:val="clear" w:color="auto" w:fill="EFF7F8"/>
            <w:hideMark/>
          </w:tcPr>
          <w:p w14:paraId="69EA38C8" w14:textId="77777777" w:rsidR="007C4395" w:rsidRPr="00490127" w:rsidRDefault="007C4395" w:rsidP="00490127">
            <w:pPr>
              <w:pStyle w:val="71R"/>
              <w:spacing w:before="60" w:after="60" w:line="240" w:lineRule="auto"/>
              <w:rPr>
                <w:rtl/>
              </w:rPr>
            </w:pPr>
            <w:r w:rsidRPr="00490127">
              <w:rPr>
                <w:rFonts w:hint="cs"/>
                <w:rtl/>
              </w:rPr>
              <w:t>847</w:t>
            </w:r>
          </w:p>
        </w:tc>
        <w:tc>
          <w:tcPr>
            <w:tcW w:w="684" w:type="pct"/>
            <w:shd w:val="clear" w:color="auto" w:fill="EFF7F8"/>
            <w:hideMark/>
          </w:tcPr>
          <w:p w14:paraId="599147DE" w14:textId="77777777" w:rsidR="007C4395" w:rsidRPr="00490127" w:rsidRDefault="007C4395" w:rsidP="00490127">
            <w:pPr>
              <w:pStyle w:val="71R"/>
              <w:spacing w:before="60" w:after="60" w:line="240" w:lineRule="auto"/>
              <w:rPr>
                <w:rtl/>
              </w:rPr>
            </w:pPr>
            <w:r w:rsidRPr="00490127">
              <w:rPr>
                <w:rFonts w:hint="cs"/>
                <w:rtl/>
              </w:rPr>
              <w:t>0</w:t>
            </w:r>
          </w:p>
        </w:tc>
        <w:tc>
          <w:tcPr>
            <w:tcW w:w="686" w:type="pct"/>
            <w:shd w:val="clear" w:color="auto" w:fill="EFF7F8"/>
            <w:hideMark/>
          </w:tcPr>
          <w:p w14:paraId="357EE91D" w14:textId="77777777" w:rsidR="007C4395" w:rsidRPr="00490127" w:rsidRDefault="007C4395" w:rsidP="00490127">
            <w:pPr>
              <w:pStyle w:val="71R"/>
              <w:spacing w:before="60" w:after="60" w:line="240" w:lineRule="auto"/>
              <w:rPr>
                <w:rtl/>
              </w:rPr>
            </w:pPr>
            <w:r w:rsidRPr="00490127">
              <w:rPr>
                <w:rFonts w:hint="cs"/>
                <w:rtl/>
              </w:rPr>
              <w:t>0</w:t>
            </w:r>
          </w:p>
        </w:tc>
      </w:tr>
      <w:tr w:rsidR="00DD281F" w14:paraId="7D81970C" w14:textId="77777777" w:rsidTr="00CF3B33">
        <w:trPr>
          <w:trHeight w:val="262"/>
        </w:trPr>
        <w:tc>
          <w:tcPr>
            <w:tcW w:w="1577" w:type="pct"/>
            <w:shd w:val="clear" w:color="auto" w:fill="DDEAEE"/>
            <w:hideMark/>
          </w:tcPr>
          <w:p w14:paraId="06BE1792" w14:textId="77777777" w:rsidR="007C4395" w:rsidRPr="002B5D71" w:rsidRDefault="007C4395" w:rsidP="00490127">
            <w:pPr>
              <w:pStyle w:val="71R"/>
              <w:spacing w:before="60" w:after="60" w:line="240" w:lineRule="auto"/>
              <w:rPr>
                <w:b/>
                <w:bCs/>
                <w:rtl/>
              </w:rPr>
            </w:pPr>
            <w:r w:rsidRPr="002B5D71">
              <w:rPr>
                <w:rFonts w:hint="cs"/>
                <w:b/>
                <w:bCs/>
                <w:rtl/>
              </w:rPr>
              <w:t>סך הכול התחייבויות לא שוטפות</w:t>
            </w:r>
          </w:p>
        </w:tc>
        <w:tc>
          <w:tcPr>
            <w:tcW w:w="684" w:type="pct"/>
            <w:shd w:val="clear" w:color="auto" w:fill="DDEAEE"/>
            <w:hideMark/>
          </w:tcPr>
          <w:p w14:paraId="459AE207" w14:textId="77777777" w:rsidR="007C4395" w:rsidRPr="002B5D71" w:rsidRDefault="007C4395" w:rsidP="00490127">
            <w:pPr>
              <w:pStyle w:val="71R"/>
              <w:spacing w:before="60" w:after="60" w:line="240" w:lineRule="auto"/>
              <w:rPr>
                <w:b/>
                <w:bCs/>
                <w:rtl/>
              </w:rPr>
            </w:pPr>
            <w:r w:rsidRPr="002B5D71">
              <w:rPr>
                <w:rFonts w:hint="cs"/>
                <w:b/>
                <w:bCs/>
                <w:rtl/>
              </w:rPr>
              <w:t>270</w:t>
            </w:r>
          </w:p>
        </w:tc>
        <w:tc>
          <w:tcPr>
            <w:tcW w:w="684" w:type="pct"/>
            <w:shd w:val="clear" w:color="auto" w:fill="DDEAEE"/>
            <w:hideMark/>
          </w:tcPr>
          <w:p w14:paraId="61DE03E7" w14:textId="77777777" w:rsidR="007C4395" w:rsidRPr="002B5D71" w:rsidRDefault="007C4395" w:rsidP="00490127">
            <w:pPr>
              <w:pStyle w:val="71R"/>
              <w:spacing w:before="60" w:after="60" w:line="240" w:lineRule="auto"/>
              <w:rPr>
                <w:b/>
                <w:bCs/>
                <w:rtl/>
              </w:rPr>
            </w:pPr>
            <w:r w:rsidRPr="002B5D71">
              <w:rPr>
                <w:rFonts w:hint="cs"/>
                <w:b/>
                <w:bCs/>
                <w:rtl/>
              </w:rPr>
              <w:t>861</w:t>
            </w:r>
          </w:p>
        </w:tc>
        <w:tc>
          <w:tcPr>
            <w:tcW w:w="685" w:type="pct"/>
            <w:shd w:val="clear" w:color="auto" w:fill="DDEAEE"/>
            <w:hideMark/>
          </w:tcPr>
          <w:p w14:paraId="1D489B33" w14:textId="77777777" w:rsidR="007C4395" w:rsidRPr="002B5D71" w:rsidRDefault="007C4395" w:rsidP="00490127">
            <w:pPr>
              <w:pStyle w:val="71R"/>
              <w:spacing w:before="60" w:after="60" w:line="240" w:lineRule="auto"/>
              <w:rPr>
                <w:b/>
                <w:bCs/>
                <w:rtl/>
              </w:rPr>
            </w:pPr>
            <w:r w:rsidRPr="002B5D71">
              <w:rPr>
                <w:rFonts w:hint="cs"/>
                <w:b/>
                <w:bCs/>
                <w:rtl/>
              </w:rPr>
              <w:t>884</w:t>
            </w:r>
          </w:p>
        </w:tc>
        <w:tc>
          <w:tcPr>
            <w:tcW w:w="684" w:type="pct"/>
            <w:shd w:val="clear" w:color="auto" w:fill="DDEAEE"/>
            <w:hideMark/>
          </w:tcPr>
          <w:p w14:paraId="0576A4AF" w14:textId="77777777" w:rsidR="007C4395" w:rsidRPr="002B5D71" w:rsidRDefault="007C4395" w:rsidP="00490127">
            <w:pPr>
              <w:pStyle w:val="71R"/>
              <w:spacing w:before="60" w:after="60" w:line="240" w:lineRule="auto"/>
              <w:rPr>
                <w:b/>
                <w:bCs/>
                <w:rtl/>
              </w:rPr>
            </w:pPr>
            <w:r w:rsidRPr="002B5D71">
              <w:rPr>
                <w:rFonts w:hint="cs"/>
                <w:b/>
                <w:bCs/>
                <w:rtl/>
              </w:rPr>
              <w:t>212</w:t>
            </w:r>
          </w:p>
        </w:tc>
        <w:tc>
          <w:tcPr>
            <w:tcW w:w="686" w:type="pct"/>
            <w:shd w:val="clear" w:color="auto" w:fill="DDEAEE"/>
            <w:hideMark/>
          </w:tcPr>
          <w:p w14:paraId="3398870C" w14:textId="77777777" w:rsidR="007C4395" w:rsidRPr="002B5D71" w:rsidRDefault="007C4395" w:rsidP="00490127">
            <w:pPr>
              <w:pStyle w:val="71R"/>
              <w:spacing w:before="60" w:after="60" w:line="240" w:lineRule="auto"/>
              <w:rPr>
                <w:b/>
                <w:bCs/>
                <w:rtl/>
              </w:rPr>
            </w:pPr>
            <w:r w:rsidRPr="002B5D71">
              <w:rPr>
                <w:rFonts w:hint="cs"/>
                <w:b/>
                <w:bCs/>
                <w:rtl/>
              </w:rPr>
              <w:t>36</w:t>
            </w:r>
          </w:p>
        </w:tc>
      </w:tr>
      <w:tr w:rsidR="00DD281F" w14:paraId="6DB71FFA" w14:textId="77777777" w:rsidTr="00CF3B33">
        <w:trPr>
          <w:trHeight w:val="262"/>
        </w:trPr>
        <w:tc>
          <w:tcPr>
            <w:tcW w:w="1577" w:type="pct"/>
            <w:shd w:val="clear" w:color="auto" w:fill="EFF7F8"/>
            <w:hideMark/>
          </w:tcPr>
          <w:p w14:paraId="6F8C9055" w14:textId="77777777" w:rsidR="007C4395" w:rsidRPr="002B5D71" w:rsidRDefault="007C4395" w:rsidP="00490127">
            <w:pPr>
              <w:pStyle w:val="71R"/>
              <w:spacing w:before="60" w:after="60" w:line="240" w:lineRule="auto"/>
              <w:rPr>
                <w:b/>
                <w:bCs/>
                <w:rtl/>
              </w:rPr>
            </w:pPr>
            <w:r w:rsidRPr="002B5D71">
              <w:rPr>
                <w:rFonts w:hint="cs"/>
                <w:b/>
                <w:bCs/>
                <w:rtl/>
              </w:rPr>
              <w:t>סך הכול התחייבויות</w:t>
            </w:r>
          </w:p>
        </w:tc>
        <w:tc>
          <w:tcPr>
            <w:tcW w:w="684" w:type="pct"/>
            <w:shd w:val="clear" w:color="auto" w:fill="EFF7F8"/>
            <w:hideMark/>
          </w:tcPr>
          <w:p w14:paraId="7E89F926" w14:textId="77777777" w:rsidR="007C4395" w:rsidRPr="002B5D71" w:rsidRDefault="007C4395" w:rsidP="00490127">
            <w:pPr>
              <w:pStyle w:val="71R"/>
              <w:spacing w:before="60" w:after="60" w:line="240" w:lineRule="auto"/>
              <w:rPr>
                <w:b/>
                <w:bCs/>
                <w:rtl/>
              </w:rPr>
            </w:pPr>
            <w:r w:rsidRPr="002B5D71">
              <w:rPr>
                <w:rFonts w:hint="cs"/>
                <w:b/>
                <w:bCs/>
                <w:rtl/>
              </w:rPr>
              <w:t>4,203</w:t>
            </w:r>
          </w:p>
        </w:tc>
        <w:tc>
          <w:tcPr>
            <w:tcW w:w="684" w:type="pct"/>
            <w:shd w:val="clear" w:color="auto" w:fill="EFF7F8"/>
            <w:hideMark/>
          </w:tcPr>
          <w:p w14:paraId="0E2812C8" w14:textId="77777777" w:rsidR="007C4395" w:rsidRPr="002B5D71" w:rsidRDefault="007C4395" w:rsidP="00490127">
            <w:pPr>
              <w:pStyle w:val="71R"/>
              <w:spacing w:before="60" w:after="60" w:line="240" w:lineRule="auto"/>
              <w:rPr>
                <w:b/>
                <w:bCs/>
                <w:rtl/>
              </w:rPr>
            </w:pPr>
            <w:r w:rsidRPr="002B5D71">
              <w:rPr>
                <w:rFonts w:hint="cs"/>
                <w:b/>
                <w:bCs/>
                <w:rtl/>
              </w:rPr>
              <w:t>2,487</w:t>
            </w:r>
          </w:p>
        </w:tc>
        <w:tc>
          <w:tcPr>
            <w:tcW w:w="685" w:type="pct"/>
            <w:shd w:val="clear" w:color="auto" w:fill="EFF7F8"/>
            <w:hideMark/>
          </w:tcPr>
          <w:p w14:paraId="32652C64" w14:textId="77777777" w:rsidR="007C4395" w:rsidRPr="002B5D71" w:rsidRDefault="007C4395" w:rsidP="00490127">
            <w:pPr>
              <w:pStyle w:val="71R"/>
              <w:spacing w:before="60" w:after="60" w:line="240" w:lineRule="auto"/>
              <w:rPr>
                <w:b/>
                <w:bCs/>
                <w:rtl/>
              </w:rPr>
            </w:pPr>
            <w:r w:rsidRPr="002B5D71">
              <w:rPr>
                <w:rFonts w:hint="cs"/>
                <w:b/>
                <w:bCs/>
                <w:rtl/>
              </w:rPr>
              <w:t>915</w:t>
            </w:r>
          </w:p>
        </w:tc>
        <w:tc>
          <w:tcPr>
            <w:tcW w:w="684" w:type="pct"/>
            <w:shd w:val="clear" w:color="auto" w:fill="EFF7F8"/>
            <w:hideMark/>
          </w:tcPr>
          <w:p w14:paraId="6E64D8D5" w14:textId="77777777" w:rsidR="007C4395" w:rsidRPr="002B5D71" w:rsidRDefault="007C4395" w:rsidP="00490127">
            <w:pPr>
              <w:pStyle w:val="71R"/>
              <w:spacing w:before="60" w:after="60" w:line="240" w:lineRule="auto"/>
              <w:rPr>
                <w:b/>
                <w:bCs/>
                <w:rtl/>
              </w:rPr>
            </w:pPr>
            <w:r w:rsidRPr="002B5D71">
              <w:rPr>
                <w:rFonts w:hint="cs"/>
                <w:b/>
                <w:bCs/>
                <w:rtl/>
              </w:rPr>
              <w:t>546</w:t>
            </w:r>
          </w:p>
        </w:tc>
        <w:tc>
          <w:tcPr>
            <w:tcW w:w="686" w:type="pct"/>
            <w:shd w:val="clear" w:color="auto" w:fill="EFF7F8"/>
            <w:hideMark/>
          </w:tcPr>
          <w:p w14:paraId="2DDF61C9" w14:textId="77777777" w:rsidR="007C4395" w:rsidRPr="002B5D71" w:rsidRDefault="007C4395" w:rsidP="00490127">
            <w:pPr>
              <w:pStyle w:val="71R"/>
              <w:spacing w:before="60" w:after="60" w:line="240" w:lineRule="auto"/>
              <w:rPr>
                <w:b/>
                <w:bCs/>
                <w:rtl/>
              </w:rPr>
            </w:pPr>
            <w:r w:rsidRPr="002B5D71">
              <w:rPr>
                <w:rFonts w:hint="cs"/>
                <w:b/>
                <w:bCs/>
                <w:rtl/>
              </w:rPr>
              <w:t>114</w:t>
            </w:r>
          </w:p>
        </w:tc>
      </w:tr>
      <w:tr w:rsidR="00DD281F" w14:paraId="071A7384" w14:textId="77777777" w:rsidTr="00CF3B33">
        <w:trPr>
          <w:trHeight w:val="262"/>
        </w:trPr>
        <w:tc>
          <w:tcPr>
            <w:tcW w:w="1577" w:type="pct"/>
            <w:shd w:val="clear" w:color="auto" w:fill="B6CBD4"/>
            <w:hideMark/>
          </w:tcPr>
          <w:p w14:paraId="2552B05C" w14:textId="77777777" w:rsidR="007C4395" w:rsidRPr="002B5D71" w:rsidRDefault="007C4395" w:rsidP="00490127">
            <w:pPr>
              <w:pStyle w:val="71R"/>
              <w:spacing w:before="60" w:after="60" w:line="240" w:lineRule="auto"/>
              <w:rPr>
                <w:b/>
                <w:bCs/>
                <w:rtl/>
              </w:rPr>
            </w:pPr>
            <w:r w:rsidRPr="002B5D71">
              <w:rPr>
                <w:rFonts w:hint="cs"/>
                <w:b/>
                <w:bCs/>
                <w:rtl/>
              </w:rPr>
              <w:t xml:space="preserve">נכסים נטו / גירעון בהון </w:t>
            </w:r>
          </w:p>
        </w:tc>
        <w:tc>
          <w:tcPr>
            <w:tcW w:w="684" w:type="pct"/>
            <w:shd w:val="clear" w:color="auto" w:fill="B6CBD4"/>
            <w:hideMark/>
          </w:tcPr>
          <w:p w14:paraId="70447AAF" w14:textId="77777777" w:rsidR="007C4395" w:rsidRPr="002B5D71" w:rsidRDefault="007C4395" w:rsidP="00490127">
            <w:pPr>
              <w:pStyle w:val="71R"/>
              <w:spacing w:before="60" w:after="60" w:line="240" w:lineRule="auto"/>
              <w:rPr>
                <w:b/>
                <w:bCs/>
                <w:rtl/>
              </w:rPr>
            </w:pPr>
            <w:r w:rsidRPr="002B5D71">
              <w:rPr>
                <w:rFonts w:hint="cs"/>
                <w:b/>
                <w:bCs/>
                <w:rtl/>
              </w:rPr>
              <w:t>12,324</w:t>
            </w:r>
          </w:p>
        </w:tc>
        <w:tc>
          <w:tcPr>
            <w:tcW w:w="684" w:type="pct"/>
            <w:shd w:val="clear" w:color="auto" w:fill="B6CBD4"/>
            <w:hideMark/>
          </w:tcPr>
          <w:p w14:paraId="0E236D6F" w14:textId="77777777" w:rsidR="007C4395" w:rsidRPr="002B5D71" w:rsidRDefault="007C4395" w:rsidP="00490127">
            <w:pPr>
              <w:pStyle w:val="71R"/>
              <w:spacing w:before="60" w:after="60" w:line="240" w:lineRule="auto"/>
              <w:rPr>
                <w:b/>
                <w:bCs/>
                <w:rtl/>
              </w:rPr>
            </w:pPr>
            <w:r w:rsidRPr="002B5D71">
              <w:rPr>
                <w:rFonts w:hint="cs"/>
                <w:b/>
                <w:bCs/>
                <w:rtl/>
              </w:rPr>
              <w:t>8,524</w:t>
            </w:r>
          </w:p>
        </w:tc>
        <w:tc>
          <w:tcPr>
            <w:tcW w:w="685" w:type="pct"/>
            <w:shd w:val="clear" w:color="auto" w:fill="B6CBD4"/>
            <w:hideMark/>
          </w:tcPr>
          <w:p w14:paraId="0029F77F" w14:textId="77777777" w:rsidR="007C4395" w:rsidRPr="002B5D71" w:rsidRDefault="007C4395" w:rsidP="00490127">
            <w:pPr>
              <w:pStyle w:val="71R"/>
              <w:spacing w:before="60" w:after="60" w:line="240" w:lineRule="auto"/>
              <w:rPr>
                <w:b/>
                <w:bCs/>
                <w:rtl/>
              </w:rPr>
            </w:pPr>
            <w:r w:rsidRPr="002B5D71">
              <w:rPr>
                <w:rFonts w:hint="cs"/>
                <w:b/>
                <w:bCs/>
                <w:rtl/>
              </w:rPr>
              <w:t>(432)</w:t>
            </w:r>
          </w:p>
        </w:tc>
        <w:tc>
          <w:tcPr>
            <w:tcW w:w="684" w:type="pct"/>
            <w:shd w:val="clear" w:color="auto" w:fill="B6CBD4"/>
            <w:hideMark/>
          </w:tcPr>
          <w:p w14:paraId="65087124" w14:textId="77777777" w:rsidR="007C4395" w:rsidRPr="002B5D71" w:rsidRDefault="007C4395" w:rsidP="00490127">
            <w:pPr>
              <w:pStyle w:val="71R"/>
              <w:spacing w:before="60" w:after="60" w:line="240" w:lineRule="auto"/>
              <w:rPr>
                <w:b/>
                <w:bCs/>
                <w:rtl/>
              </w:rPr>
            </w:pPr>
            <w:r w:rsidRPr="002B5D71">
              <w:rPr>
                <w:rFonts w:hint="cs"/>
                <w:b/>
                <w:bCs/>
                <w:rtl/>
              </w:rPr>
              <w:t>(25)</w:t>
            </w:r>
          </w:p>
        </w:tc>
        <w:tc>
          <w:tcPr>
            <w:tcW w:w="686" w:type="pct"/>
            <w:shd w:val="clear" w:color="auto" w:fill="B6CBD4"/>
            <w:hideMark/>
          </w:tcPr>
          <w:p w14:paraId="0FE96027" w14:textId="77777777" w:rsidR="007C4395" w:rsidRPr="002B5D71" w:rsidRDefault="007C4395" w:rsidP="00490127">
            <w:pPr>
              <w:pStyle w:val="71R"/>
              <w:spacing w:before="60" w:after="60" w:line="240" w:lineRule="auto"/>
              <w:rPr>
                <w:b/>
                <w:bCs/>
                <w:rtl/>
              </w:rPr>
            </w:pPr>
            <w:r w:rsidRPr="002B5D71">
              <w:rPr>
                <w:rFonts w:hint="cs"/>
                <w:b/>
                <w:bCs/>
                <w:rtl/>
              </w:rPr>
              <w:t>75</w:t>
            </w:r>
          </w:p>
        </w:tc>
      </w:tr>
    </w:tbl>
    <w:p w14:paraId="1CCE3D09" w14:textId="77777777" w:rsidR="007C4395" w:rsidRPr="00010778" w:rsidRDefault="007C4395" w:rsidP="00010778">
      <w:pPr>
        <w:pStyle w:val="71c"/>
        <w:rPr>
          <w:rtl/>
        </w:rPr>
      </w:pPr>
      <w:r w:rsidRPr="00010778">
        <w:rPr>
          <w:rFonts w:hint="cs"/>
          <w:rtl/>
        </w:rPr>
        <w:t>על פי</w:t>
      </w:r>
      <w:r w:rsidRPr="00010778">
        <w:rPr>
          <w:rtl/>
        </w:rPr>
        <w:t xml:space="preserve"> הדוחות </w:t>
      </w:r>
      <w:r w:rsidRPr="00010778">
        <w:rPr>
          <w:rFonts w:hint="eastAsia"/>
          <w:rtl/>
        </w:rPr>
        <w:t>הכספיים</w:t>
      </w:r>
      <w:r w:rsidRPr="00010778">
        <w:rPr>
          <w:rtl/>
        </w:rPr>
        <w:t xml:space="preserve"> </w:t>
      </w:r>
      <w:r w:rsidRPr="00010778">
        <w:rPr>
          <w:rFonts w:hint="eastAsia"/>
          <w:rtl/>
        </w:rPr>
        <w:t>של</w:t>
      </w:r>
      <w:r w:rsidRPr="00010778">
        <w:rPr>
          <w:rtl/>
        </w:rPr>
        <w:t xml:space="preserve"> </w:t>
      </w:r>
      <w:r w:rsidRPr="00010778">
        <w:rPr>
          <w:rFonts w:hint="eastAsia"/>
          <w:rtl/>
        </w:rPr>
        <w:t>המשרדים</w:t>
      </w:r>
      <w:r w:rsidRPr="00010778">
        <w:rPr>
          <w:rtl/>
        </w:rPr>
        <w:t xml:space="preserve"> </w:t>
      </w:r>
      <w:r w:rsidRPr="00010778">
        <w:rPr>
          <w:rFonts w:hint="eastAsia"/>
          <w:rtl/>
        </w:rPr>
        <w:t>לשנת</w:t>
      </w:r>
      <w:r w:rsidRPr="00010778">
        <w:rPr>
          <w:rtl/>
        </w:rPr>
        <w:t xml:space="preserve"> 20</w:t>
      </w:r>
      <w:r w:rsidRPr="00010778">
        <w:rPr>
          <w:rFonts w:hint="cs"/>
          <w:rtl/>
        </w:rPr>
        <w:t>19</w:t>
      </w:r>
      <w:r w:rsidRPr="00010778">
        <w:rPr>
          <w:rtl/>
        </w:rPr>
        <w:t xml:space="preserve">, </w:t>
      </w:r>
      <w:r w:rsidRPr="00010778">
        <w:rPr>
          <w:rFonts w:hint="eastAsia"/>
          <w:rtl/>
        </w:rPr>
        <w:t>בעיבוד</w:t>
      </w:r>
      <w:r w:rsidRPr="00010778">
        <w:rPr>
          <w:rtl/>
        </w:rPr>
        <w:t xml:space="preserve"> </w:t>
      </w:r>
      <w:r w:rsidRPr="00010778">
        <w:rPr>
          <w:rFonts w:hint="eastAsia"/>
          <w:rtl/>
        </w:rPr>
        <w:t>משרד</w:t>
      </w:r>
      <w:r w:rsidRPr="00010778">
        <w:rPr>
          <w:rtl/>
        </w:rPr>
        <w:t xml:space="preserve"> </w:t>
      </w:r>
      <w:r w:rsidRPr="00010778">
        <w:rPr>
          <w:rFonts w:hint="eastAsia"/>
          <w:rtl/>
        </w:rPr>
        <w:t>מבקר</w:t>
      </w:r>
      <w:r w:rsidRPr="00010778">
        <w:rPr>
          <w:rtl/>
        </w:rPr>
        <w:t xml:space="preserve"> </w:t>
      </w:r>
      <w:r w:rsidRPr="00010778">
        <w:rPr>
          <w:rFonts w:hint="eastAsia"/>
          <w:rtl/>
        </w:rPr>
        <w:t>המדינה</w:t>
      </w:r>
      <w:r w:rsidRPr="00010778">
        <w:rPr>
          <w:rtl/>
        </w:rPr>
        <w:t>.</w:t>
      </w:r>
    </w:p>
    <w:p w14:paraId="2F0850F2" w14:textId="77777777" w:rsidR="007C4395" w:rsidRPr="00FE2D43" w:rsidRDefault="007C4395" w:rsidP="002A738D">
      <w:pPr>
        <w:pStyle w:val="7190"/>
        <w:rPr>
          <w:rtl/>
        </w:rPr>
      </w:pPr>
      <w:r w:rsidRPr="00993E9E">
        <w:rPr>
          <w:rFonts w:hint="cs"/>
          <w:rtl/>
        </w:rPr>
        <w:lastRenderedPageBreak/>
        <w:t>מנתוני ה</w:t>
      </w:r>
      <w:r>
        <w:rPr>
          <w:rFonts w:hint="cs"/>
          <w:rtl/>
        </w:rPr>
        <w:t>דוחות</w:t>
      </w:r>
      <w:r w:rsidRPr="00993E9E">
        <w:rPr>
          <w:rFonts w:hint="cs"/>
          <w:rtl/>
        </w:rPr>
        <w:t xml:space="preserve"> הכספיים </w:t>
      </w:r>
      <w:r>
        <w:rPr>
          <w:rFonts w:hint="cs"/>
          <w:rtl/>
        </w:rPr>
        <w:t xml:space="preserve">לשנת 2020 </w:t>
      </w:r>
      <w:r w:rsidRPr="00993E9E">
        <w:rPr>
          <w:rFonts w:hint="cs"/>
          <w:rtl/>
        </w:rPr>
        <w:t>ניתן לראות שי</w:t>
      </w:r>
      <w:r>
        <w:rPr>
          <w:rFonts w:hint="cs"/>
          <w:rtl/>
        </w:rPr>
        <w:t>ש</w:t>
      </w:r>
      <w:r w:rsidRPr="00993E9E">
        <w:rPr>
          <w:rFonts w:hint="cs"/>
          <w:rtl/>
        </w:rPr>
        <w:t xml:space="preserve"> שונות רבה בהיקף החובות למשרדים הנבדקים, </w:t>
      </w:r>
      <w:r w:rsidRPr="00FE2D43">
        <w:rPr>
          <w:rFonts w:hint="cs"/>
          <w:rtl/>
        </w:rPr>
        <w:t xml:space="preserve">החל מ-58 מיליון ש"ח במשרד הפנים וכלה ב-1,525 </w:t>
      </w:r>
      <w:r>
        <w:rPr>
          <w:rFonts w:hint="cs"/>
          <w:rtl/>
        </w:rPr>
        <w:t>מיליון</w:t>
      </w:r>
      <w:r w:rsidRPr="00FE2D43">
        <w:rPr>
          <w:rFonts w:hint="cs"/>
          <w:rtl/>
        </w:rPr>
        <w:t xml:space="preserve"> ש"ח במשרד הבריאות.</w:t>
      </w:r>
    </w:p>
    <w:p w14:paraId="6D16231C" w14:textId="77777777" w:rsidR="007C4395" w:rsidRPr="005A7F85" w:rsidRDefault="007C4395" w:rsidP="002A738D">
      <w:pPr>
        <w:pStyle w:val="7190"/>
        <w:rPr>
          <w:rtl/>
        </w:rPr>
      </w:pPr>
      <w:r w:rsidRPr="00FE2D43">
        <w:rPr>
          <w:rFonts w:hint="cs"/>
          <w:rtl/>
        </w:rPr>
        <w:t>כן ניתן לראות ש</w:t>
      </w:r>
      <w:r>
        <w:rPr>
          <w:rFonts w:hint="cs"/>
          <w:rtl/>
        </w:rPr>
        <w:t>ה</w:t>
      </w:r>
      <w:r w:rsidRPr="00FE2D43">
        <w:rPr>
          <w:rFonts w:hint="cs"/>
          <w:rtl/>
        </w:rPr>
        <w:t xml:space="preserve">סעיף </w:t>
      </w:r>
      <w:r>
        <w:rPr>
          <w:rFonts w:hint="cs"/>
          <w:rtl/>
        </w:rPr>
        <w:t>"</w:t>
      </w:r>
      <w:r w:rsidRPr="00FE2D43">
        <w:rPr>
          <w:rFonts w:hint="cs"/>
          <w:rtl/>
        </w:rPr>
        <w:t>רכוש קבוע</w:t>
      </w:r>
      <w:r>
        <w:rPr>
          <w:rFonts w:hint="cs"/>
          <w:rtl/>
        </w:rPr>
        <w:t>"</w:t>
      </w:r>
      <w:r w:rsidRPr="00FE2D43">
        <w:rPr>
          <w:rFonts w:hint="cs"/>
          <w:rtl/>
        </w:rPr>
        <w:t xml:space="preserve"> במשרד הבינוי והשיכון הו</w:t>
      </w:r>
      <w:r>
        <w:rPr>
          <w:rFonts w:hint="cs"/>
          <w:rtl/>
        </w:rPr>
        <w:t>א</w:t>
      </w:r>
      <w:r w:rsidRPr="00FE2D43">
        <w:rPr>
          <w:rFonts w:hint="cs"/>
          <w:rtl/>
        </w:rPr>
        <w:t xml:space="preserve"> </w:t>
      </w:r>
      <w:r>
        <w:rPr>
          <w:rFonts w:hint="cs"/>
          <w:rtl/>
        </w:rPr>
        <w:t>מהותי</w:t>
      </w:r>
      <w:r w:rsidRPr="00FE2D43">
        <w:rPr>
          <w:rFonts w:hint="cs"/>
          <w:rtl/>
        </w:rPr>
        <w:t xml:space="preserve"> ביותר</w:t>
      </w:r>
      <w:r>
        <w:rPr>
          <w:rFonts w:hint="cs"/>
          <w:rtl/>
        </w:rPr>
        <w:t>,</w:t>
      </w:r>
      <w:r w:rsidRPr="00FE2D43">
        <w:rPr>
          <w:rFonts w:hint="cs"/>
          <w:rtl/>
        </w:rPr>
        <w:t xml:space="preserve"> וזאת בשל הכללת סעיף בשם </w:t>
      </w:r>
      <w:r>
        <w:rPr>
          <w:rFonts w:hint="cs"/>
          <w:rtl/>
        </w:rPr>
        <w:t>"</w:t>
      </w:r>
      <w:r w:rsidRPr="00FE2D43">
        <w:rPr>
          <w:rFonts w:hint="cs"/>
          <w:rtl/>
        </w:rPr>
        <w:t xml:space="preserve">רכוש </w:t>
      </w:r>
      <w:proofErr w:type="spellStart"/>
      <w:r w:rsidRPr="00FE2D43">
        <w:rPr>
          <w:rFonts w:hint="cs"/>
          <w:rtl/>
        </w:rPr>
        <w:t>מ</w:t>
      </w:r>
      <w:r>
        <w:rPr>
          <w:rFonts w:hint="cs"/>
          <w:rtl/>
        </w:rPr>
        <w:t>י</w:t>
      </w:r>
      <w:r w:rsidRPr="00FE2D43">
        <w:rPr>
          <w:rFonts w:hint="cs"/>
          <w:rtl/>
        </w:rPr>
        <w:t>נהלי</w:t>
      </w:r>
      <w:proofErr w:type="spellEnd"/>
      <w:r w:rsidRPr="00FE2D43">
        <w:rPr>
          <w:rFonts w:hint="cs"/>
          <w:rtl/>
        </w:rPr>
        <w:t xml:space="preserve"> ורכוש בהשקעה</w:t>
      </w:r>
      <w:r>
        <w:rPr>
          <w:rFonts w:hint="cs"/>
          <w:rtl/>
        </w:rPr>
        <w:t>"</w:t>
      </w:r>
      <w:r w:rsidRPr="00FE2D43">
        <w:rPr>
          <w:rFonts w:hint="cs"/>
          <w:rtl/>
        </w:rPr>
        <w:t xml:space="preserve"> בסך של כ-14.5 מיליארד ש"ח</w:t>
      </w:r>
      <w:r>
        <w:rPr>
          <w:rFonts w:hint="cs"/>
          <w:rtl/>
        </w:rPr>
        <w:t>,</w:t>
      </w:r>
      <w:r w:rsidRPr="00FE2D43">
        <w:rPr>
          <w:rFonts w:hint="cs"/>
          <w:rtl/>
        </w:rPr>
        <w:t xml:space="preserve"> </w:t>
      </w:r>
      <w:r>
        <w:rPr>
          <w:rFonts w:hint="cs"/>
          <w:rtl/>
        </w:rPr>
        <w:t xml:space="preserve">סעיף </w:t>
      </w:r>
      <w:r w:rsidRPr="00FE2D43">
        <w:rPr>
          <w:rFonts w:hint="cs"/>
          <w:rtl/>
        </w:rPr>
        <w:t xml:space="preserve">שכולל את מצבת הדיור </w:t>
      </w:r>
      <w:r w:rsidRPr="005A7F85">
        <w:rPr>
          <w:rFonts w:hint="cs"/>
          <w:rtl/>
        </w:rPr>
        <w:t>הציבורי.</w:t>
      </w:r>
    </w:p>
    <w:p w14:paraId="054DE927" w14:textId="77777777" w:rsidR="007C4395" w:rsidRPr="005A7F85" w:rsidRDefault="007C4395" w:rsidP="002A738D">
      <w:pPr>
        <w:pStyle w:val="7190"/>
        <w:rPr>
          <w:rtl/>
        </w:rPr>
      </w:pPr>
      <w:r>
        <w:rPr>
          <w:rFonts w:hint="cs"/>
          <w:rtl/>
        </w:rPr>
        <w:t>ה</w:t>
      </w:r>
      <w:r w:rsidRPr="005A7F85">
        <w:rPr>
          <w:rFonts w:hint="cs"/>
          <w:rtl/>
        </w:rPr>
        <w:t xml:space="preserve">סעיף </w:t>
      </w:r>
      <w:r>
        <w:rPr>
          <w:rFonts w:hint="cs"/>
          <w:rtl/>
        </w:rPr>
        <w:t>"</w:t>
      </w:r>
      <w:r w:rsidRPr="005A7F85">
        <w:rPr>
          <w:rFonts w:hint="cs"/>
          <w:rtl/>
        </w:rPr>
        <w:t>יתרות חובה לזמן ארוך</w:t>
      </w:r>
      <w:r>
        <w:rPr>
          <w:rFonts w:hint="cs"/>
          <w:rtl/>
        </w:rPr>
        <w:t>"</w:t>
      </w:r>
      <w:r w:rsidRPr="005A7F85">
        <w:rPr>
          <w:rFonts w:hint="cs"/>
          <w:rtl/>
        </w:rPr>
        <w:t xml:space="preserve"> במשרד הבינוי והשיכון </w:t>
      </w:r>
      <w:r>
        <w:rPr>
          <w:rFonts w:hint="cs"/>
          <w:rtl/>
        </w:rPr>
        <w:t xml:space="preserve">כולל </w:t>
      </w:r>
      <w:r w:rsidRPr="005A7F85">
        <w:rPr>
          <w:rFonts w:hint="cs"/>
          <w:rtl/>
        </w:rPr>
        <w:t xml:space="preserve">תשלום של 187 מיליון ש"ח בגין זכות שימוש עתידית </w:t>
      </w:r>
      <w:r>
        <w:rPr>
          <w:rFonts w:hint="cs"/>
          <w:rtl/>
        </w:rPr>
        <w:t>(מדובר על בניית 2,650 יחידות דיור על בתי גיל זהב, אשר יופחתו במשך 40 שנה מיום האכלוס).</w:t>
      </w:r>
      <w:r w:rsidRPr="005A7F85">
        <w:rPr>
          <w:rFonts w:hint="cs"/>
          <w:rtl/>
        </w:rPr>
        <w:t xml:space="preserve"> </w:t>
      </w:r>
      <w:r>
        <w:rPr>
          <w:rFonts w:hint="cs"/>
          <w:rtl/>
        </w:rPr>
        <w:t>אשר ל</w:t>
      </w:r>
      <w:r w:rsidRPr="005A7F85">
        <w:rPr>
          <w:rFonts w:hint="cs"/>
          <w:rtl/>
        </w:rPr>
        <w:t>משרד הבריאות</w:t>
      </w:r>
      <w:r>
        <w:rPr>
          <w:rFonts w:hint="cs"/>
          <w:rtl/>
        </w:rPr>
        <w:t>,</w:t>
      </w:r>
      <w:r w:rsidRPr="005A7F85">
        <w:rPr>
          <w:rFonts w:hint="cs"/>
          <w:rtl/>
        </w:rPr>
        <w:t xml:space="preserve"> הסעיף </w:t>
      </w:r>
      <w:r>
        <w:rPr>
          <w:rFonts w:hint="cs"/>
          <w:rtl/>
        </w:rPr>
        <w:t>נוגע</w:t>
      </w:r>
      <w:r w:rsidRPr="005A7F85">
        <w:rPr>
          <w:rFonts w:hint="cs"/>
          <w:rtl/>
        </w:rPr>
        <w:t xml:space="preserve"> להשקעה בישויות מוחזקות בסכום של כ-8 מיליארד ש"ח (</w:t>
      </w:r>
      <w:r>
        <w:rPr>
          <w:rFonts w:hint="cs"/>
          <w:rtl/>
        </w:rPr>
        <w:t>בתי חולים ממשלתיים</w:t>
      </w:r>
      <w:r w:rsidRPr="005A7F85">
        <w:rPr>
          <w:rFonts w:hint="cs"/>
          <w:rtl/>
        </w:rPr>
        <w:t>)</w:t>
      </w:r>
      <w:r>
        <w:rPr>
          <w:rFonts w:hint="cs"/>
          <w:rtl/>
        </w:rPr>
        <w:t>.</w:t>
      </w:r>
      <w:r w:rsidRPr="005A7F85">
        <w:rPr>
          <w:rFonts w:hint="cs"/>
          <w:rtl/>
        </w:rPr>
        <w:t xml:space="preserve"> </w:t>
      </w:r>
      <w:r>
        <w:rPr>
          <w:rFonts w:hint="cs"/>
          <w:rtl/>
        </w:rPr>
        <w:t>אשר ל</w:t>
      </w:r>
      <w:r w:rsidRPr="005A7F85">
        <w:rPr>
          <w:rFonts w:hint="cs"/>
          <w:rtl/>
        </w:rPr>
        <w:t>משרד הכלכלה והתעשייה</w:t>
      </w:r>
      <w:r>
        <w:rPr>
          <w:rFonts w:hint="cs"/>
          <w:rtl/>
        </w:rPr>
        <w:t>,</w:t>
      </w:r>
      <w:r w:rsidRPr="005A7F85">
        <w:rPr>
          <w:rFonts w:hint="cs"/>
          <w:rtl/>
        </w:rPr>
        <w:t xml:space="preserve"> </w:t>
      </w:r>
      <w:r>
        <w:rPr>
          <w:rFonts w:hint="cs"/>
          <w:rtl/>
        </w:rPr>
        <w:t>ה</w:t>
      </w:r>
      <w:r w:rsidRPr="005A7F85">
        <w:rPr>
          <w:rFonts w:hint="cs"/>
          <w:rtl/>
        </w:rPr>
        <w:t xml:space="preserve">סעיף </w:t>
      </w:r>
      <w:r>
        <w:rPr>
          <w:rFonts w:hint="cs"/>
          <w:rtl/>
        </w:rPr>
        <w:t>כולל</w:t>
      </w:r>
      <w:r w:rsidRPr="005A7F85">
        <w:rPr>
          <w:rFonts w:hint="cs"/>
          <w:rtl/>
        </w:rPr>
        <w:t xml:space="preserve"> בעיקר השקעות בקרנות הון בצמיחה בסכום של כ-112 מיליון ש"ח.</w:t>
      </w:r>
    </w:p>
    <w:p w14:paraId="18F639F0" w14:textId="77777777" w:rsidR="007C4395" w:rsidRPr="005A7F85" w:rsidRDefault="007C4395" w:rsidP="002A738D">
      <w:pPr>
        <w:pStyle w:val="7190"/>
        <w:rPr>
          <w:rtl/>
        </w:rPr>
      </w:pPr>
      <w:r w:rsidRPr="005A7F85">
        <w:rPr>
          <w:rFonts w:hint="cs"/>
          <w:rtl/>
        </w:rPr>
        <w:t>נוסף</w:t>
      </w:r>
      <w:r>
        <w:rPr>
          <w:rFonts w:hint="cs"/>
          <w:rtl/>
        </w:rPr>
        <w:t xml:space="preserve"> על כך</w:t>
      </w:r>
      <w:r w:rsidRPr="005A7F85">
        <w:rPr>
          <w:rFonts w:hint="cs"/>
          <w:rtl/>
        </w:rPr>
        <w:t xml:space="preserve">, מההשוואה ניתן ללמוד שסעיף </w:t>
      </w:r>
      <w:r>
        <w:rPr>
          <w:rFonts w:hint="cs"/>
          <w:rtl/>
        </w:rPr>
        <w:t>"</w:t>
      </w:r>
      <w:r w:rsidRPr="005A7F85">
        <w:rPr>
          <w:rFonts w:hint="cs"/>
          <w:rtl/>
        </w:rPr>
        <w:t>זכאים ויתרות זכות</w:t>
      </w:r>
      <w:r>
        <w:rPr>
          <w:rFonts w:hint="cs"/>
          <w:rtl/>
        </w:rPr>
        <w:t>"</w:t>
      </w:r>
      <w:r w:rsidRPr="005A7F85">
        <w:rPr>
          <w:rFonts w:hint="cs"/>
          <w:rtl/>
        </w:rPr>
        <w:t xml:space="preserve"> הו</w:t>
      </w:r>
      <w:r>
        <w:rPr>
          <w:rFonts w:hint="cs"/>
          <w:rtl/>
        </w:rPr>
        <w:t>א</w:t>
      </w:r>
      <w:r w:rsidRPr="005A7F85">
        <w:rPr>
          <w:rFonts w:hint="cs"/>
          <w:rtl/>
        </w:rPr>
        <w:t xml:space="preserve"> מהותי במשרד הבריאות</w:t>
      </w:r>
      <w:r>
        <w:rPr>
          <w:rFonts w:hint="cs"/>
          <w:rtl/>
        </w:rPr>
        <w:t>,</w:t>
      </w:r>
      <w:r w:rsidRPr="005A7F85">
        <w:rPr>
          <w:rFonts w:hint="cs"/>
          <w:rtl/>
        </w:rPr>
        <w:t xml:space="preserve"> והוא כולל בעיקר הוצאות לשלם בסך של 976 מיליון ש"ח.</w:t>
      </w:r>
    </w:p>
    <w:p w14:paraId="39196B94" w14:textId="77777777" w:rsidR="007C4395" w:rsidRPr="005A7F85" w:rsidRDefault="007C4395" w:rsidP="002A738D">
      <w:pPr>
        <w:pStyle w:val="7190"/>
        <w:rPr>
          <w:rtl/>
        </w:rPr>
      </w:pPr>
      <w:r w:rsidRPr="005A7F85">
        <w:rPr>
          <w:rFonts w:hint="cs"/>
          <w:rtl/>
        </w:rPr>
        <w:t xml:space="preserve">סעיף </w:t>
      </w:r>
      <w:r>
        <w:rPr>
          <w:rFonts w:hint="cs"/>
          <w:rtl/>
        </w:rPr>
        <w:t>"</w:t>
      </w:r>
      <w:r w:rsidRPr="005A7F85">
        <w:rPr>
          <w:rFonts w:hint="cs"/>
          <w:rtl/>
        </w:rPr>
        <w:t>התחייבויו</w:t>
      </w:r>
      <w:r w:rsidRPr="005A7F85">
        <w:rPr>
          <w:rFonts w:hint="eastAsia"/>
          <w:rtl/>
        </w:rPr>
        <w:t>ת</w:t>
      </w:r>
      <w:r w:rsidRPr="005A7F85">
        <w:rPr>
          <w:rFonts w:hint="cs"/>
          <w:rtl/>
        </w:rPr>
        <w:t xml:space="preserve"> שוטפות אחרות</w:t>
      </w:r>
      <w:r>
        <w:rPr>
          <w:rFonts w:hint="cs"/>
          <w:rtl/>
        </w:rPr>
        <w:t>"</w:t>
      </w:r>
      <w:r w:rsidRPr="005A7F85">
        <w:rPr>
          <w:rFonts w:hint="cs"/>
          <w:rtl/>
        </w:rPr>
        <w:t xml:space="preserve"> הו</w:t>
      </w:r>
      <w:r>
        <w:rPr>
          <w:rFonts w:hint="cs"/>
          <w:rtl/>
        </w:rPr>
        <w:t>א</w:t>
      </w:r>
      <w:r w:rsidRPr="005A7F85">
        <w:rPr>
          <w:rFonts w:hint="cs"/>
          <w:rtl/>
        </w:rPr>
        <w:t xml:space="preserve"> מהותי למשרד הבינוי והשיכון, וכולל סעיף בשם "הכנסה נדחית בגין חוזי הקמה" בסך של כ-3.6 מיליארד ש"ח</w:t>
      </w:r>
      <w:r>
        <w:rPr>
          <w:rFonts w:hint="cs"/>
          <w:rtl/>
        </w:rPr>
        <w:t>.</w:t>
      </w:r>
      <w:r w:rsidRPr="005A7F85">
        <w:rPr>
          <w:rFonts w:hint="cs"/>
          <w:rtl/>
        </w:rPr>
        <w:t xml:space="preserve"> </w:t>
      </w:r>
      <w:r>
        <w:rPr>
          <w:rFonts w:hint="cs"/>
          <w:rtl/>
        </w:rPr>
        <w:t xml:space="preserve">סעיף זה </w:t>
      </w:r>
      <w:r w:rsidRPr="005A7F85">
        <w:rPr>
          <w:rFonts w:hint="cs"/>
          <w:rtl/>
        </w:rPr>
        <w:t>מייצג סכומים של מקדמות שהתקבלו עבור פרויקטי</w:t>
      </w:r>
      <w:r>
        <w:rPr>
          <w:rFonts w:hint="cs"/>
          <w:rtl/>
        </w:rPr>
        <w:t>ם</w:t>
      </w:r>
      <w:r w:rsidRPr="005A7F85">
        <w:rPr>
          <w:rFonts w:hint="cs"/>
          <w:rtl/>
        </w:rPr>
        <w:t xml:space="preserve"> </w:t>
      </w:r>
      <w:r>
        <w:rPr>
          <w:rFonts w:hint="cs"/>
          <w:rtl/>
        </w:rPr>
        <w:t>ל</w:t>
      </w:r>
      <w:r w:rsidRPr="005A7F85">
        <w:rPr>
          <w:rFonts w:hint="cs"/>
          <w:rtl/>
        </w:rPr>
        <w:t xml:space="preserve">פיתוח מעבר לעלויות שהתהוו בפועל. במשרד הבריאות הסעיף בסך של כ-1.4 מיליארד ש"ח </w:t>
      </w:r>
      <w:r>
        <w:rPr>
          <w:rFonts w:hint="cs"/>
          <w:rtl/>
        </w:rPr>
        <w:t>נוגע</w:t>
      </w:r>
      <w:r w:rsidRPr="005A7F85">
        <w:rPr>
          <w:rFonts w:hint="cs"/>
          <w:rtl/>
        </w:rPr>
        <w:t xml:space="preserve"> להתחייבויות בגין תמיכות.</w:t>
      </w:r>
    </w:p>
    <w:p w14:paraId="15F2EFF8" w14:textId="75E6D637" w:rsidR="007C4395" w:rsidRDefault="007C4395" w:rsidP="002A738D">
      <w:pPr>
        <w:pStyle w:val="7190"/>
        <w:rPr>
          <w:rtl/>
        </w:rPr>
      </w:pPr>
      <w:r w:rsidRPr="005A7F85">
        <w:rPr>
          <w:rFonts w:hint="cs"/>
          <w:rtl/>
        </w:rPr>
        <w:t xml:space="preserve">סעיף </w:t>
      </w:r>
      <w:r>
        <w:rPr>
          <w:rFonts w:hint="cs"/>
          <w:rtl/>
        </w:rPr>
        <w:t>"</w:t>
      </w:r>
      <w:r w:rsidRPr="005A7F85">
        <w:rPr>
          <w:rFonts w:hint="cs"/>
          <w:rtl/>
        </w:rPr>
        <w:t>התחייבויות לא שוטפות אחרות</w:t>
      </w:r>
      <w:r>
        <w:rPr>
          <w:rFonts w:hint="cs"/>
          <w:rtl/>
        </w:rPr>
        <w:t>"</w:t>
      </w:r>
      <w:r w:rsidRPr="005A7F85">
        <w:rPr>
          <w:rFonts w:hint="cs"/>
          <w:rtl/>
        </w:rPr>
        <w:t xml:space="preserve"> במשרד הכלכלה והתעשייה כולל בעיקר התחייבות בגין השלמת פיתוח באזורי תעשייה בפריפריה בסך של כ-750 מיליון ש"ח.</w:t>
      </w:r>
      <w:r>
        <w:rPr>
          <w:rFonts w:hint="cs"/>
          <w:rtl/>
        </w:rPr>
        <w:t xml:space="preserve"> </w:t>
      </w:r>
    </w:p>
    <w:p w14:paraId="23ECBA2A" w14:textId="77777777" w:rsidR="007C4395" w:rsidRDefault="007C4395" w:rsidP="006F4D0D">
      <w:pPr>
        <w:pStyle w:val="71512"/>
        <w:rPr>
          <w:rtl/>
        </w:rPr>
      </w:pPr>
      <w:r>
        <w:rPr>
          <w:rFonts w:hint="cs"/>
          <w:rtl/>
        </w:rPr>
        <w:t>סעיף חייבים ויתרות חובה - השוואה בין דוחות המשרדים הנבדקים</w:t>
      </w:r>
    </w:p>
    <w:p w14:paraId="4BAE9228" w14:textId="77777777" w:rsidR="007C4395" w:rsidRDefault="007C4395" w:rsidP="002A738D">
      <w:pPr>
        <w:pStyle w:val="7190"/>
        <w:rPr>
          <w:rtl/>
        </w:rPr>
      </w:pPr>
      <w:r>
        <w:rPr>
          <w:rFonts w:hint="cs"/>
          <w:rtl/>
        </w:rPr>
        <w:t>ל</w:t>
      </w:r>
      <w:r w:rsidRPr="00143CC2">
        <w:rPr>
          <w:rFonts w:hint="cs"/>
          <w:rtl/>
        </w:rPr>
        <w:t xml:space="preserve">סעיף </w:t>
      </w:r>
      <w:r>
        <w:rPr>
          <w:rFonts w:hint="cs"/>
          <w:rtl/>
        </w:rPr>
        <w:t>"</w:t>
      </w:r>
      <w:r w:rsidRPr="00143CC2">
        <w:rPr>
          <w:rFonts w:hint="cs"/>
          <w:rtl/>
        </w:rPr>
        <w:t>חייבים ויתרות חובה</w:t>
      </w:r>
      <w:r>
        <w:rPr>
          <w:rFonts w:hint="cs"/>
          <w:rtl/>
        </w:rPr>
        <w:t>"</w:t>
      </w:r>
      <w:r w:rsidRPr="00143CC2">
        <w:rPr>
          <w:rFonts w:hint="cs"/>
          <w:rtl/>
        </w:rPr>
        <w:t xml:space="preserve"> מאפיינים שונים בכל אחד מהמשרדים שנבדקו. במשרד הבינוי והשיכון הוא נובע בעיקר מ</w:t>
      </w:r>
      <w:r>
        <w:rPr>
          <w:rFonts w:hint="cs"/>
          <w:rtl/>
        </w:rPr>
        <w:t>דיירי הדיור הציבורי;</w:t>
      </w:r>
      <w:r w:rsidRPr="00143CC2">
        <w:rPr>
          <w:rFonts w:hint="cs"/>
          <w:rtl/>
        </w:rPr>
        <w:t xml:space="preserve"> </w:t>
      </w:r>
      <w:r w:rsidRPr="00143CC2">
        <w:rPr>
          <w:rFonts w:hint="eastAsia"/>
          <w:rtl/>
        </w:rPr>
        <w:t>במשרד</w:t>
      </w:r>
      <w:r w:rsidRPr="00143CC2">
        <w:rPr>
          <w:rtl/>
        </w:rPr>
        <w:t xml:space="preserve"> </w:t>
      </w:r>
      <w:r w:rsidRPr="00143CC2">
        <w:rPr>
          <w:rFonts w:hint="eastAsia"/>
          <w:rtl/>
        </w:rPr>
        <w:t>הבריאות</w:t>
      </w:r>
      <w:r w:rsidRPr="00143CC2">
        <w:rPr>
          <w:rtl/>
        </w:rPr>
        <w:t xml:space="preserve"> </w:t>
      </w:r>
      <w:r w:rsidRPr="00143CC2">
        <w:rPr>
          <w:rFonts w:hint="eastAsia"/>
          <w:rtl/>
        </w:rPr>
        <w:t>הוא</w:t>
      </w:r>
      <w:r w:rsidRPr="00143CC2">
        <w:rPr>
          <w:rtl/>
        </w:rPr>
        <w:t xml:space="preserve"> </w:t>
      </w:r>
      <w:r w:rsidRPr="00143CC2">
        <w:rPr>
          <w:rFonts w:hint="eastAsia"/>
          <w:rtl/>
        </w:rPr>
        <w:t>נובע</w:t>
      </w:r>
      <w:r w:rsidRPr="00143CC2">
        <w:rPr>
          <w:rtl/>
        </w:rPr>
        <w:t xml:space="preserve"> </w:t>
      </w:r>
      <w:r w:rsidRPr="00143CC2">
        <w:rPr>
          <w:rFonts w:hint="eastAsia"/>
          <w:rtl/>
        </w:rPr>
        <w:t>בעיקר</w:t>
      </w:r>
      <w:r w:rsidRPr="00143CC2">
        <w:rPr>
          <w:rtl/>
        </w:rPr>
        <w:t xml:space="preserve"> </w:t>
      </w:r>
      <w:r w:rsidRPr="00143CC2">
        <w:rPr>
          <w:rFonts w:hint="eastAsia"/>
          <w:rtl/>
        </w:rPr>
        <w:t>מ</w:t>
      </w:r>
      <w:r>
        <w:rPr>
          <w:rFonts w:hint="cs"/>
          <w:rtl/>
        </w:rPr>
        <w:t xml:space="preserve">מקדמות לספקים, חובות מבתי חולים והוצאות מראש; </w:t>
      </w:r>
      <w:r w:rsidRPr="00143CC2">
        <w:rPr>
          <w:rFonts w:hint="eastAsia"/>
          <w:rtl/>
        </w:rPr>
        <w:t>במשרד</w:t>
      </w:r>
      <w:r w:rsidRPr="00143CC2">
        <w:rPr>
          <w:rtl/>
        </w:rPr>
        <w:t xml:space="preserve"> </w:t>
      </w:r>
      <w:r w:rsidRPr="00143CC2">
        <w:rPr>
          <w:rFonts w:hint="eastAsia"/>
          <w:rtl/>
        </w:rPr>
        <w:t>הכלכלה</w:t>
      </w:r>
      <w:r w:rsidRPr="00143CC2">
        <w:rPr>
          <w:rtl/>
        </w:rPr>
        <w:t xml:space="preserve"> </w:t>
      </w:r>
      <w:r w:rsidRPr="00143CC2">
        <w:rPr>
          <w:rFonts w:hint="eastAsia"/>
          <w:rtl/>
        </w:rPr>
        <w:t>והתעשייה</w:t>
      </w:r>
      <w:r w:rsidRPr="00143CC2">
        <w:rPr>
          <w:rtl/>
        </w:rPr>
        <w:t xml:space="preserve"> </w:t>
      </w:r>
      <w:r w:rsidRPr="00143CC2">
        <w:rPr>
          <w:rFonts w:hint="eastAsia"/>
          <w:rtl/>
        </w:rPr>
        <w:t>הוא</w:t>
      </w:r>
      <w:r w:rsidRPr="00143CC2">
        <w:rPr>
          <w:rtl/>
        </w:rPr>
        <w:t xml:space="preserve"> </w:t>
      </w:r>
      <w:r w:rsidRPr="00143CC2">
        <w:rPr>
          <w:rFonts w:hint="eastAsia"/>
          <w:rtl/>
        </w:rPr>
        <w:t>נובע</w:t>
      </w:r>
      <w:r w:rsidRPr="00143CC2">
        <w:rPr>
          <w:rtl/>
        </w:rPr>
        <w:t xml:space="preserve"> </w:t>
      </w:r>
      <w:r w:rsidRPr="00143CC2">
        <w:rPr>
          <w:rFonts w:hint="eastAsia"/>
          <w:rtl/>
        </w:rPr>
        <w:t>בעיקר</w:t>
      </w:r>
      <w:r w:rsidRPr="00143CC2">
        <w:rPr>
          <w:rtl/>
        </w:rPr>
        <w:t xml:space="preserve"> </w:t>
      </w:r>
      <w:r w:rsidRPr="00143CC2">
        <w:rPr>
          <w:rFonts w:hint="eastAsia"/>
          <w:rtl/>
        </w:rPr>
        <w:t>מ</w:t>
      </w:r>
      <w:r>
        <w:rPr>
          <w:rFonts w:hint="cs"/>
          <w:rtl/>
        </w:rPr>
        <w:t xml:space="preserve">חובות בגין מרכז ההשקעות וחובות בגין סחר הוגן; </w:t>
      </w:r>
      <w:r w:rsidRPr="00143CC2">
        <w:rPr>
          <w:rFonts w:hint="eastAsia"/>
          <w:rtl/>
        </w:rPr>
        <w:t>במשרד</w:t>
      </w:r>
      <w:r w:rsidRPr="00143CC2">
        <w:rPr>
          <w:rtl/>
        </w:rPr>
        <w:t xml:space="preserve"> </w:t>
      </w:r>
      <w:r w:rsidRPr="00143CC2">
        <w:rPr>
          <w:rFonts w:hint="eastAsia"/>
          <w:rtl/>
        </w:rPr>
        <w:t>המשפטים</w:t>
      </w:r>
      <w:r w:rsidRPr="00143CC2">
        <w:rPr>
          <w:rtl/>
        </w:rPr>
        <w:t xml:space="preserve"> </w:t>
      </w:r>
      <w:r>
        <w:rPr>
          <w:rFonts w:hint="cs"/>
          <w:rtl/>
        </w:rPr>
        <w:t>ה</w:t>
      </w:r>
      <w:r w:rsidRPr="00143CC2">
        <w:rPr>
          <w:rFonts w:hint="eastAsia"/>
          <w:rtl/>
        </w:rPr>
        <w:t>וא</w:t>
      </w:r>
      <w:r w:rsidRPr="00143CC2">
        <w:rPr>
          <w:rtl/>
        </w:rPr>
        <w:t xml:space="preserve"> </w:t>
      </w:r>
      <w:r w:rsidRPr="00143CC2">
        <w:rPr>
          <w:rFonts w:hint="eastAsia"/>
          <w:rtl/>
        </w:rPr>
        <w:t>נובע</w:t>
      </w:r>
      <w:r w:rsidRPr="00143CC2">
        <w:rPr>
          <w:rtl/>
        </w:rPr>
        <w:t xml:space="preserve"> </w:t>
      </w:r>
      <w:r w:rsidRPr="00143CC2">
        <w:rPr>
          <w:rFonts w:hint="eastAsia"/>
          <w:rtl/>
        </w:rPr>
        <w:t>בעיקר</w:t>
      </w:r>
      <w:r w:rsidRPr="00143CC2">
        <w:rPr>
          <w:rtl/>
        </w:rPr>
        <w:t xml:space="preserve"> </w:t>
      </w:r>
      <w:r w:rsidRPr="00143CC2">
        <w:rPr>
          <w:rFonts w:hint="eastAsia"/>
          <w:rtl/>
        </w:rPr>
        <w:t>מ</w:t>
      </w:r>
      <w:r>
        <w:rPr>
          <w:rFonts w:hint="cs"/>
          <w:rtl/>
        </w:rPr>
        <w:t xml:space="preserve">חובות בגין אגרות שנתיות של רשם החברות והשותפויות; </w:t>
      </w:r>
      <w:r w:rsidRPr="00143CC2">
        <w:rPr>
          <w:rFonts w:hint="cs"/>
          <w:rtl/>
        </w:rPr>
        <w:t>במשרד הפנים הוא נובע בעיקר מחובות של מפלגות בגין מימון הבחירות לרשויות המקומיות.</w:t>
      </w:r>
    </w:p>
    <w:p w14:paraId="0329EB84" w14:textId="77777777" w:rsidR="007C4395" w:rsidRDefault="007C4395" w:rsidP="002A738D">
      <w:pPr>
        <w:pStyle w:val="7190"/>
        <w:rPr>
          <w:rtl/>
        </w:rPr>
      </w:pPr>
      <w:r>
        <w:rPr>
          <w:rFonts w:hint="cs"/>
          <w:rtl/>
        </w:rPr>
        <w:t>משרד מבקר המדינה בדק את המגמה של סעיף "חייבים ויתרות חובה" בכל אחד מהמשרדים הנבדקים בשנים 2016 - 2020. תוצאות הבדיקה מוצגות בתרשים הבא.</w:t>
      </w:r>
    </w:p>
    <w:p w14:paraId="7A3CD867" w14:textId="1A8B4347" w:rsidR="007C4395" w:rsidRPr="004D750F" w:rsidRDefault="00DD281F" w:rsidP="00EC550D">
      <w:pPr>
        <w:pStyle w:val="71a"/>
        <w:rPr>
          <w:rtl/>
        </w:rPr>
      </w:pPr>
      <w:r>
        <w:rPr>
          <w:noProof/>
        </w:rPr>
        <w:lastRenderedPageBreak/>
        <w:drawing>
          <wp:anchor distT="0" distB="0" distL="114300" distR="114300" simplePos="0" relativeHeight="252050944" behindDoc="0" locked="0" layoutInCell="1" allowOverlap="1" wp14:anchorId="4D017637" wp14:editId="5779C158">
            <wp:simplePos x="0" y="0"/>
            <wp:positionH relativeFrom="column">
              <wp:posOffset>9525</wp:posOffset>
            </wp:positionH>
            <wp:positionV relativeFrom="paragraph">
              <wp:posOffset>430530</wp:posOffset>
            </wp:positionV>
            <wp:extent cx="4603115" cy="3380740"/>
            <wp:effectExtent l="0" t="0" r="0" b="0"/>
            <wp:wrapTopAndBottom/>
            <wp:docPr id="765912901" name="תמונה 76591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01" name="תמונה 76591290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03115" cy="3380740"/>
                    </a:xfrm>
                    <a:prstGeom prst="rect">
                      <a:avLst/>
                    </a:prstGeom>
                  </pic:spPr>
                </pic:pic>
              </a:graphicData>
            </a:graphic>
            <wp14:sizeRelH relativeFrom="page">
              <wp14:pctWidth>0</wp14:pctWidth>
            </wp14:sizeRelH>
            <wp14:sizeRelV relativeFrom="page">
              <wp14:pctHeight>0</wp14:pctHeight>
            </wp14:sizeRelV>
          </wp:anchor>
        </w:drawing>
      </w:r>
      <w:r w:rsidR="007C4395" w:rsidRPr="00EC550D">
        <w:rPr>
          <w:rFonts w:hint="cs"/>
          <w:b w:val="0"/>
          <w:bCs w:val="0"/>
          <w:rtl/>
        </w:rPr>
        <w:t>תרשים 17:</w:t>
      </w:r>
      <w:r w:rsidR="007C4395" w:rsidRPr="004D750F">
        <w:rPr>
          <w:rFonts w:hint="cs"/>
          <w:rtl/>
        </w:rPr>
        <w:t xml:space="preserve"> סעיף חייבים ויתרות חובה כפי שהוצג ב</w:t>
      </w:r>
      <w:r w:rsidR="007C4395">
        <w:rPr>
          <w:rFonts w:hint="cs"/>
          <w:rtl/>
        </w:rPr>
        <w:t>דוחות</w:t>
      </w:r>
      <w:r w:rsidR="007C4395" w:rsidRPr="004D750F">
        <w:rPr>
          <w:rFonts w:hint="cs"/>
          <w:rtl/>
        </w:rPr>
        <w:t xml:space="preserve"> הכספיים של המשרדים ה</w:t>
      </w:r>
      <w:r w:rsidR="007C4395">
        <w:rPr>
          <w:rFonts w:hint="cs"/>
          <w:rtl/>
        </w:rPr>
        <w:t>נבדקים</w:t>
      </w:r>
      <w:r w:rsidR="007C4395" w:rsidRPr="004D750F">
        <w:rPr>
          <w:rFonts w:hint="cs"/>
          <w:rtl/>
        </w:rPr>
        <w:t xml:space="preserve"> בשנים 2016 - 2020 (במיליוני ש"ח)</w:t>
      </w:r>
    </w:p>
    <w:p w14:paraId="39842F32" w14:textId="77777777" w:rsidR="007C4395" w:rsidRPr="00010778" w:rsidRDefault="007C4395" w:rsidP="00DD281F">
      <w:pPr>
        <w:pStyle w:val="71c"/>
        <w:spacing w:before="360"/>
        <w:rPr>
          <w:rtl/>
        </w:rPr>
      </w:pPr>
      <w:r w:rsidRPr="00010778">
        <w:rPr>
          <w:rFonts w:hint="eastAsia"/>
          <w:rtl/>
        </w:rPr>
        <w:t>על</w:t>
      </w:r>
      <w:r w:rsidRPr="00010778">
        <w:rPr>
          <w:rtl/>
        </w:rPr>
        <w:t xml:space="preserve"> </w:t>
      </w:r>
      <w:r w:rsidRPr="00010778">
        <w:rPr>
          <w:rFonts w:hint="eastAsia"/>
          <w:rtl/>
        </w:rPr>
        <w:t>פי</w:t>
      </w:r>
      <w:r w:rsidRPr="00010778">
        <w:rPr>
          <w:rtl/>
        </w:rPr>
        <w:t xml:space="preserve"> הדוחות </w:t>
      </w:r>
      <w:r w:rsidRPr="00010778">
        <w:rPr>
          <w:rFonts w:hint="eastAsia"/>
          <w:rtl/>
        </w:rPr>
        <w:t>הכספיים</w:t>
      </w:r>
      <w:r w:rsidRPr="00010778">
        <w:rPr>
          <w:rtl/>
        </w:rPr>
        <w:t xml:space="preserve"> </w:t>
      </w:r>
      <w:r w:rsidRPr="00010778">
        <w:rPr>
          <w:rFonts w:hint="eastAsia"/>
          <w:rtl/>
        </w:rPr>
        <w:t>של</w:t>
      </w:r>
      <w:r w:rsidRPr="00010778">
        <w:rPr>
          <w:rtl/>
        </w:rPr>
        <w:t xml:space="preserve"> </w:t>
      </w:r>
      <w:r w:rsidRPr="00010778">
        <w:rPr>
          <w:rFonts w:hint="eastAsia"/>
          <w:rtl/>
        </w:rPr>
        <w:t>המשרדים</w:t>
      </w:r>
      <w:r w:rsidRPr="00010778">
        <w:rPr>
          <w:rtl/>
        </w:rPr>
        <w:t xml:space="preserve"> </w:t>
      </w:r>
      <w:r w:rsidRPr="00010778">
        <w:rPr>
          <w:rFonts w:hint="eastAsia"/>
          <w:rtl/>
        </w:rPr>
        <w:t>לשנת</w:t>
      </w:r>
      <w:r w:rsidRPr="00010778">
        <w:rPr>
          <w:rtl/>
        </w:rPr>
        <w:t xml:space="preserve"> 2020, </w:t>
      </w:r>
      <w:r w:rsidRPr="00010778">
        <w:rPr>
          <w:rFonts w:hint="eastAsia"/>
          <w:rtl/>
        </w:rPr>
        <w:t>בעיבוד</w:t>
      </w:r>
      <w:r w:rsidRPr="00010778">
        <w:rPr>
          <w:rtl/>
        </w:rPr>
        <w:t xml:space="preserve"> </w:t>
      </w:r>
      <w:r w:rsidRPr="00010778">
        <w:rPr>
          <w:rFonts w:hint="eastAsia"/>
          <w:rtl/>
        </w:rPr>
        <w:t>משרד</w:t>
      </w:r>
      <w:r w:rsidRPr="00010778">
        <w:rPr>
          <w:rtl/>
        </w:rPr>
        <w:t xml:space="preserve"> </w:t>
      </w:r>
      <w:r w:rsidRPr="00010778">
        <w:rPr>
          <w:rFonts w:hint="eastAsia"/>
          <w:rtl/>
        </w:rPr>
        <w:t>מבקר</w:t>
      </w:r>
      <w:r w:rsidRPr="00010778">
        <w:rPr>
          <w:rtl/>
        </w:rPr>
        <w:t xml:space="preserve"> </w:t>
      </w:r>
      <w:r w:rsidRPr="00010778">
        <w:rPr>
          <w:rFonts w:hint="eastAsia"/>
          <w:rtl/>
        </w:rPr>
        <w:t>המדינה</w:t>
      </w:r>
      <w:r w:rsidRPr="00010778">
        <w:rPr>
          <w:rtl/>
        </w:rPr>
        <w:t>.</w:t>
      </w:r>
    </w:p>
    <w:p w14:paraId="1F137293" w14:textId="77777777" w:rsidR="007C4395" w:rsidRPr="00B456CE" w:rsidRDefault="007C4395" w:rsidP="003B2683">
      <w:pPr>
        <w:pStyle w:val="71f4"/>
        <w:rPr>
          <w:rtl/>
        </w:rPr>
      </w:pPr>
      <w:r w:rsidRPr="00767B07">
        <w:rPr>
          <w:rFonts w:hint="eastAsia"/>
          <w:rtl/>
        </w:rPr>
        <w:t>כעולה</w:t>
      </w:r>
      <w:r w:rsidRPr="00767B07">
        <w:rPr>
          <w:rtl/>
        </w:rPr>
        <w:t xml:space="preserve"> מהתרשים </w:t>
      </w:r>
      <w:r>
        <w:rPr>
          <w:rFonts w:hint="cs"/>
          <w:rtl/>
        </w:rPr>
        <w:t>ש</w:t>
      </w:r>
      <w:r w:rsidRPr="00767B07">
        <w:rPr>
          <w:rtl/>
        </w:rPr>
        <w:t>לעיל, יש שונו</w:t>
      </w:r>
      <w:r>
        <w:rPr>
          <w:rFonts w:hint="cs"/>
          <w:rtl/>
        </w:rPr>
        <w:t>ּ</w:t>
      </w:r>
      <w:r w:rsidRPr="00767B07">
        <w:rPr>
          <w:rtl/>
        </w:rPr>
        <w:t>ת במגמה של הסעיף ב</w:t>
      </w:r>
      <w:r>
        <w:rPr>
          <w:rtl/>
        </w:rPr>
        <w:t>דוחות</w:t>
      </w:r>
      <w:r w:rsidRPr="00767B07">
        <w:rPr>
          <w:rtl/>
        </w:rPr>
        <w:t xml:space="preserve"> הכספיים של המשרדים שנב</w:t>
      </w:r>
      <w:r>
        <w:rPr>
          <w:rFonts w:hint="cs"/>
          <w:rtl/>
        </w:rPr>
        <w:t>דק</w:t>
      </w:r>
      <w:r w:rsidRPr="00767B07">
        <w:rPr>
          <w:rtl/>
        </w:rPr>
        <w:t>ו. במשרד הבינוי והשיכון יש עלייה בשנים 2016 - 2019 וירידה ב</w:t>
      </w:r>
      <w:r>
        <w:rPr>
          <w:rFonts w:hint="cs"/>
          <w:rtl/>
        </w:rPr>
        <w:t xml:space="preserve">שנת </w:t>
      </w:r>
      <w:r w:rsidRPr="00767B07">
        <w:rPr>
          <w:rtl/>
        </w:rPr>
        <w:t>2020</w:t>
      </w:r>
      <w:r>
        <w:rPr>
          <w:rFonts w:hint="cs"/>
          <w:rtl/>
        </w:rPr>
        <w:t xml:space="preserve">; הירידה נובעת מתשלום חוב של </w:t>
      </w:r>
      <w:proofErr w:type="spellStart"/>
      <w:r>
        <w:rPr>
          <w:rFonts w:hint="cs"/>
          <w:rtl/>
        </w:rPr>
        <w:t>רמ"י</w:t>
      </w:r>
      <w:proofErr w:type="spellEnd"/>
      <w:r w:rsidRPr="00767B07">
        <w:rPr>
          <w:rtl/>
        </w:rPr>
        <w:t xml:space="preserve">. במשרד הבריאות אין מגמה ברורה. במשרד הכלכלה והתעשייה יש ירידה בשנים 2016 - 2020. </w:t>
      </w:r>
      <w:r>
        <w:rPr>
          <w:rFonts w:hint="cs"/>
          <w:rtl/>
        </w:rPr>
        <w:t xml:space="preserve">במשרד הפנים הסעיף היה בסכום קבוע בשנים 2016 - 2019 ועלה בשנת 2020 בשל חובות שנוצרו בשנה זו בקשר לבחירות לרשויות המקומיות שהתקיימו בשנת 2018. </w:t>
      </w:r>
      <w:r w:rsidRPr="00767B07">
        <w:rPr>
          <w:rtl/>
        </w:rPr>
        <w:t xml:space="preserve">במשרד המשפטים הסעיף </w:t>
      </w:r>
      <w:r>
        <w:rPr>
          <w:rFonts w:hint="cs"/>
          <w:rtl/>
        </w:rPr>
        <w:t>היה ב</w:t>
      </w:r>
      <w:r w:rsidRPr="00767B07">
        <w:rPr>
          <w:rFonts w:hint="eastAsia"/>
          <w:rtl/>
        </w:rPr>
        <w:t>סכום</w:t>
      </w:r>
      <w:r w:rsidRPr="00767B07">
        <w:rPr>
          <w:rtl/>
        </w:rPr>
        <w:t xml:space="preserve"> קבוע </w:t>
      </w:r>
      <w:r w:rsidRPr="00767B07">
        <w:rPr>
          <w:rFonts w:hint="eastAsia"/>
          <w:rtl/>
        </w:rPr>
        <w:t>בשנים</w:t>
      </w:r>
      <w:r w:rsidRPr="00767B07">
        <w:rPr>
          <w:rtl/>
        </w:rPr>
        <w:t xml:space="preserve"> 2016 - 2020.</w:t>
      </w:r>
    </w:p>
    <w:p w14:paraId="481F29F9" w14:textId="77777777" w:rsidR="007C4395" w:rsidRPr="00B456CE" w:rsidRDefault="007C4395" w:rsidP="002A738D">
      <w:pPr>
        <w:pStyle w:val="7190"/>
        <w:rPr>
          <w:rtl/>
        </w:rPr>
      </w:pPr>
      <w:r>
        <w:rPr>
          <w:rFonts w:hint="cs"/>
          <w:rtl/>
        </w:rPr>
        <w:t>בתשובת משרד הפנים צוין כי ה</w:t>
      </w:r>
      <w:r w:rsidRPr="001053A8">
        <w:rPr>
          <w:rtl/>
        </w:rPr>
        <w:t xml:space="preserve">גידול בחובות בשנת 2020 </w:t>
      </w:r>
      <w:r>
        <w:rPr>
          <w:rFonts w:hint="cs"/>
          <w:rtl/>
        </w:rPr>
        <w:t xml:space="preserve">הוא בעקבות ממצאי </w:t>
      </w:r>
      <w:r w:rsidRPr="001053A8">
        <w:rPr>
          <w:rtl/>
        </w:rPr>
        <w:t xml:space="preserve">דוח מבקר המדינה </w:t>
      </w:r>
      <w:r>
        <w:rPr>
          <w:rFonts w:hint="cs"/>
          <w:rtl/>
        </w:rPr>
        <w:t xml:space="preserve">בדבר חשבונות </w:t>
      </w:r>
      <w:r w:rsidRPr="001053A8">
        <w:rPr>
          <w:rtl/>
        </w:rPr>
        <w:t xml:space="preserve">סיעות </w:t>
      </w:r>
      <w:r>
        <w:rPr>
          <w:rFonts w:hint="cs"/>
          <w:rtl/>
        </w:rPr>
        <w:t xml:space="preserve">הכנסת והמפלגות </w:t>
      </w:r>
      <w:r w:rsidRPr="001053A8">
        <w:rPr>
          <w:rtl/>
        </w:rPr>
        <w:t xml:space="preserve">שהשתתפו בבחירות </w:t>
      </w:r>
      <w:r>
        <w:rPr>
          <w:rFonts w:hint="cs"/>
          <w:rtl/>
        </w:rPr>
        <w:t>ל</w:t>
      </w:r>
      <w:r w:rsidRPr="001053A8">
        <w:rPr>
          <w:rtl/>
        </w:rPr>
        <w:t>רשויות המקומיות בשנת 2018</w:t>
      </w:r>
      <w:r>
        <w:rPr>
          <w:rStyle w:val="ac"/>
          <w:rtl/>
        </w:rPr>
        <w:footnoteReference w:id="32"/>
      </w:r>
      <w:r w:rsidRPr="001053A8">
        <w:rPr>
          <w:rtl/>
        </w:rPr>
        <w:t xml:space="preserve">. </w:t>
      </w:r>
      <w:r w:rsidRPr="00DC375D">
        <w:rPr>
          <w:rFonts w:hint="eastAsia"/>
          <w:rtl/>
        </w:rPr>
        <w:t>עוד</w:t>
      </w:r>
      <w:r w:rsidRPr="00DC375D">
        <w:rPr>
          <w:rtl/>
        </w:rPr>
        <w:t xml:space="preserve"> </w:t>
      </w:r>
      <w:r w:rsidRPr="00DC375D">
        <w:rPr>
          <w:rFonts w:hint="eastAsia"/>
          <w:rtl/>
        </w:rPr>
        <w:t>צוין</w:t>
      </w:r>
      <w:r w:rsidRPr="00DC375D">
        <w:rPr>
          <w:rtl/>
        </w:rPr>
        <w:t xml:space="preserve"> </w:t>
      </w:r>
      <w:r w:rsidRPr="00DC375D">
        <w:rPr>
          <w:rFonts w:hint="eastAsia"/>
          <w:rtl/>
        </w:rPr>
        <w:t>בתשובה</w:t>
      </w:r>
      <w:r w:rsidRPr="00DC375D">
        <w:rPr>
          <w:rtl/>
        </w:rPr>
        <w:t xml:space="preserve"> כי </w:t>
      </w:r>
      <w:r>
        <w:rPr>
          <w:rFonts w:hint="cs"/>
          <w:rtl/>
        </w:rPr>
        <w:t>עד</w:t>
      </w:r>
      <w:r w:rsidRPr="00DC375D">
        <w:rPr>
          <w:rtl/>
        </w:rPr>
        <w:t xml:space="preserve"> </w:t>
      </w:r>
      <w:r>
        <w:rPr>
          <w:rFonts w:hint="cs"/>
          <w:rtl/>
        </w:rPr>
        <w:t>לינואר 2022</w:t>
      </w:r>
      <w:r w:rsidRPr="001053A8">
        <w:rPr>
          <w:rtl/>
        </w:rPr>
        <w:t xml:space="preserve"> רוב החוב שולם.</w:t>
      </w:r>
      <w:r>
        <w:rPr>
          <w:rFonts w:hint="cs"/>
          <w:rtl/>
        </w:rPr>
        <w:t xml:space="preserve"> </w:t>
      </w:r>
    </w:p>
    <w:p w14:paraId="6E9A149D" w14:textId="77777777" w:rsidR="007C4395" w:rsidRPr="009E2DBF" w:rsidRDefault="007C4395" w:rsidP="002A738D">
      <w:pPr>
        <w:pStyle w:val="7190"/>
        <w:rPr>
          <w:rtl/>
        </w:rPr>
      </w:pPr>
      <w:r>
        <w:rPr>
          <w:rFonts w:hint="cs"/>
          <w:rtl/>
        </w:rPr>
        <w:lastRenderedPageBreak/>
        <w:t xml:space="preserve">בתרשים שלהלן שיעור החייבים </w:t>
      </w:r>
      <w:r w:rsidRPr="009E2DBF">
        <w:rPr>
          <w:rFonts w:hint="cs"/>
          <w:rtl/>
        </w:rPr>
        <w:t>ויתרות חובה מתוך סך הנכסים, עבור כל אחד מהמשרדים, כעולה מה</w:t>
      </w:r>
      <w:r>
        <w:rPr>
          <w:rFonts w:hint="cs"/>
          <w:rtl/>
        </w:rPr>
        <w:t>דוחות</w:t>
      </w:r>
      <w:r w:rsidRPr="009E2DBF">
        <w:rPr>
          <w:rFonts w:hint="cs"/>
          <w:rtl/>
        </w:rPr>
        <w:t xml:space="preserve"> הכספיים של המשרדים.</w:t>
      </w:r>
    </w:p>
    <w:p w14:paraId="2815BF1A" w14:textId="4297F019" w:rsidR="007C4395" w:rsidRPr="00EC550D" w:rsidRDefault="007C4395" w:rsidP="00EC550D">
      <w:pPr>
        <w:pStyle w:val="71a"/>
        <w:rPr>
          <w:rtl/>
        </w:rPr>
      </w:pPr>
      <w:r w:rsidRPr="00EC550D">
        <w:rPr>
          <w:rFonts w:hint="cs"/>
          <w:b w:val="0"/>
          <w:bCs w:val="0"/>
          <w:rtl/>
        </w:rPr>
        <w:t xml:space="preserve">תרשים 18: </w:t>
      </w:r>
      <w:r w:rsidR="00882841">
        <w:rPr>
          <w:rFonts w:hint="cs"/>
          <w:rtl/>
        </w:rPr>
        <w:t>שיעור</w:t>
      </w:r>
      <w:r w:rsidRPr="00EC550D">
        <w:rPr>
          <w:rFonts w:hint="cs"/>
          <w:rtl/>
        </w:rPr>
        <w:t xml:space="preserve"> חייבים ויתרות חובה מתוך סך הנכסים</w:t>
      </w:r>
      <w:r w:rsidRPr="005617E2">
        <w:rPr>
          <w:rStyle w:val="ac"/>
          <w:rtl/>
        </w:rPr>
        <w:footnoteReference w:id="33"/>
      </w:r>
      <w:r w:rsidRPr="00EC550D">
        <w:rPr>
          <w:rFonts w:hint="cs"/>
          <w:rtl/>
        </w:rPr>
        <w:t xml:space="preserve"> במשרדים הנבדקים (באחוזים)</w:t>
      </w:r>
    </w:p>
    <w:p w14:paraId="655109DB" w14:textId="77777777" w:rsidR="007C4395" w:rsidRDefault="007C4395" w:rsidP="00413BCF">
      <w:pPr>
        <w:spacing w:line="269" w:lineRule="auto"/>
        <w:jc w:val="right"/>
        <w:rPr>
          <w:rtl/>
        </w:rPr>
      </w:pPr>
      <w:r>
        <w:rPr>
          <w:noProof/>
        </w:rPr>
        <w:drawing>
          <wp:inline distT="0" distB="0" distL="0" distR="0" wp14:anchorId="294C5666" wp14:editId="29A833CB">
            <wp:extent cx="4717374" cy="2288373"/>
            <wp:effectExtent l="0" t="0" r="0" b="0"/>
            <wp:docPr id="765912902" name="תמונה 76591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02" name="תמונה 765912902"/>
                    <pic:cNvPicPr/>
                  </pic:nvPicPr>
                  <pic:blipFill>
                    <a:blip r:embed="rId50">
                      <a:extLst>
                        <a:ext uri="{28A0092B-C50C-407E-A947-70E740481C1C}">
                          <a14:useLocalDpi xmlns:a14="http://schemas.microsoft.com/office/drawing/2010/main" val="0"/>
                        </a:ext>
                      </a:extLst>
                    </a:blip>
                    <a:stretch>
                      <a:fillRect/>
                    </a:stretch>
                  </pic:blipFill>
                  <pic:spPr>
                    <a:xfrm>
                      <a:off x="0" y="0"/>
                      <a:ext cx="4717374" cy="2288373"/>
                    </a:xfrm>
                    <a:prstGeom prst="rect">
                      <a:avLst/>
                    </a:prstGeom>
                  </pic:spPr>
                </pic:pic>
              </a:graphicData>
            </a:graphic>
          </wp:inline>
        </w:drawing>
      </w:r>
    </w:p>
    <w:p w14:paraId="70F40659" w14:textId="77777777" w:rsidR="007C4395" w:rsidRPr="00010778" w:rsidRDefault="007C4395" w:rsidP="00010778">
      <w:pPr>
        <w:pStyle w:val="71c"/>
        <w:rPr>
          <w:rtl/>
        </w:rPr>
      </w:pPr>
      <w:r w:rsidRPr="00010778">
        <w:rPr>
          <w:rFonts w:hint="eastAsia"/>
          <w:rtl/>
        </w:rPr>
        <w:t>על</w:t>
      </w:r>
      <w:r w:rsidRPr="00010778">
        <w:rPr>
          <w:rtl/>
        </w:rPr>
        <w:t xml:space="preserve"> </w:t>
      </w:r>
      <w:r w:rsidRPr="00010778">
        <w:rPr>
          <w:rFonts w:hint="eastAsia"/>
          <w:rtl/>
        </w:rPr>
        <w:t>פי</w:t>
      </w:r>
      <w:r w:rsidRPr="00010778">
        <w:rPr>
          <w:rtl/>
        </w:rPr>
        <w:t xml:space="preserve"> הדוחות הכספיים של המשרדים לשנת 2020, בעיבוד משרד מבקר המדינה.</w:t>
      </w:r>
    </w:p>
    <w:p w14:paraId="2E88CD00" w14:textId="646F8C68" w:rsidR="007C4395" w:rsidRPr="00675951" w:rsidRDefault="007C4395" w:rsidP="00675951">
      <w:pPr>
        <w:pStyle w:val="71f4"/>
        <w:rPr>
          <w:rFonts w:eastAsiaTheme="minorHAnsi"/>
          <w:rtl/>
        </w:rPr>
      </w:pPr>
      <w:r w:rsidRPr="00675951">
        <w:rPr>
          <w:rFonts w:eastAsiaTheme="minorHAnsi" w:hint="eastAsia"/>
          <w:rtl/>
        </w:rPr>
        <w:t>כעולה</w:t>
      </w:r>
      <w:r w:rsidRPr="00675951">
        <w:rPr>
          <w:rFonts w:eastAsiaTheme="minorHAnsi"/>
          <w:rtl/>
        </w:rPr>
        <w:t xml:space="preserve"> מהתרשים </w:t>
      </w:r>
      <w:r w:rsidRPr="00675951">
        <w:rPr>
          <w:rFonts w:eastAsiaTheme="minorHAnsi" w:hint="cs"/>
          <w:rtl/>
        </w:rPr>
        <w:t>ש</w:t>
      </w:r>
      <w:r w:rsidRPr="00675951">
        <w:rPr>
          <w:rFonts w:eastAsiaTheme="minorHAnsi"/>
          <w:rtl/>
        </w:rPr>
        <w:t xml:space="preserve">לעיל, </w:t>
      </w:r>
      <w:r w:rsidRPr="00675951">
        <w:rPr>
          <w:rFonts w:eastAsiaTheme="minorHAnsi" w:hint="cs"/>
          <w:rtl/>
        </w:rPr>
        <w:t>שיעור</w:t>
      </w:r>
      <w:r w:rsidRPr="00675951">
        <w:rPr>
          <w:rFonts w:eastAsiaTheme="minorHAnsi"/>
          <w:rtl/>
        </w:rPr>
        <w:t xml:space="preserve"> </w:t>
      </w:r>
      <w:r w:rsidRPr="00675951">
        <w:rPr>
          <w:rFonts w:eastAsiaTheme="minorHAnsi" w:hint="eastAsia"/>
          <w:rtl/>
        </w:rPr>
        <w:t>סעיף</w:t>
      </w:r>
      <w:r w:rsidRPr="00675951">
        <w:rPr>
          <w:rFonts w:eastAsiaTheme="minorHAnsi"/>
          <w:rtl/>
        </w:rPr>
        <w:t xml:space="preserve"> </w:t>
      </w:r>
      <w:r w:rsidRPr="00675951">
        <w:rPr>
          <w:rFonts w:eastAsiaTheme="minorHAnsi" w:hint="eastAsia"/>
          <w:rtl/>
        </w:rPr>
        <w:t>חייבים</w:t>
      </w:r>
      <w:r w:rsidRPr="00675951">
        <w:rPr>
          <w:rFonts w:eastAsiaTheme="minorHAnsi"/>
          <w:rtl/>
        </w:rPr>
        <w:t xml:space="preserve"> </w:t>
      </w:r>
      <w:r w:rsidRPr="00675951">
        <w:rPr>
          <w:rFonts w:eastAsiaTheme="minorHAnsi" w:hint="eastAsia"/>
          <w:rtl/>
        </w:rPr>
        <w:t>ויתרות</w:t>
      </w:r>
      <w:r w:rsidRPr="00675951">
        <w:rPr>
          <w:rFonts w:eastAsiaTheme="minorHAnsi"/>
          <w:rtl/>
        </w:rPr>
        <w:t xml:space="preserve"> </w:t>
      </w:r>
      <w:r w:rsidRPr="00675951">
        <w:rPr>
          <w:rFonts w:eastAsiaTheme="minorHAnsi" w:hint="eastAsia"/>
          <w:rtl/>
        </w:rPr>
        <w:t>חובה</w:t>
      </w:r>
      <w:r w:rsidRPr="00675951">
        <w:rPr>
          <w:rFonts w:eastAsiaTheme="minorHAnsi"/>
          <w:rtl/>
        </w:rPr>
        <w:t xml:space="preserve"> </w:t>
      </w:r>
      <w:r w:rsidRPr="00675951">
        <w:rPr>
          <w:rFonts w:eastAsiaTheme="minorHAnsi" w:hint="eastAsia"/>
          <w:rtl/>
        </w:rPr>
        <w:t>מסך</w:t>
      </w:r>
      <w:r w:rsidRPr="00675951">
        <w:rPr>
          <w:rFonts w:eastAsiaTheme="minorHAnsi"/>
          <w:rtl/>
        </w:rPr>
        <w:t xml:space="preserve"> הנכסים</w:t>
      </w:r>
      <w:r w:rsidRPr="00675951">
        <w:rPr>
          <w:rFonts w:eastAsiaTheme="minorHAnsi" w:hint="cs"/>
          <w:rtl/>
        </w:rPr>
        <w:t xml:space="preserve"> </w:t>
      </w:r>
      <w:r w:rsidRPr="00675951">
        <w:rPr>
          <w:rFonts w:eastAsiaTheme="minorHAnsi"/>
          <w:rtl/>
        </w:rPr>
        <w:t xml:space="preserve">לשנת 2020 </w:t>
      </w:r>
      <w:r w:rsidRPr="00675951">
        <w:rPr>
          <w:rFonts w:eastAsiaTheme="minorHAnsi" w:hint="eastAsia"/>
          <w:rtl/>
        </w:rPr>
        <w:t>הו</w:t>
      </w:r>
      <w:r w:rsidRPr="00675951">
        <w:rPr>
          <w:rFonts w:eastAsiaTheme="minorHAnsi" w:hint="cs"/>
          <w:rtl/>
        </w:rPr>
        <w:t>א</w:t>
      </w:r>
      <w:r w:rsidRPr="00675951">
        <w:rPr>
          <w:rFonts w:eastAsiaTheme="minorHAnsi"/>
          <w:rtl/>
        </w:rPr>
        <w:t xml:space="preserve"> </w:t>
      </w:r>
      <w:r w:rsidRPr="00675951">
        <w:rPr>
          <w:rFonts w:eastAsiaTheme="minorHAnsi" w:hint="cs"/>
          <w:rtl/>
        </w:rPr>
        <w:t xml:space="preserve">מהותי יותר במשרד הכלכלה והתעשייה ובמשרד הפנים (29% ו-23%, בהתאמה), לעומת משרד המשפטים ומשרד הבריאות (14% ו-11%, בהתאמה), וכמעט אינו מהותי במשרד הבינוי והשיכון (4%). זאת מאחר שלמשרד זה יש נכסים לא שוטפים בסכומים גבוהים, דוגמת רכוש </w:t>
      </w:r>
      <w:proofErr w:type="spellStart"/>
      <w:r w:rsidRPr="00675951">
        <w:rPr>
          <w:rFonts w:eastAsiaTheme="minorHAnsi" w:hint="cs"/>
          <w:rtl/>
        </w:rPr>
        <w:t>מינהלי</w:t>
      </w:r>
      <w:proofErr w:type="spellEnd"/>
      <w:r w:rsidRPr="00675951">
        <w:rPr>
          <w:rFonts w:eastAsiaTheme="minorHAnsi" w:hint="cs"/>
          <w:rtl/>
        </w:rPr>
        <w:t xml:space="preserve"> ורכוש בהשקעה</w:t>
      </w:r>
      <w:r w:rsidRPr="00675951">
        <w:rPr>
          <w:rStyle w:val="ac"/>
          <w:rtl/>
        </w:rPr>
        <w:footnoteReference w:id="34"/>
      </w:r>
      <w:r w:rsidRPr="00675951">
        <w:rPr>
          <w:rFonts w:eastAsiaTheme="minorHAnsi" w:hint="cs"/>
          <w:rtl/>
        </w:rPr>
        <w:t>.</w:t>
      </w:r>
    </w:p>
    <w:p w14:paraId="512D48DF" w14:textId="77777777" w:rsidR="007C4395" w:rsidRPr="00E1064B" w:rsidRDefault="007C4395" w:rsidP="006F4D0D">
      <w:pPr>
        <w:pStyle w:val="71414"/>
        <w:rPr>
          <w:rtl/>
        </w:rPr>
      </w:pPr>
      <w:r>
        <w:rPr>
          <w:rFonts w:hint="cs"/>
          <w:rtl/>
        </w:rPr>
        <w:t>אופן ההצגה והפרסום של הדוחות</w:t>
      </w:r>
      <w:r w:rsidRPr="00E1064B">
        <w:rPr>
          <w:rFonts w:hint="cs"/>
          <w:rtl/>
        </w:rPr>
        <w:t xml:space="preserve"> הכספיים</w:t>
      </w:r>
    </w:p>
    <w:p w14:paraId="515184FA" w14:textId="77777777" w:rsidR="007C4395" w:rsidRDefault="007C4395" w:rsidP="002A738D">
      <w:pPr>
        <w:pStyle w:val="7190"/>
        <w:rPr>
          <w:rtl/>
        </w:rPr>
      </w:pPr>
      <w:r w:rsidRPr="002D5B98">
        <w:rPr>
          <w:rFonts w:hint="eastAsia"/>
          <w:rtl/>
        </w:rPr>
        <w:t>ב</w:t>
      </w:r>
      <w:r w:rsidRPr="002D5B98">
        <w:rPr>
          <w:rtl/>
        </w:rPr>
        <w:t>מסגרת המושגית</w:t>
      </w:r>
      <w:r>
        <w:rPr>
          <w:rtl/>
        </w:rPr>
        <w:t xml:space="preserve"> לדיווח כספי למטרות כלליות</w:t>
      </w:r>
      <w:r>
        <w:rPr>
          <w:rFonts w:hint="cs"/>
          <w:rtl/>
        </w:rPr>
        <w:t xml:space="preserve"> </w:t>
      </w:r>
      <w:r>
        <w:rPr>
          <w:rtl/>
        </w:rPr>
        <w:t>של ישויות ממשלתיות</w:t>
      </w:r>
      <w:r>
        <w:rPr>
          <w:rFonts w:hint="cs"/>
          <w:rtl/>
        </w:rPr>
        <w:t xml:space="preserve"> מיוני 2020</w:t>
      </w:r>
      <w:r>
        <w:rPr>
          <w:rStyle w:val="ac"/>
          <w:rtl/>
        </w:rPr>
        <w:footnoteReference w:id="35"/>
      </w:r>
      <w:r>
        <w:rPr>
          <w:rFonts w:hint="cs"/>
          <w:rtl/>
        </w:rPr>
        <w:t xml:space="preserve"> (להלן </w:t>
      </w:r>
      <w:r>
        <w:rPr>
          <w:rtl/>
        </w:rPr>
        <w:t>-</w:t>
      </w:r>
      <w:r>
        <w:rPr>
          <w:rFonts w:hint="cs"/>
          <w:rtl/>
        </w:rPr>
        <w:t xml:space="preserve"> המסגרת המושגית), צוין בסעיף 2.1 שמטרת הדיווח הכספי של ישויות ממשלתיות היא לספק מידע שימושי על אודות הישות למשתמשים בדוחות הכספיים. בסעיף 2.2 צוין גם כי הדיווח הכספי אינו משמש תכלית בפני עצמה, ולפיכך מטרתו נקבעת בהתחשב במשתמשים בו למטרות כלליות ולצורכי המידע שלהם.</w:t>
      </w:r>
    </w:p>
    <w:p w14:paraId="3F674F39" w14:textId="77777777" w:rsidR="007C4395" w:rsidRDefault="007C4395" w:rsidP="002A738D">
      <w:pPr>
        <w:pStyle w:val="7190"/>
        <w:rPr>
          <w:rtl/>
        </w:rPr>
      </w:pPr>
      <w:r>
        <w:rPr>
          <w:rFonts w:hint="cs"/>
          <w:rtl/>
        </w:rPr>
        <w:lastRenderedPageBreak/>
        <w:t xml:space="preserve">בינואר 2013 פרסם אגף </w:t>
      </w:r>
      <w:proofErr w:type="spellStart"/>
      <w:r>
        <w:rPr>
          <w:rFonts w:hint="cs"/>
          <w:rtl/>
        </w:rPr>
        <w:t>החשכ"ל</w:t>
      </w:r>
      <w:proofErr w:type="spellEnd"/>
      <w:r>
        <w:rPr>
          <w:rFonts w:hint="cs"/>
          <w:rtl/>
        </w:rPr>
        <w:t xml:space="preserve"> הוראת </w:t>
      </w:r>
      <w:proofErr w:type="spellStart"/>
      <w:r>
        <w:rPr>
          <w:rFonts w:hint="cs"/>
          <w:rtl/>
        </w:rPr>
        <w:t>תכ"ם</w:t>
      </w:r>
      <w:proofErr w:type="spellEnd"/>
      <w:r>
        <w:rPr>
          <w:rStyle w:val="ac"/>
          <w:rtl/>
        </w:rPr>
        <w:footnoteReference w:id="36"/>
      </w:r>
      <w:r>
        <w:rPr>
          <w:rFonts w:hint="cs"/>
          <w:rtl/>
        </w:rPr>
        <w:t xml:space="preserve"> בנושא "עריכת דוחות ודיווחים שוטפים", אשר מנחה את חשבי המשרדים בהכנת הדוחות הכספיים של המשרדים. במסגרת ההוראה נכתב כי חשב המשרד יערוך את הדוחות הכספיים של המשרד במתכונות תואמת ככל הניתן לדוחות הכספיים לדוגמה, כפי שיפרסם מפעם לפעם החשבונאי הראשי במסגרת הודעה על מבנה הדוח הכספי ותוכנו.</w:t>
      </w:r>
    </w:p>
    <w:p w14:paraId="795726D4" w14:textId="77777777" w:rsidR="007C4395" w:rsidRDefault="007C4395" w:rsidP="002A738D">
      <w:pPr>
        <w:pStyle w:val="7190"/>
        <w:rPr>
          <w:rtl/>
        </w:rPr>
      </w:pPr>
      <w:r>
        <w:rPr>
          <w:rFonts w:hint="cs"/>
          <w:rtl/>
        </w:rPr>
        <w:t xml:space="preserve">בנובמבר 2017 פרסם אגף </w:t>
      </w:r>
      <w:proofErr w:type="spellStart"/>
      <w:r>
        <w:rPr>
          <w:rFonts w:hint="cs"/>
          <w:rtl/>
        </w:rPr>
        <w:t>החשכ"ל</w:t>
      </w:r>
      <w:proofErr w:type="spellEnd"/>
      <w:r>
        <w:rPr>
          <w:rFonts w:hint="cs"/>
          <w:rtl/>
        </w:rPr>
        <w:t xml:space="preserve"> הודעה בדבר דוח לדוגמה של משרדי ממשלה. במסגרת ההודעה פירט האגף את המתכונת לעריכת הדוחות הכספיים של משרדי הממשלה על ידי פרסום של דוח כספי מלא, כולל ביאורים, אשר הציג את המבנה ואת התוכן של דוח כספי.</w:t>
      </w:r>
    </w:p>
    <w:p w14:paraId="1F798D27" w14:textId="77777777" w:rsidR="007C4395" w:rsidRDefault="007C4395" w:rsidP="002A738D">
      <w:pPr>
        <w:pStyle w:val="7190"/>
        <w:rPr>
          <w:rtl/>
        </w:rPr>
      </w:pPr>
      <w:r>
        <w:rPr>
          <w:rFonts w:hint="cs"/>
          <w:rtl/>
        </w:rPr>
        <w:t xml:space="preserve">את </w:t>
      </w:r>
      <w:r w:rsidRPr="00B61616">
        <w:rPr>
          <w:rFonts w:hint="cs"/>
          <w:rtl/>
        </w:rPr>
        <w:t>ה</w:t>
      </w:r>
      <w:r>
        <w:rPr>
          <w:rFonts w:hint="cs"/>
          <w:rtl/>
        </w:rPr>
        <w:t>דוחות</w:t>
      </w:r>
      <w:r w:rsidRPr="00B61616">
        <w:rPr>
          <w:rFonts w:hint="cs"/>
          <w:rtl/>
        </w:rPr>
        <w:t xml:space="preserve"> הכספיים של משרדי המ</w:t>
      </w:r>
      <w:r>
        <w:rPr>
          <w:rFonts w:hint="cs"/>
          <w:rtl/>
        </w:rPr>
        <w:t>מ</w:t>
      </w:r>
      <w:r w:rsidRPr="00B61616">
        <w:rPr>
          <w:rFonts w:hint="cs"/>
          <w:rtl/>
        </w:rPr>
        <w:t xml:space="preserve">שלה </w:t>
      </w:r>
      <w:r>
        <w:rPr>
          <w:rFonts w:hint="cs"/>
          <w:rtl/>
        </w:rPr>
        <w:t xml:space="preserve">עורכים </w:t>
      </w:r>
      <w:r w:rsidRPr="00B61616">
        <w:rPr>
          <w:rFonts w:hint="cs"/>
          <w:rtl/>
        </w:rPr>
        <w:t>חשבי המשרדים</w:t>
      </w:r>
      <w:r>
        <w:rPr>
          <w:rFonts w:hint="cs"/>
          <w:rtl/>
        </w:rPr>
        <w:t>,</w:t>
      </w:r>
      <w:r w:rsidRPr="00B61616">
        <w:rPr>
          <w:rFonts w:hint="cs"/>
          <w:rtl/>
        </w:rPr>
        <w:t xml:space="preserve"> ו</w:t>
      </w:r>
      <w:r>
        <w:rPr>
          <w:rFonts w:hint="cs"/>
          <w:rtl/>
        </w:rPr>
        <w:t xml:space="preserve">הם </w:t>
      </w:r>
      <w:r w:rsidRPr="00B61616">
        <w:rPr>
          <w:rFonts w:hint="cs"/>
          <w:rtl/>
        </w:rPr>
        <w:t xml:space="preserve">מבוקרים על ידי רואי חשבון </w:t>
      </w:r>
      <w:r>
        <w:rPr>
          <w:rFonts w:hint="cs"/>
          <w:rtl/>
        </w:rPr>
        <w:t xml:space="preserve">חיצוניים </w:t>
      </w:r>
      <w:r w:rsidRPr="00B61616">
        <w:rPr>
          <w:rFonts w:hint="cs"/>
          <w:rtl/>
        </w:rPr>
        <w:t>ששירותיהם נשכרו למטרה זו.</w:t>
      </w:r>
    </w:p>
    <w:p w14:paraId="1528C7A5" w14:textId="77777777" w:rsidR="007C4395" w:rsidRPr="00B61616" w:rsidRDefault="007C4395" w:rsidP="00675951">
      <w:pPr>
        <w:pStyle w:val="71f4"/>
        <w:rPr>
          <w:rtl/>
        </w:rPr>
      </w:pPr>
      <w:r w:rsidRPr="00675951">
        <w:rPr>
          <w:rFonts w:eastAsiaTheme="minorHAnsi" w:hint="eastAsia"/>
          <w:rtl/>
        </w:rPr>
        <w:t>מבדיקת</w:t>
      </w:r>
      <w:r w:rsidRPr="00675951">
        <w:rPr>
          <w:rFonts w:eastAsiaTheme="minorHAnsi"/>
          <w:rtl/>
        </w:rPr>
        <w:t xml:space="preserve"> משרד מבקר המדינה עולה כי יש שונות באופן ההצגה של סעיפים שונים בדוחות הכספיים בין משרד למשרד.</w:t>
      </w:r>
      <w:r w:rsidRPr="00B61616">
        <w:rPr>
          <w:rFonts w:hint="cs"/>
          <w:rtl/>
        </w:rPr>
        <w:t xml:space="preserve"> </w:t>
      </w:r>
      <w:r w:rsidRPr="00675951">
        <w:rPr>
          <w:rFonts w:eastAsiaTheme="minorHAnsi" w:hint="eastAsia"/>
          <w:rtl/>
        </w:rPr>
        <w:t>כך</w:t>
      </w:r>
      <w:r w:rsidRPr="00675951">
        <w:rPr>
          <w:rFonts w:eastAsiaTheme="minorHAnsi"/>
          <w:rtl/>
        </w:rPr>
        <w:t xml:space="preserve"> </w:t>
      </w:r>
      <w:r w:rsidRPr="00675951">
        <w:rPr>
          <w:rFonts w:eastAsiaTheme="minorHAnsi" w:hint="eastAsia"/>
          <w:rtl/>
        </w:rPr>
        <w:t>לדוגמה</w:t>
      </w:r>
      <w:r w:rsidRPr="00675951">
        <w:rPr>
          <w:rFonts w:eastAsiaTheme="minorHAnsi"/>
          <w:rtl/>
        </w:rPr>
        <w:t xml:space="preserve">, </w:t>
      </w:r>
      <w:r w:rsidRPr="00675951">
        <w:rPr>
          <w:rFonts w:eastAsiaTheme="minorHAnsi" w:hint="eastAsia"/>
          <w:rtl/>
        </w:rPr>
        <w:t>משרדים</w:t>
      </w:r>
      <w:r w:rsidRPr="00675951">
        <w:rPr>
          <w:rFonts w:eastAsiaTheme="minorHAnsi"/>
          <w:rtl/>
        </w:rPr>
        <w:t xml:space="preserve"> </w:t>
      </w:r>
      <w:r w:rsidRPr="00675951">
        <w:rPr>
          <w:rFonts w:eastAsiaTheme="minorHAnsi" w:hint="eastAsia"/>
          <w:rtl/>
        </w:rPr>
        <w:t>מסוימים</w:t>
      </w:r>
      <w:r w:rsidRPr="00675951">
        <w:rPr>
          <w:rFonts w:eastAsiaTheme="minorHAnsi"/>
          <w:rtl/>
        </w:rPr>
        <w:t xml:space="preserve"> </w:t>
      </w:r>
      <w:r w:rsidRPr="00675951">
        <w:rPr>
          <w:rFonts w:eastAsiaTheme="minorHAnsi" w:hint="eastAsia"/>
          <w:rtl/>
        </w:rPr>
        <w:t>כוללים</w:t>
      </w:r>
      <w:r w:rsidRPr="00675951">
        <w:rPr>
          <w:rFonts w:eastAsiaTheme="minorHAnsi"/>
          <w:rtl/>
        </w:rPr>
        <w:t xml:space="preserve"> </w:t>
      </w:r>
      <w:r w:rsidRPr="00675951">
        <w:rPr>
          <w:rFonts w:eastAsiaTheme="minorHAnsi" w:hint="eastAsia"/>
          <w:rtl/>
        </w:rPr>
        <w:t>בסעיף</w:t>
      </w:r>
      <w:r w:rsidRPr="00675951">
        <w:rPr>
          <w:rFonts w:eastAsiaTheme="minorHAnsi"/>
          <w:rtl/>
        </w:rPr>
        <w:t xml:space="preserve"> </w:t>
      </w:r>
      <w:r w:rsidRPr="00675951">
        <w:rPr>
          <w:rFonts w:eastAsiaTheme="minorHAnsi" w:hint="eastAsia"/>
          <w:rtl/>
        </w:rPr>
        <w:t>חייבים</w:t>
      </w:r>
      <w:r w:rsidRPr="00675951">
        <w:rPr>
          <w:rFonts w:eastAsiaTheme="minorHAnsi"/>
          <w:rtl/>
        </w:rPr>
        <w:t xml:space="preserve"> </w:t>
      </w:r>
      <w:r w:rsidRPr="00675951">
        <w:rPr>
          <w:rFonts w:eastAsiaTheme="minorHAnsi" w:hint="eastAsia"/>
          <w:rtl/>
        </w:rPr>
        <w:t>ויתרות</w:t>
      </w:r>
      <w:r w:rsidRPr="00675951">
        <w:rPr>
          <w:rFonts w:eastAsiaTheme="minorHAnsi"/>
          <w:rtl/>
        </w:rPr>
        <w:t xml:space="preserve"> </w:t>
      </w:r>
      <w:r w:rsidRPr="00675951">
        <w:rPr>
          <w:rFonts w:eastAsiaTheme="minorHAnsi" w:hint="eastAsia"/>
          <w:rtl/>
        </w:rPr>
        <w:t>חובה</w:t>
      </w:r>
      <w:r w:rsidRPr="00675951">
        <w:rPr>
          <w:rFonts w:eastAsiaTheme="minorHAnsi"/>
          <w:rtl/>
        </w:rPr>
        <w:t xml:space="preserve"> </w:t>
      </w:r>
      <w:r w:rsidRPr="00675951">
        <w:rPr>
          <w:rFonts w:eastAsiaTheme="minorHAnsi" w:hint="eastAsia"/>
          <w:rtl/>
        </w:rPr>
        <w:t>גם</w:t>
      </w:r>
      <w:r w:rsidRPr="00675951">
        <w:rPr>
          <w:rFonts w:eastAsiaTheme="minorHAnsi"/>
          <w:rtl/>
        </w:rPr>
        <w:t xml:space="preserve"> </w:t>
      </w:r>
      <w:r w:rsidRPr="00675951">
        <w:rPr>
          <w:rFonts w:eastAsiaTheme="minorHAnsi" w:hint="eastAsia"/>
          <w:rtl/>
        </w:rPr>
        <w:t>את</w:t>
      </w:r>
      <w:r w:rsidRPr="00675951">
        <w:rPr>
          <w:rFonts w:eastAsiaTheme="minorHAnsi"/>
          <w:rtl/>
        </w:rPr>
        <w:t xml:space="preserve"> "ההוצאות </w:t>
      </w:r>
      <w:r w:rsidRPr="00675951">
        <w:rPr>
          <w:rFonts w:eastAsiaTheme="minorHAnsi" w:hint="eastAsia"/>
          <w:rtl/>
        </w:rPr>
        <w:t>מראש</w:t>
      </w:r>
      <w:r w:rsidRPr="00675951">
        <w:rPr>
          <w:rFonts w:eastAsiaTheme="minorHAnsi"/>
          <w:rtl/>
        </w:rPr>
        <w:t xml:space="preserve">" </w:t>
      </w:r>
      <w:r w:rsidRPr="00675951">
        <w:rPr>
          <w:rFonts w:eastAsiaTheme="minorHAnsi" w:hint="eastAsia"/>
          <w:rtl/>
        </w:rPr>
        <w:t>או</w:t>
      </w:r>
      <w:r w:rsidRPr="00675951">
        <w:rPr>
          <w:rFonts w:eastAsiaTheme="minorHAnsi"/>
          <w:rtl/>
        </w:rPr>
        <w:t xml:space="preserve"> </w:t>
      </w:r>
      <w:r w:rsidRPr="00675951">
        <w:rPr>
          <w:rFonts w:eastAsiaTheme="minorHAnsi" w:hint="eastAsia"/>
          <w:rtl/>
        </w:rPr>
        <w:t>את</w:t>
      </w:r>
      <w:r w:rsidRPr="00675951">
        <w:rPr>
          <w:rFonts w:eastAsiaTheme="minorHAnsi"/>
          <w:rtl/>
        </w:rPr>
        <w:t xml:space="preserve"> "ההכנסות </w:t>
      </w:r>
      <w:r w:rsidRPr="00675951">
        <w:rPr>
          <w:rFonts w:eastAsiaTheme="minorHAnsi" w:hint="eastAsia"/>
          <w:rtl/>
        </w:rPr>
        <w:t>לקבל</w:t>
      </w:r>
      <w:r w:rsidRPr="00675951">
        <w:rPr>
          <w:rFonts w:eastAsiaTheme="minorHAnsi"/>
          <w:rtl/>
        </w:rPr>
        <w:t xml:space="preserve">", </w:t>
      </w:r>
      <w:r w:rsidRPr="00675951">
        <w:rPr>
          <w:rFonts w:eastAsiaTheme="minorHAnsi" w:hint="eastAsia"/>
          <w:rtl/>
        </w:rPr>
        <w:t>בעוד</w:t>
      </w:r>
      <w:r w:rsidRPr="00675951">
        <w:rPr>
          <w:rFonts w:eastAsiaTheme="minorHAnsi"/>
          <w:rtl/>
        </w:rPr>
        <w:t xml:space="preserve"> </w:t>
      </w:r>
      <w:r w:rsidRPr="00675951">
        <w:rPr>
          <w:rFonts w:eastAsiaTheme="minorHAnsi" w:hint="eastAsia"/>
          <w:rtl/>
        </w:rPr>
        <w:t>שאחרים</w:t>
      </w:r>
      <w:r w:rsidRPr="00675951">
        <w:rPr>
          <w:rFonts w:eastAsiaTheme="minorHAnsi"/>
          <w:rtl/>
        </w:rPr>
        <w:t xml:space="preserve"> </w:t>
      </w:r>
      <w:r w:rsidRPr="00675951">
        <w:rPr>
          <w:rFonts w:eastAsiaTheme="minorHAnsi" w:hint="eastAsia"/>
          <w:rtl/>
        </w:rPr>
        <w:t>כוללים</w:t>
      </w:r>
      <w:r w:rsidRPr="00675951">
        <w:rPr>
          <w:rFonts w:eastAsiaTheme="minorHAnsi"/>
          <w:rtl/>
        </w:rPr>
        <w:t xml:space="preserve"> </w:t>
      </w:r>
      <w:r w:rsidRPr="00675951">
        <w:rPr>
          <w:rFonts w:eastAsiaTheme="minorHAnsi" w:hint="eastAsia"/>
          <w:rtl/>
        </w:rPr>
        <w:t>סעיפים</w:t>
      </w:r>
      <w:r w:rsidRPr="00675951">
        <w:rPr>
          <w:rFonts w:eastAsiaTheme="minorHAnsi"/>
          <w:rtl/>
        </w:rPr>
        <w:t xml:space="preserve"> </w:t>
      </w:r>
      <w:r w:rsidRPr="00675951">
        <w:rPr>
          <w:rFonts w:eastAsiaTheme="minorHAnsi" w:hint="eastAsia"/>
          <w:rtl/>
        </w:rPr>
        <w:t>אלו</w:t>
      </w:r>
      <w:r w:rsidRPr="00675951">
        <w:rPr>
          <w:rFonts w:eastAsiaTheme="minorHAnsi"/>
          <w:rtl/>
        </w:rPr>
        <w:t xml:space="preserve"> </w:t>
      </w:r>
      <w:r w:rsidRPr="00675951">
        <w:rPr>
          <w:rFonts w:eastAsiaTheme="minorHAnsi" w:hint="eastAsia"/>
          <w:rtl/>
        </w:rPr>
        <w:t>בנפרד</w:t>
      </w:r>
      <w:r w:rsidRPr="00675951">
        <w:rPr>
          <w:rFonts w:eastAsiaTheme="minorHAnsi"/>
          <w:rtl/>
        </w:rPr>
        <w:t xml:space="preserve"> </w:t>
      </w:r>
      <w:r w:rsidRPr="00675951">
        <w:rPr>
          <w:rFonts w:eastAsiaTheme="minorHAnsi" w:hint="eastAsia"/>
          <w:rtl/>
        </w:rPr>
        <w:t>או</w:t>
      </w:r>
      <w:r w:rsidRPr="00675951">
        <w:rPr>
          <w:rFonts w:eastAsiaTheme="minorHAnsi"/>
          <w:rtl/>
        </w:rPr>
        <w:t xml:space="preserve"> </w:t>
      </w:r>
      <w:r w:rsidRPr="00675951">
        <w:rPr>
          <w:rFonts w:eastAsiaTheme="minorHAnsi" w:hint="eastAsia"/>
          <w:rtl/>
        </w:rPr>
        <w:t>תחת</w:t>
      </w:r>
      <w:r w:rsidRPr="00675951">
        <w:rPr>
          <w:rFonts w:eastAsiaTheme="minorHAnsi"/>
          <w:rtl/>
        </w:rPr>
        <w:t xml:space="preserve"> </w:t>
      </w:r>
      <w:r w:rsidRPr="00675951">
        <w:rPr>
          <w:rFonts w:eastAsiaTheme="minorHAnsi" w:hint="eastAsia"/>
          <w:rtl/>
        </w:rPr>
        <w:t>סעיפים</w:t>
      </w:r>
      <w:r w:rsidRPr="00675951">
        <w:rPr>
          <w:rFonts w:eastAsiaTheme="minorHAnsi"/>
          <w:rtl/>
        </w:rPr>
        <w:t xml:space="preserve"> </w:t>
      </w:r>
      <w:r w:rsidRPr="00675951">
        <w:rPr>
          <w:rFonts w:eastAsiaTheme="minorHAnsi" w:hint="eastAsia"/>
          <w:rtl/>
        </w:rPr>
        <w:t>אחרים</w:t>
      </w:r>
      <w:r w:rsidRPr="00675951">
        <w:rPr>
          <w:rFonts w:eastAsiaTheme="minorHAnsi"/>
          <w:rtl/>
        </w:rPr>
        <w:t xml:space="preserve">. </w:t>
      </w:r>
      <w:r w:rsidRPr="00675951">
        <w:rPr>
          <w:rFonts w:eastAsiaTheme="minorHAnsi" w:hint="eastAsia"/>
          <w:rtl/>
        </w:rPr>
        <w:t>כמו</w:t>
      </w:r>
      <w:r w:rsidRPr="00675951">
        <w:rPr>
          <w:rFonts w:eastAsiaTheme="minorHAnsi"/>
          <w:rtl/>
        </w:rPr>
        <w:t xml:space="preserve"> </w:t>
      </w:r>
      <w:r w:rsidRPr="00675951">
        <w:rPr>
          <w:rFonts w:eastAsiaTheme="minorHAnsi" w:hint="eastAsia"/>
          <w:rtl/>
        </w:rPr>
        <w:t>כן</w:t>
      </w:r>
      <w:r w:rsidRPr="00675951">
        <w:rPr>
          <w:rFonts w:eastAsiaTheme="minorHAnsi"/>
          <w:rtl/>
        </w:rPr>
        <w:t xml:space="preserve">, </w:t>
      </w:r>
      <w:r w:rsidRPr="00675951">
        <w:rPr>
          <w:rFonts w:eastAsiaTheme="minorHAnsi" w:hint="eastAsia"/>
          <w:rtl/>
        </w:rPr>
        <w:t>יש</w:t>
      </w:r>
      <w:r w:rsidRPr="00675951">
        <w:rPr>
          <w:rFonts w:eastAsiaTheme="minorHAnsi"/>
          <w:rtl/>
        </w:rPr>
        <w:t xml:space="preserve"> </w:t>
      </w:r>
      <w:r w:rsidRPr="00675951">
        <w:rPr>
          <w:rFonts w:eastAsiaTheme="minorHAnsi" w:hint="eastAsia"/>
          <w:rtl/>
        </w:rPr>
        <w:t>משרדים</w:t>
      </w:r>
      <w:r w:rsidRPr="00675951">
        <w:rPr>
          <w:rFonts w:eastAsiaTheme="minorHAnsi"/>
          <w:rtl/>
        </w:rPr>
        <w:t xml:space="preserve"> </w:t>
      </w:r>
      <w:r w:rsidRPr="00675951">
        <w:rPr>
          <w:rFonts w:eastAsiaTheme="minorHAnsi" w:hint="eastAsia"/>
          <w:rtl/>
        </w:rPr>
        <w:t>שמפצלים</w:t>
      </w:r>
      <w:r w:rsidRPr="00675951">
        <w:rPr>
          <w:rFonts w:eastAsiaTheme="minorHAnsi"/>
          <w:rtl/>
        </w:rPr>
        <w:t xml:space="preserve"> </w:t>
      </w:r>
      <w:r w:rsidRPr="00675951">
        <w:rPr>
          <w:rFonts w:eastAsiaTheme="minorHAnsi" w:hint="eastAsia"/>
          <w:rtl/>
        </w:rPr>
        <w:t>בדוח</w:t>
      </w:r>
      <w:r w:rsidRPr="00675951">
        <w:rPr>
          <w:rFonts w:eastAsiaTheme="minorHAnsi"/>
          <w:rtl/>
        </w:rPr>
        <w:t xml:space="preserve"> </w:t>
      </w:r>
      <w:r w:rsidRPr="00675951">
        <w:rPr>
          <w:rFonts w:eastAsiaTheme="minorHAnsi" w:hint="eastAsia"/>
          <w:rtl/>
        </w:rPr>
        <w:t>על</w:t>
      </w:r>
      <w:r w:rsidRPr="00675951">
        <w:rPr>
          <w:rFonts w:eastAsiaTheme="minorHAnsi"/>
          <w:rtl/>
        </w:rPr>
        <w:t xml:space="preserve"> </w:t>
      </w:r>
      <w:r w:rsidRPr="00675951">
        <w:rPr>
          <w:rFonts w:eastAsiaTheme="minorHAnsi" w:hint="eastAsia"/>
          <w:rtl/>
        </w:rPr>
        <w:t>המצב</w:t>
      </w:r>
      <w:r w:rsidRPr="00675951">
        <w:rPr>
          <w:rFonts w:eastAsiaTheme="minorHAnsi"/>
          <w:rtl/>
        </w:rPr>
        <w:t xml:space="preserve"> </w:t>
      </w:r>
      <w:r w:rsidRPr="00675951">
        <w:rPr>
          <w:rFonts w:eastAsiaTheme="minorHAnsi" w:hint="eastAsia"/>
          <w:rtl/>
        </w:rPr>
        <w:t>הכספי</w:t>
      </w:r>
      <w:r w:rsidRPr="00675951">
        <w:rPr>
          <w:rFonts w:eastAsiaTheme="minorHAnsi"/>
          <w:rtl/>
        </w:rPr>
        <w:t xml:space="preserve"> </w:t>
      </w:r>
      <w:r w:rsidRPr="00675951">
        <w:rPr>
          <w:rFonts w:eastAsiaTheme="minorHAnsi" w:hint="eastAsia"/>
          <w:rtl/>
        </w:rPr>
        <w:t>את</w:t>
      </w:r>
      <w:r w:rsidRPr="00675951">
        <w:rPr>
          <w:rFonts w:eastAsiaTheme="minorHAnsi"/>
          <w:rtl/>
        </w:rPr>
        <w:t xml:space="preserve"> </w:t>
      </w:r>
      <w:r w:rsidRPr="00675951">
        <w:rPr>
          <w:rFonts w:eastAsiaTheme="minorHAnsi" w:hint="eastAsia"/>
          <w:rtl/>
        </w:rPr>
        <w:t>סעיף</w:t>
      </w:r>
      <w:r w:rsidRPr="00675951">
        <w:rPr>
          <w:rFonts w:eastAsiaTheme="minorHAnsi"/>
          <w:rtl/>
        </w:rPr>
        <w:t xml:space="preserve"> "חייבים </w:t>
      </w:r>
      <w:r w:rsidRPr="00675951">
        <w:rPr>
          <w:rFonts w:eastAsiaTheme="minorHAnsi" w:hint="eastAsia"/>
          <w:rtl/>
        </w:rPr>
        <w:t>ויתרות</w:t>
      </w:r>
      <w:r w:rsidRPr="00675951">
        <w:rPr>
          <w:rFonts w:eastAsiaTheme="minorHAnsi"/>
          <w:rtl/>
        </w:rPr>
        <w:t xml:space="preserve"> </w:t>
      </w:r>
      <w:r w:rsidRPr="00675951">
        <w:rPr>
          <w:rFonts w:eastAsiaTheme="minorHAnsi" w:hint="eastAsia"/>
          <w:rtl/>
        </w:rPr>
        <w:t>חובה</w:t>
      </w:r>
      <w:r w:rsidRPr="00675951">
        <w:rPr>
          <w:rFonts w:eastAsiaTheme="minorHAnsi"/>
          <w:rtl/>
        </w:rPr>
        <w:t xml:space="preserve">" </w:t>
      </w:r>
      <w:r w:rsidRPr="00675951">
        <w:rPr>
          <w:rFonts w:eastAsiaTheme="minorHAnsi" w:hint="eastAsia"/>
          <w:rtl/>
        </w:rPr>
        <w:t>ל</w:t>
      </w:r>
      <w:r w:rsidRPr="00675951">
        <w:rPr>
          <w:rFonts w:eastAsiaTheme="minorHAnsi"/>
          <w:rtl/>
        </w:rPr>
        <w:t xml:space="preserve">"חייבים </w:t>
      </w:r>
      <w:r w:rsidRPr="00675951">
        <w:rPr>
          <w:rFonts w:eastAsiaTheme="minorHAnsi" w:hint="eastAsia"/>
          <w:rtl/>
        </w:rPr>
        <w:t>מעסקאות</w:t>
      </w:r>
      <w:r w:rsidRPr="00675951">
        <w:rPr>
          <w:rFonts w:eastAsiaTheme="minorHAnsi"/>
          <w:rtl/>
        </w:rPr>
        <w:t xml:space="preserve"> </w:t>
      </w:r>
      <w:r w:rsidRPr="00675951">
        <w:rPr>
          <w:rFonts w:eastAsiaTheme="minorHAnsi" w:hint="eastAsia"/>
          <w:rtl/>
        </w:rPr>
        <w:t>שאינן</w:t>
      </w:r>
      <w:r w:rsidRPr="00675951">
        <w:rPr>
          <w:rFonts w:eastAsiaTheme="minorHAnsi"/>
          <w:rtl/>
        </w:rPr>
        <w:t xml:space="preserve"> </w:t>
      </w:r>
      <w:r w:rsidRPr="00675951">
        <w:rPr>
          <w:rFonts w:eastAsiaTheme="minorHAnsi" w:hint="eastAsia"/>
          <w:rtl/>
        </w:rPr>
        <w:t>חליפין</w:t>
      </w:r>
      <w:r w:rsidRPr="00675951">
        <w:rPr>
          <w:rFonts w:eastAsiaTheme="minorHAnsi"/>
          <w:rtl/>
        </w:rPr>
        <w:t xml:space="preserve">", </w:t>
      </w:r>
      <w:r w:rsidRPr="00675951">
        <w:rPr>
          <w:rFonts w:eastAsiaTheme="minorHAnsi" w:hint="eastAsia"/>
          <w:rtl/>
        </w:rPr>
        <w:t>ל</w:t>
      </w:r>
      <w:r w:rsidRPr="00675951">
        <w:rPr>
          <w:rFonts w:eastAsiaTheme="minorHAnsi"/>
          <w:rtl/>
        </w:rPr>
        <w:t xml:space="preserve">"חייבים </w:t>
      </w:r>
      <w:r w:rsidRPr="00675951">
        <w:rPr>
          <w:rFonts w:eastAsiaTheme="minorHAnsi" w:hint="eastAsia"/>
          <w:rtl/>
        </w:rPr>
        <w:t>מעסקאות</w:t>
      </w:r>
      <w:r w:rsidRPr="00675951">
        <w:rPr>
          <w:rFonts w:eastAsiaTheme="minorHAnsi"/>
          <w:rtl/>
        </w:rPr>
        <w:t xml:space="preserve"> </w:t>
      </w:r>
      <w:r w:rsidRPr="00675951">
        <w:rPr>
          <w:rFonts w:eastAsiaTheme="minorHAnsi" w:hint="eastAsia"/>
          <w:rtl/>
        </w:rPr>
        <w:t>חליפין</w:t>
      </w:r>
      <w:r w:rsidRPr="00675951">
        <w:rPr>
          <w:rFonts w:eastAsiaTheme="minorHAnsi"/>
          <w:rtl/>
        </w:rPr>
        <w:t xml:space="preserve">" </w:t>
      </w:r>
      <w:r w:rsidRPr="00675951">
        <w:rPr>
          <w:rFonts w:eastAsiaTheme="minorHAnsi" w:hint="eastAsia"/>
          <w:rtl/>
        </w:rPr>
        <w:t>וכן</w:t>
      </w:r>
      <w:r w:rsidRPr="00675951">
        <w:rPr>
          <w:rFonts w:eastAsiaTheme="minorHAnsi"/>
          <w:rtl/>
        </w:rPr>
        <w:t xml:space="preserve"> </w:t>
      </w:r>
      <w:r w:rsidRPr="00675951">
        <w:rPr>
          <w:rFonts w:eastAsiaTheme="minorHAnsi" w:hint="eastAsia"/>
          <w:rtl/>
        </w:rPr>
        <w:t>ל</w:t>
      </w:r>
      <w:r w:rsidRPr="00675951">
        <w:rPr>
          <w:rFonts w:eastAsiaTheme="minorHAnsi"/>
          <w:rtl/>
        </w:rPr>
        <w:t xml:space="preserve">"חייבים </w:t>
      </w:r>
      <w:r w:rsidRPr="00675951">
        <w:rPr>
          <w:rFonts w:eastAsiaTheme="minorHAnsi" w:hint="eastAsia"/>
          <w:rtl/>
        </w:rPr>
        <w:t>אחרים</w:t>
      </w:r>
      <w:r w:rsidRPr="00675951">
        <w:rPr>
          <w:rFonts w:eastAsiaTheme="minorHAnsi"/>
          <w:rtl/>
        </w:rPr>
        <w:t xml:space="preserve">", </w:t>
      </w:r>
      <w:r w:rsidRPr="00675951">
        <w:rPr>
          <w:rFonts w:eastAsiaTheme="minorHAnsi" w:hint="eastAsia"/>
          <w:rtl/>
        </w:rPr>
        <w:t>בעוד</w:t>
      </w:r>
      <w:r w:rsidRPr="00675951">
        <w:rPr>
          <w:rFonts w:eastAsiaTheme="minorHAnsi"/>
          <w:rtl/>
        </w:rPr>
        <w:t xml:space="preserve"> </w:t>
      </w:r>
      <w:r w:rsidRPr="00675951">
        <w:rPr>
          <w:rFonts w:eastAsiaTheme="minorHAnsi" w:hint="eastAsia"/>
          <w:rtl/>
        </w:rPr>
        <w:t>שמשרדים</w:t>
      </w:r>
      <w:r w:rsidRPr="00675951">
        <w:rPr>
          <w:rFonts w:eastAsiaTheme="minorHAnsi"/>
          <w:rtl/>
        </w:rPr>
        <w:t xml:space="preserve"> </w:t>
      </w:r>
      <w:r w:rsidRPr="00675951">
        <w:rPr>
          <w:rFonts w:eastAsiaTheme="minorHAnsi" w:hint="eastAsia"/>
          <w:rtl/>
        </w:rPr>
        <w:t>אחרים</w:t>
      </w:r>
      <w:r w:rsidRPr="00675951">
        <w:rPr>
          <w:rFonts w:eastAsiaTheme="minorHAnsi"/>
          <w:rtl/>
        </w:rPr>
        <w:t xml:space="preserve"> </w:t>
      </w:r>
      <w:r w:rsidRPr="00675951">
        <w:rPr>
          <w:rFonts w:eastAsiaTheme="minorHAnsi" w:hint="eastAsia"/>
          <w:rtl/>
        </w:rPr>
        <w:t>מציגים</w:t>
      </w:r>
      <w:r w:rsidRPr="00675951">
        <w:rPr>
          <w:rFonts w:eastAsiaTheme="minorHAnsi"/>
          <w:rtl/>
        </w:rPr>
        <w:t xml:space="preserve"> </w:t>
      </w:r>
      <w:r w:rsidRPr="00675951">
        <w:rPr>
          <w:rFonts w:eastAsiaTheme="minorHAnsi" w:hint="eastAsia"/>
          <w:rtl/>
        </w:rPr>
        <w:t>הפרדה</w:t>
      </w:r>
      <w:r w:rsidRPr="00675951">
        <w:rPr>
          <w:rFonts w:eastAsiaTheme="minorHAnsi"/>
          <w:rtl/>
        </w:rPr>
        <w:t xml:space="preserve"> </w:t>
      </w:r>
      <w:r w:rsidRPr="00675951">
        <w:rPr>
          <w:rFonts w:eastAsiaTheme="minorHAnsi" w:hint="eastAsia"/>
          <w:rtl/>
        </w:rPr>
        <w:t>זו</w:t>
      </w:r>
      <w:r w:rsidRPr="00675951">
        <w:rPr>
          <w:rFonts w:eastAsiaTheme="minorHAnsi"/>
          <w:rtl/>
        </w:rPr>
        <w:t xml:space="preserve"> </w:t>
      </w:r>
      <w:r w:rsidRPr="00675951">
        <w:rPr>
          <w:rFonts w:eastAsiaTheme="minorHAnsi" w:hint="eastAsia"/>
          <w:rtl/>
        </w:rPr>
        <w:t>רק</w:t>
      </w:r>
      <w:r w:rsidRPr="00675951">
        <w:rPr>
          <w:rFonts w:eastAsiaTheme="minorHAnsi"/>
          <w:rtl/>
        </w:rPr>
        <w:t xml:space="preserve"> </w:t>
      </w:r>
      <w:r w:rsidRPr="00675951">
        <w:rPr>
          <w:rFonts w:eastAsiaTheme="minorHAnsi" w:hint="eastAsia"/>
          <w:rtl/>
        </w:rPr>
        <w:t>בביאור</w:t>
      </w:r>
      <w:r w:rsidRPr="00675951">
        <w:rPr>
          <w:rFonts w:eastAsiaTheme="minorHAnsi"/>
          <w:rtl/>
        </w:rPr>
        <w:t xml:space="preserve">. </w:t>
      </w:r>
      <w:r w:rsidRPr="00675951">
        <w:rPr>
          <w:rFonts w:eastAsiaTheme="minorHAnsi" w:hint="eastAsia"/>
          <w:rtl/>
        </w:rPr>
        <w:t>עוד</w:t>
      </w:r>
      <w:r w:rsidRPr="00675951">
        <w:rPr>
          <w:rFonts w:eastAsiaTheme="minorHAnsi"/>
          <w:rtl/>
        </w:rPr>
        <w:t xml:space="preserve"> </w:t>
      </w:r>
      <w:r w:rsidRPr="00675951">
        <w:rPr>
          <w:rFonts w:eastAsiaTheme="minorHAnsi" w:hint="eastAsia"/>
          <w:rtl/>
        </w:rPr>
        <w:t>עלה</w:t>
      </w:r>
      <w:r w:rsidRPr="00675951">
        <w:rPr>
          <w:rFonts w:eastAsiaTheme="minorHAnsi"/>
          <w:rtl/>
        </w:rPr>
        <w:t xml:space="preserve"> </w:t>
      </w:r>
      <w:r w:rsidRPr="00675951">
        <w:rPr>
          <w:rFonts w:eastAsiaTheme="minorHAnsi" w:hint="eastAsia"/>
          <w:rtl/>
        </w:rPr>
        <w:t>כי</w:t>
      </w:r>
      <w:r w:rsidRPr="00675951">
        <w:rPr>
          <w:rFonts w:eastAsiaTheme="minorHAnsi"/>
          <w:rtl/>
        </w:rPr>
        <w:t xml:space="preserve"> </w:t>
      </w:r>
      <w:r w:rsidRPr="00675951">
        <w:rPr>
          <w:rFonts w:eastAsiaTheme="minorHAnsi" w:hint="eastAsia"/>
          <w:rtl/>
        </w:rPr>
        <w:t>הדוחות</w:t>
      </w:r>
      <w:r w:rsidRPr="00675951">
        <w:rPr>
          <w:rFonts w:eastAsiaTheme="minorHAnsi"/>
          <w:rtl/>
        </w:rPr>
        <w:t xml:space="preserve"> </w:t>
      </w:r>
      <w:r w:rsidRPr="00675951">
        <w:rPr>
          <w:rFonts w:eastAsiaTheme="minorHAnsi" w:hint="eastAsia"/>
          <w:rtl/>
        </w:rPr>
        <w:t>הכספיים</w:t>
      </w:r>
      <w:r w:rsidRPr="00675951">
        <w:rPr>
          <w:rFonts w:eastAsiaTheme="minorHAnsi"/>
          <w:rtl/>
        </w:rPr>
        <w:t xml:space="preserve"> </w:t>
      </w:r>
      <w:r w:rsidRPr="00675951">
        <w:rPr>
          <w:rFonts w:eastAsiaTheme="minorHAnsi" w:hint="eastAsia"/>
          <w:rtl/>
        </w:rPr>
        <w:t>של</w:t>
      </w:r>
      <w:r w:rsidRPr="00675951">
        <w:rPr>
          <w:rFonts w:eastAsiaTheme="minorHAnsi"/>
          <w:rtl/>
        </w:rPr>
        <w:t xml:space="preserve"> </w:t>
      </w:r>
      <w:r w:rsidRPr="00675951">
        <w:rPr>
          <w:rFonts w:eastAsiaTheme="minorHAnsi" w:hint="eastAsia"/>
          <w:rtl/>
        </w:rPr>
        <w:t>המשרדים</w:t>
      </w:r>
      <w:r w:rsidRPr="00675951">
        <w:rPr>
          <w:rFonts w:eastAsiaTheme="minorHAnsi" w:hint="cs"/>
          <w:rtl/>
        </w:rPr>
        <w:t xml:space="preserve"> (דוחות סולו)</w:t>
      </w:r>
      <w:r w:rsidRPr="00675951">
        <w:rPr>
          <w:rFonts w:eastAsiaTheme="minorHAnsi"/>
          <w:rtl/>
        </w:rPr>
        <w:t xml:space="preserve"> אינם מתפרסמים לציבור.</w:t>
      </w:r>
    </w:p>
    <w:p w14:paraId="587FBA70" w14:textId="77777777" w:rsidR="007C4395" w:rsidRDefault="007C4395" w:rsidP="003B2683">
      <w:pPr>
        <w:pStyle w:val="71f4"/>
        <w:rPr>
          <w:rtl/>
        </w:rPr>
      </w:pPr>
      <w:r>
        <w:rPr>
          <w:rFonts w:hint="cs"/>
          <w:rtl/>
        </w:rPr>
        <w:t xml:space="preserve">יצירת האחדה בדיווח ובהצגה של הדוחות הכספיים של משרדי הממשלה השונים תסייע במלאכת איחוד </w:t>
      </w:r>
      <w:r w:rsidRPr="00232F68">
        <w:rPr>
          <w:rFonts w:hint="cs"/>
          <w:rtl/>
        </w:rPr>
        <w:t>ה</w:t>
      </w:r>
      <w:r>
        <w:rPr>
          <w:rFonts w:hint="cs"/>
          <w:rtl/>
        </w:rPr>
        <w:t>דוחות</w:t>
      </w:r>
      <w:r w:rsidRPr="00232F68">
        <w:rPr>
          <w:rFonts w:hint="cs"/>
          <w:rtl/>
        </w:rPr>
        <w:t xml:space="preserve"> </w:t>
      </w:r>
      <w:r>
        <w:rPr>
          <w:rFonts w:hint="cs"/>
          <w:rtl/>
        </w:rPr>
        <w:t xml:space="preserve">על ידי אגף החשב הכללי, </w:t>
      </w:r>
      <w:r w:rsidRPr="00232F68">
        <w:rPr>
          <w:rFonts w:hint="cs"/>
          <w:rtl/>
        </w:rPr>
        <w:t>ו</w:t>
      </w:r>
      <w:r>
        <w:rPr>
          <w:rFonts w:hint="cs"/>
          <w:rtl/>
        </w:rPr>
        <w:t xml:space="preserve">כן תסייע </w:t>
      </w:r>
      <w:r w:rsidRPr="00232F68">
        <w:rPr>
          <w:rFonts w:hint="cs"/>
          <w:rtl/>
        </w:rPr>
        <w:t>ל</w:t>
      </w:r>
      <w:r>
        <w:rPr>
          <w:rFonts w:hint="cs"/>
          <w:rtl/>
        </w:rPr>
        <w:t xml:space="preserve">ציבור </w:t>
      </w:r>
      <w:r w:rsidRPr="00232F68">
        <w:rPr>
          <w:rFonts w:hint="cs"/>
          <w:rtl/>
        </w:rPr>
        <w:t>משתמשי ה</w:t>
      </w:r>
      <w:r>
        <w:rPr>
          <w:rFonts w:hint="cs"/>
          <w:rtl/>
        </w:rPr>
        <w:t>דוחות</w:t>
      </w:r>
      <w:r w:rsidRPr="00232F68">
        <w:rPr>
          <w:rFonts w:hint="cs"/>
          <w:rtl/>
        </w:rPr>
        <w:t xml:space="preserve"> הכספיים ל</w:t>
      </w:r>
      <w:r>
        <w:rPr>
          <w:rFonts w:hint="cs"/>
          <w:rtl/>
        </w:rPr>
        <w:t xml:space="preserve">בחון את פעילות </w:t>
      </w:r>
      <w:r w:rsidRPr="00232F68">
        <w:rPr>
          <w:rFonts w:hint="cs"/>
          <w:rtl/>
        </w:rPr>
        <w:t xml:space="preserve">משרדי הממשלה </w:t>
      </w:r>
      <w:r>
        <w:rPr>
          <w:rFonts w:hint="cs"/>
          <w:rtl/>
        </w:rPr>
        <w:t>ולהשוות ביניהם.</w:t>
      </w:r>
    </w:p>
    <w:p w14:paraId="37204F0D" w14:textId="77777777" w:rsidR="007C4395" w:rsidRPr="0028002A" w:rsidRDefault="007C4395" w:rsidP="002A738D">
      <w:pPr>
        <w:pStyle w:val="7190"/>
        <w:rPr>
          <w:rtl/>
        </w:rPr>
      </w:pPr>
      <w:r>
        <w:rPr>
          <w:rFonts w:hint="cs"/>
          <w:rtl/>
        </w:rPr>
        <w:t xml:space="preserve">בתשובת אגף </w:t>
      </w:r>
      <w:proofErr w:type="spellStart"/>
      <w:r>
        <w:rPr>
          <w:rFonts w:hint="cs"/>
          <w:rtl/>
        </w:rPr>
        <w:t>החשכ"ל</w:t>
      </w:r>
      <w:proofErr w:type="spellEnd"/>
      <w:r>
        <w:rPr>
          <w:rFonts w:hint="cs"/>
          <w:rtl/>
        </w:rPr>
        <w:t xml:space="preserve"> נמסר כי </w:t>
      </w:r>
      <w:r w:rsidRPr="0028002A">
        <w:rPr>
          <w:rtl/>
        </w:rPr>
        <w:t>האחריות לדוחות הכספיים הי</w:t>
      </w:r>
      <w:r>
        <w:rPr>
          <w:rFonts w:hint="cs"/>
          <w:rtl/>
        </w:rPr>
        <w:t>א</w:t>
      </w:r>
      <w:r w:rsidRPr="0028002A">
        <w:rPr>
          <w:rtl/>
        </w:rPr>
        <w:t xml:space="preserve"> של המשרדים</w:t>
      </w:r>
      <w:r>
        <w:rPr>
          <w:rFonts w:hint="cs"/>
          <w:rtl/>
        </w:rPr>
        <w:t>,</w:t>
      </w:r>
      <w:r w:rsidRPr="0028002A">
        <w:rPr>
          <w:rtl/>
        </w:rPr>
        <w:t xml:space="preserve"> </w:t>
      </w:r>
      <w:r>
        <w:rPr>
          <w:rFonts w:hint="cs"/>
          <w:rtl/>
        </w:rPr>
        <w:t>ול</w:t>
      </w:r>
      <w:r w:rsidRPr="0028002A">
        <w:rPr>
          <w:rtl/>
        </w:rPr>
        <w:t xml:space="preserve">רואי החשבון </w:t>
      </w:r>
      <w:r>
        <w:rPr>
          <w:rFonts w:hint="cs"/>
          <w:rtl/>
        </w:rPr>
        <w:t xml:space="preserve">יש </w:t>
      </w:r>
      <w:r w:rsidRPr="0028002A">
        <w:rPr>
          <w:rtl/>
        </w:rPr>
        <w:t>אחריות לבקר</w:t>
      </w:r>
      <w:r>
        <w:rPr>
          <w:rFonts w:hint="cs"/>
          <w:rtl/>
        </w:rPr>
        <w:t xml:space="preserve"> את הדוחות הכספיים</w:t>
      </w:r>
      <w:r w:rsidRPr="0028002A">
        <w:rPr>
          <w:rtl/>
        </w:rPr>
        <w:t xml:space="preserve"> ולוודא שנערכו בהתאם לתקינה המתאימה.</w:t>
      </w:r>
      <w:r>
        <w:rPr>
          <w:rFonts w:hint="cs"/>
          <w:rtl/>
        </w:rPr>
        <w:t xml:space="preserve"> אגף </w:t>
      </w:r>
      <w:proofErr w:type="spellStart"/>
      <w:r>
        <w:rPr>
          <w:rFonts w:hint="cs"/>
          <w:rtl/>
        </w:rPr>
        <w:t>החשכ"ל</w:t>
      </w:r>
      <w:proofErr w:type="spellEnd"/>
      <w:r>
        <w:rPr>
          <w:rFonts w:hint="cs"/>
          <w:rtl/>
        </w:rPr>
        <w:t xml:space="preserve"> ציין כי </w:t>
      </w:r>
      <w:r>
        <w:rPr>
          <w:rtl/>
        </w:rPr>
        <w:t xml:space="preserve">ייתכנו מצבים </w:t>
      </w:r>
      <w:r>
        <w:rPr>
          <w:rFonts w:hint="cs"/>
          <w:rtl/>
        </w:rPr>
        <w:t>ש</w:t>
      </w:r>
      <w:r>
        <w:rPr>
          <w:rtl/>
        </w:rPr>
        <w:t xml:space="preserve">בהם משרדי ממשלה יבחרו להציג בדוחותיהם הכספיים סעיפים בשורה נפרדת או לחלופין לקבץ </w:t>
      </w:r>
      <w:r>
        <w:rPr>
          <w:rFonts w:hint="cs"/>
          <w:rtl/>
        </w:rPr>
        <w:t>כמה</w:t>
      </w:r>
      <w:r>
        <w:rPr>
          <w:rtl/>
        </w:rPr>
        <w:t xml:space="preserve"> סעיפים יחד, וזאת בהתאם למהותיות החשבונאית באותו משרד</w:t>
      </w:r>
      <w:r>
        <w:rPr>
          <w:rFonts w:hint="cs"/>
          <w:rtl/>
        </w:rPr>
        <w:t xml:space="preserve"> ממשלתי</w:t>
      </w:r>
      <w:r>
        <w:rPr>
          <w:rtl/>
        </w:rPr>
        <w:t>.</w:t>
      </w:r>
      <w:r>
        <w:rPr>
          <w:rFonts w:hint="cs"/>
          <w:rtl/>
        </w:rPr>
        <w:t xml:space="preserve"> אם </w:t>
      </w:r>
      <w:r>
        <w:rPr>
          <w:rtl/>
        </w:rPr>
        <w:t xml:space="preserve">הצגה שונה זו נעשתה בצורה מושכלת </w:t>
      </w:r>
      <w:r>
        <w:rPr>
          <w:rFonts w:hint="cs"/>
          <w:rtl/>
        </w:rPr>
        <w:t>על ידי</w:t>
      </w:r>
      <w:r>
        <w:rPr>
          <w:rtl/>
        </w:rPr>
        <w:t xml:space="preserve"> המשרד</w:t>
      </w:r>
      <w:r>
        <w:rPr>
          <w:rFonts w:hint="cs"/>
          <w:rtl/>
        </w:rPr>
        <w:t xml:space="preserve"> הממשלתי</w:t>
      </w:r>
      <w:r>
        <w:rPr>
          <w:rtl/>
        </w:rPr>
        <w:t xml:space="preserve"> ובהתאם לתקינה החשבונאית</w:t>
      </w:r>
      <w:r>
        <w:rPr>
          <w:rFonts w:hint="cs"/>
          <w:rtl/>
        </w:rPr>
        <w:t xml:space="preserve"> -</w:t>
      </w:r>
      <w:r>
        <w:rPr>
          <w:rtl/>
        </w:rPr>
        <w:t xml:space="preserve"> הדבר </w:t>
      </w:r>
      <w:r>
        <w:rPr>
          <w:rFonts w:hint="cs"/>
          <w:rtl/>
        </w:rPr>
        <w:t xml:space="preserve">הוא </w:t>
      </w:r>
      <w:r>
        <w:rPr>
          <w:rtl/>
        </w:rPr>
        <w:t>תקין.</w:t>
      </w:r>
    </w:p>
    <w:p w14:paraId="6D8582EE" w14:textId="77777777" w:rsidR="007C4395" w:rsidRPr="00675951" w:rsidRDefault="007C4395" w:rsidP="00675951">
      <w:pPr>
        <w:pStyle w:val="71f4"/>
        <w:rPr>
          <w:rtl/>
        </w:rPr>
      </w:pPr>
      <w:r w:rsidRPr="00675951">
        <w:rPr>
          <w:rFonts w:hint="cs"/>
          <w:rtl/>
        </w:rPr>
        <w:t xml:space="preserve">מומלץ כי אגף </w:t>
      </w:r>
      <w:proofErr w:type="spellStart"/>
      <w:r w:rsidRPr="00675951">
        <w:rPr>
          <w:rFonts w:hint="cs"/>
          <w:rtl/>
        </w:rPr>
        <w:t>החשכ"ל</w:t>
      </w:r>
      <w:proofErr w:type="spellEnd"/>
      <w:r w:rsidRPr="00675951">
        <w:rPr>
          <w:rFonts w:hint="cs"/>
        </w:rPr>
        <w:t xml:space="preserve"> </w:t>
      </w:r>
      <w:r w:rsidRPr="00675951">
        <w:rPr>
          <w:rFonts w:hint="cs"/>
          <w:rtl/>
        </w:rPr>
        <w:t xml:space="preserve">יוודא שאופן ההצגה של הדוחות הכספיים סולו של משרדי הממשלה תואם למבנה האחיד כפי שעולה מהדוח הכספי לדוגמה, וזאת כדי להקל את תהליך איחוד הדוחות הכספיים במסגרת הכנת הדוחות של המדינה. כמו כן מומלץ כי נוכח חשיבות המידע הכלול בדוחות הנפרדים של משרדי הממשלה, יפרסם אגף </w:t>
      </w:r>
      <w:proofErr w:type="spellStart"/>
      <w:r w:rsidRPr="00675951">
        <w:rPr>
          <w:rFonts w:hint="cs"/>
          <w:rtl/>
        </w:rPr>
        <w:t>החשכ"ל</w:t>
      </w:r>
      <w:proofErr w:type="spellEnd"/>
      <w:r w:rsidRPr="00675951">
        <w:rPr>
          <w:rFonts w:hint="cs"/>
          <w:rtl/>
        </w:rPr>
        <w:t xml:space="preserve"> דוחות אלה באתר המרשתת (האינטרנט) שלו</w:t>
      </w:r>
      <w:r w:rsidRPr="00675951">
        <w:rPr>
          <w:rStyle w:val="ac"/>
          <w:rtl/>
        </w:rPr>
        <w:footnoteReference w:id="37"/>
      </w:r>
      <w:r w:rsidRPr="00675951">
        <w:rPr>
          <w:rFonts w:hint="cs"/>
          <w:rtl/>
        </w:rPr>
        <w:t>.</w:t>
      </w:r>
    </w:p>
    <w:p w14:paraId="35FCE32A" w14:textId="77777777" w:rsidR="007C4395" w:rsidRPr="000829EC" w:rsidRDefault="007C4395" w:rsidP="006F4D0D">
      <w:pPr>
        <w:pStyle w:val="71414"/>
        <w:rPr>
          <w:rtl/>
        </w:rPr>
      </w:pPr>
      <w:r w:rsidRPr="000829EC">
        <w:rPr>
          <w:rFonts w:hint="cs"/>
          <w:rtl/>
        </w:rPr>
        <w:lastRenderedPageBreak/>
        <w:t>יחס</w:t>
      </w:r>
      <w:r>
        <w:rPr>
          <w:rFonts w:hint="cs"/>
          <w:rtl/>
        </w:rPr>
        <w:t>ים</w:t>
      </w:r>
      <w:r w:rsidRPr="000829EC">
        <w:rPr>
          <w:rFonts w:hint="cs"/>
          <w:rtl/>
        </w:rPr>
        <w:t xml:space="preserve"> פיננסי</w:t>
      </w:r>
      <w:r>
        <w:rPr>
          <w:rFonts w:hint="cs"/>
          <w:rtl/>
        </w:rPr>
        <w:t>ים</w:t>
      </w:r>
    </w:p>
    <w:p w14:paraId="41A3A217" w14:textId="62F3E541" w:rsidR="007C4395" w:rsidRDefault="007C4395" w:rsidP="002A738D">
      <w:pPr>
        <w:pStyle w:val="7190"/>
        <w:rPr>
          <w:rtl/>
        </w:rPr>
      </w:pPr>
      <w:r>
        <w:rPr>
          <w:rFonts w:hint="cs"/>
          <w:rtl/>
        </w:rPr>
        <w:t>ה</w:t>
      </w:r>
      <w:r w:rsidRPr="005669D3">
        <w:rPr>
          <w:rFonts w:hint="cs"/>
          <w:rtl/>
        </w:rPr>
        <w:t xml:space="preserve">יחס </w:t>
      </w:r>
      <w:r>
        <w:rPr>
          <w:rFonts w:hint="cs"/>
          <w:rtl/>
        </w:rPr>
        <w:t>ה</w:t>
      </w:r>
      <w:r w:rsidRPr="005669D3">
        <w:rPr>
          <w:rFonts w:hint="cs"/>
          <w:rtl/>
        </w:rPr>
        <w:t>שוטף</w:t>
      </w:r>
      <w:r>
        <w:rPr>
          <w:rFonts w:hint="cs"/>
          <w:rtl/>
        </w:rPr>
        <w:t xml:space="preserve"> מחושב על ידי חלוקה של סך הנכסים השוטפים בסך ההתחייבויות השוטפות, והוא מלמד על היקף ההתחייבויות של הישות הנבדקת בטווח הזמן הקצר בהתחשב בהיקף הנכסים השוטפים של הישות האמורה</w:t>
      </w:r>
      <w:r>
        <w:rPr>
          <w:rStyle w:val="ac"/>
          <w:rtl/>
        </w:rPr>
        <w:footnoteReference w:id="38"/>
      </w:r>
      <w:r>
        <w:rPr>
          <w:rFonts w:hint="cs"/>
          <w:rtl/>
        </w:rPr>
        <w:t>. בתרשים שלהלן תוצאות הבדיקה של משרד מבקר המדינה על אודות ההשוואה של היחס השוטף במשרדי הממשלה הנבדקים הן על פני פרק זמן של חמש שנים והן בהשוואה ענפית בין המשרדים השונים.</w:t>
      </w:r>
    </w:p>
    <w:p w14:paraId="3D8E3269" w14:textId="56DDECCD" w:rsidR="007C4395" w:rsidRDefault="007C4395" w:rsidP="002A738D">
      <w:pPr>
        <w:pStyle w:val="7190"/>
        <w:rPr>
          <w:rtl/>
        </w:rPr>
      </w:pPr>
      <w:r>
        <w:rPr>
          <w:rFonts w:hint="cs"/>
          <w:rtl/>
        </w:rPr>
        <w:t xml:space="preserve">מהות ההתחייבויות השוטפות שונה </w:t>
      </w:r>
      <w:r w:rsidRPr="00143CC2">
        <w:rPr>
          <w:rFonts w:hint="cs"/>
          <w:rtl/>
        </w:rPr>
        <w:t>בכל אחד מהמשרדים שנבדקו.</w:t>
      </w:r>
      <w:r>
        <w:rPr>
          <w:rFonts w:hint="cs"/>
          <w:rtl/>
        </w:rPr>
        <w:t xml:space="preserve"> במשרד הבינוי והשיכון הי</w:t>
      </w:r>
      <w:r w:rsidRPr="00143CC2">
        <w:rPr>
          <w:rFonts w:hint="cs"/>
          <w:rtl/>
        </w:rPr>
        <w:t>א נובע</w:t>
      </w:r>
      <w:r>
        <w:rPr>
          <w:rFonts w:hint="cs"/>
          <w:rtl/>
        </w:rPr>
        <w:t xml:space="preserve">ת כאמור </w:t>
      </w:r>
      <w:r w:rsidRPr="00143CC2">
        <w:rPr>
          <w:rFonts w:hint="cs"/>
          <w:rtl/>
        </w:rPr>
        <w:t xml:space="preserve">בעיקר </w:t>
      </w:r>
      <w:r>
        <w:rPr>
          <w:rFonts w:hint="cs"/>
          <w:rtl/>
        </w:rPr>
        <w:t>מ</w:t>
      </w:r>
      <w:r w:rsidRPr="005A7F85">
        <w:rPr>
          <w:rFonts w:hint="cs"/>
          <w:rtl/>
        </w:rPr>
        <w:t xml:space="preserve">סכומים של מקדמות שהתקבלו עבור </w:t>
      </w:r>
      <w:r>
        <w:rPr>
          <w:rFonts w:hint="cs"/>
          <w:rtl/>
        </w:rPr>
        <w:t>מיזמי</w:t>
      </w:r>
      <w:r w:rsidRPr="005A7F85">
        <w:rPr>
          <w:rFonts w:hint="cs"/>
          <w:rtl/>
        </w:rPr>
        <w:t xml:space="preserve"> פיתוח מעבר לעלויות שהתהוו בפועל</w:t>
      </w:r>
      <w:r>
        <w:rPr>
          <w:rFonts w:hint="cs"/>
          <w:rtl/>
        </w:rPr>
        <w:t xml:space="preserve">; </w:t>
      </w:r>
      <w:r w:rsidRPr="00143CC2">
        <w:rPr>
          <w:rFonts w:hint="eastAsia"/>
          <w:rtl/>
        </w:rPr>
        <w:t>במשרד</w:t>
      </w:r>
      <w:r w:rsidRPr="00143CC2">
        <w:rPr>
          <w:rtl/>
        </w:rPr>
        <w:t xml:space="preserve"> </w:t>
      </w:r>
      <w:r w:rsidRPr="00143CC2">
        <w:rPr>
          <w:rFonts w:hint="eastAsia"/>
          <w:rtl/>
        </w:rPr>
        <w:t>הבריאות</w:t>
      </w:r>
      <w:r w:rsidRPr="00143CC2">
        <w:rPr>
          <w:rtl/>
        </w:rPr>
        <w:t xml:space="preserve"> </w:t>
      </w:r>
      <w:r>
        <w:rPr>
          <w:rFonts w:hint="eastAsia"/>
          <w:rtl/>
        </w:rPr>
        <w:t>ה</w:t>
      </w:r>
      <w:r>
        <w:rPr>
          <w:rFonts w:hint="cs"/>
          <w:rtl/>
        </w:rPr>
        <w:t>י</w:t>
      </w:r>
      <w:r w:rsidRPr="00143CC2">
        <w:rPr>
          <w:rFonts w:hint="eastAsia"/>
          <w:rtl/>
        </w:rPr>
        <w:t>א</w:t>
      </w:r>
      <w:r w:rsidRPr="00143CC2">
        <w:rPr>
          <w:rtl/>
        </w:rPr>
        <w:t xml:space="preserve"> </w:t>
      </w:r>
      <w:r w:rsidRPr="00143CC2">
        <w:rPr>
          <w:rFonts w:hint="eastAsia"/>
          <w:rtl/>
        </w:rPr>
        <w:t>נובע</w:t>
      </w:r>
      <w:r>
        <w:rPr>
          <w:rFonts w:hint="cs"/>
          <w:rtl/>
        </w:rPr>
        <w:t>ת</w:t>
      </w:r>
      <w:r w:rsidRPr="00143CC2">
        <w:rPr>
          <w:rtl/>
        </w:rPr>
        <w:t xml:space="preserve"> </w:t>
      </w:r>
      <w:r w:rsidRPr="00143CC2">
        <w:rPr>
          <w:rFonts w:hint="eastAsia"/>
          <w:rtl/>
        </w:rPr>
        <w:t>בעיקר</w:t>
      </w:r>
      <w:r w:rsidRPr="00143CC2">
        <w:rPr>
          <w:rtl/>
        </w:rPr>
        <w:t xml:space="preserve"> </w:t>
      </w:r>
      <w:r>
        <w:rPr>
          <w:rFonts w:hint="cs"/>
          <w:rtl/>
        </w:rPr>
        <w:t xml:space="preserve">מהתחייבויות בגין תמיכות ומהוצאות לשלם; </w:t>
      </w:r>
      <w:r w:rsidRPr="00143CC2">
        <w:rPr>
          <w:rFonts w:hint="eastAsia"/>
          <w:rtl/>
        </w:rPr>
        <w:t>במשרד</w:t>
      </w:r>
      <w:r w:rsidRPr="00143CC2">
        <w:rPr>
          <w:rtl/>
        </w:rPr>
        <w:t xml:space="preserve"> </w:t>
      </w:r>
      <w:r w:rsidRPr="00143CC2">
        <w:rPr>
          <w:rFonts w:hint="eastAsia"/>
          <w:rtl/>
        </w:rPr>
        <w:t>הכלכלה</w:t>
      </w:r>
      <w:r w:rsidRPr="00143CC2">
        <w:rPr>
          <w:rtl/>
        </w:rPr>
        <w:t xml:space="preserve"> </w:t>
      </w:r>
      <w:r w:rsidRPr="00143CC2">
        <w:rPr>
          <w:rFonts w:hint="eastAsia"/>
          <w:rtl/>
        </w:rPr>
        <w:t>והתעשייה</w:t>
      </w:r>
      <w:r w:rsidRPr="00143CC2">
        <w:rPr>
          <w:rtl/>
        </w:rPr>
        <w:t xml:space="preserve"> </w:t>
      </w:r>
      <w:r>
        <w:rPr>
          <w:rFonts w:hint="eastAsia"/>
          <w:rtl/>
        </w:rPr>
        <w:t>ה</w:t>
      </w:r>
      <w:r>
        <w:rPr>
          <w:rFonts w:hint="cs"/>
          <w:rtl/>
        </w:rPr>
        <w:t>י</w:t>
      </w:r>
      <w:r w:rsidRPr="00143CC2">
        <w:rPr>
          <w:rFonts w:hint="eastAsia"/>
          <w:rtl/>
        </w:rPr>
        <w:t>א</w:t>
      </w:r>
      <w:r w:rsidRPr="00143CC2">
        <w:rPr>
          <w:rtl/>
        </w:rPr>
        <w:t xml:space="preserve"> </w:t>
      </w:r>
      <w:r>
        <w:rPr>
          <w:rFonts w:hint="cs"/>
          <w:rtl/>
        </w:rPr>
        <w:t xml:space="preserve">נובעת בעיקר מחובות לספקים; </w:t>
      </w:r>
      <w:r w:rsidRPr="00143CC2">
        <w:rPr>
          <w:rFonts w:hint="eastAsia"/>
          <w:rtl/>
        </w:rPr>
        <w:t>במשרד</w:t>
      </w:r>
      <w:r w:rsidRPr="00143CC2">
        <w:rPr>
          <w:rtl/>
        </w:rPr>
        <w:t xml:space="preserve"> </w:t>
      </w:r>
      <w:r w:rsidRPr="00143CC2">
        <w:rPr>
          <w:rFonts w:hint="eastAsia"/>
          <w:rtl/>
        </w:rPr>
        <w:t>המשפטים</w:t>
      </w:r>
      <w:r w:rsidRPr="00143CC2">
        <w:rPr>
          <w:rtl/>
        </w:rPr>
        <w:t xml:space="preserve"> </w:t>
      </w:r>
      <w:r>
        <w:rPr>
          <w:rFonts w:hint="cs"/>
          <w:rtl/>
        </w:rPr>
        <w:t>הי</w:t>
      </w:r>
      <w:r w:rsidRPr="00143CC2">
        <w:rPr>
          <w:rFonts w:hint="eastAsia"/>
          <w:rtl/>
        </w:rPr>
        <w:t>א</w:t>
      </w:r>
      <w:r w:rsidRPr="00143CC2">
        <w:rPr>
          <w:rtl/>
        </w:rPr>
        <w:t xml:space="preserve"> </w:t>
      </w:r>
      <w:r w:rsidRPr="00143CC2">
        <w:rPr>
          <w:rFonts w:hint="eastAsia"/>
          <w:rtl/>
        </w:rPr>
        <w:t>נובע</w:t>
      </w:r>
      <w:r>
        <w:rPr>
          <w:rFonts w:hint="cs"/>
          <w:rtl/>
        </w:rPr>
        <w:t>ת</w:t>
      </w:r>
      <w:r w:rsidRPr="00143CC2">
        <w:rPr>
          <w:rtl/>
        </w:rPr>
        <w:t xml:space="preserve"> </w:t>
      </w:r>
      <w:r w:rsidRPr="00143CC2">
        <w:rPr>
          <w:rFonts w:hint="eastAsia"/>
          <w:rtl/>
        </w:rPr>
        <w:t>בעיקר</w:t>
      </w:r>
      <w:r>
        <w:rPr>
          <w:rFonts w:hint="cs"/>
          <w:rtl/>
        </w:rPr>
        <w:t xml:space="preserve"> מהתחייבויות בגין תמיכות; </w:t>
      </w:r>
      <w:r w:rsidRPr="00143CC2">
        <w:rPr>
          <w:rFonts w:hint="cs"/>
          <w:rtl/>
        </w:rPr>
        <w:t>במשרד הפנים ה</w:t>
      </w:r>
      <w:r>
        <w:rPr>
          <w:rFonts w:hint="cs"/>
          <w:rtl/>
        </w:rPr>
        <w:t>י</w:t>
      </w:r>
      <w:r w:rsidRPr="00143CC2">
        <w:rPr>
          <w:rFonts w:hint="cs"/>
          <w:rtl/>
        </w:rPr>
        <w:t>א נובע</w:t>
      </w:r>
      <w:r>
        <w:rPr>
          <w:rFonts w:hint="cs"/>
          <w:rtl/>
        </w:rPr>
        <w:t>ת</w:t>
      </w:r>
      <w:r w:rsidRPr="00143CC2">
        <w:rPr>
          <w:rFonts w:hint="cs"/>
          <w:rtl/>
        </w:rPr>
        <w:t xml:space="preserve"> בעיקר </w:t>
      </w:r>
      <w:r>
        <w:rPr>
          <w:rFonts w:hint="cs"/>
          <w:rtl/>
        </w:rPr>
        <w:t>מהתחייבויות לעובדים בגין חופשה.</w:t>
      </w:r>
    </w:p>
    <w:p w14:paraId="5986D380" w14:textId="1AD26026" w:rsidR="006F4D0D" w:rsidRPr="006F4D0D" w:rsidRDefault="005617E2" w:rsidP="006F4D0D">
      <w:pPr>
        <w:pStyle w:val="71a"/>
      </w:pPr>
      <w:r>
        <w:rPr>
          <w:noProof/>
        </w:rPr>
        <w:drawing>
          <wp:anchor distT="0" distB="0" distL="114300" distR="114300" simplePos="0" relativeHeight="252022272" behindDoc="0" locked="0" layoutInCell="1" allowOverlap="1" wp14:anchorId="0452986F" wp14:editId="24E4F9E1">
            <wp:simplePos x="0" y="0"/>
            <wp:positionH relativeFrom="column">
              <wp:posOffset>-58420</wp:posOffset>
            </wp:positionH>
            <wp:positionV relativeFrom="paragraph">
              <wp:posOffset>288925</wp:posOffset>
            </wp:positionV>
            <wp:extent cx="4723765" cy="3583940"/>
            <wp:effectExtent l="0" t="0" r="635" b="0"/>
            <wp:wrapTopAndBottom/>
            <wp:docPr id="765912919" name="תמונה 76591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19" name="תמונה 765912919"/>
                    <pic:cNvPicPr/>
                  </pic:nvPicPr>
                  <pic:blipFill>
                    <a:blip r:embed="rId51">
                      <a:extLst>
                        <a:ext uri="{28A0092B-C50C-407E-A947-70E740481C1C}">
                          <a14:useLocalDpi xmlns:a14="http://schemas.microsoft.com/office/drawing/2010/main" val="0"/>
                        </a:ext>
                      </a:extLst>
                    </a:blip>
                    <a:stretch>
                      <a:fillRect/>
                    </a:stretch>
                  </pic:blipFill>
                  <pic:spPr>
                    <a:xfrm>
                      <a:off x="0" y="0"/>
                      <a:ext cx="4723765" cy="3583940"/>
                    </a:xfrm>
                    <a:prstGeom prst="rect">
                      <a:avLst/>
                    </a:prstGeom>
                  </pic:spPr>
                </pic:pic>
              </a:graphicData>
            </a:graphic>
            <wp14:sizeRelH relativeFrom="page">
              <wp14:pctWidth>0</wp14:pctWidth>
            </wp14:sizeRelH>
            <wp14:sizeRelV relativeFrom="page">
              <wp14:pctHeight>0</wp14:pctHeight>
            </wp14:sizeRelV>
          </wp:anchor>
        </w:drawing>
      </w:r>
      <w:r w:rsidR="007C4395" w:rsidRPr="006F4D0D">
        <w:rPr>
          <w:rFonts w:hint="cs"/>
          <w:b w:val="0"/>
          <w:bCs w:val="0"/>
          <w:rtl/>
        </w:rPr>
        <w:t>תרשים 19:</w:t>
      </w:r>
      <w:r w:rsidR="007C4395" w:rsidRPr="006F4D0D">
        <w:rPr>
          <w:rFonts w:hint="cs"/>
          <w:rtl/>
        </w:rPr>
        <w:t xml:space="preserve"> יחס שוטף בשנים 2016 - 2020 במשרדי ממשלה נבדקים</w:t>
      </w:r>
    </w:p>
    <w:p w14:paraId="4CC6E04F" w14:textId="00321D33" w:rsidR="007C4395" w:rsidRPr="00010778" w:rsidRDefault="007C4395" w:rsidP="0036244C">
      <w:pPr>
        <w:pStyle w:val="71c"/>
        <w:spacing w:before="360"/>
        <w:rPr>
          <w:rtl/>
        </w:rPr>
      </w:pPr>
      <w:r w:rsidRPr="00010778">
        <w:rPr>
          <w:rFonts w:hint="eastAsia"/>
          <w:rtl/>
        </w:rPr>
        <w:t>על</w:t>
      </w:r>
      <w:r w:rsidRPr="00010778">
        <w:rPr>
          <w:rtl/>
        </w:rPr>
        <w:t xml:space="preserve"> </w:t>
      </w:r>
      <w:r w:rsidRPr="00010778">
        <w:rPr>
          <w:rFonts w:hint="eastAsia"/>
          <w:rtl/>
        </w:rPr>
        <w:t>פי</w:t>
      </w:r>
      <w:r w:rsidRPr="00010778">
        <w:rPr>
          <w:rtl/>
        </w:rPr>
        <w:t xml:space="preserve"> הדוחות </w:t>
      </w:r>
      <w:r w:rsidRPr="00010778">
        <w:rPr>
          <w:rFonts w:hint="eastAsia"/>
          <w:rtl/>
        </w:rPr>
        <w:t>הכספיים</w:t>
      </w:r>
      <w:r w:rsidRPr="00010778">
        <w:rPr>
          <w:rtl/>
        </w:rPr>
        <w:t xml:space="preserve"> </w:t>
      </w:r>
      <w:r w:rsidRPr="00010778">
        <w:rPr>
          <w:rFonts w:hint="eastAsia"/>
          <w:rtl/>
        </w:rPr>
        <w:t>של</w:t>
      </w:r>
      <w:r w:rsidRPr="00010778">
        <w:rPr>
          <w:rtl/>
        </w:rPr>
        <w:t xml:space="preserve"> </w:t>
      </w:r>
      <w:r w:rsidRPr="00010778">
        <w:rPr>
          <w:rFonts w:hint="eastAsia"/>
          <w:rtl/>
        </w:rPr>
        <w:t>משרדי</w:t>
      </w:r>
      <w:r w:rsidRPr="00010778">
        <w:rPr>
          <w:rtl/>
        </w:rPr>
        <w:t xml:space="preserve"> </w:t>
      </w:r>
      <w:r w:rsidRPr="00010778">
        <w:rPr>
          <w:rFonts w:hint="eastAsia"/>
          <w:rtl/>
        </w:rPr>
        <w:t>הממשלה</w:t>
      </w:r>
      <w:r w:rsidRPr="00010778">
        <w:rPr>
          <w:rtl/>
        </w:rPr>
        <w:t xml:space="preserve"> </w:t>
      </w:r>
      <w:r w:rsidRPr="00010778">
        <w:rPr>
          <w:rFonts w:hint="eastAsia"/>
          <w:rtl/>
        </w:rPr>
        <w:t>השונים</w:t>
      </w:r>
      <w:r w:rsidRPr="00010778">
        <w:rPr>
          <w:rtl/>
        </w:rPr>
        <w:t xml:space="preserve">, </w:t>
      </w:r>
      <w:r w:rsidRPr="00010778">
        <w:rPr>
          <w:rFonts w:hint="eastAsia"/>
          <w:rtl/>
        </w:rPr>
        <w:t>בעיבוד</w:t>
      </w:r>
      <w:r w:rsidRPr="00010778">
        <w:rPr>
          <w:rtl/>
        </w:rPr>
        <w:t xml:space="preserve"> </w:t>
      </w:r>
      <w:r w:rsidRPr="00010778">
        <w:rPr>
          <w:rFonts w:hint="eastAsia"/>
          <w:rtl/>
        </w:rPr>
        <w:t>משרד</w:t>
      </w:r>
      <w:r w:rsidRPr="00010778">
        <w:rPr>
          <w:rtl/>
        </w:rPr>
        <w:t xml:space="preserve"> </w:t>
      </w:r>
      <w:r w:rsidRPr="00010778">
        <w:rPr>
          <w:rFonts w:hint="eastAsia"/>
          <w:rtl/>
        </w:rPr>
        <w:t>מבקר</w:t>
      </w:r>
      <w:r w:rsidRPr="00010778">
        <w:rPr>
          <w:rtl/>
        </w:rPr>
        <w:t xml:space="preserve"> </w:t>
      </w:r>
      <w:r w:rsidRPr="00010778">
        <w:rPr>
          <w:rFonts w:hint="eastAsia"/>
          <w:rtl/>
        </w:rPr>
        <w:t>המדינה</w:t>
      </w:r>
      <w:r w:rsidRPr="00010778">
        <w:rPr>
          <w:rtl/>
        </w:rPr>
        <w:t>.</w:t>
      </w:r>
    </w:p>
    <w:p w14:paraId="04981BA2" w14:textId="77777777" w:rsidR="007C4395" w:rsidRDefault="007C4395" w:rsidP="003B2683">
      <w:pPr>
        <w:pStyle w:val="71f4"/>
        <w:rPr>
          <w:rtl/>
        </w:rPr>
      </w:pPr>
      <w:r w:rsidRPr="00E4769E">
        <w:rPr>
          <w:rFonts w:hint="eastAsia"/>
          <w:rtl/>
        </w:rPr>
        <w:lastRenderedPageBreak/>
        <w:t>כ</w:t>
      </w:r>
      <w:r>
        <w:rPr>
          <w:rFonts w:hint="cs"/>
          <w:rtl/>
        </w:rPr>
        <w:t>פי ש</w:t>
      </w:r>
      <w:r w:rsidRPr="00E4769E">
        <w:rPr>
          <w:rFonts w:hint="eastAsia"/>
          <w:rtl/>
        </w:rPr>
        <w:t>עולה</w:t>
      </w:r>
      <w:r w:rsidRPr="00E4769E">
        <w:rPr>
          <w:rtl/>
        </w:rPr>
        <w:t xml:space="preserve"> </w:t>
      </w:r>
      <w:r w:rsidRPr="002820DF">
        <w:rPr>
          <w:rFonts w:hint="eastAsia"/>
          <w:rtl/>
        </w:rPr>
        <w:t>מהתרשים</w:t>
      </w:r>
      <w:r w:rsidRPr="002820DF">
        <w:rPr>
          <w:rtl/>
        </w:rPr>
        <w:t xml:space="preserve"> </w:t>
      </w:r>
      <w:r>
        <w:rPr>
          <w:rFonts w:hint="cs"/>
          <w:rtl/>
        </w:rPr>
        <w:t>ש</w:t>
      </w:r>
      <w:r w:rsidRPr="002820DF">
        <w:rPr>
          <w:rFonts w:hint="eastAsia"/>
          <w:rtl/>
        </w:rPr>
        <w:t>לעיל</w:t>
      </w:r>
      <w:r w:rsidRPr="002820DF">
        <w:rPr>
          <w:rtl/>
        </w:rPr>
        <w:t xml:space="preserve">, </w:t>
      </w:r>
      <w:r>
        <w:rPr>
          <w:rFonts w:hint="cs"/>
          <w:rtl/>
        </w:rPr>
        <w:t xml:space="preserve">קיימת שונות </w:t>
      </w:r>
      <w:r w:rsidRPr="002820DF">
        <w:rPr>
          <w:rFonts w:hint="eastAsia"/>
          <w:rtl/>
        </w:rPr>
        <w:t>ב</w:t>
      </w:r>
      <w:r>
        <w:rPr>
          <w:rFonts w:hint="cs"/>
          <w:rtl/>
        </w:rPr>
        <w:t xml:space="preserve">ין </w:t>
      </w:r>
      <w:r w:rsidRPr="002820DF">
        <w:rPr>
          <w:rFonts w:hint="eastAsia"/>
          <w:rtl/>
        </w:rPr>
        <w:t>משרדי</w:t>
      </w:r>
      <w:r w:rsidRPr="002820DF">
        <w:rPr>
          <w:rtl/>
        </w:rPr>
        <w:t xml:space="preserve"> </w:t>
      </w:r>
      <w:r w:rsidRPr="002820DF">
        <w:rPr>
          <w:rFonts w:hint="eastAsia"/>
          <w:rtl/>
        </w:rPr>
        <w:t>הממשלה</w:t>
      </w:r>
      <w:r w:rsidRPr="002820DF">
        <w:rPr>
          <w:rtl/>
        </w:rPr>
        <w:t xml:space="preserve"> </w:t>
      </w:r>
      <w:r w:rsidRPr="002820DF">
        <w:rPr>
          <w:rFonts w:hint="eastAsia"/>
          <w:rtl/>
        </w:rPr>
        <w:t>השונים</w:t>
      </w:r>
      <w:r w:rsidRPr="002820DF">
        <w:rPr>
          <w:rtl/>
        </w:rPr>
        <w:t xml:space="preserve"> </w:t>
      </w:r>
      <w:r>
        <w:rPr>
          <w:rFonts w:hint="cs"/>
          <w:rtl/>
        </w:rPr>
        <w:t xml:space="preserve">לגבי </w:t>
      </w:r>
      <w:r w:rsidRPr="002820DF">
        <w:rPr>
          <w:rtl/>
        </w:rPr>
        <w:t xml:space="preserve">שיעור היחס השוטף. במשרד הכלכלה והתעשייה </w:t>
      </w:r>
      <w:r>
        <w:rPr>
          <w:rFonts w:hint="cs"/>
          <w:rtl/>
        </w:rPr>
        <w:t>שיעור היחס השוטף גבוה מאוד, וחלה בו</w:t>
      </w:r>
      <w:r w:rsidRPr="002820DF">
        <w:rPr>
          <w:rtl/>
        </w:rPr>
        <w:t xml:space="preserve"> </w:t>
      </w:r>
      <w:r w:rsidRPr="002820DF">
        <w:rPr>
          <w:rFonts w:hint="eastAsia"/>
          <w:rtl/>
        </w:rPr>
        <w:t>ירידה</w:t>
      </w:r>
      <w:r w:rsidRPr="002820DF">
        <w:rPr>
          <w:rtl/>
        </w:rPr>
        <w:t xml:space="preserve"> </w:t>
      </w:r>
      <w:r>
        <w:rPr>
          <w:rFonts w:hint="cs"/>
          <w:rtl/>
        </w:rPr>
        <w:t>במשך</w:t>
      </w:r>
      <w:r w:rsidRPr="002820DF">
        <w:rPr>
          <w:rFonts w:hint="cs"/>
          <w:rtl/>
        </w:rPr>
        <w:t xml:space="preserve"> השנים שנבדקו</w:t>
      </w:r>
      <w:r>
        <w:rPr>
          <w:rFonts w:hint="cs"/>
          <w:rtl/>
        </w:rPr>
        <w:t xml:space="preserve">, </w:t>
      </w:r>
      <w:r w:rsidRPr="002820DF">
        <w:rPr>
          <w:rFonts w:hint="cs"/>
          <w:rtl/>
        </w:rPr>
        <w:t>שנ</w:t>
      </w:r>
      <w:r w:rsidRPr="002820DF">
        <w:rPr>
          <w:rFonts w:hint="eastAsia"/>
          <w:rtl/>
        </w:rPr>
        <w:t>בע</w:t>
      </w:r>
      <w:r>
        <w:rPr>
          <w:rFonts w:hint="cs"/>
          <w:rtl/>
        </w:rPr>
        <w:t>ה</w:t>
      </w:r>
      <w:r w:rsidRPr="002820DF">
        <w:rPr>
          <w:rtl/>
        </w:rPr>
        <w:t xml:space="preserve"> </w:t>
      </w:r>
      <w:r w:rsidRPr="002820DF">
        <w:rPr>
          <w:rFonts w:hint="eastAsia"/>
          <w:rtl/>
        </w:rPr>
        <w:t>בעיקר</w:t>
      </w:r>
      <w:r w:rsidRPr="002820DF">
        <w:rPr>
          <w:rtl/>
        </w:rPr>
        <w:t xml:space="preserve"> </w:t>
      </w:r>
      <w:r w:rsidRPr="002820DF">
        <w:rPr>
          <w:rFonts w:hint="eastAsia"/>
          <w:rtl/>
        </w:rPr>
        <w:t>מקיטון</w:t>
      </w:r>
      <w:r w:rsidRPr="002820DF">
        <w:rPr>
          <w:rtl/>
        </w:rPr>
        <w:t xml:space="preserve"> </w:t>
      </w:r>
      <w:r w:rsidRPr="002820DF">
        <w:rPr>
          <w:rFonts w:hint="eastAsia"/>
          <w:rtl/>
        </w:rPr>
        <w:t>מתמיד</w:t>
      </w:r>
      <w:r w:rsidRPr="002820DF">
        <w:rPr>
          <w:rtl/>
        </w:rPr>
        <w:t xml:space="preserve"> </w:t>
      </w:r>
      <w:r w:rsidRPr="0007452D">
        <w:rPr>
          <w:rFonts w:hint="eastAsia"/>
          <w:rtl/>
        </w:rPr>
        <w:t>בנכסים</w:t>
      </w:r>
      <w:r w:rsidRPr="0007452D">
        <w:rPr>
          <w:rtl/>
        </w:rPr>
        <w:t xml:space="preserve"> </w:t>
      </w:r>
      <w:r w:rsidRPr="0007452D">
        <w:rPr>
          <w:rFonts w:hint="eastAsia"/>
          <w:rtl/>
        </w:rPr>
        <w:t>השוטפים</w:t>
      </w:r>
      <w:r w:rsidRPr="0007452D">
        <w:rPr>
          <w:rtl/>
        </w:rPr>
        <w:t xml:space="preserve">. </w:t>
      </w:r>
      <w:r>
        <w:rPr>
          <w:rFonts w:hint="cs"/>
          <w:rtl/>
        </w:rPr>
        <w:t>בשנים שנבדקו, שיעור</w:t>
      </w:r>
      <w:r w:rsidRPr="0007452D">
        <w:rPr>
          <w:rFonts w:hint="cs"/>
          <w:rtl/>
        </w:rPr>
        <w:t xml:space="preserve"> היחס השוטף במשרד הכלכלה והתעשייה גבוה </w:t>
      </w:r>
      <w:r>
        <w:rPr>
          <w:rFonts w:hint="cs"/>
          <w:rtl/>
        </w:rPr>
        <w:t xml:space="preserve">באופן ניכר </w:t>
      </w:r>
      <w:r w:rsidRPr="0007452D">
        <w:rPr>
          <w:rFonts w:hint="cs"/>
          <w:rtl/>
        </w:rPr>
        <w:t>לעומת המשרדים האחרים (</w:t>
      </w:r>
      <w:r w:rsidRPr="0007452D">
        <w:rPr>
          <w:rFonts w:hint="eastAsia"/>
          <w:rtl/>
        </w:rPr>
        <w:t>בין</w:t>
      </w:r>
      <w:r w:rsidRPr="0007452D">
        <w:rPr>
          <w:rtl/>
        </w:rPr>
        <w:t xml:space="preserve"> </w:t>
      </w:r>
      <w:r w:rsidRPr="0007452D">
        <w:rPr>
          <w:rFonts w:hint="eastAsia"/>
          <w:rtl/>
        </w:rPr>
        <w:t>כ</w:t>
      </w:r>
      <w:r w:rsidRPr="0007452D">
        <w:rPr>
          <w:rtl/>
        </w:rPr>
        <w:t xml:space="preserve">-350% </w:t>
      </w:r>
      <w:proofErr w:type="spellStart"/>
      <w:r w:rsidRPr="0007452D">
        <w:rPr>
          <w:rtl/>
        </w:rPr>
        <w:t>לכ</w:t>
      </w:r>
      <w:proofErr w:type="spellEnd"/>
      <w:r w:rsidRPr="0007452D">
        <w:rPr>
          <w:rtl/>
        </w:rPr>
        <w:t xml:space="preserve">-2,500% </w:t>
      </w:r>
      <w:r w:rsidRPr="0007452D">
        <w:rPr>
          <w:rFonts w:hint="cs"/>
          <w:rtl/>
        </w:rPr>
        <w:t xml:space="preserve">במשרד הכלכלה והתעשייה </w:t>
      </w:r>
      <w:r w:rsidRPr="0007452D">
        <w:rPr>
          <w:rFonts w:hint="eastAsia"/>
          <w:rtl/>
        </w:rPr>
        <w:t>לעומת</w:t>
      </w:r>
      <w:r w:rsidRPr="0007452D">
        <w:rPr>
          <w:rtl/>
        </w:rPr>
        <w:t xml:space="preserve"> בין כ-15% </w:t>
      </w:r>
      <w:proofErr w:type="spellStart"/>
      <w:r w:rsidRPr="0007452D">
        <w:rPr>
          <w:rFonts w:hint="eastAsia"/>
          <w:rtl/>
        </w:rPr>
        <w:t>לכ</w:t>
      </w:r>
      <w:proofErr w:type="spellEnd"/>
      <w:r w:rsidRPr="0007452D">
        <w:rPr>
          <w:rtl/>
        </w:rPr>
        <w:t>-300%</w:t>
      </w:r>
      <w:r w:rsidRPr="0007452D">
        <w:rPr>
          <w:rFonts w:hint="cs"/>
          <w:rtl/>
        </w:rPr>
        <w:t xml:space="preserve"> במשרדים האחרים</w:t>
      </w:r>
      <w:r w:rsidRPr="0007452D">
        <w:rPr>
          <w:rtl/>
        </w:rPr>
        <w:t>)</w:t>
      </w:r>
      <w:r w:rsidRPr="0007452D">
        <w:rPr>
          <w:rFonts w:hint="cs"/>
          <w:rtl/>
        </w:rPr>
        <w:t>,</w:t>
      </w:r>
      <w:r w:rsidRPr="00DA29C2">
        <w:rPr>
          <w:rFonts w:hint="cs"/>
          <w:rtl/>
        </w:rPr>
        <w:t xml:space="preserve"> </w:t>
      </w:r>
      <w:r>
        <w:rPr>
          <w:rFonts w:hint="cs"/>
          <w:rtl/>
        </w:rPr>
        <w:t>מ</w:t>
      </w:r>
      <w:r w:rsidRPr="00DA29C2">
        <w:rPr>
          <w:rFonts w:hint="cs"/>
          <w:rtl/>
        </w:rPr>
        <w:t>כיוון שההתחייבויות השוטפות של המשרד נמוכות יחסי</w:t>
      </w:r>
      <w:r>
        <w:rPr>
          <w:rFonts w:hint="cs"/>
          <w:rtl/>
        </w:rPr>
        <w:t>ת</w:t>
      </w:r>
      <w:r w:rsidRPr="00DA29C2">
        <w:rPr>
          <w:rFonts w:hint="cs"/>
          <w:rtl/>
        </w:rPr>
        <w:t xml:space="preserve"> למשרדים האחרים.</w:t>
      </w:r>
    </w:p>
    <w:p w14:paraId="5A68BCAA" w14:textId="77777777" w:rsidR="007C4395" w:rsidRDefault="007C4395" w:rsidP="003B2683">
      <w:pPr>
        <w:pStyle w:val="71f4"/>
        <w:rPr>
          <w:rtl/>
        </w:rPr>
      </w:pPr>
      <w:r w:rsidRPr="002820DF">
        <w:rPr>
          <w:rtl/>
        </w:rPr>
        <w:t>במשרד הבינוי והשיכון ובמשרד</w:t>
      </w:r>
      <w:r w:rsidRPr="00DD0457">
        <w:rPr>
          <w:rtl/>
        </w:rPr>
        <w:t xml:space="preserve"> המשפטים יש </w:t>
      </w:r>
      <w:r>
        <w:rPr>
          <w:rFonts w:hint="cs"/>
          <w:rtl/>
        </w:rPr>
        <w:t>יציבות</w:t>
      </w:r>
      <w:r w:rsidRPr="00DD0457">
        <w:rPr>
          <w:rtl/>
        </w:rPr>
        <w:t xml:space="preserve"> בשיעור היחס השוטף </w:t>
      </w:r>
      <w:r>
        <w:rPr>
          <w:rFonts w:hint="cs"/>
          <w:rtl/>
        </w:rPr>
        <w:t>במשך</w:t>
      </w:r>
      <w:r w:rsidRPr="00DD0457">
        <w:rPr>
          <w:rtl/>
        </w:rPr>
        <w:t xml:space="preserve"> השנים, (בין 16% </w:t>
      </w:r>
      <w:r w:rsidRPr="00DD0457">
        <w:rPr>
          <w:rFonts w:hint="eastAsia"/>
          <w:rtl/>
        </w:rPr>
        <w:t>ל</w:t>
      </w:r>
      <w:r w:rsidRPr="00DD0457">
        <w:rPr>
          <w:rtl/>
        </w:rPr>
        <w:t>-31%)</w:t>
      </w:r>
      <w:r>
        <w:rPr>
          <w:rFonts w:hint="cs"/>
          <w:rtl/>
        </w:rPr>
        <w:t>.</w:t>
      </w:r>
      <w:r w:rsidRPr="00DD0457">
        <w:rPr>
          <w:rtl/>
        </w:rPr>
        <w:t xml:space="preserve"> במשרד הבריאות </w:t>
      </w:r>
      <w:r w:rsidRPr="00DD0457">
        <w:rPr>
          <w:rFonts w:hint="eastAsia"/>
          <w:rtl/>
        </w:rPr>
        <w:t>יש</w:t>
      </w:r>
      <w:r w:rsidRPr="00DD0457">
        <w:rPr>
          <w:rtl/>
        </w:rPr>
        <w:t xml:space="preserve"> </w:t>
      </w:r>
      <w:r w:rsidRPr="00DD0457">
        <w:rPr>
          <w:rFonts w:hint="eastAsia"/>
          <w:rtl/>
        </w:rPr>
        <w:t>חוסר</w:t>
      </w:r>
      <w:r w:rsidRPr="00DD0457">
        <w:rPr>
          <w:rtl/>
        </w:rPr>
        <w:t xml:space="preserve"> </w:t>
      </w:r>
      <w:r>
        <w:rPr>
          <w:rFonts w:hint="cs"/>
          <w:rtl/>
        </w:rPr>
        <w:t>יציבות</w:t>
      </w:r>
      <w:r w:rsidRPr="00DD0457">
        <w:rPr>
          <w:rtl/>
        </w:rPr>
        <w:t xml:space="preserve"> </w:t>
      </w:r>
      <w:r w:rsidRPr="00DD0457">
        <w:rPr>
          <w:rFonts w:hint="eastAsia"/>
          <w:rtl/>
        </w:rPr>
        <w:t>בשיעור</w:t>
      </w:r>
      <w:r w:rsidRPr="00DD0457">
        <w:rPr>
          <w:rtl/>
        </w:rPr>
        <w:t xml:space="preserve"> </w:t>
      </w:r>
      <w:r>
        <w:rPr>
          <w:rFonts w:hint="cs"/>
          <w:rtl/>
        </w:rPr>
        <w:t>ה</w:t>
      </w:r>
      <w:r w:rsidRPr="00DD0457">
        <w:rPr>
          <w:rFonts w:hint="eastAsia"/>
          <w:rtl/>
        </w:rPr>
        <w:t>יחס</w:t>
      </w:r>
      <w:r w:rsidRPr="00DD0457">
        <w:rPr>
          <w:rtl/>
        </w:rPr>
        <w:t xml:space="preserve"> </w:t>
      </w:r>
      <w:r>
        <w:rPr>
          <w:rFonts w:hint="cs"/>
          <w:rtl/>
        </w:rPr>
        <w:t>ה</w:t>
      </w:r>
      <w:r w:rsidRPr="00DD0457">
        <w:rPr>
          <w:rFonts w:hint="eastAsia"/>
          <w:rtl/>
        </w:rPr>
        <w:t>שוטף</w:t>
      </w:r>
      <w:r w:rsidRPr="00DD0457">
        <w:rPr>
          <w:rtl/>
        </w:rPr>
        <w:t xml:space="preserve"> </w:t>
      </w:r>
      <w:r>
        <w:rPr>
          <w:rFonts w:hint="cs"/>
          <w:rtl/>
        </w:rPr>
        <w:t>במשך</w:t>
      </w:r>
      <w:r w:rsidRPr="00DD0457">
        <w:rPr>
          <w:rtl/>
        </w:rPr>
        <w:t xml:space="preserve"> </w:t>
      </w:r>
      <w:r w:rsidRPr="00DD0457">
        <w:rPr>
          <w:rFonts w:hint="eastAsia"/>
          <w:rtl/>
        </w:rPr>
        <w:t>השנים</w:t>
      </w:r>
      <w:r>
        <w:rPr>
          <w:rFonts w:hint="cs"/>
          <w:rtl/>
        </w:rPr>
        <w:t>.</w:t>
      </w:r>
      <w:r w:rsidRPr="00DD0457">
        <w:rPr>
          <w:rtl/>
        </w:rPr>
        <w:t xml:space="preserve"> </w:t>
      </w:r>
      <w:r w:rsidRPr="00DD0457">
        <w:rPr>
          <w:rFonts w:hint="eastAsia"/>
          <w:rtl/>
        </w:rPr>
        <w:t>בין</w:t>
      </w:r>
      <w:r w:rsidRPr="00DD0457">
        <w:rPr>
          <w:rtl/>
        </w:rPr>
        <w:t xml:space="preserve"> </w:t>
      </w:r>
      <w:r w:rsidRPr="00DD0457">
        <w:rPr>
          <w:rFonts w:hint="eastAsia"/>
          <w:rtl/>
        </w:rPr>
        <w:t>שנת</w:t>
      </w:r>
      <w:r w:rsidRPr="00DD0457">
        <w:rPr>
          <w:rtl/>
        </w:rPr>
        <w:t xml:space="preserve"> 2016 </w:t>
      </w:r>
      <w:r w:rsidRPr="00DD0457">
        <w:rPr>
          <w:rFonts w:hint="eastAsia"/>
          <w:rtl/>
        </w:rPr>
        <w:t>לשנת</w:t>
      </w:r>
      <w:r w:rsidRPr="00DD0457">
        <w:rPr>
          <w:rtl/>
        </w:rPr>
        <w:t xml:space="preserve"> 2017 </w:t>
      </w:r>
      <w:r>
        <w:rPr>
          <w:rFonts w:hint="cs"/>
          <w:rtl/>
        </w:rPr>
        <w:t xml:space="preserve">חלה עלייה, והיא </w:t>
      </w:r>
      <w:r w:rsidRPr="00DD0457">
        <w:rPr>
          <w:rFonts w:hint="eastAsia"/>
          <w:rtl/>
        </w:rPr>
        <w:t>מוסברת</w:t>
      </w:r>
      <w:r w:rsidRPr="00DD0457">
        <w:rPr>
          <w:rtl/>
        </w:rPr>
        <w:t xml:space="preserve"> </w:t>
      </w:r>
      <w:r w:rsidRPr="00DD0457">
        <w:rPr>
          <w:rFonts w:hint="eastAsia"/>
          <w:rtl/>
        </w:rPr>
        <w:t>הן</w:t>
      </w:r>
      <w:r w:rsidRPr="00DD0457">
        <w:rPr>
          <w:rtl/>
        </w:rPr>
        <w:t xml:space="preserve"> </w:t>
      </w:r>
      <w:r>
        <w:rPr>
          <w:rFonts w:hint="cs"/>
          <w:rtl/>
        </w:rPr>
        <w:t>ב</w:t>
      </w:r>
      <w:r w:rsidRPr="00DD0457">
        <w:rPr>
          <w:rFonts w:hint="eastAsia"/>
          <w:rtl/>
        </w:rPr>
        <w:t>גידול</w:t>
      </w:r>
      <w:r w:rsidRPr="00DD0457">
        <w:rPr>
          <w:rtl/>
        </w:rPr>
        <w:t xml:space="preserve"> </w:t>
      </w:r>
      <w:r w:rsidRPr="00DD0457">
        <w:rPr>
          <w:rFonts w:hint="eastAsia"/>
          <w:rtl/>
        </w:rPr>
        <w:t>בנכסים</w:t>
      </w:r>
      <w:r w:rsidRPr="00DD0457">
        <w:rPr>
          <w:rtl/>
        </w:rPr>
        <w:t xml:space="preserve"> </w:t>
      </w:r>
      <w:r w:rsidRPr="00DD0457">
        <w:rPr>
          <w:rFonts w:hint="eastAsia"/>
          <w:rtl/>
        </w:rPr>
        <w:t>השוטפים</w:t>
      </w:r>
      <w:r w:rsidRPr="00DD0457">
        <w:rPr>
          <w:rtl/>
        </w:rPr>
        <w:t xml:space="preserve"> </w:t>
      </w:r>
      <w:r w:rsidRPr="00DD0457">
        <w:rPr>
          <w:rFonts w:hint="eastAsia"/>
          <w:rtl/>
        </w:rPr>
        <w:t>והן</w:t>
      </w:r>
      <w:r w:rsidRPr="00DD0457">
        <w:rPr>
          <w:rtl/>
        </w:rPr>
        <w:t xml:space="preserve"> </w:t>
      </w:r>
      <w:r>
        <w:rPr>
          <w:rFonts w:hint="cs"/>
          <w:rtl/>
        </w:rPr>
        <w:t>ב</w:t>
      </w:r>
      <w:r w:rsidRPr="00DD0457">
        <w:rPr>
          <w:rFonts w:hint="eastAsia"/>
          <w:rtl/>
        </w:rPr>
        <w:t>קיטון</w:t>
      </w:r>
      <w:r w:rsidRPr="00DD0457">
        <w:rPr>
          <w:rtl/>
        </w:rPr>
        <w:t xml:space="preserve"> </w:t>
      </w:r>
      <w:r w:rsidRPr="00DD0457">
        <w:rPr>
          <w:rFonts w:hint="eastAsia"/>
          <w:rtl/>
        </w:rPr>
        <w:t>בהתחייבויות</w:t>
      </w:r>
      <w:r w:rsidRPr="00DD0457">
        <w:rPr>
          <w:rtl/>
        </w:rPr>
        <w:t xml:space="preserve"> </w:t>
      </w:r>
      <w:r w:rsidRPr="00DD0457">
        <w:rPr>
          <w:rFonts w:hint="eastAsia"/>
          <w:rtl/>
        </w:rPr>
        <w:t>השוטפות</w:t>
      </w:r>
      <w:r>
        <w:rPr>
          <w:rFonts w:hint="cs"/>
          <w:rtl/>
        </w:rPr>
        <w:t xml:space="preserve">. </w:t>
      </w:r>
      <w:r w:rsidRPr="00DD0457">
        <w:rPr>
          <w:rFonts w:hint="eastAsia"/>
          <w:rtl/>
        </w:rPr>
        <w:t>בין</w:t>
      </w:r>
      <w:r w:rsidRPr="00DD0457">
        <w:rPr>
          <w:rtl/>
        </w:rPr>
        <w:t xml:space="preserve"> </w:t>
      </w:r>
      <w:r w:rsidRPr="00DD0457">
        <w:rPr>
          <w:rFonts w:hint="eastAsia"/>
          <w:rtl/>
        </w:rPr>
        <w:t>שנת</w:t>
      </w:r>
      <w:r w:rsidRPr="00DD0457">
        <w:rPr>
          <w:rtl/>
        </w:rPr>
        <w:t xml:space="preserve"> 2017 </w:t>
      </w:r>
      <w:r w:rsidRPr="00DD0457">
        <w:rPr>
          <w:rFonts w:hint="eastAsia"/>
          <w:rtl/>
        </w:rPr>
        <w:t>לשנת</w:t>
      </w:r>
      <w:r>
        <w:rPr>
          <w:rFonts w:hint="cs"/>
          <w:rtl/>
        </w:rPr>
        <w:t xml:space="preserve"> </w:t>
      </w:r>
      <w:r w:rsidRPr="00DD0457">
        <w:rPr>
          <w:rtl/>
        </w:rPr>
        <w:t xml:space="preserve">2018 </w:t>
      </w:r>
      <w:r>
        <w:rPr>
          <w:rFonts w:hint="cs"/>
          <w:rtl/>
        </w:rPr>
        <w:t xml:space="preserve">חל קיטון, והוא </w:t>
      </w:r>
      <w:r w:rsidRPr="00DD0457">
        <w:rPr>
          <w:rFonts w:hint="eastAsia"/>
          <w:rtl/>
        </w:rPr>
        <w:t>מוסבר</w:t>
      </w:r>
      <w:r w:rsidRPr="00DD0457">
        <w:rPr>
          <w:rtl/>
        </w:rPr>
        <w:t xml:space="preserve"> </w:t>
      </w:r>
      <w:r w:rsidRPr="00DD0457">
        <w:rPr>
          <w:rFonts w:hint="eastAsia"/>
          <w:rtl/>
        </w:rPr>
        <w:t>הן</w:t>
      </w:r>
      <w:r w:rsidRPr="00DD0457">
        <w:rPr>
          <w:rtl/>
        </w:rPr>
        <w:t xml:space="preserve"> </w:t>
      </w:r>
      <w:r>
        <w:rPr>
          <w:rFonts w:hint="cs"/>
          <w:rtl/>
        </w:rPr>
        <w:t>ב</w:t>
      </w:r>
      <w:r w:rsidRPr="00DD0457">
        <w:rPr>
          <w:rFonts w:hint="eastAsia"/>
          <w:rtl/>
        </w:rPr>
        <w:t>קיטון</w:t>
      </w:r>
      <w:r w:rsidRPr="00DD0457">
        <w:rPr>
          <w:rtl/>
        </w:rPr>
        <w:t xml:space="preserve"> </w:t>
      </w:r>
      <w:r w:rsidRPr="00DD0457">
        <w:rPr>
          <w:rFonts w:hint="eastAsia"/>
          <w:rtl/>
        </w:rPr>
        <w:t>בנכסים</w:t>
      </w:r>
      <w:r w:rsidRPr="00DD0457">
        <w:rPr>
          <w:rtl/>
        </w:rPr>
        <w:t xml:space="preserve"> </w:t>
      </w:r>
      <w:r w:rsidRPr="00DD0457">
        <w:rPr>
          <w:rFonts w:hint="eastAsia"/>
          <w:rtl/>
        </w:rPr>
        <w:t>השוטפים</w:t>
      </w:r>
      <w:r w:rsidRPr="00DD0457">
        <w:rPr>
          <w:rtl/>
        </w:rPr>
        <w:t xml:space="preserve"> </w:t>
      </w:r>
      <w:r w:rsidRPr="00DD0457">
        <w:rPr>
          <w:rFonts w:hint="eastAsia"/>
          <w:rtl/>
        </w:rPr>
        <w:t>והן</w:t>
      </w:r>
      <w:r w:rsidRPr="00DD0457">
        <w:rPr>
          <w:rtl/>
        </w:rPr>
        <w:t xml:space="preserve"> </w:t>
      </w:r>
      <w:r>
        <w:rPr>
          <w:rFonts w:hint="cs"/>
          <w:rtl/>
        </w:rPr>
        <w:t>ב</w:t>
      </w:r>
      <w:r w:rsidRPr="00DD0457">
        <w:rPr>
          <w:rFonts w:hint="eastAsia"/>
          <w:rtl/>
        </w:rPr>
        <w:t>גידול</w:t>
      </w:r>
      <w:r w:rsidRPr="00DD0457">
        <w:rPr>
          <w:rtl/>
        </w:rPr>
        <w:t xml:space="preserve"> </w:t>
      </w:r>
      <w:r w:rsidRPr="00DD0457">
        <w:rPr>
          <w:rFonts w:hint="eastAsia"/>
          <w:rtl/>
        </w:rPr>
        <w:t>בהתחייבויות</w:t>
      </w:r>
      <w:r w:rsidRPr="00DD0457">
        <w:rPr>
          <w:rtl/>
        </w:rPr>
        <w:t xml:space="preserve"> </w:t>
      </w:r>
      <w:r w:rsidRPr="00DD0457">
        <w:rPr>
          <w:rFonts w:hint="eastAsia"/>
          <w:rtl/>
        </w:rPr>
        <w:t>השוטפות</w:t>
      </w:r>
      <w:r w:rsidRPr="00DD0457">
        <w:rPr>
          <w:rtl/>
        </w:rPr>
        <w:t>.</w:t>
      </w:r>
    </w:p>
    <w:p w14:paraId="7F1AA30A" w14:textId="77777777" w:rsidR="007C4395" w:rsidRPr="00707076" w:rsidRDefault="007C4395" w:rsidP="003B2683">
      <w:pPr>
        <w:pStyle w:val="71f4"/>
        <w:rPr>
          <w:rtl/>
        </w:rPr>
      </w:pPr>
      <w:r w:rsidRPr="00DD0457">
        <w:rPr>
          <w:rtl/>
        </w:rPr>
        <w:t xml:space="preserve">במשרד הפנים יש </w:t>
      </w:r>
      <w:r>
        <w:rPr>
          <w:rFonts w:hint="cs"/>
          <w:rtl/>
        </w:rPr>
        <w:t>יציבות</w:t>
      </w:r>
      <w:r w:rsidRPr="00DD0457">
        <w:rPr>
          <w:rtl/>
        </w:rPr>
        <w:t xml:space="preserve"> בשיעור היחס השוטף </w:t>
      </w:r>
      <w:r>
        <w:rPr>
          <w:rFonts w:hint="cs"/>
          <w:rtl/>
        </w:rPr>
        <w:t>במשך</w:t>
      </w:r>
      <w:r w:rsidRPr="00DD0457">
        <w:rPr>
          <w:rtl/>
        </w:rPr>
        <w:t xml:space="preserve"> השנים</w:t>
      </w:r>
      <w:r>
        <w:rPr>
          <w:rFonts w:hint="cs"/>
          <w:rtl/>
        </w:rPr>
        <w:t xml:space="preserve"> - כ-25%,</w:t>
      </w:r>
      <w:r w:rsidRPr="00DD0457">
        <w:rPr>
          <w:rtl/>
        </w:rPr>
        <w:t xml:space="preserve"> למעט גידול בין שנת 2019 לשנת 2020</w:t>
      </w:r>
      <w:r>
        <w:rPr>
          <w:rFonts w:hint="cs"/>
          <w:rtl/>
        </w:rPr>
        <w:t>,</w:t>
      </w:r>
      <w:r w:rsidRPr="00DD0457">
        <w:rPr>
          <w:rtl/>
        </w:rPr>
        <w:t xml:space="preserve"> שנבע </w:t>
      </w:r>
      <w:r w:rsidRPr="00DD0457">
        <w:rPr>
          <w:rFonts w:hint="eastAsia"/>
          <w:rtl/>
        </w:rPr>
        <w:t>הן</w:t>
      </w:r>
      <w:r w:rsidRPr="00DD0457">
        <w:rPr>
          <w:rtl/>
        </w:rPr>
        <w:t xml:space="preserve"> </w:t>
      </w:r>
      <w:r w:rsidRPr="00DD0457">
        <w:rPr>
          <w:rFonts w:hint="eastAsia"/>
          <w:rtl/>
        </w:rPr>
        <w:t>מגידול</w:t>
      </w:r>
      <w:r w:rsidRPr="00DD0457">
        <w:rPr>
          <w:rtl/>
        </w:rPr>
        <w:t xml:space="preserve"> </w:t>
      </w:r>
      <w:r w:rsidRPr="00DD0457">
        <w:rPr>
          <w:rFonts w:hint="eastAsia"/>
          <w:rtl/>
        </w:rPr>
        <w:t>בנכסים</w:t>
      </w:r>
      <w:r w:rsidRPr="00DD0457">
        <w:rPr>
          <w:rtl/>
        </w:rPr>
        <w:t xml:space="preserve"> </w:t>
      </w:r>
      <w:r w:rsidRPr="00DD0457">
        <w:rPr>
          <w:rFonts w:hint="eastAsia"/>
          <w:rtl/>
        </w:rPr>
        <w:t>השוטפים</w:t>
      </w:r>
      <w:r w:rsidRPr="00DD0457">
        <w:rPr>
          <w:rtl/>
        </w:rPr>
        <w:t xml:space="preserve"> </w:t>
      </w:r>
      <w:r w:rsidRPr="00DD0457">
        <w:rPr>
          <w:rFonts w:hint="eastAsia"/>
          <w:rtl/>
        </w:rPr>
        <w:t>והן</w:t>
      </w:r>
      <w:r w:rsidRPr="00DD0457">
        <w:rPr>
          <w:rtl/>
        </w:rPr>
        <w:t xml:space="preserve"> </w:t>
      </w:r>
      <w:r w:rsidRPr="00DD0457">
        <w:rPr>
          <w:rFonts w:hint="eastAsia"/>
          <w:rtl/>
        </w:rPr>
        <w:t>מקיטון</w:t>
      </w:r>
      <w:r w:rsidRPr="00DD0457">
        <w:rPr>
          <w:rtl/>
        </w:rPr>
        <w:t xml:space="preserve"> </w:t>
      </w:r>
      <w:r w:rsidRPr="00DD0457">
        <w:rPr>
          <w:rFonts w:hint="eastAsia"/>
          <w:rtl/>
        </w:rPr>
        <w:t>בהתחייבויות</w:t>
      </w:r>
      <w:r w:rsidRPr="00DD0457">
        <w:rPr>
          <w:rtl/>
        </w:rPr>
        <w:t xml:space="preserve"> </w:t>
      </w:r>
      <w:r w:rsidRPr="00DD0457">
        <w:rPr>
          <w:rFonts w:hint="eastAsia"/>
          <w:rtl/>
        </w:rPr>
        <w:t>השוטפות</w:t>
      </w:r>
      <w:r>
        <w:rPr>
          <w:rtl/>
        </w:rPr>
        <w:t>.</w:t>
      </w:r>
    </w:p>
    <w:p w14:paraId="3BEDBC4E" w14:textId="77777777" w:rsidR="007C4395" w:rsidRDefault="007C4395" w:rsidP="006F4D0D">
      <w:pPr>
        <w:pStyle w:val="71155"/>
        <w:rPr>
          <w:rtl/>
        </w:rPr>
      </w:pPr>
      <w:r>
        <w:rPr>
          <w:rFonts w:hint="cs"/>
          <w:rtl/>
        </w:rPr>
        <w:t>נתוני חייבים ויתרות חובה בדוחות הכספיים של המדינה לשנים 2017 - 2020</w:t>
      </w:r>
    </w:p>
    <w:p w14:paraId="2A5DD7FA" w14:textId="77777777" w:rsidR="007C4395" w:rsidRDefault="007C4395" w:rsidP="002A738D">
      <w:pPr>
        <w:pStyle w:val="7190"/>
        <w:rPr>
          <w:rtl/>
        </w:rPr>
      </w:pPr>
      <w:r>
        <w:rPr>
          <w:rFonts w:hint="cs"/>
          <w:rtl/>
        </w:rPr>
        <w:t>כחלק מהפעילויות השוטפות במשרדי הממשלה, לעיתים נוצרת למשרד הממשלתי זכות לקבלת כספים. זכות זו יכולה להיווצר מאספקת שירותים של המשרד וכן מהטלת חיובים, כגון אגרות, קנסות או עיצומים כספיים מכוח דינים שונים. כמו כן, לעיתים המשרד זכאי לפיצוי או להחזר הוצאות מכוח פסקי דין, הסכמים או מסיבה אחרת. חיוב שהגיע מועד פירעונו בהתאם לדין וטרם שולם, מתגבש לכדי חוב שיש לפעול לגבייתו.</w:t>
      </w:r>
    </w:p>
    <w:p w14:paraId="6D334AEA" w14:textId="77777777" w:rsidR="007C4395" w:rsidRDefault="007C4395" w:rsidP="002A738D">
      <w:pPr>
        <w:pStyle w:val="7190"/>
        <w:rPr>
          <w:rtl/>
        </w:rPr>
      </w:pPr>
      <w:r>
        <w:rPr>
          <w:rFonts w:hint="cs"/>
          <w:rtl/>
        </w:rPr>
        <w:t xml:space="preserve">בלוח הבא מוצג פירוט של הרכב סעיף חייבים ויתרות חובה בדוחות הכספיים של המדינה לשנים 2017 - 2020 (במיליוני ש"ח): </w:t>
      </w:r>
    </w:p>
    <w:p w14:paraId="14F77266" w14:textId="77777777" w:rsidR="00DA580B" w:rsidRDefault="00DA580B">
      <w:pPr>
        <w:bidi w:val="0"/>
        <w:spacing w:after="200" w:line="276" w:lineRule="auto"/>
        <w:rPr>
          <w:rFonts w:ascii="Tahoma" w:eastAsiaTheme="minorEastAsia" w:hAnsi="Tahoma" w:cs="Tahoma"/>
          <w:color w:val="0D0D0D" w:themeColor="text1" w:themeTint="F2"/>
          <w:szCs w:val="20"/>
          <w:rtl/>
        </w:rPr>
      </w:pPr>
      <w:r>
        <w:rPr>
          <w:b/>
          <w:bCs/>
          <w:rtl/>
        </w:rPr>
        <w:br w:type="page"/>
      </w:r>
    </w:p>
    <w:p w14:paraId="63CDDC94" w14:textId="5E7DA388" w:rsidR="007C4395" w:rsidRPr="006F4D0D" w:rsidRDefault="007C4395" w:rsidP="006F4D0D">
      <w:pPr>
        <w:pStyle w:val="71a"/>
        <w:rPr>
          <w:rtl/>
        </w:rPr>
      </w:pPr>
      <w:r w:rsidRPr="006F4D0D">
        <w:rPr>
          <w:rFonts w:hint="cs"/>
          <w:b w:val="0"/>
          <w:bCs w:val="0"/>
          <w:rtl/>
        </w:rPr>
        <w:lastRenderedPageBreak/>
        <w:t>לוח 9:</w:t>
      </w:r>
      <w:r w:rsidRPr="006F4D0D">
        <w:rPr>
          <w:rFonts w:hint="cs"/>
          <w:rtl/>
        </w:rPr>
        <w:t xml:space="preserve"> הרכב הסעיף חייבים ויתרות חובה, 20</w:t>
      </w:r>
      <w:r w:rsidRPr="006F4D0D">
        <w:rPr>
          <w:rtl/>
        </w:rPr>
        <w:t>1</w:t>
      </w:r>
      <w:r w:rsidRPr="006F4D0D">
        <w:rPr>
          <w:rFonts w:hint="cs"/>
          <w:rtl/>
        </w:rPr>
        <w:t>7 - 2020 (במיליוני ש"ח)</w:t>
      </w:r>
    </w:p>
    <w:tbl>
      <w:tblPr>
        <w:tblStyle w:val="5-1"/>
        <w:bidiVisual/>
        <w:tblW w:w="5000" w:type="pct"/>
        <w:tblBorders>
          <w:top w:val="none" w:sz="0" w:space="0" w:color="auto"/>
          <w:left w:val="none" w:sz="0" w:space="0" w:color="auto"/>
          <w:bottom w:val="none" w:sz="0" w:space="0" w:color="auto"/>
          <w:right w:val="single" w:sz="4" w:space="0" w:color="auto"/>
          <w:insideH w:val="none" w:sz="0" w:space="0" w:color="auto"/>
          <w:insideV w:val="none" w:sz="0" w:space="0" w:color="auto"/>
        </w:tblBorders>
        <w:tblLook w:val="04A0" w:firstRow="1" w:lastRow="0" w:firstColumn="1" w:lastColumn="0" w:noHBand="0" w:noVBand="1"/>
      </w:tblPr>
      <w:tblGrid>
        <w:gridCol w:w="3549"/>
        <w:gridCol w:w="933"/>
        <w:gridCol w:w="960"/>
        <w:gridCol w:w="960"/>
        <w:gridCol w:w="958"/>
      </w:tblGrid>
      <w:tr w:rsidR="00413BCF" w14:paraId="3BA0D68D" w14:textId="77777777" w:rsidTr="00413B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pct"/>
            <w:tcBorders>
              <w:left w:val="single" w:sz="4" w:space="0" w:color="auto"/>
              <w:right w:val="single" w:sz="4" w:space="0" w:color="auto"/>
            </w:tcBorders>
            <w:shd w:val="clear" w:color="auto" w:fill="B6CBD4"/>
          </w:tcPr>
          <w:p w14:paraId="6B94176B" w14:textId="77777777" w:rsidR="007C4395" w:rsidRPr="009E6326" w:rsidRDefault="007C4395" w:rsidP="00413BCF">
            <w:pPr>
              <w:pStyle w:val="71HEADER"/>
              <w:spacing w:line="240" w:lineRule="auto"/>
              <w:rPr>
                <w:rtl/>
              </w:rPr>
            </w:pPr>
          </w:p>
        </w:tc>
        <w:tc>
          <w:tcPr>
            <w:tcW w:w="2589" w:type="pct"/>
            <w:gridSpan w:val="4"/>
            <w:tcBorders>
              <w:left w:val="single" w:sz="4" w:space="0" w:color="auto"/>
            </w:tcBorders>
            <w:shd w:val="clear" w:color="auto" w:fill="B6CBD4"/>
            <w:hideMark/>
          </w:tcPr>
          <w:p w14:paraId="36F6F850" w14:textId="02A1F713" w:rsidR="007C4395" w:rsidRPr="009E6326" w:rsidRDefault="007C4395" w:rsidP="00413BCF">
            <w:pPr>
              <w:pStyle w:val="71HEADER"/>
              <w:spacing w:line="240" w:lineRule="auto"/>
              <w:cnfStyle w:val="100000000000" w:firstRow="1" w:lastRow="0" w:firstColumn="0" w:lastColumn="0" w:oddVBand="0" w:evenVBand="0" w:oddHBand="0" w:evenHBand="0" w:firstRowFirstColumn="0" w:firstRowLastColumn="0" w:lastRowFirstColumn="0" w:lastRowLastColumn="0"/>
              <w:rPr>
                <w:rtl/>
              </w:rPr>
            </w:pPr>
            <w:r w:rsidRPr="009E6326">
              <w:rPr>
                <w:rFonts w:hint="cs"/>
                <w:rtl/>
              </w:rPr>
              <w:t>מדינת ישראל, דוח מאוחד</w:t>
            </w:r>
            <w:r w:rsidR="009E6326" w:rsidRPr="009E6326">
              <w:rPr>
                <w:rtl/>
              </w:rPr>
              <w:br/>
            </w:r>
            <w:r w:rsidRPr="009E6326">
              <w:rPr>
                <w:rFonts w:hint="cs"/>
                <w:rtl/>
              </w:rPr>
              <w:t>לשנה שהסתיימה ביום 31 בדצמבר</w:t>
            </w:r>
          </w:p>
        </w:tc>
      </w:tr>
      <w:tr w:rsidR="00413BCF" w14:paraId="31511A9B" w14:textId="77777777" w:rsidTr="00413BC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411" w:type="pct"/>
            <w:tcBorders>
              <w:left w:val="single" w:sz="4" w:space="0" w:color="auto"/>
              <w:right w:val="single" w:sz="4" w:space="0" w:color="auto"/>
            </w:tcBorders>
            <w:shd w:val="clear" w:color="auto" w:fill="C8DCE4"/>
          </w:tcPr>
          <w:p w14:paraId="2453AF9F" w14:textId="77777777" w:rsidR="007C4395" w:rsidRPr="009E6326" w:rsidRDefault="007C4395" w:rsidP="00413BCF">
            <w:pPr>
              <w:pStyle w:val="71R"/>
              <w:spacing w:line="240" w:lineRule="auto"/>
              <w:rPr>
                <w:rtl/>
              </w:rPr>
            </w:pPr>
          </w:p>
        </w:tc>
        <w:tc>
          <w:tcPr>
            <w:tcW w:w="634" w:type="pct"/>
            <w:tcBorders>
              <w:left w:val="single" w:sz="4" w:space="0" w:color="auto"/>
              <w:right w:val="single" w:sz="4" w:space="0" w:color="auto"/>
            </w:tcBorders>
            <w:shd w:val="clear" w:color="auto" w:fill="C8DCE4"/>
            <w:hideMark/>
          </w:tcPr>
          <w:p w14:paraId="39853CC8"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2017</w:t>
            </w:r>
          </w:p>
        </w:tc>
        <w:tc>
          <w:tcPr>
            <w:tcW w:w="652" w:type="pct"/>
            <w:tcBorders>
              <w:left w:val="single" w:sz="4" w:space="0" w:color="auto"/>
              <w:right w:val="single" w:sz="4" w:space="0" w:color="auto"/>
            </w:tcBorders>
            <w:shd w:val="clear" w:color="auto" w:fill="C8DCE4"/>
            <w:hideMark/>
          </w:tcPr>
          <w:p w14:paraId="47798C36"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2018</w:t>
            </w:r>
          </w:p>
        </w:tc>
        <w:tc>
          <w:tcPr>
            <w:tcW w:w="652" w:type="pct"/>
            <w:tcBorders>
              <w:left w:val="single" w:sz="4" w:space="0" w:color="auto"/>
              <w:right w:val="single" w:sz="4" w:space="0" w:color="auto"/>
            </w:tcBorders>
            <w:shd w:val="clear" w:color="auto" w:fill="C8DCE4"/>
            <w:hideMark/>
          </w:tcPr>
          <w:p w14:paraId="1D04DF5E"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2019</w:t>
            </w:r>
          </w:p>
        </w:tc>
        <w:tc>
          <w:tcPr>
            <w:tcW w:w="652" w:type="pct"/>
            <w:tcBorders>
              <w:left w:val="single" w:sz="4" w:space="0" w:color="auto"/>
            </w:tcBorders>
            <w:shd w:val="clear" w:color="auto" w:fill="C8DCE4"/>
            <w:hideMark/>
          </w:tcPr>
          <w:p w14:paraId="5EF9D444"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2020</w:t>
            </w:r>
          </w:p>
        </w:tc>
      </w:tr>
      <w:tr w:rsidR="00413BCF" w14:paraId="12D23CB1" w14:textId="77777777" w:rsidTr="00413BCF">
        <w:tc>
          <w:tcPr>
            <w:cnfStyle w:val="001000000000" w:firstRow="0" w:lastRow="0" w:firstColumn="1" w:lastColumn="0" w:oddVBand="0" w:evenVBand="0" w:oddHBand="0" w:evenHBand="0" w:firstRowFirstColumn="0" w:firstRowLastColumn="0" w:lastRowFirstColumn="0" w:lastRowLastColumn="0"/>
            <w:tcW w:w="2411" w:type="pct"/>
            <w:tcBorders>
              <w:left w:val="single" w:sz="4" w:space="0" w:color="auto"/>
              <w:right w:val="single" w:sz="4" w:space="0" w:color="auto"/>
            </w:tcBorders>
            <w:shd w:val="clear" w:color="auto" w:fill="DDEAEE"/>
            <w:hideMark/>
          </w:tcPr>
          <w:p w14:paraId="0F76875A" w14:textId="77777777" w:rsidR="007C4395" w:rsidRPr="009E6326" w:rsidRDefault="007C4395" w:rsidP="00413BCF">
            <w:pPr>
              <w:pStyle w:val="71R"/>
              <w:spacing w:line="240" w:lineRule="auto"/>
              <w:rPr>
                <w:b w:val="0"/>
                <w:bCs w:val="0"/>
                <w:rtl/>
              </w:rPr>
            </w:pPr>
            <w:r w:rsidRPr="009E6326">
              <w:rPr>
                <w:rFonts w:hint="cs"/>
                <w:b w:val="0"/>
                <w:bCs w:val="0"/>
                <w:rtl/>
              </w:rPr>
              <w:t>חייבים בגין עסקאות שאינן חליפין</w:t>
            </w:r>
          </w:p>
        </w:tc>
        <w:tc>
          <w:tcPr>
            <w:tcW w:w="634" w:type="pct"/>
            <w:tcBorders>
              <w:left w:val="single" w:sz="4" w:space="0" w:color="auto"/>
              <w:right w:val="single" w:sz="4" w:space="0" w:color="auto"/>
            </w:tcBorders>
            <w:shd w:val="clear" w:color="auto" w:fill="DDEAEE"/>
          </w:tcPr>
          <w:p w14:paraId="51332F68"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25,419</w:t>
            </w:r>
          </w:p>
        </w:tc>
        <w:tc>
          <w:tcPr>
            <w:tcW w:w="652" w:type="pct"/>
            <w:tcBorders>
              <w:left w:val="single" w:sz="4" w:space="0" w:color="auto"/>
              <w:right w:val="single" w:sz="4" w:space="0" w:color="auto"/>
            </w:tcBorders>
            <w:shd w:val="clear" w:color="auto" w:fill="DDEAEE"/>
          </w:tcPr>
          <w:p w14:paraId="33AE8CF6"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19,380</w:t>
            </w:r>
          </w:p>
        </w:tc>
        <w:tc>
          <w:tcPr>
            <w:tcW w:w="652" w:type="pct"/>
            <w:tcBorders>
              <w:left w:val="single" w:sz="4" w:space="0" w:color="auto"/>
              <w:right w:val="single" w:sz="4" w:space="0" w:color="auto"/>
            </w:tcBorders>
            <w:shd w:val="clear" w:color="auto" w:fill="DDEAEE"/>
          </w:tcPr>
          <w:p w14:paraId="4A628D96"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21,147</w:t>
            </w:r>
          </w:p>
        </w:tc>
        <w:tc>
          <w:tcPr>
            <w:tcW w:w="652" w:type="pct"/>
            <w:tcBorders>
              <w:left w:val="single" w:sz="4" w:space="0" w:color="auto"/>
            </w:tcBorders>
            <w:shd w:val="clear" w:color="auto" w:fill="DDEAEE"/>
            <w:hideMark/>
          </w:tcPr>
          <w:p w14:paraId="41DE93A0"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23,945</w:t>
            </w:r>
          </w:p>
        </w:tc>
      </w:tr>
      <w:tr w:rsidR="00413BCF" w14:paraId="57797DA9" w14:textId="77777777" w:rsidTr="00413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pct"/>
            <w:tcBorders>
              <w:left w:val="single" w:sz="4" w:space="0" w:color="auto"/>
              <w:right w:val="single" w:sz="4" w:space="0" w:color="auto"/>
            </w:tcBorders>
            <w:shd w:val="clear" w:color="auto" w:fill="EEF6F7"/>
          </w:tcPr>
          <w:p w14:paraId="266F046E" w14:textId="77777777" w:rsidR="007C4395" w:rsidRPr="009E6326" w:rsidRDefault="007C4395" w:rsidP="00413BCF">
            <w:pPr>
              <w:pStyle w:val="71R"/>
              <w:spacing w:line="240" w:lineRule="auto"/>
              <w:rPr>
                <w:b w:val="0"/>
                <w:bCs w:val="0"/>
                <w:rtl/>
              </w:rPr>
            </w:pPr>
            <w:r w:rsidRPr="009E6326">
              <w:rPr>
                <w:rFonts w:hint="cs"/>
                <w:b w:val="0"/>
                <w:bCs w:val="0"/>
                <w:rtl/>
              </w:rPr>
              <w:t>חייבים בגין עסקאות חליפין</w:t>
            </w:r>
          </w:p>
        </w:tc>
        <w:tc>
          <w:tcPr>
            <w:tcW w:w="634" w:type="pct"/>
            <w:tcBorders>
              <w:left w:val="single" w:sz="4" w:space="0" w:color="auto"/>
              <w:right w:val="single" w:sz="4" w:space="0" w:color="auto"/>
            </w:tcBorders>
            <w:shd w:val="clear" w:color="auto" w:fill="EEF6F7"/>
          </w:tcPr>
          <w:p w14:paraId="0C09B74C"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17,376</w:t>
            </w:r>
          </w:p>
        </w:tc>
        <w:tc>
          <w:tcPr>
            <w:tcW w:w="652" w:type="pct"/>
            <w:tcBorders>
              <w:left w:val="single" w:sz="4" w:space="0" w:color="auto"/>
              <w:right w:val="single" w:sz="4" w:space="0" w:color="auto"/>
            </w:tcBorders>
            <w:shd w:val="clear" w:color="auto" w:fill="EEF6F7"/>
          </w:tcPr>
          <w:p w14:paraId="6BC98F16"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18,608</w:t>
            </w:r>
          </w:p>
        </w:tc>
        <w:tc>
          <w:tcPr>
            <w:tcW w:w="652" w:type="pct"/>
            <w:tcBorders>
              <w:left w:val="single" w:sz="4" w:space="0" w:color="auto"/>
              <w:right w:val="single" w:sz="4" w:space="0" w:color="auto"/>
            </w:tcBorders>
            <w:shd w:val="clear" w:color="auto" w:fill="EEF6F7"/>
          </w:tcPr>
          <w:p w14:paraId="2E832CD7"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17,803</w:t>
            </w:r>
          </w:p>
        </w:tc>
        <w:tc>
          <w:tcPr>
            <w:tcW w:w="652" w:type="pct"/>
            <w:tcBorders>
              <w:left w:val="single" w:sz="4" w:space="0" w:color="auto"/>
            </w:tcBorders>
            <w:shd w:val="clear" w:color="auto" w:fill="EEF6F7"/>
          </w:tcPr>
          <w:p w14:paraId="795BF2AB"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19,219</w:t>
            </w:r>
          </w:p>
        </w:tc>
      </w:tr>
      <w:tr w:rsidR="00413BCF" w14:paraId="4EE64677" w14:textId="77777777" w:rsidTr="00413BCF">
        <w:tc>
          <w:tcPr>
            <w:cnfStyle w:val="001000000000" w:firstRow="0" w:lastRow="0" w:firstColumn="1" w:lastColumn="0" w:oddVBand="0" w:evenVBand="0" w:oddHBand="0" w:evenHBand="0" w:firstRowFirstColumn="0" w:firstRowLastColumn="0" w:lastRowFirstColumn="0" w:lastRowLastColumn="0"/>
            <w:tcW w:w="2411" w:type="pct"/>
            <w:tcBorders>
              <w:left w:val="single" w:sz="4" w:space="0" w:color="auto"/>
              <w:right w:val="single" w:sz="4" w:space="0" w:color="auto"/>
            </w:tcBorders>
            <w:shd w:val="clear" w:color="auto" w:fill="DDEAEE"/>
          </w:tcPr>
          <w:p w14:paraId="6AD699D4" w14:textId="77777777" w:rsidR="007C4395" w:rsidRPr="009E6326" w:rsidRDefault="007C4395" w:rsidP="00413BCF">
            <w:pPr>
              <w:pStyle w:val="71R"/>
              <w:spacing w:line="240" w:lineRule="auto"/>
              <w:rPr>
                <w:b w:val="0"/>
                <w:bCs w:val="0"/>
                <w:rtl/>
              </w:rPr>
            </w:pPr>
            <w:r w:rsidRPr="009E6326">
              <w:rPr>
                <w:rFonts w:hint="cs"/>
                <w:b w:val="0"/>
                <w:bCs w:val="0"/>
                <w:rtl/>
              </w:rPr>
              <w:t>מקדמות לספקים</w:t>
            </w:r>
          </w:p>
        </w:tc>
        <w:tc>
          <w:tcPr>
            <w:tcW w:w="634" w:type="pct"/>
            <w:tcBorders>
              <w:left w:val="single" w:sz="4" w:space="0" w:color="auto"/>
              <w:right w:val="single" w:sz="4" w:space="0" w:color="auto"/>
            </w:tcBorders>
            <w:shd w:val="clear" w:color="auto" w:fill="DDEAEE"/>
          </w:tcPr>
          <w:p w14:paraId="45D84743"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8,666</w:t>
            </w:r>
          </w:p>
        </w:tc>
        <w:tc>
          <w:tcPr>
            <w:tcW w:w="652" w:type="pct"/>
            <w:tcBorders>
              <w:left w:val="single" w:sz="4" w:space="0" w:color="auto"/>
              <w:right w:val="single" w:sz="4" w:space="0" w:color="auto"/>
            </w:tcBorders>
            <w:shd w:val="clear" w:color="auto" w:fill="DDEAEE"/>
          </w:tcPr>
          <w:p w14:paraId="1532A8E3"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9,150</w:t>
            </w:r>
          </w:p>
        </w:tc>
        <w:tc>
          <w:tcPr>
            <w:tcW w:w="652" w:type="pct"/>
            <w:tcBorders>
              <w:left w:val="single" w:sz="4" w:space="0" w:color="auto"/>
              <w:right w:val="single" w:sz="4" w:space="0" w:color="auto"/>
            </w:tcBorders>
            <w:shd w:val="clear" w:color="auto" w:fill="DDEAEE"/>
          </w:tcPr>
          <w:p w14:paraId="5385D43F"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11,836</w:t>
            </w:r>
          </w:p>
        </w:tc>
        <w:tc>
          <w:tcPr>
            <w:tcW w:w="652" w:type="pct"/>
            <w:tcBorders>
              <w:left w:val="single" w:sz="4" w:space="0" w:color="auto"/>
            </w:tcBorders>
            <w:shd w:val="clear" w:color="auto" w:fill="DDEAEE"/>
          </w:tcPr>
          <w:p w14:paraId="502C4F2D"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11,414</w:t>
            </w:r>
          </w:p>
        </w:tc>
      </w:tr>
      <w:tr w:rsidR="00413BCF" w14:paraId="09D4B69D" w14:textId="77777777" w:rsidTr="00413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pct"/>
            <w:tcBorders>
              <w:left w:val="single" w:sz="4" w:space="0" w:color="auto"/>
              <w:right w:val="single" w:sz="4" w:space="0" w:color="auto"/>
            </w:tcBorders>
            <w:shd w:val="clear" w:color="auto" w:fill="EEF6F7"/>
          </w:tcPr>
          <w:p w14:paraId="732A2A41" w14:textId="77777777" w:rsidR="007C4395" w:rsidRPr="009E6326" w:rsidRDefault="007C4395" w:rsidP="00413BCF">
            <w:pPr>
              <w:pStyle w:val="71R"/>
              <w:spacing w:line="240" w:lineRule="auto"/>
              <w:rPr>
                <w:b w:val="0"/>
                <w:bCs w:val="0"/>
                <w:rtl/>
              </w:rPr>
            </w:pPr>
            <w:r w:rsidRPr="009E6326">
              <w:rPr>
                <w:rFonts w:hint="cs"/>
                <w:b w:val="0"/>
                <w:bCs w:val="0"/>
                <w:rtl/>
              </w:rPr>
              <w:t>הכנסות לקבל</w:t>
            </w:r>
          </w:p>
        </w:tc>
        <w:tc>
          <w:tcPr>
            <w:tcW w:w="634" w:type="pct"/>
            <w:tcBorders>
              <w:left w:val="single" w:sz="4" w:space="0" w:color="auto"/>
              <w:right w:val="single" w:sz="4" w:space="0" w:color="auto"/>
            </w:tcBorders>
            <w:shd w:val="clear" w:color="auto" w:fill="EEF6F7"/>
          </w:tcPr>
          <w:p w14:paraId="33A3F673"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9,786</w:t>
            </w:r>
          </w:p>
        </w:tc>
        <w:tc>
          <w:tcPr>
            <w:tcW w:w="652" w:type="pct"/>
            <w:tcBorders>
              <w:left w:val="single" w:sz="4" w:space="0" w:color="auto"/>
              <w:right w:val="single" w:sz="4" w:space="0" w:color="auto"/>
            </w:tcBorders>
            <w:shd w:val="clear" w:color="auto" w:fill="EEF6F7"/>
          </w:tcPr>
          <w:p w14:paraId="343276EA"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9,926</w:t>
            </w:r>
          </w:p>
        </w:tc>
        <w:tc>
          <w:tcPr>
            <w:tcW w:w="652" w:type="pct"/>
            <w:tcBorders>
              <w:left w:val="single" w:sz="4" w:space="0" w:color="auto"/>
              <w:right w:val="single" w:sz="4" w:space="0" w:color="auto"/>
            </w:tcBorders>
            <w:shd w:val="clear" w:color="auto" w:fill="EEF6F7"/>
          </w:tcPr>
          <w:p w14:paraId="0F08C062"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9,909</w:t>
            </w:r>
          </w:p>
        </w:tc>
        <w:tc>
          <w:tcPr>
            <w:tcW w:w="652" w:type="pct"/>
            <w:tcBorders>
              <w:left w:val="single" w:sz="4" w:space="0" w:color="auto"/>
            </w:tcBorders>
            <w:shd w:val="clear" w:color="auto" w:fill="EEF6F7"/>
          </w:tcPr>
          <w:p w14:paraId="5DC92D1E"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9,050</w:t>
            </w:r>
          </w:p>
        </w:tc>
      </w:tr>
      <w:tr w:rsidR="00413BCF" w14:paraId="2577BDBF" w14:textId="77777777" w:rsidTr="00413BCF">
        <w:tc>
          <w:tcPr>
            <w:cnfStyle w:val="001000000000" w:firstRow="0" w:lastRow="0" w:firstColumn="1" w:lastColumn="0" w:oddVBand="0" w:evenVBand="0" w:oddHBand="0" w:evenHBand="0" w:firstRowFirstColumn="0" w:firstRowLastColumn="0" w:lastRowFirstColumn="0" w:lastRowLastColumn="0"/>
            <w:tcW w:w="2411" w:type="pct"/>
            <w:tcBorders>
              <w:left w:val="single" w:sz="4" w:space="0" w:color="auto"/>
              <w:right w:val="single" w:sz="4" w:space="0" w:color="auto"/>
            </w:tcBorders>
            <w:shd w:val="clear" w:color="auto" w:fill="DDEAEE"/>
          </w:tcPr>
          <w:p w14:paraId="406E48ED" w14:textId="77777777" w:rsidR="007C4395" w:rsidRPr="009E6326" w:rsidRDefault="007C4395" w:rsidP="00413BCF">
            <w:pPr>
              <w:pStyle w:val="71R"/>
              <w:spacing w:line="240" w:lineRule="auto"/>
              <w:rPr>
                <w:b w:val="0"/>
                <w:bCs w:val="0"/>
                <w:rtl/>
              </w:rPr>
            </w:pPr>
            <w:r w:rsidRPr="009E6326">
              <w:rPr>
                <w:rFonts w:hint="cs"/>
                <w:b w:val="0"/>
                <w:bCs w:val="0"/>
                <w:rtl/>
              </w:rPr>
              <w:t>ביטוח לאו</w:t>
            </w:r>
            <w:r w:rsidRPr="009E6326">
              <w:rPr>
                <w:b w:val="0"/>
                <w:bCs w:val="0"/>
                <w:rtl/>
              </w:rPr>
              <w:t>מ</w:t>
            </w:r>
            <w:r w:rsidRPr="009E6326">
              <w:rPr>
                <w:rFonts w:hint="cs"/>
                <w:b w:val="0"/>
                <w:bCs w:val="0"/>
                <w:rtl/>
              </w:rPr>
              <w:t>י - חובות הציבור</w:t>
            </w:r>
          </w:p>
        </w:tc>
        <w:tc>
          <w:tcPr>
            <w:tcW w:w="634" w:type="pct"/>
            <w:tcBorders>
              <w:left w:val="single" w:sz="4" w:space="0" w:color="auto"/>
              <w:right w:val="single" w:sz="4" w:space="0" w:color="auto"/>
            </w:tcBorders>
            <w:shd w:val="clear" w:color="auto" w:fill="DDEAEE"/>
          </w:tcPr>
          <w:p w14:paraId="61F08629"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5,970</w:t>
            </w:r>
          </w:p>
        </w:tc>
        <w:tc>
          <w:tcPr>
            <w:tcW w:w="652" w:type="pct"/>
            <w:tcBorders>
              <w:left w:val="single" w:sz="4" w:space="0" w:color="auto"/>
              <w:right w:val="single" w:sz="4" w:space="0" w:color="auto"/>
            </w:tcBorders>
            <w:shd w:val="clear" w:color="auto" w:fill="DDEAEE"/>
          </w:tcPr>
          <w:p w14:paraId="6357B978"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6,337</w:t>
            </w:r>
          </w:p>
        </w:tc>
        <w:tc>
          <w:tcPr>
            <w:tcW w:w="652" w:type="pct"/>
            <w:tcBorders>
              <w:left w:val="single" w:sz="4" w:space="0" w:color="auto"/>
              <w:right w:val="single" w:sz="4" w:space="0" w:color="auto"/>
            </w:tcBorders>
            <w:shd w:val="clear" w:color="auto" w:fill="DDEAEE"/>
          </w:tcPr>
          <w:p w14:paraId="377323FC"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6,819</w:t>
            </w:r>
          </w:p>
        </w:tc>
        <w:tc>
          <w:tcPr>
            <w:tcW w:w="652" w:type="pct"/>
            <w:tcBorders>
              <w:left w:val="single" w:sz="4" w:space="0" w:color="auto"/>
            </w:tcBorders>
            <w:shd w:val="clear" w:color="auto" w:fill="DDEAEE"/>
          </w:tcPr>
          <w:p w14:paraId="573849E5"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8,018</w:t>
            </w:r>
          </w:p>
        </w:tc>
      </w:tr>
      <w:tr w:rsidR="00413BCF" w14:paraId="51CD7F2F" w14:textId="77777777" w:rsidTr="00413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pct"/>
            <w:tcBorders>
              <w:left w:val="single" w:sz="4" w:space="0" w:color="auto"/>
              <w:right w:val="single" w:sz="4" w:space="0" w:color="auto"/>
            </w:tcBorders>
            <w:shd w:val="clear" w:color="auto" w:fill="EEF6F7"/>
          </w:tcPr>
          <w:p w14:paraId="7DB6FCE8" w14:textId="77777777" w:rsidR="007C4395" w:rsidRPr="009E6326" w:rsidRDefault="007C4395" w:rsidP="00413BCF">
            <w:pPr>
              <w:pStyle w:val="71R"/>
              <w:spacing w:line="240" w:lineRule="auto"/>
              <w:rPr>
                <w:b w:val="0"/>
                <w:bCs w:val="0"/>
                <w:rtl/>
              </w:rPr>
            </w:pPr>
            <w:r w:rsidRPr="009E6326">
              <w:rPr>
                <w:rFonts w:hint="cs"/>
                <w:b w:val="0"/>
                <w:bCs w:val="0"/>
                <w:rtl/>
              </w:rPr>
              <w:t>עבודות בביצוע בניכוי מקדמות</w:t>
            </w:r>
          </w:p>
        </w:tc>
        <w:tc>
          <w:tcPr>
            <w:tcW w:w="634" w:type="pct"/>
            <w:tcBorders>
              <w:left w:val="single" w:sz="4" w:space="0" w:color="auto"/>
              <w:right w:val="single" w:sz="4" w:space="0" w:color="auto"/>
            </w:tcBorders>
            <w:shd w:val="clear" w:color="auto" w:fill="EEF6F7"/>
          </w:tcPr>
          <w:p w14:paraId="70115D25"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1,737</w:t>
            </w:r>
          </w:p>
        </w:tc>
        <w:tc>
          <w:tcPr>
            <w:tcW w:w="652" w:type="pct"/>
            <w:tcBorders>
              <w:left w:val="single" w:sz="4" w:space="0" w:color="auto"/>
              <w:right w:val="single" w:sz="4" w:space="0" w:color="auto"/>
            </w:tcBorders>
            <w:shd w:val="clear" w:color="auto" w:fill="EEF6F7"/>
          </w:tcPr>
          <w:p w14:paraId="652F40DC"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1,940</w:t>
            </w:r>
          </w:p>
        </w:tc>
        <w:tc>
          <w:tcPr>
            <w:tcW w:w="652" w:type="pct"/>
            <w:tcBorders>
              <w:left w:val="single" w:sz="4" w:space="0" w:color="auto"/>
              <w:right w:val="single" w:sz="4" w:space="0" w:color="auto"/>
            </w:tcBorders>
            <w:shd w:val="clear" w:color="auto" w:fill="EEF6F7"/>
          </w:tcPr>
          <w:p w14:paraId="60D831D4"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2,771</w:t>
            </w:r>
          </w:p>
        </w:tc>
        <w:tc>
          <w:tcPr>
            <w:tcW w:w="652" w:type="pct"/>
            <w:tcBorders>
              <w:left w:val="single" w:sz="4" w:space="0" w:color="auto"/>
            </w:tcBorders>
            <w:shd w:val="clear" w:color="auto" w:fill="EEF6F7"/>
          </w:tcPr>
          <w:p w14:paraId="60FC8029"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3,559</w:t>
            </w:r>
          </w:p>
        </w:tc>
      </w:tr>
      <w:tr w:rsidR="00413BCF" w14:paraId="2A05A989" w14:textId="77777777" w:rsidTr="00413BCF">
        <w:tc>
          <w:tcPr>
            <w:cnfStyle w:val="001000000000" w:firstRow="0" w:lastRow="0" w:firstColumn="1" w:lastColumn="0" w:oddVBand="0" w:evenVBand="0" w:oddHBand="0" w:evenHBand="0" w:firstRowFirstColumn="0" w:firstRowLastColumn="0" w:lastRowFirstColumn="0" w:lastRowLastColumn="0"/>
            <w:tcW w:w="2411" w:type="pct"/>
            <w:tcBorders>
              <w:left w:val="single" w:sz="4" w:space="0" w:color="auto"/>
              <w:right w:val="single" w:sz="4" w:space="0" w:color="auto"/>
            </w:tcBorders>
            <w:shd w:val="clear" w:color="auto" w:fill="DDEAEE"/>
          </w:tcPr>
          <w:p w14:paraId="53950331" w14:textId="77777777" w:rsidR="007C4395" w:rsidRPr="009E6326" w:rsidRDefault="007C4395" w:rsidP="00413BCF">
            <w:pPr>
              <w:pStyle w:val="71R"/>
              <w:spacing w:line="240" w:lineRule="auto"/>
              <w:rPr>
                <w:b w:val="0"/>
                <w:bCs w:val="0"/>
                <w:rtl/>
              </w:rPr>
            </w:pPr>
            <w:r w:rsidRPr="009E6326">
              <w:rPr>
                <w:rFonts w:hint="cs"/>
                <w:b w:val="0"/>
                <w:bCs w:val="0"/>
                <w:rtl/>
              </w:rPr>
              <w:t>הוצאות מראש</w:t>
            </w:r>
          </w:p>
        </w:tc>
        <w:tc>
          <w:tcPr>
            <w:tcW w:w="634" w:type="pct"/>
            <w:tcBorders>
              <w:left w:val="single" w:sz="4" w:space="0" w:color="auto"/>
              <w:right w:val="single" w:sz="4" w:space="0" w:color="auto"/>
            </w:tcBorders>
            <w:shd w:val="clear" w:color="auto" w:fill="DDEAEE"/>
          </w:tcPr>
          <w:p w14:paraId="16A855D4"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2,126</w:t>
            </w:r>
          </w:p>
        </w:tc>
        <w:tc>
          <w:tcPr>
            <w:tcW w:w="652" w:type="pct"/>
            <w:tcBorders>
              <w:left w:val="single" w:sz="4" w:space="0" w:color="auto"/>
              <w:right w:val="single" w:sz="4" w:space="0" w:color="auto"/>
            </w:tcBorders>
            <w:shd w:val="clear" w:color="auto" w:fill="DDEAEE"/>
          </w:tcPr>
          <w:p w14:paraId="52F1767D"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2,568</w:t>
            </w:r>
          </w:p>
        </w:tc>
        <w:tc>
          <w:tcPr>
            <w:tcW w:w="652" w:type="pct"/>
            <w:tcBorders>
              <w:left w:val="single" w:sz="4" w:space="0" w:color="auto"/>
              <w:right w:val="single" w:sz="4" w:space="0" w:color="auto"/>
            </w:tcBorders>
            <w:shd w:val="clear" w:color="auto" w:fill="DDEAEE"/>
          </w:tcPr>
          <w:p w14:paraId="145B7666"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2,770</w:t>
            </w:r>
          </w:p>
        </w:tc>
        <w:tc>
          <w:tcPr>
            <w:tcW w:w="652" w:type="pct"/>
            <w:tcBorders>
              <w:left w:val="single" w:sz="4" w:space="0" w:color="auto"/>
            </w:tcBorders>
            <w:shd w:val="clear" w:color="auto" w:fill="DDEAEE"/>
          </w:tcPr>
          <w:p w14:paraId="13D9EA7E"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2,026</w:t>
            </w:r>
          </w:p>
        </w:tc>
      </w:tr>
      <w:tr w:rsidR="00413BCF" w14:paraId="3549F32F" w14:textId="77777777" w:rsidTr="00413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pct"/>
            <w:tcBorders>
              <w:left w:val="single" w:sz="4" w:space="0" w:color="auto"/>
              <w:right w:val="single" w:sz="4" w:space="0" w:color="auto"/>
            </w:tcBorders>
            <w:shd w:val="clear" w:color="auto" w:fill="EEF6F7"/>
            <w:hideMark/>
          </w:tcPr>
          <w:p w14:paraId="3645A45E" w14:textId="77777777" w:rsidR="007C4395" w:rsidRPr="009E6326" w:rsidRDefault="007C4395" w:rsidP="00413BCF">
            <w:pPr>
              <w:pStyle w:val="71R"/>
              <w:spacing w:line="240" w:lineRule="auto"/>
              <w:rPr>
                <w:b w:val="0"/>
                <w:bCs w:val="0"/>
                <w:rtl/>
              </w:rPr>
            </w:pPr>
            <w:r w:rsidRPr="009E6326">
              <w:rPr>
                <w:rFonts w:hint="cs"/>
                <w:b w:val="0"/>
                <w:bCs w:val="0"/>
                <w:rtl/>
              </w:rPr>
              <w:t>חייבים בגין הלוואות</w:t>
            </w:r>
          </w:p>
        </w:tc>
        <w:tc>
          <w:tcPr>
            <w:tcW w:w="634" w:type="pct"/>
            <w:tcBorders>
              <w:left w:val="single" w:sz="4" w:space="0" w:color="auto"/>
              <w:right w:val="single" w:sz="4" w:space="0" w:color="auto"/>
            </w:tcBorders>
            <w:shd w:val="clear" w:color="auto" w:fill="EEF6F7"/>
          </w:tcPr>
          <w:p w14:paraId="28BF7B73"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1,592</w:t>
            </w:r>
          </w:p>
        </w:tc>
        <w:tc>
          <w:tcPr>
            <w:tcW w:w="652" w:type="pct"/>
            <w:tcBorders>
              <w:left w:val="single" w:sz="4" w:space="0" w:color="auto"/>
              <w:right w:val="single" w:sz="4" w:space="0" w:color="auto"/>
            </w:tcBorders>
            <w:shd w:val="clear" w:color="auto" w:fill="EEF6F7"/>
          </w:tcPr>
          <w:p w14:paraId="54EFA153"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1,582</w:t>
            </w:r>
          </w:p>
        </w:tc>
        <w:tc>
          <w:tcPr>
            <w:tcW w:w="652" w:type="pct"/>
            <w:tcBorders>
              <w:left w:val="single" w:sz="4" w:space="0" w:color="auto"/>
              <w:right w:val="single" w:sz="4" w:space="0" w:color="auto"/>
            </w:tcBorders>
            <w:shd w:val="clear" w:color="auto" w:fill="EEF6F7"/>
          </w:tcPr>
          <w:p w14:paraId="080CCFFD"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1,429</w:t>
            </w:r>
          </w:p>
        </w:tc>
        <w:tc>
          <w:tcPr>
            <w:tcW w:w="652" w:type="pct"/>
            <w:tcBorders>
              <w:left w:val="single" w:sz="4" w:space="0" w:color="auto"/>
            </w:tcBorders>
            <w:shd w:val="clear" w:color="auto" w:fill="EEF6F7"/>
            <w:hideMark/>
          </w:tcPr>
          <w:p w14:paraId="6E93C06C"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1,447</w:t>
            </w:r>
          </w:p>
        </w:tc>
      </w:tr>
      <w:tr w:rsidR="00413BCF" w14:paraId="6A3A34CF" w14:textId="77777777" w:rsidTr="00413BCF">
        <w:tc>
          <w:tcPr>
            <w:cnfStyle w:val="001000000000" w:firstRow="0" w:lastRow="0" w:firstColumn="1" w:lastColumn="0" w:oddVBand="0" w:evenVBand="0" w:oddHBand="0" w:evenHBand="0" w:firstRowFirstColumn="0" w:firstRowLastColumn="0" w:lastRowFirstColumn="0" w:lastRowLastColumn="0"/>
            <w:tcW w:w="2411" w:type="pct"/>
            <w:tcBorders>
              <w:left w:val="single" w:sz="4" w:space="0" w:color="auto"/>
              <w:right w:val="single" w:sz="4" w:space="0" w:color="auto"/>
            </w:tcBorders>
            <w:shd w:val="clear" w:color="auto" w:fill="DDEAEE"/>
          </w:tcPr>
          <w:p w14:paraId="710326F7" w14:textId="77777777" w:rsidR="007C4395" w:rsidRPr="009E6326" w:rsidRDefault="007C4395" w:rsidP="00413BCF">
            <w:pPr>
              <w:pStyle w:val="71R"/>
              <w:spacing w:line="240" w:lineRule="auto"/>
              <w:rPr>
                <w:b w:val="0"/>
                <w:bCs w:val="0"/>
                <w:rtl/>
              </w:rPr>
            </w:pPr>
            <w:r w:rsidRPr="009E6326">
              <w:rPr>
                <w:rFonts w:hint="cs"/>
                <w:b w:val="0"/>
                <w:bCs w:val="0"/>
                <w:rtl/>
              </w:rPr>
              <w:t>המחאות לגבייה</w:t>
            </w:r>
          </w:p>
        </w:tc>
        <w:tc>
          <w:tcPr>
            <w:tcW w:w="634" w:type="pct"/>
            <w:tcBorders>
              <w:left w:val="single" w:sz="4" w:space="0" w:color="auto"/>
              <w:right w:val="single" w:sz="4" w:space="0" w:color="auto"/>
            </w:tcBorders>
            <w:shd w:val="clear" w:color="auto" w:fill="DDEAEE"/>
          </w:tcPr>
          <w:p w14:paraId="20FACA38"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705</w:t>
            </w:r>
          </w:p>
        </w:tc>
        <w:tc>
          <w:tcPr>
            <w:tcW w:w="652" w:type="pct"/>
            <w:tcBorders>
              <w:left w:val="single" w:sz="4" w:space="0" w:color="auto"/>
              <w:right w:val="single" w:sz="4" w:space="0" w:color="auto"/>
            </w:tcBorders>
            <w:shd w:val="clear" w:color="auto" w:fill="DDEAEE"/>
          </w:tcPr>
          <w:p w14:paraId="502C7CD1"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718</w:t>
            </w:r>
          </w:p>
        </w:tc>
        <w:tc>
          <w:tcPr>
            <w:tcW w:w="652" w:type="pct"/>
            <w:tcBorders>
              <w:left w:val="single" w:sz="4" w:space="0" w:color="auto"/>
              <w:right w:val="single" w:sz="4" w:space="0" w:color="auto"/>
            </w:tcBorders>
            <w:shd w:val="clear" w:color="auto" w:fill="DDEAEE"/>
          </w:tcPr>
          <w:p w14:paraId="55BD39C9"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850</w:t>
            </w:r>
          </w:p>
        </w:tc>
        <w:tc>
          <w:tcPr>
            <w:tcW w:w="652" w:type="pct"/>
            <w:tcBorders>
              <w:left w:val="single" w:sz="4" w:space="0" w:color="auto"/>
            </w:tcBorders>
            <w:shd w:val="clear" w:color="auto" w:fill="DDEAEE"/>
          </w:tcPr>
          <w:p w14:paraId="575EC862"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901</w:t>
            </w:r>
          </w:p>
        </w:tc>
      </w:tr>
      <w:tr w:rsidR="00413BCF" w14:paraId="32087ED9" w14:textId="77777777" w:rsidTr="00413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pct"/>
            <w:tcBorders>
              <w:left w:val="single" w:sz="4" w:space="0" w:color="auto"/>
              <w:right w:val="single" w:sz="4" w:space="0" w:color="auto"/>
            </w:tcBorders>
            <w:shd w:val="clear" w:color="auto" w:fill="EEF6F7"/>
            <w:hideMark/>
          </w:tcPr>
          <w:p w14:paraId="5608E7E7" w14:textId="77777777" w:rsidR="007C4395" w:rsidRPr="009E6326" w:rsidRDefault="007C4395" w:rsidP="00413BCF">
            <w:pPr>
              <w:pStyle w:val="71R"/>
              <w:spacing w:line="240" w:lineRule="auto"/>
              <w:rPr>
                <w:b w:val="0"/>
                <w:bCs w:val="0"/>
                <w:rtl/>
              </w:rPr>
            </w:pPr>
            <w:r w:rsidRPr="009E6326">
              <w:rPr>
                <w:rFonts w:hint="cs"/>
                <w:b w:val="0"/>
                <w:bCs w:val="0"/>
                <w:rtl/>
              </w:rPr>
              <w:t>הלוואות ומקדמות לעובדים</w:t>
            </w:r>
          </w:p>
        </w:tc>
        <w:tc>
          <w:tcPr>
            <w:tcW w:w="634" w:type="pct"/>
            <w:tcBorders>
              <w:left w:val="single" w:sz="4" w:space="0" w:color="auto"/>
              <w:right w:val="single" w:sz="4" w:space="0" w:color="auto"/>
            </w:tcBorders>
            <w:shd w:val="clear" w:color="auto" w:fill="EEF6F7"/>
          </w:tcPr>
          <w:p w14:paraId="2EB568AD"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590</w:t>
            </w:r>
          </w:p>
        </w:tc>
        <w:tc>
          <w:tcPr>
            <w:tcW w:w="652" w:type="pct"/>
            <w:tcBorders>
              <w:left w:val="single" w:sz="4" w:space="0" w:color="auto"/>
              <w:right w:val="single" w:sz="4" w:space="0" w:color="auto"/>
            </w:tcBorders>
            <w:shd w:val="clear" w:color="auto" w:fill="EEF6F7"/>
          </w:tcPr>
          <w:p w14:paraId="007D93F0"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582</w:t>
            </w:r>
          </w:p>
        </w:tc>
        <w:tc>
          <w:tcPr>
            <w:tcW w:w="652" w:type="pct"/>
            <w:tcBorders>
              <w:left w:val="single" w:sz="4" w:space="0" w:color="auto"/>
              <w:right w:val="single" w:sz="4" w:space="0" w:color="auto"/>
            </w:tcBorders>
            <w:shd w:val="clear" w:color="auto" w:fill="EEF6F7"/>
          </w:tcPr>
          <w:p w14:paraId="6CA0FE8E"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558</w:t>
            </w:r>
          </w:p>
        </w:tc>
        <w:tc>
          <w:tcPr>
            <w:tcW w:w="652" w:type="pct"/>
            <w:tcBorders>
              <w:left w:val="single" w:sz="4" w:space="0" w:color="auto"/>
            </w:tcBorders>
            <w:shd w:val="clear" w:color="auto" w:fill="EEF6F7"/>
            <w:hideMark/>
          </w:tcPr>
          <w:p w14:paraId="77527968"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664</w:t>
            </w:r>
          </w:p>
        </w:tc>
      </w:tr>
      <w:tr w:rsidR="00413BCF" w14:paraId="69C604BD" w14:textId="77777777" w:rsidTr="00413BCF">
        <w:tc>
          <w:tcPr>
            <w:cnfStyle w:val="001000000000" w:firstRow="0" w:lastRow="0" w:firstColumn="1" w:lastColumn="0" w:oddVBand="0" w:evenVBand="0" w:oddHBand="0" w:evenHBand="0" w:firstRowFirstColumn="0" w:firstRowLastColumn="0" w:lastRowFirstColumn="0" w:lastRowLastColumn="0"/>
            <w:tcW w:w="2411" w:type="pct"/>
            <w:tcBorders>
              <w:left w:val="single" w:sz="4" w:space="0" w:color="auto"/>
              <w:right w:val="single" w:sz="4" w:space="0" w:color="auto"/>
            </w:tcBorders>
            <w:shd w:val="clear" w:color="auto" w:fill="DDEAEE"/>
          </w:tcPr>
          <w:p w14:paraId="0AF70C3F" w14:textId="77777777" w:rsidR="007C4395" w:rsidRPr="009E6326" w:rsidRDefault="007C4395" w:rsidP="00413BCF">
            <w:pPr>
              <w:pStyle w:val="71R"/>
              <w:spacing w:line="240" w:lineRule="auto"/>
              <w:rPr>
                <w:b w:val="0"/>
                <w:bCs w:val="0"/>
                <w:rtl/>
              </w:rPr>
            </w:pPr>
            <w:r w:rsidRPr="009E6326">
              <w:rPr>
                <w:rFonts w:hint="cs"/>
                <w:b w:val="0"/>
                <w:bCs w:val="0"/>
                <w:rtl/>
              </w:rPr>
              <w:t>אחרים</w:t>
            </w:r>
          </w:p>
        </w:tc>
        <w:tc>
          <w:tcPr>
            <w:tcW w:w="634" w:type="pct"/>
            <w:tcBorders>
              <w:left w:val="single" w:sz="4" w:space="0" w:color="auto"/>
              <w:right w:val="single" w:sz="4" w:space="0" w:color="auto"/>
            </w:tcBorders>
            <w:shd w:val="clear" w:color="auto" w:fill="DDEAEE"/>
          </w:tcPr>
          <w:p w14:paraId="429D9651"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2,098</w:t>
            </w:r>
          </w:p>
        </w:tc>
        <w:tc>
          <w:tcPr>
            <w:tcW w:w="652" w:type="pct"/>
            <w:tcBorders>
              <w:left w:val="single" w:sz="4" w:space="0" w:color="auto"/>
              <w:right w:val="single" w:sz="4" w:space="0" w:color="auto"/>
            </w:tcBorders>
            <w:shd w:val="clear" w:color="auto" w:fill="DDEAEE"/>
          </w:tcPr>
          <w:p w14:paraId="329C7B91"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2,818</w:t>
            </w:r>
          </w:p>
        </w:tc>
        <w:tc>
          <w:tcPr>
            <w:tcW w:w="652" w:type="pct"/>
            <w:tcBorders>
              <w:left w:val="single" w:sz="4" w:space="0" w:color="auto"/>
              <w:right w:val="single" w:sz="4" w:space="0" w:color="auto"/>
            </w:tcBorders>
            <w:shd w:val="clear" w:color="auto" w:fill="DDEAEE"/>
          </w:tcPr>
          <w:p w14:paraId="383D30DC"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4,237</w:t>
            </w:r>
          </w:p>
        </w:tc>
        <w:tc>
          <w:tcPr>
            <w:tcW w:w="652" w:type="pct"/>
            <w:tcBorders>
              <w:left w:val="single" w:sz="4" w:space="0" w:color="auto"/>
            </w:tcBorders>
            <w:shd w:val="clear" w:color="auto" w:fill="DDEAEE"/>
          </w:tcPr>
          <w:p w14:paraId="1E8830D4" w14:textId="77777777" w:rsidR="007C4395" w:rsidRPr="009E6326"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3,072</w:t>
            </w:r>
          </w:p>
        </w:tc>
      </w:tr>
      <w:tr w:rsidR="00413BCF" w14:paraId="46AAB743" w14:textId="77777777" w:rsidTr="00413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pct"/>
            <w:tcBorders>
              <w:left w:val="single" w:sz="4" w:space="0" w:color="auto"/>
              <w:right w:val="single" w:sz="4" w:space="0" w:color="auto"/>
            </w:tcBorders>
            <w:shd w:val="clear" w:color="auto" w:fill="C8DCE4"/>
            <w:hideMark/>
          </w:tcPr>
          <w:p w14:paraId="6CB0AAB0" w14:textId="77777777" w:rsidR="007C4395" w:rsidRDefault="007C4395" w:rsidP="00413BCF">
            <w:pPr>
              <w:pStyle w:val="71R"/>
              <w:spacing w:line="240" w:lineRule="auto"/>
              <w:rPr>
                <w:rtl/>
              </w:rPr>
            </w:pPr>
            <w:r>
              <w:rPr>
                <w:rFonts w:hint="cs"/>
                <w:rtl/>
              </w:rPr>
              <w:t>סך הכול חייבים ויתרות חובה</w:t>
            </w:r>
          </w:p>
        </w:tc>
        <w:tc>
          <w:tcPr>
            <w:tcW w:w="634" w:type="pct"/>
            <w:tcBorders>
              <w:left w:val="single" w:sz="4" w:space="0" w:color="auto"/>
              <w:right w:val="single" w:sz="4" w:space="0" w:color="auto"/>
            </w:tcBorders>
            <w:shd w:val="clear" w:color="auto" w:fill="C8DCE4"/>
          </w:tcPr>
          <w:p w14:paraId="50910E95"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76,605</w:t>
            </w:r>
          </w:p>
        </w:tc>
        <w:tc>
          <w:tcPr>
            <w:tcW w:w="652" w:type="pct"/>
            <w:tcBorders>
              <w:left w:val="single" w:sz="4" w:space="0" w:color="auto"/>
              <w:right w:val="single" w:sz="4" w:space="0" w:color="auto"/>
            </w:tcBorders>
            <w:shd w:val="clear" w:color="auto" w:fill="C8DCE4"/>
          </w:tcPr>
          <w:p w14:paraId="67E952A7"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73,609</w:t>
            </w:r>
          </w:p>
        </w:tc>
        <w:tc>
          <w:tcPr>
            <w:tcW w:w="652" w:type="pct"/>
            <w:tcBorders>
              <w:left w:val="single" w:sz="4" w:space="0" w:color="auto"/>
              <w:right w:val="single" w:sz="4" w:space="0" w:color="auto"/>
            </w:tcBorders>
            <w:shd w:val="clear" w:color="auto" w:fill="C8DCE4"/>
          </w:tcPr>
          <w:p w14:paraId="7D14B96A"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80,129</w:t>
            </w:r>
          </w:p>
        </w:tc>
        <w:tc>
          <w:tcPr>
            <w:tcW w:w="652" w:type="pct"/>
            <w:tcBorders>
              <w:left w:val="single" w:sz="4" w:space="0" w:color="auto"/>
            </w:tcBorders>
            <w:shd w:val="clear" w:color="auto" w:fill="C8DCE4"/>
            <w:hideMark/>
          </w:tcPr>
          <w:p w14:paraId="1F1A152A"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83,315</w:t>
            </w:r>
          </w:p>
        </w:tc>
      </w:tr>
      <w:tr w:rsidR="00413BCF" w14:paraId="7865121A" w14:textId="77777777" w:rsidTr="00413BCF">
        <w:tc>
          <w:tcPr>
            <w:cnfStyle w:val="001000000000" w:firstRow="0" w:lastRow="0" w:firstColumn="1" w:lastColumn="0" w:oddVBand="0" w:evenVBand="0" w:oddHBand="0" w:evenHBand="0" w:firstRowFirstColumn="0" w:firstRowLastColumn="0" w:lastRowFirstColumn="0" w:lastRowLastColumn="0"/>
            <w:tcW w:w="2411" w:type="pct"/>
            <w:tcBorders>
              <w:left w:val="single" w:sz="4" w:space="0" w:color="auto"/>
              <w:right w:val="single" w:sz="4" w:space="0" w:color="auto"/>
            </w:tcBorders>
            <w:shd w:val="clear" w:color="auto" w:fill="EEF6F7"/>
            <w:hideMark/>
          </w:tcPr>
          <w:p w14:paraId="1E45585D" w14:textId="77777777" w:rsidR="007C4395" w:rsidRDefault="007C4395" w:rsidP="00413BCF">
            <w:pPr>
              <w:pStyle w:val="71R"/>
              <w:spacing w:line="240" w:lineRule="auto"/>
              <w:rPr>
                <w:rtl/>
              </w:rPr>
            </w:pPr>
            <w:r>
              <w:rPr>
                <w:rFonts w:hint="cs"/>
                <w:b w:val="0"/>
                <w:bCs w:val="0"/>
                <w:rtl/>
              </w:rPr>
              <w:t>בניכוי הפרשה לחובות מסופקים</w:t>
            </w:r>
          </w:p>
        </w:tc>
        <w:tc>
          <w:tcPr>
            <w:tcW w:w="634" w:type="pct"/>
            <w:tcBorders>
              <w:left w:val="single" w:sz="4" w:space="0" w:color="auto"/>
              <w:right w:val="single" w:sz="4" w:space="0" w:color="auto"/>
            </w:tcBorders>
            <w:shd w:val="clear" w:color="auto" w:fill="EEF6F7"/>
          </w:tcPr>
          <w:p w14:paraId="655BA526" w14:textId="77777777" w:rsidR="007C4395"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Pr>
                <w:rFonts w:hint="cs"/>
                <w:rtl/>
              </w:rPr>
              <w:t>(12,876)</w:t>
            </w:r>
          </w:p>
        </w:tc>
        <w:tc>
          <w:tcPr>
            <w:tcW w:w="652" w:type="pct"/>
            <w:tcBorders>
              <w:left w:val="single" w:sz="4" w:space="0" w:color="auto"/>
              <w:right w:val="single" w:sz="4" w:space="0" w:color="auto"/>
            </w:tcBorders>
            <w:shd w:val="clear" w:color="auto" w:fill="EEF6F7"/>
          </w:tcPr>
          <w:p w14:paraId="07DB99F2" w14:textId="77777777" w:rsidR="007C4395"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Pr>
                <w:rFonts w:hint="cs"/>
                <w:rtl/>
              </w:rPr>
              <w:t>(13,010)</w:t>
            </w:r>
          </w:p>
        </w:tc>
        <w:tc>
          <w:tcPr>
            <w:tcW w:w="652" w:type="pct"/>
            <w:tcBorders>
              <w:left w:val="single" w:sz="4" w:space="0" w:color="auto"/>
              <w:right w:val="single" w:sz="4" w:space="0" w:color="auto"/>
            </w:tcBorders>
            <w:shd w:val="clear" w:color="auto" w:fill="EEF6F7"/>
          </w:tcPr>
          <w:p w14:paraId="0EAD850D" w14:textId="77777777" w:rsidR="007C4395"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Pr>
                <w:rFonts w:hint="cs"/>
                <w:rtl/>
              </w:rPr>
              <w:t>(13,515)</w:t>
            </w:r>
          </w:p>
        </w:tc>
        <w:tc>
          <w:tcPr>
            <w:tcW w:w="652" w:type="pct"/>
            <w:tcBorders>
              <w:left w:val="single" w:sz="4" w:space="0" w:color="auto"/>
            </w:tcBorders>
            <w:shd w:val="clear" w:color="auto" w:fill="EEF6F7"/>
            <w:hideMark/>
          </w:tcPr>
          <w:p w14:paraId="31D5F6AD" w14:textId="77777777" w:rsidR="007C4395"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Pr>
                <w:rFonts w:hint="cs"/>
                <w:rtl/>
              </w:rPr>
              <w:t>(14,127)</w:t>
            </w:r>
          </w:p>
        </w:tc>
      </w:tr>
      <w:tr w:rsidR="00413BCF" w14:paraId="3C1D05D0" w14:textId="77777777" w:rsidTr="00413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pct"/>
            <w:tcBorders>
              <w:left w:val="single" w:sz="4" w:space="0" w:color="auto"/>
              <w:bottom w:val="none" w:sz="0" w:space="0" w:color="auto"/>
              <w:right w:val="single" w:sz="4" w:space="0" w:color="auto"/>
            </w:tcBorders>
            <w:shd w:val="clear" w:color="auto" w:fill="C8DCE4"/>
            <w:hideMark/>
          </w:tcPr>
          <w:p w14:paraId="587465AE" w14:textId="77777777" w:rsidR="007C4395" w:rsidRDefault="007C4395" w:rsidP="00413BCF">
            <w:pPr>
              <w:pStyle w:val="71R"/>
              <w:spacing w:line="240" w:lineRule="auto"/>
              <w:rPr>
                <w:rtl/>
              </w:rPr>
            </w:pPr>
            <w:r>
              <w:rPr>
                <w:rFonts w:hint="cs"/>
                <w:rtl/>
              </w:rPr>
              <w:t xml:space="preserve">סך הכול </w:t>
            </w:r>
          </w:p>
        </w:tc>
        <w:tc>
          <w:tcPr>
            <w:tcW w:w="634" w:type="pct"/>
            <w:tcBorders>
              <w:left w:val="single" w:sz="4" w:space="0" w:color="auto"/>
              <w:right w:val="single" w:sz="4" w:space="0" w:color="auto"/>
            </w:tcBorders>
            <w:shd w:val="clear" w:color="auto" w:fill="C8DCE4"/>
          </w:tcPr>
          <w:p w14:paraId="046DB655"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63,189</w:t>
            </w:r>
          </w:p>
        </w:tc>
        <w:tc>
          <w:tcPr>
            <w:tcW w:w="652" w:type="pct"/>
            <w:tcBorders>
              <w:left w:val="single" w:sz="4" w:space="0" w:color="auto"/>
              <w:right w:val="single" w:sz="4" w:space="0" w:color="auto"/>
            </w:tcBorders>
            <w:shd w:val="clear" w:color="auto" w:fill="C8DCE4"/>
          </w:tcPr>
          <w:p w14:paraId="7FF8807D"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60,599</w:t>
            </w:r>
          </w:p>
        </w:tc>
        <w:tc>
          <w:tcPr>
            <w:tcW w:w="652" w:type="pct"/>
            <w:tcBorders>
              <w:left w:val="single" w:sz="4" w:space="0" w:color="auto"/>
              <w:right w:val="single" w:sz="4" w:space="0" w:color="auto"/>
            </w:tcBorders>
            <w:shd w:val="clear" w:color="auto" w:fill="C8DCE4"/>
          </w:tcPr>
          <w:p w14:paraId="7B6642A7"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66,614</w:t>
            </w:r>
          </w:p>
        </w:tc>
        <w:tc>
          <w:tcPr>
            <w:tcW w:w="652" w:type="pct"/>
            <w:tcBorders>
              <w:left w:val="single" w:sz="4" w:space="0" w:color="auto"/>
            </w:tcBorders>
            <w:shd w:val="clear" w:color="auto" w:fill="C8DCE4"/>
            <w:hideMark/>
          </w:tcPr>
          <w:p w14:paraId="1D17FBA1" w14:textId="77777777" w:rsidR="007C4395" w:rsidRPr="009E6326"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69,188</w:t>
            </w:r>
          </w:p>
        </w:tc>
      </w:tr>
    </w:tbl>
    <w:p w14:paraId="4074CA7D" w14:textId="77777777" w:rsidR="007C4395" w:rsidRPr="00010778" w:rsidRDefault="007C4395" w:rsidP="00010778">
      <w:pPr>
        <w:pStyle w:val="71c"/>
        <w:rPr>
          <w:rtl/>
        </w:rPr>
      </w:pPr>
      <w:r w:rsidRPr="00010778">
        <w:rPr>
          <w:rFonts w:hint="cs"/>
          <w:rtl/>
        </w:rPr>
        <w:t xml:space="preserve">על פי </w:t>
      </w:r>
      <w:r w:rsidRPr="00010778">
        <w:rPr>
          <w:rFonts w:hint="eastAsia"/>
          <w:rtl/>
        </w:rPr>
        <w:t>משרד</w:t>
      </w:r>
      <w:r w:rsidRPr="00010778">
        <w:rPr>
          <w:rtl/>
        </w:rPr>
        <w:t xml:space="preserve"> </w:t>
      </w:r>
      <w:r w:rsidRPr="00010778">
        <w:rPr>
          <w:rFonts w:hint="eastAsia"/>
          <w:rtl/>
        </w:rPr>
        <w:t>האוצר</w:t>
      </w:r>
      <w:r w:rsidRPr="00010778">
        <w:rPr>
          <w:rtl/>
        </w:rPr>
        <w:t xml:space="preserve">, </w:t>
      </w:r>
      <w:r w:rsidRPr="00010778">
        <w:rPr>
          <w:rFonts w:hint="eastAsia"/>
          <w:rtl/>
        </w:rPr>
        <w:t>הדוחות</w:t>
      </w:r>
      <w:r w:rsidRPr="00010778">
        <w:rPr>
          <w:rtl/>
        </w:rPr>
        <w:t xml:space="preserve"> הכספיים של מדינת ישראל לשנ</w:t>
      </w:r>
      <w:r w:rsidRPr="00010778">
        <w:rPr>
          <w:rFonts w:hint="eastAsia"/>
          <w:rtl/>
        </w:rPr>
        <w:t>ים</w:t>
      </w:r>
      <w:r w:rsidRPr="00010778">
        <w:rPr>
          <w:rtl/>
        </w:rPr>
        <w:t xml:space="preserve"> </w:t>
      </w:r>
      <w:r w:rsidRPr="00010778">
        <w:rPr>
          <w:rFonts w:hint="cs"/>
          <w:rtl/>
        </w:rPr>
        <w:t>20</w:t>
      </w:r>
      <w:r w:rsidRPr="00010778">
        <w:rPr>
          <w:rtl/>
        </w:rPr>
        <w:t>17 - 2020</w:t>
      </w:r>
      <w:r w:rsidRPr="00010778">
        <w:rPr>
          <w:rFonts w:hint="cs"/>
          <w:rtl/>
        </w:rPr>
        <w:t>, בעיבוד משרד מבקר המדינה.</w:t>
      </w:r>
    </w:p>
    <w:p w14:paraId="5B88F3A7" w14:textId="77777777" w:rsidR="007C4395" w:rsidRDefault="007C4395" w:rsidP="002A738D">
      <w:pPr>
        <w:pStyle w:val="7190"/>
        <w:rPr>
          <w:rtl/>
        </w:rPr>
      </w:pPr>
      <w:r>
        <w:rPr>
          <w:rFonts w:hint="cs"/>
          <w:rtl/>
        </w:rPr>
        <w:t>מהלוח שלעיל עולה כי עיקר הסעיף הוא יתרת חייבים בגין עסקאות שאינן חליפין</w:t>
      </w:r>
      <w:r>
        <w:rPr>
          <w:rStyle w:val="ac"/>
          <w:rtl/>
        </w:rPr>
        <w:footnoteReference w:id="39"/>
      </w:r>
      <w:r>
        <w:rPr>
          <w:rFonts w:hint="cs"/>
          <w:rtl/>
        </w:rPr>
        <w:t xml:space="preserve"> וחייבים בגין עסקאות חליפין</w:t>
      </w:r>
      <w:r>
        <w:rPr>
          <w:rStyle w:val="ac"/>
          <w:rtl/>
        </w:rPr>
        <w:footnoteReference w:id="40"/>
      </w:r>
      <w:r>
        <w:rPr>
          <w:rFonts w:hint="cs"/>
          <w:rtl/>
        </w:rPr>
        <w:t xml:space="preserve"> וכי סך יתרות חייבים ויתרות חובה בניכוי הפרשה לחובות מסופקים גדלו מסכום של 63.2 מיליארד ש"ח בשנת 2017 </w:t>
      </w:r>
      <w:proofErr w:type="spellStart"/>
      <w:r>
        <w:rPr>
          <w:rFonts w:hint="cs"/>
          <w:rtl/>
        </w:rPr>
        <w:t>לכ</w:t>
      </w:r>
      <w:proofErr w:type="spellEnd"/>
      <w:r>
        <w:rPr>
          <w:rFonts w:hint="cs"/>
          <w:rtl/>
        </w:rPr>
        <w:t>-69.2 מיליארד ש"ח בשנת 2020 גידול של כ-9%.</w:t>
      </w:r>
    </w:p>
    <w:p w14:paraId="2FF82A21" w14:textId="77777777" w:rsidR="007C4395" w:rsidRDefault="007C4395" w:rsidP="002A738D">
      <w:pPr>
        <w:pStyle w:val="7190"/>
        <w:rPr>
          <w:rtl/>
        </w:rPr>
      </w:pPr>
      <w:r>
        <w:rPr>
          <w:rFonts w:hint="cs"/>
          <w:rtl/>
        </w:rPr>
        <w:lastRenderedPageBreak/>
        <w:t>בלוח הבא מוצג פירוט של חייבים בגין עסקאות שאינן חליפין וחייבים בגין עסקאות חליפין לשנים 20</w:t>
      </w:r>
      <w:r>
        <w:rPr>
          <w:rtl/>
        </w:rPr>
        <w:t>1</w:t>
      </w:r>
      <w:r>
        <w:rPr>
          <w:rFonts w:hint="cs"/>
          <w:rtl/>
        </w:rPr>
        <w:t>7 - 2020.</w:t>
      </w:r>
    </w:p>
    <w:p w14:paraId="4C75061E" w14:textId="77777777" w:rsidR="007C4395" w:rsidRPr="006F4D0D" w:rsidRDefault="007C4395" w:rsidP="006F4D0D">
      <w:pPr>
        <w:pStyle w:val="71a"/>
        <w:rPr>
          <w:rtl/>
        </w:rPr>
      </w:pPr>
      <w:r w:rsidRPr="006F4D0D">
        <w:rPr>
          <w:rFonts w:hint="cs"/>
          <w:b w:val="0"/>
          <w:bCs w:val="0"/>
          <w:rtl/>
        </w:rPr>
        <w:t>לוח 10:</w:t>
      </w:r>
      <w:r w:rsidRPr="006F4D0D">
        <w:rPr>
          <w:rFonts w:hint="cs"/>
          <w:rtl/>
        </w:rPr>
        <w:t xml:space="preserve"> פירוט חייבים בגין עסקאות חליפין ועסקאות שאינן חליפין בשנים 20</w:t>
      </w:r>
      <w:r w:rsidRPr="006F4D0D">
        <w:rPr>
          <w:rtl/>
        </w:rPr>
        <w:t>1</w:t>
      </w:r>
      <w:r w:rsidRPr="006F4D0D">
        <w:rPr>
          <w:rFonts w:hint="cs"/>
          <w:rtl/>
        </w:rPr>
        <w:t>7 - 2020 (במיליוני ש"ח)</w:t>
      </w:r>
    </w:p>
    <w:tbl>
      <w:tblPr>
        <w:tblStyle w:val="5-1"/>
        <w:bidiVisual/>
        <w:tblW w:w="7442" w:type="dxa"/>
        <w:tblInd w:w="896" w:type="dxa"/>
        <w:tblBorders>
          <w:top w:val="none" w:sz="0" w:space="0" w:color="auto"/>
          <w:left w:val="single" w:sz="4" w:space="0" w:color="auto"/>
          <w:bottom w:val="none" w:sz="0" w:space="0" w:color="auto"/>
          <w:right w:val="single" w:sz="4" w:space="0" w:color="auto"/>
          <w:insideH w:val="none" w:sz="0" w:space="0" w:color="auto"/>
          <w:insideV w:val="single" w:sz="4" w:space="0" w:color="auto"/>
        </w:tblBorders>
        <w:tblLook w:val="04A0" w:firstRow="1" w:lastRow="0" w:firstColumn="1" w:lastColumn="0" w:noHBand="0" w:noVBand="1"/>
      </w:tblPr>
      <w:tblGrid>
        <w:gridCol w:w="2268"/>
        <w:gridCol w:w="854"/>
        <w:gridCol w:w="854"/>
        <w:gridCol w:w="854"/>
        <w:gridCol w:w="892"/>
        <w:gridCol w:w="892"/>
        <w:gridCol w:w="828"/>
      </w:tblGrid>
      <w:tr w:rsidR="00413BCF" w:rsidRPr="00413BCF" w14:paraId="6D88C96B" w14:textId="77777777" w:rsidTr="00DD281F">
        <w:trPr>
          <w:cnfStyle w:val="100000000000" w:firstRow="1" w:lastRow="0" w:firstColumn="0" w:lastColumn="0" w:oddVBand="0" w:evenVBand="0" w:oddHBand="0" w:evenHBand="0" w:firstRowFirstColumn="0" w:firstRowLastColumn="0" w:lastRowFirstColumn="0" w:lastRowLastColumn="0"/>
          <w:trHeight w:val="647"/>
          <w:tblHeader/>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right w:val="none" w:sz="0" w:space="0" w:color="auto"/>
            </w:tcBorders>
            <w:shd w:val="clear" w:color="auto" w:fill="B6CBD4"/>
          </w:tcPr>
          <w:p w14:paraId="4078883C" w14:textId="77777777" w:rsidR="007C4395" w:rsidRPr="00413BCF" w:rsidRDefault="007C4395" w:rsidP="00413BCF">
            <w:pPr>
              <w:spacing w:line="240" w:lineRule="auto"/>
              <w:rPr>
                <w:sz w:val="16"/>
                <w:szCs w:val="16"/>
                <w:rtl/>
              </w:rPr>
            </w:pPr>
          </w:p>
        </w:tc>
        <w:tc>
          <w:tcPr>
            <w:tcW w:w="5174" w:type="dxa"/>
            <w:gridSpan w:val="6"/>
            <w:tcBorders>
              <w:top w:val="none" w:sz="0" w:space="0" w:color="auto"/>
              <w:left w:val="none" w:sz="0" w:space="0" w:color="auto"/>
              <w:right w:val="none" w:sz="0" w:space="0" w:color="auto"/>
            </w:tcBorders>
            <w:shd w:val="clear" w:color="auto" w:fill="B6CBD4"/>
            <w:hideMark/>
          </w:tcPr>
          <w:p w14:paraId="6B0F4FBE" w14:textId="77777777" w:rsidR="007C4395" w:rsidRPr="00413BCF" w:rsidRDefault="007C4395" w:rsidP="00413BCF">
            <w:pPr>
              <w:pStyle w:val="71HEADER"/>
              <w:spacing w:line="240" w:lineRule="auto"/>
              <w:cnfStyle w:val="100000000000" w:firstRow="1" w:lastRow="0" w:firstColumn="0" w:lastColumn="0" w:oddVBand="0" w:evenVBand="0" w:oddHBand="0" w:evenHBand="0" w:firstRowFirstColumn="0" w:firstRowLastColumn="0" w:lastRowFirstColumn="0" w:lastRowLastColumn="0"/>
              <w:rPr>
                <w:b/>
                <w:rtl/>
              </w:rPr>
            </w:pPr>
            <w:r w:rsidRPr="00413BCF">
              <w:rPr>
                <w:rFonts w:hint="cs"/>
                <w:b/>
                <w:rtl/>
              </w:rPr>
              <w:t>מדינת ישראל</w:t>
            </w:r>
          </w:p>
          <w:p w14:paraId="45732615" w14:textId="77777777" w:rsidR="007C4395" w:rsidRPr="00413BCF" w:rsidRDefault="007C4395" w:rsidP="00413BCF">
            <w:pPr>
              <w:pStyle w:val="71HEADER"/>
              <w:spacing w:line="240" w:lineRule="auto"/>
              <w:cnfStyle w:val="100000000000" w:firstRow="1" w:lastRow="0" w:firstColumn="0" w:lastColumn="0" w:oddVBand="0" w:evenVBand="0" w:oddHBand="0" w:evenHBand="0" w:firstRowFirstColumn="0" w:firstRowLastColumn="0" w:lastRowFirstColumn="0" w:lastRowLastColumn="0"/>
              <w:rPr>
                <w:rtl/>
              </w:rPr>
            </w:pPr>
            <w:r w:rsidRPr="00413BCF">
              <w:rPr>
                <w:rFonts w:hint="cs"/>
                <w:b/>
                <w:rtl/>
              </w:rPr>
              <w:t>דוח מאוחד לשנה שהסתיימה ביום 31 בדצמבר</w:t>
            </w:r>
          </w:p>
        </w:tc>
      </w:tr>
      <w:tr w:rsidR="00413BCF" w:rsidRPr="00413BCF" w14:paraId="6E18109F" w14:textId="77777777" w:rsidTr="00DD281F">
        <w:trPr>
          <w:cnfStyle w:val="000000100000" w:firstRow="0" w:lastRow="0" w:firstColumn="0" w:lastColumn="0" w:oddVBand="0" w:evenVBand="0" w:oddHBand="1" w:evenHBand="0" w:firstRowFirstColumn="0" w:firstRowLastColumn="0" w:lastRowFirstColumn="0" w:lastRowLastColumn="0"/>
          <w:trHeight w:val="59"/>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C8DCE4"/>
          </w:tcPr>
          <w:p w14:paraId="33A40D40" w14:textId="77777777" w:rsidR="007C4395" w:rsidRPr="00413BCF" w:rsidRDefault="007C4395" w:rsidP="00413BCF">
            <w:pPr>
              <w:pStyle w:val="71B0"/>
              <w:spacing w:line="240" w:lineRule="auto"/>
              <w:rPr>
                <w:rtl/>
              </w:rPr>
            </w:pPr>
          </w:p>
        </w:tc>
        <w:tc>
          <w:tcPr>
            <w:tcW w:w="854" w:type="dxa"/>
            <w:shd w:val="clear" w:color="auto" w:fill="C8DCE4"/>
          </w:tcPr>
          <w:p w14:paraId="379D21FF" w14:textId="77777777" w:rsidR="007C4395" w:rsidRPr="00413BCF" w:rsidRDefault="007C4395" w:rsidP="00413BCF">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2017</w:t>
            </w:r>
          </w:p>
        </w:tc>
        <w:tc>
          <w:tcPr>
            <w:tcW w:w="854" w:type="dxa"/>
            <w:shd w:val="clear" w:color="auto" w:fill="C8DCE4"/>
          </w:tcPr>
          <w:p w14:paraId="222E13FF" w14:textId="77777777" w:rsidR="007C4395" w:rsidRPr="00413BCF" w:rsidRDefault="007C4395" w:rsidP="00413BCF">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2018</w:t>
            </w:r>
          </w:p>
        </w:tc>
        <w:tc>
          <w:tcPr>
            <w:tcW w:w="854" w:type="dxa"/>
            <w:shd w:val="clear" w:color="auto" w:fill="C8DCE4"/>
          </w:tcPr>
          <w:p w14:paraId="5CC1E7BD" w14:textId="77777777" w:rsidR="007C4395" w:rsidRPr="00413BCF" w:rsidRDefault="007C4395" w:rsidP="00413BCF">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2019</w:t>
            </w:r>
          </w:p>
        </w:tc>
        <w:tc>
          <w:tcPr>
            <w:tcW w:w="2612" w:type="dxa"/>
            <w:gridSpan w:val="3"/>
            <w:shd w:val="clear" w:color="auto" w:fill="C8DCE4"/>
          </w:tcPr>
          <w:p w14:paraId="15E43027" w14:textId="77777777" w:rsidR="007C4395" w:rsidRPr="00413BCF" w:rsidRDefault="007C4395" w:rsidP="00413BCF">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2020</w:t>
            </w:r>
          </w:p>
        </w:tc>
      </w:tr>
      <w:tr w:rsidR="009E6326" w:rsidRPr="00413BCF" w14:paraId="7DE16718" w14:textId="77777777" w:rsidTr="00DD281F">
        <w:trPr>
          <w:trHeight w:val="59"/>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DDEAEE"/>
            <w:vAlign w:val="bottom"/>
          </w:tcPr>
          <w:p w14:paraId="2C429667" w14:textId="77777777" w:rsidR="007C4395" w:rsidRPr="00413BCF" w:rsidRDefault="007C4395" w:rsidP="00413BCF">
            <w:pPr>
              <w:pStyle w:val="71B0"/>
              <w:spacing w:line="240" w:lineRule="auto"/>
              <w:rPr>
                <w:rtl/>
              </w:rPr>
            </w:pPr>
            <w:r w:rsidRPr="00413BCF">
              <w:rPr>
                <w:rFonts w:hint="cs"/>
                <w:b/>
                <w:bCs/>
                <w:rtl/>
              </w:rPr>
              <w:t>ישות</w:t>
            </w:r>
          </w:p>
        </w:tc>
        <w:tc>
          <w:tcPr>
            <w:tcW w:w="854" w:type="dxa"/>
            <w:shd w:val="clear" w:color="auto" w:fill="DDEAEE"/>
            <w:vAlign w:val="bottom"/>
          </w:tcPr>
          <w:p w14:paraId="1190C3F7" w14:textId="77777777" w:rsidR="007C4395" w:rsidRPr="00413BCF" w:rsidRDefault="007C4395" w:rsidP="00413BCF">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סך הכול</w:t>
            </w:r>
          </w:p>
        </w:tc>
        <w:tc>
          <w:tcPr>
            <w:tcW w:w="854" w:type="dxa"/>
            <w:shd w:val="clear" w:color="auto" w:fill="DDEAEE"/>
            <w:vAlign w:val="bottom"/>
          </w:tcPr>
          <w:p w14:paraId="79BA8656" w14:textId="77777777" w:rsidR="007C4395" w:rsidRPr="00413BCF" w:rsidRDefault="007C4395" w:rsidP="00413BCF">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סך הכול</w:t>
            </w:r>
          </w:p>
        </w:tc>
        <w:tc>
          <w:tcPr>
            <w:tcW w:w="854" w:type="dxa"/>
            <w:shd w:val="clear" w:color="auto" w:fill="DDEAEE"/>
            <w:vAlign w:val="bottom"/>
          </w:tcPr>
          <w:p w14:paraId="03C08682" w14:textId="77777777" w:rsidR="007C4395" w:rsidRPr="00413BCF" w:rsidRDefault="007C4395" w:rsidP="00413BCF">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סך הכול</w:t>
            </w:r>
          </w:p>
        </w:tc>
        <w:tc>
          <w:tcPr>
            <w:tcW w:w="892" w:type="dxa"/>
            <w:shd w:val="clear" w:color="auto" w:fill="DDEAEE"/>
            <w:vAlign w:val="bottom"/>
          </w:tcPr>
          <w:p w14:paraId="0BF4E70C" w14:textId="77777777" w:rsidR="007C4395" w:rsidRPr="00413BCF" w:rsidRDefault="007C4395" w:rsidP="00413BCF">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עסקאות חליפין</w:t>
            </w:r>
          </w:p>
        </w:tc>
        <w:tc>
          <w:tcPr>
            <w:tcW w:w="892" w:type="dxa"/>
            <w:shd w:val="clear" w:color="auto" w:fill="DDEAEE"/>
            <w:vAlign w:val="bottom"/>
          </w:tcPr>
          <w:p w14:paraId="4D506537" w14:textId="77777777" w:rsidR="007C4395" w:rsidRPr="00413BCF" w:rsidRDefault="007C4395" w:rsidP="00413BCF">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עסקאות שאינן חליפין</w:t>
            </w:r>
          </w:p>
        </w:tc>
        <w:tc>
          <w:tcPr>
            <w:tcW w:w="828" w:type="dxa"/>
            <w:shd w:val="clear" w:color="auto" w:fill="DDEAEE"/>
            <w:vAlign w:val="bottom"/>
          </w:tcPr>
          <w:p w14:paraId="2047CF1E" w14:textId="77777777" w:rsidR="007C4395" w:rsidRPr="00413BCF" w:rsidRDefault="007C4395" w:rsidP="00413BCF">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סך הכול</w:t>
            </w:r>
          </w:p>
        </w:tc>
      </w:tr>
      <w:tr w:rsidR="00DD281F" w:rsidRPr="00413BCF" w14:paraId="2CAEBF16" w14:textId="77777777" w:rsidTr="00DD281F">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EEF6F7"/>
            <w:hideMark/>
          </w:tcPr>
          <w:p w14:paraId="4B3D0292" w14:textId="77777777" w:rsidR="007C4395" w:rsidRPr="00413BCF" w:rsidRDefault="007C4395" w:rsidP="00413BCF">
            <w:pPr>
              <w:pStyle w:val="71R"/>
              <w:spacing w:line="240" w:lineRule="auto"/>
              <w:rPr>
                <w:b w:val="0"/>
                <w:bCs w:val="0"/>
                <w:rtl/>
              </w:rPr>
            </w:pPr>
            <w:r w:rsidRPr="00413BCF">
              <w:rPr>
                <w:rFonts w:hint="cs"/>
                <w:b w:val="0"/>
                <w:bCs w:val="0"/>
                <w:rtl/>
              </w:rPr>
              <w:t>רשות המיסים בישראל</w:t>
            </w:r>
          </w:p>
        </w:tc>
        <w:tc>
          <w:tcPr>
            <w:tcW w:w="854" w:type="dxa"/>
            <w:shd w:val="clear" w:color="auto" w:fill="EEF6F7"/>
          </w:tcPr>
          <w:p w14:paraId="7E9888CE"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17,022</w:t>
            </w:r>
          </w:p>
        </w:tc>
        <w:tc>
          <w:tcPr>
            <w:tcW w:w="854" w:type="dxa"/>
            <w:shd w:val="clear" w:color="auto" w:fill="EEF6F7"/>
          </w:tcPr>
          <w:p w14:paraId="3CC54B03"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11,384</w:t>
            </w:r>
          </w:p>
        </w:tc>
        <w:tc>
          <w:tcPr>
            <w:tcW w:w="854" w:type="dxa"/>
            <w:shd w:val="clear" w:color="auto" w:fill="EEF6F7"/>
          </w:tcPr>
          <w:p w14:paraId="77DB7573"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12,573</w:t>
            </w:r>
          </w:p>
        </w:tc>
        <w:tc>
          <w:tcPr>
            <w:tcW w:w="892" w:type="dxa"/>
            <w:shd w:val="clear" w:color="auto" w:fill="EEF6F7"/>
          </w:tcPr>
          <w:p w14:paraId="3935A1EE"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27</w:t>
            </w:r>
          </w:p>
        </w:tc>
        <w:tc>
          <w:tcPr>
            <w:tcW w:w="892" w:type="dxa"/>
            <w:shd w:val="clear" w:color="auto" w:fill="EEF6F7"/>
          </w:tcPr>
          <w:p w14:paraId="599209B1"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14,960</w:t>
            </w:r>
          </w:p>
        </w:tc>
        <w:tc>
          <w:tcPr>
            <w:tcW w:w="828" w:type="dxa"/>
            <w:shd w:val="clear" w:color="auto" w:fill="EEF6F7"/>
          </w:tcPr>
          <w:p w14:paraId="528AAA29"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14,987</w:t>
            </w:r>
          </w:p>
        </w:tc>
      </w:tr>
      <w:tr w:rsidR="009E6326" w:rsidRPr="00413BCF" w14:paraId="11BF5DA1" w14:textId="77777777" w:rsidTr="00DD281F">
        <w:trPr>
          <w:trHeight w:val="323"/>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DDEAEE"/>
          </w:tcPr>
          <w:p w14:paraId="46E580D0" w14:textId="77777777" w:rsidR="007C4395" w:rsidRPr="00413BCF" w:rsidRDefault="007C4395" w:rsidP="00413BCF">
            <w:pPr>
              <w:pStyle w:val="71R"/>
              <w:spacing w:line="240" w:lineRule="auto"/>
              <w:rPr>
                <w:b w:val="0"/>
                <w:bCs w:val="0"/>
                <w:rtl/>
              </w:rPr>
            </w:pPr>
            <w:r w:rsidRPr="00413BCF">
              <w:rPr>
                <w:rFonts w:hint="cs"/>
                <w:b w:val="0"/>
                <w:bCs w:val="0"/>
                <w:rtl/>
              </w:rPr>
              <w:t>חברות ממשלתיות</w:t>
            </w:r>
          </w:p>
        </w:tc>
        <w:tc>
          <w:tcPr>
            <w:tcW w:w="854" w:type="dxa"/>
            <w:shd w:val="clear" w:color="auto" w:fill="DDEAEE"/>
          </w:tcPr>
          <w:p w14:paraId="6D8B92E3"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7,894</w:t>
            </w:r>
          </w:p>
        </w:tc>
        <w:tc>
          <w:tcPr>
            <w:tcW w:w="854" w:type="dxa"/>
            <w:shd w:val="clear" w:color="auto" w:fill="DDEAEE"/>
          </w:tcPr>
          <w:p w14:paraId="1E8EFAD0"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8,975</w:t>
            </w:r>
          </w:p>
        </w:tc>
        <w:tc>
          <w:tcPr>
            <w:tcW w:w="854" w:type="dxa"/>
            <w:shd w:val="clear" w:color="auto" w:fill="DDEAEE"/>
          </w:tcPr>
          <w:p w14:paraId="6E38CA36"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8,583</w:t>
            </w:r>
          </w:p>
        </w:tc>
        <w:tc>
          <w:tcPr>
            <w:tcW w:w="892" w:type="dxa"/>
            <w:shd w:val="clear" w:color="auto" w:fill="DDEAEE"/>
          </w:tcPr>
          <w:p w14:paraId="13B272DB"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8,774</w:t>
            </w:r>
          </w:p>
        </w:tc>
        <w:tc>
          <w:tcPr>
            <w:tcW w:w="892" w:type="dxa"/>
            <w:shd w:val="clear" w:color="auto" w:fill="DDEAEE"/>
          </w:tcPr>
          <w:p w14:paraId="3FECEB23"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48</w:t>
            </w:r>
          </w:p>
        </w:tc>
        <w:tc>
          <w:tcPr>
            <w:tcW w:w="828" w:type="dxa"/>
            <w:shd w:val="clear" w:color="auto" w:fill="DDEAEE"/>
          </w:tcPr>
          <w:p w14:paraId="7F0584AA"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8,822</w:t>
            </w:r>
          </w:p>
        </w:tc>
      </w:tr>
      <w:tr w:rsidR="00DD281F" w:rsidRPr="00413BCF" w14:paraId="2CB07922" w14:textId="77777777" w:rsidTr="00DD281F">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EEF6F7"/>
          </w:tcPr>
          <w:p w14:paraId="7577A44E" w14:textId="77777777" w:rsidR="007C4395" w:rsidRPr="00413BCF" w:rsidRDefault="007C4395" w:rsidP="00413BCF">
            <w:pPr>
              <w:pStyle w:val="71R"/>
              <w:spacing w:line="240" w:lineRule="auto"/>
              <w:rPr>
                <w:b w:val="0"/>
                <w:bCs w:val="0"/>
                <w:rtl/>
              </w:rPr>
            </w:pPr>
            <w:r w:rsidRPr="00413BCF">
              <w:rPr>
                <w:rFonts w:hint="cs"/>
                <w:b w:val="0"/>
                <w:bCs w:val="0"/>
                <w:rtl/>
              </w:rPr>
              <w:t>המוסד לביטוח לאומי</w:t>
            </w:r>
          </w:p>
        </w:tc>
        <w:tc>
          <w:tcPr>
            <w:tcW w:w="854" w:type="dxa"/>
            <w:shd w:val="clear" w:color="auto" w:fill="EEF6F7"/>
          </w:tcPr>
          <w:p w14:paraId="09E734BB"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6,138</w:t>
            </w:r>
          </w:p>
        </w:tc>
        <w:tc>
          <w:tcPr>
            <w:tcW w:w="854" w:type="dxa"/>
            <w:shd w:val="clear" w:color="auto" w:fill="EEF6F7"/>
          </w:tcPr>
          <w:p w14:paraId="05DEAF19"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6,396</w:t>
            </w:r>
          </w:p>
        </w:tc>
        <w:tc>
          <w:tcPr>
            <w:tcW w:w="854" w:type="dxa"/>
            <w:shd w:val="clear" w:color="auto" w:fill="EEF6F7"/>
          </w:tcPr>
          <w:p w14:paraId="4AEFF84C"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6,783</w:t>
            </w:r>
          </w:p>
        </w:tc>
        <w:tc>
          <w:tcPr>
            <w:tcW w:w="892" w:type="dxa"/>
            <w:shd w:val="clear" w:color="auto" w:fill="EEF6F7"/>
          </w:tcPr>
          <w:p w14:paraId="73154782"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w:t>
            </w:r>
          </w:p>
        </w:tc>
        <w:tc>
          <w:tcPr>
            <w:tcW w:w="892" w:type="dxa"/>
            <w:shd w:val="clear" w:color="auto" w:fill="EEF6F7"/>
          </w:tcPr>
          <w:p w14:paraId="12654682"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7,279</w:t>
            </w:r>
          </w:p>
        </w:tc>
        <w:tc>
          <w:tcPr>
            <w:tcW w:w="828" w:type="dxa"/>
            <w:shd w:val="clear" w:color="auto" w:fill="EEF6F7"/>
          </w:tcPr>
          <w:p w14:paraId="524E9B81"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7,279</w:t>
            </w:r>
          </w:p>
        </w:tc>
      </w:tr>
      <w:tr w:rsidR="009E6326" w:rsidRPr="00413BCF" w14:paraId="12D15ADB" w14:textId="77777777" w:rsidTr="00DD281F">
        <w:trPr>
          <w:trHeight w:val="323"/>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DDEAEE"/>
          </w:tcPr>
          <w:p w14:paraId="0923DBF4" w14:textId="77777777" w:rsidR="007C4395" w:rsidRPr="00413BCF" w:rsidRDefault="007C4395" w:rsidP="00413BCF">
            <w:pPr>
              <w:pStyle w:val="71R"/>
              <w:spacing w:line="240" w:lineRule="auto"/>
              <w:rPr>
                <w:b w:val="0"/>
                <w:bCs w:val="0"/>
                <w:rtl/>
              </w:rPr>
            </w:pPr>
            <w:r w:rsidRPr="00413BCF">
              <w:rPr>
                <w:rFonts w:hint="cs"/>
                <w:b w:val="0"/>
                <w:bCs w:val="0"/>
                <w:rtl/>
              </w:rPr>
              <w:t>משרד הבריאות</w:t>
            </w:r>
          </w:p>
        </w:tc>
        <w:tc>
          <w:tcPr>
            <w:tcW w:w="854" w:type="dxa"/>
            <w:shd w:val="clear" w:color="auto" w:fill="DDEAEE"/>
          </w:tcPr>
          <w:p w14:paraId="3FB9E7DF"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1,518</w:t>
            </w:r>
          </w:p>
        </w:tc>
        <w:tc>
          <w:tcPr>
            <w:tcW w:w="854" w:type="dxa"/>
            <w:shd w:val="clear" w:color="auto" w:fill="DDEAEE"/>
          </w:tcPr>
          <w:p w14:paraId="5A0133BF"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3,306</w:t>
            </w:r>
          </w:p>
        </w:tc>
        <w:tc>
          <w:tcPr>
            <w:tcW w:w="854" w:type="dxa"/>
            <w:shd w:val="clear" w:color="auto" w:fill="DDEAEE"/>
          </w:tcPr>
          <w:p w14:paraId="7B2B0924"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3,436</w:t>
            </w:r>
          </w:p>
        </w:tc>
        <w:tc>
          <w:tcPr>
            <w:tcW w:w="892" w:type="dxa"/>
            <w:shd w:val="clear" w:color="auto" w:fill="DDEAEE"/>
          </w:tcPr>
          <w:p w14:paraId="3D0A935A"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4,146</w:t>
            </w:r>
          </w:p>
        </w:tc>
        <w:tc>
          <w:tcPr>
            <w:tcW w:w="892" w:type="dxa"/>
            <w:shd w:val="clear" w:color="auto" w:fill="DDEAEE"/>
          </w:tcPr>
          <w:p w14:paraId="59C3C57A"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w:t>
            </w:r>
          </w:p>
        </w:tc>
        <w:tc>
          <w:tcPr>
            <w:tcW w:w="828" w:type="dxa"/>
            <w:shd w:val="clear" w:color="auto" w:fill="DDEAEE"/>
          </w:tcPr>
          <w:p w14:paraId="467BB4BC"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4,146</w:t>
            </w:r>
          </w:p>
        </w:tc>
      </w:tr>
      <w:tr w:rsidR="00DD281F" w:rsidRPr="00413BCF" w14:paraId="2E6FEDAE" w14:textId="77777777" w:rsidTr="00DD281F">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EEF6F7"/>
          </w:tcPr>
          <w:p w14:paraId="04972CC6" w14:textId="77777777" w:rsidR="007C4395" w:rsidRPr="00413BCF" w:rsidRDefault="007C4395" w:rsidP="00413BCF">
            <w:pPr>
              <w:pStyle w:val="71R"/>
              <w:spacing w:line="240" w:lineRule="auto"/>
              <w:rPr>
                <w:b w:val="0"/>
                <w:bCs w:val="0"/>
                <w:rtl/>
              </w:rPr>
            </w:pPr>
            <w:r w:rsidRPr="00413BCF">
              <w:rPr>
                <w:rFonts w:hint="cs"/>
                <w:b w:val="0"/>
                <w:bCs w:val="0"/>
                <w:rtl/>
              </w:rPr>
              <w:t>רשות מקרקעי ישראל</w:t>
            </w:r>
          </w:p>
        </w:tc>
        <w:tc>
          <w:tcPr>
            <w:tcW w:w="854" w:type="dxa"/>
            <w:shd w:val="clear" w:color="auto" w:fill="EEF6F7"/>
          </w:tcPr>
          <w:p w14:paraId="369D57A9"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2,698</w:t>
            </w:r>
          </w:p>
        </w:tc>
        <w:tc>
          <w:tcPr>
            <w:tcW w:w="854" w:type="dxa"/>
            <w:shd w:val="clear" w:color="auto" w:fill="EEF6F7"/>
          </w:tcPr>
          <w:p w14:paraId="4D38BCEB"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3,167</w:t>
            </w:r>
          </w:p>
        </w:tc>
        <w:tc>
          <w:tcPr>
            <w:tcW w:w="854" w:type="dxa"/>
            <w:shd w:val="clear" w:color="auto" w:fill="EEF6F7"/>
          </w:tcPr>
          <w:p w14:paraId="14B46B00"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3,046</w:t>
            </w:r>
          </w:p>
        </w:tc>
        <w:tc>
          <w:tcPr>
            <w:tcW w:w="892" w:type="dxa"/>
            <w:shd w:val="clear" w:color="auto" w:fill="EEF6F7"/>
          </w:tcPr>
          <w:p w14:paraId="68799A7E"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2,678</w:t>
            </w:r>
          </w:p>
        </w:tc>
        <w:tc>
          <w:tcPr>
            <w:tcW w:w="892" w:type="dxa"/>
            <w:shd w:val="clear" w:color="auto" w:fill="EEF6F7"/>
          </w:tcPr>
          <w:p w14:paraId="1C28B628"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w:t>
            </w:r>
          </w:p>
        </w:tc>
        <w:tc>
          <w:tcPr>
            <w:tcW w:w="828" w:type="dxa"/>
            <w:shd w:val="clear" w:color="auto" w:fill="EEF6F7"/>
          </w:tcPr>
          <w:p w14:paraId="60E0E2F6"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2,678</w:t>
            </w:r>
          </w:p>
        </w:tc>
      </w:tr>
      <w:tr w:rsidR="009E6326" w:rsidRPr="00413BCF" w14:paraId="4B3429EE" w14:textId="77777777" w:rsidTr="00DD281F">
        <w:trPr>
          <w:trHeight w:val="323"/>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DDEAEE"/>
          </w:tcPr>
          <w:p w14:paraId="16FDFEC9" w14:textId="77777777" w:rsidR="007C4395" w:rsidRPr="00413BCF" w:rsidRDefault="007C4395" w:rsidP="00413BCF">
            <w:pPr>
              <w:pStyle w:val="71R"/>
              <w:spacing w:line="240" w:lineRule="auto"/>
              <w:rPr>
                <w:b w:val="0"/>
                <w:bCs w:val="0"/>
                <w:rtl/>
              </w:rPr>
            </w:pPr>
            <w:r w:rsidRPr="00413BCF">
              <w:rPr>
                <w:rFonts w:hint="cs"/>
                <w:b w:val="0"/>
                <w:bCs w:val="0"/>
                <w:rtl/>
              </w:rPr>
              <w:t>משרד הבינוי והשיכון</w:t>
            </w:r>
          </w:p>
        </w:tc>
        <w:tc>
          <w:tcPr>
            <w:tcW w:w="854" w:type="dxa"/>
            <w:shd w:val="clear" w:color="auto" w:fill="DDEAEE"/>
          </w:tcPr>
          <w:p w14:paraId="29241EF1"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1,049</w:t>
            </w:r>
          </w:p>
        </w:tc>
        <w:tc>
          <w:tcPr>
            <w:tcW w:w="854" w:type="dxa"/>
            <w:shd w:val="clear" w:color="auto" w:fill="DDEAEE"/>
          </w:tcPr>
          <w:p w14:paraId="69C3C6AF"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1,018</w:t>
            </w:r>
          </w:p>
        </w:tc>
        <w:tc>
          <w:tcPr>
            <w:tcW w:w="854" w:type="dxa"/>
            <w:shd w:val="clear" w:color="auto" w:fill="DDEAEE"/>
          </w:tcPr>
          <w:p w14:paraId="16AA1E30"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1,063</w:t>
            </w:r>
          </w:p>
        </w:tc>
        <w:tc>
          <w:tcPr>
            <w:tcW w:w="892" w:type="dxa"/>
            <w:shd w:val="clear" w:color="auto" w:fill="DDEAEE"/>
          </w:tcPr>
          <w:p w14:paraId="1754DF85"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1,018</w:t>
            </w:r>
          </w:p>
        </w:tc>
        <w:tc>
          <w:tcPr>
            <w:tcW w:w="892" w:type="dxa"/>
            <w:shd w:val="clear" w:color="auto" w:fill="DDEAEE"/>
          </w:tcPr>
          <w:p w14:paraId="2E0FC11E"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w:t>
            </w:r>
          </w:p>
        </w:tc>
        <w:tc>
          <w:tcPr>
            <w:tcW w:w="828" w:type="dxa"/>
            <w:shd w:val="clear" w:color="auto" w:fill="DDEAEE"/>
          </w:tcPr>
          <w:p w14:paraId="2D706089"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1,018</w:t>
            </w:r>
          </w:p>
        </w:tc>
      </w:tr>
      <w:tr w:rsidR="00DD281F" w:rsidRPr="00413BCF" w14:paraId="6366B9A9" w14:textId="77777777" w:rsidTr="00DD281F">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EEF6F7"/>
          </w:tcPr>
          <w:p w14:paraId="2B397836" w14:textId="77777777" w:rsidR="007C4395" w:rsidRPr="00413BCF" w:rsidRDefault="007C4395" w:rsidP="00413BCF">
            <w:pPr>
              <w:pStyle w:val="71R"/>
              <w:spacing w:line="240" w:lineRule="auto"/>
              <w:rPr>
                <w:b w:val="0"/>
                <w:bCs w:val="0"/>
                <w:rtl/>
              </w:rPr>
            </w:pPr>
            <w:r w:rsidRPr="00413BCF">
              <w:rPr>
                <w:rFonts w:hint="cs"/>
                <w:b w:val="0"/>
                <w:bCs w:val="0"/>
                <w:rtl/>
              </w:rPr>
              <w:t>רשות האכיפה והגבייה</w:t>
            </w:r>
          </w:p>
        </w:tc>
        <w:tc>
          <w:tcPr>
            <w:tcW w:w="854" w:type="dxa"/>
            <w:shd w:val="clear" w:color="auto" w:fill="EEF6F7"/>
          </w:tcPr>
          <w:p w14:paraId="56C586E8"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649</w:t>
            </w:r>
          </w:p>
        </w:tc>
        <w:tc>
          <w:tcPr>
            <w:tcW w:w="854" w:type="dxa"/>
            <w:shd w:val="clear" w:color="auto" w:fill="EEF6F7"/>
          </w:tcPr>
          <w:p w14:paraId="72D56392"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743</w:t>
            </w:r>
          </w:p>
        </w:tc>
        <w:tc>
          <w:tcPr>
            <w:tcW w:w="854" w:type="dxa"/>
            <w:shd w:val="clear" w:color="auto" w:fill="EEF6F7"/>
          </w:tcPr>
          <w:p w14:paraId="7F59CA73"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764</w:t>
            </w:r>
          </w:p>
        </w:tc>
        <w:tc>
          <w:tcPr>
            <w:tcW w:w="892" w:type="dxa"/>
            <w:shd w:val="clear" w:color="auto" w:fill="EEF6F7"/>
          </w:tcPr>
          <w:p w14:paraId="32B8AC11"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w:t>
            </w:r>
          </w:p>
        </w:tc>
        <w:tc>
          <w:tcPr>
            <w:tcW w:w="892" w:type="dxa"/>
            <w:shd w:val="clear" w:color="auto" w:fill="EEF6F7"/>
          </w:tcPr>
          <w:p w14:paraId="71ADDF9D"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893</w:t>
            </w:r>
          </w:p>
        </w:tc>
        <w:tc>
          <w:tcPr>
            <w:tcW w:w="828" w:type="dxa"/>
            <w:shd w:val="clear" w:color="auto" w:fill="EEF6F7"/>
          </w:tcPr>
          <w:p w14:paraId="36688944"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893</w:t>
            </w:r>
          </w:p>
        </w:tc>
      </w:tr>
      <w:tr w:rsidR="009E6326" w:rsidRPr="00413BCF" w14:paraId="2B93B8C9" w14:textId="77777777" w:rsidTr="00DD281F">
        <w:trPr>
          <w:trHeight w:val="323"/>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DDEAEE"/>
          </w:tcPr>
          <w:p w14:paraId="76ED7EEE" w14:textId="77777777" w:rsidR="007C4395" w:rsidRPr="00413BCF" w:rsidRDefault="007C4395" w:rsidP="00413BCF">
            <w:pPr>
              <w:pStyle w:val="71R"/>
              <w:spacing w:line="240" w:lineRule="auto"/>
              <w:rPr>
                <w:b w:val="0"/>
                <w:bCs w:val="0"/>
                <w:rtl/>
              </w:rPr>
            </w:pPr>
            <w:r w:rsidRPr="00413BCF">
              <w:rPr>
                <w:rFonts w:hint="cs"/>
                <w:b w:val="0"/>
                <w:bCs w:val="0"/>
                <w:rtl/>
              </w:rPr>
              <w:t>הנהלת בתי המשפט</w:t>
            </w:r>
          </w:p>
        </w:tc>
        <w:tc>
          <w:tcPr>
            <w:tcW w:w="854" w:type="dxa"/>
            <w:shd w:val="clear" w:color="auto" w:fill="DDEAEE"/>
          </w:tcPr>
          <w:p w14:paraId="102B57F1"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899</w:t>
            </w:r>
          </w:p>
        </w:tc>
        <w:tc>
          <w:tcPr>
            <w:tcW w:w="854" w:type="dxa"/>
            <w:shd w:val="clear" w:color="auto" w:fill="DDEAEE"/>
          </w:tcPr>
          <w:p w14:paraId="69D9662E"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571</w:t>
            </w:r>
          </w:p>
        </w:tc>
        <w:tc>
          <w:tcPr>
            <w:tcW w:w="854" w:type="dxa"/>
            <w:shd w:val="clear" w:color="auto" w:fill="DDEAEE"/>
          </w:tcPr>
          <w:p w14:paraId="5431E44D"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736</w:t>
            </w:r>
          </w:p>
        </w:tc>
        <w:tc>
          <w:tcPr>
            <w:tcW w:w="892" w:type="dxa"/>
            <w:shd w:val="clear" w:color="auto" w:fill="DDEAEE"/>
          </w:tcPr>
          <w:p w14:paraId="191045E7"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21</w:t>
            </w:r>
          </w:p>
        </w:tc>
        <w:tc>
          <w:tcPr>
            <w:tcW w:w="892" w:type="dxa"/>
            <w:shd w:val="clear" w:color="auto" w:fill="DDEAEE"/>
          </w:tcPr>
          <w:p w14:paraId="20565FEC"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509</w:t>
            </w:r>
          </w:p>
        </w:tc>
        <w:tc>
          <w:tcPr>
            <w:tcW w:w="828" w:type="dxa"/>
            <w:shd w:val="clear" w:color="auto" w:fill="DDEAEE"/>
          </w:tcPr>
          <w:p w14:paraId="2CAAB2A2"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530</w:t>
            </w:r>
          </w:p>
        </w:tc>
      </w:tr>
      <w:tr w:rsidR="00DD281F" w:rsidRPr="00413BCF" w14:paraId="30D10C23" w14:textId="77777777" w:rsidTr="00DD281F">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EEF6F7"/>
          </w:tcPr>
          <w:p w14:paraId="5D24B8E1" w14:textId="77777777" w:rsidR="007C4395" w:rsidRPr="00413BCF" w:rsidRDefault="007C4395" w:rsidP="00413BCF">
            <w:pPr>
              <w:pStyle w:val="71R"/>
              <w:spacing w:line="240" w:lineRule="auto"/>
              <w:rPr>
                <w:b w:val="0"/>
                <w:bCs w:val="0"/>
                <w:rtl/>
              </w:rPr>
            </w:pPr>
            <w:r w:rsidRPr="00413BCF">
              <w:rPr>
                <w:rFonts w:hint="cs"/>
                <w:b w:val="0"/>
                <w:bCs w:val="0"/>
                <w:rtl/>
              </w:rPr>
              <w:t>משרד הכלכלה והתעשייה</w:t>
            </w:r>
          </w:p>
        </w:tc>
        <w:tc>
          <w:tcPr>
            <w:tcW w:w="854" w:type="dxa"/>
            <w:shd w:val="clear" w:color="auto" w:fill="EEF6F7"/>
          </w:tcPr>
          <w:p w14:paraId="64D582FA"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907</w:t>
            </w:r>
          </w:p>
        </w:tc>
        <w:tc>
          <w:tcPr>
            <w:tcW w:w="854" w:type="dxa"/>
            <w:shd w:val="clear" w:color="auto" w:fill="EEF6F7"/>
          </w:tcPr>
          <w:p w14:paraId="6E0E9898"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844</w:t>
            </w:r>
          </w:p>
        </w:tc>
        <w:tc>
          <w:tcPr>
            <w:tcW w:w="854" w:type="dxa"/>
            <w:shd w:val="clear" w:color="auto" w:fill="EEF6F7"/>
          </w:tcPr>
          <w:p w14:paraId="4100EF03"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680</w:t>
            </w:r>
          </w:p>
        </w:tc>
        <w:tc>
          <w:tcPr>
            <w:tcW w:w="892" w:type="dxa"/>
            <w:shd w:val="clear" w:color="auto" w:fill="EEF6F7"/>
          </w:tcPr>
          <w:p w14:paraId="5BDE203A"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644</w:t>
            </w:r>
          </w:p>
        </w:tc>
        <w:tc>
          <w:tcPr>
            <w:tcW w:w="892" w:type="dxa"/>
            <w:shd w:val="clear" w:color="auto" w:fill="EEF6F7"/>
          </w:tcPr>
          <w:p w14:paraId="73873E9D"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w:t>
            </w:r>
          </w:p>
        </w:tc>
        <w:tc>
          <w:tcPr>
            <w:tcW w:w="828" w:type="dxa"/>
            <w:shd w:val="clear" w:color="auto" w:fill="EEF6F7"/>
          </w:tcPr>
          <w:p w14:paraId="2679FC4E"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644</w:t>
            </w:r>
          </w:p>
        </w:tc>
      </w:tr>
      <w:tr w:rsidR="009E6326" w:rsidRPr="00413BCF" w14:paraId="744465D0" w14:textId="77777777" w:rsidTr="00DD281F">
        <w:trPr>
          <w:trHeight w:val="323"/>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DDEAEE"/>
          </w:tcPr>
          <w:p w14:paraId="5ECB5F59" w14:textId="77777777" w:rsidR="007C4395" w:rsidRPr="00413BCF" w:rsidRDefault="007C4395" w:rsidP="00413BCF">
            <w:pPr>
              <w:pStyle w:val="71R"/>
              <w:spacing w:line="240" w:lineRule="auto"/>
              <w:rPr>
                <w:b w:val="0"/>
                <w:bCs w:val="0"/>
                <w:rtl/>
              </w:rPr>
            </w:pPr>
            <w:r w:rsidRPr="00413BCF">
              <w:rPr>
                <w:rFonts w:hint="cs"/>
                <w:b w:val="0"/>
                <w:bCs w:val="0"/>
                <w:rtl/>
              </w:rPr>
              <w:t>משרד הביטחון</w:t>
            </w:r>
          </w:p>
        </w:tc>
        <w:tc>
          <w:tcPr>
            <w:tcW w:w="854" w:type="dxa"/>
            <w:shd w:val="clear" w:color="auto" w:fill="DDEAEE"/>
          </w:tcPr>
          <w:p w14:paraId="3B15C1DC"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2,383</w:t>
            </w:r>
          </w:p>
        </w:tc>
        <w:tc>
          <w:tcPr>
            <w:tcW w:w="854" w:type="dxa"/>
            <w:shd w:val="clear" w:color="auto" w:fill="DDEAEE"/>
          </w:tcPr>
          <w:p w14:paraId="4CBAD74F"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609</w:t>
            </w:r>
          </w:p>
        </w:tc>
        <w:tc>
          <w:tcPr>
            <w:tcW w:w="854" w:type="dxa"/>
            <w:shd w:val="clear" w:color="auto" w:fill="DDEAEE"/>
          </w:tcPr>
          <w:p w14:paraId="36E2C8FE"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269</w:t>
            </w:r>
          </w:p>
        </w:tc>
        <w:tc>
          <w:tcPr>
            <w:tcW w:w="892" w:type="dxa"/>
            <w:shd w:val="clear" w:color="auto" w:fill="DDEAEE"/>
          </w:tcPr>
          <w:p w14:paraId="35458334"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1,283</w:t>
            </w:r>
          </w:p>
        </w:tc>
        <w:tc>
          <w:tcPr>
            <w:tcW w:w="892" w:type="dxa"/>
            <w:shd w:val="clear" w:color="auto" w:fill="DDEAEE"/>
          </w:tcPr>
          <w:p w14:paraId="46C72DF1"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w:t>
            </w:r>
          </w:p>
        </w:tc>
        <w:tc>
          <w:tcPr>
            <w:tcW w:w="828" w:type="dxa"/>
            <w:shd w:val="clear" w:color="auto" w:fill="DDEAEE"/>
          </w:tcPr>
          <w:p w14:paraId="623A5E66"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1,283</w:t>
            </w:r>
          </w:p>
        </w:tc>
      </w:tr>
      <w:tr w:rsidR="00DD281F" w:rsidRPr="00413BCF" w14:paraId="41939563" w14:textId="77777777" w:rsidTr="00DD281F">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EEF6F7"/>
          </w:tcPr>
          <w:p w14:paraId="7F02D8F1" w14:textId="77777777" w:rsidR="007C4395" w:rsidRPr="00413BCF" w:rsidRDefault="007C4395" w:rsidP="00413BCF">
            <w:pPr>
              <w:pStyle w:val="71R"/>
              <w:spacing w:line="240" w:lineRule="auto"/>
              <w:rPr>
                <w:b w:val="0"/>
                <w:bCs w:val="0"/>
                <w:rtl/>
              </w:rPr>
            </w:pPr>
            <w:r w:rsidRPr="00413BCF">
              <w:rPr>
                <w:rFonts w:hint="cs"/>
                <w:b w:val="0"/>
                <w:bCs w:val="0"/>
                <w:rtl/>
              </w:rPr>
              <w:t>תאגידים סטטוטוריים אחרים</w:t>
            </w:r>
          </w:p>
        </w:tc>
        <w:tc>
          <w:tcPr>
            <w:tcW w:w="854" w:type="dxa"/>
            <w:shd w:val="clear" w:color="auto" w:fill="EEF6F7"/>
          </w:tcPr>
          <w:p w14:paraId="2B498379"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240</w:t>
            </w:r>
          </w:p>
        </w:tc>
        <w:tc>
          <w:tcPr>
            <w:tcW w:w="854" w:type="dxa"/>
            <w:shd w:val="clear" w:color="auto" w:fill="EEF6F7"/>
          </w:tcPr>
          <w:p w14:paraId="3E457E6A"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226</w:t>
            </w:r>
          </w:p>
        </w:tc>
        <w:tc>
          <w:tcPr>
            <w:tcW w:w="854" w:type="dxa"/>
            <w:shd w:val="clear" w:color="auto" w:fill="EEF6F7"/>
          </w:tcPr>
          <w:p w14:paraId="0B0F90F6"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259</w:t>
            </w:r>
          </w:p>
        </w:tc>
        <w:tc>
          <w:tcPr>
            <w:tcW w:w="892" w:type="dxa"/>
            <w:shd w:val="clear" w:color="auto" w:fill="EEF6F7"/>
          </w:tcPr>
          <w:p w14:paraId="6F38E8C8"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102</w:t>
            </w:r>
          </w:p>
        </w:tc>
        <w:tc>
          <w:tcPr>
            <w:tcW w:w="892" w:type="dxa"/>
            <w:shd w:val="clear" w:color="auto" w:fill="EEF6F7"/>
          </w:tcPr>
          <w:p w14:paraId="7547426E"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132</w:t>
            </w:r>
          </w:p>
        </w:tc>
        <w:tc>
          <w:tcPr>
            <w:tcW w:w="828" w:type="dxa"/>
            <w:shd w:val="clear" w:color="auto" w:fill="EEF6F7"/>
          </w:tcPr>
          <w:p w14:paraId="49CC66E1"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234</w:t>
            </w:r>
          </w:p>
        </w:tc>
      </w:tr>
      <w:tr w:rsidR="009E6326" w:rsidRPr="00413BCF" w14:paraId="2FA0EC00" w14:textId="77777777" w:rsidTr="00DD281F">
        <w:trPr>
          <w:trHeight w:val="323"/>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DDEAEE"/>
          </w:tcPr>
          <w:p w14:paraId="55D6D406" w14:textId="77777777" w:rsidR="007C4395" w:rsidRPr="00413BCF" w:rsidRDefault="007C4395" w:rsidP="00413BCF">
            <w:pPr>
              <w:pStyle w:val="71R"/>
              <w:spacing w:line="240" w:lineRule="auto"/>
              <w:rPr>
                <w:b w:val="0"/>
                <w:bCs w:val="0"/>
                <w:rtl/>
              </w:rPr>
            </w:pPr>
            <w:r w:rsidRPr="00413BCF">
              <w:rPr>
                <w:rFonts w:hint="cs"/>
                <w:b w:val="0"/>
                <w:bCs w:val="0"/>
                <w:rtl/>
              </w:rPr>
              <w:t>הרשות הממשלתית למים ולביוב</w:t>
            </w:r>
          </w:p>
        </w:tc>
        <w:tc>
          <w:tcPr>
            <w:tcW w:w="854" w:type="dxa"/>
            <w:shd w:val="clear" w:color="auto" w:fill="DDEAEE"/>
          </w:tcPr>
          <w:p w14:paraId="2D90DAF3"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633</w:t>
            </w:r>
          </w:p>
        </w:tc>
        <w:tc>
          <w:tcPr>
            <w:tcW w:w="854" w:type="dxa"/>
            <w:shd w:val="clear" w:color="auto" w:fill="DDEAEE"/>
          </w:tcPr>
          <w:p w14:paraId="292C5DEB"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165</w:t>
            </w:r>
          </w:p>
        </w:tc>
        <w:tc>
          <w:tcPr>
            <w:tcW w:w="854" w:type="dxa"/>
            <w:shd w:val="clear" w:color="auto" w:fill="DDEAEE"/>
          </w:tcPr>
          <w:p w14:paraId="261BB858"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105</w:t>
            </w:r>
          </w:p>
        </w:tc>
        <w:tc>
          <w:tcPr>
            <w:tcW w:w="892" w:type="dxa"/>
            <w:shd w:val="clear" w:color="auto" w:fill="DDEAEE"/>
          </w:tcPr>
          <w:p w14:paraId="107BD5BF"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w:t>
            </w:r>
          </w:p>
        </w:tc>
        <w:tc>
          <w:tcPr>
            <w:tcW w:w="892" w:type="dxa"/>
            <w:shd w:val="clear" w:color="auto" w:fill="DDEAEE"/>
          </w:tcPr>
          <w:p w14:paraId="79C3C8B0"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121</w:t>
            </w:r>
          </w:p>
        </w:tc>
        <w:tc>
          <w:tcPr>
            <w:tcW w:w="828" w:type="dxa"/>
            <w:shd w:val="clear" w:color="auto" w:fill="DDEAEE"/>
          </w:tcPr>
          <w:p w14:paraId="66F71301" w14:textId="77777777" w:rsidR="007C4395" w:rsidRPr="00413BCF" w:rsidRDefault="007C4395" w:rsidP="00413BCF">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121</w:t>
            </w:r>
          </w:p>
        </w:tc>
      </w:tr>
      <w:tr w:rsidR="00DD281F" w:rsidRPr="00413BCF" w14:paraId="699D7F30" w14:textId="77777777" w:rsidTr="00DD281F">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EEF6F7"/>
          </w:tcPr>
          <w:p w14:paraId="4B8A7F49" w14:textId="77777777" w:rsidR="007C4395" w:rsidRPr="00413BCF" w:rsidRDefault="007C4395" w:rsidP="00413BCF">
            <w:pPr>
              <w:pStyle w:val="71R"/>
              <w:spacing w:line="240" w:lineRule="auto"/>
              <w:rPr>
                <w:b w:val="0"/>
                <w:bCs w:val="0"/>
                <w:rtl/>
              </w:rPr>
            </w:pPr>
            <w:r w:rsidRPr="00413BCF">
              <w:rPr>
                <w:rFonts w:hint="cs"/>
                <w:b w:val="0"/>
                <w:bCs w:val="0"/>
                <w:rtl/>
              </w:rPr>
              <w:t>משרדים אחרים</w:t>
            </w:r>
          </w:p>
        </w:tc>
        <w:tc>
          <w:tcPr>
            <w:tcW w:w="854" w:type="dxa"/>
            <w:shd w:val="clear" w:color="auto" w:fill="EEF6F7"/>
          </w:tcPr>
          <w:p w14:paraId="1B41F1B5"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765</w:t>
            </w:r>
          </w:p>
        </w:tc>
        <w:tc>
          <w:tcPr>
            <w:tcW w:w="854" w:type="dxa"/>
            <w:shd w:val="clear" w:color="auto" w:fill="EEF6F7"/>
          </w:tcPr>
          <w:p w14:paraId="4BE26C98"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584</w:t>
            </w:r>
          </w:p>
        </w:tc>
        <w:tc>
          <w:tcPr>
            <w:tcW w:w="854" w:type="dxa"/>
            <w:shd w:val="clear" w:color="auto" w:fill="EEF6F7"/>
          </w:tcPr>
          <w:p w14:paraId="486CD3C4"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653</w:t>
            </w:r>
          </w:p>
        </w:tc>
        <w:tc>
          <w:tcPr>
            <w:tcW w:w="892" w:type="dxa"/>
            <w:shd w:val="clear" w:color="auto" w:fill="EEF6F7"/>
          </w:tcPr>
          <w:p w14:paraId="1204EA29"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526</w:t>
            </w:r>
          </w:p>
        </w:tc>
        <w:tc>
          <w:tcPr>
            <w:tcW w:w="892" w:type="dxa"/>
            <w:shd w:val="clear" w:color="auto" w:fill="EEF6F7"/>
          </w:tcPr>
          <w:p w14:paraId="6197E635"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3</w:t>
            </w:r>
          </w:p>
        </w:tc>
        <w:tc>
          <w:tcPr>
            <w:tcW w:w="828" w:type="dxa"/>
            <w:shd w:val="clear" w:color="auto" w:fill="EEF6F7"/>
          </w:tcPr>
          <w:p w14:paraId="1B676BC1" w14:textId="77777777" w:rsidR="007C4395" w:rsidRPr="00413BCF" w:rsidRDefault="007C4395" w:rsidP="00413BCF">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413BCF">
              <w:rPr>
                <w:rFonts w:hint="cs"/>
                <w:rtl/>
              </w:rPr>
              <w:t>529</w:t>
            </w:r>
          </w:p>
        </w:tc>
      </w:tr>
      <w:tr w:rsidR="009E6326" w:rsidRPr="00413BCF" w14:paraId="4E9F07B7" w14:textId="77777777" w:rsidTr="00DD281F">
        <w:trPr>
          <w:trHeight w:val="323"/>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bottom w:val="none" w:sz="0" w:space="0" w:color="auto"/>
            </w:tcBorders>
            <w:shd w:val="clear" w:color="auto" w:fill="C8DCE4"/>
            <w:hideMark/>
          </w:tcPr>
          <w:p w14:paraId="5A25377E" w14:textId="77777777" w:rsidR="007C4395" w:rsidRPr="00413BCF" w:rsidRDefault="007C4395" w:rsidP="00413BCF">
            <w:pPr>
              <w:pStyle w:val="71B0"/>
              <w:spacing w:line="240" w:lineRule="auto"/>
              <w:rPr>
                <w:b/>
                <w:bCs/>
                <w:rtl/>
              </w:rPr>
            </w:pPr>
            <w:r w:rsidRPr="00413BCF">
              <w:rPr>
                <w:rFonts w:hint="cs"/>
                <w:b/>
                <w:bCs/>
                <w:rtl/>
              </w:rPr>
              <w:t xml:space="preserve">סך הכול חייבים </w:t>
            </w:r>
          </w:p>
        </w:tc>
        <w:tc>
          <w:tcPr>
            <w:tcW w:w="854" w:type="dxa"/>
            <w:shd w:val="clear" w:color="auto" w:fill="C8DCE4"/>
          </w:tcPr>
          <w:p w14:paraId="60CEBB8E" w14:textId="77777777" w:rsidR="007C4395" w:rsidRPr="00413BCF" w:rsidRDefault="007C4395" w:rsidP="00413BCF">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42,795</w:t>
            </w:r>
          </w:p>
        </w:tc>
        <w:tc>
          <w:tcPr>
            <w:tcW w:w="854" w:type="dxa"/>
            <w:shd w:val="clear" w:color="auto" w:fill="C8DCE4"/>
          </w:tcPr>
          <w:p w14:paraId="75FE2E2B" w14:textId="77777777" w:rsidR="007C4395" w:rsidRPr="00413BCF" w:rsidRDefault="007C4395" w:rsidP="00413BCF">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37,988</w:t>
            </w:r>
          </w:p>
        </w:tc>
        <w:tc>
          <w:tcPr>
            <w:tcW w:w="854" w:type="dxa"/>
            <w:shd w:val="clear" w:color="auto" w:fill="C8DCE4"/>
          </w:tcPr>
          <w:p w14:paraId="333E23EE" w14:textId="77777777" w:rsidR="007C4395" w:rsidRPr="00413BCF" w:rsidRDefault="007C4395" w:rsidP="00413BCF">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38,950</w:t>
            </w:r>
          </w:p>
        </w:tc>
        <w:tc>
          <w:tcPr>
            <w:tcW w:w="892" w:type="dxa"/>
            <w:shd w:val="clear" w:color="auto" w:fill="C8DCE4"/>
          </w:tcPr>
          <w:p w14:paraId="71F5221F" w14:textId="77777777" w:rsidR="007C4395" w:rsidRPr="00413BCF" w:rsidRDefault="007C4395" w:rsidP="00413BCF">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19,219</w:t>
            </w:r>
          </w:p>
        </w:tc>
        <w:tc>
          <w:tcPr>
            <w:tcW w:w="892" w:type="dxa"/>
            <w:shd w:val="clear" w:color="auto" w:fill="C8DCE4"/>
          </w:tcPr>
          <w:p w14:paraId="642AF619" w14:textId="77777777" w:rsidR="007C4395" w:rsidRPr="00413BCF" w:rsidRDefault="007C4395" w:rsidP="00413BCF">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23,945</w:t>
            </w:r>
          </w:p>
        </w:tc>
        <w:tc>
          <w:tcPr>
            <w:tcW w:w="828" w:type="dxa"/>
            <w:shd w:val="clear" w:color="auto" w:fill="C8DCE4"/>
          </w:tcPr>
          <w:p w14:paraId="5F2FFA37" w14:textId="77777777" w:rsidR="007C4395" w:rsidRPr="00413BCF" w:rsidRDefault="007C4395" w:rsidP="00413BCF">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413BCF">
              <w:rPr>
                <w:rFonts w:hint="cs"/>
                <w:rtl/>
              </w:rPr>
              <w:t>43,164</w:t>
            </w:r>
          </w:p>
        </w:tc>
      </w:tr>
    </w:tbl>
    <w:p w14:paraId="45F7DB5C" w14:textId="77777777" w:rsidR="007C4395" w:rsidRPr="00010778" w:rsidRDefault="007C4395" w:rsidP="00010778">
      <w:pPr>
        <w:pStyle w:val="71c"/>
        <w:rPr>
          <w:rtl/>
        </w:rPr>
      </w:pPr>
      <w:r w:rsidRPr="00010778">
        <w:rPr>
          <w:rFonts w:hint="cs"/>
          <w:rtl/>
        </w:rPr>
        <w:t xml:space="preserve">על פי </w:t>
      </w:r>
      <w:r w:rsidRPr="00010778">
        <w:rPr>
          <w:rFonts w:hint="eastAsia"/>
          <w:rtl/>
        </w:rPr>
        <w:t>משרד</w:t>
      </w:r>
      <w:r w:rsidRPr="00010778">
        <w:rPr>
          <w:rtl/>
        </w:rPr>
        <w:t xml:space="preserve"> </w:t>
      </w:r>
      <w:r w:rsidRPr="00010778">
        <w:rPr>
          <w:rFonts w:hint="eastAsia"/>
          <w:rtl/>
        </w:rPr>
        <w:t>האוצר</w:t>
      </w:r>
      <w:r w:rsidRPr="00010778">
        <w:rPr>
          <w:rtl/>
        </w:rPr>
        <w:t xml:space="preserve">, הדוחות הכספיים של מדינת ישראל </w:t>
      </w:r>
      <w:r w:rsidRPr="00010778">
        <w:rPr>
          <w:rFonts w:hint="eastAsia"/>
          <w:rtl/>
        </w:rPr>
        <w:t>לשנים</w:t>
      </w:r>
      <w:r w:rsidRPr="00010778">
        <w:rPr>
          <w:rtl/>
        </w:rPr>
        <w:t xml:space="preserve"> 2017 - 2020, </w:t>
      </w:r>
      <w:r w:rsidRPr="00010778">
        <w:rPr>
          <w:rFonts w:hint="eastAsia"/>
          <w:rtl/>
        </w:rPr>
        <w:t>בעיבוד</w:t>
      </w:r>
      <w:r w:rsidRPr="00010778">
        <w:rPr>
          <w:rtl/>
        </w:rPr>
        <w:t xml:space="preserve"> </w:t>
      </w:r>
      <w:r w:rsidRPr="00010778">
        <w:rPr>
          <w:rFonts w:hint="eastAsia"/>
          <w:rtl/>
        </w:rPr>
        <w:t>משרד</w:t>
      </w:r>
      <w:r w:rsidRPr="00010778">
        <w:rPr>
          <w:rtl/>
        </w:rPr>
        <w:t xml:space="preserve"> </w:t>
      </w:r>
      <w:r w:rsidRPr="00010778">
        <w:rPr>
          <w:rFonts w:hint="eastAsia"/>
          <w:rtl/>
        </w:rPr>
        <w:t>מבקר</w:t>
      </w:r>
      <w:r w:rsidRPr="00010778">
        <w:rPr>
          <w:rtl/>
        </w:rPr>
        <w:t xml:space="preserve"> </w:t>
      </w:r>
      <w:r w:rsidRPr="00010778">
        <w:rPr>
          <w:rFonts w:hint="eastAsia"/>
          <w:rtl/>
        </w:rPr>
        <w:t>המדינה</w:t>
      </w:r>
      <w:r w:rsidRPr="00010778">
        <w:rPr>
          <w:rtl/>
        </w:rPr>
        <w:t>.</w:t>
      </w:r>
    </w:p>
    <w:p w14:paraId="50A73721" w14:textId="77777777" w:rsidR="007C4395" w:rsidRDefault="007C4395" w:rsidP="002A738D">
      <w:pPr>
        <w:pStyle w:val="7190"/>
        <w:rPr>
          <w:rtl/>
        </w:rPr>
      </w:pPr>
      <w:r>
        <w:rPr>
          <w:rFonts w:hint="cs"/>
          <w:rtl/>
        </w:rPr>
        <w:t>מהלוח שלעיל עולה כי כ-35% מיתרת החייבים בגין עסקאות חליפין ועסקאות שאינן חליפין לשנת 2020 הם של רשות המיסים.</w:t>
      </w:r>
    </w:p>
    <w:p w14:paraId="39FADD9B" w14:textId="77777777" w:rsidR="007C4395" w:rsidRDefault="007C4395" w:rsidP="002A738D">
      <w:pPr>
        <w:pStyle w:val="7190"/>
        <w:rPr>
          <w:rtl/>
        </w:rPr>
      </w:pPr>
      <w:r>
        <w:rPr>
          <w:rFonts w:hint="cs"/>
          <w:rtl/>
        </w:rPr>
        <w:lastRenderedPageBreak/>
        <w:t>בדוחות הכספיים של המדינה ל-31.12.2020 מופיעה הסתייגות לגבי סעיף חייבים ויתרות חובה, ולפיה יש עוד חובות, בעיקר לרשות המיסים לישראל, שאינם באים לידי ביטוי בדוחות הכספיים מאחר שאינם עומדים בכללי ההכרה כנכס בדוחות הכספיים</w:t>
      </w:r>
      <w:r>
        <w:rPr>
          <w:rStyle w:val="ac"/>
          <w:rtl/>
        </w:rPr>
        <w:footnoteReference w:id="41"/>
      </w:r>
      <w:r>
        <w:rPr>
          <w:rFonts w:hint="cs"/>
          <w:rtl/>
        </w:rPr>
        <w:t>.</w:t>
      </w:r>
    </w:p>
    <w:p w14:paraId="68145D5F" w14:textId="77777777" w:rsidR="007C4395" w:rsidRDefault="007C4395" w:rsidP="002A738D">
      <w:pPr>
        <w:pStyle w:val="7190"/>
        <w:rPr>
          <w:rtl/>
        </w:rPr>
      </w:pPr>
      <w:r>
        <w:rPr>
          <w:rFonts w:hint="cs"/>
          <w:rtl/>
        </w:rPr>
        <w:t>הסתייגות נוספת קשורה לנתוני רשות המיסים, ולפיה: "יצוין כי מערכות המידע של רשות המסים בישראל אינן עונות, בחלק ממערכי המס, על מכלול הצרכים החשבונאיים לצורך ניהול נתוני חייבים על בסיס מצטבר בהתאם לכללי חשבונאות מקובלים. הדבר בא לידי ביטוי בהיעדר קשר חשבונאי בין נתוני המערכות לניהול מצבת החובות לבין תנועות המזומן במערכות הדיווח. נוסף על כך, יש קושי בהפרדת הנתונים למרכיבים הנדרשים לצורך הצגה חשבונאית נאותה, כגון הרכב הנכסים או מועד התהוותם"</w:t>
      </w:r>
      <w:r>
        <w:rPr>
          <w:rStyle w:val="ac"/>
          <w:rtl/>
        </w:rPr>
        <w:footnoteReference w:id="42"/>
      </w:r>
      <w:r>
        <w:rPr>
          <w:rFonts w:hint="cs"/>
          <w:rtl/>
        </w:rPr>
        <w:t>.</w:t>
      </w:r>
    </w:p>
    <w:p w14:paraId="704EEC16" w14:textId="77777777" w:rsidR="007C4395" w:rsidRDefault="007C4395" w:rsidP="002A738D">
      <w:pPr>
        <w:pStyle w:val="7190"/>
        <w:rPr>
          <w:rtl/>
        </w:rPr>
      </w:pPr>
      <w:r>
        <w:rPr>
          <w:rFonts w:hint="cs"/>
          <w:rtl/>
        </w:rPr>
        <w:t>בדוחות הכספיים של רשות המיסים ל-31.12.2020 מופיעה הסתייגות לגבי הסעיף "חייבים בגין עסקאות שאינן חליפין", ולפיה "לרשות המסים קיימים נכסי חוב נוספים אשר אינם עומדים בכללי ההכרה כנכס בדוחות הכספיים, וכן עשויים להיות נכסים נוספים אשר לא נרשמו ביתרות החייבים וכי הרשות פועלת לטיוב הנתונים". יצוין כי כבר בדוחותיה הכספיים של רשות המיסים בשנת 2017 צוין כי הרשות פועלת לטיוב הנתונים.</w:t>
      </w:r>
    </w:p>
    <w:p w14:paraId="1EC3FB62" w14:textId="77777777" w:rsidR="007C4395" w:rsidRDefault="007C4395" w:rsidP="002A738D">
      <w:pPr>
        <w:pStyle w:val="7190"/>
        <w:rPr>
          <w:rtl/>
        </w:rPr>
      </w:pPr>
      <w:r>
        <w:rPr>
          <w:rFonts w:hint="cs"/>
          <w:rtl/>
        </w:rPr>
        <w:t>במענה רשות המיסים על שאלות נציגי משרד מבקר המדינה מספטמבר 2021, צוין כי במערכי מס מסוימים יש חובות אשר אינם רשומים כלל בדוחות הכספיים, בשל היעדר יכולת להפיק נתונים מהימנים ממערכות המידע לצורך הצגתם בדוחות הכספיים. מסיבה זו אין לרשות המיסים מידע מהימן לגבי היקפי החובות האמורים בחלק ממערכי המס.</w:t>
      </w:r>
    </w:p>
    <w:p w14:paraId="5F8FADF3" w14:textId="77777777" w:rsidR="007C4395" w:rsidRPr="006E77D9" w:rsidRDefault="007C4395" w:rsidP="003B2683">
      <w:pPr>
        <w:pStyle w:val="71f4"/>
        <w:rPr>
          <w:rtl/>
        </w:rPr>
      </w:pPr>
      <w:r w:rsidRPr="006E77D9">
        <w:rPr>
          <w:rFonts w:hint="cs"/>
          <w:rtl/>
        </w:rPr>
        <w:t>נמצא כי משנת 2009 נרשמות בדוחות הכספיים של המדינה הסתייגויות מהותיות הנוגעות לנתוני הסעיף חייבים ויתרות חובה שבאחריות רשות המיסים</w:t>
      </w:r>
      <w:r w:rsidRPr="006E77D9">
        <w:rPr>
          <w:rtl/>
        </w:rPr>
        <w:t>.</w:t>
      </w:r>
      <w:r w:rsidRPr="006E77D9">
        <w:rPr>
          <w:rFonts w:hint="cs"/>
          <w:rtl/>
        </w:rPr>
        <w:t xml:space="preserve"> עוד נמצא כי אף ש</w:t>
      </w:r>
      <w:r w:rsidRPr="006E77D9">
        <w:rPr>
          <w:rFonts w:hint="eastAsia"/>
          <w:rtl/>
        </w:rPr>
        <w:t>לדברי</w:t>
      </w:r>
      <w:r w:rsidRPr="006E77D9">
        <w:rPr>
          <w:rFonts w:hint="cs"/>
          <w:rtl/>
        </w:rPr>
        <w:t xml:space="preserve"> רשות המיסים היא החלה בטיוב הנתונים בדוחות הכספיים לפני כמה שנים, עד מועד סיום הביקורת היא לא סיימה פעולה זו.</w:t>
      </w:r>
    </w:p>
    <w:p w14:paraId="26112AD5" w14:textId="77777777" w:rsidR="007C4395" w:rsidRPr="00B108B4" w:rsidRDefault="007C4395" w:rsidP="002A738D">
      <w:pPr>
        <w:pStyle w:val="7190"/>
        <w:rPr>
          <w:rtl/>
        </w:rPr>
      </w:pPr>
      <w:r>
        <w:rPr>
          <w:rFonts w:hint="cs"/>
          <w:rtl/>
        </w:rPr>
        <w:t xml:space="preserve">בתשובת רשות המיסים מינואר 2022 צוין כי משנת 2016 </w:t>
      </w:r>
      <w:proofErr w:type="spellStart"/>
      <w:r>
        <w:rPr>
          <w:rFonts w:hint="cs"/>
          <w:rtl/>
        </w:rPr>
        <w:t>חשבות</w:t>
      </w:r>
      <w:proofErr w:type="spellEnd"/>
      <w:r>
        <w:rPr>
          <w:rFonts w:hint="cs"/>
          <w:rtl/>
        </w:rPr>
        <w:t xml:space="preserve"> רשות המיסים מבצעת פרויקט, בשיתוף החשב הכללי ובסיוע משרד רואי חשבון, שמטרתו לשפר את מערכות המידע ולהגיע למצב של רישום חשבונאי תקין בכל מערך המס. עם זאת, מאחר שהעומס המוטל על יחידות המחשב הוא גדול, נצרכות פשרות רבות בנוגע לתיעדוף הצרכים החשבונאיים ולהקצאת המשאבים לביצוע הפרויקט, ומסיבה זו ביצוע הפרויקט נמשך זמן רב. עוד צוין בתשובה כי משמעות ההסתייגויות המוצגות בדוח הכספי היא שהקשר החשבונאי בין מערכות הגבייה של רשות המיסים לבין מערכת הדיווח הכספי אינו מאפשר לבצע תחקור מלא של מעגל החייבים, אך הצגת הפריט הכספי בדבר נכס החייבים היא נאותה ושלמה.</w:t>
      </w:r>
    </w:p>
    <w:p w14:paraId="7BA4E1E6" w14:textId="77777777" w:rsidR="007C4395" w:rsidRPr="000E75D4" w:rsidRDefault="007C4395" w:rsidP="002A738D">
      <w:pPr>
        <w:pStyle w:val="7190"/>
        <w:rPr>
          <w:rtl/>
        </w:rPr>
      </w:pPr>
      <w:r>
        <w:rPr>
          <w:rFonts w:hint="cs"/>
          <w:rtl/>
        </w:rPr>
        <w:lastRenderedPageBreak/>
        <w:t xml:space="preserve">יצוין כי כבר </w:t>
      </w:r>
      <w:r w:rsidRPr="005D3426">
        <w:rPr>
          <w:rFonts w:hint="eastAsia"/>
          <w:rtl/>
        </w:rPr>
        <w:t>ב</w:t>
      </w:r>
      <w:r>
        <w:rPr>
          <w:rFonts w:hint="eastAsia"/>
          <w:rtl/>
        </w:rPr>
        <w:t>דוח</w:t>
      </w:r>
      <w:r w:rsidRPr="005D3426">
        <w:rPr>
          <w:rtl/>
        </w:rPr>
        <w:t xml:space="preserve"> מבקר המדינה משנת </w:t>
      </w:r>
      <w:r>
        <w:rPr>
          <w:rFonts w:hint="cs"/>
          <w:rtl/>
        </w:rPr>
        <w:t>2018 הועלה</w:t>
      </w:r>
      <w:r w:rsidRPr="005D3426">
        <w:rPr>
          <w:rtl/>
        </w:rPr>
        <w:t xml:space="preserve"> כי ככל הנראה "יש </w:t>
      </w:r>
      <w:r w:rsidRPr="005D3426">
        <w:rPr>
          <w:rFonts w:hint="eastAsia"/>
          <w:rtl/>
        </w:rPr>
        <w:t>פער</w:t>
      </w:r>
      <w:r w:rsidRPr="005D3426">
        <w:rPr>
          <w:rtl/>
        </w:rPr>
        <w:t xml:space="preserve"> </w:t>
      </w:r>
      <w:r w:rsidRPr="005D3426">
        <w:rPr>
          <w:rFonts w:hint="eastAsia"/>
          <w:rtl/>
        </w:rPr>
        <w:t>גדול</w:t>
      </w:r>
      <w:r w:rsidRPr="005D3426">
        <w:rPr>
          <w:rtl/>
        </w:rPr>
        <w:t xml:space="preserve"> </w:t>
      </w:r>
      <w:r w:rsidRPr="005D3426">
        <w:rPr>
          <w:rFonts w:hint="eastAsia"/>
          <w:rtl/>
        </w:rPr>
        <w:t>בין</w:t>
      </w:r>
      <w:r w:rsidRPr="005D3426">
        <w:rPr>
          <w:rtl/>
        </w:rPr>
        <w:t xml:space="preserve"> </w:t>
      </w:r>
      <w:r w:rsidRPr="005D3426">
        <w:rPr>
          <w:rFonts w:hint="eastAsia"/>
          <w:rtl/>
        </w:rPr>
        <w:t>היקפי</w:t>
      </w:r>
      <w:r w:rsidRPr="005D3426">
        <w:rPr>
          <w:rtl/>
        </w:rPr>
        <w:t xml:space="preserve"> </w:t>
      </w:r>
      <w:r w:rsidRPr="005D3426">
        <w:rPr>
          <w:rFonts w:hint="eastAsia"/>
          <w:rtl/>
        </w:rPr>
        <w:t>החובות</w:t>
      </w:r>
      <w:r w:rsidRPr="005D3426">
        <w:rPr>
          <w:rtl/>
        </w:rPr>
        <w:t xml:space="preserve"> </w:t>
      </w:r>
      <w:r w:rsidRPr="005D3426">
        <w:rPr>
          <w:rFonts w:hint="eastAsia"/>
          <w:rtl/>
        </w:rPr>
        <w:t>לרשות</w:t>
      </w:r>
      <w:r w:rsidRPr="005D3426">
        <w:rPr>
          <w:rtl/>
        </w:rPr>
        <w:t xml:space="preserve"> </w:t>
      </w:r>
      <w:r w:rsidRPr="005D3426">
        <w:rPr>
          <w:rFonts w:hint="eastAsia"/>
          <w:rtl/>
        </w:rPr>
        <w:t>הרשומים</w:t>
      </w:r>
      <w:r w:rsidRPr="005D3426">
        <w:rPr>
          <w:rtl/>
        </w:rPr>
        <w:t xml:space="preserve"> </w:t>
      </w:r>
      <w:r w:rsidRPr="005D3426">
        <w:rPr>
          <w:rFonts w:hint="eastAsia"/>
          <w:rtl/>
        </w:rPr>
        <w:t>בדוחות</w:t>
      </w:r>
      <w:r w:rsidRPr="005D3426">
        <w:rPr>
          <w:rtl/>
        </w:rPr>
        <w:t xml:space="preserve"> </w:t>
      </w:r>
      <w:r w:rsidRPr="005D3426">
        <w:rPr>
          <w:rFonts w:hint="eastAsia"/>
          <w:rtl/>
        </w:rPr>
        <w:t>הכספיים</w:t>
      </w:r>
      <w:r w:rsidRPr="005D3426">
        <w:rPr>
          <w:rtl/>
        </w:rPr>
        <w:t xml:space="preserve"> </w:t>
      </w:r>
      <w:r w:rsidRPr="005D3426">
        <w:rPr>
          <w:rFonts w:hint="eastAsia"/>
          <w:rtl/>
        </w:rPr>
        <w:t>של</w:t>
      </w:r>
      <w:r w:rsidRPr="005D3426">
        <w:rPr>
          <w:rtl/>
        </w:rPr>
        <w:t xml:space="preserve"> </w:t>
      </w:r>
      <w:r w:rsidRPr="005D3426">
        <w:rPr>
          <w:rFonts w:hint="eastAsia"/>
          <w:rtl/>
        </w:rPr>
        <w:t>המדינה</w:t>
      </w:r>
      <w:r w:rsidRPr="005D3426">
        <w:rPr>
          <w:rtl/>
        </w:rPr>
        <w:t xml:space="preserve"> </w:t>
      </w:r>
      <w:r>
        <w:rPr>
          <w:rFonts w:hint="cs"/>
          <w:rtl/>
        </w:rPr>
        <w:t>ו</w:t>
      </w:r>
      <w:r w:rsidRPr="005D3426">
        <w:rPr>
          <w:rFonts w:hint="eastAsia"/>
          <w:rtl/>
        </w:rPr>
        <w:t>בין</w:t>
      </w:r>
      <w:r w:rsidRPr="005D3426">
        <w:rPr>
          <w:rtl/>
        </w:rPr>
        <w:t xml:space="preserve"> </w:t>
      </w:r>
      <w:r>
        <w:rPr>
          <w:rFonts w:hint="eastAsia"/>
          <w:rtl/>
        </w:rPr>
        <w:t>הי</w:t>
      </w:r>
      <w:r>
        <w:rPr>
          <w:rFonts w:hint="cs"/>
          <w:rtl/>
        </w:rPr>
        <w:t>ק</w:t>
      </w:r>
      <w:r w:rsidRPr="005D3426">
        <w:rPr>
          <w:rFonts w:hint="eastAsia"/>
          <w:rtl/>
        </w:rPr>
        <w:t>פי</w:t>
      </w:r>
      <w:r w:rsidRPr="005D3426">
        <w:rPr>
          <w:rtl/>
        </w:rPr>
        <w:t xml:space="preserve"> </w:t>
      </w:r>
      <w:r w:rsidRPr="005D3426">
        <w:rPr>
          <w:rFonts w:hint="eastAsia"/>
          <w:rtl/>
        </w:rPr>
        <w:t>החובות</w:t>
      </w:r>
      <w:r w:rsidRPr="005D3426">
        <w:rPr>
          <w:rtl/>
        </w:rPr>
        <w:t xml:space="preserve"> </w:t>
      </w:r>
      <w:r w:rsidRPr="005D3426">
        <w:rPr>
          <w:rFonts w:hint="eastAsia"/>
          <w:rtl/>
        </w:rPr>
        <w:t>המלאים</w:t>
      </w:r>
      <w:r w:rsidRPr="005D3426">
        <w:rPr>
          <w:rtl/>
        </w:rPr>
        <w:t xml:space="preserve"> </w:t>
      </w:r>
      <w:r w:rsidRPr="005D3426">
        <w:rPr>
          <w:rFonts w:hint="eastAsia"/>
          <w:rtl/>
        </w:rPr>
        <w:t>והנכוני</w:t>
      </w:r>
      <w:r>
        <w:rPr>
          <w:rFonts w:hint="cs"/>
          <w:rtl/>
        </w:rPr>
        <w:t>ם</w:t>
      </w:r>
      <w:r w:rsidRPr="005D3426">
        <w:rPr>
          <w:rtl/>
        </w:rPr>
        <w:t xml:space="preserve">, </w:t>
      </w:r>
      <w:r w:rsidRPr="005D3426">
        <w:rPr>
          <w:rFonts w:hint="eastAsia"/>
          <w:rtl/>
        </w:rPr>
        <w:t>האמורים</w:t>
      </w:r>
      <w:r w:rsidRPr="005D3426">
        <w:rPr>
          <w:rtl/>
        </w:rPr>
        <w:t xml:space="preserve"> </w:t>
      </w:r>
      <w:r w:rsidRPr="005D3426">
        <w:rPr>
          <w:rFonts w:hint="eastAsia"/>
          <w:rtl/>
        </w:rPr>
        <w:t>להיות</w:t>
      </w:r>
      <w:r w:rsidRPr="005D3426">
        <w:rPr>
          <w:rtl/>
        </w:rPr>
        <w:t xml:space="preserve"> </w:t>
      </w:r>
      <w:r w:rsidRPr="005D3426">
        <w:rPr>
          <w:rFonts w:hint="eastAsia"/>
          <w:rtl/>
        </w:rPr>
        <w:t>רשומים</w:t>
      </w:r>
      <w:r w:rsidRPr="005D3426">
        <w:rPr>
          <w:rtl/>
        </w:rPr>
        <w:t xml:space="preserve"> </w:t>
      </w:r>
      <w:r w:rsidRPr="005D3426">
        <w:rPr>
          <w:rFonts w:hint="eastAsia"/>
          <w:rtl/>
        </w:rPr>
        <w:t>בהתאם</w:t>
      </w:r>
      <w:r w:rsidRPr="005D3426">
        <w:rPr>
          <w:rtl/>
        </w:rPr>
        <w:t xml:space="preserve"> </w:t>
      </w:r>
      <w:r w:rsidRPr="005D3426">
        <w:rPr>
          <w:rFonts w:hint="eastAsia"/>
          <w:rtl/>
        </w:rPr>
        <w:t>לתקני</w:t>
      </w:r>
      <w:r w:rsidRPr="005D3426">
        <w:rPr>
          <w:rtl/>
        </w:rPr>
        <w:t xml:space="preserve"> </w:t>
      </w:r>
      <w:r w:rsidRPr="005D3426">
        <w:rPr>
          <w:rFonts w:hint="eastAsia"/>
          <w:rtl/>
        </w:rPr>
        <w:t>החשבונאות</w:t>
      </w:r>
      <w:r w:rsidRPr="005D3426">
        <w:rPr>
          <w:rtl/>
        </w:rPr>
        <w:t xml:space="preserve">... </w:t>
      </w:r>
      <w:r w:rsidRPr="005D3426">
        <w:rPr>
          <w:rFonts w:hint="eastAsia"/>
          <w:rtl/>
        </w:rPr>
        <w:t>פער</w:t>
      </w:r>
      <w:r w:rsidRPr="005D3426">
        <w:rPr>
          <w:rtl/>
        </w:rPr>
        <w:t xml:space="preserve"> </w:t>
      </w:r>
      <w:r>
        <w:rPr>
          <w:rFonts w:hint="cs"/>
          <w:rtl/>
        </w:rPr>
        <w:t>ה</w:t>
      </w:r>
      <w:r w:rsidRPr="005D3426">
        <w:rPr>
          <w:rFonts w:hint="eastAsia"/>
          <w:rtl/>
        </w:rPr>
        <w:t>יכול</w:t>
      </w:r>
      <w:r w:rsidRPr="005D3426">
        <w:rPr>
          <w:rtl/>
        </w:rPr>
        <w:t xml:space="preserve"> </w:t>
      </w:r>
      <w:r w:rsidRPr="005D3426">
        <w:rPr>
          <w:rFonts w:hint="eastAsia"/>
          <w:rtl/>
        </w:rPr>
        <w:t>להגיע</w:t>
      </w:r>
      <w:r w:rsidRPr="005D3426">
        <w:rPr>
          <w:rtl/>
        </w:rPr>
        <w:t xml:space="preserve"> </w:t>
      </w:r>
      <w:r w:rsidRPr="005D3426">
        <w:rPr>
          <w:rFonts w:hint="eastAsia"/>
          <w:rtl/>
        </w:rPr>
        <w:t>להיקף</w:t>
      </w:r>
      <w:r w:rsidRPr="005D3426">
        <w:rPr>
          <w:rtl/>
        </w:rPr>
        <w:t xml:space="preserve"> </w:t>
      </w:r>
      <w:r w:rsidRPr="005D3426">
        <w:rPr>
          <w:rFonts w:hint="eastAsia"/>
          <w:rtl/>
        </w:rPr>
        <w:t>כספי</w:t>
      </w:r>
      <w:r w:rsidRPr="005D3426">
        <w:rPr>
          <w:rtl/>
        </w:rPr>
        <w:t xml:space="preserve"> </w:t>
      </w:r>
      <w:r w:rsidRPr="005D3426">
        <w:rPr>
          <w:rFonts w:hint="eastAsia"/>
          <w:rtl/>
        </w:rPr>
        <w:t>ניכר</w:t>
      </w:r>
      <w:r w:rsidRPr="005D3426">
        <w:rPr>
          <w:rtl/>
        </w:rPr>
        <w:t>"</w:t>
      </w:r>
      <w:r>
        <w:rPr>
          <w:rStyle w:val="ac"/>
          <w:rtl/>
        </w:rPr>
        <w:footnoteReference w:id="43"/>
      </w:r>
      <w:r w:rsidRPr="005D3426">
        <w:rPr>
          <w:rtl/>
        </w:rPr>
        <w:t>.</w:t>
      </w:r>
    </w:p>
    <w:p w14:paraId="7F7B416B" w14:textId="77777777" w:rsidR="007C4395" w:rsidRDefault="007C4395" w:rsidP="003B2683">
      <w:pPr>
        <w:pStyle w:val="71f4"/>
        <w:rPr>
          <w:rtl/>
        </w:rPr>
      </w:pPr>
      <w:r w:rsidRPr="004A5E64">
        <w:rPr>
          <w:rFonts w:hint="cs"/>
          <w:rtl/>
        </w:rPr>
        <w:t>שיפור מערכות המידע הקשורות לרישום החייבים ולגבייה ברשות המיסים יביא לרישום מלא של הנכסים במסגרת הדוחות הכספיים, שכיום אינם מצוינים</w:t>
      </w:r>
      <w:r w:rsidRPr="004A5E64">
        <w:rPr>
          <w:rtl/>
        </w:rPr>
        <w:t>,</w:t>
      </w:r>
      <w:r w:rsidRPr="004A5E64">
        <w:rPr>
          <w:rFonts w:hint="cs"/>
          <w:rtl/>
        </w:rPr>
        <w:t xml:space="preserve"> ולהצגתם באופן נאות.</w:t>
      </w:r>
    </w:p>
    <w:p w14:paraId="3689924B" w14:textId="77777777" w:rsidR="007C4395" w:rsidRPr="007F19D1" w:rsidRDefault="007C4395" w:rsidP="002A738D">
      <w:pPr>
        <w:pStyle w:val="7190"/>
        <w:rPr>
          <w:rtl/>
        </w:rPr>
      </w:pPr>
      <w:r>
        <w:rPr>
          <w:rFonts w:hint="cs"/>
          <w:rtl/>
        </w:rPr>
        <w:t xml:space="preserve">בתשובת אגף </w:t>
      </w:r>
      <w:proofErr w:type="spellStart"/>
      <w:r>
        <w:rPr>
          <w:rFonts w:hint="cs"/>
          <w:rtl/>
        </w:rPr>
        <w:t>החשכ"ל</w:t>
      </w:r>
      <w:proofErr w:type="spellEnd"/>
      <w:r>
        <w:rPr>
          <w:rFonts w:hint="cs"/>
          <w:rtl/>
        </w:rPr>
        <w:t xml:space="preserve"> צוין כי בכוונת החשבונאית הראשית לפעול מול חשב רשות המיסים לקבלת תמונת מצב בדבר טיוב נתוני החובות, בין היתר בהקשר של מערכות המידע וטיוב והסדרה של הרישומים. עוד צוין כי האחריות להסדרת הנושא היא משותפת </w:t>
      </w:r>
      <w:proofErr w:type="spellStart"/>
      <w:r>
        <w:rPr>
          <w:rFonts w:hint="cs"/>
          <w:rtl/>
        </w:rPr>
        <w:t>לחשכ"ל</w:t>
      </w:r>
      <w:proofErr w:type="spellEnd"/>
      <w:r>
        <w:rPr>
          <w:rFonts w:hint="cs"/>
          <w:rtl/>
        </w:rPr>
        <w:t xml:space="preserve"> ולהנהלת רשות המיסים. </w:t>
      </w:r>
    </w:p>
    <w:p w14:paraId="56BE1ACA" w14:textId="77777777" w:rsidR="007C4395" w:rsidRDefault="007C4395" w:rsidP="006F4D0D">
      <w:pPr>
        <w:pStyle w:val="71414"/>
        <w:rPr>
          <w:rtl/>
        </w:rPr>
      </w:pPr>
      <w:r>
        <w:rPr>
          <w:rFonts w:hint="cs"/>
          <w:rtl/>
        </w:rPr>
        <w:t>פעילות גביית חובות על ידי משרדי הממשלה</w:t>
      </w:r>
    </w:p>
    <w:p w14:paraId="5616A587" w14:textId="77777777" w:rsidR="007C4395" w:rsidRDefault="007C4395" w:rsidP="002A738D">
      <w:pPr>
        <w:pStyle w:val="7190"/>
        <w:rPr>
          <w:rtl/>
        </w:rPr>
      </w:pPr>
      <w:r>
        <w:rPr>
          <w:rFonts w:hint="cs"/>
          <w:rtl/>
        </w:rPr>
        <w:t>סגירת יתרת החוב מתבצעת דרך גבייה של המשרד הממשלתי או של רשות האכיפה והגבייה (לה</w:t>
      </w:r>
      <w:r>
        <w:rPr>
          <w:rtl/>
        </w:rPr>
        <w:t>ל</w:t>
      </w:r>
      <w:r>
        <w:rPr>
          <w:rFonts w:hint="cs"/>
          <w:rtl/>
        </w:rPr>
        <w:t>ן - הרשות או רשות האכיפה והגבייה), דרך הגעה לפשרה</w:t>
      </w:r>
      <w:r>
        <w:rPr>
          <w:rStyle w:val="ac"/>
          <w:rtl/>
        </w:rPr>
        <w:footnoteReference w:id="44"/>
      </w:r>
      <w:r>
        <w:rPr>
          <w:rFonts w:hint="cs"/>
          <w:rtl/>
        </w:rPr>
        <w:t xml:space="preserve"> או דרך הסדר חוב</w:t>
      </w:r>
      <w:r>
        <w:rPr>
          <w:rStyle w:val="ac"/>
          <w:rtl/>
        </w:rPr>
        <w:footnoteReference w:id="45"/>
      </w:r>
      <w:r>
        <w:rPr>
          <w:rFonts w:hint="cs"/>
          <w:rtl/>
        </w:rPr>
        <w:t xml:space="preserve"> (לרבות מחיקה). בד בבד, ועד לסגירת יתרת החוב בספרים, מבוצע טיפול חשבונאי שמקבל ביטוי ברישום הפרשה לחובות מסופקים ביחס לסכומים שגבייתם מוטלת בספק (לצורך כך נעזרים בדוח גיול של החובות השונים).</w:t>
      </w:r>
    </w:p>
    <w:p w14:paraId="3DD90655" w14:textId="77777777" w:rsidR="007C4395" w:rsidRDefault="007C4395" w:rsidP="007C4395">
      <w:pPr>
        <w:bidi w:val="0"/>
        <w:spacing w:after="200" w:line="276" w:lineRule="auto"/>
        <w:rPr>
          <w:rtl/>
        </w:rPr>
      </w:pPr>
      <w:r>
        <w:rPr>
          <w:rtl/>
        </w:rPr>
        <w:br w:type="page"/>
      </w:r>
    </w:p>
    <w:p w14:paraId="49D4BFFF" w14:textId="77777777" w:rsidR="007C4395" w:rsidRDefault="007C4395" w:rsidP="006F4D0D">
      <w:pPr>
        <w:pStyle w:val="71512"/>
        <w:rPr>
          <w:rtl/>
        </w:rPr>
      </w:pPr>
      <w:r>
        <w:rPr>
          <w:rFonts w:hint="cs"/>
          <w:rtl/>
        </w:rPr>
        <w:lastRenderedPageBreak/>
        <w:t>פרויקט טיוב נתונים וגבייה של החובות למשרדי הממשלה</w:t>
      </w:r>
    </w:p>
    <w:p w14:paraId="01D680AB" w14:textId="77777777" w:rsidR="007C4395" w:rsidRDefault="007C4395" w:rsidP="002A738D">
      <w:pPr>
        <w:pStyle w:val="7190"/>
        <w:rPr>
          <w:rtl/>
        </w:rPr>
      </w:pPr>
      <w:r>
        <w:rPr>
          <w:rFonts w:hint="cs"/>
          <w:rtl/>
        </w:rPr>
        <w:t>החלטת ממשלה</w:t>
      </w:r>
      <w:r>
        <w:rPr>
          <w:rStyle w:val="ac"/>
          <w:rtl/>
        </w:rPr>
        <w:footnoteReference w:id="46"/>
      </w:r>
      <w:r>
        <w:rPr>
          <w:rFonts w:hint="cs"/>
          <w:rtl/>
        </w:rPr>
        <w:t xml:space="preserve"> משנת 2013 בנושא "העמקת פעילות גביית החובות בממשלה" (לה</w:t>
      </w:r>
      <w:r>
        <w:rPr>
          <w:rtl/>
        </w:rPr>
        <w:t>ל</w:t>
      </w:r>
      <w:r>
        <w:rPr>
          <w:rFonts w:hint="cs"/>
          <w:rtl/>
        </w:rPr>
        <w:t xml:space="preserve">ן - החלטת הממשלה בנושא הגבייה) קבעה כי יש להקים מערך גבייה ממשלתי אשר יפעל לאפיון, לטיוב ולגבייה של החובות השונים למשרדי הממשלה. מערך הגבייה יכלול </w:t>
      </w:r>
      <w:proofErr w:type="spellStart"/>
      <w:r>
        <w:rPr>
          <w:rFonts w:hint="cs"/>
          <w:rtl/>
        </w:rPr>
        <w:t>מינהלת</w:t>
      </w:r>
      <w:proofErr w:type="spellEnd"/>
      <w:r>
        <w:rPr>
          <w:rFonts w:hint="cs"/>
          <w:rtl/>
        </w:rPr>
        <w:t xml:space="preserve"> יישום (לה</w:t>
      </w:r>
      <w:r>
        <w:rPr>
          <w:rtl/>
        </w:rPr>
        <w:t>ל</w:t>
      </w:r>
      <w:r>
        <w:rPr>
          <w:rFonts w:hint="cs"/>
          <w:rtl/>
        </w:rPr>
        <w:t xml:space="preserve">ן - </w:t>
      </w:r>
      <w:proofErr w:type="spellStart"/>
      <w:r>
        <w:rPr>
          <w:rFonts w:hint="cs"/>
          <w:rtl/>
        </w:rPr>
        <w:t>המינהלה</w:t>
      </w:r>
      <w:proofErr w:type="spellEnd"/>
      <w:r>
        <w:rPr>
          <w:rFonts w:hint="cs"/>
          <w:rtl/>
        </w:rPr>
        <w:t xml:space="preserve"> או </w:t>
      </w:r>
      <w:proofErr w:type="spellStart"/>
      <w:r>
        <w:rPr>
          <w:rFonts w:hint="cs"/>
          <w:rtl/>
        </w:rPr>
        <w:t>מינהלת</w:t>
      </w:r>
      <w:proofErr w:type="spellEnd"/>
      <w:r>
        <w:rPr>
          <w:rFonts w:hint="cs"/>
          <w:rtl/>
        </w:rPr>
        <w:t xml:space="preserve"> היישום) האמונה על יישום החלטת הממשלה, ובראשה</w:t>
      </w:r>
      <w:r>
        <w:t xml:space="preserve"> </w:t>
      </w:r>
      <w:r>
        <w:rPr>
          <w:rFonts w:hint="cs"/>
          <w:rtl/>
        </w:rPr>
        <w:t>יעמדו החשבת הכללית במשרד האוצר ומנהל רשות האכיפה והגבייה במשרד המשפטים</w:t>
      </w:r>
      <w:r>
        <w:rPr>
          <w:rStyle w:val="ac"/>
          <w:rtl/>
        </w:rPr>
        <w:footnoteReference w:id="47"/>
      </w:r>
      <w:r>
        <w:rPr>
          <w:rFonts w:hint="cs"/>
          <w:rtl/>
        </w:rPr>
        <w:t>.</w:t>
      </w:r>
    </w:p>
    <w:p w14:paraId="1D12CA3C" w14:textId="77777777" w:rsidR="007C4395" w:rsidRDefault="007C4395" w:rsidP="002A738D">
      <w:pPr>
        <w:pStyle w:val="7190"/>
        <w:rPr>
          <w:rtl/>
        </w:rPr>
      </w:pPr>
      <w:r>
        <w:rPr>
          <w:rFonts w:hint="cs"/>
          <w:rtl/>
        </w:rPr>
        <w:t xml:space="preserve">סעיף 2 להחלטת הממשלה בנושא הגבייה קובע כי אחד מתפקידי </w:t>
      </w:r>
      <w:proofErr w:type="spellStart"/>
      <w:r>
        <w:rPr>
          <w:rFonts w:hint="cs"/>
          <w:rtl/>
        </w:rPr>
        <w:t>המינהלה</w:t>
      </w:r>
      <w:proofErr w:type="spellEnd"/>
      <w:r>
        <w:rPr>
          <w:rFonts w:hint="cs"/>
          <w:rtl/>
        </w:rPr>
        <w:t xml:space="preserve"> יהיה לקבוע לגבי כל אחד ממשרדי הממשלה תוכנית עבודה הכוללת יעדים, מדדים ולוחות זמנים לאפיון ולטיוב של חובות המשרדים והעברת החובות לגבייה.</w:t>
      </w:r>
    </w:p>
    <w:p w14:paraId="74E5166B" w14:textId="77777777" w:rsidR="007C4395" w:rsidRDefault="007C4395" w:rsidP="002A738D">
      <w:pPr>
        <w:pStyle w:val="7190"/>
        <w:rPr>
          <w:rtl/>
        </w:rPr>
      </w:pPr>
      <w:r>
        <w:rPr>
          <w:rFonts w:hint="cs"/>
          <w:rtl/>
        </w:rPr>
        <w:t xml:space="preserve">במענה אגף </w:t>
      </w:r>
      <w:proofErr w:type="spellStart"/>
      <w:r>
        <w:rPr>
          <w:rFonts w:hint="cs"/>
          <w:rtl/>
        </w:rPr>
        <w:t>החשכ"ל</w:t>
      </w:r>
      <w:proofErr w:type="spellEnd"/>
      <w:r>
        <w:rPr>
          <w:rFonts w:hint="cs"/>
          <w:rtl/>
        </w:rPr>
        <w:t xml:space="preserve"> לשאלות נציגי משרד מבקר המדינה מאוגוסט 2021 (להלן - מענה </w:t>
      </w:r>
      <w:proofErr w:type="spellStart"/>
      <w:r>
        <w:rPr>
          <w:rFonts w:hint="cs"/>
          <w:rtl/>
        </w:rPr>
        <w:t>החשכ"ל</w:t>
      </w:r>
      <w:proofErr w:type="spellEnd"/>
      <w:r>
        <w:rPr>
          <w:rFonts w:hint="cs"/>
          <w:rtl/>
        </w:rPr>
        <w:t xml:space="preserve"> מאוגוסט 2021), צוין כי בוצע פרויקט לטיוב הנתונים ולקידום פעולות הגבייה ב-55 משרדי ממשלה ויחידות סמך. פרויקט זה חולק לשני שלבים: (א) שלב א', שכלל מיפוי, אפיון, גיול וניתוח של נתוני החובות ושל הליכי הטיפול בחובות חייבים למשרד הממשלתי. שלב זה כלל הכנת דוח סופי המכיל המלצות בכל הנוגע לתהליכים הקשורים לגביית החובות, החל משלב יצירת החוב ועד לגבייתו בפועל, לרבות המלצות לביצוע עבודות או פרויקטים במשרד הממשלתי בקשר עם כל האמור; (א) שלב ב', שכלל ליווי הליך יישום ההמלצות, לרבות טיוב הנתונים והכנת חובות המשרד הממשלתי לגבייה או למחיקה בהתאם להחלטה ולהנחיה של מנכ"ל המשרד הממשלתי המזמין ובהתאם לכל דין</w:t>
      </w:r>
      <w:r>
        <w:rPr>
          <w:rStyle w:val="ac"/>
          <w:rtl/>
        </w:rPr>
        <w:footnoteReference w:id="48"/>
      </w:r>
      <w:r>
        <w:rPr>
          <w:rFonts w:hint="cs"/>
          <w:rtl/>
        </w:rPr>
        <w:t>.</w:t>
      </w:r>
    </w:p>
    <w:p w14:paraId="139A07AD" w14:textId="77777777" w:rsidR="007C4395" w:rsidRDefault="007C4395" w:rsidP="002A738D">
      <w:pPr>
        <w:pStyle w:val="7190"/>
        <w:rPr>
          <w:rtl/>
        </w:rPr>
      </w:pPr>
      <w:r>
        <w:rPr>
          <w:rFonts w:hint="cs"/>
          <w:rtl/>
        </w:rPr>
        <w:t xml:space="preserve">במענה </w:t>
      </w:r>
      <w:proofErr w:type="spellStart"/>
      <w:r>
        <w:rPr>
          <w:rFonts w:hint="cs"/>
          <w:rtl/>
        </w:rPr>
        <w:t>רמ"י</w:t>
      </w:r>
      <w:proofErr w:type="spellEnd"/>
      <w:r>
        <w:rPr>
          <w:rFonts w:hint="cs"/>
          <w:rtl/>
        </w:rPr>
        <w:t xml:space="preserve"> על שאלות נציגי משרד מבקר המדינה מיולי 2021, צוין כי בוצע שלב א', שכלל מיפוי של כלל החובות, ולאחריו נכתבה תוכנית אסטרטגית </w:t>
      </w:r>
      <w:proofErr w:type="spellStart"/>
      <w:r>
        <w:rPr>
          <w:rFonts w:hint="cs"/>
          <w:rtl/>
        </w:rPr>
        <w:t>בחשבות</w:t>
      </w:r>
      <w:proofErr w:type="spellEnd"/>
      <w:r>
        <w:rPr>
          <w:rFonts w:hint="cs"/>
          <w:rtl/>
        </w:rPr>
        <w:t xml:space="preserve"> לטיפול בחובות, וכי כיום </w:t>
      </w:r>
      <w:proofErr w:type="spellStart"/>
      <w:r>
        <w:rPr>
          <w:rFonts w:hint="cs"/>
          <w:rtl/>
        </w:rPr>
        <w:t>רמ"י</w:t>
      </w:r>
      <w:proofErr w:type="spellEnd"/>
      <w:r>
        <w:rPr>
          <w:rFonts w:hint="cs"/>
          <w:rtl/>
        </w:rPr>
        <w:t xml:space="preserve"> נמצאת בעיצומו של שלב ב' המבוצע על ידי משרד רו"ח חיצוני המעסיק שמונָה רואי חשבון המטפלים בגביית חובות הרשות.</w:t>
      </w:r>
    </w:p>
    <w:p w14:paraId="1725349E" w14:textId="77777777" w:rsidR="007C4395" w:rsidRDefault="007C4395" w:rsidP="002A738D">
      <w:pPr>
        <w:pStyle w:val="7190"/>
        <w:rPr>
          <w:rtl/>
        </w:rPr>
      </w:pPr>
      <w:r>
        <w:rPr>
          <w:rFonts w:hint="cs"/>
          <w:rtl/>
        </w:rPr>
        <w:t>במענה משרד הבריאות לשאלות נציגי משרד מבקר המדינה מיולי 2021, צוין כי המשרד נמצא בעיצומו של פרויקט הגבייה בשלוש לשכות בריאות באמצעות משרד רו"ח ובעתיד יורחב לכל שבע לשכות הבריאות.</w:t>
      </w:r>
    </w:p>
    <w:p w14:paraId="096050CB" w14:textId="77777777" w:rsidR="007C4395" w:rsidRDefault="007C4395" w:rsidP="002A738D">
      <w:pPr>
        <w:pStyle w:val="7190"/>
        <w:rPr>
          <w:rtl/>
        </w:rPr>
      </w:pPr>
      <w:r>
        <w:rPr>
          <w:rFonts w:hint="cs"/>
          <w:rtl/>
        </w:rPr>
        <w:t>במענה משרד הכלכלה והתעשייה לשאלות נציגי משרד מבקר המדינה מאוקטובר 2021, צוין כי אין דוח מעודכן למעט הדוח שהוכן בשלב א'.</w:t>
      </w:r>
    </w:p>
    <w:p w14:paraId="4F08227C" w14:textId="77777777" w:rsidR="007C4395" w:rsidRDefault="007C4395" w:rsidP="002A738D">
      <w:pPr>
        <w:pStyle w:val="7190"/>
        <w:rPr>
          <w:rtl/>
        </w:rPr>
      </w:pPr>
      <w:r>
        <w:rPr>
          <w:rFonts w:hint="cs"/>
          <w:rtl/>
        </w:rPr>
        <w:t xml:space="preserve">במענה המשרד לביטחון הפנים לשאלות נציגי משרד מבקר המדינה מיולי 2021, צוין כי משרד רו"ח שזכה במכרז של </w:t>
      </w:r>
      <w:proofErr w:type="spellStart"/>
      <w:r>
        <w:rPr>
          <w:rFonts w:hint="cs"/>
          <w:rtl/>
        </w:rPr>
        <w:t>החשכ"ל</w:t>
      </w:r>
      <w:proofErr w:type="spellEnd"/>
      <w:r>
        <w:rPr>
          <w:rFonts w:hint="cs"/>
          <w:rtl/>
        </w:rPr>
        <w:t xml:space="preserve"> לצורך עריכת שלב א' הגיש את המלצותיו לחשב הכללי בדוח מפברואר 2016. המסקנות העיקריות בדוח היו כי כדי להעמיק את הגבייה בכבאות, נדרש לשפר את מערכות המחשוב השונות ואת המבנה הארגוני של הכבאות העוסק בהכנסות מגבייה. לצורך </w:t>
      </w:r>
      <w:r>
        <w:rPr>
          <w:rFonts w:hint="cs"/>
          <w:rtl/>
        </w:rPr>
        <w:lastRenderedPageBreak/>
        <w:t xml:space="preserve">יישום המסקנות העיקריות בדוח שלב א' התקשר המשרד עם חברה נוספת, אך לימים הופסקה הפעילות בהחלטת אגף </w:t>
      </w:r>
      <w:proofErr w:type="spellStart"/>
      <w:r>
        <w:rPr>
          <w:rFonts w:hint="cs"/>
          <w:rtl/>
        </w:rPr>
        <w:t>החשכ"ל</w:t>
      </w:r>
      <w:proofErr w:type="spellEnd"/>
      <w:r>
        <w:rPr>
          <w:rFonts w:hint="cs"/>
          <w:rtl/>
        </w:rPr>
        <w:t>.</w:t>
      </w:r>
    </w:p>
    <w:p w14:paraId="061FC55E" w14:textId="77777777" w:rsidR="007C4395" w:rsidRDefault="007C4395" w:rsidP="003B2683">
      <w:pPr>
        <w:pStyle w:val="71f4"/>
        <w:rPr>
          <w:rtl/>
        </w:rPr>
      </w:pPr>
      <w:r w:rsidRPr="00903066">
        <w:rPr>
          <w:rFonts w:hint="cs"/>
          <w:rtl/>
        </w:rPr>
        <w:t xml:space="preserve">מומלץ כי אגף </w:t>
      </w:r>
      <w:proofErr w:type="spellStart"/>
      <w:r w:rsidRPr="00903066">
        <w:rPr>
          <w:rFonts w:hint="cs"/>
          <w:rtl/>
        </w:rPr>
        <w:t>החשכ"ל</w:t>
      </w:r>
      <w:proofErr w:type="spellEnd"/>
      <w:r w:rsidRPr="00903066">
        <w:rPr>
          <w:rFonts w:hint="cs"/>
          <w:rtl/>
        </w:rPr>
        <w:t xml:space="preserve"> יפעל להשל</w:t>
      </w:r>
      <w:r>
        <w:rPr>
          <w:rFonts w:hint="cs"/>
          <w:rtl/>
        </w:rPr>
        <w:t>מ</w:t>
      </w:r>
      <w:r w:rsidRPr="00903066">
        <w:rPr>
          <w:rFonts w:hint="cs"/>
          <w:rtl/>
        </w:rPr>
        <w:t>ת הפרויקט לטיוב הנתונים ו</w:t>
      </w:r>
      <w:r>
        <w:rPr>
          <w:rFonts w:hint="cs"/>
          <w:rtl/>
        </w:rPr>
        <w:t>ל</w:t>
      </w:r>
      <w:r w:rsidRPr="00903066">
        <w:rPr>
          <w:rFonts w:hint="cs"/>
          <w:rtl/>
        </w:rPr>
        <w:t>קידום פעולות הגבייה ב</w:t>
      </w:r>
      <w:r>
        <w:rPr>
          <w:rFonts w:hint="cs"/>
          <w:rtl/>
        </w:rPr>
        <w:t>כלל</w:t>
      </w:r>
      <w:r w:rsidRPr="00903066">
        <w:rPr>
          <w:rFonts w:hint="cs"/>
          <w:rtl/>
        </w:rPr>
        <w:t xml:space="preserve"> משרדי הממשלה ויחידות הסמך</w:t>
      </w:r>
      <w:r>
        <w:rPr>
          <w:rFonts w:hint="cs"/>
          <w:rtl/>
        </w:rPr>
        <w:t>, בפרט באלו שבהם יתרות חוב גבוהות.</w:t>
      </w:r>
    </w:p>
    <w:p w14:paraId="2D886D3F" w14:textId="77777777" w:rsidR="007C4395" w:rsidRPr="002711D1" w:rsidRDefault="007C4395" w:rsidP="002A738D">
      <w:pPr>
        <w:pStyle w:val="7190"/>
        <w:rPr>
          <w:rtl/>
        </w:rPr>
      </w:pPr>
      <w:r>
        <w:rPr>
          <w:rFonts w:hint="cs"/>
          <w:rtl/>
        </w:rPr>
        <w:t xml:space="preserve">אגף </w:t>
      </w:r>
      <w:proofErr w:type="spellStart"/>
      <w:r>
        <w:rPr>
          <w:rFonts w:hint="cs"/>
          <w:rtl/>
        </w:rPr>
        <w:t>החשכ"ל</w:t>
      </w:r>
      <w:proofErr w:type="spellEnd"/>
      <w:r>
        <w:rPr>
          <w:rFonts w:hint="cs"/>
          <w:rtl/>
        </w:rPr>
        <w:t xml:space="preserve"> ציין בתשובתו כי החשב הכללי פועל לכך באופן שוטף, ובכלל זה מקיים ישיבות עם משרדי רואי חשבון וחברות גבייה לשם בחינת הכנסת צוותים ממוקדים לטיפול בתהליכי הגבייה ולהשלמת הגבייה בפועל.</w:t>
      </w:r>
    </w:p>
    <w:p w14:paraId="65D3C680" w14:textId="77777777" w:rsidR="007C4395" w:rsidRDefault="007C4395" w:rsidP="006F4D0D">
      <w:pPr>
        <w:pStyle w:val="71512"/>
        <w:rPr>
          <w:rtl/>
        </w:rPr>
      </w:pPr>
      <w:r>
        <w:rPr>
          <w:rFonts w:hint="cs"/>
          <w:rtl/>
        </w:rPr>
        <w:t>מערכות המחשוב של משרדי הממשלה לניהול החובות לגבייה</w:t>
      </w:r>
    </w:p>
    <w:p w14:paraId="08731AAF" w14:textId="77777777" w:rsidR="007C4395" w:rsidRDefault="007C4395" w:rsidP="002A738D">
      <w:pPr>
        <w:pStyle w:val="7190"/>
        <w:rPr>
          <w:rtl/>
        </w:rPr>
      </w:pPr>
      <w:r>
        <w:rPr>
          <w:rFonts w:hint="cs"/>
          <w:rtl/>
        </w:rPr>
        <w:t xml:space="preserve">סעיף 2 להחלטת הממשלה בנושא הגבייה קובע כי על </w:t>
      </w:r>
      <w:proofErr w:type="spellStart"/>
      <w:r>
        <w:rPr>
          <w:rFonts w:hint="cs"/>
          <w:rtl/>
        </w:rPr>
        <w:t>המינהלה</w:t>
      </w:r>
      <w:proofErr w:type="spellEnd"/>
      <w:r>
        <w:rPr>
          <w:rFonts w:hint="cs"/>
          <w:rtl/>
        </w:rPr>
        <w:t xml:space="preserve"> לקבוע את ההתאמות הנדרשות במערכות המחשוב לצורך העברת החובות לגבייה ולניהול החובות בכלל, ובמידת הצורך להורות למנהלים הכלליים של המשרדים לפעול להתאמת מערכות המחשוב כאמור. </w:t>
      </w:r>
    </w:p>
    <w:p w14:paraId="42D35A8E" w14:textId="77777777" w:rsidR="007C4395" w:rsidRDefault="007C4395" w:rsidP="002A738D">
      <w:pPr>
        <w:pStyle w:val="7190"/>
        <w:rPr>
          <w:rtl/>
        </w:rPr>
      </w:pPr>
      <w:r w:rsidRPr="002222ED">
        <w:rPr>
          <w:rFonts w:hint="cs"/>
          <w:rtl/>
        </w:rPr>
        <w:t xml:space="preserve">ממסמך של אגף </w:t>
      </w:r>
      <w:proofErr w:type="spellStart"/>
      <w:r w:rsidRPr="002222ED">
        <w:rPr>
          <w:rFonts w:hint="cs"/>
          <w:rtl/>
        </w:rPr>
        <w:t>החשכ"ל</w:t>
      </w:r>
      <w:proofErr w:type="spellEnd"/>
      <w:r w:rsidRPr="002222ED">
        <w:rPr>
          <w:rFonts w:hint="cs"/>
          <w:rtl/>
        </w:rPr>
        <w:t xml:space="preserve"> מיולי 2021 בנושא מודול גבייה רוחבי למשרדי הממשלה</w:t>
      </w:r>
      <w:r>
        <w:rPr>
          <w:rFonts w:hint="cs"/>
          <w:rtl/>
        </w:rPr>
        <w:t xml:space="preserve"> (להלן - מסמך של אגף </w:t>
      </w:r>
      <w:proofErr w:type="spellStart"/>
      <w:r>
        <w:rPr>
          <w:rFonts w:hint="cs"/>
          <w:rtl/>
        </w:rPr>
        <w:t>החשכ"ל</w:t>
      </w:r>
      <w:proofErr w:type="spellEnd"/>
      <w:r>
        <w:rPr>
          <w:rFonts w:hint="cs"/>
          <w:rtl/>
        </w:rPr>
        <w:t xml:space="preserve"> בנושא גבייה),</w:t>
      </w:r>
      <w:r w:rsidRPr="002222ED">
        <w:rPr>
          <w:rFonts w:hint="cs"/>
          <w:rtl/>
        </w:rPr>
        <w:t xml:space="preserve"> עולה כי ברוב </w:t>
      </w:r>
      <w:r>
        <w:rPr>
          <w:rFonts w:hint="cs"/>
          <w:rtl/>
        </w:rPr>
        <w:t>ה</w:t>
      </w:r>
      <w:r w:rsidRPr="002222ED">
        <w:rPr>
          <w:rFonts w:hint="cs"/>
          <w:rtl/>
        </w:rPr>
        <w:t>משרדי</w:t>
      </w:r>
      <w:r>
        <w:rPr>
          <w:rFonts w:hint="cs"/>
          <w:rtl/>
        </w:rPr>
        <w:t>ם</w:t>
      </w:r>
      <w:r w:rsidRPr="002222ED">
        <w:rPr>
          <w:rFonts w:hint="cs"/>
          <w:rtl/>
        </w:rPr>
        <w:t xml:space="preserve"> תהליכי הגבייה מתבצעים באמצעות מערכות שמנהלות את התהליך המקצועי בכללותו, כך שרישום החייבים, ניהול החוב והגבייה אינם מתבצעים </w:t>
      </w:r>
      <w:proofErr w:type="spellStart"/>
      <w:r w:rsidRPr="002222ED">
        <w:rPr>
          <w:rFonts w:hint="cs"/>
          <w:rtl/>
        </w:rPr>
        <w:t>במרכב"ה</w:t>
      </w:r>
      <w:proofErr w:type="spellEnd"/>
      <w:r>
        <w:rPr>
          <w:rFonts w:hint="cs"/>
          <w:rtl/>
        </w:rPr>
        <w:t>.</w:t>
      </w:r>
      <w:r w:rsidRPr="002222ED">
        <w:rPr>
          <w:rFonts w:hint="cs"/>
          <w:rtl/>
        </w:rPr>
        <w:t xml:space="preserve"> </w:t>
      </w:r>
      <w:r>
        <w:rPr>
          <w:rFonts w:hint="cs"/>
          <w:rtl/>
        </w:rPr>
        <w:t xml:space="preserve">לדוגמה, על פי נתוני אגף </w:t>
      </w:r>
      <w:proofErr w:type="spellStart"/>
      <w:r>
        <w:rPr>
          <w:rFonts w:hint="cs"/>
          <w:rtl/>
        </w:rPr>
        <w:t>החשכ"ל</w:t>
      </w:r>
      <w:proofErr w:type="spellEnd"/>
      <w:r>
        <w:rPr>
          <w:rFonts w:hint="cs"/>
          <w:rtl/>
        </w:rPr>
        <w:t xml:space="preserve">, 64% מכלל החיובים במשרדי הממשלה אינם מנוהלים באמצעות </w:t>
      </w:r>
      <w:proofErr w:type="spellStart"/>
      <w:r>
        <w:rPr>
          <w:rFonts w:hint="cs"/>
          <w:rtl/>
        </w:rPr>
        <w:t>מרכב"ה</w:t>
      </w:r>
      <w:proofErr w:type="spellEnd"/>
      <w:r>
        <w:rPr>
          <w:rFonts w:hint="cs"/>
          <w:rtl/>
        </w:rPr>
        <w:t xml:space="preserve"> ובנוסף לכך 44% מהם נוצרים ידנית. כמו כן, יש 56 מערכות לוויין המנהלות תהליכי גבייה שרובן אינן מתממשקות למערכת </w:t>
      </w:r>
      <w:proofErr w:type="spellStart"/>
      <w:r>
        <w:rPr>
          <w:rFonts w:hint="cs"/>
          <w:rtl/>
        </w:rPr>
        <w:t>מרכב"ה</w:t>
      </w:r>
      <w:proofErr w:type="spellEnd"/>
      <w:r>
        <w:rPr>
          <w:rStyle w:val="ac"/>
          <w:rtl/>
        </w:rPr>
        <w:footnoteReference w:id="49"/>
      </w:r>
      <w:r>
        <w:rPr>
          <w:rFonts w:hint="cs"/>
          <w:rtl/>
        </w:rPr>
        <w:t>.</w:t>
      </w:r>
    </w:p>
    <w:p w14:paraId="4145CF27" w14:textId="77777777" w:rsidR="007C4395" w:rsidRPr="001369E1" w:rsidRDefault="007C4395" w:rsidP="002A738D">
      <w:pPr>
        <w:pStyle w:val="7190"/>
        <w:rPr>
          <w:rtl/>
        </w:rPr>
      </w:pPr>
      <w:r w:rsidRPr="001369E1">
        <w:rPr>
          <w:rFonts w:hint="cs"/>
          <w:rtl/>
        </w:rPr>
        <w:t xml:space="preserve">בתשובת אגף </w:t>
      </w:r>
      <w:proofErr w:type="spellStart"/>
      <w:r w:rsidRPr="001369E1">
        <w:rPr>
          <w:rFonts w:hint="cs"/>
          <w:rtl/>
        </w:rPr>
        <w:t>החשכ"ל</w:t>
      </w:r>
      <w:proofErr w:type="spellEnd"/>
      <w:r w:rsidRPr="001369E1">
        <w:rPr>
          <w:rFonts w:hint="cs"/>
          <w:rtl/>
        </w:rPr>
        <w:t xml:space="preserve"> צוין כי </w:t>
      </w:r>
      <w:r w:rsidRPr="001369E1">
        <w:rPr>
          <w:rtl/>
        </w:rPr>
        <w:t xml:space="preserve">הוראת </w:t>
      </w:r>
      <w:proofErr w:type="spellStart"/>
      <w:r w:rsidRPr="001369E1">
        <w:rPr>
          <w:rtl/>
        </w:rPr>
        <w:t>תכ״ם</w:t>
      </w:r>
      <w:proofErr w:type="spellEnd"/>
      <w:r w:rsidRPr="001369E1">
        <w:rPr>
          <w:rtl/>
        </w:rPr>
        <w:t xml:space="preserve"> 3.3.1 בנושא הגבייה מכווינה את משרדי הממשלה לביצוע גבייה אפקטיבית ו</w:t>
      </w:r>
      <w:r w:rsidRPr="001369E1">
        <w:rPr>
          <w:rFonts w:hint="cs"/>
          <w:rtl/>
        </w:rPr>
        <w:t>ל</w:t>
      </w:r>
      <w:r w:rsidRPr="001369E1">
        <w:rPr>
          <w:rtl/>
        </w:rPr>
        <w:t>בחינה אחת לשנה,</w:t>
      </w:r>
      <w:r w:rsidRPr="001369E1">
        <w:rPr>
          <w:rFonts w:hint="cs"/>
          <w:rtl/>
        </w:rPr>
        <w:t xml:space="preserve"> בשיתוף</w:t>
      </w:r>
      <w:r w:rsidRPr="001369E1">
        <w:rPr>
          <w:rtl/>
        </w:rPr>
        <w:t xml:space="preserve"> מנכ״ל המשרד</w:t>
      </w:r>
      <w:r w:rsidRPr="001369E1">
        <w:rPr>
          <w:rFonts w:hint="cs"/>
          <w:rtl/>
        </w:rPr>
        <w:t xml:space="preserve"> הרלוונטי</w:t>
      </w:r>
      <w:r w:rsidRPr="001369E1">
        <w:rPr>
          <w:rtl/>
        </w:rPr>
        <w:t xml:space="preserve">, אם קיימים חובות שעתידים להתיישן או שהבשילו להעברה לגבייה באמצעות גופי האכיפה השונים. כך משרדי הממשלה, באמצעות הכלים </w:t>
      </w:r>
      <w:r w:rsidRPr="001369E1">
        <w:rPr>
          <w:rFonts w:hint="cs"/>
          <w:rtl/>
        </w:rPr>
        <w:t>שנותן להם</w:t>
      </w:r>
      <w:r w:rsidRPr="001369E1">
        <w:rPr>
          <w:rtl/>
        </w:rPr>
        <w:t xml:space="preserve"> החשב הכללי והעקרונות המקצועיים</w:t>
      </w:r>
      <w:r w:rsidRPr="001369E1">
        <w:rPr>
          <w:rFonts w:hint="cs"/>
          <w:rtl/>
        </w:rPr>
        <w:t xml:space="preserve"> שהוא מנחה אותם לפעול לפיהם</w:t>
      </w:r>
      <w:r w:rsidRPr="001369E1">
        <w:rPr>
          <w:rtl/>
        </w:rPr>
        <w:t>, בוחנים את התיישנות החובות וסוגרים מעגל ל</w:t>
      </w:r>
      <w:r w:rsidRPr="001369E1">
        <w:rPr>
          <w:rFonts w:hint="cs"/>
          <w:rtl/>
        </w:rPr>
        <w:t>גבי ה</w:t>
      </w:r>
      <w:r w:rsidRPr="001369E1">
        <w:rPr>
          <w:rtl/>
        </w:rPr>
        <w:t xml:space="preserve">טיפול בהם. </w:t>
      </w:r>
      <w:r w:rsidRPr="001369E1">
        <w:rPr>
          <w:rFonts w:hint="cs"/>
          <w:rtl/>
        </w:rPr>
        <w:t xml:space="preserve">אגף </w:t>
      </w:r>
      <w:proofErr w:type="spellStart"/>
      <w:r w:rsidRPr="001369E1">
        <w:rPr>
          <w:rFonts w:hint="cs"/>
          <w:rtl/>
        </w:rPr>
        <w:t>החשכ"ל</w:t>
      </w:r>
      <w:proofErr w:type="spellEnd"/>
      <w:r w:rsidRPr="001369E1">
        <w:rPr>
          <w:rFonts w:hint="cs"/>
          <w:rtl/>
        </w:rPr>
        <w:t xml:space="preserve"> הוסיף כי </w:t>
      </w:r>
      <w:r w:rsidRPr="001369E1">
        <w:rPr>
          <w:rtl/>
        </w:rPr>
        <w:t xml:space="preserve">הנחיות אלו רלוונטיות ליישום על ידי הגופים הממשלתיים הן במקרים </w:t>
      </w:r>
      <w:r w:rsidRPr="001369E1">
        <w:rPr>
          <w:rFonts w:hint="cs"/>
          <w:rtl/>
        </w:rPr>
        <w:t>ש</w:t>
      </w:r>
      <w:r w:rsidRPr="001369E1">
        <w:rPr>
          <w:rtl/>
        </w:rPr>
        <w:t xml:space="preserve">בהם החובות מנוהלים במערכת </w:t>
      </w:r>
      <w:proofErr w:type="spellStart"/>
      <w:r w:rsidRPr="001369E1">
        <w:rPr>
          <w:rtl/>
        </w:rPr>
        <w:t>מרכב״ה</w:t>
      </w:r>
      <w:proofErr w:type="spellEnd"/>
      <w:r w:rsidRPr="001369E1">
        <w:rPr>
          <w:rtl/>
        </w:rPr>
        <w:t xml:space="preserve"> והן במקרים </w:t>
      </w:r>
      <w:r w:rsidRPr="001369E1">
        <w:rPr>
          <w:rFonts w:hint="cs"/>
          <w:rtl/>
        </w:rPr>
        <w:t>ש</w:t>
      </w:r>
      <w:r w:rsidRPr="001369E1">
        <w:rPr>
          <w:rtl/>
        </w:rPr>
        <w:t>בהם החובות מנוהלים במערכות ייעודיות של המשרד</w:t>
      </w:r>
      <w:r w:rsidRPr="001369E1">
        <w:rPr>
          <w:rFonts w:hint="cs"/>
          <w:rtl/>
        </w:rPr>
        <w:t xml:space="preserve"> הרלוונטי</w:t>
      </w:r>
      <w:r w:rsidRPr="001369E1">
        <w:rPr>
          <w:rtl/>
        </w:rPr>
        <w:t>.</w:t>
      </w:r>
    </w:p>
    <w:p w14:paraId="2E28F5A4" w14:textId="77777777" w:rsidR="007C4395" w:rsidRPr="00AF5F57" w:rsidRDefault="007C4395" w:rsidP="002A738D">
      <w:pPr>
        <w:pStyle w:val="7190"/>
        <w:rPr>
          <w:rtl/>
        </w:rPr>
      </w:pPr>
      <w:r>
        <w:rPr>
          <w:rFonts w:hint="cs"/>
          <w:rtl/>
        </w:rPr>
        <w:t>יצוין כי</w:t>
      </w:r>
      <w:r w:rsidRPr="00AF5F57">
        <w:rPr>
          <w:rFonts w:hint="cs"/>
          <w:rtl/>
        </w:rPr>
        <w:t xml:space="preserve"> במצב הקיים, </w:t>
      </w:r>
      <w:r>
        <w:rPr>
          <w:rFonts w:hint="cs"/>
          <w:rtl/>
        </w:rPr>
        <w:t>ש</w:t>
      </w:r>
      <w:r w:rsidRPr="00AF5F57">
        <w:rPr>
          <w:rFonts w:hint="cs"/>
          <w:rtl/>
        </w:rPr>
        <w:t xml:space="preserve">בו לא כל תהליך ניהול החוב והגבייה של המשרדים נעשה באמצעות מערכת </w:t>
      </w:r>
      <w:proofErr w:type="spellStart"/>
      <w:r w:rsidRPr="00AF5F57">
        <w:rPr>
          <w:rFonts w:hint="cs"/>
          <w:rtl/>
        </w:rPr>
        <w:t>מרכב"ה</w:t>
      </w:r>
      <w:proofErr w:type="spellEnd"/>
      <w:r w:rsidRPr="00AF5F57">
        <w:rPr>
          <w:rFonts w:hint="cs"/>
          <w:rtl/>
        </w:rPr>
        <w:t xml:space="preserve">, יש פגיעה באפקטיביות הגבייה של משרדי הממשלה. </w:t>
      </w:r>
      <w:r>
        <w:rPr>
          <w:rFonts w:hint="cs"/>
          <w:rtl/>
        </w:rPr>
        <w:t>הפגיעה באפקטיביות</w:t>
      </w:r>
      <w:r w:rsidRPr="00AF5F57">
        <w:rPr>
          <w:rFonts w:hint="cs"/>
          <w:rtl/>
        </w:rPr>
        <w:t xml:space="preserve"> </w:t>
      </w:r>
      <w:r>
        <w:rPr>
          <w:rFonts w:hint="cs"/>
          <w:rtl/>
        </w:rPr>
        <w:t xml:space="preserve">קיבלה </w:t>
      </w:r>
      <w:r w:rsidRPr="00AF5F57">
        <w:rPr>
          <w:rFonts w:hint="cs"/>
          <w:rtl/>
        </w:rPr>
        <w:t xml:space="preserve">ביטוי </w:t>
      </w:r>
      <w:r>
        <w:rPr>
          <w:rFonts w:hint="cs"/>
          <w:rtl/>
        </w:rPr>
        <w:t xml:space="preserve">גם </w:t>
      </w:r>
      <w:r w:rsidRPr="00AF5F57">
        <w:rPr>
          <w:rFonts w:hint="cs"/>
          <w:rtl/>
        </w:rPr>
        <w:t xml:space="preserve">במסמך של אגף </w:t>
      </w:r>
      <w:proofErr w:type="spellStart"/>
      <w:r w:rsidRPr="00AF5F57">
        <w:rPr>
          <w:rFonts w:hint="cs"/>
          <w:rtl/>
        </w:rPr>
        <w:t>החשכ"ל</w:t>
      </w:r>
      <w:proofErr w:type="spellEnd"/>
      <w:r w:rsidRPr="00AF5F57">
        <w:rPr>
          <w:rFonts w:hint="cs"/>
          <w:rtl/>
        </w:rPr>
        <w:t xml:space="preserve"> בנושא </w:t>
      </w:r>
      <w:r>
        <w:rPr>
          <w:rFonts w:hint="cs"/>
          <w:rtl/>
        </w:rPr>
        <w:t>ה</w:t>
      </w:r>
      <w:r w:rsidRPr="00AF5F57">
        <w:rPr>
          <w:rFonts w:hint="cs"/>
          <w:rtl/>
        </w:rPr>
        <w:t xml:space="preserve">גבייה </w:t>
      </w:r>
      <w:r w:rsidRPr="00AF5F57">
        <w:rPr>
          <w:rtl/>
        </w:rPr>
        <w:t>במשרדי הממשלה</w:t>
      </w:r>
      <w:r>
        <w:rPr>
          <w:rFonts w:hint="cs"/>
          <w:rtl/>
        </w:rPr>
        <w:t>,</w:t>
      </w:r>
      <w:r w:rsidRPr="00AF5F57">
        <w:rPr>
          <w:rtl/>
        </w:rPr>
        <w:t xml:space="preserve"> </w:t>
      </w:r>
      <w:r>
        <w:rPr>
          <w:rFonts w:hint="cs"/>
          <w:rtl/>
        </w:rPr>
        <w:t xml:space="preserve">ולפיו </w:t>
      </w:r>
      <w:r w:rsidRPr="00AF5F57">
        <w:rPr>
          <w:rtl/>
        </w:rPr>
        <w:t xml:space="preserve">עדיין מתבצעת עבודה ידנית רבה </w:t>
      </w:r>
      <w:r>
        <w:rPr>
          <w:rFonts w:hint="cs"/>
          <w:rtl/>
        </w:rPr>
        <w:t>בנושא ל</w:t>
      </w:r>
      <w:r w:rsidRPr="00AF5F57">
        <w:rPr>
          <w:rtl/>
        </w:rPr>
        <w:t xml:space="preserve">לא </w:t>
      </w:r>
      <w:r>
        <w:rPr>
          <w:rFonts w:hint="cs"/>
          <w:rtl/>
        </w:rPr>
        <w:t>שימוש ב</w:t>
      </w:r>
      <w:r w:rsidRPr="00AF5F57">
        <w:rPr>
          <w:rtl/>
        </w:rPr>
        <w:t xml:space="preserve">תהליכים אוטומטיים, דבר המקשה </w:t>
      </w:r>
      <w:r>
        <w:rPr>
          <w:rFonts w:hint="cs"/>
          <w:rtl/>
        </w:rPr>
        <w:t>לשלוט</w:t>
      </w:r>
      <w:r w:rsidRPr="00AF5F57">
        <w:rPr>
          <w:rtl/>
        </w:rPr>
        <w:t xml:space="preserve"> בניהול החובות </w:t>
      </w:r>
      <w:r>
        <w:rPr>
          <w:rFonts w:hint="cs"/>
          <w:rtl/>
        </w:rPr>
        <w:t>ולמנוע</w:t>
      </w:r>
      <w:r w:rsidRPr="00AF5F57">
        <w:rPr>
          <w:rtl/>
        </w:rPr>
        <w:t xml:space="preserve"> פיגורים </w:t>
      </w:r>
      <w:r>
        <w:rPr>
          <w:rFonts w:hint="cs"/>
          <w:rtl/>
        </w:rPr>
        <w:t xml:space="preserve">בגבייה </w:t>
      </w:r>
      <w:r w:rsidRPr="00AF5F57">
        <w:rPr>
          <w:rtl/>
        </w:rPr>
        <w:t xml:space="preserve">והתיישנות </w:t>
      </w:r>
      <w:r>
        <w:rPr>
          <w:rFonts w:hint="cs"/>
          <w:rtl/>
        </w:rPr>
        <w:t>ה</w:t>
      </w:r>
      <w:r w:rsidRPr="00AF5F57">
        <w:rPr>
          <w:rtl/>
        </w:rPr>
        <w:t xml:space="preserve">חובות. בעקבות זאת למשרדים יש יכולות גבייה נמוכות, </w:t>
      </w:r>
      <w:r>
        <w:rPr>
          <w:rFonts w:hint="cs"/>
          <w:rtl/>
        </w:rPr>
        <w:t>וניהול החוב</w:t>
      </w:r>
      <w:r w:rsidRPr="00AF5F57">
        <w:rPr>
          <w:rtl/>
        </w:rPr>
        <w:t xml:space="preserve"> במערכות המקצועיות אינו מוכוון גבייה.</w:t>
      </w:r>
    </w:p>
    <w:p w14:paraId="746472AF" w14:textId="77777777" w:rsidR="007C4395" w:rsidRPr="004A5E64" w:rsidRDefault="007C4395" w:rsidP="002A738D">
      <w:pPr>
        <w:pStyle w:val="7190"/>
        <w:rPr>
          <w:rtl/>
        </w:rPr>
      </w:pPr>
      <w:r w:rsidRPr="00AF5F57">
        <w:rPr>
          <w:rFonts w:hint="cs"/>
          <w:rtl/>
        </w:rPr>
        <w:t>אי</w:t>
      </w:r>
      <w:r>
        <w:rPr>
          <w:rFonts w:hint="cs"/>
          <w:rtl/>
        </w:rPr>
        <w:t>-</w:t>
      </w:r>
      <w:r w:rsidRPr="00AF5F57">
        <w:rPr>
          <w:rFonts w:hint="cs"/>
          <w:rtl/>
        </w:rPr>
        <w:t xml:space="preserve">השימוש של כלל הגופים במערכת </w:t>
      </w:r>
      <w:proofErr w:type="spellStart"/>
      <w:r w:rsidRPr="00AF5F57">
        <w:rPr>
          <w:rFonts w:hint="cs"/>
          <w:rtl/>
        </w:rPr>
        <w:t>מרכב"ה</w:t>
      </w:r>
      <w:proofErr w:type="spellEnd"/>
      <w:r w:rsidRPr="00AF5F57">
        <w:rPr>
          <w:rFonts w:hint="cs"/>
          <w:rtl/>
        </w:rPr>
        <w:t xml:space="preserve"> </w:t>
      </w:r>
      <w:r>
        <w:rPr>
          <w:rFonts w:hint="cs"/>
          <w:rtl/>
        </w:rPr>
        <w:t>במשך</w:t>
      </w:r>
      <w:r w:rsidRPr="00AF5F57">
        <w:rPr>
          <w:rFonts w:hint="cs"/>
          <w:rtl/>
        </w:rPr>
        <w:t xml:space="preserve"> כל תהליך הגבייה פוגע ביכולת </w:t>
      </w:r>
      <w:r>
        <w:rPr>
          <w:rFonts w:hint="cs"/>
          <w:rtl/>
        </w:rPr>
        <w:t>לגבש</w:t>
      </w:r>
      <w:r w:rsidRPr="00AF5F57">
        <w:rPr>
          <w:rFonts w:hint="cs"/>
          <w:rtl/>
        </w:rPr>
        <w:t xml:space="preserve"> תמונת מצב מהימנה בנוגע למצבת החייבים במשרדי הממשלה, </w:t>
      </w:r>
      <w:r>
        <w:rPr>
          <w:rFonts w:hint="cs"/>
          <w:rtl/>
        </w:rPr>
        <w:t>ומצריך את</w:t>
      </w:r>
      <w:r w:rsidRPr="00AF5F57">
        <w:rPr>
          <w:rFonts w:hint="cs"/>
          <w:rtl/>
        </w:rPr>
        <w:t xml:space="preserve"> אגף </w:t>
      </w:r>
      <w:proofErr w:type="spellStart"/>
      <w:r w:rsidRPr="00AF5F57">
        <w:rPr>
          <w:rFonts w:hint="cs"/>
          <w:rtl/>
        </w:rPr>
        <w:t>החשכ"ל</w:t>
      </w:r>
      <w:proofErr w:type="spellEnd"/>
      <w:r w:rsidRPr="00AF5F57">
        <w:rPr>
          <w:rFonts w:hint="cs"/>
          <w:rtl/>
        </w:rPr>
        <w:t xml:space="preserve"> </w:t>
      </w:r>
      <w:r>
        <w:rPr>
          <w:rFonts w:hint="cs"/>
          <w:rtl/>
        </w:rPr>
        <w:lastRenderedPageBreak/>
        <w:t>להתבסס על</w:t>
      </w:r>
      <w:r w:rsidRPr="00AF5F57">
        <w:rPr>
          <w:rFonts w:hint="cs"/>
          <w:rtl/>
        </w:rPr>
        <w:t xml:space="preserve"> דיווחים פרטניים מכל משרד</w:t>
      </w:r>
      <w:r>
        <w:rPr>
          <w:rFonts w:hint="cs"/>
          <w:rtl/>
        </w:rPr>
        <w:t>,</w:t>
      </w:r>
      <w:r w:rsidRPr="00D65131">
        <w:rPr>
          <w:rFonts w:hint="cs"/>
          <w:rtl/>
        </w:rPr>
        <w:t xml:space="preserve"> </w:t>
      </w:r>
      <w:r>
        <w:rPr>
          <w:rFonts w:hint="cs"/>
          <w:rtl/>
        </w:rPr>
        <w:t xml:space="preserve">כדי </w:t>
      </w:r>
      <w:r w:rsidRPr="00AF5F57">
        <w:rPr>
          <w:rFonts w:hint="cs"/>
          <w:rtl/>
        </w:rPr>
        <w:t>לדעת מה</w:t>
      </w:r>
      <w:r>
        <w:rPr>
          <w:rFonts w:hint="cs"/>
          <w:rtl/>
        </w:rPr>
        <w:t xml:space="preserve"> ה</w:t>
      </w:r>
      <w:r w:rsidRPr="00AF5F57">
        <w:rPr>
          <w:rFonts w:hint="cs"/>
          <w:rtl/>
        </w:rPr>
        <w:t>ן ההכנסות מגבייה בפועל מכל המשרדים בכל שנה ומהו פוטנציאל הגבייה.</w:t>
      </w:r>
    </w:p>
    <w:p w14:paraId="4C90A92C" w14:textId="77777777" w:rsidR="007C4395" w:rsidRPr="002B03FC" w:rsidRDefault="007C4395" w:rsidP="003B2683">
      <w:pPr>
        <w:pStyle w:val="71f4"/>
        <w:rPr>
          <w:rtl/>
        </w:rPr>
      </w:pPr>
      <w:r w:rsidRPr="00D26F91">
        <w:rPr>
          <w:rFonts w:hint="cs"/>
          <w:rtl/>
        </w:rPr>
        <w:t xml:space="preserve">מאחר </w:t>
      </w:r>
      <w:r>
        <w:rPr>
          <w:rFonts w:hint="cs"/>
          <w:rtl/>
        </w:rPr>
        <w:t>ש</w:t>
      </w:r>
      <w:r w:rsidRPr="00D26F91">
        <w:rPr>
          <w:rFonts w:hint="cs"/>
          <w:rtl/>
        </w:rPr>
        <w:t xml:space="preserve">על פי נתוני אגף </w:t>
      </w:r>
      <w:proofErr w:type="spellStart"/>
      <w:r w:rsidRPr="00D26F91">
        <w:rPr>
          <w:rFonts w:hint="cs"/>
          <w:rtl/>
        </w:rPr>
        <w:t>החשכ"ל</w:t>
      </w:r>
      <w:proofErr w:type="spellEnd"/>
      <w:r w:rsidRPr="00D26F91">
        <w:rPr>
          <w:rFonts w:hint="cs"/>
          <w:rtl/>
        </w:rPr>
        <w:t xml:space="preserve">, 64% מכלל החיובים במשרדי הממשלה אינם מנוהלים באמצעות </w:t>
      </w:r>
      <w:proofErr w:type="spellStart"/>
      <w:r w:rsidRPr="00D26F91">
        <w:rPr>
          <w:rFonts w:hint="cs"/>
          <w:rtl/>
        </w:rPr>
        <w:t>מרכב"ה</w:t>
      </w:r>
      <w:proofErr w:type="spellEnd"/>
      <w:r>
        <w:rPr>
          <w:rFonts w:hint="cs"/>
          <w:rtl/>
        </w:rPr>
        <w:t>,</w:t>
      </w:r>
      <w:r w:rsidRPr="00D26F91">
        <w:rPr>
          <w:rFonts w:hint="cs"/>
          <w:rtl/>
        </w:rPr>
        <w:t xml:space="preserve"> ו</w:t>
      </w:r>
      <w:r>
        <w:rPr>
          <w:rFonts w:hint="cs"/>
          <w:rtl/>
        </w:rPr>
        <w:t xml:space="preserve">נוסף על כך, </w:t>
      </w:r>
      <w:r w:rsidRPr="00D26F91">
        <w:rPr>
          <w:rFonts w:hint="cs"/>
          <w:rtl/>
        </w:rPr>
        <w:t>44% מהם נוצרים ידנית</w:t>
      </w:r>
      <w:r>
        <w:rPr>
          <w:rFonts w:hint="cs"/>
          <w:rtl/>
        </w:rPr>
        <w:t>,</w:t>
      </w:r>
      <w:r w:rsidRPr="00D26F91">
        <w:rPr>
          <w:rFonts w:hint="eastAsia"/>
          <w:rtl/>
        </w:rPr>
        <w:t xml:space="preserve"> </w:t>
      </w:r>
      <w:r w:rsidRPr="00D26F91">
        <w:rPr>
          <w:rFonts w:hint="cs"/>
          <w:rtl/>
        </w:rPr>
        <w:t>נוצר מצב</w:t>
      </w:r>
      <w:r w:rsidRPr="00D26F91">
        <w:rPr>
          <w:rtl/>
        </w:rPr>
        <w:t xml:space="preserve"> </w:t>
      </w:r>
      <w:r>
        <w:rPr>
          <w:rFonts w:hint="cs"/>
          <w:rtl/>
        </w:rPr>
        <w:t xml:space="preserve">של </w:t>
      </w:r>
      <w:r w:rsidRPr="00D26F91">
        <w:rPr>
          <w:rtl/>
        </w:rPr>
        <w:t>היעדר ידע</w:t>
      </w:r>
      <w:r w:rsidRPr="00D26F91">
        <w:rPr>
          <w:rFonts w:hint="cs"/>
          <w:rtl/>
        </w:rPr>
        <w:t xml:space="preserve"> מלא</w:t>
      </w:r>
      <w:r w:rsidRPr="00D26F91">
        <w:rPr>
          <w:rtl/>
        </w:rPr>
        <w:t xml:space="preserve"> על אודות רשימת </w:t>
      </w:r>
      <w:r>
        <w:rPr>
          <w:rFonts w:hint="cs"/>
          <w:rtl/>
        </w:rPr>
        <w:t>ה</w:t>
      </w:r>
      <w:r w:rsidRPr="00D26F91">
        <w:rPr>
          <w:rtl/>
        </w:rPr>
        <w:t>חובות ברמת המשרד וברמת הממשלה</w:t>
      </w:r>
      <w:r>
        <w:rPr>
          <w:rFonts w:hint="cs"/>
          <w:rtl/>
        </w:rPr>
        <w:t>,</w:t>
      </w:r>
      <w:r w:rsidRPr="00D26F91">
        <w:rPr>
          <w:rtl/>
        </w:rPr>
        <w:t xml:space="preserve"> וכן </w:t>
      </w:r>
      <w:r>
        <w:rPr>
          <w:rFonts w:hint="cs"/>
          <w:rtl/>
        </w:rPr>
        <w:t xml:space="preserve">של </w:t>
      </w:r>
      <w:r w:rsidRPr="00D26F91">
        <w:rPr>
          <w:rtl/>
        </w:rPr>
        <w:t xml:space="preserve">היעדר נתונים </w:t>
      </w:r>
      <w:r w:rsidRPr="00D26F91">
        <w:rPr>
          <w:rFonts w:hint="cs"/>
          <w:rtl/>
        </w:rPr>
        <w:t>מלאים</w:t>
      </w:r>
      <w:r w:rsidRPr="00D26F91">
        <w:rPr>
          <w:rtl/>
        </w:rPr>
        <w:t xml:space="preserve"> בנוגע למצבת החובות למשרדי הממשלה וליחידות הממשלתיות ולגבייה בפועל</w:t>
      </w:r>
      <w:r w:rsidRPr="00D26F91">
        <w:rPr>
          <w:rFonts w:hint="cs"/>
          <w:rtl/>
        </w:rPr>
        <w:t xml:space="preserve">. כפועל יוצא מהיעדר רישום מלא של החובות למשרדים כאמור, </w:t>
      </w:r>
      <w:r w:rsidRPr="00D26F91">
        <w:rPr>
          <w:rFonts w:hint="eastAsia"/>
          <w:rtl/>
        </w:rPr>
        <w:t>לא</w:t>
      </w:r>
      <w:r w:rsidRPr="00D26F91">
        <w:rPr>
          <w:rtl/>
        </w:rPr>
        <w:t xml:space="preserve"> מתקיימת בקרה </w:t>
      </w:r>
      <w:r w:rsidRPr="00D26F91">
        <w:rPr>
          <w:rFonts w:hint="cs"/>
          <w:rtl/>
        </w:rPr>
        <w:t xml:space="preserve">חשבונאית </w:t>
      </w:r>
      <w:r w:rsidRPr="00D26F91">
        <w:rPr>
          <w:rFonts w:hint="eastAsia"/>
          <w:rtl/>
        </w:rPr>
        <w:t>נאותה</w:t>
      </w:r>
      <w:r w:rsidRPr="00D26F91">
        <w:rPr>
          <w:rtl/>
        </w:rPr>
        <w:t xml:space="preserve"> </w:t>
      </w:r>
      <w:r w:rsidRPr="00D26F91">
        <w:rPr>
          <w:rFonts w:hint="eastAsia"/>
          <w:rtl/>
        </w:rPr>
        <w:t>לגבי</w:t>
      </w:r>
      <w:r w:rsidRPr="00D26F91">
        <w:rPr>
          <w:rtl/>
        </w:rPr>
        <w:t xml:space="preserve"> </w:t>
      </w:r>
      <w:r w:rsidRPr="00D26F91">
        <w:rPr>
          <w:rFonts w:hint="eastAsia"/>
          <w:rtl/>
        </w:rPr>
        <w:t>האפשרות</w:t>
      </w:r>
      <w:r w:rsidRPr="00D26F91">
        <w:rPr>
          <w:rtl/>
        </w:rPr>
        <w:t xml:space="preserve"> </w:t>
      </w:r>
      <w:r w:rsidRPr="00D26F91">
        <w:rPr>
          <w:rFonts w:hint="eastAsia"/>
          <w:rtl/>
        </w:rPr>
        <w:t>של</w:t>
      </w:r>
      <w:r w:rsidRPr="00D26F91">
        <w:rPr>
          <w:rFonts w:hint="cs"/>
          <w:rtl/>
        </w:rPr>
        <w:t xml:space="preserve"> משרדי הממשלה למצות את זכויותיהם במלואן.</w:t>
      </w:r>
    </w:p>
    <w:p w14:paraId="64B6D1BA" w14:textId="77777777" w:rsidR="007C4395" w:rsidRPr="0011429E" w:rsidRDefault="007C4395" w:rsidP="002A738D">
      <w:pPr>
        <w:pStyle w:val="7190"/>
        <w:rPr>
          <w:rtl/>
        </w:rPr>
      </w:pPr>
      <w:r>
        <w:rPr>
          <w:rFonts w:hint="cs"/>
          <w:rtl/>
        </w:rPr>
        <w:t xml:space="preserve">בתשובת אגף </w:t>
      </w:r>
      <w:proofErr w:type="spellStart"/>
      <w:r>
        <w:rPr>
          <w:rFonts w:hint="cs"/>
          <w:rtl/>
        </w:rPr>
        <w:t>החשכ"ל</w:t>
      </w:r>
      <w:proofErr w:type="spellEnd"/>
      <w:r w:rsidRPr="00183CD4">
        <w:rPr>
          <w:rFonts w:hint="cs"/>
          <w:rtl/>
        </w:rPr>
        <w:t xml:space="preserve"> צוין כי בשנת 2019 החל תהליך בחינת הפתרונות האפשריים לבעיה זו, אם עבור משרדים שניהלו את חובותיהם באמצעות מערכת </w:t>
      </w:r>
      <w:proofErr w:type="spellStart"/>
      <w:r w:rsidRPr="00183CD4">
        <w:rPr>
          <w:rFonts w:hint="cs"/>
          <w:rtl/>
        </w:rPr>
        <w:t>מרכב"ה</w:t>
      </w:r>
      <w:proofErr w:type="spellEnd"/>
      <w:r>
        <w:rPr>
          <w:rFonts w:hint="cs"/>
          <w:rtl/>
        </w:rPr>
        <w:t>,</w:t>
      </w:r>
      <w:r w:rsidRPr="00183CD4">
        <w:rPr>
          <w:rFonts w:hint="cs"/>
          <w:rtl/>
        </w:rPr>
        <w:t xml:space="preserve"> ואם עבור משרדים שטרם החלו בניהול החובות </w:t>
      </w:r>
      <w:proofErr w:type="spellStart"/>
      <w:r w:rsidRPr="00183CD4">
        <w:rPr>
          <w:rFonts w:hint="cs"/>
          <w:rtl/>
        </w:rPr>
        <w:t>במרכב"ה</w:t>
      </w:r>
      <w:proofErr w:type="spellEnd"/>
      <w:r w:rsidRPr="00183CD4">
        <w:rPr>
          <w:rFonts w:hint="cs"/>
          <w:rtl/>
        </w:rPr>
        <w:t xml:space="preserve"> אך מתכוונים לעשות כן. לאחר קיום ישיבות רבות בנושא</w:t>
      </w:r>
      <w:r>
        <w:rPr>
          <w:rFonts w:hint="cs"/>
          <w:rtl/>
        </w:rPr>
        <w:t>,</w:t>
      </w:r>
      <w:r w:rsidRPr="00183CD4">
        <w:rPr>
          <w:rFonts w:hint="cs"/>
          <w:rtl/>
        </w:rPr>
        <w:t xml:space="preserve"> הוחלט על פתרון של מערכת ממוחשבת מרכזית לניהול הגבייה הממשלתית של משרדי הממשלה, מערכת טיוב אכיפה ורישום חשבונאי (להלן - מערכת מטאור)</w:t>
      </w:r>
      <w:r>
        <w:rPr>
          <w:rStyle w:val="ac"/>
          <w:rtl/>
        </w:rPr>
        <w:footnoteReference w:id="50"/>
      </w:r>
      <w:r w:rsidRPr="00183CD4">
        <w:rPr>
          <w:rFonts w:hint="cs"/>
          <w:rtl/>
        </w:rPr>
        <w:t xml:space="preserve">. כן הוחלט כי הקמת המערכת תבוצע בשני שלבים: </w:t>
      </w:r>
      <w:r>
        <w:rPr>
          <w:rFonts w:hint="cs"/>
          <w:rtl/>
        </w:rPr>
        <w:t xml:space="preserve">(א) </w:t>
      </w:r>
      <w:r w:rsidRPr="00183CD4">
        <w:rPr>
          <w:rFonts w:hint="cs"/>
          <w:rtl/>
        </w:rPr>
        <w:t>שלב א'</w:t>
      </w:r>
      <w:r>
        <w:rPr>
          <w:rFonts w:hint="cs"/>
          <w:rtl/>
        </w:rPr>
        <w:t>,</w:t>
      </w:r>
      <w:r w:rsidRPr="00183CD4">
        <w:rPr>
          <w:rFonts w:hint="cs"/>
          <w:rtl/>
        </w:rPr>
        <w:t xml:space="preserve"> הכולל אפיון הדרישות וגיבוש מסמך אפיון למערכת; </w:t>
      </w:r>
      <w:r>
        <w:rPr>
          <w:rFonts w:hint="cs"/>
          <w:rtl/>
        </w:rPr>
        <w:t xml:space="preserve">(ב) </w:t>
      </w:r>
      <w:r w:rsidRPr="00183CD4">
        <w:rPr>
          <w:rFonts w:hint="cs"/>
          <w:rtl/>
        </w:rPr>
        <w:t>שלב ב'</w:t>
      </w:r>
      <w:r>
        <w:rPr>
          <w:rFonts w:hint="cs"/>
          <w:rtl/>
        </w:rPr>
        <w:t>,</w:t>
      </w:r>
      <w:r w:rsidRPr="00183CD4">
        <w:rPr>
          <w:rFonts w:hint="cs"/>
          <w:rtl/>
        </w:rPr>
        <w:t xml:space="preserve"> הכולל את בניית המערכת </w:t>
      </w:r>
      <w:r>
        <w:rPr>
          <w:rFonts w:hint="cs"/>
          <w:rtl/>
        </w:rPr>
        <w:t>ו</w:t>
      </w:r>
      <w:r w:rsidRPr="00183CD4">
        <w:rPr>
          <w:rFonts w:hint="cs"/>
          <w:rtl/>
        </w:rPr>
        <w:t xml:space="preserve">צפוי </w:t>
      </w:r>
      <w:r>
        <w:rPr>
          <w:rFonts w:hint="cs"/>
          <w:rtl/>
        </w:rPr>
        <w:t>להימשך</w:t>
      </w:r>
      <w:r w:rsidRPr="00183CD4">
        <w:rPr>
          <w:rFonts w:hint="cs"/>
          <w:rtl/>
        </w:rPr>
        <w:t xml:space="preserve"> כשנה וחצי עד לעליית שלושה משרדי ממשלה ראשונים שישמשו כפיילוט למערכת. עוד צוין </w:t>
      </w:r>
      <w:r w:rsidRPr="00861123">
        <w:rPr>
          <w:rFonts w:hint="cs"/>
          <w:rtl/>
        </w:rPr>
        <w:t>בתשובת</w:t>
      </w:r>
      <w:r w:rsidRPr="00183CD4">
        <w:rPr>
          <w:rtl/>
        </w:rPr>
        <w:t xml:space="preserve"> </w:t>
      </w:r>
      <w:r>
        <w:rPr>
          <w:rFonts w:hint="cs"/>
          <w:rtl/>
        </w:rPr>
        <w:t xml:space="preserve">אגף </w:t>
      </w:r>
      <w:proofErr w:type="spellStart"/>
      <w:r w:rsidRPr="00183CD4">
        <w:rPr>
          <w:rFonts w:hint="eastAsia"/>
          <w:rtl/>
        </w:rPr>
        <w:t>החשכ</w:t>
      </w:r>
      <w:r w:rsidRPr="00183CD4">
        <w:rPr>
          <w:rtl/>
        </w:rPr>
        <w:t>"ל</w:t>
      </w:r>
      <w:proofErr w:type="spellEnd"/>
      <w:r w:rsidRPr="00183CD4">
        <w:rPr>
          <w:rFonts w:hint="cs"/>
          <w:rtl/>
        </w:rPr>
        <w:t xml:space="preserve"> </w:t>
      </w:r>
      <w:r w:rsidRPr="00EA4D53">
        <w:rPr>
          <w:rFonts w:hint="cs"/>
          <w:rtl/>
        </w:rPr>
        <w:t xml:space="preserve">כי </w:t>
      </w:r>
      <w:r w:rsidRPr="00EA4D53">
        <w:rPr>
          <w:rFonts w:hint="eastAsia"/>
          <w:rtl/>
        </w:rPr>
        <w:t>בימים</w:t>
      </w:r>
      <w:r w:rsidRPr="00EA4D53">
        <w:rPr>
          <w:rtl/>
        </w:rPr>
        <w:t xml:space="preserve"> </w:t>
      </w:r>
      <w:r w:rsidRPr="00EA4D53">
        <w:rPr>
          <w:rFonts w:hint="eastAsia"/>
          <w:rtl/>
        </w:rPr>
        <w:t>אלו</w:t>
      </w:r>
      <w:r>
        <w:rPr>
          <w:rFonts w:hint="cs"/>
          <w:rtl/>
        </w:rPr>
        <w:t xml:space="preserve"> הסתיים שלב א' של אפיון מערכת מטאור, והנושא נמצא בדיונים תקציביים סופיים אל מול אגף התקציבים לאישור הפרויקט וליציאה לשלב ב' של בניית המערכת.</w:t>
      </w:r>
    </w:p>
    <w:p w14:paraId="5498B71E" w14:textId="77777777" w:rsidR="007C4395" w:rsidRDefault="007C4395" w:rsidP="003B2683">
      <w:pPr>
        <w:pStyle w:val="71f4"/>
        <w:rPr>
          <w:rtl/>
        </w:rPr>
      </w:pPr>
      <w:r>
        <w:rPr>
          <w:rFonts w:hint="cs"/>
          <w:rtl/>
        </w:rPr>
        <w:t xml:space="preserve">מומלץ כי אגף </w:t>
      </w:r>
      <w:proofErr w:type="spellStart"/>
      <w:r>
        <w:rPr>
          <w:rFonts w:hint="cs"/>
          <w:rtl/>
        </w:rPr>
        <w:t>החשכ"ל</w:t>
      </w:r>
      <w:proofErr w:type="spellEnd"/>
      <w:r>
        <w:rPr>
          <w:rFonts w:hint="cs"/>
          <w:rtl/>
        </w:rPr>
        <w:t xml:space="preserve"> יפעל</w:t>
      </w:r>
      <w:r w:rsidRPr="00A230F6">
        <w:rPr>
          <w:rFonts w:hint="cs"/>
          <w:rtl/>
        </w:rPr>
        <w:t xml:space="preserve"> להשלמת הפתרון של מערכת גבייה רוחבית </w:t>
      </w:r>
      <w:r>
        <w:rPr>
          <w:rFonts w:hint="cs"/>
          <w:rtl/>
        </w:rPr>
        <w:t xml:space="preserve">ממוחשבת </w:t>
      </w:r>
      <w:r w:rsidRPr="00A230F6">
        <w:rPr>
          <w:rFonts w:hint="cs"/>
          <w:rtl/>
        </w:rPr>
        <w:t>שת</w:t>
      </w:r>
      <w:r>
        <w:rPr>
          <w:rFonts w:hint="cs"/>
          <w:rtl/>
        </w:rPr>
        <w:t>וכל לתת</w:t>
      </w:r>
      <w:r w:rsidRPr="00A230F6">
        <w:rPr>
          <w:rFonts w:hint="cs"/>
          <w:rtl/>
        </w:rPr>
        <w:t xml:space="preserve"> תמונת מצב מהימנה בנוגע למצבת החייבים</w:t>
      </w:r>
      <w:r>
        <w:rPr>
          <w:rFonts w:hint="cs"/>
          <w:rtl/>
        </w:rPr>
        <w:t xml:space="preserve"> </w:t>
      </w:r>
      <w:r w:rsidRPr="00A230F6">
        <w:rPr>
          <w:rFonts w:hint="cs"/>
          <w:rtl/>
        </w:rPr>
        <w:t>במשרדי הממשלה ותמצה את פוטנציאל הגבייה של הממשלה.</w:t>
      </w:r>
    </w:p>
    <w:p w14:paraId="01B5DEFB" w14:textId="77777777" w:rsidR="007C4395" w:rsidRDefault="007C4395" w:rsidP="006F4D0D">
      <w:pPr>
        <w:pStyle w:val="71512"/>
        <w:rPr>
          <w:rtl/>
        </w:rPr>
      </w:pPr>
      <w:r>
        <w:rPr>
          <w:rFonts w:hint="cs"/>
          <w:rtl/>
        </w:rPr>
        <w:t>דיווח לשרים על יישום החלטת הממשלה בנושא הגבייה</w:t>
      </w:r>
    </w:p>
    <w:p w14:paraId="3937F7EF" w14:textId="77777777" w:rsidR="007C4395" w:rsidRDefault="007C4395" w:rsidP="002A738D">
      <w:pPr>
        <w:pStyle w:val="7190"/>
        <w:rPr>
          <w:rtl/>
        </w:rPr>
      </w:pPr>
      <w:r>
        <w:rPr>
          <w:rFonts w:hint="cs"/>
          <w:rtl/>
        </w:rPr>
        <w:t xml:space="preserve">סעיף 2 להחלטת הממשלה בנושא הגבייה קובע כי על </w:t>
      </w:r>
      <w:proofErr w:type="spellStart"/>
      <w:r>
        <w:rPr>
          <w:rFonts w:hint="cs"/>
          <w:rtl/>
        </w:rPr>
        <w:t>מינהלת</w:t>
      </w:r>
      <w:proofErr w:type="spellEnd"/>
      <w:r>
        <w:rPr>
          <w:rFonts w:hint="cs"/>
          <w:rtl/>
        </w:rPr>
        <w:t xml:space="preserve"> היישום לדווח מדי שנה בשנה לשר האוצר ולשׂרת המשפטים על ביצוע ההחלטה.</w:t>
      </w:r>
    </w:p>
    <w:p w14:paraId="332F60DF" w14:textId="77777777" w:rsidR="007C4395" w:rsidRDefault="007C4395" w:rsidP="003B2683">
      <w:pPr>
        <w:pStyle w:val="71f4"/>
        <w:rPr>
          <w:rtl/>
        </w:rPr>
      </w:pPr>
      <w:r w:rsidRPr="00B447D6">
        <w:rPr>
          <w:rFonts w:hint="cs"/>
          <w:rtl/>
        </w:rPr>
        <w:t xml:space="preserve">נמצא כי </w:t>
      </w:r>
      <w:proofErr w:type="spellStart"/>
      <w:r w:rsidRPr="00B447D6">
        <w:rPr>
          <w:rFonts w:hint="cs"/>
          <w:rtl/>
        </w:rPr>
        <w:t>מינהלת</w:t>
      </w:r>
      <w:proofErr w:type="spellEnd"/>
      <w:r w:rsidRPr="00B447D6">
        <w:rPr>
          <w:rFonts w:hint="cs"/>
          <w:rtl/>
        </w:rPr>
        <w:t xml:space="preserve"> היישום העבירה מאז הקמתה דיווח אחד לשרי</w:t>
      </w:r>
      <w:r>
        <w:rPr>
          <w:rFonts w:hint="cs"/>
          <w:rtl/>
        </w:rPr>
        <w:t xml:space="preserve"> האוצר והמשפטים,</w:t>
      </w:r>
      <w:r w:rsidRPr="00B447D6">
        <w:rPr>
          <w:rFonts w:hint="cs"/>
          <w:rtl/>
        </w:rPr>
        <w:t xml:space="preserve"> </w:t>
      </w:r>
      <w:r>
        <w:rPr>
          <w:rFonts w:hint="cs"/>
          <w:rtl/>
        </w:rPr>
        <w:t>ב</w:t>
      </w:r>
      <w:r w:rsidRPr="00B447D6">
        <w:rPr>
          <w:rFonts w:hint="cs"/>
          <w:rtl/>
        </w:rPr>
        <w:t>פברואר 2019</w:t>
      </w:r>
      <w:r>
        <w:rPr>
          <w:rFonts w:hint="cs"/>
          <w:rtl/>
        </w:rPr>
        <w:t>,</w:t>
      </w:r>
      <w:r w:rsidRPr="00B447D6">
        <w:rPr>
          <w:rFonts w:hint="cs"/>
          <w:rtl/>
        </w:rPr>
        <w:t xml:space="preserve"> </w:t>
      </w:r>
      <w:r>
        <w:rPr>
          <w:rFonts w:hint="cs"/>
          <w:rtl/>
        </w:rPr>
        <w:t>ו</w:t>
      </w:r>
      <w:r w:rsidRPr="00B447D6">
        <w:rPr>
          <w:rFonts w:hint="cs"/>
          <w:rtl/>
        </w:rPr>
        <w:t>בו פורטו הפעולות שבוצעו</w:t>
      </w:r>
      <w:r>
        <w:rPr>
          <w:rFonts w:hint="cs"/>
          <w:rtl/>
        </w:rPr>
        <w:t xml:space="preserve"> עד לאותה נקודת זמן</w:t>
      </w:r>
      <w:r w:rsidRPr="00B447D6">
        <w:rPr>
          <w:rFonts w:hint="cs"/>
          <w:rtl/>
        </w:rPr>
        <w:t xml:space="preserve"> בהתאם להחלטה האמורה.</w:t>
      </w:r>
    </w:p>
    <w:p w14:paraId="3BA41BB6" w14:textId="77777777" w:rsidR="007C4395" w:rsidRPr="003B2683" w:rsidRDefault="007C4395" w:rsidP="002A738D">
      <w:pPr>
        <w:pStyle w:val="7190"/>
        <w:rPr>
          <w:rStyle w:val="71Char6"/>
          <w:rFonts w:eastAsiaTheme="minorHAnsi"/>
          <w:rtl/>
        </w:rPr>
      </w:pPr>
      <w:r>
        <w:rPr>
          <w:rFonts w:hint="cs"/>
          <w:rtl/>
        </w:rPr>
        <w:t xml:space="preserve">בתשובת אגף </w:t>
      </w:r>
      <w:proofErr w:type="spellStart"/>
      <w:r>
        <w:rPr>
          <w:rFonts w:hint="cs"/>
          <w:rtl/>
        </w:rPr>
        <w:t>החשכ"ל</w:t>
      </w:r>
      <w:proofErr w:type="spellEnd"/>
      <w:r>
        <w:rPr>
          <w:rFonts w:hint="cs"/>
          <w:rtl/>
        </w:rPr>
        <w:t xml:space="preserve"> צוין כי הוא יפעל לדווח לשרים בתדירות גבוהה יותר.</w:t>
      </w:r>
    </w:p>
    <w:p w14:paraId="21C7E0A6" w14:textId="77777777" w:rsidR="007C4395" w:rsidRDefault="007C4395" w:rsidP="003B2683">
      <w:pPr>
        <w:pStyle w:val="71f4"/>
        <w:rPr>
          <w:rtl/>
        </w:rPr>
      </w:pPr>
      <w:r w:rsidRPr="00B447D6">
        <w:rPr>
          <w:rFonts w:hint="cs"/>
          <w:rtl/>
        </w:rPr>
        <w:lastRenderedPageBreak/>
        <w:t>על החשב הכללי ו</w:t>
      </w:r>
      <w:r>
        <w:rPr>
          <w:rFonts w:hint="cs"/>
          <w:rtl/>
        </w:rPr>
        <w:t xml:space="preserve">על </w:t>
      </w:r>
      <w:r w:rsidRPr="00B447D6">
        <w:rPr>
          <w:rFonts w:hint="cs"/>
          <w:rtl/>
        </w:rPr>
        <w:t>מנהל רשות האכיפה והגבייה במשרד המשפטים</w:t>
      </w:r>
      <w:r>
        <w:rPr>
          <w:rFonts w:hint="cs"/>
          <w:rtl/>
        </w:rPr>
        <w:t>,</w:t>
      </w:r>
      <w:r w:rsidRPr="00B447D6">
        <w:rPr>
          <w:rFonts w:hint="cs"/>
          <w:rtl/>
        </w:rPr>
        <w:t xml:space="preserve"> העומדים בראש </w:t>
      </w:r>
      <w:proofErr w:type="spellStart"/>
      <w:r w:rsidRPr="00B447D6">
        <w:rPr>
          <w:rFonts w:hint="cs"/>
          <w:rtl/>
        </w:rPr>
        <w:t>מינהלת</w:t>
      </w:r>
      <w:proofErr w:type="spellEnd"/>
      <w:r w:rsidRPr="00B447D6">
        <w:rPr>
          <w:rFonts w:hint="cs"/>
          <w:rtl/>
        </w:rPr>
        <w:t xml:space="preserve"> היישום</w:t>
      </w:r>
      <w:r>
        <w:rPr>
          <w:rFonts w:hint="cs"/>
          <w:rtl/>
        </w:rPr>
        <w:t>,</w:t>
      </w:r>
      <w:r w:rsidRPr="00B447D6">
        <w:rPr>
          <w:rFonts w:hint="cs"/>
          <w:rtl/>
        </w:rPr>
        <w:t xml:space="preserve"> </w:t>
      </w:r>
      <w:r>
        <w:rPr>
          <w:rFonts w:hint="cs"/>
          <w:rtl/>
        </w:rPr>
        <w:t>לדווח</w:t>
      </w:r>
      <w:r w:rsidRPr="00B447D6">
        <w:rPr>
          <w:rFonts w:hint="cs"/>
          <w:rtl/>
        </w:rPr>
        <w:t xml:space="preserve"> דיווח </w:t>
      </w:r>
      <w:r>
        <w:rPr>
          <w:rFonts w:hint="cs"/>
          <w:rtl/>
        </w:rPr>
        <w:t xml:space="preserve">שנתי </w:t>
      </w:r>
      <w:r w:rsidRPr="00B447D6">
        <w:rPr>
          <w:rFonts w:hint="cs"/>
          <w:rtl/>
        </w:rPr>
        <w:t>לשרי</w:t>
      </w:r>
      <w:r>
        <w:rPr>
          <w:rFonts w:hint="cs"/>
          <w:rtl/>
        </w:rPr>
        <w:t xml:space="preserve"> האוצר והמשפטים</w:t>
      </w:r>
      <w:r w:rsidRPr="00B447D6">
        <w:rPr>
          <w:rFonts w:hint="cs"/>
          <w:rtl/>
        </w:rPr>
        <w:t xml:space="preserve"> </w:t>
      </w:r>
      <w:r>
        <w:rPr>
          <w:rFonts w:hint="cs"/>
          <w:rtl/>
        </w:rPr>
        <w:t>ב</w:t>
      </w:r>
      <w:r w:rsidRPr="00B447D6">
        <w:rPr>
          <w:rFonts w:hint="cs"/>
          <w:rtl/>
        </w:rPr>
        <w:t>ע</w:t>
      </w:r>
      <w:r>
        <w:rPr>
          <w:rFonts w:hint="cs"/>
          <w:rtl/>
        </w:rPr>
        <w:t>ניין</w:t>
      </w:r>
      <w:r w:rsidRPr="00B447D6">
        <w:rPr>
          <w:rFonts w:hint="cs"/>
          <w:rtl/>
        </w:rPr>
        <w:t xml:space="preserve"> הפעילות בתחום הגבייה כאמור בהחלטת הממשלה.</w:t>
      </w:r>
    </w:p>
    <w:p w14:paraId="0C01F761" w14:textId="77777777" w:rsidR="007C4395" w:rsidRDefault="007C4395" w:rsidP="006F4D0D">
      <w:pPr>
        <w:pStyle w:val="71512"/>
        <w:rPr>
          <w:rtl/>
        </w:rPr>
      </w:pPr>
      <w:r>
        <w:rPr>
          <w:rFonts w:hint="cs"/>
          <w:rtl/>
        </w:rPr>
        <w:t>תמריצים לשיפור הליכי הגבייה</w:t>
      </w:r>
    </w:p>
    <w:p w14:paraId="427C0B1F" w14:textId="77777777" w:rsidR="007C4395" w:rsidRDefault="007C4395" w:rsidP="002A738D">
      <w:pPr>
        <w:pStyle w:val="7190"/>
        <w:rPr>
          <w:rtl/>
        </w:rPr>
      </w:pPr>
      <w:r>
        <w:rPr>
          <w:rFonts w:hint="cs"/>
          <w:rtl/>
        </w:rPr>
        <w:t>סעיף 3 להחלטת הממשלה בנושא הגבייה קובע "להנחות את שר האוצר לקבוע מודל תמריצים חיוביים ושליליים למשרדי הממשלה אשר נקבעה להם תכנית עבודה לעמידה בתכנית העבודה שנקבעה להם".</w:t>
      </w:r>
    </w:p>
    <w:p w14:paraId="2BC377A9" w14:textId="77777777" w:rsidR="007C4395" w:rsidRDefault="007C4395" w:rsidP="002A738D">
      <w:pPr>
        <w:pStyle w:val="7190"/>
        <w:rPr>
          <w:rtl/>
        </w:rPr>
      </w:pPr>
      <w:r>
        <w:rPr>
          <w:rFonts w:hint="cs"/>
          <w:rtl/>
        </w:rPr>
        <w:t>המטרה במודל התמריצים היא עידוד משרדי הממשלה לשפר את תהליכי הגבייה והאכיפה ולהגדיל את הכנסות המדינה תוך כדי מתן תמריצים חיוביים ושליליים על הגדלת הכנסות או ביצוע אבני דרך משמעותיות בשיפור תהליכי הגבייה והאכיפה במשרד. יצוין כי ברקע ההחלטה עמדה גם העובדה כי ככלל, משרדי ממשלה אינם רואים בפעילות הגבייה חלק מפעילותם המקצועית השוטפת ולא תמיד מקצים לה משאבים מספיקים, וכן העובדה כי חלק קטן מאוד מכלל התקציבים של משרדי הממשלה נקבע בזיקה לחובות שהם גובים</w:t>
      </w:r>
      <w:r>
        <w:rPr>
          <w:rStyle w:val="ac"/>
          <w:rtl/>
        </w:rPr>
        <w:footnoteReference w:id="51"/>
      </w:r>
      <w:r>
        <w:rPr>
          <w:rFonts w:hint="cs"/>
          <w:rtl/>
        </w:rPr>
        <w:t>.</w:t>
      </w:r>
    </w:p>
    <w:p w14:paraId="04D2483E" w14:textId="77777777" w:rsidR="007C4395" w:rsidRPr="00A437DD" w:rsidRDefault="007C4395" w:rsidP="002A738D">
      <w:pPr>
        <w:pStyle w:val="7190"/>
        <w:rPr>
          <w:rtl/>
        </w:rPr>
      </w:pPr>
      <w:r w:rsidRPr="00183CD4">
        <w:rPr>
          <w:rFonts w:hint="cs"/>
          <w:rtl/>
        </w:rPr>
        <w:t>במענה</w:t>
      </w:r>
      <w:r w:rsidRPr="00183CD4">
        <w:rPr>
          <w:rtl/>
        </w:rPr>
        <w:t xml:space="preserve"> </w:t>
      </w:r>
      <w:proofErr w:type="spellStart"/>
      <w:r w:rsidRPr="00183CD4">
        <w:rPr>
          <w:rFonts w:hint="eastAsia"/>
          <w:rtl/>
        </w:rPr>
        <w:t>החשכ</w:t>
      </w:r>
      <w:r w:rsidRPr="00183CD4">
        <w:rPr>
          <w:rtl/>
        </w:rPr>
        <w:t>"ל</w:t>
      </w:r>
      <w:proofErr w:type="spellEnd"/>
      <w:r w:rsidRPr="00183CD4">
        <w:rPr>
          <w:rtl/>
        </w:rPr>
        <w:t xml:space="preserve"> מאוגוסט 2021</w:t>
      </w:r>
      <w:r>
        <w:rPr>
          <w:rFonts w:hint="cs"/>
          <w:rtl/>
        </w:rPr>
        <w:t xml:space="preserve"> על שאלות נציגי משרד מבקר המדינה צוין כי לא נקבע תמריץ שלילי למשרדים, אך נקבעו מבחנים ותמריצים חיוביים לעידוד ממוני הגבייה.</w:t>
      </w:r>
    </w:p>
    <w:p w14:paraId="122A2EB2" w14:textId="7F530261" w:rsidR="007C4395" w:rsidRDefault="007C4395" w:rsidP="003B2683">
      <w:pPr>
        <w:pStyle w:val="71f4"/>
      </w:pPr>
      <w:r w:rsidRPr="003D4062">
        <w:rPr>
          <w:rFonts w:hint="cs"/>
          <w:rtl/>
        </w:rPr>
        <w:t xml:space="preserve">מבדיקת משרד מבקר המדינה עולה כי </w:t>
      </w:r>
      <w:r>
        <w:rPr>
          <w:rFonts w:hint="cs"/>
          <w:rtl/>
        </w:rPr>
        <w:t xml:space="preserve">נערכו כמה דיונים של אגף </w:t>
      </w:r>
      <w:proofErr w:type="spellStart"/>
      <w:r>
        <w:rPr>
          <w:rFonts w:hint="cs"/>
          <w:rtl/>
        </w:rPr>
        <w:t>החשכ"ל</w:t>
      </w:r>
      <w:proofErr w:type="spellEnd"/>
      <w:r>
        <w:rPr>
          <w:rFonts w:hint="cs"/>
          <w:rtl/>
        </w:rPr>
        <w:t xml:space="preserve"> עם אגף </w:t>
      </w:r>
      <w:r w:rsidRPr="00D618E0">
        <w:rPr>
          <w:rFonts w:hint="cs"/>
          <w:rtl/>
        </w:rPr>
        <w:t>התקציבים במשרד האוצר בנוגע למודל התמריצים</w:t>
      </w:r>
      <w:r>
        <w:rPr>
          <w:rFonts w:hint="cs"/>
          <w:rtl/>
        </w:rPr>
        <w:t>,</w:t>
      </w:r>
      <w:r w:rsidRPr="00D618E0">
        <w:rPr>
          <w:rFonts w:hint="cs"/>
          <w:rtl/>
        </w:rPr>
        <w:t xml:space="preserve"> אך במועד הביקורת </w:t>
      </w:r>
      <w:r>
        <w:rPr>
          <w:rFonts w:hint="cs"/>
          <w:rtl/>
        </w:rPr>
        <w:t>לא</w:t>
      </w:r>
      <w:r w:rsidRPr="00D618E0">
        <w:rPr>
          <w:rFonts w:hint="cs"/>
          <w:rtl/>
        </w:rPr>
        <w:t xml:space="preserve"> נקבע </w:t>
      </w:r>
      <w:r>
        <w:rPr>
          <w:rFonts w:hint="cs"/>
          <w:rtl/>
        </w:rPr>
        <w:t xml:space="preserve">למשרדי הממשלה </w:t>
      </w:r>
      <w:r w:rsidRPr="00D618E0">
        <w:rPr>
          <w:rFonts w:hint="cs"/>
          <w:rtl/>
        </w:rPr>
        <w:t>מודל תמריצים לגביית חובות.</w:t>
      </w:r>
    </w:p>
    <w:p w14:paraId="2E8F34AE" w14:textId="77777777" w:rsidR="005617E2" w:rsidRPr="005617E2" w:rsidRDefault="005617E2" w:rsidP="005617E2">
      <w:pPr>
        <w:pStyle w:val="7190"/>
        <w:spacing w:after="0"/>
        <w:rPr>
          <w:rtl/>
        </w:rPr>
      </w:pPr>
    </w:p>
    <w:p w14:paraId="774E10AB" w14:textId="77777777" w:rsidR="007C4395" w:rsidRDefault="007C4395" w:rsidP="003B2683">
      <w:pPr>
        <w:pStyle w:val="71f4"/>
        <w:rPr>
          <w:rtl/>
        </w:rPr>
      </w:pPr>
      <w:r w:rsidRPr="00DE71A4">
        <w:rPr>
          <w:rFonts w:hint="cs"/>
          <w:rtl/>
        </w:rPr>
        <w:t xml:space="preserve">מומלץ כי </w:t>
      </w:r>
      <w:r>
        <w:rPr>
          <w:rFonts w:hint="cs"/>
          <w:rtl/>
        </w:rPr>
        <w:t xml:space="preserve">בהתאם להחלטת הממשלה יקבע שר האוצר, בשיתוף אגף </w:t>
      </w:r>
      <w:proofErr w:type="spellStart"/>
      <w:r>
        <w:rPr>
          <w:rFonts w:hint="cs"/>
          <w:rtl/>
        </w:rPr>
        <w:t>החשכ"ל</w:t>
      </w:r>
      <w:proofErr w:type="spellEnd"/>
      <w:r>
        <w:rPr>
          <w:rFonts w:hint="cs"/>
          <w:rtl/>
        </w:rPr>
        <w:t xml:space="preserve">, </w:t>
      </w:r>
      <w:r w:rsidRPr="00DE71A4">
        <w:rPr>
          <w:rFonts w:hint="cs"/>
          <w:rtl/>
        </w:rPr>
        <w:t>מודל תמריצים חיוביים ושליליים למשרדי הממשלה.</w:t>
      </w:r>
    </w:p>
    <w:p w14:paraId="08E25E32" w14:textId="77777777" w:rsidR="007C4395" w:rsidRDefault="007C4395" w:rsidP="007C4395">
      <w:pPr>
        <w:bidi w:val="0"/>
        <w:spacing w:after="200" w:line="276" w:lineRule="auto"/>
        <w:rPr>
          <w:b/>
          <w:bCs/>
          <w:rtl/>
        </w:rPr>
      </w:pPr>
      <w:r>
        <w:rPr>
          <w:b/>
          <w:bCs/>
          <w:rtl/>
        </w:rPr>
        <w:br w:type="page"/>
      </w:r>
    </w:p>
    <w:p w14:paraId="6F445132" w14:textId="77777777" w:rsidR="007C4395" w:rsidRPr="00AB3619" w:rsidRDefault="007C4395" w:rsidP="002A738D">
      <w:pPr>
        <w:pStyle w:val="7190"/>
        <w:rPr>
          <w:rtl/>
        </w:rPr>
      </w:pPr>
      <w:r>
        <w:rPr>
          <w:rFonts w:hint="cs"/>
          <w:rtl/>
        </w:rPr>
        <w:lastRenderedPageBreak/>
        <w:t xml:space="preserve">בתשובת אגף </w:t>
      </w:r>
      <w:proofErr w:type="spellStart"/>
      <w:r>
        <w:rPr>
          <w:rFonts w:hint="cs"/>
          <w:rtl/>
        </w:rPr>
        <w:t>החשכ"ל</w:t>
      </w:r>
      <w:proofErr w:type="spellEnd"/>
      <w:r>
        <w:rPr>
          <w:rFonts w:hint="cs"/>
          <w:rtl/>
        </w:rPr>
        <w:t xml:space="preserve"> צוין כי נבחנים עם אגף התקציבים כמה מודלים </w:t>
      </w:r>
      <w:proofErr w:type="spellStart"/>
      <w:r>
        <w:rPr>
          <w:rFonts w:hint="cs"/>
          <w:rtl/>
        </w:rPr>
        <w:t>לתמרוץ</w:t>
      </w:r>
      <w:proofErr w:type="spellEnd"/>
      <w:r>
        <w:rPr>
          <w:rFonts w:hint="cs"/>
          <w:rtl/>
        </w:rPr>
        <w:t xml:space="preserve">, וכן מתבצעת בחינה מול כמה גורמים של מודלים נוספים לתגמול </w:t>
      </w:r>
      <w:proofErr w:type="spellStart"/>
      <w:r>
        <w:rPr>
          <w:rFonts w:hint="cs"/>
          <w:rtl/>
        </w:rPr>
        <w:t>ותמרוץ</w:t>
      </w:r>
      <w:proofErr w:type="spellEnd"/>
      <w:r>
        <w:rPr>
          <w:rFonts w:hint="cs"/>
          <w:rtl/>
        </w:rPr>
        <w:t xml:space="preserve"> של עובדי הגבייה.</w:t>
      </w:r>
    </w:p>
    <w:p w14:paraId="2AEBCB60" w14:textId="77777777" w:rsidR="007C4395" w:rsidRDefault="007C4395" w:rsidP="006F4D0D">
      <w:pPr>
        <w:pStyle w:val="71512"/>
        <w:rPr>
          <w:rtl/>
        </w:rPr>
      </w:pPr>
      <w:r>
        <w:rPr>
          <w:rFonts w:hint="cs"/>
          <w:rtl/>
        </w:rPr>
        <w:t>נוהלי עבודה וסרגלי אכיפה וגבייה במשרדי הממשלה</w:t>
      </w:r>
    </w:p>
    <w:p w14:paraId="32E5DE0B" w14:textId="77777777" w:rsidR="007C4395" w:rsidRDefault="007C4395" w:rsidP="002A738D">
      <w:pPr>
        <w:pStyle w:val="7190"/>
        <w:rPr>
          <w:rtl/>
        </w:rPr>
      </w:pPr>
      <w:r>
        <w:rPr>
          <w:rFonts w:hint="cs"/>
          <w:rtl/>
        </w:rPr>
        <w:t xml:space="preserve">סעיף 4 להחלטת הממשלה בנושא הגבייה קובע "להנחות את החשבת הכללית לפרסם הוראת </w:t>
      </w:r>
      <w:proofErr w:type="spellStart"/>
      <w:r>
        <w:rPr>
          <w:rFonts w:hint="cs"/>
          <w:rtl/>
        </w:rPr>
        <w:t>תכ"ם</w:t>
      </w:r>
      <w:proofErr w:type="spellEnd"/>
      <w:r>
        <w:rPr>
          <w:rFonts w:hint="cs"/>
          <w:rtl/>
        </w:rPr>
        <w:t xml:space="preserve"> ליישום החלטה זו, לרבות מתן הנחיות לביצוע אפיון, מיפוי וטיוב של חובותיהם ונהלי עבודה לטיפול בחובות".</w:t>
      </w:r>
    </w:p>
    <w:p w14:paraId="3784205E" w14:textId="77777777" w:rsidR="007C4395" w:rsidRDefault="007C4395" w:rsidP="002A738D">
      <w:pPr>
        <w:pStyle w:val="7190"/>
        <w:rPr>
          <w:rtl/>
        </w:rPr>
      </w:pPr>
      <w:r>
        <w:rPr>
          <w:rFonts w:hint="cs"/>
          <w:rtl/>
        </w:rPr>
        <w:t xml:space="preserve">בנובמבר 2018 פרסם החשב הכללי דאז הוראת </w:t>
      </w:r>
      <w:proofErr w:type="spellStart"/>
      <w:r>
        <w:rPr>
          <w:rFonts w:hint="cs"/>
          <w:rtl/>
        </w:rPr>
        <w:t>תכ"ם</w:t>
      </w:r>
      <w:proofErr w:type="spellEnd"/>
      <w:r>
        <w:rPr>
          <w:rStyle w:val="ac"/>
          <w:rtl/>
        </w:rPr>
        <w:footnoteReference w:id="52"/>
      </w:r>
      <w:r>
        <w:rPr>
          <w:rFonts w:hint="cs"/>
          <w:rtl/>
        </w:rPr>
        <w:t xml:space="preserve"> בנושא "גבייה ואכיפה במשרדי הממשלה" (להלן - הוראת </w:t>
      </w:r>
      <w:proofErr w:type="spellStart"/>
      <w:r>
        <w:rPr>
          <w:rFonts w:hint="cs"/>
          <w:rtl/>
        </w:rPr>
        <w:t>תכ"ם</w:t>
      </w:r>
      <w:proofErr w:type="spellEnd"/>
      <w:r>
        <w:rPr>
          <w:rFonts w:hint="cs"/>
          <w:rtl/>
        </w:rPr>
        <w:t xml:space="preserve"> בתחום הגבייה) במטרה להסדיר קווים מנחים ואחידים אשר ינחו את משרדי הממשלה בגיבוש נוהלי עבודה ותהליכי עבודה שיתמכו בפעילות ניהול גביית החיובים והחובות, לרבות פיקוח ובקרה על תהליך הגבייה. בהוראת </w:t>
      </w:r>
      <w:proofErr w:type="spellStart"/>
      <w:r>
        <w:rPr>
          <w:rFonts w:hint="cs"/>
          <w:rtl/>
        </w:rPr>
        <w:t>התכ"ם</w:t>
      </w:r>
      <w:proofErr w:type="spellEnd"/>
      <w:r>
        <w:rPr>
          <w:rFonts w:hint="cs"/>
          <w:rtl/>
        </w:rPr>
        <w:t xml:space="preserve"> ניתן דגש למספר נושאים עיקריים, ובהם מיפוי תהליכי החיוב והגבייה במשרד</w:t>
      </w:r>
      <w:r>
        <w:rPr>
          <w:rStyle w:val="ac"/>
          <w:rtl/>
        </w:rPr>
        <w:footnoteReference w:id="53"/>
      </w:r>
      <w:r>
        <w:rPr>
          <w:rFonts w:hint="cs"/>
          <w:rtl/>
        </w:rPr>
        <w:t>, הגדרת נוהלי עבודה לגביית החוב, התייחסות להקפאה ושיהוי לפי פקודת המסים (גביה), שימוש בסרגל גבייה ואכיפה וקביעת סרגל אחיד והקשר עם רשות האכיפה והגבייה.</w:t>
      </w:r>
    </w:p>
    <w:p w14:paraId="62DA7DDA" w14:textId="77777777" w:rsidR="007C4395" w:rsidRDefault="007C4395" w:rsidP="002A738D">
      <w:pPr>
        <w:pStyle w:val="7190"/>
        <w:rPr>
          <w:rtl/>
        </w:rPr>
      </w:pPr>
      <w:r>
        <w:rPr>
          <w:rFonts w:hint="cs"/>
          <w:rtl/>
        </w:rPr>
        <w:t xml:space="preserve">על פי הוראת </w:t>
      </w:r>
      <w:proofErr w:type="spellStart"/>
      <w:r>
        <w:rPr>
          <w:rFonts w:hint="cs"/>
          <w:rtl/>
        </w:rPr>
        <w:t>התכ"ם</w:t>
      </w:r>
      <w:proofErr w:type="spellEnd"/>
      <w:r>
        <w:rPr>
          <w:rFonts w:hint="cs"/>
          <w:rtl/>
        </w:rPr>
        <w:t xml:space="preserve"> בתחום הגבייה, תהליך האכיפה והגבייה ייעשה בהתאם לנוהל שהמשרד יקבע כמפורט בהוראה זו. כן נקבע כי חשב המשרד יגדיר נוהלי עבודה לגביית החיוב, ואלו יכללו בין היתר סרגל גבייה ואכיפה עבור כל חיוב. הסרגל יכלול את פרק הזמן לגביית החיוב, החל מיום הטלתו ועד לתום מועד התשלום, ואת סדר הפעולות הנדרשות לגביית החיוב בתקופה זו בהתאם למקור החוקי של החיוב, להנחיית היועץ המשפטי לממשלה</w:t>
      </w:r>
      <w:r>
        <w:rPr>
          <w:rStyle w:val="ac"/>
          <w:rtl/>
        </w:rPr>
        <w:footnoteReference w:id="54"/>
      </w:r>
      <w:r>
        <w:rPr>
          <w:rFonts w:hint="cs"/>
          <w:rtl/>
        </w:rPr>
        <w:t xml:space="preserve"> ובהתאם לכל דין. עם תום ביצוע פעולות גביית החיוב על פי סרגל האכיפה והגבייה המשרדי, ישתנה סטטוס החיוב, אם לא נפרע, לחוב, והחוב יועבר ככלל לרשות האכיפה והגבייה לשם אכיפת הגבייה באמצעות המרכז לגביית קנסות, אגרות והוצאות (להלן - המרכז לגביית קנסות או </w:t>
      </w:r>
      <w:proofErr w:type="spellStart"/>
      <w:r>
        <w:rPr>
          <w:rFonts w:hint="cs"/>
          <w:rtl/>
        </w:rPr>
        <w:t>המג"ק</w:t>
      </w:r>
      <w:proofErr w:type="spellEnd"/>
      <w:r>
        <w:rPr>
          <w:rFonts w:hint="cs"/>
          <w:rtl/>
        </w:rPr>
        <w:t xml:space="preserve">) או באמצעות </w:t>
      </w:r>
      <w:proofErr w:type="spellStart"/>
      <w:r>
        <w:rPr>
          <w:rFonts w:hint="cs"/>
          <w:rtl/>
        </w:rPr>
        <w:t>מינהל</w:t>
      </w:r>
      <w:proofErr w:type="spellEnd"/>
      <w:r>
        <w:rPr>
          <w:rFonts w:hint="cs"/>
          <w:rtl/>
        </w:rPr>
        <w:t xml:space="preserve"> הגבייה הממשלתי (להלן - </w:t>
      </w:r>
      <w:proofErr w:type="spellStart"/>
      <w:r>
        <w:rPr>
          <w:rFonts w:hint="cs"/>
          <w:rtl/>
        </w:rPr>
        <w:t>המנ"ג</w:t>
      </w:r>
      <w:proofErr w:type="spellEnd"/>
      <w:r>
        <w:rPr>
          <w:rFonts w:hint="cs"/>
          <w:rtl/>
        </w:rPr>
        <w:t>), תלוי במאפייני החוב.</w:t>
      </w:r>
    </w:p>
    <w:p w14:paraId="731B0DE0" w14:textId="77777777" w:rsidR="007C4395" w:rsidRDefault="007C4395" w:rsidP="002A738D">
      <w:pPr>
        <w:pStyle w:val="7190"/>
        <w:rPr>
          <w:rtl/>
        </w:rPr>
      </w:pPr>
      <w:r>
        <w:rPr>
          <w:rFonts w:hint="cs"/>
          <w:rtl/>
        </w:rPr>
        <w:t>בלוח הבא מפורט המצב הקיים במספר משרדי ממשלה ויחידות סמך כפי שעולה מבדיקת משרד מבקר המדינה.</w:t>
      </w:r>
    </w:p>
    <w:p w14:paraId="6FF049FA" w14:textId="77777777" w:rsidR="007C4395" w:rsidRDefault="007C4395" w:rsidP="007C4395">
      <w:pPr>
        <w:bidi w:val="0"/>
        <w:spacing w:after="200" w:line="276" w:lineRule="auto"/>
        <w:rPr>
          <w:rtl/>
        </w:rPr>
      </w:pPr>
      <w:r>
        <w:rPr>
          <w:rtl/>
        </w:rPr>
        <w:br w:type="page"/>
      </w:r>
    </w:p>
    <w:p w14:paraId="7052E28B" w14:textId="77777777" w:rsidR="007C4395" w:rsidRPr="006F4D0D" w:rsidRDefault="007C4395" w:rsidP="006F4D0D">
      <w:pPr>
        <w:pStyle w:val="71a"/>
      </w:pPr>
      <w:r w:rsidRPr="006F4D0D">
        <w:rPr>
          <w:rFonts w:hint="cs"/>
          <w:b w:val="0"/>
          <w:bCs w:val="0"/>
          <w:rtl/>
        </w:rPr>
        <w:lastRenderedPageBreak/>
        <w:t>לוח 11:</w:t>
      </w:r>
      <w:r w:rsidRPr="006F4D0D">
        <w:rPr>
          <w:rFonts w:hint="cs"/>
          <w:rtl/>
        </w:rPr>
        <w:t xml:space="preserve"> פירוט המצב הקיים בכמה משרדי ממשלה ויחידות סמך שנבדקו</w:t>
      </w:r>
    </w:p>
    <w:tbl>
      <w:tblPr>
        <w:tblStyle w:val="5-1"/>
        <w:bidiVisual/>
        <w:tblW w:w="0" w:type="auto"/>
        <w:tblInd w:w="70" w:type="dxa"/>
        <w:tblBorders>
          <w:top w:val="none" w:sz="0" w:space="0" w:color="auto"/>
          <w:left w:val="single" w:sz="4" w:space="0" w:color="auto"/>
          <w:bottom w:val="none" w:sz="0" w:space="0" w:color="auto"/>
          <w:right w:val="single" w:sz="4" w:space="0" w:color="auto"/>
          <w:insideH w:val="none" w:sz="0" w:space="0" w:color="auto"/>
          <w:insideV w:val="single" w:sz="4" w:space="0" w:color="auto"/>
        </w:tblBorders>
        <w:tblLook w:val="04A0" w:firstRow="1" w:lastRow="0" w:firstColumn="1" w:lastColumn="0" w:noHBand="0" w:noVBand="1"/>
      </w:tblPr>
      <w:tblGrid>
        <w:gridCol w:w="1644"/>
        <w:gridCol w:w="3118"/>
        <w:gridCol w:w="2494"/>
      </w:tblGrid>
      <w:tr w:rsidR="00DA580B" w14:paraId="6F2F2A61" w14:textId="77777777" w:rsidTr="00C4177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44" w:type="dxa"/>
            <w:tcBorders>
              <w:top w:val="none" w:sz="0" w:space="0" w:color="auto"/>
              <w:left w:val="none" w:sz="0" w:space="0" w:color="auto"/>
              <w:right w:val="none" w:sz="0" w:space="0" w:color="auto"/>
            </w:tcBorders>
            <w:shd w:val="clear" w:color="auto" w:fill="C8DCE4"/>
          </w:tcPr>
          <w:p w14:paraId="36C9EFE6" w14:textId="77777777" w:rsidR="007C4395" w:rsidRPr="009E6326" w:rsidRDefault="007C4395" w:rsidP="00DA580B">
            <w:pPr>
              <w:pStyle w:val="71HEADER"/>
              <w:spacing w:line="240" w:lineRule="auto"/>
              <w:rPr>
                <w:b/>
                <w:rtl/>
              </w:rPr>
            </w:pPr>
            <w:r w:rsidRPr="009E6326">
              <w:rPr>
                <w:rFonts w:hint="cs"/>
                <w:b/>
                <w:rtl/>
              </w:rPr>
              <w:t>הגוף</w:t>
            </w:r>
          </w:p>
        </w:tc>
        <w:tc>
          <w:tcPr>
            <w:tcW w:w="3118" w:type="dxa"/>
            <w:tcBorders>
              <w:top w:val="none" w:sz="0" w:space="0" w:color="auto"/>
              <w:left w:val="none" w:sz="0" w:space="0" w:color="auto"/>
              <w:right w:val="none" w:sz="0" w:space="0" w:color="auto"/>
            </w:tcBorders>
            <w:shd w:val="clear" w:color="auto" w:fill="C8DCE4"/>
          </w:tcPr>
          <w:p w14:paraId="7C0518B4" w14:textId="77777777" w:rsidR="007C4395" w:rsidRPr="009E6326" w:rsidRDefault="007C4395" w:rsidP="00DA580B">
            <w:pPr>
              <w:pStyle w:val="71HEADER"/>
              <w:spacing w:line="240" w:lineRule="auto"/>
              <w:cnfStyle w:val="100000000000" w:firstRow="1" w:lastRow="0" w:firstColumn="0" w:lastColumn="0" w:oddVBand="0" w:evenVBand="0" w:oddHBand="0" w:evenHBand="0" w:firstRowFirstColumn="0" w:firstRowLastColumn="0" w:lastRowFirstColumn="0" w:lastRowLastColumn="0"/>
              <w:rPr>
                <w:b/>
                <w:rtl/>
              </w:rPr>
            </w:pPr>
            <w:r w:rsidRPr="009E6326">
              <w:rPr>
                <w:rFonts w:hint="cs"/>
                <w:b/>
                <w:rtl/>
              </w:rPr>
              <w:t>האם יש נוהל הנוגע לתהליך האכיפה והגבייה?</w:t>
            </w:r>
          </w:p>
        </w:tc>
        <w:tc>
          <w:tcPr>
            <w:tcW w:w="2494" w:type="dxa"/>
            <w:tcBorders>
              <w:top w:val="none" w:sz="0" w:space="0" w:color="auto"/>
              <w:left w:val="none" w:sz="0" w:space="0" w:color="auto"/>
              <w:right w:val="none" w:sz="0" w:space="0" w:color="auto"/>
            </w:tcBorders>
            <w:shd w:val="clear" w:color="auto" w:fill="C8DCE4"/>
          </w:tcPr>
          <w:p w14:paraId="6A919C89" w14:textId="77777777" w:rsidR="007C4395" w:rsidRPr="009E6326" w:rsidRDefault="007C4395" w:rsidP="00DA580B">
            <w:pPr>
              <w:pStyle w:val="71HEADER"/>
              <w:spacing w:line="240" w:lineRule="auto"/>
              <w:cnfStyle w:val="100000000000" w:firstRow="1" w:lastRow="0" w:firstColumn="0" w:lastColumn="0" w:oddVBand="0" w:evenVBand="0" w:oddHBand="0" w:evenHBand="0" w:firstRowFirstColumn="0" w:firstRowLastColumn="0" w:lastRowFirstColumn="0" w:lastRowLastColumn="0"/>
              <w:rPr>
                <w:b/>
                <w:rtl/>
              </w:rPr>
            </w:pPr>
            <w:r w:rsidRPr="009E6326">
              <w:rPr>
                <w:rFonts w:hint="cs"/>
                <w:b/>
                <w:rtl/>
              </w:rPr>
              <w:t>האם הגוף משתמש בסרגל גבייה ואכיפה עבור כל סוג חיוב?</w:t>
            </w:r>
          </w:p>
        </w:tc>
      </w:tr>
      <w:tr w:rsidR="00DA580B" w14:paraId="438AF07B" w14:textId="77777777" w:rsidTr="00C41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Borders>
              <w:left w:val="none" w:sz="0" w:space="0" w:color="auto"/>
            </w:tcBorders>
            <w:shd w:val="clear" w:color="auto" w:fill="DDEAEE"/>
          </w:tcPr>
          <w:p w14:paraId="7F79B9AE" w14:textId="77777777" w:rsidR="007C4395" w:rsidRPr="001369E1" w:rsidRDefault="007C4395" w:rsidP="00DA580B">
            <w:pPr>
              <w:pStyle w:val="71R"/>
              <w:spacing w:line="240" w:lineRule="auto"/>
              <w:rPr>
                <w:rtl/>
              </w:rPr>
            </w:pPr>
            <w:r w:rsidRPr="001369E1">
              <w:rPr>
                <w:rFonts w:hint="cs"/>
                <w:rtl/>
              </w:rPr>
              <w:t>משרד המשפטים</w:t>
            </w:r>
          </w:p>
        </w:tc>
        <w:tc>
          <w:tcPr>
            <w:tcW w:w="3118" w:type="dxa"/>
            <w:shd w:val="clear" w:color="auto" w:fill="DDEAEE"/>
          </w:tcPr>
          <w:p w14:paraId="7BD53E85" w14:textId="77777777" w:rsidR="007C4395" w:rsidRPr="001369E1" w:rsidRDefault="007C4395" w:rsidP="00DA580B">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1369E1">
              <w:rPr>
                <w:rFonts w:hint="cs"/>
                <w:rtl/>
              </w:rPr>
              <w:t>יש טיוטת נוהל "גביית הכנסות וטיפול בחובות" שהופצה להערות. הנוהל צפוי להיות מפורסם השנה בכלל היחידות שיש להן הכנסות וגבייה</w:t>
            </w:r>
          </w:p>
        </w:tc>
        <w:tc>
          <w:tcPr>
            <w:tcW w:w="2494" w:type="dxa"/>
            <w:shd w:val="clear" w:color="auto" w:fill="DDEAEE"/>
          </w:tcPr>
          <w:p w14:paraId="3ECC6D53" w14:textId="77777777" w:rsidR="007C4395" w:rsidRPr="001369E1" w:rsidRDefault="007C4395" w:rsidP="00DA580B">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1369E1">
              <w:rPr>
                <w:rFonts w:hint="cs"/>
                <w:rtl/>
              </w:rPr>
              <w:t>כן</w:t>
            </w:r>
          </w:p>
        </w:tc>
      </w:tr>
      <w:tr w:rsidR="00DA580B" w14:paraId="7DE3407B" w14:textId="77777777" w:rsidTr="00C41778">
        <w:tc>
          <w:tcPr>
            <w:cnfStyle w:val="001000000000" w:firstRow="0" w:lastRow="0" w:firstColumn="1" w:lastColumn="0" w:oddVBand="0" w:evenVBand="0" w:oddHBand="0" w:evenHBand="0" w:firstRowFirstColumn="0" w:firstRowLastColumn="0" w:lastRowFirstColumn="0" w:lastRowLastColumn="0"/>
            <w:tcW w:w="1644" w:type="dxa"/>
            <w:tcBorders>
              <w:left w:val="none" w:sz="0" w:space="0" w:color="auto"/>
            </w:tcBorders>
            <w:shd w:val="clear" w:color="auto" w:fill="EEF6F7"/>
          </w:tcPr>
          <w:p w14:paraId="443864AB" w14:textId="77777777" w:rsidR="007C4395" w:rsidRPr="001369E1" w:rsidRDefault="007C4395" w:rsidP="00DA580B">
            <w:pPr>
              <w:pStyle w:val="71R"/>
              <w:spacing w:line="240" w:lineRule="auto"/>
              <w:rPr>
                <w:rtl/>
              </w:rPr>
            </w:pPr>
            <w:r w:rsidRPr="001369E1">
              <w:rPr>
                <w:rFonts w:hint="cs"/>
                <w:rtl/>
              </w:rPr>
              <w:t>משרד הכלכלה והתעשייה</w:t>
            </w:r>
          </w:p>
        </w:tc>
        <w:tc>
          <w:tcPr>
            <w:tcW w:w="3118" w:type="dxa"/>
            <w:shd w:val="clear" w:color="auto" w:fill="EEF6F7"/>
          </w:tcPr>
          <w:p w14:paraId="427AC0A0" w14:textId="77777777" w:rsidR="007C4395" w:rsidRPr="001369E1" w:rsidRDefault="007C4395" w:rsidP="00DA580B">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1369E1">
              <w:rPr>
                <w:rFonts w:hint="cs"/>
                <w:rtl/>
              </w:rPr>
              <w:t>יש הוראות מנכ"ל בעניין הליך גביית חובות ונוהל עבודה בעניין טיפול בחייבים לרשות ההשקעות. כמו כן, בשנת 2021 הוחל בעדכון נוהל הגבייה הכללי במשרד</w:t>
            </w:r>
          </w:p>
        </w:tc>
        <w:tc>
          <w:tcPr>
            <w:tcW w:w="2494" w:type="dxa"/>
            <w:shd w:val="clear" w:color="auto" w:fill="EEF6F7"/>
          </w:tcPr>
          <w:p w14:paraId="7A3C7F0E" w14:textId="77777777" w:rsidR="007C4395" w:rsidRPr="001369E1" w:rsidRDefault="007C4395" w:rsidP="00DA580B">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1369E1">
              <w:rPr>
                <w:rFonts w:hint="cs"/>
                <w:rtl/>
              </w:rPr>
              <w:t>כן</w:t>
            </w:r>
          </w:p>
        </w:tc>
      </w:tr>
      <w:tr w:rsidR="00DA580B" w14:paraId="571C2405" w14:textId="77777777" w:rsidTr="00C41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Borders>
              <w:left w:val="none" w:sz="0" w:space="0" w:color="auto"/>
            </w:tcBorders>
            <w:shd w:val="clear" w:color="auto" w:fill="DDEAEE"/>
          </w:tcPr>
          <w:p w14:paraId="122DAD64" w14:textId="77777777" w:rsidR="007C4395" w:rsidRPr="001369E1" w:rsidRDefault="007C4395" w:rsidP="00DA580B">
            <w:pPr>
              <w:pStyle w:val="71R"/>
              <w:spacing w:line="240" w:lineRule="auto"/>
              <w:rPr>
                <w:rtl/>
              </w:rPr>
            </w:pPr>
            <w:r w:rsidRPr="001369E1">
              <w:rPr>
                <w:rFonts w:hint="cs"/>
                <w:rtl/>
              </w:rPr>
              <w:t>המשרד לביטחון הפנים</w:t>
            </w:r>
          </w:p>
        </w:tc>
        <w:tc>
          <w:tcPr>
            <w:tcW w:w="3118" w:type="dxa"/>
            <w:shd w:val="clear" w:color="auto" w:fill="DDEAEE"/>
          </w:tcPr>
          <w:p w14:paraId="7D618ECB" w14:textId="77777777" w:rsidR="007C4395" w:rsidRPr="001369E1" w:rsidRDefault="007C4395" w:rsidP="00DA580B">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1369E1">
              <w:rPr>
                <w:rFonts w:hint="cs"/>
                <w:rtl/>
              </w:rPr>
              <w:t>יש נוהל עבודה בנושא הכנסות וגבייה בגין אגרות כבאות</w:t>
            </w:r>
          </w:p>
        </w:tc>
        <w:tc>
          <w:tcPr>
            <w:tcW w:w="2494" w:type="dxa"/>
            <w:shd w:val="clear" w:color="auto" w:fill="DDEAEE"/>
          </w:tcPr>
          <w:p w14:paraId="22B00E2A" w14:textId="77777777" w:rsidR="007C4395" w:rsidRPr="001369E1" w:rsidRDefault="007C4395" w:rsidP="00DA580B">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1369E1">
              <w:rPr>
                <w:rFonts w:hint="cs"/>
                <w:rtl/>
              </w:rPr>
              <w:t xml:space="preserve">המשרד לא אימץ סרגל גבייה ואכיפה משרדי, אך בפועל חוב שלא שולם במהלך חצי שנה מהמועד האחרון לתשלום נשלח לטיפול אכיפתי של </w:t>
            </w:r>
            <w:proofErr w:type="spellStart"/>
            <w:r w:rsidRPr="001369E1">
              <w:rPr>
                <w:rFonts w:hint="cs"/>
                <w:rtl/>
              </w:rPr>
              <w:t>המג"ק</w:t>
            </w:r>
            <w:proofErr w:type="spellEnd"/>
          </w:p>
        </w:tc>
      </w:tr>
      <w:tr w:rsidR="00DA580B" w14:paraId="68475F67" w14:textId="77777777" w:rsidTr="00C41778">
        <w:tc>
          <w:tcPr>
            <w:cnfStyle w:val="001000000000" w:firstRow="0" w:lastRow="0" w:firstColumn="1" w:lastColumn="0" w:oddVBand="0" w:evenVBand="0" w:oddHBand="0" w:evenHBand="0" w:firstRowFirstColumn="0" w:firstRowLastColumn="0" w:lastRowFirstColumn="0" w:lastRowLastColumn="0"/>
            <w:tcW w:w="1644" w:type="dxa"/>
            <w:tcBorders>
              <w:left w:val="none" w:sz="0" w:space="0" w:color="auto"/>
            </w:tcBorders>
            <w:shd w:val="clear" w:color="auto" w:fill="EEF6F7"/>
          </w:tcPr>
          <w:p w14:paraId="6D9EA795" w14:textId="77777777" w:rsidR="007C4395" w:rsidRPr="001369E1" w:rsidRDefault="007C4395" w:rsidP="00DA580B">
            <w:pPr>
              <w:pStyle w:val="71R"/>
              <w:spacing w:line="240" w:lineRule="auto"/>
              <w:rPr>
                <w:rtl/>
              </w:rPr>
            </w:pPr>
            <w:r w:rsidRPr="001369E1">
              <w:rPr>
                <w:rFonts w:hint="cs"/>
                <w:rtl/>
              </w:rPr>
              <w:t>הנהלת בתי המשפט</w:t>
            </w:r>
          </w:p>
        </w:tc>
        <w:tc>
          <w:tcPr>
            <w:tcW w:w="3118" w:type="dxa"/>
            <w:shd w:val="clear" w:color="auto" w:fill="EEF6F7"/>
          </w:tcPr>
          <w:p w14:paraId="7A90022D" w14:textId="77777777" w:rsidR="007C4395" w:rsidRPr="001369E1" w:rsidRDefault="007C4395" w:rsidP="00DA580B">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1369E1">
              <w:rPr>
                <w:rFonts w:hint="cs"/>
                <w:rtl/>
              </w:rPr>
              <w:t>אין נוהל כתוב</w:t>
            </w:r>
          </w:p>
        </w:tc>
        <w:tc>
          <w:tcPr>
            <w:tcW w:w="2494" w:type="dxa"/>
            <w:shd w:val="clear" w:color="auto" w:fill="EEF6F7"/>
          </w:tcPr>
          <w:p w14:paraId="01B06CB7" w14:textId="77777777" w:rsidR="007C4395" w:rsidRPr="001369E1" w:rsidRDefault="007C4395" w:rsidP="00DA580B">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1369E1">
              <w:rPr>
                <w:rFonts w:hint="cs"/>
                <w:rtl/>
              </w:rPr>
              <w:t xml:space="preserve">לא </w:t>
            </w:r>
          </w:p>
        </w:tc>
      </w:tr>
      <w:tr w:rsidR="00DA580B" w14:paraId="7B5E36C4" w14:textId="77777777" w:rsidTr="00C41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Borders>
              <w:left w:val="none" w:sz="0" w:space="0" w:color="auto"/>
            </w:tcBorders>
            <w:shd w:val="clear" w:color="auto" w:fill="DDEAEE"/>
          </w:tcPr>
          <w:p w14:paraId="1523D1BB" w14:textId="77777777" w:rsidR="007C4395" w:rsidRPr="001369E1" w:rsidRDefault="007C4395" w:rsidP="00DA580B">
            <w:pPr>
              <w:pStyle w:val="71R"/>
              <w:spacing w:line="240" w:lineRule="auto"/>
              <w:rPr>
                <w:rtl/>
              </w:rPr>
            </w:pPr>
            <w:r w:rsidRPr="001369E1">
              <w:rPr>
                <w:rFonts w:hint="cs"/>
                <w:rtl/>
              </w:rPr>
              <w:t>משרד הבינוי והשיכון</w:t>
            </w:r>
          </w:p>
        </w:tc>
        <w:tc>
          <w:tcPr>
            <w:tcW w:w="3118" w:type="dxa"/>
            <w:shd w:val="clear" w:color="auto" w:fill="DDEAEE"/>
          </w:tcPr>
          <w:p w14:paraId="1A31BF37" w14:textId="77777777" w:rsidR="007C4395" w:rsidRPr="001369E1" w:rsidRDefault="007C4395" w:rsidP="00DA580B">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1369E1">
              <w:rPr>
                <w:rFonts w:hint="cs"/>
                <w:rtl/>
              </w:rPr>
              <w:t>בנושא הדיור הציבורי יש הנחייה מ-2009. נוסף על כך, תהליכי האכיפה והגבייה מעוגנים בהסכמים עם החברות המשכנות דיירים בדיור הציבורי, שמכוח ההסכם בין המשרד לבינן אחראיות על האכיפה והגבייה של שכר הדירה מהדיירים.</w:t>
            </w:r>
          </w:p>
          <w:p w14:paraId="01815103" w14:textId="77777777" w:rsidR="007C4395" w:rsidRPr="001369E1" w:rsidRDefault="007C4395" w:rsidP="00DA580B">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1369E1">
              <w:rPr>
                <w:rFonts w:hint="cs"/>
                <w:rtl/>
              </w:rPr>
              <w:t>בנושא מקבלי סיוע בשכר דירה - פורסם נוהל שעובר כרגע תיקונים.</w:t>
            </w:r>
          </w:p>
        </w:tc>
        <w:tc>
          <w:tcPr>
            <w:tcW w:w="2494" w:type="dxa"/>
            <w:shd w:val="clear" w:color="auto" w:fill="DDEAEE"/>
          </w:tcPr>
          <w:p w14:paraId="590DA420" w14:textId="77777777" w:rsidR="007C4395" w:rsidRPr="001369E1" w:rsidRDefault="007C4395" w:rsidP="00DA580B">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1369E1">
              <w:rPr>
                <w:rFonts w:hint="cs"/>
                <w:rtl/>
              </w:rPr>
              <w:t>כן, בתחומים של דיור ציבורי ושל סיוע בשכר דירה</w:t>
            </w:r>
          </w:p>
        </w:tc>
      </w:tr>
      <w:tr w:rsidR="00DA580B" w14:paraId="4C0429A1" w14:textId="77777777" w:rsidTr="00C41778">
        <w:tc>
          <w:tcPr>
            <w:cnfStyle w:val="001000000000" w:firstRow="0" w:lastRow="0" w:firstColumn="1" w:lastColumn="0" w:oddVBand="0" w:evenVBand="0" w:oddHBand="0" w:evenHBand="0" w:firstRowFirstColumn="0" w:firstRowLastColumn="0" w:lastRowFirstColumn="0" w:lastRowLastColumn="0"/>
            <w:tcW w:w="1644" w:type="dxa"/>
            <w:tcBorders>
              <w:left w:val="none" w:sz="0" w:space="0" w:color="auto"/>
            </w:tcBorders>
            <w:shd w:val="clear" w:color="auto" w:fill="EEF6F7"/>
          </w:tcPr>
          <w:p w14:paraId="6867EC05" w14:textId="77777777" w:rsidR="007C4395" w:rsidRPr="001369E1" w:rsidRDefault="007C4395" w:rsidP="00DA580B">
            <w:pPr>
              <w:pStyle w:val="71R"/>
              <w:spacing w:line="240" w:lineRule="auto"/>
              <w:rPr>
                <w:rtl/>
              </w:rPr>
            </w:pPr>
            <w:r w:rsidRPr="001369E1">
              <w:rPr>
                <w:rFonts w:hint="cs"/>
                <w:rtl/>
              </w:rPr>
              <w:t>רשות מקרקעי ישראל</w:t>
            </w:r>
          </w:p>
        </w:tc>
        <w:tc>
          <w:tcPr>
            <w:tcW w:w="3118" w:type="dxa"/>
            <w:shd w:val="clear" w:color="auto" w:fill="EEF6F7"/>
          </w:tcPr>
          <w:p w14:paraId="75D66E87" w14:textId="77777777" w:rsidR="007C4395" w:rsidRPr="001369E1" w:rsidRDefault="007C4395" w:rsidP="00DA580B">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1369E1">
              <w:rPr>
                <w:rFonts w:hint="cs"/>
                <w:rtl/>
              </w:rPr>
              <w:t>יש נוהל גביית חובות (פורסם במרץ 2021)</w:t>
            </w:r>
          </w:p>
        </w:tc>
        <w:tc>
          <w:tcPr>
            <w:tcW w:w="2494" w:type="dxa"/>
            <w:shd w:val="clear" w:color="auto" w:fill="EEF6F7"/>
          </w:tcPr>
          <w:p w14:paraId="3E5B34C4" w14:textId="77777777" w:rsidR="007C4395" w:rsidRPr="001369E1" w:rsidRDefault="007C4395" w:rsidP="00DA580B">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1369E1">
              <w:rPr>
                <w:rFonts w:hint="cs"/>
                <w:rtl/>
              </w:rPr>
              <w:t>כן</w:t>
            </w:r>
          </w:p>
        </w:tc>
      </w:tr>
      <w:tr w:rsidR="00DA580B" w14:paraId="5FCCC7AB" w14:textId="77777777" w:rsidTr="00C41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Borders>
              <w:left w:val="none" w:sz="0" w:space="0" w:color="auto"/>
            </w:tcBorders>
            <w:shd w:val="clear" w:color="auto" w:fill="DDEAEE"/>
          </w:tcPr>
          <w:p w14:paraId="56BDEAF1" w14:textId="77777777" w:rsidR="007C4395" w:rsidRPr="001369E1" w:rsidRDefault="007C4395" w:rsidP="00DA580B">
            <w:pPr>
              <w:pStyle w:val="71R"/>
              <w:spacing w:line="240" w:lineRule="auto"/>
              <w:rPr>
                <w:rtl/>
              </w:rPr>
            </w:pPr>
            <w:r w:rsidRPr="001369E1">
              <w:rPr>
                <w:rFonts w:hint="cs"/>
                <w:rtl/>
              </w:rPr>
              <w:t xml:space="preserve">משרד התחבורה </w:t>
            </w:r>
          </w:p>
        </w:tc>
        <w:tc>
          <w:tcPr>
            <w:tcW w:w="3118" w:type="dxa"/>
            <w:shd w:val="clear" w:color="auto" w:fill="DDEAEE"/>
          </w:tcPr>
          <w:p w14:paraId="4EEAF724" w14:textId="77777777" w:rsidR="007C4395" w:rsidRPr="001369E1" w:rsidRDefault="007C4395" w:rsidP="00DA580B">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1369E1">
              <w:rPr>
                <w:rFonts w:hint="cs"/>
                <w:rtl/>
              </w:rPr>
              <w:t xml:space="preserve">בתקופת הביקורת המשרד בעיצומו של כתיבת נוהל חייבים העוסק בנושאים הייחודיים של המשרד </w:t>
            </w:r>
          </w:p>
        </w:tc>
        <w:tc>
          <w:tcPr>
            <w:tcW w:w="2494" w:type="dxa"/>
            <w:shd w:val="clear" w:color="auto" w:fill="DDEAEE"/>
          </w:tcPr>
          <w:p w14:paraId="271806E2" w14:textId="77777777" w:rsidR="007C4395" w:rsidRPr="001369E1" w:rsidRDefault="007C4395" w:rsidP="00DA580B">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1369E1">
              <w:rPr>
                <w:rFonts w:hint="cs"/>
                <w:rtl/>
              </w:rPr>
              <w:t>המשרד בתהליך הטמעת סרגל אכיפה עבור אגרות הרכב, שהן עיקר החייבים במשרד. אלו האגרות היחידות אשר התשלום עליהן אינו מראש, כך שיכול להיווצר חוב (שלא כשאר האגרות, שהן שירות המותנה בתשלום)</w:t>
            </w:r>
          </w:p>
        </w:tc>
      </w:tr>
      <w:tr w:rsidR="00DA580B" w14:paraId="1FEC1E61" w14:textId="77777777" w:rsidTr="00C41778">
        <w:tc>
          <w:tcPr>
            <w:cnfStyle w:val="001000000000" w:firstRow="0" w:lastRow="0" w:firstColumn="1" w:lastColumn="0" w:oddVBand="0" w:evenVBand="0" w:oddHBand="0" w:evenHBand="0" w:firstRowFirstColumn="0" w:firstRowLastColumn="0" w:lastRowFirstColumn="0" w:lastRowLastColumn="0"/>
            <w:tcW w:w="1644" w:type="dxa"/>
            <w:tcBorders>
              <w:left w:val="none" w:sz="0" w:space="0" w:color="auto"/>
            </w:tcBorders>
            <w:shd w:val="clear" w:color="auto" w:fill="EEF6F7"/>
          </w:tcPr>
          <w:p w14:paraId="4E14D478" w14:textId="77777777" w:rsidR="007C4395" w:rsidRPr="001369E1" w:rsidRDefault="007C4395" w:rsidP="00DA580B">
            <w:pPr>
              <w:pStyle w:val="71R"/>
              <w:spacing w:line="240" w:lineRule="auto"/>
            </w:pPr>
            <w:r w:rsidRPr="001369E1">
              <w:rPr>
                <w:rFonts w:hint="cs"/>
                <w:rtl/>
              </w:rPr>
              <w:t>משרד הבריאות</w:t>
            </w:r>
          </w:p>
        </w:tc>
        <w:tc>
          <w:tcPr>
            <w:tcW w:w="3118" w:type="dxa"/>
            <w:shd w:val="clear" w:color="auto" w:fill="EEF6F7"/>
          </w:tcPr>
          <w:p w14:paraId="1027E846" w14:textId="77777777" w:rsidR="007C4395" w:rsidRPr="001369E1" w:rsidRDefault="007C4395" w:rsidP="00DA580B">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1369E1">
              <w:rPr>
                <w:rFonts w:hint="cs"/>
                <w:rtl/>
              </w:rPr>
              <w:t>יש כמה נוהלי גבייה (חלקם ברמת טיוטה): נוהל גבייה בבתי חולים ממשלתיים, נוהל גבייה בנושא מימון אשפוז סיעודי ונוהל גבייה בנושא שיקום וניידות</w:t>
            </w:r>
          </w:p>
        </w:tc>
        <w:tc>
          <w:tcPr>
            <w:tcW w:w="2494" w:type="dxa"/>
            <w:shd w:val="clear" w:color="auto" w:fill="EEF6F7"/>
          </w:tcPr>
          <w:p w14:paraId="66066F63" w14:textId="77777777" w:rsidR="007C4395" w:rsidRPr="001369E1" w:rsidRDefault="007C4395" w:rsidP="00DA580B">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1369E1">
              <w:rPr>
                <w:rFonts w:hint="cs"/>
                <w:rtl/>
              </w:rPr>
              <w:t>נוהלי הגבייה כוללים סרגלי אכיפה וגבייה</w:t>
            </w:r>
          </w:p>
        </w:tc>
      </w:tr>
      <w:tr w:rsidR="00DA580B" w14:paraId="3D1912AB" w14:textId="77777777" w:rsidTr="00C41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Borders>
              <w:left w:val="none" w:sz="0" w:space="0" w:color="auto"/>
            </w:tcBorders>
            <w:shd w:val="clear" w:color="auto" w:fill="EEF6F7"/>
          </w:tcPr>
          <w:p w14:paraId="40563AEB" w14:textId="77777777" w:rsidR="007C4395" w:rsidRPr="001369E1" w:rsidRDefault="007C4395" w:rsidP="00DA580B">
            <w:pPr>
              <w:pStyle w:val="71R"/>
              <w:spacing w:line="240" w:lineRule="auto"/>
              <w:rPr>
                <w:rtl/>
              </w:rPr>
            </w:pPr>
            <w:r w:rsidRPr="001369E1">
              <w:rPr>
                <w:rFonts w:hint="cs"/>
                <w:rtl/>
              </w:rPr>
              <w:lastRenderedPageBreak/>
              <w:t xml:space="preserve">משרד </w:t>
            </w:r>
            <w:proofErr w:type="spellStart"/>
            <w:r w:rsidRPr="001369E1">
              <w:rPr>
                <w:rFonts w:hint="cs"/>
                <w:rtl/>
              </w:rPr>
              <w:t>האנרגייה</w:t>
            </w:r>
            <w:proofErr w:type="spellEnd"/>
          </w:p>
        </w:tc>
        <w:tc>
          <w:tcPr>
            <w:tcW w:w="3118" w:type="dxa"/>
            <w:shd w:val="clear" w:color="auto" w:fill="EEF6F7"/>
          </w:tcPr>
          <w:p w14:paraId="471F0E61" w14:textId="77777777" w:rsidR="007C4395" w:rsidRPr="001369E1" w:rsidRDefault="007C4395" w:rsidP="00DA580B">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1369E1">
              <w:rPr>
                <w:rFonts w:hint="cs"/>
                <w:rtl/>
              </w:rPr>
              <w:t xml:space="preserve">אין נוהל משרדי. המשרד מאמץ את הוראת </w:t>
            </w:r>
            <w:proofErr w:type="spellStart"/>
            <w:r w:rsidRPr="001369E1">
              <w:rPr>
                <w:rFonts w:hint="cs"/>
                <w:rtl/>
              </w:rPr>
              <w:t>התכ"ם</w:t>
            </w:r>
            <w:proofErr w:type="spellEnd"/>
            <w:r w:rsidRPr="001369E1">
              <w:rPr>
                <w:rFonts w:hint="cs"/>
                <w:rtl/>
              </w:rPr>
              <w:t xml:space="preserve"> בתחום הגבייה כלשונה, כנוהל המשרד</w:t>
            </w:r>
          </w:p>
        </w:tc>
        <w:tc>
          <w:tcPr>
            <w:tcW w:w="2494" w:type="dxa"/>
            <w:shd w:val="clear" w:color="auto" w:fill="EEF6F7"/>
          </w:tcPr>
          <w:p w14:paraId="0D77843F" w14:textId="77777777" w:rsidR="007C4395" w:rsidRPr="001369E1" w:rsidRDefault="007C4395" w:rsidP="00DA580B">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1369E1">
              <w:rPr>
                <w:rFonts w:hint="cs"/>
                <w:rtl/>
              </w:rPr>
              <w:t>כן, בגין חיובי קנסות. אשר ליתר החיובים, אימוץ סרגל גבייה ואכיפה אינו רלוונטי</w:t>
            </w:r>
          </w:p>
        </w:tc>
      </w:tr>
      <w:tr w:rsidR="00DA580B" w14:paraId="14FEAD95" w14:textId="77777777" w:rsidTr="00C41778">
        <w:tc>
          <w:tcPr>
            <w:cnfStyle w:val="001000000000" w:firstRow="0" w:lastRow="0" w:firstColumn="1" w:lastColumn="0" w:oddVBand="0" w:evenVBand="0" w:oddHBand="0" w:evenHBand="0" w:firstRowFirstColumn="0" w:firstRowLastColumn="0" w:lastRowFirstColumn="0" w:lastRowLastColumn="0"/>
            <w:tcW w:w="1644" w:type="dxa"/>
            <w:tcBorders>
              <w:left w:val="none" w:sz="0" w:space="0" w:color="auto"/>
              <w:bottom w:val="none" w:sz="0" w:space="0" w:color="auto"/>
            </w:tcBorders>
            <w:shd w:val="clear" w:color="auto" w:fill="DDEAEE"/>
          </w:tcPr>
          <w:p w14:paraId="05EE034A" w14:textId="77777777" w:rsidR="007C4395" w:rsidRPr="001369E1" w:rsidRDefault="007C4395" w:rsidP="00DA580B">
            <w:pPr>
              <w:pStyle w:val="71R"/>
              <w:spacing w:line="240" w:lineRule="auto"/>
              <w:rPr>
                <w:rtl/>
              </w:rPr>
            </w:pPr>
            <w:r w:rsidRPr="001369E1">
              <w:rPr>
                <w:rFonts w:hint="cs"/>
                <w:rtl/>
              </w:rPr>
              <w:t>הרשות הממשלתית למים ולביוב</w:t>
            </w:r>
          </w:p>
        </w:tc>
        <w:tc>
          <w:tcPr>
            <w:tcW w:w="3118" w:type="dxa"/>
            <w:shd w:val="clear" w:color="auto" w:fill="DDEAEE"/>
          </w:tcPr>
          <w:p w14:paraId="1700E735" w14:textId="77777777" w:rsidR="007C4395" w:rsidRPr="001369E1" w:rsidRDefault="007C4395" w:rsidP="00DA580B">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1369E1">
              <w:rPr>
                <w:rFonts w:hint="cs"/>
                <w:rtl/>
              </w:rPr>
              <w:t xml:space="preserve">לא. מאז הקמת יחידת הגבייה הממשלתית ברשות האכיפה והגבייה, הרשות איננה נוקטת הליכי אכיפה וגבייה, ואת החובות שלא ניתן לגבות היא מעבירה לגבייה באמצעות </w:t>
            </w:r>
            <w:proofErr w:type="spellStart"/>
            <w:r w:rsidRPr="001369E1">
              <w:rPr>
                <w:rFonts w:hint="cs"/>
                <w:rtl/>
              </w:rPr>
              <w:t>המג"ק</w:t>
            </w:r>
            <w:proofErr w:type="spellEnd"/>
          </w:p>
        </w:tc>
        <w:tc>
          <w:tcPr>
            <w:tcW w:w="2494" w:type="dxa"/>
            <w:shd w:val="clear" w:color="auto" w:fill="DDEAEE"/>
          </w:tcPr>
          <w:p w14:paraId="18B28E02" w14:textId="77777777" w:rsidR="007C4395" w:rsidRPr="001369E1" w:rsidRDefault="007C4395" w:rsidP="00DA580B">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1369E1">
              <w:rPr>
                <w:rFonts w:hint="cs"/>
                <w:rtl/>
              </w:rPr>
              <w:t xml:space="preserve">כן, מתבצעת העברה לגבייה </w:t>
            </w:r>
            <w:proofErr w:type="spellStart"/>
            <w:r w:rsidRPr="001369E1">
              <w:rPr>
                <w:rFonts w:hint="cs"/>
                <w:rtl/>
              </w:rPr>
              <w:t>במג"ק</w:t>
            </w:r>
            <w:proofErr w:type="spellEnd"/>
            <w:r w:rsidRPr="001369E1">
              <w:rPr>
                <w:rFonts w:hint="cs"/>
                <w:rtl/>
              </w:rPr>
              <w:t xml:space="preserve"> בתחילת השנה העוקבת</w:t>
            </w:r>
            <w:r w:rsidRPr="00DA580B">
              <w:rPr>
                <w:rStyle w:val="ac"/>
                <w:rtl/>
              </w:rPr>
              <w:footnoteReference w:id="55"/>
            </w:r>
          </w:p>
        </w:tc>
      </w:tr>
    </w:tbl>
    <w:p w14:paraId="0955F237" w14:textId="77777777" w:rsidR="007C4395" w:rsidRPr="00DA580B" w:rsidRDefault="007C4395" w:rsidP="00DA580B">
      <w:pPr>
        <w:pStyle w:val="71c"/>
        <w:rPr>
          <w:rtl/>
        </w:rPr>
      </w:pPr>
      <w:r w:rsidRPr="00DA580B">
        <w:rPr>
          <w:rFonts w:hint="eastAsia"/>
          <w:rtl/>
        </w:rPr>
        <w:t>המקור</w:t>
      </w:r>
      <w:r w:rsidRPr="00DA580B">
        <w:rPr>
          <w:rtl/>
        </w:rPr>
        <w:t>: תשובות הגופים האמורים למשרד מבקר המדינה.</w:t>
      </w:r>
    </w:p>
    <w:p w14:paraId="665C89E0" w14:textId="77777777" w:rsidR="007C4395" w:rsidRDefault="007C4395" w:rsidP="003B2683">
      <w:pPr>
        <w:pStyle w:val="71f4"/>
        <w:rPr>
          <w:rtl/>
        </w:rPr>
      </w:pPr>
      <w:r w:rsidRPr="008A2693">
        <w:rPr>
          <w:rFonts w:hint="cs"/>
          <w:rtl/>
        </w:rPr>
        <w:t xml:space="preserve">משרד מבקר המדינה מציין כי פרסום הוראת </w:t>
      </w:r>
      <w:proofErr w:type="spellStart"/>
      <w:r w:rsidRPr="008A2693">
        <w:rPr>
          <w:rFonts w:hint="cs"/>
          <w:rtl/>
        </w:rPr>
        <w:t>התכ"ם</w:t>
      </w:r>
      <w:proofErr w:type="spellEnd"/>
      <w:r w:rsidRPr="008A2693">
        <w:rPr>
          <w:rFonts w:hint="cs"/>
          <w:rtl/>
        </w:rPr>
        <w:t xml:space="preserve"> בתחום הגבייה, עם נ</w:t>
      </w:r>
      <w:r>
        <w:rPr>
          <w:rFonts w:hint="cs"/>
          <w:rtl/>
        </w:rPr>
        <w:t>ו</w:t>
      </w:r>
      <w:r w:rsidRPr="008A2693">
        <w:rPr>
          <w:rFonts w:hint="cs"/>
          <w:rtl/>
        </w:rPr>
        <w:t>הלי הגבייה במשרדי הממשלה ויחידות הסמך השונות, ה</w:t>
      </w:r>
      <w:r>
        <w:rPr>
          <w:rFonts w:hint="cs"/>
          <w:rtl/>
        </w:rPr>
        <w:t>וא</w:t>
      </w:r>
      <w:r w:rsidRPr="008A2693">
        <w:rPr>
          <w:rFonts w:hint="cs"/>
          <w:rtl/>
        </w:rPr>
        <w:t xml:space="preserve"> צעד חשוב לצורך העמקת פעילות גביית החובות בממשלה.</w:t>
      </w:r>
    </w:p>
    <w:p w14:paraId="07225648" w14:textId="77777777" w:rsidR="007C4395" w:rsidRDefault="007C4395" w:rsidP="003B2683">
      <w:pPr>
        <w:pStyle w:val="71f4"/>
        <w:rPr>
          <w:rtl/>
        </w:rPr>
      </w:pPr>
      <w:r>
        <w:rPr>
          <w:rFonts w:hint="cs"/>
          <w:rtl/>
        </w:rPr>
        <w:t xml:space="preserve">מלוח 11 עולה כי בשלושה משרדי ממשלה וגופי סמך מתוך עשרה שנבדקו בביקורת - במשרד לביטחון הפנים, בהנהלת בתי המשפט, ובמשרד התחבורה - לא הוסדרו סרגלי גבייה ואכיפה או הוסדרו באופן חלקי. </w:t>
      </w:r>
    </w:p>
    <w:p w14:paraId="4B54BDF4" w14:textId="77777777" w:rsidR="007C4395" w:rsidRDefault="007C4395" w:rsidP="003B2683">
      <w:pPr>
        <w:pStyle w:val="71f4"/>
        <w:rPr>
          <w:rtl/>
        </w:rPr>
      </w:pPr>
      <w:r w:rsidRPr="0088339D">
        <w:rPr>
          <w:rFonts w:hint="cs"/>
          <w:rtl/>
        </w:rPr>
        <w:t xml:space="preserve">כדי למצות את פוטנציאל הגבייה, </w:t>
      </w:r>
      <w:r>
        <w:rPr>
          <w:rFonts w:hint="cs"/>
          <w:rtl/>
        </w:rPr>
        <w:t>מומלץ</w:t>
      </w:r>
      <w:r w:rsidRPr="0088339D">
        <w:rPr>
          <w:rFonts w:hint="cs"/>
          <w:rtl/>
        </w:rPr>
        <w:t xml:space="preserve"> כי אגף </w:t>
      </w:r>
      <w:proofErr w:type="spellStart"/>
      <w:r w:rsidRPr="0088339D">
        <w:rPr>
          <w:rFonts w:hint="cs"/>
          <w:rtl/>
        </w:rPr>
        <w:t>החשכ"ל</w:t>
      </w:r>
      <w:proofErr w:type="spellEnd"/>
      <w:r w:rsidRPr="0088339D">
        <w:rPr>
          <w:rFonts w:hint="cs"/>
          <w:rtl/>
        </w:rPr>
        <w:t xml:space="preserve"> </w:t>
      </w:r>
      <w:r>
        <w:rPr>
          <w:rFonts w:hint="cs"/>
          <w:rtl/>
        </w:rPr>
        <w:t xml:space="preserve">יפקח על יישום ההוראה ועל הסדרת </w:t>
      </w:r>
      <w:r w:rsidRPr="0088339D">
        <w:rPr>
          <w:rFonts w:hint="cs"/>
          <w:rtl/>
        </w:rPr>
        <w:t>סרגל הגבייה והאכיפה</w:t>
      </w:r>
      <w:r>
        <w:rPr>
          <w:rFonts w:hint="cs"/>
          <w:rtl/>
        </w:rPr>
        <w:t xml:space="preserve"> בכלל משרדי הממשלה. עוד מומלץ כי משרדי הממשלה שכבר יישמו את ההוראה והסדירו את סרגל הגבייה והאכיפה יבחנו מדי פעם בפעם את יעילותו והתאמתו בפועל לסוגי החיובים.</w:t>
      </w:r>
    </w:p>
    <w:p w14:paraId="0D082385" w14:textId="77777777" w:rsidR="007C4395" w:rsidRDefault="007C4395" w:rsidP="002A738D">
      <w:pPr>
        <w:pStyle w:val="7190"/>
        <w:rPr>
          <w:rtl/>
        </w:rPr>
      </w:pPr>
      <w:r>
        <w:rPr>
          <w:rFonts w:hint="cs"/>
          <w:rtl/>
        </w:rPr>
        <w:t xml:space="preserve">בתשובת אגף </w:t>
      </w:r>
      <w:proofErr w:type="spellStart"/>
      <w:r>
        <w:rPr>
          <w:rFonts w:hint="cs"/>
          <w:rtl/>
        </w:rPr>
        <w:t>החשכ"ל</w:t>
      </w:r>
      <w:proofErr w:type="spellEnd"/>
      <w:r>
        <w:rPr>
          <w:rFonts w:hint="cs"/>
          <w:rtl/>
        </w:rPr>
        <w:t xml:space="preserve"> צוין כי באחריות המשרדים הממשלתיים לפעול בהתאם להוראה, כי החשב הכללי בוחן את הנושא מדי פעם בפעם, וכי היעדים שהוכנסו לתוכנית העבודה כוללים יעד בנושא "קביעת יעדי גבייה בשיתוף חשב המשרד ובחינת העמידה ביעד", במטרה להגיע לסרגל גבייה יעיל ואפקטיבי.</w:t>
      </w:r>
    </w:p>
    <w:p w14:paraId="0C474BAF" w14:textId="77777777" w:rsidR="007C4395" w:rsidRDefault="007C4395" w:rsidP="002A738D">
      <w:pPr>
        <w:pStyle w:val="7190"/>
        <w:rPr>
          <w:rtl/>
        </w:rPr>
      </w:pPr>
      <w:r>
        <w:rPr>
          <w:rFonts w:hint="cs"/>
          <w:rtl/>
        </w:rPr>
        <w:t xml:space="preserve">בתשובת המשרד לביטחון הפנים מינואר 2022 (להלן - תשובת המשרד לביטחון הפנים) צוין כי </w:t>
      </w:r>
      <w:r>
        <w:rPr>
          <w:rtl/>
        </w:rPr>
        <w:t xml:space="preserve">בהתאם להוראת </w:t>
      </w:r>
      <w:proofErr w:type="spellStart"/>
      <w:r>
        <w:rPr>
          <w:rFonts w:hint="cs"/>
          <w:rtl/>
        </w:rPr>
        <w:t>ה</w:t>
      </w:r>
      <w:r>
        <w:rPr>
          <w:rtl/>
        </w:rPr>
        <w:t>תכ"</w:t>
      </w:r>
      <w:r>
        <w:rPr>
          <w:rFonts w:hint="cs"/>
          <w:rtl/>
        </w:rPr>
        <w:t>ם</w:t>
      </w:r>
      <w:proofErr w:type="spellEnd"/>
      <w:r>
        <w:rPr>
          <w:rtl/>
        </w:rPr>
        <w:t xml:space="preserve">, יש להתחיל הליך אכיפתי </w:t>
      </w:r>
      <w:r>
        <w:rPr>
          <w:rFonts w:hint="cs"/>
          <w:rtl/>
        </w:rPr>
        <w:t xml:space="preserve">לגבי </w:t>
      </w:r>
      <w:r>
        <w:rPr>
          <w:rtl/>
        </w:rPr>
        <w:t xml:space="preserve">חוב שלא שולם </w:t>
      </w:r>
      <w:r>
        <w:rPr>
          <w:rFonts w:hint="cs"/>
          <w:rtl/>
        </w:rPr>
        <w:t>ב</w:t>
      </w:r>
      <w:r>
        <w:rPr>
          <w:rtl/>
        </w:rPr>
        <w:t>תוך</w:t>
      </w:r>
      <w:r>
        <w:rPr>
          <w:rFonts w:hint="cs"/>
          <w:rtl/>
        </w:rPr>
        <w:t xml:space="preserve"> </w:t>
      </w:r>
      <w:r>
        <w:rPr>
          <w:rtl/>
        </w:rPr>
        <w:t xml:space="preserve">45 יום. </w:t>
      </w:r>
      <w:r>
        <w:rPr>
          <w:rFonts w:hint="cs"/>
          <w:rtl/>
        </w:rPr>
        <w:t xml:space="preserve">המשרד לביטחון הפנים הוסיף כי </w:t>
      </w:r>
      <w:r>
        <w:rPr>
          <w:rtl/>
        </w:rPr>
        <w:t xml:space="preserve">אגף </w:t>
      </w:r>
      <w:proofErr w:type="spellStart"/>
      <w:r>
        <w:rPr>
          <w:rtl/>
        </w:rPr>
        <w:t>החשבות</w:t>
      </w:r>
      <w:proofErr w:type="spellEnd"/>
      <w:r>
        <w:rPr>
          <w:rtl/>
        </w:rPr>
        <w:t xml:space="preserve"> במשרד מעביר חובות</w:t>
      </w:r>
      <w:r>
        <w:rPr>
          <w:rFonts w:hint="cs"/>
          <w:rtl/>
        </w:rPr>
        <w:t xml:space="preserve"> </w:t>
      </w:r>
      <w:r>
        <w:rPr>
          <w:rtl/>
        </w:rPr>
        <w:t xml:space="preserve">למרכז לגביית קנסות לאחר </w:t>
      </w:r>
      <w:r>
        <w:rPr>
          <w:rFonts w:hint="cs"/>
          <w:rtl/>
        </w:rPr>
        <w:t>חמישה עד שישה</w:t>
      </w:r>
      <w:r>
        <w:rPr>
          <w:rtl/>
        </w:rPr>
        <w:t xml:space="preserve"> חודשים</w:t>
      </w:r>
      <w:r>
        <w:rPr>
          <w:rFonts w:hint="cs"/>
          <w:rtl/>
        </w:rPr>
        <w:t>,</w:t>
      </w:r>
      <w:r>
        <w:rPr>
          <w:rtl/>
        </w:rPr>
        <w:t xml:space="preserve"> מאחר </w:t>
      </w:r>
      <w:r>
        <w:rPr>
          <w:rFonts w:hint="cs"/>
          <w:rtl/>
        </w:rPr>
        <w:t>ש</w:t>
      </w:r>
      <w:r>
        <w:rPr>
          <w:rtl/>
        </w:rPr>
        <w:t>נמצא כי לחייב נדרש זמן</w:t>
      </w:r>
      <w:r>
        <w:rPr>
          <w:rFonts w:hint="cs"/>
          <w:rtl/>
        </w:rPr>
        <w:t xml:space="preserve"> </w:t>
      </w:r>
      <w:r>
        <w:rPr>
          <w:rtl/>
        </w:rPr>
        <w:t>להסדיר את דרישות</w:t>
      </w:r>
      <w:r>
        <w:rPr>
          <w:rFonts w:hint="cs"/>
          <w:rtl/>
        </w:rPr>
        <w:t xml:space="preserve"> הכבאות, </w:t>
      </w:r>
      <w:r>
        <w:rPr>
          <w:rtl/>
        </w:rPr>
        <w:t>ו</w:t>
      </w:r>
      <w:r>
        <w:rPr>
          <w:rFonts w:hint="cs"/>
          <w:rtl/>
        </w:rPr>
        <w:t xml:space="preserve">כי </w:t>
      </w:r>
      <w:r>
        <w:rPr>
          <w:rtl/>
        </w:rPr>
        <w:t xml:space="preserve">לאחר מכן הוא מבצע תשלום </w:t>
      </w:r>
      <w:r>
        <w:rPr>
          <w:rFonts w:hint="cs"/>
          <w:rtl/>
        </w:rPr>
        <w:t>(</w:t>
      </w:r>
      <w:r>
        <w:rPr>
          <w:rtl/>
        </w:rPr>
        <w:t>ומקבל את אישור</w:t>
      </w:r>
      <w:r>
        <w:rPr>
          <w:rFonts w:hint="cs"/>
          <w:rtl/>
        </w:rPr>
        <w:t xml:space="preserve"> </w:t>
      </w:r>
      <w:r>
        <w:rPr>
          <w:rtl/>
        </w:rPr>
        <w:t>הכבאות</w:t>
      </w:r>
      <w:r>
        <w:rPr>
          <w:rFonts w:hint="cs"/>
          <w:rtl/>
        </w:rPr>
        <w:t>)</w:t>
      </w:r>
      <w:r>
        <w:rPr>
          <w:rtl/>
        </w:rPr>
        <w:t>.</w:t>
      </w:r>
    </w:p>
    <w:p w14:paraId="262F2C0D" w14:textId="77777777" w:rsidR="007C4395" w:rsidRPr="0000529E" w:rsidRDefault="007C4395" w:rsidP="002A738D">
      <w:pPr>
        <w:pStyle w:val="7190"/>
        <w:rPr>
          <w:rtl/>
        </w:rPr>
      </w:pPr>
      <w:r>
        <w:rPr>
          <w:rFonts w:hint="cs"/>
          <w:rtl/>
        </w:rPr>
        <w:t xml:space="preserve">בתשובת הנהלת בתי המשפט מינואר 2022 (להלן - תשובת הנהלת בתי המשפט) צוין כי בעניין חייבים בגין עסקאות שאינן חליפין - </w:t>
      </w:r>
      <w:r w:rsidRPr="00FE2903">
        <w:rPr>
          <w:rFonts w:hint="cs"/>
          <w:rtl/>
        </w:rPr>
        <w:t xml:space="preserve">לאחר </w:t>
      </w:r>
      <w:r w:rsidRPr="00FE2903">
        <w:rPr>
          <w:rFonts w:hint="eastAsia"/>
          <w:rtl/>
        </w:rPr>
        <w:t>מועד</w:t>
      </w:r>
      <w:r w:rsidRPr="00FE2903">
        <w:rPr>
          <w:rtl/>
        </w:rPr>
        <w:t xml:space="preserve"> סיום הביקורת </w:t>
      </w:r>
      <w:r w:rsidRPr="00FE2903">
        <w:rPr>
          <w:rFonts w:hint="cs"/>
          <w:rtl/>
        </w:rPr>
        <w:t>הו</w:t>
      </w:r>
      <w:r>
        <w:rPr>
          <w:rFonts w:hint="cs"/>
          <w:rtl/>
        </w:rPr>
        <w:t xml:space="preserve">כן והופץ נוהל למזכירויות בעניין אופן הטיפול בחייבים, לשם העברה תקינה </w:t>
      </w:r>
      <w:proofErr w:type="spellStart"/>
      <w:r>
        <w:rPr>
          <w:rFonts w:hint="cs"/>
          <w:rtl/>
        </w:rPr>
        <w:t>למג"ק</w:t>
      </w:r>
      <w:proofErr w:type="spellEnd"/>
      <w:r>
        <w:rPr>
          <w:rFonts w:hint="cs"/>
          <w:rtl/>
        </w:rPr>
        <w:t xml:space="preserve">. הנוהל מגדיר למזכירויות כיצד יש לטייב את נתוני החוב, כדי שיועבר לאכיפה על ידי </w:t>
      </w:r>
      <w:proofErr w:type="spellStart"/>
      <w:r>
        <w:rPr>
          <w:rFonts w:hint="cs"/>
          <w:rtl/>
        </w:rPr>
        <w:t>המג"ק</w:t>
      </w:r>
      <w:proofErr w:type="spellEnd"/>
      <w:r>
        <w:rPr>
          <w:rFonts w:hint="cs"/>
          <w:rtl/>
        </w:rPr>
        <w:t xml:space="preserve">. בנושא סרגל האכיפה והגבייה ציינה </w:t>
      </w:r>
      <w:r>
        <w:rPr>
          <w:rFonts w:hint="cs"/>
          <w:rtl/>
        </w:rPr>
        <w:lastRenderedPageBreak/>
        <w:t xml:space="preserve">הנהלת בתי המשפט כי לאור עקרון הפרדת הרשויות היא אינה עוסקת באכיפה בפועל, אלא מעבירה זאת לטיפול הרשויות המוסמכות. בעניין חייבים </w:t>
      </w:r>
      <w:r w:rsidRPr="00E86A2C">
        <w:rPr>
          <w:rFonts w:hint="cs"/>
          <w:rtl/>
        </w:rPr>
        <w:t xml:space="preserve">בגין </w:t>
      </w:r>
      <w:r w:rsidRPr="00E86A2C">
        <w:rPr>
          <w:rFonts w:hint="eastAsia"/>
          <w:rtl/>
        </w:rPr>
        <w:t>עס</w:t>
      </w:r>
      <w:r w:rsidRPr="00E86A2C">
        <w:rPr>
          <w:rFonts w:hint="cs"/>
          <w:rtl/>
        </w:rPr>
        <w:t>קאות</w:t>
      </w:r>
      <w:r>
        <w:rPr>
          <w:rFonts w:hint="cs"/>
          <w:rtl/>
        </w:rPr>
        <w:t xml:space="preserve"> חליפין, </w:t>
      </w:r>
      <w:r w:rsidRPr="00FE2903">
        <w:rPr>
          <w:rFonts w:ascii="David" w:hAnsi="David" w:hint="eastAsia"/>
          <w:rtl/>
        </w:rPr>
        <w:t>ציינה</w:t>
      </w:r>
      <w:r w:rsidRPr="00FE2903">
        <w:rPr>
          <w:rFonts w:ascii="David" w:hAnsi="David"/>
          <w:rtl/>
        </w:rPr>
        <w:t xml:space="preserve"> </w:t>
      </w:r>
      <w:r w:rsidRPr="00FE2903">
        <w:rPr>
          <w:rFonts w:ascii="David" w:hAnsi="David" w:hint="eastAsia"/>
          <w:rtl/>
        </w:rPr>
        <w:t>הנהלת</w:t>
      </w:r>
      <w:r w:rsidRPr="00FE2903">
        <w:rPr>
          <w:rFonts w:ascii="David" w:hAnsi="David"/>
          <w:rtl/>
        </w:rPr>
        <w:t xml:space="preserve"> </w:t>
      </w:r>
      <w:r w:rsidRPr="00FE2903">
        <w:rPr>
          <w:rFonts w:ascii="David" w:hAnsi="David" w:hint="eastAsia"/>
          <w:rtl/>
        </w:rPr>
        <w:t>בתי</w:t>
      </w:r>
      <w:r w:rsidRPr="00FE2903">
        <w:rPr>
          <w:rFonts w:ascii="David" w:hAnsi="David"/>
          <w:rtl/>
        </w:rPr>
        <w:t xml:space="preserve"> </w:t>
      </w:r>
      <w:r w:rsidRPr="00FE2903">
        <w:rPr>
          <w:rFonts w:ascii="David" w:hAnsi="David" w:hint="eastAsia"/>
          <w:rtl/>
        </w:rPr>
        <w:t>המשפט</w:t>
      </w:r>
      <w:r w:rsidRPr="00FE2903">
        <w:rPr>
          <w:rFonts w:ascii="David" w:hAnsi="David"/>
          <w:rtl/>
        </w:rPr>
        <w:t xml:space="preserve"> </w:t>
      </w:r>
      <w:r w:rsidRPr="00FE2903">
        <w:rPr>
          <w:rFonts w:ascii="David" w:hAnsi="David" w:hint="eastAsia"/>
          <w:rtl/>
        </w:rPr>
        <w:t>בתשובתה</w:t>
      </w:r>
      <w:r w:rsidRPr="00811C3C">
        <w:rPr>
          <w:rFonts w:ascii="David" w:hAnsi="David"/>
          <w:rtl/>
        </w:rPr>
        <w:t xml:space="preserve"> כי אף שאין נוהל כתוב</w:t>
      </w:r>
      <w:r>
        <w:rPr>
          <w:rFonts w:ascii="David" w:hAnsi="David" w:hint="cs"/>
          <w:rtl/>
        </w:rPr>
        <w:t>,</w:t>
      </w:r>
      <w:r w:rsidRPr="00811C3C">
        <w:rPr>
          <w:rFonts w:ascii="David" w:hAnsi="David"/>
          <w:rtl/>
        </w:rPr>
        <w:t xml:space="preserve"> יש תהליכי עבודה מוסדרים וקבועים לטיפול בגבייה של חובות </w:t>
      </w:r>
      <w:r>
        <w:rPr>
          <w:rFonts w:ascii="David" w:hAnsi="David" w:hint="cs"/>
          <w:rtl/>
        </w:rPr>
        <w:t>כ</w:t>
      </w:r>
      <w:r w:rsidRPr="00811C3C">
        <w:rPr>
          <w:rFonts w:ascii="David" w:hAnsi="David"/>
          <w:rtl/>
        </w:rPr>
        <w:t xml:space="preserve">אלו, </w:t>
      </w:r>
      <w:r w:rsidRPr="0000529E">
        <w:rPr>
          <w:rFonts w:ascii="David" w:hAnsi="David" w:hint="eastAsia"/>
          <w:rtl/>
        </w:rPr>
        <w:t>הכוללים</w:t>
      </w:r>
      <w:r w:rsidRPr="0000529E">
        <w:rPr>
          <w:rFonts w:ascii="David" w:hAnsi="David"/>
          <w:rtl/>
        </w:rPr>
        <w:t xml:space="preserve"> </w:t>
      </w:r>
      <w:r>
        <w:rPr>
          <w:rFonts w:ascii="David" w:hAnsi="David" w:hint="cs"/>
          <w:rtl/>
        </w:rPr>
        <w:t>פנייה</w:t>
      </w:r>
      <w:r w:rsidRPr="0000529E">
        <w:rPr>
          <w:rFonts w:ascii="David" w:hAnsi="David"/>
          <w:rtl/>
        </w:rPr>
        <w:t xml:space="preserve"> </w:t>
      </w:r>
      <w:r>
        <w:rPr>
          <w:rFonts w:ascii="David" w:hAnsi="David" w:hint="cs"/>
          <w:rtl/>
        </w:rPr>
        <w:t>ב</w:t>
      </w:r>
      <w:r w:rsidRPr="0000529E">
        <w:rPr>
          <w:rFonts w:ascii="David" w:hAnsi="David"/>
          <w:rtl/>
        </w:rPr>
        <w:t>טלפון לחייב לבירור סיבת אי</w:t>
      </w:r>
      <w:r>
        <w:rPr>
          <w:rFonts w:ascii="David" w:hAnsi="David" w:hint="cs"/>
          <w:rtl/>
        </w:rPr>
        <w:t>-</w:t>
      </w:r>
      <w:r w:rsidRPr="0000529E">
        <w:rPr>
          <w:rFonts w:ascii="David" w:hAnsi="David"/>
          <w:rtl/>
        </w:rPr>
        <w:t xml:space="preserve">תשלום החוב; </w:t>
      </w:r>
      <w:r w:rsidRPr="0000529E">
        <w:rPr>
          <w:rFonts w:ascii="David" w:hAnsi="David" w:hint="eastAsia"/>
          <w:rtl/>
        </w:rPr>
        <w:t>בחינה</w:t>
      </w:r>
      <w:r w:rsidRPr="0000529E">
        <w:rPr>
          <w:rFonts w:ascii="David" w:hAnsi="David"/>
          <w:rtl/>
        </w:rPr>
        <w:t xml:space="preserve"> משפטית </w:t>
      </w:r>
      <w:r w:rsidRPr="0000529E">
        <w:rPr>
          <w:rFonts w:ascii="David" w:hAnsi="David" w:hint="eastAsia"/>
          <w:rtl/>
        </w:rPr>
        <w:t>של</w:t>
      </w:r>
      <w:r>
        <w:rPr>
          <w:rFonts w:ascii="David" w:hAnsi="David"/>
          <w:rtl/>
        </w:rPr>
        <w:t xml:space="preserve"> </w:t>
      </w:r>
      <w:r w:rsidRPr="0000529E">
        <w:rPr>
          <w:rFonts w:ascii="David" w:hAnsi="David"/>
          <w:rtl/>
        </w:rPr>
        <w:t xml:space="preserve">היתכנות חילוט ערבויות; שליחת מכתבי אזהרה לחייב; </w:t>
      </w:r>
      <w:r w:rsidRPr="0000529E">
        <w:rPr>
          <w:rFonts w:ascii="David" w:hAnsi="David" w:hint="eastAsia"/>
          <w:rtl/>
        </w:rPr>
        <w:t>ולבסוף</w:t>
      </w:r>
      <w:r w:rsidRPr="0000529E">
        <w:rPr>
          <w:rFonts w:ascii="David" w:hAnsi="David"/>
          <w:rtl/>
        </w:rPr>
        <w:t xml:space="preserve"> חילוט ערבות החייב בהתאם לתנאי המכרז </w:t>
      </w:r>
      <w:r>
        <w:rPr>
          <w:rFonts w:ascii="David" w:hAnsi="David" w:hint="cs"/>
          <w:rtl/>
        </w:rPr>
        <w:t>ש</w:t>
      </w:r>
      <w:r w:rsidRPr="0000529E">
        <w:rPr>
          <w:rFonts w:ascii="David" w:hAnsi="David"/>
          <w:rtl/>
        </w:rPr>
        <w:t>בו זכה. עם זאת</w:t>
      </w:r>
      <w:r>
        <w:rPr>
          <w:rFonts w:ascii="David" w:hAnsi="David" w:hint="cs"/>
          <w:rtl/>
        </w:rPr>
        <w:t xml:space="preserve"> ציינה הנהלת בתי המשפט כי</w:t>
      </w:r>
      <w:r w:rsidRPr="0000529E">
        <w:rPr>
          <w:rFonts w:ascii="David" w:hAnsi="David"/>
          <w:rtl/>
        </w:rPr>
        <w:t xml:space="preserve"> המלצת </w:t>
      </w:r>
      <w:r>
        <w:rPr>
          <w:rFonts w:ascii="David" w:hAnsi="David" w:hint="cs"/>
          <w:rtl/>
        </w:rPr>
        <w:t xml:space="preserve">משרד </w:t>
      </w:r>
      <w:r w:rsidRPr="0000529E">
        <w:rPr>
          <w:rFonts w:ascii="David" w:hAnsi="David"/>
          <w:rtl/>
        </w:rPr>
        <w:t xml:space="preserve">מבקר </w:t>
      </w:r>
      <w:r>
        <w:rPr>
          <w:rFonts w:ascii="David" w:hAnsi="David" w:hint="cs"/>
          <w:rtl/>
        </w:rPr>
        <w:t xml:space="preserve">המדינה </w:t>
      </w:r>
      <w:r w:rsidRPr="0000529E">
        <w:rPr>
          <w:rFonts w:ascii="David" w:hAnsi="David"/>
          <w:rtl/>
        </w:rPr>
        <w:t xml:space="preserve">מקובלת </w:t>
      </w:r>
      <w:r>
        <w:rPr>
          <w:rFonts w:ascii="David" w:hAnsi="David" w:hint="cs"/>
          <w:rtl/>
        </w:rPr>
        <w:t xml:space="preserve">עליה, </w:t>
      </w:r>
      <w:r w:rsidRPr="0000529E">
        <w:rPr>
          <w:rFonts w:ascii="David" w:hAnsi="David"/>
          <w:rtl/>
        </w:rPr>
        <w:t xml:space="preserve">וגם תהליכי העבודה </w:t>
      </w:r>
      <w:r w:rsidRPr="0000529E">
        <w:rPr>
          <w:rFonts w:ascii="David" w:hAnsi="David" w:hint="eastAsia"/>
          <w:rtl/>
        </w:rPr>
        <w:t>הנהוגים</w:t>
      </w:r>
      <w:r w:rsidRPr="0000529E">
        <w:rPr>
          <w:rFonts w:ascii="David" w:hAnsi="David"/>
          <w:rtl/>
        </w:rPr>
        <w:t xml:space="preserve"> יעוגנו בנוהל כתוב בהתאם להוראת </w:t>
      </w:r>
      <w:proofErr w:type="spellStart"/>
      <w:r w:rsidRPr="0000529E">
        <w:rPr>
          <w:rFonts w:ascii="David" w:hAnsi="David" w:hint="eastAsia"/>
          <w:rtl/>
        </w:rPr>
        <w:t>התכ</w:t>
      </w:r>
      <w:r w:rsidRPr="0000529E">
        <w:rPr>
          <w:rFonts w:ascii="David" w:hAnsi="David"/>
          <w:rtl/>
        </w:rPr>
        <w:t>"</w:t>
      </w:r>
      <w:r w:rsidRPr="0000529E">
        <w:rPr>
          <w:rFonts w:ascii="David" w:hAnsi="David" w:hint="eastAsia"/>
          <w:rtl/>
        </w:rPr>
        <w:t>ם</w:t>
      </w:r>
      <w:proofErr w:type="spellEnd"/>
      <w:r w:rsidRPr="0000529E">
        <w:rPr>
          <w:rFonts w:ascii="David" w:hAnsi="David"/>
          <w:rtl/>
        </w:rPr>
        <w:t>.</w:t>
      </w:r>
    </w:p>
    <w:p w14:paraId="7AB9C064" w14:textId="77777777" w:rsidR="007C4395" w:rsidRDefault="007C4395" w:rsidP="002A738D">
      <w:pPr>
        <w:pStyle w:val="7190"/>
        <w:rPr>
          <w:rtl/>
        </w:rPr>
      </w:pPr>
      <w:r w:rsidRPr="0000529E">
        <w:rPr>
          <w:rFonts w:hint="eastAsia"/>
          <w:rtl/>
        </w:rPr>
        <w:t>בתשובת</w:t>
      </w:r>
      <w:r w:rsidRPr="0000529E">
        <w:rPr>
          <w:rtl/>
        </w:rPr>
        <w:t xml:space="preserve"> הרשות הממשלתית למים ולביוב מדצמבר 2021 (להלן - תשובת הרשות הממשלתית למים ולביוב) צוין כי </w:t>
      </w:r>
      <w:r>
        <w:rPr>
          <w:rFonts w:hint="cs"/>
          <w:rtl/>
        </w:rPr>
        <w:t>פעם ב</w:t>
      </w:r>
      <w:r w:rsidRPr="0000529E">
        <w:rPr>
          <w:rtl/>
        </w:rPr>
        <w:t>שנה מועבר</w:t>
      </w:r>
      <w:r>
        <w:rPr>
          <w:rFonts w:hint="cs"/>
          <w:rtl/>
        </w:rPr>
        <w:t>ים</w:t>
      </w:r>
      <w:r w:rsidRPr="0000529E">
        <w:rPr>
          <w:rtl/>
        </w:rPr>
        <w:t xml:space="preserve"> </w:t>
      </w:r>
      <w:proofErr w:type="spellStart"/>
      <w:r w:rsidRPr="0000529E">
        <w:rPr>
          <w:rFonts w:hint="eastAsia"/>
          <w:rtl/>
        </w:rPr>
        <w:t>למג</w:t>
      </w:r>
      <w:r w:rsidRPr="0000529E">
        <w:rPr>
          <w:rtl/>
        </w:rPr>
        <w:t>"ק</w:t>
      </w:r>
      <w:proofErr w:type="spellEnd"/>
      <w:r w:rsidRPr="0000529E">
        <w:rPr>
          <w:rtl/>
        </w:rPr>
        <w:t xml:space="preserve"> </w:t>
      </w:r>
      <w:r w:rsidRPr="0000529E">
        <w:rPr>
          <w:rFonts w:hint="eastAsia"/>
          <w:rtl/>
        </w:rPr>
        <w:t>חובות</w:t>
      </w:r>
      <w:r w:rsidRPr="0000529E">
        <w:rPr>
          <w:rtl/>
        </w:rPr>
        <w:t xml:space="preserve"> בגין</w:t>
      </w:r>
      <w:r>
        <w:rPr>
          <w:rtl/>
        </w:rPr>
        <w:t xml:space="preserve"> </w:t>
      </w:r>
      <w:r w:rsidRPr="0000529E">
        <w:rPr>
          <w:rtl/>
        </w:rPr>
        <w:t xml:space="preserve">אגרות רישוי הפקה ואספקה (החוב העיקרי </w:t>
      </w:r>
      <w:r w:rsidRPr="0000529E">
        <w:rPr>
          <w:rFonts w:hint="eastAsia"/>
          <w:rtl/>
        </w:rPr>
        <w:t>המטופל</w:t>
      </w:r>
      <w:r w:rsidRPr="0000529E">
        <w:rPr>
          <w:rtl/>
        </w:rPr>
        <w:t xml:space="preserve"> </w:t>
      </w:r>
      <w:r w:rsidRPr="0000529E">
        <w:rPr>
          <w:rFonts w:hint="eastAsia"/>
          <w:rtl/>
        </w:rPr>
        <w:t>כיום</w:t>
      </w:r>
      <w:r w:rsidRPr="0000529E">
        <w:rPr>
          <w:rtl/>
        </w:rPr>
        <w:t xml:space="preserve"> </w:t>
      </w:r>
      <w:r w:rsidRPr="0000529E">
        <w:rPr>
          <w:rFonts w:hint="eastAsia"/>
          <w:rtl/>
        </w:rPr>
        <w:t>ברשות</w:t>
      </w:r>
      <w:r w:rsidRPr="0000529E">
        <w:rPr>
          <w:rtl/>
        </w:rPr>
        <w:t xml:space="preserve">). </w:t>
      </w:r>
      <w:r w:rsidRPr="0000529E">
        <w:rPr>
          <w:rFonts w:hint="eastAsia"/>
          <w:rtl/>
        </w:rPr>
        <w:t>הרשות</w:t>
      </w:r>
      <w:r w:rsidRPr="0000529E">
        <w:rPr>
          <w:rtl/>
        </w:rPr>
        <w:t xml:space="preserve"> פירטה בתשובתה את </w:t>
      </w:r>
      <w:r w:rsidRPr="0000529E">
        <w:rPr>
          <w:rFonts w:hint="eastAsia"/>
          <w:rtl/>
        </w:rPr>
        <w:t>הסיבות</w:t>
      </w:r>
      <w:r w:rsidRPr="0000529E">
        <w:rPr>
          <w:rtl/>
        </w:rPr>
        <w:t xml:space="preserve"> </w:t>
      </w:r>
      <w:r w:rsidRPr="0000529E">
        <w:rPr>
          <w:rFonts w:hint="eastAsia"/>
          <w:rtl/>
        </w:rPr>
        <w:t>להעברת</w:t>
      </w:r>
      <w:r w:rsidRPr="0000529E">
        <w:rPr>
          <w:rtl/>
        </w:rPr>
        <w:t xml:space="preserve"> </w:t>
      </w:r>
      <w:r w:rsidRPr="0000529E">
        <w:rPr>
          <w:rFonts w:hint="eastAsia"/>
          <w:rtl/>
        </w:rPr>
        <w:t>החובות</w:t>
      </w:r>
      <w:r w:rsidRPr="0000529E">
        <w:rPr>
          <w:rtl/>
        </w:rPr>
        <w:t xml:space="preserve"> </w:t>
      </w:r>
      <w:r w:rsidRPr="0000529E">
        <w:rPr>
          <w:rFonts w:hint="eastAsia"/>
          <w:rtl/>
        </w:rPr>
        <w:t>לטיפול</w:t>
      </w:r>
      <w:r w:rsidRPr="0000529E">
        <w:rPr>
          <w:rtl/>
        </w:rPr>
        <w:t xml:space="preserve"> </w:t>
      </w:r>
      <w:proofErr w:type="spellStart"/>
      <w:r w:rsidRPr="0000529E">
        <w:rPr>
          <w:rFonts w:hint="eastAsia"/>
          <w:rtl/>
        </w:rPr>
        <w:t>המג</w:t>
      </w:r>
      <w:r w:rsidRPr="0000529E">
        <w:rPr>
          <w:rtl/>
        </w:rPr>
        <w:t>"ק</w:t>
      </w:r>
      <w:proofErr w:type="spellEnd"/>
      <w:r w:rsidRPr="0000529E">
        <w:rPr>
          <w:rtl/>
        </w:rPr>
        <w:t xml:space="preserve"> </w:t>
      </w:r>
      <w:r>
        <w:rPr>
          <w:rFonts w:hint="cs"/>
          <w:rtl/>
        </w:rPr>
        <w:t>פעם ב</w:t>
      </w:r>
      <w:r w:rsidRPr="0000529E">
        <w:rPr>
          <w:rFonts w:hint="eastAsia"/>
          <w:rtl/>
        </w:rPr>
        <w:t>שנה</w:t>
      </w:r>
      <w:r w:rsidRPr="0000529E">
        <w:rPr>
          <w:rtl/>
        </w:rPr>
        <w:t xml:space="preserve"> בלבד</w:t>
      </w:r>
      <w:r>
        <w:rPr>
          <w:rFonts w:hint="cs"/>
          <w:rtl/>
        </w:rPr>
        <w:t>, כדלהלן</w:t>
      </w:r>
      <w:r w:rsidRPr="0000529E">
        <w:rPr>
          <w:rtl/>
        </w:rPr>
        <w:t>: (</w:t>
      </w:r>
      <w:r>
        <w:rPr>
          <w:rFonts w:hint="cs"/>
          <w:rtl/>
        </w:rPr>
        <w:t>א</w:t>
      </w:r>
      <w:r w:rsidRPr="0000529E">
        <w:rPr>
          <w:rtl/>
        </w:rPr>
        <w:t xml:space="preserve">) </w:t>
      </w:r>
      <w:r w:rsidRPr="0000529E">
        <w:rPr>
          <w:rFonts w:hint="eastAsia"/>
          <w:rtl/>
        </w:rPr>
        <w:t>בשנה</w:t>
      </w:r>
      <w:r w:rsidRPr="0000529E">
        <w:rPr>
          <w:rtl/>
        </w:rPr>
        <w:t xml:space="preserve"> </w:t>
      </w:r>
      <w:r>
        <w:rPr>
          <w:rFonts w:hint="cs"/>
          <w:rtl/>
        </w:rPr>
        <w:t>ש</w:t>
      </w:r>
      <w:r w:rsidRPr="0000529E">
        <w:rPr>
          <w:rtl/>
        </w:rPr>
        <w:t xml:space="preserve">קדמה למועד סיום הביקורת </w:t>
      </w:r>
      <w:r>
        <w:rPr>
          <w:rFonts w:hint="cs"/>
          <w:rtl/>
        </w:rPr>
        <w:t>ה</w:t>
      </w:r>
      <w:r w:rsidRPr="0000529E">
        <w:rPr>
          <w:rFonts w:hint="eastAsia"/>
          <w:rtl/>
        </w:rPr>
        <w:t>רשות</w:t>
      </w:r>
      <w:r w:rsidRPr="0000529E">
        <w:rPr>
          <w:rtl/>
        </w:rPr>
        <w:t xml:space="preserve"> </w:t>
      </w:r>
      <w:proofErr w:type="spellStart"/>
      <w:r w:rsidRPr="0000529E">
        <w:rPr>
          <w:rFonts w:hint="eastAsia"/>
          <w:rtl/>
        </w:rPr>
        <w:t>א</w:t>
      </w:r>
      <w:r>
        <w:rPr>
          <w:rFonts w:hint="cs"/>
          <w:rtl/>
        </w:rPr>
        <w:t>י</w:t>
      </w:r>
      <w:r w:rsidRPr="0000529E">
        <w:rPr>
          <w:rFonts w:hint="eastAsia"/>
          <w:rtl/>
        </w:rPr>
        <w:t>פשרה</w:t>
      </w:r>
      <w:proofErr w:type="spellEnd"/>
      <w:r w:rsidRPr="0000529E">
        <w:rPr>
          <w:rtl/>
        </w:rPr>
        <w:t xml:space="preserve"> </w:t>
      </w:r>
      <w:r w:rsidRPr="0000529E">
        <w:rPr>
          <w:rFonts w:hint="eastAsia"/>
          <w:rtl/>
        </w:rPr>
        <w:t>תשלום</w:t>
      </w:r>
      <w:r w:rsidRPr="0000529E">
        <w:rPr>
          <w:rtl/>
        </w:rPr>
        <w:t xml:space="preserve"> </w:t>
      </w:r>
      <w:r w:rsidRPr="0000529E">
        <w:rPr>
          <w:rFonts w:hint="eastAsia"/>
          <w:rtl/>
        </w:rPr>
        <w:t>חובות</w:t>
      </w:r>
      <w:r w:rsidRPr="0000529E">
        <w:rPr>
          <w:rtl/>
        </w:rPr>
        <w:t xml:space="preserve"> באמצעות החנות הממשלתית המקוונת, והיא מעוניינת לתת ל</w:t>
      </w:r>
      <w:r w:rsidRPr="0000529E">
        <w:rPr>
          <w:rFonts w:hint="eastAsia"/>
          <w:rtl/>
        </w:rPr>
        <w:t>משלמי</w:t>
      </w:r>
      <w:r w:rsidRPr="0000529E">
        <w:rPr>
          <w:rtl/>
        </w:rPr>
        <w:t xml:space="preserve"> </w:t>
      </w:r>
      <w:r w:rsidRPr="0000529E">
        <w:rPr>
          <w:rFonts w:hint="eastAsia"/>
          <w:rtl/>
        </w:rPr>
        <w:t>האגרה</w:t>
      </w:r>
      <w:r w:rsidRPr="0000529E">
        <w:rPr>
          <w:rtl/>
        </w:rPr>
        <w:t xml:space="preserve"> להכיר אפשרות זו</w:t>
      </w:r>
      <w:r w:rsidRPr="00FF72BC">
        <w:rPr>
          <w:rtl/>
        </w:rPr>
        <w:t xml:space="preserve"> </w:t>
      </w:r>
      <w:r w:rsidRPr="0000529E">
        <w:rPr>
          <w:rtl/>
        </w:rPr>
        <w:t>ולהיחשף</w:t>
      </w:r>
      <w:r>
        <w:rPr>
          <w:rFonts w:hint="cs"/>
          <w:rtl/>
        </w:rPr>
        <w:t xml:space="preserve"> אליה</w:t>
      </w:r>
      <w:r w:rsidRPr="0000529E">
        <w:rPr>
          <w:rtl/>
        </w:rPr>
        <w:t>. (</w:t>
      </w:r>
      <w:r>
        <w:rPr>
          <w:rFonts w:hint="cs"/>
          <w:rtl/>
        </w:rPr>
        <w:t>ב</w:t>
      </w:r>
      <w:r w:rsidRPr="0000529E">
        <w:rPr>
          <w:rtl/>
        </w:rPr>
        <w:t xml:space="preserve">) </w:t>
      </w:r>
      <w:r w:rsidRPr="0000529E">
        <w:rPr>
          <w:rFonts w:hint="eastAsia"/>
          <w:rtl/>
        </w:rPr>
        <w:t>רצון</w:t>
      </w:r>
      <w:r w:rsidRPr="0000529E">
        <w:rPr>
          <w:rtl/>
        </w:rPr>
        <w:t xml:space="preserve"> </w:t>
      </w:r>
      <w:r w:rsidRPr="0000529E">
        <w:rPr>
          <w:rFonts w:hint="eastAsia"/>
          <w:rtl/>
        </w:rPr>
        <w:t>הרשות</w:t>
      </w:r>
      <w:r w:rsidRPr="0000529E">
        <w:rPr>
          <w:rtl/>
        </w:rPr>
        <w:t xml:space="preserve"> </w:t>
      </w:r>
      <w:r w:rsidRPr="0000529E">
        <w:rPr>
          <w:rFonts w:hint="eastAsia"/>
          <w:rtl/>
        </w:rPr>
        <w:t>למצות</w:t>
      </w:r>
      <w:r w:rsidRPr="0000529E">
        <w:rPr>
          <w:rtl/>
        </w:rPr>
        <w:t xml:space="preserve"> את הגבייה במשרד במ</w:t>
      </w:r>
      <w:r>
        <w:rPr>
          <w:rFonts w:hint="cs"/>
          <w:rtl/>
        </w:rPr>
        <w:t>שך</w:t>
      </w:r>
      <w:r w:rsidRPr="0000529E">
        <w:rPr>
          <w:rtl/>
        </w:rPr>
        <w:t xml:space="preserve"> השנה </w:t>
      </w:r>
      <w:r w:rsidRPr="0000529E">
        <w:rPr>
          <w:rFonts w:hint="eastAsia"/>
          <w:rtl/>
        </w:rPr>
        <w:t>ולצמצם</w:t>
      </w:r>
      <w:r w:rsidRPr="0000529E">
        <w:rPr>
          <w:rtl/>
        </w:rPr>
        <w:t xml:space="preserve"> את כמות החייבים המועברים ל</w:t>
      </w:r>
      <w:r w:rsidRPr="0000529E">
        <w:rPr>
          <w:rFonts w:hint="eastAsia"/>
          <w:rtl/>
        </w:rPr>
        <w:t>טיפול</w:t>
      </w:r>
      <w:r w:rsidRPr="0000529E">
        <w:rPr>
          <w:rtl/>
        </w:rPr>
        <w:t xml:space="preserve"> </w:t>
      </w:r>
      <w:proofErr w:type="spellStart"/>
      <w:r w:rsidRPr="0000529E">
        <w:rPr>
          <w:rFonts w:hint="eastAsia"/>
          <w:rtl/>
        </w:rPr>
        <w:t>המג</w:t>
      </w:r>
      <w:r w:rsidRPr="0000529E">
        <w:rPr>
          <w:rtl/>
        </w:rPr>
        <w:t>"ק</w:t>
      </w:r>
      <w:proofErr w:type="spellEnd"/>
      <w:r w:rsidRPr="0000529E">
        <w:rPr>
          <w:rtl/>
        </w:rPr>
        <w:t xml:space="preserve"> (כך העבירה ה</w:t>
      </w:r>
      <w:r w:rsidRPr="0000529E">
        <w:rPr>
          <w:rFonts w:hint="eastAsia"/>
          <w:rtl/>
        </w:rPr>
        <w:t>רשות</w:t>
      </w:r>
      <w:r w:rsidRPr="0000529E">
        <w:rPr>
          <w:rtl/>
        </w:rPr>
        <w:t xml:space="preserve"> </w:t>
      </w:r>
      <w:r w:rsidRPr="0000529E">
        <w:rPr>
          <w:rFonts w:hint="eastAsia"/>
          <w:rtl/>
        </w:rPr>
        <w:t>לטיפול</w:t>
      </w:r>
      <w:r w:rsidRPr="0000529E">
        <w:rPr>
          <w:rtl/>
        </w:rPr>
        <w:t xml:space="preserve"> </w:t>
      </w:r>
      <w:proofErr w:type="spellStart"/>
      <w:r w:rsidRPr="0000529E">
        <w:rPr>
          <w:rFonts w:hint="eastAsia"/>
          <w:rtl/>
        </w:rPr>
        <w:t>המג</w:t>
      </w:r>
      <w:r w:rsidRPr="0000529E">
        <w:rPr>
          <w:rtl/>
        </w:rPr>
        <w:t>"ק</w:t>
      </w:r>
      <w:proofErr w:type="spellEnd"/>
      <w:r w:rsidRPr="0000529E">
        <w:rPr>
          <w:rtl/>
        </w:rPr>
        <w:t xml:space="preserve"> 274 </w:t>
      </w:r>
      <w:proofErr w:type="spellStart"/>
      <w:r w:rsidRPr="0000529E">
        <w:rPr>
          <w:rtl/>
        </w:rPr>
        <w:t>מכ</w:t>
      </w:r>
      <w:proofErr w:type="spellEnd"/>
      <w:r w:rsidRPr="0000529E">
        <w:rPr>
          <w:rtl/>
        </w:rPr>
        <w:t>-1,600</w:t>
      </w:r>
      <w:r w:rsidRPr="00534B8E">
        <w:rPr>
          <w:rFonts w:hint="eastAsia"/>
          <w:rtl/>
        </w:rPr>
        <w:t xml:space="preserve"> </w:t>
      </w:r>
      <w:r w:rsidRPr="0000529E">
        <w:rPr>
          <w:rFonts w:hint="eastAsia"/>
          <w:rtl/>
        </w:rPr>
        <w:t>חיובים</w:t>
      </w:r>
      <w:r w:rsidRPr="0000529E">
        <w:rPr>
          <w:rtl/>
        </w:rPr>
        <w:t>,</w:t>
      </w:r>
      <w:r w:rsidRPr="0000529E">
        <w:rPr>
          <w:rFonts w:hint="cs"/>
          <w:rtl/>
        </w:rPr>
        <w:t xml:space="preserve"> </w:t>
      </w:r>
      <w:r w:rsidRPr="0000529E">
        <w:rPr>
          <w:rFonts w:hint="eastAsia"/>
          <w:rtl/>
        </w:rPr>
        <w:t>וגבתה</w:t>
      </w:r>
      <w:r w:rsidRPr="0000529E">
        <w:rPr>
          <w:rtl/>
        </w:rPr>
        <w:t xml:space="preserve"> את </w:t>
      </w:r>
      <w:r w:rsidRPr="0000529E">
        <w:rPr>
          <w:rFonts w:hint="eastAsia"/>
          <w:rtl/>
        </w:rPr>
        <w:t>כל</w:t>
      </w:r>
      <w:r w:rsidRPr="0000529E">
        <w:rPr>
          <w:rtl/>
        </w:rPr>
        <w:t xml:space="preserve"> </w:t>
      </w:r>
      <w:r w:rsidRPr="0000529E">
        <w:rPr>
          <w:rFonts w:hint="eastAsia"/>
          <w:rtl/>
        </w:rPr>
        <w:t>יתר</w:t>
      </w:r>
      <w:r w:rsidRPr="0000529E">
        <w:rPr>
          <w:rtl/>
        </w:rPr>
        <w:t xml:space="preserve"> </w:t>
      </w:r>
      <w:r w:rsidRPr="0000529E">
        <w:rPr>
          <w:rFonts w:hint="eastAsia"/>
          <w:rtl/>
        </w:rPr>
        <w:t>החיובים</w:t>
      </w:r>
      <w:r w:rsidRPr="0000529E">
        <w:rPr>
          <w:rtl/>
        </w:rPr>
        <w:t xml:space="preserve"> </w:t>
      </w:r>
      <w:r w:rsidRPr="0000529E">
        <w:rPr>
          <w:rFonts w:hint="eastAsia"/>
          <w:rtl/>
        </w:rPr>
        <w:t>בעצמה</w:t>
      </w:r>
      <w:r w:rsidRPr="0000529E">
        <w:rPr>
          <w:rtl/>
        </w:rPr>
        <w:t>).</w:t>
      </w:r>
      <w:r>
        <w:rPr>
          <w:rtl/>
        </w:rPr>
        <w:t xml:space="preserve"> </w:t>
      </w:r>
      <w:r w:rsidRPr="0000529E">
        <w:rPr>
          <w:rtl/>
        </w:rPr>
        <w:t xml:space="preserve">(3) </w:t>
      </w:r>
      <w:r w:rsidRPr="0000529E">
        <w:rPr>
          <w:rFonts w:hint="eastAsia"/>
          <w:rtl/>
        </w:rPr>
        <w:t>העברת</w:t>
      </w:r>
      <w:r w:rsidRPr="0000529E">
        <w:rPr>
          <w:rtl/>
        </w:rPr>
        <w:t xml:space="preserve"> החובות </w:t>
      </w:r>
      <w:r w:rsidRPr="0000529E">
        <w:rPr>
          <w:rFonts w:hint="eastAsia"/>
          <w:rtl/>
        </w:rPr>
        <w:t>לטיפול</w:t>
      </w:r>
      <w:r w:rsidRPr="0000529E">
        <w:rPr>
          <w:rtl/>
        </w:rPr>
        <w:t xml:space="preserve"> </w:t>
      </w:r>
      <w:proofErr w:type="spellStart"/>
      <w:r w:rsidRPr="0000529E">
        <w:rPr>
          <w:rFonts w:hint="eastAsia"/>
          <w:rtl/>
        </w:rPr>
        <w:t>המג</w:t>
      </w:r>
      <w:r w:rsidRPr="0000529E">
        <w:rPr>
          <w:rtl/>
        </w:rPr>
        <w:t>"ק</w:t>
      </w:r>
      <w:proofErr w:type="spellEnd"/>
      <w:r w:rsidRPr="0000529E">
        <w:rPr>
          <w:rtl/>
        </w:rPr>
        <w:t xml:space="preserve"> </w:t>
      </w:r>
      <w:r w:rsidRPr="0000529E">
        <w:rPr>
          <w:rFonts w:hint="eastAsia"/>
          <w:rtl/>
        </w:rPr>
        <w:t>נע</w:t>
      </w:r>
      <w:r>
        <w:rPr>
          <w:rFonts w:hint="cs"/>
          <w:rtl/>
        </w:rPr>
        <w:t>שית</w:t>
      </w:r>
      <w:r w:rsidRPr="0000529E">
        <w:rPr>
          <w:rtl/>
        </w:rPr>
        <w:t xml:space="preserve"> באמצעות ממש</w:t>
      </w:r>
      <w:r w:rsidRPr="0000529E">
        <w:rPr>
          <w:rFonts w:hint="eastAsia"/>
          <w:rtl/>
        </w:rPr>
        <w:t>ק</w:t>
      </w:r>
      <w:r>
        <w:rPr>
          <w:rFonts w:hint="cs"/>
          <w:rtl/>
        </w:rPr>
        <w:t xml:space="preserve"> ממוחשב</w:t>
      </w:r>
      <w:r w:rsidRPr="0000529E">
        <w:rPr>
          <w:rtl/>
        </w:rPr>
        <w:t xml:space="preserve">, </w:t>
      </w:r>
      <w:r w:rsidRPr="0000529E">
        <w:rPr>
          <w:rFonts w:hint="eastAsia"/>
          <w:rtl/>
        </w:rPr>
        <w:t>דבר</w:t>
      </w:r>
      <w:r w:rsidRPr="0000529E">
        <w:rPr>
          <w:rtl/>
        </w:rPr>
        <w:t xml:space="preserve"> </w:t>
      </w:r>
      <w:r w:rsidRPr="0000529E">
        <w:rPr>
          <w:rFonts w:hint="eastAsia"/>
          <w:rtl/>
        </w:rPr>
        <w:t>המונע</w:t>
      </w:r>
      <w:r w:rsidRPr="0000529E">
        <w:rPr>
          <w:rtl/>
        </w:rPr>
        <w:t xml:space="preserve"> </w:t>
      </w:r>
      <w:r w:rsidRPr="0000529E">
        <w:rPr>
          <w:rFonts w:hint="eastAsia"/>
          <w:rtl/>
        </w:rPr>
        <w:t>עיכובים</w:t>
      </w:r>
      <w:r w:rsidRPr="0000529E">
        <w:rPr>
          <w:rtl/>
        </w:rPr>
        <w:t xml:space="preserve"> </w:t>
      </w:r>
      <w:r w:rsidRPr="0000529E">
        <w:rPr>
          <w:rFonts w:hint="eastAsia"/>
          <w:rtl/>
        </w:rPr>
        <w:t>בתהליך</w:t>
      </w:r>
      <w:r w:rsidRPr="0000529E">
        <w:rPr>
          <w:rtl/>
        </w:rPr>
        <w:t xml:space="preserve"> </w:t>
      </w:r>
      <w:r w:rsidRPr="0000529E">
        <w:rPr>
          <w:rFonts w:hint="eastAsia"/>
          <w:rtl/>
        </w:rPr>
        <w:t>ההעברה</w:t>
      </w:r>
      <w:r w:rsidRPr="0000529E">
        <w:rPr>
          <w:rtl/>
        </w:rPr>
        <w:t xml:space="preserve">. </w:t>
      </w:r>
      <w:r w:rsidRPr="0000529E">
        <w:rPr>
          <w:rFonts w:hint="eastAsia"/>
          <w:rtl/>
        </w:rPr>
        <w:t>כן</w:t>
      </w:r>
      <w:r w:rsidRPr="0000529E">
        <w:rPr>
          <w:rtl/>
        </w:rPr>
        <w:t xml:space="preserve"> </w:t>
      </w:r>
      <w:r w:rsidRPr="0000529E">
        <w:rPr>
          <w:rFonts w:hint="eastAsia"/>
          <w:rtl/>
        </w:rPr>
        <w:t>ציינה</w:t>
      </w:r>
      <w:r w:rsidRPr="0000529E">
        <w:rPr>
          <w:rtl/>
        </w:rPr>
        <w:t xml:space="preserve"> </w:t>
      </w:r>
      <w:r w:rsidRPr="0000529E">
        <w:rPr>
          <w:rFonts w:hint="eastAsia"/>
          <w:rtl/>
        </w:rPr>
        <w:t>הרשות</w:t>
      </w:r>
      <w:r w:rsidRPr="0000529E">
        <w:rPr>
          <w:rtl/>
        </w:rPr>
        <w:t xml:space="preserve"> </w:t>
      </w:r>
      <w:r w:rsidRPr="0000529E">
        <w:rPr>
          <w:rFonts w:hint="eastAsia"/>
          <w:rtl/>
        </w:rPr>
        <w:t>בתשובתה</w:t>
      </w:r>
      <w:r w:rsidRPr="0000529E">
        <w:rPr>
          <w:rtl/>
        </w:rPr>
        <w:t xml:space="preserve"> כי </w:t>
      </w:r>
      <w:r w:rsidRPr="0000529E">
        <w:rPr>
          <w:rFonts w:hint="eastAsia"/>
          <w:rtl/>
        </w:rPr>
        <w:t>בעתיד</w:t>
      </w:r>
      <w:r w:rsidRPr="0000529E">
        <w:rPr>
          <w:rtl/>
        </w:rPr>
        <w:t xml:space="preserve"> </w:t>
      </w:r>
      <w:r w:rsidRPr="0000529E">
        <w:rPr>
          <w:rFonts w:hint="eastAsia"/>
          <w:rtl/>
        </w:rPr>
        <w:t>יצומצם</w:t>
      </w:r>
      <w:r w:rsidRPr="0000529E">
        <w:rPr>
          <w:rtl/>
        </w:rPr>
        <w:t xml:space="preserve"> </w:t>
      </w:r>
      <w:r w:rsidRPr="0000529E">
        <w:rPr>
          <w:rFonts w:hint="eastAsia"/>
          <w:rtl/>
        </w:rPr>
        <w:t>משך</w:t>
      </w:r>
      <w:r w:rsidRPr="0000529E">
        <w:rPr>
          <w:rtl/>
        </w:rPr>
        <w:t xml:space="preserve"> </w:t>
      </w:r>
      <w:r w:rsidRPr="0000529E">
        <w:rPr>
          <w:rFonts w:hint="eastAsia"/>
          <w:rtl/>
        </w:rPr>
        <w:t>הזמן</w:t>
      </w:r>
      <w:r w:rsidRPr="0000529E">
        <w:rPr>
          <w:rtl/>
        </w:rPr>
        <w:t xml:space="preserve"> </w:t>
      </w:r>
      <w:r w:rsidRPr="0000529E">
        <w:rPr>
          <w:rFonts w:hint="eastAsia"/>
          <w:rtl/>
        </w:rPr>
        <w:t>ש</w:t>
      </w:r>
      <w:r>
        <w:rPr>
          <w:rFonts w:hint="cs"/>
          <w:rtl/>
        </w:rPr>
        <w:t xml:space="preserve">בו </w:t>
      </w:r>
      <w:r w:rsidRPr="0000529E">
        <w:rPr>
          <w:rFonts w:hint="eastAsia"/>
          <w:rtl/>
        </w:rPr>
        <w:t>יתאפשר</w:t>
      </w:r>
      <w:r w:rsidRPr="0000529E">
        <w:rPr>
          <w:rtl/>
        </w:rPr>
        <w:t xml:space="preserve"> לשלם </w:t>
      </w:r>
      <w:r w:rsidRPr="0000529E">
        <w:rPr>
          <w:rFonts w:hint="eastAsia"/>
          <w:rtl/>
        </w:rPr>
        <w:t>את</w:t>
      </w:r>
      <w:r w:rsidRPr="0000529E">
        <w:rPr>
          <w:rtl/>
        </w:rPr>
        <w:t xml:space="preserve"> </w:t>
      </w:r>
      <w:r w:rsidRPr="0000529E">
        <w:rPr>
          <w:rFonts w:hint="eastAsia"/>
          <w:rtl/>
        </w:rPr>
        <w:t>החוב</w:t>
      </w:r>
      <w:r w:rsidRPr="0000529E">
        <w:rPr>
          <w:rtl/>
        </w:rPr>
        <w:t xml:space="preserve"> </w:t>
      </w:r>
      <w:r w:rsidRPr="0000529E">
        <w:rPr>
          <w:rFonts w:hint="eastAsia"/>
          <w:rtl/>
        </w:rPr>
        <w:t>לרשות</w:t>
      </w:r>
      <w:r w:rsidRPr="0000529E">
        <w:rPr>
          <w:rtl/>
        </w:rPr>
        <w:t xml:space="preserve">, </w:t>
      </w:r>
      <w:r w:rsidRPr="0000529E">
        <w:rPr>
          <w:rFonts w:hint="eastAsia"/>
          <w:rtl/>
        </w:rPr>
        <w:t>ו</w:t>
      </w:r>
      <w:r>
        <w:rPr>
          <w:rFonts w:hint="cs"/>
          <w:rtl/>
        </w:rPr>
        <w:t xml:space="preserve">כי </w:t>
      </w:r>
      <w:r w:rsidRPr="0000529E">
        <w:rPr>
          <w:rFonts w:hint="eastAsia"/>
          <w:rtl/>
        </w:rPr>
        <w:t>בכוונתה</w:t>
      </w:r>
      <w:r w:rsidRPr="0000529E">
        <w:rPr>
          <w:rtl/>
        </w:rPr>
        <w:t xml:space="preserve"> </w:t>
      </w:r>
      <w:r w:rsidRPr="0000529E">
        <w:rPr>
          <w:rFonts w:hint="eastAsia"/>
          <w:rtl/>
        </w:rPr>
        <w:t>להעביר</w:t>
      </w:r>
      <w:r w:rsidRPr="0000529E">
        <w:rPr>
          <w:rtl/>
        </w:rPr>
        <w:t xml:space="preserve"> במ</w:t>
      </w:r>
      <w:r>
        <w:rPr>
          <w:rFonts w:hint="cs"/>
          <w:rtl/>
        </w:rPr>
        <w:t>שך</w:t>
      </w:r>
      <w:r w:rsidRPr="0000529E">
        <w:rPr>
          <w:rtl/>
        </w:rPr>
        <w:t xml:space="preserve"> השנה השוטפת את החובות לגבייה באמצעות </w:t>
      </w:r>
      <w:proofErr w:type="spellStart"/>
      <w:r w:rsidRPr="0000529E">
        <w:rPr>
          <w:rtl/>
        </w:rPr>
        <w:t>המג"ק</w:t>
      </w:r>
      <w:proofErr w:type="spellEnd"/>
      <w:r w:rsidRPr="0000529E">
        <w:rPr>
          <w:rtl/>
        </w:rPr>
        <w:t xml:space="preserve">. </w:t>
      </w:r>
      <w:r w:rsidRPr="0000529E">
        <w:rPr>
          <w:rFonts w:hint="eastAsia"/>
          <w:rtl/>
        </w:rPr>
        <w:t>עוד</w:t>
      </w:r>
      <w:r w:rsidRPr="0000529E">
        <w:rPr>
          <w:rtl/>
        </w:rPr>
        <w:t xml:space="preserve"> ציינה </w:t>
      </w:r>
      <w:r>
        <w:rPr>
          <w:rFonts w:hint="cs"/>
          <w:rtl/>
        </w:rPr>
        <w:t>ה</w:t>
      </w:r>
      <w:r w:rsidRPr="0000529E">
        <w:rPr>
          <w:rtl/>
        </w:rPr>
        <w:t xml:space="preserve">רשות </w:t>
      </w:r>
      <w:r w:rsidRPr="0000529E">
        <w:rPr>
          <w:rFonts w:hint="eastAsia"/>
          <w:rtl/>
        </w:rPr>
        <w:t>כי</w:t>
      </w:r>
      <w:r w:rsidRPr="0000529E">
        <w:rPr>
          <w:rtl/>
        </w:rPr>
        <w:t xml:space="preserve"> חובות </w:t>
      </w:r>
      <w:r w:rsidRPr="0000529E">
        <w:rPr>
          <w:rFonts w:hint="eastAsia"/>
          <w:rtl/>
        </w:rPr>
        <w:t>אחרים</w:t>
      </w:r>
      <w:r w:rsidRPr="0000529E">
        <w:rPr>
          <w:rtl/>
        </w:rPr>
        <w:t xml:space="preserve"> (כ</w:t>
      </w:r>
      <w:r w:rsidRPr="0000529E">
        <w:rPr>
          <w:rFonts w:hint="eastAsia"/>
          <w:rtl/>
        </w:rPr>
        <w:t>עיצום</w:t>
      </w:r>
      <w:r w:rsidRPr="0000529E">
        <w:rPr>
          <w:rtl/>
        </w:rPr>
        <w:t xml:space="preserve"> </w:t>
      </w:r>
      <w:r w:rsidRPr="0000529E">
        <w:rPr>
          <w:rFonts w:hint="eastAsia"/>
          <w:rtl/>
        </w:rPr>
        <w:t>כספי</w:t>
      </w:r>
      <w:r w:rsidRPr="0000529E">
        <w:rPr>
          <w:rtl/>
        </w:rPr>
        <w:t xml:space="preserve">) מועברים לגבייה באמצעות </w:t>
      </w:r>
      <w:proofErr w:type="spellStart"/>
      <w:r w:rsidRPr="0000529E">
        <w:rPr>
          <w:rtl/>
        </w:rPr>
        <w:t>המג"ק</w:t>
      </w:r>
      <w:proofErr w:type="spellEnd"/>
      <w:r w:rsidRPr="0000529E">
        <w:rPr>
          <w:rtl/>
        </w:rPr>
        <w:t xml:space="preserve"> מי</w:t>
      </w:r>
      <w:r>
        <w:rPr>
          <w:rFonts w:hint="cs"/>
          <w:rtl/>
        </w:rPr>
        <w:t>י</w:t>
      </w:r>
      <w:r w:rsidRPr="0000529E">
        <w:rPr>
          <w:rtl/>
        </w:rPr>
        <w:t>ד לאח</w:t>
      </w:r>
      <w:r w:rsidRPr="0000529E">
        <w:rPr>
          <w:rFonts w:hint="eastAsia"/>
          <w:rtl/>
        </w:rPr>
        <w:t>ר</w:t>
      </w:r>
      <w:r w:rsidRPr="0000529E">
        <w:rPr>
          <w:rtl/>
        </w:rPr>
        <w:t xml:space="preserve"> מועד התשלום </w:t>
      </w:r>
      <w:r w:rsidRPr="0000529E">
        <w:rPr>
          <w:rFonts w:hint="eastAsia"/>
          <w:rtl/>
        </w:rPr>
        <w:t>האחרון</w:t>
      </w:r>
      <w:r w:rsidRPr="0000529E">
        <w:rPr>
          <w:rtl/>
        </w:rPr>
        <w:t xml:space="preserve"> </w:t>
      </w:r>
      <w:r w:rsidRPr="0000529E">
        <w:rPr>
          <w:rFonts w:hint="eastAsia"/>
          <w:rtl/>
        </w:rPr>
        <w:t>שנקבע</w:t>
      </w:r>
      <w:r w:rsidRPr="0000529E">
        <w:rPr>
          <w:rtl/>
        </w:rPr>
        <w:t xml:space="preserve"> </w:t>
      </w:r>
      <w:r w:rsidRPr="0000529E">
        <w:rPr>
          <w:rFonts w:hint="eastAsia"/>
          <w:rtl/>
        </w:rPr>
        <w:t>בדרישת</w:t>
      </w:r>
      <w:r w:rsidRPr="0000529E">
        <w:rPr>
          <w:rtl/>
        </w:rPr>
        <w:t xml:space="preserve"> </w:t>
      </w:r>
      <w:r w:rsidRPr="0000529E">
        <w:rPr>
          <w:rFonts w:hint="eastAsia"/>
          <w:rtl/>
        </w:rPr>
        <w:t>התשלום</w:t>
      </w:r>
      <w:r w:rsidRPr="0000529E">
        <w:rPr>
          <w:rtl/>
        </w:rPr>
        <w:t>.</w:t>
      </w:r>
    </w:p>
    <w:p w14:paraId="5A3A3FED" w14:textId="77777777" w:rsidR="007C4395" w:rsidRDefault="007C4395" w:rsidP="002A738D">
      <w:pPr>
        <w:pStyle w:val="7190"/>
        <w:rPr>
          <w:rtl/>
        </w:rPr>
      </w:pPr>
      <w:r>
        <w:rPr>
          <w:rFonts w:hint="cs"/>
          <w:rtl/>
        </w:rPr>
        <w:t xml:space="preserve">בתשובת משרד התחבורה מפברואר 2022 צוין כי נושא פרסום נוהל החייבים נמצא בתוכנית העבודה של </w:t>
      </w:r>
      <w:proofErr w:type="spellStart"/>
      <w:r>
        <w:rPr>
          <w:rFonts w:hint="cs"/>
          <w:rtl/>
        </w:rPr>
        <w:t>חשבות</w:t>
      </w:r>
      <w:proofErr w:type="spellEnd"/>
      <w:r>
        <w:rPr>
          <w:rFonts w:hint="cs"/>
          <w:rtl/>
        </w:rPr>
        <w:t xml:space="preserve"> משרד התחבורה, ובהתאם לכך, הנוהל צפוי להיות מוסדר במחצית הראשונה של שנת 2022.</w:t>
      </w:r>
    </w:p>
    <w:p w14:paraId="077DB2EF" w14:textId="47609E46" w:rsidR="007C4395" w:rsidRDefault="007C4395" w:rsidP="003B2683">
      <w:pPr>
        <w:pStyle w:val="71f4"/>
        <w:rPr>
          <w:rtl/>
        </w:rPr>
      </w:pPr>
      <w:r w:rsidRPr="00F96476">
        <w:rPr>
          <w:rFonts w:hint="cs"/>
          <w:rtl/>
        </w:rPr>
        <w:t xml:space="preserve">כדי למצות את פוטנציאל הגבייה, מומלץ כי </w:t>
      </w:r>
      <w:r>
        <w:rPr>
          <w:rFonts w:hint="cs"/>
          <w:rtl/>
        </w:rPr>
        <w:t xml:space="preserve">משרד התחבורה, </w:t>
      </w:r>
      <w:r w:rsidRPr="00F96476">
        <w:rPr>
          <w:rFonts w:hint="cs"/>
          <w:rtl/>
        </w:rPr>
        <w:t xml:space="preserve">המשרד לביטחון </w:t>
      </w:r>
      <w:r>
        <w:rPr>
          <w:rFonts w:hint="cs"/>
          <w:rtl/>
        </w:rPr>
        <w:t>ה</w:t>
      </w:r>
      <w:r w:rsidRPr="00F96476">
        <w:rPr>
          <w:rFonts w:hint="cs"/>
          <w:rtl/>
        </w:rPr>
        <w:t xml:space="preserve">פנים והנהלת בתי המשפט יפעלו להשלמת יישום סרגל האכיפה והגבייה במשרדיהם. </w:t>
      </w:r>
    </w:p>
    <w:p w14:paraId="7C4635B7" w14:textId="77777777" w:rsidR="007C4395" w:rsidRPr="00B93B47" w:rsidRDefault="007C4395" w:rsidP="006F4D0D">
      <w:pPr>
        <w:pStyle w:val="71512"/>
        <w:rPr>
          <w:rtl/>
        </w:rPr>
      </w:pPr>
      <w:r>
        <w:rPr>
          <w:rFonts w:hint="cs"/>
          <w:rtl/>
        </w:rPr>
        <w:t>גביית אגרות ממשלתיות</w:t>
      </w:r>
    </w:p>
    <w:p w14:paraId="2C87A4D8" w14:textId="77777777" w:rsidR="007C4395" w:rsidRDefault="007C4395" w:rsidP="002A738D">
      <w:pPr>
        <w:pStyle w:val="7190"/>
        <w:rPr>
          <w:rtl/>
        </w:rPr>
      </w:pPr>
      <w:r>
        <w:rPr>
          <w:rFonts w:hint="cs"/>
          <w:rtl/>
        </w:rPr>
        <w:t>בהחלטת ממשלה</w:t>
      </w:r>
      <w:r>
        <w:rPr>
          <w:rStyle w:val="ac"/>
          <w:rtl/>
        </w:rPr>
        <w:footnoteReference w:id="56"/>
      </w:r>
      <w:r>
        <w:rPr>
          <w:rFonts w:hint="cs"/>
          <w:rtl/>
        </w:rPr>
        <w:t xml:space="preserve"> בנושא "תוכנית שיפור מערך האגרות הממשלתיות וביטול החלטת ממשלה", נקבע כי יש להקים ועדה בין-משרדית בראשות החשב הכללי</w:t>
      </w:r>
      <w:r>
        <w:rPr>
          <w:rStyle w:val="ac"/>
          <w:rtl/>
        </w:rPr>
        <w:footnoteReference w:id="57"/>
      </w:r>
      <w:r>
        <w:rPr>
          <w:rFonts w:hint="cs"/>
          <w:rtl/>
        </w:rPr>
        <w:t xml:space="preserve"> (להלן - הוועדה לאגרות ממשלתיות), שמטרתה לבחון את שיפור אפשרויות גביית האגרות הממשלתיות, לרבות העברתן לגבייה באמצעות </w:t>
      </w:r>
      <w:proofErr w:type="spellStart"/>
      <w:r>
        <w:rPr>
          <w:rFonts w:hint="cs"/>
          <w:rtl/>
        </w:rPr>
        <w:t>המג"ק</w:t>
      </w:r>
      <w:proofErr w:type="spellEnd"/>
      <w:r>
        <w:rPr>
          <w:rFonts w:hint="cs"/>
          <w:rtl/>
        </w:rPr>
        <w:t xml:space="preserve">. גבייה באמצעות </w:t>
      </w:r>
      <w:proofErr w:type="spellStart"/>
      <w:r>
        <w:rPr>
          <w:rFonts w:hint="cs"/>
          <w:rtl/>
        </w:rPr>
        <w:t>המג"ק</w:t>
      </w:r>
      <w:proofErr w:type="spellEnd"/>
      <w:r>
        <w:rPr>
          <w:rFonts w:hint="cs"/>
          <w:rtl/>
        </w:rPr>
        <w:t xml:space="preserve"> היא יעילה יותר מגבייה באמצעות המשרדים, בין היתר בעקבות אפשרויות האכיפה </w:t>
      </w:r>
      <w:proofErr w:type="spellStart"/>
      <w:r>
        <w:rPr>
          <w:rFonts w:hint="cs"/>
          <w:rtl/>
        </w:rPr>
        <w:t>במג"ק</w:t>
      </w:r>
      <w:proofErr w:type="spellEnd"/>
      <w:r>
        <w:rPr>
          <w:rFonts w:hint="cs"/>
          <w:rtl/>
        </w:rPr>
        <w:t xml:space="preserve">, </w:t>
      </w:r>
      <w:proofErr w:type="spellStart"/>
      <w:r>
        <w:rPr>
          <w:rFonts w:hint="cs"/>
          <w:rtl/>
        </w:rPr>
        <w:t>התמקצעותו</w:t>
      </w:r>
      <w:proofErr w:type="spellEnd"/>
      <w:r>
        <w:rPr>
          <w:rFonts w:hint="cs"/>
          <w:rtl/>
        </w:rPr>
        <w:t xml:space="preserve"> בתחום הגבייה וכן </w:t>
      </w:r>
      <w:r>
        <w:rPr>
          <w:rFonts w:hint="cs"/>
          <w:rtl/>
        </w:rPr>
        <w:lastRenderedPageBreak/>
        <w:t>הסתכלותו הרוחבית על כלל חובות האזרח בהליך האכיפה, לרבות החיסכון הכספי הנלווה לכך. עוד נקבע בהחלטת הממשלה כי מסקנות הוועדה יוגשו לשר האוצר ולשר המשפטים.</w:t>
      </w:r>
    </w:p>
    <w:p w14:paraId="6ACBB394" w14:textId="77777777" w:rsidR="007C4395" w:rsidRPr="00D26F91" w:rsidRDefault="007C4395" w:rsidP="002A738D">
      <w:pPr>
        <w:pStyle w:val="7190"/>
        <w:rPr>
          <w:rtl/>
        </w:rPr>
      </w:pPr>
      <w:r>
        <w:rPr>
          <w:rFonts w:hint="cs"/>
          <w:rtl/>
        </w:rPr>
        <w:t xml:space="preserve">בפברואר 2021 הוגשה לחשב הכללי טיוטת הדוח של הוועדה לאגרות ממשלתיות. מטיוטה זו עולה כי ממיפוי שערך אגף </w:t>
      </w:r>
      <w:proofErr w:type="spellStart"/>
      <w:r>
        <w:rPr>
          <w:rFonts w:hint="cs"/>
          <w:rtl/>
        </w:rPr>
        <w:t>החשכ"ל</w:t>
      </w:r>
      <w:proofErr w:type="spellEnd"/>
      <w:r>
        <w:rPr>
          <w:rFonts w:hint="cs"/>
          <w:rtl/>
        </w:rPr>
        <w:t xml:space="preserve"> עם משרדי הממשלה (כחלק מהטמעת הוראת </w:t>
      </w:r>
      <w:proofErr w:type="spellStart"/>
      <w:r>
        <w:rPr>
          <w:rFonts w:hint="cs"/>
          <w:rtl/>
        </w:rPr>
        <w:t>התכ"ם</w:t>
      </w:r>
      <w:proofErr w:type="spellEnd"/>
      <w:r>
        <w:rPr>
          <w:rFonts w:hint="cs"/>
          <w:rtl/>
        </w:rPr>
        <w:t xml:space="preserve"> בתחום הגבייה) של </w:t>
      </w:r>
      <w:r w:rsidRPr="00D26F91">
        <w:rPr>
          <w:rFonts w:hint="cs"/>
          <w:rtl/>
        </w:rPr>
        <w:t>כלל החיובים המופקים במשרדי הממשלה, יש 2,930 אגרות</w:t>
      </w:r>
      <w:r>
        <w:rPr>
          <w:rStyle w:val="ac"/>
          <w:rtl/>
        </w:rPr>
        <w:footnoteReference w:id="58"/>
      </w:r>
      <w:r w:rsidRPr="00D26F91">
        <w:rPr>
          <w:rFonts w:hint="cs"/>
          <w:rtl/>
        </w:rPr>
        <w:t xml:space="preserve"> שמטילים משרדי הממשלה. עם זאת, נמצא כי רק 478 אגרות מכלל האגרות נגבות באמצעות </w:t>
      </w:r>
      <w:proofErr w:type="spellStart"/>
      <w:r w:rsidRPr="00D26F91">
        <w:rPr>
          <w:rFonts w:hint="cs"/>
          <w:rtl/>
        </w:rPr>
        <w:t>המג"ק</w:t>
      </w:r>
      <w:proofErr w:type="spellEnd"/>
      <w:r w:rsidRPr="00D26F91">
        <w:rPr>
          <w:rFonts w:hint="cs"/>
          <w:rtl/>
        </w:rPr>
        <w:t xml:space="preserve">, בעוד שהיתר, 2,452 אגרות (כ-84% מכלל האגרות), נגבות על ידי המשרדים עצמם. </w:t>
      </w:r>
    </w:p>
    <w:p w14:paraId="23B52F0D" w14:textId="77777777" w:rsidR="007C4395" w:rsidRDefault="007C4395" w:rsidP="002A738D">
      <w:pPr>
        <w:pStyle w:val="7190"/>
        <w:rPr>
          <w:rtl/>
        </w:rPr>
      </w:pPr>
      <w:r w:rsidRPr="00D26F91">
        <w:rPr>
          <w:rFonts w:hint="cs"/>
          <w:rtl/>
        </w:rPr>
        <w:t xml:space="preserve">עוד צוין בטיוטת הדוח כי </w:t>
      </w:r>
      <w:r w:rsidRPr="00D26F91">
        <w:rPr>
          <w:rFonts w:hint="eastAsia"/>
          <w:rtl/>
        </w:rPr>
        <w:t>דבר</w:t>
      </w:r>
      <w:r w:rsidRPr="00D26F91">
        <w:rPr>
          <w:rtl/>
        </w:rPr>
        <w:t xml:space="preserve"> </w:t>
      </w:r>
      <w:r w:rsidRPr="00D26F91">
        <w:rPr>
          <w:rFonts w:hint="cs"/>
          <w:rtl/>
        </w:rPr>
        <w:t>זה</w:t>
      </w:r>
      <w:r w:rsidRPr="00D26F91">
        <w:rPr>
          <w:rtl/>
        </w:rPr>
        <w:t xml:space="preserve"> אינו ממצה את פוטנציאל הגבייה של הממשלה ואף יוצר חוסר אחידות בעבודת הממשלה</w:t>
      </w:r>
      <w:r w:rsidRPr="00D26F91">
        <w:rPr>
          <w:rFonts w:hint="cs"/>
          <w:rtl/>
        </w:rPr>
        <w:t>.</w:t>
      </w:r>
    </w:p>
    <w:p w14:paraId="78DAC9FB" w14:textId="77777777" w:rsidR="007C4395" w:rsidRPr="006F4D0D" w:rsidRDefault="007C4395" w:rsidP="006F4D0D">
      <w:pPr>
        <w:pStyle w:val="71612"/>
        <w:rPr>
          <w:rtl/>
        </w:rPr>
      </w:pPr>
      <w:r w:rsidRPr="006F4D0D">
        <w:rPr>
          <w:rFonts w:hint="cs"/>
          <w:rtl/>
        </w:rPr>
        <w:t>אגרות מקצועיות</w:t>
      </w:r>
    </w:p>
    <w:p w14:paraId="7C838E3A" w14:textId="77777777" w:rsidR="007C4395" w:rsidRPr="008132F7" w:rsidRDefault="007C4395" w:rsidP="008132F7">
      <w:pPr>
        <w:pStyle w:val="7190"/>
        <w:rPr>
          <w:rtl/>
        </w:rPr>
      </w:pPr>
      <w:r w:rsidRPr="008132F7">
        <w:rPr>
          <w:rFonts w:hint="cs"/>
          <w:rtl/>
        </w:rPr>
        <w:t>מתוך סך כל האגרות, יש 723 אגרות מקצוע שנתיות המשולמות בעבור רישיון לעסוק בתחום או במקצוע מסוים.</w:t>
      </w:r>
    </w:p>
    <w:p w14:paraId="5DF44493" w14:textId="77777777" w:rsidR="007C4395" w:rsidRPr="0086745A" w:rsidRDefault="007C4395" w:rsidP="003B2683">
      <w:pPr>
        <w:pStyle w:val="71f4"/>
        <w:rPr>
          <w:rtl/>
        </w:rPr>
      </w:pPr>
      <w:r w:rsidRPr="00523B84">
        <w:rPr>
          <w:rFonts w:hint="cs"/>
          <w:rtl/>
        </w:rPr>
        <w:t>מטיוטת ה</w:t>
      </w:r>
      <w:r>
        <w:rPr>
          <w:rFonts w:hint="cs"/>
          <w:rtl/>
        </w:rPr>
        <w:t>דוח</w:t>
      </w:r>
      <w:r w:rsidRPr="00523B84">
        <w:rPr>
          <w:rFonts w:hint="cs"/>
          <w:rtl/>
        </w:rPr>
        <w:t xml:space="preserve"> עולה כי </w:t>
      </w:r>
      <w:r w:rsidRPr="00F26E61">
        <w:rPr>
          <w:rFonts w:hint="cs"/>
          <w:rtl/>
        </w:rPr>
        <w:t xml:space="preserve">אין מתודולוגיה סדורה </w:t>
      </w:r>
      <w:r>
        <w:rPr>
          <w:rFonts w:hint="cs"/>
          <w:rtl/>
        </w:rPr>
        <w:t>ב</w:t>
      </w:r>
      <w:r w:rsidRPr="00F26E61">
        <w:rPr>
          <w:rFonts w:hint="cs"/>
          <w:rtl/>
        </w:rPr>
        <w:t>עניין הטיפול ב</w:t>
      </w:r>
      <w:r>
        <w:rPr>
          <w:rFonts w:hint="cs"/>
          <w:rtl/>
        </w:rPr>
        <w:t xml:space="preserve">כל 723 </w:t>
      </w:r>
      <w:r w:rsidRPr="00F26E61">
        <w:rPr>
          <w:rFonts w:hint="cs"/>
          <w:rtl/>
        </w:rPr>
        <w:t xml:space="preserve">אגרות המקצוע במשרדי </w:t>
      </w:r>
      <w:r w:rsidRPr="0086745A">
        <w:rPr>
          <w:rFonts w:hint="cs"/>
          <w:rtl/>
        </w:rPr>
        <w:t>הממשלה.</w:t>
      </w:r>
      <w:r w:rsidRPr="0086745A">
        <w:rPr>
          <w:rtl/>
        </w:rPr>
        <w:t xml:space="preserve"> הדבר מביא לחוסר תיאום ולהיעדר אחידות בפעילות המשרדים, ואגרות המקצוע - אשר צריכות להיגבות פעם בשנה - נגבות בדרכים שונות ולעיתים אינן נגבות</w:t>
      </w:r>
      <w:r w:rsidRPr="003B2683">
        <w:rPr>
          <w:rStyle w:val="ac"/>
          <w:rtl/>
        </w:rPr>
        <w:footnoteReference w:id="59"/>
      </w:r>
      <w:r w:rsidRPr="003B2683">
        <w:rPr>
          <w:rStyle w:val="71Char6"/>
          <w:rFonts w:hint="cs"/>
          <w:rtl/>
        </w:rPr>
        <w:t>.</w:t>
      </w:r>
    </w:p>
    <w:p w14:paraId="7EF79ED4" w14:textId="77777777" w:rsidR="007C4395" w:rsidRDefault="007C4395" w:rsidP="002A738D">
      <w:pPr>
        <w:pStyle w:val="7190"/>
        <w:rPr>
          <w:rtl/>
        </w:rPr>
      </w:pPr>
      <w:r w:rsidRPr="0086745A">
        <w:rPr>
          <w:rFonts w:hint="cs"/>
          <w:rtl/>
        </w:rPr>
        <w:t>על פי חוק</w:t>
      </w:r>
      <w:r>
        <w:rPr>
          <w:rFonts w:hint="cs"/>
          <w:rtl/>
        </w:rPr>
        <w:t xml:space="preserve"> המרכז</w:t>
      </w:r>
      <w:r w:rsidRPr="00726672">
        <w:rPr>
          <w:rFonts w:hint="cs"/>
          <w:rtl/>
        </w:rPr>
        <w:t xml:space="preserve"> </w:t>
      </w:r>
      <w:r>
        <w:rPr>
          <w:rFonts w:hint="cs"/>
          <w:rtl/>
        </w:rPr>
        <w:t xml:space="preserve">לגביית קנסות, אגרות והוצאות </w:t>
      </w:r>
      <w:proofErr w:type="spellStart"/>
      <w:r>
        <w:rPr>
          <w:rFonts w:hint="cs"/>
          <w:rtl/>
        </w:rPr>
        <w:t>התשנ"ה</w:t>
      </w:r>
      <w:proofErr w:type="spellEnd"/>
      <w:r>
        <w:rPr>
          <w:rFonts w:hint="cs"/>
          <w:rtl/>
        </w:rPr>
        <w:t xml:space="preserve">-1995 (להלן - חוק </w:t>
      </w:r>
      <w:proofErr w:type="spellStart"/>
      <w:r>
        <w:rPr>
          <w:rFonts w:hint="cs"/>
          <w:rtl/>
        </w:rPr>
        <w:t>המג"ק</w:t>
      </w:r>
      <w:proofErr w:type="spellEnd"/>
      <w:r>
        <w:rPr>
          <w:rFonts w:hint="cs"/>
          <w:rtl/>
        </w:rPr>
        <w:t xml:space="preserve">), על מנת </w:t>
      </w:r>
      <w:proofErr w:type="spellStart"/>
      <w:r>
        <w:rPr>
          <w:rFonts w:hint="cs"/>
          <w:rtl/>
        </w:rPr>
        <w:t>שהמג"ק</w:t>
      </w:r>
      <w:proofErr w:type="spellEnd"/>
      <w:r>
        <w:rPr>
          <w:rFonts w:hint="cs"/>
          <w:rtl/>
        </w:rPr>
        <w:t xml:space="preserve"> יהיה רשאי לגבות אגרה כלשהיא, נדרש כי תחול עליה פקודת המסים (גביה)</w:t>
      </w:r>
      <w:r>
        <w:rPr>
          <w:rStyle w:val="ac"/>
          <w:rtl/>
        </w:rPr>
        <w:footnoteReference w:id="60"/>
      </w:r>
      <w:r>
        <w:rPr>
          <w:rFonts w:hint="cs"/>
          <w:rtl/>
        </w:rPr>
        <w:t xml:space="preserve">. אחרת יש להעביר צו הסמכה המסמיך את </w:t>
      </w:r>
      <w:proofErr w:type="spellStart"/>
      <w:r>
        <w:rPr>
          <w:rFonts w:hint="cs"/>
          <w:rtl/>
        </w:rPr>
        <w:t>המג"ק</w:t>
      </w:r>
      <w:proofErr w:type="spellEnd"/>
      <w:r>
        <w:rPr>
          <w:rFonts w:hint="cs"/>
          <w:rtl/>
        </w:rPr>
        <w:t xml:space="preserve"> לגבות את האגרה. הוצאת צו ההסמכה כרוכה באישור שר המשפטים, אישור השר הרלוונטי לעניין האגרה ואישור ועדת חוק, חוקה ומשפט של הכנסת.</w:t>
      </w:r>
    </w:p>
    <w:p w14:paraId="7C952CA3" w14:textId="77777777" w:rsidR="007C4395" w:rsidRDefault="007C4395" w:rsidP="002A738D">
      <w:pPr>
        <w:pStyle w:val="7190"/>
        <w:rPr>
          <w:rtl/>
        </w:rPr>
      </w:pPr>
      <w:r>
        <w:rPr>
          <w:rFonts w:hint="cs"/>
          <w:rtl/>
        </w:rPr>
        <w:t>אחת מהמלצות הוועדה הייתה קידום תיקון חקיקה שתעגן את אפשרות ההצהרה</w:t>
      </w:r>
      <w:r>
        <w:rPr>
          <w:rStyle w:val="ac"/>
          <w:rtl/>
        </w:rPr>
        <w:footnoteReference w:id="61"/>
      </w:r>
      <w:r>
        <w:rPr>
          <w:rFonts w:hint="cs"/>
          <w:rtl/>
        </w:rPr>
        <w:t xml:space="preserve"> בכל אגרות המקצוע שלגביהן העיסוק במקצוע מתחדש באופן אוטומטי, וכן תסמיך את </w:t>
      </w:r>
      <w:proofErr w:type="spellStart"/>
      <w:r>
        <w:rPr>
          <w:rFonts w:hint="cs"/>
          <w:rtl/>
        </w:rPr>
        <w:t>המג"ק</w:t>
      </w:r>
      <w:proofErr w:type="spellEnd"/>
      <w:r>
        <w:rPr>
          <w:rFonts w:hint="cs"/>
          <w:rtl/>
        </w:rPr>
        <w:t xml:space="preserve"> לגביית אגרות אלו. מטיוטת הדוח עולה כי הסדרת נושא האגרות המקצועיות, אשר לא מתבצעות לגביהן פעולות אכיפה, עשויה להביא לגידול בהכנסות של מיליוני ש"ח בשנה.</w:t>
      </w:r>
    </w:p>
    <w:p w14:paraId="01DE72B6" w14:textId="77777777" w:rsidR="007C4395" w:rsidRDefault="007C4395" w:rsidP="002A738D">
      <w:pPr>
        <w:pStyle w:val="7190"/>
        <w:rPr>
          <w:rtl/>
        </w:rPr>
      </w:pPr>
      <w:r>
        <w:rPr>
          <w:rFonts w:hint="cs"/>
          <w:rtl/>
        </w:rPr>
        <w:t>בטיוטת הצעות החלטה לממשלה בדבר חלק מההתאמות הפיסקאליות שיעלו לדיון במסגרת הדיונים על התוכנית הכלכלית לשנים 2021 ו-</w:t>
      </w:r>
      <w:r w:rsidRPr="00B36DDB">
        <w:rPr>
          <w:rFonts w:hint="cs"/>
          <w:rtl/>
        </w:rPr>
        <w:t>2022 מיום 26.07.</w:t>
      </w:r>
      <w:r>
        <w:rPr>
          <w:rFonts w:hint="cs"/>
          <w:rtl/>
        </w:rPr>
        <w:t>20</w:t>
      </w:r>
      <w:r w:rsidRPr="00B36DDB">
        <w:rPr>
          <w:rFonts w:hint="cs"/>
          <w:rtl/>
        </w:rPr>
        <w:t>21 (להלן - טיוטת חוק ההסדרים)</w:t>
      </w:r>
      <w:r>
        <w:rPr>
          <w:rFonts w:hint="cs"/>
          <w:rtl/>
        </w:rPr>
        <w:t xml:space="preserve"> במסגרת ייעול הגבייה הממשלתית הוצע לקבוע בחוק כי </w:t>
      </w:r>
      <w:proofErr w:type="spellStart"/>
      <w:r>
        <w:rPr>
          <w:rFonts w:hint="cs"/>
          <w:rtl/>
        </w:rPr>
        <w:t>המג"ק</w:t>
      </w:r>
      <w:proofErr w:type="spellEnd"/>
      <w:r>
        <w:rPr>
          <w:rFonts w:hint="cs"/>
          <w:rtl/>
        </w:rPr>
        <w:t xml:space="preserve"> יהיה מוסמך לגבות </w:t>
      </w:r>
      <w:r>
        <w:rPr>
          <w:rFonts w:hint="cs"/>
          <w:rtl/>
        </w:rPr>
        <w:lastRenderedPageBreak/>
        <w:t>את כלל החובות בגין אגרות המקצוע הממשלתיות. עם זאת, נושא זה לא נכלל בטיוטת חוק ההסדרים הסופית שהונחה לאישור הכנסת</w:t>
      </w:r>
      <w:r>
        <w:rPr>
          <w:rStyle w:val="ac"/>
          <w:rtl/>
        </w:rPr>
        <w:footnoteReference w:id="62"/>
      </w:r>
      <w:r>
        <w:rPr>
          <w:rFonts w:hint="cs"/>
          <w:rtl/>
        </w:rPr>
        <w:t>.</w:t>
      </w:r>
    </w:p>
    <w:p w14:paraId="4DE36F95" w14:textId="6582D06F" w:rsidR="007C4395" w:rsidRDefault="007C4395" w:rsidP="003B2683">
      <w:pPr>
        <w:pStyle w:val="71f4"/>
        <w:rPr>
          <w:rtl/>
        </w:rPr>
      </w:pPr>
      <w:r>
        <w:rPr>
          <w:rFonts w:hint="cs"/>
          <w:rtl/>
        </w:rPr>
        <w:t xml:space="preserve">עלה כי הסמכת </w:t>
      </w:r>
      <w:proofErr w:type="spellStart"/>
      <w:r>
        <w:rPr>
          <w:rFonts w:hint="cs"/>
          <w:rtl/>
        </w:rPr>
        <w:t>המג"ק</w:t>
      </w:r>
      <w:proofErr w:type="spellEnd"/>
      <w:r>
        <w:rPr>
          <w:rFonts w:hint="cs"/>
          <w:rtl/>
        </w:rPr>
        <w:t xml:space="preserve"> </w:t>
      </w:r>
      <w:r w:rsidRPr="00A66DF7">
        <w:rPr>
          <w:rFonts w:hint="cs"/>
          <w:rtl/>
        </w:rPr>
        <w:t xml:space="preserve">לגבות </w:t>
      </w:r>
      <w:r>
        <w:rPr>
          <w:rFonts w:hint="cs"/>
          <w:rtl/>
        </w:rPr>
        <w:t>את כלל החובות בגין אגרות המקצוע הממשלתיות לא הוסדרה.</w:t>
      </w:r>
    </w:p>
    <w:p w14:paraId="668313F4" w14:textId="77777777" w:rsidR="008132F7" w:rsidRDefault="008132F7" w:rsidP="008132F7">
      <w:pPr>
        <w:pStyle w:val="7190"/>
        <w:spacing w:after="0"/>
        <w:rPr>
          <w:rtl/>
        </w:rPr>
      </w:pPr>
    </w:p>
    <w:p w14:paraId="293C7B34" w14:textId="77777777" w:rsidR="007C4395" w:rsidRDefault="007C4395" w:rsidP="003B2683">
      <w:pPr>
        <w:pStyle w:val="71f4"/>
        <w:rPr>
          <w:rtl/>
        </w:rPr>
      </w:pPr>
      <w:r w:rsidRPr="009C2A38">
        <w:rPr>
          <w:rFonts w:hint="cs"/>
          <w:rtl/>
        </w:rPr>
        <w:t xml:space="preserve">מומלץ כי אגף </w:t>
      </w:r>
      <w:proofErr w:type="spellStart"/>
      <w:r w:rsidRPr="009C2A38">
        <w:rPr>
          <w:rFonts w:hint="cs"/>
          <w:rtl/>
        </w:rPr>
        <w:t>החשכ"ל</w:t>
      </w:r>
      <w:proofErr w:type="spellEnd"/>
      <w:r w:rsidRPr="009C2A38">
        <w:rPr>
          <w:rFonts w:hint="cs"/>
          <w:rtl/>
        </w:rPr>
        <w:t xml:space="preserve"> י</w:t>
      </w:r>
      <w:r>
        <w:rPr>
          <w:rFonts w:hint="cs"/>
          <w:rtl/>
        </w:rPr>
        <w:t xml:space="preserve">שלים </w:t>
      </w:r>
      <w:r w:rsidRPr="009C2A38">
        <w:rPr>
          <w:rFonts w:hint="cs"/>
          <w:rtl/>
        </w:rPr>
        <w:t xml:space="preserve">בשיתוף </w:t>
      </w:r>
      <w:proofErr w:type="spellStart"/>
      <w:r w:rsidRPr="009C2A38">
        <w:rPr>
          <w:rFonts w:hint="cs"/>
          <w:rtl/>
        </w:rPr>
        <w:t>המג"ק</w:t>
      </w:r>
      <w:proofErr w:type="spellEnd"/>
      <w:r w:rsidRPr="009C2A38">
        <w:rPr>
          <w:rFonts w:hint="cs"/>
          <w:rtl/>
        </w:rPr>
        <w:t xml:space="preserve"> את ההסדרה בנושא ייעול הגבייה הממשלתית</w:t>
      </w:r>
      <w:r>
        <w:rPr>
          <w:rFonts w:hint="cs"/>
          <w:rtl/>
        </w:rPr>
        <w:t xml:space="preserve"> בתחום האגרות המקצועיות</w:t>
      </w:r>
      <w:r w:rsidRPr="009C2A38">
        <w:rPr>
          <w:rFonts w:hint="cs"/>
          <w:rtl/>
        </w:rPr>
        <w:t>.</w:t>
      </w:r>
    </w:p>
    <w:p w14:paraId="104F3CBB" w14:textId="77777777" w:rsidR="007C4395" w:rsidRPr="00BB6E9E" w:rsidRDefault="007C4395" w:rsidP="002A738D">
      <w:pPr>
        <w:pStyle w:val="7190"/>
        <w:rPr>
          <w:rtl/>
        </w:rPr>
      </w:pPr>
      <w:r w:rsidRPr="00BB6E9E">
        <w:rPr>
          <w:rFonts w:hint="eastAsia"/>
          <w:rtl/>
        </w:rPr>
        <w:t>בתשובת</w:t>
      </w:r>
      <w:r w:rsidRPr="00BB6E9E">
        <w:rPr>
          <w:rtl/>
        </w:rPr>
        <w:t xml:space="preserve"> אגף </w:t>
      </w:r>
      <w:proofErr w:type="spellStart"/>
      <w:r w:rsidRPr="00BB6E9E">
        <w:rPr>
          <w:rtl/>
        </w:rPr>
        <w:t>החשכ"ל</w:t>
      </w:r>
      <w:proofErr w:type="spellEnd"/>
      <w:r w:rsidRPr="00BB6E9E">
        <w:rPr>
          <w:rtl/>
        </w:rPr>
        <w:t xml:space="preserve"> צוין כי הצעת החוק הוצאה מחוק ההסדרים הנוכחי ותיכנס לחוק ההסדרים הבא. אגף </w:t>
      </w:r>
      <w:proofErr w:type="spellStart"/>
      <w:r w:rsidRPr="00BB6E9E">
        <w:rPr>
          <w:rtl/>
        </w:rPr>
        <w:t>החשכ"ל</w:t>
      </w:r>
      <w:proofErr w:type="spellEnd"/>
      <w:r w:rsidRPr="00BB6E9E">
        <w:rPr>
          <w:rtl/>
        </w:rPr>
        <w:t xml:space="preserve"> הוסיף כי עד להסדרת הנושא בחוק ההסדרים הוא פועל להמשך הסמכת </w:t>
      </w:r>
      <w:proofErr w:type="spellStart"/>
      <w:r w:rsidRPr="00BB6E9E">
        <w:rPr>
          <w:rtl/>
        </w:rPr>
        <w:t>המג"ק</w:t>
      </w:r>
      <w:proofErr w:type="spellEnd"/>
      <w:r w:rsidRPr="00BB6E9E">
        <w:rPr>
          <w:rtl/>
        </w:rPr>
        <w:t xml:space="preserve"> לגביית אגרות שונות.</w:t>
      </w:r>
    </w:p>
    <w:p w14:paraId="4AD9864F" w14:textId="77777777" w:rsidR="007C4395" w:rsidRPr="006E0A64" w:rsidRDefault="007C4395" w:rsidP="002A738D">
      <w:pPr>
        <w:pStyle w:val="7190"/>
        <w:rPr>
          <w:rtl/>
        </w:rPr>
      </w:pPr>
      <w:r w:rsidRPr="00BB6E9E">
        <w:rPr>
          <w:rFonts w:hint="eastAsia"/>
          <w:rtl/>
        </w:rPr>
        <w:t>בתשובת</w:t>
      </w:r>
      <w:r w:rsidRPr="00BB6E9E">
        <w:rPr>
          <w:rtl/>
        </w:rPr>
        <w:t xml:space="preserve"> </w:t>
      </w:r>
      <w:r w:rsidRPr="00BB6E9E">
        <w:rPr>
          <w:rFonts w:hint="eastAsia"/>
          <w:rtl/>
        </w:rPr>
        <w:t>רשות</w:t>
      </w:r>
      <w:r w:rsidRPr="00BB6E9E">
        <w:rPr>
          <w:rtl/>
        </w:rPr>
        <w:t xml:space="preserve"> </w:t>
      </w:r>
      <w:r w:rsidRPr="00BB6E9E">
        <w:rPr>
          <w:rFonts w:hint="eastAsia"/>
          <w:rtl/>
        </w:rPr>
        <w:t>האכיפה</w:t>
      </w:r>
      <w:r w:rsidRPr="00BB6E9E">
        <w:rPr>
          <w:rtl/>
        </w:rPr>
        <w:t xml:space="preserve"> </w:t>
      </w:r>
      <w:r w:rsidRPr="00BB6E9E">
        <w:rPr>
          <w:rFonts w:hint="eastAsia"/>
          <w:rtl/>
        </w:rPr>
        <w:t>והגבייה</w:t>
      </w:r>
      <w:r w:rsidRPr="00BB6E9E">
        <w:rPr>
          <w:rtl/>
        </w:rPr>
        <w:t xml:space="preserve"> </w:t>
      </w:r>
      <w:r w:rsidRPr="00BB6E9E">
        <w:rPr>
          <w:rFonts w:hint="eastAsia"/>
          <w:rtl/>
        </w:rPr>
        <w:t>מדצמבר</w:t>
      </w:r>
      <w:r w:rsidRPr="00BB6E9E">
        <w:rPr>
          <w:rtl/>
        </w:rPr>
        <w:t xml:space="preserve"> 2021 (להלן - </w:t>
      </w:r>
      <w:r w:rsidRPr="00BB6E9E">
        <w:rPr>
          <w:rFonts w:hint="eastAsia"/>
          <w:rtl/>
        </w:rPr>
        <w:t>תשובת</w:t>
      </w:r>
      <w:r w:rsidRPr="00BB6E9E">
        <w:rPr>
          <w:rtl/>
        </w:rPr>
        <w:t xml:space="preserve"> </w:t>
      </w:r>
      <w:r w:rsidRPr="00BB6E9E">
        <w:rPr>
          <w:rFonts w:hint="eastAsia"/>
          <w:rtl/>
        </w:rPr>
        <w:t>רשות</w:t>
      </w:r>
      <w:r w:rsidRPr="00BB6E9E">
        <w:rPr>
          <w:rtl/>
        </w:rPr>
        <w:t xml:space="preserve"> </w:t>
      </w:r>
      <w:r w:rsidRPr="00BB6E9E">
        <w:rPr>
          <w:rFonts w:hint="eastAsia"/>
          <w:rtl/>
        </w:rPr>
        <w:t>האכיפה</w:t>
      </w:r>
      <w:r w:rsidRPr="00BB6E9E">
        <w:rPr>
          <w:rtl/>
        </w:rPr>
        <w:t xml:space="preserve"> </w:t>
      </w:r>
      <w:r w:rsidRPr="00BB6E9E">
        <w:rPr>
          <w:rFonts w:hint="eastAsia"/>
          <w:rtl/>
        </w:rPr>
        <w:t>והגבייה</w:t>
      </w:r>
      <w:r w:rsidRPr="00BB6E9E">
        <w:rPr>
          <w:rtl/>
        </w:rPr>
        <w:t xml:space="preserve">) </w:t>
      </w:r>
      <w:r w:rsidRPr="00BB6E9E">
        <w:rPr>
          <w:rFonts w:hint="eastAsia"/>
          <w:rtl/>
        </w:rPr>
        <w:t>נמסר</w:t>
      </w:r>
      <w:r w:rsidRPr="00BB6E9E">
        <w:rPr>
          <w:rtl/>
        </w:rPr>
        <w:t xml:space="preserve"> </w:t>
      </w:r>
      <w:r w:rsidRPr="00BB6E9E">
        <w:rPr>
          <w:rFonts w:hint="eastAsia"/>
          <w:rtl/>
        </w:rPr>
        <w:t>כי</w:t>
      </w:r>
      <w:r w:rsidRPr="00BB6E9E">
        <w:rPr>
          <w:rtl/>
        </w:rPr>
        <w:t xml:space="preserve"> </w:t>
      </w:r>
      <w:r w:rsidRPr="00BB6E9E">
        <w:rPr>
          <w:rFonts w:hint="eastAsia"/>
          <w:rtl/>
        </w:rPr>
        <w:t>קידום</w:t>
      </w:r>
      <w:r w:rsidRPr="00BB6E9E">
        <w:rPr>
          <w:rtl/>
        </w:rPr>
        <w:t xml:space="preserve"> </w:t>
      </w:r>
      <w:r w:rsidRPr="00BB6E9E">
        <w:rPr>
          <w:rFonts w:hint="eastAsia"/>
          <w:rtl/>
        </w:rPr>
        <w:t>הצעת</w:t>
      </w:r>
      <w:r w:rsidRPr="00BB6E9E">
        <w:rPr>
          <w:rtl/>
        </w:rPr>
        <w:t xml:space="preserve"> </w:t>
      </w:r>
      <w:r w:rsidRPr="00BB6E9E">
        <w:rPr>
          <w:rFonts w:hint="eastAsia"/>
          <w:rtl/>
        </w:rPr>
        <w:t>החוק</w:t>
      </w:r>
      <w:r w:rsidRPr="00BB6E9E">
        <w:rPr>
          <w:rtl/>
        </w:rPr>
        <w:t xml:space="preserve"> </w:t>
      </w:r>
      <w:r w:rsidRPr="00BB6E9E">
        <w:rPr>
          <w:rFonts w:hint="eastAsia"/>
          <w:rtl/>
        </w:rPr>
        <w:t>בעניין</w:t>
      </w:r>
      <w:r w:rsidRPr="00BB6E9E">
        <w:rPr>
          <w:rtl/>
        </w:rPr>
        <w:t xml:space="preserve"> </w:t>
      </w:r>
      <w:r w:rsidRPr="00BB6E9E">
        <w:rPr>
          <w:rFonts w:hint="eastAsia"/>
          <w:rtl/>
        </w:rPr>
        <w:t>גביית</w:t>
      </w:r>
      <w:r w:rsidRPr="00BB6E9E">
        <w:rPr>
          <w:rtl/>
        </w:rPr>
        <w:t xml:space="preserve"> </w:t>
      </w:r>
      <w:r w:rsidRPr="00BB6E9E">
        <w:rPr>
          <w:rFonts w:hint="eastAsia"/>
          <w:rtl/>
        </w:rPr>
        <w:t>אגרות</w:t>
      </w:r>
      <w:r w:rsidRPr="00BB6E9E">
        <w:rPr>
          <w:rtl/>
        </w:rPr>
        <w:t xml:space="preserve"> </w:t>
      </w:r>
      <w:r w:rsidRPr="00BB6E9E">
        <w:rPr>
          <w:rFonts w:hint="eastAsia"/>
          <w:rtl/>
        </w:rPr>
        <w:t>המקצוע</w:t>
      </w:r>
      <w:r w:rsidRPr="00BB6E9E">
        <w:rPr>
          <w:rtl/>
        </w:rPr>
        <w:t xml:space="preserve"> </w:t>
      </w:r>
      <w:r w:rsidRPr="00BB6E9E">
        <w:rPr>
          <w:rFonts w:hint="eastAsia"/>
          <w:rtl/>
        </w:rPr>
        <w:t>על</w:t>
      </w:r>
      <w:r w:rsidRPr="00BB6E9E">
        <w:rPr>
          <w:rtl/>
        </w:rPr>
        <w:t xml:space="preserve"> </w:t>
      </w:r>
      <w:r w:rsidRPr="00BB6E9E">
        <w:rPr>
          <w:rFonts w:hint="eastAsia"/>
          <w:rtl/>
        </w:rPr>
        <w:t>ידי</w:t>
      </w:r>
      <w:r w:rsidRPr="00BB6E9E">
        <w:rPr>
          <w:rtl/>
        </w:rPr>
        <w:t xml:space="preserve"> </w:t>
      </w:r>
      <w:proofErr w:type="spellStart"/>
      <w:r w:rsidRPr="00BB6E9E">
        <w:rPr>
          <w:rFonts w:hint="eastAsia"/>
          <w:rtl/>
        </w:rPr>
        <w:t>המג</w:t>
      </w:r>
      <w:r w:rsidRPr="00BB6E9E">
        <w:rPr>
          <w:rtl/>
        </w:rPr>
        <w:t>"ק</w:t>
      </w:r>
      <w:proofErr w:type="spellEnd"/>
      <w:r w:rsidRPr="00BB6E9E">
        <w:rPr>
          <w:rtl/>
        </w:rPr>
        <w:t xml:space="preserve"> </w:t>
      </w:r>
      <w:r w:rsidRPr="00BB6E9E">
        <w:rPr>
          <w:rFonts w:hint="eastAsia"/>
          <w:rtl/>
        </w:rPr>
        <w:t>היא</w:t>
      </w:r>
      <w:r w:rsidRPr="00BB6E9E">
        <w:rPr>
          <w:rtl/>
        </w:rPr>
        <w:t xml:space="preserve"> </w:t>
      </w:r>
      <w:r w:rsidRPr="00BB6E9E">
        <w:rPr>
          <w:rFonts w:hint="eastAsia"/>
          <w:rtl/>
        </w:rPr>
        <w:t>חלק</w:t>
      </w:r>
      <w:r w:rsidRPr="00BB6E9E">
        <w:rPr>
          <w:rtl/>
        </w:rPr>
        <w:t xml:space="preserve"> </w:t>
      </w:r>
      <w:r w:rsidRPr="00BB6E9E">
        <w:rPr>
          <w:rFonts w:hint="eastAsia"/>
          <w:rtl/>
        </w:rPr>
        <w:t>מתוכנית</w:t>
      </w:r>
      <w:r w:rsidRPr="00BB6E9E">
        <w:rPr>
          <w:rtl/>
        </w:rPr>
        <w:t xml:space="preserve"> </w:t>
      </w:r>
      <w:r w:rsidRPr="00BB6E9E">
        <w:rPr>
          <w:rFonts w:hint="eastAsia"/>
          <w:rtl/>
        </w:rPr>
        <w:t>העבודה</w:t>
      </w:r>
      <w:r w:rsidRPr="00BB6E9E">
        <w:rPr>
          <w:rtl/>
        </w:rPr>
        <w:t xml:space="preserve"> </w:t>
      </w:r>
      <w:r w:rsidRPr="00BB6E9E">
        <w:rPr>
          <w:rFonts w:hint="eastAsia"/>
          <w:rtl/>
        </w:rPr>
        <w:t>לשנת</w:t>
      </w:r>
      <w:r w:rsidRPr="00BB6E9E">
        <w:rPr>
          <w:rtl/>
        </w:rPr>
        <w:t xml:space="preserve"> 2022.</w:t>
      </w:r>
    </w:p>
    <w:p w14:paraId="16025D44" w14:textId="77777777" w:rsidR="007C4395" w:rsidRDefault="007C4395" w:rsidP="006F4D0D">
      <w:pPr>
        <w:pStyle w:val="71414"/>
        <w:rPr>
          <w:rtl/>
        </w:rPr>
      </w:pPr>
      <w:r>
        <w:rPr>
          <w:rFonts w:hint="cs"/>
          <w:rtl/>
        </w:rPr>
        <w:t>פעולות משרדי הממשלה מול רשות האכיפה והגבייה</w:t>
      </w:r>
    </w:p>
    <w:p w14:paraId="73C0C800" w14:textId="77777777" w:rsidR="007C4395" w:rsidRDefault="007C4395" w:rsidP="002A738D">
      <w:pPr>
        <w:pStyle w:val="7190"/>
        <w:rPr>
          <w:rtl/>
        </w:rPr>
      </w:pPr>
      <w:r>
        <w:rPr>
          <w:rFonts w:hint="cs"/>
          <w:rtl/>
        </w:rPr>
        <w:t>כחלק ממערך הגבייה במדינה, משרדי הממשלה השונים נעזרים ברשות האכיפה והגבייה, שהיא יחידת סמך במשרד המשפטים, לשם גביית חיובים שהתגבשו לכדי חובות בתום ביצוע פעולות גביית החיוב בהתאם לסרגל הגבייה והאכיפה המשרדי.</w:t>
      </w:r>
    </w:p>
    <w:p w14:paraId="45C5A116" w14:textId="77777777" w:rsidR="007C4395" w:rsidRDefault="007C4395" w:rsidP="002A738D">
      <w:pPr>
        <w:pStyle w:val="7190"/>
        <w:rPr>
          <w:rtl/>
        </w:rPr>
      </w:pPr>
      <w:r>
        <w:rPr>
          <w:rFonts w:hint="cs"/>
          <w:rtl/>
        </w:rPr>
        <w:t>ברשות האכיפה והגבייה פועלים כיום שני גופים שמסייעים בגבייה עבור המדינה:</w:t>
      </w:r>
    </w:p>
    <w:p w14:paraId="49C190D9" w14:textId="77777777" w:rsidR="007C4395" w:rsidRDefault="007C4395" w:rsidP="0038598B">
      <w:pPr>
        <w:pStyle w:val="714"/>
        <w:numPr>
          <w:ilvl w:val="0"/>
          <w:numId w:val="25"/>
        </w:numPr>
        <w:rPr>
          <w:rtl/>
        </w:rPr>
      </w:pPr>
      <w:proofErr w:type="spellStart"/>
      <w:r>
        <w:rPr>
          <w:rFonts w:hint="cs"/>
          <w:rtl/>
        </w:rPr>
        <w:t>המג"ק</w:t>
      </w:r>
      <w:proofErr w:type="spellEnd"/>
      <w:r>
        <w:rPr>
          <w:rFonts w:hint="cs"/>
          <w:rtl/>
        </w:rPr>
        <w:t xml:space="preserve"> - </w:t>
      </w:r>
      <w:r w:rsidRPr="003C7621">
        <w:rPr>
          <w:rtl/>
        </w:rPr>
        <w:t xml:space="preserve">מרכז </w:t>
      </w:r>
      <w:r w:rsidRPr="003C7621">
        <w:rPr>
          <w:rFonts w:hint="eastAsia"/>
          <w:rtl/>
        </w:rPr>
        <w:t>ה</w:t>
      </w:r>
      <w:r w:rsidRPr="003C7621">
        <w:rPr>
          <w:rtl/>
        </w:rPr>
        <w:t xml:space="preserve">מוסמך לגבות </w:t>
      </w:r>
      <w:r>
        <w:rPr>
          <w:rFonts w:hint="cs"/>
          <w:rtl/>
        </w:rPr>
        <w:t xml:space="preserve">עבור המדינה חובות בהתאם להגדרת "חוב" בחוק </w:t>
      </w:r>
      <w:proofErr w:type="spellStart"/>
      <w:r>
        <w:rPr>
          <w:rFonts w:hint="cs"/>
          <w:rtl/>
        </w:rPr>
        <w:t>המג"ק</w:t>
      </w:r>
      <w:proofErr w:type="spellEnd"/>
      <w:r>
        <w:rPr>
          <w:rFonts w:hint="cs"/>
          <w:rtl/>
        </w:rPr>
        <w:t xml:space="preserve">, הכוללת </w:t>
      </w:r>
      <w:r w:rsidRPr="003C7621">
        <w:rPr>
          <w:rtl/>
        </w:rPr>
        <w:t xml:space="preserve">קנסות שהטיל בית משפט, קנסות </w:t>
      </w:r>
      <w:proofErr w:type="spellStart"/>
      <w:r w:rsidRPr="003C7621">
        <w:rPr>
          <w:rtl/>
        </w:rPr>
        <w:t>מ</w:t>
      </w:r>
      <w:r>
        <w:rPr>
          <w:rFonts w:hint="cs"/>
          <w:rtl/>
        </w:rPr>
        <w:t>י</w:t>
      </w:r>
      <w:r w:rsidRPr="003C7621">
        <w:rPr>
          <w:rtl/>
        </w:rPr>
        <w:t>נהליים</w:t>
      </w:r>
      <w:proofErr w:type="spellEnd"/>
      <w:r w:rsidRPr="003C7621">
        <w:rPr>
          <w:rtl/>
        </w:rPr>
        <w:t>, קנסות</w:t>
      </w:r>
      <w:r>
        <w:rPr>
          <w:rFonts w:hint="cs"/>
          <w:rtl/>
        </w:rPr>
        <w:t xml:space="preserve"> בשל עבירות של</w:t>
      </w:r>
      <w:r w:rsidRPr="003C7621">
        <w:rPr>
          <w:rtl/>
        </w:rPr>
        <w:t xml:space="preserve"> ברירות משפט, אגרות בתי משפט </w:t>
      </w:r>
      <w:r>
        <w:rPr>
          <w:rFonts w:hint="cs"/>
          <w:rtl/>
        </w:rPr>
        <w:t>ו</w:t>
      </w:r>
      <w:r w:rsidRPr="003C7621">
        <w:rPr>
          <w:rtl/>
        </w:rPr>
        <w:t>הוצאות ופיצויים</w:t>
      </w:r>
      <w:r>
        <w:rPr>
          <w:rFonts w:hint="cs"/>
          <w:rtl/>
        </w:rPr>
        <w:t>,</w:t>
      </w:r>
      <w:r w:rsidRPr="003C7621">
        <w:rPr>
          <w:rtl/>
        </w:rPr>
        <w:t xml:space="preserve"> </w:t>
      </w:r>
      <w:r>
        <w:rPr>
          <w:rFonts w:hint="cs"/>
          <w:rtl/>
        </w:rPr>
        <w:t>שפסק</w:t>
      </w:r>
      <w:r w:rsidRPr="003C7621">
        <w:rPr>
          <w:rtl/>
        </w:rPr>
        <w:t xml:space="preserve"> בית </w:t>
      </w:r>
      <w:r>
        <w:rPr>
          <w:rFonts w:hint="cs"/>
          <w:rtl/>
        </w:rPr>
        <w:t>ה</w:t>
      </w:r>
      <w:r w:rsidRPr="003C7621">
        <w:rPr>
          <w:rtl/>
        </w:rPr>
        <w:t>משפט.</w:t>
      </w:r>
      <w:r>
        <w:rPr>
          <w:rFonts w:hint="cs"/>
          <w:rtl/>
        </w:rPr>
        <w:t xml:space="preserve"> כמו כן, </w:t>
      </w:r>
      <w:proofErr w:type="spellStart"/>
      <w:r>
        <w:rPr>
          <w:rFonts w:hint="cs"/>
          <w:rtl/>
        </w:rPr>
        <w:t>המג"ק</w:t>
      </w:r>
      <w:proofErr w:type="spellEnd"/>
      <w:r>
        <w:rPr>
          <w:rFonts w:hint="cs"/>
          <w:rtl/>
        </w:rPr>
        <w:t xml:space="preserve"> מוסמך לגבות חיובים שונים בהתאם לצווים שנחתמו על ידי שר המשפטים בהסכמת השרים הרלוונטיים. במועד סיום הביקורת גבה </w:t>
      </w:r>
      <w:proofErr w:type="spellStart"/>
      <w:r>
        <w:rPr>
          <w:rFonts w:hint="cs"/>
          <w:rtl/>
        </w:rPr>
        <w:t>המג"ק</w:t>
      </w:r>
      <w:proofErr w:type="spellEnd"/>
      <w:r>
        <w:rPr>
          <w:rFonts w:hint="cs"/>
          <w:rtl/>
        </w:rPr>
        <w:t xml:space="preserve"> חובות עבור כ-40 גופים ממשלתיים.</w:t>
      </w:r>
    </w:p>
    <w:p w14:paraId="21DEB617" w14:textId="77777777" w:rsidR="007C4395" w:rsidRDefault="007C4395" w:rsidP="0038598B">
      <w:pPr>
        <w:pStyle w:val="714"/>
        <w:numPr>
          <w:ilvl w:val="0"/>
          <w:numId w:val="25"/>
        </w:numPr>
        <w:rPr>
          <w:rtl/>
        </w:rPr>
      </w:pPr>
      <w:proofErr w:type="spellStart"/>
      <w:r>
        <w:rPr>
          <w:rFonts w:hint="cs"/>
          <w:rtl/>
        </w:rPr>
        <w:t>המנ"ג</w:t>
      </w:r>
      <w:proofErr w:type="spellEnd"/>
      <w:r>
        <w:rPr>
          <w:rFonts w:hint="cs"/>
          <w:rtl/>
        </w:rPr>
        <w:t xml:space="preserve"> - גוף שהוקם מתוקף החלטת הממשלה בנושא הגבייה, ולפיה</w:t>
      </w:r>
      <w:r w:rsidRPr="00235C64">
        <w:rPr>
          <w:rtl/>
        </w:rPr>
        <w:t xml:space="preserve"> </w:t>
      </w:r>
      <w:r>
        <w:rPr>
          <w:rFonts w:hint="cs"/>
          <w:rtl/>
        </w:rPr>
        <w:t>יש</w:t>
      </w:r>
      <w:r w:rsidRPr="00235C64">
        <w:rPr>
          <w:rtl/>
        </w:rPr>
        <w:t xml:space="preserve"> "להקים מערך גבייה ממשלתי אשר יפעל לאפיון, טיוב וגבייה של החוב</w:t>
      </w:r>
      <w:r>
        <w:rPr>
          <w:rtl/>
        </w:rPr>
        <w:t>ות השונים למשרדי הממשלה"</w:t>
      </w:r>
      <w:r w:rsidRPr="00235C64">
        <w:rPr>
          <w:rtl/>
        </w:rPr>
        <w:t>.</w:t>
      </w:r>
      <w:r>
        <w:rPr>
          <w:rFonts w:hint="cs"/>
          <w:rtl/>
        </w:rPr>
        <w:t xml:space="preserve"> </w:t>
      </w:r>
      <w:proofErr w:type="spellStart"/>
      <w:r>
        <w:rPr>
          <w:rFonts w:hint="cs"/>
          <w:rtl/>
        </w:rPr>
        <w:t>המנ"ג</w:t>
      </w:r>
      <w:proofErr w:type="spellEnd"/>
      <w:r>
        <w:rPr>
          <w:rFonts w:hint="cs"/>
          <w:rtl/>
        </w:rPr>
        <w:t xml:space="preserve"> מ</w:t>
      </w:r>
      <w:r>
        <w:rPr>
          <w:rtl/>
        </w:rPr>
        <w:t>שמש בא כוח של משרדי הממשלה השונים ל</w:t>
      </w:r>
      <w:r>
        <w:rPr>
          <w:rFonts w:hint="cs"/>
          <w:rtl/>
        </w:rPr>
        <w:t xml:space="preserve">צורך </w:t>
      </w:r>
      <w:r>
        <w:rPr>
          <w:rtl/>
        </w:rPr>
        <w:t>אכיפ</w:t>
      </w:r>
      <w:r>
        <w:rPr>
          <w:rFonts w:hint="cs"/>
          <w:rtl/>
        </w:rPr>
        <w:t>ה של</w:t>
      </w:r>
      <w:r>
        <w:rPr>
          <w:rtl/>
        </w:rPr>
        <w:t xml:space="preserve"> חובות אזרחיים </w:t>
      </w:r>
      <w:r>
        <w:rPr>
          <w:rFonts w:hint="cs"/>
          <w:rtl/>
        </w:rPr>
        <w:t>חלוטים</w:t>
      </w:r>
      <w:r>
        <w:rPr>
          <w:rStyle w:val="ac"/>
          <w:rtl/>
        </w:rPr>
        <w:footnoteReference w:id="63"/>
      </w:r>
      <w:r>
        <w:rPr>
          <w:rFonts w:hint="cs"/>
          <w:rtl/>
        </w:rPr>
        <w:t xml:space="preserve"> לגופים הממשלתיים, כגון חובות קצובים מכוח הסכמים. </w:t>
      </w:r>
      <w:r>
        <w:rPr>
          <w:rtl/>
        </w:rPr>
        <w:t xml:space="preserve">עורכי הדין </w:t>
      </w:r>
      <w:proofErr w:type="spellStart"/>
      <w:r>
        <w:rPr>
          <w:rFonts w:hint="cs"/>
          <w:rtl/>
        </w:rPr>
        <w:t>במנ"ג</w:t>
      </w:r>
      <w:proofErr w:type="spellEnd"/>
      <w:r>
        <w:rPr>
          <w:rtl/>
        </w:rPr>
        <w:t xml:space="preserve"> </w:t>
      </w:r>
      <w:r>
        <w:rPr>
          <w:rtl/>
        </w:rPr>
        <w:lastRenderedPageBreak/>
        <w:t xml:space="preserve">פועלים מכוח ייפוי שניתן להם </w:t>
      </w:r>
      <w:r>
        <w:rPr>
          <w:rFonts w:hint="cs"/>
          <w:rtl/>
        </w:rPr>
        <w:t>מ</w:t>
      </w:r>
      <w:r>
        <w:rPr>
          <w:rtl/>
        </w:rPr>
        <w:t>היועץ המשפטי לממשלה.</w:t>
      </w:r>
      <w:r>
        <w:rPr>
          <w:rFonts w:hint="cs"/>
          <w:rtl/>
        </w:rPr>
        <w:t xml:space="preserve"> בסוף שנת 2020 טיפל </w:t>
      </w:r>
      <w:proofErr w:type="spellStart"/>
      <w:r>
        <w:rPr>
          <w:rFonts w:hint="cs"/>
          <w:rtl/>
        </w:rPr>
        <w:t>המנ"ג</w:t>
      </w:r>
      <w:proofErr w:type="spellEnd"/>
      <w:r>
        <w:rPr>
          <w:rFonts w:hint="cs"/>
          <w:rtl/>
        </w:rPr>
        <w:t xml:space="preserve"> בחובות עבור כ-40 גופים ממשלתיים.</w:t>
      </w:r>
    </w:p>
    <w:p w14:paraId="77FC615A" w14:textId="77777777" w:rsidR="007C4395" w:rsidRDefault="007C4395" w:rsidP="002A738D">
      <w:pPr>
        <w:pStyle w:val="7190"/>
        <w:rPr>
          <w:rtl/>
        </w:rPr>
      </w:pPr>
      <w:r>
        <w:rPr>
          <w:rFonts w:hint="cs"/>
          <w:rtl/>
        </w:rPr>
        <w:t>ההחלטה על הגורם ברשות שאליו יועבר החוב לצורך ביצוע פעולות אכיפה, תלויה בסוג החוב:</w:t>
      </w:r>
    </w:p>
    <w:p w14:paraId="282FA119" w14:textId="77777777" w:rsidR="007C4395" w:rsidRDefault="007C4395" w:rsidP="0038598B">
      <w:pPr>
        <w:pStyle w:val="714"/>
        <w:numPr>
          <w:ilvl w:val="0"/>
          <w:numId w:val="26"/>
        </w:numPr>
      </w:pPr>
      <w:r>
        <w:rPr>
          <w:rFonts w:hint="cs"/>
          <w:rtl/>
        </w:rPr>
        <w:t xml:space="preserve">חוב כהגדרתו לפי חוק </w:t>
      </w:r>
      <w:proofErr w:type="spellStart"/>
      <w:r>
        <w:rPr>
          <w:rFonts w:hint="cs"/>
          <w:rtl/>
        </w:rPr>
        <w:t>המג"ק</w:t>
      </w:r>
      <w:proofErr w:type="spellEnd"/>
      <w:r>
        <w:rPr>
          <w:rFonts w:hint="cs"/>
          <w:rtl/>
        </w:rPr>
        <w:t xml:space="preserve"> - יועבר ככלל לטיפולו של </w:t>
      </w:r>
      <w:proofErr w:type="spellStart"/>
      <w:r>
        <w:rPr>
          <w:rFonts w:hint="cs"/>
          <w:rtl/>
        </w:rPr>
        <w:t>המג"ק</w:t>
      </w:r>
      <w:proofErr w:type="spellEnd"/>
      <w:r>
        <w:rPr>
          <w:rStyle w:val="ac"/>
          <w:rtl/>
        </w:rPr>
        <w:footnoteReference w:id="64"/>
      </w:r>
      <w:r>
        <w:rPr>
          <w:rFonts w:hint="cs"/>
          <w:rtl/>
        </w:rPr>
        <w:t>.</w:t>
      </w:r>
    </w:p>
    <w:p w14:paraId="46440909" w14:textId="77777777" w:rsidR="007C4395" w:rsidRDefault="007C4395" w:rsidP="0038598B">
      <w:pPr>
        <w:pStyle w:val="714"/>
        <w:numPr>
          <w:ilvl w:val="0"/>
          <w:numId w:val="26"/>
        </w:numPr>
      </w:pPr>
      <w:r>
        <w:rPr>
          <w:rFonts w:hint="cs"/>
          <w:rtl/>
        </w:rPr>
        <w:t>מועד החוב - בהתאם להנחיית היועץ המשפטי לממשלה</w:t>
      </w:r>
      <w:r>
        <w:rPr>
          <w:rStyle w:val="ac"/>
          <w:rtl/>
        </w:rPr>
        <w:footnoteReference w:id="65"/>
      </w:r>
      <w:r>
        <w:rPr>
          <w:rFonts w:hint="cs"/>
          <w:rtl/>
        </w:rPr>
        <w:t xml:space="preserve"> </w:t>
      </w:r>
      <w:r>
        <w:rPr>
          <w:rtl/>
        </w:rPr>
        <w:t>חוב</w:t>
      </w:r>
      <w:r>
        <w:rPr>
          <w:rFonts w:hint="cs"/>
          <w:rtl/>
        </w:rPr>
        <w:t xml:space="preserve"> שחלה עליו פקודת המסים (גביה) ועברו שלוש</w:t>
      </w:r>
      <w:r>
        <w:rPr>
          <w:rtl/>
        </w:rPr>
        <w:t xml:space="preserve"> שנים </w:t>
      </w:r>
      <w:r>
        <w:rPr>
          <w:rFonts w:ascii="David" w:hint="cs"/>
          <w:sz w:val="24"/>
          <w:rtl/>
        </w:rPr>
        <w:t>מן</w:t>
      </w:r>
      <w:r>
        <w:rPr>
          <w:rFonts w:ascii="David"/>
          <w:sz w:val="24"/>
        </w:rPr>
        <w:t xml:space="preserve"> </w:t>
      </w:r>
      <w:r>
        <w:rPr>
          <w:rFonts w:ascii="David" w:hint="cs"/>
          <w:sz w:val="24"/>
          <w:rtl/>
        </w:rPr>
        <w:t>המועד</w:t>
      </w:r>
      <w:r>
        <w:rPr>
          <w:rFonts w:ascii="David"/>
          <w:sz w:val="24"/>
        </w:rPr>
        <w:t xml:space="preserve"> </w:t>
      </w:r>
      <w:r>
        <w:rPr>
          <w:rFonts w:ascii="David" w:hint="cs"/>
          <w:sz w:val="24"/>
          <w:rtl/>
        </w:rPr>
        <w:t>שבו</w:t>
      </w:r>
      <w:r>
        <w:rPr>
          <w:rFonts w:ascii="David"/>
          <w:sz w:val="24"/>
        </w:rPr>
        <w:t xml:space="preserve"> </w:t>
      </w:r>
      <w:r>
        <w:rPr>
          <w:rFonts w:ascii="David" w:hint="cs"/>
          <w:sz w:val="24"/>
          <w:rtl/>
        </w:rPr>
        <w:t>הפך</w:t>
      </w:r>
      <w:r>
        <w:rPr>
          <w:rFonts w:ascii="David"/>
          <w:sz w:val="24"/>
        </w:rPr>
        <w:t xml:space="preserve"> </w:t>
      </w:r>
      <w:r>
        <w:rPr>
          <w:rFonts w:ascii="David" w:hint="cs"/>
          <w:sz w:val="24"/>
          <w:rtl/>
        </w:rPr>
        <w:t>החוב</w:t>
      </w:r>
      <w:r>
        <w:rPr>
          <w:rFonts w:ascii="David"/>
          <w:sz w:val="24"/>
        </w:rPr>
        <w:t xml:space="preserve"> </w:t>
      </w:r>
      <w:r>
        <w:rPr>
          <w:rFonts w:ascii="David" w:hint="cs"/>
          <w:sz w:val="24"/>
          <w:rtl/>
        </w:rPr>
        <w:t>לסופי</w:t>
      </w:r>
      <w:r>
        <w:rPr>
          <w:rStyle w:val="ac"/>
          <w:rFonts w:ascii="David"/>
          <w:sz w:val="24"/>
          <w:rtl/>
        </w:rPr>
        <w:footnoteReference w:id="66"/>
      </w:r>
      <w:r>
        <w:rPr>
          <w:rFonts w:ascii="David" w:hint="cs"/>
          <w:sz w:val="24"/>
          <w:rtl/>
        </w:rPr>
        <w:t xml:space="preserve"> מבלי שהוחל בהליכים </w:t>
      </w:r>
      <w:proofErr w:type="spellStart"/>
      <w:r>
        <w:rPr>
          <w:rFonts w:ascii="David" w:hint="cs"/>
          <w:sz w:val="24"/>
          <w:rtl/>
        </w:rPr>
        <w:t>מינהליים</w:t>
      </w:r>
      <w:proofErr w:type="spellEnd"/>
      <w:r>
        <w:rPr>
          <w:rFonts w:ascii="David" w:hint="cs"/>
          <w:sz w:val="24"/>
          <w:rtl/>
        </w:rPr>
        <w:t xml:space="preserve"> לגבייתו, ככלל לא ניתן עוד לפעול לגבייתו בדרך זו. אם החוב לא התיישן, כלומר לא חלפו 7 שנים מהיום שהתגבש, ניתן להעבירו לטיפול </w:t>
      </w:r>
      <w:proofErr w:type="spellStart"/>
      <w:r>
        <w:rPr>
          <w:rFonts w:ascii="David" w:hint="cs"/>
          <w:sz w:val="24"/>
          <w:rtl/>
        </w:rPr>
        <w:t>המנ"ג</w:t>
      </w:r>
      <w:proofErr w:type="spellEnd"/>
      <w:r>
        <w:rPr>
          <w:rFonts w:ascii="David" w:hint="cs"/>
          <w:sz w:val="24"/>
          <w:rtl/>
        </w:rPr>
        <w:t xml:space="preserve"> על מנת שיפעל לגבייתו בהליך שיפוטי או מעין שיפוטי</w:t>
      </w:r>
      <w:r>
        <w:rPr>
          <w:rStyle w:val="ac"/>
          <w:rFonts w:ascii="David"/>
          <w:sz w:val="24"/>
          <w:rtl/>
        </w:rPr>
        <w:footnoteReference w:id="67"/>
      </w:r>
      <w:r>
        <w:rPr>
          <w:rFonts w:ascii="David" w:hint="cs"/>
          <w:sz w:val="24"/>
          <w:rtl/>
        </w:rPr>
        <w:t>.</w:t>
      </w:r>
    </w:p>
    <w:p w14:paraId="3B1B66A7" w14:textId="77777777" w:rsidR="007C4395" w:rsidRDefault="007C4395" w:rsidP="006F4D0D">
      <w:pPr>
        <w:pStyle w:val="71512"/>
        <w:rPr>
          <w:rtl/>
        </w:rPr>
      </w:pPr>
      <w:r>
        <w:rPr>
          <w:rFonts w:hint="cs"/>
          <w:rtl/>
        </w:rPr>
        <w:t>נתונים בדבר גביית חובות על ידי המרכז לגביית קנסות</w:t>
      </w:r>
    </w:p>
    <w:p w14:paraId="253DD9FB" w14:textId="77777777" w:rsidR="007C4395" w:rsidRDefault="007C4395" w:rsidP="002A738D">
      <w:pPr>
        <w:pStyle w:val="7190"/>
        <w:rPr>
          <w:rtl/>
        </w:rPr>
      </w:pPr>
      <w:r>
        <w:rPr>
          <w:rtl/>
        </w:rPr>
        <w:t xml:space="preserve">בדוחותיה הכספיים של רשות האכיפה והגבייה נכללים יתרות </w:t>
      </w:r>
      <w:r>
        <w:rPr>
          <w:rFonts w:hint="cs"/>
          <w:rtl/>
        </w:rPr>
        <w:t>החיובים ו</w:t>
      </w:r>
      <w:r>
        <w:rPr>
          <w:rtl/>
        </w:rPr>
        <w:t xml:space="preserve">החובות המטופלים באמצעות </w:t>
      </w:r>
      <w:proofErr w:type="spellStart"/>
      <w:r>
        <w:rPr>
          <w:rtl/>
        </w:rPr>
        <w:t>המג"ק</w:t>
      </w:r>
      <w:proofErr w:type="spellEnd"/>
      <w:r>
        <w:rPr>
          <w:rtl/>
        </w:rPr>
        <w:t xml:space="preserve">. החובות למדינה הנגבים באמצעות </w:t>
      </w:r>
      <w:proofErr w:type="spellStart"/>
      <w:r>
        <w:rPr>
          <w:rtl/>
        </w:rPr>
        <w:t>המנ"ג</w:t>
      </w:r>
      <w:proofErr w:type="spellEnd"/>
      <w:r>
        <w:rPr>
          <w:rtl/>
        </w:rPr>
        <w:t xml:space="preserve"> אינם נרשמים בדוחותיה הכספים של הרשות</w:t>
      </w:r>
      <w:r>
        <w:rPr>
          <w:rFonts w:hint="cs"/>
          <w:rtl/>
        </w:rPr>
        <w:t>,</w:t>
      </w:r>
      <w:r>
        <w:rPr>
          <w:rtl/>
        </w:rPr>
        <w:t xml:space="preserve"> שכן הרשות משמשת במקרים אלה כצינור בלבד</w:t>
      </w:r>
      <w:r>
        <w:rPr>
          <w:rFonts w:hint="cs"/>
          <w:rtl/>
        </w:rPr>
        <w:t xml:space="preserve">. </w:t>
      </w:r>
      <w:proofErr w:type="spellStart"/>
      <w:r>
        <w:rPr>
          <w:rFonts w:hint="cs"/>
          <w:rtl/>
        </w:rPr>
        <w:t>המנ"ג</w:t>
      </w:r>
      <w:proofErr w:type="spellEnd"/>
      <w:r>
        <w:rPr>
          <w:rFonts w:hint="cs"/>
          <w:rtl/>
        </w:rPr>
        <w:t xml:space="preserve"> מלווה את המשרד הממשלתי מרגע פנייתו ועד לגביית החוב. </w:t>
      </w:r>
      <w:proofErr w:type="spellStart"/>
      <w:r>
        <w:rPr>
          <w:rFonts w:hint="cs"/>
          <w:rtl/>
        </w:rPr>
        <w:t>המנ"ג</w:t>
      </w:r>
      <w:proofErr w:type="spellEnd"/>
      <w:r>
        <w:rPr>
          <w:rFonts w:hint="cs"/>
          <w:rtl/>
        </w:rPr>
        <w:t>, בין שלל תפקידיו, פותח תיק בהוצאה לפועל עבור המשרד. עם זאת, אין הוא משמש בעל החוב, ותשלום החוב מתבצע ישירות למשרד הממשלתי</w:t>
      </w:r>
      <w:r>
        <w:rPr>
          <w:rtl/>
        </w:rPr>
        <w:t>.</w:t>
      </w:r>
    </w:p>
    <w:p w14:paraId="50E02655" w14:textId="77777777" w:rsidR="007C4395" w:rsidRDefault="007C4395" w:rsidP="002A738D">
      <w:pPr>
        <w:pStyle w:val="7190"/>
        <w:rPr>
          <w:rtl/>
        </w:rPr>
      </w:pPr>
      <w:r>
        <w:rPr>
          <w:rtl/>
        </w:rPr>
        <w:t xml:space="preserve">להלן </w:t>
      </w:r>
      <w:r>
        <w:rPr>
          <w:rFonts w:hint="cs"/>
          <w:rtl/>
        </w:rPr>
        <w:t xml:space="preserve">פירוט יתרות </w:t>
      </w:r>
      <w:r>
        <w:rPr>
          <w:rtl/>
        </w:rPr>
        <w:t>הנכסים של רשות האכיפה והגבייה לשנים 2017 - 2020, כמשתקף מדוחותיה הכספיים.</w:t>
      </w:r>
    </w:p>
    <w:p w14:paraId="5735E031" w14:textId="77777777" w:rsidR="00C41778" w:rsidRDefault="00C41778">
      <w:pPr>
        <w:bidi w:val="0"/>
        <w:spacing w:after="200" w:line="276" w:lineRule="auto"/>
        <w:rPr>
          <w:rFonts w:ascii="Tahoma" w:eastAsiaTheme="minorEastAsia" w:hAnsi="Tahoma" w:cs="Tahoma"/>
          <w:color w:val="0D0D0D" w:themeColor="text1" w:themeTint="F2"/>
          <w:szCs w:val="20"/>
          <w:rtl/>
        </w:rPr>
      </w:pPr>
      <w:r>
        <w:rPr>
          <w:b/>
          <w:bCs/>
          <w:rtl/>
        </w:rPr>
        <w:br w:type="page"/>
      </w:r>
    </w:p>
    <w:p w14:paraId="422B74E7" w14:textId="55B9E292" w:rsidR="007C4395" w:rsidRPr="001369E1" w:rsidRDefault="007C4395" w:rsidP="006F4D0D">
      <w:pPr>
        <w:pStyle w:val="71a"/>
        <w:rPr>
          <w:rtl/>
        </w:rPr>
      </w:pPr>
      <w:r w:rsidRPr="006F4D0D">
        <w:rPr>
          <w:rFonts w:hint="cs"/>
          <w:b w:val="0"/>
          <w:bCs w:val="0"/>
          <w:rtl/>
        </w:rPr>
        <w:lastRenderedPageBreak/>
        <w:t>לוח 12:</w:t>
      </w:r>
      <w:r w:rsidRPr="001369E1">
        <w:rPr>
          <w:rFonts w:hint="cs"/>
          <w:rtl/>
        </w:rPr>
        <w:t xml:space="preserve"> רשות האכיפה והגבייה - המצב הכספי, 2017 - 2020 </w:t>
      </w:r>
      <w:r w:rsidR="00C41778">
        <w:br/>
      </w:r>
      <w:r w:rsidRPr="001369E1">
        <w:rPr>
          <w:rFonts w:hint="cs"/>
          <w:rtl/>
        </w:rPr>
        <w:t>(במיליוני ש"ח</w:t>
      </w:r>
      <w:r>
        <w:rPr>
          <w:rStyle w:val="ac"/>
          <w:rtl/>
        </w:rPr>
        <w:footnoteReference w:id="68"/>
      </w:r>
      <w:r w:rsidRPr="001369E1">
        <w:rPr>
          <w:rFonts w:hint="cs"/>
          <w:rtl/>
        </w:rPr>
        <w:t>)</w:t>
      </w:r>
    </w:p>
    <w:tbl>
      <w:tblPr>
        <w:tblStyle w:val="5-1"/>
        <w:bidiVisual/>
        <w:tblW w:w="4993" w:type="pct"/>
        <w:tblInd w:w="5" w:type="dxa"/>
        <w:tblBorders>
          <w:left w:val="single" w:sz="4" w:space="0" w:color="auto"/>
          <w:bottom w:val="none" w:sz="0" w:space="0" w:color="auto"/>
          <w:right w:val="single" w:sz="4" w:space="0" w:color="auto"/>
          <w:insideH w:val="none" w:sz="0" w:space="0" w:color="auto"/>
          <w:insideV w:val="single" w:sz="4" w:space="0" w:color="auto"/>
        </w:tblBorders>
        <w:tblLook w:val="04A0" w:firstRow="1" w:lastRow="0" w:firstColumn="1" w:lastColumn="0" w:noHBand="0" w:noVBand="1"/>
      </w:tblPr>
      <w:tblGrid>
        <w:gridCol w:w="3713"/>
        <w:gridCol w:w="841"/>
        <w:gridCol w:w="932"/>
        <w:gridCol w:w="932"/>
        <w:gridCol w:w="932"/>
      </w:tblGrid>
      <w:tr w:rsidR="00C41778" w14:paraId="65FD489E" w14:textId="77777777" w:rsidTr="00C4177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26" w:type="pct"/>
            <w:tcBorders>
              <w:top w:val="none" w:sz="0" w:space="0" w:color="auto"/>
              <w:left w:val="none" w:sz="0" w:space="0" w:color="auto"/>
              <w:right w:val="none" w:sz="0" w:space="0" w:color="auto"/>
            </w:tcBorders>
            <w:shd w:val="clear" w:color="auto" w:fill="B6CBD4"/>
            <w:hideMark/>
          </w:tcPr>
          <w:p w14:paraId="18309C95" w14:textId="77777777" w:rsidR="007C4395" w:rsidRPr="00B45EB1" w:rsidRDefault="007C4395" w:rsidP="002A738D">
            <w:pPr>
              <w:pStyle w:val="7190"/>
              <w:rPr>
                <w:rtl/>
              </w:rPr>
            </w:pPr>
            <w:r w:rsidRPr="00B45EB1">
              <w:rPr>
                <w:rFonts w:hint="cs"/>
                <w:rtl/>
              </w:rPr>
              <w:t xml:space="preserve"> </w:t>
            </w:r>
          </w:p>
        </w:tc>
        <w:tc>
          <w:tcPr>
            <w:tcW w:w="2474" w:type="pct"/>
            <w:gridSpan w:val="4"/>
            <w:tcBorders>
              <w:top w:val="none" w:sz="0" w:space="0" w:color="auto"/>
              <w:left w:val="none" w:sz="0" w:space="0" w:color="auto"/>
              <w:right w:val="none" w:sz="0" w:space="0" w:color="auto"/>
            </w:tcBorders>
            <w:shd w:val="clear" w:color="auto" w:fill="B6CBD4"/>
            <w:hideMark/>
          </w:tcPr>
          <w:p w14:paraId="1BF3D1BA" w14:textId="77777777" w:rsidR="007C4395" w:rsidRPr="009E6326" w:rsidRDefault="007C4395" w:rsidP="009E6326">
            <w:pPr>
              <w:pStyle w:val="71HEADER"/>
              <w:cnfStyle w:val="100000000000" w:firstRow="1" w:lastRow="0" w:firstColumn="0" w:lastColumn="0" w:oddVBand="0" w:evenVBand="0" w:oddHBand="0" w:evenHBand="0" w:firstRowFirstColumn="0" w:firstRowLastColumn="0" w:lastRowFirstColumn="0" w:lastRowLastColumn="0"/>
              <w:rPr>
                <w:b/>
                <w:rtl/>
              </w:rPr>
            </w:pPr>
            <w:r w:rsidRPr="009E6326">
              <w:rPr>
                <w:rFonts w:hint="cs"/>
                <w:b/>
                <w:rtl/>
              </w:rPr>
              <w:t>רשות האכיפה והגבייה</w:t>
            </w:r>
          </w:p>
          <w:p w14:paraId="73C19EFD" w14:textId="77777777" w:rsidR="007C4395" w:rsidRPr="00B45EB1" w:rsidRDefault="007C4395" w:rsidP="009E6326">
            <w:pPr>
              <w:pStyle w:val="71HEADER"/>
              <w:cnfStyle w:val="100000000000" w:firstRow="1" w:lastRow="0" w:firstColumn="0" w:lastColumn="0" w:oddVBand="0" w:evenVBand="0" w:oddHBand="0" w:evenHBand="0" w:firstRowFirstColumn="0" w:firstRowLastColumn="0" w:lastRowFirstColumn="0" w:lastRowLastColumn="0"/>
              <w:rPr>
                <w:rtl/>
              </w:rPr>
            </w:pPr>
            <w:r w:rsidRPr="009E6326">
              <w:rPr>
                <w:rFonts w:hint="cs"/>
                <w:b/>
                <w:rtl/>
              </w:rPr>
              <w:t>ליום 31 בדצמבר</w:t>
            </w:r>
          </w:p>
        </w:tc>
      </w:tr>
      <w:tr w:rsidR="00C41778" w14:paraId="62039E89" w14:textId="77777777" w:rsidTr="00C41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C8DCE4"/>
          </w:tcPr>
          <w:p w14:paraId="40D7C737" w14:textId="77777777" w:rsidR="007C4395" w:rsidRPr="009E6326" w:rsidRDefault="007C4395" w:rsidP="009E6326">
            <w:pPr>
              <w:pStyle w:val="71B0"/>
              <w:rPr>
                <w:rtl/>
              </w:rPr>
            </w:pPr>
          </w:p>
        </w:tc>
        <w:tc>
          <w:tcPr>
            <w:tcW w:w="572" w:type="pct"/>
            <w:shd w:val="clear" w:color="auto" w:fill="C8DCE4"/>
          </w:tcPr>
          <w:p w14:paraId="31025F73" w14:textId="77777777" w:rsidR="007C4395" w:rsidRPr="009E6326" w:rsidRDefault="007C4395" w:rsidP="009E6326">
            <w:pPr>
              <w:pStyle w:val="71B0"/>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2020</w:t>
            </w:r>
          </w:p>
        </w:tc>
        <w:tc>
          <w:tcPr>
            <w:tcW w:w="634" w:type="pct"/>
            <w:shd w:val="clear" w:color="auto" w:fill="C8DCE4"/>
          </w:tcPr>
          <w:p w14:paraId="431489C8" w14:textId="77777777" w:rsidR="007C4395" w:rsidRPr="009E6326" w:rsidRDefault="007C4395" w:rsidP="009E6326">
            <w:pPr>
              <w:pStyle w:val="71B0"/>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2019</w:t>
            </w:r>
          </w:p>
        </w:tc>
        <w:tc>
          <w:tcPr>
            <w:tcW w:w="634" w:type="pct"/>
            <w:shd w:val="clear" w:color="auto" w:fill="C8DCE4"/>
          </w:tcPr>
          <w:p w14:paraId="05F690AE" w14:textId="77777777" w:rsidR="007C4395" w:rsidRPr="009E6326" w:rsidRDefault="007C4395" w:rsidP="009E6326">
            <w:pPr>
              <w:pStyle w:val="71B0"/>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2018</w:t>
            </w:r>
          </w:p>
        </w:tc>
        <w:tc>
          <w:tcPr>
            <w:tcW w:w="634" w:type="pct"/>
            <w:shd w:val="clear" w:color="auto" w:fill="C8DCE4"/>
          </w:tcPr>
          <w:p w14:paraId="5F192093" w14:textId="77777777" w:rsidR="007C4395" w:rsidRPr="009E6326" w:rsidRDefault="007C4395" w:rsidP="009E6326">
            <w:pPr>
              <w:pStyle w:val="71B0"/>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2017</w:t>
            </w:r>
          </w:p>
        </w:tc>
      </w:tr>
      <w:tr w:rsidR="00C41778" w14:paraId="74DFB117" w14:textId="77777777" w:rsidTr="00C41778">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B6CBD4"/>
            <w:hideMark/>
          </w:tcPr>
          <w:p w14:paraId="3FE5E6A1" w14:textId="77777777" w:rsidR="007C4395" w:rsidRPr="009E6326" w:rsidRDefault="007C4395" w:rsidP="009E6326">
            <w:pPr>
              <w:pStyle w:val="71R"/>
              <w:rPr>
                <w:b w:val="0"/>
                <w:bCs w:val="0"/>
                <w:rtl/>
              </w:rPr>
            </w:pPr>
            <w:r w:rsidRPr="009E6326">
              <w:rPr>
                <w:rFonts w:hint="cs"/>
                <w:b w:val="0"/>
                <w:bCs w:val="0"/>
                <w:rtl/>
              </w:rPr>
              <w:t>המצב הכספי</w:t>
            </w:r>
          </w:p>
        </w:tc>
        <w:tc>
          <w:tcPr>
            <w:tcW w:w="2474" w:type="pct"/>
            <w:gridSpan w:val="4"/>
            <w:shd w:val="clear" w:color="auto" w:fill="DDEAEE"/>
          </w:tcPr>
          <w:p w14:paraId="71CD87CD"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p>
        </w:tc>
      </w:tr>
      <w:tr w:rsidR="00C41778" w14:paraId="7C77A81B" w14:textId="77777777" w:rsidTr="00C41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EEF6F7"/>
            <w:hideMark/>
          </w:tcPr>
          <w:p w14:paraId="4499B5AB" w14:textId="77777777" w:rsidR="007C4395" w:rsidRPr="009E6326" w:rsidRDefault="007C4395" w:rsidP="009E6326">
            <w:pPr>
              <w:pStyle w:val="71B0"/>
              <w:rPr>
                <w:b/>
                <w:bCs/>
                <w:rtl/>
              </w:rPr>
            </w:pPr>
            <w:r w:rsidRPr="009E6326">
              <w:rPr>
                <w:rFonts w:hint="cs"/>
                <w:b/>
                <w:bCs/>
                <w:rtl/>
              </w:rPr>
              <w:t>נכסים שוטפים</w:t>
            </w:r>
          </w:p>
        </w:tc>
        <w:tc>
          <w:tcPr>
            <w:tcW w:w="572" w:type="pct"/>
            <w:shd w:val="clear" w:color="auto" w:fill="EEF6F7"/>
          </w:tcPr>
          <w:p w14:paraId="57DB33C4" w14:textId="77777777" w:rsidR="007C4395" w:rsidRPr="009E6326" w:rsidRDefault="007C4395" w:rsidP="009E6326">
            <w:pPr>
              <w:pStyle w:val="71B0"/>
              <w:cnfStyle w:val="000000100000" w:firstRow="0" w:lastRow="0" w:firstColumn="0" w:lastColumn="0" w:oddVBand="0" w:evenVBand="0" w:oddHBand="1" w:evenHBand="0" w:firstRowFirstColumn="0" w:firstRowLastColumn="0" w:lastRowFirstColumn="0" w:lastRowLastColumn="0"/>
              <w:rPr>
                <w:rtl/>
              </w:rPr>
            </w:pPr>
          </w:p>
        </w:tc>
        <w:tc>
          <w:tcPr>
            <w:tcW w:w="634" w:type="pct"/>
            <w:shd w:val="clear" w:color="auto" w:fill="EEF6F7"/>
          </w:tcPr>
          <w:p w14:paraId="0F5DCD75" w14:textId="77777777" w:rsidR="007C4395" w:rsidRPr="009E6326" w:rsidRDefault="007C4395" w:rsidP="009E6326">
            <w:pPr>
              <w:pStyle w:val="71B0"/>
              <w:cnfStyle w:val="000000100000" w:firstRow="0" w:lastRow="0" w:firstColumn="0" w:lastColumn="0" w:oddVBand="0" w:evenVBand="0" w:oddHBand="1" w:evenHBand="0" w:firstRowFirstColumn="0" w:firstRowLastColumn="0" w:lastRowFirstColumn="0" w:lastRowLastColumn="0"/>
              <w:rPr>
                <w:rtl/>
              </w:rPr>
            </w:pPr>
          </w:p>
        </w:tc>
        <w:tc>
          <w:tcPr>
            <w:tcW w:w="634" w:type="pct"/>
            <w:shd w:val="clear" w:color="auto" w:fill="EEF6F7"/>
          </w:tcPr>
          <w:p w14:paraId="1C9FC085" w14:textId="77777777" w:rsidR="007C4395" w:rsidRPr="009E6326" w:rsidRDefault="007C4395" w:rsidP="009E6326">
            <w:pPr>
              <w:pStyle w:val="71B0"/>
              <w:cnfStyle w:val="000000100000" w:firstRow="0" w:lastRow="0" w:firstColumn="0" w:lastColumn="0" w:oddVBand="0" w:evenVBand="0" w:oddHBand="1" w:evenHBand="0" w:firstRowFirstColumn="0" w:firstRowLastColumn="0" w:lastRowFirstColumn="0" w:lastRowLastColumn="0"/>
              <w:rPr>
                <w:rtl/>
              </w:rPr>
            </w:pPr>
          </w:p>
        </w:tc>
        <w:tc>
          <w:tcPr>
            <w:tcW w:w="634" w:type="pct"/>
            <w:shd w:val="clear" w:color="auto" w:fill="EEF6F7"/>
          </w:tcPr>
          <w:p w14:paraId="37A97EF1" w14:textId="77777777" w:rsidR="007C4395" w:rsidRPr="009E6326" w:rsidRDefault="007C4395" w:rsidP="009E6326">
            <w:pPr>
              <w:pStyle w:val="71B0"/>
              <w:cnfStyle w:val="000000100000" w:firstRow="0" w:lastRow="0" w:firstColumn="0" w:lastColumn="0" w:oddVBand="0" w:evenVBand="0" w:oddHBand="1" w:evenHBand="0" w:firstRowFirstColumn="0" w:firstRowLastColumn="0" w:lastRowFirstColumn="0" w:lastRowLastColumn="0"/>
              <w:rPr>
                <w:rtl/>
              </w:rPr>
            </w:pPr>
          </w:p>
        </w:tc>
      </w:tr>
      <w:tr w:rsidR="00C41778" w14:paraId="349929C1" w14:textId="77777777" w:rsidTr="00C41778">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DDEAEE"/>
          </w:tcPr>
          <w:p w14:paraId="15791BBB" w14:textId="77777777" w:rsidR="007C4395" w:rsidRPr="009E6326" w:rsidRDefault="007C4395" w:rsidP="009E6326">
            <w:pPr>
              <w:pStyle w:val="71R"/>
              <w:rPr>
                <w:b w:val="0"/>
                <w:bCs w:val="0"/>
                <w:rtl/>
              </w:rPr>
            </w:pPr>
            <w:r w:rsidRPr="009E6326">
              <w:rPr>
                <w:rFonts w:hint="cs"/>
                <w:b w:val="0"/>
                <w:bCs w:val="0"/>
                <w:rtl/>
              </w:rPr>
              <w:t>מזומנים ושווי מזומנים</w:t>
            </w:r>
          </w:p>
        </w:tc>
        <w:tc>
          <w:tcPr>
            <w:tcW w:w="572" w:type="pct"/>
            <w:shd w:val="clear" w:color="auto" w:fill="DDEAEE"/>
          </w:tcPr>
          <w:p w14:paraId="62299B97"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3</w:t>
            </w:r>
          </w:p>
        </w:tc>
        <w:tc>
          <w:tcPr>
            <w:tcW w:w="634" w:type="pct"/>
            <w:shd w:val="clear" w:color="auto" w:fill="DDEAEE"/>
          </w:tcPr>
          <w:p w14:paraId="7142D4B5"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3</w:t>
            </w:r>
          </w:p>
        </w:tc>
        <w:tc>
          <w:tcPr>
            <w:tcW w:w="634" w:type="pct"/>
            <w:shd w:val="clear" w:color="auto" w:fill="DDEAEE"/>
          </w:tcPr>
          <w:p w14:paraId="2BE71054"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0</w:t>
            </w:r>
          </w:p>
        </w:tc>
        <w:tc>
          <w:tcPr>
            <w:tcW w:w="634" w:type="pct"/>
            <w:shd w:val="clear" w:color="auto" w:fill="DDEAEE"/>
          </w:tcPr>
          <w:p w14:paraId="5A6A21A2"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0</w:t>
            </w:r>
          </w:p>
        </w:tc>
      </w:tr>
      <w:tr w:rsidR="00C41778" w14:paraId="1E8137E2" w14:textId="77777777" w:rsidTr="00C41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EEF6F7"/>
          </w:tcPr>
          <w:p w14:paraId="72E3AC26" w14:textId="77777777" w:rsidR="007C4395" w:rsidRPr="009E6326" w:rsidRDefault="007C4395" w:rsidP="009E6326">
            <w:pPr>
              <w:pStyle w:val="71R"/>
              <w:rPr>
                <w:b w:val="0"/>
                <w:bCs w:val="0"/>
                <w:rtl/>
              </w:rPr>
            </w:pPr>
            <w:r w:rsidRPr="009E6326">
              <w:rPr>
                <w:rFonts w:hint="cs"/>
                <w:b w:val="0"/>
                <w:bCs w:val="0"/>
                <w:rtl/>
              </w:rPr>
              <w:t>פיקדונות מיועדים</w:t>
            </w:r>
          </w:p>
        </w:tc>
        <w:tc>
          <w:tcPr>
            <w:tcW w:w="572" w:type="pct"/>
            <w:shd w:val="clear" w:color="auto" w:fill="EEF6F7"/>
          </w:tcPr>
          <w:p w14:paraId="2350223F"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491</w:t>
            </w:r>
          </w:p>
        </w:tc>
        <w:tc>
          <w:tcPr>
            <w:tcW w:w="634" w:type="pct"/>
            <w:shd w:val="clear" w:color="auto" w:fill="EEF6F7"/>
          </w:tcPr>
          <w:p w14:paraId="543E88DA"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494</w:t>
            </w:r>
          </w:p>
        </w:tc>
        <w:tc>
          <w:tcPr>
            <w:tcW w:w="634" w:type="pct"/>
            <w:shd w:val="clear" w:color="auto" w:fill="EEF6F7"/>
          </w:tcPr>
          <w:p w14:paraId="7E14F559"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430</w:t>
            </w:r>
          </w:p>
        </w:tc>
        <w:tc>
          <w:tcPr>
            <w:tcW w:w="634" w:type="pct"/>
            <w:shd w:val="clear" w:color="auto" w:fill="EEF6F7"/>
          </w:tcPr>
          <w:p w14:paraId="05155597"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433</w:t>
            </w:r>
          </w:p>
        </w:tc>
      </w:tr>
      <w:tr w:rsidR="00C41778" w14:paraId="6BB0D2CC" w14:textId="77777777" w:rsidTr="00C41778">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DDEAEE"/>
          </w:tcPr>
          <w:p w14:paraId="5E498B27" w14:textId="77777777" w:rsidR="007C4395" w:rsidRPr="009E6326" w:rsidRDefault="007C4395" w:rsidP="009E6326">
            <w:pPr>
              <w:pStyle w:val="71R"/>
              <w:rPr>
                <w:b w:val="0"/>
                <w:bCs w:val="0"/>
                <w:rtl/>
              </w:rPr>
            </w:pPr>
            <w:r w:rsidRPr="009E6326">
              <w:rPr>
                <w:rFonts w:hint="cs"/>
                <w:b w:val="0"/>
                <w:bCs w:val="0"/>
                <w:rtl/>
              </w:rPr>
              <w:t>חייבים ויתרות חובה</w:t>
            </w:r>
          </w:p>
        </w:tc>
        <w:tc>
          <w:tcPr>
            <w:tcW w:w="572" w:type="pct"/>
            <w:shd w:val="clear" w:color="auto" w:fill="DDEAEE"/>
          </w:tcPr>
          <w:p w14:paraId="466C3DE5"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1,218</w:t>
            </w:r>
          </w:p>
        </w:tc>
        <w:tc>
          <w:tcPr>
            <w:tcW w:w="634" w:type="pct"/>
            <w:shd w:val="clear" w:color="auto" w:fill="DDEAEE"/>
          </w:tcPr>
          <w:p w14:paraId="418F5528"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996</w:t>
            </w:r>
          </w:p>
        </w:tc>
        <w:tc>
          <w:tcPr>
            <w:tcW w:w="634" w:type="pct"/>
            <w:shd w:val="clear" w:color="auto" w:fill="DDEAEE"/>
          </w:tcPr>
          <w:p w14:paraId="32C2A6A4"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887</w:t>
            </w:r>
          </w:p>
        </w:tc>
        <w:tc>
          <w:tcPr>
            <w:tcW w:w="634" w:type="pct"/>
            <w:shd w:val="clear" w:color="auto" w:fill="DDEAEE"/>
          </w:tcPr>
          <w:p w14:paraId="707FA383"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776</w:t>
            </w:r>
          </w:p>
        </w:tc>
      </w:tr>
      <w:tr w:rsidR="00C41778" w14:paraId="218B8232" w14:textId="77777777" w:rsidTr="00C41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EEF6F7"/>
          </w:tcPr>
          <w:p w14:paraId="7993BFD6" w14:textId="77777777" w:rsidR="007C4395" w:rsidRPr="009E6326" w:rsidRDefault="007C4395" w:rsidP="009E6326">
            <w:pPr>
              <w:pStyle w:val="71R"/>
              <w:rPr>
                <w:b w:val="0"/>
                <w:bCs w:val="0"/>
                <w:rtl/>
              </w:rPr>
            </w:pPr>
            <w:r w:rsidRPr="009E6326">
              <w:rPr>
                <w:rFonts w:hint="cs"/>
                <w:b w:val="0"/>
                <w:bCs w:val="0"/>
                <w:rtl/>
              </w:rPr>
              <w:t>מלאי</w:t>
            </w:r>
          </w:p>
        </w:tc>
        <w:tc>
          <w:tcPr>
            <w:tcW w:w="572" w:type="pct"/>
            <w:shd w:val="clear" w:color="auto" w:fill="EEF6F7"/>
          </w:tcPr>
          <w:p w14:paraId="34336BF4"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0</w:t>
            </w:r>
          </w:p>
        </w:tc>
        <w:tc>
          <w:tcPr>
            <w:tcW w:w="634" w:type="pct"/>
            <w:shd w:val="clear" w:color="auto" w:fill="EEF6F7"/>
          </w:tcPr>
          <w:p w14:paraId="33C1492E"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0</w:t>
            </w:r>
          </w:p>
        </w:tc>
        <w:tc>
          <w:tcPr>
            <w:tcW w:w="634" w:type="pct"/>
            <w:shd w:val="clear" w:color="auto" w:fill="EEF6F7"/>
          </w:tcPr>
          <w:p w14:paraId="192145E0"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0</w:t>
            </w:r>
          </w:p>
        </w:tc>
        <w:tc>
          <w:tcPr>
            <w:tcW w:w="634" w:type="pct"/>
            <w:shd w:val="clear" w:color="auto" w:fill="EEF6F7"/>
          </w:tcPr>
          <w:p w14:paraId="2C8265E3"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0</w:t>
            </w:r>
          </w:p>
        </w:tc>
      </w:tr>
      <w:tr w:rsidR="00C41778" w14:paraId="354953F0" w14:textId="77777777" w:rsidTr="00C41778">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DDEAEE"/>
          </w:tcPr>
          <w:p w14:paraId="000E6BA5" w14:textId="77777777" w:rsidR="007C4395" w:rsidRPr="009E6326" w:rsidRDefault="007C4395" w:rsidP="009E6326">
            <w:pPr>
              <w:pStyle w:val="71B0"/>
              <w:rPr>
                <w:b/>
                <w:bCs/>
                <w:rtl/>
              </w:rPr>
            </w:pPr>
            <w:r w:rsidRPr="009E6326">
              <w:rPr>
                <w:rFonts w:hint="cs"/>
                <w:b/>
                <w:bCs/>
                <w:rtl/>
              </w:rPr>
              <w:t>סך הכול נכסים שוטפים</w:t>
            </w:r>
          </w:p>
        </w:tc>
        <w:tc>
          <w:tcPr>
            <w:tcW w:w="572" w:type="pct"/>
            <w:shd w:val="clear" w:color="auto" w:fill="DDEAEE"/>
          </w:tcPr>
          <w:p w14:paraId="44444440" w14:textId="77777777" w:rsidR="007C4395" w:rsidRPr="009E6326" w:rsidRDefault="007C4395" w:rsidP="009E6326">
            <w:pPr>
              <w:pStyle w:val="71B0"/>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1,712</w:t>
            </w:r>
          </w:p>
        </w:tc>
        <w:tc>
          <w:tcPr>
            <w:tcW w:w="634" w:type="pct"/>
            <w:shd w:val="clear" w:color="auto" w:fill="DDEAEE"/>
          </w:tcPr>
          <w:p w14:paraId="09FB24A5" w14:textId="77777777" w:rsidR="007C4395" w:rsidRPr="009E6326" w:rsidRDefault="007C4395" w:rsidP="009E6326">
            <w:pPr>
              <w:pStyle w:val="71B0"/>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1,493</w:t>
            </w:r>
          </w:p>
        </w:tc>
        <w:tc>
          <w:tcPr>
            <w:tcW w:w="634" w:type="pct"/>
            <w:shd w:val="clear" w:color="auto" w:fill="DDEAEE"/>
          </w:tcPr>
          <w:p w14:paraId="02B98372" w14:textId="77777777" w:rsidR="007C4395" w:rsidRPr="009E6326" w:rsidRDefault="007C4395" w:rsidP="009E6326">
            <w:pPr>
              <w:pStyle w:val="71B0"/>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1,317</w:t>
            </w:r>
          </w:p>
        </w:tc>
        <w:tc>
          <w:tcPr>
            <w:tcW w:w="634" w:type="pct"/>
            <w:shd w:val="clear" w:color="auto" w:fill="DDEAEE"/>
          </w:tcPr>
          <w:p w14:paraId="21F4540E" w14:textId="77777777" w:rsidR="007C4395" w:rsidRPr="009E6326" w:rsidRDefault="007C4395" w:rsidP="009E6326">
            <w:pPr>
              <w:pStyle w:val="71B0"/>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1,209</w:t>
            </w:r>
          </w:p>
        </w:tc>
      </w:tr>
      <w:tr w:rsidR="00C41778" w14:paraId="7335987A" w14:textId="77777777" w:rsidTr="00C41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EEF6F7"/>
          </w:tcPr>
          <w:p w14:paraId="7C740E2C" w14:textId="77777777" w:rsidR="007C4395" w:rsidRPr="009E6326" w:rsidRDefault="007C4395" w:rsidP="009E6326">
            <w:pPr>
              <w:pStyle w:val="71B0"/>
              <w:rPr>
                <w:b/>
                <w:bCs/>
                <w:rtl/>
              </w:rPr>
            </w:pPr>
            <w:r w:rsidRPr="009E6326">
              <w:rPr>
                <w:rFonts w:hint="cs"/>
                <w:b/>
                <w:bCs/>
                <w:rtl/>
              </w:rPr>
              <w:t>נכסים שאינם שוטפים</w:t>
            </w:r>
          </w:p>
        </w:tc>
        <w:tc>
          <w:tcPr>
            <w:tcW w:w="572" w:type="pct"/>
            <w:shd w:val="clear" w:color="auto" w:fill="EEF6F7"/>
          </w:tcPr>
          <w:p w14:paraId="0B50B349" w14:textId="77777777" w:rsidR="007C4395" w:rsidRPr="009E6326" w:rsidRDefault="007C4395" w:rsidP="009E6326">
            <w:pPr>
              <w:pStyle w:val="71B0"/>
              <w:cnfStyle w:val="000000100000" w:firstRow="0" w:lastRow="0" w:firstColumn="0" w:lastColumn="0" w:oddVBand="0" w:evenVBand="0" w:oddHBand="1" w:evenHBand="0" w:firstRowFirstColumn="0" w:firstRowLastColumn="0" w:lastRowFirstColumn="0" w:lastRowLastColumn="0"/>
              <w:rPr>
                <w:rtl/>
              </w:rPr>
            </w:pPr>
          </w:p>
        </w:tc>
        <w:tc>
          <w:tcPr>
            <w:tcW w:w="634" w:type="pct"/>
            <w:shd w:val="clear" w:color="auto" w:fill="EEF6F7"/>
          </w:tcPr>
          <w:p w14:paraId="31FABBEE" w14:textId="77777777" w:rsidR="007C4395" w:rsidRPr="009E6326" w:rsidRDefault="007C4395" w:rsidP="009E6326">
            <w:pPr>
              <w:pStyle w:val="71B0"/>
              <w:cnfStyle w:val="000000100000" w:firstRow="0" w:lastRow="0" w:firstColumn="0" w:lastColumn="0" w:oddVBand="0" w:evenVBand="0" w:oddHBand="1" w:evenHBand="0" w:firstRowFirstColumn="0" w:firstRowLastColumn="0" w:lastRowFirstColumn="0" w:lastRowLastColumn="0"/>
              <w:rPr>
                <w:rtl/>
              </w:rPr>
            </w:pPr>
          </w:p>
        </w:tc>
        <w:tc>
          <w:tcPr>
            <w:tcW w:w="634" w:type="pct"/>
            <w:shd w:val="clear" w:color="auto" w:fill="EEF6F7"/>
          </w:tcPr>
          <w:p w14:paraId="7B086D14" w14:textId="77777777" w:rsidR="007C4395" w:rsidRPr="009E6326" w:rsidRDefault="007C4395" w:rsidP="009E6326">
            <w:pPr>
              <w:pStyle w:val="71B0"/>
              <w:cnfStyle w:val="000000100000" w:firstRow="0" w:lastRow="0" w:firstColumn="0" w:lastColumn="0" w:oddVBand="0" w:evenVBand="0" w:oddHBand="1" w:evenHBand="0" w:firstRowFirstColumn="0" w:firstRowLastColumn="0" w:lastRowFirstColumn="0" w:lastRowLastColumn="0"/>
              <w:rPr>
                <w:rtl/>
              </w:rPr>
            </w:pPr>
          </w:p>
        </w:tc>
        <w:tc>
          <w:tcPr>
            <w:tcW w:w="634" w:type="pct"/>
            <w:shd w:val="clear" w:color="auto" w:fill="EEF6F7"/>
          </w:tcPr>
          <w:p w14:paraId="0D4D8D62" w14:textId="77777777" w:rsidR="007C4395" w:rsidRPr="009E6326" w:rsidRDefault="007C4395" w:rsidP="009E6326">
            <w:pPr>
              <w:pStyle w:val="71B0"/>
              <w:cnfStyle w:val="000000100000" w:firstRow="0" w:lastRow="0" w:firstColumn="0" w:lastColumn="0" w:oddVBand="0" w:evenVBand="0" w:oddHBand="1" w:evenHBand="0" w:firstRowFirstColumn="0" w:firstRowLastColumn="0" w:lastRowFirstColumn="0" w:lastRowLastColumn="0"/>
              <w:rPr>
                <w:rtl/>
              </w:rPr>
            </w:pPr>
          </w:p>
        </w:tc>
      </w:tr>
      <w:tr w:rsidR="00C41778" w14:paraId="7AA40D64" w14:textId="77777777" w:rsidTr="00C41778">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DDEAEE"/>
          </w:tcPr>
          <w:p w14:paraId="6A278325" w14:textId="77777777" w:rsidR="007C4395" w:rsidRPr="009E6326" w:rsidRDefault="007C4395" w:rsidP="009E6326">
            <w:pPr>
              <w:pStyle w:val="71R"/>
              <w:rPr>
                <w:b w:val="0"/>
                <w:bCs w:val="0"/>
                <w:rtl/>
              </w:rPr>
            </w:pPr>
            <w:r w:rsidRPr="009E6326">
              <w:rPr>
                <w:rFonts w:hint="cs"/>
                <w:b w:val="0"/>
                <w:bCs w:val="0"/>
                <w:rtl/>
              </w:rPr>
              <w:t>חייבים בגין עסקאות שאינן חליפין, נטו</w:t>
            </w:r>
          </w:p>
        </w:tc>
        <w:tc>
          <w:tcPr>
            <w:tcW w:w="572" w:type="pct"/>
            <w:shd w:val="clear" w:color="auto" w:fill="DDEAEE"/>
          </w:tcPr>
          <w:p w14:paraId="08DF01FB"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1,840</w:t>
            </w:r>
          </w:p>
        </w:tc>
        <w:tc>
          <w:tcPr>
            <w:tcW w:w="634" w:type="pct"/>
            <w:shd w:val="clear" w:color="auto" w:fill="DDEAEE"/>
          </w:tcPr>
          <w:p w14:paraId="6E5B9DFF"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1,472</w:t>
            </w:r>
          </w:p>
        </w:tc>
        <w:tc>
          <w:tcPr>
            <w:tcW w:w="634" w:type="pct"/>
            <w:shd w:val="clear" w:color="auto" w:fill="DDEAEE"/>
          </w:tcPr>
          <w:p w14:paraId="4BC93918"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1,448</w:t>
            </w:r>
          </w:p>
        </w:tc>
        <w:tc>
          <w:tcPr>
            <w:tcW w:w="634" w:type="pct"/>
            <w:shd w:val="clear" w:color="auto" w:fill="DDEAEE"/>
          </w:tcPr>
          <w:p w14:paraId="01A0387F"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1,367</w:t>
            </w:r>
          </w:p>
        </w:tc>
      </w:tr>
      <w:tr w:rsidR="00C41778" w14:paraId="1C729863" w14:textId="77777777" w:rsidTr="00C41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EEF6F7"/>
          </w:tcPr>
          <w:p w14:paraId="02A2AA72" w14:textId="77777777" w:rsidR="007C4395" w:rsidRPr="009E6326" w:rsidRDefault="007C4395" w:rsidP="009E6326">
            <w:pPr>
              <w:pStyle w:val="71R"/>
              <w:rPr>
                <w:b w:val="0"/>
                <w:bCs w:val="0"/>
                <w:rtl/>
              </w:rPr>
            </w:pPr>
            <w:r w:rsidRPr="009E6326">
              <w:rPr>
                <w:rFonts w:hint="cs"/>
                <w:b w:val="0"/>
                <w:bCs w:val="0"/>
                <w:rtl/>
              </w:rPr>
              <w:t xml:space="preserve">פיקדון בגין רכבים - </w:t>
            </w:r>
            <w:proofErr w:type="spellStart"/>
            <w:r w:rsidRPr="009E6326">
              <w:rPr>
                <w:rFonts w:hint="cs"/>
                <w:b w:val="0"/>
                <w:bCs w:val="0"/>
                <w:rtl/>
              </w:rPr>
              <w:t>מינהל</w:t>
            </w:r>
            <w:proofErr w:type="spellEnd"/>
            <w:r w:rsidRPr="009E6326">
              <w:rPr>
                <w:rFonts w:hint="cs"/>
                <w:b w:val="0"/>
                <w:bCs w:val="0"/>
                <w:rtl/>
              </w:rPr>
              <w:t xml:space="preserve"> הרכב</w:t>
            </w:r>
          </w:p>
        </w:tc>
        <w:tc>
          <w:tcPr>
            <w:tcW w:w="572" w:type="pct"/>
            <w:shd w:val="clear" w:color="auto" w:fill="EEF6F7"/>
          </w:tcPr>
          <w:p w14:paraId="357192D5"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w:t>
            </w:r>
          </w:p>
        </w:tc>
        <w:tc>
          <w:tcPr>
            <w:tcW w:w="634" w:type="pct"/>
            <w:shd w:val="clear" w:color="auto" w:fill="EEF6F7"/>
          </w:tcPr>
          <w:p w14:paraId="611AD0CB"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w:t>
            </w:r>
          </w:p>
        </w:tc>
        <w:tc>
          <w:tcPr>
            <w:tcW w:w="634" w:type="pct"/>
            <w:shd w:val="clear" w:color="auto" w:fill="EEF6F7"/>
          </w:tcPr>
          <w:p w14:paraId="5CC8DD4D"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w:t>
            </w:r>
          </w:p>
        </w:tc>
        <w:tc>
          <w:tcPr>
            <w:tcW w:w="634" w:type="pct"/>
            <w:shd w:val="clear" w:color="auto" w:fill="EEF6F7"/>
          </w:tcPr>
          <w:p w14:paraId="20DEBFD8"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w:t>
            </w:r>
          </w:p>
        </w:tc>
      </w:tr>
      <w:tr w:rsidR="00C41778" w14:paraId="7BAEBD6A" w14:textId="77777777" w:rsidTr="00C41778">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DDEAEE"/>
          </w:tcPr>
          <w:p w14:paraId="734CDC69" w14:textId="77777777" w:rsidR="007C4395" w:rsidRPr="009E6326" w:rsidRDefault="007C4395" w:rsidP="009E6326">
            <w:pPr>
              <w:pStyle w:val="71R"/>
              <w:rPr>
                <w:b w:val="0"/>
                <w:bCs w:val="0"/>
                <w:rtl/>
              </w:rPr>
            </w:pPr>
            <w:r w:rsidRPr="009E6326">
              <w:rPr>
                <w:rFonts w:hint="cs"/>
                <w:b w:val="0"/>
                <w:bCs w:val="0"/>
                <w:rtl/>
              </w:rPr>
              <w:t>רכוש קבוע, נטו</w:t>
            </w:r>
          </w:p>
        </w:tc>
        <w:tc>
          <w:tcPr>
            <w:tcW w:w="572" w:type="pct"/>
            <w:shd w:val="clear" w:color="auto" w:fill="DDEAEE"/>
          </w:tcPr>
          <w:p w14:paraId="66B0AF2A"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28</w:t>
            </w:r>
          </w:p>
        </w:tc>
        <w:tc>
          <w:tcPr>
            <w:tcW w:w="634" w:type="pct"/>
            <w:shd w:val="clear" w:color="auto" w:fill="DDEAEE"/>
          </w:tcPr>
          <w:p w14:paraId="233CC463"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33</w:t>
            </w:r>
          </w:p>
        </w:tc>
        <w:tc>
          <w:tcPr>
            <w:tcW w:w="634" w:type="pct"/>
            <w:shd w:val="clear" w:color="auto" w:fill="DDEAEE"/>
          </w:tcPr>
          <w:p w14:paraId="6D46D38B"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38</w:t>
            </w:r>
          </w:p>
        </w:tc>
        <w:tc>
          <w:tcPr>
            <w:tcW w:w="634" w:type="pct"/>
            <w:shd w:val="clear" w:color="auto" w:fill="DDEAEE"/>
          </w:tcPr>
          <w:p w14:paraId="512E6392"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36</w:t>
            </w:r>
          </w:p>
        </w:tc>
      </w:tr>
      <w:tr w:rsidR="00C41778" w14:paraId="74161F34" w14:textId="77777777" w:rsidTr="00C41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EEF6F7"/>
          </w:tcPr>
          <w:p w14:paraId="79A5827E" w14:textId="77777777" w:rsidR="007C4395" w:rsidRPr="009E6326" w:rsidRDefault="007C4395" w:rsidP="009E6326">
            <w:pPr>
              <w:pStyle w:val="71R"/>
              <w:rPr>
                <w:b w:val="0"/>
                <w:bCs w:val="0"/>
                <w:rtl/>
              </w:rPr>
            </w:pPr>
            <w:r w:rsidRPr="009E6326">
              <w:rPr>
                <w:rFonts w:hint="cs"/>
                <w:b w:val="0"/>
                <w:bCs w:val="0"/>
                <w:rtl/>
              </w:rPr>
              <w:t>נכסים בלתי מוחשיים, נטו</w:t>
            </w:r>
          </w:p>
        </w:tc>
        <w:tc>
          <w:tcPr>
            <w:tcW w:w="572" w:type="pct"/>
            <w:shd w:val="clear" w:color="auto" w:fill="EEF6F7"/>
          </w:tcPr>
          <w:p w14:paraId="5D8C06B2"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72</w:t>
            </w:r>
          </w:p>
        </w:tc>
        <w:tc>
          <w:tcPr>
            <w:tcW w:w="634" w:type="pct"/>
            <w:shd w:val="clear" w:color="auto" w:fill="EEF6F7"/>
          </w:tcPr>
          <w:p w14:paraId="5FE9BC4B"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68</w:t>
            </w:r>
          </w:p>
        </w:tc>
        <w:tc>
          <w:tcPr>
            <w:tcW w:w="634" w:type="pct"/>
            <w:shd w:val="clear" w:color="auto" w:fill="EEF6F7"/>
          </w:tcPr>
          <w:p w14:paraId="24E97D16"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74</w:t>
            </w:r>
          </w:p>
        </w:tc>
        <w:tc>
          <w:tcPr>
            <w:tcW w:w="634" w:type="pct"/>
            <w:shd w:val="clear" w:color="auto" w:fill="EEF6F7"/>
          </w:tcPr>
          <w:p w14:paraId="2C7087CA"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79</w:t>
            </w:r>
          </w:p>
        </w:tc>
      </w:tr>
      <w:tr w:rsidR="00C41778" w14:paraId="39A1D859" w14:textId="77777777" w:rsidTr="00C41778">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C8DCE4"/>
          </w:tcPr>
          <w:p w14:paraId="0FB81165" w14:textId="77777777" w:rsidR="007C4395" w:rsidRPr="009E6326" w:rsidRDefault="007C4395" w:rsidP="009E6326">
            <w:pPr>
              <w:pStyle w:val="71R"/>
              <w:rPr>
                <w:rtl/>
              </w:rPr>
            </w:pPr>
            <w:r w:rsidRPr="009E6326">
              <w:rPr>
                <w:rFonts w:hint="cs"/>
                <w:rtl/>
              </w:rPr>
              <w:t>סך הכול נכסים שאינם שוטפים</w:t>
            </w:r>
          </w:p>
        </w:tc>
        <w:tc>
          <w:tcPr>
            <w:tcW w:w="572" w:type="pct"/>
            <w:shd w:val="clear" w:color="auto" w:fill="C8DCE4"/>
          </w:tcPr>
          <w:p w14:paraId="237FFAC7"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9E6326">
              <w:rPr>
                <w:rFonts w:hint="cs"/>
                <w:b/>
                <w:bCs/>
                <w:rtl/>
              </w:rPr>
              <w:t>1,942</w:t>
            </w:r>
          </w:p>
        </w:tc>
        <w:tc>
          <w:tcPr>
            <w:tcW w:w="634" w:type="pct"/>
            <w:shd w:val="clear" w:color="auto" w:fill="C8DCE4"/>
          </w:tcPr>
          <w:p w14:paraId="7FC468C6"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9E6326">
              <w:rPr>
                <w:rFonts w:hint="cs"/>
                <w:b/>
                <w:bCs/>
                <w:rtl/>
              </w:rPr>
              <w:t>1,575</w:t>
            </w:r>
          </w:p>
        </w:tc>
        <w:tc>
          <w:tcPr>
            <w:tcW w:w="634" w:type="pct"/>
            <w:shd w:val="clear" w:color="auto" w:fill="C8DCE4"/>
          </w:tcPr>
          <w:p w14:paraId="2CF474E2"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9E6326">
              <w:rPr>
                <w:rFonts w:hint="cs"/>
                <w:b/>
                <w:bCs/>
                <w:rtl/>
              </w:rPr>
              <w:t>1,562</w:t>
            </w:r>
          </w:p>
        </w:tc>
        <w:tc>
          <w:tcPr>
            <w:tcW w:w="634" w:type="pct"/>
            <w:shd w:val="clear" w:color="auto" w:fill="C8DCE4"/>
          </w:tcPr>
          <w:p w14:paraId="3934CCCE"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9E6326">
              <w:rPr>
                <w:rFonts w:hint="cs"/>
                <w:b/>
                <w:bCs/>
                <w:rtl/>
              </w:rPr>
              <w:t>1,484</w:t>
            </w:r>
          </w:p>
        </w:tc>
      </w:tr>
      <w:tr w:rsidR="00C41778" w14:paraId="324724B6" w14:textId="77777777" w:rsidTr="00C41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bottom w:val="none" w:sz="0" w:space="0" w:color="auto"/>
            </w:tcBorders>
            <w:shd w:val="clear" w:color="auto" w:fill="B6CBD4"/>
            <w:hideMark/>
          </w:tcPr>
          <w:p w14:paraId="10F59C30" w14:textId="77777777" w:rsidR="007C4395" w:rsidRPr="009E6326" w:rsidRDefault="007C4395" w:rsidP="009E6326">
            <w:pPr>
              <w:pStyle w:val="71R"/>
              <w:rPr>
                <w:rtl/>
              </w:rPr>
            </w:pPr>
            <w:r w:rsidRPr="009E6326">
              <w:rPr>
                <w:rFonts w:hint="cs"/>
                <w:rtl/>
              </w:rPr>
              <w:t>סך הכול נכסים</w:t>
            </w:r>
          </w:p>
        </w:tc>
        <w:tc>
          <w:tcPr>
            <w:tcW w:w="572" w:type="pct"/>
            <w:shd w:val="clear" w:color="auto" w:fill="B6CBD4"/>
          </w:tcPr>
          <w:p w14:paraId="39758659"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3,654</w:t>
            </w:r>
          </w:p>
        </w:tc>
        <w:tc>
          <w:tcPr>
            <w:tcW w:w="634" w:type="pct"/>
            <w:shd w:val="clear" w:color="auto" w:fill="B6CBD4"/>
          </w:tcPr>
          <w:p w14:paraId="6CAFE4EA"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3,068</w:t>
            </w:r>
          </w:p>
        </w:tc>
        <w:tc>
          <w:tcPr>
            <w:tcW w:w="634" w:type="pct"/>
            <w:shd w:val="clear" w:color="auto" w:fill="B6CBD4"/>
          </w:tcPr>
          <w:p w14:paraId="32EDC405"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2,879</w:t>
            </w:r>
          </w:p>
        </w:tc>
        <w:tc>
          <w:tcPr>
            <w:tcW w:w="634" w:type="pct"/>
            <w:shd w:val="clear" w:color="auto" w:fill="B6CBD4"/>
          </w:tcPr>
          <w:p w14:paraId="6685B394"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2,693</w:t>
            </w:r>
          </w:p>
        </w:tc>
      </w:tr>
    </w:tbl>
    <w:p w14:paraId="6E581BD4" w14:textId="7FD91A64" w:rsidR="007C4395" w:rsidRPr="00010778" w:rsidRDefault="007C4395" w:rsidP="00010778">
      <w:pPr>
        <w:pStyle w:val="71c"/>
        <w:rPr>
          <w:rtl/>
        </w:rPr>
      </w:pPr>
      <w:r w:rsidRPr="00010778">
        <w:rPr>
          <w:rFonts w:hint="eastAsia"/>
          <w:rtl/>
        </w:rPr>
        <w:t>על</w:t>
      </w:r>
      <w:r w:rsidRPr="00010778">
        <w:rPr>
          <w:rtl/>
        </w:rPr>
        <w:t xml:space="preserve"> </w:t>
      </w:r>
      <w:r w:rsidRPr="00010778">
        <w:rPr>
          <w:rFonts w:hint="eastAsia"/>
          <w:rtl/>
        </w:rPr>
        <w:t>פי</w:t>
      </w:r>
      <w:r w:rsidRPr="00010778">
        <w:rPr>
          <w:rtl/>
        </w:rPr>
        <w:t xml:space="preserve"> הדוחות </w:t>
      </w:r>
      <w:r w:rsidRPr="00010778">
        <w:rPr>
          <w:rFonts w:hint="eastAsia"/>
          <w:rtl/>
        </w:rPr>
        <w:t>הכספיים</w:t>
      </w:r>
      <w:r w:rsidRPr="00010778">
        <w:rPr>
          <w:rtl/>
        </w:rPr>
        <w:t xml:space="preserve"> </w:t>
      </w:r>
      <w:r w:rsidRPr="00010778">
        <w:rPr>
          <w:rFonts w:hint="eastAsia"/>
          <w:rtl/>
        </w:rPr>
        <w:t>של</w:t>
      </w:r>
      <w:r w:rsidRPr="00010778">
        <w:rPr>
          <w:rtl/>
        </w:rPr>
        <w:t xml:space="preserve"> </w:t>
      </w:r>
      <w:r w:rsidRPr="00010778">
        <w:rPr>
          <w:rFonts w:hint="eastAsia"/>
          <w:rtl/>
        </w:rPr>
        <w:t>רשות</w:t>
      </w:r>
      <w:r w:rsidRPr="00010778">
        <w:rPr>
          <w:rtl/>
        </w:rPr>
        <w:t xml:space="preserve"> </w:t>
      </w:r>
      <w:r w:rsidRPr="00010778">
        <w:rPr>
          <w:rFonts w:hint="eastAsia"/>
          <w:rtl/>
        </w:rPr>
        <w:t>האכיפה</w:t>
      </w:r>
      <w:r w:rsidRPr="00010778">
        <w:rPr>
          <w:rtl/>
        </w:rPr>
        <w:t xml:space="preserve"> </w:t>
      </w:r>
      <w:r w:rsidRPr="00010778">
        <w:rPr>
          <w:rFonts w:hint="eastAsia"/>
          <w:rtl/>
        </w:rPr>
        <w:t>והגבייה</w:t>
      </w:r>
      <w:r w:rsidRPr="00010778">
        <w:rPr>
          <w:rtl/>
        </w:rPr>
        <w:t xml:space="preserve"> </w:t>
      </w:r>
      <w:r w:rsidRPr="00010778">
        <w:rPr>
          <w:rFonts w:hint="eastAsia"/>
          <w:rtl/>
        </w:rPr>
        <w:t>לשנים</w:t>
      </w:r>
      <w:r w:rsidRPr="00010778">
        <w:rPr>
          <w:rtl/>
        </w:rPr>
        <w:t xml:space="preserve"> 2017 - 2020, </w:t>
      </w:r>
      <w:r w:rsidRPr="00010778">
        <w:rPr>
          <w:rFonts w:hint="eastAsia"/>
          <w:rtl/>
        </w:rPr>
        <w:t>בעיבוד</w:t>
      </w:r>
      <w:r w:rsidRPr="00010778">
        <w:rPr>
          <w:rtl/>
        </w:rPr>
        <w:t xml:space="preserve"> </w:t>
      </w:r>
      <w:r w:rsidRPr="00010778">
        <w:rPr>
          <w:rFonts w:hint="eastAsia"/>
          <w:rtl/>
        </w:rPr>
        <w:t>משרד</w:t>
      </w:r>
      <w:r w:rsidRPr="00010778">
        <w:rPr>
          <w:rtl/>
        </w:rPr>
        <w:t xml:space="preserve"> </w:t>
      </w:r>
      <w:r w:rsidRPr="00010778">
        <w:rPr>
          <w:rFonts w:hint="eastAsia"/>
          <w:rtl/>
        </w:rPr>
        <w:t>מבקר</w:t>
      </w:r>
      <w:r w:rsidRPr="00010778">
        <w:rPr>
          <w:rtl/>
        </w:rPr>
        <w:t xml:space="preserve"> </w:t>
      </w:r>
      <w:r w:rsidRPr="00010778">
        <w:rPr>
          <w:rFonts w:hint="eastAsia"/>
          <w:rtl/>
        </w:rPr>
        <w:t>המדינה</w:t>
      </w:r>
      <w:r w:rsidRPr="00010778">
        <w:rPr>
          <w:rtl/>
        </w:rPr>
        <w:t>.</w:t>
      </w:r>
    </w:p>
    <w:p w14:paraId="45307952" w14:textId="77777777" w:rsidR="007C4395" w:rsidRDefault="007C4395" w:rsidP="002A738D">
      <w:pPr>
        <w:pStyle w:val="7190"/>
        <w:rPr>
          <w:rtl/>
        </w:rPr>
      </w:pPr>
      <w:r>
        <w:rPr>
          <w:rFonts w:hint="cs"/>
          <w:rtl/>
        </w:rPr>
        <w:t>מהלוח שלעיל עולה כי עיקר נכסי הרשות הם סעיפי חייבים ויתרות חובה תחת הנכסים השוטפים (בשיעור של כ-71% בשנת 2020) וחייבים בגין עסקאות שאינן חליפין תחת הנכסים שאינם שוטפים (בשיעור של כ-95% בשנת 2020).</w:t>
      </w:r>
    </w:p>
    <w:p w14:paraId="6FAB0871" w14:textId="77777777" w:rsidR="007C4395" w:rsidRPr="000A216E" w:rsidRDefault="007C4395" w:rsidP="007C4395">
      <w:pPr>
        <w:bidi w:val="0"/>
        <w:spacing w:after="200" w:line="276" w:lineRule="auto"/>
        <w:rPr>
          <w:rtl/>
        </w:rPr>
      </w:pPr>
      <w:r>
        <w:rPr>
          <w:rtl/>
        </w:rPr>
        <w:br w:type="page"/>
      </w:r>
    </w:p>
    <w:p w14:paraId="0F6FC619" w14:textId="77777777" w:rsidR="007C4395" w:rsidRDefault="007C4395" w:rsidP="002A738D">
      <w:pPr>
        <w:pStyle w:val="7190"/>
        <w:rPr>
          <w:rtl/>
        </w:rPr>
      </w:pPr>
      <w:r>
        <w:rPr>
          <w:rFonts w:hint="cs"/>
          <w:rtl/>
        </w:rPr>
        <w:lastRenderedPageBreak/>
        <w:t>סעיף חייבים ויתרות חובה במסגרת הנכסים השוטפים כולל סכום בהיקף של כ-895 מיליון ש"ח בגין עסקאות שאינן חליפין וכן סעיפים אחרים שאינם במסגרת החובות למדינה (כדוגמת הלוואות ומקדמות לעובדים).</w:t>
      </w:r>
    </w:p>
    <w:p w14:paraId="4E0F680D" w14:textId="77777777" w:rsidR="007C4395" w:rsidRDefault="007C4395" w:rsidP="002A738D">
      <w:pPr>
        <w:pStyle w:val="7190"/>
        <w:rPr>
          <w:rtl/>
        </w:rPr>
      </w:pPr>
      <w:r>
        <w:rPr>
          <w:rFonts w:hint="cs"/>
          <w:rtl/>
        </w:rPr>
        <w:t>חייבים בגין עסקאות שאינן חליפין כוללים שני סוגי חייבים: (א) חייבים לאוצר המדינה, אשר נגבים על ידי הרשות ומועברים ישירות לאוצר המדינה (כדוגמת חייבים בגין אגרות היטל הפקה בסך כ-230 מיליון ש"ח נכון ליום 31 בדצמבר 2020 אשר הועברו מהרשות הממשלתית למים ולביוב); (ב) חייבים בגין חובות המועברים למשרדי ממשלה אחרים, אשר נגבים על ידי הרשות ומועברים לחשבון של המשרד הממשלתי הרלוונטי (כדוגמת חייבים מאת רשות התאגידים - רשם החברות בסך של כ-682 מיליון ש"ח נכון ליום 31 בדצמבר 2020)</w:t>
      </w:r>
      <w:r>
        <w:rPr>
          <w:rStyle w:val="ac"/>
          <w:rtl/>
        </w:rPr>
        <w:footnoteReference w:id="69"/>
      </w:r>
      <w:r>
        <w:rPr>
          <w:rFonts w:hint="cs"/>
          <w:rtl/>
        </w:rPr>
        <w:t>.</w:t>
      </w:r>
    </w:p>
    <w:p w14:paraId="401792B0" w14:textId="77777777" w:rsidR="007C4395" w:rsidRDefault="007C4395" w:rsidP="002A738D">
      <w:pPr>
        <w:pStyle w:val="7190"/>
        <w:rPr>
          <w:rtl/>
        </w:rPr>
      </w:pPr>
      <w:r>
        <w:rPr>
          <w:rFonts w:hint="cs"/>
          <w:rtl/>
        </w:rPr>
        <w:t xml:space="preserve">להלן פירוט סכומי החיובים והחובות שבטיפול </w:t>
      </w:r>
      <w:proofErr w:type="spellStart"/>
      <w:r>
        <w:rPr>
          <w:rFonts w:hint="cs"/>
          <w:rtl/>
        </w:rPr>
        <w:t>המג"ק</w:t>
      </w:r>
      <w:proofErr w:type="spellEnd"/>
      <w:r>
        <w:rPr>
          <w:rFonts w:hint="cs"/>
          <w:rtl/>
        </w:rPr>
        <w:t xml:space="preserve"> המוצגים בדוחות הכספיים של הרשות ונגבים לאוצר המדינה ולחשבונות משרדי הממשלה:</w:t>
      </w:r>
    </w:p>
    <w:p w14:paraId="5E55525D" w14:textId="77777777" w:rsidR="008507F3" w:rsidRDefault="008507F3">
      <w:pPr>
        <w:bidi w:val="0"/>
        <w:spacing w:after="200" w:line="276" w:lineRule="auto"/>
        <w:rPr>
          <w:rFonts w:ascii="Tahoma" w:eastAsiaTheme="minorEastAsia" w:hAnsi="Tahoma" w:cs="Tahoma"/>
          <w:color w:val="0D0D0D" w:themeColor="text1" w:themeTint="F2"/>
          <w:szCs w:val="20"/>
          <w:rtl/>
        </w:rPr>
      </w:pPr>
      <w:r>
        <w:rPr>
          <w:b/>
          <w:bCs/>
          <w:rtl/>
        </w:rPr>
        <w:br w:type="page"/>
      </w:r>
    </w:p>
    <w:p w14:paraId="63634D37" w14:textId="2443F687" w:rsidR="007C4395" w:rsidRPr="001369E1" w:rsidRDefault="007C4395" w:rsidP="006F4D0D">
      <w:pPr>
        <w:pStyle w:val="71a"/>
        <w:rPr>
          <w:rtl/>
        </w:rPr>
      </w:pPr>
      <w:r w:rsidRPr="006F4D0D">
        <w:rPr>
          <w:rFonts w:hint="cs"/>
          <w:b w:val="0"/>
          <w:bCs w:val="0"/>
          <w:rtl/>
        </w:rPr>
        <w:lastRenderedPageBreak/>
        <w:t>לוח 13:</w:t>
      </w:r>
      <w:r w:rsidRPr="001369E1">
        <w:rPr>
          <w:rFonts w:hint="cs"/>
          <w:rtl/>
        </w:rPr>
        <w:t xml:space="preserve"> סכומי החיובים והחובות למדינה שבטיפול </w:t>
      </w:r>
      <w:proofErr w:type="spellStart"/>
      <w:r w:rsidRPr="001369E1">
        <w:rPr>
          <w:rFonts w:hint="cs"/>
          <w:rtl/>
        </w:rPr>
        <w:t>המג"ק</w:t>
      </w:r>
      <w:proofErr w:type="spellEnd"/>
      <w:r w:rsidRPr="001369E1">
        <w:rPr>
          <w:rFonts w:hint="cs"/>
          <w:rtl/>
        </w:rPr>
        <w:t xml:space="preserve"> (לפי זמן קצר וזמן ארוך), 2017 - 2020 (במיליוני ש"ח)</w:t>
      </w:r>
    </w:p>
    <w:tbl>
      <w:tblPr>
        <w:tblStyle w:val="5-1"/>
        <w:bidiVisual/>
        <w:tblW w:w="5000" w:type="pct"/>
        <w:tblBorders>
          <w:left w:val="single" w:sz="4" w:space="0" w:color="auto"/>
          <w:bottom w:val="none" w:sz="0" w:space="0" w:color="auto"/>
          <w:right w:val="single" w:sz="4" w:space="0" w:color="auto"/>
          <w:insideH w:val="none" w:sz="0" w:space="0" w:color="auto"/>
          <w:insideV w:val="single" w:sz="4" w:space="0" w:color="auto"/>
        </w:tblBorders>
        <w:tblLook w:val="04A0" w:firstRow="1" w:lastRow="0" w:firstColumn="1" w:lastColumn="0" w:noHBand="0" w:noVBand="1"/>
      </w:tblPr>
      <w:tblGrid>
        <w:gridCol w:w="3719"/>
        <w:gridCol w:w="842"/>
        <w:gridCol w:w="933"/>
        <w:gridCol w:w="933"/>
        <w:gridCol w:w="933"/>
      </w:tblGrid>
      <w:tr w:rsidR="008507F3" w14:paraId="7C309586" w14:textId="77777777" w:rsidTr="008132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6" w:type="pct"/>
            <w:tcBorders>
              <w:top w:val="none" w:sz="0" w:space="0" w:color="auto"/>
              <w:left w:val="none" w:sz="0" w:space="0" w:color="auto"/>
              <w:right w:val="none" w:sz="0" w:space="0" w:color="auto"/>
            </w:tcBorders>
            <w:shd w:val="clear" w:color="auto" w:fill="B6CBD4"/>
            <w:hideMark/>
          </w:tcPr>
          <w:p w14:paraId="73962AAB" w14:textId="77777777" w:rsidR="007C4395" w:rsidRDefault="007C4395" w:rsidP="008507F3">
            <w:pPr>
              <w:pStyle w:val="7190"/>
              <w:spacing w:line="240" w:lineRule="auto"/>
              <w:rPr>
                <w:rtl/>
              </w:rPr>
            </w:pPr>
            <w:r>
              <w:rPr>
                <w:rFonts w:hint="cs"/>
                <w:rtl/>
              </w:rPr>
              <w:t xml:space="preserve"> </w:t>
            </w:r>
          </w:p>
        </w:tc>
        <w:tc>
          <w:tcPr>
            <w:tcW w:w="2474" w:type="pct"/>
            <w:gridSpan w:val="4"/>
            <w:tcBorders>
              <w:top w:val="none" w:sz="0" w:space="0" w:color="auto"/>
              <w:left w:val="none" w:sz="0" w:space="0" w:color="auto"/>
              <w:right w:val="none" w:sz="0" w:space="0" w:color="auto"/>
            </w:tcBorders>
            <w:shd w:val="clear" w:color="auto" w:fill="B6CBD4"/>
            <w:hideMark/>
          </w:tcPr>
          <w:p w14:paraId="24A5801D" w14:textId="63BA112B" w:rsidR="007C4395" w:rsidRPr="009E6326" w:rsidRDefault="007C4395" w:rsidP="008507F3">
            <w:pPr>
              <w:pStyle w:val="71HEADER"/>
              <w:spacing w:line="240" w:lineRule="auto"/>
              <w:cnfStyle w:val="100000000000" w:firstRow="1" w:lastRow="0" w:firstColumn="0" w:lastColumn="0" w:oddVBand="0" w:evenVBand="0" w:oddHBand="0" w:evenHBand="0" w:firstRowFirstColumn="0" w:firstRowLastColumn="0" w:lastRowFirstColumn="0" w:lastRowLastColumn="0"/>
              <w:rPr>
                <w:b/>
                <w:rtl/>
              </w:rPr>
            </w:pPr>
            <w:r w:rsidRPr="009E6326">
              <w:rPr>
                <w:rFonts w:hint="cs"/>
                <w:b/>
                <w:rtl/>
              </w:rPr>
              <w:t>רשות האכיפה והגבייה</w:t>
            </w:r>
            <w:r w:rsidR="009E6326" w:rsidRPr="009E6326">
              <w:rPr>
                <w:b/>
                <w:rtl/>
              </w:rPr>
              <w:br/>
            </w:r>
            <w:r w:rsidRPr="009E6326">
              <w:rPr>
                <w:rFonts w:hint="cs"/>
                <w:b/>
                <w:rtl/>
              </w:rPr>
              <w:t>ליום 31 בדצמבר</w:t>
            </w:r>
          </w:p>
        </w:tc>
      </w:tr>
      <w:tr w:rsidR="000D4E74" w14:paraId="791A9FB9" w14:textId="77777777" w:rsidTr="00B121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C8DCE4"/>
          </w:tcPr>
          <w:p w14:paraId="6EE53056" w14:textId="77777777" w:rsidR="007C4395" w:rsidRPr="009E6326" w:rsidRDefault="007C4395" w:rsidP="008507F3">
            <w:pPr>
              <w:pStyle w:val="71B0"/>
              <w:spacing w:line="240" w:lineRule="auto"/>
              <w:rPr>
                <w:rtl/>
              </w:rPr>
            </w:pPr>
          </w:p>
        </w:tc>
        <w:tc>
          <w:tcPr>
            <w:tcW w:w="572" w:type="pct"/>
            <w:shd w:val="clear" w:color="auto" w:fill="C8DCE4"/>
          </w:tcPr>
          <w:p w14:paraId="697C3A6B" w14:textId="77777777" w:rsidR="007C4395" w:rsidRPr="009E6326" w:rsidRDefault="007C4395" w:rsidP="008507F3">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2020</w:t>
            </w:r>
          </w:p>
        </w:tc>
        <w:tc>
          <w:tcPr>
            <w:tcW w:w="634" w:type="pct"/>
            <w:shd w:val="clear" w:color="auto" w:fill="C8DCE4"/>
          </w:tcPr>
          <w:p w14:paraId="5DD9F95B" w14:textId="77777777" w:rsidR="007C4395" w:rsidRPr="009E6326" w:rsidRDefault="007C4395" w:rsidP="008507F3">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2019</w:t>
            </w:r>
          </w:p>
        </w:tc>
        <w:tc>
          <w:tcPr>
            <w:tcW w:w="634" w:type="pct"/>
            <w:shd w:val="clear" w:color="auto" w:fill="C8DCE4"/>
          </w:tcPr>
          <w:p w14:paraId="0E3FF3C6" w14:textId="77777777" w:rsidR="007C4395" w:rsidRPr="009E6326" w:rsidRDefault="007C4395" w:rsidP="008507F3">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2018</w:t>
            </w:r>
          </w:p>
        </w:tc>
        <w:tc>
          <w:tcPr>
            <w:tcW w:w="634" w:type="pct"/>
            <w:shd w:val="clear" w:color="auto" w:fill="C8DCE4"/>
          </w:tcPr>
          <w:p w14:paraId="4677B2FE" w14:textId="77777777" w:rsidR="007C4395" w:rsidRPr="009E6326" w:rsidRDefault="007C4395" w:rsidP="008507F3">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2017</w:t>
            </w:r>
          </w:p>
        </w:tc>
      </w:tr>
      <w:tr w:rsidR="008507F3" w14:paraId="66873777" w14:textId="77777777" w:rsidTr="008132F7">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B7CBD4"/>
            <w:hideMark/>
          </w:tcPr>
          <w:p w14:paraId="0D6E7A2A" w14:textId="77777777" w:rsidR="007C4395" w:rsidRPr="009E6326" w:rsidRDefault="007C4395" w:rsidP="008507F3">
            <w:pPr>
              <w:pStyle w:val="71R"/>
              <w:spacing w:line="240" w:lineRule="auto"/>
              <w:rPr>
                <w:b w:val="0"/>
                <w:bCs w:val="0"/>
                <w:rtl/>
              </w:rPr>
            </w:pPr>
            <w:r w:rsidRPr="009E6326">
              <w:rPr>
                <w:rFonts w:hint="cs"/>
                <w:b w:val="0"/>
                <w:bCs w:val="0"/>
                <w:rtl/>
              </w:rPr>
              <w:t>המצב הכספי</w:t>
            </w:r>
          </w:p>
        </w:tc>
        <w:tc>
          <w:tcPr>
            <w:tcW w:w="2474" w:type="pct"/>
            <w:gridSpan w:val="4"/>
            <w:shd w:val="clear" w:color="auto" w:fill="DDEAEE"/>
          </w:tcPr>
          <w:p w14:paraId="62515DC5" w14:textId="77777777" w:rsidR="007C4395" w:rsidRPr="009E6326" w:rsidRDefault="007C4395" w:rsidP="008507F3">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p>
        </w:tc>
      </w:tr>
      <w:tr w:rsidR="009E6326" w14:paraId="07C5F9EF" w14:textId="77777777" w:rsidTr="00B121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EEF6F7"/>
            <w:hideMark/>
          </w:tcPr>
          <w:p w14:paraId="6C67B575" w14:textId="77777777" w:rsidR="007C4395" w:rsidRPr="009E6326" w:rsidRDefault="007C4395" w:rsidP="008507F3">
            <w:pPr>
              <w:pStyle w:val="71B0"/>
              <w:spacing w:line="240" w:lineRule="auto"/>
              <w:rPr>
                <w:b/>
                <w:bCs/>
                <w:rtl/>
              </w:rPr>
            </w:pPr>
            <w:r w:rsidRPr="009E6326">
              <w:rPr>
                <w:rFonts w:hint="cs"/>
                <w:b/>
                <w:bCs/>
                <w:rtl/>
              </w:rPr>
              <w:t>חייבים ויתרות חובה לזמן קצר בגין עסקאות שאינן חליפין</w:t>
            </w:r>
          </w:p>
        </w:tc>
        <w:tc>
          <w:tcPr>
            <w:tcW w:w="572" w:type="pct"/>
            <w:shd w:val="clear" w:color="auto" w:fill="EEF6F7"/>
          </w:tcPr>
          <w:p w14:paraId="61A9328D" w14:textId="77777777" w:rsidR="007C4395" w:rsidRPr="009E6326" w:rsidRDefault="007C4395" w:rsidP="008507F3">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p>
        </w:tc>
        <w:tc>
          <w:tcPr>
            <w:tcW w:w="634" w:type="pct"/>
            <w:shd w:val="clear" w:color="auto" w:fill="EEF6F7"/>
          </w:tcPr>
          <w:p w14:paraId="33053E8A" w14:textId="77777777" w:rsidR="007C4395" w:rsidRPr="009E6326" w:rsidRDefault="007C4395" w:rsidP="008507F3">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p>
        </w:tc>
        <w:tc>
          <w:tcPr>
            <w:tcW w:w="634" w:type="pct"/>
            <w:shd w:val="clear" w:color="auto" w:fill="EEF6F7"/>
          </w:tcPr>
          <w:p w14:paraId="6B3CFC83" w14:textId="77777777" w:rsidR="007C4395" w:rsidRPr="009E6326" w:rsidRDefault="007C4395" w:rsidP="008507F3">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p>
        </w:tc>
        <w:tc>
          <w:tcPr>
            <w:tcW w:w="634" w:type="pct"/>
            <w:shd w:val="clear" w:color="auto" w:fill="EEF6F7"/>
          </w:tcPr>
          <w:p w14:paraId="1DB01944" w14:textId="77777777" w:rsidR="007C4395" w:rsidRPr="009E6326" w:rsidRDefault="007C4395" w:rsidP="008507F3">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p>
        </w:tc>
      </w:tr>
      <w:tr w:rsidR="000D4E74" w14:paraId="34533F49" w14:textId="77777777" w:rsidTr="00B12199">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DDEAEE"/>
          </w:tcPr>
          <w:p w14:paraId="5111EA17" w14:textId="77777777" w:rsidR="007C4395" w:rsidRPr="009E6326" w:rsidRDefault="007C4395" w:rsidP="008507F3">
            <w:pPr>
              <w:pStyle w:val="71R"/>
              <w:spacing w:line="240" w:lineRule="auto"/>
              <w:rPr>
                <w:b w:val="0"/>
                <w:bCs w:val="0"/>
                <w:rtl/>
              </w:rPr>
            </w:pPr>
            <w:r w:rsidRPr="009E6326">
              <w:rPr>
                <w:rFonts w:hint="cs"/>
                <w:b w:val="0"/>
                <w:bCs w:val="0"/>
                <w:rtl/>
              </w:rPr>
              <w:t>גבייה לאוצר המדינה</w:t>
            </w:r>
          </w:p>
        </w:tc>
        <w:tc>
          <w:tcPr>
            <w:tcW w:w="572" w:type="pct"/>
            <w:shd w:val="clear" w:color="auto" w:fill="DDEAEE"/>
          </w:tcPr>
          <w:p w14:paraId="374E4AE6" w14:textId="77777777" w:rsidR="007C4395" w:rsidRPr="009E6326" w:rsidRDefault="007C4395" w:rsidP="008507F3">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833</w:t>
            </w:r>
          </w:p>
        </w:tc>
        <w:tc>
          <w:tcPr>
            <w:tcW w:w="634" w:type="pct"/>
            <w:shd w:val="clear" w:color="auto" w:fill="DDEAEE"/>
          </w:tcPr>
          <w:p w14:paraId="519C2B87" w14:textId="77777777" w:rsidR="007C4395" w:rsidRPr="009E6326" w:rsidRDefault="007C4395" w:rsidP="008507F3">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707</w:t>
            </w:r>
          </w:p>
        </w:tc>
        <w:tc>
          <w:tcPr>
            <w:tcW w:w="634" w:type="pct"/>
            <w:shd w:val="clear" w:color="auto" w:fill="DDEAEE"/>
          </w:tcPr>
          <w:p w14:paraId="6F3EA8F1" w14:textId="77777777" w:rsidR="007C4395" w:rsidRPr="009E6326" w:rsidRDefault="007C4395" w:rsidP="008507F3">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712</w:t>
            </w:r>
          </w:p>
        </w:tc>
        <w:tc>
          <w:tcPr>
            <w:tcW w:w="634" w:type="pct"/>
            <w:shd w:val="clear" w:color="auto" w:fill="DDEAEE"/>
          </w:tcPr>
          <w:p w14:paraId="51E409A7" w14:textId="77777777" w:rsidR="007C4395" w:rsidRPr="009E6326" w:rsidRDefault="007C4395" w:rsidP="008507F3">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618</w:t>
            </w:r>
          </w:p>
        </w:tc>
      </w:tr>
      <w:tr w:rsidR="000D4E74" w14:paraId="55964F93" w14:textId="77777777" w:rsidTr="00B121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EEF6F7"/>
          </w:tcPr>
          <w:p w14:paraId="78AF9168" w14:textId="77777777" w:rsidR="007C4395" w:rsidRPr="009E6326" w:rsidRDefault="007C4395" w:rsidP="008507F3">
            <w:pPr>
              <w:pStyle w:val="71R"/>
              <w:spacing w:line="240" w:lineRule="auto"/>
              <w:rPr>
                <w:b w:val="0"/>
                <w:bCs w:val="0"/>
                <w:rtl/>
              </w:rPr>
            </w:pPr>
            <w:r w:rsidRPr="009E6326">
              <w:rPr>
                <w:rFonts w:hint="cs"/>
                <w:b w:val="0"/>
                <w:bCs w:val="0"/>
                <w:rtl/>
              </w:rPr>
              <w:t>גבייה למשרדי ממשלה</w:t>
            </w:r>
          </w:p>
        </w:tc>
        <w:tc>
          <w:tcPr>
            <w:tcW w:w="572" w:type="pct"/>
            <w:shd w:val="clear" w:color="auto" w:fill="EEF6F7"/>
          </w:tcPr>
          <w:p w14:paraId="026A4456" w14:textId="77777777" w:rsidR="007C4395" w:rsidRPr="009E6326" w:rsidRDefault="007C4395" w:rsidP="008507F3">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62</w:t>
            </w:r>
          </w:p>
        </w:tc>
        <w:tc>
          <w:tcPr>
            <w:tcW w:w="634" w:type="pct"/>
            <w:shd w:val="clear" w:color="auto" w:fill="EEF6F7"/>
          </w:tcPr>
          <w:p w14:paraId="41CC4CF7" w14:textId="77777777" w:rsidR="007C4395" w:rsidRPr="009E6326" w:rsidRDefault="007C4395" w:rsidP="008507F3">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58</w:t>
            </w:r>
          </w:p>
        </w:tc>
        <w:tc>
          <w:tcPr>
            <w:tcW w:w="634" w:type="pct"/>
            <w:shd w:val="clear" w:color="auto" w:fill="EEF6F7"/>
          </w:tcPr>
          <w:p w14:paraId="55B182A3" w14:textId="77777777" w:rsidR="007C4395" w:rsidRPr="009E6326" w:rsidRDefault="007C4395" w:rsidP="008507F3">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31</w:t>
            </w:r>
          </w:p>
        </w:tc>
        <w:tc>
          <w:tcPr>
            <w:tcW w:w="634" w:type="pct"/>
            <w:shd w:val="clear" w:color="auto" w:fill="EEF6F7"/>
          </w:tcPr>
          <w:p w14:paraId="15ED8F11" w14:textId="77777777" w:rsidR="007C4395" w:rsidRPr="009E6326" w:rsidRDefault="007C4395" w:rsidP="008507F3">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31</w:t>
            </w:r>
          </w:p>
        </w:tc>
      </w:tr>
      <w:tr w:rsidR="000D4E74" w14:paraId="4923629C" w14:textId="77777777" w:rsidTr="00B12199">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DDEAEE"/>
          </w:tcPr>
          <w:p w14:paraId="0277906D" w14:textId="77777777" w:rsidR="007C4395" w:rsidRPr="009E6326" w:rsidRDefault="007C4395" w:rsidP="008507F3">
            <w:pPr>
              <w:pStyle w:val="71B0"/>
              <w:spacing w:line="240" w:lineRule="auto"/>
              <w:rPr>
                <w:b/>
                <w:bCs/>
                <w:rtl/>
              </w:rPr>
            </w:pPr>
            <w:r w:rsidRPr="009E6326">
              <w:rPr>
                <w:rFonts w:hint="cs"/>
                <w:b/>
                <w:bCs/>
                <w:rtl/>
              </w:rPr>
              <w:t>סך הכול חייבים לזמן קצר</w:t>
            </w:r>
          </w:p>
        </w:tc>
        <w:tc>
          <w:tcPr>
            <w:tcW w:w="572" w:type="pct"/>
            <w:shd w:val="clear" w:color="auto" w:fill="DDEAEE"/>
          </w:tcPr>
          <w:p w14:paraId="3FEC46CB" w14:textId="77777777" w:rsidR="007C4395" w:rsidRPr="009E6326" w:rsidRDefault="007C4395" w:rsidP="008507F3">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895</w:t>
            </w:r>
          </w:p>
        </w:tc>
        <w:tc>
          <w:tcPr>
            <w:tcW w:w="634" w:type="pct"/>
            <w:shd w:val="clear" w:color="auto" w:fill="DDEAEE"/>
          </w:tcPr>
          <w:p w14:paraId="66649F21" w14:textId="77777777" w:rsidR="007C4395" w:rsidRPr="009E6326" w:rsidRDefault="007C4395" w:rsidP="008507F3">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765</w:t>
            </w:r>
          </w:p>
        </w:tc>
        <w:tc>
          <w:tcPr>
            <w:tcW w:w="634" w:type="pct"/>
            <w:shd w:val="clear" w:color="auto" w:fill="DDEAEE"/>
          </w:tcPr>
          <w:p w14:paraId="3D39AD79" w14:textId="77777777" w:rsidR="007C4395" w:rsidRPr="009E6326" w:rsidRDefault="007C4395" w:rsidP="008507F3">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743</w:t>
            </w:r>
          </w:p>
        </w:tc>
        <w:tc>
          <w:tcPr>
            <w:tcW w:w="634" w:type="pct"/>
            <w:shd w:val="clear" w:color="auto" w:fill="DDEAEE"/>
          </w:tcPr>
          <w:p w14:paraId="68C0D7CB" w14:textId="77777777" w:rsidR="007C4395" w:rsidRPr="009E6326" w:rsidRDefault="007C4395" w:rsidP="008507F3">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649</w:t>
            </w:r>
          </w:p>
        </w:tc>
      </w:tr>
      <w:tr w:rsidR="000D4E74" w14:paraId="65211477" w14:textId="77777777" w:rsidTr="00B121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EEF6F7"/>
          </w:tcPr>
          <w:p w14:paraId="351C0BA5" w14:textId="77777777" w:rsidR="007C4395" w:rsidRPr="009E6326" w:rsidRDefault="007C4395" w:rsidP="008507F3">
            <w:pPr>
              <w:pStyle w:val="71B0"/>
              <w:spacing w:line="240" w:lineRule="auto"/>
              <w:rPr>
                <w:b/>
                <w:bCs/>
                <w:rtl/>
              </w:rPr>
            </w:pPr>
            <w:r w:rsidRPr="009E6326">
              <w:rPr>
                <w:rFonts w:hint="cs"/>
                <w:b/>
                <w:bCs/>
                <w:rtl/>
              </w:rPr>
              <w:t>חייבים ויתרות חובה לזמן ארוך בגין עסקאות שאינן חליפין</w:t>
            </w:r>
          </w:p>
        </w:tc>
        <w:tc>
          <w:tcPr>
            <w:tcW w:w="572" w:type="pct"/>
            <w:shd w:val="clear" w:color="auto" w:fill="EEF6F7"/>
          </w:tcPr>
          <w:p w14:paraId="0FF7763C" w14:textId="77777777" w:rsidR="007C4395" w:rsidRPr="009E6326" w:rsidRDefault="007C4395" w:rsidP="008507F3">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p>
        </w:tc>
        <w:tc>
          <w:tcPr>
            <w:tcW w:w="634" w:type="pct"/>
            <w:shd w:val="clear" w:color="auto" w:fill="EEF6F7"/>
          </w:tcPr>
          <w:p w14:paraId="237FA59A" w14:textId="77777777" w:rsidR="007C4395" w:rsidRPr="009E6326" w:rsidRDefault="007C4395" w:rsidP="008507F3">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p>
        </w:tc>
        <w:tc>
          <w:tcPr>
            <w:tcW w:w="634" w:type="pct"/>
            <w:shd w:val="clear" w:color="auto" w:fill="EEF6F7"/>
          </w:tcPr>
          <w:p w14:paraId="7300DB8F" w14:textId="77777777" w:rsidR="007C4395" w:rsidRPr="009E6326" w:rsidRDefault="007C4395" w:rsidP="008507F3">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p>
        </w:tc>
        <w:tc>
          <w:tcPr>
            <w:tcW w:w="634" w:type="pct"/>
            <w:shd w:val="clear" w:color="auto" w:fill="EEF6F7"/>
          </w:tcPr>
          <w:p w14:paraId="02F3FC42" w14:textId="77777777" w:rsidR="007C4395" w:rsidRPr="009E6326" w:rsidRDefault="007C4395" w:rsidP="008507F3">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p>
        </w:tc>
      </w:tr>
      <w:tr w:rsidR="000D4E74" w14:paraId="1ECDE5F7" w14:textId="77777777" w:rsidTr="00B12199">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DDEAEE"/>
          </w:tcPr>
          <w:p w14:paraId="411B04AE" w14:textId="77777777" w:rsidR="007C4395" w:rsidRPr="009E6326" w:rsidRDefault="007C4395" w:rsidP="008507F3">
            <w:pPr>
              <w:pStyle w:val="71R"/>
              <w:spacing w:line="240" w:lineRule="auto"/>
              <w:rPr>
                <w:b w:val="0"/>
                <w:bCs w:val="0"/>
                <w:rtl/>
              </w:rPr>
            </w:pPr>
            <w:r w:rsidRPr="009E6326">
              <w:rPr>
                <w:rFonts w:hint="cs"/>
                <w:b w:val="0"/>
                <w:bCs w:val="0"/>
                <w:rtl/>
              </w:rPr>
              <w:t>גבייה לאוצר המדינה, ברוטו</w:t>
            </w:r>
          </w:p>
        </w:tc>
        <w:tc>
          <w:tcPr>
            <w:tcW w:w="572" w:type="pct"/>
            <w:shd w:val="clear" w:color="auto" w:fill="DDEAEE"/>
          </w:tcPr>
          <w:p w14:paraId="448F63D3" w14:textId="77777777" w:rsidR="007C4395" w:rsidRPr="009E6326" w:rsidRDefault="007C4395" w:rsidP="008507F3">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3,440</w:t>
            </w:r>
          </w:p>
        </w:tc>
        <w:tc>
          <w:tcPr>
            <w:tcW w:w="634" w:type="pct"/>
            <w:shd w:val="clear" w:color="auto" w:fill="DDEAEE"/>
          </w:tcPr>
          <w:p w14:paraId="4BF55C9C" w14:textId="77777777" w:rsidR="007C4395" w:rsidRPr="009E6326" w:rsidRDefault="007C4395" w:rsidP="008507F3">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2,696</w:t>
            </w:r>
          </w:p>
        </w:tc>
        <w:tc>
          <w:tcPr>
            <w:tcW w:w="634" w:type="pct"/>
            <w:shd w:val="clear" w:color="auto" w:fill="DDEAEE"/>
          </w:tcPr>
          <w:p w14:paraId="1EEEA70A" w14:textId="77777777" w:rsidR="007C4395" w:rsidRPr="009E6326" w:rsidRDefault="007C4395" w:rsidP="008507F3">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2,659</w:t>
            </w:r>
          </w:p>
        </w:tc>
        <w:tc>
          <w:tcPr>
            <w:tcW w:w="634" w:type="pct"/>
            <w:shd w:val="clear" w:color="auto" w:fill="DDEAEE"/>
          </w:tcPr>
          <w:p w14:paraId="448AE05B" w14:textId="77777777" w:rsidR="007C4395" w:rsidRPr="009E6326" w:rsidRDefault="007C4395" w:rsidP="008507F3">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2,547</w:t>
            </w:r>
          </w:p>
        </w:tc>
      </w:tr>
      <w:tr w:rsidR="009E6326" w14:paraId="17FBB74A" w14:textId="77777777" w:rsidTr="00B121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EEF6F7"/>
          </w:tcPr>
          <w:p w14:paraId="5BFC0594" w14:textId="77777777" w:rsidR="007C4395" w:rsidRPr="009E6326" w:rsidRDefault="007C4395" w:rsidP="008507F3">
            <w:pPr>
              <w:pStyle w:val="71R"/>
              <w:spacing w:line="240" w:lineRule="auto"/>
              <w:rPr>
                <w:b w:val="0"/>
                <w:bCs w:val="0"/>
                <w:rtl/>
              </w:rPr>
            </w:pPr>
            <w:r w:rsidRPr="009E6326">
              <w:rPr>
                <w:rFonts w:hint="cs"/>
                <w:b w:val="0"/>
                <w:bCs w:val="0"/>
                <w:rtl/>
              </w:rPr>
              <w:t>הפרשה בגין גבייה לאוצר המדינה</w:t>
            </w:r>
          </w:p>
        </w:tc>
        <w:tc>
          <w:tcPr>
            <w:tcW w:w="572" w:type="pct"/>
            <w:shd w:val="clear" w:color="auto" w:fill="EEF6F7"/>
          </w:tcPr>
          <w:p w14:paraId="6E6ED83A" w14:textId="77777777" w:rsidR="007C4395" w:rsidRPr="008132F7" w:rsidRDefault="007C4395" w:rsidP="008507F3">
            <w:pPr>
              <w:pStyle w:val="71R"/>
              <w:spacing w:line="240" w:lineRule="auto"/>
              <w:cnfStyle w:val="000000100000" w:firstRow="0" w:lastRow="0" w:firstColumn="0" w:lastColumn="0" w:oddVBand="0" w:evenVBand="0" w:oddHBand="1" w:evenHBand="0" w:firstRowFirstColumn="0" w:firstRowLastColumn="0" w:lastRowFirstColumn="0" w:lastRowLastColumn="0"/>
              <w:rPr>
                <w:u w:val="single"/>
                <w:rtl/>
              </w:rPr>
            </w:pPr>
            <w:r w:rsidRPr="008132F7">
              <w:rPr>
                <w:rFonts w:hint="cs"/>
                <w:u w:val="single"/>
                <w:rtl/>
              </w:rPr>
              <w:t>(2,436)</w:t>
            </w:r>
          </w:p>
        </w:tc>
        <w:tc>
          <w:tcPr>
            <w:tcW w:w="634" w:type="pct"/>
            <w:shd w:val="clear" w:color="auto" w:fill="EEF6F7"/>
          </w:tcPr>
          <w:p w14:paraId="2D6A24A1" w14:textId="77777777" w:rsidR="007C4395" w:rsidRPr="008132F7" w:rsidRDefault="007C4395" w:rsidP="008507F3">
            <w:pPr>
              <w:pStyle w:val="71R"/>
              <w:spacing w:line="240" w:lineRule="auto"/>
              <w:cnfStyle w:val="000000100000" w:firstRow="0" w:lastRow="0" w:firstColumn="0" w:lastColumn="0" w:oddVBand="0" w:evenVBand="0" w:oddHBand="1" w:evenHBand="0" w:firstRowFirstColumn="0" w:firstRowLastColumn="0" w:lastRowFirstColumn="0" w:lastRowLastColumn="0"/>
              <w:rPr>
                <w:u w:val="single"/>
                <w:rtl/>
              </w:rPr>
            </w:pPr>
            <w:r w:rsidRPr="008132F7">
              <w:rPr>
                <w:rFonts w:hint="cs"/>
                <w:u w:val="single"/>
                <w:rtl/>
              </w:rPr>
              <w:t>(1,939)</w:t>
            </w:r>
          </w:p>
        </w:tc>
        <w:tc>
          <w:tcPr>
            <w:tcW w:w="634" w:type="pct"/>
            <w:shd w:val="clear" w:color="auto" w:fill="EEF6F7"/>
          </w:tcPr>
          <w:p w14:paraId="5C0BFC31" w14:textId="77777777" w:rsidR="007C4395" w:rsidRPr="008132F7" w:rsidRDefault="007C4395" w:rsidP="008507F3">
            <w:pPr>
              <w:pStyle w:val="71R"/>
              <w:spacing w:line="240" w:lineRule="auto"/>
              <w:cnfStyle w:val="000000100000" w:firstRow="0" w:lastRow="0" w:firstColumn="0" w:lastColumn="0" w:oddVBand="0" w:evenVBand="0" w:oddHBand="1" w:evenHBand="0" w:firstRowFirstColumn="0" w:firstRowLastColumn="0" w:lastRowFirstColumn="0" w:lastRowLastColumn="0"/>
              <w:rPr>
                <w:u w:val="single"/>
                <w:rtl/>
              </w:rPr>
            </w:pPr>
            <w:r w:rsidRPr="008132F7">
              <w:rPr>
                <w:rFonts w:hint="cs"/>
                <w:u w:val="single"/>
                <w:rtl/>
              </w:rPr>
              <w:t>(1,922)</w:t>
            </w:r>
          </w:p>
        </w:tc>
        <w:tc>
          <w:tcPr>
            <w:tcW w:w="634" w:type="pct"/>
            <w:shd w:val="clear" w:color="auto" w:fill="EEF6F7"/>
          </w:tcPr>
          <w:p w14:paraId="52D6DD7C" w14:textId="77777777" w:rsidR="007C4395" w:rsidRPr="008132F7" w:rsidRDefault="007C4395" w:rsidP="008507F3">
            <w:pPr>
              <w:pStyle w:val="71R"/>
              <w:spacing w:line="240" w:lineRule="auto"/>
              <w:cnfStyle w:val="000000100000" w:firstRow="0" w:lastRow="0" w:firstColumn="0" w:lastColumn="0" w:oddVBand="0" w:evenVBand="0" w:oddHBand="1" w:evenHBand="0" w:firstRowFirstColumn="0" w:firstRowLastColumn="0" w:lastRowFirstColumn="0" w:lastRowLastColumn="0"/>
              <w:rPr>
                <w:u w:val="single"/>
                <w:rtl/>
              </w:rPr>
            </w:pPr>
            <w:r w:rsidRPr="008132F7">
              <w:rPr>
                <w:rFonts w:hint="cs"/>
                <w:u w:val="single"/>
                <w:rtl/>
              </w:rPr>
              <w:t>(1,804)</w:t>
            </w:r>
          </w:p>
        </w:tc>
      </w:tr>
      <w:tr w:rsidR="00B12199" w14:paraId="53AA0CBF" w14:textId="77777777" w:rsidTr="00B12199">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DDEAEE"/>
          </w:tcPr>
          <w:p w14:paraId="44D28279" w14:textId="693781C3" w:rsidR="00B12199" w:rsidRPr="009E6326" w:rsidRDefault="00B12199" w:rsidP="00B12199">
            <w:pPr>
              <w:pStyle w:val="71R"/>
              <w:spacing w:line="240" w:lineRule="auto"/>
              <w:rPr>
                <w:rtl/>
              </w:rPr>
            </w:pPr>
            <w:r w:rsidRPr="009E6326">
              <w:rPr>
                <w:rFonts w:hint="cs"/>
                <w:b w:val="0"/>
                <w:bCs w:val="0"/>
                <w:rtl/>
              </w:rPr>
              <w:t>גבייה לאוצר המדינה, נטו</w:t>
            </w:r>
          </w:p>
        </w:tc>
        <w:tc>
          <w:tcPr>
            <w:tcW w:w="572" w:type="pct"/>
            <w:shd w:val="clear" w:color="auto" w:fill="DDEAEE"/>
          </w:tcPr>
          <w:p w14:paraId="5AE446F4" w14:textId="1179FDEB" w:rsidR="00B12199" w:rsidRPr="009E6326" w:rsidRDefault="00B12199" w:rsidP="00B12199">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1,004</w:t>
            </w:r>
          </w:p>
        </w:tc>
        <w:tc>
          <w:tcPr>
            <w:tcW w:w="634" w:type="pct"/>
            <w:shd w:val="clear" w:color="auto" w:fill="DDEAEE"/>
          </w:tcPr>
          <w:p w14:paraId="0282E72B" w14:textId="100EDF50" w:rsidR="00B12199" w:rsidRPr="009E6326" w:rsidRDefault="00B12199" w:rsidP="00B12199">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757</w:t>
            </w:r>
          </w:p>
        </w:tc>
        <w:tc>
          <w:tcPr>
            <w:tcW w:w="634" w:type="pct"/>
            <w:shd w:val="clear" w:color="auto" w:fill="DDEAEE"/>
          </w:tcPr>
          <w:p w14:paraId="72EB1F01" w14:textId="2599C9B8" w:rsidR="00B12199" w:rsidRPr="009E6326" w:rsidRDefault="00B12199" w:rsidP="00B12199">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737</w:t>
            </w:r>
          </w:p>
        </w:tc>
        <w:tc>
          <w:tcPr>
            <w:tcW w:w="634" w:type="pct"/>
            <w:shd w:val="clear" w:color="auto" w:fill="DDEAEE"/>
          </w:tcPr>
          <w:p w14:paraId="41116705" w14:textId="17DC6087" w:rsidR="00B12199" w:rsidRPr="009E6326" w:rsidRDefault="00B12199" w:rsidP="00B12199">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743</w:t>
            </w:r>
          </w:p>
        </w:tc>
      </w:tr>
      <w:tr w:rsidR="009E6326" w14:paraId="1D196C55" w14:textId="77777777" w:rsidTr="00B121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EFF7F8"/>
          </w:tcPr>
          <w:p w14:paraId="2EB3522C" w14:textId="7C6FD5DC" w:rsidR="007C4395" w:rsidRPr="009E6326" w:rsidRDefault="007C4395" w:rsidP="008507F3">
            <w:pPr>
              <w:pStyle w:val="71R"/>
              <w:spacing w:line="240" w:lineRule="auto"/>
              <w:rPr>
                <w:b w:val="0"/>
                <w:bCs w:val="0"/>
                <w:rtl/>
              </w:rPr>
            </w:pPr>
          </w:p>
        </w:tc>
        <w:tc>
          <w:tcPr>
            <w:tcW w:w="572" w:type="pct"/>
            <w:shd w:val="clear" w:color="auto" w:fill="EFF7F8"/>
          </w:tcPr>
          <w:p w14:paraId="306435FB" w14:textId="696C4950" w:rsidR="007C4395" w:rsidRPr="009E6326" w:rsidRDefault="007C4395" w:rsidP="008507F3">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p>
        </w:tc>
        <w:tc>
          <w:tcPr>
            <w:tcW w:w="634" w:type="pct"/>
            <w:shd w:val="clear" w:color="auto" w:fill="EFF7F8"/>
          </w:tcPr>
          <w:p w14:paraId="0F77A96A" w14:textId="7A456D95" w:rsidR="007C4395" w:rsidRPr="009E6326" w:rsidRDefault="007C4395" w:rsidP="008507F3">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p>
        </w:tc>
        <w:tc>
          <w:tcPr>
            <w:tcW w:w="634" w:type="pct"/>
            <w:shd w:val="clear" w:color="auto" w:fill="EFF7F8"/>
          </w:tcPr>
          <w:p w14:paraId="7CAB0911" w14:textId="5489E011" w:rsidR="007C4395" w:rsidRPr="009E6326" w:rsidRDefault="007C4395" w:rsidP="008507F3">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p>
        </w:tc>
        <w:tc>
          <w:tcPr>
            <w:tcW w:w="634" w:type="pct"/>
            <w:shd w:val="clear" w:color="auto" w:fill="EFF7F8"/>
          </w:tcPr>
          <w:p w14:paraId="4887CEE8" w14:textId="4865DE97" w:rsidR="007C4395" w:rsidRPr="009E6326" w:rsidRDefault="007C4395" w:rsidP="008507F3">
            <w:pPr>
              <w:pStyle w:val="71R"/>
              <w:spacing w:line="240" w:lineRule="auto"/>
              <w:cnfStyle w:val="000000100000" w:firstRow="0" w:lastRow="0" w:firstColumn="0" w:lastColumn="0" w:oddVBand="0" w:evenVBand="0" w:oddHBand="1" w:evenHBand="0" w:firstRowFirstColumn="0" w:firstRowLastColumn="0" w:lastRowFirstColumn="0" w:lastRowLastColumn="0"/>
              <w:rPr>
                <w:rtl/>
              </w:rPr>
            </w:pPr>
          </w:p>
        </w:tc>
      </w:tr>
      <w:tr w:rsidR="000D4E74" w14:paraId="60A969F6" w14:textId="77777777" w:rsidTr="00B12199">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DEEBEE"/>
          </w:tcPr>
          <w:p w14:paraId="29EB2C85" w14:textId="77777777" w:rsidR="007C4395" w:rsidRPr="009E6326" w:rsidRDefault="007C4395" w:rsidP="008507F3">
            <w:pPr>
              <w:pStyle w:val="71R"/>
              <w:spacing w:line="240" w:lineRule="auto"/>
              <w:rPr>
                <w:b w:val="0"/>
                <w:bCs w:val="0"/>
                <w:rtl/>
              </w:rPr>
            </w:pPr>
            <w:r w:rsidRPr="009E6326">
              <w:rPr>
                <w:rFonts w:hint="cs"/>
                <w:b w:val="0"/>
                <w:bCs w:val="0"/>
                <w:rtl/>
              </w:rPr>
              <w:t>גבייה למשרדי הממשלה</w:t>
            </w:r>
          </w:p>
        </w:tc>
        <w:tc>
          <w:tcPr>
            <w:tcW w:w="572" w:type="pct"/>
            <w:shd w:val="clear" w:color="auto" w:fill="DEEBEE"/>
          </w:tcPr>
          <w:p w14:paraId="3E17B339" w14:textId="77777777" w:rsidR="007C4395" w:rsidRPr="009E6326" w:rsidRDefault="007C4395" w:rsidP="008507F3">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836</w:t>
            </w:r>
          </w:p>
        </w:tc>
        <w:tc>
          <w:tcPr>
            <w:tcW w:w="634" w:type="pct"/>
            <w:shd w:val="clear" w:color="auto" w:fill="DEEBEE"/>
          </w:tcPr>
          <w:p w14:paraId="2E43616F" w14:textId="77777777" w:rsidR="007C4395" w:rsidRPr="009E6326" w:rsidRDefault="007C4395" w:rsidP="008507F3">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715</w:t>
            </w:r>
          </w:p>
        </w:tc>
        <w:tc>
          <w:tcPr>
            <w:tcW w:w="634" w:type="pct"/>
            <w:shd w:val="clear" w:color="auto" w:fill="DEEBEE"/>
          </w:tcPr>
          <w:p w14:paraId="69FD9CFD" w14:textId="77777777" w:rsidR="007C4395" w:rsidRPr="009E6326" w:rsidRDefault="007C4395" w:rsidP="008507F3">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711</w:t>
            </w:r>
          </w:p>
        </w:tc>
        <w:tc>
          <w:tcPr>
            <w:tcW w:w="634" w:type="pct"/>
            <w:shd w:val="clear" w:color="auto" w:fill="DEEBEE"/>
          </w:tcPr>
          <w:p w14:paraId="417C828E" w14:textId="77777777" w:rsidR="007C4395" w:rsidRPr="009E6326" w:rsidRDefault="007C4395" w:rsidP="008507F3">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625</w:t>
            </w:r>
          </w:p>
        </w:tc>
      </w:tr>
      <w:tr w:rsidR="000D4E74" w14:paraId="580303B9" w14:textId="77777777" w:rsidTr="00B121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tcBorders>
            <w:shd w:val="clear" w:color="auto" w:fill="C8DCE4"/>
          </w:tcPr>
          <w:p w14:paraId="5E52DD2E" w14:textId="77777777" w:rsidR="007C4395" w:rsidRPr="009E6326" w:rsidRDefault="007C4395" w:rsidP="008507F3">
            <w:pPr>
              <w:pStyle w:val="71B0"/>
              <w:spacing w:line="240" w:lineRule="auto"/>
              <w:rPr>
                <w:b/>
                <w:bCs/>
                <w:rtl/>
              </w:rPr>
            </w:pPr>
            <w:r w:rsidRPr="009E6326">
              <w:rPr>
                <w:rFonts w:hint="cs"/>
                <w:b/>
                <w:bCs/>
                <w:rtl/>
              </w:rPr>
              <w:t>סך הכול חייבים לזמן ארוך</w:t>
            </w:r>
          </w:p>
        </w:tc>
        <w:tc>
          <w:tcPr>
            <w:tcW w:w="572" w:type="pct"/>
            <w:shd w:val="clear" w:color="auto" w:fill="C8DCE4"/>
          </w:tcPr>
          <w:p w14:paraId="2BFC0D3F" w14:textId="77777777" w:rsidR="007C4395" w:rsidRPr="009E6326" w:rsidRDefault="007C4395" w:rsidP="008507F3">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1,840</w:t>
            </w:r>
          </w:p>
        </w:tc>
        <w:tc>
          <w:tcPr>
            <w:tcW w:w="634" w:type="pct"/>
            <w:shd w:val="clear" w:color="auto" w:fill="C8DCE4"/>
          </w:tcPr>
          <w:p w14:paraId="7F94F410" w14:textId="77777777" w:rsidR="007C4395" w:rsidRPr="009E6326" w:rsidRDefault="007C4395" w:rsidP="008507F3">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1,472</w:t>
            </w:r>
          </w:p>
        </w:tc>
        <w:tc>
          <w:tcPr>
            <w:tcW w:w="634" w:type="pct"/>
            <w:shd w:val="clear" w:color="auto" w:fill="C8DCE4"/>
          </w:tcPr>
          <w:p w14:paraId="10640346" w14:textId="77777777" w:rsidR="007C4395" w:rsidRPr="009E6326" w:rsidRDefault="007C4395" w:rsidP="008507F3">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1,448</w:t>
            </w:r>
          </w:p>
        </w:tc>
        <w:tc>
          <w:tcPr>
            <w:tcW w:w="634" w:type="pct"/>
            <w:shd w:val="clear" w:color="auto" w:fill="C8DCE4"/>
          </w:tcPr>
          <w:p w14:paraId="67DE58D6" w14:textId="77777777" w:rsidR="007C4395" w:rsidRPr="009E6326" w:rsidRDefault="007C4395" w:rsidP="008507F3">
            <w:pPr>
              <w:pStyle w:val="71B0"/>
              <w:spacing w:line="240" w:lineRule="auto"/>
              <w:cnfStyle w:val="000000100000" w:firstRow="0" w:lastRow="0" w:firstColumn="0" w:lastColumn="0" w:oddVBand="0" w:evenVBand="0" w:oddHBand="1" w:evenHBand="0" w:firstRowFirstColumn="0" w:firstRowLastColumn="0" w:lastRowFirstColumn="0" w:lastRowLastColumn="0"/>
              <w:rPr>
                <w:rtl/>
              </w:rPr>
            </w:pPr>
            <w:r w:rsidRPr="009E6326">
              <w:rPr>
                <w:rFonts w:hint="cs"/>
                <w:rtl/>
              </w:rPr>
              <w:t>1,368</w:t>
            </w:r>
          </w:p>
        </w:tc>
      </w:tr>
      <w:tr w:rsidR="000D4E74" w14:paraId="19C2EABA" w14:textId="77777777" w:rsidTr="00B12199">
        <w:tc>
          <w:tcPr>
            <w:cnfStyle w:val="001000000000" w:firstRow="0" w:lastRow="0" w:firstColumn="1" w:lastColumn="0" w:oddVBand="0" w:evenVBand="0" w:oddHBand="0" w:evenHBand="0" w:firstRowFirstColumn="0" w:firstRowLastColumn="0" w:lastRowFirstColumn="0" w:lastRowLastColumn="0"/>
            <w:tcW w:w="2526" w:type="pct"/>
            <w:tcBorders>
              <w:left w:val="none" w:sz="0" w:space="0" w:color="auto"/>
              <w:bottom w:val="none" w:sz="0" w:space="0" w:color="auto"/>
            </w:tcBorders>
            <w:shd w:val="clear" w:color="auto" w:fill="B6CBD4"/>
            <w:hideMark/>
          </w:tcPr>
          <w:p w14:paraId="672F7B82" w14:textId="77777777" w:rsidR="007C4395" w:rsidRPr="009E6326" w:rsidRDefault="007C4395" w:rsidP="008507F3">
            <w:pPr>
              <w:pStyle w:val="71B0"/>
              <w:spacing w:line="240" w:lineRule="auto"/>
              <w:rPr>
                <w:b/>
                <w:bCs/>
                <w:rtl/>
              </w:rPr>
            </w:pPr>
            <w:r w:rsidRPr="009E6326">
              <w:rPr>
                <w:rFonts w:hint="cs"/>
                <w:b/>
                <w:bCs/>
                <w:rtl/>
              </w:rPr>
              <w:t>סך הכול חייבים</w:t>
            </w:r>
          </w:p>
        </w:tc>
        <w:tc>
          <w:tcPr>
            <w:tcW w:w="572" w:type="pct"/>
            <w:shd w:val="clear" w:color="auto" w:fill="B6CBD4"/>
          </w:tcPr>
          <w:p w14:paraId="23A21E4B" w14:textId="77777777" w:rsidR="007C4395" w:rsidRPr="009E6326" w:rsidRDefault="007C4395" w:rsidP="008507F3">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2,735</w:t>
            </w:r>
          </w:p>
        </w:tc>
        <w:tc>
          <w:tcPr>
            <w:tcW w:w="634" w:type="pct"/>
            <w:shd w:val="clear" w:color="auto" w:fill="B6CBD4"/>
          </w:tcPr>
          <w:p w14:paraId="1D70E496" w14:textId="77777777" w:rsidR="007C4395" w:rsidRPr="009E6326" w:rsidRDefault="007C4395" w:rsidP="008507F3">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2,237</w:t>
            </w:r>
          </w:p>
        </w:tc>
        <w:tc>
          <w:tcPr>
            <w:tcW w:w="634" w:type="pct"/>
            <w:shd w:val="clear" w:color="auto" w:fill="B6CBD4"/>
          </w:tcPr>
          <w:p w14:paraId="0EFE10F5" w14:textId="77777777" w:rsidR="007C4395" w:rsidRPr="009E6326" w:rsidRDefault="007C4395" w:rsidP="008507F3">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2,191</w:t>
            </w:r>
          </w:p>
        </w:tc>
        <w:tc>
          <w:tcPr>
            <w:tcW w:w="634" w:type="pct"/>
            <w:shd w:val="clear" w:color="auto" w:fill="B6CBD4"/>
          </w:tcPr>
          <w:p w14:paraId="43DD3EE7" w14:textId="77777777" w:rsidR="007C4395" w:rsidRPr="009E6326" w:rsidRDefault="007C4395" w:rsidP="008507F3">
            <w:pPr>
              <w:pStyle w:val="71B0"/>
              <w:spacing w:line="240" w:lineRule="auto"/>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2,017</w:t>
            </w:r>
          </w:p>
        </w:tc>
      </w:tr>
    </w:tbl>
    <w:p w14:paraId="65B3ADFF" w14:textId="46D67D97" w:rsidR="007C4395" w:rsidRPr="00010778" w:rsidRDefault="007C4395" w:rsidP="00010778">
      <w:pPr>
        <w:pStyle w:val="71c"/>
        <w:rPr>
          <w:rtl/>
        </w:rPr>
      </w:pPr>
      <w:r w:rsidRPr="00010778">
        <w:rPr>
          <w:rFonts w:hint="eastAsia"/>
          <w:rtl/>
        </w:rPr>
        <w:t>על</w:t>
      </w:r>
      <w:r w:rsidRPr="00010778">
        <w:rPr>
          <w:rtl/>
        </w:rPr>
        <w:t xml:space="preserve"> פי </w:t>
      </w:r>
      <w:r w:rsidRPr="00010778">
        <w:rPr>
          <w:rFonts w:hint="eastAsia"/>
          <w:rtl/>
        </w:rPr>
        <w:t>הדוחות</w:t>
      </w:r>
      <w:r w:rsidRPr="00010778">
        <w:rPr>
          <w:rtl/>
        </w:rPr>
        <w:t xml:space="preserve"> </w:t>
      </w:r>
      <w:r w:rsidRPr="00010778">
        <w:rPr>
          <w:rFonts w:hint="eastAsia"/>
          <w:rtl/>
        </w:rPr>
        <w:t>הכספיים</w:t>
      </w:r>
      <w:r w:rsidRPr="00010778">
        <w:rPr>
          <w:rtl/>
        </w:rPr>
        <w:t xml:space="preserve"> </w:t>
      </w:r>
      <w:r w:rsidRPr="00010778">
        <w:rPr>
          <w:rFonts w:hint="eastAsia"/>
          <w:rtl/>
        </w:rPr>
        <w:t>של</w:t>
      </w:r>
      <w:r w:rsidRPr="00010778">
        <w:rPr>
          <w:rtl/>
        </w:rPr>
        <w:t xml:space="preserve"> </w:t>
      </w:r>
      <w:r w:rsidRPr="00010778">
        <w:rPr>
          <w:rFonts w:hint="eastAsia"/>
          <w:rtl/>
        </w:rPr>
        <w:t>הרשות</w:t>
      </w:r>
      <w:r w:rsidRPr="00010778">
        <w:rPr>
          <w:rtl/>
        </w:rPr>
        <w:t xml:space="preserve"> </w:t>
      </w:r>
      <w:r w:rsidRPr="00010778">
        <w:rPr>
          <w:rFonts w:hint="eastAsia"/>
          <w:rtl/>
        </w:rPr>
        <w:t>ונתונים</w:t>
      </w:r>
      <w:r w:rsidRPr="00010778">
        <w:rPr>
          <w:rtl/>
        </w:rPr>
        <w:t xml:space="preserve"> </w:t>
      </w:r>
      <w:r w:rsidRPr="00010778">
        <w:rPr>
          <w:rFonts w:hint="eastAsia"/>
          <w:rtl/>
        </w:rPr>
        <w:t>שהעבירה</w:t>
      </w:r>
      <w:r w:rsidRPr="00010778">
        <w:rPr>
          <w:rtl/>
        </w:rPr>
        <w:t xml:space="preserve"> </w:t>
      </w:r>
      <w:r w:rsidRPr="00010778">
        <w:rPr>
          <w:rFonts w:hint="eastAsia"/>
          <w:rtl/>
        </w:rPr>
        <w:t>הרשות</w:t>
      </w:r>
      <w:r w:rsidRPr="00010778">
        <w:rPr>
          <w:rtl/>
        </w:rPr>
        <w:t>, בעיבוד משרד מבקר המדינה.</w:t>
      </w:r>
    </w:p>
    <w:p w14:paraId="3926F3F7" w14:textId="77777777" w:rsidR="007C4395" w:rsidRDefault="007C4395" w:rsidP="002A738D">
      <w:pPr>
        <w:pStyle w:val="7190"/>
        <w:rPr>
          <w:rtl/>
        </w:rPr>
      </w:pPr>
      <w:r>
        <w:rPr>
          <w:rFonts w:hint="cs"/>
          <w:rtl/>
        </w:rPr>
        <w:t xml:space="preserve">מהלוח שלעיל עולה כי סכום יתרות החיובים והחובות שבטיפול </w:t>
      </w:r>
      <w:proofErr w:type="spellStart"/>
      <w:r>
        <w:rPr>
          <w:rFonts w:hint="cs"/>
          <w:rtl/>
        </w:rPr>
        <w:t>המג"ק</w:t>
      </w:r>
      <w:proofErr w:type="spellEnd"/>
      <w:r>
        <w:rPr>
          <w:rFonts w:hint="cs"/>
          <w:rtl/>
        </w:rPr>
        <w:t xml:space="preserve"> ונגבים עבור המדינה עלה במשך השנים (לדוגמה, עלייה של כ-22% משנת 2019 לשנת 2020).</w:t>
      </w:r>
    </w:p>
    <w:p w14:paraId="266A2CE3" w14:textId="77777777" w:rsidR="007C4395" w:rsidRPr="000A216E" w:rsidRDefault="007C4395" w:rsidP="007C4395">
      <w:pPr>
        <w:bidi w:val="0"/>
        <w:spacing w:after="200" w:line="276" w:lineRule="auto"/>
        <w:rPr>
          <w:rtl/>
        </w:rPr>
      </w:pPr>
      <w:r>
        <w:rPr>
          <w:rtl/>
        </w:rPr>
        <w:br w:type="page"/>
      </w:r>
    </w:p>
    <w:p w14:paraId="5248D85B" w14:textId="77777777" w:rsidR="007C4395" w:rsidRDefault="007C4395" w:rsidP="006F4D0D">
      <w:pPr>
        <w:pStyle w:val="71a"/>
        <w:rPr>
          <w:rtl/>
        </w:rPr>
      </w:pPr>
      <w:r w:rsidRPr="006F4D0D">
        <w:rPr>
          <w:rFonts w:hint="eastAsia"/>
          <w:b w:val="0"/>
          <w:bCs w:val="0"/>
          <w:rtl/>
        </w:rPr>
        <w:lastRenderedPageBreak/>
        <w:t>תרשים</w:t>
      </w:r>
      <w:r w:rsidRPr="006F4D0D">
        <w:rPr>
          <w:b w:val="0"/>
          <w:bCs w:val="0"/>
          <w:rtl/>
        </w:rPr>
        <w:t xml:space="preserve"> </w:t>
      </w:r>
      <w:r w:rsidRPr="006F4D0D">
        <w:rPr>
          <w:rFonts w:hint="cs"/>
          <w:b w:val="0"/>
          <w:bCs w:val="0"/>
          <w:rtl/>
        </w:rPr>
        <w:t>20</w:t>
      </w:r>
      <w:r w:rsidRPr="006F4D0D">
        <w:rPr>
          <w:b w:val="0"/>
          <w:bCs w:val="0"/>
          <w:rtl/>
        </w:rPr>
        <w:t>:</w:t>
      </w:r>
      <w:r>
        <w:rPr>
          <w:rFonts w:hint="cs"/>
          <w:rtl/>
        </w:rPr>
        <w:t xml:space="preserve"> </w:t>
      </w:r>
      <w:r w:rsidRPr="00941C87">
        <w:rPr>
          <w:rFonts w:hint="eastAsia"/>
          <w:rtl/>
        </w:rPr>
        <w:t>נתוני</w:t>
      </w:r>
      <w:r w:rsidRPr="00941C87">
        <w:rPr>
          <w:rtl/>
        </w:rPr>
        <w:t xml:space="preserve"> </w:t>
      </w:r>
      <w:r>
        <w:rPr>
          <w:rFonts w:hint="cs"/>
          <w:rtl/>
        </w:rPr>
        <w:t>החיובים וה</w:t>
      </w:r>
      <w:r w:rsidRPr="00941C87">
        <w:rPr>
          <w:rFonts w:hint="eastAsia"/>
          <w:rtl/>
        </w:rPr>
        <w:t>חובות</w:t>
      </w:r>
      <w:r w:rsidRPr="00941C87">
        <w:rPr>
          <w:rtl/>
        </w:rPr>
        <w:t xml:space="preserve"> </w:t>
      </w:r>
      <w:r>
        <w:rPr>
          <w:rFonts w:hint="cs"/>
          <w:rtl/>
        </w:rPr>
        <w:t xml:space="preserve">למדינה שבטיפול </w:t>
      </w:r>
      <w:proofErr w:type="spellStart"/>
      <w:r>
        <w:rPr>
          <w:rFonts w:hint="cs"/>
          <w:rtl/>
        </w:rPr>
        <w:t>המג"ק</w:t>
      </w:r>
      <w:proofErr w:type="spellEnd"/>
      <w:r w:rsidRPr="00941C87">
        <w:rPr>
          <w:rtl/>
        </w:rPr>
        <w:t xml:space="preserve"> (</w:t>
      </w:r>
      <w:r>
        <w:rPr>
          <w:rFonts w:hint="cs"/>
          <w:rtl/>
        </w:rPr>
        <w:t xml:space="preserve">בחלוקה </w:t>
      </w:r>
      <w:r w:rsidRPr="00941C87">
        <w:rPr>
          <w:rtl/>
        </w:rPr>
        <w:t xml:space="preserve">לפי </w:t>
      </w:r>
      <w:r w:rsidRPr="00941C87">
        <w:rPr>
          <w:rFonts w:hint="eastAsia"/>
          <w:rtl/>
        </w:rPr>
        <w:t>גבייה</w:t>
      </w:r>
      <w:r w:rsidRPr="00941C87">
        <w:rPr>
          <w:rtl/>
        </w:rPr>
        <w:t xml:space="preserve"> </w:t>
      </w:r>
      <w:r w:rsidRPr="00941C87">
        <w:rPr>
          <w:rFonts w:hint="eastAsia"/>
          <w:rtl/>
        </w:rPr>
        <w:t>לאוצר</w:t>
      </w:r>
      <w:r w:rsidRPr="00941C87">
        <w:rPr>
          <w:rtl/>
        </w:rPr>
        <w:t xml:space="preserve"> </w:t>
      </w:r>
      <w:r w:rsidRPr="00941C87">
        <w:rPr>
          <w:rFonts w:hint="eastAsia"/>
          <w:rtl/>
        </w:rPr>
        <w:t>המדינה</w:t>
      </w:r>
      <w:r>
        <w:rPr>
          <w:rFonts w:hint="cs"/>
          <w:rtl/>
        </w:rPr>
        <w:t xml:space="preserve"> ול</w:t>
      </w:r>
      <w:r w:rsidRPr="00941C87">
        <w:rPr>
          <w:rtl/>
        </w:rPr>
        <w:t xml:space="preserve">משרדי </w:t>
      </w:r>
      <w:r w:rsidRPr="00941C87">
        <w:rPr>
          <w:rFonts w:hint="eastAsia"/>
          <w:rtl/>
        </w:rPr>
        <w:t>ממשלה</w:t>
      </w:r>
      <w:r w:rsidRPr="00941C87">
        <w:rPr>
          <w:rtl/>
        </w:rPr>
        <w:t xml:space="preserve">), 2017 - 2020 (במיליוני </w:t>
      </w:r>
      <w:r w:rsidRPr="00941C87">
        <w:rPr>
          <w:rFonts w:hint="eastAsia"/>
          <w:rtl/>
        </w:rPr>
        <w:t>ש</w:t>
      </w:r>
      <w:r w:rsidRPr="00941C87">
        <w:rPr>
          <w:rtl/>
        </w:rPr>
        <w:t>"ח)</w:t>
      </w:r>
    </w:p>
    <w:p w14:paraId="4FA0F75F" w14:textId="77777777" w:rsidR="007C4395" w:rsidRPr="003B2683" w:rsidRDefault="007C4395" w:rsidP="007C4395">
      <w:pPr>
        <w:spacing w:line="269" w:lineRule="auto"/>
        <w:jc w:val="center"/>
        <w:rPr>
          <w:rStyle w:val="71Char6"/>
          <w:rFonts w:eastAsiaTheme="minorHAnsi"/>
          <w:rtl/>
        </w:rPr>
      </w:pPr>
      <w:r w:rsidRPr="00E9084D">
        <w:rPr>
          <w:noProof/>
        </w:rPr>
        <w:t xml:space="preserve"> </w:t>
      </w:r>
      <w:r>
        <w:rPr>
          <w:noProof/>
        </w:rPr>
        <w:drawing>
          <wp:inline distT="0" distB="0" distL="0" distR="0" wp14:anchorId="1359E8F2" wp14:editId="2CB4E3E4">
            <wp:extent cx="4557960" cy="2399595"/>
            <wp:effectExtent l="0" t="0" r="0" b="0"/>
            <wp:docPr id="765912903" name="תמונה 76591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03" name="תמונה 765912903"/>
                    <pic:cNvPicPr/>
                  </pic:nvPicPr>
                  <pic:blipFill>
                    <a:blip r:embed="rId52">
                      <a:extLst>
                        <a:ext uri="{28A0092B-C50C-407E-A947-70E740481C1C}">
                          <a14:useLocalDpi xmlns:a14="http://schemas.microsoft.com/office/drawing/2010/main" val="0"/>
                        </a:ext>
                      </a:extLst>
                    </a:blip>
                    <a:stretch>
                      <a:fillRect/>
                    </a:stretch>
                  </pic:blipFill>
                  <pic:spPr>
                    <a:xfrm>
                      <a:off x="0" y="0"/>
                      <a:ext cx="4557960" cy="2399595"/>
                    </a:xfrm>
                    <a:prstGeom prst="rect">
                      <a:avLst/>
                    </a:prstGeom>
                  </pic:spPr>
                </pic:pic>
              </a:graphicData>
            </a:graphic>
          </wp:inline>
        </w:drawing>
      </w:r>
    </w:p>
    <w:p w14:paraId="6D3EC8F5" w14:textId="77777777" w:rsidR="007C4395" w:rsidRPr="00010778" w:rsidRDefault="007C4395" w:rsidP="00010778">
      <w:pPr>
        <w:pStyle w:val="71c"/>
        <w:rPr>
          <w:rtl/>
        </w:rPr>
      </w:pPr>
      <w:r w:rsidRPr="00010778">
        <w:rPr>
          <w:rFonts w:hint="eastAsia"/>
          <w:rtl/>
        </w:rPr>
        <w:t>על</w:t>
      </w:r>
      <w:r w:rsidRPr="00010778">
        <w:rPr>
          <w:rtl/>
        </w:rPr>
        <w:t xml:space="preserve"> </w:t>
      </w:r>
      <w:r w:rsidRPr="00010778">
        <w:rPr>
          <w:rFonts w:hint="eastAsia"/>
          <w:rtl/>
        </w:rPr>
        <w:t>פי</w:t>
      </w:r>
      <w:r w:rsidRPr="00010778">
        <w:rPr>
          <w:rtl/>
        </w:rPr>
        <w:t xml:space="preserve"> </w:t>
      </w:r>
      <w:r w:rsidRPr="00010778">
        <w:rPr>
          <w:rFonts w:hint="eastAsia"/>
          <w:rtl/>
        </w:rPr>
        <w:t>הדוחות</w:t>
      </w:r>
      <w:r w:rsidRPr="00010778">
        <w:rPr>
          <w:rtl/>
        </w:rPr>
        <w:t xml:space="preserve"> </w:t>
      </w:r>
      <w:r w:rsidRPr="00010778">
        <w:rPr>
          <w:rFonts w:hint="eastAsia"/>
          <w:rtl/>
        </w:rPr>
        <w:t>כספיים</w:t>
      </w:r>
      <w:r w:rsidRPr="00010778">
        <w:rPr>
          <w:rtl/>
        </w:rPr>
        <w:t xml:space="preserve"> </w:t>
      </w:r>
      <w:r w:rsidRPr="00010778">
        <w:rPr>
          <w:rFonts w:hint="eastAsia"/>
          <w:rtl/>
        </w:rPr>
        <w:t>של</w:t>
      </w:r>
      <w:r w:rsidRPr="00010778">
        <w:rPr>
          <w:rtl/>
        </w:rPr>
        <w:t xml:space="preserve"> </w:t>
      </w:r>
      <w:r w:rsidRPr="00010778">
        <w:rPr>
          <w:rFonts w:hint="eastAsia"/>
          <w:rtl/>
        </w:rPr>
        <w:t>רשות</w:t>
      </w:r>
      <w:r w:rsidRPr="00010778">
        <w:rPr>
          <w:rtl/>
        </w:rPr>
        <w:t xml:space="preserve"> </w:t>
      </w:r>
      <w:r w:rsidRPr="00010778">
        <w:rPr>
          <w:rFonts w:hint="eastAsia"/>
          <w:rtl/>
        </w:rPr>
        <w:t>האכיפה</w:t>
      </w:r>
      <w:r w:rsidRPr="00010778">
        <w:rPr>
          <w:rtl/>
        </w:rPr>
        <w:t xml:space="preserve"> </w:t>
      </w:r>
      <w:r w:rsidRPr="00010778">
        <w:rPr>
          <w:rFonts w:hint="eastAsia"/>
          <w:rtl/>
        </w:rPr>
        <w:t>והגבייה</w:t>
      </w:r>
      <w:r w:rsidRPr="00010778">
        <w:rPr>
          <w:rtl/>
        </w:rPr>
        <w:t xml:space="preserve"> </w:t>
      </w:r>
      <w:r w:rsidRPr="00010778">
        <w:rPr>
          <w:rFonts w:hint="eastAsia"/>
          <w:rtl/>
        </w:rPr>
        <w:t>ונתונים</w:t>
      </w:r>
      <w:r w:rsidRPr="00010778">
        <w:rPr>
          <w:rtl/>
        </w:rPr>
        <w:t xml:space="preserve"> </w:t>
      </w:r>
      <w:r w:rsidRPr="00010778">
        <w:rPr>
          <w:rFonts w:hint="eastAsia"/>
          <w:rtl/>
        </w:rPr>
        <w:t>שהועברו</w:t>
      </w:r>
      <w:r w:rsidRPr="00010778">
        <w:rPr>
          <w:rtl/>
        </w:rPr>
        <w:t xml:space="preserve"> </w:t>
      </w:r>
      <w:r w:rsidRPr="00010778">
        <w:rPr>
          <w:rFonts w:hint="eastAsia"/>
          <w:rtl/>
        </w:rPr>
        <w:t>מאת</w:t>
      </w:r>
      <w:r w:rsidRPr="00010778">
        <w:rPr>
          <w:rtl/>
        </w:rPr>
        <w:t xml:space="preserve"> </w:t>
      </w:r>
      <w:r w:rsidRPr="00010778">
        <w:rPr>
          <w:rFonts w:hint="eastAsia"/>
          <w:rtl/>
        </w:rPr>
        <w:t>הרשות</w:t>
      </w:r>
      <w:r w:rsidRPr="00010778">
        <w:rPr>
          <w:rtl/>
        </w:rPr>
        <w:t xml:space="preserve">, </w:t>
      </w:r>
      <w:r w:rsidRPr="00010778">
        <w:rPr>
          <w:rFonts w:hint="eastAsia"/>
          <w:rtl/>
        </w:rPr>
        <w:t>בעיבוד</w:t>
      </w:r>
      <w:r w:rsidRPr="00010778">
        <w:rPr>
          <w:rtl/>
        </w:rPr>
        <w:t xml:space="preserve"> </w:t>
      </w:r>
      <w:r w:rsidRPr="00010778">
        <w:rPr>
          <w:rFonts w:hint="eastAsia"/>
          <w:rtl/>
        </w:rPr>
        <w:t>משרד</w:t>
      </w:r>
      <w:r w:rsidRPr="00010778">
        <w:rPr>
          <w:rtl/>
        </w:rPr>
        <w:t xml:space="preserve"> </w:t>
      </w:r>
      <w:r w:rsidRPr="00010778">
        <w:rPr>
          <w:rFonts w:hint="eastAsia"/>
          <w:rtl/>
        </w:rPr>
        <w:t>מבקר</w:t>
      </w:r>
      <w:r w:rsidRPr="00010778">
        <w:rPr>
          <w:rtl/>
        </w:rPr>
        <w:t xml:space="preserve"> </w:t>
      </w:r>
      <w:r w:rsidRPr="00010778">
        <w:rPr>
          <w:rFonts w:hint="eastAsia"/>
          <w:rtl/>
        </w:rPr>
        <w:t>המדינה</w:t>
      </w:r>
      <w:r w:rsidRPr="00010778">
        <w:rPr>
          <w:rtl/>
        </w:rPr>
        <w:t>.</w:t>
      </w:r>
    </w:p>
    <w:p w14:paraId="1CB049DB" w14:textId="77777777" w:rsidR="007C4395" w:rsidRPr="0014115E" w:rsidRDefault="007C4395" w:rsidP="002A738D">
      <w:pPr>
        <w:pStyle w:val="7190"/>
        <w:rPr>
          <w:rtl/>
        </w:rPr>
      </w:pPr>
      <w:r w:rsidRPr="0014115E">
        <w:rPr>
          <w:rFonts w:hint="cs"/>
          <w:rtl/>
        </w:rPr>
        <w:t xml:space="preserve">מהנתונים </w:t>
      </w:r>
      <w:r>
        <w:rPr>
          <w:rFonts w:hint="cs"/>
          <w:rtl/>
        </w:rPr>
        <w:t>ש</w:t>
      </w:r>
      <w:r w:rsidRPr="0014115E">
        <w:rPr>
          <w:rFonts w:hint="cs"/>
          <w:rtl/>
        </w:rPr>
        <w:t>לעיל עולה כי יתרת החובות עולה לאורך השנים, הן יתרות החוב המיועדות לאוצר המדינה והן יתרות החוב המיועדות לחשבו</w:t>
      </w:r>
      <w:r>
        <w:rPr>
          <w:rFonts w:hint="cs"/>
          <w:rtl/>
        </w:rPr>
        <w:t>נות</w:t>
      </w:r>
      <w:r w:rsidRPr="0014115E">
        <w:rPr>
          <w:rFonts w:hint="cs"/>
          <w:rtl/>
        </w:rPr>
        <w:t xml:space="preserve"> משרדי הממשלה.</w:t>
      </w:r>
    </w:p>
    <w:p w14:paraId="320E0AEF" w14:textId="77777777" w:rsidR="007C4395" w:rsidRDefault="007C4395" w:rsidP="002A738D">
      <w:pPr>
        <w:pStyle w:val="7190"/>
        <w:rPr>
          <w:rtl/>
        </w:rPr>
      </w:pPr>
      <w:r>
        <w:rPr>
          <w:rFonts w:hint="cs"/>
          <w:rtl/>
        </w:rPr>
        <w:t xml:space="preserve">בתרשימים שלהלן מצוינים נתונים בדבר סכומי החובות והחיובים שהועברו לגבייה באמצעות </w:t>
      </w:r>
      <w:proofErr w:type="spellStart"/>
      <w:r>
        <w:rPr>
          <w:rFonts w:hint="cs"/>
          <w:rtl/>
        </w:rPr>
        <w:t>המג"ק</w:t>
      </w:r>
      <w:proofErr w:type="spellEnd"/>
      <w:r>
        <w:rPr>
          <w:rFonts w:hint="cs"/>
          <w:rtl/>
        </w:rPr>
        <w:t>, והסכומים שנגבו בפועל בשנים 2018 - 2020, לפי מקור החוב:</w:t>
      </w:r>
    </w:p>
    <w:p w14:paraId="3F33A046" w14:textId="77777777" w:rsidR="008507F3" w:rsidRDefault="008507F3">
      <w:pPr>
        <w:bidi w:val="0"/>
        <w:spacing w:after="200" w:line="276" w:lineRule="auto"/>
        <w:rPr>
          <w:rFonts w:ascii="Tahoma" w:eastAsiaTheme="minorEastAsia" w:hAnsi="Tahoma" w:cs="Tahoma"/>
          <w:color w:val="0D0D0D" w:themeColor="text1" w:themeTint="F2"/>
          <w:szCs w:val="20"/>
          <w:rtl/>
        </w:rPr>
      </w:pPr>
      <w:r>
        <w:rPr>
          <w:b/>
          <w:bCs/>
          <w:rtl/>
        </w:rPr>
        <w:br w:type="page"/>
      </w:r>
    </w:p>
    <w:p w14:paraId="5FC64B63" w14:textId="4755BCAA" w:rsidR="007C4395" w:rsidRPr="006F4D0D" w:rsidRDefault="007C4395" w:rsidP="006F4D0D">
      <w:pPr>
        <w:pStyle w:val="71a"/>
        <w:rPr>
          <w:rtl/>
        </w:rPr>
      </w:pPr>
      <w:r w:rsidRPr="006F4D0D">
        <w:rPr>
          <w:rFonts w:hint="cs"/>
          <w:b w:val="0"/>
          <w:bCs w:val="0"/>
          <w:rtl/>
        </w:rPr>
        <w:lastRenderedPageBreak/>
        <w:t>תרשים 21:</w:t>
      </w:r>
      <w:r w:rsidRPr="006F4D0D">
        <w:rPr>
          <w:rFonts w:hint="cs"/>
          <w:rtl/>
        </w:rPr>
        <w:t xml:space="preserve"> הסכומים שהועברו לגבייה </w:t>
      </w:r>
      <w:proofErr w:type="spellStart"/>
      <w:r w:rsidRPr="006F4D0D">
        <w:rPr>
          <w:rFonts w:hint="cs"/>
          <w:rtl/>
        </w:rPr>
        <w:t>למג"ק</w:t>
      </w:r>
      <w:proofErr w:type="spellEnd"/>
      <w:r w:rsidRPr="006F4D0D">
        <w:rPr>
          <w:rFonts w:hint="cs"/>
          <w:rtl/>
        </w:rPr>
        <w:t>, 2018 - 2020, לפי מקור החוב (במיליוני ש"ח)</w:t>
      </w:r>
    </w:p>
    <w:p w14:paraId="554709A1" w14:textId="77777777" w:rsidR="007C4395" w:rsidRDefault="007C4395" w:rsidP="007C4395">
      <w:pPr>
        <w:spacing w:line="269" w:lineRule="auto"/>
        <w:jc w:val="center"/>
      </w:pPr>
      <w:r>
        <w:rPr>
          <w:noProof/>
        </w:rPr>
        <w:drawing>
          <wp:inline distT="0" distB="0" distL="0" distR="0" wp14:anchorId="6AA82E69" wp14:editId="74626F7A">
            <wp:extent cx="4625549" cy="2381719"/>
            <wp:effectExtent l="0" t="0" r="0" b="0"/>
            <wp:docPr id="765912904" name="תמונה 76591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04" name="תמונה 765912904"/>
                    <pic:cNvPicPr/>
                  </pic:nvPicPr>
                  <pic:blipFill>
                    <a:blip r:embed="rId53">
                      <a:extLst>
                        <a:ext uri="{28A0092B-C50C-407E-A947-70E740481C1C}">
                          <a14:useLocalDpi xmlns:a14="http://schemas.microsoft.com/office/drawing/2010/main" val="0"/>
                        </a:ext>
                      </a:extLst>
                    </a:blip>
                    <a:stretch>
                      <a:fillRect/>
                    </a:stretch>
                  </pic:blipFill>
                  <pic:spPr>
                    <a:xfrm>
                      <a:off x="0" y="0"/>
                      <a:ext cx="4625549" cy="2381719"/>
                    </a:xfrm>
                    <a:prstGeom prst="rect">
                      <a:avLst/>
                    </a:prstGeom>
                  </pic:spPr>
                </pic:pic>
              </a:graphicData>
            </a:graphic>
          </wp:inline>
        </w:drawing>
      </w:r>
    </w:p>
    <w:p w14:paraId="21493836" w14:textId="05FEE1F2" w:rsidR="007C4395" w:rsidRPr="00010778" w:rsidRDefault="007C4395" w:rsidP="003B2683">
      <w:pPr>
        <w:pStyle w:val="71c"/>
        <w:spacing w:before="0" w:after="0"/>
        <w:ind w:left="397" w:hanging="397"/>
        <w:rPr>
          <w:rtl/>
        </w:rPr>
      </w:pPr>
      <w:r w:rsidRPr="00010778">
        <w:rPr>
          <w:rtl/>
        </w:rPr>
        <w:t xml:space="preserve">* </w:t>
      </w:r>
      <w:r w:rsidR="00010778">
        <w:rPr>
          <w:rtl/>
        </w:rPr>
        <w:tab/>
      </w:r>
      <w:r w:rsidRPr="00010778">
        <w:rPr>
          <w:rFonts w:hint="eastAsia"/>
          <w:rtl/>
        </w:rPr>
        <w:t>סכומים</w:t>
      </w:r>
      <w:r w:rsidRPr="00010778">
        <w:rPr>
          <w:rtl/>
        </w:rPr>
        <w:t xml:space="preserve"> </w:t>
      </w:r>
      <w:r w:rsidRPr="00010778">
        <w:rPr>
          <w:rFonts w:hint="eastAsia"/>
          <w:rtl/>
        </w:rPr>
        <w:t>אלו</w:t>
      </w:r>
      <w:r w:rsidRPr="00010778">
        <w:rPr>
          <w:rtl/>
        </w:rPr>
        <w:t xml:space="preserve"> </w:t>
      </w:r>
      <w:r w:rsidRPr="00010778">
        <w:rPr>
          <w:rFonts w:hint="eastAsia"/>
          <w:rtl/>
        </w:rPr>
        <w:t>שהועברו</w:t>
      </w:r>
      <w:r w:rsidRPr="00010778">
        <w:rPr>
          <w:rtl/>
        </w:rPr>
        <w:t xml:space="preserve"> </w:t>
      </w:r>
      <w:r w:rsidRPr="00010778">
        <w:rPr>
          <w:rFonts w:hint="eastAsia"/>
          <w:rtl/>
        </w:rPr>
        <w:t>לגבייה</w:t>
      </w:r>
      <w:r w:rsidRPr="00010778">
        <w:rPr>
          <w:rtl/>
        </w:rPr>
        <w:t xml:space="preserve"> </w:t>
      </w:r>
      <w:proofErr w:type="spellStart"/>
      <w:r w:rsidRPr="00010778">
        <w:rPr>
          <w:rFonts w:hint="eastAsia"/>
          <w:rtl/>
        </w:rPr>
        <w:t>למג</w:t>
      </w:r>
      <w:r w:rsidRPr="00010778">
        <w:rPr>
          <w:rtl/>
        </w:rPr>
        <w:t>"ק</w:t>
      </w:r>
      <w:proofErr w:type="spellEnd"/>
      <w:r w:rsidRPr="00010778">
        <w:rPr>
          <w:rtl/>
        </w:rPr>
        <w:t xml:space="preserve"> </w:t>
      </w:r>
      <w:r w:rsidRPr="00010778">
        <w:rPr>
          <w:rFonts w:hint="eastAsia"/>
          <w:rtl/>
        </w:rPr>
        <w:t>מועברים</w:t>
      </w:r>
      <w:r w:rsidRPr="00010778">
        <w:rPr>
          <w:rtl/>
        </w:rPr>
        <w:t xml:space="preserve"> </w:t>
      </w:r>
      <w:r w:rsidRPr="00010778">
        <w:rPr>
          <w:rFonts w:hint="eastAsia"/>
          <w:rtl/>
        </w:rPr>
        <w:t>לאחר</w:t>
      </w:r>
      <w:r w:rsidRPr="00010778">
        <w:rPr>
          <w:rtl/>
        </w:rPr>
        <w:t xml:space="preserve"> </w:t>
      </w:r>
      <w:r w:rsidRPr="00010778">
        <w:rPr>
          <w:rFonts w:hint="eastAsia"/>
          <w:rtl/>
        </w:rPr>
        <w:t>גבייתם</w:t>
      </w:r>
      <w:r w:rsidRPr="00010778">
        <w:rPr>
          <w:rtl/>
        </w:rPr>
        <w:t xml:space="preserve"> </w:t>
      </w:r>
      <w:r w:rsidRPr="00010778">
        <w:rPr>
          <w:rFonts w:hint="eastAsia"/>
          <w:rtl/>
        </w:rPr>
        <w:t>לזוכים</w:t>
      </w:r>
      <w:r w:rsidRPr="00010778">
        <w:rPr>
          <w:rtl/>
        </w:rPr>
        <w:t xml:space="preserve"> </w:t>
      </w:r>
      <w:r w:rsidRPr="00010778">
        <w:rPr>
          <w:rFonts w:hint="eastAsia"/>
          <w:rtl/>
        </w:rPr>
        <w:t>ואינם</w:t>
      </w:r>
      <w:r w:rsidRPr="00010778">
        <w:rPr>
          <w:rtl/>
        </w:rPr>
        <w:t xml:space="preserve"> </w:t>
      </w:r>
      <w:r w:rsidRPr="00010778">
        <w:rPr>
          <w:rFonts w:hint="eastAsia"/>
          <w:rtl/>
        </w:rPr>
        <w:t>נגבים</w:t>
      </w:r>
      <w:r w:rsidRPr="00010778">
        <w:rPr>
          <w:rtl/>
        </w:rPr>
        <w:t xml:space="preserve"> </w:t>
      </w:r>
      <w:r w:rsidRPr="00010778">
        <w:rPr>
          <w:rFonts w:hint="eastAsia"/>
          <w:rtl/>
        </w:rPr>
        <w:t>לאוצר</w:t>
      </w:r>
      <w:r w:rsidRPr="00010778">
        <w:rPr>
          <w:rtl/>
        </w:rPr>
        <w:t xml:space="preserve"> </w:t>
      </w:r>
      <w:r w:rsidRPr="00010778">
        <w:rPr>
          <w:rFonts w:hint="eastAsia"/>
          <w:rtl/>
        </w:rPr>
        <w:t>המדינה</w:t>
      </w:r>
      <w:r w:rsidRPr="00010778">
        <w:rPr>
          <w:rtl/>
        </w:rPr>
        <w:t>.</w:t>
      </w:r>
    </w:p>
    <w:p w14:paraId="10FE377A" w14:textId="77777777" w:rsidR="007C4395" w:rsidRPr="00010778" w:rsidRDefault="007C4395" w:rsidP="003B2683">
      <w:pPr>
        <w:pStyle w:val="71ff1"/>
        <w:spacing w:before="0"/>
      </w:pPr>
      <w:r w:rsidRPr="00010778">
        <w:rPr>
          <w:rFonts w:hint="eastAsia"/>
          <w:rtl/>
        </w:rPr>
        <w:t>על</w:t>
      </w:r>
      <w:r w:rsidRPr="00010778">
        <w:rPr>
          <w:rtl/>
        </w:rPr>
        <w:t xml:space="preserve"> </w:t>
      </w:r>
      <w:r w:rsidRPr="00010778">
        <w:rPr>
          <w:rFonts w:hint="eastAsia"/>
          <w:rtl/>
        </w:rPr>
        <w:t>פי</w:t>
      </w:r>
      <w:r w:rsidRPr="00010778">
        <w:rPr>
          <w:rtl/>
        </w:rPr>
        <w:t xml:space="preserve"> נתוני רשות האכיפה והגבייה, בעיבוד משרד מבקר המדינה.</w:t>
      </w:r>
    </w:p>
    <w:p w14:paraId="03A2FE38" w14:textId="77777777" w:rsidR="007C4395" w:rsidRDefault="007C4395" w:rsidP="002A738D">
      <w:pPr>
        <w:pStyle w:val="7190"/>
        <w:rPr>
          <w:rtl/>
        </w:rPr>
      </w:pPr>
      <w:r w:rsidRPr="00256600">
        <w:rPr>
          <w:rFonts w:hint="cs"/>
          <w:rtl/>
        </w:rPr>
        <w:t xml:space="preserve">מהתרשים </w:t>
      </w:r>
      <w:r>
        <w:rPr>
          <w:rFonts w:hint="cs"/>
          <w:rtl/>
        </w:rPr>
        <w:t>ש</w:t>
      </w:r>
      <w:r w:rsidRPr="00256600">
        <w:rPr>
          <w:rFonts w:hint="cs"/>
          <w:rtl/>
        </w:rPr>
        <w:t xml:space="preserve">לעיל עולה שבשנת 2020 הועברו לגבייה </w:t>
      </w:r>
      <w:proofErr w:type="spellStart"/>
      <w:r w:rsidRPr="00256600">
        <w:rPr>
          <w:rFonts w:hint="cs"/>
          <w:rtl/>
        </w:rPr>
        <w:t>למג"ק</w:t>
      </w:r>
      <w:proofErr w:type="spellEnd"/>
      <w:r w:rsidRPr="00256600">
        <w:rPr>
          <w:rFonts w:hint="cs"/>
          <w:rtl/>
        </w:rPr>
        <w:t xml:space="preserve"> סכומים בהיקף כולל של כ-2 </w:t>
      </w:r>
      <w:r>
        <w:rPr>
          <w:rFonts w:hint="cs"/>
          <w:rtl/>
        </w:rPr>
        <w:t>מיליארד</w:t>
      </w:r>
      <w:r w:rsidRPr="00256600">
        <w:rPr>
          <w:rFonts w:hint="cs"/>
          <w:rtl/>
        </w:rPr>
        <w:t xml:space="preserve"> ש"ח (</w:t>
      </w:r>
      <w:r>
        <w:rPr>
          <w:rFonts w:hint="cs"/>
          <w:rtl/>
        </w:rPr>
        <w:t xml:space="preserve">למול </w:t>
      </w:r>
      <w:r w:rsidRPr="00256600">
        <w:rPr>
          <w:rFonts w:hint="cs"/>
          <w:rtl/>
        </w:rPr>
        <w:t xml:space="preserve">כ-1.5 </w:t>
      </w:r>
      <w:r>
        <w:rPr>
          <w:rFonts w:hint="cs"/>
          <w:rtl/>
        </w:rPr>
        <w:t>מיליארד</w:t>
      </w:r>
      <w:r w:rsidRPr="00256600">
        <w:rPr>
          <w:rFonts w:hint="cs"/>
          <w:rtl/>
        </w:rPr>
        <w:t xml:space="preserve"> ש"ח בשנת 2019, עלייה של כ-37%), שעיקרו </w:t>
      </w:r>
      <w:r>
        <w:rPr>
          <w:rFonts w:hint="cs"/>
          <w:rtl/>
        </w:rPr>
        <w:t>דוחות</w:t>
      </w:r>
      <w:r w:rsidRPr="00256600">
        <w:rPr>
          <w:rFonts w:hint="cs"/>
          <w:rtl/>
        </w:rPr>
        <w:t xml:space="preserve"> משטרה (כ-51% בשנת 2020), </w:t>
      </w:r>
      <w:r>
        <w:rPr>
          <w:rFonts w:hint="cs"/>
          <w:rtl/>
        </w:rPr>
        <w:t xml:space="preserve">רשות הרישוי (כ-18% בשנת 2020), </w:t>
      </w:r>
      <w:r w:rsidRPr="00256600">
        <w:rPr>
          <w:rFonts w:hint="cs"/>
          <w:rtl/>
        </w:rPr>
        <w:t>רשות התאגידים - רשם החברות (כ-8% בשנת 2020) ותיקי בתי משפט (כ-11% בשנת 2020).</w:t>
      </w:r>
    </w:p>
    <w:p w14:paraId="1EFF54FB" w14:textId="77777777" w:rsidR="007C4395" w:rsidRPr="00256600" w:rsidRDefault="007C4395" w:rsidP="007C4395">
      <w:pPr>
        <w:bidi w:val="0"/>
        <w:spacing w:after="200" w:line="276" w:lineRule="auto"/>
        <w:rPr>
          <w:rtl/>
        </w:rPr>
      </w:pPr>
      <w:r>
        <w:rPr>
          <w:rtl/>
        </w:rPr>
        <w:br w:type="page"/>
      </w:r>
    </w:p>
    <w:p w14:paraId="446BE239" w14:textId="77777777" w:rsidR="007C4395" w:rsidRPr="001369E1" w:rsidRDefault="007C4395" w:rsidP="006F4D0D">
      <w:pPr>
        <w:pStyle w:val="71a"/>
        <w:rPr>
          <w:rtl/>
        </w:rPr>
      </w:pPr>
      <w:r w:rsidRPr="006F4D0D">
        <w:rPr>
          <w:rFonts w:hint="cs"/>
          <w:b w:val="0"/>
          <w:bCs w:val="0"/>
          <w:rtl/>
        </w:rPr>
        <w:lastRenderedPageBreak/>
        <w:t>תרשים 22:</w:t>
      </w:r>
      <w:r w:rsidRPr="001369E1">
        <w:rPr>
          <w:rFonts w:hint="cs"/>
          <w:rtl/>
        </w:rPr>
        <w:t xml:space="preserve"> הסכומים שנגבו על ידי </w:t>
      </w:r>
      <w:proofErr w:type="spellStart"/>
      <w:r w:rsidRPr="001369E1">
        <w:rPr>
          <w:rFonts w:hint="cs"/>
          <w:rtl/>
        </w:rPr>
        <w:t>המג"ק</w:t>
      </w:r>
      <w:proofErr w:type="spellEnd"/>
      <w:r w:rsidRPr="001369E1">
        <w:rPr>
          <w:rFonts w:hint="cs"/>
          <w:rtl/>
        </w:rPr>
        <w:t xml:space="preserve">, 2018 - 2020, לפי מקור החוב </w:t>
      </w:r>
      <w:r>
        <w:rPr>
          <w:rtl/>
        </w:rPr>
        <w:br/>
      </w:r>
      <w:r w:rsidRPr="001369E1">
        <w:rPr>
          <w:rFonts w:hint="cs"/>
          <w:rtl/>
        </w:rPr>
        <w:t>(באחוזים ובמיליוני ש"ח)</w:t>
      </w:r>
    </w:p>
    <w:p w14:paraId="79D271A8" w14:textId="77777777" w:rsidR="007C4395" w:rsidRDefault="007C4395" w:rsidP="006D22F9">
      <w:pPr>
        <w:spacing w:line="269" w:lineRule="auto"/>
        <w:ind w:left="-227"/>
        <w:jc w:val="center"/>
        <w:rPr>
          <w:rtl/>
        </w:rPr>
      </w:pPr>
      <w:r>
        <w:rPr>
          <w:noProof/>
        </w:rPr>
        <w:drawing>
          <wp:inline distT="0" distB="0" distL="0" distR="0" wp14:anchorId="718E9C59" wp14:editId="771424BD">
            <wp:extent cx="5139967" cy="4457424"/>
            <wp:effectExtent l="0" t="0" r="0" b="0"/>
            <wp:docPr id="765912905" name="תמונה 76591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05" name="תמונה 765912905"/>
                    <pic:cNvPicPr/>
                  </pic:nvPicPr>
                  <pic:blipFill>
                    <a:blip r:embed="rId54">
                      <a:extLst>
                        <a:ext uri="{28A0092B-C50C-407E-A947-70E740481C1C}">
                          <a14:useLocalDpi xmlns:a14="http://schemas.microsoft.com/office/drawing/2010/main" val="0"/>
                        </a:ext>
                      </a:extLst>
                    </a:blip>
                    <a:stretch>
                      <a:fillRect/>
                    </a:stretch>
                  </pic:blipFill>
                  <pic:spPr>
                    <a:xfrm>
                      <a:off x="0" y="0"/>
                      <a:ext cx="5139967" cy="4457424"/>
                    </a:xfrm>
                    <a:prstGeom prst="rect">
                      <a:avLst/>
                    </a:prstGeom>
                  </pic:spPr>
                </pic:pic>
              </a:graphicData>
            </a:graphic>
          </wp:inline>
        </w:drawing>
      </w:r>
    </w:p>
    <w:p w14:paraId="195F28C7" w14:textId="726C3E02" w:rsidR="007C4395" w:rsidRPr="00010778" w:rsidRDefault="007C4395" w:rsidP="00010778">
      <w:pPr>
        <w:pStyle w:val="71c"/>
        <w:spacing w:before="0" w:after="0"/>
        <w:ind w:left="397" w:hanging="397"/>
        <w:rPr>
          <w:rtl/>
        </w:rPr>
      </w:pPr>
      <w:r w:rsidRPr="00010778">
        <w:rPr>
          <w:rtl/>
        </w:rPr>
        <w:t xml:space="preserve">* </w:t>
      </w:r>
      <w:r w:rsidR="00010778">
        <w:rPr>
          <w:rtl/>
        </w:rPr>
        <w:tab/>
      </w:r>
      <w:r w:rsidRPr="00010778">
        <w:rPr>
          <w:rFonts w:hint="eastAsia"/>
          <w:rtl/>
        </w:rPr>
        <w:t>חלק</w:t>
      </w:r>
      <w:r w:rsidRPr="00010778">
        <w:rPr>
          <w:rtl/>
        </w:rPr>
        <w:t xml:space="preserve"> </w:t>
      </w:r>
      <w:r w:rsidRPr="00010778">
        <w:rPr>
          <w:rFonts w:hint="eastAsia"/>
          <w:rtl/>
        </w:rPr>
        <w:t>מסכומים</w:t>
      </w:r>
      <w:r w:rsidRPr="00010778">
        <w:rPr>
          <w:rtl/>
        </w:rPr>
        <w:t xml:space="preserve"> </w:t>
      </w:r>
      <w:r w:rsidRPr="00010778">
        <w:rPr>
          <w:rFonts w:hint="eastAsia"/>
          <w:rtl/>
        </w:rPr>
        <w:t>אלו</w:t>
      </w:r>
      <w:r w:rsidRPr="00010778">
        <w:rPr>
          <w:rtl/>
        </w:rPr>
        <w:t xml:space="preserve"> </w:t>
      </w:r>
      <w:r w:rsidRPr="00010778">
        <w:rPr>
          <w:rFonts w:hint="eastAsia"/>
          <w:rtl/>
        </w:rPr>
        <w:t>שנגבו</w:t>
      </w:r>
      <w:r w:rsidRPr="00010778">
        <w:rPr>
          <w:rtl/>
        </w:rPr>
        <w:t xml:space="preserve"> </w:t>
      </w:r>
      <w:r w:rsidRPr="00010778">
        <w:rPr>
          <w:rFonts w:hint="eastAsia"/>
          <w:rtl/>
        </w:rPr>
        <w:t>ע</w:t>
      </w:r>
      <w:r w:rsidRPr="00010778">
        <w:rPr>
          <w:rtl/>
        </w:rPr>
        <w:t xml:space="preserve">"י </w:t>
      </w:r>
      <w:proofErr w:type="spellStart"/>
      <w:r w:rsidRPr="00010778">
        <w:rPr>
          <w:rFonts w:hint="eastAsia"/>
          <w:rtl/>
        </w:rPr>
        <w:t>המג</w:t>
      </w:r>
      <w:r w:rsidRPr="00010778">
        <w:rPr>
          <w:rtl/>
        </w:rPr>
        <w:t>"ק</w:t>
      </w:r>
      <w:proofErr w:type="spellEnd"/>
      <w:r w:rsidRPr="00010778">
        <w:rPr>
          <w:rtl/>
        </w:rPr>
        <w:t xml:space="preserve"> </w:t>
      </w:r>
      <w:r w:rsidRPr="00010778">
        <w:rPr>
          <w:rFonts w:hint="eastAsia"/>
          <w:rtl/>
        </w:rPr>
        <w:t>מועברים</w:t>
      </w:r>
      <w:r w:rsidRPr="00010778">
        <w:rPr>
          <w:rtl/>
        </w:rPr>
        <w:t xml:space="preserve"> </w:t>
      </w:r>
      <w:r w:rsidRPr="00010778">
        <w:rPr>
          <w:rFonts w:hint="eastAsia"/>
          <w:rtl/>
        </w:rPr>
        <w:t>לזוכים</w:t>
      </w:r>
      <w:r w:rsidRPr="00010778">
        <w:rPr>
          <w:rtl/>
        </w:rPr>
        <w:t xml:space="preserve"> </w:t>
      </w:r>
      <w:r w:rsidRPr="00010778">
        <w:rPr>
          <w:rFonts w:hint="eastAsia"/>
          <w:rtl/>
        </w:rPr>
        <w:t>ולא</w:t>
      </w:r>
      <w:r w:rsidRPr="00010778">
        <w:rPr>
          <w:rtl/>
        </w:rPr>
        <w:t xml:space="preserve"> </w:t>
      </w:r>
      <w:r w:rsidRPr="00010778">
        <w:rPr>
          <w:rFonts w:hint="eastAsia"/>
          <w:rtl/>
        </w:rPr>
        <w:t>לאוצר</w:t>
      </w:r>
      <w:r w:rsidRPr="00010778">
        <w:rPr>
          <w:rtl/>
        </w:rPr>
        <w:t xml:space="preserve"> </w:t>
      </w:r>
      <w:r w:rsidRPr="00010778">
        <w:rPr>
          <w:rFonts w:hint="eastAsia"/>
          <w:rtl/>
        </w:rPr>
        <w:t>המדינה</w:t>
      </w:r>
      <w:r w:rsidRPr="00010778">
        <w:rPr>
          <w:rtl/>
        </w:rPr>
        <w:t>.</w:t>
      </w:r>
    </w:p>
    <w:p w14:paraId="72AC1FC0" w14:textId="77777777" w:rsidR="007C4395" w:rsidRPr="00010778" w:rsidRDefault="007C4395" w:rsidP="00010778">
      <w:pPr>
        <w:pStyle w:val="71c"/>
        <w:spacing w:before="0"/>
        <w:rPr>
          <w:rtl/>
        </w:rPr>
      </w:pPr>
      <w:r w:rsidRPr="00010778">
        <w:rPr>
          <w:rFonts w:hint="eastAsia"/>
          <w:rtl/>
        </w:rPr>
        <w:t>על</w:t>
      </w:r>
      <w:r w:rsidRPr="00010778">
        <w:rPr>
          <w:rtl/>
        </w:rPr>
        <w:t xml:space="preserve"> </w:t>
      </w:r>
      <w:r w:rsidRPr="00010778">
        <w:rPr>
          <w:rFonts w:hint="eastAsia"/>
          <w:rtl/>
        </w:rPr>
        <w:t>פי</w:t>
      </w:r>
      <w:r w:rsidRPr="00010778">
        <w:rPr>
          <w:rtl/>
        </w:rPr>
        <w:t xml:space="preserve"> נתוני רשות האכיפה והגבייה, בעיבוד משרד מבקר המדינה.</w:t>
      </w:r>
    </w:p>
    <w:p w14:paraId="504AF133" w14:textId="3CF834C9" w:rsidR="007C4395" w:rsidRPr="00256600" w:rsidRDefault="007C4395" w:rsidP="002A738D">
      <w:pPr>
        <w:pStyle w:val="7190"/>
        <w:rPr>
          <w:rtl/>
        </w:rPr>
      </w:pPr>
      <w:r w:rsidRPr="00256600">
        <w:rPr>
          <w:rFonts w:hint="cs"/>
          <w:rtl/>
        </w:rPr>
        <w:t xml:space="preserve">מהתרשים </w:t>
      </w:r>
      <w:r>
        <w:rPr>
          <w:rFonts w:hint="cs"/>
          <w:rtl/>
        </w:rPr>
        <w:t>ש</w:t>
      </w:r>
      <w:r w:rsidRPr="00256600">
        <w:rPr>
          <w:rFonts w:hint="cs"/>
          <w:rtl/>
        </w:rPr>
        <w:t xml:space="preserve">לעיל עולה כי בשנת 2020 גבה </w:t>
      </w:r>
      <w:proofErr w:type="spellStart"/>
      <w:r w:rsidRPr="00256600">
        <w:rPr>
          <w:rFonts w:hint="cs"/>
          <w:rtl/>
        </w:rPr>
        <w:t>המג"ק</w:t>
      </w:r>
      <w:proofErr w:type="spellEnd"/>
      <w:r w:rsidRPr="00256600">
        <w:rPr>
          <w:rFonts w:hint="cs"/>
          <w:rtl/>
        </w:rPr>
        <w:t xml:space="preserve"> סכום של כ-921 </w:t>
      </w:r>
      <w:r>
        <w:rPr>
          <w:rFonts w:hint="cs"/>
          <w:rtl/>
        </w:rPr>
        <w:t>מיליון</w:t>
      </w:r>
      <w:r w:rsidRPr="00256600">
        <w:rPr>
          <w:rFonts w:hint="cs"/>
          <w:rtl/>
        </w:rPr>
        <w:t xml:space="preserve"> ש"ח עבור חובות שהועברו לטיפולו בשנת 2020 ובשנים שקדמו לה, לעומת כ-787 </w:t>
      </w:r>
      <w:r>
        <w:rPr>
          <w:rFonts w:hint="cs"/>
          <w:rtl/>
        </w:rPr>
        <w:t>מיליון</w:t>
      </w:r>
      <w:r w:rsidRPr="00256600">
        <w:rPr>
          <w:rFonts w:hint="cs"/>
          <w:rtl/>
        </w:rPr>
        <w:t xml:space="preserve"> ש"ח בשנת 2019 (עלייה של כ-17%). עיקר הסכומים שנגבו הם בשל </w:t>
      </w:r>
      <w:r>
        <w:rPr>
          <w:rFonts w:hint="cs"/>
          <w:rtl/>
        </w:rPr>
        <w:t>דוחות</w:t>
      </w:r>
      <w:r w:rsidRPr="00256600">
        <w:rPr>
          <w:rFonts w:hint="cs"/>
          <w:rtl/>
        </w:rPr>
        <w:t xml:space="preserve"> משטרה (כ-77% בשנת 2020), תיקי בתי משפט (כ-11% בשנת 2020) ויתר הגופים</w:t>
      </w:r>
      <w:r>
        <w:rPr>
          <w:rStyle w:val="ac"/>
          <w:rtl/>
        </w:rPr>
        <w:footnoteReference w:id="70"/>
      </w:r>
      <w:r w:rsidRPr="00256600">
        <w:rPr>
          <w:rFonts w:hint="cs"/>
          <w:rtl/>
        </w:rPr>
        <w:t xml:space="preserve"> (כ-6% בשנת 2020).</w:t>
      </w:r>
    </w:p>
    <w:p w14:paraId="66141375" w14:textId="77777777" w:rsidR="007C4395" w:rsidRDefault="007C4395" w:rsidP="003B2683">
      <w:pPr>
        <w:pStyle w:val="71f4"/>
        <w:rPr>
          <w:rtl/>
        </w:rPr>
      </w:pPr>
      <w:r w:rsidRPr="00E354E5">
        <w:rPr>
          <w:rFonts w:hint="eastAsia"/>
          <w:rtl/>
        </w:rPr>
        <w:lastRenderedPageBreak/>
        <w:t>עם</w:t>
      </w:r>
      <w:r w:rsidRPr="00E354E5">
        <w:rPr>
          <w:rtl/>
        </w:rPr>
        <w:t xml:space="preserve"> זאת, </w:t>
      </w:r>
      <w:r>
        <w:rPr>
          <w:rFonts w:hint="cs"/>
          <w:rtl/>
        </w:rPr>
        <w:t>מ</w:t>
      </w:r>
      <w:r w:rsidRPr="00E354E5">
        <w:rPr>
          <w:rtl/>
        </w:rPr>
        <w:t>בחינת הנתונים שלעיל עולה ש</w:t>
      </w:r>
      <w:r>
        <w:rPr>
          <w:rFonts w:hint="cs"/>
          <w:rtl/>
        </w:rPr>
        <w:t>ה</w:t>
      </w:r>
      <w:r w:rsidRPr="00E354E5">
        <w:rPr>
          <w:rtl/>
        </w:rPr>
        <w:t xml:space="preserve">גידול </w:t>
      </w:r>
      <w:r>
        <w:rPr>
          <w:rFonts w:hint="cs"/>
          <w:rtl/>
        </w:rPr>
        <w:t>בסכומי</w:t>
      </w:r>
      <w:r w:rsidRPr="00E354E5">
        <w:rPr>
          <w:rtl/>
        </w:rPr>
        <w:t xml:space="preserve"> החובות שנגבו על ידי </w:t>
      </w:r>
      <w:proofErr w:type="spellStart"/>
      <w:r w:rsidRPr="00E354E5">
        <w:rPr>
          <w:rFonts w:hint="eastAsia"/>
          <w:rtl/>
        </w:rPr>
        <w:t>המג</w:t>
      </w:r>
      <w:r w:rsidRPr="00E354E5">
        <w:rPr>
          <w:rtl/>
        </w:rPr>
        <w:t>"ק</w:t>
      </w:r>
      <w:proofErr w:type="spellEnd"/>
      <w:r w:rsidRPr="00E354E5">
        <w:rPr>
          <w:rtl/>
        </w:rPr>
        <w:t xml:space="preserve"> (</w:t>
      </w:r>
      <w:proofErr w:type="spellStart"/>
      <w:r w:rsidRPr="00E354E5">
        <w:rPr>
          <w:rtl/>
        </w:rPr>
        <w:t>מכ</w:t>
      </w:r>
      <w:proofErr w:type="spellEnd"/>
      <w:r w:rsidRPr="00E354E5">
        <w:rPr>
          <w:rtl/>
        </w:rPr>
        <w:t xml:space="preserve">-787 מיליון ש"ח בשנת 2019 </w:t>
      </w:r>
      <w:proofErr w:type="spellStart"/>
      <w:r w:rsidRPr="00E354E5">
        <w:rPr>
          <w:rtl/>
        </w:rPr>
        <w:t>לכ</w:t>
      </w:r>
      <w:proofErr w:type="spellEnd"/>
      <w:r w:rsidRPr="00E354E5">
        <w:rPr>
          <w:rtl/>
        </w:rPr>
        <w:t>-</w:t>
      </w:r>
      <w:r w:rsidRPr="00BB6E9E">
        <w:rPr>
          <w:rtl/>
        </w:rPr>
        <w:t>921 מ</w:t>
      </w:r>
      <w:r w:rsidRPr="00BB6E9E">
        <w:rPr>
          <w:rFonts w:hint="eastAsia"/>
          <w:rtl/>
        </w:rPr>
        <w:t>יליון</w:t>
      </w:r>
      <w:r w:rsidRPr="00BB6E9E">
        <w:rPr>
          <w:rtl/>
        </w:rPr>
        <w:t xml:space="preserve"> ש"ח בשנת</w:t>
      </w:r>
      <w:r w:rsidRPr="00E354E5">
        <w:rPr>
          <w:rtl/>
        </w:rPr>
        <w:t xml:space="preserve"> 2020, גידול של כ-17%)</w:t>
      </w:r>
      <w:r>
        <w:rPr>
          <w:rFonts w:hint="cs"/>
          <w:rtl/>
        </w:rPr>
        <w:t xml:space="preserve"> אינו מדביק את </w:t>
      </w:r>
      <w:r w:rsidRPr="00E354E5">
        <w:rPr>
          <w:rtl/>
        </w:rPr>
        <w:t xml:space="preserve">הגידול </w:t>
      </w:r>
      <w:r>
        <w:rPr>
          <w:rFonts w:hint="cs"/>
          <w:rtl/>
        </w:rPr>
        <w:t>בסכומים שכוללים</w:t>
      </w:r>
      <w:r w:rsidRPr="00E354E5">
        <w:rPr>
          <w:rtl/>
        </w:rPr>
        <w:t xml:space="preserve"> </w:t>
      </w:r>
      <w:r>
        <w:rPr>
          <w:rFonts w:hint="cs"/>
          <w:rtl/>
        </w:rPr>
        <w:t>ה</w:t>
      </w:r>
      <w:r w:rsidRPr="00E354E5">
        <w:rPr>
          <w:rtl/>
        </w:rPr>
        <w:t>תיקים שהועברו לטיפולו (</w:t>
      </w:r>
      <w:proofErr w:type="spellStart"/>
      <w:r w:rsidRPr="00E354E5">
        <w:rPr>
          <w:rtl/>
        </w:rPr>
        <w:t>מכ</w:t>
      </w:r>
      <w:proofErr w:type="spellEnd"/>
      <w:r w:rsidRPr="00E354E5">
        <w:rPr>
          <w:rtl/>
        </w:rPr>
        <w:t xml:space="preserve">-1.5 מיליארד ש"ח בשנת 2019 </w:t>
      </w:r>
      <w:proofErr w:type="spellStart"/>
      <w:r w:rsidRPr="00E354E5">
        <w:rPr>
          <w:rtl/>
        </w:rPr>
        <w:t>לכ</w:t>
      </w:r>
      <w:proofErr w:type="spellEnd"/>
      <w:r w:rsidRPr="00E354E5">
        <w:rPr>
          <w:rtl/>
        </w:rPr>
        <w:t>-2 מיליארד ש"ח בשנת 2020, גידול של כ-37%)</w:t>
      </w:r>
      <w:r>
        <w:rPr>
          <w:rFonts w:hint="cs"/>
          <w:rtl/>
        </w:rPr>
        <w:t>, וזאת בשים לב לכך שבכל שנה מועברים חובות שהליכי גבייתם עשויים להיגרר לשנה העוקבת, ושבכל שנה נגבים חובות שנגררו מהשנה הקודמת.</w:t>
      </w:r>
    </w:p>
    <w:p w14:paraId="2B3B58DB" w14:textId="77777777" w:rsidR="007C4395" w:rsidRPr="003E02F9" w:rsidRDefault="007C4395" w:rsidP="002A738D">
      <w:pPr>
        <w:pStyle w:val="7190"/>
        <w:rPr>
          <w:rtl/>
        </w:rPr>
      </w:pPr>
      <w:r>
        <w:rPr>
          <w:rFonts w:hint="cs"/>
          <w:rtl/>
        </w:rPr>
        <w:t xml:space="preserve">בתשובת רשות האכיפה והגבייה צוין כי </w:t>
      </w:r>
      <w:r w:rsidRPr="003E02F9">
        <w:rPr>
          <w:rtl/>
        </w:rPr>
        <w:t xml:space="preserve">גביית חוב </w:t>
      </w:r>
      <w:r>
        <w:rPr>
          <w:rFonts w:hint="cs"/>
          <w:rtl/>
        </w:rPr>
        <w:t>נמשכת</w:t>
      </w:r>
      <w:r w:rsidRPr="003E02F9">
        <w:rPr>
          <w:rtl/>
        </w:rPr>
        <w:t xml:space="preserve"> בממוצע כ-250 ימים. </w:t>
      </w:r>
      <w:r>
        <w:rPr>
          <w:rFonts w:hint="cs"/>
          <w:rtl/>
        </w:rPr>
        <w:t>פרק זמן זה</w:t>
      </w:r>
      <w:r w:rsidRPr="003E02F9">
        <w:rPr>
          <w:rtl/>
        </w:rPr>
        <w:t xml:space="preserve"> כולל משלוח התראות </w:t>
      </w:r>
      <w:r>
        <w:rPr>
          <w:rFonts w:hint="cs"/>
          <w:rtl/>
        </w:rPr>
        <w:t>ו</w:t>
      </w:r>
      <w:r w:rsidRPr="003E02F9">
        <w:rPr>
          <w:rtl/>
        </w:rPr>
        <w:t xml:space="preserve">דרישות תשלום </w:t>
      </w:r>
      <w:r>
        <w:rPr>
          <w:rFonts w:hint="cs"/>
          <w:rtl/>
        </w:rPr>
        <w:t>ל</w:t>
      </w:r>
      <w:r w:rsidRPr="003E02F9">
        <w:rPr>
          <w:rtl/>
        </w:rPr>
        <w:t xml:space="preserve">חייבים ומענה </w:t>
      </w:r>
      <w:r>
        <w:rPr>
          <w:rFonts w:hint="cs"/>
          <w:rtl/>
        </w:rPr>
        <w:t>ע</w:t>
      </w:r>
      <w:r w:rsidRPr="003E02F9">
        <w:rPr>
          <w:rtl/>
        </w:rPr>
        <w:t>ל</w:t>
      </w:r>
      <w:r>
        <w:rPr>
          <w:rFonts w:hint="cs"/>
          <w:rtl/>
        </w:rPr>
        <w:t xml:space="preserve"> </w:t>
      </w:r>
      <w:r w:rsidRPr="003E02F9">
        <w:rPr>
          <w:rtl/>
        </w:rPr>
        <w:t>פניות</w:t>
      </w:r>
      <w:r>
        <w:rPr>
          <w:rFonts w:hint="cs"/>
          <w:rtl/>
        </w:rPr>
        <w:t xml:space="preserve"> שלהם</w:t>
      </w:r>
      <w:r w:rsidRPr="003E02F9">
        <w:rPr>
          <w:rtl/>
        </w:rPr>
        <w:t xml:space="preserve">. </w:t>
      </w:r>
      <w:r>
        <w:rPr>
          <w:rFonts w:hint="cs"/>
          <w:rtl/>
        </w:rPr>
        <w:t>נוכח</w:t>
      </w:r>
      <w:r w:rsidRPr="003E02F9">
        <w:rPr>
          <w:rtl/>
        </w:rPr>
        <w:t xml:space="preserve"> זאת, תיקים המתקבלים לגבייה במרכז לגביית קנסות מחודש מרץ </w:t>
      </w:r>
      <w:r>
        <w:rPr>
          <w:rFonts w:hint="cs"/>
          <w:rtl/>
        </w:rPr>
        <w:t>ואילך</w:t>
      </w:r>
      <w:r w:rsidRPr="003E02F9">
        <w:rPr>
          <w:rtl/>
        </w:rPr>
        <w:t>, ייגבו בממוצע רק בשנה העוקבת לקליטתם.</w:t>
      </w:r>
    </w:p>
    <w:p w14:paraId="1ECC8BDF" w14:textId="77777777" w:rsidR="007C4395" w:rsidRDefault="007C4395" w:rsidP="006F4D0D">
      <w:pPr>
        <w:pStyle w:val="71512"/>
        <w:rPr>
          <w:rtl/>
        </w:rPr>
      </w:pPr>
      <w:r>
        <w:rPr>
          <w:rFonts w:hint="cs"/>
          <w:rtl/>
        </w:rPr>
        <w:t xml:space="preserve">נתונים בדבר גביית חובות על ידי </w:t>
      </w:r>
      <w:proofErr w:type="spellStart"/>
      <w:r>
        <w:rPr>
          <w:rFonts w:hint="cs"/>
          <w:rtl/>
        </w:rPr>
        <w:t>מינהל</w:t>
      </w:r>
      <w:proofErr w:type="spellEnd"/>
      <w:r>
        <w:rPr>
          <w:rFonts w:hint="cs"/>
          <w:rtl/>
        </w:rPr>
        <w:t xml:space="preserve"> הגבייה הממשלתי</w:t>
      </w:r>
    </w:p>
    <w:p w14:paraId="281EBA56" w14:textId="77777777" w:rsidR="007C4395" w:rsidRDefault="007C4395" w:rsidP="002A738D">
      <w:pPr>
        <w:pStyle w:val="7190"/>
        <w:rPr>
          <w:rtl/>
        </w:rPr>
      </w:pPr>
      <w:r>
        <w:rPr>
          <w:rFonts w:hint="cs"/>
          <w:rtl/>
        </w:rPr>
        <w:t xml:space="preserve">להלן נתונים שהועברו למשרד מבקר המדינה מרשות האכיפה והגבייה בדבר היקף החובות שהועברו </w:t>
      </w:r>
      <w:proofErr w:type="spellStart"/>
      <w:r>
        <w:rPr>
          <w:rFonts w:hint="cs"/>
          <w:rtl/>
        </w:rPr>
        <w:t>למנ"ג</w:t>
      </w:r>
      <w:proofErr w:type="spellEnd"/>
      <w:r>
        <w:rPr>
          <w:rFonts w:hint="cs"/>
          <w:rtl/>
        </w:rPr>
        <w:t xml:space="preserve"> לגבייה וכן נתונים בדבר היקף החובות שנגבו בשנים 2018 - 2020:</w:t>
      </w:r>
    </w:p>
    <w:p w14:paraId="3DDF444B" w14:textId="0993B3AD" w:rsidR="007C4395" w:rsidRPr="001369E1" w:rsidRDefault="007C4395" w:rsidP="006F4D0D">
      <w:pPr>
        <w:pStyle w:val="71a"/>
        <w:rPr>
          <w:rtl/>
        </w:rPr>
      </w:pPr>
      <w:r w:rsidRPr="006F4D0D">
        <w:rPr>
          <w:rFonts w:hint="cs"/>
          <w:b w:val="0"/>
          <w:bCs w:val="0"/>
          <w:rtl/>
        </w:rPr>
        <w:t>לוח 14:</w:t>
      </w:r>
      <w:r w:rsidRPr="001369E1">
        <w:rPr>
          <w:rFonts w:hint="cs"/>
          <w:rtl/>
        </w:rPr>
        <w:t xml:space="preserve"> היקף החובות שהועברו לגבייה </w:t>
      </w:r>
      <w:proofErr w:type="spellStart"/>
      <w:r w:rsidRPr="001369E1">
        <w:rPr>
          <w:rFonts w:hint="cs"/>
          <w:rtl/>
        </w:rPr>
        <w:t>במינהל</w:t>
      </w:r>
      <w:proofErr w:type="spellEnd"/>
      <w:r w:rsidRPr="001369E1">
        <w:rPr>
          <w:rFonts w:hint="cs"/>
          <w:rtl/>
        </w:rPr>
        <w:t xml:space="preserve"> הגבייה הממשלתי </w:t>
      </w:r>
      <w:r w:rsidR="00542D14">
        <w:br/>
      </w:r>
      <w:r w:rsidRPr="001369E1">
        <w:rPr>
          <w:rFonts w:hint="cs"/>
          <w:rtl/>
        </w:rPr>
        <w:t>(באלפי ש"ח)</w:t>
      </w:r>
    </w:p>
    <w:tbl>
      <w:tblPr>
        <w:tblStyle w:val="5-1"/>
        <w:bidiVisual/>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9"/>
        <w:gridCol w:w="1281"/>
        <w:gridCol w:w="841"/>
        <w:gridCol w:w="929"/>
        <w:gridCol w:w="882"/>
        <w:gridCol w:w="910"/>
        <w:gridCol w:w="841"/>
        <w:gridCol w:w="867"/>
      </w:tblGrid>
      <w:tr w:rsidR="00FB5EA8" w14:paraId="7EEBF4EA" w14:textId="77777777" w:rsidTr="00B84EC3">
        <w:trPr>
          <w:cnfStyle w:val="100000000000" w:firstRow="1" w:lastRow="0" w:firstColumn="0" w:lastColumn="0" w:oddVBand="0" w:evenVBand="0" w:oddHBand="0" w:evenHBand="0" w:firstRowFirstColumn="0" w:firstRowLastColumn="0" w:lastRowFirstColumn="0" w:lastRowLastColumn="0"/>
          <w:trHeight w:val="329"/>
          <w:jc w:val="center"/>
        </w:trPr>
        <w:tc>
          <w:tcPr>
            <w:cnfStyle w:val="001000000000" w:firstRow="0" w:lastRow="0" w:firstColumn="1" w:lastColumn="0" w:oddVBand="0" w:evenVBand="0" w:oddHBand="0" w:evenHBand="0" w:firstRowFirstColumn="0" w:firstRowLastColumn="0" w:lastRowFirstColumn="0" w:lastRowLastColumn="0"/>
            <w:tcW w:w="1451" w:type="pct"/>
            <w:gridSpan w:val="2"/>
            <w:vMerge w:val="restart"/>
            <w:tcBorders>
              <w:top w:val="none" w:sz="0" w:space="0" w:color="auto"/>
              <w:left w:val="single" w:sz="4" w:space="0" w:color="auto"/>
              <w:right w:val="single" w:sz="4" w:space="0" w:color="auto"/>
            </w:tcBorders>
            <w:shd w:val="clear" w:color="auto" w:fill="C8DCE4"/>
          </w:tcPr>
          <w:p w14:paraId="394BBCED" w14:textId="77777777" w:rsidR="007C4395" w:rsidRDefault="007C4395" w:rsidP="008E20EA">
            <w:pPr>
              <w:spacing w:line="269" w:lineRule="auto"/>
              <w:rPr>
                <w:sz w:val="22"/>
                <w:szCs w:val="22"/>
                <w:rtl/>
              </w:rPr>
            </w:pPr>
          </w:p>
        </w:tc>
        <w:tc>
          <w:tcPr>
            <w:tcW w:w="1210" w:type="pct"/>
            <w:gridSpan w:val="2"/>
            <w:tcBorders>
              <w:top w:val="none" w:sz="0" w:space="0" w:color="auto"/>
              <w:left w:val="single" w:sz="4" w:space="0" w:color="auto"/>
              <w:right w:val="single" w:sz="4" w:space="0" w:color="auto"/>
            </w:tcBorders>
            <w:shd w:val="clear" w:color="auto" w:fill="B6CBD4"/>
            <w:vAlign w:val="center"/>
          </w:tcPr>
          <w:p w14:paraId="299B951C" w14:textId="77777777" w:rsidR="007C4395" w:rsidRPr="009E6326" w:rsidRDefault="007C4395" w:rsidP="00B84EC3">
            <w:pPr>
              <w:pStyle w:val="71B0"/>
              <w:jc w:val="center"/>
              <w:cnfStyle w:val="100000000000" w:firstRow="1" w:lastRow="0" w:firstColumn="0" w:lastColumn="0" w:oddVBand="0" w:evenVBand="0" w:oddHBand="0" w:evenHBand="0" w:firstRowFirstColumn="0" w:firstRowLastColumn="0" w:lastRowFirstColumn="0" w:lastRowLastColumn="0"/>
              <w:rPr>
                <w:b/>
                <w:bCs/>
                <w:rtl/>
              </w:rPr>
            </w:pPr>
            <w:r w:rsidRPr="009E6326">
              <w:rPr>
                <w:rFonts w:hint="cs"/>
                <w:b/>
                <w:bCs/>
                <w:rtl/>
              </w:rPr>
              <w:t>2020</w:t>
            </w:r>
          </w:p>
        </w:tc>
        <w:tc>
          <w:tcPr>
            <w:tcW w:w="1246" w:type="pct"/>
            <w:gridSpan w:val="2"/>
            <w:tcBorders>
              <w:top w:val="none" w:sz="0" w:space="0" w:color="auto"/>
              <w:left w:val="single" w:sz="4" w:space="0" w:color="auto"/>
              <w:right w:val="single" w:sz="4" w:space="0" w:color="auto"/>
            </w:tcBorders>
            <w:shd w:val="clear" w:color="auto" w:fill="B6CBD4"/>
            <w:vAlign w:val="center"/>
          </w:tcPr>
          <w:p w14:paraId="50B411D0" w14:textId="77777777" w:rsidR="007C4395" w:rsidRPr="009E6326" w:rsidRDefault="007C4395" w:rsidP="00B84EC3">
            <w:pPr>
              <w:pStyle w:val="71B0"/>
              <w:jc w:val="center"/>
              <w:cnfStyle w:val="100000000000" w:firstRow="1" w:lastRow="0" w:firstColumn="0" w:lastColumn="0" w:oddVBand="0" w:evenVBand="0" w:oddHBand="0" w:evenHBand="0" w:firstRowFirstColumn="0" w:firstRowLastColumn="0" w:lastRowFirstColumn="0" w:lastRowLastColumn="0"/>
              <w:rPr>
                <w:b/>
                <w:bCs/>
                <w:rtl/>
              </w:rPr>
            </w:pPr>
            <w:r w:rsidRPr="009E6326">
              <w:rPr>
                <w:rFonts w:hint="cs"/>
                <w:b/>
                <w:bCs/>
                <w:rtl/>
              </w:rPr>
              <w:t>2019</w:t>
            </w:r>
          </w:p>
        </w:tc>
        <w:tc>
          <w:tcPr>
            <w:tcW w:w="1093" w:type="pct"/>
            <w:gridSpan w:val="2"/>
            <w:tcBorders>
              <w:top w:val="none" w:sz="0" w:space="0" w:color="auto"/>
              <w:left w:val="single" w:sz="4" w:space="0" w:color="auto"/>
              <w:right w:val="single" w:sz="4" w:space="0" w:color="auto"/>
            </w:tcBorders>
            <w:shd w:val="clear" w:color="auto" w:fill="B6CBD4"/>
            <w:vAlign w:val="center"/>
          </w:tcPr>
          <w:p w14:paraId="271C2CB5" w14:textId="77777777" w:rsidR="007C4395" w:rsidRPr="009E6326" w:rsidRDefault="007C4395" w:rsidP="00B84EC3">
            <w:pPr>
              <w:pStyle w:val="71B0"/>
              <w:jc w:val="center"/>
              <w:cnfStyle w:val="100000000000" w:firstRow="1" w:lastRow="0" w:firstColumn="0" w:lastColumn="0" w:oddVBand="0" w:evenVBand="0" w:oddHBand="0" w:evenHBand="0" w:firstRowFirstColumn="0" w:firstRowLastColumn="0" w:lastRowFirstColumn="0" w:lastRowLastColumn="0"/>
              <w:rPr>
                <w:b/>
                <w:bCs/>
                <w:rtl/>
              </w:rPr>
            </w:pPr>
            <w:r w:rsidRPr="009E6326">
              <w:rPr>
                <w:rFonts w:hint="cs"/>
                <w:b/>
                <w:bCs/>
                <w:rtl/>
              </w:rPr>
              <w:t>2018</w:t>
            </w:r>
          </w:p>
        </w:tc>
      </w:tr>
      <w:tr w:rsidR="009E6326" w14:paraId="415124FE" w14:textId="77777777" w:rsidTr="00FB5EA8">
        <w:trPr>
          <w:cnfStyle w:val="000000100000" w:firstRow="0" w:lastRow="0" w:firstColumn="0" w:lastColumn="0" w:oddVBand="0" w:evenVBand="0" w:oddHBand="1" w:evenHBand="0" w:firstRowFirstColumn="0" w:firstRowLastColumn="0" w:lastRowFirstColumn="0" w:lastRowLastColumn="0"/>
          <w:trHeight w:val="344"/>
          <w:jc w:val="center"/>
        </w:trPr>
        <w:tc>
          <w:tcPr>
            <w:cnfStyle w:val="001000000000" w:firstRow="0" w:lastRow="0" w:firstColumn="1" w:lastColumn="0" w:oddVBand="0" w:evenVBand="0" w:oddHBand="0" w:evenHBand="0" w:firstRowFirstColumn="0" w:firstRowLastColumn="0" w:lastRowFirstColumn="0" w:lastRowLastColumn="0"/>
            <w:tcW w:w="1451" w:type="pct"/>
            <w:gridSpan w:val="2"/>
            <w:vMerge/>
            <w:tcBorders>
              <w:left w:val="single" w:sz="4" w:space="0" w:color="auto"/>
              <w:right w:val="single" w:sz="4" w:space="0" w:color="auto"/>
            </w:tcBorders>
            <w:shd w:val="clear" w:color="auto" w:fill="C8DCE4"/>
          </w:tcPr>
          <w:p w14:paraId="3D1FBB0E" w14:textId="77777777" w:rsidR="007C4395" w:rsidRDefault="007C4395" w:rsidP="008E20EA">
            <w:pPr>
              <w:spacing w:line="269" w:lineRule="auto"/>
              <w:rPr>
                <w:color w:val="000000" w:themeColor="text1"/>
                <w:sz w:val="22"/>
                <w:szCs w:val="22"/>
                <w:rtl/>
              </w:rPr>
            </w:pPr>
          </w:p>
        </w:tc>
        <w:tc>
          <w:tcPr>
            <w:tcW w:w="565" w:type="pct"/>
            <w:tcBorders>
              <w:left w:val="single" w:sz="4" w:space="0" w:color="auto"/>
              <w:right w:val="single" w:sz="4" w:space="0" w:color="auto"/>
            </w:tcBorders>
            <w:shd w:val="clear" w:color="auto" w:fill="C8DCE4"/>
            <w:vAlign w:val="bottom"/>
          </w:tcPr>
          <w:p w14:paraId="0557E048" w14:textId="77777777" w:rsidR="007C4395" w:rsidRPr="009E6326" w:rsidRDefault="007C4395" w:rsidP="00FB5EA8">
            <w:pPr>
              <w:pStyle w:val="71HEADER"/>
              <w:cnfStyle w:val="000000100000" w:firstRow="0" w:lastRow="0" w:firstColumn="0" w:lastColumn="0" w:oddVBand="0" w:evenVBand="0" w:oddHBand="1" w:evenHBand="0" w:firstRowFirstColumn="0" w:firstRowLastColumn="0" w:lastRowFirstColumn="0" w:lastRowLastColumn="0"/>
              <w:rPr>
                <w:b w:val="0"/>
                <w:bCs/>
                <w:rtl/>
              </w:rPr>
            </w:pPr>
            <w:r w:rsidRPr="009E6326">
              <w:rPr>
                <w:rFonts w:hint="cs"/>
                <w:b w:val="0"/>
                <w:bCs/>
                <w:rtl/>
              </w:rPr>
              <w:t>מספר באלפים</w:t>
            </w:r>
          </w:p>
        </w:tc>
        <w:tc>
          <w:tcPr>
            <w:tcW w:w="646" w:type="pct"/>
            <w:tcBorders>
              <w:left w:val="single" w:sz="4" w:space="0" w:color="auto"/>
              <w:right w:val="single" w:sz="4" w:space="0" w:color="auto"/>
            </w:tcBorders>
            <w:shd w:val="clear" w:color="auto" w:fill="C8DCE4"/>
            <w:vAlign w:val="bottom"/>
          </w:tcPr>
          <w:p w14:paraId="1743D59E" w14:textId="77777777" w:rsidR="007C4395" w:rsidRPr="009E6326" w:rsidRDefault="007C4395" w:rsidP="00FB5EA8">
            <w:pPr>
              <w:pStyle w:val="71HEADER"/>
              <w:cnfStyle w:val="000000100000" w:firstRow="0" w:lastRow="0" w:firstColumn="0" w:lastColumn="0" w:oddVBand="0" w:evenVBand="0" w:oddHBand="1" w:evenHBand="0" w:firstRowFirstColumn="0" w:firstRowLastColumn="0" w:lastRowFirstColumn="0" w:lastRowLastColumn="0"/>
              <w:rPr>
                <w:b w:val="0"/>
                <w:bCs/>
                <w:rtl/>
              </w:rPr>
            </w:pPr>
            <w:r w:rsidRPr="009E6326">
              <w:rPr>
                <w:rFonts w:hint="cs"/>
                <w:b w:val="0"/>
                <w:bCs/>
                <w:rtl/>
              </w:rPr>
              <w:t>סכום באלפי ש"ח</w:t>
            </w:r>
          </w:p>
        </w:tc>
        <w:tc>
          <w:tcPr>
            <w:tcW w:w="614" w:type="pct"/>
            <w:tcBorders>
              <w:left w:val="single" w:sz="4" w:space="0" w:color="auto"/>
              <w:right w:val="single" w:sz="4" w:space="0" w:color="auto"/>
            </w:tcBorders>
            <w:shd w:val="clear" w:color="auto" w:fill="C8DCE4"/>
            <w:vAlign w:val="bottom"/>
          </w:tcPr>
          <w:p w14:paraId="2066CF5D" w14:textId="77777777" w:rsidR="007C4395" w:rsidRPr="009E6326" w:rsidRDefault="007C4395" w:rsidP="00FB5EA8">
            <w:pPr>
              <w:pStyle w:val="71HEADER"/>
              <w:cnfStyle w:val="000000100000" w:firstRow="0" w:lastRow="0" w:firstColumn="0" w:lastColumn="0" w:oddVBand="0" w:evenVBand="0" w:oddHBand="1" w:evenHBand="0" w:firstRowFirstColumn="0" w:firstRowLastColumn="0" w:lastRowFirstColumn="0" w:lastRowLastColumn="0"/>
              <w:rPr>
                <w:b w:val="0"/>
                <w:bCs/>
                <w:rtl/>
              </w:rPr>
            </w:pPr>
            <w:r w:rsidRPr="009E6326">
              <w:rPr>
                <w:rFonts w:hint="cs"/>
                <w:b w:val="0"/>
                <w:bCs/>
                <w:rtl/>
              </w:rPr>
              <w:t>מספר באלפים</w:t>
            </w:r>
          </w:p>
        </w:tc>
        <w:tc>
          <w:tcPr>
            <w:tcW w:w="633" w:type="pct"/>
            <w:tcBorders>
              <w:left w:val="single" w:sz="4" w:space="0" w:color="auto"/>
              <w:right w:val="single" w:sz="4" w:space="0" w:color="auto"/>
            </w:tcBorders>
            <w:shd w:val="clear" w:color="auto" w:fill="C8DCE4"/>
            <w:vAlign w:val="bottom"/>
          </w:tcPr>
          <w:p w14:paraId="232DE8C5" w14:textId="77777777" w:rsidR="007C4395" w:rsidRPr="009E6326" w:rsidRDefault="007C4395" w:rsidP="00FB5EA8">
            <w:pPr>
              <w:pStyle w:val="71HEADER"/>
              <w:cnfStyle w:val="000000100000" w:firstRow="0" w:lastRow="0" w:firstColumn="0" w:lastColumn="0" w:oddVBand="0" w:evenVBand="0" w:oddHBand="1" w:evenHBand="0" w:firstRowFirstColumn="0" w:firstRowLastColumn="0" w:lastRowFirstColumn="0" w:lastRowLastColumn="0"/>
              <w:rPr>
                <w:b w:val="0"/>
                <w:bCs/>
                <w:rtl/>
              </w:rPr>
            </w:pPr>
            <w:r w:rsidRPr="009E6326">
              <w:rPr>
                <w:rFonts w:hint="cs"/>
                <w:b w:val="0"/>
                <w:bCs/>
                <w:rtl/>
              </w:rPr>
              <w:t>סכום באלפי ש"ח</w:t>
            </w:r>
          </w:p>
        </w:tc>
        <w:tc>
          <w:tcPr>
            <w:tcW w:w="487" w:type="pct"/>
            <w:tcBorders>
              <w:left w:val="single" w:sz="4" w:space="0" w:color="auto"/>
              <w:right w:val="single" w:sz="4" w:space="0" w:color="auto"/>
            </w:tcBorders>
            <w:shd w:val="clear" w:color="auto" w:fill="C8DCE4"/>
            <w:vAlign w:val="bottom"/>
          </w:tcPr>
          <w:p w14:paraId="33479A12" w14:textId="77777777" w:rsidR="007C4395" w:rsidRPr="009E6326" w:rsidRDefault="007C4395" w:rsidP="00FB5EA8">
            <w:pPr>
              <w:pStyle w:val="71HEADER"/>
              <w:cnfStyle w:val="000000100000" w:firstRow="0" w:lastRow="0" w:firstColumn="0" w:lastColumn="0" w:oddVBand="0" w:evenVBand="0" w:oddHBand="1" w:evenHBand="0" w:firstRowFirstColumn="0" w:firstRowLastColumn="0" w:lastRowFirstColumn="0" w:lastRowLastColumn="0"/>
              <w:rPr>
                <w:b w:val="0"/>
                <w:bCs/>
                <w:rtl/>
              </w:rPr>
            </w:pPr>
            <w:r w:rsidRPr="009E6326">
              <w:rPr>
                <w:rFonts w:hint="cs"/>
                <w:b w:val="0"/>
                <w:bCs/>
                <w:rtl/>
              </w:rPr>
              <w:t>מספר באלפים</w:t>
            </w:r>
          </w:p>
        </w:tc>
        <w:tc>
          <w:tcPr>
            <w:tcW w:w="605" w:type="pct"/>
            <w:tcBorders>
              <w:left w:val="single" w:sz="4" w:space="0" w:color="auto"/>
              <w:right w:val="single" w:sz="4" w:space="0" w:color="auto"/>
            </w:tcBorders>
            <w:shd w:val="clear" w:color="auto" w:fill="C8DCE4"/>
            <w:vAlign w:val="bottom"/>
          </w:tcPr>
          <w:p w14:paraId="5CEE6979" w14:textId="77777777" w:rsidR="007C4395" w:rsidRPr="009E6326" w:rsidRDefault="007C4395" w:rsidP="00FB5EA8">
            <w:pPr>
              <w:pStyle w:val="71HEADER"/>
              <w:cnfStyle w:val="000000100000" w:firstRow="0" w:lastRow="0" w:firstColumn="0" w:lastColumn="0" w:oddVBand="0" w:evenVBand="0" w:oddHBand="1" w:evenHBand="0" w:firstRowFirstColumn="0" w:firstRowLastColumn="0" w:lastRowFirstColumn="0" w:lastRowLastColumn="0"/>
              <w:rPr>
                <w:b w:val="0"/>
                <w:bCs/>
                <w:rtl/>
              </w:rPr>
            </w:pPr>
            <w:r w:rsidRPr="009E6326">
              <w:rPr>
                <w:rFonts w:hint="cs"/>
                <w:b w:val="0"/>
                <w:bCs/>
                <w:rtl/>
              </w:rPr>
              <w:t>סכום באלפי ש"ח</w:t>
            </w:r>
          </w:p>
        </w:tc>
      </w:tr>
      <w:tr w:rsidR="009E6326" w14:paraId="64FAC966" w14:textId="77777777" w:rsidTr="00FB5EA8">
        <w:trPr>
          <w:trHeight w:val="329"/>
          <w:jc w:val="center"/>
        </w:trPr>
        <w:tc>
          <w:tcPr>
            <w:cnfStyle w:val="001000000000" w:firstRow="0" w:lastRow="0" w:firstColumn="1" w:lastColumn="0" w:oddVBand="0" w:evenVBand="0" w:oddHBand="0" w:evenHBand="0" w:firstRowFirstColumn="0" w:firstRowLastColumn="0" w:lastRowFirstColumn="0" w:lastRowLastColumn="0"/>
            <w:tcW w:w="1451" w:type="pct"/>
            <w:gridSpan w:val="2"/>
            <w:tcBorders>
              <w:left w:val="single" w:sz="4" w:space="0" w:color="auto"/>
              <w:right w:val="single" w:sz="4" w:space="0" w:color="auto"/>
            </w:tcBorders>
            <w:shd w:val="clear" w:color="auto" w:fill="DDEAEE"/>
          </w:tcPr>
          <w:p w14:paraId="6104FC8A" w14:textId="77777777" w:rsidR="007C4395" w:rsidRPr="009E6326" w:rsidRDefault="007C4395" w:rsidP="009E6326">
            <w:pPr>
              <w:pStyle w:val="71R"/>
              <w:rPr>
                <w:b w:val="0"/>
                <w:bCs w:val="0"/>
                <w:rtl/>
              </w:rPr>
            </w:pPr>
            <w:r w:rsidRPr="009E6326">
              <w:rPr>
                <w:rFonts w:hint="cs"/>
                <w:b w:val="0"/>
                <w:bCs w:val="0"/>
                <w:rtl/>
              </w:rPr>
              <w:t>פניות מאת משרדי הממשלה</w:t>
            </w:r>
          </w:p>
        </w:tc>
        <w:tc>
          <w:tcPr>
            <w:tcW w:w="565" w:type="pct"/>
            <w:tcBorders>
              <w:left w:val="single" w:sz="4" w:space="0" w:color="auto"/>
              <w:right w:val="single" w:sz="4" w:space="0" w:color="auto"/>
            </w:tcBorders>
            <w:shd w:val="clear" w:color="auto" w:fill="DDEAEE"/>
          </w:tcPr>
          <w:p w14:paraId="175912ED"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88</w:t>
            </w:r>
          </w:p>
        </w:tc>
        <w:tc>
          <w:tcPr>
            <w:tcW w:w="646" w:type="pct"/>
            <w:tcBorders>
              <w:left w:val="single" w:sz="4" w:space="0" w:color="auto"/>
              <w:right w:val="single" w:sz="4" w:space="0" w:color="auto"/>
            </w:tcBorders>
            <w:shd w:val="clear" w:color="auto" w:fill="DDEAEE"/>
          </w:tcPr>
          <w:p w14:paraId="4F37CAF0"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365,389</w:t>
            </w:r>
          </w:p>
        </w:tc>
        <w:tc>
          <w:tcPr>
            <w:tcW w:w="614" w:type="pct"/>
            <w:tcBorders>
              <w:left w:val="single" w:sz="4" w:space="0" w:color="auto"/>
              <w:right w:val="single" w:sz="4" w:space="0" w:color="auto"/>
            </w:tcBorders>
            <w:shd w:val="clear" w:color="auto" w:fill="DDEAEE"/>
          </w:tcPr>
          <w:p w14:paraId="2A7145E9"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62</w:t>
            </w:r>
          </w:p>
        </w:tc>
        <w:tc>
          <w:tcPr>
            <w:tcW w:w="633" w:type="pct"/>
            <w:tcBorders>
              <w:left w:val="single" w:sz="4" w:space="0" w:color="auto"/>
              <w:right w:val="single" w:sz="4" w:space="0" w:color="auto"/>
            </w:tcBorders>
            <w:shd w:val="clear" w:color="auto" w:fill="DDEAEE"/>
          </w:tcPr>
          <w:p w14:paraId="5693C4A0"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83,912</w:t>
            </w:r>
          </w:p>
        </w:tc>
        <w:tc>
          <w:tcPr>
            <w:tcW w:w="487" w:type="pct"/>
            <w:tcBorders>
              <w:left w:val="single" w:sz="4" w:space="0" w:color="auto"/>
              <w:right w:val="single" w:sz="4" w:space="0" w:color="auto"/>
            </w:tcBorders>
            <w:shd w:val="clear" w:color="auto" w:fill="DDEAEE"/>
          </w:tcPr>
          <w:p w14:paraId="7DEB04D0"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10</w:t>
            </w:r>
          </w:p>
        </w:tc>
        <w:tc>
          <w:tcPr>
            <w:tcW w:w="605" w:type="pct"/>
            <w:tcBorders>
              <w:left w:val="single" w:sz="4" w:space="0" w:color="auto"/>
              <w:right w:val="single" w:sz="4" w:space="0" w:color="auto"/>
            </w:tcBorders>
            <w:shd w:val="clear" w:color="auto" w:fill="DDEAEE"/>
          </w:tcPr>
          <w:p w14:paraId="3C24A5D6"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27,287</w:t>
            </w:r>
          </w:p>
        </w:tc>
      </w:tr>
      <w:tr w:rsidR="00FB5EA8" w14:paraId="77D749C1" w14:textId="77777777" w:rsidTr="00FB5EA8">
        <w:trPr>
          <w:cnfStyle w:val="000000100000" w:firstRow="0" w:lastRow="0" w:firstColumn="0" w:lastColumn="0" w:oddVBand="0" w:evenVBand="0" w:oddHBand="1" w:evenHBand="0" w:firstRowFirstColumn="0" w:firstRowLastColumn="0" w:lastRowFirstColumn="0" w:lastRowLastColumn="0"/>
          <w:trHeight w:val="344"/>
          <w:jc w:val="center"/>
        </w:trPr>
        <w:tc>
          <w:tcPr>
            <w:cnfStyle w:val="001000000000" w:firstRow="0" w:lastRow="0" w:firstColumn="1" w:lastColumn="0" w:oddVBand="0" w:evenVBand="0" w:oddHBand="0" w:evenHBand="0" w:firstRowFirstColumn="0" w:firstRowLastColumn="0" w:lastRowFirstColumn="0" w:lastRowLastColumn="0"/>
            <w:tcW w:w="1451" w:type="pct"/>
            <w:gridSpan w:val="2"/>
            <w:tcBorders>
              <w:left w:val="single" w:sz="4" w:space="0" w:color="auto"/>
              <w:right w:val="single" w:sz="4" w:space="0" w:color="auto"/>
            </w:tcBorders>
            <w:shd w:val="clear" w:color="auto" w:fill="EEF6F7"/>
          </w:tcPr>
          <w:p w14:paraId="040D32EA" w14:textId="77777777" w:rsidR="007C4395" w:rsidRPr="009E6326" w:rsidRDefault="007C4395" w:rsidP="009E6326">
            <w:pPr>
              <w:pStyle w:val="71R"/>
              <w:rPr>
                <w:b w:val="0"/>
                <w:bCs w:val="0"/>
                <w:rtl/>
              </w:rPr>
            </w:pPr>
            <w:r w:rsidRPr="009E6326">
              <w:rPr>
                <w:rFonts w:hint="cs"/>
                <w:b w:val="0"/>
                <w:bCs w:val="0"/>
                <w:rtl/>
              </w:rPr>
              <w:t xml:space="preserve">מהן תיקים שנפתחו </w:t>
            </w:r>
          </w:p>
        </w:tc>
        <w:tc>
          <w:tcPr>
            <w:tcW w:w="565" w:type="pct"/>
            <w:tcBorders>
              <w:left w:val="single" w:sz="4" w:space="0" w:color="auto"/>
              <w:right w:val="single" w:sz="4" w:space="0" w:color="auto"/>
            </w:tcBorders>
            <w:shd w:val="clear" w:color="auto" w:fill="EEF6F7"/>
          </w:tcPr>
          <w:p w14:paraId="0966DADB"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21</w:t>
            </w:r>
          </w:p>
        </w:tc>
        <w:tc>
          <w:tcPr>
            <w:tcW w:w="646" w:type="pct"/>
            <w:tcBorders>
              <w:left w:val="single" w:sz="4" w:space="0" w:color="auto"/>
              <w:right w:val="single" w:sz="4" w:space="0" w:color="auto"/>
            </w:tcBorders>
            <w:shd w:val="clear" w:color="auto" w:fill="EEF6F7"/>
          </w:tcPr>
          <w:p w14:paraId="49E6BE9A"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60,621</w:t>
            </w:r>
          </w:p>
        </w:tc>
        <w:tc>
          <w:tcPr>
            <w:tcW w:w="614" w:type="pct"/>
            <w:tcBorders>
              <w:left w:val="single" w:sz="4" w:space="0" w:color="auto"/>
              <w:right w:val="single" w:sz="4" w:space="0" w:color="auto"/>
            </w:tcBorders>
            <w:shd w:val="clear" w:color="auto" w:fill="EEF6F7"/>
          </w:tcPr>
          <w:p w14:paraId="342AF8E1"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24</w:t>
            </w:r>
          </w:p>
        </w:tc>
        <w:tc>
          <w:tcPr>
            <w:tcW w:w="633" w:type="pct"/>
            <w:tcBorders>
              <w:left w:val="single" w:sz="4" w:space="0" w:color="auto"/>
              <w:right w:val="single" w:sz="4" w:space="0" w:color="auto"/>
            </w:tcBorders>
            <w:shd w:val="clear" w:color="auto" w:fill="EEF6F7"/>
          </w:tcPr>
          <w:p w14:paraId="6F9AAEE5"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29,690</w:t>
            </w:r>
          </w:p>
        </w:tc>
        <w:tc>
          <w:tcPr>
            <w:tcW w:w="487" w:type="pct"/>
            <w:tcBorders>
              <w:left w:val="single" w:sz="4" w:space="0" w:color="auto"/>
              <w:right w:val="single" w:sz="4" w:space="0" w:color="auto"/>
            </w:tcBorders>
            <w:shd w:val="clear" w:color="auto" w:fill="EEF6F7"/>
          </w:tcPr>
          <w:p w14:paraId="1C347B42"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5</w:t>
            </w:r>
          </w:p>
        </w:tc>
        <w:tc>
          <w:tcPr>
            <w:tcW w:w="605" w:type="pct"/>
            <w:tcBorders>
              <w:left w:val="single" w:sz="4" w:space="0" w:color="auto"/>
              <w:right w:val="single" w:sz="4" w:space="0" w:color="auto"/>
            </w:tcBorders>
            <w:shd w:val="clear" w:color="auto" w:fill="EEF6F7"/>
          </w:tcPr>
          <w:p w14:paraId="24695464"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9,013</w:t>
            </w:r>
          </w:p>
        </w:tc>
      </w:tr>
      <w:tr w:rsidR="00FB5EA8" w14:paraId="47907BD9" w14:textId="77777777" w:rsidTr="00FB5EA8">
        <w:trPr>
          <w:trHeight w:val="344"/>
          <w:jc w:val="center"/>
        </w:trPr>
        <w:tc>
          <w:tcPr>
            <w:cnfStyle w:val="001000000000" w:firstRow="0" w:lastRow="0" w:firstColumn="1" w:lastColumn="0" w:oddVBand="0" w:evenVBand="0" w:oddHBand="0" w:evenHBand="0" w:firstRowFirstColumn="0" w:firstRowLastColumn="0" w:lastRowFirstColumn="0" w:lastRowLastColumn="0"/>
            <w:tcW w:w="565" w:type="pct"/>
            <w:vMerge w:val="restart"/>
            <w:tcBorders>
              <w:left w:val="single" w:sz="4" w:space="0" w:color="auto"/>
              <w:right w:val="single" w:sz="4" w:space="0" w:color="auto"/>
            </w:tcBorders>
            <w:shd w:val="clear" w:color="auto" w:fill="DDEAEE"/>
          </w:tcPr>
          <w:p w14:paraId="1935719E" w14:textId="77777777" w:rsidR="007C4395" w:rsidRPr="009E6326" w:rsidRDefault="007C4395" w:rsidP="009E6326">
            <w:pPr>
              <w:pStyle w:val="71R"/>
              <w:rPr>
                <w:b w:val="0"/>
                <w:bCs w:val="0"/>
                <w:rtl/>
              </w:rPr>
            </w:pPr>
            <w:r w:rsidRPr="009E6326">
              <w:rPr>
                <w:rFonts w:hint="cs"/>
                <w:b w:val="0"/>
                <w:bCs w:val="0"/>
                <w:rtl/>
              </w:rPr>
              <w:t>פניות שלא נפתחו בגינן תיקים</w:t>
            </w:r>
          </w:p>
        </w:tc>
        <w:tc>
          <w:tcPr>
            <w:tcW w:w="886" w:type="pct"/>
            <w:tcBorders>
              <w:left w:val="single" w:sz="4" w:space="0" w:color="auto"/>
              <w:right w:val="single" w:sz="4" w:space="0" w:color="auto"/>
            </w:tcBorders>
            <w:shd w:val="clear" w:color="auto" w:fill="DDEAEE"/>
          </w:tcPr>
          <w:p w14:paraId="325481A8"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פניות שנסגרו עקב תשלום החוב טרם פתיחת התיק</w:t>
            </w:r>
          </w:p>
        </w:tc>
        <w:tc>
          <w:tcPr>
            <w:tcW w:w="565" w:type="pct"/>
            <w:tcBorders>
              <w:left w:val="single" w:sz="4" w:space="0" w:color="auto"/>
              <w:right w:val="single" w:sz="4" w:space="0" w:color="auto"/>
            </w:tcBorders>
            <w:shd w:val="clear" w:color="auto" w:fill="DDEAEE"/>
          </w:tcPr>
          <w:p w14:paraId="6EFED9E7"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12</w:t>
            </w:r>
          </w:p>
        </w:tc>
        <w:tc>
          <w:tcPr>
            <w:tcW w:w="646" w:type="pct"/>
            <w:tcBorders>
              <w:left w:val="single" w:sz="4" w:space="0" w:color="auto"/>
              <w:right w:val="single" w:sz="4" w:space="0" w:color="auto"/>
            </w:tcBorders>
            <w:shd w:val="clear" w:color="auto" w:fill="DDEAEE"/>
          </w:tcPr>
          <w:p w14:paraId="41FA64E2"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p>
        </w:tc>
        <w:tc>
          <w:tcPr>
            <w:tcW w:w="614" w:type="pct"/>
            <w:tcBorders>
              <w:left w:val="single" w:sz="4" w:space="0" w:color="auto"/>
              <w:right w:val="single" w:sz="4" w:space="0" w:color="auto"/>
            </w:tcBorders>
            <w:shd w:val="clear" w:color="auto" w:fill="DDEAEE"/>
          </w:tcPr>
          <w:p w14:paraId="3DFD1695"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9</w:t>
            </w:r>
          </w:p>
        </w:tc>
        <w:tc>
          <w:tcPr>
            <w:tcW w:w="633" w:type="pct"/>
            <w:tcBorders>
              <w:left w:val="single" w:sz="4" w:space="0" w:color="auto"/>
              <w:right w:val="single" w:sz="4" w:space="0" w:color="auto"/>
            </w:tcBorders>
            <w:shd w:val="clear" w:color="auto" w:fill="DDEAEE"/>
          </w:tcPr>
          <w:p w14:paraId="31581BDC"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p>
        </w:tc>
        <w:tc>
          <w:tcPr>
            <w:tcW w:w="487" w:type="pct"/>
            <w:tcBorders>
              <w:left w:val="single" w:sz="4" w:space="0" w:color="auto"/>
              <w:right w:val="single" w:sz="4" w:space="0" w:color="auto"/>
            </w:tcBorders>
            <w:shd w:val="clear" w:color="auto" w:fill="DDEAEE"/>
          </w:tcPr>
          <w:p w14:paraId="1C319693"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sidRPr="009E6326">
              <w:rPr>
                <w:rFonts w:hint="cs"/>
                <w:rtl/>
              </w:rPr>
              <w:t>2</w:t>
            </w:r>
          </w:p>
        </w:tc>
        <w:tc>
          <w:tcPr>
            <w:tcW w:w="605" w:type="pct"/>
            <w:tcBorders>
              <w:left w:val="single" w:sz="4" w:space="0" w:color="auto"/>
              <w:right w:val="single" w:sz="4" w:space="0" w:color="auto"/>
            </w:tcBorders>
            <w:shd w:val="clear" w:color="auto" w:fill="DDEAEE"/>
          </w:tcPr>
          <w:p w14:paraId="356A3C1A"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p>
        </w:tc>
      </w:tr>
      <w:tr w:rsidR="00FB5EA8" w14:paraId="4B6A2563" w14:textId="77777777" w:rsidTr="00FB5EA8">
        <w:trPr>
          <w:cnfStyle w:val="000000100000" w:firstRow="0" w:lastRow="0" w:firstColumn="0" w:lastColumn="0" w:oddVBand="0" w:evenVBand="0" w:oddHBand="1" w:evenHBand="0" w:firstRowFirstColumn="0" w:firstRowLastColumn="0" w:lastRowFirstColumn="0" w:lastRowLastColumn="0"/>
          <w:trHeight w:val="344"/>
          <w:jc w:val="center"/>
        </w:trPr>
        <w:tc>
          <w:tcPr>
            <w:cnfStyle w:val="001000000000" w:firstRow="0" w:lastRow="0" w:firstColumn="1" w:lastColumn="0" w:oddVBand="0" w:evenVBand="0" w:oddHBand="0" w:evenHBand="0" w:firstRowFirstColumn="0" w:firstRowLastColumn="0" w:lastRowFirstColumn="0" w:lastRowLastColumn="0"/>
            <w:tcW w:w="565" w:type="pct"/>
            <w:vMerge/>
            <w:tcBorders>
              <w:left w:val="single" w:sz="4" w:space="0" w:color="auto"/>
              <w:right w:val="single" w:sz="4" w:space="0" w:color="auto"/>
            </w:tcBorders>
            <w:shd w:val="clear" w:color="auto" w:fill="DDEAEE"/>
          </w:tcPr>
          <w:p w14:paraId="0CEC1BD6" w14:textId="77777777" w:rsidR="007C4395" w:rsidRPr="009E6326" w:rsidRDefault="007C4395" w:rsidP="009E6326">
            <w:pPr>
              <w:pStyle w:val="71R"/>
              <w:rPr>
                <w:b w:val="0"/>
                <w:bCs w:val="0"/>
                <w:rtl/>
              </w:rPr>
            </w:pPr>
          </w:p>
        </w:tc>
        <w:tc>
          <w:tcPr>
            <w:tcW w:w="886" w:type="pct"/>
            <w:tcBorders>
              <w:left w:val="single" w:sz="4" w:space="0" w:color="auto"/>
              <w:right w:val="single" w:sz="4" w:space="0" w:color="auto"/>
            </w:tcBorders>
            <w:shd w:val="clear" w:color="auto" w:fill="EEF6F7"/>
          </w:tcPr>
          <w:p w14:paraId="58F498B6"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פניות שלא נפתחו בגינן תיקים מסיבות אחרות *</w:t>
            </w:r>
          </w:p>
        </w:tc>
        <w:tc>
          <w:tcPr>
            <w:tcW w:w="565" w:type="pct"/>
            <w:tcBorders>
              <w:left w:val="single" w:sz="4" w:space="0" w:color="auto"/>
              <w:right w:val="single" w:sz="4" w:space="0" w:color="auto"/>
            </w:tcBorders>
            <w:shd w:val="clear" w:color="auto" w:fill="EEF6F7"/>
          </w:tcPr>
          <w:p w14:paraId="3A937242"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55</w:t>
            </w:r>
          </w:p>
        </w:tc>
        <w:tc>
          <w:tcPr>
            <w:tcW w:w="646" w:type="pct"/>
            <w:tcBorders>
              <w:left w:val="single" w:sz="4" w:space="0" w:color="auto"/>
              <w:right w:val="single" w:sz="4" w:space="0" w:color="auto"/>
            </w:tcBorders>
            <w:shd w:val="clear" w:color="auto" w:fill="EEF6F7"/>
          </w:tcPr>
          <w:p w14:paraId="45931648"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p>
        </w:tc>
        <w:tc>
          <w:tcPr>
            <w:tcW w:w="614" w:type="pct"/>
            <w:tcBorders>
              <w:left w:val="single" w:sz="4" w:space="0" w:color="auto"/>
              <w:right w:val="single" w:sz="4" w:space="0" w:color="auto"/>
            </w:tcBorders>
            <w:shd w:val="clear" w:color="auto" w:fill="EEF6F7"/>
          </w:tcPr>
          <w:p w14:paraId="36CAACDC"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29</w:t>
            </w:r>
          </w:p>
        </w:tc>
        <w:tc>
          <w:tcPr>
            <w:tcW w:w="633" w:type="pct"/>
            <w:tcBorders>
              <w:left w:val="single" w:sz="4" w:space="0" w:color="auto"/>
              <w:right w:val="single" w:sz="4" w:space="0" w:color="auto"/>
            </w:tcBorders>
            <w:shd w:val="clear" w:color="auto" w:fill="EEF6F7"/>
          </w:tcPr>
          <w:p w14:paraId="1856528F"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p>
        </w:tc>
        <w:tc>
          <w:tcPr>
            <w:tcW w:w="487" w:type="pct"/>
            <w:tcBorders>
              <w:left w:val="single" w:sz="4" w:space="0" w:color="auto"/>
              <w:right w:val="single" w:sz="4" w:space="0" w:color="auto"/>
            </w:tcBorders>
            <w:shd w:val="clear" w:color="auto" w:fill="EEF6F7"/>
          </w:tcPr>
          <w:p w14:paraId="42A9FB3C"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sidRPr="009E6326">
              <w:rPr>
                <w:rFonts w:hint="cs"/>
                <w:rtl/>
              </w:rPr>
              <w:t>3</w:t>
            </w:r>
          </w:p>
        </w:tc>
        <w:tc>
          <w:tcPr>
            <w:tcW w:w="605" w:type="pct"/>
            <w:tcBorders>
              <w:left w:val="single" w:sz="4" w:space="0" w:color="auto"/>
              <w:right w:val="single" w:sz="4" w:space="0" w:color="auto"/>
            </w:tcBorders>
            <w:shd w:val="clear" w:color="auto" w:fill="EEF6F7"/>
          </w:tcPr>
          <w:p w14:paraId="0E180AFC" w14:textId="77777777" w:rsidR="007C4395" w:rsidRPr="009E6326"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p>
        </w:tc>
      </w:tr>
    </w:tbl>
    <w:p w14:paraId="42291783" w14:textId="77777777" w:rsidR="007C4395" w:rsidRPr="00010778" w:rsidRDefault="007C4395" w:rsidP="00010778">
      <w:pPr>
        <w:pStyle w:val="71c"/>
        <w:spacing w:after="0"/>
        <w:rPr>
          <w:rtl/>
        </w:rPr>
      </w:pPr>
      <w:r w:rsidRPr="00010778">
        <w:rPr>
          <w:rFonts w:hint="eastAsia"/>
          <w:rtl/>
        </w:rPr>
        <w:t>על</w:t>
      </w:r>
      <w:r w:rsidRPr="00010778">
        <w:rPr>
          <w:rtl/>
        </w:rPr>
        <w:t xml:space="preserve"> פי </w:t>
      </w:r>
      <w:r w:rsidRPr="00010778">
        <w:rPr>
          <w:rFonts w:hint="eastAsia"/>
          <w:rtl/>
        </w:rPr>
        <w:t>נתונים</w:t>
      </w:r>
      <w:r w:rsidRPr="00010778">
        <w:rPr>
          <w:rtl/>
        </w:rPr>
        <w:t xml:space="preserve"> </w:t>
      </w:r>
      <w:r w:rsidRPr="00010778">
        <w:rPr>
          <w:rFonts w:hint="eastAsia"/>
          <w:rtl/>
        </w:rPr>
        <w:t>מאת</w:t>
      </w:r>
      <w:r w:rsidRPr="00010778">
        <w:rPr>
          <w:rtl/>
        </w:rPr>
        <w:t xml:space="preserve"> </w:t>
      </w:r>
      <w:r w:rsidRPr="00010778">
        <w:rPr>
          <w:rFonts w:hint="eastAsia"/>
          <w:rtl/>
        </w:rPr>
        <w:t>רשות</w:t>
      </w:r>
      <w:r w:rsidRPr="00010778">
        <w:rPr>
          <w:rtl/>
        </w:rPr>
        <w:t xml:space="preserve"> </w:t>
      </w:r>
      <w:r w:rsidRPr="00010778">
        <w:rPr>
          <w:rFonts w:hint="eastAsia"/>
          <w:rtl/>
        </w:rPr>
        <w:t>האכיפה</w:t>
      </w:r>
      <w:r w:rsidRPr="00010778">
        <w:rPr>
          <w:rtl/>
        </w:rPr>
        <w:t xml:space="preserve"> </w:t>
      </w:r>
      <w:r w:rsidRPr="00010778">
        <w:rPr>
          <w:rFonts w:hint="eastAsia"/>
          <w:rtl/>
        </w:rPr>
        <w:t>והגבייה</w:t>
      </w:r>
      <w:r w:rsidRPr="00010778">
        <w:rPr>
          <w:rtl/>
        </w:rPr>
        <w:t xml:space="preserve"> </w:t>
      </w:r>
      <w:r w:rsidRPr="00010778">
        <w:rPr>
          <w:rFonts w:hint="eastAsia"/>
          <w:rtl/>
        </w:rPr>
        <w:t>לשנים</w:t>
      </w:r>
      <w:r w:rsidRPr="00010778">
        <w:rPr>
          <w:rtl/>
        </w:rPr>
        <w:t xml:space="preserve"> 2018 - 2020, </w:t>
      </w:r>
      <w:r w:rsidRPr="00010778">
        <w:rPr>
          <w:rFonts w:hint="eastAsia"/>
          <w:rtl/>
        </w:rPr>
        <w:t>בעיבוד</w:t>
      </w:r>
      <w:r w:rsidRPr="00010778">
        <w:rPr>
          <w:rtl/>
        </w:rPr>
        <w:t xml:space="preserve"> </w:t>
      </w:r>
      <w:r w:rsidRPr="00010778">
        <w:rPr>
          <w:rFonts w:hint="eastAsia"/>
          <w:rtl/>
        </w:rPr>
        <w:t>משרד</w:t>
      </w:r>
      <w:r w:rsidRPr="00010778">
        <w:rPr>
          <w:rtl/>
        </w:rPr>
        <w:t xml:space="preserve"> </w:t>
      </w:r>
      <w:r w:rsidRPr="00010778">
        <w:rPr>
          <w:rFonts w:hint="eastAsia"/>
          <w:rtl/>
        </w:rPr>
        <w:t>מבקר</w:t>
      </w:r>
      <w:r w:rsidRPr="00010778">
        <w:rPr>
          <w:rtl/>
        </w:rPr>
        <w:t xml:space="preserve"> </w:t>
      </w:r>
      <w:r w:rsidRPr="00010778">
        <w:rPr>
          <w:rFonts w:hint="eastAsia"/>
          <w:rtl/>
        </w:rPr>
        <w:t>המדינה</w:t>
      </w:r>
      <w:r w:rsidRPr="00010778">
        <w:rPr>
          <w:rtl/>
        </w:rPr>
        <w:t>.</w:t>
      </w:r>
    </w:p>
    <w:p w14:paraId="3D77E08B" w14:textId="020A5FA0" w:rsidR="007C4395" w:rsidRPr="00010778" w:rsidRDefault="007C4395" w:rsidP="00010778">
      <w:pPr>
        <w:pStyle w:val="71c"/>
        <w:spacing w:before="0"/>
        <w:ind w:left="397" w:hanging="397"/>
        <w:rPr>
          <w:rtl/>
        </w:rPr>
      </w:pPr>
      <w:r w:rsidRPr="00010778">
        <w:rPr>
          <w:rtl/>
        </w:rPr>
        <w:t xml:space="preserve">* </w:t>
      </w:r>
      <w:r w:rsidR="00010778">
        <w:rPr>
          <w:rtl/>
        </w:rPr>
        <w:tab/>
      </w:r>
      <w:r w:rsidRPr="00010778">
        <w:rPr>
          <w:rFonts w:hint="eastAsia"/>
          <w:rtl/>
        </w:rPr>
        <w:t>עם</w:t>
      </w:r>
      <w:r w:rsidRPr="00010778">
        <w:rPr>
          <w:rtl/>
        </w:rPr>
        <w:t xml:space="preserve"> </w:t>
      </w:r>
      <w:r w:rsidRPr="00010778">
        <w:rPr>
          <w:rFonts w:hint="eastAsia"/>
          <w:rtl/>
        </w:rPr>
        <w:t>ה</w:t>
      </w:r>
      <w:r w:rsidRPr="00010778">
        <w:rPr>
          <w:rtl/>
        </w:rPr>
        <w:t xml:space="preserve">סיבות </w:t>
      </w:r>
      <w:r w:rsidRPr="00010778">
        <w:rPr>
          <w:rFonts w:hint="eastAsia"/>
          <w:rtl/>
        </w:rPr>
        <w:t>לכך</w:t>
      </w:r>
      <w:r w:rsidRPr="00010778">
        <w:rPr>
          <w:rtl/>
        </w:rPr>
        <w:t xml:space="preserve"> </w:t>
      </w:r>
      <w:r w:rsidRPr="00010778">
        <w:rPr>
          <w:rFonts w:hint="eastAsia"/>
          <w:rtl/>
        </w:rPr>
        <w:t>נמנים</w:t>
      </w:r>
      <w:r w:rsidRPr="00010778">
        <w:rPr>
          <w:rtl/>
        </w:rPr>
        <w:t xml:space="preserve"> המשך טיפול של המשרד הממשלתי בחוב ע</w:t>
      </w:r>
      <w:r w:rsidRPr="00010778">
        <w:rPr>
          <w:rFonts w:hint="eastAsia"/>
          <w:rtl/>
        </w:rPr>
        <w:t>ל</w:t>
      </w:r>
      <w:r w:rsidRPr="00010778">
        <w:rPr>
          <w:rtl/>
        </w:rPr>
        <w:t xml:space="preserve"> </w:t>
      </w:r>
      <w:r w:rsidRPr="00010778">
        <w:rPr>
          <w:rFonts w:hint="eastAsia"/>
          <w:rtl/>
        </w:rPr>
        <w:t>ידי</w:t>
      </w:r>
      <w:r w:rsidRPr="00010778">
        <w:rPr>
          <w:rtl/>
        </w:rPr>
        <w:t xml:space="preserve"> הקטנ</w:t>
      </w:r>
      <w:r w:rsidRPr="00010778">
        <w:rPr>
          <w:rFonts w:hint="eastAsia"/>
          <w:rtl/>
        </w:rPr>
        <w:t>תו</w:t>
      </w:r>
      <w:r w:rsidRPr="00010778">
        <w:rPr>
          <w:rtl/>
        </w:rPr>
        <w:t xml:space="preserve"> או מחיקתו </w:t>
      </w:r>
      <w:r w:rsidRPr="00010778">
        <w:rPr>
          <w:rFonts w:hint="eastAsia"/>
          <w:rtl/>
        </w:rPr>
        <w:t>וכן</w:t>
      </w:r>
      <w:r w:rsidRPr="00010778">
        <w:rPr>
          <w:rtl/>
        </w:rPr>
        <w:t xml:space="preserve"> </w:t>
      </w:r>
      <w:r w:rsidRPr="00010778">
        <w:rPr>
          <w:rFonts w:hint="eastAsia"/>
          <w:rtl/>
        </w:rPr>
        <w:t>היעדר</w:t>
      </w:r>
      <w:r w:rsidRPr="00010778">
        <w:rPr>
          <w:rtl/>
        </w:rPr>
        <w:t xml:space="preserve"> </w:t>
      </w:r>
      <w:r w:rsidRPr="00010778">
        <w:rPr>
          <w:rFonts w:hint="eastAsia"/>
          <w:rtl/>
        </w:rPr>
        <w:t>ה</w:t>
      </w:r>
      <w:r w:rsidRPr="00010778">
        <w:rPr>
          <w:rtl/>
        </w:rPr>
        <w:t>יכולת לאמת את פרטי החייב.</w:t>
      </w:r>
    </w:p>
    <w:p w14:paraId="3AEE1A2D" w14:textId="78B7C472" w:rsidR="007C4395" w:rsidRDefault="007C4395" w:rsidP="002A738D">
      <w:pPr>
        <w:pStyle w:val="7190"/>
        <w:rPr>
          <w:rtl/>
        </w:rPr>
      </w:pPr>
      <w:r w:rsidRPr="00256600">
        <w:rPr>
          <w:rFonts w:hint="cs"/>
          <w:rtl/>
        </w:rPr>
        <w:lastRenderedPageBreak/>
        <w:t xml:space="preserve">מהלוח </w:t>
      </w:r>
      <w:r>
        <w:rPr>
          <w:rFonts w:hint="cs"/>
          <w:rtl/>
        </w:rPr>
        <w:t>ש</w:t>
      </w:r>
      <w:r w:rsidRPr="00256600">
        <w:rPr>
          <w:rFonts w:hint="cs"/>
          <w:rtl/>
        </w:rPr>
        <w:t xml:space="preserve">לעיל עולה </w:t>
      </w:r>
      <w:r>
        <w:rPr>
          <w:rFonts w:hint="cs"/>
          <w:rtl/>
        </w:rPr>
        <w:t xml:space="preserve">כי </w:t>
      </w:r>
      <w:r w:rsidRPr="00256600">
        <w:rPr>
          <w:rFonts w:hint="cs"/>
          <w:rtl/>
        </w:rPr>
        <w:t xml:space="preserve">בשנים 2018 - 2020 </w:t>
      </w:r>
      <w:r>
        <w:rPr>
          <w:rFonts w:hint="cs"/>
          <w:rtl/>
        </w:rPr>
        <w:t xml:space="preserve">יש עלייה </w:t>
      </w:r>
      <w:r w:rsidRPr="00256600">
        <w:rPr>
          <w:rFonts w:hint="cs"/>
          <w:rtl/>
        </w:rPr>
        <w:t xml:space="preserve">בכמות הפניות ובסכומי הפניות שהועברו לטיפולו של </w:t>
      </w:r>
      <w:proofErr w:type="spellStart"/>
      <w:r w:rsidRPr="00256600">
        <w:rPr>
          <w:rFonts w:hint="cs"/>
          <w:rtl/>
        </w:rPr>
        <w:t>המנ"ג</w:t>
      </w:r>
      <w:proofErr w:type="spellEnd"/>
      <w:r w:rsidRPr="00256600">
        <w:rPr>
          <w:rFonts w:hint="cs"/>
          <w:rtl/>
        </w:rPr>
        <w:t xml:space="preserve">. ההיקף הכספי של הפניות שהועברו ממשרדי הממשלה בשנת 2020 גדול </w:t>
      </w:r>
      <w:proofErr w:type="spellStart"/>
      <w:r w:rsidRPr="00256600">
        <w:rPr>
          <w:rFonts w:hint="cs"/>
          <w:rtl/>
        </w:rPr>
        <w:t>בכ</w:t>
      </w:r>
      <w:proofErr w:type="spellEnd"/>
      <w:r w:rsidRPr="00256600">
        <w:rPr>
          <w:rFonts w:hint="cs"/>
          <w:rtl/>
        </w:rPr>
        <w:t xml:space="preserve">-335% מאלו שהועברו בשנת 2019, וההיקף הכספי של התיקים שנפתחו בשנת 2020 גדול </w:t>
      </w:r>
      <w:proofErr w:type="spellStart"/>
      <w:r w:rsidRPr="00256600">
        <w:rPr>
          <w:rFonts w:hint="cs"/>
          <w:rtl/>
        </w:rPr>
        <w:t>בכ</w:t>
      </w:r>
      <w:proofErr w:type="spellEnd"/>
      <w:r w:rsidRPr="00256600">
        <w:rPr>
          <w:rFonts w:hint="cs"/>
          <w:rtl/>
        </w:rPr>
        <w:t>-104% מ</w:t>
      </w:r>
      <w:r>
        <w:rPr>
          <w:rFonts w:hint="cs"/>
          <w:rtl/>
        </w:rPr>
        <w:t xml:space="preserve">זה של </w:t>
      </w:r>
      <w:r w:rsidRPr="00256600">
        <w:rPr>
          <w:rFonts w:hint="cs"/>
          <w:rtl/>
        </w:rPr>
        <w:t>התיקים שנפתחו בשנת 2019.</w:t>
      </w:r>
    </w:p>
    <w:p w14:paraId="5B6EF67B" w14:textId="77777777" w:rsidR="007C4395" w:rsidRPr="003B2683" w:rsidRDefault="007C4395" w:rsidP="003B2683">
      <w:pPr>
        <w:pStyle w:val="71a"/>
        <w:rPr>
          <w:rStyle w:val="71Char6"/>
          <w:rFonts w:eastAsiaTheme="minorEastAsia"/>
          <w:sz w:val="20"/>
          <w:szCs w:val="20"/>
          <w:shd w:val="clear" w:color="auto" w:fill="auto"/>
          <w:rtl/>
          <w:lang w:eastAsia="en-US"/>
        </w:rPr>
      </w:pPr>
      <w:r w:rsidRPr="003B2683">
        <w:rPr>
          <w:rFonts w:hint="cs"/>
          <w:b w:val="0"/>
          <w:bCs w:val="0"/>
          <w:rtl/>
        </w:rPr>
        <w:t>לוח 15:</w:t>
      </w:r>
      <w:r w:rsidRPr="003B2683">
        <w:rPr>
          <w:rStyle w:val="71Char6"/>
          <w:rFonts w:eastAsiaTheme="minorEastAsia" w:hint="cs"/>
          <w:sz w:val="20"/>
          <w:szCs w:val="20"/>
          <w:shd w:val="clear" w:color="auto" w:fill="auto"/>
          <w:rtl/>
          <w:lang w:eastAsia="en-US"/>
        </w:rPr>
        <w:t xml:space="preserve"> נתוני גבייה על ידי </w:t>
      </w:r>
      <w:proofErr w:type="spellStart"/>
      <w:r w:rsidRPr="003B2683">
        <w:rPr>
          <w:rStyle w:val="71Char6"/>
          <w:rFonts w:eastAsiaTheme="minorEastAsia" w:hint="cs"/>
          <w:sz w:val="20"/>
          <w:szCs w:val="20"/>
          <w:shd w:val="clear" w:color="auto" w:fill="auto"/>
          <w:rtl/>
          <w:lang w:eastAsia="en-US"/>
        </w:rPr>
        <w:t>מינהל</w:t>
      </w:r>
      <w:proofErr w:type="spellEnd"/>
      <w:r w:rsidRPr="003B2683">
        <w:rPr>
          <w:rStyle w:val="71Char6"/>
          <w:rFonts w:eastAsiaTheme="minorEastAsia" w:hint="cs"/>
          <w:sz w:val="20"/>
          <w:szCs w:val="20"/>
          <w:shd w:val="clear" w:color="auto" w:fill="auto"/>
          <w:rtl/>
          <w:lang w:eastAsia="en-US"/>
        </w:rPr>
        <w:t xml:space="preserve"> הגבייה הממשלתי לאחר פתיחת התיק</w:t>
      </w:r>
      <w:r w:rsidRPr="003B2683">
        <w:rPr>
          <w:rStyle w:val="ac"/>
          <w:rtl/>
        </w:rPr>
        <w:footnoteReference w:id="71"/>
      </w:r>
      <w:r w:rsidRPr="003B2683">
        <w:rPr>
          <w:rStyle w:val="71Char6"/>
          <w:rFonts w:eastAsiaTheme="minorEastAsia" w:hint="cs"/>
          <w:sz w:val="20"/>
          <w:szCs w:val="20"/>
          <w:shd w:val="clear" w:color="auto" w:fill="auto"/>
          <w:rtl/>
          <w:lang w:eastAsia="en-US"/>
        </w:rPr>
        <w:t xml:space="preserve"> (באלפי ש"ח)</w:t>
      </w:r>
    </w:p>
    <w:tbl>
      <w:tblPr>
        <w:tblStyle w:val="5-1"/>
        <w:bidiVisual/>
        <w:tblW w:w="492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4"/>
        <w:gridCol w:w="1814"/>
        <w:gridCol w:w="1814"/>
        <w:gridCol w:w="1812"/>
      </w:tblGrid>
      <w:tr w:rsidR="003C1DCC" w14:paraId="4A34E70C" w14:textId="77777777" w:rsidTr="003C1DCC">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250" w:type="pct"/>
            <w:vMerge w:val="restart"/>
            <w:tcBorders>
              <w:left w:val="single" w:sz="4" w:space="0" w:color="auto"/>
              <w:right w:val="single" w:sz="4" w:space="0" w:color="auto"/>
            </w:tcBorders>
            <w:shd w:val="clear" w:color="auto" w:fill="C8DCE4"/>
          </w:tcPr>
          <w:p w14:paraId="4AF2A71F" w14:textId="77777777" w:rsidR="007C4395" w:rsidRDefault="007C4395" w:rsidP="008E20EA">
            <w:pPr>
              <w:spacing w:line="269" w:lineRule="auto"/>
              <w:rPr>
                <w:color w:val="000000" w:themeColor="text1"/>
                <w:sz w:val="22"/>
                <w:szCs w:val="22"/>
                <w:rtl/>
              </w:rPr>
            </w:pPr>
          </w:p>
        </w:tc>
        <w:tc>
          <w:tcPr>
            <w:tcW w:w="1250" w:type="pct"/>
            <w:tcBorders>
              <w:left w:val="single" w:sz="4" w:space="0" w:color="auto"/>
              <w:right w:val="single" w:sz="4" w:space="0" w:color="auto"/>
            </w:tcBorders>
            <w:shd w:val="clear" w:color="auto" w:fill="B6CBD4"/>
            <w:vAlign w:val="bottom"/>
          </w:tcPr>
          <w:p w14:paraId="5A023351" w14:textId="77777777" w:rsidR="007C4395" w:rsidRPr="009E6326" w:rsidRDefault="007C4395" w:rsidP="003C1DCC">
            <w:pPr>
              <w:pStyle w:val="71HEADER"/>
              <w:cnfStyle w:val="100000000000" w:firstRow="1" w:lastRow="0" w:firstColumn="0" w:lastColumn="0" w:oddVBand="0" w:evenVBand="0" w:oddHBand="0" w:evenHBand="0" w:firstRowFirstColumn="0" w:firstRowLastColumn="0" w:lastRowFirstColumn="0" w:lastRowLastColumn="0"/>
              <w:rPr>
                <w:b/>
                <w:rtl/>
              </w:rPr>
            </w:pPr>
            <w:r w:rsidRPr="009E6326">
              <w:rPr>
                <w:rFonts w:hint="cs"/>
                <w:b/>
                <w:rtl/>
              </w:rPr>
              <w:t>2020</w:t>
            </w:r>
          </w:p>
        </w:tc>
        <w:tc>
          <w:tcPr>
            <w:tcW w:w="1250" w:type="pct"/>
            <w:tcBorders>
              <w:left w:val="single" w:sz="4" w:space="0" w:color="auto"/>
              <w:right w:val="single" w:sz="4" w:space="0" w:color="auto"/>
            </w:tcBorders>
            <w:shd w:val="clear" w:color="auto" w:fill="B6CBD4"/>
            <w:vAlign w:val="bottom"/>
          </w:tcPr>
          <w:p w14:paraId="21778936" w14:textId="77777777" w:rsidR="007C4395" w:rsidRPr="009E6326" w:rsidRDefault="007C4395" w:rsidP="003C1DCC">
            <w:pPr>
              <w:pStyle w:val="71HEADER"/>
              <w:cnfStyle w:val="100000000000" w:firstRow="1" w:lastRow="0" w:firstColumn="0" w:lastColumn="0" w:oddVBand="0" w:evenVBand="0" w:oddHBand="0" w:evenHBand="0" w:firstRowFirstColumn="0" w:firstRowLastColumn="0" w:lastRowFirstColumn="0" w:lastRowLastColumn="0"/>
              <w:rPr>
                <w:b/>
                <w:rtl/>
              </w:rPr>
            </w:pPr>
            <w:r w:rsidRPr="009E6326">
              <w:rPr>
                <w:rFonts w:hint="cs"/>
                <w:b/>
                <w:rtl/>
              </w:rPr>
              <w:t>2019</w:t>
            </w:r>
          </w:p>
        </w:tc>
        <w:tc>
          <w:tcPr>
            <w:tcW w:w="1249" w:type="pct"/>
            <w:tcBorders>
              <w:left w:val="single" w:sz="4" w:space="0" w:color="auto"/>
              <w:right w:val="single" w:sz="4" w:space="0" w:color="auto"/>
            </w:tcBorders>
            <w:shd w:val="clear" w:color="auto" w:fill="B6CBD4"/>
            <w:vAlign w:val="bottom"/>
          </w:tcPr>
          <w:p w14:paraId="01D7ADD8" w14:textId="77777777" w:rsidR="007C4395" w:rsidRPr="009E6326" w:rsidRDefault="007C4395" w:rsidP="003C1DCC">
            <w:pPr>
              <w:pStyle w:val="71HEADER"/>
              <w:cnfStyle w:val="100000000000" w:firstRow="1" w:lastRow="0" w:firstColumn="0" w:lastColumn="0" w:oddVBand="0" w:evenVBand="0" w:oddHBand="0" w:evenHBand="0" w:firstRowFirstColumn="0" w:firstRowLastColumn="0" w:lastRowFirstColumn="0" w:lastRowLastColumn="0"/>
              <w:rPr>
                <w:b/>
                <w:rtl/>
              </w:rPr>
            </w:pPr>
            <w:r w:rsidRPr="009E6326">
              <w:rPr>
                <w:rFonts w:hint="cs"/>
                <w:b/>
                <w:rtl/>
              </w:rPr>
              <w:t>2018</w:t>
            </w:r>
          </w:p>
        </w:tc>
      </w:tr>
      <w:tr w:rsidR="003C1DCC" w14:paraId="4F1DC64F" w14:textId="77777777" w:rsidTr="003C1DCC">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1250" w:type="pct"/>
            <w:vMerge/>
            <w:tcBorders>
              <w:left w:val="single" w:sz="4" w:space="0" w:color="auto"/>
              <w:right w:val="single" w:sz="4" w:space="0" w:color="auto"/>
            </w:tcBorders>
            <w:shd w:val="clear" w:color="auto" w:fill="C8DCE4"/>
          </w:tcPr>
          <w:p w14:paraId="6A909E50" w14:textId="77777777" w:rsidR="007C4395" w:rsidRDefault="007C4395" w:rsidP="009E6326">
            <w:pPr>
              <w:pStyle w:val="71R"/>
              <w:rPr>
                <w:rtl/>
              </w:rPr>
            </w:pPr>
          </w:p>
        </w:tc>
        <w:tc>
          <w:tcPr>
            <w:tcW w:w="1250" w:type="pct"/>
            <w:tcBorders>
              <w:left w:val="single" w:sz="4" w:space="0" w:color="auto"/>
              <w:right w:val="single" w:sz="4" w:space="0" w:color="auto"/>
            </w:tcBorders>
            <w:shd w:val="clear" w:color="auto" w:fill="C8DCE4"/>
          </w:tcPr>
          <w:p w14:paraId="49164392" w14:textId="77777777" w:rsidR="007C4395" w:rsidRPr="009E6326" w:rsidRDefault="007C4395" w:rsidP="003C1DCC">
            <w:pPr>
              <w:pStyle w:val="71R"/>
              <w:spacing w:line="240" w:lineRule="auto"/>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סכום</w:t>
            </w:r>
          </w:p>
        </w:tc>
        <w:tc>
          <w:tcPr>
            <w:tcW w:w="1250" w:type="pct"/>
            <w:tcBorders>
              <w:left w:val="single" w:sz="4" w:space="0" w:color="auto"/>
              <w:right w:val="single" w:sz="4" w:space="0" w:color="auto"/>
            </w:tcBorders>
            <w:shd w:val="clear" w:color="auto" w:fill="C8DCE4"/>
          </w:tcPr>
          <w:p w14:paraId="762B1014" w14:textId="77777777" w:rsidR="007C4395" w:rsidRPr="009E6326" w:rsidRDefault="007C4395" w:rsidP="003C1DCC">
            <w:pPr>
              <w:pStyle w:val="71R"/>
              <w:spacing w:line="240" w:lineRule="auto"/>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סכום</w:t>
            </w:r>
          </w:p>
        </w:tc>
        <w:tc>
          <w:tcPr>
            <w:tcW w:w="1249" w:type="pct"/>
            <w:tcBorders>
              <w:left w:val="single" w:sz="4" w:space="0" w:color="auto"/>
              <w:right w:val="single" w:sz="4" w:space="0" w:color="auto"/>
            </w:tcBorders>
            <w:shd w:val="clear" w:color="auto" w:fill="C8DCE4"/>
          </w:tcPr>
          <w:p w14:paraId="6D14B983" w14:textId="77777777" w:rsidR="007C4395" w:rsidRPr="009E6326" w:rsidRDefault="007C4395" w:rsidP="003C1DCC">
            <w:pPr>
              <w:pStyle w:val="71R"/>
              <w:spacing w:line="240" w:lineRule="auto"/>
              <w:cnfStyle w:val="000000100000" w:firstRow="0" w:lastRow="0" w:firstColumn="0" w:lastColumn="0" w:oddVBand="0" w:evenVBand="0" w:oddHBand="1" w:evenHBand="0" w:firstRowFirstColumn="0" w:firstRowLastColumn="0" w:lastRowFirstColumn="0" w:lastRowLastColumn="0"/>
              <w:rPr>
                <w:b/>
                <w:bCs/>
                <w:rtl/>
              </w:rPr>
            </w:pPr>
            <w:r w:rsidRPr="009E6326">
              <w:rPr>
                <w:rFonts w:hint="cs"/>
                <w:b/>
                <w:bCs/>
                <w:rtl/>
              </w:rPr>
              <w:t>סכום</w:t>
            </w:r>
          </w:p>
        </w:tc>
      </w:tr>
      <w:tr w:rsidR="003C1DCC" w14:paraId="5D751AC2" w14:textId="77777777" w:rsidTr="003C1DCC">
        <w:trPr>
          <w:trHeight w:val="206"/>
          <w:jc w:val="center"/>
        </w:trPr>
        <w:tc>
          <w:tcPr>
            <w:cnfStyle w:val="001000000000" w:firstRow="0" w:lastRow="0" w:firstColumn="1" w:lastColumn="0" w:oddVBand="0" w:evenVBand="0" w:oddHBand="0" w:evenHBand="0" w:firstRowFirstColumn="0" w:firstRowLastColumn="0" w:lastRowFirstColumn="0" w:lastRowLastColumn="0"/>
            <w:tcW w:w="1250" w:type="pct"/>
            <w:tcBorders>
              <w:left w:val="single" w:sz="4" w:space="0" w:color="auto"/>
              <w:right w:val="single" w:sz="4" w:space="0" w:color="auto"/>
            </w:tcBorders>
            <w:shd w:val="clear" w:color="auto" w:fill="DDEAEE"/>
            <w:vAlign w:val="center"/>
          </w:tcPr>
          <w:p w14:paraId="444D97F2" w14:textId="77777777" w:rsidR="007C4395" w:rsidRPr="0031030F" w:rsidRDefault="007C4395" w:rsidP="009E6326">
            <w:pPr>
              <w:pStyle w:val="71R"/>
              <w:rPr>
                <w:rtl/>
              </w:rPr>
            </w:pPr>
            <w:r>
              <w:rPr>
                <w:rFonts w:hint="cs"/>
                <w:b w:val="0"/>
                <w:bCs w:val="0"/>
                <w:rtl/>
              </w:rPr>
              <w:t>גבייה ישירה</w:t>
            </w:r>
          </w:p>
        </w:tc>
        <w:tc>
          <w:tcPr>
            <w:tcW w:w="1250" w:type="pct"/>
            <w:tcBorders>
              <w:left w:val="single" w:sz="4" w:space="0" w:color="auto"/>
              <w:right w:val="single" w:sz="4" w:space="0" w:color="auto"/>
            </w:tcBorders>
            <w:shd w:val="clear" w:color="auto" w:fill="DDEAEE"/>
            <w:vAlign w:val="center"/>
          </w:tcPr>
          <w:p w14:paraId="6FCAF12F"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16,940</w:t>
            </w:r>
          </w:p>
        </w:tc>
        <w:tc>
          <w:tcPr>
            <w:tcW w:w="1250" w:type="pct"/>
            <w:tcBorders>
              <w:left w:val="single" w:sz="4" w:space="0" w:color="auto"/>
              <w:right w:val="single" w:sz="4" w:space="0" w:color="auto"/>
            </w:tcBorders>
            <w:shd w:val="clear" w:color="auto" w:fill="DDEAEE"/>
            <w:vAlign w:val="center"/>
          </w:tcPr>
          <w:p w14:paraId="579382D9"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17,409</w:t>
            </w:r>
          </w:p>
        </w:tc>
        <w:tc>
          <w:tcPr>
            <w:tcW w:w="1249" w:type="pct"/>
            <w:tcBorders>
              <w:left w:val="single" w:sz="4" w:space="0" w:color="auto"/>
              <w:right w:val="single" w:sz="4" w:space="0" w:color="auto"/>
            </w:tcBorders>
            <w:shd w:val="clear" w:color="auto" w:fill="DDEAEE"/>
            <w:vAlign w:val="center"/>
          </w:tcPr>
          <w:p w14:paraId="510F9287" w14:textId="77777777" w:rsidR="007C4395" w:rsidRDefault="007C4395" w:rsidP="009E6326">
            <w:pPr>
              <w:pStyle w:val="71R"/>
              <w:cnfStyle w:val="000000000000" w:firstRow="0" w:lastRow="0" w:firstColumn="0" w:lastColumn="0" w:oddVBand="0" w:evenVBand="0" w:oddHBand="0" w:evenHBand="0" w:firstRowFirstColumn="0" w:firstRowLastColumn="0" w:lastRowFirstColumn="0" w:lastRowLastColumn="0"/>
              <w:rPr>
                <w:rtl/>
              </w:rPr>
            </w:pPr>
            <w:r>
              <w:rPr>
                <w:rFonts w:hint="cs"/>
                <w:rtl/>
              </w:rPr>
              <w:t>6,403</w:t>
            </w:r>
          </w:p>
        </w:tc>
      </w:tr>
      <w:tr w:rsidR="003C1DCC" w14:paraId="13AAD808" w14:textId="77777777" w:rsidTr="003C1DCC">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1250" w:type="pct"/>
            <w:tcBorders>
              <w:left w:val="single" w:sz="4" w:space="0" w:color="auto"/>
              <w:right w:val="single" w:sz="4" w:space="0" w:color="auto"/>
            </w:tcBorders>
            <w:shd w:val="clear" w:color="auto" w:fill="EEF6F7"/>
            <w:vAlign w:val="center"/>
          </w:tcPr>
          <w:p w14:paraId="70907CE2" w14:textId="77777777" w:rsidR="007C4395" w:rsidRDefault="007C4395" w:rsidP="009E6326">
            <w:pPr>
              <w:pStyle w:val="71R"/>
              <w:rPr>
                <w:rtl/>
              </w:rPr>
            </w:pPr>
            <w:r>
              <w:rPr>
                <w:rFonts w:hint="cs"/>
                <w:b w:val="0"/>
                <w:bCs w:val="0"/>
                <w:rtl/>
              </w:rPr>
              <w:t>גבייה עקיפה</w:t>
            </w:r>
          </w:p>
        </w:tc>
        <w:tc>
          <w:tcPr>
            <w:tcW w:w="1250" w:type="pct"/>
            <w:tcBorders>
              <w:left w:val="single" w:sz="4" w:space="0" w:color="auto"/>
              <w:right w:val="single" w:sz="4" w:space="0" w:color="auto"/>
            </w:tcBorders>
            <w:shd w:val="clear" w:color="auto" w:fill="EEF6F7"/>
            <w:vAlign w:val="center"/>
          </w:tcPr>
          <w:p w14:paraId="7213E654"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50,028</w:t>
            </w:r>
          </w:p>
        </w:tc>
        <w:tc>
          <w:tcPr>
            <w:tcW w:w="1250" w:type="pct"/>
            <w:tcBorders>
              <w:left w:val="single" w:sz="4" w:space="0" w:color="auto"/>
              <w:right w:val="single" w:sz="4" w:space="0" w:color="auto"/>
            </w:tcBorders>
            <w:shd w:val="clear" w:color="auto" w:fill="EEF6F7"/>
            <w:vAlign w:val="center"/>
          </w:tcPr>
          <w:p w14:paraId="00782B04"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45,685</w:t>
            </w:r>
          </w:p>
        </w:tc>
        <w:tc>
          <w:tcPr>
            <w:tcW w:w="1249" w:type="pct"/>
            <w:tcBorders>
              <w:left w:val="single" w:sz="4" w:space="0" w:color="auto"/>
              <w:right w:val="single" w:sz="4" w:space="0" w:color="auto"/>
            </w:tcBorders>
            <w:shd w:val="clear" w:color="auto" w:fill="EEF6F7"/>
            <w:vAlign w:val="center"/>
          </w:tcPr>
          <w:p w14:paraId="1D16EDBB" w14:textId="77777777" w:rsidR="007C4395" w:rsidRDefault="007C4395" w:rsidP="009E6326">
            <w:pPr>
              <w:pStyle w:val="71R"/>
              <w:cnfStyle w:val="000000100000" w:firstRow="0" w:lastRow="0" w:firstColumn="0" w:lastColumn="0" w:oddVBand="0" w:evenVBand="0" w:oddHBand="1" w:evenHBand="0" w:firstRowFirstColumn="0" w:firstRowLastColumn="0" w:lastRowFirstColumn="0" w:lastRowLastColumn="0"/>
              <w:rPr>
                <w:rtl/>
              </w:rPr>
            </w:pPr>
            <w:r>
              <w:rPr>
                <w:rFonts w:hint="cs"/>
                <w:rtl/>
              </w:rPr>
              <w:t>38,569</w:t>
            </w:r>
          </w:p>
        </w:tc>
      </w:tr>
      <w:tr w:rsidR="003C1DCC" w14:paraId="60CC0945" w14:textId="77777777" w:rsidTr="003C1DCC">
        <w:trPr>
          <w:trHeight w:val="216"/>
          <w:jc w:val="center"/>
        </w:trPr>
        <w:tc>
          <w:tcPr>
            <w:cnfStyle w:val="001000000000" w:firstRow="0" w:lastRow="0" w:firstColumn="1" w:lastColumn="0" w:oddVBand="0" w:evenVBand="0" w:oddHBand="0" w:evenHBand="0" w:firstRowFirstColumn="0" w:firstRowLastColumn="0" w:lastRowFirstColumn="0" w:lastRowLastColumn="0"/>
            <w:tcW w:w="1250" w:type="pct"/>
            <w:tcBorders>
              <w:left w:val="single" w:sz="4" w:space="0" w:color="auto"/>
              <w:right w:val="single" w:sz="4" w:space="0" w:color="auto"/>
            </w:tcBorders>
            <w:shd w:val="clear" w:color="auto" w:fill="DDEAEE"/>
            <w:vAlign w:val="center"/>
          </w:tcPr>
          <w:p w14:paraId="1C2E799F" w14:textId="77777777" w:rsidR="007C4395" w:rsidRPr="00BB0AE4" w:rsidRDefault="007C4395" w:rsidP="009E6326">
            <w:pPr>
              <w:pStyle w:val="71R"/>
              <w:rPr>
                <w:rtl/>
              </w:rPr>
            </w:pPr>
            <w:r w:rsidRPr="00BB0AE4">
              <w:rPr>
                <w:rFonts w:hint="cs"/>
                <w:rtl/>
              </w:rPr>
              <w:t xml:space="preserve">סך הכול </w:t>
            </w:r>
          </w:p>
        </w:tc>
        <w:tc>
          <w:tcPr>
            <w:tcW w:w="1250" w:type="pct"/>
            <w:tcBorders>
              <w:left w:val="single" w:sz="4" w:space="0" w:color="auto"/>
              <w:right w:val="single" w:sz="4" w:space="0" w:color="auto"/>
            </w:tcBorders>
            <w:shd w:val="clear" w:color="auto" w:fill="DDEAEE"/>
            <w:vAlign w:val="center"/>
          </w:tcPr>
          <w:p w14:paraId="3DFC8844"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9E6326">
              <w:rPr>
                <w:rFonts w:hint="cs"/>
                <w:b/>
                <w:bCs/>
                <w:rtl/>
              </w:rPr>
              <w:t>66,968</w:t>
            </w:r>
          </w:p>
        </w:tc>
        <w:tc>
          <w:tcPr>
            <w:tcW w:w="1250" w:type="pct"/>
            <w:tcBorders>
              <w:left w:val="single" w:sz="4" w:space="0" w:color="auto"/>
              <w:right w:val="single" w:sz="4" w:space="0" w:color="auto"/>
            </w:tcBorders>
            <w:shd w:val="clear" w:color="auto" w:fill="DDEAEE"/>
            <w:vAlign w:val="center"/>
          </w:tcPr>
          <w:p w14:paraId="1C045D14"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9E6326">
              <w:rPr>
                <w:rFonts w:hint="cs"/>
                <w:b/>
                <w:bCs/>
                <w:rtl/>
              </w:rPr>
              <w:t>63,094</w:t>
            </w:r>
          </w:p>
        </w:tc>
        <w:tc>
          <w:tcPr>
            <w:tcW w:w="1249" w:type="pct"/>
            <w:tcBorders>
              <w:left w:val="single" w:sz="4" w:space="0" w:color="auto"/>
              <w:right w:val="single" w:sz="4" w:space="0" w:color="auto"/>
            </w:tcBorders>
            <w:shd w:val="clear" w:color="auto" w:fill="DDEAEE"/>
            <w:vAlign w:val="center"/>
          </w:tcPr>
          <w:p w14:paraId="6E738541" w14:textId="77777777" w:rsidR="007C4395" w:rsidRPr="009E6326" w:rsidRDefault="007C4395" w:rsidP="009E6326">
            <w:pPr>
              <w:pStyle w:val="71R"/>
              <w:cnfStyle w:val="000000000000" w:firstRow="0" w:lastRow="0" w:firstColumn="0" w:lastColumn="0" w:oddVBand="0" w:evenVBand="0" w:oddHBand="0" w:evenHBand="0" w:firstRowFirstColumn="0" w:firstRowLastColumn="0" w:lastRowFirstColumn="0" w:lastRowLastColumn="0"/>
              <w:rPr>
                <w:b/>
                <w:bCs/>
                <w:rtl/>
              </w:rPr>
            </w:pPr>
            <w:r w:rsidRPr="009E6326">
              <w:rPr>
                <w:rFonts w:hint="cs"/>
                <w:b/>
                <w:bCs/>
                <w:rtl/>
              </w:rPr>
              <w:t>44,972</w:t>
            </w:r>
          </w:p>
        </w:tc>
      </w:tr>
    </w:tbl>
    <w:p w14:paraId="0E8C833F" w14:textId="77777777" w:rsidR="007C4395" w:rsidRPr="00BA2B1C" w:rsidRDefault="007C4395" w:rsidP="00010778">
      <w:pPr>
        <w:pStyle w:val="71c"/>
        <w:rPr>
          <w:szCs w:val="26"/>
          <w:rtl/>
        </w:rPr>
      </w:pPr>
      <w:r>
        <w:rPr>
          <w:rFonts w:hint="cs"/>
          <w:rtl/>
        </w:rPr>
        <w:t>על פי</w:t>
      </w:r>
      <w:r w:rsidRPr="00BA2B1C">
        <w:rPr>
          <w:rtl/>
        </w:rPr>
        <w:t xml:space="preserve"> נתונים מאת רשות האכיפה והגבייה לשנים 2020</w:t>
      </w:r>
      <w:r>
        <w:rPr>
          <w:rFonts w:hint="cs"/>
          <w:rtl/>
        </w:rPr>
        <w:t xml:space="preserve"> - </w:t>
      </w:r>
      <w:r w:rsidRPr="00BA2B1C">
        <w:rPr>
          <w:rtl/>
        </w:rPr>
        <w:t xml:space="preserve">2018, </w:t>
      </w:r>
      <w:r w:rsidRPr="00BA2B1C">
        <w:rPr>
          <w:rFonts w:hint="eastAsia"/>
          <w:rtl/>
        </w:rPr>
        <w:t>בעיבוד</w:t>
      </w:r>
      <w:r w:rsidRPr="00BA2B1C">
        <w:rPr>
          <w:rtl/>
        </w:rPr>
        <w:t xml:space="preserve"> </w:t>
      </w:r>
      <w:r w:rsidRPr="00BA2B1C">
        <w:rPr>
          <w:rFonts w:hint="eastAsia"/>
          <w:rtl/>
        </w:rPr>
        <w:t>משרד</w:t>
      </w:r>
      <w:r w:rsidRPr="00BA2B1C">
        <w:rPr>
          <w:rtl/>
        </w:rPr>
        <w:t xml:space="preserve"> </w:t>
      </w:r>
      <w:r w:rsidRPr="00BA2B1C">
        <w:rPr>
          <w:rFonts w:hint="eastAsia"/>
          <w:rtl/>
        </w:rPr>
        <w:t>מבקר</w:t>
      </w:r>
      <w:r w:rsidRPr="00BA2B1C">
        <w:rPr>
          <w:rtl/>
        </w:rPr>
        <w:t xml:space="preserve"> </w:t>
      </w:r>
      <w:r w:rsidRPr="00BA2B1C">
        <w:rPr>
          <w:rFonts w:hint="eastAsia"/>
          <w:rtl/>
        </w:rPr>
        <w:t>המדינה</w:t>
      </w:r>
      <w:r>
        <w:rPr>
          <w:rFonts w:hint="cs"/>
          <w:rtl/>
        </w:rPr>
        <w:t>.</w:t>
      </w:r>
    </w:p>
    <w:p w14:paraId="3F93BFEF" w14:textId="068F258C" w:rsidR="007C4395" w:rsidRDefault="007C4395" w:rsidP="003B2683">
      <w:pPr>
        <w:pStyle w:val="71f4"/>
        <w:rPr>
          <w:rtl/>
        </w:rPr>
      </w:pPr>
      <w:r w:rsidRPr="00E354E5">
        <w:rPr>
          <w:rFonts w:hint="eastAsia"/>
          <w:rtl/>
        </w:rPr>
        <w:t>עולה</w:t>
      </w:r>
      <w:r w:rsidRPr="00E354E5">
        <w:rPr>
          <w:rtl/>
        </w:rPr>
        <w:t xml:space="preserve"> כי חל גידול ניכר במספר התיקים שנפתחו </w:t>
      </w:r>
      <w:proofErr w:type="spellStart"/>
      <w:r w:rsidRPr="00E354E5">
        <w:rPr>
          <w:rFonts w:hint="eastAsia"/>
          <w:rtl/>
        </w:rPr>
        <w:t>במנ</w:t>
      </w:r>
      <w:r w:rsidRPr="00E354E5">
        <w:rPr>
          <w:rtl/>
        </w:rPr>
        <w:t>"ג</w:t>
      </w:r>
      <w:proofErr w:type="spellEnd"/>
      <w:r w:rsidRPr="00E354E5">
        <w:rPr>
          <w:rtl/>
        </w:rPr>
        <w:t xml:space="preserve"> וב</w:t>
      </w:r>
      <w:r>
        <w:rPr>
          <w:rFonts w:hint="cs"/>
          <w:rtl/>
        </w:rPr>
        <w:t>סכומם</w:t>
      </w:r>
      <w:r>
        <w:rPr>
          <w:rtl/>
        </w:rPr>
        <w:t xml:space="preserve"> בשנים 2018 -</w:t>
      </w:r>
      <w:r>
        <w:rPr>
          <w:rFonts w:hint="cs"/>
          <w:rtl/>
        </w:rPr>
        <w:t xml:space="preserve"> </w:t>
      </w:r>
      <w:r w:rsidRPr="00E354E5">
        <w:rPr>
          <w:rtl/>
        </w:rPr>
        <w:t>2020</w:t>
      </w:r>
      <w:r>
        <w:rPr>
          <w:rFonts w:hint="cs"/>
          <w:rtl/>
        </w:rPr>
        <w:t xml:space="preserve"> </w:t>
      </w:r>
      <w:proofErr w:type="spellStart"/>
      <w:r>
        <w:rPr>
          <w:rFonts w:hint="cs"/>
          <w:rtl/>
        </w:rPr>
        <w:t>מכ</w:t>
      </w:r>
      <w:proofErr w:type="spellEnd"/>
      <w:r>
        <w:rPr>
          <w:rFonts w:hint="cs"/>
          <w:rtl/>
        </w:rPr>
        <w:t xml:space="preserve">-30 מיליון ש"ח </w:t>
      </w:r>
      <w:proofErr w:type="spellStart"/>
      <w:r>
        <w:rPr>
          <w:rFonts w:hint="cs"/>
          <w:rtl/>
        </w:rPr>
        <w:t>לכ</w:t>
      </w:r>
      <w:proofErr w:type="spellEnd"/>
      <w:r>
        <w:rPr>
          <w:rFonts w:hint="cs"/>
          <w:rtl/>
        </w:rPr>
        <w:t>-61 מיליון ש"ח</w:t>
      </w:r>
      <w:r w:rsidRPr="00E354E5">
        <w:rPr>
          <w:rtl/>
        </w:rPr>
        <w:t xml:space="preserve">, </w:t>
      </w:r>
      <w:r>
        <w:rPr>
          <w:rFonts w:hint="cs"/>
          <w:rtl/>
        </w:rPr>
        <w:t xml:space="preserve">בה בעת </w:t>
      </w:r>
      <w:r w:rsidRPr="00E354E5">
        <w:rPr>
          <w:rtl/>
        </w:rPr>
        <w:t xml:space="preserve">סכומי הגבייה הישירה של </w:t>
      </w:r>
      <w:proofErr w:type="spellStart"/>
      <w:r w:rsidRPr="00E354E5">
        <w:rPr>
          <w:rFonts w:hint="eastAsia"/>
          <w:rtl/>
        </w:rPr>
        <w:t>המנ</w:t>
      </w:r>
      <w:r w:rsidRPr="00E354E5">
        <w:rPr>
          <w:rtl/>
        </w:rPr>
        <w:t>"ג</w:t>
      </w:r>
      <w:proofErr w:type="spellEnd"/>
      <w:r w:rsidRPr="00E354E5">
        <w:rPr>
          <w:rtl/>
        </w:rPr>
        <w:t xml:space="preserve"> לא גדלו </w:t>
      </w:r>
      <w:r w:rsidRPr="00E354E5">
        <w:rPr>
          <w:rFonts w:hint="eastAsia"/>
          <w:rtl/>
        </w:rPr>
        <w:t>משנת</w:t>
      </w:r>
      <w:r w:rsidRPr="00E354E5">
        <w:rPr>
          <w:rtl/>
        </w:rPr>
        <w:t xml:space="preserve"> 2019 </w:t>
      </w:r>
      <w:r w:rsidRPr="00E354E5">
        <w:rPr>
          <w:rFonts w:hint="eastAsia"/>
          <w:rtl/>
        </w:rPr>
        <w:t>לשנת</w:t>
      </w:r>
      <w:r w:rsidRPr="00E354E5">
        <w:rPr>
          <w:rtl/>
        </w:rPr>
        <w:t xml:space="preserve"> 2020</w:t>
      </w:r>
      <w:r>
        <w:rPr>
          <w:rFonts w:hint="cs"/>
          <w:rtl/>
        </w:rPr>
        <w:t xml:space="preserve"> והסתכמו </w:t>
      </w:r>
      <w:proofErr w:type="spellStart"/>
      <w:r>
        <w:rPr>
          <w:rFonts w:hint="cs"/>
          <w:rtl/>
        </w:rPr>
        <w:t>בכ</w:t>
      </w:r>
      <w:proofErr w:type="spellEnd"/>
      <w:r>
        <w:rPr>
          <w:rFonts w:hint="cs"/>
          <w:rtl/>
        </w:rPr>
        <w:t>-17 מיליון ש"ח</w:t>
      </w:r>
      <w:r w:rsidRPr="00E354E5">
        <w:rPr>
          <w:rtl/>
        </w:rPr>
        <w:t xml:space="preserve">. </w:t>
      </w:r>
    </w:p>
    <w:p w14:paraId="3CA01A9D" w14:textId="77777777" w:rsidR="001415C9" w:rsidRPr="001415C9" w:rsidRDefault="001415C9" w:rsidP="001415C9">
      <w:pPr>
        <w:pStyle w:val="7190"/>
        <w:spacing w:after="0"/>
        <w:rPr>
          <w:rtl/>
        </w:rPr>
      </w:pPr>
    </w:p>
    <w:p w14:paraId="34508D3A" w14:textId="77777777" w:rsidR="007C4395" w:rsidRDefault="007C4395" w:rsidP="003B2683">
      <w:pPr>
        <w:pStyle w:val="71f4"/>
        <w:rPr>
          <w:rtl/>
        </w:rPr>
      </w:pPr>
      <w:r w:rsidRPr="002603B7">
        <w:rPr>
          <w:rFonts w:hint="cs"/>
          <w:rtl/>
        </w:rPr>
        <w:t xml:space="preserve">על </w:t>
      </w:r>
      <w:proofErr w:type="spellStart"/>
      <w:r w:rsidRPr="002603B7">
        <w:rPr>
          <w:rFonts w:hint="cs"/>
          <w:rtl/>
        </w:rPr>
        <w:t>המנ"ג</w:t>
      </w:r>
      <w:proofErr w:type="spellEnd"/>
      <w:r w:rsidRPr="002603B7">
        <w:rPr>
          <w:rFonts w:hint="cs"/>
          <w:rtl/>
        </w:rPr>
        <w:t xml:space="preserve"> לבחון נתונים אלו</w:t>
      </w:r>
      <w:r>
        <w:rPr>
          <w:rFonts w:hint="cs"/>
          <w:rtl/>
        </w:rPr>
        <w:t>,</w:t>
      </w:r>
      <w:r w:rsidRPr="002603B7">
        <w:rPr>
          <w:rFonts w:hint="cs"/>
          <w:rtl/>
        </w:rPr>
        <w:t xml:space="preserve"> לבדוק עם אגף </w:t>
      </w:r>
      <w:proofErr w:type="spellStart"/>
      <w:r w:rsidRPr="002603B7">
        <w:rPr>
          <w:rFonts w:hint="cs"/>
          <w:rtl/>
        </w:rPr>
        <w:t>החשכ"ל</w:t>
      </w:r>
      <w:proofErr w:type="spellEnd"/>
      <w:r w:rsidRPr="002603B7">
        <w:rPr>
          <w:rFonts w:hint="cs"/>
          <w:rtl/>
        </w:rPr>
        <w:t xml:space="preserve"> מהן הסיבות העיקריות ל</w:t>
      </w:r>
      <w:r>
        <w:rPr>
          <w:rFonts w:hint="cs"/>
          <w:rtl/>
        </w:rPr>
        <w:t>אי-</w:t>
      </w:r>
      <w:r w:rsidRPr="002603B7">
        <w:rPr>
          <w:rFonts w:hint="cs"/>
          <w:rtl/>
        </w:rPr>
        <w:t>הגידול בסכומי הגבייה הישירה ולפעול בהתאם.</w:t>
      </w:r>
    </w:p>
    <w:p w14:paraId="1146A8CA" w14:textId="26B9D0AC" w:rsidR="007C4395" w:rsidRPr="009E555B" w:rsidRDefault="007C4395" w:rsidP="002A738D">
      <w:pPr>
        <w:pStyle w:val="7190"/>
        <w:rPr>
          <w:rtl/>
        </w:rPr>
      </w:pPr>
      <w:r>
        <w:rPr>
          <w:rFonts w:hint="cs"/>
          <w:rtl/>
        </w:rPr>
        <w:t xml:space="preserve">בתשובת רשות האכיפה והגבייה נמסר כי בשל משבר הקורונה נפגעה יכולת החייבים לשלם את החובות. כמו כן, בשל הסגרים הממושכים שהתרחשו בשנת 2020, בשל הנחיות משרד המשפטים שלא לנקוט הליכים, ובשל עיכוב הליכים שנבע מתיקון 68 לחוק ההוצאה לפועל, לא התאפשרה נקיטת הליכי גבייה באופן סדיר. נוסף על כך, כלי הגבייה דוגמת הגבלת היציאה מהארץ והגבלת הדרכון הפכו לאפקטיביים פחות בתקופת משבר הקורונה, לעומת </w:t>
      </w:r>
      <w:proofErr w:type="spellStart"/>
      <w:r>
        <w:rPr>
          <w:rFonts w:hint="cs"/>
          <w:rtl/>
        </w:rPr>
        <w:t>עיתות</w:t>
      </w:r>
      <w:proofErr w:type="spellEnd"/>
      <w:r>
        <w:rPr>
          <w:rFonts w:hint="cs"/>
          <w:rtl/>
        </w:rPr>
        <w:t xml:space="preserve"> שגרה. רשות האכיפה והגבייה ציינה </w:t>
      </w:r>
      <w:r>
        <w:rPr>
          <w:rtl/>
        </w:rPr>
        <w:t>כי בשנת 2021 ניכר</w:t>
      </w:r>
      <w:r>
        <w:rPr>
          <w:rFonts w:hint="cs"/>
          <w:rtl/>
        </w:rPr>
        <w:t>ה</w:t>
      </w:r>
      <w:r>
        <w:rPr>
          <w:rtl/>
        </w:rPr>
        <w:t xml:space="preserve"> עלייה בהיקף הגבייה, </w:t>
      </w:r>
      <w:r>
        <w:rPr>
          <w:rFonts w:hint="cs"/>
          <w:rtl/>
        </w:rPr>
        <w:t>ו</w:t>
      </w:r>
      <w:r>
        <w:rPr>
          <w:rtl/>
        </w:rPr>
        <w:t>הצפי הוא לעלייה של 57% ל</w:t>
      </w:r>
      <w:r>
        <w:rPr>
          <w:rFonts w:hint="cs"/>
          <w:rtl/>
        </w:rPr>
        <w:t>עומת ה</w:t>
      </w:r>
      <w:r>
        <w:rPr>
          <w:rtl/>
        </w:rPr>
        <w:t>שנה הקודמת.</w:t>
      </w:r>
      <w:r>
        <w:rPr>
          <w:rFonts w:hint="cs"/>
          <w:rtl/>
        </w:rPr>
        <w:t xml:space="preserve"> </w:t>
      </w:r>
      <w:r>
        <w:rPr>
          <w:rtl/>
        </w:rPr>
        <w:t>כמו כן</w:t>
      </w:r>
      <w:r>
        <w:rPr>
          <w:rFonts w:hint="cs"/>
          <w:rtl/>
        </w:rPr>
        <w:t xml:space="preserve"> ציינה</w:t>
      </w:r>
      <w:r>
        <w:rPr>
          <w:rtl/>
        </w:rPr>
        <w:t xml:space="preserve"> </w:t>
      </w:r>
      <w:r>
        <w:rPr>
          <w:rFonts w:hint="cs"/>
          <w:rtl/>
        </w:rPr>
        <w:t xml:space="preserve">הרשות </w:t>
      </w:r>
      <w:r>
        <w:rPr>
          <w:rtl/>
        </w:rPr>
        <w:t xml:space="preserve">כי </w:t>
      </w:r>
      <w:r>
        <w:rPr>
          <w:rFonts w:hint="cs"/>
          <w:rtl/>
        </w:rPr>
        <w:t>יש</w:t>
      </w:r>
      <w:r>
        <w:rPr>
          <w:rtl/>
        </w:rPr>
        <w:t xml:space="preserve"> גבייה </w:t>
      </w:r>
      <w:r>
        <w:rPr>
          <w:rFonts w:hint="cs"/>
          <w:rtl/>
        </w:rPr>
        <w:t>ניכרת</w:t>
      </w:r>
      <w:r>
        <w:rPr>
          <w:rtl/>
        </w:rPr>
        <w:t xml:space="preserve"> </w:t>
      </w:r>
      <w:r>
        <w:rPr>
          <w:rFonts w:hint="cs"/>
          <w:rtl/>
        </w:rPr>
        <w:t xml:space="preserve">בשל </w:t>
      </w:r>
      <w:r>
        <w:rPr>
          <w:rtl/>
        </w:rPr>
        <w:t>תשלום חובות ב</w:t>
      </w:r>
      <w:r>
        <w:rPr>
          <w:rFonts w:hint="cs"/>
          <w:rtl/>
        </w:rPr>
        <w:t>"</w:t>
      </w:r>
      <w:r>
        <w:rPr>
          <w:rtl/>
        </w:rPr>
        <w:t xml:space="preserve">שלב </w:t>
      </w:r>
      <w:r>
        <w:rPr>
          <w:rFonts w:hint="cs"/>
          <w:rtl/>
        </w:rPr>
        <w:t>ה</w:t>
      </w:r>
      <w:r>
        <w:rPr>
          <w:rtl/>
        </w:rPr>
        <w:t>טרום״</w:t>
      </w:r>
      <w:r>
        <w:rPr>
          <w:rStyle w:val="ac"/>
          <w:rtl/>
        </w:rPr>
        <w:footnoteReference w:id="72"/>
      </w:r>
      <w:r>
        <w:rPr>
          <w:rFonts w:hint="cs"/>
          <w:rtl/>
        </w:rPr>
        <w:t>,</w:t>
      </w:r>
      <w:r>
        <w:rPr>
          <w:rtl/>
        </w:rPr>
        <w:t xml:space="preserve"> המועבר ישירות ל</w:t>
      </w:r>
      <w:r>
        <w:rPr>
          <w:rFonts w:hint="cs"/>
          <w:rtl/>
        </w:rPr>
        <w:t>בעלי החוב</w:t>
      </w:r>
      <w:r>
        <w:rPr>
          <w:rtl/>
        </w:rPr>
        <w:t>. לדוג</w:t>
      </w:r>
      <w:r>
        <w:rPr>
          <w:rFonts w:hint="cs"/>
          <w:rtl/>
        </w:rPr>
        <w:t>מה</w:t>
      </w:r>
      <w:r>
        <w:rPr>
          <w:rtl/>
        </w:rPr>
        <w:t xml:space="preserve">, בשנת 2019, נפתחו 61,704 פניות בסכום של 83,855 </w:t>
      </w:r>
      <w:r>
        <w:rPr>
          <w:rFonts w:hint="cs"/>
          <w:rtl/>
        </w:rPr>
        <w:t xml:space="preserve">אלפי </w:t>
      </w:r>
      <w:r>
        <w:rPr>
          <w:rtl/>
        </w:rPr>
        <w:t>ש״ח</w:t>
      </w:r>
      <w:r>
        <w:rPr>
          <w:rFonts w:hint="cs"/>
          <w:rtl/>
        </w:rPr>
        <w:t>,</w:t>
      </w:r>
      <w:r>
        <w:rPr>
          <w:rtl/>
        </w:rPr>
        <w:t xml:space="preserve"> </w:t>
      </w:r>
      <w:r>
        <w:rPr>
          <w:rFonts w:hint="cs"/>
          <w:rtl/>
        </w:rPr>
        <w:t>ומהם נגבו בשלב הטרום</w:t>
      </w:r>
      <w:r>
        <w:rPr>
          <w:rtl/>
        </w:rPr>
        <w:t xml:space="preserve"> 13,155</w:t>
      </w:r>
      <w:r>
        <w:rPr>
          <w:rFonts w:hint="cs"/>
          <w:rtl/>
        </w:rPr>
        <w:t xml:space="preserve"> אלפי</w:t>
      </w:r>
      <w:r>
        <w:rPr>
          <w:rtl/>
        </w:rPr>
        <w:t xml:space="preserve"> </w:t>
      </w:r>
      <w:r>
        <w:rPr>
          <w:rFonts w:hint="cs"/>
          <w:rtl/>
        </w:rPr>
        <w:t>ש"ח,</w:t>
      </w:r>
      <w:r>
        <w:rPr>
          <w:rtl/>
        </w:rPr>
        <w:t xml:space="preserve"> ב</w:t>
      </w:r>
      <w:r>
        <w:rPr>
          <w:rFonts w:hint="cs"/>
          <w:rtl/>
        </w:rPr>
        <w:t>נוגע ל-</w:t>
      </w:r>
      <w:r>
        <w:rPr>
          <w:rtl/>
        </w:rPr>
        <w:t>10,165 פניות</w:t>
      </w:r>
      <w:r>
        <w:rPr>
          <w:rFonts w:hint="cs"/>
          <w:rtl/>
        </w:rPr>
        <w:t xml:space="preserve">; </w:t>
      </w:r>
      <w:r>
        <w:rPr>
          <w:rtl/>
        </w:rPr>
        <w:t xml:space="preserve">בשנת </w:t>
      </w:r>
      <w:r>
        <w:rPr>
          <w:rtl/>
        </w:rPr>
        <w:lastRenderedPageBreak/>
        <w:t>2020 נפתחו 88,414 פניות (</w:t>
      </w:r>
      <w:r>
        <w:rPr>
          <w:rFonts w:hint="cs"/>
          <w:rtl/>
        </w:rPr>
        <w:t>כ-</w:t>
      </w:r>
      <w:r>
        <w:rPr>
          <w:rtl/>
        </w:rPr>
        <w:t>50,000 מה</w:t>
      </w:r>
      <w:r>
        <w:rPr>
          <w:rFonts w:hint="cs"/>
          <w:rtl/>
        </w:rPr>
        <w:t>ן</w:t>
      </w:r>
      <w:r>
        <w:rPr>
          <w:rtl/>
        </w:rPr>
        <w:t xml:space="preserve"> של משרד התחבורה) בסכום של 365,397</w:t>
      </w:r>
      <w:r>
        <w:rPr>
          <w:rFonts w:hint="cs"/>
          <w:rtl/>
        </w:rPr>
        <w:t xml:space="preserve"> אלפי</w:t>
      </w:r>
      <w:r>
        <w:rPr>
          <w:rtl/>
        </w:rPr>
        <w:t xml:space="preserve"> </w:t>
      </w:r>
      <w:r>
        <w:rPr>
          <w:rFonts w:hint="cs"/>
          <w:rtl/>
        </w:rPr>
        <w:t xml:space="preserve">ש"ח, ומהם נגבו </w:t>
      </w:r>
      <w:r>
        <w:rPr>
          <w:rtl/>
        </w:rPr>
        <w:t>בפועל 41,721</w:t>
      </w:r>
      <w:r>
        <w:rPr>
          <w:rFonts w:hint="cs"/>
          <w:rtl/>
        </w:rPr>
        <w:t xml:space="preserve"> אלפי</w:t>
      </w:r>
      <w:r>
        <w:rPr>
          <w:rtl/>
        </w:rPr>
        <w:t xml:space="preserve"> </w:t>
      </w:r>
      <w:r>
        <w:rPr>
          <w:rFonts w:hint="cs"/>
          <w:rtl/>
        </w:rPr>
        <w:t>ש"ח</w:t>
      </w:r>
      <w:r>
        <w:rPr>
          <w:rtl/>
        </w:rPr>
        <w:t xml:space="preserve"> בשלב </w:t>
      </w:r>
      <w:r>
        <w:rPr>
          <w:rFonts w:hint="cs"/>
          <w:rtl/>
        </w:rPr>
        <w:t>ה</w:t>
      </w:r>
      <w:r>
        <w:rPr>
          <w:rtl/>
        </w:rPr>
        <w:t>טרום, ב</w:t>
      </w:r>
      <w:r>
        <w:rPr>
          <w:rFonts w:hint="cs"/>
          <w:rtl/>
        </w:rPr>
        <w:t>נוגע ל-</w:t>
      </w:r>
      <w:r>
        <w:rPr>
          <w:rtl/>
        </w:rPr>
        <w:t>12,975 פניות</w:t>
      </w:r>
      <w:r>
        <w:rPr>
          <w:rFonts w:hint="cs"/>
          <w:rtl/>
        </w:rPr>
        <w:t xml:space="preserve"> -</w:t>
      </w:r>
      <w:r>
        <w:rPr>
          <w:rtl/>
        </w:rPr>
        <w:t xml:space="preserve"> עלייה של 320% בגבייה.</w:t>
      </w:r>
      <w:r>
        <w:rPr>
          <w:rFonts w:hint="cs"/>
          <w:rtl/>
        </w:rPr>
        <w:t xml:space="preserve"> </w:t>
      </w:r>
    </w:p>
    <w:p w14:paraId="6D4CA765" w14:textId="2AA75F36" w:rsidR="007C4395" w:rsidRPr="00010778" w:rsidRDefault="007C4395" w:rsidP="002A738D">
      <w:pPr>
        <w:pStyle w:val="7190"/>
        <w:rPr>
          <w:rtl/>
        </w:rPr>
      </w:pPr>
      <w:r>
        <w:rPr>
          <w:rFonts w:hint="cs"/>
          <w:rtl/>
        </w:rPr>
        <w:t xml:space="preserve">אגף </w:t>
      </w:r>
      <w:proofErr w:type="spellStart"/>
      <w:r>
        <w:rPr>
          <w:rFonts w:hint="cs"/>
          <w:rtl/>
        </w:rPr>
        <w:t>החשכ"ל</w:t>
      </w:r>
      <w:proofErr w:type="spellEnd"/>
      <w:r>
        <w:rPr>
          <w:rFonts w:hint="cs"/>
          <w:rtl/>
        </w:rPr>
        <w:t xml:space="preserve"> ציין בתשובתו </w:t>
      </w:r>
      <w:proofErr w:type="spellStart"/>
      <w:r>
        <w:rPr>
          <w:rFonts w:hint="cs"/>
          <w:rtl/>
        </w:rPr>
        <w:t>שלמנ"ג</w:t>
      </w:r>
      <w:proofErr w:type="spellEnd"/>
      <w:r>
        <w:rPr>
          <w:rFonts w:hint="cs"/>
          <w:rtl/>
        </w:rPr>
        <w:t xml:space="preserve"> מועברים חובות ישנים לעומת החובות שמועברים </w:t>
      </w:r>
      <w:proofErr w:type="spellStart"/>
      <w:r>
        <w:rPr>
          <w:rFonts w:hint="cs"/>
          <w:rtl/>
        </w:rPr>
        <w:t>למג"ק</w:t>
      </w:r>
      <w:proofErr w:type="spellEnd"/>
      <w:r>
        <w:rPr>
          <w:rFonts w:hint="cs"/>
          <w:rtl/>
        </w:rPr>
        <w:t xml:space="preserve">, וככל שהחוב ישן יותר כך עולה הקושי בגבייתו. כמו כן, הליכי הגבייה באמצעות </w:t>
      </w:r>
      <w:proofErr w:type="spellStart"/>
      <w:r>
        <w:rPr>
          <w:rFonts w:hint="cs"/>
          <w:rtl/>
        </w:rPr>
        <w:t>המנ"ג</w:t>
      </w:r>
      <w:proofErr w:type="spellEnd"/>
      <w:r>
        <w:rPr>
          <w:rFonts w:hint="cs"/>
          <w:rtl/>
        </w:rPr>
        <w:t xml:space="preserve"> דורשים התערבות של רשם, ולכן הם ממושכים יותר, לעומת הליכי הגבייה באמצעות </w:t>
      </w:r>
      <w:proofErr w:type="spellStart"/>
      <w:r>
        <w:rPr>
          <w:rFonts w:hint="cs"/>
          <w:rtl/>
        </w:rPr>
        <w:t>המג"ק</w:t>
      </w:r>
      <w:proofErr w:type="spellEnd"/>
      <w:r>
        <w:rPr>
          <w:rFonts w:hint="cs"/>
          <w:rtl/>
        </w:rPr>
        <w:t>.</w:t>
      </w:r>
    </w:p>
    <w:p w14:paraId="30BEADC0" w14:textId="77777777" w:rsidR="007C4395" w:rsidRDefault="007C4395" w:rsidP="006F4D0D">
      <w:pPr>
        <w:pStyle w:val="71512"/>
        <w:rPr>
          <w:rtl/>
        </w:rPr>
      </w:pPr>
      <w:r>
        <w:rPr>
          <w:rFonts w:hint="cs"/>
          <w:rtl/>
        </w:rPr>
        <w:t>אופן העברת החובות ממשרדי הממשלה לרשות האכיפה והגבייה</w:t>
      </w:r>
    </w:p>
    <w:p w14:paraId="1E1C737F" w14:textId="77777777" w:rsidR="007C4395" w:rsidRDefault="007C4395" w:rsidP="002A738D">
      <w:pPr>
        <w:pStyle w:val="7190"/>
        <w:rPr>
          <w:rtl/>
        </w:rPr>
      </w:pPr>
      <w:r>
        <w:rPr>
          <w:rFonts w:hint="cs"/>
          <w:rtl/>
        </w:rPr>
        <w:t xml:space="preserve">כאמור, ברשות האכיפה והגבייה פועלים שני גופים לגבייה עבור המדינה: </w:t>
      </w:r>
      <w:proofErr w:type="spellStart"/>
      <w:r>
        <w:rPr>
          <w:rFonts w:hint="cs"/>
          <w:rtl/>
        </w:rPr>
        <w:t>המג"ק</w:t>
      </w:r>
      <w:proofErr w:type="spellEnd"/>
      <w:r>
        <w:rPr>
          <w:rFonts w:hint="cs"/>
          <w:rtl/>
        </w:rPr>
        <w:t xml:space="preserve"> </w:t>
      </w:r>
      <w:proofErr w:type="spellStart"/>
      <w:r>
        <w:rPr>
          <w:rFonts w:hint="cs"/>
          <w:rtl/>
        </w:rPr>
        <w:t>והמנ"ג</w:t>
      </w:r>
      <w:proofErr w:type="spellEnd"/>
      <w:r>
        <w:rPr>
          <w:rFonts w:hint="cs"/>
          <w:rtl/>
        </w:rPr>
        <w:t>. הם פועלים כגופים נפרדים, בעלי מערכות מחשוב נפרדות, עם כוח אדם מקצועי ומתודולוגיות עבודה שונות לגביית החובות. כאמור, שונוּת זו נובעת מהמאפיינים השונים של החובות המועברים לטיפולו של כל אחד מהם.</w:t>
      </w:r>
    </w:p>
    <w:p w14:paraId="44879352" w14:textId="77777777" w:rsidR="007C4395" w:rsidRPr="006F4D0D" w:rsidRDefault="007C4395" w:rsidP="006F4D0D">
      <w:pPr>
        <w:pStyle w:val="71612"/>
        <w:rPr>
          <w:rtl/>
        </w:rPr>
      </w:pPr>
      <w:r w:rsidRPr="006F4D0D">
        <w:rPr>
          <w:rFonts w:hint="cs"/>
          <w:rtl/>
        </w:rPr>
        <w:t xml:space="preserve">העברת חובות </w:t>
      </w:r>
      <w:proofErr w:type="spellStart"/>
      <w:r w:rsidRPr="006F4D0D">
        <w:rPr>
          <w:rFonts w:hint="cs"/>
          <w:rtl/>
        </w:rPr>
        <w:t>למג"ק</w:t>
      </w:r>
      <w:proofErr w:type="spellEnd"/>
    </w:p>
    <w:p w14:paraId="202B95DF" w14:textId="77777777" w:rsidR="007C4395" w:rsidRDefault="007C4395" w:rsidP="002A738D">
      <w:pPr>
        <w:pStyle w:val="7190"/>
        <w:rPr>
          <w:rtl/>
        </w:rPr>
      </w:pPr>
      <w:r>
        <w:rPr>
          <w:rFonts w:hint="cs"/>
          <w:rtl/>
        </w:rPr>
        <w:t xml:space="preserve">עם הקמת </w:t>
      </w:r>
      <w:proofErr w:type="spellStart"/>
      <w:r>
        <w:rPr>
          <w:rFonts w:hint="cs"/>
          <w:rtl/>
        </w:rPr>
        <w:t>המג"ק</w:t>
      </w:r>
      <w:proofErr w:type="spellEnd"/>
      <w:r>
        <w:rPr>
          <w:rFonts w:hint="cs"/>
          <w:rtl/>
        </w:rPr>
        <w:t xml:space="preserve"> בשנת 1995, הונהג תהליך גבייה לגבי חובות שמקורם בחיובים הכרוכים בניהול הליך בבית המשפט, שלפיו </w:t>
      </w:r>
      <w:r w:rsidRPr="00397452">
        <w:rPr>
          <w:rtl/>
        </w:rPr>
        <w:t xml:space="preserve">בתי המשפט </w:t>
      </w:r>
      <w:r>
        <w:rPr>
          <w:rFonts w:hint="cs"/>
          <w:rtl/>
        </w:rPr>
        <w:t xml:space="preserve">גובים </w:t>
      </w:r>
      <w:r w:rsidRPr="00397452">
        <w:rPr>
          <w:rtl/>
        </w:rPr>
        <w:t xml:space="preserve">עד התאריך שנקבע לתשלום </w:t>
      </w:r>
      <w:r w:rsidRPr="00397452">
        <w:rPr>
          <w:rFonts w:hint="cs"/>
          <w:rtl/>
        </w:rPr>
        <w:t>(</w:t>
      </w:r>
      <w:r>
        <w:rPr>
          <w:rFonts w:hint="cs"/>
          <w:rtl/>
        </w:rPr>
        <w:t>בהתאם</w:t>
      </w:r>
      <w:r w:rsidRPr="00397452">
        <w:rPr>
          <w:rFonts w:hint="cs"/>
          <w:rtl/>
        </w:rPr>
        <w:t xml:space="preserve"> </w:t>
      </w:r>
      <w:r>
        <w:rPr>
          <w:rFonts w:hint="cs"/>
          <w:rtl/>
        </w:rPr>
        <w:t>ל</w:t>
      </w:r>
      <w:r w:rsidRPr="00397452">
        <w:rPr>
          <w:rtl/>
        </w:rPr>
        <w:t>החלטת השופט</w:t>
      </w:r>
      <w:r w:rsidRPr="00397452">
        <w:rPr>
          <w:rFonts w:hint="cs"/>
          <w:rtl/>
        </w:rPr>
        <w:t>)</w:t>
      </w:r>
      <w:r>
        <w:rPr>
          <w:rFonts w:hint="cs"/>
          <w:rtl/>
        </w:rPr>
        <w:t>,</w:t>
      </w:r>
      <w:r w:rsidRPr="00397452">
        <w:rPr>
          <w:rtl/>
        </w:rPr>
        <w:t xml:space="preserve"> ולאחר תאריך זה </w:t>
      </w:r>
      <w:proofErr w:type="spellStart"/>
      <w:r>
        <w:rPr>
          <w:rFonts w:hint="cs"/>
          <w:rtl/>
        </w:rPr>
        <w:t>המג"ק</w:t>
      </w:r>
      <w:proofErr w:type="spellEnd"/>
      <w:r>
        <w:rPr>
          <w:rFonts w:hint="cs"/>
          <w:rtl/>
        </w:rPr>
        <w:t xml:space="preserve"> מקבל את האחריות לגביית החוב</w:t>
      </w:r>
      <w:r w:rsidRPr="00397452">
        <w:rPr>
          <w:rtl/>
        </w:rPr>
        <w:t xml:space="preserve">. </w:t>
      </w:r>
      <w:r>
        <w:rPr>
          <w:rFonts w:hint="cs"/>
          <w:rtl/>
        </w:rPr>
        <w:t xml:space="preserve">לפיכך </w:t>
      </w:r>
      <w:r w:rsidRPr="00397452">
        <w:rPr>
          <w:rtl/>
        </w:rPr>
        <w:t>הוקם</w:t>
      </w:r>
      <w:r w:rsidRPr="00397452">
        <w:rPr>
          <w:rFonts w:hint="cs"/>
          <w:rtl/>
        </w:rPr>
        <w:t xml:space="preserve"> </w:t>
      </w:r>
      <w:r w:rsidRPr="00397452">
        <w:rPr>
          <w:rtl/>
        </w:rPr>
        <w:t>ממשק חד</w:t>
      </w:r>
      <w:r>
        <w:rPr>
          <w:rFonts w:hint="cs"/>
          <w:rtl/>
        </w:rPr>
        <w:t>-</w:t>
      </w:r>
      <w:r w:rsidRPr="00397452">
        <w:rPr>
          <w:rtl/>
        </w:rPr>
        <w:t xml:space="preserve">כיווני </w:t>
      </w:r>
      <w:r>
        <w:rPr>
          <w:rFonts w:hint="cs"/>
          <w:rtl/>
        </w:rPr>
        <w:t>ל</w:t>
      </w:r>
      <w:r w:rsidRPr="00397452">
        <w:rPr>
          <w:rtl/>
        </w:rPr>
        <w:t>העברת החובות</w:t>
      </w:r>
      <w:r>
        <w:rPr>
          <w:rFonts w:hint="cs"/>
          <w:rtl/>
        </w:rPr>
        <w:t xml:space="preserve"> מבתי המשפט </w:t>
      </w:r>
      <w:proofErr w:type="spellStart"/>
      <w:r w:rsidRPr="00397452">
        <w:rPr>
          <w:rtl/>
        </w:rPr>
        <w:t>למ</w:t>
      </w:r>
      <w:r>
        <w:rPr>
          <w:rFonts w:hint="cs"/>
          <w:rtl/>
        </w:rPr>
        <w:t>ג"ק</w:t>
      </w:r>
      <w:proofErr w:type="spellEnd"/>
      <w:r>
        <w:rPr>
          <w:rFonts w:hint="cs"/>
          <w:rtl/>
        </w:rPr>
        <w:t>,</w:t>
      </w:r>
      <w:r w:rsidRPr="00397452">
        <w:rPr>
          <w:rtl/>
        </w:rPr>
        <w:t xml:space="preserve"> </w:t>
      </w:r>
      <w:r>
        <w:rPr>
          <w:rFonts w:hint="cs"/>
          <w:rtl/>
        </w:rPr>
        <w:t>ובתי המשפט סיימו למעשה את הטיפול בחובות אלו</w:t>
      </w:r>
      <w:r w:rsidRPr="00397452">
        <w:rPr>
          <w:rtl/>
        </w:rPr>
        <w:t>.</w:t>
      </w:r>
      <w:r w:rsidRPr="00397452">
        <w:rPr>
          <w:rFonts w:hint="cs"/>
          <w:rtl/>
        </w:rPr>
        <w:t xml:space="preserve"> </w:t>
      </w:r>
      <w:r w:rsidRPr="00397452">
        <w:rPr>
          <w:rtl/>
        </w:rPr>
        <w:t xml:space="preserve">מכוח ההמשכיות, כאשר משרדים נוספים העבירו את החובות שלהם </w:t>
      </w:r>
      <w:proofErr w:type="spellStart"/>
      <w:r w:rsidRPr="00397452">
        <w:rPr>
          <w:rtl/>
        </w:rPr>
        <w:t>ל</w:t>
      </w:r>
      <w:r w:rsidRPr="00397452">
        <w:rPr>
          <w:rFonts w:hint="cs"/>
          <w:rtl/>
        </w:rPr>
        <w:t>מג"ק</w:t>
      </w:r>
      <w:proofErr w:type="spellEnd"/>
      <w:r w:rsidRPr="00397452">
        <w:rPr>
          <w:rtl/>
        </w:rPr>
        <w:t xml:space="preserve">, </w:t>
      </w:r>
      <w:r>
        <w:rPr>
          <w:rFonts w:hint="cs"/>
          <w:rtl/>
        </w:rPr>
        <w:t xml:space="preserve">הם פעלו באותה דרך, כלומר העבירו את החובות לטיפול </w:t>
      </w:r>
      <w:proofErr w:type="spellStart"/>
      <w:r>
        <w:rPr>
          <w:rFonts w:hint="cs"/>
          <w:rtl/>
        </w:rPr>
        <w:t>המג"ק</w:t>
      </w:r>
      <w:proofErr w:type="spellEnd"/>
      <w:r>
        <w:rPr>
          <w:rFonts w:hint="cs"/>
          <w:rtl/>
        </w:rPr>
        <w:t xml:space="preserve"> וסיימו את אחריותם.</w:t>
      </w:r>
    </w:p>
    <w:p w14:paraId="432140C3" w14:textId="77777777" w:rsidR="007C4395" w:rsidRDefault="007C4395" w:rsidP="002A738D">
      <w:pPr>
        <w:pStyle w:val="7190"/>
        <w:rPr>
          <w:rtl/>
        </w:rPr>
      </w:pPr>
      <w:r>
        <w:rPr>
          <w:rFonts w:hint="cs"/>
          <w:rtl/>
        </w:rPr>
        <w:t xml:space="preserve">על פי הוראת </w:t>
      </w:r>
      <w:proofErr w:type="spellStart"/>
      <w:r>
        <w:rPr>
          <w:rFonts w:hint="cs"/>
          <w:rtl/>
        </w:rPr>
        <w:t>התכ"ם</w:t>
      </w:r>
      <w:proofErr w:type="spellEnd"/>
      <w:r>
        <w:rPr>
          <w:rFonts w:hint="cs"/>
          <w:rtl/>
        </w:rPr>
        <w:t xml:space="preserve"> בתחום הגבייה, משרדי הממשלה נדרשים - בתום סרגל הגבייה והאכיפה המשרדי ועם הפיכתו של החיוב לחוב - להעביר את פרטי החוב לידי </w:t>
      </w:r>
      <w:proofErr w:type="spellStart"/>
      <w:r>
        <w:rPr>
          <w:rFonts w:hint="cs"/>
          <w:rtl/>
        </w:rPr>
        <w:t>המג"ק</w:t>
      </w:r>
      <w:proofErr w:type="spellEnd"/>
      <w:r>
        <w:rPr>
          <w:rFonts w:hint="cs"/>
          <w:rtl/>
        </w:rPr>
        <w:t>.</w:t>
      </w:r>
    </w:p>
    <w:p w14:paraId="6DBE4DE2" w14:textId="77777777" w:rsidR="007C4395" w:rsidRPr="00397452" w:rsidRDefault="007C4395" w:rsidP="002A738D">
      <w:pPr>
        <w:pStyle w:val="7190"/>
        <w:rPr>
          <w:rtl/>
        </w:rPr>
      </w:pPr>
      <w:r>
        <w:rPr>
          <w:rFonts w:hint="cs"/>
          <w:rtl/>
        </w:rPr>
        <w:t xml:space="preserve">בסעיף 2.3.2 להוראה מצוין שעל חשב המשרד וחשב רשות האכיפה והגבייה להסדיר את הליך העברת החובות לרשות, ובכלל זה לקבוע את העקרונות ואת השלבים לטיוב החובות ולהפיכתם לחוב חלוט לצורך העברתם לגבייה </w:t>
      </w:r>
      <w:r w:rsidRPr="00EB1935">
        <w:rPr>
          <w:rFonts w:hint="cs"/>
          <w:rtl/>
        </w:rPr>
        <w:t>ולבחון את הצורך בבנייה של ממשק ממוחשב להעברת החובות.</w:t>
      </w:r>
    </w:p>
    <w:p w14:paraId="38BEB729" w14:textId="77777777" w:rsidR="007C4395" w:rsidRDefault="007C4395" w:rsidP="002A738D">
      <w:pPr>
        <w:pStyle w:val="7190"/>
        <w:rPr>
          <w:rtl/>
        </w:rPr>
      </w:pPr>
      <w:r>
        <w:rPr>
          <w:rFonts w:hint="cs"/>
          <w:rtl/>
        </w:rPr>
        <w:t>במועד סיום הביקורת יש שתי חלופות ל</w:t>
      </w:r>
      <w:r w:rsidRPr="00D02C7F">
        <w:rPr>
          <w:rFonts w:hint="cs"/>
          <w:rtl/>
        </w:rPr>
        <w:t xml:space="preserve">העברת החובות </w:t>
      </w:r>
      <w:proofErr w:type="spellStart"/>
      <w:r w:rsidRPr="00D02C7F">
        <w:rPr>
          <w:rFonts w:hint="cs"/>
          <w:rtl/>
        </w:rPr>
        <w:t>למ</w:t>
      </w:r>
      <w:r>
        <w:rPr>
          <w:rFonts w:hint="cs"/>
          <w:rtl/>
        </w:rPr>
        <w:t>ג"ק</w:t>
      </w:r>
      <w:proofErr w:type="spellEnd"/>
      <w:r>
        <w:rPr>
          <w:rFonts w:hint="cs"/>
          <w:rtl/>
        </w:rPr>
        <w:t xml:space="preserve"> כתלות בכמות התיקים של הגוף:</w:t>
      </w:r>
    </w:p>
    <w:p w14:paraId="078574A4" w14:textId="77777777" w:rsidR="007C4395" w:rsidRDefault="007C4395" w:rsidP="0038598B">
      <w:pPr>
        <w:pStyle w:val="714"/>
        <w:numPr>
          <w:ilvl w:val="0"/>
          <w:numId w:val="27"/>
        </w:numPr>
      </w:pPr>
      <w:r w:rsidRPr="00882841">
        <w:rPr>
          <w:rStyle w:val="717Char0"/>
          <w:rFonts w:hint="cs"/>
          <w:rtl/>
        </w:rPr>
        <w:t>ממשק ייעודי דו-כיווני:</w:t>
      </w:r>
      <w:r>
        <w:rPr>
          <w:rFonts w:hint="cs"/>
          <w:rtl/>
        </w:rPr>
        <w:t xml:space="preserve"> ב</w:t>
      </w:r>
      <w:r w:rsidRPr="00D02C7F">
        <w:rPr>
          <w:rtl/>
        </w:rPr>
        <w:t xml:space="preserve">ממשק </w:t>
      </w:r>
      <w:r>
        <w:rPr>
          <w:rFonts w:hint="cs"/>
          <w:rtl/>
        </w:rPr>
        <w:t>זה</w:t>
      </w:r>
      <w:r w:rsidRPr="00D02C7F">
        <w:rPr>
          <w:rtl/>
        </w:rPr>
        <w:t xml:space="preserve"> </w:t>
      </w:r>
      <w:r>
        <w:rPr>
          <w:rFonts w:hint="cs"/>
          <w:rtl/>
        </w:rPr>
        <w:t>משתמשים כ-25 גופים ממשלתיים גדולים,</w:t>
      </w:r>
      <w:r w:rsidRPr="00D02C7F">
        <w:rPr>
          <w:rtl/>
        </w:rPr>
        <w:t xml:space="preserve"> כ</w:t>
      </w:r>
      <w:r>
        <w:rPr>
          <w:rFonts w:hint="cs"/>
          <w:rtl/>
        </w:rPr>
        <w:t>ג</w:t>
      </w:r>
      <w:r w:rsidRPr="00D02C7F">
        <w:rPr>
          <w:rtl/>
        </w:rPr>
        <w:t>ו</w:t>
      </w:r>
      <w:r>
        <w:rPr>
          <w:rFonts w:hint="cs"/>
          <w:rtl/>
        </w:rPr>
        <w:t>ן</w:t>
      </w:r>
      <w:r w:rsidRPr="00D02C7F">
        <w:rPr>
          <w:rtl/>
        </w:rPr>
        <w:t xml:space="preserve"> משטרת ישראל, הנהלת בתי המשפט, רשות התאגידים, רשות השידור, רשות הרישוי </w:t>
      </w:r>
      <w:r>
        <w:rPr>
          <w:rFonts w:hint="cs"/>
          <w:rtl/>
        </w:rPr>
        <w:t>וה</w:t>
      </w:r>
      <w:r w:rsidRPr="00D02C7F">
        <w:rPr>
          <w:rtl/>
        </w:rPr>
        <w:t xml:space="preserve">סנגוריה </w:t>
      </w:r>
      <w:r>
        <w:rPr>
          <w:rFonts w:hint="cs"/>
          <w:rtl/>
        </w:rPr>
        <w:t>ה</w:t>
      </w:r>
      <w:r w:rsidRPr="00D02C7F">
        <w:rPr>
          <w:rtl/>
        </w:rPr>
        <w:t>ציבורית.</w:t>
      </w:r>
      <w:r w:rsidRPr="00D02C7F">
        <w:rPr>
          <w:rFonts w:hint="cs"/>
          <w:rtl/>
        </w:rPr>
        <w:t xml:space="preserve"> </w:t>
      </w:r>
      <w:r>
        <w:rPr>
          <w:rFonts w:hint="cs"/>
          <w:rtl/>
        </w:rPr>
        <w:t xml:space="preserve">הממשק הותאם לכל אחד מהגופים המשתמשים בו בהתאם למאפייני החובות שהם מטפלים בהם. הממשק אינו אוטומטי אלא מצריך את משרדי הממשלה לבחור את החובות להעברה לטיפולו של </w:t>
      </w:r>
      <w:proofErr w:type="spellStart"/>
      <w:r>
        <w:rPr>
          <w:rFonts w:hint="cs"/>
          <w:rtl/>
        </w:rPr>
        <w:t>המג"ק</w:t>
      </w:r>
      <w:proofErr w:type="spellEnd"/>
      <w:r>
        <w:rPr>
          <w:rFonts w:hint="cs"/>
          <w:rtl/>
        </w:rPr>
        <w:t>. כמו כן, הממשק</w:t>
      </w:r>
      <w:r w:rsidRPr="00D02C7F">
        <w:rPr>
          <w:rtl/>
        </w:rPr>
        <w:t xml:space="preserve"> </w:t>
      </w:r>
      <w:r>
        <w:rPr>
          <w:rFonts w:hint="cs"/>
          <w:rtl/>
        </w:rPr>
        <w:t>מאפשר</w:t>
      </w:r>
      <w:r w:rsidRPr="00D02C7F">
        <w:rPr>
          <w:rtl/>
        </w:rPr>
        <w:t xml:space="preserve"> </w:t>
      </w:r>
      <w:proofErr w:type="spellStart"/>
      <w:r>
        <w:rPr>
          <w:rFonts w:hint="cs"/>
          <w:rtl/>
        </w:rPr>
        <w:t>למג"ק</w:t>
      </w:r>
      <w:proofErr w:type="spellEnd"/>
      <w:r>
        <w:rPr>
          <w:rFonts w:hint="cs"/>
          <w:rtl/>
        </w:rPr>
        <w:t xml:space="preserve"> ל</w:t>
      </w:r>
      <w:r w:rsidRPr="00D02C7F">
        <w:rPr>
          <w:rtl/>
        </w:rPr>
        <w:t xml:space="preserve">עדכן את </w:t>
      </w:r>
      <w:r>
        <w:rPr>
          <w:rFonts w:hint="cs"/>
          <w:rtl/>
        </w:rPr>
        <w:t>ה</w:t>
      </w:r>
      <w:r w:rsidRPr="00D02C7F">
        <w:rPr>
          <w:rtl/>
        </w:rPr>
        <w:t>גוף מטיל החיוב ב</w:t>
      </w:r>
      <w:r>
        <w:rPr>
          <w:rFonts w:hint="cs"/>
          <w:rtl/>
        </w:rPr>
        <w:t>כ</w:t>
      </w:r>
      <w:r w:rsidRPr="00D02C7F">
        <w:rPr>
          <w:rtl/>
        </w:rPr>
        <w:t>מ</w:t>
      </w:r>
      <w:r>
        <w:rPr>
          <w:rFonts w:hint="cs"/>
          <w:rtl/>
        </w:rPr>
        <w:t>ה</w:t>
      </w:r>
      <w:r w:rsidRPr="00D02C7F">
        <w:rPr>
          <w:rtl/>
        </w:rPr>
        <w:t xml:space="preserve"> פעולות שהמרכז מבצע</w:t>
      </w:r>
      <w:r>
        <w:rPr>
          <w:rFonts w:hint="cs"/>
          <w:rtl/>
        </w:rPr>
        <w:t>,</w:t>
      </w:r>
      <w:r w:rsidRPr="00D02C7F">
        <w:rPr>
          <w:rtl/>
        </w:rPr>
        <w:t xml:space="preserve"> כמו קבלת תשלום וסגירת תיק.</w:t>
      </w:r>
    </w:p>
    <w:p w14:paraId="25D87BC4" w14:textId="77777777" w:rsidR="007C4395" w:rsidRDefault="007C4395" w:rsidP="0038598B">
      <w:pPr>
        <w:pStyle w:val="714"/>
        <w:numPr>
          <w:ilvl w:val="0"/>
          <w:numId w:val="27"/>
        </w:numPr>
      </w:pPr>
      <w:r w:rsidRPr="00882841">
        <w:rPr>
          <w:rStyle w:val="717Char0"/>
          <w:rFonts w:hint="cs"/>
          <w:rtl/>
        </w:rPr>
        <w:t>מערכת "אבן ראשה":</w:t>
      </w:r>
      <w:r>
        <w:rPr>
          <w:rFonts w:hint="cs"/>
          <w:rtl/>
        </w:rPr>
        <w:t xml:space="preserve"> </w:t>
      </w:r>
      <w:r w:rsidRPr="00D02C7F">
        <w:rPr>
          <w:rFonts w:hint="cs"/>
          <w:rtl/>
        </w:rPr>
        <w:t xml:space="preserve">מערכת </w:t>
      </w:r>
      <w:r>
        <w:rPr>
          <w:rFonts w:hint="cs"/>
          <w:rtl/>
        </w:rPr>
        <w:t>מקוונת</w:t>
      </w:r>
      <w:r w:rsidRPr="00D02C7F">
        <w:rPr>
          <w:rFonts w:hint="cs"/>
          <w:rtl/>
        </w:rPr>
        <w:t xml:space="preserve"> ל</w:t>
      </w:r>
      <w:r w:rsidRPr="00D02C7F">
        <w:rPr>
          <w:rtl/>
        </w:rPr>
        <w:t>העברת תיקים</w:t>
      </w:r>
      <w:r>
        <w:rPr>
          <w:rFonts w:hint="cs"/>
          <w:rtl/>
        </w:rPr>
        <w:t xml:space="preserve">. המערכת </w:t>
      </w:r>
      <w:r w:rsidRPr="00C5437A">
        <w:rPr>
          <w:rtl/>
        </w:rPr>
        <w:t>הוקמה בתחילת שנת 2020 במטרה לתת מענה לרשויות מקומיות ו</w:t>
      </w:r>
      <w:r>
        <w:rPr>
          <w:rFonts w:hint="cs"/>
          <w:rtl/>
        </w:rPr>
        <w:t>לו</w:t>
      </w:r>
      <w:r w:rsidRPr="00C5437A">
        <w:rPr>
          <w:rtl/>
        </w:rPr>
        <w:t>ועדות מקומיות</w:t>
      </w:r>
      <w:r>
        <w:rPr>
          <w:rFonts w:hint="cs"/>
          <w:rtl/>
        </w:rPr>
        <w:t xml:space="preserve"> לתכנון ולבנייה,</w:t>
      </w:r>
      <w:r w:rsidRPr="00C5437A">
        <w:rPr>
          <w:rtl/>
        </w:rPr>
        <w:t xml:space="preserve"> ועם הזמן </w:t>
      </w:r>
      <w:r>
        <w:rPr>
          <w:rFonts w:hint="cs"/>
          <w:rtl/>
        </w:rPr>
        <w:t xml:space="preserve">היא </w:t>
      </w:r>
      <w:r w:rsidRPr="00C5437A">
        <w:rPr>
          <w:rtl/>
        </w:rPr>
        <w:t>הורחבה גם למשרדי ממשלה. המערכת הי</w:t>
      </w:r>
      <w:r>
        <w:rPr>
          <w:rFonts w:hint="cs"/>
          <w:rtl/>
        </w:rPr>
        <w:t>א</w:t>
      </w:r>
      <w:r w:rsidRPr="00C5437A">
        <w:rPr>
          <w:rtl/>
        </w:rPr>
        <w:t xml:space="preserve"> מערכת תפעולית אשר נותנת מענה </w:t>
      </w:r>
      <w:r w:rsidRPr="00C5437A">
        <w:rPr>
          <w:rtl/>
        </w:rPr>
        <w:lastRenderedPageBreak/>
        <w:t>לניהול החובות.</w:t>
      </w:r>
      <w:r>
        <w:rPr>
          <w:rFonts w:hint="cs"/>
          <w:rtl/>
        </w:rPr>
        <w:t xml:space="preserve"> היא מאפשרת לייבא תיקים, אך בדומה לממשק הייעודי - היא אינה מעבירה ישירות את הטיפול בתיק בעת סיום סרגל הגבייה והאכיפה המשרדי והפיכת החיוב לחוב.</w:t>
      </w:r>
      <w:r w:rsidRPr="00C5437A">
        <w:rPr>
          <w:rtl/>
        </w:rPr>
        <w:t xml:space="preserve"> </w:t>
      </w:r>
      <w:r>
        <w:rPr>
          <w:rFonts w:hint="cs"/>
          <w:rtl/>
        </w:rPr>
        <w:t xml:space="preserve">נוסף על כך, </w:t>
      </w:r>
      <w:r w:rsidRPr="00C5437A">
        <w:rPr>
          <w:rtl/>
        </w:rPr>
        <w:t>מדובר במערכת שניתן לבצע בה פעולות לפי הרשאות לכלל בעלי התפקידים ברמות שונות בתוך הגוף שהעביר את החובות.</w:t>
      </w:r>
      <w:r w:rsidRPr="00C5437A">
        <w:rPr>
          <w:rFonts w:hint="cs"/>
          <w:rtl/>
        </w:rPr>
        <w:t xml:space="preserve"> </w:t>
      </w:r>
      <w:r>
        <w:rPr>
          <w:rFonts w:hint="cs"/>
          <w:rtl/>
        </w:rPr>
        <w:t>המערכת משמשת</w:t>
      </w:r>
      <w:r w:rsidRPr="00D02C7F">
        <w:rPr>
          <w:rFonts w:hint="cs"/>
          <w:rtl/>
        </w:rPr>
        <w:t xml:space="preserve"> גופים </w:t>
      </w:r>
      <w:r w:rsidRPr="00D02C7F">
        <w:rPr>
          <w:rtl/>
        </w:rPr>
        <w:t xml:space="preserve">בינוניים </w:t>
      </w:r>
      <w:r>
        <w:rPr>
          <w:rFonts w:hint="cs"/>
          <w:rtl/>
        </w:rPr>
        <w:t xml:space="preserve">שלהם מספר קטן יחסית של </w:t>
      </w:r>
      <w:r w:rsidRPr="00D02C7F">
        <w:rPr>
          <w:rtl/>
        </w:rPr>
        <w:t>תיקים (</w:t>
      </w:r>
      <w:r w:rsidRPr="00D02C7F">
        <w:rPr>
          <w:rFonts w:hint="cs"/>
          <w:rtl/>
        </w:rPr>
        <w:t>ל</w:t>
      </w:r>
      <w:r w:rsidRPr="00D02C7F">
        <w:rPr>
          <w:rtl/>
        </w:rPr>
        <w:t>דוגמ</w:t>
      </w:r>
      <w:r w:rsidRPr="00D02C7F">
        <w:rPr>
          <w:rFonts w:hint="cs"/>
          <w:rtl/>
        </w:rPr>
        <w:t>ה</w:t>
      </w:r>
      <w:r>
        <w:rPr>
          <w:rFonts w:hint="cs"/>
          <w:rtl/>
        </w:rPr>
        <w:t>,</w:t>
      </w:r>
      <w:r w:rsidRPr="00D02C7F">
        <w:rPr>
          <w:rtl/>
        </w:rPr>
        <w:t xml:space="preserve"> רשות </w:t>
      </w:r>
      <w:r>
        <w:rPr>
          <w:rFonts w:hint="cs"/>
          <w:rtl/>
        </w:rPr>
        <w:t>האוכלוסי</w:t>
      </w:r>
      <w:r>
        <w:rPr>
          <w:rFonts w:hint="eastAsia"/>
          <w:rtl/>
        </w:rPr>
        <w:t>ן</w:t>
      </w:r>
      <w:r>
        <w:rPr>
          <w:rFonts w:hint="cs"/>
          <w:rtl/>
        </w:rPr>
        <w:t xml:space="preserve"> וההגירה</w:t>
      </w:r>
      <w:r w:rsidRPr="00D02C7F">
        <w:rPr>
          <w:rtl/>
        </w:rPr>
        <w:t>)</w:t>
      </w:r>
      <w:r>
        <w:rPr>
          <w:rFonts w:hint="cs"/>
          <w:rtl/>
        </w:rPr>
        <w:t xml:space="preserve"> להעברת חובות </w:t>
      </w:r>
      <w:proofErr w:type="spellStart"/>
      <w:r>
        <w:rPr>
          <w:rFonts w:hint="cs"/>
          <w:rtl/>
        </w:rPr>
        <w:t>למג"ק</w:t>
      </w:r>
      <w:proofErr w:type="spellEnd"/>
      <w:r>
        <w:rPr>
          <w:rStyle w:val="ac"/>
          <w:rtl/>
        </w:rPr>
        <w:footnoteReference w:id="73"/>
      </w:r>
      <w:r w:rsidRPr="00D02C7F">
        <w:rPr>
          <w:rFonts w:hint="cs"/>
          <w:rtl/>
        </w:rPr>
        <w:t>.</w:t>
      </w:r>
    </w:p>
    <w:p w14:paraId="7D10CCEA" w14:textId="77777777" w:rsidR="007C4395" w:rsidRPr="00F27136" w:rsidRDefault="007C4395" w:rsidP="003B2683">
      <w:pPr>
        <w:pStyle w:val="714"/>
        <w:numPr>
          <w:ilvl w:val="0"/>
          <w:numId w:val="0"/>
        </w:numPr>
        <w:ind w:left="397"/>
      </w:pPr>
      <w:r>
        <w:rPr>
          <w:rFonts w:hint="cs"/>
          <w:rtl/>
        </w:rPr>
        <w:t>יצוין שמערכת אבן ראשה מאפשרת לקלוט תיקים לגבייה בשני אופנים: (א) ייבוא נתוני התיקים ממערכת חיצונית, דוגמת קובץ אקסל; (ב) קליטה ידנית באמצעות טופס מקוון. כחלק מתהליך הקליטה, המערכת דורשת את הנתונים האלה: תעודת זהות של החייב; שם החייב; קרן החוב; התאריך הקובע לתשלום; תשלומים קודמים בתיק (אם היו).</w:t>
      </w:r>
      <w:r w:rsidRPr="00C52C22">
        <w:rPr>
          <w:rFonts w:hint="cs"/>
          <w:rtl/>
        </w:rPr>
        <w:t xml:space="preserve"> </w:t>
      </w:r>
      <w:r>
        <w:rPr>
          <w:rFonts w:hint="cs"/>
          <w:rtl/>
        </w:rPr>
        <w:t>ב</w:t>
      </w:r>
      <w:r w:rsidRPr="00C2544B">
        <w:rPr>
          <w:rFonts w:hint="eastAsia"/>
          <w:rtl/>
        </w:rPr>
        <w:t>מועד</w:t>
      </w:r>
      <w:r w:rsidRPr="00C2544B">
        <w:rPr>
          <w:rtl/>
        </w:rPr>
        <w:t xml:space="preserve"> </w:t>
      </w:r>
      <w:r w:rsidRPr="00C2544B">
        <w:rPr>
          <w:rFonts w:hint="eastAsia"/>
          <w:rtl/>
        </w:rPr>
        <w:t>כתיבת</w:t>
      </w:r>
      <w:r w:rsidRPr="00C2544B">
        <w:rPr>
          <w:rtl/>
        </w:rPr>
        <w:t xml:space="preserve"> </w:t>
      </w:r>
      <w:r w:rsidRPr="00C2544B">
        <w:rPr>
          <w:rFonts w:hint="eastAsia"/>
          <w:rtl/>
        </w:rPr>
        <w:t>ה</w:t>
      </w:r>
      <w:r>
        <w:rPr>
          <w:rFonts w:hint="eastAsia"/>
          <w:rtl/>
        </w:rPr>
        <w:t>דוח</w:t>
      </w:r>
      <w:r w:rsidRPr="00C2544B">
        <w:rPr>
          <w:rtl/>
        </w:rPr>
        <w:t xml:space="preserve"> </w:t>
      </w:r>
      <w:r>
        <w:rPr>
          <w:rFonts w:hint="cs"/>
          <w:rtl/>
        </w:rPr>
        <w:t xml:space="preserve">העבירו </w:t>
      </w:r>
      <w:r w:rsidRPr="00C2544B">
        <w:rPr>
          <w:rFonts w:hint="cs"/>
          <w:rtl/>
        </w:rPr>
        <w:t xml:space="preserve">כ-15 גופים את נתוני החובות </w:t>
      </w:r>
      <w:proofErr w:type="spellStart"/>
      <w:r w:rsidRPr="00C2544B">
        <w:rPr>
          <w:rFonts w:hint="cs"/>
          <w:rtl/>
        </w:rPr>
        <w:t>למג"ק</w:t>
      </w:r>
      <w:proofErr w:type="spellEnd"/>
      <w:r w:rsidRPr="00C2544B">
        <w:rPr>
          <w:rFonts w:hint="cs"/>
          <w:rtl/>
        </w:rPr>
        <w:t xml:space="preserve"> באמצעות מערכת אבן ראשה, אם באמצעות ייבוא תיקים ואם באמצעות טופס מקוון לפתיחת תיקים.</w:t>
      </w:r>
    </w:p>
    <w:p w14:paraId="08922E7D" w14:textId="77777777" w:rsidR="007C4395" w:rsidRDefault="007C4395" w:rsidP="003B2683">
      <w:pPr>
        <w:pStyle w:val="71f4"/>
        <w:rPr>
          <w:rtl/>
        </w:rPr>
      </w:pPr>
      <w:r w:rsidRPr="00C2544B">
        <w:rPr>
          <w:rFonts w:hint="cs"/>
          <w:rtl/>
        </w:rPr>
        <w:t xml:space="preserve">נמצא כאמור </w:t>
      </w:r>
      <w:proofErr w:type="spellStart"/>
      <w:r>
        <w:rPr>
          <w:rFonts w:hint="cs"/>
          <w:rtl/>
        </w:rPr>
        <w:t>שכ</w:t>
      </w:r>
      <w:proofErr w:type="spellEnd"/>
      <w:r>
        <w:rPr>
          <w:rFonts w:hint="cs"/>
          <w:rtl/>
        </w:rPr>
        <w:t xml:space="preserve">-25 </w:t>
      </w:r>
      <w:r w:rsidRPr="00C2544B">
        <w:rPr>
          <w:rFonts w:hint="cs"/>
          <w:rtl/>
        </w:rPr>
        <w:t>משרדי ממשלה</w:t>
      </w:r>
      <w:r>
        <w:rPr>
          <w:rFonts w:hint="cs"/>
          <w:rtl/>
        </w:rPr>
        <w:t xml:space="preserve"> ויחידות סמך</w:t>
      </w:r>
      <w:r w:rsidRPr="00C2544B">
        <w:rPr>
          <w:rFonts w:hint="cs"/>
          <w:rtl/>
        </w:rPr>
        <w:t xml:space="preserve"> מעבירים את נתוני החובות </w:t>
      </w:r>
      <w:proofErr w:type="spellStart"/>
      <w:r w:rsidRPr="00C2544B">
        <w:rPr>
          <w:rFonts w:hint="cs"/>
          <w:rtl/>
        </w:rPr>
        <w:t>למג"ק</w:t>
      </w:r>
      <w:proofErr w:type="spellEnd"/>
      <w:r w:rsidRPr="00C2544B">
        <w:rPr>
          <w:rFonts w:hint="cs"/>
          <w:rtl/>
        </w:rPr>
        <w:t xml:space="preserve"> בממשק </w:t>
      </w:r>
      <w:r>
        <w:rPr>
          <w:rFonts w:hint="cs"/>
          <w:rtl/>
        </w:rPr>
        <w:t xml:space="preserve">ייעודי, </w:t>
      </w:r>
      <w:proofErr w:type="spellStart"/>
      <w:r>
        <w:rPr>
          <w:rFonts w:hint="cs"/>
          <w:rtl/>
        </w:rPr>
        <w:t>וכ</w:t>
      </w:r>
      <w:proofErr w:type="spellEnd"/>
      <w:r>
        <w:rPr>
          <w:rFonts w:hint="cs"/>
          <w:rtl/>
        </w:rPr>
        <w:t>-15 אינם עושים כן.</w:t>
      </w:r>
      <w:r w:rsidRPr="00C2544B">
        <w:rPr>
          <w:rFonts w:hint="cs"/>
          <w:rtl/>
        </w:rPr>
        <w:t xml:space="preserve"> על אגף </w:t>
      </w:r>
      <w:proofErr w:type="spellStart"/>
      <w:r w:rsidRPr="00C2544B">
        <w:rPr>
          <w:rFonts w:hint="cs"/>
          <w:rtl/>
        </w:rPr>
        <w:t>החשכ"ל</w:t>
      </w:r>
      <w:proofErr w:type="spellEnd"/>
      <w:r>
        <w:rPr>
          <w:rFonts w:hint="cs"/>
          <w:rtl/>
        </w:rPr>
        <w:t>,</w:t>
      </w:r>
      <w:r w:rsidRPr="00C2544B">
        <w:rPr>
          <w:rFonts w:hint="cs"/>
          <w:rtl/>
        </w:rPr>
        <w:t xml:space="preserve"> </w:t>
      </w:r>
      <w:r>
        <w:rPr>
          <w:rFonts w:hint="cs"/>
          <w:rtl/>
        </w:rPr>
        <w:t>בשיתוף</w:t>
      </w:r>
      <w:r w:rsidRPr="00C2544B">
        <w:rPr>
          <w:rFonts w:hint="cs"/>
          <w:rtl/>
        </w:rPr>
        <w:t xml:space="preserve"> משרדי הממשלה </w:t>
      </w:r>
      <w:proofErr w:type="spellStart"/>
      <w:r w:rsidRPr="00C2544B">
        <w:rPr>
          <w:rFonts w:hint="cs"/>
          <w:rtl/>
        </w:rPr>
        <w:t>והמג"ק</w:t>
      </w:r>
      <w:proofErr w:type="spellEnd"/>
      <w:r>
        <w:rPr>
          <w:rFonts w:hint="cs"/>
          <w:rtl/>
        </w:rPr>
        <w:t>,</w:t>
      </w:r>
      <w:r w:rsidRPr="00C2544B">
        <w:rPr>
          <w:rFonts w:hint="cs"/>
          <w:rtl/>
        </w:rPr>
        <w:t xml:space="preserve"> </w:t>
      </w:r>
      <w:r>
        <w:rPr>
          <w:rFonts w:hint="cs"/>
          <w:rtl/>
        </w:rPr>
        <w:t>לבחון באופן שוטף</w:t>
      </w:r>
      <w:r w:rsidRPr="00C2544B">
        <w:rPr>
          <w:rFonts w:hint="cs"/>
          <w:rtl/>
        </w:rPr>
        <w:t xml:space="preserve"> את הצורך בפיתוח ממשקים </w:t>
      </w:r>
      <w:r>
        <w:rPr>
          <w:rFonts w:hint="cs"/>
          <w:rtl/>
        </w:rPr>
        <w:t>ייעודיים</w:t>
      </w:r>
      <w:r w:rsidRPr="00C2544B">
        <w:rPr>
          <w:rFonts w:hint="cs"/>
          <w:rtl/>
        </w:rPr>
        <w:t xml:space="preserve"> להעברת חובות </w:t>
      </w:r>
      <w:proofErr w:type="spellStart"/>
      <w:r w:rsidRPr="00C2544B">
        <w:rPr>
          <w:rFonts w:hint="cs"/>
          <w:rtl/>
        </w:rPr>
        <w:t>למג"ק</w:t>
      </w:r>
      <w:proofErr w:type="spellEnd"/>
      <w:r>
        <w:rPr>
          <w:rFonts w:hint="cs"/>
          <w:rtl/>
        </w:rPr>
        <w:t xml:space="preserve"> בהתאם למאפייני הגופים השונים</w:t>
      </w:r>
      <w:r w:rsidRPr="00C2544B">
        <w:rPr>
          <w:rFonts w:hint="cs"/>
          <w:rtl/>
        </w:rPr>
        <w:t>.</w:t>
      </w:r>
    </w:p>
    <w:p w14:paraId="6B0E2017" w14:textId="77777777" w:rsidR="007C4395" w:rsidRDefault="007C4395" w:rsidP="002A738D">
      <w:pPr>
        <w:pStyle w:val="7190"/>
        <w:rPr>
          <w:rtl/>
        </w:rPr>
      </w:pPr>
      <w:r>
        <w:rPr>
          <w:rFonts w:hint="cs"/>
          <w:rtl/>
        </w:rPr>
        <w:t xml:space="preserve">בתשובת רשות האכיפה והגבייה צוין כי </w:t>
      </w:r>
      <w:proofErr w:type="spellStart"/>
      <w:r>
        <w:rPr>
          <w:rFonts w:hint="cs"/>
          <w:rtl/>
        </w:rPr>
        <w:t>המג"ק</w:t>
      </w:r>
      <w:proofErr w:type="spellEnd"/>
      <w:r>
        <w:rPr>
          <w:rFonts w:hint="cs"/>
          <w:rtl/>
        </w:rPr>
        <w:t xml:space="preserve"> פיתח ממשק גנרי, וכל משרד ממשלתי אשר יחליט להתחבר אליו יוכל לקבל סיוע בהתחברות. עם זאת, יש מקרים שבהם אין כדאיות כלכלית לפתיחת תיקים בממשק, בשל מיעוט התיקים שהמשרד הממשלתי מעביר לטיפול </w:t>
      </w:r>
      <w:proofErr w:type="spellStart"/>
      <w:r>
        <w:rPr>
          <w:rFonts w:hint="cs"/>
          <w:rtl/>
        </w:rPr>
        <w:t>המג"ק</w:t>
      </w:r>
      <w:proofErr w:type="spellEnd"/>
      <w:r>
        <w:rPr>
          <w:rFonts w:hint="cs"/>
          <w:rtl/>
        </w:rPr>
        <w:t>.</w:t>
      </w:r>
    </w:p>
    <w:p w14:paraId="17F1F26B" w14:textId="77777777" w:rsidR="007C4395" w:rsidRPr="009C5BDA" w:rsidRDefault="007C4395" w:rsidP="002A738D">
      <w:pPr>
        <w:pStyle w:val="7190"/>
        <w:rPr>
          <w:rtl/>
        </w:rPr>
      </w:pPr>
      <w:r>
        <w:rPr>
          <w:rFonts w:hint="cs"/>
          <w:rtl/>
        </w:rPr>
        <w:t xml:space="preserve">בתשובת הנהלת בתי המשפט צוין כי ככלל, כל החובות בגין עסקאות שאינן חליפין מועברים </w:t>
      </w:r>
      <w:proofErr w:type="spellStart"/>
      <w:r>
        <w:rPr>
          <w:rFonts w:hint="cs"/>
          <w:rtl/>
        </w:rPr>
        <w:t>למג"ק</w:t>
      </w:r>
      <w:proofErr w:type="spellEnd"/>
      <w:r>
        <w:rPr>
          <w:rFonts w:hint="cs"/>
          <w:rtl/>
        </w:rPr>
        <w:t xml:space="preserve"> מהיום הקובע, ובצו של שר המשפטים נקבע כי </w:t>
      </w:r>
      <w:r w:rsidRPr="00B21943">
        <w:rPr>
          <w:rtl/>
        </w:rPr>
        <w:t xml:space="preserve">ממרץ 2022 </w:t>
      </w:r>
      <w:r w:rsidRPr="00B21943">
        <w:rPr>
          <w:rFonts w:hint="eastAsia"/>
          <w:rtl/>
        </w:rPr>
        <w:t>תעביר</w:t>
      </w:r>
      <w:r w:rsidRPr="00B21943">
        <w:rPr>
          <w:rFonts w:hint="cs"/>
          <w:rtl/>
        </w:rPr>
        <w:t xml:space="preserve"> </w:t>
      </w:r>
      <w:r w:rsidRPr="00B21943">
        <w:rPr>
          <w:rFonts w:hint="eastAsia"/>
          <w:rtl/>
        </w:rPr>
        <w:t>הנהלת</w:t>
      </w:r>
      <w:r w:rsidRPr="00B21943">
        <w:rPr>
          <w:rtl/>
        </w:rPr>
        <w:t xml:space="preserve"> בתי המשפט </w:t>
      </w:r>
      <w:r>
        <w:rPr>
          <w:rFonts w:hint="cs"/>
          <w:rtl/>
        </w:rPr>
        <w:t xml:space="preserve">את הטיפול בקנסות </w:t>
      </w:r>
      <w:proofErr w:type="spellStart"/>
      <w:r>
        <w:rPr>
          <w:rFonts w:hint="cs"/>
          <w:rtl/>
        </w:rPr>
        <w:t>למג"ק</w:t>
      </w:r>
      <w:proofErr w:type="spellEnd"/>
      <w:r>
        <w:rPr>
          <w:rFonts w:hint="cs"/>
          <w:rtl/>
        </w:rPr>
        <w:t xml:space="preserve"> כבר מהיום הראשון להיווצרותם. כן צוין בתשובה כי הנהלת בתי המשפט נמצאת כעת בשלבים האחרונים של הפיתוח וההתאמות של המערכות הממוחשבות בהתאם לנדרש בצו שר המשפטים, לרבות ממשקים דו-כיווניים. כחלק מהיערכות זו מוטמעים תהליכי עבודה ונוהלי עבודה שוטפים, שמטרתם טיוב החובות לצורך הפיכתם לאפשריים לגבייה על ידי </w:t>
      </w:r>
      <w:proofErr w:type="spellStart"/>
      <w:r>
        <w:rPr>
          <w:rFonts w:hint="cs"/>
          <w:rtl/>
        </w:rPr>
        <w:t>המג"ק</w:t>
      </w:r>
      <w:proofErr w:type="spellEnd"/>
      <w:r>
        <w:rPr>
          <w:rFonts w:hint="cs"/>
          <w:rtl/>
        </w:rPr>
        <w:t>.</w:t>
      </w:r>
    </w:p>
    <w:p w14:paraId="37EDA141" w14:textId="77777777" w:rsidR="007C4395" w:rsidRPr="00651E66" w:rsidRDefault="007C4395" w:rsidP="00651E66">
      <w:pPr>
        <w:pStyle w:val="71612"/>
        <w:rPr>
          <w:rtl/>
        </w:rPr>
      </w:pPr>
      <w:r w:rsidRPr="00651E66">
        <w:rPr>
          <w:rFonts w:hint="cs"/>
          <w:rtl/>
        </w:rPr>
        <w:t xml:space="preserve">חסימת אפשרות הטיפול בחוב לאחר העברתו </w:t>
      </w:r>
      <w:r w:rsidRPr="00651E66">
        <w:rPr>
          <w:rFonts w:hint="eastAsia"/>
          <w:rtl/>
        </w:rPr>
        <w:t>למרכז</w:t>
      </w:r>
      <w:r w:rsidRPr="00651E66">
        <w:rPr>
          <w:rtl/>
        </w:rPr>
        <w:t xml:space="preserve"> </w:t>
      </w:r>
      <w:r w:rsidRPr="00651E66">
        <w:rPr>
          <w:rFonts w:hint="eastAsia"/>
          <w:rtl/>
        </w:rPr>
        <w:t>לגביית</w:t>
      </w:r>
      <w:r w:rsidRPr="00651E66">
        <w:rPr>
          <w:rtl/>
        </w:rPr>
        <w:t xml:space="preserve"> </w:t>
      </w:r>
      <w:r w:rsidRPr="00651E66">
        <w:rPr>
          <w:rFonts w:hint="eastAsia"/>
          <w:rtl/>
        </w:rPr>
        <w:t>קנסות</w:t>
      </w:r>
    </w:p>
    <w:p w14:paraId="324FFECD" w14:textId="77777777" w:rsidR="007C4395" w:rsidRDefault="007C4395" w:rsidP="002A738D">
      <w:pPr>
        <w:pStyle w:val="7190"/>
        <w:rPr>
          <w:rtl/>
        </w:rPr>
      </w:pPr>
      <w:r>
        <w:rPr>
          <w:rFonts w:hint="cs"/>
          <w:rtl/>
        </w:rPr>
        <w:t xml:space="preserve">משרד מבקר המדינה מצא כי חלק מהגופים אשר סכומי הגבייה שנגבו בגין החובות אליהם מועברים לחשבונם, פועלים לאחר העברת הטיפול בחוב </w:t>
      </w:r>
      <w:proofErr w:type="spellStart"/>
      <w:r>
        <w:rPr>
          <w:rFonts w:hint="cs"/>
          <w:rtl/>
        </w:rPr>
        <w:t>למג"ק</w:t>
      </w:r>
      <w:proofErr w:type="spellEnd"/>
      <w:r>
        <w:rPr>
          <w:rFonts w:hint="cs"/>
          <w:rtl/>
        </w:rPr>
        <w:t xml:space="preserve"> למניעת האפשרות לביצוע תשלום החוב באתר התשלומים הממשלתי (לדוגמה, המשרד לביטחון הפנים ומשרד המשפטים), בעוד שגופים אחרים מאפשרים ביצוע תשלום כאמור (לדוגמה, משרד הבריאות).</w:t>
      </w:r>
    </w:p>
    <w:p w14:paraId="41EEBD30" w14:textId="77777777" w:rsidR="007C4395" w:rsidRDefault="007C4395" w:rsidP="003B2683">
      <w:pPr>
        <w:pStyle w:val="71f4"/>
        <w:rPr>
          <w:rtl/>
        </w:rPr>
      </w:pPr>
      <w:r>
        <w:rPr>
          <w:rFonts w:hint="cs"/>
          <w:rtl/>
        </w:rPr>
        <w:lastRenderedPageBreak/>
        <w:t xml:space="preserve">מתן אפשרות גבייה של חובות ע"י המשרדים אף לאחר שאלו הועברו לטיפול </w:t>
      </w:r>
      <w:proofErr w:type="spellStart"/>
      <w:r>
        <w:rPr>
          <w:rFonts w:hint="cs"/>
          <w:rtl/>
        </w:rPr>
        <w:t>המג"ק</w:t>
      </w:r>
      <w:proofErr w:type="spellEnd"/>
      <w:r>
        <w:rPr>
          <w:rFonts w:hint="cs"/>
          <w:rtl/>
        </w:rPr>
        <w:t xml:space="preserve">, </w:t>
      </w:r>
      <w:r w:rsidRPr="00C12DDA">
        <w:rPr>
          <w:rFonts w:hint="cs"/>
          <w:rtl/>
        </w:rPr>
        <w:t xml:space="preserve">עלול </w:t>
      </w:r>
      <w:r>
        <w:rPr>
          <w:rFonts w:hint="cs"/>
          <w:rtl/>
        </w:rPr>
        <w:t>להביא</w:t>
      </w:r>
      <w:r w:rsidRPr="00C12DDA">
        <w:rPr>
          <w:rFonts w:hint="cs"/>
          <w:rtl/>
        </w:rPr>
        <w:t xml:space="preserve"> ל</w:t>
      </w:r>
      <w:r>
        <w:rPr>
          <w:rFonts w:hint="cs"/>
          <w:rtl/>
        </w:rPr>
        <w:t xml:space="preserve">ביצוע </w:t>
      </w:r>
      <w:r w:rsidRPr="00C12DDA">
        <w:rPr>
          <w:rFonts w:hint="cs"/>
          <w:rtl/>
        </w:rPr>
        <w:t xml:space="preserve">פעולות </w:t>
      </w:r>
      <w:r>
        <w:rPr>
          <w:rFonts w:hint="cs"/>
          <w:rtl/>
        </w:rPr>
        <w:t xml:space="preserve">על ידי </w:t>
      </w:r>
      <w:proofErr w:type="spellStart"/>
      <w:r w:rsidRPr="00C12DDA">
        <w:rPr>
          <w:rFonts w:hint="cs"/>
          <w:rtl/>
        </w:rPr>
        <w:t>המג"ק</w:t>
      </w:r>
      <w:proofErr w:type="spellEnd"/>
      <w:r w:rsidRPr="00C12DDA">
        <w:rPr>
          <w:rFonts w:hint="cs"/>
          <w:rtl/>
        </w:rPr>
        <w:t xml:space="preserve"> לשם גביית</w:t>
      </w:r>
      <w:r>
        <w:rPr>
          <w:rFonts w:hint="cs"/>
          <w:rtl/>
        </w:rPr>
        <w:t xml:space="preserve"> חוב גם לאחר שכבר שולם</w:t>
      </w:r>
      <w:r w:rsidRPr="00C12DDA">
        <w:rPr>
          <w:rFonts w:hint="cs"/>
          <w:rtl/>
        </w:rPr>
        <w:t>, דבר היוצר בזבוז של משאבי ציבור</w:t>
      </w:r>
      <w:r>
        <w:rPr>
          <w:rFonts w:hint="cs"/>
          <w:rtl/>
        </w:rPr>
        <w:t xml:space="preserve"> וכן פגיעה אפשרית באזרח ששילם את חובו</w:t>
      </w:r>
      <w:r w:rsidRPr="00C12DDA">
        <w:rPr>
          <w:rFonts w:hint="cs"/>
          <w:rtl/>
        </w:rPr>
        <w:t>.</w:t>
      </w:r>
    </w:p>
    <w:p w14:paraId="7EDCB58C" w14:textId="77777777" w:rsidR="007C4395" w:rsidRDefault="007C4395" w:rsidP="002A738D">
      <w:pPr>
        <w:pStyle w:val="7190"/>
        <w:rPr>
          <w:rtl/>
        </w:rPr>
      </w:pPr>
      <w:r>
        <w:rPr>
          <w:rFonts w:hint="cs"/>
          <w:rtl/>
        </w:rPr>
        <w:t xml:space="preserve">אגף </w:t>
      </w:r>
      <w:proofErr w:type="spellStart"/>
      <w:r>
        <w:rPr>
          <w:rFonts w:hint="cs"/>
          <w:rtl/>
        </w:rPr>
        <w:t>החשכ"ל</w:t>
      </w:r>
      <w:proofErr w:type="spellEnd"/>
      <w:r>
        <w:rPr>
          <w:rFonts w:hint="cs"/>
          <w:rtl/>
        </w:rPr>
        <w:t xml:space="preserve"> ציין בתשובתו שנושא זה יוסדר בהוראת </w:t>
      </w:r>
      <w:proofErr w:type="spellStart"/>
      <w:r>
        <w:rPr>
          <w:rFonts w:hint="cs"/>
          <w:rtl/>
        </w:rPr>
        <w:t>תכ"ם</w:t>
      </w:r>
      <w:proofErr w:type="spellEnd"/>
      <w:r>
        <w:rPr>
          <w:rFonts w:hint="cs"/>
          <w:rtl/>
        </w:rPr>
        <w:t xml:space="preserve"> שנבחנת בימים אלו, וכן באמצעות הנחיה מטעם החשבונאית הראשית שעתידה להיות מופצת למשרדי הממשלה לקראת הדוחות הכספיים לשנת 2021.</w:t>
      </w:r>
    </w:p>
    <w:p w14:paraId="742DB743" w14:textId="77777777" w:rsidR="007C4395" w:rsidRDefault="007C4395" w:rsidP="002A738D">
      <w:pPr>
        <w:pStyle w:val="7190"/>
        <w:rPr>
          <w:rtl/>
        </w:rPr>
      </w:pPr>
      <w:r>
        <w:rPr>
          <w:rFonts w:hint="cs"/>
          <w:rtl/>
        </w:rPr>
        <w:t xml:space="preserve">בתשובת המשרד לביטחון הפנים צוין כי המשרד אכן פועל לאחר העברת הטיפול בחוב </w:t>
      </w:r>
      <w:proofErr w:type="spellStart"/>
      <w:r>
        <w:rPr>
          <w:rFonts w:hint="cs"/>
          <w:rtl/>
        </w:rPr>
        <w:t>למג"ק</w:t>
      </w:r>
      <w:proofErr w:type="spellEnd"/>
      <w:r>
        <w:rPr>
          <w:rFonts w:hint="cs"/>
          <w:rtl/>
        </w:rPr>
        <w:t xml:space="preserve"> למניעת האפשרות לביצוע תשלום החוב באתר התשלומים הממשלתי</w:t>
      </w:r>
      <w:r>
        <w:rPr>
          <w:rtl/>
        </w:rPr>
        <w:t xml:space="preserve">. </w:t>
      </w:r>
      <w:r>
        <w:rPr>
          <w:rFonts w:hint="cs"/>
          <w:rtl/>
        </w:rPr>
        <w:t>כן צוין</w:t>
      </w:r>
      <w:r>
        <w:rPr>
          <w:rtl/>
        </w:rPr>
        <w:t xml:space="preserve"> כי </w:t>
      </w:r>
      <w:r>
        <w:rPr>
          <w:rFonts w:hint="cs"/>
          <w:rtl/>
        </w:rPr>
        <w:t>כדי</w:t>
      </w:r>
      <w:r>
        <w:rPr>
          <w:rtl/>
        </w:rPr>
        <w:t xml:space="preserve"> להימנע מגבייה</w:t>
      </w:r>
      <w:r>
        <w:rPr>
          <w:rFonts w:hint="cs"/>
          <w:rtl/>
        </w:rPr>
        <w:t xml:space="preserve"> או </w:t>
      </w:r>
      <w:r>
        <w:rPr>
          <w:rtl/>
        </w:rPr>
        <w:t>תשלום בכפל</w:t>
      </w:r>
      <w:r>
        <w:rPr>
          <w:rFonts w:hint="cs"/>
          <w:rtl/>
        </w:rPr>
        <w:t xml:space="preserve">, </w:t>
      </w:r>
      <w:r>
        <w:rPr>
          <w:rtl/>
        </w:rPr>
        <w:t>על החוב להיות חסום לתשלום באתר המשרד</w:t>
      </w:r>
      <w:r>
        <w:rPr>
          <w:rFonts w:hint="cs"/>
          <w:rtl/>
        </w:rPr>
        <w:t>,</w:t>
      </w:r>
      <w:r>
        <w:rPr>
          <w:rtl/>
        </w:rPr>
        <w:t xml:space="preserve"> מאחר </w:t>
      </w:r>
      <w:r>
        <w:rPr>
          <w:rFonts w:hint="cs"/>
          <w:rtl/>
        </w:rPr>
        <w:t>ש</w:t>
      </w:r>
      <w:r>
        <w:rPr>
          <w:rtl/>
        </w:rPr>
        <w:t>הוא נשלח לגורם אכיפתי.</w:t>
      </w:r>
    </w:p>
    <w:p w14:paraId="18DC8BD7" w14:textId="77777777" w:rsidR="007C4395" w:rsidRPr="00681665" w:rsidRDefault="007C4395" w:rsidP="002A738D">
      <w:pPr>
        <w:pStyle w:val="7190"/>
        <w:rPr>
          <w:rtl/>
        </w:rPr>
      </w:pPr>
      <w:r>
        <w:rPr>
          <w:rFonts w:hint="cs"/>
          <w:rtl/>
        </w:rPr>
        <w:t xml:space="preserve">בתשובת משרד הבריאות מינואר 2022 (להלן - תשובת משרד הבריאות) צוין כי </w:t>
      </w:r>
      <w:r>
        <w:rPr>
          <w:rtl/>
        </w:rPr>
        <w:t xml:space="preserve">מדובר </w:t>
      </w:r>
      <w:r>
        <w:rPr>
          <w:rFonts w:hint="cs"/>
          <w:rtl/>
        </w:rPr>
        <w:t>בסכום</w:t>
      </w:r>
      <w:r>
        <w:rPr>
          <w:rtl/>
        </w:rPr>
        <w:t xml:space="preserve"> תשלומים קטן </w:t>
      </w:r>
      <w:r>
        <w:rPr>
          <w:rFonts w:hint="cs"/>
          <w:rtl/>
        </w:rPr>
        <w:t xml:space="preserve">של </w:t>
      </w:r>
      <w:r>
        <w:rPr>
          <w:rtl/>
        </w:rPr>
        <w:t>אוכלוסי</w:t>
      </w:r>
      <w:r>
        <w:rPr>
          <w:rFonts w:hint="cs"/>
          <w:rtl/>
        </w:rPr>
        <w:t>ית</w:t>
      </w:r>
      <w:r>
        <w:rPr>
          <w:rtl/>
        </w:rPr>
        <w:t xml:space="preserve"> חייבים </w:t>
      </w:r>
      <w:r>
        <w:rPr>
          <w:rFonts w:hint="cs"/>
          <w:rtl/>
        </w:rPr>
        <w:t>בתחום הגריאטריה</w:t>
      </w:r>
      <w:r w:rsidRPr="00DD3C18">
        <w:rPr>
          <w:rFonts w:hint="cs"/>
          <w:rtl/>
        </w:rPr>
        <w:t xml:space="preserve"> </w:t>
      </w:r>
      <w:r>
        <w:rPr>
          <w:rFonts w:hint="cs"/>
          <w:rtl/>
        </w:rPr>
        <w:t>ששולם באתר</w:t>
      </w:r>
      <w:r>
        <w:rPr>
          <w:rtl/>
        </w:rPr>
        <w:t xml:space="preserve"> התשלומים</w:t>
      </w:r>
      <w:r>
        <w:rPr>
          <w:rFonts w:hint="cs"/>
          <w:rtl/>
        </w:rPr>
        <w:t>, וכי ה</w:t>
      </w:r>
      <w:r>
        <w:rPr>
          <w:rtl/>
        </w:rPr>
        <w:t xml:space="preserve">רוב המוחלט </w:t>
      </w:r>
      <w:r>
        <w:rPr>
          <w:rFonts w:hint="cs"/>
          <w:rtl/>
        </w:rPr>
        <w:t xml:space="preserve">של חייבים אלה </w:t>
      </w:r>
      <w:r>
        <w:rPr>
          <w:rtl/>
        </w:rPr>
        <w:t>משלמים באמצעות הוראות קבע</w:t>
      </w:r>
      <w:r>
        <w:rPr>
          <w:rFonts w:hint="cs"/>
          <w:rtl/>
        </w:rPr>
        <w:t xml:space="preserve">. המשרד ציין כי </w:t>
      </w:r>
      <w:r>
        <w:rPr>
          <w:rtl/>
        </w:rPr>
        <w:t>לא קיבל פניות</w:t>
      </w:r>
      <w:r>
        <w:rPr>
          <w:rFonts w:hint="cs"/>
          <w:rtl/>
        </w:rPr>
        <w:t xml:space="preserve"> או </w:t>
      </w:r>
      <w:r>
        <w:rPr>
          <w:rtl/>
        </w:rPr>
        <w:t>תלונות בנושא זה</w:t>
      </w:r>
      <w:r>
        <w:rPr>
          <w:rFonts w:hint="cs"/>
          <w:rtl/>
        </w:rPr>
        <w:t>, וכי</w:t>
      </w:r>
      <w:r>
        <w:rPr>
          <w:rtl/>
        </w:rPr>
        <w:t xml:space="preserve"> קיים שיתוף פעולה</w:t>
      </w:r>
      <w:r>
        <w:rPr>
          <w:rFonts w:hint="cs"/>
          <w:rtl/>
        </w:rPr>
        <w:t xml:space="preserve"> ו</w:t>
      </w:r>
      <w:r>
        <w:rPr>
          <w:rtl/>
        </w:rPr>
        <w:t>קשר ישיר בי</w:t>
      </w:r>
      <w:r>
        <w:rPr>
          <w:rFonts w:hint="cs"/>
          <w:rtl/>
        </w:rPr>
        <w:t>נו</w:t>
      </w:r>
      <w:r>
        <w:rPr>
          <w:rtl/>
        </w:rPr>
        <w:t xml:space="preserve"> ל</w:t>
      </w:r>
      <w:r>
        <w:rPr>
          <w:rFonts w:hint="cs"/>
          <w:rtl/>
        </w:rPr>
        <w:t xml:space="preserve">בין </w:t>
      </w:r>
      <w:proofErr w:type="spellStart"/>
      <w:r>
        <w:rPr>
          <w:rFonts w:hint="cs"/>
          <w:rtl/>
        </w:rPr>
        <w:t>ה</w:t>
      </w:r>
      <w:r>
        <w:rPr>
          <w:rtl/>
        </w:rPr>
        <w:t>מג"ק</w:t>
      </w:r>
      <w:proofErr w:type="spellEnd"/>
      <w:r>
        <w:rPr>
          <w:rtl/>
        </w:rPr>
        <w:t xml:space="preserve"> במקרים </w:t>
      </w:r>
      <w:r>
        <w:rPr>
          <w:rFonts w:hint="cs"/>
          <w:rtl/>
        </w:rPr>
        <w:t>ש</w:t>
      </w:r>
      <w:r>
        <w:rPr>
          <w:rtl/>
        </w:rPr>
        <w:t xml:space="preserve">בהם חייב אשר נפתחו נגדו הליכים </w:t>
      </w:r>
      <w:proofErr w:type="spellStart"/>
      <w:r>
        <w:rPr>
          <w:rtl/>
        </w:rPr>
        <w:t>במג"ק</w:t>
      </w:r>
      <w:proofErr w:type="spellEnd"/>
      <w:r>
        <w:rPr>
          <w:rtl/>
        </w:rPr>
        <w:t xml:space="preserve"> פונה ללשכ</w:t>
      </w:r>
      <w:r>
        <w:rPr>
          <w:rFonts w:hint="cs"/>
          <w:rtl/>
        </w:rPr>
        <w:t>ת המשרד לשם ביצוע</w:t>
      </w:r>
      <w:r>
        <w:rPr>
          <w:rtl/>
        </w:rPr>
        <w:t xml:space="preserve"> תשלום.</w:t>
      </w:r>
      <w:r>
        <w:rPr>
          <w:rFonts w:hint="cs"/>
          <w:rtl/>
        </w:rPr>
        <w:t xml:space="preserve"> </w:t>
      </w:r>
      <w:r>
        <w:rPr>
          <w:rtl/>
        </w:rPr>
        <w:t xml:space="preserve">עם זאת, ליתר ביטחון, המשרד בוחן את הוספת חסימת </w:t>
      </w:r>
      <w:r>
        <w:rPr>
          <w:rFonts w:hint="cs"/>
          <w:rtl/>
        </w:rPr>
        <w:t>ה</w:t>
      </w:r>
      <w:r>
        <w:rPr>
          <w:rtl/>
        </w:rPr>
        <w:t>תשלום</w:t>
      </w:r>
      <w:r>
        <w:rPr>
          <w:rFonts w:hint="cs"/>
          <w:rtl/>
        </w:rPr>
        <w:t xml:space="preserve"> באתר התשלומים</w:t>
      </w:r>
      <w:r>
        <w:rPr>
          <w:rtl/>
        </w:rPr>
        <w:t>.</w:t>
      </w:r>
    </w:p>
    <w:p w14:paraId="5FED6C61" w14:textId="77777777" w:rsidR="007C4395" w:rsidRDefault="007C4395" w:rsidP="002A738D">
      <w:pPr>
        <w:pStyle w:val="7190"/>
        <w:rPr>
          <w:rtl/>
        </w:rPr>
      </w:pPr>
      <w:r>
        <w:rPr>
          <w:rFonts w:hint="cs"/>
          <w:rtl/>
        </w:rPr>
        <w:t xml:space="preserve">נוסף על כך, משרדי ממשלה דוגמת משרד המשפטים ציינו לפני צוות הביקורת שבנק הדואר אינו חוסם את האפשרות לשלם באמצעות שוברים שפג תוקפם או שהועברו </w:t>
      </w:r>
      <w:proofErr w:type="spellStart"/>
      <w:r>
        <w:rPr>
          <w:rFonts w:hint="cs"/>
          <w:rtl/>
        </w:rPr>
        <w:t>למג"ק</w:t>
      </w:r>
      <w:proofErr w:type="spellEnd"/>
      <w:r>
        <w:rPr>
          <w:rFonts w:hint="cs"/>
          <w:rtl/>
        </w:rPr>
        <w:t xml:space="preserve">, בניגוד לאתר התשלומים הממשלתי המאפשר חסימה כזאת, דבר היכול לגרום להמשך פעולות גבייה על ידי </w:t>
      </w:r>
      <w:proofErr w:type="spellStart"/>
      <w:r>
        <w:rPr>
          <w:rFonts w:hint="cs"/>
          <w:rtl/>
        </w:rPr>
        <w:t>המג"ק</w:t>
      </w:r>
      <w:proofErr w:type="spellEnd"/>
      <w:r>
        <w:rPr>
          <w:rFonts w:hint="cs"/>
          <w:rtl/>
        </w:rPr>
        <w:t xml:space="preserve"> אף לאחר תשלום החוב.</w:t>
      </w:r>
    </w:p>
    <w:p w14:paraId="3263A4B3" w14:textId="77777777" w:rsidR="007C4395" w:rsidRDefault="007C4395" w:rsidP="002A738D">
      <w:pPr>
        <w:pStyle w:val="7190"/>
        <w:rPr>
          <w:rtl/>
        </w:rPr>
      </w:pPr>
      <w:r>
        <w:rPr>
          <w:rFonts w:hint="cs"/>
          <w:rtl/>
        </w:rPr>
        <w:t>בתשובת רשות האכיפה והגבייה נאמר כי יש כשל הטמון בכך שחברת דואר ישראל בע"מ (להלן - דואר ישראל) מאפשרת קבלת תשלום של שוברים שפג תוקפם, וכי מדובר בסוגיה בעייתית המקשה על החייבים ומחייבת תשומות רבות ותיאומים בין גופים. הרשות הוסיפה כי נוכח זאת, מומלץ שדואר ישראל לא יאפשר לקבל שוברים שפג תוקפם.</w:t>
      </w:r>
    </w:p>
    <w:p w14:paraId="33B22A3D" w14:textId="77777777" w:rsidR="007C4395" w:rsidRDefault="007C4395" w:rsidP="002A738D">
      <w:pPr>
        <w:pStyle w:val="7190"/>
        <w:rPr>
          <w:rtl/>
        </w:rPr>
      </w:pPr>
      <w:r>
        <w:rPr>
          <w:rFonts w:hint="cs"/>
          <w:rtl/>
        </w:rPr>
        <w:t xml:space="preserve">בתשובת דואר ישראל מינואר 2022 נמסר כי </w:t>
      </w:r>
      <w:r>
        <w:rPr>
          <w:rtl/>
        </w:rPr>
        <w:t>נציגי השירות ביחידות הדואר מונחים לאפשר תשלום שובר גם לאחר התאריך האחרון</w:t>
      </w:r>
      <w:r>
        <w:rPr>
          <w:rFonts w:hint="cs"/>
          <w:rtl/>
        </w:rPr>
        <w:t xml:space="preserve"> </w:t>
      </w:r>
      <w:r>
        <w:rPr>
          <w:rtl/>
        </w:rPr>
        <w:t>לתשלום</w:t>
      </w:r>
      <w:r>
        <w:rPr>
          <w:rFonts w:hint="cs"/>
          <w:rtl/>
        </w:rPr>
        <w:t>,</w:t>
      </w:r>
      <w:r>
        <w:rPr>
          <w:rtl/>
        </w:rPr>
        <w:t xml:space="preserve"> כל עוד רשום עליו "לתשלום עד...". </w:t>
      </w:r>
      <w:r>
        <w:rPr>
          <w:rFonts w:hint="cs"/>
          <w:rtl/>
        </w:rPr>
        <w:t xml:space="preserve">דואר ישראל הוסיף כי </w:t>
      </w:r>
      <w:r>
        <w:rPr>
          <w:rtl/>
        </w:rPr>
        <w:t xml:space="preserve">ההנחה </w:t>
      </w:r>
      <w:r>
        <w:rPr>
          <w:rFonts w:hint="cs"/>
          <w:rtl/>
        </w:rPr>
        <w:t>ש</w:t>
      </w:r>
      <w:r>
        <w:rPr>
          <w:rtl/>
        </w:rPr>
        <w:t xml:space="preserve">המשלם יודע </w:t>
      </w:r>
      <w:r>
        <w:rPr>
          <w:rFonts w:hint="cs"/>
          <w:rtl/>
        </w:rPr>
        <w:t>ש</w:t>
      </w:r>
      <w:r>
        <w:rPr>
          <w:rtl/>
        </w:rPr>
        <w:t>תשלום לאחר המועד</w:t>
      </w:r>
      <w:r>
        <w:rPr>
          <w:rFonts w:hint="cs"/>
          <w:rtl/>
        </w:rPr>
        <w:t xml:space="preserve"> </w:t>
      </w:r>
      <w:r>
        <w:rPr>
          <w:rtl/>
        </w:rPr>
        <w:t>האחרון יגרור קנסות ותשלום ריבית</w:t>
      </w:r>
      <w:r>
        <w:rPr>
          <w:rFonts w:hint="cs"/>
          <w:rtl/>
        </w:rPr>
        <w:t xml:space="preserve">. </w:t>
      </w:r>
      <w:r>
        <w:rPr>
          <w:rtl/>
        </w:rPr>
        <w:t>כאשר רשום על השובר "אין לקבל תשלום לאחר...", נציגי השירות אינם מאפשרים תשלום</w:t>
      </w:r>
      <w:r>
        <w:rPr>
          <w:rFonts w:hint="cs"/>
          <w:rtl/>
        </w:rPr>
        <w:t xml:space="preserve"> </w:t>
      </w:r>
      <w:r>
        <w:rPr>
          <w:rtl/>
        </w:rPr>
        <w:t>עבור השובר</w:t>
      </w:r>
      <w:r>
        <w:rPr>
          <w:rFonts w:hint="cs"/>
          <w:rtl/>
        </w:rPr>
        <w:t xml:space="preserve">. עם זאת ציין דואר ישראל כי </w:t>
      </w:r>
      <w:r>
        <w:rPr>
          <w:rtl/>
        </w:rPr>
        <w:t>בעקבות הערת משרד מבקר המדינה בכוונת</w:t>
      </w:r>
      <w:r>
        <w:rPr>
          <w:rFonts w:hint="cs"/>
          <w:rtl/>
        </w:rPr>
        <w:t>ו</w:t>
      </w:r>
      <w:r>
        <w:rPr>
          <w:rtl/>
        </w:rPr>
        <w:t xml:space="preserve"> לאסור תקבולים עבור שוברים שמועד</w:t>
      </w:r>
      <w:r>
        <w:rPr>
          <w:rFonts w:hint="cs"/>
          <w:rtl/>
        </w:rPr>
        <w:t xml:space="preserve"> </w:t>
      </w:r>
      <w:r>
        <w:rPr>
          <w:rtl/>
        </w:rPr>
        <w:t>תשלו</w:t>
      </w:r>
      <w:r>
        <w:rPr>
          <w:rFonts w:hint="cs"/>
          <w:rtl/>
        </w:rPr>
        <w:t>מ</w:t>
      </w:r>
      <w:r>
        <w:rPr>
          <w:rtl/>
        </w:rPr>
        <w:t>ם עבר.</w:t>
      </w:r>
      <w:r>
        <w:rPr>
          <w:rFonts w:hint="cs"/>
          <w:rtl/>
        </w:rPr>
        <w:t xml:space="preserve"> לדברי דואר ישראל, </w:t>
      </w:r>
      <w:r>
        <w:rPr>
          <w:rtl/>
        </w:rPr>
        <w:t xml:space="preserve">חסימת התקבולים באופן ממוחשב כמו באתר </w:t>
      </w:r>
      <w:r>
        <w:rPr>
          <w:rFonts w:hint="cs"/>
          <w:rtl/>
        </w:rPr>
        <w:t xml:space="preserve">התשלומים </w:t>
      </w:r>
      <w:r>
        <w:rPr>
          <w:rtl/>
        </w:rPr>
        <w:t>הממשלתי ניתנת ליישום רק ב</w:t>
      </w:r>
      <w:r>
        <w:rPr>
          <w:rFonts w:hint="cs"/>
          <w:rtl/>
        </w:rPr>
        <w:t>נוגע ל</w:t>
      </w:r>
      <w:r>
        <w:rPr>
          <w:rtl/>
        </w:rPr>
        <w:t>תקבולים</w:t>
      </w:r>
      <w:r>
        <w:rPr>
          <w:rFonts w:hint="cs"/>
          <w:rtl/>
        </w:rPr>
        <w:t xml:space="preserve"> </w:t>
      </w:r>
      <w:r>
        <w:rPr>
          <w:rtl/>
        </w:rPr>
        <w:t>מקוונים.</w:t>
      </w:r>
    </w:p>
    <w:p w14:paraId="550B3D60" w14:textId="77777777" w:rsidR="007C4395" w:rsidRDefault="007C4395" w:rsidP="003B2683">
      <w:pPr>
        <w:pStyle w:val="71f4"/>
        <w:rPr>
          <w:rtl/>
        </w:rPr>
      </w:pPr>
      <w:r w:rsidRPr="00C12DDA">
        <w:rPr>
          <w:rFonts w:hint="cs"/>
          <w:rtl/>
        </w:rPr>
        <w:t xml:space="preserve">על </w:t>
      </w:r>
      <w:r>
        <w:rPr>
          <w:rFonts w:hint="cs"/>
          <w:rtl/>
        </w:rPr>
        <w:t xml:space="preserve">אגף </w:t>
      </w:r>
      <w:proofErr w:type="spellStart"/>
      <w:r>
        <w:rPr>
          <w:rFonts w:hint="cs"/>
          <w:rtl/>
        </w:rPr>
        <w:t>החשכ"ל</w:t>
      </w:r>
      <w:proofErr w:type="spellEnd"/>
      <w:r>
        <w:rPr>
          <w:rFonts w:hint="cs"/>
          <w:rtl/>
        </w:rPr>
        <w:t xml:space="preserve"> </w:t>
      </w:r>
      <w:r w:rsidRPr="00C12DDA">
        <w:rPr>
          <w:rFonts w:hint="cs"/>
          <w:rtl/>
        </w:rPr>
        <w:t>להסדיר את הפעולות הנדרשות בעת העברת חוב לרשות</w:t>
      </w:r>
      <w:r w:rsidRPr="00A2727C">
        <w:rPr>
          <w:rFonts w:hint="cs"/>
          <w:rtl/>
        </w:rPr>
        <w:t xml:space="preserve"> </w:t>
      </w:r>
      <w:r>
        <w:rPr>
          <w:rFonts w:hint="cs"/>
          <w:rtl/>
        </w:rPr>
        <w:t>האכיפה והגבייה,</w:t>
      </w:r>
      <w:r w:rsidRPr="00C12DDA">
        <w:rPr>
          <w:rFonts w:hint="cs"/>
          <w:rtl/>
        </w:rPr>
        <w:t xml:space="preserve"> הן </w:t>
      </w:r>
      <w:r>
        <w:rPr>
          <w:rFonts w:hint="cs"/>
          <w:rtl/>
        </w:rPr>
        <w:t>הפעולות של</w:t>
      </w:r>
      <w:r w:rsidRPr="00C12DDA">
        <w:rPr>
          <w:rFonts w:hint="cs"/>
          <w:rtl/>
        </w:rPr>
        <w:t xml:space="preserve"> המשרד המעביר והן </w:t>
      </w:r>
      <w:r>
        <w:rPr>
          <w:rFonts w:hint="cs"/>
          <w:rtl/>
        </w:rPr>
        <w:t>הפעולות של</w:t>
      </w:r>
      <w:r w:rsidRPr="00C12DDA">
        <w:rPr>
          <w:rFonts w:hint="cs"/>
          <w:rtl/>
        </w:rPr>
        <w:t xml:space="preserve"> הרשות</w:t>
      </w:r>
      <w:r>
        <w:rPr>
          <w:rFonts w:hint="cs"/>
          <w:rtl/>
        </w:rPr>
        <w:t>.</w:t>
      </w:r>
      <w:r w:rsidRPr="00C12DDA">
        <w:rPr>
          <w:rFonts w:hint="cs"/>
          <w:rtl/>
        </w:rPr>
        <w:t xml:space="preserve"> </w:t>
      </w:r>
      <w:r>
        <w:rPr>
          <w:rFonts w:hint="cs"/>
          <w:rtl/>
        </w:rPr>
        <w:t xml:space="preserve">יש </w:t>
      </w:r>
      <w:r w:rsidRPr="00C12DDA">
        <w:rPr>
          <w:rFonts w:hint="cs"/>
          <w:rtl/>
        </w:rPr>
        <w:t>לוודא ש</w:t>
      </w:r>
      <w:r>
        <w:rPr>
          <w:rFonts w:hint="cs"/>
          <w:rtl/>
        </w:rPr>
        <w:t xml:space="preserve">כלל </w:t>
      </w:r>
      <w:r w:rsidRPr="00C12DDA">
        <w:rPr>
          <w:rFonts w:hint="cs"/>
          <w:rtl/>
        </w:rPr>
        <w:t xml:space="preserve">המשרדים </w:t>
      </w:r>
      <w:r>
        <w:rPr>
          <w:rFonts w:hint="cs"/>
          <w:rtl/>
        </w:rPr>
        <w:t>ה</w:t>
      </w:r>
      <w:r w:rsidRPr="00C12DDA">
        <w:rPr>
          <w:rFonts w:hint="cs"/>
          <w:rtl/>
        </w:rPr>
        <w:t xml:space="preserve">מעבירים את החוב לטיפול </w:t>
      </w:r>
      <w:proofErr w:type="spellStart"/>
      <w:r w:rsidRPr="00C12DDA">
        <w:rPr>
          <w:rFonts w:hint="cs"/>
          <w:rtl/>
        </w:rPr>
        <w:t>המג"ק</w:t>
      </w:r>
      <w:proofErr w:type="spellEnd"/>
      <w:r>
        <w:rPr>
          <w:rFonts w:hint="cs"/>
          <w:rtl/>
        </w:rPr>
        <w:t>,</w:t>
      </w:r>
      <w:r w:rsidRPr="00C12DDA">
        <w:rPr>
          <w:rFonts w:hint="cs"/>
          <w:rtl/>
        </w:rPr>
        <w:t xml:space="preserve"> והחוב נגבה </w:t>
      </w:r>
      <w:r>
        <w:rPr>
          <w:rFonts w:hint="cs"/>
          <w:rtl/>
        </w:rPr>
        <w:t>עבורם,</w:t>
      </w:r>
      <w:r w:rsidRPr="00C12DDA">
        <w:rPr>
          <w:rFonts w:hint="cs"/>
          <w:rtl/>
        </w:rPr>
        <w:t xml:space="preserve"> חוסמים את </w:t>
      </w:r>
      <w:r>
        <w:rPr>
          <w:rFonts w:hint="cs"/>
          <w:rtl/>
        </w:rPr>
        <w:t>האפשרות לביצוע תשלום</w:t>
      </w:r>
      <w:r w:rsidRPr="00C12DDA">
        <w:rPr>
          <w:rFonts w:hint="cs"/>
          <w:rtl/>
        </w:rPr>
        <w:t xml:space="preserve"> אצלם כדי למנוע פעולות גבייה כפולות.</w:t>
      </w:r>
    </w:p>
    <w:p w14:paraId="2B3E7633" w14:textId="77777777" w:rsidR="007C4395" w:rsidRPr="0038027F" w:rsidRDefault="007C4395" w:rsidP="003B2683">
      <w:pPr>
        <w:pStyle w:val="71f4"/>
        <w:rPr>
          <w:rtl/>
        </w:rPr>
      </w:pPr>
      <w:r>
        <w:rPr>
          <w:rFonts w:hint="cs"/>
          <w:rtl/>
        </w:rPr>
        <w:lastRenderedPageBreak/>
        <w:t xml:space="preserve">כמו כן, על אגף </w:t>
      </w:r>
      <w:proofErr w:type="spellStart"/>
      <w:r>
        <w:rPr>
          <w:rFonts w:hint="cs"/>
          <w:rtl/>
        </w:rPr>
        <w:t>החשכ"ל</w:t>
      </w:r>
      <w:proofErr w:type="spellEnd"/>
      <w:r>
        <w:rPr>
          <w:rFonts w:hint="cs"/>
          <w:rtl/>
        </w:rPr>
        <w:t xml:space="preserve"> ורשות האכיפה והגבייה להסדיר את נושא התשלום של שוברים שפג תוקפם. </w:t>
      </w:r>
    </w:p>
    <w:p w14:paraId="164952B4" w14:textId="77777777" w:rsidR="007C4395" w:rsidRPr="006F4D0D" w:rsidRDefault="007C4395" w:rsidP="006F4D0D">
      <w:pPr>
        <w:pStyle w:val="71612"/>
        <w:rPr>
          <w:rtl/>
        </w:rPr>
      </w:pPr>
      <w:r w:rsidRPr="006F4D0D">
        <w:rPr>
          <w:rFonts w:hint="cs"/>
          <w:rtl/>
        </w:rPr>
        <w:t xml:space="preserve">העברת חובות </w:t>
      </w:r>
      <w:proofErr w:type="spellStart"/>
      <w:r w:rsidRPr="006F4D0D">
        <w:rPr>
          <w:rFonts w:hint="cs"/>
          <w:rtl/>
        </w:rPr>
        <w:t>למנ"ג</w:t>
      </w:r>
      <w:proofErr w:type="spellEnd"/>
    </w:p>
    <w:p w14:paraId="15F68482" w14:textId="77777777" w:rsidR="007C4395" w:rsidRPr="00E90E4C" w:rsidRDefault="007C4395" w:rsidP="002A738D">
      <w:pPr>
        <w:pStyle w:val="7190"/>
        <w:rPr>
          <w:rtl/>
        </w:rPr>
      </w:pPr>
      <w:r>
        <w:rPr>
          <w:rFonts w:hint="cs"/>
          <w:rtl/>
        </w:rPr>
        <w:t>ב</w:t>
      </w:r>
      <w:r w:rsidRPr="005100B1">
        <w:rPr>
          <w:rFonts w:hint="cs"/>
          <w:rtl/>
        </w:rPr>
        <w:t xml:space="preserve">סוף שנת 2020 </w:t>
      </w:r>
      <w:r>
        <w:rPr>
          <w:rFonts w:hint="cs"/>
          <w:rtl/>
        </w:rPr>
        <w:t xml:space="preserve">העבירו </w:t>
      </w:r>
      <w:r w:rsidRPr="005100B1">
        <w:rPr>
          <w:rFonts w:hint="cs"/>
          <w:rtl/>
        </w:rPr>
        <w:t xml:space="preserve">כ-40 גופים את חובותיהם </w:t>
      </w:r>
      <w:proofErr w:type="spellStart"/>
      <w:r w:rsidRPr="005100B1">
        <w:rPr>
          <w:rFonts w:hint="cs"/>
          <w:rtl/>
        </w:rPr>
        <w:t>למנ"ג</w:t>
      </w:r>
      <w:proofErr w:type="spellEnd"/>
      <w:r w:rsidRPr="005100B1">
        <w:rPr>
          <w:rFonts w:hint="cs"/>
          <w:rtl/>
        </w:rPr>
        <w:t xml:space="preserve">. </w:t>
      </w:r>
      <w:r>
        <w:rPr>
          <w:rFonts w:hint="cs"/>
          <w:rtl/>
        </w:rPr>
        <w:t>ש</w:t>
      </w:r>
      <w:r w:rsidRPr="005100B1">
        <w:rPr>
          <w:rFonts w:hint="eastAsia"/>
          <w:rtl/>
        </w:rPr>
        <w:t>ל</w:t>
      </w:r>
      <w:r>
        <w:rPr>
          <w:rFonts w:hint="cs"/>
          <w:rtl/>
        </w:rPr>
        <w:t xml:space="preserve">א כמו </w:t>
      </w:r>
      <w:proofErr w:type="spellStart"/>
      <w:r>
        <w:rPr>
          <w:rFonts w:hint="cs"/>
          <w:rtl/>
        </w:rPr>
        <w:t>ב</w:t>
      </w:r>
      <w:r w:rsidRPr="005100B1">
        <w:rPr>
          <w:rFonts w:hint="eastAsia"/>
          <w:rtl/>
        </w:rPr>
        <w:t>מג</w:t>
      </w:r>
      <w:r w:rsidRPr="005100B1">
        <w:rPr>
          <w:rtl/>
        </w:rPr>
        <w:t>"ק</w:t>
      </w:r>
      <w:proofErr w:type="spellEnd"/>
      <w:r w:rsidRPr="005100B1">
        <w:rPr>
          <w:rtl/>
        </w:rPr>
        <w:t xml:space="preserve">, </w:t>
      </w:r>
      <w:proofErr w:type="spellStart"/>
      <w:r>
        <w:rPr>
          <w:rFonts w:hint="cs"/>
          <w:rtl/>
        </w:rPr>
        <w:t>במנ"ג</w:t>
      </w:r>
      <w:proofErr w:type="spellEnd"/>
      <w:r>
        <w:rPr>
          <w:rFonts w:hint="cs"/>
          <w:rtl/>
        </w:rPr>
        <w:t xml:space="preserve"> אין</w:t>
      </w:r>
      <w:r w:rsidRPr="005100B1">
        <w:rPr>
          <w:rtl/>
        </w:rPr>
        <w:t xml:space="preserve"> מנגנון קליטה אוטומטית של חובות</w:t>
      </w:r>
      <w:r>
        <w:rPr>
          <w:rFonts w:hint="cs"/>
          <w:rtl/>
        </w:rPr>
        <w:t>,</w:t>
      </w:r>
      <w:r w:rsidRPr="005100B1">
        <w:rPr>
          <w:rtl/>
        </w:rPr>
        <w:t xml:space="preserve"> והעבודה נסמכת </w:t>
      </w:r>
      <w:r w:rsidRPr="005100B1">
        <w:rPr>
          <w:rFonts w:hint="eastAsia"/>
          <w:rtl/>
        </w:rPr>
        <w:t>ברובה</w:t>
      </w:r>
      <w:r w:rsidRPr="005100B1">
        <w:rPr>
          <w:rtl/>
        </w:rPr>
        <w:t xml:space="preserve"> על </w:t>
      </w:r>
      <w:r w:rsidRPr="005100B1">
        <w:rPr>
          <w:rFonts w:hint="eastAsia"/>
          <w:rtl/>
        </w:rPr>
        <w:t>פעולות</w:t>
      </w:r>
      <w:r w:rsidRPr="005100B1">
        <w:rPr>
          <w:rtl/>
        </w:rPr>
        <w:t xml:space="preserve"> ידני</w:t>
      </w:r>
      <w:r w:rsidRPr="005100B1">
        <w:rPr>
          <w:rFonts w:hint="eastAsia"/>
          <w:rtl/>
        </w:rPr>
        <w:t>ו</w:t>
      </w:r>
      <w:r w:rsidRPr="005100B1">
        <w:rPr>
          <w:rtl/>
        </w:rPr>
        <w:t>ת ו</w:t>
      </w:r>
      <w:r w:rsidRPr="005100B1">
        <w:rPr>
          <w:rFonts w:hint="eastAsia"/>
          <w:rtl/>
        </w:rPr>
        <w:t>על</w:t>
      </w:r>
      <w:r w:rsidRPr="005100B1">
        <w:rPr>
          <w:rtl/>
        </w:rPr>
        <w:t xml:space="preserve"> קבצי אקסל.</w:t>
      </w:r>
    </w:p>
    <w:p w14:paraId="2D461CC9" w14:textId="77777777" w:rsidR="007C4395" w:rsidRDefault="007C4395" w:rsidP="002A738D">
      <w:pPr>
        <w:pStyle w:val="7190"/>
        <w:rPr>
          <w:rtl/>
        </w:rPr>
      </w:pPr>
      <w:r>
        <w:rPr>
          <w:rFonts w:hint="cs"/>
          <w:rtl/>
        </w:rPr>
        <w:t xml:space="preserve">גוף ממשלתי שצריך להעביר חוב לטיפולו של </w:t>
      </w:r>
      <w:proofErr w:type="spellStart"/>
      <w:r>
        <w:rPr>
          <w:rFonts w:hint="cs"/>
          <w:rtl/>
        </w:rPr>
        <w:t>המנ"ג</w:t>
      </w:r>
      <w:proofErr w:type="spellEnd"/>
      <w:r>
        <w:rPr>
          <w:rFonts w:hint="cs"/>
          <w:rtl/>
        </w:rPr>
        <w:t xml:space="preserve"> נדרש לבצע כמה פעולות ידניות הכרוכות בזמן רב מאוד ובסיכון ממשי לביצוע טעויות בהקלדת הנתונים</w:t>
      </w:r>
      <w:r>
        <w:rPr>
          <w:rStyle w:val="ac"/>
          <w:rtl/>
        </w:rPr>
        <w:footnoteReference w:id="74"/>
      </w:r>
      <w:r>
        <w:rPr>
          <w:rFonts w:hint="cs"/>
          <w:rtl/>
        </w:rPr>
        <w:t>.</w:t>
      </w:r>
    </w:p>
    <w:p w14:paraId="75CB0F47" w14:textId="77777777" w:rsidR="007C4395" w:rsidRDefault="007C4395" w:rsidP="002A738D">
      <w:pPr>
        <w:pStyle w:val="7190"/>
        <w:rPr>
          <w:rtl/>
        </w:rPr>
      </w:pPr>
      <w:r>
        <w:rPr>
          <w:rFonts w:hint="cs"/>
          <w:rtl/>
        </w:rPr>
        <w:t xml:space="preserve">כמו כן, נמצא שבעת העברת חובות לטיפול </w:t>
      </w:r>
      <w:proofErr w:type="spellStart"/>
      <w:r>
        <w:rPr>
          <w:rFonts w:hint="cs"/>
          <w:rtl/>
        </w:rPr>
        <w:t>המנ"ג</w:t>
      </w:r>
      <w:proofErr w:type="spellEnd"/>
      <w:r>
        <w:rPr>
          <w:rFonts w:hint="cs"/>
          <w:rtl/>
        </w:rPr>
        <w:t>, על הגוף הממשלתי לאחד חובות שונים של אותו חייב. מנגד, מערכות המחשוב של הגוף הממשלתי אינן בהכרח בנויות למעקב אחר חובותיו המאוחדים של אותו חייב.</w:t>
      </w:r>
    </w:p>
    <w:p w14:paraId="0A1602D8" w14:textId="6F31745D" w:rsidR="007C4395" w:rsidRDefault="007C4395" w:rsidP="003B2683">
      <w:pPr>
        <w:pStyle w:val="71f4"/>
        <w:rPr>
          <w:rtl/>
        </w:rPr>
      </w:pPr>
      <w:r>
        <w:rPr>
          <w:rFonts w:hint="cs"/>
          <w:rtl/>
        </w:rPr>
        <w:t xml:space="preserve">נמצא שאופן העברת הטיפול בחובות </w:t>
      </w:r>
      <w:proofErr w:type="spellStart"/>
      <w:r>
        <w:rPr>
          <w:rFonts w:hint="cs"/>
          <w:rtl/>
        </w:rPr>
        <w:t>למנ"ג</w:t>
      </w:r>
      <w:proofErr w:type="spellEnd"/>
      <w:r>
        <w:rPr>
          <w:rFonts w:hint="cs"/>
          <w:rtl/>
        </w:rPr>
        <w:t xml:space="preserve"> כרוך בכמה פעולות ידניות שטמון בהן סיכון לטעויות, וכן אינה מאפשרת מעקב של הגוף הממשלתי על פעולות </w:t>
      </w:r>
      <w:proofErr w:type="spellStart"/>
      <w:r>
        <w:rPr>
          <w:rFonts w:hint="cs"/>
          <w:rtl/>
        </w:rPr>
        <w:t>המנ"ג</w:t>
      </w:r>
      <w:proofErr w:type="spellEnd"/>
      <w:r>
        <w:rPr>
          <w:rFonts w:hint="cs"/>
          <w:rtl/>
        </w:rPr>
        <w:t xml:space="preserve"> לשם גביית החובות.</w:t>
      </w:r>
    </w:p>
    <w:p w14:paraId="5749FA96" w14:textId="77777777" w:rsidR="00651E66" w:rsidRPr="00651E66" w:rsidRDefault="00651E66" w:rsidP="00651E66">
      <w:pPr>
        <w:pStyle w:val="7190"/>
        <w:spacing w:after="0"/>
        <w:rPr>
          <w:rtl/>
        </w:rPr>
      </w:pPr>
    </w:p>
    <w:p w14:paraId="0977C940" w14:textId="77777777" w:rsidR="007C4395" w:rsidRDefault="007C4395" w:rsidP="003B2683">
      <w:pPr>
        <w:pStyle w:val="71f4"/>
        <w:rPr>
          <w:rtl/>
        </w:rPr>
      </w:pPr>
      <w:r>
        <w:rPr>
          <w:rFonts w:hint="cs"/>
          <w:rtl/>
        </w:rPr>
        <w:t xml:space="preserve">מומלץ כי </w:t>
      </w:r>
      <w:r w:rsidRPr="0015317E">
        <w:rPr>
          <w:rFonts w:hint="cs"/>
          <w:rtl/>
        </w:rPr>
        <w:t>רשות האכיפה והגבייה</w:t>
      </w:r>
      <w:r>
        <w:rPr>
          <w:rFonts w:hint="cs"/>
          <w:rtl/>
        </w:rPr>
        <w:t>,</w:t>
      </w:r>
      <w:r w:rsidRPr="0015317E">
        <w:rPr>
          <w:rFonts w:hint="cs"/>
          <w:rtl/>
        </w:rPr>
        <w:t xml:space="preserve"> </w:t>
      </w:r>
      <w:proofErr w:type="spellStart"/>
      <w:r w:rsidRPr="0015317E">
        <w:rPr>
          <w:rFonts w:hint="cs"/>
          <w:rtl/>
        </w:rPr>
        <w:t>מ</w:t>
      </w:r>
      <w:r>
        <w:rPr>
          <w:rFonts w:hint="cs"/>
          <w:rtl/>
        </w:rPr>
        <w:t>י</w:t>
      </w:r>
      <w:r w:rsidRPr="0015317E">
        <w:rPr>
          <w:rFonts w:hint="cs"/>
          <w:rtl/>
        </w:rPr>
        <w:t>נהלת</w:t>
      </w:r>
      <w:proofErr w:type="spellEnd"/>
      <w:r w:rsidRPr="0015317E">
        <w:rPr>
          <w:rFonts w:hint="cs"/>
          <w:rtl/>
        </w:rPr>
        <w:t xml:space="preserve"> היישום</w:t>
      </w:r>
      <w:r>
        <w:rPr>
          <w:rFonts w:hint="cs"/>
          <w:rtl/>
        </w:rPr>
        <w:t xml:space="preserve"> ואגף </w:t>
      </w:r>
      <w:proofErr w:type="spellStart"/>
      <w:r>
        <w:rPr>
          <w:rFonts w:hint="cs"/>
          <w:rtl/>
        </w:rPr>
        <w:t>החשכ"ל</w:t>
      </w:r>
      <w:proofErr w:type="spellEnd"/>
      <w:r>
        <w:rPr>
          <w:rFonts w:hint="cs"/>
          <w:rtl/>
        </w:rPr>
        <w:t xml:space="preserve"> יבחנו הקמה של</w:t>
      </w:r>
      <w:r w:rsidRPr="0015317E">
        <w:rPr>
          <w:rFonts w:hint="cs"/>
          <w:rtl/>
        </w:rPr>
        <w:t xml:space="preserve"> מערך </w:t>
      </w:r>
      <w:r>
        <w:rPr>
          <w:rFonts w:hint="cs"/>
          <w:rtl/>
        </w:rPr>
        <w:t>ממוחשב ל</w:t>
      </w:r>
      <w:r w:rsidRPr="0015317E">
        <w:rPr>
          <w:rFonts w:hint="cs"/>
          <w:rtl/>
        </w:rPr>
        <w:t xml:space="preserve">העברת </w:t>
      </w:r>
      <w:r>
        <w:rPr>
          <w:rFonts w:hint="cs"/>
          <w:rtl/>
        </w:rPr>
        <w:t>ה</w:t>
      </w:r>
      <w:r w:rsidRPr="0015317E">
        <w:rPr>
          <w:rFonts w:hint="cs"/>
          <w:rtl/>
        </w:rPr>
        <w:t>חובות</w:t>
      </w:r>
      <w:r>
        <w:rPr>
          <w:rFonts w:hint="cs"/>
          <w:rtl/>
        </w:rPr>
        <w:t xml:space="preserve"> </w:t>
      </w:r>
      <w:proofErr w:type="spellStart"/>
      <w:r>
        <w:rPr>
          <w:rFonts w:hint="cs"/>
          <w:rtl/>
        </w:rPr>
        <w:t>למנ"ג</w:t>
      </w:r>
      <w:proofErr w:type="spellEnd"/>
      <w:r>
        <w:rPr>
          <w:rFonts w:hint="cs"/>
          <w:rtl/>
        </w:rPr>
        <w:t>.</w:t>
      </w:r>
      <w:r w:rsidRPr="0015317E">
        <w:rPr>
          <w:rFonts w:hint="cs"/>
          <w:rtl/>
        </w:rPr>
        <w:t xml:space="preserve"> </w:t>
      </w:r>
      <w:r>
        <w:rPr>
          <w:rFonts w:hint="cs"/>
          <w:rtl/>
        </w:rPr>
        <w:t>מערך מעין זה עשוי למנוע</w:t>
      </w:r>
      <w:r w:rsidRPr="0015317E">
        <w:rPr>
          <w:rFonts w:hint="cs"/>
          <w:rtl/>
        </w:rPr>
        <w:t xml:space="preserve"> טעויות אפשרויות ויחסוך זמן ומשאבים נוספים בעת העברת החובות.</w:t>
      </w:r>
    </w:p>
    <w:p w14:paraId="5370593E" w14:textId="77777777" w:rsidR="007C4395" w:rsidRPr="008572E4" w:rsidRDefault="007C4395" w:rsidP="002A738D">
      <w:pPr>
        <w:pStyle w:val="7190"/>
        <w:rPr>
          <w:rtl/>
        </w:rPr>
      </w:pPr>
      <w:r w:rsidRPr="008572E4">
        <w:rPr>
          <w:rFonts w:hint="eastAsia"/>
          <w:rtl/>
        </w:rPr>
        <w:t>אגף</w:t>
      </w:r>
      <w:r w:rsidRPr="008572E4">
        <w:rPr>
          <w:rtl/>
        </w:rPr>
        <w:t xml:space="preserve"> </w:t>
      </w:r>
      <w:proofErr w:type="spellStart"/>
      <w:r>
        <w:rPr>
          <w:rFonts w:hint="cs"/>
          <w:rtl/>
        </w:rPr>
        <w:t>החשכ"ל</w:t>
      </w:r>
      <w:proofErr w:type="spellEnd"/>
      <w:r w:rsidRPr="008572E4">
        <w:rPr>
          <w:rtl/>
        </w:rPr>
        <w:t xml:space="preserve"> </w:t>
      </w:r>
      <w:r w:rsidRPr="008572E4">
        <w:rPr>
          <w:rFonts w:hint="eastAsia"/>
          <w:rtl/>
        </w:rPr>
        <w:t>ציין</w:t>
      </w:r>
      <w:r w:rsidRPr="008572E4">
        <w:rPr>
          <w:rtl/>
        </w:rPr>
        <w:t xml:space="preserve"> </w:t>
      </w:r>
      <w:r w:rsidRPr="008572E4">
        <w:rPr>
          <w:rFonts w:hint="eastAsia"/>
          <w:rtl/>
        </w:rPr>
        <w:t>בתשובתו</w:t>
      </w:r>
      <w:r w:rsidRPr="008572E4">
        <w:rPr>
          <w:rtl/>
        </w:rPr>
        <w:t xml:space="preserve"> כי הוא בוחן מול</w:t>
      </w:r>
      <w:r>
        <w:rPr>
          <w:rFonts w:hint="cs"/>
          <w:rtl/>
        </w:rPr>
        <w:t xml:space="preserve"> רשות האכיפה והגבייה</w:t>
      </w:r>
      <w:r w:rsidRPr="008572E4">
        <w:rPr>
          <w:rtl/>
        </w:rPr>
        <w:t xml:space="preserve"> הסדרה </w:t>
      </w:r>
      <w:r>
        <w:rPr>
          <w:rFonts w:hint="cs"/>
          <w:rtl/>
        </w:rPr>
        <w:t>ממוחשבת</w:t>
      </w:r>
      <w:r w:rsidRPr="008572E4">
        <w:rPr>
          <w:rtl/>
        </w:rPr>
        <w:t xml:space="preserve"> של התהליכים.</w:t>
      </w:r>
    </w:p>
    <w:p w14:paraId="181C73D2" w14:textId="77777777" w:rsidR="007C4395" w:rsidRDefault="007C4395" w:rsidP="002A738D">
      <w:pPr>
        <w:pStyle w:val="7190"/>
        <w:rPr>
          <w:rtl/>
        </w:rPr>
      </w:pPr>
      <w:r>
        <w:rPr>
          <w:rFonts w:hint="cs"/>
          <w:rtl/>
        </w:rPr>
        <w:t xml:space="preserve">בתשובת רשות האכיפה והגבייה נמסר כי הרשות מסכימה שיש לשפר את מערכת העברת החובות, אולם בהתחשב במספר הקטן יחסית של החובות המועברים לטיפול </w:t>
      </w:r>
      <w:proofErr w:type="spellStart"/>
      <w:r>
        <w:rPr>
          <w:rFonts w:hint="cs"/>
          <w:rtl/>
        </w:rPr>
        <w:t>המנ"ג</w:t>
      </w:r>
      <w:proofErr w:type="spellEnd"/>
      <w:r>
        <w:rPr>
          <w:rFonts w:hint="cs"/>
          <w:rtl/>
        </w:rPr>
        <w:t xml:space="preserve"> מומלץ לשקול את ביצוע ההשקעה במערכת מטאור שמקים אגף </w:t>
      </w:r>
      <w:proofErr w:type="spellStart"/>
      <w:r>
        <w:rPr>
          <w:rFonts w:hint="cs"/>
          <w:rtl/>
        </w:rPr>
        <w:t>החשכ"ל</w:t>
      </w:r>
      <w:proofErr w:type="spellEnd"/>
      <w:r>
        <w:rPr>
          <w:rFonts w:hint="cs"/>
          <w:rtl/>
        </w:rPr>
        <w:t xml:space="preserve">, שאמורה להזין את מערכת ניהול החייבים של </w:t>
      </w:r>
      <w:proofErr w:type="spellStart"/>
      <w:r>
        <w:rPr>
          <w:rFonts w:hint="cs"/>
          <w:rtl/>
        </w:rPr>
        <w:t>המג"ק</w:t>
      </w:r>
      <w:proofErr w:type="spellEnd"/>
      <w:r>
        <w:rPr>
          <w:rFonts w:hint="cs"/>
          <w:rtl/>
        </w:rPr>
        <w:t xml:space="preserve"> וכן את המערכת של </w:t>
      </w:r>
      <w:proofErr w:type="spellStart"/>
      <w:r>
        <w:rPr>
          <w:rFonts w:hint="cs"/>
          <w:rtl/>
        </w:rPr>
        <w:t>המנ"ג</w:t>
      </w:r>
      <w:proofErr w:type="spellEnd"/>
      <w:r>
        <w:rPr>
          <w:rFonts w:hint="cs"/>
          <w:rtl/>
        </w:rPr>
        <w:t xml:space="preserve">. הרשות ציינה כי בכוונתה לקיים דיון ולבחון בו את האפשרות למעבר של </w:t>
      </w:r>
      <w:proofErr w:type="spellStart"/>
      <w:r>
        <w:rPr>
          <w:rFonts w:hint="cs"/>
          <w:rtl/>
        </w:rPr>
        <w:t>המנ"ג</w:t>
      </w:r>
      <w:proofErr w:type="spellEnd"/>
      <w:r>
        <w:rPr>
          <w:rFonts w:hint="cs"/>
          <w:rtl/>
        </w:rPr>
        <w:t xml:space="preserve"> למערכת </w:t>
      </w:r>
      <w:r w:rsidRPr="00B21943">
        <w:rPr>
          <w:rtl/>
        </w:rPr>
        <w:t xml:space="preserve">ניהול החייבים של </w:t>
      </w:r>
      <w:proofErr w:type="spellStart"/>
      <w:r w:rsidRPr="00B21943">
        <w:rPr>
          <w:rFonts w:hint="eastAsia"/>
          <w:rtl/>
        </w:rPr>
        <w:t>המג</w:t>
      </w:r>
      <w:r w:rsidRPr="00B21943">
        <w:rPr>
          <w:rtl/>
        </w:rPr>
        <w:t>"ק</w:t>
      </w:r>
      <w:proofErr w:type="spellEnd"/>
      <w:r w:rsidRPr="00B21943">
        <w:rPr>
          <w:rtl/>
        </w:rPr>
        <w:t xml:space="preserve"> "אבן </w:t>
      </w:r>
      <w:r w:rsidRPr="00B21943">
        <w:rPr>
          <w:rFonts w:hint="eastAsia"/>
          <w:rtl/>
        </w:rPr>
        <w:t>בוחן</w:t>
      </w:r>
      <w:r w:rsidRPr="00B21943">
        <w:rPr>
          <w:rtl/>
        </w:rPr>
        <w:t>"</w:t>
      </w:r>
      <w:r>
        <w:rPr>
          <w:rStyle w:val="ac"/>
          <w:rtl/>
        </w:rPr>
        <w:footnoteReference w:id="75"/>
      </w:r>
      <w:r w:rsidRPr="00B21943">
        <w:rPr>
          <w:rtl/>
        </w:rPr>
        <w:t xml:space="preserve">, </w:t>
      </w:r>
      <w:r>
        <w:rPr>
          <w:rFonts w:hint="cs"/>
          <w:rtl/>
        </w:rPr>
        <w:t>ש</w:t>
      </w:r>
      <w:r w:rsidRPr="00B21943">
        <w:rPr>
          <w:rtl/>
        </w:rPr>
        <w:t xml:space="preserve">ממנה </w:t>
      </w:r>
      <w:r>
        <w:rPr>
          <w:rFonts w:hint="cs"/>
          <w:rtl/>
        </w:rPr>
        <w:t xml:space="preserve">יופנו התיקים </w:t>
      </w:r>
      <w:proofErr w:type="spellStart"/>
      <w:r>
        <w:rPr>
          <w:rFonts w:hint="cs"/>
          <w:rtl/>
        </w:rPr>
        <w:t>שבמנ"ג</w:t>
      </w:r>
      <w:proofErr w:type="spellEnd"/>
      <w:r w:rsidRPr="00B21943">
        <w:rPr>
          <w:rtl/>
        </w:rPr>
        <w:t xml:space="preserve"> </w:t>
      </w:r>
      <w:r>
        <w:rPr>
          <w:rFonts w:hint="cs"/>
          <w:rtl/>
        </w:rPr>
        <w:t>לטיפול</w:t>
      </w:r>
      <w:r w:rsidRPr="00B21943">
        <w:rPr>
          <w:rtl/>
        </w:rPr>
        <w:t xml:space="preserve"> </w:t>
      </w:r>
      <w:r>
        <w:rPr>
          <w:rFonts w:hint="cs"/>
          <w:rtl/>
        </w:rPr>
        <w:t>ב</w:t>
      </w:r>
      <w:r w:rsidRPr="00B21943">
        <w:rPr>
          <w:rtl/>
        </w:rPr>
        <w:t>הוצאה לפועל</w:t>
      </w:r>
      <w:r w:rsidRPr="00B21943">
        <w:rPr>
          <w:rFonts w:hint="cs"/>
          <w:rtl/>
        </w:rPr>
        <w:t>.</w:t>
      </w:r>
    </w:p>
    <w:p w14:paraId="16940008" w14:textId="77777777" w:rsidR="007C4395" w:rsidRPr="00C64895" w:rsidRDefault="007C4395" w:rsidP="002A738D">
      <w:pPr>
        <w:pStyle w:val="7190"/>
        <w:rPr>
          <w:rtl/>
        </w:rPr>
      </w:pPr>
      <w:r>
        <w:rPr>
          <w:rFonts w:hint="cs"/>
          <w:rtl/>
        </w:rPr>
        <w:t xml:space="preserve">בתשובת משרד הבריאות נמסר כי המשרד נמצא בשלב הפיתוח של ממשק ישיר בין בתי החולים הממשלתיים לבין </w:t>
      </w:r>
      <w:proofErr w:type="spellStart"/>
      <w:r>
        <w:rPr>
          <w:rFonts w:hint="cs"/>
          <w:rtl/>
        </w:rPr>
        <w:t>המנ"ג</w:t>
      </w:r>
      <w:proofErr w:type="spellEnd"/>
      <w:r>
        <w:rPr>
          <w:rFonts w:hint="cs"/>
          <w:rtl/>
        </w:rPr>
        <w:t>.</w:t>
      </w:r>
    </w:p>
    <w:p w14:paraId="46D1E3FC" w14:textId="77777777" w:rsidR="007C4395" w:rsidRPr="00E12F7E" w:rsidRDefault="007C4395" w:rsidP="006F4D0D">
      <w:pPr>
        <w:pStyle w:val="71512"/>
        <w:rPr>
          <w:rtl/>
        </w:rPr>
      </w:pPr>
      <w:r>
        <w:rPr>
          <w:rtl/>
        </w:rPr>
        <w:lastRenderedPageBreak/>
        <w:t xml:space="preserve">אופן הרישום החשבונאי של חובות שמועברים </w:t>
      </w:r>
      <w:r>
        <w:rPr>
          <w:rFonts w:hint="cs"/>
          <w:rtl/>
        </w:rPr>
        <w:t xml:space="preserve">למרכז לגביית קנסות </w:t>
      </w:r>
    </w:p>
    <w:p w14:paraId="7D241369" w14:textId="77777777" w:rsidR="007C4395" w:rsidRPr="00C12DDA" w:rsidRDefault="007C4395" w:rsidP="002A738D">
      <w:pPr>
        <w:pStyle w:val="7190"/>
        <w:rPr>
          <w:rtl/>
        </w:rPr>
      </w:pPr>
      <w:r>
        <w:rPr>
          <w:rFonts w:hint="cs"/>
          <w:rtl/>
        </w:rPr>
        <w:t xml:space="preserve">העברת החובות </w:t>
      </w:r>
      <w:proofErr w:type="spellStart"/>
      <w:r>
        <w:rPr>
          <w:rFonts w:hint="cs"/>
          <w:rtl/>
        </w:rPr>
        <w:t>למג"ק</w:t>
      </w:r>
      <w:proofErr w:type="spellEnd"/>
      <w:r>
        <w:rPr>
          <w:rFonts w:hint="cs"/>
          <w:rtl/>
        </w:rPr>
        <w:t xml:space="preserve"> לצורך גבייה</w:t>
      </w:r>
      <w:r w:rsidRPr="00C12DDA">
        <w:rPr>
          <w:rFonts w:hint="cs"/>
          <w:rtl/>
        </w:rPr>
        <w:t xml:space="preserve"> </w:t>
      </w:r>
      <w:r>
        <w:rPr>
          <w:rFonts w:hint="cs"/>
          <w:rtl/>
        </w:rPr>
        <w:t>יוצרת</w:t>
      </w:r>
      <w:r w:rsidRPr="00C12DDA">
        <w:rPr>
          <w:rFonts w:hint="cs"/>
          <w:rtl/>
        </w:rPr>
        <w:t xml:space="preserve"> השפעה</w:t>
      </w:r>
      <w:r>
        <w:rPr>
          <w:rFonts w:hint="cs"/>
          <w:rtl/>
        </w:rPr>
        <w:t xml:space="preserve"> חשבונאית אפשרית </w:t>
      </w:r>
      <w:r w:rsidRPr="00C12DDA">
        <w:rPr>
          <w:rFonts w:hint="cs"/>
          <w:rtl/>
        </w:rPr>
        <w:t>הן על ספרי המשרד שמעביר את החוב והן על ספרי רשות האכיפה והגבייה שמקבלת את החוב.</w:t>
      </w:r>
      <w:r>
        <w:rPr>
          <w:rFonts w:hint="cs"/>
          <w:rtl/>
        </w:rPr>
        <w:t xml:space="preserve"> אופי ה</w:t>
      </w:r>
      <w:r w:rsidRPr="00C12DDA">
        <w:rPr>
          <w:rFonts w:hint="cs"/>
          <w:rtl/>
        </w:rPr>
        <w:t xml:space="preserve">פעולות </w:t>
      </w:r>
      <w:r>
        <w:rPr>
          <w:rFonts w:hint="cs"/>
          <w:rtl/>
        </w:rPr>
        <w:t>ה</w:t>
      </w:r>
      <w:r w:rsidRPr="00C12DDA">
        <w:rPr>
          <w:rFonts w:hint="cs"/>
          <w:rtl/>
        </w:rPr>
        <w:t>חשבונאיות</w:t>
      </w:r>
      <w:r>
        <w:rPr>
          <w:rFonts w:hint="cs"/>
          <w:rtl/>
        </w:rPr>
        <w:t xml:space="preserve">, המבוצעות על ידי </w:t>
      </w:r>
      <w:proofErr w:type="spellStart"/>
      <w:r>
        <w:rPr>
          <w:rFonts w:hint="cs"/>
          <w:rtl/>
        </w:rPr>
        <w:t>חשבוּת</w:t>
      </w:r>
      <w:proofErr w:type="spellEnd"/>
      <w:r>
        <w:rPr>
          <w:rFonts w:hint="cs"/>
          <w:rtl/>
        </w:rPr>
        <w:t xml:space="preserve"> המשרדים בספרי המשרד עם העברת החוב לגבייה על ידי </w:t>
      </w:r>
      <w:proofErr w:type="spellStart"/>
      <w:r>
        <w:rPr>
          <w:rFonts w:hint="cs"/>
          <w:rtl/>
        </w:rPr>
        <w:t>המג"ק</w:t>
      </w:r>
      <w:proofErr w:type="spellEnd"/>
      <w:r>
        <w:rPr>
          <w:rFonts w:hint="cs"/>
          <w:rtl/>
        </w:rPr>
        <w:t>, נתון לשיקול דעתם של המשרדים ושל הגופים הממשלתיים, בהתאם למאפייני הגבייה של החובות (אם לאוצר המדינה ואם לחשבון המשרדים) כמפורט להלן:</w:t>
      </w:r>
    </w:p>
    <w:p w14:paraId="6C098D51" w14:textId="77777777" w:rsidR="007C4395" w:rsidRPr="006F4D0D" w:rsidRDefault="007C4395" w:rsidP="006F4D0D">
      <w:pPr>
        <w:pStyle w:val="71612"/>
        <w:rPr>
          <w:rtl/>
        </w:rPr>
      </w:pPr>
      <w:r w:rsidRPr="006F4D0D">
        <w:rPr>
          <w:rFonts w:hint="cs"/>
          <w:rtl/>
        </w:rPr>
        <w:t>גבייה עבור משרדי ממשלה</w:t>
      </w:r>
    </w:p>
    <w:p w14:paraId="457F451A" w14:textId="77777777" w:rsidR="007C4395" w:rsidRDefault="007C4395" w:rsidP="002A738D">
      <w:pPr>
        <w:pStyle w:val="7190"/>
        <w:rPr>
          <w:rtl/>
        </w:rPr>
      </w:pPr>
      <w:r>
        <w:rPr>
          <w:rFonts w:hint="cs"/>
          <w:rtl/>
        </w:rPr>
        <w:t xml:space="preserve">עבור שישה גופים ממשלתיים מבצע </w:t>
      </w:r>
      <w:proofErr w:type="spellStart"/>
      <w:r w:rsidRPr="002E6C81">
        <w:rPr>
          <w:rFonts w:hint="eastAsia"/>
          <w:rtl/>
        </w:rPr>
        <w:t>המג</w:t>
      </w:r>
      <w:r w:rsidRPr="002E6C81">
        <w:rPr>
          <w:rtl/>
        </w:rPr>
        <w:t>"ק</w:t>
      </w:r>
      <w:proofErr w:type="spellEnd"/>
      <w:r>
        <w:rPr>
          <w:rFonts w:hint="cs"/>
          <w:rtl/>
        </w:rPr>
        <w:t xml:space="preserve"> גבייה המועברת לחשבונם ולא לאוצר המדינה. במקרים אלו החוב נשאר רשום בספרי הגופים גם לאחר מעבר החוב </w:t>
      </w:r>
      <w:proofErr w:type="spellStart"/>
      <w:r w:rsidRPr="002E6C81">
        <w:rPr>
          <w:rFonts w:hint="eastAsia"/>
          <w:rtl/>
        </w:rPr>
        <w:t>למג</w:t>
      </w:r>
      <w:r w:rsidRPr="002E6C81">
        <w:rPr>
          <w:rtl/>
        </w:rPr>
        <w:t>"ק</w:t>
      </w:r>
      <w:proofErr w:type="spellEnd"/>
      <w:r>
        <w:rPr>
          <w:rFonts w:hint="cs"/>
          <w:rtl/>
        </w:rPr>
        <w:t>.</w:t>
      </w:r>
    </w:p>
    <w:p w14:paraId="3E8AC6D8" w14:textId="77777777" w:rsidR="007C4395" w:rsidRDefault="007C4395" w:rsidP="002A738D">
      <w:pPr>
        <w:pStyle w:val="7190"/>
        <w:rPr>
          <w:rtl/>
        </w:rPr>
      </w:pPr>
      <w:r>
        <w:rPr>
          <w:rFonts w:hint="cs"/>
          <w:rtl/>
        </w:rPr>
        <w:t xml:space="preserve">כפי שצוין בחוות הדעת של רואי החשבון על הדוחות הכספיים, על דוחות אלו להיות ערוכים לפי כללי חשבונאות מקובלים. בהתאם לעיקרון הסטנדרט הכפול, </w:t>
      </w:r>
      <w:r w:rsidRPr="00363342">
        <w:rPr>
          <w:rtl/>
        </w:rPr>
        <w:t>ה</w:t>
      </w:r>
      <w:r>
        <w:rPr>
          <w:rtl/>
        </w:rPr>
        <w:t>דוחות</w:t>
      </w:r>
      <w:r w:rsidRPr="00363342">
        <w:rPr>
          <w:rtl/>
        </w:rPr>
        <w:t xml:space="preserve"> הכספיים </w:t>
      </w:r>
      <w:r>
        <w:rPr>
          <w:rFonts w:hint="cs"/>
          <w:rtl/>
        </w:rPr>
        <w:t xml:space="preserve">צריכים בנוסף לשקף </w:t>
      </w:r>
      <w:r w:rsidRPr="00363342">
        <w:rPr>
          <w:rtl/>
        </w:rPr>
        <w:t>באופן נאות מכל הבחינות המהותיות את מצב העסקים ו</w:t>
      </w:r>
      <w:r>
        <w:rPr>
          <w:rFonts w:hint="cs"/>
          <w:rtl/>
        </w:rPr>
        <w:t xml:space="preserve">את </w:t>
      </w:r>
      <w:r w:rsidRPr="00363342">
        <w:rPr>
          <w:rtl/>
        </w:rPr>
        <w:t>תוצאות הפעילות של המבוקר</w:t>
      </w:r>
      <w:r>
        <w:rPr>
          <w:rFonts w:hint="cs"/>
          <w:rtl/>
        </w:rPr>
        <w:t xml:space="preserve">. אם לא ניתן לקיים את שני התנאים, כלומר אם לצורך </w:t>
      </w:r>
      <w:r w:rsidRPr="00363342">
        <w:rPr>
          <w:rtl/>
        </w:rPr>
        <w:t xml:space="preserve">הצגה נאותה </w:t>
      </w:r>
      <w:r>
        <w:rPr>
          <w:rFonts w:hint="cs"/>
          <w:rtl/>
        </w:rPr>
        <w:t xml:space="preserve">של מצב העסקים ופעילות הגוף נדרש </w:t>
      </w:r>
      <w:r w:rsidRPr="00363342">
        <w:rPr>
          <w:rtl/>
        </w:rPr>
        <w:t>לסטות מכללי החשבונאות המקובלים, יש</w:t>
      </w:r>
      <w:r>
        <w:rPr>
          <w:rFonts w:hint="cs"/>
          <w:rtl/>
        </w:rPr>
        <w:t xml:space="preserve"> לתת </w:t>
      </w:r>
      <w:r w:rsidRPr="00363342">
        <w:rPr>
          <w:rtl/>
        </w:rPr>
        <w:t>לכך גילוי בביאורים.</w:t>
      </w:r>
    </w:p>
    <w:p w14:paraId="6CFB227C" w14:textId="77777777" w:rsidR="007C4395" w:rsidRDefault="007C4395" w:rsidP="002A738D">
      <w:pPr>
        <w:pStyle w:val="7190"/>
        <w:rPr>
          <w:rtl/>
        </w:rPr>
      </w:pPr>
      <w:r>
        <w:rPr>
          <w:rFonts w:hint="cs"/>
          <w:rtl/>
        </w:rPr>
        <w:t xml:space="preserve">בדוחות הכספיים של רשות האכיפה והגבייה נכתב כי בהתאם להנחיית החשב הכללי, הוחלט </w:t>
      </w:r>
      <w:r w:rsidRPr="00BB7920">
        <w:rPr>
          <w:rFonts w:hint="eastAsia"/>
          <w:rtl/>
        </w:rPr>
        <w:t>שחובות</w:t>
      </w:r>
      <w:r w:rsidRPr="00BB7920">
        <w:rPr>
          <w:rtl/>
        </w:rPr>
        <w:t xml:space="preserve"> </w:t>
      </w:r>
      <w:r>
        <w:rPr>
          <w:rFonts w:hint="cs"/>
          <w:rtl/>
        </w:rPr>
        <w:t>המועברים למשרדי ממשלה אחרים יוצגו בדוחות הכספיים של הרשות בסכום החוב ולא בסכומי המזומנים שנגבו בפועל. הצגה זו אינה עקבית עם הצגת החובות של חייבי ההוצאה לפועל בסעיף מזומנים שנגבו עבור אחרים והמוצגים על בסיס הגבייה בפועל בלבד.</w:t>
      </w:r>
    </w:p>
    <w:p w14:paraId="7966DCF7" w14:textId="4C1F2E6C" w:rsidR="007C4395" w:rsidRDefault="007C4395" w:rsidP="003B2683">
      <w:pPr>
        <w:pStyle w:val="71f4"/>
        <w:rPr>
          <w:rtl/>
        </w:rPr>
      </w:pPr>
      <w:r w:rsidRPr="004F1F68">
        <w:rPr>
          <w:rFonts w:hint="eastAsia"/>
          <w:rtl/>
        </w:rPr>
        <w:t>הצג</w:t>
      </w:r>
      <w:r>
        <w:rPr>
          <w:rFonts w:hint="cs"/>
          <w:rtl/>
        </w:rPr>
        <w:t xml:space="preserve">ת </w:t>
      </w:r>
      <w:r w:rsidRPr="004F1F68">
        <w:rPr>
          <w:rtl/>
        </w:rPr>
        <w:t xml:space="preserve">חובות בטיפול </w:t>
      </w:r>
      <w:proofErr w:type="spellStart"/>
      <w:r w:rsidRPr="004F1F68">
        <w:rPr>
          <w:rFonts w:hint="eastAsia"/>
          <w:rtl/>
        </w:rPr>
        <w:t>המג</w:t>
      </w:r>
      <w:r w:rsidRPr="004F1F68">
        <w:rPr>
          <w:rtl/>
        </w:rPr>
        <w:t>"ק</w:t>
      </w:r>
      <w:proofErr w:type="spellEnd"/>
      <w:r w:rsidRPr="004F1F68">
        <w:rPr>
          <w:rtl/>
        </w:rPr>
        <w:t xml:space="preserve"> ב</w:t>
      </w:r>
      <w:r>
        <w:rPr>
          <w:rtl/>
        </w:rPr>
        <w:t>דוחות</w:t>
      </w:r>
      <w:r w:rsidRPr="004F1F68">
        <w:rPr>
          <w:rtl/>
        </w:rPr>
        <w:t xml:space="preserve"> הכספיים של הרשות</w:t>
      </w:r>
      <w:r>
        <w:rPr>
          <w:rFonts w:hint="cs"/>
          <w:rtl/>
        </w:rPr>
        <w:t xml:space="preserve"> בהיקף של כ-836 מיליון ש"ח נכון ל-31.12.2020,</w:t>
      </w:r>
      <w:r w:rsidRPr="004F1F68">
        <w:rPr>
          <w:rtl/>
        </w:rPr>
        <w:t xml:space="preserve"> אשר הצפי </w:t>
      </w:r>
      <w:r>
        <w:rPr>
          <w:rFonts w:hint="cs"/>
          <w:rtl/>
        </w:rPr>
        <w:t xml:space="preserve">לגביהם </w:t>
      </w:r>
      <w:r w:rsidRPr="004F1F68">
        <w:rPr>
          <w:rtl/>
        </w:rPr>
        <w:t>הוא העברת הכספים</w:t>
      </w:r>
      <w:r>
        <w:rPr>
          <w:rFonts w:hint="cs"/>
          <w:rtl/>
        </w:rPr>
        <w:t xml:space="preserve"> שייגבו בגינם למשרדי הממשלה, </w:t>
      </w:r>
      <w:r w:rsidRPr="00F56D81">
        <w:rPr>
          <w:rFonts w:hint="cs"/>
          <w:rtl/>
        </w:rPr>
        <w:t xml:space="preserve">יוצרת </w:t>
      </w:r>
      <w:r w:rsidRPr="00135661">
        <w:rPr>
          <w:rFonts w:hint="cs"/>
          <w:rtl/>
        </w:rPr>
        <w:t>מצג שהחוב הוא של רשות האכיפה והגבייה, אף על פי שה</w:t>
      </w:r>
      <w:r>
        <w:rPr>
          <w:rFonts w:hint="cs"/>
          <w:rtl/>
        </w:rPr>
        <w:t>רשות</w:t>
      </w:r>
      <w:r w:rsidRPr="00135661">
        <w:rPr>
          <w:rFonts w:hint="cs"/>
          <w:rtl/>
        </w:rPr>
        <w:t xml:space="preserve"> משמשת צינור בלבד להעברת החובות למשרדים</w:t>
      </w:r>
      <w:r>
        <w:rPr>
          <w:rFonts w:hint="cs"/>
          <w:rtl/>
        </w:rPr>
        <w:t>.</w:t>
      </w:r>
      <w:r w:rsidRPr="00135661">
        <w:rPr>
          <w:rFonts w:hint="cs"/>
          <w:rtl/>
        </w:rPr>
        <w:t xml:space="preserve"> וכפי שהרשות ציינה ב</w:t>
      </w:r>
      <w:r>
        <w:rPr>
          <w:rFonts w:hint="cs"/>
          <w:rtl/>
        </w:rPr>
        <w:t>דוחות</w:t>
      </w:r>
      <w:r w:rsidRPr="00135661">
        <w:rPr>
          <w:rFonts w:hint="cs"/>
          <w:rtl/>
        </w:rPr>
        <w:t>יה הכספיים לשנת 2020</w:t>
      </w:r>
      <w:r>
        <w:rPr>
          <w:rFonts w:hint="cs"/>
          <w:rtl/>
        </w:rPr>
        <w:t>,</w:t>
      </w:r>
      <w:r w:rsidRPr="00135661">
        <w:rPr>
          <w:rFonts w:hint="cs"/>
          <w:rtl/>
        </w:rPr>
        <w:t xml:space="preserve"> מהווה סטייה מכללי חשבונאות מקובלים</w:t>
      </w:r>
      <w:r>
        <w:rPr>
          <w:rFonts w:hint="cs"/>
          <w:rtl/>
        </w:rPr>
        <w:t>,</w:t>
      </w:r>
      <w:r w:rsidRPr="00135661">
        <w:rPr>
          <w:rFonts w:hint="cs"/>
          <w:rtl/>
        </w:rPr>
        <w:t xml:space="preserve"> </w:t>
      </w:r>
      <w:r>
        <w:rPr>
          <w:rFonts w:hint="cs"/>
          <w:rtl/>
        </w:rPr>
        <w:t xml:space="preserve">לעמדתה </w:t>
      </w:r>
      <w:r w:rsidRPr="00135661">
        <w:rPr>
          <w:rFonts w:hint="cs"/>
          <w:rtl/>
        </w:rPr>
        <w:t>בהתאם לע</w:t>
      </w:r>
      <w:r>
        <w:rPr>
          <w:rFonts w:hint="cs"/>
          <w:rtl/>
        </w:rPr>
        <w:t>י</w:t>
      </w:r>
      <w:r w:rsidRPr="00135661">
        <w:rPr>
          <w:rFonts w:hint="cs"/>
          <w:rtl/>
        </w:rPr>
        <w:t>קרון הסטנדרט הכפול</w:t>
      </w:r>
      <w:r>
        <w:rPr>
          <w:rFonts w:hint="cs"/>
          <w:rtl/>
        </w:rPr>
        <w:t>, ו</w:t>
      </w:r>
      <w:r w:rsidRPr="00135661">
        <w:rPr>
          <w:rFonts w:hint="cs"/>
          <w:rtl/>
        </w:rPr>
        <w:t>נדונה מול אגף החשב הכללי. יצוין כי הרשות מציגה ב</w:t>
      </w:r>
      <w:r>
        <w:rPr>
          <w:rFonts w:hint="cs"/>
          <w:rtl/>
        </w:rPr>
        <w:t>דוחות</w:t>
      </w:r>
      <w:r w:rsidRPr="00135661">
        <w:rPr>
          <w:rFonts w:hint="cs"/>
          <w:rtl/>
        </w:rPr>
        <w:t xml:space="preserve"> הכספיים</w:t>
      </w:r>
      <w:r>
        <w:rPr>
          <w:rFonts w:hint="cs"/>
          <w:rtl/>
        </w:rPr>
        <w:t xml:space="preserve"> שלה את סכום החוב גם בצד ההתחייבות עבור משרדי הממשלה.</w:t>
      </w:r>
    </w:p>
    <w:p w14:paraId="6344CE95" w14:textId="77777777" w:rsidR="00651E66" w:rsidRPr="00651E66" w:rsidRDefault="00651E66" w:rsidP="00651E66">
      <w:pPr>
        <w:pStyle w:val="7190"/>
        <w:spacing w:after="0"/>
        <w:rPr>
          <w:rtl/>
        </w:rPr>
      </w:pPr>
    </w:p>
    <w:p w14:paraId="7A37DB8D" w14:textId="77777777" w:rsidR="007C4395" w:rsidRDefault="007C4395" w:rsidP="003B2683">
      <w:pPr>
        <w:pStyle w:val="71f4"/>
        <w:rPr>
          <w:rtl/>
        </w:rPr>
      </w:pPr>
      <w:r w:rsidRPr="00F56D81">
        <w:rPr>
          <w:rFonts w:hint="cs"/>
          <w:rtl/>
        </w:rPr>
        <w:t xml:space="preserve">על </w:t>
      </w:r>
      <w:r>
        <w:rPr>
          <w:rFonts w:hint="cs"/>
          <w:rtl/>
        </w:rPr>
        <w:t xml:space="preserve">אגף </w:t>
      </w:r>
      <w:proofErr w:type="spellStart"/>
      <w:r w:rsidRPr="00F56D81">
        <w:rPr>
          <w:rFonts w:hint="cs"/>
          <w:rtl/>
        </w:rPr>
        <w:t>החשכ"ל</w:t>
      </w:r>
      <w:proofErr w:type="spellEnd"/>
      <w:r w:rsidRPr="00F56D81">
        <w:rPr>
          <w:rFonts w:hint="cs"/>
          <w:rtl/>
        </w:rPr>
        <w:t xml:space="preserve"> </w:t>
      </w:r>
      <w:r>
        <w:rPr>
          <w:rFonts w:hint="cs"/>
          <w:rtl/>
        </w:rPr>
        <w:t xml:space="preserve">ורשות האכיפה והגבייה </w:t>
      </w:r>
      <w:r w:rsidRPr="00F56D81">
        <w:rPr>
          <w:rFonts w:hint="cs"/>
          <w:rtl/>
        </w:rPr>
        <w:t xml:space="preserve">לשקול הצגה אחרת, נאותה יותר מבחינה חשבונאית, של חובות המועברים </w:t>
      </w:r>
      <w:r>
        <w:rPr>
          <w:rFonts w:hint="cs"/>
          <w:rtl/>
        </w:rPr>
        <w:t xml:space="preserve">לטיפולו של </w:t>
      </w:r>
      <w:proofErr w:type="spellStart"/>
      <w:r w:rsidRPr="002E6C81">
        <w:rPr>
          <w:rFonts w:hint="eastAsia"/>
          <w:rtl/>
        </w:rPr>
        <w:t>המג</w:t>
      </w:r>
      <w:r w:rsidRPr="002E6C81">
        <w:rPr>
          <w:rtl/>
        </w:rPr>
        <w:t>"ק</w:t>
      </w:r>
      <w:proofErr w:type="spellEnd"/>
      <w:r>
        <w:rPr>
          <w:rFonts w:hint="cs"/>
          <w:rtl/>
        </w:rPr>
        <w:t xml:space="preserve"> ושלאחר גבייתם מועברים ישירות </w:t>
      </w:r>
      <w:r w:rsidRPr="00F56D81">
        <w:rPr>
          <w:rFonts w:hint="cs"/>
          <w:rtl/>
        </w:rPr>
        <w:t xml:space="preserve">למשרדי </w:t>
      </w:r>
      <w:r>
        <w:rPr>
          <w:rFonts w:hint="cs"/>
          <w:rtl/>
        </w:rPr>
        <w:t>ה</w:t>
      </w:r>
      <w:r w:rsidRPr="00F56D81">
        <w:rPr>
          <w:rFonts w:hint="cs"/>
          <w:rtl/>
        </w:rPr>
        <w:t xml:space="preserve">ממשלה </w:t>
      </w:r>
      <w:r>
        <w:rPr>
          <w:rFonts w:hint="cs"/>
          <w:rtl/>
        </w:rPr>
        <w:t>בעלי החוב.</w:t>
      </w:r>
    </w:p>
    <w:p w14:paraId="4BEE98BF" w14:textId="77777777" w:rsidR="007C4395" w:rsidRPr="00EB408D" w:rsidRDefault="007C4395" w:rsidP="002A738D">
      <w:pPr>
        <w:pStyle w:val="7190"/>
        <w:rPr>
          <w:rtl/>
        </w:rPr>
      </w:pPr>
      <w:r>
        <w:rPr>
          <w:rFonts w:hint="cs"/>
          <w:rtl/>
        </w:rPr>
        <w:t xml:space="preserve">בתשובת אגף </w:t>
      </w:r>
      <w:proofErr w:type="spellStart"/>
      <w:r>
        <w:rPr>
          <w:rFonts w:hint="cs"/>
          <w:rtl/>
        </w:rPr>
        <w:t>החשכ"ל</w:t>
      </w:r>
      <w:proofErr w:type="spellEnd"/>
      <w:r>
        <w:rPr>
          <w:rFonts w:hint="cs"/>
          <w:rtl/>
        </w:rPr>
        <w:t xml:space="preserve"> נמסר כי במסגרת ההיערכות לדוחות הכספיים לשנת 2021 צפויה החשבונאית הראשית להפיץ הנחיה למשרדי הממשלה לגבי רישום חובות שהועברו לטיפול רשות </w:t>
      </w:r>
      <w:r w:rsidRPr="0089797E">
        <w:rPr>
          <w:rFonts w:hint="cs"/>
          <w:rtl/>
        </w:rPr>
        <w:t>האכיפה והגבייה. בהנחיה ייקבע כי על משרדי</w:t>
      </w:r>
      <w:r>
        <w:rPr>
          <w:rFonts w:hint="cs"/>
          <w:rtl/>
        </w:rPr>
        <w:t xml:space="preserve"> הממשלה לתאם עם רשות האכיפה והגבייה את נושא רישום החובות, כדי למנוע רישום כפול של החייבים. כמו כן </w:t>
      </w:r>
      <w:r w:rsidRPr="008572E4">
        <w:rPr>
          <w:rFonts w:hint="cs"/>
          <w:rtl/>
        </w:rPr>
        <w:t>צוין בתשובת</w:t>
      </w:r>
      <w:r>
        <w:rPr>
          <w:rFonts w:hint="cs"/>
          <w:rtl/>
        </w:rPr>
        <w:t xml:space="preserve"> אגף </w:t>
      </w:r>
      <w:proofErr w:type="spellStart"/>
      <w:r>
        <w:rPr>
          <w:rFonts w:hint="cs"/>
          <w:rtl/>
        </w:rPr>
        <w:lastRenderedPageBreak/>
        <w:t>החשכ"ל</w:t>
      </w:r>
      <w:proofErr w:type="spellEnd"/>
      <w:r>
        <w:rPr>
          <w:rFonts w:hint="cs"/>
          <w:rtl/>
        </w:rPr>
        <w:t xml:space="preserve"> כי בכוונת החשבונאית הראשית לוודא עם משרדי הממשלה הרלוונטיים שהנושא טופל בהתאם להנחיה.</w:t>
      </w:r>
    </w:p>
    <w:p w14:paraId="1B66C037" w14:textId="77777777" w:rsidR="007C4395" w:rsidRPr="006F4D0D" w:rsidRDefault="007C4395" w:rsidP="006F4D0D">
      <w:pPr>
        <w:pStyle w:val="71612"/>
        <w:rPr>
          <w:rtl/>
        </w:rPr>
      </w:pPr>
      <w:r w:rsidRPr="006F4D0D">
        <w:rPr>
          <w:rFonts w:hint="cs"/>
          <w:rtl/>
        </w:rPr>
        <w:t>גבייה עבור אוצר המדינה</w:t>
      </w:r>
    </w:p>
    <w:p w14:paraId="4FE8B5E0" w14:textId="77777777" w:rsidR="007C4395" w:rsidRDefault="007C4395" w:rsidP="002A738D">
      <w:pPr>
        <w:pStyle w:val="7190"/>
        <w:rPr>
          <w:rtl/>
        </w:rPr>
      </w:pPr>
      <w:r>
        <w:rPr>
          <w:rFonts w:hint="cs"/>
          <w:rtl/>
        </w:rPr>
        <w:t xml:space="preserve">מבדיקה שערכו נציגי משרד מבקר המדינה במשרדי ממשלה שסכומי הגבייה של חובותיהם מועברים לאוצר המדינה, נמצא שאין אחידות בין משרדי הממשלה בעת העברת החובות </w:t>
      </w:r>
      <w:proofErr w:type="spellStart"/>
      <w:r>
        <w:rPr>
          <w:rFonts w:hint="cs"/>
          <w:rtl/>
        </w:rPr>
        <w:t>למג"ק</w:t>
      </w:r>
      <w:proofErr w:type="spellEnd"/>
      <w:r>
        <w:rPr>
          <w:rFonts w:hint="cs"/>
          <w:rtl/>
        </w:rPr>
        <w:t xml:space="preserve">. כמה מהמשרדים, כגון הנהלת בתי המשפט, מוחקים את החוב בספרים. משרדים אחרים, כגון משרד הכלכלה והתעשייה, משרד </w:t>
      </w:r>
      <w:proofErr w:type="spellStart"/>
      <w:r>
        <w:rPr>
          <w:rFonts w:hint="cs"/>
          <w:rtl/>
        </w:rPr>
        <w:t>האנרגייה</w:t>
      </w:r>
      <w:proofErr w:type="spellEnd"/>
      <w:r>
        <w:rPr>
          <w:rFonts w:hint="cs"/>
          <w:rtl/>
        </w:rPr>
        <w:t xml:space="preserve"> ומשרד הבינוי והשיכון, אינם מוחקים את החוב מהספרים, אף על פי שבסופו של דבר הוא נגבה ישירות לאוצר המדינה והגבייה אינה מועברת אליהם.</w:t>
      </w:r>
    </w:p>
    <w:p w14:paraId="2D963F8C" w14:textId="77777777" w:rsidR="007C4395" w:rsidRDefault="007C4395" w:rsidP="002A738D">
      <w:pPr>
        <w:pStyle w:val="7190"/>
        <w:rPr>
          <w:rtl/>
        </w:rPr>
      </w:pPr>
      <w:r>
        <w:rPr>
          <w:rFonts w:hint="cs"/>
          <w:rtl/>
        </w:rPr>
        <w:t xml:space="preserve">נוסף על כך, מאגף </w:t>
      </w:r>
      <w:proofErr w:type="spellStart"/>
      <w:r>
        <w:rPr>
          <w:rFonts w:hint="cs"/>
          <w:rtl/>
        </w:rPr>
        <w:t>החשכ"ל</w:t>
      </w:r>
      <w:proofErr w:type="spellEnd"/>
      <w:r>
        <w:rPr>
          <w:rFonts w:hint="cs"/>
          <w:rtl/>
        </w:rPr>
        <w:t xml:space="preserve"> נמסר לנציגי משרד מבקר המדינה ש</w:t>
      </w:r>
      <w:r w:rsidRPr="00C100CC">
        <w:rPr>
          <w:rtl/>
        </w:rPr>
        <w:t>במטרה למנוע מצבים של כפילות ברישום החייבים ברמת ה</w:t>
      </w:r>
      <w:r>
        <w:rPr>
          <w:rtl/>
        </w:rPr>
        <w:t>דוח</w:t>
      </w:r>
      <w:r w:rsidRPr="00C100CC">
        <w:rPr>
          <w:rtl/>
        </w:rPr>
        <w:t xml:space="preserve"> המאוחד של הממשלה, </w:t>
      </w:r>
      <w:r>
        <w:rPr>
          <w:rFonts w:hint="cs"/>
          <w:rtl/>
        </w:rPr>
        <w:t xml:space="preserve">הועברה מהם </w:t>
      </w:r>
      <w:r w:rsidRPr="00C100CC">
        <w:rPr>
          <w:rtl/>
        </w:rPr>
        <w:t xml:space="preserve">למשרדי הממשלה </w:t>
      </w:r>
      <w:r>
        <w:rPr>
          <w:rFonts w:hint="cs"/>
          <w:rtl/>
        </w:rPr>
        <w:t xml:space="preserve">הנחיה </w:t>
      </w:r>
      <w:r w:rsidRPr="00C100CC">
        <w:rPr>
          <w:rtl/>
        </w:rPr>
        <w:t xml:space="preserve">לוודא את שלמות רישום החייבים שהועברו לטיפול </w:t>
      </w:r>
      <w:r w:rsidRPr="00567EF9">
        <w:rPr>
          <w:rtl/>
        </w:rPr>
        <w:t>רשות האכיפה והגבי</w:t>
      </w:r>
      <w:r>
        <w:rPr>
          <w:rFonts w:hint="cs"/>
          <w:rtl/>
        </w:rPr>
        <w:t>י</w:t>
      </w:r>
      <w:r w:rsidRPr="00567EF9">
        <w:rPr>
          <w:rtl/>
        </w:rPr>
        <w:t>ה</w:t>
      </w:r>
      <w:r w:rsidRPr="00C100CC">
        <w:rPr>
          <w:rtl/>
        </w:rPr>
        <w:t>.</w:t>
      </w:r>
    </w:p>
    <w:p w14:paraId="7810AA48" w14:textId="77777777" w:rsidR="007C4395" w:rsidRPr="008C49FF" w:rsidRDefault="007C4395" w:rsidP="002A738D">
      <w:pPr>
        <w:pStyle w:val="7190"/>
        <w:rPr>
          <w:rtl/>
        </w:rPr>
      </w:pPr>
      <w:r>
        <w:rPr>
          <w:rFonts w:hint="cs"/>
          <w:rtl/>
        </w:rPr>
        <w:t>בהתאם ל</w:t>
      </w:r>
      <w:r w:rsidRPr="008C49FF">
        <w:rPr>
          <w:rFonts w:hint="cs"/>
          <w:rtl/>
        </w:rPr>
        <w:t>הנחיה</w:t>
      </w:r>
      <w:r>
        <w:rPr>
          <w:rFonts w:hint="cs"/>
          <w:rtl/>
        </w:rPr>
        <w:t xml:space="preserve"> זו, שהופצה למשרדים בשנת 2021, על </w:t>
      </w:r>
      <w:r w:rsidRPr="008C49FF">
        <w:rPr>
          <w:rFonts w:hint="cs"/>
          <w:rtl/>
        </w:rPr>
        <w:t>ה</w:t>
      </w:r>
      <w:r w:rsidRPr="008C49FF">
        <w:rPr>
          <w:rtl/>
        </w:rPr>
        <w:t xml:space="preserve">משרד </w:t>
      </w:r>
      <w:r w:rsidRPr="008C49FF">
        <w:rPr>
          <w:rFonts w:hint="cs"/>
          <w:rtl/>
        </w:rPr>
        <w:t>ה</w:t>
      </w:r>
      <w:r w:rsidRPr="008C49FF">
        <w:rPr>
          <w:rtl/>
        </w:rPr>
        <w:t xml:space="preserve">ממשלתי שהעביר חובות לטיפול </w:t>
      </w:r>
      <w:r w:rsidRPr="00567EF9">
        <w:rPr>
          <w:rtl/>
        </w:rPr>
        <w:t>רשות האכיפה והגבי</w:t>
      </w:r>
      <w:r w:rsidRPr="00567EF9">
        <w:rPr>
          <w:rFonts w:hint="eastAsia"/>
          <w:rtl/>
        </w:rPr>
        <w:t>י</w:t>
      </w:r>
      <w:r w:rsidRPr="00567EF9">
        <w:rPr>
          <w:rtl/>
        </w:rPr>
        <w:t>ה</w:t>
      </w:r>
      <w:r w:rsidRPr="008C49FF">
        <w:rPr>
          <w:rtl/>
        </w:rPr>
        <w:t xml:space="preserve">, לבדוק מול הרשות מהם החובות </w:t>
      </w:r>
      <w:r w:rsidRPr="008C49FF">
        <w:rPr>
          <w:rFonts w:hint="cs"/>
          <w:rtl/>
        </w:rPr>
        <w:t>"שלו" ש</w:t>
      </w:r>
      <w:r w:rsidRPr="008C49FF">
        <w:rPr>
          <w:rtl/>
        </w:rPr>
        <w:t>רשומים בספריה</w:t>
      </w:r>
      <w:r>
        <w:rPr>
          <w:rFonts w:hint="cs"/>
          <w:rtl/>
        </w:rPr>
        <w:t>ּ</w:t>
      </w:r>
      <w:r w:rsidRPr="008C49FF">
        <w:rPr>
          <w:rtl/>
        </w:rPr>
        <w:t xml:space="preserve"> ובאילו סכומים הם מופיעים.</w:t>
      </w:r>
      <w:r w:rsidRPr="008C49FF">
        <w:rPr>
          <w:rFonts w:hint="cs"/>
          <w:rtl/>
        </w:rPr>
        <w:t xml:space="preserve"> </w:t>
      </w:r>
      <w:r>
        <w:rPr>
          <w:rFonts w:hint="cs"/>
          <w:rtl/>
        </w:rPr>
        <w:t xml:space="preserve">אם </w:t>
      </w:r>
      <w:r w:rsidRPr="008C49FF">
        <w:rPr>
          <w:rtl/>
        </w:rPr>
        <w:t xml:space="preserve">יימצא חוב </w:t>
      </w:r>
      <w:r w:rsidRPr="008C49FF">
        <w:rPr>
          <w:rFonts w:hint="cs"/>
          <w:rtl/>
        </w:rPr>
        <w:t>ש</w:t>
      </w:r>
      <w:r w:rsidRPr="008C49FF">
        <w:rPr>
          <w:rtl/>
        </w:rPr>
        <w:t xml:space="preserve">נרשם </w:t>
      </w:r>
      <w:r>
        <w:rPr>
          <w:rFonts w:hint="cs"/>
          <w:rtl/>
        </w:rPr>
        <w:t>הן</w:t>
      </w:r>
      <w:r w:rsidRPr="008C49FF">
        <w:rPr>
          <w:rFonts w:hint="cs"/>
          <w:rtl/>
        </w:rPr>
        <w:t xml:space="preserve"> במשרד הממשלתי ו</w:t>
      </w:r>
      <w:r>
        <w:rPr>
          <w:rFonts w:hint="cs"/>
          <w:rtl/>
        </w:rPr>
        <w:t>הן</w:t>
      </w:r>
      <w:r w:rsidRPr="008C49FF">
        <w:rPr>
          <w:rFonts w:hint="cs"/>
          <w:rtl/>
        </w:rPr>
        <w:t xml:space="preserve"> ברשות,</w:t>
      </w:r>
      <w:r w:rsidRPr="008C49FF">
        <w:rPr>
          <w:rtl/>
        </w:rPr>
        <w:t xml:space="preserve"> יש ל</w:t>
      </w:r>
      <w:r>
        <w:rPr>
          <w:rFonts w:hint="cs"/>
          <w:rtl/>
        </w:rPr>
        <w:t>ט</w:t>
      </w:r>
      <w:r w:rsidRPr="008C49FF">
        <w:rPr>
          <w:rtl/>
        </w:rPr>
        <w:t>פל ב</w:t>
      </w:r>
      <w:r>
        <w:rPr>
          <w:rFonts w:hint="cs"/>
          <w:rtl/>
        </w:rPr>
        <w:t>כך ב</w:t>
      </w:r>
      <w:r w:rsidRPr="008C49FF">
        <w:rPr>
          <w:rtl/>
        </w:rPr>
        <w:t>תיאום עם רשות האכיפה והגבי</w:t>
      </w:r>
      <w:r w:rsidRPr="008C49FF">
        <w:rPr>
          <w:rFonts w:hint="cs"/>
          <w:rtl/>
        </w:rPr>
        <w:t>י</w:t>
      </w:r>
      <w:r w:rsidRPr="008C49FF">
        <w:rPr>
          <w:rtl/>
        </w:rPr>
        <w:t>ה באופן שימנע רישום כפול.</w:t>
      </w:r>
      <w:r w:rsidRPr="008C49FF">
        <w:rPr>
          <w:rFonts w:hint="cs"/>
          <w:rtl/>
        </w:rPr>
        <w:t xml:space="preserve"> </w:t>
      </w:r>
      <w:r>
        <w:rPr>
          <w:rFonts w:hint="cs"/>
          <w:rtl/>
        </w:rPr>
        <w:t xml:space="preserve">אם </w:t>
      </w:r>
      <w:r w:rsidRPr="008C49FF">
        <w:rPr>
          <w:rtl/>
        </w:rPr>
        <w:t>המשרד שמסר את החובות לטיפול רשות האכיפה והגב</w:t>
      </w:r>
      <w:r w:rsidRPr="008C49FF">
        <w:rPr>
          <w:rFonts w:hint="cs"/>
          <w:rtl/>
        </w:rPr>
        <w:t>י</w:t>
      </w:r>
      <w:r w:rsidRPr="008C49FF">
        <w:rPr>
          <w:rtl/>
        </w:rPr>
        <w:t>יה נוהג להציגם בספריו, עליו להמשיך להציג</w:t>
      </w:r>
      <w:r>
        <w:rPr>
          <w:rFonts w:hint="cs"/>
          <w:rtl/>
        </w:rPr>
        <w:t>ם</w:t>
      </w:r>
      <w:r w:rsidRPr="008C49FF">
        <w:rPr>
          <w:rtl/>
        </w:rPr>
        <w:t xml:space="preserve"> כך.</w:t>
      </w:r>
      <w:r w:rsidRPr="008C49FF">
        <w:rPr>
          <w:rFonts w:hint="cs"/>
          <w:rtl/>
        </w:rPr>
        <w:t xml:space="preserve"> </w:t>
      </w:r>
      <w:r>
        <w:rPr>
          <w:rFonts w:hint="cs"/>
          <w:rtl/>
        </w:rPr>
        <w:t>משמעות הנחיה זו היא כי אף על פי שהחוב שייגבה צפוי להיות מועבר לאוצר המדינה, ה</w:t>
      </w:r>
      <w:r w:rsidRPr="008C49FF">
        <w:rPr>
          <w:rFonts w:hint="cs"/>
          <w:rtl/>
        </w:rPr>
        <w:t xml:space="preserve">רשות </w:t>
      </w:r>
      <w:r>
        <w:rPr>
          <w:rFonts w:hint="cs"/>
          <w:rtl/>
        </w:rPr>
        <w:t xml:space="preserve">היא זו שצריכה </w:t>
      </w:r>
      <w:r w:rsidRPr="008C49FF">
        <w:rPr>
          <w:rFonts w:hint="cs"/>
          <w:rtl/>
        </w:rPr>
        <w:t>לנטרל בספריה את הרישום הכפול</w:t>
      </w:r>
      <w:r>
        <w:rPr>
          <w:rFonts w:hint="cs"/>
          <w:rtl/>
        </w:rPr>
        <w:t>, ולא המשרדים</w:t>
      </w:r>
      <w:r w:rsidRPr="008C49FF">
        <w:rPr>
          <w:rFonts w:hint="cs"/>
          <w:rtl/>
        </w:rPr>
        <w:t>.</w:t>
      </w:r>
      <w:r>
        <w:rPr>
          <w:rFonts w:hint="cs"/>
          <w:rtl/>
        </w:rPr>
        <w:t xml:space="preserve"> בהתאם לנתונים שמסרו נציגי רשות האכיפה והגבייה לצוות הביקורת, בעת הכנת הדוח הכספי של המדינה לשנת 2020 פנו אל החשבונאי הראשי של הרשות שלושה משרדי ממשלה - משרד האוצר, משרד </w:t>
      </w:r>
      <w:proofErr w:type="spellStart"/>
      <w:r>
        <w:rPr>
          <w:rFonts w:hint="cs"/>
          <w:rtl/>
        </w:rPr>
        <w:t>האנרגייה</w:t>
      </w:r>
      <w:proofErr w:type="spellEnd"/>
      <w:r>
        <w:rPr>
          <w:rFonts w:hint="cs"/>
          <w:rtl/>
        </w:rPr>
        <w:t xml:space="preserve"> ומשרד החקלאות ופיתוח הכפר - בדבר הימצאות מצבת החובות בספריהם, והחשבונאי הראשי ברשות מחק את חובותיהם בספרי הרשות כדי למנוע כפילות.</w:t>
      </w:r>
    </w:p>
    <w:p w14:paraId="326196DA" w14:textId="77777777" w:rsidR="007C4395" w:rsidRPr="009E6326" w:rsidRDefault="007C4395" w:rsidP="009E6326">
      <w:pPr>
        <w:pStyle w:val="71f4"/>
        <w:rPr>
          <w:rtl/>
        </w:rPr>
      </w:pPr>
      <w:r w:rsidRPr="009E6326">
        <w:rPr>
          <w:rFonts w:hint="cs"/>
          <w:rtl/>
        </w:rPr>
        <w:t xml:space="preserve">למרות הנחיית אגף </w:t>
      </w:r>
      <w:proofErr w:type="spellStart"/>
      <w:r w:rsidRPr="009E6326">
        <w:rPr>
          <w:rFonts w:hint="cs"/>
          <w:rtl/>
        </w:rPr>
        <w:t>החשכ"ל</w:t>
      </w:r>
      <w:proofErr w:type="spellEnd"/>
      <w:r w:rsidRPr="009E6326">
        <w:rPr>
          <w:rFonts w:hint="cs"/>
          <w:rtl/>
        </w:rPr>
        <w:t xml:space="preserve"> בדבר מחיקת הרישום הכפול, יש חוסר אחידות באופן ניהול הרישום במשרדים השונים. נמצא שיש עדיין מקרים שבהם החוב רשום בדוחות הכספיים של רשות האכיפה והגבייה, אף על פי שהוא מופיע גם בדוחות הכספיים של המשרדים, כדוגמת משרד הכלכלה והתעשייה ומשרד הבינוי והשיכון</w:t>
      </w:r>
      <w:r w:rsidRPr="009E6326">
        <w:rPr>
          <w:rStyle w:val="ac"/>
          <w:rtl/>
        </w:rPr>
        <w:footnoteReference w:id="76"/>
      </w:r>
      <w:r w:rsidRPr="009E6326">
        <w:rPr>
          <w:rFonts w:hint="cs"/>
          <w:rtl/>
        </w:rPr>
        <w:t>.</w:t>
      </w:r>
    </w:p>
    <w:p w14:paraId="64E4E510" w14:textId="77777777" w:rsidR="007C4395" w:rsidRDefault="007C4395" w:rsidP="003B2683">
      <w:pPr>
        <w:pStyle w:val="71f4"/>
        <w:rPr>
          <w:rtl/>
        </w:rPr>
      </w:pPr>
      <w:r>
        <w:rPr>
          <w:rFonts w:hint="cs"/>
          <w:rtl/>
        </w:rPr>
        <w:t>ב</w:t>
      </w:r>
      <w:r w:rsidRPr="0082101C">
        <w:rPr>
          <w:rtl/>
        </w:rPr>
        <w:t>מועד סיום הביקורת אין בקרה על יישום ההנחיה</w:t>
      </w:r>
      <w:r>
        <w:rPr>
          <w:rFonts w:hint="cs"/>
          <w:rtl/>
        </w:rPr>
        <w:t>,</w:t>
      </w:r>
      <w:r w:rsidRPr="0082101C">
        <w:rPr>
          <w:rtl/>
        </w:rPr>
        <w:t xml:space="preserve"> </w:t>
      </w:r>
      <w:r>
        <w:rPr>
          <w:rFonts w:hint="cs"/>
          <w:rtl/>
        </w:rPr>
        <w:t>ועלולה להיווצר כפילות בהצגת נתוני החובות למדינה בדוח המאוחד.</w:t>
      </w:r>
    </w:p>
    <w:p w14:paraId="3C3475AC" w14:textId="77777777" w:rsidR="007C4395" w:rsidRPr="00F97ABC" w:rsidRDefault="007C4395" w:rsidP="002A738D">
      <w:pPr>
        <w:pStyle w:val="7190"/>
        <w:rPr>
          <w:rtl/>
        </w:rPr>
      </w:pPr>
      <w:r>
        <w:rPr>
          <w:rFonts w:hint="cs"/>
          <w:rtl/>
        </w:rPr>
        <w:t xml:space="preserve">אגף </w:t>
      </w:r>
      <w:proofErr w:type="spellStart"/>
      <w:r>
        <w:rPr>
          <w:rFonts w:hint="cs"/>
          <w:rtl/>
        </w:rPr>
        <w:t>החשכ"ל</w:t>
      </w:r>
      <w:proofErr w:type="spellEnd"/>
      <w:r>
        <w:rPr>
          <w:rFonts w:hint="cs"/>
          <w:rtl/>
        </w:rPr>
        <w:t xml:space="preserve"> ציין בתשובתו כי יישום ההנחיות הוא באחריות המשרדים, אולם כפי שצוין לעיל, בכוונת החשבונאית הראשית לבדוק את יישום ההנחיה.</w:t>
      </w:r>
    </w:p>
    <w:p w14:paraId="43931FAD" w14:textId="77777777" w:rsidR="007C4395" w:rsidRDefault="007C4395" w:rsidP="002A738D">
      <w:pPr>
        <w:pStyle w:val="7190"/>
        <w:rPr>
          <w:rtl/>
        </w:rPr>
      </w:pPr>
      <w:r>
        <w:rPr>
          <w:rFonts w:hint="cs"/>
          <w:rtl/>
        </w:rPr>
        <w:lastRenderedPageBreak/>
        <w:t xml:space="preserve">כמו כן </w:t>
      </w:r>
      <w:r w:rsidRPr="008C49FF">
        <w:rPr>
          <w:rFonts w:hint="cs"/>
          <w:rtl/>
        </w:rPr>
        <w:t xml:space="preserve">ציין </w:t>
      </w:r>
      <w:r>
        <w:rPr>
          <w:rFonts w:hint="cs"/>
          <w:rtl/>
        </w:rPr>
        <w:t xml:space="preserve">אגף </w:t>
      </w:r>
      <w:proofErr w:type="spellStart"/>
      <w:r>
        <w:rPr>
          <w:rFonts w:hint="cs"/>
          <w:rtl/>
        </w:rPr>
        <w:t>החשכ"ל</w:t>
      </w:r>
      <w:proofErr w:type="spellEnd"/>
      <w:r w:rsidRPr="008C49FF">
        <w:rPr>
          <w:rFonts w:hint="cs"/>
          <w:rtl/>
        </w:rPr>
        <w:t xml:space="preserve"> </w:t>
      </w:r>
      <w:r>
        <w:rPr>
          <w:rFonts w:hint="cs"/>
          <w:rtl/>
        </w:rPr>
        <w:t>כי ב</w:t>
      </w:r>
      <w:r w:rsidRPr="008C49FF">
        <w:rPr>
          <w:rFonts w:hint="cs"/>
          <w:rtl/>
        </w:rPr>
        <w:t>כוו</w:t>
      </w:r>
      <w:r>
        <w:rPr>
          <w:rFonts w:hint="cs"/>
          <w:rtl/>
        </w:rPr>
        <w:t>נתו</w:t>
      </w:r>
      <w:r w:rsidRPr="008C49FF">
        <w:rPr>
          <w:rFonts w:hint="cs"/>
          <w:rtl/>
        </w:rPr>
        <w:t xml:space="preserve"> לפרסם בקרוב </w:t>
      </w:r>
      <w:r w:rsidRPr="008C49FF">
        <w:rPr>
          <w:rtl/>
        </w:rPr>
        <w:t xml:space="preserve">הוראת </w:t>
      </w:r>
      <w:proofErr w:type="spellStart"/>
      <w:r w:rsidRPr="008C49FF">
        <w:rPr>
          <w:rtl/>
        </w:rPr>
        <w:t>תכ"ם</w:t>
      </w:r>
      <w:proofErr w:type="spellEnd"/>
      <w:r w:rsidRPr="008C49FF">
        <w:rPr>
          <w:rtl/>
        </w:rPr>
        <w:t xml:space="preserve"> </w:t>
      </w:r>
      <w:r w:rsidRPr="008C49FF">
        <w:rPr>
          <w:rFonts w:hint="cs"/>
          <w:rtl/>
        </w:rPr>
        <w:t xml:space="preserve">אשר </w:t>
      </w:r>
      <w:r>
        <w:rPr>
          <w:rFonts w:hint="cs"/>
          <w:rtl/>
        </w:rPr>
        <w:t>תביא להסדרה של</w:t>
      </w:r>
      <w:r w:rsidRPr="008C49FF">
        <w:rPr>
          <w:rtl/>
        </w:rPr>
        <w:t xml:space="preserve"> נושא הרישום </w:t>
      </w:r>
      <w:r>
        <w:rPr>
          <w:rFonts w:hint="cs"/>
          <w:rtl/>
        </w:rPr>
        <w:t>של ה</w:t>
      </w:r>
      <w:r w:rsidRPr="008C49FF">
        <w:rPr>
          <w:rtl/>
        </w:rPr>
        <w:t xml:space="preserve">חובות המועברים ממשרדי </w:t>
      </w:r>
      <w:r>
        <w:rPr>
          <w:rFonts w:hint="cs"/>
          <w:rtl/>
        </w:rPr>
        <w:t>ה</w:t>
      </w:r>
      <w:r w:rsidRPr="008C49FF">
        <w:rPr>
          <w:rtl/>
        </w:rPr>
        <w:t xml:space="preserve">ממשלה לטיפול </w:t>
      </w:r>
      <w:proofErr w:type="spellStart"/>
      <w:r w:rsidRPr="008C49FF">
        <w:rPr>
          <w:rFonts w:hint="cs"/>
          <w:rtl/>
        </w:rPr>
        <w:t>המג"ק</w:t>
      </w:r>
      <w:proofErr w:type="spellEnd"/>
      <w:r>
        <w:rPr>
          <w:rFonts w:hint="cs"/>
          <w:rtl/>
        </w:rPr>
        <w:t xml:space="preserve"> </w:t>
      </w:r>
      <w:r w:rsidRPr="008C49FF">
        <w:rPr>
          <w:rtl/>
        </w:rPr>
        <w:t>ו</w:t>
      </w:r>
      <w:r>
        <w:rPr>
          <w:rFonts w:hint="cs"/>
          <w:rtl/>
        </w:rPr>
        <w:t xml:space="preserve">של </w:t>
      </w:r>
      <w:r w:rsidRPr="008C49FF">
        <w:rPr>
          <w:rtl/>
        </w:rPr>
        <w:t>הטיפול</w:t>
      </w:r>
      <w:r>
        <w:rPr>
          <w:rFonts w:hint="cs"/>
          <w:rtl/>
        </w:rPr>
        <w:t xml:space="preserve"> בהם,</w:t>
      </w:r>
      <w:r w:rsidRPr="008C49FF">
        <w:rPr>
          <w:rtl/>
        </w:rPr>
        <w:t xml:space="preserve"> </w:t>
      </w:r>
      <w:r>
        <w:rPr>
          <w:rFonts w:hint="cs"/>
          <w:rtl/>
        </w:rPr>
        <w:t>וכי ב</w:t>
      </w:r>
      <w:r>
        <w:rPr>
          <w:rtl/>
        </w:rPr>
        <w:t xml:space="preserve">הוראת </w:t>
      </w:r>
      <w:proofErr w:type="spellStart"/>
      <w:r>
        <w:rPr>
          <w:rtl/>
        </w:rPr>
        <w:t>התכ"ם</w:t>
      </w:r>
      <w:proofErr w:type="spellEnd"/>
      <w:r>
        <w:rPr>
          <w:rtl/>
        </w:rPr>
        <w:t xml:space="preserve"> </w:t>
      </w:r>
      <w:r>
        <w:rPr>
          <w:rFonts w:hint="cs"/>
          <w:rtl/>
        </w:rPr>
        <w:t xml:space="preserve">ייקבע </w:t>
      </w:r>
      <w:r>
        <w:rPr>
          <w:rtl/>
        </w:rPr>
        <w:t xml:space="preserve">הליך </w:t>
      </w:r>
      <w:r>
        <w:rPr>
          <w:rFonts w:hint="cs"/>
          <w:rtl/>
        </w:rPr>
        <w:t>ש</w:t>
      </w:r>
      <w:r>
        <w:rPr>
          <w:rtl/>
        </w:rPr>
        <w:t xml:space="preserve">לפיו יירשמו </w:t>
      </w:r>
      <w:r>
        <w:rPr>
          <w:rFonts w:hint="cs"/>
          <w:rtl/>
        </w:rPr>
        <w:t xml:space="preserve">החייבים </w:t>
      </w:r>
      <w:r>
        <w:rPr>
          <w:rtl/>
        </w:rPr>
        <w:t xml:space="preserve">בדוחות הכספיים של המשרד הממשלתי שבו התהוו ולא יימחקו מהספרים גם במקרה של העברת החוב לטיפול </w:t>
      </w:r>
      <w:proofErr w:type="spellStart"/>
      <w:r>
        <w:rPr>
          <w:rFonts w:hint="cs"/>
          <w:rtl/>
        </w:rPr>
        <w:t>המג"ק</w:t>
      </w:r>
      <w:proofErr w:type="spellEnd"/>
      <w:r>
        <w:rPr>
          <w:rtl/>
        </w:rPr>
        <w:t>.</w:t>
      </w:r>
      <w:r>
        <w:rPr>
          <w:rFonts w:hint="cs"/>
          <w:rtl/>
        </w:rPr>
        <w:t xml:space="preserve"> אגף </w:t>
      </w:r>
      <w:proofErr w:type="spellStart"/>
      <w:r>
        <w:rPr>
          <w:rFonts w:hint="cs"/>
          <w:rtl/>
        </w:rPr>
        <w:t>החשכ"ל</w:t>
      </w:r>
      <w:proofErr w:type="spellEnd"/>
      <w:r w:rsidRPr="008C49FF">
        <w:rPr>
          <w:rFonts w:hint="cs"/>
          <w:rtl/>
        </w:rPr>
        <w:t xml:space="preserve"> </w:t>
      </w:r>
      <w:r>
        <w:rPr>
          <w:rFonts w:hint="cs"/>
          <w:rtl/>
        </w:rPr>
        <w:t xml:space="preserve">הוסיף כי </w:t>
      </w:r>
      <w:r>
        <w:rPr>
          <w:rtl/>
        </w:rPr>
        <w:t xml:space="preserve">לאחר </w:t>
      </w:r>
      <w:r>
        <w:rPr>
          <w:rFonts w:hint="cs"/>
          <w:rtl/>
        </w:rPr>
        <w:t xml:space="preserve">שייגבה </w:t>
      </w:r>
      <w:proofErr w:type="spellStart"/>
      <w:r>
        <w:rPr>
          <w:rFonts w:hint="cs"/>
          <w:rtl/>
        </w:rPr>
        <w:t>המג"ק</w:t>
      </w:r>
      <w:proofErr w:type="spellEnd"/>
      <w:r>
        <w:rPr>
          <w:rtl/>
        </w:rPr>
        <w:t xml:space="preserve"> את החוב</w:t>
      </w:r>
      <w:r>
        <w:rPr>
          <w:rFonts w:hint="cs"/>
          <w:rtl/>
        </w:rPr>
        <w:t>,</w:t>
      </w:r>
      <w:r>
        <w:rPr>
          <w:rtl/>
        </w:rPr>
        <w:t xml:space="preserve"> הוא יעביר את הסכומים למשרד </w:t>
      </w:r>
      <w:r>
        <w:rPr>
          <w:rFonts w:hint="cs"/>
          <w:rtl/>
        </w:rPr>
        <w:t>ה</w:t>
      </w:r>
      <w:r>
        <w:rPr>
          <w:rtl/>
        </w:rPr>
        <w:t>ממשלתי</w:t>
      </w:r>
      <w:r>
        <w:rPr>
          <w:rFonts w:hint="cs"/>
          <w:rtl/>
        </w:rPr>
        <w:t>,</w:t>
      </w:r>
      <w:r>
        <w:rPr>
          <w:rtl/>
        </w:rPr>
        <w:t xml:space="preserve"> </w:t>
      </w:r>
      <w:r>
        <w:rPr>
          <w:rFonts w:hint="cs"/>
          <w:rtl/>
        </w:rPr>
        <w:t xml:space="preserve">וזה </w:t>
      </w:r>
      <w:r>
        <w:rPr>
          <w:rtl/>
        </w:rPr>
        <w:t>יסגור את הח</w:t>
      </w:r>
      <w:r>
        <w:rPr>
          <w:rFonts w:hint="cs"/>
          <w:rtl/>
        </w:rPr>
        <w:t>ו</w:t>
      </w:r>
      <w:r>
        <w:rPr>
          <w:rtl/>
        </w:rPr>
        <w:t>ב בספריו.</w:t>
      </w:r>
    </w:p>
    <w:p w14:paraId="7E3301AA" w14:textId="77777777" w:rsidR="007C4395" w:rsidRDefault="007C4395" w:rsidP="002A738D">
      <w:pPr>
        <w:pStyle w:val="7190"/>
        <w:rPr>
          <w:rtl/>
        </w:rPr>
      </w:pPr>
      <w:r>
        <w:rPr>
          <w:rFonts w:hint="cs"/>
          <w:rtl/>
        </w:rPr>
        <w:t xml:space="preserve">בתשובת אגף </w:t>
      </w:r>
      <w:proofErr w:type="spellStart"/>
      <w:r>
        <w:rPr>
          <w:rFonts w:hint="cs"/>
          <w:rtl/>
        </w:rPr>
        <w:t>החשכ"ל</w:t>
      </w:r>
      <w:proofErr w:type="spellEnd"/>
      <w:r>
        <w:rPr>
          <w:rFonts w:hint="cs"/>
          <w:rtl/>
        </w:rPr>
        <w:t xml:space="preserve"> צוין כי "</w:t>
      </w:r>
      <w:r w:rsidRPr="00F97ABC">
        <w:rPr>
          <w:rtl/>
        </w:rPr>
        <w:t xml:space="preserve">הוראת </w:t>
      </w:r>
      <w:proofErr w:type="spellStart"/>
      <w:r w:rsidRPr="00F97ABC">
        <w:rPr>
          <w:rtl/>
        </w:rPr>
        <w:t>התכ״ם</w:t>
      </w:r>
      <w:proofErr w:type="spellEnd"/>
      <w:r w:rsidRPr="00F97ABC">
        <w:rPr>
          <w:rtl/>
        </w:rPr>
        <w:t xml:space="preserve"> עדיין נמצאת בבחינה וטרם אושרה לפרסום ע״י הגורמים המוסמכים</w:t>
      </w:r>
      <w:r>
        <w:rPr>
          <w:rFonts w:hint="cs"/>
          <w:rtl/>
        </w:rPr>
        <w:t>"</w:t>
      </w:r>
      <w:r w:rsidRPr="00F97ABC">
        <w:rPr>
          <w:rtl/>
        </w:rPr>
        <w:t>.</w:t>
      </w:r>
    </w:p>
    <w:p w14:paraId="05D3E473" w14:textId="77777777" w:rsidR="007C4395" w:rsidRDefault="007C4395" w:rsidP="002A738D">
      <w:pPr>
        <w:pStyle w:val="7190"/>
        <w:rPr>
          <w:rtl/>
        </w:rPr>
      </w:pPr>
      <w:r>
        <w:rPr>
          <w:rFonts w:hint="cs"/>
          <w:rtl/>
        </w:rPr>
        <w:t xml:space="preserve">בתשובת משרד הכלכלה והתעשייה מדצמבר 2021 (להלן - תשובת משרד הכלכלה והתעשייה), צוין כי </w:t>
      </w:r>
      <w:r>
        <w:rPr>
          <w:rtl/>
        </w:rPr>
        <w:t>החשבונאי הראשי של</w:t>
      </w:r>
      <w:r>
        <w:rPr>
          <w:rFonts w:hint="cs"/>
          <w:rtl/>
        </w:rPr>
        <w:t xml:space="preserve"> </w:t>
      </w:r>
      <w:r>
        <w:rPr>
          <w:rtl/>
        </w:rPr>
        <w:t xml:space="preserve">המשרד </w:t>
      </w:r>
      <w:r>
        <w:rPr>
          <w:rFonts w:hint="cs"/>
          <w:rtl/>
        </w:rPr>
        <w:t>מטפל ב</w:t>
      </w:r>
      <w:r>
        <w:rPr>
          <w:rtl/>
        </w:rPr>
        <w:t xml:space="preserve">נושא החשבונאי מול רשות האכיפה והגבייה ואגף </w:t>
      </w:r>
      <w:proofErr w:type="spellStart"/>
      <w:r>
        <w:rPr>
          <w:rtl/>
        </w:rPr>
        <w:t>החשכ"ל</w:t>
      </w:r>
      <w:proofErr w:type="spellEnd"/>
      <w:r>
        <w:rPr>
          <w:rtl/>
        </w:rPr>
        <w:t>.</w:t>
      </w:r>
    </w:p>
    <w:p w14:paraId="2CEFD5D6" w14:textId="77777777" w:rsidR="007C4395" w:rsidRDefault="007C4395" w:rsidP="002A738D">
      <w:pPr>
        <w:pStyle w:val="7190"/>
        <w:rPr>
          <w:rtl/>
        </w:rPr>
      </w:pPr>
      <w:r>
        <w:rPr>
          <w:rFonts w:hint="cs"/>
          <w:rtl/>
        </w:rPr>
        <w:t>בתשובת משרד הבינוי והשיכון מדצמבר 2021 (להלן - תשובת משרד הבינוי והשיכון), צוין כי אין באפשרותו של המשרד למחוק את החובות מספריו, מכיוון שהחובות אינם מנוהלים בספרי המשרד באופן שוטף, אלא בחברות המשכנות. משרד הבינוי והשיכון הוסיף כי הוא מעדכן את יתרת החוב בסוף השנה בהתאם לנתונים מהחברות המשכנות.</w:t>
      </w:r>
    </w:p>
    <w:p w14:paraId="07EB4637" w14:textId="77777777" w:rsidR="007C4395" w:rsidRPr="00711BB5" w:rsidRDefault="007C4395" w:rsidP="002A738D">
      <w:pPr>
        <w:pStyle w:val="7190"/>
        <w:rPr>
          <w:rtl/>
        </w:rPr>
      </w:pPr>
      <w:r>
        <w:rPr>
          <w:rFonts w:hint="cs"/>
          <w:rtl/>
        </w:rPr>
        <w:t xml:space="preserve">בתשובת משרד </w:t>
      </w:r>
      <w:proofErr w:type="spellStart"/>
      <w:r>
        <w:rPr>
          <w:rFonts w:hint="cs"/>
          <w:rtl/>
        </w:rPr>
        <w:t>האנרגייה</w:t>
      </w:r>
      <w:proofErr w:type="spellEnd"/>
      <w:r>
        <w:rPr>
          <w:rFonts w:hint="cs"/>
          <w:rtl/>
        </w:rPr>
        <w:t xml:space="preserve"> מדצמבר 2021 (להלן - תשובת משרד </w:t>
      </w:r>
      <w:proofErr w:type="spellStart"/>
      <w:r>
        <w:rPr>
          <w:rFonts w:hint="cs"/>
          <w:rtl/>
        </w:rPr>
        <w:t>האנרגייה</w:t>
      </w:r>
      <w:proofErr w:type="spellEnd"/>
      <w:r>
        <w:rPr>
          <w:rFonts w:hint="cs"/>
          <w:rtl/>
        </w:rPr>
        <w:t xml:space="preserve">), צוין כי המשרד מקבל מדי שנה בשנה מידע בדבר סכום החובות הכולל שגבה </w:t>
      </w:r>
      <w:proofErr w:type="spellStart"/>
      <w:r>
        <w:rPr>
          <w:rFonts w:hint="cs"/>
          <w:rtl/>
        </w:rPr>
        <w:t>המג"ק</w:t>
      </w:r>
      <w:proofErr w:type="spellEnd"/>
      <w:r>
        <w:rPr>
          <w:rFonts w:hint="cs"/>
          <w:rtl/>
        </w:rPr>
        <w:t>, אולם לא מועבר פירוט החייבים שמהם נגבו החובות. מכיוון שאין יכולת לזהות את החייבים שמהם נגבו החובות, לא ניתן למחוק את יתרת החייבים.</w:t>
      </w:r>
      <w:r w:rsidRPr="00DE1108">
        <w:rPr>
          <w:rFonts w:hint="cs"/>
          <w:rtl/>
        </w:rPr>
        <w:t xml:space="preserve"> </w:t>
      </w:r>
      <w:r>
        <w:rPr>
          <w:rFonts w:hint="cs"/>
          <w:rtl/>
        </w:rPr>
        <w:t xml:space="preserve">משרד </w:t>
      </w:r>
      <w:proofErr w:type="spellStart"/>
      <w:r>
        <w:rPr>
          <w:rFonts w:hint="cs"/>
          <w:rtl/>
        </w:rPr>
        <w:t>האנרגייה</w:t>
      </w:r>
      <w:proofErr w:type="spellEnd"/>
      <w:r>
        <w:rPr>
          <w:rFonts w:hint="cs"/>
          <w:rtl/>
        </w:rPr>
        <w:t xml:space="preserve"> הוסיף כי הנושא מטופל מול </w:t>
      </w:r>
      <w:proofErr w:type="spellStart"/>
      <w:r>
        <w:rPr>
          <w:rFonts w:hint="cs"/>
          <w:rtl/>
        </w:rPr>
        <w:t>החשכ"ל</w:t>
      </w:r>
      <w:proofErr w:type="spellEnd"/>
      <w:r>
        <w:rPr>
          <w:rFonts w:hint="cs"/>
          <w:rtl/>
        </w:rPr>
        <w:t xml:space="preserve">, וכי </w:t>
      </w:r>
      <w:proofErr w:type="spellStart"/>
      <w:r>
        <w:rPr>
          <w:rFonts w:hint="cs"/>
          <w:rtl/>
        </w:rPr>
        <w:t>החשכ"ל</w:t>
      </w:r>
      <w:proofErr w:type="spellEnd"/>
      <w:r>
        <w:rPr>
          <w:rFonts w:hint="cs"/>
          <w:rtl/>
        </w:rPr>
        <w:t xml:space="preserve"> שמע את עמדת המשרד בנושא זה </w:t>
      </w:r>
      <w:r w:rsidRPr="00B21943">
        <w:rPr>
          <w:rFonts w:hint="eastAsia"/>
          <w:rtl/>
        </w:rPr>
        <w:t>וצפוי</w:t>
      </w:r>
      <w:r w:rsidRPr="00B21943">
        <w:rPr>
          <w:rtl/>
        </w:rPr>
        <w:t xml:space="preserve"> </w:t>
      </w:r>
      <w:r w:rsidRPr="00B21943">
        <w:rPr>
          <w:rFonts w:hint="eastAsia"/>
          <w:rtl/>
        </w:rPr>
        <w:t>ל</w:t>
      </w:r>
      <w:r>
        <w:rPr>
          <w:rFonts w:hint="cs"/>
          <w:rtl/>
        </w:rPr>
        <w:t>פרסם</w:t>
      </w:r>
      <w:r>
        <w:rPr>
          <w:rtl/>
        </w:rPr>
        <w:t xml:space="preserve"> </w:t>
      </w:r>
      <w:r>
        <w:rPr>
          <w:rFonts w:hint="cs"/>
          <w:rtl/>
        </w:rPr>
        <w:t xml:space="preserve">הוראת </w:t>
      </w:r>
      <w:proofErr w:type="spellStart"/>
      <w:r>
        <w:rPr>
          <w:rFonts w:hint="cs"/>
          <w:rtl/>
        </w:rPr>
        <w:t>תכ"ם</w:t>
      </w:r>
      <w:proofErr w:type="spellEnd"/>
      <w:r>
        <w:rPr>
          <w:rFonts w:hint="cs"/>
          <w:rtl/>
        </w:rPr>
        <w:t xml:space="preserve"> אשר תסדיר את הנושא.</w:t>
      </w:r>
    </w:p>
    <w:p w14:paraId="67F16CCB" w14:textId="77777777" w:rsidR="007C4395" w:rsidRPr="00816FC9" w:rsidRDefault="007C4395" w:rsidP="003B2683">
      <w:pPr>
        <w:pStyle w:val="71f4"/>
        <w:rPr>
          <w:rtl/>
        </w:rPr>
      </w:pPr>
      <w:r w:rsidRPr="00175AB2">
        <w:rPr>
          <w:rtl/>
        </w:rPr>
        <w:t xml:space="preserve">על אגף </w:t>
      </w:r>
      <w:proofErr w:type="spellStart"/>
      <w:r w:rsidRPr="00175AB2">
        <w:rPr>
          <w:rtl/>
        </w:rPr>
        <w:t>החשכ"ל</w:t>
      </w:r>
      <w:proofErr w:type="spellEnd"/>
      <w:r>
        <w:rPr>
          <w:rFonts w:hint="cs"/>
          <w:rtl/>
        </w:rPr>
        <w:t xml:space="preserve"> </w:t>
      </w:r>
      <w:r w:rsidRPr="00175AB2">
        <w:rPr>
          <w:rtl/>
        </w:rPr>
        <w:t>להסדיר נושא חשבונאי זה</w:t>
      </w:r>
      <w:r>
        <w:rPr>
          <w:rFonts w:hint="cs"/>
          <w:rtl/>
        </w:rPr>
        <w:t xml:space="preserve"> ישירות מול המשרדים השונים, כדי שאלו יוכלו ליישם כיאות את ההנחיה, ובכלל זה לפרסם הוראת </w:t>
      </w:r>
      <w:proofErr w:type="spellStart"/>
      <w:r>
        <w:rPr>
          <w:rFonts w:hint="cs"/>
          <w:rtl/>
        </w:rPr>
        <w:t>תכ"ם</w:t>
      </w:r>
      <w:proofErr w:type="spellEnd"/>
      <w:r>
        <w:rPr>
          <w:rFonts w:hint="cs"/>
          <w:rtl/>
        </w:rPr>
        <w:t xml:space="preserve"> רלוונטית. זאת</w:t>
      </w:r>
      <w:r w:rsidRPr="00175AB2">
        <w:rPr>
          <w:rtl/>
        </w:rPr>
        <w:t xml:space="preserve"> כדי למנוע </w:t>
      </w:r>
      <w:r>
        <w:rPr>
          <w:rFonts w:hint="cs"/>
          <w:rtl/>
        </w:rPr>
        <w:t>אפשרות ל</w:t>
      </w:r>
      <w:r w:rsidRPr="00175AB2">
        <w:rPr>
          <w:rtl/>
        </w:rPr>
        <w:t>הצגה כפולה של חובות למדינה ב</w:t>
      </w:r>
      <w:r>
        <w:rPr>
          <w:rtl/>
        </w:rPr>
        <w:t>דוחות</w:t>
      </w:r>
      <w:r w:rsidRPr="00175AB2">
        <w:rPr>
          <w:rtl/>
        </w:rPr>
        <w:t xml:space="preserve"> הכספיים המאוחדים.</w:t>
      </w:r>
    </w:p>
    <w:p w14:paraId="33E78628" w14:textId="77777777" w:rsidR="007C4395" w:rsidRPr="00E12F7E" w:rsidRDefault="007C4395" w:rsidP="006F4D0D">
      <w:pPr>
        <w:pStyle w:val="71512"/>
        <w:rPr>
          <w:rtl/>
        </w:rPr>
      </w:pPr>
      <w:r>
        <w:rPr>
          <w:rFonts w:hint="cs"/>
          <w:rtl/>
        </w:rPr>
        <w:t>אופן ההיזון החוזר מרשות האכיפה והגבייה למשרדי הממשלה השונים</w:t>
      </w:r>
    </w:p>
    <w:p w14:paraId="54128146" w14:textId="77777777" w:rsidR="007C4395" w:rsidRDefault="007C4395" w:rsidP="002A738D">
      <w:pPr>
        <w:pStyle w:val="7190"/>
        <w:rPr>
          <w:rtl/>
        </w:rPr>
      </w:pPr>
      <w:r>
        <w:rPr>
          <w:rFonts w:hint="cs"/>
          <w:rtl/>
        </w:rPr>
        <w:t xml:space="preserve">חוב שהועבר לטיפול </w:t>
      </w:r>
      <w:proofErr w:type="spellStart"/>
      <w:r>
        <w:rPr>
          <w:rFonts w:hint="cs"/>
          <w:rtl/>
        </w:rPr>
        <w:t>המנ"ג</w:t>
      </w:r>
      <w:proofErr w:type="spellEnd"/>
      <w:r>
        <w:rPr>
          <w:rFonts w:hint="cs"/>
          <w:rtl/>
        </w:rPr>
        <w:t xml:space="preserve"> או </w:t>
      </w:r>
      <w:proofErr w:type="spellStart"/>
      <w:r>
        <w:rPr>
          <w:rFonts w:hint="cs"/>
          <w:rtl/>
        </w:rPr>
        <w:t>המג"ק</w:t>
      </w:r>
      <w:proofErr w:type="spellEnd"/>
      <w:r>
        <w:rPr>
          <w:rFonts w:hint="cs"/>
          <w:rtl/>
        </w:rPr>
        <w:t xml:space="preserve"> יכול להיסגר מכמה סיבות, בהן גבייה של החוב, הקטנה של הקרן ואי-יכולת גבייה.</w:t>
      </w:r>
    </w:p>
    <w:p w14:paraId="64F644FA" w14:textId="77777777" w:rsidR="007C4395" w:rsidRDefault="007C4395" w:rsidP="002A738D">
      <w:pPr>
        <w:pStyle w:val="7190"/>
        <w:rPr>
          <w:rtl/>
        </w:rPr>
      </w:pPr>
      <w:r>
        <w:rPr>
          <w:rFonts w:hint="cs"/>
          <w:rtl/>
        </w:rPr>
        <w:t xml:space="preserve">בהתאם להוראת </w:t>
      </w:r>
      <w:proofErr w:type="spellStart"/>
      <w:r>
        <w:rPr>
          <w:rFonts w:hint="cs"/>
          <w:rtl/>
        </w:rPr>
        <w:t>התכ"ם</w:t>
      </w:r>
      <w:proofErr w:type="spellEnd"/>
      <w:r>
        <w:rPr>
          <w:rFonts w:hint="cs"/>
          <w:rtl/>
        </w:rPr>
        <w:t xml:space="preserve"> בתחום הגבייה, חשב רשות האכיפה והגבייה נדרש להעביר למשרדים דיווח רבעוני. הדיווח כולל את סטטוס חובות המשרד שנמצאים בטיפול ואת החובות שגבתה הרשות.</w:t>
      </w:r>
    </w:p>
    <w:p w14:paraId="56C10FE6" w14:textId="77777777" w:rsidR="007C4395" w:rsidRDefault="007C4395" w:rsidP="002A738D">
      <w:pPr>
        <w:pStyle w:val="7190"/>
        <w:rPr>
          <w:rtl/>
        </w:rPr>
      </w:pPr>
      <w:r>
        <w:rPr>
          <w:rFonts w:hint="cs"/>
          <w:rtl/>
        </w:rPr>
        <w:t>נמצא שההיזון החוזר של המידע שמועבר מהרשות למשרדים מתבצע באמצעות שתי מערכות:</w:t>
      </w:r>
    </w:p>
    <w:p w14:paraId="478BC5AB" w14:textId="77777777" w:rsidR="007C4395" w:rsidRPr="003B2683" w:rsidRDefault="007C4395" w:rsidP="0038598B">
      <w:pPr>
        <w:pStyle w:val="714"/>
        <w:numPr>
          <w:ilvl w:val="0"/>
          <w:numId w:val="28"/>
        </w:numPr>
      </w:pPr>
      <w:r w:rsidRPr="00882841">
        <w:rPr>
          <w:rStyle w:val="717Char0"/>
          <w:rFonts w:hint="cs"/>
          <w:rtl/>
        </w:rPr>
        <w:t>מערכת "בינה"</w:t>
      </w:r>
      <w:r w:rsidRPr="003B2683">
        <w:rPr>
          <w:rFonts w:hint="cs"/>
          <w:rtl/>
        </w:rPr>
        <w:t xml:space="preserve"> </w:t>
      </w:r>
      <w:r w:rsidRPr="00882841">
        <w:rPr>
          <w:rFonts w:hint="cs"/>
          <w:b/>
          <w:bCs/>
          <w:rtl/>
        </w:rPr>
        <w:t>-</w:t>
      </w:r>
      <w:r w:rsidRPr="003B2683">
        <w:rPr>
          <w:rFonts w:hint="cs"/>
          <w:rtl/>
        </w:rPr>
        <w:t xml:space="preserve"> מערכת פנימית של הרשות, המציגה את ריכוז הנתונים של גוף מסוים. הנתונים המוצגים הם נתונים סטטיסטיים, לרבות תיקים שנפתחו בתקופה, תיקים שנסגרו </w:t>
      </w:r>
      <w:r w:rsidRPr="003B2683">
        <w:rPr>
          <w:rFonts w:hint="cs"/>
          <w:rtl/>
        </w:rPr>
        <w:lastRenderedPageBreak/>
        <w:t>בתקופה וסכומים שהועברו. המערכת</w:t>
      </w:r>
      <w:r w:rsidRPr="003B2683">
        <w:rPr>
          <w:rtl/>
        </w:rPr>
        <w:t xml:space="preserve"> שואבת את הנתונים שמוצגים בה מתוך מערכת</w:t>
      </w:r>
      <w:r w:rsidRPr="003B2683">
        <w:rPr>
          <w:rFonts w:hint="cs"/>
          <w:rtl/>
        </w:rPr>
        <w:t xml:space="preserve"> אחרת בשם</w:t>
      </w:r>
      <w:r w:rsidRPr="003B2683">
        <w:rPr>
          <w:rtl/>
        </w:rPr>
        <w:t xml:space="preserve"> </w:t>
      </w:r>
      <w:r w:rsidRPr="003B2683">
        <w:rPr>
          <w:rFonts w:hint="cs"/>
          <w:rtl/>
        </w:rPr>
        <w:t>"</w:t>
      </w:r>
      <w:r w:rsidRPr="003B2683">
        <w:rPr>
          <w:rtl/>
        </w:rPr>
        <w:t>אבן בוחן</w:t>
      </w:r>
      <w:r w:rsidRPr="003B2683">
        <w:rPr>
          <w:rFonts w:hint="cs"/>
          <w:rtl/>
        </w:rPr>
        <w:t>"</w:t>
      </w:r>
      <w:r w:rsidRPr="003B2683">
        <w:rPr>
          <w:rStyle w:val="ac"/>
          <w:rtl/>
        </w:rPr>
        <w:footnoteReference w:id="77"/>
      </w:r>
      <w:r w:rsidRPr="003B2683">
        <w:rPr>
          <w:rtl/>
        </w:rPr>
        <w:t>.</w:t>
      </w:r>
    </w:p>
    <w:p w14:paraId="582B062A" w14:textId="77777777" w:rsidR="007C4395" w:rsidRPr="003B2683" w:rsidRDefault="007C4395" w:rsidP="0038598B">
      <w:pPr>
        <w:pStyle w:val="714"/>
        <w:numPr>
          <w:ilvl w:val="0"/>
          <w:numId w:val="28"/>
        </w:numPr>
        <w:rPr>
          <w:rtl/>
        </w:rPr>
      </w:pPr>
      <w:r w:rsidRPr="00882841">
        <w:rPr>
          <w:rStyle w:val="717Char0"/>
          <w:rFonts w:hint="cs"/>
          <w:rtl/>
        </w:rPr>
        <w:t>מערכת אבן ראשה</w:t>
      </w:r>
      <w:r w:rsidRPr="00882841">
        <w:rPr>
          <w:rFonts w:hint="cs"/>
          <w:b/>
          <w:bCs/>
          <w:rtl/>
        </w:rPr>
        <w:t xml:space="preserve"> -</w:t>
      </w:r>
      <w:r w:rsidRPr="003B2683">
        <w:rPr>
          <w:rFonts w:hint="cs"/>
          <w:rtl/>
        </w:rPr>
        <w:t xml:space="preserve"> מערכת המאפשרת לצפות בדוחות, לעיין בסטטוס התיק, לעדכן גבייה ועוד. כ</w:t>
      </w:r>
      <w:r w:rsidRPr="003B2683">
        <w:rPr>
          <w:rtl/>
        </w:rPr>
        <w:t xml:space="preserve">יום </w:t>
      </w:r>
      <w:r w:rsidRPr="003B2683">
        <w:rPr>
          <w:rFonts w:hint="cs"/>
          <w:rtl/>
        </w:rPr>
        <w:t>מחוברים ל</w:t>
      </w:r>
      <w:r w:rsidRPr="003B2683">
        <w:rPr>
          <w:rtl/>
        </w:rPr>
        <w:t xml:space="preserve">מערכת </w:t>
      </w:r>
      <w:r w:rsidRPr="003B2683">
        <w:rPr>
          <w:rFonts w:hint="cs"/>
          <w:rtl/>
        </w:rPr>
        <w:t>כ-15</w:t>
      </w:r>
      <w:r w:rsidRPr="003B2683">
        <w:rPr>
          <w:rtl/>
        </w:rPr>
        <w:t xml:space="preserve"> </w:t>
      </w:r>
      <w:r w:rsidRPr="003B2683">
        <w:rPr>
          <w:rFonts w:hint="cs"/>
          <w:rtl/>
        </w:rPr>
        <w:t xml:space="preserve">גופים </w:t>
      </w:r>
      <w:r w:rsidRPr="003B2683">
        <w:rPr>
          <w:rtl/>
        </w:rPr>
        <w:t>ממשל</w:t>
      </w:r>
      <w:r w:rsidRPr="003B2683">
        <w:rPr>
          <w:rFonts w:hint="cs"/>
          <w:rtl/>
        </w:rPr>
        <w:t>תיים</w:t>
      </w:r>
      <w:r w:rsidRPr="003B2683">
        <w:rPr>
          <w:rStyle w:val="ac"/>
          <w:rtl/>
        </w:rPr>
        <w:footnoteReference w:id="78"/>
      </w:r>
      <w:r w:rsidRPr="003B2683">
        <w:rPr>
          <w:rtl/>
        </w:rPr>
        <w:t>.</w:t>
      </w:r>
    </w:p>
    <w:p w14:paraId="05985952" w14:textId="77777777" w:rsidR="007C4395" w:rsidRDefault="007C4395" w:rsidP="003B2683">
      <w:pPr>
        <w:pStyle w:val="71f4"/>
        <w:rPr>
          <w:rtl/>
        </w:rPr>
      </w:pPr>
      <w:r w:rsidRPr="00D50421">
        <w:rPr>
          <w:rFonts w:hint="cs"/>
          <w:rtl/>
        </w:rPr>
        <w:t xml:space="preserve">על </w:t>
      </w:r>
      <w:r>
        <w:rPr>
          <w:rFonts w:hint="cs"/>
          <w:rtl/>
        </w:rPr>
        <w:t xml:space="preserve">פי </w:t>
      </w:r>
      <w:r w:rsidRPr="00D50421">
        <w:rPr>
          <w:rFonts w:hint="cs"/>
          <w:rtl/>
        </w:rPr>
        <w:t xml:space="preserve">הוראת </w:t>
      </w:r>
      <w:proofErr w:type="spellStart"/>
      <w:r w:rsidRPr="00D50421">
        <w:rPr>
          <w:rFonts w:hint="cs"/>
          <w:rtl/>
        </w:rPr>
        <w:t>התכ"ם</w:t>
      </w:r>
      <w:proofErr w:type="spellEnd"/>
      <w:r>
        <w:rPr>
          <w:rFonts w:hint="cs"/>
          <w:rtl/>
        </w:rPr>
        <w:t>,</w:t>
      </w:r>
      <w:r w:rsidRPr="00D50421">
        <w:rPr>
          <w:rFonts w:hint="cs"/>
          <w:rtl/>
        </w:rPr>
        <w:t xml:space="preserve"> על רשות האכיפה והגבייה לשלוח דיווח רבעוני</w:t>
      </w:r>
      <w:r>
        <w:rPr>
          <w:rFonts w:hint="cs"/>
          <w:rtl/>
        </w:rPr>
        <w:t xml:space="preserve"> למשרדים בדבר מצב הטיפול בחובותיהם.</w:t>
      </w:r>
      <w:r w:rsidRPr="00D50421">
        <w:rPr>
          <w:rFonts w:hint="cs"/>
          <w:rtl/>
        </w:rPr>
        <w:t xml:space="preserve"> </w:t>
      </w:r>
      <w:r>
        <w:rPr>
          <w:rFonts w:hint="cs"/>
          <w:rtl/>
        </w:rPr>
        <w:t>ב</w:t>
      </w:r>
      <w:r w:rsidRPr="00D50421">
        <w:rPr>
          <w:rFonts w:hint="cs"/>
          <w:rtl/>
        </w:rPr>
        <w:t>בדיקה שע</w:t>
      </w:r>
      <w:r>
        <w:rPr>
          <w:rFonts w:hint="cs"/>
          <w:rtl/>
        </w:rPr>
        <w:t>שה</w:t>
      </w:r>
      <w:r w:rsidRPr="00D50421">
        <w:rPr>
          <w:rFonts w:hint="cs"/>
          <w:rtl/>
        </w:rPr>
        <w:t xml:space="preserve"> משרד מבקר המדינה נמצא </w:t>
      </w:r>
      <w:r>
        <w:rPr>
          <w:rFonts w:hint="cs"/>
          <w:rtl/>
        </w:rPr>
        <w:t>כי</w:t>
      </w:r>
      <w:r w:rsidRPr="00D50421">
        <w:rPr>
          <w:rFonts w:hint="cs"/>
          <w:rtl/>
        </w:rPr>
        <w:t xml:space="preserve"> </w:t>
      </w:r>
      <w:r>
        <w:rPr>
          <w:rFonts w:hint="cs"/>
          <w:rtl/>
        </w:rPr>
        <w:t>שלושה מ-14</w:t>
      </w:r>
      <w:r w:rsidRPr="00D50421">
        <w:rPr>
          <w:rFonts w:hint="cs"/>
          <w:rtl/>
        </w:rPr>
        <w:t xml:space="preserve"> משרדי </w:t>
      </w:r>
      <w:r>
        <w:rPr>
          <w:rFonts w:hint="cs"/>
          <w:rtl/>
        </w:rPr>
        <w:t>ה</w:t>
      </w:r>
      <w:r w:rsidRPr="00D50421">
        <w:rPr>
          <w:rFonts w:hint="cs"/>
          <w:rtl/>
        </w:rPr>
        <w:t xml:space="preserve">ממשלה </w:t>
      </w:r>
      <w:r>
        <w:rPr>
          <w:rFonts w:hint="cs"/>
          <w:rtl/>
        </w:rPr>
        <w:t xml:space="preserve">שנבדקו אשר </w:t>
      </w:r>
      <w:r w:rsidRPr="00D50421">
        <w:rPr>
          <w:rFonts w:hint="cs"/>
          <w:rtl/>
        </w:rPr>
        <w:t xml:space="preserve">מעבירים חובות לרשות </w:t>
      </w:r>
      <w:r>
        <w:rPr>
          <w:rFonts w:hint="cs"/>
          <w:rtl/>
        </w:rPr>
        <w:t xml:space="preserve">אינם מקבלים </w:t>
      </w:r>
      <w:r w:rsidRPr="00D50421">
        <w:rPr>
          <w:rFonts w:hint="cs"/>
          <w:rtl/>
        </w:rPr>
        <w:t>היזון חוזר לגבי אופן הטיפול בחובות</w:t>
      </w:r>
      <w:r>
        <w:rPr>
          <w:rFonts w:hint="cs"/>
          <w:rtl/>
        </w:rPr>
        <w:t xml:space="preserve"> אלו</w:t>
      </w:r>
      <w:r w:rsidRPr="00D50421">
        <w:rPr>
          <w:rFonts w:hint="cs"/>
          <w:rtl/>
        </w:rPr>
        <w:t xml:space="preserve">. </w:t>
      </w:r>
      <w:r>
        <w:rPr>
          <w:rFonts w:hint="cs"/>
          <w:rtl/>
        </w:rPr>
        <w:t xml:space="preserve">נוסף על כך, שישה </w:t>
      </w:r>
      <w:r w:rsidRPr="00522B58">
        <w:rPr>
          <w:rFonts w:hint="cs"/>
          <w:rtl/>
        </w:rPr>
        <w:t>משרדים ש</w:t>
      </w:r>
      <w:r>
        <w:rPr>
          <w:rFonts w:hint="cs"/>
          <w:rtl/>
        </w:rPr>
        <w:t xml:space="preserve">הרשות מפיקה עבורם דוחות </w:t>
      </w:r>
      <w:r w:rsidRPr="00522B58">
        <w:rPr>
          <w:rFonts w:hint="cs"/>
          <w:rtl/>
        </w:rPr>
        <w:t xml:space="preserve">ממערכת </w:t>
      </w:r>
      <w:r>
        <w:rPr>
          <w:rFonts w:hint="cs"/>
          <w:rtl/>
        </w:rPr>
        <w:t>"</w:t>
      </w:r>
      <w:r w:rsidRPr="00522B58">
        <w:rPr>
          <w:rFonts w:hint="cs"/>
          <w:rtl/>
        </w:rPr>
        <w:t>בינה</w:t>
      </w:r>
      <w:r>
        <w:rPr>
          <w:rFonts w:hint="cs"/>
          <w:rtl/>
        </w:rPr>
        <w:t>"</w:t>
      </w:r>
      <w:r w:rsidRPr="00522B58">
        <w:rPr>
          <w:rFonts w:hint="cs"/>
          <w:rtl/>
        </w:rPr>
        <w:t xml:space="preserve"> </w:t>
      </w:r>
      <w:r>
        <w:rPr>
          <w:rFonts w:hint="cs"/>
          <w:rtl/>
        </w:rPr>
        <w:t>ציינו</w:t>
      </w:r>
      <w:r w:rsidRPr="00522B58">
        <w:rPr>
          <w:rFonts w:hint="cs"/>
          <w:rtl/>
        </w:rPr>
        <w:t xml:space="preserve"> שהנתונים </w:t>
      </w:r>
      <w:r>
        <w:rPr>
          <w:rFonts w:hint="cs"/>
          <w:rtl/>
        </w:rPr>
        <w:t>ה</w:t>
      </w:r>
      <w:r w:rsidRPr="00522B58">
        <w:rPr>
          <w:rFonts w:hint="cs"/>
          <w:rtl/>
        </w:rPr>
        <w:t xml:space="preserve">מועברים </w:t>
      </w:r>
      <w:r>
        <w:rPr>
          <w:rFonts w:hint="cs"/>
          <w:rtl/>
        </w:rPr>
        <w:t xml:space="preserve">אליהם </w:t>
      </w:r>
      <w:r w:rsidRPr="00522B58">
        <w:rPr>
          <w:rFonts w:hint="cs"/>
          <w:rtl/>
        </w:rPr>
        <w:t xml:space="preserve">הם סטטיסטיים </w:t>
      </w:r>
      <w:r>
        <w:rPr>
          <w:rFonts w:hint="cs"/>
          <w:rtl/>
        </w:rPr>
        <w:t xml:space="preserve">בלבד </w:t>
      </w:r>
      <w:r w:rsidRPr="00522B58">
        <w:rPr>
          <w:rFonts w:hint="cs"/>
          <w:rtl/>
        </w:rPr>
        <w:t>ואינם מאפשרים לק</w:t>
      </w:r>
      <w:r>
        <w:rPr>
          <w:rFonts w:hint="cs"/>
          <w:rtl/>
        </w:rPr>
        <w:t xml:space="preserve">בל מידע מסודר לגבי כל חוב וחוב, </w:t>
      </w:r>
      <w:r w:rsidRPr="00522B58">
        <w:rPr>
          <w:rFonts w:hint="cs"/>
          <w:rtl/>
        </w:rPr>
        <w:t>ואם הוא טופל או לא.</w:t>
      </w:r>
    </w:p>
    <w:p w14:paraId="40A74D05" w14:textId="77777777" w:rsidR="007C4395" w:rsidRPr="00557AB3" w:rsidRDefault="007C4395" w:rsidP="002A738D">
      <w:pPr>
        <w:pStyle w:val="7190"/>
        <w:rPr>
          <w:rtl/>
        </w:rPr>
      </w:pPr>
      <w:r>
        <w:rPr>
          <w:rFonts w:hint="cs"/>
          <w:rtl/>
        </w:rPr>
        <w:t xml:space="preserve">בתשובת רשות האכיפה והגבייה צוין כי אגף </w:t>
      </w:r>
      <w:proofErr w:type="spellStart"/>
      <w:r>
        <w:rPr>
          <w:rFonts w:hint="cs"/>
          <w:rtl/>
        </w:rPr>
        <w:t>החשבות</w:t>
      </w:r>
      <w:proofErr w:type="spellEnd"/>
      <w:r>
        <w:rPr>
          <w:rFonts w:hint="cs"/>
          <w:rtl/>
        </w:rPr>
        <w:t xml:space="preserve"> ברשות שולח בכל רבעון את הדוחות למשרדי הממשלה, ואם אחד המשרדים לא קיבל את הדוח מכל סיבה שהיא, הוא מוזמן לפנות לרשות ולקבלו. עוד צוין בתשובה כי </w:t>
      </w:r>
      <w:proofErr w:type="spellStart"/>
      <w:r>
        <w:rPr>
          <w:rFonts w:hint="cs"/>
          <w:rtl/>
        </w:rPr>
        <w:t>המג"ק</w:t>
      </w:r>
      <w:proofErr w:type="spellEnd"/>
      <w:r>
        <w:rPr>
          <w:rFonts w:hint="cs"/>
          <w:rtl/>
        </w:rPr>
        <w:t xml:space="preserve"> פנה למשרדי הממשלה בקריאה להצטרף למשתמשים במערכת אבן ראשה, </w:t>
      </w:r>
      <w:r w:rsidRPr="00B21943">
        <w:rPr>
          <w:rFonts w:hint="eastAsia"/>
          <w:rtl/>
        </w:rPr>
        <w:t>המאפשרת</w:t>
      </w:r>
      <w:r w:rsidRPr="00B21943">
        <w:rPr>
          <w:rtl/>
        </w:rPr>
        <w:t xml:space="preserve"> </w:t>
      </w:r>
      <w:r w:rsidRPr="00B21943">
        <w:rPr>
          <w:rFonts w:hint="eastAsia"/>
          <w:rtl/>
        </w:rPr>
        <w:t>שליפת</w:t>
      </w:r>
      <w:r w:rsidRPr="00B21943">
        <w:rPr>
          <w:rtl/>
        </w:rPr>
        <w:t xml:space="preserve"> </w:t>
      </w:r>
      <w:r w:rsidRPr="00B21943">
        <w:rPr>
          <w:rFonts w:hint="eastAsia"/>
          <w:rtl/>
        </w:rPr>
        <w:t>נתונים</w:t>
      </w:r>
      <w:r w:rsidRPr="00B21943">
        <w:rPr>
          <w:rtl/>
        </w:rPr>
        <w:t xml:space="preserve"> ללא תלות ברשות</w:t>
      </w:r>
      <w:r>
        <w:rPr>
          <w:rFonts w:hint="cs"/>
          <w:rtl/>
        </w:rPr>
        <w:t>.</w:t>
      </w:r>
    </w:p>
    <w:p w14:paraId="6D42956D" w14:textId="61B612CD" w:rsidR="007C4395" w:rsidRDefault="007C4395" w:rsidP="003B2683">
      <w:pPr>
        <w:pStyle w:val="71f4"/>
        <w:rPr>
          <w:rtl/>
        </w:rPr>
      </w:pPr>
      <w:r>
        <w:rPr>
          <w:rFonts w:hint="cs"/>
          <w:rtl/>
        </w:rPr>
        <w:t>מאחר שכאמור מרבית</w:t>
      </w:r>
      <w:r w:rsidRPr="00DE7D1C">
        <w:rPr>
          <w:rFonts w:hint="cs"/>
          <w:rtl/>
        </w:rPr>
        <w:t xml:space="preserve"> משרדי הממשלה </w:t>
      </w:r>
      <w:r>
        <w:rPr>
          <w:rFonts w:hint="cs"/>
          <w:rtl/>
        </w:rPr>
        <w:t xml:space="preserve">אינם </w:t>
      </w:r>
      <w:r w:rsidRPr="00DE7D1C">
        <w:rPr>
          <w:rFonts w:hint="cs"/>
          <w:rtl/>
        </w:rPr>
        <w:t>מחוברים למערכת אבן ראשה</w:t>
      </w:r>
      <w:r>
        <w:rPr>
          <w:rFonts w:hint="cs"/>
          <w:rtl/>
        </w:rPr>
        <w:t>, המאפשרת</w:t>
      </w:r>
      <w:r w:rsidRPr="00DE7D1C">
        <w:rPr>
          <w:rFonts w:hint="cs"/>
          <w:rtl/>
        </w:rPr>
        <w:t xml:space="preserve"> לקבל מידע </w:t>
      </w:r>
      <w:r>
        <w:rPr>
          <w:rFonts w:hint="cs"/>
          <w:rtl/>
        </w:rPr>
        <w:t xml:space="preserve">על </w:t>
      </w:r>
      <w:r w:rsidRPr="00DE7D1C">
        <w:rPr>
          <w:rFonts w:hint="cs"/>
          <w:rtl/>
        </w:rPr>
        <w:t>אוד</w:t>
      </w:r>
      <w:r>
        <w:rPr>
          <w:rFonts w:hint="cs"/>
          <w:rtl/>
        </w:rPr>
        <w:t xml:space="preserve">ות החובות שהועברו לטיפול, יש </w:t>
      </w:r>
      <w:r w:rsidRPr="00DE7D1C">
        <w:rPr>
          <w:rFonts w:hint="cs"/>
          <w:rtl/>
        </w:rPr>
        <w:t>משרדים</w:t>
      </w:r>
      <w:r>
        <w:rPr>
          <w:rFonts w:hint="cs"/>
          <w:rtl/>
        </w:rPr>
        <w:t xml:space="preserve"> כדוגמת משרד </w:t>
      </w:r>
      <w:proofErr w:type="spellStart"/>
      <w:r>
        <w:rPr>
          <w:rFonts w:hint="cs"/>
          <w:rtl/>
        </w:rPr>
        <w:t>האנרגייה</w:t>
      </w:r>
      <w:proofErr w:type="spellEnd"/>
      <w:r w:rsidRPr="00DE7D1C">
        <w:rPr>
          <w:rFonts w:hint="cs"/>
          <w:rtl/>
        </w:rPr>
        <w:t xml:space="preserve"> ש</w:t>
      </w:r>
      <w:r>
        <w:rPr>
          <w:rFonts w:hint="cs"/>
          <w:rtl/>
        </w:rPr>
        <w:t xml:space="preserve">לא מחקו </w:t>
      </w:r>
      <w:r w:rsidRPr="00DE7D1C">
        <w:rPr>
          <w:rFonts w:hint="cs"/>
          <w:rtl/>
        </w:rPr>
        <w:t xml:space="preserve">חובות בספריהם </w:t>
      </w:r>
      <w:r>
        <w:rPr>
          <w:rFonts w:hint="cs"/>
          <w:rtl/>
        </w:rPr>
        <w:t xml:space="preserve">(אף כי חשבונאית יכלו לעשות כן) מאחר שלא קיבלו </w:t>
      </w:r>
      <w:r w:rsidRPr="00DE7D1C">
        <w:rPr>
          <w:rFonts w:hint="cs"/>
          <w:rtl/>
        </w:rPr>
        <w:t>היזון חוזר שא</w:t>
      </w:r>
      <w:r>
        <w:rPr>
          <w:rFonts w:hint="cs"/>
          <w:rtl/>
        </w:rPr>
        <w:t>ִ</w:t>
      </w:r>
      <w:r w:rsidRPr="00DE7D1C">
        <w:rPr>
          <w:rFonts w:hint="cs"/>
          <w:rtl/>
        </w:rPr>
        <w:t>פשר להם לסגור את החובות בספרים.</w:t>
      </w:r>
    </w:p>
    <w:p w14:paraId="20FC3929" w14:textId="77777777" w:rsidR="00651E66" w:rsidRPr="00651E66" w:rsidRDefault="00651E66" w:rsidP="00651E66">
      <w:pPr>
        <w:pStyle w:val="7190"/>
        <w:spacing w:after="0"/>
        <w:rPr>
          <w:rtl/>
        </w:rPr>
      </w:pPr>
    </w:p>
    <w:p w14:paraId="2E6B63EB" w14:textId="77777777" w:rsidR="007C4395" w:rsidRDefault="007C4395" w:rsidP="003B2683">
      <w:pPr>
        <w:pStyle w:val="71f4"/>
        <w:rPr>
          <w:rtl/>
        </w:rPr>
      </w:pPr>
      <w:r w:rsidRPr="00DE7D1C">
        <w:rPr>
          <w:rFonts w:hint="cs"/>
          <w:rtl/>
        </w:rPr>
        <w:t xml:space="preserve">על רשות האכיפה והגבייה ועל אגף </w:t>
      </w:r>
      <w:proofErr w:type="spellStart"/>
      <w:r w:rsidRPr="00DE7D1C">
        <w:rPr>
          <w:rFonts w:hint="cs"/>
          <w:rtl/>
        </w:rPr>
        <w:t>החשכ"ל</w:t>
      </w:r>
      <w:proofErr w:type="spellEnd"/>
      <w:r w:rsidRPr="00DE7D1C">
        <w:rPr>
          <w:rFonts w:hint="cs"/>
          <w:rtl/>
        </w:rPr>
        <w:t xml:space="preserve"> לסייע בחיבור כלל משרדי הממשלה </w:t>
      </w:r>
      <w:r>
        <w:rPr>
          <w:rFonts w:hint="cs"/>
          <w:rtl/>
        </w:rPr>
        <w:t xml:space="preserve">והיחידות הממשלתיות </w:t>
      </w:r>
      <w:r w:rsidRPr="00DE7D1C">
        <w:rPr>
          <w:rFonts w:hint="cs"/>
          <w:rtl/>
        </w:rPr>
        <w:t xml:space="preserve">למערכת </w:t>
      </w:r>
      <w:r>
        <w:rPr>
          <w:rFonts w:hint="cs"/>
          <w:rtl/>
        </w:rPr>
        <w:t xml:space="preserve">אבן ראשה, כדי </w:t>
      </w:r>
      <w:r w:rsidRPr="00DE7D1C">
        <w:rPr>
          <w:rFonts w:hint="cs"/>
          <w:rtl/>
        </w:rPr>
        <w:t>ש</w:t>
      </w:r>
      <w:r>
        <w:rPr>
          <w:rFonts w:hint="cs"/>
          <w:rtl/>
        </w:rPr>
        <w:t>ה</w:t>
      </w:r>
      <w:r w:rsidRPr="00DE7D1C">
        <w:rPr>
          <w:rFonts w:hint="cs"/>
          <w:rtl/>
        </w:rPr>
        <w:t>משרדי</w:t>
      </w:r>
      <w:r>
        <w:rPr>
          <w:rFonts w:hint="cs"/>
          <w:rtl/>
        </w:rPr>
        <w:t>ם</w:t>
      </w:r>
      <w:r w:rsidRPr="00DE7D1C">
        <w:rPr>
          <w:rFonts w:hint="cs"/>
          <w:rtl/>
        </w:rPr>
        <w:t xml:space="preserve"> יוכלו לטפל בצורה מסודרת בחובות שלהם </w:t>
      </w:r>
      <w:r>
        <w:rPr>
          <w:rFonts w:hint="cs"/>
          <w:rtl/>
        </w:rPr>
        <w:t>הן</w:t>
      </w:r>
      <w:r w:rsidRPr="00DE7D1C">
        <w:rPr>
          <w:rFonts w:hint="cs"/>
          <w:rtl/>
        </w:rPr>
        <w:t xml:space="preserve"> מבחינה תפעולית ו</w:t>
      </w:r>
      <w:r>
        <w:rPr>
          <w:rFonts w:hint="cs"/>
          <w:rtl/>
        </w:rPr>
        <w:t>הן</w:t>
      </w:r>
      <w:r w:rsidRPr="00DE7D1C">
        <w:rPr>
          <w:rFonts w:hint="cs"/>
          <w:rtl/>
        </w:rPr>
        <w:t xml:space="preserve"> מבחינה חשבונאית.</w:t>
      </w:r>
    </w:p>
    <w:p w14:paraId="68E508CF" w14:textId="77777777" w:rsidR="007C4395" w:rsidRPr="006F4D0D" w:rsidRDefault="007C4395" w:rsidP="006F4D0D">
      <w:pPr>
        <w:pStyle w:val="71612"/>
        <w:rPr>
          <w:rtl/>
        </w:rPr>
      </w:pPr>
      <w:r w:rsidRPr="006F4D0D">
        <w:rPr>
          <w:rFonts w:hint="cs"/>
          <w:rtl/>
        </w:rPr>
        <w:t>אופן העברת תשלומי הגבייה</w:t>
      </w:r>
    </w:p>
    <w:p w14:paraId="358FD041" w14:textId="77777777" w:rsidR="007C4395" w:rsidRPr="00DE7D1C" w:rsidRDefault="007C4395" w:rsidP="002A738D">
      <w:pPr>
        <w:pStyle w:val="7190"/>
        <w:rPr>
          <w:rtl/>
        </w:rPr>
      </w:pPr>
      <w:r>
        <w:rPr>
          <w:rFonts w:hint="cs"/>
          <w:rtl/>
        </w:rPr>
        <w:t xml:space="preserve">לאחר השלמת מאמצי הגבייה, הרשות מעבירה את תשלומי הגבייה לחשבון הבנק של בעל החוב. יש הבדל באופן העברת התשלומים בין גבייה על ידי </w:t>
      </w:r>
      <w:proofErr w:type="spellStart"/>
      <w:r>
        <w:rPr>
          <w:rFonts w:hint="cs"/>
          <w:rtl/>
        </w:rPr>
        <w:t>המג"ק</w:t>
      </w:r>
      <w:proofErr w:type="spellEnd"/>
      <w:r>
        <w:rPr>
          <w:rFonts w:hint="cs"/>
          <w:rtl/>
        </w:rPr>
        <w:t xml:space="preserve"> ובין גבייה על ידי </w:t>
      </w:r>
      <w:proofErr w:type="spellStart"/>
      <w:r>
        <w:rPr>
          <w:rFonts w:hint="cs"/>
          <w:rtl/>
        </w:rPr>
        <w:t>המנ"ג</w:t>
      </w:r>
      <w:proofErr w:type="spellEnd"/>
      <w:r>
        <w:rPr>
          <w:rFonts w:hint="cs"/>
          <w:rtl/>
        </w:rPr>
        <w:t>.</w:t>
      </w:r>
    </w:p>
    <w:p w14:paraId="69352C65" w14:textId="77777777" w:rsidR="007C4395" w:rsidRPr="000E3AF6" w:rsidRDefault="007C4395" w:rsidP="002A738D">
      <w:pPr>
        <w:pStyle w:val="7190"/>
        <w:rPr>
          <w:rtl/>
        </w:rPr>
      </w:pPr>
      <w:r w:rsidRPr="000E3AF6">
        <w:rPr>
          <w:rFonts w:hint="cs"/>
          <w:rtl/>
        </w:rPr>
        <w:t xml:space="preserve">חובות שנגבים </w:t>
      </w:r>
      <w:proofErr w:type="spellStart"/>
      <w:r w:rsidRPr="000E3AF6">
        <w:rPr>
          <w:rFonts w:hint="cs"/>
          <w:rtl/>
        </w:rPr>
        <w:t>במג"ק</w:t>
      </w:r>
      <w:proofErr w:type="spellEnd"/>
      <w:r>
        <w:rPr>
          <w:rFonts w:hint="cs"/>
          <w:rtl/>
        </w:rPr>
        <w:t xml:space="preserve"> מועברים </w:t>
      </w:r>
      <w:r w:rsidRPr="000E3AF6">
        <w:rPr>
          <w:rFonts w:hint="cs"/>
          <w:rtl/>
        </w:rPr>
        <w:t xml:space="preserve">לחשבון הבנק של </w:t>
      </w:r>
      <w:r>
        <w:rPr>
          <w:rFonts w:hint="cs"/>
          <w:rtl/>
        </w:rPr>
        <w:t>ה</w:t>
      </w:r>
      <w:r w:rsidRPr="000E3AF6">
        <w:rPr>
          <w:rFonts w:hint="cs"/>
          <w:rtl/>
        </w:rPr>
        <w:t>רשות</w:t>
      </w:r>
      <w:r>
        <w:rPr>
          <w:rFonts w:hint="cs"/>
          <w:rtl/>
        </w:rPr>
        <w:t>,</w:t>
      </w:r>
      <w:r w:rsidRPr="000E3AF6">
        <w:rPr>
          <w:rFonts w:hint="cs"/>
          <w:rtl/>
        </w:rPr>
        <w:t xml:space="preserve"> ו</w:t>
      </w:r>
      <w:r>
        <w:rPr>
          <w:rFonts w:hint="cs"/>
          <w:rtl/>
        </w:rPr>
        <w:t xml:space="preserve">משם הם </w:t>
      </w:r>
      <w:r w:rsidRPr="000E3AF6">
        <w:rPr>
          <w:rFonts w:hint="cs"/>
          <w:rtl/>
        </w:rPr>
        <w:t>מועבר</w:t>
      </w:r>
      <w:r>
        <w:rPr>
          <w:rFonts w:hint="cs"/>
          <w:rtl/>
        </w:rPr>
        <w:t>ים</w:t>
      </w:r>
      <w:r w:rsidRPr="000E3AF6">
        <w:rPr>
          <w:rFonts w:hint="cs"/>
          <w:rtl/>
        </w:rPr>
        <w:t xml:space="preserve"> לאוצר המדינה </w:t>
      </w:r>
      <w:r>
        <w:rPr>
          <w:rFonts w:hint="cs"/>
          <w:rtl/>
        </w:rPr>
        <w:t xml:space="preserve">או למשרדי הממשלה (לפי המקרה) </w:t>
      </w:r>
      <w:r w:rsidRPr="000E3AF6">
        <w:rPr>
          <w:rFonts w:hint="cs"/>
          <w:rtl/>
        </w:rPr>
        <w:t>אחת לתקופה</w:t>
      </w:r>
      <w:r>
        <w:rPr>
          <w:rFonts w:hint="cs"/>
          <w:rtl/>
        </w:rPr>
        <w:t xml:space="preserve">. </w:t>
      </w:r>
      <w:r w:rsidRPr="000E3AF6">
        <w:rPr>
          <w:rFonts w:hint="cs"/>
          <w:rtl/>
        </w:rPr>
        <w:t xml:space="preserve">חובות שנגבים </w:t>
      </w:r>
      <w:proofErr w:type="spellStart"/>
      <w:r w:rsidRPr="000E3AF6">
        <w:rPr>
          <w:rFonts w:hint="cs"/>
          <w:rtl/>
        </w:rPr>
        <w:t>במנ"ג</w:t>
      </w:r>
      <w:proofErr w:type="spellEnd"/>
      <w:r>
        <w:rPr>
          <w:rFonts w:hint="cs"/>
          <w:rtl/>
        </w:rPr>
        <w:t xml:space="preserve"> מועברים </w:t>
      </w:r>
      <w:r w:rsidRPr="000E3AF6">
        <w:rPr>
          <w:rFonts w:hint="cs"/>
          <w:rtl/>
        </w:rPr>
        <w:t>ישירות לחשבון הבנק של המשרד הממשלתי שהו</w:t>
      </w:r>
      <w:r>
        <w:rPr>
          <w:rFonts w:hint="cs"/>
          <w:rtl/>
        </w:rPr>
        <w:t>א</w:t>
      </w:r>
      <w:r w:rsidRPr="000E3AF6">
        <w:rPr>
          <w:rFonts w:hint="cs"/>
          <w:rtl/>
        </w:rPr>
        <w:t xml:space="preserve"> בעל החוב.</w:t>
      </w:r>
    </w:p>
    <w:p w14:paraId="37F51647" w14:textId="77777777" w:rsidR="007C4395" w:rsidRDefault="007C4395" w:rsidP="002A738D">
      <w:pPr>
        <w:pStyle w:val="7190"/>
        <w:rPr>
          <w:rtl/>
        </w:rPr>
      </w:pPr>
      <w:r w:rsidRPr="00C24EDF">
        <w:rPr>
          <w:rFonts w:hint="cs"/>
          <w:rtl/>
        </w:rPr>
        <w:lastRenderedPageBreak/>
        <w:t xml:space="preserve">מבדיקה שערך משרד מבקר המדינה, נמצא כי אף על פי </w:t>
      </w:r>
      <w:proofErr w:type="spellStart"/>
      <w:r w:rsidRPr="00C24EDF">
        <w:rPr>
          <w:rFonts w:hint="cs"/>
          <w:rtl/>
        </w:rPr>
        <w:t>שה</w:t>
      </w:r>
      <w:r>
        <w:rPr>
          <w:rFonts w:hint="cs"/>
          <w:rtl/>
        </w:rPr>
        <w:t>מג"ק</w:t>
      </w:r>
      <w:proofErr w:type="spellEnd"/>
      <w:r w:rsidRPr="00C24EDF">
        <w:rPr>
          <w:rFonts w:hint="cs"/>
          <w:rtl/>
        </w:rPr>
        <w:t xml:space="preserve"> גבה עבור שישה גופים ממשלתיים את חובם והעביר להם אותו, המשרד לביטחון הפנים ציין</w:t>
      </w:r>
      <w:r>
        <w:rPr>
          <w:rFonts w:hint="cs"/>
          <w:rtl/>
        </w:rPr>
        <w:t xml:space="preserve"> בפני צוות הביקורת</w:t>
      </w:r>
      <w:r w:rsidRPr="00C24EDF">
        <w:rPr>
          <w:rFonts w:hint="cs"/>
          <w:rtl/>
        </w:rPr>
        <w:t xml:space="preserve"> כי הוא לא קיבל את המידע הנדרש כדי לסגור את החוב בספריו. תחת זאת, משרד זה קיבל העברה כספית אחת אשר אינה מפרטת בגין אילו חובות בוצעה הגבייה.</w:t>
      </w:r>
    </w:p>
    <w:p w14:paraId="506477BC" w14:textId="77777777" w:rsidR="007C4395" w:rsidRDefault="007C4395" w:rsidP="002A738D">
      <w:pPr>
        <w:pStyle w:val="7190"/>
        <w:rPr>
          <w:rtl/>
        </w:rPr>
      </w:pPr>
      <w:r>
        <w:rPr>
          <w:rFonts w:hint="cs"/>
          <w:rtl/>
        </w:rPr>
        <w:t xml:space="preserve">בתשובת המשרד לביטחון הפנים צוין כי "המשרד מבקש להתייחס ולומר כי הממשק עם </w:t>
      </w:r>
      <w:proofErr w:type="spellStart"/>
      <w:r>
        <w:rPr>
          <w:rFonts w:hint="cs"/>
          <w:rtl/>
        </w:rPr>
        <w:t>המג"ק</w:t>
      </w:r>
      <w:proofErr w:type="spellEnd"/>
      <w:r>
        <w:rPr>
          <w:rFonts w:hint="cs"/>
          <w:rtl/>
        </w:rPr>
        <w:t xml:space="preserve"> בעייתי מאוד. הממשקים מתקבלים פעם בחודש עוקב עם טעויות רבות, דבר הדורש בקרה ותיקונים במערכת </w:t>
      </w:r>
      <w:proofErr w:type="spellStart"/>
      <w:r>
        <w:rPr>
          <w:rFonts w:hint="cs"/>
          <w:rtl/>
        </w:rPr>
        <w:t>מרכב"ה</w:t>
      </w:r>
      <w:proofErr w:type="spellEnd"/>
      <w:r>
        <w:rPr>
          <w:rFonts w:hint="cs"/>
          <w:rtl/>
        </w:rPr>
        <w:t>".</w:t>
      </w:r>
    </w:p>
    <w:p w14:paraId="39524E40" w14:textId="77777777" w:rsidR="007C4395" w:rsidRPr="00651E66" w:rsidRDefault="007C4395" w:rsidP="002A738D">
      <w:pPr>
        <w:pStyle w:val="7190"/>
        <w:rPr>
          <w:spacing w:val="-2"/>
          <w:rtl/>
        </w:rPr>
      </w:pPr>
      <w:r w:rsidRPr="00651E66">
        <w:rPr>
          <w:rFonts w:hint="cs"/>
          <w:spacing w:val="-2"/>
          <w:rtl/>
        </w:rPr>
        <w:t xml:space="preserve">בתשובת רשות האכיפה והגבייה צוין כי ככלל, כאשר מועברים כספים למשרדי הממשלה, מועבר להם גם דוח שבו מפורטים התיקים הנכללים בו. בתשובתה המשלימה לדוח הביקורת מפברואר 2022 ציינה הרשות כי המידע המפורט נמצא במערכת אבן ראשה וכל משרד המחובר למערכת יכול לשלוף את הנתונים המעודכנים בכל עת שיחפוץ בכך, ללא תלות ברשות האכיפה והגבייה. </w:t>
      </w:r>
    </w:p>
    <w:p w14:paraId="2590B6C2" w14:textId="77777777" w:rsidR="007C4395" w:rsidRDefault="007C4395" w:rsidP="003B2683">
      <w:pPr>
        <w:pStyle w:val="71f4"/>
        <w:rPr>
          <w:rtl/>
        </w:rPr>
      </w:pPr>
      <w:r>
        <w:rPr>
          <w:rFonts w:hint="cs"/>
          <w:rtl/>
        </w:rPr>
        <w:t>מומלץ</w:t>
      </w:r>
      <w:r w:rsidRPr="00F90224">
        <w:rPr>
          <w:rFonts w:hint="cs"/>
          <w:rtl/>
        </w:rPr>
        <w:t xml:space="preserve"> </w:t>
      </w:r>
      <w:r>
        <w:rPr>
          <w:rFonts w:hint="cs"/>
          <w:rtl/>
        </w:rPr>
        <w:t xml:space="preserve">כי </w:t>
      </w:r>
      <w:r w:rsidRPr="00F90224">
        <w:rPr>
          <w:rFonts w:hint="cs"/>
          <w:rtl/>
        </w:rPr>
        <w:t xml:space="preserve">רשות </w:t>
      </w:r>
      <w:r w:rsidRPr="00BB6E9E">
        <w:rPr>
          <w:rFonts w:hint="cs"/>
          <w:rtl/>
        </w:rPr>
        <w:t>האכיפה והגבייה ת</w:t>
      </w:r>
      <w:r w:rsidRPr="00BB6E9E">
        <w:rPr>
          <w:rFonts w:hint="eastAsia"/>
          <w:rtl/>
        </w:rPr>
        <w:t>קפיד</w:t>
      </w:r>
      <w:r w:rsidRPr="00B21943">
        <w:rPr>
          <w:rtl/>
        </w:rPr>
        <w:t xml:space="preserve"> </w:t>
      </w:r>
      <w:r w:rsidRPr="00B21943">
        <w:rPr>
          <w:rFonts w:hint="eastAsia"/>
          <w:rtl/>
        </w:rPr>
        <w:t>ל</w:t>
      </w:r>
      <w:r w:rsidRPr="00B21943">
        <w:rPr>
          <w:rFonts w:hint="cs"/>
          <w:rtl/>
        </w:rPr>
        <w:t>העביר</w:t>
      </w:r>
      <w:r w:rsidRPr="00F90224">
        <w:rPr>
          <w:rFonts w:hint="cs"/>
          <w:rtl/>
        </w:rPr>
        <w:t xml:space="preserve"> בצורה מסודרת פירוט </w:t>
      </w:r>
      <w:r>
        <w:rPr>
          <w:rFonts w:hint="cs"/>
          <w:rtl/>
        </w:rPr>
        <w:t>בנוגע ל</w:t>
      </w:r>
      <w:r w:rsidRPr="00F90224">
        <w:rPr>
          <w:rFonts w:hint="cs"/>
          <w:rtl/>
        </w:rPr>
        <w:t>גבייה</w:t>
      </w:r>
      <w:r>
        <w:rPr>
          <w:rFonts w:hint="cs"/>
          <w:rtl/>
        </w:rPr>
        <w:t>,</w:t>
      </w:r>
      <w:r w:rsidRPr="00F90224">
        <w:rPr>
          <w:rFonts w:hint="cs"/>
          <w:rtl/>
        </w:rPr>
        <w:t xml:space="preserve"> לצד העברות </w:t>
      </w:r>
      <w:r>
        <w:rPr>
          <w:rFonts w:hint="cs"/>
          <w:rtl/>
        </w:rPr>
        <w:t>ה</w:t>
      </w:r>
      <w:r w:rsidRPr="00F90224">
        <w:rPr>
          <w:rFonts w:hint="cs"/>
          <w:rtl/>
        </w:rPr>
        <w:t>תשלומים למשרדי הממשלה</w:t>
      </w:r>
      <w:r>
        <w:rPr>
          <w:rFonts w:hint="cs"/>
          <w:rtl/>
        </w:rPr>
        <w:t>, כדי לאפשר למשרדים לפעול למחיקת החובות בספרים</w:t>
      </w:r>
      <w:r w:rsidRPr="00F90224">
        <w:rPr>
          <w:rFonts w:hint="cs"/>
          <w:rtl/>
        </w:rPr>
        <w:t>.</w:t>
      </w:r>
    </w:p>
    <w:p w14:paraId="3BBFEB39" w14:textId="77777777" w:rsidR="007C4395" w:rsidRDefault="007C4395" w:rsidP="006F4D0D">
      <w:pPr>
        <w:pStyle w:val="71512"/>
        <w:rPr>
          <w:rtl/>
        </w:rPr>
      </w:pPr>
      <w:r>
        <w:rPr>
          <w:rFonts w:hint="cs"/>
          <w:rtl/>
        </w:rPr>
        <w:t>אמנת שירות (</w:t>
      </w:r>
      <w:r w:rsidRPr="00472C2F">
        <w:t>SLA</w:t>
      </w:r>
      <w:r>
        <w:rPr>
          <w:rFonts w:hint="cs"/>
          <w:rtl/>
        </w:rPr>
        <w:t>) - הקמת ועד מנהל - החשב הכללי ורשות האכיפה והגבייה</w:t>
      </w:r>
    </w:p>
    <w:p w14:paraId="4CAFACC4" w14:textId="77777777" w:rsidR="007C4395" w:rsidRPr="00041804" w:rsidRDefault="007C4395" w:rsidP="002A738D">
      <w:pPr>
        <w:pStyle w:val="7190"/>
        <w:rPr>
          <w:rtl/>
        </w:rPr>
      </w:pPr>
      <w:r>
        <w:rPr>
          <w:rFonts w:hint="cs"/>
          <w:rtl/>
        </w:rPr>
        <w:t>רשות האכיפה והגבייה היא גוף הנותן שירות למשרדי הממשלה בתחום של גביית חובות. לפיכך, ולשם הגברת האפקטיביות של תהליכי הגבייה והגברת התיאום מול המשרדים השונים</w:t>
      </w:r>
      <w:r w:rsidRPr="00481719">
        <w:rPr>
          <w:rFonts w:hint="cs"/>
          <w:rtl/>
        </w:rPr>
        <w:t xml:space="preserve"> </w:t>
      </w:r>
      <w:r>
        <w:rPr>
          <w:rFonts w:hint="cs"/>
          <w:rtl/>
        </w:rPr>
        <w:t>יש חשיבות להסדרה של דרכי הפעולה של הרשות מול משרדי הממשלה.</w:t>
      </w:r>
    </w:p>
    <w:p w14:paraId="0A83CADA" w14:textId="77777777" w:rsidR="007C4395" w:rsidRDefault="007C4395" w:rsidP="002A738D">
      <w:pPr>
        <w:pStyle w:val="7190"/>
        <w:rPr>
          <w:rtl/>
        </w:rPr>
      </w:pPr>
      <w:r>
        <w:rPr>
          <w:rFonts w:hint="cs"/>
          <w:rtl/>
        </w:rPr>
        <w:t>כפועל יוצא של החלטת הממשלה בנושא הגבייה, החליטו החשב הכללי ורשות האכיפה והגבייה על הקמת ועד מנהל שיקיף את כלל פעילות הגבייה הממשלתית. ועד זה יפקח על עבודת גופי האכיפה</w:t>
      </w:r>
      <w:r>
        <w:rPr>
          <w:rStyle w:val="af"/>
          <w:rFonts w:hint="cs"/>
          <w:rtl/>
        </w:rPr>
        <w:t xml:space="preserve"> </w:t>
      </w:r>
      <w:r>
        <w:rPr>
          <w:rFonts w:hint="cs"/>
          <w:rtl/>
        </w:rPr>
        <w:t>לצורך העמקת הגבייה הממשלתית, ינחה ויבקר אותה</w:t>
      </w:r>
      <w:r>
        <w:rPr>
          <w:rStyle w:val="ac"/>
          <w:rtl/>
        </w:rPr>
        <w:footnoteReference w:id="79"/>
      </w:r>
      <w:r>
        <w:rPr>
          <w:rFonts w:hint="cs"/>
          <w:rtl/>
        </w:rPr>
        <w:t>.</w:t>
      </w:r>
    </w:p>
    <w:p w14:paraId="7D09B308" w14:textId="77777777" w:rsidR="007C4395" w:rsidRDefault="007C4395" w:rsidP="002A738D">
      <w:pPr>
        <w:pStyle w:val="7190"/>
        <w:rPr>
          <w:rtl/>
        </w:rPr>
      </w:pPr>
      <w:r>
        <w:rPr>
          <w:rFonts w:hint="cs"/>
          <w:rtl/>
        </w:rPr>
        <w:t>עם תפקידי הוועד המנהל צפויים להימנות אישור תוכנית העבודה השנתית; קביעת אסטרטגיה; קביעת מדיניות ודרכי פעולה בתהליכי הגבייה השונים; חיזוק ועיגון הקשר בין גופי האכיפה לבין משרדי הממשלה.</w:t>
      </w:r>
    </w:p>
    <w:p w14:paraId="78262FB1" w14:textId="77777777" w:rsidR="007C4395" w:rsidRPr="000E3AF6" w:rsidRDefault="007C4395" w:rsidP="002A738D">
      <w:pPr>
        <w:pStyle w:val="7190"/>
        <w:rPr>
          <w:rtl/>
        </w:rPr>
      </w:pPr>
      <w:r w:rsidRPr="000E3AF6">
        <w:rPr>
          <w:rFonts w:hint="cs"/>
          <w:rtl/>
        </w:rPr>
        <w:t xml:space="preserve">הוועד </w:t>
      </w:r>
      <w:r>
        <w:rPr>
          <w:rFonts w:hint="cs"/>
          <w:rtl/>
        </w:rPr>
        <w:t>ה</w:t>
      </w:r>
      <w:r w:rsidRPr="000E3AF6">
        <w:rPr>
          <w:rFonts w:hint="cs"/>
          <w:rtl/>
        </w:rPr>
        <w:t>מנהל צפוי ל</w:t>
      </w:r>
      <w:r>
        <w:rPr>
          <w:rFonts w:hint="cs"/>
          <w:rtl/>
        </w:rPr>
        <w:t xml:space="preserve">פעול </w:t>
      </w:r>
      <w:r w:rsidRPr="000E3AF6">
        <w:rPr>
          <w:rFonts w:hint="cs"/>
          <w:rtl/>
        </w:rPr>
        <w:t>מול משרדי הממשלה בהגברת המודעות לחשיבות הגבייה הממשלתית</w:t>
      </w:r>
      <w:r>
        <w:rPr>
          <w:rFonts w:hint="cs"/>
          <w:rtl/>
        </w:rPr>
        <w:t>;</w:t>
      </w:r>
      <w:r w:rsidRPr="000E3AF6">
        <w:rPr>
          <w:rFonts w:hint="cs"/>
          <w:rtl/>
        </w:rPr>
        <w:t xml:space="preserve"> </w:t>
      </w:r>
      <w:r>
        <w:rPr>
          <w:rFonts w:hint="cs"/>
          <w:rtl/>
        </w:rPr>
        <w:t>בסיוע ל</w:t>
      </w:r>
      <w:r w:rsidRPr="000E3AF6">
        <w:rPr>
          <w:rFonts w:hint="cs"/>
          <w:rtl/>
        </w:rPr>
        <w:t>העברת חובות לגופי האכיפה</w:t>
      </w:r>
      <w:r>
        <w:rPr>
          <w:rFonts w:hint="cs"/>
          <w:rtl/>
        </w:rPr>
        <w:t>;</w:t>
      </w:r>
      <w:r w:rsidRPr="000E3AF6">
        <w:rPr>
          <w:rFonts w:hint="cs"/>
          <w:rtl/>
        </w:rPr>
        <w:t xml:space="preserve"> </w:t>
      </w:r>
      <w:r>
        <w:rPr>
          <w:rFonts w:hint="cs"/>
          <w:rtl/>
        </w:rPr>
        <w:t>ב</w:t>
      </w:r>
      <w:r w:rsidRPr="000E3AF6">
        <w:rPr>
          <w:rFonts w:hint="cs"/>
          <w:rtl/>
        </w:rPr>
        <w:t>הכוונה מקצועית של משרדי הממשלה</w:t>
      </w:r>
      <w:r>
        <w:rPr>
          <w:rFonts w:hint="cs"/>
          <w:rtl/>
        </w:rPr>
        <w:t>;</w:t>
      </w:r>
      <w:r w:rsidRPr="000E3AF6">
        <w:rPr>
          <w:rFonts w:hint="cs"/>
          <w:rtl/>
        </w:rPr>
        <w:t xml:space="preserve"> </w:t>
      </w:r>
      <w:r>
        <w:rPr>
          <w:rFonts w:hint="cs"/>
          <w:rtl/>
        </w:rPr>
        <w:t>בהכוונה ובאפיון של דוחות</w:t>
      </w:r>
      <w:r w:rsidRPr="000E3AF6">
        <w:rPr>
          <w:rFonts w:hint="cs"/>
          <w:rtl/>
        </w:rPr>
        <w:t xml:space="preserve"> תקופתיים</w:t>
      </w:r>
      <w:r>
        <w:rPr>
          <w:rFonts w:hint="cs"/>
          <w:rtl/>
        </w:rPr>
        <w:t>;</w:t>
      </w:r>
      <w:r w:rsidRPr="000E3AF6">
        <w:rPr>
          <w:rFonts w:hint="cs"/>
          <w:rtl/>
        </w:rPr>
        <w:t xml:space="preserve"> </w:t>
      </w:r>
      <w:r>
        <w:rPr>
          <w:rFonts w:hint="cs"/>
          <w:rtl/>
        </w:rPr>
        <w:t xml:space="preserve">בשילוב גופי האכיפה להטמעת </w:t>
      </w:r>
      <w:r w:rsidRPr="000E3AF6">
        <w:rPr>
          <w:rFonts w:hint="cs"/>
          <w:rtl/>
        </w:rPr>
        <w:t>מערכת "מטאור"</w:t>
      </w:r>
      <w:r>
        <w:rPr>
          <w:rStyle w:val="ac"/>
          <w:rtl/>
        </w:rPr>
        <w:footnoteReference w:id="80"/>
      </w:r>
      <w:r>
        <w:rPr>
          <w:rFonts w:hint="cs"/>
          <w:rtl/>
        </w:rPr>
        <w:t>.</w:t>
      </w:r>
      <w:r w:rsidRPr="000E3AF6">
        <w:rPr>
          <w:rFonts w:hint="cs"/>
          <w:rtl/>
        </w:rPr>
        <w:t xml:space="preserve"> </w:t>
      </w:r>
      <w:r>
        <w:rPr>
          <w:rFonts w:hint="cs"/>
          <w:rtl/>
        </w:rPr>
        <w:t xml:space="preserve">לצד אלה צפוי הוועד המנהל לקבוע </w:t>
      </w:r>
      <w:r w:rsidRPr="000E3AF6">
        <w:rPr>
          <w:rFonts w:hint="cs"/>
          <w:rtl/>
        </w:rPr>
        <w:t xml:space="preserve">סדרי </w:t>
      </w:r>
      <w:r>
        <w:rPr>
          <w:rFonts w:hint="cs"/>
          <w:rtl/>
        </w:rPr>
        <w:t xml:space="preserve">עבודה </w:t>
      </w:r>
      <w:r w:rsidRPr="000E3AF6">
        <w:rPr>
          <w:rFonts w:hint="cs"/>
          <w:rtl/>
        </w:rPr>
        <w:t>ונ</w:t>
      </w:r>
      <w:r>
        <w:rPr>
          <w:rFonts w:hint="cs"/>
          <w:rtl/>
        </w:rPr>
        <w:t>ו</w:t>
      </w:r>
      <w:r w:rsidRPr="000E3AF6">
        <w:rPr>
          <w:rFonts w:hint="cs"/>
          <w:rtl/>
        </w:rPr>
        <w:t>הלי עבודה של גופי האכיפה</w:t>
      </w:r>
      <w:r>
        <w:rPr>
          <w:rFonts w:hint="cs"/>
          <w:rtl/>
        </w:rPr>
        <w:t xml:space="preserve">. </w:t>
      </w:r>
      <w:r w:rsidRPr="000E3AF6">
        <w:rPr>
          <w:rFonts w:hint="cs"/>
          <w:rtl/>
        </w:rPr>
        <w:t>הוועד המנהל</w:t>
      </w:r>
      <w:r>
        <w:rPr>
          <w:rFonts w:hint="cs"/>
          <w:rtl/>
        </w:rPr>
        <w:t xml:space="preserve"> יפעל בין היתר ל</w:t>
      </w:r>
      <w:r w:rsidRPr="000E3AF6">
        <w:rPr>
          <w:rFonts w:hint="cs"/>
          <w:rtl/>
        </w:rPr>
        <w:t>קבל דיווח לגבי ביצוע הפעולות בתיקים</w:t>
      </w:r>
      <w:r>
        <w:rPr>
          <w:rFonts w:hint="cs"/>
          <w:rtl/>
        </w:rPr>
        <w:t>;</w:t>
      </w:r>
      <w:r w:rsidRPr="000E3AF6">
        <w:rPr>
          <w:rFonts w:hint="cs"/>
          <w:rtl/>
        </w:rPr>
        <w:t xml:space="preserve"> </w:t>
      </w:r>
      <w:r>
        <w:rPr>
          <w:rFonts w:hint="cs"/>
          <w:rtl/>
        </w:rPr>
        <w:t>ל</w:t>
      </w:r>
      <w:r w:rsidRPr="000E3AF6">
        <w:rPr>
          <w:rFonts w:hint="cs"/>
          <w:rtl/>
        </w:rPr>
        <w:t>הקמת יחידה לחובות גדולים</w:t>
      </w:r>
      <w:r>
        <w:rPr>
          <w:rFonts w:hint="cs"/>
          <w:rtl/>
        </w:rPr>
        <w:t>;</w:t>
      </w:r>
      <w:r w:rsidRPr="000E3AF6">
        <w:rPr>
          <w:rFonts w:hint="cs"/>
          <w:rtl/>
        </w:rPr>
        <w:t xml:space="preserve"> </w:t>
      </w:r>
      <w:r>
        <w:rPr>
          <w:rFonts w:hint="cs"/>
          <w:rtl/>
        </w:rPr>
        <w:t>ל</w:t>
      </w:r>
      <w:r w:rsidRPr="000E3AF6">
        <w:rPr>
          <w:rFonts w:hint="cs"/>
          <w:rtl/>
        </w:rPr>
        <w:t xml:space="preserve">פיתוח אמצעים מתקדמים לגבייה ולאכיפה </w:t>
      </w:r>
      <w:r>
        <w:rPr>
          <w:rFonts w:hint="cs"/>
          <w:rtl/>
        </w:rPr>
        <w:t xml:space="preserve">כדי </w:t>
      </w:r>
      <w:r w:rsidRPr="000E3AF6">
        <w:rPr>
          <w:rFonts w:hint="cs"/>
          <w:rtl/>
        </w:rPr>
        <w:t>להגיע לפלח רחב של אוכלוסיות</w:t>
      </w:r>
      <w:r>
        <w:rPr>
          <w:rFonts w:hint="cs"/>
          <w:rtl/>
        </w:rPr>
        <w:t>;</w:t>
      </w:r>
      <w:r w:rsidRPr="000E3AF6">
        <w:rPr>
          <w:rFonts w:hint="cs"/>
          <w:rtl/>
        </w:rPr>
        <w:t xml:space="preserve"> </w:t>
      </w:r>
      <w:r>
        <w:rPr>
          <w:rFonts w:hint="cs"/>
          <w:rtl/>
        </w:rPr>
        <w:t>ל</w:t>
      </w:r>
      <w:r w:rsidRPr="000E3AF6">
        <w:rPr>
          <w:rFonts w:hint="cs"/>
          <w:rtl/>
        </w:rPr>
        <w:t>הטמעת מערכת אבן ראשה בכל משרדי הממשלה.</w:t>
      </w:r>
    </w:p>
    <w:p w14:paraId="6C0087D1" w14:textId="77777777" w:rsidR="007C4395" w:rsidRDefault="007C4395" w:rsidP="003B2683">
      <w:pPr>
        <w:pStyle w:val="71f4"/>
        <w:rPr>
          <w:rtl/>
        </w:rPr>
      </w:pPr>
      <w:r>
        <w:rPr>
          <w:rFonts w:hint="cs"/>
          <w:rtl/>
        </w:rPr>
        <w:lastRenderedPageBreak/>
        <w:t xml:space="preserve">מומלץ כי </w:t>
      </w:r>
      <w:r w:rsidRPr="00F72340">
        <w:rPr>
          <w:rFonts w:hint="cs"/>
          <w:rtl/>
        </w:rPr>
        <w:t xml:space="preserve">אגף </w:t>
      </w:r>
      <w:proofErr w:type="spellStart"/>
      <w:r w:rsidRPr="00F72340">
        <w:rPr>
          <w:rFonts w:hint="cs"/>
          <w:rtl/>
        </w:rPr>
        <w:t>החשכ"ל</w:t>
      </w:r>
      <w:proofErr w:type="spellEnd"/>
      <w:r w:rsidRPr="00F72340">
        <w:rPr>
          <w:rFonts w:hint="cs"/>
          <w:rtl/>
        </w:rPr>
        <w:t xml:space="preserve"> </w:t>
      </w:r>
      <w:r>
        <w:rPr>
          <w:rFonts w:hint="cs"/>
          <w:rtl/>
        </w:rPr>
        <w:t>ו</w:t>
      </w:r>
      <w:r w:rsidRPr="00F72340">
        <w:rPr>
          <w:rFonts w:hint="cs"/>
          <w:rtl/>
        </w:rPr>
        <w:t xml:space="preserve">רשות האכיפה והגבייה </w:t>
      </w:r>
      <w:r>
        <w:rPr>
          <w:rFonts w:hint="cs"/>
          <w:rtl/>
        </w:rPr>
        <w:t xml:space="preserve">ימשיכו </w:t>
      </w:r>
      <w:r w:rsidRPr="00F72340">
        <w:rPr>
          <w:rFonts w:hint="cs"/>
          <w:rtl/>
        </w:rPr>
        <w:t xml:space="preserve">לשפר את שיתוף הפעולה </w:t>
      </w:r>
      <w:r>
        <w:rPr>
          <w:rFonts w:hint="cs"/>
          <w:rtl/>
        </w:rPr>
        <w:t>בין משרדי הממשלה לגופי האכיפה, בין היתר באמצעות חתימה על מסמך אמנת השירות,</w:t>
      </w:r>
      <w:r w:rsidRPr="00F72340">
        <w:rPr>
          <w:rFonts w:hint="cs"/>
          <w:rtl/>
        </w:rPr>
        <w:t xml:space="preserve"> </w:t>
      </w:r>
      <w:r>
        <w:rPr>
          <w:rFonts w:hint="cs"/>
          <w:rtl/>
        </w:rPr>
        <w:t>וקידום הקמת הוועד המנהל על מנת ש</w:t>
      </w:r>
      <w:r w:rsidRPr="00F72340">
        <w:rPr>
          <w:rFonts w:hint="cs"/>
          <w:rtl/>
        </w:rPr>
        <w:t xml:space="preserve">גביית החובות עבור המדינה </w:t>
      </w:r>
      <w:r>
        <w:rPr>
          <w:rFonts w:hint="cs"/>
          <w:rtl/>
        </w:rPr>
        <w:t xml:space="preserve">תתבצע </w:t>
      </w:r>
      <w:r w:rsidRPr="00F72340">
        <w:rPr>
          <w:rFonts w:hint="cs"/>
          <w:rtl/>
        </w:rPr>
        <w:t>בצורה היעילה ביותר.</w:t>
      </w:r>
    </w:p>
    <w:p w14:paraId="6B675A21" w14:textId="77777777" w:rsidR="007C4395" w:rsidRDefault="007C4395" w:rsidP="002A738D">
      <w:pPr>
        <w:pStyle w:val="7190"/>
        <w:rPr>
          <w:rtl/>
        </w:rPr>
      </w:pPr>
      <w:r>
        <w:rPr>
          <w:rFonts w:hint="cs"/>
          <w:rtl/>
        </w:rPr>
        <w:t xml:space="preserve">בתשובת אגף </w:t>
      </w:r>
      <w:proofErr w:type="spellStart"/>
      <w:r>
        <w:rPr>
          <w:rFonts w:hint="cs"/>
          <w:rtl/>
        </w:rPr>
        <w:t>החשכ"ל</w:t>
      </w:r>
      <w:proofErr w:type="spellEnd"/>
      <w:r>
        <w:rPr>
          <w:rFonts w:hint="cs"/>
          <w:rtl/>
        </w:rPr>
        <w:t xml:space="preserve"> צוין כי הדבר מבוצע באופן שוטף</w:t>
      </w:r>
      <w:r>
        <w:rPr>
          <w:rStyle w:val="ac"/>
          <w:rtl/>
        </w:rPr>
        <w:footnoteReference w:id="81"/>
      </w:r>
      <w:r>
        <w:rPr>
          <w:rFonts w:hint="cs"/>
          <w:rtl/>
        </w:rPr>
        <w:t>, אולם בכוונתו להסדיר נושא זה.</w:t>
      </w:r>
    </w:p>
    <w:p w14:paraId="76F991E8" w14:textId="77777777" w:rsidR="007C4395" w:rsidRDefault="007C4395" w:rsidP="002A738D">
      <w:pPr>
        <w:pStyle w:val="7190"/>
        <w:rPr>
          <w:rtl/>
        </w:rPr>
      </w:pPr>
      <w:r>
        <w:rPr>
          <w:rFonts w:hint="cs"/>
          <w:rtl/>
        </w:rPr>
        <w:t xml:space="preserve">בתשובת רשות האכיפה והגבייה נמסר כי מוסכם שיש להמשיך ולפעול לטיפוח שיתוף הפעולה עם הגופים השונים. רשות האכיפה והגבייה הוסיפה כי בעת העברת חובות ממשרד ממשלתי </w:t>
      </w:r>
      <w:proofErr w:type="spellStart"/>
      <w:r>
        <w:rPr>
          <w:rFonts w:hint="cs"/>
          <w:rtl/>
        </w:rPr>
        <w:t>למג"ק</w:t>
      </w:r>
      <w:proofErr w:type="spellEnd"/>
      <w:r>
        <w:rPr>
          <w:rFonts w:hint="cs"/>
          <w:rtl/>
        </w:rPr>
        <w:t xml:space="preserve"> נחתם כתב התחייבות הדדי שמבהיר את חלוקת האחריות לתקלות בין הצדדים.</w:t>
      </w:r>
    </w:p>
    <w:p w14:paraId="5F5F5D1A" w14:textId="77777777" w:rsidR="007C4395" w:rsidRDefault="007C4395" w:rsidP="006F4D0D">
      <w:pPr>
        <w:pStyle w:val="71414"/>
        <w:rPr>
          <w:rtl/>
        </w:rPr>
      </w:pPr>
      <w:r>
        <w:rPr>
          <w:rFonts w:hint="cs"/>
          <w:rtl/>
        </w:rPr>
        <w:t>פשרות והסדרי חוב</w:t>
      </w:r>
    </w:p>
    <w:p w14:paraId="688396F8" w14:textId="77777777" w:rsidR="007C4395" w:rsidRDefault="007C4395" w:rsidP="002A738D">
      <w:pPr>
        <w:pStyle w:val="7190"/>
        <w:rPr>
          <w:rtl/>
        </w:rPr>
      </w:pPr>
      <w:r>
        <w:rPr>
          <w:rFonts w:hint="cs"/>
          <w:rtl/>
        </w:rPr>
        <w:t>חלק בלתי נפרד מהפעילות השוטפת של משרדי הממשלה ויחידות הסמך בתחום גביית חובות כולל עריכת פשרות והסדרי חוב המשליכים על הדוחות הכספיים של הממשלה. אשר על כן, נודעת חשיבות רבה לתהליכי בחינה, הפקת לקחים, שיפור תהליכי העבודה והטמעתם במשרדי הממשלה וביחידות הסמך.</w:t>
      </w:r>
    </w:p>
    <w:p w14:paraId="1B4390D9" w14:textId="77777777" w:rsidR="007C4395" w:rsidRDefault="007C4395" w:rsidP="002A738D">
      <w:pPr>
        <w:pStyle w:val="7190"/>
        <w:rPr>
          <w:rtl/>
        </w:rPr>
      </w:pPr>
      <w:r>
        <w:rPr>
          <w:rFonts w:hint="cs"/>
          <w:rtl/>
        </w:rPr>
        <w:t xml:space="preserve">ביולי 2019 פרסם החשב הכללי הוראת </w:t>
      </w:r>
      <w:proofErr w:type="spellStart"/>
      <w:r>
        <w:rPr>
          <w:rFonts w:hint="cs"/>
          <w:rtl/>
        </w:rPr>
        <w:t>תכ"ם</w:t>
      </w:r>
      <w:proofErr w:type="spellEnd"/>
      <w:r>
        <w:rPr>
          <w:rStyle w:val="ac"/>
          <w:rtl/>
        </w:rPr>
        <w:footnoteReference w:id="82"/>
      </w:r>
      <w:r>
        <w:rPr>
          <w:rFonts w:hint="cs"/>
          <w:rtl/>
        </w:rPr>
        <w:t xml:space="preserve"> בנושא "טיפול בפשרות</w:t>
      </w:r>
      <w:r>
        <w:rPr>
          <w:rStyle w:val="ac"/>
          <w:rtl/>
        </w:rPr>
        <w:footnoteReference w:id="83"/>
      </w:r>
      <w:r>
        <w:rPr>
          <w:rFonts w:hint="cs"/>
          <w:rtl/>
        </w:rPr>
        <w:t xml:space="preserve"> והסדרי חוב</w:t>
      </w:r>
      <w:r>
        <w:rPr>
          <w:rStyle w:val="ac"/>
          <w:rtl/>
        </w:rPr>
        <w:footnoteReference w:id="84"/>
      </w:r>
      <w:r>
        <w:rPr>
          <w:rFonts w:hint="cs"/>
          <w:rtl/>
        </w:rPr>
        <w:t xml:space="preserve"> (לרבות מחיקות)" (להלן - הוראת </w:t>
      </w:r>
      <w:proofErr w:type="spellStart"/>
      <w:r>
        <w:rPr>
          <w:rFonts w:hint="cs"/>
          <w:rtl/>
        </w:rPr>
        <w:t>תכ"ם</w:t>
      </w:r>
      <w:proofErr w:type="spellEnd"/>
      <w:r>
        <w:rPr>
          <w:rFonts w:hint="cs"/>
          <w:rtl/>
        </w:rPr>
        <w:t xml:space="preserve"> בתחום פשרות והסדרי חוב), במטרה להנחות את חשבי המשרדים בכל הנוגע לתהליך העבודה בטיפול בפשרות ובהסדרי חוב, לרבות מחיקות, בשם משרדי הממשלה השונים, ולגבי מנגנון הדיווח הנדרש למטה אגף </w:t>
      </w:r>
      <w:proofErr w:type="spellStart"/>
      <w:r>
        <w:rPr>
          <w:rFonts w:hint="cs"/>
          <w:rtl/>
        </w:rPr>
        <w:t>החשכ"ל</w:t>
      </w:r>
      <w:proofErr w:type="spellEnd"/>
      <w:r>
        <w:rPr>
          <w:rFonts w:hint="cs"/>
          <w:rtl/>
        </w:rPr>
        <w:t xml:space="preserve">. על פי הוראת </w:t>
      </w:r>
      <w:proofErr w:type="spellStart"/>
      <w:r>
        <w:rPr>
          <w:rFonts w:hint="cs"/>
          <w:rtl/>
        </w:rPr>
        <w:t>התכ"ם</w:t>
      </w:r>
      <w:proofErr w:type="spellEnd"/>
      <w:r>
        <w:rPr>
          <w:rFonts w:hint="cs"/>
          <w:rtl/>
        </w:rPr>
        <w:t>, תוקם ועדה עליונה לפשרות ולהסדרי חוב (להלן - ועדה עליונה) שמְּמַנֶּה החשב הכללי וכן ועדה משרדית לפשרות ולהסדרי חוב (להלן - ועדה משרדית) בכל אחד ממשרדי הממשלה שממנים מנכ"לי המשרדים הממשלתיים. הוועדות פועלות בהתאם למדרג סמכויות שנקבעו בהודעה "מדרג סמכויות לאישור פשרות והסדרי חוב (לרבות מחיקות)</w:t>
      </w:r>
      <w:r>
        <w:rPr>
          <w:rStyle w:val="ac"/>
          <w:rtl/>
        </w:rPr>
        <w:footnoteReference w:id="85"/>
      </w:r>
      <w:r>
        <w:rPr>
          <w:rFonts w:hint="cs"/>
          <w:rtl/>
        </w:rPr>
        <w:t>".</w:t>
      </w:r>
    </w:p>
    <w:p w14:paraId="0A1885C4" w14:textId="77777777" w:rsidR="007C4395" w:rsidRDefault="007C4395" w:rsidP="002A738D">
      <w:pPr>
        <w:pStyle w:val="7190"/>
        <w:rPr>
          <w:rtl/>
        </w:rPr>
      </w:pPr>
      <w:r>
        <w:rPr>
          <w:rFonts w:hint="cs"/>
          <w:rtl/>
        </w:rPr>
        <w:lastRenderedPageBreak/>
        <w:t xml:space="preserve">עוד נקבע בהוראת </w:t>
      </w:r>
      <w:proofErr w:type="spellStart"/>
      <w:r>
        <w:rPr>
          <w:rFonts w:hint="cs"/>
          <w:rtl/>
        </w:rPr>
        <w:t>התכ"ם</w:t>
      </w:r>
      <w:proofErr w:type="spellEnd"/>
      <w:r>
        <w:rPr>
          <w:rFonts w:hint="cs"/>
          <w:rtl/>
        </w:rPr>
        <w:t xml:space="preserve"> האמורה, כי על כל חשב משרד להעביר לידי מרכז הוועדה העליונה דיווח בדבר הפשרות והסדרי החוב שאושרו ושלא אושרו בכל שנה, ועל יושב ראש הוועדה העליונה להעביר לחשב הכללי דוח שנתי על אודות כלל הסדרי החוב והפשרות שאושרו במטה החשב הכללי ובמשרדים בשנה שעברה.</w:t>
      </w:r>
    </w:p>
    <w:p w14:paraId="69D054C4" w14:textId="77777777" w:rsidR="007C4395" w:rsidRDefault="007C4395" w:rsidP="002A738D">
      <w:pPr>
        <w:pStyle w:val="7190"/>
        <w:rPr>
          <w:rtl/>
        </w:rPr>
      </w:pPr>
      <w:r>
        <w:rPr>
          <w:rFonts w:hint="cs"/>
          <w:rtl/>
        </w:rPr>
        <w:t xml:space="preserve">בתגובת </w:t>
      </w:r>
      <w:proofErr w:type="spellStart"/>
      <w:r>
        <w:rPr>
          <w:rFonts w:hint="cs"/>
          <w:rtl/>
        </w:rPr>
        <w:t>החשכ"ל</w:t>
      </w:r>
      <w:proofErr w:type="spellEnd"/>
      <w:r>
        <w:rPr>
          <w:rFonts w:hint="cs"/>
          <w:rtl/>
        </w:rPr>
        <w:t xml:space="preserve"> מאוגוסט 2021 צוין כי בשנת 2020 היה משרד הבריאות המשרד היחיד שלא דיווח לוועדה העליונה על הפשרות ועל הסדרי החוב. לדברי </w:t>
      </w:r>
      <w:proofErr w:type="spellStart"/>
      <w:r>
        <w:rPr>
          <w:rFonts w:hint="cs"/>
          <w:rtl/>
        </w:rPr>
        <w:t>החשכ"ל</w:t>
      </w:r>
      <w:proofErr w:type="spellEnd"/>
      <w:r>
        <w:rPr>
          <w:rFonts w:hint="cs"/>
          <w:rtl/>
        </w:rPr>
        <w:t>, ההסבר שניתן לכך היה תקלה במערכת המחשוב.</w:t>
      </w:r>
    </w:p>
    <w:p w14:paraId="7850D59E" w14:textId="77777777" w:rsidR="007C4395" w:rsidRPr="008A3E5F" w:rsidRDefault="007C4395" w:rsidP="002A738D">
      <w:pPr>
        <w:pStyle w:val="7190"/>
        <w:rPr>
          <w:rtl/>
        </w:rPr>
      </w:pPr>
      <w:r>
        <w:rPr>
          <w:rFonts w:hint="cs"/>
          <w:rtl/>
        </w:rPr>
        <w:t>בתשובת משרד הבריאות צוין כי</w:t>
      </w:r>
      <w:r>
        <w:t xml:space="preserve"> </w:t>
      </w:r>
      <w:r>
        <w:rPr>
          <w:rFonts w:hint="cs"/>
          <w:rtl/>
        </w:rPr>
        <w:t>בשנת 2020 בוצע דיווח</w:t>
      </w:r>
      <w:r w:rsidRPr="000538FF">
        <w:rPr>
          <w:rtl/>
        </w:rPr>
        <w:t xml:space="preserve"> </w:t>
      </w:r>
      <w:proofErr w:type="spellStart"/>
      <w:r w:rsidRPr="000538FF">
        <w:rPr>
          <w:rtl/>
        </w:rPr>
        <w:t>לחשכ"ל</w:t>
      </w:r>
      <w:proofErr w:type="spellEnd"/>
      <w:r w:rsidRPr="000538FF">
        <w:rPr>
          <w:rtl/>
        </w:rPr>
        <w:t xml:space="preserve"> על מחיקות</w:t>
      </w:r>
      <w:r>
        <w:rPr>
          <w:rFonts w:hint="cs"/>
          <w:rtl/>
        </w:rPr>
        <w:t xml:space="preserve">, </w:t>
      </w:r>
      <w:r w:rsidRPr="000538FF">
        <w:rPr>
          <w:rtl/>
        </w:rPr>
        <w:t xml:space="preserve">אולם </w:t>
      </w:r>
      <w:r>
        <w:rPr>
          <w:rFonts w:hint="cs"/>
          <w:rtl/>
        </w:rPr>
        <w:t>דיווח על פשרות לא הועבר,</w:t>
      </w:r>
      <w:r w:rsidRPr="000538FF">
        <w:rPr>
          <w:rtl/>
        </w:rPr>
        <w:t xml:space="preserve"> בשל בעיות כ</w:t>
      </w:r>
      <w:r>
        <w:rPr>
          <w:rFonts w:hint="cs"/>
          <w:rtl/>
        </w:rPr>
        <w:t>ו</w:t>
      </w:r>
      <w:r>
        <w:rPr>
          <w:rtl/>
        </w:rPr>
        <w:t xml:space="preserve">ח אדם. </w:t>
      </w:r>
      <w:r>
        <w:rPr>
          <w:rFonts w:hint="cs"/>
          <w:rtl/>
        </w:rPr>
        <w:t xml:space="preserve">משרד הבריאות הוסיף שמעתה </w:t>
      </w:r>
      <w:r w:rsidRPr="000538FF">
        <w:rPr>
          <w:rtl/>
        </w:rPr>
        <w:t>הנושא ירוכז במחלקת הכנסות וגבי</w:t>
      </w:r>
      <w:r>
        <w:rPr>
          <w:rFonts w:hint="cs"/>
          <w:rtl/>
        </w:rPr>
        <w:t>י</w:t>
      </w:r>
      <w:r w:rsidRPr="000538FF">
        <w:rPr>
          <w:rtl/>
        </w:rPr>
        <w:t>ה</w:t>
      </w:r>
      <w:r>
        <w:rPr>
          <w:rFonts w:hint="cs"/>
          <w:rtl/>
        </w:rPr>
        <w:t>,</w:t>
      </w:r>
      <w:r w:rsidRPr="000538FF">
        <w:rPr>
          <w:rtl/>
        </w:rPr>
        <w:t xml:space="preserve"> ו</w:t>
      </w:r>
      <w:r>
        <w:rPr>
          <w:rFonts w:hint="cs"/>
          <w:rtl/>
        </w:rPr>
        <w:t xml:space="preserve">מהשנה הקרובה </w:t>
      </w:r>
      <w:r w:rsidRPr="000538FF">
        <w:rPr>
          <w:rtl/>
        </w:rPr>
        <w:t xml:space="preserve">יועבר </w:t>
      </w:r>
      <w:r>
        <w:rPr>
          <w:rFonts w:hint="cs"/>
          <w:rtl/>
        </w:rPr>
        <w:t xml:space="preserve">דיווח </w:t>
      </w:r>
      <w:r w:rsidRPr="000538FF">
        <w:rPr>
          <w:rtl/>
        </w:rPr>
        <w:t xml:space="preserve">באופן מסודר </w:t>
      </w:r>
      <w:r>
        <w:rPr>
          <w:rFonts w:hint="cs"/>
          <w:rtl/>
        </w:rPr>
        <w:t>ו</w:t>
      </w:r>
      <w:r w:rsidRPr="000538FF">
        <w:rPr>
          <w:rtl/>
        </w:rPr>
        <w:t>בהתאם לכללים.</w:t>
      </w:r>
    </w:p>
    <w:p w14:paraId="501FF640" w14:textId="77777777" w:rsidR="007C4395" w:rsidRDefault="007C4395" w:rsidP="002A738D">
      <w:pPr>
        <w:pStyle w:val="7190"/>
      </w:pPr>
      <w:r>
        <w:rPr>
          <w:rFonts w:hint="cs"/>
          <w:rtl/>
        </w:rPr>
        <w:t xml:space="preserve">להלן נתוני הפשרות, המחיקות והסדרי החוב שאישרה הוועדה העליונה בשנים 2018 - 2020 לפי נתונים שהתקבלו מאגף </w:t>
      </w:r>
      <w:proofErr w:type="spellStart"/>
      <w:r>
        <w:rPr>
          <w:rFonts w:hint="cs"/>
          <w:rtl/>
        </w:rPr>
        <w:t>החשכ"ל</w:t>
      </w:r>
      <w:proofErr w:type="spellEnd"/>
      <w:r>
        <w:rPr>
          <w:rFonts w:hint="cs"/>
          <w:rtl/>
        </w:rPr>
        <w:t>.</w:t>
      </w:r>
    </w:p>
    <w:p w14:paraId="514F0710" w14:textId="77777777" w:rsidR="007C4395" w:rsidRPr="006F4D0D" w:rsidRDefault="007C4395" w:rsidP="006F4D0D">
      <w:pPr>
        <w:pStyle w:val="71a"/>
        <w:rPr>
          <w:rtl/>
        </w:rPr>
      </w:pPr>
      <w:r w:rsidRPr="006F4D0D">
        <w:rPr>
          <w:rFonts w:hint="cs"/>
          <w:b w:val="0"/>
          <w:bCs w:val="0"/>
          <w:rtl/>
        </w:rPr>
        <w:t>תרשים 23:</w:t>
      </w:r>
      <w:r w:rsidRPr="006F4D0D">
        <w:rPr>
          <w:rFonts w:hint="cs"/>
          <w:rtl/>
        </w:rPr>
        <w:t xml:space="preserve"> סכומי פשרות</w:t>
      </w:r>
      <w:r w:rsidRPr="006F4D0D">
        <w:rPr>
          <w:rStyle w:val="ac"/>
          <w:rtl/>
        </w:rPr>
        <w:footnoteReference w:id="86"/>
      </w:r>
      <w:r w:rsidRPr="006F4D0D">
        <w:rPr>
          <w:rFonts w:hint="cs"/>
          <w:rtl/>
        </w:rPr>
        <w:t>, מחיקות והסדרי חוב שאושרו בוועדה העליונה, 2018 - 2020 (במיליוני ש"ח)</w:t>
      </w:r>
    </w:p>
    <w:p w14:paraId="5FCED6A3" w14:textId="77777777" w:rsidR="007C4395" w:rsidRPr="006D5281" w:rsidRDefault="007C4395" w:rsidP="007C4395">
      <w:pPr>
        <w:spacing w:line="269" w:lineRule="auto"/>
        <w:jc w:val="center"/>
        <w:rPr>
          <w:b/>
          <w:bCs/>
          <w:rtl/>
        </w:rPr>
      </w:pPr>
      <w:r>
        <w:rPr>
          <w:b/>
          <w:bCs/>
          <w:noProof/>
        </w:rPr>
        <w:drawing>
          <wp:inline distT="0" distB="0" distL="0" distR="0" wp14:anchorId="3033EF31" wp14:editId="62FCACF8">
            <wp:extent cx="4756785" cy="2635994"/>
            <wp:effectExtent l="0" t="0" r="0" b="0"/>
            <wp:docPr id="765912906" name="תמונה 76591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06" name="תמונה 765912906"/>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4783973" cy="2651061"/>
                    </a:xfrm>
                    <a:prstGeom prst="rect">
                      <a:avLst/>
                    </a:prstGeom>
                    <a:noFill/>
                  </pic:spPr>
                </pic:pic>
              </a:graphicData>
            </a:graphic>
          </wp:inline>
        </w:drawing>
      </w:r>
    </w:p>
    <w:p w14:paraId="1D0D25A6" w14:textId="77777777" w:rsidR="007C4395" w:rsidRPr="002908EB" w:rsidRDefault="007C4395" w:rsidP="003B2683">
      <w:pPr>
        <w:pStyle w:val="71c"/>
        <w:rPr>
          <w:rtl/>
        </w:rPr>
      </w:pPr>
      <w:r w:rsidRPr="002908EB">
        <w:rPr>
          <w:rFonts w:hint="eastAsia"/>
          <w:rtl/>
        </w:rPr>
        <w:t>על</w:t>
      </w:r>
      <w:r w:rsidRPr="002908EB">
        <w:rPr>
          <w:rtl/>
        </w:rPr>
        <w:t xml:space="preserve"> </w:t>
      </w:r>
      <w:r w:rsidRPr="002908EB">
        <w:rPr>
          <w:rFonts w:hint="eastAsia"/>
          <w:rtl/>
        </w:rPr>
        <w:t>פי</w:t>
      </w:r>
      <w:r w:rsidRPr="002908EB">
        <w:rPr>
          <w:rtl/>
        </w:rPr>
        <w:t xml:space="preserve"> מצגת שנתית מאת אגף </w:t>
      </w:r>
      <w:proofErr w:type="spellStart"/>
      <w:r w:rsidRPr="002908EB">
        <w:rPr>
          <w:rtl/>
        </w:rPr>
        <w:t>החשכ"ל</w:t>
      </w:r>
      <w:proofErr w:type="spellEnd"/>
      <w:r w:rsidRPr="002908EB">
        <w:rPr>
          <w:rtl/>
        </w:rPr>
        <w:t xml:space="preserve"> </w:t>
      </w:r>
      <w:r w:rsidRPr="002908EB">
        <w:rPr>
          <w:rFonts w:hint="eastAsia"/>
          <w:rtl/>
        </w:rPr>
        <w:t>על</w:t>
      </w:r>
      <w:r w:rsidRPr="002908EB">
        <w:rPr>
          <w:rtl/>
        </w:rPr>
        <w:t xml:space="preserve"> </w:t>
      </w:r>
      <w:r w:rsidRPr="002908EB">
        <w:rPr>
          <w:rFonts w:hint="eastAsia"/>
          <w:rtl/>
        </w:rPr>
        <w:t>אודות</w:t>
      </w:r>
      <w:r w:rsidRPr="002908EB">
        <w:rPr>
          <w:rtl/>
        </w:rPr>
        <w:t xml:space="preserve"> </w:t>
      </w:r>
      <w:r w:rsidRPr="002908EB">
        <w:rPr>
          <w:rFonts w:hint="eastAsia"/>
          <w:rtl/>
        </w:rPr>
        <w:t>פעילות</w:t>
      </w:r>
      <w:r w:rsidRPr="002908EB">
        <w:rPr>
          <w:rtl/>
        </w:rPr>
        <w:t xml:space="preserve"> </w:t>
      </w:r>
      <w:r w:rsidRPr="002908EB">
        <w:rPr>
          <w:rFonts w:hint="eastAsia"/>
          <w:rtl/>
        </w:rPr>
        <w:t>הוועדה</w:t>
      </w:r>
      <w:r w:rsidRPr="002908EB">
        <w:rPr>
          <w:rtl/>
        </w:rPr>
        <w:t xml:space="preserve"> </w:t>
      </w:r>
      <w:r w:rsidRPr="002908EB">
        <w:rPr>
          <w:rFonts w:hint="eastAsia"/>
          <w:rtl/>
        </w:rPr>
        <w:t>שמוצגת</w:t>
      </w:r>
      <w:r w:rsidRPr="002908EB">
        <w:rPr>
          <w:rtl/>
        </w:rPr>
        <w:t xml:space="preserve"> </w:t>
      </w:r>
      <w:r w:rsidRPr="002908EB">
        <w:rPr>
          <w:rFonts w:hint="eastAsia"/>
          <w:rtl/>
        </w:rPr>
        <w:t>לחשב</w:t>
      </w:r>
      <w:r w:rsidRPr="002908EB">
        <w:rPr>
          <w:rtl/>
        </w:rPr>
        <w:t xml:space="preserve"> </w:t>
      </w:r>
      <w:r w:rsidRPr="002908EB">
        <w:rPr>
          <w:rFonts w:hint="eastAsia"/>
          <w:rtl/>
        </w:rPr>
        <w:t>הכללי</w:t>
      </w:r>
      <w:r w:rsidRPr="002908EB">
        <w:rPr>
          <w:rtl/>
        </w:rPr>
        <w:t xml:space="preserve">, </w:t>
      </w:r>
      <w:r w:rsidRPr="002908EB">
        <w:rPr>
          <w:rFonts w:hint="eastAsia"/>
          <w:rtl/>
        </w:rPr>
        <w:t>בעיבוד</w:t>
      </w:r>
      <w:r w:rsidRPr="002908EB">
        <w:rPr>
          <w:rtl/>
        </w:rPr>
        <w:t xml:space="preserve"> </w:t>
      </w:r>
      <w:r w:rsidRPr="002908EB">
        <w:rPr>
          <w:rFonts w:hint="eastAsia"/>
          <w:rtl/>
        </w:rPr>
        <w:t>משרד</w:t>
      </w:r>
      <w:r w:rsidRPr="002908EB">
        <w:rPr>
          <w:rtl/>
        </w:rPr>
        <w:t xml:space="preserve"> </w:t>
      </w:r>
      <w:r w:rsidRPr="002908EB">
        <w:rPr>
          <w:rFonts w:hint="eastAsia"/>
          <w:rtl/>
        </w:rPr>
        <w:t>מבקר</w:t>
      </w:r>
      <w:r w:rsidRPr="002908EB">
        <w:rPr>
          <w:rtl/>
        </w:rPr>
        <w:t xml:space="preserve"> </w:t>
      </w:r>
      <w:r w:rsidRPr="002908EB">
        <w:rPr>
          <w:rFonts w:hint="eastAsia"/>
          <w:rtl/>
        </w:rPr>
        <w:t>המדינה</w:t>
      </w:r>
      <w:r w:rsidRPr="002908EB">
        <w:rPr>
          <w:rtl/>
        </w:rPr>
        <w:t>.</w:t>
      </w:r>
    </w:p>
    <w:p w14:paraId="1C6A2381" w14:textId="77777777" w:rsidR="007C4395" w:rsidRDefault="007C4395" w:rsidP="002A738D">
      <w:pPr>
        <w:pStyle w:val="7190"/>
        <w:rPr>
          <w:rtl/>
        </w:rPr>
      </w:pPr>
      <w:r w:rsidRPr="00CE4CED">
        <w:rPr>
          <w:rFonts w:hint="eastAsia"/>
          <w:rtl/>
        </w:rPr>
        <w:t>מהתרשים</w:t>
      </w:r>
      <w:r w:rsidRPr="00CE4CED">
        <w:rPr>
          <w:rtl/>
        </w:rPr>
        <w:t xml:space="preserve"> </w:t>
      </w:r>
      <w:r w:rsidRPr="00CE4CED">
        <w:rPr>
          <w:rFonts w:hint="eastAsia"/>
          <w:rtl/>
        </w:rPr>
        <w:t>עולה</w:t>
      </w:r>
      <w:r w:rsidRPr="00CE4CED">
        <w:rPr>
          <w:rtl/>
        </w:rPr>
        <w:t xml:space="preserve"> </w:t>
      </w:r>
      <w:r w:rsidRPr="00CE4CED">
        <w:rPr>
          <w:rFonts w:hint="eastAsia"/>
          <w:rtl/>
        </w:rPr>
        <w:t>כי</w:t>
      </w:r>
      <w:r w:rsidRPr="00CE4CED">
        <w:rPr>
          <w:rtl/>
        </w:rPr>
        <w:t xml:space="preserve"> </w:t>
      </w:r>
      <w:r w:rsidRPr="00CE4CED">
        <w:rPr>
          <w:rFonts w:hint="eastAsia"/>
          <w:rtl/>
        </w:rPr>
        <w:t>בשנים</w:t>
      </w:r>
      <w:r w:rsidRPr="00CE4CED">
        <w:rPr>
          <w:rtl/>
        </w:rPr>
        <w:t xml:space="preserve"> 2018 - 2020 </w:t>
      </w:r>
      <w:r w:rsidRPr="00CE4CED">
        <w:rPr>
          <w:rFonts w:hint="eastAsia"/>
          <w:rtl/>
        </w:rPr>
        <w:t>אישרה</w:t>
      </w:r>
      <w:r w:rsidRPr="00CE4CED">
        <w:rPr>
          <w:rtl/>
        </w:rPr>
        <w:t xml:space="preserve"> </w:t>
      </w:r>
      <w:r w:rsidRPr="00CE4CED">
        <w:rPr>
          <w:rFonts w:hint="eastAsia"/>
          <w:rtl/>
        </w:rPr>
        <w:t>הוועדה</w:t>
      </w:r>
      <w:r w:rsidRPr="00CE4CED">
        <w:rPr>
          <w:rtl/>
        </w:rPr>
        <w:t xml:space="preserve"> </w:t>
      </w:r>
      <w:r w:rsidRPr="00CE4CED">
        <w:rPr>
          <w:rFonts w:hint="eastAsia"/>
          <w:rtl/>
        </w:rPr>
        <w:t>העליונה</w:t>
      </w:r>
      <w:r w:rsidRPr="00CE4CED">
        <w:rPr>
          <w:rtl/>
        </w:rPr>
        <w:t xml:space="preserve"> </w:t>
      </w:r>
      <w:r w:rsidRPr="00CE4CED">
        <w:rPr>
          <w:rFonts w:hint="eastAsia"/>
          <w:rtl/>
        </w:rPr>
        <w:t>מחיקת</w:t>
      </w:r>
      <w:r w:rsidRPr="00CE4CED">
        <w:rPr>
          <w:rtl/>
        </w:rPr>
        <w:t xml:space="preserve"> </w:t>
      </w:r>
      <w:r w:rsidRPr="00CE4CED">
        <w:rPr>
          <w:rFonts w:hint="eastAsia"/>
          <w:rtl/>
        </w:rPr>
        <w:t>חובות</w:t>
      </w:r>
      <w:r w:rsidRPr="00CE4CED">
        <w:rPr>
          <w:rtl/>
        </w:rPr>
        <w:t xml:space="preserve"> </w:t>
      </w:r>
      <w:r w:rsidRPr="00CE4CED">
        <w:rPr>
          <w:rFonts w:hint="eastAsia"/>
          <w:rtl/>
        </w:rPr>
        <w:t>בסכום</w:t>
      </w:r>
      <w:r w:rsidRPr="00CE4CED">
        <w:rPr>
          <w:rtl/>
        </w:rPr>
        <w:t xml:space="preserve"> </w:t>
      </w:r>
      <w:r w:rsidRPr="00CE4CED">
        <w:rPr>
          <w:rFonts w:hint="eastAsia"/>
          <w:rtl/>
        </w:rPr>
        <w:t>מצטבר</w:t>
      </w:r>
      <w:r w:rsidRPr="00CE4CED">
        <w:rPr>
          <w:rtl/>
        </w:rPr>
        <w:t xml:space="preserve"> </w:t>
      </w:r>
      <w:r w:rsidRPr="00CE4CED">
        <w:rPr>
          <w:rFonts w:hint="eastAsia"/>
          <w:rtl/>
        </w:rPr>
        <w:t>של</w:t>
      </w:r>
      <w:r w:rsidRPr="00CE4CED">
        <w:rPr>
          <w:rtl/>
        </w:rPr>
        <w:t xml:space="preserve"> </w:t>
      </w:r>
      <w:r w:rsidRPr="00CE4CED">
        <w:rPr>
          <w:rFonts w:hint="eastAsia"/>
          <w:rtl/>
        </w:rPr>
        <w:t>כ</w:t>
      </w:r>
      <w:r w:rsidRPr="00CE4CED">
        <w:rPr>
          <w:rtl/>
        </w:rPr>
        <w:t xml:space="preserve">-5,209 </w:t>
      </w:r>
      <w:r w:rsidRPr="00CE4CED">
        <w:rPr>
          <w:rFonts w:hint="eastAsia"/>
          <w:rtl/>
        </w:rPr>
        <w:t>מיליון</w:t>
      </w:r>
      <w:r w:rsidRPr="00CE4CED">
        <w:rPr>
          <w:rtl/>
        </w:rPr>
        <w:t xml:space="preserve"> </w:t>
      </w:r>
      <w:r w:rsidRPr="00CE4CED">
        <w:rPr>
          <w:rFonts w:hint="eastAsia"/>
          <w:rtl/>
        </w:rPr>
        <w:t>ש</w:t>
      </w:r>
      <w:r w:rsidRPr="00CE4CED">
        <w:rPr>
          <w:rtl/>
        </w:rPr>
        <w:t>"ח</w:t>
      </w:r>
      <w:r w:rsidRPr="00082801">
        <w:rPr>
          <w:rFonts w:hint="cs"/>
          <w:rtl/>
        </w:rPr>
        <w:t>, לפי</w:t>
      </w:r>
      <w:r>
        <w:rPr>
          <w:rFonts w:hint="cs"/>
          <w:rtl/>
        </w:rPr>
        <w:t xml:space="preserve"> הפירוט הזה: </w:t>
      </w:r>
    </w:p>
    <w:p w14:paraId="2EE0C94E" w14:textId="77777777" w:rsidR="007C4395" w:rsidRPr="003B2683" w:rsidRDefault="007C4395" w:rsidP="0038598B">
      <w:pPr>
        <w:pStyle w:val="714"/>
        <w:numPr>
          <w:ilvl w:val="0"/>
          <w:numId w:val="29"/>
        </w:numPr>
        <w:rPr>
          <w:rtl/>
        </w:rPr>
      </w:pPr>
      <w:r w:rsidRPr="003B2683">
        <w:rPr>
          <w:rFonts w:hint="cs"/>
          <w:rtl/>
        </w:rPr>
        <w:lastRenderedPageBreak/>
        <w:t xml:space="preserve">בשנת 2020 אישרה הוועדה העליונה מחיקות בסכום של כ-153 מיליון ש"ח, שנובע בעיקרו מחובות לכבאות והצלה לישראל (כ-95 מיליון ש"ח) </w:t>
      </w:r>
      <w:proofErr w:type="spellStart"/>
      <w:r w:rsidRPr="003B2683">
        <w:rPr>
          <w:rFonts w:hint="cs"/>
          <w:rtl/>
        </w:rPr>
        <w:t>ולרמ"י</w:t>
      </w:r>
      <w:proofErr w:type="spellEnd"/>
      <w:r w:rsidRPr="003B2683">
        <w:rPr>
          <w:rFonts w:hint="cs"/>
          <w:rtl/>
        </w:rPr>
        <w:t xml:space="preserve"> (כ-29 מיליון ש"ח). </w:t>
      </w:r>
    </w:p>
    <w:p w14:paraId="00978D15" w14:textId="77777777" w:rsidR="007C4395" w:rsidRPr="003B2683" w:rsidRDefault="007C4395" w:rsidP="0038598B">
      <w:pPr>
        <w:pStyle w:val="714"/>
        <w:numPr>
          <w:ilvl w:val="0"/>
          <w:numId w:val="29"/>
        </w:numPr>
        <w:rPr>
          <w:rtl/>
        </w:rPr>
      </w:pPr>
      <w:r w:rsidRPr="003B2683">
        <w:rPr>
          <w:rFonts w:hint="cs"/>
          <w:rtl/>
        </w:rPr>
        <w:t>בשנת 2019 אישרה הוועדה העליונה מחיקות בסכום של כ-712 מיליון ש"ח, שנובע בעיקרו מחובות לרשות האכיפה והגבייה (כ-347 מיליון ש"ח) ולמשרד התחבורה (כ-200 מיליון ש"ח).</w:t>
      </w:r>
    </w:p>
    <w:p w14:paraId="510C06A4" w14:textId="77777777" w:rsidR="007C4395" w:rsidRPr="003B2683" w:rsidRDefault="007C4395" w:rsidP="0038598B">
      <w:pPr>
        <w:pStyle w:val="714"/>
        <w:numPr>
          <w:ilvl w:val="0"/>
          <w:numId w:val="29"/>
        </w:numPr>
        <w:rPr>
          <w:rtl/>
        </w:rPr>
      </w:pPr>
      <w:r w:rsidRPr="003B2683">
        <w:rPr>
          <w:rFonts w:hint="cs"/>
          <w:rtl/>
        </w:rPr>
        <w:t>בשנת 2018 אישרה הוועדה העליונה מחיקות בסכום של כ-4,344 מיליון ש"ח, שנובע בעיקרו מחובות למשרד המשפטים (כ-2,870 מיליון ש"ח, כולל חובות אגרה שנתית לרשם החברות כחלק מהליך טיוב נתונים ומיפוי חובות שנעשה ברשם החברות</w:t>
      </w:r>
      <w:r w:rsidRPr="003B2683">
        <w:rPr>
          <w:rStyle w:val="ac"/>
          <w:rtl/>
        </w:rPr>
        <w:footnoteReference w:id="87"/>
      </w:r>
      <w:r w:rsidRPr="003B2683">
        <w:rPr>
          <w:rFonts w:hint="cs"/>
          <w:rtl/>
        </w:rPr>
        <w:t xml:space="preserve"> בעקבות פרויקט הגבייה של אגף </w:t>
      </w:r>
      <w:proofErr w:type="spellStart"/>
      <w:r w:rsidRPr="003B2683">
        <w:rPr>
          <w:rFonts w:hint="cs"/>
          <w:rtl/>
        </w:rPr>
        <w:t>החשכ"ל</w:t>
      </w:r>
      <w:proofErr w:type="spellEnd"/>
      <w:r w:rsidRPr="003B2683">
        <w:rPr>
          <w:rFonts w:hint="cs"/>
          <w:rtl/>
        </w:rPr>
        <w:t xml:space="preserve">), למשרד הבינוי והשיכון (כ-442 מיליון ש"ח) ולרשות הממשלתית למים ולביוב (כ-382 מיליון ש"ח). </w:t>
      </w:r>
    </w:p>
    <w:p w14:paraId="55679B44" w14:textId="77777777" w:rsidR="007C4395" w:rsidRDefault="007C4395" w:rsidP="002A738D">
      <w:pPr>
        <w:pStyle w:val="7190"/>
        <w:rPr>
          <w:rtl/>
        </w:rPr>
      </w:pPr>
      <w:r>
        <w:rPr>
          <w:rFonts w:hint="cs"/>
          <w:rtl/>
        </w:rPr>
        <w:t xml:space="preserve">להלן נתוני הפשרות והמחיקות שאושרו בוועדות המשרדיות בשנים 2018 - 2020 לפי נתונים שהתקבלו מאגף </w:t>
      </w:r>
      <w:proofErr w:type="spellStart"/>
      <w:r>
        <w:rPr>
          <w:rFonts w:hint="cs"/>
          <w:rtl/>
        </w:rPr>
        <w:t>החשכ"ל</w:t>
      </w:r>
      <w:proofErr w:type="spellEnd"/>
      <w:r>
        <w:rPr>
          <w:rFonts w:hint="cs"/>
          <w:rtl/>
        </w:rPr>
        <w:t>.</w:t>
      </w:r>
    </w:p>
    <w:p w14:paraId="12EB8B52" w14:textId="2F172A2D" w:rsidR="007C4395" w:rsidRDefault="007C4395" w:rsidP="006F4D0D">
      <w:pPr>
        <w:pStyle w:val="71a"/>
        <w:rPr>
          <w:rtl/>
        </w:rPr>
      </w:pPr>
      <w:r w:rsidRPr="006F4D0D">
        <w:rPr>
          <w:rFonts w:hint="cs"/>
          <w:b w:val="0"/>
          <w:bCs w:val="0"/>
          <w:rtl/>
        </w:rPr>
        <w:t>תרשים 24:</w:t>
      </w:r>
      <w:r>
        <w:rPr>
          <w:rFonts w:hint="cs"/>
          <w:rtl/>
        </w:rPr>
        <w:t xml:space="preserve"> סכומי הפשרות והמחיקות שאושרו בוועדות המשרדיות, 2018 - 2020 (במיליוני ש"ח)</w:t>
      </w:r>
    </w:p>
    <w:p w14:paraId="1FAC9558" w14:textId="06BA28DB" w:rsidR="007C4395" w:rsidRDefault="007C4395" w:rsidP="007C4395">
      <w:pPr>
        <w:spacing w:line="269" w:lineRule="auto"/>
        <w:jc w:val="center"/>
        <w:rPr>
          <w:rtl/>
        </w:rPr>
      </w:pPr>
      <w:r>
        <w:rPr>
          <w:noProof/>
        </w:rPr>
        <w:drawing>
          <wp:inline distT="0" distB="0" distL="0" distR="0" wp14:anchorId="72E3AEC6" wp14:editId="3EED1B34">
            <wp:extent cx="4634712" cy="3131841"/>
            <wp:effectExtent l="0" t="0" r="1270" b="0"/>
            <wp:docPr id="765912907" name="תמונה 76591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07" name="תמונה 765912907"/>
                    <pic:cNvPicPr/>
                  </pic:nvPicPr>
                  <pic:blipFill rotWithShape="1">
                    <a:blip r:embed="rId56">
                      <a:extLst>
                        <a:ext uri="{28A0092B-C50C-407E-A947-70E740481C1C}">
                          <a14:useLocalDpi xmlns:a14="http://schemas.microsoft.com/office/drawing/2010/main" val="0"/>
                        </a:ext>
                      </a:extLst>
                    </a:blip>
                    <a:srcRect l="7213" r="2552"/>
                    <a:stretch/>
                  </pic:blipFill>
                  <pic:spPr bwMode="auto">
                    <a:xfrm>
                      <a:off x="0" y="0"/>
                      <a:ext cx="4653737" cy="3144697"/>
                    </a:xfrm>
                    <a:prstGeom prst="rect">
                      <a:avLst/>
                    </a:prstGeom>
                    <a:ln>
                      <a:noFill/>
                    </a:ln>
                    <a:extLst>
                      <a:ext uri="{53640926-AAD7-44D8-BBD7-CCE9431645EC}">
                        <a14:shadowObscured xmlns:a14="http://schemas.microsoft.com/office/drawing/2010/main"/>
                      </a:ext>
                    </a:extLst>
                  </pic:spPr>
                </pic:pic>
              </a:graphicData>
            </a:graphic>
          </wp:inline>
        </w:drawing>
      </w:r>
    </w:p>
    <w:p w14:paraId="3AEA1514" w14:textId="771CA204" w:rsidR="007C4395" w:rsidRPr="003B2683" w:rsidRDefault="007C4395" w:rsidP="003B2683">
      <w:pPr>
        <w:pStyle w:val="71c"/>
        <w:rPr>
          <w:rtl/>
        </w:rPr>
      </w:pPr>
      <w:r w:rsidRPr="003B2683">
        <w:rPr>
          <w:rFonts w:hint="eastAsia"/>
          <w:rtl/>
        </w:rPr>
        <w:t>על</w:t>
      </w:r>
      <w:r w:rsidRPr="003B2683">
        <w:rPr>
          <w:rtl/>
        </w:rPr>
        <w:t xml:space="preserve"> </w:t>
      </w:r>
      <w:r w:rsidRPr="003B2683">
        <w:rPr>
          <w:rFonts w:hint="eastAsia"/>
          <w:rtl/>
        </w:rPr>
        <w:t>פי</w:t>
      </w:r>
      <w:r w:rsidRPr="003B2683">
        <w:rPr>
          <w:rtl/>
        </w:rPr>
        <w:t xml:space="preserve"> מצגת שנתית </w:t>
      </w:r>
      <w:r w:rsidRPr="003B2683">
        <w:rPr>
          <w:rFonts w:hint="eastAsia"/>
          <w:rtl/>
        </w:rPr>
        <w:t>על</w:t>
      </w:r>
      <w:r w:rsidRPr="003B2683">
        <w:rPr>
          <w:rtl/>
        </w:rPr>
        <w:t xml:space="preserve"> </w:t>
      </w:r>
      <w:r w:rsidRPr="003B2683">
        <w:rPr>
          <w:rFonts w:hint="eastAsia"/>
          <w:rtl/>
        </w:rPr>
        <w:t>אודות</w:t>
      </w:r>
      <w:r w:rsidRPr="003B2683">
        <w:rPr>
          <w:rtl/>
        </w:rPr>
        <w:t xml:space="preserve"> </w:t>
      </w:r>
      <w:r w:rsidRPr="003B2683">
        <w:rPr>
          <w:rFonts w:hint="eastAsia"/>
          <w:rtl/>
        </w:rPr>
        <w:t>פעילות</w:t>
      </w:r>
      <w:r w:rsidRPr="003B2683">
        <w:rPr>
          <w:rtl/>
        </w:rPr>
        <w:t xml:space="preserve"> </w:t>
      </w:r>
      <w:r w:rsidRPr="003B2683">
        <w:rPr>
          <w:rFonts w:hint="eastAsia"/>
          <w:rtl/>
        </w:rPr>
        <w:t>הוועדות</w:t>
      </w:r>
      <w:r w:rsidRPr="003B2683">
        <w:rPr>
          <w:rtl/>
        </w:rPr>
        <w:t xml:space="preserve"> </w:t>
      </w:r>
      <w:r w:rsidRPr="003B2683">
        <w:rPr>
          <w:rFonts w:hint="eastAsia"/>
          <w:rtl/>
        </w:rPr>
        <w:t>שהוצגה</w:t>
      </w:r>
      <w:r w:rsidRPr="003B2683">
        <w:rPr>
          <w:rtl/>
        </w:rPr>
        <w:t xml:space="preserve"> </w:t>
      </w:r>
      <w:r w:rsidRPr="003B2683">
        <w:rPr>
          <w:rFonts w:hint="eastAsia"/>
          <w:rtl/>
        </w:rPr>
        <w:t>לחשב</w:t>
      </w:r>
      <w:r w:rsidRPr="003B2683">
        <w:rPr>
          <w:rtl/>
        </w:rPr>
        <w:t xml:space="preserve"> </w:t>
      </w:r>
      <w:r w:rsidRPr="003B2683">
        <w:rPr>
          <w:rFonts w:hint="eastAsia"/>
          <w:rtl/>
        </w:rPr>
        <w:t>הכללי</w:t>
      </w:r>
      <w:r w:rsidRPr="003B2683">
        <w:rPr>
          <w:rtl/>
        </w:rPr>
        <w:t xml:space="preserve">, </w:t>
      </w:r>
      <w:r w:rsidRPr="003B2683">
        <w:rPr>
          <w:rFonts w:hint="eastAsia"/>
          <w:rtl/>
        </w:rPr>
        <w:t>בעיבוד</w:t>
      </w:r>
      <w:r w:rsidRPr="003B2683">
        <w:rPr>
          <w:rtl/>
        </w:rPr>
        <w:t xml:space="preserve"> </w:t>
      </w:r>
      <w:r w:rsidRPr="003B2683">
        <w:rPr>
          <w:rFonts w:hint="eastAsia"/>
          <w:rtl/>
        </w:rPr>
        <w:t>משרד</w:t>
      </w:r>
      <w:r w:rsidRPr="003B2683">
        <w:rPr>
          <w:rtl/>
        </w:rPr>
        <w:t xml:space="preserve"> </w:t>
      </w:r>
      <w:r w:rsidRPr="003B2683">
        <w:rPr>
          <w:rFonts w:hint="eastAsia"/>
          <w:rtl/>
        </w:rPr>
        <w:t>מבקר</w:t>
      </w:r>
      <w:r w:rsidRPr="003B2683">
        <w:rPr>
          <w:rtl/>
        </w:rPr>
        <w:t xml:space="preserve"> </w:t>
      </w:r>
      <w:r w:rsidRPr="003B2683">
        <w:rPr>
          <w:rFonts w:hint="eastAsia"/>
          <w:rtl/>
        </w:rPr>
        <w:t>המדינה</w:t>
      </w:r>
      <w:r w:rsidRPr="003B2683">
        <w:rPr>
          <w:rtl/>
        </w:rPr>
        <w:t>.</w:t>
      </w:r>
    </w:p>
    <w:p w14:paraId="41377E60" w14:textId="77777777" w:rsidR="007C4395" w:rsidRDefault="007C4395" w:rsidP="002A738D">
      <w:pPr>
        <w:pStyle w:val="7190"/>
        <w:rPr>
          <w:rtl/>
        </w:rPr>
      </w:pPr>
      <w:r w:rsidRPr="00540D7D">
        <w:rPr>
          <w:rFonts w:hint="eastAsia"/>
          <w:rtl/>
        </w:rPr>
        <w:lastRenderedPageBreak/>
        <w:t>מהתרשים</w:t>
      </w:r>
      <w:r w:rsidRPr="00540D7D">
        <w:rPr>
          <w:rtl/>
        </w:rPr>
        <w:t xml:space="preserve"> </w:t>
      </w:r>
      <w:r w:rsidRPr="00540D7D">
        <w:rPr>
          <w:rFonts w:hint="eastAsia"/>
          <w:rtl/>
        </w:rPr>
        <w:t>עולה</w:t>
      </w:r>
      <w:r w:rsidRPr="00540D7D">
        <w:rPr>
          <w:rtl/>
        </w:rPr>
        <w:t xml:space="preserve"> </w:t>
      </w:r>
      <w:r w:rsidRPr="00540D7D">
        <w:rPr>
          <w:rFonts w:hint="eastAsia"/>
          <w:rtl/>
        </w:rPr>
        <w:t>כי</w:t>
      </w:r>
      <w:r w:rsidRPr="00540D7D">
        <w:rPr>
          <w:rtl/>
        </w:rPr>
        <w:t xml:space="preserve"> </w:t>
      </w:r>
      <w:r w:rsidRPr="00540D7D">
        <w:rPr>
          <w:rFonts w:hint="eastAsia"/>
          <w:rtl/>
        </w:rPr>
        <w:t>בשנים</w:t>
      </w:r>
      <w:r w:rsidRPr="00540D7D">
        <w:rPr>
          <w:rtl/>
        </w:rPr>
        <w:t xml:space="preserve"> 2018 - 2020 </w:t>
      </w:r>
      <w:r w:rsidRPr="00540D7D">
        <w:rPr>
          <w:rFonts w:hint="eastAsia"/>
          <w:rtl/>
        </w:rPr>
        <w:t>אישרו</w:t>
      </w:r>
      <w:r w:rsidRPr="00540D7D">
        <w:rPr>
          <w:rtl/>
        </w:rPr>
        <w:t xml:space="preserve"> </w:t>
      </w:r>
      <w:r w:rsidRPr="00540D7D">
        <w:rPr>
          <w:rFonts w:hint="eastAsia"/>
          <w:rtl/>
        </w:rPr>
        <w:t>הוועדות</w:t>
      </w:r>
      <w:r w:rsidRPr="00540D7D">
        <w:rPr>
          <w:rtl/>
        </w:rPr>
        <w:t xml:space="preserve"> </w:t>
      </w:r>
      <w:r w:rsidRPr="00540D7D">
        <w:rPr>
          <w:rFonts w:hint="eastAsia"/>
          <w:rtl/>
        </w:rPr>
        <w:t>המשרדיות</w:t>
      </w:r>
      <w:r w:rsidRPr="00540D7D">
        <w:rPr>
          <w:rtl/>
        </w:rPr>
        <w:t xml:space="preserve"> </w:t>
      </w:r>
      <w:r w:rsidRPr="00540D7D">
        <w:rPr>
          <w:rFonts w:hint="eastAsia"/>
          <w:rtl/>
        </w:rPr>
        <w:t>מחיקת</w:t>
      </w:r>
      <w:r w:rsidRPr="00540D7D">
        <w:rPr>
          <w:rtl/>
        </w:rPr>
        <w:t xml:space="preserve"> </w:t>
      </w:r>
      <w:r w:rsidRPr="00540D7D">
        <w:rPr>
          <w:rFonts w:hint="eastAsia"/>
          <w:rtl/>
        </w:rPr>
        <w:t>חובות</w:t>
      </w:r>
      <w:r w:rsidRPr="00540D7D">
        <w:rPr>
          <w:rtl/>
        </w:rPr>
        <w:t xml:space="preserve"> </w:t>
      </w:r>
      <w:r w:rsidRPr="00540D7D">
        <w:rPr>
          <w:rFonts w:hint="eastAsia"/>
          <w:rtl/>
        </w:rPr>
        <w:t>בסכום</w:t>
      </w:r>
      <w:r w:rsidRPr="00540D7D">
        <w:rPr>
          <w:rtl/>
        </w:rPr>
        <w:t xml:space="preserve"> </w:t>
      </w:r>
      <w:r w:rsidRPr="00540D7D">
        <w:rPr>
          <w:rFonts w:hint="eastAsia"/>
          <w:rtl/>
        </w:rPr>
        <w:t>מצטבר</w:t>
      </w:r>
      <w:r w:rsidRPr="00540D7D">
        <w:rPr>
          <w:rtl/>
        </w:rPr>
        <w:t xml:space="preserve"> </w:t>
      </w:r>
      <w:r w:rsidRPr="00540D7D">
        <w:rPr>
          <w:rFonts w:hint="eastAsia"/>
          <w:rtl/>
        </w:rPr>
        <w:t>של</w:t>
      </w:r>
      <w:r w:rsidRPr="00540D7D">
        <w:rPr>
          <w:rtl/>
        </w:rPr>
        <w:t xml:space="preserve"> </w:t>
      </w:r>
      <w:r w:rsidRPr="00540D7D">
        <w:rPr>
          <w:rFonts w:hint="eastAsia"/>
          <w:rtl/>
        </w:rPr>
        <w:t>כ</w:t>
      </w:r>
      <w:r w:rsidRPr="00540D7D">
        <w:rPr>
          <w:rtl/>
        </w:rPr>
        <w:t xml:space="preserve">-144 </w:t>
      </w:r>
      <w:r w:rsidRPr="00540D7D">
        <w:rPr>
          <w:rFonts w:hint="eastAsia"/>
          <w:rtl/>
        </w:rPr>
        <w:t>מיליון</w:t>
      </w:r>
      <w:r w:rsidRPr="00540D7D">
        <w:rPr>
          <w:rtl/>
        </w:rPr>
        <w:t xml:space="preserve"> </w:t>
      </w:r>
      <w:r w:rsidRPr="00540D7D">
        <w:rPr>
          <w:rFonts w:hint="eastAsia"/>
          <w:rtl/>
        </w:rPr>
        <w:t>ש</w:t>
      </w:r>
      <w:r w:rsidRPr="00540D7D">
        <w:rPr>
          <w:rtl/>
        </w:rPr>
        <w:t>"ח</w:t>
      </w:r>
      <w:r w:rsidRPr="001F0286">
        <w:rPr>
          <w:rFonts w:hint="cs"/>
          <w:rtl/>
        </w:rPr>
        <w:t>,</w:t>
      </w:r>
      <w:r>
        <w:rPr>
          <w:rFonts w:hint="cs"/>
          <w:rtl/>
        </w:rPr>
        <w:t xml:space="preserve"> לפי הפירוט הזה: </w:t>
      </w:r>
    </w:p>
    <w:p w14:paraId="08F8081D" w14:textId="77777777" w:rsidR="007C4395" w:rsidRDefault="007C4395" w:rsidP="0038598B">
      <w:pPr>
        <w:pStyle w:val="714"/>
        <w:numPr>
          <w:ilvl w:val="0"/>
          <w:numId w:val="30"/>
        </w:numPr>
        <w:rPr>
          <w:rtl/>
        </w:rPr>
      </w:pPr>
      <w:r>
        <w:rPr>
          <w:rFonts w:hint="cs"/>
          <w:rtl/>
        </w:rPr>
        <w:t>בשנת 2020 אושרו מחיקות חובות בסך כ-100 מיליון ש"ח, שעיקרם נובע מחובות למשרד הביטחון (כ-84 מיליון ש"ח).</w:t>
      </w:r>
    </w:p>
    <w:p w14:paraId="2E5BEED8" w14:textId="77777777" w:rsidR="007C4395" w:rsidRDefault="007C4395" w:rsidP="0038598B">
      <w:pPr>
        <w:pStyle w:val="714"/>
        <w:numPr>
          <w:ilvl w:val="0"/>
          <w:numId w:val="30"/>
        </w:numPr>
        <w:rPr>
          <w:rtl/>
        </w:rPr>
      </w:pPr>
      <w:r>
        <w:rPr>
          <w:rFonts w:hint="cs"/>
          <w:rtl/>
        </w:rPr>
        <w:t xml:space="preserve">בשנת 2019 אושרו מחיקות חובות בסך כ-34 מיליון ש"ח, שעיקרם נובע מחובות לרשות המיסים (כ-20 מיליון ש"ח) </w:t>
      </w:r>
      <w:proofErr w:type="spellStart"/>
      <w:r>
        <w:rPr>
          <w:rFonts w:hint="cs"/>
          <w:rtl/>
        </w:rPr>
        <w:t>ולרמ"י</w:t>
      </w:r>
      <w:proofErr w:type="spellEnd"/>
      <w:r>
        <w:rPr>
          <w:rFonts w:hint="cs"/>
          <w:rtl/>
        </w:rPr>
        <w:t xml:space="preserve"> (כ-7 מיליון ש"ח). </w:t>
      </w:r>
    </w:p>
    <w:p w14:paraId="17E691B0" w14:textId="284925FE" w:rsidR="007C4395" w:rsidRDefault="007C4395" w:rsidP="0038598B">
      <w:pPr>
        <w:pStyle w:val="714"/>
        <w:numPr>
          <w:ilvl w:val="0"/>
          <w:numId w:val="30"/>
        </w:numPr>
        <w:rPr>
          <w:rtl/>
        </w:rPr>
      </w:pPr>
      <w:r>
        <w:rPr>
          <w:rFonts w:hint="cs"/>
          <w:rtl/>
        </w:rPr>
        <w:t xml:space="preserve">בשנת 2018 אושרו מחיקות חובות בסך כ-10 מיליון ש"ח, שעיקרם נובע מחובות </w:t>
      </w:r>
      <w:proofErr w:type="spellStart"/>
      <w:r>
        <w:rPr>
          <w:rFonts w:hint="cs"/>
          <w:rtl/>
        </w:rPr>
        <w:t>לרמ"י</w:t>
      </w:r>
      <w:proofErr w:type="spellEnd"/>
      <w:r>
        <w:rPr>
          <w:rFonts w:hint="cs"/>
          <w:rtl/>
        </w:rPr>
        <w:t xml:space="preserve"> </w:t>
      </w:r>
      <w:r w:rsidR="003B2683">
        <w:rPr>
          <w:rtl/>
        </w:rPr>
        <w:br/>
      </w:r>
      <w:r>
        <w:rPr>
          <w:rFonts w:hint="cs"/>
          <w:rtl/>
        </w:rPr>
        <w:t>(כ-3 מיליון ש"ח) ולחטיבה להתיישבות (כ-3 מיליון ש"ח).</w:t>
      </w:r>
    </w:p>
    <w:p w14:paraId="036FCFC7" w14:textId="77777777" w:rsidR="007C4395" w:rsidRPr="003B2683" w:rsidRDefault="007C4395" w:rsidP="003B2683">
      <w:pPr>
        <w:pStyle w:val="71f4"/>
        <w:rPr>
          <w:rtl/>
        </w:rPr>
      </w:pPr>
      <w:r w:rsidRPr="003B2683">
        <w:rPr>
          <w:rFonts w:hint="cs"/>
          <w:rtl/>
        </w:rPr>
        <w:t>מומלץ כי משרדי הממשלה יפעלו לגביית החובות סמוך למועד התגבשותם, כדי לצמצם מצבים של התיישנות החובות והגשתם למחיקה</w:t>
      </w:r>
      <w:r w:rsidRPr="003B2683">
        <w:rPr>
          <w:rStyle w:val="ac"/>
          <w:rtl/>
        </w:rPr>
        <w:footnoteReference w:id="88"/>
      </w:r>
      <w:r w:rsidRPr="003B2683">
        <w:rPr>
          <w:rFonts w:hint="cs"/>
          <w:rtl/>
        </w:rPr>
        <w:t xml:space="preserve">. </w:t>
      </w:r>
    </w:p>
    <w:p w14:paraId="7382B9AA" w14:textId="77777777" w:rsidR="007C4395" w:rsidRPr="00900DA1" w:rsidRDefault="007C4395" w:rsidP="002A738D">
      <w:pPr>
        <w:pStyle w:val="7190"/>
        <w:rPr>
          <w:rtl/>
        </w:rPr>
      </w:pPr>
      <w:r>
        <w:rPr>
          <w:rFonts w:hint="cs"/>
          <w:rtl/>
        </w:rPr>
        <w:t xml:space="preserve">בתשובת </w:t>
      </w:r>
      <w:proofErr w:type="spellStart"/>
      <w:r>
        <w:rPr>
          <w:rFonts w:hint="cs"/>
          <w:rtl/>
        </w:rPr>
        <w:t>רמ"י</w:t>
      </w:r>
      <w:proofErr w:type="spellEnd"/>
      <w:r>
        <w:rPr>
          <w:rFonts w:hint="cs"/>
          <w:rtl/>
        </w:rPr>
        <w:t xml:space="preserve"> מדצמבר 2021 (להלן - תשובת </w:t>
      </w:r>
      <w:proofErr w:type="spellStart"/>
      <w:r>
        <w:rPr>
          <w:rFonts w:hint="cs"/>
          <w:rtl/>
        </w:rPr>
        <w:t>רמ"י</w:t>
      </w:r>
      <w:proofErr w:type="spellEnd"/>
      <w:r>
        <w:rPr>
          <w:rFonts w:hint="cs"/>
          <w:rtl/>
        </w:rPr>
        <w:t xml:space="preserve">) צוין כי הערת הביקורת מקובלת עליה, וכי מערכת המחשוב החדשה כוללת בין היתר </w:t>
      </w:r>
      <w:r w:rsidRPr="00F11459">
        <w:rPr>
          <w:rFonts w:hint="eastAsia"/>
          <w:rtl/>
        </w:rPr>
        <w:t>מודול</w:t>
      </w:r>
      <w:r w:rsidRPr="00F11459">
        <w:rPr>
          <w:rtl/>
        </w:rPr>
        <w:t xml:space="preserve"> </w:t>
      </w:r>
      <w:r w:rsidRPr="00F11459">
        <w:rPr>
          <w:rFonts w:hint="eastAsia"/>
          <w:rtl/>
        </w:rPr>
        <w:t>כספים</w:t>
      </w:r>
      <w:r>
        <w:rPr>
          <w:rFonts w:hint="cs"/>
          <w:rtl/>
        </w:rPr>
        <w:t xml:space="preserve"> שלבקשת אגף הכספים </w:t>
      </w:r>
      <w:proofErr w:type="spellStart"/>
      <w:r>
        <w:rPr>
          <w:rFonts w:hint="cs"/>
          <w:rtl/>
        </w:rPr>
        <w:t>ברמ"י</w:t>
      </w:r>
      <w:proofErr w:type="spellEnd"/>
      <w:r>
        <w:rPr>
          <w:rFonts w:hint="cs"/>
          <w:rtl/>
        </w:rPr>
        <w:t xml:space="preserve"> פותח באופן שייתן מענה לנושא האכיפה של חובות בעת יצירתם, כדי למנוע התיישנות ולפעול בהתאם לסרגל הגבייה.</w:t>
      </w:r>
    </w:p>
    <w:p w14:paraId="7919ADAF" w14:textId="77777777" w:rsidR="007C4395" w:rsidRPr="001B0E88" w:rsidRDefault="007C4395" w:rsidP="002A738D">
      <w:pPr>
        <w:pStyle w:val="7190"/>
        <w:rPr>
          <w:rtl/>
        </w:rPr>
      </w:pPr>
      <w:r>
        <w:rPr>
          <w:rFonts w:hint="cs"/>
          <w:rtl/>
        </w:rPr>
        <w:t>במערכת הנוכחית</w:t>
      </w:r>
      <w:r>
        <w:rPr>
          <w:rStyle w:val="ac"/>
          <w:rtl/>
        </w:rPr>
        <w:footnoteReference w:id="89"/>
      </w:r>
      <w:r w:rsidRPr="004D6B26">
        <w:rPr>
          <w:rFonts w:hint="cs"/>
          <w:rtl/>
        </w:rPr>
        <w:t xml:space="preserve"> </w:t>
      </w:r>
      <w:r>
        <w:rPr>
          <w:rFonts w:hint="cs"/>
          <w:rtl/>
        </w:rPr>
        <w:t>מנוהלים רק תהליכי ועדת הפשרות והסדרי החוב שמטופלים בוועדה העליונה, ואין מידע ממוחשב וזמין על התהליכים המקבילים המנוהלים בוועדות המשרדיות. אומנם המשרדים פונים לוועדה העליונה דרך המערכת הנוכחית, אך כל התהליכים הפנימיים שלהם מנוהלים ידנית. התהליך השלם, החל משלב הבקשה של יחידת הסמך לדיון בוועדה המשרדית ועד לדיון בוועדה העליונה, אינו מבוצע אפוא במערכת אחת.</w:t>
      </w:r>
    </w:p>
    <w:p w14:paraId="69290763" w14:textId="77777777" w:rsidR="007C4395" w:rsidRDefault="007C4395" w:rsidP="003B2683">
      <w:pPr>
        <w:pStyle w:val="71f4"/>
        <w:rPr>
          <w:rtl/>
        </w:rPr>
      </w:pPr>
      <w:r w:rsidRPr="003B2683">
        <w:rPr>
          <w:rFonts w:hint="cs"/>
          <w:rtl/>
        </w:rPr>
        <w:t>המצב הקיים - שבו במערכת הנוכחית מנוהלים רק תהליכי הוועדה העליונה בנושא פשרות והסדרי חוב, והוועדות המשרדיות מנוהלות במערכות מקומיות או בתהליכים ידניים</w:t>
      </w:r>
      <w:r w:rsidRPr="00F479E5">
        <w:rPr>
          <w:rStyle w:val="ac"/>
          <w:rtl/>
        </w:rPr>
        <w:footnoteReference w:id="90"/>
      </w:r>
      <w:r w:rsidRPr="003B2683">
        <w:rPr>
          <w:rFonts w:hint="cs"/>
          <w:rtl/>
        </w:rPr>
        <w:t xml:space="preserve"> - אינו מאפשר שקיפות, זמינות</w:t>
      </w:r>
      <w:r>
        <w:rPr>
          <w:rStyle w:val="ac"/>
          <w:rFonts w:hint="cs"/>
          <w:rtl/>
        </w:rPr>
        <w:t xml:space="preserve"> </w:t>
      </w:r>
      <w:r w:rsidRPr="003B2683">
        <w:rPr>
          <w:rFonts w:hint="cs"/>
          <w:rtl/>
        </w:rPr>
        <w:t xml:space="preserve">ואחידות של הנתונים. כך לדוגמה, לצורך ריכוז הנתונים השנתי של הפשרות והמחיקות פונה אגף </w:t>
      </w:r>
      <w:proofErr w:type="spellStart"/>
      <w:r w:rsidRPr="003B2683">
        <w:rPr>
          <w:rFonts w:hint="cs"/>
          <w:rtl/>
        </w:rPr>
        <w:t>החשכ"ל</w:t>
      </w:r>
      <w:proofErr w:type="spellEnd"/>
      <w:r w:rsidRPr="003B2683">
        <w:rPr>
          <w:rFonts w:hint="cs"/>
          <w:rtl/>
        </w:rPr>
        <w:t xml:space="preserve"> למשרדים, ואין באפשרותו לשלוף אותם מהמערכת הנוכחית</w:t>
      </w:r>
      <w:r>
        <w:rPr>
          <w:rFonts w:hint="cs"/>
          <w:rtl/>
        </w:rPr>
        <w:t>.</w:t>
      </w:r>
    </w:p>
    <w:p w14:paraId="660D41B2" w14:textId="77777777" w:rsidR="007C4395" w:rsidRDefault="007C4395" w:rsidP="003B2683">
      <w:pPr>
        <w:pStyle w:val="71f4"/>
        <w:rPr>
          <w:rtl/>
        </w:rPr>
      </w:pPr>
      <w:r>
        <w:rPr>
          <w:rFonts w:hint="cs"/>
          <w:rtl/>
        </w:rPr>
        <w:t>עוד עלה כי</w:t>
      </w:r>
      <w:r w:rsidRPr="00AF4443">
        <w:rPr>
          <w:rtl/>
        </w:rPr>
        <w:t xml:space="preserve"> המצב </w:t>
      </w:r>
      <w:r>
        <w:rPr>
          <w:rFonts w:hint="cs"/>
          <w:rtl/>
        </w:rPr>
        <w:t>כיום</w:t>
      </w:r>
      <w:r w:rsidRPr="00AF4443">
        <w:rPr>
          <w:rtl/>
        </w:rPr>
        <w:t xml:space="preserve"> אינו מאפשר פיקוח ובקרה של אגף </w:t>
      </w:r>
      <w:proofErr w:type="spellStart"/>
      <w:r w:rsidRPr="00AF4443">
        <w:rPr>
          <w:rtl/>
        </w:rPr>
        <w:t>החשכ"ל</w:t>
      </w:r>
      <w:proofErr w:type="spellEnd"/>
      <w:r w:rsidRPr="00AF4443">
        <w:rPr>
          <w:rtl/>
        </w:rPr>
        <w:t xml:space="preserve"> אחר המחיקות בפועל במשרדים הממשלתיים בהתאם למה שאושר בוועדות המשרדיות ובוועדה העליונה.</w:t>
      </w:r>
    </w:p>
    <w:p w14:paraId="259E369D" w14:textId="77777777" w:rsidR="007C4395" w:rsidRDefault="007C4395" w:rsidP="002A738D">
      <w:pPr>
        <w:pStyle w:val="7190"/>
        <w:rPr>
          <w:rtl/>
        </w:rPr>
      </w:pPr>
      <w:r>
        <w:rPr>
          <w:rFonts w:hint="cs"/>
          <w:rtl/>
        </w:rPr>
        <w:t xml:space="preserve">בתשובת אגף </w:t>
      </w:r>
      <w:proofErr w:type="spellStart"/>
      <w:r>
        <w:rPr>
          <w:rFonts w:hint="cs"/>
          <w:rtl/>
        </w:rPr>
        <w:t>החשכ"ל</w:t>
      </w:r>
      <w:proofErr w:type="spellEnd"/>
      <w:r>
        <w:rPr>
          <w:rFonts w:hint="cs"/>
          <w:rtl/>
        </w:rPr>
        <w:t xml:space="preserve"> צוין כי האגף גיבש נוהל מסודר, ולפיו ייבדק אם המשרדים מחקו את החובות בפועל לאחר אישור מחיקתם על ידי ועדת הפשרות העליונה. עוד צוין כי כיום מבוצע </w:t>
      </w:r>
      <w:r>
        <w:rPr>
          <w:rFonts w:hint="cs"/>
          <w:rtl/>
        </w:rPr>
        <w:lastRenderedPageBreak/>
        <w:t>פיתוח של מערכת לניהול עבודת ועדת הפשרות העליונה, וכי המערכת תוטמע לאחר פיתוחה גם בוועדות המשרדיות ותאפשר שקיפות ויכולת תמידית של מעקב ובקרה לגבי הנעשה בוועדות המשרדיות.</w:t>
      </w:r>
    </w:p>
    <w:p w14:paraId="41A1DC8F" w14:textId="77777777" w:rsidR="007C4395" w:rsidRDefault="007C4395" w:rsidP="003B2683">
      <w:pPr>
        <w:pStyle w:val="71f4"/>
        <w:rPr>
          <w:rtl/>
        </w:rPr>
      </w:pPr>
      <w:r>
        <w:rPr>
          <w:rFonts w:hint="cs"/>
          <w:rtl/>
        </w:rPr>
        <w:t xml:space="preserve">מומלץ כי </w:t>
      </w:r>
      <w:r w:rsidRPr="003059DE">
        <w:rPr>
          <w:rFonts w:hint="cs"/>
          <w:rtl/>
        </w:rPr>
        <w:t xml:space="preserve">אגף </w:t>
      </w:r>
      <w:proofErr w:type="spellStart"/>
      <w:r w:rsidRPr="003059DE">
        <w:rPr>
          <w:rFonts w:hint="cs"/>
          <w:rtl/>
        </w:rPr>
        <w:t>החשכ"ל</w:t>
      </w:r>
      <w:proofErr w:type="spellEnd"/>
      <w:r w:rsidRPr="003059DE">
        <w:rPr>
          <w:rFonts w:hint="cs"/>
          <w:rtl/>
        </w:rPr>
        <w:t xml:space="preserve"> </w:t>
      </w:r>
      <w:r>
        <w:rPr>
          <w:rFonts w:hint="cs"/>
          <w:rtl/>
        </w:rPr>
        <w:t xml:space="preserve">ישלים </w:t>
      </w:r>
      <w:r w:rsidRPr="003059DE">
        <w:rPr>
          <w:rFonts w:hint="cs"/>
          <w:rtl/>
        </w:rPr>
        <w:t xml:space="preserve">הקמת מערכת אחת לניהול </w:t>
      </w:r>
      <w:r>
        <w:rPr>
          <w:rFonts w:hint="cs"/>
          <w:rtl/>
        </w:rPr>
        <w:t xml:space="preserve">מרוכז של </w:t>
      </w:r>
      <w:r w:rsidRPr="003059DE">
        <w:rPr>
          <w:rFonts w:hint="cs"/>
          <w:rtl/>
        </w:rPr>
        <w:t xml:space="preserve">התהליכים </w:t>
      </w:r>
      <w:r>
        <w:rPr>
          <w:rFonts w:hint="cs"/>
          <w:rtl/>
        </w:rPr>
        <w:t>ב</w:t>
      </w:r>
      <w:r w:rsidRPr="003059DE">
        <w:rPr>
          <w:rFonts w:hint="cs"/>
          <w:rtl/>
        </w:rPr>
        <w:t>וועדות המשרדיות ו</w:t>
      </w:r>
      <w:r>
        <w:rPr>
          <w:rFonts w:hint="cs"/>
          <w:rtl/>
        </w:rPr>
        <w:t>ב</w:t>
      </w:r>
      <w:r w:rsidRPr="003059DE">
        <w:rPr>
          <w:rFonts w:hint="cs"/>
          <w:rtl/>
        </w:rPr>
        <w:t>וועדה העליונה</w:t>
      </w:r>
      <w:r>
        <w:rPr>
          <w:rFonts w:hint="cs"/>
          <w:rtl/>
        </w:rPr>
        <w:t>.</w:t>
      </w:r>
      <w:r w:rsidRPr="003059DE">
        <w:rPr>
          <w:rFonts w:hint="cs"/>
          <w:rtl/>
        </w:rPr>
        <w:t xml:space="preserve"> </w:t>
      </w:r>
      <w:r>
        <w:rPr>
          <w:rFonts w:hint="cs"/>
          <w:rtl/>
        </w:rPr>
        <w:t>ה</w:t>
      </w:r>
      <w:r w:rsidRPr="003059DE">
        <w:rPr>
          <w:rFonts w:hint="cs"/>
          <w:rtl/>
        </w:rPr>
        <w:t xml:space="preserve">דבר יאפשר פיקוח ובקרה הדוקים יותר אחר </w:t>
      </w:r>
      <w:r>
        <w:rPr>
          <w:rFonts w:hint="cs"/>
          <w:rtl/>
        </w:rPr>
        <w:t xml:space="preserve">הפשרות, </w:t>
      </w:r>
      <w:r w:rsidRPr="003059DE">
        <w:rPr>
          <w:rFonts w:hint="cs"/>
          <w:rtl/>
        </w:rPr>
        <w:t>המחיקות</w:t>
      </w:r>
      <w:r>
        <w:rPr>
          <w:rFonts w:hint="cs"/>
          <w:rtl/>
        </w:rPr>
        <w:t xml:space="preserve"> והסדרי החוב</w:t>
      </w:r>
      <w:r w:rsidRPr="003059DE">
        <w:rPr>
          <w:rFonts w:hint="cs"/>
          <w:rtl/>
        </w:rPr>
        <w:t xml:space="preserve"> ב</w:t>
      </w:r>
      <w:r>
        <w:rPr>
          <w:rFonts w:hint="cs"/>
          <w:rtl/>
        </w:rPr>
        <w:t xml:space="preserve">כלל </w:t>
      </w:r>
      <w:r w:rsidRPr="003059DE">
        <w:rPr>
          <w:rFonts w:hint="cs"/>
          <w:rtl/>
        </w:rPr>
        <w:t>משרדי הממשלה</w:t>
      </w:r>
      <w:r>
        <w:rPr>
          <w:rFonts w:hint="cs"/>
          <w:rtl/>
        </w:rPr>
        <w:t>, וכן שקיפות וזמינות של הנתונים שיסייעו באיגומם ובעיבודם</w:t>
      </w:r>
      <w:r w:rsidRPr="003059DE">
        <w:rPr>
          <w:rFonts w:hint="cs"/>
          <w:rtl/>
        </w:rPr>
        <w:t>.</w:t>
      </w:r>
    </w:p>
    <w:p w14:paraId="365798D3" w14:textId="77777777" w:rsidR="007C4395" w:rsidRDefault="007C4395" w:rsidP="006F4D0D">
      <w:pPr>
        <w:pStyle w:val="71414"/>
        <w:rPr>
          <w:rtl/>
        </w:rPr>
      </w:pPr>
      <w:r>
        <w:rPr>
          <w:rFonts w:hint="cs"/>
          <w:rtl/>
        </w:rPr>
        <w:t>הטיפול החשבונאי ברישום החובות כלפי המדינה</w:t>
      </w:r>
    </w:p>
    <w:p w14:paraId="598EB92F" w14:textId="77777777" w:rsidR="007C4395" w:rsidRDefault="007C4395" w:rsidP="006F4D0D">
      <w:pPr>
        <w:pStyle w:val="71512"/>
        <w:rPr>
          <w:rtl/>
        </w:rPr>
      </w:pPr>
      <w:r>
        <w:rPr>
          <w:rFonts w:hint="cs"/>
          <w:rtl/>
        </w:rPr>
        <w:t>דוח גיול חובות</w:t>
      </w:r>
    </w:p>
    <w:p w14:paraId="53631471" w14:textId="77777777" w:rsidR="007C4395" w:rsidRDefault="007C4395" w:rsidP="002A738D">
      <w:pPr>
        <w:pStyle w:val="7190"/>
        <w:rPr>
          <w:rtl/>
        </w:rPr>
      </w:pPr>
      <w:r>
        <w:rPr>
          <w:rFonts w:hint="cs"/>
          <w:rtl/>
        </w:rPr>
        <w:t xml:space="preserve">התנהלות פיננסית של ישות כלכלית מצריכה מעקב צמוד אחר גביית החובות וכן יעילות של מערך הגבייה והאכיפה. ישות יכולה להעניק שירות מצוין, אך אם אין היא גובה את חובותיה - היא עלולה להגיע לבעיה </w:t>
      </w:r>
      <w:proofErr w:type="spellStart"/>
      <w:r>
        <w:rPr>
          <w:rFonts w:hint="cs"/>
          <w:rtl/>
        </w:rPr>
        <w:t>תזרימית</w:t>
      </w:r>
      <w:proofErr w:type="spellEnd"/>
      <w:r>
        <w:rPr>
          <w:rFonts w:hint="cs"/>
          <w:rtl/>
        </w:rPr>
        <w:t xml:space="preserve">. כדי להימנע ממצב של חוסר </w:t>
      </w:r>
      <w:proofErr w:type="spellStart"/>
      <w:r>
        <w:rPr>
          <w:rFonts w:hint="cs"/>
          <w:rtl/>
        </w:rPr>
        <w:t>בתזרים</w:t>
      </w:r>
      <w:proofErr w:type="spellEnd"/>
      <w:r>
        <w:rPr>
          <w:rFonts w:hint="cs"/>
          <w:rtl/>
        </w:rPr>
        <w:t xml:space="preserve">, פוּתח הכלי הניהולי של דוח גיול חובות. </w:t>
      </w:r>
    </w:p>
    <w:p w14:paraId="1B14211F" w14:textId="77777777" w:rsidR="007C4395" w:rsidRDefault="007C4395" w:rsidP="002A738D">
      <w:pPr>
        <w:pStyle w:val="7190"/>
        <w:rPr>
          <w:rtl/>
        </w:rPr>
      </w:pPr>
      <w:r>
        <w:rPr>
          <w:rtl/>
        </w:rPr>
        <w:t>דוח</w:t>
      </w:r>
      <w:r w:rsidRPr="0072553A">
        <w:rPr>
          <w:rtl/>
        </w:rPr>
        <w:t xml:space="preserve"> זה מציג את חשבונות החייבים לפי מ</w:t>
      </w:r>
      <w:r>
        <w:rPr>
          <w:rtl/>
        </w:rPr>
        <w:t>שך הזמן שהחוב קיים ("גיל החוב")</w:t>
      </w:r>
      <w:r>
        <w:rPr>
          <w:rFonts w:hint="cs"/>
          <w:rtl/>
        </w:rPr>
        <w:t>. לרוב נהוג לחלק את החובות בדוח על פי מספר ימי האיחור בתשלום החוב, בקבוצות של 30 ימים כל אחת. הדוח כולל בין היתר את שם החייב, את מספר החשבון, את "גיל" החוב, את פריסת התשלומים ומועדם (אם רלוונטי) ואת היקף החוב.</w:t>
      </w:r>
    </w:p>
    <w:p w14:paraId="6E477594" w14:textId="77777777" w:rsidR="007C4395" w:rsidRPr="00D57A15" w:rsidRDefault="007C4395" w:rsidP="002A738D">
      <w:pPr>
        <w:pStyle w:val="7190"/>
        <w:rPr>
          <w:rtl/>
        </w:rPr>
      </w:pPr>
      <w:r>
        <w:rPr>
          <w:rFonts w:hint="cs"/>
          <w:rtl/>
        </w:rPr>
        <w:t xml:space="preserve">בהתאם להוראת </w:t>
      </w:r>
      <w:proofErr w:type="spellStart"/>
      <w:r>
        <w:rPr>
          <w:rFonts w:hint="cs"/>
          <w:rtl/>
        </w:rPr>
        <w:t>תכ"ם</w:t>
      </w:r>
      <w:proofErr w:type="spellEnd"/>
      <w:r>
        <w:rPr>
          <w:rFonts w:hint="cs"/>
          <w:rtl/>
        </w:rPr>
        <w:t xml:space="preserve"> 2.3.6 בדבר הפרשה לחובות מסופקים, ההפרשה מבוססת בין היתר על גיל החובות, ולכן על משרדי הממשלה לנהל רישום של גיל החובות, כחלק מניהולם.</w:t>
      </w:r>
    </w:p>
    <w:p w14:paraId="4676AE5E" w14:textId="77777777" w:rsidR="007C4395" w:rsidRDefault="007C4395" w:rsidP="002A738D">
      <w:pPr>
        <w:pStyle w:val="7190"/>
        <w:rPr>
          <w:rtl/>
        </w:rPr>
      </w:pPr>
      <w:r>
        <w:rPr>
          <w:rFonts w:hint="cs"/>
          <w:rtl/>
        </w:rPr>
        <w:t>בלוח הבא בדק משרד מבקר המדינה האם הדוחות הכספיים של מדינות נבחרות כוללים דוחות גיול. להלן הנתונים:</w:t>
      </w:r>
    </w:p>
    <w:p w14:paraId="649DCBAC" w14:textId="77777777" w:rsidR="001A5F85" w:rsidRDefault="001A5F85">
      <w:pPr>
        <w:bidi w:val="0"/>
        <w:spacing w:after="200" w:line="276" w:lineRule="auto"/>
        <w:rPr>
          <w:rFonts w:ascii="Tahoma" w:eastAsiaTheme="minorEastAsia" w:hAnsi="Tahoma" w:cs="Tahoma"/>
          <w:color w:val="0D0D0D" w:themeColor="text1" w:themeTint="F2"/>
          <w:szCs w:val="20"/>
          <w:rtl/>
        </w:rPr>
      </w:pPr>
      <w:r>
        <w:rPr>
          <w:b/>
          <w:bCs/>
          <w:rtl/>
        </w:rPr>
        <w:br w:type="page"/>
      </w:r>
    </w:p>
    <w:p w14:paraId="39089657" w14:textId="6DD02163" w:rsidR="007C4395" w:rsidRPr="006F4D0D" w:rsidRDefault="007C4395" w:rsidP="006F4D0D">
      <w:pPr>
        <w:pStyle w:val="71a"/>
        <w:rPr>
          <w:rtl/>
        </w:rPr>
      </w:pPr>
      <w:r w:rsidRPr="006F4D0D">
        <w:rPr>
          <w:b w:val="0"/>
          <w:bCs w:val="0"/>
          <w:rtl/>
        </w:rPr>
        <w:lastRenderedPageBreak/>
        <w:t>לוח 16:</w:t>
      </w:r>
      <w:r w:rsidRPr="006F4D0D">
        <w:rPr>
          <w:rtl/>
        </w:rPr>
        <w:t xml:space="preserve"> הצגת דוח גיול חובות במדינות נבחרות</w:t>
      </w:r>
    </w:p>
    <w:tbl>
      <w:tblPr>
        <w:tblStyle w:val="5-1"/>
        <w:bidiVisual/>
        <w:tblW w:w="0" w:type="auto"/>
        <w:tblInd w:w="15" w:type="dxa"/>
        <w:tblLook w:val="04A0" w:firstRow="1" w:lastRow="0" w:firstColumn="1" w:lastColumn="0" w:noHBand="0" w:noVBand="1"/>
      </w:tblPr>
      <w:tblGrid>
        <w:gridCol w:w="2913"/>
        <w:gridCol w:w="2159"/>
        <w:gridCol w:w="2273"/>
      </w:tblGrid>
      <w:tr w:rsidR="007C4395" w14:paraId="722BE022" w14:textId="77777777" w:rsidTr="001A5F85">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250" w:type="dxa"/>
            <w:shd w:val="clear" w:color="auto" w:fill="C8DCE4"/>
            <w:vAlign w:val="bottom"/>
          </w:tcPr>
          <w:p w14:paraId="197C4EB7" w14:textId="77777777" w:rsidR="007C4395" w:rsidRPr="009B2675" w:rsidRDefault="007C4395" w:rsidP="001A5F85">
            <w:pPr>
              <w:pStyle w:val="71HEADER"/>
              <w:rPr>
                <w:b/>
                <w:rtl/>
              </w:rPr>
            </w:pPr>
          </w:p>
        </w:tc>
        <w:tc>
          <w:tcPr>
            <w:tcW w:w="2405" w:type="dxa"/>
            <w:shd w:val="clear" w:color="auto" w:fill="C8DCE4"/>
            <w:vAlign w:val="bottom"/>
          </w:tcPr>
          <w:p w14:paraId="50E4846B" w14:textId="77777777" w:rsidR="007C4395" w:rsidRPr="009B2675" w:rsidRDefault="007C4395" w:rsidP="001A5F85">
            <w:pPr>
              <w:pStyle w:val="71HEADER"/>
              <w:cnfStyle w:val="100000000000" w:firstRow="1" w:lastRow="0" w:firstColumn="0" w:lastColumn="0" w:oddVBand="0" w:evenVBand="0" w:oddHBand="0" w:evenHBand="0" w:firstRowFirstColumn="0" w:firstRowLastColumn="0" w:lastRowFirstColumn="0" w:lastRowLastColumn="0"/>
              <w:rPr>
                <w:b/>
                <w:rtl/>
              </w:rPr>
            </w:pPr>
            <w:r w:rsidRPr="009B2675">
              <w:rPr>
                <w:rFonts w:hint="cs"/>
                <w:b/>
                <w:rtl/>
              </w:rPr>
              <w:t>האם מוצג גיול חובות?</w:t>
            </w:r>
          </w:p>
        </w:tc>
        <w:tc>
          <w:tcPr>
            <w:tcW w:w="2546" w:type="dxa"/>
            <w:shd w:val="clear" w:color="auto" w:fill="C8DCE4"/>
            <w:vAlign w:val="bottom"/>
          </w:tcPr>
          <w:p w14:paraId="69B8D0B7" w14:textId="77777777" w:rsidR="007C4395" w:rsidRPr="009B2675" w:rsidRDefault="007C4395" w:rsidP="001A5F85">
            <w:pPr>
              <w:pStyle w:val="71HEADER"/>
              <w:cnfStyle w:val="100000000000" w:firstRow="1" w:lastRow="0" w:firstColumn="0" w:lastColumn="0" w:oddVBand="0" w:evenVBand="0" w:oddHBand="0" w:evenHBand="0" w:firstRowFirstColumn="0" w:firstRowLastColumn="0" w:lastRowFirstColumn="0" w:lastRowLastColumn="0"/>
              <w:rPr>
                <w:b/>
                <w:rtl/>
              </w:rPr>
            </w:pPr>
            <w:r w:rsidRPr="009B2675">
              <w:rPr>
                <w:rFonts w:hint="cs"/>
                <w:b/>
                <w:rtl/>
              </w:rPr>
              <w:t>הערות</w:t>
            </w:r>
          </w:p>
        </w:tc>
      </w:tr>
      <w:tr w:rsidR="007C4395" w14:paraId="6F2DE4DF" w14:textId="77777777" w:rsidTr="001A5F85">
        <w:trPr>
          <w:cnfStyle w:val="000000100000" w:firstRow="0" w:lastRow="0" w:firstColumn="0" w:lastColumn="0" w:oddVBand="0" w:evenVBand="0" w:oddHBand="1" w:evenHBand="0" w:firstRowFirstColumn="0" w:firstRowLastColumn="0" w:lastRowFirstColumn="0" w:lastRowLastColumn="0"/>
          <w:trHeight w:val="626"/>
        </w:trPr>
        <w:tc>
          <w:tcPr>
            <w:cnfStyle w:val="001000000000" w:firstRow="0" w:lastRow="0" w:firstColumn="1" w:lastColumn="0" w:oddVBand="0" w:evenVBand="0" w:oddHBand="0" w:evenHBand="0" w:firstRowFirstColumn="0" w:firstRowLastColumn="0" w:lastRowFirstColumn="0" w:lastRowLastColumn="0"/>
            <w:tcW w:w="3250" w:type="dxa"/>
            <w:shd w:val="clear" w:color="auto" w:fill="DDEAEE"/>
          </w:tcPr>
          <w:p w14:paraId="18426886" w14:textId="77777777" w:rsidR="007C4395" w:rsidRPr="0081507B" w:rsidRDefault="007C4395" w:rsidP="009B2675">
            <w:pPr>
              <w:pStyle w:val="71R"/>
              <w:rPr>
                <w:noProof/>
              </w:rPr>
            </w:pPr>
            <w:r w:rsidRPr="0081507B">
              <w:rPr>
                <w:noProof/>
              </w:rPr>
              <w:drawing>
                <wp:anchor distT="0" distB="0" distL="114300" distR="114300" simplePos="0" relativeHeight="252019200" behindDoc="0" locked="0" layoutInCell="1" allowOverlap="1" wp14:anchorId="693AD360" wp14:editId="555DC8DB">
                  <wp:simplePos x="0" y="0"/>
                  <wp:positionH relativeFrom="column">
                    <wp:posOffset>1244543</wp:posOffset>
                  </wp:positionH>
                  <wp:positionV relativeFrom="paragraph">
                    <wp:posOffset>76200</wp:posOffset>
                  </wp:positionV>
                  <wp:extent cx="381635" cy="223717"/>
                  <wp:effectExtent l="0" t="0" r="0" b="5080"/>
                  <wp:wrapSquare wrapText="bothSides"/>
                  <wp:docPr id="765912908" name="תמונה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08" name="תמונה 26"/>
                          <pic:cNvPicPr>
                            <a:picLocks noChangeAspect="1"/>
                          </pic:cNvPicPr>
                        </pic:nvPicPr>
                        <pic:blipFill>
                          <a:blip r:embed="rId57" cstate="print">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flipH="1">
                            <a:off x="0" y="0"/>
                            <a:ext cx="381635" cy="223717"/>
                          </a:xfrm>
                          <a:prstGeom prst="rect">
                            <a:avLst/>
                          </a:prstGeom>
                        </pic:spPr>
                      </pic:pic>
                    </a:graphicData>
                  </a:graphic>
                  <wp14:sizeRelH relativeFrom="margin">
                    <wp14:pctWidth>0</wp14:pctWidth>
                  </wp14:sizeRelH>
                  <wp14:sizeRelV relativeFrom="margin">
                    <wp14:pctHeight>0</wp14:pctHeight>
                  </wp14:sizeRelV>
                </wp:anchor>
              </w:drawing>
            </w:r>
            <w:r w:rsidRPr="0081507B">
              <w:rPr>
                <w:rFonts w:hint="cs"/>
                <w:noProof/>
                <w:rtl/>
              </w:rPr>
              <w:t>ישראל</w:t>
            </w:r>
          </w:p>
        </w:tc>
        <w:tc>
          <w:tcPr>
            <w:tcW w:w="2405" w:type="dxa"/>
            <w:shd w:val="clear" w:color="auto" w:fill="DDEAEE"/>
            <w:vAlign w:val="center"/>
          </w:tcPr>
          <w:p w14:paraId="46B08D02" w14:textId="28279A84" w:rsidR="007C4395" w:rsidRPr="001A5F85" w:rsidRDefault="001A5F85" w:rsidP="001A5F85">
            <w:pPr>
              <w:pStyle w:val="71R"/>
              <w:jc w:val="center"/>
              <w:cnfStyle w:val="000000100000" w:firstRow="0" w:lastRow="0" w:firstColumn="0" w:lastColumn="0" w:oddVBand="0" w:evenVBand="0" w:oddHBand="1" w:evenHBand="0" w:firstRowFirstColumn="0" w:firstRowLastColumn="0" w:lastRowFirstColumn="0" w:lastRowLastColumn="0"/>
              <w:rPr>
                <w:rFonts w:ascii="Segoe UI Symbol" w:hAnsi="Segoe UI Symbol" w:cs="Segoe UI Symbol"/>
                <w:color w:val="FF0000"/>
                <w:sz w:val="30"/>
                <w:szCs w:val="30"/>
                <w:rtl/>
              </w:rPr>
            </w:pPr>
            <w:r w:rsidRPr="001A5F85">
              <w:rPr>
                <w:rFonts w:ascii="Chalkboard SE" w:hAnsi="Chalkboard SE"/>
                <w:color w:val="FF0000"/>
                <w:sz w:val="30"/>
                <w:szCs w:val="30"/>
              </w:rPr>
              <w:t>X</w:t>
            </w:r>
          </w:p>
        </w:tc>
        <w:tc>
          <w:tcPr>
            <w:tcW w:w="2546" w:type="dxa"/>
            <w:shd w:val="clear" w:color="auto" w:fill="DDEAEE"/>
          </w:tcPr>
          <w:p w14:paraId="7E1E65A2" w14:textId="77777777" w:rsidR="007C4395" w:rsidRPr="0081507B" w:rsidRDefault="007C4395" w:rsidP="009B2675">
            <w:pPr>
              <w:pStyle w:val="71R"/>
              <w:cnfStyle w:val="000000100000" w:firstRow="0" w:lastRow="0" w:firstColumn="0" w:lastColumn="0" w:oddVBand="0" w:evenVBand="0" w:oddHBand="1" w:evenHBand="0" w:firstRowFirstColumn="0" w:firstRowLastColumn="0" w:lastRowFirstColumn="0" w:lastRowLastColumn="0"/>
              <w:rPr>
                <w:rtl/>
              </w:rPr>
            </w:pPr>
            <w:r w:rsidRPr="0081507B">
              <w:rPr>
                <w:rFonts w:hint="cs"/>
                <w:rtl/>
              </w:rPr>
              <w:t>ראו להלן</w:t>
            </w:r>
          </w:p>
        </w:tc>
      </w:tr>
      <w:tr w:rsidR="001A5F85" w14:paraId="0D24CFC3" w14:textId="77777777" w:rsidTr="001A5F85">
        <w:trPr>
          <w:trHeight w:val="626"/>
        </w:trPr>
        <w:tc>
          <w:tcPr>
            <w:cnfStyle w:val="001000000000" w:firstRow="0" w:lastRow="0" w:firstColumn="1" w:lastColumn="0" w:oddVBand="0" w:evenVBand="0" w:oddHBand="0" w:evenHBand="0" w:firstRowFirstColumn="0" w:firstRowLastColumn="0" w:lastRowFirstColumn="0" w:lastRowLastColumn="0"/>
            <w:tcW w:w="3250" w:type="dxa"/>
            <w:shd w:val="clear" w:color="auto" w:fill="EEF6F7"/>
          </w:tcPr>
          <w:p w14:paraId="4EB223F1" w14:textId="77777777" w:rsidR="007C4395" w:rsidRPr="0081507B" w:rsidRDefault="007C4395" w:rsidP="009B2675">
            <w:pPr>
              <w:pStyle w:val="71R"/>
              <w:rPr>
                <w:rtl/>
              </w:rPr>
            </w:pPr>
            <w:r w:rsidRPr="0081507B">
              <w:rPr>
                <w:noProof/>
              </w:rPr>
              <w:drawing>
                <wp:anchor distT="0" distB="0" distL="114300" distR="114300" simplePos="0" relativeHeight="252014080" behindDoc="0" locked="0" layoutInCell="1" allowOverlap="1" wp14:anchorId="7C24B008" wp14:editId="52163BC6">
                  <wp:simplePos x="0" y="0"/>
                  <wp:positionH relativeFrom="margin">
                    <wp:posOffset>1244427</wp:posOffset>
                  </wp:positionH>
                  <wp:positionV relativeFrom="margin">
                    <wp:posOffset>66502</wp:posOffset>
                  </wp:positionV>
                  <wp:extent cx="381635" cy="223520"/>
                  <wp:effectExtent l="0" t="0" r="0" b="5080"/>
                  <wp:wrapSquare wrapText="bothSides"/>
                  <wp:docPr id="765912909"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09" name="תמונה 5"/>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81635" cy="223520"/>
                          </a:xfrm>
                          <a:prstGeom prst="rect">
                            <a:avLst/>
                          </a:prstGeom>
                        </pic:spPr>
                      </pic:pic>
                    </a:graphicData>
                  </a:graphic>
                  <wp14:sizeRelH relativeFrom="margin">
                    <wp14:pctWidth>0</wp14:pctWidth>
                  </wp14:sizeRelH>
                  <wp14:sizeRelV relativeFrom="margin">
                    <wp14:pctHeight>0</wp14:pctHeight>
                  </wp14:sizeRelV>
                </wp:anchor>
              </w:drawing>
            </w:r>
            <w:r w:rsidRPr="0081507B">
              <w:rPr>
                <w:rFonts w:hint="cs"/>
                <w:rtl/>
              </w:rPr>
              <w:t>ארצות הברית</w:t>
            </w:r>
          </w:p>
        </w:tc>
        <w:tc>
          <w:tcPr>
            <w:tcW w:w="2405" w:type="dxa"/>
            <w:shd w:val="clear" w:color="auto" w:fill="EEF6F7"/>
            <w:vAlign w:val="center"/>
          </w:tcPr>
          <w:p w14:paraId="2319A1CE" w14:textId="72C4DD52" w:rsidR="007C4395" w:rsidRPr="001A5F85" w:rsidRDefault="001A5F85" w:rsidP="001A5F85">
            <w:pPr>
              <w:pStyle w:val="71R"/>
              <w:jc w:val="center"/>
              <w:cnfStyle w:val="000000000000" w:firstRow="0" w:lastRow="0" w:firstColumn="0" w:lastColumn="0" w:oddVBand="0" w:evenVBand="0" w:oddHBand="0" w:evenHBand="0" w:firstRowFirstColumn="0" w:firstRowLastColumn="0" w:lastRowFirstColumn="0" w:lastRowLastColumn="0"/>
              <w:rPr>
                <w:sz w:val="30"/>
                <w:szCs w:val="30"/>
                <w:rtl/>
              </w:rPr>
            </w:pPr>
            <w:r w:rsidRPr="001A5F85">
              <w:rPr>
                <w:rFonts w:ascii="Chalkboard SE" w:hAnsi="Chalkboard SE"/>
                <w:color w:val="FF0000"/>
                <w:sz w:val="30"/>
                <w:szCs w:val="30"/>
              </w:rPr>
              <w:t>X</w:t>
            </w:r>
          </w:p>
        </w:tc>
        <w:tc>
          <w:tcPr>
            <w:tcW w:w="2546" w:type="dxa"/>
            <w:shd w:val="clear" w:color="auto" w:fill="EEF6F7"/>
          </w:tcPr>
          <w:p w14:paraId="296119BA" w14:textId="77777777" w:rsidR="007C4395" w:rsidRPr="0081507B" w:rsidRDefault="007C4395" w:rsidP="009B2675">
            <w:pPr>
              <w:pStyle w:val="71R"/>
              <w:cnfStyle w:val="000000000000" w:firstRow="0" w:lastRow="0" w:firstColumn="0" w:lastColumn="0" w:oddVBand="0" w:evenVBand="0" w:oddHBand="0" w:evenHBand="0" w:firstRowFirstColumn="0" w:firstRowLastColumn="0" w:lastRowFirstColumn="0" w:lastRowLastColumn="0"/>
              <w:rPr>
                <w:rtl/>
              </w:rPr>
            </w:pPr>
          </w:p>
        </w:tc>
      </w:tr>
      <w:tr w:rsidR="007C4395" w14:paraId="7B5C360F" w14:textId="77777777" w:rsidTr="001A5F85">
        <w:trPr>
          <w:cnfStyle w:val="000000100000" w:firstRow="0" w:lastRow="0" w:firstColumn="0" w:lastColumn="0" w:oddVBand="0" w:evenVBand="0" w:oddHBand="1" w:evenHBand="0" w:firstRowFirstColumn="0" w:firstRowLastColumn="0" w:lastRowFirstColumn="0" w:lastRowLastColumn="0"/>
          <w:trHeight w:val="626"/>
        </w:trPr>
        <w:tc>
          <w:tcPr>
            <w:cnfStyle w:val="001000000000" w:firstRow="0" w:lastRow="0" w:firstColumn="1" w:lastColumn="0" w:oddVBand="0" w:evenVBand="0" w:oddHBand="0" w:evenHBand="0" w:firstRowFirstColumn="0" w:firstRowLastColumn="0" w:lastRowFirstColumn="0" w:lastRowLastColumn="0"/>
            <w:tcW w:w="3250" w:type="dxa"/>
            <w:shd w:val="clear" w:color="auto" w:fill="DDEAEE"/>
          </w:tcPr>
          <w:p w14:paraId="5843217D" w14:textId="77777777" w:rsidR="007C4395" w:rsidRPr="0081507B" w:rsidRDefault="007C4395" w:rsidP="009B2675">
            <w:pPr>
              <w:pStyle w:val="71R"/>
              <w:rPr>
                <w:noProof/>
              </w:rPr>
            </w:pPr>
            <w:r w:rsidRPr="0081507B">
              <w:rPr>
                <w:noProof/>
              </w:rPr>
              <w:drawing>
                <wp:anchor distT="0" distB="0" distL="114300" distR="114300" simplePos="0" relativeHeight="252015104" behindDoc="0" locked="0" layoutInCell="1" allowOverlap="1" wp14:anchorId="6A72905E" wp14:editId="5C55CF57">
                  <wp:simplePos x="0" y="0"/>
                  <wp:positionH relativeFrom="margin">
                    <wp:posOffset>1244253</wp:posOffset>
                  </wp:positionH>
                  <wp:positionV relativeFrom="margin">
                    <wp:posOffset>70831</wp:posOffset>
                  </wp:positionV>
                  <wp:extent cx="382270" cy="224155"/>
                  <wp:effectExtent l="0" t="0" r="0" b="4445"/>
                  <wp:wrapSquare wrapText="bothSides"/>
                  <wp:docPr id="765912910"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10" name="תמונה 6"/>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382270" cy="224155"/>
                          </a:xfrm>
                          <a:prstGeom prst="rect">
                            <a:avLst/>
                          </a:prstGeom>
                        </pic:spPr>
                      </pic:pic>
                    </a:graphicData>
                  </a:graphic>
                  <wp14:sizeRelH relativeFrom="margin">
                    <wp14:pctWidth>0</wp14:pctWidth>
                  </wp14:sizeRelH>
                  <wp14:sizeRelV relativeFrom="margin">
                    <wp14:pctHeight>0</wp14:pctHeight>
                  </wp14:sizeRelV>
                </wp:anchor>
              </w:drawing>
            </w:r>
            <w:r w:rsidRPr="0081507B">
              <w:rPr>
                <w:rFonts w:hint="cs"/>
                <w:rtl/>
              </w:rPr>
              <w:t>אוסטרליה</w:t>
            </w:r>
          </w:p>
        </w:tc>
        <w:tc>
          <w:tcPr>
            <w:tcW w:w="2405" w:type="dxa"/>
            <w:shd w:val="clear" w:color="auto" w:fill="DDEAEE"/>
            <w:vAlign w:val="center"/>
          </w:tcPr>
          <w:p w14:paraId="22689459" w14:textId="06A8DD6D" w:rsidR="007C4395" w:rsidRPr="001A5F85" w:rsidRDefault="001A5F85" w:rsidP="001A5F85">
            <w:pPr>
              <w:pStyle w:val="71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B050"/>
                <w:sz w:val="30"/>
                <w:szCs w:val="30"/>
                <w:rtl/>
              </w:rPr>
            </w:pPr>
            <w:r w:rsidRPr="001A5F85">
              <w:rPr>
                <w:rFonts w:ascii="Chalkboard SE" w:hAnsi="Chalkboard SE"/>
                <w:color w:val="FF0000"/>
                <w:sz w:val="30"/>
                <w:szCs w:val="30"/>
              </w:rPr>
              <w:t>X</w:t>
            </w:r>
          </w:p>
        </w:tc>
        <w:tc>
          <w:tcPr>
            <w:tcW w:w="2546" w:type="dxa"/>
            <w:shd w:val="clear" w:color="auto" w:fill="DDEAEE"/>
          </w:tcPr>
          <w:p w14:paraId="210FEF4E" w14:textId="77777777" w:rsidR="007C4395" w:rsidRPr="0081507B" w:rsidRDefault="007C4395" w:rsidP="009B2675">
            <w:pPr>
              <w:pStyle w:val="71R"/>
              <w:cnfStyle w:val="000000100000" w:firstRow="0" w:lastRow="0" w:firstColumn="0" w:lastColumn="0" w:oddVBand="0" w:evenVBand="0" w:oddHBand="1" w:evenHBand="0" w:firstRowFirstColumn="0" w:firstRowLastColumn="0" w:lastRowFirstColumn="0" w:lastRowLastColumn="0"/>
              <w:rPr>
                <w:rtl/>
              </w:rPr>
            </w:pPr>
          </w:p>
        </w:tc>
      </w:tr>
      <w:tr w:rsidR="001A5F85" w14:paraId="706254F8" w14:textId="77777777" w:rsidTr="001A5F85">
        <w:trPr>
          <w:trHeight w:val="626"/>
        </w:trPr>
        <w:tc>
          <w:tcPr>
            <w:cnfStyle w:val="001000000000" w:firstRow="0" w:lastRow="0" w:firstColumn="1" w:lastColumn="0" w:oddVBand="0" w:evenVBand="0" w:oddHBand="0" w:evenHBand="0" w:firstRowFirstColumn="0" w:firstRowLastColumn="0" w:lastRowFirstColumn="0" w:lastRowLastColumn="0"/>
            <w:tcW w:w="3250" w:type="dxa"/>
            <w:shd w:val="clear" w:color="auto" w:fill="EEF6F7"/>
          </w:tcPr>
          <w:p w14:paraId="1B92DC88" w14:textId="77777777" w:rsidR="007C4395" w:rsidRPr="0081507B" w:rsidRDefault="007C4395" w:rsidP="009B2675">
            <w:pPr>
              <w:pStyle w:val="71R"/>
              <w:rPr>
                <w:noProof/>
              </w:rPr>
            </w:pPr>
            <w:r w:rsidRPr="0081507B">
              <w:rPr>
                <w:noProof/>
              </w:rPr>
              <w:drawing>
                <wp:anchor distT="0" distB="0" distL="114300" distR="114300" simplePos="0" relativeHeight="252016128" behindDoc="0" locked="0" layoutInCell="1" allowOverlap="1" wp14:anchorId="0D5F2B93" wp14:editId="04EBEAFB">
                  <wp:simplePos x="0" y="0"/>
                  <wp:positionH relativeFrom="margin">
                    <wp:posOffset>1242695</wp:posOffset>
                  </wp:positionH>
                  <wp:positionV relativeFrom="margin">
                    <wp:posOffset>84917</wp:posOffset>
                  </wp:positionV>
                  <wp:extent cx="393700" cy="231140"/>
                  <wp:effectExtent l="0" t="0" r="0" b="0"/>
                  <wp:wrapSquare wrapText="bothSides"/>
                  <wp:docPr id="765912911"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11" name="תמונה 7"/>
                          <pic:cNvPicPr>
                            <a:picLocks noChangeAspect="1"/>
                          </pic:cNvPicPr>
                        </pic:nvPicPr>
                        <pic:blipFill>
                          <a:blip r:embed="rId62" cstate="print">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393700" cy="231140"/>
                          </a:xfrm>
                          <a:prstGeom prst="rect">
                            <a:avLst/>
                          </a:prstGeom>
                        </pic:spPr>
                      </pic:pic>
                    </a:graphicData>
                  </a:graphic>
                  <wp14:sizeRelH relativeFrom="margin">
                    <wp14:pctWidth>0</wp14:pctWidth>
                  </wp14:sizeRelH>
                  <wp14:sizeRelV relativeFrom="margin">
                    <wp14:pctHeight>0</wp14:pctHeight>
                  </wp14:sizeRelV>
                </wp:anchor>
              </w:drawing>
            </w:r>
            <w:r w:rsidRPr="0081507B">
              <w:rPr>
                <w:rFonts w:hint="cs"/>
                <w:noProof/>
                <w:rtl/>
              </w:rPr>
              <w:t>ניו זילנד</w:t>
            </w:r>
          </w:p>
        </w:tc>
        <w:tc>
          <w:tcPr>
            <w:tcW w:w="2405" w:type="dxa"/>
            <w:shd w:val="clear" w:color="auto" w:fill="EEF6F7"/>
            <w:vAlign w:val="center"/>
          </w:tcPr>
          <w:p w14:paraId="6C230347" w14:textId="027530CB" w:rsidR="007C4395" w:rsidRPr="0081507B" w:rsidRDefault="001A5F85" w:rsidP="001A5F85">
            <w:pPr>
              <w:pStyle w:val="71R"/>
              <w:cnfStyle w:val="000000000000" w:firstRow="0" w:lastRow="0" w:firstColumn="0" w:lastColumn="0" w:oddVBand="0" w:evenVBand="0" w:oddHBand="0" w:evenHBand="0" w:firstRowFirstColumn="0" w:firstRowLastColumn="0" w:lastRowFirstColumn="0" w:lastRowLastColumn="0"/>
              <w:rPr>
                <w:rFonts w:ascii="Arial" w:hAnsi="Arial" w:cs="Arial"/>
                <w:color w:val="00B050"/>
                <w:rtl/>
              </w:rPr>
            </w:pPr>
            <w:r w:rsidRPr="00276607">
              <w:rPr>
                <w:rFonts w:ascii="Segoe UI Symbol" w:hAnsi="Segoe UI Symbol"/>
                <w:b/>
                <w:bCs/>
                <w:noProof/>
                <w:color w:val="00B050"/>
              </w:rPr>
              <w:drawing>
                <wp:anchor distT="0" distB="0" distL="114300" distR="114300" simplePos="0" relativeHeight="252052992" behindDoc="0" locked="0" layoutInCell="1" allowOverlap="1" wp14:anchorId="64DD8601" wp14:editId="64EB1DFF">
                  <wp:simplePos x="0" y="0"/>
                  <wp:positionH relativeFrom="column">
                    <wp:posOffset>502285</wp:posOffset>
                  </wp:positionH>
                  <wp:positionV relativeFrom="paragraph">
                    <wp:posOffset>71755</wp:posOffset>
                  </wp:positionV>
                  <wp:extent cx="179070" cy="161290"/>
                  <wp:effectExtent l="0" t="0" r="0" b="3810"/>
                  <wp:wrapNone/>
                  <wp:docPr id="69" name="תמונה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תמונה 69"/>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179070" cy="161290"/>
                          </a:xfrm>
                          <a:prstGeom prst="rect">
                            <a:avLst/>
                          </a:prstGeom>
                          <a:noFill/>
                        </pic:spPr>
                      </pic:pic>
                    </a:graphicData>
                  </a:graphic>
                  <wp14:sizeRelH relativeFrom="page">
                    <wp14:pctWidth>0</wp14:pctWidth>
                  </wp14:sizeRelH>
                  <wp14:sizeRelV relativeFrom="page">
                    <wp14:pctHeight>0</wp14:pctHeight>
                  </wp14:sizeRelV>
                </wp:anchor>
              </w:drawing>
            </w:r>
          </w:p>
        </w:tc>
        <w:tc>
          <w:tcPr>
            <w:tcW w:w="2546" w:type="dxa"/>
            <w:shd w:val="clear" w:color="auto" w:fill="EEF6F7"/>
          </w:tcPr>
          <w:p w14:paraId="1641ABA3" w14:textId="77777777" w:rsidR="007C4395" w:rsidRPr="0081507B" w:rsidRDefault="007C4395" w:rsidP="009B2675">
            <w:pPr>
              <w:pStyle w:val="71R"/>
              <w:cnfStyle w:val="000000000000" w:firstRow="0" w:lastRow="0" w:firstColumn="0" w:lastColumn="0" w:oddVBand="0" w:evenVBand="0" w:oddHBand="0" w:evenHBand="0" w:firstRowFirstColumn="0" w:firstRowLastColumn="0" w:lastRowFirstColumn="0" w:lastRowLastColumn="0"/>
              <w:rPr>
                <w:rtl/>
              </w:rPr>
            </w:pPr>
            <w:r w:rsidRPr="0081507B">
              <w:rPr>
                <w:rFonts w:hint="cs"/>
                <w:rtl/>
              </w:rPr>
              <w:t>דוח הגיול מוצג לגבי יתרות המיסים בלבד</w:t>
            </w:r>
          </w:p>
        </w:tc>
      </w:tr>
      <w:tr w:rsidR="007C4395" w14:paraId="05C645EE" w14:textId="77777777" w:rsidTr="001A5F85">
        <w:trPr>
          <w:cnfStyle w:val="000000100000" w:firstRow="0" w:lastRow="0" w:firstColumn="0" w:lastColumn="0" w:oddVBand="0" w:evenVBand="0" w:oddHBand="1" w:evenHBand="0" w:firstRowFirstColumn="0" w:firstRowLastColumn="0" w:lastRowFirstColumn="0" w:lastRowLastColumn="0"/>
          <w:trHeight w:val="626"/>
        </w:trPr>
        <w:tc>
          <w:tcPr>
            <w:cnfStyle w:val="001000000000" w:firstRow="0" w:lastRow="0" w:firstColumn="1" w:lastColumn="0" w:oddVBand="0" w:evenVBand="0" w:oddHBand="0" w:evenHBand="0" w:firstRowFirstColumn="0" w:firstRowLastColumn="0" w:lastRowFirstColumn="0" w:lastRowLastColumn="0"/>
            <w:tcW w:w="3250" w:type="dxa"/>
            <w:shd w:val="clear" w:color="auto" w:fill="DDEAEE"/>
          </w:tcPr>
          <w:p w14:paraId="0762963F" w14:textId="77777777" w:rsidR="007C4395" w:rsidRPr="0081507B" w:rsidRDefault="007C4395" w:rsidP="009B2675">
            <w:pPr>
              <w:pStyle w:val="71R"/>
              <w:rPr>
                <w:noProof/>
              </w:rPr>
            </w:pPr>
            <w:r w:rsidRPr="0081507B">
              <w:rPr>
                <w:noProof/>
              </w:rPr>
              <w:drawing>
                <wp:anchor distT="0" distB="0" distL="114300" distR="114300" simplePos="0" relativeHeight="252017152" behindDoc="0" locked="0" layoutInCell="1" allowOverlap="1" wp14:anchorId="7568699F" wp14:editId="20B1D271">
                  <wp:simplePos x="0" y="0"/>
                  <wp:positionH relativeFrom="margin">
                    <wp:posOffset>1259205</wp:posOffset>
                  </wp:positionH>
                  <wp:positionV relativeFrom="margin">
                    <wp:posOffset>84455</wp:posOffset>
                  </wp:positionV>
                  <wp:extent cx="364490" cy="213360"/>
                  <wp:effectExtent l="0" t="0" r="3810" b="2540"/>
                  <wp:wrapSquare wrapText="bothSides"/>
                  <wp:docPr id="765912913"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13" name="תמונה 9"/>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364490" cy="213360"/>
                          </a:xfrm>
                          <a:prstGeom prst="rect">
                            <a:avLst/>
                          </a:prstGeom>
                        </pic:spPr>
                      </pic:pic>
                    </a:graphicData>
                  </a:graphic>
                  <wp14:sizeRelH relativeFrom="margin">
                    <wp14:pctWidth>0</wp14:pctWidth>
                  </wp14:sizeRelH>
                  <wp14:sizeRelV relativeFrom="margin">
                    <wp14:pctHeight>0</wp14:pctHeight>
                  </wp14:sizeRelV>
                </wp:anchor>
              </w:drawing>
            </w:r>
            <w:r w:rsidRPr="0081507B">
              <w:rPr>
                <w:rFonts w:hint="cs"/>
                <w:noProof/>
                <w:rtl/>
              </w:rPr>
              <w:t>קנדה</w:t>
            </w:r>
          </w:p>
        </w:tc>
        <w:tc>
          <w:tcPr>
            <w:tcW w:w="2405" w:type="dxa"/>
            <w:shd w:val="clear" w:color="auto" w:fill="DDEAEE"/>
            <w:vAlign w:val="center"/>
          </w:tcPr>
          <w:p w14:paraId="6C2AB4F1" w14:textId="24D055C6" w:rsidR="007C4395" w:rsidRPr="001A5F85" w:rsidRDefault="001A5F85" w:rsidP="001A5F85">
            <w:pPr>
              <w:pStyle w:val="71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B050"/>
                <w:sz w:val="30"/>
                <w:szCs w:val="30"/>
                <w:rtl/>
              </w:rPr>
            </w:pPr>
            <w:r w:rsidRPr="001A5F85">
              <w:rPr>
                <w:rFonts w:ascii="Segoe UI Symbol" w:hAnsi="Segoe UI Symbol" w:cs="Segoe UI Symbol" w:hint="cs"/>
                <w:b/>
                <w:bCs/>
                <w:color w:val="00B050"/>
                <w:sz w:val="30"/>
                <w:szCs w:val="30"/>
                <w:rtl/>
              </w:rPr>
              <w:t>✓</w:t>
            </w:r>
          </w:p>
        </w:tc>
        <w:tc>
          <w:tcPr>
            <w:tcW w:w="2546" w:type="dxa"/>
            <w:shd w:val="clear" w:color="auto" w:fill="DDEAEE"/>
          </w:tcPr>
          <w:p w14:paraId="3D6C7B62" w14:textId="77777777" w:rsidR="007C4395" w:rsidRDefault="007C4395" w:rsidP="009B2675">
            <w:pPr>
              <w:pStyle w:val="71R"/>
              <w:cnfStyle w:val="000000100000" w:firstRow="0" w:lastRow="0" w:firstColumn="0" w:lastColumn="0" w:oddVBand="0" w:evenVBand="0" w:oddHBand="1" w:evenHBand="0" w:firstRowFirstColumn="0" w:firstRowLastColumn="0" w:lastRowFirstColumn="0" w:lastRowLastColumn="0"/>
              <w:rPr>
                <w:rtl/>
              </w:rPr>
            </w:pPr>
          </w:p>
        </w:tc>
      </w:tr>
      <w:tr w:rsidR="001A5F85" w14:paraId="1F954860" w14:textId="77777777" w:rsidTr="001A5F85">
        <w:trPr>
          <w:trHeight w:val="626"/>
        </w:trPr>
        <w:tc>
          <w:tcPr>
            <w:cnfStyle w:val="001000000000" w:firstRow="0" w:lastRow="0" w:firstColumn="1" w:lastColumn="0" w:oddVBand="0" w:evenVBand="0" w:oddHBand="0" w:evenHBand="0" w:firstRowFirstColumn="0" w:firstRowLastColumn="0" w:lastRowFirstColumn="0" w:lastRowLastColumn="0"/>
            <w:tcW w:w="3250" w:type="dxa"/>
            <w:shd w:val="clear" w:color="auto" w:fill="EEF6F7"/>
          </w:tcPr>
          <w:p w14:paraId="22758172" w14:textId="77777777" w:rsidR="007C4395" w:rsidRPr="0081507B" w:rsidRDefault="007C4395" w:rsidP="009B2675">
            <w:pPr>
              <w:pStyle w:val="71R"/>
              <w:rPr>
                <w:noProof/>
              </w:rPr>
            </w:pPr>
            <w:r w:rsidRPr="0081507B">
              <w:rPr>
                <w:noProof/>
              </w:rPr>
              <w:drawing>
                <wp:anchor distT="0" distB="0" distL="114300" distR="114300" simplePos="0" relativeHeight="252018176" behindDoc="0" locked="0" layoutInCell="1" allowOverlap="1" wp14:anchorId="08CE9FCA" wp14:editId="1944986D">
                  <wp:simplePos x="0" y="0"/>
                  <wp:positionH relativeFrom="margin">
                    <wp:posOffset>1283970</wp:posOffset>
                  </wp:positionH>
                  <wp:positionV relativeFrom="margin">
                    <wp:posOffset>85090</wp:posOffset>
                  </wp:positionV>
                  <wp:extent cx="340360" cy="199390"/>
                  <wp:effectExtent l="0" t="0" r="2540" b="3810"/>
                  <wp:wrapSquare wrapText="bothSides"/>
                  <wp:docPr id="29"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תמונה 8"/>
                          <pic:cNvPicPr>
                            <a:picLocks noChangeAspect="1"/>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40360" cy="199390"/>
                          </a:xfrm>
                          <a:prstGeom prst="rect">
                            <a:avLst/>
                          </a:prstGeom>
                        </pic:spPr>
                      </pic:pic>
                    </a:graphicData>
                  </a:graphic>
                  <wp14:sizeRelH relativeFrom="margin">
                    <wp14:pctWidth>0</wp14:pctWidth>
                  </wp14:sizeRelH>
                  <wp14:sizeRelV relativeFrom="margin">
                    <wp14:pctHeight>0</wp14:pctHeight>
                  </wp14:sizeRelV>
                </wp:anchor>
              </w:drawing>
            </w:r>
            <w:r w:rsidRPr="0081507B">
              <w:rPr>
                <w:rFonts w:hint="cs"/>
                <w:noProof/>
                <w:rtl/>
              </w:rPr>
              <w:t xml:space="preserve">בריטניה </w:t>
            </w:r>
          </w:p>
        </w:tc>
        <w:tc>
          <w:tcPr>
            <w:tcW w:w="2405" w:type="dxa"/>
            <w:shd w:val="clear" w:color="auto" w:fill="EEF6F7"/>
            <w:vAlign w:val="center"/>
          </w:tcPr>
          <w:p w14:paraId="10F3BEEB" w14:textId="0DDE4700" w:rsidR="007C4395" w:rsidRPr="001A5F85" w:rsidRDefault="001A5F85" w:rsidP="001A5F85">
            <w:pPr>
              <w:pStyle w:val="71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30"/>
                <w:szCs w:val="30"/>
                <w:rtl/>
              </w:rPr>
            </w:pPr>
            <w:r w:rsidRPr="001A5F85">
              <w:rPr>
                <w:rFonts w:ascii="Chalkboard SE" w:hAnsi="Chalkboard SE"/>
                <w:color w:val="FF0000"/>
                <w:sz w:val="30"/>
                <w:szCs w:val="30"/>
              </w:rPr>
              <w:t>X</w:t>
            </w:r>
          </w:p>
        </w:tc>
        <w:tc>
          <w:tcPr>
            <w:tcW w:w="2546" w:type="dxa"/>
            <w:shd w:val="clear" w:color="auto" w:fill="EEF6F7"/>
          </w:tcPr>
          <w:p w14:paraId="71F0024D" w14:textId="77777777" w:rsidR="007C4395" w:rsidRDefault="007C4395" w:rsidP="009B2675">
            <w:pPr>
              <w:pStyle w:val="71R"/>
              <w:cnfStyle w:val="000000000000" w:firstRow="0" w:lastRow="0" w:firstColumn="0" w:lastColumn="0" w:oddVBand="0" w:evenVBand="0" w:oddHBand="0" w:evenHBand="0" w:firstRowFirstColumn="0" w:firstRowLastColumn="0" w:lastRowFirstColumn="0" w:lastRowLastColumn="0"/>
              <w:rPr>
                <w:rtl/>
              </w:rPr>
            </w:pPr>
          </w:p>
        </w:tc>
      </w:tr>
    </w:tbl>
    <w:p w14:paraId="3D063CDA" w14:textId="77777777" w:rsidR="007C4395" w:rsidRPr="003B2683" w:rsidRDefault="007C4395" w:rsidP="003B2683">
      <w:pPr>
        <w:pStyle w:val="71c"/>
        <w:rPr>
          <w:rtl/>
        </w:rPr>
      </w:pPr>
      <w:r w:rsidRPr="003B2683">
        <w:rPr>
          <w:rFonts w:hint="cs"/>
          <w:rtl/>
        </w:rPr>
        <w:t xml:space="preserve">על פי </w:t>
      </w:r>
      <w:r w:rsidRPr="003B2683">
        <w:rPr>
          <w:rFonts w:hint="eastAsia"/>
          <w:rtl/>
        </w:rPr>
        <w:t>דוחות</w:t>
      </w:r>
      <w:r w:rsidRPr="003B2683">
        <w:rPr>
          <w:rtl/>
        </w:rPr>
        <w:t xml:space="preserve"> </w:t>
      </w:r>
      <w:r w:rsidRPr="003B2683">
        <w:rPr>
          <w:rFonts w:hint="eastAsia"/>
          <w:rtl/>
        </w:rPr>
        <w:t>כספיים</w:t>
      </w:r>
      <w:r w:rsidRPr="003B2683">
        <w:rPr>
          <w:rtl/>
        </w:rPr>
        <w:t xml:space="preserve"> </w:t>
      </w:r>
      <w:r w:rsidRPr="003B2683">
        <w:rPr>
          <w:rFonts w:hint="eastAsia"/>
          <w:rtl/>
        </w:rPr>
        <w:t>של</w:t>
      </w:r>
      <w:r w:rsidRPr="003B2683">
        <w:rPr>
          <w:rtl/>
        </w:rPr>
        <w:t xml:space="preserve"> </w:t>
      </w:r>
      <w:r w:rsidRPr="003B2683">
        <w:rPr>
          <w:rFonts w:hint="eastAsia"/>
          <w:rtl/>
        </w:rPr>
        <w:t>המדינות</w:t>
      </w:r>
      <w:r w:rsidRPr="003B2683">
        <w:rPr>
          <w:rtl/>
        </w:rPr>
        <w:t xml:space="preserve"> </w:t>
      </w:r>
      <w:r w:rsidRPr="003B2683">
        <w:rPr>
          <w:rFonts w:hint="eastAsia"/>
          <w:rtl/>
        </w:rPr>
        <w:t>הנבחרות</w:t>
      </w:r>
      <w:r w:rsidRPr="003B2683">
        <w:rPr>
          <w:rFonts w:hint="cs"/>
          <w:rtl/>
        </w:rPr>
        <w:t>, בעיבוד משרד מבקר המדינה</w:t>
      </w:r>
      <w:r w:rsidRPr="003B2683">
        <w:rPr>
          <w:rtl/>
        </w:rPr>
        <w:t>.</w:t>
      </w:r>
    </w:p>
    <w:p w14:paraId="335956F4" w14:textId="77777777" w:rsidR="007C4395" w:rsidRDefault="007C4395" w:rsidP="002A738D">
      <w:pPr>
        <w:pStyle w:val="7190"/>
        <w:rPr>
          <w:rtl/>
        </w:rPr>
      </w:pPr>
      <w:r>
        <w:rPr>
          <w:rFonts w:hint="cs"/>
          <w:rtl/>
        </w:rPr>
        <w:t xml:space="preserve">מהלוח עולה כי מרבית המדינות שנבדקו אינן מציגות דוח גיול חובות במסגרת הדוחות הכספיים. עם זאת, בקנדה וניו זילנד הגיול מוצג באופן מלא או חלקי. </w:t>
      </w:r>
    </w:p>
    <w:p w14:paraId="0569ADBB" w14:textId="77777777" w:rsidR="007C4395" w:rsidRDefault="007C4395" w:rsidP="002A738D">
      <w:pPr>
        <w:pStyle w:val="7190"/>
        <w:rPr>
          <w:rtl/>
        </w:rPr>
      </w:pPr>
      <w:r>
        <w:rPr>
          <w:rFonts w:hint="cs"/>
          <w:rtl/>
        </w:rPr>
        <w:t>העיקרון הבסיסי בנוגע לגביית חוב, הוא שככל שחוב מתיישן - כך קטֵנים הסיכויים לגבות אותו, וגדֵלים הסיכויים שהוא יהפוך לחוב אבוד</w:t>
      </w:r>
      <w:r>
        <w:rPr>
          <w:rStyle w:val="ac"/>
          <w:rtl/>
        </w:rPr>
        <w:footnoteReference w:id="91"/>
      </w:r>
      <w:r>
        <w:rPr>
          <w:rFonts w:hint="cs"/>
          <w:rtl/>
        </w:rPr>
        <w:t xml:space="preserve">. אשר על כן, היכולת להסתכל על תמונה כוללת של חובות על פי חלוקה לגיל החוב ולתקופת האיחור חשובה ביותר במנגנון הגבייה של הישות </w:t>
      </w:r>
      <w:proofErr w:type="spellStart"/>
      <w:r>
        <w:rPr>
          <w:rFonts w:hint="cs"/>
          <w:rtl/>
        </w:rPr>
        <w:t>ובתעדוף</w:t>
      </w:r>
      <w:proofErr w:type="spellEnd"/>
      <w:r>
        <w:rPr>
          <w:rFonts w:hint="cs"/>
          <w:rtl/>
        </w:rPr>
        <w:t xml:space="preserve"> הליכי הגבייה. דוח גיול משמש כלי לחישוב הפרשה לחובות מסופקים, והוא עוזר לבצע מעקב ובקרה אחר ניהול החייבים ולשפר את תהליכי העבודה. כמו כן, באמצעות דוח הגיול ניתן לשפר את מהימנות הדוחות הכספיים.</w:t>
      </w:r>
    </w:p>
    <w:p w14:paraId="423A7F4E" w14:textId="77777777" w:rsidR="007C4395" w:rsidRDefault="007C4395" w:rsidP="002A738D">
      <w:pPr>
        <w:pStyle w:val="7190"/>
        <w:rPr>
          <w:rtl/>
        </w:rPr>
      </w:pPr>
      <w:r>
        <w:rPr>
          <w:rFonts w:hint="cs"/>
          <w:rtl/>
        </w:rPr>
        <w:t xml:space="preserve">מבדיקת משרד מבקר המדינה עולה כי נכון למועד ביצוע הביקורת, לכמה ממשרדי הממשלה שאינם מנהלים את נתוני החייבים באמצעות מערכת </w:t>
      </w:r>
      <w:proofErr w:type="spellStart"/>
      <w:r>
        <w:rPr>
          <w:rFonts w:hint="cs"/>
          <w:rtl/>
        </w:rPr>
        <w:t>מרכב"ה</w:t>
      </w:r>
      <w:proofErr w:type="spellEnd"/>
      <w:r>
        <w:rPr>
          <w:rFonts w:hint="cs"/>
          <w:rtl/>
        </w:rPr>
        <w:t xml:space="preserve">, אין אפשרות להפיק דוח גיול חובות מהמערכת, ואילו למשרדים אחרים שכן מנהלים את החייבים באמצעות </w:t>
      </w:r>
      <w:proofErr w:type="spellStart"/>
      <w:r>
        <w:rPr>
          <w:rFonts w:hint="cs"/>
          <w:rtl/>
        </w:rPr>
        <w:t>מרכב"ה</w:t>
      </w:r>
      <w:proofErr w:type="spellEnd"/>
      <w:r>
        <w:rPr>
          <w:rFonts w:hint="cs"/>
          <w:rtl/>
        </w:rPr>
        <w:t xml:space="preserve">, יש אפשרות כזאת. למשל, משרד הבינוי והשיכון </w:t>
      </w:r>
      <w:proofErr w:type="spellStart"/>
      <w:r>
        <w:rPr>
          <w:rFonts w:hint="cs"/>
          <w:rtl/>
        </w:rPr>
        <w:t>ורמ"י</w:t>
      </w:r>
      <w:proofErr w:type="spellEnd"/>
      <w:r>
        <w:rPr>
          <w:rFonts w:hint="cs"/>
          <w:rtl/>
        </w:rPr>
        <w:t xml:space="preserve"> אינם יכול להפיק דוח גיול, ואילו משרד הכלכלה והתעשייה ומשרד הבריאות יכולים</w:t>
      </w:r>
      <w:r w:rsidRPr="00721CCF">
        <w:rPr>
          <w:rFonts w:hint="cs"/>
          <w:rtl/>
        </w:rPr>
        <w:t xml:space="preserve"> </w:t>
      </w:r>
      <w:r>
        <w:rPr>
          <w:rFonts w:hint="cs"/>
          <w:rtl/>
        </w:rPr>
        <w:t xml:space="preserve">להפיק דוח גיול ממערכת </w:t>
      </w:r>
      <w:proofErr w:type="spellStart"/>
      <w:r>
        <w:rPr>
          <w:rFonts w:hint="cs"/>
          <w:rtl/>
        </w:rPr>
        <w:t>מרכב"ה</w:t>
      </w:r>
      <w:proofErr w:type="spellEnd"/>
      <w:r>
        <w:rPr>
          <w:rFonts w:hint="cs"/>
          <w:rtl/>
        </w:rPr>
        <w:t xml:space="preserve">. </w:t>
      </w:r>
      <w:r w:rsidRPr="009D48A4">
        <w:rPr>
          <w:rFonts w:hint="eastAsia"/>
          <w:rtl/>
        </w:rPr>
        <w:t>יצוין</w:t>
      </w:r>
      <w:r w:rsidRPr="009D48A4">
        <w:rPr>
          <w:rtl/>
        </w:rPr>
        <w:t xml:space="preserve"> כי הנהלת בתי המשפט החלה בהפקת דוח גיול במהלך הביקורת, בעקבות עבודת צוות שמ</w:t>
      </w:r>
      <w:r>
        <w:rPr>
          <w:rFonts w:hint="cs"/>
          <w:rtl/>
        </w:rPr>
        <w:t>י</w:t>
      </w:r>
      <w:r w:rsidRPr="009D48A4">
        <w:rPr>
          <w:rtl/>
        </w:rPr>
        <w:t xml:space="preserve">נה </w:t>
      </w:r>
      <w:r w:rsidRPr="009D48A4">
        <w:rPr>
          <w:rFonts w:hint="eastAsia"/>
          <w:rtl/>
        </w:rPr>
        <w:t>מנהל</w:t>
      </w:r>
      <w:r w:rsidRPr="009D48A4">
        <w:rPr>
          <w:rtl/>
        </w:rPr>
        <w:t xml:space="preserve"> </w:t>
      </w:r>
      <w:r w:rsidRPr="009D48A4">
        <w:rPr>
          <w:rFonts w:hint="eastAsia"/>
          <w:rtl/>
        </w:rPr>
        <w:t>בתי</w:t>
      </w:r>
      <w:r w:rsidRPr="009D48A4">
        <w:rPr>
          <w:rtl/>
        </w:rPr>
        <w:t xml:space="preserve"> </w:t>
      </w:r>
      <w:r w:rsidRPr="009D48A4">
        <w:rPr>
          <w:rFonts w:hint="eastAsia"/>
          <w:rtl/>
        </w:rPr>
        <w:t>המשפט</w:t>
      </w:r>
      <w:r w:rsidRPr="009D48A4">
        <w:rPr>
          <w:rtl/>
        </w:rPr>
        <w:t>.</w:t>
      </w:r>
    </w:p>
    <w:p w14:paraId="593298CB" w14:textId="77777777" w:rsidR="007C4395" w:rsidRDefault="007C4395" w:rsidP="002A738D">
      <w:pPr>
        <w:pStyle w:val="7190"/>
        <w:rPr>
          <w:rtl/>
        </w:rPr>
      </w:pPr>
      <w:proofErr w:type="spellStart"/>
      <w:r>
        <w:rPr>
          <w:rFonts w:hint="cs"/>
          <w:rtl/>
        </w:rPr>
        <w:t>רמ"י</w:t>
      </w:r>
      <w:proofErr w:type="spellEnd"/>
      <w:r>
        <w:rPr>
          <w:rFonts w:hint="cs"/>
          <w:rtl/>
        </w:rPr>
        <w:t xml:space="preserve"> ציינה בדוחותיה הכספיים כי נתוני החייבים מתבססים על מערכות מידע ישנות ומוגבלות הכוללות נתונים חלקיים או לא מעודכנים בגין סכום החוב, גילו והריבית והפרשי ההצמדה </w:t>
      </w:r>
      <w:r>
        <w:rPr>
          <w:rFonts w:hint="cs"/>
          <w:rtl/>
        </w:rPr>
        <w:lastRenderedPageBreak/>
        <w:t>שנצברו בעקבותיו, וכי מערכות אלה אינן מאפשרות להפיק שאילתות ודוחות לשם ניהול מנגנון גבייה תקין, ניתוח החובות הישנים וסיווגם.</w:t>
      </w:r>
    </w:p>
    <w:p w14:paraId="051C8C33" w14:textId="77777777" w:rsidR="007C4395" w:rsidRDefault="007C4395" w:rsidP="002A738D">
      <w:pPr>
        <w:pStyle w:val="7190"/>
        <w:rPr>
          <w:rtl/>
        </w:rPr>
      </w:pPr>
      <w:r>
        <w:rPr>
          <w:rFonts w:hint="cs"/>
          <w:rtl/>
        </w:rPr>
        <w:t xml:space="preserve">בתשובת </w:t>
      </w:r>
      <w:proofErr w:type="spellStart"/>
      <w:r>
        <w:rPr>
          <w:rFonts w:hint="cs"/>
          <w:rtl/>
        </w:rPr>
        <w:t>רמ"י</w:t>
      </w:r>
      <w:proofErr w:type="spellEnd"/>
      <w:r>
        <w:rPr>
          <w:rFonts w:hint="cs"/>
          <w:rtl/>
        </w:rPr>
        <w:t xml:space="preserve"> צוין כי מערכות המידע שלה כוללות מידע היסטורי רב-שנים. </w:t>
      </w:r>
      <w:proofErr w:type="spellStart"/>
      <w:r>
        <w:rPr>
          <w:rFonts w:hint="cs"/>
          <w:rtl/>
        </w:rPr>
        <w:t>רמ"י</w:t>
      </w:r>
      <w:proofErr w:type="spellEnd"/>
      <w:r>
        <w:rPr>
          <w:rFonts w:hint="cs"/>
          <w:rtl/>
        </w:rPr>
        <w:t xml:space="preserve"> הוסיפה שבתחילה נרשם המידע באופן ידני, ולאחר מכן הוטמע במערכות מידע ותיקות ומוגבלות ביכולותיהן, ומפאת היקפו לא </w:t>
      </w:r>
      <w:proofErr w:type="spellStart"/>
      <w:r>
        <w:rPr>
          <w:rFonts w:hint="cs"/>
          <w:rtl/>
        </w:rPr>
        <w:t>טויב</w:t>
      </w:r>
      <w:proofErr w:type="spellEnd"/>
      <w:r>
        <w:rPr>
          <w:rFonts w:hint="cs"/>
          <w:rtl/>
        </w:rPr>
        <w:t xml:space="preserve"> בעבר בצורה סדורה. זאת ועוד, כיום קיימים נהלים סדורים לעניין טיוב וגבייה של חובות, דבר שלא היה בעבר. עוד צוין כי יש היום אפשרות להפיק דוחות </w:t>
      </w:r>
      <w:proofErr w:type="spellStart"/>
      <w:r>
        <w:rPr>
          <w:rFonts w:hint="cs"/>
          <w:rtl/>
        </w:rPr>
        <w:t>מינהליים</w:t>
      </w:r>
      <w:proofErr w:type="spellEnd"/>
      <w:r>
        <w:rPr>
          <w:rFonts w:hint="cs"/>
          <w:rtl/>
        </w:rPr>
        <w:t xml:space="preserve"> הכוללים מידע על היווצרות החוב, וכי אגף הכספים </w:t>
      </w:r>
      <w:proofErr w:type="spellStart"/>
      <w:r>
        <w:rPr>
          <w:rFonts w:hint="cs"/>
          <w:rtl/>
        </w:rPr>
        <w:t>ברמ"י</w:t>
      </w:r>
      <w:proofErr w:type="spellEnd"/>
      <w:r>
        <w:rPr>
          <w:rFonts w:hint="cs"/>
          <w:rtl/>
        </w:rPr>
        <w:t xml:space="preserve"> פעל כדי שמערכת המחשוב החדשה תאפשר הפקה וניתוח של דוחות בצורה דינמית ואפקטיבית, דבר שייעל את תהליכי האכיפה לגביהם.</w:t>
      </w:r>
    </w:p>
    <w:p w14:paraId="02778E55" w14:textId="77777777" w:rsidR="007C4395" w:rsidRDefault="007C4395" w:rsidP="002A738D">
      <w:pPr>
        <w:pStyle w:val="7190"/>
        <w:rPr>
          <w:rtl/>
        </w:rPr>
      </w:pPr>
      <w:r>
        <w:rPr>
          <w:rFonts w:hint="cs"/>
          <w:rtl/>
        </w:rPr>
        <w:t>משרד הבינוי והשיכון מסר כי אין לו מערכת שמייצרת דוח גיול חובות, וכי הוא יכול להפיק כרטסות אשר מראות את התפתחות החוב במשך תקופה.</w:t>
      </w:r>
    </w:p>
    <w:p w14:paraId="3F9BF712" w14:textId="77777777" w:rsidR="007C4395" w:rsidRPr="003B2683" w:rsidRDefault="007C4395" w:rsidP="003B2683">
      <w:pPr>
        <w:pStyle w:val="71f4"/>
        <w:rPr>
          <w:rFonts w:eastAsiaTheme="minorHAnsi"/>
          <w:rtl/>
        </w:rPr>
      </w:pPr>
      <w:r w:rsidRPr="003B2683">
        <w:rPr>
          <w:rFonts w:eastAsiaTheme="minorHAnsi" w:hint="cs"/>
          <w:rtl/>
        </w:rPr>
        <w:t xml:space="preserve">מאחר ש-64% מכלל החיובים במשרדי הממשלה אינם מנוהלים באמצעות מערכת </w:t>
      </w:r>
      <w:proofErr w:type="spellStart"/>
      <w:r w:rsidRPr="003B2683">
        <w:rPr>
          <w:rFonts w:eastAsiaTheme="minorHAnsi" w:hint="cs"/>
          <w:rtl/>
        </w:rPr>
        <w:t>מרכב"ה</w:t>
      </w:r>
      <w:proofErr w:type="spellEnd"/>
      <w:r w:rsidRPr="003B2683">
        <w:rPr>
          <w:rStyle w:val="ac"/>
          <w:rtl/>
        </w:rPr>
        <w:footnoteReference w:id="92"/>
      </w:r>
      <w:r w:rsidRPr="003B2683">
        <w:rPr>
          <w:rFonts w:eastAsiaTheme="minorHAnsi" w:hint="cs"/>
          <w:rtl/>
        </w:rPr>
        <w:t xml:space="preserve">, לאגף </w:t>
      </w:r>
      <w:proofErr w:type="spellStart"/>
      <w:r w:rsidRPr="003B2683">
        <w:rPr>
          <w:rFonts w:eastAsiaTheme="minorHAnsi" w:hint="cs"/>
          <w:rtl/>
        </w:rPr>
        <w:t>החשכ"ל</w:t>
      </w:r>
      <w:proofErr w:type="spellEnd"/>
      <w:r w:rsidRPr="003B2683">
        <w:rPr>
          <w:rFonts w:eastAsiaTheme="minorHAnsi" w:hint="cs"/>
          <w:rtl/>
        </w:rPr>
        <w:t xml:space="preserve"> אין נתונים </w:t>
      </w:r>
      <w:r w:rsidRPr="003B2683">
        <w:rPr>
          <w:rFonts w:eastAsiaTheme="minorHAnsi" w:hint="eastAsia"/>
          <w:rtl/>
        </w:rPr>
        <w:t>מלאים</w:t>
      </w:r>
      <w:r w:rsidRPr="003B2683">
        <w:rPr>
          <w:rFonts w:eastAsiaTheme="minorHAnsi" w:hint="cs"/>
          <w:rtl/>
        </w:rPr>
        <w:t xml:space="preserve"> על אודות גיול יתרות החוב המופיעות בדוחות הכספיים של המדינה, ואין לו אפשרות להפיק </w:t>
      </w:r>
      <w:r w:rsidRPr="003B2683">
        <w:rPr>
          <w:rFonts w:eastAsiaTheme="minorHAnsi"/>
          <w:rtl/>
        </w:rPr>
        <w:t>דוח</w:t>
      </w:r>
      <w:r w:rsidRPr="003B2683">
        <w:rPr>
          <w:rFonts w:eastAsiaTheme="minorHAnsi" w:hint="cs"/>
          <w:rtl/>
        </w:rPr>
        <w:t xml:space="preserve"> גיול</w:t>
      </w:r>
      <w:r w:rsidRPr="003B2683">
        <w:rPr>
          <w:rFonts w:eastAsiaTheme="minorHAnsi"/>
          <w:rtl/>
        </w:rPr>
        <w:t xml:space="preserve"> </w:t>
      </w:r>
      <w:r w:rsidRPr="003B2683">
        <w:rPr>
          <w:rFonts w:eastAsiaTheme="minorHAnsi" w:hint="cs"/>
          <w:rtl/>
        </w:rPr>
        <w:t>ליתרת החייבים ויתרות חובה המופיעה בדוחות הכספיים של המדינה.</w:t>
      </w:r>
    </w:p>
    <w:p w14:paraId="5D623D1D" w14:textId="77777777" w:rsidR="007C4395" w:rsidRPr="00BD0B06" w:rsidRDefault="007C4395" w:rsidP="002A738D">
      <w:pPr>
        <w:pStyle w:val="7190"/>
        <w:rPr>
          <w:rtl/>
        </w:rPr>
      </w:pPr>
      <w:r>
        <w:rPr>
          <w:rFonts w:hint="cs"/>
          <w:rtl/>
        </w:rPr>
        <w:t xml:space="preserve">בתשובת אגף </w:t>
      </w:r>
      <w:proofErr w:type="spellStart"/>
      <w:r>
        <w:rPr>
          <w:rFonts w:hint="cs"/>
          <w:rtl/>
        </w:rPr>
        <w:t>החשכ"ל</w:t>
      </w:r>
      <w:proofErr w:type="spellEnd"/>
      <w:r>
        <w:rPr>
          <w:rFonts w:hint="cs"/>
          <w:rtl/>
        </w:rPr>
        <w:t xml:space="preserve"> צוין כי במקרים רבים משרדי הממשלה הפועלים באמצעות מערכת </w:t>
      </w:r>
      <w:proofErr w:type="spellStart"/>
      <w:r>
        <w:rPr>
          <w:rFonts w:hint="cs"/>
          <w:rtl/>
        </w:rPr>
        <w:t>מרכב"ה</w:t>
      </w:r>
      <w:proofErr w:type="spellEnd"/>
      <w:r>
        <w:rPr>
          <w:rFonts w:hint="cs"/>
          <w:rtl/>
        </w:rPr>
        <w:t xml:space="preserve"> משתמשים במערכות חיצוניות לניהול חייבים. על כן גם הנתונים שמקורם במודול הפיננסי </w:t>
      </w:r>
      <w:proofErr w:type="spellStart"/>
      <w:r>
        <w:rPr>
          <w:rFonts w:hint="cs"/>
          <w:rtl/>
        </w:rPr>
        <w:t>במרכב"ה</w:t>
      </w:r>
      <w:proofErr w:type="spellEnd"/>
      <w:r>
        <w:rPr>
          <w:rFonts w:hint="cs"/>
          <w:rtl/>
        </w:rPr>
        <w:t xml:space="preserve"> אינם מנוהלים בפועל במערכת </w:t>
      </w:r>
      <w:proofErr w:type="spellStart"/>
      <w:r>
        <w:rPr>
          <w:rFonts w:hint="cs"/>
          <w:rtl/>
        </w:rPr>
        <w:t>מרכב"ה</w:t>
      </w:r>
      <w:proofErr w:type="spellEnd"/>
      <w:r>
        <w:rPr>
          <w:rFonts w:hint="cs"/>
          <w:rtl/>
        </w:rPr>
        <w:t xml:space="preserve">, אלא נרשמים בצורה </w:t>
      </w:r>
      <w:proofErr w:type="spellStart"/>
      <w:r>
        <w:rPr>
          <w:rFonts w:hint="cs"/>
          <w:rtl/>
        </w:rPr>
        <w:t>סיכומית</w:t>
      </w:r>
      <w:proofErr w:type="spellEnd"/>
      <w:r>
        <w:rPr>
          <w:rFonts w:hint="cs"/>
          <w:rtl/>
        </w:rPr>
        <w:t xml:space="preserve"> אחת לשנה או לתקופה. עוד צוין בתשובה כי מפותחת מערכת גבייה ממשלתית רוחבית שתאפשר מעקב רוחבי אחר ניהול נתוני החייבים והטיפול בהם ותוכל להציג את גיל החובות</w:t>
      </w:r>
      <w:r>
        <w:rPr>
          <w:rStyle w:val="ac"/>
          <w:rtl/>
        </w:rPr>
        <w:footnoteReference w:id="93"/>
      </w:r>
      <w:r>
        <w:rPr>
          <w:rFonts w:hint="cs"/>
          <w:rtl/>
        </w:rPr>
        <w:t>.</w:t>
      </w:r>
    </w:p>
    <w:p w14:paraId="1CCF6EA2" w14:textId="77777777" w:rsidR="007C4395" w:rsidRDefault="007C4395" w:rsidP="003B2683">
      <w:pPr>
        <w:pStyle w:val="71f4"/>
        <w:rPr>
          <w:rtl/>
        </w:rPr>
      </w:pPr>
      <w:r w:rsidRPr="00806CCD">
        <w:rPr>
          <w:rFonts w:hint="cs"/>
          <w:rtl/>
        </w:rPr>
        <w:t xml:space="preserve">השלמת הפתרון של מערכת גבייה רוחבית תאפשר לאגף </w:t>
      </w:r>
      <w:proofErr w:type="spellStart"/>
      <w:r w:rsidRPr="00806CCD">
        <w:rPr>
          <w:rFonts w:hint="cs"/>
          <w:rtl/>
        </w:rPr>
        <w:t>החשכ"ל</w:t>
      </w:r>
      <w:proofErr w:type="spellEnd"/>
      <w:r w:rsidRPr="00806CCD">
        <w:rPr>
          <w:rFonts w:hint="cs"/>
          <w:rtl/>
        </w:rPr>
        <w:t xml:space="preserve">, בין היתר, להפיק דוח גיול </w:t>
      </w:r>
      <w:r>
        <w:rPr>
          <w:rFonts w:hint="cs"/>
          <w:rtl/>
        </w:rPr>
        <w:t xml:space="preserve">חובות ממערכת </w:t>
      </w:r>
      <w:proofErr w:type="spellStart"/>
      <w:r w:rsidRPr="00806CCD">
        <w:rPr>
          <w:rFonts w:hint="cs"/>
          <w:rtl/>
        </w:rPr>
        <w:t>מרכב"ה</w:t>
      </w:r>
      <w:proofErr w:type="spellEnd"/>
      <w:r w:rsidRPr="00806CCD">
        <w:rPr>
          <w:rFonts w:hint="cs"/>
          <w:rtl/>
        </w:rPr>
        <w:t xml:space="preserve"> ול</w:t>
      </w:r>
      <w:r>
        <w:rPr>
          <w:rFonts w:hint="cs"/>
          <w:rtl/>
        </w:rPr>
        <w:t xml:space="preserve">שפר את מנגנון גביית החובות תוך </w:t>
      </w:r>
      <w:proofErr w:type="spellStart"/>
      <w:r w:rsidRPr="00806CCD">
        <w:rPr>
          <w:rFonts w:hint="cs"/>
          <w:rtl/>
        </w:rPr>
        <w:t>תעד</w:t>
      </w:r>
      <w:r>
        <w:rPr>
          <w:rFonts w:hint="cs"/>
          <w:rtl/>
        </w:rPr>
        <w:t>ו</w:t>
      </w:r>
      <w:r w:rsidRPr="00806CCD">
        <w:rPr>
          <w:rFonts w:hint="cs"/>
          <w:rtl/>
        </w:rPr>
        <w:t>ף</w:t>
      </w:r>
      <w:proofErr w:type="spellEnd"/>
      <w:r w:rsidRPr="00806CCD">
        <w:rPr>
          <w:rFonts w:hint="cs"/>
          <w:rtl/>
        </w:rPr>
        <w:t xml:space="preserve"> </w:t>
      </w:r>
      <w:r>
        <w:rPr>
          <w:rFonts w:hint="cs"/>
          <w:rtl/>
        </w:rPr>
        <w:t xml:space="preserve">הליכי הגבייה </w:t>
      </w:r>
      <w:r w:rsidRPr="00806CCD">
        <w:rPr>
          <w:rFonts w:hint="cs"/>
          <w:rtl/>
        </w:rPr>
        <w:t>בהתאם לגיל החו</w:t>
      </w:r>
      <w:r>
        <w:rPr>
          <w:rFonts w:hint="cs"/>
          <w:rtl/>
        </w:rPr>
        <w:t>ב.</w:t>
      </w:r>
    </w:p>
    <w:p w14:paraId="5CD4024F" w14:textId="77777777" w:rsidR="007C4395" w:rsidRPr="00372595" w:rsidRDefault="007C4395" w:rsidP="003B2683">
      <w:pPr>
        <w:pStyle w:val="71f4"/>
        <w:rPr>
          <w:rtl/>
        </w:rPr>
      </w:pPr>
      <w:r>
        <w:rPr>
          <w:rFonts w:hint="cs"/>
          <w:rtl/>
        </w:rPr>
        <w:t>לדוח גיול חובות יש חשיבות רבה הן בסיוע לצורכי קבלת החלטה על מחיקת החוב וניהול גביית החובות, והן לצרכים חשבונאיים, כגון ביצוע הפרשה לחובות מסופקים. נודעת אפוא חשיבות רבה להשלמת טיוב הנתונים במערכות ייעודיות לניהול החייבים, כדי לאפשר הפקת דוח גיול חובות שלם ואמין שיסייע למשרדים בניהול החובות ולהציג באופן מלא ואמין את גיול החובות בדוחות הכספיים של המדינה.</w:t>
      </w:r>
    </w:p>
    <w:p w14:paraId="4C697926" w14:textId="77777777" w:rsidR="007C4395" w:rsidRDefault="007C4395" w:rsidP="006F4D0D">
      <w:pPr>
        <w:pStyle w:val="71512"/>
        <w:rPr>
          <w:rtl/>
        </w:rPr>
      </w:pPr>
      <w:r>
        <w:rPr>
          <w:rFonts w:hint="cs"/>
          <w:rtl/>
        </w:rPr>
        <w:t>הפרשה לחובות מסופקים</w:t>
      </w:r>
    </w:p>
    <w:p w14:paraId="05598897" w14:textId="77777777" w:rsidR="007C4395" w:rsidRDefault="007C4395" w:rsidP="002A738D">
      <w:pPr>
        <w:pStyle w:val="7190"/>
        <w:rPr>
          <w:rtl/>
        </w:rPr>
      </w:pPr>
      <w:r>
        <w:rPr>
          <w:rFonts w:hint="cs"/>
          <w:rtl/>
        </w:rPr>
        <w:t xml:space="preserve">בהתאם לכללי חשבונאות מקובלים, ישות פיננסית נדרשת להציג בדוחות הכספיים שלה - כחלק מסעיף חייבים ויתרות חובה - את הנכס לפי ערך ההטבות הכלכליות החזויות ממנו. בשל </w:t>
      </w:r>
      <w:r>
        <w:rPr>
          <w:rFonts w:hint="cs"/>
          <w:rtl/>
        </w:rPr>
        <w:lastRenderedPageBreak/>
        <w:t>כך, כשמדובר בערך משתנה, ערך זה כפוף לירידת ערך, המכונה הפרשה לחובות מסופקים. בחשבונאות יש הפרדה בין יתרות משמעותיות שנבדקות ספציפית לבין יתרות אחרות שאינן נבדקות ספציפית, אך הן בעלות מאפיינים זהים, ולגביהן יש ליצור הפרשה כללית.</w:t>
      </w:r>
    </w:p>
    <w:p w14:paraId="56D9BDE7" w14:textId="77777777" w:rsidR="007C4395" w:rsidRDefault="007C4395" w:rsidP="002A738D">
      <w:pPr>
        <w:pStyle w:val="7190"/>
        <w:rPr>
          <w:rtl/>
        </w:rPr>
      </w:pPr>
      <w:r>
        <w:rPr>
          <w:rFonts w:hint="cs"/>
          <w:rtl/>
        </w:rPr>
        <w:t>בדוחות הכספיים נהוג להציג את סעיף החייבים ואת יתרות החובה נטו לאחר ביצוע הפרשה לחובות מסופקים. יש שתי שיטות עיקריות להפרשה לחובות מסופקים: (א) הפרשה ספציפית, המבוססת על מידע ספציפי בדבר יכולת הגבייה של חוב מסוים; (ב) הפרשה כללית, המבוצעת כאחוז מתוך כלל החובות ברוטו כמופיע בדוחות הכספיים של הישות החשבונאית</w:t>
      </w:r>
      <w:r>
        <w:rPr>
          <w:rStyle w:val="ac"/>
          <w:rtl/>
        </w:rPr>
        <w:footnoteReference w:id="94"/>
      </w:r>
      <w:r>
        <w:rPr>
          <w:rFonts w:hint="cs"/>
          <w:rtl/>
        </w:rPr>
        <w:t>.</w:t>
      </w:r>
    </w:p>
    <w:p w14:paraId="7A5737D5" w14:textId="77777777" w:rsidR="007C4395" w:rsidRDefault="007C4395" w:rsidP="002A738D">
      <w:pPr>
        <w:pStyle w:val="7190"/>
        <w:rPr>
          <w:rtl/>
        </w:rPr>
      </w:pPr>
      <w:r>
        <w:rPr>
          <w:rFonts w:hint="cs"/>
          <w:rtl/>
        </w:rPr>
        <w:t>מאחר שהדוחות הכספיים של המדינה הם דוחות מאוחדים, הם מורכבים מסוגים שונים של פעילויות ומסוגים שונים של משרדים ממשלתיים. כך גם ההפרשה לחובות מסופקים בדוח הכספי המאוחד, המאחדת הפרשות לחובות מסופקים שבוצעו על ידי המשרדים השונים באופנים שונים</w:t>
      </w:r>
      <w:r>
        <w:rPr>
          <w:rStyle w:val="ac"/>
          <w:rtl/>
        </w:rPr>
        <w:footnoteReference w:id="95"/>
      </w:r>
      <w:r>
        <w:rPr>
          <w:rFonts w:hint="cs"/>
          <w:rtl/>
        </w:rPr>
        <w:t xml:space="preserve">. </w:t>
      </w:r>
    </w:p>
    <w:p w14:paraId="7F05DC50" w14:textId="77777777" w:rsidR="007C4395" w:rsidRDefault="007C4395" w:rsidP="003B2683">
      <w:pPr>
        <w:pStyle w:val="71f4"/>
        <w:rPr>
          <w:rtl/>
        </w:rPr>
      </w:pPr>
      <w:r w:rsidRPr="00963657">
        <w:rPr>
          <w:rFonts w:hint="eastAsia"/>
          <w:rtl/>
        </w:rPr>
        <w:t>בהתאם</w:t>
      </w:r>
      <w:r w:rsidRPr="00963657">
        <w:rPr>
          <w:rtl/>
        </w:rPr>
        <w:t xml:space="preserve"> לדוחות הכספיים המאוחדים של המדינה לשנת 2020, הופרש לחובות מסופקים </w:t>
      </w:r>
      <w:r>
        <w:rPr>
          <w:rFonts w:hint="cs"/>
          <w:rtl/>
        </w:rPr>
        <w:t>סכום</w:t>
      </w:r>
      <w:r w:rsidRPr="00963657">
        <w:rPr>
          <w:rtl/>
        </w:rPr>
        <w:t xml:space="preserve"> של 14.1 מיליארד ש"ח, שהם 16.96% מסעיף חייבים ויתרות </w:t>
      </w:r>
      <w:r w:rsidRPr="00963657">
        <w:rPr>
          <w:rFonts w:hint="eastAsia"/>
          <w:rtl/>
        </w:rPr>
        <w:t>חובה</w:t>
      </w:r>
      <w:r>
        <w:rPr>
          <w:rFonts w:hint="cs"/>
          <w:rtl/>
        </w:rPr>
        <w:t xml:space="preserve"> (ברוטו)</w:t>
      </w:r>
      <w:r w:rsidRPr="00963657">
        <w:rPr>
          <w:rtl/>
        </w:rPr>
        <w:t>.</w:t>
      </w:r>
    </w:p>
    <w:p w14:paraId="1EE1E5AC" w14:textId="77777777" w:rsidR="007C4395" w:rsidRPr="00466D92" w:rsidRDefault="007C4395" w:rsidP="003B2683">
      <w:pPr>
        <w:pStyle w:val="71f4"/>
        <w:rPr>
          <w:rtl/>
        </w:rPr>
      </w:pPr>
      <w:r w:rsidRPr="00466D92">
        <w:rPr>
          <w:rFonts w:hint="cs"/>
          <w:rtl/>
        </w:rPr>
        <w:t xml:space="preserve">מומלץ כי אגף </w:t>
      </w:r>
      <w:proofErr w:type="spellStart"/>
      <w:r w:rsidRPr="00466D92">
        <w:rPr>
          <w:rFonts w:hint="cs"/>
          <w:rtl/>
        </w:rPr>
        <w:t>החשכ"ל</w:t>
      </w:r>
      <w:proofErr w:type="spellEnd"/>
      <w:r w:rsidRPr="00466D92">
        <w:rPr>
          <w:rFonts w:hint="cs"/>
          <w:rtl/>
        </w:rPr>
        <w:t xml:space="preserve"> יעק</w:t>
      </w:r>
      <w:r>
        <w:rPr>
          <w:rFonts w:hint="cs"/>
          <w:rtl/>
        </w:rPr>
        <w:t>ו</w:t>
      </w:r>
      <w:r w:rsidRPr="00466D92">
        <w:rPr>
          <w:rFonts w:hint="cs"/>
          <w:rtl/>
        </w:rPr>
        <w:t>ב אחר היקף ההפרשה לחובות מסופקים ואחר שיעורו מתוך סעיף חייבים ויתרות חובה, יבחן את המשמעויות מנתונים אלו ויפעל להקטנתם ככל שניתן.</w:t>
      </w:r>
    </w:p>
    <w:p w14:paraId="0EF6EC63" w14:textId="19DC2F81" w:rsidR="007C4395" w:rsidRPr="0081507B" w:rsidRDefault="007C4395" w:rsidP="002A738D">
      <w:pPr>
        <w:pStyle w:val="7190"/>
        <w:rPr>
          <w:rtl/>
        </w:rPr>
      </w:pPr>
      <w:r w:rsidRPr="00BF60B7">
        <w:rPr>
          <w:rFonts w:hint="cs"/>
          <w:rtl/>
        </w:rPr>
        <w:t xml:space="preserve">אגף </w:t>
      </w:r>
      <w:proofErr w:type="spellStart"/>
      <w:r w:rsidRPr="00BF60B7">
        <w:rPr>
          <w:rFonts w:hint="cs"/>
          <w:rtl/>
        </w:rPr>
        <w:t>החשכ"ל</w:t>
      </w:r>
      <w:proofErr w:type="spellEnd"/>
      <w:r w:rsidRPr="00BF60B7">
        <w:rPr>
          <w:rFonts w:hint="cs"/>
          <w:rtl/>
        </w:rPr>
        <w:t xml:space="preserve"> ציין בתשובתו כי במסגרת עריכת ביאור לסעיף חייבים ויתרות חובה בדוחות הכספיים המאוחדים נעשות בדיקות אנליטיות שונות, לצורך זיהוי חריגות ומגמות ביתרות החייבים ובהפרשה לחובות מסופקים שנדרשת להן התייחסות, ובהתאם לכך נעשות בדיקות מול הגופים הרלוונטיים.</w:t>
      </w:r>
      <w:r w:rsidRPr="004913A4">
        <w:rPr>
          <w:rFonts w:hint="cs"/>
          <w:rtl/>
        </w:rPr>
        <w:t xml:space="preserve"> </w:t>
      </w:r>
    </w:p>
    <w:p w14:paraId="31D74A16" w14:textId="77777777" w:rsidR="007C4395" w:rsidRPr="006F4D0D" w:rsidRDefault="007C4395" w:rsidP="006F4D0D">
      <w:pPr>
        <w:pStyle w:val="71612"/>
        <w:rPr>
          <w:rtl/>
        </w:rPr>
      </w:pPr>
      <w:r w:rsidRPr="006F4D0D">
        <w:rPr>
          <w:rFonts w:hint="cs"/>
          <w:rtl/>
        </w:rPr>
        <w:t xml:space="preserve">תהליך חישוב ההפרשה לחובות מסופקים במדינות נבחרות </w:t>
      </w:r>
    </w:p>
    <w:p w14:paraId="45031C20" w14:textId="0BC2A933" w:rsidR="003B2683" w:rsidRDefault="007C4395" w:rsidP="002A738D">
      <w:pPr>
        <w:pStyle w:val="7190"/>
        <w:rPr>
          <w:rFonts w:eastAsiaTheme="minorEastAsia"/>
          <w:szCs w:val="20"/>
          <w:rtl/>
        </w:rPr>
      </w:pPr>
      <w:r>
        <w:rPr>
          <w:rFonts w:hint="cs"/>
          <w:rtl/>
        </w:rPr>
        <w:t xml:space="preserve">משרד מבקר המדינה בחן את אופן חישוב ההפרשה לחובות מסופקים בין כמה מדינות נבחרות כמפורט בטבלה </w:t>
      </w:r>
      <w:proofErr w:type="spellStart"/>
      <w:r>
        <w:rPr>
          <w:rFonts w:hint="cs"/>
          <w:rtl/>
        </w:rPr>
        <w:t>המצ"ב</w:t>
      </w:r>
      <w:proofErr w:type="spellEnd"/>
      <w:r>
        <w:rPr>
          <w:rFonts w:hint="cs"/>
          <w:rtl/>
        </w:rPr>
        <w:t>.</w:t>
      </w:r>
      <w:r w:rsidR="003B2683">
        <w:rPr>
          <w:rtl/>
        </w:rPr>
        <w:br w:type="page"/>
      </w:r>
    </w:p>
    <w:p w14:paraId="1F7B24D2" w14:textId="194346E2" w:rsidR="007C4395" w:rsidRPr="0081507B" w:rsidRDefault="007C4395" w:rsidP="006F4D0D">
      <w:pPr>
        <w:pStyle w:val="71a"/>
        <w:rPr>
          <w:rtl/>
        </w:rPr>
      </w:pPr>
      <w:r w:rsidRPr="006F4D0D">
        <w:rPr>
          <w:rFonts w:hint="cs"/>
          <w:b w:val="0"/>
          <w:bCs w:val="0"/>
          <w:rtl/>
        </w:rPr>
        <w:lastRenderedPageBreak/>
        <w:t xml:space="preserve">לוח 17: </w:t>
      </w:r>
      <w:r w:rsidRPr="0081507B">
        <w:rPr>
          <w:rFonts w:hint="cs"/>
          <w:rtl/>
        </w:rPr>
        <w:t>תהליך חישוב ההפרשה במדינות נבחרות</w:t>
      </w:r>
    </w:p>
    <w:tbl>
      <w:tblPr>
        <w:tblStyle w:val="1-1"/>
        <w:bidiVisual/>
        <w:tblW w:w="5000" w:type="pct"/>
        <w:tblBorders>
          <w:top w:val="none" w:sz="0" w:space="0" w:color="auto"/>
          <w:left w:val="single" w:sz="4" w:space="0" w:color="auto"/>
          <w:bottom w:val="none" w:sz="0" w:space="0" w:color="auto"/>
          <w:right w:val="single" w:sz="4" w:space="0" w:color="auto"/>
          <w:insideH w:val="none" w:sz="0" w:space="0" w:color="auto"/>
          <w:insideV w:val="single" w:sz="4" w:space="0" w:color="auto"/>
        </w:tblBorders>
        <w:shd w:val="clear" w:color="auto" w:fill="DBE5F1" w:themeFill="accent1" w:themeFillTint="33"/>
        <w:tblLook w:val="04A0" w:firstRow="1" w:lastRow="0" w:firstColumn="1" w:lastColumn="0" w:noHBand="0" w:noVBand="1"/>
      </w:tblPr>
      <w:tblGrid>
        <w:gridCol w:w="3680"/>
        <w:gridCol w:w="3680"/>
      </w:tblGrid>
      <w:tr w:rsidR="009B2675" w14:paraId="67DAA511" w14:textId="77777777" w:rsidTr="00947CDD">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bottom w:val="none" w:sz="0" w:space="0" w:color="auto"/>
            </w:tcBorders>
            <w:shd w:val="clear" w:color="auto" w:fill="DDEAEE"/>
          </w:tcPr>
          <w:p w14:paraId="74A8FAF3" w14:textId="552FE73B" w:rsidR="009B2675" w:rsidRPr="009B2675" w:rsidRDefault="002B250C" w:rsidP="009B2675">
            <w:pPr>
              <w:pStyle w:val="71R"/>
              <w:rPr>
                <w:rtl/>
              </w:rPr>
            </w:pPr>
            <w:r w:rsidRPr="0081507B">
              <w:rPr>
                <w:noProof/>
              </w:rPr>
              <w:drawing>
                <wp:anchor distT="0" distB="0" distL="114300" distR="114300" simplePos="0" relativeHeight="252028416" behindDoc="0" locked="0" layoutInCell="1" allowOverlap="1" wp14:anchorId="7414B79D" wp14:editId="092C73D8">
                  <wp:simplePos x="0" y="0"/>
                  <wp:positionH relativeFrom="margin">
                    <wp:posOffset>1777134</wp:posOffset>
                  </wp:positionH>
                  <wp:positionV relativeFrom="margin">
                    <wp:posOffset>38735</wp:posOffset>
                  </wp:positionV>
                  <wp:extent cx="387985" cy="281305"/>
                  <wp:effectExtent l="0" t="0" r="5715" b="0"/>
                  <wp:wrapSquare wrapText="bothSides"/>
                  <wp:docPr id="76591291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14" name="תמונה 4"/>
                          <pic:cNvPicPr>
                            <a:picLocks noChangeAspect="1"/>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flipH="1">
                            <a:off x="0" y="0"/>
                            <a:ext cx="387985" cy="281305"/>
                          </a:xfrm>
                          <a:prstGeom prst="rect">
                            <a:avLst/>
                          </a:prstGeom>
                        </pic:spPr>
                      </pic:pic>
                    </a:graphicData>
                  </a:graphic>
                  <wp14:sizeRelH relativeFrom="margin">
                    <wp14:pctWidth>0</wp14:pctWidth>
                  </wp14:sizeRelH>
                  <wp14:sizeRelV relativeFrom="margin">
                    <wp14:pctHeight>0</wp14:pctHeight>
                  </wp14:sizeRelV>
                </wp:anchor>
              </w:drawing>
            </w:r>
            <w:r w:rsidR="009B2675" w:rsidRPr="0081507B">
              <w:rPr>
                <w:rFonts w:hint="eastAsia"/>
                <w:rtl/>
              </w:rPr>
              <w:t>ישראל</w:t>
            </w:r>
          </w:p>
        </w:tc>
        <w:tc>
          <w:tcPr>
            <w:tcW w:w="2500" w:type="pct"/>
            <w:tcBorders>
              <w:bottom w:val="none" w:sz="0" w:space="0" w:color="auto"/>
            </w:tcBorders>
            <w:shd w:val="clear" w:color="auto" w:fill="DDEAEE"/>
          </w:tcPr>
          <w:p w14:paraId="05A3615B" w14:textId="24E470E3" w:rsidR="009B2675" w:rsidRPr="0081507B" w:rsidRDefault="008B618F" w:rsidP="009B2675">
            <w:pPr>
              <w:pStyle w:val="71R"/>
              <w:cnfStyle w:val="100000000000" w:firstRow="1" w:lastRow="0" w:firstColumn="0" w:lastColumn="0" w:oddVBand="0" w:evenVBand="0" w:oddHBand="0" w:evenHBand="0" w:firstRowFirstColumn="0" w:firstRowLastColumn="0" w:lastRowFirstColumn="0" w:lastRowLastColumn="0"/>
              <w:rPr>
                <w:rtl/>
              </w:rPr>
            </w:pPr>
            <w:r w:rsidRPr="0081507B">
              <w:rPr>
                <w:noProof/>
              </w:rPr>
              <w:drawing>
                <wp:anchor distT="0" distB="0" distL="114300" distR="114300" simplePos="0" relativeHeight="252027392" behindDoc="0" locked="0" layoutInCell="1" allowOverlap="1" wp14:anchorId="59738A8C" wp14:editId="18956AA0">
                  <wp:simplePos x="0" y="0"/>
                  <wp:positionH relativeFrom="margin">
                    <wp:posOffset>1805305</wp:posOffset>
                  </wp:positionH>
                  <wp:positionV relativeFrom="margin">
                    <wp:posOffset>64135</wp:posOffset>
                  </wp:positionV>
                  <wp:extent cx="381635" cy="223520"/>
                  <wp:effectExtent l="0" t="0" r="0" b="5080"/>
                  <wp:wrapSquare wrapText="bothSides"/>
                  <wp:docPr id="76591291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15" name="תמונה 5"/>
                          <pic:cNvPicPr>
                            <a:picLocks noChangeAspect="1"/>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381635" cy="223520"/>
                          </a:xfrm>
                          <a:prstGeom prst="rect">
                            <a:avLst/>
                          </a:prstGeom>
                        </pic:spPr>
                      </pic:pic>
                    </a:graphicData>
                  </a:graphic>
                  <wp14:sizeRelH relativeFrom="margin">
                    <wp14:pctWidth>0</wp14:pctWidth>
                  </wp14:sizeRelH>
                  <wp14:sizeRelV relativeFrom="margin">
                    <wp14:pctHeight>0</wp14:pctHeight>
                  </wp14:sizeRelV>
                </wp:anchor>
              </w:drawing>
            </w:r>
            <w:r w:rsidR="009B2675" w:rsidRPr="0081507B">
              <w:rPr>
                <w:rFonts w:hint="eastAsia"/>
                <w:rtl/>
              </w:rPr>
              <w:t>ארה</w:t>
            </w:r>
            <w:r w:rsidR="009B2675" w:rsidRPr="0081507B">
              <w:rPr>
                <w:rtl/>
              </w:rPr>
              <w:t>"ב</w:t>
            </w:r>
            <w:r w:rsidR="009B2675" w:rsidRPr="0081507B">
              <w:rPr>
                <w:noProof/>
              </w:rPr>
              <w:t xml:space="preserve"> </w:t>
            </w:r>
          </w:p>
        </w:tc>
      </w:tr>
      <w:tr w:rsidR="009B2675" w14:paraId="01E60455" w14:textId="77777777" w:rsidTr="00947CDD">
        <w:trPr>
          <w:trHeight w:val="877"/>
        </w:trPr>
        <w:tc>
          <w:tcPr>
            <w:cnfStyle w:val="001000000000" w:firstRow="0" w:lastRow="0" w:firstColumn="1" w:lastColumn="0" w:oddVBand="0" w:evenVBand="0" w:oddHBand="0" w:evenHBand="0" w:firstRowFirstColumn="0" w:firstRowLastColumn="0" w:lastRowFirstColumn="0" w:lastRowLastColumn="0"/>
            <w:tcW w:w="2500" w:type="pct"/>
            <w:shd w:val="clear" w:color="auto" w:fill="EEF6F7"/>
          </w:tcPr>
          <w:p w14:paraId="688B9D4A" w14:textId="77777777" w:rsidR="009B2675" w:rsidRPr="0081507B" w:rsidRDefault="009B2675" w:rsidP="00F2720C">
            <w:pPr>
              <w:pStyle w:val="71R"/>
              <w:spacing w:line="240" w:lineRule="auto"/>
              <w:rPr>
                <w:rtl/>
              </w:rPr>
            </w:pPr>
            <w:r w:rsidRPr="0081507B">
              <w:rPr>
                <w:rFonts w:hint="cs"/>
                <w:b w:val="0"/>
                <w:bCs w:val="0"/>
                <w:rtl/>
              </w:rPr>
              <w:t>יש הן הפרשה ספציפית והן הפרשה כללית לחובות מסופקים.</w:t>
            </w:r>
          </w:p>
          <w:p w14:paraId="4F1E20C2" w14:textId="77777777" w:rsidR="009B2675" w:rsidRPr="0081507B" w:rsidRDefault="009B2675" w:rsidP="00F2720C">
            <w:pPr>
              <w:pStyle w:val="71R"/>
              <w:spacing w:line="240" w:lineRule="auto"/>
              <w:rPr>
                <w:rtl/>
              </w:rPr>
            </w:pPr>
            <w:r w:rsidRPr="0081507B">
              <w:rPr>
                <w:rFonts w:hint="cs"/>
                <w:b w:val="0"/>
                <w:bCs w:val="0"/>
                <w:rtl/>
              </w:rPr>
              <w:t>הפרשה ספציפית מחושבת על ידי חובות מזוהים שלדעת המדינה גבייתם מוטלת בספק.</w:t>
            </w:r>
          </w:p>
          <w:p w14:paraId="41C871A4" w14:textId="51DB9C80" w:rsidR="009B2675" w:rsidRPr="0081507B" w:rsidRDefault="009B2675" w:rsidP="00F2720C">
            <w:pPr>
              <w:pStyle w:val="71R"/>
              <w:spacing w:line="240" w:lineRule="auto"/>
              <w:rPr>
                <w:b w:val="0"/>
                <w:bCs w:val="0"/>
                <w:rtl/>
              </w:rPr>
            </w:pPr>
            <w:r w:rsidRPr="0081507B">
              <w:rPr>
                <w:rFonts w:hint="cs"/>
                <w:b w:val="0"/>
                <w:bCs w:val="0"/>
                <w:rtl/>
              </w:rPr>
              <w:t>חישוב ההפרשה הכללית מתבסס על יתרות חוב למועד הדיווח, גיל החוב וניסיון העבר.</w:t>
            </w:r>
          </w:p>
        </w:tc>
        <w:tc>
          <w:tcPr>
            <w:tcW w:w="2500" w:type="pct"/>
            <w:shd w:val="clear" w:color="auto" w:fill="EEF6F7"/>
          </w:tcPr>
          <w:p w14:paraId="05A51123" w14:textId="77777777" w:rsidR="009B2675" w:rsidRPr="0081507B" w:rsidRDefault="009B2675" w:rsidP="00F2720C">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81507B">
              <w:rPr>
                <w:rFonts w:hint="cs"/>
                <w:rtl/>
              </w:rPr>
              <w:t>יש הן הפרשה ספציפית והן הפרשה כללית לחובות מסופקים:</w:t>
            </w:r>
          </w:p>
          <w:p w14:paraId="288F2184" w14:textId="77777777" w:rsidR="009B2675" w:rsidRPr="0081507B" w:rsidRDefault="009B2675" w:rsidP="00F2720C">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81507B">
              <w:rPr>
                <w:rFonts w:hint="cs"/>
                <w:rtl/>
              </w:rPr>
              <w:t>הפרשה ספציפית מחושבת על ידי זיהוי ספציפי של החוב, וסביר יותר מאשר לא</w:t>
            </w:r>
            <w:r w:rsidRPr="009B2675">
              <w:rPr>
                <w:rStyle w:val="ac"/>
                <w:rtl/>
              </w:rPr>
              <w:footnoteReference w:id="96"/>
            </w:r>
            <w:r w:rsidRPr="0081507B">
              <w:rPr>
                <w:rFonts w:hint="cs"/>
                <w:rtl/>
              </w:rPr>
              <w:t xml:space="preserve"> שהחוב לא ייגבה לחלוטין.</w:t>
            </w:r>
          </w:p>
          <w:p w14:paraId="2D110B2A" w14:textId="16058877" w:rsidR="009B2675" w:rsidRPr="0081507B" w:rsidRDefault="009B2675" w:rsidP="00F2720C">
            <w:pPr>
              <w:pStyle w:val="71R"/>
              <w:spacing w:line="240" w:lineRule="auto"/>
              <w:cnfStyle w:val="000000000000" w:firstRow="0" w:lastRow="0" w:firstColumn="0" w:lastColumn="0" w:oddVBand="0" w:evenVBand="0" w:oddHBand="0" w:evenHBand="0" w:firstRowFirstColumn="0" w:firstRowLastColumn="0" w:lastRowFirstColumn="0" w:lastRowLastColumn="0"/>
              <w:rPr>
                <w:rtl/>
              </w:rPr>
            </w:pPr>
            <w:r w:rsidRPr="0081507B">
              <w:rPr>
                <w:rFonts w:hint="cs"/>
                <w:rtl/>
              </w:rPr>
              <w:t>בדוּח הכספי מצוין שיכולות להיות שיטות הפרשה שונות בקרב הגורמים בממשלה, אך בדרך כלל השיטה מבוססת על ניסיון העבר, גבייה היסטוריות, שיטות גיול וכולי. השיטה מוערכת מחדש מפעם לפעם לפי הצורך.</w:t>
            </w:r>
          </w:p>
        </w:tc>
      </w:tr>
      <w:tr w:rsidR="009B2675" w14:paraId="3B2F64C5" w14:textId="77777777" w:rsidTr="00947CDD">
        <w:trPr>
          <w:trHeight w:val="567"/>
        </w:trPr>
        <w:tc>
          <w:tcPr>
            <w:cnfStyle w:val="001000000000" w:firstRow="0" w:lastRow="0" w:firstColumn="1" w:lastColumn="0" w:oddVBand="0" w:evenVBand="0" w:oddHBand="0" w:evenHBand="0" w:firstRowFirstColumn="0" w:firstRowLastColumn="0" w:lastRowFirstColumn="0" w:lastRowLastColumn="0"/>
            <w:tcW w:w="2500" w:type="pct"/>
            <w:shd w:val="clear" w:color="auto" w:fill="DDEAEE"/>
          </w:tcPr>
          <w:p w14:paraId="38150249" w14:textId="2B080188" w:rsidR="009B2675" w:rsidRPr="0081507B" w:rsidRDefault="008B618F" w:rsidP="009B2675">
            <w:pPr>
              <w:pStyle w:val="71R"/>
              <w:rPr>
                <w:rtl/>
              </w:rPr>
            </w:pPr>
            <w:r w:rsidRPr="0081507B">
              <w:rPr>
                <w:noProof/>
              </w:rPr>
              <w:drawing>
                <wp:anchor distT="0" distB="0" distL="114300" distR="114300" simplePos="0" relativeHeight="252033536" behindDoc="0" locked="0" layoutInCell="1" allowOverlap="1" wp14:anchorId="7C3ACEE9" wp14:editId="2A10CE88">
                  <wp:simplePos x="0" y="0"/>
                  <wp:positionH relativeFrom="margin">
                    <wp:posOffset>1786197</wp:posOffset>
                  </wp:positionH>
                  <wp:positionV relativeFrom="margin">
                    <wp:posOffset>60960</wp:posOffset>
                  </wp:positionV>
                  <wp:extent cx="383540" cy="224790"/>
                  <wp:effectExtent l="0" t="0" r="0" b="3810"/>
                  <wp:wrapSquare wrapText="bothSides"/>
                  <wp:docPr id="33"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תמונה 6"/>
                          <pic:cNvPicPr>
                            <a:picLocks noChangeAspect="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383540" cy="224790"/>
                          </a:xfrm>
                          <a:prstGeom prst="rect">
                            <a:avLst/>
                          </a:prstGeom>
                        </pic:spPr>
                      </pic:pic>
                    </a:graphicData>
                  </a:graphic>
                  <wp14:sizeRelH relativeFrom="margin">
                    <wp14:pctWidth>0</wp14:pctWidth>
                  </wp14:sizeRelH>
                  <wp14:sizeRelV relativeFrom="margin">
                    <wp14:pctHeight>0</wp14:pctHeight>
                  </wp14:sizeRelV>
                </wp:anchor>
              </w:drawing>
            </w:r>
            <w:r w:rsidR="009B2675" w:rsidRPr="0081507B">
              <w:rPr>
                <w:rFonts w:hint="eastAsia"/>
                <w:rtl/>
              </w:rPr>
              <w:t>אוסטרליה</w:t>
            </w:r>
            <w:r w:rsidR="009B2675" w:rsidRPr="0081507B">
              <w:t xml:space="preserve"> </w:t>
            </w:r>
          </w:p>
        </w:tc>
        <w:tc>
          <w:tcPr>
            <w:tcW w:w="2500" w:type="pct"/>
            <w:shd w:val="clear" w:color="auto" w:fill="DDEAEE"/>
          </w:tcPr>
          <w:p w14:paraId="44A64EF2" w14:textId="1755C0A9" w:rsidR="009B2675" w:rsidRPr="009B2675" w:rsidRDefault="008B618F" w:rsidP="009B2675">
            <w:pPr>
              <w:pStyle w:val="71R"/>
              <w:cnfStyle w:val="000000000000" w:firstRow="0" w:lastRow="0" w:firstColumn="0" w:lastColumn="0" w:oddVBand="0" w:evenVBand="0" w:oddHBand="0" w:evenHBand="0" w:firstRowFirstColumn="0" w:firstRowLastColumn="0" w:lastRowFirstColumn="0" w:lastRowLastColumn="0"/>
              <w:rPr>
                <w:b/>
                <w:bCs/>
                <w:noProof/>
                <w:rtl/>
              </w:rPr>
            </w:pPr>
            <w:r w:rsidRPr="0081507B">
              <w:rPr>
                <w:noProof/>
              </w:rPr>
              <w:drawing>
                <wp:anchor distT="0" distB="0" distL="114300" distR="114300" simplePos="0" relativeHeight="252034560" behindDoc="0" locked="0" layoutInCell="1" allowOverlap="1" wp14:anchorId="3C00D445" wp14:editId="3BD6E320">
                  <wp:simplePos x="0" y="0"/>
                  <wp:positionH relativeFrom="margin">
                    <wp:posOffset>1805305</wp:posOffset>
                  </wp:positionH>
                  <wp:positionV relativeFrom="margin">
                    <wp:posOffset>83820</wp:posOffset>
                  </wp:positionV>
                  <wp:extent cx="381635" cy="223520"/>
                  <wp:effectExtent l="0" t="0" r="0" b="5080"/>
                  <wp:wrapSquare wrapText="bothSides"/>
                  <wp:docPr id="765912916"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16" name="תמונה 7"/>
                          <pic:cNvPicPr>
                            <a:picLocks noChangeAspect="1"/>
                          </pic:cNvPicPr>
                        </pic:nvPicPr>
                        <pic:blipFill>
                          <a:blip r:embed="rId62" cstate="print">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381635" cy="223520"/>
                          </a:xfrm>
                          <a:prstGeom prst="rect">
                            <a:avLst/>
                          </a:prstGeom>
                        </pic:spPr>
                      </pic:pic>
                    </a:graphicData>
                  </a:graphic>
                  <wp14:sizeRelH relativeFrom="margin">
                    <wp14:pctWidth>0</wp14:pctWidth>
                  </wp14:sizeRelH>
                  <wp14:sizeRelV relativeFrom="margin">
                    <wp14:pctHeight>0</wp14:pctHeight>
                  </wp14:sizeRelV>
                </wp:anchor>
              </w:drawing>
            </w:r>
            <w:r w:rsidR="009B2675" w:rsidRPr="009B2675">
              <w:rPr>
                <w:rFonts w:hint="cs"/>
                <w:b/>
                <w:bCs/>
                <w:rtl/>
              </w:rPr>
              <w:t>ניו זילנד</w:t>
            </w:r>
            <w:r w:rsidR="009B2675" w:rsidRPr="009B2675">
              <w:rPr>
                <w:b/>
                <w:bCs/>
                <w:noProof/>
              </w:rPr>
              <w:t xml:space="preserve"> </w:t>
            </w:r>
          </w:p>
        </w:tc>
      </w:tr>
      <w:tr w:rsidR="009B2675" w14:paraId="6948FC01" w14:textId="77777777" w:rsidTr="00947CDD">
        <w:trPr>
          <w:trHeight w:val="909"/>
        </w:trPr>
        <w:tc>
          <w:tcPr>
            <w:cnfStyle w:val="001000000000" w:firstRow="0" w:lastRow="0" w:firstColumn="1" w:lastColumn="0" w:oddVBand="0" w:evenVBand="0" w:oddHBand="0" w:evenHBand="0" w:firstRowFirstColumn="0" w:firstRowLastColumn="0" w:lastRowFirstColumn="0" w:lastRowLastColumn="0"/>
            <w:tcW w:w="2500" w:type="pct"/>
            <w:shd w:val="clear" w:color="auto" w:fill="EEF6F7"/>
          </w:tcPr>
          <w:p w14:paraId="717DD550" w14:textId="33F2981A" w:rsidR="009B2675" w:rsidRPr="0081507B" w:rsidRDefault="009B2675" w:rsidP="00F2720C">
            <w:pPr>
              <w:pStyle w:val="71R"/>
              <w:spacing w:line="240" w:lineRule="auto"/>
              <w:rPr>
                <w:rtl/>
              </w:rPr>
            </w:pPr>
            <w:r w:rsidRPr="0081507B">
              <w:rPr>
                <w:rFonts w:hint="cs"/>
                <w:b w:val="0"/>
                <w:bCs w:val="0"/>
                <w:rtl/>
              </w:rPr>
              <w:t>ההפרשה מחושבת רק לנכסים שמוצגים בעלות מופחתת (נכסים שמוצגים בשווי הוגן יוצגו לאחר תנועת השווי ההוגן).</w:t>
            </w:r>
          </w:p>
          <w:p w14:paraId="445E13E2" w14:textId="036D44CB" w:rsidR="009B2675" w:rsidRPr="0081507B" w:rsidRDefault="009B2675" w:rsidP="00F2720C">
            <w:pPr>
              <w:pStyle w:val="71R"/>
              <w:spacing w:line="240" w:lineRule="auto"/>
              <w:rPr>
                <w:b w:val="0"/>
                <w:bCs w:val="0"/>
                <w:noProof/>
              </w:rPr>
            </w:pPr>
            <w:r w:rsidRPr="0081507B">
              <w:rPr>
                <w:rFonts w:hint="cs"/>
                <w:b w:val="0"/>
                <w:bCs w:val="0"/>
                <w:rtl/>
              </w:rPr>
              <w:t>הפרשת הפסדי אשראי צפויים מוערכת באמצעות הגישה המפשטת הנעשי</w:t>
            </w:r>
            <w:r w:rsidRPr="0081507B">
              <w:rPr>
                <w:rFonts w:hint="eastAsia"/>
                <w:b w:val="0"/>
                <w:bCs w:val="0"/>
                <w:rtl/>
              </w:rPr>
              <w:t>ת</w:t>
            </w:r>
            <w:r w:rsidRPr="0081507B">
              <w:rPr>
                <w:rFonts w:hint="cs"/>
                <w:b w:val="0"/>
                <w:bCs w:val="0"/>
                <w:rtl/>
              </w:rPr>
              <w:t xml:space="preserve"> על ידי מטריצות הפרשה, והיא מתבססת על ניסיון היסטורי ועל בדיקת גיול חשבוניות, בהתאם להערכות צופות פני עתיד לגבי תנאי ההחזר המבוססים על נתונים מקרו-כלכליים</w:t>
            </w:r>
            <w:r w:rsidRPr="0081507B">
              <w:rPr>
                <w:rtl/>
              </w:rPr>
              <w:t>.</w:t>
            </w:r>
          </w:p>
        </w:tc>
        <w:tc>
          <w:tcPr>
            <w:tcW w:w="2500" w:type="pct"/>
            <w:shd w:val="clear" w:color="auto" w:fill="EEF6F7"/>
          </w:tcPr>
          <w:p w14:paraId="7616F1D9" w14:textId="0FE10503" w:rsidR="009B2675" w:rsidRPr="0081507B" w:rsidRDefault="009B2675" w:rsidP="00F2720C">
            <w:pPr>
              <w:pStyle w:val="71R"/>
              <w:spacing w:line="240" w:lineRule="auto"/>
              <w:cnfStyle w:val="000000000000" w:firstRow="0" w:lastRow="0" w:firstColumn="0" w:lastColumn="0" w:oddVBand="0" w:evenVBand="0" w:oddHBand="0" w:evenHBand="0" w:firstRowFirstColumn="0" w:firstRowLastColumn="0" w:lastRowFirstColumn="0" w:lastRowLastColumn="0"/>
              <w:rPr>
                <w:noProof/>
              </w:rPr>
            </w:pPr>
            <w:r w:rsidRPr="0081507B">
              <w:rPr>
                <w:rtl/>
              </w:rPr>
              <w:t xml:space="preserve">משרד ההכנסות הפנימי מנהל את רוב התיקים של </w:t>
            </w:r>
            <w:r w:rsidRPr="0081507B">
              <w:rPr>
                <w:rFonts w:hint="cs"/>
                <w:rtl/>
              </w:rPr>
              <w:t>החייבים בגין</w:t>
            </w:r>
            <w:r w:rsidRPr="0081507B">
              <w:rPr>
                <w:rtl/>
              </w:rPr>
              <w:t xml:space="preserve"> מ</w:t>
            </w:r>
            <w:r w:rsidRPr="0081507B">
              <w:rPr>
                <w:rFonts w:hint="cs"/>
                <w:rtl/>
              </w:rPr>
              <w:t>י</w:t>
            </w:r>
            <w:r w:rsidRPr="0081507B">
              <w:rPr>
                <w:rtl/>
              </w:rPr>
              <w:t>סים. כמות התיקים ברי</w:t>
            </w:r>
            <w:r w:rsidRPr="0081507B">
              <w:rPr>
                <w:rFonts w:hint="cs"/>
                <w:rtl/>
              </w:rPr>
              <w:t>-</w:t>
            </w:r>
            <w:r w:rsidRPr="0081507B">
              <w:rPr>
                <w:rtl/>
              </w:rPr>
              <w:t>הגבייה מחושבת</w:t>
            </w:r>
            <w:r w:rsidRPr="0081507B">
              <w:rPr>
                <w:rFonts w:hint="cs"/>
                <w:rtl/>
              </w:rPr>
              <w:t xml:space="preserve"> </w:t>
            </w:r>
            <w:r w:rsidRPr="0081507B">
              <w:rPr>
                <w:rtl/>
              </w:rPr>
              <w:t>על ידי חיזוי הגבייה העתידית</w:t>
            </w:r>
            <w:r w:rsidRPr="0081507B">
              <w:rPr>
                <w:rFonts w:hint="cs"/>
                <w:rtl/>
              </w:rPr>
              <w:t>,</w:t>
            </w:r>
            <w:r w:rsidRPr="0081507B">
              <w:rPr>
                <w:rtl/>
              </w:rPr>
              <w:t xml:space="preserve"> </w:t>
            </w:r>
            <w:r w:rsidRPr="0081507B">
              <w:rPr>
                <w:rFonts w:hint="cs"/>
                <w:rtl/>
              </w:rPr>
              <w:t xml:space="preserve">גבייה </w:t>
            </w:r>
            <w:r w:rsidRPr="0081507B">
              <w:rPr>
                <w:rtl/>
              </w:rPr>
              <w:t>המבוסס</w:t>
            </w:r>
            <w:r w:rsidRPr="0081507B">
              <w:rPr>
                <w:rFonts w:hint="cs"/>
                <w:rtl/>
              </w:rPr>
              <w:t>ת</w:t>
            </w:r>
            <w:r w:rsidRPr="0081507B">
              <w:rPr>
                <w:rtl/>
              </w:rPr>
              <w:t xml:space="preserve"> על ניתוח נתוני החוב ההיסטוריים בניכוי</w:t>
            </w:r>
            <w:r w:rsidRPr="0081507B">
              <w:rPr>
                <w:rFonts w:hint="cs"/>
                <w:rtl/>
              </w:rPr>
              <w:t xml:space="preserve"> </w:t>
            </w:r>
            <w:r w:rsidRPr="0081507B">
              <w:rPr>
                <w:rtl/>
              </w:rPr>
              <w:t>אומדן עלויות שירות</w:t>
            </w:r>
            <w:r w:rsidRPr="0081507B">
              <w:rPr>
                <w:rFonts w:hint="cs"/>
                <w:rtl/>
              </w:rPr>
              <w:t xml:space="preserve">, </w:t>
            </w:r>
            <w:r w:rsidRPr="0081507B">
              <w:rPr>
                <w:rtl/>
              </w:rPr>
              <w:t>ולאחר מכן הפחתה בשיעור</w:t>
            </w:r>
            <w:r w:rsidRPr="0081507B">
              <w:rPr>
                <w:rFonts w:hint="cs"/>
                <w:rtl/>
              </w:rPr>
              <w:t xml:space="preserve"> של אחוז מסוים משיעור</w:t>
            </w:r>
            <w:r w:rsidRPr="0081507B">
              <w:rPr>
                <w:rtl/>
              </w:rPr>
              <w:t xml:space="preserve"> השוק הנוכחי </w:t>
            </w:r>
            <w:r w:rsidRPr="0081507B">
              <w:rPr>
                <w:rFonts w:hint="cs"/>
                <w:rtl/>
              </w:rPr>
              <w:t>(</w:t>
            </w:r>
            <w:r w:rsidRPr="0081507B">
              <w:rPr>
                <w:rtl/>
              </w:rPr>
              <w:t>5.0%</w:t>
            </w:r>
            <w:r w:rsidRPr="0081507B">
              <w:rPr>
                <w:rFonts w:hint="cs"/>
                <w:rtl/>
              </w:rPr>
              <w:t xml:space="preserve"> ב-2020). </w:t>
            </w:r>
            <w:r w:rsidRPr="0081507B">
              <w:rPr>
                <w:rtl/>
              </w:rPr>
              <w:t>אם הסכום בר</w:t>
            </w:r>
            <w:r w:rsidRPr="0081507B">
              <w:rPr>
                <w:rFonts w:hint="cs"/>
                <w:rtl/>
              </w:rPr>
              <w:t>-</w:t>
            </w:r>
            <w:r w:rsidRPr="0081507B">
              <w:rPr>
                <w:rtl/>
              </w:rPr>
              <w:t>ההשבה של התיקים נמוך מהסכום בספרים, הסכום בספרים מופחת לסכום בר</w:t>
            </w:r>
            <w:r w:rsidRPr="0081507B">
              <w:rPr>
                <w:rFonts w:hint="cs"/>
                <w:rtl/>
              </w:rPr>
              <w:t>-</w:t>
            </w:r>
            <w:r w:rsidRPr="0081507B">
              <w:rPr>
                <w:rtl/>
              </w:rPr>
              <w:t>ההשבה. לחלופין, אם הסכום בר</w:t>
            </w:r>
            <w:r w:rsidRPr="0081507B">
              <w:rPr>
                <w:rFonts w:hint="cs"/>
                <w:rtl/>
              </w:rPr>
              <w:t>-</w:t>
            </w:r>
            <w:r w:rsidRPr="0081507B">
              <w:rPr>
                <w:rtl/>
              </w:rPr>
              <w:t>ההשבה גבוה יותר, הסכום בספרים גדל</w:t>
            </w:r>
            <w:r w:rsidRPr="0081507B">
              <w:rPr>
                <w:rFonts w:hint="cs"/>
                <w:rtl/>
              </w:rPr>
              <w:t>.</w:t>
            </w:r>
          </w:p>
        </w:tc>
      </w:tr>
      <w:tr w:rsidR="009B2675" w14:paraId="1F959578" w14:textId="77777777" w:rsidTr="00947CDD">
        <w:trPr>
          <w:trHeight w:val="567"/>
        </w:trPr>
        <w:tc>
          <w:tcPr>
            <w:cnfStyle w:val="001000000000" w:firstRow="0" w:lastRow="0" w:firstColumn="1" w:lastColumn="0" w:oddVBand="0" w:evenVBand="0" w:oddHBand="0" w:evenHBand="0" w:firstRowFirstColumn="0" w:firstRowLastColumn="0" w:lastRowFirstColumn="0" w:lastRowLastColumn="0"/>
            <w:tcW w:w="2500" w:type="pct"/>
            <w:shd w:val="clear" w:color="auto" w:fill="DDEAEE"/>
          </w:tcPr>
          <w:p w14:paraId="1F39BA6F" w14:textId="52BFA68C" w:rsidR="009B2675" w:rsidRPr="0081507B" w:rsidRDefault="009B2675" w:rsidP="008B618F">
            <w:pPr>
              <w:pStyle w:val="71R"/>
              <w:ind w:left="624"/>
              <w:rPr>
                <w:noProof/>
                <w:rtl/>
              </w:rPr>
            </w:pPr>
            <w:r w:rsidRPr="0081507B">
              <w:rPr>
                <w:noProof/>
              </w:rPr>
              <w:drawing>
                <wp:anchor distT="0" distB="0" distL="114300" distR="114300" simplePos="0" relativeHeight="252039680" behindDoc="0" locked="0" layoutInCell="1" allowOverlap="1" wp14:anchorId="48A17D0F" wp14:editId="728A437C">
                  <wp:simplePos x="0" y="0"/>
                  <wp:positionH relativeFrom="margin">
                    <wp:posOffset>1750868</wp:posOffset>
                  </wp:positionH>
                  <wp:positionV relativeFrom="margin">
                    <wp:posOffset>46355</wp:posOffset>
                  </wp:positionV>
                  <wp:extent cx="416560" cy="243840"/>
                  <wp:effectExtent l="0" t="0" r="2540" b="0"/>
                  <wp:wrapSquare wrapText="bothSides"/>
                  <wp:docPr id="35"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תמונה 8"/>
                          <pic:cNvPicPr>
                            <a:picLocks noChangeAspect="1"/>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416560" cy="243840"/>
                          </a:xfrm>
                          <a:prstGeom prst="rect">
                            <a:avLst/>
                          </a:prstGeom>
                        </pic:spPr>
                      </pic:pic>
                    </a:graphicData>
                  </a:graphic>
                  <wp14:sizeRelH relativeFrom="margin">
                    <wp14:pctWidth>0</wp14:pctWidth>
                  </wp14:sizeRelH>
                  <wp14:sizeRelV relativeFrom="margin">
                    <wp14:pctHeight>0</wp14:pctHeight>
                  </wp14:sizeRelV>
                </wp:anchor>
              </w:drawing>
            </w:r>
            <w:r w:rsidRPr="0081507B">
              <w:rPr>
                <w:rFonts w:hint="eastAsia"/>
                <w:rtl/>
              </w:rPr>
              <w:t>בריטניה</w:t>
            </w:r>
            <w:r w:rsidRPr="0081507B">
              <w:rPr>
                <w:noProof/>
              </w:rPr>
              <w:t xml:space="preserve"> </w:t>
            </w:r>
          </w:p>
        </w:tc>
        <w:tc>
          <w:tcPr>
            <w:tcW w:w="2500" w:type="pct"/>
            <w:shd w:val="clear" w:color="auto" w:fill="DDEAEE"/>
          </w:tcPr>
          <w:p w14:paraId="4C9C3477" w14:textId="7F859064" w:rsidR="009B2675" w:rsidRPr="009B2675" w:rsidRDefault="009B2675" w:rsidP="009B2675">
            <w:pPr>
              <w:pStyle w:val="71R"/>
              <w:cnfStyle w:val="000000000000" w:firstRow="0" w:lastRow="0" w:firstColumn="0" w:lastColumn="0" w:oddVBand="0" w:evenVBand="0" w:oddHBand="0" w:evenHBand="0" w:firstRowFirstColumn="0" w:firstRowLastColumn="0" w:lastRowFirstColumn="0" w:lastRowLastColumn="0"/>
              <w:rPr>
                <w:b/>
                <w:bCs/>
                <w:noProof/>
                <w:rtl/>
              </w:rPr>
            </w:pPr>
            <w:r w:rsidRPr="009B2675">
              <w:rPr>
                <w:b/>
                <w:bCs/>
                <w:noProof/>
              </w:rPr>
              <w:drawing>
                <wp:anchor distT="0" distB="0" distL="114300" distR="114300" simplePos="0" relativeHeight="252040704" behindDoc="0" locked="0" layoutInCell="1" allowOverlap="1" wp14:anchorId="2DDFFF44" wp14:editId="176AD181">
                  <wp:simplePos x="0" y="0"/>
                  <wp:positionH relativeFrom="margin">
                    <wp:posOffset>1824701</wp:posOffset>
                  </wp:positionH>
                  <wp:positionV relativeFrom="margin">
                    <wp:posOffset>78971</wp:posOffset>
                  </wp:positionV>
                  <wp:extent cx="364490" cy="213360"/>
                  <wp:effectExtent l="0" t="0" r="3810" b="2540"/>
                  <wp:wrapSquare wrapText="bothSides"/>
                  <wp:docPr id="765912917"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17" name="תמונה 9"/>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364490" cy="213360"/>
                          </a:xfrm>
                          <a:prstGeom prst="rect">
                            <a:avLst/>
                          </a:prstGeom>
                        </pic:spPr>
                      </pic:pic>
                    </a:graphicData>
                  </a:graphic>
                  <wp14:sizeRelH relativeFrom="margin">
                    <wp14:pctWidth>0</wp14:pctWidth>
                  </wp14:sizeRelH>
                  <wp14:sizeRelV relativeFrom="margin">
                    <wp14:pctHeight>0</wp14:pctHeight>
                  </wp14:sizeRelV>
                </wp:anchor>
              </w:drawing>
            </w:r>
            <w:r w:rsidRPr="009B2675">
              <w:rPr>
                <w:rFonts w:hint="cs"/>
                <w:b/>
                <w:bCs/>
                <w:rtl/>
              </w:rPr>
              <w:t>קנדה</w:t>
            </w:r>
            <w:r w:rsidRPr="009B2675">
              <w:rPr>
                <w:b/>
                <w:bCs/>
                <w:noProof/>
              </w:rPr>
              <w:t xml:space="preserve"> </w:t>
            </w:r>
          </w:p>
        </w:tc>
      </w:tr>
      <w:tr w:rsidR="009B2675" w14:paraId="4B7346A7" w14:textId="77777777" w:rsidTr="00947CDD">
        <w:trPr>
          <w:trHeight w:val="1072"/>
        </w:trPr>
        <w:tc>
          <w:tcPr>
            <w:cnfStyle w:val="001000000000" w:firstRow="0" w:lastRow="0" w:firstColumn="1" w:lastColumn="0" w:oddVBand="0" w:evenVBand="0" w:oddHBand="0" w:evenHBand="0" w:firstRowFirstColumn="0" w:firstRowLastColumn="0" w:lastRowFirstColumn="0" w:lastRowLastColumn="0"/>
            <w:tcW w:w="2500" w:type="pct"/>
            <w:shd w:val="clear" w:color="auto" w:fill="EEF6F7"/>
          </w:tcPr>
          <w:p w14:paraId="55BD0977" w14:textId="1D6534AF" w:rsidR="009B2675" w:rsidRPr="0081507B" w:rsidRDefault="009B2675" w:rsidP="00F2720C">
            <w:pPr>
              <w:pStyle w:val="71R"/>
              <w:spacing w:line="240" w:lineRule="auto"/>
              <w:rPr>
                <w:b w:val="0"/>
                <w:bCs w:val="0"/>
                <w:noProof/>
              </w:rPr>
            </w:pPr>
            <w:r w:rsidRPr="0081507B">
              <w:rPr>
                <w:b w:val="0"/>
                <w:bCs w:val="0"/>
                <w:rtl/>
              </w:rPr>
              <w:t>לקוחות וחייבים אחרים מו</w:t>
            </w:r>
            <w:r w:rsidRPr="0081507B">
              <w:rPr>
                <w:rFonts w:hint="cs"/>
                <w:b w:val="0"/>
                <w:bCs w:val="0"/>
                <w:rtl/>
              </w:rPr>
              <w:t>ֹ</w:t>
            </w:r>
            <w:r w:rsidRPr="0081507B">
              <w:rPr>
                <w:b w:val="0"/>
                <w:bCs w:val="0"/>
                <w:rtl/>
              </w:rPr>
              <w:t>כרים בתחילה בשווי הוגן ולאחר מכן</w:t>
            </w:r>
            <w:r w:rsidRPr="0081507B">
              <w:rPr>
                <w:rFonts w:hint="cs"/>
                <w:b w:val="0"/>
                <w:bCs w:val="0"/>
                <w:rtl/>
              </w:rPr>
              <w:t xml:space="preserve"> </w:t>
            </w:r>
            <w:r w:rsidRPr="0081507B">
              <w:rPr>
                <w:b w:val="0"/>
                <w:bCs w:val="0"/>
                <w:rtl/>
              </w:rPr>
              <w:t>בעלות מופחתת.</w:t>
            </w:r>
            <w:r w:rsidRPr="0081507B">
              <w:rPr>
                <w:rFonts w:hint="cs"/>
                <w:b w:val="0"/>
                <w:bCs w:val="0"/>
                <w:rtl/>
              </w:rPr>
              <w:t xml:space="preserve"> תקן חשבונאות בינלאומי</w:t>
            </w:r>
            <w:r w:rsidRPr="0081507B">
              <w:rPr>
                <w:b w:val="0"/>
                <w:bCs w:val="0"/>
                <w:rtl/>
              </w:rPr>
              <w:t xml:space="preserve"> </w:t>
            </w:r>
            <w:r w:rsidRPr="0081507B">
              <w:rPr>
                <w:b w:val="0"/>
                <w:bCs w:val="0"/>
              </w:rPr>
              <w:t>IFRS 9</w:t>
            </w:r>
            <w:r w:rsidRPr="0081507B">
              <w:rPr>
                <w:b w:val="0"/>
                <w:bCs w:val="0"/>
                <w:rtl/>
              </w:rPr>
              <w:t xml:space="preserve"> מאפשר לישויות להחיל "גישה פשוטה" ללקוחות</w:t>
            </w:r>
            <w:r w:rsidRPr="0081507B">
              <w:rPr>
                <w:rFonts w:hint="cs"/>
                <w:b w:val="0"/>
                <w:bCs w:val="0"/>
                <w:rtl/>
              </w:rPr>
              <w:t xml:space="preserve"> </w:t>
            </w:r>
            <w:r w:rsidRPr="0081507B">
              <w:rPr>
                <w:b w:val="0"/>
                <w:bCs w:val="0"/>
                <w:rtl/>
              </w:rPr>
              <w:t>נכסי חוזה ו</w:t>
            </w:r>
            <w:r w:rsidRPr="0081507B">
              <w:rPr>
                <w:rFonts w:hint="cs"/>
                <w:b w:val="0"/>
                <w:bCs w:val="0"/>
                <w:rtl/>
              </w:rPr>
              <w:t>ל</w:t>
            </w:r>
            <w:r w:rsidRPr="0081507B">
              <w:rPr>
                <w:b w:val="0"/>
                <w:bCs w:val="0"/>
                <w:rtl/>
              </w:rPr>
              <w:t>חייבים בגין חכירה.</w:t>
            </w:r>
            <w:r w:rsidRPr="0081507B">
              <w:rPr>
                <w:rFonts w:hint="cs"/>
                <w:b w:val="0"/>
                <w:bCs w:val="0"/>
                <w:rtl/>
              </w:rPr>
              <w:t xml:space="preserve"> </w:t>
            </w:r>
            <w:r w:rsidRPr="0081507B">
              <w:rPr>
                <w:b w:val="0"/>
                <w:bCs w:val="0"/>
                <w:rtl/>
              </w:rPr>
              <w:t>הגישה הפשוטה מאפשרת</w:t>
            </w:r>
            <w:r w:rsidRPr="0081507B">
              <w:rPr>
                <w:rFonts w:hint="cs"/>
                <w:b w:val="0"/>
                <w:bCs w:val="0"/>
                <w:rtl/>
              </w:rPr>
              <w:t xml:space="preserve"> </w:t>
            </w:r>
            <w:r w:rsidRPr="0081507B">
              <w:rPr>
                <w:b w:val="0"/>
                <w:bCs w:val="0"/>
                <w:rtl/>
              </w:rPr>
              <w:t>לישויות להכיר בהפסדים צפויים לכל החיים בכל הנכסים מהסוגים הללו ללא צורך</w:t>
            </w:r>
            <w:r w:rsidRPr="0081507B">
              <w:rPr>
                <w:rFonts w:hint="cs"/>
                <w:b w:val="0"/>
                <w:bCs w:val="0"/>
                <w:rtl/>
              </w:rPr>
              <w:t xml:space="preserve"> </w:t>
            </w:r>
            <w:r w:rsidRPr="0081507B">
              <w:rPr>
                <w:b w:val="0"/>
                <w:bCs w:val="0"/>
                <w:rtl/>
              </w:rPr>
              <w:t xml:space="preserve">בזיהוי של עליות </w:t>
            </w:r>
            <w:r w:rsidRPr="0081507B">
              <w:rPr>
                <w:rFonts w:hint="cs"/>
                <w:b w:val="0"/>
                <w:bCs w:val="0"/>
                <w:rtl/>
              </w:rPr>
              <w:t>ניכר</w:t>
            </w:r>
            <w:r w:rsidRPr="0081507B">
              <w:rPr>
                <w:b w:val="0"/>
                <w:bCs w:val="0"/>
                <w:rtl/>
              </w:rPr>
              <w:t xml:space="preserve">ות בסיכון אשראי. ישות עשויה לבחור את </w:t>
            </w:r>
            <w:r w:rsidRPr="0081507B">
              <w:rPr>
                <w:rFonts w:hint="cs"/>
                <w:b w:val="0"/>
                <w:bCs w:val="0"/>
                <w:rtl/>
              </w:rPr>
              <w:t>המדיניות</w:t>
            </w:r>
            <w:r w:rsidRPr="0081507B">
              <w:rPr>
                <w:b w:val="0"/>
                <w:bCs w:val="0"/>
                <w:rtl/>
              </w:rPr>
              <w:t xml:space="preserve"> החשבונאית שלה</w:t>
            </w:r>
            <w:r w:rsidRPr="0081507B">
              <w:rPr>
                <w:rFonts w:hint="cs"/>
                <w:b w:val="0"/>
                <w:bCs w:val="0"/>
                <w:rtl/>
              </w:rPr>
              <w:t xml:space="preserve"> </w:t>
            </w:r>
            <w:r w:rsidRPr="0081507B">
              <w:rPr>
                <w:b w:val="0"/>
                <w:bCs w:val="0"/>
                <w:rtl/>
              </w:rPr>
              <w:t xml:space="preserve">ללקוחות, </w:t>
            </w:r>
            <w:r w:rsidRPr="0081507B">
              <w:rPr>
                <w:rFonts w:hint="cs"/>
                <w:b w:val="0"/>
                <w:bCs w:val="0"/>
                <w:rtl/>
              </w:rPr>
              <w:t>ל</w:t>
            </w:r>
            <w:r w:rsidRPr="0081507B">
              <w:rPr>
                <w:b w:val="0"/>
                <w:bCs w:val="0"/>
                <w:rtl/>
              </w:rPr>
              <w:t>חייבים בגין חכירה ו</w:t>
            </w:r>
            <w:r w:rsidRPr="0081507B">
              <w:rPr>
                <w:rFonts w:hint="cs"/>
                <w:b w:val="0"/>
                <w:bCs w:val="0"/>
                <w:rtl/>
              </w:rPr>
              <w:t>ל</w:t>
            </w:r>
            <w:r w:rsidRPr="0081507B">
              <w:rPr>
                <w:b w:val="0"/>
                <w:bCs w:val="0"/>
                <w:rtl/>
              </w:rPr>
              <w:t>נכסי חוזה באופן עצמאי מכל אחד אחר</w:t>
            </w:r>
            <w:r w:rsidRPr="0081507B">
              <w:rPr>
                <w:rFonts w:hint="cs"/>
                <w:b w:val="0"/>
                <w:bCs w:val="0"/>
                <w:rtl/>
              </w:rPr>
              <w:t xml:space="preserve">. </w:t>
            </w:r>
            <w:r w:rsidRPr="0081507B">
              <w:rPr>
                <w:b w:val="0"/>
                <w:bCs w:val="0"/>
                <w:rtl/>
              </w:rPr>
              <w:t>השינויים מו</w:t>
            </w:r>
            <w:r w:rsidRPr="0081507B">
              <w:rPr>
                <w:rFonts w:hint="cs"/>
                <w:b w:val="0"/>
                <w:bCs w:val="0"/>
                <w:rtl/>
              </w:rPr>
              <w:t>ּ</w:t>
            </w:r>
            <w:r w:rsidRPr="0081507B">
              <w:rPr>
                <w:b w:val="0"/>
                <w:bCs w:val="0"/>
                <w:rtl/>
              </w:rPr>
              <w:t>כרים בדוח על ההכנסות וההוצאות</w:t>
            </w:r>
            <w:r w:rsidRPr="0081507B">
              <w:rPr>
                <w:rFonts w:hint="cs"/>
                <w:b w:val="0"/>
                <w:bCs w:val="0"/>
                <w:rtl/>
              </w:rPr>
              <w:t>.</w:t>
            </w:r>
          </w:p>
        </w:tc>
        <w:tc>
          <w:tcPr>
            <w:tcW w:w="2500" w:type="pct"/>
            <w:shd w:val="clear" w:color="auto" w:fill="EEF6F7"/>
          </w:tcPr>
          <w:p w14:paraId="1578842C" w14:textId="42014244" w:rsidR="009B2675" w:rsidRPr="0081507B" w:rsidRDefault="009B2675" w:rsidP="00F2720C">
            <w:pPr>
              <w:pStyle w:val="71R"/>
              <w:spacing w:line="240" w:lineRule="auto"/>
              <w:cnfStyle w:val="000000000000" w:firstRow="0" w:lastRow="0" w:firstColumn="0" w:lastColumn="0" w:oddVBand="0" w:evenVBand="0" w:oddHBand="0" w:evenHBand="0" w:firstRowFirstColumn="0" w:firstRowLastColumn="0" w:lastRowFirstColumn="0" w:lastRowLastColumn="0"/>
              <w:rPr>
                <w:noProof/>
              </w:rPr>
            </w:pPr>
            <w:r w:rsidRPr="0081507B">
              <w:rPr>
                <w:rtl/>
              </w:rPr>
              <w:t>מ</w:t>
            </w:r>
            <w:r w:rsidRPr="0081507B">
              <w:rPr>
                <w:rFonts w:hint="cs"/>
                <w:rtl/>
              </w:rPr>
              <w:t>י</w:t>
            </w:r>
            <w:r w:rsidRPr="0081507B">
              <w:rPr>
                <w:rtl/>
              </w:rPr>
              <w:t xml:space="preserve">סים וחשבונות חייבים אחרים נמדדים </w:t>
            </w:r>
            <w:r w:rsidRPr="0081507B">
              <w:rPr>
                <w:rFonts w:hint="cs"/>
                <w:rtl/>
              </w:rPr>
              <w:t>ב</w:t>
            </w:r>
            <w:r w:rsidRPr="0081507B">
              <w:rPr>
                <w:rtl/>
              </w:rPr>
              <w:t>עלות מופחתת. הפרשה לחובות מסופקים נרשמת כאשר הגבייה נחשבת לא בטוחה</w:t>
            </w:r>
            <w:r w:rsidRPr="0081507B">
              <w:rPr>
                <w:rFonts w:hint="cs"/>
                <w:rtl/>
              </w:rPr>
              <w:t xml:space="preserve">. </w:t>
            </w:r>
            <w:r w:rsidRPr="0081507B">
              <w:rPr>
                <w:rtl/>
              </w:rPr>
              <w:t>הפרשה לחובות מסופקים לחייבים בגין מ</w:t>
            </w:r>
            <w:r w:rsidRPr="0081507B">
              <w:rPr>
                <w:rFonts w:hint="cs"/>
                <w:rtl/>
              </w:rPr>
              <w:t>י</w:t>
            </w:r>
            <w:r w:rsidRPr="0081507B">
              <w:rPr>
                <w:rtl/>
              </w:rPr>
              <w:t>סים היא האומדן הטוב ביותר להנהלה של הסכומים הבלתי ניתנים לה</w:t>
            </w:r>
            <w:r w:rsidRPr="0081507B">
              <w:rPr>
                <w:rFonts w:hint="cs"/>
                <w:rtl/>
              </w:rPr>
              <w:t>י</w:t>
            </w:r>
            <w:r w:rsidRPr="0081507B">
              <w:rPr>
                <w:rtl/>
              </w:rPr>
              <w:t>גבות, לרבות</w:t>
            </w:r>
            <w:r w:rsidRPr="0081507B">
              <w:rPr>
                <w:rFonts w:hint="cs"/>
                <w:rtl/>
              </w:rPr>
              <w:t xml:space="preserve"> </w:t>
            </w:r>
            <w:r w:rsidRPr="0081507B">
              <w:rPr>
                <w:rtl/>
              </w:rPr>
              <w:t>ריבית וקנסות. ההפרשה השנתית לחובות מסופקים מד</w:t>
            </w:r>
            <w:r w:rsidRPr="0081507B">
              <w:rPr>
                <w:rFonts w:hint="cs"/>
                <w:rtl/>
              </w:rPr>
              <w:t>ֻ</w:t>
            </w:r>
            <w:r w:rsidRPr="0081507B">
              <w:rPr>
                <w:rtl/>
              </w:rPr>
              <w:t>ווחת כחוב אבוד אשר נרשם כנגד הוצאות אחרות.</w:t>
            </w:r>
            <w:r w:rsidRPr="0081507B">
              <w:rPr>
                <w:rFonts w:hint="cs"/>
                <w:rtl/>
              </w:rPr>
              <w:t xml:space="preserve"> </w:t>
            </w:r>
            <w:r w:rsidRPr="0081507B">
              <w:rPr>
                <w:rtl/>
              </w:rPr>
              <w:t>להפרשה לחובות מסופקים עבור חייבים בגין מ</w:t>
            </w:r>
            <w:r w:rsidRPr="0081507B">
              <w:rPr>
                <w:rFonts w:hint="cs"/>
                <w:rtl/>
              </w:rPr>
              <w:t>י</w:t>
            </w:r>
            <w:r w:rsidRPr="0081507B">
              <w:rPr>
                <w:rtl/>
              </w:rPr>
              <w:t>סים יש שני רכיבים</w:t>
            </w:r>
            <w:r w:rsidRPr="0081507B">
              <w:rPr>
                <w:rFonts w:hint="cs"/>
                <w:rtl/>
              </w:rPr>
              <w:t>: הפרשה כללית והפרשה ספציפית</w:t>
            </w:r>
            <w:r w:rsidRPr="0081507B">
              <w:rPr>
                <w:rtl/>
              </w:rPr>
              <w:t>. הפרשה כללית מתבסס</w:t>
            </w:r>
            <w:r w:rsidRPr="0081507B">
              <w:rPr>
                <w:rFonts w:hint="cs"/>
                <w:rtl/>
              </w:rPr>
              <w:t>ת</w:t>
            </w:r>
            <w:r w:rsidRPr="0081507B">
              <w:rPr>
                <w:rtl/>
              </w:rPr>
              <w:t xml:space="preserve"> על גיל ו</w:t>
            </w:r>
            <w:r w:rsidRPr="0081507B">
              <w:rPr>
                <w:rFonts w:hint="cs"/>
                <w:rtl/>
              </w:rPr>
              <w:t xml:space="preserve">על </w:t>
            </w:r>
            <w:r w:rsidRPr="0081507B">
              <w:rPr>
                <w:rtl/>
              </w:rPr>
              <w:t>סוג חובות המס</w:t>
            </w:r>
            <w:r w:rsidRPr="0081507B">
              <w:rPr>
                <w:rFonts w:hint="cs"/>
                <w:rtl/>
              </w:rPr>
              <w:t xml:space="preserve"> </w:t>
            </w:r>
            <w:r w:rsidRPr="0081507B">
              <w:rPr>
                <w:rtl/>
              </w:rPr>
              <w:t xml:space="preserve">על </w:t>
            </w:r>
            <w:r w:rsidRPr="0081507B">
              <w:rPr>
                <w:rFonts w:hint="cs"/>
                <w:rtl/>
              </w:rPr>
              <w:t xml:space="preserve">סמך </w:t>
            </w:r>
            <w:r w:rsidRPr="0081507B">
              <w:rPr>
                <w:rtl/>
              </w:rPr>
              <w:t xml:space="preserve">ניסיון הגבייה בעבר. ההפרשה לחובות מסופקים מותאמת מדי שנה </w:t>
            </w:r>
            <w:r w:rsidRPr="0081507B">
              <w:rPr>
                <w:rFonts w:hint="cs"/>
                <w:rtl/>
              </w:rPr>
              <w:t xml:space="preserve">בשנה </w:t>
            </w:r>
            <w:r w:rsidRPr="0081507B">
              <w:rPr>
                <w:rtl/>
              </w:rPr>
              <w:t>באמצעות הפרשה לחובות מסופקים ומצ</w:t>
            </w:r>
            <w:r w:rsidRPr="0081507B">
              <w:rPr>
                <w:rFonts w:hint="cs"/>
                <w:rtl/>
              </w:rPr>
              <w:t>ט</w:t>
            </w:r>
            <w:r w:rsidRPr="0081507B">
              <w:rPr>
                <w:rtl/>
              </w:rPr>
              <w:t>מצמת על ידי סכומים שנמחקו במהלך השנה ככאלה שאינם ניתנים לגבייה</w:t>
            </w:r>
            <w:r w:rsidRPr="0081507B">
              <w:rPr>
                <w:rFonts w:hint="cs"/>
                <w:rtl/>
              </w:rPr>
              <w:t>.</w:t>
            </w:r>
          </w:p>
        </w:tc>
      </w:tr>
    </w:tbl>
    <w:p w14:paraId="4893E713" w14:textId="77777777" w:rsidR="007C4395" w:rsidRPr="003B2683" w:rsidRDefault="007C4395" w:rsidP="003B2683">
      <w:pPr>
        <w:pStyle w:val="71c"/>
        <w:rPr>
          <w:rtl/>
        </w:rPr>
      </w:pPr>
      <w:r w:rsidRPr="003B2683">
        <w:rPr>
          <w:rFonts w:hint="cs"/>
          <w:rtl/>
        </w:rPr>
        <w:lastRenderedPageBreak/>
        <w:t xml:space="preserve">על פי </w:t>
      </w:r>
      <w:r w:rsidRPr="003B2683">
        <w:rPr>
          <w:rFonts w:hint="eastAsia"/>
          <w:rtl/>
        </w:rPr>
        <w:t>הדוחות</w:t>
      </w:r>
      <w:r w:rsidRPr="003B2683">
        <w:rPr>
          <w:rtl/>
        </w:rPr>
        <w:t xml:space="preserve"> </w:t>
      </w:r>
      <w:r w:rsidRPr="003B2683">
        <w:rPr>
          <w:rFonts w:hint="eastAsia"/>
          <w:rtl/>
        </w:rPr>
        <w:t>הכספיים</w:t>
      </w:r>
      <w:r w:rsidRPr="003B2683">
        <w:rPr>
          <w:rtl/>
        </w:rPr>
        <w:t xml:space="preserve"> </w:t>
      </w:r>
      <w:r w:rsidRPr="003B2683">
        <w:rPr>
          <w:rFonts w:hint="eastAsia"/>
          <w:rtl/>
        </w:rPr>
        <w:t>של</w:t>
      </w:r>
      <w:r w:rsidRPr="003B2683">
        <w:rPr>
          <w:rtl/>
        </w:rPr>
        <w:t xml:space="preserve"> </w:t>
      </w:r>
      <w:r w:rsidRPr="003B2683">
        <w:rPr>
          <w:rFonts w:hint="eastAsia"/>
          <w:rtl/>
        </w:rPr>
        <w:t>מדינת</w:t>
      </w:r>
      <w:r w:rsidRPr="003B2683">
        <w:rPr>
          <w:rtl/>
        </w:rPr>
        <w:t xml:space="preserve"> </w:t>
      </w:r>
      <w:r w:rsidRPr="003B2683">
        <w:rPr>
          <w:rFonts w:hint="eastAsia"/>
          <w:rtl/>
        </w:rPr>
        <w:t>ישראל</w:t>
      </w:r>
      <w:r w:rsidRPr="003B2683">
        <w:rPr>
          <w:rtl/>
        </w:rPr>
        <w:t xml:space="preserve"> </w:t>
      </w:r>
      <w:r w:rsidRPr="003B2683">
        <w:rPr>
          <w:rFonts w:hint="eastAsia"/>
          <w:rtl/>
        </w:rPr>
        <w:t>לשנת</w:t>
      </w:r>
      <w:r w:rsidRPr="003B2683">
        <w:rPr>
          <w:rtl/>
        </w:rPr>
        <w:t xml:space="preserve"> 2020, </w:t>
      </w:r>
      <w:r w:rsidRPr="003B2683">
        <w:rPr>
          <w:rFonts w:hint="eastAsia"/>
          <w:rtl/>
        </w:rPr>
        <w:t>דוחות</w:t>
      </w:r>
      <w:r w:rsidRPr="003B2683">
        <w:rPr>
          <w:rtl/>
        </w:rPr>
        <w:t xml:space="preserve"> </w:t>
      </w:r>
      <w:r w:rsidRPr="003B2683">
        <w:rPr>
          <w:rFonts w:hint="eastAsia"/>
          <w:rtl/>
        </w:rPr>
        <w:t>כספיים</w:t>
      </w:r>
      <w:r w:rsidRPr="003B2683">
        <w:rPr>
          <w:rtl/>
        </w:rPr>
        <w:t xml:space="preserve"> </w:t>
      </w:r>
      <w:r w:rsidRPr="003B2683">
        <w:rPr>
          <w:rFonts w:hint="eastAsia"/>
          <w:rtl/>
        </w:rPr>
        <w:t>של</w:t>
      </w:r>
      <w:r w:rsidRPr="003B2683">
        <w:rPr>
          <w:rtl/>
        </w:rPr>
        <w:t xml:space="preserve"> </w:t>
      </w:r>
      <w:r w:rsidRPr="003B2683">
        <w:rPr>
          <w:rFonts w:hint="eastAsia"/>
          <w:rtl/>
        </w:rPr>
        <w:t>ארצות</w:t>
      </w:r>
      <w:r w:rsidRPr="003B2683">
        <w:rPr>
          <w:rtl/>
        </w:rPr>
        <w:t xml:space="preserve"> </w:t>
      </w:r>
      <w:r w:rsidRPr="003B2683">
        <w:rPr>
          <w:rFonts w:hint="eastAsia"/>
          <w:rtl/>
        </w:rPr>
        <w:t>הברית</w:t>
      </w:r>
      <w:r w:rsidRPr="003B2683">
        <w:rPr>
          <w:rtl/>
        </w:rPr>
        <w:t xml:space="preserve">, </w:t>
      </w:r>
      <w:r w:rsidRPr="003B2683">
        <w:rPr>
          <w:rFonts w:hint="eastAsia"/>
          <w:rtl/>
        </w:rPr>
        <w:t>אוסטרליה</w:t>
      </w:r>
      <w:r w:rsidRPr="003B2683">
        <w:rPr>
          <w:rtl/>
        </w:rPr>
        <w:t xml:space="preserve">, </w:t>
      </w:r>
      <w:r w:rsidRPr="003B2683">
        <w:rPr>
          <w:rFonts w:hint="eastAsia"/>
          <w:rtl/>
        </w:rPr>
        <w:t>ניו</w:t>
      </w:r>
      <w:r w:rsidRPr="003B2683">
        <w:rPr>
          <w:rtl/>
        </w:rPr>
        <w:t xml:space="preserve"> </w:t>
      </w:r>
      <w:r w:rsidRPr="003B2683">
        <w:rPr>
          <w:rFonts w:hint="eastAsia"/>
          <w:rtl/>
        </w:rPr>
        <w:t>זילנד</w:t>
      </w:r>
      <w:r w:rsidRPr="003B2683">
        <w:rPr>
          <w:rtl/>
        </w:rPr>
        <w:t xml:space="preserve">, </w:t>
      </w:r>
      <w:r w:rsidRPr="003B2683">
        <w:rPr>
          <w:rFonts w:hint="eastAsia"/>
          <w:rtl/>
        </w:rPr>
        <w:t>בריטניה</w:t>
      </w:r>
      <w:r w:rsidRPr="003B2683">
        <w:rPr>
          <w:rtl/>
        </w:rPr>
        <w:t xml:space="preserve"> </w:t>
      </w:r>
      <w:r w:rsidRPr="003B2683">
        <w:rPr>
          <w:rFonts w:hint="eastAsia"/>
          <w:rtl/>
        </w:rPr>
        <w:t>וקנדה</w:t>
      </w:r>
      <w:r w:rsidRPr="003B2683">
        <w:rPr>
          <w:rtl/>
        </w:rPr>
        <w:t xml:space="preserve">, </w:t>
      </w:r>
      <w:r w:rsidRPr="003B2683">
        <w:rPr>
          <w:rFonts w:hint="eastAsia"/>
          <w:rtl/>
        </w:rPr>
        <w:t>בעיבוד</w:t>
      </w:r>
      <w:r w:rsidRPr="003B2683">
        <w:rPr>
          <w:rtl/>
        </w:rPr>
        <w:t xml:space="preserve"> </w:t>
      </w:r>
      <w:r w:rsidRPr="003B2683">
        <w:rPr>
          <w:rFonts w:hint="eastAsia"/>
          <w:rtl/>
        </w:rPr>
        <w:t>משרד</w:t>
      </w:r>
      <w:r w:rsidRPr="003B2683">
        <w:rPr>
          <w:rtl/>
        </w:rPr>
        <w:t xml:space="preserve"> </w:t>
      </w:r>
      <w:r w:rsidRPr="003B2683">
        <w:rPr>
          <w:rFonts w:hint="eastAsia"/>
          <w:rtl/>
        </w:rPr>
        <w:t>מבקר</w:t>
      </w:r>
      <w:r w:rsidRPr="003B2683">
        <w:rPr>
          <w:rtl/>
        </w:rPr>
        <w:t xml:space="preserve"> </w:t>
      </w:r>
      <w:r w:rsidRPr="003B2683">
        <w:rPr>
          <w:rFonts w:hint="eastAsia"/>
          <w:rtl/>
        </w:rPr>
        <w:t>המדינה</w:t>
      </w:r>
      <w:r w:rsidRPr="003B2683">
        <w:rPr>
          <w:rtl/>
        </w:rPr>
        <w:t>.</w:t>
      </w:r>
    </w:p>
    <w:p w14:paraId="485F3171" w14:textId="7B8D1805" w:rsidR="007C4395" w:rsidRDefault="007C4395" w:rsidP="003B2683">
      <w:pPr>
        <w:pStyle w:val="71f4"/>
        <w:rPr>
          <w:rtl/>
        </w:rPr>
      </w:pPr>
      <w:r>
        <w:rPr>
          <w:rFonts w:hint="cs"/>
          <w:rtl/>
        </w:rPr>
        <w:t>כעולה מהלוח שלעיל, יש שונות בין המדינות הנבחרות בתהליך חישוב ההפרשה לחובות מסופקים בדוחות הכספיים</w:t>
      </w:r>
      <w:r w:rsidRPr="003457FB">
        <w:rPr>
          <w:rFonts w:hint="cs"/>
          <w:rtl/>
        </w:rPr>
        <w:t xml:space="preserve">. </w:t>
      </w:r>
    </w:p>
    <w:p w14:paraId="06F88A34" w14:textId="73DEFB54" w:rsidR="007C4395" w:rsidRPr="006F4D0D" w:rsidRDefault="007C4395" w:rsidP="006F4D0D">
      <w:pPr>
        <w:pStyle w:val="71612"/>
        <w:rPr>
          <w:rtl/>
        </w:rPr>
      </w:pPr>
      <w:r w:rsidRPr="006F4D0D">
        <w:rPr>
          <w:rFonts w:hint="cs"/>
          <w:rtl/>
        </w:rPr>
        <w:t xml:space="preserve">שיעור ההפרשה לחובות מסופקים במדינות נבחרות </w:t>
      </w:r>
    </w:p>
    <w:p w14:paraId="07DAB1AE" w14:textId="5E5B23AB" w:rsidR="007C4395" w:rsidRPr="00E25C56" w:rsidRDefault="007C4395" w:rsidP="002A738D">
      <w:pPr>
        <w:pStyle w:val="7190"/>
        <w:rPr>
          <w:rtl/>
        </w:rPr>
      </w:pPr>
      <w:r>
        <w:rPr>
          <w:rFonts w:hint="cs"/>
          <w:rtl/>
        </w:rPr>
        <w:t>בתרשים שלהלן מוצגת השוואה בין שיעור ההפרשה לחובות מסופקים של מדינות נבחרות לשנת 2020:</w:t>
      </w:r>
    </w:p>
    <w:p w14:paraId="6BDF09F2" w14:textId="64440EDA" w:rsidR="007C4395" w:rsidRPr="0081507B" w:rsidRDefault="002A738D" w:rsidP="006F4D0D">
      <w:pPr>
        <w:pStyle w:val="71a"/>
        <w:rPr>
          <w:rtl/>
        </w:rPr>
      </w:pPr>
      <w:r>
        <w:rPr>
          <w:noProof/>
        </w:rPr>
        <w:drawing>
          <wp:anchor distT="0" distB="0" distL="114300" distR="114300" simplePos="0" relativeHeight="252041728" behindDoc="0" locked="0" layoutInCell="1" allowOverlap="1" wp14:anchorId="022D0A09" wp14:editId="58D7D98E">
            <wp:simplePos x="0" y="0"/>
            <wp:positionH relativeFrom="column">
              <wp:posOffset>-21590</wp:posOffset>
            </wp:positionH>
            <wp:positionV relativeFrom="paragraph">
              <wp:posOffset>513080</wp:posOffset>
            </wp:positionV>
            <wp:extent cx="4620895" cy="3243580"/>
            <wp:effectExtent l="0" t="0" r="1905" b="0"/>
            <wp:wrapTopAndBottom/>
            <wp:docPr id="765912918" name="תמונה 76591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12918" name="תמונה 765912918"/>
                    <pic:cNvPicPr/>
                  </pic:nvPicPr>
                  <pic:blipFill>
                    <a:blip r:embed="rId73">
                      <a:extLst>
                        <a:ext uri="{28A0092B-C50C-407E-A947-70E740481C1C}">
                          <a14:useLocalDpi xmlns:a14="http://schemas.microsoft.com/office/drawing/2010/main" val="0"/>
                        </a:ext>
                      </a:extLst>
                    </a:blip>
                    <a:stretch>
                      <a:fillRect/>
                    </a:stretch>
                  </pic:blipFill>
                  <pic:spPr>
                    <a:xfrm>
                      <a:off x="0" y="0"/>
                      <a:ext cx="4620895" cy="3243580"/>
                    </a:xfrm>
                    <a:prstGeom prst="rect">
                      <a:avLst/>
                    </a:prstGeom>
                  </pic:spPr>
                </pic:pic>
              </a:graphicData>
            </a:graphic>
            <wp14:sizeRelH relativeFrom="page">
              <wp14:pctWidth>0</wp14:pctWidth>
            </wp14:sizeRelH>
            <wp14:sizeRelV relativeFrom="page">
              <wp14:pctHeight>0</wp14:pctHeight>
            </wp14:sizeRelV>
          </wp:anchor>
        </w:drawing>
      </w:r>
      <w:r w:rsidR="007C4395" w:rsidRPr="006F4D0D">
        <w:rPr>
          <w:rFonts w:hint="cs"/>
          <w:b w:val="0"/>
          <w:bCs w:val="0"/>
          <w:rtl/>
        </w:rPr>
        <w:t>תרשים 25:</w:t>
      </w:r>
      <w:r w:rsidR="007C4395" w:rsidRPr="0081507B">
        <w:rPr>
          <w:rFonts w:hint="cs"/>
          <w:rtl/>
        </w:rPr>
        <w:t xml:space="preserve"> שיעור הפרשה לחובות מסופקים מתוך סעיף חייבים ויתרות חובה (ברוטו) של מדינות נבחרות, 2020 (באחוזים)</w:t>
      </w:r>
    </w:p>
    <w:p w14:paraId="668D696B" w14:textId="1657B3CF" w:rsidR="007C4395" w:rsidRPr="003B2683" w:rsidRDefault="007C4395" w:rsidP="00947CDD">
      <w:pPr>
        <w:pStyle w:val="7190"/>
        <w:spacing w:before="360"/>
        <w:rPr>
          <w:rStyle w:val="71Char2"/>
          <w:rtl/>
        </w:rPr>
      </w:pPr>
      <w:r w:rsidRPr="003B2683">
        <w:rPr>
          <w:rStyle w:val="71Char2"/>
          <w:rFonts w:hint="eastAsia"/>
          <w:rtl/>
        </w:rPr>
        <w:t>על</w:t>
      </w:r>
      <w:r w:rsidRPr="003B2683">
        <w:rPr>
          <w:rStyle w:val="71Char2"/>
          <w:rtl/>
        </w:rPr>
        <w:t xml:space="preserve"> </w:t>
      </w:r>
      <w:r w:rsidRPr="003B2683">
        <w:rPr>
          <w:rStyle w:val="71Char2"/>
          <w:rFonts w:hint="eastAsia"/>
          <w:rtl/>
        </w:rPr>
        <w:t>פי</w:t>
      </w:r>
      <w:r w:rsidRPr="003B2683">
        <w:rPr>
          <w:rStyle w:val="71Char2"/>
          <w:rtl/>
        </w:rPr>
        <w:t xml:space="preserve"> הדוחות </w:t>
      </w:r>
      <w:r w:rsidRPr="003B2683">
        <w:rPr>
          <w:rStyle w:val="71Char2"/>
          <w:rFonts w:hint="eastAsia"/>
          <w:rtl/>
        </w:rPr>
        <w:t>הכספיים</w:t>
      </w:r>
      <w:r w:rsidRPr="003B2683">
        <w:rPr>
          <w:rStyle w:val="71Char2"/>
          <w:rtl/>
        </w:rPr>
        <w:t xml:space="preserve"> </w:t>
      </w:r>
      <w:r w:rsidRPr="003B2683">
        <w:rPr>
          <w:rStyle w:val="71Char2"/>
          <w:rFonts w:hint="eastAsia"/>
          <w:rtl/>
        </w:rPr>
        <w:t>של</w:t>
      </w:r>
      <w:r w:rsidRPr="003B2683">
        <w:rPr>
          <w:rStyle w:val="71Char2"/>
          <w:rtl/>
        </w:rPr>
        <w:t xml:space="preserve"> </w:t>
      </w:r>
      <w:r w:rsidRPr="003B2683">
        <w:rPr>
          <w:rStyle w:val="71Char2"/>
          <w:rFonts w:hint="eastAsia"/>
          <w:rtl/>
        </w:rPr>
        <w:t>מדינת</w:t>
      </w:r>
      <w:r w:rsidRPr="003B2683">
        <w:rPr>
          <w:rStyle w:val="71Char2"/>
          <w:rtl/>
        </w:rPr>
        <w:t xml:space="preserve"> </w:t>
      </w:r>
      <w:r w:rsidRPr="003B2683">
        <w:rPr>
          <w:rStyle w:val="71Char2"/>
          <w:rFonts w:hint="eastAsia"/>
          <w:rtl/>
        </w:rPr>
        <w:t>ישראל</w:t>
      </w:r>
      <w:r w:rsidRPr="003B2683">
        <w:rPr>
          <w:rStyle w:val="71Char2"/>
          <w:rtl/>
        </w:rPr>
        <w:t xml:space="preserve"> </w:t>
      </w:r>
      <w:r w:rsidRPr="003B2683">
        <w:rPr>
          <w:rStyle w:val="71Char2"/>
          <w:rFonts w:hint="eastAsia"/>
          <w:rtl/>
        </w:rPr>
        <w:t>לשנת</w:t>
      </w:r>
      <w:r w:rsidRPr="003B2683">
        <w:rPr>
          <w:rStyle w:val="71Char2"/>
          <w:rtl/>
        </w:rPr>
        <w:t xml:space="preserve"> 2020 </w:t>
      </w:r>
      <w:r w:rsidRPr="003B2683">
        <w:rPr>
          <w:rStyle w:val="71Char2"/>
          <w:rFonts w:hint="eastAsia"/>
          <w:rtl/>
        </w:rPr>
        <w:t>והדוחות</w:t>
      </w:r>
      <w:r w:rsidRPr="003B2683">
        <w:rPr>
          <w:rStyle w:val="71Char2"/>
          <w:rtl/>
        </w:rPr>
        <w:t xml:space="preserve"> </w:t>
      </w:r>
      <w:r w:rsidRPr="003B2683">
        <w:rPr>
          <w:rStyle w:val="71Char2"/>
          <w:rFonts w:hint="eastAsia"/>
          <w:rtl/>
        </w:rPr>
        <w:t>הכספיים</w:t>
      </w:r>
      <w:r w:rsidRPr="003B2683">
        <w:rPr>
          <w:rStyle w:val="71Char2"/>
          <w:rtl/>
        </w:rPr>
        <w:t xml:space="preserve"> </w:t>
      </w:r>
      <w:r w:rsidRPr="003B2683">
        <w:rPr>
          <w:rStyle w:val="71Char2"/>
          <w:rFonts w:hint="eastAsia"/>
          <w:rtl/>
        </w:rPr>
        <w:t>של</w:t>
      </w:r>
      <w:r w:rsidRPr="003B2683">
        <w:rPr>
          <w:rStyle w:val="71Char2"/>
          <w:rtl/>
        </w:rPr>
        <w:t xml:space="preserve"> </w:t>
      </w:r>
      <w:r w:rsidRPr="003B2683">
        <w:rPr>
          <w:rStyle w:val="71Char2"/>
          <w:rFonts w:hint="eastAsia"/>
          <w:rtl/>
        </w:rPr>
        <w:t>ארצות</w:t>
      </w:r>
      <w:r w:rsidRPr="003B2683">
        <w:rPr>
          <w:rStyle w:val="71Char2"/>
          <w:rtl/>
        </w:rPr>
        <w:t xml:space="preserve"> </w:t>
      </w:r>
      <w:r w:rsidRPr="003B2683">
        <w:rPr>
          <w:rStyle w:val="71Char2"/>
          <w:rFonts w:hint="eastAsia"/>
          <w:rtl/>
        </w:rPr>
        <w:t>הברית</w:t>
      </w:r>
      <w:r w:rsidRPr="003B2683">
        <w:rPr>
          <w:rStyle w:val="71Char2"/>
          <w:rtl/>
        </w:rPr>
        <w:t xml:space="preserve">, </w:t>
      </w:r>
      <w:r w:rsidRPr="003B2683">
        <w:rPr>
          <w:rStyle w:val="71Char2"/>
          <w:rFonts w:hint="eastAsia"/>
          <w:rtl/>
        </w:rPr>
        <w:t>אוסטרליה</w:t>
      </w:r>
      <w:r w:rsidRPr="003B2683">
        <w:rPr>
          <w:rStyle w:val="71Char2"/>
          <w:rtl/>
        </w:rPr>
        <w:t xml:space="preserve">, </w:t>
      </w:r>
      <w:r w:rsidR="00FD3867">
        <w:rPr>
          <w:rStyle w:val="71Char2"/>
          <w:rtl/>
        </w:rPr>
        <w:br/>
      </w:r>
      <w:r w:rsidRPr="003B2683">
        <w:rPr>
          <w:rStyle w:val="71Char2"/>
          <w:rFonts w:hint="eastAsia"/>
          <w:rtl/>
        </w:rPr>
        <w:t>ניו</w:t>
      </w:r>
      <w:r w:rsidRPr="003B2683">
        <w:rPr>
          <w:rStyle w:val="71Char2"/>
          <w:rtl/>
        </w:rPr>
        <w:t xml:space="preserve"> </w:t>
      </w:r>
      <w:r w:rsidRPr="003B2683">
        <w:rPr>
          <w:rStyle w:val="71Char2"/>
          <w:rFonts w:hint="eastAsia"/>
          <w:rtl/>
        </w:rPr>
        <w:t>זילנד</w:t>
      </w:r>
      <w:r w:rsidRPr="003B2683">
        <w:rPr>
          <w:rStyle w:val="71Char2"/>
          <w:rtl/>
        </w:rPr>
        <w:t xml:space="preserve"> וקנדה, בעיבוד משרד מבקר המדינה.</w:t>
      </w:r>
    </w:p>
    <w:p w14:paraId="063963AF" w14:textId="760ADD64" w:rsidR="007C4395" w:rsidRPr="009B2675" w:rsidRDefault="007C4395" w:rsidP="009B2675">
      <w:pPr>
        <w:pStyle w:val="71f4"/>
        <w:rPr>
          <w:rtl/>
        </w:rPr>
      </w:pPr>
      <w:r w:rsidRPr="009B2675">
        <w:rPr>
          <w:rFonts w:hint="cs"/>
          <w:rtl/>
        </w:rPr>
        <w:t xml:space="preserve">כעולה מהתרשים שלעיל, יש שונוּת בין המדינות בשיעורי ההפרשה לחובות מסופקים. לצד מדינות שבהן שיעור ההפרשה גבוה מזה של ישראל, כמו ארה"ב, אוסטרליה וניו זילנד (בין כ-22% </w:t>
      </w:r>
      <w:proofErr w:type="spellStart"/>
      <w:r w:rsidRPr="009B2675">
        <w:rPr>
          <w:rFonts w:hint="cs"/>
          <w:rtl/>
        </w:rPr>
        <w:t>לכ</w:t>
      </w:r>
      <w:proofErr w:type="spellEnd"/>
      <w:r w:rsidRPr="009B2675">
        <w:rPr>
          <w:rFonts w:hint="cs"/>
          <w:rtl/>
        </w:rPr>
        <w:t xml:space="preserve">-42%), יש מדינות שבהן שיעור ההפרשה נמוך מזה שבישראל, כמו קנדה (כ-11%). </w:t>
      </w:r>
    </w:p>
    <w:p w14:paraId="62B1D36A" w14:textId="77777777" w:rsidR="007C4395" w:rsidRPr="006F4D0D" w:rsidRDefault="007C4395" w:rsidP="006F4D0D">
      <w:pPr>
        <w:pStyle w:val="71612"/>
        <w:rPr>
          <w:rtl/>
        </w:rPr>
      </w:pPr>
      <w:r w:rsidRPr="006F4D0D">
        <w:rPr>
          <w:rFonts w:hint="cs"/>
          <w:rtl/>
        </w:rPr>
        <w:lastRenderedPageBreak/>
        <w:t xml:space="preserve">הפרשה לחובות מסופקים במשרדי הממשלה </w:t>
      </w:r>
    </w:p>
    <w:p w14:paraId="5B08751A" w14:textId="77777777" w:rsidR="007C4395" w:rsidRPr="00D25C45" w:rsidRDefault="007C4395" w:rsidP="002A738D">
      <w:pPr>
        <w:pStyle w:val="7190"/>
        <w:rPr>
          <w:rtl/>
        </w:rPr>
      </w:pPr>
      <w:r>
        <w:rPr>
          <w:rFonts w:hint="cs"/>
          <w:rtl/>
        </w:rPr>
        <w:t xml:space="preserve">על פי הוראת </w:t>
      </w:r>
      <w:proofErr w:type="spellStart"/>
      <w:r>
        <w:rPr>
          <w:rFonts w:hint="cs"/>
          <w:rtl/>
        </w:rPr>
        <w:t>תכ"ם</w:t>
      </w:r>
      <w:proofErr w:type="spellEnd"/>
      <w:r>
        <w:rPr>
          <w:rStyle w:val="ac"/>
          <w:rtl/>
        </w:rPr>
        <w:footnoteReference w:id="97"/>
      </w:r>
      <w:r>
        <w:rPr>
          <w:rFonts w:hint="cs"/>
          <w:rtl/>
        </w:rPr>
        <w:t xml:space="preserve"> בנושא הפרשה לחובות מסופקים ומחיקת חובות אבודים משנת 2018, חשבי המשרדים נדרשים לבחון ולרשום הפרשה לחובות מסופקים. ההפרשה צריכה להיות מורכבת מהפרשה ספציפית או מהפרשה כללית. לפי ההוראה, על חשב המשרד להעדיף הפרשה ספציפית, לבחון בכל תקופת דיווח את חובות המשרד ולקבוע לגבי כל חוב אם מתקיימים לגביו התנאים להכרה כחוב מסופק. במקרים שבהם לא ניתן לחשב הפרשה ספציפית, חשב המשרד יקבע את גובה ההפרשה הכללית על כל החובות אשר לא הוכרה בגינם הפרשה ספציפית. ההפרשה הכללית תתבסס על יתרות החוב למועד הדיווח, על גיל החוב ועל ניסיון העבר.</w:t>
      </w:r>
    </w:p>
    <w:p w14:paraId="6E81605A" w14:textId="77777777" w:rsidR="007C4395" w:rsidRPr="003C5FF9" w:rsidRDefault="007C4395" w:rsidP="002A738D">
      <w:pPr>
        <w:pStyle w:val="7190"/>
        <w:rPr>
          <w:rtl/>
        </w:rPr>
      </w:pPr>
      <w:r>
        <w:rPr>
          <w:rFonts w:hint="cs"/>
          <w:rtl/>
        </w:rPr>
        <w:t>על פי סעיף 2.6 להוראה, חשב המשרד נדרש לספק גילוי בכל הנוגע להפרשה לחובות מסופקים של המשרד. דרישת הגילוי בדבר התנועה בסעיף ההפרשה צריכה לכלול, ככל שרלוונטי, הפסד שהוכר השנה; הפרשה שנוצלה השנה (הכרזה על חובות אבודים); היפוך הפרשה שלא נוצלה (גבייה של חוב מסופק או אבוד); התאמות בגין שינוי באומדן שיעור ההפרשה. חשב המשרד נדרש גם לבחון אם יש מידע מהותי נוסף בהקשר של החובות המסופקים וההפרשה שנוצרה בגינם, ואם אכן ישנו - להציגו בגילוי.</w:t>
      </w:r>
    </w:p>
    <w:p w14:paraId="745A4AD6" w14:textId="77777777" w:rsidR="007C4395" w:rsidRDefault="007C4395" w:rsidP="002A738D">
      <w:pPr>
        <w:pStyle w:val="7190"/>
        <w:rPr>
          <w:rtl/>
        </w:rPr>
      </w:pPr>
      <w:r>
        <w:rPr>
          <w:rFonts w:hint="cs"/>
          <w:rtl/>
        </w:rPr>
        <w:t>למשרדי הממשלה וליחידות הסמך יש מדיניות חשבונאית שונה, ובכלל זה ביחס לשיעור ההפרשה לחובות מסופקים כפי שבא לידי ביטוי בדוחותיהם הכספיים. משרד מבקר המדינה בדק את אופן חישוב ההפרשה במשרדי ממשלה וביחידות סמך שנבדקו כמפורט בלוח הבא:</w:t>
      </w:r>
    </w:p>
    <w:p w14:paraId="3C3BD2DF" w14:textId="77777777" w:rsidR="00137681" w:rsidRDefault="00137681">
      <w:pPr>
        <w:bidi w:val="0"/>
        <w:spacing w:after="200" w:line="276" w:lineRule="auto"/>
        <w:rPr>
          <w:rFonts w:ascii="Tahoma" w:eastAsiaTheme="minorEastAsia" w:hAnsi="Tahoma" w:cs="Tahoma"/>
          <w:color w:val="0D0D0D" w:themeColor="text1" w:themeTint="F2"/>
          <w:szCs w:val="20"/>
          <w:rtl/>
        </w:rPr>
      </w:pPr>
      <w:r>
        <w:rPr>
          <w:b/>
          <w:bCs/>
          <w:rtl/>
        </w:rPr>
        <w:br w:type="page"/>
      </w:r>
    </w:p>
    <w:p w14:paraId="46F5F48B" w14:textId="580E6B6B" w:rsidR="007C4395" w:rsidRPr="0081507B" w:rsidRDefault="007C4395" w:rsidP="006F4D0D">
      <w:pPr>
        <w:pStyle w:val="71a"/>
        <w:rPr>
          <w:rtl/>
        </w:rPr>
      </w:pPr>
      <w:r w:rsidRPr="006F4D0D">
        <w:rPr>
          <w:rFonts w:hint="cs"/>
          <w:b w:val="0"/>
          <w:bCs w:val="0"/>
          <w:rtl/>
        </w:rPr>
        <w:lastRenderedPageBreak/>
        <w:t>לוח 18:</w:t>
      </w:r>
      <w:r w:rsidRPr="0081507B">
        <w:rPr>
          <w:rFonts w:hint="cs"/>
          <w:rtl/>
        </w:rPr>
        <w:t xml:space="preserve"> פירוט אופן חישוב ההפרשה והגילוי על אודות ההפרשה לחובות מסופקים במשרדי הממשלה וביחידות הסמך שנבדקו</w:t>
      </w:r>
    </w:p>
    <w:tbl>
      <w:tblPr>
        <w:tblStyle w:val="5-1"/>
        <w:bidiVisual/>
        <w:tblW w:w="4929" w:type="pct"/>
        <w:tblInd w:w="195" w:type="dxa"/>
        <w:tblBorders>
          <w:top w:val="none" w:sz="0" w:space="0" w:color="auto"/>
          <w:left w:val="single" w:sz="4" w:space="0" w:color="auto"/>
          <w:bottom w:val="none" w:sz="0" w:space="0" w:color="auto"/>
          <w:right w:val="single" w:sz="4" w:space="0" w:color="auto"/>
          <w:insideH w:val="none" w:sz="0" w:space="0" w:color="auto"/>
          <w:insideV w:val="single" w:sz="4" w:space="0" w:color="auto"/>
        </w:tblBorders>
        <w:tblLook w:val="04A0" w:firstRow="1" w:lastRow="0" w:firstColumn="1" w:lastColumn="0" w:noHBand="0" w:noVBand="1"/>
      </w:tblPr>
      <w:tblGrid>
        <w:gridCol w:w="1233"/>
        <w:gridCol w:w="2689"/>
        <w:gridCol w:w="1464"/>
        <w:gridCol w:w="1869"/>
      </w:tblGrid>
      <w:tr w:rsidR="001A5F85" w:rsidRPr="00137681" w14:paraId="388372AA" w14:textId="77777777" w:rsidTr="00431026">
        <w:trPr>
          <w:cnfStyle w:val="100000000000" w:firstRow="1" w:lastRow="0" w:firstColumn="0" w:lastColumn="0" w:oddVBand="0" w:evenVBand="0" w:oddHBand="0" w:evenHBand="0" w:firstRowFirstColumn="0" w:firstRowLastColumn="0" w:lastRowFirstColumn="0" w:lastRowLastColumn="0"/>
          <w:trHeight w:val="737"/>
          <w:tblHeader/>
        </w:trPr>
        <w:tc>
          <w:tcPr>
            <w:cnfStyle w:val="001000000000" w:firstRow="0" w:lastRow="0" w:firstColumn="1" w:lastColumn="0" w:oddVBand="0" w:evenVBand="0" w:oddHBand="0" w:evenHBand="0" w:firstRowFirstColumn="0" w:firstRowLastColumn="0" w:lastRowFirstColumn="0" w:lastRowLastColumn="0"/>
            <w:tcW w:w="850" w:type="pct"/>
            <w:tcBorders>
              <w:top w:val="none" w:sz="0" w:space="0" w:color="auto"/>
              <w:left w:val="none" w:sz="0" w:space="0" w:color="auto"/>
              <w:right w:val="none" w:sz="0" w:space="0" w:color="auto"/>
            </w:tcBorders>
            <w:shd w:val="clear" w:color="auto" w:fill="C8DCE4"/>
            <w:vAlign w:val="bottom"/>
          </w:tcPr>
          <w:p w14:paraId="64B35BA0" w14:textId="77777777" w:rsidR="007C4395" w:rsidRPr="00137681" w:rsidRDefault="007C4395" w:rsidP="00137681">
            <w:pPr>
              <w:pStyle w:val="71HEADER"/>
              <w:spacing w:line="240" w:lineRule="auto"/>
              <w:rPr>
                <w:sz w:val="15"/>
                <w:szCs w:val="15"/>
                <w:rtl/>
              </w:rPr>
            </w:pPr>
            <w:r w:rsidRPr="00137681">
              <w:rPr>
                <w:rFonts w:hint="cs"/>
                <w:sz w:val="15"/>
                <w:szCs w:val="15"/>
                <w:rtl/>
              </w:rPr>
              <w:t>גוף</w:t>
            </w:r>
          </w:p>
        </w:tc>
        <w:tc>
          <w:tcPr>
            <w:tcW w:w="1853" w:type="pct"/>
            <w:tcBorders>
              <w:top w:val="none" w:sz="0" w:space="0" w:color="auto"/>
              <w:left w:val="none" w:sz="0" w:space="0" w:color="auto"/>
              <w:right w:val="none" w:sz="0" w:space="0" w:color="auto"/>
            </w:tcBorders>
            <w:shd w:val="clear" w:color="auto" w:fill="C8DCE4"/>
            <w:vAlign w:val="bottom"/>
          </w:tcPr>
          <w:p w14:paraId="4FCEEEE1" w14:textId="77777777" w:rsidR="007C4395" w:rsidRPr="00137681" w:rsidRDefault="007C4395" w:rsidP="00137681">
            <w:pPr>
              <w:pStyle w:val="71HEADER"/>
              <w:spacing w:line="240" w:lineRule="auto"/>
              <w:cnfStyle w:val="100000000000" w:firstRow="1" w:lastRow="0" w:firstColumn="0" w:lastColumn="0" w:oddVBand="0" w:evenVBand="0" w:oddHBand="0" w:evenHBand="0" w:firstRowFirstColumn="0" w:firstRowLastColumn="0" w:lastRowFirstColumn="0" w:lastRowLastColumn="0"/>
              <w:rPr>
                <w:sz w:val="15"/>
                <w:szCs w:val="15"/>
                <w:rtl/>
              </w:rPr>
            </w:pPr>
            <w:r w:rsidRPr="00137681">
              <w:rPr>
                <w:rFonts w:hint="cs"/>
                <w:sz w:val="15"/>
                <w:szCs w:val="15"/>
                <w:rtl/>
              </w:rPr>
              <w:t>אופן</w:t>
            </w:r>
            <w:r w:rsidRPr="00137681">
              <w:rPr>
                <w:sz w:val="15"/>
                <w:szCs w:val="15"/>
              </w:rPr>
              <w:t xml:space="preserve"> </w:t>
            </w:r>
            <w:r w:rsidRPr="00137681">
              <w:rPr>
                <w:rFonts w:hint="cs"/>
                <w:sz w:val="15"/>
                <w:szCs w:val="15"/>
                <w:rtl/>
              </w:rPr>
              <w:t>חישוב</w:t>
            </w:r>
            <w:r w:rsidRPr="00137681">
              <w:rPr>
                <w:sz w:val="15"/>
                <w:szCs w:val="15"/>
              </w:rPr>
              <w:t xml:space="preserve"> </w:t>
            </w:r>
            <w:r w:rsidRPr="00137681">
              <w:rPr>
                <w:rFonts w:hint="cs"/>
                <w:sz w:val="15"/>
                <w:szCs w:val="15"/>
                <w:rtl/>
              </w:rPr>
              <w:t>ההפרשה</w:t>
            </w:r>
            <w:r w:rsidRPr="00137681">
              <w:rPr>
                <w:sz w:val="15"/>
                <w:szCs w:val="15"/>
              </w:rPr>
              <w:t xml:space="preserve"> </w:t>
            </w:r>
            <w:r w:rsidRPr="00137681">
              <w:rPr>
                <w:rFonts w:hint="cs"/>
                <w:sz w:val="15"/>
                <w:szCs w:val="15"/>
                <w:rtl/>
              </w:rPr>
              <w:t>לחובות</w:t>
            </w:r>
            <w:r w:rsidRPr="00137681">
              <w:rPr>
                <w:sz w:val="15"/>
                <w:szCs w:val="15"/>
              </w:rPr>
              <w:t xml:space="preserve"> </w:t>
            </w:r>
            <w:r w:rsidRPr="00137681">
              <w:rPr>
                <w:rFonts w:hint="cs"/>
                <w:sz w:val="15"/>
                <w:szCs w:val="15"/>
                <w:rtl/>
              </w:rPr>
              <w:t>מסופקים</w:t>
            </w:r>
          </w:p>
        </w:tc>
        <w:tc>
          <w:tcPr>
            <w:tcW w:w="1009" w:type="pct"/>
            <w:tcBorders>
              <w:top w:val="none" w:sz="0" w:space="0" w:color="auto"/>
              <w:left w:val="none" w:sz="0" w:space="0" w:color="auto"/>
              <w:right w:val="none" w:sz="0" w:space="0" w:color="auto"/>
            </w:tcBorders>
            <w:shd w:val="clear" w:color="auto" w:fill="C8DCE4"/>
            <w:vAlign w:val="bottom"/>
          </w:tcPr>
          <w:p w14:paraId="50AEFAD7" w14:textId="77777777" w:rsidR="007C4395" w:rsidRPr="00DF233D" w:rsidRDefault="007C4395" w:rsidP="00DF233D">
            <w:pPr>
              <w:pStyle w:val="71HEADER"/>
              <w:spacing w:line="240" w:lineRule="auto"/>
              <w:cnfStyle w:val="100000000000" w:firstRow="1" w:lastRow="0" w:firstColumn="0" w:lastColumn="0" w:oddVBand="0" w:evenVBand="0" w:oddHBand="0" w:evenHBand="0" w:firstRowFirstColumn="0" w:firstRowLastColumn="0" w:lastRowFirstColumn="0" w:lastRowLastColumn="0"/>
              <w:rPr>
                <w:spacing w:val="-2"/>
                <w:sz w:val="15"/>
                <w:szCs w:val="15"/>
                <w:rtl/>
              </w:rPr>
            </w:pPr>
            <w:r w:rsidRPr="00DF233D">
              <w:rPr>
                <w:rFonts w:hint="cs"/>
                <w:spacing w:val="-2"/>
                <w:sz w:val="15"/>
                <w:szCs w:val="15"/>
                <w:rtl/>
              </w:rPr>
              <w:t xml:space="preserve">עמידה בדרישות הצגת הגילוי בהתאם להוראת </w:t>
            </w:r>
            <w:proofErr w:type="spellStart"/>
            <w:r w:rsidRPr="00DF233D">
              <w:rPr>
                <w:rFonts w:hint="cs"/>
                <w:spacing w:val="-2"/>
                <w:sz w:val="15"/>
                <w:szCs w:val="15"/>
                <w:rtl/>
              </w:rPr>
              <w:t>התכ"ם</w:t>
            </w:r>
            <w:proofErr w:type="spellEnd"/>
          </w:p>
        </w:tc>
        <w:tc>
          <w:tcPr>
            <w:tcW w:w="1288" w:type="pct"/>
            <w:tcBorders>
              <w:top w:val="none" w:sz="0" w:space="0" w:color="auto"/>
              <w:left w:val="none" w:sz="0" w:space="0" w:color="auto"/>
              <w:right w:val="none" w:sz="0" w:space="0" w:color="auto"/>
            </w:tcBorders>
            <w:shd w:val="clear" w:color="auto" w:fill="C8DCE4"/>
            <w:vAlign w:val="bottom"/>
          </w:tcPr>
          <w:p w14:paraId="63D9E06C" w14:textId="77777777" w:rsidR="007C4395" w:rsidRPr="001A5F85" w:rsidRDefault="007C4395" w:rsidP="00137681">
            <w:pPr>
              <w:pStyle w:val="71HEADER"/>
              <w:spacing w:line="240" w:lineRule="auto"/>
              <w:cnfStyle w:val="100000000000" w:firstRow="1" w:lastRow="0" w:firstColumn="0" w:lastColumn="0" w:oddVBand="0" w:evenVBand="0" w:oddHBand="0" w:evenHBand="0" w:firstRowFirstColumn="0" w:firstRowLastColumn="0" w:lastRowFirstColumn="0" w:lastRowLastColumn="0"/>
              <w:rPr>
                <w:spacing w:val="-6"/>
                <w:sz w:val="15"/>
                <w:szCs w:val="15"/>
                <w:rtl/>
              </w:rPr>
            </w:pPr>
            <w:r w:rsidRPr="001A5F85">
              <w:rPr>
                <w:rFonts w:hint="cs"/>
                <w:spacing w:val="-6"/>
                <w:sz w:val="15"/>
                <w:szCs w:val="15"/>
                <w:rtl/>
              </w:rPr>
              <w:t>הערות המשרדים במענה למבקר המדינה</w:t>
            </w:r>
          </w:p>
        </w:tc>
      </w:tr>
      <w:tr w:rsidR="001A5F85" w:rsidRPr="00137681" w14:paraId="2139A39F" w14:textId="77777777" w:rsidTr="00431026">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850" w:type="pct"/>
            <w:tcBorders>
              <w:left w:val="none" w:sz="0" w:space="0" w:color="auto"/>
            </w:tcBorders>
            <w:shd w:val="clear" w:color="auto" w:fill="DDEAEE"/>
          </w:tcPr>
          <w:p w14:paraId="25D2BF06" w14:textId="77777777" w:rsidR="007C4395" w:rsidRPr="00137681" w:rsidRDefault="007C4395" w:rsidP="00137681">
            <w:pPr>
              <w:pStyle w:val="71R"/>
              <w:spacing w:line="240" w:lineRule="auto"/>
              <w:rPr>
                <w:sz w:val="15"/>
                <w:szCs w:val="15"/>
                <w:rtl/>
              </w:rPr>
            </w:pPr>
            <w:r w:rsidRPr="00137681">
              <w:rPr>
                <w:rFonts w:hint="cs"/>
                <w:sz w:val="15"/>
                <w:szCs w:val="15"/>
                <w:rtl/>
              </w:rPr>
              <w:t>משרד המשפטים</w:t>
            </w:r>
          </w:p>
        </w:tc>
        <w:tc>
          <w:tcPr>
            <w:tcW w:w="1853" w:type="pct"/>
            <w:shd w:val="clear" w:color="auto" w:fill="DDEAEE"/>
          </w:tcPr>
          <w:p w14:paraId="20F705CD" w14:textId="77777777" w:rsidR="007C4395" w:rsidRPr="00137681" w:rsidRDefault="007C4395" w:rsidP="00137681">
            <w:pPr>
              <w:pStyle w:val="71R"/>
              <w:spacing w:line="240" w:lineRule="auto"/>
              <w:cnfStyle w:val="000000100000" w:firstRow="0" w:lastRow="0" w:firstColumn="0" w:lastColumn="0" w:oddVBand="0" w:evenVBand="0" w:oddHBand="1" w:evenHBand="0" w:firstRowFirstColumn="0" w:firstRowLastColumn="0" w:lastRowFirstColumn="0" w:lastRowLastColumn="0"/>
              <w:rPr>
                <w:sz w:val="15"/>
                <w:szCs w:val="15"/>
                <w:rtl/>
              </w:rPr>
            </w:pPr>
            <w:r w:rsidRPr="00137681">
              <w:rPr>
                <w:rFonts w:hint="cs"/>
                <w:sz w:val="15"/>
                <w:szCs w:val="15"/>
                <w:rtl/>
              </w:rPr>
              <w:t>ההפרשה מחושבת באופן ספציפי בגין חובות מזוהים אשר לדעת הנהלת המשרד גבייתם מוטלת בספק</w:t>
            </w:r>
          </w:p>
        </w:tc>
        <w:tc>
          <w:tcPr>
            <w:tcW w:w="1009" w:type="pct"/>
            <w:shd w:val="clear" w:color="auto" w:fill="DDEAEE"/>
          </w:tcPr>
          <w:p w14:paraId="3FA63AED" w14:textId="08711E6D" w:rsidR="007C4395" w:rsidRPr="001A5F85" w:rsidRDefault="0064695A" w:rsidP="00DF233D">
            <w:pPr>
              <w:pStyle w:val="71R"/>
              <w:spacing w:line="240" w:lineRule="auto"/>
              <w:jc w:val="center"/>
              <w:cnfStyle w:val="000000100000" w:firstRow="0" w:lastRow="0" w:firstColumn="0" w:lastColumn="0" w:oddVBand="0" w:evenVBand="0" w:oddHBand="1" w:evenHBand="0" w:firstRowFirstColumn="0" w:firstRowLastColumn="0" w:lastRowFirstColumn="0" w:lastRowLastColumn="0"/>
              <w:rPr>
                <w:sz w:val="30"/>
                <w:szCs w:val="30"/>
                <w:rtl/>
              </w:rPr>
            </w:pPr>
            <w:r w:rsidRPr="001A5F85">
              <w:rPr>
                <w:rFonts w:ascii="Chalkboard SE" w:hAnsi="Chalkboard SE"/>
                <w:color w:val="FF0000"/>
                <w:sz w:val="30"/>
                <w:szCs w:val="30"/>
              </w:rPr>
              <w:t>X</w:t>
            </w:r>
          </w:p>
        </w:tc>
        <w:tc>
          <w:tcPr>
            <w:tcW w:w="1288" w:type="pct"/>
            <w:shd w:val="clear" w:color="auto" w:fill="DDEAEE"/>
          </w:tcPr>
          <w:p w14:paraId="672F6B70" w14:textId="77777777" w:rsidR="007C4395" w:rsidRPr="00137681" w:rsidRDefault="007C4395" w:rsidP="00137681">
            <w:pPr>
              <w:pStyle w:val="71R"/>
              <w:spacing w:line="240" w:lineRule="auto"/>
              <w:cnfStyle w:val="000000100000" w:firstRow="0" w:lastRow="0" w:firstColumn="0" w:lastColumn="0" w:oddVBand="0" w:evenVBand="0" w:oddHBand="1" w:evenHBand="0" w:firstRowFirstColumn="0" w:firstRowLastColumn="0" w:lastRowFirstColumn="0" w:lastRowLastColumn="0"/>
              <w:rPr>
                <w:sz w:val="15"/>
                <w:szCs w:val="15"/>
              </w:rPr>
            </w:pPr>
          </w:p>
        </w:tc>
      </w:tr>
      <w:tr w:rsidR="00431026" w:rsidRPr="00137681" w14:paraId="593AED6A" w14:textId="77777777" w:rsidTr="00431026">
        <w:trPr>
          <w:trHeight w:val="1237"/>
        </w:trPr>
        <w:tc>
          <w:tcPr>
            <w:cnfStyle w:val="001000000000" w:firstRow="0" w:lastRow="0" w:firstColumn="1" w:lastColumn="0" w:oddVBand="0" w:evenVBand="0" w:oddHBand="0" w:evenHBand="0" w:firstRowFirstColumn="0" w:firstRowLastColumn="0" w:lastRowFirstColumn="0" w:lastRowLastColumn="0"/>
            <w:tcW w:w="850" w:type="pct"/>
            <w:tcBorders>
              <w:left w:val="none" w:sz="0" w:space="0" w:color="auto"/>
            </w:tcBorders>
            <w:shd w:val="clear" w:color="auto" w:fill="EEF6F7"/>
          </w:tcPr>
          <w:p w14:paraId="3B46CEDF" w14:textId="77777777" w:rsidR="007C4395" w:rsidRPr="00137681" w:rsidRDefault="007C4395" w:rsidP="00137681">
            <w:pPr>
              <w:pStyle w:val="71R"/>
              <w:spacing w:line="240" w:lineRule="auto"/>
              <w:rPr>
                <w:sz w:val="15"/>
                <w:szCs w:val="15"/>
                <w:rtl/>
              </w:rPr>
            </w:pPr>
            <w:r w:rsidRPr="00137681">
              <w:rPr>
                <w:rFonts w:hint="cs"/>
                <w:sz w:val="15"/>
                <w:szCs w:val="15"/>
                <w:rtl/>
              </w:rPr>
              <w:t>משרד הכלכלה והתעשייה</w:t>
            </w:r>
          </w:p>
        </w:tc>
        <w:tc>
          <w:tcPr>
            <w:tcW w:w="1853" w:type="pct"/>
            <w:shd w:val="clear" w:color="auto" w:fill="EEF6F7"/>
          </w:tcPr>
          <w:p w14:paraId="267B1F20" w14:textId="77777777" w:rsidR="007C4395" w:rsidRPr="00137681" w:rsidRDefault="007C4395" w:rsidP="00137681">
            <w:pPr>
              <w:pStyle w:val="71R"/>
              <w:spacing w:line="240" w:lineRule="auto"/>
              <w:cnfStyle w:val="000000000000" w:firstRow="0" w:lastRow="0" w:firstColumn="0" w:lastColumn="0" w:oddVBand="0" w:evenVBand="0" w:oddHBand="0" w:evenHBand="0" w:firstRowFirstColumn="0" w:firstRowLastColumn="0" w:lastRowFirstColumn="0" w:lastRowLastColumn="0"/>
              <w:rPr>
                <w:sz w:val="15"/>
                <w:szCs w:val="15"/>
                <w:rtl/>
              </w:rPr>
            </w:pPr>
            <w:r w:rsidRPr="00137681">
              <w:rPr>
                <w:sz w:val="15"/>
                <w:szCs w:val="15"/>
                <w:rtl/>
              </w:rPr>
              <w:t xml:space="preserve">הפרשה </w:t>
            </w:r>
            <w:r w:rsidRPr="00137681">
              <w:rPr>
                <w:rFonts w:hint="cs"/>
                <w:sz w:val="15"/>
                <w:szCs w:val="15"/>
                <w:rtl/>
              </w:rPr>
              <w:t>לחובות מסופקים</w:t>
            </w:r>
            <w:r w:rsidRPr="00137681">
              <w:rPr>
                <w:sz w:val="15"/>
                <w:szCs w:val="15"/>
                <w:rtl/>
              </w:rPr>
              <w:t xml:space="preserve"> מחושבת באופן ספציפי בגין חובות מזו</w:t>
            </w:r>
            <w:r w:rsidRPr="00137681">
              <w:rPr>
                <w:rFonts w:hint="cs"/>
                <w:sz w:val="15"/>
                <w:szCs w:val="15"/>
                <w:rtl/>
              </w:rPr>
              <w:t>הים אשר לדעת הנהלת המשרד ניתן לחשב בגינם את התזרים הצפוי.</w:t>
            </w:r>
            <w:r w:rsidRPr="00137681">
              <w:rPr>
                <w:sz w:val="15"/>
                <w:szCs w:val="15"/>
                <w:rtl/>
              </w:rPr>
              <w:t xml:space="preserve"> הפרשה כללית</w:t>
            </w:r>
            <w:r w:rsidRPr="00137681">
              <w:rPr>
                <w:rFonts w:hint="cs"/>
                <w:sz w:val="15"/>
                <w:szCs w:val="15"/>
                <w:rtl/>
              </w:rPr>
              <w:t xml:space="preserve"> </w:t>
            </w:r>
            <w:r w:rsidRPr="00137681">
              <w:rPr>
                <w:sz w:val="15"/>
                <w:szCs w:val="15"/>
                <w:rtl/>
              </w:rPr>
              <w:t>מבוצעת לפי גיל החוב, סוג החייב וניסיון העבר</w:t>
            </w:r>
          </w:p>
        </w:tc>
        <w:tc>
          <w:tcPr>
            <w:tcW w:w="1009" w:type="pct"/>
            <w:shd w:val="clear" w:color="auto" w:fill="EEF6F7"/>
          </w:tcPr>
          <w:p w14:paraId="5C65C77F" w14:textId="0BF54ED1" w:rsidR="007C4395" w:rsidRPr="001A5F85" w:rsidRDefault="0064695A" w:rsidP="00DF233D">
            <w:pPr>
              <w:pStyle w:val="71R"/>
              <w:spacing w:line="240" w:lineRule="auto"/>
              <w:jc w:val="center"/>
              <w:cnfStyle w:val="000000000000" w:firstRow="0" w:lastRow="0" w:firstColumn="0" w:lastColumn="0" w:oddVBand="0" w:evenVBand="0" w:oddHBand="0" w:evenHBand="0" w:firstRowFirstColumn="0" w:firstRowLastColumn="0" w:lastRowFirstColumn="0" w:lastRowLastColumn="0"/>
              <w:rPr>
                <w:sz w:val="30"/>
                <w:szCs w:val="30"/>
                <w:rtl/>
              </w:rPr>
            </w:pPr>
            <w:r w:rsidRPr="001A5F85">
              <w:rPr>
                <w:rFonts w:ascii="Chalkboard SE" w:hAnsi="Chalkboard SE"/>
                <w:color w:val="FF0000"/>
                <w:sz w:val="30"/>
                <w:szCs w:val="30"/>
              </w:rPr>
              <w:t>X</w:t>
            </w:r>
          </w:p>
        </w:tc>
        <w:tc>
          <w:tcPr>
            <w:tcW w:w="1288" w:type="pct"/>
            <w:shd w:val="clear" w:color="auto" w:fill="EEF6F7"/>
          </w:tcPr>
          <w:p w14:paraId="47A327CE" w14:textId="77777777" w:rsidR="007C4395" w:rsidRPr="00137681" w:rsidRDefault="007C4395" w:rsidP="00137681">
            <w:pPr>
              <w:pStyle w:val="71R"/>
              <w:spacing w:line="240" w:lineRule="auto"/>
              <w:cnfStyle w:val="000000000000" w:firstRow="0" w:lastRow="0" w:firstColumn="0" w:lastColumn="0" w:oddVBand="0" w:evenVBand="0" w:oddHBand="0" w:evenHBand="0" w:firstRowFirstColumn="0" w:firstRowLastColumn="0" w:lastRowFirstColumn="0" w:lastRowLastColumn="0"/>
              <w:rPr>
                <w:sz w:val="15"/>
                <w:szCs w:val="15"/>
                <w:rtl/>
              </w:rPr>
            </w:pPr>
            <w:r w:rsidRPr="00137681">
              <w:rPr>
                <w:rFonts w:hint="cs"/>
                <w:sz w:val="15"/>
                <w:szCs w:val="15"/>
                <w:rtl/>
              </w:rPr>
              <w:t xml:space="preserve">המשרד ציין שהשינויים מוצגים בנטו, אך לפי הוראת </w:t>
            </w:r>
            <w:proofErr w:type="spellStart"/>
            <w:r w:rsidRPr="00137681">
              <w:rPr>
                <w:rFonts w:hint="cs"/>
                <w:sz w:val="15"/>
                <w:szCs w:val="15"/>
                <w:rtl/>
              </w:rPr>
              <w:t>התכ"ם</w:t>
            </w:r>
            <w:proofErr w:type="spellEnd"/>
            <w:r w:rsidRPr="00137681">
              <w:rPr>
                <w:rFonts w:hint="cs"/>
                <w:sz w:val="15"/>
                <w:szCs w:val="15"/>
                <w:rtl/>
              </w:rPr>
              <w:t xml:space="preserve"> בנושא הפרשה לחובות מסופקים, נדרש לפרט את השינויים בברוטו</w:t>
            </w:r>
          </w:p>
        </w:tc>
      </w:tr>
      <w:tr w:rsidR="001A5F85" w:rsidRPr="00137681" w14:paraId="2897C201" w14:textId="77777777" w:rsidTr="00431026">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850" w:type="pct"/>
            <w:tcBorders>
              <w:left w:val="none" w:sz="0" w:space="0" w:color="auto"/>
            </w:tcBorders>
            <w:shd w:val="clear" w:color="auto" w:fill="DDEAEE"/>
          </w:tcPr>
          <w:p w14:paraId="44B2E4B5" w14:textId="77777777" w:rsidR="007C4395" w:rsidRPr="00137681" w:rsidRDefault="007C4395" w:rsidP="00137681">
            <w:pPr>
              <w:pStyle w:val="71R"/>
              <w:spacing w:line="240" w:lineRule="auto"/>
              <w:rPr>
                <w:sz w:val="15"/>
                <w:szCs w:val="15"/>
                <w:rtl/>
              </w:rPr>
            </w:pPr>
            <w:r w:rsidRPr="00137681">
              <w:rPr>
                <w:rFonts w:hint="cs"/>
                <w:sz w:val="15"/>
                <w:szCs w:val="15"/>
                <w:rtl/>
              </w:rPr>
              <w:t>המשרד לביטחון הפנים</w:t>
            </w:r>
          </w:p>
        </w:tc>
        <w:tc>
          <w:tcPr>
            <w:tcW w:w="1853" w:type="pct"/>
            <w:shd w:val="clear" w:color="auto" w:fill="DDEAEE"/>
          </w:tcPr>
          <w:p w14:paraId="1DFCCE7F" w14:textId="77777777" w:rsidR="007C4395" w:rsidRPr="00137681" w:rsidRDefault="007C4395" w:rsidP="00137681">
            <w:pPr>
              <w:pStyle w:val="71R"/>
              <w:spacing w:line="240" w:lineRule="auto"/>
              <w:cnfStyle w:val="000000100000" w:firstRow="0" w:lastRow="0" w:firstColumn="0" w:lastColumn="0" w:oddVBand="0" w:evenVBand="0" w:oddHBand="1" w:evenHBand="0" w:firstRowFirstColumn="0" w:firstRowLastColumn="0" w:lastRowFirstColumn="0" w:lastRowLastColumn="0"/>
              <w:rPr>
                <w:sz w:val="15"/>
                <w:szCs w:val="15"/>
                <w:rtl/>
              </w:rPr>
            </w:pPr>
            <w:r w:rsidRPr="00137681">
              <w:rPr>
                <w:sz w:val="15"/>
                <w:szCs w:val="15"/>
                <w:rtl/>
              </w:rPr>
              <w:t>הפרשה לחובות מסופקים מחושבת באופן ספציפי</w:t>
            </w:r>
            <w:r w:rsidRPr="00137681">
              <w:rPr>
                <w:rFonts w:hint="cs"/>
                <w:sz w:val="15"/>
                <w:szCs w:val="15"/>
                <w:rtl/>
              </w:rPr>
              <w:t xml:space="preserve"> בגין חובות </w:t>
            </w:r>
            <w:r w:rsidRPr="00137681">
              <w:rPr>
                <w:sz w:val="15"/>
                <w:szCs w:val="15"/>
                <w:rtl/>
              </w:rPr>
              <w:t>מזוהים אשר לדעת הנהלת המשרד גבייתם מוטלת בספק.</w:t>
            </w:r>
            <w:r w:rsidRPr="00137681">
              <w:rPr>
                <w:rFonts w:hint="cs"/>
                <w:sz w:val="15"/>
                <w:szCs w:val="15"/>
                <w:rtl/>
              </w:rPr>
              <w:t xml:space="preserve"> הפרשה כללית לחובות מסופקים בוצעה לפי גיל החוב: יתרות חייבים עד סוף 2017 - 100% מהחוב; יתרות חייבים בגין שנת 2018 - 49% - 97% מהחוב; יתרות חייבים בגין שנת 2019 - 20% - 90% מהחוב; יתרות חייבים בגין שנת 2020 - 20% - 50% מהחוב</w:t>
            </w:r>
          </w:p>
        </w:tc>
        <w:tc>
          <w:tcPr>
            <w:tcW w:w="1009" w:type="pct"/>
            <w:shd w:val="clear" w:color="auto" w:fill="DDEAEE"/>
          </w:tcPr>
          <w:p w14:paraId="068A9058" w14:textId="30E35FC9" w:rsidR="007C4395" w:rsidRPr="001A5F85" w:rsidRDefault="0064695A" w:rsidP="00DF233D">
            <w:pPr>
              <w:pStyle w:val="71R"/>
              <w:spacing w:line="240" w:lineRule="auto"/>
              <w:jc w:val="center"/>
              <w:cnfStyle w:val="000000100000" w:firstRow="0" w:lastRow="0" w:firstColumn="0" w:lastColumn="0" w:oddVBand="0" w:evenVBand="0" w:oddHBand="1" w:evenHBand="0" w:firstRowFirstColumn="0" w:firstRowLastColumn="0" w:lastRowFirstColumn="0" w:lastRowLastColumn="0"/>
              <w:rPr>
                <w:sz w:val="30"/>
                <w:szCs w:val="30"/>
                <w:rtl/>
              </w:rPr>
            </w:pPr>
            <w:r w:rsidRPr="001A5F85">
              <w:rPr>
                <w:rFonts w:ascii="Chalkboard SE" w:hAnsi="Chalkboard SE"/>
                <w:color w:val="FF0000"/>
                <w:sz w:val="30"/>
                <w:szCs w:val="30"/>
              </w:rPr>
              <w:t>X</w:t>
            </w:r>
          </w:p>
        </w:tc>
        <w:tc>
          <w:tcPr>
            <w:tcW w:w="1288" w:type="pct"/>
            <w:shd w:val="clear" w:color="auto" w:fill="DDEAEE"/>
          </w:tcPr>
          <w:p w14:paraId="0CD027E9" w14:textId="77777777" w:rsidR="007C4395" w:rsidRPr="00137681" w:rsidRDefault="007C4395" w:rsidP="00137681">
            <w:pPr>
              <w:pStyle w:val="71R"/>
              <w:spacing w:line="240" w:lineRule="auto"/>
              <w:cnfStyle w:val="000000100000" w:firstRow="0" w:lastRow="0" w:firstColumn="0" w:lastColumn="0" w:oddVBand="0" w:evenVBand="0" w:oddHBand="1" w:evenHBand="0" w:firstRowFirstColumn="0" w:firstRowLastColumn="0" w:lastRowFirstColumn="0" w:lastRowLastColumn="0"/>
              <w:rPr>
                <w:sz w:val="15"/>
                <w:szCs w:val="15"/>
                <w:rtl/>
              </w:rPr>
            </w:pPr>
            <w:r w:rsidRPr="00137681">
              <w:rPr>
                <w:rFonts w:hint="cs"/>
                <w:sz w:val="15"/>
                <w:szCs w:val="15"/>
                <w:rtl/>
              </w:rPr>
              <w:t>המשרד ציין שהוא ייתן את הגילוי הנדרש בדוחות הכספיים של שנת 2021</w:t>
            </w:r>
          </w:p>
        </w:tc>
      </w:tr>
      <w:tr w:rsidR="00431026" w:rsidRPr="00137681" w14:paraId="1DB3220F" w14:textId="77777777" w:rsidTr="00431026">
        <w:trPr>
          <w:trHeight w:val="987"/>
        </w:trPr>
        <w:tc>
          <w:tcPr>
            <w:cnfStyle w:val="001000000000" w:firstRow="0" w:lastRow="0" w:firstColumn="1" w:lastColumn="0" w:oddVBand="0" w:evenVBand="0" w:oddHBand="0" w:evenHBand="0" w:firstRowFirstColumn="0" w:firstRowLastColumn="0" w:lastRowFirstColumn="0" w:lastRowLastColumn="0"/>
            <w:tcW w:w="850" w:type="pct"/>
            <w:tcBorders>
              <w:left w:val="none" w:sz="0" w:space="0" w:color="auto"/>
            </w:tcBorders>
            <w:shd w:val="clear" w:color="auto" w:fill="EEF6F7"/>
          </w:tcPr>
          <w:p w14:paraId="60FA6838" w14:textId="77777777" w:rsidR="007C4395" w:rsidRPr="00137681" w:rsidRDefault="007C4395" w:rsidP="00137681">
            <w:pPr>
              <w:pStyle w:val="71R"/>
              <w:spacing w:line="240" w:lineRule="auto"/>
              <w:rPr>
                <w:sz w:val="15"/>
                <w:szCs w:val="15"/>
                <w:rtl/>
              </w:rPr>
            </w:pPr>
            <w:r w:rsidRPr="00137681">
              <w:rPr>
                <w:rFonts w:hint="cs"/>
                <w:sz w:val="15"/>
                <w:szCs w:val="15"/>
                <w:rtl/>
              </w:rPr>
              <w:t>הנהלת בתי המשפט</w:t>
            </w:r>
          </w:p>
        </w:tc>
        <w:tc>
          <w:tcPr>
            <w:tcW w:w="1853" w:type="pct"/>
            <w:shd w:val="clear" w:color="auto" w:fill="EEF6F7"/>
          </w:tcPr>
          <w:p w14:paraId="017D0D9B" w14:textId="77777777" w:rsidR="007C4395" w:rsidRPr="00431026" w:rsidRDefault="007C4395" w:rsidP="00137681">
            <w:pPr>
              <w:pStyle w:val="71R"/>
              <w:spacing w:line="240" w:lineRule="auto"/>
              <w:cnfStyle w:val="000000000000" w:firstRow="0" w:lastRow="0" w:firstColumn="0" w:lastColumn="0" w:oddVBand="0" w:evenVBand="0" w:oddHBand="0" w:evenHBand="0" w:firstRowFirstColumn="0" w:firstRowLastColumn="0" w:lastRowFirstColumn="0" w:lastRowLastColumn="0"/>
              <w:rPr>
                <w:spacing w:val="-4"/>
                <w:sz w:val="15"/>
                <w:szCs w:val="15"/>
                <w:rtl/>
              </w:rPr>
            </w:pPr>
            <w:r w:rsidRPr="00431026">
              <w:rPr>
                <w:rFonts w:hint="cs"/>
                <w:spacing w:val="-4"/>
                <w:sz w:val="15"/>
                <w:szCs w:val="15"/>
                <w:rtl/>
              </w:rPr>
              <w:t>בדוחות הכספיים בוצעה הפרשה לחובות מסופקים בגין חייבים בעסקאות חליפין. ההפרשה חושבה באופן ספציפי בגין חובות מזוהים אשר לדעת הנהלת המשרד גבייתם מוטלת בספק. כמו כן בוצעה הפרשה בגין חייבים בעסקאות שאינן חליפין. ההפרשה בוצעה בהתאם לאומדנים המבוססים על גיול החייבים וניסיון העבר</w:t>
            </w:r>
          </w:p>
        </w:tc>
        <w:tc>
          <w:tcPr>
            <w:tcW w:w="1009" w:type="pct"/>
            <w:shd w:val="clear" w:color="auto" w:fill="EEF6F7"/>
          </w:tcPr>
          <w:p w14:paraId="357F9DF2" w14:textId="7A84C120" w:rsidR="007C4395" w:rsidRPr="001A5F85" w:rsidRDefault="0064695A" w:rsidP="00DF233D">
            <w:pPr>
              <w:pStyle w:val="71R"/>
              <w:spacing w:line="240" w:lineRule="auto"/>
              <w:jc w:val="center"/>
              <w:cnfStyle w:val="000000000000" w:firstRow="0" w:lastRow="0" w:firstColumn="0" w:lastColumn="0" w:oddVBand="0" w:evenVBand="0" w:oddHBand="0" w:evenHBand="0" w:firstRowFirstColumn="0" w:firstRowLastColumn="0" w:lastRowFirstColumn="0" w:lastRowLastColumn="0"/>
              <w:rPr>
                <w:sz w:val="30"/>
                <w:szCs w:val="30"/>
                <w:rtl/>
              </w:rPr>
            </w:pPr>
            <w:r w:rsidRPr="001A5F85">
              <w:rPr>
                <w:rFonts w:ascii="Chalkboard SE" w:hAnsi="Chalkboard SE"/>
                <w:color w:val="FF0000"/>
                <w:sz w:val="30"/>
                <w:szCs w:val="30"/>
              </w:rPr>
              <w:t>X</w:t>
            </w:r>
          </w:p>
        </w:tc>
        <w:tc>
          <w:tcPr>
            <w:tcW w:w="1288" w:type="pct"/>
            <w:shd w:val="clear" w:color="auto" w:fill="EEF6F7"/>
          </w:tcPr>
          <w:p w14:paraId="7BDB0DF3" w14:textId="77777777" w:rsidR="007C4395" w:rsidRPr="00137681" w:rsidRDefault="007C4395" w:rsidP="00137681">
            <w:pPr>
              <w:pStyle w:val="71R"/>
              <w:spacing w:line="240" w:lineRule="auto"/>
              <w:cnfStyle w:val="000000000000" w:firstRow="0" w:lastRow="0" w:firstColumn="0" w:lastColumn="0" w:oddVBand="0" w:evenVBand="0" w:oddHBand="0" w:evenHBand="0" w:firstRowFirstColumn="0" w:firstRowLastColumn="0" w:lastRowFirstColumn="0" w:lastRowLastColumn="0"/>
              <w:rPr>
                <w:sz w:val="15"/>
                <w:szCs w:val="15"/>
                <w:rtl/>
              </w:rPr>
            </w:pPr>
            <w:r w:rsidRPr="00137681">
              <w:rPr>
                <w:rFonts w:hint="cs"/>
                <w:sz w:val="15"/>
                <w:szCs w:val="15"/>
                <w:rtl/>
              </w:rPr>
              <w:t>המשרד ציין שהוא ייתן גילוי למחיקת חובות בדוחות הכספיים הבאים</w:t>
            </w:r>
          </w:p>
        </w:tc>
      </w:tr>
      <w:tr w:rsidR="001A5F85" w:rsidRPr="00137681" w14:paraId="3FD1FE6F" w14:textId="77777777" w:rsidTr="00431026">
        <w:trPr>
          <w:cnfStyle w:val="000000100000" w:firstRow="0" w:lastRow="0" w:firstColumn="0" w:lastColumn="0" w:oddVBand="0" w:evenVBand="0" w:oddHBand="1" w:evenHBand="0" w:firstRowFirstColumn="0" w:firstRowLastColumn="0" w:lastRowFirstColumn="0" w:lastRowLastColumn="0"/>
          <w:trHeight w:val="1237"/>
        </w:trPr>
        <w:tc>
          <w:tcPr>
            <w:cnfStyle w:val="001000000000" w:firstRow="0" w:lastRow="0" w:firstColumn="1" w:lastColumn="0" w:oddVBand="0" w:evenVBand="0" w:oddHBand="0" w:evenHBand="0" w:firstRowFirstColumn="0" w:firstRowLastColumn="0" w:lastRowFirstColumn="0" w:lastRowLastColumn="0"/>
            <w:tcW w:w="850" w:type="pct"/>
            <w:tcBorders>
              <w:left w:val="none" w:sz="0" w:space="0" w:color="auto"/>
            </w:tcBorders>
            <w:shd w:val="clear" w:color="auto" w:fill="DDEAEE"/>
          </w:tcPr>
          <w:p w14:paraId="7C2E59CF" w14:textId="77777777" w:rsidR="007C4395" w:rsidRPr="00137681" w:rsidRDefault="007C4395" w:rsidP="00137681">
            <w:pPr>
              <w:pStyle w:val="71R"/>
              <w:spacing w:line="240" w:lineRule="auto"/>
              <w:rPr>
                <w:sz w:val="15"/>
                <w:szCs w:val="15"/>
                <w:rtl/>
              </w:rPr>
            </w:pPr>
            <w:r w:rsidRPr="00137681">
              <w:rPr>
                <w:rFonts w:hint="cs"/>
                <w:sz w:val="15"/>
                <w:szCs w:val="15"/>
                <w:rtl/>
              </w:rPr>
              <w:t>משרד הבינוי והשיכון</w:t>
            </w:r>
          </w:p>
        </w:tc>
        <w:tc>
          <w:tcPr>
            <w:tcW w:w="1853" w:type="pct"/>
            <w:shd w:val="clear" w:color="auto" w:fill="DDEAEE"/>
          </w:tcPr>
          <w:p w14:paraId="19385B87" w14:textId="77777777" w:rsidR="007C4395" w:rsidRPr="00137681" w:rsidRDefault="007C4395" w:rsidP="00137681">
            <w:pPr>
              <w:pStyle w:val="71R"/>
              <w:spacing w:line="240" w:lineRule="auto"/>
              <w:cnfStyle w:val="000000100000" w:firstRow="0" w:lastRow="0" w:firstColumn="0" w:lastColumn="0" w:oddVBand="0" w:evenVBand="0" w:oddHBand="1" w:evenHBand="0" w:firstRowFirstColumn="0" w:firstRowLastColumn="0" w:lastRowFirstColumn="0" w:lastRowLastColumn="0"/>
              <w:rPr>
                <w:sz w:val="15"/>
                <w:szCs w:val="15"/>
                <w:rtl/>
              </w:rPr>
            </w:pPr>
            <w:r w:rsidRPr="00137681">
              <w:rPr>
                <w:rFonts w:hint="cs"/>
                <w:sz w:val="15"/>
                <w:szCs w:val="15"/>
                <w:rtl/>
              </w:rPr>
              <w:t>הפרשה לחובות מסופקים מחושבת באופן ספציפי בגין חובות מזוהים אשר לדעת הנהלת המשרד גבייתם מוטלת בספק. הפרשה כללית לחובות מסופקים בוצעה לפי גיל החוב</w:t>
            </w:r>
          </w:p>
        </w:tc>
        <w:tc>
          <w:tcPr>
            <w:tcW w:w="1009" w:type="pct"/>
            <w:shd w:val="clear" w:color="auto" w:fill="DDEAEE"/>
          </w:tcPr>
          <w:p w14:paraId="221C114D" w14:textId="48F0D997" w:rsidR="007C4395" w:rsidRPr="001A5F85" w:rsidRDefault="0064695A" w:rsidP="00DF233D">
            <w:pPr>
              <w:pStyle w:val="71R"/>
              <w:spacing w:line="240" w:lineRule="auto"/>
              <w:jc w:val="center"/>
              <w:cnfStyle w:val="000000100000" w:firstRow="0" w:lastRow="0" w:firstColumn="0" w:lastColumn="0" w:oddVBand="0" w:evenVBand="0" w:oddHBand="1" w:evenHBand="0" w:firstRowFirstColumn="0" w:firstRowLastColumn="0" w:lastRowFirstColumn="0" w:lastRowLastColumn="0"/>
              <w:rPr>
                <w:color w:val="FF0000"/>
                <w:sz w:val="30"/>
                <w:szCs w:val="30"/>
                <w:rtl/>
              </w:rPr>
            </w:pPr>
            <w:r w:rsidRPr="001A5F85">
              <w:rPr>
                <w:rFonts w:ascii="Chalkboard SE" w:hAnsi="Chalkboard SE"/>
                <w:color w:val="FF0000"/>
                <w:sz w:val="30"/>
                <w:szCs w:val="30"/>
              </w:rPr>
              <w:t>X</w:t>
            </w:r>
          </w:p>
        </w:tc>
        <w:tc>
          <w:tcPr>
            <w:tcW w:w="1288" w:type="pct"/>
            <w:shd w:val="clear" w:color="auto" w:fill="DDEAEE"/>
          </w:tcPr>
          <w:p w14:paraId="29D086D9" w14:textId="77777777" w:rsidR="007C4395" w:rsidRPr="00137681" w:rsidRDefault="007C4395" w:rsidP="00137681">
            <w:pPr>
              <w:pStyle w:val="71R"/>
              <w:spacing w:line="240" w:lineRule="auto"/>
              <w:cnfStyle w:val="000000100000" w:firstRow="0" w:lastRow="0" w:firstColumn="0" w:lastColumn="0" w:oddVBand="0" w:evenVBand="0" w:oddHBand="1" w:evenHBand="0" w:firstRowFirstColumn="0" w:firstRowLastColumn="0" w:lastRowFirstColumn="0" w:lastRowLastColumn="0"/>
              <w:rPr>
                <w:sz w:val="15"/>
                <w:szCs w:val="15"/>
                <w:rtl/>
              </w:rPr>
            </w:pPr>
            <w:r w:rsidRPr="00137681">
              <w:rPr>
                <w:rFonts w:hint="cs"/>
                <w:sz w:val="15"/>
                <w:szCs w:val="15"/>
                <w:rtl/>
              </w:rPr>
              <w:t>המשרד ציין שבכוונתו להתייעץ</w:t>
            </w:r>
            <w:r w:rsidRPr="00137681">
              <w:rPr>
                <w:sz w:val="15"/>
                <w:szCs w:val="15"/>
                <w:rtl/>
              </w:rPr>
              <w:t xml:space="preserve"> בנושא עם החטיבה לחשבונאות. </w:t>
            </w:r>
            <w:r w:rsidRPr="00137681">
              <w:rPr>
                <w:rFonts w:hint="cs"/>
                <w:sz w:val="15"/>
                <w:szCs w:val="15"/>
                <w:rtl/>
              </w:rPr>
              <w:t xml:space="preserve">המשרד ציין שאין הוא מעוניין </w:t>
            </w:r>
            <w:r w:rsidRPr="00137681">
              <w:rPr>
                <w:sz w:val="15"/>
                <w:szCs w:val="15"/>
                <w:rtl/>
              </w:rPr>
              <w:t>לחשוף</w:t>
            </w:r>
            <w:r w:rsidRPr="00137681">
              <w:rPr>
                <w:rFonts w:hint="cs"/>
                <w:sz w:val="15"/>
                <w:szCs w:val="15"/>
                <w:rtl/>
              </w:rPr>
              <w:t xml:space="preserve"> את נתוני הגילוי הנדרשים,</w:t>
            </w:r>
            <w:r w:rsidRPr="00137681">
              <w:rPr>
                <w:sz w:val="15"/>
                <w:szCs w:val="15"/>
                <w:rtl/>
              </w:rPr>
              <w:t xml:space="preserve"> הו</w:t>
            </w:r>
            <w:r w:rsidRPr="00137681">
              <w:rPr>
                <w:rFonts w:hint="cs"/>
                <w:sz w:val="15"/>
                <w:szCs w:val="15"/>
                <w:rtl/>
              </w:rPr>
              <w:t>איל</w:t>
            </w:r>
            <w:r w:rsidRPr="00137681">
              <w:rPr>
                <w:sz w:val="15"/>
                <w:szCs w:val="15"/>
                <w:rtl/>
              </w:rPr>
              <w:t xml:space="preserve"> והדוחות פומביים ו</w:t>
            </w:r>
            <w:r w:rsidRPr="00137681">
              <w:rPr>
                <w:rFonts w:hint="cs"/>
                <w:sz w:val="15"/>
                <w:szCs w:val="15"/>
                <w:rtl/>
              </w:rPr>
              <w:t xml:space="preserve">הגילוי </w:t>
            </w:r>
            <w:r w:rsidRPr="00137681">
              <w:rPr>
                <w:sz w:val="15"/>
                <w:szCs w:val="15"/>
                <w:rtl/>
              </w:rPr>
              <w:t>עלול לפגוע ב</w:t>
            </w:r>
            <w:r w:rsidRPr="00137681">
              <w:rPr>
                <w:rFonts w:hint="cs"/>
                <w:sz w:val="15"/>
                <w:szCs w:val="15"/>
                <w:rtl/>
              </w:rPr>
              <w:t>סיכויי ה</w:t>
            </w:r>
            <w:r w:rsidRPr="00137681">
              <w:rPr>
                <w:sz w:val="15"/>
                <w:szCs w:val="15"/>
                <w:rtl/>
              </w:rPr>
              <w:t>גבייה</w:t>
            </w:r>
          </w:p>
        </w:tc>
      </w:tr>
      <w:tr w:rsidR="00431026" w:rsidRPr="00137681" w14:paraId="4F2A21CA" w14:textId="77777777" w:rsidTr="00431026">
        <w:trPr>
          <w:trHeight w:val="1644"/>
        </w:trPr>
        <w:tc>
          <w:tcPr>
            <w:cnfStyle w:val="001000000000" w:firstRow="0" w:lastRow="0" w:firstColumn="1" w:lastColumn="0" w:oddVBand="0" w:evenVBand="0" w:oddHBand="0" w:evenHBand="0" w:firstRowFirstColumn="0" w:firstRowLastColumn="0" w:lastRowFirstColumn="0" w:lastRowLastColumn="0"/>
            <w:tcW w:w="850" w:type="pct"/>
            <w:tcBorders>
              <w:left w:val="none" w:sz="0" w:space="0" w:color="auto"/>
            </w:tcBorders>
            <w:shd w:val="clear" w:color="auto" w:fill="EEF6F7"/>
          </w:tcPr>
          <w:p w14:paraId="761ACCBA" w14:textId="77777777" w:rsidR="007C4395" w:rsidRPr="00137681" w:rsidRDefault="007C4395" w:rsidP="00137681">
            <w:pPr>
              <w:pStyle w:val="71R"/>
              <w:spacing w:line="240" w:lineRule="auto"/>
              <w:rPr>
                <w:sz w:val="15"/>
                <w:szCs w:val="15"/>
                <w:rtl/>
              </w:rPr>
            </w:pPr>
            <w:r w:rsidRPr="00137681">
              <w:rPr>
                <w:rFonts w:hint="cs"/>
                <w:sz w:val="15"/>
                <w:szCs w:val="15"/>
                <w:rtl/>
              </w:rPr>
              <w:lastRenderedPageBreak/>
              <w:t>רשות מקרקעי ישראל</w:t>
            </w:r>
          </w:p>
        </w:tc>
        <w:tc>
          <w:tcPr>
            <w:tcW w:w="1853" w:type="pct"/>
            <w:shd w:val="clear" w:color="auto" w:fill="EEF6F7"/>
          </w:tcPr>
          <w:p w14:paraId="7D2CE4B1" w14:textId="77777777" w:rsidR="007C4395" w:rsidRPr="00137681" w:rsidRDefault="007C4395" w:rsidP="00137681">
            <w:pPr>
              <w:pStyle w:val="71R"/>
              <w:spacing w:line="240" w:lineRule="auto"/>
              <w:cnfStyle w:val="000000000000" w:firstRow="0" w:lastRow="0" w:firstColumn="0" w:lastColumn="0" w:oddVBand="0" w:evenVBand="0" w:oddHBand="0" w:evenHBand="0" w:firstRowFirstColumn="0" w:firstRowLastColumn="0" w:lastRowFirstColumn="0" w:lastRowLastColumn="0"/>
              <w:rPr>
                <w:sz w:val="15"/>
                <w:szCs w:val="15"/>
              </w:rPr>
            </w:pPr>
            <w:r w:rsidRPr="00137681">
              <w:rPr>
                <w:sz w:val="15"/>
                <w:szCs w:val="15"/>
                <w:rtl/>
              </w:rPr>
              <w:t>בדוחות הכספיים בוצעה הפרשה כללית לחובות מסופקים בגין חובות אשר באופיים ובמהותם, לדעת הנהלת</w:t>
            </w:r>
            <w:r w:rsidRPr="00137681">
              <w:rPr>
                <w:rFonts w:hint="cs"/>
                <w:sz w:val="15"/>
                <w:szCs w:val="15"/>
                <w:rtl/>
              </w:rPr>
              <w:t xml:space="preserve"> הרשות, גבייתם מוטלת בספק</w:t>
            </w:r>
          </w:p>
          <w:p w14:paraId="3E4E5482" w14:textId="77777777" w:rsidR="007C4395" w:rsidRPr="00137681" w:rsidRDefault="007C4395" w:rsidP="00137681">
            <w:pPr>
              <w:pStyle w:val="71R"/>
              <w:spacing w:line="240" w:lineRule="auto"/>
              <w:cnfStyle w:val="000000000000" w:firstRow="0" w:lastRow="0" w:firstColumn="0" w:lastColumn="0" w:oddVBand="0" w:evenVBand="0" w:oddHBand="0" w:evenHBand="0" w:firstRowFirstColumn="0" w:firstRowLastColumn="0" w:lastRowFirstColumn="0" w:lastRowLastColumn="0"/>
              <w:rPr>
                <w:sz w:val="15"/>
                <w:szCs w:val="15"/>
                <w:rtl/>
              </w:rPr>
            </w:pPr>
          </w:p>
        </w:tc>
        <w:tc>
          <w:tcPr>
            <w:tcW w:w="1009" w:type="pct"/>
            <w:shd w:val="clear" w:color="auto" w:fill="EEF6F7"/>
          </w:tcPr>
          <w:p w14:paraId="5E0CE2F4" w14:textId="36BB59BE" w:rsidR="007C4395" w:rsidRPr="001A5F85" w:rsidRDefault="0064695A" w:rsidP="00DF233D">
            <w:pPr>
              <w:pStyle w:val="71R"/>
              <w:spacing w:line="240" w:lineRule="auto"/>
              <w:jc w:val="center"/>
              <w:cnfStyle w:val="000000000000" w:firstRow="0" w:lastRow="0" w:firstColumn="0" w:lastColumn="0" w:oddVBand="0" w:evenVBand="0" w:oddHBand="0" w:evenHBand="0" w:firstRowFirstColumn="0" w:firstRowLastColumn="0" w:lastRowFirstColumn="0" w:lastRowLastColumn="0"/>
              <w:rPr>
                <w:color w:val="FF0000"/>
                <w:sz w:val="30"/>
                <w:szCs w:val="30"/>
                <w:rtl/>
              </w:rPr>
            </w:pPr>
            <w:r w:rsidRPr="001A5F85">
              <w:rPr>
                <w:rFonts w:ascii="Chalkboard SE" w:hAnsi="Chalkboard SE"/>
                <w:color w:val="FF0000"/>
                <w:sz w:val="30"/>
                <w:szCs w:val="30"/>
              </w:rPr>
              <w:t>X</w:t>
            </w:r>
          </w:p>
        </w:tc>
        <w:tc>
          <w:tcPr>
            <w:tcW w:w="1288" w:type="pct"/>
            <w:shd w:val="clear" w:color="auto" w:fill="EEF6F7"/>
          </w:tcPr>
          <w:p w14:paraId="2F6BA1C7" w14:textId="77777777" w:rsidR="007C4395" w:rsidRPr="00431026" w:rsidRDefault="007C4395" w:rsidP="00137681">
            <w:pPr>
              <w:pStyle w:val="71R"/>
              <w:spacing w:line="240" w:lineRule="auto"/>
              <w:cnfStyle w:val="000000000000" w:firstRow="0" w:lastRow="0" w:firstColumn="0" w:lastColumn="0" w:oddVBand="0" w:evenVBand="0" w:oddHBand="0" w:evenHBand="0" w:firstRowFirstColumn="0" w:firstRowLastColumn="0" w:lastRowFirstColumn="0" w:lastRowLastColumn="0"/>
              <w:rPr>
                <w:spacing w:val="-4"/>
                <w:sz w:val="15"/>
                <w:szCs w:val="15"/>
                <w:rtl/>
              </w:rPr>
            </w:pPr>
            <w:r w:rsidRPr="00431026">
              <w:rPr>
                <w:rFonts w:hint="cs"/>
                <w:spacing w:val="-4"/>
                <w:sz w:val="15"/>
                <w:szCs w:val="15"/>
                <w:rtl/>
              </w:rPr>
              <w:t>הרשות ציינה, כפי שאף מופיע בביאורים בדוחות הכספיים, שנתוני החייבים בדוחות הכספיים אינם בהכרח משקפים את החובות כלפי הרשות בשל מגבלות מובנות במערכות הרשות לניהול חייבים</w:t>
            </w:r>
          </w:p>
        </w:tc>
      </w:tr>
      <w:tr w:rsidR="001A5F85" w:rsidRPr="00137681" w14:paraId="7D8F64A6" w14:textId="77777777" w:rsidTr="00431026">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850" w:type="pct"/>
            <w:tcBorders>
              <w:left w:val="none" w:sz="0" w:space="0" w:color="auto"/>
            </w:tcBorders>
            <w:shd w:val="clear" w:color="auto" w:fill="DDEAEE"/>
          </w:tcPr>
          <w:p w14:paraId="1E5F1BB3" w14:textId="77777777" w:rsidR="007C4395" w:rsidRPr="00137681" w:rsidRDefault="007C4395" w:rsidP="00137681">
            <w:pPr>
              <w:pStyle w:val="71R"/>
              <w:spacing w:line="240" w:lineRule="auto"/>
              <w:rPr>
                <w:sz w:val="15"/>
                <w:szCs w:val="15"/>
                <w:rtl/>
              </w:rPr>
            </w:pPr>
            <w:r w:rsidRPr="00137681">
              <w:rPr>
                <w:rFonts w:hint="cs"/>
                <w:sz w:val="15"/>
                <w:szCs w:val="15"/>
                <w:rtl/>
              </w:rPr>
              <w:t>משרד התחבורה והבטיחות בדרכים</w:t>
            </w:r>
          </w:p>
        </w:tc>
        <w:tc>
          <w:tcPr>
            <w:tcW w:w="1853" w:type="pct"/>
            <w:shd w:val="clear" w:color="auto" w:fill="DDEAEE"/>
          </w:tcPr>
          <w:p w14:paraId="41B66949" w14:textId="77777777" w:rsidR="007C4395" w:rsidRPr="00137681" w:rsidRDefault="007C4395" w:rsidP="00137681">
            <w:pPr>
              <w:pStyle w:val="71R"/>
              <w:spacing w:line="240" w:lineRule="auto"/>
              <w:cnfStyle w:val="000000100000" w:firstRow="0" w:lastRow="0" w:firstColumn="0" w:lastColumn="0" w:oddVBand="0" w:evenVBand="0" w:oddHBand="1" w:evenHBand="0" w:firstRowFirstColumn="0" w:firstRowLastColumn="0" w:lastRowFirstColumn="0" w:lastRowLastColumn="0"/>
              <w:rPr>
                <w:sz w:val="15"/>
                <w:szCs w:val="15"/>
                <w:rtl/>
              </w:rPr>
            </w:pPr>
            <w:r w:rsidRPr="00137681">
              <w:rPr>
                <w:rFonts w:hint="cs"/>
                <w:sz w:val="15"/>
                <w:szCs w:val="15"/>
                <w:rtl/>
              </w:rPr>
              <w:t>ההפרשה לחובות מסופקים מחושבת באופן ספציפי בגין חובות מזוהים אשר לדעת הנהלת המשרד גבייתם מוטלת בספק</w:t>
            </w:r>
          </w:p>
        </w:tc>
        <w:tc>
          <w:tcPr>
            <w:tcW w:w="1009" w:type="pct"/>
            <w:shd w:val="clear" w:color="auto" w:fill="DDEAEE"/>
          </w:tcPr>
          <w:p w14:paraId="0DF1E565" w14:textId="4BFF7CE5" w:rsidR="007C4395" w:rsidRPr="001A5F85" w:rsidRDefault="0064695A" w:rsidP="00DF233D">
            <w:pPr>
              <w:pStyle w:val="71R"/>
              <w:spacing w:line="240" w:lineRule="auto"/>
              <w:jc w:val="center"/>
              <w:cnfStyle w:val="000000100000" w:firstRow="0" w:lastRow="0" w:firstColumn="0" w:lastColumn="0" w:oddVBand="0" w:evenVBand="0" w:oddHBand="1" w:evenHBand="0" w:firstRowFirstColumn="0" w:firstRowLastColumn="0" w:lastRowFirstColumn="0" w:lastRowLastColumn="0"/>
              <w:rPr>
                <w:color w:val="FF0000"/>
                <w:sz w:val="30"/>
                <w:szCs w:val="30"/>
                <w:rtl/>
              </w:rPr>
            </w:pPr>
            <w:r w:rsidRPr="001A5F85">
              <w:rPr>
                <w:rFonts w:ascii="Chalkboard SE" w:hAnsi="Chalkboard SE"/>
                <w:color w:val="FF0000"/>
                <w:sz w:val="30"/>
                <w:szCs w:val="30"/>
              </w:rPr>
              <w:t>X</w:t>
            </w:r>
          </w:p>
        </w:tc>
        <w:tc>
          <w:tcPr>
            <w:tcW w:w="1288" w:type="pct"/>
            <w:shd w:val="clear" w:color="auto" w:fill="DDEAEE"/>
          </w:tcPr>
          <w:p w14:paraId="13FA1F4C" w14:textId="77777777" w:rsidR="007C4395" w:rsidRPr="00137681" w:rsidRDefault="007C4395" w:rsidP="00137681">
            <w:pPr>
              <w:pStyle w:val="71R"/>
              <w:spacing w:line="240" w:lineRule="auto"/>
              <w:cnfStyle w:val="000000100000" w:firstRow="0" w:lastRow="0" w:firstColumn="0" w:lastColumn="0" w:oddVBand="0" w:evenVBand="0" w:oddHBand="1" w:evenHBand="0" w:firstRowFirstColumn="0" w:firstRowLastColumn="0" w:lastRowFirstColumn="0" w:lastRowLastColumn="0"/>
              <w:rPr>
                <w:sz w:val="15"/>
                <w:szCs w:val="15"/>
                <w:rtl/>
              </w:rPr>
            </w:pPr>
            <w:r w:rsidRPr="00137681">
              <w:rPr>
                <w:rFonts w:hint="cs"/>
                <w:sz w:val="15"/>
                <w:szCs w:val="15"/>
                <w:rtl/>
              </w:rPr>
              <w:t>המשרד ציין שביחס לכלל החובות הכספיים של המשרד, סך כל ההפרשה של החובות המסופקים אינו מהותי</w:t>
            </w:r>
          </w:p>
        </w:tc>
      </w:tr>
      <w:tr w:rsidR="00431026" w:rsidRPr="00137681" w14:paraId="1786E992" w14:textId="77777777" w:rsidTr="00431026">
        <w:trPr>
          <w:trHeight w:val="2381"/>
        </w:trPr>
        <w:tc>
          <w:tcPr>
            <w:cnfStyle w:val="001000000000" w:firstRow="0" w:lastRow="0" w:firstColumn="1" w:lastColumn="0" w:oddVBand="0" w:evenVBand="0" w:oddHBand="0" w:evenHBand="0" w:firstRowFirstColumn="0" w:firstRowLastColumn="0" w:lastRowFirstColumn="0" w:lastRowLastColumn="0"/>
            <w:tcW w:w="850" w:type="pct"/>
            <w:tcBorders>
              <w:left w:val="none" w:sz="0" w:space="0" w:color="auto"/>
            </w:tcBorders>
            <w:shd w:val="clear" w:color="auto" w:fill="EEF6F7"/>
          </w:tcPr>
          <w:p w14:paraId="01151D6F" w14:textId="77777777" w:rsidR="007C4395" w:rsidRPr="00137681" w:rsidRDefault="007C4395" w:rsidP="00137681">
            <w:pPr>
              <w:pStyle w:val="71R"/>
              <w:spacing w:line="240" w:lineRule="auto"/>
              <w:rPr>
                <w:sz w:val="15"/>
                <w:szCs w:val="15"/>
              </w:rPr>
            </w:pPr>
            <w:r w:rsidRPr="00137681">
              <w:rPr>
                <w:rFonts w:hint="cs"/>
                <w:sz w:val="15"/>
                <w:szCs w:val="15"/>
                <w:rtl/>
              </w:rPr>
              <w:t>משרד הבריאות</w:t>
            </w:r>
          </w:p>
        </w:tc>
        <w:tc>
          <w:tcPr>
            <w:tcW w:w="1853" w:type="pct"/>
            <w:shd w:val="clear" w:color="auto" w:fill="EEF6F7"/>
          </w:tcPr>
          <w:p w14:paraId="2216D8CF" w14:textId="77777777" w:rsidR="007C4395" w:rsidRPr="00137681" w:rsidRDefault="007C4395" w:rsidP="00137681">
            <w:pPr>
              <w:pStyle w:val="71R"/>
              <w:spacing w:line="240" w:lineRule="auto"/>
              <w:cnfStyle w:val="000000000000" w:firstRow="0" w:lastRow="0" w:firstColumn="0" w:lastColumn="0" w:oddVBand="0" w:evenVBand="0" w:oddHBand="0" w:evenHBand="0" w:firstRowFirstColumn="0" w:firstRowLastColumn="0" w:lastRowFirstColumn="0" w:lastRowLastColumn="0"/>
              <w:rPr>
                <w:sz w:val="15"/>
                <w:szCs w:val="15"/>
                <w:rtl/>
              </w:rPr>
            </w:pPr>
            <w:r w:rsidRPr="00137681">
              <w:rPr>
                <w:rFonts w:hint="cs"/>
                <w:sz w:val="15"/>
                <w:szCs w:val="15"/>
                <w:rtl/>
              </w:rPr>
              <w:t xml:space="preserve">חובות ספציפיים בגין חובות מזוהים אשר לדעת הנהלת הישות והנהלות המרכזים הרפואיים גבייתם מוטלת בספק מופרשים במלואם. בגין יתרת החובות יש הפרשה כללית המחושבת בהתאם לניסיון העבר של הישות ובהתאם לאחוזים הרשומים בהוראת </w:t>
            </w:r>
            <w:proofErr w:type="spellStart"/>
            <w:r w:rsidRPr="00137681">
              <w:rPr>
                <w:rFonts w:hint="cs"/>
                <w:sz w:val="15"/>
                <w:szCs w:val="15"/>
                <w:rtl/>
              </w:rPr>
              <w:t>התכ"ם</w:t>
            </w:r>
            <w:proofErr w:type="spellEnd"/>
            <w:r w:rsidRPr="00137681">
              <w:rPr>
                <w:rFonts w:hint="cs"/>
                <w:sz w:val="15"/>
                <w:szCs w:val="15"/>
                <w:rtl/>
              </w:rPr>
              <w:t>. בגין חייבים אחרים בוצעו הפרשות נוספות לחובות מסופקים בגין יתרות חייבים מעסקאות חליפין אשר חושבו בחלקן באופן ספציפי ובחלקן בהתאם לאומדן</w:t>
            </w:r>
          </w:p>
        </w:tc>
        <w:tc>
          <w:tcPr>
            <w:tcW w:w="1009" w:type="pct"/>
            <w:shd w:val="clear" w:color="auto" w:fill="EEF6F7"/>
          </w:tcPr>
          <w:p w14:paraId="61883A7D" w14:textId="4D2977E0" w:rsidR="007C4395" w:rsidRPr="001A5F85" w:rsidRDefault="0064695A" w:rsidP="00DF233D">
            <w:pPr>
              <w:pStyle w:val="71R"/>
              <w:spacing w:line="240" w:lineRule="auto"/>
              <w:jc w:val="center"/>
              <w:cnfStyle w:val="000000000000" w:firstRow="0" w:lastRow="0" w:firstColumn="0" w:lastColumn="0" w:oddVBand="0" w:evenVBand="0" w:oddHBand="0" w:evenHBand="0" w:firstRowFirstColumn="0" w:firstRowLastColumn="0" w:lastRowFirstColumn="0" w:lastRowLastColumn="0"/>
              <w:rPr>
                <w:sz w:val="30"/>
                <w:szCs w:val="30"/>
                <w:rtl/>
              </w:rPr>
            </w:pPr>
            <w:r w:rsidRPr="001A5F85">
              <w:rPr>
                <w:rFonts w:ascii="Chalkboard SE" w:hAnsi="Chalkboard SE"/>
                <w:color w:val="FF0000"/>
                <w:sz w:val="30"/>
                <w:szCs w:val="30"/>
              </w:rPr>
              <w:t>X</w:t>
            </w:r>
          </w:p>
        </w:tc>
        <w:tc>
          <w:tcPr>
            <w:tcW w:w="1288" w:type="pct"/>
            <w:shd w:val="clear" w:color="auto" w:fill="EEF6F7"/>
          </w:tcPr>
          <w:p w14:paraId="4238C914" w14:textId="77777777" w:rsidR="007C4395" w:rsidRPr="00431026" w:rsidRDefault="007C4395" w:rsidP="00137681">
            <w:pPr>
              <w:pStyle w:val="71R"/>
              <w:spacing w:line="240" w:lineRule="auto"/>
              <w:cnfStyle w:val="000000000000" w:firstRow="0" w:lastRow="0" w:firstColumn="0" w:lastColumn="0" w:oddVBand="0" w:evenVBand="0" w:oddHBand="0" w:evenHBand="0" w:firstRowFirstColumn="0" w:firstRowLastColumn="0" w:lastRowFirstColumn="0" w:lastRowLastColumn="0"/>
              <w:rPr>
                <w:spacing w:val="-2"/>
                <w:sz w:val="15"/>
                <w:szCs w:val="15"/>
                <w:rtl/>
              </w:rPr>
            </w:pPr>
            <w:r w:rsidRPr="00431026">
              <w:rPr>
                <w:rFonts w:hint="cs"/>
                <w:spacing w:val="-2"/>
                <w:sz w:val="15"/>
                <w:szCs w:val="15"/>
                <w:rtl/>
              </w:rPr>
              <w:t>המשרד ציין ש</w:t>
            </w:r>
            <w:r w:rsidRPr="00431026">
              <w:rPr>
                <w:spacing w:val="-2"/>
                <w:sz w:val="15"/>
                <w:szCs w:val="15"/>
                <w:rtl/>
              </w:rPr>
              <w:t xml:space="preserve">ההוראות </w:t>
            </w:r>
            <w:r w:rsidRPr="00431026">
              <w:rPr>
                <w:rFonts w:hint="cs"/>
                <w:spacing w:val="-2"/>
                <w:sz w:val="15"/>
                <w:szCs w:val="15"/>
                <w:rtl/>
              </w:rPr>
              <w:t>נוגע</w:t>
            </w:r>
            <w:r w:rsidRPr="00431026">
              <w:rPr>
                <w:spacing w:val="-2"/>
                <w:sz w:val="15"/>
                <w:szCs w:val="15"/>
                <w:rtl/>
              </w:rPr>
              <w:t>ות</w:t>
            </w:r>
            <w:r w:rsidRPr="00431026">
              <w:rPr>
                <w:rFonts w:hint="cs"/>
                <w:spacing w:val="-2"/>
                <w:sz w:val="15"/>
                <w:szCs w:val="15"/>
                <w:rtl/>
              </w:rPr>
              <w:t xml:space="preserve"> </w:t>
            </w:r>
            <w:r w:rsidRPr="00431026">
              <w:rPr>
                <w:spacing w:val="-2"/>
                <w:sz w:val="15"/>
                <w:szCs w:val="15"/>
                <w:rtl/>
              </w:rPr>
              <w:t xml:space="preserve">בעיקרן להפרשות פרטניות ולא </w:t>
            </w:r>
            <w:r w:rsidRPr="00431026">
              <w:rPr>
                <w:rFonts w:hint="cs"/>
                <w:spacing w:val="-2"/>
                <w:sz w:val="15"/>
                <w:szCs w:val="15"/>
                <w:rtl/>
              </w:rPr>
              <w:t>להפרשות</w:t>
            </w:r>
            <w:r w:rsidRPr="00431026">
              <w:rPr>
                <w:spacing w:val="-2"/>
                <w:sz w:val="15"/>
                <w:szCs w:val="15"/>
                <w:rtl/>
              </w:rPr>
              <w:t xml:space="preserve"> </w:t>
            </w:r>
            <w:r w:rsidRPr="00431026">
              <w:rPr>
                <w:rFonts w:hint="cs"/>
                <w:spacing w:val="-2"/>
                <w:sz w:val="15"/>
                <w:szCs w:val="15"/>
                <w:rtl/>
              </w:rPr>
              <w:t xml:space="preserve">על </w:t>
            </w:r>
            <w:r w:rsidRPr="00431026">
              <w:rPr>
                <w:spacing w:val="-2"/>
                <w:sz w:val="15"/>
                <w:szCs w:val="15"/>
                <w:rtl/>
              </w:rPr>
              <w:t>בסיס אומדנים</w:t>
            </w:r>
            <w:r w:rsidRPr="00431026">
              <w:rPr>
                <w:rFonts w:hint="cs"/>
                <w:spacing w:val="-2"/>
                <w:sz w:val="15"/>
                <w:szCs w:val="15"/>
                <w:rtl/>
              </w:rPr>
              <w:t>,</w:t>
            </w:r>
            <w:r w:rsidRPr="00431026">
              <w:rPr>
                <w:spacing w:val="-2"/>
                <w:sz w:val="15"/>
                <w:szCs w:val="15"/>
                <w:rtl/>
              </w:rPr>
              <w:t xml:space="preserve"> ואילו ההפרשה בדוחות הכספיים כוללת חוב אחד בלבד המנוהל באופן פרטני. </w:t>
            </w:r>
            <w:r w:rsidRPr="00431026">
              <w:rPr>
                <w:rFonts w:hint="cs"/>
                <w:spacing w:val="-2"/>
                <w:sz w:val="15"/>
                <w:szCs w:val="15"/>
                <w:rtl/>
              </w:rPr>
              <w:t xml:space="preserve">המשרד ציין שאגף </w:t>
            </w:r>
            <w:proofErr w:type="spellStart"/>
            <w:r w:rsidRPr="00431026">
              <w:rPr>
                <w:rFonts w:hint="cs"/>
                <w:spacing w:val="-2"/>
                <w:sz w:val="15"/>
                <w:szCs w:val="15"/>
                <w:rtl/>
              </w:rPr>
              <w:t>ה</w:t>
            </w:r>
            <w:r w:rsidRPr="00431026">
              <w:rPr>
                <w:spacing w:val="-2"/>
                <w:sz w:val="15"/>
                <w:szCs w:val="15"/>
                <w:rtl/>
              </w:rPr>
              <w:t>חשבות</w:t>
            </w:r>
            <w:proofErr w:type="spellEnd"/>
            <w:r w:rsidRPr="00431026">
              <w:rPr>
                <w:spacing w:val="-2"/>
                <w:sz w:val="15"/>
                <w:szCs w:val="15"/>
                <w:rtl/>
              </w:rPr>
              <w:t xml:space="preserve"> </w:t>
            </w:r>
            <w:r w:rsidRPr="00431026">
              <w:rPr>
                <w:rFonts w:hint="cs"/>
                <w:spacing w:val="-2"/>
                <w:sz w:val="15"/>
                <w:szCs w:val="15"/>
                <w:rtl/>
              </w:rPr>
              <w:t>ב</w:t>
            </w:r>
            <w:r w:rsidRPr="00431026">
              <w:rPr>
                <w:spacing w:val="-2"/>
                <w:sz w:val="15"/>
                <w:szCs w:val="15"/>
                <w:rtl/>
              </w:rPr>
              <w:t xml:space="preserve">משרד פועל לבחינת אופן רישום החובות האבודים </w:t>
            </w:r>
            <w:r w:rsidRPr="00431026">
              <w:rPr>
                <w:rFonts w:hint="cs"/>
                <w:spacing w:val="-2"/>
                <w:sz w:val="15"/>
                <w:szCs w:val="15"/>
                <w:rtl/>
              </w:rPr>
              <w:t>ב</w:t>
            </w:r>
            <w:r w:rsidRPr="00431026">
              <w:rPr>
                <w:spacing w:val="-2"/>
                <w:sz w:val="15"/>
                <w:szCs w:val="15"/>
                <w:rtl/>
              </w:rPr>
              <w:t xml:space="preserve">ידי </w:t>
            </w:r>
            <w:r w:rsidRPr="00431026">
              <w:rPr>
                <w:rFonts w:hint="cs"/>
                <w:spacing w:val="-2"/>
                <w:sz w:val="15"/>
                <w:szCs w:val="15"/>
                <w:rtl/>
              </w:rPr>
              <w:t>הגזבריות</w:t>
            </w:r>
            <w:r w:rsidRPr="00431026">
              <w:rPr>
                <w:spacing w:val="-2"/>
                <w:sz w:val="15"/>
                <w:szCs w:val="15"/>
                <w:rtl/>
              </w:rPr>
              <w:t xml:space="preserve"> </w:t>
            </w:r>
            <w:r w:rsidRPr="00431026">
              <w:rPr>
                <w:rFonts w:hint="cs"/>
                <w:spacing w:val="-2"/>
                <w:sz w:val="15"/>
                <w:szCs w:val="15"/>
                <w:rtl/>
              </w:rPr>
              <w:t>במשרד</w:t>
            </w:r>
          </w:p>
        </w:tc>
      </w:tr>
      <w:tr w:rsidR="001A5F85" w:rsidRPr="00137681" w14:paraId="46CB64B0" w14:textId="77777777" w:rsidTr="00431026">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850" w:type="pct"/>
            <w:tcBorders>
              <w:left w:val="none" w:sz="0" w:space="0" w:color="auto"/>
            </w:tcBorders>
            <w:shd w:val="clear" w:color="auto" w:fill="DDEAEE"/>
          </w:tcPr>
          <w:p w14:paraId="2DBB4FB2" w14:textId="77777777" w:rsidR="007C4395" w:rsidRPr="00137681" w:rsidRDefault="007C4395" w:rsidP="00137681">
            <w:pPr>
              <w:pStyle w:val="71R"/>
              <w:spacing w:line="240" w:lineRule="auto"/>
              <w:rPr>
                <w:sz w:val="15"/>
                <w:szCs w:val="15"/>
                <w:rtl/>
              </w:rPr>
            </w:pPr>
            <w:r w:rsidRPr="00137681">
              <w:rPr>
                <w:rFonts w:hint="cs"/>
                <w:sz w:val="15"/>
                <w:szCs w:val="15"/>
                <w:rtl/>
              </w:rPr>
              <w:t xml:space="preserve">משרד </w:t>
            </w:r>
            <w:proofErr w:type="spellStart"/>
            <w:r w:rsidRPr="00137681">
              <w:rPr>
                <w:rFonts w:hint="cs"/>
                <w:sz w:val="15"/>
                <w:szCs w:val="15"/>
                <w:rtl/>
              </w:rPr>
              <w:t>האנרגייה</w:t>
            </w:r>
            <w:proofErr w:type="spellEnd"/>
          </w:p>
        </w:tc>
        <w:tc>
          <w:tcPr>
            <w:tcW w:w="1853" w:type="pct"/>
            <w:shd w:val="clear" w:color="auto" w:fill="DDEAEE"/>
          </w:tcPr>
          <w:p w14:paraId="05ED2859" w14:textId="77777777" w:rsidR="007C4395" w:rsidRPr="00137681" w:rsidRDefault="007C4395" w:rsidP="00137681">
            <w:pPr>
              <w:pStyle w:val="71R"/>
              <w:spacing w:line="240" w:lineRule="auto"/>
              <w:cnfStyle w:val="000000100000" w:firstRow="0" w:lastRow="0" w:firstColumn="0" w:lastColumn="0" w:oddVBand="0" w:evenVBand="0" w:oddHBand="1" w:evenHBand="0" w:firstRowFirstColumn="0" w:firstRowLastColumn="0" w:lastRowFirstColumn="0" w:lastRowLastColumn="0"/>
              <w:rPr>
                <w:sz w:val="15"/>
                <w:szCs w:val="15"/>
                <w:rtl/>
              </w:rPr>
            </w:pPr>
            <w:r w:rsidRPr="00137681">
              <w:rPr>
                <w:rFonts w:hint="cs"/>
                <w:sz w:val="15"/>
                <w:szCs w:val="15"/>
                <w:rtl/>
              </w:rPr>
              <w:t>ההפרשה לחובות מסופקים מחושבת באופן ספציפי בגין חובות מזוהים אשר לדעת הנהלת המשרד גבייתם מוטלת בספק</w:t>
            </w:r>
          </w:p>
        </w:tc>
        <w:tc>
          <w:tcPr>
            <w:tcW w:w="1009" w:type="pct"/>
            <w:shd w:val="clear" w:color="auto" w:fill="DDEAEE"/>
          </w:tcPr>
          <w:p w14:paraId="76319926" w14:textId="59C2AF32" w:rsidR="007C4395" w:rsidRPr="001A5F85" w:rsidRDefault="0064695A" w:rsidP="00DF233D">
            <w:pPr>
              <w:pStyle w:val="71R"/>
              <w:spacing w:line="240" w:lineRule="auto"/>
              <w:jc w:val="center"/>
              <w:cnfStyle w:val="000000100000" w:firstRow="0" w:lastRow="0" w:firstColumn="0" w:lastColumn="0" w:oddVBand="0" w:evenVBand="0" w:oddHBand="1" w:evenHBand="0" w:firstRowFirstColumn="0" w:firstRowLastColumn="0" w:lastRowFirstColumn="0" w:lastRowLastColumn="0"/>
              <w:rPr>
                <w:color w:val="FF0000"/>
                <w:sz w:val="30"/>
                <w:szCs w:val="30"/>
                <w:rtl/>
              </w:rPr>
            </w:pPr>
            <w:r w:rsidRPr="001A5F85">
              <w:rPr>
                <w:rFonts w:ascii="Chalkboard SE" w:hAnsi="Chalkboard SE"/>
                <w:color w:val="FF0000"/>
                <w:sz w:val="30"/>
                <w:szCs w:val="30"/>
              </w:rPr>
              <w:t>X</w:t>
            </w:r>
          </w:p>
        </w:tc>
        <w:tc>
          <w:tcPr>
            <w:tcW w:w="1288" w:type="pct"/>
            <w:shd w:val="clear" w:color="auto" w:fill="DDEAEE"/>
          </w:tcPr>
          <w:p w14:paraId="67CD3732" w14:textId="77777777" w:rsidR="007C4395" w:rsidRPr="00137681" w:rsidRDefault="007C4395" w:rsidP="00137681">
            <w:pPr>
              <w:pStyle w:val="71R"/>
              <w:spacing w:line="240" w:lineRule="auto"/>
              <w:cnfStyle w:val="000000100000" w:firstRow="0" w:lastRow="0" w:firstColumn="0" w:lastColumn="0" w:oddVBand="0" w:evenVBand="0" w:oddHBand="1" w:evenHBand="0" w:firstRowFirstColumn="0" w:firstRowLastColumn="0" w:lastRowFirstColumn="0" w:lastRowLastColumn="0"/>
              <w:rPr>
                <w:sz w:val="15"/>
                <w:szCs w:val="15"/>
                <w:rtl/>
              </w:rPr>
            </w:pPr>
          </w:p>
        </w:tc>
      </w:tr>
      <w:tr w:rsidR="00431026" w:rsidRPr="00137681" w14:paraId="228036DA" w14:textId="77777777" w:rsidTr="00431026">
        <w:trPr>
          <w:trHeight w:val="987"/>
        </w:trPr>
        <w:tc>
          <w:tcPr>
            <w:cnfStyle w:val="001000000000" w:firstRow="0" w:lastRow="0" w:firstColumn="1" w:lastColumn="0" w:oddVBand="0" w:evenVBand="0" w:oddHBand="0" w:evenHBand="0" w:firstRowFirstColumn="0" w:firstRowLastColumn="0" w:lastRowFirstColumn="0" w:lastRowLastColumn="0"/>
            <w:tcW w:w="850" w:type="pct"/>
            <w:tcBorders>
              <w:left w:val="none" w:sz="0" w:space="0" w:color="auto"/>
            </w:tcBorders>
            <w:shd w:val="clear" w:color="auto" w:fill="EEF6F7"/>
          </w:tcPr>
          <w:p w14:paraId="03E28085" w14:textId="77777777" w:rsidR="007C4395" w:rsidRPr="00137681" w:rsidRDefault="007C4395" w:rsidP="00137681">
            <w:pPr>
              <w:pStyle w:val="71R"/>
              <w:spacing w:line="240" w:lineRule="auto"/>
              <w:rPr>
                <w:sz w:val="15"/>
                <w:szCs w:val="15"/>
                <w:rtl/>
              </w:rPr>
            </w:pPr>
            <w:r w:rsidRPr="00137681">
              <w:rPr>
                <w:rFonts w:hint="cs"/>
                <w:sz w:val="15"/>
                <w:szCs w:val="15"/>
                <w:rtl/>
              </w:rPr>
              <w:t>הרשות הממשלתית למים ולביוב</w:t>
            </w:r>
          </w:p>
        </w:tc>
        <w:tc>
          <w:tcPr>
            <w:tcW w:w="1853" w:type="pct"/>
            <w:shd w:val="clear" w:color="auto" w:fill="EEF6F7"/>
          </w:tcPr>
          <w:p w14:paraId="236913DC" w14:textId="77777777" w:rsidR="007C4395" w:rsidRPr="00137681" w:rsidRDefault="007C4395" w:rsidP="00137681">
            <w:pPr>
              <w:pStyle w:val="71R"/>
              <w:spacing w:line="240" w:lineRule="auto"/>
              <w:cnfStyle w:val="000000000000" w:firstRow="0" w:lastRow="0" w:firstColumn="0" w:lastColumn="0" w:oddVBand="0" w:evenVBand="0" w:oddHBand="0" w:evenHBand="0" w:firstRowFirstColumn="0" w:firstRowLastColumn="0" w:lastRowFirstColumn="0" w:lastRowLastColumn="0"/>
              <w:rPr>
                <w:sz w:val="15"/>
                <w:szCs w:val="15"/>
                <w:rtl/>
              </w:rPr>
            </w:pPr>
            <w:r w:rsidRPr="00137681">
              <w:rPr>
                <w:rFonts w:hint="cs"/>
                <w:sz w:val="15"/>
                <w:szCs w:val="15"/>
                <w:rtl/>
              </w:rPr>
              <w:t xml:space="preserve">הפרשה לחובות מסופקים מחושבת באופן ספציפי בגין חובות מזוהים אשר לדעת הנהלת הרשות גבייתם מוטלת בספק. הפרשה כללית היא בהתאם למדיניות שקבעה הנהלת הרשות בהתאם לגיל החוב ובהתאם להוראות </w:t>
            </w:r>
            <w:proofErr w:type="spellStart"/>
            <w:r w:rsidRPr="00137681">
              <w:rPr>
                <w:rFonts w:hint="cs"/>
                <w:sz w:val="15"/>
                <w:szCs w:val="15"/>
                <w:rtl/>
              </w:rPr>
              <w:t>התכ"ם</w:t>
            </w:r>
            <w:proofErr w:type="spellEnd"/>
          </w:p>
        </w:tc>
        <w:tc>
          <w:tcPr>
            <w:tcW w:w="1009" w:type="pct"/>
            <w:shd w:val="clear" w:color="auto" w:fill="EEF6F7"/>
          </w:tcPr>
          <w:p w14:paraId="112B927A" w14:textId="3C9516C7" w:rsidR="007C4395" w:rsidRPr="001A5F85" w:rsidRDefault="0064695A" w:rsidP="00DF233D">
            <w:pPr>
              <w:pStyle w:val="71R"/>
              <w:spacing w:line="240" w:lineRule="auto"/>
              <w:jc w:val="center"/>
              <w:cnfStyle w:val="000000000000" w:firstRow="0" w:lastRow="0" w:firstColumn="0" w:lastColumn="0" w:oddVBand="0" w:evenVBand="0" w:oddHBand="0" w:evenHBand="0" w:firstRowFirstColumn="0" w:firstRowLastColumn="0" w:lastRowFirstColumn="0" w:lastRowLastColumn="0"/>
              <w:rPr>
                <w:color w:val="FF0000"/>
                <w:sz w:val="30"/>
                <w:szCs w:val="30"/>
                <w:rtl/>
              </w:rPr>
            </w:pPr>
            <w:r w:rsidRPr="001A5F85">
              <w:rPr>
                <w:rFonts w:ascii="Chalkboard SE" w:hAnsi="Chalkboard SE"/>
                <w:color w:val="FF0000"/>
                <w:sz w:val="30"/>
                <w:szCs w:val="30"/>
              </w:rPr>
              <w:t>X</w:t>
            </w:r>
          </w:p>
        </w:tc>
        <w:tc>
          <w:tcPr>
            <w:tcW w:w="1288" w:type="pct"/>
            <w:shd w:val="clear" w:color="auto" w:fill="EEF6F7"/>
          </w:tcPr>
          <w:p w14:paraId="4F9F0499" w14:textId="77777777" w:rsidR="007C4395" w:rsidRPr="00137681" w:rsidRDefault="007C4395" w:rsidP="00137681">
            <w:pPr>
              <w:pStyle w:val="71R"/>
              <w:spacing w:line="240" w:lineRule="auto"/>
              <w:cnfStyle w:val="000000000000" w:firstRow="0" w:lastRow="0" w:firstColumn="0" w:lastColumn="0" w:oddVBand="0" w:evenVBand="0" w:oddHBand="0" w:evenHBand="0" w:firstRowFirstColumn="0" w:firstRowLastColumn="0" w:lastRowFirstColumn="0" w:lastRowLastColumn="0"/>
              <w:rPr>
                <w:sz w:val="15"/>
                <w:szCs w:val="15"/>
                <w:rtl/>
              </w:rPr>
            </w:pPr>
            <w:r w:rsidRPr="00137681">
              <w:rPr>
                <w:rFonts w:hint="cs"/>
                <w:sz w:val="15"/>
                <w:szCs w:val="15"/>
                <w:rtl/>
              </w:rPr>
              <w:t>המשרד ציין ש</w:t>
            </w:r>
            <w:r w:rsidRPr="00137681">
              <w:rPr>
                <w:sz w:val="15"/>
                <w:szCs w:val="15"/>
                <w:rtl/>
              </w:rPr>
              <w:t>יינתן גילוי</w:t>
            </w:r>
            <w:r w:rsidRPr="00137681">
              <w:rPr>
                <w:rFonts w:hint="cs"/>
                <w:sz w:val="15"/>
                <w:szCs w:val="15"/>
                <w:rtl/>
              </w:rPr>
              <w:t xml:space="preserve"> </w:t>
            </w:r>
            <w:r w:rsidRPr="00137681">
              <w:rPr>
                <w:sz w:val="15"/>
                <w:szCs w:val="15"/>
                <w:rtl/>
              </w:rPr>
              <w:t>מפורט יותר</w:t>
            </w:r>
            <w:r w:rsidRPr="00137681">
              <w:rPr>
                <w:rFonts w:hint="cs"/>
                <w:sz w:val="15"/>
                <w:szCs w:val="15"/>
                <w:rtl/>
              </w:rPr>
              <w:t xml:space="preserve"> ככל שיידרש</w:t>
            </w:r>
          </w:p>
        </w:tc>
      </w:tr>
      <w:tr w:rsidR="001A5F85" w:rsidRPr="00137681" w14:paraId="08C056DA" w14:textId="77777777" w:rsidTr="00431026">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850" w:type="pct"/>
            <w:tcBorders>
              <w:left w:val="none" w:sz="0" w:space="0" w:color="auto"/>
            </w:tcBorders>
            <w:shd w:val="clear" w:color="auto" w:fill="DDEAEE"/>
          </w:tcPr>
          <w:p w14:paraId="2BC517CC" w14:textId="77777777" w:rsidR="007C4395" w:rsidRPr="00137681" w:rsidRDefault="007C4395" w:rsidP="00137681">
            <w:pPr>
              <w:pStyle w:val="71R"/>
              <w:spacing w:line="240" w:lineRule="auto"/>
              <w:rPr>
                <w:sz w:val="15"/>
                <w:szCs w:val="15"/>
                <w:rtl/>
              </w:rPr>
            </w:pPr>
            <w:r w:rsidRPr="00137681">
              <w:rPr>
                <w:rFonts w:hint="cs"/>
                <w:sz w:val="15"/>
                <w:szCs w:val="15"/>
                <w:rtl/>
              </w:rPr>
              <w:t>משרד החינוך</w:t>
            </w:r>
          </w:p>
        </w:tc>
        <w:tc>
          <w:tcPr>
            <w:tcW w:w="1853" w:type="pct"/>
            <w:shd w:val="clear" w:color="auto" w:fill="DDEAEE"/>
          </w:tcPr>
          <w:p w14:paraId="432EB557" w14:textId="77777777" w:rsidR="007C4395" w:rsidRPr="00137681" w:rsidRDefault="007C4395" w:rsidP="00137681">
            <w:pPr>
              <w:pStyle w:val="71R"/>
              <w:spacing w:line="240" w:lineRule="auto"/>
              <w:cnfStyle w:val="000000100000" w:firstRow="0" w:lastRow="0" w:firstColumn="0" w:lastColumn="0" w:oddVBand="0" w:evenVBand="0" w:oddHBand="1" w:evenHBand="0" w:firstRowFirstColumn="0" w:firstRowLastColumn="0" w:lastRowFirstColumn="0" w:lastRowLastColumn="0"/>
              <w:rPr>
                <w:sz w:val="15"/>
                <w:szCs w:val="15"/>
                <w:rtl/>
              </w:rPr>
            </w:pPr>
            <w:r w:rsidRPr="00137681">
              <w:rPr>
                <w:rFonts w:hint="cs"/>
                <w:sz w:val="15"/>
                <w:szCs w:val="15"/>
                <w:rtl/>
              </w:rPr>
              <w:t>הפרשה לחובות מסופקים מחושבת באופן ספציפי בגין חובות מזוהים אשר לדעת הנהלת המשרד גבייתם מוטלת בספק</w:t>
            </w:r>
          </w:p>
        </w:tc>
        <w:tc>
          <w:tcPr>
            <w:tcW w:w="1009" w:type="pct"/>
            <w:shd w:val="clear" w:color="auto" w:fill="DDEAEE"/>
          </w:tcPr>
          <w:p w14:paraId="71EFA857" w14:textId="5A193B06" w:rsidR="007C4395" w:rsidRPr="001A5F85" w:rsidRDefault="0064695A" w:rsidP="00DF233D">
            <w:pPr>
              <w:pStyle w:val="71R"/>
              <w:spacing w:line="240" w:lineRule="auto"/>
              <w:jc w:val="center"/>
              <w:cnfStyle w:val="000000100000" w:firstRow="0" w:lastRow="0" w:firstColumn="0" w:lastColumn="0" w:oddVBand="0" w:evenVBand="0" w:oddHBand="1" w:evenHBand="0" w:firstRowFirstColumn="0" w:firstRowLastColumn="0" w:lastRowFirstColumn="0" w:lastRowLastColumn="0"/>
              <w:rPr>
                <w:rFonts w:ascii="David"/>
                <w:color w:val="FF0000"/>
                <w:sz w:val="30"/>
                <w:szCs w:val="30"/>
                <w:highlight w:val="yellow"/>
                <w:rtl/>
              </w:rPr>
            </w:pPr>
            <w:r w:rsidRPr="001A5F85">
              <w:rPr>
                <w:rFonts w:ascii="Chalkboard SE" w:hAnsi="Chalkboard SE"/>
                <w:color w:val="FF0000"/>
                <w:sz w:val="30"/>
                <w:szCs w:val="30"/>
              </w:rPr>
              <w:t>X</w:t>
            </w:r>
          </w:p>
        </w:tc>
        <w:tc>
          <w:tcPr>
            <w:tcW w:w="1288" w:type="pct"/>
            <w:shd w:val="clear" w:color="auto" w:fill="DDEAEE"/>
          </w:tcPr>
          <w:p w14:paraId="1219F45D" w14:textId="77777777" w:rsidR="007C4395" w:rsidRPr="00137681" w:rsidRDefault="007C4395" w:rsidP="00137681">
            <w:pPr>
              <w:pStyle w:val="71R"/>
              <w:spacing w:line="240" w:lineRule="auto"/>
              <w:cnfStyle w:val="000000100000" w:firstRow="0" w:lastRow="0" w:firstColumn="0" w:lastColumn="0" w:oddVBand="0" w:evenVBand="0" w:oddHBand="1" w:evenHBand="0" w:firstRowFirstColumn="0" w:firstRowLastColumn="0" w:lastRowFirstColumn="0" w:lastRowLastColumn="0"/>
              <w:rPr>
                <w:sz w:val="15"/>
                <w:szCs w:val="15"/>
                <w:rtl/>
              </w:rPr>
            </w:pPr>
          </w:p>
        </w:tc>
      </w:tr>
      <w:tr w:rsidR="00431026" w:rsidRPr="00137681" w14:paraId="71537E92" w14:textId="77777777" w:rsidTr="00431026">
        <w:trPr>
          <w:trHeight w:val="487"/>
        </w:trPr>
        <w:tc>
          <w:tcPr>
            <w:cnfStyle w:val="001000000000" w:firstRow="0" w:lastRow="0" w:firstColumn="1" w:lastColumn="0" w:oddVBand="0" w:evenVBand="0" w:oddHBand="0" w:evenHBand="0" w:firstRowFirstColumn="0" w:firstRowLastColumn="0" w:lastRowFirstColumn="0" w:lastRowLastColumn="0"/>
            <w:tcW w:w="850" w:type="pct"/>
            <w:tcBorders>
              <w:left w:val="none" w:sz="0" w:space="0" w:color="auto"/>
            </w:tcBorders>
            <w:shd w:val="clear" w:color="auto" w:fill="EEF6F7"/>
          </w:tcPr>
          <w:p w14:paraId="55D08C1C" w14:textId="77777777" w:rsidR="007C4395" w:rsidRPr="00137681" w:rsidRDefault="007C4395" w:rsidP="00137681">
            <w:pPr>
              <w:pStyle w:val="71R"/>
              <w:spacing w:line="240" w:lineRule="auto"/>
              <w:rPr>
                <w:sz w:val="15"/>
                <w:szCs w:val="15"/>
                <w:rtl/>
              </w:rPr>
            </w:pPr>
            <w:r w:rsidRPr="00137681">
              <w:rPr>
                <w:rFonts w:hint="cs"/>
                <w:sz w:val="15"/>
                <w:szCs w:val="15"/>
                <w:rtl/>
              </w:rPr>
              <w:t>משרד הפנים</w:t>
            </w:r>
          </w:p>
        </w:tc>
        <w:tc>
          <w:tcPr>
            <w:tcW w:w="1853" w:type="pct"/>
            <w:shd w:val="clear" w:color="auto" w:fill="EEF6F7"/>
          </w:tcPr>
          <w:p w14:paraId="3C9C00BD" w14:textId="77777777" w:rsidR="007C4395" w:rsidRPr="00137681" w:rsidRDefault="007C4395" w:rsidP="00137681">
            <w:pPr>
              <w:pStyle w:val="71R"/>
              <w:spacing w:line="240" w:lineRule="auto"/>
              <w:cnfStyle w:val="000000000000" w:firstRow="0" w:lastRow="0" w:firstColumn="0" w:lastColumn="0" w:oddVBand="0" w:evenVBand="0" w:oddHBand="0" w:evenHBand="0" w:firstRowFirstColumn="0" w:firstRowLastColumn="0" w:lastRowFirstColumn="0" w:lastRowLastColumn="0"/>
              <w:rPr>
                <w:sz w:val="15"/>
                <w:szCs w:val="15"/>
                <w:rtl/>
              </w:rPr>
            </w:pPr>
            <w:r w:rsidRPr="00137681">
              <w:rPr>
                <w:rFonts w:hint="cs"/>
                <w:sz w:val="15"/>
                <w:szCs w:val="15"/>
                <w:rtl/>
              </w:rPr>
              <w:t>לאחר בחינה של המשרד הוחלט כי לא היה מקום לבצע הפרשה לחובות מסופקים בדוחות הכספיים בשנים 2019 ו-2020</w:t>
            </w:r>
          </w:p>
        </w:tc>
        <w:tc>
          <w:tcPr>
            <w:tcW w:w="1009" w:type="pct"/>
            <w:shd w:val="clear" w:color="auto" w:fill="EEF6F7"/>
          </w:tcPr>
          <w:p w14:paraId="47D52216" w14:textId="77777777" w:rsidR="007C4395" w:rsidRPr="00137681" w:rsidRDefault="007C4395" w:rsidP="00DF233D">
            <w:pPr>
              <w:pStyle w:val="71R"/>
              <w:spacing w:line="240" w:lineRule="auto"/>
              <w:jc w:val="center"/>
              <w:cnfStyle w:val="000000000000" w:firstRow="0" w:lastRow="0" w:firstColumn="0" w:lastColumn="0" w:oddVBand="0" w:evenVBand="0" w:oddHBand="0" w:evenHBand="0" w:firstRowFirstColumn="0" w:firstRowLastColumn="0" w:lastRowFirstColumn="0" w:lastRowLastColumn="0"/>
              <w:rPr>
                <w:sz w:val="15"/>
                <w:szCs w:val="15"/>
                <w:rtl/>
              </w:rPr>
            </w:pPr>
            <w:r w:rsidRPr="00137681">
              <w:rPr>
                <w:rFonts w:hint="cs"/>
                <w:sz w:val="15"/>
                <w:szCs w:val="15"/>
                <w:rtl/>
              </w:rPr>
              <w:t>לא רלוונטי</w:t>
            </w:r>
          </w:p>
        </w:tc>
        <w:tc>
          <w:tcPr>
            <w:tcW w:w="1288" w:type="pct"/>
            <w:shd w:val="clear" w:color="auto" w:fill="EEF6F7"/>
          </w:tcPr>
          <w:p w14:paraId="56896E26" w14:textId="77777777" w:rsidR="007C4395" w:rsidRPr="00137681" w:rsidRDefault="007C4395" w:rsidP="00137681">
            <w:pPr>
              <w:pStyle w:val="71R"/>
              <w:spacing w:line="240" w:lineRule="auto"/>
              <w:cnfStyle w:val="000000000000" w:firstRow="0" w:lastRow="0" w:firstColumn="0" w:lastColumn="0" w:oddVBand="0" w:evenVBand="0" w:oddHBand="0" w:evenHBand="0" w:firstRowFirstColumn="0" w:firstRowLastColumn="0" w:lastRowFirstColumn="0" w:lastRowLastColumn="0"/>
              <w:rPr>
                <w:rFonts w:ascii="David"/>
                <w:color w:val="FF0000"/>
                <w:sz w:val="15"/>
                <w:szCs w:val="15"/>
                <w:rtl/>
              </w:rPr>
            </w:pPr>
          </w:p>
        </w:tc>
      </w:tr>
      <w:tr w:rsidR="001A5F85" w:rsidRPr="00137681" w14:paraId="08F1BFCD" w14:textId="77777777" w:rsidTr="00431026">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850" w:type="pct"/>
            <w:tcBorders>
              <w:left w:val="none" w:sz="0" w:space="0" w:color="auto"/>
            </w:tcBorders>
            <w:shd w:val="clear" w:color="auto" w:fill="DDEAEE"/>
          </w:tcPr>
          <w:p w14:paraId="2B2B8DEB" w14:textId="77777777" w:rsidR="007C4395" w:rsidRPr="00137681" w:rsidRDefault="007C4395" w:rsidP="00137681">
            <w:pPr>
              <w:pStyle w:val="71R"/>
              <w:spacing w:line="240" w:lineRule="auto"/>
              <w:rPr>
                <w:sz w:val="15"/>
                <w:szCs w:val="15"/>
                <w:rtl/>
              </w:rPr>
            </w:pPr>
            <w:r w:rsidRPr="00137681">
              <w:rPr>
                <w:rFonts w:hint="cs"/>
                <w:sz w:val="15"/>
                <w:szCs w:val="15"/>
                <w:rtl/>
              </w:rPr>
              <w:t>משרד התיירות</w:t>
            </w:r>
          </w:p>
        </w:tc>
        <w:tc>
          <w:tcPr>
            <w:tcW w:w="1853" w:type="pct"/>
            <w:shd w:val="clear" w:color="auto" w:fill="DDEAEE"/>
          </w:tcPr>
          <w:p w14:paraId="40F032FC" w14:textId="77777777" w:rsidR="007C4395" w:rsidRPr="00137681" w:rsidRDefault="007C4395" w:rsidP="00137681">
            <w:pPr>
              <w:pStyle w:val="71R"/>
              <w:spacing w:line="240" w:lineRule="auto"/>
              <w:cnfStyle w:val="000000100000" w:firstRow="0" w:lastRow="0" w:firstColumn="0" w:lastColumn="0" w:oddVBand="0" w:evenVBand="0" w:oddHBand="1" w:evenHBand="0" w:firstRowFirstColumn="0" w:firstRowLastColumn="0" w:lastRowFirstColumn="0" w:lastRowLastColumn="0"/>
              <w:rPr>
                <w:sz w:val="15"/>
                <w:szCs w:val="15"/>
                <w:rtl/>
              </w:rPr>
            </w:pPr>
            <w:r w:rsidRPr="00137681">
              <w:rPr>
                <w:rFonts w:hint="cs"/>
                <w:sz w:val="15"/>
                <w:szCs w:val="15"/>
                <w:rtl/>
              </w:rPr>
              <w:t>המשרד אינו רושם הפרשה לחובות מסופקים בדוחות הכספיים</w:t>
            </w:r>
          </w:p>
        </w:tc>
        <w:tc>
          <w:tcPr>
            <w:tcW w:w="1009" w:type="pct"/>
            <w:shd w:val="clear" w:color="auto" w:fill="DDEAEE"/>
          </w:tcPr>
          <w:p w14:paraId="59E0B361" w14:textId="5F7FC6BE" w:rsidR="007C4395" w:rsidRPr="001A5F85" w:rsidRDefault="0064695A" w:rsidP="00DF233D">
            <w:pPr>
              <w:pStyle w:val="71R"/>
              <w:spacing w:line="240" w:lineRule="auto"/>
              <w:jc w:val="center"/>
              <w:cnfStyle w:val="000000100000" w:firstRow="0" w:lastRow="0" w:firstColumn="0" w:lastColumn="0" w:oddVBand="0" w:evenVBand="0" w:oddHBand="1" w:evenHBand="0" w:firstRowFirstColumn="0" w:firstRowLastColumn="0" w:lastRowFirstColumn="0" w:lastRowLastColumn="0"/>
              <w:rPr>
                <w:rFonts w:ascii="David"/>
                <w:color w:val="FF0000"/>
                <w:sz w:val="30"/>
                <w:szCs w:val="30"/>
                <w:highlight w:val="yellow"/>
                <w:rtl/>
              </w:rPr>
            </w:pPr>
            <w:r w:rsidRPr="001A5F85">
              <w:rPr>
                <w:rFonts w:ascii="Chalkboard SE" w:hAnsi="Chalkboard SE"/>
                <w:color w:val="FF0000"/>
                <w:sz w:val="30"/>
                <w:szCs w:val="30"/>
              </w:rPr>
              <w:t>X</w:t>
            </w:r>
          </w:p>
        </w:tc>
        <w:tc>
          <w:tcPr>
            <w:tcW w:w="1288" w:type="pct"/>
            <w:shd w:val="clear" w:color="auto" w:fill="DDEAEE"/>
          </w:tcPr>
          <w:p w14:paraId="1C4E752B" w14:textId="77777777" w:rsidR="007C4395" w:rsidRPr="00137681" w:rsidRDefault="007C4395" w:rsidP="00137681">
            <w:pPr>
              <w:pStyle w:val="71R"/>
              <w:spacing w:line="240" w:lineRule="auto"/>
              <w:cnfStyle w:val="000000100000" w:firstRow="0" w:lastRow="0" w:firstColumn="0" w:lastColumn="0" w:oddVBand="0" w:evenVBand="0" w:oddHBand="1" w:evenHBand="0" w:firstRowFirstColumn="0" w:firstRowLastColumn="0" w:lastRowFirstColumn="0" w:lastRowLastColumn="0"/>
              <w:rPr>
                <w:rFonts w:ascii="David"/>
                <w:color w:val="FF0000"/>
                <w:sz w:val="15"/>
                <w:szCs w:val="15"/>
                <w:rtl/>
              </w:rPr>
            </w:pPr>
          </w:p>
        </w:tc>
      </w:tr>
      <w:tr w:rsidR="00431026" w:rsidRPr="00137681" w14:paraId="5A119AEE" w14:textId="77777777" w:rsidTr="00431026">
        <w:trPr>
          <w:trHeight w:val="1415"/>
        </w:trPr>
        <w:tc>
          <w:tcPr>
            <w:cnfStyle w:val="001000000000" w:firstRow="0" w:lastRow="0" w:firstColumn="1" w:lastColumn="0" w:oddVBand="0" w:evenVBand="0" w:oddHBand="0" w:evenHBand="0" w:firstRowFirstColumn="0" w:firstRowLastColumn="0" w:lastRowFirstColumn="0" w:lastRowLastColumn="0"/>
            <w:tcW w:w="850" w:type="pct"/>
            <w:tcBorders>
              <w:left w:val="none" w:sz="0" w:space="0" w:color="auto"/>
            </w:tcBorders>
            <w:shd w:val="clear" w:color="auto" w:fill="EEF6F7"/>
          </w:tcPr>
          <w:p w14:paraId="3D57D265" w14:textId="77777777" w:rsidR="007C4395" w:rsidRPr="00137681" w:rsidRDefault="007C4395" w:rsidP="00137681">
            <w:pPr>
              <w:pStyle w:val="71R"/>
              <w:spacing w:line="240" w:lineRule="auto"/>
              <w:rPr>
                <w:sz w:val="15"/>
                <w:szCs w:val="15"/>
                <w:rtl/>
              </w:rPr>
            </w:pPr>
            <w:r w:rsidRPr="00137681">
              <w:rPr>
                <w:rFonts w:hint="cs"/>
                <w:sz w:val="15"/>
                <w:szCs w:val="15"/>
                <w:rtl/>
              </w:rPr>
              <w:lastRenderedPageBreak/>
              <w:t>משרד התקשורת</w:t>
            </w:r>
          </w:p>
        </w:tc>
        <w:tc>
          <w:tcPr>
            <w:tcW w:w="1853" w:type="pct"/>
            <w:shd w:val="clear" w:color="auto" w:fill="EEF6F7"/>
          </w:tcPr>
          <w:p w14:paraId="6D2F4BFF" w14:textId="77777777" w:rsidR="007C4395" w:rsidRPr="00137681" w:rsidRDefault="007C4395" w:rsidP="00137681">
            <w:pPr>
              <w:pStyle w:val="71R"/>
              <w:spacing w:line="240" w:lineRule="auto"/>
              <w:cnfStyle w:val="000000000000" w:firstRow="0" w:lastRow="0" w:firstColumn="0" w:lastColumn="0" w:oddVBand="0" w:evenVBand="0" w:oddHBand="0" w:evenHBand="0" w:firstRowFirstColumn="0" w:firstRowLastColumn="0" w:lastRowFirstColumn="0" w:lastRowLastColumn="0"/>
              <w:rPr>
                <w:sz w:val="15"/>
                <w:szCs w:val="15"/>
                <w:rtl/>
              </w:rPr>
            </w:pPr>
            <w:r w:rsidRPr="00137681">
              <w:rPr>
                <w:rFonts w:hint="cs"/>
                <w:sz w:val="15"/>
                <w:szCs w:val="15"/>
                <w:rtl/>
              </w:rPr>
              <w:t>המשרד אינו רושם הפרשה לחובות מסופקים בדוחות הכספיים</w:t>
            </w:r>
          </w:p>
        </w:tc>
        <w:tc>
          <w:tcPr>
            <w:tcW w:w="1009" w:type="pct"/>
            <w:shd w:val="clear" w:color="auto" w:fill="EEF6F7"/>
          </w:tcPr>
          <w:p w14:paraId="4A8377A3" w14:textId="277B1D56" w:rsidR="007C4395" w:rsidRPr="001A5F85" w:rsidRDefault="0064695A" w:rsidP="00DF233D">
            <w:pPr>
              <w:pStyle w:val="71R"/>
              <w:spacing w:line="240" w:lineRule="auto"/>
              <w:jc w:val="center"/>
              <w:cnfStyle w:val="000000000000" w:firstRow="0" w:lastRow="0" w:firstColumn="0" w:lastColumn="0" w:oddVBand="0" w:evenVBand="0" w:oddHBand="0" w:evenHBand="0" w:firstRowFirstColumn="0" w:firstRowLastColumn="0" w:lastRowFirstColumn="0" w:lastRowLastColumn="0"/>
              <w:rPr>
                <w:rFonts w:ascii="David"/>
                <w:color w:val="FF0000"/>
                <w:sz w:val="30"/>
                <w:szCs w:val="30"/>
                <w:rtl/>
              </w:rPr>
            </w:pPr>
            <w:r w:rsidRPr="001A5F85">
              <w:rPr>
                <w:rFonts w:ascii="Chalkboard SE" w:hAnsi="Chalkboard SE"/>
                <w:color w:val="FF0000"/>
                <w:sz w:val="30"/>
                <w:szCs w:val="30"/>
              </w:rPr>
              <w:t>X</w:t>
            </w:r>
          </w:p>
        </w:tc>
        <w:tc>
          <w:tcPr>
            <w:tcW w:w="1288" w:type="pct"/>
            <w:shd w:val="clear" w:color="auto" w:fill="EEF6F7"/>
          </w:tcPr>
          <w:p w14:paraId="309187C0" w14:textId="77777777" w:rsidR="007C4395" w:rsidRPr="00137681" w:rsidRDefault="007C4395" w:rsidP="00137681">
            <w:pPr>
              <w:pStyle w:val="71R"/>
              <w:spacing w:line="240" w:lineRule="auto"/>
              <w:cnfStyle w:val="000000000000" w:firstRow="0" w:lastRow="0" w:firstColumn="0" w:lastColumn="0" w:oddVBand="0" w:evenVBand="0" w:oddHBand="0" w:evenHBand="0" w:firstRowFirstColumn="0" w:firstRowLastColumn="0" w:lastRowFirstColumn="0" w:lastRowLastColumn="0"/>
              <w:rPr>
                <w:rFonts w:ascii="David"/>
                <w:color w:val="FF0000"/>
                <w:sz w:val="15"/>
                <w:szCs w:val="15"/>
                <w:rtl/>
              </w:rPr>
            </w:pPr>
            <w:r w:rsidRPr="00137681">
              <w:rPr>
                <w:rFonts w:ascii="David" w:hint="cs"/>
                <w:sz w:val="15"/>
                <w:szCs w:val="15"/>
                <w:rtl/>
              </w:rPr>
              <w:t>המשרד ציין שבגלל שימוש במערכת ממוחשבת ישנה, אין באפשרותו להפריד בין מלוא החייבים לבין ההפרשה לחובות מסופקים, וההצגה היא בנטו</w:t>
            </w:r>
          </w:p>
        </w:tc>
      </w:tr>
      <w:tr w:rsidR="001A5F85" w:rsidRPr="00137681" w14:paraId="4AA980B6" w14:textId="77777777" w:rsidTr="00431026">
        <w:trPr>
          <w:cnfStyle w:val="000000100000" w:firstRow="0" w:lastRow="0" w:firstColumn="0" w:lastColumn="0" w:oddVBand="0" w:evenVBand="0" w:oddHBand="1" w:evenHBand="0" w:firstRowFirstColumn="0" w:firstRowLastColumn="0" w:lastRowFirstColumn="0" w:lastRowLastColumn="0"/>
          <w:trHeight w:val="1475"/>
        </w:trPr>
        <w:tc>
          <w:tcPr>
            <w:cnfStyle w:val="001000000000" w:firstRow="0" w:lastRow="0" w:firstColumn="1" w:lastColumn="0" w:oddVBand="0" w:evenVBand="0" w:oddHBand="0" w:evenHBand="0" w:firstRowFirstColumn="0" w:firstRowLastColumn="0" w:lastRowFirstColumn="0" w:lastRowLastColumn="0"/>
            <w:tcW w:w="850" w:type="pct"/>
            <w:tcBorders>
              <w:left w:val="none" w:sz="0" w:space="0" w:color="auto"/>
              <w:bottom w:val="none" w:sz="0" w:space="0" w:color="auto"/>
            </w:tcBorders>
            <w:shd w:val="clear" w:color="auto" w:fill="DDEAEE"/>
          </w:tcPr>
          <w:p w14:paraId="70716F8E" w14:textId="77777777" w:rsidR="007C4395" w:rsidRPr="00137681" w:rsidRDefault="007C4395" w:rsidP="00137681">
            <w:pPr>
              <w:pStyle w:val="71R"/>
              <w:spacing w:line="240" w:lineRule="auto"/>
              <w:rPr>
                <w:sz w:val="15"/>
                <w:szCs w:val="15"/>
                <w:rtl/>
              </w:rPr>
            </w:pPr>
            <w:r w:rsidRPr="00137681">
              <w:rPr>
                <w:rFonts w:hint="cs"/>
                <w:sz w:val="15"/>
                <w:szCs w:val="15"/>
                <w:rtl/>
              </w:rPr>
              <w:t>רשות המיסים</w:t>
            </w:r>
          </w:p>
        </w:tc>
        <w:tc>
          <w:tcPr>
            <w:tcW w:w="1853" w:type="pct"/>
            <w:shd w:val="clear" w:color="auto" w:fill="DDEAEE"/>
          </w:tcPr>
          <w:p w14:paraId="4AD18549" w14:textId="77777777" w:rsidR="007C4395" w:rsidRPr="00137681" w:rsidRDefault="007C4395" w:rsidP="00137681">
            <w:pPr>
              <w:pStyle w:val="71R"/>
              <w:spacing w:line="240" w:lineRule="auto"/>
              <w:cnfStyle w:val="000000100000" w:firstRow="0" w:lastRow="0" w:firstColumn="0" w:lastColumn="0" w:oddVBand="0" w:evenVBand="0" w:oddHBand="1" w:evenHBand="0" w:firstRowFirstColumn="0" w:firstRowLastColumn="0" w:lastRowFirstColumn="0" w:lastRowLastColumn="0"/>
              <w:rPr>
                <w:sz w:val="15"/>
                <w:szCs w:val="15"/>
                <w:rtl/>
              </w:rPr>
            </w:pPr>
            <w:r w:rsidRPr="00137681">
              <w:rPr>
                <w:sz w:val="15"/>
                <w:szCs w:val="15"/>
                <w:rtl/>
              </w:rPr>
              <w:t>המשרד אינו רושם הפרשה לחובות מסופקים בדוחות הכספיים</w:t>
            </w:r>
          </w:p>
        </w:tc>
        <w:tc>
          <w:tcPr>
            <w:tcW w:w="1009" w:type="pct"/>
            <w:shd w:val="clear" w:color="auto" w:fill="DDEAEE"/>
          </w:tcPr>
          <w:p w14:paraId="62F30E2B" w14:textId="49C7451D" w:rsidR="007C4395" w:rsidRPr="001A5F85" w:rsidRDefault="0064695A" w:rsidP="00DF233D">
            <w:pPr>
              <w:pStyle w:val="71R"/>
              <w:spacing w:line="240" w:lineRule="auto"/>
              <w:jc w:val="center"/>
              <w:cnfStyle w:val="000000100000" w:firstRow="0" w:lastRow="0" w:firstColumn="0" w:lastColumn="0" w:oddVBand="0" w:evenVBand="0" w:oddHBand="1" w:evenHBand="0" w:firstRowFirstColumn="0" w:firstRowLastColumn="0" w:lastRowFirstColumn="0" w:lastRowLastColumn="0"/>
              <w:rPr>
                <w:rFonts w:ascii="David"/>
                <w:sz w:val="30"/>
                <w:szCs w:val="30"/>
                <w:rtl/>
              </w:rPr>
            </w:pPr>
            <w:r w:rsidRPr="001A5F85">
              <w:rPr>
                <w:rFonts w:ascii="Chalkboard SE" w:hAnsi="Chalkboard SE"/>
                <w:color w:val="FF0000"/>
                <w:sz w:val="30"/>
                <w:szCs w:val="30"/>
              </w:rPr>
              <w:t>X</w:t>
            </w:r>
          </w:p>
        </w:tc>
        <w:tc>
          <w:tcPr>
            <w:tcW w:w="1288" w:type="pct"/>
            <w:shd w:val="clear" w:color="auto" w:fill="DDEAEE"/>
          </w:tcPr>
          <w:p w14:paraId="217380DB" w14:textId="77777777" w:rsidR="007C4395" w:rsidRPr="00137681" w:rsidRDefault="007C4395" w:rsidP="00137681">
            <w:pPr>
              <w:pStyle w:val="71R"/>
              <w:spacing w:line="240" w:lineRule="auto"/>
              <w:cnfStyle w:val="000000100000" w:firstRow="0" w:lastRow="0" w:firstColumn="0" w:lastColumn="0" w:oddVBand="0" w:evenVBand="0" w:oddHBand="1" w:evenHBand="0" w:firstRowFirstColumn="0" w:firstRowLastColumn="0" w:lastRowFirstColumn="0" w:lastRowLastColumn="0"/>
              <w:rPr>
                <w:sz w:val="15"/>
                <w:szCs w:val="15"/>
              </w:rPr>
            </w:pPr>
            <w:r w:rsidRPr="00137681">
              <w:rPr>
                <w:rFonts w:hint="cs"/>
                <w:sz w:val="15"/>
                <w:szCs w:val="15"/>
                <w:rtl/>
              </w:rPr>
              <w:t>ההכרה בהכנסה מתבצעת מלכתחילה על בסיס חייבים המוגדרים כפעילים ואשר חובם הוא בר-גבייה.</w:t>
            </w:r>
          </w:p>
          <w:p w14:paraId="67232759" w14:textId="77777777" w:rsidR="007C4395" w:rsidRPr="00137681" w:rsidRDefault="007C4395" w:rsidP="00137681">
            <w:pPr>
              <w:pStyle w:val="71R"/>
              <w:spacing w:line="240" w:lineRule="auto"/>
              <w:cnfStyle w:val="000000100000" w:firstRow="0" w:lastRow="0" w:firstColumn="0" w:lastColumn="0" w:oddVBand="0" w:evenVBand="0" w:oddHBand="1" w:evenHBand="0" w:firstRowFirstColumn="0" w:firstRowLastColumn="0" w:lastRowFirstColumn="0" w:lastRowLastColumn="0"/>
              <w:rPr>
                <w:sz w:val="15"/>
                <w:szCs w:val="15"/>
                <w:rtl/>
              </w:rPr>
            </w:pPr>
            <w:r w:rsidRPr="00137681">
              <w:rPr>
                <w:rFonts w:hint="cs"/>
                <w:sz w:val="15"/>
                <w:szCs w:val="15"/>
                <w:rtl/>
              </w:rPr>
              <w:t xml:space="preserve">הרשות מציינת היעדר יכולת </w:t>
            </w:r>
            <w:proofErr w:type="spellStart"/>
            <w:r w:rsidRPr="00137681">
              <w:rPr>
                <w:rFonts w:hint="cs"/>
                <w:sz w:val="15"/>
                <w:szCs w:val="15"/>
                <w:rtl/>
              </w:rPr>
              <w:t>מיכונית</w:t>
            </w:r>
            <w:proofErr w:type="spellEnd"/>
            <w:r w:rsidRPr="00137681">
              <w:rPr>
                <w:rFonts w:hint="cs"/>
                <w:sz w:val="15"/>
                <w:szCs w:val="15"/>
                <w:rtl/>
              </w:rPr>
              <w:t xml:space="preserve"> להפקת דוח גיול חובות</w:t>
            </w:r>
          </w:p>
        </w:tc>
      </w:tr>
    </w:tbl>
    <w:p w14:paraId="63BB97DD" w14:textId="77777777" w:rsidR="007C4395" w:rsidRPr="003B2683" w:rsidRDefault="007C4395" w:rsidP="003B2683">
      <w:pPr>
        <w:pStyle w:val="71c"/>
        <w:rPr>
          <w:rtl/>
        </w:rPr>
      </w:pPr>
      <w:r w:rsidRPr="003B2683">
        <w:rPr>
          <w:rFonts w:hint="cs"/>
          <w:rtl/>
        </w:rPr>
        <w:t>על פי</w:t>
      </w:r>
      <w:r w:rsidRPr="003B2683">
        <w:rPr>
          <w:rtl/>
        </w:rPr>
        <w:t xml:space="preserve"> הדוחות </w:t>
      </w:r>
      <w:r w:rsidRPr="003B2683">
        <w:rPr>
          <w:rFonts w:hint="eastAsia"/>
          <w:rtl/>
        </w:rPr>
        <w:t>הכספיים</w:t>
      </w:r>
      <w:r w:rsidRPr="003B2683">
        <w:rPr>
          <w:rtl/>
        </w:rPr>
        <w:t xml:space="preserve"> </w:t>
      </w:r>
      <w:r w:rsidRPr="003B2683">
        <w:rPr>
          <w:rFonts w:hint="eastAsia"/>
          <w:rtl/>
        </w:rPr>
        <w:t>של</w:t>
      </w:r>
      <w:r w:rsidRPr="003B2683">
        <w:rPr>
          <w:rtl/>
        </w:rPr>
        <w:t xml:space="preserve"> </w:t>
      </w:r>
      <w:r w:rsidRPr="003B2683">
        <w:rPr>
          <w:rFonts w:hint="eastAsia"/>
          <w:rtl/>
        </w:rPr>
        <w:t>המשרדים</w:t>
      </w:r>
      <w:r w:rsidRPr="003B2683">
        <w:rPr>
          <w:rtl/>
        </w:rPr>
        <w:t xml:space="preserve"> </w:t>
      </w:r>
      <w:r w:rsidRPr="003B2683">
        <w:rPr>
          <w:rFonts w:hint="eastAsia"/>
          <w:rtl/>
        </w:rPr>
        <w:t>לשנת</w:t>
      </w:r>
      <w:r w:rsidRPr="003B2683">
        <w:rPr>
          <w:rtl/>
        </w:rPr>
        <w:t xml:space="preserve"> 2020 </w:t>
      </w:r>
      <w:r w:rsidRPr="003B2683">
        <w:rPr>
          <w:rFonts w:hint="eastAsia"/>
          <w:rtl/>
        </w:rPr>
        <w:t>וכן</w:t>
      </w:r>
      <w:r w:rsidRPr="003B2683">
        <w:rPr>
          <w:rtl/>
        </w:rPr>
        <w:t xml:space="preserve"> </w:t>
      </w:r>
      <w:r w:rsidRPr="003B2683">
        <w:rPr>
          <w:rFonts w:hint="cs"/>
          <w:rtl/>
        </w:rPr>
        <w:t xml:space="preserve">על פי </w:t>
      </w:r>
      <w:r w:rsidRPr="003B2683">
        <w:rPr>
          <w:rFonts w:hint="eastAsia"/>
          <w:rtl/>
        </w:rPr>
        <w:t>מענה</w:t>
      </w:r>
      <w:r w:rsidRPr="003B2683">
        <w:rPr>
          <w:rtl/>
        </w:rPr>
        <w:t xml:space="preserve"> </w:t>
      </w:r>
      <w:r w:rsidRPr="003B2683">
        <w:rPr>
          <w:rFonts w:hint="eastAsia"/>
          <w:rtl/>
        </w:rPr>
        <w:t>הגופים</w:t>
      </w:r>
      <w:r w:rsidRPr="003B2683">
        <w:rPr>
          <w:rtl/>
        </w:rPr>
        <w:t xml:space="preserve"> </w:t>
      </w:r>
      <w:r w:rsidRPr="003B2683">
        <w:rPr>
          <w:rFonts w:hint="cs"/>
          <w:rtl/>
        </w:rPr>
        <w:t>ע</w:t>
      </w:r>
      <w:r w:rsidRPr="003B2683">
        <w:rPr>
          <w:rFonts w:hint="eastAsia"/>
          <w:rtl/>
        </w:rPr>
        <w:t>ל</w:t>
      </w:r>
      <w:r w:rsidRPr="003B2683">
        <w:rPr>
          <w:rFonts w:hint="cs"/>
          <w:rtl/>
        </w:rPr>
        <w:t xml:space="preserve"> </w:t>
      </w:r>
      <w:r w:rsidRPr="003B2683">
        <w:rPr>
          <w:rFonts w:hint="eastAsia"/>
          <w:rtl/>
        </w:rPr>
        <w:t>שאלות</w:t>
      </w:r>
      <w:r w:rsidRPr="003B2683">
        <w:rPr>
          <w:rtl/>
        </w:rPr>
        <w:t xml:space="preserve"> </w:t>
      </w:r>
      <w:r w:rsidRPr="003B2683">
        <w:rPr>
          <w:rFonts w:hint="eastAsia"/>
          <w:rtl/>
        </w:rPr>
        <w:t>משרד</w:t>
      </w:r>
      <w:r w:rsidRPr="003B2683">
        <w:rPr>
          <w:rtl/>
        </w:rPr>
        <w:t xml:space="preserve"> </w:t>
      </w:r>
      <w:r w:rsidRPr="003B2683">
        <w:rPr>
          <w:rFonts w:hint="eastAsia"/>
          <w:rtl/>
        </w:rPr>
        <w:t>מבקר</w:t>
      </w:r>
      <w:r w:rsidRPr="003B2683">
        <w:rPr>
          <w:rtl/>
        </w:rPr>
        <w:t xml:space="preserve"> </w:t>
      </w:r>
      <w:r w:rsidRPr="003B2683">
        <w:rPr>
          <w:rFonts w:hint="eastAsia"/>
          <w:rtl/>
        </w:rPr>
        <w:t>המדינה</w:t>
      </w:r>
      <w:r w:rsidRPr="003B2683">
        <w:rPr>
          <w:rtl/>
        </w:rPr>
        <w:t xml:space="preserve">, </w:t>
      </w:r>
      <w:r w:rsidRPr="003B2683">
        <w:rPr>
          <w:rFonts w:hint="eastAsia"/>
          <w:rtl/>
        </w:rPr>
        <w:t>יולי</w:t>
      </w:r>
      <w:r w:rsidRPr="003B2683">
        <w:rPr>
          <w:rtl/>
        </w:rPr>
        <w:t xml:space="preserve"> - </w:t>
      </w:r>
      <w:r w:rsidRPr="003B2683">
        <w:rPr>
          <w:rFonts w:hint="eastAsia"/>
          <w:rtl/>
        </w:rPr>
        <w:t>אוקטובר</w:t>
      </w:r>
      <w:r w:rsidRPr="003B2683">
        <w:rPr>
          <w:rtl/>
        </w:rPr>
        <w:t xml:space="preserve"> 2021, </w:t>
      </w:r>
      <w:r w:rsidRPr="003B2683">
        <w:rPr>
          <w:rFonts w:hint="eastAsia"/>
          <w:rtl/>
        </w:rPr>
        <w:t>בעיבוד</w:t>
      </w:r>
      <w:r w:rsidRPr="003B2683">
        <w:rPr>
          <w:rtl/>
        </w:rPr>
        <w:t xml:space="preserve"> </w:t>
      </w:r>
      <w:r w:rsidRPr="003B2683">
        <w:rPr>
          <w:rFonts w:hint="eastAsia"/>
          <w:rtl/>
        </w:rPr>
        <w:t>משרד</w:t>
      </w:r>
      <w:r w:rsidRPr="003B2683">
        <w:rPr>
          <w:rtl/>
        </w:rPr>
        <w:t xml:space="preserve"> </w:t>
      </w:r>
      <w:r w:rsidRPr="003B2683">
        <w:rPr>
          <w:rFonts w:hint="eastAsia"/>
          <w:rtl/>
        </w:rPr>
        <w:t>מבקר</w:t>
      </w:r>
      <w:r w:rsidRPr="003B2683">
        <w:rPr>
          <w:rtl/>
        </w:rPr>
        <w:t xml:space="preserve"> </w:t>
      </w:r>
      <w:r w:rsidRPr="003B2683">
        <w:rPr>
          <w:rFonts w:hint="eastAsia"/>
          <w:rtl/>
        </w:rPr>
        <w:t>המדינה</w:t>
      </w:r>
      <w:r w:rsidRPr="003B2683">
        <w:rPr>
          <w:rFonts w:hint="cs"/>
          <w:rtl/>
        </w:rPr>
        <w:t>.</w:t>
      </w:r>
    </w:p>
    <w:p w14:paraId="2EBDD9A5" w14:textId="77777777" w:rsidR="007C4395" w:rsidRDefault="007C4395" w:rsidP="003B2683">
      <w:pPr>
        <w:pStyle w:val="71f4"/>
        <w:rPr>
          <w:rtl/>
        </w:rPr>
      </w:pPr>
      <w:r w:rsidRPr="00643AA8">
        <w:rPr>
          <w:rFonts w:hint="eastAsia"/>
          <w:rtl/>
        </w:rPr>
        <w:t>כעולה</w:t>
      </w:r>
      <w:r w:rsidRPr="00643AA8">
        <w:rPr>
          <w:rtl/>
        </w:rPr>
        <w:t xml:space="preserve"> </w:t>
      </w:r>
      <w:r w:rsidRPr="00643AA8">
        <w:rPr>
          <w:rFonts w:hint="eastAsia"/>
          <w:rtl/>
        </w:rPr>
        <w:t>מהלוח</w:t>
      </w:r>
      <w:r w:rsidRPr="00643AA8">
        <w:rPr>
          <w:rtl/>
        </w:rPr>
        <w:t xml:space="preserve"> </w:t>
      </w:r>
      <w:r w:rsidRPr="00643AA8">
        <w:rPr>
          <w:rFonts w:hint="eastAsia"/>
          <w:rtl/>
        </w:rPr>
        <w:t>שלעיל</w:t>
      </w:r>
      <w:r w:rsidRPr="00643AA8">
        <w:rPr>
          <w:rtl/>
        </w:rPr>
        <w:t xml:space="preserve">, </w:t>
      </w:r>
      <w:r>
        <w:rPr>
          <w:rFonts w:hint="cs"/>
          <w:rtl/>
        </w:rPr>
        <w:t>עשרה</w:t>
      </w:r>
      <w:r w:rsidRPr="00643AA8">
        <w:rPr>
          <w:rtl/>
        </w:rPr>
        <w:t xml:space="preserve"> מ</w:t>
      </w:r>
      <w:r>
        <w:rPr>
          <w:rFonts w:hint="cs"/>
          <w:rtl/>
        </w:rPr>
        <w:t>-</w:t>
      </w:r>
      <w:r w:rsidRPr="00643AA8">
        <w:rPr>
          <w:rtl/>
        </w:rPr>
        <w:t xml:space="preserve">15 המשרדים שנבדקו </w:t>
      </w:r>
      <w:r w:rsidRPr="00643AA8">
        <w:rPr>
          <w:rFonts w:hint="eastAsia"/>
          <w:rtl/>
        </w:rPr>
        <w:t>ביצעו</w:t>
      </w:r>
      <w:r w:rsidRPr="00643AA8">
        <w:rPr>
          <w:rtl/>
        </w:rPr>
        <w:t xml:space="preserve"> </w:t>
      </w:r>
      <w:r w:rsidRPr="00643AA8">
        <w:rPr>
          <w:rFonts w:hint="eastAsia"/>
          <w:rtl/>
        </w:rPr>
        <w:t>הפרשה</w:t>
      </w:r>
      <w:r w:rsidRPr="00643AA8">
        <w:rPr>
          <w:rtl/>
        </w:rPr>
        <w:t xml:space="preserve"> </w:t>
      </w:r>
      <w:r w:rsidRPr="00643AA8">
        <w:rPr>
          <w:rFonts w:hint="eastAsia"/>
          <w:rtl/>
        </w:rPr>
        <w:t>ספציפית</w:t>
      </w:r>
      <w:r w:rsidRPr="00643AA8">
        <w:rPr>
          <w:rtl/>
        </w:rPr>
        <w:t xml:space="preserve"> </w:t>
      </w:r>
      <w:r w:rsidRPr="00643AA8">
        <w:rPr>
          <w:rFonts w:hint="eastAsia"/>
          <w:rtl/>
        </w:rPr>
        <w:t>ובחנו</w:t>
      </w:r>
      <w:r w:rsidRPr="00643AA8">
        <w:rPr>
          <w:rtl/>
        </w:rPr>
        <w:t xml:space="preserve"> ביצוע הפרשה כללית </w:t>
      </w:r>
      <w:r>
        <w:rPr>
          <w:rFonts w:hint="cs"/>
          <w:rtl/>
        </w:rPr>
        <w:t>בנוגע</w:t>
      </w:r>
      <w:r w:rsidRPr="00643AA8">
        <w:rPr>
          <w:rtl/>
        </w:rPr>
        <w:t xml:space="preserve"> </w:t>
      </w:r>
      <w:r>
        <w:rPr>
          <w:rFonts w:hint="cs"/>
          <w:rtl/>
        </w:rPr>
        <w:t>ל</w:t>
      </w:r>
      <w:r w:rsidRPr="00643AA8">
        <w:rPr>
          <w:rtl/>
        </w:rPr>
        <w:t xml:space="preserve">יתרות החוב שלא </w:t>
      </w:r>
      <w:r>
        <w:rPr>
          <w:rFonts w:hint="cs"/>
          <w:rtl/>
        </w:rPr>
        <w:t>בוצעה הפרשה</w:t>
      </w:r>
      <w:r w:rsidRPr="00643AA8">
        <w:rPr>
          <w:rtl/>
        </w:rPr>
        <w:t xml:space="preserve"> ספציפי</w:t>
      </w:r>
      <w:r>
        <w:rPr>
          <w:rFonts w:hint="cs"/>
          <w:rtl/>
        </w:rPr>
        <w:t>ת</w:t>
      </w:r>
      <w:r w:rsidRPr="00643AA8">
        <w:rPr>
          <w:rtl/>
        </w:rPr>
        <w:t xml:space="preserve"> לגביה</w:t>
      </w:r>
      <w:r>
        <w:rPr>
          <w:rFonts w:hint="cs"/>
          <w:rtl/>
        </w:rPr>
        <w:t>ן</w:t>
      </w:r>
      <w:r w:rsidRPr="00643AA8">
        <w:rPr>
          <w:rtl/>
        </w:rPr>
        <w:t xml:space="preserve">; </w:t>
      </w:r>
      <w:r w:rsidRPr="00643AA8">
        <w:rPr>
          <w:rFonts w:hint="eastAsia"/>
          <w:rtl/>
        </w:rPr>
        <w:t>גוף</w:t>
      </w:r>
      <w:r w:rsidRPr="00643AA8">
        <w:rPr>
          <w:rtl/>
        </w:rPr>
        <w:t xml:space="preserve"> אחד </w:t>
      </w:r>
      <w:r w:rsidRPr="00643AA8">
        <w:rPr>
          <w:rFonts w:hint="eastAsia"/>
          <w:rtl/>
        </w:rPr>
        <w:t>ביצע</w:t>
      </w:r>
      <w:r w:rsidRPr="00643AA8">
        <w:rPr>
          <w:rtl/>
        </w:rPr>
        <w:t xml:space="preserve"> </w:t>
      </w:r>
      <w:r w:rsidRPr="00643AA8">
        <w:rPr>
          <w:rFonts w:hint="eastAsia"/>
          <w:rtl/>
        </w:rPr>
        <w:t>הפרשה</w:t>
      </w:r>
      <w:r w:rsidRPr="00643AA8">
        <w:rPr>
          <w:rtl/>
        </w:rPr>
        <w:t xml:space="preserve"> </w:t>
      </w:r>
      <w:r w:rsidRPr="00643AA8">
        <w:rPr>
          <w:rFonts w:hint="eastAsia"/>
          <w:rtl/>
        </w:rPr>
        <w:t>כללית</w:t>
      </w:r>
      <w:r w:rsidRPr="00643AA8">
        <w:rPr>
          <w:rtl/>
        </w:rPr>
        <w:t xml:space="preserve"> </w:t>
      </w:r>
      <w:r w:rsidRPr="00643AA8">
        <w:rPr>
          <w:rFonts w:hint="eastAsia"/>
          <w:rtl/>
        </w:rPr>
        <w:t>בלבד</w:t>
      </w:r>
      <w:r w:rsidRPr="00643AA8">
        <w:rPr>
          <w:rtl/>
        </w:rPr>
        <w:t xml:space="preserve">; </w:t>
      </w:r>
      <w:r>
        <w:rPr>
          <w:rFonts w:hint="cs"/>
          <w:rtl/>
        </w:rPr>
        <w:t>ו</w:t>
      </w:r>
      <w:r w:rsidRPr="00643AA8">
        <w:rPr>
          <w:rFonts w:hint="eastAsia"/>
          <w:rtl/>
        </w:rPr>
        <w:t>גוף</w:t>
      </w:r>
      <w:r w:rsidRPr="00643AA8">
        <w:rPr>
          <w:rtl/>
        </w:rPr>
        <w:t xml:space="preserve"> </w:t>
      </w:r>
      <w:r w:rsidRPr="00643AA8">
        <w:rPr>
          <w:rFonts w:hint="eastAsia"/>
          <w:rtl/>
        </w:rPr>
        <w:t>אחר</w:t>
      </w:r>
      <w:r w:rsidRPr="00643AA8">
        <w:rPr>
          <w:rtl/>
        </w:rPr>
        <w:t xml:space="preserve"> </w:t>
      </w:r>
      <w:r w:rsidRPr="00643AA8">
        <w:rPr>
          <w:rFonts w:hint="eastAsia"/>
          <w:rtl/>
        </w:rPr>
        <w:t>לא</w:t>
      </w:r>
      <w:r w:rsidRPr="00643AA8">
        <w:rPr>
          <w:rtl/>
        </w:rPr>
        <w:t xml:space="preserve"> </w:t>
      </w:r>
      <w:r w:rsidRPr="00643AA8">
        <w:rPr>
          <w:rFonts w:hint="eastAsia"/>
          <w:rtl/>
        </w:rPr>
        <w:t>ביצע</w:t>
      </w:r>
      <w:r w:rsidRPr="00643AA8">
        <w:rPr>
          <w:rtl/>
        </w:rPr>
        <w:t xml:space="preserve"> </w:t>
      </w:r>
      <w:r w:rsidRPr="00643AA8">
        <w:rPr>
          <w:rFonts w:hint="eastAsia"/>
          <w:rtl/>
        </w:rPr>
        <w:t>הפרשה</w:t>
      </w:r>
      <w:r w:rsidRPr="00643AA8">
        <w:rPr>
          <w:rtl/>
        </w:rPr>
        <w:t xml:space="preserve"> </w:t>
      </w:r>
      <w:r w:rsidRPr="00643AA8">
        <w:rPr>
          <w:rFonts w:hint="eastAsia"/>
          <w:rtl/>
        </w:rPr>
        <w:t>לאחר</w:t>
      </w:r>
      <w:r w:rsidRPr="00643AA8">
        <w:rPr>
          <w:rtl/>
        </w:rPr>
        <w:t xml:space="preserve"> </w:t>
      </w:r>
      <w:r w:rsidRPr="00643AA8">
        <w:rPr>
          <w:rFonts w:hint="eastAsia"/>
          <w:rtl/>
        </w:rPr>
        <w:t>בחינה</w:t>
      </w:r>
      <w:r w:rsidRPr="00643AA8">
        <w:rPr>
          <w:rtl/>
        </w:rPr>
        <w:t xml:space="preserve"> </w:t>
      </w:r>
      <w:r w:rsidRPr="00643AA8">
        <w:rPr>
          <w:rFonts w:hint="eastAsia"/>
          <w:rtl/>
        </w:rPr>
        <w:t>של</w:t>
      </w:r>
      <w:r w:rsidRPr="00643AA8">
        <w:rPr>
          <w:rtl/>
        </w:rPr>
        <w:t xml:space="preserve"> </w:t>
      </w:r>
      <w:r w:rsidRPr="00643AA8">
        <w:rPr>
          <w:rFonts w:hint="eastAsia"/>
          <w:rtl/>
        </w:rPr>
        <w:t>החובות</w:t>
      </w:r>
      <w:r w:rsidRPr="00643AA8">
        <w:rPr>
          <w:rtl/>
        </w:rPr>
        <w:t xml:space="preserve"> </w:t>
      </w:r>
      <w:r w:rsidRPr="00643AA8">
        <w:rPr>
          <w:rFonts w:hint="eastAsia"/>
          <w:rtl/>
        </w:rPr>
        <w:t>אליו</w:t>
      </w:r>
      <w:r w:rsidRPr="00643AA8">
        <w:rPr>
          <w:rtl/>
        </w:rPr>
        <w:t>.</w:t>
      </w:r>
      <w:r>
        <w:rPr>
          <w:rFonts w:hint="cs"/>
          <w:rtl/>
        </w:rPr>
        <w:t xml:space="preserve"> אשר</w:t>
      </w:r>
      <w:r w:rsidRPr="00643AA8">
        <w:rPr>
          <w:rtl/>
        </w:rPr>
        <w:t xml:space="preserve"> </w:t>
      </w:r>
      <w:r>
        <w:rPr>
          <w:rFonts w:hint="cs"/>
          <w:rtl/>
        </w:rPr>
        <w:t>לשלושה</w:t>
      </w:r>
      <w:r w:rsidRPr="00643AA8">
        <w:rPr>
          <w:rtl/>
        </w:rPr>
        <w:t xml:space="preserve"> מ</w:t>
      </w:r>
      <w:r>
        <w:rPr>
          <w:rFonts w:hint="cs"/>
          <w:rtl/>
        </w:rPr>
        <w:t>-</w:t>
      </w:r>
      <w:r w:rsidRPr="00643AA8">
        <w:rPr>
          <w:rtl/>
        </w:rPr>
        <w:t>15 המשרדים שנבדקו</w:t>
      </w:r>
      <w:r>
        <w:rPr>
          <w:rFonts w:hint="cs"/>
          <w:rtl/>
        </w:rPr>
        <w:t>, הם</w:t>
      </w:r>
      <w:r w:rsidRPr="00643AA8">
        <w:rPr>
          <w:rtl/>
        </w:rPr>
        <w:t xml:space="preserve"> אינם מיישמים את ההוראה ככתבה וכלשונה ואינם מבצעים כנדרש הפרשה כלשהי לחובות מסופקים בדוחות הכספיים, אף על פי שיש להם יתרות חייבים.</w:t>
      </w:r>
    </w:p>
    <w:p w14:paraId="4C8BED7C" w14:textId="77777777" w:rsidR="007C4395" w:rsidRDefault="007C4395" w:rsidP="003B2683">
      <w:pPr>
        <w:pStyle w:val="71f4"/>
        <w:rPr>
          <w:rtl/>
        </w:rPr>
      </w:pPr>
      <w:r w:rsidRPr="007352DA">
        <w:rPr>
          <w:rFonts w:hint="eastAsia"/>
          <w:rtl/>
        </w:rPr>
        <w:t>על</w:t>
      </w:r>
      <w:r w:rsidRPr="007352DA">
        <w:rPr>
          <w:rtl/>
        </w:rPr>
        <w:t xml:space="preserve"> </w:t>
      </w:r>
      <w:r w:rsidRPr="007352DA">
        <w:rPr>
          <w:rFonts w:hint="eastAsia"/>
          <w:rtl/>
        </w:rPr>
        <w:t>משרדי</w:t>
      </w:r>
      <w:r w:rsidRPr="007352DA">
        <w:rPr>
          <w:rtl/>
        </w:rPr>
        <w:t xml:space="preserve"> </w:t>
      </w:r>
      <w:r w:rsidRPr="007352DA">
        <w:rPr>
          <w:rFonts w:hint="eastAsia"/>
          <w:rtl/>
        </w:rPr>
        <w:t>הממשלה</w:t>
      </w:r>
      <w:r w:rsidRPr="007352DA">
        <w:rPr>
          <w:rtl/>
        </w:rPr>
        <w:t xml:space="preserve"> </w:t>
      </w:r>
      <w:r w:rsidRPr="007352DA">
        <w:rPr>
          <w:rFonts w:hint="eastAsia"/>
          <w:rtl/>
        </w:rPr>
        <w:t>ויח</w:t>
      </w:r>
      <w:r>
        <w:rPr>
          <w:rFonts w:hint="cs"/>
          <w:rtl/>
        </w:rPr>
        <w:t>י</w:t>
      </w:r>
      <w:r w:rsidRPr="007352DA">
        <w:rPr>
          <w:rFonts w:hint="eastAsia"/>
          <w:rtl/>
        </w:rPr>
        <w:t>דות</w:t>
      </w:r>
      <w:r w:rsidRPr="007352DA">
        <w:rPr>
          <w:rtl/>
        </w:rPr>
        <w:t xml:space="preserve"> הסמך לבחון את אחוזי ההפרשה </w:t>
      </w:r>
      <w:r>
        <w:rPr>
          <w:rFonts w:hint="cs"/>
          <w:rtl/>
        </w:rPr>
        <w:t xml:space="preserve">הכללית אחת לתקופה ולעדכנם בהתאם לגבייה בפועל, לגיל החוב ולניסיון העבר. נוסף על כך, על אגף </w:t>
      </w:r>
      <w:proofErr w:type="spellStart"/>
      <w:r>
        <w:rPr>
          <w:rFonts w:hint="cs"/>
          <w:rtl/>
        </w:rPr>
        <w:t>החשכ"ל</w:t>
      </w:r>
      <w:proofErr w:type="spellEnd"/>
      <w:r>
        <w:rPr>
          <w:rFonts w:hint="cs"/>
          <w:rtl/>
        </w:rPr>
        <w:t>, בשיתוף משרדי הממשלה, להתאים את מערכות המחשוב במשרדים כדי שיוכלו לשמש בסיס נאות לחישוב ההפרשה לחובות מסופקים.</w:t>
      </w:r>
    </w:p>
    <w:p w14:paraId="2F229CDE" w14:textId="77777777" w:rsidR="007C4395" w:rsidRPr="008728C4" w:rsidRDefault="007C4395" w:rsidP="003B2683">
      <w:pPr>
        <w:pStyle w:val="71f4"/>
        <w:rPr>
          <w:rtl/>
        </w:rPr>
      </w:pPr>
      <w:r>
        <w:rPr>
          <w:rFonts w:hint="cs"/>
          <w:rtl/>
        </w:rPr>
        <w:t xml:space="preserve">נוסף על כך, </w:t>
      </w:r>
      <w:r w:rsidRPr="008728C4">
        <w:rPr>
          <w:rFonts w:hint="cs"/>
          <w:rtl/>
        </w:rPr>
        <w:t xml:space="preserve">עולה כי </w:t>
      </w:r>
      <w:r w:rsidRPr="00AD6F00">
        <w:rPr>
          <w:rFonts w:hint="cs"/>
          <w:rtl/>
        </w:rPr>
        <w:t>14 מ</w:t>
      </w:r>
      <w:r>
        <w:rPr>
          <w:rFonts w:hint="cs"/>
          <w:rtl/>
        </w:rPr>
        <w:t>-</w:t>
      </w:r>
      <w:r w:rsidRPr="00AD6F00">
        <w:rPr>
          <w:rFonts w:hint="cs"/>
          <w:rtl/>
        </w:rPr>
        <w:t>15</w:t>
      </w:r>
      <w:r>
        <w:rPr>
          <w:rFonts w:hint="cs"/>
          <w:rtl/>
        </w:rPr>
        <w:t xml:space="preserve"> </w:t>
      </w:r>
      <w:r w:rsidRPr="00AD6F00">
        <w:rPr>
          <w:rFonts w:hint="cs"/>
          <w:rtl/>
        </w:rPr>
        <w:t>המשרדים</w:t>
      </w:r>
      <w:r>
        <w:rPr>
          <w:rFonts w:hint="cs"/>
          <w:rtl/>
        </w:rPr>
        <w:t xml:space="preserve"> </w:t>
      </w:r>
      <w:r w:rsidRPr="008728C4">
        <w:rPr>
          <w:rFonts w:hint="cs"/>
          <w:rtl/>
        </w:rPr>
        <w:t xml:space="preserve">שנבדקו אינם עומדים בהוראת </w:t>
      </w:r>
      <w:proofErr w:type="spellStart"/>
      <w:r w:rsidRPr="008728C4">
        <w:rPr>
          <w:rFonts w:hint="cs"/>
          <w:rtl/>
        </w:rPr>
        <w:t>התכ</w:t>
      </w:r>
      <w:r w:rsidRPr="008728C4">
        <w:rPr>
          <w:rtl/>
        </w:rPr>
        <w:t>"ם</w:t>
      </w:r>
      <w:proofErr w:type="spellEnd"/>
      <w:r w:rsidRPr="008728C4">
        <w:rPr>
          <w:rtl/>
        </w:rPr>
        <w:t xml:space="preserve"> </w:t>
      </w:r>
      <w:r>
        <w:rPr>
          <w:rFonts w:hint="cs"/>
          <w:rtl/>
        </w:rPr>
        <w:t>ה</w:t>
      </w:r>
      <w:r w:rsidRPr="008728C4">
        <w:rPr>
          <w:rtl/>
        </w:rPr>
        <w:t xml:space="preserve">נוגעת לדרישות הגילוי </w:t>
      </w:r>
      <w:r>
        <w:rPr>
          <w:rFonts w:hint="cs"/>
          <w:rtl/>
        </w:rPr>
        <w:t xml:space="preserve">על </w:t>
      </w:r>
      <w:r w:rsidRPr="008728C4">
        <w:rPr>
          <w:rtl/>
        </w:rPr>
        <w:t xml:space="preserve">אודות התנועה בחשבון ההפרשה לחובות מסופקים, </w:t>
      </w:r>
      <w:r>
        <w:rPr>
          <w:rFonts w:hint="cs"/>
          <w:rtl/>
        </w:rPr>
        <w:t>ו</w:t>
      </w:r>
      <w:r w:rsidRPr="008728C4">
        <w:rPr>
          <w:rtl/>
        </w:rPr>
        <w:t xml:space="preserve">בפרט אינם מציגים את היקף החובות שנמחקו </w:t>
      </w:r>
      <w:r>
        <w:rPr>
          <w:rFonts w:hint="cs"/>
          <w:rtl/>
        </w:rPr>
        <w:t>ואת סכומי ה</w:t>
      </w:r>
      <w:r w:rsidRPr="008728C4">
        <w:rPr>
          <w:rFonts w:hint="cs"/>
          <w:rtl/>
        </w:rPr>
        <w:t>גבייה של חובות מס</w:t>
      </w:r>
      <w:r>
        <w:rPr>
          <w:rFonts w:hint="cs"/>
          <w:rtl/>
        </w:rPr>
        <w:t xml:space="preserve">ופקים או </w:t>
      </w:r>
      <w:r w:rsidRPr="008728C4">
        <w:rPr>
          <w:rFonts w:hint="cs"/>
          <w:rtl/>
        </w:rPr>
        <w:t>אבודים</w:t>
      </w:r>
      <w:r>
        <w:rPr>
          <w:rFonts w:hint="cs"/>
          <w:rtl/>
        </w:rPr>
        <w:t xml:space="preserve">, אם </w:t>
      </w:r>
      <w:r w:rsidRPr="008728C4">
        <w:rPr>
          <w:rFonts w:hint="cs"/>
          <w:rtl/>
        </w:rPr>
        <w:t>היו.</w:t>
      </w:r>
    </w:p>
    <w:p w14:paraId="5DE8BCED" w14:textId="77777777" w:rsidR="007C4395" w:rsidRPr="00151D3B" w:rsidRDefault="007C4395" w:rsidP="002A738D">
      <w:pPr>
        <w:pStyle w:val="7190"/>
        <w:rPr>
          <w:rtl/>
        </w:rPr>
      </w:pPr>
      <w:r>
        <w:rPr>
          <w:rFonts w:hint="cs"/>
          <w:rtl/>
        </w:rPr>
        <w:t>עוד נמצא כי גם הדוחות הכספיים של המדינה אינם מספקים מידע על היקף החובות שנמחקו, אף שלמידע זה נודעת חשיבות רבה לציבור</w:t>
      </w:r>
      <w:r>
        <w:rPr>
          <w:rStyle w:val="ac"/>
          <w:rtl/>
        </w:rPr>
        <w:footnoteReference w:id="98"/>
      </w:r>
      <w:r>
        <w:rPr>
          <w:rFonts w:hint="cs"/>
          <w:rtl/>
        </w:rPr>
        <w:t xml:space="preserve"> והוא נדרש מתוקף הוראת </w:t>
      </w:r>
      <w:proofErr w:type="spellStart"/>
      <w:r>
        <w:rPr>
          <w:rFonts w:hint="cs"/>
          <w:rtl/>
        </w:rPr>
        <w:t>התכ"ם</w:t>
      </w:r>
      <w:proofErr w:type="spellEnd"/>
      <w:r>
        <w:rPr>
          <w:rFonts w:hint="cs"/>
          <w:rtl/>
        </w:rPr>
        <w:t>.</w:t>
      </w:r>
    </w:p>
    <w:p w14:paraId="44A4A67D" w14:textId="77777777" w:rsidR="007C4395" w:rsidRDefault="007C4395" w:rsidP="002A738D">
      <w:pPr>
        <w:pStyle w:val="7190"/>
        <w:rPr>
          <w:rtl/>
        </w:rPr>
      </w:pPr>
      <w:r>
        <w:rPr>
          <w:rFonts w:hint="cs"/>
          <w:rtl/>
        </w:rPr>
        <w:lastRenderedPageBreak/>
        <w:t xml:space="preserve">בתשובת אגף </w:t>
      </w:r>
      <w:proofErr w:type="spellStart"/>
      <w:r>
        <w:rPr>
          <w:rFonts w:hint="cs"/>
          <w:rtl/>
        </w:rPr>
        <w:t>החשכ"ל</w:t>
      </w:r>
      <w:proofErr w:type="spellEnd"/>
      <w:r>
        <w:rPr>
          <w:rFonts w:hint="cs"/>
          <w:rtl/>
        </w:rPr>
        <w:t xml:space="preserve"> נמסר כי באחריות הגופים הממשלתיים ליישם את התקינה החשבונאית ואת הוראות </w:t>
      </w:r>
      <w:proofErr w:type="spellStart"/>
      <w:r>
        <w:rPr>
          <w:rFonts w:hint="cs"/>
          <w:rtl/>
        </w:rPr>
        <w:t>התכ"ם</w:t>
      </w:r>
      <w:proofErr w:type="spellEnd"/>
      <w:r>
        <w:rPr>
          <w:rFonts w:hint="cs"/>
          <w:rtl/>
        </w:rPr>
        <w:t xml:space="preserve"> ולוודא רישום מתאים של הפרשה לחובות מסופקים. נוסף על כך, כדי לשפר את מצב הדברים, בחבילת הדיווח שתוגש על ידי רואי החשבון המבקרים עבור הדוחות הכספיים לשנת 2021 נוספה דרישה להתייחסות רואי החשבון לנושא הצגת התנועה בחשבון ההפרשה לחובות מסופקים. כמו כן ייבחנו כלים המתבססים על הדיווח שיסייעו למשרדים בהצגת הנתונים בדוחות הכספיים שלהם.</w:t>
      </w:r>
    </w:p>
    <w:p w14:paraId="7B93F3CE" w14:textId="77777777" w:rsidR="007C4395" w:rsidRDefault="007C4395" w:rsidP="002A738D">
      <w:pPr>
        <w:pStyle w:val="7190"/>
        <w:rPr>
          <w:rtl/>
        </w:rPr>
      </w:pPr>
      <w:r>
        <w:rPr>
          <w:rFonts w:hint="cs"/>
          <w:rtl/>
        </w:rPr>
        <w:t xml:space="preserve">בתשובת משרד הכלכלה והתעשייה צוין כי המשרד פועל לפי הוראת </w:t>
      </w:r>
      <w:proofErr w:type="spellStart"/>
      <w:r>
        <w:rPr>
          <w:rFonts w:hint="cs"/>
          <w:rtl/>
        </w:rPr>
        <w:t>תכ"ם</w:t>
      </w:r>
      <w:proofErr w:type="spellEnd"/>
      <w:r>
        <w:rPr>
          <w:rFonts w:hint="cs"/>
          <w:rtl/>
        </w:rPr>
        <w:t xml:space="preserve"> בנושא הפרשה לחובות מסופקים ומחיקת חובות אבודים בנוגע לחישוב אומדן ההפרשה. כן צוין כי בשנים האחרונות המשרד עבד באופן צמוד עם משרד רואי חשבון המבקר את הדוחות הכספיים בנוגע לאומדן הפרשה לחובות מסופקים (בעיקר חובות כלפי הרשות להשקעות), לרבות הכנת ניירות עבודה מפורטים. עם זאת, המשרד ישקול, בתיאום עם משרד רואי החשבון האמור, לתת גילוי נוסף בדוחות הכספיים.</w:t>
      </w:r>
    </w:p>
    <w:p w14:paraId="75FD2356" w14:textId="77777777" w:rsidR="007C4395" w:rsidRDefault="007C4395" w:rsidP="002A738D">
      <w:pPr>
        <w:pStyle w:val="7190"/>
        <w:rPr>
          <w:rtl/>
        </w:rPr>
      </w:pPr>
      <w:r>
        <w:rPr>
          <w:rFonts w:hint="cs"/>
          <w:rtl/>
        </w:rPr>
        <w:t xml:space="preserve">בתשובת הנהלת בתי המשפט צוין כי במהלך הכנת הדוחות הכספיים לשנת 2020, עוד לפני הביקורת הנוכחית, מינה מנהל בתי המשפט צוות שפעל רבות בנושא זה, ובכלל זה הסדיר את הפקתו של דוח גיול חובות שבאמצעותו תחושב ההפרשה לחובות מסופקים. בהתאם לכך, </w:t>
      </w:r>
      <w:r>
        <w:rPr>
          <w:rtl/>
        </w:rPr>
        <w:t>החל מהדוחות הכספיים לשנת 2021</w:t>
      </w:r>
      <w:r>
        <w:rPr>
          <w:rFonts w:hint="cs"/>
          <w:rtl/>
        </w:rPr>
        <w:t xml:space="preserve"> תירשם הפרשה נאותה לחובות מסופקים.</w:t>
      </w:r>
    </w:p>
    <w:p w14:paraId="0B41A40A" w14:textId="77777777" w:rsidR="007C4395" w:rsidRDefault="007C4395" w:rsidP="002A738D">
      <w:pPr>
        <w:pStyle w:val="7190"/>
        <w:rPr>
          <w:rtl/>
        </w:rPr>
      </w:pPr>
      <w:r>
        <w:rPr>
          <w:rFonts w:hint="cs"/>
          <w:rtl/>
        </w:rPr>
        <w:t xml:space="preserve">בתשובת משרד הבינוי והשיכון כי אכן, יש קושי בהצגת נתוני ההפרשה, מכיוון שהצגה שכזו יכולה לפגוע בסיכויי הגבייה, </w:t>
      </w:r>
      <w:r w:rsidRPr="009D48A4">
        <w:rPr>
          <w:rFonts w:hint="eastAsia"/>
          <w:rtl/>
        </w:rPr>
        <w:t>וכי</w:t>
      </w:r>
      <w:r>
        <w:rPr>
          <w:rFonts w:hint="cs"/>
          <w:rtl/>
        </w:rPr>
        <w:t xml:space="preserve"> הנושא ייבדק מול החשבונאית הראשית </w:t>
      </w:r>
      <w:proofErr w:type="spellStart"/>
      <w:r>
        <w:rPr>
          <w:rFonts w:hint="cs"/>
          <w:rtl/>
        </w:rPr>
        <w:t>בחשכ"ל</w:t>
      </w:r>
      <w:proofErr w:type="spellEnd"/>
      <w:r>
        <w:rPr>
          <w:rFonts w:hint="cs"/>
          <w:rtl/>
        </w:rPr>
        <w:t xml:space="preserve">. כמו כן ציין משרד הבינוי והשיכון כי הוא מוסר בכל שנה </w:t>
      </w:r>
      <w:proofErr w:type="spellStart"/>
      <w:r>
        <w:rPr>
          <w:rFonts w:hint="cs"/>
          <w:rtl/>
        </w:rPr>
        <w:t>לחשכ"ל</w:t>
      </w:r>
      <w:proofErr w:type="spellEnd"/>
      <w:r>
        <w:rPr>
          <w:rFonts w:hint="cs"/>
          <w:rtl/>
        </w:rPr>
        <w:t xml:space="preserve"> ביאור בנוגע להתפתחות החובות של המשרד, ובין היתר פירוט של חובות חדשים, ביטולי חובות ומחיקות. </w:t>
      </w:r>
    </w:p>
    <w:p w14:paraId="703EC89B" w14:textId="77777777" w:rsidR="007C4395" w:rsidRDefault="007C4395" w:rsidP="002A738D">
      <w:pPr>
        <w:pStyle w:val="7190"/>
        <w:rPr>
          <w:rtl/>
        </w:rPr>
      </w:pPr>
      <w:r>
        <w:rPr>
          <w:rFonts w:hint="cs"/>
          <w:rtl/>
        </w:rPr>
        <w:t xml:space="preserve">בתשובת משרד </w:t>
      </w:r>
      <w:proofErr w:type="spellStart"/>
      <w:r>
        <w:rPr>
          <w:rFonts w:hint="cs"/>
          <w:rtl/>
        </w:rPr>
        <w:t>האנרגייה</w:t>
      </w:r>
      <w:proofErr w:type="spellEnd"/>
      <w:r>
        <w:rPr>
          <w:rFonts w:hint="cs"/>
          <w:rtl/>
        </w:rPr>
        <w:t xml:space="preserve"> צוין כי למשרד קיימת הפרשה לחובות מסופקים בשל קנסות שיש קושי בגביית החובות שנוצרו בגינם על ידי יחידה אחת </w:t>
      </w:r>
      <w:r w:rsidRPr="009D48A4">
        <w:rPr>
          <w:rFonts w:hint="eastAsia"/>
          <w:rtl/>
        </w:rPr>
        <w:t>במשרד</w:t>
      </w:r>
      <w:r>
        <w:rPr>
          <w:rFonts w:hint="cs"/>
          <w:rtl/>
        </w:rPr>
        <w:t xml:space="preserve">. משרד </w:t>
      </w:r>
      <w:proofErr w:type="spellStart"/>
      <w:r>
        <w:rPr>
          <w:rFonts w:hint="cs"/>
          <w:rtl/>
        </w:rPr>
        <w:t>האנרגייה</w:t>
      </w:r>
      <w:proofErr w:type="spellEnd"/>
      <w:r>
        <w:rPr>
          <w:rFonts w:hint="cs"/>
          <w:rtl/>
        </w:rPr>
        <w:t xml:space="preserve"> הוסיף כי מדובר בחוב של כמיליון ש"ח, וכי שיעור ההפרשה שונה בין השנים. </w:t>
      </w:r>
    </w:p>
    <w:p w14:paraId="33A2CC42" w14:textId="77777777" w:rsidR="007C4395" w:rsidRDefault="007C4395" w:rsidP="002A738D">
      <w:pPr>
        <w:pStyle w:val="7190"/>
        <w:rPr>
          <w:rtl/>
        </w:rPr>
      </w:pPr>
      <w:r w:rsidRPr="00E41A8A">
        <w:rPr>
          <w:rFonts w:hint="cs"/>
          <w:rtl/>
        </w:rPr>
        <w:t xml:space="preserve">בתשובת הרשות הממשלתית למים ולביוב צוין כי בדוחות הכספיים מפורטת הבחנה בין יתרות משמעותיות שנבדקות ספציפית לבין יתרות אחרות שלגביהן יש ליצור הפרשה כללית בהתאם למדיניות הנהלת הרשות, על בסיס ניסיון העבר ובהתאם להוראות המחייבות. </w:t>
      </w:r>
      <w:r>
        <w:rPr>
          <w:rFonts w:hint="cs"/>
          <w:rtl/>
        </w:rPr>
        <w:t>כן צוין בתשובת הרשות כי "</w:t>
      </w:r>
      <w:r w:rsidRPr="00E41A8A">
        <w:rPr>
          <w:rFonts w:hint="cs"/>
          <w:rtl/>
        </w:rPr>
        <w:t xml:space="preserve">לאור הפניית תשומת הלב לאמור בהוראת </w:t>
      </w:r>
      <w:proofErr w:type="spellStart"/>
      <w:r w:rsidRPr="00E41A8A">
        <w:rPr>
          <w:rFonts w:hint="cs"/>
          <w:rtl/>
        </w:rPr>
        <w:t>התכ"ם</w:t>
      </w:r>
      <w:proofErr w:type="spellEnd"/>
      <w:r w:rsidRPr="00E41A8A">
        <w:rPr>
          <w:rFonts w:hint="cs"/>
          <w:rtl/>
        </w:rPr>
        <w:t xml:space="preserve"> לעיל, סעיף 2.6 בדבר מתן גילוי בכל הנוגע להפרשה לחובות מסופקים בדוחות הכספיים, יינתן </w:t>
      </w:r>
      <w:r w:rsidRPr="00E41A8A">
        <w:rPr>
          <w:rFonts w:hint="eastAsia"/>
          <w:b/>
          <w:bCs/>
          <w:u w:val="single"/>
          <w:rtl/>
        </w:rPr>
        <w:t>גילוי</w:t>
      </w:r>
      <w:r w:rsidRPr="00E41A8A">
        <w:rPr>
          <w:b/>
          <w:bCs/>
          <w:u w:val="single"/>
          <w:rtl/>
        </w:rPr>
        <w:t xml:space="preserve"> </w:t>
      </w:r>
      <w:r w:rsidRPr="00E41A8A">
        <w:rPr>
          <w:rFonts w:hint="eastAsia"/>
          <w:b/>
          <w:bCs/>
          <w:u w:val="single"/>
          <w:rtl/>
        </w:rPr>
        <w:t>מפורט</w:t>
      </w:r>
      <w:r w:rsidRPr="00E41A8A">
        <w:rPr>
          <w:rFonts w:hint="cs"/>
          <w:rtl/>
        </w:rPr>
        <w:t xml:space="preserve"> [</w:t>
      </w:r>
      <w:r>
        <w:rPr>
          <w:rFonts w:hint="cs"/>
          <w:rtl/>
        </w:rPr>
        <w:t>ההדגשה</w:t>
      </w:r>
      <w:r w:rsidRPr="00E41A8A">
        <w:rPr>
          <w:rFonts w:hint="cs"/>
          <w:rtl/>
        </w:rPr>
        <w:t xml:space="preserve"> במקור], בדוח הכספי לתנועה בחשבון ההפרשה, שיכלול בין היתר (ככל שרלוונטי) הפסד שהוכר השנה, הפרשה שנוצלה השנה (הכרזת חובות אבודים) </w:t>
      </w:r>
      <w:proofErr w:type="spellStart"/>
      <w:r w:rsidRPr="00E41A8A">
        <w:rPr>
          <w:rFonts w:hint="cs"/>
          <w:rtl/>
        </w:rPr>
        <w:t>וכו</w:t>
      </w:r>
      <w:proofErr w:type="spellEnd"/>
      <w:r w:rsidRPr="00E41A8A">
        <w:rPr>
          <w:rFonts w:hint="cs"/>
          <w:rtl/>
        </w:rPr>
        <w:t>'</w:t>
      </w:r>
      <w:r>
        <w:rPr>
          <w:rFonts w:hint="cs"/>
          <w:rtl/>
        </w:rPr>
        <w:t>"</w:t>
      </w:r>
      <w:r w:rsidRPr="00E41A8A">
        <w:rPr>
          <w:rFonts w:hint="cs"/>
          <w:rtl/>
        </w:rPr>
        <w:t>.</w:t>
      </w:r>
    </w:p>
    <w:p w14:paraId="0782D3D3" w14:textId="77777777" w:rsidR="007C4395" w:rsidRDefault="007C4395" w:rsidP="007C4395">
      <w:pPr>
        <w:bidi w:val="0"/>
        <w:spacing w:after="200" w:line="276" w:lineRule="auto"/>
        <w:rPr>
          <w:rtl/>
        </w:rPr>
      </w:pPr>
      <w:r>
        <w:rPr>
          <w:rtl/>
        </w:rPr>
        <w:br w:type="page"/>
      </w:r>
    </w:p>
    <w:p w14:paraId="410502F2" w14:textId="77777777" w:rsidR="007C4395" w:rsidRPr="007E04A2" w:rsidRDefault="007C4395" w:rsidP="002A738D">
      <w:pPr>
        <w:pStyle w:val="7190"/>
        <w:rPr>
          <w:rtl/>
        </w:rPr>
      </w:pPr>
      <w:r>
        <w:rPr>
          <w:rFonts w:hint="cs"/>
          <w:rtl/>
        </w:rPr>
        <w:lastRenderedPageBreak/>
        <w:t xml:space="preserve">בתשובת משרד החינוך מינואר 2022 צוין כי </w:t>
      </w:r>
      <w:r>
        <w:rPr>
          <w:rtl/>
        </w:rPr>
        <w:t xml:space="preserve">בדוחות הכספיים של משרד החינוך מבוצעת הפרשה חשבונאית בגין חובות מסופקים בהתאם להוראות </w:t>
      </w:r>
      <w:proofErr w:type="spellStart"/>
      <w:r>
        <w:rPr>
          <w:rtl/>
        </w:rPr>
        <w:t>התכ</w:t>
      </w:r>
      <w:r>
        <w:rPr>
          <w:rFonts w:hint="cs"/>
          <w:rtl/>
        </w:rPr>
        <w:t>"ם</w:t>
      </w:r>
      <w:proofErr w:type="spellEnd"/>
      <w:r>
        <w:rPr>
          <w:rtl/>
        </w:rPr>
        <w:t xml:space="preserve"> והכללים החשבונאיים הנדרשים,</w:t>
      </w:r>
      <w:r>
        <w:rPr>
          <w:rFonts w:hint="cs"/>
          <w:rtl/>
        </w:rPr>
        <w:t xml:space="preserve"> </w:t>
      </w:r>
      <w:r>
        <w:rPr>
          <w:rtl/>
        </w:rPr>
        <w:t>ההפרשה מחושבת ספציפית בגין יתרות חייבים אשר להערכת המשרד הסיכוי לגבייתם קטן.</w:t>
      </w:r>
    </w:p>
    <w:p w14:paraId="784EC7B7" w14:textId="77777777" w:rsidR="007C4395" w:rsidRDefault="007C4395" w:rsidP="002A738D">
      <w:pPr>
        <w:pStyle w:val="7190"/>
        <w:rPr>
          <w:rtl/>
        </w:rPr>
      </w:pPr>
      <w:r w:rsidRPr="009D48A4">
        <w:rPr>
          <w:rFonts w:hint="eastAsia"/>
          <w:rtl/>
        </w:rPr>
        <w:t>בתשובת</w:t>
      </w:r>
      <w:r w:rsidRPr="009D48A4">
        <w:rPr>
          <w:rtl/>
        </w:rPr>
        <w:t xml:space="preserve"> משרד הפנים </w:t>
      </w:r>
      <w:r w:rsidRPr="009D48A4">
        <w:rPr>
          <w:rFonts w:hint="eastAsia"/>
          <w:rtl/>
        </w:rPr>
        <w:t>צוין</w:t>
      </w:r>
      <w:r w:rsidRPr="009D48A4">
        <w:rPr>
          <w:rtl/>
        </w:rPr>
        <w:t xml:space="preserve"> כי משרד הפנים פועל בנושא הפרשה לחובות מסופקים בהתאם לכללי החשבונאות והוראות </w:t>
      </w:r>
      <w:proofErr w:type="spellStart"/>
      <w:r w:rsidRPr="009D48A4">
        <w:rPr>
          <w:rtl/>
        </w:rPr>
        <w:t>התכ"ם</w:t>
      </w:r>
      <w:proofErr w:type="spellEnd"/>
      <w:r w:rsidRPr="009D48A4">
        <w:rPr>
          <w:rtl/>
        </w:rPr>
        <w:t>. בדוחות לשנים 2019 ו-2020, נבחן הנושא ולא היה צורך בביצוע הפרשה כלשהי.</w:t>
      </w:r>
    </w:p>
    <w:p w14:paraId="0150B477" w14:textId="77777777" w:rsidR="007C4395" w:rsidRDefault="007C4395" w:rsidP="002A738D">
      <w:pPr>
        <w:pStyle w:val="7190"/>
        <w:rPr>
          <w:rtl/>
        </w:rPr>
      </w:pPr>
      <w:r>
        <w:rPr>
          <w:rFonts w:hint="cs"/>
          <w:rtl/>
        </w:rPr>
        <w:t xml:space="preserve">בתשובת משרד התקשורת מינואר 2022 צוין כי בשנה האחרונה המשרד עומל על פיתוח והטמעה של מערכת ניהול הספקטרום הלאומי, מערכת </w:t>
      </w:r>
      <w:r>
        <w:rPr>
          <w:rFonts w:hint="cs"/>
        </w:rPr>
        <w:t>SIMS</w:t>
      </w:r>
      <w:r>
        <w:rPr>
          <w:rFonts w:hint="cs"/>
          <w:rtl/>
        </w:rPr>
        <w:t>, אשר צפויה בין היתר להנפיק אגרות תדרים, בניגוד למערכת הקיימת כיום. משרד התקשורת ציין כי עם עלייתה לאוויר של המערכת החדשה, במחצית השנייה של שנת 2022, יהיה ניתן לרשום את ההפרשות הרלוונטיות לחובות מסופקים.</w:t>
      </w:r>
    </w:p>
    <w:p w14:paraId="1027EBCF" w14:textId="77777777" w:rsidR="007C4395" w:rsidRDefault="007C4395" w:rsidP="002A738D">
      <w:pPr>
        <w:pStyle w:val="7190"/>
        <w:rPr>
          <w:rtl/>
        </w:rPr>
      </w:pPr>
      <w:r>
        <w:rPr>
          <w:rFonts w:hint="cs"/>
          <w:rtl/>
        </w:rPr>
        <w:t xml:space="preserve">בתשובת </w:t>
      </w:r>
      <w:proofErr w:type="spellStart"/>
      <w:r>
        <w:rPr>
          <w:rFonts w:hint="cs"/>
          <w:rtl/>
        </w:rPr>
        <w:t>רמ"י</w:t>
      </w:r>
      <w:proofErr w:type="spellEnd"/>
      <w:r>
        <w:rPr>
          <w:rFonts w:hint="cs"/>
          <w:rtl/>
        </w:rPr>
        <w:t xml:space="preserve"> צוין כי ההחלטה לבצע הפרשה כללית ולא ספציפית התקבלה בהתאם לעמדת משרד רואי החשבון המלווה את אגף הכספים בהכנת הדוחות הכספיים, וכי עמדה זו נבחנת מדי שנה בשנה בנוגע למצבת הדוחות. </w:t>
      </w:r>
      <w:proofErr w:type="spellStart"/>
      <w:r>
        <w:rPr>
          <w:rFonts w:hint="cs"/>
          <w:rtl/>
        </w:rPr>
        <w:t>רמ"י</w:t>
      </w:r>
      <w:proofErr w:type="spellEnd"/>
      <w:r>
        <w:rPr>
          <w:rFonts w:hint="cs"/>
          <w:rtl/>
        </w:rPr>
        <w:t xml:space="preserve"> הוסיפה כי הפרשה ספציפית תבוצע אם יתברר כי יש חובות אשר כדאי בגינם לבצע זאת.</w:t>
      </w:r>
    </w:p>
    <w:p w14:paraId="668E2EFA" w14:textId="77777777" w:rsidR="007C4395" w:rsidRDefault="007C4395" w:rsidP="002A738D">
      <w:pPr>
        <w:pStyle w:val="7190"/>
        <w:rPr>
          <w:rtl/>
        </w:rPr>
      </w:pPr>
      <w:r>
        <w:rPr>
          <w:rFonts w:hint="cs"/>
          <w:rtl/>
        </w:rPr>
        <w:t>בתשובת משרד הבריאות צוין כי המשרד מבצע הפרשה כללית על פי גישה שמרנית, וכן על פי תחשיבים שונים שנערכו על סמך ניסיון העבר ובהתאם להוראות, לתקינה ולנאמר בביאור המדיניות החשבונאית.</w:t>
      </w:r>
      <w:r>
        <w:rPr>
          <w:rtl/>
        </w:rPr>
        <w:t xml:space="preserve"> </w:t>
      </w:r>
    </w:p>
    <w:p w14:paraId="77AD1CCC" w14:textId="77777777" w:rsidR="007C4395" w:rsidRDefault="007C4395" w:rsidP="003B2683">
      <w:pPr>
        <w:pStyle w:val="71f4"/>
        <w:rPr>
          <w:rtl/>
        </w:rPr>
      </w:pPr>
      <w:r>
        <w:rPr>
          <w:rFonts w:hint="cs"/>
          <w:rtl/>
        </w:rPr>
        <w:t xml:space="preserve">על אגף </w:t>
      </w:r>
      <w:proofErr w:type="spellStart"/>
      <w:r>
        <w:rPr>
          <w:rFonts w:hint="cs"/>
          <w:rtl/>
        </w:rPr>
        <w:t>החשכ"ל</w:t>
      </w:r>
      <w:proofErr w:type="spellEnd"/>
      <w:r>
        <w:rPr>
          <w:rFonts w:hint="cs"/>
          <w:rtl/>
        </w:rPr>
        <w:t xml:space="preserve">, בשיתוף </w:t>
      </w:r>
      <w:proofErr w:type="spellStart"/>
      <w:r>
        <w:rPr>
          <w:rFonts w:hint="cs"/>
          <w:rtl/>
        </w:rPr>
        <w:t>החשבויות</w:t>
      </w:r>
      <w:proofErr w:type="spellEnd"/>
      <w:r>
        <w:rPr>
          <w:rFonts w:hint="cs"/>
          <w:rtl/>
        </w:rPr>
        <w:t xml:space="preserve"> במשרדי הממשלה ויחידות הסמך, לדאוג לעמידה בהוראת </w:t>
      </w:r>
      <w:proofErr w:type="spellStart"/>
      <w:r>
        <w:rPr>
          <w:rFonts w:hint="cs"/>
          <w:rtl/>
        </w:rPr>
        <w:t>התכ"ם</w:t>
      </w:r>
      <w:proofErr w:type="spellEnd"/>
      <w:r>
        <w:rPr>
          <w:rFonts w:hint="cs"/>
          <w:rtl/>
        </w:rPr>
        <w:t xml:space="preserve"> הרלוונטית, ובפרט לוודא את עמידת הגופים השונים בדרישות הגילוי כפי שהן עולות מההוראה. זאת לשם הצגה כנדרש של מצבת החובות עבור ציבור משתמשי הדוחות הכספיים.</w:t>
      </w:r>
    </w:p>
    <w:p w14:paraId="4736BCE3" w14:textId="77777777" w:rsidR="007C4395" w:rsidRPr="006F4D0D" w:rsidRDefault="007C4395" w:rsidP="006F4D0D">
      <w:pPr>
        <w:pStyle w:val="71612"/>
        <w:rPr>
          <w:rtl/>
        </w:rPr>
      </w:pPr>
      <w:r w:rsidRPr="006F4D0D">
        <w:rPr>
          <w:rFonts w:hint="cs"/>
          <w:rtl/>
        </w:rPr>
        <w:t>הפרשה לחובות מסופקים שנרשמה בספרי רשות האכיפה והגבייה</w:t>
      </w:r>
    </w:p>
    <w:p w14:paraId="19F93732" w14:textId="77777777" w:rsidR="007C4395" w:rsidRDefault="007C4395" w:rsidP="002A738D">
      <w:pPr>
        <w:pStyle w:val="7190"/>
        <w:rPr>
          <w:rtl/>
        </w:rPr>
      </w:pPr>
      <w:r>
        <w:rPr>
          <w:rFonts w:hint="cs"/>
          <w:rtl/>
        </w:rPr>
        <w:t>משרד מבקר המדינה בדק את אופן רישום ההפרשה לחובות מסופקים בדוחות הכספיים של רשות האכיפה והגבייה.</w:t>
      </w:r>
    </w:p>
    <w:p w14:paraId="08C72DC4" w14:textId="77777777" w:rsidR="007C4395" w:rsidRPr="00AA4D74" w:rsidRDefault="007C4395" w:rsidP="002A738D">
      <w:pPr>
        <w:pStyle w:val="7190"/>
        <w:rPr>
          <w:rtl/>
        </w:rPr>
      </w:pPr>
      <w:r>
        <w:rPr>
          <w:rFonts w:hint="cs"/>
          <w:rtl/>
        </w:rPr>
        <w:t xml:space="preserve">נמצא כי רשות האכיפה והגבייה רושמת בספריה הפרשה כללית בלבד לחובות </w:t>
      </w:r>
      <w:r w:rsidRPr="006249D5">
        <w:rPr>
          <w:rFonts w:hint="cs"/>
          <w:rtl/>
        </w:rPr>
        <w:t xml:space="preserve">מסופקים </w:t>
      </w:r>
      <w:proofErr w:type="spellStart"/>
      <w:r>
        <w:rPr>
          <w:rFonts w:hint="cs"/>
          <w:rtl/>
        </w:rPr>
        <w:t>שהמג"ק</w:t>
      </w:r>
      <w:proofErr w:type="spellEnd"/>
      <w:r>
        <w:rPr>
          <w:rFonts w:hint="cs"/>
          <w:rtl/>
        </w:rPr>
        <w:t xml:space="preserve"> גובה עבור אוצר המדינה בשיעור קבוע של 57%, וזאת לפי תחשיב משנת 2017 של משרד רואה חשבון ששירותיו נשכרו למטרה זו.</w:t>
      </w:r>
    </w:p>
    <w:p w14:paraId="5C337F4F" w14:textId="77777777" w:rsidR="007C4395" w:rsidRDefault="007C4395" w:rsidP="003B2683">
      <w:pPr>
        <w:pStyle w:val="71f4"/>
        <w:rPr>
          <w:rtl/>
        </w:rPr>
      </w:pPr>
      <w:r w:rsidRPr="00373B0B">
        <w:rPr>
          <w:rFonts w:hint="cs"/>
          <w:rtl/>
        </w:rPr>
        <w:lastRenderedPageBreak/>
        <w:t xml:space="preserve">נמצא כי </w:t>
      </w:r>
      <w:r>
        <w:rPr>
          <w:rFonts w:hint="cs"/>
          <w:rtl/>
        </w:rPr>
        <w:t xml:space="preserve">אף שההפרשה שמבצעת </w:t>
      </w:r>
      <w:r w:rsidRPr="00373B0B">
        <w:rPr>
          <w:rFonts w:hint="cs"/>
          <w:rtl/>
        </w:rPr>
        <w:t xml:space="preserve">רשות האכיפה והגבייה </w:t>
      </w:r>
      <w:r>
        <w:rPr>
          <w:rFonts w:hint="cs"/>
          <w:rtl/>
        </w:rPr>
        <w:t xml:space="preserve">נעשית הן ביחס לחובות המוצגים לטווח ארוך והן </w:t>
      </w:r>
      <w:r w:rsidRPr="00FF362C">
        <w:rPr>
          <w:rFonts w:hint="cs"/>
          <w:rtl/>
        </w:rPr>
        <w:t xml:space="preserve">ביחס לחובות המוצגים לטווח קצר, היא מיוחסת בדוחות הכספיים של הרשות לחובות לטווח הזמן הארוך בלבד. כמו כן, הרשות מבצעת הפרשה כללית בלבד בשיעור קבוע של </w:t>
      </w:r>
      <w:r w:rsidRPr="00FF362C">
        <w:rPr>
          <w:rtl/>
        </w:rPr>
        <w:t>57%</w:t>
      </w:r>
      <w:r w:rsidRPr="00FF362C">
        <w:rPr>
          <w:rFonts w:hint="cs"/>
          <w:rtl/>
        </w:rPr>
        <w:t xml:space="preserve"> (בהיקף של כ-2.</w:t>
      </w:r>
      <w:r>
        <w:rPr>
          <w:rFonts w:hint="cs"/>
          <w:rtl/>
        </w:rPr>
        <w:t>4</w:t>
      </w:r>
      <w:r w:rsidRPr="00FF362C">
        <w:rPr>
          <w:rFonts w:hint="cs"/>
          <w:rtl/>
        </w:rPr>
        <w:t xml:space="preserve"> מיליארד ש"ח נכון ל-31.12.2020 מתוך חובות ברוטו של כ-4.3 מיליארד ש"ח), המבוסס על חישוב שנעשה במשרד </w:t>
      </w:r>
      <w:r>
        <w:rPr>
          <w:rFonts w:hint="cs"/>
          <w:rtl/>
        </w:rPr>
        <w:t>רואה חשבון</w:t>
      </w:r>
      <w:r w:rsidRPr="00FF362C">
        <w:rPr>
          <w:rFonts w:hint="cs"/>
          <w:rtl/>
        </w:rPr>
        <w:t xml:space="preserve"> חיצוני בשנת 2017.</w:t>
      </w:r>
    </w:p>
    <w:p w14:paraId="3EA7E200" w14:textId="77777777" w:rsidR="007C4395" w:rsidRDefault="007C4395" w:rsidP="002A738D">
      <w:pPr>
        <w:pStyle w:val="7190"/>
        <w:rPr>
          <w:rtl/>
        </w:rPr>
      </w:pPr>
      <w:r>
        <w:rPr>
          <w:rFonts w:hint="cs"/>
          <w:rtl/>
        </w:rPr>
        <w:t xml:space="preserve">בתשובת רשות האכיפה והגבייה צוין בנושא ייחוס ההפרשה הן לזמן קצר והן לזמן ארוך, כי הרשות תיתן על כך את הדעת בביאור עיקרי המדיניות החשבונאית. נוסף על כך ציינה הרשות כי שקלה לבחון מחדש את אומדן הגבייה הצפוי של החובות ואת ההשפעה על סכום ההפרשה. ואולם מכיוון שקיימת טיוטת הוראת </w:t>
      </w:r>
      <w:proofErr w:type="spellStart"/>
      <w:r>
        <w:rPr>
          <w:rFonts w:hint="cs"/>
          <w:rtl/>
        </w:rPr>
        <w:t>תכ"ם</w:t>
      </w:r>
      <w:proofErr w:type="spellEnd"/>
      <w:r>
        <w:rPr>
          <w:rFonts w:hint="cs"/>
          <w:rtl/>
        </w:rPr>
        <w:t xml:space="preserve"> העומדת לפני אישור אגף </w:t>
      </w:r>
      <w:proofErr w:type="spellStart"/>
      <w:r>
        <w:rPr>
          <w:rFonts w:hint="cs"/>
          <w:rtl/>
        </w:rPr>
        <w:t>החשכ"ל</w:t>
      </w:r>
      <w:proofErr w:type="spellEnd"/>
      <w:r>
        <w:rPr>
          <w:rFonts w:hint="cs"/>
          <w:rtl/>
        </w:rPr>
        <w:t>, אשר נקבע בה בין היתר שמשרדי הממשלה ירשמו את החוב בספריהם, לרבות ביצוע הפרשה לחובות מסופקים, אין מקום לעדכון ההפרשה</w:t>
      </w:r>
      <w:r>
        <w:rPr>
          <w:rStyle w:val="ac"/>
          <w:rtl/>
        </w:rPr>
        <w:footnoteReference w:id="99"/>
      </w:r>
      <w:r>
        <w:rPr>
          <w:rFonts w:hint="cs"/>
          <w:rtl/>
        </w:rPr>
        <w:t>.</w:t>
      </w:r>
    </w:p>
    <w:p w14:paraId="17D25B20" w14:textId="77777777" w:rsidR="007C4395" w:rsidRPr="003C2236" w:rsidRDefault="007C4395" w:rsidP="003B2683">
      <w:pPr>
        <w:pStyle w:val="71f4"/>
        <w:rPr>
          <w:rtl/>
        </w:rPr>
      </w:pPr>
      <w:r w:rsidRPr="00373B0B">
        <w:rPr>
          <w:rFonts w:hint="cs"/>
          <w:rtl/>
        </w:rPr>
        <w:t>על רשות הא</w:t>
      </w:r>
      <w:r>
        <w:rPr>
          <w:rFonts w:hint="cs"/>
          <w:rtl/>
        </w:rPr>
        <w:t>כיפה והגבייה לדייק באופן הצגת ההפרשה לחובות מסופקים בדוחותיה הכספיים, לבחון את הצורך לרשום</w:t>
      </w:r>
      <w:r w:rsidRPr="00373B0B">
        <w:rPr>
          <w:rFonts w:hint="cs"/>
          <w:rtl/>
        </w:rPr>
        <w:t xml:space="preserve"> בספריה הפרשה ספציפית</w:t>
      </w:r>
      <w:r>
        <w:rPr>
          <w:rFonts w:hint="cs"/>
          <w:rtl/>
        </w:rPr>
        <w:t xml:space="preserve"> לחובות מסופקים לפי מקור החוב ולבחון אחת לתקופה את </w:t>
      </w:r>
      <w:r w:rsidRPr="00373B0B">
        <w:rPr>
          <w:rFonts w:hint="cs"/>
          <w:rtl/>
        </w:rPr>
        <w:t>אומדן</w:t>
      </w:r>
      <w:r>
        <w:rPr>
          <w:rFonts w:hint="cs"/>
          <w:rtl/>
        </w:rPr>
        <w:t xml:space="preserve"> הגבייה הצפוי ובעקבות זאת גם </w:t>
      </w:r>
      <w:r w:rsidRPr="00373B0B">
        <w:rPr>
          <w:rFonts w:hint="cs"/>
          <w:rtl/>
        </w:rPr>
        <w:t>את אחוז ההפרשה הכללית.</w:t>
      </w:r>
    </w:p>
    <w:p w14:paraId="7BFEA46D" w14:textId="77777777" w:rsidR="007C4395" w:rsidRDefault="007C4395" w:rsidP="007C4395">
      <w:pPr>
        <w:spacing w:line="269" w:lineRule="auto"/>
        <w:rPr>
          <w:szCs w:val="20"/>
          <w:rtl/>
        </w:rPr>
      </w:pPr>
    </w:p>
    <w:p w14:paraId="72F6E693" w14:textId="77777777" w:rsidR="007C4395" w:rsidRDefault="007C4395" w:rsidP="007C4395">
      <w:pPr>
        <w:bidi w:val="0"/>
        <w:spacing w:after="200" w:line="276" w:lineRule="auto"/>
        <w:rPr>
          <w:rFonts w:eastAsiaTheme="majorEastAsia"/>
          <w:bCs/>
          <w:szCs w:val="28"/>
          <w:u w:val="single"/>
          <w:rtl/>
        </w:rPr>
      </w:pPr>
      <w:r>
        <w:rPr>
          <w:rtl/>
        </w:rPr>
        <w:br w:type="page"/>
      </w:r>
    </w:p>
    <w:p w14:paraId="04F894B6" w14:textId="77777777" w:rsidR="007C4395" w:rsidRDefault="007C4395" w:rsidP="006F4D0D">
      <w:pPr>
        <w:pStyle w:val="71fa"/>
        <w:rPr>
          <w:rtl/>
        </w:rPr>
      </w:pPr>
      <w:r>
        <w:rPr>
          <w:rFonts w:hint="cs"/>
          <w:rtl/>
        </w:rPr>
        <w:lastRenderedPageBreak/>
        <w:t>סיכום</w:t>
      </w:r>
    </w:p>
    <w:p w14:paraId="2312F095" w14:textId="261D126F" w:rsidR="003D06C1" w:rsidRPr="001B04D9" w:rsidRDefault="007C4395" w:rsidP="003B2683">
      <w:pPr>
        <w:pStyle w:val="71f4"/>
      </w:pPr>
      <w:r w:rsidRPr="000C0978">
        <w:rPr>
          <w:rFonts w:hint="cs"/>
          <w:rtl/>
        </w:rPr>
        <w:t>כחלק מהפעילויות השוטפות במשרדי הממשלה</w:t>
      </w:r>
      <w:r>
        <w:rPr>
          <w:rFonts w:hint="cs"/>
          <w:rtl/>
        </w:rPr>
        <w:t>,</w:t>
      </w:r>
      <w:r w:rsidRPr="000C0978">
        <w:rPr>
          <w:rFonts w:hint="cs"/>
          <w:rtl/>
        </w:rPr>
        <w:t xml:space="preserve"> לע</w:t>
      </w:r>
      <w:r>
        <w:rPr>
          <w:rFonts w:hint="cs"/>
          <w:rtl/>
        </w:rPr>
        <w:t>י</w:t>
      </w:r>
      <w:r w:rsidRPr="000C0978">
        <w:rPr>
          <w:rFonts w:hint="cs"/>
          <w:rtl/>
        </w:rPr>
        <w:t>תים נוצרת למשרד הממשלתי זכות לקבלת כספים שעשויה להתגבש לידי חוב</w:t>
      </w:r>
      <w:r>
        <w:rPr>
          <w:rFonts w:hint="cs"/>
          <w:rtl/>
        </w:rPr>
        <w:t xml:space="preserve">. על-פי הדוחות הכספיים של המדינה ליום 31.12.2020 סעיף חייבים ויתרות חובה נמצא במגמת עלייה בשנים האחרונות </w:t>
      </w:r>
      <w:proofErr w:type="spellStart"/>
      <w:r>
        <w:rPr>
          <w:rFonts w:hint="cs"/>
          <w:rtl/>
        </w:rPr>
        <w:t>מכ</w:t>
      </w:r>
      <w:proofErr w:type="spellEnd"/>
      <w:r>
        <w:rPr>
          <w:rFonts w:hint="cs"/>
          <w:rtl/>
        </w:rPr>
        <w:t xml:space="preserve">-49 מיליארד ש"ח בשנת 2015 </w:t>
      </w:r>
      <w:proofErr w:type="spellStart"/>
      <w:r>
        <w:rPr>
          <w:rFonts w:hint="cs"/>
          <w:rtl/>
        </w:rPr>
        <w:t>לכ</w:t>
      </w:r>
      <w:proofErr w:type="spellEnd"/>
      <w:r>
        <w:rPr>
          <w:rFonts w:hint="cs"/>
          <w:rtl/>
        </w:rPr>
        <w:t>-69 מיליאר</w:t>
      </w:r>
      <w:r>
        <w:rPr>
          <w:rFonts w:hint="eastAsia"/>
          <w:rtl/>
        </w:rPr>
        <w:t>ד</w:t>
      </w:r>
      <w:r>
        <w:rPr>
          <w:rFonts w:hint="cs"/>
          <w:rtl/>
        </w:rPr>
        <w:t xml:space="preserve"> ש"ח בשנת 2020 (בניכוי הפרשה לחובות מסופקים).</w:t>
      </w:r>
      <w:r w:rsidRPr="000C0978">
        <w:rPr>
          <w:rFonts w:hint="cs"/>
          <w:rtl/>
        </w:rPr>
        <w:t xml:space="preserve"> ניהול יתרת החובות וגבייתם חשוב</w:t>
      </w:r>
      <w:r>
        <w:rPr>
          <w:rFonts w:hint="cs"/>
          <w:rtl/>
        </w:rPr>
        <w:t>ים</w:t>
      </w:r>
      <w:r w:rsidRPr="000C0978">
        <w:rPr>
          <w:rFonts w:hint="cs"/>
          <w:rtl/>
        </w:rPr>
        <w:t xml:space="preserve"> לצורך שמירה על נכסי המדינה ומיצוי מלוא זכויותיה. בביקורת עלה כי במשרדי הממשלה מתבצעת עבודה ידנית רבה</w:t>
      </w:r>
      <w:r>
        <w:rPr>
          <w:rFonts w:hint="cs"/>
          <w:rtl/>
        </w:rPr>
        <w:t xml:space="preserve"> בנושא,</w:t>
      </w:r>
      <w:r w:rsidRPr="000C0978">
        <w:rPr>
          <w:rFonts w:hint="cs"/>
          <w:rtl/>
        </w:rPr>
        <w:t xml:space="preserve"> ולא באמצעות תהליכים אוטומטיים</w:t>
      </w:r>
      <w:r>
        <w:rPr>
          <w:rFonts w:hint="cs"/>
          <w:rtl/>
        </w:rPr>
        <w:t>,</w:t>
      </w:r>
      <w:r w:rsidRPr="000C0978">
        <w:rPr>
          <w:rFonts w:hint="cs"/>
          <w:rtl/>
        </w:rPr>
        <w:t xml:space="preserve"> דבר המקשה </w:t>
      </w:r>
      <w:r>
        <w:rPr>
          <w:rFonts w:hint="cs"/>
          <w:rtl/>
        </w:rPr>
        <w:t>לשלוט</w:t>
      </w:r>
      <w:r w:rsidRPr="000C0978">
        <w:rPr>
          <w:rFonts w:hint="cs"/>
          <w:rtl/>
        </w:rPr>
        <w:t xml:space="preserve"> בניהול החוב </w:t>
      </w:r>
      <w:r>
        <w:rPr>
          <w:rFonts w:hint="cs"/>
          <w:rtl/>
        </w:rPr>
        <w:t>ולמנוע</w:t>
      </w:r>
      <w:r w:rsidRPr="000C0978">
        <w:rPr>
          <w:rFonts w:hint="cs"/>
          <w:rtl/>
        </w:rPr>
        <w:t xml:space="preserve"> פיגורים ו</w:t>
      </w:r>
      <w:r>
        <w:rPr>
          <w:rFonts w:hint="cs"/>
          <w:rtl/>
        </w:rPr>
        <w:t>מביא ל</w:t>
      </w:r>
      <w:r w:rsidRPr="000C0978">
        <w:rPr>
          <w:rFonts w:hint="cs"/>
          <w:rtl/>
        </w:rPr>
        <w:t>התיישנות חובות</w:t>
      </w:r>
      <w:r>
        <w:rPr>
          <w:rFonts w:hint="cs"/>
          <w:rtl/>
        </w:rPr>
        <w:t>.</w:t>
      </w:r>
      <w:r w:rsidRPr="000C0978">
        <w:rPr>
          <w:rFonts w:hint="cs"/>
          <w:rtl/>
        </w:rPr>
        <w:t xml:space="preserve"> הדבר בא לידי ביטוי בחוסר שקיפות ו</w:t>
      </w:r>
      <w:r>
        <w:rPr>
          <w:rFonts w:hint="cs"/>
          <w:rtl/>
        </w:rPr>
        <w:t xml:space="preserve">בהיעדר </w:t>
      </w:r>
      <w:r w:rsidRPr="000C0978">
        <w:rPr>
          <w:rFonts w:hint="cs"/>
          <w:rtl/>
        </w:rPr>
        <w:t>ידע</w:t>
      </w:r>
      <w:r>
        <w:rPr>
          <w:rFonts w:hint="cs"/>
          <w:rtl/>
        </w:rPr>
        <w:t xml:space="preserve"> על</w:t>
      </w:r>
      <w:r w:rsidRPr="000C0978">
        <w:rPr>
          <w:rFonts w:hint="cs"/>
          <w:rtl/>
        </w:rPr>
        <w:t xml:space="preserve"> אודות רשימת חובות </w:t>
      </w:r>
      <w:r w:rsidRPr="00FF362C">
        <w:rPr>
          <w:rFonts w:hint="cs"/>
          <w:rtl/>
        </w:rPr>
        <w:t>מסודרת ברמת המשרד וברמת הממשלה</w:t>
      </w:r>
      <w:r>
        <w:rPr>
          <w:rFonts w:hint="cs"/>
          <w:rtl/>
        </w:rPr>
        <w:t>,</w:t>
      </w:r>
      <w:r w:rsidRPr="00FF362C">
        <w:rPr>
          <w:rFonts w:hint="cs"/>
          <w:rtl/>
        </w:rPr>
        <w:t xml:space="preserve"> וכן בהיעדר נתונים </w:t>
      </w:r>
      <w:r w:rsidRPr="00FF362C">
        <w:rPr>
          <w:rFonts w:hint="eastAsia"/>
          <w:rtl/>
        </w:rPr>
        <w:t>מלאים</w:t>
      </w:r>
      <w:r w:rsidRPr="00FF362C">
        <w:rPr>
          <w:rFonts w:hint="cs"/>
          <w:rtl/>
        </w:rPr>
        <w:t xml:space="preserve"> </w:t>
      </w:r>
      <w:r>
        <w:rPr>
          <w:rFonts w:hint="cs"/>
          <w:rtl/>
        </w:rPr>
        <w:t>לגבי מצבת החובות</w:t>
      </w:r>
      <w:r w:rsidRPr="00FF362C">
        <w:rPr>
          <w:rFonts w:hint="cs"/>
          <w:rtl/>
        </w:rPr>
        <w:t xml:space="preserve"> למשרד</w:t>
      </w:r>
      <w:r w:rsidRPr="000C0978">
        <w:rPr>
          <w:rFonts w:hint="cs"/>
          <w:rtl/>
        </w:rPr>
        <w:t>י הממשלה ו</w:t>
      </w:r>
      <w:r>
        <w:rPr>
          <w:rFonts w:hint="cs"/>
          <w:rtl/>
        </w:rPr>
        <w:t>ל</w:t>
      </w:r>
      <w:r w:rsidRPr="000C0978">
        <w:rPr>
          <w:rFonts w:hint="cs"/>
          <w:rtl/>
        </w:rPr>
        <w:t>יחידות הממשלתיות</w:t>
      </w:r>
      <w:r>
        <w:rPr>
          <w:rFonts w:hint="cs"/>
          <w:rtl/>
        </w:rPr>
        <w:t>. עוד עולה כי אין</w:t>
      </w:r>
      <w:r w:rsidRPr="000C0978">
        <w:rPr>
          <w:rtl/>
        </w:rPr>
        <w:t xml:space="preserve"> אחידות באופן ניהול הרישום החשבונאי בעת העברת החובות </w:t>
      </w:r>
      <w:r>
        <w:rPr>
          <w:rFonts w:hint="cs"/>
          <w:rtl/>
        </w:rPr>
        <w:t xml:space="preserve">ממשרדי הממשלה </w:t>
      </w:r>
      <w:r w:rsidRPr="000C0978">
        <w:rPr>
          <w:rtl/>
        </w:rPr>
        <w:t xml:space="preserve">לטיפולו של </w:t>
      </w:r>
      <w:proofErr w:type="spellStart"/>
      <w:r w:rsidRPr="000C0978">
        <w:rPr>
          <w:rtl/>
        </w:rPr>
        <w:t>המג"ק</w:t>
      </w:r>
      <w:proofErr w:type="spellEnd"/>
      <w:r>
        <w:rPr>
          <w:rFonts w:hint="cs"/>
          <w:rtl/>
        </w:rPr>
        <w:t>,</w:t>
      </w:r>
      <w:r w:rsidRPr="000C0978">
        <w:rPr>
          <w:rtl/>
        </w:rPr>
        <w:t xml:space="preserve"> ויש משרדים שמשאירים את החוב בספריהם אף לאחר העברתו לטיפולו של </w:t>
      </w:r>
      <w:proofErr w:type="spellStart"/>
      <w:r w:rsidRPr="000C0978">
        <w:rPr>
          <w:rtl/>
        </w:rPr>
        <w:t>המג"ק</w:t>
      </w:r>
      <w:proofErr w:type="spellEnd"/>
      <w:r w:rsidRPr="000C0978">
        <w:rPr>
          <w:rtl/>
        </w:rPr>
        <w:t>, דבר היכול ליצור כפילות של יתרות החוב ב</w:t>
      </w:r>
      <w:r>
        <w:rPr>
          <w:rtl/>
        </w:rPr>
        <w:t>דוחות</w:t>
      </w:r>
      <w:r>
        <w:rPr>
          <w:rFonts w:hint="cs"/>
          <w:rtl/>
        </w:rPr>
        <w:t xml:space="preserve"> הכספיים</w:t>
      </w:r>
      <w:r w:rsidRPr="000C0978">
        <w:rPr>
          <w:rtl/>
        </w:rPr>
        <w:t xml:space="preserve"> המאוחד</w:t>
      </w:r>
      <w:r>
        <w:rPr>
          <w:rFonts w:hint="cs"/>
          <w:rtl/>
        </w:rPr>
        <w:t>ים של המדינה</w:t>
      </w:r>
      <w:r w:rsidRPr="000C0978">
        <w:rPr>
          <w:rtl/>
        </w:rPr>
        <w:t>.</w:t>
      </w:r>
      <w:r w:rsidRPr="000C0978">
        <w:rPr>
          <w:rFonts w:hint="cs"/>
          <w:rtl/>
        </w:rPr>
        <w:t xml:space="preserve"> </w:t>
      </w:r>
      <w:r>
        <w:rPr>
          <w:rFonts w:hint="cs"/>
          <w:rtl/>
        </w:rPr>
        <w:t xml:space="preserve">על אגף </w:t>
      </w:r>
      <w:proofErr w:type="spellStart"/>
      <w:r>
        <w:rPr>
          <w:rFonts w:hint="cs"/>
          <w:rtl/>
        </w:rPr>
        <w:t>החשכ"ל</w:t>
      </w:r>
      <w:proofErr w:type="spellEnd"/>
      <w:r>
        <w:rPr>
          <w:rFonts w:hint="cs"/>
          <w:rtl/>
        </w:rPr>
        <w:t xml:space="preserve"> לפעול לתיקון הליקויים שצוינו בדוח, ובכלל זה להשלים את יישום מערכת הגבייה הרוחבית, כדי שזו תאפשר קבלת תמונת מצב מהימנה וזמינה בנוגע למצבת החייבים ולנתוני הגבייה. כמו כן, עליו לפעול לשיפור תהליך הגבייה של המשרדים באמצעות רשות האכיפה והגבייה ולגביית כלל החובות. פעולות אלו יבטיחו את מיצוי פוטנציאל הגבייה של הממשלה</w:t>
      </w:r>
      <w:r w:rsidRPr="00FF362C">
        <w:rPr>
          <w:rFonts w:hint="cs"/>
          <w:rtl/>
        </w:rPr>
        <w:t>.</w:t>
      </w:r>
      <w:r w:rsidRPr="003B2683">
        <w:rPr>
          <w:rFonts w:hint="cs"/>
          <w:rtl/>
        </w:rPr>
        <w:t xml:space="preserve"> </w:t>
      </w:r>
      <w:r w:rsidRPr="00FF362C">
        <w:rPr>
          <w:rFonts w:hint="eastAsia"/>
          <w:rtl/>
        </w:rPr>
        <w:t>עוד</w:t>
      </w:r>
      <w:r w:rsidRPr="00FF362C">
        <w:rPr>
          <w:rtl/>
        </w:rPr>
        <w:t xml:space="preserve"> עלה בביקורת כי </w:t>
      </w:r>
      <w:r w:rsidRPr="00FF362C">
        <w:rPr>
          <w:rFonts w:hint="eastAsia"/>
          <w:rtl/>
        </w:rPr>
        <w:t>למשבר</w:t>
      </w:r>
      <w:r w:rsidRPr="00FF362C">
        <w:rPr>
          <w:rtl/>
        </w:rPr>
        <w:t xml:space="preserve"> </w:t>
      </w:r>
      <w:r w:rsidRPr="00FF362C">
        <w:rPr>
          <w:rFonts w:hint="eastAsia"/>
          <w:rtl/>
        </w:rPr>
        <w:t>הקורונה</w:t>
      </w:r>
      <w:r w:rsidRPr="00FF362C">
        <w:rPr>
          <w:rtl/>
        </w:rPr>
        <w:t xml:space="preserve"> </w:t>
      </w:r>
      <w:r w:rsidRPr="00FF362C">
        <w:rPr>
          <w:rFonts w:hint="eastAsia"/>
          <w:rtl/>
        </w:rPr>
        <w:t>הייתה</w:t>
      </w:r>
      <w:r w:rsidRPr="00FF362C">
        <w:rPr>
          <w:rtl/>
        </w:rPr>
        <w:t xml:space="preserve"> </w:t>
      </w:r>
      <w:r w:rsidRPr="00FF362C">
        <w:rPr>
          <w:rFonts w:hint="eastAsia"/>
          <w:rtl/>
        </w:rPr>
        <w:t>השפעה</w:t>
      </w:r>
      <w:r w:rsidRPr="00FF362C">
        <w:rPr>
          <w:rtl/>
        </w:rPr>
        <w:t xml:space="preserve"> </w:t>
      </w:r>
      <w:r w:rsidRPr="00FF362C">
        <w:rPr>
          <w:rFonts w:hint="eastAsia"/>
          <w:rtl/>
        </w:rPr>
        <w:t>נרחבת</w:t>
      </w:r>
      <w:r w:rsidRPr="00FF362C">
        <w:rPr>
          <w:rtl/>
        </w:rPr>
        <w:t xml:space="preserve"> </w:t>
      </w:r>
      <w:r w:rsidRPr="00FF362C">
        <w:rPr>
          <w:rFonts w:hint="eastAsia"/>
          <w:rtl/>
        </w:rPr>
        <w:t>על</w:t>
      </w:r>
      <w:r w:rsidRPr="00FF362C">
        <w:rPr>
          <w:rtl/>
        </w:rPr>
        <w:t xml:space="preserve"> </w:t>
      </w:r>
      <w:r w:rsidRPr="00FF362C">
        <w:rPr>
          <w:rFonts w:hint="eastAsia"/>
          <w:rtl/>
        </w:rPr>
        <w:t>הדוחות</w:t>
      </w:r>
      <w:r w:rsidRPr="00FF362C">
        <w:rPr>
          <w:rtl/>
        </w:rPr>
        <w:t xml:space="preserve"> </w:t>
      </w:r>
      <w:r w:rsidRPr="00FF362C">
        <w:rPr>
          <w:rFonts w:hint="eastAsia"/>
          <w:rtl/>
        </w:rPr>
        <w:t>הכספיים</w:t>
      </w:r>
      <w:r w:rsidRPr="00FF362C">
        <w:rPr>
          <w:rtl/>
        </w:rPr>
        <w:t xml:space="preserve"> </w:t>
      </w:r>
      <w:r w:rsidRPr="00FF362C">
        <w:rPr>
          <w:rFonts w:hint="eastAsia"/>
          <w:rtl/>
        </w:rPr>
        <w:t>לשנת</w:t>
      </w:r>
      <w:r w:rsidRPr="00FF362C">
        <w:rPr>
          <w:rtl/>
        </w:rPr>
        <w:t xml:space="preserve"> 2020</w:t>
      </w:r>
      <w:r>
        <w:rPr>
          <w:rFonts w:hint="cs"/>
          <w:rtl/>
        </w:rPr>
        <w:t>,</w:t>
      </w:r>
      <w:r w:rsidRPr="00FF362C">
        <w:rPr>
          <w:rtl/>
        </w:rPr>
        <w:t xml:space="preserve"> </w:t>
      </w:r>
      <w:r w:rsidRPr="00FF362C">
        <w:rPr>
          <w:rFonts w:hint="eastAsia"/>
          <w:rtl/>
        </w:rPr>
        <w:t>ועל</w:t>
      </w:r>
      <w:r w:rsidRPr="00FF362C">
        <w:rPr>
          <w:rtl/>
        </w:rPr>
        <w:t xml:space="preserve"> </w:t>
      </w:r>
      <w:r w:rsidRPr="00FF362C">
        <w:rPr>
          <w:rFonts w:hint="eastAsia"/>
          <w:rtl/>
        </w:rPr>
        <w:t>המדינה</w:t>
      </w:r>
      <w:r w:rsidRPr="00FF362C">
        <w:rPr>
          <w:rtl/>
        </w:rPr>
        <w:t xml:space="preserve"> </w:t>
      </w:r>
      <w:r w:rsidRPr="00FF362C">
        <w:rPr>
          <w:rFonts w:hint="eastAsia"/>
          <w:rtl/>
        </w:rPr>
        <w:t>להיערך</w:t>
      </w:r>
      <w:r w:rsidRPr="00FF362C">
        <w:rPr>
          <w:rtl/>
        </w:rPr>
        <w:t xml:space="preserve"> </w:t>
      </w:r>
      <w:r w:rsidRPr="00FF362C">
        <w:rPr>
          <w:rFonts w:hint="eastAsia"/>
          <w:rtl/>
        </w:rPr>
        <w:t>לסגירת</w:t>
      </w:r>
      <w:r w:rsidRPr="00FF362C">
        <w:rPr>
          <w:rtl/>
        </w:rPr>
        <w:t xml:space="preserve"> </w:t>
      </w:r>
      <w:r w:rsidRPr="00FF362C">
        <w:rPr>
          <w:rFonts w:hint="eastAsia"/>
          <w:rtl/>
        </w:rPr>
        <w:t>הפערים</w:t>
      </w:r>
      <w:r w:rsidRPr="00FF362C">
        <w:rPr>
          <w:rtl/>
        </w:rPr>
        <w:t xml:space="preserve"> </w:t>
      </w:r>
      <w:r w:rsidRPr="00FF362C">
        <w:rPr>
          <w:rFonts w:hint="eastAsia"/>
          <w:rtl/>
        </w:rPr>
        <w:t>בעתיד</w:t>
      </w:r>
      <w:r w:rsidRPr="00FF362C">
        <w:rPr>
          <w:rtl/>
        </w:rPr>
        <w:t xml:space="preserve"> </w:t>
      </w:r>
      <w:r w:rsidRPr="00FF362C">
        <w:rPr>
          <w:rFonts w:hint="eastAsia"/>
          <w:rtl/>
        </w:rPr>
        <w:t>בראי</w:t>
      </w:r>
      <w:r>
        <w:rPr>
          <w:rFonts w:hint="cs"/>
          <w:rtl/>
        </w:rPr>
        <w:t>י</w:t>
      </w:r>
      <w:r w:rsidRPr="00FF362C">
        <w:rPr>
          <w:rFonts w:hint="eastAsia"/>
          <w:rtl/>
        </w:rPr>
        <w:t>ה</w:t>
      </w:r>
      <w:r w:rsidRPr="00FF362C">
        <w:rPr>
          <w:rtl/>
        </w:rPr>
        <w:t xml:space="preserve"> </w:t>
      </w:r>
      <w:r w:rsidRPr="00FF362C">
        <w:rPr>
          <w:rFonts w:hint="eastAsia"/>
          <w:rtl/>
        </w:rPr>
        <w:t>רב</w:t>
      </w:r>
      <w:r>
        <w:rPr>
          <w:rFonts w:hint="cs"/>
          <w:rtl/>
        </w:rPr>
        <w:t>-</w:t>
      </w:r>
      <w:r w:rsidRPr="00FF362C">
        <w:rPr>
          <w:rFonts w:hint="eastAsia"/>
          <w:rtl/>
        </w:rPr>
        <w:t>שנתית</w:t>
      </w:r>
      <w:r w:rsidRPr="00FF362C">
        <w:rPr>
          <w:rtl/>
        </w:rPr>
        <w:t>.</w:t>
      </w:r>
    </w:p>
    <w:sectPr w:rsidR="003D06C1" w:rsidRPr="001B04D9" w:rsidSect="00F619AB">
      <w:headerReference w:type="default" r:id="rId74"/>
      <w:footnotePr>
        <w:numRestart w:val="eachSect"/>
      </w:footnotePr>
      <w:type w:val="continuous"/>
      <w:pgSz w:w="11906" w:h="16838" w:code="9"/>
      <w:pgMar w:top="3062" w:right="2268" w:bottom="2552" w:left="2268" w:header="1134" w:footer="1361"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1C3C12" w14:textId="77777777" w:rsidR="00135D5F" w:rsidRDefault="00135D5F">
      <w:pPr>
        <w:spacing w:line="240" w:lineRule="auto"/>
      </w:pPr>
      <w:r>
        <w:separator/>
      </w:r>
    </w:p>
    <w:p w14:paraId="29396E55" w14:textId="77777777" w:rsidR="00135D5F" w:rsidRDefault="00135D5F"/>
  </w:endnote>
  <w:endnote w:type="continuationSeparator" w:id="0">
    <w:p w14:paraId="1610C000" w14:textId="77777777" w:rsidR="00135D5F" w:rsidRDefault="00135D5F">
      <w:pPr>
        <w:spacing w:line="240" w:lineRule="auto"/>
      </w:pPr>
      <w:r>
        <w:continuationSeparator/>
      </w:r>
    </w:p>
    <w:p w14:paraId="1BA288E8" w14:textId="77777777" w:rsidR="00135D5F" w:rsidRDefault="00135D5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David">
    <w:panose1 w:val="020E0502060401010101"/>
    <w:charset w:val="B1"/>
    <w:family w:val="swiss"/>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TypoUpright BT">
    <w:panose1 w:val="020B0604020202020204"/>
    <w:charset w:val="00"/>
    <w:family w:val="script"/>
    <w:pitch w:val="variable"/>
    <w:sig w:usb0="800000AF" w:usb1="1000204A" w:usb2="00000000" w:usb3="00000000" w:csb0="0000001B" w:csb1="00000000"/>
  </w:font>
  <w:font w:name="Cambria">
    <w:panose1 w:val="02040503050406030204"/>
    <w:charset w:val="00"/>
    <w:family w:val="roman"/>
    <w:pitch w:val="variable"/>
    <w:sig w:usb0="E00006FF" w:usb1="420024FF" w:usb2="02000000" w:usb3="00000000" w:csb0="0000019F" w:csb1="00000000"/>
  </w:font>
  <w:font w:name="FrankRuehl">
    <w:panose1 w:val="020E0503060101010101"/>
    <w:charset w:val="B1"/>
    <w:family w:val="swiss"/>
    <w:pitch w:val="variable"/>
    <w:sig w:usb0="00000803" w:usb1="00000000" w:usb2="00000000" w:usb3="00000000" w:csb0="00000021" w:csb1="00000000"/>
  </w:font>
  <w:font w:name="Lucida Sans Unicode">
    <w:panose1 w:val="020B0602030504020204"/>
    <w:charset w:val="00"/>
    <w:family w:val="swiss"/>
    <w:pitch w:val="variable"/>
    <w:sig w:usb0="80000AFF" w:usb1="0000396B" w:usb2="00000000" w:usb3="00000000" w:csb0="000000BF" w:csb1="00000000"/>
  </w:font>
  <w:font w:name="Arial Bold">
    <w:altName w:val="Arial"/>
    <w:panose1 w:val="020B0604020202020204"/>
    <w:charset w:val="00"/>
    <w:family w:val="roman"/>
    <w:pitch w:val="default"/>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Gotham Narrow Light">
    <w:altName w:val="Tahoma"/>
    <w:panose1 w:val="00000000000000000000"/>
    <w:charset w:val="00"/>
    <w:family w:val="auto"/>
    <w:notTrueType/>
    <w:pitch w:val="variable"/>
    <w:sig w:usb0="800000AF" w:usb1="50000048" w:usb2="00000000" w:usb3="00000000" w:csb0="00000111"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Miriam">
    <w:panose1 w:val="020B0502050101010101"/>
    <w:charset w:val="B1"/>
    <w:family w:val="swiss"/>
    <w:pitch w:val="variable"/>
    <w:sig w:usb0="00000803" w:usb1="00000000" w:usb2="00000000" w:usb3="00000000" w:csb0="00000021" w:csb1="00000000"/>
  </w:font>
  <w:font w:name="Chalkboard SE">
    <w:panose1 w:val="03050602040202020205"/>
    <w:charset w:val="00"/>
    <w:family w:val="script"/>
    <w:pitch w:val="variable"/>
    <w:sig w:usb0="8000002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1745A" w14:textId="77777777" w:rsidR="00CB22A1" w:rsidRDefault="00CB22A1" w:rsidP="009A1489">
    <w:pPr>
      <w:pStyle w:val="a9"/>
      <w:pBdr>
        <w:top w:val="single" w:sz="4" w:space="0" w:color="4F81BD" w:themeColor="accent1"/>
      </w:pBdr>
      <w:spacing w:before="360"/>
      <w:contextualSpacing/>
      <w:jc w:val="right"/>
      <w:rPr>
        <w:noProof/>
        <w:color w:val="404040" w:themeColor="text1" w:themeTint="BF"/>
      </w:rPr>
    </w:pPr>
    <w:r>
      <w:rPr>
        <w:noProof/>
        <w:color w:val="404040" w:themeColor="text1" w:themeTint="BF"/>
      </w:rPr>
      <w:fldChar w:fldCharType="begin"/>
    </w:r>
    <w:r>
      <w:rPr>
        <w:noProof/>
        <w:color w:val="404040" w:themeColor="text1" w:themeTint="BF"/>
      </w:rPr>
      <w:instrText xml:space="preserve"> PAGE   \* MERGEFORMAT </w:instrText>
    </w:r>
    <w:r>
      <w:rPr>
        <w:noProof/>
        <w:color w:val="404040" w:themeColor="text1" w:themeTint="BF"/>
      </w:rPr>
      <w:fldChar w:fldCharType="separate"/>
    </w:r>
    <w:r>
      <w:rPr>
        <w:noProof/>
        <w:color w:val="404040" w:themeColor="text1" w:themeTint="BF"/>
      </w:rPr>
      <w:t>2</w:t>
    </w:r>
    <w:r>
      <w:rPr>
        <w:noProof/>
        <w:color w:val="404040" w:themeColor="text1" w:themeTint="BF"/>
      </w:rPr>
      <w:fldChar w:fldCharType="end"/>
    </w:r>
  </w:p>
  <w:p w14:paraId="0C89F632" w14:textId="3FBAB653" w:rsidR="00CB22A1" w:rsidRPr="006668CA" w:rsidRDefault="00CB22A1" w:rsidP="006668CA">
    <w:pPr>
      <w:pStyle w:val="a9"/>
      <w:spacing w:after="120" w:line="312" w:lineRule="auto"/>
      <w:jc w:val="right"/>
      <w:rPr>
        <w:rFonts w:ascii="Tahoma" w:hAnsi="Tahoma" w:cs="Tahoma"/>
        <w:color w:val="002060"/>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86361" w14:textId="46026356" w:rsidR="00CB22A1" w:rsidRDefault="00CB22A1" w:rsidP="00337C4E">
    <w:pPr>
      <w:pStyle w:val="a9"/>
      <w:spacing w:after="120" w:line="312" w:lineRule="auto"/>
      <w:ind w:left="-510"/>
      <w:jc w:val="left"/>
      <w:rPr>
        <w:rFonts w:ascii="Tahoma" w:hAnsi="Tahoma" w:cs="Tahoma"/>
        <w:sz w:val="18"/>
        <w:szCs w:val="18"/>
        <w:rtl/>
      </w:rPr>
    </w:pPr>
  </w:p>
  <w:p w14:paraId="55F954A2" w14:textId="6E7E1A70" w:rsidR="00CB22A1" w:rsidRDefault="00CB22A1" w:rsidP="00024391">
    <w:pPr>
      <w:pStyle w:val="a9"/>
      <w:spacing w:after="120" w:line="312" w:lineRule="auto"/>
      <w:ind w:left="-737"/>
      <w:jc w:val="left"/>
      <w:rPr>
        <w:rFonts w:ascii="Tahoma" w:hAnsi="Tahoma" w:cs="Tahoma"/>
        <w:color w:val="004E6C"/>
        <w:sz w:val="18"/>
        <w:szCs w:val="18"/>
        <w:rtl/>
      </w:rPr>
    </w:pPr>
    <w:r w:rsidRPr="00F94EB4">
      <w:rPr>
        <w:rFonts w:ascii="Tahoma" w:hAnsi="Tahoma" w:cs="Tahoma"/>
        <w:sz w:val="18"/>
        <w:szCs w:val="18"/>
      </w:rPr>
      <w:t>|</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sidRPr="00F94EB4">
      <w:rPr>
        <w:rFonts w:ascii="Tahoma" w:hAnsi="Tahoma" w:cs="Tahoma"/>
        <w:sz w:val="18"/>
        <w:szCs w:val="18"/>
        <w:rtl/>
      </w:rPr>
      <w:t>9</w:t>
    </w:r>
    <w:r w:rsidRPr="00F94EB4">
      <w:rPr>
        <w:rFonts w:ascii="Tahoma" w:hAnsi="Tahoma" w:cs="Tahoma"/>
        <w:sz w:val="18"/>
        <w:szCs w:val="18"/>
        <w:rtl/>
      </w:rPr>
      <w:fldChar w:fldCharType="end"/>
    </w:r>
    <w:r>
      <w:rPr>
        <w:rFonts w:ascii="Tahoma" w:hAnsi="Tahoma" w:cs="Tahoma" w:hint="cs"/>
        <w:sz w:val="18"/>
        <w:szCs w:val="18"/>
        <w:rtl/>
      </w:rPr>
      <w:t xml:space="preserve">  </w:t>
    </w:r>
    <w:r w:rsidRPr="0013302E">
      <w:rPr>
        <w:rFonts w:ascii="Tahoma" w:hAnsi="Tahoma" w:cs="Tahoma"/>
        <w:sz w:val="18"/>
        <w:szCs w:val="18"/>
      </w:rPr>
      <w:t>|</w:t>
    </w:r>
    <w:r>
      <w:rPr>
        <w:rFonts w:ascii="Tahoma" w:hAnsi="Tahoma" w:cs="Tahoma" w:hint="cs"/>
        <w:color w:val="004E6C"/>
        <w:sz w:val="18"/>
        <w:szCs w:val="18"/>
        <w:rtl/>
      </w:rPr>
      <w:t xml:space="preserve">     </w:t>
    </w:r>
  </w:p>
  <w:p w14:paraId="4ACFF620" w14:textId="3884ED09" w:rsidR="00CB22A1" w:rsidRPr="00F94EB4" w:rsidRDefault="00CB22A1" w:rsidP="00337C4E">
    <w:pPr>
      <w:pStyle w:val="a9"/>
      <w:spacing w:after="120" w:line="312" w:lineRule="auto"/>
      <w:ind w:left="-510"/>
      <w:jc w:val="left"/>
      <w:rPr>
        <w:rFonts w:ascii="Tahoma" w:hAnsi="Tahoma" w:cs="Tahoma"/>
        <w:color w:val="004E6C"/>
        <w:sz w:val="18"/>
        <w:szCs w:val="18"/>
        <w:rtl/>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A80D5" w14:textId="7A27A42E" w:rsidR="00CB22A1" w:rsidRDefault="00CB22A1" w:rsidP="00024391">
    <w:pPr>
      <w:pStyle w:val="a9"/>
      <w:spacing w:after="120" w:line="312" w:lineRule="auto"/>
      <w:ind w:right="-737"/>
      <w:jc w:val="right"/>
      <w:rPr>
        <w:rFonts w:ascii="Tahoma" w:hAnsi="Tahoma" w:cs="Tahoma"/>
        <w:sz w:val="18"/>
        <w:szCs w:val="18"/>
        <w:rtl/>
      </w:rPr>
    </w:pPr>
    <w:r w:rsidRPr="00F94EB4">
      <w:rPr>
        <w:rFonts w:ascii="Tahoma" w:hAnsi="Tahoma" w:cs="Tahoma"/>
        <w:sz w:val="18"/>
        <w:szCs w:val="18"/>
      </w:rPr>
      <w:t xml:space="preserve">| </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sidRPr="00F94EB4">
      <w:rPr>
        <w:rFonts w:ascii="Tahoma" w:hAnsi="Tahoma" w:cs="Tahoma"/>
        <w:sz w:val="18"/>
        <w:szCs w:val="18"/>
        <w:rtl/>
      </w:rPr>
      <w:t>7</w:t>
    </w:r>
    <w:r w:rsidRPr="00F94EB4">
      <w:rPr>
        <w:rFonts w:ascii="Tahoma" w:hAnsi="Tahoma" w:cs="Tahoma"/>
        <w:sz w:val="18"/>
        <w:szCs w:val="18"/>
        <w:rtl/>
      </w:rPr>
      <w:fldChar w:fldCharType="end"/>
    </w:r>
    <w:r w:rsidRPr="00F94EB4">
      <w:rPr>
        <w:rFonts w:ascii="Tahoma" w:hAnsi="Tahoma" w:cs="Tahoma"/>
        <w:sz w:val="18"/>
        <w:szCs w:val="18"/>
        <w:rtl/>
      </w:rPr>
      <w:t xml:space="preserve"> </w:t>
    </w:r>
    <w:r>
      <w:rPr>
        <w:rFonts w:ascii="Tahoma" w:hAnsi="Tahoma" w:cs="Tahoma" w:hint="cs"/>
        <w:sz w:val="18"/>
        <w:szCs w:val="18"/>
        <w:rtl/>
      </w:rPr>
      <w:t xml:space="preserve"> |</w:t>
    </w:r>
  </w:p>
  <w:p w14:paraId="12CBD4D4" w14:textId="6600A123" w:rsidR="00CB22A1" w:rsidRDefault="00CB22A1" w:rsidP="00851F62">
    <w:pPr>
      <w:pStyle w:val="a9"/>
      <w:spacing w:after="120" w:line="312" w:lineRule="auto"/>
      <w:ind w:right="-567"/>
      <w:jc w:val="right"/>
      <w:rPr>
        <w:rFonts w:ascii="Tahoma" w:hAnsi="Tahoma" w:cs="Tahoma"/>
        <w:sz w:val="18"/>
        <w:szCs w:val="18"/>
        <w:rtl/>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8F9E1" w14:textId="77777777" w:rsidR="00CB22A1" w:rsidRPr="00D15500" w:rsidRDefault="00CB22A1" w:rsidP="00D15500">
    <w:pPr>
      <w:pStyle w:val="a9"/>
      <w:spacing w:after="120" w:line="312" w:lineRule="auto"/>
      <w:jc w:val="right"/>
      <w:rPr>
        <w:rFonts w:ascii="Tahoma" w:hAnsi="Tahoma" w:cs="Tahoma"/>
        <w:color w:val="002060"/>
        <w:sz w:val="18"/>
        <w:szCs w:val="18"/>
      </w:rPr>
    </w:pPr>
    <w:bookmarkStart w:id="1" w:name="tempMark"/>
    <w:bookmarkEnd w:id="1"/>
    <w:r w:rsidRPr="00D15500">
      <w:rPr>
        <w:rFonts w:ascii="Tahoma" w:hAnsi="Tahoma" w:cs="Tahoma"/>
        <w:color w:val="002060"/>
        <w:sz w:val="18"/>
        <w:szCs w:val="18"/>
        <w:rtl/>
      </w:rPr>
      <w:t>ה</w:t>
    </w:r>
    <w:r>
      <w:rPr>
        <w:rFonts w:ascii="Tahoma" w:hAnsi="Tahoma" w:cs="Tahoma"/>
        <w:color w:val="002060"/>
        <w:sz w:val="18"/>
        <w:szCs w:val="18"/>
        <w:rtl/>
      </w:rPr>
      <w:t>היערכות לתחרות בנמלי הים</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A80E98" w14:textId="77777777" w:rsidR="00135D5F" w:rsidRDefault="00135D5F" w:rsidP="00C23CC9">
      <w:pPr>
        <w:spacing w:line="240" w:lineRule="auto"/>
      </w:pPr>
      <w:r>
        <w:separator/>
      </w:r>
    </w:p>
  </w:footnote>
  <w:footnote w:type="continuationSeparator" w:id="0">
    <w:p w14:paraId="4EA3097A" w14:textId="77777777" w:rsidR="00135D5F" w:rsidRDefault="00135D5F" w:rsidP="00C23CC9">
      <w:pPr>
        <w:spacing w:line="240" w:lineRule="auto"/>
      </w:pPr>
      <w:r>
        <w:continuationSeparator/>
      </w:r>
    </w:p>
    <w:p w14:paraId="5FAF758B" w14:textId="77777777" w:rsidR="00135D5F" w:rsidRDefault="00135D5F"/>
  </w:footnote>
  <w:footnote w:id="1">
    <w:p w14:paraId="5A6965C8" w14:textId="77777777" w:rsidR="004C73F8" w:rsidRPr="00D9005D" w:rsidRDefault="004C73F8" w:rsidP="00EC550D">
      <w:pPr>
        <w:pStyle w:val="719"/>
      </w:pPr>
      <w:r w:rsidRPr="00D9005D">
        <w:rPr>
          <w:rStyle w:val="ac"/>
          <w:vertAlign w:val="baseline"/>
        </w:rPr>
        <w:footnoteRef/>
      </w:r>
      <w:r w:rsidRPr="00D9005D">
        <w:rPr>
          <w:rtl/>
        </w:rPr>
        <w:t xml:space="preserve"> </w:t>
      </w:r>
      <w:r w:rsidRPr="00D9005D">
        <w:rPr>
          <w:rtl/>
        </w:rPr>
        <w:tab/>
        <w:t xml:space="preserve">יצוין כי הנושא אף נבדק בביקורת שנעשתה בשנת 2017 בנושא "מאזן המדינה ליום 31.12.16 - חייבים ויתרות חובה". ראו מבקר המדינה, </w:t>
      </w:r>
      <w:r w:rsidRPr="00D9005D">
        <w:rPr>
          <w:b/>
          <w:bCs/>
          <w:rtl/>
        </w:rPr>
        <w:t>דוח שנתי 68ג</w:t>
      </w:r>
      <w:r w:rsidRPr="00D9005D">
        <w:rPr>
          <w:rtl/>
        </w:rPr>
        <w:t xml:space="preserve"> (2018), "מאזן המדינה ליום 31.12.16 - חייבים ויתרות חובה", עמ' 191 - 256.</w:t>
      </w:r>
    </w:p>
  </w:footnote>
  <w:footnote w:id="2">
    <w:p w14:paraId="283B1F04" w14:textId="77777777" w:rsidR="00190CB1" w:rsidRPr="0095353E" w:rsidRDefault="00190CB1" w:rsidP="00EC550D">
      <w:pPr>
        <w:pStyle w:val="719"/>
        <w:rPr>
          <w:rtl/>
        </w:rPr>
      </w:pPr>
      <w:r w:rsidRPr="0095353E">
        <w:rPr>
          <w:rStyle w:val="ac"/>
          <w:vertAlign w:val="baseline"/>
        </w:rPr>
        <w:footnoteRef/>
      </w:r>
      <w:r w:rsidRPr="0095353E">
        <w:rPr>
          <w:rtl/>
        </w:rPr>
        <w:t xml:space="preserve"> </w:t>
      </w:r>
      <w:r w:rsidRPr="0095353E">
        <w:rPr>
          <w:rtl/>
        </w:rPr>
        <w:tab/>
        <w:t>מס' 3.3.1.</w:t>
      </w:r>
    </w:p>
  </w:footnote>
  <w:footnote w:id="3">
    <w:p w14:paraId="70DBE648" w14:textId="77777777" w:rsidR="007C4395" w:rsidRDefault="007C4395" w:rsidP="00BA2FBE">
      <w:pPr>
        <w:pStyle w:val="71f0"/>
      </w:pPr>
      <w:r w:rsidRPr="00BA2FBE">
        <w:footnoteRef/>
      </w:r>
      <w:r w:rsidRPr="00BA2FBE">
        <w:rPr>
          <w:rtl/>
        </w:rPr>
        <w:t xml:space="preserve"> </w:t>
      </w:r>
      <w:r>
        <w:rPr>
          <w:rtl/>
        </w:rPr>
        <w:tab/>
      </w:r>
      <w:r>
        <w:rPr>
          <w:rFonts w:hint="cs"/>
          <w:rtl/>
        </w:rPr>
        <w:t>הנתונים הכספיים בגין שנת 2020 כוללים את השפעת משבר נגיף הקורונה.</w:t>
      </w:r>
    </w:p>
  </w:footnote>
  <w:footnote w:id="4">
    <w:p w14:paraId="3F1E5630" w14:textId="77777777" w:rsidR="007C4395" w:rsidRDefault="007C4395" w:rsidP="00BA2FBE">
      <w:pPr>
        <w:pStyle w:val="71f0"/>
        <w:rPr>
          <w:rtl/>
        </w:rPr>
      </w:pPr>
      <w:r w:rsidRPr="00BA2FBE">
        <w:footnoteRef/>
      </w:r>
      <w:r w:rsidRPr="00BA2FBE">
        <w:rPr>
          <w:rtl/>
        </w:rPr>
        <w:t xml:space="preserve"> </w:t>
      </w:r>
      <w:r>
        <w:rPr>
          <w:rtl/>
        </w:rPr>
        <w:tab/>
      </w:r>
      <w:r w:rsidRPr="00ED0615">
        <w:rPr>
          <w:rFonts w:hint="cs"/>
          <w:rtl/>
        </w:rPr>
        <w:t>הכנסות מוכרות בעת התהוותן, ללא קשר למועד גבייתן, וההוצאות מוכרות בעת היווצרות המחויבות, ללא קשר למועד הפירעון.</w:t>
      </w:r>
    </w:p>
  </w:footnote>
  <w:footnote w:id="5">
    <w:p w14:paraId="09DD36FF" w14:textId="77777777" w:rsidR="007C4395" w:rsidRDefault="007C4395" w:rsidP="00BA2FBE">
      <w:pPr>
        <w:pStyle w:val="71f0"/>
      </w:pPr>
      <w:r w:rsidRPr="00BA2FBE">
        <w:footnoteRef/>
      </w:r>
      <w:r w:rsidRPr="00BA2FBE">
        <w:rPr>
          <w:rtl/>
        </w:rPr>
        <w:t xml:space="preserve"> </w:t>
      </w:r>
      <w:r>
        <w:rPr>
          <w:rtl/>
        </w:rPr>
        <w:tab/>
      </w:r>
      <w:r>
        <w:rPr>
          <w:rFonts w:hint="cs"/>
          <w:rtl/>
        </w:rPr>
        <w:t>כמובא בדוחות הכספיים, הגירעון בהון הינו מספר שיורי שאינו מייצג את הגירעון הממשלתי המצטבר, מאחר ומצבת הנכסים כפי שהיא מוצגת בדוחות הכספיים המאוחדים איננה שלמה.</w:t>
      </w:r>
    </w:p>
  </w:footnote>
  <w:footnote w:id="6">
    <w:p w14:paraId="06939A06" w14:textId="77777777" w:rsidR="007C4395" w:rsidRDefault="007C4395" w:rsidP="00BA2FBE">
      <w:pPr>
        <w:pStyle w:val="71f0"/>
      </w:pPr>
      <w:r w:rsidRPr="00BA2FBE">
        <w:footnoteRef/>
      </w:r>
      <w:r>
        <w:rPr>
          <w:rtl/>
        </w:rPr>
        <w:t xml:space="preserve"> </w:t>
      </w:r>
      <w:r>
        <w:rPr>
          <w:rtl/>
        </w:rPr>
        <w:tab/>
      </w:r>
      <w:r w:rsidRPr="006B26A0">
        <w:rPr>
          <w:rFonts w:hint="cs"/>
          <w:rtl/>
        </w:rPr>
        <w:t xml:space="preserve">הנכסים השוטפים הם מזומנים ושווי מזומנים, פיקדונות והשקעות לזמן קצר, </w:t>
      </w:r>
      <w:r>
        <w:rPr>
          <w:rFonts w:hint="cs"/>
          <w:rtl/>
        </w:rPr>
        <w:t xml:space="preserve">חלויות שוטפות של </w:t>
      </w:r>
      <w:r w:rsidRPr="006B26A0">
        <w:rPr>
          <w:rFonts w:hint="cs"/>
          <w:rtl/>
        </w:rPr>
        <w:t>הלוואות לזמן ארוך, חייבים ויתרות חובה</w:t>
      </w:r>
      <w:r>
        <w:rPr>
          <w:rFonts w:hint="cs"/>
          <w:rtl/>
        </w:rPr>
        <w:t xml:space="preserve"> לזמן קצר</w:t>
      </w:r>
      <w:r w:rsidRPr="006B26A0">
        <w:rPr>
          <w:rFonts w:hint="cs"/>
          <w:rtl/>
        </w:rPr>
        <w:t xml:space="preserve"> ומלאי שוטף. הנכסים שאינם שוטפים הם הלוואות לזמן ארוך, השקעות בישויות מוחזקות, נכסים פיננסיים ואחרים, חייבים </w:t>
      </w:r>
      <w:r>
        <w:rPr>
          <w:rFonts w:hint="cs"/>
          <w:rtl/>
        </w:rPr>
        <w:t>ויתרות חובה לזמן ארוך</w:t>
      </w:r>
      <w:r w:rsidRPr="006B26A0">
        <w:rPr>
          <w:rFonts w:hint="cs"/>
          <w:rtl/>
        </w:rPr>
        <w:t xml:space="preserve">, מלאי בלתי שוטף, השקעה </w:t>
      </w:r>
      <w:r>
        <w:rPr>
          <w:rFonts w:hint="cs"/>
          <w:rtl/>
        </w:rPr>
        <w:t>בפרויקטים</w:t>
      </w:r>
      <w:r w:rsidRPr="006B26A0">
        <w:rPr>
          <w:rFonts w:hint="cs"/>
          <w:rtl/>
        </w:rPr>
        <w:t xml:space="preserve"> בשיתוף המגזר הפרטי, רכוש קבוע ונכסים בלתי מוחשיים.</w:t>
      </w:r>
    </w:p>
  </w:footnote>
  <w:footnote w:id="7">
    <w:p w14:paraId="6788934C" w14:textId="77777777" w:rsidR="007C4395" w:rsidRPr="00686C67" w:rsidRDefault="007C4395" w:rsidP="00BA2FBE">
      <w:pPr>
        <w:pStyle w:val="71f0"/>
      </w:pPr>
      <w:r w:rsidRPr="00BA2FBE">
        <w:footnoteRef/>
      </w:r>
      <w:r w:rsidRPr="00BA2FBE">
        <w:rPr>
          <w:rtl/>
        </w:rPr>
        <w:t xml:space="preserve"> </w:t>
      </w:r>
      <w:r>
        <w:rPr>
          <w:rtl/>
        </w:rPr>
        <w:tab/>
      </w:r>
      <w:r w:rsidRPr="00686C67">
        <w:rPr>
          <w:rFonts w:hint="cs"/>
          <w:rtl/>
        </w:rPr>
        <w:t xml:space="preserve">סעיף זה </w:t>
      </w:r>
      <w:r>
        <w:rPr>
          <w:rFonts w:hint="cs"/>
          <w:rtl/>
        </w:rPr>
        <w:t>מסתכם ב-</w:t>
      </w:r>
      <w:r w:rsidRPr="00686C67">
        <w:rPr>
          <w:rFonts w:hint="cs"/>
          <w:rtl/>
        </w:rPr>
        <w:t>83</w:t>
      </w:r>
      <w:r>
        <w:rPr>
          <w:rFonts w:hint="cs"/>
          <w:rtl/>
        </w:rPr>
        <w:t>.3 מיליארד ש"ח ל</w:t>
      </w:r>
      <w:r w:rsidRPr="00686C67">
        <w:rPr>
          <w:rFonts w:hint="cs"/>
          <w:rtl/>
        </w:rPr>
        <w:t>פני הפרשה לחובות מסופקים.</w:t>
      </w:r>
    </w:p>
  </w:footnote>
  <w:footnote w:id="8">
    <w:p w14:paraId="7D87B082" w14:textId="77777777" w:rsidR="007C4395" w:rsidRPr="005B6AA2" w:rsidRDefault="007C4395" w:rsidP="00BA2FBE">
      <w:pPr>
        <w:pStyle w:val="71f0"/>
        <w:rPr>
          <w:spacing w:val="-4"/>
        </w:rPr>
      </w:pPr>
      <w:r w:rsidRPr="005B6AA2">
        <w:rPr>
          <w:spacing w:val="-4"/>
        </w:rPr>
        <w:footnoteRef/>
      </w:r>
      <w:r w:rsidRPr="005B6AA2">
        <w:rPr>
          <w:rFonts w:hint="cs"/>
          <w:spacing w:val="-4"/>
          <w:rtl/>
        </w:rPr>
        <w:t xml:space="preserve"> </w:t>
      </w:r>
      <w:r w:rsidRPr="005B6AA2">
        <w:rPr>
          <w:rFonts w:hint="cs"/>
          <w:spacing w:val="-4"/>
          <w:rtl/>
        </w:rPr>
        <w:tab/>
        <w:t>עסקאות שאינן חליפין הן עסקאות שאינן כוללות חליפין של ערכים, השווים בקירוב זה לזה, בין הצדדים לעסקה. בעסקה שאינה חליפין, משרד מקבל ערך, בעיקר מזומנים, סחורות, שירותים או שימוש בנכסים, מבלי לספק במישרין כל תמורה, או שהוא מספק תמורה סמלית. דוגמאות לעסקאות שאינן חליפין הן מסים, אגרות, העברות חד-צדדיות והכנסות מתקציב.</w:t>
      </w:r>
    </w:p>
  </w:footnote>
  <w:footnote w:id="9">
    <w:p w14:paraId="598B6CA0" w14:textId="77777777" w:rsidR="007C4395" w:rsidRDefault="007C4395" w:rsidP="00BA2FBE">
      <w:pPr>
        <w:pStyle w:val="71f0"/>
        <w:rPr>
          <w:rtl/>
        </w:rPr>
      </w:pPr>
      <w:r w:rsidRPr="00BA2FBE">
        <w:footnoteRef/>
      </w:r>
      <w:r w:rsidRPr="00BA2FBE">
        <w:rPr>
          <w:rFonts w:hint="cs"/>
          <w:rtl/>
        </w:rPr>
        <w:t xml:space="preserve"> </w:t>
      </w:r>
      <w:r>
        <w:rPr>
          <w:rFonts w:hint="cs"/>
          <w:rtl/>
        </w:rPr>
        <w:tab/>
        <w:t>בעסקאות חליפין משרד מוסר נכסים או שירותים ובתמורה מקבל ערך (מזומנים, סחורות, שירותים או נכסים) השווה בקירוב לערך שמסר.</w:t>
      </w:r>
    </w:p>
  </w:footnote>
  <w:footnote w:id="10">
    <w:p w14:paraId="54D32AA3" w14:textId="77777777" w:rsidR="007C4395" w:rsidRDefault="007C4395" w:rsidP="00BA2FBE">
      <w:pPr>
        <w:pStyle w:val="71f0"/>
      </w:pPr>
      <w:r w:rsidRPr="00BA2FBE">
        <w:footnoteRef/>
      </w:r>
      <w:r w:rsidRPr="00BA2FBE">
        <w:rPr>
          <w:rtl/>
        </w:rPr>
        <w:t xml:space="preserve"> </w:t>
      </w:r>
      <w:r>
        <w:rPr>
          <w:rtl/>
        </w:rPr>
        <w:tab/>
      </w:r>
      <w:r>
        <w:rPr>
          <w:rFonts w:hint="cs"/>
          <w:rtl/>
        </w:rPr>
        <w:t>יצוין כי הנושא אף נבדק ב</w:t>
      </w:r>
      <w:r>
        <w:rPr>
          <w:rFonts w:hint="cs"/>
          <w:b/>
          <w:bCs/>
          <w:rtl/>
        </w:rPr>
        <w:t>דוח שנתי 68ג</w:t>
      </w:r>
      <w:r>
        <w:rPr>
          <w:rFonts w:hint="cs"/>
          <w:rtl/>
        </w:rPr>
        <w:t xml:space="preserve"> (2018), "מאזן המדינה ליום 31.12.16 - חייבים ויתרות חובה".</w:t>
      </w:r>
    </w:p>
  </w:footnote>
  <w:footnote w:id="11">
    <w:p w14:paraId="44179A5D" w14:textId="77777777" w:rsidR="007C4395" w:rsidRDefault="007C4395" w:rsidP="00BA2FBE">
      <w:pPr>
        <w:pStyle w:val="71f0"/>
      </w:pPr>
      <w:r w:rsidRPr="00BA2FBE">
        <w:footnoteRef/>
      </w:r>
      <w:r w:rsidRPr="00BA2FBE">
        <w:rPr>
          <w:rFonts w:hint="cs"/>
          <w:rtl/>
        </w:rPr>
        <w:t xml:space="preserve"> </w:t>
      </w:r>
      <w:r>
        <w:rPr>
          <w:rFonts w:hint="cs"/>
          <w:rtl/>
        </w:rPr>
        <w:tab/>
        <w:t xml:space="preserve">החלטה 2375 (בק/70) מיום 5.8.04, "תקינה חשבונאית ממשלתית למשרדי הממשלה, חברות ממשלתיות ותאגידים סטטוטוריים - </w:t>
      </w:r>
      <w:r w:rsidRPr="007816C7">
        <w:rPr>
          <w:rFonts w:hint="eastAsia"/>
          <w:rtl/>
        </w:rPr>
        <w:t>דו</w:t>
      </w:r>
      <w:r w:rsidRPr="007816C7">
        <w:rPr>
          <w:rtl/>
        </w:rPr>
        <w:t xml:space="preserve">"ח </w:t>
      </w:r>
      <w:r w:rsidRPr="007816C7">
        <w:rPr>
          <w:rFonts w:hint="eastAsia"/>
          <w:rtl/>
        </w:rPr>
        <w:t>מס</w:t>
      </w:r>
      <w:r w:rsidRPr="007816C7">
        <w:rPr>
          <w:rtl/>
        </w:rPr>
        <w:t xml:space="preserve">. 53 </w:t>
      </w:r>
      <w:r w:rsidRPr="007816C7">
        <w:rPr>
          <w:rFonts w:hint="eastAsia"/>
          <w:rtl/>
        </w:rPr>
        <w:t>ב</w:t>
      </w:r>
      <w:r w:rsidRPr="007816C7">
        <w:rPr>
          <w:rtl/>
        </w:rPr>
        <w:t xml:space="preserve">' </w:t>
      </w:r>
      <w:r w:rsidRPr="007816C7">
        <w:rPr>
          <w:rFonts w:hint="eastAsia"/>
          <w:rtl/>
        </w:rPr>
        <w:t>של</w:t>
      </w:r>
      <w:r w:rsidRPr="007816C7">
        <w:rPr>
          <w:rtl/>
        </w:rPr>
        <w:t xml:space="preserve"> </w:t>
      </w:r>
      <w:r w:rsidRPr="007816C7">
        <w:rPr>
          <w:rFonts w:hint="eastAsia"/>
          <w:rtl/>
        </w:rPr>
        <w:t>מבקר</w:t>
      </w:r>
      <w:r w:rsidRPr="007816C7">
        <w:rPr>
          <w:rtl/>
        </w:rPr>
        <w:t xml:space="preserve"> </w:t>
      </w:r>
      <w:r w:rsidRPr="007816C7">
        <w:rPr>
          <w:rFonts w:hint="eastAsia"/>
          <w:rtl/>
        </w:rPr>
        <w:t>המדינה</w:t>
      </w:r>
      <w:r>
        <w:rPr>
          <w:rFonts w:hint="cs"/>
          <w:rtl/>
        </w:rPr>
        <w:t>"</w:t>
      </w:r>
      <w:r w:rsidRPr="007816C7">
        <w:rPr>
          <w:rtl/>
        </w:rPr>
        <w:t>.</w:t>
      </w:r>
    </w:p>
  </w:footnote>
  <w:footnote w:id="12">
    <w:p w14:paraId="5889B1E2" w14:textId="77777777" w:rsidR="007C4395" w:rsidRPr="00406B73" w:rsidRDefault="007C4395" w:rsidP="00BA2FBE">
      <w:pPr>
        <w:pStyle w:val="71f0"/>
      </w:pPr>
      <w:r w:rsidRPr="00BA2FBE">
        <w:footnoteRef/>
      </w:r>
      <w:r w:rsidRPr="00BA2FBE">
        <w:rPr>
          <w:rtl/>
        </w:rPr>
        <w:t xml:space="preserve"> </w:t>
      </w:r>
      <w:r>
        <w:rPr>
          <w:rtl/>
        </w:rPr>
        <w:tab/>
      </w:r>
      <w:r>
        <w:rPr>
          <w:rFonts w:hint="cs"/>
          <w:rtl/>
        </w:rPr>
        <w:t>רק בחלק מהניתוחים בוצעה השוואה לבריטניה, מאחר שהדוחות הכספיים של בריטניה הם לשנת 2019, הדוחות הכספיים האחרונים שפורסמו במועד כתיבת הדוח.</w:t>
      </w:r>
    </w:p>
  </w:footnote>
  <w:footnote w:id="13">
    <w:p w14:paraId="357A0B9C" w14:textId="77777777" w:rsidR="007C4395" w:rsidRDefault="007C4395" w:rsidP="00BA2FBE">
      <w:pPr>
        <w:pStyle w:val="71f0"/>
      </w:pPr>
      <w:r w:rsidRPr="00BA2FBE">
        <w:footnoteRef/>
      </w:r>
      <w:r w:rsidRPr="00BA2FBE">
        <w:rPr>
          <w:rFonts w:hint="cs"/>
          <w:rtl/>
        </w:rPr>
        <w:t xml:space="preserve"> </w:t>
      </w:r>
      <w:r>
        <w:rPr>
          <w:rFonts w:hint="cs"/>
          <w:rtl/>
        </w:rPr>
        <w:tab/>
        <w:t xml:space="preserve">ראו: מבקר המדינה, </w:t>
      </w:r>
      <w:r>
        <w:rPr>
          <w:rFonts w:hint="cs"/>
          <w:b/>
          <w:bCs/>
          <w:rtl/>
        </w:rPr>
        <w:t>דוח שנתי 71ג</w:t>
      </w:r>
      <w:r>
        <w:rPr>
          <w:rFonts w:hint="cs"/>
          <w:rtl/>
        </w:rPr>
        <w:t xml:space="preserve"> (2021), "הדוחות הכספיים של מדינת ישראל ליום 31.12.19 - התחייבויות ארוכות טווח של המדינה", עמ' 274; </w:t>
      </w:r>
      <w:r w:rsidRPr="00034B1C">
        <w:rPr>
          <w:rFonts w:hint="cs"/>
          <w:rtl/>
        </w:rPr>
        <w:t>מבקר המדינה,</w:t>
      </w:r>
      <w:r>
        <w:rPr>
          <w:rFonts w:hint="cs"/>
          <w:b/>
          <w:bCs/>
          <w:rtl/>
        </w:rPr>
        <w:t xml:space="preserve"> דוח שנתי 70ב</w:t>
      </w:r>
      <w:r>
        <w:rPr>
          <w:rFonts w:hint="cs"/>
          <w:rtl/>
        </w:rPr>
        <w:t xml:space="preserve"> (2020), "הדוחות הכספיים של מדינת ישראל ליום 31.12.18", עמ' 57; מבקר המדינה, </w:t>
      </w:r>
      <w:r>
        <w:rPr>
          <w:rFonts w:hint="cs"/>
          <w:b/>
          <w:bCs/>
          <w:rtl/>
        </w:rPr>
        <w:t>דוח שנתי 66ג</w:t>
      </w:r>
      <w:r>
        <w:rPr>
          <w:rFonts w:hint="cs"/>
          <w:rtl/>
        </w:rPr>
        <w:t xml:space="preserve"> (2016), "מאזן המדינה ליום 31.12.14 - נכסים בלתי מוחשיים", עמ' 7; מבקר המדינה, </w:t>
      </w:r>
      <w:r>
        <w:rPr>
          <w:rFonts w:hint="cs"/>
          <w:b/>
          <w:bCs/>
          <w:rtl/>
        </w:rPr>
        <w:t>דוח שנתי 68ג</w:t>
      </w:r>
      <w:r>
        <w:rPr>
          <w:rFonts w:hint="cs"/>
          <w:rtl/>
        </w:rPr>
        <w:t xml:space="preserve"> (2018), "מאזן המדינה ליום 31.12.16 - חייבים ויתרות חובה", עמ' 204.</w:t>
      </w:r>
    </w:p>
  </w:footnote>
  <w:footnote w:id="14">
    <w:p w14:paraId="261C37B7" w14:textId="77777777" w:rsidR="007C4395" w:rsidRDefault="007C4395" w:rsidP="00BA2FBE">
      <w:pPr>
        <w:pStyle w:val="71f0"/>
        <w:rPr>
          <w:rtl/>
        </w:rPr>
      </w:pPr>
      <w:r w:rsidRPr="00BA2FBE">
        <w:footnoteRef/>
      </w:r>
      <w:r w:rsidRPr="00BA2FBE">
        <w:rPr>
          <w:rtl/>
        </w:rPr>
        <w:t xml:space="preserve"> </w:t>
      </w:r>
      <w:r>
        <w:rPr>
          <w:rtl/>
        </w:rPr>
        <w:tab/>
      </w:r>
      <w:r>
        <w:rPr>
          <w:rFonts w:hint="cs"/>
          <w:rtl/>
        </w:rPr>
        <w:t>מיסים ישירים ומיסים עקיפים.</w:t>
      </w:r>
    </w:p>
  </w:footnote>
  <w:footnote w:id="15">
    <w:p w14:paraId="23922B5E" w14:textId="77777777" w:rsidR="007C4395" w:rsidRPr="00C73CC3" w:rsidRDefault="007C4395" w:rsidP="00BA2FBE">
      <w:pPr>
        <w:pStyle w:val="71f0"/>
        <w:rPr>
          <w:rtl/>
        </w:rPr>
      </w:pPr>
      <w:r w:rsidRPr="00BA2FBE">
        <w:footnoteRef/>
      </w:r>
      <w:r w:rsidRPr="00BA2FBE">
        <w:rPr>
          <w:rtl/>
        </w:rPr>
        <w:t xml:space="preserve"> </w:t>
      </w:r>
      <w:r w:rsidRPr="00C73CC3">
        <w:rPr>
          <w:rtl/>
        </w:rPr>
        <w:tab/>
      </w:r>
      <w:r w:rsidRPr="00C73CC3">
        <w:rPr>
          <w:rFonts w:ascii="Arial" w:hAnsi="Arial"/>
          <w:shd w:val="clear" w:color="auto" w:fill="FFFFFF"/>
          <w:rtl/>
        </w:rPr>
        <w:t>מונח כלכלי המציין מדידה של הערך הכולל של הסחורות והשירותים שיוצרו בשטח טריטוריאלי מסוים במהלך תקופה נתונה , לפני הפחתת הבלאי</w:t>
      </w:r>
      <w:r w:rsidRPr="00C73CC3">
        <w:rPr>
          <w:rFonts w:ascii="Arial" w:hAnsi="Arial" w:hint="cs"/>
          <w:shd w:val="clear" w:color="auto" w:fill="FFFFFF"/>
          <w:rtl/>
        </w:rPr>
        <w:t>.</w:t>
      </w:r>
    </w:p>
  </w:footnote>
  <w:footnote w:id="16">
    <w:p w14:paraId="39967E5B" w14:textId="77777777" w:rsidR="007C4395" w:rsidRDefault="007C4395" w:rsidP="00BA2FBE">
      <w:pPr>
        <w:pStyle w:val="71f0"/>
      </w:pPr>
      <w:r w:rsidRPr="00BA2FBE">
        <w:footnoteRef/>
      </w:r>
      <w:r w:rsidRPr="00BA2FBE">
        <w:rPr>
          <w:rFonts w:hint="cs"/>
          <w:rtl/>
        </w:rPr>
        <w:t xml:space="preserve"> </w:t>
      </w:r>
      <w:r>
        <w:rPr>
          <w:rFonts w:hint="cs"/>
          <w:rtl/>
        </w:rPr>
        <w:tab/>
        <w:t>משרד האוצר, "ביצוע תקציב והכנסות המדינה ממִסים לשנת 2020", ינואר 2021. יצוין כי נתוני מינהל הכנסות המדינה הם של הנתונים בפועל, לעומת נתוני הדוחות הכספיים - שהם על בסיס מצטבר ומבוססים על נתוני מערכות ייעודיות של הישויות השונות. כעולה מהערת החשבונאי הראשי לביאור 25 לדוחות הכספיים של המדינה לשנת 2020, חלק מהותי מנתוני ההכנסות ממיסים מנוהל במתכונת שאינה מאפשרת, מסיבות שונות, את הצגתם באופן מהימן על בסיס מצטבר.</w:t>
      </w:r>
    </w:p>
  </w:footnote>
  <w:footnote w:id="17">
    <w:p w14:paraId="5D7A2E4A" w14:textId="77777777" w:rsidR="007C4395" w:rsidRDefault="007C4395" w:rsidP="00BA2FBE">
      <w:pPr>
        <w:pStyle w:val="71f0"/>
      </w:pPr>
      <w:r w:rsidRPr="00BA2FBE">
        <w:footnoteRef/>
      </w:r>
      <w:r w:rsidRPr="00BA2FBE">
        <w:rPr>
          <w:rtl/>
        </w:rPr>
        <w:t xml:space="preserve"> </w:t>
      </w:r>
      <w:r>
        <w:rPr>
          <w:rtl/>
        </w:rPr>
        <w:tab/>
      </w:r>
      <w:r>
        <w:rPr>
          <w:rFonts w:hint="cs"/>
          <w:rtl/>
        </w:rPr>
        <w:t>סעיף 36א לחוק-יסוד: הכנסת.</w:t>
      </w:r>
    </w:p>
  </w:footnote>
  <w:footnote w:id="18">
    <w:p w14:paraId="334EC6CB" w14:textId="77777777" w:rsidR="007C4395" w:rsidRDefault="007C4395" w:rsidP="00BA2FBE">
      <w:pPr>
        <w:pStyle w:val="71f0"/>
      </w:pPr>
      <w:r w:rsidRPr="00BA2FBE">
        <w:footnoteRef/>
      </w:r>
      <w:r w:rsidRPr="00BA2FBE">
        <w:rPr>
          <w:rtl/>
        </w:rPr>
        <w:t xml:space="preserve"> </w:t>
      </w:r>
      <w:r>
        <w:rPr>
          <w:rtl/>
        </w:rPr>
        <w:tab/>
      </w:r>
      <w:r>
        <w:rPr>
          <w:rFonts w:hint="cs"/>
          <w:rtl/>
        </w:rPr>
        <w:t>מבוא לדוחות הכספיים ליום 31.12.2020, פרק 4.</w:t>
      </w:r>
    </w:p>
  </w:footnote>
  <w:footnote w:id="19">
    <w:p w14:paraId="702D2186" w14:textId="77777777" w:rsidR="007C4395" w:rsidRDefault="007C4395" w:rsidP="00BA2FBE">
      <w:pPr>
        <w:pStyle w:val="71f0"/>
        <w:rPr>
          <w:rtl/>
        </w:rPr>
      </w:pPr>
      <w:r w:rsidRPr="00BA2FBE">
        <w:footnoteRef/>
      </w:r>
      <w:r w:rsidRPr="00BA2FBE">
        <w:rPr>
          <w:rtl/>
        </w:rPr>
        <w:t xml:space="preserve"> </w:t>
      </w:r>
      <w:r>
        <w:rPr>
          <w:rtl/>
        </w:rPr>
        <w:tab/>
      </w:r>
      <w:r>
        <w:rPr>
          <w:rFonts w:hint="cs"/>
          <w:rtl/>
        </w:rPr>
        <w:t>הנתונים האלו מבוססים על נתוני אומדן ביצוע תקציבי שהופקו ממערכת מידע ניהולי ומתבססים על תזרים המזומנים היומי של הממשלה.</w:t>
      </w:r>
    </w:p>
  </w:footnote>
  <w:footnote w:id="20">
    <w:p w14:paraId="0E6C1256" w14:textId="77777777" w:rsidR="007C4395" w:rsidRDefault="007C4395" w:rsidP="00BA2FBE">
      <w:pPr>
        <w:pStyle w:val="71f0"/>
        <w:rPr>
          <w:rtl/>
        </w:rPr>
      </w:pPr>
      <w:r w:rsidRPr="00BA2FBE">
        <w:footnoteRef/>
      </w:r>
      <w:r w:rsidRPr="00BA2FBE">
        <w:rPr>
          <w:rtl/>
        </w:rPr>
        <w:t xml:space="preserve"> </w:t>
      </w:r>
      <w:r>
        <w:rPr>
          <w:rtl/>
        </w:rPr>
        <w:tab/>
      </w:r>
      <w:r>
        <w:rPr>
          <w:rFonts w:hint="cs"/>
          <w:rtl/>
        </w:rPr>
        <w:t xml:space="preserve">בשל גיוס החוב </w:t>
      </w:r>
      <w:r w:rsidRPr="00480014">
        <w:rPr>
          <w:rFonts w:hint="cs"/>
          <w:rtl/>
        </w:rPr>
        <w:t>ה</w:t>
      </w:r>
      <w:r>
        <w:rPr>
          <w:rFonts w:hint="cs"/>
          <w:rtl/>
        </w:rPr>
        <w:t>גב</w:t>
      </w:r>
      <w:r w:rsidRPr="00480014">
        <w:rPr>
          <w:rFonts w:hint="cs"/>
          <w:rtl/>
        </w:rPr>
        <w:t>ו</w:t>
      </w:r>
      <w:r>
        <w:rPr>
          <w:rFonts w:hint="cs"/>
          <w:rtl/>
        </w:rPr>
        <w:t>ה השתנתה</w:t>
      </w:r>
      <w:r w:rsidRPr="00480014">
        <w:rPr>
          <w:rFonts w:hint="cs"/>
          <w:rtl/>
        </w:rPr>
        <w:t xml:space="preserve"> בשנת 2020 מגמ</w:t>
      </w:r>
      <w:r>
        <w:rPr>
          <w:rFonts w:hint="cs"/>
          <w:rtl/>
        </w:rPr>
        <w:t>ת</w:t>
      </w:r>
      <w:r w:rsidRPr="00480014">
        <w:rPr>
          <w:rFonts w:hint="cs"/>
          <w:rtl/>
        </w:rPr>
        <w:t xml:space="preserve"> השנים האחרונות של הקטנת יחס החוב לתוצר</w:t>
      </w:r>
      <w:r>
        <w:rPr>
          <w:rFonts w:hint="cs"/>
          <w:rtl/>
        </w:rPr>
        <w:t>.</w:t>
      </w:r>
      <w:r w:rsidRPr="00480014">
        <w:rPr>
          <w:rFonts w:hint="cs"/>
          <w:rtl/>
        </w:rPr>
        <w:t xml:space="preserve"> יחס זה</w:t>
      </w:r>
      <w:r w:rsidRPr="003B3279">
        <w:rPr>
          <w:rFonts w:hint="cs"/>
          <w:rtl/>
        </w:rPr>
        <w:t xml:space="preserve"> </w:t>
      </w:r>
      <w:r w:rsidRPr="00480014">
        <w:rPr>
          <w:rFonts w:hint="cs"/>
          <w:rtl/>
        </w:rPr>
        <w:t>עמד בשנת 2020 על 72.4%</w:t>
      </w:r>
      <w:r>
        <w:rPr>
          <w:rFonts w:hint="cs"/>
          <w:rtl/>
        </w:rPr>
        <w:t>,</w:t>
      </w:r>
      <w:r w:rsidRPr="00480014">
        <w:rPr>
          <w:rFonts w:hint="cs"/>
          <w:rtl/>
        </w:rPr>
        <w:t xml:space="preserve"> לעומת 60.0% בשנת 2019 (עלי</w:t>
      </w:r>
      <w:r>
        <w:rPr>
          <w:rFonts w:hint="cs"/>
          <w:rtl/>
        </w:rPr>
        <w:t>י</w:t>
      </w:r>
      <w:r w:rsidRPr="00480014">
        <w:rPr>
          <w:rFonts w:hint="cs"/>
          <w:rtl/>
        </w:rPr>
        <w:t xml:space="preserve">ה </w:t>
      </w:r>
      <w:r>
        <w:rPr>
          <w:rFonts w:hint="cs"/>
          <w:rtl/>
        </w:rPr>
        <w:t>ב-</w:t>
      </w:r>
      <w:r w:rsidRPr="00480014">
        <w:rPr>
          <w:rFonts w:hint="cs"/>
          <w:rtl/>
        </w:rPr>
        <w:t>12.4%). עלי</w:t>
      </w:r>
      <w:r>
        <w:rPr>
          <w:rFonts w:hint="cs"/>
          <w:rtl/>
        </w:rPr>
        <w:t>י</w:t>
      </w:r>
      <w:r w:rsidRPr="00480014">
        <w:rPr>
          <w:rFonts w:hint="cs"/>
          <w:rtl/>
        </w:rPr>
        <w:t xml:space="preserve">ה זו של </w:t>
      </w:r>
      <w:r>
        <w:rPr>
          <w:rFonts w:hint="cs"/>
          <w:rtl/>
        </w:rPr>
        <w:t>ה</w:t>
      </w:r>
      <w:r w:rsidRPr="00480014">
        <w:rPr>
          <w:rFonts w:hint="cs"/>
          <w:rtl/>
        </w:rPr>
        <w:t xml:space="preserve">יחס </w:t>
      </w:r>
      <w:r>
        <w:rPr>
          <w:rFonts w:hint="cs"/>
          <w:rtl/>
        </w:rPr>
        <w:t xml:space="preserve">בין </w:t>
      </w:r>
      <w:r w:rsidRPr="00480014">
        <w:rPr>
          <w:rFonts w:hint="cs"/>
          <w:rtl/>
        </w:rPr>
        <w:t xml:space="preserve">החוב לתוצר בשנים 2019 </w:t>
      </w:r>
      <w:r>
        <w:rPr>
          <w:rFonts w:hint="cs"/>
          <w:rtl/>
        </w:rPr>
        <w:t>- 2020</w:t>
      </w:r>
      <w:r w:rsidRPr="00480014">
        <w:rPr>
          <w:rFonts w:hint="cs"/>
          <w:rtl/>
        </w:rPr>
        <w:t xml:space="preserve"> אפיינה את </w:t>
      </w:r>
      <w:r>
        <w:rPr>
          <w:rFonts w:hint="cs"/>
          <w:rtl/>
        </w:rPr>
        <w:t>ה</w:t>
      </w:r>
      <w:r w:rsidRPr="00480014">
        <w:rPr>
          <w:rFonts w:hint="cs"/>
          <w:rtl/>
        </w:rPr>
        <w:t>רוב המכריע של המדינות המפותחות</w:t>
      </w:r>
      <w:r>
        <w:rPr>
          <w:rFonts w:hint="cs"/>
          <w:rtl/>
        </w:rPr>
        <w:t>.</w:t>
      </w:r>
    </w:p>
  </w:footnote>
  <w:footnote w:id="21">
    <w:p w14:paraId="63081C12" w14:textId="77777777" w:rsidR="007C4395" w:rsidRDefault="007C4395" w:rsidP="00BA2FBE">
      <w:pPr>
        <w:pStyle w:val="71f0"/>
      </w:pPr>
      <w:r w:rsidRPr="00BA2FBE">
        <w:footnoteRef/>
      </w:r>
      <w:r w:rsidRPr="00BA2FBE">
        <w:rPr>
          <w:rtl/>
        </w:rPr>
        <w:t xml:space="preserve"> </w:t>
      </w:r>
      <w:r>
        <w:rPr>
          <w:rtl/>
        </w:rPr>
        <w:tab/>
      </w:r>
      <w:r>
        <w:rPr>
          <w:rFonts w:hint="cs"/>
          <w:rtl/>
        </w:rPr>
        <w:t>קרנות המשמשות לניהול פעילות ייחודית במסגרת הממשלתית, תוך יצירת הפרדה חשבונאית ותקציבית בין פעילות הקרנות לבין הפעילות הרגילה של הממשלה. תוקפן ומעמדן של קרנות אלו יכול לנבוע מכוח חוק, הוראות חקיקה או מהחלטה מינהלית. מקורות הכנסתן של קרנות אלו עשויים להיות מפעילות מתוקצבת בהתאם לחוק יסודות התקציב, התשמ"ה-1985, או ממקורות אחרים מחוץ לתקציב המדינה.</w:t>
      </w:r>
    </w:p>
  </w:footnote>
  <w:footnote w:id="22">
    <w:p w14:paraId="4929CC89" w14:textId="77777777" w:rsidR="007C4395" w:rsidRDefault="007C4395" w:rsidP="00BA2FBE">
      <w:pPr>
        <w:pStyle w:val="71f0"/>
      </w:pPr>
      <w:r w:rsidRPr="00BA2FBE">
        <w:footnoteRef/>
      </w:r>
      <w:r>
        <w:rPr>
          <w:rtl/>
        </w:rPr>
        <w:t xml:space="preserve"> </w:t>
      </w:r>
      <w:r>
        <w:rPr>
          <w:rtl/>
        </w:rPr>
        <w:tab/>
      </w:r>
      <w:r>
        <w:rPr>
          <w:rFonts w:hint="cs"/>
          <w:rtl/>
        </w:rPr>
        <w:t>ההקלות שניתנו הן בין היתר דחיית תשלומי משכנתא לתקופה מצטברת של עד 24 חודשים, פריסת תשלומים והארכת התקופה לפירעון.</w:t>
      </w:r>
    </w:p>
  </w:footnote>
  <w:footnote w:id="23">
    <w:p w14:paraId="6398701F" w14:textId="77777777" w:rsidR="007C4395" w:rsidRDefault="007C4395" w:rsidP="00BA2FBE">
      <w:pPr>
        <w:pStyle w:val="71f0"/>
        <w:rPr>
          <w:rtl/>
        </w:rPr>
      </w:pPr>
      <w:r w:rsidRPr="00BA2FBE">
        <w:footnoteRef/>
      </w:r>
      <w:r w:rsidRPr="00BA2FBE">
        <w:rPr>
          <w:rtl/>
        </w:rPr>
        <w:t xml:space="preserve"> </w:t>
      </w:r>
      <w:r>
        <w:rPr>
          <w:rtl/>
        </w:rPr>
        <w:tab/>
      </w:r>
      <w:r>
        <w:rPr>
          <w:rFonts w:hint="cs"/>
          <w:rtl/>
        </w:rPr>
        <w:t>יצוין כי לולא קיטון זה, הגידול בתשלומי גמלאות המוסד לביטוח לאומי המופיעים בלוח 4 היה גדול עוד יותר.</w:t>
      </w:r>
    </w:p>
  </w:footnote>
  <w:footnote w:id="24">
    <w:p w14:paraId="6A12329F" w14:textId="77777777" w:rsidR="007C4395" w:rsidRDefault="007C4395" w:rsidP="00BA2FBE">
      <w:pPr>
        <w:pStyle w:val="71f0"/>
      </w:pPr>
      <w:r w:rsidRPr="00BA2FBE">
        <w:footnoteRef/>
      </w:r>
      <w:r>
        <w:rPr>
          <w:rtl/>
        </w:rPr>
        <w:t xml:space="preserve"> </w:t>
      </w:r>
      <w:r>
        <w:rPr>
          <w:rtl/>
        </w:rPr>
        <w:tab/>
      </w:r>
      <w:r>
        <w:rPr>
          <w:rFonts w:hint="cs"/>
          <w:rtl/>
        </w:rPr>
        <w:t xml:space="preserve">הכוונה לשינויים בתחשיב שכר העבודה ובהטבות לעובדים, כגון זכויות שנצברו לעובדי המדינה הזכאים לפנסייה תקציבית בשנה השוטפת, ושינוי בערך הנוכחי של ההתחייבות לפנסייה התקציבית. </w:t>
      </w:r>
    </w:p>
  </w:footnote>
  <w:footnote w:id="25">
    <w:p w14:paraId="572CE40A" w14:textId="77777777" w:rsidR="007C4395" w:rsidRDefault="007C4395" w:rsidP="00BA2FBE">
      <w:pPr>
        <w:pStyle w:val="71f0"/>
        <w:rPr>
          <w:rtl/>
        </w:rPr>
      </w:pPr>
      <w:r w:rsidRPr="00BA2FBE">
        <w:footnoteRef/>
      </w:r>
      <w:r>
        <w:rPr>
          <w:rtl/>
        </w:rPr>
        <w:t xml:space="preserve"> </w:t>
      </w:r>
      <w:r>
        <w:rPr>
          <w:rtl/>
        </w:rPr>
        <w:tab/>
      </w:r>
      <w:r>
        <w:rPr>
          <w:rFonts w:hint="cs"/>
          <w:rtl/>
        </w:rPr>
        <w:t xml:space="preserve">יצוין כי בהתאם לדוחות הכספיים של המדינה, נתוני הכנסות המדינה החזויות טרום המשבר מתייחסים לתחזית אגף הכלכלנית הראשית בתחילת שנת 2020. נתוני ההוצאות בנטרול הוצאות הקורונה מתייחסים לנתונים בפועל לאור מגבלת התקציב ההמשכי שאושרה בכנסת נכון לסוף שנת 2020. כמו כן, צוין, כי נתוני ההכנסות וההוצאות מחושבים ביחס לתוצר החזוי בתחילת שנת 2020 שהיה גבוה במידה משמעותית מהתוצר בפועל בשנת המשבר. </w:t>
      </w:r>
    </w:p>
  </w:footnote>
  <w:footnote w:id="26">
    <w:p w14:paraId="70352B25" w14:textId="77777777" w:rsidR="007C4395" w:rsidRDefault="007C4395" w:rsidP="0098222D">
      <w:pPr>
        <w:pStyle w:val="71f0"/>
        <w:rPr>
          <w:rtl/>
        </w:rPr>
      </w:pPr>
      <w:r w:rsidRPr="0098222D">
        <w:footnoteRef/>
      </w:r>
      <w:r>
        <w:rPr>
          <w:rtl/>
        </w:rPr>
        <w:t xml:space="preserve"> </w:t>
      </w:r>
      <w:r>
        <w:rPr>
          <w:rtl/>
        </w:rPr>
        <w:tab/>
      </w:r>
      <w:r>
        <w:rPr>
          <w:rFonts w:hint="cs"/>
          <w:rtl/>
        </w:rPr>
        <w:t>הגירעון המשוער ללא המשבר התבסס על התחזית השנתית של אגף הכלכלנית הראשית להיקף הכנסות המדינה ולגובה התוצר הנומינלי אשר פורסמה בתחילת שנת 2020 טרום המשבר, ועל ההוצאות בפועל ביחס למגבלת התקציב ההמשכי שאושרה בכנסת נכון לסוף שנת 2020.</w:t>
      </w:r>
    </w:p>
  </w:footnote>
  <w:footnote w:id="27">
    <w:p w14:paraId="42C530A3" w14:textId="77777777" w:rsidR="007C4395" w:rsidRDefault="007C4395" w:rsidP="0098222D">
      <w:pPr>
        <w:pStyle w:val="71f0"/>
        <w:rPr>
          <w:rtl/>
        </w:rPr>
      </w:pPr>
      <w:r w:rsidRPr="0098222D">
        <w:footnoteRef/>
      </w:r>
      <w:r w:rsidRPr="0098222D">
        <w:rPr>
          <w:rFonts w:hint="cs"/>
          <w:rtl/>
        </w:rPr>
        <w:t xml:space="preserve"> </w:t>
      </w:r>
      <w:r>
        <w:rPr>
          <w:rFonts w:hint="cs"/>
          <w:rtl/>
        </w:rPr>
        <w:tab/>
        <w:t xml:space="preserve">תרשים 4.3 לדוחות הכספיים לשנת 2020. </w:t>
      </w:r>
    </w:p>
  </w:footnote>
  <w:footnote w:id="28">
    <w:p w14:paraId="21E7C358" w14:textId="77777777" w:rsidR="007C4395" w:rsidRDefault="007C4395" w:rsidP="0098222D">
      <w:pPr>
        <w:pStyle w:val="71f0"/>
      </w:pPr>
      <w:r w:rsidRPr="0098222D">
        <w:footnoteRef/>
      </w:r>
      <w:r w:rsidRPr="0098222D">
        <w:rPr>
          <w:rtl/>
        </w:rPr>
        <w:t xml:space="preserve"> </w:t>
      </w:r>
      <w:r>
        <w:rPr>
          <w:rtl/>
        </w:rPr>
        <w:tab/>
      </w:r>
      <w:r>
        <w:rPr>
          <w:rFonts w:hint="cs"/>
          <w:rtl/>
        </w:rPr>
        <w:t>לצד הגידול הניכר בהוצאות בתחומים אלו - הרווחה והביטוח הלאומי; הבריאות; המסחר, התעשייה והחקלאות - חל גם גידול של כ-29.1 מיליארד ש"ח בהוצאות המשרדים האחרים.</w:t>
      </w:r>
    </w:p>
  </w:footnote>
  <w:footnote w:id="29">
    <w:p w14:paraId="533DD08C" w14:textId="77777777" w:rsidR="007C4395" w:rsidRDefault="007C4395" w:rsidP="00010778">
      <w:pPr>
        <w:pStyle w:val="71f0"/>
        <w:rPr>
          <w:rtl/>
        </w:rPr>
      </w:pPr>
      <w:r w:rsidRPr="00010778">
        <w:footnoteRef/>
      </w:r>
      <w:r w:rsidRPr="00010778">
        <w:rPr>
          <w:rtl/>
        </w:rPr>
        <w:t xml:space="preserve"> </w:t>
      </w:r>
      <w:r>
        <w:rPr>
          <w:rtl/>
        </w:rPr>
        <w:tab/>
      </w:r>
      <w:r>
        <w:rPr>
          <w:rFonts w:hint="cs"/>
          <w:rtl/>
        </w:rPr>
        <w:t>על פי המבוא לדוחות הכספיים המאוחדים של המדינה.</w:t>
      </w:r>
    </w:p>
  </w:footnote>
  <w:footnote w:id="30">
    <w:p w14:paraId="057672F0" w14:textId="77777777" w:rsidR="007C4395" w:rsidRDefault="007C4395" w:rsidP="00010778">
      <w:pPr>
        <w:pStyle w:val="71f0"/>
      </w:pPr>
      <w:r w:rsidRPr="00010778">
        <w:footnoteRef/>
      </w:r>
      <w:r w:rsidRPr="00010778">
        <w:rPr>
          <w:rtl/>
        </w:rPr>
        <w:t xml:space="preserve"> </w:t>
      </w:r>
      <w:r>
        <w:rPr>
          <w:rtl/>
        </w:rPr>
        <w:tab/>
      </w:r>
      <w:r>
        <w:rPr>
          <w:rFonts w:hint="cs"/>
          <w:rtl/>
        </w:rPr>
        <w:t>ראו הערת שוליים מס' 2 לעיל.</w:t>
      </w:r>
    </w:p>
  </w:footnote>
  <w:footnote w:id="31">
    <w:p w14:paraId="2C242021" w14:textId="77777777" w:rsidR="007C4395" w:rsidRDefault="007C4395" w:rsidP="00010778">
      <w:pPr>
        <w:pStyle w:val="71f0"/>
        <w:rPr>
          <w:rtl/>
        </w:rPr>
      </w:pPr>
      <w:r w:rsidRPr="00010778">
        <w:footnoteRef/>
      </w:r>
      <w:r>
        <w:rPr>
          <w:rtl/>
        </w:rPr>
        <w:t xml:space="preserve"> </w:t>
      </w:r>
      <w:r>
        <w:rPr>
          <w:rtl/>
        </w:rPr>
        <w:tab/>
      </w:r>
      <w:r>
        <w:rPr>
          <w:rFonts w:hint="cs"/>
          <w:rtl/>
        </w:rPr>
        <w:t>דוח כספי סולו של משרד הבריאות ללא איחוד עם בתי החולים הממשלתיים.</w:t>
      </w:r>
    </w:p>
  </w:footnote>
  <w:footnote w:id="32">
    <w:p w14:paraId="00F15BA6" w14:textId="77777777" w:rsidR="007C4395" w:rsidRDefault="007C4395" w:rsidP="00010778">
      <w:pPr>
        <w:pStyle w:val="71f0"/>
        <w:rPr>
          <w:rtl/>
        </w:rPr>
      </w:pPr>
      <w:r w:rsidRPr="00010778">
        <w:footnoteRef/>
      </w:r>
      <w:r w:rsidRPr="00010778">
        <w:rPr>
          <w:rtl/>
        </w:rPr>
        <w:t xml:space="preserve"> </w:t>
      </w:r>
      <w:r>
        <w:rPr>
          <w:rtl/>
        </w:rPr>
        <w:tab/>
      </w:r>
      <w:r>
        <w:rPr>
          <w:rFonts w:hint="cs"/>
          <w:rtl/>
        </w:rPr>
        <w:t>"</w:t>
      </w:r>
      <w:r w:rsidRPr="00A82C61">
        <w:rPr>
          <w:rtl/>
        </w:rPr>
        <w:t>דוח על תוצאות ביקורת חשבונות סיעות ורשימות שהשתתפו בבחירות לרשויות המקומיות ומועמדים שהשתתפו בבחירות לראשי למועצות אזוריות באוקטובר 2018</w:t>
      </w:r>
      <w:r>
        <w:rPr>
          <w:rFonts w:hint="cs"/>
          <w:rtl/>
        </w:rPr>
        <w:t>", מרץ 2020.</w:t>
      </w:r>
    </w:p>
  </w:footnote>
  <w:footnote w:id="33">
    <w:p w14:paraId="4655919F" w14:textId="77777777" w:rsidR="007C4395" w:rsidRDefault="007C4395" w:rsidP="00010778">
      <w:pPr>
        <w:pStyle w:val="71f0"/>
        <w:rPr>
          <w:rtl/>
        </w:rPr>
      </w:pPr>
      <w:r w:rsidRPr="00010778">
        <w:footnoteRef/>
      </w:r>
      <w:r w:rsidRPr="00010778">
        <w:rPr>
          <w:rtl/>
        </w:rPr>
        <w:t xml:space="preserve"> </w:t>
      </w:r>
      <w:r>
        <w:rPr>
          <w:rtl/>
        </w:rPr>
        <w:tab/>
      </w:r>
      <w:r>
        <w:rPr>
          <w:rFonts w:hint="cs"/>
          <w:rtl/>
        </w:rPr>
        <w:t>סך כל הנכסים, כולל נכסים שוטפים ונכסים לא שוטפים.</w:t>
      </w:r>
    </w:p>
  </w:footnote>
  <w:footnote w:id="34">
    <w:p w14:paraId="5BC061F2" w14:textId="77777777" w:rsidR="007C4395" w:rsidRDefault="007C4395" w:rsidP="00010778">
      <w:pPr>
        <w:pStyle w:val="71f0"/>
      </w:pPr>
      <w:r w:rsidRPr="00010778">
        <w:footnoteRef/>
      </w:r>
      <w:r w:rsidRPr="00010778">
        <w:rPr>
          <w:rtl/>
        </w:rPr>
        <w:t xml:space="preserve"> </w:t>
      </w:r>
      <w:r>
        <w:rPr>
          <w:rtl/>
        </w:rPr>
        <w:tab/>
      </w:r>
      <w:r>
        <w:rPr>
          <w:rFonts w:hint="cs"/>
          <w:rtl/>
        </w:rPr>
        <w:t>הכוונה להשקעה בדיור ציבורי.</w:t>
      </w:r>
    </w:p>
  </w:footnote>
  <w:footnote w:id="35">
    <w:p w14:paraId="7E7A5667" w14:textId="77777777" w:rsidR="007C4395" w:rsidRDefault="007C4395" w:rsidP="00010778">
      <w:pPr>
        <w:pStyle w:val="71f0"/>
        <w:rPr>
          <w:rtl/>
        </w:rPr>
      </w:pPr>
      <w:r w:rsidRPr="00010778">
        <w:footnoteRef/>
      </w:r>
      <w:r w:rsidRPr="00010778">
        <w:rPr>
          <w:rtl/>
        </w:rPr>
        <w:t xml:space="preserve"> </w:t>
      </w:r>
      <w:r w:rsidRPr="009E2DBF">
        <w:rPr>
          <w:rtl/>
        </w:rPr>
        <w:tab/>
      </w:r>
      <w:r>
        <w:rPr>
          <w:rFonts w:hint="cs"/>
          <w:rtl/>
        </w:rPr>
        <w:t>"</w:t>
      </w:r>
      <w:r w:rsidRPr="009E2DBF">
        <w:rPr>
          <w:rFonts w:hint="cs"/>
          <w:rtl/>
        </w:rPr>
        <w:t>המסגרת המושגית לדיווח כספי למטרות כלליות של ישויות ממשלתיות</w:t>
      </w:r>
      <w:r>
        <w:rPr>
          <w:rFonts w:hint="cs"/>
          <w:rtl/>
        </w:rPr>
        <w:t>"</w:t>
      </w:r>
      <w:r w:rsidRPr="009E2DBF">
        <w:rPr>
          <w:rFonts w:hint="cs"/>
          <w:rtl/>
        </w:rPr>
        <w:t xml:space="preserve"> פרקים </w:t>
      </w:r>
      <w:r>
        <w:rPr>
          <w:rFonts w:hint="cs"/>
          <w:rtl/>
        </w:rPr>
        <w:t>1 - 4</w:t>
      </w:r>
      <w:r w:rsidRPr="009E2DBF">
        <w:rPr>
          <w:rFonts w:hint="cs"/>
          <w:rtl/>
        </w:rPr>
        <w:t>, המוסד הישראלי לתקינה בחשבונאות ממשלתית, יוני 2020.</w:t>
      </w:r>
      <w:r>
        <w:rPr>
          <w:rFonts w:hint="cs"/>
          <w:rtl/>
        </w:rPr>
        <w:t xml:space="preserve"> המסגרת המושגית קובעת את התפיסות העומדות בבסיסו של דיווח כספי למטרות כלליות על ידי ישויות ממשלתיות המדווחות על בסיס מצטבר.</w:t>
      </w:r>
    </w:p>
  </w:footnote>
  <w:footnote w:id="36">
    <w:p w14:paraId="3651B749" w14:textId="77777777" w:rsidR="007C4395" w:rsidRDefault="007C4395" w:rsidP="00EC550D">
      <w:pPr>
        <w:pStyle w:val="719"/>
      </w:pPr>
      <w:r w:rsidRPr="00882841">
        <w:footnoteRef/>
      </w:r>
      <w:r w:rsidRPr="00882841">
        <w:rPr>
          <w:rtl/>
        </w:rPr>
        <w:t xml:space="preserve"> </w:t>
      </w:r>
      <w:r>
        <w:rPr>
          <w:rtl/>
        </w:rPr>
        <w:tab/>
      </w:r>
      <w:r>
        <w:rPr>
          <w:rFonts w:hint="cs"/>
          <w:rtl/>
        </w:rPr>
        <w:t>מס' 2.3.1.</w:t>
      </w:r>
    </w:p>
  </w:footnote>
  <w:footnote w:id="37">
    <w:p w14:paraId="77F14DBF" w14:textId="77777777" w:rsidR="007C4395" w:rsidRPr="00BA26F7" w:rsidRDefault="007C4395" w:rsidP="00EC550D">
      <w:pPr>
        <w:pStyle w:val="719"/>
        <w:rPr>
          <w:rtl/>
        </w:rPr>
      </w:pPr>
      <w:r w:rsidRPr="00882841">
        <w:footnoteRef/>
      </w:r>
      <w:r w:rsidRPr="00882841">
        <w:rPr>
          <w:rtl/>
        </w:rPr>
        <w:t xml:space="preserve"> </w:t>
      </w:r>
      <w:r>
        <w:rPr>
          <w:rtl/>
        </w:rPr>
        <w:tab/>
      </w:r>
      <w:r>
        <w:rPr>
          <w:rFonts w:hint="cs"/>
          <w:rtl/>
        </w:rPr>
        <w:t>יצוין כי מבקר המדינה אף המליץ על כך בעבר ב</w:t>
      </w:r>
      <w:r>
        <w:rPr>
          <w:rFonts w:hint="cs"/>
          <w:b/>
          <w:bCs/>
          <w:rtl/>
        </w:rPr>
        <w:t xml:space="preserve">דוח שנתי </w:t>
      </w:r>
      <w:proofErr w:type="spellStart"/>
      <w:r>
        <w:rPr>
          <w:rFonts w:hint="cs"/>
          <w:b/>
          <w:bCs/>
          <w:rtl/>
        </w:rPr>
        <w:t>66ג</w:t>
      </w:r>
      <w:proofErr w:type="spellEnd"/>
      <w:r>
        <w:rPr>
          <w:rFonts w:hint="cs"/>
          <w:rtl/>
        </w:rPr>
        <w:t xml:space="preserve"> (2016), "מאזן המדינה ליום 31.12.14 - נכסים בלתי מוחשיים".</w:t>
      </w:r>
    </w:p>
  </w:footnote>
  <w:footnote w:id="38">
    <w:p w14:paraId="7F409D9B" w14:textId="77777777" w:rsidR="007C4395" w:rsidRDefault="007C4395" w:rsidP="00010778">
      <w:pPr>
        <w:pStyle w:val="71f0"/>
      </w:pPr>
      <w:r w:rsidRPr="00010778">
        <w:footnoteRef/>
      </w:r>
      <w:r w:rsidRPr="00010778">
        <w:rPr>
          <w:rtl/>
        </w:rPr>
        <w:t xml:space="preserve"> </w:t>
      </w:r>
      <w:r>
        <w:rPr>
          <w:rtl/>
        </w:rPr>
        <w:tab/>
      </w:r>
      <w:r>
        <w:rPr>
          <w:rFonts w:hint="cs"/>
          <w:rtl/>
        </w:rPr>
        <w:t>יחס שוטף גדול מצביע על נכסים שוטפים גבוהים לעומת ההתחייבויות השוטפות, ויחס שוטף קטן מצביע על נכסים שוטפים נמוכים לעומת ההתחייבויות השוטפות.</w:t>
      </w:r>
    </w:p>
  </w:footnote>
  <w:footnote w:id="39">
    <w:p w14:paraId="6CEB4203" w14:textId="77777777" w:rsidR="007C4395" w:rsidRDefault="007C4395" w:rsidP="00010778">
      <w:pPr>
        <w:pStyle w:val="71f0"/>
      </w:pPr>
      <w:r w:rsidRPr="00010778">
        <w:footnoteRef/>
      </w:r>
      <w:r w:rsidRPr="00010778">
        <w:rPr>
          <w:rFonts w:hint="cs"/>
          <w:rtl/>
        </w:rPr>
        <w:t xml:space="preserve"> </w:t>
      </w:r>
      <w:r>
        <w:rPr>
          <w:rFonts w:hint="cs"/>
          <w:rtl/>
        </w:rPr>
        <w:tab/>
        <w:t>עסקאות שאינן חליפין הן עסקאות שאינן כוללות חליפין של ערכים השווים בקירוב זה לזה, בין הצדדים לעסקה. בעסקה שאינה חליפין, משרד מקבל ערך, בעיקר מזומנים, סחורות, שירותים או שימוש בנכסים, מבלי לספק במישרין כל תמורה, או שהוא מספק תמורה סמלית. דוגמאות לעסקאות שאינן חליפין הן מיסים, אגרות, העברות חד-צדדיות והכנסות מתקציב.</w:t>
      </w:r>
    </w:p>
  </w:footnote>
  <w:footnote w:id="40">
    <w:p w14:paraId="18504CED" w14:textId="77777777" w:rsidR="007C4395" w:rsidRDefault="007C4395" w:rsidP="00010778">
      <w:pPr>
        <w:pStyle w:val="71f0"/>
        <w:rPr>
          <w:rtl/>
        </w:rPr>
      </w:pPr>
      <w:r w:rsidRPr="00010778">
        <w:footnoteRef/>
      </w:r>
      <w:r w:rsidRPr="00010778">
        <w:rPr>
          <w:rFonts w:hint="cs"/>
          <w:rtl/>
        </w:rPr>
        <w:t xml:space="preserve"> </w:t>
      </w:r>
      <w:r>
        <w:rPr>
          <w:rFonts w:hint="cs"/>
          <w:rtl/>
        </w:rPr>
        <w:tab/>
        <w:t>בעסקאות חליפין משרד מוסר נכסים או שירותים ובתמורה מקבל ערך (מזומנים, סחורות, שירותים או נכסים) השווה בקירוב לערך שמסר.</w:t>
      </w:r>
    </w:p>
  </w:footnote>
  <w:footnote w:id="41">
    <w:p w14:paraId="5BA3DFDC" w14:textId="77777777" w:rsidR="007C4395" w:rsidRDefault="007C4395" w:rsidP="00010778">
      <w:pPr>
        <w:pStyle w:val="71f0"/>
      </w:pPr>
      <w:r w:rsidRPr="00010778">
        <w:footnoteRef/>
      </w:r>
      <w:r w:rsidRPr="00010778">
        <w:rPr>
          <w:rtl/>
        </w:rPr>
        <w:t xml:space="preserve"> </w:t>
      </w:r>
      <w:r>
        <w:rPr>
          <w:rtl/>
        </w:rPr>
        <w:tab/>
      </w:r>
      <w:r>
        <w:rPr>
          <w:rFonts w:hint="cs"/>
          <w:rtl/>
        </w:rPr>
        <w:t xml:space="preserve">ראו גם </w:t>
      </w:r>
      <w:r w:rsidRPr="00034B1C">
        <w:rPr>
          <w:rFonts w:hint="cs"/>
          <w:rtl/>
        </w:rPr>
        <w:t>מבקר המדינה,</w:t>
      </w:r>
      <w:r>
        <w:rPr>
          <w:rFonts w:hint="cs"/>
          <w:b/>
          <w:bCs/>
          <w:rtl/>
        </w:rPr>
        <w:t xml:space="preserve"> דוח שנתי 70ב</w:t>
      </w:r>
      <w:r>
        <w:rPr>
          <w:rFonts w:hint="cs"/>
          <w:rtl/>
        </w:rPr>
        <w:t xml:space="preserve"> (2020), "הדוחות הכספיים של מדינת ישראל ליום 31.12.18", עמ' 59.</w:t>
      </w:r>
    </w:p>
  </w:footnote>
  <w:footnote w:id="42">
    <w:p w14:paraId="38CFEADE" w14:textId="77777777" w:rsidR="007C4395" w:rsidRDefault="007C4395" w:rsidP="00010778">
      <w:pPr>
        <w:pStyle w:val="71f0"/>
        <w:rPr>
          <w:rtl/>
        </w:rPr>
      </w:pPr>
      <w:r w:rsidRPr="00010778">
        <w:footnoteRef/>
      </w:r>
      <w:r w:rsidRPr="00010778">
        <w:rPr>
          <w:rtl/>
        </w:rPr>
        <w:t xml:space="preserve"> </w:t>
      </w:r>
      <w:r>
        <w:rPr>
          <w:rtl/>
        </w:rPr>
        <w:tab/>
      </w:r>
      <w:r>
        <w:rPr>
          <w:rFonts w:hint="cs"/>
          <w:rtl/>
        </w:rPr>
        <w:t>הסתייגות זו מופיעה גם בדוחות הכספיים של רשות המיסים בישראל ליום 31.12.2020.</w:t>
      </w:r>
    </w:p>
  </w:footnote>
  <w:footnote w:id="43">
    <w:p w14:paraId="1B72085D" w14:textId="77777777" w:rsidR="007C4395" w:rsidRPr="002C487E" w:rsidRDefault="007C4395" w:rsidP="00010778">
      <w:pPr>
        <w:pStyle w:val="71f0"/>
      </w:pPr>
      <w:r w:rsidRPr="00010778">
        <w:footnoteRef/>
      </w:r>
      <w:r w:rsidRPr="00010778">
        <w:rPr>
          <w:rtl/>
        </w:rPr>
        <w:t xml:space="preserve"> </w:t>
      </w:r>
      <w:r>
        <w:rPr>
          <w:rtl/>
        </w:rPr>
        <w:tab/>
      </w:r>
      <w:r>
        <w:rPr>
          <w:rFonts w:hint="cs"/>
          <w:rtl/>
        </w:rPr>
        <w:t xml:space="preserve">ראו מבקר המדינה, </w:t>
      </w:r>
      <w:r>
        <w:rPr>
          <w:rFonts w:hint="cs"/>
          <w:b/>
          <w:bCs/>
          <w:rtl/>
        </w:rPr>
        <w:t>דוח שנתי 68ג</w:t>
      </w:r>
      <w:r>
        <w:rPr>
          <w:rFonts w:hint="cs"/>
          <w:rtl/>
        </w:rPr>
        <w:t xml:space="preserve"> (2018), "מאזן המדינה ליום 31.12.16 - חייבים ויתרות חובה", עמ' 203; </w:t>
      </w:r>
      <w:r w:rsidRPr="00034B1C">
        <w:rPr>
          <w:rFonts w:hint="cs"/>
          <w:rtl/>
        </w:rPr>
        <w:t>מבקר המדינה,</w:t>
      </w:r>
      <w:r>
        <w:rPr>
          <w:rFonts w:hint="cs"/>
          <w:b/>
          <w:bCs/>
          <w:rtl/>
        </w:rPr>
        <w:t xml:space="preserve"> דוח שנתי 70ב</w:t>
      </w:r>
      <w:r>
        <w:rPr>
          <w:rFonts w:hint="cs"/>
          <w:rtl/>
        </w:rPr>
        <w:t xml:space="preserve"> (2020), "הדוחות הכספיים של מדינת ישראל ליום 31.12.18", עמ' 59.</w:t>
      </w:r>
    </w:p>
  </w:footnote>
  <w:footnote w:id="44">
    <w:p w14:paraId="00B796BB" w14:textId="77777777" w:rsidR="007C4395" w:rsidRDefault="007C4395" w:rsidP="00010778">
      <w:pPr>
        <w:pStyle w:val="71f0"/>
      </w:pPr>
      <w:r w:rsidRPr="00010778">
        <w:footnoteRef/>
      </w:r>
      <w:r>
        <w:rPr>
          <w:rtl/>
        </w:rPr>
        <w:t xml:space="preserve"> </w:t>
      </w:r>
      <w:r>
        <w:rPr>
          <w:rtl/>
        </w:rPr>
        <w:tab/>
      </w:r>
      <w:r>
        <w:rPr>
          <w:rFonts w:hint="cs"/>
          <w:rtl/>
        </w:rPr>
        <w:t>הסכם לסיום מחלוקת כספית בין משרד ממשלתי אחד או יותר לבין צד שני אחד או יותר, אגב הליך המתנהל בבית משפט או בעקבות דרישת חוב במחלוקת שלא באמצעות בית משפט. פשרה יכולה להיות במקרה שהמדינה היא התובעת או הנתבעת. סכום הפשרה כאשר המדינה היא התובעת הוא מלוא שווי הוויתור, כלומר מלוא השווי הכספי של ההפרש בין סכום התביעה או דרישת התשלום של המדינה מהצד שכנגד, לבין הסכום הצפוי להתקבל על סמך פשרה בין הצדדים.</w:t>
      </w:r>
    </w:p>
  </w:footnote>
  <w:footnote w:id="45">
    <w:p w14:paraId="1E1E273A" w14:textId="77777777" w:rsidR="007C4395" w:rsidRDefault="007C4395" w:rsidP="00010778">
      <w:pPr>
        <w:pStyle w:val="71f0"/>
        <w:rPr>
          <w:rtl/>
        </w:rPr>
      </w:pPr>
      <w:r w:rsidRPr="00010778">
        <w:footnoteRef/>
      </w:r>
      <w:r w:rsidRPr="00010778">
        <w:rPr>
          <w:rtl/>
        </w:rPr>
        <w:t xml:space="preserve"> </w:t>
      </w:r>
      <w:r>
        <w:rPr>
          <w:rtl/>
        </w:rPr>
        <w:tab/>
      </w:r>
      <w:r>
        <w:rPr>
          <w:rFonts w:hint="cs"/>
          <w:rtl/>
        </w:rPr>
        <w:t>כל שינוי באופן פירעון החוב, לרבות מחיקת החוב, כולו או חלקו, פירעונות מוקדמים, שינוי בבטוחות, דחיית תשלום להלוואה ("גרייס"), שינוי לוח סילוקין של ההלוואה (מִחזור, איחוד, פיצול או שינוי הריבית הנצברת של ההלוואה), וכן חלק בהסדר חוב שהמדינה צד לו לפי הליך משפטי, לרבות לפי פקודת פשיטת רגל, פקודת החברות וחוק הוצאה לפועל.</w:t>
      </w:r>
    </w:p>
  </w:footnote>
  <w:footnote w:id="46">
    <w:p w14:paraId="05D3A4C1" w14:textId="77777777" w:rsidR="007C4395" w:rsidRDefault="007C4395" w:rsidP="00010778">
      <w:pPr>
        <w:pStyle w:val="71f0"/>
        <w:rPr>
          <w:rtl/>
        </w:rPr>
      </w:pPr>
      <w:r w:rsidRPr="00010778">
        <w:footnoteRef/>
      </w:r>
      <w:r w:rsidRPr="00010778">
        <w:rPr>
          <w:rtl/>
        </w:rPr>
        <w:t xml:space="preserve"> </w:t>
      </w:r>
      <w:r>
        <w:rPr>
          <w:rtl/>
        </w:rPr>
        <w:tab/>
      </w:r>
      <w:r>
        <w:rPr>
          <w:rFonts w:hint="cs"/>
          <w:rtl/>
        </w:rPr>
        <w:t>החלטה 545 מיום 14.07.13.</w:t>
      </w:r>
    </w:p>
  </w:footnote>
  <w:footnote w:id="47">
    <w:p w14:paraId="23644670" w14:textId="77777777" w:rsidR="007C4395" w:rsidRDefault="007C4395" w:rsidP="00010778">
      <w:pPr>
        <w:pStyle w:val="71f0"/>
      </w:pPr>
      <w:r w:rsidRPr="00010778">
        <w:footnoteRef/>
      </w:r>
      <w:r w:rsidRPr="00010778">
        <w:rPr>
          <w:rtl/>
        </w:rPr>
        <w:t xml:space="preserve"> </w:t>
      </w:r>
      <w:r>
        <w:rPr>
          <w:rtl/>
        </w:rPr>
        <w:tab/>
      </w:r>
      <w:r>
        <w:rPr>
          <w:rFonts w:hint="cs"/>
          <w:rtl/>
        </w:rPr>
        <w:t>כן יהיו חברים במינהלת היישום סגן בכיר לחשבת הכללית האחראי על נושא הגבייה, נציג הממונה על התקציבים במשרד האוצר ונציג המינהל הכללי של משרד ראש הממשלה.</w:t>
      </w:r>
    </w:p>
  </w:footnote>
  <w:footnote w:id="48">
    <w:p w14:paraId="58EEE900" w14:textId="77777777" w:rsidR="007C4395" w:rsidRPr="00262515" w:rsidRDefault="007C4395" w:rsidP="00010778">
      <w:pPr>
        <w:pStyle w:val="71f0"/>
      </w:pPr>
      <w:r w:rsidRPr="00010778">
        <w:footnoteRef/>
      </w:r>
      <w:r w:rsidRPr="00010778">
        <w:rPr>
          <w:rtl/>
        </w:rPr>
        <w:t xml:space="preserve"> </w:t>
      </w:r>
      <w:r>
        <w:rPr>
          <w:rtl/>
        </w:rPr>
        <w:tab/>
      </w:r>
      <w:r>
        <w:rPr>
          <w:rFonts w:hint="cs"/>
          <w:rtl/>
        </w:rPr>
        <w:t xml:space="preserve">ראו גם: מבקר המדינה, </w:t>
      </w:r>
      <w:r>
        <w:rPr>
          <w:rFonts w:hint="cs"/>
          <w:b/>
          <w:bCs/>
          <w:rtl/>
        </w:rPr>
        <w:t>דוח שנתי 68ג</w:t>
      </w:r>
      <w:r>
        <w:rPr>
          <w:rFonts w:hint="cs"/>
          <w:rtl/>
        </w:rPr>
        <w:t xml:space="preserve"> (2018), "מאזן המדינה ליום 31.12.16 - חייבים ויתרות חובה", עמ' 204.</w:t>
      </w:r>
    </w:p>
  </w:footnote>
  <w:footnote w:id="49">
    <w:p w14:paraId="606D90EF" w14:textId="77777777" w:rsidR="007C4395" w:rsidRDefault="007C4395" w:rsidP="00010778">
      <w:pPr>
        <w:pStyle w:val="71f0"/>
      </w:pPr>
      <w:r w:rsidRPr="00010778">
        <w:footnoteRef/>
      </w:r>
      <w:r w:rsidRPr="00010778">
        <w:rPr>
          <w:rtl/>
        </w:rPr>
        <w:t xml:space="preserve"> </w:t>
      </w:r>
      <w:r>
        <w:rPr>
          <w:rtl/>
        </w:rPr>
        <w:tab/>
      </w:r>
      <w:r>
        <w:rPr>
          <w:rFonts w:hint="cs"/>
          <w:rtl/>
        </w:rPr>
        <w:t>כך לדוגמה מערכת תאנ"ה במשרד המשפטים, שמשמשת מערכת ייעודית לניהול החיובים והגבייה אך אינה מתממשקת למרכב"ה.</w:t>
      </w:r>
    </w:p>
  </w:footnote>
  <w:footnote w:id="50">
    <w:p w14:paraId="665E0095" w14:textId="77777777" w:rsidR="007C4395" w:rsidRDefault="007C4395" w:rsidP="00010778">
      <w:pPr>
        <w:pStyle w:val="71f0"/>
      </w:pPr>
      <w:r w:rsidRPr="00010778">
        <w:footnoteRef/>
      </w:r>
      <w:r w:rsidRPr="00010778">
        <w:rPr>
          <w:rtl/>
        </w:rPr>
        <w:t xml:space="preserve"> </w:t>
      </w:r>
      <w:r>
        <w:rPr>
          <w:rtl/>
        </w:rPr>
        <w:tab/>
      </w:r>
      <w:r>
        <w:rPr>
          <w:rFonts w:hint="cs"/>
          <w:rtl/>
        </w:rPr>
        <w:t>המערכת תשמש כמודול גבייה במרכב"ה.</w:t>
      </w:r>
    </w:p>
  </w:footnote>
  <w:footnote w:id="51">
    <w:p w14:paraId="3F493337" w14:textId="77777777" w:rsidR="007C4395" w:rsidRDefault="007C4395" w:rsidP="00EC550D">
      <w:pPr>
        <w:pStyle w:val="719"/>
      </w:pPr>
      <w:r w:rsidRPr="00882841">
        <w:footnoteRef/>
      </w:r>
      <w:r w:rsidRPr="00882841">
        <w:rPr>
          <w:rtl/>
        </w:rPr>
        <w:t xml:space="preserve"> </w:t>
      </w:r>
      <w:r>
        <w:rPr>
          <w:rtl/>
        </w:rPr>
        <w:tab/>
      </w:r>
      <w:r>
        <w:rPr>
          <w:rFonts w:hint="cs"/>
          <w:rtl/>
        </w:rPr>
        <w:t xml:space="preserve">ראו גם: מבקר המדינה, </w:t>
      </w:r>
      <w:r>
        <w:rPr>
          <w:rFonts w:hint="cs"/>
          <w:b/>
          <w:bCs/>
          <w:rtl/>
        </w:rPr>
        <w:t xml:space="preserve">דוח שנתי </w:t>
      </w:r>
      <w:proofErr w:type="spellStart"/>
      <w:r>
        <w:rPr>
          <w:rFonts w:hint="cs"/>
          <w:b/>
          <w:bCs/>
          <w:rtl/>
        </w:rPr>
        <w:t>68ג</w:t>
      </w:r>
      <w:proofErr w:type="spellEnd"/>
      <w:r>
        <w:rPr>
          <w:rFonts w:hint="cs"/>
          <w:rtl/>
        </w:rPr>
        <w:t xml:space="preserve"> (2018), "מאזן המדינה ליום 31.12.16 - חייבים ויתרות חובה", עמ' 238.</w:t>
      </w:r>
    </w:p>
  </w:footnote>
  <w:footnote w:id="52">
    <w:p w14:paraId="763E8BB6" w14:textId="77777777" w:rsidR="007C4395" w:rsidRDefault="007C4395" w:rsidP="00010778">
      <w:pPr>
        <w:pStyle w:val="71f0"/>
      </w:pPr>
      <w:r w:rsidRPr="00010778">
        <w:footnoteRef/>
      </w:r>
      <w:r w:rsidRPr="00010778">
        <w:rPr>
          <w:rtl/>
        </w:rPr>
        <w:t xml:space="preserve"> </w:t>
      </w:r>
      <w:r>
        <w:rPr>
          <w:rtl/>
        </w:rPr>
        <w:tab/>
      </w:r>
      <w:r>
        <w:rPr>
          <w:rFonts w:hint="cs"/>
          <w:rtl/>
        </w:rPr>
        <w:t>מס' 3.3.1.</w:t>
      </w:r>
    </w:p>
  </w:footnote>
  <w:footnote w:id="53">
    <w:p w14:paraId="5882B0F0" w14:textId="77777777" w:rsidR="007C4395" w:rsidRDefault="007C4395" w:rsidP="00010778">
      <w:pPr>
        <w:pStyle w:val="71f0"/>
      </w:pPr>
      <w:r w:rsidRPr="00010778">
        <w:footnoteRef/>
      </w:r>
      <w:r w:rsidRPr="00010778">
        <w:rPr>
          <w:rtl/>
        </w:rPr>
        <w:t xml:space="preserve"> </w:t>
      </w:r>
      <w:r>
        <w:rPr>
          <w:rtl/>
        </w:rPr>
        <w:tab/>
      </w:r>
      <w:r>
        <w:rPr>
          <w:rFonts w:hint="cs"/>
          <w:rtl/>
        </w:rPr>
        <w:t>פעולות שנעשות לצורך קבלת תשלום בגין חיוב, חוב או חוב חלוט (חוב סופי שאין עליו השגה או ערעור) שנוצר לטובת המשרד הממשלתי.</w:t>
      </w:r>
    </w:p>
  </w:footnote>
  <w:footnote w:id="54">
    <w:p w14:paraId="28CACFB7" w14:textId="77777777" w:rsidR="007C4395" w:rsidRDefault="007C4395" w:rsidP="00010778">
      <w:pPr>
        <w:pStyle w:val="71f0"/>
      </w:pPr>
      <w:r w:rsidRPr="00010778">
        <w:footnoteRef/>
      </w:r>
      <w:r w:rsidRPr="00010778">
        <w:rPr>
          <w:rtl/>
        </w:rPr>
        <w:t xml:space="preserve"> </w:t>
      </w:r>
      <w:r>
        <w:rPr>
          <w:rtl/>
        </w:rPr>
        <w:tab/>
      </w:r>
      <w:r>
        <w:rPr>
          <w:rFonts w:hint="cs"/>
          <w:rtl/>
        </w:rPr>
        <w:t>הפעלת הליכי גבייה מינהליים לפי פקודת המסים (גביה) מס' 7.1002.</w:t>
      </w:r>
    </w:p>
  </w:footnote>
  <w:footnote w:id="55">
    <w:p w14:paraId="078F61DF" w14:textId="77777777" w:rsidR="007C4395" w:rsidRDefault="007C4395" w:rsidP="00010778">
      <w:pPr>
        <w:pStyle w:val="71f0"/>
      </w:pPr>
      <w:r w:rsidRPr="00010778">
        <w:footnoteRef/>
      </w:r>
      <w:r w:rsidRPr="00010778">
        <w:rPr>
          <w:rtl/>
        </w:rPr>
        <w:t xml:space="preserve"> </w:t>
      </w:r>
      <w:r>
        <w:rPr>
          <w:rtl/>
        </w:rPr>
        <w:tab/>
      </w:r>
      <w:r>
        <w:rPr>
          <w:rFonts w:hint="cs"/>
          <w:rtl/>
        </w:rPr>
        <w:t>המשמעות היא שיכולה לעבור מעל שנה עד שהחיוב יעבור למג"ק ויחלו בגביית החוב.</w:t>
      </w:r>
    </w:p>
  </w:footnote>
  <w:footnote w:id="56">
    <w:p w14:paraId="22AA58F1" w14:textId="77777777" w:rsidR="007C4395" w:rsidRDefault="007C4395" w:rsidP="00010778">
      <w:pPr>
        <w:pStyle w:val="71f0"/>
        <w:rPr>
          <w:rtl/>
        </w:rPr>
      </w:pPr>
      <w:r w:rsidRPr="00010778">
        <w:footnoteRef/>
      </w:r>
      <w:r w:rsidRPr="00010778">
        <w:rPr>
          <w:rtl/>
        </w:rPr>
        <w:t xml:space="preserve"> </w:t>
      </w:r>
      <w:r>
        <w:rPr>
          <w:rtl/>
        </w:rPr>
        <w:tab/>
      </w:r>
      <w:r>
        <w:rPr>
          <w:rFonts w:hint="cs"/>
          <w:rtl/>
        </w:rPr>
        <w:t>החלטה 4813 מיום 12.01.20.</w:t>
      </w:r>
    </w:p>
  </w:footnote>
  <w:footnote w:id="57">
    <w:p w14:paraId="7C22E07A" w14:textId="77777777" w:rsidR="007C4395" w:rsidRDefault="007C4395" w:rsidP="00010778">
      <w:pPr>
        <w:pStyle w:val="71f0"/>
        <w:rPr>
          <w:rtl/>
        </w:rPr>
      </w:pPr>
      <w:r w:rsidRPr="00010778">
        <w:footnoteRef/>
      </w:r>
      <w:r w:rsidRPr="00010778">
        <w:rPr>
          <w:rtl/>
        </w:rPr>
        <w:t xml:space="preserve"> </w:t>
      </w:r>
      <w:r>
        <w:rPr>
          <w:rtl/>
        </w:rPr>
        <w:tab/>
      </w:r>
      <w:r>
        <w:rPr>
          <w:rFonts w:hint="cs"/>
          <w:rtl/>
        </w:rPr>
        <w:t xml:space="preserve">שישמש כיו"ר הוועדה. כמו כן, חברים בוועדה הממונה על התקציבים במשרד האוצר, היועץ המשפטי במשרד האוצר, ראש ראשות התקשוב הממשלתי, מנכ"ל רשות האכיפה והגבייה, ראש מטה ישראלית דיגיטלית, יו"ר המועצה הלאומית לכלכלה במשרד ראש הממשלה ונציג המשרד הממשלתי הנוגע בדבר. </w:t>
      </w:r>
    </w:p>
  </w:footnote>
  <w:footnote w:id="58">
    <w:p w14:paraId="610A9ABC" w14:textId="77777777" w:rsidR="007C4395" w:rsidRDefault="007C4395" w:rsidP="00010778">
      <w:pPr>
        <w:pStyle w:val="71f0"/>
        <w:rPr>
          <w:rtl/>
        </w:rPr>
      </w:pPr>
      <w:r w:rsidRPr="00010778">
        <w:footnoteRef/>
      </w:r>
      <w:r>
        <w:rPr>
          <w:rtl/>
        </w:rPr>
        <w:t xml:space="preserve"> </w:t>
      </w:r>
      <w:r>
        <w:rPr>
          <w:rtl/>
        </w:rPr>
        <w:tab/>
      </w:r>
      <w:r>
        <w:rPr>
          <w:rFonts w:hint="cs"/>
          <w:rtl/>
        </w:rPr>
        <w:t>עיקר האגרות הן במשרד התחבורה, משרד המשפטים, המינהל האזרחי, הנהלת בתי המשפט, הנהלת בית הדין הרבני, משרד החקלאות, משרד התקשורת ומשרד הבריאות.</w:t>
      </w:r>
    </w:p>
  </w:footnote>
  <w:footnote w:id="59">
    <w:p w14:paraId="6EDF0638" w14:textId="77777777" w:rsidR="007C4395" w:rsidRDefault="007C4395" w:rsidP="00010778">
      <w:pPr>
        <w:pStyle w:val="71f0"/>
        <w:rPr>
          <w:rtl/>
        </w:rPr>
      </w:pPr>
      <w:r w:rsidRPr="00010778">
        <w:footnoteRef/>
      </w:r>
      <w:r w:rsidRPr="00010778">
        <w:rPr>
          <w:rtl/>
        </w:rPr>
        <w:t xml:space="preserve"> </w:t>
      </w:r>
      <w:r>
        <w:rPr>
          <w:rtl/>
        </w:rPr>
        <w:tab/>
      </w:r>
      <w:r>
        <w:rPr>
          <w:rFonts w:hint="cs"/>
          <w:rtl/>
        </w:rPr>
        <w:t>כך לדוגמה חלק מהאגרות מועברות למג"ק אם לא שולמו, חלקן מחודשות בפעולה יזומה של האזרח, ובגין חלקן נשלחים מכתבי התראה לחייבים אך לא נעשות פעולות אכיפה לאחר מכן.</w:t>
      </w:r>
    </w:p>
  </w:footnote>
  <w:footnote w:id="60">
    <w:p w14:paraId="7CFE9012" w14:textId="77777777" w:rsidR="007C4395" w:rsidRDefault="007C4395" w:rsidP="00EC550D">
      <w:pPr>
        <w:pStyle w:val="719"/>
        <w:rPr>
          <w:rtl/>
        </w:rPr>
      </w:pPr>
      <w:r w:rsidRPr="00882841">
        <w:footnoteRef/>
      </w:r>
      <w:r w:rsidRPr="00882841">
        <w:rPr>
          <w:rtl/>
        </w:rPr>
        <w:t xml:space="preserve"> </w:t>
      </w:r>
      <w:r>
        <w:rPr>
          <w:rtl/>
        </w:rPr>
        <w:tab/>
      </w:r>
      <w:r>
        <w:rPr>
          <w:rFonts w:hint="cs"/>
          <w:rtl/>
        </w:rPr>
        <w:t>למעט אגרות בגין הליכים בבתי המשפט, בתי הדין ובהוצאה לפועל.</w:t>
      </w:r>
    </w:p>
  </w:footnote>
  <w:footnote w:id="61">
    <w:p w14:paraId="4CE9FAF3" w14:textId="77777777" w:rsidR="007C4395" w:rsidRDefault="007C4395" w:rsidP="00EC550D">
      <w:pPr>
        <w:pStyle w:val="719"/>
      </w:pPr>
      <w:r w:rsidRPr="00882841">
        <w:footnoteRef/>
      </w:r>
      <w:r w:rsidRPr="00882841">
        <w:rPr>
          <w:rtl/>
        </w:rPr>
        <w:t xml:space="preserve"> </w:t>
      </w:r>
      <w:r>
        <w:rPr>
          <w:rtl/>
        </w:rPr>
        <w:tab/>
      </w:r>
      <w:r>
        <w:rPr>
          <w:rFonts w:hint="cs"/>
          <w:rtl/>
        </w:rPr>
        <w:t xml:space="preserve">לבעל המקצוע תינתן האפשרות להצהיר באופן </w:t>
      </w:r>
      <w:proofErr w:type="spellStart"/>
      <w:r>
        <w:rPr>
          <w:rFonts w:hint="cs"/>
          <w:rtl/>
        </w:rPr>
        <w:t>וולנטרי</w:t>
      </w:r>
      <w:proofErr w:type="spellEnd"/>
      <w:r>
        <w:rPr>
          <w:rFonts w:hint="cs"/>
          <w:rtl/>
        </w:rPr>
        <w:t xml:space="preserve"> בנוגע לאי עיסוק במקצוע. </w:t>
      </w:r>
    </w:p>
  </w:footnote>
  <w:footnote w:id="62">
    <w:p w14:paraId="474D1238" w14:textId="72BC9302" w:rsidR="007C4395" w:rsidRDefault="007C4395" w:rsidP="00EC550D">
      <w:pPr>
        <w:pStyle w:val="719"/>
        <w:rPr>
          <w:rtl/>
        </w:rPr>
      </w:pPr>
      <w:r w:rsidRPr="00C41778">
        <w:footnoteRef/>
      </w:r>
      <w:r w:rsidRPr="00C41778">
        <w:rPr>
          <w:rtl/>
        </w:rPr>
        <w:t xml:space="preserve"> </w:t>
      </w:r>
      <w:r>
        <w:rPr>
          <w:rtl/>
        </w:rPr>
        <w:tab/>
      </w:r>
      <w:r>
        <w:rPr>
          <w:rFonts w:hint="cs"/>
          <w:rtl/>
        </w:rPr>
        <w:t>"חוק ההסדרים" כפי שאושר בנובמבר 2021 במסגרת הדיונים על תקציב המדינה לשנים 2021 ו-2022 מתייחס לחוק התכנית הכלכלית (תיקוני חקיקה ליישום המדיניות הכלכלית לשנות התקציב 2021 ו-2022), התשפ"ב-2021, ולחוק ההתייעלות הכלכלית (תיקוני חקיקה להשגת יעדי התקציב לשנות התקציב 2021 ו-2022, התשפ"ב-2021.</w:t>
      </w:r>
    </w:p>
  </w:footnote>
  <w:footnote w:id="63">
    <w:p w14:paraId="72C0D54B" w14:textId="77777777" w:rsidR="007C4395" w:rsidRDefault="007C4395" w:rsidP="00010778">
      <w:pPr>
        <w:pStyle w:val="71f0"/>
        <w:rPr>
          <w:rtl/>
        </w:rPr>
      </w:pPr>
      <w:r w:rsidRPr="00010778">
        <w:footnoteRef/>
      </w:r>
      <w:r w:rsidRPr="00010778">
        <w:rPr>
          <w:rtl/>
        </w:rPr>
        <w:t xml:space="preserve"> </w:t>
      </w:r>
      <w:r>
        <w:rPr>
          <w:rtl/>
        </w:rPr>
        <w:tab/>
      </w:r>
      <w:r>
        <w:rPr>
          <w:rFonts w:hint="cs"/>
          <w:rtl/>
        </w:rPr>
        <w:t>חוב חלוט הוא חוב סופי שאין עליו השגה או ערעור.</w:t>
      </w:r>
    </w:p>
  </w:footnote>
  <w:footnote w:id="64">
    <w:p w14:paraId="6AC38E1D" w14:textId="77777777" w:rsidR="007C4395" w:rsidRDefault="007C4395" w:rsidP="00010778">
      <w:pPr>
        <w:pStyle w:val="71f0"/>
        <w:rPr>
          <w:rtl/>
        </w:rPr>
      </w:pPr>
      <w:r w:rsidRPr="00010778">
        <w:footnoteRef/>
      </w:r>
      <w:r w:rsidRPr="00010778">
        <w:rPr>
          <w:rtl/>
        </w:rPr>
        <w:t xml:space="preserve"> </w:t>
      </w:r>
      <w:r>
        <w:rPr>
          <w:rtl/>
        </w:rPr>
        <w:tab/>
      </w:r>
      <w:r>
        <w:rPr>
          <w:rFonts w:hint="cs"/>
          <w:rtl/>
        </w:rPr>
        <w:t>לרבות קנסות שהטיל בית משפט, קנסות מינהליים, קנסות ברירות משפט, אגרות בתי משפט והוצאות לטובת המדינה.</w:t>
      </w:r>
    </w:p>
  </w:footnote>
  <w:footnote w:id="65">
    <w:p w14:paraId="6B2FCFB7" w14:textId="77777777" w:rsidR="007C4395" w:rsidRDefault="007C4395" w:rsidP="00010778">
      <w:pPr>
        <w:pStyle w:val="71f0"/>
      </w:pPr>
      <w:r w:rsidRPr="00010778">
        <w:footnoteRef/>
      </w:r>
      <w:r w:rsidRPr="00010778">
        <w:rPr>
          <w:rtl/>
        </w:rPr>
        <w:t xml:space="preserve"> </w:t>
      </w:r>
      <w:r>
        <w:rPr>
          <w:rtl/>
        </w:rPr>
        <w:tab/>
      </w:r>
      <w:r>
        <w:rPr>
          <w:rFonts w:hint="cs"/>
          <w:rtl/>
        </w:rPr>
        <w:t>הנחיית היועץ המשפטי לממשלה משנת 2012 "הפעלת הליכי גבייה מינהליים לפי פקודת המסים (גביה) - 7.1002".</w:t>
      </w:r>
    </w:p>
  </w:footnote>
  <w:footnote w:id="66">
    <w:p w14:paraId="24408FE0" w14:textId="77777777" w:rsidR="007C4395" w:rsidRDefault="007C4395" w:rsidP="00010778">
      <w:pPr>
        <w:pStyle w:val="71f0"/>
      </w:pPr>
      <w:r w:rsidRPr="00010778">
        <w:footnoteRef/>
      </w:r>
      <w:r w:rsidRPr="00010778">
        <w:rPr>
          <w:rtl/>
        </w:rPr>
        <w:t xml:space="preserve"> </w:t>
      </w:r>
      <w:r>
        <w:rPr>
          <w:rtl/>
        </w:rPr>
        <w:tab/>
        <w:t xml:space="preserve">המועד שבו רשאית רשות </w:t>
      </w:r>
      <w:r>
        <w:rPr>
          <w:rFonts w:hint="cs"/>
          <w:rtl/>
        </w:rPr>
        <w:t xml:space="preserve">מינהלית </w:t>
      </w:r>
      <w:r>
        <w:rPr>
          <w:rtl/>
        </w:rPr>
        <w:t>לפתוח בהליכי</w:t>
      </w:r>
      <w:r>
        <w:rPr>
          <w:rFonts w:hint="cs"/>
          <w:rtl/>
        </w:rPr>
        <w:t xml:space="preserve"> גבייה, והוא המועד שבו ניתן לומר, שיש למעשה, לחייב "חוב בפיגור", דהיינו, שהמועד לתשלום החוב חלף מבלי שהחוב שולם.</w:t>
      </w:r>
    </w:p>
  </w:footnote>
  <w:footnote w:id="67">
    <w:p w14:paraId="5BDC4988" w14:textId="77777777" w:rsidR="007C4395" w:rsidRDefault="007C4395" w:rsidP="00010778">
      <w:pPr>
        <w:pStyle w:val="71f0"/>
        <w:rPr>
          <w:rtl/>
        </w:rPr>
      </w:pPr>
      <w:r w:rsidRPr="00010778">
        <w:footnoteRef/>
      </w:r>
      <w:r w:rsidRPr="00010778">
        <w:rPr>
          <w:rtl/>
        </w:rPr>
        <w:t xml:space="preserve"> </w:t>
      </w:r>
      <w:r>
        <w:rPr>
          <w:rtl/>
        </w:rPr>
        <w:tab/>
      </w:r>
      <w:r>
        <w:rPr>
          <w:rFonts w:hint="cs"/>
          <w:rtl/>
        </w:rPr>
        <w:t xml:space="preserve">לפי סעיף 81א1(א)(2) לחוק ההוצאה לפועל, התשכ"ז-1967, "תביעה הבאה מכוח חיוב לשלם סכום כסף קצוב שעילתו בהוראה מופרת של חיקוק, ניתן לבקש לבצעה בהוצאה לפועל כמו פסק דין של בית משפט בכפוף להוראות סעיף זה, ובלבד שסכום התביעה אינו עולה על 75,000 שקלים חדשים ביום הגשתה, והוא אף אם עלה הסכום לאחר מכן מחמת הפרשי ריבית או הצמדה". </w:t>
      </w:r>
    </w:p>
  </w:footnote>
  <w:footnote w:id="68">
    <w:p w14:paraId="2CFDD959" w14:textId="77777777" w:rsidR="007C4395" w:rsidRDefault="007C4395" w:rsidP="00010778">
      <w:pPr>
        <w:pStyle w:val="71f0"/>
        <w:rPr>
          <w:rtl/>
        </w:rPr>
      </w:pPr>
      <w:r w:rsidRPr="00010778">
        <w:footnoteRef/>
      </w:r>
      <w:r w:rsidRPr="00010778">
        <w:rPr>
          <w:rtl/>
        </w:rPr>
        <w:t xml:space="preserve"> </w:t>
      </w:r>
      <w:r w:rsidRPr="00265EB4">
        <w:rPr>
          <w:rtl/>
        </w:rPr>
        <w:tab/>
      </w:r>
      <w:r w:rsidRPr="00265EB4">
        <w:rPr>
          <w:rFonts w:hint="cs"/>
          <w:rtl/>
        </w:rPr>
        <w:t>יתרת 0 היא יתרה הנמוכה מ</w:t>
      </w:r>
      <w:r>
        <w:rPr>
          <w:rFonts w:hint="cs"/>
          <w:rtl/>
        </w:rPr>
        <w:t xml:space="preserve">חצי </w:t>
      </w:r>
      <w:r w:rsidRPr="00265EB4">
        <w:rPr>
          <w:rFonts w:hint="cs"/>
          <w:rtl/>
        </w:rPr>
        <w:t>מיליון ש"ח אך גבוהה מאחד ש"ח.</w:t>
      </w:r>
    </w:p>
  </w:footnote>
  <w:footnote w:id="69">
    <w:p w14:paraId="2187F73D" w14:textId="77777777" w:rsidR="007C4395" w:rsidRDefault="007C4395" w:rsidP="00010778">
      <w:pPr>
        <w:pStyle w:val="71f0"/>
        <w:rPr>
          <w:rtl/>
        </w:rPr>
      </w:pPr>
      <w:r w:rsidRPr="00010778">
        <w:footnoteRef/>
      </w:r>
      <w:r w:rsidRPr="00010778">
        <w:rPr>
          <w:rtl/>
        </w:rPr>
        <w:t xml:space="preserve"> </w:t>
      </w:r>
      <w:r>
        <w:rPr>
          <w:rtl/>
        </w:rPr>
        <w:tab/>
      </w:r>
      <w:r>
        <w:rPr>
          <w:rFonts w:hint="cs"/>
          <w:rtl/>
        </w:rPr>
        <w:t>נכון ליום 31 בדצמבר 2020 היו שישה גופים ממשלתיים אשר הגבייה בגין החובות אליהם מבוצעת על ידי המג"ק ולאחר מכן מועברת לאותם גופים: משרד הבריאות - חובות גריאטריים; רשות התאגידים - רשם החברות; רשות כיבוי והצלה; הסנגוריה הציבורית; המשרד להגנת הסביבה; רשות השידור.</w:t>
      </w:r>
    </w:p>
  </w:footnote>
  <w:footnote w:id="70">
    <w:p w14:paraId="782492B5" w14:textId="77777777" w:rsidR="007C4395" w:rsidRDefault="007C4395" w:rsidP="003B2683">
      <w:pPr>
        <w:pStyle w:val="71f0"/>
      </w:pPr>
      <w:r w:rsidRPr="003B2683">
        <w:footnoteRef/>
      </w:r>
      <w:r>
        <w:rPr>
          <w:rtl/>
        </w:rPr>
        <w:t xml:space="preserve"> </w:t>
      </w:r>
      <w:r>
        <w:rPr>
          <w:rtl/>
        </w:rPr>
        <w:tab/>
      </w:r>
      <w:r>
        <w:rPr>
          <w:rFonts w:hint="cs"/>
          <w:rtl/>
        </w:rPr>
        <w:t>תיקי אגרות והוצאות, הסדר מותנה, רשות האוכלוסין וההגירה ועוד.</w:t>
      </w:r>
    </w:p>
  </w:footnote>
  <w:footnote w:id="71">
    <w:p w14:paraId="2E1D28C2" w14:textId="77777777" w:rsidR="007C4395" w:rsidRPr="00C1459C" w:rsidRDefault="007C4395" w:rsidP="00010778">
      <w:pPr>
        <w:pStyle w:val="71f0"/>
        <w:rPr>
          <w:rtl/>
        </w:rPr>
      </w:pPr>
      <w:r w:rsidRPr="00010778">
        <w:footnoteRef/>
      </w:r>
      <w:r w:rsidRPr="00010778">
        <w:rPr>
          <w:rtl/>
        </w:rPr>
        <w:t xml:space="preserve"> </w:t>
      </w:r>
      <w:r>
        <w:rPr>
          <w:rtl/>
        </w:rPr>
        <w:tab/>
      </w:r>
      <w:r w:rsidRPr="00C1459C">
        <w:rPr>
          <w:rtl/>
        </w:rPr>
        <w:t>גבייה ישירה היא כאשר לאחר פתיחת התיק החייב משלם את חובו</w:t>
      </w:r>
      <w:r>
        <w:rPr>
          <w:rFonts w:hint="cs"/>
          <w:rtl/>
        </w:rPr>
        <w:t xml:space="preserve"> למנ"ג</w:t>
      </w:r>
      <w:r w:rsidRPr="00C1459C">
        <w:rPr>
          <w:rtl/>
        </w:rPr>
        <w:t>. גבייה עקיפה היא כאשר לאחר פתיחת התיק החייב משלם את חובו ישירות לבעל החוב, בעל החוב מקטין את קרן החוב, בעל החוב מוחק חלק מהחוב או את כולו.</w:t>
      </w:r>
    </w:p>
  </w:footnote>
  <w:footnote w:id="72">
    <w:p w14:paraId="2FB16FD2" w14:textId="77777777" w:rsidR="007C4395" w:rsidRDefault="007C4395" w:rsidP="00010778">
      <w:pPr>
        <w:pStyle w:val="71f0"/>
        <w:rPr>
          <w:rtl/>
        </w:rPr>
      </w:pPr>
      <w:r w:rsidRPr="00010778">
        <w:footnoteRef/>
      </w:r>
      <w:r>
        <w:rPr>
          <w:rtl/>
        </w:rPr>
        <w:t xml:space="preserve"> </w:t>
      </w:r>
      <w:r>
        <w:rPr>
          <w:rtl/>
        </w:rPr>
        <w:tab/>
      </w:r>
      <w:r>
        <w:rPr>
          <w:rFonts w:hint="cs"/>
          <w:rtl/>
        </w:rPr>
        <w:t>מדובר בשלב של לפני פתיחת התיק.</w:t>
      </w:r>
    </w:p>
  </w:footnote>
  <w:footnote w:id="73">
    <w:p w14:paraId="451BA0DB" w14:textId="77777777" w:rsidR="007C4395" w:rsidRDefault="007C4395" w:rsidP="003B2683">
      <w:pPr>
        <w:pStyle w:val="71f0"/>
        <w:rPr>
          <w:rtl/>
        </w:rPr>
      </w:pPr>
      <w:r w:rsidRPr="003B2683">
        <w:footnoteRef/>
      </w:r>
      <w:r w:rsidRPr="003B2683">
        <w:rPr>
          <w:rtl/>
        </w:rPr>
        <w:t xml:space="preserve"> </w:t>
      </w:r>
      <w:r>
        <w:rPr>
          <w:rtl/>
        </w:rPr>
        <w:tab/>
      </w:r>
      <w:r>
        <w:rPr>
          <w:rFonts w:hint="cs"/>
          <w:rtl/>
        </w:rPr>
        <w:t>עיקרי הפעולות שאפשר לבצע במערכת: פתיחת תיק; הקפאת תיק; סגירות תיק; צפייה בדוחות; צפייה בסטטוס תיק; עדכון גבייה.</w:t>
      </w:r>
    </w:p>
  </w:footnote>
  <w:footnote w:id="74">
    <w:p w14:paraId="4FF6DC08" w14:textId="77777777" w:rsidR="007C4395" w:rsidRDefault="007C4395" w:rsidP="003B2683">
      <w:pPr>
        <w:pStyle w:val="71f0"/>
      </w:pPr>
      <w:r w:rsidRPr="003B2683">
        <w:footnoteRef/>
      </w:r>
      <w:r w:rsidRPr="003B2683">
        <w:rPr>
          <w:rtl/>
        </w:rPr>
        <w:t xml:space="preserve"> </w:t>
      </w:r>
      <w:r>
        <w:rPr>
          <w:rtl/>
        </w:rPr>
        <w:tab/>
      </w:r>
      <w:r>
        <w:rPr>
          <w:rFonts w:hint="cs"/>
          <w:rtl/>
        </w:rPr>
        <w:t>עם הפעולות שנדרשים הגופים הממשלתיים לבצע נמנים יצוא של מצבת החובות המופיעה במערכת הממוחשבת של הגוף לטבלת אקסל; העתקת הנתונים לקובץ אקסל חדש לפי הפורמט שקבע המנ"ג; עדכון נתוני החובות בקובץ החדש; העברת נתונים אלו למנ"ג באמצעות דואר אלקטרוני.</w:t>
      </w:r>
    </w:p>
  </w:footnote>
  <w:footnote w:id="75">
    <w:p w14:paraId="4C63FD04" w14:textId="77777777" w:rsidR="007C4395" w:rsidRDefault="007C4395" w:rsidP="003B2683">
      <w:pPr>
        <w:pStyle w:val="71f0"/>
        <w:rPr>
          <w:rtl/>
        </w:rPr>
      </w:pPr>
      <w:r w:rsidRPr="003B2683">
        <w:footnoteRef/>
      </w:r>
      <w:r w:rsidRPr="003B2683">
        <w:rPr>
          <w:rtl/>
        </w:rPr>
        <w:t xml:space="preserve"> </w:t>
      </w:r>
      <w:r>
        <w:rPr>
          <w:rtl/>
        </w:rPr>
        <w:tab/>
      </w:r>
      <w:r>
        <w:rPr>
          <w:rFonts w:hint="cs"/>
          <w:rtl/>
        </w:rPr>
        <w:t>"</w:t>
      </w:r>
      <w:r w:rsidRPr="00BE0A91">
        <w:rPr>
          <w:rtl/>
        </w:rPr>
        <w:t>אבן בוחן</w:t>
      </w:r>
      <w:r>
        <w:rPr>
          <w:rFonts w:hint="cs"/>
          <w:rtl/>
        </w:rPr>
        <w:t>"</w:t>
      </w:r>
      <w:r w:rsidRPr="00BE0A91">
        <w:rPr>
          <w:rtl/>
        </w:rPr>
        <w:t xml:space="preserve"> היא מערכת ליבה במג"ק. כל פעולה המבוצעת במג"ק</w:t>
      </w:r>
      <w:r>
        <w:rPr>
          <w:rFonts w:hint="cs"/>
          <w:rtl/>
        </w:rPr>
        <w:t>,</w:t>
      </w:r>
      <w:r w:rsidRPr="00BE0A91">
        <w:rPr>
          <w:rtl/>
        </w:rPr>
        <w:t xml:space="preserve"> לרבות פתיחת תיקים, קבלת תשלומים וסגירת תיקים - מתבצעת במערכת זו.</w:t>
      </w:r>
    </w:p>
  </w:footnote>
  <w:footnote w:id="76">
    <w:p w14:paraId="32EE61B0" w14:textId="77777777" w:rsidR="007C4395" w:rsidRDefault="007C4395" w:rsidP="003B2683">
      <w:pPr>
        <w:pStyle w:val="71f0"/>
        <w:rPr>
          <w:rtl/>
        </w:rPr>
      </w:pPr>
      <w:r w:rsidRPr="003B2683">
        <w:footnoteRef/>
      </w:r>
      <w:r w:rsidRPr="003B2683">
        <w:rPr>
          <w:rtl/>
        </w:rPr>
        <w:t xml:space="preserve"> </w:t>
      </w:r>
      <w:r>
        <w:rPr>
          <w:rtl/>
        </w:rPr>
        <w:tab/>
      </w:r>
      <w:r>
        <w:rPr>
          <w:rFonts w:hint="cs"/>
          <w:rtl/>
        </w:rPr>
        <w:t>יצוין שבהתאם לדוחות הכספיים של רשות האכיפה והגבייה לשנת 2020, היקף החשיפה המקסימלי לכפילות בהצגת נתוני החובות בדוח המאוחד הוא כ-133 מיליון ש"ח מצד משרד הכלכלה והתעשייה וכ-5 מיליון ש"ח מצד משרד הבינוי והשיכון.</w:t>
      </w:r>
    </w:p>
  </w:footnote>
  <w:footnote w:id="77">
    <w:p w14:paraId="7E26719A" w14:textId="77777777" w:rsidR="007C4395" w:rsidRDefault="007C4395" w:rsidP="003B2683">
      <w:pPr>
        <w:pStyle w:val="71f0"/>
        <w:rPr>
          <w:rtl/>
        </w:rPr>
      </w:pPr>
      <w:r w:rsidRPr="003B2683">
        <w:footnoteRef/>
      </w:r>
      <w:r w:rsidRPr="003B2683">
        <w:rPr>
          <w:rtl/>
        </w:rPr>
        <w:t xml:space="preserve"> </w:t>
      </w:r>
      <w:r>
        <w:rPr>
          <w:rtl/>
        </w:rPr>
        <w:tab/>
      </w:r>
      <w:r w:rsidRPr="00B21F9D">
        <w:rPr>
          <w:rtl/>
        </w:rPr>
        <w:t>מערכת אבן בוחן הי</w:t>
      </w:r>
      <w:r>
        <w:rPr>
          <w:rFonts w:hint="cs"/>
          <w:rtl/>
        </w:rPr>
        <w:t>א</w:t>
      </w:r>
      <w:r w:rsidRPr="00B21F9D">
        <w:rPr>
          <w:rtl/>
        </w:rPr>
        <w:t xml:space="preserve"> מערכת ליבה </w:t>
      </w:r>
      <w:r>
        <w:rPr>
          <w:rFonts w:hint="cs"/>
          <w:rtl/>
        </w:rPr>
        <w:t>במג"ק</w:t>
      </w:r>
      <w:r w:rsidRPr="00B21F9D">
        <w:rPr>
          <w:rtl/>
        </w:rPr>
        <w:t xml:space="preserve">. כל </w:t>
      </w:r>
      <w:r>
        <w:rPr>
          <w:rFonts w:hint="cs"/>
          <w:rtl/>
        </w:rPr>
        <w:t>פעולה המבוצעת במג"ק - לרבות פתיחת תיקים, קבלת תשלומים ו</w:t>
      </w:r>
      <w:r w:rsidRPr="00B21F9D">
        <w:rPr>
          <w:rtl/>
        </w:rPr>
        <w:t xml:space="preserve">סגירת תיקים </w:t>
      </w:r>
      <w:r>
        <w:rPr>
          <w:rFonts w:hint="cs"/>
          <w:rtl/>
        </w:rPr>
        <w:t xml:space="preserve">- </w:t>
      </w:r>
      <w:r w:rsidRPr="00B21F9D">
        <w:rPr>
          <w:rtl/>
        </w:rPr>
        <w:t>מתבצע</w:t>
      </w:r>
      <w:r>
        <w:rPr>
          <w:rFonts w:hint="cs"/>
          <w:rtl/>
        </w:rPr>
        <w:t>ות</w:t>
      </w:r>
      <w:r w:rsidRPr="00B21F9D">
        <w:rPr>
          <w:rtl/>
        </w:rPr>
        <w:t xml:space="preserve"> במערכת</w:t>
      </w:r>
      <w:r>
        <w:rPr>
          <w:rFonts w:hint="cs"/>
          <w:rtl/>
        </w:rPr>
        <w:t xml:space="preserve"> זו.</w:t>
      </w:r>
    </w:p>
  </w:footnote>
  <w:footnote w:id="78">
    <w:p w14:paraId="23E12AE4" w14:textId="77777777" w:rsidR="007C4395" w:rsidRDefault="007C4395" w:rsidP="003B2683">
      <w:pPr>
        <w:pStyle w:val="71f0"/>
        <w:rPr>
          <w:rtl/>
        </w:rPr>
      </w:pPr>
      <w:r w:rsidRPr="003B2683">
        <w:footnoteRef/>
      </w:r>
      <w:r w:rsidRPr="003B2683">
        <w:rPr>
          <w:rtl/>
        </w:rPr>
        <w:t xml:space="preserve"> </w:t>
      </w:r>
      <w:r>
        <w:rPr>
          <w:rtl/>
        </w:rPr>
        <w:tab/>
      </w:r>
      <w:r w:rsidRPr="00830AF0">
        <w:rPr>
          <w:rFonts w:hint="cs"/>
          <w:rtl/>
        </w:rPr>
        <w:t>למידע נוסף על ה</w:t>
      </w:r>
      <w:r>
        <w:rPr>
          <w:rFonts w:hint="cs"/>
          <w:rtl/>
        </w:rPr>
        <w:t>מערכת ועל המשרדים המחוברים אליה, ראו</w:t>
      </w:r>
      <w:r w:rsidRPr="00830AF0">
        <w:rPr>
          <w:rFonts w:hint="cs"/>
          <w:rtl/>
        </w:rPr>
        <w:t xml:space="preserve"> </w:t>
      </w:r>
      <w:r>
        <w:rPr>
          <w:rFonts w:hint="cs"/>
          <w:rtl/>
        </w:rPr>
        <w:t xml:space="preserve">לעיל </w:t>
      </w:r>
      <w:r w:rsidRPr="00830AF0">
        <w:rPr>
          <w:rFonts w:hint="cs"/>
          <w:rtl/>
        </w:rPr>
        <w:t>בפרק "אופן העברת החובות ממשרדי הממשלה השונים לרשות האכיפה והגבייה"</w:t>
      </w:r>
      <w:r>
        <w:rPr>
          <w:rFonts w:hint="cs"/>
          <w:rtl/>
        </w:rPr>
        <w:t>.</w:t>
      </w:r>
    </w:p>
  </w:footnote>
  <w:footnote w:id="79">
    <w:p w14:paraId="10372FBE" w14:textId="77777777" w:rsidR="007C4395" w:rsidRDefault="007C4395" w:rsidP="003B2683">
      <w:pPr>
        <w:pStyle w:val="71f0"/>
        <w:rPr>
          <w:rtl/>
        </w:rPr>
      </w:pPr>
      <w:r w:rsidRPr="003B2683">
        <w:footnoteRef/>
      </w:r>
      <w:r w:rsidRPr="003B2683">
        <w:rPr>
          <w:rtl/>
        </w:rPr>
        <w:t xml:space="preserve"> </w:t>
      </w:r>
      <w:r>
        <w:rPr>
          <w:rtl/>
        </w:rPr>
        <w:tab/>
      </w:r>
      <w:r>
        <w:rPr>
          <w:rFonts w:hint="cs"/>
          <w:rtl/>
        </w:rPr>
        <w:t>לפי מסמך אמנת שירות (</w:t>
      </w:r>
      <w:r>
        <w:rPr>
          <w:rFonts w:hint="cs"/>
        </w:rPr>
        <w:t>SLA</w:t>
      </w:r>
      <w:r>
        <w:rPr>
          <w:rFonts w:hint="cs"/>
          <w:rtl/>
        </w:rPr>
        <w:t>) - הקמת ועד מנהל - החשב הכללי ורשות האכיפה והגבייה, יוני 2021.</w:t>
      </w:r>
    </w:p>
  </w:footnote>
  <w:footnote w:id="80">
    <w:p w14:paraId="302F475E" w14:textId="77777777" w:rsidR="007C4395" w:rsidRDefault="007C4395" w:rsidP="003B2683">
      <w:pPr>
        <w:pStyle w:val="71f0"/>
      </w:pPr>
      <w:r w:rsidRPr="003B2683">
        <w:footnoteRef/>
      </w:r>
      <w:r w:rsidRPr="003B2683">
        <w:rPr>
          <w:rtl/>
        </w:rPr>
        <w:t xml:space="preserve"> </w:t>
      </w:r>
      <w:r>
        <w:rPr>
          <w:rtl/>
        </w:rPr>
        <w:tab/>
      </w:r>
      <w:r>
        <w:rPr>
          <w:rFonts w:hint="cs"/>
          <w:rtl/>
        </w:rPr>
        <w:t>עוד על מערכת מטאור, ראו לעיל בפרק "</w:t>
      </w:r>
      <w:r w:rsidRPr="00034C5A">
        <w:rPr>
          <w:rtl/>
        </w:rPr>
        <w:t>מערכות המחשוב המשמשות את משרדי הממשלה לניהול החובות לגבייה</w:t>
      </w:r>
      <w:r>
        <w:rPr>
          <w:rFonts w:hint="cs"/>
          <w:rtl/>
        </w:rPr>
        <w:t>".</w:t>
      </w:r>
    </w:p>
  </w:footnote>
  <w:footnote w:id="81">
    <w:p w14:paraId="20D1B598" w14:textId="77777777" w:rsidR="007C4395" w:rsidRDefault="007C4395" w:rsidP="003B2683">
      <w:pPr>
        <w:pStyle w:val="71f0"/>
        <w:rPr>
          <w:rtl/>
        </w:rPr>
      </w:pPr>
      <w:r w:rsidRPr="003B2683">
        <w:footnoteRef/>
      </w:r>
      <w:r w:rsidRPr="003B2683">
        <w:rPr>
          <w:rtl/>
        </w:rPr>
        <w:t xml:space="preserve"> </w:t>
      </w:r>
      <w:r>
        <w:rPr>
          <w:rtl/>
        </w:rPr>
        <w:tab/>
      </w:r>
      <w:r>
        <w:rPr>
          <w:rFonts w:hint="cs"/>
          <w:rtl/>
        </w:rPr>
        <w:t>בין באמצעות קיום ישיבות שוטפות עם נציגי המג"ק ומשרדי הממשלה השונים ובין באמצעות בחינה של חובות שלא הועברו למג"ק מסיבות שונות.</w:t>
      </w:r>
    </w:p>
  </w:footnote>
  <w:footnote w:id="82">
    <w:p w14:paraId="283056E5" w14:textId="77777777" w:rsidR="007C4395" w:rsidRDefault="007C4395" w:rsidP="003B2683">
      <w:pPr>
        <w:pStyle w:val="71f0"/>
      </w:pPr>
      <w:r w:rsidRPr="003B2683">
        <w:footnoteRef/>
      </w:r>
      <w:r w:rsidRPr="003B2683">
        <w:rPr>
          <w:rtl/>
        </w:rPr>
        <w:t xml:space="preserve"> </w:t>
      </w:r>
      <w:r>
        <w:rPr>
          <w:rtl/>
        </w:rPr>
        <w:tab/>
      </w:r>
      <w:r>
        <w:rPr>
          <w:rFonts w:hint="cs"/>
          <w:rtl/>
        </w:rPr>
        <w:t>מס' 3.3.4.</w:t>
      </w:r>
    </w:p>
  </w:footnote>
  <w:footnote w:id="83">
    <w:p w14:paraId="61825E64" w14:textId="77777777" w:rsidR="007C4395" w:rsidRDefault="007C4395" w:rsidP="003B2683">
      <w:pPr>
        <w:pStyle w:val="71f0"/>
      </w:pPr>
      <w:r w:rsidRPr="003B2683">
        <w:footnoteRef/>
      </w:r>
      <w:r>
        <w:rPr>
          <w:rtl/>
        </w:rPr>
        <w:t xml:space="preserve"> </w:t>
      </w:r>
      <w:r>
        <w:rPr>
          <w:rtl/>
        </w:rPr>
        <w:tab/>
      </w:r>
      <w:r>
        <w:rPr>
          <w:rFonts w:hint="cs"/>
          <w:rtl/>
        </w:rPr>
        <w:t>הסכם לסיום מחלוקת כספית בין משרד ממשלתי אחד או יותר לבין צד שני אחד או יותר, אגב הליך המתנהל בבית משפט או בעקבות דרישת חוב במחלוקת שלא באמצעות בית משפט. פשרה יכולה להיות במקרה שהמדינה היא התובעת או הנתבעת. סכום הפשרה כאשר המדינה היא התובעת הוא מלוא שווי הוויתור, כלומר מלוא השווי הכספי של ההפרש בין סכום התביעה או דרישת התשלום של המדינה מהצד שכנגד, לבין הסכום הצפוי להתקבל על סמך פשרה בין הצדדים.</w:t>
      </w:r>
    </w:p>
  </w:footnote>
  <w:footnote w:id="84">
    <w:p w14:paraId="616BFBF1" w14:textId="77777777" w:rsidR="007C4395" w:rsidRPr="00651E66" w:rsidRDefault="007C4395" w:rsidP="003B2683">
      <w:pPr>
        <w:pStyle w:val="71f0"/>
        <w:rPr>
          <w:spacing w:val="-4"/>
          <w:rtl/>
        </w:rPr>
      </w:pPr>
      <w:r w:rsidRPr="00651E66">
        <w:rPr>
          <w:spacing w:val="-4"/>
        </w:rPr>
        <w:footnoteRef/>
      </w:r>
      <w:r w:rsidRPr="00651E66">
        <w:rPr>
          <w:spacing w:val="-4"/>
          <w:rtl/>
        </w:rPr>
        <w:t xml:space="preserve"> </w:t>
      </w:r>
      <w:r w:rsidRPr="00651E66">
        <w:rPr>
          <w:spacing w:val="-4"/>
          <w:rtl/>
        </w:rPr>
        <w:tab/>
      </w:r>
      <w:r w:rsidRPr="00651E66">
        <w:rPr>
          <w:rFonts w:hint="cs"/>
          <w:spacing w:val="-4"/>
          <w:rtl/>
        </w:rPr>
        <w:t>כל שינוי באופן פירעון החוב, לרבות מחיקת החוב, כולו או חלקו, פירעונות מוקדמים, שינוי בבטוחות, דחיית תשלום להלוואה ("גרייס"), שינוי לוח סילוקין של ההלוואה (מִחזור, איחוד, פיצול או שינוי הריבית הנצברת של ההלוואה), וכן חלק בהסדר חוב שהמדינה צד לו לפי הליך משפטי, לרבות לפי פקודת פשיטת רגל, פקודת החברות וחוק הוצאה לפועל.</w:t>
      </w:r>
    </w:p>
  </w:footnote>
  <w:footnote w:id="85">
    <w:p w14:paraId="06AD2FAF" w14:textId="77777777" w:rsidR="007C4395" w:rsidRDefault="007C4395" w:rsidP="003B2683">
      <w:pPr>
        <w:pStyle w:val="71f0"/>
        <w:rPr>
          <w:rtl/>
        </w:rPr>
      </w:pPr>
      <w:r w:rsidRPr="003B2683">
        <w:footnoteRef/>
      </w:r>
      <w:r w:rsidRPr="003B2683">
        <w:rPr>
          <w:rtl/>
        </w:rPr>
        <w:t xml:space="preserve"> </w:t>
      </w:r>
      <w:r>
        <w:rPr>
          <w:rtl/>
        </w:rPr>
        <w:tab/>
      </w:r>
      <w:r>
        <w:rPr>
          <w:rFonts w:hint="cs"/>
          <w:rtl/>
        </w:rPr>
        <w:t>כך לדוגמה, על פי מדרג הסמכויות, הסדר חוב יהיה בסמכות הוועדה המשרדית אם מתקיימים התנאים הבאים במצטבר: (א) סכום המחיקה מהחוב אינו עולה על 150 אלף ש"ח; (ב) סכום המחיקות המצטבר באותה שנת כספים אינו עולה על מיליון ש"ח; (ג) תשלום החוב נפרש לתקופה שאינה עולה על 24 חודשים (לרבות תקופת גרייס בתשלום החוב). פשרות בסכום של 1 מיליון ש"ח ומעלה יהיו בסמכות הוועדה העליונה.</w:t>
      </w:r>
    </w:p>
  </w:footnote>
  <w:footnote w:id="86">
    <w:p w14:paraId="3D0B0BF7" w14:textId="77777777" w:rsidR="007C4395" w:rsidRDefault="007C4395" w:rsidP="003B2683">
      <w:pPr>
        <w:pStyle w:val="71f0"/>
      </w:pPr>
      <w:r w:rsidRPr="003B2683">
        <w:footnoteRef/>
      </w:r>
      <w:r w:rsidRPr="003B2683">
        <w:rPr>
          <w:rtl/>
        </w:rPr>
        <w:t xml:space="preserve"> </w:t>
      </w:r>
      <w:r>
        <w:rPr>
          <w:rtl/>
        </w:rPr>
        <w:tab/>
      </w:r>
      <w:r>
        <w:rPr>
          <w:rFonts w:hint="cs"/>
          <w:rtl/>
        </w:rPr>
        <w:t>תקבולים בגין פשרות שבהן המדינה היא הצד התובע כלומר הסכום המלא ששולם במסגרת ההסדר ולא מלוא שווי הוויתור.</w:t>
      </w:r>
    </w:p>
  </w:footnote>
  <w:footnote w:id="87">
    <w:p w14:paraId="6BD6CFD4" w14:textId="77777777" w:rsidR="007C4395" w:rsidRDefault="007C4395" w:rsidP="003B2683">
      <w:pPr>
        <w:pStyle w:val="71f0"/>
      </w:pPr>
      <w:r w:rsidRPr="003B2683">
        <w:footnoteRef/>
      </w:r>
      <w:r w:rsidRPr="003B2683">
        <w:rPr>
          <w:rtl/>
        </w:rPr>
        <w:t xml:space="preserve"> </w:t>
      </w:r>
      <w:r>
        <w:rPr>
          <w:rtl/>
        </w:rPr>
        <w:tab/>
      </w:r>
      <w:r>
        <w:rPr>
          <w:rFonts w:hint="cs"/>
          <w:rtl/>
        </w:rPr>
        <w:t>החובות כוללים אגרות שנתיות שחלה עליהן התיישנות בסך של כ-1.65 מיליארד ש"ח ואגרות שנתיות עבור חברות ללא פעילות כלכלית בסך של כ-1.22 מיליארד ש"ח.</w:t>
      </w:r>
    </w:p>
  </w:footnote>
  <w:footnote w:id="88">
    <w:p w14:paraId="2AEFF4B3" w14:textId="77777777" w:rsidR="007C4395" w:rsidRDefault="007C4395" w:rsidP="003B2683">
      <w:pPr>
        <w:pStyle w:val="71f0"/>
      </w:pPr>
      <w:r w:rsidRPr="003B2683">
        <w:footnoteRef/>
      </w:r>
      <w:r>
        <w:rPr>
          <w:rtl/>
        </w:rPr>
        <w:t xml:space="preserve"> </w:t>
      </w:r>
      <w:r>
        <w:rPr>
          <w:rtl/>
        </w:rPr>
        <w:tab/>
      </w:r>
      <w:r>
        <w:rPr>
          <w:rFonts w:hint="cs"/>
          <w:rtl/>
        </w:rPr>
        <w:t xml:space="preserve">ראו גם מבקר המדינה, </w:t>
      </w:r>
      <w:r>
        <w:rPr>
          <w:rFonts w:hint="cs"/>
          <w:b/>
          <w:bCs/>
          <w:rtl/>
        </w:rPr>
        <w:t>דוח שנתי 68ג</w:t>
      </w:r>
      <w:r>
        <w:rPr>
          <w:rFonts w:hint="cs"/>
          <w:rtl/>
        </w:rPr>
        <w:t xml:space="preserve"> (2018), "מאזן המדינה ליום 31.12.16 - חייבים ויתרות חובה", עמ' 211.</w:t>
      </w:r>
    </w:p>
  </w:footnote>
  <w:footnote w:id="89">
    <w:p w14:paraId="528B3418" w14:textId="77777777" w:rsidR="007C4395" w:rsidRDefault="007C4395" w:rsidP="003B2683">
      <w:pPr>
        <w:pStyle w:val="71f0"/>
      </w:pPr>
      <w:r w:rsidRPr="003B2683">
        <w:footnoteRef/>
      </w:r>
      <w:r w:rsidRPr="003B2683">
        <w:rPr>
          <w:rtl/>
        </w:rPr>
        <w:t xml:space="preserve"> </w:t>
      </w:r>
      <w:r>
        <w:rPr>
          <w:rtl/>
        </w:rPr>
        <w:tab/>
      </w:r>
      <w:r>
        <w:rPr>
          <w:rFonts w:hint="cs"/>
          <w:rtl/>
        </w:rPr>
        <w:t>מערכת נועם הנמצאת בשימוש אגף החשכ"ל.</w:t>
      </w:r>
    </w:p>
  </w:footnote>
  <w:footnote w:id="90">
    <w:p w14:paraId="415A57FB" w14:textId="77777777" w:rsidR="007C4395" w:rsidRDefault="007C4395" w:rsidP="003B2683">
      <w:pPr>
        <w:pStyle w:val="71f0"/>
      </w:pPr>
      <w:r w:rsidRPr="003B2683">
        <w:footnoteRef/>
      </w:r>
      <w:r w:rsidRPr="003B2683">
        <w:rPr>
          <w:rtl/>
        </w:rPr>
        <w:t xml:space="preserve"> </w:t>
      </w:r>
      <w:r>
        <w:rPr>
          <w:rtl/>
        </w:rPr>
        <w:tab/>
      </w:r>
      <w:r>
        <w:rPr>
          <w:rFonts w:hint="cs"/>
          <w:rtl/>
        </w:rPr>
        <w:t>לדוגמה, הפרוטוקולים של הוועדות המשרדיות נכתבים באופן ידני. עבודה במערכת החדשה תאפשר שימוש בפרוטוקול מובנה ואחיד וכן בחתימה דיגיטלית של חברי הוועדה המורשים.</w:t>
      </w:r>
    </w:p>
  </w:footnote>
  <w:footnote w:id="91">
    <w:p w14:paraId="41EE1B2A" w14:textId="77777777" w:rsidR="007C4395" w:rsidRDefault="007C4395" w:rsidP="003B2683">
      <w:pPr>
        <w:pStyle w:val="71f0"/>
      </w:pPr>
      <w:r w:rsidRPr="003B2683">
        <w:footnoteRef/>
      </w:r>
      <w:r w:rsidRPr="003B2683">
        <w:rPr>
          <w:rtl/>
        </w:rPr>
        <w:t xml:space="preserve"> </w:t>
      </w:r>
      <w:r>
        <w:rPr>
          <w:rtl/>
        </w:rPr>
        <w:tab/>
      </w:r>
      <w:r>
        <w:rPr>
          <w:rFonts w:hint="cs"/>
          <w:rtl/>
        </w:rPr>
        <w:t>חוב אבוד הוא חוב שבעליו עשה כל שביכולתו כדי לגבות אותו, והוא סבור כי לא יצליח לגבות אותו. על חוב אבוד מכריז מי שהוסמך לכך בהתאם לכללים שנקבעו בהוראות תכ"ם, "גבייה וטיפול בחובות", פרק 3.3.</w:t>
      </w:r>
    </w:p>
  </w:footnote>
  <w:footnote w:id="92">
    <w:p w14:paraId="6694F212" w14:textId="77777777" w:rsidR="007C4395" w:rsidRDefault="007C4395" w:rsidP="003B2683">
      <w:pPr>
        <w:pStyle w:val="71f0"/>
      </w:pPr>
      <w:r w:rsidRPr="003B2683">
        <w:footnoteRef/>
      </w:r>
      <w:r w:rsidRPr="003B2683">
        <w:rPr>
          <w:rtl/>
        </w:rPr>
        <w:t xml:space="preserve"> </w:t>
      </w:r>
      <w:r>
        <w:rPr>
          <w:rtl/>
        </w:rPr>
        <w:tab/>
      </w:r>
      <w:r>
        <w:rPr>
          <w:rFonts w:hint="cs"/>
          <w:rtl/>
        </w:rPr>
        <w:t>גם לגבי הנתונים הנמצאים במרכב"ה יש קושי להפיק דוח גיול, שכן חלק מהנתונים עוברים רק חלקית מהמערכות הייעודיות.</w:t>
      </w:r>
    </w:p>
  </w:footnote>
  <w:footnote w:id="93">
    <w:p w14:paraId="7B17983E" w14:textId="77777777" w:rsidR="007C4395" w:rsidRDefault="007C4395" w:rsidP="003B2683">
      <w:pPr>
        <w:pStyle w:val="71f0"/>
        <w:rPr>
          <w:rtl/>
        </w:rPr>
      </w:pPr>
      <w:r w:rsidRPr="003B2683">
        <w:footnoteRef/>
      </w:r>
      <w:r w:rsidRPr="003B2683">
        <w:rPr>
          <w:rtl/>
        </w:rPr>
        <w:t xml:space="preserve"> </w:t>
      </w:r>
      <w:r>
        <w:rPr>
          <w:rtl/>
        </w:rPr>
        <w:tab/>
      </w:r>
      <w:r>
        <w:rPr>
          <w:rFonts w:hint="cs"/>
          <w:rtl/>
        </w:rPr>
        <w:t xml:space="preserve">ראו לעיל בפרק "מערכות המחשוב </w:t>
      </w:r>
      <w:r w:rsidRPr="00372595">
        <w:rPr>
          <w:rFonts w:hint="cs"/>
          <w:rtl/>
        </w:rPr>
        <w:t>המשמשות את משרדי הממשלה לניהול החובות לגבייה</w:t>
      </w:r>
      <w:r>
        <w:rPr>
          <w:rFonts w:hint="cs"/>
          <w:rtl/>
        </w:rPr>
        <w:t>"</w:t>
      </w:r>
      <w:r w:rsidRPr="00372595">
        <w:rPr>
          <w:rFonts w:hint="cs"/>
          <w:rtl/>
        </w:rPr>
        <w:t>.</w:t>
      </w:r>
    </w:p>
  </w:footnote>
  <w:footnote w:id="94">
    <w:p w14:paraId="53387E74" w14:textId="77777777" w:rsidR="007C4395" w:rsidRDefault="007C4395" w:rsidP="003B2683">
      <w:pPr>
        <w:pStyle w:val="71f0"/>
      </w:pPr>
      <w:r w:rsidRPr="003B2683">
        <w:footnoteRef/>
      </w:r>
      <w:r w:rsidRPr="003B2683">
        <w:rPr>
          <w:rtl/>
        </w:rPr>
        <w:t xml:space="preserve"> </w:t>
      </w:r>
      <w:r>
        <w:rPr>
          <w:rtl/>
        </w:rPr>
        <w:tab/>
      </w:r>
      <w:r>
        <w:rPr>
          <w:rFonts w:hint="cs"/>
          <w:rtl/>
        </w:rPr>
        <w:t>יש שיטה נוספת, שלרוב אינה מיושמת אך קיימת בתיאוריה, והיא הפרשה לחובות מסופקים כפקטור של ההכנסות.</w:t>
      </w:r>
    </w:p>
  </w:footnote>
  <w:footnote w:id="95">
    <w:p w14:paraId="395812C4" w14:textId="77777777" w:rsidR="007C4395" w:rsidRDefault="007C4395" w:rsidP="003B2683">
      <w:pPr>
        <w:pStyle w:val="71f0"/>
      </w:pPr>
      <w:r w:rsidRPr="003B2683">
        <w:footnoteRef/>
      </w:r>
      <w:r w:rsidRPr="003B2683">
        <w:rPr>
          <w:rtl/>
        </w:rPr>
        <w:t xml:space="preserve"> </w:t>
      </w:r>
      <w:r>
        <w:rPr>
          <w:rtl/>
        </w:rPr>
        <w:tab/>
      </w:r>
      <w:r>
        <w:rPr>
          <w:rFonts w:hint="cs"/>
          <w:rtl/>
        </w:rPr>
        <w:t>עוד בעניין זה ראו להלן בפרק "הפרשה לחובות מסופקים במשרדי הממשלה".</w:t>
      </w:r>
    </w:p>
  </w:footnote>
  <w:footnote w:id="96">
    <w:p w14:paraId="6D5109F4" w14:textId="77777777" w:rsidR="009B2675" w:rsidRDefault="009B2675" w:rsidP="009B2675">
      <w:pPr>
        <w:pStyle w:val="71f0"/>
        <w:rPr>
          <w:rtl/>
        </w:rPr>
      </w:pPr>
      <w:r w:rsidRPr="003B2683">
        <w:footnoteRef/>
      </w:r>
      <w:r w:rsidRPr="003B2683">
        <w:rPr>
          <w:rtl/>
        </w:rPr>
        <w:t xml:space="preserve"> </w:t>
      </w:r>
      <w:r>
        <w:rPr>
          <w:rtl/>
        </w:rPr>
        <w:tab/>
      </w:r>
      <w:r>
        <w:t>M</w:t>
      </w:r>
      <w:r w:rsidRPr="0088600D">
        <w:t>ore likely than not</w:t>
      </w:r>
      <w:r>
        <w:rPr>
          <w:rFonts w:hint="cs"/>
          <w:rtl/>
        </w:rPr>
        <w:t>, הכוונה היא שההסתברות היא מעל 50%.</w:t>
      </w:r>
    </w:p>
  </w:footnote>
  <w:footnote w:id="97">
    <w:p w14:paraId="34461175" w14:textId="77777777" w:rsidR="007C4395" w:rsidRDefault="007C4395" w:rsidP="003B2683">
      <w:pPr>
        <w:pStyle w:val="71f0"/>
        <w:rPr>
          <w:rtl/>
        </w:rPr>
      </w:pPr>
      <w:r w:rsidRPr="003B2683">
        <w:footnoteRef/>
      </w:r>
      <w:r w:rsidRPr="003B2683">
        <w:rPr>
          <w:rtl/>
        </w:rPr>
        <w:t xml:space="preserve"> </w:t>
      </w:r>
      <w:r>
        <w:rPr>
          <w:rtl/>
        </w:rPr>
        <w:tab/>
      </w:r>
      <w:r>
        <w:rPr>
          <w:rFonts w:hint="cs"/>
          <w:rtl/>
        </w:rPr>
        <w:t>מס' 2.3.6.</w:t>
      </w:r>
    </w:p>
  </w:footnote>
  <w:footnote w:id="98">
    <w:p w14:paraId="7F188AEC" w14:textId="77777777" w:rsidR="007C4395" w:rsidRDefault="007C4395" w:rsidP="003B2683">
      <w:pPr>
        <w:pStyle w:val="71f0"/>
      </w:pPr>
      <w:r w:rsidRPr="003B2683">
        <w:footnoteRef/>
      </w:r>
      <w:r w:rsidRPr="003B2683">
        <w:rPr>
          <w:rtl/>
        </w:rPr>
        <w:t xml:space="preserve"> </w:t>
      </w:r>
      <w:r>
        <w:rPr>
          <w:rtl/>
        </w:rPr>
        <w:tab/>
      </w:r>
      <w:r>
        <w:rPr>
          <w:rFonts w:hint="cs"/>
          <w:rtl/>
        </w:rPr>
        <w:t xml:space="preserve">ראו גם </w:t>
      </w:r>
      <w:r w:rsidRPr="00034B1C">
        <w:rPr>
          <w:rFonts w:hint="cs"/>
          <w:rtl/>
        </w:rPr>
        <w:t>מבקר המדינה,</w:t>
      </w:r>
      <w:r>
        <w:rPr>
          <w:rFonts w:hint="cs"/>
          <w:b/>
          <w:bCs/>
          <w:rtl/>
        </w:rPr>
        <w:t xml:space="preserve"> דוח שנתי 70ב</w:t>
      </w:r>
      <w:r>
        <w:rPr>
          <w:rFonts w:hint="cs"/>
          <w:rtl/>
        </w:rPr>
        <w:t xml:space="preserve"> (2020), "הדוחות הכספיים של מדינת ישראל ליום 31.12.18", עמ' 59.</w:t>
      </w:r>
    </w:p>
  </w:footnote>
  <w:footnote w:id="99">
    <w:p w14:paraId="6B967345" w14:textId="77777777" w:rsidR="007C4395" w:rsidRDefault="007C4395" w:rsidP="00EC550D">
      <w:pPr>
        <w:pStyle w:val="719"/>
      </w:pPr>
      <w:r w:rsidRPr="001E6294">
        <w:footnoteRef/>
      </w:r>
      <w:r>
        <w:rPr>
          <w:rtl/>
        </w:rPr>
        <w:t xml:space="preserve"> </w:t>
      </w:r>
      <w:r>
        <w:rPr>
          <w:rtl/>
        </w:rPr>
        <w:tab/>
      </w:r>
      <w:r>
        <w:rPr>
          <w:rFonts w:hint="cs"/>
          <w:rtl/>
        </w:rPr>
        <w:t xml:space="preserve">עוד על אופן הרישום החשבונאי ועל הוראת </w:t>
      </w:r>
      <w:proofErr w:type="spellStart"/>
      <w:r>
        <w:rPr>
          <w:rFonts w:hint="cs"/>
          <w:rtl/>
        </w:rPr>
        <w:t>התכ"ם</w:t>
      </w:r>
      <w:proofErr w:type="spellEnd"/>
      <w:r>
        <w:rPr>
          <w:rFonts w:hint="cs"/>
          <w:rtl/>
        </w:rPr>
        <w:t xml:space="preserve"> שנמצאת בהליכי אישור ראה פרק "גבייה עבור אוצר המדינה".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EE855" w14:textId="7B9EDBB5" w:rsidR="00CB22A1" w:rsidRDefault="00CB22A1" w:rsidP="007255AF">
    <w:pPr>
      <w:pStyle w:val="a8"/>
      <w:tabs>
        <w:tab w:val="clear" w:pos="4153"/>
        <w:tab w:val="clear" w:pos="8306"/>
        <w:tab w:val="left" w:pos="493"/>
        <w:tab w:val="center" w:pos="4111"/>
        <w:tab w:val="right" w:pos="7478"/>
        <w:tab w:val="right" w:pos="8222"/>
      </w:tabs>
      <w:jc w:val="left"/>
      <w:rPr>
        <w:rFonts w:ascii="Tahoma" w:hAnsi="Tahoma" w:cs="Tahoma"/>
        <w:color w:val="002060"/>
        <w:sz w:val="18"/>
        <w:szCs w:val="18"/>
      </w:rPr>
    </w:pPr>
  </w:p>
  <w:p w14:paraId="5465C61E" w14:textId="4E2E39C0" w:rsidR="00CB22A1" w:rsidRDefault="00CB22A1" w:rsidP="00F2565F">
    <w:pPr>
      <w:pStyle w:val="a8"/>
      <w:tabs>
        <w:tab w:val="clear" w:pos="4153"/>
        <w:tab w:val="clear" w:pos="8306"/>
        <w:tab w:val="left" w:pos="493"/>
        <w:tab w:val="center" w:pos="4111"/>
        <w:tab w:val="right" w:pos="7478"/>
        <w:tab w:val="right" w:pos="8222"/>
      </w:tabs>
      <w:jc w:val="right"/>
      <w:rPr>
        <w:rFonts w:ascii="Tahoma" w:hAnsi="Tahoma" w:cs="Tahoma"/>
        <w:color w:val="002060"/>
        <w:sz w:val="18"/>
        <w:szCs w:val="18"/>
      </w:rPr>
    </w:pPr>
  </w:p>
  <w:p w14:paraId="268AFC17" w14:textId="6F16F421" w:rsidR="00CB22A1" w:rsidRDefault="00CB22A1" w:rsidP="007255AF">
    <w:pPr>
      <w:pStyle w:val="a8"/>
      <w:tabs>
        <w:tab w:val="clear" w:pos="4153"/>
        <w:tab w:val="clear" w:pos="8306"/>
        <w:tab w:val="left" w:pos="493"/>
        <w:tab w:val="center" w:pos="4111"/>
        <w:tab w:val="right" w:pos="7478"/>
        <w:tab w:val="right" w:pos="8222"/>
      </w:tabs>
      <w:jc w:val="left"/>
      <w:rPr>
        <w:rFonts w:ascii="Tahoma" w:hAnsi="Tahoma" w:cs="Tahoma"/>
        <w:color w:val="002060"/>
        <w:sz w:val="18"/>
        <w:szCs w:val="18"/>
      </w:rPr>
    </w:pPr>
  </w:p>
  <w:p w14:paraId="3BA5282B" w14:textId="0DF822A9" w:rsidR="00CB22A1" w:rsidRDefault="00CB22A1" w:rsidP="007255AF">
    <w:pPr>
      <w:pStyle w:val="a8"/>
      <w:tabs>
        <w:tab w:val="clear" w:pos="4153"/>
        <w:tab w:val="clear" w:pos="8306"/>
        <w:tab w:val="left" w:pos="493"/>
        <w:tab w:val="center" w:pos="4111"/>
        <w:tab w:val="right" w:pos="7478"/>
        <w:tab w:val="right" w:pos="8222"/>
      </w:tabs>
      <w:jc w:val="left"/>
      <w:rPr>
        <w:rFonts w:ascii="Tahoma" w:hAnsi="Tahoma" w:cs="Tahoma"/>
        <w:color w:val="002060"/>
        <w:sz w:val="18"/>
        <w:szCs w:val="18"/>
      </w:rPr>
    </w:pPr>
  </w:p>
  <w:p w14:paraId="0929BB0C" w14:textId="43D2B28E" w:rsidR="00CB22A1" w:rsidRDefault="00CB22A1" w:rsidP="00A33696">
    <w:pPr>
      <w:pStyle w:val="a8"/>
      <w:tabs>
        <w:tab w:val="clear" w:pos="4153"/>
        <w:tab w:val="clear" w:pos="8306"/>
        <w:tab w:val="left" w:pos="493"/>
        <w:tab w:val="left" w:pos="5150"/>
      </w:tabs>
      <w:rPr>
        <w:rtl/>
      </w:rPr>
    </w:pPr>
    <w:r>
      <w:rPr>
        <w:rFonts w:ascii="Tahoma" w:hAnsi="Tahoma" w:cs="Tahoma"/>
        <w:noProof/>
        <w:color w:val="002060"/>
        <w:sz w:val="18"/>
        <w:szCs w:val="18"/>
      </w:rPr>
      <w:drawing>
        <wp:anchor distT="0" distB="0" distL="114300" distR="114300" simplePos="0" relativeHeight="251665408" behindDoc="0" locked="0" layoutInCell="1" allowOverlap="1" wp14:anchorId="4B638955" wp14:editId="26B1F6FC">
          <wp:simplePos x="0" y="0"/>
          <wp:positionH relativeFrom="column">
            <wp:posOffset>4362450</wp:posOffset>
          </wp:positionH>
          <wp:positionV relativeFrom="paragraph">
            <wp:posOffset>6170</wp:posOffset>
          </wp:positionV>
          <wp:extent cx="248285" cy="298450"/>
          <wp:effectExtent l="0" t="0" r="0" b="6350"/>
          <wp:wrapNone/>
          <wp:docPr id="2052770982" name="Picture 205277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sidRPr="006637B9">
      <w:rPr>
        <w:rFonts w:ascii="Tahoma" w:hAnsi="Tahoma" w:cs="Tahoma"/>
        <w:noProof/>
        <w:color w:val="002060"/>
        <w:sz w:val="18"/>
        <w:szCs w:val="18"/>
      </w:rPr>
      <mc:AlternateContent>
        <mc:Choice Requires="wps">
          <w:drawing>
            <wp:inline distT="0" distB="0" distL="0" distR="0" wp14:anchorId="472DD05E" wp14:editId="1C0D2669">
              <wp:extent cx="3317344" cy="280800"/>
              <wp:effectExtent l="0" t="0" r="0" b="635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344" cy="280800"/>
                      </a:xfrm>
                      <a:prstGeom prst="rect">
                        <a:avLst/>
                      </a:prstGeom>
                      <a:solidFill>
                        <a:srgbClr val="FFFFFF"/>
                      </a:solidFill>
                      <a:ln w="9525">
                        <a:noFill/>
                        <a:miter lim="800000"/>
                        <a:headEnd/>
                        <a:tailEnd/>
                      </a:ln>
                    </wps:spPr>
                    <wps:txbx>
                      <w:txbxContent>
                        <w:p w14:paraId="7647DFBB" w14:textId="2DD687FA" w:rsidR="00CB22A1" w:rsidRDefault="00CB22A1" w:rsidP="006637B9">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wps:txbx>
                    <wps:bodyPr rot="0" vert="horz" wrap="square" lIns="91440" tIns="45720" rIns="91440" bIns="45720" anchor="t" anchorCtr="0">
                      <a:spAutoFit/>
                    </wps:bodyPr>
                  </wps:wsp>
                </a:graphicData>
              </a:graphic>
            </wp:inline>
          </w:drawing>
        </mc:Choice>
        <mc:Fallback>
          <w:pict>
            <v:shapetype w14:anchorId="472DD05E" id="_x0000_t202" coordsize="21600,21600" o:spt="202" path="m,l,21600r21600,l21600,xe">
              <v:stroke joinstyle="miter"/>
              <v:path gradientshapeok="t" o:connecttype="rect"/>
            </v:shapetype>
            <v:shape id="Text Box 2" o:spid="_x0000_s1035" type="#_x0000_t202" style="width:261.2pt;height:2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vZrDQIAAPYDAAAOAAAAZHJzL2Uyb0RvYy54bWysU9tu2zAMfR+wfxD0vti5rakRp+jSZRjQ&#13;&#10;XYBuHyDLcixMFjVKid19fSk5TYPubZgeBFKkjsjDo/XN0Bl2VOg12JJPJzlnykqotd2X/OeP3bsV&#13;&#10;Zz4IWwsDVpX8UXl+s3n7Zt27Qs2gBVMrZARifdG7krchuCLLvGxVJ/wEnLIUbAA7EcjFfVaj6Am9&#13;&#10;M9ksz99nPWDtEKTynk7vxiDfJPymUTJ8axqvAjMlp9pC2jHtVdyzzVoUexSu1fJUhviHKjqhLT16&#13;&#10;hroTQbAD6r+gOi0RPDRhIqHLoGm0VKkH6maav+rmoRVOpV6IHO/ONPn/Byu/Hh/cd2Rh+AADDTA1&#13;&#10;4d09yF+eWdi2wu7VLSL0rRI1PTyNlGW988XpaqTaFz6CVP0XqGnI4hAgAQ0NdpEV6pMROg3g8Uy6&#13;&#10;GgKTdDifT6/miwVnkmKzVb7K01QyUTzfdujDJwUdi0bJkYaa0MXx3odYjSieU+JjHoyud9qY5OC+&#13;&#10;2hpkR0EC2KWVGniVZizrS369nC0TsoV4P2mj04EEanRXcqqM1iiZyMZHW6eUILQZbarE2BM9kZGR&#13;&#10;mzBUAyVGmiqoH4kohFGI9HHIaAH/cNaTCEvufx8EKs7MZ0tkX08Xi6ja5CyWVzNy8DJSXUaElQRV&#13;&#10;8sDZaG5DUnriwd3SUHY68fVSyalWElei8fQRonov/ZT18l03TwAAAP//AwBQSwMEFAAGAAgAAAAh&#13;&#10;AJ9ZfobdAAAACQEAAA8AAABkcnMvZG93bnJldi54bWxMj7FOw0AQRHsk/uG0SHTkHMuJkONzhEA0&#13;&#10;KAUJFJQbe/EZ+/aM75yYv2ehgWak1Whn5hXb2fXqRGNoPRtYLhJQxJWvW24MvL483tyCChG5xt4z&#13;&#10;GfiiANvy8qLAvPZn3tPpEBslIRxyNGBjHHKtQ2XJYVj4gVi8dz86jHKOja5HPEu463WaJGvtsGVp&#13;&#10;sDjQvaWqO0xOSnahmvb+82O56/Sb7da4erZPxlxfzQ8bkbsNqEhz/PuAHwbZD6UMO/qJ66B6A0IT&#13;&#10;f1W8VZpmoI4GsiwFXRb6P0H5DQAA//8DAFBLAQItABQABgAIAAAAIQC2gziS/gAAAOEBAAATAAAA&#13;&#10;AAAAAAAAAAAAAAAAAABbQ29udGVudF9UeXBlc10ueG1sUEsBAi0AFAAGAAgAAAAhADj9If/WAAAA&#13;&#10;lAEAAAsAAAAAAAAAAAAAAAAALwEAAF9yZWxzLy5yZWxzUEsBAi0AFAAGAAgAAAAhAEI69msNAgAA&#13;&#10;9gMAAA4AAAAAAAAAAAAAAAAALgIAAGRycy9lMm9Eb2MueG1sUEsBAi0AFAAGAAgAAAAhAJ9Zfobd&#13;&#10;AAAACQEAAA8AAAAAAAAAAAAAAAAAZwQAAGRycy9kb3ducmV2LnhtbFBLBQYAAAAABAAEAPMAAABx&#13;&#10;BQAAAAA=&#13;&#10;" stroked="f">
              <v:textbox style="mso-fit-shape-to-text:t">
                <w:txbxContent>
                  <w:p w14:paraId="7647DFBB" w14:textId="2DD687FA" w:rsidR="00CB22A1" w:rsidRDefault="00CB22A1" w:rsidP="006637B9">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v:textbox>
              <w10:wrap anchorx="page"/>
              <w10:anchorlock/>
            </v:shape>
          </w:pict>
        </mc:Fallback>
      </mc:AlternateContent>
    </w:r>
    <w:r>
      <w:rPr>
        <w:noProof/>
      </w:rPr>
      <mc:AlternateContent>
        <mc:Choice Requires="wps">
          <w:drawing>
            <wp:anchor distT="0" distB="0" distL="114300" distR="114300" simplePos="0" relativeHeight="251663360" behindDoc="0" locked="0" layoutInCell="1" allowOverlap="1" wp14:anchorId="41B3564E" wp14:editId="62B53E2E">
              <wp:simplePos x="0" y="0"/>
              <wp:positionH relativeFrom="column">
                <wp:posOffset>-1554480</wp:posOffset>
              </wp:positionH>
              <wp:positionV relativeFrom="paragraph">
                <wp:posOffset>382270</wp:posOffset>
              </wp:positionV>
              <wp:extent cx="7632700" cy="0"/>
              <wp:effectExtent l="0" t="0" r="0" b="0"/>
              <wp:wrapNone/>
              <wp:docPr id="7" name="Straight Connector 7"/>
              <wp:cNvGraphicFramePr/>
              <a:graphic xmlns:a="http://schemas.openxmlformats.org/drawingml/2006/main">
                <a:graphicData uri="http://schemas.microsoft.com/office/word/2010/wordprocessingShape">
                  <wps:wsp>
                    <wps:cNvCnPr/>
                    <wps:spPr>
                      <a:xfrm flipH="1">
                        <a:off x="0" y="0"/>
                        <a:ext cx="76327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112095" id="Straight Connector 7" o:spid="_x0000_s1026" style="position:absolute;left:0;text-align:lef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4pt,30.1pt" to="478.6pt,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IaowQEAAM0DAAAOAAAAZHJzL2Uyb0RvYy54bWysU02PEzEMvSPxH6Lc6UyLtEWjTvfQFXBA&#10;ULHsD8hmnE6kJI6c0I9/j5NpBwQICcQlihO/Z78XZ3N/9k4cgZLF0MvlopUCgsbBhkMvn768ffVG&#10;ipRVGJTDAL28QJL325cvNqfYwQpHdAOQYJKQulPs5Zhz7Jom6RG8SguMEPjSIHmVOaRDM5A6Mbt3&#10;zapt75oT0hAJNaTEpw/TpdxWfmNA50/GJMjC9ZJ7y3Wluj6XtdluVHcgFUerr22of+jCKxu46Ez1&#10;oLISX8n+QuWtJkxo8kKjb9AYq6FqYDXL9ic1j6OKULWwOSnONqX/R6s/Hvck7NDLtRRBeX6ix0zK&#10;HsYsdhgCG4gk1sWnU0wdp+/Cnq5Rinsqos+GvDDOxvc8AtUGFibO1eXL7DKcs9B8uL57vVq3/Bj6&#10;dtdMFIUqUsrvAL0om146G4oBqlPHDylzWU69pXBQWpqaqLt8cVCSXfgMhkVxsamdOk6wcySOigdB&#10;aQ0hL4so5qvZBWasczOwrWX/CLzmFyjUUfsb8IyolTHkGextQPpd9Xy+tWym/JsDk+5iwTMOl/o8&#10;1RqemarwOt9lKH+MK/z7L9x+AwAA//8DAFBLAwQUAAYACAAAACEAvnsD/d0AAAAKAQAADwAAAGRy&#10;cy9kb3ducmV2LnhtbEyPQU/DMAyF70j8h8hI3LZ0VRmjNJ0QY2fEYBLHrDFtIXGqJNvaf48RB7jZ&#10;z0/vfa7Wo7PihCH2nhQs5hkIpMabnloFb6/b2QpETJqMtp5QwYQR1vXlRaVL48/0gqddagWHUCy1&#10;gi6loZQyNh06Hed+QOLbhw9OJ15DK03QZw53VuZZtpRO98QNnR7wscPma3d0CqJtnz6n/eQ3uQnT&#10;Zhvf8XlRKHV9NT7cg0g4pj8z/OAzOtTMdPBHMlFYBbO8KJg9KVhmOQh23N3c8nD4FWRdyf8v1N8A&#10;AAD//wMAUEsBAi0AFAAGAAgAAAAhALaDOJL+AAAA4QEAABMAAAAAAAAAAAAAAAAAAAAAAFtDb250&#10;ZW50X1R5cGVzXS54bWxQSwECLQAUAAYACAAAACEAOP0h/9YAAACUAQAACwAAAAAAAAAAAAAAAAAv&#10;AQAAX3JlbHMvLnJlbHNQSwECLQAUAAYACAAAACEA3FiGqMEBAADNAwAADgAAAAAAAAAAAAAAAAAu&#10;AgAAZHJzL2Uyb0RvYy54bWxQSwECLQAUAAYACAAAACEAvnsD/d0AAAAKAQAADwAAAAAAAAAAAAAA&#10;AAAbBAAAZHJzL2Rvd25yZXYueG1sUEsFBgAAAAAEAAQA8wAAACUFAAAAAA==&#10;" strokecolor="#4579b8 [3044]"/>
          </w:pict>
        </mc:Fallback>
      </mc:AlternateContent>
    </w:r>
    <w:r>
      <w:rPr>
        <w:rFonts w:ascii="Tahoma" w:hAnsi="Tahoma" w:cs="Tahoma"/>
        <w:color w:val="002060"/>
        <w:sz w:val="18"/>
        <w:szCs w:val="18"/>
      </w:rPr>
      <w:tab/>
    </w:r>
    <w:r>
      <w:rPr>
        <w:rtl/>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E1265" w14:textId="57D3164D" w:rsidR="00CB22A1" w:rsidRDefault="00CB22A1" w:rsidP="001526AC">
    <w:pPr>
      <w:pStyle w:val="a8"/>
      <w:tabs>
        <w:tab w:val="clear" w:pos="4153"/>
        <w:tab w:val="clear" w:pos="8306"/>
        <w:tab w:val="left" w:pos="493"/>
        <w:tab w:val="center" w:pos="4111"/>
        <w:tab w:val="right" w:pos="7478"/>
        <w:tab w:val="right" w:pos="8222"/>
      </w:tabs>
      <w:jc w:val="left"/>
      <w:rPr>
        <w:rtl/>
      </w:rPr>
    </w:pPr>
    <w:r>
      <w:rPr>
        <w:noProof/>
        <w:rtl/>
        <w:lang w:val="he-IL"/>
      </w:rPr>
      <mc:AlternateContent>
        <mc:Choice Requires="wps">
          <w:drawing>
            <wp:anchor distT="0" distB="0" distL="114300" distR="114300" simplePos="0" relativeHeight="251697152" behindDoc="1" locked="0" layoutInCell="1" allowOverlap="1" wp14:anchorId="36854950" wp14:editId="7C46F8F6">
              <wp:simplePos x="0" y="0"/>
              <wp:positionH relativeFrom="margin">
                <wp:posOffset>-955675</wp:posOffset>
              </wp:positionH>
              <wp:positionV relativeFrom="margin">
                <wp:posOffset>-1052830</wp:posOffset>
              </wp:positionV>
              <wp:extent cx="6480000" cy="9000000"/>
              <wp:effectExtent l="0" t="0" r="16510" b="10795"/>
              <wp:wrapNone/>
              <wp:docPr id="53" name="Text Box 53"/>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3092A244" w14:textId="008297F6" w:rsidR="00CB22A1" w:rsidRPr="00DE3ECA" w:rsidRDefault="00CB22A1" w:rsidP="006E67D8">
                          <w:pPr>
                            <w:rPr>
                              <w:color w:val="FFFFFF" w:themeColor="background1"/>
                              <w14:textOutline w14:w="12700" w14:cap="rnd" w14:cmpd="dbl" w14:algn="ctr">
                                <w14:solidFill>
                                  <w14:srgbClr w14:val="00B050"/>
                                </w14:solidFill>
                                <w14:prstDash w14:val="sys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854950" id="_x0000_t202" coordsize="21600,21600" o:spt="202" path="m,l,21600r21600,l21600,xe">
              <v:stroke joinstyle="miter"/>
              <v:path gradientshapeok="t" o:connecttype="rect"/>
            </v:shapetype>
            <v:shape id="Text Box 53" o:spid="_x0000_s1036" type="#_x0000_t202" style="position:absolute;left:0;text-align:left;margin-left:-75.25pt;margin-top:-82.9pt;width:510.25pt;height:708.65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fsmlRgIAAJoEAAAOAAAAZHJzL2Uyb0RvYy54bWysVN1v2jAQf5+0/8Hy+whhQNuIUDEQ06Su&#13;&#10;rUSnPhvHIZFsn2cbEvbX7+yEj3Z7msaDufP9fB+/u8vsvlWSHIR1NeicpoMhJUJzKGq9y+mPl/Wn&#13;&#10;W0qcZ7pgErTI6VE4ej//+GHWmEyMoAJZCEvQiXZZY3JaeW+yJHG8Eoq5ARih0ViCVcyjandJYVmD&#13;&#10;3pVMRsPhNGnAFsYCF87h7aoz0nn0X5aC+6eydMITmVPMzcfTxnMbzmQ+Y9nOMlPVvE+D/UMWitUa&#13;&#10;g55drZhnZG/rP1ypmltwUPoBB5VAWdZcxBqwmnT4rppNxYyItSA5zpxpcv/PLX88bMyzJb79Ai02&#13;&#10;MBDSGJc5vAz1tKVV4R8zJWhHCo9n2kTrCcfL6fh2iD9KONrugogK+kkuz411/qsARYKQU4t9iXSx&#13;&#10;w4PzHfQECdE0rGspY2+kJk1OP6c3k/jAgayLYAywOCViKS05MOzvdpdGjNyr71B0d9PJJZkzPKb2&#13;&#10;xlMIvmKu6h7JXZD7EqRG+IWSIPl225K6uKJrC8URWbTQDZgzfF2jywfm/DOzOFHIDm6Jf8KjlIAV&#13;&#10;QS9RUoH99bf7gMdGo5WSBic0p+7nnllBifymcQTu0vE4jHRUxpObESr22rK9tui9WgKSlOI+Gh7F&#13;&#10;gPfyJJYW1Csu0yJERRPTHGPn1J/Epe/2BpeRi8UignCIDfMPemN4cB2aEqh8aV+ZNX2zPc7JI5xm&#13;&#10;mWXvet5hu64v9h7KOg5E4LljtacfFyD2rV/WsGHXekRdPinz3wAAAP//AwBQSwMEFAAGAAgAAAAh&#13;&#10;AJvdzYblAAAAEwEAAA8AAABkcnMvZG93bnJldi54bWxMj0FPwzAMhe9I/IfISNy2pBMZU9d0mkCT&#13;&#10;0HaisHuWhLZa41RN1hV+Pd4JLpYtPz+/r9hMvmOjG2IbUEE2F8AcmmBbrBV8fuxmK2AxabS6C+gU&#13;&#10;fLsIm/L+rtC5DVd8d2OVakYmGHOtoEmpzzmPpnFex3noHdLuKwxeJxqHmttBX8ncd3whxJJ73SJ9&#13;&#10;aHTvXhpnztXFKzD+CffpeN7/jIdqa8Xh+GbGnVKPD9Prmsp2DSy5Kf1dwI2B8kNJwU7hgjayTsEs&#13;&#10;k0KS9tYtJaGQZvUsCPJE4oXMJPCy4P9Zyl8AAAD//wMAUEsBAi0AFAAGAAgAAAAhALaDOJL+AAAA&#13;&#10;4QEAABMAAAAAAAAAAAAAAAAAAAAAAFtDb250ZW50X1R5cGVzXS54bWxQSwECLQAUAAYACAAAACEA&#13;&#10;OP0h/9YAAACUAQAACwAAAAAAAAAAAAAAAAAvAQAAX3JlbHMvLnJlbHNQSwECLQAUAAYACAAAACEA&#13;&#10;tH7JpUYCAACaBAAADgAAAAAAAAAAAAAAAAAuAgAAZHJzL2Uyb0RvYy54bWxQSwECLQAUAAYACAAA&#13;&#10;ACEAm93NhuUAAAATAQAADwAAAAAAAAAAAAAAAACgBAAAZHJzL2Rvd25yZXYueG1sUEsFBgAAAAAE&#13;&#10;AAQA8wAAALIFAAAAAA==&#13;&#10;" filled="f" strokecolor="#a5a5a5 [2092]" strokeweight=".25pt">
              <v:stroke dashstyle="longDash"/>
              <v:textbox>
                <w:txbxContent>
                  <w:p w14:paraId="3092A244" w14:textId="008297F6" w:rsidR="00CB22A1" w:rsidRPr="00DE3ECA" w:rsidRDefault="00CB22A1" w:rsidP="006E67D8">
                    <w:pPr>
                      <w:rPr>
                        <w:color w:val="FFFFFF" w:themeColor="background1"/>
                        <w14:textOutline w14:w="12700" w14:cap="rnd" w14:cmpd="dbl" w14:algn="ctr">
                          <w14:solidFill>
                            <w14:srgbClr w14:val="00B050"/>
                          </w14:solidFill>
                          <w14:prstDash w14:val="sys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661312" behindDoc="0" locked="0" layoutInCell="1" allowOverlap="1" wp14:anchorId="0C6E176E" wp14:editId="1B668A17">
              <wp:simplePos x="0" y="0"/>
              <wp:positionH relativeFrom="column">
                <wp:posOffset>-716280</wp:posOffset>
              </wp:positionH>
              <wp:positionV relativeFrom="paragraph">
                <wp:posOffset>-729615</wp:posOffset>
              </wp:positionV>
              <wp:extent cx="304800" cy="7958455"/>
              <wp:effectExtent l="0" t="0" r="19050" b="23495"/>
              <wp:wrapSquare wrapText="bothSides"/>
              <wp:docPr id="4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7958455"/>
                      </a:xfrm>
                      <a:prstGeom prst="rect">
                        <a:avLst/>
                      </a:prstGeom>
                      <a:solidFill>
                        <a:srgbClr val="00305F"/>
                      </a:solidFill>
                      <a:ln>
                        <a:solidFill>
                          <a:srgbClr val="00305F"/>
                        </a:solidFill>
                      </a:ln>
                    </wps:spPr>
                    <wps:txbx>
                      <w:txbxContent>
                        <w:p w14:paraId="77809697" w14:textId="34F4BB82" w:rsidR="00CB22A1" w:rsidRPr="009B7D1B" w:rsidRDefault="00CB22A1" w:rsidP="005912C3">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00F55102">
                            <w:rPr>
                              <w:rFonts w:ascii="Tahoma" w:hAnsi="Tahoma" w:cs="Tahoma" w:hint="cs"/>
                              <w:b/>
                              <w:bCs/>
                              <w:rtl/>
                            </w:rPr>
                            <w:t xml:space="preserve">  </w:t>
                          </w:r>
                          <w:r w:rsidR="005912C3" w:rsidRPr="005912C3">
                            <w:rPr>
                              <w:rFonts w:ascii="Tahoma" w:hAnsi="Tahoma" w:cs="Tahoma"/>
                              <w:b/>
                              <w:bCs/>
                              <w:rtl/>
                            </w:rPr>
                            <w:t>הדוחות הכספיים של מדינת ישראל ליום 31.12.2020 - חייבים ויתרות חובה</w:t>
                          </w:r>
                        </w:p>
                      </w:txbxContent>
                    </wps:txbx>
                    <wps:bodyPr rot="0" vert="vert270"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6E176E" id="Text Box 17" o:spid="_x0000_s1037" type="#_x0000_t202" style="position:absolute;left:0;text-align:left;margin-left:-56.4pt;margin-top:-57.45pt;width:24pt;height:626.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mh17wEAAO0DAAAOAAAAZHJzL2Uyb0RvYy54bWysU9tu2zAMfR+wfxD0vthJmzU14hRdigwD&#13;&#10;ugvQ7gNkWbaFyaJGKbHz96PkJN3lrdgLQYniIXl4tL4be8MOCr0GW/L5LOdMWQm1tm3Jvz/v3q04&#13;&#10;80HYWhiwquRH5fnd5u2b9eAKtYAOTK2QEYj1xeBK3oXgiizzslO98DNwylKwAexFoCO2WY1iIPTe&#13;&#10;ZIs8f58NgLVDkMp7un2YgnyT8JtGyfC1abwKzJScegvJYrJVtNlmLYoWheu0PLUhXtFFL7Sloheo&#13;&#10;BxEE26P+B6rXEsFDE2YS+gyaRkuVZqBp5vlf0zx1wqk0C5Hj3YUm//9g5ZfDk/uGLIwfYKQFpiG8&#13;&#10;ewT5wzML207YVt0jwtApUVPheaQsG5wvTqmRal/4CFINn6GmJYt9gAQ0NthHVmhORui0gOOFdDUG&#13;&#10;JunyKr9e5RSRFLq5Xa6ul8tUQhTnbIc+fFTQs+iUHGmpCV0cHn2I3Yji/CQW82B0vdPGpAO21dYg&#13;&#10;O4gogPwqX+5O6H88M/Z1mVQ6piY+IgUTGWGsRqbrki9irUhPBfWRCEKYBEgfhpxoFzc0+kD6K7n/&#13;&#10;uReoODOfLPEcxXp28OxUZ0dY2QHJOHA2udswiXrvULcdgU+btHBPu2h0oumlkVPHpKnE3kn/UbS/&#13;&#10;n9Orl1+6+QUAAP//AwBQSwMEFAAGAAgAAAAhAMFq5lrkAAAAEwEAAA8AAABkcnMvZG93bnJldi54&#13;&#10;bWxMT8lOwzAQvSPxD9YgcUGpkxK6pHGqCgS3CrX0A5x4SKLG4yh22/TvGbiUy2iWN2/J16PtxBkH&#13;&#10;3zpSkExiEEiVMy3VCg5f79EChA+ajO4coYIrelgX93e5zoy70A7P+1ALJiGfaQVNCH0mpa8atNpP&#13;&#10;XI/Et283WB14HGppBn1hctvJaRzPpNUtsUKje3xtsDruT1bBZnvc4cdVt4f5FsnEn2P58tQo9fgw&#13;&#10;vq24bFYgAo7h9gG/Gdg/FGysdCcyXnQKoiSZcoDw16VLEIyJZimvSgYnz4sUZJHL/1mKHwAAAP//&#13;&#10;AwBQSwECLQAUAAYACAAAACEAtoM4kv4AAADhAQAAEwAAAAAAAAAAAAAAAAAAAAAAW0NvbnRlbnRf&#13;&#10;VHlwZXNdLnhtbFBLAQItABQABgAIAAAAIQA4/SH/1gAAAJQBAAALAAAAAAAAAAAAAAAAAC8BAABf&#13;&#10;cmVscy8ucmVsc1BLAQItABQABgAIAAAAIQCmKmh17wEAAO0DAAAOAAAAAAAAAAAAAAAAAC4CAABk&#13;&#10;cnMvZTJvRG9jLnhtbFBLAQItABQABgAIAAAAIQDBauZa5AAAABMBAAAPAAAAAAAAAAAAAAAAAEkE&#13;&#10;AABkcnMvZG93bnJldi54bWxQSwUGAAAAAAQABADzAAAAWgUAAAAA&#13;&#10;" fillcolor="#00305f" strokecolor="#00305f">
              <v:textbox style="layout-flow:vertical;mso-layout-flow-alt:bottom-to-top" inset="0,0,0,0">
                <w:txbxContent>
                  <w:p w14:paraId="77809697" w14:textId="34F4BB82" w:rsidR="00CB22A1" w:rsidRPr="009B7D1B" w:rsidRDefault="00CB22A1" w:rsidP="005912C3">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00F55102">
                      <w:rPr>
                        <w:rFonts w:ascii="Tahoma" w:hAnsi="Tahoma" w:cs="Tahoma" w:hint="cs"/>
                        <w:b/>
                        <w:bCs/>
                        <w:rtl/>
                      </w:rPr>
                      <w:t xml:space="preserve">  </w:t>
                    </w:r>
                    <w:r w:rsidR="005912C3" w:rsidRPr="005912C3">
                      <w:rPr>
                        <w:rFonts w:ascii="Tahoma" w:hAnsi="Tahoma" w:cs="Tahoma"/>
                        <w:b/>
                        <w:bCs/>
                        <w:rtl/>
                      </w:rPr>
                      <w:t>הדוחות הכספיים של מדינת ישראל ליום 31.12.2020 - חייבים ויתרות חובה</w:t>
                    </w:r>
                  </w:p>
                </w:txbxContent>
              </v:textbox>
              <w10:wrap type="square"/>
            </v:shape>
          </w:pict>
        </mc:Fallback>
      </mc:AlternateContent>
    </w:r>
  </w:p>
  <w:p w14:paraId="18DE0C7A" w14:textId="26DB997D" w:rsidR="00CB22A1" w:rsidRDefault="00CB22A1" w:rsidP="001526AC">
    <w:pPr>
      <w:pStyle w:val="a8"/>
      <w:tabs>
        <w:tab w:val="clear" w:pos="4153"/>
        <w:tab w:val="clear" w:pos="8306"/>
        <w:tab w:val="left" w:pos="493"/>
        <w:tab w:val="center" w:pos="4111"/>
        <w:tab w:val="right" w:pos="7478"/>
        <w:tab w:val="right" w:pos="8222"/>
      </w:tabs>
      <w:jc w:val="left"/>
      <w:rPr>
        <w:rtl/>
      </w:rPr>
    </w:pPr>
  </w:p>
  <w:p w14:paraId="1172F310" w14:textId="5FF71C21" w:rsidR="00CB22A1" w:rsidRPr="001526AC" w:rsidRDefault="00CB22A1" w:rsidP="00005B23">
    <w:pPr>
      <w:pStyle w:val="a8"/>
      <w:tabs>
        <w:tab w:val="clear" w:pos="4153"/>
        <w:tab w:val="clear" w:pos="8306"/>
        <w:tab w:val="left" w:pos="493"/>
        <w:tab w:val="center" w:pos="4111"/>
        <w:tab w:val="right" w:pos="7478"/>
        <w:tab w:val="right" w:pos="8222"/>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667456" behindDoc="0" locked="0" layoutInCell="1" allowOverlap="1" wp14:anchorId="0EFA0251" wp14:editId="76749620">
              <wp:simplePos x="0" y="0"/>
              <wp:positionH relativeFrom="column">
                <wp:posOffset>273050</wp:posOffset>
              </wp:positionH>
              <wp:positionV relativeFrom="paragraph">
                <wp:posOffset>354965</wp:posOffset>
              </wp:positionV>
              <wp:extent cx="3228975" cy="259080"/>
              <wp:effectExtent l="0" t="0" r="28575" b="2667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59080"/>
                      </a:xfrm>
                      <a:prstGeom prst="rect">
                        <a:avLst/>
                      </a:prstGeom>
                      <a:solidFill>
                        <a:srgbClr val="FFFFFF"/>
                      </a:solidFill>
                      <a:ln w="9525">
                        <a:solidFill>
                          <a:schemeClr val="bg1"/>
                        </a:solidFill>
                        <a:miter lim="800000"/>
                        <a:headEnd/>
                        <a:tailEnd/>
                      </a:ln>
                    </wps:spPr>
                    <wps:txbx>
                      <w:txbxContent>
                        <w:p w14:paraId="782C780C" w14:textId="77777777" w:rsidR="003A19A6" w:rsidRPr="004D562B" w:rsidRDefault="003A19A6" w:rsidP="003A19A6">
                          <w:pPr>
                            <w:jc w:val="right"/>
                            <w:rPr>
                              <w:color w:val="0D0D0D"/>
                              <w:sz w:val="16"/>
                              <w:szCs w:val="16"/>
                            </w:rPr>
                          </w:pPr>
                          <w:r>
                            <w:rPr>
                              <w:rFonts w:ascii="Tahoma" w:hAnsi="Tahoma" w:cs="Tahoma" w:hint="cs"/>
                              <w:color w:val="0D0D0D"/>
                              <w:sz w:val="16"/>
                              <w:szCs w:val="16"/>
                              <w:rtl/>
                            </w:rPr>
                            <w:t xml:space="preserve">דוח </w:t>
                          </w:r>
                          <w:r w:rsidRPr="004D562B">
                            <w:rPr>
                              <w:rFonts w:ascii="Tahoma" w:hAnsi="Tahoma" w:cs="Tahoma" w:hint="cs"/>
                              <w:color w:val="0D0D0D"/>
                              <w:sz w:val="16"/>
                              <w:szCs w:val="16"/>
                              <w:rtl/>
                            </w:rPr>
                            <w:t>מבקר המדינה</w:t>
                          </w:r>
                          <w:r>
                            <w:rPr>
                              <w:rFonts w:ascii="Tahoma" w:hAnsi="Tahoma" w:cs="Tahoma" w:hint="cs"/>
                              <w:color w:val="0D0D0D"/>
                              <w:sz w:val="16"/>
                              <w:szCs w:val="16"/>
                              <w:rtl/>
                            </w:rPr>
                            <w:t xml:space="preserve"> </w:t>
                          </w:r>
                          <w:r w:rsidRPr="004D562B">
                            <w:rPr>
                              <w:rFonts w:ascii="Tahoma" w:hAnsi="Tahoma" w:cs="Tahoma" w:hint="cs"/>
                              <w:color w:val="0D0D0D"/>
                              <w:sz w:val="16"/>
                              <w:szCs w:val="16"/>
                              <w:rtl/>
                            </w:rPr>
                            <w:t>|</w:t>
                          </w:r>
                          <w:r>
                            <w:rPr>
                              <w:rFonts w:ascii="Tahoma" w:hAnsi="Tahoma" w:cs="Tahoma" w:hint="cs"/>
                              <w:color w:val="0D0D0D"/>
                              <w:sz w:val="16"/>
                              <w:szCs w:val="16"/>
                              <w:rtl/>
                            </w:rPr>
                            <w:t xml:space="preserve"> אייר </w:t>
                          </w:r>
                          <w:proofErr w:type="spellStart"/>
                          <w:r>
                            <w:rPr>
                              <w:rFonts w:ascii="Tahoma" w:hAnsi="Tahoma" w:cs="Tahoma" w:hint="cs"/>
                              <w:color w:val="0D0D0D"/>
                              <w:sz w:val="16"/>
                              <w:szCs w:val="16"/>
                              <w:rtl/>
                            </w:rPr>
                            <w:t>התשפ״ב</w:t>
                          </w:r>
                          <w:proofErr w:type="spellEnd"/>
                          <w:r>
                            <w:rPr>
                              <w:rFonts w:ascii="Tahoma" w:hAnsi="Tahoma" w:cs="Tahoma" w:hint="cs"/>
                              <w:color w:val="0D0D0D"/>
                              <w:sz w:val="16"/>
                              <w:szCs w:val="16"/>
                              <w:rtl/>
                            </w:rPr>
                            <w:t xml:space="preserve"> </w:t>
                          </w:r>
                          <w:r w:rsidRPr="004D562B">
                            <w:rPr>
                              <w:rFonts w:ascii="Tahoma" w:hAnsi="Tahoma" w:cs="Tahoma" w:hint="cs"/>
                              <w:color w:val="0D0D0D"/>
                              <w:sz w:val="16"/>
                              <w:szCs w:val="16"/>
                              <w:rtl/>
                            </w:rPr>
                            <w:t>|</w:t>
                          </w:r>
                          <w:r>
                            <w:rPr>
                              <w:rFonts w:ascii="Tahoma" w:hAnsi="Tahoma" w:cs="Tahoma" w:hint="cs"/>
                              <w:color w:val="0D0D0D"/>
                              <w:sz w:val="16"/>
                              <w:szCs w:val="16"/>
                              <w:rtl/>
                            </w:rPr>
                            <w:t xml:space="preserve"> מאי 2022</w:t>
                          </w:r>
                          <w:r w:rsidRPr="004D562B">
                            <w:rPr>
                              <w:rFonts w:hint="cs"/>
                              <w:color w:val="0D0D0D"/>
                              <w:sz w:val="16"/>
                              <w:szCs w:val="16"/>
                              <w:rtl/>
                            </w:rPr>
                            <w:t xml:space="preserve">         </w:t>
                          </w:r>
                        </w:p>
                        <w:p w14:paraId="1CF273F4" w14:textId="39CADE58" w:rsidR="00CB22A1" w:rsidRPr="003A19A6" w:rsidRDefault="00CB22A1" w:rsidP="00B244B0">
                          <w:pPr>
                            <w:jc w:val="right"/>
                            <w:rPr>
                              <w:color w:val="0D0D0D" w:themeColor="text1" w:themeTint="F2"/>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A0251" id="_x0000_s1038" type="#_x0000_t202" style="position:absolute;left:0;text-align:left;margin-left:21.5pt;margin-top:27.95pt;width:254.25pt;height:20.4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64o3GwIAACUEAAAOAAAAZHJzL2Uyb0RvYy54bWysk92O2yAQhe8r9R0Q940dN+kmVpzVNttU&#13;&#10;lbY/0rYPgDG2UTFDgcROn34H7M2m6V1VXyDGwGHmm8PmdugUOQrrJOiCzmcpJUJzqKRuCvrj+/7N&#13;&#10;ihLnma6YAi0KehKO3m5fv9r0JhcZtKAqYQmKaJf3pqCt9yZPEsdb0TE3AyM0LtZgO+YxtE1SWdaj&#13;&#10;eqeSLE3fJT3Yyljgwjn8ez8u0m3Ur2vB/de6dsITVVDMzcfRxrEMY7LdsLyxzLSST2mwf8iiY1Lj&#13;&#10;pWepe+YZOVj5l1QnuQUHtZ9x6BKoa8lFrAGrmadX1Ty2zIhYC8Jx5ozJ/T9Z/uX4aL5Z4of3MGAD&#13;&#10;YxHOPAD/6YiGXct0I+6shb4VrMKL5wFZ0huXT0cDape7IFL2n6HCJrODhyg01LYLVLBOgurYgNMZ&#13;&#10;uhg84fjzbZat1jdLSjiuZct1uopdSVj+fNpY5z8K6EiYFNRiU6M6Oz44H7Jh+fOWcJkDJau9VCoG&#13;&#10;til3ypIjQwPs4xcLuNqmNOkLul5myxHAHxLBi+IsUjYjgiuFTno0spJdQVdp+EZrBWofdBVt5plU&#13;&#10;4xwzVnrCGMiNDP1QDkRWiCScDVRLqE7I1cLoW3xnOGnB/qakR88W1P06MCsoUZ809mY9XyyCyWOw&#13;&#10;WN5kGNjLlfJyhWmOUgX1lIzTnY8PI2DTcIc9rGXE+5LJlDJ6MVKf3k0w+2Ucd7287u0TAAAA//8D&#13;&#10;AFBLAwQUAAYACAAAACEASG5QD+MAAAANAQAADwAAAGRycy9kb3ducmV2LnhtbEyPwU7DMBBE70j8&#13;&#10;g7VI3KhTaFKSZlMhKnpDFaEqHJ14SSLidRS7beDrMSe4jLQa7cy8fD2ZXpxodJ1lhPksAkFcW91x&#13;&#10;g7B/fbq5B+G8Yq16y4TwRQ7WxeVFrjJtz/xCp9I3IoSwyxRC6/2QSenqloxyMzsQB+/Djkb5cI6N&#13;&#10;1KM6h3DTy9soSqRRHYeGVg302FL9WR4Ngquj5LBblIe3Sm7pO9V68759Rry+mjarIA8rEJ4m//cB&#13;&#10;vwxhPxRhWGWPrJ3oERZ3gccjxHEKIvhxPI9BVAhpsgRZ5PI/RfEDAAD//wMAUEsBAi0AFAAGAAgA&#13;&#10;AAAhALaDOJL+AAAA4QEAABMAAAAAAAAAAAAAAAAAAAAAAFtDb250ZW50X1R5cGVzXS54bWxQSwEC&#13;&#10;LQAUAAYACAAAACEAOP0h/9YAAACUAQAACwAAAAAAAAAAAAAAAAAvAQAAX3JlbHMvLnJlbHNQSwEC&#13;&#10;LQAUAAYACAAAACEAAeuKNxsCAAAlBAAADgAAAAAAAAAAAAAAAAAuAgAAZHJzL2Uyb0RvYy54bWxQ&#13;&#10;SwECLQAUAAYACAAAACEASG5QD+MAAAANAQAADwAAAAAAAAAAAAAAAAB1BAAAZHJzL2Rvd25yZXYu&#13;&#10;eG1sUEsFBgAAAAAEAAQA8wAAAIUFAAAAAA==&#13;&#10;" strokecolor="white [3212]">
              <v:textbox>
                <w:txbxContent>
                  <w:p w14:paraId="782C780C" w14:textId="77777777" w:rsidR="003A19A6" w:rsidRPr="004D562B" w:rsidRDefault="003A19A6" w:rsidP="003A19A6">
                    <w:pPr>
                      <w:jc w:val="right"/>
                      <w:rPr>
                        <w:color w:val="0D0D0D"/>
                        <w:sz w:val="16"/>
                        <w:szCs w:val="16"/>
                      </w:rPr>
                    </w:pPr>
                    <w:r>
                      <w:rPr>
                        <w:rFonts w:ascii="Tahoma" w:hAnsi="Tahoma" w:cs="Tahoma" w:hint="cs"/>
                        <w:color w:val="0D0D0D"/>
                        <w:sz w:val="16"/>
                        <w:szCs w:val="16"/>
                        <w:rtl/>
                      </w:rPr>
                      <w:t xml:space="preserve">דוח </w:t>
                    </w:r>
                    <w:r w:rsidRPr="004D562B">
                      <w:rPr>
                        <w:rFonts w:ascii="Tahoma" w:hAnsi="Tahoma" w:cs="Tahoma" w:hint="cs"/>
                        <w:color w:val="0D0D0D"/>
                        <w:sz w:val="16"/>
                        <w:szCs w:val="16"/>
                        <w:rtl/>
                      </w:rPr>
                      <w:t>מבקר המדינה</w:t>
                    </w:r>
                    <w:r>
                      <w:rPr>
                        <w:rFonts w:ascii="Tahoma" w:hAnsi="Tahoma" w:cs="Tahoma" w:hint="cs"/>
                        <w:color w:val="0D0D0D"/>
                        <w:sz w:val="16"/>
                        <w:szCs w:val="16"/>
                        <w:rtl/>
                      </w:rPr>
                      <w:t xml:space="preserve"> </w:t>
                    </w:r>
                    <w:r w:rsidRPr="004D562B">
                      <w:rPr>
                        <w:rFonts w:ascii="Tahoma" w:hAnsi="Tahoma" w:cs="Tahoma" w:hint="cs"/>
                        <w:color w:val="0D0D0D"/>
                        <w:sz w:val="16"/>
                        <w:szCs w:val="16"/>
                        <w:rtl/>
                      </w:rPr>
                      <w:t>|</w:t>
                    </w:r>
                    <w:r>
                      <w:rPr>
                        <w:rFonts w:ascii="Tahoma" w:hAnsi="Tahoma" w:cs="Tahoma" w:hint="cs"/>
                        <w:color w:val="0D0D0D"/>
                        <w:sz w:val="16"/>
                        <w:szCs w:val="16"/>
                        <w:rtl/>
                      </w:rPr>
                      <w:t xml:space="preserve"> אייר </w:t>
                    </w:r>
                    <w:proofErr w:type="spellStart"/>
                    <w:r>
                      <w:rPr>
                        <w:rFonts w:ascii="Tahoma" w:hAnsi="Tahoma" w:cs="Tahoma" w:hint="cs"/>
                        <w:color w:val="0D0D0D"/>
                        <w:sz w:val="16"/>
                        <w:szCs w:val="16"/>
                        <w:rtl/>
                      </w:rPr>
                      <w:t>התשפ״ב</w:t>
                    </w:r>
                    <w:proofErr w:type="spellEnd"/>
                    <w:r>
                      <w:rPr>
                        <w:rFonts w:ascii="Tahoma" w:hAnsi="Tahoma" w:cs="Tahoma" w:hint="cs"/>
                        <w:color w:val="0D0D0D"/>
                        <w:sz w:val="16"/>
                        <w:szCs w:val="16"/>
                        <w:rtl/>
                      </w:rPr>
                      <w:t xml:space="preserve"> </w:t>
                    </w:r>
                    <w:r w:rsidRPr="004D562B">
                      <w:rPr>
                        <w:rFonts w:ascii="Tahoma" w:hAnsi="Tahoma" w:cs="Tahoma" w:hint="cs"/>
                        <w:color w:val="0D0D0D"/>
                        <w:sz w:val="16"/>
                        <w:szCs w:val="16"/>
                        <w:rtl/>
                      </w:rPr>
                      <w:t>|</w:t>
                    </w:r>
                    <w:r>
                      <w:rPr>
                        <w:rFonts w:ascii="Tahoma" w:hAnsi="Tahoma" w:cs="Tahoma" w:hint="cs"/>
                        <w:color w:val="0D0D0D"/>
                        <w:sz w:val="16"/>
                        <w:szCs w:val="16"/>
                        <w:rtl/>
                      </w:rPr>
                      <w:t xml:space="preserve"> מאי 2022</w:t>
                    </w:r>
                    <w:r w:rsidRPr="004D562B">
                      <w:rPr>
                        <w:rFonts w:hint="cs"/>
                        <w:color w:val="0D0D0D"/>
                        <w:sz w:val="16"/>
                        <w:szCs w:val="16"/>
                        <w:rtl/>
                      </w:rPr>
                      <w:t xml:space="preserve">         </w:t>
                    </w:r>
                  </w:p>
                  <w:p w14:paraId="1CF273F4" w14:textId="39CADE58" w:rsidR="00CB22A1" w:rsidRPr="003A19A6" w:rsidRDefault="00CB22A1" w:rsidP="00B244B0">
                    <w:pPr>
                      <w:jc w:val="right"/>
                      <w:rPr>
                        <w:color w:val="0D0D0D" w:themeColor="text1" w:themeTint="F2"/>
                        <w:sz w:val="16"/>
                        <w:szCs w:val="16"/>
                      </w:rPr>
                    </w:pPr>
                  </w:p>
                </w:txbxContent>
              </v:textbox>
            </v:shape>
          </w:pict>
        </mc:Fallback>
      </mc:AlternateContent>
    </w:r>
    <w:r>
      <w:rPr>
        <w:rFonts w:ascii="Tahoma" w:hAnsi="Tahoma" w:cs="Tahoma"/>
        <w:noProof/>
        <w:sz w:val="22"/>
        <w:szCs w:val="22"/>
        <w:rtl/>
        <w:lang w:val="he-IL"/>
      </w:rPr>
      <w:drawing>
        <wp:anchor distT="0" distB="0" distL="114300" distR="114300" simplePos="0" relativeHeight="251678720" behindDoc="0" locked="0" layoutInCell="1" allowOverlap="1" wp14:anchorId="657435AB" wp14:editId="53048A9D">
          <wp:simplePos x="0" y="0"/>
          <wp:positionH relativeFrom="column">
            <wp:posOffset>-59055</wp:posOffset>
          </wp:positionH>
          <wp:positionV relativeFrom="paragraph">
            <wp:posOffset>345440</wp:posOffset>
          </wp:positionV>
          <wp:extent cx="343535" cy="240030"/>
          <wp:effectExtent l="0" t="0" r="0" b="7620"/>
          <wp:wrapSquare wrapText="bothSides"/>
          <wp:docPr id="2052770983" name="Picture 205277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14:anchorId="663FB055" wp14:editId="08D07EAC">
              <wp:simplePos x="0" y="0"/>
              <wp:positionH relativeFrom="column">
                <wp:posOffset>-55880</wp:posOffset>
              </wp:positionH>
              <wp:positionV relativeFrom="paragraph">
                <wp:posOffset>640080</wp:posOffset>
              </wp:positionV>
              <wp:extent cx="6721475" cy="0"/>
              <wp:effectExtent l="0" t="0" r="0" b="0"/>
              <wp:wrapNone/>
              <wp:docPr id="634" name="Straight Connector 634"/>
              <wp:cNvGraphicFramePr/>
              <a:graphic xmlns:a="http://schemas.openxmlformats.org/drawingml/2006/main">
                <a:graphicData uri="http://schemas.microsoft.com/office/word/2010/wordprocessingShape">
                  <wps:wsp>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77A3AA" id="Straight Connector 634" o:spid="_x0000_s1026" style="position:absolute;left:0;text-align:lef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50.4pt" to="524.85pt,5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x//wEAAFQEAAAOAAAAZHJzL2Uyb0RvYy54bWysVE1z2yAQvXem/4HhXktyEqfVWM7BmbSH&#10;fnia5gcQBBYzwDJALPvfdwFZTdpe0umFYb/e7ntatL45Gk0OwgcFtqPNoqZEWA69svuOPvy4e/ee&#10;khCZ7ZkGKzp6EoHebN6+WY+uFUsYQPfCEwSxoR1dR4cYXVtVgQ/CsLAAJywGJXjDIpp+X/WejYhu&#10;dLWs61U1gu+dBy5CQO9tCdJNxpdS8PhNyiAi0R3F2WI+fT4f01lt1qzde+YGxacx2D9MYZiy2HSG&#10;umWRkSev/oAyinsIIOOCg6lASsVF5oBsmvo3NvcDcyJzQXGCm2UK/w+Wfz3sPFF9R1cXl5RYZvAj&#10;3UfP1H6IZAvWooTgSYqiVqMLLZZs7c5PVnA7n4gfpTdEauU+4RpkKZAcOWalT7PS4hgJR+fqetlc&#10;Xl9Rws+xqkAkKOdD/CjAkHTpqFY2icBadvgcIrbF1HNKcmtLxo5eNAiXzABa9XdK62ykPRJb7cmB&#10;4QbEYxlNP5kv0Bffh6u6nvYA3bgtxX32YrO8jAkkt36GjzFt0ZlUKTrkWzxpUQb7LiRqi3xL2xmo&#10;tGCcCxubpGtGwuxUJnH2ubAunF7SeFk45adSkTf+NcVzRe4MNs7FRlnwf+ueRCwjy5J/VqDwThI8&#10;Qn/KG5KlwdXNDKdnlt7GczuX//oZbH4CAAD//wMAUEsDBBQABgAIAAAAIQD5YZ6a3gAAAAsBAAAP&#10;AAAAZHJzL2Rvd25yZXYueG1sTI9bS8NAEIXfBf/DMoJv7W5FtKbZFCtKRSjSi+/b7DQJzc6G7Obi&#10;v3cKgr7NnHM48026HF0temxD5UnDbKpAIOXeVlRoOOzfJnMQIRqypvaEGr4xwDK7vkpNYv1AW+x3&#10;sRBcQiExGsoYm0TKkJfoTJj6Bom9k2+diby2hbStGbjc1fJOqQfpTEV8oTQNvpSYn3ed07D5Wo8f&#10;/ZCv+tVsf15379vD52up9e3N+LwAEXGMf2G44DM6ZMx09B3ZIGoNkzmTR9aV4uESUPdPjyCOv5LM&#10;Uvn/h+wHAAD//wMAUEsBAi0AFAAGAAgAAAAhALaDOJL+AAAA4QEAABMAAAAAAAAAAAAAAAAAAAAA&#10;AFtDb250ZW50X1R5cGVzXS54bWxQSwECLQAUAAYACAAAACEAOP0h/9YAAACUAQAACwAAAAAAAAAA&#10;AAAAAAAvAQAAX3JlbHMvLnJlbHNQSwECLQAUAAYACAAAACEANkf8f/8BAABUBAAADgAAAAAAAAAA&#10;AAAAAAAuAgAAZHJzL2Uyb0RvYy54bWxQSwECLQAUAAYACAAAACEA+WGemt4AAAALAQAADwAAAAAA&#10;AAAAAAAAAABZBAAAZHJzL2Rvd25yZXYueG1sUEsFBgAAAAAEAAQA8wAAAGQFAAAAAA==&#10;" strokecolor="#0d0d0d [3069]" strokeweight=".25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8C7A5" w14:textId="27E2E98E" w:rsidR="00CB22A1" w:rsidRDefault="00CB22A1">
    <w:pPr>
      <w:pStyle w:val="a8"/>
      <w:rPr>
        <w:rtl/>
      </w:rPr>
    </w:pPr>
    <w:r>
      <w:rPr>
        <w:noProof/>
        <w:rtl/>
        <w:lang w:val="he-IL"/>
      </w:rPr>
      <mc:AlternateContent>
        <mc:Choice Requires="wps">
          <w:drawing>
            <wp:anchor distT="0" distB="0" distL="114300" distR="114300" simplePos="0" relativeHeight="251699200" behindDoc="1" locked="0" layoutInCell="1" allowOverlap="1" wp14:anchorId="1C22208D" wp14:editId="6B586885">
              <wp:simplePos x="0" y="0"/>
              <wp:positionH relativeFrom="margin">
                <wp:posOffset>-954405</wp:posOffset>
              </wp:positionH>
              <wp:positionV relativeFrom="margin">
                <wp:posOffset>-1051560</wp:posOffset>
              </wp:positionV>
              <wp:extent cx="6480000" cy="9000000"/>
              <wp:effectExtent l="0" t="0" r="16510" b="10795"/>
              <wp:wrapNone/>
              <wp:docPr id="31" name="Text Box 31"/>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463FF098" w14:textId="77777777" w:rsidR="00CB22A1" w:rsidRPr="00DE3ECA" w:rsidRDefault="00CB22A1" w:rsidP="006E67D8">
                          <w:pPr>
                            <w:rPr>
                              <w:color w:val="FFFFFF" w:themeColor="background1"/>
                              <w14:textOutline w14:w="12700" w14:cap="rnd" w14:cmpd="dbl" w14:algn="ctr">
                                <w14:solidFill>
                                  <w14:srgbClr w14:val="00B050"/>
                                </w14:solidFill>
                                <w14:prstDash w14:val="sys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22208D" id="_x0000_t202" coordsize="21600,21600" o:spt="202" path="m,l,21600r21600,l21600,xe">
              <v:stroke joinstyle="miter"/>
              <v:path gradientshapeok="t" o:connecttype="rect"/>
            </v:shapetype>
            <v:shape id="Text Box 31" o:spid="_x0000_s1039" type="#_x0000_t202" style="position:absolute;left:0;text-align:left;margin-left:-75.15pt;margin-top:-82.8pt;width:510.25pt;height:708.65pt;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CVqTSAIAAJoEAAAOAAAAZHJzL2Uyb0RvYy54bWysVN1v2jAQf5+0/8Hy+whhQNuIUDEQ06Su&#13;&#10;rUSnPhvHIZYcn2cbEvbX7+yEj3Z7msaDufP9fB+/u8vsvq0VOQjrJOicpoMhJUJzKKTe5fTHy/rT&#13;&#10;LSXOM10wBVrk9CgcvZ9//DBrTCZGUIEqhCXoRLusMTmtvDdZkjheiZq5ARih0ViCrZlH1e6SwrIG&#13;&#10;vdcqGQ2H06QBWxgLXDiHt6vOSOfRf1kK7p/K0glPVE4xNx9PG89tOJP5jGU7y0wleZ8G+4csaiY1&#13;&#10;Bj27WjHPyN7KP1zVkltwUPoBhzqBspRcxBqwmnT4rppNxYyItSA5zpxpcv/PLX88bMyzJb79Ai02&#13;&#10;MBDSGJc5vAz1tKWtwz9mStCOFB7PtInWE46X0/HtEH+UcLTdBREV9JNcnhvr/FcBNQlCTi32JdLF&#13;&#10;Dg/Od9ATJETTsJZKxd4oTZqcfk5vJvGBAyWLYAywOCViqSw5MOzvdpdGjNrX36Ho7qaTSzJneEzt&#13;&#10;jacQfMVc1T1SuyD3JSiN8AslQfLttiWyyOn4RNcWiiOyaKEbMGf4WqLLB+b8M7M4UcgObol/wqNU&#13;&#10;gBVBL1FSgf31t/uAx0ajlZIGJzSn7ueeWUGJ+qZxBO7S8TiMdFTGk5sRKvbasr226H29BCQpxX00&#13;&#10;PIoB79VJLC3Ur7hMixAVTUxzjJ1TfxKXvtsbXEYuFosIwiE2zD/ojeHBdWhKoPKlfWXW9M32OCeP&#13;&#10;cJpllr3reYftur7YeyhlHIjAc8dqTz8uQOxbv6xhw671iLp8Uua/AQAA//8DAFBLAwQUAAYACAAA&#13;&#10;ACEAsvljleYAAAATAQAADwAAAGRycy9kb3ducmV2LnhtbEyPQW/CMAyF75P2HyIj7QZJu7Wg0hSh&#13;&#10;TUgTnNaNe2hCW9E4VRNKt18/c9ouli1/fn4v30y2Y6MZfOtQQrQQwAxWTrdYS/j63M1XwHxQqFXn&#13;&#10;0Ej4Nh42xeNDrjLtbvhhxjLUjETQZ0pCE0Kfce6rxljlF643SLuzG6wKNA4114O6kbjteCxEyq1q&#13;&#10;kT40qjevjaku5dVKqOwL7sPxsv8ZD+VWi8PxvRp3Uj7Nprc1le0aWDBT+LuAewbyDwUZO7kras86&#13;&#10;CfMoEc/E3rs0SYERs1qKGNiJ4DiJlsCLnP/PUvwCAAD//wMAUEsBAi0AFAAGAAgAAAAhALaDOJL+&#13;&#10;AAAA4QEAABMAAAAAAAAAAAAAAAAAAAAAAFtDb250ZW50X1R5cGVzXS54bWxQSwECLQAUAAYACAAA&#13;&#10;ACEAOP0h/9YAAACUAQAACwAAAAAAAAAAAAAAAAAvAQAAX3JlbHMvLnJlbHNQSwECLQAUAAYACAAA&#13;&#10;ACEAtQlak0gCAACaBAAADgAAAAAAAAAAAAAAAAAuAgAAZHJzL2Uyb0RvYy54bWxQSwECLQAUAAYA&#13;&#10;CAAAACEAsvljleYAAAATAQAADwAAAAAAAAAAAAAAAACiBAAAZHJzL2Rvd25yZXYueG1sUEsFBgAA&#13;&#10;AAAEAAQA8wAAALUFAAAAAA==&#13;&#10;" filled="f" strokecolor="#a5a5a5 [2092]" strokeweight=".25pt">
              <v:stroke dashstyle="longDash"/>
              <v:textbox>
                <w:txbxContent>
                  <w:p w14:paraId="463FF098" w14:textId="77777777" w:rsidR="00CB22A1" w:rsidRPr="00DE3ECA" w:rsidRDefault="00CB22A1" w:rsidP="006E67D8">
                    <w:pPr>
                      <w:rPr>
                        <w:color w:val="FFFFFF" w:themeColor="background1"/>
                        <w14:textOutline w14:w="12700" w14:cap="rnd" w14:cmpd="dbl" w14:algn="ctr">
                          <w14:solidFill>
                            <w14:srgbClr w14:val="00B050"/>
                          </w14:solidFill>
                          <w14:prstDash w14:val="sysDash"/>
                          <w14:bevel/>
                        </w14:textOutline>
                      </w:rPr>
                    </w:pPr>
                  </w:p>
                </w:txbxContent>
              </v:textbox>
              <w10:wrap anchorx="margin" anchory="margin"/>
            </v:shape>
          </w:pict>
        </mc:Fallback>
      </mc:AlternateContent>
    </w:r>
  </w:p>
  <w:p w14:paraId="7E43B0CF" w14:textId="63DDFE97" w:rsidR="00CB22A1" w:rsidRDefault="00CB22A1">
    <w:pPr>
      <w:pStyle w:val="a8"/>
      <w:rPr>
        <w:rtl/>
      </w:rPr>
    </w:pPr>
  </w:p>
  <w:p w14:paraId="09A29170" w14:textId="7ABB1ABE" w:rsidR="00CB22A1" w:rsidRDefault="00CB22A1">
    <w:pPr>
      <w:pStyle w:val="a8"/>
      <w:rPr>
        <w:rtl/>
      </w:rPr>
    </w:pPr>
  </w:p>
  <w:p w14:paraId="1CB0A19A" w14:textId="180241A0" w:rsidR="00CB22A1" w:rsidRDefault="00CB22A1">
    <w:pPr>
      <w:pStyle w:val="a8"/>
      <w:rPr>
        <w:rtl/>
      </w:rPr>
    </w:pPr>
    <w:r w:rsidRPr="006637B9">
      <w:rPr>
        <w:rFonts w:ascii="Tahoma" w:hAnsi="Tahoma" w:cs="Tahoma"/>
        <w:noProof/>
        <w:color w:val="002060"/>
        <w:sz w:val="18"/>
        <w:szCs w:val="18"/>
      </w:rPr>
      <mc:AlternateContent>
        <mc:Choice Requires="wps">
          <w:drawing>
            <wp:anchor distT="0" distB="0" distL="114300" distR="114300" simplePos="0" relativeHeight="251679744" behindDoc="0" locked="0" layoutInCell="1" allowOverlap="1" wp14:anchorId="7A99042B" wp14:editId="1AA41DBC">
              <wp:simplePos x="0" y="0"/>
              <wp:positionH relativeFrom="column">
                <wp:posOffset>-106680</wp:posOffset>
              </wp:positionH>
              <wp:positionV relativeFrom="paragraph">
                <wp:posOffset>205105</wp:posOffset>
              </wp:positionV>
              <wp:extent cx="4536440" cy="280670"/>
              <wp:effectExtent l="0" t="0" r="6985" b="6985"/>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14:paraId="111D0894" w14:textId="4203F2A4" w:rsidR="00CB22A1" w:rsidRPr="004D562B" w:rsidRDefault="005912C3" w:rsidP="00502FAD">
                          <w:pPr>
                            <w:jc w:val="left"/>
                            <w:rPr>
                              <w:color w:val="0D0D0D"/>
                              <w:sz w:val="16"/>
                              <w:szCs w:val="16"/>
                            </w:rPr>
                          </w:pPr>
                          <w:r w:rsidRPr="005912C3">
                            <w:rPr>
                              <w:rFonts w:ascii="Tahoma" w:hAnsi="Tahoma" w:cs="Tahoma"/>
                              <w:color w:val="0D0D0D" w:themeColor="text1" w:themeTint="F2"/>
                              <w:sz w:val="16"/>
                              <w:szCs w:val="16"/>
                              <w:rtl/>
                            </w:rPr>
                            <w:t>הדוחות הכספיים של מדינת ישראל ליום 31.12.2020 - חייבים ויתרות חובה</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7A99042B" id="_x0000_s1040" type="#_x0000_t202" style="position:absolute;left:0;text-align:left;margin-left:-8.4pt;margin-top:16.15pt;width:357.2pt;height:22.1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Q6vhEQIAAP0DAAAOAAAAZHJzL2Uyb0RvYy54bWysk99u2yAUxu8n7R0Q94udLElTK07Vpcs0&#13;&#10;qfsjdXsAjHGMhjnsQGJ3T98DTtOou5vmCwQ+8HHO73ysb4bOsKNCr8GWfDrJOVNWQq3tvuQ/f+ze&#13;&#10;rTjzQdhaGLCq5I/K85vN2zfr3hVqBi2YWiEjEeuL3pW8DcEVWeZlqzrhJ+CUpWAD2IlAS9xnNYqe&#13;&#10;1DuTzfJ8mfWAtUOQynv6ezcG+SbpN42S4VvTeBWYKTnlFtKIaazimG3WotijcK2WpzTEP2TRCW3p&#13;&#10;0rPUnQiCHVD/JdVpieChCRMJXQZNo6VKNVA10/xVNQ+tcCrVQnC8O2Py/09Wfj0+uO/IwvABBmpg&#13;&#10;KsK7e5C/PLOwbYXdq1tE6Fslarp4GpFlvfPF6WhE7QsfRar+C9TUZHEIkISGBrtIhepkpE4NeDxD&#13;&#10;V0Ngkn7OF++X8zmFJMVmq3x5lbqSieL5tEMfPinoWJyUHKmpSV0c732I2YjieUu8zIPR9U4bkxa4&#13;&#10;r7YG2VGQAXbpSwW82mYs60t+vZgtkrKFeD55o9OBDGp0V/JVHr/RMpHGR1unLUFoM84pE2NPeCKR&#13;&#10;kU0YqoHpuuSLeDbSqqB+JF4Iox/p/dCkBfzDWU9eLLn/fRCoODOfLTG/niZAIS3mi6sZ0cLLSHUZ&#13;&#10;EVaSVMkDZ+N0G5LhEw53S73Z6YTtJZNTyuSxRPP0HqKJL9dp18ur3TwBAAD//wMAUEsDBBQABgAI&#13;&#10;AAAAIQAcwOu+5AAAAA4BAAAPAAAAZHJzL2Rvd25yZXYueG1sTI8xT8MwEIV3JP6DdUhsrZNWdSGN&#13;&#10;UyEQC+pACwOjmxxxSHwOsdOGf88xleWk071773v5dnKdOOEQGk8a0nkCAqn0VUO1hve359kdiBAN&#13;&#10;VabzhBp+MMC2uL7KTVb5M+3xdIi1YBMKmdFgY+wzKUNp0Zkw9z0S3z794EzkdahlNZgzm7tOLpJE&#13;&#10;SWca4gRreny0WLaH0XHILpTj3n9/pbtWfthWmdWrfdH69mZ62vB42ICIOMXLB/x1YH4oGOzoR6qC&#13;&#10;6DTMUsX8UcNysQTBAnW/ViCOGtZqBbLI5f8axS8AAAD//wMAUEsBAi0AFAAGAAgAAAAhALaDOJL+&#13;&#10;AAAA4QEAABMAAAAAAAAAAAAAAAAAAAAAAFtDb250ZW50X1R5cGVzXS54bWxQSwECLQAUAAYACAAA&#13;&#10;ACEAOP0h/9YAAACUAQAACwAAAAAAAAAAAAAAAAAvAQAAX3JlbHMvLnJlbHNQSwECLQAUAAYACAAA&#13;&#10;ACEAG0Or4RECAAD9AwAADgAAAAAAAAAAAAAAAAAuAgAAZHJzL2Uyb0RvYy54bWxQSwECLQAUAAYA&#13;&#10;CAAAACEAHMDrvuQAAAAOAQAADwAAAAAAAAAAAAAAAABrBAAAZHJzL2Rvd25yZXYueG1sUEsFBgAA&#13;&#10;AAAEAAQA8wAAAHwFAAAAAA==&#13;&#10;" stroked="f">
              <v:textbox style="mso-fit-shape-to-text:t">
                <w:txbxContent>
                  <w:p w14:paraId="111D0894" w14:textId="4203F2A4" w:rsidR="00CB22A1" w:rsidRPr="004D562B" w:rsidRDefault="005912C3" w:rsidP="00502FAD">
                    <w:pPr>
                      <w:jc w:val="left"/>
                      <w:rPr>
                        <w:color w:val="0D0D0D"/>
                        <w:sz w:val="16"/>
                        <w:szCs w:val="16"/>
                      </w:rPr>
                    </w:pPr>
                    <w:r w:rsidRPr="005912C3">
                      <w:rPr>
                        <w:rFonts w:ascii="Tahoma" w:hAnsi="Tahoma" w:cs="Tahoma"/>
                        <w:color w:val="0D0D0D" w:themeColor="text1" w:themeTint="F2"/>
                        <w:sz w:val="16"/>
                        <w:szCs w:val="16"/>
                        <w:rtl/>
                      </w:rPr>
                      <w:t>הדוחות הכספיים של מדינת ישראל ליום 31.12.2020 - חייבים ויתרות חובה</w:t>
                    </w:r>
                  </w:p>
                </w:txbxContent>
              </v:textbox>
              <w10:wrap type="square"/>
            </v:shape>
          </w:pict>
        </mc:Fallback>
      </mc:AlternateContent>
    </w:r>
  </w:p>
  <w:p w14:paraId="53F52C1C" w14:textId="13767217" w:rsidR="00CB22A1" w:rsidRDefault="00CB22A1" w:rsidP="009620E7">
    <w:pPr>
      <w:pStyle w:val="a8"/>
      <w:rPr>
        <w:rtl/>
      </w:rPr>
    </w:pPr>
    <w:r>
      <w:rPr>
        <w:rFonts w:ascii="Tahoma" w:hAnsi="Tahoma" w:cs="Tahoma"/>
        <w:noProof/>
        <w:color w:val="002060"/>
        <w:sz w:val="18"/>
        <w:szCs w:val="18"/>
      </w:rPr>
      <w:drawing>
        <wp:anchor distT="0" distB="0" distL="114300" distR="114300" simplePos="0" relativeHeight="251669504" behindDoc="0" locked="0" layoutInCell="1" allowOverlap="1" wp14:anchorId="7B6185F4" wp14:editId="49C9E2E9">
          <wp:simplePos x="0" y="0"/>
          <wp:positionH relativeFrom="column">
            <wp:posOffset>4423410</wp:posOffset>
          </wp:positionH>
          <wp:positionV relativeFrom="paragraph">
            <wp:posOffset>19518</wp:posOffset>
          </wp:positionV>
          <wp:extent cx="248285" cy="298450"/>
          <wp:effectExtent l="0" t="0" r="0" b="6350"/>
          <wp:wrapNone/>
          <wp:docPr id="2052770984" name="Picture 2052770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1552" behindDoc="0" locked="0" layoutInCell="1" allowOverlap="1" wp14:anchorId="3BC1C776" wp14:editId="0A925E41">
              <wp:simplePos x="0" y="0"/>
              <wp:positionH relativeFrom="column">
                <wp:posOffset>-1392883</wp:posOffset>
              </wp:positionH>
              <wp:positionV relativeFrom="paragraph">
                <wp:posOffset>352841</wp:posOffset>
              </wp:positionV>
              <wp:extent cx="6065760" cy="0"/>
              <wp:effectExtent l="0" t="0" r="0" b="0"/>
              <wp:wrapNone/>
              <wp:docPr id="34" name="Straight Connector 34"/>
              <wp:cNvGraphicFramePr/>
              <a:graphic xmlns:a="http://schemas.openxmlformats.org/drawingml/2006/main">
                <a:graphicData uri="http://schemas.microsoft.com/office/word/2010/wordprocessingShape">
                  <wps:wsp>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3398AB" id="Straight Connector 34" o:spid="_x0000_s1026" style="position:absolute;left:0;text-align:lef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7pt,27.8pt" to="367.9pt,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SIV/gEAAFIEAAAOAAAAZHJzL2Uyb0RvYy54bWysVE1vGyEQvVfqf0Dc612nsdOuvM7BUdJD&#10;P6ym/QGEBS8SMAiId/3vO8B6kzS9tOoFwXy8mfcY2FyPRpOj8EGBbelyUVMiLIdO2UNLf/64ffeB&#10;khCZ7ZgGK1p6EoFeb9++2QyuERfQg+6EJwhiQzO4lvYxuqaqAu+FYWEBTlh0SvCGRTz6Q9V5NiC6&#10;0dVFXa+rAXznPHARAlpvipNuM76UgsdvUgYRiW4p9hbz6vP6kNZqu2HNwTPXKz61wf6hC8OUxaIz&#10;1A2LjDx69QrKKO4hgIwLDqYCKRUXmQOyWda/sbnvmROZC4oT3CxT+H+w/Otx74nqWvr+khLLDN7R&#10;ffRMHfpIdmAtKgieoBOVGlxoMGFn9346Bbf3ifYovSFSK/cJhyALgdTImHU+zTqLMRKOxnW9Xl2t&#10;8Tr42VcViATlfIh3AgxJm5ZqZZMErGHHzyFiWQw9hySztmTA5pdXqxwVQKvuVmmdfHmKxE57cmR4&#10;/3EsrelH8wW6Yvu4qutpCtCMs1LMZysWm0Fy6Wf46NMWjUmVokPexZMWpbHvQqKyyLeUnYFKCca5&#10;sHGZdM1IGJ3SJPY+J9aFU3oMTzReJk7xKVXkef+b5DkjVwYb52SjLPg/VU8ilpZliT8rUHgnCR6g&#10;O+UJydLg4GaG0yNLL+P5Oac/fQXbXwAAAP//AwBQSwMEFAAGAAgAAAAhAEsGiMHgAAAACgEAAA8A&#10;AABkcnMvZG93bnJldi54bWxMj8tOwzAQRfdI/IM1SOxaJ4UUCHEqikBFSAj1wd6NhyRqPI5i58Hf&#10;M4gFLGfm6M652WqyjRiw87UjBfE8AoFUOFNTqeCwf57dgvBBk9GNI1TwhR5W+flZplPjRtrisAul&#10;4BDyqVZQhdCmUvqiQqv93LVIfPt0ndWBx66UptMjh9tGLqJoKa2uiT9UusXHCovTrrcK3j420+sw&#10;FuthHe9Pm/5le3h/qpS6vJge7kEEnMIfDD/6rA45Ox1dT8aLRsFsEd9dM6sgSZYgmLi5SrjM8Xch&#10;80z+r5B/AwAA//8DAFBLAQItABQABgAIAAAAIQC2gziS/gAAAOEBAAATAAAAAAAAAAAAAAAAAAAA&#10;AABbQ29udGVudF9UeXBlc10ueG1sUEsBAi0AFAAGAAgAAAAhADj9If/WAAAAlAEAAAsAAAAAAAAA&#10;AAAAAAAALwEAAF9yZWxzLy5yZWxzUEsBAi0AFAAGAAgAAAAhAM9NIhX+AQAAUgQAAA4AAAAAAAAA&#10;AAAAAAAALgIAAGRycy9lMm9Eb2MueG1sUEsBAi0AFAAGAAgAAAAhAEsGiMHgAAAACgEAAA8AAAAA&#10;AAAAAAAAAAAAWAQAAGRycy9kb3ducmV2LnhtbFBLBQYAAAAABAAEAPMAAABlBQAAAAA=&#10;" strokecolor="#0d0d0d [3069]" strokeweight=".25p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01969" w14:textId="77777777" w:rsidR="00CB22A1" w:rsidRPr="00D15500" w:rsidRDefault="00CB22A1" w:rsidP="005B4811">
    <w:pPr>
      <w:pStyle w:val="a8"/>
      <w:tabs>
        <w:tab w:val="clear" w:pos="4153"/>
        <w:tab w:val="clear" w:pos="8306"/>
        <w:tab w:val="center" w:pos="457"/>
      </w:tabs>
      <w:spacing w:line="312" w:lineRule="auto"/>
      <w:jc w:val="left"/>
      <w:rPr>
        <w:rFonts w:ascii="Tahoma" w:hAnsi="Tahoma" w:cs="Tahoma"/>
        <w:color w:val="002060"/>
        <w:sz w:val="18"/>
        <w:szCs w:val="18"/>
        <w:rtl/>
      </w:rPr>
    </w:pPr>
    <w:r>
      <w:rPr>
        <w:rFonts w:ascii="Tahoma" w:hAnsi="Tahoma" w:cs="Tahoma"/>
        <w:noProof/>
        <w:sz w:val="24"/>
      </w:rPr>
      <w:drawing>
        <wp:anchor distT="0" distB="0" distL="114300" distR="114300" simplePos="0" relativeHeight="251658240" behindDoc="0" locked="0" layoutInCell="1" allowOverlap="1" wp14:anchorId="6BA65175" wp14:editId="78E50478">
          <wp:simplePos x="0" y="0"/>
          <wp:positionH relativeFrom="column">
            <wp:posOffset>1509601</wp:posOffset>
          </wp:positionH>
          <wp:positionV relativeFrom="paragraph">
            <wp:posOffset>-19685</wp:posOffset>
          </wp:positionV>
          <wp:extent cx="379095" cy="250190"/>
          <wp:effectExtent l="0" t="0" r="1905" b="0"/>
          <wp:wrapTopAndBottom/>
          <wp:docPr id="247851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23033" name="mevaker-semel.new-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79095" cy="250190"/>
                  </a:xfrm>
                  <a:prstGeom prst="rect">
                    <a:avLst/>
                  </a:prstGeom>
                </pic:spPr>
              </pic:pic>
            </a:graphicData>
          </a:graphic>
          <wp14:sizeRelH relativeFrom="page">
            <wp14:pctWidth>0</wp14:pctWidth>
          </wp14:sizeRelH>
          <wp14:sizeRelV relativeFrom="page">
            <wp14:pctHeight>0</wp14:pctHeight>
          </wp14:sizeRelV>
        </wp:anchor>
      </w:drawing>
    </w:r>
    <w:r w:rsidRPr="005B4811">
      <w:rPr>
        <w:rFonts w:ascii="Tahoma" w:hAnsi="Tahoma" w:cs="Tahoma"/>
        <w:noProof/>
        <w:color w:val="002060"/>
        <w:sz w:val="18"/>
        <w:szCs w:val="18"/>
        <w:rtl/>
      </w:rPr>
      <mc:AlternateContent>
        <mc:Choice Requires="wps">
          <w:drawing>
            <wp:anchor distT="45720" distB="45720" distL="114300" distR="114300" simplePos="0" relativeHeight="251657216" behindDoc="0" locked="0" layoutInCell="1" allowOverlap="1" wp14:anchorId="3B115B17" wp14:editId="04E9617D">
              <wp:simplePos x="0" y="0"/>
              <wp:positionH relativeFrom="margin">
                <wp:posOffset>-87836</wp:posOffset>
              </wp:positionH>
              <wp:positionV relativeFrom="paragraph">
                <wp:posOffset>-17145</wp:posOffset>
              </wp:positionV>
              <wp:extent cx="1641475" cy="284480"/>
              <wp:effectExtent l="0" t="0" r="0" b="1270"/>
              <wp:wrapSquare wrapText="bothSides"/>
              <wp:docPr id="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41475" cy="284480"/>
                      </a:xfrm>
                      <a:prstGeom prst="rect">
                        <a:avLst/>
                      </a:prstGeom>
                      <a:solidFill>
                        <a:srgbClr val="FFFFFF"/>
                      </a:solidFill>
                      <a:ln w="9525">
                        <a:noFill/>
                        <a:miter lim="800000"/>
                        <a:headEnd/>
                        <a:tailEnd/>
                      </a:ln>
                    </wps:spPr>
                    <wps:txbx>
                      <w:txbxContent>
                        <w:p w14:paraId="00ACE667" w14:textId="77777777" w:rsidR="00CB22A1" w:rsidRPr="005B4811" w:rsidRDefault="00CB22A1" w:rsidP="005B4811">
                          <w:pPr>
                            <w:rPr>
                              <w:rtl/>
                            </w:rPr>
                          </w:pPr>
                          <w:r w:rsidRPr="00D15500">
                            <w:rPr>
                              <w:rFonts w:ascii="Tahoma" w:hAnsi="Tahoma" w:cs="Tahoma" w:hint="cs"/>
                              <w:color w:val="002060"/>
                              <w:sz w:val="18"/>
                              <w:szCs w:val="18"/>
                              <w:rtl/>
                            </w:rPr>
                            <w:t xml:space="preserve">מבקר המדינה, </w:t>
                          </w:r>
                          <w:r w:rsidRPr="00D15500">
                            <w:rPr>
                              <w:rFonts w:ascii="Tahoma" w:hAnsi="Tahoma" w:cs="Tahoma"/>
                              <w:color w:val="002060"/>
                              <w:sz w:val="18"/>
                              <w:szCs w:val="18"/>
                              <w:rtl/>
                            </w:rPr>
                            <w:t>דוח</w:t>
                          </w:r>
                          <w:r w:rsidRPr="00D15500">
                            <w:rPr>
                              <w:rFonts w:ascii="Tahoma" w:hAnsi="Tahoma" w:cs="Tahoma" w:hint="cs"/>
                              <w:color w:val="002060"/>
                              <w:sz w:val="18"/>
                              <w:szCs w:val="18"/>
                              <w:rtl/>
                            </w:rPr>
                            <w:t xml:space="preserve"> שנתי</w:t>
                          </w:r>
                          <w:r w:rsidRPr="00D15500">
                            <w:rPr>
                              <w:rFonts w:ascii="Tahoma" w:hAnsi="Tahoma" w:cs="Tahoma"/>
                              <w:color w:val="002060"/>
                              <w:sz w:val="18"/>
                              <w:szCs w:val="18"/>
                              <w:rtl/>
                            </w:rPr>
                            <w:t xml:space="preserve"> </w:t>
                          </w:r>
                          <w:proofErr w:type="spellStart"/>
                          <w:r w:rsidRPr="00D15500">
                            <w:rPr>
                              <w:rFonts w:ascii="Tahoma" w:hAnsi="Tahoma" w:cs="Tahoma"/>
                              <w:color w:val="002060"/>
                              <w:sz w:val="18"/>
                              <w:szCs w:val="18"/>
                              <w:rtl/>
                            </w:rPr>
                            <w:t>70א</w:t>
                          </w:r>
                          <w:proofErr w:type="spellEnd"/>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type w14:anchorId="3B115B17" id="_x0000_t202" coordsize="21600,21600" o:spt="202" path="m,l,21600r21600,l21600,xe">
              <v:stroke joinstyle="miter"/>
              <v:path gradientshapeok="t" o:connecttype="rect"/>
            </v:shapetype>
            <v:shape id="תיבת טקסט 2" o:spid="_x0000_s1041" type="#_x0000_t202" style="position:absolute;left:0;text-align:left;margin-left:-6.9pt;margin-top:-1.35pt;width:129.25pt;height:22.4pt;flip:x;z-index:25165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80zt9AEAALkDAAAOAAAAZHJzL2Uyb0RvYy54bWysU8uOGyEQvEfKPyDu8diW7Tgjj1eJN04O&#13;&#10;m4e02Q/AwHhQgCYN9ozz9Wmw1xttbqtwQDya6q7qYnUzOMuOGqMB3/DJaMyZ9hKU8fuGP/zYvlly&#13;&#10;FpPwSljwuuEnHfnN+vWrVR9qPYUOrNLICMTHug8N71IKdVVF2Wkn4giC9nTZAjqRaIv7SqHoCd3Z&#13;&#10;ajoeL6oeUAUEqWOk09vzJV8X/LbVMn1r26gTsw2n2lKZscy7PFfrlaj3KEJn5KUM8YIqnDCekl6h&#13;&#10;bkUS7IDmHyhnJEKENo0kuAra1khdOBCbyfgZm/tOBF24kDgxXGWK/w9Wfj3eh+/I0vABBmpgIRHD&#13;&#10;HcifkXnYdMLv9XtE6DstFCWeZMmqPsT68jRLHeuYQXb9F1DUZHFIUICGFh1rrQmfH6GJMaM81IrT&#13;&#10;VX49JCZz8sVsMns750zS3XQ5my1LfypRZ5ysbsCYPmlwLC8ajtTekkcc72LKdT2F5PAI1qitsbZs&#13;&#10;cL/bWGRHQVbYllGoPAuznvUNfzefzguyh/y+uMSZRFa1xjV8Oc7jbJ6sy0evSkgSxp7XVIn1F6Gy&#13;&#10;NmeV0rAbmFENX+S3WbcdqBMph3B2Jv0kWnSAvznryZUNj78OAjVnwks6bnh6XG5SsXFmnYHIH4X/&#13;&#10;xcvZgH/vS9TTj1v/AQAA//8DAFBLAwQUAAYACAAAACEAJldQMuQAAAAOAQAADwAAAGRycy9kb3du&#13;&#10;cmV2LnhtbEyPT0/DMAzF70h8h8hIXNCWtpQBXdMJAdt9BfHnljWmrWic0mRd2afHnOBiPcv28+/l&#13;&#10;q8l2YsTBt44UxPMIBFLlTEu1guen9ewGhA+ajO4coYJv9LAqTk9ynRl3oC2OZagFm5DPtIImhD6T&#13;&#10;0lcNWu3nrkfi2YcbrA7cDrU0gz6wue1kEkULaXVL/KHRPd43WH2We6vg+DqWX2/v2+TlYn0bpiu3&#13;&#10;WRwfrVLnZ9PDksvdEkTAKfxdwG8G5oeCwXZuT8aLTsEsvmT+wCK5BsELSZqy2ClIkxhkkcv/MYof&#13;&#10;AAAA//8DAFBLAQItABQABgAIAAAAIQC2gziS/gAAAOEBAAATAAAAAAAAAAAAAAAAAAAAAABbQ29u&#13;&#10;dGVudF9UeXBlc10ueG1sUEsBAi0AFAAGAAgAAAAhADj9If/WAAAAlAEAAAsAAAAAAAAAAAAAAAAA&#13;&#10;LwEAAF9yZWxzLy5yZWxzUEsBAi0AFAAGAAgAAAAhAJnzTO30AQAAuQMAAA4AAAAAAAAAAAAAAAAA&#13;&#10;LgIAAGRycy9lMm9Eb2MueG1sUEsBAi0AFAAGAAgAAAAhACZXUDLkAAAADgEAAA8AAAAAAAAAAAAA&#13;&#10;AAAATgQAAGRycy9kb3ducmV2LnhtbFBLBQYAAAAABAAEAPMAAABfBQAAAAA=&#13;&#10;" stroked="f">
              <v:textbox>
                <w:txbxContent>
                  <w:p w14:paraId="00ACE667" w14:textId="77777777" w:rsidR="00CB22A1" w:rsidRPr="005B4811" w:rsidRDefault="00CB22A1" w:rsidP="005B4811">
                    <w:pPr>
                      <w:rPr>
                        <w:rtl/>
                      </w:rPr>
                    </w:pPr>
                    <w:r w:rsidRPr="00D15500">
                      <w:rPr>
                        <w:rFonts w:ascii="Tahoma" w:hAnsi="Tahoma" w:cs="Tahoma" w:hint="cs"/>
                        <w:color w:val="002060"/>
                        <w:sz w:val="18"/>
                        <w:szCs w:val="18"/>
                        <w:rtl/>
                      </w:rPr>
                      <w:t xml:space="preserve">מבקר המדינה, </w:t>
                    </w:r>
                    <w:r w:rsidRPr="00D15500">
                      <w:rPr>
                        <w:rFonts w:ascii="Tahoma" w:hAnsi="Tahoma" w:cs="Tahoma"/>
                        <w:color w:val="002060"/>
                        <w:sz w:val="18"/>
                        <w:szCs w:val="18"/>
                        <w:rtl/>
                      </w:rPr>
                      <w:t>דוח</w:t>
                    </w:r>
                    <w:r w:rsidRPr="00D15500">
                      <w:rPr>
                        <w:rFonts w:ascii="Tahoma" w:hAnsi="Tahoma" w:cs="Tahoma" w:hint="cs"/>
                        <w:color w:val="002060"/>
                        <w:sz w:val="18"/>
                        <w:szCs w:val="18"/>
                        <w:rtl/>
                      </w:rPr>
                      <w:t xml:space="preserve"> שנתי</w:t>
                    </w:r>
                    <w:r w:rsidRPr="00D15500">
                      <w:rPr>
                        <w:rFonts w:ascii="Tahoma" w:hAnsi="Tahoma" w:cs="Tahoma"/>
                        <w:color w:val="002060"/>
                        <w:sz w:val="18"/>
                        <w:szCs w:val="18"/>
                        <w:rtl/>
                      </w:rPr>
                      <w:t xml:space="preserve"> </w:t>
                    </w:r>
                    <w:proofErr w:type="spellStart"/>
                    <w:r w:rsidRPr="00D15500">
                      <w:rPr>
                        <w:rFonts w:ascii="Tahoma" w:hAnsi="Tahoma" w:cs="Tahoma"/>
                        <w:color w:val="002060"/>
                        <w:sz w:val="18"/>
                        <w:szCs w:val="18"/>
                        <w:rtl/>
                      </w:rPr>
                      <w:t>70א</w:t>
                    </w:r>
                    <w:proofErr w:type="spellEnd"/>
                  </w:p>
                </w:txbxContent>
              </v:textbox>
              <w10:wrap type="square" anchorx="margin"/>
            </v:shape>
          </w:pict>
        </mc:Fallback>
      </mc:AlternateContent>
    </w:r>
    <w:r w:rsidRPr="005B4811">
      <w:rPr>
        <w:rFonts w:ascii="Tahoma" w:hAnsi="Tahoma" w:cs="Tahoma"/>
        <w:noProof/>
        <w:color w:val="002060"/>
        <w:sz w:val="18"/>
        <w:szCs w:val="18"/>
        <w:rtl/>
      </w:rPr>
      <mc:AlternateContent>
        <mc:Choice Requires="wps">
          <w:drawing>
            <wp:anchor distT="45720" distB="45720" distL="114300" distR="114300" simplePos="0" relativeHeight="251655168" behindDoc="0" locked="0" layoutInCell="1" allowOverlap="1" wp14:anchorId="7228728C" wp14:editId="37EE07EA">
              <wp:simplePos x="0" y="0"/>
              <wp:positionH relativeFrom="column">
                <wp:posOffset>4078399</wp:posOffset>
              </wp:positionH>
              <wp:positionV relativeFrom="paragraph">
                <wp:posOffset>-11430</wp:posOffset>
              </wp:positionV>
              <wp:extent cx="895985" cy="1570355"/>
              <wp:effectExtent l="0" t="0" r="0" b="6350"/>
              <wp:wrapSquare wrapText="bothSides"/>
              <wp:docPr id="21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95985" cy="1570355"/>
                      </a:xfrm>
                      <a:prstGeom prst="rect">
                        <a:avLst/>
                      </a:prstGeom>
                      <a:solidFill>
                        <a:srgbClr val="FFFFFF"/>
                      </a:solidFill>
                      <a:ln w="9525">
                        <a:noFill/>
                        <a:miter lim="800000"/>
                        <a:headEnd/>
                        <a:tailEnd/>
                      </a:ln>
                    </wps:spPr>
                    <wps:txbx>
                      <w:txbxContent>
                        <w:p w14:paraId="68AEB69D" w14:textId="77777777" w:rsidR="00CB22A1" w:rsidRPr="005B4811" w:rsidRDefault="00CB22A1" w:rsidP="005B4811">
                          <w:pPr>
                            <w:rPr>
                              <w:rtl/>
                              <w:cs/>
                            </w:rPr>
                          </w:pPr>
                          <w:r w:rsidRPr="005B4811">
                            <w:rPr>
                              <w:rFonts w:ascii="Tahoma" w:hAnsi="Tahoma" w:cs="Tahoma" w:hint="cs"/>
                              <w:color w:val="002060"/>
                              <w:sz w:val="18"/>
                              <w:szCs w:val="18"/>
                              <w:rtl/>
                            </w:rPr>
                            <w:t>מדינת ישראל</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28728C" id="_x0000_s1042" type="#_x0000_t202" style="position:absolute;left:0;text-align:left;margin-left:321.15pt;margin-top:-.9pt;width:70.55pt;height:123.65pt;flip:x;z-index:251655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TCh/QEAANMDAAAOAAAAZHJzL2Uyb0RvYy54bWysU02P2yAQvVfqf0DcGzup3E2sOKtttmkP&#13;&#10;222lbX8AARyjAkOBxE5/fQfsTfpxq8oBzcDwZubNY307GE1O0gcFtqHzWUmJtByEsoeGfv2ye7Wk&#13;&#10;JERmBdNgZUPPMtDbzcsX697VcgEdaCE9QRAb6t41tIvR1UUReCcNCzNw0uJlC96wiK4/FMKzHtGN&#13;&#10;LhZl+abowQvngcsQ8PR+vKSbjN+2ksdPbRtkJLqhWFvMu8/7Pu3FZs3qg2euU3wqg/1DFYYpi0kv&#13;&#10;UPcsMnL06i8oo7iHAG2ccTAFtK3iMveA3czLP7p56piTuRckJ7gLTeH/wfLH05P77Ekc3sKAA8xN&#13;&#10;BPcA/FsgFrYdswd55z30nWQCE88TZUXvQj09TVSHOiSQff8RBA6ZHSNkoKH1hrRauQ/P0NgxwTw4&#13;&#10;ivOFfjlEwvFwuapWy4oSjlfz6qZ8XVU5GasTTmLX+RDfSzAkGQ31ON6ch50eQkx1XUNSeACtxE5p&#13;&#10;nR1/2G+1JyeGUtjlNaH/FqYt6Ru6qhZVRraQ3meVGBVRqloZrLRMaxRP4uWdFTkkMqVHGyvRdiIq&#13;&#10;cTOyFIf9QJRo6E16m3jbgzgjcx5GZeJPQqMD/4OSHlXZ0PD9yLykhFmOxw2Nz+Y2Zhnn1twdMr5T&#13;&#10;mYIr6pQelZOZmVSepPmrn6Ouf3HzEwAA//8DAFBLAwQUAAYACAAAACEA06vjvucAAAAPAQAADwAA&#13;&#10;AGRycy9kb3ducmV2LnhtbEyPQU+DQBCF7yb+h82YeDHtUgqlUpaGaLw0TbS1hx637ApEdpaw2wL/&#13;&#10;3vGkl0km8+a992Xb0bTspnvXWBSwmAfANJZWNVgJOH2+zdbAnJeoZGtRC5i0g21+f5fJVNkBD/p2&#13;&#10;9BUjE3SpFFB736Wcu7LWRrq57TTS7cv2Rnpa+4qrXg5kbloeBsGKG9kgJdSy0y+1Lr+PVyMgTKLd&#13;&#10;vogPz8l78jRMu7YopvOHEI8P4+uGRrEB5vXo/z7gl4H6Q07FLvaKyrFWwCoKlyQVMFsQBwmS9TIC&#13;&#10;dqGIKI6B5xn/z5H/AAAA//8DAFBLAQItABQABgAIAAAAIQC2gziS/gAAAOEBAAATAAAAAAAAAAAA&#13;&#10;AAAAAAAAAABbQ29udGVudF9UeXBlc10ueG1sUEsBAi0AFAAGAAgAAAAhADj9If/WAAAAlAEAAAsA&#13;&#10;AAAAAAAAAAAAAAAALwEAAF9yZWxzLy5yZWxzUEsBAi0AFAAGAAgAAAAhAIJtMKH9AQAA0wMAAA4A&#13;&#10;AAAAAAAAAAAAAAAALgIAAGRycy9lMm9Eb2MueG1sUEsBAi0AFAAGAAgAAAAhANOr477nAAAADwEA&#13;&#10;AA8AAAAAAAAAAAAAAAAAVwQAAGRycy9kb3ducmV2LnhtbFBLBQYAAAAABAAEAPMAAABrBQAAAAA=&#13;&#10;" stroked="f">
              <v:textbox style="mso-fit-shape-to-text:t">
                <w:txbxContent>
                  <w:p w14:paraId="68AEB69D" w14:textId="77777777" w:rsidR="00CB22A1" w:rsidRPr="005B4811" w:rsidRDefault="00CB22A1" w:rsidP="005B4811">
                    <w:pPr>
                      <w:rPr>
                        <w:rtl/>
                        <w:cs/>
                      </w:rPr>
                    </w:pPr>
                    <w:r w:rsidRPr="005B4811">
                      <w:rPr>
                        <w:rFonts w:ascii="Tahoma" w:hAnsi="Tahoma" w:cs="Tahoma" w:hint="cs"/>
                        <w:color w:val="002060"/>
                        <w:sz w:val="18"/>
                        <w:szCs w:val="18"/>
                        <w:rtl/>
                      </w:rPr>
                      <w:t>מדינת ישראל</w:t>
                    </w:r>
                  </w:p>
                </w:txbxContent>
              </v:textbox>
              <w10:wrap type="square"/>
            </v:shape>
          </w:pict>
        </mc:Fallback>
      </mc:AlternateContent>
    </w:r>
    <w:r>
      <w:rPr>
        <w:rFonts w:ascii="Tahoma" w:hAnsi="Tahoma" w:cs="Tahoma"/>
        <w:noProof/>
        <w:szCs w:val="18"/>
      </w:rPr>
      <w:drawing>
        <wp:anchor distT="0" distB="0" distL="114300" distR="114300" simplePos="0" relativeHeight="251659264" behindDoc="0" locked="0" layoutInCell="1" allowOverlap="1" wp14:anchorId="0C55D6D8" wp14:editId="41B25C72">
          <wp:simplePos x="0" y="0"/>
          <wp:positionH relativeFrom="column">
            <wp:posOffset>4955969</wp:posOffset>
          </wp:positionH>
          <wp:positionV relativeFrom="paragraph">
            <wp:posOffset>-43815</wp:posOffset>
          </wp:positionV>
          <wp:extent cx="245110" cy="301625"/>
          <wp:effectExtent l="0" t="0" r="2540" b="3175"/>
          <wp:wrapSquare wrapText="bothSides"/>
          <wp:docPr id="24785182" name="Picture 76591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13876" name="israel-blue.1.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45110" cy="301625"/>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4BB47" w14:textId="77777777" w:rsidR="0078740E" w:rsidRDefault="0078740E">
    <w:pPr>
      <w:pStyle w:val="a8"/>
      <w:rPr>
        <w:rtl/>
      </w:rPr>
    </w:pPr>
    <w:r>
      <w:rPr>
        <w:noProof/>
        <w:rtl/>
        <w:lang w:val="he-IL"/>
      </w:rPr>
      <mc:AlternateContent>
        <mc:Choice Requires="wps">
          <w:drawing>
            <wp:anchor distT="0" distB="0" distL="114300" distR="114300" simplePos="0" relativeHeight="251726848" behindDoc="1" locked="0" layoutInCell="1" allowOverlap="1" wp14:anchorId="0B3B5F5D" wp14:editId="7FC61878">
              <wp:simplePos x="0" y="0"/>
              <wp:positionH relativeFrom="margin">
                <wp:posOffset>-954405</wp:posOffset>
              </wp:positionH>
              <wp:positionV relativeFrom="margin">
                <wp:posOffset>-1051560</wp:posOffset>
              </wp:positionV>
              <wp:extent cx="6480000" cy="9000000"/>
              <wp:effectExtent l="0" t="0" r="16510" b="10795"/>
              <wp:wrapNone/>
              <wp:docPr id="24785179" name="Text Box 47"/>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792B7D34" w14:textId="77777777" w:rsidR="0078740E" w:rsidRPr="00DE3ECA" w:rsidRDefault="0078740E" w:rsidP="006E67D8">
                          <w:pPr>
                            <w:rPr>
                              <w:color w:val="FFFFFF" w:themeColor="background1"/>
                              <w14:textOutline w14:w="12700" w14:cap="rnd" w14:cmpd="dbl" w14:algn="ctr">
                                <w14:solidFill>
                                  <w14:srgbClr w14:val="00B050"/>
                                </w14:solidFill>
                                <w14:prstDash w14:val="sys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B5F5D" id="_x0000_t202" coordsize="21600,21600" o:spt="202" path="m,l,21600r21600,l21600,xe">
              <v:stroke joinstyle="miter"/>
              <v:path gradientshapeok="t" o:connecttype="rect"/>
            </v:shapetype>
            <v:shape id="Text Box 47" o:spid="_x0000_s1043" type="#_x0000_t202" style="position:absolute;left:0;text-align:left;margin-left:-75.15pt;margin-top:-82.8pt;width:510.25pt;height:708.65pt;z-index:-2515896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QE5sSAIAAJoEAAAOAAAAZHJzL2Uyb0RvYy54bWysVEuP2jAQvlfqf7B8LyEUWBYRVhREVYnu&#13;&#10;rsRWezaOTSI5Htc2JPTXd+yEx257qsrBzHg+z+ObmcwemkqRo7CuBJ3RtNenRGgOean3Gf3xsv40&#13;&#10;ocR5pnOmQIuMnoSjD/OPH2a1mYoBFKByYQk60W5am4wW3ptpkjheiIq5Hhih0SjBVsyjavdJblmN&#13;&#10;3iuVDPr9cVKDzY0FLpzD21VrpPPoX0rB/ZOUTniiMoq5+XjaeO7CmcxnbLq3zBQl79Jg/5BFxUqN&#13;&#10;QS+uVswzcrDlH66qkltwIH2PQ5WAlCUXsQasJu2/q2ZbMCNiLUiOMxea3P9zyx+PW/NsiW++QIMN&#13;&#10;DITUxk0dXoZ6Gmmr8I+ZErQjhacLbaLxhOPleDjp448Sjrb7IKKCfpLrc2Od/yqgIkHIqMW+RLrY&#13;&#10;ceN8Cz1DQjQN61Kp2BulSZ3Rz+ndKD5woMo8GAMsTolYKkuODPu726cRow7Vd8jbu/HomswFHlN7&#13;&#10;4ykEXzFXtI/UPshdCUoj/EpJkHyza0iZZ3RypmsH+QlZtNAOmDN8XaLLDXP+mVmcKGQHt8Q/4SEV&#13;&#10;YEXQSZQUYH/97T7gsdFopaTGCc2o+3lgVlCivmkcgft0OAwjHZXh6G6Air217G4t+lAtAUlKcR8N&#13;&#10;j2LAe3UWpYXqFZdpEaKiiWmOsTPqz+LSt3uDy8jFYhFBOMSG+Y3eGh5ch6YEKl+aV2ZN12yPc/II&#13;&#10;51lm03c9b7Ft1xcHD7KMAxF4blnt6McFiH3rljVs2K0eUddPyvw3AAAA//8DAFBLAwQUAAYACAAA&#13;&#10;ACEAsvljleYAAAATAQAADwAAAGRycy9kb3ducmV2LnhtbEyPQW/CMAyF75P2HyIj7QZJu7Wg0hSh&#13;&#10;TUgTnNaNe2hCW9E4VRNKt18/c9ouli1/fn4v30y2Y6MZfOtQQrQQwAxWTrdYS/j63M1XwHxQqFXn&#13;&#10;0Ej4Nh42xeNDrjLtbvhhxjLUjETQZ0pCE0Kfce6rxljlF643SLuzG6wKNA4114O6kbjteCxEyq1q&#13;&#10;kT40qjevjaku5dVKqOwL7sPxsv8ZD+VWi8PxvRp3Uj7Nprc1le0aWDBT+LuAewbyDwUZO7kras86&#13;&#10;CfMoEc/E3rs0SYERs1qKGNiJ4DiJlsCLnP/PUvwCAAD//wMAUEsBAi0AFAAGAAgAAAAhALaDOJL+&#13;&#10;AAAA4QEAABMAAAAAAAAAAAAAAAAAAAAAAFtDb250ZW50X1R5cGVzXS54bWxQSwECLQAUAAYACAAA&#13;&#10;ACEAOP0h/9YAAACUAQAACwAAAAAAAAAAAAAAAAAvAQAAX3JlbHMvLnJlbHNQSwECLQAUAAYACAAA&#13;&#10;ACEAdkBObEgCAACaBAAADgAAAAAAAAAAAAAAAAAuAgAAZHJzL2Uyb0RvYy54bWxQSwECLQAUAAYA&#13;&#10;CAAAACEAsvljleYAAAATAQAADwAAAAAAAAAAAAAAAACiBAAAZHJzL2Rvd25yZXYueG1sUEsFBgAA&#13;&#10;AAAEAAQA8wAAALUFAAAAAA==&#13;&#10;" filled="f" strokecolor="#a5a5a5 [2092]" strokeweight=".25pt">
              <v:stroke dashstyle="longDash"/>
              <v:textbox>
                <w:txbxContent>
                  <w:p w14:paraId="792B7D34" w14:textId="77777777" w:rsidR="0078740E" w:rsidRPr="00DE3ECA" w:rsidRDefault="0078740E" w:rsidP="006E67D8">
                    <w:pPr>
                      <w:rPr>
                        <w:color w:val="FFFFFF" w:themeColor="background1"/>
                        <w14:textOutline w14:w="12700" w14:cap="rnd" w14:cmpd="dbl" w14:algn="ctr">
                          <w14:solidFill>
                            <w14:srgbClr w14:val="00B050"/>
                          </w14:solidFill>
                          <w14:prstDash w14:val="sysDash"/>
                          <w14:bevel/>
                        </w14:textOutline>
                      </w:rPr>
                    </w:pPr>
                  </w:p>
                </w:txbxContent>
              </v:textbox>
              <w10:wrap anchorx="margin" anchory="margin"/>
            </v:shape>
          </w:pict>
        </mc:Fallback>
      </mc:AlternateContent>
    </w:r>
  </w:p>
  <w:p w14:paraId="78314345" w14:textId="77777777" w:rsidR="0078740E" w:rsidRDefault="0078740E">
    <w:pPr>
      <w:pStyle w:val="a8"/>
      <w:rPr>
        <w:rtl/>
      </w:rPr>
    </w:pPr>
  </w:p>
  <w:p w14:paraId="14EE9BEA" w14:textId="77777777" w:rsidR="0078740E" w:rsidRDefault="0078740E">
    <w:pPr>
      <w:pStyle w:val="a8"/>
      <w:rPr>
        <w:rtl/>
      </w:rPr>
    </w:pPr>
  </w:p>
  <w:p w14:paraId="20E01E93" w14:textId="77777777" w:rsidR="0078740E" w:rsidRDefault="0078740E">
    <w:pPr>
      <w:pStyle w:val="a8"/>
      <w:rPr>
        <w:rtl/>
      </w:rPr>
    </w:pPr>
    <w:r w:rsidRPr="006637B9">
      <w:rPr>
        <w:rFonts w:ascii="Tahoma" w:hAnsi="Tahoma" w:cs="Tahoma"/>
        <w:noProof/>
        <w:color w:val="002060"/>
        <w:sz w:val="18"/>
        <w:szCs w:val="18"/>
      </w:rPr>
      <mc:AlternateContent>
        <mc:Choice Requires="wps">
          <w:drawing>
            <wp:anchor distT="0" distB="0" distL="114300" distR="114300" simplePos="0" relativeHeight="251725824" behindDoc="0" locked="0" layoutInCell="1" allowOverlap="1" wp14:anchorId="6DA5C1CE" wp14:editId="0B08F2C0">
              <wp:simplePos x="0" y="0"/>
              <wp:positionH relativeFrom="column">
                <wp:posOffset>-106680</wp:posOffset>
              </wp:positionH>
              <wp:positionV relativeFrom="paragraph">
                <wp:posOffset>205105</wp:posOffset>
              </wp:positionV>
              <wp:extent cx="4536440" cy="280670"/>
              <wp:effectExtent l="0" t="0" r="6985" b="6985"/>
              <wp:wrapSquare wrapText="bothSides"/>
              <wp:docPr id="24785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14:paraId="0A5F00C3" w14:textId="77777777" w:rsidR="0078740E" w:rsidRPr="004D562B" w:rsidRDefault="0078740E" w:rsidP="00502FAD">
                          <w:pPr>
                            <w:jc w:val="left"/>
                            <w:rPr>
                              <w:color w:val="0D0D0D"/>
                              <w:sz w:val="16"/>
                              <w:szCs w:val="16"/>
                            </w:rPr>
                          </w:pPr>
                          <w:r w:rsidRPr="005912C3">
                            <w:rPr>
                              <w:rFonts w:ascii="Tahoma" w:hAnsi="Tahoma" w:cs="Tahoma"/>
                              <w:color w:val="0D0D0D" w:themeColor="text1" w:themeTint="F2"/>
                              <w:sz w:val="16"/>
                              <w:szCs w:val="16"/>
                              <w:rtl/>
                            </w:rPr>
                            <w:t>הדוחות הכספיים של מדינת ישראל ליום 31.12.2020 - חייבים ויתרות חובה</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6DA5C1CE" id="_x0000_s1044" type="#_x0000_t202" style="position:absolute;left:0;text-align:left;margin-left:-8.4pt;margin-top:16.15pt;width:357.2pt;height:22.1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0JQEAIAAP0DAAAOAAAAZHJzL2Uyb0RvYy54bWysk99u2yAUxu8n7R0Q94udLElTK07Vpcs0&#13;&#10;qfsjdXsAjHGMhjnsQGJ3T98DTtOou5vmCwQ+8HHO73ysb4bOsKNCr8GWfDrJOVNWQq3tvuQ/f+ze&#13;&#10;rTjzQdhaGLCq5I/K85vN2zfr3hVqBi2YWiEjEeuL3pW8DcEVWeZlqzrhJ+CUpWAD2IlAS9xnNYqe&#13;&#10;1DuTzfJ8mfWAtUOQynv6ezcG+SbpN42S4VvTeBWYKTnlFtKIaazimG3WotijcK2WpzTEP2TRCW3p&#13;&#10;0rPUnQiCHVD/JdVpieChCRMJXQZNo6VKNVA10/xVNQ+tcCrVQnC8O2Py/09Wfj0+uO/IwvABBmpg&#13;&#10;KsK7e5C/PLOwbYXdq1tE6Fslarp4GpFlvfPF6WhE7QsfRar+C9TUZHEIkISGBrtIhepkpE4NeDxD&#13;&#10;V0Ngkn7OF++X8zmFJMVmq3x5lbqSieL5tEMfPinoWJyUHKmpSV0c732I2YjieUu8zIPR9U4bkxa4&#13;&#10;r7YG2VGQAXbpSwW82mYs60t+vZgtkrKFeD55o9OBDGp0V/JVHr/RMpHGR1unLUFoM84pE2NPeCKR&#13;&#10;kU0YqoHpmvTj2UirgvqReCGMfqT3Q5MW8A9nPXmx5P73QaDizHy2xPx6mgCFtJgvrmZECy8j1WVE&#13;&#10;WElSJQ+cjdNtSIZPONwt9WanE7aXTE4pk8cSzdN7iCa+XKddL6928wQAAP//AwBQSwMEFAAGAAgA&#13;&#10;AAAhABzA677kAAAADgEAAA8AAABkcnMvZG93bnJldi54bWxMjzFPwzAQhXck/oN1SGytk1Z1IY1T&#13;&#10;IRAL6kALA6ObHHFIfA6x04Z/zzGV5aTTvXvve/l2cp044RAaTxrSeQICqfRVQ7WG97fn2R2IEA1V&#13;&#10;pvOEGn4wwLa4vspNVvkz7fF0iLVgEwqZ0WBj7DMpQ2nRmTD3PRLfPv3gTOR1qGU1mDObu04ukkRJ&#13;&#10;ZxriBGt6fLRYtofRccgulOPef3+lu1Z+2FaZ1at90fr2Znra8HjYgIg4xcsH/HVgfigY7OhHqoLo&#13;&#10;NMxSxfxRw3KxBMECdb9WII4a1moFssjl/xrFLwAAAP//AwBQSwECLQAUAAYACAAAACEAtoM4kv4A&#13;&#10;AADhAQAAEwAAAAAAAAAAAAAAAAAAAAAAW0NvbnRlbnRfVHlwZXNdLnhtbFBLAQItABQABgAIAAAA&#13;&#10;IQA4/SH/1gAAAJQBAAALAAAAAAAAAAAAAAAAAC8BAABfcmVscy8ucmVsc1BLAQItABQABgAIAAAA&#13;&#10;IQBFN0JQEAIAAP0DAAAOAAAAAAAAAAAAAAAAAC4CAABkcnMvZTJvRG9jLnhtbFBLAQItABQABgAI&#13;&#10;AAAAIQAcwOu+5AAAAA4BAAAPAAAAAAAAAAAAAAAAAGoEAABkcnMvZG93bnJldi54bWxQSwUGAAAA&#13;&#10;AAQABADzAAAAewUAAAAA&#13;&#10;" stroked="f">
              <v:textbox style="mso-fit-shape-to-text:t">
                <w:txbxContent>
                  <w:p w14:paraId="0A5F00C3" w14:textId="77777777" w:rsidR="0078740E" w:rsidRPr="004D562B" w:rsidRDefault="0078740E" w:rsidP="00502FAD">
                    <w:pPr>
                      <w:jc w:val="left"/>
                      <w:rPr>
                        <w:color w:val="0D0D0D"/>
                        <w:sz w:val="16"/>
                        <w:szCs w:val="16"/>
                      </w:rPr>
                    </w:pPr>
                    <w:r w:rsidRPr="005912C3">
                      <w:rPr>
                        <w:rFonts w:ascii="Tahoma" w:hAnsi="Tahoma" w:cs="Tahoma"/>
                        <w:color w:val="0D0D0D" w:themeColor="text1" w:themeTint="F2"/>
                        <w:sz w:val="16"/>
                        <w:szCs w:val="16"/>
                        <w:rtl/>
                      </w:rPr>
                      <w:t>הדוחות הכספיים של מדינת ישראל ליום 31.12.2020 - חייבים ויתרות חובה</w:t>
                    </w:r>
                  </w:p>
                </w:txbxContent>
              </v:textbox>
              <w10:wrap type="square"/>
            </v:shape>
          </w:pict>
        </mc:Fallback>
      </mc:AlternateContent>
    </w:r>
  </w:p>
  <w:p w14:paraId="5101BA94" w14:textId="77777777" w:rsidR="0078740E" w:rsidRDefault="0078740E" w:rsidP="009620E7">
    <w:pPr>
      <w:pStyle w:val="a8"/>
      <w:rPr>
        <w:rtl/>
      </w:rPr>
    </w:pPr>
    <w:r>
      <w:rPr>
        <w:rFonts w:ascii="Tahoma" w:hAnsi="Tahoma" w:cs="Tahoma"/>
        <w:noProof/>
        <w:color w:val="002060"/>
        <w:sz w:val="18"/>
        <w:szCs w:val="18"/>
      </w:rPr>
      <w:drawing>
        <wp:anchor distT="0" distB="0" distL="114300" distR="114300" simplePos="0" relativeHeight="251727872" behindDoc="0" locked="0" layoutInCell="1" allowOverlap="1" wp14:anchorId="71556D6A" wp14:editId="75536827">
          <wp:simplePos x="0" y="0"/>
          <wp:positionH relativeFrom="column">
            <wp:posOffset>4423410</wp:posOffset>
          </wp:positionH>
          <wp:positionV relativeFrom="paragraph">
            <wp:posOffset>19518</wp:posOffset>
          </wp:positionV>
          <wp:extent cx="248285" cy="298450"/>
          <wp:effectExtent l="0" t="0" r="0" b="6350"/>
          <wp:wrapNone/>
          <wp:docPr id="24785197" name="Picture 2478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4800" behindDoc="0" locked="0" layoutInCell="1" allowOverlap="1" wp14:anchorId="1BCF88B2" wp14:editId="03BBD721">
              <wp:simplePos x="0" y="0"/>
              <wp:positionH relativeFrom="column">
                <wp:posOffset>-1392883</wp:posOffset>
              </wp:positionH>
              <wp:positionV relativeFrom="paragraph">
                <wp:posOffset>352841</wp:posOffset>
              </wp:positionV>
              <wp:extent cx="6065760" cy="0"/>
              <wp:effectExtent l="0" t="0" r="0" b="0"/>
              <wp:wrapNone/>
              <wp:docPr id="24785187" name="Straight Connector 24785152"/>
              <wp:cNvGraphicFramePr/>
              <a:graphic xmlns:a="http://schemas.openxmlformats.org/drawingml/2006/main">
                <a:graphicData uri="http://schemas.microsoft.com/office/word/2010/wordprocessingShape">
                  <wps:wsp>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776AFF" id="Straight Connector 24785152" o:spid="_x0000_s1026" style="position:absolute;left:0;text-align:left;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7pt,27.8pt" to="367.9pt,2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BJxK3gEAACEEAAAOAAAAZHJzL2Uyb0RvYy54bWysU8mOGyEQvUfKPyDucbcnsidpuT2HGU1y&#13;&#10;yDLK8gEMXdhIQCFg3O2/TwF2e7JcEuWCoJZX9V4Vm5vJGnaAEDW6ni8XLWfgJA7a7Xr+/dv9qzec&#13;&#10;xSTcIAw66PkRIr/ZvnyxGX0HV7hHM0BgBOJiN/qe71PyXdNEuQcr4gI9OHIqDFYkeoZdMwQxEro1&#13;&#10;zVXbrpsRw+ADSoiRrHfVybcFXymQ6bNSERIzPafeUjlDOR/z2Ww3otsF4fdantoQ/9CFFdpR0Rnq&#13;&#10;TiTBnoL+DcpqGTCiSguJtkGltITCgdgs21/YfN0LD4ULiRP9LFP8f7Dy0+HWPQSSYfSxi/4hZBaT&#13;&#10;CpYpo/17mmnhRZ2yqch2nGWDKTFJxnW7Xl2vSV159jUVIkP5ENM7QMvypedGu8xIdOLwISYqS6Hn&#13;&#10;kGw2jo09f728XpWoiEYP99qY7CtLAbcmsIOgcaaptmae7Eccqu3tqm1PQyUzjb6az1YqNoOU0s/w&#13;&#10;yWccGS86lFs6GqiNfQHF9EB8a9kZqJYQUoJLy7xQBYmic5qi3ufEtnLKu32h8XPiKT6nQlnfv0me&#13;&#10;M0pldGlOttph+FP1LGJtWdX4swKVd5bgEYdj2ZAiDe1hYXj6M3nRn79L+uVnb38AAAD//wMAUEsD&#13;&#10;BBQABgAIAAAAIQBz3zaU5QAAAA8BAAAPAAAAZHJzL2Rvd25yZXYueG1sTI9bT8MwDIXfkfgPkZF4&#13;&#10;29IOukHXdGJcNISEpl14z5rQVGucqkkv/HuMeIAXS7aPj8+XrUZbs163vnIoIJ5GwDQWTlVYCjge&#13;&#10;XiZ3wHyQqGTtUAv40h5W+eVFJlPlBtzpfh9KRiboUynAhNCknPvCaCv91DUaaffpWisDtW3JVSsH&#13;&#10;Mrc1n0XRnFtZIX0wstGPRhfnfWcFvH9sxrd+KNb9Oj6cN93r7rh9NkJcX41PSyoPS2BBj+HvAn4Y&#13;&#10;KD/kFOzkOlSe1QIms/j+lrQCkmQOjBSLm4SITr8Dnmf8P0f+DQAA//8DAFBLAQItABQABgAIAAAA&#13;&#10;IQC2gziS/gAAAOEBAAATAAAAAAAAAAAAAAAAAAAAAABbQ29udGVudF9UeXBlc10ueG1sUEsBAi0A&#13;&#10;FAAGAAgAAAAhADj9If/WAAAAlAEAAAsAAAAAAAAAAAAAAAAALwEAAF9yZWxzLy5yZWxzUEsBAi0A&#13;&#10;FAAGAAgAAAAhADcEnEreAQAAIQQAAA4AAAAAAAAAAAAAAAAALgIAAGRycy9lMm9Eb2MueG1sUEsB&#13;&#10;Ai0AFAAGAAgAAAAhAHPfNpTlAAAADwEAAA8AAAAAAAAAAAAAAAAAOAQAAGRycy9kb3ducmV2Lnht&#13;&#10;bFBLBQYAAAAABAAEAPMAAABKBQAAAAA=&#13;&#10;" strokecolor="#0d0d0d [3069]" strokeweight=".25p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8DB08" w14:textId="77777777" w:rsidR="0078740E" w:rsidRDefault="0078740E" w:rsidP="001526AC">
    <w:pPr>
      <w:pStyle w:val="a8"/>
      <w:tabs>
        <w:tab w:val="clear" w:pos="4153"/>
        <w:tab w:val="clear" w:pos="8306"/>
        <w:tab w:val="left" w:pos="493"/>
        <w:tab w:val="center" w:pos="4111"/>
        <w:tab w:val="right" w:pos="7478"/>
        <w:tab w:val="right" w:pos="8222"/>
      </w:tabs>
      <w:jc w:val="left"/>
      <w:rPr>
        <w:rtl/>
      </w:rPr>
    </w:pPr>
    <w:r>
      <w:rPr>
        <w:noProof/>
        <w:rtl/>
        <w:lang w:val="he-IL"/>
      </w:rPr>
      <mc:AlternateContent>
        <mc:Choice Requires="wps">
          <w:drawing>
            <wp:anchor distT="0" distB="0" distL="114300" distR="114300" simplePos="0" relativeHeight="251723776" behindDoc="1" locked="0" layoutInCell="1" allowOverlap="1" wp14:anchorId="5838C4E2" wp14:editId="14E5FF46">
              <wp:simplePos x="0" y="0"/>
              <wp:positionH relativeFrom="margin">
                <wp:posOffset>-954405</wp:posOffset>
              </wp:positionH>
              <wp:positionV relativeFrom="margin">
                <wp:posOffset>-1051560</wp:posOffset>
              </wp:positionV>
              <wp:extent cx="6480000" cy="9000000"/>
              <wp:effectExtent l="0" t="0" r="16510" b="10795"/>
              <wp:wrapNone/>
              <wp:docPr id="24785188" name="Text Box 14"/>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78B39F73" w14:textId="77777777" w:rsidR="0078740E" w:rsidRPr="00DE3ECA" w:rsidRDefault="0078740E" w:rsidP="00C86967">
                          <w:pPr>
                            <w:rPr>
                              <w:color w:val="FFFFFF" w:themeColor="background1"/>
                              <w14:textOutline w14:w="12700" w14:cap="rnd" w14:cmpd="dbl" w14:algn="ctr">
                                <w14:solidFill>
                                  <w14:srgbClr w14:val="00B050"/>
                                </w14:solidFill>
                                <w14:prstDash w14:val="sys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38C4E2" id="_x0000_t202" coordsize="21600,21600" o:spt="202" path="m,l,21600r21600,l21600,xe">
              <v:stroke joinstyle="miter"/>
              <v:path gradientshapeok="t" o:connecttype="rect"/>
            </v:shapetype>
            <v:shape id="Text Box 14" o:spid="_x0000_s1045" type="#_x0000_t202" style="position:absolute;left:0;text-align:left;margin-left:-75.15pt;margin-top:-82.8pt;width:510.25pt;height:708.65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n/IwRwIAAJsEAAAOAAAAZHJzL2Uyb0RvYy54bWysVN1v2jAQf5+0/8Hy+whhQNuIUDEQ06Su&#13;&#10;rUSnPhvHIZFsn2cbEvbX7+yEj3Z7msaDOd/9fB+/u8vsvlWSHIR1NeicpoMhJUJzKGq9y+mPl/Wn&#13;&#10;W0qcZ7pgErTI6VE4ej//+GHWmEyMoAJZCEvQiXZZY3JaeW+yJHG8Eoq5ARih0ViCVczj1e6SwrIG&#13;&#10;vSuZjIbDadKALYwFLpxD7aoz0nn0X5aC+6eydMITmVPMzcfTxnMbzmQ+Y9nOMlPVvE+D/UMWitUa&#13;&#10;g55drZhnZG/rP1ypmltwUPoBB5VAWdZcxBqwmnT4rppNxYyItSA5zpxpcv/PLX88bMyzJb79Ai02&#13;&#10;MBDSGJc5VIZ62tKq8I+ZErQjhcczbaL1hKNyOr4d4o8Sjra7IOIF/SSX58Y6/1WAIkHIqcW+RLrY&#13;&#10;4cH5DnqChGga1rWUsTdSkyann9ObSXzgQNZFMAZYnBKxlJYcGPZ3u0sjRu7Vdyg63XRySeYMj6m9&#13;&#10;8RSCr5irukdyF+S+BKkRfqEkSL7dtqQukK5YZ1BtoTgijRa6CXOGr2v0+cCcf2YWRwrpwTXxT3iU&#13;&#10;ErAk6CVKKrC//qYPeOw0WilpcERz6n7umRWUyG8aZ+AuHY/DTMfLeHIzwou9tmyvLXqvloAspbiQ&#13;&#10;hkcx4L08iaUF9YrbtAhR0cQ0x9g59Sdx6bvFwW3kYrGIIJxiw/yD3hgeXIeuBC5f2ldmTd9tj4Py&#13;&#10;CKdhZtm7pnfYru2LvYeyjhNxYbXnHzcgNq7f1rBi1/eIunxT5r8BAAD//wMAUEsDBBQABgAIAAAA&#13;&#10;IQCy+WOV5gAAABMBAAAPAAAAZHJzL2Rvd25yZXYueG1sTI9Bb8IwDIXvk/YfIiPtBkm7taDSFKFN&#13;&#10;SBOc1o17aEJb0ThVE0q3Xz9z2i6WLX9+fi/fTLZjoxl861BCtBDADFZOt1hL+PrczVfAfFCoVefQ&#13;&#10;SPg2HjbF40OuMu1u+GHGMtSMRNBnSkITQp9x7qvGWOUXrjdIu7MbrAo0DjXXg7qRuO14LETKrWqR&#13;&#10;PjSqN6+NqS7l1Uqo7Avuw/Gy/xkP5VaLw/G9GndSPs2mtzWV7RpYMFP4u4B7BvIPBRk7uStqzzoJ&#13;&#10;8ygRz8TeuzRJgRGzWooY2IngOImWwIuc/89S/AIAAP//AwBQSwECLQAUAAYACAAAACEAtoM4kv4A&#13;&#10;AADhAQAAEwAAAAAAAAAAAAAAAAAAAAAAW0NvbnRlbnRfVHlwZXNdLnhtbFBLAQItABQABgAIAAAA&#13;&#10;IQA4/SH/1gAAAJQBAAALAAAAAAAAAAAAAAAAAC8BAABfcmVscy8ucmVsc1BLAQItABQABgAIAAAA&#13;&#10;IQDun/IwRwIAAJsEAAAOAAAAAAAAAAAAAAAAAC4CAABkcnMvZTJvRG9jLnhtbFBLAQItABQABgAI&#13;&#10;AAAAIQCy+WOV5gAAABMBAAAPAAAAAAAAAAAAAAAAAKEEAABkcnMvZG93bnJldi54bWxQSwUGAAAA&#13;&#10;AAQABADzAAAAtAUAAAAA&#13;&#10;" filled="f" strokecolor="#a5a5a5 [2092]" strokeweight=".25pt">
              <v:stroke dashstyle="longDash"/>
              <v:textbox>
                <w:txbxContent>
                  <w:p w14:paraId="78B39F73" w14:textId="77777777" w:rsidR="0078740E" w:rsidRPr="00DE3ECA" w:rsidRDefault="0078740E" w:rsidP="00C86967">
                    <w:pPr>
                      <w:rPr>
                        <w:color w:val="FFFFFF" w:themeColor="background1"/>
                        <w14:textOutline w14:w="12700" w14:cap="rnd" w14:cmpd="dbl" w14:algn="ctr">
                          <w14:solidFill>
                            <w14:srgbClr w14:val="00B050"/>
                          </w14:solidFill>
                          <w14:prstDash w14:val="sys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720704" behindDoc="0" locked="0" layoutInCell="1" allowOverlap="1" wp14:anchorId="567EECDB" wp14:editId="5E5171E3">
              <wp:simplePos x="0" y="0"/>
              <wp:positionH relativeFrom="column">
                <wp:posOffset>-706755</wp:posOffset>
              </wp:positionH>
              <wp:positionV relativeFrom="paragraph">
                <wp:posOffset>-574040</wp:posOffset>
              </wp:positionV>
              <wp:extent cx="292100" cy="7787005"/>
              <wp:effectExtent l="0" t="0" r="12700" b="23495"/>
              <wp:wrapSquare wrapText="bothSides"/>
              <wp:docPr id="2478518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7787005"/>
                      </a:xfrm>
                      <a:prstGeom prst="rect">
                        <a:avLst/>
                      </a:prstGeom>
                      <a:solidFill>
                        <a:srgbClr val="00305F"/>
                      </a:solidFill>
                      <a:ln>
                        <a:solidFill>
                          <a:srgbClr val="00305F"/>
                        </a:solidFill>
                      </a:ln>
                    </wps:spPr>
                    <wps:txbx>
                      <w:txbxContent>
                        <w:p w14:paraId="73DC3A9E" w14:textId="77777777" w:rsidR="0078740E" w:rsidRPr="009B7D1B" w:rsidRDefault="0078740E" w:rsidP="005912C3">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Pr="00565F1B">
                            <w:rPr>
                              <w:rFonts w:ascii="Tahoma" w:hAnsi="Tahoma" w:cs="Tahoma" w:hint="cs"/>
                              <w:sz w:val="24"/>
                              <w:szCs w:val="24"/>
                              <w:rtl/>
                            </w:rPr>
                            <w:t>תקציר</w:t>
                          </w:r>
                          <w:r>
                            <w:rPr>
                              <w:rFonts w:hint="cs"/>
                              <w:rtl/>
                            </w:rPr>
                            <w:t xml:space="preserve"> </w:t>
                          </w:r>
                          <w:r>
                            <w:rPr>
                              <w:rFonts w:hint="cs"/>
                              <w:sz w:val="24"/>
                              <w:szCs w:val="24"/>
                              <w:rtl/>
                            </w:rPr>
                            <w:t>|</w:t>
                          </w:r>
                          <w:r w:rsidRPr="009B7D1B">
                            <w:rPr>
                              <w:rFonts w:hint="cs"/>
                              <w:sz w:val="24"/>
                              <w:szCs w:val="24"/>
                              <w:rtl/>
                            </w:rPr>
                            <w:t xml:space="preserve">  </w:t>
                          </w:r>
                          <w:r w:rsidRPr="005912C3">
                            <w:rPr>
                              <w:rFonts w:ascii="Tahoma" w:hAnsi="Tahoma" w:cs="Tahoma"/>
                              <w:b/>
                              <w:bCs/>
                              <w:rtl/>
                            </w:rPr>
                            <w:t>הדוחות הכספיים של מדינת ישראל ליום 31.12.2020 - חייבים ויתרות חובה</w:t>
                          </w:r>
                        </w:p>
                      </w:txbxContent>
                    </wps:txbx>
                    <wps:bodyPr rot="0" vert="vert270" wrap="square" lIns="0" tIns="0" rIns="0" bIns="0" anchor="t" anchorCtr="0" upright="1">
                      <a:noAutofit/>
                    </wps:bodyPr>
                  </wps:wsp>
                </a:graphicData>
              </a:graphic>
              <wp14:sizeRelV relativeFrom="margin">
                <wp14:pctHeight>0</wp14:pctHeight>
              </wp14:sizeRelV>
            </wp:anchor>
          </w:drawing>
        </mc:Choice>
        <mc:Fallback>
          <w:pict>
            <v:shape w14:anchorId="567EECDB" id="_x0000_s1046" type="#_x0000_t202" style="position:absolute;left:0;text-align:left;margin-left:-55.65pt;margin-top:-45.2pt;width:23pt;height:613.15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HW7gEAAO4DAAAOAAAAZHJzL2Uyb0RvYy54bWysU8Fu2zAMvQ/YPwi6L3YydOmMOEWXIsOA&#13;&#10;bh3Q7gNkWbaFyaJGKbHz96NkJ926W7ELQYniI/n4tLkZe8OOCr0GW/LlIudMWQm1tm3Jfzzt311z&#13;&#10;5oOwtTBgVclPyvOb7ds3m8EVagUdmFohIxDri8GVvAvBFVnmZad64RfglKVgA9iLQEdssxrFQOi9&#13;&#10;yVZ5/iEbAGuHIJX3dHs3Bfk24TeNkuGhabwKzJScegvJYrJVtNl2I4oWheu0nNsQr+iiF9pS0QvU&#13;&#10;nQiCHVD/A9VrieChCQsJfQZNo6VKM9A0y/zFNI+dcCrNQuR4d6HJ/z9Y+e346L4jC+MnGGmBaQjv&#13;&#10;7kH+9MzCrhO2VbeIMHRK1FR4GSnLBueLOTVS7QsfQarhK9S0ZHEIkIDGBvvICs3JCJ0WcLqQrsbA&#13;&#10;JF2uPq6WOUUkhdbr63WeX6USojhnO/Ths4KeRafkSEtN6OJ470PsRhTnJ7GYB6PrvTYmHbCtdgbZ&#13;&#10;UUQB5O/zq/2M/tczY1+XSaVjauIjUjCREcZqZLomshJbkZ8K6hMxhDApkH4MOdGu1jT7QAIsuf91&#13;&#10;EKg4M18sER3Venbw7FRnR1jZAek4cDa5uzCp+uBQtx2BT6u0cEvLaHTi6bmRuWUSVaJv/gBRtX+e&#13;&#10;06vnb7r9DQAA//8DAFBLAwQUAAYACAAAACEA1B0TTuMAAAASAQAADwAAAGRycy9kb3ducmV2Lnht&#13;&#10;bExPS07DMBDdI3EHa5DYoNQJJYWmcaoKBLsKtfQATjzEUeNxFLttenuGFWxG83nzPuV6cr044xg6&#13;&#10;TwqyWQoCqfGmo1bB4es9eQERoiaje0+o4IoB1tXtTakL4y+0w/M+toJJKBRagY1xKKQMjUWnw8wP&#13;&#10;SHz79qPTkcexlWbUFyZ3vXxM04V0uiNWsHrAV4vNcX9yCjbb4w4/rro7PG+RTPo51fmDVer+bnpb&#13;&#10;cdmsQESc4t8H/GZg/1CxsdqfyATRK0iyLJszlrtl+gSCIcki503N2GyeL0FWpfwfpfoBAAD//wMA&#13;&#10;UEsBAi0AFAAGAAgAAAAhALaDOJL+AAAA4QEAABMAAAAAAAAAAAAAAAAAAAAAAFtDb250ZW50X1R5&#13;&#10;cGVzXS54bWxQSwECLQAUAAYACAAAACEAOP0h/9YAAACUAQAACwAAAAAAAAAAAAAAAAAvAQAAX3Jl&#13;&#10;bHMvLnJlbHNQSwECLQAUAAYACAAAACEAf1EB1u4BAADuAwAADgAAAAAAAAAAAAAAAAAuAgAAZHJz&#13;&#10;L2Uyb0RvYy54bWxQSwECLQAUAAYACAAAACEA1B0TTuMAAAASAQAADwAAAAAAAAAAAAAAAABIBAAA&#13;&#10;ZHJzL2Rvd25yZXYueG1sUEsFBgAAAAAEAAQA8wAAAFgFAAAAAA==&#13;&#10;" fillcolor="#00305f" strokecolor="#00305f">
              <v:textbox style="layout-flow:vertical;mso-layout-flow-alt:bottom-to-top" inset="0,0,0,0">
                <w:txbxContent>
                  <w:p w14:paraId="73DC3A9E" w14:textId="77777777" w:rsidR="0078740E" w:rsidRPr="009B7D1B" w:rsidRDefault="0078740E" w:rsidP="005912C3">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Pr="00565F1B">
                      <w:rPr>
                        <w:rFonts w:ascii="Tahoma" w:hAnsi="Tahoma" w:cs="Tahoma" w:hint="cs"/>
                        <w:sz w:val="24"/>
                        <w:szCs w:val="24"/>
                        <w:rtl/>
                      </w:rPr>
                      <w:t>תקציר</w:t>
                    </w:r>
                    <w:r>
                      <w:rPr>
                        <w:rFonts w:hint="cs"/>
                        <w:rtl/>
                      </w:rPr>
                      <w:t xml:space="preserve"> </w:t>
                    </w:r>
                    <w:r>
                      <w:rPr>
                        <w:rFonts w:hint="cs"/>
                        <w:sz w:val="24"/>
                        <w:szCs w:val="24"/>
                        <w:rtl/>
                      </w:rPr>
                      <w:t>|</w:t>
                    </w:r>
                    <w:r w:rsidRPr="009B7D1B">
                      <w:rPr>
                        <w:rFonts w:hint="cs"/>
                        <w:sz w:val="24"/>
                        <w:szCs w:val="24"/>
                        <w:rtl/>
                      </w:rPr>
                      <w:t xml:space="preserve">  </w:t>
                    </w:r>
                    <w:r w:rsidRPr="005912C3">
                      <w:rPr>
                        <w:rFonts w:ascii="Tahoma" w:hAnsi="Tahoma" w:cs="Tahoma"/>
                        <w:b/>
                        <w:bCs/>
                        <w:rtl/>
                      </w:rPr>
                      <w:t>הדוחות הכספיים של מדינת ישראל ליום 31.12.2020 - חייבים ויתרות חובה</w:t>
                    </w:r>
                  </w:p>
                </w:txbxContent>
              </v:textbox>
              <w10:wrap type="square"/>
            </v:shape>
          </w:pict>
        </mc:Fallback>
      </mc:AlternateContent>
    </w:r>
  </w:p>
  <w:p w14:paraId="41979D8B" w14:textId="77777777" w:rsidR="0078740E" w:rsidRDefault="0078740E" w:rsidP="001526AC">
    <w:pPr>
      <w:pStyle w:val="a8"/>
      <w:tabs>
        <w:tab w:val="clear" w:pos="4153"/>
        <w:tab w:val="clear" w:pos="8306"/>
        <w:tab w:val="left" w:pos="493"/>
        <w:tab w:val="center" w:pos="4111"/>
        <w:tab w:val="right" w:pos="7478"/>
        <w:tab w:val="right" w:pos="8222"/>
      </w:tabs>
      <w:jc w:val="left"/>
      <w:rPr>
        <w:rtl/>
      </w:rPr>
    </w:pPr>
  </w:p>
  <w:p w14:paraId="7083BCF4" w14:textId="77777777" w:rsidR="0078740E" w:rsidRDefault="0078740E" w:rsidP="00005B23">
    <w:pPr>
      <w:pStyle w:val="a8"/>
      <w:tabs>
        <w:tab w:val="clear" w:pos="4153"/>
        <w:tab w:val="clear" w:pos="8306"/>
        <w:tab w:val="left" w:pos="493"/>
        <w:tab w:val="center" w:pos="4111"/>
        <w:tab w:val="right" w:pos="7478"/>
        <w:tab w:val="right" w:pos="8222"/>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721728" behindDoc="0" locked="0" layoutInCell="1" allowOverlap="1" wp14:anchorId="758AF39E" wp14:editId="6EB0F2A6">
              <wp:simplePos x="0" y="0"/>
              <wp:positionH relativeFrom="column">
                <wp:posOffset>273050</wp:posOffset>
              </wp:positionH>
              <wp:positionV relativeFrom="paragraph">
                <wp:posOffset>354965</wp:posOffset>
              </wp:positionV>
              <wp:extent cx="3228975" cy="259080"/>
              <wp:effectExtent l="0" t="0" r="28575" b="26670"/>
              <wp:wrapNone/>
              <wp:docPr id="24785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59080"/>
                      </a:xfrm>
                      <a:prstGeom prst="rect">
                        <a:avLst/>
                      </a:prstGeom>
                      <a:solidFill>
                        <a:srgbClr val="FFFFFF"/>
                      </a:solidFill>
                      <a:ln w="9525">
                        <a:solidFill>
                          <a:schemeClr val="bg1"/>
                        </a:solidFill>
                        <a:miter lim="800000"/>
                        <a:headEnd/>
                        <a:tailEnd/>
                      </a:ln>
                    </wps:spPr>
                    <wps:txbx>
                      <w:txbxContent>
                        <w:p w14:paraId="620AA806" w14:textId="77777777" w:rsidR="003A19A6" w:rsidRPr="004D562B" w:rsidRDefault="003A19A6" w:rsidP="003A19A6">
                          <w:pPr>
                            <w:jc w:val="right"/>
                            <w:rPr>
                              <w:color w:val="0D0D0D"/>
                              <w:sz w:val="16"/>
                              <w:szCs w:val="16"/>
                            </w:rPr>
                          </w:pPr>
                          <w:r>
                            <w:rPr>
                              <w:rFonts w:ascii="Tahoma" w:hAnsi="Tahoma" w:cs="Tahoma" w:hint="cs"/>
                              <w:color w:val="0D0D0D"/>
                              <w:sz w:val="16"/>
                              <w:szCs w:val="16"/>
                              <w:rtl/>
                            </w:rPr>
                            <w:t xml:space="preserve">דוח </w:t>
                          </w:r>
                          <w:r w:rsidRPr="004D562B">
                            <w:rPr>
                              <w:rFonts w:ascii="Tahoma" w:hAnsi="Tahoma" w:cs="Tahoma" w:hint="cs"/>
                              <w:color w:val="0D0D0D"/>
                              <w:sz w:val="16"/>
                              <w:szCs w:val="16"/>
                              <w:rtl/>
                            </w:rPr>
                            <w:t>מבקר המדינה</w:t>
                          </w:r>
                          <w:r>
                            <w:rPr>
                              <w:rFonts w:ascii="Tahoma" w:hAnsi="Tahoma" w:cs="Tahoma" w:hint="cs"/>
                              <w:color w:val="0D0D0D"/>
                              <w:sz w:val="16"/>
                              <w:szCs w:val="16"/>
                              <w:rtl/>
                            </w:rPr>
                            <w:t xml:space="preserve"> </w:t>
                          </w:r>
                          <w:r w:rsidRPr="004D562B">
                            <w:rPr>
                              <w:rFonts w:ascii="Tahoma" w:hAnsi="Tahoma" w:cs="Tahoma" w:hint="cs"/>
                              <w:color w:val="0D0D0D"/>
                              <w:sz w:val="16"/>
                              <w:szCs w:val="16"/>
                              <w:rtl/>
                            </w:rPr>
                            <w:t>|</w:t>
                          </w:r>
                          <w:r>
                            <w:rPr>
                              <w:rFonts w:ascii="Tahoma" w:hAnsi="Tahoma" w:cs="Tahoma" w:hint="cs"/>
                              <w:color w:val="0D0D0D"/>
                              <w:sz w:val="16"/>
                              <w:szCs w:val="16"/>
                              <w:rtl/>
                            </w:rPr>
                            <w:t xml:space="preserve"> אייר </w:t>
                          </w:r>
                          <w:proofErr w:type="spellStart"/>
                          <w:r>
                            <w:rPr>
                              <w:rFonts w:ascii="Tahoma" w:hAnsi="Tahoma" w:cs="Tahoma" w:hint="cs"/>
                              <w:color w:val="0D0D0D"/>
                              <w:sz w:val="16"/>
                              <w:szCs w:val="16"/>
                              <w:rtl/>
                            </w:rPr>
                            <w:t>התשפ״ב</w:t>
                          </w:r>
                          <w:proofErr w:type="spellEnd"/>
                          <w:r>
                            <w:rPr>
                              <w:rFonts w:ascii="Tahoma" w:hAnsi="Tahoma" w:cs="Tahoma" w:hint="cs"/>
                              <w:color w:val="0D0D0D"/>
                              <w:sz w:val="16"/>
                              <w:szCs w:val="16"/>
                              <w:rtl/>
                            </w:rPr>
                            <w:t xml:space="preserve"> </w:t>
                          </w:r>
                          <w:r w:rsidRPr="004D562B">
                            <w:rPr>
                              <w:rFonts w:ascii="Tahoma" w:hAnsi="Tahoma" w:cs="Tahoma" w:hint="cs"/>
                              <w:color w:val="0D0D0D"/>
                              <w:sz w:val="16"/>
                              <w:szCs w:val="16"/>
                              <w:rtl/>
                            </w:rPr>
                            <w:t>|</w:t>
                          </w:r>
                          <w:r>
                            <w:rPr>
                              <w:rFonts w:ascii="Tahoma" w:hAnsi="Tahoma" w:cs="Tahoma" w:hint="cs"/>
                              <w:color w:val="0D0D0D"/>
                              <w:sz w:val="16"/>
                              <w:szCs w:val="16"/>
                              <w:rtl/>
                            </w:rPr>
                            <w:t xml:space="preserve"> מאי 2022</w:t>
                          </w:r>
                          <w:r w:rsidRPr="004D562B">
                            <w:rPr>
                              <w:rFonts w:hint="cs"/>
                              <w:color w:val="0D0D0D"/>
                              <w:sz w:val="16"/>
                              <w:szCs w:val="16"/>
                              <w:rtl/>
                            </w:rPr>
                            <w:t xml:space="preserve">         </w:t>
                          </w:r>
                        </w:p>
                        <w:p w14:paraId="0BC08254" w14:textId="77777777" w:rsidR="0078740E" w:rsidRPr="003A19A6" w:rsidRDefault="0078740E" w:rsidP="00B244B0">
                          <w:pPr>
                            <w:jc w:val="right"/>
                            <w:rPr>
                              <w:color w:val="0D0D0D" w:themeColor="text1" w:themeTint="F2"/>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AF39E" id="_x0000_s1047" type="#_x0000_t202" style="position:absolute;left:0;text-align:left;margin-left:21.5pt;margin-top:27.95pt;width:254.25pt;height:20.4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NfKbGwIAACYEAAAOAAAAZHJzL2Uyb0RvYy54bWysk92O2yAQhe8r9R0Q940dN+kmVpzVNttU&#13;&#10;lbY/0rYPgDG2UTFDgcROn34H7M2m6V1VXyDGwGHmm8PmdugUOQrrJOiCzmcpJUJzqKRuCvrj+/7N&#13;&#10;ihLnma6YAi0KehKO3m5fv9r0JhcZtKAqYQmKaJf3pqCt9yZPEsdb0TE3AyM0LtZgO+YxtE1SWdaj&#13;&#10;eqeSLE3fJT3Yyljgwjn8ez8u0m3Ur2vB/de6dsITVVDMzcfRxrEMY7LdsLyxzLSST2mwf8iiY1Lj&#13;&#10;pWepe+YZOVj5l1QnuQUHtZ9x6BKoa8lFrAGrmadX1Ty2zIhYC8Jx5ozJ/T9Z/uX4aL5Z4of3MGAD&#13;&#10;YxHOPAD/6YiGXct0I+6shb4VrMKL5wFZ0huXT0cDape7IFL2n6HCJrODhyg01LYLVLBOgurYgNMZ&#13;&#10;uhg84fjzbZat1jdLSjiuZct1uopdSVj+fNpY5z8K6EiYFNRiU6M6Oz44H7Jh+fOWcJkDJau9VCoG&#13;&#10;til3ypIjQwPs4xcLuNqmNOkLul5myxHAHxLBi+IsUjYjgiuFTno0spJdQVdp+EZrBWofdBVt5plU&#13;&#10;4xwzVnrCGMiNDP1QDkRWyDgLhwPWEqoTgrUwGhcfGk5asL8p6dG0BXW/DswKStQnjc1ZzxeL4PIY&#13;&#10;LJY3GQb2cqW8XGGao1RBPSXjdOfjywjcNNxhE2sZ+b5kMuWMZozYp4cT3H4Zx10vz3v7BAAA//8D&#13;&#10;AFBLAwQUAAYACAAAACEASG5QD+MAAAANAQAADwAAAGRycy9kb3ducmV2LnhtbEyPwU7DMBBE70j8&#13;&#10;g7VI3KhTaFKSZlMhKnpDFaEqHJ14SSLidRS7beDrMSe4jLQa7cy8fD2ZXpxodJ1lhPksAkFcW91x&#13;&#10;g7B/fbq5B+G8Yq16y4TwRQ7WxeVFrjJtz/xCp9I3IoSwyxRC6/2QSenqloxyMzsQB+/Djkb5cI6N&#13;&#10;1KM6h3DTy9soSqRRHYeGVg302FL9WR4Ngquj5LBblIe3Sm7pO9V68759Rry+mjarIA8rEJ4m//cB&#13;&#10;vwxhPxRhWGWPrJ3oERZ3gccjxHEKIvhxPI9BVAhpsgRZ5PI/RfEDAAD//wMAUEsBAi0AFAAGAAgA&#13;&#10;AAAhALaDOJL+AAAA4QEAABMAAAAAAAAAAAAAAAAAAAAAAFtDb250ZW50X1R5cGVzXS54bWxQSwEC&#13;&#10;LQAUAAYACAAAACEAOP0h/9YAAACUAQAACwAAAAAAAAAAAAAAAAAvAQAAX3JlbHMvLnJlbHNQSwEC&#13;&#10;LQAUAAYACAAAACEA5DXymxsCAAAmBAAADgAAAAAAAAAAAAAAAAAuAgAAZHJzL2Uyb0RvYy54bWxQ&#13;&#10;SwECLQAUAAYACAAAACEASG5QD+MAAAANAQAADwAAAAAAAAAAAAAAAAB1BAAAZHJzL2Rvd25yZXYu&#13;&#10;eG1sUEsFBgAAAAAEAAQA8wAAAIUFAAAAAA==&#13;&#10;" strokecolor="white [3212]">
              <v:textbox>
                <w:txbxContent>
                  <w:p w14:paraId="620AA806" w14:textId="77777777" w:rsidR="003A19A6" w:rsidRPr="004D562B" w:rsidRDefault="003A19A6" w:rsidP="003A19A6">
                    <w:pPr>
                      <w:jc w:val="right"/>
                      <w:rPr>
                        <w:color w:val="0D0D0D"/>
                        <w:sz w:val="16"/>
                        <w:szCs w:val="16"/>
                      </w:rPr>
                    </w:pPr>
                    <w:r>
                      <w:rPr>
                        <w:rFonts w:ascii="Tahoma" w:hAnsi="Tahoma" w:cs="Tahoma" w:hint="cs"/>
                        <w:color w:val="0D0D0D"/>
                        <w:sz w:val="16"/>
                        <w:szCs w:val="16"/>
                        <w:rtl/>
                      </w:rPr>
                      <w:t xml:space="preserve">דוח </w:t>
                    </w:r>
                    <w:r w:rsidRPr="004D562B">
                      <w:rPr>
                        <w:rFonts w:ascii="Tahoma" w:hAnsi="Tahoma" w:cs="Tahoma" w:hint="cs"/>
                        <w:color w:val="0D0D0D"/>
                        <w:sz w:val="16"/>
                        <w:szCs w:val="16"/>
                        <w:rtl/>
                      </w:rPr>
                      <w:t>מבקר המדינה</w:t>
                    </w:r>
                    <w:r>
                      <w:rPr>
                        <w:rFonts w:ascii="Tahoma" w:hAnsi="Tahoma" w:cs="Tahoma" w:hint="cs"/>
                        <w:color w:val="0D0D0D"/>
                        <w:sz w:val="16"/>
                        <w:szCs w:val="16"/>
                        <w:rtl/>
                      </w:rPr>
                      <w:t xml:space="preserve"> </w:t>
                    </w:r>
                    <w:r w:rsidRPr="004D562B">
                      <w:rPr>
                        <w:rFonts w:ascii="Tahoma" w:hAnsi="Tahoma" w:cs="Tahoma" w:hint="cs"/>
                        <w:color w:val="0D0D0D"/>
                        <w:sz w:val="16"/>
                        <w:szCs w:val="16"/>
                        <w:rtl/>
                      </w:rPr>
                      <w:t>|</w:t>
                    </w:r>
                    <w:r>
                      <w:rPr>
                        <w:rFonts w:ascii="Tahoma" w:hAnsi="Tahoma" w:cs="Tahoma" w:hint="cs"/>
                        <w:color w:val="0D0D0D"/>
                        <w:sz w:val="16"/>
                        <w:szCs w:val="16"/>
                        <w:rtl/>
                      </w:rPr>
                      <w:t xml:space="preserve"> אייר </w:t>
                    </w:r>
                    <w:proofErr w:type="spellStart"/>
                    <w:r>
                      <w:rPr>
                        <w:rFonts w:ascii="Tahoma" w:hAnsi="Tahoma" w:cs="Tahoma" w:hint="cs"/>
                        <w:color w:val="0D0D0D"/>
                        <w:sz w:val="16"/>
                        <w:szCs w:val="16"/>
                        <w:rtl/>
                      </w:rPr>
                      <w:t>התשפ״ב</w:t>
                    </w:r>
                    <w:proofErr w:type="spellEnd"/>
                    <w:r>
                      <w:rPr>
                        <w:rFonts w:ascii="Tahoma" w:hAnsi="Tahoma" w:cs="Tahoma" w:hint="cs"/>
                        <w:color w:val="0D0D0D"/>
                        <w:sz w:val="16"/>
                        <w:szCs w:val="16"/>
                        <w:rtl/>
                      </w:rPr>
                      <w:t xml:space="preserve"> </w:t>
                    </w:r>
                    <w:r w:rsidRPr="004D562B">
                      <w:rPr>
                        <w:rFonts w:ascii="Tahoma" w:hAnsi="Tahoma" w:cs="Tahoma" w:hint="cs"/>
                        <w:color w:val="0D0D0D"/>
                        <w:sz w:val="16"/>
                        <w:szCs w:val="16"/>
                        <w:rtl/>
                      </w:rPr>
                      <w:t>|</w:t>
                    </w:r>
                    <w:r>
                      <w:rPr>
                        <w:rFonts w:ascii="Tahoma" w:hAnsi="Tahoma" w:cs="Tahoma" w:hint="cs"/>
                        <w:color w:val="0D0D0D"/>
                        <w:sz w:val="16"/>
                        <w:szCs w:val="16"/>
                        <w:rtl/>
                      </w:rPr>
                      <w:t xml:space="preserve"> מאי 2022</w:t>
                    </w:r>
                    <w:r w:rsidRPr="004D562B">
                      <w:rPr>
                        <w:rFonts w:hint="cs"/>
                        <w:color w:val="0D0D0D"/>
                        <w:sz w:val="16"/>
                        <w:szCs w:val="16"/>
                        <w:rtl/>
                      </w:rPr>
                      <w:t xml:space="preserve">         </w:t>
                    </w:r>
                  </w:p>
                  <w:p w14:paraId="0BC08254" w14:textId="77777777" w:rsidR="0078740E" w:rsidRPr="003A19A6" w:rsidRDefault="0078740E" w:rsidP="00B244B0">
                    <w:pPr>
                      <w:jc w:val="right"/>
                      <w:rPr>
                        <w:color w:val="0D0D0D" w:themeColor="text1" w:themeTint="F2"/>
                        <w:sz w:val="16"/>
                        <w:szCs w:val="16"/>
                      </w:rPr>
                    </w:pPr>
                  </w:p>
                </w:txbxContent>
              </v:textbox>
            </v:shape>
          </w:pict>
        </mc:Fallback>
      </mc:AlternateContent>
    </w:r>
    <w:r>
      <w:rPr>
        <w:rFonts w:ascii="Tahoma" w:hAnsi="Tahoma" w:cs="Tahoma"/>
        <w:noProof/>
        <w:sz w:val="22"/>
        <w:szCs w:val="22"/>
        <w:rtl/>
        <w:lang w:val="he-IL"/>
      </w:rPr>
      <w:drawing>
        <wp:anchor distT="0" distB="0" distL="114300" distR="114300" simplePos="0" relativeHeight="251722752" behindDoc="0" locked="0" layoutInCell="1" allowOverlap="1" wp14:anchorId="1559CD0F" wp14:editId="311C6A94">
          <wp:simplePos x="0" y="0"/>
          <wp:positionH relativeFrom="column">
            <wp:posOffset>-59055</wp:posOffset>
          </wp:positionH>
          <wp:positionV relativeFrom="paragraph">
            <wp:posOffset>345440</wp:posOffset>
          </wp:positionV>
          <wp:extent cx="343535" cy="240030"/>
          <wp:effectExtent l="0" t="0" r="0" b="7620"/>
          <wp:wrapSquare wrapText="bothSides"/>
          <wp:docPr id="24785200" name="Picture 2478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9680" behindDoc="0" locked="0" layoutInCell="1" allowOverlap="1" wp14:anchorId="2A317719" wp14:editId="46B2D0ED">
              <wp:simplePos x="0" y="0"/>
              <wp:positionH relativeFrom="column">
                <wp:posOffset>-55880</wp:posOffset>
              </wp:positionH>
              <wp:positionV relativeFrom="paragraph">
                <wp:posOffset>640080</wp:posOffset>
              </wp:positionV>
              <wp:extent cx="6721475" cy="0"/>
              <wp:effectExtent l="0" t="0" r="0" b="0"/>
              <wp:wrapNone/>
              <wp:docPr id="24785191" name="Straight Connector 2052770948"/>
              <wp:cNvGraphicFramePr/>
              <a:graphic xmlns:a="http://schemas.openxmlformats.org/drawingml/2006/main">
                <a:graphicData uri="http://schemas.microsoft.com/office/word/2010/wordprocessingShape">
                  <wps:wsp>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19E57F" id="Straight Connector 2052770948" o:spid="_x0000_s1026" style="position:absolute;left:0;text-align:left;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50.4pt" to="524.85pt,5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o+4f3wEAACEEAAAOAAAAZHJzL2Uyb0RvYy54bWysU8luFDEQvSPxD5bvTHcPJCGt6ckhUeDA&#13;&#10;EkH4AMcuT1vyJtuZ7vl7yvZMJwEuIC6WXcureq/Km6vZaLKHEJWzA+1WLSVguRPK7gb64/72zXtK&#13;&#10;YmJWMO0sDPQAkV5tX7/aTL6HtRudFhAIgtjYT36gY0q+b5rIRzAsrpwHi07pgmEJn2HXiMAmRDe6&#13;&#10;WbfteTO5IHxwHGJE60110m3BlxJ4+iplhET0QLG3VM5Qzod8NtsN63eB+VHxYxvsH7owTFksukDd&#13;&#10;sMTIY1C/QRnFg4tOphV3pnFSKg6FA7Lp2l/YfB+Zh8IFxYl+kSn+P1j+ZX9t7wLKMPnYR38XMotZ&#13;&#10;BkOkVv4jzrTwwk7JXGQ7LLLBnAhH4/nFunt3cUYJP/maCpGhfIjpAzhD8mWgWtnMiPVs/ykmLIuh&#13;&#10;p5Bs1pZMA33bIVx+RqeVuFVal0deCrjWgewZjjPNtTX9aD47UW2XZ217HCqacfTVfLJisbJZGaSU&#13;&#10;foaPPm3R+KRDuaWDhtrYN5BECeRbyy5AtQTjHGzq8kIVJIzOaRJ7XxLbyukljZeJx/icCmV9/yZ5&#13;&#10;ySiVnU1LslHWhT9VzyLWlmWNPylQeWcJHpw4lA0p0uAeFobHP5MX/fm7pD/97O1PAAAA//8DAFBL&#13;&#10;AwQUAAYACAAAACEAvmfJsuEAAAAQAQAADwAAAGRycy9kb3ducmV2LnhtbExP20rDQBB9F/yHZQTf&#13;&#10;2t2KaE2zKdYLlYJIL75vs2MSmp0N2c3Fv3cKgr4MM2dmziVdjq4WPbah8qRhNlUgkHJvKyo0HPav&#13;&#10;kzmIEA1ZU3tCDd8YYJldXqQmsX6gLfa7WAgmoZAYDWWMTSJlyEt0Jkx9g8S7L986E3lsC2lbMzC5&#13;&#10;q+WNUnfSmYpYoTQNPpWYn3ad0/D+uR43/ZCv+tVsf1p3b9vDx0up9fXV+Lzg8rgAEXGMfx9wzsD+&#13;&#10;IWNjR9+RDaLWMJmz/ci4UtycD9Ttwz2I4y8ks1T+D5L9AAAA//8DAFBLAQItABQABgAIAAAAIQC2&#13;&#10;gziS/gAAAOEBAAATAAAAAAAAAAAAAAAAAAAAAABbQ29udGVudF9UeXBlc10ueG1sUEsBAi0AFAAG&#13;&#10;AAgAAAAhADj9If/WAAAAlAEAAAsAAAAAAAAAAAAAAAAALwEAAF9yZWxzLy5yZWxzUEsBAi0AFAAG&#13;&#10;AAgAAAAhAKmj7h/fAQAAIQQAAA4AAAAAAAAAAAAAAAAALgIAAGRycy9lMm9Eb2MueG1sUEsBAi0A&#13;&#10;FAAGAAgAAAAhAL5nybLhAAAAEAEAAA8AAAAAAAAAAAAAAAAAOQQAAGRycy9kb3ducmV2LnhtbFBL&#13;&#10;BQYAAAAABAAEAPMAAABHBQAAAAA=&#13;&#10;" strokecolor="#0d0d0d [3069]" strokeweight=".25pt"/>
          </w:pict>
        </mc:Fallback>
      </mc:AlternateContent>
    </w:r>
  </w:p>
  <w:p w14:paraId="08F4C638" w14:textId="77777777" w:rsidR="0078740E" w:rsidRPr="001526AC" w:rsidRDefault="0078740E" w:rsidP="00005B23">
    <w:pPr>
      <w:pStyle w:val="a8"/>
      <w:tabs>
        <w:tab w:val="clear" w:pos="4153"/>
        <w:tab w:val="clear" w:pos="8306"/>
        <w:tab w:val="left" w:pos="493"/>
        <w:tab w:val="center" w:pos="4111"/>
        <w:tab w:val="right" w:pos="7478"/>
        <w:tab w:val="right" w:pos="8222"/>
      </w:tabs>
      <w:jc w:val="left"/>
      <w:rPr>
        <w:rtl/>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4C2F9" w14:textId="5CA6D9CE" w:rsidR="00CB22A1" w:rsidRDefault="00CB22A1" w:rsidP="001526AC">
    <w:pPr>
      <w:pStyle w:val="a8"/>
      <w:tabs>
        <w:tab w:val="clear" w:pos="4153"/>
        <w:tab w:val="clear" w:pos="8306"/>
        <w:tab w:val="left" w:pos="493"/>
        <w:tab w:val="center" w:pos="4111"/>
        <w:tab w:val="right" w:pos="7478"/>
        <w:tab w:val="right" w:pos="8222"/>
      </w:tabs>
      <w:jc w:val="left"/>
      <w:rPr>
        <w:rtl/>
      </w:rPr>
    </w:pPr>
    <w:r>
      <w:rPr>
        <w:noProof/>
        <w:rtl/>
        <w:lang w:val="he-IL"/>
      </w:rPr>
      <mc:AlternateContent>
        <mc:Choice Requires="wps">
          <w:drawing>
            <wp:anchor distT="0" distB="0" distL="114300" distR="114300" simplePos="0" relativeHeight="251705344" behindDoc="1" locked="0" layoutInCell="1" allowOverlap="1" wp14:anchorId="60DCFA3D" wp14:editId="7ACA00C1">
              <wp:simplePos x="0" y="0"/>
              <wp:positionH relativeFrom="margin">
                <wp:posOffset>-954405</wp:posOffset>
              </wp:positionH>
              <wp:positionV relativeFrom="margin">
                <wp:posOffset>-1051560</wp:posOffset>
              </wp:positionV>
              <wp:extent cx="6480000" cy="9000000"/>
              <wp:effectExtent l="0" t="0" r="16510" b="10795"/>
              <wp:wrapNone/>
              <wp:docPr id="44" name="Text Box 44"/>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41E6941D" w14:textId="77777777" w:rsidR="00CB22A1" w:rsidRPr="00DE3ECA" w:rsidRDefault="00CB22A1" w:rsidP="001C5C9D">
                          <w:pPr>
                            <w:rPr>
                              <w:color w:val="FFFFFF" w:themeColor="background1"/>
                              <w14:textOutline w14:w="12700" w14:cap="rnd" w14:cmpd="dbl" w14:algn="ctr">
                                <w14:solidFill>
                                  <w14:srgbClr w14:val="00B050"/>
                                </w14:solidFill>
                                <w14:prstDash w14:val="sys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DCFA3D" id="_x0000_t202" coordsize="21600,21600" o:spt="202" path="m,l,21600r21600,l21600,xe">
              <v:stroke joinstyle="miter"/>
              <v:path gradientshapeok="t" o:connecttype="rect"/>
            </v:shapetype>
            <v:shape id="Text Box 44" o:spid="_x0000_s1048" type="#_x0000_t202" style="position:absolute;left:0;text-align:left;margin-left:-75.15pt;margin-top:-82.8pt;width:510.25pt;height:708.65pt;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1OUSAIAAJsEAAAOAAAAZHJzL2Uyb0RvYy54bWysVN1v2jAQf5+0/8Hy+wihQNuIUDEQ06Su&#13;&#10;rUSnPhvHIZYcn2cbEvbX7+yEj3V7msaDufP9fB+/u8vsoa0VOQjrJOicpoMhJUJzKKTe5fT76/rT&#13;&#10;HSXOM10wBVrk9CgcfZh//DBrTCZGUIEqhCXoRLusMTmtvDdZkjheiZq5ARih0ViCrZlH1e6SwrIG&#13;&#10;vdcqGQ2H06QBWxgLXDiHt6vOSOfRf1kK7p/L0glPVE4xNx9PG89tOJP5jGU7y0wleZ8G+4csaiY1&#13;&#10;Bj27WjHPyN7KP1zVkltwUPoBhzqBspRcxBqwmnT4rppNxYyItSA5zpxpcv/PLX86bMyLJb79DC02&#13;&#10;MBDSGJc5vAz1tKWtwz9mStCOFB7PtInWE46X0/HdEH+UcLTdBxEV9JNcnhvr/BcBNQlCTi32JdLF&#13;&#10;Do/Od9ATJETTsJZKxd4oTZqc3qS3k/jAgZJFMAZYnBKxVJYcGPZ3u0sjRu3rb1B0d9PJJZkzPKb2&#13;&#10;m6cQfMVc1T1SuyD3JSiN8AslQfLttiWyQLpuTnxtoTgijRa6CXOGryX6fGTOvzCLI4X04Jr4ZzxK&#13;&#10;BVgS9BIlFdiff7sPeOw0WilpcERz6n7smRWUqK8aZ+A+HY/DTEdlPLkdoWKvLdtri97XS0CWUlxI&#13;&#10;w6MY8F6dxNJC/YbbtAhR0cQ0x9g59Sdx6bvFwW3kYrGIIJxiw/yj3hgeXIeuBC5f2zdmTd9tj4Py&#13;&#10;BKdhZtm7pnfYru2LvYdSxokIRHes9vzjBsTG9dsaVuxaj6jLN2X+CwAA//8DAFBLAwQUAAYACAAA&#13;&#10;ACEAsvljleYAAAATAQAADwAAAGRycy9kb3ducmV2LnhtbEyPQW/CMAyF75P2HyIj7QZJu7Wg0hSh&#13;&#10;TUgTnNaNe2hCW9E4VRNKt18/c9ouli1/fn4v30y2Y6MZfOtQQrQQwAxWTrdYS/j63M1XwHxQqFXn&#13;&#10;0Ej4Nh42xeNDrjLtbvhhxjLUjETQZ0pCE0Kfce6rxljlF643SLuzG6wKNA4114O6kbjteCxEyq1q&#13;&#10;kT40qjevjaku5dVKqOwL7sPxsv8ZD+VWi8PxvRp3Uj7Nprc1le0aWDBT+LuAewbyDwUZO7kras86&#13;&#10;CfMoEc/E3rs0SYERs1qKGNiJ4DiJlsCLnP/PUvwCAAD//wMAUEsBAi0AFAAGAAgAAAAhALaDOJL+&#13;&#10;AAAA4QEAABMAAAAAAAAAAAAAAAAAAAAAAFtDb250ZW50X1R5cGVzXS54bWxQSwECLQAUAAYACAAA&#13;&#10;ACEAOP0h/9YAAACUAQAACwAAAAAAAAAAAAAAAAAvAQAAX3JlbHMvLnJlbHNQSwECLQAUAAYACAAA&#13;&#10;ACEALk9TlEgCAACbBAAADgAAAAAAAAAAAAAAAAAuAgAAZHJzL2Uyb0RvYy54bWxQSwECLQAUAAYA&#13;&#10;CAAAACEAsvljleYAAAATAQAADwAAAAAAAAAAAAAAAACiBAAAZHJzL2Rvd25yZXYueG1sUEsFBgAA&#13;&#10;AAAEAAQA8wAAALUFAAAAAA==&#13;&#10;" filled="f" strokecolor="#a5a5a5 [2092]" strokeweight=".25pt">
              <v:stroke dashstyle="longDash"/>
              <v:textbox>
                <w:txbxContent>
                  <w:p w14:paraId="41E6941D" w14:textId="77777777" w:rsidR="00CB22A1" w:rsidRPr="00DE3ECA" w:rsidRDefault="00CB22A1" w:rsidP="001C5C9D">
                    <w:pPr>
                      <w:rPr>
                        <w:color w:val="FFFFFF" w:themeColor="background1"/>
                        <w14:textOutline w14:w="12700" w14:cap="rnd" w14:cmpd="dbl" w14:algn="ctr">
                          <w14:solidFill>
                            <w14:srgbClr w14:val="00B050"/>
                          </w14:solidFill>
                          <w14:prstDash w14:val="sys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674624" behindDoc="0" locked="0" layoutInCell="1" allowOverlap="1" wp14:anchorId="01E36D46" wp14:editId="72BC7914">
              <wp:simplePos x="0" y="0"/>
              <wp:positionH relativeFrom="column">
                <wp:posOffset>-697230</wp:posOffset>
              </wp:positionH>
              <wp:positionV relativeFrom="paragraph">
                <wp:posOffset>-596265</wp:posOffset>
              </wp:positionV>
              <wp:extent cx="292100" cy="7929880"/>
              <wp:effectExtent l="0" t="0" r="12700" b="23495"/>
              <wp:wrapSquare wrapText="bothSides"/>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7929880"/>
                      </a:xfrm>
                      <a:prstGeom prst="rect">
                        <a:avLst/>
                      </a:prstGeom>
                      <a:solidFill>
                        <a:srgbClr val="00305F"/>
                      </a:solidFill>
                      <a:ln>
                        <a:solidFill>
                          <a:srgbClr val="00305F"/>
                        </a:solidFill>
                      </a:ln>
                    </wps:spPr>
                    <wps:txbx>
                      <w:txbxContent>
                        <w:p w14:paraId="1C12FDA0" w14:textId="2AF7D2D1" w:rsidR="00CB22A1" w:rsidRPr="009B7D1B" w:rsidRDefault="00CB22A1" w:rsidP="005912C3">
                          <w:pPr>
                            <w:pStyle w:val="Bodytext70"/>
                            <w:shd w:val="clear" w:color="auto" w:fill="003060"/>
                            <w:rPr>
                              <w:rFonts w:ascii="Tahoma" w:hAnsi="Tahoma" w:cs="Tahoma"/>
                              <w:sz w:val="24"/>
                              <w:szCs w:val="24"/>
                              <w:rtl/>
                            </w:rPr>
                          </w:pPr>
                          <w:r>
                            <w:rPr>
                              <w:rStyle w:val="Bodytext7NotBoldExact"/>
                              <w:rFonts w:hint="cs"/>
                              <w:rtl/>
                            </w:rPr>
                            <w:t>....</w:t>
                          </w:r>
                          <w:r w:rsidRPr="009B7D1B">
                            <w:rPr>
                              <w:rStyle w:val="Bodytext7NotBoldExact"/>
                              <w:rFonts w:hint="cs"/>
                              <w:sz w:val="24"/>
                              <w:szCs w:val="24"/>
                              <w:rtl/>
                            </w:rPr>
                            <w:t>ה</w:t>
                          </w:r>
                          <w:r w:rsidRPr="009B7D1B">
                            <w:rPr>
                              <w:rFonts w:hint="cs"/>
                              <w:sz w:val="24"/>
                              <w:szCs w:val="24"/>
                              <w:rtl/>
                            </w:rPr>
                            <w:t xml:space="preserve">                                      </w:t>
                          </w:r>
                          <w:r w:rsidR="001F0E94" w:rsidRPr="001F0E94">
                            <w:rPr>
                              <w:sz w:val="24"/>
                              <w:szCs w:val="24"/>
                              <w:rtl/>
                            </w:rPr>
                            <w:t xml:space="preserve">|  </w:t>
                          </w:r>
                          <w:r w:rsidR="005912C3" w:rsidRPr="005912C3">
                            <w:rPr>
                              <w:rFonts w:ascii="Tahoma" w:hAnsi="Tahoma" w:cs="Tahoma"/>
                              <w:b/>
                              <w:bCs/>
                              <w:rtl/>
                            </w:rPr>
                            <w:t>הדוחות הכספיים של מדינת ישראל ליום 31.12.2020 - חייבים ויתרות חובה</w:t>
                          </w:r>
                        </w:p>
                      </w:txbxContent>
                    </wps:txbx>
                    <wps:bodyPr rot="0" vert="vert270" wrap="square" lIns="0" tIns="0" rIns="0" bIns="0" anchor="t" anchorCtr="0" upright="1">
                      <a:noAutofit/>
                    </wps:bodyPr>
                  </wps:wsp>
                </a:graphicData>
              </a:graphic>
              <wp14:sizeRelV relativeFrom="margin">
                <wp14:pctHeight>0</wp14:pctHeight>
              </wp14:sizeRelV>
            </wp:anchor>
          </w:drawing>
        </mc:Choice>
        <mc:Fallback>
          <w:pict>
            <v:shape w14:anchorId="01E36D46" id="_x0000_s1049" type="#_x0000_t202" style="position:absolute;left:0;text-align:left;margin-left:-54.9pt;margin-top:-46.95pt;width:23pt;height:624.4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67GJ7wEAAO4DAAAOAAAAZHJzL2Uyb0RvYy54bWysU9tu2zAMfR+wfxD0vtjxLk2MOEWXIsOA&#13;&#10;7gJ0+wBZlm1hsqhRSuz8/Sg5SYfurdgLQYniIc8htbmdBsOOCr0GW/HlIudMWQmNtl3Ff/7Yv1lx&#13;&#10;5oOwjTBgVcVPyvPb7etXm9GVqoAeTKOQEYj15egq3ofgyizzsleD8AtwylKwBRxEoCN2WYNiJPTB&#13;&#10;ZEWef8hGwMYhSOU93d7PQb5N+G2rZPjWtl4FZipOvYVkMdk62my7EWWHwvVantsQL+hiENpS0SvU&#13;&#10;vQiCHVD/AzVoieChDQsJQwZtq6VKHIjNMn/G5rEXTiUuJI53V5n8/4OVX4+P7juyMH2EiQaYSHj3&#13;&#10;APKXZxZ2vbCdukOEsVeiocLLKFk2Ol+eU6PUvvQRpB6/QENDFocACWhqcYiqEE9G6DSA01V0NQUm&#13;&#10;6bJYF8ucIpJCN+tivVqlqWSivGQ79OGTgoFFp+JIQ03o4vjgQ+xGlJcnsZgHo5u9NiYdsKt3BtlR&#13;&#10;xAXI3+bv94nAs2fGviyTSsfUpEeUYBYjTPXEdENivYvFoj41NCdSCGHeQPox5ERb3BD3kRaw4v73&#13;&#10;QaDizHy2JHTc1ouDF6e+OMLKHmiPA2ezuwvzVh8c6q4n8HmUFu5oGK1OOj01cm6ZlirJd/4AcWv/&#13;&#10;PqdXT990+wcAAP//AwBQSwMEFAAGAAgAAAAhANkkGhLjAAAAEgEAAA8AAABkcnMvZG93bnJldi54&#13;&#10;bWxMT0tOwzAQ3SNxB2uQ2KDUCaWFpHGqCgS7CrX0AE48xFHjcRS7bXp7hhVsRvN58z7lenK9OOMY&#13;&#10;Ok8KslkKAqnxpqNWweHrPXkBEaImo3tPqOCKAdbV7U2pC+MvtMPzPraCSSgUWoGNcSikDI1Fp8PM&#13;&#10;D0h8+/aj05HHsZVm1Bcmd718TNOldLojVrB6wFeLzXF/cgo22+MOP666OzxvkUz6OdWLB6vU/d30&#13;&#10;tuKyWYGIOMW/D/jNwP6hYmO1P5EJoleQZGnOASJ3+TwHwZBkOedNzdhs8ZSDrEr5P0r1AwAA//8D&#13;&#10;AFBLAQItABQABgAIAAAAIQC2gziS/gAAAOEBAAATAAAAAAAAAAAAAAAAAAAAAABbQ29udGVudF9U&#13;&#10;eXBlc10ueG1sUEsBAi0AFAAGAAgAAAAhADj9If/WAAAAlAEAAAsAAAAAAAAAAAAAAAAALwEAAF9y&#13;&#10;ZWxzLy5yZWxzUEsBAi0AFAAGAAgAAAAhAKnrsYnvAQAA7gMAAA4AAAAAAAAAAAAAAAAALgIAAGRy&#13;&#10;cy9lMm9Eb2MueG1sUEsBAi0AFAAGAAgAAAAhANkkGhLjAAAAEgEAAA8AAAAAAAAAAAAAAAAASQQA&#13;&#10;AGRycy9kb3ducmV2LnhtbFBLBQYAAAAABAAEAPMAAABZBQAAAAA=&#13;&#10;" fillcolor="#00305f" strokecolor="#00305f">
              <v:textbox style="layout-flow:vertical;mso-layout-flow-alt:bottom-to-top" inset="0,0,0,0">
                <w:txbxContent>
                  <w:p w14:paraId="1C12FDA0" w14:textId="2AF7D2D1" w:rsidR="00CB22A1" w:rsidRPr="009B7D1B" w:rsidRDefault="00CB22A1" w:rsidP="005912C3">
                    <w:pPr>
                      <w:pStyle w:val="Bodytext70"/>
                      <w:shd w:val="clear" w:color="auto" w:fill="003060"/>
                      <w:rPr>
                        <w:rFonts w:ascii="Tahoma" w:hAnsi="Tahoma" w:cs="Tahoma"/>
                        <w:sz w:val="24"/>
                        <w:szCs w:val="24"/>
                        <w:rtl/>
                      </w:rPr>
                    </w:pPr>
                    <w:r>
                      <w:rPr>
                        <w:rStyle w:val="Bodytext7NotBoldExact"/>
                        <w:rFonts w:hint="cs"/>
                        <w:rtl/>
                      </w:rPr>
                      <w:t>....</w:t>
                    </w:r>
                    <w:r w:rsidRPr="009B7D1B">
                      <w:rPr>
                        <w:rStyle w:val="Bodytext7NotBoldExact"/>
                        <w:rFonts w:hint="cs"/>
                        <w:sz w:val="24"/>
                        <w:szCs w:val="24"/>
                        <w:rtl/>
                      </w:rPr>
                      <w:t>ה</w:t>
                    </w:r>
                    <w:r w:rsidRPr="009B7D1B">
                      <w:rPr>
                        <w:rFonts w:hint="cs"/>
                        <w:sz w:val="24"/>
                        <w:szCs w:val="24"/>
                        <w:rtl/>
                      </w:rPr>
                      <w:t xml:space="preserve">                                      </w:t>
                    </w:r>
                    <w:r w:rsidR="001F0E94" w:rsidRPr="001F0E94">
                      <w:rPr>
                        <w:sz w:val="24"/>
                        <w:szCs w:val="24"/>
                        <w:rtl/>
                      </w:rPr>
                      <w:t xml:space="preserve">|  </w:t>
                    </w:r>
                    <w:r w:rsidR="005912C3" w:rsidRPr="005912C3">
                      <w:rPr>
                        <w:rFonts w:ascii="Tahoma" w:hAnsi="Tahoma" w:cs="Tahoma"/>
                        <w:b/>
                        <w:bCs/>
                        <w:rtl/>
                      </w:rPr>
                      <w:t>הדוחות הכספיים של מדינת ישראל ליום 31.12.2020 - חייבים ויתרות חובה</w:t>
                    </w:r>
                  </w:p>
                </w:txbxContent>
              </v:textbox>
              <w10:wrap type="square"/>
            </v:shape>
          </w:pict>
        </mc:Fallback>
      </mc:AlternateContent>
    </w:r>
  </w:p>
  <w:p w14:paraId="52188F3E" w14:textId="6AFEEEA3" w:rsidR="00CB22A1" w:rsidRDefault="00CB22A1" w:rsidP="001C5C9D">
    <w:pPr>
      <w:pStyle w:val="a8"/>
      <w:tabs>
        <w:tab w:val="clear" w:pos="4153"/>
        <w:tab w:val="clear" w:pos="8306"/>
        <w:tab w:val="left" w:pos="4530"/>
      </w:tabs>
      <w:jc w:val="left"/>
      <w:rPr>
        <w:rtl/>
      </w:rPr>
    </w:pPr>
    <w:r>
      <w:rPr>
        <w:rtl/>
      </w:rPr>
      <w:tab/>
    </w:r>
  </w:p>
  <w:p w14:paraId="53D931BB" w14:textId="5644F75E" w:rsidR="00CB22A1" w:rsidRDefault="00CB22A1" w:rsidP="001C5C9D">
    <w:pPr>
      <w:pStyle w:val="a8"/>
      <w:tabs>
        <w:tab w:val="clear" w:pos="4153"/>
        <w:tab w:val="clear" w:pos="8306"/>
        <w:tab w:val="center" w:pos="3685"/>
      </w:tabs>
      <w:jc w:val="left"/>
      <w:rPr>
        <w:rtl/>
      </w:rPr>
    </w:pPr>
    <w:r w:rsidRPr="00DA4512">
      <w:rPr>
        <w:noProof/>
        <w:rtl/>
      </w:rPr>
      <mc:AlternateContent>
        <mc:Choice Requires="wps">
          <w:drawing>
            <wp:anchor distT="45720" distB="45720" distL="114300" distR="114300" simplePos="0" relativeHeight="251681792" behindDoc="0" locked="0" layoutInCell="1" allowOverlap="1" wp14:anchorId="77E535FE" wp14:editId="302867FC">
              <wp:simplePos x="0" y="0"/>
              <wp:positionH relativeFrom="column">
                <wp:posOffset>323850</wp:posOffset>
              </wp:positionH>
              <wp:positionV relativeFrom="paragraph">
                <wp:posOffset>360045</wp:posOffset>
              </wp:positionV>
              <wp:extent cx="3228975" cy="259080"/>
              <wp:effectExtent l="0" t="0" r="28575" b="2667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59080"/>
                      </a:xfrm>
                      <a:prstGeom prst="rect">
                        <a:avLst/>
                      </a:prstGeom>
                      <a:solidFill>
                        <a:srgbClr val="FFFFFF"/>
                      </a:solidFill>
                      <a:ln w="9525">
                        <a:solidFill>
                          <a:schemeClr val="bg1"/>
                        </a:solidFill>
                        <a:miter lim="800000"/>
                        <a:headEnd/>
                        <a:tailEnd/>
                      </a:ln>
                    </wps:spPr>
                    <wps:txbx>
                      <w:txbxContent>
                        <w:p w14:paraId="5FEBDE84" w14:textId="77777777" w:rsidR="003A19A6" w:rsidRPr="004D562B" w:rsidRDefault="003A19A6" w:rsidP="003A19A6">
                          <w:pPr>
                            <w:jc w:val="right"/>
                            <w:rPr>
                              <w:color w:val="0D0D0D"/>
                              <w:sz w:val="16"/>
                              <w:szCs w:val="16"/>
                            </w:rPr>
                          </w:pPr>
                          <w:r>
                            <w:rPr>
                              <w:rFonts w:ascii="Tahoma" w:hAnsi="Tahoma" w:cs="Tahoma" w:hint="cs"/>
                              <w:color w:val="0D0D0D"/>
                              <w:sz w:val="16"/>
                              <w:szCs w:val="16"/>
                              <w:rtl/>
                            </w:rPr>
                            <w:t xml:space="preserve">דוח </w:t>
                          </w:r>
                          <w:r w:rsidRPr="004D562B">
                            <w:rPr>
                              <w:rFonts w:ascii="Tahoma" w:hAnsi="Tahoma" w:cs="Tahoma" w:hint="cs"/>
                              <w:color w:val="0D0D0D"/>
                              <w:sz w:val="16"/>
                              <w:szCs w:val="16"/>
                              <w:rtl/>
                            </w:rPr>
                            <w:t>מבקר המדינה</w:t>
                          </w:r>
                          <w:r>
                            <w:rPr>
                              <w:rFonts w:ascii="Tahoma" w:hAnsi="Tahoma" w:cs="Tahoma" w:hint="cs"/>
                              <w:color w:val="0D0D0D"/>
                              <w:sz w:val="16"/>
                              <w:szCs w:val="16"/>
                              <w:rtl/>
                            </w:rPr>
                            <w:t xml:space="preserve"> </w:t>
                          </w:r>
                          <w:r w:rsidRPr="004D562B">
                            <w:rPr>
                              <w:rFonts w:ascii="Tahoma" w:hAnsi="Tahoma" w:cs="Tahoma" w:hint="cs"/>
                              <w:color w:val="0D0D0D"/>
                              <w:sz w:val="16"/>
                              <w:szCs w:val="16"/>
                              <w:rtl/>
                            </w:rPr>
                            <w:t>|</w:t>
                          </w:r>
                          <w:r>
                            <w:rPr>
                              <w:rFonts w:ascii="Tahoma" w:hAnsi="Tahoma" w:cs="Tahoma" w:hint="cs"/>
                              <w:color w:val="0D0D0D"/>
                              <w:sz w:val="16"/>
                              <w:szCs w:val="16"/>
                              <w:rtl/>
                            </w:rPr>
                            <w:t xml:space="preserve"> אייר </w:t>
                          </w:r>
                          <w:proofErr w:type="spellStart"/>
                          <w:r>
                            <w:rPr>
                              <w:rFonts w:ascii="Tahoma" w:hAnsi="Tahoma" w:cs="Tahoma" w:hint="cs"/>
                              <w:color w:val="0D0D0D"/>
                              <w:sz w:val="16"/>
                              <w:szCs w:val="16"/>
                              <w:rtl/>
                            </w:rPr>
                            <w:t>התשפ״ב</w:t>
                          </w:r>
                          <w:proofErr w:type="spellEnd"/>
                          <w:r>
                            <w:rPr>
                              <w:rFonts w:ascii="Tahoma" w:hAnsi="Tahoma" w:cs="Tahoma" w:hint="cs"/>
                              <w:color w:val="0D0D0D"/>
                              <w:sz w:val="16"/>
                              <w:szCs w:val="16"/>
                              <w:rtl/>
                            </w:rPr>
                            <w:t xml:space="preserve"> </w:t>
                          </w:r>
                          <w:r w:rsidRPr="004D562B">
                            <w:rPr>
                              <w:rFonts w:ascii="Tahoma" w:hAnsi="Tahoma" w:cs="Tahoma" w:hint="cs"/>
                              <w:color w:val="0D0D0D"/>
                              <w:sz w:val="16"/>
                              <w:szCs w:val="16"/>
                              <w:rtl/>
                            </w:rPr>
                            <w:t>|</w:t>
                          </w:r>
                          <w:r>
                            <w:rPr>
                              <w:rFonts w:ascii="Tahoma" w:hAnsi="Tahoma" w:cs="Tahoma" w:hint="cs"/>
                              <w:color w:val="0D0D0D"/>
                              <w:sz w:val="16"/>
                              <w:szCs w:val="16"/>
                              <w:rtl/>
                            </w:rPr>
                            <w:t xml:space="preserve"> מאי 2022</w:t>
                          </w:r>
                          <w:r w:rsidRPr="004D562B">
                            <w:rPr>
                              <w:rFonts w:hint="cs"/>
                              <w:color w:val="0D0D0D"/>
                              <w:sz w:val="16"/>
                              <w:szCs w:val="16"/>
                              <w:rtl/>
                            </w:rPr>
                            <w:t xml:space="preserve">         </w:t>
                          </w:r>
                        </w:p>
                        <w:p w14:paraId="5B61FBF3" w14:textId="2A7DA8AB" w:rsidR="00CB22A1" w:rsidRPr="003A19A6" w:rsidRDefault="00CB22A1" w:rsidP="00DA4512">
                          <w:pPr>
                            <w:jc w:val="right"/>
                            <w:rPr>
                              <w:color w:val="0D0D0D"/>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E535FE" id="_x0000_s1050" type="#_x0000_t202" style="position:absolute;left:0;text-align:left;margin-left:25.5pt;margin-top:28.35pt;width:254.25pt;height:20.4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OGg1GwIAACYEAAAOAAAAZHJzL2Uyb0RvYy54bWysk92O2yAQhe8r9R0Q940dN+4mVpzVNttU&#13;&#10;lbY/0rYPgDG2UTFDgcROn34HnM2m6V1VXyDGwGHmm8P6duwVOQjrJOiSzmcpJUJzqKVuS/rj++7N&#13;&#10;khLnma6ZAi1KehSO3m5ev1oPphAZdKBqYQmKaFcMpqSd96ZIEsc70TM3AyM0LjZge+YxtG1SWzag&#13;&#10;eq+SLE3fJQPY2ljgwjn8ez8t0k3UbxrB/demccITVVLMzcfRxrEKY7JZs6K1zHSSn9Jg/5BFz6TG&#13;&#10;S89S98wzsrfyL6lecgsOGj/j0CfQNJKLWANWM0+vqnnsmBGxFoTjzBmT+3+y/Mvh0XyzxI/vYcQG&#13;&#10;xiKceQD+0xEN247pVtxZC0MnWI0XzwOyZDCuOB0NqF3hgkg1fIYam8z2HqLQ2Ng+UME6CapjA45n&#13;&#10;6GL0hOPPt1m2XN3klHBcy/JVuoxdSVjxfNpY5z8K6EmYlNRiU6M6Ozw4H7JhxfOWcJkDJeudVCoG&#13;&#10;tq22ypIDQwPs4hcLuNqmNBlKusqzfALwh0TwojiLVO2E4Eqhlx6NrGRf0mUavslagdoHXUebeSbV&#13;&#10;NMeMlT5hDOQmhn6sRiJrZJyHwwFrBfURwVqYjIsPDScd2N+UDGjakrpfe2YFJeqTxuas5otFcHkM&#13;&#10;FvlNhoG9XKkuV5jmKFVST8k03fr4MgI3DXfYxEZGvi+ZnHJGM0bsp4cT3H4Zx10vz3vzBAAA//8D&#13;&#10;AFBLAwQUAAYACAAAACEA7w+5E+IAAAANAQAADwAAAGRycy9kb3ducmV2LnhtbEyPQU/DMAyF70j8&#13;&#10;h8hI3Fg6RDraNZ0QE7shREGDY9qYtqJxqibbCr8ec4KLLevpPb+v2MxuEEecQu9Jw3KRgEBqvO2p&#13;&#10;1fD68nB1CyJEQ9YMnlDDFwbYlOdnhcmtP9EzHqvYCg6hkBsNXYxjLmVoOnQmLPyIxNqHn5yJfE6t&#13;&#10;tJM5cbgb5HWSpNKZnvhDZ0a877D5rA5OQ2iSdP90U+3farnD78za7fvuUevLi3m75nG3BhFxjn8O&#13;&#10;+GXg/lBysdofyAYxaFBL5om80xUI1pXKFIhaQ7ZSIMtC/qcofwAAAP//AwBQSwECLQAUAAYACAAA&#13;&#10;ACEAtoM4kv4AAADhAQAAEwAAAAAAAAAAAAAAAAAAAAAAW0NvbnRlbnRfVHlwZXNdLnhtbFBLAQIt&#13;&#10;ABQABgAIAAAAIQA4/SH/1gAAAJQBAAALAAAAAAAAAAAAAAAAAC8BAABfcmVscy8ucmVsc1BLAQIt&#13;&#10;ABQABgAIAAAAIQAZOGg1GwIAACYEAAAOAAAAAAAAAAAAAAAAAC4CAABkcnMvZTJvRG9jLnhtbFBL&#13;&#10;AQItABQABgAIAAAAIQDvD7kT4gAAAA0BAAAPAAAAAAAAAAAAAAAAAHUEAABkcnMvZG93bnJldi54&#13;&#10;bWxQSwUGAAAAAAQABADzAAAAhAUAAAAA&#13;&#10;" strokecolor="white [3212]">
              <v:textbox>
                <w:txbxContent>
                  <w:p w14:paraId="5FEBDE84" w14:textId="77777777" w:rsidR="003A19A6" w:rsidRPr="004D562B" w:rsidRDefault="003A19A6" w:rsidP="003A19A6">
                    <w:pPr>
                      <w:jc w:val="right"/>
                      <w:rPr>
                        <w:color w:val="0D0D0D"/>
                        <w:sz w:val="16"/>
                        <w:szCs w:val="16"/>
                      </w:rPr>
                    </w:pPr>
                    <w:r>
                      <w:rPr>
                        <w:rFonts w:ascii="Tahoma" w:hAnsi="Tahoma" w:cs="Tahoma" w:hint="cs"/>
                        <w:color w:val="0D0D0D"/>
                        <w:sz w:val="16"/>
                        <w:szCs w:val="16"/>
                        <w:rtl/>
                      </w:rPr>
                      <w:t xml:space="preserve">דוח </w:t>
                    </w:r>
                    <w:r w:rsidRPr="004D562B">
                      <w:rPr>
                        <w:rFonts w:ascii="Tahoma" w:hAnsi="Tahoma" w:cs="Tahoma" w:hint="cs"/>
                        <w:color w:val="0D0D0D"/>
                        <w:sz w:val="16"/>
                        <w:szCs w:val="16"/>
                        <w:rtl/>
                      </w:rPr>
                      <w:t>מבקר המדינה</w:t>
                    </w:r>
                    <w:r>
                      <w:rPr>
                        <w:rFonts w:ascii="Tahoma" w:hAnsi="Tahoma" w:cs="Tahoma" w:hint="cs"/>
                        <w:color w:val="0D0D0D"/>
                        <w:sz w:val="16"/>
                        <w:szCs w:val="16"/>
                        <w:rtl/>
                      </w:rPr>
                      <w:t xml:space="preserve"> </w:t>
                    </w:r>
                    <w:r w:rsidRPr="004D562B">
                      <w:rPr>
                        <w:rFonts w:ascii="Tahoma" w:hAnsi="Tahoma" w:cs="Tahoma" w:hint="cs"/>
                        <w:color w:val="0D0D0D"/>
                        <w:sz w:val="16"/>
                        <w:szCs w:val="16"/>
                        <w:rtl/>
                      </w:rPr>
                      <w:t>|</w:t>
                    </w:r>
                    <w:r>
                      <w:rPr>
                        <w:rFonts w:ascii="Tahoma" w:hAnsi="Tahoma" w:cs="Tahoma" w:hint="cs"/>
                        <w:color w:val="0D0D0D"/>
                        <w:sz w:val="16"/>
                        <w:szCs w:val="16"/>
                        <w:rtl/>
                      </w:rPr>
                      <w:t xml:space="preserve"> אייר </w:t>
                    </w:r>
                    <w:proofErr w:type="spellStart"/>
                    <w:r>
                      <w:rPr>
                        <w:rFonts w:ascii="Tahoma" w:hAnsi="Tahoma" w:cs="Tahoma" w:hint="cs"/>
                        <w:color w:val="0D0D0D"/>
                        <w:sz w:val="16"/>
                        <w:szCs w:val="16"/>
                        <w:rtl/>
                      </w:rPr>
                      <w:t>התשפ״ב</w:t>
                    </w:r>
                    <w:proofErr w:type="spellEnd"/>
                    <w:r>
                      <w:rPr>
                        <w:rFonts w:ascii="Tahoma" w:hAnsi="Tahoma" w:cs="Tahoma" w:hint="cs"/>
                        <w:color w:val="0D0D0D"/>
                        <w:sz w:val="16"/>
                        <w:szCs w:val="16"/>
                        <w:rtl/>
                      </w:rPr>
                      <w:t xml:space="preserve"> </w:t>
                    </w:r>
                    <w:r w:rsidRPr="004D562B">
                      <w:rPr>
                        <w:rFonts w:ascii="Tahoma" w:hAnsi="Tahoma" w:cs="Tahoma" w:hint="cs"/>
                        <w:color w:val="0D0D0D"/>
                        <w:sz w:val="16"/>
                        <w:szCs w:val="16"/>
                        <w:rtl/>
                      </w:rPr>
                      <w:t>|</w:t>
                    </w:r>
                    <w:r>
                      <w:rPr>
                        <w:rFonts w:ascii="Tahoma" w:hAnsi="Tahoma" w:cs="Tahoma" w:hint="cs"/>
                        <w:color w:val="0D0D0D"/>
                        <w:sz w:val="16"/>
                        <w:szCs w:val="16"/>
                        <w:rtl/>
                      </w:rPr>
                      <w:t xml:space="preserve"> מאי 2022</w:t>
                    </w:r>
                    <w:r w:rsidRPr="004D562B">
                      <w:rPr>
                        <w:rFonts w:hint="cs"/>
                        <w:color w:val="0D0D0D"/>
                        <w:sz w:val="16"/>
                        <w:szCs w:val="16"/>
                        <w:rtl/>
                      </w:rPr>
                      <w:t xml:space="preserve">         </w:t>
                    </w:r>
                  </w:p>
                  <w:p w14:paraId="5B61FBF3" w14:textId="2A7DA8AB" w:rsidR="00CB22A1" w:rsidRPr="003A19A6" w:rsidRDefault="00CB22A1" w:rsidP="00DA4512">
                    <w:pPr>
                      <w:jc w:val="right"/>
                      <w:rPr>
                        <w:color w:val="0D0D0D"/>
                        <w:sz w:val="16"/>
                        <w:szCs w:val="16"/>
                      </w:rPr>
                    </w:pPr>
                  </w:p>
                </w:txbxContent>
              </v:textbox>
            </v:shape>
          </w:pict>
        </mc:Fallback>
      </mc:AlternateContent>
    </w:r>
    <w:r w:rsidRPr="00DA4512">
      <w:rPr>
        <w:noProof/>
        <w:szCs w:val="20"/>
        <w:rtl/>
      </w:rPr>
      <w:drawing>
        <wp:anchor distT="0" distB="0" distL="114300" distR="114300" simplePos="0" relativeHeight="251683840" behindDoc="0" locked="0" layoutInCell="1" allowOverlap="1" wp14:anchorId="5D49DFC2" wp14:editId="703DE9FA">
          <wp:simplePos x="0" y="0"/>
          <wp:positionH relativeFrom="column">
            <wp:posOffset>-17780</wp:posOffset>
          </wp:positionH>
          <wp:positionV relativeFrom="paragraph">
            <wp:posOffset>380365</wp:posOffset>
          </wp:positionV>
          <wp:extent cx="343535" cy="240030"/>
          <wp:effectExtent l="0" t="0" r="0" b="7620"/>
          <wp:wrapSquare wrapText="bothSides"/>
          <wp:docPr id="24785171" name="Picture 205277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3600" behindDoc="0" locked="0" layoutInCell="1" allowOverlap="1" wp14:anchorId="0AE00497" wp14:editId="4B3E8D5D">
              <wp:simplePos x="0" y="0"/>
              <wp:positionH relativeFrom="column">
                <wp:posOffset>-55880</wp:posOffset>
              </wp:positionH>
              <wp:positionV relativeFrom="paragraph">
                <wp:posOffset>640080</wp:posOffset>
              </wp:positionV>
              <wp:extent cx="6721475" cy="0"/>
              <wp:effectExtent l="0" t="0" r="0" b="0"/>
              <wp:wrapNone/>
              <wp:docPr id="20" name="Straight Connector 20"/>
              <wp:cNvGraphicFramePr/>
              <a:graphic xmlns:a="http://schemas.openxmlformats.org/drawingml/2006/main">
                <a:graphicData uri="http://schemas.microsoft.com/office/word/2010/wordprocessingShape">
                  <wps:wsp>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A150D5" id="Straight Connector 20" o:spid="_x0000_s1026" style="position:absolute;left:0;text-align:lef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50.4pt" to="524.85pt,5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AvR/QEAAFIEAAAOAAAAZHJzL2Uyb0RvYy54bWysVE1v3CAQvVfqf0Dcu7a3TdJY681ho7SH&#10;fqya9gcQDGskYBCQtfffdwCvm7S9pOoFMV9v5j3G3txMRpOj8EGB7WizqikRlkOv7KGjP77fvXlP&#10;SYjM9kyDFR09iUBvtq9fbUbXijUMoHvhCYLY0I6uo0OMrq2qwAdhWFiBExaDErxhEU1/qHrPRkQ3&#10;ulrX9WU1gu+dBy5CQO9tCdJtxpdS8PhVyiAi0R3F2WI+fT4f0lltN6w9eOYGxecx2D9MYZiy2HSB&#10;umWRkUev/oAyinsIIOOKg6lASsVF5oBsmvo3NvcDcyJzQXGCW2QK/w+WfznuPVF9R9coj2UG3+g+&#10;eqYOQyQ7sBYVBE8wiEqNLrRYsLN7P1vB7X2iPUlviNTKfcQlyEIgNTJlnU+LzmKKhKPz8mrdvLu6&#10;oISfY1WBSFDOh/hBgCHp0lGtbJKAtez4KURsi6nnlOTWlowdfdsgXDIDaNXfKa2zkbZI7LQnR4bv&#10;H6cymn40n6EvvuuLup63AN24K8V99mKzvIoJJLd+go8xbdGZVCk65Fs8aVEG+yYkKot8S9sFqLRg&#10;nAsbm6RrRsLsVCZx9qWwLpye03heOOenUpH3/SXFS0XuDDYuxUZZ8H/rnkQsI8uSf1ag8E4SPEB/&#10;yhuSpcHFzQznjyx9GU/tXP7rV7D9CQAA//8DAFBLAwQUAAYACAAAACEA+WGemt4AAAALAQAADwAA&#10;AGRycy9kb3ducmV2LnhtbEyPW0vDQBCF3wX/wzKCb+1uRbSm2RQrSkUo0ovv2+w0Cc3Ohuzm4r93&#10;CoK+zZxzOPNNuhxdLXpsQ+VJw2yqQCDl3lZUaDjs3yZzECEasqb2hBq+McAyu75KTWL9QFvsd7EQ&#10;XEIhMRrKGJtEypCX6EyY+gaJvZNvnYm8toW0rRm43NXyTqkH6UxFfKE0Db6UmJ93ndOw+VqPH/2Q&#10;r/rVbH9ed+/bw+drqfXtzfi8ABFxjH9huOAzOmTMdPQd2SBqDZM5k0fWleLhElD3T48gjr+SzFL5&#10;/4fsBwAA//8DAFBLAQItABQABgAIAAAAIQC2gziS/gAAAOEBAAATAAAAAAAAAAAAAAAAAAAAAABb&#10;Q29udGVudF9UeXBlc10ueG1sUEsBAi0AFAAGAAgAAAAhADj9If/WAAAAlAEAAAsAAAAAAAAAAAAA&#10;AAAALwEAAF9yZWxzLy5yZWxzUEsBAi0AFAAGAAgAAAAhAAtwC9H9AQAAUgQAAA4AAAAAAAAAAAAA&#10;AAAALgIAAGRycy9lMm9Eb2MueG1sUEsBAi0AFAAGAAgAAAAhAPlhnpreAAAACwEAAA8AAAAAAAAA&#10;AAAAAAAAVwQAAGRycy9kb3ducmV2LnhtbFBLBQYAAAAABAAEAPMAAABiBQAAAAA=&#10;" strokecolor="#0d0d0d [3069]" strokeweight=".25pt"/>
          </w:pict>
        </mc:Fallback>
      </mc:AlternateContent>
    </w:r>
  </w:p>
  <w:p w14:paraId="2ED2B88D" w14:textId="77777777" w:rsidR="001752CB" w:rsidRDefault="001752CB" w:rsidP="001C5C9D">
    <w:pPr>
      <w:pStyle w:val="a8"/>
      <w:tabs>
        <w:tab w:val="clear" w:pos="4153"/>
        <w:tab w:val="clear" w:pos="8306"/>
        <w:tab w:val="center" w:pos="3685"/>
      </w:tabs>
      <w:jc w:val="left"/>
      <w:rPr>
        <w:rtl/>
      </w:rPr>
    </w:pPr>
  </w:p>
  <w:p w14:paraId="133C0DA0" w14:textId="2E0368D3" w:rsidR="00CB22A1" w:rsidRPr="001526AC" w:rsidRDefault="00CB22A1" w:rsidP="001C5C9D">
    <w:pPr>
      <w:pStyle w:val="a8"/>
      <w:tabs>
        <w:tab w:val="clear" w:pos="4153"/>
        <w:tab w:val="clear" w:pos="8306"/>
        <w:tab w:val="center" w:pos="3685"/>
      </w:tabs>
      <w:jc w:val="left"/>
      <w:rPr>
        <w:rtl/>
      </w:rPr>
    </w:pPr>
    <w:r>
      <w:rPr>
        <w:rtl/>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81" type="#_x0000_t75" style="width:590.5pt;height:590.5pt" o:bullet="t">
        <v:imagedata r:id="rId1" o:title="זכוכית מגדלת5"/>
      </v:shape>
    </w:pict>
  </w:numPicBullet>
  <w:abstractNum w:abstractNumId="0" w15:restartNumberingAfterBreak="0">
    <w:nsid w:val="02CB5F4A"/>
    <w:multiLevelType w:val="multilevel"/>
    <w:tmpl w:val="CCBE3614"/>
    <w:lvl w:ilvl="0">
      <w:start w:val="1"/>
      <w:numFmt w:val="decimal"/>
      <w:lvlText w:val="%1."/>
      <w:lvlJc w:val="left"/>
      <w:pPr>
        <w:ind w:left="397" w:hanging="39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he-IL"/>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hebrew1"/>
      <w:lvlText w:val="%2."/>
      <w:lvlJc w:val="left"/>
      <w:pPr>
        <w:ind w:left="765" w:hanging="340"/>
      </w:pPr>
      <w:rPr>
        <w:rFonts w:hint="default"/>
        <w:lang w:val="en-US"/>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 w15:restartNumberingAfterBreak="0">
    <w:nsid w:val="07C54509"/>
    <w:multiLevelType w:val="multilevel"/>
    <w:tmpl w:val="3030E6FC"/>
    <w:lvl w:ilvl="0">
      <w:start w:val="1"/>
      <w:numFmt w:val="decimal"/>
      <w:pStyle w:val="71"/>
      <w:lvlText w:val="%1."/>
      <w:lvlJc w:val="left"/>
      <w:pPr>
        <w:ind w:left="340" w:hanging="340"/>
      </w:pPr>
      <w:rPr>
        <w:rFonts w:hint="default"/>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2" w15:restartNumberingAfterBreak="0">
    <w:nsid w:val="0CF13CD4"/>
    <w:multiLevelType w:val="hybridMultilevel"/>
    <w:tmpl w:val="F732F02C"/>
    <w:lvl w:ilvl="0" w:tplc="7D8ABC5A">
      <w:start w:val="1"/>
      <w:numFmt w:val="hebrew2"/>
      <w:pStyle w:val="71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DA1A01"/>
    <w:multiLevelType w:val="hybridMultilevel"/>
    <w:tmpl w:val="CD76C6BE"/>
    <w:lvl w:ilvl="0" w:tplc="0DBA124E">
      <w:start w:val="1"/>
      <w:numFmt w:val="bullet"/>
      <w:pStyle w:val="71BULLETS"/>
      <w:lvlText w:val=""/>
      <w:lvlJc w:val="left"/>
      <w:pPr>
        <w:ind w:left="720" w:hanging="360"/>
      </w:pPr>
      <w:rPr>
        <w:rFonts w:ascii="Symbol" w:hAnsi="Symbol" w:hint="default"/>
      </w:rPr>
    </w:lvl>
    <w:lvl w:ilvl="1" w:tplc="8EEA39A8" w:tentative="1">
      <w:start w:val="1"/>
      <w:numFmt w:val="bullet"/>
      <w:lvlText w:val="o"/>
      <w:lvlJc w:val="left"/>
      <w:pPr>
        <w:ind w:left="1440" w:hanging="360"/>
      </w:pPr>
      <w:rPr>
        <w:rFonts w:ascii="Courier New" w:hAnsi="Courier New" w:cs="Courier New" w:hint="default"/>
      </w:rPr>
    </w:lvl>
    <w:lvl w:ilvl="2" w:tplc="3FF652A0" w:tentative="1">
      <w:start w:val="1"/>
      <w:numFmt w:val="bullet"/>
      <w:lvlText w:val=""/>
      <w:lvlJc w:val="left"/>
      <w:pPr>
        <w:ind w:left="2160" w:hanging="360"/>
      </w:pPr>
      <w:rPr>
        <w:rFonts w:ascii="Wingdings" w:hAnsi="Wingdings" w:hint="default"/>
      </w:rPr>
    </w:lvl>
    <w:lvl w:ilvl="3" w:tplc="53A447CC" w:tentative="1">
      <w:start w:val="1"/>
      <w:numFmt w:val="bullet"/>
      <w:lvlText w:val=""/>
      <w:lvlJc w:val="left"/>
      <w:pPr>
        <w:ind w:left="2880" w:hanging="360"/>
      </w:pPr>
      <w:rPr>
        <w:rFonts w:ascii="Symbol" w:hAnsi="Symbol" w:hint="default"/>
      </w:rPr>
    </w:lvl>
    <w:lvl w:ilvl="4" w:tplc="EA682A22" w:tentative="1">
      <w:start w:val="1"/>
      <w:numFmt w:val="bullet"/>
      <w:lvlText w:val="o"/>
      <w:lvlJc w:val="left"/>
      <w:pPr>
        <w:ind w:left="3600" w:hanging="360"/>
      </w:pPr>
      <w:rPr>
        <w:rFonts w:ascii="Courier New" w:hAnsi="Courier New" w:cs="Courier New" w:hint="default"/>
      </w:rPr>
    </w:lvl>
    <w:lvl w:ilvl="5" w:tplc="D9A0681E" w:tentative="1">
      <w:start w:val="1"/>
      <w:numFmt w:val="bullet"/>
      <w:lvlText w:val=""/>
      <w:lvlJc w:val="left"/>
      <w:pPr>
        <w:ind w:left="4320" w:hanging="360"/>
      </w:pPr>
      <w:rPr>
        <w:rFonts w:ascii="Wingdings" w:hAnsi="Wingdings" w:hint="default"/>
      </w:rPr>
    </w:lvl>
    <w:lvl w:ilvl="6" w:tplc="B3EE4F6E" w:tentative="1">
      <w:start w:val="1"/>
      <w:numFmt w:val="bullet"/>
      <w:lvlText w:val=""/>
      <w:lvlJc w:val="left"/>
      <w:pPr>
        <w:ind w:left="5040" w:hanging="360"/>
      </w:pPr>
      <w:rPr>
        <w:rFonts w:ascii="Symbol" w:hAnsi="Symbol" w:hint="default"/>
      </w:rPr>
    </w:lvl>
    <w:lvl w:ilvl="7" w:tplc="C908D7F6" w:tentative="1">
      <w:start w:val="1"/>
      <w:numFmt w:val="bullet"/>
      <w:lvlText w:val="o"/>
      <w:lvlJc w:val="left"/>
      <w:pPr>
        <w:ind w:left="5760" w:hanging="360"/>
      </w:pPr>
      <w:rPr>
        <w:rFonts w:ascii="Courier New" w:hAnsi="Courier New" w:cs="Courier New" w:hint="default"/>
      </w:rPr>
    </w:lvl>
    <w:lvl w:ilvl="8" w:tplc="AC88497A" w:tentative="1">
      <w:start w:val="1"/>
      <w:numFmt w:val="bullet"/>
      <w:lvlText w:val=""/>
      <w:lvlJc w:val="left"/>
      <w:pPr>
        <w:ind w:left="6480" w:hanging="360"/>
      </w:pPr>
      <w:rPr>
        <w:rFonts w:ascii="Wingdings" w:hAnsi="Wingdings" w:hint="default"/>
      </w:rPr>
    </w:lvl>
  </w:abstractNum>
  <w:abstractNum w:abstractNumId="4" w15:restartNumberingAfterBreak="0">
    <w:nsid w:val="0DDD178A"/>
    <w:multiLevelType w:val="hybridMultilevel"/>
    <w:tmpl w:val="FEFEF4F2"/>
    <w:lvl w:ilvl="0" w:tplc="85847C20">
      <w:start w:val="1"/>
      <w:numFmt w:val="bullet"/>
      <w:pStyle w:val="71BULLETS0"/>
      <w:lvlText w:val=""/>
      <w:lvlJc w:val="left"/>
      <w:pPr>
        <w:ind w:left="1414" w:hanging="360"/>
      </w:pPr>
      <w:rPr>
        <w:rFonts w:ascii="Symbol" w:hAnsi="Symbol" w:hint="default"/>
      </w:rPr>
    </w:lvl>
    <w:lvl w:ilvl="1" w:tplc="04090003" w:tentative="1">
      <w:start w:val="1"/>
      <w:numFmt w:val="bullet"/>
      <w:lvlText w:val="o"/>
      <w:lvlJc w:val="left"/>
      <w:pPr>
        <w:ind w:left="2134" w:hanging="360"/>
      </w:pPr>
      <w:rPr>
        <w:rFonts w:ascii="Courier New" w:hAnsi="Courier New" w:cs="Courier New" w:hint="default"/>
      </w:rPr>
    </w:lvl>
    <w:lvl w:ilvl="2" w:tplc="04090005" w:tentative="1">
      <w:start w:val="1"/>
      <w:numFmt w:val="bullet"/>
      <w:lvlText w:val=""/>
      <w:lvlJc w:val="left"/>
      <w:pPr>
        <w:ind w:left="2854" w:hanging="360"/>
      </w:pPr>
      <w:rPr>
        <w:rFonts w:ascii="Wingdings" w:hAnsi="Wingdings" w:hint="default"/>
      </w:rPr>
    </w:lvl>
    <w:lvl w:ilvl="3" w:tplc="04090001" w:tentative="1">
      <w:start w:val="1"/>
      <w:numFmt w:val="bullet"/>
      <w:lvlText w:val=""/>
      <w:lvlJc w:val="left"/>
      <w:pPr>
        <w:ind w:left="3574" w:hanging="360"/>
      </w:pPr>
      <w:rPr>
        <w:rFonts w:ascii="Symbol" w:hAnsi="Symbol" w:hint="default"/>
      </w:rPr>
    </w:lvl>
    <w:lvl w:ilvl="4" w:tplc="04090003" w:tentative="1">
      <w:start w:val="1"/>
      <w:numFmt w:val="bullet"/>
      <w:lvlText w:val="o"/>
      <w:lvlJc w:val="left"/>
      <w:pPr>
        <w:ind w:left="4294" w:hanging="360"/>
      </w:pPr>
      <w:rPr>
        <w:rFonts w:ascii="Courier New" w:hAnsi="Courier New" w:cs="Courier New" w:hint="default"/>
      </w:rPr>
    </w:lvl>
    <w:lvl w:ilvl="5" w:tplc="04090005" w:tentative="1">
      <w:start w:val="1"/>
      <w:numFmt w:val="bullet"/>
      <w:lvlText w:val=""/>
      <w:lvlJc w:val="left"/>
      <w:pPr>
        <w:ind w:left="5014" w:hanging="360"/>
      </w:pPr>
      <w:rPr>
        <w:rFonts w:ascii="Wingdings" w:hAnsi="Wingdings" w:hint="default"/>
      </w:rPr>
    </w:lvl>
    <w:lvl w:ilvl="6" w:tplc="04090001" w:tentative="1">
      <w:start w:val="1"/>
      <w:numFmt w:val="bullet"/>
      <w:lvlText w:val=""/>
      <w:lvlJc w:val="left"/>
      <w:pPr>
        <w:ind w:left="5734" w:hanging="360"/>
      </w:pPr>
      <w:rPr>
        <w:rFonts w:ascii="Symbol" w:hAnsi="Symbol" w:hint="default"/>
      </w:rPr>
    </w:lvl>
    <w:lvl w:ilvl="7" w:tplc="04090003" w:tentative="1">
      <w:start w:val="1"/>
      <w:numFmt w:val="bullet"/>
      <w:lvlText w:val="o"/>
      <w:lvlJc w:val="left"/>
      <w:pPr>
        <w:ind w:left="6454" w:hanging="360"/>
      </w:pPr>
      <w:rPr>
        <w:rFonts w:ascii="Courier New" w:hAnsi="Courier New" w:cs="Courier New" w:hint="default"/>
      </w:rPr>
    </w:lvl>
    <w:lvl w:ilvl="8" w:tplc="04090005" w:tentative="1">
      <w:start w:val="1"/>
      <w:numFmt w:val="bullet"/>
      <w:lvlText w:val=""/>
      <w:lvlJc w:val="left"/>
      <w:pPr>
        <w:ind w:left="7174" w:hanging="360"/>
      </w:pPr>
      <w:rPr>
        <w:rFonts w:ascii="Wingdings" w:hAnsi="Wingdings" w:hint="default"/>
      </w:rPr>
    </w:lvl>
  </w:abstractNum>
  <w:abstractNum w:abstractNumId="5" w15:restartNumberingAfterBreak="0">
    <w:nsid w:val="18714FD9"/>
    <w:multiLevelType w:val="multilevel"/>
    <w:tmpl w:val="0FEAF932"/>
    <w:lvl w:ilvl="0">
      <w:start w:val="1"/>
      <w:numFmt w:val="decimal"/>
      <w:lvlText w:val="%1."/>
      <w:lvlJc w:val="left"/>
      <w:pPr>
        <w:ind w:left="397" w:hanging="39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he-IL"/>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hebrew1"/>
      <w:lvlText w:val="%2."/>
      <w:lvlJc w:val="left"/>
      <w:pPr>
        <w:ind w:left="765" w:hanging="340"/>
      </w:pPr>
      <w:rPr>
        <w:rFonts w:hint="default"/>
        <w:lang w:val="en-US"/>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6" w15:restartNumberingAfterBreak="0">
    <w:nsid w:val="1A0D200F"/>
    <w:multiLevelType w:val="hybridMultilevel"/>
    <w:tmpl w:val="8206BB0C"/>
    <w:lvl w:ilvl="0" w:tplc="6CEE6EDA">
      <w:start w:val="1"/>
      <w:numFmt w:val="bullet"/>
      <w:pStyle w:val="Style3"/>
      <w:lvlText w:val=""/>
      <w:lvlPicBulletId w:val="0"/>
      <w:lvlJc w:val="left"/>
      <w:pPr>
        <w:ind w:left="1573" w:hanging="360"/>
      </w:pPr>
      <w:rPr>
        <w:rFonts w:ascii="Symbol" w:hAnsi="Symbol" w:cs="Symbol" w:hint="default"/>
        <w:color w:val="auto"/>
        <w:sz w:val="28"/>
        <w:szCs w:val="28"/>
        <w:lang w:bidi="he-IL"/>
      </w:rPr>
    </w:lvl>
    <w:lvl w:ilvl="1" w:tplc="04090003">
      <w:start w:val="1"/>
      <w:numFmt w:val="bullet"/>
      <w:lvlText w:val="o"/>
      <w:lvlJc w:val="left"/>
      <w:pPr>
        <w:ind w:left="2435" w:hanging="360"/>
      </w:pPr>
      <w:rPr>
        <w:rFonts w:ascii="Courier New" w:hAnsi="Courier New" w:cs="Courier New" w:hint="default"/>
      </w:rPr>
    </w:lvl>
    <w:lvl w:ilvl="2" w:tplc="04090005" w:tentative="1">
      <w:start w:val="1"/>
      <w:numFmt w:val="bullet"/>
      <w:lvlText w:val=""/>
      <w:lvlJc w:val="left"/>
      <w:pPr>
        <w:ind w:left="3155" w:hanging="360"/>
      </w:pPr>
      <w:rPr>
        <w:rFonts w:ascii="Wingdings" w:hAnsi="Wingdings" w:hint="default"/>
      </w:rPr>
    </w:lvl>
    <w:lvl w:ilvl="3" w:tplc="04090001" w:tentative="1">
      <w:start w:val="1"/>
      <w:numFmt w:val="bullet"/>
      <w:lvlText w:val=""/>
      <w:lvlJc w:val="left"/>
      <w:pPr>
        <w:ind w:left="3875" w:hanging="360"/>
      </w:pPr>
      <w:rPr>
        <w:rFonts w:ascii="Symbol" w:hAnsi="Symbol" w:hint="default"/>
      </w:rPr>
    </w:lvl>
    <w:lvl w:ilvl="4" w:tplc="04090003" w:tentative="1">
      <w:start w:val="1"/>
      <w:numFmt w:val="bullet"/>
      <w:lvlText w:val="o"/>
      <w:lvlJc w:val="left"/>
      <w:pPr>
        <w:ind w:left="4595" w:hanging="360"/>
      </w:pPr>
      <w:rPr>
        <w:rFonts w:ascii="Courier New" w:hAnsi="Courier New" w:cs="Courier New" w:hint="default"/>
      </w:rPr>
    </w:lvl>
    <w:lvl w:ilvl="5" w:tplc="04090005" w:tentative="1">
      <w:start w:val="1"/>
      <w:numFmt w:val="bullet"/>
      <w:lvlText w:val=""/>
      <w:lvlJc w:val="left"/>
      <w:pPr>
        <w:ind w:left="5315" w:hanging="360"/>
      </w:pPr>
      <w:rPr>
        <w:rFonts w:ascii="Wingdings" w:hAnsi="Wingdings" w:hint="default"/>
      </w:rPr>
    </w:lvl>
    <w:lvl w:ilvl="6" w:tplc="04090001" w:tentative="1">
      <w:start w:val="1"/>
      <w:numFmt w:val="bullet"/>
      <w:lvlText w:val=""/>
      <w:lvlJc w:val="left"/>
      <w:pPr>
        <w:ind w:left="6035" w:hanging="360"/>
      </w:pPr>
      <w:rPr>
        <w:rFonts w:ascii="Symbol" w:hAnsi="Symbol" w:hint="default"/>
      </w:rPr>
    </w:lvl>
    <w:lvl w:ilvl="7" w:tplc="04090003" w:tentative="1">
      <w:start w:val="1"/>
      <w:numFmt w:val="bullet"/>
      <w:lvlText w:val="o"/>
      <w:lvlJc w:val="left"/>
      <w:pPr>
        <w:ind w:left="6755" w:hanging="360"/>
      </w:pPr>
      <w:rPr>
        <w:rFonts w:ascii="Courier New" w:hAnsi="Courier New" w:cs="Courier New" w:hint="default"/>
      </w:rPr>
    </w:lvl>
    <w:lvl w:ilvl="8" w:tplc="04090005" w:tentative="1">
      <w:start w:val="1"/>
      <w:numFmt w:val="bullet"/>
      <w:lvlText w:val=""/>
      <w:lvlJc w:val="left"/>
      <w:pPr>
        <w:ind w:left="7475" w:hanging="360"/>
      </w:pPr>
      <w:rPr>
        <w:rFonts w:ascii="Wingdings" w:hAnsi="Wingdings" w:hint="default"/>
      </w:rPr>
    </w:lvl>
  </w:abstractNum>
  <w:abstractNum w:abstractNumId="7" w15:restartNumberingAfterBreak="0">
    <w:nsid w:val="1CCB5BF3"/>
    <w:multiLevelType w:val="multilevel"/>
    <w:tmpl w:val="646C0440"/>
    <w:lvl w:ilvl="0">
      <w:start w:val="1"/>
      <w:numFmt w:val="decimal"/>
      <w:lvlRestart w:val="0"/>
      <w:lvlText w:val="%1."/>
      <w:lvlJc w:val="left"/>
      <w:pPr>
        <w:ind w:left="340" w:hanging="340"/>
      </w:pPr>
      <w:rPr>
        <w:rFonts w:hint="default"/>
      </w:rPr>
    </w:lvl>
    <w:lvl w:ilvl="1">
      <w:start w:val="1"/>
      <w:numFmt w:val="none"/>
      <w:pStyle w:val="710"/>
      <w:lvlText w:val="א."/>
      <w:lvlJc w:val="left"/>
      <w:pPr>
        <w:tabs>
          <w:tab w:val="num" w:pos="794"/>
        </w:tabs>
        <w:ind w:left="794" w:hanging="85"/>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3)"/>
      <w:lvlJc w:val="left"/>
      <w:pPr>
        <w:ind w:left="1077" w:hanging="397"/>
      </w:pPr>
      <w:rPr>
        <w:rFonts w:hint="default"/>
        <w:sz w:val="24"/>
        <w:szCs w:val="24"/>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8" w15:restartNumberingAfterBreak="0">
    <w:nsid w:val="2290171E"/>
    <w:multiLevelType w:val="hybridMultilevel"/>
    <w:tmpl w:val="667AC104"/>
    <w:lvl w:ilvl="0" w:tplc="332ED1A6">
      <w:start w:val="1"/>
      <w:numFmt w:val="decimal"/>
      <w:pStyle w:val="711"/>
      <w:lvlText w:val="(%1)"/>
      <w:lvlJc w:val="left"/>
      <w:pPr>
        <w:ind w:left="1069" w:hanging="360"/>
      </w:pPr>
      <w:rPr>
        <w:rFonts w:hint="default"/>
      </w:rPr>
    </w:lvl>
    <w:lvl w:ilvl="1" w:tplc="26D2884C" w:tentative="1">
      <w:start w:val="1"/>
      <w:numFmt w:val="lowerLetter"/>
      <w:lvlText w:val="%2."/>
      <w:lvlJc w:val="left"/>
      <w:pPr>
        <w:ind w:left="1789" w:hanging="360"/>
      </w:pPr>
    </w:lvl>
    <w:lvl w:ilvl="2" w:tplc="5C0A849E" w:tentative="1">
      <w:start w:val="1"/>
      <w:numFmt w:val="lowerRoman"/>
      <w:lvlText w:val="%3."/>
      <w:lvlJc w:val="right"/>
      <w:pPr>
        <w:ind w:left="2509" w:hanging="180"/>
      </w:pPr>
    </w:lvl>
    <w:lvl w:ilvl="3" w:tplc="0BB6992E" w:tentative="1">
      <w:start w:val="1"/>
      <w:numFmt w:val="decimal"/>
      <w:lvlText w:val="%4."/>
      <w:lvlJc w:val="left"/>
      <w:pPr>
        <w:ind w:left="3229" w:hanging="360"/>
      </w:pPr>
    </w:lvl>
    <w:lvl w:ilvl="4" w:tplc="05222928" w:tentative="1">
      <w:start w:val="1"/>
      <w:numFmt w:val="lowerLetter"/>
      <w:lvlText w:val="%5."/>
      <w:lvlJc w:val="left"/>
      <w:pPr>
        <w:ind w:left="3949" w:hanging="360"/>
      </w:pPr>
    </w:lvl>
    <w:lvl w:ilvl="5" w:tplc="43CE8704" w:tentative="1">
      <w:start w:val="1"/>
      <w:numFmt w:val="lowerRoman"/>
      <w:lvlText w:val="%6."/>
      <w:lvlJc w:val="right"/>
      <w:pPr>
        <w:ind w:left="4669" w:hanging="180"/>
      </w:pPr>
    </w:lvl>
    <w:lvl w:ilvl="6" w:tplc="0E042B04" w:tentative="1">
      <w:start w:val="1"/>
      <w:numFmt w:val="decimal"/>
      <w:lvlText w:val="%7."/>
      <w:lvlJc w:val="left"/>
      <w:pPr>
        <w:ind w:left="5389" w:hanging="360"/>
      </w:pPr>
    </w:lvl>
    <w:lvl w:ilvl="7" w:tplc="851E41E8" w:tentative="1">
      <w:start w:val="1"/>
      <w:numFmt w:val="lowerLetter"/>
      <w:lvlText w:val="%8."/>
      <w:lvlJc w:val="left"/>
      <w:pPr>
        <w:ind w:left="6109" w:hanging="360"/>
      </w:pPr>
    </w:lvl>
    <w:lvl w:ilvl="8" w:tplc="CE485858" w:tentative="1">
      <w:start w:val="1"/>
      <w:numFmt w:val="lowerRoman"/>
      <w:lvlText w:val="%9."/>
      <w:lvlJc w:val="right"/>
      <w:pPr>
        <w:ind w:left="6829" w:hanging="180"/>
      </w:pPr>
    </w:lvl>
  </w:abstractNum>
  <w:abstractNum w:abstractNumId="9" w15:restartNumberingAfterBreak="0">
    <w:nsid w:val="22E55D56"/>
    <w:multiLevelType w:val="hybridMultilevel"/>
    <w:tmpl w:val="81E4866E"/>
    <w:lvl w:ilvl="0" w:tplc="3EC6C760">
      <w:start w:val="1"/>
      <w:numFmt w:val="decimal"/>
      <w:pStyle w:val="a"/>
      <w:suff w:val="nothing"/>
      <w:lvlText w:val="תרשים %1"/>
      <w:lvlJc w:val="left"/>
      <w:pPr>
        <w:ind w:left="717" w:hanging="360"/>
      </w:pPr>
      <w:rPr>
        <w:rFonts w:ascii="David" w:hAnsi="David" w:cs="David" w:hint="cs"/>
        <w:b w:val="0"/>
        <w:bCs w:val="0"/>
        <w:i w:val="0"/>
        <w:iCs w:val="0"/>
        <w:sz w:val="24"/>
        <w:szCs w:val="24"/>
      </w:rPr>
    </w:lvl>
    <w:lvl w:ilvl="1" w:tplc="46B647CE" w:tentative="1">
      <w:start w:val="1"/>
      <w:numFmt w:val="lowerLetter"/>
      <w:lvlText w:val="%2."/>
      <w:lvlJc w:val="left"/>
      <w:pPr>
        <w:ind w:left="1440" w:hanging="360"/>
      </w:pPr>
    </w:lvl>
    <w:lvl w:ilvl="2" w:tplc="FCFC165E" w:tentative="1">
      <w:start w:val="1"/>
      <w:numFmt w:val="lowerRoman"/>
      <w:lvlText w:val="%3."/>
      <w:lvlJc w:val="right"/>
      <w:pPr>
        <w:ind w:left="2160" w:hanging="180"/>
      </w:pPr>
    </w:lvl>
    <w:lvl w:ilvl="3" w:tplc="8BF8391E" w:tentative="1">
      <w:start w:val="1"/>
      <w:numFmt w:val="decimal"/>
      <w:lvlText w:val="%4."/>
      <w:lvlJc w:val="left"/>
      <w:pPr>
        <w:ind w:left="2880" w:hanging="360"/>
      </w:pPr>
    </w:lvl>
    <w:lvl w:ilvl="4" w:tplc="B80C15FE" w:tentative="1">
      <w:start w:val="1"/>
      <w:numFmt w:val="lowerLetter"/>
      <w:lvlText w:val="%5."/>
      <w:lvlJc w:val="left"/>
      <w:pPr>
        <w:ind w:left="3600" w:hanging="360"/>
      </w:pPr>
    </w:lvl>
    <w:lvl w:ilvl="5" w:tplc="2714AAD0" w:tentative="1">
      <w:start w:val="1"/>
      <w:numFmt w:val="lowerRoman"/>
      <w:lvlText w:val="%6."/>
      <w:lvlJc w:val="right"/>
      <w:pPr>
        <w:ind w:left="4320" w:hanging="180"/>
      </w:pPr>
    </w:lvl>
    <w:lvl w:ilvl="6" w:tplc="7D98C2CA" w:tentative="1">
      <w:start w:val="1"/>
      <w:numFmt w:val="decimal"/>
      <w:lvlText w:val="%7."/>
      <w:lvlJc w:val="left"/>
      <w:pPr>
        <w:ind w:left="5040" w:hanging="360"/>
      </w:pPr>
    </w:lvl>
    <w:lvl w:ilvl="7" w:tplc="5D18D362" w:tentative="1">
      <w:start w:val="1"/>
      <w:numFmt w:val="lowerLetter"/>
      <w:lvlText w:val="%8."/>
      <w:lvlJc w:val="left"/>
      <w:pPr>
        <w:ind w:left="5760" w:hanging="360"/>
      </w:pPr>
    </w:lvl>
    <w:lvl w:ilvl="8" w:tplc="0936DB7E" w:tentative="1">
      <w:start w:val="1"/>
      <w:numFmt w:val="lowerRoman"/>
      <w:lvlText w:val="%9."/>
      <w:lvlJc w:val="right"/>
      <w:pPr>
        <w:ind w:left="6480" w:hanging="180"/>
      </w:pPr>
    </w:lvl>
  </w:abstractNum>
  <w:abstractNum w:abstractNumId="10" w15:restartNumberingAfterBreak="0">
    <w:nsid w:val="2DE56E8C"/>
    <w:multiLevelType w:val="singleLevel"/>
    <w:tmpl w:val="1FD0DF68"/>
    <w:lvl w:ilvl="0">
      <w:start w:val="1"/>
      <w:numFmt w:val="none"/>
      <w:pStyle w:val="BulletList2"/>
      <w:lvlText w:val=""/>
      <w:lvlJc w:val="center"/>
      <w:pPr>
        <w:tabs>
          <w:tab w:val="num" w:pos="1083"/>
        </w:tabs>
        <w:ind w:left="1083" w:hanging="306"/>
      </w:pPr>
      <w:rPr>
        <w:rFonts w:ascii="Symbol" w:hAnsi="Symbol" w:hint="default"/>
      </w:rPr>
    </w:lvl>
  </w:abstractNum>
  <w:abstractNum w:abstractNumId="11" w15:restartNumberingAfterBreak="0">
    <w:nsid w:val="31055C67"/>
    <w:multiLevelType w:val="hybridMultilevel"/>
    <w:tmpl w:val="D5A01BC0"/>
    <w:lvl w:ilvl="0" w:tplc="D696C30C">
      <w:start w:val="1"/>
      <w:numFmt w:val="bullet"/>
      <w:pStyle w:val="713"/>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BA731A4"/>
    <w:multiLevelType w:val="multilevel"/>
    <w:tmpl w:val="00DEBF2A"/>
    <w:lvl w:ilvl="0">
      <w:start w:val="1"/>
      <w:numFmt w:val="decimal"/>
      <w:pStyle w:val="Hn1"/>
      <w:lvlText w:val="%1."/>
      <w:lvlJc w:val="left"/>
      <w:pPr>
        <w:tabs>
          <w:tab w:val="num" w:pos="720"/>
        </w:tabs>
        <w:ind w:left="720" w:hanging="720"/>
      </w:pPr>
      <w:rPr>
        <w:rFonts w:hint="default"/>
      </w:rPr>
    </w:lvl>
    <w:lvl w:ilvl="1">
      <w:start w:val="1"/>
      <w:numFmt w:val="decimal"/>
      <w:pStyle w:val="Hn2"/>
      <w:lvlText w:val="%1.%2"/>
      <w:lvlJc w:val="left"/>
      <w:pPr>
        <w:tabs>
          <w:tab w:val="num" w:pos="720"/>
        </w:tabs>
        <w:ind w:left="720" w:hanging="720"/>
      </w:pPr>
      <w:rPr>
        <w:rFonts w:hint="default"/>
      </w:rPr>
    </w:lvl>
    <w:lvl w:ilvl="2">
      <w:start w:val="1"/>
      <w:numFmt w:val="decimal"/>
      <w:pStyle w:val="Hn3"/>
      <w:lvlText w:val="%1.%2.%3"/>
      <w:lvlJc w:val="left"/>
      <w:pPr>
        <w:tabs>
          <w:tab w:val="num" w:pos="720"/>
        </w:tabs>
        <w:ind w:left="720" w:hanging="720"/>
      </w:pPr>
      <w:rPr>
        <w:rFonts w:hint="default"/>
        <w:color w:val="auto"/>
      </w:rPr>
    </w:lvl>
    <w:lvl w:ilvl="3">
      <w:start w:val="1"/>
      <w:numFmt w:val="decimal"/>
      <w:pStyle w:val="Hn4"/>
      <w:lvlText w:val="%1.%2.%3.%4"/>
      <w:lvlJc w:val="left"/>
      <w:pPr>
        <w:tabs>
          <w:tab w:val="num" w:pos="720"/>
        </w:tabs>
        <w:ind w:left="720" w:hanging="720"/>
      </w:pPr>
      <w:rPr>
        <w:rFonts w:hint="default"/>
      </w:rPr>
    </w:lvl>
    <w:lvl w:ilvl="4">
      <w:start w:val="1"/>
      <w:numFmt w:val="decimal"/>
      <w:pStyle w:val="Hn5"/>
      <w:lvlText w:val="%1.%2.%3.%4.%5"/>
      <w:lvlJc w:val="left"/>
      <w:pPr>
        <w:tabs>
          <w:tab w:val="num" w:pos="720"/>
        </w:tabs>
        <w:ind w:left="720" w:hanging="720"/>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3BC1088C"/>
    <w:multiLevelType w:val="multilevel"/>
    <w:tmpl w:val="34249088"/>
    <w:lvl w:ilvl="0">
      <w:start w:val="1"/>
      <w:numFmt w:val="decimal"/>
      <w:pStyle w:val="714"/>
      <w:lvlText w:val="%1."/>
      <w:lvlJc w:val="left"/>
      <w:pPr>
        <w:ind w:left="397" w:hanging="39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he-IL"/>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hebrew1"/>
      <w:lvlText w:val="%2."/>
      <w:lvlJc w:val="left"/>
      <w:pPr>
        <w:ind w:left="765" w:hanging="340"/>
      </w:pPr>
      <w:rPr>
        <w:rFonts w:hint="default"/>
        <w:lang w:val="en-US"/>
      </w:rPr>
    </w:lvl>
    <w:lvl w:ilvl="2">
      <w:start w:val="1"/>
      <w:numFmt w:val="decimal"/>
      <w:pStyle w:val="a0"/>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4" w15:restartNumberingAfterBreak="0">
    <w:nsid w:val="459C2999"/>
    <w:multiLevelType w:val="multilevel"/>
    <w:tmpl w:val="2F9A6D2E"/>
    <w:lvl w:ilvl="0">
      <w:start w:val="1"/>
      <w:numFmt w:val="hebrew1"/>
      <w:lvlRestart w:val="0"/>
      <w:pStyle w:val="715"/>
      <w:lvlText w:val="%1."/>
      <w:lvlJc w:val="left"/>
      <w:pPr>
        <w:ind w:left="340" w:hanging="340"/>
      </w:pPr>
      <w:rPr>
        <w:rFonts w:ascii="Tahoma" w:eastAsia="Times New Roman" w:hAnsi="Tahoma" w:cs="Tahoma" w:hint="default"/>
        <w:lang w:bidi="he-IL"/>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5" w15:restartNumberingAfterBreak="0">
    <w:nsid w:val="48313CEC"/>
    <w:multiLevelType w:val="multilevel"/>
    <w:tmpl w:val="C12C5CB0"/>
    <w:lvl w:ilvl="0">
      <w:start w:val="1"/>
      <w:numFmt w:val="decimal"/>
      <w:lvlText w:val="%1."/>
      <w:lvlJc w:val="left"/>
      <w:pPr>
        <w:ind w:left="397" w:hanging="39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he-IL"/>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hebrew1"/>
      <w:lvlText w:val="%2."/>
      <w:lvlJc w:val="left"/>
      <w:pPr>
        <w:ind w:left="765" w:hanging="340"/>
      </w:pPr>
      <w:rPr>
        <w:rFonts w:hint="default"/>
        <w:lang w:val="en-US"/>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6" w15:restartNumberingAfterBreak="0">
    <w:nsid w:val="5176726A"/>
    <w:multiLevelType w:val="hybridMultilevel"/>
    <w:tmpl w:val="361C5D0C"/>
    <w:lvl w:ilvl="0" w:tplc="2F46E59E">
      <w:start w:val="1"/>
      <w:numFmt w:val="bullet"/>
      <w:pStyle w:val="BulletedList"/>
      <w:lvlText w:val=""/>
      <w:lvlJc w:val="left"/>
      <w:pPr>
        <w:ind w:left="680" w:hanging="340"/>
      </w:pPr>
      <w:rPr>
        <w:rFonts w:ascii="Symbol" w:hAnsi="Symbol" w:hint="default"/>
        <w:color w:val="4F81BD" w:themeColor="accent1"/>
        <w:lang w:bidi="he-IL"/>
      </w:rPr>
    </w:lvl>
    <w:lvl w:ilvl="1" w:tplc="9DE25992">
      <w:start w:val="1"/>
      <w:numFmt w:val="bullet"/>
      <w:lvlText w:val="o"/>
      <w:lvlJc w:val="left"/>
      <w:pPr>
        <w:tabs>
          <w:tab w:val="num" w:pos="680"/>
        </w:tabs>
        <w:ind w:left="1021" w:hanging="341"/>
      </w:pPr>
      <w:rPr>
        <w:rFonts w:ascii="Courier New" w:hAnsi="Courier New" w:hint="default"/>
      </w:rPr>
    </w:lvl>
    <w:lvl w:ilvl="2" w:tplc="CC3EF78A">
      <w:start w:val="1"/>
      <w:numFmt w:val="bullet"/>
      <w:lvlText w:val="‒"/>
      <w:lvlJc w:val="left"/>
      <w:pPr>
        <w:tabs>
          <w:tab w:val="num" w:pos="1021"/>
        </w:tabs>
        <w:ind w:left="1361" w:hanging="340"/>
      </w:pPr>
      <w:rPr>
        <w:rFonts w:ascii="Calibri" w:hAnsi="Calibri" w:hint="default"/>
      </w:rPr>
    </w:lvl>
    <w:lvl w:ilvl="3" w:tplc="FD2637E8">
      <w:start w:val="1"/>
      <w:numFmt w:val="bullet"/>
      <w:lvlText w:val="‒"/>
      <w:lvlJc w:val="left"/>
      <w:pPr>
        <w:tabs>
          <w:tab w:val="num" w:pos="1361"/>
        </w:tabs>
        <w:ind w:left="1701" w:hanging="340"/>
      </w:pPr>
      <w:rPr>
        <w:rFonts w:ascii="Calibri" w:hAnsi="Calibri" w:hint="default"/>
      </w:rPr>
    </w:lvl>
    <w:lvl w:ilvl="4" w:tplc="40A674EA">
      <w:start w:val="1"/>
      <w:numFmt w:val="bullet"/>
      <w:lvlText w:val="‒"/>
      <w:lvlJc w:val="left"/>
      <w:pPr>
        <w:tabs>
          <w:tab w:val="num" w:pos="1701"/>
        </w:tabs>
        <w:ind w:left="2041" w:hanging="340"/>
      </w:pPr>
      <w:rPr>
        <w:rFonts w:ascii="Calibri" w:hAnsi="Calibri" w:hint="default"/>
      </w:rPr>
    </w:lvl>
    <w:lvl w:ilvl="5" w:tplc="C636BC58" w:tentative="1">
      <w:start w:val="1"/>
      <w:numFmt w:val="bullet"/>
      <w:lvlText w:val=""/>
      <w:lvlJc w:val="left"/>
      <w:pPr>
        <w:ind w:left="4774" w:hanging="360"/>
      </w:pPr>
      <w:rPr>
        <w:rFonts w:ascii="Wingdings" w:hAnsi="Wingdings" w:hint="default"/>
      </w:rPr>
    </w:lvl>
    <w:lvl w:ilvl="6" w:tplc="095EC9CC" w:tentative="1">
      <w:start w:val="1"/>
      <w:numFmt w:val="bullet"/>
      <w:lvlText w:val=""/>
      <w:lvlJc w:val="left"/>
      <w:pPr>
        <w:ind w:left="5494" w:hanging="360"/>
      </w:pPr>
      <w:rPr>
        <w:rFonts w:ascii="Symbol" w:hAnsi="Symbol" w:hint="default"/>
      </w:rPr>
    </w:lvl>
    <w:lvl w:ilvl="7" w:tplc="1F3A5B2C" w:tentative="1">
      <w:start w:val="1"/>
      <w:numFmt w:val="bullet"/>
      <w:lvlText w:val="o"/>
      <w:lvlJc w:val="left"/>
      <w:pPr>
        <w:ind w:left="6214" w:hanging="360"/>
      </w:pPr>
      <w:rPr>
        <w:rFonts w:ascii="Courier New" w:hAnsi="Courier New" w:cs="Courier New" w:hint="default"/>
      </w:rPr>
    </w:lvl>
    <w:lvl w:ilvl="8" w:tplc="1786B778" w:tentative="1">
      <w:start w:val="1"/>
      <w:numFmt w:val="bullet"/>
      <w:lvlText w:val=""/>
      <w:lvlJc w:val="left"/>
      <w:pPr>
        <w:ind w:left="6934" w:hanging="360"/>
      </w:pPr>
      <w:rPr>
        <w:rFonts w:ascii="Wingdings" w:hAnsi="Wingdings" w:hint="default"/>
      </w:rPr>
    </w:lvl>
  </w:abstractNum>
  <w:abstractNum w:abstractNumId="17" w15:restartNumberingAfterBreak="0">
    <w:nsid w:val="59BD63E3"/>
    <w:multiLevelType w:val="hybridMultilevel"/>
    <w:tmpl w:val="DAF45F8C"/>
    <w:lvl w:ilvl="0" w:tplc="596A9E3E">
      <w:start w:val="1"/>
      <w:numFmt w:val="decimal"/>
      <w:pStyle w:val="a1"/>
      <w:suff w:val="nothing"/>
      <w:lvlText w:val="לוח %1"/>
      <w:lvlJc w:val="left"/>
      <w:pPr>
        <w:ind w:left="720" w:hanging="360"/>
      </w:pPr>
      <w:rPr>
        <w:rFonts w:hint="default"/>
        <w:b/>
        <w:bCs w:val="0"/>
      </w:rPr>
    </w:lvl>
    <w:lvl w:ilvl="1" w:tplc="62805550" w:tentative="1">
      <w:start w:val="1"/>
      <w:numFmt w:val="lowerLetter"/>
      <w:lvlText w:val="%2."/>
      <w:lvlJc w:val="left"/>
      <w:pPr>
        <w:ind w:left="1440" w:hanging="360"/>
      </w:pPr>
    </w:lvl>
    <w:lvl w:ilvl="2" w:tplc="6336AF2A" w:tentative="1">
      <w:start w:val="1"/>
      <w:numFmt w:val="lowerRoman"/>
      <w:lvlText w:val="%3."/>
      <w:lvlJc w:val="right"/>
      <w:pPr>
        <w:ind w:left="2160" w:hanging="180"/>
      </w:pPr>
    </w:lvl>
    <w:lvl w:ilvl="3" w:tplc="6890EB34" w:tentative="1">
      <w:start w:val="1"/>
      <w:numFmt w:val="decimal"/>
      <w:lvlText w:val="%4."/>
      <w:lvlJc w:val="left"/>
      <w:pPr>
        <w:ind w:left="2880" w:hanging="360"/>
      </w:pPr>
    </w:lvl>
    <w:lvl w:ilvl="4" w:tplc="B372D2E8" w:tentative="1">
      <w:start w:val="1"/>
      <w:numFmt w:val="lowerLetter"/>
      <w:lvlText w:val="%5."/>
      <w:lvlJc w:val="left"/>
      <w:pPr>
        <w:ind w:left="3600" w:hanging="360"/>
      </w:pPr>
    </w:lvl>
    <w:lvl w:ilvl="5" w:tplc="C26AF414" w:tentative="1">
      <w:start w:val="1"/>
      <w:numFmt w:val="lowerRoman"/>
      <w:lvlText w:val="%6."/>
      <w:lvlJc w:val="right"/>
      <w:pPr>
        <w:ind w:left="4320" w:hanging="180"/>
      </w:pPr>
    </w:lvl>
    <w:lvl w:ilvl="6" w:tplc="6296AB22" w:tentative="1">
      <w:start w:val="1"/>
      <w:numFmt w:val="decimal"/>
      <w:lvlText w:val="%7."/>
      <w:lvlJc w:val="left"/>
      <w:pPr>
        <w:ind w:left="5040" w:hanging="360"/>
      </w:pPr>
    </w:lvl>
    <w:lvl w:ilvl="7" w:tplc="B52252AC" w:tentative="1">
      <w:start w:val="1"/>
      <w:numFmt w:val="lowerLetter"/>
      <w:lvlText w:val="%8."/>
      <w:lvlJc w:val="left"/>
      <w:pPr>
        <w:ind w:left="5760" w:hanging="360"/>
      </w:pPr>
    </w:lvl>
    <w:lvl w:ilvl="8" w:tplc="FDB6E47C" w:tentative="1">
      <w:start w:val="1"/>
      <w:numFmt w:val="lowerRoman"/>
      <w:lvlText w:val="%9."/>
      <w:lvlJc w:val="right"/>
      <w:pPr>
        <w:ind w:left="6480" w:hanging="180"/>
      </w:pPr>
    </w:lvl>
  </w:abstractNum>
  <w:abstractNum w:abstractNumId="18" w15:restartNumberingAfterBreak="0">
    <w:nsid w:val="5A8E39B4"/>
    <w:multiLevelType w:val="hybridMultilevel"/>
    <w:tmpl w:val="747A09C6"/>
    <w:lvl w:ilvl="0" w:tplc="54C43760">
      <w:start w:val="1"/>
      <w:numFmt w:val="decimal"/>
      <w:pStyle w:val="7150"/>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C2D00DD"/>
    <w:multiLevelType w:val="multilevel"/>
    <w:tmpl w:val="CB2CFB36"/>
    <w:styleLink w:val="-"/>
    <w:lvl w:ilvl="0">
      <w:start w:val="1"/>
      <w:numFmt w:val="decimal"/>
      <w:lvlText w:val="%1."/>
      <w:lvlJc w:val="left"/>
      <w:pPr>
        <w:tabs>
          <w:tab w:val="num" w:pos="357"/>
        </w:tabs>
        <w:ind w:left="357" w:hanging="357"/>
      </w:pPr>
    </w:lvl>
    <w:lvl w:ilvl="1">
      <w:start w:val="1"/>
      <w:numFmt w:val="decimal"/>
      <w:lvlText w:val="%1.%2."/>
      <w:lvlJc w:val="left"/>
      <w:pPr>
        <w:tabs>
          <w:tab w:val="num" w:pos="794"/>
        </w:tabs>
        <w:ind w:left="794" w:hanging="437"/>
      </w:pPr>
    </w:lvl>
    <w:lvl w:ilvl="2">
      <w:start w:val="1"/>
      <w:numFmt w:val="decimal"/>
      <w:lvlText w:val="%1.%2.%3."/>
      <w:lvlJc w:val="left"/>
      <w:pPr>
        <w:tabs>
          <w:tab w:val="num" w:pos="1440"/>
        </w:tabs>
        <w:ind w:left="1225" w:hanging="505"/>
      </w:pPr>
    </w:lvl>
    <w:lvl w:ilvl="3">
      <w:start w:val="1"/>
      <w:numFmt w:val="decimal"/>
      <w:lvlText w:val="%1.%2.%3.%4."/>
      <w:lvlJc w:val="left"/>
      <w:pPr>
        <w:tabs>
          <w:tab w:val="num" w:pos="1797"/>
        </w:tabs>
        <w:ind w:left="1729" w:hanging="652"/>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20" w15:restartNumberingAfterBreak="0">
    <w:nsid w:val="5E192F0D"/>
    <w:multiLevelType w:val="hybridMultilevel"/>
    <w:tmpl w:val="F0BAB20A"/>
    <w:lvl w:ilvl="0" w:tplc="19B0D146">
      <w:start w:val="1"/>
      <w:numFmt w:val="hebrew1"/>
      <w:pStyle w:val="7151"/>
      <w:lvlText w:val="%1."/>
      <w:lvlJc w:val="center"/>
      <w:pPr>
        <w:ind w:left="757" w:hanging="360"/>
      </w:pPr>
      <w:rPr>
        <w:rFonts w:hint="default"/>
        <w:sz w:val="24"/>
      </w:rPr>
    </w:lvl>
    <w:lvl w:ilvl="1" w:tplc="04090019" w:tentative="1">
      <w:start w:val="1"/>
      <w:numFmt w:val="lowerLetter"/>
      <w:lvlText w:val="%2."/>
      <w:lvlJc w:val="left"/>
      <w:pPr>
        <w:ind w:left="1837" w:hanging="360"/>
      </w:pPr>
    </w:lvl>
    <w:lvl w:ilvl="2" w:tplc="0409001B" w:tentative="1">
      <w:start w:val="1"/>
      <w:numFmt w:val="lowerRoman"/>
      <w:lvlText w:val="%3."/>
      <w:lvlJc w:val="right"/>
      <w:pPr>
        <w:ind w:left="2557" w:hanging="180"/>
      </w:pPr>
    </w:lvl>
    <w:lvl w:ilvl="3" w:tplc="0409000F" w:tentative="1">
      <w:start w:val="1"/>
      <w:numFmt w:val="decimal"/>
      <w:lvlText w:val="%4."/>
      <w:lvlJc w:val="left"/>
      <w:pPr>
        <w:ind w:left="3277" w:hanging="360"/>
      </w:pPr>
    </w:lvl>
    <w:lvl w:ilvl="4" w:tplc="04090019" w:tentative="1">
      <w:start w:val="1"/>
      <w:numFmt w:val="lowerLetter"/>
      <w:lvlText w:val="%5."/>
      <w:lvlJc w:val="left"/>
      <w:pPr>
        <w:ind w:left="3997" w:hanging="360"/>
      </w:pPr>
    </w:lvl>
    <w:lvl w:ilvl="5" w:tplc="0409001B" w:tentative="1">
      <w:start w:val="1"/>
      <w:numFmt w:val="lowerRoman"/>
      <w:lvlText w:val="%6."/>
      <w:lvlJc w:val="right"/>
      <w:pPr>
        <w:ind w:left="4717" w:hanging="180"/>
      </w:pPr>
    </w:lvl>
    <w:lvl w:ilvl="6" w:tplc="0409000F" w:tentative="1">
      <w:start w:val="1"/>
      <w:numFmt w:val="decimal"/>
      <w:lvlText w:val="%7."/>
      <w:lvlJc w:val="left"/>
      <w:pPr>
        <w:ind w:left="5437" w:hanging="360"/>
      </w:pPr>
    </w:lvl>
    <w:lvl w:ilvl="7" w:tplc="04090019" w:tentative="1">
      <w:start w:val="1"/>
      <w:numFmt w:val="lowerLetter"/>
      <w:lvlText w:val="%8."/>
      <w:lvlJc w:val="left"/>
      <w:pPr>
        <w:ind w:left="6157" w:hanging="360"/>
      </w:pPr>
    </w:lvl>
    <w:lvl w:ilvl="8" w:tplc="0409001B" w:tentative="1">
      <w:start w:val="1"/>
      <w:numFmt w:val="lowerRoman"/>
      <w:lvlText w:val="%9."/>
      <w:lvlJc w:val="right"/>
      <w:pPr>
        <w:ind w:left="6877" w:hanging="180"/>
      </w:pPr>
    </w:lvl>
  </w:abstractNum>
  <w:abstractNum w:abstractNumId="21" w15:restartNumberingAfterBreak="0">
    <w:nsid w:val="5F743717"/>
    <w:multiLevelType w:val="multilevel"/>
    <w:tmpl w:val="54B40DD4"/>
    <w:lvl w:ilvl="0">
      <w:start w:val="1"/>
      <w:numFmt w:val="decimal"/>
      <w:pStyle w:val="a2"/>
      <w:lvlText w:val="%1."/>
      <w:lvlJc w:val="left"/>
      <w:pPr>
        <w:tabs>
          <w:tab w:val="num" w:pos="360"/>
        </w:tabs>
        <w:ind w:left="360" w:hanging="360"/>
      </w:pPr>
      <w:rPr>
        <w:rFonts w:cs="David" w:hint="cs"/>
        <w:szCs w:val="24"/>
      </w:rPr>
    </w:lvl>
    <w:lvl w:ilvl="1">
      <w:start w:val="1"/>
      <w:numFmt w:val="decimal"/>
      <w:lvlText w:val="%1.%2."/>
      <w:lvlJc w:val="left"/>
      <w:pPr>
        <w:tabs>
          <w:tab w:val="num" w:pos="792"/>
        </w:tabs>
        <w:ind w:left="792" w:hanging="432"/>
      </w:pPr>
      <w:rPr>
        <w:rFonts w:cs="David" w:hint="cs"/>
        <w:b w:val="0"/>
        <w:bCs w:val="0"/>
        <w:sz w:val="24"/>
        <w:szCs w:val="24"/>
      </w:rPr>
    </w:lvl>
    <w:lvl w:ilvl="2">
      <w:start w:val="1"/>
      <w:numFmt w:val="decimal"/>
      <w:lvlText w:val="%1.%2.%3."/>
      <w:lvlJc w:val="left"/>
      <w:pPr>
        <w:tabs>
          <w:tab w:val="num" w:pos="1418"/>
        </w:tabs>
        <w:ind w:left="1418" w:hanging="624"/>
      </w:pPr>
      <w:rPr>
        <w:rFonts w:cs="David" w:hint="cs"/>
        <w:b w:val="0"/>
        <w:bCs w:val="0"/>
        <w:szCs w:val="24"/>
      </w:rPr>
    </w:lvl>
    <w:lvl w:ilvl="3">
      <w:start w:val="1"/>
      <w:numFmt w:val="decimal"/>
      <w:lvlText w:val="%1.%2.%3.%4."/>
      <w:lvlJc w:val="left"/>
      <w:pPr>
        <w:tabs>
          <w:tab w:val="num" w:pos="2098"/>
        </w:tabs>
        <w:ind w:left="2098" w:hanging="680"/>
      </w:pPr>
      <w:rPr>
        <w:rFonts w:cs="David" w:hint="cs"/>
        <w:b w:val="0"/>
        <w:bCs w:val="0"/>
        <w:szCs w:val="24"/>
      </w:rPr>
    </w:lvl>
    <w:lvl w:ilvl="4">
      <w:start w:val="1"/>
      <w:numFmt w:val="decimal"/>
      <w:lvlText w:val="%1.%2.%3.%4.%5."/>
      <w:lvlJc w:val="left"/>
      <w:pPr>
        <w:tabs>
          <w:tab w:val="num" w:pos="2325"/>
        </w:tabs>
        <w:ind w:left="2325" w:hanging="227"/>
      </w:pPr>
      <w:rPr>
        <w:rFonts w:cs="David" w:hint="cs"/>
        <w:szCs w:val="24"/>
      </w:rPr>
    </w:lvl>
    <w:lvl w:ilvl="5">
      <w:start w:val="1"/>
      <w:numFmt w:val="decimal"/>
      <w:lvlText w:val="%1.%2.%3.%4.%5.%6."/>
      <w:lvlJc w:val="left"/>
      <w:pPr>
        <w:tabs>
          <w:tab w:val="num" w:pos="2880"/>
        </w:tabs>
        <w:ind w:left="2736" w:hanging="936"/>
      </w:pPr>
      <w:rPr>
        <w:rFonts w:cs="David" w:hint="cs"/>
      </w:rPr>
    </w:lvl>
    <w:lvl w:ilvl="6">
      <w:start w:val="1"/>
      <w:numFmt w:val="decimal"/>
      <w:lvlText w:val="%1.%2.%3.%4.%5.%6.%7."/>
      <w:lvlJc w:val="left"/>
      <w:pPr>
        <w:tabs>
          <w:tab w:val="num" w:pos="3600"/>
        </w:tabs>
        <w:ind w:left="3240" w:hanging="1080"/>
      </w:pPr>
      <w:rPr>
        <w:rFonts w:cs="TypoUpright BT" w:hint="default"/>
      </w:rPr>
    </w:lvl>
    <w:lvl w:ilvl="7">
      <w:start w:val="1"/>
      <w:numFmt w:val="decimal"/>
      <w:lvlText w:val="%1.%2.%3.%4.%5.%6.%7.%8."/>
      <w:lvlJc w:val="left"/>
      <w:pPr>
        <w:tabs>
          <w:tab w:val="num" w:pos="3960"/>
        </w:tabs>
        <w:ind w:left="3744" w:hanging="1224"/>
      </w:pPr>
      <w:rPr>
        <w:rFonts w:cs="TypoUpright BT" w:hint="default"/>
      </w:rPr>
    </w:lvl>
    <w:lvl w:ilvl="8">
      <w:start w:val="1"/>
      <w:numFmt w:val="decimal"/>
      <w:lvlText w:val="%1.%2.%3.%4.%5.%6.%7.%8.%9."/>
      <w:lvlJc w:val="left"/>
      <w:pPr>
        <w:tabs>
          <w:tab w:val="num" w:pos="4680"/>
        </w:tabs>
        <w:ind w:left="4320" w:hanging="1440"/>
      </w:pPr>
      <w:rPr>
        <w:rFonts w:cs="TypoUpright BT" w:hint="default"/>
      </w:rPr>
    </w:lvl>
  </w:abstractNum>
  <w:abstractNum w:abstractNumId="22" w15:restartNumberingAfterBreak="0">
    <w:nsid w:val="62FD5BB0"/>
    <w:multiLevelType w:val="multilevel"/>
    <w:tmpl w:val="76A8AFF6"/>
    <w:lvl w:ilvl="0">
      <w:start w:val="1"/>
      <w:numFmt w:val="decimal"/>
      <w:lvlText w:val="%1."/>
      <w:lvlJc w:val="left"/>
      <w:pPr>
        <w:ind w:left="397" w:hanging="39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he-IL"/>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hebrew1"/>
      <w:lvlText w:val="%2."/>
      <w:lvlJc w:val="left"/>
      <w:pPr>
        <w:ind w:left="765" w:hanging="340"/>
      </w:pPr>
      <w:rPr>
        <w:rFonts w:hint="default"/>
        <w:lang w:val="en-US"/>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23" w15:restartNumberingAfterBreak="0">
    <w:nsid w:val="63812761"/>
    <w:multiLevelType w:val="hybridMultilevel"/>
    <w:tmpl w:val="077C9FBE"/>
    <w:lvl w:ilvl="0" w:tplc="86946032">
      <w:start w:val="1"/>
      <w:numFmt w:val="decimal"/>
      <w:pStyle w:val="a3"/>
      <w:suff w:val="nothing"/>
      <w:lvlText w:val="תמונה %1"/>
      <w:lvlJc w:val="left"/>
      <w:pPr>
        <w:ind w:left="720" w:hanging="360"/>
      </w:pPr>
      <w:rPr>
        <w:rFonts w:hint="default"/>
        <w:b/>
        <w:bCs w:val="0"/>
      </w:rPr>
    </w:lvl>
    <w:lvl w:ilvl="1" w:tplc="B56A4604" w:tentative="1">
      <w:start w:val="1"/>
      <w:numFmt w:val="lowerLetter"/>
      <w:lvlText w:val="%2."/>
      <w:lvlJc w:val="left"/>
      <w:pPr>
        <w:ind w:left="1440" w:hanging="360"/>
      </w:pPr>
    </w:lvl>
    <w:lvl w:ilvl="2" w:tplc="52BC4746" w:tentative="1">
      <w:start w:val="1"/>
      <w:numFmt w:val="lowerRoman"/>
      <w:lvlText w:val="%3."/>
      <w:lvlJc w:val="right"/>
      <w:pPr>
        <w:ind w:left="2160" w:hanging="180"/>
      </w:pPr>
    </w:lvl>
    <w:lvl w:ilvl="3" w:tplc="D1C290FE" w:tentative="1">
      <w:start w:val="1"/>
      <w:numFmt w:val="decimal"/>
      <w:lvlText w:val="%4."/>
      <w:lvlJc w:val="left"/>
      <w:pPr>
        <w:ind w:left="2880" w:hanging="360"/>
      </w:pPr>
    </w:lvl>
    <w:lvl w:ilvl="4" w:tplc="0B9E1A70" w:tentative="1">
      <w:start w:val="1"/>
      <w:numFmt w:val="lowerLetter"/>
      <w:lvlText w:val="%5."/>
      <w:lvlJc w:val="left"/>
      <w:pPr>
        <w:ind w:left="3600" w:hanging="360"/>
      </w:pPr>
    </w:lvl>
    <w:lvl w:ilvl="5" w:tplc="C49E6258" w:tentative="1">
      <w:start w:val="1"/>
      <w:numFmt w:val="lowerRoman"/>
      <w:lvlText w:val="%6."/>
      <w:lvlJc w:val="right"/>
      <w:pPr>
        <w:ind w:left="4320" w:hanging="180"/>
      </w:pPr>
    </w:lvl>
    <w:lvl w:ilvl="6" w:tplc="2662F434" w:tentative="1">
      <w:start w:val="1"/>
      <w:numFmt w:val="decimal"/>
      <w:lvlText w:val="%7."/>
      <w:lvlJc w:val="left"/>
      <w:pPr>
        <w:ind w:left="5040" w:hanging="360"/>
      </w:pPr>
    </w:lvl>
    <w:lvl w:ilvl="7" w:tplc="FBBC1548" w:tentative="1">
      <w:start w:val="1"/>
      <w:numFmt w:val="lowerLetter"/>
      <w:lvlText w:val="%8."/>
      <w:lvlJc w:val="left"/>
      <w:pPr>
        <w:ind w:left="5760" w:hanging="360"/>
      </w:pPr>
    </w:lvl>
    <w:lvl w:ilvl="8" w:tplc="E7DC6594" w:tentative="1">
      <w:start w:val="1"/>
      <w:numFmt w:val="lowerRoman"/>
      <w:lvlText w:val="%9."/>
      <w:lvlJc w:val="right"/>
      <w:pPr>
        <w:ind w:left="6480" w:hanging="180"/>
      </w:pPr>
    </w:lvl>
  </w:abstractNum>
  <w:abstractNum w:abstractNumId="24" w15:restartNumberingAfterBreak="0">
    <w:nsid w:val="67F3186C"/>
    <w:multiLevelType w:val="hybridMultilevel"/>
    <w:tmpl w:val="1B66733C"/>
    <w:lvl w:ilvl="0" w:tplc="4170CD18">
      <w:start w:val="1"/>
      <w:numFmt w:val="hebrew1"/>
      <w:pStyle w:val="7112"/>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133053F"/>
    <w:multiLevelType w:val="multilevel"/>
    <w:tmpl w:val="BE52EF46"/>
    <w:lvl w:ilvl="0">
      <w:start w:val="1"/>
      <w:numFmt w:val="decimal"/>
      <w:lvlText w:val="%1."/>
      <w:lvlJc w:val="left"/>
      <w:pPr>
        <w:ind w:left="397" w:hanging="39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he-IL"/>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hebrew1"/>
      <w:lvlText w:val="%2."/>
      <w:lvlJc w:val="left"/>
      <w:pPr>
        <w:ind w:left="765" w:hanging="340"/>
      </w:pPr>
      <w:rPr>
        <w:rFonts w:hint="default"/>
        <w:lang w:val="en-US"/>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26" w15:restartNumberingAfterBreak="0">
    <w:nsid w:val="75581226"/>
    <w:multiLevelType w:val="hybridMultilevel"/>
    <w:tmpl w:val="7330776E"/>
    <w:lvl w:ilvl="0" w:tplc="B1B890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B65597"/>
    <w:multiLevelType w:val="multilevel"/>
    <w:tmpl w:val="771E4D96"/>
    <w:lvl w:ilvl="0">
      <w:start w:val="1"/>
      <w:numFmt w:val="decimal"/>
      <w:lvlText w:val="%1."/>
      <w:lvlJc w:val="left"/>
      <w:pPr>
        <w:ind w:left="397" w:hanging="39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he-IL"/>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hebrew1"/>
      <w:lvlText w:val="%2."/>
      <w:lvlJc w:val="left"/>
      <w:pPr>
        <w:ind w:left="765" w:hanging="340"/>
      </w:pPr>
      <w:rPr>
        <w:rFonts w:hint="default"/>
        <w:lang w:val="en-US"/>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28" w15:restartNumberingAfterBreak="0">
    <w:nsid w:val="7BE83B62"/>
    <w:multiLevelType w:val="hybridMultilevel"/>
    <w:tmpl w:val="E35488C0"/>
    <w:lvl w:ilvl="0" w:tplc="BF9C3432">
      <w:start w:val="1"/>
      <w:numFmt w:val="hebrew1"/>
      <w:pStyle w:val="Style6"/>
      <w:lvlText w:val="%1."/>
      <w:lvlJc w:val="left"/>
      <w:pPr>
        <w:ind w:left="672" w:hanging="360"/>
      </w:pPr>
      <w:rPr>
        <w:rFonts w:hint="default"/>
        <w:sz w:val="24"/>
      </w:rPr>
    </w:lvl>
    <w:lvl w:ilvl="1" w:tplc="1256D7A6" w:tentative="1">
      <w:start w:val="1"/>
      <w:numFmt w:val="lowerLetter"/>
      <w:lvlText w:val="%2."/>
      <w:lvlJc w:val="left"/>
      <w:pPr>
        <w:ind w:left="1392" w:hanging="360"/>
      </w:pPr>
    </w:lvl>
    <w:lvl w:ilvl="2" w:tplc="B5F874FA" w:tentative="1">
      <w:start w:val="1"/>
      <w:numFmt w:val="lowerRoman"/>
      <w:lvlText w:val="%3."/>
      <w:lvlJc w:val="right"/>
      <w:pPr>
        <w:ind w:left="2112" w:hanging="180"/>
      </w:pPr>
    </w:lvl>
    <w:lvl w:ilvl="3" w:tplc="03F4FBBC" w:tentative="1">
      <w:start w:val="1"/>
      <w:numFmt w:val="decimal"/>
      <w:lvlText w:val="%4."/>
      <w:lvlJc w:val="left"/>
      <w:pPr>
        <w:ind w:left="2832" w:hanging="360"/>
      </w:pPr>
    </w:lvl>
    <w:lvl w:ilvl="4" w:tplc="203864F2" w:tentative="1">
      <w:start w:val="1"/>
      <w:numFmt w:val="lowerLetter"/>
      <w:lvlText w:val="%5."/>
      <w:lvlJc w:val="left"/>
      <w:pPr>
        <w:ind w:left="3552" w:hanging="360"/>
      </w:pPr>
    </w:lvl>
    <w:lvl w:ilvl="5" w:tplc="03D6843E" w:tentative="1">
      <w:start w:val="1"/>
      <w:numFmt w:val="lowerRoman"/>
      <w:lvlText w:val="%6."/>
      <w:lvlJc w:val="right"/>
      <w:pPr>
        <w:ind w:left="4272" w:hanging="180"/>
      </w:pPr>
    </w:lvl>
    <w:lvl w:ilvl="6" w:tplc="E8D288DE" w:tentative="1">
      <w:start w:val="1"/>
      <w:numFmt w:val="decimal"/>
      <w:lvlText w:val="%7."/>
      <w:lvlJc w:val="left"/>
      <w:pPr>
        <w:ind w:left="4992" w:hanging="360"/>
      </w:pPr>
    </w:lvl>
    <w:lvl w:ilvl="7" w:tplc="0D469A38" w:tentative="1">
      <w:start w:val="1"/>
      <w:numFmt w:val="lowerLetter"/>
      <w:lvlText w:val="%8."/>
      <w:lvlJc w:val="left"/>
      <w:pPr>
        <w:ind w:left="5712" w:hanging="360"/>
      </w:pPr>
    </w:lvl>
    <w:lvl w:ilvl="8" w:tplc="FEF0E98C" w:tentative="1">
      <w:start w:val="1"/>
      <w:numFmt w:val="lowerRoman"/>
      <w:lvlText w:val="%9."/>
      <w:lvlJc w:val="right"/>
      <w:pPr>
        <w:ind w:left="6432" w:hanging="180"/>
      </w:pPr>
    </w:lvl>
  </w:abstractNum>
  <w:abstractNum w:abstractNumId="29" w15:restartNumberingAfterBreak="0">
    <w:nsid w:val="7D365B29"/>
    <w:multiLevelType w:val="multilevel"/>
    <w:tmpl w:val="7BDAE77C"/>
    <w:lvl w:ilvl="0">
      <w:start w:val="1"/>
      <w:numFmt w:val="hebrew1"/>
      <w:pStyle w:val="716"/>
      <w:lvlText w:val="%1."/>
      <w:lvlJc w:val="left"/>
      <w:pPr>
        <w:ind w:left="737" w:hanging="340"/>
      </w:pPr>
      <w:rPr>
        <w:rFonts w:ascii="Tahoma" w:eastAsiaTheme="minorHAnsi" w:hAnsi="Tahoma" w:cs="Tahoma" w:hint="default"/>
        <w:b w:val="0"/>
        <w:bCs w:val="0"/>
      </w:rPr>
    </w:lvl>
    <w:lvl w:ilvl="1">
      <w:start w:val="1"/>
      <w:numFmt w:val="hebrew1"/>
      <w:lvlText w:val="%2."/>
      <w:lvlJc w:val="left"/>
      <w:pPr>
        <w:ind w:left="1077" w:hanging="340"/>
      </w:pPr>
    </w:lvl>
    <w:lvl w:ilvl="2">
      <w:start w:val="1"/>
      <w:numFmt w:val="decimal"/>
      <w:pStyle w:val="717"/>
      <w:lvlText w:val="(%3)"/>
      <w:lvlJc w:val="left"/>
      <w:pPr>
        <w:ind w:left="1474" w:hanging="397"/>
      </w:pPr>
    </w:lvl>
    <w:lvl w:ilvl="3">
      <w:start w:val="1"/>
      <w:numFmt w:val="hebrew1"/>
      <w:lvlText w:val="(%4)"/>
      <w:lvlJc w:val="left"/>
      <w:pPr>
        <w:ind w:left="1871" w:hanging="397"/>
      </w:pPr>
    </w:lvl>
    <w:lvl w:ilvl="4">
      <w:start w:val="1"/>
      <w:numFmt w:val="lowerLetter"/>
      <w:lvlText w:val="(%5)"/>
      <w:lvlJc w:val="left"/>
      <w:pPr>
        <w:ind w:left="2194" w:hanging="357"/>
      </w:pPr>
    </w:lvl>
    <w:lvl w:ilvl="5">
      <w:start w:val="1"/>
      <w:numFmt w:val="lowerRoman"/>
      <w:lvlText w:val="(%6)"/>
      <w:lvlJc w:val="left"/>
      <w:pPr>
        <w:ind w:left="2557" w:hanging="363"/>
      </w:pPr>
    </w:lvl>
    <w:lvl w:ilvl="6">
      <w:start w:val="1"/>
      <w:numFmt w:val="decimal"/>
      <w:lvlText w:val="%7."/>
      <w:lvlJc w:val="left"/>
      <w:pPr>
        <w:ind w:left="2914" w:hanging="357"/>
      </w:pPr>
    </w:lvl>
    <w:lvl w:ilvl="7">
      <w:start w:val="1"/>
      <w:numFmt w:val="lowerLetter"/>
      <w:lvlText w:val="%8."/>
      <w:lvlJc w:val="left"/>
      <w:pPr>
        <w:ind w:left="3277" w:hanging="363"/>
      </w:pPr>
    </w:lvl>
    <w:lvl w:ilvl="8">
      <w:start w:val="1"/>
      <w:numFmt w:val="lowerRoman"/>
      <w:lvlText w:val="%9."/>
      <w:lvlJc w:val="left"/>
      <w:pPr>
        <w:ind w:left="3634" w:hanging="357"/>
      </w:pPr>
    </w:lvl>
  </w:abstractNum>
  <w:num w:numId="1" w16cid:durableId="2131120853">
    <w:abstractNumId w:val="7"/>
  </w:num>
  <w:num w:numId="2" w16cid:durableId="1094982223">
    <w:abstractNumId w:val="13"/>
  </w:num>
  <w:num w:numId="3" w16cid:durableId="242687595">
    <w:abstractNumId w:val="19"/>
  </w:num>
  <w:num w:numId="4" w16cid:durableId="772898492">
    <w:abstractNumId w:val="10"/>
  </w:num>
  <w:num w:numId="5" w16cid:durableId="1491093110">
    <w:abstractNumId w:val="12"/>
  </w:num>
  <w:num w:numId="6" w16cid:durableId="2066374559">
    <w:abstractNumId w:val="29"/>
  </w:num>
  <w:num w:numId="7" w16cid:durableId="900865704">
    <w:abstractNumId w:val="1"/>
  </w:num>
  <w:num w:numId="8" w16cid:durableId="244263017">
    <w:abstractNumId w:val="14"/>
  </w:num>
  <w:num w:numId="9" w16cid:durableId="623199946">
    <w:abstractNumId w:val="4"/>
  </w:num>
  <w:num w:numId="10" w16cid:durableId="1304894298">
    <w:abstractNumId w:val="21"/>
  </w:num>
  <w:num w:numId="11" w16cid:durableId="1462381890">
    <w:abstractNumId w:val="3"/>
  </w:num>
  <w:num w:numId="12" w16cid:durableId="1721828235">
    <w:abstractNumId w:val="6"/>
  </w:num>
  <w:num w:numId="13" w16cid:durableId="155570197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36258638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31606681">
    <w:abstractNumId w:val="2"/>
  </w:num>
  <w:num w:numId="16" w16cid:durableId="1431658622">
    <w:abstractNumId w:val="18"/>
  </w:num>
  <w:num w:numId="17" w16cid:durableId="932663636">
    <w:abstractNumId w:val="20"/>
  </w:num>
  <w:num w:numId="18" w16cid:durableId="1102216401">
    <w:abstractNumId w:val="24"/>
  </w:num>
  <w:num w:numId="19" w16cid:durableId="210458167">
    <w:abstractNumId w:val="11"/>
  </w:num>
  <w:num w:numId="20" w16cid:durableId="1641497231">
    <w:abstractNumId w:val="16"/>
  </w:num>
  <w:num w:numId="21" w16cid:durableId="968046305">
    <w:abstractNumId w:val="9"/>
  </w:num>
  <w:num w:numId="22" w16cid:durableId="1332368713">
    <w:abstractNumId w:val="17"/>
  </w:num>
  <w:num w:numId="23" w16cid:durableId="946696449">
    <w:abstractNumId w:val="23"/>
  </w:num>
  <w:num w:numId="24" w16cid:durableId="1302690110">
    <w:abstractNumId w:val="26"/>
  </w:num>
  <w:num w:numId="25" w16cid:durableId="371686917">
    <w:abstractNumId w:val="22"/>
  </w:num>
  <w:num w:numId="26" w16cid:durableId="1152018263">
    <w:abstractNumId w:val="27"/>
  </w:num>
  <w:num w:numId="27" w16cid:durableId="1641230094">
    <w:abstractNumId w:val="5"/>
  </w:num>
  <w:num w:numId="28" w16cid:durableId="20479722">
    <w:abstractNumId w:val="25"/>
  </w:num>
  <w:num w:numId="29" w16cid:durableId="937907949">
    <w:abstractNumId w:val="0"/>
  </w:num>
  <w:num w:numId="30" w16cid:durableId="1460227405">
    <w:abstractNumId w:val="15"/>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1"/>
  <w:gutterAtTop/>
  <w:hideSpellingErrors/>
  <w:proofState w:spelling="clean" w:grammar="clean"/>
  <w:attachedTemplate r:id="rId1"/>
  <w:stylePaneSortMethod w:val="0000"/>
  <w:defaultTabStop w:val="720"/>
  <w:evenAndOddHeaders/>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tnwarning" w:val="1"/>
    <w:docVar w:name="sivug" w:val="1"/>
    <w:docVar w:name="space" w:val="1.3"/>
  </w:docVars>
  <w:rsids>
    <w:rsidRoot w:val="009D05CC"/>
    <w:rsid w:val="0000085D"/>
    <w:rsid w:val="0000093B"/>
    <w:rsid w:val="00001101"/>
    <w:rsid w:val="000018EF"/>
    <w:rsid w:val="00001C6B"/>
    <w:rsid w:val="00001D5A"/>
    <w:rsid w:val="00001E75"/>
    <w:rsid w:val="000024D3"/>
    <w:rsid w:val="00002EF7"/>
    <w:rsid w:val="0000361F"/>
    <w:rsid w:val="00003B77"/>
    <w:rsid w:val="00003D51"/>
    <w:rsid w:val="00003EBB"/>
    <w:rsid w:val="00003F96"/>
    <w:rsid w:val="0000520D"/>
    <w:rsid w:val="000054B7"/>
    <w:rsid w:val="00005B23"/>
    <w:rsid w:val="00005EE0"/>
    <w:rsid w:val="00006B59"/>
    <w:rsid w:val="00007060"/>
    <w:rsid w:val="000100D8"/>
    <w:rsid w:val="0001014C"/>
    <w:rsid w:val="00010778"/>
    <w:rsid w:val="000107D8"/>
    <w:rsid w:val="0001099A"/>
    <w:rsid w:val="00011BFC"/>
    <w:rsid w:val="00011DF7"/>
    <w:rsid w:val="00012657"/>
    <w:rsid w:val="000127BE"/>
    <w:rsid w:val="00013BC3"/>
    <w:rsid w:val="00013CFB"/>
    <w:rsid w:val="0001431C"/>
    <w:rsid w:val="0001482C"/>
    <w:rsid w:val="00015162"/>
    <w:rsid w:val="000155F0"/>
    <w:rsid w:val="00015680"/>
    <w:rsid w:val="000157CF"/>
    <w:rsid w:val="00015A22"/>
    <w:rsid w:val="000168DE"/>
    <w:rsid w:val="0001735B"/>
    <w:rsid w:val="000206F1"/>
    <w:rsid w:val="00021298"/>
    <w:rsid w:val="00021ED5"/>
    <w:rsid w:val="00021FFB"/>
    <w:rsid w:val="000224FF"/>
    <w:rsid w:val="00023E81"/>
    <w:rsid w:val="00024391"/>
    <w:rsid w:val="000246D2"/>
    <w:rsid w:val="00024E0C"/>
    <w:rsid w:val="000251E2"/>
    <w:rsid w:val="0002582E"/>
    <w:rsid w:val="000259C7"/>
    <w:rsid w:val="00026245"/>
    <w:rsid w:val="00026367"/>
    <w:rsid w:val="000264D7"/>
    <w:rsid w:val="00026669"/>
    <w:rsid w:val="00026738"/>
    <w:rsid w:val="00026ACC"/>
    <w:rsid w:val="0002705C"/>
    <w:rsid w:val="00027522"/>
    <w:rsid w:val="00027BF3"/>
    <w:rsid w:val="0003001D"/>
    <w:rsid w:val="000303C9"/>
    <w:rsid w:val="00031C68"/>
    <w:rsid w:val="00031C69"/>
    <w:rsid w:val="00031CEB"/>
    <w:rsid w:val="00032932"/>
    <w:rsid w:val="0003410F"/>
    <w:rsid w:val="000344FF"/>
    <w:rsid w:val="0003494D"/>
    <w:rsid w:val="00035688"/>
    <w:rsid w:val="00035B80"/>
    <w:rsid w:val="00035C03"/>
    <w:rsid w:val="000360F7"/>
    <w:rsid w:val="00036101"/>
    <w:rsid w:val="00036B0F"/>
    <w:rsid w:val="00036EB8"/>
    <w:rsid w:val="00040918"/>
    <w:rsid w:val="00040C4D"/>
    <w:rsid w:val="000413AB"/>
    <w:rsid w:val="000419ED"/>
    <w:rsid w:val="00042688"/>
    <w:rsid w:val="00042837"/>
    <w:rsid w:val="0004293F"/>
    <w:rsid w:val="00042BB1"/>
    <w:rsid w:val="00042BB8"/>
    <w:rsid w:val="00043204"/>
    <w:rsid w:val="000436EC"/>
    <w:rsid w:val="00043931"/>
    <w:rsid w:val="00044686"/>
    <w:rsid w:val="000448BE"/>
    <w:rsid w:val="00045038"/>
    <w:rsid w:val="000456D3"/>
    <w:rsid w:val="00046670"/>
    <w:rsid w:val="000470AE"/>
    <w:rsid w:val="00047976"/>
    <w:rsid w:val="00047A92"/>
    <w:rsid w:val="00047CF6"/>
    <w:rsid w:val="000501A4"/>
    <w:rsid w:val="00050419"/>
    <w:rsid w:val="00050995"/>
    <w:rsid w:val="00050BDE"/>
    <w:rsid w:val="00050DDE"/>
    <w:rsid w:val="00051406"/>
    <w:rsid w:val="00052281"/>
    <w:rsid w:val="00052629"/>
    <w:rsid w:val="000529B3"/>
    <w:rsid w:val="000529F6"/>
    <w:rsid w:val="00052AE4"/>
    <w:rsid w:val="00052CD9"/>
    <w:rsid w:val="000532AA"/>
    <w:rsid w:val="00053AA7"/>
    <w:rsid w:val="00053D09"/>
    <w:rsid w:val="00054329"/>
    <w:rsid w:val="00054B57"/>
    <w:rsid w:val="000557B4"/>
    <w:rsid w:val="0005582D"/>
    <w:rsid w:val="0005596D"/>
    <w:rsid w:val="00055CB5"/>
    <w:rsid w:val="00055E07"/>
    <w:rsid w:val="00055E4C"/>
    <w:rsid w:val="00055EC9"/>
    <w:rsid w:val="00056B3E"/>
    <w:rsid w:val="00056E0E"/>
    <w:rsid w:val="000571B9"/>
    <w:rsid w:val="0005725C"/>
    <w:rsid w:val="00057574"/>
    <w:rsid w:val="00057946"/>
    <w:rsid w:val="0005795E"/>
    <w:rsid w:val="00057B7D"/>
    <w:rsid w:val="00060045"/>
    <w:rsid w:val="00060178"/>
    <w:rsid w:val="000601A8"/>
    <w:rsid w:val="000611FF"/>
    <w:rsid w:val="00061760"/>
    <w:rsid w:val="0006189A"/>
    <w:rsid w:val="000618D0"/>
    <w:rsid w:val="00061D7A"/>
    <w:rsid w:val="00062475"/>
    <w:rsid w:val="00063297"/>
    <w:rsid w:val="00063A11"/>
    <w:rsid w:val="0006411D"/>
    <w:rsid w:val="0006421B"/>
    <w:rsid w:val="0006456C"/>
    <w:rsid w:val="00064637"/>
    <w:rsid w:val="000647B1"/>
    <w:rsid w:val="00066A81"/>
    <w:rsid w:val="00066AF6"/>
    <w:rsid w:val="0006704B"/>
    <w:rsid w:val="0006721D"/>
    <w:rsid w:val="0006723D"/>
    <w:rsid w:val="000672AB"/>
    <w:rsid w:val="000675B0"/>
    <w:rsid w:val="00067A76"/>
    <w:rsid w:val="00067E32"/>
    <w:rsid w:val="00067F12"/>
    <w:rsid w:val="000706BF"/>
    <w:rsid w:val="000707EE"/>
    <w:rsid w:val="00070E3F"/>
    <w:rsid w:val="000710A8"/>
    <w:rsid w:val="000714B6"/>
    <w:rsid w:val="00071F2E"/>
    <w:rsid w:val="0007227C"/>
    <w:rsid w:val="00072B83"/>
    <w:rsid w:val="00072FE8"/>
    <w:rsid w:val="000733CE"/>
    <w:rsid w:val="000736B3"/>
    <w:rsid w:val="000738F6"/>
    <w:rsid w:val="00073B6B"/>
    <w:rsid w:val="00073D9F"/>
    <w:rsid w:val="0007429C"/>
    <w:rsid w:val="00074533"/>
    <w:rsid w:val="00074F31"/>
    <w:rsid w:val="00076758"/>
    <w:rsid w:val="00076ED7"/>
    <w:rsid w:val="0007717F"/>
    <w:rsid w:val="0007762A"/>
    <w:rsid w:val="00077B79"/>
    <w:rsid w:val="00080072"/>
    <w:rsid w:val="000803F2"/>
    <w:rsid w:val="00081D0E"/>
    <w:rsid w:val="000824F8"/>
    <w:rsid w:val="0008345D"/>
    <w:rsid w:val="00083692"/>
    <w:rsid w:val="000837F2"/>
    <w:rsid w:val="00083FD0"/>
    <w:rsid w:val="00084071"/>
    <w:rsid w:val="00084E3A"/>
    <w:rsid w:val="00085086"/>
    <w:rsid w:val="00085A22"/>
    <w:rsid w:val="00085B99"/>
    <w:rsid w:val="00086738"/>
    <w:rsid w:val="00086BCD"/>
    <w:rsid w:val="00087355"/>
    <w:rsid w:val="00087686"/>
    <w:rsid w:val="000877AB"/>
    <w:rsid w:val="00090633"/>
    <w:rsid w:val="000907D0"/>
    <w:rsid w:val="00090DF7"/>
    <w:rsid w:val="00091397"/>
    <w:rsid w:val="00091811"/>
    <w:rsid w:val="00091A72"/>
    <w:rsid w:val="0009349C"/>
    <w:rsid w:val="00093E30"/>
    <w:rsid w:val="0009432F"/>
    <w:rsid w:val="00094476"/>
    <w:rsid w:val="00094B2A"/>
    <w:rsid w:val="00094D5D"/>
    <w:rsid w:val="00094F15"/>
    <w:rsid w:val="0009524E"/>
    <w:rsid w:val="0009559D"/>
    <w:rsid w:val="0009560F"/>
    <w:rsid w:val="000963C8"/>
    <w:rsid w:val="00096CF4"/>
    <w:rsid w:val="00096E24"/>
    <w:rsid w:val="0009703F"/>
    <w:rsid w:val="00097787"/>
    <w:rsid w:val="00097CDE"/>
    <w:rsid w:val="000A00AE"/>
    <w:rsid w:val="000A01F2"/>
    <w:rsid w:val="000A0884"/>
    <w:rsid w:val="000A0915"/>
    <w:rsid w:val="000A134E"/>
    <w:rsid w:val="000A15B1"/>
    <w:rsid w:val="000A1610"/>
    <w:rsid w:val="000A26F1"/>
    <w:rsid w:val="000A2BD8"/>
    <w:rsid w:val="000A3690"/>
    <w:rsid w:val="000A3E74"/>
    <w:rsid w:val="000A4686"/>
    <w:rsid w:val="000A4D48"/>
    <w:rsid w:val="000A5140"/>
    <w:rsid w:val="000A529B"/>
    <w:rsid w:val="000A567C"/>
    <w:rsid w:val="000A5B75"/>
    <w:rsid w:val="000A65A9"/>
    <w:rsid w:val="000A69A7"/>
    <w:rsid w:val="000B0929"/>
    <w:rsid w:val="000B1102"/>
    <w:rsid w:val="000B1376"/>
    <w:rsid w:val="000B153C"/>
    <w:rsid w:val="000B1C94"/>
    <w:rsid w:val="000B2074"/>
    <w:rsid w:val="000B2C5B"/>
    <w:rsid w:val="000B2DBE"/>
    <w:rsid w:val="000B3056"/>
    <w:rsid w:val="000B3A23"/>
    <w:rsid w:val="000B4419"/>
    <w:rsid w:val="000B4F23"/>
    <w:rsid w:val="000B55BB"/>
    <w:rsid w:val="000B597C"/>
    <w:rsid w:val="000B6604"/>
    <w:rsid w:val="000B7912"/>
    <w:rsid w:val="000B7B95"/>
    <w:rsid w:val="000B7D4C"/>
    <w:rsid w:val="000C05CB"/>
    <w:rsid w:val="000C089C"/>
    <w:rsid w:val="000C0B98"/>
    <w:rsid w:val="000C0F17"/>
    <w:rsid w:val="000C15A4"/>
    <w:rsid w:val="000C15DF"/>
    <w:rsid w:val="000C164B"/>
    <w:rsid w:val="000C16F6"/>
    <w:rsid w:val="000C1D0D"/>
    <w:rsid w:val="000C2588"/>
    <w:rsid w:val="000C27DC"/>
    <w:rsid w:val="000C2887"/>
    <w:rsid w:val="000C2AB9"/>
    <w:rsid w:val="000C37FE"/>
    <w:rsid w:val="000C3BAD"/>
    <w:rsid w:val="000C3D47"/>
    <w:rsid w:val="000C404B"/>
    <w:rsid w:val="000C43E0"/>
    <w:rsid w:val="000C492E"/>
    <w:rsid w:val="000C50A1"/>
    <w:rsid w:val="000C56D4"/>
    <w:rsid w:val="000C5E23"/>
    <w:rsid w:val="000C5F85"/>
    <w:rsid w:val="000C694D"/>
    <w:rsid w:val="000C6AAF"/>
    <w:rsid w:val="000C6E39"/>
    <w:rsid w:val="000C7459"/>
    <w:rsid w:val="000D04B8"/>
    <w:rsid w:val="000D0837"/>
    <w:rsid w:val="000D09F1"/>
    <w:rsid w:val="000D11EB"/>
    <w:rsid w:val="000D1714"/>
    <w:rsid w:val="000D2056"/>
    <w:rsid w:val="000D215D"/>
    <w:rsid w:val="000D22F0"/>
    <w:rsid w:val="000D2A57"/>
    <w:rsid w:val="000D2CDA"/>
    <w:rsid w:val="000D2F93"/>
    <w:rsid w:val="000D2FE7"/>
    <w:rsid w:val="000D3D09"/>
    <w:rsid w:val="000D4398"/>
    <w:rsid w:val="000D4B88"/>
    <w:rsid w:val="000D4E74"/>
    <w:rsid w:val="000D53BB"/>
    <w:rsid w:val="000D543D"/>
    <w:rsid w:val="000D5B81"/>
    <w:rsid w:val="000D5C0B"/>
    <w:rsid w:val="000D63C9"/>
    <w:rsid w:val="000D69F0"/>
    <w:rsid w:val="000D7666"/>
    <w:rsid w:val="000D7D9F"/>
    <w:rsid w:val="000D7EB1"/>
    <w:rsid w:val="000E013E"/>
    <w:rsid w:val="000E0809"/>
    <w:rsid w:val="000E1FBD"/>
    <w:rsid w:val="000E2359"/>
    <w:rsid w:val="000E23EA"/>
    <w:rsid w:val="000E2715"/>
    <w:rsid w:val="000E2B2C"/>
    <w:rsid w:val="000E2E81"/>
    <w:rsid w:val="000E3022"/>
    <w:rsid w:val="000E3B68"/>
    <w:rsid w:val="000E3D52"/>
    <w:rsid w:val="000E3DFA"/>
    <w:rsid w:val="000E3F0C"/>
    <w:rsid w:val="000E448B"/>
    <w:rsid w:val="000E44FD"/>
    <w:rsid w:val="000E4D6A"/>
    <w:rsid w:val="000E4DF7"/>
    <w:rsid w:val="000E50E1"/>
    <w:rsid w:val="000E5149"/>
    <w:rsid w:val="000E54D2"/>
    <w:rsid w:val="000E5834"/>
    <w:rsid w:val="000E6198"/>
    <w:rsid w:val="000E64A1"/>
    <w:rsid w:val="000E6AAF"/>
    <w:rsid w:val="000E6F44"/>
    <w:rsid w:val="000E71A5"/>
    <w:rsid w:val="000E73AF"/>
    <w:rsid w:val="000E7622"/>
    <w:rsid w:val="000F022A"/>
    <w:rsid w:val="000F158C"/>
    <w:rsid w:val="000F1DEA"/>
    <w:rsid w:val="000F1E0E"/>
    <w:rsid w:val="000F2408"/>
    <w:rsid w:val="000F2E36"/>
    <w:rsid w:val="000F3700"/>
    <w:rsid w:val="000F4578"/>
    <w:rsid w:val="000F4B6E"/>
    <w:rsid w:val="000F4C79"/>
    <w:rsid w:val="000F53C2"/>
    <w:rsid w:val="000F5EDB"/>
    <w:rsid w:val="000F60AB"/>
    <w:rsid w:val="000F62A9"/>
    <w:rsid w:val="000F63A5"/>
    <w:rsid w:val="000F6A6C"/>
    <w:rsid w:val="000F6F38"/>
    <w:rsid w:val="000F76A8"/>
    <w:rsid w:val="000F7725"/>
    <w:rsid w:val="000F78AE"/>
    <w:rsid w:val="00100244"/>
    <w:rsid w:val="00101157"/>
    <w:rsid w:val="00101681"/>
    <w:rsid w:val="00101BB0"/>
    <w:rsid w:val="00101D0F"/>
    <w:rsid w:val="0010231B"/>
    <w:rsid w:val="0010237C"/>
    <w:rsid w:val="001023B9"/>
    <w:rsid w:val="00102D25"/>
    <w:rsid w:val="0010413A"/>
    <w:rsid w:val="00104FBC"/>
    <w:rsid w:val="00105970"/>
    <w:rsid w:val="00105B99"/>
    <w:rsid w:val="00106312"/>
    <w:rsid w:val="00106589"/>
    <w:rsid w:val="00106A30"/>
    <w:rsid w:val="00106A59"/>
    <w:rsid w:val="00106B31"/>
    <w:rsid w:val="00107175"/>
    <w:rsid w:val="0010747A"/>
    <w:rsid w:val="00107A35"/>
    <w:rsid w:val="00107D4A"/>
    <w:rsid w:val="0011146E"/>
    <w:rsid w:val="00111AD4"/>
    <w:rsid w:val="00111EFB"/>
    <w:rsid w:val="00111F8A"/>
    <w:rsid w:val="00112134"/>
    <w:rsid w:val="001122C0"/>
    <w:rsid w:val="00112D92"/>
    <w:rsid w:val="00112E28"/>
    <w:rsid w:val="00113C2F"/>
    <w:rsid w:val="00113E28"/>
    <w:rsid w:val="00114290"/>
    <w:rsid w:val="00114325"/>
    <w:rsid w:val="0011483D"/>
    <w:rsid w:val="00114C7A"/>
    <w:rsid w:val="00114E4E"/>
    <w:rsid w:val="00115432"/>
    <w:rsid w:val="001157CE"/>
    <w:rsid w:val="00115E66"/>
    <w:rsid w:val="00116E1B"/>
    <w:rsid w:val="001172DF"/>
    <w:rsid w:val="00117408"/>
    <w:rsid w:val="00117C0E"/>
    <w:rsid w:val="0012082F"/>
    <w:rsid w:val="0012150C"/>
    <w:rsid w:val="00121682"/>
    <w:rsid w:val="00121EA1"/>
    <w:rsid w:val="0012279D"/>
    <w:rsid w:val="001239A8"/>
    <w:rsid w:val="001239E1"/>
    <w:rsid w:val="001243A4"/>
    <w:rsid w:val="001247BA"/>
    <w:rsid w:val="00124DC1"/>
    <w:rsid w:val="00125628"/>
    <w:rsid w:val="00125881"/>
    <w:rsid w:val="001305E5"/>
    <w:rsid w:val="00131349"/>
    <w:rsid w:val="0013138F"/>
    <w:rsid w:val="001317A2"/>
    <w:rsid w:val="00131CCD"/>
    <w:rsid w:val="0013210D"/>
    <w:rsid w:val="00132126"/>
    <w:rsid w:val="001321A1"/>
    <w:rsid w:val="00132671"/>
    <w:rsid w:val="0013302E"/>
    <w:rsid w:val="0013406B"/>
    <w:rsid w:val="001340B5"/>
    <w:rsid w:val="00134560"/>
    <w:rsid w:val="00134F83"/>
    <w:rsid w:val="001354CB"/>
    <w:rsid w:val="00135695"/>
    <w:rsid w:val="00135742"/>
    <w:rsid w:val="00135A23"/>
    <w:rsid w:val="00135D5F"/>
    <w:rsid w:val="00136479"/>
    <w:rsid w:val="00136496"/>
    <w:rsid w:val="0013664A"/>
    <w:rsid w:val="0013667B"/>
    <w:rsid w:val="0013696C"/>
    <w:rsid w:val="001369D8"/>
    <w:rsid w:val="00136A10"/>
    <w:rsid w:val="0013702C"/>
    <w:rsid w:val="00137337"/>
    <w:rsid w:val="00137681"/>
    <w:rsid w:val="001378D5"/>
    <w:rsid w:val="00137FF0"/>
    <w:rsid w:val="00140CC4"/>
    <w:rsid w:val="00140E60"/>
    <w:rsid w:val="00141541"/>
    <w:rsid w:val="001415C9"/>
    <w:rsid w:val="00141BD6"/>
    <w:rsid w:val="00141E09"/>
    <w:rsid w:val="00142206"/>
    <w:rsid w:val="00143176"/>
    <w:rsid w:val="001431D6"/>
    <w:rsid w:val="00143B4D"/>
    <w:rsid w:val="00143E26"/>
    <w:rsid w:val="00143FFA"/>
    <w:rsid w:val="0014435E"/>
    <w:rsid w:val="00144908"/>
    <w:rsid w:val="00144BB3"/>
    <w:rsid w:val="00144C4B"/>
    <w:rsid w:val="001451A4"/>
    <w:rsid w:val="0014551F"/>
    <w:rsid w:val="0014569F"/>
    <w:rsid w:val="001460BB"/>
    <w:rsid w:val="001466D7"/>
    <w:rsid w:val="001469CA"/>
    <w:rsid w:val="0014715B"/>
    <w:rsid w:val="00150611"/>
    <w:rsid w:val="00150A48"/>
    <w:rsid w:val="00150BE4"/>
    <w:rsid w:val="00150BE7"/>
    <w:rsid w:val="00150BEB"/>
    <w:rsid w:val="00150CC9"/>
    <w:rsid w:val="00150F89"/>
    <w:rsid w:val="00151B16"/>
    <w:rsid w:val="00152452"/>
    <w:rsid w:val="001526AC"/>
    <w:rsid w:val="001527A0"/>
    <w:rsid w:val="00152C2F"/>
    <w:rsid w:val="00153149"/>
    <w:rsid w:val="00153742"/>
    <w:rsid w:val="00153A60"/>
    <w:rsid w:val="00153D95"/>
    <w:rsid w:val="00154091"/>
    <w:rsid w:val="0015454A"/>
    <w:rsid w:val="00154682"/>
    <w:rsid w:val="00154827"/>
    <w:rsid w:val="00154F60"/>
    <w:rsid w:val="00155501"/>
    <w:rsid w:val="00155B51"/>
    <w:rsid w:val="001560B9"/>
    <w:rsid w:val="00156CAA"/>
    <w:rsid w:val="00156DEF"/>
    <w:rsid w:val="0015702B"/>
    <w:rsid w:val="00157577"/>
    <w:rsid w:val="00157D86"/>
    <w:rsid w:val="00160155"/>
    <w:rsid w:val="0016031C"/>
    <w:rsid w:val="00160BE5"/>
    <w:rsid w:val="00160CC1"/>
    <w:rsid w:val="00161124"/>
    <w:rsid w:val="00161278"/>
    <w:rsid w:val="00161717"/>
    <w:rsid w:val="00161DA5"/>
    <w:rsid w:val="00162009"/>
    <w:rsid w:val="00162EAF"/>
    <w:rsid w:val="00163079"/>
    <w:rsid w:val="001630E8"/>
    <w:rsid w:val="001637C1"/>
    <w:rsid w:val="001639FB"/>
    <w:rsid w:val="00163D00"/>
    <w:rsid w:val="001641A1"/>
    <w:rsid w:val="001643E4"/>
    <w:rsid w:val="00164534"/>
    <w:rsid w:val="00164A94"/>
    <w:rsid w:val="00164B64"/>
    <w:rsid w:val="00164C99"/>
    <w:rsid w:val="00165294"/>
    <w:rsid w:val="00166364"/>
    <w:rsid w:val="00166477"/>
    <w:rsid w:val="001667D3"/>
    <w:rsid w:val="00166D27"/>
    <w:rsid w:val="0016788B"/>
    <w:rsid w:val="00167D07"/>
    <w:rsid w:val="00170230"/>
    <w:rsid w:val="00170320"/>
    <w:rsid w:val="00170625"/>
    <w:rsid w:val="0017091D"/>
    <w:rsid w:val="00170E23"/>
    <w:rsid w:val="0017146B"/>
    <w:rsid w:val="00171B4A"/>
    <w:rsid w:val="0017200D"/>
    <w:rsid w:val="0017251C"/>
    <w:rsid w:val="0017265F"/>
    <w:rsid w:val="001730B0"/>
    <w:rsid w:val="001739FC"/>
    <w:rsid w:val="00173FDD"/>
    <w:rsid w:val="001747CF"/>
    <w:rsid w:val="00174A21"/>
    <w:rsid w:val="00175053"/>
    <w:rsid w:val="0017513A"/>
    <w:rsid w:val="001752CB"/>
    <w:rsid w:val="00175FE2"/>
    <w:rsid w:val="00176411"/>
    <w:rsid w:val="00176B96"/>
    <w:rsid w:val="00177620"/>
    <w:rsid w:val="00177D09"/>
    <w:rsid w:val="00177D2F"/>
    <w:rsid w:val="00180392"/>
    <w:rsid w:val="00181A46"/>
    <w:rsid w:val="00181A6A"/>
    <w:rsid w:val="001821A3"/>
    <w:rsid w:val="00182B04"/>
    <w:rsid w:val="00182DC0"/>
    <w:rsid w:val="00183085"/>
    <w:rsid w:val="001839FA"/>
    <w:rsid w:val="00183DDC"/>
    <w:rsid w:val="00184867"/>
    <w:rsid w:val="0018505D"/>
    <w:rsid w:val="001850C6"/>
    <w:rsid w:val="0018586A"/>
    <w:rsid w:val="001858E5"/>
    <w:rsid w:val="00185B85"/>
    <w:rsid w:val="001868AE"/>
    <w:rsid w:val="00186BD2"/>
    <w:rsid w:val="0018758B"/>
    <w:rsid w:val="00187AC7"/>
    <w:rsid w:val="001900F7"/>
    <w:rsid w:val="0019015A"/>
    <w:rsid w:val="00190396"/>
    <w:rsid w:val="00190704"/>
    <w:rsid w:val="00190CB1"/>
    <w:rsid w:val="00190F93"/>
    <w:rsid w:val="00191D43"/>
    <w:rsid w:val="00191FF6"/>
    <w:rsid w:val="0019287A"/>
    <w:rsid w:val="00192E51"/>
    <w:rsid w:val="00192F16"/>
    <w:rsid w:val="00193071"/>
    <w:rsid w:val="0019399F"/>
    <w:rsid w:val="00194286"/>
    <w:rsid w:val="00195BC7"/>
    <w:rsid w:val="00195EBA"/>
    <w:rsid w:val="001960B4"/>
    <w:rsid w:val="00196FD4"/>
    <w:rsid w:val="0019758B"/>
    <w:rsid w:val="00197B6F"/>
    <w:rsid w:val="00197B8A"/>
    <w:rsid w:val="00197BDF"/>
    <w:rsid w:val="00197CC1"/>
    <w:rsid w:val="001A0135"/>
    <w:rsid w:val="001A0CA6"/>
    <w:rsid w:val="001A0E9D"/>
    <w:rsid w:val="001A1123"/>
    <w:rsid w:val="001A166A"/>
    <w:rsid w:val="001A2081"/>
    <w:rsid w:val="001A2A50"/>
    <w:rsid w:val="001A2F88"/>
    <w:rsid w:val="001A30F6"/>
    <w:rsid w:val="001A325B"/>
    <w:rsid w:val="001A38A7"/>
    <w:rsid w:val="001A3974"/>
    <w:rsid w:val="001A3E92"/>
    <w:rsid w:val="001A40B6"/>
    <w:rsid w:val="001A4B1D"/>
    <w:rsid w:val="001A4C5A"/>
    <w:rsid w:val="001A5D04"/>
    <w:rsid w:val="001A5F85"/>
    <w:rsid w:val="001A613C"/>
    <w:rsid w:val="001A6276"/>
    <w:rsid w:val="001A72F6"/>
    <w:rsid w:val="001A7D06"/>
    <w:rsid w:val="001A7D08"/>
    <w:rsid w:val="001B04D9"/>
    <w:rsid w:val="001B0973"/>
    <w:rsid w:val="001B1655"/>
    <w:rsid w:val="001B17FB"/>
    <w:rsid w:val="001B2821"/>
    <w:rsid w:val="001B285C"/>
    <w:rsid w:val="001B2ACB"/>
    <w:rsid w:val="001B2D16"/>
    <w:rsid w:val="001B2DBB"/>
    <w:rsid w:val="001B3BE6"/>
    <w:rsid w:val="001B3EFA"/>
    <w:rsid w:val="001B41A2"/>
    <w:rsid w:val="001B49CC"/>
    <w:rsid w:val="001B4B0A"/>
    <w:rsid w:val="001B4E87"/>
    <w:rsid w:val="001B4EA7"/>
    <w:rsid w:val="001B5656"/>
    <w:rsid w:val="001B5DFF"/>
    <w:rsid w:val="001B65B8"/>
    <w:rsid w:val="001B6BC5"/>
    <w:rsid w:val="001B6F86"/>
    <w:rsid w:val="001B70CA"/>
    <w:rsid w:val="001B7166"/>
    <w:rsid w:val="001B75F0"/>
    <w:rsid w:val="001C00D8"/>
    <w:rsid w:val="001C0249"/>
    <w:rsid w:val="001C057E"/>
    <w:rsid w:val="001C28D9"/>
    <w:rsid w:val="001C2CAD"/>
    <w:rsid w:val="001C308D"/>
    <w:rsid w:val="001C3187"/>
    <w:rsid w:val="001C3232"/>
    <w:rsid w:val="001C3327"/>
    <w:rsid w:val="001C34D5"/>
    <w:rsid w:val="001C3ED9"/>
    <w:rsid w:val="001C3FF3"/>
    <w:rsid w:val="001C450A"/>
    <w:rsid w:val="001C45D9"/>
    <w:rsid w:val="001C49B8"/>
    <w:rsid w:val="001C5A02"/>
    <w:rsid w:val="001C5BF5"/>
    <w:rsid w:val="001C5C9D"/>
    <w:rsid w:val="001C663B"/>
    <w:rsid w:val="001C66D4"/>
    <w:rsid w:val="001C670A"/>
    <w:rsid w:val="001C6FC8"/>
    <w:rsid w:val="001C72B2"/>
    <w:rsid w:val="001C75D0"/>
    <w:rsid w:val="001D0073"/>
    <w:rsid w:val="001D0910"/>
    <w:rsid w:val="001D1192"/>
    <w:rsid w:val="001D1437"/>
    <w:rsid w:val="001D223A"/>
    <w:rsid w:val="001D2243"/>
    <w:rsid w:val="001D2793"/>
    <w:rsid w:val="001D2F2A"/>
    <w:rsid w:val="001D3679"/>
    <w:rsid w:val="001D3CC2"/>
    <w:rsid w:val="001D461F"/>
    <w:rsid w:val="001D46D3"/>
    <w:rsid w:val="001D5FD1"/>
    <w:rsid w:val="001D6714"/>
    <w:rsid w:val="001D69D0"/>
    <w:rsid w:val="001D713E"/>
    <w:rsid w:val="001D77E6"/>
    <w:rsid w:val="001E0A7D"/>
    <w:rsid w:val="001E0D0D"/>
    <w:rsid w:val="001E17EB"/>
    <w:rsid w:val="001E1C40"/>
    <w:rsid w:val="001E1EC3"/>
    <w:rsid w:val="001E1FB9"/>
    <w:rsid w:val="001E1FD1"/>
    <w:rsid w:val="001E23E2"/>
    <w:rsid w:val="001E3778"/>
    <w:rsid w:val="001E3F7F"/>
    <w:rsid w:val="001E41D1"/>
    <w:rsid w:val="001E475C"/>
    <w:rsid w:val="001E59BD"/>
    <w:rsid w:val="001E5A5F"/>
    <w:rsid w:val="001E5C3E"/>
    <w:rsid w:val="001E6294"/>
    <w:rsid w:val="001E641F"/>
    <w:rsid w:val="001E66A7"/>
    <w:rsid w:val="001E773D"/>
    <w:rsid w:val="001F068F"/>
    <w:rsid w:val="001F0BBB"/>
    <w:rsid w:val="001F0DE8"/>
    <w:rsid w:val="001F0E94"/>
    <w:rsid w:val="001F19C9"/>
    <w:rsid w:val="001F35DC"/>
    <w:rsid w:val="001F3815"/>
    <w:rsid w:val="001F3EFE"/>
    <w:rsid w:val="001F4057"/>
    <w:rsid w:val="001F407D"/>
    <w:rsid w:val="001F4183"/>
    <w:rsid w:val="001F5566"/>
    <w:rsid w:val="001F5E84"/>
    <w:rsid w:val="001F6015"/>
    <w:rsid w:val="001F6AE0"/>
    <w:rsid w:val="001F6B1F"/>
    <w:rsid w:val="001F6BA7"/>
    <w:rsid w:val="001F76D7"/>
    <w:rsid w:val="001F7D67"/>
    <w:rsid w:val="00200434"/>
    <w:rsid w:val="00200533"/>
    <w:rsid w:val="0020073F"/>
    <w:rsid w:val="00200E5B"/>
    <w:rsid w:val="00200FE9"/>
    <w:rsid w:val="002014C8"/>
    <w:rsid w:val="00202068"/>
    <w:rsid w:val="00202878"/>
    <w:rsid w:val="00202F8B"/>
    <w:rsid w:val="0020301B"/>
    <w:rsid w:val="00203277"/>
    <w:rsid w:val="00203604"/>
    <w:rsid w:val="002049ED"/>
    <w:rsid w:val="00205317"/>
    <w:rsid w:val="00205724"/>
    <w:rsid w:val="00205C5F"/>
    <w:rsid w:val="002064F7"/>
    <w:rsid w:val="00206509"/>
    <w:rsid w:val="00206BDB"/>
    <w:rsid w:val="0021058F"/>
    <w:rsid w:val="0021135F"/>
    <w:rsid w:val="0021150C"/>
    <w:rsid w:val="00211938"/>
    <w:rsid w:val="00211C85"/>
    <w:rsid w:val="002127FD"/>
    <w:rsid w:val="00212B04"/>
    <w:rsid w:val="00212EEA"/>
    <w:rsid w:val="002130B4"/>
    <w:rsid w:val="0021348C"/>
    <w:rsid w:val="00214BC0"/>
    <w:rsid w:val="00214C9D"/>
    <w:rsid w:val="00214CAA"/>
    <w:rsid w:val="002154D1"/>
    <w:rsid w:val="00215BEE"/>
    <w:rsid w:val="0021654E"/>
    <w:rsid w:val="0022072A"/>
    <w:rsid w:val="00220B3D"/>
    <w:rsid w:val="0022100A"/>
    <w:rsid w:val="00221160"/>
    <w:rsid w:val="002213EE"/>
    <w:rsid w:val="00221922"/>
    <w:rsid w:val="00221B94"/>
    <w:rsid w:val="00221BC1"/>
    <w:rsid w:val="00222AAD"/>
    <w:rsid w:val="00222FD7"/>
    <w:rsid w:val="00224723"/>
    <w:rsid w:val="002248C1"/>
    <w:rsid w:val="00224C04"/>
    <w:rsid w:val="00224DC7"/>
    <w:rsid w:val="002251A4"/>
    <w:rsid w:val="00225489"/>
    <w:rsid w:val="00225718"/>
    <w:rsid w:val="00225CAE"/>
    <w:rsid w:val="0022685E"/>
    <w:rsid w:val="0022705A"/>
    <w:rsid w:val="00227E88"/>
    <w:rsid w:val="0023004B"/>
    <w:rsid w:val="002301B6"/>
    <w:rsid w:val="0023064F"/>
    <w:rsid w:val="00230B94"/>
    <w:rsid w:val="00231C3C"/>
    <w:rsid w:val="00231DC5"/>
    <w:rsid w:val="00232836"/>
    <w:rsid w:val="002338F8"/>
    <w:rsid w:val="00234167"/>
    <w:rsid w:val="00234A15"/>
    <w:rsid w:val="00234AB5"/>
    <w:rsid w:val="00234F9B"/>
    <w:rsid w:val="00234FC9"/>
    <w:rsid w:val="0023589B"/>
    <w:rsid w:val="00235AEE"/>
    <w:rsid w:val="00235D75"/>
    <w:rsid w:val="002366CE"/>
    <w:rsid w:val="002369D4"/>
    <w:rsid w:val="0023720A"/>
    <w:rsid w:val="002375D3"/>
    <w:rsid w:val="0024001A"/>
    <w:rsid w:val="00240887"/>
    <w:rsid w:val="00241142"/>
    <w:rsid w:val="002419F2"/>
    <w:rsid w:val="00242F1E"/>
    <w:rsid w:val="00243242"/>
    <w:rsid w:val="002434E9"/>
    <w:rsid w:val="00243E20"/>
    <w:rsid w:val="00243F02"/>
    <w:rsid w:val="00244096"/>
    <w:rsid w:val="0024417D"/>
    <w:rsid w:val="00244754"/>
    <w:rsid w:val="00244C55"/>
    <w:rsid w:val="00245470"/>
    <w:rsid w:val="00246CD7"/>
    <w:rsid w:val="00247C83"/>
    <w:rsid w:val="00250370"/>
    <w:rsid w:val="0025068A"/>
    <w:rsid w:val="00250751"/>
    <w:rsid w:val="00250A7F"/>
    <w:rsid w:val="002516DF"/>
    <w:rsid w:val="00251876"/>
    <w:rsid w:val="00251B50"/>
    <w:rsid w:val="00253D03"/>
    <w:rsid w:val="00254CF4"/>
    <w:rsid w:val="00254EF4"/>
    <w:rsid w:val="00255877"/>
    <w:rsid w:val="0025701A"/>
    <w:rsid w:val="002575ED"/>
    <w:rsid w:val="002576EB"/>
    <w:rsid w:val="00260BF5"/>
    <w:rsid w:val="00260D04"/>
    <w:rsid w:val="0026130F"/>
    <w:rsid w:val="00261C84"/>
    <w:rsid w:val="002622D4"/>
    <w:rsid w:val="00262A9E"/>
    <w:rsid w:val="00262AD0"/>
    <w:rsid w:val="00263521"/>
    <w:rsid w:val="00263A1E"/>
    <w:rsid w:val="00263DB7"/>
    <w:rsid w:val="00264127"/>
    <w:rsid w:val="002643D4"/>
    <w:rsid w:val="00264CFB"/>
    <w:rsid w:val="00265428"/>
    <w:rsid w:val="002654D1"/>
    <w:rsid w:val="00270C99"/>
    <w:rsid w:val="0027101D"/>
    <w:rsid w:val="0027121E"/>
    <w:rsid w:val="0027188F"/>
    <w:rsid w:val="002739B2"/>
    <w:rsid w:val="002739CF"/>
    <w:rsid w:val="00273D43"/>
    <w:rsid w:val="0027424D"/>
    <w:rsid w:val="00274A79"/>
    <w:rsid w:val="00275A79"/>
    <w:rsid w:val="002763F9"/>
    <w:rsid w:val="00276D55"/>
    <w:rsid w:val="00277114"/>
    <w:rsid w:val="00277A80"/>
    <w:rsid w:val="00277D6C"/>
    <w:rsid w:val="0028138F"/>
    <w:rsid w:val="002813A0"/>
    <w:rsid w:val="00281F46"/>
    <w:rsid w:val="00282C5A"/>
    <w:rsid w:val="00283E18"/>
    <w:rsid w:val="00283FFC"/>
    <w:rsid w:val="002841C5"/>
    <w:rsid w:val="002841CB"/>
    <w:rsid w:val="00284ABA"/>
    <w:rsid w:val="00284B06"/>
    <w:rsid w:val="00285362"/>
    <w:rsid w:val="00285EC0"/>
    <w:rsid w:val="0028686C"/>
    <w:rsid w:val="0028694C"/>
    <w:rsid w:val="002869E1"/>
    <w:rsid w:val="00286A23"/>
    <w:rsid w:val="00286C34"/>
    <w:rsid w:val="00287385"/>
    <w:rsid w:val="00287BEF"/>
    <w:rsid w:val="00290C01"/>
    <w:rsid w:val="00290D96"/>
    <w:rsid w:val="00291775"/>
    <w:rsid w:val="002920D3"/>
    <w:rsid w:val="002927EE"/>
    <w:rsid w:val="00292A58"/>
    <w:rsid w:val="00293FC3"/>
    <w:rsid w:val="00294150"/>
    <w:rsid w:val="002941CD"/>
    <w:rsid w:val="00294251"/>
    <w:rsid w:val="00294784"/>
    <w:rsid w:val="00294AF0"/>
    <w:rsid w:val="00296A9F"/>
    <w:rsid w:val="002970CC"/>
    <w:rsid w:val="00297B76"/>
    <w:rsid w:val="00297B77"/>
    <w:rsid w:val="00297FD7"/>
    <w:rsid w:val="002A04CC"/>
    <w:rsid w:val="002A1117"/>
    <w:rsid w:val="002A18D6"/>
    <w:rsid w:val="002A2132"/>
    <w:rsid w:val="002A29AB"/>
    <w:rsid w:val="002A2C5A"/>
    <w:rsid w:val="002A3A3E"/>
    <w:rsid w:val="002A4153"/>
    <w:rsid w:val="002A4460"/>
    <w:rsid w:val="002A4707"/>
    <w:rsid w:val="002A4B57"/>
    <w:rsid w:val="002A4F87"/>
    <w:rsid w:val="002A53E2"/>
    <w:rsid w:val="002A57EB"/>
    <w:rsid w:val="002A598C"/>
    <w:rsid w:val="002A6418"/>
    <w:rsid w:val="002A64F8"/>
    <w:rsid w:val="002A68DE"/>
    <w:rsid w:val="002A6A8F"/>
    <w:rsid w:val="002A6B3B"/>
    <w:rsid w:val="002A738D"/>
    <w:rsid w:val="002A7D21"/>
    <w:rsid w:val="002B08F4"/>
    <w:rsid w:val="002B0C29"/>
    <w:rsid w:val="002B10E8"/>
    <w:rsid w:val="002B12C0"/>
    <w:rsid w:val="002B1394"/>
    <w:rsid w:val="002B1B1A"/>
    <w:rsid w:val="002B250C"/>
    <w:rsid w:val="002B2E47"/>
    <w:rsid w:val="002B30DB"/>
    <w:rsid w:val="002B3A8C"/>
    <w:rsid w:val="002B55FA"/>
    <w:rsid w:val="002B5A1F"/>
    <w:rsid w:val="002B5C10"/>
    <w:rsid w:val="002B5D65"/>
    <w:rsid w:val="002B5D71"/>
    <w:rsid w:val="002B60E9"/>
    <w:rsid w:val="002B637F"/>
    <w:rsid w:val="002B65DC"/>
    <w:rsid w:val="002B6FB4"/>
    <w:rsid w:val="002B770A"/>
    <w:rsid w:val="002B7B64"/>
    <w:rsid w:val="002C06EB"/>
    <w:rsid w:val="002C0B9D"/>
    <w:rsid w:val="002C1BB5"/>
    <w:rsid w:val="002C1D86"/>
    <w:rsid w:val="002C1EE0"/>
    <w:rsid w:val="002C28D3"/>
    <w:rsid w:val="002C2B0E"/>
    <w:rsid w:val="002C316A"/>
    <w:rsid w:val="002C3288"/>
    <w:rsid w:val="002C3B87"/>
    <w:rsid w:val="002C3D55"/>
    <w:rsid w:val="002C4139"/>
    <w:rsid w:val="002C4302"/>
    <w:rsid w:val="002C4B51"/>
    <w:rsid w:val="002C4F9F"/>
    <w:rsid w:val="002C521E"/>
    <w:rsid w:val="002C54FF"/>
    <w:rsid w:val="002C58AD"/>
    <w:rsid w:val="002C65B3"/>
    <w:rsid w:val="002C6BEC"/>
    <w:rsid w:val="002C6C7D"/>
    <w:rsid w:val="002C6D22"/>
    <w:rsid w:val="002C70A2"/>
    <w:rsid w:val="002C7D35"/>
    <w:rsid w:val="002D05EC"/>
    <w:rsid w:val="002D1688"/>
    <w:rsid w:val="002D268F"/>
    <w:rsid w:val="002D2963"/>
    <w:rsid w:val="002D2BFB"/>
    <w:rsid w:val="002D3201"/>
    <w:rsid w:val="002D32B9"/>
    <w:rsid w:val="002D38CB"/>
    <w:rsid w:val="002D3AC8"/>
    <w:rsid w:val="002D4617"/>
    <w:rsid w:val="002D4E81"/>
    <w:rsid w:val="002D555F"/>
    <w:rsid w:val="002D572F"/>
    <w:rsid w:val="002D5930"/>
    <w:rsid w:val="002D613F"/>
    <w:rsid w:val="002D65CF"/>
    <w:rsid w:val="002D6964"/>
    <w:rsid w:val="002D69A4"/>
    <w:rsid w:val="002D6DBD"/>
    <w:rsid w:val="002D6EF5"/>
    <w:rsid w:val="002D79C7"/>
    <w:rsid w:val="002E0151"/>
    <w:rsid w:val="002E01CC"/>
    <w:rsid w:val="002E0A57"/>
    <w:rsid w:val="002E13C6"/>
    <w:rsid w:val="002E188D"/>
    <w:rsid w:val="002E1993"/>
    <w:rsid w:val="002E1E1F"/>
    <w:rsid w:val="002E24BB"/>
    <w:rsid w:val="002E2DB0"/>
    <w:rsid w:val="002E3AA6"/>
    <w:rsid w:val="002E424B"/>
    <w:rsid w:val="002E4532"/>
    <w:rsid w:val="002E4818"/>
    <w:rsid w:val="002E5757"/>
    <w:rsid w:val="002E644F"/>
    <w:rsid w:val="002E6B3E"/>
    <w:rsid w:val="002E707E"/>
    <w:rsid w:val="002E70B8"/>
    <w:rsid w:val="002E7528"/>
    <w:rsid w:val="002E76D3"/>
    <w:rsid w:val="002F06E7"/>
    <w:rsid w:val="002F1184"/>
    <w:rsid w:val="002F11D2"/>
    <w:rsid w:val="002F1452"/>
    <w:rsid w:val="002F1610"/>
    <w:rsid w:val="002F2019"/>
    <w:rsid w:val="002F24F0"/>
    <w:rsid w:val="002F29CA"/>
    <w:rsid w:val="002F3162"/>
    <w:rsid w:val="002F3CBB"/>
    <w:rsid w:val="002F42B0"/>
    <w:rsid w:val="002F4761"/>
    <w:rsid w:val="002F47F1"/>
    <w:rsid w:val="002F5163"/>
    <w:rsid w:val="002F5628"/>
    <w:rsid w:val="002F5A80"/>
    <w:rsid w:val="002F5B51"/>
    <w:rsid w:val="002F5CEC"/>
    <w:rsid w:val="002F5F43"/>
    <w:rsid w:val="002F6FA5"/>
    <w:rsid w:val="002F724D"/>
    <w:rsid w:val="002F78B6"/>
    <w:rsid w:val="002F7C75"/>
    <w:rsid w:val="002F7D09"/>
    <w:rsid w:val="0030043A"/>
    <w:rsid w:val="00300F74"/>
    <w:rsid w:val="0030114C"/>
    <w:rsid w:val="00301153"/>
    <w:rsid w:val="00301A9A"/>
    <w:rsid w:val="003020D6"/>
    <w:rsid w:val="00302134"/>
    <w:rsid w:val="00302C17"/>
    <w:rsid w:val="00302DC7"/>
    <w:rsid w:val="0030338B"/>
    <w:rsid w:val="003038A7"/>
    <w:rsid w:val="00303EC4"/>
    <w:rsid w:val="0030415A"/>
    <w:rsid w:val="00304D83"/>
    <w:rsid w:val="00304E57"/>
    <w:rsid w:val="00304EA0"/>
    <w:rsid w:val="00304FE1"/>
    <w:rsid w:val="003050D0"/>
    <w:rsid w:val="0030516B"/>
    <w:rsid w:val="00305A00"/>
    <w:rsid w:val="00305E58"/>
    <w:rsid w:val="003063A3"/>
    <w:rsid w:val="003067B1"/>
    <w:rsid w:val="00306A3B"/>
    <w:rsid w:val="00306A59"/>
    <w:rsid w:val="003071E1"/>
    <w:rsid w:val="00307A51"/>
    <w:rsid w:val="003108E3"/>
    <w:rsid w:val="00310AC6"/>
    <w:rsid w:val="00311190"/>
    <w:rsid w:val="0031135A"/>
    <w:rsid w:val="00312140"/>
    <w:rsid w:val="0031327E"/>
    <w:rsid w:val="00313D58"/>
    <w:rsid w:val="00313EEC"/>
    <w:rsid w:val="00314BB0"/>
    <w:rsid w:val="003150C0"/>
    <w:rsid w:val="00315624"/>
    <w:rsid w:val="00315BD6"/>
    <w:rsid w:val="00315D7F"/>
    <w:rsid w:val="00315E78"/>
    <w:rsid w:val="00315FF2"/>
    <w:rsid w:val="00316385"/>
    <w:rsid w:val="00316A77"/>
    <w:rsid w:val="00316C57"/>
    <w:rsid w:val="00316F0F"/>
    <w:rsid w:val="003177E2"/>
    <w:rsid w:val="0032022E"/>
    <w:rsid w:val="00320D71"/>
    <w:rsid w:val="0032289E"/>
    <w:rsid w:val="00322998"/>
    <w:rsid w:val="00322A81"/>
    <w:rsid w:val="00323027"/>
    <w:rsid w:val="0032331E"/>
    <w:rsid w:val="00324236"/>
    <w:rsid w:val="0032448C"/>
    <w:rsid w:val="00324BC1"/>
    <w:rsid w:val="00324C2A"/>
    <w:rsid w:val="00324F0D"/>
    <w:rsid w:val="003257C6"/>
    <w:rsid w:val="00325CD8"/>
    <w:rsid w:val="00325E04"/>
    <w:rsid w:val="00325F44"/>
    <w:rsid w:val="00326ABF"/>
    <w:rsid w:val="00326C7C"/>
    <w:rsid w:val="00326EF0"/>
    <w:rsid w:val="00326F6A"/>
    <w:rsid w:val="003271AB"/>
    <w:rsid w:val="00327593"/>
    <w:rsid w:val="0032765C"/>
    <w:rsid w:val="00327706"/>
    <w:rsid w:val="00327D99"/>
    <w:rsid w:val="003303FB"/>
    <w:rsid w:val="003318C2"/>
    <w:rsid w:val="00331924"/>
    <w:rsid w:val="00331A6A"/>
    <w:rsid w:val="00332663"/>
    <w:rsid w:val="00332F33"/>
    <w:rsid w:val="00333BC5"/>
    <w:rsid w:val="00334583"/>
    <w:rsid w:val="00334A65"/>
    <w:rsid w:val="00334D20"/>
    <w:rsid w:val="00335267"/>
    <w:rsid w:val="0033564C"/>
    <w:rsid w:val="003356A2"/>
    <w:rsid w:val="00335A0A"/>
    <w:rsid w:val="0033672B"/>
    <w:rsid w:val="00337048"/>
    <w:rsid w:val="003370BA"/>
    <w:rsid w:val="00337846"/>
    <w:rsid w:val="0033799E"/>
    <w:rsid w:val="00337BB0"/>
    <w:rsid w:val="00337C4E"/>
    <w:rsid w:val="0034038A"/>
    <w:rsid w:val="003405D2"/>
    <w:rsid w:val="003405E7"/>
    <w:rsid w:val="0034070F"/>
    <w:rsid w:val="00340C7C"/>
    <w:rsid w:val="00340D4D"/>
    <w:rsid w:val="0034116C"/>
    <w:rsid w:val="0034149F"/>
    <w:rsid w:val="003417BA"/>
    <w:rsid w:val="003419FB"/>
    <w:rsid w:val="00341C37"/>
    <w:rsid w:val="00343850"/>
    <w:rsid w:val="00343B0B"/>
    <w:rsid w:val="00343D49"/>
    <w:rsid w:val="003441D2"/>
    <w:rsid w:val="00344346"/>
    <w:rsid w:val="00344842"/>
    <w:rsid w:val="00344BBF"/>
    <w:rsid w:val="00344CCD"/>
    <w:rsid w:val="00345868"/>
    <w:rsid w:val="0034637E"/>
    <w:rsid w:val="003466B0"/>
    <w:rsid w:val="00346745"/>
    <w:rsid w:val="0034691F"/>
    <w:rsid w:val="00346930"/>
    <w:rsid w:val="003470A8"/>
    <w:rsid w:val="00347612"/>
    <w:rsid w:val="00347712"/>
    <w:rsid w:val="00347800"/>
    <w:rsid w:val="00347942"/>
    <w:rsid w:val="00347968"/>
    <w:rsid w:val="00347A15"/>
    <w:rsid w:val="003501E9"/>
    <w:rsid w:val="003503BF"/>
    <w:rsid w:val="003509DF"/>
    <w:rsid w:val="003513C7"/>
    <w:rsid w:val="0035145F"/>
    <w:rsid w:val="00351AD0"/>
    <w:rsid w:val="00351F4E"/>
    <w:rsid w:val="003525D4"/>
    <w:rsid w:val="0035281B"/>
    <w:rsid w:val="0035448A"/>
    <w:rsid w:val="00354767"/>
    <w:rsid w:val="00355453"/>
    <w:rsid w:val="003559A1"/>
    <w:rsid w:val="00355B59"/>
    <w:rsid w:val="00356540"/>
    <w:rsid w:val="00356788"/>
    <w:rsid w:val="00356926"/>
    <w:rsid w:val="00356BD5"/>
    <w:rsid w:val="00356C79"/>
    <w:rsid w:val="00356CD5"/>
    <w:rsid w:val="00357420"/>
    <w:rsid w:val="00357544"/>
    <w:rsid w:val="00360129"/>
    <w:rsid w:val="00360285"/>
    <w:rsid w:val="00360322"/>
    <w:rsid w:val="003606C0"/>
    <w:rsid w:val="00360FD1"/>
    <w:rsid w:val="00361812"/>
    <w:rsid w:val="00361AA2"/>
    <w:rsid w:val="0036244C"/>
    <w:rsid w:val="00363344"/>
    <w:rsid w:val="003633E1"/>
    <w:rsid w:val="00363FE3"/>
    <w:rsid w:val="003640C2"/>
    <w:rsid w:val="003641B1"/>
    <w:rsid w:val="00364581"/>
    <w:rsid w:val="003651FF"/>
    <w:rsid w:val="0036544B"/>
    <w:rsid w:val="003655E5"/>
    <w:rsid w:val="0036568B"/>
    <w:rsid w:val="00365C9E"/>
    <w:rsid w:val="00365D63"/>
    <w:rsid w:val="00365DC9"/>
    <w:rsid w:val="00365DE2"/>
    <w:rsid w:val="0036639F"/>
    <w:rsid w:val="003668A5"/>
    <w:rsid w:val="003675CC"/>
    <w:rsid w:val="00367921"/>
    <w:rsid w:val="00367E47"/>
    <w:rsid w:val="0037090C"/>
    <w:rsid w:val="00370EB5"/>
    <w:rsid w:val="00371181"/>
    <w:rsid w:val="0037128C"/>
    <w:rsid w:val="00371316"/>
    <w:rsid w:val="00371B1D"/>
    <w:rsid w:val="0037230B"/>
    <w:rsid w:val="00372476"/>
    <w:rsid w:val="003724C3"/>
    <w:rsid w:val="0037259B"/>
    <w:rsid w:val="0037289B"/>
    <w:rsid w:val="003729F9"/>
    <w:rsid w:val="003734FE"/>
    <w:rsid w:val="0037370B"/>
    <w:rsid w:val="00373CE2"/>
    <w:rsid w:val="00373E35"/>
    <w:rsid w:val="003757DE"/>
    <w:rsid w:val="00375A02"/>
    <w:rsid w:val="00375AE4"/>
    <w:rsid w:val="00375C87"/>
    <w:rsid w:val="00375F4A"/>
    <w:rsid w:val="00376061"/>
    <w:rsid w:val="00376551"/>
    <w:rsid w:val="00376625"/>
    <w:rsid w:val="0037752E"/>
    <w:rsid w:val="0037753E"/>
    <w:rsid w:val="00377B33"/>
    <w:rsid w:val="00380052"/>
    <w:rsid w:val="003801D8"/>
    <w:rsid w:val="003806AE"/>
    <w:rsid w:val="003818F7"/>
    <w:rsid w:val="00381983"/>
    <w:rsid w:val="00382741"/>
    <w:rsid w:val="00382981"/>
    <w:rsid w:val="003839AA"/>
    <w:rsid w:val="003843E4"/>
    <w:rsid w:val="00384988"/>
    <w:rsid w:val="00384EDD"/>
    <w:rsid w:val="00385426"/>
    <w:rsid w:val="0038575C"/>
    <w:rsid w:val="00385836"/>
    <w:rsid w:val="0038598B"/>
    <w:rsid w:val="00385A72"/>
    <w:rsid w:val="00385CBB"/>
    <w:rsid w:val="00385FBB"/>
    <w:rsid w:val="00387987"/>
    <w:rsid w:val="00387E5E"/>
    <w:rsid w:val="003907CF"/>
    <w:rsid w:val="00391776"/>
    <w:rsid w:val="00391943"/>
    <w:rsid w:val="00391D47"/>
    <w:rsid w:val="00392578"/>
    <w:rsid w:val="003926A8"/>
    <w:rsid w:val="00392806"/>
    <w:rsid w:val="00392899"/>
    <w:rsid w:val="003929A4"/>
    <w:rsid w:val="00392CEC"/>
    <w:rsid w:val="00392E92"/>
    <w:rsid w:val="00392F5B"/>
    <w:rsid w:val="003941E1"/>
    <w:rsid w:val="0039455B"/>
    <w:rsid w:val="0039563E"/>
    <w:rsid w:val="0039592D"/>
    <w:rsid w:val="00396082"/>
    <w:rsid w:val="00396AAF"/>
    <w:rsid w:val="00396D3F"/>
    <w:rsid w:val="00396EB2"/>
    <w:rsid w:val="00396F8D"/>
    <w:rsid w:val="003971AD"/>
    <w:rsid w:val="00397234"/>
    <w:rsid w:val="0039759A"/>
    <w:rsid w:val="00397B41"/>
    <w:rsid w:val="00397C56"/>
    <w:rsid w:val="003A0054"/>
    <w:rsid w:val="003A042B"/>
    <w:rsid w:val="003A07CF"/>
    <w:rsid w:val="003A0852"/>
    <w:rsid w:val="003A08AE"/>
    <w:rsid w:val="003A19A6"/>
    <w:rsid w:val="003A1E54"/>
    <w:rsid w:val="003A26D2"/>
    <w:rsid w:val="003A3978"/>
    <w:rsid w:val="003A3D05"/>
    <w:rsid w:val="003A47A9"/>
    <w:rsid w:val="003A613A"/>
    <w:rsid w:val="003A66EF"/>
    <w:rsid w:val="003A689D"/>
    <w:rsid w:val="003A74D0"/>
    <w:rsid w:val="003A769E"/>
    <w:rsid w:val="003A780A"/>
    <w:rsid w:val="003B0B84"/>
    <w:rsid w:val="003B1053"/>
    <w:rsid w:val="003B12C7"/>
    <w:rsid w:val="003B166B"/>
    <w:rsid w:val="003B1F61"/>
    <w:rsid w:val="003B2683"/>
    <w:rsid w:val="003B30AD"/>
    <w:rsid w:val="003B396C"/>
    <w:rsid w:val="003B4CBF"/>
    <w:rsid w:val="003B505F"/>
    <w:rsid w:val="003B57EC"/>
    <w:rsid w:val="003B5853"/>
    <w:rsid w:val="003B5A1E"/>
    <w:rsid w:val="003B5E39"/>
    <w:rsid w:val="003B5FB5"/>
    <w:rsid w:val="003B639B"/>
    <w:rsid w:val="003B6576"/>
    <w:rsid w:val="003B6C5A"/>
    <w:rsid w:val="003B6D05"/>
    <w:rsid w:val="003B71E3"/>
    <w:rsid w:val="003B7927"/>
    <w:rsid w:val="003B7A94"/>
    <w:rsid w:val="003B7F4E"/>
    <w:rsid w:val="003C0A02"/>
    <w:rsid w:val="003C1DCC"/>
    <w:rsid w:val="003C2534"/>
    <w:rsid w:val="003C26AC"/>
    <w:rsid w:val="003C2A0B"/>
    <w:rsid w:val="003C2EC6"/>
    <w:rsid w:val="003C3154"/>
    <w:rsid w:val="003C32FE"/>
    <w:rsid w:val="003C3358"/>
    <w:rsid w:val="003C4222"/>
    <w:rsid w:val="003C4C10"/>
    <w:rsid w:val="003C4F30"/>
    <w:rsid w:val="003C5044"/>
    <w:rsid w:val="003C5153"/>
    <w:rsid w:val="003C5BB1"/>
    <w:rsid w:val="003C5BC7"/>
    <w:rsid w:val="003C5ED9"/>
    <w:rsid w:val="003C6152"/>
    <w:rsid w:val="003C6C20"/>
    <w:rsid w:val="003C73F8"/>
    <w:rsid w:val="003C76CA"/>
    <w:rsid w:val="003C7AD3"/>
    <w:rsid w:val="003C7B2D"/>
    <w:rsid w:val="003D06C1"/>
    <w:rsid w:val="003D0F91"/>
    <w:rsid w:val="003D1118"/>
    <w:rsid w:val="003D16F2"/>
    <w:rsid w:val="003D1801"/>
    <w:rsid w:val="003D1D5C"/>
    <w:rsid w:val="003D2796"/>
    <w:rsid w:val="003D2AE6"/>
    <w:rsid w:val="003D314F"/>
    <w:rsid w:val="003D3533"/>
    <w:rsid w:val="003D3A77"/>
    <w:rsid w:val="003D415E"/>
    <w:rsid w:val="003D4194"/>
    <w:rsid w:val="003D43B8"/>
    <w:rsid w:val="003D4FD4"/>
    <w:rsid w:val="003D5549"/>
    <w:rsid w:val="003D59E1"/>
    <w:rsid w:val="003D5B8A"/>
    <w:rsid w:val="003D5CAC"/>
    <w:rsid w:val="003D6310"/>
    <w:rsid w:val="003D657A"/>
    <w:rsid w:val="003D6896"/>
    <w:rsid w:val="003D6CAC"/>
    <w:rsid w:val="003D6FE1"/>
    <w:rsid w:val="003D7383"/>
    <w:rsid w:val="003D7489"/>
    <w:rsid w:val="003D7A6A"/>
    <w:rsid w:val="003E000E"/>
    <w:rsid w:val="003E009E"/>
    <w:rsid w:val="003E0ABC"/>
    <w:rsid w:val="003E159B"/>
    <w:rsid w:val="003E20EB"/>
    <w:rsid w:val="003E2234"/>
    <w:rsid w:val="003E2333"/>
    <w:rsid w:val="003E248F"/>
    <w:rsid w:val="003E252F"/>
    <w:rsid w:val="003E26E6"/>
    <w:rsid w:val="003E2F13"/>
    <w:rsid w:val="003E2F94"/>
    <w:rsid w:val="003E31EE"/>
    <w:rsid w:val="003E364E"/>
    <w:rsid w:val="003E4D21"/>
    <w:rsid w:val="003E4D5A"/>
    <w:rsid w:val="003E58C2"/>
    <w:rsid w:val="003E5E44"/>
    <w:rsid w:val="003E5ED2"/>
    <w:rsid w:val="003E5FCA"/>
    <w:rsid w:val="003E6174"/>
    <w:rsid w:val="003E66A4"/>
    <w:rsid w:val="003E672B"/>
    <w:rsid w:val="003E6F99"/>
    <w:rsid w:val="003E77E9"/>
    <w:rsid w:val="003E798E"/>
    <w:rsid w:val="003F06E0"/>
    <w:rsid w:val="003F0C61"/>
    <w:rsid w:val="003F0D90"/>
    <w:rsid w:val="003F0E51"/>
    <w:rsid w:val="003F2708"/>
    <w:rsid w:val="003F2B27"/>
    <w:rsid w:val="003F2DBB"/>
    <w:rsid w:val="003F2EF4"/>
    <w:rsid w:val="003F2F7C"/>
    <w:rsid w:val="003F316F"/>
    <w:rsid w:val="003F48CD"/>
    <w:rsid w:val="003F4A41"/>
    <w:rsid w:val="003F4D5F"/>
    <w:rsid w:val="003F5B6A"/>
    <w:rsid w:val="003F6A36"/>
    <w:rsid w:val="003F6CB2"/>
    <w:rsid w:val="003F6D65"/>
    <w:rsid w:val="003F782E"/>
    <w:rsid w:val="003F7B2B"/>
    <w:rsid w:val="004002DD"/>
    <w:rsid w:val="0040036C"/>
    <w:rsid w:val="0040072A"/>
    <w:rsid w:val="00400D5E"/>
    <w:rsid w:val="00401ED1"/>
    <w:rsid w:val="00402817"/>
    <w:rsid w:val="004029F9"/>
    <w:rsid w:val="0040344E"/>
    <w:rsid w:val="00403CB0"/>
    <w:rsid w:val="00403EED"/>
    <w:rsid w:val="0040422D"/>
    <w:rsid w:val="004045D8"/>
    <w:rsid w:val="0040494A"/>
    <w:rsid w:val="00405277"/>
    <w:rsid w:val="00406238"/>
    <w:rsid w:val="004064E0"/>
    <w:rsid w:val="00406E80"/>
    <w:rsid w:val="00406F61"/>
    <w:rsid w:val="00406FEF"/>
    <w:rsid w:val="004072FC"/>
    <w:rsid w:val="004078B5"/>
    <w:rsid w:val="0041045D"/>
    <w:rsid w:val="004105DF"/>
    <w:rsid w:val="00410935"/>
    <w:rsid w:val="00410A3A"/>
    <w:rsid w:val="00410D75"/>
    <w:rsid w:val="00411671"/>
    <w:rsid w:val="0041180B"/>
    <w:rsid w:val="00411AFD"/>
    <w:rsid w:val="0041212D"/>
    <w:rsid w:val="0041284E"/>
    <w:rsid w:val="00412889"/>
    <w:rsid w:val="004129C2"/>
    <w:rsid w:val="0041334C"/>
    <w:rsid w:val="00413464"/>
    <w:rsid w:val="00413826"/>
    <w:rsid w:val="00413BCF"/>
    <w:rsid w:val="004149D5"/>
    <w:rsid w:val="00414A8A"/>
    <w:rsid w:val="004156B7"/>
    <w:rsid w:val="00416D06"/>
    <w:rsid w:val="00417266"/>
    <w:rsid w:val="004175BE"/>
    <w:rsid w:val="00417D4C"/>
    <w:rsid w:val="00420371"/>
    <w:rsid w:val="00420394"/>
    <w:rsid w:val="004204DC"/>
    <w:rsid w:val="004206BA"/>
    <w:rsid w:val="0042090E"/>
    <w:rsid w:val="0042091E"/>
    <w:rsid w:val="00420DB1"/>
    <w:rsid w:val="0042151A"/>
    <w:rsid w:val="00421D2C"/>
    <w:rsid w:val="0042232C"/>
    <w:rsid w:val="0042242E"/>
    <w:rsid w:val="004232CF"/>
    <w:rsid w:val="004250C9"/>
    <w:rsid w:val="0042545B"/>
    <w:rsid w:val="00425E72"/>
    <w:rsid w:val="00425E85"/>
    <w:rsid w:val="0042649D"/>
    <w:rsid w:val="00426862"/>
    <w:rsid w:val="00426CE7"/>
    <w:rsid w:val="00426D50"/>
    <w:rsid w:val="004276E0"/>
    <w:rsid w:val="00427A72"/>
    <w:rsid w:val="00427D9F"/>
    <w:rsid w:val="00430277"/>
    <w:rsid w:val="00431026"/>
    <w:rsid w:val="00431AA5"/>
    <w:rsid w:val="00431C39"/>
    <w:rsid w:val="00431CDD"/>
    <w:rsid w:val="00432A56"/>
    <w:rsid w:val="00433922"/>
    <w:rsid w:val="00433D69"/>
    <w:rsid w:val="00433DC5"/>
    <w:rsid w:val="00434C19"/>
    <w:rsid w:val="0043539D"/>
    <w:rsid w:val="0043581E"/>
    <w:rsid w:val="00435D22"/>
    <w:rsid w:val="00435D9D"/>
    <w:rsid w:val="00435E93"/>
    <w:rsid w:val="0043603B"/>
    <w:rsid w:val="00436048"/>
    <w:rsid w:val="00436479"/>
    <w:rsid w:val="0043662F"/>
    <w:rsid w:val="00436B23"/>
    <w:rsid w:val="00436B37"/>
    <w:rsid w:val="0043791D"/>
    <w:rsid w:val="004379C8"/>
    <w:rsid w:val="00437CB8"/>
    <w:rsid w:val="00437D9B"/>
    <w:rsid w:val="00437E2D"/>
    <w:rsid w:val="00440C19"/>
    <w:rsid w:val="004413C7"/>
    <w:rsid w:val="004414E6"/>
    <w:rsid w:val="004417D2"/>
    <w:rsid w:val="004424B2"/>
    <w:rsid w:val="004428A8"/>
    <w:rsid w:val="00442E2D"/>
    <w:rsid w:val="0044305F"/>
    <w:rsid w:val="00443C11"/>
    <w:rsid w:val="00443D1B"/>
    <w:rsid w:val="0044419E"/>
    <w:rsid w:val="00444597"/>
    <w:rsid w:val="004453BB"/>
    <w:rsid w:val="00445522"/>
    <w:rsid w:val="00445626"/>
    <w:rsid w:val="0044619B"/>
    <w:rsid w:val="004465C9"/>
    <w:rsid w:val="00446802"/>
    <w:rsid w:val="004470C5"/>
    <w:rsid w:val="004474BB"/>
    <w:rsid w:val="004475E5"/>
    <w:rsid w:val="004503E1"/>
    <w:rsid w:val="0045054A"/>
    <w:rsid w:val="00451A68"/>
    <w:rsid w:val="00451AA2"/>
    <w:rsid w:val="00451E5C"/>
    <w:rsid w:val="0045209D"/>
    <w:rsid w:val="00452950"/>
    <w:rsid w:val="00452A13"/>
    <w:rsid w:val="00452FA4"/>
    <w:rsid w:val="00453265"/>
    <w:rsid w:val="00453750"/>
    <w:rsid w:val="004537EC"/>
    <w:rsid w:val="00453CEB"/>
    <w:rsid w:val="00454024"/>
    <w:rsid w:val="004547C8"/>
    <w:rsid w:val="0045495E"/>
    <w:rsid w:val="00455BC0"/>
    <w:rsid w:val="00455C7E"/>
    <w:rsid w:val="0045637F"/>
    <w:rsid w:val="00456696"/>
    <w:rsid w:val="00456A60"/>
    <w:rsid w:val="00456AD9"/>
    <w:rsid w:val="00456F88"/>
    <w:rsid w:val="004575EF"/>
    <w:rsid w:val="0045768C"/>
    <w:rsid w:val="00457CF6"/>
    <w:rsid w:val="00460179"/>
    <w:rsid w:val="00460B1C"/>
    <w:rsid w:val="004617CF"/>
    <w:rsid w:val="004622BB"/>
    <w:rsid w:val="00462348"/>
    <w:rsid w:val="00463683"/>
    <w:rsid w:val="00464358"/>
    <w:rsid w:val="00464D56"/>
    <w:rsid w:val="00464DF0"/>
    <w:rsid w:val="00465562"/>
    <w:rsid w:val="00465DDF"/>
    <w:rsid w:val="004661DB"/>
    <w:rsid w:val="004663C7"/>
    <w:rsid w:val="00466B28"/>
    <w:rsid w:val="00467D5E"/>
    <w:rsid w:val="0047012B"/>
    <w:rsid w:val="004701EC"/>
    <w:rsid w:val="004705A4"/>
    <w:rsid w:val="00470787"/>
    <w:rsid w:val="00470D36"/>
    <w:rsid w:val="00471164"/>
    <w:rsid w:val="00471238"/>
    <w:rsid w:val="0047126F"/>
    <w:rsid w:val="00471AA2"/>
    <w:rsid w:val="00471E18"/>
    <w:rsid w:val="00471F92"/>
    <w:rsid w:val="00471FC6"/>
    <w:rsid w:val="0047228C"/>
    <w:rsid w:val="00472A3C"/>
    <w:rsid w:val="004736FF"/>
    <w:rsid w:val="004743DF"/>
    <w:rsid w:val="00474EE3"/>
    <w:rsid w:val="00474EFE"/>
    <w:rsid w:val="00475A1C"/>
    <w:rsid w:val="0047620F"/>
    <w:rsid w:val="00476508"/>
    <w:rsid w:val="004767BA"/>
    <w:rsid w:val="00476867"/>
    <w:rsid w:val="004779AA"/>
    <w:rsid w:val="00477EFF"/>
    <w:rsid w:val="00477F44"/>
    <w:rsid w:val="00480011"/>
    <w:rsid w:val="00480107"/>
    <w:rsid w:val="004809CB"/>
    <w:rsid w:val="00480BCB"/>
    <w:rsid w:val="004817EB"/>
    <w:rsid w:val="00481A59"/>
    <w:rsid w:val="00481A8A"/>
    <w:rsid w:val="00481D3C"/>
    <w:rsid w:val="00481D6E"/>
    <w:rsid w:val="00482259"/>
    <w:rsid w:val="00482559"/>
    <w:rsid w:val="0048280E"/>
    <w:rsid w:val="00482C33"/>
    <w:rsid w:val="004830BE"/>
    <w:rsid w:val="004832D9"/>
    <w:rsid w:val="004833CE"/>
    <w:rsid w:val="004836A0"/>
    <w:rsid w:val="00483D0D"/>
    <w:rsid w:val="004845B2"/>
    <w:rsid w:val="00485309"/>
    <w:rsid w:val="00485787"/>
    <w:rsid w:val="00486172"/>
    <w:rsid w:val="004865D8"/>
    <w:rsid w:val="00487169"/>
    <w:rsid w:val="004873D9"/>
    <w:rsid w:val="004875EB"/>
    <w:rsid w:val="0048772B"/>
    <w:rsid w:val="00487BF2"/>
    <w:rsid w:val="00490127"/>
    <w:rsid w:val="0049015A"/>
    <w:rsid w:val="004902C9"/>
    <w:rsid w:val="0049094B"/>
    <w:rsid w:val="00490E40"/>
    <w:rsid w:val="00491199"/>
    <w:rsid w:val="004919A3"/>
    <w:rsid w:val="00491D1E"/>
    <w:rsid w:val="00492A59"/>
    <w:rsid w:val="00492D1F"/>
    <w:rsid w:val="00492D47"/>
    <w:rsid w:val="004930AA"/>
    <w:rsid w:val="004939B6"/>
    <w:rsid w:val="00493AE1"/>
    <w:rsid w:val="00493CBE"/>
    <w:rsid w:val="004945A4"/>
    <w:rsid w:val="00494B5A"/>
    <w:rsid w:val="00494C49"/>
    <w:rsid w:val="00495214"/>
    <w:rsid w:val="004955D7"/>
    <w:rsid w:val="0049574B"/>
    <w:rsid w:val="004964BE"/>
    <w:rsid w:val="004965B9"/>
    <w:rsid w:val="00497103"/>
    <w:rsid w:val="00497117"/>
    <w:rsid w:val="004975F0"/>
    <w:rsid w:val="004976B0"/>
    <w:rsid w:val="00497953"/>
    <w:rsid w:val="00497FC7"/>
    <w:rsid w:val="00497FC9"/>
    <w:rsid w:val="004A0385"/>
    <w:rsid w:val="004A07F3"/>
    <w:rsid w:val="004A0E02"/>
    <w:rsid w:val="004A0E75"/>
    <w:rsid w:val="004A144B"/>
    <w:rsid w:val="004A1FF4"/>
    <w:rsid w:val="004A30DB"/>
    <w:rsid w:val="004A3415"/>
    <w:rsid w:val="004A3987"/>
    <w:rsid w:val="004A3A1C"/>
    <w:rsid w:val="004A5AE0"/>
    <w:rsid w:val="004A5D89"/>
    <w:rsid w:val="004A5F0F"/>
    <w:rsid w:val="004A5FCA"/>
    <w:rsid w:val="004A5FFC"/>
    <w:rsid w:val="004A68B3"/>
    <w:rsid w:val="004A6B9E"/>
    <w:rsid w:val="004A6C9C"/>
    <w:rsid w:val="004A6CC0"/>
    <w:rsid w:val="004A6FE6"/>
    <w:rsid w:val="004A7203"/>
    <w:rsid w:val="004A77C4"/>
    <w:rsid w:val="004A7ABE"/>
    <w:rsid w:val="004A7F65"/>
    <w:rsid w:val="004B09A3"/>
    <w:rsid w:val="004B117A"/>
    <w:rsid w:val="004B18AE"/>
    <w:rsid w:val="004B1924"/>
    <w:rsid w:val="004B21B0"/>
    <w:rsid w:val="004B2564"/>
    <w:rsid w:val="004B2751"/>
    <w:rsid w:val="004B2D77"/>
    <w:rsid w:val="004B2F85"/>
    <w:rsid w:val="004B3850"/>
    <w:rsid w:val="004B42DF"/>
    <w:rsid w:val="004B4756"/>
    <w:rsid w:val="004B51A8"/>
    <w:rsid w:val="004B5F7A"/>
    <w:rsid w:val="004B6164"/>
    <w:rsid w:val="004B63AE"/>
    <w:rsid w:val="004B7C1A"/>
    <w:rsid w:val="004C056A"/>
    <w:rsid w:val="004C0E69"/>
    <w:rsid w:val="004C0FFF"/>
    <w:rsid w:val="004C1639"/>
    <w:rsid w:val="004C1653"/>
    <w:rsid w:val="004C17DF"/>
    <w:rsid w:val="004C1BDC"/>
    <w:rsid w:val="004C209B"/>
    <w:rsid w:val="004C2149"/>
    <w:rsid w:val="004C2531"/>
    <w:rsid w:val="004C2B02"/>
    <w:rsid w:val="004C3342"/>
    <w:rsid w:val="004C4396"/>
    <w:rsid w:val="004C4F65"/>
    <w:rsid w:val="004C58B1"/>
    <w:rsid w:val="004C6628"/>
    <w:rsid w:val="004C73F8"/>
    <w:rsid w:val="004C7A8F"/>
    <w:rsid w:val="004C7D9F"/>
    <w:rsid w:val="004D0947"/>
    <w:rsid w:val="004D102C"/>
    <w:rsid w:val="004D16BE"/>
    <w:rsid w:val="004D1983"/>
    <w:rsid w:val="004D1BC8"/>
    <w:rsid w:val="004D1D1F"/>
    <w:rsid w:val="004D2576"/>
    <w:rsid w:val="004D2869"/>
    <w:rsid w:val="004D2D0A"/>
    <w:rsid w:val="004D3387"/>
    <w:rsid w:val="004D38B0"/>
    <w:rsid w:val="004D3AAD"/>
    <w:rsid w:val="004D47C8"/>
    <w:rsid w:val="004D4C8A"/>
    <w:rsid w:val="004D4D58"/>
    <w:rsid w:val="004D55AB"/>
    <w:rsid w:val="004D562B"/>
    <w:rsid w:val="004D581B"/>
    <w:rsid w:val="004D5AD1"/>
    <w:rsid w:val="004D708B"/>
    <w:rsid w:val="004D7A95"/>
    <w:rsid w:val="004D7ABD"/>
    <w:rsid w:val="004D7BF2"/>
    <w:rsid w:val="004E0BE3"/>
    <w:rsid w:val="004E0D0D"/>
    <w:rsid w:val="004E0E03"/>
    <w:rsid w:val="004E0F37"/>
    <w:rsid w:val="004E13FA"/>
    <w:rsid w:val="004E1450"/>
    <w:rsid w:val="004E1AA9"/>
    <w:rsid w:val="004E1D0E"/>
    <w:rsid w:val="004E1DB7"/>
    <w:rsid w:val="004E1FE7"/>
    <w:rsid w:val="004E221D"/>
    <w:rsid w:val="004E229B"/>
    <w:rsid w:val="004E2601"/>
    <w:rsid w:val="004E2A31"/>
    <w:rsid w:val="004E3112"/>
    <w:rsid w:val="004E3B2D"/>
    <w:rsid w:val="004E3F72"/>
    <w:rsid w:val="004E46AF"/>
    <w:rsid w:val="004E51B2"/>
    <w:rsid w:val="004E5265"/>
    <w:rsid w:val="004E52EE"/>
    <w:rsid w:val="004E6717"/>
    <w:rsid w:val="004E68C3"/>
    <w:rsid w:val="004E6D72"/>
    <w:rsid w:val="004E7219"/>
    <w:rsid w:val="004E7332"/>
    <w:rsid w:val="004E776C"/>
    <w:rsid w:val="004E7906"/>
    <w:rsid w:val="004E7F0D"/>
    <w:rsid w:val="004F01B0"/>
    <w:rsid w:val="004F05C6"/>
    <w:rsid w:val="004F1244"/>
    <w:rsid w:val="004F19E2"/>
    <w:rsid w:val="004F1D1F"/>
    <w:rsid w:val="004F213C"/>
    <w:rsid w:val="004F24FD"/>
    <w:rsid w:val="004F2E45"/>
    <w:rsid w:val="004F30E8"/>
    <w:rsid w:val="004F416A"/>
    <w:rsid w:val="004F431D"/>
    <w:rsid w:val="004F43AB"/>
    <w:rsid w:val="004F4C67"/>
    <w:rsid w:val="004F4F1F"/>
    <w:rsid w:val="004F4F7A"/>
    <w:rsid w:val="004F4F85"/>
    <w:rsid w:val="004F539A"/>
    <w:rsid w:val="004F5524"/>
    <w:rsid w:val="004F5B56"/>
    <w:rsid w:val="004F679D"/>
    <w:rsid w:val="004F70ED"/>
    <w:rsid w:val="004F717A"/>
    <w:rsid w:val="004F7AE0"/>
    <w:rsid w:val="0050010C"/>
    <w:rsid w:val="005001D1"/>
    <w:rsid w:val="005001D8"/>
    <w:rsid w:val="005002E1"/>
    <w:rsid w:val="005006C5"/>
    <w:rsid w:val="005011A2"/>
    <w:rsid w:val="00501372"/>
    <w:rsid w:val="00501B1E"/>
    <w:rsid w:val="00501D89"/>
    <w:rsid w:val="0050204B"/>
    <w:rsid w:val="00502507"/>
    <w:rsid w:val="00502920"/>
    <w:rsid w:val="00502A0F"/>
    <w:rsid w:val="00502FAD"/>
    <w:rsid w:val="00502FD7"/>
    <w:rsid w:val="00503072"/>
    <w:rsid w:val="0050313A"/>
    <w:rsid w:val="005031BB"/>
    <w:rsid w:val="005032B7"/>
    <w:rsid w:val="00503380"/>
    <w:rsid w:val="00503B67"/>
    <w:rsid w:val="00503E67"/>
    <w:rsid w:val="00503F81"/>
    <w:rsid w:val="005048AA"/>
    <w:rsid w:val="005048E9"/>
    <w:rsid w:val="00504A34"/>
    <w:rsid w:val="00505366"/>
    <w:rsid w:val="0050537A"/>
    <w:rsid w:val="00505D33"/>
    <w:rsid w:val="0051015F"/>
    <w:rsid w:val="00510184"/>
    <w:rsid w:val="0051084F"/>
    <w:rsid w:val="00510973"/>
    <w:rsid w:val="00510A6C"/>
    <w:rsid w:val="00510D89"/>
    <w:rsid w:val="00510E4A"/>
    <w:rsid w:val="00511F6D"/>
    <w:rsid w:val="005130A4"/>
    <w:rsid w:val="0051326F"/>
    <w:rsid w:val="005134EA"/>
    <w:rsid w:val="005138DE"/>
    <w:rsid w:val="00513BCD"/>
    <w:rsid w:val="00513CBD"/>
    <w:rsid w:val="00513F33"/>
    <w:rsid w:val="005147FC"/>
    <w:rsid w:val="00514DD2"/>
    <w:rsid w:val="00514E1F"/>
    <w:rsid w:val="0051501C"/>
    <w:rsid w:val="00515606"/>
    <w:rsid w:val="005158BE"/>
    <w:rsid w:val="00515C82"/>
    <w:rsid w:val="00516835"/>
    <w:rsid w:val="00516FB8"/>
    <w:rsid w:val="00517613"/>
    <w:rsid w:val="00517AA9"/>
    <w:rsid w:val="00520017"/>
    <w:rsid w:val="0052031E"/>
    <w:rsid w:val="005204F9"/>
    <w:rsid w:val="00520B9E"/>
    <w:rsid w:val="00520C3B"/>
    <w:rsid w:val="00520C4B"/>
    <w:rsid w:val="0052156D"/>
    <w:rsid w:val="00521A4E"/>
    <w:rsid w:val="00522475"/>
    <w:rsid w:val="00522597"/>
    <w:rsid w:val="005227A0"/>
    <w:rsid w:val="0052289F"/>
    <w:rsid w:val="00522BEF"/>
    <w:rsid w:val="00522FC1"/>
    <w:rsid w:val="005232B5"/>
    <w:rsid w:val="005239EA"/>
    <w:rsid w:val="00523C70"/>
    <w:rsid w:val="00524289"/>
    <w:rsid w:val="00524F47"/>
    <w:rsid w:val="005250BC"/>
    <w:rsid w:val="00525145"/>
    <w:rsid w:val="005254F8"/>
    <w:rsid w:val="005259CE"/>
    <w:rsid w:val="00526053"/>
    <w:rsid w:val="005265D4"/>
    <w:rsid w:val="00526812"/>
    <w:rsid w:val="0052721A"/>
    <w:rsid w:val="00527B92"/>
    <w:rsid w:val="00527F31"/>
    <w:rsid w:val="00530147"/>
    <w:rsid w:val="0053022D"/>
    <w:rsid w:val="005308B4"/>
    <w:rsid w:val="005315AB"/>
    <w:rsid w:val="00532196"/>
    <w:rsid w:val="005324E4"/>
    <w:rsid w:val="005325F3"/>
    <w:rsid w:val="005326D9"/>
    <w:rsid w:val="00533572"/>
    <w:rsid w:val="00534021"/>
    <w:rsid w:val="00534126"/>
    <w:rsid w:val="005342AA"/>
    <w:rsid w:val="00534623"/>
    <w:rsid w:val="0053467B"/>
    <w:rsid w:val="005346A1"/>
    <w:rsid w:val="00534EB1"/>
    <w:rsid w:val="005352B7"/>
    <w:rsid w:val="00535691"/>
    <w:rsid w:val="00535CC6"/>
    <w:rsid w:val="00535D72"/>
    <w:rsid w:val="00536216"/>
    <w:rsid w:val="005369F8"/>
    <w:rsid w:val="00536D35"/>
    <w:rsid w:val="005373BF"/>
    <w:rsid w:val="005379CF"/>
    <w:rsid w:val="00537D3D"/>
    <w:rsid w:val="00537EE4"/>
    <w:rsid w:val="0054001C"/>
    <w:rsid w:val="005402FF"/>
    <w:rsid w:val="00540551"/>
    <w:rsid w:val="005408D0"/>
    <w:rsid w:val="00540A49"/>
    <w:rsid w:val="00540FF0"/>
    <w:rsid w:val="00541177"/>
    <w:rsid w:val="005413A3"/>
    <w:rsid w:val="00541A40"/>
    <w:rsid w:val="005421BE"/>
    <w:rsid w:val="00542B9E"/>
    <w:rsid w:val="00542C8D"/>
    <w:rsid w:val="00542CDA"/>
    <w:rsid w:val="00542D14"/>
    <w:rsid w:val="00542EA3"/>
    <w:rsid w:val="0054365A"/>
    <w:rsid w:val="00543699"/>
    <w:rsid w:val="00543A22"/>
    <w:rsid w:val="00543F8A"/>
    <w:rsid w:val="0054509A"/>
    <w:rsid w:val="00545927"/>
    <w:rsid w:val="00546559"/>
    <w:rsid w:val="005474F6"/>
    <w:rsid w:val="00547C0F"/>
    <w:rsid w:val="005500D2"/>
    <w:rsid w:val="00550BA0"/>
    <w:rsid w:val="00550E94"/>
    <w:rsid w:val="00551B42"/>
    <w:rsid w:val="00551DB7"/>
    <w:rsid w:val="005529ED"/>
    <w:rsid w:val="00553469"/>
    <w:rsid w:val="00553B82"/>
    <w:rsid w:val="00554AAD"/>
    <w:rsid w:val="0055522D"/>
    <w:rsid w:val="005554C5"/>
    <w:rsid w:val="005556CA"/>
    <w:rsid w:val="005559D1"/>
    <w:rsid w:val="00555CE4"/>
    <w:rsid w:val="00555D63"/>
    <w:rsid w:val="00556192"/>
    <w:rsid w:val="005565B2"/>
    <w:rsid w:val="00556B7C"/>
    <w:rsid w:val="00556E6F"/>
    <w:rsid w:val="00556F6F"/>
    <w:rsid w:val="00557296"/>
    <w:rsid w:val="005573F2"/>
    <w:rsid w:val="00557A6C"/>
    <w:rsid w:val="005608B2"/>
    <w:rsid w:val="0056099A"/>
    <w:rsid w:val="00560A43"/>
    <w:rsid w:val="00560B56"/>
    <w:rsid w:val="00561000"/>
    <w:rsid w:val="00561471"/>
    <w:rsid w:val="005617E2"/>
    <w:rsid w:val="00563749"/>
    <w:rsid w:val="00563C85"/>
    <w:rsid w:val="00563DDB"/>
    <w:rsid w:val="00564813"/>
    <w:rsid w:val="0056546C"/>
    <w:rsid w:val="0056563A"/>
    <w:rsid w:val="00565966"/>
    <w:rsid w:val="00565B05"/>
    <w:rsid w:val="00565BD3"/>
    <w:rsid w:val="00565F1B"/>
    <w:rsid w:val="00566629"/>
    <w:rsid w:val="00566BA8"/>
    <w:rsid w:val="00567686"/>
    <w:rsid w:val="005676DC"/>
    <w:rsid w:val="005702C5"/>
    <w:rsid w:val="005715C9"/>
    <w:rsid w:val="0057175E"/>
    <w:rsid w:val="00571D67"/>
    <w:rsid w:val="005726CF"/>
    <w:rsid w:val="00572DD3"/>
    <w:rsid w:val="00572E2F"/>
    <w:rsid w:val="00572E40"/>
    <w:rsid w:val="00573801"/>
    <w:rsid w:val="00574579"/>
    <w:rsid w:val="00574593"/>
    <w:rsid w:val="00574757"/>
    <w:rsid w:val="0057527E"/>
    <w:rsid w:val="00575403"/>
    <w:rsid w:val="00575554"/>
    <w:rsid w:val="00575A1D"/>
    <w:rsid w:val="00575A7F"/>
    <w:rsid w:val="005764A9"/>
    <w:rsid w:val="00576529"/>
    <w:rsid w:val="00576867"/>
    <w:rsid w:val="00576CCF"/>
    <w:rsid w:val="00576D2C"/>
    <w:rsid w:val="00576DFD"/>
    <w:rsid w:val="00576EFD"/>
    <w:rsid w:val="005771E2"/>
    <w:rsid w:val="00577BC4"/>
    <w:rsid w:val="00577C64"/>
    <w:rsid w:val="00580508"/>
    <w:rsid w:val="005806F9"/>
    <w:rsid w:val="00580C5C"/>
    <w:rsid w:val="00580DA8"/>
    <w:rsid w:val="00580F79"/>
    <w:rsid w:val="0058142E"/>
    <w:rsid w:val="00581795"/>
    <w:rsid w:val="005833E7"/>
    <w:rsid w:val="00583B95"/>
    <w:rsid w:val="00583E34"/>
    <w:rsid w:val="00584FA4"/>
    <w:rsid w:val="005850FD"/>
    <w:rsid w:val="0058597D"/>
    <w:rsid w:val="00585BB5"/>
    <w:rsid w:val="00585F34"/>
    <w:rsid w:val="00586891"/>
    <w:rsid w:val="00586E4B"/>
    <w:rsid w:val="00587BE9"/>
    <w:rsid w:val="00587DC2"/>
    <w:rsid w:val="00590164"/>
    <w:rsid w:val="005906E5"/>
    <w:rsid w:val="00590AE1"/>
    <w:rsid w:val="00590EBE"/>
    <w:rsid w:val="00590F6B"/>
    <w:rsid w:val="005912C3"/>
    <w:rsid w:val="0059185F"/>
    <w:rsid w:val="00591D34"/>
    <w:rsid w:val="00591F15"/>
    <w:rsid w:val="00592ABD"/>
    <w:rsid w:val="00592EAA"/>
    <w:rsid w:val="00592EBE"/>
    <w:rsid w:val="00593050"/>
    <w:rsid w:val="00593685"/>
    <w:rsid w:val="0059372F"/>
    <w:rsid w:val="0059393A"/>
    <w:rsid w:val="0059466A"/>
    <w:rsid w:val="00594734"/>
    <w:rsid w:val="005947CE"/>
    <w:rsid w:val="005950C8"/>
    <w:rsid w:val="0059531A"/>
    <w:rsid w:val="0059595B"/>
    <w:rsid w:val="00595A3D"/>
    <w:rsid w:val="00595D44"/>
    <w:rsid w:val="0059614A"/>
    <w:rsid w:val="005963B4"/>
    <w:rsid w:val="005977BF"/>
    <w:rsid w:val="0059796B"/>
    <w:rsid w:val="005A021D"/>
    <w:rsid w:val="005A0CEA"/>
    <w:rsid w:val="005A0D8C"/>
    <w:rsid w:val="005A1450"/>
    <w:rsid w:val="005A1852"/>
    <w:rsid w:val="005A190A"/>
    <w:rsid w:val="005A1A1B"/>
    <w:rsid w:val="005A20C9"/>
    <w:rsid w:val="005A2216"/>
    <w:rsid w:val="005A243D"/>
    <w:rsid w:val="005A24B5"/>
    <w:rsid w:val="005A2CFC"/>
    <w:rsid w:val="005A2F84"/>
    <w:rsid w:val="005A3347"/>
    <w:rsid w:val="005A35D0"/>
    <w:rsid w:val="005A40BA"/>
    <w:rsid w:val="005A504A"/>
    <w:rsid w:val="005A57D6"/>
    <w:rsid w:val="005A5A70"/>
    <w:rsid w:val="005A603C"/>
    <w:rsid w:val="005A7389"/>
    <w:rsid w:val="005A78EE"/>
    <w:rsid w:val="005A7CA2"/>
    <w:rsid w:val="005A7DBA"/>
    <w:rsid w:val="005B02F2"/>
    <w:rsid w:val="005B095F"/>
    <w:rsid w:val="005B1071"/>
    <w:rsid w:val="005B1790"/>
    <w:rsid w:val="005B1F44"/>
    <w:rsid w:val="005B20D0"/>
    <w:rsid w:val="005B2AC2"/>
    <w:rsid w:val="005B3945"/>
    <w:rsid w:val="005B4811"/>
    <w:rsid w:val="005B4C75"/>
    <w:rsid w:val="005B529D"/>
    <w:rsid w:val="005B53E0"/>
    <w:rsid w:val="005B554D"/>
    <w:rsid w:val="005B5853"/>
    <w:rsid w:val="005B5E6C"/>
    <w:rsid w:val="005B63E4"/>
    <w:rsid w:val="005B6AA2"/>
    <w:rsid w:val="005B6AB5"/>
    <w:rsid w:val="005B6CCC"/>
    <w:rsid w:val="005B71CE"/>
    <w:rsid w:val="005B74FB"/>
    <w:rsid w:val="005B757C"/>
    <w:rsid w:val="005B78A1"/>
    <w:rsid w:val="005C02D4"/>
    <w:rsid w:val="005C05FF"/>
    <w:rsid w:val="005C132E"/>
    <w:rsid w:val="005C14A0"/>
    <w:rsid w:val="005C198B"/>
    <w:rsid w:val="005C1CBD"/>
    <w:rsid w:val="005C23D7"/>
    <w:rsid w:val="005C26CE"/>
    <w:rsid w:val="005C2859"/>
    <w:rsid w:val="005C287F"/>
    <w:rsid w:val="005C2947"/>
    <w:rsid w:val="005C2D2D"/>
    <w:rsid w:val="005C438E"/>
    <w:rsid w:val="005C43F3"/>
    <w:rsid w:val="005C4B3B"/>
    <w:rsid w:val="005C52D5"/>
    <w:rsid w:val="005C552D"/>
    <w:rsid w:val="005C55B2"/>
    <w:rsid w:val="005C5648"/>
    <w:rsid w:val="005C5C16"/>
    <w:rsid w:val="005C608E"/>
    <w:rsid w:val="005C62D9"/>
    <w:rsid w:val="005C6E27"/>
    <w:rsid w:val="005C6EAD"/>
    <w:rsid w:val="005C7994"/>
    <w:rsid w:val="005C7CF3"/>
    <w:rsid w:val="005D00DB"/>
    <w:rsid w:val="005D07D2"/>
    <w:rsid w:val="005D0F46"/>
    <w:rsid w:val="005D14F8"/>
    <w:rsid w:val="005D1BB8"/>
    <w:rsid w:val="005D1FBA"/>
    <w:rsid w:val="005D24A9"/>
    <w:rsid w:val="005D25B7"/>
    <w:rsid w:val="005D293C"/>
    <w:rsid w:val="005D30B8"/>
    <w:rsid w:val="005D3986"/>
    <w:rsid w:val="005D3ED4"/>
    <w:rsid w:val="005D48FE"/>
    <w:rsid w:val="005D4DA2"/>
    <w:rsid w:val="005D5880"/>
    <w:rsid w:val="005D5DA2"/>
    <w:rsid w:val="005D5EAC"/>
    <w:rsid w:val="005D601C"/>
    <w:rsid w:val="005D66B0"/>
    <w:rsid w:val="005D6BA1"/>
    <w:rsid w:val="005D6C63"/>
    <w:rsid w:val="005D6E99"/>
    <w:rsid w:val="005D7598"/>
    <w:rsid w:val="005E009F"/>
    <w:rsid w:val="005E0C21"/>
    <w:rsid w:val="005E143B"/>
    <w:rsid w:val="005E1528"/>
    <w:rsid w:val="005E2189"/>
    <w:rsid w:val="005E25F7"/>
    <w:rsid w:val="005E2A5A"/>
    <w:rsid w:val="005E2C15"/>
    <w:rsid w:val="005E2CBB"/>
    <w:rsid w:val="005E3B69"/>
    <w:rsid w:val="005E3DDA"/>
    <w:rsid w:val="005E4642"/>
    <w:rsid w:val="005E46DC"/>
    <w:rsid w:val="005E4A51"/>
    <w:rsid w:val="005E4C95"/>
    <w:rsid w:val="005E58A5"/>
    <w:rsid w:val="005E5E61"/>
    <w:rsid w:val="005E7491"/>
    <w:rsid w:val="005E78E7"/>
    <w:rsid w:val="005E79E8"/>
    <w:rsid w:val="005E7D9E"/>
    <w:rsid w:val="005F00DC"/>
    <w:rsid w:val="005F01BE"/>
    <w:rsid w:val="005F0224"/>
    <w:rsid w:val="005F038B"/>
    <w:rsid w:val="005F0908"/>
    <w:rsid w:val="005F0B3C"/>
    <w:rsid w:val="005F0E3E"/>
    <w:rsid w:val="005F14B1"/>
    <w:rsid w:val="005F16C0"/>
    <w:rsid w:val="005F1D95"/>
    <w:rsid w:val="005F1FA4"/>
    <w:rsid w:val="005F2122"/>
    <w:rsid w:val="005F2129"/>
    <w:rsid w:val="005F22F1"/>
    <w:rsid w:val="005F2430"/>
    <w:rsid w:val="005F27EF"/>
    <w:rsid w:val="005F30B1"/>
    <w:rsid w:val="005F3434"/>
    <w:rsid w:val="005F3AEF"/>
    <w:rsid w:val="005F3C03"/>
    <w:rsid w:val="005F4418"/>
    <w:rsid w:val="005F492A"/>
    <w:rsid w:val="005F49D2"/>
    <w:rsid w:val="005F4CED"/>
    <w:rsid w:val="005F5352"/>
    <w:rsid w:val="005F5527"/>
    <w:rsid w:val="005F6B5C"/>
    <w:rsid w:val="005F6D08"/>
    <w:rsid w:val="005F6F91"/>
    <w:rsid w:val="005F7321"/>
    <w:rsid w:val="005F7CC7"/>
    <w:rsid w:val="00600F74"/>
    <w:rsid w:val="00601269"/>
    <w:rsid w:val="00601462"/>
    <w:rsid w:val="00601C2F"/>
    <w:rsid w:val="00602BBC"/>
    <w:rsid w:val="00602F1C"/>
    <w:rsid w:val="00603ABE"/>
    <w:rsid w:val="00603F19"/>
    <w:rsid w:val="00604D69"/>
    <w:rsid w:val="006052E4"/>
    <w:rsid w:val="00605442"/>
    <w:rsid w:val="0060683C"/>
    <w:rsid w:val="00607532"/>
    <w:rsid w:val="00607C9B"/>
    <w:rsid w:val="00610319"/>
    <w:rsid w:val="006104FE"/>
    <w:rsid w:val="006105C2"/>
    <w:rsid w:val="00610930"/>
    <w:rsid w:val="00610B37"/>
    <w:rsid w:val="006111D5"/>
    <w:rsid w:val="00611216"/>
    <w:rsid w:val="006125B0"/>
    <w:rsid w:val="00612C20"/>
    <w:rsid w:val="00612E1B"/>
    <w:rsid w:val="00612E61"/>
    <w:rsid w:val="00612FC6"/>
    <w:rsid w:val="006139F2"/>
    <w:rsid w:val="00613D01"/>
    <w:rsid w:val="00613D28"/>
    <w:rsid w:val="0061404F"/>
    <w:rsid w:val="0061424C"/>
    <w:rsid w:val="00614C2B"/>
    <w:rsid w:val="00614C2C"/>
    <w:rsid w:val="00614E96"/>
    <w:rsid w:val="00614EA9"/>
    <w:rsid w:val="00615072"/>
    <w:rsid w:val="00615EA0"/>
    <w:rsid w:val="00615F30"/>
    <w:rsid w:val="00616E27"/>
    <w:rsid w:val="00617088"/>
    <w:rsid w:val="00617831"/>
    <w:rsid w:val="0062007E"/>
    <w:rsid w:val="00620205"/>
    <w:rsid w:val="006202CC"/>
    <w:rsid w:val="00620470"/>
    <w:rsid w:val="00620736"/>
    <w:rsid w:val="006212E4"/>
    <w:rsid w:val="00621649"/>
    <w:rsid w:val="0062166D"/>
    <w:rsid w:val="00621EF4"/>
    <w:rsid w:val="00622128"/>
    <w:rsid w:val="006229D3"/>
    <w:rsid w:val="00622C72"/>
    <w:rsid w:val="006241BE"/>
    <w:rsid w:val="0062441C"/>
    <w:rsid w:val="00624F8C"/>
    <w:rsid w:val="00625009"/>
    <w:rsid w:val="00625759"/>
    <w:rsid w:val="006259EF"/>
    <w:rsid w:val="00625B32"/>
    <w:rsid w:val="00625B8F"/>
    <w:rsid w:val="006261EC"/>
    <w:rsid w:val="006278CC"/>
    <w:rsid w:val="00630332"/>
    <w:rsid w:val="00630F2B"/>
    <w:rsid w:val="006315AC"/>
    <w:rsid w:val="0063189C"/>
    <w:rsid w:val="00632403"/>
    <w:rsid w:val="00632878"/>
    <w:rsid w:val="006328D1"/>
    <w:rsid w:val="00632C05"/>
    <w:rsid w:val="00633595"/>
    <w:rsid w:val="00633AF4"/>
    <w:rsid w:val="00634521"/>
    <w:rsid w:val="0063468C"/>
    <w:rsid w:val="00634DAD"/>
    <w:rsid w:val="006356A3"/>
    <w:rsid w:val="006356C7"/>
    <w:rsid w:val="006358A5"/>
    <w:rsid w:val="006358DD"/>
    <w:rsid w:val="006359D0"/>
    <w:rsid w:val="00635B2E"/>
    <w:rsid w:val="006364F7"/>
    <w:rsid w:val="00636C8D"/>
    <w:rsid w:val="00636E7A"/>
    <w:rsid w:val="00636EAC"/>
    <w:rsid w:val="0063728E"/>
    <w:rsid w:val="006372F2"/>
    <w:rsid w:val="0063730B"/>
    <w:rsid w:val="006373B0"/>
    <w:rsid w:val="00637630"/>
    <w:rsid w:val="00637810"/>
    <w:rsid w:val="00637918"/>
    <w:rsid w:val="0063799F"/>
    <w:rsid w:val="006379EE"/>
    <w:rsid w:val="00637E30"/>
    <w:rsid w:val="00637E67"/>
    <w:rsid w:val="00640391"/>
    <w:rsid w:val="0064090C"/>
    <w:rsid w:val="00640A83"/>
    <w:rsid w:val="00640B5D"/>
    <w:rsid w:val="00640D00"/>
    <w:rsid w:val="00642D42"/>
    <w:rsid w:val="00642E0E"/>
    <w:rsid w:val="00643044"/>
    <w:rsid w:val="006430ED"/>
    <w:rsid w:val="006432EA"/>
    <w:rsid w:val="006434BE"/>
    <w:rsid w:val="00643B35"/>
    <w:rsid w:val="00644879"/>
    <w:rsid w:val="00644C6D"/>
    <w:rsid w:val="00644F86"/>
    <w:rsid w:val="0064527F"/>
    <w:rsid w:val="006454AC"/>
    <w:rsid w:val="006457EB"/>
    <w:rsid w:val="00645A81"/>
    <w:rsid w:val="00646222"/>
    <w:rsid w:val="0064663D"/>
    <w:rsid w:val="00646944"/>
    <w:rsid w:val="0064695A"/>
    <w:rsid w:val="00646CA0"/>
    <w:rsid w:val="00650191"/>
    <w:rsid w:val="00650351"/>
    <w:rsid w:val="006505DC"/>
    <w:rsid w:val="006509BB"/>
    <w:rsid w:val="00650BE0"/>
    <w:rsid w:val="00651032"/>
    <w:rsid w:val="00651361"/>
    <w:rsid w:val="006514C8"/>
    <w:rsid w:val="00651605"/>
    <w:rsid w:val="006516A6"/>
    <w:rsid w:val="00651A21"/>
    <w:rsid w:val="00651E66"/>
    <w:rsid w:val="00651FD1"/>
    <w:rsid w:val="006531CB"/>
    <w:rsid w:val="00653453"/>
    <w:rsid w:val="00653E4D"/>
    <w:rsid w:val="00653F03"/>
    <w:rsid w:val="00654171"/>
    <w:rsid w:val="006541A6"/>
    <w:rsid w:val="00654347"/>
    <w:rsid w:val="006546E0"/>
    <w:rsid w:val="00654926"/>
    <w:rsid w:val="00654C6A"/>
    <w:rsid w:val="00655356"/>
    <w:rsid w:val="00655B41"/>
    <w:rsid w:val="00655C4D"/>
    <w:rsid w:val="00655C84"/>
    <w:rsid w:val="00656821"/>
    <w:rsid w:val="006569B1"/>
    <w:rsid w:val="006572F6"/>
    <w:rsid w:val="00657379"/>
    <w:rsid w:val="006576D8"/>
    <w:rsid w:val="00657A85"/>
    <w:rsid w:val="00657BBC"/>
    <w:rsid w:val="006600F5"/>
    <w:rsid w:val="0066027D"/>
    <w:rsid w:val="00660609"/>
    <w:rsid w:val="006609B1"/>
    <w:rsid w:val="00661109"/>
    <w:rsid w:val="00661D76"/>
    <w:rsid w:val="00661E8F"/>
    <w:rsid w:val="00662044"/>
    <w:rsid w:val="006623BF"/>
    <w:rsid w:val="006624F0"/>
    <w:rsid w:val="0066294A"/>
    <w:rsid w:val="0066318C"/>
    <w:rsid w:val="00663652"/>
    <w:rsid w:val="006637B9"/>
    <w:rsid w:val="00663AAC"/>
    <w:rsid w:val="0066410A"/>
    <w:rsid w:val="00664533"/>
    <w:rsid w:val="0066498E"/>
    <w:rsid w:val="00664E9E"/>
    <w:rsid w:val="006653D3"/>
    <w:rsid w:val="006659DD"/>
    <w:rsid w:val="00665B84"/>
    <w:rsid w:val="006661AD"/>
    <w:rsid w:val="006662AD"/>
    <w:rsid w:val="006668CA"/>
    <w:rsid w:val="00666E99"/>
    <w:rsid w:val="006673DD"/>
    <w:rsid w:val="0066760C"/>
    <w:rsid w:val="00667834"/>
    <w:rsid w:val="00667ABB"/>
    <w:rsid w:val="006702ED"/>
    <w:rsid w:val="006708C9"/>
    <w:rsid w:val="00670B88"/>
    <w:rsid w:val="00670E84"/>
    <w:rsid w:val="006710D8"/>
    <w:rsid w:val="006713F7"/>
    <w:rsid w:val="00671A22"/>
    <w:rsid w:val="0067240D"/>
    <w:rsid w:val="006726E0"/>
    <w:rsid w:val="006726E2"/>
    <w:rsid w:val="00672DBF"/>
    <w:rsid w:val="006742C5"/>
    <w:rsid w:val="00674A96"/>
    <w:rsid w:val="00674D18"/>
    <w:rsid w:val="006750F1"/>
    <w:rsid w:val="00675951"/>
    <w:rsid w:val="00675A81"/>
    <w:rsid w:val="00676022"/>
    <w:rsid w:val="006760D6"/>
    <w:rsid w:val="0067643D"/>
    <w:rsid w:val="0067675D"/>
    <w:rsid w:val="006774B4"/>
    <w:rsid w:val="00677A1C"/>
    <w:rsid w:val="00677C73"/>
    <w:rsid w:val="00677F7C"/>
    <w:rsid w:val="0068074C"/>
    <w:rsid w:val="006813F0"/>
    <w:rsid w:val="006819D0"/>
    <w:rsid w:val="0068285B"/>
    <w:rsid w:val="00682942"/>
    <w:rsid w:val="00682AE2"/>
    <w:rsid w:val="006834E5"/>
    <w:rsid w:val="00683564"/>
    <w:rsid w:val="006836FF"/>
    <w:rsid w:val="00683815"/>
    <w:rsid w:val="00683A28"/>
    <w:rsid w:val="00683FA5"/>
    <w:rsid w:val="00684959"/>
    <w:rsid w:val="00684DEA"/>
    <w:rsid w:val="006854F2"/>
    <w:rsid w:val="0068565C"/>
    <w:rsid w:val="00685CE0"/>
    <w:rsid w:val="0068620A"/>
    <w:rsid w:val="006862BE"/>
    <w:rsid w:val="00686E12"/>
    <w:rsid w:val="0069093D"/>
    <w:rsid w:val="00690E56"/>
    <w:rsid w:val="00690F46"/>
    <w:rsid w:val="00691B4D"/>
    <w:rsid w:val="0069225F"/>
    <w:rsid w:val="0069249C"/>
    <w:rsid w:val="00692613"/>
    <w:rsid w:val="006927F0"/>
    <w:rsid w:val="00692D60"/>
    <w:rsid w:val="00692E52"/>
    <w:rsid w:val="0069335D"/>
    <w:rsid w:val="00693370"/>
    <w:rsid w:val="00694C3C"/>
    <w:rsid w:val="00695274"/>
    <w:rsid w:val="0069547B"/>
    <w:rsid w:val="00696ADE"/>
    <w:rsid w:val="00697E8B"/>
    <w:rsid w:val="006A040F"/>
    <w:rsid w:val="006A1039"/>
    <w:rsid w:val="006A1D88"/>
    <w:rsid w:val="006A21AF"/>
    <w:rsid w:val="006A2D1D"/>
    <w:rsid w:val="006A49AE"/>
    <w:rsid w:val="006A4C49"/>
    <w:rsid w:val="006A4E1C"/>
    <w:rsid w:val="006A52FF"/>
    <w:rsid w:val="006A5A4C"/>
    <w:rsid w:val="006A6846"/>
    <w:rsid w:val="006A7121"/>
    <w:rsid w:val="006A75AC"/>
    <w:rsid w:val="006A7632"/>
    <w:rsid w:val="006A7897"/>
    <w:rsid w:val="006A7F23"/>
    <w:rsid w:val="006B0178"/>
    <w:rsid w:val="006B056A"/>
    <w:rsid w:val="006B0630"/>
    <w:rsid w:val="006B074C"/>
    <w:rsid w:val="006B0FA2"/>
    <w:rsid w:val="006B1475"/>
    <w:rsid w:val="006B1754"/>
    <w:rsid w:val="006B1A63"/>
    <w:rsid w:val="006B2242"/>
    <w:rsid w:val="006B2A03"/>
    <w:rsid w:val="006B2ABD"/>
    <w:rsid w:val="006B2E94"/>
    <w:rsid w:val="006B33D9"/>
    <w:rsid w:val="006B3858"/>
    <w:rsid w:val="006B424E"/>
    <w:rsid w:val="006B5363"/>
    <w:rsid w:val="006B56D9"/>
    <w:rsid w:val="006B5FBD"/>
    <w:rsid w:val="006B657B"/>
    <w:rsid w:val="006B6AFA"/>
    <w:rsid w:val="006B709C"/>
    <w:rsid w:val="006B7AF5"/>
    <w:rsid w:val="006C0000"/>
    <w:rsid w:val="006C01B3"/>
    <w:rsid w:val="006C0671"/>
    <w:rsid w:val="006C0F3D"/>
    <w:rsid w:val="006C0F58"/>
    <w:rsid w:val="006C150F"/>
    <w:rsid w:val="006C1AAB"/>
    <w:rsid w:val="006C1ABF"/>
    <w:rsid w:val="006C1BD3"/>
    <w:rsid w:val="006C1C44"/>
    <w:rsid w:val="006C1C92"/>
    <w:rsid w:val="006C1D80"/>
    <w:rsid w:val="006C2017"/>
    <w:rsid w:val="006C2C47"/>
    <w:rsid w:val="006C34ED"/>
    <w:rsid w:val="006C3A8A"/>
    <w:rsid w:val="006C3B12"/>
    <w:rsid w:val="006C3D2D"/>
    <w:rsid w:val="006C4023"/>
    <w:rsid w:val="006C4287"/>
    <w:rsid w:val="006C431D"/>
    <w:rsid w:val="006C4D54"/>
    <w:rsid w:val="006C4F59"/>
    <w:rsid w:val="006C51B3"/>
    <w:rsid w:val="006C58DF"/>
    <w:rsid w:val="006C5FAE"/>
    <w:rsid w:val="006C6452"/>
    <w:rsid w:val="006C6CE3"/>
    <w:rsid w:val="006C7199"/>
    <w:rsid w:val="006C7422"/>
    <w:rsid w:val="006D0087"/>
    <w:rsid w:val="006D04D2"/>
    <w:rsid w:val="006D06CC"/>
    <w:rsid w:val="006D167F"/>
    <w:rsid w:val="006D176D"/>
    <w:rsid w:val="006D22F9"/>
    <w:rsid w:val="006D280F"/>
    <w:rsid w:val="006D32A1"/>
    <w:rsid w:val="006D383A"/>
    <w:rsid w:val="006D4161"/>
    <w:rsid w:val="006D4FED"/>
    <w:rsid w:val="006D5C6E"/>
    <w:rsid w:val="006D5CCE"/>
    <w:rsid w:val="006D60EF"/>
    <w:rsid w:val="006D6131"/>
    <w:rsid w:val="006D66B2"/>
    <w:rsid w:val="006D6CC0"/>
    <w:rsid w:val="006D6DC4"/>
    <w:rsid w:val="006D73C8"/>
    <w:rsid w:val="006D76F3"/>
    <w:rsid w:val="006D786C"/>
    <w:rsid w:val="006D795F"/>
    <w:rsid w:val="006D79E4"/>
    <w:rsid w:val="006D7BA7"/>
    <w:rsid w:val="006D7D82"/>
    <w:rsid w:val="006E07AA"/>
    <w:rsid w:val="006E08BF"/>
    <w:rsid w:val="006E123A"/>
    <w:rsid w:val="006E1791"/>
    <w:rsid w:val="006E24C0"/>
    <w:rsid w:val="006E2C4B"/>
    <w:rsid w:val="006E2C56"/>
    <w:rsid w:val="006E36C3"/>
    <w:rsid w:val="006E3C03"/>
    <w:rsid w:val="006E42E4"/>
    <w:rsid w:val="006E4684"/>
    <w:rsid w:val="006E4ABF"/>
    <w:rsid w:val="006E5281"/>
    <w:rsid w:val="006E52CE"/>
    <w:rsid w:val="006E57B4"/>
    <w:rsid w:val="006E585B"/>
    <w:rsid w:val="006E5FB1"/>
    <w:rsid w:val="006E6297"/>
    <w:rsid w:val="006E632D"/>
    <w:rsid w:val="006E6560"/>
    <w:rsid w:val="006E663F"/>
    <w:rsid w:val="006E675E"/>
    <w:rsid w:val="006E67D8"/>
    <w:rsid w:val="006E6CC2"/>
    <w:rsid w:val="006E6E66"/>
    <w:rsid w:val="006E787E"/>
    <w:rsid w:val="006F0215"/>
    <w:rsid w:val="006F0768"/>
    <w:rsid w:val="006F10E1"/>
    <w:rsid w:val="006F11DD"/>
    <w:rsid w:val="006F1422"/>
    <w:rsid w:val="006F161B"/>
    <w:rsid w:val="006F18DE"/>
    <w:rsid w:val="006F19AA"/>
    <w:rsid w:val="006F19AB"/>
    <w:rsid w:val="006F1C6E"/>
    <w:rsid w:val="006F26FB"/>
    <w:rsid w:val="006F281D"/>
    <w:rsid w:val="006F285F"/>
    <w:rsid w:val="006F3142"/>
    <w:rsid w:val="006F347B"/>
    <w:rsid w:val="006F3536"/>
    <w:rsid w:val="006F3A6E"/>
    <w:rsid w:val="006F4275"/>
    <w:rsid w:val="006F4A1E"/>
    <w:rsid w:val="006F4D0D"/>
    <w:rsid w:val="006F713A"/>
    <w:rsid w:val="006F78A5"/>
    <w:rsid w:val="00700615"/>
    <w:rsid w:val="00701259"/>
    <w:rsid w:val="00701441"/>
    <w:rsid w:val="00701DC8"/>
    <w:rsid w:val="00701EDB"/>
    <w:rsid w:val="00701F32"/>
    <w:rsid w:val="007021CD"/>
    <w:rsid w:val="00702A1E"/>
    <w:rsid w:val="00702A70"/>
    <w:rsid w:val="00702E9B"/>
    <w:rsid w:val="0070320C"/>
    <w:rsid w:val="007033B5"/>
    <w:rsid w:val="00703549"/>
    <w:rsid w:val="00704670"/>
    <w:rsid w:val="00704E3E"/>
    <w:rsid w:val="00705DA7"/>
    <w:rsid w:val="00706400"/>
    <w:rsid w:val="00706474"/>
    <w:rsid w:val="007069D0"/>
    <w:rsid w:val="0070704B"/>
    <w:rsid w:val="00710131"/>
    <w:rsid w:val="00710AF8"/>
    <w:rsid w:val="00710BF9"/>
    <w:rsid w:val="00710F65"/>
    <w:rsid w:val="007123F2"/>
    <w:rsid w:val="00712ACD"/>
    <w:rsid w:val="0071327A"/>
    <w:rsid w:val="00713350"/>
    <w:rsid w:val="00713714"/>
    <w:rsid w:val="0071397B"/>
    <w:rsid w:val="007139D1"/>
    <w:rsid w:val="00713E05"/>
    <w:rsid w:val="0071481E"/>
    <w:rsid w:val="007149F9"/>
    <w:rsid w:val="00715002"/>
    <w:rsid w:val="007158E1"/>
    <w:rsid w:val="007163C0"/>
    <w:rsid w:val="00716B1B"/>
    <w:rsid w:val="00717EDC"/>
    <w:rsid w:val="007202FA"/>
    <w:rsid w:val="0072059F"/>
    <w:rsid w:val="00720648"/>
    <w:rsid w:val="00720B9C"/>
    <w:rsid w:val="00720C94"/>
    <w:rsid w:val="0072168B"/>
    <w:rsid w:val="007217C3"/>
    <w:rsid w:val="0072199D"/>
    <w:rsid w:val="0072219B"/>
    <w:rsid w:val="00722424"/>
    <w:rsid w:val="0072288D"/>
    <w:rsid w:val="00722DED"/>
    <w:rsid w:val="00723C1D"/>
    <w:rsid w:val="00723CC5"/>
    <w:rsid w:val="007240CE"/>
    <w:rsid w:val="007244C8"/>
    <w:rsid w:val="00724521"/>
    <w:rsid w:val="00724A11"/>
    <w:rsid w:val="00725154"/>
    <w:rsid w:val="007255AF"/>
    <w:rsid w:val="007264A6"/>
    <w:rsid w:val="00726680"/>
    <w:rsid w:val="00726C56"/>
    <w:rsid w:val="00727068"/>
    <w:rsid w:val="007270D6"/>
    <w:rsid w:val="007273AA"/>
    <w:rsid w:val="00727786"/>
    <w:rsid w:val="007278B3"/>
    <w:rsid w:val="00727AE5"/>
    <w:rsid w:val="00727E46"/>
    <w:rsid w:val="00730041"/>
    <w:rsid w:val="0073024E"/>
    <w:rsid w:val="00730D60"/>
    <w:rsid w:val="00731EC4"/>
    <w:rsid w:val="00731FA8"/>
    <w:rsid w:val="0073212E"/>
    <w:rsid w:val="00732E66"/>
    <w:rsid w:val="0073326F"/>
    <w:rsid w:val="0073378E"/>
    <w:rsid w:val="00733F2B"/>
    <w:rsid w:val="007343B1"/>
    <w:rsid w:val="00734516"/>
    <w:rsid w:val="00734D2F"/>
    <w:rsid w:val="00735043"/>
    <w:rsid w:val="007356CC"/>
    <w:rsid w:val="007368BB"/>
    <w:rsid w:val="00736983"/>
    <w:rsid w:val="00737520"/>
    <w:rsid w:val="0074067F"/>
    <w:rsid w:val="007406F6"/>
    <w:rsid w:val="00740C3E"/>
    <w:rsid w:val="00740E0F"/>
    <w:rsid w:val="00742601"/>
    <w:rsid w:val="00742EBC"/>
    <w:rsid w:val="00743384"/>
    <w:rsid w:val="007433D0"/>
    <w:rsid w:val="00743463"/>
    <w:rsid w:val="0074450C"/>
    <w:rsid w:val="00744632"/>
    <w:rsid w:val="00744A32"/>
    <w:rsid w:val="00744A94"/>
    <w:rsid w:val="007452B3"/>
    <w:rsid w:val="007467DE"/>
    <w:rsid w:val="0074683C"/>
    <w:rsid w:val="00746F21"/>
    <w:rsid w:val="00746F99"/>
    <w:rsid w:val="00746FD3"/>
    <w:rsid w:val="0074714A"/>
    <w:rsid w:val="007474F0"/>
    <w:rsid w:val="00747AC3"/>
    <w:rsid w:val="00747B67"/>
    <w:rsid w:val="00750052"/>
    <w:rsid w:val="00750D7D"/>
    <w:rsid w:val="00750DEE"/>
    <w:rsid w:val="00750F58"/>
    <w:rsid w:val="00751B35"/>
    <w:rsid w:val="007524DB"/>
    <w:rsid w:val="007526C7"/>
    <w:rsid w:val="00753115"/>
    <w:rsid w:val="007536B9"/>
    <w:rsid w:val="00753941"/>
    <w:rsid w:val="00753A65"/>
    <w:rsid w:val="00753ADE"/>
    <w:rsid w:val="007542AC"/>
    <w:rsid w:val="00754D6C"/>
    <w:rsid w:val="007551D8"/>
    <w:rsid w:val="0075625B"/>
    <w:rsid w:val="00756E3A"/>
    <w:rsid w:val="0075719C"/>
    <w:rsid w:val="007578C1"/>
    <w:rsid w:val="00757B56"/>
    <w:rsid w:val="007604E4"/>
    <w:rsid w:val="00760601"/>
    <w:rsid w:val="007609B5"/>
    <w:rsid w:val="00760B67"/>
    <w:rsid w:val="00760F3C"/>
    <w:rsid w:val="0076115B"/>
    <w:rsid w:val="00761CE2"/>
    <w:rsid w:val="00761E1F"/>
    <w:rsid w:val="00761E43"/>
    <w:rsid w:val="00763CCF"/>
    <w:rsid w:val="00763E35"/>
    <w:rsid w:val="00764C13"/>
    <w:rsid w:val="007657FC"/>
    <w:rsid w:val="00765D28"/>
    <w:rsid w:val="0076677C"/>
    <w:rsid w:val="00766829"/>
    <w:rsid w:val="00766AEC"/>
    <w:rsid w:val="0076737F"/>
    <w:rsid w:val="00767B25"/>
    <w:rsid w:val="007702E5"/>
    <w:rsid w:val="0077170D"/>
    <w:rsid w:val="0077176D"/>
    <w:rsid w:val="00771BEC"/>
    <w:rsid w:val="00771F85"/>
    <w:rsid w:val="00772487"/>
    <w:rsid w:val="00772549"/>
    <w:rsid w:val="00772570"/>
    <w:rsid w:val="00772730"/>
    <w:rsid w:val="00772828"/>
    <w:rsid w:val="0077300F"/>
    <w:rsid w:val="00773308"/>
    <w:rsid w:val="007735FB"/>
    <w:rsid w:val="0077389E"/>
    <w:rsid w:val="00773CAC"/>
    <w:rsid w:val="00773F61"/>
    <w:rsid w:val="00774E68"/>
    <w:rsid w:val="00774E93"/>
    <w:rsid w:val="0077505C"/>
    <w:rsid w:val="0077594D"/>
    <w:rsid w:val="007761EE"/>
    <w:rsid w:val="007766C6"/>
    <w:rsid w:val="0077697F"/>
    <w:rsid w:val="0077727E"/>
    <w:rsid w:val="007772C8"/>
    <w:rsid w:val="00777388"/>
    <w:rsid w:val="00777BAD"/>
    <w:rsid w:val="00777D52"/>
    <w:rsid w:val="00777DAD"/>
    <w:rsid w:val="00780097"/>
    <w:rsid w:val="0078031D"/>
    <w:rsid w:val="007809A9"/>
    <w:rsid w:val="00780D40"/>
    <w:rsid w:val="00781125"/>
    <w:rsid w:val="00781F3B"/>
    <w:rsid w:val="007824AB"/>
    <w:rsid w:val="00783645"/>
    <w:rsid w:val="00783850"/>
    <w:rsid w:val="00784181"/>
    <w:rsid w:val="00784D2F"/>
    <w:rsid w:val="00784F53"/>
    <w:rsid w:val="00785632"/>
    <w:rsid w:val="00785D0A"/>
    <w:rsid w:val="00786364"/>
    <w:rsid w:val="0078740E"/>
    <w:rsid w:val="00787591"/>
    <w:rsid w:val="007877E8"/>
    <w:rsid w:val="0078781C"/>
    <w:rsid w:val="00787AC0"/>
    <w:rsid w:val="00787BF8"/>
    <w:rsid w:val="00787EAD"/>
    <w:rsid w:val="0079068D"/>
    <w:rsid w:val="00790BF1"/>
    <w:rsid w:val="0079128A"/>
    <w:rsid w:val="00791581"/>
    <w:rsid w:val="00792831"/>
    <w:rsid w:val="00792B80"/>
    <w:rsid w:val="007938BB"/>
    <w:rsid w:val="0079415F"/>
    <w:rsid w:val="00794F46"/>
    <w:rsid w:val="00795121"/>
    <w:rsid w:val="00795C02"/>
    <w:rsid w:val="00795E68"/>
    <w:rsid w:val="00795F23"/>
    <w:rsid w:val="00796843"/>
    <w:rsid w:val="0079764A"/>
    <w:rsid w:val="007A0926"/>
    <w:rsid w:val="007A156F"/>
    <w:rsid w:val="007A1E36"/>
    <w:rsid w:val="007A2FCF"/>
    <w:rsid w:val="007A3DF5"/>
    <w:rsid w:val="007A3F08"/>
    <w:rsid w:val="007A4B4D"/>
    <w:rsid w:val="007A4DFA"/>
    <w:rsid w:val="007A4EBD"/>
    <w:rsid w:val="007A521B"/>
    <w:rsid w:val="007A54C1"/>
    <w:rsid w:val="007A54D9"/>
    <w:rsid w:val="007A582C"/>
    <w:rsid w:val="007A5F8C"/>
    <w:rsid w:val="007A696C"/>
    <w:rsid w:val="007A70F6"/>
    <w:rsid w:val="007A711B"/>
    <w:rsid w:val="007A75A0"/>
    <w:rsid w:val="007A7E74"/>
    <w:rsid w:val="007A7F2A"/>
    <w:rsid w:val="007B0184"/>
    <w:rsid w:val="007B06A5"/>
    <w:rsid w:val="007B0A01"/>
    <w:rsid w:val="007B0C46"/>
    <w:rsid w:val="007B0F32"/>
    <w:rsid w:val="007B112B"/>
    <w:rsid w:val="007B147A"/>
    <w:rsid w:val="007B1B57"/>
    <w:rsid w:val="007B21F2"/>
    <w:rsid w:val="007B328D"/>
    <w:rsid w:val="007B34D1"/>
    <w:rsid w:val="007B3FAA"/>
    <w:rsid w:val="007B4427"/>
    <w:rsid w:val="007B5433"/>
    <w:rsid w:val="007B566B"/>
    <w:rsid w:val="007B56BC"/>
    <w:rsid w:val="007B571D"/>
    <w:rsid w:val="007B5815"/>
    <w:rsid w:val="007B5B26"/>
    <w:rsid w:val="007B619F"/>
    <w:rsid w:val="007B6592"/>
    <w:rsid w:val="007B687A"/>
    <w:rsid w:val="007B691A"/>
    <w:rsid w:val="007B6942"/>
    <w:rsid w:val="007B6ABB"/>
    <w:rsid w:val="007B6CE2"/>
    <w:rsid w:val="007B6D25"/>
    <w:rsid w:val="007B6FD2"/>
    <w:rsid w:val="007B72DD"/>
    <w:rsid w:val="007B78B6"/>
    <w:rsid w:val="007C00A3"/>
    <w:rsid w:val="007C0288"/>
    <w:rsid w:val="007C02D5"/>
    <w:rsid w:val="007C07C2"/>
    <w:rsid w:val="007C07F6"/>
    <w:rsid w:val="007C0832"/>
    <w:rsid w:val="007C096F"/>
    <w:rsid w:val="007C1372"/>
    <w:rsid w:val="007C17FC"/>
    <w:rsid w:val="007C1C85"/>
    <w:rsid w:val="007C1E66"/>
    <w:rsid w:val="007C1FF6"/>
    <w:rsid w:val="007C2E02"/>
    <w:rsid w:val="007C2F86"/>
    <w:rsid w:val="007C4108"/>
    <w:rsid w:val="007C4395"/>
    <w:rsid w:val="007C45FB"/>
    <w:rsid w:val="007C4A9A"/>
    <w:rsid w:val="007C553D"/>
    <w:rsid w:val="007C56CB"/>
    <w:rsid w:val="007C5CAC"/>
    <w:rsid w:val="007C76F8"/>
    <w:rsid w:val="007C7734"/>
    <w:rsid w:val="007D01B9"/>
    <w:rsid w:val="007D0632"/>
    <w:rsid w:val="007D0E2D"/>
    <w:rsid w:val="007D15AE"/>
    <w:rsid w:val="007D16B5"/>
    <w:rsid w:val="007D189C"/>
    <w:rsid w:val="007D1D12"/>
    <w:rsid w:val="007D1D95"/>
    <w:rsid w:val="007D233B"/>
    <w:rsid w:val="007D29F6"/>
    <w:rsid w:val="007D2A91"/>
    <w:rsid w:val="007D331C"/>
    <w:rsid w:val="007D337B"/>
    <w:rsid w:val="007D42D0"/>
    <w:rsid w:val="007D4382"/>
    <w:rsid w:val="007D4E0A"/>
    <w:rsid w:val="007D56D2"/>
    <w:rsid w:val="007D5787"/>
    <w:rsid w:val="007D5C47"/>
    <w:rsid w:val="007D5C93"/>
    <w:rsid w:val="007D61B8"/>
    <w:rsid w:val="007D6945"/>
    <w:rsid w:val="007D6C89"/>
    <w:rsid w:val="007D6DE7"/>
    <w:rsid w:val="007D70B5"/>
    <w:rsid w:val="007D7181"/>
    <w:rsid w:val="007D7206"/>
    <w:rsid w:val="007D72D2"/>
    <w:rsid w:val="007D760B"/>
    <w:rsid w:val="007D77AF"/>
    <w:rsid w:val="007D7A6D"/>
    <w:rsid w:val="007D7E03"/>
    <w:rsid w:val="007D7EB3"/>
    <w:rsid w:val="007E01DB"/>
    <w:rsid w:val="007E10DE"/>
    <w:rsid w:val="007E128A"/>
    <w:rsid w:val="007E19A6"/>
    <w:rsid w:val="007E3217"/>
    <w:rsid w:val="007E36FC"/>
    <w:rsid w:val="007E3828"/>
    <w:rsid w:val="007E3B77"/>
    <w:rsid w:val="007E3C92"/>
    <w:rsid w:val="007E405F"/>
    <w:rsid w:val="007E4217"/>
    <w:rsid w:val="007E5629"/>
    <w:rsid w:val="007E5AD7"/>
    <w:rsid w:val="007E68C3"/>
    <w:rsid w:val="007E69A8"/>
    <w:rsid w:val="007E6E5C"/>
    <w:rsid w:val="007E750F"/>
    <w:rsid w:val="007E7CB0"/>
    <w:rsid w:val="007E7D7C"/>
    <w:rsid w:val="007F02E3"/>
    <w:rsid w:val="007F0CD0"/>
    <w:rsid w:val="007F1517"/>
    <w:rsid w:val="007F1621"/>
    <w:rsid w:val="007F16B7"/>
    <w:rsid w:val="007F1D4F"/>
    <w:rsid w:val="007F1E7A"/>
    <w:rsid w:val="007F272A"/>
    <w:rsid w:val="007F2A7E"/>
    <w:rsid w:val="007F34DE"/>
    <w:rsid w:val="007F34EB"/>
    <w:rsid w:val="007F3B2C"/>
    <w:rsid w:val="007F3C16"/>
    <w:rsid w:val="007F42D5"/>
    <w:rsid w:val="007F4A1B"/>
    <w:rsid w:val="007F4AD9"/>
    <w:rsid w:val="007F4C7A"/>
    <w:rsid w:val="007F53B3"/>
    <w:rsid w:val="007F572D"/>
    <w:rsid w:val="007F5D02"/>
    <w:rsid w:val="007F6056"/>
    <w:rsid w:val="007F7FF2"/>
    <w:rsid w:val="00800889"/>
    <w:rsid w:val="00800A64"/>
    <w:rsid w:val="00800C46"/>
    <w:rsid w:val="0080175F"/>
    <w:rsid w:val="00801F46"/>
    <w:rsid w:val="00802129"/>
    <w:rsid w:val="008024D4"/>
    <w:rsid w:val="008027B3"/>
    <w:rsid w:val="00802E55"/>
    <w:rsid w:val="00803382"/>
    <w:rsid w:val="00803CE5"/>
    <w:rsid w:val="00804642"/>
    <w:rsid w:val="008050AB"/>
    <w:rsid w:val="008059B4"/>
    <w:rsid w:val="00805B42"/>
    <w:rsid w:val="00805E4B"/>
    <w:rsid w:val="00805F58"/>
    <w:rsid w:val="00805F9E"/>
    <w:rsid w:val="00806C3B"/>
    <w:rsid w:val="00806D63"/>
    <w:rsid w:val="0080727D"/>
    <w:rsid w:val="00807409"/>
    <w:rsid w:val="0080798A"/>
    <w:rsid w:val="00807C14"/>
    <w:rsid w:val="00807FA7"/>
    <w:rsid w:val="008102AD"/>
    <w:rsid w:val="0081167C"/>
    <w:rsid w:val="00811E96"/>
    <w:rsid w:val="00811EF6"/>
    <w:rsid w:val="0081268F"/>
    <w:rsid w:val="0081297F"/>
    <w:rsid w:val="008132F7"/>
    <w:rsid w:val="008141D0"/>
    <w:rsid w:val="00814318"/>
    <w:rsid w:val="008148B4"/>
    <w:rsid w:val="0081495F"/>
    <w:rsid w:val="008153A7"/>
    <w:rsid w:val="0081545B"/>
    <w:rsid w:val="00815EB6"/>
    <w:rsid w:val="0081653B"/>
    <w:rsid w:val="008166A5"/>
    <w:rsid w:val="008168F8"/>
    <w:rsid w:val="00820133"/>
    <w:rsid w:val="00820393"/>
    <w:rsid w:val="008203CF"/>
    <w:rsid w:val="00820603"/>
    <w:rsid w:val="00820F52"/>
    <w:rsid w:val="00821122"/>
    <w:rsid w:val="0082350D"/>
    <w:rsid w:val="00823E80"/>
    <w:rsid w:val="00824505"/>
    <w:rsid w:val="008246BA"/>
    <w:rsid w:val="00824AA0"/>
    <w:rsid w:val="00824B1A"/>
    <w:rsid w:val="008255D0"/>
    <w:rsid w:val="00825A14"/>
    <w:rsid w:val="00825A1B"/>
    <w:rsid w:val="00825AAA"/>
    <w:rsid w:val="00826222"/>
    <w:rsid w:val="008305B4"/>
    <w:rsid w:val="00830B48"/>
    <w:rsid w:val="0083121F"/>
    <w:rsid w:val="00831AF4"/>
    <w:rsid w:val="00831BC5"/>
    <w:rsid w:val="00831C86"/>
    <w:rsid w:val="00831FC5"/>
    <w:rsid w:val="00831FC6"/>
    <w:rsid w:val="008327D7"/>
    <w:rsid w:val="00832A1F"/>
    <w:rsid w:val="008332F5"/>
    <w:rsid w:val="00833AB7"/>
    <w:rsid w:val="00833E19"/>
    <w:rsid w:val="00834535"/>
    <w:rsid w:val="00834E18"/>
    <w:rsid w:val="00834E9C"/>
    <w:rsid w:val="00835707"/>
    <w:rsid w:val="00835B73"/>
    <w:rsid w:val="00835BF5"/>
    <w:rsid w:val="0083622F"/>
    <w:rsid w:val="00836462"/>
    <w:rsid w:val="008368AA"/>
    <w:rsid w:val="00836A5E"/>
    <w:rsid w:val="00836E6E"/>
    <w:rsid w:val="0083723D"/>
    <w:rsid w:val="00837276"/>
    <w:rsid w:val="008372A9"/>
    <w:rsid w:val="008375AA"/>
    <w:rsid w:val="00837997"/>
    <w:rsid w:val="00837FDB"/>
    <w:rsid w:val="00840057"/>
    <w:rsid w:val="00842138"/>
    <w:rsid w:val="00842561"/>
    <w:rsid w:val="008429C6"/>
    <w:rsid w:val="00842BBF"/>
    <w:rsid w:val="00842F70"/>
    <w:rsid w:val="00843348"/>
    <w:rsid w:val="00843C79"/>
    <w:rsid w:val="00843FE7"/>
    <w:rsid w:val="00844CA1"/>
    <w:rsid w:val="00844E79"/>
    <w:rsid w:val="00845656"/>
    <w:rsid w:val="00845894"/>
    <w:rsid w:val="008459A9"/>
    <w:rsid w:val="00845E79"/>
    <w:rsid w:val="00845E9A"/>
    <w:rsid w:val="0084668B"/>
    <w:rsid w:val="008474A5"/>
    <w:rsid w:val="008477E8"/>
    <w:rsid w:val="008478AA"/>
    <w:rsid w:val="00847B0A"/>
    <w:rsid w:val="00847B8A"/>
    <w:rsid w:val="00847C79"/>
    <w:rsid w:val="00847D4E"/>
    <w:rsid w:val="00850080"/>
    <w:rsid w:val="00850206"/>
    <w:rsid w:val="00850599"/>
    <w:rsid w:val="008507F3"/>
    <w:rsid w:val="00850910"/>
    <w:rsid w:val="00851076"/>
    <w:rsid w:val="008511EC"/>
    <w:rsid w:val="00851C99"/>
    <w:rsid w:val="00851CD4"/>
    <w:rsid w:val="00851F62"/>
    <w:rsid w:val="00851FD3"/>
    <w:rsid w:val="00852213"/>
    <w:rsid w:val="0085238A"/>
    <w:rsid w:val="008524EB"/>
    <w:rsid w:val="00852890"/>
    <w:rsid w:val="0085318D"/>
    <w:rsid w:val="008547B9"/>
    <w:rsid w:val="00856248"/>
    <w:rsid w:val="008565BC"/>
    <w:rsid w:val="00856648"/>
    <w:rsid w:val="0085672F"/>
    <w:rsid w:val="00856A67"/>
    <w:rsid w:val="00856B26"/>
    <w:rsid w:val="00856B71"/>
    <w:rsid w:val="00856C93"/>
    <w:rsid w:val="00856DF0"/>
    <w:rsid w:val="008573F9"/>
    <w:rsid w:val="00857D59"/>
    <w:rsid w:val="00857E85"/>
    <w:rsid w:val="00861731"/>
    <w:rsid w:val="0086190F"/>
    <w:rsid w:val="0086219D"/>
    <w:rsid w:val="00862862"/>
    <w:rsid w:val="00862BAF"/>
    <w:rsid w:val="00862D12"/>
    <w:rsid w:val="00863B4F"/>
    <w:rsid w:val="00864147"/>
    <w:rsid w:val="008642D0"/>
    <w:rsid w:val="0086437F"/>
    <w:rsid w:val="00864795"/>
    <w:rsid w:val="00864A2A"/>
    <w:rsid w:val="00864DDA"/>
    <w:rsid w:val="0086524B"/>
    <w:rsid w:val="00865539"/>
    <w:rsid w:val="0086613E"/>
    <w:rsid w:val="00866F90"/>
    <w:rsid w:val="008674FE"/>
    <w:rsid w:val="008676E6"/>
    <w:rsid w:val="00867ECB"/>
    <w:rsid w:val="00867FC5"/>
    <w:rsid w:val="008714DB"/>
    <w:rsid w:val="00871578"/>
    <w:rsid w:val="00871B57"/>
    <w:rsid w:val="00871BB6"/>
    <w:rsid w:val="00871E21"/>
    <w:rsid w:val="0087223D"/>
    <w:rsid w:val="0087267C"/>
    <w:rsid w:val="008736E6"/>
    <w:rsid w:val="00873E3E"/>
    <w:rsid w:val="008747C9"/>
    <w:rsid w:val="00875402"/>
    <w:rsid w:val="00875449"/>
    <w:rsid w:val="00875858"/>
    <w:rsid w:val="00876359"/>
    <w:rsid w:val="00876705"/>
    <w:rsid w:val="00877544"/>
    <w:rsid w:val="00877916"/>
    <w:rsid w:val="00877E88"/>
    <w:rsid w:val="0088002F"/>
    <w:rsid w:val="008802A2"/>
    <w:rsid w:val="008804D7"/>
    <w:rsid w:val="008806EF"/>
    <w:rsid w:val="00880A80"/>
    <w:rsid w:val="0088105A"/>
    <w:rsid w:val="00881072"/>
    <w:rsid w:val="008816A3"/>
    <w:rsid w:val="00881DF7"/>
    <w:rsid w:val="00882841"/>
    <w:rsid w:val="008829F7"/>
    <w:rsid w:val="00882E18"/>
    <w:rsid w:val="00882EB6"/>
    <w:rsid w:val="008846E9"/>
    <w:rsid w:val="00884A24"/>
    <w:rsid w:val="00884B09"/>
    <w:rsid w:val="00884CF3"/>
    <w:rsid w:val="00885345"/>
    <w:rsid w:val="00885469"/>
    <w:rsid w:val="00885F99"/>
    <w:rsid w:val="0088627E"/>
    <w:rsid w:val="008862D8"/>
    <w:rsid w:val="008865D6"/>
    <w:rsid w:val="008866AA"/>
    <w:rsid w:val="008866DF"/>
    <w:rsid w:val="00886AEF"/>
    <w:rsid w:val="00886BD1"/>
    <w:rsid w:val="00887178"/>
    <w:rsid w:val="00887446"/>
    <w:rsid w:val="0088747B"/>
    <w:rsid w:val="00887648"/>
    <w:rsid w:val="008879D3"/>
    <w:rsid w:val="00890168"/>
    <w:rsid w:val="008902CA"/>
    <w:rsid w:val="00890A6C"/>
    <w:rsid w:val="00890BDA"/>
    <w:rsid w:val="00890D9C"/>
    <w:rsid w:val="00891A33"/>
    <w:rsid w:val="00891AC5"/>
    <w:rsid w:val="00892310"/>
    <w:rsid w:val="00892BA2"/>
    <w:rsid w:val="00892F80"/>
    <w:rsid w:val="00893560"/>
    <w:rsid w:val="00893A03"/>
    <w:rsid w:val="00894610"/>
    <w:rsid w:val="008947E7"/>
    <w:rsid w:val="00894E27"/>
    <w:rsid w:val="00894ECF"/>
    <w:rsid w:val="00895566"/>
    <w:rsid w:val="00895572"/>
    <w:rsid w:val="00895AFB"/>
    <w:rsid w:val="00895BAB"/>
    <w:rsid w:val="00895CB8"/>
    <w:rsid w:val="00895E96"/>
    <w:rsid w:val="00896315"/>
    <w:rsid w:val="0089661E"/>
    <w:rsid w:val="00896C38"/>
    <w:rsid w:val="0089704F"/>
    <w:rsid w:val="00897D19"/>
    <w:rsid w:val="00897F55"/>
    <w:rsid w:val="008A056C"/>
    <w:rsid w:val="008A0C03"/>
    <w:rsid w:val="008A0D84"/>
    <w:rsid w:val="008A12D8"/>
    <w:rsid w:val="008A14DB"/>
    <w:rsid w:val="008A1870"/>
    <w:rsid w:val="008A1A62"/>
    <w:rsid w:val="008A1D01"/>
    <w:rsid w:val="008A1DEE"/>
    <w:rsid w:val="008A1FFE"/>
    <w:rsid w:val="008A21D4"/>
    <w:rsid w:val="008A2348"/>
    <w:rsid w:val="008A242B"/>
    <w:rsid w:val="008A2836"/>
    <w:rsid w:val="008A2944"/>
    <w:rsid w:val="008A2C51"/>
    <w:rsid w:val="008A342D"/>
    <w:rsid w:val="008A35F8"/>
    <w:rsid w:val="008A374A"/>
    <w:rsid w:val="008A45D1"/>
    <w:rsid w:val="008A4609"/>
    <w:rsid w:val="008A46C7"/>
    <w:rsid w:val="008A4780"/>
    <w:rsid w:val="008A4896"/>
    <w:rsid w:val="008A4C8C"/>
    <w:rsid w:val="008A5963"/>
    <w:rsid w:val="008A5ABF"/>
    <w:rsid w:val="008A5F82"/>
    <w:rsid w:val="008A5FD4"/>
    <w:rsid w:val="008A6337"/>
    <w:rsid w:val="008A6E78"/>
    <w:rsid w:val="008A747D"/>
    <w:rsid w:val="008A75EA"/>
    <w:rsid w:val="008A774D"/>
    <w:rsid w:val="008A78F7"/>
    <w:rsid w:val="008B05C0"/>
    <w:rsid w:val="008B0887"/>
    <w:rsid w:val="008B09E2"/>
    <w:rsid w:val="008B1542"/>
    <w:rsid w:val="008B17A0"/>
    <w:rsid w:val="008B22B0"/>
    <w:rsid w:val="008B2C01"/>
    <w:rsid w:val="008B2E28"/>
    <w:rsid w:val="008B31F7"/>
    <w:rsid w:val="008B33C0"/>
    <w:rsid w:val="008B3522"/>
    <w:rsid w:val="008B3869"/>
    <w:rsid w:val="008B3D4A"/>
    <w:rsid w:val="008B4256"/>
    <w:rsid w:val="008B468D"/>
    <w:rsid w:val="008B4F41"/>
    <w:rsid w:val="008B5F0A"/>
    <w:rsid w:val="008B618F"/>
    <w:rsid w:val="008B6972"/>
    <w:rsid w:val="008B7D7C"/>
    <w:rsid w:val="008C05F1"/>
    <w:rsid w:val="008C07C7"/>
    <w:rsid w:val="008C097F"/>
    <w:rsid w:val="008C09EB"/>
    <w:rsid w:val="008C0B8B"/>
    <w:rsid w:val="008C0E17"/>
    <w:rsid w:val="008C1006"/>
    <w:rsid w:val="008C2AB9"/>
    <w:rsid w:val="008C329B"/>
    <w:rsid w:val="008C3DBB"/>
    <w:rsid w:val="008C4092"/>
    <w:rsid w:val="008C5036"/>
    <w:rsid w:val="008C5BFA"/>
    <w:rsid w:val="008C5D99"/>
    <w:rsid w:val="008C61AE"/>
    <w:rsid w:val="008C6F75"/>
    <w:rsid w:val="008C7151"/>
    <w:rsid w:val="008C7200"/>
    <w:rsid w:val="008C743B"/>
    <w:rsid w:val="008C7627"/>
    <w:rsid w:val="008D043E"/>
    <w:rsid w:val="008D0443"/>
    <w:rsid w:val="008D0D42"/>
    <w:rsid w:val="008D0E0F"/>
    <w:rsid w:val="008D111E"/>
    <w:rsid w:val="008D12BF"/>
    <w:rsid w:val="008D1B62"/>
    <w:rsid w:val="008D1B9E"/>
    <w:rsid w:val="008D1F9A"/>
    <w:rsid w:val="008D2082"/>
    <w:rsid w:val="008D2388"/>
    <w:rsid w:val="008D24C9"/>
    <w:rsid w:val="008D2AEF"/>
    <w:rsid w:val="008D4146"/>
    <w:rsid w:val="008D42F6"/>
    <w:rsid w:val="008D5013"/>
    <w:rsid w:val="008D59E9"/>
    <w:rsid w:val="008D6E4C"/>
    <w:rsid w:val="008D7367"/>
    <w:rsid w:val="008D73B9"/>
    <w:rsid w:val="008D7D2D"/>
    <w:rsid w:val="008E0F0B"/>
    <w:rsid w:val="008E1159"/>
    <w:rsid w:val="008E1580"/>
    <w:rsid w:val="008E1A9C"/>
    <w:rsid w:val="008E20F1"/>
    <w:rsid w:val="008E2F17"/>
    <w:rsid w:val="008E3175"/>
    <w:rsid w:val="008E32CE"/>
    <w:rsid w:val="008E3CC4"/>
    <w:rsid w:val="008E3DDC"/>
    <w:rsid w:val="008E417F"/>
    <w:rsid w:val="008E4F24"/>
    <w:rsid w:val="008E5512"/>
    <w:rsid w:val="008E5968"/>
    <w:rsid w:val="008E59C0"/>
    <w:rsid w:val="008E5F4E"/>
    <w:rsid w:val="008E606F"/>
    <w:rsid w:val="008E65C3"/>
    <w:rsid w:val="008E6EF3"/>
    <w:rsid w:val="008E75D6"/>
    <w:rsid w:val="008E76F8"/>
    <w:rsid w:val="008E770B"/>
    <w:rsid w:val="008F080D"/>
    <w:rsid w:val="008F08C3"/>
    <w:rsid w:val="008F1056"/>
    <w:rsid w:val="008F1589"/>
    <w:rsid w:val="008F1873"/>
    <w:rsid w:val="008F18E5"/>
    <w:rsid w:val="008F2E02"/>
    <w:rsid w:val="008F3327"/>
    <w:rsid w:val="008F3549"/>
    <w:rsid w:val="008F39A8"/>
    <w:rsid w:val="008F49E7"/>
    <w:rsid w:val="008F4A43"/>
    <w:rsid w:val="008F4BA0"/>
    <w:rsid w:val="008F4C3B"/>
    <w:rsid w:val="008F4D58"/>
    <w:rsid w:val="008F4EBB"/>
    <w:rsid w:val="008F509D"/>
    <w:rsid w:val="008F5110"/>
    <w:rsid w:val="008F51BE"/>
    <w:rsid w:val="008F51FC"/>
    <w:rsid w:val="008F5B13"/>
    <w:rsid w:val="008F6006"/>
    <w:rsid w:val="008F62CE"/>
    <w:rsid w:val="008F71B1"/>
    <w:rsid w:val="008F71BC"/>
    <w:rsid w:val="008F7246"/>
    <w:rsid w:val="008F726A"/>
    <w:rsid w:val="008F7DE6"/>
    <w:rsid w:val="00900FAB"/>
    <w:rsid w:val="009015B2"/>
    <w:rsid w:val="00901881"/>
    <w:rsid w:val="00901978"/>
    <w:rsid w:val="00901D1D"/>
    <w:rsid w:val="009022AF"/>
    <w:rsid w:val="009022F5"/>
    <w:rsid w:val="00902914"/>
    <w:rsid w:val="00903496"/>
    <w:rsid w:val="009037F5"/>
    <w:rsid w:val="009040D4"/>
    <w:rsid w:val="00904723"/>
    <w:rsid w:val="00905ACD"/>
    <w:rsid w:val="00906209"/>
    <w:rsid w:val="0090659B"/>
    <w:rsid w:val="0090660F"/>
    <w:rsid w:val="00906736"/>
    <w:rsid w:val="00906C38"/>
    <w:rsid w:val="00906D38"/>
    <w:rsid w:val="00906E90"/>
    <w:rsid w:val="00906F53"/>
    <w:rsid w:val="00907652"/>
    <w:rsid w:val="00907C3D"/>
    <w:rsid w:val="0091051D"/>
    <w:rsid w:val="00910533"/>
    <w:rsid w:val="00910C50"/>
    <w:rsid w:val="009117BF"/>
    <w:rsid w:val="00911F9B"/>
    <w:rsid w:val="009120C5"/>
    <w:rsid w:val="00912796"/>
    <w:rsid w:val="0091293D"/>
    <w:rsid w:val="00912CB8"/>
    <w:rsid w:val="00913863"/>
    <w:rsid w:val="00913B73"/>
    <w:rsid w:val="00913C62"/>
    <w:rsid w:val="00914212"/>
    <w:rsid w:val="009143C1"/>
    <w:rsid w:val="009147BA"/>
    <w:rsid w:val="00914E96"/>
    <w:rsid w:val="009155E5"/>
    <w:rsid w:val="0091566D"/>
    <w:rsid w:val="009160AC"/>
    <w:rsid w:val="00916484"/>
    <w:rsid w:val="00916920"/>
    <w:rsid w:val="00916B7D"/>
    <w:rsid w:val="00916F2F"/>
    <w:rsid w:val="00917575"/>
    <w:rsid w:val="009176BF"/>
    <w:rsid w:val="00917ABD"/>
    <w:rsid w:val="00920136"/>
    <w:rsid w:val="00920652"/>
    <w:rsid w:val="009209E3"/>
    <w:rsid w:val="009216EF"/>
    <w:rsid w:val="009216F3"/>
    <w:rsid w:val="00921847"/>
    <w:rsid w:val="00921EDE"/>
    <w:rsid w:val="0092228B"/>
    <w:rsid w:val="00923216"/>
    <w:rsid w:val="009234D0"/>
    <w:rsid w:val="00923A33"/>
    <w:rsid w:val="00923DB7"/>
    <w:rsid w:val="009261BF"/>
    <w:rsid w:val="009266A4"/>
    <w:rsid w:val="00926AD5"/>
    <w:rsid w:val="00926EC9"/>
    <w:rsid w:val="009272C6"/>
    <w:rsid w:val="0093107E"/>
    <w:rsid w:val="009313EE"/>
    <w:rsid w:val="00931A9D"/>
    <w:rsid w:val="00931E55"/>
    <w:rsid w:val="00932766"/>
    <w:rsid w:val="00932F82"/>
    <w:rsid w:val="009336A3"/>
    <w:rsid w:val="00933910"/>
    <w:rsid w:val="00933A3E"/>
    <w:rsid w:val="00934D39"/>
    <w:rsid w:val="00934DEB"/>
    <w:rsid w:val="0093548A"/>
    <w:rsid w:val="00935F94"/>
    <w:rsid w:val="00936381"/>
    <w:rsid w:val="00936F5C"/>
    <w:rsid w:val="00936F84"/>
    <w:rsid w:val="009376D7"/>
    <w:rsid w:val="00937A6E"/>
    <w:rsid w:val="00937FC1"/>
    <w:rsid w:val="0094006D"/>
    <w:rsid w:val="00940851"/>
    <w:rsid w:val="00940B1C"/>
    <w:rsid w:val="00941031"/>
    <w:rsid w:val="00941194"/>
    <w:rsid w:val="0094125B"/>
    <w:rsid w:val="00941352"/>
    <w:rsid w:val="0094160F"/>
    <w:rsid w:val="00942105"/>
    <w:rsid w:val="009422BC"/>
    <w:rsid w:val="0094287F"/>
    <w:rsid w:val="009429B3"/>
    <w:rsid w:val="00942B51"/>
    <w:rsid w:val="009430E5"/>
    <w:rsid w:val="0094315F"/>
    <w:rsid w:val="009431A3"/>
    <w:rsid w:val="009432CB"/>
    <w:rsid w:val="009436D4"/>
    <w:rsid w:val="00943AFE"/>
    <w:rsid w:val="00943BD8"/>
    <w:rsid w:val="00943DE3"/>
    <w:rsid w:val="00944192"/>
    <w:rsid w:val="009462A7"/>
    <w:rsid w:val="0094678B"/>
    <w:rsid w:val="00946AB7"/>
    <w:rsid w:val="00946B07"/>
    <w:rsid w:val="00947A99"/>
    <w:rsid w:val="00947CDD"/>
    <w:rsid w:val="00950145"/>
    <w:rsid w:val="009505BB"/>
    <w:rsid w:val="00950944"/>
    <w:rsid w:val="009510AD"/>
    <w:rsid w:val="009513BE"/>
    <w:rsid w:val="00951973"/>
    <w:rsid w:val="00951DAD"/>
    <w:rsid w:val="00951DBF"/>
    <w:rsid w:val="00951E28"/>
    <w:rsid w:val="00951EFA"/>
    <w:rsid w:val="00952259"/>
    <w:rsid w:val="0095242E"/>
    <w:rsid w:val="00952D55"/>
    <w:rsid w:val="0095353E"/>
    <w:rsid w:val="00953B97"/>
    <w:rsid w:val="00954408"/>
    <w:rsid w:val="00954B1C"/>
    <w:rsid w:val="00954D0E"/>
    <w:rsid w:val="00954EEC"/>
    <w:rsid w:val="00954FE1"/>
    <w:rsid w:val="0095542B"/>
    <w:rsid w:val="009556AE"/>
    <w:rsid w:val="00955DD9"/>
    <w:rsid w:val="009565BD"/>
    <w:rsid w:val="00956939"/>
    <w:rsid w:val="00956AAC"/>
    <w:rsid w:val="00956AB0"/>
    <w:rsid w:val="00956BC0"/>
    <w:rsid w:val="00956CA0"/>
    <w:rsid w:val="00957B14"/>
    <w:rsid w:val="00961878"/>
    <w:rsid w:val="00961DB0"/>
    <w:rsid w:val="00961EF6"/>
    <w:rsid w:val="009620E7"/>
    <w:rsid w:val="00962780"/>
    <w:rsid w:val="00962B87"/>
    <w:rsid w:val="00962E13"/>
    <w:rsid w:val="00962FF1"/>
    <w:rsid w:val="009630CE"/>
    <w:rsid w:val="009641AD"/>
    <w:rsid w:val="009642EC"/>
    <w:rsid w:val="009647A2"/>
    <w:rsid w:val="00964E73"/>
    <w:rsid w:val="00965248"/>
    <w:rsid w:val="00965427"/>
    <w:rsid w:val="00965842"/>
    <w:rsid w:val="00965C85"/>
    <w:rsid w:val="0096653F"/>
    <w:rsid w:val="009679D9"/>
    <w:rsid w:val="009703F8"/>
    <w:rsid w:val="0097067B"/>
    <w:rsid w:val="009712AE"/>
    <w:rsid w:val="0097174E"/>
    <w:rsid w:val="00971BE0"/>
    <w:rsid w:val="00971EFA"/>
    <w:rsid w:val="0097253D"/>
    <w:rsid w:val="009725A2"/>
    <w:rsid w:val="00972CE5"/>
    <w:rsid w:val="00973313"/>
    <w:rsid w:val="00973381"/>
    <w:rsid w:val="00973E62"/>
    <w:rsid w:val="00974915"/>
    <w:rsid w:val="009752C7"/>
    <w:rsid w:val="009759F2"/>
    <w:rsid w:val="00976190"/>
    <w:rsid w:val="00976469"/>
    <w:rsid w:val="00976532"/>
    <w:rsid w:val="0097654B"/>
    <w:rsid w:val="00976809"/>
    <w:rsid w:val="00976A43"/>
    <w:rsid w:val="00976B93"/>
    <w:rsid w:val="00976BC7"/>
    <w:rsid w:val="009770B8"/>
    <w:rsid w:val="00977265"/>
    <w:rsid w:val="00977C6D"/>
    <w:rsid w:val="00977F17"/>
    <w:rsid w:val="00980499"/>
    <w:rsid w:val="009805F0"/>
    <w:rsid w:val="00980BF6"/>
    <w:rsid w:val="00981469"/>
    <w:rsid w:val="00981AF3"/>
    <w:rsid w:val="0098222D"/>
    <w:rsid w:val="00982497"/>
    <w:rsid w:val="00982885"/>
    <w:rsid w:val="00982C61"/>
    <w:rsid w:val="00982CD1"/>
    <w:rsid w:val="00982E57"/>
    <w:rsid w:val="0098342A"/>
    <w:rsid w:val="00983AE1"/>
    <w:rsid w:val="00983E85"/>
    <w:rsid w:val="00984109"/>
    <w:rsid w:val="009854B6"/>
    <w:rsid w:val="00985829"/>
    <w:rsid w:val="00985D36"/>
    <w:rsid w:val="00985DBA"/>
    <w:rsid w:val="00985F0E"/>
    <w:rsid w:val="009865D6"/>
    <w:rsid w:val="00986975"/>
    <w:rsid w:val="00986C5B"/>
    <w:rsid w:val="0098757B"/>
    <w:rsid w:val="00990506"/>
    <w:rsid w:val="00990E8D"/>
    <w:rsid w:val="00990F79"/>
    <w:rsid w:val="009910DC"/>
    <w:rsid w:val="00991584"/>
    <w:rsid w:val="0099172C"/>
    <w:rsid w:val="00991B19"/>
    <w:rsid w:val="00991F23"/>
    <w:rsid w:val="00992605"/>
    <w:rsid w:val="00992CD6"/>
    <w:rsid w:val="00993599"/>
    <w:rsid w:val="00994CCA"/>
    <w:rsid w:val="00996FFF"/>
    <w:rsid w:val="009974A8"/>
    <w:rsid w:val="009975C9"/>
    <w:rsid w:val="0099773C"/>
    <w:rsid w:val="009A0A09"/>
    <w:rsid w:val="009A1489"/>
    <w:rsid w:val="009A245B"/>
    <w:rsid w:val="009A2516"/>
    <w:rsid w:val="009A2FAA"/>
    <w:rsid w:val="009A349F"/>
    <w:rsid w:val="009A3852"/>
    <w:rsid w:val="009A4788"/>
    <w:rsid w:val="009A4A6E"/>
    <w:rsid w:val="009A5FDB"/>
    <w:rsid w:val="009A7D33"/>
    <w:rsid w:val="009B0A9C"/>
    <w:rsid w:val="009B10AE"/>
    <w:rsid w:val="009B1240"/>
    <w:rsid w:val="009B1690"/>
    <w:rsid w:val="009B18D7"/>
    <w:rsid w:val="009B23EE"/>
    <w:rsid w:val="009B2675"/>
    <w:rsid w:val="009B3610"/>
    <w:rsid w:val="009B37D3"/>
    <w:rsid w:val="009B4C61"/>
    <w:rsid w:val="009B4C66"/>
    <w:rsid w:val="009B4CB0"/>
    <w:rsid w:val="009B4CE0"/>
    <w:rsid w:val="009B54CF"/>
    <w:rsid w:val="009B5A8C"/>
    <w:rsid w:val="009B5C74"/>
    <w:rsid w:val="009B6097"/>
    <w:rsid w:val="009B661E"/>
    <w:rsid w:val="009B68A4"/>
    <w:rsid w:val="009B6CF3"/>
    <w:rsid w:val="009B706D"/>
    <w:rsid w:val="009B75F0"/>
    <w:rsid w:val="009B7D1B"/>
    <w:rsid w:val="009C01B9"/>
    <w:rsid w:val="009C0342"/>
    <w:rsid w:val="009C0408"/>
    <w:rsid w:val="009C0B5E"/>
    <w:rsid w:val="009C12CC"/>
    <w:rsid w:val="009C161A"/>
    <w:rsid w:val="009C1E60"/>
    <w:rsid w:val="009C270A"/>
    <w:rsid w:val="009C3C12"/>
    <w:rsid w:val="009C4088"/>
    <w:rsid w:val="009C5471"/>
    <w:rsid w:val="009C5659"/>
    <w:rsid w:val="009C5D49"/>
    <w:rsid w:val="009C6BE2"/>
    <w:rsid w:val="009C718C"/>
    <w:rsid w:val="009C7345"/>
    <w:rsid w:val="009C745D"/>
    <w:rsid w:val="009C7B24"/>
    <w:rsid w:val="009C7BBD"/>
    <w:rsid w:val="009C7FE0"/>
    <w:rsid w:val="009D05CC"/>
    <w:rsid w:val="009D09AE"/>
    <w:rsid w:val="009D0EE8"/>
    <w:rsid w:val="009D10F3"/>
    <w:rsid w:val="009D11AB"/>
    <w:rsid w:val="009D1575"/>
    <w:rsid w:val="009D1B21"/>
    <w:rsid w:val="009D1EB0"/>
    <w:rsid w:val="009D2A1F"/>
    <w:rsid w:val="009D2BAC"/>
    <w:rsid w:val="009D2E97"/>
    <w:rsid w:val="009D41AC"/>
    <w:rsid w:val="009D5139"/>
    <w:rsid w:val="009D55EE"/>
    <w:rsid w:val="009D564D"/>
    <w:rsid w:val="009D5843"/>
    <w:rsid w:val="009D5970"/>
    <w:rsid w:val="009D5C32"/>
    <w:rsid w:val="009D73F5"/>
    <w:rsid w:val="009D740A"/>
    <w:rsid w:val="009D7D93"/>
    <w:rsid w:val="009E040E"/>
    <w:rsid w:val="009E15ED"/>
    <w:rsid w:val="009E1607"/>
    <w:rsid w:val="009E1A3F"/>
    <w:rsid w:val="009E21B7"/>
    <w:rsid w:val="009E2CF2"/>
    <w:rsid w:val="009E2EA7"/>
    <w:rsid w:val="009E312B"/>
    <w:rsid w:val="009E327E"/>
    <w:rsid w:val="009E3966"/>
    <w:rsid w:val="009E397E"/>
    <w:rsid w:val="009E3D6D"/>
    <w:rsid w:val="009E41D0"/>
    <w:rsid w:val="009E4844"/>
    <w:rsid w:val="009E4CC2"/>
    <w:rsid w:val="009E564F"/>
    <w:rsid w:val="009E6184"/>
    <w:rsid w:val="009E6326"/>
    <w:rsid w:val="009E6333"/>
    <w:rsid w:val="009E655C"/>
    <w:rsid w:val="009E656B"/>
    <w:rsid w:val="009E6F2E"/>
    <w:rsid w:val="009E7475"/>
    <w:rsid w:val="009E752B"/>
    <w:rsid w:val="009F0A3A"/>
    <w:rsid w:val="009F0BD3"/>
    <w:rsid w:val="009F1F49"/>
    <w:rsid w:val="009F2467"/>
    <w:rsid w:val="009F3218"/>
    <w:rsid w:val="009F394C"/>
    <w:rsid w:val="009F3A44"/>
    <w:rsid w:val="009F4F93"/>
    <w:rsid w:val="009F556C"/>
    <w:rsid w:val="009F5DB9"/>
    <w:rsid w:val="009F63EE"/>
    <w:rsid w:val="009F711E"/>
    <w:rsid w:val="009F7D1F"/>
    <w:rsid w:val="009F7F2B"/>
    <w:rsid w:val="00A0001D"/>
    <w:rsid w:val="00A01037"/>
    <w:rsid w:val="00A0119C"/>
    <w:rsid w:val="00A017D4"/>
    <w:rsid w:val="00A01C9C"/>
    <w:rsid w:val="00A01F05"/>
    <w:rsid w:val="00A0287D"/>
    <w:rsid w:val="00A03332"/>
    <w:rsid w:val="00A0369C"/>
    <w:rsid w:val="00A03771"/>
    <w:rsid w:val="00A04024"/>
    <w:rsid w:val="00A04595"/>
    <w:rsid w:val="00A0541B"/>
    <w:rsid w:val="00A06208"/>
    <w:rsid w:val="00A0628B"/>
    <w:rsid w:val="00A068D9"/>
    <w:rsid w:val="00A06EB9"/>
    <w:rsid w:val="00A1016F"/>
    <w:rsid w:val="00A10996"/>
    <w:rsid w:val="00A10B74"/>
    <w:rsid w:val="00A10C18"/>
    <w:rsid w:val="00A10EC9"/>
    <w:rsid w:val="00A1130A"/>
    <w:rsid w:val="00A11E6B"/>
    <w:rsid w:val="00A11E8D"/>
    <w:rsid w:val="00A11F7F"/>
    <w:rsid w:val="00A12648"/>
    <w:rsid w:val="00A127BA"/>
    <w:rsid w:val="00A136A9"/>
    <w:rsid w:val="00A13855"/>
    <w:rsid w:val="00A139EC"/>
    <w:rsid w:val="00A140A3"/>
    <w:rsid w:val="00A14AAC"/>
    <w:rsid w:val="00A15500"/>
    <w:rsid w:val="00A155A6"/>
    <w:rsid w:val="00A15B34"/>
    <w:rsid w:val="00A15D47"/>
    <w:rsid w:val="00A1634E"/>
    <w:rsid w:val="00A16421"/>
    <w:rsid w:val="00A1647B"/>
    <w:rsid w:val="00A164C6"/>
    <w:rsid w:val="00A1708C"/>
    <w:rsid w:val="00A177A3"/>
    <w:rsid w:val="00A17907"/>
    <w:rsid w:val="00A2072F"/>
    <w:rsid w:val="00A20EFE"/>
    <w:rsid w:val="00A21076"/>
    <w:rsid w:val="00A21556"/>
    <w:rsid w:val="00A21903"/>
    <w:rsid w:val="00A22AF7"/>
    <w:rsid w:val="00A23211"/>
    <w:rsid w:val="00A23428"/>
    <w:rsid w:val="00A23621"/>
    <w:rsid w:val="00A2405B"/>
    <w:rsid w:val="00A25467"/>
    <w:rsid w:val="00A2551C"/>
    <w:rsid w:val="00A25C16"/>
    <w:rsid w:val="00A2617B"/>
    <w:rsid w:val="00A27672"/>
    <w:rsid w:val="00A27DBB"/>
    <w:rsid w:val="00A30028"/>
    <w:rsid w:val="00A301EF"/>
    <w:rsid w:val="00A3040F"/>
    <w:rsid w:val="00A31059"/>
    <w:rsid w:val="00A3123A"/>
    <w:rsid w:val="00A3168A"/>
    <w:rsid w:val="00A31CD2"/>
    <w:rsid w:val="00A32EFA"/>
    <w:rsid w:val="00A335F7"/>
    <w:rsid w:val="00A33696"/>
    <w:rsid w:val="00A339B5"/>
    <w:rsid w:val="00A339FB"/>
    <w:rsid w:val="00A348FE"/>
    <w:rsid w:val="00A34ED9"/>
    <w:rsid w:val="00A35AAA"/>
    <w:rsid w:val="00A35D28"/>
    <w:rsid w:val="00A35E53"/>
    <w:rsid w:val="00A36254"/>
    <w:rsid w:val="00A3635F"/>
    <w:rsid w:val="00A368B5"/>
    <w:rsid w:val="00A36905"/>
    <w:rsid w:val="00A36916"/>
    <w:rsid w:val="00A36941"/>
    <w:rsid w:val="00A36BA5"/>
    <w:rsid w:val="00A37146"/>
    <w:rsid w:val="00A3747B"/>
    <w:rsid w:val="00A37995"/>
    <w:rsid w:val="00A37BA5"/>
    <w:rsid w:val="00A408EB"/>
    <w:rsid w:val="00A4109A"/>
    <w:rsid w:val="00A4133B"/>
    <w:rsid w:val="00A4189A"/>
    <w:rsid w:val="00A41A4E"/>
    <w:rsid w:val="00A41A7C"/>
    <w:rsid w:val="00A42565"/>
    <w:rsid w:val="00A42621"/>
    <w:rsid w:val="00A436D2"/>
    <w:rsid w:val="00A43752"/>
    <w:rsid w:val="00A4391C"/>
    <w:rsid w:val="00A443B8"/>
    <w:rsid w:val="00A452B2"/>
    <w:rsid w:val="00A454E3"/>
    <w:rsid w:val="00A457AB"/>
    <w:rsid w:val="00A463F3"/>
    <w:rsid w:val="00A468B1"/>
    <w:rsid w:val="00A469C0"/>
    <w:rsid w:val="00A47100"/>
    <w:rsid w:val="00A472D1"/>
    <w:rsid w:val="00A47335"/>
    <w:rsid w:val="00A47902"/>
    <w:rsid w:val="00A47B8B"/>
    <w:rsid w:val="00A50258"/>
    <w:rsid w:val="00A50806"/>
    <w:rsid w:val="00A5085F"/>
    <w:rsid w:val="00A51149"/>
    <w:rsid w:val="00A51C4A"/>
    <w:rsid w:val="00A5289A"/>
    <w:rsid w:val="00A53632"/>
    <w:rsid w:val="00A53AB4"/>
    <w:rsid w:val="00A53DBB"/>
    <w:rsid w:val="00A53FB6"/>
    <w:rsid w:val="00A5498C"/>
    <w:rsid w:val="00A54D45"/>
    <w:rsid w:val="00A54FE4"/>
    <w:rsid w:val="00A5541A"/>
    <w:rsid w:val="00A56092"/>
    <w:rsid w:val="00A567CB"/>
    <w:rsid w:val="00A57263"/>
    <w:rsid w:val="00A57DEC"/>
    <w:rsid w:val="00A60040"/>
    <w:rsid w:val="00A6060D"/>
    <w:rsid w:val="00A60C13"/>
    <w:rsid w:val="00A615A6"/>
    <w:rsid w:val="00A61AD5"/>
    <w:rsid w:val="00A61C95"/>
    <w:rsid w:val="00A62ADC"/>
    <w:rsid w:val="00A62CDE"/>
    <w:rsid w:val="00A62DEF"/>
    <w:rsid w:val="00A6316A"/>
    <w:rsid w:val="00A63572"/>
    <w:rsid w:val="00A637C6"/>
    <w:rsid w:val="00A63824"/>
    <w:rsid w:val="00A63A5F"/>
    <w:rsid w:val="00A63D9A"/>
    <w:rsid w:val="00A63DBC"/>
    <w:rsid w:val="00A63FAB"/>
    <w:rsid w:val="00A6458B"/>
    <w:rsid w:val="00A64688"/>
    <w:rsid w:val="00A649B7"/>
    <w:rsid w:val="00A64C0E"/>
    <w:rsid w:val="00A6506D"/>
    <w:rsid w:val="00A65327"/>
    <w:rsid w:val="00A6533E"/>
    <w:rsid w:val="00A653AC"/>
    <w:rsid w:val="00A655B7"/>
    <w:rsid w:val="00A65632"/>
    <w:rsid w:val="00A65BF7"/>
    <w:rsid w:val="00A65C20"/>
    <w:rsid w:val="00A65DCD"/>
    <w:rsid w:val="00A664CD"/>
    <w:rsid w:val="00A66506"/>
    <w:rsid w:val="00A66E2A"/>
    <w:rsid w:val="00A6764D"/>
    <w:rsid w:val="00A6769C"/>
    <w:rsid w:val="00A67E6C"/>
    <w:rsid w:val="00A67FE1"/>
    <w:rsid w:val="00A70081"/>
    <w:rsid w:val="00A703C1"/>
    <w:rsid w:val="00A70642"/>
    <w:rsid w:val="00A7067D"/>
    <w:rsid w:val="00A7084B"/>
    <w:rsid w:val="00A712E0"/>
    <w:rsid w:val="00A7189A"/>
    <w:rsid w:val="00A71C9E"/>
    <w:rsid w:val="00A71DDE"/>
    <w:rsid w:val="00A7201A"/>
    <w:rsid w:val="00A7228B"/>
    <w:rsid w:val="00A72A7B"/>
    <w:rsid w:val="00A72B75"/>
    <w:rsid w:val="00A73038"/>
    <w:rsid w:val="00A73256"/>
    <w:rsid w:val="00A7328F"/>
    <w:rsid w:val="00A73772"/>
    <w:rsid w:val="00A737C5"/>
    <w:rsid w:val="00A73F8D"/>
    <w:rsid w:val="00A749FD"/>
    <w:rsid w:val="00A74B8A"/>
    <w:rsid w:val="00A74C77"/>
    <w:rsid w:val="00A74D94"/>
    <w:rsid w:val="00A75387"/>
    <w:rsid w:val="00A758BE"/>
    <w:rsid w:val="00A75C2A"/>
    <w:rsid w:val="00A7668A"/>
    <w:rsid w:val="00A76BC8"/>
    <w:rsid w:val="00A76C99"/>
    <w:rsid w:val="00A76F14"/>
    <w:rsid w:val="00A775D5"/>
    <w:rsid w:val="00A800C8"/>
    <w:rsid w:val="00A801F8"/>
    <w:rsid w:val="00A80BAD"/>
    <w:rsid w:val="00A811CB"/>
    <w:rsid w:val="00A81D00"/>
    <w:rsid w:val="00A81D2F"/>
    <w:rsid w:val="00A81E59"/>
    <w:rsid w:val="00A81EBE"/>
    <w:rsid w:val="00A826F1"/>
    <w:rsid w:val="00A82712"/>
    <w:rsid w:val="00A82D02"/>
    <w:rsid w:val="00A83369"/>
    <w:rsid w:val="00A83A27"/>
    <w:rsid w:val="00A8428C"/>
    <w:rsid w:val="00A84364"/>
    <w:rsid w:val="00A84CD0"/>
    <w:rsid w:val="00A858E9"/>
    <w:rsid w:val="00A85E5B"/>
    <w:rsid w:val="00A85E73"/>
    <w:rsid w:val="00A85EC0"/>
    <w:rsid w:val="00A86473"/>
    <w:rsid w:val="00A86ED1"/>
    <w:rsid w:val="00A86F9B"/>
    <w:rsid w:val="00A915F4"/>
    <w:rsid w:val="00A917A9"/>
    <w:rsid w:val="00A91C36"/>
    <w:rsid w:val="00A91D41"/>
    <w:rsid w:val="00A926F4"/>
    <w:rsid w:val="00A929F5"/>
    <w:rsid w:val="00A9331F"/>
    <w:rsid w:val="00A93F51"/>
    <w:rsid w:val="00A96010"/>
    <w:rsid w:val="00A9684D"/>
    <w:rsid w:val="00A97402"/>
    <w:rsid w:val="00A974C9"/>
    <w:rsid w:val="00A97873"/>
    <w:rsid w:val="00AA0B30"/>
    <w:rsid w:val="00AA0EFF"/>
    <w:rsid w:val="00AA0F61"/>
    <w:rsid w:val="00AA1265"/>
    <w:rsid w:val="00AA1D97"/>
    <w:rsid w:val="00AA1E6C"/>
    <w:rsid w:val="00AA29DC"/>
    <w:rsid w:val="00AA2B4F"/>
    <w:rsid w:val="00AA321D"/>
    <w:rsid w:val="00AA3259"/>
    <w:rsid w:val="00AA383C"/>
    <w:rsid w:val="00AA3ACE"/>
    <w:rsid w:val="00AA3BBB"/>
    <w:rsid w:val="00AA3C4B"/>
    <w:rsid w:val="00AA3F4F"/>
    <w:rsid w:val="00AA4B32"/>
    <w:rsid w:val="00AA4CFF"/>
    <w:rsid w:val="00AA4D52"/>
    <w:rsid w:val="00AA4F04"/>
    <w:rsid w:val="00AA5773"/>
    <w:rsid w:val="00AA6669"/>
    <w:rsid w:val="00AA690A"/>
    <w:rsid w:val="00AA6AB3"/>
    <w:rsid w:val="00AA6D26"/>
    <w:rsid w:val="00AA7459"/>
    <w:rsid w:val="00AA74C0"/>
    <w:rsid w:val="00AB0541"/>
    <w:rsid w:val="00AB09EE"/>
    <w:rsid w:val="00AB1310"/>
    <w:rsid w:val="00AB19B4"/>
    <w:rsid w:val="00AB2400"/>
    <w:rsid w:val="00AB25DF"/>
    <w:rsid w:val="00AB2CE6"/>
    <w:rsid w:val="00AB5377"/>
    <w:rsid w:val="00AB5B77"/>
    <w:rsid w:val="00AB5C1D"/>
    <w:rsid w:val="00AB7D08"/>
    <w:rsid w:val="00AB7F4B"/>
    <w:rsid w:val="00AB7F83"/>
    <w:rsid w:val="00AC0B81"/>
    <w:rsid w:val="00AC2300"/>
    <w:rsid w:val="00AC3451"/>
    <w:rsid w:val="00AC3506"/>
    <w:rsid w:val="00AC387E"/>
    <w:rsid w:val="00AC49E6"/>
    <w:rsid w:val="00AC4DD2"/>
    <w:rsid w:val="00AC5210"/>
    <w:rsid w:val="00AC5710"/>
    <w:rsid w:val="00AC5BDF"/>
    <w:rsid w:val="00AC5DA2"/>
    <w:rsid w:val="00AC662A"/>
    <w:rsid w:val="00AC6903"/>
    <w:rsid w:val="00AC6B95"/>
    <w:rsid w:val="00AC722F"/>
    <w:rsid w:val="00AC7669"/>
    <w:rsid w:val="00AC79C9"/>
    <w:rsid w:val="00AD043B"/>
    <w:rsid w:val="00AD0AF6"/>
    <w:rsid w:val="00AD0E4F"/>
    <w:rsid w:val="00AD1A93"/>
    <w:rsid w:val="00AD277E"/>
    <w:rsid w:val="00AD343E"/>
    <w:rsid w:val="00AD4267"/>
    <w:rsid w:val="00AD46D1"/>
    <w:rsid w:val="00AD476A"/>
    <w:rsid w:val="00AD47AA"/>
    <w:rsid w:val="00AD4ABF"/>
    <w:rsid w:val="00AD4C67"/>
    <w:rsid w:val="00AD4F08"/>
    <w:rsid w:val="00AD52D1"/>
    <w:rsid w:val="00AD54E1"/>
    <w:rsid w:val="00AD5632"/>
    <w:rsid w:val="00AD6222"/>
    <w:rsid w:val="00AD6306"/>
    <w:rsid w:val="00AD67DE"/>
    <w:rsid w:val="00AD7076"/>
    <w:rsid w:val="00AD739C"/>
    <w:rsid w:val="00AE0764"/>
    <w:rsid w:val="00AE090E"/>
    <w:rsid w:val="00AE14B5"/>
    <w:rsid w:val="00AE16D1"/>
    <w:rsid w:val="00AE1BC1"/>
    <w:rsid w:val="00AE1BD1"/>
    <w:rsid w:val="00AE1DBE"/>
    <w:rsid w:val="00AE276C"/>
    <w:rsid w:val="00AE340A"/>
    <w:rsid w:val="00AE3DF4"/>
    <w:rsid w:val="00AE41D4"/>
    <w:rsid w:val="00AE4788"/>
    <w:rsid w:val="00AE4BEA"/>
    <w:rsid w:val="00AE4C6D"/>
    <w:rsid w:val="00AE50A3"/>
    <w:rsid w:val="00AE54FF"/>
    <w:rsid w:val="00AE563F"/>
    <w:rsid w:val="00AE6595"/>
    <w:rsid w:val="00AE6B0B"/>
    <w:rsid w:val="00AE71A8"/>
    <w:rsid w:val="00AE74AF"/>
    <w:rsid w:val="00AE74B3"/>
    <w:rsid w:val="00AE7530"/>
    <w:rsid w:val="00AE7678"/>
    <w:rsid w:val="00AE7F0C"/>
    <w:rsid w:val="00AF0329"/>
    <w:rsid w:val="00AF0774"/>
    <w:rsid w:val="00AF0B7B"/>
    <w:rsid w:val="00AF11B5"/>
    <w:rsid w:val="00AF1F48"/>
    <w:rsid w:val="00AF1FE8"/>
    <w:rsid w:val="00AF22F3"/>
    <w:rsid w:val="00AF2612"/>
    <w:rsid w:val="00AF3889"/>
    <w:rsid w:val="00AF39DC"/>
    <w:rsid w:val="00AF3BD3"/>
    <w:rsid w:val="00AF3F13"/>
    <w:rsid w:val="00AF3FE3"/>
    <w:rsid w:val="00AF4A53"/>
    <w:rsid w:val="00AF4F33"/>
    <w:rsid w:val="00AF52DC"/>
    <w:rsid w:val="00AF6305"/>
    <w:rsid w:val="00AF6A0B"/>
    <w:rsid w:val="00AF6A68"/>
    <w:rsid w:val="00AF6AB2"/>
    <w:rsid w:val="00AF72F9"/>
    <w:rsid w:val="00AF7938"/>
    <w:rsid w:val="00B001C6"/>
    <w:rsid w:val="00B008DF"/>
    <w:rsid w:val="00B00BB3"/>
    <w:rsid w:val="00B00E5C"/>
    <w:rsid w:val="00B011D8"/>
    <w:rsid w:val="00B0131B"/>
    <w:rsid w:val="00B014AD"/>
    <w:rsid w:val="00B01819"/>
    <w:rsid w:val="00B0182F"/>
    <w:rsid w:val="00B018F4"/>
    <w:rsid w:val="00B022D8"/>
    <w:rsid w:val="00B02540"/>
    <w:rsid w:val="00B02836"/>
    <w:rsid w:val="00B02AF0"/>
    <w:rsid w:val="00B039AB"/>
    <w:rsid w:val="00B039E9"/>
    <w:rsid w:val="00B03B7D"/>
    <w:rsid w:val="00B04DC3"/>
    <w:rsid w:val="00B04EED"/>
    <w:rsid w:val="00B0529B"/>
    <w:rsid w:val="00B05E03"/>
    <w:rsid w:val="00B0644E"/>
    <w:rsid w:val="00B06888"/>
    <w:rsid w:val="00B1077D"/>
    <w:rsid w:val="00B10841"/>
    <w:rsid w:val="00B10B1F"/>
    <w:rsid w:val="00B11176"/>
    <w:rsid w:val="00B1176D"/>
    <w:rsid w:val="00B11B4E"/>
    <w:rsid w:val="00B12199"/>
    <w:rsid w:val="00B123B7"/>
    <w:rsid w:val="00B13CB1"/>
    <w:rsid w:val="00B14997"/>
    <w:rsid w:val="00B14BEA"/>
    <w:rsid w:val="00B150BE"/>
    <w:rsid w:val="00B167CE"/>
    <w:rsid w:val="00B16B62"/>
    <w:rsid w:val="00B16CED"/>
    <w:rsid w:val="00B17902"/>
    <w:rsid w:val="00B17A2E"/>
    <w:rsid w:val="00B17C66"/>
    <w:rsid w:val="00B20292"/>
    <w:rsid w:val="00B206B1"/>
    <w:rsid w:val="00B22004"/>
    <w:rsid w:val="00B229D6"/>
    <w:rsid w:val="00B22C0A"/>
    <w:rsid w:val="00B22F42"/>
    <w:rsid w:val="00B22FF9"/>
    <w:rsid w:val="00B23F87"/>
    <w:rsid w:val="00B24213"/>
    <w:rsid w:val="00B242E1"/>
    <w:rsid w:val="00B24371"/>
    <w:rsid w:val="00B244B0"/>
    <w:rsid w:val="00B24980"/>
    <w:rsid w:val="00B24BDA"/>
    <w:rsid w:val="00B250B5"/>
    <w:rsid w:val="00B25B42"/>
    <w:rsid w:val="00B26350"/>
    <w:rsid w:val="00B2635D"/>
    <w:rsid w:val="00B26451"/>
    <w:rsid w:val="00B267F1"/>
    <w:rsid w:val="00B269E7"/>
    <w:rsid w:val="00B2725F"/>
    <w:rsid w:val="00B2779E"/>
    <w:rsid w:val="00B27998"/>
    <w:rsid w:val="00B308E1"/>
    <w:rsid w:val="00B30B47"/>
    <w:rsid w:val="00B30FEF"/>
    <w:rsid w:val="00B316BA"/>
    <w:rsid w:val="00B31D3D"/>
    <w:rsid w:val="00B32623"/>
    <w:rsid w:val="00B331DC"/>
    <w:rsid w:val="00B33BCF"/>
    <w:rsid w:val="00B3444E"/>
    <w:rsid w:val="00B35546"/>
    <w:rsid w:val="00B3556A"/>
    <w:rsid w:val="00B35594"/>
    <w:rsid w:val="00B3580D"/>
    <w:rsid w:val="00B35E2D"/>
    <w:rsid w:val="00B36B6D"/>
    <w:rsid w:val="00B3756E"/>
    <w:rsid w:val="00B401AE"/>
    <w:rsid w:val="00B402BB"/>
    <w:rsid w:val="00B4032C"/>
    <w:rsid w:val="00B414AF"/>
    <w:rsid w:val="00B41708"/>
    <w:rsid w:val="00B42626"/>
    <w:rsid w:val="00B42998"/>
    <w:rsid w:val="00B42DF1"/>
    <w:rsid w:val="00B4301A"/>
    <w:rsid w:val="00B43B6A"/>
    <w:rsid w:val="00B43FF7"/>
    <w:rsid w:val="00B4438B"/>
    <w:rsid w:val="00B45160"/>
    <w:rsid w:val="00B453BE"/>
    <w:rsid w:val="00B46241"/>
    <w:rsid w:val="00B46422"/>
    <w:rsid w:val="00B46735"/>
    <w:rsid w:val="00B468A0"/>
    <w:rsid w:val="00B47896"/>
    <w:rsid w:val="00B47C72"/>
    <w:rsid w:val="00B47D36"/>
    <w:rsid w:val="00B507E9"/>
    <w:rsid w:val="00B50878"/>
    <w:rsid w:val="00B50D0F"/>
    <w:rsid w:val="00B50F95"/>
    <w:rsid w:val="00B51496"/>
    <w:rsid w:val="00B51503"/>
    <w:rsid w:val="00B51EF7"/>
    <w:rsid w:val="00B5205A"/>
    <w:rsid w:val="00B522D0"/>
    <w:rsid w:val="00B52363"/>
    <w:rsid w:val="00B524C0"/>
    <w:rsid w:val="00B52693"/>
    <w:rsid w:val="00B52AB7"/>
    <w:rsid w:val="00B52CF9"/>
    <w:rsid w:val="00B52D9E"/>
    <w:rsid w:val="00B52E12"/>
    <w:rsid w:val="00B530F8"/>
    <w:rsid w:val="00B53C31"/>
    <w:rsid w:val="00B5445A"/>
    <w:rsid w:val="00B54DDC"/>
    <w:rsid w:val="00B550A0"/>
    <w:rsid w:val="00B555A9"/>
    <w:rsid w:val="00B55A15"/>
    <w:rsid w:val="00B55E82"/>
    <w:rsid w:val="00B55F13"/>
    <w:rsid w:val="00B5617C"/>
    <w:rsid w:val="00B563AF"/>
    <w:rsid w:val="00B563E9"/>
    <w:rsid w:val="00B56902"/>
    <w:rsid w:val="00B56922"/>
    <w:rsid w:val="00B56B70"/>
    <w:rsid w:val="00B56ECB"/>
    <w:rsid w:val="00B57983"/>
    <w:rsid w:val="00B6036B"/>
    <w:rsid w:val="00B604C8"/>
    <w:rsid w:val="00B60ED0"/>
    <w:rsid w:val="00B62189"/>
    <w:rsid w:val="00B62766"/>
    <w:rsid w:val="00B627E7"/>
    <w:rsid w:val="00B6283F"/>
    <w:rsid w:val="00B62F33"/>
    <w:rsid w:val="00B630AC"/>
    <w:rsid w:val="00B63611"/>
    <w:rsid w:val="00B644F9"/>
    <w:rsid w:val="00B64726"/>
    <w:rsid w:val="00B65066"/>
    <w:rsid w:val="00B6668D"/>
    <w:rsid w:val="00B666B9"/>
    <w:rsid w:val="00B66A94"/>
    <w:rsid w:val="00B66F81"/>
    <w:rsid w:val="00B67145"/>
    <w:rsid w:val="00B677F1"/>
    <w:rsid w:val="00B67914"/>
    <w:rsid w:val="00B70767"/>
    <w:rsid w:val="00B707AF"/>
    <w:rsid w:val="00B70882"/>
    <w:rsid w:val="00B709B8"/>
    <w:rsid w:val="00B70DC2"/>
    <w:rsid w:val="00B717DC"/>
    <w:rsid w:val="00B72D75"/>
    <w:rsid w:val="00B72F97"/>
    <w:rsid w:val="00B73165"/>
    <w:rsid w:val="00B741EF"/>
    <w:rsid w:val="00B742B8"/>
    <w:rsid w:val="00B747A2"/>
    <w:rsid w:val="00B75001"/>
    <w:rsid w:val="00B75086"/>
    <w:rsid w:val="00B7532D"/>
    <w:rsid w:val="00B7568D"/>
    <w:rsid w:val="00B75D6E"/>
    <w:rsid w:val="00B75F72"/>
    <w:rsid w:val="00B76DC1"/>
    <w:rsid w:val="00B77C89"/>
    <w:rsid w:val="00B77CFD"/>
    <w:rsid w:val="00B800B7"/>
    <w:rsid w:val="00B80425"/>
    <w:rsid w:val="00B805C4"/>
    <w:rsid w:val="00B80D1E"/>
    <w:rsid w:val="00B80EF7"/>
    <w:rsid w:val="00B81548"/>
    <w:rsid w:val="00B81633"/>
    <w:rsid w:val="00B81EDF"/>
    <w:rsid w:val="00B81F81"/>
    <w:rsid w:val="00B82A85"/>
    <w:rsid w:val="00B82FF5"/>
    <w:rsid w:val="00B8385E"/>
    <w:rsid w:val="00B83A38"/>
    <w:rsid w:val="00B83D46"/>
    <w:rsid w:val="00B84193"/>
    <w:rsid w:val="00B84A84"/>
    <w:rsid w:val="00B84EC3"/>
    <w:rsid w:val="00B850CE"/>
    <w:rsid w:val="00B862C0"/>
    <w:rsid w:val="00B863D9"/>
    <w:rsid w:val="00B864BA"/>
    <w:rsid w:val="00B86C03"/>
    <w:rsid w:val="00B86E98"/>
    <w:rsid w:val="00B90192"/>
    <w:rsid w:val="00B90A49"/>
    <w:rsid w:val="00B90B9B"/>
    <w:rsid w:val="00B90C7D"/>
    <w:rsid w:val="00B91455"/>
    <w:rsid w:val="00B9197F"/>
    <w:rsid w:val="00B919E1"/>
    <w:rsid w:val="00B92313"/>
    <w:rsid w:val="00B933BC"/>
    <w:rsid w:val="00B933E3"/>
    <w:rsid w:val="00B93791"/>
    <w:rsid w:val="00B93921"/>
    <w:rsid w:val="00B93AFE"/>
    <w:rsid w:val="00B945A2"/>
    <w:rsid w:val="00B946C4"/>
    <w:rsid w:val="00B94702"/>
    <w:rsid w:val="00B947BF"/>
    <w:rsid w:val="00B94912"/>
    <w:rsid w:val="00B94EE8"/>
    <w:rsid w:val="00B95427"/>
    <w:rsid w:val="00B962AB"/>
    <w:rsid w:val="00B966B6"/>
    <w:rsid w:val="00B96717"/>
    <w:rsid w:val="00B96C66"/>
    <w:rsid w:val="00B97B6F"/>
    <w:rsid w:val="00BA0482"/>
    <w:rsid w:val="00BA05AF"/>
    <w:rsid w:val="00BA0622"/>
    <w:rsid w:val="00BA096B"/>
    <w:rsid w:val="00BA1387"/>
    <w:rsid w:val="00BA13D0"/>
    <w:rsid w:val="00BA1C0C"/>
    <w:rsid w:val="00BA1C65"/>
    <w:rsid w:val="00BA1F66"/>
    <w:rsid w:val="00BA23AE"/>
    <w:rsid w:val="00BA2A52"/>
    <w:rsid w:val="00BA2B2C"/>
    <w:rsid w:val="00BA2F50"/>
    <w:rsid w:val="00BA2FBE"/>
    <w:rsid w:val="00BA3293"/>
    <w:rsid w:val="00BA35C3"/>
    <w:rsid w:val="00BA3C29"/>
    <w:rsid w:val="00BA3F2E"/>
    <w:rsid w:val="00BA403D"/>
    <w:rsid w:val="00BA4357"/>
    <w:rsid w:val="00BA4760"/>
    <w:rsid w:val="00BA4DB3"/>
    <w:rsid w:val="00BA4FF0"/>
    <w:rsid w:val="00BA58D9"/>
    <w:rsid w:val="00BA5FB5"/>
    <w:rsid w:val="00BA62FB"/>
    <w:rsid w:val="00BA6E60"/>
    <w:rsid w:val="00BA7003"/>
    <w:rsid w:val="00BA71ED"/>
    <w:rsid w:val="00BA7CCE"/>
    <w:rsid w:val="00BB065D"/>
    <w:rsid w:val="00BB14CF"/>
    <w:rsid w:val="00BB17C8"/>
    <w:rsid w:val="00BB1CF9"/>
    <w:rsid w:val="00BB2101"/>
    <w:rsid w:val="00BB2133"/>
    <w:rsid w:val="00BB26DC"/>
    <w:rsid w:val="00BB271E"/>
    <w:rsid w:val="00BB27D3"/>
    <w:rsid w:val="00BB2A32"/>
    <w:rsid w:val="00BB2C04"/>
    <w:rsid w:val="00BB30F3"/>
    <w:rsid w:val="00BB315F"/>
    <w:rsid w:val="00BB3186"/>
    <w:rsid w:val="00BB325E"/>
    <w:rsid w:val="00BB3D90"/>
    <w:rsid w:val="00BB48F1"/>
    <w:rsid w:val="00BB5036"/>
    <w:rsid w:val="00BB5BAF"/>
    <w:rsid w:val="00BB5F46"/>
    <w:rsid w:val="00BB6888"/>
    <w:rsid w:val="00BB6EFD"/>
    <w:rsid w:val="00BB75F8"/>
    <w:rsid w:val="00BB7709"/>
    <w:rsid w:val="00BB779D"/>
    <w:rsid w:val="00BB7A4D"/>
    <w:rsid w:val="00BB7B6E"/>
    <w:rsid w:val="00BC003A"/>
    <w:rsid w:val="00BC068E"/>
    <w:rsid w:val="00BC0DBB"/>
    <w:rsid w:val="00BC107E"/>
    <w:rsid w:val="00BC13E5"/>
    <w:rsid w:val="00BC17CA"/>
    <w:rsid w:val="00BC1C7C"/>
    <w:rsid w:val="00BC205F"/>
    <w:rsid w:val="00BC227B"/>
    <w:rsid w:val="00BC31E2"/>
    <w:rsid w:val="00BC3D44"/>
    <w:rsid w:val="00BC4213"/>
    <w:rsid w:val="00BC4C7F"/>
    <w:rsid w:val="00BC59BE"/>
    <w:rsid w:val="00BC5C80"/>
    <w:rsid w:val="00BC5D5B"/>
    <w:rsid w:val="00BC5F08"/>
    <w:rsid w:val="00BC6161"/>
    <w:rsid w:val="00BC65A4"/>
    <w:rsid w:val="00BC65B2"/>
    <w:rsid w:val="00BC717C"/>
    <w:rsid w:val="00BC75B3"/>
    <w:rsid w:val="00BC7B04"/>
    <w:rsid w:val="00BC7E15"/>
    <w:rsid w:val="00BC7E36"/>
    <w:rsid w:val="00BD020B"/>
    <w:rsid w:val="00BD09B1"/>
    <w:rsid w:val="00BD0FE8"/>
    <w:rsid w:val="00BD16D6"/>
    <w:rsid w:val="00BD1816"/>
    <w:rsid w:val="00BD1B72"/>
    <w:rsid w:val="00BD206C"/>
    <w:rsid w:val="00BD22B5"/>
    <w:rsid w:val="00BD31B3"/>
    <w:rsid w:val="00BD38B1"/>
    <w:rsid w:val="00BD3BB5"/>
    <w:rsid w:val="00BD41C0"/>
    <w:rsid w:val="00BD485C"/>
    <w:rsid w:val="00BD4AA0"/>
    <w:rsid w:val="00BD521B"/>
    <w:rsid w:val="00BD5D85"/>
    <w:rsid w:val="00BD6053"/>
    <w:rsid w:val="00BD6593"/>
    <w:rsid w:val="00BD66B2"/>
    <w:rsid w:val="00BD71AD"/>
    <w:rsid w:val="00BD7633"/>
    <w:rsid w:val="00BD76B1"/>
    <w:rsid w:val="00BD7725"/>
    <w:rsid w:val="00BD782C"/>
    <w:rsid w:val="00BD786C"/>
    <w:rsid w:val="00BD78AD"/>
    <w:rsid w:val="00BD78F4"/>
    <w:rsid w:val="00BE0154"/>
    <w:rsid w:val="00BE04EC"/>
    <w:rsid w:val="00BE0722"/>
    <w:rsid w:val="00BE0F6C"/>
    <w:rsid w:val="00BE1821"/>
    <w:rsid w:val="00BE1877"/>
    <w:rsid w:val="00BE1D73"/>
    <w:rsid w:val="00BE1EC9"/>
    <w:rsid w:val="00BE1F09"/>
    <w:rsid w:val="00BE26F9"/>
    <w:rsid w:val="00BE2DD8"/>
    <w:rsid w:val="00BE301A"/>
    <w:rsid w:val="00BE400A"/>
    <w:rsid w:val="00BE458A"/>
    <w:rsid w:val="00BE4BE8"/>
    <w:rsid w:val="00BE4E51"/>
    <w:rsid w:val="00BE57E3"/>
    <w:rsid w:val="00BE5D07"/>
    <w:rsid w:val="00BE61FC"/>
    <w:rsid w:val="00BE7A1E"/>
    <w:rsid w:val="00BF0159"/>
    <w:rsid w:val="00BF03E8"/>
    <w:rsid w:val="00BF0D84"/>
    <w:rsid w:val="00BF1423"/>
    <w:rsid w:val="00BF18FE"/>
    <w:rsid w:val="00BF194F"/>
    <w:rsid w:val="00BF1C55"/>
    <w:rsid w:val="00BF224A"/>
    <w:rsid w:val="00BF28A4"/>
    <w:rsid w:val="00BF293F"/>
    <w:rsid w:val="00BF37C5"/>
    <w:rsid w:val="00BF3AAA"/>
    <w:rsid w:val="00BF42FD"/>
    <w:rsid w:val="00BF497A"/>
    <w:rsid w:val="00BF4AC8"/>
    <w:rsid w:val="00BF5BF6"/>
    <w:rsid w:val="00BF5E37"/>
    <w:rsid w:val="00BF5FE4"/>
    <w:rsid w:val="00BF6983"/>
    <w:rsid w:val="00BF70D4"/>
    <w:rsid w:val="00BF71E4"/>
    <w:rsid w:val="00BF7831"/>
    <w:rsid w:val="00BF7B13"/>
    <w:rsid w:val="00C00F2D"/>
    <w:rsid w:val="00C010A6"/>
    <w:rsid w:val="00C0163D"/>
    <w:rsid w:val="00C017CA"/>
    <w:rsid w:val="00C01D63"/>
    <w:rsid w:val="00C02152"/>
    <w:rsid w:val="00C0264E"/>
    <w:rsid w:val="00C03CE8"/>
    <w:rsid w:val="00C0494D"/>
    <w:rsid w:val="00C0531C"/>
    <w:rsid w:val="00C05806"/>
    <w:rsid w:val="00C05FA3"/>
    <w:rsid w:val="00C06A1F"/>
    <w:rsid w:val="00C0709F"/>
    <w:rsid w:val="00C07158"/>
    <w:rsid w:val="00C108A9"/>
    <w:rsid w:val="00C10D63"/>
    <w:rsid w:val="00C10DE2"/>
    <w:rsid w:val="00C123A3"/>
    <w:rsid w:val="00C12466"/>
    <w:rsid w:val="00C12724"/>
    <w:rsid w:val="00C1367A"/>
    <w:rsid w:val="00C141FB"/>
    <w:rsid w:val="00C143BD"/>
    <w:rsid w:val="00C1441B"/>
    <w:rsid w:val="00C14B4F"/>
    <w:rsid w:val="00C14FB5"/>
    <w:rsid w:val="00C1512F"/>
    <w:rsid w:val="00C151EC"/>
    <w:rsid w:val="00C1544B"/>
    <w:rsid w:val="00C15A04"/>
    <w:rsid w:val="00C1656A"/>
    <w:rsid w:val="00C166FD"/>
    <w:rsid w:val="00C16815"/>
    <w:rsid w:val="00C16951"/>
    <w:rsid w:val="00C17D4D"/>
    <w:rsid w:val="00C205F8"/>
    <w:rsid w:val="00C2100C"/>
    <w:rsid w:val="00C2106B"/>
    <w:rsid w:val="00C21175"/>
    <w:rsid w:val="00C226C2"/>
    <w:rsid w:val="00C2297F"/>
    <w:rsid w:val="00C22CC3"/>
    <w:rsid w:val="00C2305A"/>
    <w:rsid w:val="00C23CC9"/>
    <w:rsid w:val="00C24114"/>
    <w:rsid w:val="00C248DB"/>
    <w:rsid w:val="00C248DD"/>
    <w:rsid w:val="00C2492B"/>
    <w:rsid w:val="00C25071"/>
    <w:rsid w:val="00C2557A"/>
    <w:rsid w:val="00C255F6"/>
    <w:rsid w:val="00C256E7"/>
    <w:rsid w:val="00C25831"/>
    <w:rsid w:val="00C2605E"/>
    <w:rsid w:val="00C26EDD"/>
    <w:rsid w:val="00C27400"/>
    <w:rsid w:val="00C27921"/>
    <w:rsid w:val="00C27BF6"/>
    <w:rsid w:val="00C27C80"/>
    <w:rsid w:val="00C30577"/>
    <w:rsid w:val="00C30B3D"/>
    <w:rsid w:val="00C30BEF"/>
    <w:rsid w:val="00C30DC6"/>
    <w:rsid w:val="00C31631"/>
    <w:rsid w:val="00C316BC"/>
    <w:rsid w:val="00C31E11"/>
    <w:rsid w:val="00C31E72"/>
    <w:rsid w:val="00C32004"/>
    <w:rsid w:val="00C323BD"/>
    <w:rsid w:val="00C33180"/>
    <w:rsid w:val="00C33462"/>
    <w:rsid w:val="00C33AE2"/>
    <w:rsid w:val="00C34138"/>
    <w:rsid w:val="00C34324"/>
    <w:rsid w:val="00C344E9"/>
    <w:rsid w:val="00C3492B"/>
    <w:rsid w:val="00C34B08"/>
    <w:rsid w:val="00C35315"/>
    <w:rsid w:val="00C3555A"/>
    <w:rsid w:val="00C3626C"/>
    <w:rsid w:val="00C36CE9"/>
    <w:rsid w:val="00C37003"/>
    <w:rsid w:val="00C37741"/>
    <w:rsid w:val="00C37E3D"/>
    <w:rsid w:val="00C4041E"/>
    <w:rsid w:val="00C40C64"/>
    <w:rsid w:val="00C41778"/>
    <w:rsid w:val="00C433C4"/>
    <w:rsid w:val="00C43FBA"/>
    <w:rsid w:val="00C441CC"/>
    <w:rsid w:val="00C44475"/>
    <w:rsid w:val="00C44E8D"/>
    <w:rsid w:val="00C44F87"/>
    <w:rsid w:val="00C451F2"/>
    <w:rsid w:val="00C45757"/>
    <w:rsid w:val="00C4609E"/>
    <w:rsid w:val="00C46807"/>
    <w:rsid w:val="00C47D44"/>
    <w:rsid w:val="00C506AC"/>
    <w:rsid w:val="00C50B1E"/>
    <w:rsid w:val="00C51C72"/>
    <w:rsid w:val="00C51CB1"/>
    <w:rsid w:val="00C521B4"/>
    <w:rsid w:val="00C52914"/>
    <w:rsid w:val="00C544CC"/>
    <w:rsid w:val="00C546E7"/>
    <w:rsid w:val="00C549BF"/>
    <w:rsid w:val="00C55114"/>
    <w:rsid w:val="00C55963"/>
    <w:rsid w:val="00C56262"/>
    <w:rsid w:val="00C567A5"/>
    <w:rsid w:val="00C57198"/>
    <w:rsid w:val="00C578CE"/>
    <w:rsid w:val="00C61597"/>
    <w:rsid w:val="00C617BF"/>
    <w:rsid w:val="00C62692"/>
    <w:rsid w:val="00C62791"/>
    <w:rsid w:val="00C62FA1"/>
    <w:rsid w:val="00C632D6"/>
    <w:rsid w:val="00C63E6F"/>
    <w:rsid w:val="00C63F9B"/>
    <w:rsid w:val="00C64069"/>
    <w:rsid w:val="00C6477F"/>
    <w:rsid w:val="00C64871"/>
    <w:rsid w:val="00C64B36"/>
    <w:rsid w:val="00C64C87"/>
    <w:rsid w:val="00C64F46"/>
    <w:rsid w:val="00C653BA"/>
    <w:rsid w:val="00C657B4"/>
    <w:rsid w:val="00C6774F"/>
    <w:rsid w:val="00C677AA"/>
    <w:rsid w:val="00C67EA3"/>
    <w:rsid w:val="00C70669"/>
    <w:rsid w:val="00C7079E"/>
    <w:rsid w:val="00C70A37"/>
    <w:rsid w:val="00C70F72"/>
    <w:rsid w:val="00C71914"/>
    <w:rsid w:val="00C7263B"/>
    <w:rsid w:val="00C727EF"/>
    <w:rsid w:val="00C72D01"/>
    <w:rsid w:val="00C72F2F"/>
    <w:rsid w:val="00C73290"/>
    <w:rsid w:val="00C736A7"/>
    <w:rsid w:val="00C74181"/>
    <w:rsid w:val="00C742F7"/>
    <w:rsid w:val="00C74314"/>
    <w:rsid w:val="00C74636"/>
    <w:rsid w:val="00C74AF1"/>
    <w:rsid w:val="00C74E4A"/>
    <w:rsid w:val="00C752C3"/>
    <w:rsid w:val="00C752C9"/>
    <w:rsid w:val="00C759F1"/>
    <w:rsid w:val="00C7613A"/>
    <w:rsid w:val="00C761B9"/>
    <w:rsid w:val="00C77225"/>
    <w:rsid w:val="00C77315"/>
    <w:rsid w:val="00C77AEB"/>
    <w:rsid w:val="00C77C98"/>
    <w:rsid w:val="00C80069"/>
    <w:rsid w:val="00C805DA"/>
    <w:rsid w:val="00C8096C"/>
    <w:rsid w:val="00C80A78"/>
    <w:rsid w:val="00C80B25"/>
    <w:rsid w:val="00C80F33"/>
    <w:rsid w:val="00C80FD0"/>
    <w:rsid w:val="00C8100B"/>
    <w:rsid w:val="00C81168"/>
    <w:rsid w:val="00C816BC"/>
    <w:rsid w:val="00C825DD"/>
    <w:rsid w:val="00C827A3"/>
    <w:rsid w:val="00C82DDB"/>
    <w:rsid w:val="00C8458B"/>
    <w:rsid w:val="00C852AC"/>
    <w:rsid w:val="00C857F9"/>
    <w:rsid w:val="00C860BC"/>
    <w:rsid w:val="00C8614D"/>
    <w:rsid w:val="00C86543"/>
    <w:rsid w:val="00C8683F"/>
    <w:rsid w:val="00C86967"/>
    <w:rsid w:val="00C87CC8"/>
    <w:rsid w:val="00C87D19"/>
    <w:rsid w:val="00C9091D"/>
    <w:rsid w:val="00C90FA2"/>
    <w:rsid w:val="00C91207"/>
    <w:rsid w:val="00C914A4"/>
    <w:rsid w:val="00C91CA5"/>
    <w:rsid w:val="00C91D26"/>
    <w:rsid w:val="00C92267"/>
    <w:rsid w:val="00C94857"/>
    <w:rsid w:val="00C94863"/>
    <w:rsid w:val="00C94F83"/>
    <w:rsid w:val="00C959C1"/>
    <w:rsid w:val="00C959C2"/>
    <w:rsid w:val="00C95BC5"/>
    <w:rsid w:val="00C95DEA"/>
    <w:rsid w:val="00C95FCA"/>
    <w:rsid w:val="00C9633F"/>
    <w:rsid w:val="00C974ED"/>
    <w:rsid w:val="00C976AC"/>
    <w:rsid w:val="00C97A8D"/>
    <w:rsid w:val="00CA0083"/>
    <w:rsid w:val="00CA04C0"/>
    <w:rsid w:val="00CA0837"/>
    <w:rsid w:val="00CA0BD9"/>
    <w:rsid w:val="00CA12B2"/>
    <w:rsid w:val="00CA140F"/>
    <w:rsid w:val="00CA14DD"/>
    <w:rsid w:val="00CA1C8F"/>
    <w:rsid w:val="00CA4064"/>
    <w:rsid w:val="00CA41D2"/>
    <w:rsid w:val="00CA4753"/>
    <w:rsid w:val="00CA4D91"/>
    <w:rsid w:val="00CA4F20"/>
    <w:rsid w:val="00CA525B"/>
    <w:rsid w:val="00CA5908"/>
    <w:rsid w:val="00CA5D21"/>
    <w:rsid w:val="00CA6512"/>
    <w:rsid w:val="00CA7A61"/>
    <w:rsid w:val="00CA7F72"/>
    <w:rsid w:val="00CB0C16"/>
    <w:rsid w:val="00CB1327"/>
    <w:rsid w:val="00CB149F"/>
    <w:rsid w:val="00CB1EAE"/>
    <w:rsid w:val="00CB1F5B"/>
    <w:rsid w:val="00CB2147"/>
    <w:rsid w:val="00CB22A1"/>
    <w:rsid w:val="00CB28EA"/>
    <w:rsid w:val="00CB2CAE"/>
    <w:rsid w:val="00CB30F5"/>
    <w:rsid w:val="00CB315D"/>
    <w:rsid w:val="00CB38FE"/>
    <w:rsid w:val="00CB3B4E"/>
    <w:rsid w:val="00CB3EC6"/>
    <w:rsid w:val="00CB4AEE"/>
    <w:rsid w:val="00CB4BEE"/>
    <w:rsid w:val="00CB4F56"/>
    <w:rsid w:val="00CB598E"/>
    <w:rsid w:val="00CB68CC"/>
    <w:rsid w:val="00CB6BB5"/>
    <w:rsid w:val="00CB6D6A"/>
    <w:rsid w:val="00CB7873"/>
    <w:rsid w:val="00CC0309"/>
    <w:rsid w:val="00CC07DB"/>
    <w:rsid w:val="00CC0A26"/>
    <w:rsid w:val="00CC0AB1"/>
    <w:rsid w:val="00CC0E84"/>
    <w:rsid w:val="00CC129B"/>
    <w:rsid w:val="00CC1838"/>
    <w:rsid w:val="00CC341C"/>
    <w:rsid w:val="00CC3645"/>
    <w:rsid w:val="00CC379D"/>
    <w:rsid w:val="00CC37FC"/>
    <w:rsid w:val="00CC3B15"/>
    <w:rsid w:val="00CC3F55"/>
    <w:rsid w:val="00CC4116"/>
    <w:rsid w:val="00CC54B1"/>
    <w:rsid w:val="00CC55AE"/>
    <w:rsid w:val="00CC5932"/>
    <w:rsid w:val="00CC64AC"/>
    <w:rsid w:val="00CC7253"/>
    <w:rsid w:val="00CC79A2"/>
    <w:rsid w:val="00CC7D66"/>
    <w:rsid w:val="00CD0153"/>
    <w:rsid w:val="00CD022B"/>
    <w:rsid w:val="00CD02C6"/>
    <w:rsid w:val="00CD092E"/>
    <w:rsid w:val="00CD0A75"/>
    <w:rsid w:val="00CD11DE"/>
    <w:rsid w:val="00CD143E"/>
    <w:rsid w:val="00CD1963"/>
    <w:rsid w:val="00CD19CA"/>
    <w:rsid w:val="00CD1AC2"/>
    <w:rsid w:val="00CD29D6"/>
    <w:rsid w:val="00CD29FC"/>
    <w:rsid w:val="00CD34FD"/>
    <w:rsid w:val="00CD3E17"/>
    <w:rsid w:val="00CD3EFC"/>
    <w:rsid w:val="00CD4033"/>
    <w:rsid w:val="00CD467E"/>
    <w:rsid w:val="00CD4860"/>
    <w:rsid w:val="00CD4B86"/>
    <w:rsid w:val="00CD50A4"/>
    <w:rsid w:val="00CD51ED"/>
    <w:rsid w:val="00CD5CFC"/>
    <w:rsid w:val="00CD6C4D"/>
    <w:rsid w:val="00CD7357"/>
    <w:rsid w:val="00CD7B3A"/>
    <w:rsid w:val="00CD7E37"/>
    <w:rsid w:val="00CE0199"/>
    <w:rsid w:val="00CE0440"/>
    <w:rsid w:val="00CE0448"/>
    <w:rsid w:val="00CE05E1"/>
    <w:rsid w:val="00CE0620"/>
    <w:rsid w:val="00CE0B3A"/>
    <w:rsid w:val="00CE1146"/>
    <w:rsid w:val="00CE16F2"/>
    <w:rsid w:val="00CE178F"/>
    <w:rsid w:val="00CE18AA"/>
    <w:rsid w:val="00CE1CC5"/>
    <w:rsid w:val="00CE1CF3"/>
    <w:rsid w:val="00CE1E16"/>
    <w:rsid w:val="00CE253C"/>
    <w:rsid w:val="00CE291E"/>
    <w:rsid w:val="00CE2920"/>
    <w:rsid w:val="00CE2D0B"/>
    <w:rsid w:val="00CE2EE4"/>
    <w:rsid w:val="00CE3346"/>
    <w:rsid w:val="00CE3797"/>
    <w:rsid w:val="00CE3ADA"/>
    <w:rsid w:val="00CE4025"/>
    <w:rsid w:val="00CE41CB"/>
    <w:rsid w:val="00CE42E6"/>
    <w:rsid w:val="00CE4850"/>
    <w:rsid w:val="00CE48D3"/>
    <w:rsid w:val="00CE498F"/>
    <w:rsid w:val="00CE4A8C"/>
    <w:rsid w:val="00CE5B42"/>
    <w:rsid w:val="00CE5D42"/>
    <w:rsid w:val="00CE5FE1"/>
    <w:rsid w:val="00CE6803"/>
    <w:rsid w:val="00CE6D99"/>
    <w:rsid w:val="00CE7351"/>
    <w:rsid w:val="00CE7987"/>
    <w:rsid w:val="00CF0777"/>
    <w:rsid w:val="00CF0FF4"/>
    <w:rsid w:val="00CF155E"/>
    <w:rsid w:val="00CF1622"/>
    <w:rsid w:val="00CF1747"/>
    <w:rsid w:val="00CF1CCE"/>
    <w:rsid w:val="00CF1EB5"/>
    <w:rsid w:val="00CF26D0"/>
    <w:rsid w:val="00CF291D"/>
    <w:rsid w:val="00CF292C"/>
    <w:rsid w:val="00CF34DB"/>
    <w:rsid w:val="00CF3B33"/>
    <w:rsid w:val="00CF3CAD"/>
    <w:rsid w:val="00CF3DED"/>
    <w:rsid w:val="00CF3E28"/>
    <w:rsid w:val="00CF425F"/>
    <w:rsid w:val="00CF4635"/>
    <w:rsid w:val="00CF46ED"/>
    <w:rsid w:val="00CF5173"/>
    <w:rsid w:val="00CF51E8"/>
    <w:rsid w:val="00CF5BA3"/>
    <w:rsid w:val="00CF5F43"/>
    <w:rsid w:val="00CF637A"/>
    <w:rsid w:val="00CF6719"/>
    <w:rsid w:val="00CF6A48"/>
    <w:rsid w:val="00CF7C31"/>
    <w:rsid w:val="00CF7E25"/>
    <w:rsid w:val="00D00450"/>
    <w:rsid w:val="00D00CF6"/>
    <w:rsid w:val="00D012B9"/>
    <w:rsid w:val="00D013E2"/>
    <w:rsid w:val="00D0152F"/>
    <w:rsid w:val="00D01F80"/>
    <w:rsid w:val="00D0208A"/>
    <w:rsid w:val="00D025CC"/>
    <w:rsid w:val="00D028B3"/>
    <w:rsid w:val="00D0293C"/>
    <w:rsid w:val="00D02DA7"/>
    <w:rsid w:val="00D0304E"/>
    <w:rsid w:val="00D03F68"/>
    <w:rsid w:val="00D04EC9"/>
    <w:rsid w:val="00D053C2"/>
    <w:rsid w:val="00D05E0E"/>
    <w:rsid w:val="00D06218"/>
    <w:rsid w:val="00D06B21"/>
    <w:rsid w:val="00D07CAE"/>
    <w:rsid w:val="00D104AC"/>
    <w:rsid w:val="00D10566"/>
    <w:rsid w:val="00D11B5C"/>
    <w:rsid w:val="00D11C6E"/>
    <w:rsid w:val="00D11D11"/>
    <w:rsid w:val="00D12AD5"/>
    <w:rsid w:val="00D136C3"/>
    <w:rsid w:val="00D138B4"/>
    <w:rsid w:val="00D13D12"/>
    <w:rsid w:val="00D140C2"/>
    <w:rsid w:val="00D149DF"/>
    <w:rsid w:val="00D152AA"/>
    <w:rsid w:val="00D15500"/>
    <w:rsid w:val="00D15C15"/>
    <w:rsid w:val="00D15E24"/>
    <w:rsid w:val="00D1621C"/>
    <w:rsid w:val="00D1662B"/>
    <w:rsid w:val="00D16725"/>
    <w:rsid w:val="00D16D23"/>
    <w:rsid w:val="00D17570"/>
    <w:rsid w:val="00D17643"/>
    <w:rsid w:val="00D17911"/>
    <w:rsid w:val="00D17FB4"/>
    <w:rsid w:val="00D20188"/>
    <w:rsid w:val="00D201E3"/>
    <w:rsid w:val="00D2026B"/>
    <w:rsid w:val="00D2027A"/>
    <w:rsid w:val="00D20B23"/>
    <w:rsid w:val="00D20C94"/>
    <w:rsid w:val="00D218EF"/>
    <w:rsid w:val="00D22433"/>
    <w:rsid w:val="00D22748"/>
    <w:rsid w:val="00D22E55"/>
    <w:rsid w:val="00D232AE"/>
    <w:rsid w:val="00D233E0"/>
    <w:rsid w:val="00D2347F"/>
    <w:rsid w:val="00D23626"/>
    <w:rsid w:val="00D242C0"/>
    <w:rsid w:val="00D242E5"/>
    <w:rsid w:val="00D2490A"/>
    <w:rsid w:val="00D24AAE"/>
    <w:rsid w:val="00D24B4F"/>
    <w:rsid w:val="00D25371"/>
    <w:rsid w:val="00D25F9E"/>
    <w:rsid w:val="00D2615B"/>
    <w:rsid w:val="00D26918"/>
    <w:rsid w:val="00D27015"/>
    <w:rsid w:val="00D27734"/>
    <w:rsid w:val="00D27BED"/>
    <w:rsid w:val="00D3182A"/>
    <w:rsid w:val="00D31EC4"/>
    <w:rsid w:val="00D32136"/>
    <w:rsid w:val="00D3222B"/>
    <w:rsid w:val="00D3227D"/>
    <w:rsid w:val="00D323CB"/>
    <w:rsid w:val="00D330D8"/>
    <w:rsid w:val="00D33197"/>
    <w:rsid w:val="00D33567"/>
    <w:rsid w:val="00D33EEE"/>
    <w:rsid w:val="00D341A7"/>
    <w:rsid w:val="00D34B4B"/>
    <w:rsid w:val="00D34DEC"/>
    <w:rsid w:val="00D35236"/>
    <w:rsid w:val="00D352F1"/>
    <w:rsid w:val="00D35305"/>
    <w:rsid w:val="00D3579C"/>
    <w:rsid w:val="00D37121"/>
    <w:rsid w:val="00D376AA"/>
    <w:rsid w:val="00D40043"/>
    <w:rsid w:val="00D40A47"/>
    <w:rsid w:val="00D40BB1"/>
    <w:rsid w:val="00D40C19"/>
    <w:rsid w:val="00D41051"/>
    <w:rsid w:val="00D410F8"/>
    <w:rsid w:val="00D417AE"/>
    <w:rsid w:val="00D41B6F"/>
    <w:rsid w:val="00D446AE"/>
    <w:rsid w:val="00D455CC"/>
    <w:rsid w:val="00D457ED"/>
    <w:rsid w:val="00D458A6"/>
    <w:rsid w:val="00D464F2"/>
    <w:rsid w:val="00D468B0"/>
    <w:rsid w:val="00D46AEF"/>
    <w:rsid w:val="00D46D32"/>
    <w:rsid w:val="00D46EB7"/>
    <w:rsid w:val="00D46F56"/>
    <w:rsid w:val="00D476EB"/>
    <w:rsid w:val="00D478AA"/>
    <w:rsid w:val="00D47F55"/>
    <w:rsid w:val="00D50A23"/>
    <w:rsid w:val="00D50FBA"/>
    <w:rsid w:val="00D5134A"/>
    <w:rsid w:val="00D51372"/>
    <w:rsid w:val="00D5162F"/>
    <w:rsid w:val="00D51AD6"/>
    <w:rsid w:val="00D51C50"/>
    <w:rsid w:val="00D523B2"/>
    <w:rsid w:val="00D5266D"/>
    <w:rsid w:val="00D52BBA"/>
    <w:rsid w:val="00D52C1C"/>
    <w:rsid w:val="00D53BD6"/>
    <w:rsid w:val="00D543EE"/>
    <w:rsid w:val="00D546D9"/>
    <w:rsid w:val="00D54AEA"/>
    <w:rsid w:val="00D54E4B"/>
    <w:rsid w:val="00D55A96"/>
    <w:rsid w:val="00D56796"/>
    <w:rsid w:val="00D56D40"/>
    <w:rsid w:val="00D56D85"/>
    <w:rsid w:val="00D57A84"/>
    <w:rsid w:val="00D60345"/>
    <w:rsid w:val="00D606FC"/>
    <w:rsid w:val="00D60B6B"/>
    <w:rsid w:val="00D60D72"/>
    <w:rsid w:val="00D60D80"/>
    <w:rsid w:val="00D61918"/>
    <w:rsid w:val="00D62D9A"/>
    <w:rsid w:val="00D62F54"/>
    <w:rsid w:val="00D63019"/>
    <w:rsid w:val="00D631BD"/>
    <w:rsid w:val="00D64502"/>
    <w:rsid w:val="00D64812"/>
    <w:rsid w:val="00D64E31"/>
    <w:rsid w:val="00D65360"/>
    <w:rsid w:val="00D65604"/>
    <w:rsid w:val="00D656B6"/>
    <w:rsid w:val="00D657BB"/>
    <w:rsid w:val="00D65F9D"/>
    <w:rsid w:val="00D666E7"/>
    <w:rsid w:val="00D66C52"/>
    <w:rsid w:val="00D675FB"/>
    <w:rsid w:val="00D678F8"/>
    <w:rsid w:val="00D67C66"/>
    <w:rsid w:val="00D67E37"/>
    <w:rsid w:val="00D705C5"/>
    <w:rsid w:val="00D706C6"/>
    <w:rsid w:val="00D712E7"/>
    <w:rsid w:val="00D721EC"/>
    <w:rsid w:val="00D726CE"/>
    <w:rsid w:val="00D73677"/>
    <w:rsid w:val="00D73943"/>
    <w:rsid w:val="00D74912"/>
    <w:rsid w:val="00D74A6E"/>
    <w:rsid w:val="00D75805"/>
    <w:rsid w:val="00D75B50"/>
    <w:rsid w:val="00D75BE2"/>
    <w:rsid w:val="00D76480"/>
    <w:rsid w:val="00D779F7"/>
    <w:rsid w:val="00D80754"/>
    <w:rsid w:val="00D8099D"/>
    <w:rsid w:val="00D80CD9"/>
    <w:rsid w:val="00D81912"/>
    <w:rsid w:val="00D81F77"/>
    <w:rsid w:val="00D823AA"/>
    <w:rsid w:val="00D82459"/>
    <w:rsid w:val="00D82F54"/>
    <w:rsid w:val="00D83026"/>
    <w:rsid w:val="00D83045"/>
    <w:rsid w:val="00D8314F"/>
    <w:rsid w:val="00D83354"/>
    <w:rsid w:val="00D83DEB"/>
    <w:rsid w:val="00D844D3"/>
    <w:rsid w:val="00D8476A"/>
    <w:rsid w:val="00D857E6"/>
    <w:rsid w:val="00D85885"/>
    <w:rsid w:val="00D8653A"/>
    <w:rsid w:val="00D871CE"/>
    <w:rsid w:val="00D87542"/>
    <w:rsid w:val="00D87D77"/>
    <w:rsid w:val="00D9005D"/>
    <w:rsid w:val="00D90174"/>
    <w:rsid w:val="00D90555"/>
    <w:rsid w:val="00D906F0"/>
    <w:rsid w:val="00D916CC"/>
    <w:rsid w:val="00D91AF5"/>
    <w:rsid w:val="00D920CA"/>
    <w:rsid w:val="00D92BFA"/>
    <w:rsid w:val="00D935D1"/>
    <w:rsid w:val="00D9375F"/>
    <w:rsid w:val="00D937F8"/>
    <w:rsid w:val="00D93883"/>
    <w:rsid w:val="00D93A88"/>
    <w:rsid w:val="00D93AF5"/>
    <w:rsid w:val="00D93B43"/>
    <w:rsid w:val="00D93D76"/>
    <w:rsid w:val="00D93D78"/>
    <w:rsid w:val="00D93F6A"/>
    <w:rsid w:val="00D93FAF"/>
    <w:rsid w:val="00D94046"/>
    <w:rsid w:val="00D940D3"/>
    <w:rsid w:val="00D945EB"/>
    <w:rsid w:val="00D94DB5"/>
    <w:rsid w:val="00D95202"/>
    <w:rsid w:val="00D95458"/>
    <w:rsid w:val="00D95B44"/>
    <w:rsid w:val="00D95C20"/>
    <w:rsid w:val="00D961B5"/>
    <w:rsid w:val="00D961C7"/>
    <w:rsid w:val="00D96BFE"/>
    <w:rsid w:val="00D96F7E"/>
    <w:rsid w:val="00D9778A"/>
    <w:rsid w:val="00D979D0"/>
    <w:rsid w:val="00D97B59"/>
    <w:rsid w:val="00D97C16"/>
    <w:rsid w:val="00D97D49"/>
    <w:rsid w:val="00DA025F"/>
    <w:rsid w:val="00DA0755"/>
    <w:rsid w:val="00DA08A5"/>
    <w:rsid w:val="00DA19B5"/>
    <w:rsid w:val="00DA1C74"/>
    <w:rsid w:val="00DA2219"/>
    <w:rsid w:val="00DA23AB"/>
    <w:rsid w:val="00DA2B4B"/>
    <w:rsid w:val="00DA4512"/>
    <w:rsid w:val="00DA4D03"/>
    <w:rsid w:val="00DA4EAF"/>
    <w:rsid w:val="00DA580B"/>
    <w:rsid w:val="00DA5929"/>
    <w:rsid w:val="00DA5A16"/>
    <w:rsid w:val="00DA6949"/>
    <w:rsid w:val="00DA778B"/>
    <w:rsid w:val="00DA7D0B"/>
    <w:rsid w:val="00DB0639"/>
    <w:rsid w:val="00DB07CA"/>
    <w:rsid w:val="00DB0823"/>
    <w:rsid w:val="00DB0E2A"/>
    <w:rsid w:val="00DB111E"/>
    <w:rsid w:val="00DB19F5"/>
    <w:rsid w:val="00DB2629"/>
    <w:rsid w:val="00DB2718"/>
    <w:rsid w:val="00DB2773"/>
    <w:rsid w:val="00DB27E9"/>
    <w:rsid w:val="00DB2A06"/>
    <w:rsid w:val="00DB383F"/>
    <w:rsid w:val="00DB3A50"/>
    <w:rsid w:val="00DB4F8C"/>
    <w:rsid w:val="00DB532F"/>
    <w:rsid w:val="00DB53D6"/>
    <w:rsid w:val="00DB5CC0"/>
    <w:rsid w:val="00DB5FF0"/>
    <w:rsid w:val="00DB63F1"/>
    <w:rsid w:val="00DB65D7"/>
    <w:rsid w:val="00DB6791"/>
    <w:rsid w:val="00DB6B4A"/>
    <w:rsid w:val="00DB6C38"/>
    <w:rsid w:val="00DB6E76"/>
    <w:rsid w:val="00DB736F"/>
    <w:rsid w:val="00DB7445"/>
    <w:rsid w:val="00DB7D53"/>
    <w:rsid w:val="00DC0464"/>
    <w:rsid w:val="00DC0632"/>
    <w:rsid w:val="00DC0787"/>
    <w:rsid w:val="00DC0F18"/>
    <w:rsid w:val="00DC1303"/>
    <w:rsid w:val="00DC1403"/>
    <w:rsid w:val="00DC1D24"/>
    <w:rsid w:val="00DC20FE"/>
    <w:rsid w:val="00DC389B"/>
    <w:rsid w:val="00DC3904"/>
    <w:rsid w:val="00DC394C"/>
    <w:rsid w:val="00DC42A4"/>
    <w:rsid w:val="00DC42EA"/>
    <w:rsid w:val="00DC4933"/>
    <w:rsid w:val="00DC558C"/>
    <w:rsid w:val="00DC5ED6"/>
    <w:rsid w:val="00DC6513"/>
    <w:rsid w:val="00DC693E"/>
    <w:rsid w:val="00DC6BD8"/>
    <w:rsid w:val="00DC7C31"/>
    <w:rsid w:val="00DD01BE"/>
    <w:rsid w:val="00DD0C3F"/>
    <w:rsid w:val="00DD1F41"/>
    <w:rsid w:val="00DD26CC"/>
    <w:rsid w:val="00DD281F"/>
    <w:rsid w:val="00DD3543"/>
    <w:rsid w:val="00DD3766"/>
    <w:rsid w:val="00DD380F"/>
    <w:rsid w:val="00DD503F"/>
    <w:rsid w:val="00DD514C"/>
    <w:rsid w:val="00DD5BE3"/>
    <w:rsid w:val="00DD60E2"/>
    <w:rsid w:val="00DD650B"/>
    <w:rsid w:val="00DD691A"/>
    <w:rsid w:val="00DD6DE7"/>
    <w:rsid w:val="00DD71D6"/>
    <w:rsid w:val="00DD73A8"/>
    <w:rsid w:val="00DD7687"/>
    <w:rsid w:val="00DD7849"/>
    <w:rsid w:val="00DD7B55"/>
    <w:rsid w:val="00DE0797"/>
    <w:rsid w:val="00DE08C3"/>
    <w:rsid w:val="00DE094A"/>
    <w:rsid w:val="00DE17FA"/>
    <w:rsid w:val="00DE1ACD"/>
    <w:rsid w:val="00DE1DAB"/>
    <w:rsid w:val="00DE20A2"/>
    <w:rsid w:val="00DE261E"/>
    <w:rsid w:val="00DE269B"/>
    <w:rsid w:val="00DE269D"/>
    <w:rsid w:val="00DE3288"/>
    <w:rsid w:val="00DE3C7B"/>
    <w:rsid w:val="00DE43A8"/>
    <w:rsid w:val="00DE52B7"/>
    <w:rsid w:val="00DE59EE"/>
    <w:rsid w:val="00DE6636"/>
    <w:rsid w:val="00DE6C5F"/>
    <w:rsid w:val="00DE70EA"/>
    <w:rsid w:val="00DF0175"/>
    <w:rsid w:val="00DF0B89"/>
    <w:rsid w:val="00DF0CFA"/>
    <w:rsid w:val="00DF131B"/>
    <w:rsid w:val="00DF1325"/>
    <w:rsid w:val="00DF152E"/>
    <w:rsid w:val="00DF164A"/>
    <w:rsid w:val="00DF233D"/>
    <w:rsid w:val="00DF2527"/>
    <w:rsid w:val="00DF2808"/>
    <w:rsid w:val="00DF299E"/>
    <w:rsid w:val="00DF2BC6"/>
    <w:rsid w:val="00DF3044"/>
    <w:rsid w:val="00DF340F"/>
    <w:rsid w:val="00DF353C"/>
    <w:rsid w:val="00DF3DF8"/>
    <w:rsid w:val="00DF4216"/>
    <w:rsid w:val="00DF46B7"/>
    <w:rsid w:val="00DF46C8"/>
    <w:rsid w:val="00DF476B"/>
    <w:rsid w:val="00DF4978"/>
    <w:rsid w:val="00DF55D6"/>
    <w:rsid w:val="00DF58F4"/>
    <w:rsid w:val="00DF5AAF"/>
    <w:rsid w:val="00DF5AB2"/>
    <w:rsid w:val="00DF6074"/>
    <w:rsid w:val="00DF6BF4"/>
    <w:rsid w:val="00DF73B6"/>
    <w:rsid w:val="00DF781C"/>
    <w:rsid w:val="00E00270"/>
    <w:rsid w:val="00E008D8"/>
    <w:rsid w:val="00E00C6B"/>
    <w:rsid w:val="00E00D29"/>
    <w:rsid w:val="00E02A3C"/>
    <w:rsid w:val="00E02F70"/>
    <w:rsid w:val="00E032F6"/>
    <w:rsid w:val="00E03467"/>
    <w:rsid w:val="00E03E5D"/>
    <w:rsid w:val="00E03F4C"/>
    <w:rsid w:val="00E03F4E"/>
    <w:rsid w:val="00E0439C"/>
    <w:rsid w:val="00E049A5"/>
    <w:rsid w:val="00E051FB"/>
    <w:rsid w:val="00E056B0"/>
    <w:rsid w:val="00E05984"/>
    <w:rsid w:val="00E05C27"/>
    <w:rsid w:val="00E063DE"/>
    <w:rsid w:val="00E0671B"/>
    <w:rsid w:val="00E06E82"/>
    <w:rsid w:val="00E07453"/>
    <w:rsid w:val="00E07E7B"/>
    <w:rsid w:val="00E07F6A"/>
    <w:rsid w:val="00E118AB"/>
    <w:rsid w:val="00E11C81"/>
    <w:rsid w:val="00E11E0F"/>
    <w:rsid w:val="00E11E5E"/>
    <w:rsid w:val="00E12077"/>
    <w:rsid w:val="00E121E9"/>
    <w:rsid w:val="00E129D1"/>
    <w:rsid w:val="00E12F2F"/>
    <w:rsid w:val="00E12FBA"/>
    <w:rsid w:val="00E1319F"/>
    <w:rsid w:val="00E13A48"/>
    <w:rsid w:val="00E13FB6"/>
    <w:rsid w:val="00E14ACF"/>
    <w:rsid w:val="00E14BAD"/>
    <w:rsid w:val="00E14D14"/>
    <w:rsid w:val="00E159EC"/>
    <w:rsid w:val="00E15C68"/>
    <w:rsid w:val="00E16E4C"/>
    <w:rsid w:val="00E173EF"/>
    <w:rsid w:val="00E20A78"/>
    <w:rsid w:val="00E20AFC"/>
    <w:rsid w:val="00E20B50"/>
    <w:rsid w:val="00E20B5E"/>
    <w:rsid w:val="00E20F69"/>
    <w:rsid w:val="00E21906"/>
    <w:rsid w:val="00E221AF"/>
    <w:rsid w:val="00E224BF"/>
    <w:rsid w:val="00E22732"/>
    <w:rsid w:val="00E22B39"/>
    <w:rsid w:val="00E2398E"/>
    <w:rsid w:val="00E23A5C"/>
    <w:rsid w:val="00E2406F"/>
    <w:rsid w:val="00E24570"/>
    <w:rsid w:val="00E2459F"/>
    <w:rsid w:val="00E24B98"/>
    <w:rsid w:val="00E2527D"/>
    <w:rsid w:val="00E262A9"/>
    <w:rsid w:val="00E2688C"/>
    <w:rsid w:val="00E2693C"/>
    <w:rsid w:val="00E26F87"/>
    <w:rsid w:val="00E2710F"/>
    <w:rsid w:val="00E3047D"/>
    <w:rsid w:val="00E3066D"/>
    <w:rsid w:val="00E30AD4"/>
    <w:rsid w:val="00E30AF9"/>
    <w:rsid w:val="00E31781"/>
    <w:rsid w:val="00E31FB7"/>
    <w:rsid w:val="00E32363"/>
    <w:rsid w:val="00E32488"/>
    <w:rsid w:val="00E327E4"/>
    <w:rsid w:val="00E328FF"/>
    <w:rsid w:val="00E32E77"/>
    <w:rsid w:val="00E33575"/>
    <w:rsid w:val="00E33B00"/>
    <w:rsid w:val="00E344FA"/>
    <w:rsid w:val="00E34C86"/>
    <w:rsid w:val="00E34DB8"/>
    <w:rsid w:val="00E35369"/>
    <w:rsid w:val="00E35682"/>
    <w:rsid w:val="00E35DF9"/>
    <w:rsid w:val="00E361F1"/>
    <w:rsid w:val="00E3649B"/>
    <w:rsid w:val="00E3697A"/>
    <w:rsid w:val="00E3745E"/>
    <w:rsid w:val="00E37A35"/>
    <w:rsid w:val="00E37B12"/>
    <w:rsid w:val="00E37BEF"/>
    <w:rsid w:val="00E37D65"/>
    <w:rsid w:val="00E41042"/>
    <w:rsid w:val="00E41074"/>
    <w:rsid w:val="00E4127C"/>
    <w:rsid w:val="00E41B14"/>
    <w:rsid w:val="00E41DD4"/>
    <w:rsid w:val="00E4219A"/>
    <w:rsid w:val="00E424A0"/>
    <w:rsid w:val="00E4255F"/>
    <w:rsid w:val="00E425C4"/>
    <w:rsid w:val="00E42698"/>
    <w:rsid w:val="00E4274A"/>
    <w:rsid w:val="00E433FB"/>
    <w:rsid w:val="00E43B12"/>
    <w:rsid w:val="00E43E66"/>
    <w:rsid w:val="00E443AB"/>
    <w:rsid w:val="00E444BC"/>
    <w:rsid w:val="00E4510E"/>
    <w:rsid w:val="00E45294"/>
    <w:rsid w:val="00E45D97"/>
    <w:rsid w:val="00E46906"/>
    <w:rsid w:val="00E46EA3"/>
    <w:rsid w:val="00E47D3D"/>
    <w:rsid w:val="00E50223"/>
    <w:rsid w:val="00E5059B"/>
    <w:rsid w:val="00E509F8"/>
    <w:rsid w:val="00E50F61"/>
    <w:rsid w:val="00E51502"/>
    <w:rsid w:val="00E51C1B"/>
    <w:rsid w:val="00E5292B"/>
    <w:rsid w:val="00E52FD1"/>
    <w:rsid w:val="00E52FDB"/>
    <w:rsid w:val="00E5332C"/>
    <w:rsid w:val="00E53353"/>
    <w:rsid w:val="00E535A6"/>
    <w:rsid w:val="00E53C45"/>
    <w:rsid w:val="00E53CE0"/>
    <w:rsid w:val="00E53DA7"/>
    <w:rsid w:val="00E540FC"/>
    <w:rsid w:val="00E54C11"/>
    <w:rsid w:val="00E55D57"/>
    <w:rsid w:val="00E55DB0"/>
    <w:rsid w:val="00E56E3F"/>
    <w:rsid w:val="00E5703B"/>
    <w:rsid w:val="00E577EC"/>
    <w:rsid w:val="00E57C4D"/>
    <w:rsid w:val="00E602BD"/>
    <w:rsid w:val="00E60783"/>
    <w:rsid w:val="00E61000"/>
    <w:rsid w:val="00E61671"/>
    <w:rsid w:val="00E61A8C"/>
    <w:rsid w:val="00E61A8D"/>
    <w:rsid w:val="00E62337"/>
    <w:rsid w:val="00E62809"/>
    <w:rsid w:val="00E63321"/>
    <w:rsid w:val="00E634AD"/>
    <w:rsid w:val="00E635BD"/>
    <w:rsid w:val="00E63675"/>
    <w:rsid w:val="00E638A7"/>
    <w:rsid w:val="00E63FAC"/>
    <w:rsid w:val="00E64141"/>
    <w:rsid w:val="00E645E9"/>
    <w:rsid w:val="00E646D8"/>
    <w:rsid w:val="00E64716"/>
    <w:rsid w:val="00E64C9D"/>
    <w:rsid w:val="00E65367"/>
    <w:rsid w:val="00E6537A"/>
    <w:rsid w:val="00E65567"/>
    <w:rsid w:val="00E65B31"/>
    <w:rsid w:val="00E65B3E"/>
    <w:rsid w:val="00E65F2E"/>
    <w:rsid w:val="00E65FF3"/>
    <w:rsid w:val="00E660EC"/>
    <w:rsid w:val="00E6618A"/>
    <w:rsid w:val="00E66819"/>
    <w:rsid w:val="00E67038"/>
    <w:rsid w:val="00E67470"/>
    <w:rsid w:val="00E67A24"/>
    <w:rsid w:val="00E67C62"/>
    <w:rsid w:val="00E67D62"/>
    <w:rsid w:val="00E7025B"/>
    <w:rsid w:val="00E70552"/>
    <w:rsid w:val="00E706F8"/>
    <w:rsid w:val="00E712A0"/>
    <w:rsid w:val="00E712F8"/>
    <w:rsid w:val="00E71336"/>
    <w:rsid w:val="00E71416"/>
    <w:rsid w:val="00E7174D"/>
    <w:rsid w:val="00E727E2"/>
    <w:rsid w:val="00E72B05"/>
    <w:rsid w:val="00E72E0E"/>
    <w:rsid w:val="00E72FE7"/>
    <w:rsid w:val="00E73D0E"/>
    <w:rsid w:val="00E74A39"/>
    <w:rsid w:val="00E75609"/>
    <w:rsid w:val="00E75790"/>
    <w:rsid w:val="00E75BCD"/>
    <w:rsid w:val="00E76031"/>
    <w:rsid w:val="00E76714"/>
    <w:rsid w:val="00E80437"/>
    <w:rsid w:val="00E80EE6"/>
    <w:rsid w:val="00E81031"/>
    <w:rsid w:val="00E81525"/>
    <w:rsid w:val="00E8184C"/>
    <w:rsid w:val="00E81B55"/>
    <w:rsid w:val="00E82CEF"/>
    <w:rsid w:val="00E83A79"/>
    <w:rsid w:val="00E83B1E"/>
    <w:rsid w:val="00E83D05"/>
    <w:rsid w:val="00E83DC4"/>
    <w:rsid w:val="00E83DCE"/>
    <w:rsid w:val="00E842A8"/>
    <w:rsid w:val="00E84360"/>
    <w:rsid w:val="00E847B3"/>
    <w:rsid w:val="00E84E89"/>
    <w:rsid w:val="00E858B2"/>
    <w:rsid w:val="00E86804"/>
    <w:rsid w:val="00E86871"/>
    <w:rsid w:val="00E8691F"/>
    <w:rsid w:val="00E870BF"/>
    <w:rsid w:val="00E871BC"/>
    <w:rsid w:val="00E87A23"/>
    <w:rsid w:val="00E90229"/>
    <w:rsid w:val="00E90ABA"/>
    <w:rsid w:val="00E91899"/>
    <w:rsid w:val="00E91A6F"/>
    <w:rsid w:val="00E92268"/>
    <w:rsid w:val="00E9246B"/>
    <w:rsid w:val="00E92604"/>
    <w:rsid w:val="00E927A2"/>
    <w:rsid w:val="00E92819"/>
    <w:rsid w:val="00E936C2"/>
    <w:rsid w:val="00E93B8A"/>
    <w:rsid w:val="00E942AE"/>
    <w:rsid w:val="00E94469"/>
    <w:rsid w:val="00E949C6"/>
    <w:rsid w:val="00E96274"/>
    <w:rsid w:val="00E96D36"/>
    <w:rsid w:val="00E974B7"/>
    <w:rsid w:val="00E97DD3"/>
    <w:rsid w:val="00EA00A6"/>
    <w:rsid w:val="00EA1134"/>
    <w:rsid w:val="00EA1192"/>
    <w:rsid w:val="00EA1489"/>
    <w:rsid w:val="00EA148E"/>
    <w:rsid w:val="00EA151C"/>
    <w:rsid w:val="00EA1A6D"/>
    <w:rsid w:val="00EA21DA"/>
    <w:rsid w:val="00EA28D1"/>
    <w:rsid w:val="00EA335A"/>
    <w:rsid w:val="00EA3D63"/>
    <w:rsid w:val="00EA3E05"/>
    <w:rsid w:val="00EA3EB1"/>
    <w:rsid w:val="00EA4DBA"/>
    <w:rsid w:val="00EA4F3D"/>
    <w:rsid w:val="00EA55C1"/>
    <w:rsid w:val="00EA5AC0"/>
    <w:rsid w:val="00EA61F0"/>
    <w:rsid w:val="00EA6854"/>
    <w:rsid w:val="00EA7391"/>
    <w:rsid w:val="00EA7C1F"/>
    <w:rsid w:val="00EB0265"/>
    <w:rsid w:val="00EB09C3"/>
    <w:rsid w:val="00EB0AA6"/>
    <w:rsid w:val="00EB0DC5"/>
    <w:rsid w:val="00EB1273"/>
    <w:rsid w:val="00EB1C22"/>
    <w:rsid w:val="00EB1ED2"/>
    <w:rsid w:val="00EB22C0"/>
    <w:rsid w:val="00EB37A8"/>
    <w:rsid w:val="00EB396F"/>
    <w:rsid w:val="00EB400B"/>
    <w:rsid w:val="00EB4B77"/>
    <w:rsid w:val="00EB4F3B"/>
    <w:rsid w:val="00EB50F0"/>
    <w:rsid w:val="00EB5C40"/>
    <w:rsid w:val="00EB5DB5"/>
    <w:rsid w:val="00EB600D"/>
    <w:rsid w:val="00EB6A2C"/>
    <w:rsid w:val="00EB6B83"/>
    <w:rsid w:val="00EB6DA9"/>
    <w:rsid w:val="00EB7804"/>
    <w:rsid w:val="00EC0343"/>
    <w:rsid w:val="00EC08AD"/>
    <w:rsid w:val="00EC13CB"/>
    <w:rsid w:val="00EC1828"/>
    <w:rsid w:val="00EC1B2E"/>
    <w:rsid w:val="00EC2514"/>
    <w:rsid w:val="00EC287C"/>
    <w:rsid w:val="00EC2AB4"/>
    <w:rsid w:val="00EC2B87"/>
    <w:rsid w:val="00EC2DA4"/>
    <w:rsid w:val="00EC3089"/>
    <w:rsid w:val="00EC4214"/>
    <w:rsid w:val="00EC4338"/>
    <w:rsid w:val="00EC4966"/>
    <w:rsid w:val="00EC4ABA"/>
    <w:rsid w:val="00EC4FF0"/>
    <w:rsid w:val="00EC550D"/>
    <w:rsid w:val="00EC6229"/>
    <w:rsid w:val="00EC6B44"/>
    <w:rsid w:val="00EC73C2"/>
    <w:rsid w:val="00EC749B"/>
    <w:rsid w:val="00EC760C"/>
    <w:rsid w:val="00EC7CED"/>
    <w:rsid w:val="00ED0541"/>
    <w:rsid w:val="00ED0A14"/>
    <w:rsid w:val="00ED0D39"/>
    <w:rsid w:val="00ED0EA7"/>
    <w:rsid w:val="00ED172E"/>
    <w:rsid w:val="00ED19D4"/>
    <w:rsid w:val="00ED1F4F"/>
    <w:rsid w:val="00ED353C"/>
    <w:rsid w:val="00ED3C66"/>
    <w:rsid w:val="00ED3E4C"/>
    <w:rsid w:val="00ED41B5"/>
    <w:rsid w:val="00ED41CA"/>
    <w:rsid w:val="00ED41DC"/>
    <w:rsid w:val="00ED42A0"/>
    <w:rsid w:val="00ED4EA3"/>
    <w:rsid w:val="00ED5433"/>
    <w:rsid w:val="00ED6D2B"/>
    <w:rsid w:val="00ED78DB"/>
    <w:rsid w:val="00ED7DE0"/>
    <w:rsid w:val="00EE0BC0"/>
    <w:rsid w:val="00EE11C7"/>
    <w:rsid w:val="00EE123E"/>
    <w:rsid w:val="00EE298D"/>
    <w:rsid w:val="00EE2B5D"/>
    <w:rsid w:val="00EE2BB3"/>
    <w:rsid w:val="00EE37A3"/>
    <w:rsid w:val="00EE3A7F"/>
    <w:rsid w:val="00EE40BF"/>
    <w:rsid w:val="00EE47BA"/>
    <w:rsid w:val="00EE4E61"/>
    <w:rsid w:val="00EE4F91"/>
    <w:rsid w:val="00EE6737"/>
    <w:rsid w:val="00EE6BCA"/>
    <w:rsid w:val="00EE6D5C"/>
    <w:rsid w:val="00EE7093"/>
    <w:rsid w:val="00EE70C3"/>
    <w:rsid w:val="00EE7375"/>
    <w:rsid w:val="00EE7465"/>
    <w:rsid w:val="00EE75B5"/>
    <w:rsid w:val="00EE76ED"/>
    <w:rsid w:val="00EE7D83"/>
    <w:rsid w:val="00EE7E8F"/>
    <w:rsid w:val="00EF0DF3"/>
    <w:rsid w:val="00EF21B7"/>
    <w:rsid w:val="00EF2215"/>
    <w:rsid w:val="00EF24CF"/>
    <w:rsid w:val="00EF302F"/>
    <w:rsid w:val="00EF3061"/>
    <w:rsid w:val="00EF3179"/>
    <w:rsid w:val="00EF3B49"/>
    <w:rsid w:val="00EF45CF"/>
    <w:rsid w:val="00EF4B52"/>
    <w:rsid w:val="00EF5517"/>
    <w:rsid w:val="00EF5CDA"/>
    <w:rsid w:val="00EF613D"/>
    <w:rsid w:val="00EF6CDF"/>
    <w:rsid w:val="00EF6DC4"/>
    <w:rsid w:val="00EF70BA"/>
    <w:rsid w:val="00EF7251"/>
    <w:rsid w:val="00F0000A"/>
    <w:rsid w:val="00F002A4"/>
    <w:rsid w:val="00F0031B"/>
    <w:rsid w:val="00F005E5"/>
    <w:rsid w:val="00F0071E"/>
    <w:rsid w:val="00F00B5D"/>
    <w:rsid w:val="00F00CF5"/>
    <w:rsid w:val="00F01071"/>
    <w:rsid w:val="00F013CB"/>
    <w:rsid w:val="00F018BF"/>
    <w:rsid w:val="00F01B1E"/>
    <w:rsid w:val="00F01FA5"/>
    <w:rsid w:val="00F02214"/>
    <w:rsid w:val="00F02230"/>
    <w:rsid w:val="00F0267C"/>
    <w:rsid w:val="00F03360"/>
    <w:rsid w:val="00F03379"/>
    <w:rsid w:val="00F03425"/>
    <w:rsid w:val="00F0345E"/>
    <w:rsid w:val="00F03460"/>
    <w:rsid w:val="00F03FC4"/>
    <w:rsid w:val="00F04065"/>
    <w:rsid w:val="00F04BF2"/>
    <w:rsid w:val="00F05790"/>
    <w:rsid w:val="00F05CF9"/>
    <w:rsid w:val="00F06960"/>
    <w:rsid w:val="00F06967"/>
    <w:rsid w:val="00F0755E"/>
    <w:rsid w:val="00F07E52"/>
    <w:rsid w:val="00F106E4"/>
    <w:rsid w:val="00F10ECA"/>
    <w:rsid w:val="00F11011"/>
    <w:rsid w:val="00F115D6"/>
    <w:rsid w:val="00F1171C"/>
    <w:rsid w:val="00F119FB"/>
    <w:rsid w:val="00F11F70"/>
    <w:rsid w:val="00F12333"/>
    <w:rsid w:val="00F1255D"/>
    <w:rsid w:val="00F12F5F"/>
    <w:rsid w:val="00F145D4"/>
    <w:rsid w:val="00F14AEC"/>
    <w:rsid w:val="00F14ED0"/>
    <w:rsid w:val="00F15F5B"/>
    <w:rsid w:val="00F15FE6"/>
    <w:rsid w:val="00F16210"/>
    <w:rsid w:val="00F164D5"/>
    <w:rsid w:val="00F16C06"/>
    <w:rsid w:val="00F1792F"/>
    <w:rsid w:val="00F17A56"/>
    <w:rsid w:val="00F20474"/>
    <w:rsid w:val="00F209A2"/>
    <w:rsid w:val="00F21AB6"/>
    <w:rsid w:val="00F223D4"/>
    <w:rsid w:val="00F223D5"/>
    <w:rsid w:val="00F2283A"/>
    <w:rsid w:val="00F22A84"/>
    <w:rsid w:val="00F22A8F"/>
    <w:rsid w:val="00F22ED6"/>
    <w:rsid w:val="00F23EB4"/>
    <w:rsid w:val="00F24BD2"/>
    <w:rsid w:val="00F25094"/>
    <w:rsid w:val="00F2529A"/>
    <w:rsid w:val="00F25333"/>
    <w:rsid w:val="00F2565F"/>
    <w:rsid w:val="00F25A72"/>
    <w:rsid w:val="00F25BCF"/>
    <w:rsid w:val="00F25F5E"/>
    <w:rsid w:val="00F260CB"/>
    <w:rsid w:val="00F26C19"/>
    <w:rsid w:val="00F2720C"/>
    <w:rsid w:val="00F27A70"/>
    <w:rsid w:val="00F27B0A"/>
    <w:rsid w:val="00F3192A"/>
    <w:rsid w:val="00F31E2D"/>
    <w:rsid w:val="00F322C3"/>
    <w:rsid w:val="00F32553"/>
    <w:rsid w:val="00F32690"/>
    <w:rsid w:val="00F32691"/>
    <w:rsid w:val="00F327CE"/>
    <w:rsid w:val="00F332ED"/>
    <w:rsid w:val="00F33552"/>
    <w:rsid w:val="00F335AB"/>
    <w:rsid w:val="00F33A18"/>
    <w:rsid w:val="00F33C8D"/>
    <w:rsid w:val="00F34371"/>
    <w:rsid w:val="00F348D1"/>
    <w:rsid w:val="00F35955"/>
    <w:rsid w:val="00F35EA4"/>
    <w:rsid w:val="00F3669D"/>
    <w:rsid w:val="00F36C33"/>
    <w:rsid w:val="00F37462"/>
    <w:rsid w:val="00F37660"/>
    <w:rsid w:val="00F378C1"/>
    <w:rsid w:val="00F37B03"/>
    <w:rsid w:val="00F4045E"/>
    <w:rsid w:val="00F40730"/>
    <w:rsid w:val="00F40CC5"/>
    <w:rsid w:val="00F40E48"/>
    <w:rsid w:val="00F410B5"/>
    <w:rsid w:val="00F41836"/>
    <w:rsid w:val="00F41AF4"/>
    <w:rsid w:val="00F41DE0"/>
    <w:rsid w:val="00F425B9"/>
    <w:rsid w:val="00F42FBC"/>
    <w:rsid w:val="00F4385E"/>
    <w:rsid w:val="00F43B0D"/>
    <w:rsid w:val="00F43BFB"/>
    <w:rsid w:val="00F43F5D"/>
    <w:rsid w:val="00F4401D"/>
    <w:rsid w:val="00F44086"/>
    <w:rsid w:val="00F44398"/>
    <w:rsid w:val="00F448C3"/>
    <w:rsid w:val="00F44C53"/>
    <w:rsid w:val="00F45085"/>
    <w:rsid w:val="00F450F4"/>
    <w:rsid w:val="00F45564"/>
    <w:rsid w:val="00F4632F"/>
    <w:rsid w:val="00F463F1"/>
    <w:rsid w:val="00F46892"/>
    <w:rsid w:val="00F469B2"/>
    <w:rsid w:val="00F47200"/>
    <w:rsid w:val="00F47953"/>
    <w:rsid w:val="00F479E5"/>
    <w:rsid w:val="00F501CD"/>
    <w:rsid w:val="00F50572"/>
    <w:rsid w:val="00F505BC"/>
    <w:rsid w:val="00F50E5A"/>
    <w:rsid w:val="00F50EC6"/>
    <w:rsid w:val="00F511FB"/>
    <w:rsid w:val="00F51333"/>
    <w:rsid w:val="00F51AA7"/>
    <w:rsid w:val="00F52456"/>
    <w:rsid w:val="00F5281E"/>
    <w:rsid w:val="00F531AA"/>
    <w:rsid w:val="00F536B7"/>
    <w:rsid w:val="00F537AD"/>
    <w:rsid w:val="00F53A7D"/>
    <w:rsid w:val="00F53BDD"/>
    <w:rsid w:val="00F53FEE"/>
    <w:rsid w:val="00F5467A"/>
    <w:rsid w:val="00F549B3"/>
    <w:rsid w:val="00F54B1F"/>
    <w:rsid w:val="00F54DAB"/>
    <w:rsid w:val="00F54DC4"/>
    <w:rsid w:val="00F55102"/>
    <w:rsid w:val="00F553B5"/>
    <w:rsid w:val="00F55CC6"/>
    <w:rsid w:val="00F55CDC"/>
    <w:rsid w:val="00F56161"/>
    <w:rsid w:val="00F561CC"/>
    <w:rsid w:val="00F563CD"/>
    <w:rsid w:val="00F56862"/>
    <w:rsid w:val="00F56FE5"/>
    <w:rsid w:val="00F575AF"/>
    <w:rsid w:val="00F57925"/>
    <w:rsid w:val="00F57A83"/>
    <w:rsid w:val="00F57C29"/>
    <w:rsid w:val="00F604F4"/>
    <w:rsid w:val="00F60AFA"/>
    <w:rsid w:val="00F61098"/>
    <w:rsid w:val="00F619AB"/>
    <w:rsid w:val="00F62542"/>
    <w:rsid w:val="00F62588"/>
    <w:rsid w:val="00F627EB"/>
    <w:rsid w:val="00F629BF"/>
    <w:rsid w:val="00F633D8"/>
    <w:rsid w:val="00F6431B"/>
    <w:rsid w:val="00F64B3B"/>
    <w:rsid w:val="00F64BF7"/>
    <w:rsid w:val="00F64C76"/>
    <w:rsid w:val="00F64CCC"/>
    <w:rsid w:val="00F64ED6"/>
    <w:rsid w:val="00F650D5"/>
    <w:rsid w:val="00F65747"/>
    <w:rsid w:val="00F659C1"/>
    <w:rsid w:val="00F65AD5"/>
    <w:rsid w:val="00F65F15"/>
    <w:rsid w:val="00F66072"/>
    <w:rsid w:val="00F660F7"/>
    <w:rsid w:val="00F6638A"/>
    <w:rsid w:val="00F6652C"/>
    <w:rsid w:val="00F66673"/>
    <w:rsid w:val="00F6692A"/>
    <w:rsid w:val="00F66E97"/>
    <w:rsid w:val="00F67360"/>
    <w:rsid w:val="00F6754F"/>
    <w:rsid w:val="00F6755D"/>
    <w:rsid w:val="00F675B0"/>
    <w:rsid w:val="00F67AB4"/>
    <w:rsid w:val="00F70564"/>
    <w:rsid w:val="00F7075C"/>
    <w:rsid w:val="00F7076A"/>
    <w:rsid w:val="00F707C9"/>
    <w:rsid w:val="00F70DE9"/>
    <w:rsid w:val="00F70E58"/>
    <w:rsid w:val="00F710FE"/>
    <w:rsid w:val="00F71BEA"/>
    <w:rsid w:val="00F721D4"/>
    <w:rsid w:val="00F7318F"/>
    <w:rsid w:val="00F73DA6"/>
    <w:rsid w:val="00F73E69"/>
    <w:rsid w:val="00F74498"/>
    <w:rsid w:val="00F744F4"/>
    <w:rsid w:val="00F7451E"/>
    <w:rsid w:val="00F74887"/>
    <w:rsid w:val="00F74A01"/>
    <w:rsid w:val="00F74AA8"/>
    <w:rsid w:val="00F74B25"/>
    <w:rsid w:val="00F74F89"/>
    <w:rsid w:val="00F75A10"/>
    <w:rsid w:val="00F75D9F"/>
    <w:rsid w:val="00F76063"/>
    <w:rsid w:val="00F76490"/>
    <w:rsid w:val="00F76D11"/>
    <w:rsid w:val="00F77276"/>
    <w:rsid w:val="00F7759D"/>
    <w:rsid w:val="00F77A8D"/>
    <w:rsid w:val="00F77D27"/>
    <w:rsid w:val="00F77E98"/>
    <w:rsid w:val="00F80013"/>
    <w:rsid w:val="00F8095A"/>
    <w:rsid w:val="00F80E7E"/>
    <w:rsid w:val="00F81308"/>
    <w:rsid w:val="00F8143C"/>
    <w:rsid w:val="00F81441"/>
    <w:rsid w:val="00F81476"/>
    <w:rsid w:val="00F81681"/>
    <w:rsid w:val="00F81E11"/>
    <w:rsid w:val="00F8260F"/>
    <w:rsid w:val="00F8279D"/>
    <w:rsid w:val="00F83228"/>
    <w:rsid w:val="00F834A7"/>
    <w:rsid w:val="00F847A0"/>
    <w:rsid w:val="00F85ABF"/>
    <w:rsid w:val="00F85D19"/>
    <w:rsid w:val="00F860A3"/>
    <w:rsid w:val="00F864FC"/>
    <w:rsid w:val="00F86808"/>
    <w:rsid w:val="00F8692D"/>
    <w:rsid w:val="00F87176"/>
    <w:rsid w:val="00F8760E"/>
    <w:rsid w:val="00F8773E"/>
    <w:rsid w:val="00F9082B"/>
    <w:rsid w:val="00F9142D"/>
    <w:rsid w:val="00F915A4"/>
    <w:rsid w:val="00F91EF0"/>
    <w:rsid w:val="00F92104"/>
    <w:rsid w:val="00F9227B"/>
    <w:rsid w:val="00F93676"/>
    <w:rsid w:val="00F939EC"/>
    <w:rsid w:val="00F93A3D"/>
    <w:rsid w:val="00F93C72"/>
    <w:rsid w:val="00F93C99"/>
    <w:rsid w:val="00F93DCD"/>
    <w:rsid w:val="00F94009"/>
    <w:rsid w:val="00F9412A"/>
    <w:rsid w:val="00F94C16"/>
    <w:rsid w:val="00F94D3F"/>
    <w:rsid w:val="00F94EB4"/>
    <w:rsid w:val="00F9591A"/>
    <w:rsid w:val="00F9689E"/>
    <w:rsid w:val="00F96F26"/>
    <w:rsid w:val="00F970A3"/>
    <w:rsid w:val="00F97356"/>
    <w:rsid w:val="00F97F91"/>
    <w:rsid w:val="00FA03A6"/>
    <w:rsid w:val="00FA03D6"/>
    <w:rsid w:val="00FA066D"/>
    <w:rsid w:val="00FA0956"/>
    <w:rsid w:val="00FA0FB3"/>
    <w:rsid w:val="00FA1126"/>
    <w:rsid w:val="00FA1816"/>
    <w:rsid w:val="00FA1B03"/>
    <w:rsid w:val="00FA1B80"/>
    <w:rsid w:val="00FA214C"/>
    <w:rsid w:val="00FA24F3"/>
    <w:rsid w:val="00FA263E"/>
    <w:rsid w:val="00FA26CB"/>
    <w:rsid w:val="00FA2798"/>
    <w:rsid w:val="00FA3051"/>
    <w:rsid w:val="00FA3679"/>
    <w:rsid w:val="00FA3A4D"/>
    <w:rsid w:val="00FA3B40"/>
    <w:rsid w:val="00FA41F1"/>
    <w:rsid w:val="00FA42BC"/>
    <w:rsid w:val="00FA45C2"/>
    <w:rsid w:val="00FA4635"/>
    <w:rsid w:val="00FA4E06"/>
    <w:rsid w:val="00FA509C"/>
    <w:rsid w:val="00FA5180"/>
    <w:rsid w:val="00FA55B2"/>
    <w:rsid w:val="00FA5C21"/>
    <w:rsid w:val="00FA5FCE"/>
    <w:rsid w:val="00FA6B30"/>
    <w:rsid w:val="00FA6C13"/>
    <w:rsid w:val="00FA761A"/>
    <w:rsid w:val="00FA786A"/>
    <w:rsid w:val="00FA7DA0"/>
    <w:rsid w:val="00FB0515"/>
    <w:rsid w:val="00FB0EE9"/>
    <w:rsid w:val="00FB0EFB"/>
    <w:rsid w:val="00FB0F8A"/>
    <w:rsid w:val="00FB1300"/>
    <w:rsid w:val="00FB17A6"/>
    <w:rsid w:val="00FB186A"/>
    <w:rsid w:val="00FB19BF"/>
    <w:rsid w:val="00FB20F3"/>
    <w:rsid w:val="00FB22DC"/>
    <w:rsid w:val="00FB238A"/>
    <w:rsid w:val="00FB252E"/>
    <w:rsid w:val="00FB2585"/>
    <w:rsid w:val="00FB2EB5"/>
    <w:rsid w:val="00FB2ED0"/>
    <w:rsid w:val="00FB30F6"/>
    <w:rsid w:val="00FB3425"/>
    <w:rsid w:val="00FB34E4"/>
    <w:rsid w:val="00FB38ED"/>
    <w:rsid w:val="00FB3DE3"/>
    <w:rsid w:val="00FB3F26"/>
    <w:rsid w:val="00FB4C8E"/>
    <w:rsid w:val="00FB4D15"/>
    <w:rsid w:val="00FB4D9E"/>
    <w:rsid w:val="00FB4E84"/>
    <w:rsid w:val="00FB50AA"/>
    <w:rsid w:val="00FB5EA8"/>
    <w:rsid w:val="00FB6302"/>
    <w:rsid w:val="00FB63D1"/>
    <w:rsid w:val="00FB68DD"/>
    <w:rsid w:val="00FB6BC5"/>
    <w:rsid w:val="00FB7718"/>
    <w:rsid w:val="00FB7957"/>
    <w:rsid w:val="00FB7F99"/>
    <w:rsid w:val="00FC02F4"/>
    <w:rsid w:val="00FC2683"/>
    <w:rsid w:val="00FC2810"/>
    <w:rsid w:val="00FC299F"/>
    <w:rsid w:val="00FC3213"/>
    <w:rsid w:val="00FC3C6C"/>
    <w:rsid w:val="00FC4453"/>
    <w:rsid w:val="00FC48C6"/>
    <w:rsid w:val="00FC4A91"/>
    <w:rsid w:val="00FC4E0B"/>
    <w:rsid w:val="00FC6141"/>
    <w:rsid w:val="00FC623A"/>
    <w:rsid w:val="00FC646D"/>
    <w:rsid w:val="00FC64C9"/>
    <w:rsid w:val="00FC65E5"/>
    <w:rsid w:val="00FC6C78"/>
    <w:rsid w:val="00FC6CEF"/>
    <w:rsid w:val="00FC6E1D"/>
    <w:rsid w:val="00FC740E"/>
    <w:rsid w:val="00FD01D3"/>
    <w:rsid w:val="00FD138F"/>
    <w:rsid w:val="00FD1AA4"/>
    <w:rsid w:val="00FD1BD4"/>
    <w:rsid w:val="00FD1EA8"/>
    <w:rsid w:val="00FD2DBC"/>
    <w:rsid w:val="00FD2FA7"/>
    <w:rsid w:val="00FD3133"/>
    <w:rsid w:val="00FD32B7"/>
    <w:rsid w:val="00FD3867"/>
    <w:rsid w:val="00FD3B87"/>
    <w:rsid w:val="00FD3BE1"/>
    <w:rsid w:val="00FD4B79"/>
    <w:rsid w:val="00FD5465"/>
    <w:rsid w:val="00FD58EF"/>
    <w:rsid w:val="00FD5BC9"/>
    <w:rsid w:val="00FD6110"/>
    <w:rsid w:val="00FD620D"/>
    <w:rsid w:val="00FD64B8"/>
    <w:rsid w:val="00FD667B"/>
    <w:rsid w:val="00FD7165"/>
    <w:rsid w:val="00FE00CF"/>
    <w:rsid w:val="00FE013B"/>
    <w:rsid w:val="00FE0207"/>
    <w:rsid w:val="00FE1303"/>
    <w:rsid w:val="00FE1ABB"/>
    <w:rsid w:val="00FE1E6E"/>
    <w:rsid w:val="00FE2173"/>
    <w:rsid w:val="00FE291B"/>
    <w:rsid w:val="00FE30A6"/>
    <w:rsid w:val="00FE330C"/>
    <w:rsid w:val="00FE3B4E"/>
    <w:rsid w:val="00FE40C1"/>
    <w:rsid w:val="00FE410C"/>
    <w:rsid w:val="00FE546C"/>
    <w:rsid w:val="00FE54AE"/>
    <w:rsid w:val="00FE5671"/>
    <w:rsid w:val="00FE59BB"/>
    <w:rsid w:val="00FE5D99"/>
    <w:rsid w:val="00FE5E25"/>
    <w:rsid w:val="00FE6AE8"/>
    <w:rsid w:val="00FE70D5"/>
    <w:rsid w:val="00FE7127"/>
    <w:rsid w:val="00FF041F"/>
    <w:rsid w:val="00FF0C67"/>
    <w:rsid w:val="00FF0E6A"/>
    <w:rsid w:val="00FF0F69"/>
    <w:rsid w:val="00FF1623"/>
    <w:rsid w:val="00FF16F4"/>
    <w:rsid w:val="00FF21EF"/>
    <w:rsid w:val="00FF2A34"/>
    <w:rsid w:val="00FF3437"/>
    <w:rsid w:val="00FF364B"/>
    <w:rsid w:val="00FF44A2"/>
    <w:rsid w:val="00FF4A4D"/>
    <w:rsid w:val="00FF5813"/>
    <w:rsid w:val="00FF5E54"/>
    <w:rsid w:val="00FF5E85"/>
    <w:rsid w:val="00FF6B4E"/>
    <w:rsid w:val="00FF7C76"/>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A2A98B"/>
  <w15:docId w15:val="{422F9390-8713-499C-A610-9FFE0F697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David"/>
        <w:szCs w:val="24"/>
        <w:lang w:val="en-US" w:eastAsia="en-US" w:bidi="he-IL"/>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qFormat/>
    <w:rsid w:val="00A368B5"/>
    <w:pPr>
      <w:bidi/>
      <w:spacing w:after="0" w:line="312" w:lineRule="auto"/>
    </w:pPr>
  </w:style>
  <w:style w:type="paragraph" w:styleId="1">
    <w:name w:val="heading 1"/>
    <w:basedOn w:val="a4"/>
    <w:next w:val="a4"/>
    <w:link w:val="11"/>
    <w:uiPriority w:val="1"/>
    <w:qFormat/>
    <w:rsid w:val="00F41DE0"/>
    <w:pPr>
      <w:keepNext/>
      <w:keepLines/>
      <w:jc w:val="center"/>
      <w:outlineLvl w:val="0"/>
    </w:pPr>
    <w:rPr>
      <w:rFonts w:eastAsiaTheme="majorEastAsia"/>
      <w:bCs/>
      <w:szCs w:val="36"/>
      <w:u w:val="single"/>
    </w:rPr>
  </w:style>
  <w:style w:type="paragraph" w:styleId="2">
    <w:name w:val="heading 2"/>
    <w:basedOn w:val="a4"/>
    <w:next w:val="a4"/>
    <w:link w:val="22"/>
    <w:uiPriority w:val="1"/>
    <w:qFormat/>
    <w:rsid w:val="00F41DE0"/>
    <w:pPr>
      <w:keepNext/>
      <w:keepLines/>
      <w:spacing w:before="480"/>
      <w:jc w:val="center"/>
      <w:outlineLvl w:val="1"/>
    </w:pPr>
    <w:rPr>
      <w:rFonts w:eastAsiaTheme="majorEastAsia"/>
      <w:bCs/>
      <w:szCs w:val="32"/>
    </w:rPr>
  </w:style>
  <w:style w:type="paragraph" w:styleId="3">
    <w:name w:val="heading 3"/>
    <w:basedOn w:val="a4"/>
    <w:next w:val="a4"/>
    <w:link w:val="32"/>
    <w:uiPriority w:val="1"/>
    <w:qFormat/>
    <w:rsid w:val="00F41DE0"/>
    <w:pPr>
      <w:keepNext/>
      <w:keepLines/>
      <w:spacing w:before="240"/>
      <w:outlineLvl w:val="2"/>
    </w:pPr>
    <w:rPr>
      <w:rFonts w:eastAsiaTheme="majorEastAsia"/>
      <w:bCs/>
      <w:szCs w:val="28"/>
      <w:u w:val="single"/>
    </w:rPr>
  </w:style>
  <w:style w:type="paragraph" w:styleId="4">
    <w:name w:val="heading 4"/>
    <w:basedOn w:val="a4"/>
    <w:next w:val="a4"/>
    <w:link w:val="41"/>
    <w:uiPriority w:val="1"/>
    <w:qFormat/>
    <w:rsid w:val="00F41DE0"/>
    <w:pPr>
      <w:keepNext/>
      <w:keepLines/>
      <w:spacing w:before="240"/>
      <w:outlineLvl w:val="3"/>
    </w:pPr>
    <w:rPr>
      <w:rFonts w:eastAsiaTheme="majorEastAsia"/>
      <w:bCs/>
      <w:szCs w:val="26"/>
    </w:rPr>
  </w:style>
  <w:style w:type="paragraph" w:styleId="5">
    <w:name w:val="heading 5"/>
    <w:basedOn w:val="a4"/>
    <w:next w:val="a4"/>
    <w:link w:val="51"/>
    <w:uiPriority w:val="1"/>
    <w:qFormat/>
    <w:rsid w:val="00F41DE0"/>
    <w:pPr>
      <w:keepNext/>
      <w:keepLines/>
      <w:outlineLvl w:val="4"/>
    </w:pPr>
    <w:rPr>
      <w:rFonts w:eastAsiaTheme="majorEastAsia"/>
      <w:bCs/>
      <w:spacing w:val="40"/>
    </w:rPr>
  </w:style>
  <w:style w:type="paragraph" w:styleId="6">
    <w:name w:val="heading 6"/>
    <w:basedOn w:val="a4"/>
    <w:next w:val="a4"/>
    <w:link w:val="61"/>
    <w:uiPriority w:val="1"/>
    <w:qFormat/>
    <w:rsid w:val="00F41DE0"/>
    <w:pPr>
      <w:keepNext/>
      <w:keepLines/>
      <w:outlineLvl w:val="5"/>
    </w:pPr>
    <w:rPr>
      <w:rFonts w:eastAsiaTheme="majorEastAsia"/>
      <w:spacing w:val="40"/>
    </w:rPr>
  </w:style>
  <w:style w:type="paragraph" w:styleId="7">
    <w:name w:val="heading 7"/>
    <w:basedOn w:val="a4"/>
    <w:next w:val="a4"/>
    <w:link w:val="718"/>
    <w:uiPriority w:val="1"/>
    <w:qFormat/>
    <w:rsid w:val="00F41DE0"/>
    <w:pPr>
      <w:keepNext/>
      <w:keepLines/>
      <w:outlineLvl w:val="6"/>
    </w:pPr>
    <w:rPr>
      <w:rFonts w:eastAsiaTheme="majorEastAsia"/>
      <w:bCs/>
      <w:spacing w:val="40"/>
    </w:rPr>
  </w:style>
  <w:style w:type="paragraph" w:styleId="8">
    <w:name w:val="heading 8"/>
    <w:basedOn w:val="a4"/>
    <w:next w:val="a4"/>
    <w:link w:val="81"/>
    <w:uiPriority w:val="1"/>
    <w:qFormat/>
    <w:rsid w:val="00F41DE0"/>
    <w:pPr>
      <w:keepNext/>
      <w:keepLines/>
      <w:outlineLvl w:val="7"/>
    </w:pPr>
    <w:rPr>
      <w:rFonts w:eastAsiaTheme="majorEastAsia"/>
      <w:spacing w:val="40"/>
    </w:rPr>
  </w:style>
  <w:style w:type="paragraph" w:styleId="9">
    <w:name w:val="heading 9"/>
    <w:basedOn w:val="a4"/>
    <w:next w:val="a4"/>
    <w:link w:val="92"/>
    <w:uiPriority w:val="9"/>
    <w:semiHidden/>
    <w:unhideWhenUsed/>
    <w:qFormat/>
    <w:rsid w:val="00BA23A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5">
    <w:name w:val="Default Paragraph Font"/>
    <w:uiPriority w:val="1"/>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1">
    <w:name w:val="כותרת 1 תו1"/>
    <w:basedOn w:val="a5"/>
    <w:link w:val="1"/>
    <w:uiPriority w:val="1"/>
    <w:rsid w:val="00F41DE0"/>
    <w:rPr>
      <w:rFonts w:eastAsiaTheme="majorEastAsia"/>
      <w:bCs/>
      <w:szCs w:val="36"/>
      <w:u w:val="single"/>
    </w:rPr>
  </w:style>
  <w:style w:type="character" w:customStyle="1" w:styleId="22">
    <w:name w:val="כותרת 2 תו2"/>
    <w:basedOn w:val="a5"/>
    <w:link w:val="2"/>
    <w:uiPriority w:val="1"/>
    <w:rsid w:val="00F41DE0"/>
    <w:rPr>
      <w:rFonts w:eastAsiaTheme="majorEastAsia"/>
      <w:bCs/>
      <w:szCs w:val="32"/>
    </w:rPr>
  </w:style>
  <w:style w:type="character" w:customStyle="1" w:styleId="32">
    <w:name w:val="כותרת 3 תו2"/>
    <w:basedOn w:val="a5"/>
    <w:link w:val="3"/>
    <w:uiPriority w:val="1"/>
    <w:rsid w:val="00F41DE0"/>
    <w:rPr>
      <w:rFonts w:eastAsiaTheme="majorEastAsia"/>
      <w:bCs/>
      <w:szCs w:val="28"/>
      <w:u w:val="single"/>
    </w:rPr>
  </w:style>
  <w:style w:type="character" w:customStyle="1" w:styleId="41">
    <w:name w:val="כותרת 4 תו1"/>
    <w:basedOn w:val="a5"/>
    <w:link w:val="4"/>
    <w:uiPriority w:val="1"/>
    <w:rsid w:val="00F41DE0"/>
    <w:rPr>
      <w:rFonts w:eastAsiaTheme="majorEastAsia"/>
      <w:bCs/>
      <w:szCs w:val="26"/>
    </w:rPr>
  </w:style>
  <w:style w:type="character" w:customStyle="1" w:styleId="51">
    <w:name w:val="כותרת 5 תו1"/>
    <w:basedOn w:val="a5"/>
    <w:link w:val="5"/>
    <w:uiPriority w:val="1"/>
    <w:rsid w:val="00F41DE0"/>
    <w:rPr>
      <w:rFonts w:eastAsiaTheme="majorEastAsia"/>
      <w:bCs/>
      <w:spacing w:val="40"/>
    </w:rPr>
  </w:style>
  <w:style w:type="character" w:customStyle="1" w:styleId="61">
    <w:name w:val="כותרת 6 תו1"/>
    <w:basedOn w:val="a5"/>
    <w:link w:val="6"/>
    <w:uiPriority w:val="1"/>
    <w:rsid w:val="00F41DE0"/>
    <w:rPr>
      <w:rFonts w:eastAsiaTheme="majorEastAsia"/>
      <w:spacing w:val="40"/>
    </w:rPr>
  </w:style>
  <w:style w:type="character" w:customStyle="1" w:styleId="718">
    <w:name w:val="כותרת 7 תו1"/>
    <w:basedOn w:val="a5"/>
    <w:link w:val="7"/>
    <w:uiPriority w:val="1"/>
    <w:rsid w:val="00F41DE0"/>
    <w:rPr>
      <w:rFonts w:eastAsiaTheme="majorEastAsia"/>
      <w:bCs/>
      <w:spacing w:val="40"/>
    </w:rPr>
  </w:style>
  <w:style w:type="character" w:customStyle="1" w:styleId="81">
    <w:name w:val="כותרת 8 תו1"/>
    <w:basedOn w:val="a5"/>
    <w:link w:val="8"/>
    <w:uiPriority w:val="1"/>
    <w:rsid w:val="00F41DE0"/>
    <w:rPr>
      <w:rFonts w:eastAsiaTheme="majorEastAsia"/>
      <w:spacing w:val="40"/>
    </w:rPr>
  </w:style>
  <w:style w:type="paragraph" w:styleId="a8">
    <w:name w:val="header"/>
    <w:basedOn w:val="a4"/>
    <w:link w:val="10"/>
    <w:uiPriority w:val="99"/>
    <w:unhideWhenUsed/>
    <w:rsid w:val="000501A4"/>
    <w:pPr>
      <w:tabs>
        <w:tab w:val="center" w:pos="4153"/>
        <w:tab w:val="right" w:pos="8306"/>
      </w:tabs>
      <w:spacing w:line="240" w:lineRule="auto"/>
    </w:pPr>
  </w:style>
  <w:style w:type="character" w:customStyle="1" w:styleId="10">
    <w:name w:val="כותרת עליונה תו1"/>
    <w:basedOn w:val="a5"/>
    <w:link w:val="a8"/>
    <w:uiPriority w:val="99"/>
    <w:rsid w:val="000501A4"/>
  </w:style>
  <w:style w:type="paragraph" w:styleId="a9">
    <w:name w:val="footer"/>
    <w:aliases w:val="כותרת תחתונה תו תו תו,כותרת תחתונה תו תו תו תו תו"/>
    <w:basedOn w:val="a4"/>
    <w:link w:val="20"/>
    <w:uiPriority w:val="99"/>
    <w:unhideWhenUsed/>
    <w:qFormat/>
    <w:rsid w:val="000501A4"/>
    <w:pPr>
      <w:tabs>
        <w:tab w:val="center" w:pos="4153"/>
        <w:tab w:val="right" w:pos="8306"/>
      </w:tabs>
      <w:spacing w:line="240" w:lineRule="auto"/>
    </w:pPr>
  </w:style>
  <w:style w:type="character" w:customStyle="1" w:styleId="20">
    <w:name w:val="כותרת תחתונה תו2"/>
    <w:aliases w:val="כותרת תחתונה תו תו תו תו1,כותרת תחתונה תו תו תו תו תו תו1"/>
    <w:basedOn w:val="a5"/>
    <w:link w:val="a9"/>
    <w:uiPriority w:val="99"/>
    <w:rsid w:val="000501A4"/>
  </w:style>
  <w:style w:type="paragraph" w:styleId="aa">
    <w:name w:val="Date"/>
    <w:basedOn w:val="a4"/>
    <w:next w:val="a4"/>
    <w:link w:val="21"/>
    <w:uiPriority w:val="99"/>
    <w:unhideWhenUsed/>
    <w:rsid w:val="000501A4"/>
    <w:pPr>
      <w:spacing w:before="120" w:line="240" w:lineRule="auto"/>
    </w:pPr>
  </w:style>
  <w:style w:type="character" w:customStyle="1" w:styleId="21">
    <w:name w:val="תאריך תו2"/>
    <w:basedOn w:val="a5"/>
    <w:link w:val="aa"/>
    <w:uiPriority w:val="99"/>
    <w:rsid w:val="000501A4"/>
  </w:style>
  <w:style w:type="paragraph" w:styleId="ab">
    <w:name w:val="footnote text"/>
    <w:aliases w:val=" Char,FOOTNOTES,Footnote Text - Sharp,Footnote Text - Sharp Char,Footnote Text - Sharp Char Char,Footnote Text Char Char Char Char Char,Footnote reference,Sharp - Footnote Text,Sharp - Footnote Text1 Char,fn,footnote text,single space"/>
    <w:basedOn w:val="a4"/>
    <w:link w:val="30"/>
    <w:uiPriority w:val="99"/>
    <w:rsid w:val="00574579"/>
    <w:pPr>
      <w:spacing w:line="240" w:lineRule="auto"/>
      <w:ind w:left="720" w:hanging="720"/>
    </w:pPr>
    <w:rPr>
      <w:szCs w:val="20"/>
    </w:rPr>
  </w:style>
  <w:style w:type="character" w:customStyle="1" w:styleId="30">
    <w:name w:val="טקסט הערת שוליים תו3"/>
    <w:aliases w:val=" Char תו1,FOOTNOTES תו1,Footnote Text - Sharp תו1,Footnote Text - Sharp Char תו1,Footnote Text - Sharp Char Char תו1,Footnote Text Char Char Char Char Char תו1,Footnote reference תו1,Sharp - Footnote Text תו1,fn תו1,footnote text תו"/>
    <w:basedOn w:val="a5"/>
    <w:link w:val="ab"/>
    <w:uiPriority w:val="99"/>
    <w:rsid w:val="00574579"/>
    <w:rPr>
      <w:szCs w:val="20"/>
    </w:rPr>
  </w:style>
  <w:style w:type="character" w:styleId="ac">
    <w:name w:val="footnote reference"/>
    <w:aliases w:val="Footnote text,Footnote Reference_0,Footnote Reference_0_0,Footnote Reference_0_0_0,Footnote Reference_0_0_0_0,Footnote Reference_1,Footnote Reference_2,Footnote Reference_3,Footnote Reference_3_0,Footnote Reference_4,fr,מ"/>
    <w:basedOn w:val="a5"/>
    <w:uiPriority w:val="99"/>
    <w:unhideWhenUsed/>
    <w:rsid w:val="00566629"/>
    <w:rPr>
      <w:vertAlign w:val="superscript"/>
    </w:rPr>
  </w:style>
  <w:style w:type="table" w:styleId="ad">
    <w:name w:val="Table Grid"/>
    <w:basedOn w:val="a6"/>
    <w:uiPriority w:val="59"/>
    <w:rsid w:val="00F41D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a4"/>
    <w:uiPriority w:val="99"/>
    <w:unhideWhenUsed/>
    <w:rsid w:val="009D05CC"/>
    <w:rPr>
      <w:rFonts w:cs="Times New Roman"/>
      <w:sz w:val="24"/>
    </w:rPr>
  </w:style>
  <w:style w:type="paragraph" w:styleId="ae">
    <w:name w:val="Balloon Text"/>
    <w:basedOn w:val="a4"/>
    <w:link w:val="12"/>
    <w:uiPriority w:val="99"/>
    <w:unhideWhenUsed/>
    <w:rsid w:val="00AF6305"/>
    <w:pPr>
      <w:spacing w:line="240" w:lineRule="auto"/>
    </w:pPr>
    <w:rPr>
      <w:rFonts w:ascii="Tahoma" w:hAnsi="Tahoma" w:cs="Tahoma"/>
      <w:sz w:val="18"/>
      <w:szCs w:val="18"/>
    </w:rPr>
  </w:style>
  <w:style w:type="character" w:customStyle="1" w:styleId="12">
    <w:name w:val="טקסט בלונים תו1"/>
    <w:basedOn w:val="a5"/>
    <w:link w:val="ae"/>
    <w:uiPriority w:val="99"/>
    <w:rsid w:val="00AF6305"/>
    <w:rPr>
      <w:rFonts w:ascii="Tahoma" w:hAnsi="Tahoma" w:cs="Tahoma"/>
      <w:sz w:val="18"/>
      <w:szCs w:val="18"/>
    </w:rPr>
  </w:style>
  <w:style w:type="character" w:styleId="af">
    <w:name w:val="annotation reference"/>
    <w:basedOn w:val="a5"/>
    <w:uiPriority w:val="99"/>
    <w:unhideWhenUsed/>
    <w:rsid w:val="005F492A"/>
    <w:rPr>
      <w:sz w:val="16"/>
      <w:szCs w:val="16"/>
    </w:rPr>
  </w:style>
  <w:style w:type="paragraph" w:styleId="af0">
    <w:name w:val="annotation text"/>
    <w:basedOn w:val="a4"/>
    <w:link w:val="13"/>
    <w:uiPriority w:val="99"/>
    <w:unhideWhenUsed/>
    <w:rsid w:val="005F492A"/>
    <w:pPr>
      <w:spacing w:line="240" w:lineRule="auto"/>
    </w:pPr>
    <w:rPr>
      <w:szCs w:val="20"/>
    </w:rPr>
  </w:style>
  <w:style w:type="character" w:customStyle="1" w:styleId="13">
    <w:name w:val="טקסט הערה תו1"/>
    <w:basedOn w:val="a5"/>
    <w:link w:val="af0"/>
    <w:uiPriority w:val="99"/>
    <w:rsid w:val="005F492A"/>
    <w:rPr>
      <w:szCs w:val="20"/>
    </w:rPr>
  </w:style>
  <w:style w:type="paragraph" w:styleId="af1">
    <w:name w:val="annotation subject"/>
    <w:basedOn w:val="af0"/>
    <w:next w:val="af0"/>
    <w:link w:val="23"/>
    <w:uiPriority w:val="99"/>
    <w:unhideWhenUsed/>
    <w:rsid w:val="005F492A"/>
    <w:rPr>
      <w:b/>
      <w:bCs/>
    </w:rPr>
  </w:style>
  <w:style w:type="character" w:customStyle="1" w:styleId="23">
    <w:name w:val="נושא הערה תו2"/>
    <w:basedOn w:val="13"/>
    <w:link w:val="af1"/>
    <w:uiPriority w:val="99"/>
    <w:rsid w:val="005F492A"/>
    <w:rPr>
      <w:b/>
      <w:bCs/>
      <w:szCs w:val="20"/>
    </w:rPr>
  </w:style>
  <w:style w:type="paragraph" w:styleId="af2">
    <w:name w:val="List Paragraph"/>
    <w:aliases w:val="LP1,פיסקת bullets,Dell,Bullet List,FooterText,List Paragraph_0,List Paragraph_1,List Paragraph_2,Paragraphe de liste1,lp1,numbered"/>
    <w:basedOn w:val="a4"/>
    <w:link w:val="af3"/>
    <w:uiPriority w:val="34"/>
    <w:qFormat/>
    <w:rsid w:val="003F6D65"/>
    <w:pPr>
      <w:ind w:left="720"/>
      <w:contextualSpacing/>
    </w:pPr>
  </w:style>
  <w:style w:type="paragraph" w:styleId="TOC1">
    <w:name w:val="toc 1"/>
    <w:basedOn w:val="a4"/>
    <w:next w:val="a4"/>
    <w:autoRedefine/>
    <w:uiPriority w:val="39"/>
    <w:unhideWhenUsed/>
    <w:rsid w:val="00171B4A"/>
    <w:pPr>
      <w:spacing w:after="100"/>
    </w:pPr>
  </w:style>
  <w:style w:type="paragraph" w:styleId="TOC2">
    <w:name w:val="toc 2"/>
    <w:basedOn w:val="a4"/>
    <w:next w:val="a4"/>
    <w:autoRedefine/>
    <w:uiPriority w:val="39"/>
    <w:unhideWhenUsed/>
    <w:rsid w:val="00171B4A"/>
    <w:pPr>
      <w:spacing w:after="100"/>
      <w:ind w:left="200"/>
    </w:pPr>
  </w:style>
  <w:style w:type="paragraph" w:styleId="TOC3">
    <w:name w:val="toc 3"/>
    <w:basedOn w:val="a4"/>
    <w:next w:val="a4"/>
    <w:autoRedefine/>
    <w:uiPriority w:val="39"/>
    <w:unhideWhenUsed/>
    <w:rsid w:val="00171B4A"/>
    <w:pPr>
      <w:spacing w:after="100"/>
      <w:ind w:left="400"/>
    </w:pPr>
  </w:style>
  <w:style w:type="character" w:styleId="Hyperlink">
    <w:name w:val="Hyperlink"/>
    <w:basedOn w:val="a5"/>
    <w:unhideWhenUsed/>
    <w:rsid w:val="00171B4A"/>
    <w:rPr>
      <w:color w:val="0000FF" w:themeColor="hyperlink"/>
      <w:u w:val="single"/>
    </w:rPr>
  </w:style>
  <w:style w:type="paragraph" w:styleId="af4">
    <w:name w:val="Revision"/>
    <w:hidden/>
    <w:uiPriority w:val="99"/>
    <w:semiHidden/>
    <w:rsid w:val="00AF6A68"/>
    <w:pPr>
      <w:spacing w:after="0" w:line="240" w:lineRule="auto"/>
      <w:jc w:val="left"/>
    </w:pPr>
  </w:style>
  <w:style w:type="paragraph" w:customStyle="1" w:styleId="RESHET">
    <w:name w:val="RESHET"/>
    <w:basedOn w:val="a4"/>
    <w:link w:val="RESHETChar"/>
    <w:rsid w:val="00A7067D"/>
    <w:pPr>
      <w:pBdr>
        <w:top w:val="single" w:sz="4" w:space="4" w:color="FFFFFF"/>
        <w:left w:val="single" w:sz="4" w:space="11" w:color="FFFFFF"/>
        <w:bottom w:val="single" w:sz="4" w:space="6" w:color="FFFFFF"/>
        <w:right w:val="single" w:sz="4" w:space="11" w:color="FFFFFF"/>
      </w:pBdr>
      <w:shd w:val="pct25" w:color="00FF00" w:fill="auto"/>
      <w:spacing w:after="120" w:line="230" w:lineRule="exact"/>
      <w:ind w:left="227" w:right="227"/>
    </w:pPr>
    <w:rPr>
      <w:rFonts w:eastAsia="Times New Roman" w:cs="FrankRuehl"/>
      <w:b/>
      <w:bCs/>
      <w:sz w:val="24"/>
      <w:szCs w:val="22"/>
      <w:lang w:eastAsia="he-IL"/>
    </w:rPr>
  </w:style>
  <w:style w:type="paragraph" w:customStyle="1" w:styleId="NAME">
    <w:name w:val="NAME"/>
    <w:basedOn w:val="a4"/>
    <w:rsid w:val="00D5266D"/>
    <w:pPr>
      <w:spacing w:before="2000" w:after="120"/>
      <w:jc w:val="center"/>
      <w:outlineLvl w:val="0"/>
    </w:pPr>
    <w:rPr>
      <w:rFonts w:ascii="Tahoma" w:eastAsia="Times New Roman" w:hAnsi="Tahoma" w:cs="Tahoma"/>
      <w:color w:val="2A2AA6"/>
      <w:sz w:val="42"/>
      <w:szCs w:val="42"/>
      <w:lang w:eastAsia="he-IL"/>
    </w:rPr>
  </w:style>
  <w:style w:type="paragraph" w:customStyle="1" w:styleId="KOT4">
    <w:name w:val="KOT4"/>
    <w:basedOn w:val="a4"/>
    <w:rsid w:val="00796843"/>
    <w:pPr>
      <w:keepNext/>
      <w:spacing w:before="120" w:after="120" w:line="360" w:lineRule="exact"/>
      <w:ind w:right="2268"/>
      <w:jc w:val="left"/>
      <w:outlineLvl w:val="1"/>
    </w:pPr>
    <w:rPr>
      <w:rFonts w:ascii="Tahoma" w:eastAsia="Times New Roman" w:hAnsi="Tahoma" w:cs="Tahoma"/>
      <w:color w:val="009692"/>
      <w:sz w:val="32"/>
      <w:szCs w:val="32"/>
    </w:rPr>
  </w:style>
  <w:style w:type="character" w:customStyle="1" w:styleId="73">
    <w:name w:val="כותרת 7 תו3"/>
    <w:basedOn w:val="a5"/>
    <w:uiPriority w:val="1"/>
    <w:rsid w:val="00456AD9"/>
    <w:rPr>
      <w:rFonts w:asciiTheme="majorHAnsi" w:eastAsiaTheme="majorEastAsia" w:hAnsiTheme="majorHAnsi" w:cstheme="majorBidi"/>
      <w:b/>
      <w:bCs/>
      <w:color w:val="632423" w:themeColor="accent2" w:themeShade="80"/>
      <w:sz w:val="22"/>
      <w:szCs w:val="22"/>
    </w:rPr>
  </w:style>
  <w:style w:type="paragraph" w:customStyle="1" w:styleId="tab-name">
    <w:name w:val="tab-name"/>
    <w:basedOn w:val="a4"/>
    <w:link w:val="tab-nameChar"/>
    <w:qFormat/>
    <w:rsid w:val="000F76A8"/>
    <w:pPr>
      <w:keepNext/>
      <w:spacing w:before="480" w:after="240" w:line="320" w:lineRule="exact"/>
      <w:jc w:val="left"/>
    </w:pPr>
    <w:rPr>
      <w:rFonts w:ascii="Tahoma" w:eastAsiaTheme="minorEastAsia" w:hAnsi="Tahoma" w:cs="Tahoma"/>
      <w:color w:val="365F91" w:themeColor="accent1" w:themeShade="BF"/>
      <w:sz w:val="18"/>
      <w:szCs w:val="18"/>
    </w:rPr>
  </w:style>
  <w:style w:type="paragraph" w:customStyle="1" w:styleId="name-sub">
    <w:name w:val="name-sub"/>
    <w:basedOn w:val="NAME"/>
    <w:qFormat/>
    <w:rsid w:val="000F76A8"/>
    <w:pPr>
      <w:spacing w:before="0"/>
    </w:pPr>
    <w:rPr>
      <w:sz w:val="36"/>
      <w:szCs w:val="36"/>
    </w:rPr>
  </w:style>
  <w:style w:type="table" w:customStyle="1" w:styleId="14">
    <w:name w:val="רשת טבלה1"/>
    <w:basedOn w:val="a6"/>
    <w:next w:val="ad"/>
    <w:uiPriority w:val="39"/>
    <w:rsid w:val="008B17A0"/>
    <w:pPr>
      <w:spacing w:after="0" w:line="240" w:lineRule="auto"/>
      <w:jc w:val="left"/>
    </w:pPr>
    <w:rPr>
      <w:rFonts w:eastAsia="Times New Roman"/>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source">
    <w:name w:val="text-source"/>
    <w:basedOn w:val="a4"/>
    <w:next w:val="a4"/>
    <w:qFormat/>
    <w:rsid w:val="008B17A0"/>
    <w:pPr>
      <w:shd w:val="clear" w:color="auto" w:fill="FFFFFF"/>
      <w:spacing w:before="120" w:after="240" w:line="200" w:lineRule="exact"/>
      <w:ind w:right="2268"/>
      <w:jc w:val="left"/>
    </w:pPr>
    <w:rPr>
      <w:rFonts w:ascii="Tahoma" w:eastAsia="Times New Roman" w:hAnsi="Tahoma" w:cs="Tahoma"/>
      <w:color w:val="222222"/>
      <w:sz w:val="14"/>
      <w:szCs w:val="14"/>
    </w:rPr>
  </w:style>
  <w:style w:type="table" w:customStyle="1" w:styleId="1-41">
    <w:name w:val="טבלת רשת 1 בהירה - הדגשה 41"/>
    <w:basedOn w:val="a6"/>
    <w:uiPriority w:val="46"/>
    <w:rsid w:val="00444597"/>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character" w:styleId="af5">
    <w:name w:val="Strong"/>
    <w:basedOn w:val="a5"/>
    <w:uiPriority w:val="22"/>
    <w:qFormat/>
    <w:rsid w:val="00444597"/>
    <w:rPr>
      <w:b/>
      <w:bCs/>
    </w:rPr>
  </w:style>
  <w:style w:type="paragraph" w:customStyle="1" w:styleId="rtejustify">
    <w:name w:val="rtejustify"/>
    <w:basedOn w:val="a4"/>
    <w:rsid w:val="00444597"/>
    <w:pPr>
      <w:bidi w:val="0"/>
      <w:spacing w:before="100" w:beforeAutospacing="1" w:after="100" w:afterAutospacing="1" w:line="240" w:lineRule="auto"/>
      <w:jc w:val="left"/>
    </w:pPr>
    <w:rPr>
      <w:rFonts w:eastAsia="Times New Roman" w:cs="Times New Roman"/>
      <w:sz w:val="24"/>
    </w:rPr>
  </w:style>
  <w:style w:type="paragraph" w:customStyle="1" w:styleId="KOT1">
    <w:name w:val="KOT1"/>
    <w:basedOn w:val="a4"/>
    <w:rsid w:val="00444597"/>
    <w:pPr>
      <w:keepNext/>
      <w:spacing w:after="360" w:line="400" w:lineRule="exact"/>
      <w:jc w:val="center"/>
    </w:pPr>
    <w:rPr>
      <w:rFonts w:eastAsia="Times New Roman"/>
      <w:b/>
      <w:bCs/>
      <w:sz w:val="36"/>
      <w:szCs w:val="36"/>
      <w:lang w:eastAsia="he-IL"/>
    </w:rPr>
  </w:style>
  <w:style w:type="paragraph" w:styleId="af6">
    <w:name w:val="caption"/>
    <w:basedOn w:val="a4"/>
    <w:next w:val="a4"/>
    <w:uiPriority w:val="35"/>
    <w:unhideWhenUsed/>
    <w:qFormat/>
    <w:rsid w:val="00444597"/>
    <w:pPr>
      <w:spacing w:after="200" w:line="240" w:lineRule="auto"/>
    </w:pPr>
    <w:rPr>
      <w:i/>
      <w:iCs/>
      <w:color w:val="1F497D" w:themeColor="text2"/>
      <w:sz w:val="18"/>
      <w:szCs w:val="18"/>
    </w:rPr>
  </w:style>
  <w:style w:type="character" w:customStyle="1" w:styleId="Bodytext2">
    <w:name w:val="Body text (2)_"/>
    <w:basedOn w:val="a5"/>
    <w:link w:val="Bodytext20"/>
    <w:rsid w:val="00444597"/>
    <w:rPr>
      <w:rFonts w:eastAsia="Times New Roman" w:cs="Times New Roman"/>
      <w:sz w:val="22"/>
      <w:szCs w:val="22"/>
      <w:shd w:val="clear" w:color="auto" w:fill="FFFFFF"/>
    </w:rPr>
  </w:style>
  <w:style w:type="paragraph" w:customStyle="1" w:styleId="Bodytext20">
    <w:name w:val="Body text (2)"/>
    <w:basedOn w:val="a4"/>
    <w:link w:val="Bodytext2"/>
    <w:rsid w:val="00444597"/>
    <w:pPr>
      <w:widowControl w:val="0"/>
      <w:shd w:val="clear" w:color="auto" w:fill="FFFFFF"/>
      <w:spacing w:line="259" w:lineRule="exact"/>
    </w:pPr>
    <w:rPr>
      <w:rFonts w:eastAsia="Times New Roman" w:cs="Times New Roman"/>
      <w:sz w:val="22"/>
      <w:szCs w:val="22"/>
    </w:rPr>
  </w:style>
  <w:style w:type="character" w:customStyle="1" w:styleId="Bodytext7">
    <w:name w:val="Body text (7)_"/>
    <w:basedOn w:val="a5"/>
    <w:link w:val="Bodytext70"/>
    <w:rsid w:val="00444597"/>
    <w:rPr>
      <w:rFonts w:eastAsia="Times New Roman" w:cs="Times New Roman"/>
      <w:sz w:val="22"/>
      <w:szCs w:val="22"/>
      <w:shd w:val="clear" w:color="auto" w:fill="FFFFFF"/>
    </w:rPr>
  </w:style>
  <w:style w:type="paragraph" w:customStyle="1" w:styleId="Bodytext70">
    <w:name w:val="Body text (7)"/>
    <w:basedOn w:val="a4"/>
    <w:link w:val="Bodytext7"/>
    <w:rsid w:val="00444597"/>
    <w:pPr>
      <w:widowControl w:val="0"/>
      <w:shd w:val="clear" w:color="auto" w:fill="FFFFFF"/>
      <w:spacing w:line="384" w:lineRule="exact"/>
      <w:ind w:hanging="360"/>
    </w:pPr>
    <w:rPr>
      <w:rFonts w:eastAsia="Times New Roman" w:cs="Times New Roman"/>
      <w:sz w:val="22"/>
      <w:szCs w:val="22"/>
    </w:rPr>
  </w:style>
  <w:style w:type="character" w:customStyle="1" w:styleId="Bodytext2Bold">
    <w:name w:val="Body text (2) + Bold"/>
    <w:basedOn w:val="Bodytext2"/>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character" w:customStyle="1" w:styleId="Heading1">
    <w:name w:val="Heading #1_"/>
    <w:basedOn w:val="a5"/>
    <w:rsid w:val="00444597"/>
    <w:rPr>
      <w:rFonts w:ascii="Lucida Sans Unicode" w:eastAsia="Lucida Sans Unicode" w:hAnsi="Lucida Sans Unicode" w:cs="Lucida Sans Unicode"/>
      <w:b/>
      <w:bCs/>
      <w:i w:val="0"/>
      <w:iCs w:val="0"/>
      <w:smallCaps w:val="0"/>
      <w:strike w:val="0"/>
      <w:sz w:val="24"/>
      <w:szCs w:val="24"/>
      <w:u w:val="none"/>
    </w:rPr>
  </w:style>
  <w:style w:type="character" w:customStyle="1" w:styleId="Heading10">
    <w:name w:val="Heading #1"/>
    <w:basedOn w:val="Heading1"/>
    <w:rsid w:val="00444597"/>
    <w:rPr>
      <w:rFonts w:ascii="Lucida Sans Unicode" w:eastAsia="Lucida Sans Unicode" w:hAnsi="Lucida Sans Unicode" w:cs="Lucida Sans Unicode"/>
      <w:b/>
      <w:bCs/>
      <w:i w:val="0"/>
      <w:iCs w:val="0"/>
      <w:smallCaps w:val="0"/>
      <w:strike w:val="0"/>
      <w:color w:val="000000"/>
      <w:spacing w:val="0"/>
      <w:w w:val="100"/>
      <w:position w:val="0"/>
      <w:sz w:val="24"/>
      <w:szCs w:val="24"/>
      <w:u w:val="none"/>
      <w:lang w:val="he-IL" w:eastAsia="he-IL" w:bidi="he-IL"/>
    </w:rPr>
  </w:style>
  <w:style w:type="character" w:customStyle="1" w:styleId="Bodytext3">
    <w:name w:val="Body text (3)_"/>
    <w:basedOn w:val="a5"/>
    <w:rsid w:val="00444597"/>
    <w:rPr>
      <w:rFonts w:ascii="Lucida Sans Unicode" w:eastAsia="Lucida Sans Unicode" w:hAnsi="Lucida Sans Unicode" w:cs="Lucida Sans Unicode"/>
      <w:b w:val="0"/>
      <w:bCs w:val="0"/>
      <w:i w:val="0"/>
      <w:iCs w:val="0"/>
      <w:smallCaps w:val="0"/>
      <w:strike w:val="0"/>
      <w:sz w:val="16"/>
      <w:szCs w:val="16"/>
      <w:u w:val="none"/>
    </w:rPr>
  </w:style>
  <w:style w:type="character" w:customStyle="1" w:styleId="Bodytext30">
    <w:name w:val="Body text (3)"/>
    <w:basedOn w:val="Bodytext3"/>
    <w:rsid w:val="00444597"/>
    <w:rPr>
      <w:rFonts w:ascii="Lucida Sans Unicode" w:eastAsia="Lucida Sans Unicode" w:hAnsi="Lucida Sans Unicode" w:cs="Lucida Sans Unicode"/>
      <w:b w:val="0"/>
      <w:bCs w:val="0"/>
      <w:i w:val="0"/>
      <w:iCs w:val="0"/>
      <w:smallCaps w:val="0"/>
      <w:strike w:val="0"/>
      <w:color w:val="000000"/>
      <w:spacing w:val="0"/>
      <w:w w:val="100"/>
      <w:position w:val="0"/>
      <w:sz w:val="16"/>
      <w:szCs w:val="16"/>
      <w:u w:val="none"/>
      <w:lang w:val="he-IL" w:eastAsia="he-IL" w:bidi="he-IL"/>
    </w:rPr>
  </w:style>
  <w:style w:type="character" w:customStyle="1" w:styleId="Bodytext2Spacing-1pt">
    <w:name w:val="Body text (2) + Spacing -1 pt"/>
    <w:basedOn w:val="Bodytext2"/>
    <w:rsid w:val="00444597"/>
    <w:rPr>
      <w:rFonts w:ascii="Lucida Sans Unicode" w:eastAsia="Lucida Sans Unicode" w:hAnsi="Lucida Sans Unicode" w:cs="Lucida Sans Unicode"/>
      <w:b w:val="0"/>
      <w:bCs w:val="0"/>
      <w:i w:val="0"/>
      <w:iCs w:val="0"/>
      <w:smallCaps w:val="0"/>
      <w:strike w:val="0"/>
      <w:color w:val="000000"/>
      <w:spacing w:val="-30"/>
      <w:w w:val="100"/>
      <w:position w:val="0"/>
      <w:sz w:val="20"/>
      <w:szCs w:val="20"/>
      <w:u w:val="none"/>
      <w:shd w:val="clear" w:color="auto" w:fill="FFFFFF"/>
      <w:lang w:val="en-US" w:eastAsia="en-US" w:bidi="en-US"/>
    </w:rPr>
  </w:style>
  <w:style w:type="character" w:customStyle="1" w:styleId="Bodytext6">
    <w:name w:val="Body text (6)_"/>
    <w:basedOn w:val="a5"/>
    <w:link w:val="Bodytext60"/>
    <w:rsid w:val="00444597"/>
    <w:rPr>
      <w:rFonts w:ascii="Lucida Sans Unicode" w:eastAsia="Lucida Sans Unicode" w:hAnsi="Lucida Sans Unicode" w:cs="Lucida Sans Unicode"/>
      <w:b/>
      <w:bCs/>
      <w:szCs w:val="20"/>
      <w:shd w:val="clear" w:color="auto" w:fill="FFFFFF"/>
    </w:rPr>
  </w:style>
  <w:style w:type="paragraph" w:customStyle="1" w:styleId="Bodytext60">
    <w:name w:val="Body text (6)"/>
    <w:basedOn w:val="a4"/>
    <w:link w:val="Bodytext6"/>
    <w:rsid w:val="00444597"/>
    <w:pPr>
      <w:widowControl w:val="0"/>
      <w:shd w:val="clear" w:color="auto" w:fill="FFFFFF"/>
      <w:spacing w:line="370" w:lineRule="exact"/>
    </w:pPr>
    <w:rPr>
      <w:rFonts w:ascii="Lucida Sans Unicode" w:eastAsia="Lucida Sans Unicode" w:hAnsi="Lucida Sans Unicode" w:cs="Lucida Sans Unicode"/>
      <w:b/>
      <w:bCs/>
      <w:szCs w:val="20"/>
    </w:rPr>
  </w:style>
  <w:style w:type="character" w:customStyle="1" w:styleId="Bodytext6NotBold">
    <w:name w:val="Body text (6) + Not Bold"/>
    <w:aliases w:val="Spacing -1 pt"/>
    <w:basedOn w:val="Bodytext6"/>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character" w:customStyle="1" w:styleId="gmail-msofootnotereference">
    <w:name w:val="gmail-msofootnotereference"/>
    <w:basedOn w:val="a5"/>
    <w:rsid w:val="00444597"/>
  </w:style>
  <w:style w:type="paragraph" w:customStyle="1" w:styleId="running-text">
    <w:name w:val="running-text"/>
    <w:qFormat/>
    <w:rsid w:val="00444597"/>
    <w:pPr>
      <w:spacing w:after="120" w:line="240" w:lineRule="exact"/>
      <w:ind w:right="2268"/>
    </w:pPr>
    <w:rPr>
      <w:rFonts w:ascii="Tahoma" w:eastAsiaTheme="minorEastAsia" w:hAnsi="Tahoma" w:cs="Tahoma"/>
      <w:sz w:val="17"/>
      <w:szCs w:val="18"/>
    </w:rPr>
  </w:style>
  <w:style w:type="paragraph" w:styleId="af7">
    <w:name w:val="Body Text Indent"/>
    <w:basedOn w:val="a4"/>
    <w:link w:val="af8"/>
    <w:uiPriority w:val="99"/>
    <w:unhideWhenUsed/>
    <w:rsid w:val="0006189A"/>
    <w:pPr>
      <w:spacing w:after="120"/>
      <w:ind w:left="340"/>
    </w:pPr>
    <w:rPr>
      <w:rFonts w:ascii="Tahoma" w:hAnsi="Tahoma" w:cs="Tahoma"/>
      <w:sz w:val="16"/>
      <w:szCs w:val="20"/>
    </w:rPr>
  </w:style>
  <w:style w:type="character" w:customStyle="1" w:styleId="af8">
    <w:name w:val="כניסה בגוף טקסט תו"/>
    <w:basedOn w:val="a5"/>
    <w:link w:val="af7"/>
    <w:uiPriority w:val="99"/>
    <w:rsid w:val="0006189A"/>
    <w:rPr>
      <w:rFonts w:ascii="Tahoma" w:hAnsi="Tahoma" w:cs="Tahoma"/>
      <w:sz w:val="16"/>
      <w:szCs w:val="20"/>
    </w:rPr>
  </w:style>
  <w:style w:type="paragraph" w:customStyle="1" w:styleId="121">
    <w:name w:val="כותרת 1_21"/>
    <w:basedOn w:val="tab-name"/>
    <w:link w:val="121Char"/>
    <w:qFormat/>
    <w:rsid w:val="00737520"/>
    <w:pPr>
      <w:keepNext w:val="0"/>
      <w:spacing w:before="1440" w:after="0" w:line="312" w:lineRule="auto"/>
      <w:jc w:val="center"/>
      <w:outlineLvl w:val="0"/>
    </w:pPr>
    <w:rPr>
      <w:color w:val="2A2AA6"/>
      <w:sz w:val="42"/>
      <w:szCs w:val="42"/>
    </w:rPr>
  </w:style>
  <w:style w:type="character" w:customStyle="1" w:styleId="default">
    <w:name w:val="default"/>
    <w:rsid w:val="00417266"/>
    <w:rPr>
      <w:rFonts w:ascii="Times New Roman" w:hAnsi="Times New Roman" w:cs="Times New Roman"/>
      <w:sz w:val="26"/>
      <w:szCs w:val="26"/>
    </w:rPr>
  </w:style>
  <w:style w:type="character" w:customStyle="1" w:styleId="alink">
    <w:name w:val="a_link"/>
    <w:basedOn w:val="a5"/>
    <w:rsid w:val="00417266"/>
    <w:rPr>
      <w:color w:val="0000FF"/>
    </w:rPr>
  </w:style>
  <w:style w:type="character" w:customStyle="1" w:styleId="reference-text">
    <w:name w:val="reference-text"/>
    <w:basedOn w:val="a5"/>
    <w:rsid w:val="00417266"/>
  </w:style>
  <w:style w:type="character" w:customStyle="1" w:styleId="mw-cite-backlink">
    <w:name w:val="mw-cite-backlink"/>
    <w:basedOn w:val="a5"/>
    <w:rsid w:val="00417266"/>
  </w:style>
  <w:style w:type="character" w:customStyle="1" w:styleId="cite-accessibility-label">
    <w:name w:val="cite-accessibility-label"/>
    <w:basedOn w:val="a5"/>
    <w:rsid w:val="00417266"/>
  </w:style>
  <w:style w:type="paragraph" w:customStyle="1" w:styleId="af9">
    <w:name w:val="תואר"/>
    <w:basedOn w:val="a4"/>
    <w:link w:val="afa"/>
    <w:qFormat/>
    <w:rsid w:val="00417266"/>
    <w:pPr>
      <w:spacing w:line="240" w:lineRule="auto"/>
      <w:jc w:val="center"/>
    </w:pPr>
    <w:rPr>
      <w:rFonts w:eastAsia="Times New Roman" w:cs="Times New Roman"/>
      <w:b/>
      <w:bCs/>
      <w:sz w:val="32"/>
      <w:szCs w:val="32"/>
      <w:lang w:eastAsia="he-IL"/>
    </w:rPr>
  </w:style>
  <w:style w:type="character" w:customStyle="1" w:styleId="afa">
    <w:name w:val="תואר תו"/>
    <w:link w:val="af9"/>
    <w:locked/>
    <w:rsid w:val="00417266"/>
    <w:rPr>
      <w:rFonts w:eastAsia="Times New Roman" w:cs="Times New Roman"/>
      <w:b/>
      <w:bCs/>
      <w:sz w:val="32"/>
      <w:szCs w:val="32"/>
      <w:lang w:eastAsia="he-IL"/>
    </w:rPr>
  </w:style>
  <w:style w:type="paragraph" w:customStyle="1" w:styleId="p00">
    <w:name w:val="p00"/>
    <w:basedOn w:val="a4"/>
    <w:rsid w:val="00417266"/>
    <w:pPr>
      <w:bidi w:val="0"/>
      <w:spacing w:before="100" w:beforeAutospacing="1" w:after="100" w:afterAutospacing="1" w:line="240" w:lineRule="auto"/>
      <w:jc w:val="left"/>
    </w:pPr>
    <w:rPr>
      <w:rFonts w:eastAsia="Times New Roman" w:cs="Times New Roman"/>
      <w:sz w:val="24"/>
    </w:rPr>
  </w:style>
  <w:style w:type="character" w:customStyle="1" w:styleId="wcag-sr-only">
    <w:name w:val="wcag-sr-only"/>
    <w:basedOn w:val="a5"/>
    <w:rsid w:val="00417266"/>
  </w:style>
  <w:style w:type="character" w:styleId="afb">
    <w:name w:val="Emphasis"/>
    <w:basedOn w:val="a5"/>
    <w:uiPriority w:val="20"/>
    <w:qFormat/>
    <w:rsid w:val="00417266"/>
    <w:rPr>
      <w:i/>
      <w:iCs/>
    </w:rPr>
  </w:style>
  <w:style w:type="character" w:customStyle="1" w:styleId="24">
    <w:name w:val="טקסט הערת שוליים תו2"/>
    <w:uiPriority w:val="99"/>
    <w:rsid w:val="00417266"/>
    <w:rPr>
      <w:rFonts w:cs="David"/>
    </w:rPr>
  </w:style>
  <w:style w:type="paragraph" w:styleId="afc">
    <w:name w:val="TOC Heading"/>
    <w:basedOn w:val="1"/>
    <w:next w:val="a4"/>
    <w:uiPriority w:val="39"/>
    <w:unhideWhenUsed/>
    <w:qFormat/>
    <w:rsid w:val="00417266"/>
    <w:pPr>
      <w:spacing w:before="240" w:line="259" w:lineRule="auto"/>
      <w:jc w:val="left"/>
      <w:outlineLvl w:val="9"/>
    </w:pPr>
    <w:rPr>
      <w:rFonts w:asciiTheme="majorHAnsi" w:hAnsiTheme="majorHAnsi" w:cstheme="majorBidi"/>
      <w:bCs w:val="0"/>
      <w:color w:val="365F91" w:themeColor="accent1" w:themeShade="BF"/>
      <w:sz w:val="32"/>
      <w:szCs w:val="32"/>
      <w:u w:val="none"/>
      <w:rtl/>
      <w:cs/>
    </w:rPr>
  </w:style>
  <w:style w:type="paragraph" w:styleId="TOC7">
    <w:name w:val="toc 7"/>
    <w:basedOn w:val="a4"/>
    <w:next w:val="a4"/>
    <w:autoRedefine/>
    <w:uiPriority w:val="39"/>
    <w:unhideWhenUsed/>
    <w:rsid w:val="00417266"/>
    <w:pPr>
      <w:spacing w:after="100"/>
      <w:ind w:left="1200"/>
    </w:pPr>
  </w:style>
  <w:style w:type="paragraph" w:styleId="TOC5">
    <w:name w:val="toc 5"/>
    <w:basedOn w:val="a4"/>
    <w:next w:val="a4"/>
    <w:autoRedefine/>
    <w:uiPriority w:val="39"/>
    <w:unhideWhenUsed/>
    <w:rsid w:val="00417266"/>
    <w:pPr>
      <w:spacing w:after="100"/>
      <w:ind w:left="800"/>
    </w:pPr>
  </w:style>
  <w:style w:type="paragraph" w:styleId="TOC4">
    <w:name w:val="toc 4"/>
    <w:basedOn w:val="a4"/>
    <w:next w:val="a4"/>
    <w:autoRedefine/>
    <w:uiPriority w:val="39"/>
    <w:unhideWhenUsed/>
    <w:rsid w:val="00417266"/>
    <w:pPr>
      <w:spacing w:after="100"/>
      <w:ind w:left="600"/>
    </w:pPr>
  </w:style>
  <w:style w:type="character" w:customStyle="1" w:styleId="highlightspan">
    <w:name w:val="highlightspan"/>
    <w:basedOn w:val="a5"/>
    <w:rsid w:val="00417266"/>
  </w:style>
  <w:style w:type="character" w:customStyle="1" w:styleId="15">
    <w:name w:val="נושא הערה תו1"/>
    <w:basedOn w:val="13"/>
    <w:uiPriority w:val="99"/>
    <w:semiHidden/>
    <w:rsid w:val="00417266"/>
    <w:rPr>
      <w:b/>
      <w:bCs/>
      <w:szCs w:val="20"/>
    </w:rPr>
  </w:style>
  <w:style w:type="character" w:styleId="FollowedHyperlink">
    <w:name w:val="FollowedHyperlink"/>
    <w:basedOn w:val="a5"/>
    <w:uiPriority w:val="99"/>
    <w:semiHidden/>
    <w:unhideWhenUsed/>
    <w:rsid w:val="00417266"/>
    <w:rPr>
      <w:color w:val="800080" w:themeColor="followedHyperlink"/>
      <w:u w:val="single"/>
    </w:rPr>
  </w:style>
  <w:style w:type="paragraph" w:styleId="afd">
    <w:name w:val="table of figures"/>
    <w:basedOn w:val="a4"/>
    <w:next w:val="a4"/>
    <w:uiPriority w:val="99"/>
    <w:semiHidden/>
    <w:unhideWhenUsed/>
    <w:rsid w:val="00417266"/>
  </w:style>
  <w:style w:type="character" w:styleId="afe">
    <w:name w:val="Placeholder Text"/>
    <w:basedOn w:val="a5"/>
    <w:uiPriority w:val="99"/>
    <w:semiHidden/>
    <w:rsid w:val="00417266"/>
    <w:rPr>
      <w:color w:val="808080"/>
    </w:rPr>
  </w:style>
  <w:style w:type="paragraph" w:customStyle="1" w:styleId="71316">
    <w:name w:val="71ג כותרת 3_16"/>
    <w:basedOn w:val="3"/>
    <w:link w:val="71316Char"/>
    <w:qFormat/>
    <w:rsid w:val="002B3A8C"/>
    <w:pPr>
      <w:keepLines w:val="0"/>
      <w:spacing w:before="360" w:after="180" w:line="240" w:lineRule="atLeast"/>
      <w:jc w:val="left"/>
    </w:pPr>
    <w:rPr>
      <w:rFonts w:ascii="Tahoma" w:eastAsia="Times New Roman" w:hAnsi="Tahoma" w:cs="Tahoma"/>
      <w:b/>
      <w:color w:val="00305F"/>
      <w:sz w:val="32"/>
      <w:szCs w:val="32"/>
      <w:u w:val="none"/>
    </w:rPr>
  </w:style>
  <w:style w:type="paragraph" w:customStyle="1" w:styleId="100">
    <w:name w:val="טקסט רץ 10"/>
    <w:basedOn w:val="a4"/>
    <w:link w:val="10Char"/>
    <w:qFormat/>
    <w:rsid w:val="00705DA7"/>
    <w:pPr>
      <w:spacing w:after="120"/>
    </w:pPr>
    <w:rPr>
      <w:rFonts w:ascii="Tahoma" w:hAnsi="Tahoma" w:cs="Tahoma"/>
      <w:szCs w:val="20"/>
    </w:rPr>
  </w:style>
  <w:style w:type="character" w:customStyle="1" w:styleId="71316Char">
    <w:name w:val="71ג כותרת 3_16 Char"/>
    <w:basedOn w:val="32"/>
    <w:link w:val="71316"/>
    <w:rsid w:val="002B3A8C"/>
    <w:rPr>
      <w:rFonts w:ascii="Tahoma" w:eastAsia="Times New Roman" w:hAnsi="Tahoma" w:cs="Tahoma"/>
      <w:b/>
      <w:bCs/>
      <w:color w:val="00305F"/>
      <w:sz w:val="32"/>
      <w:szCs w:val="32"/>
      <w:u w:val="single"/>
    </w:rPr>
  </w:style>
  <w:style w:type="paragraph" w:customStyle="1" w:styleId="719">
    <w:name w:val="71ג הערות שוליים"/>
    <w:basedOn w:val="ab"/>
    <w:link w:val="71Char"/>
    <w:qFormat/>
    <w:rsid w:val="005C02D4"/>
    <w:pPr>
      <w:spacing w:after="60" w:line="220" w:lineRule="exact"/>
      <w:ind w:left="397" w:hanging="397"/>
    </w:pPr>
    <w:rPr>
      <w:rFonts w:ascii="Tahoma" w:hAnsi="Tahoma" w:cs="Tahoma"/>
      <w:color w:val="0D0D0D" w:themeColor="text1" w:themeTint="F2"/>
      <w:sz w:val="14"/>
      <w:szCs w:val="14"/>
    </w:rPr>
  </w:style>
  <w:style w:type="paragraph" w:customStyle="1" w:styleId="71a">
    <w:name w:val="71ג לוחות/תרשימים/תמונות/אינפוגרפיקה/מפות"/>
    <w:basedOn w:val="a4"/>
    <w:qFormat/>
    <w:rsid w:val="006509BB"/>
    <w:pPr>
      <w:keepNext/>
      <w:spacing w:before="240" w:after="240" w:line="260" w:lineRule="exact"/>
      <w:jc w:val="center"/>
    </w:pPr>
    <w:rPr>
      <w:rFonts w:ascii="Tahoma" w:eastAsiaTheme="minorEastAsia" w:hAnsi="Tahoma" w:cs="Tahoma"/>
      <w:b/>
      <w:bCs/>
      <w:color w:val="0D0D0D" w:themeColor="text1" w:themeTint="F2"/>
      <w:szCs w:val="20"/>
    </w:rPr>
  </w:style>
  <w:style w:type="paragraph" w:customStyle="1" w:styleId="218">
    <w:name w:val="כותרת 2_18"/>
    <w:basedOn w:val="2"/>
    <w:link w:val="218Char"/>
    <w:qFormat/>
    <w:rsid w:val="00635B2E"/>
    <w:pPr>
      <w:keepLines w:val="0"/>
      <w:spacing w:before="600" w:after="120"/>
      <w:jc w:val="left"/>
    </w:pPr>
    <w:rPr>
      <w:rFonts w:ascii="Arial Bold" w:eastAsia="Times New Roman" w:hAnsi="Arial Bold" w:cs="Tahoma"/>
      <w:bCs w:val="0"/>
      <w:color w:val="365F91"/>
      <w:sz w:val="36"/>
      <w:szCs w:val="36"/>
    </w:rPr>
  </w:style>
  <w:style w:type="character" w:customStyle="1" w:styleId="218Char">
    <w:name w:val="כותרת 2_18 Char"/>
    <w:link w:val="218"/>
    <w:rsid w:val="00635B2E"/>
    <w:rPr>
      <w:rFonts w:ascii="Arial Bold" w:eastAsia="Times New Roman" w:hAnsi="Arial Bold" w:cs="Tahoma"/>
      <w:color w:val="365F91"/>
      <w:sz w:val="36"/>
      <w:szCs w:val="36"/>
    </w:rPr>
  </w:style>
  <w:style w:type="character" w:customStyle="1" w:styleId="af3">
    <w:name w:val="פיסקת רשימה תו"/>
    <w:aliases w:val="LP1 תו,פיסקת bullets תו,Dell תו,Bullet List תו,FooterText תו,List Paragraph_0 תו,List Paragraph_1 תו,List Paragraph_2 תו,Paragraphe de liste1 תו,lp1 תו,numbered תו"/>
    <w:link w:val="af2"/>
    <w:uiPriority w:val="34"/>
    <w:rsid w:val="00DD7B55"/>
  </w:style>
  <w:style w:type="paragraph" w:customStyle="1" w:styleId="714">
    <w:name w:val="71ג הזחה ראשונה מספר"/>
    <w:basedOn w:val="af2"/>
    <w:link w:val="71Char0"/>
    <w:qFormat/>
    <w:rsid w:val="00882EB6"/>
    <w:pPr>
      <w:numPr>
        <w:numId w:val="2"/>
      </w:numPr>
      <w:spacing w:after="180" w:line="260" w:lineRule="exact"/>
      <w:contextualSpacing w:val="0"/>
    </w:pPr>
    <w:rPr>
      <w:rFonts w:ascii="Tahoma" w:hAnsi="Tahoma" w:cs="Tahoma"/>
      <w:color w:val="0D0D0D" w:themeColor="text1" w:themeTint="F2"/>
      <w:sz w:val="18"/>
      <w:szCs w:val="18"/>
    </w:rPr>
  </w:style>
  <w:style w:type="paragraph" w:customStyle="1" w:styleId="71b">
    <w:name w:val="71ג הזחה שנייה ריק"/>
    <w:basedOn w:val="af7"/>
    <w:link w:val="71Char1"/>
    <w:qFormat/>
    <w:rsid w:val="0074714A"/>
    <w:pPr>
      <w:spacing w:after="180" w:line="260" w:lineRule="exact"/>
      <w:ind w:left="794"/>
    </w:pPr>
    <w:rPr>
      <w:color w:val="0D0D0D" w:themeColor="text1" w:themeTint="F2"/>
      <w:sz w:val="18"/>
      <w:szCs w:val="18"/>
    </w:rPr>
  </w:style>
  <w:style w:type="paragraph" w:customStyle="1" w:styleId="710">
    <w:name w:val="71ג הזחה שנייה אותיות"/>
    <w:basedOn w:val="af2"/>
    <w:qFormat/>
    <w:rsid w:val="00591F15"/>
    <w:pPr>
      <w:numPr>
        <w:ilvl w:val="1"/>
        <w:numId w:val="1"/>
      </w:numPr>
      <w:spacing w:after="180" w:line="260" w:lineRule="exact"/>
    </w:pPr>
    <w:rPr>
      <w:rFonts w:ascii="Tahoma" w:hAnsi="Tahoma" w:cs="Tahoma"/>
      <w:color w:val="0D0D0D" w:themeColor="text1" w:themeTint="F2"/>
      <w:sz w:val="18"/>
      <w:szCs w:val="18"/>
    </w:rPr>
  </w:style>
  <w:style w:type="paragraph" w:customStyle="1" w:styleId="71c">
    <w:name w:val="71ג מקרא+הערות לתרשים/לוח/תמונה"/>
    <w:basedOn w:val="719"/>
    <w:link w:val="71Char2"/>
    <w:qFormat/>
    <w:rsid w:val="00916920"/>
    <w:pPr>
      <w:spacing w:before="120" w:after="240" w:line="260" w:lineRule="exact"/>
      <w:ind w:left="0" w:firstLine="0"/>
    </w:pPr>
    <w:rPr>
      <w:sz w:val="16"/>
      <w:szCs w:val="16"/>
    </w:rPr>
  </w:style>
  <w:style w:type="paragraph" w:customStyle="1" w:styleId="71d">
    <w:name w:val="71ג קוביה כחולה הזחה שנייה"/>
    <w:basedOn w:val="RESHET"/>
    <w:link w:val="71Char3"/>
    <w:qFormat/>
    <w:rsid w:val="001F0BBB"/>
    <w:pPr>
      <w:keepLines/>
      <w:pBdr>
        <w:top w:val="single" w:sz="18" w:space="4" w:color="EDF1FA"/>
        <w:left w:val="single" w:sz="18" w:space="11" w:color="EDF1FA"/>
        <w:bottom w:val="single" w:sz="18" w:space="6" w:color="EDF1FA"/>
        <w:right w:val="single" w:sz="18" w:space="11" w:color="EDF1FA"/>
      </w:pBdr>
      <w:shd w:val="solid" w:color="EDF1FA" w:fill="auto"/>
      <w:tabs>
        <w:tab w:val="left" w:pos="624"/>
      </w:tabs>
      <w:spacing w:after="180" w:line="260" w:lineRule="exact"/>
      <w:ind w:left="1077" w:right="284"/>
    </w:pPr>
    <w:rPr>
      <w:rFonts w:ascii="Tahoma" w:hAnsi="Tahoma" w:cs="Tahoma"/>
      <w:b w:val="0"/>
      <w:bCs w:val="0"/>
      <w:color w:val="0D0D0D" w:themeColor="text1" w:themeTint="F2"/>
      <w:sz w:val="18"/>
      <w:szCs w:val="18"/>
    </w:rPr>
  </w:style>
  <w:style w:type="paragraph" w:customStyle="1" w:styleId="71e">
    <w:name w:val="71ג קוביה כחולה בתוך הזחה ראשונה"/>
    <w:basedOn w:val="71d"/>
    <w:link w:val="71Char4"/>
    <w:qFormat/>
    <w:rsid w:val="007C00A3"/>
    <w:pPr>
      <w:ind w:left="964"/>
    </w:pPr>
  </w:style>
  <w:style w:type="paragraph" w:customStyle="1" w:styleId="7179">
    <w:name w:val="71ג כותרת 7_9"/>
    <w:qFormat/>
    <w:rsid w:val="0064527F"/>
    <w:pPr>
      <w:spacing w:after="180" w:line="260" w:lineRule="atLeast"/>
      <w:ind w:left="397"/>
    </w:pPr>
    <w:rPr>
      <w:rFonts w:ascii="Tahoma" w:hAnsi="Tahoma" w:cs="Tahoma"/>
      <w:color w:val="0D0D0D" w:themeColor="text1" w:themeTint="F2"/>
      <w:sz w:val="18"/>
      <w:szCs w:val="18"/>
    </w:rPr>
  </w:style>
  <w:style w:type="paragraph" w:customStyle="1" w:styleId="71f">
    <w:name w:val="71ג הזחה שנייה ללא מספר"/>
    <w:basedOn w:val="71b"/>
    <w:link w:val="71Char5"/>
    <w:qFormat/>
    <w:rsid w:val="00543F8A"/>
  </w:style>
  <w:style w:type="character" w:customStyle="1" w:styleId="71Char1">
    <w:name w:val="71ג הזחה שנייה ריק Char"/>
    <w:basedOn w:val="af8"/>
    <w:link w:val="71b"/>
    <w:rsid w:val="0074714A"/>
    <w:rPr>
      <w:rFonts w:ascii="Tahoma" w:hAnsi="Tahoma" w:cs="Tahoma"/>
      <w:color w:val="0D0D0D" w:themeColor="text1" w:themeTint="F2"/>
      <w:sz w:val="18"/>
      <w:szCs w:val="18"/>
    </w:rPr>
  </w:style>
  <w:style w:type="character" w:customStyle="1" w:styleId="71Char5">
    <w:name w:val="71ג הזחה שנייה ללא מספר Char"/>
    <w:basedOn w:val="71Char1"/>
    <w:link w:val="71f"/>
    <w:rsid w:val="00543F8A"/>
    <w:rPr>
      <w:rFonts w:ascii="Tahoma" w:hAnsi="Tahoma" w:cs="Tahoma"/>
      <w:color w:val="0D0D0D" w:themeColor="text1" w:themeTint="F2"/>
      <w:sz w:val="18"/>
      <w:szCs w:val="18"/>
    </w:rPr>
  </w:style>
  <w:style w:type="paragraph" w:customStyle="1" w:styleId="71f0">
    <w:name w:val="71ג מספור הערות שוליים"/>
    <w:basedOn w:val="719"/>
    <w:qFormat/>
    <w:rsid w:val="003B639B"/>
  </w:style>
  <w:style w:type="paragraph" w:customStyle="1" w:styleId="71R">
    <w:name w:val="71ג טבלה טקסט R"/>
    <w:basedOn w:val="a4"/>
    <w:qFormat/>
    <w:rsid w:val="00F16C06"/>
    <w:pPr>
      <w:spacing w:before="120" w:after="120" w:line="240" w:lineRule="exact"/>
      <w:jc w:val="left"/>
    </w:pPr>
    <w:rPr>
      <w:rFonts w:ascii="Tahoma" w:eastAsiaTheme="minorEastAsia" w:hAnsi="Tahoma" w:cs="Tahoma"/>
      <w:color w:val="000000" w:themeColor="text1"/>
      <w:sz w:val="16"/>
      <w:szCs w:val="16"/>
    </w:rPr>
  </w:style>
  <w:style w:type="paragraph" w:customStyle="1" w:styleId="71B0">
    <w:name w:val="71ג טבלה טקסט B"/>
    <w:basedOn w:val="a4"/>
    <w:qFormat/>
    <w:rsid w:val="00890BDA"/>
    <w:pPr>
      <w:spacing w:before="120" w:after="120" w:line="240" w:lineRule="exact"/>
      <w:jc w:val="left"/>
    </w:pPr>
    <w:rPr>
      <w:rFonts w:ascii="Tahoma" w:eastAsiaTheme="minorEastAsia" w:hAnsi="Tahoma" w:cs="Tahoma"/>
      <w:b/>
      <w:bCs/>
      <w:color w:val="000000" w:themeColor="text1"/>
      <w:sz w:val="16"/>
      <w:szCs w:val="16"/>
    </w:rPr>
  </w:style>
  <w:style w:type="paragraph" w:customStyle="1" w:styleId="71HEADER">
    <w:name w:val="71ג טבלה HEADER"/>
    <w:basedOn w:val="a4"/>
    <w:qFormat/>
    <w:rsid w:val="00E37BEF"/>
    <w:pPr>
      <w:spacing w:before="60" w:after="60" w:line="180" w:lineRule="exact"/>
      <w:jc w:val="left"/>
    </w:pPr>
    <w:rPr>
      <w:rFonts w:ascii="Tahoma" w:eastAsiaTheme="minorEastAsia" w:hAnsi="Tahoma" w:cs="Tahoma"/>
      <w:b/>
      <w:color w:val="0D0D0D" w:themeColor="text1" w:themeTint="F2"/>
      <w:sz w:val="16"/>
      <w:szCs w:val="16"/>
    </w:rPr>
  </w:style>
  <w:style w:type="paragraph" w:customStyle="1" w:styleId="Style1">
    <w:name w:val="Style1"/>
    <w:basedOn w:val="710"/>
    <w:qFormat/>
    <w:rsid w:val="00085B99"/>
  </w:style>
  <w:style w:type="paragraph" w:customStyle="1" w:styleId="a0">
    <w:name w:val="כניסה שלישית"/>
    <w:basedOn w:val="af2"/>
    <w:qFormat/>
    <w:rsid w:val="008E5512"/>
    <w:pPr>
      <w:numPr>
        <w:ilvl w:val="2"/>
        <w:numId w:val="2"/>
      </w:numPr>
      <w:spacing w:after="120"/>
    </w:pPr>
    <w:rPr>
      <w:rFonts w:ascii="Tahoma" w:hAnsi="Tahoma" w:cs="Tahoma"/>
      <w:szCs w:val="20"/>
    </w:rPr>
  </w:style>
  <w:style w:type="paragraph" w:customStyle="1" w:styleId="71f1">
    <w:name w:val="71ג הזחה שלישית"/>
    <w:basedOn w:val="71f"/>
    <w:qFormat/>
    <w:rsid w:val="00DF2527"/>
    <w:pPr>
      <w:ind w:left="1021"/>
    </w:pPr>
  </w:style>
  <w:style w:type="paragraph" w:customStyle="1" w:styleId="71f2">
    <w:name w:val="71ג קוביה כחולה הזחה שלישית"/>
    <w:basedOn w:val="71d"/>
    <w:qFormat/>
    <w:rsid w:val="00976B93"/>
    <w:pPr>
      <w:ind w:left="1474"/>
    </w:pPr>
  </w:style>
  <w:style w:type="paragraph" w:customStyle="1" w:styleId="16">
    <w:name w:val="קוביה הזחה 1"/>
    <w:basedOn w:val="71d"/>
    <w:qFormat/>
    <w:rsid w:val="005C2859"/>
    <w:pPr>
      <w:ind w:left="680"/>
    </w:pPr>
  </w:style>
  <w:style w:type="paragraph" w:customStyle="1" w:styleId="71f3">
    <w:name w:val="71ג הזחה ראשונה ללא מספר"/>
    <w:basedOn w:val="71f"/>
    <w:qFormat/>
    <w:rsid w:val="00A6316A"/>
    <w:pPr>
      <w:ind w:left="397"/>
    </w:pPr>
  </w:style>
  <w:style w:type="paragraph" w:customStyle="1" w:styleId="71f4">
    <w:name w:val="71ג קוביה רצה"/>
    <w:basedOn w:val="71e"/>
    <w:link w:val="71Char6"/>
    <w:qFormat/>
    <w:rsid w:val="00E4255F"/>
    <w:pPr>
      <w:pBdr>
        <w:top w:val="single" w:sz="18" w:space="4" w:color="CEEAF5"/>
        <w:left w:val="single" w:sz="18" w:space="11" w:color="CEEAF5"/>
        <w:bottom w:val="single" w:sz="18" w:space="6" w:color="CEEAF5"/>
        <w:right w:val="single" w:sz="18" w:space="11" w:color="CEEAF5"/>
      </w:pBdr>
      <w:shd w:val="solid" w:color="CEEAF5" w:fill="auto"/>
      <w:ind w:left="284" w:right="227"/>
    </w:pPr>
  </w:style>
  <w:style w:type="paragraph" w:customStyle="1" w:styleId="71414">
    <w:name w:val="71ג כותרת 4_14"/>
    <w:basedOn w:val="4"/>
    <w:qFormat/>
    <w:rsid w:val="00F115D6"/>
    <w:pPr>
      <w:spacing w:after="180" w:line="240" w:lineRule="atLeast"/>
      <w:jc w:val="left"/>
    </w:pPr>
    <w:rPr>
      <w:rFonts w:ascii="Tahoma" w:hAnsi="Tahoma" w:cs="Tahoma"/>
      <w:b/>
      <w:color w:val="00305F"/>
      <w:sz w:val="28"/>
      <w:szCs w:val="28"/>
    </w:rPr>
  </w:style>
  <w:style w:type="paragraph" w:customStyle="1" w:styleId="71f5">
    <w:name w:val="71ג הזחה בתוך קוביה"/>
    <w:basedOn w:val="71f4"/>
    <w:qFormat/>
    <w:rsid w:val="009D0EE8"/>
    <w:pPr>
      <w:ind w:left="0"/>
    </w:pPr>
  </w:style>
  <w:style w:type="paragraph" w:customStyle="1" w:styleId="71512">
    <w:name w:val="71ג כותרת 5_12"/>
    <w:basedOn w:val="100"/>
    <w:link w:val="71512Char"/>
    <w:qFormat/>
    <w:rsid w:val="00DE43A8"/>
    <w:pPr>
      <w:spacing w:before="240" w:after="180" w:line="240" w:lineRule="atLeast"/>
      <w:jc w:val="left"/>
      <w:outlineLvl w:val="4"/>
    </w:pPr>
    <w:rPr>
      <w:b/>
      <w:bCs/>
      <w:color w:val="00305F"/>
      <w:sz w:val="24"/>
      <w:szCs w:val="24"/>
    </w:rPr>
  </w:style>
  <w:style w:type="paragraph" w:customStyle="1" w:styleId="71f6">
    <w:name w:val="71ג מספרים בתוך קוביה"/>
    <w:basedOn w:val="71f5"/>
    <w:rsid w:val="00E12FBA"/>
  </w:style>
  <w:style w:type="paragraph" w:customStyle="1" w:styleId="7110">
    <w:name w:val="71ג אותיות בתוך קוביה 1"/>
    <w:basedOn w:val="71f6"/>
    <w:qFormat/>
    <w:rsid w:val="00B30FEF"/>
    <w:pPr>
      <w:ind w:left="397" w:hanging="397"/>
    </w:pPr>
  </w:style>
  <w:style w:type="numbering" w:customStyle="1" w:styleId="-">
    <w:name w:val="משרד האוצר - מדורג"/>
    <w:uiPriority w:val="99"/>
    <w:rsid w:val="006D5CCE"/>
    <w:pPr>
      <w:numPr>
        <w:numId w:val="3"/>
      </w:numPr>
    </w:pPr>
  </w:style>
  <w:style w:type="paragraph" w:customStyle="1" w:styleId="gmail-msolistparagraph">
    <w:name w:val="gmail-msolistparagraph"/>
    <w:basedOn w:val="a4"/>
    <w:uiPriority w:val="99"/>
    <w:rsid w:val="006D5CCE"/>
    <w:pPr>
      <w:bidi w:val="0"/>
      <w:spacing w:before="100" w:beforeAutospacing="1" w:after="100" w:afterAutospacing="1" w:line="240" w:lineRule="auto"/>
      <w:jc w:val="left"/>
    </w:pPr>
    <w:rPr>
      <w:rFonts w:cs="Times New Roman"/>
      <w:sz w:val="24"/>
    </w:rPr>
  </w:style>
  <w:style w:type="paragraph" w:styleId="aff">
    <w:name w:val="Plain Text"/>
    <w:basedOn w:val="a4"/>
    <w:link w:val="aff0"/>
    <w:uiPriority w:val="99"/>
    <w:unhideWhenUsed/>
    <w:rsid w:val="006D5CCE"/>
    <w:pPr>
      <w:spacing w:line="240" w:lineRule="auto"/>
      <w:jc w:val="left"/>
    </w:pPr>
    <w:rPr>
      <w:rFonts w:ascii="Calibri" w:hAnsi="Calibri" w:cstheme="minorBidi"/>
      <w:sz w:val="22"/>
      <w:szCs w:val="21"/>
    </w:rPr>
  </w:style>
  <w:style w:type="character" w:customStyle="1" w:styleId="aff0">
    <w:name w:val="טקסט רגיל תו"/>
    <w:basedOn w:val="a5"/>
    <w:link w:val="aff"/>
    <w:uiPriority w:val="99"/>
    <w:rsid w:val="006D5CCE"/>
    <w:rPr>
      <w:rFonts w:ascii="Calibri" w:hAnsi="Calibri" w:cstheme="minorBidi"/>
      <w:sz w:val="22"/>
      <w:szCs w:val="21"/>
    </w:rPr>
  </w:style>
  <w:style w:type="table" w:customStyle="1" w:styleId="25">
    <w:name w:val="רשת טבלה2"/>
    <w:basedOn w:val="a6"/>
    <w:next w:val="ad"/>
    <w:uiPriority w:val="59"/>
    <w:rsid w:val="006D5CCE"/>
    <w:pPr>
      <w:spacing w:after="0" w:line="240" w:lineRule="auto"/>
      <w:jc w:val="left"/>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1">
    <w:name w:val="endnote text"/>
    <w:basedOn w:val="a4"/>
    <w:link w:val="aff2"/>
    <w:uiPriority w:val="99"/>
    <w:semiHidden/>
    <w:unhideWhenUsed/>
    <w:rsid w:val="006D5CCE"/>
    <w:pPr>
      <w:spacing w:line="240" w:lineRule="auto"/>
    </w:pPr>
    <w:rPr>
      <w:szCs w:val="20"/>
    </w:rPr>
  </w:style>
  <w:style w:type="character" w:customStyle="1" w:styleId="aff2">
    <w:name w:val="טקסט הערת סיום תו"/>
    <w:basedOn w:val="a5"/>
    <w:link w:val="aff1"/>
    <w:uiPriority w:val="99"/>
    <w:semiHidden/>
    <w:rsid w:val="006D5CCE"/>
    <w:rPr>
      <w:szCs w:val="20"/>
    </w:rPr>
  </w:style>
  <w:style w:type="character" w:styleId="aff3">
    <w:name w:val="endnote reference"/>
    <w:basedOn w:val="a5"/>
    <w:uiPriority w:val="99"/>
    <w:semiHidden/>
    <w:unhideWhenUsed/>
    <w:rsid w:val="006D5CCE"/>
    <w:rPr>
      <w:vertAlign w:val="superscript"/>
    </w:rPr>
  </w:style>
  <w:style w:type="paragraph" w:customStyle="1" w:styleId="110">
    <w:name w:val="כותרת 11"/>
    <w:basedOn w:val="a4"/>
    <w:next w:val="a4"/>
    <w:link w:val="17"/>
    <w:uiPriority w:val="1"/>
    <w:qFormat/>
    <w:rsid w:val="002516DF"/>
    <w:pPr>
      <w:keepNext/>
      <w:keepLines/>
      <w:jc w:val="center"/>
      <w:outlineLvl w:val="0"/>
    </w:pPr>
    <w:rPr>
      <w:rFonts w:eastAsia="Times New Roman"/>
      <w:bCs/>
      <w:szCs w:val="36"/>
      <w:u w:val="single"/>
    </w:rPr>
  </w:style>
  <w:style w:type="paragraph" w:customStyle="1" w:styleId="210">
    <w:name w:val="כותרת 21"/>
    <w:basedOn w:val="a4"/>
    <w:next w:val="a4"/>
    <w:link w:val="26"/>
    <w:uiPriority w:val="1"/>
    <w:qFormat/>
    <w:rsid w:val="002516DF"/>
    <w:pPr>
      <w:keepNext/>
      <w:keepLines/>
      <w:spacing w:before="480"/>
      <w:jc w:val="center"/>
      <w:outlineLvl w:val="1"/>
    </w:pPr>
    <w:rPr>
      <w:rFonts w:eastAsia="Times New Roman"/>
      <w:bCs/>
      <w:szCs w:val="32"/>
    </w:rPr>
  </w:style>
  <w:style w:type="paragraph" w:customStyle="1" w:styleId="31">
    <w:name w:val="כותרת 31"/>
    <w:basedOn w:val="a4"/>
    <w:next w:val="a4"/>
    <w:link w:val="33"/>
    <w:uiPriority w:val="1"/>
    <w:qFormat/>
    <w:rsid w:val="002516DF"/>
    <w:pPr>
      <w:keepNext/>
      <w:keepLines/>
      <w:spacing w:before="120"/>
      <w:outlineLvl w:val="2"/>
    </w:pPr>
    <w:rPr>
      <w:rFonts w:eastAsia="Times New Roman"/>
      <w:bCs/>
      <w:szCs w:val="28"/>
      <w:u w:val="single"/>
    </w:rPr>
  </w:style>
  <w:style w:type="paragraph" w:customStyle="1" w:styleId="410">
    <w:name w:val="כותרת 41"/>
    <w:basedOn w:val="a4"/>
    <w:next w:val="a4"/>
    <w:link w:val="40"/>
    <w:qFormat/>
    <w:rsid w:val="002516DF"/>
    <w:pPr>
      <w:keepNext/>
      <w:keepLines/>
      <w:spacing w:before="120"/>
      <w:outlineLvl w:val="3"/>
    </w:pPr>
    <w:rPr>
      <w:rFonts w:eastAsia="Times New Roman"/>
      <w:bCs/>
      <w:szCs w:val="26"/>
    </w:rPr>
  </w:style>
  <w:style w:type="paragraph" w:customStyle="1" w:styleId="510">
    <w:name w:val="כותרת 51"/>
    <w:basedOn w:val="a4"/>
    <w:next w:val="a4"/>
    <w:link w:val="50"/>
    <w:uiPriority w:val="1"/>
    <w:qFormat/>
    <w:rsid w:val="002516DF"/>
    <w:pPr>
      <w:keepNext/>
      <w:keepLines/>
      <w:outlineLvl w:val="4"/>
    </w:pPr>
    <w:rPr>
      <w:rFonts w:eastAsia="Times New Roman"/>
      <w:bCs/>
      <w:spacing w:val="40"/>
    </w:rPr>
  </w:style>
  <w:style w:type="paragraph" w:customStyle="1" w:styleId="610">
    <w:name w:val="כותרת 61"/>
    <w:basedOn w:val="a4"/>
    <w:next w:val="a4"/>
    <w:link w:val="60"/>
    <w:uiPriority w:val="1"/>
    <w:qFormat/>
    <w:rsid w:val="002516DF"/>
    <w:pPr>
      <w:keepNext/>
      <w:keepLines/>
      <w:outlineLvl w:val="5"/>
    </w:pPr>
    <w:rPr>
      <w:rFonts w:eastAsia="Times New Roman"/>
      <w:spacing w:val="40"/>
    </w:rPr>
  </w:style>
  <w:style w:type="paragraph" w:customStyle="1" w:styleId="71f7">
    <w:name w:val="כותרת 71"/>
    <w:basedOn w:val="a4"/>
    <w:next w:val="a4"/>
    <w:link w:val="70"/>
    <w:uiPriority w:val="1"/>
    <w:qFormat/>
    <w:rsid w:val="002516DF"/>
    <w:pPr>
      <w:keepNext/>
      <w:keepLines/>
      <w:outlineLvl w:val="6"/>
    </w:pPr>
    <w:rPr>
      <w:rFonts w:eastAsia="Times New Roman"/>
      <w:bCs/>
      <w:spacing w:val="40"/>
    </w:rPr>
  </w:style>
  <w:style w:type="paragraph" w:customStyle="1" w:styleId="810">
    <w:name w:val="כותרת 81"/>
    <w:basedOn w:val="a4"/>
    <w:next w:val="a4"/>
    <w:link w:val="80"/>
    <w:uiPriority w:val="1"/>
    <w:qFormat/>
    <w:rsid w:val="002516DF"/>
    <w:pPr>
      <w:keepNext/>
      <w:keepLines/>
      <w:outlineLvl w:val="7"/>
    </w:pPr>
    <w:rPr>
      <w:rFonts w:eastAsia="Times New Roman"/>
      <w:spacing w:val="40"/>
    </w:rPr>
  </w:style>
  <w:style w:type="numbering" w:customStyle="1" w:styleId="18">
    <w:name w:val="ללא רשימה1"/>
    <w:uiPriority w:val="99"/>
    <w:semiHidden/>
    <w:unhideWhenUsed/>
    <w:rsid w:val="002516DF"/>
  </w:style>
  <w:style w:type="character" w:customStyle="1" w:styleId="17">
    <w:name w:val="כותרת 1 תו"/>
    <w:link w:val="110"/>
    <w:uiPriority w:val="1"/>
    <w:rsid w:val="002516DF"/>
    <w:rPr>
      <w:rFonts w:eastAsia="Times New Roman"/>
      <w:bCs/>
      <w:szCs w:val="36"/>
      <w:u w:val="single"/>
    </w:rPr>
  </w:style>
  <w:style w:type="character" w:customStyle="1" w:styleId="26">
    <w:name w:val="כותרת 2 תו"/>
    <w:link w:val="210"/>
    <w:uiPriority w:val="1"/>
    <w:rsid w:val="002516DF"/>
    <w:rPr>
      <w:rFonts w:eastAsia="Times New Roman"/>
      <w:bCs/>
      <w:szCs w:val="32"/>
    </w:rPr>
  </w:style>
  <w:style w:type="character" w:customStyle="1" w:styleId="33">
    <w:name w:val="כותרת 3 תו"/>
    <w:link w:val="31"/>
    <w:uiPriority w:val="1"/>
    <w:rsid w:val="002516DF"/>
    <w:rPr>
      <w:rFonts w:eastAsia="Times New Roman"/>
      <w:bCs/>
      <w:szCs w:val="28"/>
      <w:u w:val="single"/>
    </w:rPr>
  </w:style>
  <w:style w:type="character" w:customStyle="1" w:styleId="40">
    <w:name w:val="כותרת 4 תו"/>
    <w:link w:val="410"/>
    <w:uiPriority w:val="1"/>
    <w:rsid w:val="002516DF"/>
    <w:rPr>
      <w:rFonts w:eastAsia="Times New Roman"/>
      <w:bCs/>
      <w:szCs w:val="26"/>
    </w:rPr>
  </w:style>
  <w:style w:type="character" w:customStyle="1" w:styleId="50">
    <w:name w:val="כותרת 5 תו"/>
    <w:link w:val="510"/>
    <w:uiPriority w:val="1"/>
    <w:rsid w:val="002516DF"/>
    <w:rPr>
      <w:rFonts w:eastAsia="Times New Roman"/>
      <w:bCs/>
      <w:spacing w:val="40"/>
    </w:rPr>
  </w:style>
  <w:style w:type="character" w:customStyle="1" w:styleId="60">
    <w:name w:val="כותרת 6 תו"/>
    <w:link w:val="610"/>
    <w:uiPriority w:val="1"/>
    <w:rsid w:val="002516DF"/>
    <w:rPr>
      <w:rFonts w:eastAsia="Times New Roman"/>
      <w:spacing w:val="40"/>
    </w:rPr>
  </w:style>
  <w:style w:type="character" w:customStyle="1" w:styleId="70">
    <w:name w:val="כותרת 7 תו"/>
    <w:link w:val="71f7"/>
    <w:uiPriority w:val="1"/>
    <w:rsid w:val="002516DF"/>
    <w:rPr>
      <w:rFonts w:eastAsia="Times New Roman"/>
      <w:bCs/>
      <w:spacing w:val="40"/>
    </w:rPr>
  </w:style>
  <w:style w:type="character" w:customStyle="1" w:styleId="80">
    <w:name w:val="כותרת 8 תו"/>
    <w:link w:val="810"/>
    <w:uiPriority w:val="1"/>
    <w:rsid w:val="002516DF"/>
    <w:rPr>
      <w:rFonts w:eastAsia="Times New Roman"/>
      <w:spacing w:val="40"/>
    </w:rPr>
  </w:style>
  <w:style w:type="paragraph" w:customStyle="1" w:styleId="19">
    <w:name w:val="כותרת עליונה1"/>
    <w:basedOn w:val="a4"/>
    <w:link w:val="aff4"/>
    <w:uiPriority w:val="99"/>
    <w:unhideWhenUsed/>
    <w:rsid w:val="002516DF"/>
    <w:pPr>
      <w:tabs>
        <w:tab w:val="center" w:pos="4153"/>
        <w:tab w:val="right" w:pos="8306"/>
      </w:tabs>
      <w:spacing w:line="240" w:lineRule="auto"/>
    </w:pPr>
    <w:rPr>
      <w:rFonts w:eastAsia="Calibri"/>
    </w:rPr>
  </w:style>
  <w:style w:type="character" w:customStyle="1" w:styleId="aff4">
    <w:name w:val="כותרת עליונה תו"/>
    <w:basedOn w:val="a5"/>
    <w:link w:val="19"/>
    <w:uiPriority w:val="99"/>
    <w:rsid w:val="002516DF"/>
    <w:rPr>
      <w:rFonts w:eastAsia="Calibri"/>
    </w:rPr>
  </w:style>
  <w:style w:type="paragraph" w:customStyle="1" w:styleId="1a">
    <w:name w:val="כותרת תחתונה1"/>
    <w:basedOn w:val="a4"/>
    <w:link w:val="aff5"/>
    <w:uiPriority w:val="99"/>
    <w:unhideWhenUsed/>
    <w:rsid w:val="002516DF"/>
    <w:pPr>
      <w:tabs>
        <w:tab w:val="center" w:pos="4153"/>
        <w:tab w:val="right" w:pos="8306"/>
      </w:tabs>
      <w:spacing w:line="240" w:lineRule="auto"/>
    </w:pPr>
    <w:rPr>
      <w:rFonts w:eastAsia="Calibri"/>
    </w:rPr>
  </w:style>
  <w:style w:type="character" w:customStyle="1" w:styleId="aff5">
    <w:name w:val="כותרת תחתונה תו"/>
    <w:basedOn w:val="a5"/>
    <w:link w:val="1a"/>
    <w:uiPriority w:val="99"/>
    <w:rsid w:val="002516DF"/>
    <w:rPr>
      <w:rFonts w:eastAsia="Calibri"/>
    </w:rPr>
  </w:style>
  <w:style w:type="paragraph" w:customStyle="1" w:styleId="1b">
    <w:name w:val="תאריך1"/>
    <w:basedOn w:val="a4"/>
    <w:next w:val="a4"/>
    <w:link w:val="aff6"/>
    <w:uiPriority w:val="99"/>
    <w:unhideWhenUsed/>
    <w:rsid w:val="002516DF"/>
    <w:pPr>
      <w:spacing w:before="120" w:line="240" w:lineRule="auto"/>
    </w:pPr>
    <w:rPr>
      <w:rFonts w:eastAsia="Calibri"/>
    </w:rPr>
  </w:style>
  <w:style w:type="character" w:customStyle="1" w:styleId="aff6">
    <w:name w:val="תאריך תו"/>
    <w:basedOn w:val="a5"/>
    <w:link w:val="1b"/>
    <w:uiPriority w:val="99"/>
    <w:rsid w:val="002516DF"/>
    <w:rPr>
      <w:rFonts w:eastAsia="Calibri"/>
    </w:rPr>
  </w:style>
  <w:style w:type="character" w:customStyle="1" w:styleId="aff7">
    <w:name w:val="טקסט הערת שוליים תו"/>
    <w:aliases w:val=" Char תו,FOOTNOTES תו,Footnote Text - Sharp Char Char תו,Footnote Text - Sharp Char תו,Footnote Text - Sharp תו,Footnote Text Char Char Char Char Char תו,Footnote Text תו,Footnote reference תו,Sharp - Footnote Text תו,fn תו, תו תו תו"/>
    <w:uiPriority w:val="99"/>
    <w:rsid w:val="002516DF"/>
    <w:rPr>
      <w:szCs w:val="20"/>
    </w:rPr>
  </w:style>
  <w:style w:type="character" w:customStyle="1" w:styleId="1c">
    <w:name w:val="הפניה להערת שוליים1"/>
    <w:semiHidden/>
    <w:unhideWhenUsed/>
    <w:rsid w:val="002516DF"/>
    <w:rPr>
      <w:vertAlign w:val="superscript"/>
    </w:rPr>
  </w:style>
  <w:style w:type="paragraph" w:customStyle="1" w:styleId="1d">
    <w:name w:val="פיסקת רשימה1"/>
    <w:basedOn w:val="a4"/>
    <w:uiPriority w:val="34"/>
    <w:qFormat/>
    <w:rsid w:val="002516DF"/>
    <w:pPr>
      <w:ind w:left="720"/>
      <w:contextualSpacing/>
    </w:pPr>
    <w:rPr>
      <w:rFonts w:eastAsia="Calibri"/>
    </w:rPr>
  </w:style>
  <w:style w:type="paragraph" w:customStyle="1" w:styleId="PATIAH">
    <w:name w:val="PATIAH"/>
    <w:basedOn w:val="a4"/>
    <w:rsid w:val="002516DF"/>
    <w:pPr>
      <w:spacing w:after="120" w:line="260" w:lineRule="exact"/>
    </w:pPr>
    <w:rPr>
      <w:rFonts w:eastAsia="Times New Roman"/>
      <w:lang w:eastAsia="he-IL"/>
    </w:rPr>
  </w:style>
  <w:style w:type="paragraph" w:customStyle="1" w:styleId="aff8">
    <w:name w:val="סגנון רגיל +"/>
    <w:basedOn w:val="a4"/>
    <w:rsid w:val="002516DF"/>
    <w:pPr>
      <w:overflowPunct w:val="0"/>
      <w:autoSpaceDE w:val="0"/>
      <w:autoSpaceDN w:val="0"/>
      <w:adjustRightInd w:val="0"/>
      <w:spacing w:line="240" w:lineRule="auto"/>
      <w:jc w:val="left"/>
      <w:textAlignment w:val="baseline"/>
    </w:pPr>
    <w:rPr>
      <w:rFonts w:ascii="Arial" w:eastAsia="Times New Roman" w:hAnsi="Arial" w:cs="Arial"/>
      <w:sz w:val="22"/>
      <w:szCs w:val="22"/>
      <w:lang w:eastAsia="he-IL"/>
    </w:rPr>
  </w:style>
  <w:style w:type="paragraph" w:customStyle="1" w:styleId="1e">
    <w:name w:val="טקסט בלונים1"/>
    <w:basedOn w:val="a4"/>
    <w:link w:val="aff9"/>
    <w:uiPriority w:val="99"/>
    <w:semiHidden/>
    <w:unhideWhenUsed/>
    <w:rsid w:val="002516DF"/>
    <w:pPr>
      <w:spacing w:line="240" w:lineRule="auto"/>
    </w:pPr>
    <w:rPr>
      <w:rFonts w:ascii="Tahoma" w:eastAsia="Calibri" w:hAnsi="Tahoma" w:cs="Tahoma"/>
      <w:sz w:val="18"/>
      <w:szCs w:val="18"/>
    </w:rPr>
  </w:style>
  <w:style w:type="character" w:customStyle="1" w:styleId="aff9">
    <w:name w:val="טקסט בלונים תו"/>
    <w:link w:val="1e"/>
    <w:uiPriority w:val="99"/>
    <w:semiHidden/>
    <w:rsid w:val="002516DF"/>
    <w:rPr>
      <w:rFonts w:ascii="Tahoma" w:eastAsia="Calibri" w:hAnsi="Tahoma" w:cs="Tahoma"/>
      <w:sz w:val="18"/>
      <w:szCs w:val="18"/>
    </w:rPr>
  </w:style>
  <w:style w:type="paragraph" w:customStyle="1" w:styleId="1f">
    <w:name w:val="גוף טקסט1"/>
    <w:basedOn w:val="a4"/>
    <w:link w:val="1f0"/>
    <w:uiPriority w:val="99"/>
    <w:rsid w:val="002516DF"/>
    <w:pPr>
      <w:spacing w:before="180" w:after="120" w:line="230" w:lineRule="exact"/>
    </w:pPr>
    <w:rPr>
      <w:rFonts w:eastAsia="Times New Roman" w:cs="FrankRuehl"/>
      <w:sz w:val="22"/>
      <w:szCs w:val="22"/>
    </w:rPr>
  </w:style>
  <w:style w:type="character" w:customStyle="1" w:styleId="affa">
    <w:name w:val="גוף טקסט תו"/>
    <w:basedOn w:val="a5"/>
    <w:uiPriority w:val="99"/>
    <w:semiHidden/>
    <w:rsid w:val="002516DF"/>
  </w:style>
  <w:style w:type="character" w:customStyle="1" w:styleId="1f0">
    <w:name w:val="גוף טקסט תו1"/>
    <w:link w:val="1f"/>
    <w:uiPriority w:val="99"/>
    <w:rsid w:val="002516DF"/>
    <w:rPr>
      <w:rFonts w:eastAsia="Times New Roman" w:cs="FrankRuehl"/>
      <w:sz w:val="22"/>
      <w:szCs w:val="22"/>
    </w:rPr>
  </w:style>
  <w:style w:type="character" w:customStyle="1" w:styleId="1f1">
    <w:name w:val="כותרת תחתונה תו1"/>
    <w:aliases w:val="כותרת תחתונה תו תו,כותרת תחתונה תו תו תו תו,כותרת תחתונה תו תו תו תו תו תו"/>
    <w:uiPriority w:val="99"/>
    <w:rsid w:val="002516DF"/>
    <w:rPr>
      <w:rFonts w:cs="David"/>
      <w:sz w:val="24"/>
      <w:szCs w:val="24"/>
    </w:rPr>
  </w:style>
  <w:style w:type="character" w:customStyle="1" w:styleId="1f2">
    <w:name w:val="טקסט הערת שוליים תו1"/>
    <w:aliases w:val="Sharp - Footnote Text1 Char תו"/>
    <w:uiPriority w:val="99"/>
    <w:locked/>
    <w:rsid w:val="002516DF"/>
    <w:rPr>
      <w:rFonts w:cs="David"/>
      <w:sz w:val="20"/>
      <w:szCs w:val="20"/>
      <w:lang w:bidi="he-IL"/>
    </w:rPr>
  </w:style>
  <w:style w:type="paragraph" w:customStyle="1" w:styleId="takzir">
    <w:name w:val="takzir"/>
    <w:basedOn w:val="a4"/>
    <w:rsid w:val="002516DF"/>
    <w:pPr>
      <w:spacing w:after="120" w:line="240" w:lineRule="exact"/>
    </w:pPr>
    <w:rPr>
      <w:rFonts w:eastAsia="Times New Roman"/>
      <w:b/>
      <w:bCs/>
      <w:noProof/>
      <w:sz w:val="22"/>
      <w:szCs w:val="22"/>
      <w:lang w:eastAsia="he-IL"/>
    </w:rPr>
  </w:style>
  <w:style w:type="character" w:customStyle="1" w:styleId="90">
    <w:name w:val="כותרת 9 תו"/>
    <w:locked/>
    <w:rsid w:val="002516DF"/>
    <w:rPr>
      <w:rFonts w:ascii="Cambria" w:hAnsi="Cambria" w:cs="Times New Roman"/>
    </w:rPr>
  </w:style>
  <w:style w:type="paragraph" w:customStyle="1" w:styleId="BulletList2">
    <w:name w:val="Bullet List 2"/>
    <w:basedOn w:val="a4"/>
    <w:link w:val="BulletList20"/>
    <w:rsid w:val="002516DF"/>
    <w:pPr>
      <w:numPr>
        <w:numId w:val="4"/>
      </w:numPr>
      <w:snapToGrid w:val="0"/>
      <w:spacing w:before="120" w:line="320" w:lineRule="exact"/>
    </w:pPr>
    <w:rPr>
      <w:rFonts w:eastAsia="Times New Roman"/>
      <w:sz w:val="22"/>
      <w:szCs w:val="28"/>
      <w:lang w:eastAsia="he-IL"/>
    </w:rPr>
  </w:style>
  <w:style w:type="paragraph" w:customStyle="1" w:styleId="Hn1">
    <w:name w:val="Hn1"/>
    <w:basedOn w:val="a4"/>
    <w:next w:val="a4"/>
    <w:rsid w:val="002516DF"/>
    <w:pPr>
      <w:keepNext/>
      <w:numPr>
        <w:numId w:val="5"/>
      </w:numPr>
      <w:snapToGrid w:val="0"/>
      <w:spacing w:before="240" w:after="120" w:line="320" w:lineRule="exact"/>
      <w:outlineLvl w:val="0"/>
    </w:pPr>
    <w:rPr>
      <w:rFonts w:eastAsia="Times New Roman"/>
      <w:b/>
      <w:bCs/>
      <w:kern w:val="32"/>
      <w:sz w:val="28"/>
      <w:szCs w:val="32"/>
      <w:lang w:val="pl-PL" w:eastAsia="he-IL"/>
    </w:rPr>
  </w:style>
  <w:style w:type="paragraph" w:customStyle="1" w:styleId="Hn2">
    <w:name w:val="Hn2"/>
    <w:basedOn w:val="Hn1"/>
    <w:next w:val="a4"/>
    <w:rsid w:val="002516DF"/>
    <w:pPr>
      <w:numPr>
        <w:ilvl w:val="1"/>
      </w:numPr>
    </w:pPr>
    <w:rPr>
      <w:sz w:val="24"/>
      <w:szCs w:val="28"/>
    </w:rPr>
  </w:style>
  <w:style w:type="paragraph" w:customStyle="1" w:styleId="Hn5">
    <w:name w:val="Hn5"/>
    <w:basedOn w:val="a4"/>
    <w:next w:val="a4"/>
    <w:rsid w:val="002516DF"/>
    <w:pPr>
      <w:numPr>
        <w:ilvl w:val="4"/>
        <w:numId w:val="5"/>
      </w:numPr>
      <w:snapToGrid w:val="0"/>
      <w:spacing w:before="240" w:after="120" w:line="320" w:lineRule="exact"/>
      <w:outlineLvl w:val="4"/>
    </w:pPr>
    <w:rPr>
      <w:rFonts w:eastAsia="Times New Roman"/>
      <w:b/>
      <w:bCs/>
      <w:sz w:val="22"/>
      <w:szCs w:val="28"/>
      <w:lang w:eastAsia="he-IL"/>
    </w:rPr>
  </w:style>
  <w:style w:type="paragraph" w:customStyle="1" w:styleId="Hn3">
    <w:name w:val="Hn3"/>
    <w:basedOn w:val="a4"/>
    <w:next w:val="a4"/>
    <w:link w:val="Hn30"/>
    <w:rsid w:val="002516DF"/>
    <w:pPr>
      <w:numPr>
        <w:ilvl w:val="2"/>
        <w:numId w:val="5"/>
      </w:numPr>
      <w:snapToGrid w:val="0"/>
      <w:spacing w:before="240" w:after="120" w:line="320" w:lineRule="atLeast"/>
      <w:outlineLvl w:val="2"/>
    </w:pPr>
    <w:rPr>
      <w:rFonts w:eastAsia="Times New Roman"/>
      <w:b/>
      <w:bCs/>
      <w:sz w:val="24"/>
    </w:rPr>
  </w:style>
  <w:style w:type="paragraph" w:customStyle="1" w:styleId="Hn4">
    <w:name w:val="Hn4"/>
    <w:basedOn w:val="a4"/>
    <w:next w:val="a4"/>
    <w:rsid w:val="002516DF"/>
    <w:pPr>
      <w:numPr>
        <w:ilvl w:val="3"/>
        <w:numId w:val="5"/>
      </w:numPr>
      <w:snapToGrid w:val="0"/>
      <w:spacing w:before="240" w:after="120" w:line="320" w:lineRule="exact"/>
      <w:outlineLvl w:val="3"/>
    </w:pPr>
    <w:rPr>
      <w:rFonts w:eastAsia="Times New Roman"/>
      <w:b/>
      <w:bCs/>
      <w:sz w:val="22"/>
      <w:szCs w:val="28"/>
      <w:lang w:eastAsia="he-IL"/>
    </w:rPr>
  </w:style>
  <w:style w:type="character" w:customStyle="1" w:styleId="Hn30">
    <w:name w:val="Hn3 תו"/>
    <w:link w:val="Hn3"/>
    <w:rsid w:val="002516DF"/>
    <w:rPr>
      <w:rFonts w:eastAsia="Times New Roman"/>
      <w:b/>
      <w:bCs/>
      <w:sz w:val="24"/>
    </w:rPr>
  </w:style>
  <w:style w:type="character" w:customStyle="1" w:styleId="BulletList20">
    <w:name w:val="Bullet List 2 תו"/>
    <w:link w:val="BulletList2"/>
    <w:rsid w:val="002516DF"/>
    <w:rPr>
      <w:rFonts w:eastAsia="Times New Roman"/>
      <w:sz w:val="22"/>
      <w:szCs w:val="28"/>
      <w:lang w:eastAsia="he-IL"/>
    </w:rPr>
  </w:style>
  <w:style w:type="table" w:customStyle="1" w:styleId="5-11">
    <w:name w:val="טבלת רשת 5 כהה - הדגשה 11"/>
    <w:basedOn w:val="a6"/>
    <w:uiPriority w:val="50"/>
    <w:rsid w:val="002516DF"/>
    <w:pPr>
      <w:spacing w:after="0" w:line="240" w:lineRule="auto"/>
      <w:jc w:val="left"/>
    </w:pPr>
    <w:rPr>
      <w:rFonts w:eastAsia="Calibri"/>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3-11">
    <w:name w:val="טבלת רשימה 3 - הדגשה 11"/>
    <w:basedOn w:val="a6"/>
    <w:uiPriority w:val="48"/>
    <w:rsid w:val="002516DF"/>
    <w:pPr>
      <w:spacing w:after="0" w:line="240" w:lineRule="auto"/>
      <w:jc w:val="left"/>
    </w:pPr>
    <w:rPr>
      <w:rFonts w:eastAsia="Calibri"/>
      <w:szCs w:val="20"/>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310">
    <w:name w:val="טבלת רשימה 31"/>
    <w:basedOn w:val="a6"/>
    <w:uiPriority w:val="48"/>
    <w:rsid w:val="002516DF"/>
    <w:pPr>
      <w:spacing w:after="0" w:line="240" w:lineRule="auto"/>
      <w:jc w:val="left"/>
    </w:pPr>
    <w:rPr>
      <w:rFonts w:eastAsia="Calibri"/>
      <w:szCs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1f3">
    <w:name w:val="רשת טבלה בהירה1"/>
    <w:basedOn w:val="a6"/>
    <w:uiPriority w:val="40"/>
    <w:rsid w:val="002516DF"/>
    <w:pPr>
      <w:spacing w:after="0" w:line="240" w:lineRule="auto"/>
      <w:jc w:val="left"/>
    </w:pPr>
    <w:rPr>
      <w:rFonts w:eastAsia="Calibri"/>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1f4">
    <w:name w:val="הפניה להערה1"/>
    <w:uiPriority w:val="99"/>
    <w:semiHidden/>
    <w:unhideWhenUsed/>
    <w:rsid w:val="002516DF"/>
    <w:rPr>
      <w:sz w:val="16"/>
      <w:szCs w:val="16"/>
    </w:rPr>
  </w:style>
  <w:style w:type="paragraph" w:customStyle="1" w:styleId="1f5">
    <w:name w:val="טקסט הערה1"/>
    <w:basedOn w:val="a4"/>
    <w:link w:val="affb"/>
    <w:uiPriority w:val="99"/>
    <w:unhideWhenUsed/>
    <w:rsid w:val="002516DF"/>
    <w:pPr>
      <w:spacing w:line="240" w:lineRule="auto"/>
    </w:pPr>
    <w:rPr>
      <w:rFonts w:eastAsia="Calibri"/>
      <w:szCs w:val="20"/>
    </w:rPr>
  </w:style>
  <w:style w:type="character" w:customStyle="1" w:styleId="affb">
    <w:name w:val="טקסט הערה תו"/>
    <w:link w:val="1f5"/>
    <w:uiPriority w:val="99"/>
    <w:rsid w:val="002516DF"/>
    <w:rPr>
      <w:rFonts w:eastAsia="Calibri"/>
      <w:szCs w:val="20"/>
    </w:rPr>
  </w:style>
  <w:style w:type="paragraph" w:customStyle="1" w:styleId="1f6">
    <w:name w:val="נושא הערה1"/>
    <w:basedOn w:val="1f5"/>
    <w:next w:val="1f5"/>
    <w:link w:val="affc"/>
    <w:uiPriority w:val="99"/>
    <w:semiHidden/>
    <w:unhideWhenUsed/>
    <w:rsid w:val="002516DF"/>
    <w:rPr>
      <w:b/>
      <w:bCs/>
    </w:rPr>
  </w:style>
  <w:style w:type="character" w:customStyle="1" w:styleId="affc">
    <w:name w:val="נושא הערה תו"/>
    <w:link w:val="1f6"/>
    <w:uiPriority w:val="99"/>
    <w:semiHidden/>
    <w:rsid w:val="002516DF"/>
    <w:rPr>
      <w:rFonts w:eastAsia="Calibri"/>
      <w:b/>
      <w:bCs/>
      <w:szCs w:val="20"/>
    </w:rPr>
  </w:style>
  <w:style w:type="character" w:customStyle="1" w:styleId="211">
    <w:name w:val="כותרת 2 תו1"/>
    <w:basedOn w:val="a5"/>
    <w:uiPriority w:val="1"/>
    <w:rsid w:val="002516DF"/>
    <w:rPr>
      <w:rFonts w:asciiTheme="majorHAnsi" w:eastAsiaTheme="majorEastAsia" w:hAnsiTheme="majorHAnsi" w:cstheme="majorBidi"/>
      <w:color w:val="365F91" w:themeColor="accent1" w:themeShade="BF"/>
      <w:sz w:val="26"/>
      <w:szCs w:val="26"/>
    </w:rPr>
  </w:style>
  <w:style w:type="character" w:customStyle="1" w:styleId="311">
    <w:name w:val="כותרת 3 תו1"/>
    <w:basedOn w:val="a5"/>
    <w:uiPriority w:val="1"/>
    <w:rsid w:val="002516DF"/>
    <w:rPr>
      <w:rFonts w:asciiTheme="majorHAnsi" w:eastAsiaTheme="majorEastAsia" w:hAnsiTheme="majorHAnsi" w:cstheme="majorBidi"/>
      <w:color w:val="243F60" w:themeColor="accent1" w:themeShade="7F"/>
      <w:sz w:val="24"/>
      <w:szCs w:val="24"/>
    </w:rPr>
  </w:style>
  <w:style w:type="character" w:customStyle="1" w:styleId="1f7">
    <w:name w:val="תאריך תו1"/>
    <w:basedOn w:val="a5"/>
    <w:uiPriority w:val="99"/>
    <w:semiHidden/>
    <w:rsid w:val="002516DF"/>
    <w:rPr>
      <w:szCs w:val="24"/>
    </w:rPr>
  </w:style>
  <w:style w:type="character" w:customStyle="1" w:styleId="170">
    <w:name w:val="תו תו17"/>
    <w:semiHidden/>
    <w:locked/>
    <w:rsid w:val="002516DF"/>
    <w:rPr>
      <w:b/>
      <w:spacing w:val="40"/>
      <w:sz w:val="24"/>
      <w:lang w:val="en-US" w:eastAsia="he-IL" w:bidi="he-IL"/>
    </w:rPr>
  </w:style>
  <w:style w:type="paragraph" w:customStyle="1" w:styleId="P000">
    <w:name w:val="P00"/>
    <w:link w:val="P001"/>
    <w:uiPriority w:val="99"/>
    <w:rsid w:val="00387987"/>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after="0" w:line="240" w:lineRule="auto"/>
      <w:ind w:left="2835"/>
    </w:pPr>
    <w:rPr>
      <w:rFonts w:eastAsia="Times New Roman" w:cs="FrankRuehl"/>
      <w:noProof/>
      <w:szCs w:val="26"/>
      <w:lang w:eastAsia="he-IL"/>
    </w:rPr>
  </w:style>
  <w:style w:type="character" w:customStyle="1" w:styleId="big-number">
    <w:name w:val="big-number"/>
    <w:basedOn w:val="a5"/>
    <w:rsid w:val="00387987"/>
  </w:style>
  <w:style w:type="paragraph" w:customStyle="1" w:styleId="header-2">
    <w:name w:val="header-2"/>
    <w:basedOn w:val="a4"/>
    <w:rsid w:val="00387987"/>
    <w:pPr>
      <w:bidi w:val="0"/>
      <w:spacing w:before="100" w:beforeAutospacing="1" w:after="100" w:afterAutospacing="1" w:line="240" w:lineRule="auto"/>
      <w:jc w:val="left"/>
    </w:pPr>
    <w:rPr>
      <w:rFonts w:eastAsia="Times New Roman" w:cs="Times New Roman"/>
      <w:sz w:val="24"/>
    </w:rPr>
  </w:style>
  <w:style w:type="paragraph" w:customStyle="1" w:styleId="medium2-header">
    <w:name w:val="medium2-header"/>
    <w:basedOn w:val="a4"/>
    <w:rsid w:val="00387987"/>
    <w:pPr>
      <w:bidi w:val="0"/>
      <w:spacing w:before="100" w:beforeAutospacing="1" w:after="100" w:afterAutospacing="1" w:line="240" w:lineRule="auto"/>
      <w:jc w:val="left"/>
    </w:pPr>
    <w:rPr>
      <w:rFonts w:eastAsia="Times New Roman" w:cs="Times New Roman"/>
      <w:sz w:val="24"/>
    </w:rPr>
  </w:style>
  <w:style w:type="paragraph" w:customStyle="1" w:styleId="p22">
    <w:name w:val="p22"/>
    <w:basedOn w:val="a4"/>
    <w:rsid w:val="00387987"/>
    <w:pPr>
      <w:bidi w:val="0"/>
      <w:spacing w:before="100" w:beforeAutospacing="1" w:after="100" w:afterAutospacing="1" w:line="240" w:lineRule="auto"/>
      <w:jc w:val="left"/>
    </w:pPr>
    <w:rPr>
      <w:rFonts w:eastAsia="Times New Roman" w:cs="Times New Roman"/>
      <w:sz w:val="24"/>
    </w:rPr>
  </w:style>
  <w:style w:type="paragraph" w:customStyle="1" w:styleId="p11">
    <w:name w:val="p11"/>
    <w:basedOn w:val="a4"/>
    <w:rsid w:val="00387987"/>
    <w:pPr>
      <w:bidi w:val="0"/>
      <w:spacing w:before="100" w:beforeAutospacing="1" w:after="100" w:afterAutospacing="1" w:line="240" w:lineRule="auto"/>
      <w:jc w:val="left"/>
    </w:pPr>
    <w:rPr>
      <w:rFonts w:eastAsia="Times New Roman" w:cs="Times New Roman"/>
      <w:sz w:val="24"/>
    </w:rPr>
  </w:style>
  <w:style w:type="character" w:customStyle="1" w:styleId="highlight">
    <w:name w:val="highlight"/>
    <w:basedOn w:val="a5"/>
    <w:rsid w:val="00387987"/>
  </w:style>
  <w:style w:type="table" w:customStyle="1" w:styleId="4-41">
    <w:name w:val="טבלת רשת 4 - הדגשה 41"/>
    <w:basedOn w:val="a6"/>
    <w:uiPriority w:val="49"/>
    <w:rsid w:val="00387987"/>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1-11">
    <w:name w:val="טבלת רשת 1 בהירה - הדגשה 11"/>
    <w:basedOn w:val="a6"/>
    <w:uiPriority w:val="46"/>
    <w:rsid w:val="00387987"/>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1-31">
    <w:name w:val="טבלת רשת 1 בהירה - הדגשה 31"/>
    <w:basedOn w:val="a6"/>
    <w:uiPriority w:val="46"/>
    <w:rsid w:val="00387987"/>
    <w:pPr>
      <w:spacing w:after="0" w:line="240" w:lineRule="auto"/>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4-11">
    <w:name w:val="טבלת רשת 4 - הדגשה 11"/>
    <w:basedOn w:val="a6"/>
    <w:uiPriority w:val="49"/>
    <w:rsid w:val="00387987"/>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111">
    <w:name w:val="טבלת רשת 1 בהירה1"/>
    <w:basedOn w:val="a6"/>
    <w:uiPriority w:val="46"/>
    <w:rsid w:val="0038798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511">
    <w:name w:val="טבלה רגילה 51"/>
    <w:basedOn w:val="a6"/>
    <w:uiPriority w:val="45"/>
    <w:rsid w:val="0038798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51">
    <w:name w:val="טבלת רשת 5 כהה - הדגשה 51"/>
    <w:basedOn w:val="a6"/>
    <w:uiPriority w:val="50"/>
    <w:rsid w:val="0038798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customStyle="1" w:styleId="71f8">
    <w:name w:val="71ג כוכבית טקסט רץ"/>
    <w:basedOn w:val="a4"/>
    <w:qFormat/>
    <w:rsid w:val="00A6769C"/>
    <w:pPr>
      <w:spacing w:after="180" w:line="260" w:lineRule="exact"/>
      <w:jc w:val="center"/>
    </w:pPr>
    <w:rPr>
      <w:rFonts w:ascii="Segoe UI Symbol" w:hAnsi="Segoe UI Symbol" w:cs="Segoe UI Symbol"/>
      <w:color w:val="0D0D0D" w:themeColor="text1" w:themeTint="F2"/>
      <w:sz w:val="18"/>
      <w:szCs w:val="18"/>
    </w:rPr>
  </w:style>
  <w:style w:type="paragraph" w:customStyle="1" w:styleId="71f9">
    <w:name w:val="71ג כוכבית בתוך קוביה"/>
    <w:basedOn w:val="71f4"/>
    <w:qFormat/>
    <w:rsid w:val="001F0DE8"/>
    <w:pPr>
      <w:jc w:val="center"/>
    </w:pPr>
    <w:rPr>
      <w:rFonts w:ascii="Segoe UI Symbol" w:hAnsi="Segoe UI Symbol" w:cs="Segoe UI Symbol"/>
    </w:rPr>
  </w:style>
  <w:style w:type="paragraph" w:customStyle="1" w:styleId="716">
    <w:name w:val="71ג הזחה אותיות"/>
    <w:basedOn w:val="af2"/>
    <w:qFormat/>
    <w:rsid w:val="00A1634E"/>
    <w:pPr>
      <w:numPr>
        <w:numId w:val="6"/>
      </w:numPr>
      <w:spacing w:after="180" w:line="260" w:lineRule="exact"/>
      <w:contextualSpacing w:val="0"/>
    </w:pPr>
    <w:rPr>
      <w:rFonts w:ascii="Tahoma" w:hAnsi="Tahoma" w:cs="Tahoma"/>
      <w:color w:val="0D0D0D" w:themeColor="text1" w:themeTint="F2"/>
      <w:sz w:val="18"/>
      <w:szCs w:val="18"/>
    </w:rPr>
  </w:style>
  <w:style w:type="paragraph" w:customStyle="1" w:styleId="71">
    <w:name w:val="71ג מספור בתוך קוביה"/>
    <w:basedOn w:val="af2"/>
    <w:qFormat/>
    <w:rsid w:val="001F0BBB"/>
    <w:pPr>
      <w:numPr>
        <w:numId w:val="7"/>
      </w:numPr>
      <w:pBdr>
        <w:top w:val="single" w:sz="18" w:space="4" w:color="EDF1FA"/>
        <w:left w:val="single" w:sz="18" w:space="11" w:color="EDF1FA"/>
        <w:bottom w:val="single" w:sz="18" w:space="6" w:color="EDF1FA"/>
        <w:right w:val="single" w:sz="18" w:space="11" w:color="EDF1FA"/>
      </w:pBdr>
      <w:shd w:val="solid" w:color="EDF1FA" w:fill="CEEAF5"/>
      <w:spacing w:after="180" w:line="260" w:lineRule="exact"/>
      <w:ind w:left="397" w:right="227" w:hanging="397"/>
      <w:contextualSpacing w:val="0"/>
    </w:pPr>
    <w:rPr>
      <w:rFonts w:ascii="Tahoma" w:hAnsi="Tahoma" w:cs="Tahoma"/>
      <w:color w:val="0D0D0D" w:themeColor="text1" w:themeTint="F2"/>
      <w:sz w:val="18"/>
      <w:szCs w:val="18"/>
    </w:rPr>
  </w:style>
  <w:style w:type="paragraph" w:customStyle="1" w:styleId="p33">
    <w:name w:val="p33"/>
    <w:basedOn w:val="a4"/>
    <w:rsid w:val="00114E4E"/>
    <w:pPr>
      <w:bidi w:val="0"/>
      <w:spacing w:before="100" w:beforeAutospacing="1" w:after="100" w:afterAutospacing="1" w:line="240" w:lineRule="auto"/>
      <w:jc w:val="left"/>
    </w:pPr>
    <w:rPr>
      <w:rFonts w:eastAsia="Times New Roman" w:cs="Times New Roman"/>
      <w:sz w:val="24"/>
    </w:rPr>
  </w:style>
  <w:style w:type="paragraph" w:customStyle="1" w:styleId="affd">
    <w:name w:val="נבנצלים"/>
    <w:basedOn w:val="a4"/>
    <w:next w:val="a4"/>
    <w:link w:val="1f8"/>
    <w:rsid w:val="00114E4E"/>
    <w:pPr>
      <w:widowControl w:val="0"/>
      <w:ind w:left="-567"/>
    </w:pPr>
    <w:rPr>
      <w:rFonts w:eastAsia="Times New Roman"/>
      <w:sz w:val="24"/>
      <w:szCs w:val="20"/>
      <w:lang w:eastAsia="he-IL"/>
    </w:rPr>
  </w:style>
  <w:style w:type="paragraph" w:styleId="affe">
    <w:name w:val="Body Text"/>
    <w:basedOn w:val="a4"/>
    <w:link w:val="27"/>
    <w:uiPriority w:val="99"/>
    <w:unhideWhenUsed/>
    <w:rsid w:val="00114E4E"/>
    <w:pPr>
      <w:spacing w:after="120"/>
    </w:pPr>
  </w:style>
  <w:style w:type="character" w:customStyle="1" w:styleId="27">
    <w:name w:val="גוף טקסט תו2"/>
    <w:basedOn w:val="a5"/>
    <w:link w:val="affe"/>
    <w:uiPriority w:val="99"/>
    <w:rsid w:val="00114E4E"/>
  </w:style>
  <w:style w:type="character" w:customStyle="1" w:styleId="Bodytext5">
    <w:name w:val="Body text (5)_"/>
    <w:basedOn w:val="a5"/>
    <w:link w:val="Bodytext50"/>
    <w:uiPriority w:val="99"/>
    <w:rsid w:val="00114E4E"/>
    <w:rPr>
      <w:rFonts w:ascii="David" w:eastAsia="David" w:hAnsi="David"/>
      <w:sz w:val="21"/>
      <w:szCs w:val="21"/>
      <w:shd w:val="clear" w:color="auto" w:fill="FFFFFF"/>
    </w:rPr>
  </w:style>
  <w:style w:type="paragraph" w:customStyle="1" w:styleId="Bodytext50">
    <w:name w:val="Body text (5)"/>
    <w:basedOn w:val="a4"/>
    <w:link w:val="Bodytext5"/>
    <w:uiPriority w:val="99"/>
    <w:rsid w:val="00114E4E"/>
    <w:pPr>
      <w:widowControl w:val="0"/>
      <w:shd w:val="clear" w:color="auto" w:fill="FFFFFF"/>
      <w:spacing w:before="480" w:line="234" w:lineRule="exact"/>
      <w:ind w:hanging="5440"/>
      <w:jc w:val="left"/>
    </w:pPr>
    <w:rPr>
      <w:rFonts w:ascii="David" w:eastAsia="David" w:hAnsi="David"/>
      <w:sz w:val="21"/>
      <w:szCs w:val="21"/>
    </w:rPr>
  </w:style>
  <w:style w:type="paragraph" w:styleId="afff">
    <w:name w:val="Subtitle"/>
    <w:basedOn w:val="a4"/>
    <w:next w:val="a4"/>
    <w:link w:val="afff0"/>
    <w:uiPriority w:val="11"/>
    <w:qFormat/>
    <w:rsid w:val="00114E4E"/>
    <w:pPr>
      <w:spacing w:after="60" w:line="240" w:lineRule="auto"/>
      <w:jc w:val="center"/>
      <w:outlineLvl w:val="1"/>
    </w:pPr>
    <w:rPr>
      <w:rFonts w:ascii="Cambria" w:eastAsia="Times New Roman" w:hAnsi="Cambria" w:cs="Times New Roman"/>
      <w:sz w:val="24"/>
      <w:lang w:val="x-none" w:eastAsia="x-none"/>
    </w:rPr>
  </w:style>
  <w:style w:type="character" w:customStyle="1" w:styleId="afff0">
    <w:name w:val="כותרת משנה תו"/>
    <w:basedOn w:val="a5"/>
    <w:link w:val="afff"/>
    <w:uiPriority w:val="11"/>
    <w:rsid w:val="00114E4E"/>
    <w:rPr>
      <w:rFonts w:ascii="Cambria" w:eastAsia="Times New Roman" w:hAnsi="Cambria" w:cs="Times New Roman"/>
      <w:sz w:val="24"/>
      <w:lang w:val="x-none" w:eastAsia="x-none"/>
    </w:rPr>
  </w:style>
  <w:style w:type="paragraph" w:styleId="z-">
    <w:name w:val="HTML Top of Form"/>
    <w:basedOn w:val="a4"/>
    <w:next w:val="a4"/>
    <w:link w:val="z-0"/>
    <w:hidden/>
    <w:uiPriority w:val="99"/>
    <w:semiHidden/>
    <w:unhideWhenUsed/>
    <w:rsid w:val="00114E4E"/>
    <w:pPr>
      <w:pBdr>
        <w:bottom w:val="single" w:sz="6" w:space="1" w:color="auto"/>
      </w:pBdr>
      <w:bidi w:val="0"/>
      <w:spacing w:line="240" w:lineRule="auto"/>
      <w:jc w:val="center"/>
    </w:pPr>
    <w:rPr>
      <w:rFonts w:ascii="Arial" w:eastAsia="Times New Roman" w:hAnsi="Arial" w:cs="Arial"/>
      <w:vanish/>
      <w:sz w:val="16"/>
      <w:szCs w:val="16"/>
    </w:rPr>
  </w:style>
  <w:style w:type="character" w:customStyle="1" w:styleId="z-0">
    <w:name w:val="z-ראש טופס תו"/>
    <w:basedOn w:val="a5"/>
    <w:link w:val="z-"/>
    <w:uiPriority w:val="99"/>
    <w:semiHidden/>
    <w:rsid w:val="00114E4E"/>
    <w:rPr>
      <w:rFonts w:ascii="Arial" w:eastAsia="Times New Roman" w:hAnsi="Arial" w:cs="Arial"/>
      <w:vanish/>
      <w:sz w:val="16"/>
      <w:szCs w:val="16"/>
    </w:rPr>
  </w:style>
  <w:style w:type="character" w:customStyle="1" w:styleId="92">
    <w:name w:val="כותרת 9 תו2"/>
    <w:basedOn w:val="a5"/>
    <w:link w:val="9"/>
    <w:uiPriority w:val="9"/>
    <w:rsid w:val="00BA23AE"/>
    <w:rPr>
      <w:rFonts w:asciiTheme="majorHAnsi" w:eastAsiaTheme="majorEastAsia" w:hAnsiTheme="majorHAnsi" w:cstheme="majorBidi"/>
      <w:i/>
      <w:iCs/>
      <w:color w:val="272727" w:themeColor="text1" w:themeTint="D8"/>
      <w:sz w:val="21"/>
      <w:szCs w:val="21"/>
    </w:rPr>
  </w:style>
  <w:style w:type="character" w:customStyle="1" w:styleId="P001">
    <w:name w:val="P00 תו"/>
    <w:link w:val="P000"/>
    <w:rsid w:val="00BA23AE"/>
    <w:rPr>
      <w:rFonts w:eastAsia="Times New Roman" w:cs="FrankRuehl"/>
      <w:noProof/>
      <w:szCs w:val="26"/>
      <w:lang w:eastAsia="he-IL"/>
    </w:rPr>
  </w:style>
  <w:style w:type="paragraph" w:customStyle="1" w:styleId="HNormal">
    <w:name w:val="HNormal"/>
    <w:rsid w:val="00BA23AE"/>
    <w:pPr>
      <w:bidi/>
      <w:spacing w:before="60" w:after="120" w:line="240" w:lineRule="auto"/>
    </w:pPr>
    <w:rPr>
      <w:rFonts w:eastAsia="Times New Roman"/>
      <w:noProof/>
      <w:lang w:eastAsia="he-IL"/>
    </w:rPr>
  </w:style>
  <w:style w:type="paragraph" w:customStyle="1" w:styleId="font2">
    <w:name w:val="font_2"/>
    <w:basedOn w:val="a4"/>
    <w:rsid w:val="00BA23AE"/>
    <w:pPr>
      <w:bidi w:val="0"/>
      <w:spacing w:before="100" w:beforeAutospacing="1" w:after="100" w:afterAutospacing="1" w:line="240" w:lineRule="auto"/>
      <w:jc w:val="left"/>
    </w:pPr>
    <w:rPr>
      <w:rFonts w:eastAsia="Times New Roman" w:cs="Times New Roman"/>
      <w:sz w:val="24"/>
    </w:rPr>
  </w:style>
  <w:style w:type="table" w:customStyle="1" w:styleId="4-61">
    <w:name w:val="טבלת רשת 4 - הדגשה 61"/>
    <w:basedOn w:val="a6"/>
    <w:uiPriority w:val="49"/>
    <w:rsid w:val="00BA23AE"/>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312">
    <w:name w:val="טבלת רשת 31"/>
    <w:basedOn w:val="a6"/>
    <w:uiPriority w:val="48"/>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220">
    <w:name w:val="P22"/>
    <w:basedOn w:val="P000"/>
    <w:rsid w:val="00BA23AE"/>
    <w:pPr>
      <w:tabs>
        <w:tab w:val="clear" w:pos="624"/>
        <w:tab w:val="clear" w:pos="1021"/>
      </w:tabs>
      <w:ind w:right="1021"/>
    </w:pPr>
  </w:style>
  <w:style w:type="paragraph" w:customStyle="1" w:styleId="P330">
    <w:name w:val="P33"/>
    <w:basedOn w:val="P000"/>
    <w:rsid w:val="00BA23AE"/>
    <w:pPr>
      <w:tabs>
        <w:tab w:val="clear" w:pos="624"/>
        <w:tab w:val="clear" w:pos="1021"/>
        <w:tab w:val="clear" w:pos="1474"/>
      </w:tabs>
      <w:ind w:right="1474"/>
    </w:pPr>
  </w:style>
  <w:style w:type="table" w:customStyle="1" w:styleId="6-31">
    <w:name w:val="טבלת רשת 6 צבעונית - הדגשה 31"/>
    <w:basedOn w:val="a6"/>
    <w:uiPriority w:val="51"/>
    <w:rsid w:val="00BA23AE"/>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f27p">
    <w:name w:val="f27p"/>
    <w:basedOn w:val="a5"/>
    <w:rsid w:val="00BA23AE"/>
  </w:style>
  <w:style w:type="paragraph" w:styleId="afff1">
    <w:name w:val="No Spacing"/>
    <w:link w:val="afff2"/>
    <w:uiPriority w:val="1"/>
    <w:qFormat/>
    <w:rsid w:val="00BA23AE"/>
    <w:pPr>
      <w:bidi/>
      <w:spacing w:after="0" w:line="240" w:lineRule="auto"/>
      <w:jc w:val="left"/>
    </w:pPr>
    <w:rPr>
      <w:rFonts w:asciiTheme="minorHAnsi" w:eastAsiaTheme="minorEastAsia" w:hAnsiTheme="minorHAnsi" w:cstheme="minorBidi"/>
      <w:sz w:val="22"/>
      <w:szCs w:val="22"/>
    </w:rPr>
  </w:style>
  <w:style w:type="character" w:customStyle="1" w:styleId="afff2">
    <w:name w:val="ללא מרווח תו"/>
    <w:basedOn w:val="a5"/>
    <w:link w:val="afff1"/>
    <w:uiPriority w:val="1"/>
    <w:rsid w:val="00BA23AE"/>
    <w:rPr>
      <w:rFonts w:asciiTheme="minorHAnsi" w:eastAsiaTheme="minorEastAsia" w:hAnsiTheme="minorHAnsi" w:cstheme="minorBidi"/>
      <w:sz w:val="22"/>
      <w:szCs w:val="22"/>
    </w:rPr>
  </w:style>
  <w:style w:type="paragraph" w:customStyle="1" w:styleId="CharChar">
    <w:name w:val="גופן ברירת המחדל של קטע פסקה תו Char תו Char תו"/>
    <w:basedOn w:val="a4"/>
    <w:rsid w:val="00BA23AE"/>
    <w:pPr>
      <w:keepLines/>
      <w:tabs>
        <w:tab w:val="left" w:pos="397"/>
        <w:tab w:val="left" w:pos="794"/>
        <w:tab w:val="left" w:pos="1191"/>
        <w:tab w:val="left" w:pos="1588"/>
        <w:tab w:val="left" w:pos="1985"/>
        <w:tab w:val="left" w:pos="2381"/>
        <w:tab w:val="left" w:pos="2778"/>
        <w:tab w:val="left" w:pos="3175"/>
        <w:tab w:val="left" w:pos="3572"/>
      </w:tabs>
      <w:spacing w:line="240" w:lineRule="auto"/>
    </w:pPr>
    <w:rPr>
      <w:rFonts w:ascii="Arial" w:eastAsia="Times New Roman" w:hAnsi="Arial"/>
      <w:noProof/>
      <w:sz w:val="24"/>
      <w:szCs w:val="28"/>
      <w:lang w:eastAsia="he-IL"/>
    </w:rPr>
  </w:style>
  <w:style w:type="character" w:customStyle="1" w:styleId="91">
    <w:name w:val="כותרת 9 תו1"/>
    <w:basedOn w:val="a5"/>
    <w:uiPriority w:val="9"/>
    <w:rsid w:val="00BA23AE"/>
    <w:rPr>
      <w:rFonts w:asciiTheme="majorHAnsi" w:eastAsiaTheme="majorEastAsia" w:hAnsiTheme="majorHAnsi" w:cstheme="majorBidi"/>
      <w:i/>
      <w:iCs/>
      <w:color w:val="632423" w:themeColor="accent2" w:themeShade="80"/>
      <w:sz w:val="22"/>
      <w:szCs w:val="22"/>
    </w:rPr>
  </w:style>
  <w:style w:type="table" w:customStyle="1" w:styleId="411">
    <w:name w:val="טבלת רשת 41"/>
    <w:basedOn w:val="a6"/>
    <w:uiPriority w:val="49"/>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2">
    <w:name w:val="טבלת רשת 21"/>
    <w:basedOn w:val="a6"/>
    <w:uiPriority w:val="47"/>
    <w:rsid w:val="00BA23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bodyruller">
    <w:name w:val="bodyruller"/>
    <w:basedOn w:val="a4"/>
    <w:rsid w:val="00BA23AE"/>
    <w:pPr>
      <w:bidi w:val="0"/>
      <w:spacing w:before="100" w:beforeAutospacing="1" w:after="100" w:afterAutospacing="1" w:line="240" w:lineRule="auto"/>
      <w:jc w:val="left"/>
    </w:pPr>
    <w:rPr>
      <w:rFonts w:eastAsia="Times New Roman" w:cs="Times New Roman"/>
      <w:sz w:val="24"/>
    </w:rPr>
  </w:style>
  <w:style w:type="paragraph" w:customStyle="1" w:styleId="ruller40">
    <w:name w:val="ruller40"/>
    <w:basedOn w:val="a4"/>
    <w:rsid w:val="00BA23AE"/>
    <w:pPr>
      <w:bidi w:val="0"/>
      <w:spacing w:before="100" w:beforeAutospacing="1" w:after="100" w:afterAutospacing="1" w:line="240" w:lineRule="auto"/>
      <w:jc w:val="left"/>
    </w:pPr>
    <w:rPr>
      <w:rFonts w:eastAsia="Times New Roman" w:cs="Times New Roman"/>
      <w:sz w:val="24"/>
    </w:rPr>
  </w:style>
  <w:style w:type="paragraph" w:customStyle="1" w:styleId="afff3">
    <w:name w:val="טבלה הערות מתחת"/>
    <w:basedOn w:val="719"/>
    <w:qFormat/>
    <w:rsid w:val="00771BEC"/>
    <w:pPr>
      <w:spacing w:before="120"/>
    </w:pPr>
  </w:style>
  <w:style w:type="paragraph" w:customStyle="1" w:styleId="715">
    <w:name w:val="71ג אותיות רשימה א"/>
    <w:aliases w:val="ב כניסה 1"/>
    <w:basedOn w:val="af2"/>
    <w:qFormat/>
    <w:rsid w:val="00310AC6"/>
    <w:pPr>
      <w:widowControl w:val="0"/>
      <w:numPr>
        <w:numId w:val="8"/>
      </w:numPr>
      <w:spacing w:after="180" w:line="260" w:lineRule="exact"/>
      <w:contextualSpacing w:val="0"/>
    </w:pPr>
    <w:rPr>
      <w:rFonts w:ascii="Tahoma" w:hAnsi="Tahoma" w:cs="Tahoma"/>
      <w:color w:val="0D0D0D" w:themeColor="text1" w:themeTint="F2"/>
      <w:sz w:val="18"/>
      <w:szCs w:val="18"/>
    </w:rPr>
  </w:style>
  <w:style w:type="paragraph" w:customStyle="1" w:styleId="71BULLETS0">
    <w:name w:val="71גבולטים BULLETS"/>
    <w:basedOn w:val="af2"/>
    <w:qFormat/>
    <w:rsid w:val="00A858E9"/>
    <w:pPr>
      <w:numPr>
        <w:numId w:val="9"/>
      </w:numPr>
      <w:pBdr>
        <w:top w:val="dashed" w:sz="18" w:space="4" w:color="EDF1FA"/>
        <w:left w:val="dashed" w:sz="18" w:space="11" w:color="EDF1FA"/>
        <w:bottom w:val="dashed" w:sz="18" w:space="6" w:color="EDF1FA"/>
        <w:right w:val="dashed" w:sz="18" w:space="11" w:color="EDF1FA"/>
      </w:pBdr>
      <w:shd w:val="solid" w:color="EDF1FA" w:fill="auto"/>
      <w:tabs>
        <w:tab w:val="left" w:pos="70"/>
        <w:tab w:val="left" w:pos="990"/>
        <w:tab w:val="left" w:pos="1510"/>
      </w:tabs>
      <w:spacing w:after="180" w:line="260" w:lineRule="exact"/>
      <w:ind w:left="681" w:right="227" w:hanging="397"/>
    </w:pPr>
    <w:rPr>
      <w:rFonts w:ascii="Tahoma" w:hAnsi="Tahoma" w:cs="Tahoma"/>
      <w:color w:val="0D0D0D" w:themeColor="text1" w:themeTint="F2"/>
      <w:sz w:val="18"/>
      <w:szCs w:val="18"/>
    </w:rPr>
  </w:style>
  <w:style w:type="paragraph" w:customStyle="1" w:styleId="afff4">
    <w:name w:val="אורח"/>
    <w:basedOn w:val="a4"/>
    <w:next w:val="a4"/>
    <w:rsid w:val="00CF1EB5"/>
    <w:pPr>
      <w:spacing w:line="240" w:lineRule="exact"/>
    </w:pPr>
    <w:rPr>
      <w:rFonts w:ascii="David" w:eastAsia="Times New Roman" w:hAnsi="David"/>
      <w:sz w:val="24"/>
      <w:u w:val="single"/>
    </w:rPr>
  </w:style>
  <w:style w:type="paragraph" w:customStyle="1" w:styleId="KeepWithNext">
    <w:name w:val="KeepWithNext"/>
    <w:basedOn w:val="a4"/>
    <w:next w:val="a4"/>
    <w:qFormat/>
    <w:rsid w:val="00CF1EB5"/>
    <w:pPr>
      <w:keepNext/>
      <w:spacing w:line="240" w:lineRule="exact"/>
    </w:pPr>
    <w:rPr>
      <w:rFonts w:eastAsia="Times New Roman"/>
      <w:sz w:val="24"/>
    </w:rPr>
  </w:style>
  <w:style w:type="paragraph" w:customStyle="1" w:styleId="afff5">
    <w:name w:val="קריאות"/>
    <w:basedOn w:val="a4"/>
    <w:next w:val="a4"/>
    <w:rsid w:val="00CF1EB5"/>
    <w:pPr>
      <w:spacing w:line="240" w:lineRule="exact"/>
    </w:pPr>
    <w:rPr>
      <w:rFonts w:ascii="David" w:eastAsia="Times New Roman" w:hAnsi="David"/>
      <w:sz w:val="24"/>
      <w:u w:val="single"/>
      <w:lang w:eastAsia="he-IL"/>
    </w:rPr>
  </w:style>
  <w:style w:type="paragraph" w:customStyle="1" w:styleId="-0">
    <w:name w:val="דובר-המשך"/>
    <w:basedOn w:val="a4"/>
    <w:next w:val="a4"/>
    <w:rsid w:val="00CF1EB5"/>
    <w:pPr>
      <w:spacing w:line="240" w:lineRule="exact"/>
    </w:pPr>
    <w:rPr>
      <w:rFonts w:ascii="David" w:eastAsia="Times New Roman" w:hAnsi="David"/>
      <w:sz w:val="24"/>
      <w:u w:val="single"/>
      <w:lang w:eastAsia="he-IL"/>
    </w:rPr>
  </w:style>
  <w:style w:type="paragraph" w:customStyle="1" w:styleId="afff6">
    <w:name w:val="יור"/>
    <w:basedOn w:val="a4"/>
    <w:next w:val="a4"/>
    <w:rsid w:val="00CF1EB5"/>
    <w:pPr>
      <w:spacing w:line="240" w:lineRule="exact"/>
    </w:pPr>
    <w:rPr>
      <w:rFonts w:ascii="David" w:eastAsia="Times New Roman" w:hAnsi="David"/>
      <w:sz w:val="24"/>
      <w:u w:val="single"/>
      <w:lang w:eastAsia="he-IL"/>
    </w:rPr>
  </w:style>
  <w:style w:type="character" w:customStyle="1" w:styleId="Char">
    <w:name w:val="ציטוט בג&quot;צ Char"/>
    <w:link w:val="afff7"/>
    <w:locked/>
    <w:rsid w:val="00CF1EB5"/>
    <w:rPr>
      <w:bCs/>
      <w:noProof/>
      <w:sz w:val="24"/>
      <w:lang w:eastAsia="he-IL"/>
    </w:rPr>
  </w:style>
  <w:style w:type="paragraph" w:customStyle="1" w:styleId="afff7">
    <w:name w:val="ציטוט בג&quot;צ"/>
    <w:basedOn w:val="a4"/>
    <w:link w:val="Char"/>
    <w:qFormat/>
    <w:rsid w:val="00CF1EB5"/>
    <w:pPr>
      <w:spacing w:line="240" w:lineRule="auto"/>
      <w:ind w:left="1440" w:right="1440"/>
    </w:pPr>
    <w:rPr>
      <w:bCs/>
      <w:noProof/>
      <w:sz w:val="24"/>
      <w:lang w:eastAsia="he-IL"/>
    </w:rPr>
  </w:style>
  <w:style w:type="character" w:customStyle="1" w:styleId="il">
    <w:name w:val="il"/>
    <w:basedOn w:val="a5"/>
    <w:rsid w:val="00CF1EB5"/>
  </w:style>
  <w:style w:type="paragraph" w:customStyle="1" w:styleId="71895">
    <w:name w:val="71ג כותרת 8_9.5"/>
    <w:basedOn w:val="8"/>
    <w:qFormat/>
    <w:rsid w:val="00E24570"/>
    <w:pPr>
      <w:spacing w:after="120"/>
    </w:pPr>
    <w:rPr>
      <w:rFonts w:ascii="Tahoma" w:hAnsi="Tahoma" w:cs="Tahoma"/>
      <w:color w:val="00305F"/>
      <w:spacing w:val="20"/>
      <w:sz w:val="19"/>
      <w:szCs w:val="19"/>
    </w:rPr>
  </w:style>
  <w:style w:type="paragraph" w:customStyle="1" w:styleId="71612">
    <w:name w:val="71ג כותרת 6_12"/>
    <w:basedOn w:val="71512"/>
    <w:qFormat/>
    <w:rsid w:val="00B17902"/>
    <w:rPr>
      <w:b w:val="0"/>
      <w:bCs w:val="0"/>
    </w:rPr>
  </w:style>
  <w:style w:type="paragraph" w:styleId="TOC6">
    <w:name w:val="toc 6"/>
    <w:basedOn w:val="a4"/>
    <w:next w:val="a4"/>
    <w:autoRedefine/>
    <w:uiPriority w:val="39"/>
    <w:unhideWhenUsed/>
    <w:rsid w:val="00F410B5"/>
    <w:pPr>
      <w:spacing w:after="100"/>
      <w:ind w:left="1000"/>
    </w:pPr>
  </w:style>
  <w:style w:type="table" w:customStyle="1" w:styleId="5-31">
    <w:name w:val="טבלת רשת 5 כהה - הדגשה 31"/>
    <w:basedOn w:val="a6"/>
    <w:uiPriority w:val="50"/>
    <w:rsid w:val="00E73D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2-11">
    <w:name w:val="טבלת רשת 2 - הדגשה 11"/>
    <w:basedOn w:val="a6"/>
    <w:uiPriority w:val="47"/>
    <w:rsid w:val="00E73D0E"/>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110">
    <w:name w:val="טבלת רשימה 4 - הדגשה 11"/>
    <w:basedOn w:val="a6"/>
    <w:uiPriority w:val="49"/>
    <w:rsid w:val="00E73D0E"/>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6-11">
    <w:name w:val="טבלת רשת 6 צבעונית - הדגשה 11"/>
    <w:basedOn w:val="a6"/>
    <w:uiPriority w:val="51"/>
    <w:rsid w:val="00E73D0E"/>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1f9">
    <w:name w:val="כותרת טקסט1"/>
    <w:basedOn w:val="a5"/>
    <w:rsid w:val="00D81F77"/>
  </w:style>
  <w:style w:type="paragraph" w:styleId="TOC8">
    <w:name w:val="toc 8"/>
    <w:basedOn w:val="a4"/>
    <w:next w:val="a4"/>
    <w:autoRedefine/>
    <w:uiPriority w:val="39"/>
    <w:unhideWhenUsed/>
    <w:rsid w:val="00D81F77"/>
    <w:pPr>
      <w:spacing w:after="100"/>
      <w:ind w:left="1400"/>
    </w:pPr>
  </w:style>
  <w:style w:type="character" w:customStyle="1" w:styleId="Heading2">
    <w:name w:val="Heading #2_"/>
    <w:basedOn w:val="a5"/>
    <w:link w:val="Heading20"/>
    <w:rsid w:val="00D81F77"/>
    <w:rPr>
      <w:rFonts w:ascii="David" w:eastAsia="David" w:hAnsi="David"/>
      <w:b/>
      <w:bCs/>
      <w:shd w:val="clear" w:color="auto" w:fill="FFFFFF"/>
    </w:rPr>
  </w:style>
  <w:style w:type="paragraph" w:customStyle="1" w:styleId="Heading20">
    <w:name w:val="Heading #2"/>
    <w:basedOn w:val="a4"/>
    <w:link w:val="Heading2"/>
    <w:rsid w:val="00D81F77"/>
    <w:pPr>
      <w:widowControl w:val="0"/>
      <w:shd w:val="clear" w:color="auto" w:fill="FFFFFF"/>
      <w:spacing w:line="706" w:lineRule="exact"/>
      <w:jc w:val="left"/>
      <w:outlineLvl w:val="1"/>
    </w:pPr>
    <w:rPr>
      <w:rFonts w:ascii="David" w:eastAsia="David" w:hAnsi="David"/>
      <w:b/>
      <w:bCs/>
    </w:rPr>
  </w:style>
  <w:style w:type="paragraph" w:styleId="TOC9">
    <w:name w:val="toc 9"/>
    <w:basedOn w:val="a4"/>
    <w:next w:val="a4"/>
    <w:autoRedefine/>
    <w:uiPriority w:val="39"/>
    <w:unhideWhenUsed/>
    <w:rsid w:val="005F7321"/>
    <w:pPr>
      <w:ind w:left="1600"/>
      <w:jc w:val="left"/>
    </w:pPr>
    <w:rPr>
      <w:rFonts w:asciiTheme="minorHAnsi" w:hAnsiTheme="minorHAnsi" w:cstheme="minorHAnsi"/>
      <w:sz w:val="18"/>
      <w:szCs w:val="18"/>
    </w:rPr>
  </w:style>
  <w:style w:type="paragraph" w:customStyle="1" w:styleId="listparagraph">
    <w:name w:val="listparagraph"/>
    <w:basedOn w:val="a4"/>
    <w:rsid w:val="005F7321"/>
    <w:pPr>
      <w:bidi w:val="0"/>
      <w:spacing w:before="100" w:beforeAutospacing="1" w:after="100" w:afterAutospacing="1" w:line="240" w:lineRule="auto"/>
      <w:jc w:val="left"/>
    </w:pPr>
    <w:rPr>
      <w:rFonts w:eastAsia="Times New Roman" w:cs="Times New Roman"/>
      <w:sz w:val="24"/>
    </w:rPr>
  </w:style>
  <w:style w:type="character" w:customStyle="1" w:styleId="Heading3">
    <w:name w:val="Heading #3"/>
    <w:basedOn w:val="a5"/>
    <w:rsid w:val="005F7321"/>
    <w:rPr>
      <w:rFonts w:ascii="David" w:eastAsia="David" w:hAnsi="David" w:cs="David"/>
      <w:b/>
      <w:bCs/>
      <w:i w:val="0"/>
      <w:iCs w:val="0"/>
      <w:smallCaps w:val="0"/>
      <w:strike w:val="0"/>
      <w:color w:val="000000"/>
      <w:spacing w:val="0"/>
      <w:w w:val="100"/>
      <w:position w:val="0"/>
      <w:sz w:val="22"/>
      <w:szCs w:val="22"/>
      <w:u w:val="single"/>
      <w:lang w:val="he-IL" w:eastAsia="he-IL" w:bidi="he-IL"/>
    </w:rPr>
  </w:style>
  <w:style w:type="paragraph" w:customStyle="1" w:styleId="a2">
    <w:name w:val="כותרת סעיף"/>
    <w:basedOn w:val="a4"/>
    <w:rsid w:val="005F7321"/>
    <w:pPr>
      <w:numPr>
        <w:numId w:val="10"/>
      </w:numPr>
      <w:spacing w:before="240" w:line="360" w:lineRule="auto"/>
    </w:pPr>
    <w:rPr>
      <w:rFonts w:ascii="Arial" w:eastAsia="Times New Roman" w:hAnsi="Arial" w:cs="Arial"/>
      <w:b/>
      <w:bCs/>
      <w:color w:val="1B3461"/>
      <w:sz w:val="22"/>
      <w:szCs w:val="22"/>
    </w:rPr>
  </w:style>
  <w:style w:type="paragraph" w:customStyle="1" w:styleId="71BULLETS">
    <w:name w:val="71ג בולטים BULLETS ריק"/>
    <w:basedOn w:val="af2"/>
    <w:qFormat/>
    <w:rsid w:val="00497FC7"/>
    <w:pPr>
      <w:widowControl w:val="0"/>
      <w:numPr>
        <w:numId w:val="11"/>
      </w:numPr>
      <w:spacing w:after="180" w:line="260" w:lineRule="exact"/>
      <w:ind w:left="397" w:hanging="397"/>
      <w:contextualSpacing w:val="0"/>
    </w:pPr>
    <w:rPr>
      <w:rFonts w:ascii="Tahoma" w:eastAsia="Times New Roman" w:hAnsi="Tahoma" w:cs="Tahoma"/>
      <w:color w:val="0D0D0D" w:themeColor="text1" w:themeTint="F2"/>
      <w:sz w:val="18"/>
      <w:szCs w:val="18"/>
      <w:lang w:eastAsia="he-IL"/>
    </w:rPr>
  </w:style>
  <w:style w:type="paragraph" w:customStyle="1" w:styleId="71BULLETS07">
    <w:name w:val="71ג בולטים BULLETS ריק הזחה 0.7"/>
    <w:basedOn w:val="71BULLETS"/>
    <w:qFormat/>
    <w:rsid w:val="00AA4F04"/>
    <w:pPr>
      <w:ind w:left="794"/>
    </w:pPr>
  </w:style>
  <w:style w:type="character" w:customStyle="1" w:styleId="EndnoteTextChar1">
    <w:name w:val="Endnote Text Char1"/>
    <w:basedOn w:val="a5"/>
    <w:uiPriority w:val="99"/>
    <w:semiHidden/>
    <w:rsid w:val="00DF2BC6"/>
    <w:rPr>
      <w:szCs w:val="20"/>
    </w:rPr>
  </w:style>
  <w:style w:type="character" w:customStyle="1" w:styleId="UnresolvedMention1">
    <w:name w:val="Unresolved Mention1"/>
    <w:basedOn w:val="a5"/>
    <w:uiPriority w:val="99"/>
    <w:semiHidden/>
    <w:unhideWhenUsed/>
    <w:rsid w:val="00B24213"/>
    <w:rPr>
      <w:color w:val="605E5C"/>
      <w:shd w:val="clear" w:color="auto" w:fill="E1DFDD"/>
    </w:rPr>
  </w:style>
  <w:style w:type="character" w:customStyle="1" w:styleId="ms-rtefontsize-2">
    <w:name w:val="ms-rtefontsize-2"/>
    <w:basedOn w:val="a5"/>
    <w:rsid w:val="001850C6"/>
  </w:style>
  <w:style w:type="character" w:customStyle="1" w:styleId="txt">
    <w:name w:val="txt"/>
    <w:basedOn w:val="a5"/>
    <w:rsid w:val="008C0B8B"/>
  </w:style>
  <w:style w:type="character" w:customStyle="1" w:styleId="Bodytext4">
    <w:name w:val="Body text (4)_"/>
    <w:basedOn w:val="a5"/>
    <w:link w:val="Bodytext40"/>
    <w:rsid w:val="008C0B8B"/>
    <w:rPr>
      <w:rFonts w:ascii="David" w:eastAsia="David" w:hAnsi="David"/>
      <w:b/>
      <w:bCs/>
      <w:sz w:val="22"/>
      <w:szCs w:val="22"/>
      <w:shd w:val="clear" w:color="auto" w:fill="FFFFFF"/>
    </w:rPr>
  </w:style>
  <w:style w:type="paragraph" w:customStyle="1" w:styleId="Bodytext40">
    <w:name w:val="Body text (4)"/>
    <w:basedOn w:val="a4"/>
    <w:link w:val="Bodytext4"/>
    <w:rsid w:val="008C0B8B"/>
    <w:pPr>
      <w:widowControl w:val="0"/>
      <w:shd w:val="clear" w:color="auto" w:fill="FFFFFF"/>
      <w:adjustRightInd w:val="0"/>
      <w:spacing w:before="480" w:after="60" w:line="0" w:lineRule="atLeast"/>
      <w:ind w:hanging="360"/>
      <w:jc w:val="center"/>
      <w:textAlignment w:val="baseline"/>
    </w:pPr>
    <w:rPr>
      <w:rFonts w:ascii="David" w:eastAsia="David" w:hAnsi="David"/>
      <w:b/>
      <w:bCs/>
      <w:sz w:val="22"/>
      <w:szCs w:val="22"/>
    </w:rPr>
  </w:style>
  <w:style w:type="character" w:customStyle="1" w:styleId="Bodytext6NotItalic">
    <w:name w:val="Body text (6) + Not Italic"/>
    <w:basedOn w:val="a5"/>
    <w:rsid w:val="008C0B8B"/>
    <w:rPr>
      <w:rFonts w:ascii="David" w:eastAsia="David" w:hAnsi="David" w:cs="David"/>
      <w:b w:val="0"/>
      <w:bCs w:val="0"/>
      <w:i/>
      <w:iCs/>
      <w:smallCaps w:val="0"/>
      <w:strike w:val="0"/>
      <w:color w:val="000000"/>
      <w:spacing w:val="0"/>
      <w:w w:val="100"/>
      <w:position w:val="0"/>
      <w:sz w:val="22"/>
      <w:szCs w:val="22"/>
      <w:u w:val="none"/>
      <w:lang w:val="he-IL" w:eastAsia="he-IL" w:bidi="he-IL"/>
    </w:rPr>
  </w:style>
  <w:style w:type="numbering" w:customStyle="1" w:styleId="112">
    <w:name w:val="ללא רשימה11"/>
    <w:next w:val="a7"/>
    <w:uiPriority w:val="99"/>
    <w:semiHidden/>
    <w:unhideWhenUsed/>
    <w:rsid w:val="00205724"/>
  </w:style>
  <w:style w:type="paragraph" w:customStyle="1" w:styleId="big-header">
    <w:name w:val="big-header"/>
    <w:basedOn w:val="a4"/>
    <w:rsid w:val="00205724"/>
    <w:pPr>
      <w:keepNext/>
      <w:keepLines/>
      <w:widowControl w:val="0"/>
      <w:tabs>
        <w:tab w:val="left" w:pos="624"/>
        <w:tab w:val="left" w:pos="1021"/>
        <w:tab w:val="left" w:pos="1474"/>
        <w:tab w:val="left" w:pos="1928"/>
        <w:tab w:val="left" w:pos="2381"/>
        <w:tab w:val="left" w:pos="2835"/>
      </w:tabs>
      <w:suppressAutoHyphens/>
      <w:autoSpaceDE w:val="0"/>
      <w:autoSpaceDN w:val="0"/>
      <w:spacing w:before="440" w:after="120" w:line="240" w:lineRule="auto"/>
      <w:ind w:left="2835"/>
      <w:jc w:val="center"/>
    </w:pPr>
    <w:rPr>
      <w:rFonts w:eastAsia="Times New Roman" w:cs="FrankRuehl"/>
      <w:noProof/>
      <w:szCs w:val="32"/>
      <w:lang w:eastAsia="he-IL"/>
    </w:rPr>
  </w:style>
  <w:style w:type="paragraph" w:customStyle="1" w:styleId="KOT5">
    <w:name w:val="KOT5"/>
    <w:basedOn w:val="a4"/>
    <w:uiPriority w:val="99"/>
    <w:rsid w:val="00205724"/>
    <w:pPr>
      <w:keepNext/>
      <w:spacing w:after="120" w:line="260" w:lineRule="exact"/>
      <w:jc w:val="left"/>
    </w:pPr>
    <w:rPr>
      <w:rFonts w:eastAsia="Times New Roman"/>
      <w:b/>
      <w:bCs/>
      <w:sz w:val="22"/>
      <w:szCs w:val="22"/>
    </w:rPr>
  </w:style>
  <w:style w:type="character" w:customStyle="1" w:styleId="UnresolvedMention11">
    <w:name w:val="Unresolved Mention11"/>
    <w:basedOn w:val="a5"/>
    <w:uiPriority w:val="99"/>
    <w:semiHidden/>
    <w:unhideWhenUsed/>
    <w:rsid w:val="00205724"/>
    <w:rPr>
      <w:color w:val="605E5C"/>
      <w:shd w:val="clear" w:color="auto" w:fill="E1DFDD"/>
    </w:rPr>
  </w:style>
  <w:style w:type="character" w:customStyle="1" w:styleId="Bodytext7Exact">
    <w:name w:val="Body text (7)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NotBoldExact">
    <w:name w:val="Body text (7) + Not Bold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13pt">
    <w:name w:val="Body text (7) + 13 pt"/>
    <w:aliases w:val="Not Bold Exact"/>
    <w:basedOn w:val="Bodytext7"/>
    <w:rsid w:val="003B6D05"/>
    <w:rPr>
      <w:rFonts w:ascii="Tahoma" w:eastAsia="Tahoma" w:hAnsi="Tahoma" w:cs="Tahoma"/>
      <w:b/>
      <w:bCs/>
      <w:i w:val="0"/>
      <w:iCs w:val="0"/>
      <w:smallCaps w:val="0"/>
      <w:strike w:val="0"/>
      <w:color w:val="FFFFFF"/>
      <w:sz w:val="26"/>
      <w:szCs w:val="26"/>
      <w:u w:val="none"/>
      <w:shd w:val="clear" w:color="auto" w:fill="FFFFFF"/>
    </w:rPr>
  </w:style>
  <w:style w:type="paragraph" w:customStyle="1" w:styleId="afff8">
    <w:name w:val="טקסט רץ"/>
    <w:basedOn w:val="100"/>
    <w:link w:val="Char0"/>
    <w:qFormat/>
    <w:rsid w:val="00D17911"/>
    <w:pPr>
      <w:spacing w:after="180" w:line="260" w:lineRule="exact"/>
    </w:pPr>
    <w:rPr>
      <w:color w:val="0D0D0D"/>
      <w:szCs w:val="18"/>
    </w:rPr>
  </w:style>
  <w:style w:type="paragraph" w:customStyle="1" w:styleId="213">
    <w:name w:val="הערות שוליים 21"/>
    <w:basedOn w:val="ab"/>
    <w:link w:val="21Char"/>
    <w:qFormat/>
    <w:rsid w:val="001D2243"/>
    <w:pPr>
      <w:spacing w:after="60" w:line="220" w:lineRule="exact"/>
      <w:ind w:left="397" w:hanging="397"/>
    </w:pPr>
    <w:rPr>
      <w:rFonts w:ascii="Tahoma" w:hAnsi="Tahoma" w:cs="Tahoma"/>
      <w:color w:val="0D0D0D" w:themeColor="text1" w:themeTint="F2"/>
      <w:sz w:val="14"/>
      <w:szCs w:val="14"/>
    </w:rPr>
  </w:style>
  <w:style w:type="character" w:customStyle="1" w:styleId="10Char">
    <w:name w:val="טקסט רץ 10 Char"/>
    <w:basedOn w:val="a5"/>
    <w:link w:val="100"/>
    <w:rsid w:val="00D17911"/>
    <w:rPr>
      <w:rFonts w:ascii="Tahoma" w:hAnsi="Tahoma" w:cs="Tahoma"/>
      <w:szCs w:val="20"/>
    </w:rPr>
  </w:style>
  <w:style w:type="character" w:customStyle="1" w:styleId="Char0">
    <w:name w:val="טקסט רץ Char"/>
    <w:basedOn w:val="10Char"/>
    <w:link w:val="afff8"/>
    <w:rsid w:val="00D17911"/>
    <w:rPr>
      <w:rFonts w:ascii="Tahoma" w:hAnsi="Tahoma" w:cs="Tahoma"/>
      <w:color w:val="0D0D0D"/>
      <w:szCs w:val="18"/>
    </w:rPr>
  </w:style>
  <w:style w:type="paragraph" w:customStyle="1" w:styleId="7190">
    <w:name w:val="71ג טקסט רץ 9"/>
    <w:basedOn w:val="afff8"/>
    <w:link w:val="719Char"/>
    <w:qFormat/>
    <w:rsid w:val="005B554D"/>
    <w:pPr>
      <w:outlineLvl w:val="3"/>
    </w:pPr>
    <w:rPr>
      <w:color w:val="0D0D0D" w:themeColor="text1" w:themeTint="F2"/>
      <w:sz w:val="18"/>
    </w:rPr>
  </w:style>
  <w:style w:type="character" w:customStyle="1" w:styleId="21Char">
    <w:name w:val="הערות שוליים 21 Char"/>
    <w:basedOn w:val="30"/>
    <w:link w:val="213"/>
    <w:rsid w:val="001D2243"/>
    <w:rPr>
      <w:rFonts w:ascii="Tahoma" w:hAnsi="Tahoma" w:cs="Tahoma"/>
      <w:color w:val="0D0D0D" w:themeColor="text1" w:themeTint="F2"/>
      <w:sz w:val="14"/>
      <w:szCs w:val="14"/>
    </w:rPr>
  </w:style>
  <w:style w:type="paragraph" w:customStyle="1" w:styleId="22021">
    <w:name w:val="כותרת 2 תקציר 2021"/>
    <w:basedOn w:val="121"/>
    <w:link w:val="22021Char"/>
    <w:qFormat/>
    <w:rsid w:val="00E64141"/>
    <w:pPr>
      <w:spacing w:before="360" w:after="240" w:line="440" w:lineRule="exact"/>
      <w:jc w:val="left"/>
      <w:outlineLvl w:val="1"/>
    </w:pPr>
    <w:rPr>
      <w:b/>
      <w:bCs/>
      <w:color w:val="00305F"/>
      <w:sz w:val="34"/>
      <w:szCs w:val="34"/>
    </w:rPr>
  </w:style>
  <w:style w:type="character" w:customStyle="1" w:styleId="719Char">
    <w:name w:val="71ג טקסט רץ 9 Char"/>
    <w:basedOn w:val="Char0"/>
    <w:link w:val="7190"/>
    <w:rsid w:val="005B554D"/>
    <w:rPr>
      <w:rFonts w:ascii="Tahoma" w:hAnsi="Tahoma" w:cs="Tahoma"/>
      <w:color w:val="0D0D0D" w:themeColor="text1" w:themeTint="F2"/>
      <w:sz w:val="18"/>
      <w:szCs w:val="18"/>
    </w:rPr>
  </w:style>
  <w:style w:type="paragraph" w:customStyle="1" w:styleId="afff9">
    <w:name w:val="אייקון טורקיז רקע"/>
    <w:basedOn w:val="121"/>
    <w:link w:val="Char1"/>
    <w:qFormat/>
    <w:rsid w:val="00C51CB1"/>
    <w:pPr>
      <w:spacing w:before="360" w:after="240" w:line="440" w:lineRule="exact"/>
      <w:jc w:val="left"/>
      <w:outlineLvl w:val="1"/>
    </w:pPr>
    <w:rPr>
      <w:b/>
      <w:bCs/>
      <w:noProof/>
      <w:color w:val="00305F"/>
      <w:sz w:val="22"/>
      <w:szCs w:val="22"/>
      <w:lang w:val="he-IL"/>
    </w:rPr>
  </w:style>
  <w:style w:type="character" w:customStyle="1" w:styleId="tab-nameChar">
    <w:name w:val="tab-name Char"/>
    <w:basedOn w:val="a5"/>
    <w:link w:val="tab-name"/>
    <w:rsid w:val="00E64141"/>
    <w:rPr>
      <w:rFonts w:ascii="Tahoma" w:eastAsiaTheme="minorEastAsia" w:hAnsi="Tahoma" w:cs="Tahoma"/>
      <w:color w:val="365F91" w:themeColor="accent1" w:themeShade="BF"/>
      <w:sz w:val="18"/>
      <w:szCs w:val="18"/>
    </w:rPr>
  </w:style>
  <w:style w:type="character" w:customStyle="1" w:styleId="121Char">
    <w:name w:val="כותרת 1_21 Char"/>
    <w:basedOn w:val="tab-nameChar"/>
    <w:link w:val="121"/>
    <w:rsid w:val="00E64141"/>
    <w:rPr>
      <w:rFonts w:ascii="Tahoma" w:eastAsiaTheme="minorEastAsia" w:hAnsi="Tahoma" w:cs="Tahoma"/>
      <w:color w:val="2A2AA6"/>
      <w:sz w:val="42"/>
      <w:szCs w:val="42"/>
    </w:rPr>
  </w:style>
  <w:style w:type="character" w:customStyle="1" w:styleId="22021Char">
    <w:name w:val="כותרת 2 תקציר 2021 Char"/>
    <w:basedOn w:val="121Char"/>
    <w:link w:val="22021"/>
    <w:rsid w:val="00E64141"/>
    <w:rPr>
      <w:rFonts w:ascii="Tahoma" w:eastAsiaTheme="minorEastAsia" w:hAnsi="Tahoma" w:cs="Tahoma"/>
      <w:b/>
      <w:bCs/>
      <w:color w:val="00305F"/>
      <w:sz w:val="34"/>
      <w:szCs w:val="34"/>
    </w:rPr>
  </w:style>
  <w:style w:type="paragraph" w:customStyle="1" w:styleId="12021">
    <w:name w:val="כותרת 1   2021"/>
    <w:basedOn w:val="121"/>
    <w:link w:val="12021Char"/>
    <w:qFormat/>
    <w:rsid w:val="007D1D95"/>
    <w:pPr>
      <w:spacing w:before="360" w:after="180" w:line="260" w:lineRule="exact"/>
    </w:pPr>
    <w:rPr>
      <w:b/>
      <w:bCs/>
      <w:color w:val="00305F"/>
      <w:sz w:val="34"/>
      <w:szCs w:val="34"/>
    </w:rPr>
  </w:style>
  <w:style w:type="character" w:customStyle="1" w:styleId="Char1">
    <w:name w:val="אייקון טורקיז רקע Char"/>
    <w:basedOn w:val="121Char"/>
    <w:link w:val="afff9"/>
    <w:rsid w:val="00C51CB1"/>
    <w:rPr>
      <w:rFonts w:ascii="Tahoma" w:eastAsiaTheme="minorEastAsia" w:hAnsi="Tahoma" w:cs="Tahoma"/>
      <w:b/>
      <w:bCs/>
      <w:noProof/>
      <w:color w:val="00305F"/>
      <w:sz w:val="22"/>
      <w:szCs w:val="22"/>
      <w:lang w:val="he-IL"/>
    </w:rPr>
  </w:style>
  <w:style w:type="paragraph" w:customStyle="1" w:styleId="2021">
    <w:name w:val="מספרים גדולים בטבלת תקציר 2021"/>
    <w:basedOn w:val="121"/>
    <w:link w:val="2021Char"/>
    <w:qFormat/>
    <w:rsid w:val="00C27BF6"/>
    <w:pPr>
      <w:spacing w:before="120" w:line="240" w:lineRule="auto"/>
      <w:jc w:val="left"/>
    </w:pPr>
    <w:rPr>
      <w:b/>
      <w:bCs/>
      <w:color w:val="0D0D0D" w:themeColor="text1" w:themeTint="F2"/>
      <w:sz w:val="36"/>
      <w:szCs w:val="36"/>
    </w:rPr>
  </w:style>
  <w:style w:type="character" w:customStyle="1" w:styleId="12021Char">
    <w:name w:val="כותרת 1   2021 Char"/>
    <w:basedOn w:val="121Char"/>
    <w:link w:val="12021"/>
    <w:rsid w:val="007D1D95"/>
    <w:rPr>
      <w:rFonts w:ascii="Tahoma" w:eastAsiaTheme="minorEastAsia" w:hAnsi="Tahoma" w:cs="Tahoma"/>
      <w:b/>
      <w:bCs/>
      <w:color w:val="00305F"/>
      <w:sz w:val="34"/>
      <w:szCs w:val="34"/>
    </w:rPr>
  </w:style>
  <w:style w:type="paragraph" w:customStyle="1" w:styleId="20210">
    <w:name w:val="ערכים בלוח התקציר 2021"/>
    <w:basedOn w:val="121"/>
    <w:link w:val="2021Char0"/>
    <w:qFormat/>
    <w:rsid w:val="00C27BF6"/>
    <w:pPr>
      <w:spacing w:before="0" w:after="180" w:line="240" w:lineRule="auto"/>
      <w:jc w:val="left"/>
    </w:pPr>
    <w:rPr>
      <w:color w:val="0D0D0D" w:themeColor="text1" w:themeTint="F2"/>
      <w:w w:val="90"/>
      <w:sz w:val="18"/>
      <w:szCs w:val="18"/>
    </w:rPr>
  </w:style>
  <w:style w:type="character" w:customStyle="1" w:styleId="2021Char">
    <w:name w:val="מספרים גדולים בטבלת תקציר 2021 Char"/>
    <w:basedOn w:val="121Char"/>
    <w:link w:val="2021"/>
    <w:rsid w:val="00C27BF6"/>
    <w:rPr>
      <w:rFonts w:ascii="Tahoma" w:eastAsiaTheme="minorEastAsia" w:hAnsi="Tahoma" w:cs="Tahoma"/>
      <w:b/>
      <w:bCs/>
      <w:color w:val="0D0D0D" w:themeColor="text1" w:themeTint="F2"/>
      <w:sz w:val="36"/>
      <w:szCs w:val="36"/>
    </w:rPr>
  </w:style>
  <w:style w:type="paragraph" w:customStyle="1" w:styleId="20211">
    <w:name w:val="כיתוב בתוך טבלת תקציר 2021"/>
    <w:basedOn w:val="20210"/>
    <w:link w:val="2021Char1"/>
    <w:qFormat/>
    <w:rsid w:val="00EA5AC0"/>
  </w:style>
  <w:style w:type="character" w:customStyle="1" w:styleId="2021Char0">
    <w:name w:val="ערכים בלוח התקציר 2021 Char"/>
    <w:basedOn w:val="121Char"/>
    <w:link w:val="20210"/>
    <w:rsid w:val="00C27BF6"/>
    <w:rPr>
      <w:rFonts w:ascii="Tahoma" w:eastAsiaTheme="minorEastAsia" w:hAnsi="Tahoma" w:cs="Tahoma"/>
      <w:color w:val="0D0D0D" w:themeColor="text1" w:themeTint="F2"/>
      <w:w w:val="90"/>
      <w:sz w:val="18"/>
      <w:szCs w:val="18"/>
    </w:rPr>
  </w:style>
  <w:style w:type="character" w:customStyle="1" w:styleId="2021Char1">
    <w:name w:val="כיתוב בתוך טבלת תקציר 2021 Char"/>
    <w:basedOn w:val="2021Char0"/>
    <w:link w:val="20211"/>
    <w:rsid w:val="00EA5AC0"/>
    <w:rPr>
      <w:rFonts w:ascii="Tahoma" w:eastAsiaTheme="minorEastAsia" w:hAnsi="Tahoma" w:cs="Tahoma"/>
      <w:color w:val="0D0D0D" w:themeColor="text1" w:themeTint="F2"/>
      <w:w w:val="90"/>
      <w:sz w:val="18"/>
      <w:szCs w:val="18"/>
    </w:rPr>
  </w:style>
  <w:style w:type="paragraph" w:customStyle="1" w:styleId="Style2">
    <w:name w:val="Style2"/>
    <w:basedOn w:val="22021"/>
    <w:link w:val="Style2Char"/>
    <w:qFormat/>
    <w:rsid w:val="00D66C52"/>
    <w:rPr>
      <w:szCs w:val="32"/>
    </w:rPr>
  </w:style>
  <w:style w:type="paragraph" w:customStyle="1" w:styleId="214">
    <w:name w:val="סיכום תקציר 21"/>
    <w:basedOn w:val="Style2"/>
    <w:link w:val="21Char0"/>
    <w:qFormat/>
    <w:rsid w:val="00EC6229"/>
    <w:pPr>
      <w:spacing w:before="0" w:after="180" w:line="240" w:lineRule="atLeast"/>
    </w:pPr>
  </w:style>
  <w:style w:type="paragraph" w:customStyle="1" w:styleId="215">
    <w:name w:val="עיקרי המלצות הביקורת 21"/>
    <w:basedOn w:val="Style2"/>
    <w:link w:val="21Char1"/>
    <w:qFormat/>
    <w:rsid w:val="00935F94"/>
    <w:pPr>
      <w:spacing w:before="0" w:after="180" w:line="240" w:lineRule="atLeast"/>
    </w:pPr>
    <w:rPr>
      <w:color w:val="002E5F"/>
    </w:rPr>
  </w:style>
  <w:style w:type="character" w:customStyle="1" w:styleId="Style2Char">
    <w:name w:val="Style2 Char"/>
    <w:basedOn w:val="22021Char"/>
    <w:link w:val="Style2"/>
    <w:rsid w:val="00EC6229"/>
    <w:rPr>
      <w:rFonts w:ascii="Tahoma" w:eastAsiaTheme="minorEastAsia" w:hAnsi="Tahoma" w:cs="Tahoma"/>
      <w:b/>
      <w:bCs/>
      <w:color w:val="00305F"/>
      <w:sz w:val="34"/>
      <w:szCs w:val="32"/>
    </w:rPr>
  </w:style>
  <w:style w:type="character" w:customStyle="1" w:styleId="21Char0">
    <w:name w:val="סיכום תקציר 21 Char"/>
    <w:basedOn w:val="Style2Char"/>
    <w:link w:val="214"/>
    <w:rsid w:val="00EC6229"/>
    <w:rPr>
      <w:rFonts w:ascii="Tahoma" w:eastAsiaTheme="minorEastAsia" w:hAnsi="Tahoma" w:cs="Tahoma"/>
      <w:b/>
      <w:bCs/>
      <w:color w:val="00305F"/>
      <w:sz w:val="34"/>
      <w:szCs w:val="32"/>
    </w:rPr>
  </w:style>
  <w:style w:type="paragraph" w:customStyle="1" w:styleId="216">
    <w:name w:val="פעולות הביקורת 21"/>
    <w:basedOn w:val="Style2"/>
    <w:link w:val="21Char2"/>
    <w:qFormat/>
    <w:rsid w:val="008C09EB"/>
    <w:pPr>
      <w:spacing w:before="0" w:after="180" w:line="240" w:lineRule="atLeast"/>
    </w:pPr>
    <w:rPr>
      <w:b w:val="0"/>
      <w:sz w:val="32"/>
    </w:rPr>
  </w:style>
  <w:style w:type="character" w:customStyle="1" w:styleId="21Char1">
    <w:name w:val="עיקרי המלצות הביקורת 21 Char"/>
    <w:basedOn w:val="Style2Char"/>
    <w:link w:val="215"/>
    <w:rsid w:val="00935F94"/>
    <w:rPr>
      <w:rFonts w:ascii="Tahoma" w:eastAsiaTheme="minorEastAsia" w:hAnsi="Tahoma" w:cs="Tahoma"/>
      <w:b/>
      <w:bCs/>
      <w:color w:val="002E5F"/>
      <w:sz w:val="34"/>
      <w:szCs w:val="32"/>
    </w:rPr>
  </w:style>
  <w:style w:type="character" w:customStyle="1" w:styleId="21Char2">
    <w:name w:val="פעולות הביקורת 21 Char"/>
    <w:basedOn w:val="Style2Char"/>
    <w:link w:val="216"/>
    <w:rsid w:val="008C09EB"/>
    <w:rPr>
      <w:rFonts w:ascii="Tahoma" w:eastAsiaTheme="minorEastAsia" w:hAnsi="Tahoma" w:cs="Tahoma"/>
      <w:b w:val="0"/>
      <w:bCs/>
      <w:color w:val="00305F"/>
      <w:sz w:val="32"/>
      <w:szCs w:val="32"/>
    </w:rPr>
  </w:style>
  <w:style w:type="paragraph" w:customStyle="1" w:styleId="Style3">
    <w:name w:val="Style3"/>
    <w:basedOn w:val="7190"/>
    <w:link w:val="Style3Char"/>
    <w:qFormat/>
    <w:rsid w:val="003E672B"/>
    <w:pPr>
      <w:numPr>
        <w:numId w:val="12"/>
      </w:numPr>
      <w:ind w:left="357" w:hanging="357"/>
    </w:pPr>
  </w:style>
  <w:style w:type="paragraph" w:customStyle="1" w:styleId="217">
    <w:name w:val="פעולות הביקורת21"/>
    <w:basedOn w:val="7190"/>
    <w:link w:val="21Char3"/>
    <w:qFormat/>
    <w:rsid w:val="00EE6D5C"/>
    <w:pPr>
      <w:ind w:left="-1"/>
    </w:pPr>
    <w:rPr>
      <w:color w:val="auto"/>
    </w:rPr>
  </w:style>
  <w:style w:type="character" w:customStyle="1" w:styleId="Style3Char">
    <w:name w:val="Style3 Char"/>
    <w:basedOn w:val="719Char"/>
    <w:link w:val="Style3"/>
    <w:rsid w:val="003E672B"/>
    <w:rPr>
      <w:rFonts w:ascii="Tahoma" w:hAnsi="Tahoma" w:cs="Tahoma"/>
      <w:color w:val="0D0D0D" w:themeColor="text1" w:themeTint="F2"/>
      <w:sz w:val="18"/>
      <w:szCs w:val="18"/>
    </w:rPr>
  </w:style>
  <w:style w:type="paragraph" w:customStyle="1" w:styleId="20212">
    <w:name w:val="טקסט רץ 2021"/>
    <w:basedOn w:val="Style2"/>
    <w:rsid w:val="009F4F93"/>
    <w:pPr>
      <w:spacing w:before="0" w:after="180" w:line="240" w:lineRule="atLeast"/>
    </w:pPr>
  </w:style>
  <w:style w:type="paragraph" w:customStyle="1" w:styleId="afffa">
    <w:name w:val="לוחות/תרשימים/תמונות/אינפוגרפיקה/מפות"/>
    <w:basedOn w:val="a4"/>
    <w:qFormat/>
    <w:rsid w:val="00A93F51"/>
    <w:pPr>
      <w:keepNext/>
      <w:spacing w:after="200"/>
      <w:jc w:val="center"/>
    </w:pPr>
    <w:rPr>
      <w:rFonts w:ascii="Tahoma" w:eastAsiaTheme="minorEastAsia" w:hAnsi="Tahoma" w:cs="Tahoma"/>
      <w:color w:val="365F91" w:themeColor="accent1" w:themeShade="BF"/>
      <w:szCs w:val="20"/>
    </w:rPr>
  </w:style>
  <w:style w:type="paragraph" w:customStyle="1" w:styleId="71fa">
    <w:name w:val="71ג כותרת סיכום"/>
    <w:basedOn w:val="100"/>
    <w:qFormat/>
    <w:rsid w:val="00131349"/>
    <w:pPr>
      <w:spacing w:after="180" w:line="260" w:lineRule="exact"/>
    </w:pPr>
    <w:rPr>
      <w:b/>
      <w:bCs/>
      <w:color w:val="00305F"/>
      <w:sz w:val="32"/>
      <w:szCs w:val="32"/>
    </w:rPr>
  </w:style>
  <w:style w:type="paragraph" w:customStyle="1" w:styleId="71fb">
    <w:name w:val="71ג תמונת המצב העולה מן הביקורת"/>
    <w:basedOn w:val="216"/>
    <w:link w:val="71Char7"/>
    <w:qFormat/>
    <w:rsid w:val="00E4219A"/>
  </w:style>
  <w:style w:type="paragraph" w:customStyle="1" w:styleId="Style4">
    <w:name w:val="Style4"/>
    <w:basedOn w:val="216"/>
    <w:link w:val="Style4Char"/>
    <w:qFormat/>
    <w:rsid w:val="00AA2B4F"/>
  </w:style>
  <w:style w:type="character" w:customStyle="1" w:styleId="71Char7">
    <w:name w:val="71ג תמונת המצב העולה מן הביקורת Char"/>
    <w:basedOn w:val="21Char2"/>
    <w:link w:val="71fb"/>
    <w:rsid w:val="00E4219A"/>
    <w:rPr>
      <w:rFonts w:ascii="Tahoma" w:eastAsiaTheme="minorEastAsia" w:hAnsi="Tahoma" w:cs="Tahoma"/>
      <w:b w:val="0"/>
      <w:bCs/>
      <w:color w:val="00305F"/>
      <w:sz w:val="32"/>
      <w:szCs w:val="32"/>
    </w:rPr>
  </w:style>
  <w:style w:type="character" w:customStyle="1" w:styleId="Style4Char">
    <w:name w:val="Style4 Char"/>
    <w:basedOn w:val="21Char2"/>
    <w:link w:val="Style4"/>
    <w:rsid w:val="00AA2B4F"/>
    <w:rPr>
      <w:rFonts w:ascii="Tahoma" w:eastAsiaTheme="minorEastAsia" w:hAnsi="Tahoma" w:cs="Tahoma"/>
      <w:b w:val="0"/>
      <w:bCs/>
      <w:color w:val="00305F"/>
      <w:sz w:val="32"/>
      <w:szCs w:val="32"/>
    </w:rPr>
  </w:style>
  <w:style w:type="paragraph" w:customStyle="1" w:styleId="7120">
    <w:name w:val="71ג כותרת 2"/>
    <w:basedOn w:val="a4"/>
    <w:link w:val="712Char"/>
    <w:qFormat/>
    <w:rsid w:val="00E2527D"/>
    <w:pPr>
      <w:spacing w:before="360" w:after="240" w:line="440" w:lineRule="exact"/>
      <w:jc w:val="left"/>
      <w:outlineLvl w:val="1"/>
    </w:pPr>
    <w:rPr>
      <w:rFonts w:ascii="Tahoma" w:hAnsi="Tahoma" w:cs="Tahoma"/>
      <w:b/>
      <w:bCs/>
      <w:color w:val="00305F"/>
      <w:sz w:val="40"/>
      <w:szCs w:val="34"/>
    </w:rPr>
  </w:style>
  <w:style w:type="character" w:customStyle="1" w:styleId="712Char">
    <w:name w:val="71ג כותרת 2 Char"/>
    <w:basedOn w:val="a5"/>
    <w:link w:val="7120"/>
    <w:rsid w:val="00E2527D"/>
    <w:rPr>
      <w:rFonts w:ascii="Tahoma" w:hAnsi="Tahoma" w:cs="Tahoma"/>
      <w:b/>
      <w:bCs/>
      <w:color w:val="00305F"/>
      <w:sz w:val="40"/>
      <w:szCs w:val="34"/>
    </w:rPr>
  </w:style>
  <w:style w:type="paragraph" w:customStyle="1" w:styleId="Style5">
    <w:name w:val="Style5"/>
    <w:basedOn w:val="719"/>
    <w:link w:val="Style5Char"/>
    <w:qFormat/>
    <w:rsid w:val="00565F1B"/>
  </w:style>
  <w:style w:type="character" w:customStyle="1" w:styleId="71Char">
    <w:name w:val="71ג הערות שוליים Char"/>
    <w:basedOn w:val="30"/>
    <w:link w:val="719"/>
    <w:rsid w:val="005C02D4"/>
    <w:rPr>
      <w:rFonts w:ascii="Tahoma" w:hAnsi="Tahoma" w:cs="Tahoma"/>
      <w:color w:val="0D0D0D" w:themeColor="text1" w:themeTint="F2"/>
      <w:sz w:val="14"/>
      <w:szCs w:val="14"/>
    </w:rPr>
  </w:style>
  <w:style w:type="character" w:customStyle="1" w:styleId="Style5Char">
    <w:name w:val="Style5 Char"/>
    <w:basedOn w:val="71Char"/>
    <w:link w:val="Style5"/>
    <w:rsid w:val="00565F1B"/>
    <w:rPr>
      <w:rFonts w:ascii="Tahoma" w:hAnsi="Tahoma" w:cs="Tahoma"/>
      <w:color w:val="0D0D0D" w:themeColor="text1" w:themeTint="F2"/>
      <w:sz w:val="14"/>
      <w:szCs w:val="14"/>
    </w:rPr>
  </w:style>
  <w:style w:type="paragraph" w:customStyle="1" w:styleId="7100">
    <w:name w:val="71ג מקרא לתרשים תמונה לוח רווח אחרי 0"/>
    <w:basedOn w:val="71c"/>
    <w:link w:val="710Char"/>
    <w:qFormat/>
    <w:rsid w:val="00050995"/>
    <w:pPr>
      <w:spacing w:after="0"/>
    </w:pPr>
  </w:style>
  <w:style w:type="character" w:customStyle="1" w:styleId="71Char2">
    <w:name w:val="71ג מקרא+הערות לתרשים/לוח/תמונה Char"/>
    <w:basedOn w:val="71Char"/>
    <w:link w:val="71c"/>
    <w:rsid w:val="00916920"/>
    <w:rPr>
      <w:rFonts w:ascii="Tahoma" w:hAnsi="Tahoma" w:cs="Tahoma"/>
      <w:color w:val="0D0D0D" w:themeColor="text1" w:themeTint="F2"/>
      <w:sz w:val="16"/>
      <w:szCs w:val="16"/>
    </w:rPr>
  </w:style>
  <w:style w:type="character" w:customStyle="1" w:styleId="710Char">
    <w:name w:val="71ג מקרא לתרשים תמונה לוח רווח אחרי 0 Char"/>
    <w:basedOn w:val="71Char2"/>
    <w:link w:val="7100"/>
    <w:rsid w:val="00050995"/>
    <w:rPr>
      <w:rFonts w:ascii="Tahoma" w:hAnsi="Tahoma" w:cs="Tahoma"/>
      <w:color w:val="0D0D0D" w:themeColor="text1" w:themeTint="F2"/>
      <w:sz w:val="16"/>
      <w:szCs w:val="16"/>
    </w:rPr>
  </w:style>
  <w:style w:type="paragraph" w:customStyle="1" w:styleId="7195">
    <w:name w:val="71ג בולד 9.5 בתוך שורה"/>
    <w:basedOn w:val="217"/>
    <w:link w:val="7195Char"/>
    <w:qFormat/>
    <w:rsid w:val="00C74181"/>
    <w:pPr>
      <w:ind w:left="397"/>
    </w:pPr>
    <w:rPr>
      <w:bCs/>
      <w:noProof/>
      <w:color w:val="0D0D0D" w:themeColor="text1" w:themeTint="F2"/>
      <w:szCs w:val="19"/>
      <w:lang w:val="he-IL"/>
    </w:rPr>
  </w:style>
  <w:style w:type="paragraph" w:customStyle="1" w:styleId="71fc">
    <w:name w:val="71ג כותרת באותיות לבנות באדום בתקציר"/>
    <w:basedOn w:val="a4"/>
    <w:link w:val="71Char8"/>
    <w:qFormat/>
    <w:rsid w:val="00A47335"/>
    <w:pPr>
      <w:spacing w:before="120" w:line="240" w:lineRule="atLeast"/>
      <w:ind w:left="170" w:right="113"/>
      <w:jc w:val="left"/>
    </w:pPr>
    <w:rPr>
      <w:rFonts w:ascii="Tahoma" w:hAnsi="Tahoma" w:cs="Tahoma"/>
      <w:b/>
      <w:color w:val="FFFFFF" w:themeColor="background1"/>
      <w:sz w:val="22"/>
      <w:szCs w:val="22"/>
    </w:rPr>
  </w:style>
  <w:style w:type="character" w:customStyle="1" w:styleId="21Char3">
    <w:name w:val="פעולות הביקורת21 Char"/>
    <w:basedOn w:val="719Char"/>
    <w:link w:val="217"/>
    <w:rsid w:val="00C74181"/>
    <w:rPr>
      <w:rFonts w:ascii="Tahoma" w:hAnsi="Tahoma" w:cs="Tahoma"/>
      <w:color w:val="0D0D0D" w:themeColor="text1" w:themeTint="F2"/>
      <w:sz w:val="18"/>
      <w:szCs w:val="18"/>
    </w:rPr>
  </w:style>
  <w:style w:type="character" w:customStyle="1" w:styleId="7195Char">
    <w:name w:val="71ג בולד 9.5 בתוך שורה Char"/>
    <w:basedOn w:val="21Char3"/>
    <w:link w:val="7195"/>
    <w:rsid w:val="00C74181"/>
    <w:rPr>
      <w:rFonts w:ascii="Tahoma" w:hAnsi="Tahoma" w:cs="Tahoma"/>
      <w:bCs/>
      <w:noProof/>
      <w:color w:val="0D0D0D" w:themeColor="text1" w:themeTint="F2"/>
      <w:sz w:val="18"/>
      <w:szCs w:val="19"/>
      <w:lang w:val="he-IL"/>
    </w:rPr>
  </w:style>
  <w:style w:type="character" w:customStyle="1" w:styleId="71Char8">
    <w:name w:val="71ג כותרת באותיות לבנות באדום בתקציר Char"/>
    <w:basedOn w:val="a5"/>
    <w:link w:val="71fc"/>
    <w:rsid w:val="00A47335"/>
    <w:rPr>
      <w:rFonts w:ascii="Tahoma" w:hAnsi="Tahoma" w:cs="Tahoma"/>
      <w:b/>
      <w:color w:val="FFFFFF" w:themeColor="background1"/>
      <w:sz w:val="22"/>
      <w:szCs w:val="22"/>
    </w:rPr>
  </w:style>
  <w:style w:type="paragraph" w:customStyle="1" w:styleId="34">
    <w:name w:val="שורת רווח לפני כותרת 3 בטקסט רץ"/>
    <w:basedOn w:val="7190"/>
    <w:link w:val="3Char"/>
    <w:qFormat/>
    <w:rsid w:val="0044419E"/>
    <w:pPr>
      <w:outlineLvl w:val="2"/>
    </w:pPr>
  </w:style>
  <w:style w:type="paragraph" w:customStyle="1" w:styleId="7130">
    <w:name w:val="71ג שורת רווח לפני כותרת 3 בטקסט רץ"/>
    <w:basedOn w:val="34"/>
    <w:qFormat/>
    <w:rsid w:val="0044419E"/>
  </w:style>
  <w:style w:type="character" w:customStyle="1" w:styleId="3Char">
    <w:name w:val="שורת רווח לפני כותרת 3 בטקסט רץ Char"/>
    <w:basedOn w:val="719Char"/>
    <w:link w:val="34"/>
    <w:rsid w:val="0044419E"/>
    <w:rPr>
      <w:rFonts w:ascii="Tahoma" w:hAnsi="Tahoma" w:cs="Tahoma"/>
      <w:color w:val="0D0D0D" w:themeColor="text1" w:themeTint="F2"/>
      <w:sz w:val="18"/>
      <w:szCs w:val="18"/>
    </w:rPr>
  </w:style>
  <w:style w:type="paragraph" w:customStyle="1" w:styleId="7111">
    <w:name w:val="71ג מרווח של 1 בטקס רץ"/>
    <w:basedOn w:val="7190"/>
    <w:link w:val="711Char"/>
    <w:qFormat/>
    <w:rsid w:val="00D51AD6"/>
    <w:rPr>
      <w:spacing w:val="20"/>
    </w:rPr>
  </w:style>
  <w:style w:type="character" w:customStyle="1" w:styleId="711Char">
    <w:name w:val="71ג מרווח של 1 בטקס רץ Char"/>
    <w:basedOn w:val="719Char"/>
    <w:link w:val="7111"/>
    <w:rsid w:val="00D51AD6"/>
    <w:rPr>
      <w:rFonts w:ascii="Tahoma" w:hAnsi="Tahoma" w:cs="Tahoma"/>
      <w:color w:val="0D0D0D" w:themeColor="text1" w:themeTint="F2"/>
      <w:spacing w:val="20"/>
      <w:sz w:val="18"/>
      <w:szCs w:val="18"/>
    </w:rPr>
  </w:style>
  <w:style w:type="paragraph" w:customStyle="1" w:styleId="71155">
    <w:name w:val="71ג כותרת גודל 15.5"/>
    <w:basedOn w:val="71316"/>
    <w:link w:val="71155Char"/>
    <w:qFormat/>
    <w:rsid w:val="005D6E99"/>
    <w:rPr>
      <w:sz w:val="31"/>
      <w:szCs w:val="31"/>
    </w:rPr>
  </w:style>
  <w:style w:type="character" w:customStyle="1" w:styleId="71155Char">
    <w:name w:val="71ג כותרת גודל 15.5 Char"/>
    <w:basedOn w:val="71316Char"/>
    <w:link w:val="71155"/>
    <w:rsid w:val="005D6E99"/>
    <w:rPr>
      <w:rFonts w:ascii="Tahoma" w:eastAsia="Times New Roman" w:hAnsi="Tahoma" w:cs="Tahoma"/>
      <w:b/>
      <w:bCs/>
      <w:color w:val="00305F"/>
      <w:sz w:val="31"/>
      <w:szCs w:val="31"/>
      <w:u w:val="single"/>
    </w:rPr>
  </w:style>
  <w:style w:type="paragraph" w:customStyle="1" w:styleId="afffb">
    <w:name w:val="כותרת לבנה בתוך תבנית אדומה בתקציר"/>
    <w:basedOn w:val="a4"/>
    <w:link w:val="Char2"/>
    <w:qFormat/>
    <w:rsid w:val="009D41AC"/>
    <w:pPr>
      <w:spacing w:before="120" w:line="240" w:lineRule="atLeast"/>
      <w:ind w:left="170" w:right="113"/>
      <w:jc w:val="left"/>
    </w:pPr>
    <w:rPr>
      <w:rFonts w:ascii="Tahoma" w:hAnsi="Tahoma" w:cs="Tahoma"/>
      <w:b/>
      <w:bCs/>
      <w:color w:val="FFFFFF" w:themeColor="background1"/>
      <w:sz w:val="22"/>
      <w:szCs w:val="22"/>
    </w:rPr>
  </w:style>
  <w:style w:type="paragraph" w:customStyle="1" w:styleId="71fd">
    <w:name w:val="71ג כותרת לבנה בתוך תבנית אדומה בתקציר"/>
    <w:basedOn w:val="afffb"/>
    <w:link w:val="71Char9"/>
    <w:qFormat/>
    <w:rsid w:val="009D41AC"/>
  </w:style>
  <w:style w:type="character" w:customStyle="1" w:styleId="Char2">
    <w:name w:val="כותרת לבנה בתוך תבנית אדומה בתקציר Char"/>
    <w:basedOn w:val="a5"/>
    <w:link w:val="afffb"/>
    <w:rsid w:val="009D41AC"/>
    <w:rPr>
      <w:rFonts w:ascii="Tahoma" w:hAnsi="Tahoma" w:cs="Tahoma"/>
      <w:b/>
      <w:bCs/>
      <w:color w:val="FFFFFF" w:themeColor="background1"/>
      <w:sz w:val="22"/>
      <w:szCs w:val="22"/>
    </w:rPr>
  </w:style>
  <w:style w:type="character" w:customStyle="1" w:styleId="71Char9">
    <w:name w:val="71ג כותרת לבנה בתוך תבנית אדומה בתקציר Char"/>
    <w:basedOn w:val="Char2"/>
    <w:link w:val="71fd"/>
    <w:rsid w:val="009D41AC"/>
    <w:rPr>
      <w:rFonts w:ascii="Tahoma" w:hAnsi="Tahoma" w:cs="Tahoma"/>
      <w:b/>
      <w:bCs/>
      <w:color w:val="FFFFFF" w:themeColor="background1"/>
      <w:sz w:val="22"/>
      <w:szCs w:val="22"/>
    </w:rPr>
  </w:style>
  <w:style w:type="paragraph" w:customStyle="1" w:styleId="7113">
    <w:name w:val="71ג רשימה ממספר 1"/>
    <w:qFormat/>
    <w:rsid w:val="00D95458"/>
    <w:pPr>
      <w:pBdr>
        <w:top w:val="single" w:sz="18" w:space="4" w:color="ECF4F5"/>
        <w:left w:val="single" w:sz="18" w:space="11" w:color="ECF4F5"/>
        <w:bottom w:val="single" w:sz="18" w:space="6" w:color="ECF4F5"/>
        <w:right w:val="single" w:sz="18" w:space="11" w:color="ECF4F5"/>
      </w:pBdr>
      <w:shd w:val="solid" w:color="ECF4F5" w:fill="auto"/>
      <w:ind w:left="397" w:hanging="397"/>
    </w:pPr>
    <w:rPr>
      <w:rFonts w:ascii="Tahoma" w:hAnsi="Tahoma" w:cs="Tahoma"/>
      <w:color w:val="0D0D0D" w:themeColor="text1" w:themeTint="F2"/>
      <w:sz w:val="18"/>
      <w:szCs w:val="18"/>
    </w:rPr>
  </w:style>
  <w:style w:type="table" w:styleId="5-1">
    <w:name w:val="Grid Table 5 Dark Accent 1"/>
    <w:basedOn w:val="a6"/>
    <w:uiPriority w:val="50"/>
    <w:rsid w:val="00E425C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afffc">
    <w:name w:val="Unresolved Mention"/>
    <w:basedOn w:val="a5"/>
    <w:uiPriority w:val="99"/>
    <w:semiHidden/>
    <w:unhideWhenUsed/>
    <w:rsid w:val="00965248"/>
    <w:rPr>
      <w:color w:val="605E5C"/>
      <w:shd w:val="clear" w:color="auto" w:fill="E1DFDD"/>
    </w:rPr>
  </w:style>
  <w:style w:type="paragraph" w:customStyle="1" w:styleId="71fe">
    <w:name w:val="71ג היפרלינק"/>
    <w:basedOn w:val="719"/>
    <w:link w:val="71Chara"/>
    <w:qFormat/>
    <w:rsid w:val="00973E62"/>
    <w:pPr>
      <w:bidi w:val="0"/>
    </w:pPr>
    <w:rPr>
      <w:color w:val="0000FF"/>
      <w:u w:val="single"/>
    </w:rPr>
  </w:style>
  <w:style w:type="character" w:customStyle="1" w:styleId="71Chara">
    <w:name w:val="71ג היפרלינק Char"/>
    <w:basedOn w:val="71Char"/>
    <w:link w:val="71fe"/>
    <w:rsid w:val="00973E62"/>
    <w:rPr>
      <w:rFonts w:ascii="Tahoma" w:hAnsi="Tahoma" w:cs="Tahoma"/>
      <w:color w:val="0000FF"/>
      <w:sz w:val="14"/>
      <w:szCs w:val="14"/>
      <w:u w:val="single"/>
    </w:rPr>
  </w:style>
  <w:style w:type="paragraph" w:customStyle="1" w:styleId="71ff">
    <w:name w:val="71ג קוביה כחולה עם מספר מוזח"/>
    <w:basedOn w:val="714"/>
    <w:link w:val="71Charb"/>
    <w:qFormat/>
    <w:rsid w:val="00BE57E3"/>
    <w:pPr>
      <w:pBdr>
        <w:top w:val="single" w:sz="18" w:space="4" w:color="EDF1FA"/>
        <w:left w:val="single" w:sz="18" w:space="11" w:color="EDF1FA"/>
        <w:bottom w:val="single" w:sz="18" w:space="6" w:color="EDF1FA"/>
        <w:right w:val="single" w:sz="18" w:space="11" w:color="EDF1FA"/>
      </w:pBdr>
      <w:shd w:val="clear" w:color="auto" w:fill="EDF1FA"/>
    </w:pPr>
  </w:style>
  <w:style w:type="character" w:customStyle="1" w:styleId="71Char0">
    <w:name w:val="71ג הזחה ראשונה מספר Char"/>
    <w:basedOn w:val="af3"/>
    <w:link w:val="714"/>
    <w:rsid w:val="00882EB6"/>
    <w:rPr>
      <w:rFonts w:ascii="Tahoma" w:hAnsi="Tahoma" w:cs="Tahoma"/>
      <w:color w:val="0D0D0D" w:themeColor="text1" w:themeTint="F2"/>
      <w:sz w:val="18"/>
      <w:szCs w:val="18"/>
    </w:rPr>
  </w:style>
  <w:style w:type="character" w:customStyle="1" w:styleId="71Charb">
    <w:name w:val="71ג קוביה כחולה עם מספר מוזח Char"/>
    <w:basedOn w:val="71Char0"/>
    <w:link w:val="71ff"/>
    <w:rsid w:val="00BE57E3"/>
    <w:rPr>
      <w:rFonts w:ascii="Tahoma" w:hAnsi="Tahoma" w:cs="Tahoma"/>
      <w:color w:val="0D0D0D" w:themeColor="text1" w:themeTint="F2"/>
      <w:sz w:val="18"/>
      <w:szCs w:val="18"/>
      <w:shd w:val="clear" w:color="auto" w:fill="EDF1FA"/>
    </w:rPr>
  </w:style>
  <w:style w:type="paragraph" w:customStyle="1" w:styleId="71ff0">
    <w:name w:val="71ג כותרת טקסט רץ מודגשת"/>
    <w:basedOn w:val="7190"/>
    <w:link w:val="71Charc"/>
    <w:qFormat/>
    <w:rsid w:val="00CA12B2"/>
    <w:rPr>
      <w:b/>
      <w:bCs/>
    </w:rPr>
  </w:style>
  <w:style w:type="paragraph" w:customStyle="1" w:styleId="7170">
    <w:name w:val="71ג כותרת 7 טקסט מודגש"/>
    <w:basedOn w:val="71ff0"/>
    <w:link w:val="717Char"/>
    <w:qFormat/>
    <w:rsid w:val="008F39A8"/>
    <w:pPr>
      <w:bidi w:val="0"/>
      <w:jc w:val="left"/>
    </w:pPr>
  </w:style>
  <w:style w:type="character" w:customStyle="1" w:styleId="71Charc">
    <w:name w:val="71ג כותרת טקסט רץ מודגשת Char"/>
    <w:basedOn w:val="719Char"/>
    <w:link w:val="71ff0"/>
    <w:rsid w:val="00CA12B2"/>
    <w:rPr>
      <w:rFonts w:ascii="Tahoma" w:hAnsi="Tahoma" w:cs="Tahoma"/>
      <w:b/>
      <w:bCs/>
      <w:color w:val="0D0D0D" w:themeColor="text1" w:themeTint="F2"/>
      <w:sz w:val="18"/>
      <w:szCs w:val="18"/>
    </w:rPr>
  </w:style>
  <w:style w:type="paragraph" w:customStyle="1" w:styleId="7171">
    <w:name w:val="71ג כותרת 7 בתוך טקסט"/>
    <w:basedOn w:val="714"/>
    <w:link w:val="717Char0"/>
    <w:qFormat/>
    <w:rsid w:val="00A368B5"/>
    <w:rPr>
      <w:bCs/>
    </w:rPr>
  </w:style>
  <w:style w:type="character" w:customStyle="1" w:styleId="717Char">
    <w:name w:val="71ג כותרת 7 טקסט מודגש Char"/>
    <w:basedOn w:val="71Charc"/>
    <w:link w:val="7170"/>
    <w:rsid w:val="008F39A8"/>
    <w:rPr>
      <w:rFonts w:ascii="Tahoma" w:hAnsi="Tahoma" w:cs="Tahoma"/>
      <w:b/>
      <w:bCs/>
      <w:color w:val="0D0D0D" w:themeColor="text1" w:themeTint="F2"/>
      <w:sz w:val="18"/>
      <w:szCs w:val="18"/>
    </w:rPr>
  </w:style>
  <w:style w:type="character" w:customStyle="1" w:styleId="717Char0">
    <w:name w:val="71ג כותרת 7 בתוך טקסט Char"/>
    <w:basedOn w:val="71Char0"/>
    <w:link w:val="7171"/>
    <w:rsid w:val="00A368B5"/>
    <w:rPr>
      <w:rFonts w:ascii="Tahoma" w:hAnsi="Tahoma" w:cs="Tahoma"/>
      <w:bCs/>
      <w:color w:val="0D0D0D" w:themeColor="text1" w:themeTint="F2"/>
      <w:sz w:val="18"/>
      <w:szCs w:val="18"/>
    </w:rPr>
  </w:style>
  <w:style w:type="paragraph" w:customStyle="1" w:styleId="P110">
    <w:name w:val="P11"/>
    <w:basedOn w:val="P000"/>
    <w:rsid w:val="00901D1D"/>
    <w:pPr>
      <w:tabs>
        <w:tab w:val="clear" w:pos="624"/>
      </w:tabs>
      <w:ind w:right="624"/>
    </w:pPr>
    <w:rPr>
      <w:rFonts w:cs="Times New Roman"/>
    </w:rPr>
  </w:style>
  <w:style w:type="paragraph" w:customStyle="1" w:styleId="afffd">
    <w:name w:val="מלל מוצלל"/>
    <w:basedOn w:val="a4"/>
    <w:rsid w:val="00901D1D"/>
    <w:pPr>
      <w:pBdr>
        <w:top w:val="single" w:sz="4" w:space="8" w:color="FFFFFF"/>
        <w:left w:val="single" w:sz="4" w:space="12" w:color="FFFFFF"/>
        <w:bottom w:val="single" w:sz="4" w:space="8" w:color="FFFFFF"/>
        <w:right w:val="single" w:sz="4" w:space="12" w:color="FFFFFF"/>
      </w:pBdr>
      <w:shd w:val="pct10" w:color="auto" w:fill="FFFFFF"/>
      <w:spacing w:line="288" w:lineRule="auto"/>
      <w:ind w:left="305" w:right="284"/>
    </w:pPr>
    <w:rPr>
      <w:rFonts w:eastAsia="Times New Roman" w:cs="Times New Roman"/>
      <w:sz w:val="24"/>
      <w:lang w:eastAsia="he-IL"/>
    </w:rPr>
  </w:style>
  <w:style w:type="paragraph" w:styleId="HTML">
    <w:name w:val="HTML Preformatted"/>
    <w:basedOn w:val="a4"/>
    <w:link w:val="HTML0"/>
    <w:uiPriority w:val="99"/>
    <w:semiHidden/>
    <w:unhideWhenUsed/>
    <w:rsid w:val="00901D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240" w:lineRule="auto"/>
      <w:jc w:val="left"/>
    </w:pPr>
    <w:rPr>
      <w:rFonts w:ascii="Courier New" w:eastAsia="Times New Roman" w:hAnsi="Courier New" w:cs="Courier New"/>
      <w:szCs w:val="20"/>
    </w:rPr>
  </w:style>
  <w:style w:type="character" w:customStyle="1" w:styleId="HTML0">
    <w:name w:val="HTML מעוצב מראש תו"/>
    <w:basedOn w:val="a5"/>
    <w:link w:val="HTML"/>
    <w:uiPriority w:val="99"/>
    <w:semiHidden/>
    <w:rsid w:val="00901D1D"/>
    <w:rPr>
      <w:rFonts w:ascii="Courier New" w:eastAsia="Times New Roman" w:hAnsi="Courier New" w:cs="Courier New"/>
      <w:szCs w:val="20"/>
    </w:rPr>
  </w:style>
  <w:style w:type="paragraph" w:customStyle="1" w:styleId="Default0">
    <w:name w:val="Default"/>
    <w:uiPriority w:val="99"/>
    <w:rsid w:val="00901D1D"/>
    <w:pPr>
      <w:autoSpaceDE w:val="0"/>
      <w:autoSpaceDN w:val="0"/>
      <w:adjustRightInd w:val="0"/>
      <w:spacing w:after="0" w:line="240" w:lineRule="auto"/>
      <w:jc w:val="left"/>
    </w:pPr>
    <w:rPr>
      <w:rFonts w:ascii="Gotham Narrow Light" w:hAnsi="Gotham Narrow Light" w:cs="Gotham Narrow Light"/>
      <w:color w:val="000000"/>
      <w:sz w:val="24"/>
    </w:rPr>
  </w:style>
  <w:style w:type="paragraph" w:customStyle="1" w:styleId="Pa14">
    <w:name w:val="Pa14"/>
    <w:basedOn w:val="Default0"/>
    <w:next w:val="Default0"/>
    <w:uiPriority w:val="99"/>
    <w:rsid w:val="00901D1D"/>
    <w:pPr>
      <w:spacing w:line="180" w:lineRule="atLeast"/>
    </w:pPr>
    <w:rPr>
      <w:rFonts w:cs="David"/>
      <w:color w:val="auto"/>
    </w:rPr>
  </w:style>
  <w:style w:type="table" w:styleId="5-5">
    <w:name w:val="Grid Table 5 Dark Accent 5"/>
    <w:basedOn w:val="a6"/>
    <w:uiPriority w:val="50"/>
    <w:rsid w:val="00901D1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customStyle="1" w:styleId="Headerorfooter">
    <w:name w:val="Header or footer_"/>
    <w:basedOn w:val="a5"/>
    <w:link w:val="Headerorfooter0"/>
    <w:rsid w:val="00901D1D"/>
    <w:rPr>
      <w:rFonts w:ascii="David" w:eastAsia="David" w:hAnsi="David"/>
      <w:b/>
      <w:bCs/>
      <w:sz w:val="44"/>
      <w:szCs w:val="44"/>
      <w:shd w:val="clear" w:color="auto" w:fill="FFFFFF"/>
    </w:rPr>
  </w:style>
  <w:style w:type="character" w:customStyle="1" w:styleId="Headerorfooter18pt">
    <w:name w:val="Header or footer + 18 pt"/>
    <w:basedOn w:val="Headerorfooter"/>
    <w:rsid w:val="00901D1D"/>
    <w:rPr>
      <w:rFonts w:ascii="David" w:eastAsia="David" w:hAnsi="David"/>
      <w:b/>
      <w:bCs/>
      <w:color w:val="000000"/>
      <w:spacing w:val="0"/>
      <w:w w:val="100"/>
      <w:position w:val="0"/>
      <w:sz w:val="36"/>
      <w:szCs w:val="36"/>
      <w:shd w:val="clear" w:color="auto" w:fill="FFFFFF"/>
      <w:lang w:val="he-IL" w:eastAsia="he-IL" w:bidi="he-IL"/>
    </w:rPr>
  </w:style>
  <w:style w:type="paragraph" w:customStyle="1" w:styleId="Headerorfooter0">
    <w:name w:val="Header or footer"/>
    <w:basedOn w:val="a4"/>
    <w:link w:val="Headerorfooter"/>
    <w:rsid w:val="00901D1D"/>
    <w:pPr>
      <w:widowControl w:val="0"/>
      <w:shd w:val="clear" w:color="auto" w:fill="FFFFFF"/>
      <w:spacing w:after="240" w:line="0" w:lineRule="atLeast"/>
      <w:jc w:val="left"/>
    </w:pPr>
    <w:rPr>
      <w:rFonts w:ascii="David" w:eastAsia="David" w:hAnsi="David"/>
      <w:b/>
      <w:bCs/>
      <w:sz w:val="44"/>
      <w:szCs w:val="44"/>
    </w:rPr>
  </w:style>
  <w:style w:type="paragraph" w:customStyle="1" w:styleId="afffe">
    <w:name w:val="נבנצאל"/>
    <w:basedOn w:val="a4"/>
    <w:next w:val="a4"/>
    <w:link w:val="affff"/>
    <w:uiPriority w:val="99"/>
    <w:rsid w:val="00A6060D"/>
    <w:pPr>
      <w:ind w:left="-567"/>
    </w:pPr>
    <w:rPr>
      <w:szCs w:val="20"/>
    </w:rPr>
  </w:style>
  <w:style w:type="character" w:customStyle="1" w:styleId="affff">
    <w:name w:val="נבנצאל תו"/>
    <w:basedOn w:val="a5"/>
    <w:link w:val="afffe"/>
    <w:uiPriority w:val="99"/>
    <w:rsid w:val="00A6060D"/>
    <w:rPr>
      <w:szCs w:val="20"/>
    </w:rPr>
  </w:style>
  <w:style w:type="table" w:styleId="52">
    <w:name w:val="Table Grid 5"/>
    <w:basedOn w:val="a6"/>
    <w:uiPriority w:val="99"/>
    <w:semiHidden/>
    <w:unhideWhenUsed/>
    <w:rsid w:val="00A6060D"/>
    <w:pPr>
      <w:bidi/>
      <w:spacing w:after="160" w:line="259" w:lineRule="auto"/>
      <w:jc w:val="left"/>
    </w:pPr>
    <w:rPr>
      <w:rFonts w:asciiTheme="minorHAnsi" w:hAnsiTheme="minorHAnsi" w:cstheme="minorBidi"/>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3-5">
    <w:name w:val="List Table 3 Accent 5"/>
    <w:basedOn w:val="a6"/>
    <w:uiPriority w:val="48"/>
    <w:rsid w:val="00A6060D"/>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4-5">
    <w:name w:val="List Table 4 Accent 5"/>
    <w:basedOn w:val="a6"/>
    <w:uiPriority w:val="49"/>
    <w:rsid w:val="00A6060D"/>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1-4">
    <w:name w:val="Grid Table 1 Light Accent 4"/>
    <w:basedOn w:val="a6"/>
    <w:uiPriority w:val="46"/>
    <w:rsid w:val="00A6060D"/>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6-6">
    <w:name w:val="Grid Table 6 Colorful Accent 6"/>
    <w:basedOn w:val="a6"/>
    <w:uiPriority w:val="51"/>
    <w:rsid w:val="00A6060D"/>
    <w:pPr>
      <w:spacing w:after="0" w:line="240" w:lineRule="auto"/>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6-3">
    <w:name w:val="Grid Table 6 Colorful Accent 3"/>
    <w:basedOn w:val="a6"/>
    <w:uiPriority w:val="51"/>
    <w:rsid w:val="00A6060D"/>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4-4">
    <w:name w:val="Grid Table 4 Accent 4"/>
    <w:basedOn w:val="a6"/>
    <w:uiPriority w:val="49"/>
    <w:rsid w:val="00A6060D"/>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customStyle="1" w:styleId="1f8">
    <w:name w:val="נבנצלים תו1"/>
    <w:link w:val="affd"/>
    <w:rsid w:val="00A6060D"/>
    <w:rPr>
      <w:rFonts w:eastAsia="Times New Roman"/>
      <w:sz w:val="24"/>
      <w:szCs w:val="20"/>
      <w:lang w:eastAsia="he-IL"/>
    </w:rPr>
  </w:style>
  <w:style w:type="paragraph" w:customStyle="1" w:styleId="KOT6">
    <w:name w:val="KOT6"/>
    <w:basedOn w:val="KOT5"/>
    <w:uiPriority w:val="99"/>
    <w:locked/>
    <w:rsid w:val="00A6060D"/>
    <w:pPr>
      <w:outlineLvl w:val="5"/>
    </w:pPr>
    <w:rPr>
      <w:rFonts w:cs="FrankRuehl"/>
      <w:spacing w:val="40"/>
      <w:sz w:val="20"/>
    </w:rPr>
  </w:style>
  <w:style w:type="character" w:customStyle="1" w:styleId="412">
    <w:name w:val="כותרת 41 תו"/>
    <w:rsid w:val="00A6060D"/>
    <w:rPr>
      <w:rFonts w:eastAsia="Times New Roman"/>
      <w:b/>
      <w:bCs/>
      <w:sz w:val="22"/>
      <w:szCs w:val="26"/>
    </w:rPr>
  </w:style>
  <w:style w:type="paragraph" w:customStyle="1" w:styleId="KOT2">
    <w:name w:val="KOT2"/>
    <w:basedOn w:val="a4"/>
    <w:uiPriority w:val="99"/>
    <w:rsid w:val="00A6060D"/>
    <w:pPr>
      <w:keepNext/>
      <w:spacing w:after="360" w:line="360" w:lineRule="exact"/>
      <w:jc w:val="center"/>
      <w:outlineLvl w:val="0"/>
    </w:pPr>
    <w:rPr>
      <w:rFonts w:eastAsia="Times New Roman"/>
      <w:b/>
      <w:bCs/>
      <w:sz w:val="32"/>
      <w:szCs w:val="32"/>
      <w:lang w:eastAsia="he-IL"/>
    </w:rPr>
  </w:style>
  <w:style w:type="table" w:styleId="5-4">
    <w:name w:val="Grid Table 5 Dark Accent 4"/>
    <w:basedOn w:val="a6"/>
    <w:uiPriority w:val="50"/>
    <w:rsid w:val="00A6060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styleId="5-3">
    <w:name w:val="Grid Table 5 Dark Accent 3"/>
    <w:basedOn w:val="a6"/>
    <w:uiPriority w:val="50"/>
    <w:rsid w:val="00A6060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3-3">
    <w:name w:val="List Table 3 Accent 3"/>
    <w:basedOn w:val="a6"/>
    <w:uiPriority w:val="48"/>
    <w:rsid w:val="00A6060D"/>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4-3">
    <w:name w:val="List Table 4 Accent 3"/>
    <w:basedOn w:val="a6"/>
    <w:uiPriority w:val="49"/>
    <w:rsid w:val="00A6060D"/>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5-2">
    <w:name w:val="Grid Table 5 Dark Accent 2"/>
    <w:basedOn w:val="a6"/>
    <w:uiPriority w:val="50"/>
    <w:rsid w:val="00A6060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1-5">
    <w:name w:val="Grid Table 1 Light Accent 5"/>
    <w:basedOn w:val="a6"/>
    <w:uiPriority w:val="46"/>
    <w:rsid w:val="00A6060D"/>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5-6">
    <w:name w:val="Grid Table 5 Dark Accent 6"/>
    <w:basedOn w:val="a6"/>
    <w:uiPriority w:val="50"/>
    <w:rsid w:val="00A6060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customStyle="1" w:styleId="71ff1">
    <w:name w:val="71ג מקרא+הערות לתרשים/לוח/תמונה כוכבית"/>
    <w:basedOn w:val="71c"/>
    <w:qFormat/>
    <w:rsid w:val="00882EB6"/>
    <w:pPr>
      <w:spacing w:after="180"/>
    </w:pPr>
  </w:style>
  <w:style w:type="paragraph" w:styleId="affff0">
    <w:name w:val="Title"/>
    <w:basedOn w:val="a4"/>
    <w:link w:val="affff1"/>
    <w:uiPriority w:val="99"/>
    <w:qFormat/>
    <w:rsid w:val="00C91207"/>
    <w:pPr>
      <w:widowControl w:val="0"/>
      <w:overflowPunct w:val="0"/>
      <w:autoSpaceDE w:val="0"/>
      <w:autoSpaceDN w:val="0"/>
      <w:adjustRightInd w:val="0"/>
      <w:spacing w:before="240" w:after="60" w:line="240" w:lineRule="auto"/>
      <w:jc w:val="center"/>
      <w:textAlignment w:val="baseline"/>
      <w:outlineLvl w:val="0"/>
    </w:pPr>
    <w:rPr>
      <w:rFonts w:ascii="Arial" w:eastAsia="Times New Roman" w:hAnsi="Arial" w:cs="Arial"/>
      <w:b/>
      <w:bCs/>
      <w:kern w:val="28"/>
      <w:sz w:val="32"/>
      <w:szCs w:val="32"/>
    </w:rPr>
  </w:style>
  <w:style w:type="character" w:customStyle="1" w:styleId="affff1">
    <w:name w:val="כותרת טקסט תו"/>
    <w:basedOn w:val="a5"/>
    <w:link w:val="affff0"/>
    <w:uiPriority w:val="99"/>
    <w:rsid w:val="00C91207"/>
    <w:rPr>
      <w:rFonts w:ascii="Arial" w:eastAsia="Times New Roman" w:hAnsi="Arial" w:cs="Arial"/>
      <w:b/>
      <w:bCs/>
      <w:kern w:val="28"/>
      <w:sz w:val="32"/>
      <w:szCs w:val="32"/>
    </w:rPr>
  </w:style>
  <w:style w:type="table" w:styleId="1fa">
    <w:name w:val="Grid Table 1 Light"/>
    <w:basedOn w:val="a6"/>
    <w:uiPriority w:val="46"/>
    <w:rsid w:val="00C9120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TableBlock">
    <w:name w:val="Table Block"/>
    <w:basedOn w:val="a4"/>
    <w:uiPriority w:val="99"/>
    <w:rsid w:val="00C91207"/>
    <w:pPr>
      <w:keepLines/>
      <w:widowControl w:val="0"/>
      <w:tabs>
        <w:tab w:val="left" w:pos="624"/>
        <w:tab w:val="left" w:pos="1247"/>
      </w:tabs>
      <w:autoSpaceDE w:val="0"/>
      <w:autoSpaceDN w:val="0"/>
      <w:adjustRightInd w:val="0"/>
      <w:snapToGrid w:val="0"/>
      <w:spacing w:line="360" w:lineRule="auto"/>
    </w:pPr>
    <w:rPr>
      <w:rFonts w:ascii="Arial" w:eastAsia="Arial Unicode MS" w:hAnsi="Arial"/>
      <w:color w:val="000000"/>
      <w:szCs w:val="26"/>
      <w:lang w:eastAsia="ja-JP"/>
    </w:rPr>
  </w:style>
  <w:style w:type="paragraph" w:customStyle="1" w:styleId="iv">
    <w:name w:val="iv"/>
    <w:basedOn w:val="a4"/>
    <w:uiPriority w:val="99"/>
    <w:rsid w:val="00C91207"/>
    <w:pPr>
      <w:bidi w:val="0"/>
      <w:spacing w:before="100" w:beforeAutospacing="1" w:after="100" w:afterAutospacing="1" w:line="240" w:lineRule="auto"/>
      <w:jc w:val="left"/>
    </w:pPr>
    <w:rPr>
      <w:rFonts w:eastAsia="Times New Roman" w:cs="Times New Roman"/>
      <w:sz w:val="24"/>
    </w:rPr>
  </w:style>
  <w:style w:type="table" w:styleId="2-1">
    <w:name w:val="Medium List 2 Accent 1"/>
    <w:basedOn w:val="a6"/>
    <w:uiPriority w:val="66"/>
    <w:rsid w:val="00C91207"/>
    <w:pPr>
      <w:bidi/>
      <w:spacing w:after="0" w:line="240" w:lineRule="auto"/>
      <w:jc w:val="left"/>
    </w:pPr>
    <w:rPr>
      <w:rFonts w:asciiTheme="majorHAnsi" w:eastAsiaTheme="majorEastAsia" w:hAnsiTheme="majorHAnsi" w:cstheme="majorBidi"/>
      <w:color w:val="000000" w:themeColor="text1"/>
      <w:sz w:val="22"/>
      <w:szCs w:val="22"/>
      <w:rtl/>
      <w:c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affff2">
    <w:name w:val="Light List"/>
    <w:basedOn w:val="a6"/>
    <w:uiPriority w:val="61"/>
    <w:rsid w:val="00C91207"/>
    <w:pPr>
      <w:bidi/>
      <w:spacing w:after="0" w:line="240" w:lineRule="auto"/>
      <w:jc w:val="left"/>
    </w:pPr>
    <w:rPr>
      <w:rFonts w:asciiTheme="minorHAnsi" w:eastAsiaTheme="minorEastAsia" w:hAnsiTheme="minorHAnsi" w:cstheme="minorBidi"/>
      <w:sz w:val="22"/>
      <w:szCs w:val="22"/>
      <w:rtl/>
      <w:c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3-1">
    <w:name w:val="List Table 3 Accent 1"/>
    <w:basedOn w:val="a6"/>
    <w:uiPriority w:val="48"/>
    <w:rsid w:val="00C91207"/>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2-5">
    <w:name w:val="Grid Table 2 Accent 5"/>
    <w:basedOn w:val="a6"/>
    <w:uiPriority w:val="47"/>
    <w:rsid w:val="00C91207"/>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1-1">
    <w:name w:val="Grid Table 1 Light Accent 1"/>
    <w:basedOn w:val="a6"/>
    <w:uiPriority w:val="46"/>
    <w:rsid w:val="00C91207"/>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6-4">
    <w:name w:val="List Table 6 Colorful Accent 4"/>
    <w:basedOn w:val="a6"/>
    <w:uiPriority w:val="51"/>
    <w:rsid w:val="00C91207"/>
    <w:pPr>
      <w:spacing w:after="0" w:line="240" w:lineRule="auto"/>
    </w:pPr>
    <w:rPr>
      <w:color w:val="5F497A" w:themeColor="accent4" w:themeShade="BF"/>
    </w:rPr>
    <w:tblPr>
      <w:tblStyleRowBandSize w:val="1"/>
      <w:tblStyleColBandSize w:val="1"/>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3-4">
    <w:name w:val="Grid Table 3 Accent 4"/>
    <w:basedOn w:val="a6"/>
    <w:uiPriority w:val="48"/>
    <w:rsid w:val="00C91207"/>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3-40">
    <w:name w:val="List Table 3 Accent 4"/>
    <w:basedOn w:val="a6"/>
    <w:uiPriority w:val="48"/>
    <w:rsid w:val="00C91207"/>
    <w:pPr>
      <w:spacing w:after="0" w:line="240" w:lineRule="auto"/>
    </w:p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paragraph" w:customStyle="1" w:styleId="msonormal0">
    <w:name w:val="msonormal"/>
    <w:basedOn w:val="a4"/>
    <w:uiPriority w:val="99"/>
    <w:rsid w:val="00C91207"/>
    <w:rPr>
      <w:rFonts w:cs="Times New Roman"/>
      <w:sz w:val="24"/>
    </w:rPr>
  </w:style>
  <w:style w:type="paragraph" w:customStyle="1" w:styleId="7121">
    <w:name w:val="71ג אותיות רשימה כניסה 2"/>
    <w:basedOn w:val="715"/>
    <w:qFormat/>
    <w:rsid w:val="005947CE"/>
  </w:style>
  <w:style w:type="paragraph" w:customStyle="1" w:styleId="Style6">
    <w:name w:val="Style6"/>
    <w:qFormat/>
    <w:rsid w:val="00222FD7"/>
    <w:pPr>
      <w:numPr>
        <w:numId w:val="13"/>
      </w:numPr>
      <w:shd w:val="solid" w:color="EDF1FA" w:fill="auto"/>
      <w:spacing w:after="180" w:line="260" w:lineRule="exact"/>
      <w:ind w:left="1191" w:hanging="397"/>
    </w:pPr>
    <w:rPr>
      <w:rFonts w:ascii="Tahoma" w:eastAsiaTheme="majorEastAsia" w:hAnsi="Tahoma" w:cs="Tahoma"/>
      <w:bCs/>
      <w:color w:val="0D0D0D" w:themeColor="text1" w:themeTint="F2"/>
      <w:sz w:val="18"/>
      <w:szCs w:val="18"/>
    </w:rPr>
  </w:style>
  <w:style w:type="paragraph" w:customStyle="1" w:styleId="712">
    <w:name w:val="71ג הזחה אותיות כניסה 2"/>
    <w:qFormat/>
    <w:rsid w:val="00535CC6"/>
    <w:pPr>
      <w:numPr>
        <w:numId w:val="15"/>
      </w:numPr>
      <w:pBdr>
        <w:top w:val="single" w:sz="18" w:space="4" w:color="EDF1FA"/>
        <w:left w:val="single" w:sz="18" w:space="11" w:color="EDF1FA"/>
        <w:bottom w:val="single" w:sz="18" w:space="6" w:color="EDF1FA"/>
        <w:right w:val="single" w:sz="18" w:space="11" w:color="EDF1FA"/>
      </w:pBdr>
      <w:shd w:val="solid" w:color="EDF1FA" w:fill="auto"/>
      <w:bidi/>
      <w:jc w:val="left"/>
    </w:pPr>
    <w:rPr>
      <w:rFonts w:ascii="Tahoma" w:eastAsiaTheme="majorEastAsia" w:hAnsi="Tahoma" w:cs="Tahoma"/>
      <w:color w:val="0D0D0D" w:themeColor="text1" w:themeTint="F2"/>
      <w:sz w:val="18"/>
      <w:szCs w:val="18"/>
    </w:rPr>
  </w:style>
  <w:style w:type="paragraph" w:customStyle="1" w:styleId="711">
    <w:name w:val="71ג הזחה מספר בסוגריים"/>
    <w:basedOn w:val="af2"/>
    <w:qFormat/>
    <w:rsid w:val="00DF2527"/>
    <w:pPr>
      <w:numPr>
        <w:numId w:val="14"/>
      </w:numPr>
      <w:spacing w:after="180" w:line="260" w:lineRule="exact"/>
      <w:ind w:left="1191" w:hanging="397"/>
      <w:contextualSpacing w:val="0"/>
    </w:pPr>
    <w:rPr>
      <w:rFonts w:ascii="Tahoma" w:hAnsi="Tahoma" w:cs="Tahoma"/>
      <w:sz w:val="18"/>
      <w:szCs w:val="18"/>
    </w:rPr>
  </w:style>
  <w:style w:type="paragraph" w:customStyle="1" w:styleId="712021">
    <w:name w:val="71ג כיתוב בתוך טבלת תקציר 2021"/>
    <w:basedOn w:val="20210"/>
    <w:link w:val="712021Char"/>
    <w:qFormat/>
    <w:rsid w:val="00BD22B5"/>
  </w:style>
  <w:style w:type="character" w:customStyle="1" w:styleId="712021Char">
    <w:name w:val="71ג כיתוב בתוך טבלת תקציר 2021 Char"/>
    <w:basedOn w:val="2021Char0"/>
    <w:link w:val="712021"/>
    <w:rsid w:val="00BD22B5"/>
    <w:rPr>
      <w:rFonts w:ascii="Tahoma" w:eastAsiaTheme="minorEastAsia" w:hAnsi="Tahoma" w:cs="Tahoma"/>
      <w:color w:val="0D0D0D" w:themeColor="text1" w:themeTint="F2"/>
      <w:w w:val="90"/>
      <w:sz w:val="18"/>
      <w:szCs w:val="18"/>
    </w:rPr>
  </w:style>
  <w:style w:type="paragraph" w:customStyle="1" w:styleId="7150">
    <w:name w:val="71ג כותרת 5 עם מספר"/>
    <w:basedOn w:val="71512"/>
    <w:qFormat/>
    <w:rsid w:val="00B63611"/>
    <w:pPr>
      <w:numPr>
        <w:numId w:val="16"/>
      </w:numPr>
      <w:ind w:left="397" w:hanging="397"/>
    </w:pPr>
  </w:style>
  <w:style w:type="paragraph" w:customStyle="1" w:styleId="7151">
    <w:name w:val="71ג כותרת 5 עם אותיות כניסה שנייה"/>
    <w:basedOn w:val="7150"/>
    <w:qFormat/>
    <w:rsid w:val="00A139EC"/>
    <w:pPr>
      <w:numPr>
        <w:numId w:val="17"/>
      </w:numPr>
      <w:ind w:left="850" w:hanging="340"/>
      <w:jc w:val="both"/>
    </w:pPr>
  </w:style>
  <w:style w:type="paragraph" w:customStyle="1" w:styleId="717">
    <w:name w:val="71ג מספר בתוך סוגריים מוזח"/>
    <w:basedOn w:val="714"/>
    <w:qFormat/>
    <w:rsid w:val="00EC13CB"/>
    <w:pPr>
      <w:numPr>
        <w:ilvl w:val="2"/>
        <w:numId w:val="6"/>
      </w:numPr>
      <w:ind w:left="397"/>
    </w:pPr>
  </w:style>
  <w:style w:type="paragraph" w:customStyle="1" w:styleId="7160">
    <w:name w:val="71ג כותרת 6 עם אותיות"/>
    <w:basedOn w:val="716"/>
    <w:qFormat/>
    <w:rsid w:val="00750D7D"/>
    <w:pPr>
      <w:ind w:left="794" w:hanging="397"/>
    </w:pPr>
    <w:rPr>
      <w:color w:val="00305F"/>
      <w:szCs w:val="24"/>
    </w:rPr>
  </w:style>
  <w:style w:type="paragraph" w:customStyle="1" w:styleId="71ff2">
    <w:name w:val="71ג כותרת אחרי אות צבע לא מודגש"/>
    <w:basedOn w:val="716"/>
    <w:qFormat/>
    <w:rsid w:val="008E65C3"/>
    <w:pPr>
      <w:ind w:left="794" w:hanging="397"/>
    </w:pPr>
    <w:rPr>
      <w:color w:val="00305F"/>
    </w:rPr>
  </w:style>
  <w:style w:type="paragraph" w:customStyle="1" w:styleId="71ff3">
    <w:name w:val="71ג קוביה כחולה  לאחר מספר בסוגריים"/>
    <w:basedOn w:val="71f2"/>
    <w:qFormat/>
    <w:rsid w:val="006432EA"/>
    <w:pPr>
      <w:ind w:left="1361"/>
    </w:pPr>
  </w:style>
  <w:style w:type="paragraph" w:customStyle="1" w:styleId="71ff4">
    <w:name w:val="71ג כותרת סעיף כחול לא מודגש"/>
    <w:basedOn w:val="716"/>
    <w:qFormat/>
    <w:rsid w:val="00B73165"/>
    <w:pPr>
      <w:ind w:left="794" w:hanging="397"/>
    </w:pPr>
    <w:rPr>
      <w:color w:val="00305F"/>
    </w:rPr>
  </w:style>
  <w:style w:type="paragraph" w:customStyle="1" w:styleId="71ff5">
    <w:name w:val="71ג כותרת סעיף כחול לא מודגש ב"/>
    <w:basedOn w:val="71ff4"/>
    <w:qFormat/>
    <w:rsid w:val="00B73165"/>
  </w:style>
  <w:style w:type="paragraph" w:customStyle="1" w:styleId="7112">
    <w:name w:val="71ג כותרת 12 כחולה בולד עם אות"/>
    <w:basedOn w:val="71512"/>
    <w:link w:val="7112Char"/>
    <w:qFormat/>
    <w:rsid w:val="003818F7"/>
    <w:pPr>
      <w:numPr>
        <w:numId w:val="18"/>
      </w:numPr>
      <w:ind w:left="397" w:hanging="397"/>
    </w:pPr>
  </w:style>
  <w:style w:type="paragraph" w:customStyle="1" w:styleId="7114">
    <w:name w:val="71ג קוביה חדשה הזחה 1"/>
    <w:basedOn w:val="71e"/>
    <w:link w:val="711Char0"/>
    <w:qFormat/>
    <w:rsid w:val="003818F7"/>
    <w:pPr>
      <w:ind w:left="680"/>
    </w:pPr>
  </w:style>
  <w:style w:type="character" w:customStyle="1" w:styleId="71512Char">
    <w:name w:val="71ג כותרת 5_12 Char"/>
    <w:basedOn w:val="10Char"/>
    <w:link w:val="71512"/>
    <w:rsid w:val="00DE43A8"/>
    <w:rPr>
      <w:rFonts w:ascii="Tahoma" w:hAnsi="Tahoma" w:cs="Tahoma"/>
      <w:b/>
      <w:bCs/>
      <w:color w:val="00305F"/>
      <w:sz w:val="24"/>
      <w:szCs w:val="20"/>
    </w:rPr>
  </w:style>
  <w:style w:type="character" w:customStyle="1" w:styleId="7112Char">
    <w:name w:val="71ג כותרת 12 כחולה בולד עם אות Char"/>
    <w:basedOn w:val="71512Char"/>
    <w:link w:val="7112"/>
    <w:rsid w:val="003818F7"/>
    <w:rPr>
      <w:rFonts w:ascii="Tahoma" w:hAnsi="Tahoma" w:cs="Tahoma"/>
      <w:b/>
      <w:bCs/>
      <w:color w:val="00305F"/>
      <w:sz w:val="24"/>
      <w:szCs w:val="20"/>
    </w:rPr>
  </w:style>
  <w:style w:type="paragraph" w:customStyle="1" w:styleId="71ff6">
    <w:name w:val="71ג החצי השני של קוביה כחולה"/>
    <w:basedOn w:val="71f4"/>
    <w:link w:val="71Chard"/>
    <w:qFormat/>
    <w:rsid w:val="00961DB0"/>
    <w:pPr>
      <w:pBdr>
        <w:top w:val="single" w:sz="18" w:space="5" w:color="EDF1FA"/>
        <w:bottom w:val="single" w:sz="18" w:space="5" w:color="EDF1FA"/>
      </w:pBdr>
    </w:pPr>
  </w:style>
  <w:style w:type="character" w:customStyle="1" w:styleId="RESHETChar">
    <w:name w:val="RESHET Char"/>
    <w:basedOn w:val="a5"/>
    <w:link w:val="RESHET"/>
    <w:rsid w:val="003818F7"/>
    <w:rPr>
      <w:rFonts w:eastAsia="Times New Roman" w:cs="FrankRuehl"/>
      <w:b/>
      <w:bCs/>
      <w:sz w:val="24"/>
      <w:szCs w:val="22"/>
      <w:shd w:val="pct25" w:color="00FF00" w:fill="auto"/>
      <w:lang w:eastAsia="he-IL"/>
    </w:rPr>
  </w:style>
  <w:style w:type="character" w:customStyle="1" w:styleId="71Char3">
    <w:name w:val="71ג קוביה כחולה הזחה שנייה Char"/>
    <w:basedOn w:val="RESHETChar"/>
    <w:link w:val="71d"/>
    <w:rsid w:val="003818F7"/>
    <w:rPr>
      <w:rFonts w:ascii="Tahoma" w:eastAsia="Times New Roman" w:hAnsi="Tahoma" w:cs="Tahoma"/>
      <w:b w:val="0"/>
      <w:bCs w:val="0"/>
      <w:color w:val="0D0D0D" w:themeColor="text1" w:themeTint="F2"/>
      <w:sz w:val="18"/>
      <w:szCs w:val="18"/>
      <w:shd w:val="solid" w:color="EDF1FA" w:fill="auto"/>
      <w:lang w:eastAsia="he-IL"/>
    </w:rPr>
  </w:style>
  <w:style w:type="character" w:customStyle="1" w:styleId="71Char4">
    <w:name w:val="71ג קוביה כחולה בתוך הזחה ראשונה Char"/>
    <w:basedOn w:val="71Char3"/>
    <w:link w:val="71e"/>
    <w:rsid w:val="003818F7"/>
    <w:rPr>
      <w:rFonts w:ascii="Tahoma" w:eastAsia="Times New Roman" w:hAnsi="Tahoma" w:cs="Tahoma"/>
      <w:b w:val="0"/>
      <w:bCs w:val="0"/>
      <w:color w:val="0D0D0D" w:themeColor="text1" w:themeTint="F2"/>
      <w:sz w:val="18"/>
      <w:szCs w:val="18"/>
      <w:shd w:val="solid" w:color="EDF1FA" w:fill="auto"/>
      <w:lang w:eastAsia="he-IL"/>
    </w:rPr>
  </w:style>
  <w:style w:type="character" w:customStyle="1" w:styleId="711Char0">
    <w:name w:val="71ג קוביה חדשה הזחה 1 Char"/>
    <w:basedOn w:val="71Char4"/>
    <w:link w:val="7114"/>
    <w:rsid w:val="003818F7"/>
    <w:rPr>
      <w:rFonts w:ascii="Tahoma" w:eastAsia="Times New Roman" w:hAnsi="Tahoma" w:cs="Tahoma"/>
      <w:b w:val="0"/>
      <w:bCs w:val="0"/>
      <w:color w:val="0D0D0D" w:themeColor="text1" w:themeTint="F2"/>
      <w:sz w:val="18"/>
      <w:szCs w:val="18"/>
      <w:shd w:val="solid" w:color="EDF1FA" w:fill="auto"/>
      <w:lang w:eastAsia="he-IL"/>
    </w:rPr>
  </w:style>
  <w:style w:type="paragraph" w:customStyle="1" w:styleId="71ff7">
    <w:name w:val="71ג קוביה לאחר מספר בסוגריים"/>
    <w:basedOn w:val="71f4"/>
    <w:link w:val="71Chare"/>
    <w:qFormat/>
    <w:rsid w:val="000557B4"/>
    <w:pPr>
      <w:ind w:left="680"/>
    </w:pPr>
  </w:style>
  <w:style w:type="character" w:customStyle="1" w:styleId="71Char6">
    <w:name w:val="71ג קוביה רצה Char"/>
    <w:basedOn w:val="71Char4"/>
    <w:link w:val="71f4"/>
    <w:rsid w:val="00E4255F"/>
    <w:rPr>
      <w:rFonts w:ascii="Tahoma" w:eastAsia="Times New Roman" w:hAnsi="Tahoma" w:cs="Tahoma"/>
      <w:b w:val="0"/>
      <w:bCs w:val="0"/>
      <w:color w:val="0D0D0D" w:themeColor="text1" w:themeTint="F2"/>
      <w:sz w:val="18"/>
      <w:szCs w:val="18"/>
      <w:shd w:val="solid" w:color="CEEAF5" w:fill="auto"/>
      <w:lang w:eastAsia="he-IL"/>
    </w:rPr>
  </w:style>
  <w:style w:type="character" w:customStyle="1" w:styleId="71Chard">
    <w:name w:val="71ג החצי השני של קוביה כחולה Char"/>
    <w:basedOn w:val="71Char6"/>
    <w:link w:val="71ff6"/>
    <w:rsid w:val="00961DB0"/>
    <w:rPr>
      <w:rFonts w:ascii="Tahoma" w:eastAsia="Times New Roman" w:hAnsi="Tahoma" w:cs="Tahoma"/>
      <w:b w:val="0"/>
      <w:bCs w:val="0"/>
      <w:color w:val="0D0D0D" w:themeColor="text1" w:themeTint="F2"/>
      <w:sz w:val="18"/>
      <w:szCs w:val="18"/>
      <w:shd w:val="solid" w:color="EDF1FA" w:fill="auto"/>
      <w:lang w:eastAsia="he-IL"/>
    </w:rPr>
  </w:style>
  <w:style w:type="character" w:customStyle="1" w:styleId="71Chare">
    <w:name w:val="71ג קוביה לאחר מספר בסוגריים Char"/>
    <w:basedOn w:val="71Char6"/>
    <w:link w:val="71ff7"/>
    <w:rsid w:val="000557B4"/>
    <w:rPr>
      <w:rFonts w:ascii="Tahoma" w:eastAsia="Times New Roman" w:hAnsi="Tahoma" w:cs="Tahoma"/>
      <w:b w:val="0"/>
      <w:bCs w:val="0"/>
      <w:color w:val="0D0D0D" w:themeColor="text1" w:themeTint="F2"/>
      <w:sz w:val="18"/>
      <w:szCs w:val="18"/>
      <w:shd w:val="solid" w:color="EDF1FA" w:fill="auto"/>
      <w:lang w:eastAsia="he-IL"/>
    </w:rPr>
  </w:style>
  <w:style w:type="paragraph" w:customStyle="1" w:styleId="shortt">
    <w:name w:val="shortt"/>
    <w:basedOn w:val="a4"/>
    <w:rsid w:val="00746FD3"/>
    <w:pPr>
      <w:bidi w:val="0"/>
      <w:spacing w:before="100" w:beforeAutospacing="1" w:after="100" w:afterAutospacing="1" w:line="240" w:lineRule="auto"/>
      <w:jc w:val="left"/>
    </w:pPr>
    <w:rPr>
      <w:rFonts w:eastAsia="Times New Roman" w:cs="Times New Roman"/>
      <w:sz w:val="24"/>
    </w:rPr>
  </w:style>
  <w:style w:type="character" w:customStyle="1" w:styleId="Heading4">
    <w:name w:val="Heading #4_"/>
    <w:basedOn w:val="a5"/>
    <w:link w:val="Heading40"/>
    <w:rsid w:val="00746FD3"/>
    <w:rPr>
      <w:rFonts w:ascii="Tahoma" w:eastAsia="Tahoma" w:hAnsi="Tahoma" w:cs="Tahoma"/>
      <w:b/>
      <w:bCs/>
      <w:sz w:val="15"/>
      <w:szCs w:val="15"/>
      <w:shd w:val="clear" w:color="auto" w:fill="FFFFFF"/>
    </w:rPr>
  </w:style>
  <w:style w:type="paragraph" w:customStyle="1" w:styleId="Heading40">
    <w:name w:val="Heading #4"/>
    <w:basedOn w:val="a4"/>
    <w:link w:val="Heading4"/>
    <w:rsid w:val="00746FD3"/>
    <w:pPr>
      <w:widowControl w:val="0"/>
      <w:shd w:val="clear" w:color="auto" w:fill="FFFFFF"/>
      <w:spacing w:before="240" w:after="180" w:line="240" w:lineRule="exact"/>
      <w:outlineLvl w:val="3"/>
    </w:pPr>
    <w:rPr>
      <w:rFonts w:ascii="Tahoma" w:eastAsia="Tahoma" w:hAnsi="Tahoma" w:cs="Tahoma"/>
      <w:b/>
      <w:bCs/>
      <w:sz w:val="15"/>
      <w:szCs w:val="15"/>
    </w:rPr>
  </w:style>
  <w:style w:type="character" w:customStyle="1" w:styleId="Footnote">
    <w:name w:val="Footnote_"/>
    <w:basedOn w:val="a5"/>
    <w:link w:val="Footnote0"/>
    <w:rsid w:val="00746FD3"/>
    <w:rPr>
      <w:rFonts w:ascii="David" w:eastAsia="David" w:hAnsi="David"/>
      <w:szCs w:val="20"/>
      <w:shd w:val="clear" w:color="auto" w:fill="FFFFFF"/>
    </w:rPr>
  </w:style>
  <w:style w:type="character" w:customStyle="1" w:styleId="Footnote95pt">
    <w:name w:val="Footnote + 9.5 pt"/>
    <w:aliases w:val="Footnote (2) + 9.5 pt,Small Caps"/>
    <w:basedOn w:val="Footnote"/>
    <w:rsid w:val="00746FD3"/>
    <w:rPr>
      <w:rFonts w:ascii="David" w:eastAsia="David" w:hAnsi="David"/>
      <w:smallCaps/>
      <w:color w:val="000000"/>
      <w:spacing w:val="0"/>
      <w:w w:val="100"/>
      <w:position w:val="0"/>
      <w:sz w:val="19"/>
      <w:szCs w:val="19"/>
      <w:shd w:val="clear" w:color="auto" w:fill="FFFFFF"/>
      <w:lang w:val="en-US" w:eastAsia="en-US" w:bidi="en-US"/>
    </w:rPr>
  </w:style>
  <w:style w:type="character" w:customStyle="1" w:styleId="Footnote2">
    <w:name w:val="Footnote (2)_"/>
    <w:basedOn w:val="a5"/>
    <w:link w:val="Footnote20"/>
    <w:rsid w:val="00746FD3"/>
    <w:rPr>
      <w:rFonts w:ascii="David" w:eastAsia="David" w:hAnsi="David"/>
      <w:szCs w:val="20"/>
      <w:shd w:val="clear" w:color="auto" w:fill="FFFFFF"/>
      <w:lang w:bidi="en-US"/>
    </w:rPr>
  </w:style>
  <w:style w:type="character" w:customStyle="1" w:styleId="Footnote3">
    <w:name w:val="Footnote (3)_"/>
    <w:basedOn w:val="a5"/>
    <w:link w:val="Footnote30"/>
    <w:rsid w:val="00746FD3"/>
    <w:rPr>
      <w:rFonts w:ascii="David" w:eastAsia="David" w:hAnsi="David"/>
      <w:sz w:val="19"/>
      <w:szCs w:val="19"/>
      <w:shd w:val="clear" w:color="auto" w:fill="FFFFFF"/>
      <w:lang w:bidi="en-US"/>
    </w:rPr>
  </w:style>
  <w:style w:type="character" w:customStyle="1" w:styleId="Footnote310pt">
    <w:name w:val="Footnote (3) + 10 pt"/>
    <w:basedOn w:val="Footnote3"/>
    <w:rsid w:val="00746FD3"/>
    <w:rPr>
      <w:rFonts w:ascii="David" w:eastAsia="David" w:hAnsi="David"/>
      <w:color w:val="000000"/>
      <w:spacing w:val="0"/>
      <w:w w:val="100"/>
      <w:position w:val="0"/>
      <w:sz w:val="20"/>
      <w:szCs w:val="20"/>
      <w:shd w:val="clear" w:color="auto" w:fill="FFFFFF"/>
      <w:lang w:bidi="en-US"/>
    </w:rPr>
  </w:style>
  <w:style w:type="character" w:customStyle="1" w:styleId="Footnote3SmallCaps">
    <w:name w:val="Footnote (3) + Small Caps"/>
    <w:basedOn w:val="Footnote3"/>
    <w:rsid w:val="00746FD3"/>
    <w:rPr>
      <w:rFonts w:ascii="David" w:eastAsia="David" w:hAnsi="David"/>
      <w:smallCaps/>
      <w:color w:val="000000"/>
      <w:spacing w:val="0"/>
      <w:w w:val="100"/>
      <w:position w:val="0"/>
      <w:sz w:val="19"/>
      <w:szCs w:val="19"/>
      <w:shd w:val="clear" w:color="auto" w:fill="FFFFFF"/>
      <w:lang w:bidi="en-US"/>
    </w:rPr>
  </w:style>
  <w:style w:type="character" w:customStyle="1" w:styleId="FootnoteBold">
    <w:name w:val="Footnote + Bold"/>
    <w:basedOn w:val="Footnote"/>
    <w:rsid w:val="00746FD3"/>
    <w:rPr>
      <w:rFonts w:ascii="David" w:eastAsia="David" w:hAnsi="David"/>
      <w:b/>
      <w:bCs/>
      <w:color w:val="000000"/>
      <w:spacing w:val="0"/>
      <w:w w:val="100"/>
      <w:position w:val="0"/>
      <w:szCs w:val="20"/>
      <w:shd w:val="clear" w:color="auto" w:fill="FFFFFF"/>
      <w:lang w:val="he-IL" w:eastAsia="he-IL" w:bidi="he-IL"/>
    </w:rPr>
  </w:style>
  <w:style w:type="character" w:customStyle="1" w:styleId="FootnoteSmallCaps">
    <w:name w:val="Footnote + Small Caps"/>
    <w:basedOn w:val="Footnote"/>
    <w:rsid w:val="00746FD3"/>
    <w:rPr>
      <w:rFonts w:ascii="David" w:eastAsia="David" w:hAnsi="David"/>
      <w:smallCaps/>
      <w:color w:val="000000"/>
      <w:spacing w:val="0"/>
      <w:w w:val="100"/>
      <w:position w:val="0"/>
      <w:szCs w:val="20"/>
      <w:shd w:val="clear" w:color="auto" w:fill="FFFFFF"/>
      <w:lang w:val="en-US" w:eastAsia="en-US" w:bidi="en-US"/>
    </w:rPr>
  </w:style>
  <w:style w:type="paragraph" w:customStyle="1" w:styleId="Footnote0">
    <w:name w:val="Footnote"/>
    <w:basedOn w:val="a4"/>
    <w:link w:val="Footnote"/>
    <w:rsid w:val="00746FD3"/>
    <w:pPr>
      <w:widowControl w:val="0"/>
      <w:shd w:val="clear" w:color="auto" w:fill="FFFFFF"/>
      <w:spacing w:line="235" w:lineRule="exact"/>
    </w:pPr>
    <w:rPr>
      <w:rFonts w:ascii="David" w:eastAsia="David" w:hAnsi="David"/>
      <w:szCs w:val="20"/>
    </w:rPr>
  </w:style>
  <w:style w:type="paragraph" w:customStyle="1" w:styleId="Footnote20">
    <w:name w:val="Footnote (2)"/>
    <w:basedOn w:val="a4"/>
    <w:link w:val="Footnote2"/>
    <w:rsid w:val="00746FD3"/>
    <w:pPr>
      <w:widowControl w:val="0"/>
      <w:shd w:val="clear" w:color="auto" w:fill="FFFFFF"/>
      <w:bidi w:val="0"/>
      <w:spacing w:line="230" w:lineRule="exact"/>
      <w:jc w:val="right"/>
    </w:pPr>
    <w:rPr>
      <w:rFonts w:ascii="David" w:eastAsia="David" w:hAnsi="David"/>
      <w:szCs w:val="20"/>
      <w:lang w:bidi="en-US"/>
    </w:rPr>
  </w:style>
  <w:style w:type="paragraph" w:customStyle="1" w:styleId="Footnote30">
    <w:name w:val="Footnote (3)"/>
    <w:basedOn w:val="a4"/>
    <w:link w:val="Footnote3"/>
    <w:rsid w:val="00746FD3"/>
    <w:pPr>
      <w:widowControl w:val="0"/>
      <w:shd w:val="clear" w:color="auto" w:fill="FFFFFF"/>
      <w:bidi w:val="0"/>
      <w:spacing w:line="230" w:lineRule="exact"/>
      <w:jc w:val="right"/>
    </w:pPr>
    <w:rPr>
      <w:rFonts w:ascii="David" w:eastAsia="David" w:hAnsi="David"/>
      <w:sz w:val="19"/>
      <w:szCs w:val="19"/>
      <w:lang w:bidi="en-US"/>
    </w:rPr>
  </w:style>
  <w:style w:type="table" w:customStyle="1" w:styleId="230">
    <w:name w:val="_23"/>
    <w:basedOn w:val="a6"/>
    <w:rsid w:val="00746FD3"/>
    <w:pPr>
      <w:bidi/>
      <w:spacing w:after="0" w:line="312" w:lineRule="auto"/>
    </w:pPr>
    <w:rPr>
      <w:rFonts w:eastAsia="Times New Roman" w:cs="Times New Roman"/>
      <w:szCs w:val="20"/>
    </w:rPr>
    <w:tblPr>
      <w:tblStyleRowBandSize w:val="1"/>
      <w:tblStyleColBandSize w:val="1"/>
      <w:tblCellMar>
        <w:left w:w="115" w:type="dxa"/>
        <w:right w:w="115" w:type="dxa"/>
      </w:tblCellMar>
    </w:tblPr>
  </w:style>
  <w:style w:type="table" w:customStyle="1" w:styleId="42">
    <w:name w:val="_4"/>
    <w:basedOn w:val="a6"/>
    <w:rsid w:val="00746FD3"/>
    <w:pPr>
      <w:bidi/>
      <w:spacing w:after="0" w:line="312" w:lineRule="auto"/>
    </w:pPr>
    <w:rPr>
      <w:rFonts w:eastAsia="Times New Roman" w:cs="Times New Roman"/>
      <w:szCs w:val="20"/>
    </w:rPr>
    <w:tblPr>
      <w:tblStyleRowBandSize w:val="1"/>
      <w:tblStyleColBandSize w:val="1"/>
      <w:tblCellMar>
        <w:left w:w="115" w:type="dxa"/>
        <w:right w:w="115" w:type="dxa"/>
      </w:tblCellMar>
    </w:tblPr>
  </w:style>
  <w:style w:type="paragraph" w:styleId="affff3">
    <w:name w:val="Quote"/>
    <w:basedOn w:val="a4"/>
    <w:next w:val="a4"/>
    <w:link w:val="affff4"/>
    <w:uiPriority w:val="29"/>
    <w:qFormat/>
    <w:rsid w:val="00746FD3"/>
    <w:pPr>
      <w:widowControl w:val="0"/>
      <w:spacing w:before="200" w:after="160" w:line="240" w:lineRule="auto"/>
      <w:ind w:left="864" w:right="864"/>
      <w:jc w:val="center"/>
    </w:pPr>
    <w:rPr>
      <w:rFonts w:eastAsia="Times New Roman"/>
      <w:i/>
      <w:iCs/>
      <w:color w:val="404040" w:themeColor="text1" w:themeTint="BF"/>
      <w:sz w:val="24"/>
    </w:rPr>
  </w:style>
  <w:style w:type="character" w:customStyle="1" w:styleId="affff4">
    <w:name w:val="ציטוט תו"/>
    <w:basedOn w:val="a5"/>
    <w:link w:val="affff3"/>
    <w:uiPriority w:val="29"/>
    <w:rsid w:val="00746FD3"/>
    <w:rPr>
      <w:rFonts w:eastAsia="Times New Roman"/>
      <w:i/>
      <w:iCs/>
      <w:color w:val="404040" w:themeColor="text1" w:themeTint="BF"/>
      <w:sz w:val="24"/>
    </w:rPr>
  </w:style>
  <w:style w:type="paragraph" w:customStyle="1" w:styleId="713">
    <w:name w:val="71ג טבלה בולטים"/>
    <w:basedOn w:val="71R"/>
    <w:qFormat/>
    <w:rsid w:val="0043581E"/>
    <w:pPr>
      <w:numPr>
        <w:numId w:val="19"/>
      </w:numPr>
      <w:ind w:left="284" w:hanging="284"/>
    </w:pPr>
  </w:style>
  <w:style w:type="table" w:customStyle="1" w:styleId="2-61">
    <w:name w:val="טבלת רשת 2 - הדגשה 61"/>
    <w:basedOn w:val="a6"/>
    <w:uiPriority w:val="47"/>
    <w:rsid w:val="002927EE"/>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styleId="affff5">
    <w:name w:val="Subtle Emphasis"/>
    <w:basedOn w:val="a5"/>
    <w:uiPriority w:val="19"/>
    <w:qFormat/>
    <w:rsid w:val="00583E34"/>
    <w:rPr>
      <w:rFonts w:hint="default"/>
      <w:i/>
      <w:iCs/>
      <w:color w:val="808080"/>
    </w:rPr>
  </w:style>
  <w:style w:type="character" w:styleId="affff6">
    <w:name w:val="Intense Emphasis"/>
    <w:basedOn w:val="a5"/>
    <w:uiPriority w:val="21"/>
    <w:qFormat/>
    <w:rsid w:val="00583E34"/>
    <w:rPr>
      <w:rFonts w:hint="default"/>
      <w:b/>
      <w:bCs/>
      <w:i/>
      <w:iCs/>
      <w:color w:val="4F81BD"/>
    </w:rPr>
  </w:style>
  <w:style w:type="paragraph" w:styleId="affff7">
    <w:name w:val="Intense Quote"/>
    <w:basedOn w:val="a4"/>
    <w:next w:val="a4"/>
    <w:link w:val="affff8"/>
    <w:uiPriority w:val="30"/>
    <w:qFormat/>
    <w:rsid w:val="00583E34"/>
    <w:pPr>
      <w:pBdr>
        <w:bottom w:val="single" w:sz="4" w:space="4" w:color="4F81BD"/>
      </w:pBdr>
      <w:spacing w:before="200" w:after="280"/>
      <w:ind w:left="936" w:right="936"/>
    </w:pPr>
    <w:rPr>
      <w:rFonts w:eastAsia="Calibri"/>
      <w:b/>
      <w:bCs/>
      <w:i/>
      <w:iCs/>
      <w:color w:val="4F81BD"/>
    </w:rPr>
  </w:style>
  <w:style w:type="character" w:customStyle="1" w:styleId="affff8">
    <w:name w:val="ציטוט חזק תו"/>
    <w:basedOn w:val="a5"/>
    <w:link w:val="affff7"/>
    <w:uiPriority w:val="30"/>
    <w:rsid w:val="00583E34"/>
    <w:rPr>
      <w:rFonts w:eastAsia="Calibri"/>
      <w:b/>
      <w:bCs/>
      <w:i/>
      <w:iCs/>
      <w:color w:val="4F81BD"/>
    </w:rPr>
  </w:style>
  <w:style w:type="character" w:styleId="affff9">
    <w:name w:val="Subtle Reference"/>
    <w:basedOn w:val="a5"/>
    <w:uiPriority w:val="31"/>
    <w:qFormat/>
    <w:rsid w:val="00583E34"/>
    <w:rPr>
      <w:rFonts w:hint="default"/>
      <w:smallCaps/>
      <w:color w:val="C0504D"/>
      <w:u w:val="single"/>
    </w:rPr>
  </w:style>
  <w:style w:type="character" w:styleId="affffa">
    <w:name w:val="Intense Reference"/>
    <w:basedOn w:val="a5"/>
    <w:uiPriority w:val="32"/>
    <w:qFormat/>
    <w:rsid w:val="00583E34"/>
    <w:rPr>
      <w:rFonts w:hint="default"/>
      <w:b/>
      <w:bCs/>
      <w:smallCaps/>
      <w:color w:val="C0504D"/>
      <w:spacing w:val="5"/>
      <w:u w:val="single"/>
    </w:rPr>
  </w:style>
  <w:style w:type="character" w:styleId="affffb">
    <w:name w:val="Book Title"/>
    <w:basedOn w:val="a5"/>
    <w:uiPriority w:val="33"/>
    <w:qFormat/>
    <w:rsid w:val="00583E34"/>
    <w:rPr>
      <w:rFonts w:hint="default"/>
      <w:b/>
      <w:bCs/>
      <w:smallCaps/>
      <w:spacing w:val="5"/>
    </w:rPr>
  </w:style>
  <w:style w:type="character" w:customStyle="1" w:styleId="Heading1Char1">
    <w:name w:val="Heading 1 Char1"/>
    <w:basedOn w:val="a5"/>
    <w:uiPriority w:val="1"/>
    <w:rsid w:val="00583E34"/>
    <w:rPr>
      <w:rFonts w:eastAsia="Helvetica Neue" w:hint="default"/>
      <w:bCs/>
      <w:szCs w:val="36"/>
      <w:u w:val="single"/>
    </w:rPr>
  </w:style>
  <w:style w:type="character" w:customStyle="1" w:styleId="Heading2Char1">
    <w:name w:val="Heading 2 Char1"/>
    <w:basedOn w:val="a5"/>
    <w:uiPriority w:val="1"/>
    <w:rsid w:val="00583E34"/>
    <w:rPr>
      <w:rFonts w:eastAsia="Helvetica Neue" w:hint="default"/>
      <w:bCs/>
      <w:szCs w:val="32"/>
    </w:rPr>
  </w:style>
  <w:style w:type="character" w:customStyle="1" w:styleId="Heading3Char1">
    <w:name w:val="Heading 3 Char1"/>
    <w:basedOn w:val="a5"/>
    <w:uiPriority w:val="1"/>
    <w:rsid w:val="00583E34"/>
    <w:rPr>
      <w:rFonts w:eastAsia="Helvetica Neue" w:hint="default"/>
      <w:bCs/>
      <w:szCs w:val="28"/>
      <w:u w:val="single"/>
    </w:rPr>
  </w:style>
  <w:style w:type="character" w:customStyle="1" w:styleId="Heading4Char1">
    <w:name w:val="Heading 4 Char1"/>
    <w:basedOn w:val="a5"/>
    <w:uiPriority w:val="1"/>
    <w:rsid w:val="00583E34"/>
    <w:rPr>
      <w:rFonts w:eastAsia="Helvetica Neue" w:hint="default"/>
      <w:bCs/>
      <w:szCs w:val="26"/>
    </w:rPr>
  </w:style>
  <w:style w:type="character" w:customStyle="1" w:styleId="Heading5Char1">
    <w:name w:val="Heading 5 Char1"/>
    <w:basedOn w:val="a5"/>
    <w:uiPriority w:val="1"/>
    <w:rsid w:val="00583E34"/>
    <w:rPr>
      <w:rFonts w:eastAsia="Helvetica Neue" w:hint="default"/>
      <w:bCs/>
      <w:spacing w:val="40"/>
    </w:rPr>
  </w:style>
  <w:style w:type="character" w:customStyle="1" w:styleId="Heading6Char1">
    <w:name w:val="Heading 6 Char1"/>
    <w:basedOn w:val="a5"/>
    <w:uiPriority w:val="1"/>
    <w:rsid w:val="00583E34"/>
    <w:rPr>
      <w:rFonts w:eastAsia="Helvetica Neue" w:hint="default"/>
      <w:spacing w:val="40"/>
    </w:rPr>
  </w:style>
  <w:style w:type="character" w:customStyle="1" w:styleId="Heading7Char1">
    <w:name w:val="Heading 7 Char1"/>
    <w:basedOn w:val="a5"/>
    <w:uiPriority w:val="1"/>
    <w:rsid w:val="00583E34"/>
    <w:rPr>
      <w:rFonts w:eastAsia="Helvetica Neue" w:hint="default"/>
      <w:bCs/>
      <w:spacing w:val="40"/>
    </w:rPr>
  </w:style>
  <w:style w:type="character" w:customStyle="1" w:styleId="Heading8Char1">
    <w:name w:val="Heading 8 Char1"/>
    <w:basedOn w:val="a5"/>
    <w:uiPriority w:val="1"/>
    <w:rsid w:val="00583E34"/>
    <w:rPr>
      <w:rFonts w:eastAsia="Helvetica Neue" w:hint="default"/>
      <w:spacing w:val="40"/>
    </w:rPr>
  </w:style>
  <w:style w:type="character" w:customStyle="1" w:styleId="HeaderChar1">
    <w:name w:val="Header Char1"/>
    <w:basedOn w:val="a5"/>
    <w:uiPriority w:val="99"/>
    <w:rsid w:val="00583E34"/>
  </w:style>
  <w:style w:type="character" w:customStyle="1" w:styleId="FooterChar1">
    <w:name w:val="Footer Char1"/>
    <w:basedOn w:val="a5"/>
    <w:uiPriority w:val="99"/>
    <w:rsid w:val="00583E34"/>
  </w:style>
  <w:style w:type="character" w:customStyle="1" w:styleId="FootnoteTextChar1">
    <w:name w:val="Footnote Text Char1"/>
    <w:basedOn w:val="a5"/>
    <w:uiPriority w:val="99"/>
    <w:rsid w:val="00583E34"/>
    <w:rPr>
      <w:rFonts w:hint="default"/>
      <w:szCs w:val="20"/>
    </w:rPr>
  </w:style>
  <w:style w:type="paragraph" w:customStyle="1" w:styleId="Font8">
    <w:name w:val="Font_8"/>
    <w:basedOn w:val="a4"/>
    <w:uiPriority w:val="99"/>
    <w:rsid w:val="00583E34"/>
    <w:pPr>
      <w:bidi w:val="0"/>
      <w:spacing w:before="100" w:after="100" w:line="240" w:lineRule="auto"/>
      <w:jc w:val="left"/>
    </w:pPr>
    <w:rPr>
      <w:rFonts w:eastAsia="Times New Roman" w:cs="Times New Roman"/>
      <w:sz w:val="24"/>
    </w:rPr>
  </w:style>
  <w:style w:type="paragraph" w:customStyle="1" w:styleId="Xmsonormal">
    <w:name w:val="X_msonormal"/>
    <w:basedOn w:val="a4"/>
    <w:uiPriority w:val="99"/>
    <w:rsid w:val="00583E34"/>
    <w:pPr>
      <w:bidi w:val="0"/>
      <w:spacing w:line="240" w:lineRule="auto"/>
      <w:jc w:val="left"/>
    </w:pPr>
    <w:rPr>
      <w:rFonts w:eastAsia="Calibri" w:cs="Times New Roman"/>
      <w:sz w:val="24"/>
    </w:rPr>
  </w:style>
  <w:style w:type="character" w:customStyle="1" w:styleId="Big-number0">
    <w:name w:val="Big-number"/>
    <w:basedOn w:val="a5"/>
    <w:uiPriority w:val="99"/>
    <w:rsid w:val="00583E34"/>
  </w:style>
  <w:style w:type="character" w:customStyle="1" w:styleId="Ms-rtefontsize-20">
    <w:name w:val="Ms-rtefontsize-2"/>
    <w:basedOn w:val="a5"/>
    <w:uiPriority w:val="99"/>
    <w:rsid w:val="00583E34"/>
  </w:style>
  <w:style w:type="table" w:customStyle="1" w:styleId="TableGrid">
    <w:name w:val="TableGrid"/>
    <w:uiPriority w:val="99"/>
    <w:rsid w:val="00583E34"/>
    <w:pPr>
      <w:spacing w:after="0" w:line="240" w:lineRule="auto"/>
      <w:jc w:val="left"/>
    </w:pPr>
    <w:rPr>
      <w:rFonts w:ascii="Calibri" w:eastAsia="Times New Roman" w:hAnsi="Calibri" w:cs="Arial"/>
      <w:sz w:val="22"/>
      <w:szCs w:val="22"/>
      <w:lang w:bidi="ar-SA"/>
    </w:rPr>
    <w:tblPr>
      <w:tblCellMar>
        <w:top w:w="0" w:type="dxa"/>
        <w:left w:w="0" w:type="dxa"/>
        <w:bottom w:w="0" w:type="dxa"/>
        <w:right w:w="0" w:type="dxa"/>
      </w:tblCellMar>
    </w:tblPr>
  </w:style>
  <w:style w:type="paragraph" w:customStyle="1" w:styleId="BulletedList">
    <w:name w:val="Bulleted List"/>
    <w:uiPriority w:val="12"/>
    <w:qFormat/>
    <w:rsid w:val="007C1E66"/>
    <w:pPr>
      <w:numPr>
        <w:numId w:val="20"/>
      </w:numPr>
      <w:spacing w:after="60" w:line="260" w:lineRule="exact"/>
    </w:pPr>
    <w:rPr>
      <w:rFonts w:asciiTheme="minorHAnsi" w:hAnsiTheme="minorHAnsi" w:cstheme="minorBidi"/>
      <w:color w:val="000000" w:themeColor="text1"/>
      <w:szCs w:val="22"/>
      <w:lang w:val="en-GB" w:bidi="ar-SA"/>
    </w:rPr>
  </w:style>
  <w:style w:type="character" w:styleId="affffc">
    <w:name w:val="page number"/>
    <w:basedOn w:val="a5"/>
    <w:uiPriority w:val="99"/>
    <w:rsid w:val="007C1E66"/>
    <w:rPr>
      <w:rFonts w:asciiTheme="minorHAnsi" w:hAnsiTheme="minorHAnsi"/>
      <w:b/>
      <w:sz w:val="22"/>
    </w:rPr>
  </w:style>
  <w:style w:type="table" w:customStyle="1" w:styleId="113">
    <w:name w:val="רשת טבלה11"/>
    <w:basedOn w:val="a6"/>
    <w:next w:val="ad"/>
    <w:uiPriority w:val="59"/>
    <w:rsid w:val="007C1E66"/>
    <w:pPr>
      <w:spacing w:after="0" w:line="240" w:lineRule="auto"/>
    </w:pPr>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רשת טבלה3"/>
    <w:basedOn w:val="a6"/>
    <w:next w:val="ad"/>
    <w:uiPriority w:val="59"/>
    <w:rsid w:val="007C1E66"/>
    <w:pPr>
      <w:spacing w:after="0" w:line="240" w:lineRule="auto"/>
    </w:pPr>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Grid Table 4 Accent 1"/>
    <w:basedOn w:val="a6"/>
    <w:uiPriority w:val="49"/>
    <w:rsid w:val="007C1E6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affffd">
    <w:name w:val="הערות שוליים"/>
    <w:basedOn w:val="ab"/>
    <w:uiPriority w:val="99"/>
    <w:qFormat/>
    <w:rsid w:val="007C1E66"/>
    <w:pPr>
      <w:spacing w:after="60" w:line="312" w:lineRule="auto"/>
      <w:ind w:left="397" w:hanging="397"/>
    </w:pPr>
    <w:rPr>
      <w:rFonts w:ascii="Tahoma" w:hAnsi="Tahoma" w:cs="Tahoma"/>
      <w:sz w:val="16"/>
      <w:szCs w:val="16"/>
    </w:rPr>
  </w:style>
  <w:style w:type="table" w:customStyle="1" w:styleId="43">
    <w:name w:val="רשת טבלה4"/>
    <w:basedOn w:val="a6"/>
    <w:next w:val="ad"/>
    <w:uiPriority w:val="59"/>
    <w:rsid w:val="007C1E66"/>
    <w:pPr>
      <w:spacing w:after="0" w:line="240" w:lineRule="auto"/>
      <w:jc w:val="left"/>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רשת טבלה5"/>
    <w:basedOn w:val="a6"/>
    <w:next w:val="ad"/>
    <w:uiPriority w:val="59"/>
    <w:rsid w:val="007C1E66"/>
    <w:pPr>
      <w:spacing w:after="0" w:line="240" w:lineRule="auto"/>
      <w:jc w:val="left"/>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e">
    <w:name w:val="טקסט"/>
    <w:basedOn w:val="a4"/>
    <w:link w:val="afffff"/>
    <w:rsid w:val="007C1E66"/>
    <w:pPr>
      <w:tabs>
        <w:tab w:val="left" w:pos="567"/>
      </w:tabs>
      <w:spacing w:after="120" w:line="280" w:lineRule="exact"/>
    </w:pPr>
    <w:rPr>
      <w:rFonts w:eastAsia="Times New Roman"/>
      <w:sz w:val="22"/>
    </w:rPr>
  </w:style>
  <w:style w:type="character" w:customStyle="1" w:styleId="afffff">
    <w:name w:val="טקסט תו"/>
    <w:link w:val="affffe"/>
    <w:rsid w:val="007C1E66"/>
    <w:rPr>
      <w:rFonts w:eastAsia="Times New Roman"/>
      <w:sz w:val="22"/>
    </w:rPr>
  </w:style>
  <w:style w:type="table" w:customStyle="1" w:styleId="62">
    <w:name w:val="רשת טבלה6"/>
    <w:basedOn w:val="a6"/>
    <w:next w:val="ad"/>
    <w:uiPriority w:val="59"/>
    <w:rsid w:val="007C1E66"/>
    <w:pPr>
      <w:widowControl w:val="0"/>
      <w:bidi/>
      <w:spacing w:after="0" w:line="312" w:lineRule="auto"/>
    </w:pPr>
    <w:rPr>
      <w:rFonts w:eastAsia="Times New Roman" w:cs="Miriam"/>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רשת טבלה12"/>
    <w:basedOn w:val="a6"/>
    <w:next w:val="ad"/>
    <w:uiPriority w:val="59"/>
    <w:rsid w:val="007C1E66"/>
    <w:pPr>
      <w:spacing w:after="0" w:line="240" w:lineRule="auto"/>
    </w:pPr>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115pt">
    <w:name w:val="Body text (2) + 11.5 pt"/>
    <w:aliases w:val="Bold"/>
    <w:basedOn w:val="Bodytext2"/>
    <w:rsid w:val="007C1E66"/>
    <w:rPr>
      <w:rFonts w:ascii="David" w:eastAsia="David" w:hAnsi="David" w:cs="David"/>
      <w:b/>
      <w:bCs/>
      <w:i w:val="0"/>
      <w:iCs w:val="0"/>
      <w:smallCaps w:val="0"/>
      <w:strike w:val="0"/>
      <w:color w:val="000000"/>
      <w:spacing w:val="0"/>
      <w:w w:val="100"/>
      <w:position w:val="0"/>
      <w:sz w:val="23"/>
      <w:szCs w:val="23"/>
      <w:u w:val="none"/>
      <w:shd w:val="clear" w:color="auto" w:fill="FFFFFF"/>
      <w:lang w:val="he-IL" w:eastAsia="he-IL" w:bidi="he-IL"/>
    </w:rPr>
  </w:style>
  <w:style w:type="character" w:customStyle="1" w:styleId="Heading30">
    <w:name w:val="Heading #3_"/>
    <w:basedOn w:val="a5"/>
    <w:rsid w:val="007C1E66"/>
    <w:rPr>
      <w:rFonts w:ascii="David" w:eastAsia="David" w:hAnsi="David"/>
      <w:b/>
      <w:bCs/>
      <w:sz w:val="23"/>
      <w:szCs w:val="23"/>
      <w:shd w:val="clear" w:color="auto" w:fill="FFFFFF"/>
    </w:rPr>
  </w:style>
  <w:style w:type="character" w:customStyle="1" w:styleId="Bodytext311pt">
    <w:name w:val="Body text (3) + 11 pt"/>
    <w:aliases w:val="Heading #3 + 11 pt,Not Bold"/>
    <w:basedOn w:val="Bodytext3"/>
    <w:rsid w:val="007C1E66"/>
    <w:rPr>
      <w:rFonts w:ascii="David" w:eastAsia="David" w:hAnsi="David" w:cs="Lucida Sans Unicode"/>
      <w:b/>
      <w:bCs/>
      <w:i w:val="0"/>
      <w:iCs w:val="0"/>
      <w:smallCaps w:val="0"/>
      <w:strike w:val="0"/>
      <w:color w:val="000000"/>
      <w:spacing w:val="0"/>
      <w:w w:val="100"/>
      <w:position w:val="0"/>
      <w:sz w:val="22"/>
      <w:szCs w:val="22"/>
      <w:u w:val="none"/>
      <w:shd w:val="clear" w:color="auto" w:fill="FFFFFF"/>
      <w:lang w:val="he-IL" w:eastAsia="he-IL" w:bidi="he-IL"/>
    </w:rPr>
  </w:style>
  <w:style w:type="paragraph" w:customStyle="1" w:styleId="ruller50">
    <w:name w:val="ruller50"/>
    <w:basedOn w:val="a4"/>
    <w:rsid w:val="00CA525B"/>
    <w:pPr>
      <w:bidi w:val="0"/>
      <w:spacing w:before="100" w:beforeAutospacing="1" w:after="100" w:afterAutospacing="1" w:line="240" w:lineRule="auto"/>
      <w:jc w:val="left"/>
    </w:pPr>
    <w:rPr>
      <w:rFonts w:eastAsia="Times New Roman" w:cs="Times New Roman"/>
      <w:sz w:val="24"/>
    </w:rPr>
  </w:style>
  <w:style w:type="character" w:customStyle="1" w:styleId="1fb">
    <w:name w:val="אזכור לא מזוהה1"/>
    <w:basedOn w:val="a5"/>
    <w:uiPriority w:val="99"/>
    <w:semiHidden/>
    <w:unhideWhenUsed/>
    <w:rsid w:val="00CA525B"/>
    <w:rPr>
      <w:color w:val="605E5C"/>
      <w:shd w:val="clear" w:color="auto" w:fill="E1DFDD"/>
    </w:rPr>
  </w:style>
  <w:style w:type="character" w:customStyle="1" w:styleId="number">
    <w:name w:val="number"/>
    <w:basedOn w:val="a5"/>
    <w:rsid w:val="00187AC7"/>
  </w:style>
  <w:style w:type="table" w:styleId="36">
    <w:name w:val="Plain Table 3"/>
    <w:basedOn w:val="a6"/>
    <w:uiPriority w:val="43"/>
    <w:rsid w:val="00187AC7"/>
    <w:pPr>
      <w:bidi/>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a">
    <w:name w:val="כותרת תרשים"/>
    <w:basedOn w:val="a4"/>
    <w:next w:val="a4"/>
    <w:link w:val="afffff0"/>
    <w:qFormat/>
    <w:rsid w:val="007C4395"/>
    <w:pPr>
      <w:keepNext/>
      <w:keepLines/>
      <w:numPr>
        <w:numId w:val="21"/>
      </w:numPr>
      <w:jc w:val="center"/>
    </w:pPr>
    <w:rPr>
      <w:bCs/>
    </w:rPr>
  </w:style>
  <w:style w:type="paragraph" w:customStyle="1" w:styleId="a1">
    <w:name w:val="כותרת לוח"/>
    <w:basedOn w:val="a4"/>
    <w:next w:val="a4"/>
    <w:link w:val="afffff1"/>
    <w:qFormat/>
    <w:rsid w:val="007C4395"/>
    <w:pPr>
      <w:keepNext/>
      <w:keepLines/>
      <w:numPr>
        <w:numId w:val="22"/>
      </w:numPr>
      <w:jc w:val="center"/>
    </w:pPr>
    <w:rPr>
      <w:bCs/>
    </w:rPr>
  </w:style>
  <w:style w:type="character" w:customStyle="1" w:styleId="afffff0">
    <w:name w:val="כותרת תרשים תו"/>
    <w:basedOn w:val="a5"/>
    <w:link w:val="a"/>
    <w:rsid w:val="007C4395"/>
    <w:rPr>
      <w:bCs/>
    </w:rPr>
  </w:style>
  <w:style w:type="paragraph" w:customStyle="1" w:styleId="a3">
    <w:name w:val="כותרת תמונה"/>
    <w:basedOn w:val="a4"/>
    <w:next w:val="a4"/>
    <w:link w:val="afffff2"/>
    <w:qFormat/>
    <w:rsid w:val="007C4395"/>
    <w:pPr>
      <w:keepNext/>
      <w:keepLines/>
      <w:numPr>
        <w:numId w:val="23"/>
      </w:numPr>
      <w:jc w:val="center"/>
    </w:pPr>
    <w:rPr>
      <w:bCs/>
    </w:rPr>
  </w:style>
  <w:style w:type="character" w:customStyle="1" w:styleId="afffff1">
    <w:name w:val="כותרת לוח תו"/>
    <w:basedOn w:val="a5"/>
    <w:link w:val="a1"/>
    <w:rsid w:val="007C4395"/>
    <w:rPr>
      <w:bCs/>
    </w:rPr>
  </w:style>
  <w:style w:type="character" w:customStyle="1" w:styleId="afffff2">
    <w:name w:val="כותרת תמונה תו"/>
    <w:basedOn w:val="a5"/>
    <w:link w:val="a3"/>
    <w:rsid w:val="007C4395"/>
    <w:rPr>
      <w:bCs/>
    </w:rPr>
  </w:style>
  <w:style w:type="paragraph" w:customStyle="1" w:styleId="afffff3">
    <w:name w:val="מקור הנתונים"/>
    <w:basedOn w:val="a4"/>
    <w:next w:val="a4"/>
    <w:link w:val="afffff4"/>
    <w:qFormat/>
    <w:rsid w:val="007C4395"/>
    <w:pPr>
      <w:jc w:val="center"/>
    </w:pPr>
    <w:rPr>
      <w:szCs w:val="20"/>
    </w:rPr>
  </w:style>
  <w:style w:type="character" w:customStyle="1" w:styleId="afffff4">
    <w:name w:val="מקור הנתונים תו"/>
    <w:basedOn w:val="a5"/>
    <w:link w:val="afffff3"/>
    <w:rsid w:val="007C4395"/>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748793">
      <w:bodyDiv w:val="1"/>
      <w:marLeft w:val="0"/>
      <w:marRight w:val="0"/>
      <w:marTop w:val="0"/>
      <w:marBottom w:val="0"/>
      <w:divBdr>
        <w:top w:val="none" w:sz="0" w:space="0" w:color="auto"/>
        <w:left w:val="none" w:sz="0" w:space="0" w:color="auto"/>
        <w:bottom w:val="none" w:sz="0" w:space="0" w:color="auto"/>
        <w:right w:val="none" w:sz="0" w:space="0" w:color="auto"/>
      </w:divBdr>
      <w:divsChild>
        <w:div w:id="927080003">
          <w:marLeft w:val="0"/>
          <w:marRight w:val="547"/>
          <w:marTop w:val="0"/>
          <w:marBottom w:val="0"/>
          <w:divBdr>
            <w:top w:val="none" w:sz="0" w:space="0" w:color="auto"/>
            <w:left w:val="none" w:sz="0" w:space="0" w:color="auto"/>
            <w:bottom w:val="none" w:sz="0" w:space="0" w:color="auto"/>
            <w:right w:val="none" w:sz="0" w:space="0" w:color="auto"/>
          </w:divBdr>
        </w:div>
      </w:divsChild>
    </w:div>
    <w:div w:id="344484110">
      <w:bodyDiv w:val="1"/>
      <w:marLeft w:val="0"/>
      <w:marRight w:val="0"/>
      <w:marTop w:val="0"/>
      <w:marBottom w:val="0"/>
      <w:divBdr>
        <w:top w:val="none" w:sz="0" w:space="0" w:color="auto"/>
        <w:left w:val="none" w:sz="0" w:space="0" w:color="auto"/>
        <w:bottom w:val="none" w:sz="0" w:space="0" w:color="auto"/>
        <w:right w:val="none" w:sz="0" w:space="0" w:color="auto"/>
      </w:divBdr>
      <w:divsChild>
        <w:div w:id="944073506">
          <w:marLeft w:val="0"/>
          <w:marRight w:val="547"/>
          <w:marTop w:val="0"/>
          <w:marBottom w:val="0"/>
          <w:divBdr>
            <w:top w:val="none" w:sz="0" w:space="0" w:color="auto"/>
            <w:left w:val="none" w:sz="0" w:space="0" w:color="auto"/>
            <w:bottom w:val="none" w:sz="0" w:space="0" w:color="auto"/>
            <w:right w:val="none" w:sz="0" w:space="0" w:color="auto"/>
          </w:divBdr>
        </w:div>
        <w:div w:id="1801343605">
          <w:marLeft w:val="0"/>
          <w:marRight w:val="547"/>
          <w:marTop w:val="0"/>
          <w:marBottom w:val="0"/>
          <w:divBdr>
            <w:top w:val="none" w:sz="0" w:space="0" w:color="auto"/>
            <w:left w:val="none" w:sz="0" w:space="0" w:color="auto"/>
            <w:bottom w:val="none" w:sz="0" w:space="0" w:color="auto"/>
            <w:right w:val="none" w:sz="0" w:space="0" w:color="auto"/>
          </w:divBdr>
        </w:div>
        <w:div w:id="1098673140">
          <w:marLeft w:val="0"/>
          <w:marRight w:val="547"/>
          <w:marTop w:val="0"/>
          <w:marBottom w:val="0"/>
          <w:divBdr>
            <w:top w:val="none" w:sz="0" w:space="0" w:color="auto"/>
            <w:left w:val="none" w:sz="0" w:space="0" w:color="auto"/>
            <w:bottom w:val="none" w:sz="0" w:space="0" w:color="auto"/>
            <w:right w:val="none" w:sz="0" w:space="0" w:color="auto"/>
          </w:divBdr>
        </w:div>
        <w:div w:id="1564559861">
          <w:marLeft w:val="0"/>
          <w:marRight w:val="547"/>
          <w:marTop w:val="0"/>
          <w:marBottom w:val="0"/>
          <w:divBdr>
            <w:top w:val="none" w:sz="0" w:space="0" w:color="auto"/>
            <w:left w:val="none" w:sz="0" w:space="0" w:color="auto"/>
            <w:bottom w:val="none" w:sz="0" w:space="0" w:color="auto"/>
            <w:right w:val="none" w:sz="0" w:space="0" w:color="auto"/>
          </w:divBdr>
        </w:div>
        <w:div w:id="1523007232">
          <w:marLeft w:val="0"/>
          <w:marRight w:val="547"/>
          <w:marTop w:val="0"/>
          <w:marBottom w:val="0"/>
          <w:divBdr>
            <w:top w:val="none" w:sz="0" w:space="0" w:color="auto"/>
            <w:left w:val="none" w:sz="0" w:space="0" w:color="auto"/>
            <w:bottom w:val="none" w:sz="0" w:space="0" w:color="auto"/>
            <w:right w:val="none" w:sz="0" w:space="0" w:color="auto"/>
          </w:divBdr>
        </w:div>
        <w:div w:id="572856259">
          <w:marLeft w:val="0"/>
          <w:marRight w:val="547"/>
          <w:marTop w:val="0"/>
          <w:marBottom w:val="0"/>
          <w:divBdr>
            <w:top w:val="none" w:sz="0" w:space="0" w:color="auto"/>
            <w:left w:val="none" w:sz="0" w:space="0" w:color="auto"/>
            <w:bottom w:val="none" w:sz="0" w:space="0" w:color="auto"/>
            <w:right w:val="none" w:sz="0" w:space="0" w:color="auto"/>
          </w:divBdr>
        </w:div>
        <w:div w:id="1316107136">
          <w:marLeft w:val="0"/>
          <w:marRight w:val="547"/>
          <w:marTop w:val="0"/>
          <w:marBottom w:val="0"/>
          <w:divBdr>
            <w:top w:val="none" w:sz="0" w:space="0" w:color="auto"/>
            <w:left w:val="none" w:sz="0" w:space="0" w:color="auto"/>
            <w:bottom w:val="none" w:sz="0" w:space="0" w:color="auto"/>
            <w:right w:val="none" w:sz="0" w:space="0" w:color="auto"/>
          </w:divBdr>
        </w:div>
        <w:div w:id="1514879469">
          <w:marLeft w:val="0"/>
          <w:marRight w:val="547"/>
          <w:marTop w:val="0"/>
          <w:marBottom w:val="0"/>
          <w:divBdr>
            <w:top w:val="none" w:sz="0" w:space="0" w:color="auto"/>
            <w:left w:val="none" w:sz="0" w:space="0" w:color="auto"/>
            <w:bottom w:val="none" w:sz="0" w:space="0" w:color="auto"/>
            <w:right w:val="none" w:sz="0" w:space="0" w:color="auto"/>
          </w:divBdr>
        </w:div>
        <w:div w:id="1862275825">
          <w:marLeft w:val="0"/>
          <w:marRight w:val="547"/>
          <w:marTop w:val="0"/>
          <w:marBottom w:val="0"/>
          <w:divBdr>
            <w:top w:val="none" w:sz="0" w:space="0" w:color="auto"/>
            <w:left w:val="none" w:sz="0" w:space="0" w:color="auto"/>
            <w:bottom w:val="none" w:sz="0" w:space="0" w:color="auto"/>
            <w:right w:val="none" w:sz="0" w:space="0" w:color="auto"/>
          </w:divBdr>
        </w:div>
        <w:div w:id="368649269">
          <w:marLeft w:val="0"/>
          <w:marRight w:val="547"/>
          <w:marTop w:val="0"/>
          <w:marBottom w:val="0"/>
          <w:divBdr>
            <w:top w:val="none" w:sz="0" w:space="0" w:color="auto"/>
            <w:left w:val="none" w:sz="0" w:space="0" w:color="auto"/>
            <w:bottom w:val="none" w:sz="0" w:space="0" w:color="auto"/>
            <w:right w:val="none" w:sz="0" w:space="0" w:color="auto"/>
          </w:divBdr>
        </w:div>
        <w:div w:id="1843817286">
          <w:marLeft w:val="0"/>
          <w:marRight w:val="547"/>
          <w:marTop w:val="0"/>
          <w:marBottom w:val="0"/>
          <w:divBdr>
            <w:top w:val="none" w:sz="0" w:space="0" w:color="auto"/>
            <w:left w:val="none" w:sz="0" w:space="0" w:color="auto"/>
            <w:bottom w:val="none" w:sz="0" w:space="0" w:color="auto"/>
            <w:right w:val="none" w:sz="0" w:space="0" w:color="auto"/>
          </w:divBdr>
        </w:div>
      </w:divsChild>
    </w:div>
    <w:div w:id="590041540">
      <w:bodyDiv w:val="1"/>
      <w:marLeft w:val="0"/>
      <w:marRight w:val="0"/>
      <w:marTop w:val="0"/>
      <w:marBottom w:val="0"/>
      <w:divBdr>
        <w:top w:val="none" w:sz="0" w:space="0" w:color="auto"/>
        <w:left w:val="none" w:sz="0" w:space="0" w:color="auto"/>
        <w:bottom w:val="none" w:sz="0" w:space="0" w:color="auto"/>
        <w:right w:val="none" w:sz="0" w:space="0" w:color="auto"/>
      </w:divBdr>
      <w:divsChild>
        <w:div w:id="1327132093">
          <w:marLeft w:val="0"/>
          <w:marRight w:val="547"/>
          <w:marTop w:val="0"/>
          <w:marBottom w:val="0"/>
          <w:divBdr>
            <w:top w:val="none" w:sz="0" w:space="0" w:color="auto"/>
            <w:left w:val="none" w:sz="0" w:space="0" w:color="auto"/>
            <w:bottom w:val="none" w:sz="0" w:space="0" w:color="auto"/>
            <w:right w:val="none" w:sz="0" w:space="0" w:color="auto"/>
          </w:divBdr>
        </w:div>
      </w:divsChild>
    </w:div>
    <w:div w:id="649334707">
      <w:bodyDiv w:val="1"/>
      <w:marLeft w:val="0"/>
      <w:marRight w:val="0"/>
      <w:marTop w:val="0"/>
      <w:marBottom w:val="0"/>
      <w:divBdr>
        <w:top w:val="none" w:sz="0" w:space="0" w:color="auto"/>
        <w:left w:val="none" w:sz="0" w:space="0" w:color="auto"/>
        <w:bottom w:val="none" w:sz="0" w:space="0" w:color="auto"/>
        <w:right w:val="none" w:sz="0" w:space="0" w:color="auto"/>
      </w:divBdr>
      <w:divsChild>
        <w:div w:id="1155603956">
          <w:marLeft w:val="0"/>
          <w:marRight w:val="547"/>
          <w:marTop w:val="0"/>
          <w:marBottom w:val="0"/>
          <w:divBdr>
            <w:top w:val="none" w:sz="0" w:space="0" w:color="auto"/>
            <w:left w:val="none" w:sz="0" w:space="0" w:color="auto"/>
            <w:bottom w:val="none" w:sz="0" w:space="0" w:color="auto"/>
            <w:right w:val="none" w:sz="0" w:space="0" w:color="auto"/>
          </w:divBdr>
        </w:div>
      </w:divsChild>
    </w:div>
    <w:div w:id="894779710">
      <w:bodyDiv w:val="1"/>
      <w:marLeft w:val="0"/>
      <w:marRight w:val="0"/>
      <w:marTop w:val="0"/>
      <w:marBottom w:val="0"/>
      <w:divBdr>
        <w:top w:val="none" w:sz="0" w:space="0" w:color="auto"/>
        <w:left w:val="none" w:sz="0" w:space="0" w:color="auto"/>
        <w:bottom w:val="none" w:sz="0" w:space="0" w:color="auto"/>
        <w:right w:val="none" w:sz="0" w:space="0" w:color="auto"/>
      </w:divBdr>
      <w:divsChild>
        <w:div w:id="976304395">
          <w:marLeft w:val="0"/>
          <w:marRight w:val="547"/>
          <w:marTop w:val="0"/>
          <w:marBottom w:val="0"/>
          <w:divBdr>
            <w:top w:val="none" w:sz="0" w:space="0" w:color="auto"/>
            <w:left w:val="none" w:sz="0" w:space="0" w:color="auto"/>
            <w:bottom w:val="none" w:sz="0" w:space="0" w:color="auto"/>
            <w:right w:val="none" w:sz="0" w:space="0" w:color="auto"/>
          </w:divBdr>
        </w:div>
        <w:div w:id="1394935447">
          <w:marLeft w:val="0"/>
          <w:marRight w:val="547"/>
          <w:marTop w:val="0"/>
          <w:marBottom w:val="0"/>
          <w:divBdr>
            <w:top w:val="none" w:sz="0" w:space="0" w:color="auto"/>
            <w:left w:val="none" w:sz="0" w:space="0" w:color="auto"/>
            <w:bottom w:val="none" w:sz="0" w:space="0" w:color="auto"/>
            <w:right w:val="none" w:sz="0" w:space="0" w:color="auto"/>
          </w:divBdr>
        </w:div>
        <w:div w:id="2138450580">
          <w:marLeft w:val="0"/>
          <w:marRight w:val="547"/>
          <w:marTop w:val="0"/>
          <w:marBottom w:val="0"/>
          <w:divBdr>
            <w:top w:val="none" w:sz="0" w:space="0" w:color="auto"/>
            <w:left w:val="none" w:sz="0" w:space="0" w:color="auto"/>
            <w:bottom w:val="none" w:sz="0" w:space="0" w:color="auto"/>
            <w:right w:val="none" w:sz="0" w:space="0" w:color="auto"/>
          </w:divBdr>
        </w:div>
        <w:div w:id="784347626">
          <w:marLeft w:val="0"/>
          <w:marRight w:val="547"/>
          <w:marTop w:val="0"/>
          <w:marBottom w:val="0"/>
          <w:divBdr>
            <w:top w:val="none" w:sz="0" w:space="0" w:color="auto"/>
            <w:left w:val="none" w:sz="0" w:space="0" w:color="auto"/>
            <w:bottom w:val="none" w:sz="0" w:space="0" w:color="auto"/>
            <w:right w:val="none" w:sz="0" w:space="0" w:color="auto"/>
          </w:divBdr>
        </w:div>
        <w:div w:id="1126046854">
          <w:marLeft w:val="0"/>
          <w:marRight w:val="547"/>
          <w:marTop w:val="0"/>
          <w:marBottom w:val="0"/>
          <w:divBdr>
            <w:top w:val="none" w:sz="0" w:space="0" w:color="auto"/>
            <w:left w:val="none" w:sz="0" w:space="0" w:color="auto"/>
            <w:bottom w:val="none" w:sz="0" w:space="0" w:color="auto"/>
            <w:right w:val="none" w:sz="0" w:space="0" w:color="auto"/>
          </w:divBdr>
        </w:div>
        <w:div w:id="821196787">
          <w:marLeft w:val="0"/>
          <w:marRight w:val="547"/>
          <w:marTop w:val="0"/>
          <w:marBottom w:val="0"/>
          <w:divBdr>
            <w:top w:val="none" w:sz="0" w:space="0" w:color="auto"/>
            <w:left w:val="none" w:sz="0" w:space="0" w:color="auto"/>
            <w:bottom w:val="none" w:sz="0" w:space="0" w:color="auto"/>
            <w:right w:val="none" w:sz="0" w:space="0" w:color="auto"/>
          </w:divBdr>
        </w:div>
        <w:div w:id="1303384329">
          <w:marLeft w:val="0"/>
          <w:marRight w:val="547"/>
          <w:marTop w:val="0"/>
          <w:marBottom w:val="0"/>
          <w:divBdr>
            <w:top w:val="none" w:sz="0" w:space="0" w:color="auto"/>
            <w:left w:val="none" w:sz="0" w:space="0" w:color="auto"/>
            <w:bottom w:val="none" w:sz="0" w:space="0" w:color="auto"/>
            <w:right w:val="none" w:sz="0" w:space="0" w:color="auto"/>
          </w:divBdr>
        </w:div>
        <w:div w:id="833490807">
          <w:marLeft w:val="0"/>
          <w:marRight w:val="547"/>
          <w:marTop w:val="0"/>
          <w:marBottom w:val="0"/>
          <w:divBdr>
            <w:top w:val="none" w:sz="0" w:space="0" w:color="auto"/>
            <w:left w:val="none" w:sz="0" w:space="0" w:color="auto"/>
            <w:bottom w:val="none" w:sz="0" w:space="0" w:color="auto"/>
            <w:right w:val="none" w:sz="0" w:space="0" w:color="auto"/>
          </w:divBdr>
        </w:div>
        <w:div w:id="102775807">
          <w:marLeft w:val="0"/>
          <w:marRight w:val="547"/>
          <w:marTop w:val="0"/>
          <w:marBottom w:val="0"/>
          <w:divBdr>
            <w:top w:val="none" w:sz="0" w:space="0" w:color="auto"/>
            <w:left w:val="none" w:sz="0" w:space="0" w:color="auto"/>
            <w:bottom w:val="none" w:sz="0" w:space="0" w:color="auto"/>
            <w:right w:val="none" w:sz="0" w:space="0" w:color="auto"/>
          </w:divBdr>
        </w:div>
        <w:div w:id="194930745">
          <w:marLeft w:val="0"/>
          <w:marRight w:val="547"/>
          <w:marTop w:val="0"/>
          <w:marBottom w:val="0"/>
          <w:divBdr>
            <w:top w:val="none" w:sz="0" w:space="0" w:color="auto"/>
            <w:left w:val="none" w:sz="0" w:space="0" w:color="auto"/>
            <w:bottom w:val="none" w:sz="0" w:space="0" w:color="auto"/>
            <w:right w:val="none" w:sz="0" w:space="0" w:color="auto"/>
          </w:divBdr>
        </w:div>
        <w:div w:id="880439092">
          <w:marLeft w:val="0"/>
          <w:marRight w:val="547"/>
          <w:marTop w:val="0"/>
          <w:marBottom w:val="0"/>
          <w:divBdr>
            <w:top w:val="none" w:sz="0" w:space="0" w:color="auto"/>
            <w:left w:val="none" w:sz="0" w:space="0" w:color="auto"/>
            <w:bottom w:val="none" w:sz="0" w:space="0" w:color="auto"/>
            <w:right w:val="none" w:sz="0" w:space="0" w:color="auto"/>
          </w:divBdr>
        </w:div>
      </w:divsChild>
    </w:div>
    <w:div w:id="895123022">
      <w:bodyDiv w:val="1"/>
      <w:marLeft w:val="0"/>
      <w:marRight w:val="0"/>
      <w:marTop w:val="0"/>
      <w:marBottom w:val="0"/>
      <w:divBdr>
        <w:top w:val="none" w:sz="0" w:space="0" w:color="auto"/>
        <w:left w:val="none" w:sz="0" w:space="0" w:color="auto"/>
        <w:bottom w:val="none" w:sz="0" w:space="0" w:color="auto"/>
        <w:right w:val="none" w:sz="0" w:space="0" w:color="auto"/>
      </w:divBdr>
      <w:divsChild>
        <w:div w:id="1171796991">
          <w:marLeft w:val="0"/>
          <w:marRight w:val="547"/>
          <w:marTop w:val="0"/>
          <w:marBottom w:val="0"/>
          <w:divBdr>
            <w:top w:val="none" w:sz="0" w:space="0" w:color="auto"/>
            <w:left w:val="none" w:sz="0" w:space="0" w:color="auto"/>
            <w:bottom w:val="none" w:sz="0" w:space="0" w:color="auto"/>
            <w:right w:val="none" w:sz="0" w:space="0" w:color="auto"/>
          </w:divBdr>
        </w:div>
        <w:div w:id="1919516229">
          <w:marLeft w:val="0"/>
          <w:marRight w:val="547"/>
          <w:marTop w:val="0"/>
          <w:marBottom w:val="0"/>
          <w:divBdr>
            <w:top w:val="none" w:sz="0" w:space="0" w:color="auto"/>
            <w:left w:val="none" w:sz="0" w:space="0" w:color="auto"/>
            <w:bottom w:val="none" w:sz="0" w:space="0" w:color="auto"/>
            <w:right w:val="none" w:sz="0" w:space="0" w:color="auto"/>
          </w:divBdr>
        </w:div>
        <w:div w:id="1710492457">
          <w:marLeft w:val="0"/>
          <w:marRight w:val="547"/>
          <w:marTop w:val="0"/>
          <w:marBottom w:val="0"/>
          <w:divBdr>
            <w:top w:val="none" w:sz="0" w:space="0" w:color="auto"/>
            <w:left w:val="none" w:sz="0" w:space="0" w:color="auto"/>
            <w:bottom w:val="none" w:sz="0" w:space="0" w:color="auto"/>
            <w:right w:val="none" w:sz="0" w:space="0" w:color="auto"/>
          </w:divBdr>
        </w:div>
      </w:divsChild>
    </w:div>
    <w:div w:id="1105806114">
      <w:bodyDiv w:val="1"/>
      <w:marLeft w:val="0"/>
      <w:marRight w:val="0"/>
      <w:marTop w:val="0"/>
      <w:marBottom w:val="0"/>
      <w:divBdr>
        <w:top w:val="none" w:sz="0" w:space="0" w:color="auto"/>
        <w:left w:val="none" w:sz="0" w:space="0" w:color="auto"/>
        <w:bottom w:val="none" w:sz="0" w:space="0" w:color="auto"/>
        <w:right w:val="none" w:sz="0" w:space="0" w:color="auto"/>
      </w:divBdr>
      <w:divsChild>
        <w:div w:id="1199776576">
          <w:marLeft w:val="0"/>
          <w:marRight w:val="547"/>
          <w:marTop w:val="0"/>
          <w:marBottom w:val="0"/>
          <w:divBdr>
            <w:top w:val="none" w:sz="0" w:space="0" w:color="auto"/>
            <w:left w:val="none" w:sz="0" w:space="0" w:color="auto"/>
            <w:bottom w:val="none" w:sz="0" w:space="0" w:color="auto"/>
            <w:right w:val="none" w:sz="0" w:space="0" w:color="auto"/>
          </w:divBdr>
        </w:div>
        <w:div w:id="1309165821">
          <w:marLeft w:val="0"/>
          <w:marRight w:val="547"/>
          <w:marTop w:val="0"/>
          <w:marBottom w:val="0"/>
          <w:divBdr>
            <w:top w:val="none" w:sz="0" w:space="0" w:color="auto"/>
            <w:left w:val="none" w:sz="0" w:space="0" w:color="auto"/>
            <w:bottom w:val="none" w:sz="0" w:space="0" w:color="auto"/>
            <w:right w:val="none" w:sz="0" w:space="0" w:color="auto"/>
          </w:divBdr>
        </w:div>
        <w:div w:id="558327045">
          <w:marLeft w:val="0"/>
          <w:marRight w:val="547"/>
          <w:marTop w:val="0"/>
          <w:marBottom w:val="0"/>
          <w:divBdr>
            <w:top w:val="none" w:sz="0" w:space="0" w:color="auto"/>
            <w:left w:val="none" w:sz="0" w:space="0" w:color="auto"/>
            <w:bottom w:val="none" w:sz="0" w:space="0" w:color="auto"/>
            <w:right w:val="none" w:sz="0" w:space="0" w:color="auto"/>
          </w:divBdr>
        </w:div>
        <w:div w:id="871189093">
          <w:marLeft w:val="0"/>
          <w:marRight w:val="547"/>
          <w:marTop w:val="0"/>
          <w:marBottom w:val="0"/>
          <w:divBdr>
            <w:top w:val="none" w:sz="0" w:space="0" w:color="auto"/>
            <w:left w:val="none" w:sz="0" w:space="0" w:color="auto"/>
            <w:bottom w:val="none" w:sz="0" w:space="0" w:color="auto"/>
            <w:right w:val="none" w:sz="0" w:space="0" w:color="auto"/>
          </w:divBdr>
        </w:div>
        <w:div w:id="187720602">
          <w:marLeft w:val="0"/>
          <w:marRight w:val="547"/>
          <w:marTop w:val="0"/>
          <w:marBottom w:val="0"/>
          <w:divBdr>
            <w:top w:val="none" w:sz="0" w:space="0" w:color="auto"/>
            <w:left w:val="none" w:sz="0" w:space="0" w:color="auto"/>
            <w:bottom w:val="none" w:sz="0" w:space="0" w:color="auto"/>
            <w:right w:val="none" w:sz="0" w:space="0" w:color="auto"/>
          </w:divBdr>
        </w:div>
        <w:div w:id="1119836578">
          <w:marLeft w:val="0"/>
          <w:marRight w:val="547"/>
          <w:marTop w:val="0"/>
          <w:marBottom w:val="0"/>
          <w:divBdr>
            <w:top w:val="none" w:sz="0" w:space="0" w:color="auto"/>
            <w:left w:val="none" w:sz="0" w:space="0" w:color="auto"/>
            <w:bottom w:val="none" w:sz="0" w:space="0" w:color="auto"/>
            <w:right w:val="none" w:sz="0" w:space="0" w:color="auto"/>
          </w:divBdr>
        </w:div>
        <w:div w:id="260112990">
          <w:marLeft w:val="0"/>
          <w:marRight w:val="547"/>
          <w:marTop w:val="0"/>
          <w:marBottom w:val="0"/>
          <w:divBdr>
            <w:top w:val="none" w:sz="0" w:space="0" w:color="auto"/>
            <w:left w:val="none" w:sz="0" w:space="0" w:color="auto"/>
            <w:bottom w:val="none" w:sz="0" w:space="0" w:color="auto"/>
            <w:right w:val="none" w:sz="0" w:space="0" w:color="auto"/>
          </w:divBdr>
        </w:div>
        <w:div w:id="1636717853">
          <w:marLeft w:val="0"/>
          <w:marRight w:val="547"/>
          <w:marTop w:val="0"/>
          <w:marBottom w:val="0"/>
          <w:divBdr>
            <w:top w:val="none" w:sz="0" w:space="0" w:color="auto"/>
            <w:left w:val="none" w:sz="0" w:space="0" w:color="auto"/>
            <w:bottom w:val="none" w:sz="0" w:space="0" w:color="auto"/>
            <w:right w:val="none" w:sz="0" w:space="0" w:color="auto"/>
          </w:divBdr>
        </w:div>
        <w:div w:id="762265727">
          <w:marLeft w:val="0"/>
          <w:marRight w:val="547"/>
          <w:marTop w:val="0"/>
          <w:marBottom w:val="0"/>
          <w:divBdr>
            <w:top w:val="none" w:sz="0" w:space="0" w:color="auto"/>
            <w:left w:val="none" w:sz="0" w:space="0" w:color="auto"/>
            <w:bottom w:val="none" w:sz="0" w:space="0" w:color="auto"/>
            <w:right w:val="none" w:sz="0" w:space="0" w:color="auto"/>
          </w:divBdr>
        </w:div>
        <w:div w:id="1445348888">
          <w:marLeft w:val="0"/>
          <w:marRight w:val="547"/>
          <w:marTop w:val="0"/>
          <w:marBottom w:val="0"/>
          <w:divBdr>
            <w:top w:val="none" w:sz="0" w:space="0" w:color="auto"/>
            <w:left w:val="none" w:sz="0" w:space="0" w:color="auto"/>
            <w:bottom w:val="none" w:sz="0" w:space="0" w:color="auto"/>
            <w:right w:val="none" w:sz="0" w:space="0" w:color="auto"/>
          </w:divBdr>
        </w:div>
        <w:div w:id="71128138">
          <w:marLeft w:val="0"/>
          <w:marRight w:val="547"/>
          <w:marTop w:val="0"/>
          <w:marBottom w:val="0"/>
          <w:divBdr>
            <w:top w:val="none" w:sz="0" w:space="0" w:color="auto"/>
            <w:left w:val="none" w:sz="0" w:space="0" w:color="auto"/>
            <w:bottom w:val="none" w:sz="0" w:space="0" w:color="auto"/>
            <w:right w:val="none" w:sz="0" w:space="0" w:color="auto"/>
          </w:divBdr>
        </w:div>
      </w:divsChild>
    </w:div>
    <w:div w:id="1502039901">
      <w:bodyDiv w:val="1"/>
      <w:marLeft w:val="0"/>
      <w:marRight w:val="0"/>
      <w:marTop w:val="0"/>
      <w:marBottom w:val="0"/>
      <w:divBdr>
        <w:top w:val="none" w:sz="0" w:space="0" w:color="auto"/>
        <w:left w:val="none" w:sz="0" w:space="0" w:color="auto"/>
        <w:bottom w:val="none" w:sz="0" w:space="0" w:color="auto"/>
        <w:right w:val="none" w:sz="0" w:space="0" w:color="auto"/>
      </w:divBdr>
      <w:divsChild>
        <w:div w:id="377824667">
          <w:marLeft w:val="0"/>
          <w:marRight w:val="547"/>
          <w:marTop w:val="0"/>
          <w:marBottom w:val="0"/>
          <w:divBdr>
            <w:top w:val="none" w:sz="0" w:space="0" w:color="auto"/>
            <w:left w:val="none" w:sz="0" w:space="0" w:color="auto"/>
            <w:bottom w:val="none" w:sz="0" w:space="0" w:color="auto"/>
            <w:right w:val="none" w:sz="0" w:space="0" w:color="auto"/>
          </w:divBdr>
        </w:div>
        <w:div w:id="1132358805">
          <w:marLeft w:val="0"/>
          <w:marRight w:val="547"/>
          <w:marTop w:val="0"/>
          <w:marBottom w:val="0"/>
          <w:divBdr>
            <w:top w:val="none" w:sz="0" w:space="0" w:color="auto"/>
            <w:left w:val="none" w:sz="0" w:space="0" w:color="auto"/>
            <w:bottom w:val="none" w:sz="0" w:space="0" w:color="auto"/>
            <w:right w:val="none" w:sz="0" w:space="0" w:color="auto"/>
          </w:divBdr>
        </w:div>
        <w:div w:id="512261362">
          <w:marLeft w:val="0"/>
          <w:marRight w:val="547"/>
          <w:marTop w:val="0"/>
          <w:marBottom w:val="0"/>
          <w:divBdr>
            <w:top w:val="none" w:sz="0" w:space="0" w:color="auto"/>
            <w:left w:val="none" w:sz="0" w:space="0" w:color="auto"/>
            <w:bottom w:val="none" w:sz="0" w:space="0" w:color="auto"/>
            <w:right w:val="none" w:sz="0" w:space="0" w:color="auto"/>
          </w:divBdr>
        </w:div>
        <w:div w:id="1646623316">
          <w:marLeft w:val="0"/>
          <w:marRight w:val="547"/>
          <w:marTop w:val="0"/>
          <w:marBottom w:val="0"/>
          <w:divBdr>
            <w:top w:val="none" w:sz="0" w:space="0" w:color="auto"/>
            <w:left w:val="none" w:sz="0" w:space="0" w:color="auto"/>
            <w:bottom w:val="none" w:sz="0" w:space="0" w:color="auto"/>
            <w:right w:val="none" w:sz="0" w:space="0" w:color="auto"/>
          </w:divBdr>
        </w:div>
        <w:div w:id="1952128735">
          <w:marLeft w:val="0"/>
          <w:marRight w:val="547"/>
          <w:marTop w:val="0"/>
          <w:marBottom w:val="0"/>
          <w:divBdr>
            <w:top w:val="none" w:sz="0" w:space="0" w:color="auto"/>
            <w:left w:val="none" w:sz="0" w:space="0" w:color="auto"/>
            <w:bottom w:val="none" w:sz="0" w:space="0" w:color="auto"/>
            <w:right w:val="none" w:sz="0" w:space="0" w:color="auto"/>
          </w:divBdr>
        </w:div>
        <w:div w:id="1901362477">
          <w:marLeft w:val="0"/>
          <w:marRight w:val="547"/>
          <w:marTop w:val="0"/>
          <w:marBottom w:val="0"/>
          <w:divBdr>
            <w:top w:val="none" w:sz="0" w:space="0" w:color="auto"/>
            <w:left w:val="none" w:sz="0" w:space="0" w:color="auto"/>
            <w:bottom w:val="none" w:sz="0" w:space="0" w:color="auto"/>
            <w:right w:val="none" w:sz="0" w:space="0" w:color="auto"/>
          </w:divBdr>
        </w:div>
        <w:div w:id="1855461371">
          <w:marLeft w:val="0"/>
          <w:marRight w:val="547"/>
          <w:marTop w:val="0"/>
          <w:marBottom w:val="0"/>
          <w:divBdr>
            <w:top w:val="none" w:sz="0" w:space="0" w:color="auto"/>
            <w:left w:val="none" w:sz="0" w:space="0" w:color="auto"/>
            <w:bottom w:val="none" w:sz="0" w:space="0" w:color="auto"/>
            <w:right w:val="none" w:sz="0" w:space="0" w:color="auto"/>
          </w:divBdr>
        </w:div>
        <w:div w:id="189997215">
          <w:marLeft w:val="0"/>
          <w:marRight w:val="547"/>
          <w:marTop w:val="0"/>
          <w:marBottom w:val="0"/>
          <w:divBdr>
            <w:top w:val="none" w:sz="0" w:space="0" w:color="auto"/>
            <w:left w:val="none" w:sz="0" w:space="0" w:color="auto"/>
            <w:bottom w:val="none" w:sz="0" w:space="0" w:color="auto"/>
            <w:right w:val="none" w:sz="0" w:space="0" w:color="auto"/>
          </w:divBdr>
        </w:div>
        <w:div w:id="158666652">
          <w:marLeft w:val="0"/>
          <w:marRight w:val="547"/>
          <w:marTop w:val="0"/>
          <w:marBottom w:val="0"/>
          <w:divBdr>
            <w:top w:val="none" w:sz="0" w:space="0" w:color="auto"/>
            <w:left w:val="none" w:sz="0" w:space="0" w:color="auto"/>
            <w:bottom w:val="none" w:sz="0" w:space="0" w:color="auto"/>
            <w:right w:val="none" w:sz="0" w:space="0" w:color="auto"/>
          </w:divBdr>
        </w:div>
        <w:div w:id="317466853">
          <w:marLeft w:val="0"/>
          <w:marRight w:val="547"/>
          <w:marTop w:val="0"/>
          <w:marBottom w:val="0"/>
          <w:divBdr>
            <w:top w:val="none" w:sz="0" w:space="0" w:color="auto"/>
            <w:left w:val="none" w:sz="0" w:space="0" w:color="auto"/>
            <w:bottom w:val="none" w:sz="0" w:space="0" w:color="auto"/>
            <w:right w:val="none" w:sz="0" w:space="0" w:color="auto"/>
          </w:divBdr>
        </w:div>
        <w:div w:id="1569917785">
          <w:marLeft w:val="0"/>
          <w:marRight w:val="547"/>
          <w:marTop w:val="0"/>
          <w:marBottom w:val="0"/>
          <w:divBdr>
            <w:top w:val="none" w:sz="0" w:space="0" w:color="auto"/>
            <w:left w:val="none" w:sz="0" w:space="0" w:color="auto"/>
            <w:bottom w:val="none" w:sz="0" w:space="0" w:color="auto"/>
            <w:right w:val="none" w:sz="0" w:space="0" w:color="auto"/>
          </w:divBdr>
        </w:div>
      </w:divsChild>
    </w:div>
    <w:div w:id="1670601952">
      <w:bodyDiv w:val="1"/>
      <w:marLeft w:val="0"/>
      <w:marRight w:val="0"/>
      <w:marTop w:val="0"/>
      <w:marBottom w:val="0"/>
      <w:divBdr>
        <w:top w:val="none" w:sz="0" w:space="0" w:color="auto"/>
        <w:left w:val="none" w:sz="0" w:space="0" w:color="auto"/>
        <w:bottom w:val="none" w:sz="0" w:space="0" w:color="auto"/>
        <w:right w:val="none" w:sz="0" w:space="0" w:color="auto"/>
      </w:divBdr>
      <w:divsChild>
        <w:div w:id="838348086">
          <w:marLeft w:val="0"/>
          <w:marRight w:val="547"/>
          <w:marTop w:val="0"/>
          <w:marBottom w:val="0"/>
          <w:divBdr>
            <w:top w:val="none" w:sz="0" w:space="0" w:color="auto"/>
            <w:left w:val="none" w:sz="0" w:space="0" w:color="auto"/>
            <w:bottom w:val="none" w:sz="0" w:space="0" w:color="auto"/>
            <w:right w:val="none" w:sz="0" w:space="0" w:color="auto"/>
          </w:divBdr>
        </w:div>
        <w:div w:id="1763409252">
          <w:marLeft w:val="0"/>
          <w:marRight w:val="547"/>
          <w:marTop w:val="0"/>
          <w:marBottom w:val="0"/>
          <w:divBdr>
            <w:top w:val="none" w:sz="0" w:space="0" w:color="auto"/>
            <w:left w:val="none" w:sz="0" w:space="0" w:color="auto"/>
            <w:bottom w:val="none" w:sz="0" w:space="0" w:color="auto"/>
            <w:right w:val="none" w:sz="0" w:space="0" w:color="auto"/>
          </w:divBdr>
        </w:div>
        <w:div w:id="858928241">
          <w:marLeft w:val="0"/>
          <w:marRight w:val="547"/>
          <w:marTop w:val="0"/>
          <w:marBottom w:val="0"/>
          <w:divBdr>
            <w:top w:val="none" w:sz="0" w:space="0" w:color="auto"/>
            <w:left w:val="none" w:sz="0" w:space="0" w:color="auto"/>
            <w:bottom w:val="none" w:sz="0" w:space="0" w:color="auto"/>
            <w:right w:val="none" w:sz="0" w:space="0" w:color="auto"/>
          </w:divBdr>
        </w:div>
      </w:divsChild>
    </w:div>
    <w:div w:id="1768575065">
      <w:bodyDiv w:val="1"/>
      <w:marLeft w:val="0"/>
      <w:marRight w:val="0"/>
      <w:marTop w:val="0"/>
      <w:marBottom w:val="0"/>
      <w:divBdr>
        <w:top w:val="none" w:sz="0" w:space="0" w:color="auto"/>
        <w:left w:val="none" w:sz="0" w:space="0" w:color="auto"/>
        <w:bottom w:val="none" w:sz="0" w:space="0" w:color="auto"/>
        <w:right w:val="none" w:sz="0" w:space="0" w:color="auto"/>
      </w:divBdr>
      <w:divsChild>
        <w:div w:id="472453331">
          <w:marLeft w:val="0"/>
          <w:marRight w:val="547"/>
          <w:marTop w:val="0"/>
          <w:marBottom w:val="0"/>
          <w:divBdr>
            <w:top w:val="none" w:sz="0" w:space="0" w:color="auto"/>
            <w:left w:val="none" w:sz="0" w:space="0" w:color="auto"/>
            <w:bottom w:val="none" w:sz="0" w:space="0" w:color="auto"/>
            <w:right w:val="none" w:sz="0" w:space="0" w:color="auto"/>
          </w:divBdr>
        </w:div>
      </w:divsChild>
    </w:div>
    <w:div w:id="2010980039">
      <w:bodyDiv w:val="1"/>
      <w:marLeft w:val="0"/>
      <w:marRight w:val="0"/>
      <w:marTop w:val="0"/>
      <w:marBottom w:val="0"/>
      <w:divBdr>
        <w:top w:val="none" w:sz="0" w:space="0" w:color="auto"/>
        <w:left w:val="none" w:sz="0" w:space="0" w:color="auto"/>
        <w:bottom w:val="none" w:sz="0" w:space="0" w:color="auto"/>
        <w:right w:val="none" w:sz="0" w:space="0" w:color="auto"/>
      </w:divBdr>
      <w:divsChild>
        <w:div w:id="146633799">
          <w:marLeft w:val="0"/>
          <w:marRight w:val="547"/>
          <w:marTop w:val="0"/>
          <w:marBottom w:val="0"/>
          <w:divBdr>
            <w:top w:val="none" w:sz="0" w:space="0" w:color="auto"/>
            <w:left w:val="none" w:sz="0" w:space="0" w:color="auto"/>
            <w:bottom w:val="none" w:sz="0" w:space="0" w:color="auto"/>
            <w:right w:val="none" w:sz="0" w:space="0" w:color="auto"/>
          </w:divBdr>
        </w:div>
        <w:div w:id="634532955">
          <w:marLeft w:val="0"/>
          <w:marRight w:val="547"/>
          <w:marTop w:val="0"/>
          <w:marBottom w:val="0"/>
          <w:divBdr>
            <w:top w:val="none" w:sz="0" w:space="0" w:color="auto"/>
            <w:left w:val="none" w:sz="0" w:space="0" w:color="auto"/>
            <w:bottom w:val="none" w:sz="0" w:space="0" w:color="auto"/>
            <w:right w:val="none" w:sz="0" w:space="0" w:color="auto"/>
          </w:divBdr>
        </w:div>
        <w:div w:id="484979378">
          <w:marLeft w:val="0"/>
          <w:marRight w:val="547"/>
          <w:marTop w:val="0"/>
          <w:marBottom w:val="0"/>
          <w:divBdr>
            <w:top w:val="none" w:sz="0" w:space="0" w:color="auto"/>
            <w:left w:val="none" w:sz="0" w:space="0" w:color="auto"/>
            <w:bottom w:val="none" w:sz="0" w:space="0" w:color="auto"/>
            <w:right w:val="none" w:sz="0" w:space="0" w:color="auto"/>
          </w:divBdr>
        </w:div>
      </w:divsChild>
    </w:div>
    <w:div w:id="2036032378">
      <w:bodyDiv w:val="1"/>
      <w:marLeft w:val="0"/>
      <w:marRight w:val="0"/>
      <w:marTop w:val="0"/>
      <w:marBottom w:val="0"/>
      <w:divBdr>
        <w:top w:val="none" w:sz="0" w:space="0" w:color="auto"/>
        <w:left w:val="none" w:sz="0" w:space="0" w:color="auto"/>
        <w:bottom w:val="none" w:sz="0" w:space="0" w:color="auto"/>
        <w:right w:val="none" w:sz="0" w:space="0" w:color="auto"/>
      </w:divBdr>
      <w:divsChild>
        <w:div w:id="1964116282">
          <w:marLeft w:val="0"/>
          <w:marRight w:val="547"/>
          <w:marTop w:val="0"/>
          <w:marBottom w:val="0"/>
          <w:divBdr>
            <w:top w:val="none" w:sz="0" w:space="0" w:color="auto"/>
            <w:left w:val="none" w:sz="0" w:space="0" w:color="auto"/>
            <w:bottom w:val="none" w:sz="0" w:space="0" w:color="auto"/>
            <w:right w:val="none" w:sz="0" w:space="0" w:color="auto"/>
          </w:divBdr>
        </w:div>
        <w:div w:id="1557425394">
          <w:marLeft w:val="0"/>
          <w:marRight w:val="547"/>
          <w:marTop w:val="0"/>
          <w:marBottom w:val="0"/>
          <w:divBdr>
            <w:top w:val="none" w:sz="0" w:space="0" w:color="auto"/>
            <w:left w:val="none" w:sz="0" w:space="0" w:color="auto"/>
            <w:bottom w:val="none" w:sz="0" w:space="0" w:color="auto"/>
            <w:right w:val="none" w:sz="0" w:space="0" w:color="auto"/>
          </w:divBdr>
        </w:div>
        <w:div w:id="772670769">
          <w:marLeft w:val="0"/>
          <w:marRight w:val="547"/>
          <w:marTop w:val="0"/>
          <w:marBottom w:val="0"/>
          <w:divBdr>
            <w:top w:val="none" w:sz="0" w:space="0" w:color="auto"/>
            <w:left w:val="none" w:sz="0" w:space="0" w:color="auto"/>
            <w:bottom w:val="none" w:sz="0" w:space="0" w:color="auto"/>
            <w:right w:val="none" w:sz="0" w:space="0" w:color="auto"/>
          </w:divBdr>
        </w:div>
        <w:div w:id="501816202">
          <w:marLeft w:val="0"/>
          <w:marRight w:val="547"/>
          <w:marTop w:val="0"/>
          <w:marBottom w:val="0"/>
          <w:divBdr>
            <w:top w:val="none" w:sz="0" w:space="0" w:color="auto"/>
            <w:left w:val="none" w:sz="0" w:space="0" w:color="auto"/>
            <w:bottom w:val="none" w:sz="0" w:space="0" w:color="auto"/>
            <w:right w:val="none" w:sz="0" w:space="0" w:color="auto"/>
          </w:divBdr>
        </w:div>
        <w:div w:id="404839752">
          <w:marLeft w:val="0"/>
          <w:marRight w:val="547"/>
          <w:marTop w:val="0"/>
          <w:marBottom w:val="0"/>
          <w:divBdr>
            <w:top w:val="none" w:sz="0" w:space="0" w:color="auto"/>
            <w:left w:val="none" w:sz="0" w:space="0" w:color="auto"/>
            <w:bottom w:val="none" w:sz="0" w:space="0" w:color="auto"/>
            <w:right w:val="none" w:sz="0" w:space="0" w:color="auto"/>
          </w:divBdr>
        </w:div>
        <w:div w:id="1479764549">
          <w:marLeft w:val="0"/>
          <w:marRight w:val="547"/>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image" Target="media/image9.png"/><Relationship Id="rId42" Type="http://schemas.openxmlformats.org/officeDocument/2006/relationships/image" Target="media/image26.emf"/><Relationship Id="rId47" Type="http://schemas.openxmlformats.org/officeDocument/2006/relationships/image" Target="media/image31.emf"/><Relationship Id="rId63" Type="http://schemas.openxmlformats.org/officeDocument/2006/relationships/image" Target="media/image47.svg"/><Relationship Id="rId68" Type="http://schemas.openxmlformats.org/officeDocument/2006/relationships/image" Target="media/image52.svg"/><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5.png"/><Relationship Id="rId11" Type="http://schemas.openxmlformats.org/officeDocument/2006/relationships/image" Target="media/image2.jpeg"/><Relationship Id="rId24" Type="http://schemas.openxmlformats.org/officeDocument/2006/relationships/footer" Target="footer2.xml"/><Relationship Id="rId32" Type="http://schemas.openxmlformats.org/officeDocument/2006/relationships/header" Target="header5.xml"/><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image" Target="media/image37.emf"/><Relationship Id="rId58" Type="http://schemas.openxmlformats.org/officeDocument/2006/relationships/image" Target="media/image42.svg"/><Relationship Id="rId66" Type="http://schemas.openxmlformats.org/officeDocument/2006/relationships/image" Target="media/image50.svg"/><Relationship Id="rId74" Type="http://schemas.openxmlformats.org/officeDocument/2006/relationships/header" Target="header7.xml"/><Relationship Id="rId5" Type="http://schemas.openxmlformats.org/officeDocument/2006/relationships/numbering" Target="numbering.xml"/><Relationship Id="rId61" Type="http://schemas.openxmlformats.org/officeDocument/2006/relationships/image" Target="media/image45.svg"/><Relationship Id="rId19" Type="http://schemas.openxmlformats.org/officeDocument/2006/relationships/image" Target="media/image7.png"/><Relationship Id="rId14" Type="http://schemas.openxmlformats.org/officeDocument/2006/relationships/header" Target="header2.xml"/><Relationship Id="rId22" Type="http://schemas.openxmlformats.org/officeDocument/2006/relationships/image" Target="media/image10.jpeg"/><Relationship Id="rId27" Type="http://schemas.openxmlformats.org/officeDocument/2006/relationships/footer" Target="footer4.xml"/><Relationship Id="rId30" Type="http://schemas.openxmlformats.org/officeDocument/2006/relationships/image" Target="media/image16.png"/><Relationship Id="rId35" Type="http://schemas.openxmlformats.org/officeDocument/2006/relationships/image" Target="media/image19.jpeg"/><Relationship Id="rId43" Type="http://schemas.openxmlformats.org/officeDocument/2006/relationships/image" Target="media/image27.emf"/><Relationship Id="rId48" Type="http://schemas.openxmlformats.org/officeDocument/2006/relationships/image" Target="media/image32.emf"/><Relationship Id="rId56" Type="http://schemas.openxmlformats.org/officeDocument/2006/relationships/image" Target="media/image40.emf"/><Relationship Id="rId64" Type="http://schemas.openxmlformats.org/officeDocument/2006/relationships/image" Target="media/image48.png"/><Relationship Id="rId69" Type="http://schemas.openxmlformats.org/officeDocument/2006/relationships/image" Target="media/image53.png"/><Relationship Id="rId8" Type="http://schemas.openxmlformats.org/officeDocument/2006/relationships/webSettings" Target="webSettings.xml"/><Relationship Id="rId51" Type="http://schemas.openxmlformats.org/officeDocument/2006/relationships/image" Target="media/image35.emf"/><Relationship Id="rId72" Type="http://schemas.openxmlformats.org/officeDocument/2006/relationships/image" Target="media/image56.sv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footer" Target="footer3.xml"/><Relationship Id="rId33" Type="http://schemas.openxmlformats.org/officeDocument/2006/relationships/header" Target="header6.xml"/><Relationship Id="rId38" Type="http://schemas.openxmlformats.org/officeDocument/2006/relationships/image" Target="media/image22.emf"/><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image" Target="media/image51.png"/><Relationship Id="rId20" Type="http://schemas.openxmlformats.org/officeDocument/2006/relationships/image" Target="media/image8.jpeg"/><Relationship Id="rId41" Type="http://schemas.openxmlformats.org/officeDocument/2006/relationships/image" Target="media/image25.emf"/><Relationship Id="rId54" Type="http://schemas.openxmlformats.org/officeDocument/2006/relationships/image" Target="media/image38.emf"/><Relationship Id="rId62" Type="http://schemas.openxmlformats.org/officeDocument/2006/relationships/image" Target="media/image46.png"/><Relationship Id="rId70" Type="http://schemas.openxmlformats.org/officeDocument/2006/relationships/image" Target="media/image54.sv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4.emf"/><Relationship Id="rId36" Type="http://schemas.openxmlformats.org/officeDocument/2006/relationships/image" Target="media/image20.emf"/><Relationship Id="rId49" Type="http://schemas.openxmlformats.org/officeDocument/2006/relationships/image" Target="media/image33.jpeg"/><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image" Target="media/image17.emf"/><Relationship Id="rId44" Type="http://schemas.openxmlformats.org/officeDocument/2006/relationships/image" Target="media/image28.emf"/><Relationship Id="rId52" Type="http://schemas.openxmlformats.org/officeDocument/2006/relationships/image" Target="media/image36.emf"/><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6.png"/><Relationship Id="rId39" Type="http://schemas.openxmlformats.org/officeDocument/2006/relationships/image" Target="media/image23.emf"/><Relationship Id="rId34" Type="http://schemas.openxmlformats.org/officeDocument/2006/relationships/image" Target="media/image18.emf"/><Relationship Id="rId50" Type="http://schemas.openxmlformats.org/officeDocument/2006/relationships/image" Target="media/image34.emf"/><Relationship Id="rId55" Type="http://schemas.openxmlformats.org/officeDocument/2006/relationships/image" Target="media/image39.emf"/><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5.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12.jpe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H:\Word%20Templates\&#1514;&#1489;&#1504;&#1497;&#1493;&#1514;%20&#1502;&#1489;&#1511;&#1512;%20&#1492;&#1502;&#1491;&#1497;&#1504;&#1492;\&#1514;&#1489;&#1504;&#1497;&#1514;%20&#1500;&#1499;&#1514;&#1497;&#1489;&#1514;%20&#1502;&#1496;&#1500;&#1514;%20&#1489;&#1497;&#1511;&#1493;&#1512;&#1514;%20&#1502;&#1506;&#1493;&#1491;&#1499;&#1504;&#1514;.dotm" TargetMode="Externa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22225">
          <a:solidFill>
            <a:srgbClr val="C00000"/>
          </a:solidFill>
          <a:prstDash val="lgDash"/>
        </a:ln>
      </a:spPr>
      <a:bodyPr wrap="square" rtlCol="0"/>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מסמך" ma:contentTypeID="0x01010064D459DCDBE1C04FBE70D8D923394CD3" ma:contentTypeVersion="2" ma:contentTypeDescription="צור מסמך חדש." ma:contentTypeScope="" ma:versionID="9a436d2ca61e67980963c1fccdfa83dc">
  <xsd:schema xmlns:xsd="http://www.w3.org/2001/XMLSchema" xmlns:xs="http://www.w3.org/2001/XMLSchema" xmlns:p="http://schemas.microsoft.com/office/2006/metadata/properties" xmlns:ns1="http://schemas.microsoft.com/sharepoint/v3" xmlns:ns2="2427becb-8270-4354-8f06-4353a268df37" targetNamespace="http://schemas.microsoft.com/office/2006/metadata/properties" ma:root="true" ma:fieldsID="574495a27bf9a3eaefafacddbc7c960c" ns1:_="" ns2:_="">
    <xsd:import namespace="http://schemas.microsoft.com/sharepoint/v3"/>
    <xsd:import namespace="2427becb-8270-4354-8f06-4353a268df3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מתזמן תאריך התחלה" ma:description="'מתזמן תאריך התחלה' הוא עמודת אתר שיוצרת תכונת הפרסום. היא משמשת לציון התאריך והשעה שבהם יופיע הדף לראשונה בפני מבקרי האתר." ma:hidden="true" ma:internalName="PublishingStartDate">
      <xsd:simpleType>
        <xsd:restriction base="dms:Unknown"/>
      </xsd:simpleType>
    </xsd:element>
    <xsd:element name="PublishingExpirationDate" ma:index="9" nillable="true" ma:displayName="מתזמן תאריך סיום" ma:description="'תזמון תאריך הסיום' הוא עמודת אתר שיוצרת תכונת הפרסום. היא משמשת לציון התאריך והשעה שבהם הדף לא יופיע עוד בפני מבקרי האתר."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427becb-8270-4354-8f06-4353a268df37" elementFormDefault="qualified">
    <xsd:import namespace="http://schemas.microsoft.com/office/2006/documentManagement/types"/>
    <xsd:import namespace="http://schemas.microsoft.com/office/infopath/2007/PartnerControls"/>
    <xsd:element name="SharedWithUsers" ma:index="10"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F9CFEA8-9C19-4567-AE07-A888A48557E2}">
  <ds:schemaRefs>
    <ds:schemaRef ds:uri="http://schemas.openxmlformats.org/officeDocument/2006/bibliography"/>
  </ds:schemaRefs>
</ds:datastoreItem>
</file>

<file path=customXml/itemProps2.xml><?xml version="1.0" encoding="utf-8"?>
<ds:datastoreItem xmlns:ds="http://schemas.openxmlformats.org/officeDocument/2006/customXml" ds:itemID="{28CBA43C-3E84-4125-9640-1F0A75C37D8C}">
  <ds:schemaRefs>
    <ds:schemaRef ds:uri="http://schemas.microsoft.com/sharepoint/v3/contenttype/forms"/>
  </ds:schemaRefs>
</ds:datastoreItem>
</file>

<file path=customXml/itemProps3.xml><?xml version="1.0" encoding="utf-8"?>
<ds:datastoreItem xmlns:ds="http://schemas.openxmlformats.org/officeDocument/2006/customXml" ds:itemID="{2BF7931A-1720-4A9B-8D37-300E1A7E0E65}">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9AE524A7-E1EB-4CE3-B5DF-F48020BDE2AB}"/>
</file>

<file path=docProps/app.xml><?xml version="1.0" encoding="utf-8"?>
<Properties xmlns="http://schemas.openxmlformats.org/officeDocument/2006/extended-properties" xmlns:vt="http://schemas.openxmlformats.org/officeDocument/2006/docPropsVTypes">
  <Template>H:\Word Templates\תבניות מבקר המדינה\תבנית לכתיבת מטלת ביקורת מעודכנת.dotm</Template>
  <TotalTime>1</TotalTime>
  <Pages>98</Pages>
  <Words>21662</Words>
  <Characters>108314</Characters>
  <Application>Microsoft Office Word</Application>
  <DocSecurity>0</DocSecurity>
  <Lines>902</Lines>
  <Paragraphs>259</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129717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newscorpio44</dc:creator>
  <cp:keywords/>
  <dc:description/>
  <cp:lastModifiedBy>סטודיו אי.אר.</cp:lastModifiedBy>
  <cp:revision>3</cp:revision>
  <cp:lastPrinted>2022-03-15T14:10:00Z</cp:lastPrinted>
  <dcterms:created xsi:type="dcterms:W3CDTF">2022-05-07T13:46:00Z</dcterms:created>
  <dcterms:modified xsi:type="dcterms:W3CDTF">2022-05-07T13:49:00Z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0x01010064D459DCDBE1C04FBE70D8D923394CD3</vt:lpwstr>
  </property>
</Properties>
</file>