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728" behindDoc="0" locked="0" layoutInCell="1" allowOverlap="1" wp14:anchorId="6F0E2922" wp14:editId="1267ADEA">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6EF46" id="Rectangle 1" o:spid="_x0000_s1026" style="position:absolute;margin-left:247.9pt;margin-top:102.85pt;width:4.25pt;height:26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6E97FC0C">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71328B0A" w:rsidR="007B1279" w:rsidRPr="00A75949" w:rsidRDefault="007B1279"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" filled="f" stroked="f">
                <v:textbox>
                  <w:txbxContent>
                    <w:p w14:paraId="0EDFEFF5" w14:textId="71328B0A" w:rsidR="007B1279" w:rsidRPr="00A75949" w:rsidRDefault="007B1279"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72B37D26" wp14:editId="597CFCDF">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41F205B5" w:rsidR="007B1279" w:rsidRPr="00A75949" w:rsidRDefault="007B1279"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style="position:absolute;left:0;text-align:left;margin-left:-50.5pt;margin-top:201.05pt;width:279.6pt;height:1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LpwXVQN&#10;AgAA+wMAAA4AAAAAAAAAAAAAAAAALgIAAGRycy9lMm9Eb2MueG1sUEsBAi0AFAAGAAgAAAAhACul&#10;4lLgAAAADAEAAA8AAAAAAAAAAAAAAAAAZwQAAGRycy9kb3ducmV2LnhtbFBLBQYAAAAABAAEAPMA&#10;AAB0BQAAAAA=&#10;" filled="f" stroked="f">
                <v:textbox>
                  <w:txbxContent>
                    <w:p w14:paraId="0040AB6F" w14:textId="41F205B5" w:rsidR="007B1279" w:rsidRPr="00A75949" w:rsidRDefault="007B1279"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49536" behindDoc="0" locked="0" layoutInCell="1" allowOverlap="1" wp14:anchorId="0A0749AC" wp14:editId="30CC22BA">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4D95BF1A" w:rsidR="007B1279" w:rsidRPr="00A75949" w:rsidRDefault="00714849"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4D95BF1A" w:rsidR="007B1279" w:rsidRPr="00A75949" w:rsidRDefault="00714849"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8992" behindDoc="1" locked="0" layoutInCell="1" allowOverlap="1" wp14:anchorId="1D5BF6A3" wp14:editId="75AA1A50">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08516E">
          <w:footerReference w:type="even" r:id="rId10"/>
          <w:footerReference w:type="default" r:id="rId11"/>
          <w:pgSz w:w="11906" w:h="16838" w:code="9"/>
          <w:pgMar w:top="3119" w:right="2268" w:bottom="2268" w:left="2268" w:header="1985" w:footer="709" w:gutter="0"/>
          <w:pgNumType w:start="91"/>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5AA82A01" w:rsidR="0013238E" w:rsidRPr="00902625" w:rsidRDefault="0046732A" w:rsidP="008723A0">
      <w:pPr>
        <w:pStyle w:val="KOT1N"/>
        <w:bidi/>
      </w:pPr>
      <w:r w:rsidRPr="0046732A">
        <w:rPr>
          <w:rtl/>
        </w:rPr>
        <w:lastRenderedPageBreak/>
        <w:t>"</w:t>
      </w:r>
      <w:r w:rsidRPr="0046732A">
        <w:rPr>
          <w:rFonts w:hint="eastAsia"/>
          <w:rtl/>
        </w:rPr>
        <w:t>מדיניות</w:t>
      </w:r>
      <w:r w:rsidRPr="0046732A">
        <w:rPr>
          <w:rtl/>
        </w:rPr>
        <w:t xml:space="preserve"> </w:t>
      </w:r>
      <w:r w:rsidRPr="0046732A">
        <w:rPr>
          <w:rFonts w:hint="eastAsia"/>
          <w:rtl/>
        </w:rPr>
        <w:t>פעם</w:t>
      </w:r>
      <w:r w:rsidRPr="0046732A">
        <w:rPr>
          <w:rtl/>
        </w:rPr>
        <w:t xml:space="preserve"> </w:t>
      </w:r>
      <w:r w:rsidRPr="0046732A">
        <w:rPr>
          <w:rFonts w:hint="eastAsia"/>
          <w:rtl/>
        </w:rPr>
        <w:t>אחת</w:t>
      </w:r>
      <w:r w:rsidRPr="0046732A">
        <w:rPr>
          <w:rtl/>
        </w:rPr>
        <w:t xml:space="preserve">" </w:t>
      </w:r>
      <w:r w:rsidRPr="0046732A">
        <w:rPr>
          <w:rFonts w:hint="eastAsia"/>
          <w:rtl/>
        </w:rPr>
        <w:t>לשיפור</w:t>
      </w:r>
      <w:r w:rsidRPr="0046732A">
        <w:rPr>
          <w:rtl/>
        </w:rPr>
        <w:t xml:space="preserve"> </w:t>
      </w:r>
      <w:r w:rsidRPr="0046732A">
        <w:rPr>
          <w:rFonts w:hint="eastAsia"/>
          <w:rtl/>
        </w:rPr>
        <w:t>השירות</w:t>
      </w:r>
      <w:r w:rsidRPr="0046732A">
        <w:rPr>
          <w:rtl/>
        </w:rPr>
        <w:t xml:space="preserve"> </w:t>
      </w:r>
      <w:r w:rsidRPr="0046732A">
        <w:rPr>
          <w:rFonts w:hint="eastAsia"/>
          <w:rtl/>
        </w:rPr>
        <w:t>הממשלתי</w:t>
      </w:r>
      <w:r w:rsidRPr="0046732A">
        <w:rPr>
          <w:rtl/>
        </w:rPr>
        <w:t xml:space="preserve"> </w:t>
      </w:r>
      <w:r w:rsidRPr="0046732A">
        <w:rPr>
          <w:rFonts w:hint="eastAsia"/>
          <w:rtl/>
        </w:rPr>
        <w:t>הדיגיטלי</w:t>
      </w:r>
      <w:r w:rsidRPr="0046732A">
        <w:rPr>
          <w:rtl/>
        </w:rPr>
        <w:t xml:space="preserve"> </w:t>
      </w:r>
      <w:r w:rsidRPr="0046732A">
        <w:rPr>
          <w:rFonts w:hint="eastAsia"/>
          <w:rtl/>
        </w:rPr>
        <w:t>לציבור</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1EBAEA6B">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22F917E" w14:textId="41DD4A1D" w:rsidR="0046732A" w:rsidRDefault="0046732A" w:rsidP="0046732A">
      <w:pPr>
        <w:spacing w:after="180" w:line="260" w:lineRule="exact"/>
        <w:jc w:val="both"/>
        <w:rPr>
          <w:rFonts w:ascii="Tahoma" w:hAnsi="Tahoma" w:cs="Tahoma"/>
          <w:color w:val="0D0D0D" w:themeColor="text1" w:themeTint="F2"/>
          <w:sz w:val="24"/>
          <w:szCs w:val="18"/>
          <w:rtl/>
        </w:rPr>
      </w:pPr>
      <w:r w:rsidRPr="0046732A">
        <w:rPr>
          <w:rFonts w:ascii="Tahoma" w:hAnsi="Tahoma" w:cs="Tahoma" w:hint="cs"/>
          <w:color w:val="0D0D0D" w:themeColor="text1" w:themeTint="F2"/>
          <w:sz w:val="24"/>
          <w:szCs w:val="18"/>
          <w:rtl/>
        </w:rPr>
        <w:t>ההתפתחות הטכנולוגית בעולם הובילה לגידול בצריכת שירותים דיגיטליים על ידי אזרחים ועסקים. מגמה זו יצרה הזדמנות לייעל את תהליכי השירות שמעניקים משרדי הממשלה לציבור. זאת למשל באמצעות השימוש ב"מדיניות פעם אחת", שמשמעה קבלת מידע</w:t>
      </w:r>
      <w:r w:rsidRPr="0046732A">
        <w:rPr>
          <w:color w:val="0D0D0D" w:themeColor="text1" w:themeTint="F2"/>
          <w:sz w:val="24"/>
          <w:szCs w:val="18"/>
          <w:vertAlign w:val="superscript"/>
          <w:rtl/>
        </w:rPr>
        <w:footnoteReference w:id="1"/>
      </w:r>
      <w:r w:rsidRPr="0046732A">
        <w:rPr>
          <w:rFonts w:ascii="Tahoma" w:hAnsi="Tahoma" w:cs="Tahoma" w:hint="cs"/>
          <w:color w:val="0D0D0D" w:themeColor="text1" w:themeTint="F2"/>
          <w:sz w:val="24"/>
          <w:szCs w:val="18"/>
          <w:rtl/>
        </w:rPr>
        <w:t xml:space="preserve"> מהאזרח פעם אחת בלבד ושיתופו בין גופי ממשלה לצורך מתן שירותים שונים, בלי שהאזרח יידרש למוסרו בכל פעם מחדש. בשנת 2016 החליטה הממשלה</w:t>
      </w:r>
      <w:r w:rsidRPr="0046732A">
        <w:rPr>
          <w:color w:val="0D0D0D" w:themeColor="text1" w:themeTint="F2"/>
          <w:sz w:val="24"/>
          <w:szCs w:val="18"/>
          <w:vertAlign w:val="superscript"/>
          <w:rtl/>
        </w:rPr>
        <w:footnoteReference w:id="2"/>
      </w:r>
      <w:r w:rsidRPr="0046732A">
        <w:rPr>
          <w:rFonts w:ascii="Tahoma" w:hAnsi="Tahoma" w:cs="Tahoma" w:hint="cs"/>
          <w:color w:val="0D0D0D" w:themeColor="text1" w:themeTint="F2"/>
          <w:sz w:val="24"/>
          <w:szCs w:val="18"/>
          <w:rtl/>
        </w:rPr>
        <w:t xml:space="preserve"> לאמץ מדיניות פעם אחת במשרדי הממשלה וביחידות הסמך, לשם שיפור השירות הממשלתי לציבור והפחתת הנטל הבירוקרטי המוטל עליו.</w:t>
      </w:r>
    </w:p>
    <w:p w14:paraId="61711426" w14:textId="77777777" w:rsidR="00564717" w:rsidRPr="0046732A" w:rsidRDefault="00564717" w:rsidP="0046732A">
      <w:pPr>
        <w:spacing w:after="180" w:line="260" w:lineRule="exact"/>
        <w:jc w:val="both"/>
        <w:rPr>
          <w:rFonts w:ascii="Tahoma" w:hAnsi="Tahoma" w:cs="Tahoma"/>
          <w:color w:val="0D0D0D" w:themeColor="text1" w:themeTint="F2"/>
          <w:sz w:val="24"/>
          <w:szCs w:val="18"/>
          <w:rtl/>
        </w:rPr>
      </w:pPr>
    </w:p>
    <w:p w14:paraId="5F735960" w14:textId="77777777" w:rsidR="00564717" w:rsidRPr="00DA3862" w:rsidRDefault="00564717" w:rsidP="00564717">
      <w:pPr>
        <w:spacing w:before="240" w:after="180" w:line="240" w:lineRule="atLeast"/>
        <w:jc w:val="both"/>
        <w:rPr>
          <w:rtl/>
        </w:rPr>
      </w:pPr>
      <w:r>
        <w:rPr>
          <w:noProof/>
          <w:rtl/>
          <w:lang w:val="he-IL"/>
        </w:rPr>
        <w:drawing>
          <wp:inline distT="0" distB="0" distL="0" distR="0" wp14:anchorId="2024BFED" wp14:editId="3CE3AC09">
            <wp:extent cx="1328931" cy="323089"/>
            <wp:effectExtent l="0" t="0" r="5080" b="127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69"/>
        <w:gridCol w:w="120"/>
        <w:gridCol w:w="2603"/>
        <w:gridCol w:w="120"/>
        <w:gridCol w:w="2272"/>
      </w:tblGrid>
      <w:tr w:rsidR="00564717" w:rsidRPr="00DB4D24" w14:paraId="5DFE0B67" w14:textId="77777777" w:rsidTr="007B1279">
        <w:tc>
          <w:tcPr>
            <w:tcW w:w="0" w:type="auto"/>
            <w:tcBorders>
              <w:bottom w:val="single" w:sz="8" w:space="0" w:color="auto"/>
            </w:tcBorders>
          </w:tcPr>
          <w:p w14:paraId="6738984E"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פי 50</w:t>
            </w:r>
            <w:r w:rsidRPr="00DB39FE">
              <w:rPr>
                <w:rFonts w:ascii="Tahoma" w:hAnsi="Tahoma" w:cs="Tahoma"/>
                <w:b/>
                <w:bCs/>
                <w:color w:val="0D0D0D" w:themeColor="text1" w:themeTint="F2"/>
                <w:sz w:val="36"/>
                <w:szCs w:val="36"/>
                <w:rtl/>
              </w:rPr>
              <w:t xml:space="preserve"> </w:t>
            </w:r>
          </w:p>
        </w:tc>
        <w:tc>
          <w:tcPr>
            <w:tcW w:w="0" w:type="auto"/>
          </w:tcPr>
          <w:p w14:paraId="0137DFC7" w14:textId="77777777" w:rsidR="00564717" w:rsidRPr="00EB7D7A" w:rsidRDefault="00564717" w:rsidP="007B1279">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579076EF"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55%</w:t>
            </w:r>
          </w:p>
        </w:tc>
        <w:tc>
          <w:tcPr>
            <w:tcW w:w="0" w:type="auto"/>
          </w:tcPr>
          <w:p w14:paraId="5C2F9E04" w14:textId="77777777" w:rsidR="00564717" w:rsidRPr="00273409" w:rsidRDefault="00564717" w:rsidP="007B1279">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29CDFA0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68 </w:t>
            </w:r>
            <w:r w:rsidRPr="00B32607">
              <w:rPr>
                <w:rFonts w:ascii="Tahoma" w:hAnsi="Tahoma" w:cs="Tahoma" w:hint="cs"/>
                <w:b/>
                <w:bCs/>
                <w:color w:val="0D0D0D" w:themeColor="text1" w:themeTint="F2"/>
                <w:sz w:val="24"/>
                <w:szCs w:val="24"/>
                <w:rtl/>
              </w:rPr>
              <w:t>מתוך 100</w:t>
            </w:r>
          </w:p>
        </w:tc>
      </w:tr>
      <w:tr w:rsidR="00564717" w14:paraId="251FD19D" w14:textId="77777777" w:rsidTr="007B1279">
        <w:tc>
          <w:tcPr>
            <w:tcW w:w="0" w:type="auto"/>
            <w:tcBorders>
              <w:top w:val="single" w:sz="8" w:space="0" w:color="auto"/>
            </w:tcBorders>
          </w:tcPr>
          <w:p w14:paraId="760849FA"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העלות של פעולת שירות פרונטלית (קבלת קהל בלשכות שירות ממשלתיות) לעומת העלות של פעולת שירות דיגיטלית</w:t>
            </w:r>
            <w:r w:rsidRPr="0046732A">
              <w:rPr>
                <w:rFonts w:ascii="Tahoma" w:hAnsi="Tahoma" w:cs="Tahoma"/>
                <w:color w:val="0D0D0D" w:themeColor="text1" w:themeTint="F2"/>
                <w:sz w:val="18"/>
                <w:szCs w:val="18"/>
                <w:vertAlign w:val="superscript"/>
                <w:rtl/>
              </w:rPr>
              <w:footnoteReference w:id="3"/>
            </w:r>
            <w:r w:rsidRPr="00DB39FE">
              <w:rPr>
                <w:rFonts w:ascii="Tahoma" w:hAnsi="Tahoma" w:cs="Tahoma" w:hint="cs"/>
                <w:color w:val="0D0D0D" w:themeColor="text1" w:themeTint="F2"/>
                <w:sz w:val="18"/>
                <w:szCs w:val="18"/>
                <w:rtl/>
              </w:rPr>
              <w:t>.</w:t>
            </w:r>
          </w:p>
        </w:tc>
        <w:tc>
          <w:tcPr>
            <w:tcW w:w="0" w:type="auto"/>
          </w:tcPr>
          <w:p w14:paraId="370AFAAD"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F0E496D" w14:textId="46B6290D" w:rsidR="00564717" w:rsidRPr="00273409" w:rsidRDefault="002E5B76" w:rsidP="002E5B76">
            <w:pPr>
              <w:spacing w:before="60" w:line="240" w:lineRule="auto"/>
              <w:ind w:right="23"/>
              <w:rPr>
                <w:rFonts w:ascii="Tahoma" w:hAnsi="Tahoma" w:cs="Tahoma"/>
                <w:color w:val="0D0D0D" w:themeColor="text1" w:themeTint="F2"/>
                <w:sz w:val="18"/>
                <w:szCs w:val="18"/>
                <w:rtl/>
              </w:rPr>
            </w:pPr>
            <w:r w:rsidRPr="002E5B76">
              <w:rPr>
                <w:rFonts w:ascii="Tahoma" w:hAnsi="Tahoma" w:cs="Tahoma" w:hint="eastAsia"/>
                <w:color w:val="0D0D0D" w:themeColor="text1" w:themeTint="F2"/>
                <w:sz w:val="18"/>
                <w:szCs w:val="18"/>
                <w:rtl/>
              </w:rPr>
              <w:t>שיעור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הגידול</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במספר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הכניסות</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לאזור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האישי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באתר</w:t>
            </w:r>
            <w:r w:rsidRPr="002E5B76">
              <w:rPr>
                <w:rFonts w:ascii="Tahoma" w:hAnsi="Tahoma" w:cs="Tahoma"/>
                <w:color w:val="0D0D0D" w:themeColor="text1" w:themeTint="F2"/>
                <w:sz w:val="18"/>
                <w:szCs w:val="18"/>
                <w:rtl/>
              </w:rPr>
              <w:t xml:space="preserve"> </w:t>
            </w:r>
            <w:r w:rsidRPr="002E5B76">
              <w:rPr>
                <w:rFonts w:ascii="Tahoma" w:hAnsi="Tahoma" w:cs="Tahoma"/>
                <w:color w:val="0D0D0D" w:themeColor="text1" w:themeTint="F2"/>
                <w:sz w:val="18"/>
                <w:szCs w:val="18"/>
              </w:rPr>
              <w:t>GOV.IL</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בין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מרץ</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בזמן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לפברואר</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לפני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w:t>
            </w:r>
          </w:p>
        </w:tc>
        <w:tc>
          <w:tcPr>
            <w:tcW w:w="0" w:type="auto"/>
          </w:tcPr>
          <w:p w14:paraId="32239DF6"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1B6FA529"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ציון שביעות הרצון של מקבלי השירות במשרדי הממשלה, על פי מדידה שביצעה רשות התקשוב בשנת 2019.</w:t>
            </w:r>
          </w:p>
        </w:tc>
      </w:tr>
      <w:tr w:rsidR="00564717" w:rsidRPr="00DB4D24" w14:paraId="315D474C" w14:textId="77777777" w:rsidTr="007B1279">
        <w:tc>
          <w:tcPr>
            <w:tcW w:w="0" w:type="auto"/>
          </w:tcPr>
          <w:p w14:paraId="50B944F5"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6E974B6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3D35D8C3"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55C978F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2D33A568"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r>
      <w:tr w:rsidR="00564717" w:rsidRPr="00DB4D24" w14:paraId="41AAD370" w14:textId="77777777" w:rsidTr="007B1279">
        <w:tc>
          <w:tcPr>
            <w:tcW w:w="0" w:type="auto"/>
            <w:tcBorders>
              <w:bottom w:val="single" w:sz="8" w:space="0" w:color="auto"/>
            </w:tcBorders>
            <w:vAlign w:val="center"/>
          </w:tcPr>
          <w:p w14:paraId="6284F125"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70%</w:t>
            </w:r>
          </w:p>
        </w:tc>
        <w:tc>
          <w:tcPr>
            <w:tcW w:w="0" w:type="auto"/>
          </w:tcPr>
          <w:p w14:paraId="2123FDAC"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CC7722B" w14:textId="5256DC7F"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3,545 </w:t>
            </w:r>
          </w:p>
        </w:tc>
        <w:tc>
          <w:tcPr>
            <w:tcW w:w="0" w:type="auto"/>
          </w:tcPr>
          <w:p w14:paraId="0A73CEC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17D0D5E8"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261</w:t>
            </w:r>
          </w:p>
        </w:tc>
      </w:tr>
      <w:tr w:rsidR="00564717" w14:paraId="091197E0" w14:textId="77777777" w:rsidTr="007B1279">
        <w:tc>
          <w:tcPr>
            <w:tcW w:w="0" w:type="auto"/>
            <w:tcBorders>
              <w:top w:val="single" w:sz="8" w:space="0" w:color="auto"/>
            </w:tcBorders>
          </w:tcPr>
          <w:p w14:paraId="517E4554"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שיעור המדינות ב-</w:t>
            </w:r>
            <w:r w:rsidRPr="00DB39FE">
              <w:rPr>
                <w:rFonts w:ascii="Tahoma" w:hAnsi="Tahoma" w:cs="Tahoma" w:hint="cs"/>
                <w:color w:val="0D0D0D" w:themeColor="text1" w:themeTint="F2"/>
                <w:sz w:val="18"/>
                <w:szCs w:val="18"/>
              </w:rPr>
              <w:t>OECD</w:t>
            </w:r>
            <w:r w:rsidRPr="00DB39FE">
              <w:rPr>
                <w:rFonts w:ascii="Tahoma" w:hAnsi="Tahoma" w:cs="Tahoma" w:hint="cs"/>
                <w:color w:val="0D0D0D" w:themeColor="text1" w:themeTint="F2"/>
                <w:sz w:val="18"/>
                <w:szCs w:val="18"/>
                <w:rtl/>
              </w:rPr>
              <w:t xml:space="preserve"> שבהן נדרש ליישם מדיניות פעם אחת בשירותים ממשלתיים מכוח חקיקה או החלטת ממשלה. </w:t>
            </w:r>
          </w:p>
        </w:tc>
        <w:tc>
          <w:tcPr>
            <w:tcW w:w="0" w:type="auto"/>
          </w:tcPr>
          <w:p w14:paraId="743698F4"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96C8FE" w14:textId="77777777" w:rsidR="00564717" w:rsidRPr="00DB39FE" w:rsidRDefault="00564717" w:rsidP="007B1279">
            <w:pPr>
              <w:spacing w:before="6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שמופו ב-40 משרדי ממשלה עד מאי 2020, לצורך קידום דיגיטציה של שירותים ויישום מדיניות פעם אחת.</w:t>
            </w:r>
          </w:p>
          <w:p w14:paraId="4CA997F5"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Pr>
          <w:p w14:paraId="21376A32"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5F1D1FC"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שבהם נדרש האזרח לספק תצלום תעודת זהות לשם קבלת השירות.</w:t>
            </w: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7"/>
          <w:headerReference w:type="default" r:id="rId18"/>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6130B65E">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0C9E0C53" w:rsidR="000A1D75" w:rsidRPr="006061A9" w:rsidRDefault="000A1D75" w:rsidP="00D147D7">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774A0B8F">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46732A" w:rsidRPr="0046732A">
        <w:rPr>
          <w:rFonts w:ascii="Tahoma" w:hAnsi="Tahoma" w:cs="Tahoma" w:hint="eastAsia"/>
          <w:color w:val="0D0D0D" w:themeColor="text1" w:themeTint="F2"/>
          <w:sz w:val="18"/>
          <w:szCs w:val="18"/>
          <w:rtl/>
        </w:rPr>
        <w:t>בחודשים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מרץ</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דצמבר</w:t>
      </w:r>
      <w:r w:rsidR="0046732A" w:rsidRPr="0046732A">
        <w:rPr>
          <w:rFonts w:ascii="Tahoma" w:hAnsi="Tahoma" w:cs="Tahoma"/>
          <w:color w:val="0D0D0D" w:themeColor="text1" w:themeTint="F2"/>
          <w:sz w:val="18"/>
          <w:szCs w:val="18"/>
          <w:rtl/>
        </w:rPr>
        <w:t xml:space="preserve"> 2020 </w:t>
      </w:r>
      <w:r w:rsidR="0046732A" w:rsidRPr="0046732A">
        <w:rPr>
          <w:rFonts w:ascii="Tahoma" w:hAnsi="Tahoma" w:cs="Tahoma" w:hint="eastAsia"/>
          <w:color w:val="0D0D0D" w:themeColor="text1" w:themeTint="F2"/>
          <w:sz w:val="18"/>
          <w:szCs w:val="18"/>
          <w:rtl/>
        </w:rPr>
        <w:t>ביצע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משרד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מבקר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המדינה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בנושא</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יישום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מדיניות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פעם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אחת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נבדקו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בעיקר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נושאים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אלה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הליך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מיפוי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השירותים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קביעת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יעדים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לצמצום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היקף</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והאישורים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הנדרשים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מהציבור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לקבלת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שירות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פיתוח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לניהול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עבודת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הוועדות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להעברת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מוע</w:t>
      </w:r>
      <w:r w:rsidR="0046732A" w:rsidRPr="0046732A">
        <w:rPr>
          <w:rFonts w:ascii="Tahoma" w:hAnsi="Tahoma" w:cs="Tahoma"/>
          <w:color w:val="0D0D0D" w:themeColor="text1" w:themeTint="F2"/>
          <w:sz w:val="18"/>
          <w:szCs w:val="18"/>
          <w:rtl/>
        </w:rPr>
        <w:t>"</w:t>
      </w:r>
      <w:r w:rsidR="0046732A" w:rsidRPr="0046732A">
        <w:rPr>
          <w:rFonts w:ascii="Tahoma" w:hAnsi="Tahoma" w:cs="Tahoma" w:hint="eastAsia"/>
          <w:color w:val="0D0D0D" w:themeColor="text1" w:themeTint="F2"/>
          <w:sz w:val="18"/>
          <w:szCs w:val="18"/>
          <w:rtl/>
        </w:rPr>
        <w:t>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והקמת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שדרת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נעשתה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ברשות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התקשוב</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בדיקות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השלמה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במטה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ישראל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דיגיטלית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במערך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הסייבר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הלאומי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ובמוסד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לביטוח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לאומי</w:t>
      </w:r>
      <w:r w:rsidR="0046732A" w:rsidRPr="0046732A">
        <w:rPr>
          <w:rFonts w:ascii="Tahoma" w:hAnsi="Tahoma" w:cs="Tahoma"/>
          <w:color w:val="0D0D0D" w:themeColor="text1" w:themeTint="F2"/>
          <w:sz w:val="18"/>
          <w:szCs w:val="18"/>
          <w:rtl/>
        </w:rPr>
        <w:t>.</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4B999355">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6135F014">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08018B5" w14:textId="77777777" w:rsidR="00B32607" w:rsidRPr="00464BF9" w:rsidRDefault="00B32607" w:rsidP="00464BF9">
      <w:pPr>
        <w:pStyle w:val="ListParagraph"/>
        <w:numPr>
          <w:ilvl w:val="0"/>
          <w:numId w:val="5"/>
        </w:numPr>
        <w:spacing w:line="260" w:lineRule="exact"/>
        <w:ind w:left="397" w:hanging="397"/>
        <w:rPr>
          <w:sz w:val="18"/>
          <w:szCs w:val="18"/>
          <w:rtl/>
        </w:rPr>
      </w:pPr>
      <w:r w:rsidRPr="00464BF9">
        <w:rPr>
          <w:b/>
          <w:bCs/>
          <w:sz w:val="18"/>
          <w:szCs w:val="18"/>
          <w:rtl/>
        </w:rPr>
        <w:t>יישום מדיניות פעם אחת:</w:t>
      </w:r>
      <w:r w:rsidRPr="00464BF9">
        <w:rPr>
          <w:sz w:val="18"/>
          <w:szCs w:val="18"/>
          <w:rtl/>
        </w:rPr>
        <w:t xml:space="preserve"> עוד ארוכה הדרך ליישום מלא של החלטת הממשלה משנת 2016, שקבעה כי החל משנת 2021 משרד ממשלתי לא יבקש מהציבור, לשם מתן שירות, אישור שהנפיק משרד ממשלתי אחר. כך לדוגמא - עולה כי תצלום תעודת זהות (תעודה המונפקת בידי גוף ממשלתי - רשות האוכלוסין) נדרש לשם קבלת 261 שירותים שונים בממשלה; תצלום תעודת בגרות (תעודה המונפקת בידי משרד החינוך) נדרש לשם קבלת 188 שירותים; ותצלום רישיון עסק (אישור המונפק על ידי משרד הפנים) נדרש לשם קבלת 68 שירותים</w:t>
      </w:r>
      <w:r w:rsidRPr="00464BF9">
        <w:rPr>
          <w:b/>
          <w:bCs/>
          <w:sz w:val="18"/>
          <w:szCs w:val="18"/>
          <w:rtl/>
        </w:rPr>
        <w:t xml:space="preserve">. </w:t>
      </w:r>
    </w:p>
    <w:p w14:paraId="4D4087C8"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cs"/>
          <w:b/>
          <w:bCs/>
          <w:sz w:val="18"/>
          <w:szCs w:val="18"/>
          <w:rtl/>
        </w:rPr>
        <w:t>מיפוי השירותים הממשלתיים:</w:t>
      </w:r>
      <w:r w:rsidRPr="00464BF9">
        <w:rPr>
          <w:rFonts w:hint="cs"/>
          <w:sz w:val="18"/>
          <w:szCs w:val="18"/>
          <w:rtl/>
        </w:rPr>
        <w:t xml:space="preserve"> משרדי הממשלה תיקפו 933 (26%) מתוך 3,545 שירותים שמופו ב-40 משרדים. </w:t>
      </w:r>
      <w:r w:rsidRPr="00464BF9">
        <w:rPr>
          <w:rFonts w:hint="eastAsia"/>
          <w:sz w:val="18"/>
          <w:szCs w:val="18"/>
          <w:rtl/>
        </w:rPr>
        <w:t>בהיעדר</w:t>
      </w:r>
      <w:r w:rsidRPr="00464BF9">
        <w:rPr>
          <w:sz w:val="18"/>
          <w:szCs w:val="18"/>
          <w:rtl/>
        </w:rPr>
        <w:t xml:space="preserve"> </w:t>
      </w:r>
      <w:r w:rsidRPr="00464BF9">
        <w:rPr>
          <w:rFonts w:hint="eastAsia"/>
          <w:sz w:val="18"/>
          <w:szCs w:val="18"/>
          <w:rtl/>
        </w:rPr>
        <w:t>תיקוף</w:t>
      </w:r>
      <w:r w:rsidRPr="00464BF9">
        <w:rPr>
          <w:sz w:val="18"/>
          <w:szCs w:val="18"/>
          <w:rtl/>
        </w:rPr>
        <w:t xml:space="preserve"> </w:t>
      </w:r>
      <w:r w:rsidRPr="00464BF9">
        <w:rPr>
          <w:rFonts w:hint="eastAsia"/>
          <w:sz w:val="18"/>
          <w:szCs w:val="18"/>
          <w:rtl/>
        </w:rPr>
        <w:t>מלא</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במיפוי</w:t>
      </w:r>
      <w:r w:rsidRPr="00464BF9">
        <w:rPr>
          <w:rFonts w:hint="cs"/>
          <w:b/>
          <w:bCs/>
          <w:sz w:val="18"/>
          <w:szCs w:val="18"/>
          <w:rtl/>
        </w:rPr>
        <w:t xml:space="preserve"> </w:t>
      </w:r>
      <w:r w:rsidRPr="00464BF9">
        <w:rPr>
          <w:rFonts w:hint="cs"/>
          <w:sz w:val="18"/>
          <w:szCs w:val="18"/>
          <w:rtl/>
        </w:rPr>
        <w:t xml:space="preserve">לא הייתה לרשות התקשוב ולישראל דיגיטלית תמונה שלמה ומהימנה על </w:t>
      </w:r>
      <w:r w:rsidRPr="00464BF9">
        <w:rPr>
          <w:rFonts w:hint="eastAsia"/>
          <w:sz w:val="18"/>
          <w:szCs w:val="18"/>
          <w:rtl/>
        </w:rPr>
        <w:t>המספר</w:t>
      </w:r>
      <w:r w:rsidRPr="00464BF9">
        <w:rPr>
          <w:sz w:val="18"/>
          <w:szCs w:val="18"/>
          <w:rtl/>
        </w:rPr>
        <w:t xml:space="preserve"> הכולל של השירותים שנותן כל משרד לציבור, ובהתאם לכך - </w:t>
      </w:r>
      <w:r w:rsidRPr="00464BF9">
        <w:rPr>
          <w:rFonts w:hint="eastAsia"/>
          <w:sz w:val="18"/>
          <w:szCs w:val="18"/>
          <w:rtl/>
        </w:rPr>
        <w:t>על</w:t>
      </w:r>
      <w:r w:rsidRPr="00464BF9">
        <w:rPr>
          <w:sz w:val="18"/>
          <w:szCs w:val="18"/>
          <w:rtl/>
        </w:rPr>
        <w:t xml:space="preserve"> </w:t>
      </w:r>
      <w:r w:rsidRPr="00464BF9">
        <w:rPr>
          <w:rFonts w:hint="eastAsia"/>
          <w:sz w:val="18"/>
          <w:szCs w:val="18"/>
          <w:rtl/>
        </w:rPr>
        <w:t>שיעור</w:t>
      </w:r>
      <w:r w:rsidRPr="00464BF9">
        <w:rPr>
          <w:sz w:val="18"/>
          <w:szCs w:val="18"/>
          <w:rtl/>
        </w:rPr>
        <w:t xml:space="preserve"> השירותים </w:t>
      </w:r>
      <w:r w:rsidRPr="00464BF9">
        <w:rPr>
          <w:rFonts w:hint="eastAsia"/>
          <w:sz w:val="18"/>
          <w:szCs w:val="18"/>
          <w:rtl/>
        </w:rPr>
        <w:t>שבהם</w:t>
      </w:r>
      <w:r w:rsidRPr="00464BF9">
        <w:rPr>
          <w:sz w:val="18"/>
          <w:szCs w:val="18"/>
          <w:rtl/>
        </w:rPr>
        <w:t xml:space="preserve"> מיושמת מדיניות פעם אחת. </w:t>
      </w:r>
    </w:p>
    <w:p w14:paraId="3FA5EE0E"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הדיווח</w:t>
      </w:r>
      <w:r w:rsidRPr="00464BF9">
        <w:rPr>
          <w:b/>
          <w:bCs/>
          <w:sz w:val="18"/>
          <w:szCs w:val="18"/>
          <w:rtl/>
        </w:rPr>
        <w:t xml:space="preserve"> על </w:t>
      </w:r>
      <w:r w:rsidRPr="00464BF9">
        <w:rPr>
          <w:rFonts w:hint="eastAsia"/>
          <w:b/>
          <w:bCs/>
          <w:sz w:val="18"/>
          <w:szCs w:val="18"/>
          <w:rtl/>
        </w:rPr>
        <w:t>יישום</w:t>
      </w:r>
      <w:r w:rsidRPr="00464BF9">
        <w:rPr>
          <w:b/>
          <w:bCs/>
          <w:sz w:val="18"/>
          <w:szCs w:val="18"/>
          <w:rtl/>
        </w:rPr>
        <w:t xml:space="preserve"> </w:t>
      </w:r>
      <w:r w:rsidRPr="00464BF9">
        <w:rPr>
          <w:rFonts w:hint="eastAsia"/>
          <w:b/>
          <w:bCs/>
          <w:sz w:val="18"/>
          <w:szCs w:val="18"/>
          <w:rtl/>
        </w:rPr>
        <w:t>מדיניות</w:t>
      </w:r>
      <w:r w:rsidRPr="00464BF9">
        <w:rPr>
          <w:b/>
          <w:bCs/>
          <w:sz w:val="18"/>
          <w:szCs w:val="18"/>
          <w:rtl/>
        </w:rPr>
        <w:t xml:space="preserve"> </w:t>
      </w:r>
      <w:r w:rsidRPr="00464BF9">
        <w:rPr>
          <w:rFonts w:hint="eastAsia"/>
          <w:b/>
          <w:bCs/>
          <w:sz w:val="18"/>
          <w:szCs w:val="18"/>
          <w:rtl/>
        </w:rPr>
        <w:t>פעם</w:t>
      </w:r>
      <w:r w:rsidRPr="00464BF9">
        <w:rPr>
          <w:b/>
          <w:bCs/>
          <w:sz w:val="18"/>
          <w:szCs w:val="18"/>
          <w:rtl/>
        </w:rPr>
        <w:t xml:space="preserve"> </w:t>
      </w:r>
      <w:r w:rsidRPr="00464BF9">
        <w:rPr>
          <w:rFonts w:hint="eastAsia"/>
          <w:b/>
          <w:bCs/>
          <w:sz w:val="18"/>
          <w:szCs w:val="18"/>
          <w:rtl/>
        </w:rPr>
        <w:t>אחת</w:t>
      </w:r>
      <w:r w:rsidRPr="00464BF9">
        <w:rPr>
          <w:b/>
          <w:bCs/>
          <w:sz w:val="18"/>
          <w:szCs w:val="18"/>
          <w:rtl/>
        </w:rPr>
        <w:t xml:space="preserve"> ב</w:t>
      </w:r>
      <w:r w:rsidRPr="00464BF9">
        <w:rPr>
          <w:rFonts w:hint="eastAsia"/>
          <w:b/>
          <w:bCs/>
          <w:sz w:val="18"/>
          <w:szCs w:val="18"/>
          <w:rtl/>
        </w:rPr>
        <w:t>שנת</w:t>
      </w:r>
      <w:r w:rsidRPr="00464BF9">
        <w:rPr>
          <w:b/>
          <w:bCs/>
          <w:sz w:val="18"/>
          <w:szCs w:val="18"/>
          <w:rtl/>
        </w:rPr>
        <w:t xml:space="preserve"> 2018:</w:t>
      </w:r>
      <w:r w:rsidRPr="00464BF9">
        <w:rPr>
          <w:sz w:val="18"/>
          <w:szCs w:val="18"/>
          <w:rtl/>
        </w:rPr>
        <w:t xml:space="preserve"> 19 (56%) </w:t>
      </w:r>
      <w:r w:rsidRPr="00464BF9">
        <w:rPr>
          <w:rFonts w:hint="eastAsia"/>
          <w:sz w:val="18"/>
          <w:szCs w:val="18"/>
          <w:rtl/>
        </w:rPr>
        <w:t>מבין</w:t>
      </w:r>
      <w:r w:rsidRPr="00464BF9">
        <w:rPr>
          <w:sz w:val="18"/>
          <w:szCs w:val="18"/>
          <w:rtl/>
        </w:rPr>
        <w:t xml:space="preserve"> 34 </w:t>
      </w:r>
      <w:r w:rsidRPr="00464BF9">
        <w:rPr>
          <w:rFonts w:hint="eastAsia"/>
          <w:sz w:val="18"/>
          <w:szCs w:val="18"/>
          <w:rtl/>
        </w:rPr>
        <w:t>משרדים</w:t>
      </w:r>
      <w:r w:rsidRPr="00464BF9">
        <w:rPr>
          <w:sz w:val="18"/>
          <w:szCs w:val="18"/>
          <w:rtl/>
        </w:rPr>
        <w:t xml:space="preserve"> </w:t>
      </w:r>
      <w:r w:rsidRPr="00464BF9">
        <w:rPr>
          <w:rFonts w:hint="eastAsia"/>
          <w:sz w:val="18"/>
          <w:szCs w:val="18"/>
          <w:rtl/>
        </w:rPr>
        <w:t>כללו</w:t>
      </w:r>
      <w:r w:rsidRPr="00464BF9">
        <w:rPr>
          <w:sz w:val="18"/>
          <w:szCs w:val="18"/>
          <w:rtl/>
        </w:rPr>
        <w:t xml:space="preserve"> </w:t>
      </w:r>
      <w:r w:rsidRPr="00464BF9">
        <w:rPr>
          <w:rFonts w:hint="eastAsia"/>
          <w:sz w:val="18"/>
          <w:szCs w:val="18"/>
          <w:rtl/>
        </w:rPr>
        <w:t>בדיווחי</w:t>
      </w:r>
      <w:r w:rsidRPr="00464BF9">
        <w:rPr>
          <w:sz w:val="18"/>
          <w:szCs w:val="18"/>
          <w:rtl/>
        </w:rPr>
        <w:t xml:space="preserve"> </w:t>
      </w:r>
      <w:r w:rsidRPr="00464BF9">
        <w:rPr>
          <w:rFonts w:hint="eastAsia"/>
          <w:sz w:val="18"/>
          <w:szCs w:val="18"/>
          <w:rtl/>
        </w:rPr>
        <w:t>תכניות</w:t>
      </w:r>
      <w:r w:rsidRPr="00464BF9">
        <w:rPr>
          <w:sz w:val="18"/>
          <w:szCs w:val="18"/>
          <w:rtl/>
        </w:rPr>
        <w:t xml:space="preserve"> </w:t>
      </w:r>
      <w:r w:rsidRPr="00464BF9">
        <w:rPr>
          <w:rFonts w:hint="eastAsia"/>
          <w:sz w:val="18"/>
          <w:szCs w:val="18"/>
          <w:rtl/>
        </w:rPr>
        <w:t>העבודה</w:t>
      </w:r>
      <w:r w:rsidRPr="00464BF9">
        <w:rPr>
          <w:sz w:val="18"/>
          <w:szCs w:val="18"/>
          <w:rtl/>
        </w:rPr>
        <w:t xml:space="preserve"> </w:t>
      </w:r>
      <w:r w:rsidRPr="00464BF9">
        <w:rPr>
          <w:rFonts w:hint="eastAsia"/>
          <w:sz w:val="18"/>
          <w:szCs w:val="18"/>
          <w:rtl/>
        </w:rPr>
        <w:t>שלהם</w:t>
      </w:r>
      <w:r w:rsidRPr="00464BF9">
        <w:rPr>
          <w:sz w:val="18"/>
          <w:szCs w:val="18"/>
          <w:rtl/>
        </w:rPr>
        <w:t xml:space="preserve"> </w:t>
      </w:r>
      <w:r w:rsidRPr="00464BF9">
        <w:rPr>
          <w:rFonts w:hint="eastAsia"/>
          <w:sz w:val="18"/>
          <w:szCs w:val="18"/>
          <w:rtl/>
        </w:rPr>
        <w:t>לרשות</w:t>
      </w:r>
      <w:r w:rsidRPr="00464BF9">
        <w:rPr>
          <w:sz w:val="18"/>
          <w:szCs w:val="18"/>
          <w:rtl/>
        </w:rPr>
        <w:t xml:space="preserve"> </w:t>
      </w:r>
      <w:r w:rsidRPr="00464BF9">
        <w:rPr>
          <w:rFonts w:hint="eastAsia"/>
          <w:sz w:val="18"/>
          <w:szCs w:val="18"/>
          <w:rtl/>
        </w:rPr>
        <w:t>התקשוב</w:t>
      </w:r>
      <w:r w:rsidRPr="00464BF9">
        <w:rPr>
          <w:sz w:val="18"/>
          <w:szCs w:val="18"/>
          <w:rtl/>
        </w:rPr>
        <w:t xml:space="preserve"> </w:t>
      </w:r>
      <w:r w:rsidRPr="00464BF9">
        <w:rPr>
          <w:rFonts w:hint="eastAsia"/>
          <w:sz w:val="18"/>
          <w:szCs w:val="18"/>
          <w:rtl/>
        </w:rPr>
        <w:t>נתונים</w:t>
      </w:r>
      <w:r w:rsidRPr="00464BF9">
        <w:rPr>
          <w:sz w:val="18"/>
          <w:szCs w:val="18"/>
          <w:rtl/>
        </w:rPr>
        <w:t xml:space="preserve"> על מספר השירותים שהופחתה בהם הדרישה למסור מידע </w:t>
      </w:r>
      <w:r w:rsidRPr="00464BF9">
        <w:rPr>
          <w:rFonts w:hint="eastAsia"/>
          <w:sz w:val="18"/>
          <w:szCs w:val="18"/>
          <w:rtl/>
        </w:rPr>
        <w:t>באותה</w:t>
      </w:r>
      <w:r w:rsidRPr="00464BF9">
        <w:rPr>
          <w:sz w:val="18"/>
          <w:szCs w:val="18"/>
          <w:rtl/>
        </w:rPr>
        <w:t xml:space="preserve"> </w:t>
      </w:r>
      <w:r w:rsidRPr="00464BF9">
        <w:rPr>
          <w:rFonts w:hint="eastAsia"/>
          <w:sz w:val="18"/>
          <w:szCs w:val="18"/>
          <w:rtl/>
        </w:rPr>
        <w:t>שנה</w:t>
      </w:r>
      <w:r w:rsidRPr="00464BF9">
        <w:rPr>
          <w:sz w:val="18"/>
          <w:szCs w:val="18"/>
          <w:rtl/>
        </w:rPr>
        <w:t xml:space="preserve">, ושמונה </w:t>
      </w:r>
      <w:r w:rsidRPr="00464BF9">
        <w:rPr>
          <w:rFonts w:hint="eastAsia"/>
          <w:sz w:val="18"/>
          <w:szCs w:val="18"/>
          <w:rtl/>
        </w:rPr>
        <w:t>מהמשרדים</w:t>
      </w:r>
      <w:r w:rsidRPr="00464BF9">
        <w:rPr>
          <w:sz w:val="18"/>
          <w:szCs w:val="18"/>
          <w:rtl/>
        </w:rPr>
        <w:t xml:space="preserve"> (23%)</w:t>
      </w:r>
      <w:r w:rsidRPr="00464BF9">
        <w:rPr>
          <w:rFonts w:hint="cs"/>
          <w:sz w:val="18"/>
          <w:szCs w:val="18"/>
          <w:rtl/>
        </w:rPr>
        <w:t xml:space="preserve"> ציינו באילו שירותים מדובר.</w:t>
      </w:r>
    </w:p>
    <w:p w14:paraId="5BAA71B1"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cs"/>
          <w:b/>
          <w:bCs/>
          <w:sz w:val="18"/>
          <w:szCs w:val="18"/>
          <w:rtl/>
        </w:rPr>
        <w:t xml:space="preserve">הצבת יעדים להעברת מידע בשנת 2019: </w:t>
      </w:r>
      <w:r w:rsidRPr="00464BF9">
        <w:rPr>
          <w:rFonts w:hint="cs"/>
          <w:sz w:val="18"/>
          <w:szCs w:val="18"/>
          <w:rtl/>
        </w:rPr>
        <w:t xml:space="preserve">תשעה (30%) מבין 30 משרדים שהציבו בתוכנית העבודה שלהם לשנת 2019 יעדים ליישום מדיניות פעם אחת דיווחו על יישום מתוכנן בחמישה שירותים דיגיטליים חדשים </w:t>
      </w:r>
      <w:r w:rsidRPr="00464BF9">
        <w:rPr>
          <w:rFonts w:hint="eastAsia"/>
          <w:sz w:val="18"/>
          <w:szCs w:val="18"/>
          <w:rtl/>
        </w:rPr>
        <w:t>או</w:t>
      </w:r>
      <w:r w:rsidRPr="00464BF9">
        <w:rPr>
          <w:sz w:val="18"/>
          <w:szCs w:val="18"/>
          <w:rtl/>
        </w:rPr>
        <w:t xml:space="preserve"> </w:t>
      </w:r>
      <w:r w:rsidRPr="00464BF9">
        <w:rPr>
          <w:rFonts w:hint="eastAsia"/>
          <w:sz w:val="18"/>
          <w:szCs w:val="18"/>
          <w:rtl/>
        </w:rPr>
        <w:t>יותר</w:t>
      </w:r>
      <w:r w:rsidRPr="00464BF9">
        <w:rPr>
          <w:sz w:val="18"/>
          <w:szCs w:val="18"/>
          <w:rtl/>
        </w:rPr>
        <w:t xml:space="preserve">, </w:t>
      </w:r>
      <w:r w:rsidRPr="00464BF9">
        <w:rPr>
          <w:rFonts w:hint="eastAsia"/>
          <w:sz w:val="18"/>
          <w:szCs w:val="18"/>
          <w:rtl/>
        </w:rPr>
        <w:t>כנדרש</w:t>
      </w:r>
      <w:r w:rsidRPr="00464BF9">
        <w:rPr>
          <w:sz w:val="18"/>
          <w:szCs w:val="18"/>
          <w:rtl/>
        </w:rPr>
        <w:t xml:space="preserve"> בהנחיות רשות התקשוב. </w:t>
      </w:r>
    </w:p>
    <w:p w14:paraId="34D86EA4"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מערכת</w:t>
      </w:r>
      <w:r w:rsidRPr="00464BF9">
        <w:rPr>
          <w:b/>
          <w:bCs/>
          <w:sz w:val="18"/>
          <w:szCs w:val="18"/>
          <w:rtl/>
        </w:rPr>
        <w:t xml:space="preserve"> מחשוב </w:t>
      </w:r>
      <w:r w:rsidRPr="00464BF9">
        <w:rPr>
          <w:rFonts w:hint="eastAsia"/>
          <w:b/>
          <w:bCs/>
          <w:sz w:val="18"/>
          <w:szCs w:val="18"/>
          <w:rtl/>
        </w:rPr>
        <w:t>לניהול</w:t>
      </w:r>
      <w:r w:rsidRPr="00464BF9">
        <w:rPr>
          <w:b/>
          <w:bCs/>
          <w:sz w:val="18"/>
          <w:szCs w:val="18"/>
          <w:rtl/>
        </w:rPr>
        <w:t xml:space="preserve"> עבודת הוועדות להעברת מידע</w:t>
      </w:r>
      <w:r w:rsidRPr="00464BF9">
        <w:rPr>
          <w:rStyle w:val="FootnoteReference"/>
          <w:b/>
          <w:bCs/>
          <w:sz w:val="18"/>
          <w:szCs w:val="18"/>
          <w:rtl/>
        </w:rPr>
        <w:footnoteReference w:id="4"/>
      </w:r>
      <w:r w:rsidRPr="00464BF9">
        <w:rPr>
          <w:rFonts w:hint="cs"/>
          <w:b/>
          <w:bCs/>
          <w:sz w:val="18"/>
          <w:szCs w:val="18"/>
          <w:rtl/>
        </w:rPr>
        <w:t xml:space="preserve"> (מוע"ד):</w:t>
      </w:r>
      <w:r w:rsidRPr="00464BF9">
        <w:rPr>
          <w:rFonts w:hint="cs"/>
          <w:sz w:val="18"/>
          <w:szCs w:val="18"/>
          <w:rtl/>
        </w:rPr>
        <w:t xml:space="preserve"> המערכת נועדה לייעל את תהליך העברת המידע בין גופים ציבוריים. נמצא כי בין הגופים שטרם התחברו למערכת היו כאלו שטיפלו בבקשות רבות להעברת מידע</w:t>
      </w:r>
      <w:r w:rsidRPr="00464BF9">
        <w:rPr>
          <w:sz w:val="18"/>
          <w:szCs w:val="18"/>
          <w:rtl/>
        </w:rPr>
        <w:t xml:space="preserve"> </w:t>
      </w:r>
      <w:r w:rsidRPr="00464BF9">
        <w:rPr>
          <w:rFonts w:hint="cs"/>
          <w:sz w:val="18"/>
          <w:szCs w:val="18"/>
          <w:rtl/>
        </w:rPr>
        <w:t xml:space="preserve">בשנת 2019, ובהם </w:t>
      </w:r>
      <w:r w:rsidRPr="00464BF9">
        <w:rPr>
          <w:sz w:val="18"/>
          <w:szCs w:val="18"/>
          <w:rtl/>
        </w:rPr>
        <w:t xml:space="preserve">משרד </w:t>
      </w:r>
      <w:r w:rsidRPr="00464BF9">
        <w:rPr>
          <w:sz w:val="18"/>
          <w:szCs w:val="18"/>
          <w:rtl/>
        </w:rPr>
        <w:lastRenderedPageBreak/>
        <w:t>הבריאות</w:t>
      </w:r>
      <w:r w:rsidRPr="00464BF9">
        <w:rPr>
          <w:rFonts w:hint="cs"/>
          <w:sz w:val="18"/>
          <w:szCs w:val="18"/>
          <w:rtl/>
        </w:rPr>
        <w:t xml:space="preserve"> (43 בקשות)</w:t>
      </w:r>
      <w:r w:rsidRPr="00464BF9">
        <w:rPr>
          <w:sz w:val="18"/>
          <w:szCs w:val="18"/>
          <w:rtl/>
        </w:rPr>
        <w:t xml:space="preserve">, </w:t>
      </w:r>
      <w:r w:rsidRPr="00464BF9">
        <w:rPr>
          <w:rFonts w:hint="cs"/>
          <w:sz w:val="18"/>
          <w:szCs w:val="18"/>
          <w:rtl/>
        </w:rPr>
        <w:t xml:space="preserve">הביטוח הלאומי, </w:t>
      </w:r>
      <w:r w:rsidRPr="00464BF9">
        <w:rPr>
          <w:sz w:val="18"/>
          <w:szCs w:val="18"/>
          <w:rtl/>
        </w:rPr>
        <w:t>משרד הביטחון (40 בקשות) ורשות המסים (13 בקשות).</w:t>
      </w:r>
    </w:p>
    <w:p w14:paraId="6E194D29"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זמן</w:t>
      </w:r>
      <w:r w:rsidRPr="00464BF9">
        <w:rPr>
          <w:b/>
          <w:bCs/>
          <w:sz w:val="18"/>
          <w:szCs w:val="18"/>
          <w:rtl/>
        </w:rPr>
        <w:t xml:space="preserve"> הטיפול בבקשות במערכת </w:t>
      </w:r>
      <w:r w:rsidRPr="00464BF9">
        <w:rPr>
          <w:rFonts w:hint="eastAsia"/>
          <w:b/>
          <w:bCs/>
          <w:sz w:val="18"/>
          <w:szCs w:val="18"/>
          <w:rtl/>
        </w:rPr>
        <w:t>מוע</w:t>
      </w:r>
      <w:r w:rsidRPr="00464BF9">
        <w:rPr>
          <w:b/>
          <w:bCs/>
          <w:sz w:val="18"/>
          <w:szCs w:val="18"/>
          <w:rtl/>
        </w:rPr>
        <w:t>"ד:</w:t>
      </w:r>
      <w:r w:rsidRPr="00464BF9">
        <w:rPr>
          <w:sz w:val="18"/>
          <w:szCs w:val="18"/>
          <w:rtl/>
        </w:rPr>
        <w:t xml:space="preserve"> בשנת 2019 היה זמן הטיפול הממוצע יותר מחצי שנה (191.7 ימים), ובשנת 2020 - יותר משלושה חודשים (97.8 ימים). זאת </w:t>
      </w:r>
      <w:r w:rsidRPr="00464BF9">
        <w:rPr>
          <w:rFonts w:hint="eastAsia"/>
          <w:sz w:val="18"/>
          <w:szCs w:val="18"/>
          <w:rtl/>
        </w:rPr>
        <w:t>אף</w:t>
      </w:r>
      <w:r w:rsidRPr="00464BF9">
        <w:rPr>
          <w:sz w:val="18"/>
          <w:szCs w:val="18"/>
          <w:rtl/>
        </w:rPr>
        <w:t xml:space="preserve"> שתהליך מהיר של העברת מידע </w:t>
      </w:r>
      <w:r w:rsidRPr="00464BF9">
        <w:rPr>
          <w:rFonts w:hint="eastAsia"/>
          <w:sz w:val="18"/>
          <w:szCs w:val="18"/>
          <w:rtl/>
        </w:rPr>
        <w:t>בין</w:t>
      </w:r>
      <w:r w:rsidRPr="00464BF9">
        <w:rPr>
          <w:sz w:val="18"/>
          <w:szCs w:val="18"/>
          <w:rtl/>
        </w:rPr>
        <w:t xml:space="preserve"> </w:t>
      </w:r>
      <w:r w:rsidRPr="00464BF9">
        <w:rPr>
          <w:rFonts w:hint="eastAsia"/>
          <w:sz w:val="18"/>
          <w:szCs w:val="18"/>
          <w:rtl/>
        </w:rPr>
        <w:t>גופי</w:t>
      </w:r>
      <w:r w:rsidRPr="00464BF9">
        <w:rPr>
          <w:sz w:val="18"/>
          <w:szCs w:val="18"/>
          <w:rtl/>
        </w:rPr>
        <w:t xml:space="preserve"> ממשל</w:t>
      </w:r>
      <w:r w:rsidRPr="00464BF9">
        <w:rPr>
          <w:rFonts w:hint="eastAsia"/>
          <w:sz w:val="18"/>
          <w:szCs w:val="18"/>
          <w:rtl/>
        </w:rPr>
        <w:t>ה</w:t>
      </w:r>
      <w:r w:rsidRPr="00464BF9">
        <w:rPr>
          <w:sz w:val="18"/>
          <w:szCs w:val="18"/>
          <w:rtl/>
        </w:rPr>
        <w:t xml:space="preserve"> </w:t>
      </w:r>
      <w:r w:rsidRPr="00464BF9">
        <w:rPr>
          <w:rFonts w:hint="eastAsia"/>
          <w:sz w:val="18"/>
          <w:szCs w:val="18"/>
          <w:rtl/>
        </w:rPr>
        <w:t>הוא</w:t>
      </w:r>
      <w:r w:rsidRPr="00464BF9">
        <w:rPr>
          <w:sz w:val="18"/>
          <w:szCs w:val="18"/>
          <w:rtl/>
        </w:rPr>
        <w:t xml:space="preserve"> </w:t>
      </w:r>
      <w:r w:rsidRPr="00464BF9">
        <w:rPr>
          <w:rFonts w:hint="eastAsia"/>
          <w:sz w:val="18"/>
          <w:szCs w:val="18"/>
          <w:rtl/>
        </w:rPr>
        <w:t>תנאי</w:t>
      </w:r>
      <w:r w:rsidRPr="00464BF9">
        <w:rPr>
          <w:sz w:val="18"/>
          <w:szCs w:val="18"/>
          <w:rtl/>
        </w:rPr>
        <w:t xml:space="preserve"> </w:t>
      </w:r>
      <w:r w:rsidRPr="00464BF9">
        <w:rPr>
          <w:rFonts w:hint="eastAsia"/>
          <w:sz w:val="18"/>
          <w:szCs w:val="18"/>
          <w:rtl/>
        </w:rPr>
        <w:t>הכרחי</w:t>
      </w:r>
      <w:r w:rsidRPr="00464BF9">
        <w:rPr>
          <w:sz w:val="18"/>
          <w:szCs w:val="18"/>
          <w:rtl/>
        </w:rPr>
        <w:t xml:space="preserve"> </w:t>
      </w:r>
      <w:r w:rsidRPr="00464BF9">
        <w:rPr>
          <w:rFonts w:hint="eastAsia"/>
          <w:sz w:val="18"/>
          <w:szCs w:val="18"/>
          <w:rtl/>
        </w:rPr>
        <w:t>לשיפור</w:t>
      </w:r>
      <w:r w:rsidRPr="00464BF9">
        <w:rPr>
          <w:sz w:val="18"/>
          <w:szCs w:val="18"/>
          <w:rtl/>
        </w:rPr>
        <w:t xml:space="preserve"> </w:t>
      </w:r>
      <w:r w:rsidRPr="00464BF9">
        <w:rPr>
          <w:rFonts w:hint="eastAsia"/>
          <w:sz w:val="18"/>
          <w:szCs w:val="18"/>
          <w:rtl/>
        </w:rPr>
        <w:t>תהליכי</w:t>
      </w:r>
      <w:r w:rsidRPr="00464BF9">
        <w:rPr>
          <w:sz w:val="18"/>
          <w:szCs w:val="18"/>
          <w:rtl/>
        </w:rPr>
        <w:t xml:space="preserve"> </w:t>
      </w:r>
      <w:r w:rsidRPr="00464BF9">
        <w:rPr>
          <w:rFonts w:hint="eastAsia"/>
          <w:sz w:val="18"/>
          <w:szCs w:val="18"/>
          <w:rtl/>
        </w:rPr>
        <w:t>שירות</w:t>
      </w:r>
      <w:r w:rsidRPr="00464BF9">
        <w:rPr>
          <w:sz w:val="18"/>
          <w:szCs w:val="18"/>
          <w:rtl/>
        </w:rPr>
        <w:t xml:space="preserve"> </w:t>
      </w:r>
      <w:r w:rsidRPr="00464BF9">
        <w:rPr>
          <w:rFonts w:hint="eastAsia"/>
          <w:sz w:val="18"/>
          <w:szCs w:val="18"/>
          <w:rtl/>
        </w:rPr>
        <w:t>בכלל</w:t>
      </w:r>
      <w:r w:rsidRPr="00464BF9">
        <w:rPr>
          <w:sz w:val="18"/>
          <w:szCs w:val="18"/>
          <w:rtl/>
        </w:rPr>
        <w:t xml:space="preserve">, </w:t>
      </w:r>
      <w:r w:rsidRPr="00464BF9">
        <w:rPr>
          <w:rFonts w:hint="eastAsia"/>
          <w:sz w:val="18"/>
          <w:szCs w:val="18"/>
          <w:rtl/>
        </w:rPr>
        <w:t>וליישום</w:t>
      </w:r>
      <w:r w:rsidRPr="00464BF9">
        <w:rPr>
          <w:sz w:val="18"/>
          <w:szCs w:val="18"/>
          <w:rtl/>
        </w:rPr>
        <w:t xml:space="preserve"> מדיניות פעם אחת בפרט. </w:t>
      </w:r>
    </w:p>
    <w:p w14:paraId="5BB217F4"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נוהל</w:t>
      </w:r>
      <w:r w:rsidRPr="00464BF9">
        <w:rPr>
          <w:b/>
          <w:bCs/>
          <w:sz w:val="18"/>
          <w:szCs w:val="18"/>
          <w:rtl/>
        </w:rPr>
        <w:t xml:space="preserve"> </w:t>
      </w:r>
      <w:r w:rsidRPr="00464BF9">
        <w:rPr>
          <w:rFonts w:hint="eastAsia"/>
          <w:b/>
          <w:bCs/>
          <w:sz w:val="18"/>
          <w:szCs w:val="18"/>
          <w:rtl/>
        </w:rPr>
        <w:t>העבודה</w:t>
      </w:r>
      <w:r w:rsidRPr="00464BF9">
        <w:rPr>
          <w:b/>
          <w:bCs/>
          <w:sz w:val="18"/>
          <w:szCs w:val="18"/>
          <w:rtl/>
        </w:rPr>
        <w:t xml:space="preserve"> </w:t>
      </w:r>
      <w:r w:rsidRPr="00464BF9">
        <w:rPr>
          <w:rFonts w:hint="eastAsia"/>
          <w:b/>
          <w:bCs/>
          <w:sz w:val="18"/>
          <w:szCs w:val="18"/>
          <w:rtl/>
        </w:rPr>
        <w:t>של</w:t>
      </w:r>
      <w:r w:rsidRPr="00464BF9">
        <w:rPr>
          <w:b/>
          <w:bCs/>
          <w:sz w:val="18"/>
          <w:szCs w:val="18"/>
          <w:rtl/>
        </w:rPr>
        <w:t xml:space="preserve"> </w:t>
      </w:r>
      <w:r w:rsidRPr="00464BF9">
        <w:rPr>
          <w:rFonts w:hint="eastAsia"/>
          <w:b/>
          <w:bCs/>
          <w:sz w:val="18"/>
          <w:szCs w:val="18"/>
          <w:rtl/>
        </w:rPr>
        <w:t>הוועדות</w:t>
      </w:r>
      <w:r w:rsidRPr="00464BF9">
        <w:rPr>
          <w:b/>
          <w:bCs/>
          <w:sz w:val="18"/>
          <w:szCs w:val="18"/>
          <w:rtl/>
        </w:rPr>
        <w:t xml:space="preserve"> </w:t>
      </w:r>
      <w:r w:rsidRPr="00464BF9">
        <w:rPr>
          <w:rFonts w:hint="eastAsia"/>
          <w:b/>
          <w:bCs/>
          <w:sz w:val="18"/>
          <w:szCs w:val="18"/>
          <w:rtl/>
        </w:rPr>
        <w:t>להעברת</w:t>
      </w:r>
      <w:r w:rsidRPr="00464BF9">
        <w:rPr>
          <w:b/>
          <w:bCs/>
          <w:sz w:val="18"/>
          <w:szCs w:val="18"/>
          <w:rtl/>
        </w:rPr>
        <w:t xml:space="preserve"> </w:t>
      </w:r>
      <w:r w:rsidRPr="00464BF9">
        <w:rPr>
          <w:rFonts w:hint="eastAsia"/>
          <w:b/>
          <w:bCs/>
          <w:sz w:val="18"/>
          <w:szCs w:val="18"/>
          <w:rtl/>
        </w:rPr>
        <w:t>מידע</w:t>
      </w:r>
      <w:r w:rsidRPr="00464BF9">
        <w:rPr>
          <w:b/>
          <w:bCs/>
          <w:sz w:val="18"/>
          <w:szCs w:val="18"/>
          <w:rtl/>
        </w:rPr>
        <w:t>:</w:t>
      </w:r>
      <w:r w:rsidRPr="00464BF9">
        <w:rPr>
          <w:sz w:val="18"/>
          <w:szCs w:val="18"/>
          <w:rtl/>
        </w:rPr>
        <w:t xml:space="preserve"> בנוהל לא נקבעה תדירות התכנסות הוועדות, אף שתדירות התכנסות נמוכה הייתה אחד הגורמים לעיכוב בטיפול בבקשות להעברת מידע. </w:t>
      </w:r>
      <w:r w:rsidRPr="00464BF9">
        <w:rPr>
          <w:rFonts w:hint="eastAsia"/>
          <w:sz w:val="18"/>
          <w:szCs w:val="18"/>
          <w:rtl/>
        </w:rPr>
        <w:t>כמו</w:t>
      </w:r>
      <w:r w:rsidRPr="00464BF9">
        <w:rPr>
          <w:sz w:val="18"/>
          <w:szCs w:val="18"/>
          <w:rtl/>
        </w:rPr>
        <w:t xml:space="preserve"> </w:t>
      </w:r>
      <w:r w:rsidRPr="00464BF9">
        <w:rPr>
          <w:rFonts w:hint="eastAsia"/>
          <w:sz w:val="18"/>
          <w:szCs w:val="18"/>
          <w:rtl/>
        </w:rPr>
        <w:t>כן</w:t>
      </w:r>
      <w:r w:rsidRPr="00464BF9">
        <w:rPr>
          <w:sz w:val="18"/>
          <w:szCs w:val="18"/>
          <w:rtl/>
        </w:rPr>
        <w:t xml:space="preserve">, </w:t>
      </w:r>
      <w:r w:rsidRPr="00464BF9">
        <w:rPr>
          <w:rFonts w:hint="eastAsia"/>
          <w:sz w:val="18"/>
          <w:szCs w:val="18"/>
          <w:rtl/>
        </w:rPr>
        <w:t>תקנות</w:t>
      </w:r>
      <w:r w:rsidRPr="00464BF9">
        <w:rPr>
          <w:sz w:val="18"/>
          <w:szCs w:val="18"/>
          <w:rtl/>
        </w:rPr>
        <w:t xml:space="preserve"> הגנת הפרטיות טרם תוקנו </w:t>
      </w:r>
      <w:r w:rsidRPr="00464BF9">
        <w:rPr>
          <w:rFonts w:hint="eastAsia"/>
          <w:sz w:val="18"/>
          <w:szCs w:val="18"/>
          <w:rtl/>
        </w:rPr>
        <w:t>באופן</w:t>
      </w:r>
      <w:r w:rsidRPr="00464BF9">
        <w:rPr>
          <w:sz w:val="18"/>
          <w:szCs w:val="18"/>
          <w:rtl/>
        </w:rPr>
        <w:t xml:space="preserve"> שישקפו </w:t>
      </w:r>
      <w:r w:rsidRPr="00464BF9">
        <w:rPr>
          <w:rFonts w:hint="eastAsia"/>
          <w:sz w:val="18"/>
          <w:szCs w:val="18"/>
          <w:rtl/>
        </w:rPr>
        <w:t>את</w:t>
      </w:r>
      <w:r w:rsidRPr="00464BF9">
        <w:rPr>
          <w:sz w:val="18"/>
          <w:szCs w:val="18"/>
          <w:rtl/>
        </w:rPr>
        <w:t xml:space="preserve"> הוראות </w:t>
      </w:r>
      <w:r w:rsidRPr="00464BF9">
        <w:rPr>
          <w:rFonts w:hint="eastAsia"/>
          <w:sz w:val="18"/>
          <w:szCs w:val="18"/>
          <w:rtl/>
        </w:rPr>
        <w:t>הנוהל</w:t>
      </w:r>
      <w:r w:rsidRPr="00464BF9">
        <w:rPr>
          <w:sz w:val="18"/>
          <w:szCs w:val="18"/>
          <w:rtl/>
        </w:rPr>
        <w:t xml:space="preserve"> </w:t>
      </w:r>
      <w:r w:rsidRPr="00464BF9">
        <w:rPr>
          <w:rFonts w:hint="eastAsia"/>
          <w:sz w:val="18"/>
          <w:szCs w:val="18"/>
          <w:rtl/>
        </w:rPr>
        <w:t>בנוגע</w:t>
      </w:r>
      <w:r w:rsidRPr="00464BF9">
        <w:rPr>
          <w:sz w:val="18"/>
          <w:szCs w:val="18"/>
          <w:rtl/>
        </w:rPr>
        <w:t xml:space="preserve"> </w:t>
      </w:r>
      <w:r w:rsidRPr="00464BF9">
        <w:rPr>
          <w:rFonts w:hint="eastAsia"/>
          <w:sz w:val="18"/>
          <w:szCs w:val="18"/>
          <w:rtl/>
        </w:rPr>
        <w:t>לעבודת</w:t>
      </w:r>
      <w:r w:rsidRPr="00464BF9">
        <w:rPr>
          <w:sz w:val="18"/>
          <w:szCs w:val="18"/>
          <w:rtl/>
        </w:rPr>
        <w:t xml:space="preserve"> </w:t>
      </w:r>
      <w:r w:rsidRPr="00464BF9">
        <w:rPr>
          <w:rFonts w:hint="eastAsia"/>
          <w:sz w:val="18"/>
          <w:szCs w:val="18"/>
          <w:rtl/>
        </w:rPr>
        <w:t>הוועדות</w:t>
      </w:r>
      <w:r w:rsidRPr="00464BF9">
        <w:rPr>
          <w:sz w:val="18"/>
          <w:szCs w:val="18"/>
          <w:rtl/>
        </w:rPr>
        <w:t xml:space="preserve">, </w:t>
      </w:r>
      <w:r w:rsidRPr="00464BF9">
        <w:rPr>
          <w:rFonts w:hint="eastAsia"/>
          <w:sz w:val="18"/>
          <w:szCs w:val="18"/>
          <w:rtl/>
        </w:rPr>
        <w:t>כפי</w:t>
      </w:r>
      <w:r w:rsidRPr="00464BF9">
        <w:rPr>
          <w:sz w:val="18"/>
          <w:szCs w:val="18"/>
          <w:rtl/>
        </w:rPr>
        <w:t xml:space="preserve"> </w:t>
      </w:r>
      <w:r w:rsidRPr="00464BF9">
        <w:rPr>
          <w:rFonts w:hint="eastAsia"/>
          <w:sz w:val="18"/>
          <w:szCs w:val="18"/>
          <w:rtl/>
        </w:rPr>
        <w:t>שנקבע</w:t>
      </w:r>
      <w:r w:rsidRPr="00464BF9">
        <w:rPr>
          <w:sz w:val="18"/>
          <w:szCs w:val="18"/>
          <w:rtl/>
        </w:rPr>
        <w:t xml:space="preserve"> </w:t>
      </w:r>
      <w:r w:rsidRPr="00464BF9">
        <w:rPr>
          <w:rFonts w:hint="eastAsia"/>
          <w:sz w:val="18"/>
          <w:szCs w:val="18"/>
          <w:rtl/>
        </w:rPr>
        <w:t>בהחלטת</w:t>
      </w:r>
      <w:r w:rsidRPr="00464BF9">
        <w:rPr>
          <w:sz w:val="18"/>
          <w:szCs w:val="18"/>
          <w:rtl/>
        </w:rPr>
        <w:t xml:space="preserve"> </w:t>
      </w:r>
      <w:r w:rsidRPr="00464BF9">
        <w:rPr>
          <w:rFonts w:hint="eastAsia"/>
          <w:sz w:val="18"/>
          <w:szCs w:val="18"/>
          <w:rtl/>
        </w:rPr>
        <w:t>הממשלה</w:t>
      </w:r>
      <w:r w:rsidRPr="00464BF9">
        <w:rPr>
          <w:sz w:val="18"/>
          <w:szCs w:val="18"/>
          <w:rtl/>
        </w:rPr>
        <w:t xml:space="preserve"> </w:t>
      </w:r>
      <w:r w:rsidRPr="00464BF9">
        <w:rPr>
          <w:rFonts w:hint="eastAsia"/>
          <w:sz w:val="18"/>
          <w:szCs w:val="18"/>
          <w:rtl/>
        </w:rPr>
        <w:t>מ</w:t>
      </w:r>
      <w:r w:rsidRPr="00464BF9">
        <w:rPr>
          <w:rFonts w:hint="cs"/>
          <w:sz w:val="18"/>
          <w:szCs w:val="18"/>
          <w:rtl/>
        </w:rPr>
        <w:t>-</w:t>
      </w:r>
      <w:r w:rsidRPr="00464BF9">
        <w:rPr>
          <w:sz w:val="18"/>
          <w:szCs w:val="18"/>
          <w:rtl/>
        </w:rPr>
        <w:t>2016.</w:t>
      </w:r>
    </w:p>
    <w:p w14:paraId="5A4DC16F" w14:textId="55A873D0"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תשתית</w:t>
      </w:r>
      <w:r w:rsidRPr="00464BF9">
        <w:rPr>
          <w:b/>
          <w:bCs/>
          <w:sz w:val="18"/>
          <w:szCs w:val="18"/>
          <w:rtl/>
        </w:rPr>
        <w:t xml:space="preserve"> </w:t>
      </w:r>
      <w:r w:rsidRPr="00464BF9">
        <w:rPr>
          <w:rFonts w:hint="eastAsia"/>
          <w:b/>
          <w:bCs/>
          <w:sz w:val="18"/>
          <w:szCs w:val="18"/>
          <w:rtl/>
        </w:rPr>
        <w:t>טכנולוגית</w:t>
      </w:r>
      <w:r w:rsidRPr="00464BF9">
        <w:rPr>
          <w:b/>
          <w:bCs/>
          <w:sz w:val="18"/>
          <w:szCs w:val="18"/>
          <w:rtl/>
        </w:rPr>
        <w:t xml:space="preserve"> </w:t>
      </w:r>
      <w:r w:rsidRPr="00464BF9">
        <w:rPr>
          <w:rFonts w:hint="eastAsia"/>
          <w:b/>
          <w:bCs/>
          <w:sz w:val="18"/>
          <w:szCs w:val="18"/>
          <w:rtl/>
        </w:rPr>
        <w:t>מאובטחת</w:t>
      </w:r>
      <w:r w:rsidRPr="00464BF9">
        <w:rPr>
          <w:b/>
          <w:bCs/>
          <w:sz w:val="18"/>
          <w:szCs w:val="18"/>
          <w:rtl/>
        </w:rPr>
        <w:t xml:space="preserve"> </w:t>
      </w:r>
      <w:r w:rsidRPr="00464BF9">
        <w:rPr>
          <w:rFonts w:hint="eastAsia"/>
          <w:b/>
          <w:bCs/>
          <w:sz w:val="18"/>
          <w:szCs w:val="18"/>
          <w:rtl/>
        </w:rPr>
        <w:t>לשיתוף</w:t>
      </w:r>
      <w:r w:rsidRPr="00464BF9">
        <w:rPr>
          <w:b/>
          <w:bCs/>
          <w:sz w:val="18"/>
          <w:szCs w:val="18"/>
          <w:rtl/>
        </w:rPr>
        <w:t xml:space="preserve"> </w:t>
      </w:r>
      <w:r w:rsidRPr="00464BF9">
        <w:rPr>
          <w:rFonts w:hint="eastAsia"/>
          <w:b/>
          <w:bCs/>
          <w:sz w:val="18"/>
          <w:szCs w:val="18"/>
          <w:rtl/>
        </w:rPr>
        <w:t>מידע</w:t>
      </w:r>
      <w:r w:rsidRPr="00464BF9">
        <w:rPr>
          <w:b/>
          <w:bCs/>
          <w:sz w:val="18"/>
          <w:szCs w:val="18"/>
          <w:rtl/>
        </w:rPr>
        <w:t xml:space="preserve"> (שדרת </w:t>
      </w:r>
      <w:r w:rsidRPr="00464BF9">
        <w:rPr>
          <w:rFonts w:hint="eastAsia"/>
          <w:b/>
          <w:bCs/>
          <w:sz w:val="18"/>
          <w:szCs w:val="18"/>
          <w:rtl/>
        </w:rPr>
        <w:t>המידע</w:t>
      </w:r>
      <w:r w:rsidRPr="00464BF9">
        <w:rPr>
          <w:b/>
          <w:bCs/>
          <w:sz w:val="18"/>
          <w:szCs w:val="18"/>
          <w:rtl/>
        </w:rPr>
        <w:t xml:space="preserve"> </w:t>
      </w:r>
      <w:r w:rsidRPr="00464BF9">
        <w:rPr>
          <w:rFonts w:hint="eastAsia"/>
          <w:b/>
          <w:bCs/>
          <w:sz w:val="18"/>
          <w:szCs w:val="18"/>
          <w:rtl/>
        </w:rPr>
        <w:t>הממשלתית</w:t>
      </w:r>
      <w:r w:rsidRPr="00464BF9">
        <w:rPr>
          <w:b/>
          <w:bCs/>
          <w:sz w:val="18"/>
          <w:szCs w:val="18"/>
          <w:rtl/>
        </w:rPr>
        <w:t>):</w:t>
      </w:r>
      <w:r w:rsidRPr="00464BF9">
        <w:rPr>
          <w:sz w:val="18"/>
          <w:szCs w:val="18"/>
          <w:rtl/>
        </w:rPr>
        <w:t xml:space="preserve"> </w:t>
      </w:r>
      <w:r w:rsidR="002E5B76" w:rsidRPr="002E5B76">
        <w:rPr>
          <w:rFonts w:hint="eastAsia"/>
          <w:sz w:val="18"/>
          <w:szCs w:val="18"/>
          <w:rtl/>
        </w:rPr>
        <w:t>בפברואר</w:t>
      </w:r>
      <w:r w:rsidR="002E5B76" w:rsidRPr="002E5B76">
        <w:rPr>
          <w:sz w:val="18"/>
          <w:szCs w:val="18"/>
          <w:rtl/>
        </w:rPr>
        <w:t xml:space="preserve"> 2021 </w:t>
      </w:r>
      <w:r w:rsidR="002E5B76" w:rsidRPr="002E5B76">
        <w:rPr>
          <w:rFonts w:hint="eastAsia"/>
          <w:sz w:val="18"/>
          <w:szCs w:val="18"/>
          <w:rtl/>
        </w:rPr>
        <w:t>עדיין</w:t>
      </w:r>
      <w:r w:rsidR="002E5B76" w:rsidRPr="002E5B76">
        <w:rPr>
          <w:sz w:val="18"/>
          <w:szCs w:val="18"/>
          <w:rtl/>
        </w:rPr>
        <w:t xml:space="preserve"> </w:t>
      </w:r>
      <w:r w:rsidR="002E5B76" w:rsidRPr="002E5B76">
        <w:rPr>
          <w:rFonts w:hint="eastAsia"/>
          <w:sz w:val="18"/>
          <w:szCs w:val="18"/>
          <w:rtl/>
        </w:rPr>
        <w:t>לא</w:t>
      </w:r>
      <w:r w:rsidR="002E5B76" w:rsidRPr="002E5B76">
        <w:rPr>
          <w:sz w:val="18"/>
          <w:szCs w:val="18"/>
          <w:rtl/>
        </w:rPr>
        <w:t xml:space="preserve"> </w:t>
      </w:r>
      <w:r w:rsidR="002E5B76" w:rsidRPr="002E5B76">
        <w:rPr>
          <w:rFonts w:hint="eastAsia"/>
          <w:sz w:val="18"/>
          <w:szCs w:val="18"/>
          <w:rtl/>
        </w:rPr>
        <w:t>הושלמה</w:t>
      </w:r>
      <w:r w:rsidR="002E5B76" w:rsidRPr="002E5B76">
        <w:rPr>
          <w:sz w:val="18"/>
          <w:szCs w:val="18"/>
          <w:rtl/>
        </w:rPr>
        <w:t xml:space="preserve"> </w:t>
      </w:r>
      <w:r w:rsidR="002E5B76" w:rsidRPr="002E5B76">
        <w:rPr>
          <w:rFonts w:hint="eastAsia"/>
          <w:sz w:val="18"/>
          <w:szCs w:val="18"/>
          <w:rtl/>
        </w:rPr>
        <w:t>התקנת</w:t>
      </w:r>
      <w:r w:rsidR="002E5B76" w:rsidRPr="002E5B76">
        <w:rPr>
          <w:sz w:val="18"/>
          <w:szCs w:val="18"/>
          <w:rtl/>
        </w:rPr>
        <w:t xml:space="preserve"> </w:t>
      </w:r>
      <w:r w:rsidR="002E5B76" w:rsidRPr="002E5B76">
        <w:rPr>
          <w:rFonts w:hint="eastAsia"/>
          <w:sz w:val="18"/>
          <w:szCs w:val="18"/>
          <w:rtl/>
        </w:rPr>
        <w:t>שדרת</w:t>
      </w:r>
      <w:r w:rsidR="002E5B76" w:rsidRPr="002E5B76">
        <w:rPr>
          <w:sz w:val="18"/>
          <w:szCs w:val="18"/>
          <w:rtl/>
        </w:rPr>
        <w:t xml:space="preserve"> </w:t>
      </w:r>
      <w:r w:rsidR="002E5B76" w:rsidRPr="002E5B76">
        <w:rPr>
          <w:rFonts w:hint="eastAsia"/>
          <w:sz w:val="18"/>
          <w:szCs w:val="18"/>
          <w:rtl/>
        </w:rPr>
        <w:t>המידע</w:t>
      </w:r>
      <w:r w:rsidR="002E5B76" w:rsidRPr="002E5B76">
        <w:rPr>
          <w:sz w:val="18"/>
          <w:szCs w:val="18"/>
          <w:rtl/>
        </w:rPr>
        <w:t xml:space="preserve"> </w:t>
      </w:r>
      <w:r w:rsidR="002E5B76" w:rsidRPr="002E5B76">
        <w:rPr>
          <w:rFonts w:hint="eastAsia"/>
          <w:sz w:val="18"/>
          <w:szCs w:val="18"/>
          <w:rtl/>
        </w:rPr>
        <w:t>בארבעה</w:t>
      </w:r>
      <w:r w:rsidR="002E5B76" w:rsidRPr="002E5B76">
        <w:rPr>
          <w:sz w:val="18"/>
          <w:szCs w:val="18"/>
          <w:rtl/>
        </w:rPr>
        <w:t xml:space="preserve"> (15%) </w:t>
      </w:r>
      <w:r w:rsidR="002E5B76" w:rsidRPr="002E5B76">
        <w:rPr>
          <w:rFonts w:hint="eastAsia"/>
          <w:sz w:val="18"/>
          <w:szCs w:val="18"/>
          <w:rtl/>
        </w:rPr>
        <w:t>מבין</w:t>
      </w:r>
      <w:r w:rsidR="002E5B76" w:rsidRPr="002E5B76">
        <w:rPr>
          <w:sz w:val="18"/>
          <w:szCs w:val="18"/>
          <w:rtl/>
        </w:rPr>
        <w:t xml:space="preserve"> 26 </w:t>
      </w:r>
      <w:r w:rsidR="002E5B76" w:rsidRPr="002E5B76">
        <w:rPr>
          <w:rFonts w:hint="eastAsia"/>
          <w:sz w:val="18"/>
          <w:szCs w:val="18"/>
          <w:rtl/>
        </w:rPr>
        <w:t>גופים</w:t>
      </w:r>
      <w:r w:rsidR="002E5B76" w:rsidRPr="002E5B76">
        <w:rPr>
          <w:sz w:val="18"/>
          <w:szCs w:val="18"/>
          <w:rtl/>
        </w:rPr>
        <w:t xml:space="preserve"> </w:t>
      </w:r>
      <w:r w:rsidR="002E5B76" w:rsidRPr="002E5B76">
        <w:rPr>
          <w:rFonts w:hint="eastAsia"/>
          <w:sz w:val="18"/>
          <w:szCs w:val="18"/>
          <w:rtl/>
        </w:rPr>
        <w:t>שבהם</w:t>
      </w:r>
      <w:r w:rsidR="002E5B76" w:rsidRPr="002E5B76">
        <w:rPr>
          <w:sz w:val="18"/>
          <w:szCs w:val="18"/>
          <w:rtl/>
        </w:rPr>
        <w:t xml:space="preserve"> </w:t>
      </w:r>
      <w:r w:rsidR="002E5B76" w:rsidRPr="002E5B76">
        <w:rPr>
          <w:rFonts w:hint="eastAsia"/>
          <w:sz w:val="18"/>
          <w:szCs w:val="18"/>
          <w:rtl/>
        </w:rPr>
        <w:t>תוכננה</w:t>
      </w:r>
      <w:r w:rsidR="002E5B76" w:rsidRPr="002E5B76">
        <w:rPr>
          <w:sz w:val="18"/>
          <w:szCs w:val="18"/>
          <w:rtl/>
        </w:rPr>
        <w:t xml:space="preserve"> </w:t>
      </w:r>
      <w:r w:rsidR="002E5B76" w:rsidRPr="002E5B76">
        <w:rPr>
          <w:rFonts w:hint="eastAsia"/>
          <w:sz w:val="18"/>
          <w:szCs w:val="18"/>
          <w:rtl/>
        </w:rPr>
        <w:t>התקנתה</w:t>
      </w:r>
      <w:r w:rsidR="002E5B76" w:rsidRPr="002E5B76">
        <w:rPr>
          <w:sz w:val="18"/>
          <w:szCs w:val="18"/>
          <w:rtl/>
        </w:rPr>
        <w:t xml:space="preserve"> </w:t>
      </w:r>
      <w:r w:rsidR="002E5B76" w:rsidRPr="002E5B76">
        <w:rPr>
          <w:rFonts w:hint="eastAsia"/>
          <w:sz w:val="18"/>
          <w:szCs w:val="18"/>
          <w:rtl/>
        </w:rPr>
        <w:t>לשנת</w:t>
      </w:r>
      <w:r w:rsidR="002E5B76" w:rsidRPr="002E5B76">
        <w:rPr>
          <w:sz w:val="18"/>
          <w:szCs w:val="18"/>
          <w:rtl/>
        </w:rPr>
        <w:t xml:space="preserve"> 2020, </w:t>
      </w:r>
      <w:r w:rsidR="002E5B76" w:rsidRPr="002E5B76">
        <w:rPr>
          <w:rFonts w:hint="eastAsia"/>
          <w:sz w:val="18"/>
          <w:szCs w:val="18"/>
          <w:rtl/>
        </w:rPr>
        <w:t>בין</w:t>
      </w:r>
      <w:r w:rsidR="002E5B76" w:rsidRPr="002E5B76">
        <w:rPr>
          <w:sz w:val="18"/>
          <w:szCs w:val="18"/>
          <w:rtl/>
        </w:rPr>
        <w:t xml:space="preserve"> </w:t>
      </w:r>
      <w:r w:rsidR="002E5B76" w:rsidRPr="002E5B76">
        <w:rPr>
          <w:rFonts w:hint="eastAsia"/>
          <w:sz w:val="18"/>
          <w:szCs w:val="18"/>
          <w:rtl/>
        </w:rPr>
        <w:t>היתר</w:t>
      </w:r>
      <w:r w:rsidR="002E5B76" w:rsidRPr="002E5B76">
        <w:rPr>
          <w:sz w:val="18"/>
          <w:szCs w:val="18"/>
          <w:rtl/>
        </w:rPr>
        <w:t xml:space="preserve"> </w:t>
      </w:r>
      <w:r w:rsidR="002E5B76" w:rsidRPr="002E5B76">
        <w:rPr>
          <w:rFonts w:hint="eastAsia"/>
          <w:sz w:val="18"/>
          <w:szCs w:val="18"/>
          <w:rtl/>
        </w:rPr>
        <w:t>בשל</w:t>
      </w:r>
      <w:r w:rsidR="002E5B76" w:rsidRPr="002E5B76">
        <w:rPr>
          <w:sz w:val="18"/>
          <w:szCs w:val="18"/>
          <w:rtl/>
        </w:rPr>
        <w:t xml:space="preserve"> </w:t>
      </w:r>
      <w:r w:rsidR="002E5B76" w:rsidRPr="002E5B76">
        <w:rPr>
          <w:rFonts w:hint="eastAsia"/>
          <w:sz w:val="18"/>
          <w:szCs w:val="18"/>
          <w:rtl/>
        </w:rPr>
        <w:t>קשיים</w:t>
      </w:r>
      <w:r w:rsidR="002E5B76" w:rsidRPr="002E5B76">
        <w:rPr>
          <w:sz w:val="18"/>
          <w:szCs w:val="18"/>
          <w:rtl/>
        </w:rPr>
        <w:t xml:space="preserve"> </w:t>
      </w:r>
      <w:r w:rsidR="002E5B76" w:rsidRPr="002E5B76">
        <w:rPr>
          <w:rFonts w:hint="eastAsia"/>
          <w:sz w:val="18"/>
          <w:szCs w:val="18"/>
          <w:rtl/>
        </w:rPr>
        <w:t>טכנולוגיים</w:t>
      </w:r>
      <w:r w:rsidR="002E5B76" w:rsidRPr="002E5B76">
        <w:rPr>
          <w:sz w:val="18"/>
          <w:szCs w:val="18"/>
          <w:rtl/>
        </w:rPr>
        <w:t>.</w:t>
      </w:r>
    </w:p>
    <w:p w14:paraId="74029856"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סקר</w:t>
      </w:r>
      <w:r w:rsidRPr="00464BF9">
        <w:rPr>
          <w:b/>
          <w:bCs/>
          <w:sz w:val="18"/>
          <w:szCs w:val="18"/>
          <w:rtl/>
        </w:rPr>
        <w:t xml:space="preserve"> </w:t>
      </w:r>
      <w:r w:rsidRPr="00464BF9">
        <w:rPr>
          <w:rFonts w:hint="eastAsia"/>
          <w:b/>
          <w:bCs/>
          <w:sz w:val="18"/>
          <w:szCs w:val="18"/>
          <w:rtl/>
        </w:rPr>
        <w:t>סיכונים</w:t>
      </w:r>
      <w:r w:rsidRPr="00464BF9">
        <w:rPr>
          <w:b/>
          <w:bCs/>
          <w:sz w:val="18"/>
          <w:szCs w:val="18"/>
          <w:rtl/>
        </w:rPr>
        <w:t>:</w:t>
      </w:r>
      <w:r w:rsidRPr="00464BF9">
        <w:rPr>
          <w:sz w:val="18"/>
          <w:szCs w:val="18"/>
          <w:rtl/>
        </w:rPr>
        <w:t xml:space="preserve"> </w:t>
      </w:r>
      <w:r w:rsidRPr="00464BF9">
        <w:rPr>
          <w:rFonts w:hint="eastAsia"/>
          <w:sz w:val="18"/>
          <w:szCs w:val="18"/>
          <w:rtl/>
        </w:rPr>
        <w:t>אף</w:t>
      </w:r>
      <w:r w:rsidRPr="00464BF9">
        <w:rPr>
          <w:sz w:val="18"/>
          <w:szCs w:val="18"/>
          <w:rtl/>
        </w:rPr>
        <w:t xml:space="preserve"> ששדרת המידע </w:t>
      </w:r>
      <w:r w:rsidRPr="00464BF9">
        <w:rPr>
          <w:rFonts w:hint="eastAsia"/>
          <w:sz w:val="18"/>
          <w:szCs w:val="18"/>
          <w:rtl/>
        </w:rPr>
        <w:t>הוגדרה</w:t>
      </w:r>
      <w:r w:rsidRPr="00464BF9">
        <w:rPr>
          <w:sz w:val="18"/>
          <w:szCs w:val="18"/>
          <w:rtl/>
        </w:rPr>
        <w:t xml:space="preserve"> </w:t>
      </w:r>
      <w:r w:rsidRPr="00464BF9">
        <w:rPr>
          <w:rFonts w:hint="eastAsia"/>
          <w:sz w:val="18"/>
          <w:szCs w:val="18"/>
          <w:rtl/>
        </w:rPr>
        <w:t>תשתית</w:t>
      </w:r>
      <w:r w:rsidRPr="00464BF9">
        <w:rPr>
          <w:sz w:val="18"/>
          <w:szCs w:val="18"/>
          <w:rtl/>
        </w:rPr>
        <w:t xml:space="preserve"> </w:t>
      </w:r>
      <w:r w:rsidRPr="00464BF9">
        <w:rPr>
          <w:rFonts w:hint="eastAsia"/>
          <w:sz w:val="18"/>
          <w:szCs w:val="18"/>
          <w:rtl/>
        </w:rPr>
        <w:t>חיונית</w:t>
      </w:r>
      <w:r w:rsidRPr="00464BF9">
        <w:rPr>
          <w:sz w:val="18"/>
          <w:szCs w:val="18"/>
          <w:rtl/>
        </w:rPr>
        <w:t xml:space="preserve"> </w:t>
      </w:r>
      <w:r w:rsidRPr="00464BF9">
        <w:rPr>
          <w:rFonts w:hint="eastAsia"/>
          <w:sz w:val="18"/>
          <w:szCs w:val="18"/>
          <w:rtl/>
        </w:rPr>
        <w:t>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אבטחת</w:t>
      </w:r>
      <w:r w:rsidRPr="00464BF9">
        <w:rPr>
          <w:sz w:val="18"/>
          <w:szCs w:val="18"/>
          <w:rtl/>
        </w:rPr>
        <w:t xml:space="preserve"> </w:t>
      </w:r>
      <w:r w:rsidRPr="00464BF9">
        <w:rPr>
          <w:rFonts w:hint="eastAsia"/>
          <w:sz w:val="18"/>
          <w:szCs w:val="18"/>
          <w:rtl/>
        </w:rPr>
        <w:t>מידע</w:t>
      </w:r>
      <w:r w:rsidRPr="00464BF9">
        <w:rPr>
          <w:sz w:val="18"/>
          <w:szCs w:val="18"/>
          <w:rtl/>
        </w:rPr>
        <w:t xml:space="preserve"> </w:t>
      </w:r>
      <w:r w:rsidRPr="00464BF9">
        <w:rPr>
          <w:rFonts w:hint="eastAsia"/>
          <w:sz w:val="18"/>
          <w:szCs w:val="18"/>
          <w:rtl/>
        </w:rPr>
        <w:t>והגנת</w:t>
      </w:r>
      <w:r w:rsidRPr="00464BF9">
        <w:rPr>
          <w:sz w:val="18"/>
          <w:szCs w:val="18"/>
          <w:rtl/>
        </w:rPr>
        <w:t xml:space="preserve"> </w:t>
      </w:r>
      <w:r w:rsidRPr="00464BF9">
        <w:rPr>
          <w:rFonts w:hint="eastAsia"/>
          <w:sz w:val="18"/>
          <w:szCs w:val="18"/>
          <w:rtl/>
        </w:rPr>
        <w:t>הסייבר</w:t>
      </w:r>
      <w:r w:rsidRPr="00464BF9">
        <w:rPr>
          <w:sz w:val="18"/>
          <w:szCs w:val="18"/>
          <w:rtl/>
        </w:rPr>
        <w:t xml:space="preserve"> </w:t>
      </w:r>
      <w:r w:rsidRPr="00464BF9">
        <w:rPr>
          <w:rFonts w:hint="eastAsia"/>
          <w:sz w:val="18"/>
          <w:szCs w:val="18"/>
          <w:rtl/>
        </w:rPr>
        <w:t>והן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רציפות</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לאזרח</w:t>
      </w:r>
      <w:r w:rsidRPr="00464BF9">
        <w:rPr>
          <w:sz w:val="18"/>
          <w:szCs w:val="18"/>
          <w:rtl/>
        </w:rPr>
        <w:t xml:space="preserve">, </w:t>
      </w:r>
      <w:r w:rsidRPr="00464BF9">
        <w:rPr>
          <w:rFonts w:hint="eastAsia"/>
          <w:sz w:val="18"/>
          <w:szCs w:val="18"/>
          <w:rtl/>
        </w:rPr>
        <w:t>טרם</w:t>
      </w:r>
      <w:r w:rsidRPr="00464BF9">
        <w:rPr>
          <w:sz w:val="18"/>
          <w:szCs w:val="18"/>
          <w:rtl/>
        </w:rPr>
        <w:t xml:space="preserve"> </w:t>
      </w:r>
      <w:r w:rsidRPr="00464BF9">
        <w:rPr>
          <w:rFonts w:hint="eastAsia"/>
          <w:sz w:val="18"/>
          <w:szCs w:val="18"/>
          <w:rtl/>
        </w:rPr>
        <w:t>הושלם</w:t>
      </w:r>
      <w:r w:rsidRPr="00464BF9">
        <w:rPr>
          <w:sz w:val="18"/>
          <w:szCs w:val="18"/>
          <w:rtl/>
        </w:rPr>
        <w:t xml:space="preserve"> </w:t>
      </w:r>
      <w:r w:rsidRPr="00464BF9">
        <w:rPr>
          <w:rFonts w:hint="eastAsia"/>
          <w:sz w:val="18"/>
          <w:szCs w:val="18"/>
          <w:rtl/>
        </w:rPr>
        <w:t>ביצוע</w:t>
      </w:r>
      <w:r w:rsidRPr="00464BF9">
        <w:rPr>
          <w:sz w:val="18"/>
          <w:szCs w:val="18"/>
          <w:rtl/>
        </w:rPr>
        <w:t xml:space="preserve"> סקר סיכוני</w:t>
      </w:r>
      <w:r w:rsidRPr="00464BF9">
        <w:rPr>
          <w:rFonts w:hint="cs"/>
          <w:sz w:val="18"/>
          <w:szCs w:val="18"/>
          <w:rtl/>
        </w:rPr>
        <w:t xml:space="preserve"> אבטחת מידע</w:t>
      </w:r>
      <w:r w:rsidRPr="00464BF9">
        <w:rPr>
          <w:sz w:val="18"/>
          <w:szCs w:val="18"/>
          <w:rtl/>
        </w:rPr>
        <w:t xml:space="preserve"> למערכת </w:t>
      </w:r>
      <w:r w:rsidRPr="00464BF9">
        <w:rPr>
          <w:rFonts w:hint="eastAsia"/>
          <w:sz w:val="18"/>
          <w:szCs w:val="18"/>
          <w:rtl/>
        </w:rPr>
        <w:t>והכנת</w:t>
      </w:r>
      <w:r w:rsidRPr="00464BF9">
        <w:rPr>
          <w:sz w:val="18"/>
          <w:szCs w:val="18"/>
          <w:rtl/>
        </w:rPr>
        <w:t xml:space="preserve"> </w:t>
      </w:r>
      <w:r w:rsidRPr="00464BF9">
        <w:rPr>
          <w:rFonts w:hint="eastAsia"/>
          <w:sz w:val="18"/>
          <w:szCs w:val="18"/>
          <w:rtl/>
        </w:rPr>
        <w:t>אתר</w:t>
      </w:r>
      <w:r w:rsidRPr="00464BF9">
        <w:rPr>
          <w:sz w:val="18"/>
          <w:szCs w:val="18"/>
          <w:rtl/>
        </w:rPr>
        <w:t xml:space="preserve"> </w:t>
      </w:r>
      <w:r w:rsidRPr="00464BF9">
        <w:rPr>
          <w:rFonts w:hint="eastAsia"/>
          <w:sz w:val="18"/>
          <w:szCs w:val="18"/>
          <w:rtl/>
        </w:rPr>
        <w:t>התאוששות</w:t>
      </w:r>
      <w:r w:rsidRPr="00464BF9">
        <w:rPr>
          <w:sz w:val="18"/>
          <w:szCs w:val="18"/>
          <w:rtl/>
        </w:rPr>
        <w:t xml:space="preserve"> </w:t>
      </w:r>
      <w:r w:rsidRPr="00464BF9">
        <w:rPr>
          <w:rFonts w:hint="eastAsia"/>
          <w:sz w:val="18"/>
          <w:szCs w:val="18"/>
          <w:rtl/>
        </w:rPr>
        <w:t>מאסון</w:t>
      </w:r>
      <w:r w:rsidRPr="00464BF9">
        <w:rPr>
          <w:sz w:val="18"/>
          <w:szCs w:val="18"/>
          <w:rtl/>
        </w:rPr>
        <w:t>.</w:t>
      </w:r>
    </w:p>
    <w:p w14:paraId="0BE615DD" w14:textId="77777777" w:rsidR="002E5B76" w:rsidRPr="006061A9" w:rsidRDefault="002E5B76" w:rsidP="002E5B76">
      <w:pPr>
        <w:pStyle w:val="running-text"/>
        <w:bidi/>
        <w:spacing w:after="180" w:line="260" w:lineRule="exact"/>
        <w:ind w:right="0"/>
        <w:rPr>
          <w:color w:val="0D0D0D" w:themeColor="text1" w:themeTint="F2"/>
          <w:sz w:val="18"/>
          <w:rtl/>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181B229A">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1B5C4BA" w14:textId="5850F481"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יש לראות בחיוב את פעולת רשות התקשוב להנחת הבסיס המתודולוגי למימוש מדיניות פעם אחת בשירותים דיגיטליים, באמצעות השימוש בתשתית הטפסים הממשלתית</w:t>
      </w:r>
      <w:r w:rsidRPr="00B32607">
        <w:rPr>
          <w:color w:val="0D0D0D" w:themeColor="text1" w:themeTint="F2"/>
          <w:sz w:val="18"/>
          <w:rtl/>
        </w:rPr>
        <w:t xml:space="preserve">, </w:t>
      </w:r>
      <w:r w:rsidRPr="00B32607">
        <w:rPr>
          <w:rFonts w:hint="eastAsia"/>
          <w:color w:val="0D0D0D" w:themeColor="text1" w:themeTint="F2"/>
          <w:sz w:val="18"/>
          <w:rtl/>
        </w:rPr>
        <w:t>מערכת</w:t>
      </w:r>
      <w:r w:rsidRPr="00B32607">
        <w:rPr>
          <w:color w:val="0D0D0D" w:themeColor="text1" w:themeTint="F2"/>
          <w:sz w:val="18"/>
          <w:rtl/>
        </w:rPr>
        <w:t xml:space="preserve"> </w:t>
      </w:r>
      <w:r w:rsidRPr="00B32607">
        <w:rPr>
          <w:rFonts w:hint="eastAsia"/>
          <w:color w:val="0D0D0D" w:themeColor="text1" w:themeTint="F2"/>
          <w:sz w:val="18"/>
          <w:rtl/>
        </w:rPr>
        <w:t>ההזדהות</w:t>
      </w:r>
      <w:r w:rsidRPr="00B32607">
        <w:rPr>
          <w:color w:val="0D0D0D" w:themeColor="text1" w:themeTint="F2"/>
          <w:sz w:val="18"/>
          <w:rtl/>
        </w:rPr>
        <w:t xml:space="preserve"> </w:t>
      </w:r>
      <w:r w:rsidRPr="00B32607">
        <w:rPr>
          <w:rFonts w:hint="eastAsia"/>
          <w:color w:val="0D0D0D" w:themeColor="text1" w:themeTint="F2"/>
          <w:sz w:val="18"/>
          <w:rtl/>
        </w:rPr>
        <w:t>הממשלתית</w:t>
      </w:r>
      <w:r w:rsidR="00C71DCE" w:rsidRPr="00C71DCE">
        <w:rPr>
          <w:color w:val="0D0D0D" w:themeColor="text1" w:themeTint="F2"/>
          <w:sz w:val="18"/>
          <w:vertAlign w:val="superscript"/>
          <w:rtl/>
        </w:rPr>
        <w:footnoteReference w:id="5"/>
      </w:r>
      <w:r w:rsidRPr="00B32607">
        <w:rPr>
          <w:rFonts w:hint="cs"/>
          <w:color w:val="0D0D0D" w:themeColor="text1" w:themeTint="F2"/>
          <w:sz w:val="18"/>
          <w:rtl/>
        </w:rPr>
        <w:t xml:space="preserve"> ושדרת המידע. </w:t>
      </w:r>
    </w:p>
    <w:p w14:paraId="6716C5DA" w14:textId="77777777"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פעולתה של רשות התקשוב להקמת מערכת מוע"ד ולצירופם של 39 גופי ממשלה למערכת זו עד אוקטובר 2020 תרמה רבות ליכולת לזהות צווארי בקבוק בתהליך העברת המידע בממשלה, כדי לשפרו.</w:t>
      </w:r>
      <w:r w:rsidRPr="00B32607">
        <w:rPr>
          <w:color w:val="0D0D0D" w:themeColor="text1" w:themeTint="F2"/>
          <w:sz w:val="18"/>
          <w:rtl/>
        </w:rPr>
        <w:t xml:space="preserve"> </w:t>
      </w:r>
    </w:p>
    <w:p w14:paraId="73972062" w14:textId="77777777" w:rsidR="00B32607" w:rsidRPr="006061A9" w:rsidRDefault="00B32607" w:rsidP="00B32607">
      <w:pPr>
        <w:pStyle w:val="running-text"/>
        <w:bidi/>
        <w:spacing w:after="180" w:line="260" w:lineRule="exact"/>
        <w:ind w:right="0"/>
        <w:rPr>
          <w:color w:val="0D0D0D" w:themeColor="text1" w:themeTint="F2"/>
          <w:sz w:val="18"/>
          <w:rtl/>
        </w:rPr>
      </w:pPr>
    </w:p>
    <w:p w14:paraId="5CDB9BF2" w14:textId="77777777" w:rsidR="00DB4D24" w:rsidRDefault="00DB4D24">
      <w:pPr>
        <w:bidi w:val="0"/>
        <w:rPr>
          <w:rFonts w:ascii="Tahoma" w:hAnsi="Tahoma" w:cs="Tahoma"/>
          <w:b/>
          <w:bCs/>
          <w:sz w:val="18"/>
          <w:szCs w:val="18"/>
          <w:rtl/>
        </w:rPr>
      </w:pPr>
      <w:r>
        <w:rPr>
          <w:b/>
          <w:bCs/>
          <w:sz w:val="18"/>
          <w:rtl/>
        </w:rPr>
        <w:br w:type="page"/>
      </w: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2863158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475A26E" w14:textId="419E6F0A"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4EC57E8C" wp14:editId="422A43AB">
            <wp:extent cx="1428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1172EA">
        <w:rPr>
          <w:rFonts w:ascii="Tahoma" w:hAnsi="Tahoma" w:cs="Tahoma"/>
          <w:spacing w:val="-2"/>
          <w:sz w:val="18"/>
          <w:szCs w:val="18"/>
          <w:rtl/>
        </w:rPr>
        <w:t>במטרה לבצע תיקוף כולל ומיטבי של השירותים במיפוי ובקטלוג האחוד</w:t>
      </w:r>
      <w:r w:rsidRPr="001172EA">
        <w:rPr>
          <w:rStyle w:val="FootnoteReference"/>
          <w:rFonts w:ascii="Tahoma" w:hAnsi="Tahoma" w:cs="Tahoma"/>
          <w:spacing w:val="-2"/>
          <w:sz w:val="18"/>
          <w:szCs w:val="18"/>
          <w:rtl/>
        </w:rPr>
        <w:footnoteReference w:id="6"/>
      </w:r>
      <w:r w:rsidRPr="001172EA">
        <w:rPr>
          <w:rFonts w:ascii="Tahoma" w:hAnsi="Tahoma" w:cs="Tahoma"/>
          <w:spacing w:val="-2"/>
          <w:sz w:val="18"/>
          <w:szCs w:val="18"/>
          <w:rtl/>
        </w:rPr>
        <w:t xml:space="preserve"> נדרשת מחויבות</w:t>
      </w:r>
      <w:r w:rsidRPr="00B32607">
        <w:rPr>
          <w:rFonts w:ascii="Tahoma" w:hAnsi="Tahoma" w:cs="Tahoma"/>
          <w:sz w:val="18"/>
          <w:szCs w:val="18"/>
          <w:rtl/>
        </w:rPr>
        <w:t xml:space="preserve"> </w:t>
      </w:r>
      <w:r w:rsidR="001172EA" w:rsidRPr="001172EA">
        <w:rPr>
          <w:rFonts w:ascii="Tahoma" w:hAnsi="Tahoma" w:cs="Tahoma" w:hint="eastAsia"/>
          <w:sz w:val="18"/>
          <w:szCs w:val="18"/>
          <w:rtl/>
        </w:rPr>
        <w:t>גבוהה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לנושא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ושיתוף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פעולה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מלא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שלהם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לקבוע</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לוחות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זמנים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להתקדמות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בפעולות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לתיקוף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השירותים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הממשלתיים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מול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כמו</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כן</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לעקוב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אחר</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מידת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עמידתם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ולדווח</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כך</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לממשלה</w:t>
      </w:r>
      <w:r w:rsidR="001172EA" w:rsidRPr="001172EA">
        <w:rPr>
          <w:rFonts w:ascii="Tahoma" w:hAnsi="Tahoma" w:cs="Tahoma"/>
          <w:sz w:val="18"/>
          <w:szCs w:val="18"/>
          <w:rtl/>
        </w:rPr>
        <w:t>.</w:t>
      </w:r>
    </w:p>
    <w:p w14:paraId="3FE5350C" w14:textId="1F7B9AEE"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50826DA7" wp14:editId="1E7C3EA2">
            <wp:extent cx="142875" cy="16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על המוסד לביטוח הלאומי להמשיך לפעול בשיתוף פעולה עם ישראל דיגיטלית למיפוי השירותים שהוא נותן לציבור, כדי לשקף תמונה רוחבית וכוללת של השירותים הממשלתיים וכדי לקדם מיצוי זכויות. כמו כן, מוצע שרשות התקשוב וישראל דיגיטלית יבחנו את האפשרות לשלב במיפוי גופים ציבוריים נוספים הנותנים שירותים רבים לציבור, כגון רשויות מקומיות, בתי חולים וקופות חולים.</w:t>
      </w:r>
    </w:p>
    <w:p w14:paraId="5730D417" w14:textId="40686C00"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3F35A46" wp14:editId="60914747">
            <wp:extent cx="182880" cy="182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מומלץ שרשות התקשוב ומשרדי הממשלה יבחנו במשותף אילו פעולות נדרשות מהמשרדים כדי ליישם מדיניות פעם אחת בערוצי השירות הטלפוני והפרונטלי. הדבר נדרש בעיקר עבור אוכלוסיות ראויות לקידום, שנזקקות לשירותים רבים ולסיוע במיצוי זכויותיהן, והן אינן משתמשות בערוצי השירות הדיגיטליים.</w:t>
      </w:r>
    </w:p>
    <w:p w14:paraId="0745622E" w14:textId="33127B76"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0104037C" wp14:editId="12AA873A">
            <wp:extent cx="1428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מאחר שמערכת מוע"ד נועדה לייעל את תהליך העברת המידע בממשלה לשם שיפור השירות לציבור, על רשות התקשוב והגופים שטרם התחברו למוע"ד לנקוט את הצעדים הנדרשים לצורך חיבורם למערכת. כמו כן, על רשות התקשוב לבחון, בשיתוף פעולה עם הגופים מבקשי המידע והגופים מחזיקי המידע, דרכים לקיצור זמן הטיפול בכל שלבי הבקשות להעברת מידע, ולהשלים את הפעולות לפיתוח טופס מקוון שיאפשר ממשק עבודה יעיל במוע"ד עם גופים ציבוריים חיצונים.</w:t>
      </w:r>
    </w:p>
    <w:p w14:paraId="0BD440CD" w14:textId="0EE83EDF"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7172AF7" wp14:editId="07276F5F">
            <wp:extent cx="1428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על משרד המשפטים להשלים את נוסח התיקון לתקנות הגנת הפרטיות (תנאי החזקת מידע ושמירתו וסדרי העברת מידע בין גופים ציבוריים), התשמ"ו-1986, בהתאם להחלטת הממשלה משנת 2016, כדי לשקף בתקנות את ההוראות המסדירות את עבודת הוועדות בהתאם לנוהל העבודה שנקבע בהחלטה. זאת לשם קידומו מול שר המשפטים וועדת חוקה חוק ומשפט של הכנסת.</w:t>
      </w:r>
    </w:p>
    <w:p w14:paraId="68C6B3E3" w14:textId="0C9A1AE9"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7EC09CB1" wp14:editId="55893A9A">
            <wp:extent cx="182880" cy="1828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מוצע שרשות התקשוב תבחן את האפשרות להגדלת מעטפת התמיכה בתהליך הטמעת שדרת המידע במשרדים, לרבות תגבור צוותי העבודה מטעמה ומטעם הספק לצורך התקנות והדרכה, וכן תשלים ביצוע סקר סיכוני אבטחת מידע לשדרת המידע והקמת אתר התאוששות מאסון למערכת. כמו כן, על הגופים שנדרשו בהחלטת הממשלה משנת 2020</w:t>
      </w:r>
      <w:r w:rsidRPr="00B32607">
        <w:rPr>
          <w:rStyle w:val="FootnoteReference"/>
          <w:rFonts w:ascii="Tahoma" w:hAnsi="Tahoma" w:cs="Tahoma"/>
          <w:sz w:val="18"/>
          <w:szCs w:val="18"/>
          <w:rtl/>
        </w:rPr>
        <w:footnoteReference w:id="7"/>
      </w:r>
      <w:r w:rsidRPr="00B32607">
        <w:rPr>
          <w:rFonts w:ascii="Tahoma" w:hAnsi="Tahoma" w:cs="Tahoma"/>
          <w:sz w:val="18"/>
          <w:szCs w:val="18"/>
          <w:rtl/>
        </w:rPr>
        <w:t xml:space="preserve"> להחצין מידע בשדרת המידע עד אפריל 2021, וטרם יישמו את המערכת,</w:t>
      </w:r>
      <w:r w:rsidRPr="00B32607">
        <w:rPr>
          <w:rStyle w:val="FootnoteReference"/>
          <w:rFonts w:ascii="Tahoma" w:hAnsi="Tahoma" w:cs="Tahoma"/>
          <w:sz w:val="18"/>
          <w:szCs w:val="18"/>
          <w:rtl/>
        </w:rPr>
        <w:t xml:space="preserve"> </w:t>
      </w:r>
      <w:r w:rsidRPr="00B32607">
        <w:rPr>
          <w:rFonts w:ascii="Tahoma" w:hAnsi="Tahoma" w:cs="Tahoma"/>
          <w:sz w:val="18"/>
          <w:szCs w:val="18"/>
          <w:rtl/>
        </w:rPr>
        <w:t>לשתף פעולה עם רשות התקשוב ולבחון דרכים להשלמת הפעולות הנדרשות בנושא זה.</w:t>
      </w:r>
    </w:p>
    <w:p w14:paraId="529479C6" w14:textId="00221CFD" w:rsidR="00045345" w:rsidRDefault="00045345">
      <w:pPr>
        <w:bidi w:val="0"/>
        <w:rPr>
          <w:rtl/>
        </w:rPr>
      </w:pPr>
      <w:r>
        <w:rPr>
          <w:rtl/>
        </w:rPr>
        <w:br w:type="page"/>
      </w:r>
    </w:p>
    <w:p w14:paraId="37BEC198" w14:textId="52B0974D" w:rsidR="00045345" w:rsidRDefault="00B32607"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8240" behindDoc="1" locked="0" layoutInCell="1" allowOverlap="1" wp14:anchorId="23F04923" wp14:editId="456643D8">
            <wp:simplePos x="0" y="0"/>
            <wp:positionH relativeFrom="column">
              <wp:posOffset>-11430</wp:posOffset>
            </wp:positionH>
            <wp:positionV relativeFrom="paragraph">
              <wp:posOffset>59055</wp:posOffset>
            </wp:positionV>
            <wp:extent cx="4676621" cy="5715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13" cy="572147"/>
                    </a:xfrm>
                    <a:prstGeom prst="rect">
                      <a:avLst/>
                    </a:prstGeom>
                  </pic:spPr>
                </pic:pic>
              </a:graphicData>
            </a:graphic>
            <wp14:sizeRelH relativeFrom="margin">
              <wp14:pctWidth>0</wp14:pctWidth>
            </wp14:sizeRelH>
            <wp14:sizeRelV relativeFrom="margin">
              <wp14:pctHeight>0</wp14:pctHeight>
            </wp14:sizeRelV>
          </wp:anchor>
        </w:drawing>
      </w:r>
    </w:p>
    <w:p w14:paraId="7650940F" w14:textId="67C02DF9" w:rsidR="009A797B" w:rsidRPr="009A797B" w:rsidRDefault="00B32607" w:rsidP="00F80159">
      <w:pPr>
        <w:spacing w:before="120" w:after="0" w:line="240" w:lineRule="atLeast"/>
        <w:ind w:left="170" w:right="113"/>
        <w:jc w:val="both"/>
        <w:rPr>
          <w:rFonts w:ascii="Tahoma" w:hAnsi="Tahoma" w:cs="Tahoma"/>
          <w:b/>
          <w:bCs/>
          <w:color w:val="FFFFFF" w:themeColor="background1"/>
          <w:sz w:val="22"/>
          <w:szCs w:val="22"/>
          <w:rtl/>
        </w:rPr>
      </w:pPr>
      <w:r w:rsidRPr="00B32607">
        <w:rPr>
          <w:rFonts w:ascii="Tahoma" w:hAnsi="Tahoma" w:cs="Tahoma" w:hint="eastAsia"/>
          <w:b/>
          <w:bCs/>
          <w:color w:val="FFFFFF" w:themeColor="background1"/>
          <w:sz w:val="22"/>
          <w:szCs w:val="22"/>
          <w:rtl/>
        </w:rPr>
        <w:t>דוגמאות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לאישורים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שהאזרח</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נדרש</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לספק</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לשם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קבלת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שירותים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ממשלתיים</w:t>
      </w:r>
      <w:r w:rsidRPr="00B32607">
        <w:rPr>
          <w:rFonts w:ascii="Tahoma" w:hAnsi="Tahoma" w:cs="Tahoma"/>
          <w:b/>
          <w:bCs/>
          <w:color w:val="FFFFFF" w:themeColor="background1"/>
          <w:sz w:val="22"/>
          <w:szCs w:val="22"/>
          <w:rtl/>
        </w:rPr>
        <w:t xml:space="preserve"> </w:t>
      </w:r>
    </w:p>
    <w:p w14:paraId="194F96B4" w14:textId="77777777" w:rsidR="00B32607" w:rsidRDefault="00B32607">
      <w:pPr>
        <w:bidi w:val="0"/>
        <w:rPr>
          <w:sz w:val="18"/>
        </w:rPr>
      </w:pPr>
    </w:p>
    <w:p w14:paraId="6694013E" w14:textId="6DADA8AD" w:rsidR="00B32607" w:rsidRDefault="007B1279" w:rsidP="00564717">
      <w:pPr>
        <w:spacing w:line="240" w:lineRule="atLeast"/>
        <w:jc w:val="center"/>
        <w:rPr>
          <w:sz w:val="18"/>
        </w:rPr>
      </w:pPr>
      <w:r>
        <w:rPr>
          <w:noProof/>
          <w:sz w:val="18"/>
        </w:rPr>
        <w:drawing>
          <wp:inline distT="0" distB="0" distL="0" distR="0" wp14:anchorId="3A2CE3AB" wp14:editId="4A9D4FF9">
            <wp:extent cx="4320000" cy="547920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5479200"/>
                    </a:xfrm>
                    <a:prstGeom prst="rect">
                      <a:avLst/>
                    </a:prstGeom>
                  </pic:spPr>
                </pic:pic>
              </a:graphicData>
            </a:graphic>
          </wp:inline>
        </w:drawing>
      </w:r>
    </w:p>
    <w:p w14:paraId="63AA9EDD" w14:textId="77777777" w:rsidR="00564717" w:rsidRDefault="00564717">
      <w:pPr>
        <w:bidi w:val="0"/>
        <w:rPr>
          <w:rtl/>
        </w:rPr>
      </w:pPr>
      <w:r>
        <w:rPr>
          <w:rtl/>
        </w:rPr>
        <w:br w:type="page"/>
      </w:r>
    </w:p>
    <w:p w14:paraId="792B9F41" w14:textId="45AB9CC9" w:rsidR="00B54E31" w:rsidRDefault="00B54E31" w:rsidP="00B54E3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72064" behindDoc="1" locked="0" layoutInCell="1" allowOverlap="1" wp14:anchorId="19896E50" wp14:editId="3EFF2692">
            <wp:simplePos x="0" y="0"/>
            <wp:positionH relativeFrom="column">
              <wp:posOffset>-11430</wp:posOffset>
            </wp:positionH>
            <wp:positionV relativeFrom="paragraph">
              <wp:posOffset>56515</wp:posOffset>
            </wp:positionV>
            <wp:extent cx="4676140" cy="47625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23" cy="476839"/>
                    </a:xfrm>
                    <a:prstGeom prst="rect">
                      <a:avLst/>
                    </a:prstGeom>
                  </pic:spPr>
                </pic:pic>
              </a:graphicData>
            </a:graphic>
            <wp14:sizeRelH relativeFrom="margin">
              <wp14:pctWidth>0</wp14:pctWidth>
            </wp14:sizeRelH>
            <wp14:sizeRelV relativeFrom="margin">
              <wp14:pctHeight>0</wp14:pctHeight>
            </wp14:sizeRelV>
          </wp:anchor>
        </w:drawing>
      </w:r>
    </w:p>
    <w:p w14:paraId="0C21A59A" w14:textId="2EF906CA" w:rsidR="00B54E31" w:rsidRPr="009A797B" w:rsidRDefault="00B54E31" w:rsidP="00B54E31">
      <w:pPr>
        <w:spacing w:before="120" w:after="0" w:line="240" w:lineRule="atLeast"/>
        <w:ind w:left="170" w:right="113"/>
        <w:jc w:val="both"/>
        <w:rPr>
          <w:rFonts w:ascii="Tahoma" w:hAnsi="Tahoma" w:cs="Tahoma"/>
          <w:b/>
          <w:bCs/>
          <w:color w:val="FFFFFF" w:themeColor="background1"/>
          <w:sz w:val="22"/>
          <w:szCs w:val="22"/>
          <w:rtl/>
        </w:rPr>
      </w:pPr>
      <w:r w:rsidRPr="00B54E31">
        <w:rPr>
          <w:rFonts w:ascii="Tahoma" w:hAnsi="Tahoma" w:cs="Tahoma" w:hint="eastAsia"/>
          <w:b/>
          <w:bCs/>
          <w:color w:val="FFFFFF" w:themeColor="background1"/>
          <w:sz w:val="22"/>
          <w:szCs w:val="22"/>
          <w:rtl/>
        </w:rPr>
        <w:t>הפעולות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הנדרשות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להשלמת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היישום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של</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מדיניות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פעם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אחת</w:t>
      </w:r>
    </w:p>
    <w:p w14:paraId="0E03A3FD" w14:textId="77777777" w:rsidR="00B32607" w:rsidRDefault="00B32607" w:rsidP="00B32607">
      <w:pPr>
        <w:bidi w:val="0"/>
        <w:rPr>
          <w:sz w:val="18"/>
        </w:rPr>
      </w:pPr>
    </w:p>
    <w:p w14:paraId="4BED97EC" w14:textId="5625F3FB" w:rsidR="00B32607" w:rsidRDefault="00564717" w:rsidP="00564717">
      <w:pPr>
        <w:spacing w:line="240" w:lineRule="atLeast"/>
        <w:jc w:val="center"/>
        <w:rPr>
          <w:sz w:val="18"/>
        </w:rPr>
      </w:pPr>
      <w:r>
        <w:rPr>
          <w:noProof/>
          <w:sz w:val="18"/>
        </w:rPr>
        <w:drawing>
          <wp:inline distT="0" distB="0" distL="0" distR="0" wp14:anchorId="090DC239" wp14:editId="495A5536">
            <wp:extent cx="4322064" cy="4553712"/>
            <wp:effectExtent l="0" t="0" r="254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2064" cy="4553712"/>
                    </a:xfrm>
                    <a:prstGeom prst="rect">
                      <a:avLst/>
                    </a:prstGeom>
                  </pic:spPr>
                </pic:pic>
              </a:graphicData>
            </a:graphic>
          </wp:inline>
        </w:drawing>
      </w:r>
    </w:p>
    <w:p w14:paraId="5559FCCD" w14:textId="3CB6CD45" w:rsidR="00496CBE" w:rsidRDefault="00496CBE" w:rsidP="00B32607">
      <w:pPr>
        <w:bidi w:val="0"/>
        <w:rPr>
          <w:rFonts w:ascii="Tahoma" w:hAnsi="Tahoma" w:cs="Tahoma"/>
          <w:sz w:val="18"/>
          <w:szCs w:val="18"/>
          <w:rtl/>
        </w:rPr>
      </w:pPr>
      <w:r>
        <w:rPr>
          <w:sz w:val="18"/>
          <w:rtl/>
        </w:rPr>
        <w:br w:type="page"/>
      </w:r>
    </w:p>
    <w:p w14:paraId="78442A13" w14:textId="47B8E4D3" w:rsidR="00496CBE"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47B5B5B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7F581DA5" w14:textId="77777777" w:rsidR="00B32607" w:rsidRPr="00B32607" w:rsidRDefault="00B32607" w:rsidP="00B32607">
      <w:pPr>
        <w:pStyle w:val="running-text"/>
        <w:bidi/>
        <w:spacing w:after="180"/>
        <w:ind w:right="0"/>
        <w:rPr>
          <w:sz w:val="18"/>
          <w:rtl/>
        </w:rPr>
      </w:pPr>
      <w:r w:rsidRPr="00B32607">
        <w:rPr>
          <w:rFonts w:hint="cs"/>
          <w:sz w:val="18"/>
          <w:rtl/>
        </w:rPr>
        <w:t xml:space="preserve">הממשלה החליטה בשנת 2016 לאמץ "מדיניות פעם אחת" לשם שיפור השירות הממשלתי לציבור ולשם הפחתת הנטל הבירוקרטי המוטל עליו, ובכך לקדם יעדים ממשלתיים אסטרטגיים, כגון שיפור מיצוי זכויות האזרחים וצמצום פערים חברתיים. ממצאי דוח זה מלמדים כי עוד ארוכה הדרך ליישום מלא של החלטת הממשלה שקבעה כי החל משנת 2021 משרד ממשלתי לא יבקש מהציבור, לשם מתן שירות, אישור שהנפיק משרד ממשלתי אחר. </w:t>
      </w:r>
    </w:p>
    <w:p w14:paraId="7276410B" w14:textId="77777777" w:rsidR="00B32607" w:rsidRPr="00B32607" w:rsidRDefault="00B32607" w:rsidP="00B32607">
      <w:pPr>
        <w:pStyle w:val="running-text"/>
        <w:bidi/>
        <w:spacing w:after="180"/>
        <w:ind w:right="0"/>
        <w:rPr>
          <w:sz w:val="18"/>
          <w:rtl/>
        </w:rPr>
      </w:pPr>
      <w:r w:rsidRPr="00B32607">
        <w:rPr>
          <w:rFonts w:hint="cs"/>
          <w:sz w:val="18"/>
          <w:rtl/>
        </w:rPr>
        <w:t>ההצלחה של יישום המדיניות מותנית בפעולה משותפת, הן מצד משרדי הממשלה ויחידות הסמך - במימוש המדיניות במסגרת מתן שירותיהם, והן מצד רשות התקשוב וישראל דיגיטלית, המשמשות גורם מתכלל ומנחה, לרבות באמצעות הקניית כלים ושיטות ליישום, הסרת חסמים והקלת תהליכים בירוקרטיים וטכנולוגיים. בהיעדר שיתוף פעולה מלא מצד משרדי הממשלה ויחידות הסמך והפניית התשומות הנדרשות לפעולה, תוך עמידה בלוחות זמנים שנקבעו, לא ניתן יהיה לקדם את יישום המדיניות בשירותים נרחבים.</w:t>
      </w:r>
    </w:p>
    <w:p w14:paraId="3DAA37CF" w14:textId="0CDF16B1" w:rsidR="00B32607" w:rsidRDefault="00B32607" w:rsidP="00B32607">
      <w:pPr>
        <w:pStyle w:val="running-text"/>
        <w:bidi/>
        <w:spacing w:after="180"/>
        <w:ind w:right="0"/>
        <w:rPr>
          <w:sz w:val="18"/>
          <w:rtl/>
        </w:rPr>
      </w:pPr>
      <w:r w:rsidRPr="00B32607">
        <w:rPr>
          <w:rFonts w:hint="cs"/>
          <w:sz w:val="18"/>
          <w:rtl/>
        </w:rPr>
        <w:t xml:space="preserve">על רשות התקשוב וישראל דיגיטלית לתעדף את הנושא ולפעול למול שירותים מרכזיים ומשרדי ממשלה שחולשים על שירותים רבים. כמו כן, נכון יהיה לעשות שימוש בכלים של ניהול פרויקט ממשלתי אופקי למול עשרות גופים. זאת ועוד, כדי לממש את כל התועלות הגלומות במימוש מדיניות פעם אחת, יש ליישמה בכל ערוצי השירות, לרבות בערוצי השירות הפרונטלי והטלפוני שבהם משתמשות אוכלוסיות ראויות לקידום שנזקקות לשירותים רבים. </w:t>
      </w:r>
    </w:p>
    <w:p w14:paraId="3A2A66D2" w14:textId="77777777" w:rsidR="00C813CA" w:rsidRDefault="00C813CA" w:rsidP="00C813CA">
      <w:pPr>
        <w:pStyle w:val="running-text"/>
        <w:bidi/>
        <w:spacing w:after="180"/>
        <w:ind w:right="0"/>
        <w:rPr>
          <w:rFonts w:eastAsiaTheme="majorEastAsia"/>
          <w:bCs/>
          <w:sz w:val="16"/>
          <w:szCs w:val="32"/>
          <w:u w:val="single"/>
          <w:rtl/>
        </w:rPr>
        <w:sectPr w:rsidR="00C813CA" w:rsidSect="00314746">
          <w:headerReference w:type="default" r:id="rId28"/>
          <w:footerReference w:type="default" r:id="rId29"/>
          <w:headerReference w:type="first" r:id="rId30"/>
          <w:footerReference w:type="first" r:id="rId31"/>
          <w:pgSz w:w="11906" w:h="16838" w:code="9"/>
          <w:pgMar w:top="2892" w:right="2268" w:bottom="2438" w:left="2268" w:header="1871" w:footer="1928" w:gutter="0"/>
          <w:cols w:space="708"/>
          <w:bidi/>
          <w:rtlGutter/>
          <w:docGrid w:linePitch="360"/>
        </w:sectPr>
      </w:pPr>
    </w:p>
    <w:p w14:paraId="65763082" w14:textId="7E9F23B9" w:rsidR="00C813CA" w:rsidRPr="00B32607" w:rsidRDefault="00C813CA" w:rsidP="00C813CA">
      <w:pPr>
        <w:pStyle w:val="running-text"/>
        <w:bidi/>
        <w:spacing w:after="180"/>
        <w:ind w:right="0"/>
        <w:rPr>
          <w:rFonts w:eastAsiaTheme="majorEastAsia"/>
          <w:bCs/>
          <w:sz w:val="16"/>
          <w:szCs w:val="32"/>
          <w:u w:val="single"/>
        </w:rPr>
      </w:pPr>
    </w:p>
    <w:sectPr w:rsidR="00C813CA" w:rsidRPr="00B32607" w:rsidSect="00C813CA">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16908" w14:textId="77777777" w:rsidR="00101D40" w:rsidRDefault="00101D40" w:rsidP="00CB3322">
      <w:pPr>
        <w:spacing w:after="0" w:line="240" w:lineRule="auto"/>
      </w:pPr>
      <w:r>
        <w:separator/>
      </w:r>
    </w:p>
    <w:p w14:paraId="02F73BF1" w14:textId="77777777" w:rsidR="00101D40" w:rsidRDefault="00101D40"/>
  </w:endnote>
  <w:endnote w:type="continuationSeparator" w:id="0">
    <w:p w14:paraId="178DDFF9" w14:textId="77777777" w:rsidR="00101D40" w:rsidRDefault="00101D40" w:rsidP="00CB3322">
      <w:pPr>
        <w:spacing w:after="0" w:line="240" w:lineRule="auto"/>
      </w:pPr>
      <w:r>
        <w:continuationSeparator/>
      </w:r>
    </w:p>
    <w:p w14:paraId="38D61EE9" w14:textId="77777777" w:rsidR="00101D40" w:rsidRDefault="00101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7B1279" w:rsidRPr="009507DB" w:rsidRDefault="007B1279"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7B1279" w:rsidRPr="009507DB" w:rsidRDefault="007B1279"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DB0E" w14:textId="77777777" w:rsidR="00314746" w:rsidRPr="009507DB" w:rsidRDefault="00314746"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8439" w14:textId="77777777" w:rsidR="00314746" w:rsidRDefault="00314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EC355" w14:textId="77777777" w:rsidR="00101D40" w:rsidRPr="0029750A" w:rsidRDefault="00101D40" w:rsidP="0029750A">
      <w:pPr>
        <w:pStyle w:val="Footer"/>
        <w:tabs>
          <w:tab w:val="clear" w:pos="4320"/>
          <w:tab w:val="clear" w:pos="8640"/>
          <w:tab w:val="right" w:pos="1701"/>
        </w:tabs>
        <w:rPr>
          <w:u w:val="single"/>
        </w:rPr>
      </w:pPr>
      <w:r w:rsidRPr="0029750A">
        <w:rPr>
          <w:u w:val="single"/>
        </w:rPr>
        <w:tab/>
      </w:r>
    </w:p>
  </w:footnote>
  <w:footnote w:type="continuationSeparator" w:id="0">
    <w:p w14:paraId="3CD037A0" w14:textId="77777777" w:rsidR="00101D40" w:rsidRDefault="00101D40" w:rsidP="00CB3322">
      <w:pPr>
        <w:spacing w:after="0" w:line="240" w:lineRule="auto"/>
      </w:pPr>
      <w:r>
        <w:continuationSeparator/>
      </w:r>
    </w:p>
    <w:p w14:paraId="1AF2BC4F" w14:textId="77777777" w:rsidR="00101D40" w:rsidRDefault="00101D40"/>
  </w:footnote>
  <w:footnote w:id="1">
    <w:p w14:paraId="55ED8815" w14:textId="77777777" w:rsidR="007B1279" w:rsidRPr="00B32607" w:rsidRDefault="007B1279" w:rsidP="00B32607">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t xml:space="preserve">נתונים </w:t>
      </w:r>
      <w:r w:rsidRPr="00B32607">
        <w:rPr>
          <w:rStyle w:val="FootnoteReference"/>
          <w:rFonts w:hint="cs"/>
          <w:vertAlign w:val="baseline"/>
          <w:rtl/>
        </w:rPr>
        <w:t>השמורים</w:t>
      </w:r>
      <w:r w:rsidRPr="00B32607">
        <w:rPr>
          <w:rStyle w:val="FootnoteReference"/>
          <w:vertAlign w:val="baseline"/>
          <w:rtl/>
        </w:rPr>
        <w:t xml:space="preserve"> במאגר ממשלתי או אישור שהנפיק משרד ממשלתי.</w:t>
      </w:r>
    </w:p>
  </w:footnote>
  <w:footnote w:id="2">
    <w:p w14:paraId="148A6A65" w14:textId="77777777" w:rsidR="007B1279" w:rsidRPr="00B32607" w:rsidRDefault="007B1279" w:rsidP="00B32607">
      <w:pPr>
        <w:pStyle w:val="FootnoteText"/>
        <w:spacing w:after="60" w:line="220" w:lineRule="exact"/>
        <w:ind w:left="284" w:right="0" w:hanging="284"/>
        <w:rPr>
          <w:rStyle w:val="FootnoteReference"/>
          <w:vertAlign w:val="baseline"/>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החלטה 1933 מיום 30.8.16 בנושא "שיפור העברת המידע הממשלתי והנגשת מאגרי מידע ממשלתיים לציבור".</w:t>
      </w:r>
    </w:p>
  </w:footnote>
  <w:footnote w:id="3">
    <w:p w14:paraId="054BA3F3" w14:textId="77777777" w:rsidR="007B1279" w:rsidRPr="00B32607" w:rsidRDefault="007B1279" w:rsidP="007478B2">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רשות התקשוב הממשלתי "מבט על פעילות 2019".</w:t>
      </w:r>
    </w:p>
  </w:footnote>
  <w:footnote w:id="4">
    <w:p w14:paraId="229B135B" w14:textId="77777777" w:rsidR="007B1279" w:rsidRPr="00B32607" w:rsidRDefault="007B1279" w:rsidP="00B32607">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 xml:space="preserve">תפקיד הוועדות להעברת מידע בגופים ציבוריים הוא טיפול בבקשות של הגוף הציבורי לקבלת מידע מאת גוף ציבורי אחר וטיפול בבקשות שקיבל הגוף הציבורי למסירת מידע לגוף ציבורי אחר. </w:t>
      </w:r>
    </w:p>
  </w:footnote>
  <w:footnote w:id="5">
    <w:p w14:paraId="34C0D83F"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המערכת נועדה לאפשר הזדהות מאובטחת באופן מקוון לצורך קבלת שירותים מגופי ממשלה.</w:t>
      </w:r>
    </w:p>
  </w:footnote>
  <w:footnote w:id="6">
    <w:p w14:paraId="29F00D3E"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 xml:space="preserve">המבוסס על מיפוי השירותים, שירות התשלומים, שירות הטפסים ודפי השירות באתר </w:t>
      </w:r>
      <w:r w:rsidRPr="00B54E31">
        <w:rPr>
          <w:rStyle w:val="FootnoteReference"/>
          <w:vertAlign w:val="baseline"/>
        </w:rPr>
        <w:t>GOV.IL</w:t>
      </w:r>
      <w:r w:rsidRPr="00B54E31">
        <w:rPr>
          <w:rStyle w:val="FootnoteReference"/>
          <w:rFonts w:hint="cs"/>
          <w:vertAlign w:val="baseline"/>
          <w:rtl/>
        </w:rPr>
        <w:t xml:space="preserve">. </w:t>
      </w:r>
    </w:p>
  </w:footnote>
  <w:footnote w:id="7">
    <w:p w14:paraId="7938CE13"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החלטת הממשלה 260 מיולי 2020 בנושא "התוכנית להאצת השירותים הדיגיטליים לציבור".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7B1279" w:rsidRPr="00642E60" w:rsidRDefault="007B1279"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7B1279" w:rsidRPr="007F1A39" w:rsidRDefault="007B1279"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7B1279" w:rsidRPr="00890ED9" w:rsidRDefault="007B1279"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019835BC" w:rsidR="007B1279" w:rsidRDefault="007B1279"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2336" behindDoc="1" locked="0" layoutInCell="1" allowOverlap="1" wp14:anchorId="10A16EE6" wp14:editId="74EE77FA">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7F2A9E">
      <w:rPr>
        <w:rFonts w:ascii="Tahoma" w:eastAsiaTheme="majorEastAsia" w:hAnsi="Tahoma" w:cs="Tahoma"/>
        <w:noProof/>
        <w:color w:val="0D0D0D" w:themeColor="text1" w:themeTint="F2"/>
        <w:sz w:val="16"/>
        <w:szCs w:val="16"/>
        <w:rtl/>
        <w:lang w:val="he-IL"/>
      </w:rPr>
      <w:t>"</w:t>
    </w:r>
    <w:r w:rsidRPr="007F2A9E">
      <w:rPr>
        <w:rFonts w:ascii="Tahoma" w:eastAsiaTheme="majorEastAsia" w:hAnsi="Tahoma" w:cs="Tahoma" w:hint="eastAsia"/>
        <w:noProof/>
        <w:color w:val="0D0D0D" w:themeColor="text1" w:themeTint="F2"/>
        <w:sz w:val="16"/>
        <w:szCs w:val="16"/>
        <w:rtl/>
        <w:lang w:val="he-IL"/>
      </w:rPr>
      <w:t>מדיניות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פעם</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אחת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לשיפור</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השירות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הממשלתי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הדיגיטלי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לציבור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3874D14C" w:rsidR="007B1279" w:rsidRPr="007C237A" w:rsidRDefault="007B127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216" behindDoc="1" locked="0" layoutInCell="1" allowOverlap="1" wp14:anchorId="107E1DC2" wp14:editId="7B7D9E50">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0040652C" w:rsidRPr="006061A9">
      <w:rPr>
        <w:rFonts w:ascii="Tahoma" w:eastAsiaTheme="majorEastAsia" w:hAnsi="Tahoma" w:cs="Tahoma" w:hint="cs"/>
        <w:noProof/>
        <w:color w:val="0D0D0D" w:themeColor="text1" w:themeTint="F2"/>
        <w:sz w:val="16"/>
        <w:szCs w:val="16"/>
        <w:rtl/>
      </w:rPr>
      <w:t xml:space="preserve">דוח </w:t>
    </w:r>
    <w:r w:rsidR="0040652C">
      <w:rPr>
        <w:rFonts w:ascii="Tahoma" w:eastAsiaTheme="majorEastAsia" w:hAnsi="Tahoma" w:cs="Tahoma" w:hint="cs"/>
        <w:noProof/>
        <w:color w:val="0D0D0D" w:themeColor="text1" w:themeTint="F2"/>
        <w:sz w:val="16"/>
        <w:szCs w:val="16"/>
        <w:rtl/>
      </w:rPr>
      <w:t xml:space="preserve">ביקורת </w:t>
    </w:r>
    <w:r w:rsidR="0040652C" w:rsidRPr="006061A9">
      <w:rPr>
        <w:rFonts w:ascii="Tahoma" w:eastAsiaTheme="majorEastAsia" w:hAnsi="Tahoma" w:cs="Tahoma" w:hint="cs"/>
        <w:noProof/>
        <w:color w:val="0D0D0D" w:themeColor="text1" w:themeTint="F2"/>
        <w:sz w:val="16"/>
        <w:szCs w:val="16"/>
        <w:rtl/>
      </w:rPr>
      <w:t xml:space="preserve">שנתי </w:t>
    </w:r>
    <w:r w:rsidR="0040652C">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7D0482C9" wp14:editId="1D2F63DE">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7B1279" w:rsidRPr="00D8333F" w:rsidRDefault="007B127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29" type="#_x0000_t202" style="position:absolute;margin-left:-60.1pt;margin-top:25.45pt;width:43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7B1279" w:rsidRPr="00D8333F" w:rsidRDefault="007B127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A43B" w14:textId="3CD26D0C" w:rsidR="00314746" w:rsidRPr="007C237A" w:rsidRDefault="0031474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1312" behindDoc="1" locked="0" layoutInCell="1" allowOverlap="1" wp14:anchorId="482F4E90" wp14:editId="59E5D010">
          <wp:simplePos x="0" y="0"/>
          <wp:positionH relativeFrom="page">
            <wp:align>center</wp:align>
          </wp:positionH>
          <wp:positionV relativeFrom="page">
            <wp:align>center</wp:align>
          </wp:positionV>
          <wp:extent cx="7549200" cy="10670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9264" behindDoc="0" locked="0" layoutInCell="1" allowOverlap="1" wp14:anchorId="606BE946" wp14:editId="26E11F1D">
              <wp:simplePos x="0" y="0"/>
              <wp:positionH relativeFrom="column">
                <wp:posOffset>-763270</wp:posOffset>
              </wp:positionH>
              <wp:positionV relativeFrom="paragraph">
                <wp:posOffset>323215</wp:posOffset>
              </wp:positionV>
              <wp:extent cx="546100" cy="67246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1D6F4F37" w14:textId="77777777" w:rsidR="00314746" w:rsidRPr="00D8333F" w:rsidRDefault="0031474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BE946" id="_x0000_t202" coordsize="21600,21600" o:spt="202" path="m,l,21600r21600,l21600,xe">
              <v:stroke joinstyle="miter"/>
              <v:path gradientshapeok="t" o:connecttype="rect"/>
            </v:shapetype>
            <v:shape id="_x0000_s1030" type="#_x0000_t202" style="position:absolute;margin-left:-60.1pt;margin-top:25.45pt;width:43pt;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" filled="f" stroked="f">
              <v:textbox style="layout-flow:vertical;mso-layout-flow-alt:bottom-to-top">
                <w:txbxContent>
                  <w:p w14:paraId="1D6F4F37" w14:textId="77777777" w:rsidR="00314746" w:rsidRPr="00D8333F" w:rsidRDefault="0031474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0040652C" w:rsidRPr="006061A9">
      <w:rPr>
        <w:rFonts w:ascii="Tahoma" w:eastAsiaTheme="majorEastAsia" w:hAnsi="Tahoma" w:cs="Tahoma" w:hint="cs"/>
        <w:noProof/>
        <w:color w:val="0D0D0D" w:themeColor="text1" w:themeTint="F2"/>
        <w:sz w:val="16"/>
        <w:szCs w:val="16"/>
        <w:rtl/>
      </w:rPr>
      <w:t xml:space="preserve">דוח </w:t>
    </w:r>
    <w:r w:rsidR="0040652C">
      <w:rPr>
        <w:rFonts w:ascii="Tahoma" w:eastAsiaTheme="majorEastAsia" w:hAnsi="Tahoma" w:cs="Tahoma" w:hint="cs"/>
        <w:noProof/>
        <w:color w:val="0D0D0D" w:themeColor="text1" w:themeTint="F2"/>
        <w:sz w:val="16"/>
        <w:szCs w:val="16"/>
        <w:rtl/>
      </w:rPr>
      <w:t xml:space="preserve">ביקורת </w:t>
    </w:r>
    <w:r w:rsidR="0040652C" w:rsidRPr="006061A9">
      <w:rPr>
        <w:rFonts w:ascii="Tahoma" w:eastAsiaTheme="majorEastAsia" w:hAnsi="Tahoma" w:cs="Tahoma" w:hint="cs"/>
        <w:noProof/>
        <w:color w:val="0D0D0D" w:themeColor="text1" w:themeTint="F2"/>
        <w:sz w:val="16"/>
        <w:szCs w:val="16"/>
        <w:rtl/>
      </w:rPr>
      <w:t xml:space="preserve">שנתי </w:t>
    </w:r>
    <w:r w:rsidR="0040652C">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83E0" w14:textId="77777777" w:rsidR="00314746" w:rsidRPr="00890ED9" w:rsidRDefault="00314746" w:rsidP="00890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8" type="#_x0000_t75" style="width:9pt;height:11.25pt" o:bullet="t">
        <v:imagedata r:id="rId1" o:title="red-hand"/>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2B04208"/>
    <w:multiLevelType w:val="hybridMultilevel"/>
    <w:tmpl w:val="547CA79E"/>
    <w:lvl w:ilvl="0" w:tplc="EE5CEDEE">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7491230"/>
    <w:multiLevelType w:val="hybridMultilevel"/>
    <w:tmpl w:val="95EC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6D6CF2"/>
    <w:multiLevelType w:val="hybridMultilevel"/>
    <w:tmpl w:val="936E6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8"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2"/>
  </w:num>
  <w:num w:numId="2">
    <w:abstractNumId w:val="8"/>
  </w:num>
  <w:num w:numId="3">
    <w:abstractNumId w:val="1"/>
  </w:num>
  <w:num w:numId="4">
    <w:abstractNumId w:val="0"/>
  </w:num>
  <w:num w:numId="5">
    <w:abstractNumId w:val="7"/>
  </w:num>
  <w:num w:numId="6">
    <w:abstractNumId w:val="4"/>
  </w:num>
  <w:num w:numId="7">
    <w:abstractNumId w:val="5"/>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5D4"/>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16E"/>
    <w:rsid w:val="0008572D"/>
    <w:rsid w:val="000868BD"/>
    <w:rsid w:val="00090AB0"/>
    <w:rsid w:val="00092220"/>
    <w:rsid w:val="0009240F"/>
    <w:rsid w:val="00092F71"/>
    <w:rsid w:val="00093068"/>
    <w:rsid w:val="00095581"/>
    <w:rsid w:val="0009699F"/>
    <w:rsid w:val="000A0F5E"/>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052"/>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40"/>
    <w:rsid w:val="00101DD5"/>
    <w:rsid w:val="0010229A"/>
    <w:rsid w:val="001024AF"/>
    <w:rsid w:val="001033B3"/>
    <w:rsid w:val="00103971"/>
    <w:rsid w:val="00103CED"/>
    <w:rsid w:val="00103D42"/>
    <w:rsid w:val="00103FBC"/>
    <w:rsid w:val="00104839"/>
    <w:rsid w:val="00104E94"/>
    <w:rsid w:val="00105059"/>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2EA"/>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12A"/>
    <w:rsid w:val="00134716"/>
    <w:rsid w:val="00135EB9"/>
    <w:rsid w:val="00136B9E"/>
    <w:rsid w:val="00141E28"/>
    <w:rsid w:val="00142877"/>
    <w:rsid w:val="001435CD"/>
    <w:rsid w:val="00143613"/>
    <w:rsid w:val="00143625"/>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5ED"/>
    <w:rsid w:val="002011D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D63"/>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1BC"/>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200"/>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5B76"/>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746"/>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47A82"/>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950"/>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3D6"/>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4BA9"/>
    <w:rsid w:val="003F566D"/>
    <w:rsid w:val="003F5CC7"/>
    <w:rsid w:val="003F5E93"/>
    <w:rsid w:val="003F6C4B"/>
    <w:rsid w:val="003F6E1A"/>
    <w:rsid w:val="003F6FBA"/>
    <w:rsid w:val="0040161B"/>
    <w:rsid w:val="004018FE"/>
    <w:rsid w:val="00402710"/>
    <w:rsid w:val="00403B07"/>
    <w:rsid w:val="00403F22"/>
    <w:rsid w:val="00404D52"/>
    <w:rsid w:val="00405C49"/>
    <w:rsid w:val="0040652C"/>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4ED"/>
    <w:rsid w:val="00426A12"/>
    <w:rsid w:val="00427615"/>
    <w:rsid w:val="004278E5"/>
    <w:rsid w:val="00427DE9"/>
    <w:rsid w:val="00430526"/>
    <w:rsid w:val="004309B3"/>
    <w:rsid w:val="004309C5"/>
    <w:rsid w:val="004315DC"/>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4BF9"/>
    <w:rsid w:val="004660F8"/>
    <w:rsid w:val="00466196"/>
    <w:rsid w:val="0046631D"/>
    <w:rsid w:val="0046700E"/>
    <w:rsid w:val="0046732A"/>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5C8F"/>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1D22"/>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4717"/>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A677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2A03"/>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3FC0"/>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2DD2"/>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192"/>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2C50"/>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056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4849"/>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B2"/>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B6E"/>
    <w:rsid w:val="007A1C50"/>
    <w:rsid w:val="007A2601"/>
    <w:rsid w:val="007A55DD"/>
    <w:rsid w:val="007A6F7E"/>
    <w:rsid w:val="007A73F1"/>
    <w:rsid w:val="007A76BA"/>
    <w:rsid w:val="007B1194"/>
    <w:rsid w:val="007B1279"/>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E7E66"/>
    <w:rsid w:val="007F0192"/>
    <w:rsid w:val="007F0371"/>
    <w:rsid w:val="007F1528"/>
    <w:rsid w:val="007F1A39"/>
    <w:rsid w:val="007F1C80"/>
    <w:rsid w:val="007F25D7"/>
    <w:rsid w:val="007F2A9E"/>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996"/>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19BB"/>
    <w:rsid w:val="0094352E"/>
    <w:rsid w:val="00944100"/>
    <w:rsid w:val="00945529"/>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080"/>
    <w:rsid w:val="00A75949"/>
    <w:rsid w:val="00A76915"/>
    <w:rsid w:val="00A80991"/>
    <w:rsid w:val="00A8099A"/>
    <w:rsid w:val="00A8199B"/>
    <w:rsid w:val="00A827F3"/>
    <w:rsid w:val="00A82A69"/>
    <w:rsid w:val="00A8379B"/>
    <w:rsid w:val="00A84A7A"/>
    <w:rsid w:val="00A863C1"/>
    <w:rsid w:val="00A8660E"/>
    <w:rsid w:val="00A87279"/>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4C65"/>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2607"/>
    <w:rsid w:val="00B3356E"/>
    <w:rsid w:val="00B3392D"/>
    <w:rsid w:val="00B33F95"/>
    <w:rsid w:val="00B353A7"/>
    <w:rsid w:val="00B35CE3"/>
    <w:rsid w:val="00B367CB"/>
    <w:rsid w:val="00B3765C"/>
    <w:rsid w:val="00B37757"/>
    <w:rsid w:val="00B408F3"/>
    <w:rsid w:val="00B40D7B"/>
    <w:rsid w:val="00B4198E"/>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E31"/>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3B"/>
    <w:rsid w:val="00C00A84"/>
    <w:rsid w:val="00C010F3"/>
    <w:rsid w:val="00C01558"/>
    <w:rsid w:val="00C02754"/>
    <w:rsid w:val="00C03083"/>
    <w:rsid w:val="00C03C73"/>
    <w:rsid w:val="00C040D9"/>
    <w:rsid w:val="00C04A0A"/>
    <w:rsid w:val="00C05394"/>
    <w:rsid w:val="00C10A0D"/>
    <w:rsid w:val="00C11811"/>
    <w:rsid w:val="00C11A43"/>
    <w:rsid w:val="00C11A96"/>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0DB"/>
    <w:rsid w:val="00C22E13"/>
    <w:rsid w:val="00C22EB5"/>
    <w:rsid w:val="00C243CF"/>
    <w:rsid w:val="00C244FC"/>
    <w:rsid w:val="00C24A39"/>
    <w:rsid w:val="00C257A6"/>
    <w:rsid w:val="00C257E1"/>
    <w:rsid w:val="00C25ABF"/>
    <w:rsid w:val="00C3070D"/>
    <w:rsid w:val="00C308C8"/>
    <w:rsid w:val="00C31D0F"/>
    <w:rsid w:val="00C320E7"/>
    <w:rsid w:val="00C353BF"/>
    <w:rsid w:val="00C35776"/>
    <w:rsid w:val="00C35EE4"/>
    <w:rsid w:val="00C4085B"/>
    <w:rsid w:val="00C409CD"/>
    <w:rsid w:val="00C41220"/>
    <w:rsid w:val="00C41706"/>
    <w:rsid w:val="00C43668"/>
    <w:rsid w:val="00C43CDD"/>
    <w:rsid w:val="00C443B1"/>
    <w:rsid w:val="00C45621"/>
    <w:rsid w:val="00C4624B"/>
    <w:rsid w:val="00C46382"/>
    <w:rsid w:val="00C46701"/>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1DCE"/>
    <w:rsid w:val="00C7227D"/>
    <w:rsid w:val="00C72405"/>
    <w:rsid w:val="00C73D25"/>
    <w:rsid w:val="00C755DA"/>
    <w:rsid w:val="00C7701F"/>
    <w:rsid w:val="00C80CDA"/>
    <w:rsid w:val="00C8105B"/>
    <w:rsid w:val="00C813CA"/>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90F"/>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3B8"/>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70E"/>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A5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51C"/>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4B6"/>
    <w:rsid w:val="00ED5E40"/>
    <w:rsid w:val="00ED6E15"/>
    <w:rsid w:val="00EE04E7"/>
    <w:rsid w:val="00EE083D"/>
    <w:rsid w:val="00EE0DB2"/>
    <w:rsid w:val="00EE0E9A"/>
    <w:rsid w:val="00EE12A7"/>
    <w:rsid w:val="00EE1E19"/>
    <w:rsid w:val="00EE2409"/>
    <w:rsid w:val="00EE3042"/>
    <w:rsid w:val="00EE30FD"/>
    <w:rsid w:val="00EE3C5A"/>
    <w:rsid w:val="00EE4547"/>
    <w:rsid w:val="00EE45A6"/>
    <w:rsid w:val="00EE4D72"/>
    <w:rsid w:val="00EE5292"/>
    <w:rsid w:val="00EE5EAD"/>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914"/>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18F"/>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p1,style 2,נספח 2 מתוקן"/>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p1 Char,style 2 Char,נספח 2 מתוקן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uiPriority w:val="1"/>
    <w:qFormat/>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ListTable2-Accent1">
    <w:name w:val="List Table 2 Accent 1"/>
    <w:basedOn w:val="TableNormal"/>
    <w:uiPriority w:val="47"/>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5Dark-Accent1">
    <w:name w:val="Grid Table 5 Dark Accent 1"/>
    <w:basedOn w:val="TableNormal"/>
    <w:uiPriority w:val="50"/>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PlainTable1">
    <w:name w:val="Plain Table 1"/>
    <w:basedOn w:val="TableNormal"/>
    <w:uiPriority w:val="41"/>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4">
    <w:name w:val="הפניה להערת שוליים1"/>
    <w:semiHidden/>
    <w:unhideWhenUsed/>
    <w:rsid w:val="007478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7.xml"/><Relationship Id="rId35" Type="http://schemas.openxmlformats.org/officeDocument/2006/relationships/customXml" Target="../customXml/item3.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8CF43DD4-D799-4479-93B2-601AE891EEE1}"/>
</file>

<file path=customXml/itemProps3.xml><?xml version="1.0" encoding="utf-8"?>
<ds:datastoreItem xmlns:ds="http://schemas.openxmlformats.org/officeDocument/2006/customXml" ds:itemID="{25440736-33BF-4216-800D-D30350B2450F}"/>
</file>

<file path=customXml/itemProps4.xml><?xml version="1.0" encoding="utf-8"?>
<ds:datastoreItem xmlns:ds="http://schemas.openxmlformats.org/officeDocument/2006/customXml" ds:itemID="{924055C2-B2D9-4E00-BA04-7CAC8C115F5D}"/>
</file>

<file path=docProps/app.xml><?xml version="1.0" encoding="utf-8"?>
<Properties xmlns="http://schemas.openxmlformats.org/officeDocument/2006/extended-properties" xmlns:vt="http://schemas.openxmlformats.org/officeDocument/2006/docPropsVTypes">
  <Template>Normal.dotm</Template>
  <TotalTime>241</TotalTime>
  <Pages>10</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38</cp:revision>
  <cp:lastPrinted>2021-05-24T08:51:00Z</cp:lastPrinted>
  <dcterms:created xsi:type="dcterms:W3CDTF">2021-05-22T23:14:00Z</dcterms:created>
  <dcterms:modified xsi:type="dcterms:W3CDTF">2021-07-20T08:20:00Z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