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216" behindDoc="0" locked="0" layoutInCell="1" allowOverlap="1" wp14:anchorId="6F0E2922" wp14:editId="096475ED">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2C189" id="Rectangle 1" o:spid="_x0000_s1026" style="position:absolute;margin-left:247.9pt;margin-top:102.85pt;width:4.25pt;height:2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63635032" wp14:editId="6E0CC3F6">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style="position:absolute;left:0;text-align:left;margin-left:-45.35pt;margin-top:110.75pt;width:273.9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P7DAIAAPQDAAAOAAAAZHJzL2Uyb0RvYy54bWysU9uO2yAQfa/Uf0C8N3ZuddYKWW13u1Wl&#10;7UXa7QcQjGNUYCiQ2OnX74Cz2ah9q+oHC5iZw5wzh/X1YDQ5SB8UWEank5ISaQU0yu4Y/fF0/25F&#10;SYjcNlyDlYweZaDXm7dv1r2r5Qw60I30BEFsqHvHaBejq4siiE4aHibgpMVgC97wiFu/KxrPe0Q3&#10;upiV5fuiB984D0KGgKd3Y5BuMn7bShG/tW2QkWhGsbeY/z7/t+lfbNa83nnuOiVObfB/6MJwZfHS&#10;M9Qdj5zsvfoLyijhIUAbJwJMAW2rhMwckM20/IPNY8edzFxQnODOMoX/Byu+Hr57ohpG52VFieUG&#10;h/Qkh0g+wEBmSZ/ehRrTHh0mxgGPcc6Za3APIH4GYuG243Ynb7yHvpO8wf6mqbK4KB1xQgLZ9l+g&#10;wWv4PkIGGlpvkngoB0F0nNPxPJvUisDD+aJaVRW6SWBsPq9Wszy8gtcv1c6H+EmCIWnBqMfZZ3R+&#10;eAgxdcPrl5R0mYV7pXWev7akZ/RqOVvmgouIURHtqZVhdFWmbzRMIvnRNrk4cqXHNV6g7Yl1IjpS&#10;jsN2wMQkxRaaI/L3MNoQnw0uOvC/KenRgoyGX3vuJSX6s0UNr6aLRfJs3iyWFTIm/jKyvYxwKxCK&#10;0UjJuLyN2ecj1xvUulVZhtdOTr2itbI6p2eQvHu5z1mvj3XzDAAA//8DAFBLAwQUAAYACAAAACEA&#10;oeHqid8AAAALAQAADwAAAGRycy9kb3ducmV2LnhtbEyPTU/DMAyG70j8h8hI3LakVUtZaTohEFcQ&#10;40PiljVeW9E4VZOt5d9jTuxo+9Hr5622ixvECafQe9KQrBUIpMbbnloN729Pq1sQIRqyZvCEGn4w&#10;wLa+vKhMaf1Mr3jaxVZwCIXSaOhiHEspQ9OhM2HtRyS+HfzkTORxaqWdzMzhbpCpUjfSmZ74Q2dG&#10;fOiw+d4dnYaP58PXZ6Ze2keXj7NflCS3kVpfXy33dyAiLvEfhj99Voeanfb+SDaIQcNqowpGNaRp&#10;koNgIsuLBMSeN0VWgKwred6h/gUAAP//AwBQSwECLQAUAAYACAAAACEAtoM4kv4AAADhAQAAEwAA&#10;AAAAAAAAAAAAAAAAAAAAW0NvbnRlbnRfVHlwZXNdLnhtbFBLAQItABQABgAIAAAAIQA4/SH/1gAA&#10;AJQBAAALAAAAAAAAAAAAAAAAAC8BAABfcmVscy8ucmVsc1BLAQItABQABgAIAAAAIQDm7lP7DAIA&#10;APQDAAAOAAAAAAAAAAAAAAAAAC4CAABkcnMvZTJvRG9jLnhtbFBLAQItABQABgAIAAAAIQCh4eqJ&#10;3wAAAAsBAAAPAAAAAAAAAAAAAAAAAGYEAABkcnMvZG93bnJldi54bWxQSwUGAAAAAAQABADzAAAA&#10;cgU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6192" behindDoc="0" locked="0" layoutInCell="1" allowOverlap="1" wp14:anchorId="72B37D26" wp14:editId="7AC69D6A">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3ECB74EF" w:rsidR="00E539EA" w:rsidRPr="00A75949" w:rsidRDefault="001A2896"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style="position:absolute;left:0;text-align:left;margin-left:-50.5pt;margin-top:201.05pt;width:279.6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1UDQIAAPsDAAAOAAAAZHJzL2Uyb0RvYy54bWysU9uO2yAQfa/Uf0C8N3bceLux4qy2u92q&#10;0vYi7fYDMMYxKjAUSOz063fASWq1b1X9YAEzc5hzzrC5GbUiB+G8BFPT5SKnRBgOrTS7mn5/fnhz&#10;TYkPzLRMgRE1PQpPb7avX20GW4kCelCtcARBjK8GW9M+BFtlmee90MwvwAqDwQ6cZgG3bpe1jg2I&#10;rlVW5PlVNoBrrQMuvMfT+ylItwm/6wQPX7vOi0BUTbG3kP4u/Zv4z7YbVu0cs73kpzbYP3ShmTR4&#10;6QXqngVG9k7+BaUld+ChCwsOOoOuk1wkDshmmf/B5qlnViQuKI63F5n8/4PlXw7fHJEteodOGabR&#10;o2cxBvIeRlJEeQbrK8x6spgXRjzG1ETV20fgPzwxcNczsxO3zsHQC9Zie8tYmc1KJxwfQZrhM7R4&#10;DdsHSEBj53TUDtUgiI42HS/WxFY4Hr4ty3xdYIhjrFiWxVWZzMtYdS63zoePAjSJi5o69D7Bs8Oj&#10;D7EdVp1T4m0GHqRSyX9lyFDTdVmUqWAW0TLgeCqpa3qdx28amMjyg2lTcWBSTWu8QJkT7ch04hzG&#10;ZpwEPqvZQHtEHRxM04ivBxc9uF+UDDiJNfU/98wJStQng1qul6tVHN20WZXvogpuHmnmEWY4QtU0&#10;UDIt70Ia94nyLWreyaRGNGfq5NQyTlgS6fQa4gjP9ynr95vdvg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LpwXVQN&#10;AgAA+wMAAA4AAAAAAAAAAAAAAAAALgIAAGRycy9lMm9Eb2MueG1sUEsBAi0AFAAGAAgAAAAhACul&#10;4lLgAAAADAEAAA8AAAAAAAAAAAAAAAAAZwQAAGRycy9kb3ducmV2LnhtbFBLBQYAAAAABAAEAPMA&#10;AAB0BQAAAAA=&#10;" filled="f" stroked="f">
                <v:textbox>
                  <w:txbxContent>
                    <w:p w14:paraId="0040AB6F" w14:textId="3ECB74EF" w:rsidR="00E539EA" w:rsidRPr="00A75949" w:rsidRDefault="001A2896"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3091DED3">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316A9077" w:rsidR="00E539EA" w:rsidRPr="00A75949" w:rsidRDefault="001A2896"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316A9077" w:rsidR="00E539EA" w:rsidRPr="00A75949" w:rsidRDefault="001A2896"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0288" behindDoc="1" locked="0" layoutInCell="1" allowOverlap="1" wp14:anchorId="1D5BF6A3" wp14:editId="5D74554F">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D8688A">
          <w:footerReference w:type="even" r:id="rId10"/>
          <w:footerReference w:type="default" r:id="rId11"/>
          <w:pgSz w:w="11906" w:h="16838" w:code="9"/>
          <w:pgMar w:top="3119" w:right="2268" w:bottom="2268" w:left="2268" w:header="1985" w:footer="709" w:gutter="0"/>
          <w:pgNumType w:start="81"/>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03875AE6" w:rsidR="0013238E" w:rsidRPr="00902625" w:rsidRDefault="001A2896" w:rsidP="008723A0">
      <w:pPr>
        <w:pStyle w:val="KOT1N"/>
        <w:bidi/>
      </w:pPr>
      <w:r w:rsidRPr="001A2896">
        <w:rPr>
          <w:rFonts w:hint="eastAsia"/>
          <w:rtl/>
        </w:rPr>
        <w:lastRenderedPageBreak/>
        <w:t>פעולות</w:t>
      </w:r>
      <w:r w:rsidRPr="001A2896">
        <w:rPr>
          <w:rtl/>
        </w:rPr>
        <w:t xml:space="preserve"> </w:t>
      </w:r>
      <w:r w:rsidRPr="001A2896">
        <w:rPr>
          <w:rFonts w:hint="eastAsia"/>
          <w:rtl/>
        </w:rPr>
        <w:t>המדינה</w:t>
      </w:r>
      <w:r w:rsidRPr="001A2896">
        <w:rPr>
          <w:rtl/>
        </w:rPr>
        <w:t xml:space="preserve"> </w:t>
      </w:r>
      <w:r w:rsidRPr="001A2896">
        <w:rPr>
          <w:rFonts w:hint="eastAsia"/>
          <w:rtl/>
        </w:rPr>
        <w:t>להבטחת</w:t>
      </w:r>
      <w:r w:rsidRPr="001A2896">
        <w:rPr>
          <w:rtl/>
        </w:rPr>
        <w:t xml:space="preserve"> </w:t>
      </w:r>
      <w:r w:rsidRPr="001A2896">
        <w:rPr>
          <w:rFonts w:hint="eastAsia"/>
          <w:rtl/>
        </w:rPr>
        <w:t>זכויותיה</w:t>
      </w:r>
      <w:r w:rsidRPr="001A2896">
        <w:rPr>
          <w:rtl/>
        </w:rPr>
        <w:t xml:space="preserve"> </w:t>
      </w:r>
      <w:r w:rsidRPr="001A2896">
        <w:rPr>
          <w:rFonts w:hint="eastAsia"/>
          <w:rtl/>
        </w:rPr>
        <w:t>באמצעות</w:t>
      </w:r>
      <w:r w:rsidRPr="001A2896">
        <w:rPr>
          <w:rtl/>
        </w:rPr>
        <w:t xml:space="preserve"> </w:t>
      </w:r>
      <w:r w:rsidRPr="001A2896">
        <w:rPr>
          <w:rFonts w:hint="eastAsia"/>
          <w:rtl/>
        </w:rPr>
        <w:t>אכיפה</w:t>
      </w:r>
      <w:r w:rsidRPr="001A2896">
        <w:rPr>
          <w:rtl/>
        </w:rPr>
        <w:t xml:space="preserve"> </w:t>
      </w:r>
      <w:r w:rsidRPr="001A2896">
        <w:rPr>
          <w:rFonts w:hint="eastAsia"/>
          <w:rtl/>
        </w:rPr>
        <w:t>אזרחית</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52F99B34">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F4B4299" w14:textId="57FC93F6" w:rsidR="001A2896" w:rsidRDefault="001A2896" w:rsidP="009E71B8">
      <w:pPr>
        <w:spacing w:after="180" w:line="260" w:lineRule="exact"/>
        <w:jc w:val="both"/>
        <w:rPr>
          <w:rFonts w:ascii="Tahoma" w:hAnsi="Tahoma" w:cs="Tahoma"/>
          <w:color w:val="0D0D0D" w:themeColor="text1" w:themeTint="F2"/>
          <w:sz w:val="24"/>
          <w:szCs w:val="18"/>
          <w:rtl/>
        </w:rPr>
      </w:pPr>
      <w:r w:rsidRPr="001A2896">
        <w:rPr>
          <w:rFonts w:ascii="Tahoma" w:hAnsi="Tahoma" w:cs="Tahoma" w:hint="eastAsia"/>
          <w:color w:val="0D0D0D" w:themeColor="text1" w:themeTint="F2"/>
          <w:sz w:val="24"/>
          <w:szCs w:val="18"/>
          <w:rtl/>
        </w:rPr>
        <w:t>בפעילותה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השוטפת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נצברות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לגופים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הממשלתיים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הנוצרות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מכוח</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התקשרויות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הסכמים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אספקת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שירותים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ופסקי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וכן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לקבלת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כספים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שחובת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תשלומם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נקבעה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היא</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כולל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לשימוש</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בכלים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ובהליכים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להבטחת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כדי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להגן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מטרות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וערכים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מוגנים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שונים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ובכלל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ואכיפתו</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קיום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התחייבויות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כלפי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נכסי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וקרקעותיה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סיוע</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ביישום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מדיניות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ממשלתית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ואסדרה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רגולציה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הקופה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הציבורית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הוגדרה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נדבך</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מרכזי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באסטרטגיית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ובמיצובה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בליבת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הביקורת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התמקדה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במיפוי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ובאיתור</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הפגיעה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ובבדיקת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החסמים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המונעים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וגבייה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מיטבית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חובות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בגופי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ממשלה</w:t>
      </w:r>
      <w:r w:rsidRPr="001A2896">
        <w:rPr>
          <w:rFonts w:ascii="Tahoma" w:hAnsi="Tahoma" w:cs="Tahoma"/>
          <w:color w:val="0D0D0D" w:themeColor="text1" w:themeTint="F2"/>
          <w:sz w:val="24"/>
          <w:szCs w:val="18"/>
          <w:rtl/>
        </w:rPr>
        <w:t>.</w:t>
      </w:r>
    </w:p>
    <w:p w14:paraId="7C8D17E2" w14:textId="77777777" w:rsidR="001A2896" w:rsidRPr="006061A9" w:rsidRDefault="001A2896" w:rsidP="009E71B8">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6"/>
          <w:headerReference w:type="default" r:id="rId17"/>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CF3951">
      <w:pPr>
        <w:spacing w:before="240" w:after="180" w:line="240" w:lineRule="atLeast"/>
        <w:jc w:val="both"/>
        <w:rPr>
          <w:rtl/>
        </w:rPr>
      </w:pPr>
      <w:r>
        <w:rPr>
          <w:noProof/>
          <w:rtl/>
          <w:lang w:val="he-IL"/>
        </w:rPr>
        <w:lastRenderedPageBreak/>
        <w:drawing>
          <wp:inline distT="0" distB="0" distL="0" distR="0" wp14:anchorId="19572BF2" wp14:editId="4CC409C2">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32"/>
        <w:gridCol w:w="120"/>
        <w:gridCol w:w="1648"/>
        <w:gridCol w:w="120"/>
        <w:gridCol w:w="1776"/>
        <w:gridCol w:w="120"/>
        <w:gridCol w:w="1855"/>
      </w:tblGrid>
      <w:tr w:rsidR="001A2896" w:rsidRPr="00273409" w14:paraId="68D85AE8" w14:textId="77777777" w:rsidTr="001A2896">
        <w:tc>
          <w:tcPr>
            <w:tcW w:w="0" w:type="auto"/>
            <w:tcBorders>
              <w:bottom w:val="single" w:sz="8" w:space="0" w:color="auto"/>
            </w:tcBorders>
          </w:tcPr>
          <w:p w14:paraId="20B4B085" w14:textId="223022E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eastAsia"/>
                <w:b/>
                <w:bCs/>
                <w:color w:val="0D0D0D" w:themeColor="text1" w:themeTint="F2"/>
                <w:sz w:val="24"/>
                <w:szCs w:val="24"/>
                <w:rtl/>
              </w:rPr>
              <w:t>כ</w:t>
            </w:r>
            <w:r w:rsidRPr="00243FB4">
              <w:rPr>
                <w:rFonts w:ascii="Tahoma" w:hAnsi="Tahoma" w:cs="Tahoma"/>
                <w:b/>
                <w:bCs/>
                <w:color w:val="0D0D0D" w:themeColor="text1" w:themeTint="F2"/>
                <w:sz w:val="24"/>
                <w:szCs w:val="24"/>
                <w:rtl/>
              </w:rPr>
              <w:t>-</w:t>
            </w:r>
            <w:r w:rsidRPr="00243FB4">
              <w:rPr>
                <w:rFonts w:ascii="Tahoma" w:hAnsi="Tahoma" w:cs="Tahoma"/>
                <w:b/>
                <w:bCs/>
                <w:color w:val="0D0D0D" w:themeColor="text1" w:themeTint="F2"/>
                <w:sz w:val="36"/>
                <w:szCs w:val="36"/>
                <w:rtl/>
              </w:rPr>
              <w:t xml:space="preserve">67.2 </w:t>
            </w:r>
            <w:r>
              <w:rPr>
                <w:rFonts w:ascii="Tahoma" w:hAnsi="Tahoma" w:cs="Tahoma"/>
                <w:b/>
                <w:bCs/>
                <w:color w:val="0D0D0D" w:themeColor="text1" w:themeTint="F2"/>
                <w:sz w:val="36"/>
                <w:szCs w:val="36"/>
                <w:rtl/>
              </w:rPr>
              <w:br/>
            </w:r>
            <w:r w:rsidRPr="00243FB4">
              <w:rPr>
                <w:rFonts w:ascii="Tahoma" w:hAnsi="Tahoma" w:cs="Tahoma" w:hint="eastAsia"/>
                <w:b/>
                <w:bCs/>
                <w:color w:val="0D0D0D" w:themeColor="text1" w:themeTint="F2"/>
                <w:sz w:val="24"/>
                <w:szCs w:val="24"/>
                <w:rtl/>
              </w:rPr>
              <w:t>מיליארד</w:t>
            </w:r>
            <w:r w:rsidRPr="00243FB4">
              <w:rPr>
                <w:rFonts w:ascii="Tahoma" w:hAnsi="Tahoma" w:cs="Tahoma"/>
                <w:b/>
                <w:bCs/>
                <w:color w:val="0D0D0D" w:themeColor="text1" w:themeTint="F2"/>
                <w:sz w:val="24"/>
                <w:szCs w:val="24"/>
                <w:rtl/>
              </w:rPr>
              <w:t xml:space="preserve"> </w:t>
            </w:r>
            <w:r w:rsidRPr="00243FB4">
              <w:rPr>
                <w:rFonts w:ascii="Tahoma" w:hAnsi="Tahoma" w:cs="Tahoma" w:hint="eastAsia"/>
                <w:b/>
                <w:bCs/>
                <w:color w:val="0D0D0D" w:themeColor="text1" w:themeTint="F2"/>
                <w:sz w:val="24"/>
                <w:szCs w:val="24"/>
                <w:rtl/>
              </w:rPr>
              <w:t>ש</w:t>
            </w:r>
            <w:r w:rsidRPr="00243FB4">
              <w:rPr>
                <w:rFonts w:ascii="Tahoma" w:hAnsi="Tahoma" w:cs="Tahoma"/>
                <w:b/>
                <w:bCs/>
                <w:color w:val="0D0D0D" w:themeColor="text1" w:themeTint="F2"/>
                <w:sz w:val="24"/>
                <w:szCs w:val="24"/>
                <w:rtl/>
              </w:rPr>
              <w:t>"ח</w:t>
            </w:r>
          </w:p>
        </w:tc>
        <w:tc>
          <w:tcPr>
            <w:tcW w:w="0" w:type="auto"/>
          </w:tcPr>
          <w:p w14:paraId="4EE4A413" w14:textId="77777777" w:rsidR="001A2896" w:rsidRPr="00EB7D7A" w:rsidRDefault="001A2896" w:rsidP="001A2896">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3008EDB9"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6.9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c>
          <w:tcPr>
            <w:tcW w:w="0" w:type="auto"/>
          </w:tcPr>
          <w:p w14:paraId="5F7FD195"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1E5A086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215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77C54876"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544B315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r>
      <w:tr w:rsidR="001A2896" w:rsidRPr="00273409" w14:paraId="7ABA02FF" w14:textId="77777777" w:rsidTr="00B40A36">
        <w:tc>
          <w:tcPr>
            <w:tcW w:w="0" w:type="auto"/>
            <w:tcBorders>
              <w:top w:val="single" w:sz="8" w:space="0" w:color="auto"/>
            </w:tcBorders>
          </w:tcPr>
          <w:p w14:paraId="4F245909" w14:textId="24DB8A26" w:rsidR="001A2896" w:rsidRPr="00273409" w:rsidRDefault="002041F8" w:rsidP="001A2896">
            <w:pPr>
              <w:spacing w:before="60" w:after="0" w:line="240" w:lineRule="auto"/>
              <w:ind w:right="23"/>
              <w:rPr>
                <w:rFonts w:ascii="Tahoma" w:hAnsi="Tahoma" w:cs="Tahoma"/>
                <w:color w:val="0D0D0D" w:themeColor="text1" w:themeTint="F2"/>
                <w:sz w:val="18"/>
                <w:szCs w:val="18"/>
                <w:rtl/>
              </w:rPr>
            </w:pPr>
            <w:r w:rsidRPr="002041F8">
              <w:rPr>
                <w:rFonts w:ascii="Tahoma" w:hAnsi="Tahoma" w:cs="Tahoma" w:hint="eastAsia"/>
                <w:color w:val="0D0D0D" w:themeColor="text1" w:themeTint="F2"/>
                <w:sz w:val="18"/>
                <w:szCs w:val="18"/>
                <w:rtl/>
              </w:rPr>
              <w:t>סכום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יתרות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החובה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למדינה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במאזנים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ובדוחות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הכספיים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המאוחדים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לשנת</w:t>
            </w:r>
            <w:r w:rsidRPr="002041F8">
              <w:rPr>
                <w:rFonts w:ascii="Tahoma" w:hAnsi="Tahoma" w:cs="Tahoma"/>
                <w:color w:val="0D0D0D" w:themeColor="text1" w:themeTint="F2"/>
                <w:sz w:val="18"/>
                <w:szCs w:val="18"/>
                <w:rtl/>
              </w:rPr>
              <w:t xml:space="preserve"> 2019, </w:t>
            </w:r>
            <w:r w:rsidRPr="002041F8">
              <w:rPr>
                <w:rFonts w:ascii="Tahoma" w:hAnsi="Tahoma" w:cs="Tahoma" w:hint="eastAsia"/>
                <w:color w:val="0D0D0D" w:themeColor="text1" w:themeTint="F2"/>
                <w:sz w:val="18"/>
                <w:szCs w:val="18"/>
                <w:rtl/>
              </w:rPr>
              <w:t>מתוכם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רכיבי</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עסקאות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ושאינן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היה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כ</w:t>
            </w:r>
            <w:r w:rsidRPr="002041F8">
              <w:rPr>
                <w:rFonts w:ascii="Tahoma" w:hAnsi="Tahoma" w:cs="Tahoma"/>
                <w:color w:val="0D0D0D" w:themeColor="text1" w:themeTint="F2"/>
                <w:sz w:val="18"/>
                <w:szCs w:val="18"/>
                <w:rtl/>
              </w:rPr>
              <w:t xml:space="preserve">-39 </w:t>
            </w:r>
            <w:r w:rsidRPr="002041F8">
              <w:rPr>
                <w:rFonts w:ascii="Tahoma" w:hAnsi="Tahoma" w:cs="Tahoma" w:hint="eastAsia"/>
                <w:color w:val="0D0D0D" w:themeColor="text1" w:themeTint="F2"/>
                <w:sz w:val="18"/>
                <w:szCs w:val="18"/>
                <w:rtl/>
              </w:rPr>
              <w:t>מיליארד</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ש</w:t>
            </w:r>
            <w:r w:rsidRPr="002041F8">
              <w:rPr>
                <w:rFonts w:ascii="Tahoma" w:hAnsi="Tahoma" w:cs="Tahoma"/>
                <w:color w:val="0D0D0D" w:themeColor="text1" w:themeTint="F2"/>
                <w:sz w:val="18"/>
                <w:szCs w:val="18"/>
                <w:rtl/>
              </w:rPr>
              <w:t>"</w:t>
            </w:r>
            <w:r w:rsidRPr="002041F8">
              <w:rPr>
                <w:rFonts w:ascii="Tahoma" w:hAnsi="Tahoma" w:cs="Tahoma" w:hint="eastAsia"/>
                <w:color w:val="0D0D0D" w:themeColor="text1" w:themeTint="F2"/>
                <w:sz w:val="18"/>
                <w:szCs w:val="18"/>
                <w:rtl/>
              </w:rPr>
              <w:t>ח</w:t>
            </w:r>
            <w:r w:rsidRPr="002041F8">
              <w:rPr>
                <w:rFonts w:ascii="Tahoma" w:hAnsi="Tahoma" w:cs="Tahoma"/>
                <w:color w:val="0D0D0D" w:themeColor="text1" w:themeTint="F2"/>
                <w:sz w:val="18"/>
                <w:szCs w:val="18"/>
                <w:rtl/>
              </w:rPr>
              <w:t>.</w:t>
            </w:r>
          </w:p>
        </w:tc>
        <w:tc>
          <w:tcPr>
            <w:tcW w:w="0" w:type="auto"/>
          </w:tcPr>
          <w:p w14:paraId="4078978B"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669EB3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סכום החובות למדינה שאושר למחיקה על ידי הוועדה העליונה לפשרות, מחיקות והסדרי חוב במשרד האוצר, מתחילת 2017 עד אמצע 2020.</w:t>
            </w:r>
          </w:p>
        </w:tc>
        <w:tc>
          <w:tcPr>
            <w:tcW w:w="0" w:type="auto"/>
          </w:tcPr>
          <w:p w14:paraId="46814C56"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511417F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סכום</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החובות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שנותרו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לגב</w:t>
            </w:r>
            <w:r w:rsidRPr="00243FB4">
              <w:rPr>
                <w:rFonts w:ascii="Tahoma" w:hAnsi="Tahoma" w:cs="Tahoma" w:hint="cs"/>
                <w:color w:val="0D0D0D" w:themeColor="text1" w:themeTint="F2"/>
                <w:sz w:val="18"/>
                <w:szCs w:val="18"/>
                <w:rtl/>
              </w:rPr>
              <w:t>י</w:t>
            </w:r>
            <w:r w:rsidRPr="00243FB4">
              <w:rPr>
                <w:rFonts w:ascii="Tahoma" w:hAnsi="Tahoma" w:cs="Tahoma" w:hint="eastAsia"/>
                <w:color w:val="0D0D0D" w:themeColor="text1" w:themeTint="F2"/>
                <w:sz w:val="18"/>
                <w:szCs w:val="18"/>
                <w:rtl/>
              </w:rPr>
              <w:t>יה</w:t>
            </w:r>
            <w:r w:rsidRPr="00243FB4">
              <w:rPr>
                <w:rFonts w:ascii="Tahoma" w:hAnsi="Tahoma" w:cs="Tahoma" w:hint="cs"/>
                <w:color w:val="0D0D0D" w:themeColor="text1" w:themeTint="F2"/>
                <w:sz w:val="18"/>
                <w:szCs w:val="18"/>
                <w:rtl/>
              </w:rPr>
              <w:t xml:space="preserve"> </w:t>
            </w:r>
            <w:proofErr w:type="spellStart"/>
            <w:r w:rsidRPr="00243FB4">
              <w:rPr>
                <w:rFonts w:ascii="Tahoma" w:hAnsi="Tahoma" w:cs="Tahoma" w:hint="cs"/>
                <w:color w:val="0D0D0D" w:themeColor="text1" w:themeTint="F2"/>
                <w:sz w:val="18"/>
                <w:szCs w:val="18"/>
                <w:rtl/>
              </w:rPr>
              <w:t>במינהל</w:t>
            </w:r>
            <w:proofErr w:type="spellEnd"/>
            <w:r w:rsidRPr="00243FB4">
              <w:rPr>
                <w:rFonts w:ascii="Tahoma" w:hAnsi="Tahoma" w:cs="Tahoma" w:hint="cs"/>
                <w:color w:val="0D0D0D" w:themeColor="text1" w:themeTint="F2"/>
                <w:sz w:val="18"/>
                <w:szCs w:val="18"/>
                <w:rtl/>
              </w:rPr>
              <w:t xml:space="preserve"> הגבייה הממשלתי בסוף 2020. משנת 2017 נגבו כ-212 מיליון ש"ח.</w:t>
            </w:r>
          </w:p>
        </w:tc>
        <w:tc>
          <w:tcPr>
            <w:tcW w:w="0" w:type="auto"/>
          </w:tcPr>
          <w:p w14:paraId="486EDF71"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14C48C7E"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w:t>
            </w:r>
            <w:r w:rsidRPr="00243FB4">
              <w:rPr>
                <w:rFonts w:ascii="Tahoma" w:hAnsi="Tahoma" w:cs="Tahoma" w:hint="eastAsia"/>
                <w:color w:val="0D0D0D" w:themeColor="text1" w:themeTint="F2"/>
                <w:sz w:val="18"/>
                <w:szCs w:val="18"/>
                <w:rtl/>
              </w:rPr>
              <w:t>החוב</w:t>
            </w:r>
            <w:r w:rsidRPr="00243FB4">
              <w:rPr>
                <w:rFonts w:ascii="Tahoma" w:hAnsi="Tahoma" w:cs="Tahoma"/>
                <w:color w:val="0D0D0D" w:themeColor="text1" w:themeTint="F2"/>
                <w:sz w:val="18"/>
                <w:szCs w:val="18"/>
                <w:rtl/>
              </w:rPr>
              <w:t xml:space="preserve"> הנומינלי </w:t>
            </w:r>
            <w:r w:rsidRPr="00243FB4">
              <w:rPr>
                <w:rFonts w:ascii="Tahoma" w:hAnsi="Tahoma" w:cs="Tahoma" w:hint="eastAsia"/>
                <w:color w:val="0D0D0D" w:themeColor="text1" w:themeTint="F2"/>
                <w:sz w:val="18"/>
                <w:szCs w:val="18"/>
                <w:rtl/>
              </w:rPr>
              <w:t>לרשות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מקרקעי</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ישראל</w:t>
            </w:r>
            <w:r w:rsidRPr="00243FB4">
              <w:rPr>
                <w:rFonts w:ascii="Tahoma" w:hAnsi="Tahoma" w:cs="Tahoma" w:hint="cs"/>
                <w:color w:val="0D0D0D" w:themeColor="text1" w:themeTint="F2"/>
                <w:sz w:val="18"/>
                <w:szCs w:val="18"/>
                <w:rtl/>
              </w:rPr>
              <w:t xml:space="preserve"> שערכו הריאלי ליום 31.12.20 היה 15.3 מיליארד ש"ח.</w:t>
            </w:r>
          </w:p>
        </w:tc>
      </w:tr>
      <w:tr w:rsidR="000E7743" w:rsidRPr="00DF2E81" w14:paraId="622BAF95" w14:textId="77777777" w:rsidTr="001A2896">
        <w:tc>
          <w:tcPr>
            <w:tcW w:w="0" w:type="auto"/>
          </w:tcPr>
          <w:p w14:paraId="4D11F93B"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r>
      <w:tr w:rsidR="001A2896" w:rsidRPr="00273409" w14:paraId="39D3C959" w14:textId="77777777" w:rsidTr="001A2896">
        <w:tc>
          <w:tcPr>
            <w:tcW w:w="0" w:type="auto"/>
            <w:tcBorders>
              <w:bottom w:val="single" w:sz="8" w:space="0" w:color="auto"/>
            </w:tcBorders>
          </w:tcPr>
          <w:p w14:paraId="40FBD9EB" w14:textId="0D6AD5E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534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18E3F0B4"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41B2D4C5"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98</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פעולת אכיפה משולבת ומשלימה</w:t>
            </w:r>
          </w:p>
        </w:tc>
        <w:tc>
          <w:tcPr>
            <w:tcW w:w="0" w:type="auto"/>
          </w:tcPr>
          <w:p w14:paraId="408613F7"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0B9E5D6C"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 xml:space="preserve">184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תביעות יזומות</w:t>
            </w:r>
          </w:p>
        </w:tc>
        <w:tc>
          <w:tcPr>
            <w:tcW w:w="0" w:type="auto"/>
          </w:tcPr>
          <w:p w14:paraId="35BBA251"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tcPr>
          <w:p w14:paraId="7A4EBDC9" w14:textId="5572B0A8"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22,700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"תיקי הגנה"</w:t>
            </w:r>
          </w:p>
        </w:tc>
      </w:tr>
      <w:tr w:rsidR="001A2896" w:rsidRPr="00273409" w14:paraId="71D402F9" w14:textId="77777777" w:rsidTr="001A2896">
        <w:tc>
          <w:tcPr>
            <w:tcW w:w="0" w:type="auto"/>
            <w:tcBorders>
              <w:top w:val="single" w:sz="8" w:space="0" w:color="auto"/>
            </w:tcBorders>
          </w:tcPr>
          <w:p w14:paraId="0CE02298" w14:textId="1468CDA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החיובים בתחום המיסוי העירוני </w:t>
            </w:r>
            <w:proofErr w:type="spellStart"/>
            <w:r w:rsidRPr="00243FB4">
              <w:rPr>
                <w:rFonts w:ascii="Tahoma" w:hAnsi="Tahoma" w:cs="Tahoma" w:hint="cs"/>
                <w:color w:val="0D0D0D" w:themeColor="text1" w:themeTint="F2"/>
                <w:sz w:val="18"/>
                <w:szCs w:val="18"/>
                <w:rtl/>
              </w:rPr>
              <w:t>שמינהל</w:t>
            </w:r>
            <w:proofErr w:type="spellEnd"/>
            <w:r w:rsidRPr="00243FB4">
              <w:rPr>
                <w:rFonts w:ascii="Tahoma" w:hAnsi="Tahoma" w:cs="Tahoma" w:hint="cs"/>
                <w:color w:val="0D0D0D" w:themeColor="text1" w:themeTint="F2"/>
                <w:sz w:val="18"/>
                <w:szCs w:val="18"/>
                <w:rtl/>
              </w:rPr>
              <w:t xml:space="preserve"> הדיור הממשלתי במשרד האוצר השיג עליו ב-197 תיקים בשנים</w:t>
            </w:r>
            <w:r w:rsidR="002041F8">
              <w:rPr>
                <w:rFonts w:ascii="Tahoma" w:hAnsi="Tahoma" w:cs="Tahoma" w:hint="cs"/>
                <w:color w:val="0D0D0D" w:themeColor="text1" w:themeTint="F2"/>
                <w:sz w:val="18"/>
                <w:szCs w:val="18"/>
                <w:rtl/>
              </w:rPr>
              <w:t xml:space="preserve"> </w:t>
            </w:r>
            <w:r w:rsidRPr="00243FB4">
              <w:rPr>
                <w:rFonts w:ascii="Tahoma" w:hAnsi="Tahoma" w:cs="Tahoma" w:hint="cs"/>
                <w:color w:val="0D0D0D" w:themeColor="text1" w:themeTint="F2"/>
                <w:sz w:val="18"/>
                <w:szCs w:val="18"/>
                <w:rtl/>
              </w:rPr>
              <w:t>2017 - 2019. לאחר טיפול משפטי הופחת סכום החיוב לכ-133 מיליון ש"ח.</w:t>
            </w:r>
          </w:p>
        </w:tc>
        <w:tc>
          <w:tcPr>
            <w:tcW w:w="0" w:type="auto"/>
          </w:tcPr>
          <w:p w14:paraId="0D9BCAB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037C89AF" w:rsidR="001A2896" w:rsidRPr="00273409" w:rsidRDefault="001A2896" w:rsidP="001A2896">
            <w:pPr>
              <w:spacing w:before="60" w:after="0" w:line="240" w:lineRule="auto"/>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המבצעים </w:t>
            </w:r>
            <w:r w:rsidRPr="00243FB4">
              <w:rPr>
                <w:rFonts w:ascii="Tahoma" w:hAnsi="Tahoma" w:cs="Tahoma" w:hint="eastAsia"/>
                <w:color w:val="0D0D0D" w:themeColor="text1" w:themeTint="F2"/>
                <w:sz w:val="18"/>
                <w:szCs w:val="18"/>
                <w:rtl/>
              </w:rPr>
              <w:t>שניהלה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בהשתתפות גורמי אכיפה נוספים בשנת 2019 במסגרת שולחנות עגולים.</w:t>
            </w:r>
          </w:p>
        </w:tc>
        <w:tc>
          <w:tcPr>
            <w:tcW w:w="0" w:type="auto"/>
          </w:tcPr>
          <w:p w14:paraId="716EF32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248CAB8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התביעות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האזרחיות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היזומות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שהגישה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בשנת 2019 בסכום כולל של כ-708 מיליון ש"ח. באותה השנה הסתיימו</w:t>
            </w:r>
            <w:r>
              <w:rPr>
                <w:rFonts w:ascii="Tahoma" w:hAnsi="Tahoma" w:cs="Tahoma" w:hint="cs"/>
                <w:color w:val="0D0D0D" w:themeColor="text1" w:themeTint="F2"/>
                <w:sz w:val="18"/>
                <w:szCs w:val="18"/>
              </w:rPr>
              <w:t xml:space="preserve"> </w:t>
            </w:r>
            <w:r w:rsidRPr="00243FB4">
              <w:rPr>
                <w:rFonts w:ascii="Tahoma" w:hAnsi="Tahoma" w:cs="Tahoma" w:hint="cs"/>
                <w:color w:val="0D0D0D" w:themeColor="text1" w:themeTint="F2"/>
                <w:sz w:val="18"/>
                <w:szCs w:val="18"/>
                <w:rtl/>
              </w:rPr>
              <w:t>בבתי המשפט 75 תביעות בזכייה לטובת המדינה בסכום כולל של 290 מיליון ש"ח.</w:t>
            </w:r>
          </w:p>
        </w:tc>
        <w:tc>
          <w:tcPr>
            <w:tcW w:w="0" w:type="auto"/>
          </w:tcPr>
          <w:p w14:paraId="1CD0AE05"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6A77F95F"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התיקים</w:t>
            </w:r>
            <w:r w:rsidRPr="00243FB4">
              <w:rPr>
                <w:rFonts w:ascii="Tahoma" w:hAnsi="Tahoma" w:cs="Tahoma" w:hint="eastAsia"/>
                <w:color w:val="0D0D0D" w:themeColor="text1" w:themeTint="F2"/>
                <w:sz w:val="18"/>
                <w:szCs w:val="18"/>
                <w:rtl/>
              </w:rPr>
              <w:t xml:space="preserve"> </w:t>
            </w:r>
            <w:r w:rsidRPr="00243FB4">
              <w:rPr>
                <w:rFonts w:ascii="Tahoma" w:hAnsi="Tahoma" w:cs="Tahoma" w:hint="cs"/>
                <w:color w:val="0D0D0D" w:themeColor="text1" w:themeTint="F2"/>
                <w:sz w:val="18"/>
                <w:szCs w:val="18"/>
                <w:rtl/>
              </w:rPr>
              <w:t>ש</w:t>
            </w:r>
            <w:r w:rsidRPr="00243FB4">
              <w:rPr>
                <w:rFonts w:ascii="Tahoma" w:hAnsi="Tahoma" w:cs="Tahoma" w:hint="eastAsia"/>
                <w:color w:val="0D0D0D" w:themeColor="text1" w:themeTint="F2"/>
                <w:sz w:val="18"/>
                <w:szCs w:val="18"/>
                <w:rtl/>
              </w:rPr>
              <w:t>נפתחו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בפרקליטות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w:t>
            </w:r>
            <w:r w:rsidRPr="00243FB4">
              <w:rPr>
                <w:rFonts w:ascii="Tahoma" w:hAnsi="Tahoma" w:cs="Tahoma" w:hint="cs"/>
                <w:color w:val="0D0D0D" w:themeColor="text1" w:themeTint="F2"/>
                <w:sz w:val="18"/>
                <w:szCs w:val="18"/>
                <w:rtl/>
              </w:rPr>
              <w:t xml:space="preserve">- </w:t>
            </w:r>
            <w:r w:rsidRPr="00243FB4">
              <w:rPr>
                <w:rFonts w:ascii="Tahoma" w:hAnsi="Tahoma" w:cs="Tahoma"/>
                <w:color w:val="0D0D0D" w:themeColor="text1" w:themeTint="F2"/>
                <w:sz w:val="18"/>
                <w:szCs w:val="18"/>
                <w:rtl/>
              </w:rPr>
              <w:t>2019</w:t>
            </w:r>
            <w:r w:rsidRPr="00243FB4">
              <w:rPr>
                <w:rFonts w:ascii="Tahoma" w:hAnsi="Tahoma" w:cs="Tahoma" w:hint="cs"/>
                <w:color w:val="0D0D0D" w:themeColor="text1" w:themeTint="F2"/>
                <w:sz w:val="18"/>
                <w:szCs w:val="18"/>
                <w:rtl/>
              </w:rPr>
              <w:t xml:space="preserve"> שלא ביוזמת המדינה</w:t>
            </w:r>
            <w:r w:rsidRPr="00243FB4">
              <w:rPr>
                <w:rFonts w:ascii="Tahoma" w:hAnsi="Tahoma" w:cs="Tahoma"/>
                <w:color w:val="0D0D0D" w:themeColor="text1" w:themeTint="F2"/>
                <w:sz w:val="18"/>
                <w:szCs w:val="18"/>
                <w:rtl/>
              </w:rPr>
              <w:t>.</w:t>
            </w:r>
            <w:r w:rsidRPr="00243FB4">
              <w:rPr>
                <w:rFonts w:ascii="Tahoma" w:hAnsi="Tahoma" w:cs="Tahoma" w:hint="cs"/>
                <w:color w:val="0D0D0D" w:themeColor="text1" w:themeTint="F2"/>
                <w:sz w:val="18"/>
                <w:szCs w:val="18"/>
                <w:rtl/>
              </w:rPr>
              <w:t xml:space="preserve"> לפי מאזן המדינה ליום 31.12.19 ההפרשה לתביעות משפטיות: כ-9.3 מיליארד ש"ח.</w:t>
            </w:r>
          </w:p>
        </w:tc>
      </w:tr>
    </w:tbl>
    <w:p w14:paraId="6D83076F" w14:textId="77777777" w:rsidR="000E7743" w:rsidRDefault="000E7743" w:rsidP="000E7743">
      <w:pPr>
        <w:jc w:val="both"/>
        <w:rPr>
          <w:rtl/>
        </w:rPr>
      </w:pPr>
    </w:p>
    <w:p w14:paraId="174D246D" w14:textId="77777777" w:rsidR="000E7743" w:rsidRPr="000E7743" w:rsidRDefault="000E7743" w:rsidP="000E7743"/>
    <w:p w14:paraId="2F9E7ABA" w14:textId="77777777" w:rsidR="009C13C8" w:rsidRDefault="009C13C8" w:rsidP="00D8333F">
      <w:pPr>
        <w:pStyle w:val="TableofFigures"/>
        <w:bidi w:val="0"/>
        <w:rPr>
          <w:rtl/>
          <w:lang w:eastAsia="en-US"/>
        </w:rPr>
      </w:pPr>
      <w:r>
        <w:rPr>
          <w:rtl/>
          <w:lang w:eastAsia="en-US"/>
        </w:rPr>
        <w:br w:type="page"/>
      </w: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17B7389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6B4DB494" w:rsidR="000A1D75" w:rsidRPr="0011654F" w:rsidRDefault="005A207D" w:rsidP="005A207D">
      <w:pPr>
        <w:spacing w:after="180" w:line="260" w:lineRule="exact"/>
        <w:ind w:left="397" w:hanging="397"/>
        <w:jc w:val="both"/>
        <w:rPr>
          <w:rFonts w:ascii="Tahoma" w:hAnsi="Tahoma" w:cs="Tahoma"/>
          <w:color w:val="0D0D0D" w:themeColor="text1" w:themeTint="F2"/>
          <w:sz w:val="18"/>
          <w:szCs w:val="18"/>
        </w:rPr>
      </w:pPr>
      <w:r w:rsidRPr="008C15A5">
        <w:rPr>
          <w:rFonts w:ascii="Tahoma" w:hAnsi="Tahoma" w:cs="Tahoma"/>
          <w:noProof/>
          <w:color w:val="231F20"/>
          <w:position w:val="-4"/>
          <w:sz w:val="24"/>
          <w:szCs w:val="18"/>
        </w:rPr>
        <w:drawing>
          <wp:inline distT="0" distB="0" distL="0" distR="0" wp14:anchorId="1F158036" wp14:editId="16E46792">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szCs w:val="18"/>
        </w:rPr>
        <w:tab/>
      </w:r>
      <w:r w:rsidR="001A2896" w:rsidRPr="0011654F">
        <w:rPr>
          <w:rFonts w:ascii="Tahoma" w:hAnsi="Tahoma" w:cs="Tahoma" w:hint="eastAsia"/>
          <w:color w:val="0D0D0D" w:themeColor="text1" w:themeTint="F2"/>
          <w:sz w:val="18"/>
          <w:szCs w:val="18"/>
          <w:rtl/>
        </w:rPr>
        <w:t>בחודשים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פברואר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דצמבר</w:t>
      </w:r>
      <w:r w:rsidR="001A2896" w:rsidRPr="0011654F">
        <w:rPr>
          <w:rFonts w:ascii="Tahoma" w:hAnsi="Tahoma" w:cs="Tahoma"/>
          <w:color w:val="0D0D0D" w:themeColor="text1" w:themeTint="F2"/>
          <w:sz w:val="18"/>
          <w:szCs w:val="18"/>
          <w:rtl/>
        </w:rPr>
        <w:t xml:space="preserve"> 2020 </w:t>
      </w:r>
      <w:r w:rsidR="001A2896" w:rsidRPr="0011654F">
        <w:rPr>
          <w:rFonts w:ascii="Tahoma" w:hAnsi="Tahoma" w:cs="Tahoma" w:hint="eastAsia"/>
          <w:color w:val="0D0D0D" w:themeColor="text1" w:themeTint="F2"/>
          <w:sz w:val="18"/>
          <w:szCs w:val="18"/>
          <w:rtl/>
        </w:rPr>
        <w:t>בדק</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את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האכיפה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האזרחית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עיקר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בפרקליטות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האוצר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מקרקעי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ישראל</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וכן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ביקורת</w:t>
      </w:r>
      <w:r w:rsidR="001A2896" w:rsidRPr="0011654F">
        <w:rPr>
          <w:rFonts w:ascii="Tahoma" w:hAnsi="Tahoma" w:cs="Tahoma"/>
          <w:color w:val="0D0D0D" w:themeColor="text1" w:themeTint="F2"/>
          <w:sz w:val="18"/>
          <w:szCs w:val="18"/>
          <w:rtl/>
        </w:rPr>
        <w:t xml:space="preserve"> </w:t>
      </w:r>
      <w:proofErr w:type="spellStart"/>
      <w:r w:rsidR="001A2896" w:rsidRPr="0011654F">
        <w:rPr>
          <w:rFonts w:ascii="Tahoma" w:hAnsi="Tahoma" w:cs="Tahoma" w:hint="eastAsia"/>
          <w:color w:val="0D0D0D" w:themeColor="text1" w:themeTint="F2"/>
          <w:sz w:val="18"/>
          <w:szCs w:val="18"/>
          <w:rtl/>
        </w:rPr>
        <w:t>במינהל</w:t>
      </w:r>
      <w:proofErr w:type="spellEnd"/>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הגבייה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הביטחון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החינוך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המשפטים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במשטרה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החברות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הארצית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לכבאות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והצלה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וולקני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הרווחה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הפנים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הבינוי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והשיכון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הבריאות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התיירות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הכלכלה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והתעשייה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להגנת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הסביבה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במהלך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שאלונים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w:t>
      </w:r>
      <w:r w:rsidR="001A2896" w:rsidRPr="0011654F">
        <w:rPr>
          <w:rFonts w:ascii="Tahoma" w:hAnsi="Tahoma" w:cs="Tahoma"/>
          <w:color w:val="0D0D0D" w:themeColor="text1" w:themeTint="F2"/>
          <w:sz w:val="18"/>
          <w:szCs w:val="18"/>
          <w:rtl/>
        </w:rPr>
        <w:t xml:space="preserve">-42 </w:t>
      </w:r>
      <w:r w:rsidR="001A2896" w:rsidRPr="0011654F">
        <w:rPr>
          <w:rFonts w:ascii="Tahoma" w:hAnsi="Tahoma" w:cs="Tahoma" w:hint="eastAsia"/>
          <w:color w:val="0D0D0D" w:themeColor="text1" w:themeTint="F2"/>
          <w:sz w:val="18"/>
          <w:szCs w:val="18"/>
          <w:rtl/>
        </w:rPr>
        <w:t>מנכ</w:t>
      </w:r>
      <w:r w:rsidR="001A2896" w:rsidRPr="0011654F">
        <w:rPr>
          <w:rFonts w:ascii="Tahoma" w:hAnsi="Tahoma" w:cs="Tahoma"/>
          <w:color w:val="0D0D0D" w:themeColor="text1" w:themeTint="F2"/>
          <w:sz w:val="18"/>
          <w:szCs w:val="18"/>
          <w:rtl/>
        </w:rPr>
        <w:t>"</w:t>
      </w:r>
      <w:r w:rsidR="001A2896" w:rsidRPr="0011654F">
        <w:rPr>
          <w:rFonts w:ascii="Tahoma" w:hAnsi="Tahoma" w:cs="Tahoma" w:hint="eastAsia"/>
          <w:color w:val="0D0D0D" w:themeColor="text1" w:themeTint="F2"/>
          <w:sz w:val="18"/>
          <w:szCs w:val="18"/>
          <w:rtl/>
        </w:rPr>
        <w:t>לים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וראשי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לצורך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ריכוז</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מידע</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וניתוחו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מענים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לשאלון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התקבלו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במועד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w:t>
      </w:r>
      <w:r w:rsidR="001A2896" w:rsidRPr="0011654F">
        <w:rPr>
          <w:rFonts w:ascii="Tahoma" w:hAnsi="Tahoma" w:cs="Tahoma"/>
          <w:color w:val="0D0D0D" w:themeColor="text1" w:themeTint="F2"/>
          <w:sz w:val="18"/>
          <w:szCs w:val="18"/>
          <w:rtl/>
        </w:rPr>
        <w:t xml:space="preserve">-34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(81% </w:t>
      </w:r>
      <w:r w:rsidR="001A2896" w:rsidRPr="0011654F">
        <w:rPr>
          <w:rFonts w:ascii="Tahoma" w:hAnsi="Tahoma" w:cs="Tahoma" w:hint="eastAsia"/>
          <w:color w:val="0D0D0D" w:themeColor="text1" w:themeTint="F2"/>
          <w:sz w:val="18"/>
          <w:szCs w:val="18"/>
          <w:rtl/>
        </w:rPr>
        <w:t>מהגופים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שאליהם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השאלון</w:t>
      </w:r>
      <w:r w:rsidR="001A2896" w:rsidRPr="0011654F">
        <w:rPr>
          <w:rFonts w:ascii="Tahoma" w:hAnsi="Tahoma" w:cs="Tahoma"/>
          <w:color w:val="0D0D0D" w:themeColor="text1" w:themeTint="F2"/>
          <w:sz w:val="18"/>
          <w:szCs w:val="18"/>
          <w:rtl/>
        </w:rPr>
        <w:t>).</w:t>
      </w:r>
    </w:p>
    <w:p w14:paraId="012B1DA7" w14:textId="77777777" w:rsidR="0011654F" w:rsidRPr="005A207D" w:rsidRDefault="0011654F" w:rsidP="005A207D">
      <w:pPr>
        <w:spacing w:after="180" w:line="260" w:lineRule="exact"/>
        <w:ind w:left="360"/>
        <w:rPr>
          <w:color w:val="0D0D0D" w:themeColor="text1" w:themeTint="F2"/>
          <w:sz w:val="18"/>
          <w:szCs w:val="18"/>
          <w:rtl/>
        </w:rPr>
      </w:pPr>
    </w:p>
    <w:p w14:paraId="616E0801" w14:textId="24F34043" w:rsidR="00A0661A" w:rsidRDefault="00A0661A" w:rsidP="00A0661A">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9264" behindDoc="1" locked="0" layoutInCell="1" allowOverlap="1" wp14:anchorId="53FDD1F5" wp14:editId="6B02958D">
            <wp:simplePos x="0" y="0"/>
            <wp:positionH relativeFrom="column">
              <wp:posOffset>-11430</wp:posOffset>
            </wp:positionH>
            <wp:positionV relativeFrom="paragraph">
              <wp:posOffset>67945</wp:posOffset>
            </wp:positionV>
            <wp:extent cx="4676621" cy="4191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1431" cy="419531"/>
                    </a:xfrm>
                    <a:prstGeom prst="rect">
                      <a:avLst/>
                    </a:prstGeom>
                  </pic:spPr>
                </pic:pic>
              </a:graphicData>
            </a:graphic>
            <wp14:sizeRelH relativeFrom="margin">
              <wp14:pctWidth>0</wp14:pctWidth>
            </wp14:sizeRelH>
            <wp14:sizeRelV relativeFrom="margin">
              <wp14:pctHeight>0</wp14:pctHeight>
            </wp14:sizeRelV>
          </wp:anchor>
        </w:drawing>
      </w:r>
    </w:p>
    <w:p w14:paraId="5535F2FE" w14:textId="26C3146C" w:rsidR="00A0661A" w:rsidRPr="009A797B" w:rsidRDefault="00A0661A" w:rsidP="00A0661A">
      <w:pPr>
        <w:spacing w:before="120" w:after="0" w:line="240" w:lineRule="atLeast"/>
        <w:ind w:left="170" w:right="113"/>
        <w:jc w:val="both"/>
        <w:rPr>
          <w:rFonts w:ascii="Tahoma" w:hAnsi="Tahoma" w:cs="Tahoma"/>
          <w:b/>
          <w:bCs/>
          <w:color w:val="FFFFFF" w:themeColor="background1"/>
          <w:sz w:val="22"/>
          <w:szCs w:val="22"/>
          <w:rtl/>
        </w:rPr>
      </w:pPr>
      <w:r w:rsidRPr="00A0661A">
        <w:rPr>
          <w:rFonts w:ascii="Tahoma" w:hAnsi="Tahoma" w:cs="Tahoma" w:hint="eastAsia"/>
          <w:b/>
          <w:bCs/>
          <w:color w:val="FFFFFF" w:themeColor="background1"/>
          <w:sz w:val="22"/>
          <w:szCs w:val="22"/>
          <w:rtl/>
        </w:rPr>
        <w:t>השלבים</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לשימוש</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מיטבי</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באכיפה</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אזרחית</w:t>
      </w:r>
      <w:r w:rsidRPr="00A0661A">
        <w:rPr>
          <w:rFonts w:ascii="Tahoma" w:hAnsi="Tahoma" w:cs="Tahoma"/>
          <w:b/>
          <w:bCs/>
          <w:color w:val="FFFFFF" w:themeColor="background1"/>
          <w:sz w:val="22"/>
          <w:szCs w:val="22"/>
          <w:rtl/>
        </w:rPr>
        <w:t xml:space="preserve"> </w:t>
      </w:r>
    </w:p>
    <w:p w14:paraId="6121C8B3" w14:textId="3B995C58" w:rsidR="00525E93" w:rsidRDefault="00525E93" w:rsidP="00A0661A">
      <w:pPr>
        <w:bidi w:val="0"/>
        <w:rPr>
          <w:rFonts w:ascii="Tahoma" w:hAnsi="Tahoma" w:cs="Tahoma"/>
          <w:color w:val="231F20"/>
          <w:sz w:val="24"/>
          <w:szCs w:val="18"/>
          <w:rtl/>
        </w:rPr>
      </w:pPr>
    </w:p>
    <w:p w14:paraId="05785DC2" w14:textId="0FB7F1E2" w:rsidR="00A0661A" w:rsidRDefault="00BB1F8B" w:rsidP="00A0661A">
      <w:pPr>
        <w:rPr>
          <w:rFonts w:ascii="Tahoma" w:hAnsi="Tahoma" w:cs="Tahoma"/>
          <w:color w:val="231F20"/>
          <w:sz w:val="24"/>
          <w:szCs w:val="18"/>
        </w:rPr>
      </w:pPr>
      <w:r>
        <w:rPr>
          <w:rFonts w:ascii="Tahoma" w:hAnsi="Tahoma" w:cs="Tahoma"/>
          <w:noProof/>
          <w:color w:val="231F20"/>
          <w:sz w:val="24"/>
          <w:szCs w:val="18"/>
          <w:rtl/>
          <w:lang w:val="he-IL"/>
        </w:rPr>
        <w:drawing>
          <wp:inline distT="0" distB="0" distL="0" distR="0" wp14:anchorId="466318D4" wp14:editId="5D3031DD">
            <wp:extent cx="4322073" cy="13167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2073" cy="1316739"/>
                    </a:xfrm>
                    <a:prstGeom prst="rect">
                      <a:avLst/>
                    </a:prstGeom>
                  </pic:spPr>
                </pic:pic>
              </a:graphicData>
            </a:graphic>
          </wp:inline>
        </w:drawing>
      </w:r>
    </w:p>
    <w:p w14:paraId="1EC72061" w14:textId="77777777" w:rsidR="00BB1F8B" w:rsidRPr="00525E93" w:rsidRDefault="00BB1F8B" w:rsidP="00A0661A">
      <w:pPr>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1CF5DE01">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1F52835D">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C7B8246"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מיצוי פוטנציאל הגבייה והתביעה של המדינה - </w:t>
      </w:r>
      <w:r w:rsidRPr="00BB1F8B">
        <w:rPr>
          <w:sz w:val="18"/>
          <w:szCs w:val="18"/>
          <w:rtl/>
        </w:rPr>
        <w:t xml:space="preserve">בדוחות הכספיים המאוחדים של מדינת ישראל לשנת 2019 סכום החובות כלפי המדינה היה כ-67 מיליארד ש"ח מתוכם רכיבי עסקאות החליפין ושאינן חליפין היה כ-39 מיליארד ש"ח. בשנים 2017 עד יוני 2020 הוועדה העליונה לפשרות, מחיקות והסדרי חוב באגף החשב הכללי (להלן - </w:t>
      </w:r>
      <w:proofErr w:type="spellStart"/>
      <w:r w:rsidRPr="00BB1F8B">
        <w:rPr>
          <w:sz w:val="18"/>
          <w:szCs w:val="18"/>
          <w:rtl/>
        </w:rPr>
        <w:t>החשכ"ל</w:t>
      </w:r>
      <w:proofErr w:type="spellEnd"/>
      <w:r w:rsidRPr="00BB1F8B">
        <w:rPr>
          <w:sz w:val="18"/>
          <w:szCs w:val="18"/>
          <w:rtl/>
        </w:rPr>
        <w:t>) אישרה בקשות למחיקה בהיקף של כ-7 מיליארד ש"ח, ומתשובות הגופים לשאלון הביקורת עולה כי סכום החוב המצרפי שאושר למחיקה בוועדות המחיקה המשרדיות בתקופה זו היה כ-1.9 מיליארד ש"ח. נתונים אלו מדגימים פוטנציאל גבייה ותביעה שלא מומש.</w:t>
      </w:r>
    </w:p>
    <w:p w14:paraId="69418EDE"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הליך מיפוי סיכונים - </w:t>
      </w:r>
      <w:r w:rsidRPr="00BB1F8B">
        <w:rPr>
          <w:sz w:val="18"/>
          <w:szCs w:val="18"/>
          <w:rtl/>
        </w:rPr>
        <w:t xml:space="preserve">68% מהגופים המשיבים לשאלון הביקורת לא ביצעו סקר סיכונים לגבי זכויות הניתנות לאכיפה ו-85% לא גיבשו מדיניות לתיעדוף הטיפול בפגיעה </w:t>
      </w:r>
      <w:r w:rsidRPr="00BB1F8B">
        <w:rPr>
          <w:sz w:val="18"/>
          <w:szCs w:val="18"/>
          <w:rtl/>
        </w:rPr>
        <w:lastRenderedPageBreak/>
        <w:t>בזכויות. ב-42% מהגופים המשיבים אין תהליך מובנה ושיטתי לאיתור, מיפוי וניתוח של חובות כלפי המשרד ופגיעה בזכויותיו. בהיעדר המיפוי, חסר הבסיס ההכרחי לטיפול סדור ונרחב במימוש הזכויות, ונפגעת היכולת לבצע גבייה ואכיפה מיטבית.</w:t>
      </w:r>
    </w:p>
    <w:p w14:paraId="1312D9E1"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תורת ההפעלה של הפרקליטות - </w:t>
      </w:r>
      <w:r w:rsidRPr="00BB1F8B">
        <w:rPr>
          <w:sz w:val="18"/>
          <w:szCs w:val="18"/>
          <w:rtl/>
        </w:rPr>
        <w:t>בחירת המקרים והתיקים המשפטיים שבהם מופעלים כלי אכיפה אזרחית, שעשויים להיות רבי-עוצמה, אינה נעשית באופן שיטתי: חסרה מתודולוגיה סדורה לזיהוי מטרות, לתיעדופן ולבחירת היעדים, והיעדים שנגדם מכוונים מבצעי אכיפה נבחרים על ידי הגופים שלא על פי מדיניות סדורה או אמות מידה ברורות דיין.</w:t>
      </w:r>
    </w:p>
    <w:p w14:paraId="553D508C"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מנגנון לאיתור הפרות של הסכמי התקשרויות - </w:t>
      </w:r>
      <w:r w:rsidRPr="00BB1F8B">
        <w:rPr>
          <w:sz w:val="18"/>
          <w:szCs w:val="18"/>
          <w:rtl/>
        </w:rPr>
        <w:t>ב-41% מהגופים המשיבים לשאלון הביקורת אין מנגנון מובנה לאיתור החובות וההפרות של הסכמים, ואין נוהל עבודה מתוקף לאיתור ולמיפוי של חובות והפרות. עולה החשש כי חלק מהחובות כלפי גופי ממשלה אינם מאותרים, והפרות של הסכמים אינן מדווחות ומטופלות, ובכך נמנעת יכולת האכיפה של הגופים, נמנעת האפשרות ליצירת הרתעה מפני הפרות הסכמים ונגרמים הפסדי ממון למדינה.</w:t>
      </w:r>
    </w:p>
    <w:p w14:paraId="2C47F376" w14:textId="75FD1A40"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פוטנציאל הגשת תביעות אזרחיות יזומות אגב הליכים פליליים - </w:t>
      </w:r>
      <w:r w:rsidRPr="00BB1F8B">
        <w:rPr>
          <w:sz w:val="18"/>
          <w:szCs w:val="18"/>
          <w:rtl/>
        </w:rPr>
        <w:t xml:space="preserve">בפרקליטות אין מנגנון אחיד וסדור לאיתור וזיהוי התיקים שהתקיימו בהם הליכים פליליים והם בעלי פוטנציאל אכיפה אזרחי </w:t>
      </w:r>
      <w:proofErr w:type="spellStart"/>
      <w:r w:rsidRPr="00BB1F8B">
        <w:rPr>
          <w:sz w:val="18"/>
          <w:szCs w:val="18"/>
          <w:rtl/>
        </w:rPr>
        <w:t>ומינהלי</w:t>
      </w:r>
      <w:proofErr w:type="spellEnd"/>
      <w:r w:rsidRPr="00BB1F8B">
        <w:rPr>
          <w:sz w:val="18"/>
          <w:szCs w:val="18"/>
          <w:rtl/>
        </w:rPr>
        <w:t>.</w:t>
      </w:r>
      <w:r w:rsidR="002041F8">
        <w:rPr>
          <w:sz w:val="18"/>
          <w:szCs w:val="18"/>
          <w:rtl/>
        </w:rPr>
        <w:t xml:space="preserve"> </w:t>
      </w:r>
      <w:r w:rsidRPr="00BB1F8B">
        <w:rPr>
          <w:sz w:val="18"/>
          <w:szCs w:val="18"/>
          <w:rtl/>
        </w:rPr>
        <w:t xml:space="preserve">כמו כן חסר ממשק טכנולוגי בין הפרקליטות הפלילית לאזרחית. בשנת 2019 הוגשו תשע תביעות עקב הליכים פליליים, מתוכן שלוש "תביעות נגררות". באותה השנה הסתיימו הליכים ב-4,408 תיקים פליליים שנוהלו בפרקליטות והורשעו 84% מהנאשמים. באין מנגנון כאמור לא ניתן לאתר רבים מהתיקים שעשויים להיות רלוונטיים להגשת תביעות אזרחיות. </w:t>
      </w:r>
    </w:p>
    <w:p w14:paraId="5F53BF38" w14:textId="0AB7BC8E"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הימנעות מהליכי גבייה והגשת תביעות אזרחיות - אכיפה אזרחית כלפי מפגעי טרור</w:t>
      </w:r>
      <w:r w:rsidRPr="00BB1F8B">
        <w:rPr>
          <w:sz w:val="18"/>
          <w:szCs w:val="18"/>
          <w:rtl/>
        </w:rPr>
        <w:t xml:space="preserve"> - הביקורת העלתה כי בשנים 2019-2018 לא הוגשו תביעות אזרחיות להשבת כספי הפיצויים ששילמה המדינה לנפגעי הטרור. יש לציין כי בשנים אלו אושרו 374 נפגעים בגין 93 אירועי פעולות איבה. בשנת 2019 שילם המוסד לביטוח לאומי ל-5,237 נפגעי פעולות איבה, תשלומים בסך של כ-540 מיליון ש"ח.</w:t>
      </w:r>
    </w:p>
    <w:p w14:paraId="0A4B5288" w14:textId="77777777" w:rsidR="00BB1F8B" w:rsidRPr="00BB1F8B" w:rsidRDefault="00BB1F8B" w:rsidP="00BB1F8B">
      <w:pPr>
        <w:pStyle w:val="ListParagraph"/>
        <w:numPr>
          <w:ilvl w:val="0"/>
          <w:numId w:val="0"/>
        </w:numPr>
        <w:spacing w:after="180" w:line="260" w:lineRule="exact"/>
        <w:ind w:left="397"/>
        <w:rPr>
          <w:sz w:val="18"/>
          <w:szCs w:val="18"/>
        </w:rPr>
      </w:pPr>
      <w:r w:rsidRPr="00BB1F8B">
        <w:rPr>
          <w:sz w:val="18"/>
          <w:szCs w:val="18"/>
          <w:rtl/>
        </w:rPr>
        <w:t>מקרי האלימות שאירעו במהלך מאי 2021 גרמו למדינה להוצאות בגין הפגיעה ברכוש הציבורי, והיא אף צפויה לשלם לנפגעי פעולות איבה פיצויים באמצעות רשות המיסים - הקרן לפיצויים. מקרים אלו מחדדים את הצורך בפעילות אכיפה אזרחית, לצד ההליכים הפליליים, ובפרט כלפי מי שהורשע בהליך הפלילי, להשבת הכספים שישולמו מהקופה הציבורית.</w:t>
      </w:r>
    </w:p>
    <w:p w14:paraId="7849786B" w14:textId="10B6DA85"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תביעות יזומות של רשות מקרקעי ישראל - </w:t>
      </w:r>
      <w:r w:rsidR="002041F8" w:rsidRPr="002041F8">
        <w:rPr>
          <w:rFonts w:hint="eastAsia"/>
          <w:sz w:val="18"/>
          <w:szCs w:val="18"/>
          <w:rtl/>
        </w:rPr>
        <w:t>ב</w:t>
      </w:r>
      <w:r w:rsidR="002041F8" w:rsidRPr="002041F8">
        <w:rPr>
          <w:sz w:val="18"/>
          <w:szCs w:val="18"/>
          <w:rtl/>
        </w:rPr>
        <w:t xml:space="preserve">-31.12.20 </w:t>
      </w:r>
      <w:r w:rsidR="002041F8" w:rsidRPr="002041F8">
        <w:rPr>
          <w:rFonts w:hint="eastAsia"/>
          <w:sz w:val="18"/>
          <w:szCs w:val="18"/>
          <w:rtl/>
        </w:rPr>
        <w:t>החובות</w:t>
      </w:r>
      <w:r w:rsidR="002041F8" w:rsidRPr="002041F8">
        <w:rPr>
          <w:sz w:val="18"/>
          <w:szCs w:val="18"/>
          <w:rtl/>
        </w:rPr>
        <w:t xml:space="preserve"> </w:t>
      </w:r>
      <w:proofErr w:type="spellStart"/>
      <w:r w:rsidR="002041F8" w:rsidRPr="002041F8">
        <w:rPr>
          <w:rFonts w:hint="eastAsia"/>
          <w:sz w:val="18"/>
          <w:szCs w:val="18"/>
          <w:rtl/>
        </w:rPr>
        <w:t>לרמ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הסתכמו</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-15.3 </w:t>
      </w:r>
      <w:r w:rsidR="002041F8" w:rsidRPr="002041F8">
        <w:rPr>
          <w:rFonts w:hint="eastAsia"/>
          <w:sz w:val="18"/>
          <w:szCs w:val="18"/>
          <w:rtl/>
        </w:rPr>
        <w:t>מיליארד</w:t>
      </w:r>
      <w:r w:rsidR="002041F8" w:rsidRPr="002041F8">
        <w:rPr>
          <w:sz w:val="18"/>
          <w:szCs w:val="18"/>
          <w:rtl/>
        </w:rPr>
        <w:t xml:space="preserve"> </w:t>
      </w:r>
      <w:r w:rsidR="002041F8" w:rsidRPr="002041F8">
        <w:rPr>
          <w:rFonts w:hint="eastAsia"/>
          <w:sz w:val="18"/>
          <w:szCs w:val="18"/>
          <w:rtl/>
        </w:rPr>
        <w:t>ש</w:t>
      </w:r>
      <w:r w:rsidR="002041F8" w:rsidRPr="002041F8">
        <w:rPr>
          <w:sz w:val="18"/>
          <w:szCs w:val="18"/>
          <w:rtl/>
        </w:rPr>
        <w:t>"</w:t>
      </w:r>
      <w:r w:rsidR="002041F8" w:rsidRPr="002041F8">
        <w:rPr>
          <w:rFonts w:hint="eastAsia"/>
          <w:sz w:val="18"/>
          <w:szCs w:val="18"/>
          <w:rtl/>
        </w:rPr>
        <w:t>ח</w:t>
      </w:r>
      <w:r w:rsidR="002041F8" w:rsidRPr="002041F8">
        <w:rPr>
          <w:sz w:val="18"/>
          <w:szCs w:val="18"/>
          <w:rtl/>
        </w:rPr>
        <w:t xml:space="preserve">. </w:t>
      </w:r>
      <w:r w:rsidR="002041F8" w:rsidRPr="002041F8">
        <w:rPr>
          <w:rFonts w:hint="eastAsia"/>
          <w:sz w:val="18"/>
          <w:szCs w:val="18"/>
          <w:rtl/>
        </w:rPr>
        <w:t>בשנים</w:t>
      </w:r>
      <w:r w:rsidR="002041F8" w:rsidRPr="002041F8">
        <w:rPr>
          <w:sz w:val="18"/>
          <w:szCs w:val="18"/>
          <w:rtl/>
        </w:rPr>
        <w:t xml:space="preserve"> 2020-2017 </w:t>
      </w:r>
      <w:r w:rsidR="002041F8" w:rsidRPr="002041F8">
        <w:rPr>
          <w:rFonts w:hint="eastAsia"/>
          <w:sz w:val="18"/>
          <w:szCs w:val="18"/>
          <w:rtl/>
        </w:rPr>
        <w:t>ירד</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-31% </w:t>
      </w:r>
      <w:r w:rsidR="002041F8" w:rsidRPr="002041F8">
        <w:rPr>
          <w:rFonts w:hint="eastAsia"/>
          <w:sz w:val="18"/>
          <w:szCs w:val="18"/>
          <w:rtl/>
        </w:rPr>
        <w:t>מספר</w:t>
      </w:r>
      <w:r w:rsidR="002041F8" w:rsidRPr="002041F8">
        <w:rPr>
          <w:sz w:val="18"/>
          <w:szCs w:val="18"/>
          <w:rtl/>
        </w:rPr>
        <w:t xml:space="preserve"> </w:t>
      </w:r>
      <w:r w:rsidR="002041F8" w:rsidRPr="002041F8">
        <w:rPr>
          <w:rFonts w:hint="eastAsia"/>
          <w:sz w:val="18"/>
          <w:szCs w:val="18"/>
          <w:rtl/>
        </w:rPr>
        <w:t>התיקים</w:t>
      </w:r>
      <w:r w:rsidR="002041F8" w:rsidRPr="002041F8">
        <w:rPr>
          <w:sz w:val="18"/>
          <w:szCs w:val="18"/>
          <w:rtl/>
        </w:rPr>
        <w:t xml:space="preserve"> </w:t>
      </w:r>
      <w:r w:rsidR="002041F8" w:rsidRPr="002041F8">
        <w:rPr>
          <w:rFonts w:hint="eastAsia"/>
          <w:sz w:val="18"/>
          <w:szCs w:val="18"/>
          <w:rtl/>
        </w:rPr>
        <w:t>שהעבירה</w:t>
      </w:r>
      <w:r w:rsidR="002041F8" w:rsidRPr="002041F8">
        <w:rPr>
          <w:sz w:val="18"/>
          <w:szCs w:val="18"/>
          <w:rtl/>
        </w:rPr>
        <w:t xml:space="preserve"> </w:t>
      </w:r>
      <w:proofErr w:type="spellStart"/>
      <w:r w:rsidR="002041F8" w:rsidRPr="002041F8">
        <w:rPr>
          <w:rFonts w:hint="eastAsia"/>
          <w:sz w:val="18"/>
          <w:szCs w:val="18"/>
          <w:rtl/>
        </w:rPr>
        <w:t>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לייצוג</w:t>
      </w:r>
      <w:r w:rsidR="002041F8" w:rsidRPr="002041F8">
        <w:rPr>
          <w:sz w:val="18"/>
          <w:szCs w:val="18"/>
          <w:rtl/>
        </w:rPr>
        <w:t xml:space="preserve"> </w:t>
      </w:r>
      <w:r w:rsidRPr="00BB1F8B">
        <w:rPr>
          <w:sz w:val="18"/>
          <w:szCs w:val="18"/>
          <w:rtl/>
        </w:rPr>
        <w:t xml:space="preserve">משפטי להגשת תביעות יזומות. בשנת 2019 הגישה </w:t>
      </w:r>
      <w:proofErr w:type="spellStart"/>
      <w:r w:rsidRPr="00BB1F8B">
        <w:rPr>
          <w:sz w:val="18"/>
          <w:szCs w:val="18"/>
          <w:rtl/>
        </w:rPr>
        <w:t>רמ"י</w:t>
      </w:r>
      <w:proofErr w:type="spellEnd"/>
      <w:r w:rsidRPr="00BB1F8B">
        <w:rPr>
          <w:sz w:val="18"/>
          <w:szCs w:val="18"/>
          <w:rtl/>
        </w:rPr>
        <w:t xml:space="preserve"> באמצעות הפרקליטות 30 תביעות, לעומת 57 בשנת 2018.</w:t>
      </w:r>
    </w:p>
    <w:p w14:paraId="359DAA4A"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שימוש במנגנוני יישוב סכסוכים בין המדינה לרשויות מקומיות </w:t>
      </w:r>
      <w:r w:rsidRPr="00BB1F8B">
        <w:rPr>
          <w:sz w:val="18"/>
          <w:szCs w:val="18"/>
          <w:rtl/>
        </w:rPr>
        <w:t xml:space="preserve">- מספר התיקים שהובאו ליישוב סכסוך לפני הממונים על המחוזות במשרד הפנים בשנים 2017 - 2019 אינו גדול והסתכם בעשרות אחדות של תיקים, שרובם התמקדו בהתדיינויות בעניין חיובי </w:t>
      </w:r>
      <w:r w:rsidRPr="00BB1F8B">
        <w:rPr>
          <w:sz w:val="18"/>
          <w:szCs w:val="18"/>
          <w:rtl/>
        </w:rPr>
        <w:lastRenderedPageBreak/>
        <w:t>ארנונה של משרדי הממשלה בידי הרשויות המקומיות. היעדר לוחות זמנים קצובים להליך מעכב את בירור הסכסוכים.</w:t>
      </w:r>
    </w:p>
    <w:p w14:paraId="7C9AB7D0"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שימוש באמצעי אכיפה אזרחית -</w:t>
      </w:r>
      <w:r w:rsidRPr="00BB1F8B">
        <w:rPr>
          <w:sz w:val="18"/>
          <w:szCs w:val="18"/>
          <w:rtl/>
        </w:rPr>
        <w:t xml:space="preserve"> בין החסמים המונעים שימוש יעיל באמצעי אכיפה אזרחית: המדינה משתהה בנקיטת פעולות לצורך שמירה על זכויותיה, באופן העשוי לגרום להתיישנות הזכויות הרלוונטיות ומביא לפגיעה בזכויות המדינה וקניינה ולהפסדים כלכליים לקופה הציבורית; היעדר תיעוד מספק מעלה קשיים באיסוף הראיות וגיבושן לקראת תביעה אזרחית יזומה; חוסר כדאיות כלכלית בנקיטת הליכי אכיפה וגבייה; קשיים בירוקרטיים והיעדר כוח אדם מתאים לביצוע פעולות האכיפה והגבייה. </w:t>
      </w:r>
    </w:p>
    <w:p w14:paraId="613564E3" w14:textId="77777777" w:rsidR="00BB1F8B" w:rsidRDefault="00BB1F8B" w:rsidP="00E33AFB">
      <w:pPr>
        <w:spacing w:line="240" w:lineRule="atLeast"/>
        <w:ind w:left="454" w:hanging="454"/>
        <w:rPr>
          <w:rFonts w:ascii="Tahoma" w:hAnsi="Tahoma" w:cs="Tahoma"/>
          <w:sz w:val="19"/>
          <w:szCs w:val="19"/>
          <w:rtl/>
        </w:rPr>
      </w:pPr>
    </w:p>
    <w:p w14:paraId="28A4F316" w14:textId="2D1D899F"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3B8646B3">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7BB6E82" w14:textId="77777777" w:rsidR="007B5C94" w:rsidRPr="007B5C94" w:rsidRDefault="007B5C94" w:rsidP="007B5C94">
      <w:pPr>
        <w:pStyle w:val="running-text"/>
        <w:bidi/>
        <w:spacing w:after="180" w:line="260" w:lineRule="exact"/>
        <w:ind w:right="0"/>
        <w:rPr>
          <w:color w:val="0D0D0D" w:themeColor="text1" w:themeTint="F2"/>
          <w:sz w:val="18"/>
          <w:rtl/>
        </w:rPr>
      </w:pPr>
      <w:r w:rsidRPr="007B5C94">
        <w:rPr>
          <w:rFonts w:hint="cs"/>
          <w:color w:val="0D0D0D" w:themeColor="text1" w:themeTint="F2"/>
          <w:sz w:val="18"/>
          <w:rtl/>
        </w:rPr>
        <w:t>יש לציין לחיוב את פרויקט ניהול הסיכונים באכיפה אזרחית שמובילה הפרקליטות, שהחל בשנת 2018 ומבוצע לראשונה בתחום. יש לקוות כי עם סיומו יינתן בידי המדינה כלי אפקטיבי לניהול מתוכנן ומושכל של משאבי האכיפה האזרחית, כדי שלא תיעשה באופן אקראי.</w:t>
      </w:r>
    </w:p>
    <w:p w14:paraId="773E9A89" w14:textId="3952F633" w:rsidR="007B5C94" w:rsidRDefault="007B5C94" w:rsidP="007B5C94">
      <w:pPr>
        <w:pStyle w:val="running-text"/>
        <w:bidi/>
        <w:spacing w:after="180" w:line="260" w:lineRule="exact"/>
        <w:ind w:right="0"/>
        <w:rPr>
          <w:color w:val="0D0D0D" w:themeColor="text1" w:themeTint="F2"/>
          <w:sz w:val="18"/>
        </w:rPr>
      </w:pPr>
      <w:r w:rsidRPr="007B5C94">
        <w:rPr>
          <w:rFonts w:hint="cs"/>
          <w:color w:val="0D0D0D" w:themeColor="text1" w:themeTint="F2"/>
          <w:sz w:val="18"/>
          <w:rtl/>
        </w:rPr>
        <w:t xml:space="preserve">יש לראות בחיוב את תהליך "מיפוי חובות חייבים" שבוצע בגופים הממשלתיים בהנחיית משרד האוצר, ובמסגרתו </w:t>
      </w:r>
      <w:r w:rsidRPr="007B5C94">
        <w:rPr>
          <w:rFonts w:hint="eastAsia"/>
          <w:color w:val="0D0D0D" w:themeColor="text1" w:themeTint="F2"/>
          <w:sz w:val="18"/>
          <w:rtl/>
        </w:rPr>
        <w:t>מופו</w:t>
      </w:r>
      <w:r w:rsidRPr="007B5C94">
        <w:rPr>
          <w:color w:val="0D0D0D" w:themeColor="text1" w:themeTint="F2"/>
          <w:sz w:val="18"/>
          <w:rtl/>
        </w:rPr>
        <w:t xml:space="preserve"> ב-</w:t>
      </w:r>
      <w:r w:rsidRPr="007B5C94">
        <w:rPr>
          <w:rFonts w:hint="cs"/>
          <w:color w:val="0D0D0D" w:themeColor="text1" w:themeTint="F2"/>
          <w:sz w:val="18"/>
          <w:rtl/>
        </w:rPr>
        <w:t xml:space="preserve">54 </w:t>
      </w:r>
      <w:r w:rsidRPr="007B5C94">
        <w:rPr>
          <w:color w:val="0D0D0D" w:themeColor="text1" w:themeTint="F2"/>
          <w:sz w:val="18"/>
          <w:rtl/>
        </w:rPr>
        <w:t>גופי</w:t>
      </w:r>
      <w:r w:rsidRPr="007B5C94">
        <w:rPr>
          <w:rFonts w:hint="cs"/>
          <w:color w:val="0D0D0D" w:themeColor="text1" w:themeTint="F2"/>
          <w:sz w:val="18"/>
          <w:rtl/>
        </w:rPr>
        <w:t>ם</w:t>
      </w:r>
      <w:r w:rsidRPr="007B5C94">
        <w:rPr>
          <w:color w:val="0D0D0D" w:themeColor="text1" w:themeTint="F2"/>
          <w:sz w:val="18"/>
          <w:rtl/>
        </w:rPr>
        <w:t xml:space="preserve"> ממשל</w:t>
      </w:r>
      <w:r w:rsidRPr="007B5C94">
        <w:rPr>
          <w:rFonts w:hint="cs"/>
          <w:color w:val="0D0D0D" w:themeColor="text1" w:themeTint="F2"/>
          <w:sz w:val="18"/>
          <w:rtl/>
        </w:rPr>
        <w:t>תיים</w:t>
      </w:r>
      <w:r w:rsidRPr="007B5C94">
        <w:rPr>
          <w:color w:val="0D0D0D" w:themeColor="text1" w:themeTint="F2"/>
          <w:sz w:val="18"/>
          <w:rtl/>
        </w:rPr>
        <w:t xml:space="preserve"> כ-5,005 סוגי חיובים</w:t>
      </w:r>
      <w:r w:rsidRPr="007B5C94">
        <w:rPr>
          <w:rFonts w:hint="cs"/>
          <w:color w:val="0D0D0D" w:themeColor="text1" w:themeTint="F2"/>
          <w:sz w:val="18"/>
          <w:rtl/>
        </w:rPr>
        <w:t>, וכן את פעולותיה של רשות מקרקעי ישראל בשנים 2018 -2019 לייעול הליכי הגבייה.</w:t>
      </w:r>
    </w:p>
    <w:p w14:paraId="3EBBCC42" w14:textId="77777777" w:rsidR="0011654F" w:rsidRPr="007B5C94" w:rsidRDefault="0011654F" w:rsidP="0097547E">
      <w:pPr>
        <w:pStyle w:val="running-text"/>
        <w:bidi/>
        <w:spacing w:after="0" w:line="260" w:lineRule="exact"/>
        <w:ind w:right="0"/>
        <w:rPr>
          <w:color w:val="0D0D0D" w:themeColor="text1" w:themeTint="F2"/>
          <w:sz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2953188C">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F8182EB" w14:textId="4F26ED7C"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3718F4E" wp14:editId="73E16C54">
            <wp:extent cx="146304" cy="164592"/>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מומלץ כי משרד האוצר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w:t>
      </w:r>
      <w:r w:rsidRPr="00C816AF">
        <w:rPr>
          <w:rFonts w:ascii="Tahoma" w:hAnsi="Tahoma" w:cs="Tahoma"/>
          <w:sz w:val="18"/>
          <w:szCs w:val="18"/>
          <w:rtl/>
        </w:rPr>
        <w:t>יגבש</w:t>
      </w:r>
      <w:r w:rsidRPr="00C816AF">
        <w:rPr>
          <w:rFonts w:ascii="Tahoma" w:hAnsi="Tahoma" w:cs="Tahoma" w:hint="cs"/>
          <w:sz w:val="18"/>
          <w:szCs w:val="18"/>
          <w:rtl/>
        </w:rPr>
        <w:t xml:space="preserve"> </w:t>
      </w:r>
      <w:r w:rsidRPr="00C816AF">
        <w:rPr>
          <w:rFonts w:ascii="Tahoma" w:hAnsi="Tahoma" w:cs="Tahoma"/>
          <w:sz w:val="18"/>
          <w:szCs w:val="18"/>
          <w:rtl/>
        </w:rPr>
        <w:t>הנחיה לכלל הגופים הממשלתיים לקיים הליכי ניהול סיכונים במשרדיהם</w:t>
      </w:r>
      <w:r w:rsidRPr="00C816AF">
        <w:rPr>
          <w:rFonts w:ascii="Tahoma" w:hAnsi="Tahoma" w:cs="Tahoma" w:hint="cs"/>
          <w:sz w:val="18"/>
          <w:szCs w:val="18"/>
          <w:rtl/>
        </w:rPr>
        <w:t xml:space="preserve">, וכי משרד המשפטים ילווה הליך זה בהנחיה מקצועית משלימה ליועצים המשפטיים בגופים הממשלתיים. מומלץ כי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יקיים ישיבה תקופתית בעניין מיפוי הסיכונים בכלל משרדי הממשלה, יגבש מדיניות כלל-ממשלתית </w:t>
      </w:r>
      <w:proofErr w:type="spellStart"/>
      <w:r w:rsidRPr="00C816AF">
        <w:rPr>
          <w:rFonts w:ascii="Tahoma" w:hAnsi="Tahoma" w:cs="Tahoma" w:hint="cs"/>
          <w:sz w:val="18"/>
          <w:szCs w:val="18"/>
          <w:rtl/>
        </w:rPr>
        <w:t>לתעדוף</w:t>
      </w:r>
      <w:proofErr w:type="spellEnd"/>
      <w:r w:rsidRPr="00C816AF">
        <w:rPr>
          <w:rFonts w:ascii="Tahoma" w:hAnsi="Tahoma" w:cs="Tahoma" w:hint="cs"/>
          <w:sz w:val="18"/>
          <w:szCs w:val="18"/>
          <w:rtl/>
        </w:rPr>
        <w:t xml:space="preserve"> הגבייה והאכיפה, ויערוך הליך הפקת לקחים בקרב חשבי המשרדים בעניין הליכי תביעה המתנהלים והליכים שהסתיימו.</w:t>
      </w:r>
    </w:p>
    <w:p w14:paraId="06885614" w14:textId="71E2C847"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42A3F1C" wp14:editId="2A05B892">
            <wp:extent cx="146304" cy="164592"/>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מ</w:t>
      </w:r>
      <w:r w:rsidRPr="00C816AF">
        <w:rPr>
          <w:rFonts w:ascii="Tahoma" w:hAnsi="Tahoma" w:cs="Tahoma"/>
          <w:sz w:val="18"/>
          <w:szCs w:val="18"/>
          <w:rtl/>
        </w:rPr>
        <w:t xml:space="preserve">ומלץ כי </w:t>
      </w:r>
      <w:r w:rsidRPr="00C816AF">
        <w:rPr>
          <w:rFonts w:ascii="Tahoma" w:hAnsi="Tahoma" w:cs="Tahoma" w:hint="cs"/>
          <w:sz w:val="18"/>
          <w:szCs w:val="18"/>
          <w:rtl/>
        </w:rPr>
        <w:t xml:space="preserve">לנוכח גובה החוב כפי שהוא משתקף בדוחות הכספיים של המדינה, כ-39 מיליארד ש"ח,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יגבש ת</w:t>
      </w:r>
      <w:r w:rsidRPr="00C816AF">
        <w:rPr>
          <w:rFonts w:ascii="Tahoma" w:hAnsi="Tahoma" w:cs="Tahoma" w:hint="eastAsia"/>
          <w:sz w:val="18"/>
          <w:szCs w:val="18"/>
          <w:rtl/>
        </w:rPr>
        <w:t>ו</w:t>
      </w:r>
      <w:r w:rsidRPr="00C816AF">
        <w:rPr>
          <w:rFonts w:ascii="Tahoma" w:hAnsi="Tahoma" w:cs="Tahoma"/>
          <w:sz w:val="18"/>
          <w:szCs w:val="18"/>
          <w:rtl/>
        </w:rPr>
        <w:t>כנית רב-שנתית ויעדי</w:t>
      </w:r>
      <w:r w:rsidRPr="00C816AF">
        <w:rPr>
          <w:rFonts w:ascii="Tahoma" w:hAnsi="Tahoma" w:cs="Tahoma" w:hint="cs"/>
          <w:sz w:val="18"/>
          <w:szCs w:val="18"/>
          <w:rtl/>
        </w:rPr>
        <w:t>ם</w:t>
      </w:r>
      <w:r w:rsidRPr="00C816AF">
        <w:rPr>
          <w:rFonts w:ascii="Tahoma" w:hAnsi="Tahoma" w:cs="Tahoma"/>
          <w:sz w:val="18"/>
          <w:szCs w:val="18"/>
          <w:rtl/>
        </w:rPr>
        <w:t xml:space="preserve"> </w:t>
      </w:r>
      <w:r w:rsidRPr="00C816AF">
        <w:rPr>
          <w:rFonts w:ascii="Tahoma" w:hAnsi="Tahoma" w:cs="Tahoma" w:hint="cs"/>
          <w:sz w:val="18"/>
          <w:szCs w:val="18"/>
          <w:rtl/>
        </w:rPr>
        <w:t>ל</w:t>
      </w:r>
      <w:r w:rsidRPr="00C816AF">
        <w:rPr>
          <w:rFonts w:ascii="Tahoma" w:hAnsi="Tahoma" w:cs="Tahoma"/>
          <w:sz w:val="18"/>
          <w:szCs w:val="18"/>
          <w:rtl/>
        </w:rPr>
        <w:t xml:space="preserve">הפחתת החובות למדינת ישראל </w:t>
      </w:r>
      <w:r w:rsidRPr="00C816AF">
        <w:rPr>
          <w:rFonts w:ascii="Tahoma" w:hAnsi="Tahoma" w:cs="Tahoma" w:hint="cs"/>
          <w:sz w:val="18"/>
          <w:szCs w:val="18"/>
          <w:rtl/>
        </w:rPr>
        <w:t>כדי</w:t>
      </w:r>
      <w:r w:rsidRPr="00C816AF">
        <w:rPr>
          <w:rFonts w:ascii="Tahoma" w:hAnsi="Tahoma" w:cs="Tahoma"/>
          <w:sz w:val="18"/>
          <w:szCs w:val="18"/>
          <w:rtl/>
        </w:rPr>
        <w:t xml:space="preserve"> לפעול להקטנת יתרות החובות למדינה, </w:t>
      </w:r>
      <w:r w:rsidRPr="00C816AF">
        <w:rPr>
          <w:rFonts w:ascii="Tahoma" w:hAnsi="Tahoma" w:cs="Tahoma" w:hint="cs"/>
          <w:sz w:val="18"/>
          <w:szCs w:val="18"/>
          <w:rtl/>
        </w:rPr>
        <w:t>ב</w:t>
      </w:r>
      <w:r w:rsidRPr="00C816AF">
        <w:rPr>
          <w:rFonts w:ascii="Tahoma" w:hAnsi="Tahoma" w:cs="Tahoma"/>
          <w:sz w:val="18"/>
          <w:szCs w:val="18"/>
          <w:rtl/>
        </w:rPr>
        <w:t xml:space="preserve">היוועצות עם הגורמים הרלוונטיים במשרד המשפטים (רשות האכיפה והגבייה, </w:t>
      </w:r>
      <w:r w:rsidRPr="00C816AF">
        <w:rPr>
          <w:rFonts w:ascii="Tahoma" w:hAnsi="Tahoma" w:cs="Tahoma" w:hint="cs"/>
          <w:sz w:val="18"/>
          <w:szCs w:val="18"/>
          <w:rtl/>
        </w:rPr>
        <w:t>ייעוץ וחקיקה</w:t>
      </w:r>
      <w:r w:rsidRPr="00C816AF">
        <w:rPr>
          <w:rFonts w:ascii="Tahoma" w:hAnsi="Tahoma" w:cs="Tahoma"/>
          <w:sz w:val="18"/>
          <w:szCs w:val="18"/>
          <w:rtl/>
        </w:rPr>
        <w:t xml:space="preserve"> ופרקליטות המדינה). לצורך כך </w:t>
      </w:r>
      <w:r w:rsidRPr="00C816AF">
        <w:rPr>
          <w:rFonts w:ascii="Tahoma" w:hAnsi="Tahoma" w:cs="Tahoma" w:hint="cs"/>
          <w:sz w:val="18"/>
          <w:szCs w:val="18"/>
          <w:rtl/>
        </w:rPr>
        <w:t>יביא</w:t>
      </w:r>
      <w:r w:rsidRPr="00C816AF">
        <w:rPr>
          <w:rFonts w:ascii="Tahoma" w:hAnsi="Tahoma" w:cs="Tahoma"/>
          <w:sz w:val="18"/>
          <w:szCs w:val="18"/>
          <w:rtl/>
        </w:rPr>
        <w:t xml:space="preserve">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ל</w:t>
      </w:r>
      <w:r w:rsidRPr="00C816AF">
        <w:rPr>
          <w:rFonts w:ascii="Tahoma" w:hAnsi="Tahoma" w:cs="Tahoma" w:hint="cs"/>
          <w:sz w:val="18"/>
          <w:szCs w:val="18"/>
          <w:rtl/>
        </w:rPr>
        <w:t xml:space="preserve">ידיעת </w:t>
      </w:r>
      <w:r w:rsidRPr="00C816AF">
        <w:rPr>
          <w:rFonts w:ascii="Tahoma" w:hAnsi="Tahoma" w:cs="Tahoma"/>
          <w:sz w:val="18"/>
          <w:szCs w:val="18"/>
          <w:rtl/>
        </w:rPr>
        <w:t xml:space="preserve">משרד המשפטים </w:t>
      </w:r>
      <w:r w:rsidRPr="00C816AF">
        <w:rPr>
          <w:rFonts w:ascii="Tahoma" w:hAnsi="Tahoma" w:cs="Tahoma" w:hint="cs"/>
          <w:sz w:val="18"/>
          <w:szCs w:val="18"/>
          <w:rtl/>
        </w:rPr>
        <w:t xml:space="preserve">בכל </w:t>
      </w:r>
      <w:r w:rsidRPr="00C816AF">
        <w:rPr>
          <w:rFonts w:ascii="Tahoma" w:hAnsi="Tahoma" w:cs="Tahoma"/>
          <w:sz w:val="18"/>
          <w:szCs w:val="18"/>
          <w:rtl/>
        </w:rPr>
        <w:t>שנה את סטטוס יישום הת</w:t>
      </w:r>
      <w:r w:rsidRPr="00C816AF">
        <w:rPr>
          <w:rFonts w:ascii="Tahoma" w:hAnsi="Tahoma" w:cs="Tahoma" w:hint="cs"/>
          <w:sz w:val="18"/>
          <w:szCs w:val="18"/>
          <w:rtl/>
        </w:rPr>
        <w:t>ו</w:t>
      </w:r>
      <w:r w:rsidRPr="00C816AF">
        <w:rPr>
          <w:rFonts w:ascii="Tahoma" w:hAnsi="Tahoma" w:cs="Tahoma"/>
          <w:sz w:val="18"/>
          <w:szCs w:val="18"/>
          <w:rtl/>
        </w:rPr>
        <w:t>כנית ופ</w:t>
      </w:r>
      <w:r w:rsidRPr="00C816AF">
        <w:rPr>
          <w:rFonts w:ascii="Tahoma" w:hAnsi="Tahoma" w:cs="Tahoma" w:hint="cs"/>
          <w:sz w:val="18"/>
          <w:szCs w:val="18"/>
          <w:rtl/>
        </w:rPr>
        <w:t>י</w:t>
      </w:r>
      <w:r w:rsidRPr="00C816AF">
        <w:rPr>
          <w:rFonts w:ascii="Tahoma" w:hAnsi="Tahoma" w:cs="Tahoma"/>
          <w:sz w:val="18"/>
          <w:szCs w:val="18"/>
          <w:rtl/>
        </w:rPr>
        <w:t xml:space="preserve">רוט </w:t>
      </w:r>
      <w:r w:rsidRPr="00C816AF">
        <w:rPr>
          <w:rFonts w:ascii="Tahoma" w:hAnsi="Tahoma" w:cs="Tahoma" w:hint="cs"/>
          <w:sz w:val="18"/>
          <w:szCs w:val="18"/>
          <w:rtl/>
        </w:rPr>
        <w:t xml:space="preserve">של </w:t>
      </w:r>
      <w:r w:rsidRPr="00C816AF">
        <w:rPr>
          <w:rFonts w:ascii="Tahoma" w:hAnsi="Tahoma" w:cs="Tahoma"/>
          <w:sz w:val="18"/>
          <w:szCs w:val="18"/>
          <w:rtl/>
        </w:rPr>
        <w:t xml:space="preserve">יתרות החובה, </w:t>
      </w:r>
      <w:r w:rsidRPr="00C816AF">
        <w:rPr>
          <w:rFonts w:ascii="Tahoma" w:hAnsi="Tahoma" w:cs="Tahoma" w:hint="cs"/>
          <w:sz w:val="18"/>
          <w:szCs w:val="18"/>
          <w:rtl/>
        </w:rPr>
        <w:t xml:space="preserve">ובייחוד </w:t>
      </w:r>
      <w:r w:rsidRPr="00C816AF">
        <w:rPr>
          <w:rFonts w:ascii="Tahoma" w:hAnsi="Tahoma" w:cs="Tahoma"/>
          <w:sz w:val="18"/>
          <w:szCs w:val="18"/>
          <w:rtl/>
        </w:rPr>
        <w:t xml:space="preserve">חובות מסופקים </w:t>
      </w:r>
      <w:r w:rsidRPr="00C816AF">
        <w:rPr>
          <w:rFonts w:ascii="Tahoma" w:hAnsi="Tahoma" w:cs="Tahoma" w:hint="cs"/>
          <w:sz w:val="18"/>
          <w:szCs w:val="18"/>
          <w:rtl/>
        </w:rPr>
        <w:t>ו</w:t>
      </w:r>
      <w:r w:rsidRPr="00C816AF">
        <w:rPr>
          <w:rFonts w:ascii="Tahoma" w:hAnsi="Tahoma" w:cs="Tahoma"/>
          <w:sz w:val="18"/>
          <w:szCs w:val="18"/>
          <w:rtl/>
        </w:rPr>
        <w:t xml:space="preserve">יתרות ללא תנועה, </w:t>
      </w:r>
      <w:r w:rsidRPr="00C816AF">
        <w:rPr>
          <w:rFonts w:ascii="Tahoma" w:hAnsi="Tahoma" w:cs="Tahoma" w:hint="cs"/>
          <w:sz w:val="18"/>
          <w:szCs w:val="18"/>
          <w:rtl/>
        </w:rPr>
        <w:t>הרשומים</w:t>
      </w:r>
      <w:r w:rsidRPr="00C816AF">
        <w:rPr>
          <w:rFonts w:ascii="Tahoma" w:hAnsi="Tahoma" w:cs="Tahoma"/>
          <w:sz w:val="18"/>
          <w:szCs w:val="18"/>
          <w:rtl/>
        </w:rPr>
        <w:t xml:space="preserve"> בדוחות הכספיים של המדינה. נתונים אלו יסייעו גם לגיבוש ת</w:t>
      </w:r>
      <w:r w:rsidRPr="00C816AF">
        <w:rPr>
          <w:rFonts w:ascii="Tahoma" w:hAnsi="Tahoma" w:cs="Tahoma" w:hint="cs"/>
          <w:sz w:val="18"/>
          <w:szCs w:val="18"/>
          <w:rtl/>
        </w:rPr>
        <w:t>ו</w:t>
      </w:r>
      <w:r w:rsidRPr="00C816AF">
        <w:rPr>
          <w:rFonts w:ascii="Tahoma" w:hAnsi="Tahoma" w:cs="Tahoma"/>
          <w:sz w:val="18"/>
          <w:szCs w:val="18"/>
          <w:rtl/>
        </w:rPr>
        <w:t xml:space="preserve">כניות העבודה של משרד המשפטים בתחום האכיפה והגבייה האזרחית. </w:t>
      </w:r>
    </w:p>
    <w:p w14:paraId="375AF58A" w14:textId="0C1A35C5"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648D7698" wp14:editId="38867BCD">
            <wp:extent cx="146304" cy="164592"/>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מוצע כי משרד המשפטים, בשיתוף משרד האוצר -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 יבחנו יצירת מנגנון ליישוב מחלוקות בדבר פגיעה בזכויות ותשלום חובות במקרים שבהם שני הצדדים הם גופים ממשלתיים, ובכלל זה קביעת הגורם האחראי לכך ודרכי פירעון החובות, ויפעלו להסדרת חובות אלו ולגבייתם.</w:t>
      </w:r>
    </w:p>
    <w:p w14:paraId="378A726B" w14:textId="3091778B"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lastRenderedPageBreak/>
        <w:drawing>
          <wp:inline distT="0" distB="0" distL="0" distR="0" wp14:anchorId="57A3CC7D" wp14:editId="1A483B3F">
            <wp:extent cx="146304" cy="164592"/>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מומלץ כי הפרקליטות, והיחידה לאכיפה אזרחית בפרט, יתוו שיטת מדידה אחידה לכלל </w:t>
      </w:r>
      <w:proofErr w:type="spellStart"/>
      <w:r w:rsidRPr="00C816AF">
        <w:rPr>
          <w:rFonts w:ascii="Tahoma" w:hAnsi="Tahoma" w:cs="Tahoma" w:hint="cs"/>
          <w:sz w:val="18"/>
          <w:szCs w:val="18"/>
          <w:rtl/>
        </w:rPr>
        <w:t>הפרקליטויות</w:t>
      </w:r>
      <w:proofErr w:type="spellEnd"/>
      <w:r w:rsidRPr="00C816AF">
        <w:rPr>
          <w:rFonts w:ascii="Tahoma" w:hAnsi="Tahoma" w:cs="Tahoma" w:hint="cs"/>
          <w:sz w:val="18"/>
          <w:szCs w:val="18"/>
          <w:rtl/>
        </w:rPr>
        <w:t xml:space="preserve"> שתשקף באופן מהימן את מכלול הפעילות המבוצעת בתחום האכיפה האזרחית ואת תוצריה כדי לקבל תמונה מדויקת יותר בנוגע להגשמת יעדיה. </w:t>
      </w:r>
    </w:p>
    <w:p w14:paraId="5554510E" w14:textId="160FFF7F"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7EC95C36" wp14:editId="60159635">
            <wp:extent cx="146304" cy="16459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מוצע כי הפרקליטות תפעל להסדרת נוהל עבודה מתוקף, ותבחן את המקרים המתאימים לאכיפה אזרחית משלימה להליך הפלילי כדי להגן על זכויות המדינה. לשם כך, מומלץ לקבוע</w:t>
      </w:r>
      <w:r w:rsidRPr="00C816AF">
        <w:rPr>
          <w:rFonts w:ascii="Tahoma" w:hAnsi="Tahoma" w:cs="Tahoma"/>
          <w:sz w:val="18"/>
          <w:szCs w:val="18"/>
          <w:rtl/>
        </w:rPr>
        <w:t xml:space="preserve"> </w:t>
      </w:r>
      <w:r w:rsidRPr="00C816AF">
        <w:rPr>
          <w:rFonts w:ascii="Tahoma" w:hAnsi="Tahoma" w:cs="Tahoma" w:hint="eastAsia"/>
          <w:sz w:val="18"/>
          <w:szCs w:val="18"/>
          <w:rtl/>
        </w:rPr>
        <w:t>קריטריונים</w:t>
      </w:r>
      <w:r w:rsidRPr="00C816AF">
        <w:rPr>
          <w:rFonts w:ascii="Tahoma" w:hAnsi="Tahoma" w:cs="Tahoma"/>
          <w:sz w:val="18"/>
          <w:szCs w:val="18"/>
          <w:rtl/>
        </w:rPr>
        <w:t xml:space="preserve"> </w:t>
      </w:r>
      <w:r w:rsidRPr="00C816AF">
        <w:rPr>
          <w:rFonts w:ascii="Tahoma" w:hAnsi="Tahoma" w:cs="Tahoma" w:hint="eastAsia"/>
          <w:sz w:val="18"/>
          <w:szCs w:val="18"/>
          <w:rtl/>
        </w:rPr>
        <w:t>לבחירת</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המתאימים לאכיפה אזרחית </w:t>
      </w:r>
      <w:r w:rsidRPr="00C816AF">
        <w:rPr>
          <w:rFonts w:ascii="Tahoma" w:hAnsi="Tahoma" w:cs="Tahoma" w:hint="eastAsia"/>
          <w:sz w:val="18"/>
          <w:szCs w:val="18"/>
          <w:rtl/>
        </w:rPr>
        <w:t>ולמסד</w:t>
      </w:r>
      <w:r w:rsidRPr="00C816AF">
        <w:rPr>
          <w:rFonts w:ascii="Tahoma" w:hAnsi="Tahoma" w:cs="Tahoma"/>
          <w:sz w:val="18"/>
          <w:szCs w:val="18"/>
          <w:rtl/>
        </w:rPr>
        <w:t xml:space="preserve"> </w:t>
      </w:r>
      <w:r w:rsidRPr="00C816AF">
        <w:rPr>
          <w:rFonts w:ascii="Tahoma" w:hAnsi="Tahoma" w:cs="Tahoma" w:hint="eastAsia"/>
          <w:sz w:val="18"/>
          <w:szCs w:val="18"/>
          <w:rtl/>
        </w:rPr>
        <w:t>מנגנון</w:t>
      </w:r>
      <w:r w:rsidRPr="00C816AF">
        <w:rPr>
          <w:rFonts w:ascii="Tahoma" w:hAnsi="Tahoma" w:cs="Tahoma"/>
          <w:sz w:val="18"/>
          <w:szCs w:val="18"/>
          <w:rtl/>
        </w:rPr>
        <w:t xml:space="preserve"> </w:t>
      </w:r>
      <w:r w:rsidRPr="00C816AF">
        <w:rPr>
          <w:rFonts w:ascii="Tahoma" w:hAnsi="Tahoma" w:cs="Tahoma" w:hint="eastAsia"/>
          <w:sz w:val="18"/>
          <w:szCs w:val="18"/>
          <w:rtl/>
        </w:rPr>
        <w:t>לאיתור</w:t>
      </w:r>
      <w:r w:rsidRPr="00C816AF">
        <w:rPr>
          <w:rFonts w:ascii="Tahoma" w:hAnsi="Tahoma" w:cs="Tahoma"/>
          <w:sz w:val="18"/>
          <w:szCs w:val="18"/>
          <w:rtl/>
        </w:rPr>
        <w:t xml:space="preserve"> </w:t>
      </w:r>
      <w:r w:rsidRPr="00C816AF">
        <w:rPr>
          <w:rFonts w:ascii="Tahoma" w:hAnsi="Tahoma" w:cs="Tahoma" w:hint="eastAsia"/>
          <w:sz w:val="18"/>
          <w:szCs w:val="18"/>
          <w:rtl/>
        </w:rPr>
        <w:t>כל</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w:t>
      </w:r>
      <w:r w:rsidRPr="00C816AF">
        <w:rPr>
          <w:rFonts w:ascii="Tahoma" w:hAnsi="Tahoma" w:cs="Tahoma" w:hint="eastAsia"/>
          <w:sz w:val="18"/>
          <w:szCs w:val="18"/>
          <w:rtl/>
        </w:rPr>
        <w:t>הפליליים</w:t>
      </w:r>
      <w:r w:rsidRPr="00C816AF">
        <w:rPr>
          <w:rFonts w:ascii="Tahoma" w:hAnsi="Tahoma" w:cs="Tahoma"/>
          <w:sz w:val="18"/>
          <w:szCs w:val="18"/>
          <w:rtl/>
        </w:rPr>
        <w:t xml:space="preserve"> </w:t>
      </w:r>
      <w:r w:rsidRPr="00C816AF">
        <w:rPr>
          <w:rFonts w:ascii="Tahoma" w:hAnsi="Tahoma" w:cs="Tahoma" w:hint="eastAsia"/>
          <w:sz w:val="18"/>
          <w:szCs w:val="18"/>
          <w:rtl/>
        </w:rPr>
        <w:t>שהסתיימו</w:t>
      </w:r>
      <w:r w:rsidRPr="00C816AF">
        <w:rPr>
          <w:rFonts w:ascii="Tahoma" w:hAnsi="Tahoma" w:cs="Tahoma"/>
          <w:sz w:val="18"/>
          <w:szCs w:val="18"/>
          <w:rtl/>
        </w:rPr>
        <w:t xml:space="preserve"> </w:t>
      </w:r>
      <w:r w:rsidRPr="00C816AF">
        <w:rPr>
          <w:rFonts w:ascii="Tahoma" w:hAnsi="Tahoma" w:cs="Tahoma" w:hint="eastAsia"/>
          <w:sz w:val="18"/>
          <w:szCs w:val="18"/>
          <w:rtl/>
        </w:rPr>
        <w:t>בהרשעה</w:t>
      </w:r>
      <w:r w:rsidRPr="00C816AF">
        <w:rPr>
          <w:rFonts w:ascii="Tahoma" w:hAnsi="Tahoma" w:cs="Tahoma"/>
          <w:sz w:val="18"/>
          <w:szCs w:val="18"/>
          <w:rtl/>
        </w:rPr>
        <w:t xml:space="preserve">, העומדים </w:t>
      </w:r>
      <w:r w:rsidRPr="00C816AF">
        <w:rPr>
          <w:rFonts w:ascii="Tahoma" w:hAnsi="Tahoma" w:cs="Tahoma" w:hint="eastAsia"/>
          <w:sz w:val="18"/>
          <w:szCs w:val="18"/>
          <w:rtl/>
        </w:rPr>
        <w:t>בקריטריונים</w:t>
      </w:r>
      <w:r w:rsidRPr="00C816AF">
        <w:rPr>
          <w:rFonts w:ascii="Tahoma" w:hAnsi="Tahoma" w:cs="Tahoma"/>
          <w:sz w:val="18"/>
          <w:szCs w:val="18"/>
          <w:rtl/>
        </w:rPr>
        <w:t xml:space="preserve"> </w:t>
      </w:r>
      <w:r w:rsidRPr="00C816AF">
        <w:rPr>
          <w:rFonts w:ascii="Tahoma" w:hAnsi="Tahoma" w:cs="Tahoma" w:hint="eastAsia"/>
          <w:sz w:val="18"/>
          <w:szCs w:val="18"/>
          <w:rtl/>
        </w:rPr>
        <w:t>אלו</w:t>
      </w:r>
      <w:r w:rsidRPr="00C816AF">
        <w:rPr>
          <w:rFonts w:ascii="Tahoma" w:hAnsi="Tahoma" w:cs="Tahoma"/>
          <w:sz w:val="18"/>
          <w:szCs w:val="18"/>
          <w:rtl/>
        </w:rPr>
        <w:t>.</w:t>
      </w:r>
    </w:p>
    <w:p w14:paraId="1EB66C4A" w14:textId="6DDC685B" w:rsidR="00C816AF" w:rsidRDefault="00475F10" w:rsidP="00C816AF">
      <w:pPr>
        <w:spacing w:after="180" w:line="260" w:lineRule="exact"/>
        <w:ind w:left="397" w:hanging="397"/>
        <w:jc w:val="both"/>
        <w:rPr>
          <w:rFonts w:ascii="Tahoma" w:hAnsi="Tahoma" w:cs="Tahoma"/>
          <w:sz w:val="18"/>
          <w:szCs w:val="18"/>
        </w:rPr>
      </w:pPr>
      <w:r>
        <w:pict w14:anchorId="035EFB54">
          <v:shape id="Picture 29" o:spid="_x0000_i1026" type="#_x0000_t75" style="width:11.25pt;height:12.75pt;visibility:visible;mso-wrap-style:square">
            <v:imagedata r:id="rId27" o:title=""/>
          </v:shape>
        </w:pict>
      </w:r>
      <w:r w:rsidR="00C816AF" w:rsidRPr="00C816AF">
        <w:rPr>
          <w:rStyle w:val="Heading7Char"/>
          <w:rFonts w:ascii="Tahoma" w:hAnsi="Tahoma" w:cs="Tahoma"/>
          <w:color w:val="231F20"/>
          <w:sz w:val="18"/>
          <w:szCs w:val="18"/>
        </w:rPr>
        <w:tab/>
      </w:r>
      <w:r w:rsidR="00C816AF" w:rsidRPr="00C816AF">
        <w:rPr>
          <w:rFonts w:ascii="Tahoma" w:hAnsi="Tahoma" w:cs="Tahoma" w:hint="cs"/>
          <w:sz w:val="18"/>
          <w:szCs w:val="18"/>
          <w:rtl/>
        </w:rPr>
        <w:t xml:space="preserve">מומלץ כי משרד המשפטים יוציא הנחיה ללשכות המשפטיות בגופי הממשלה בדבר הצורך בהקפדה על תיעוד של מהלכים ושמירת מסמכים, ובייחוד כאלה הנוגעים לאינטרסים של המדינה, ובדבר אופן התיעוד. מומלץ </w:t>
      </w:r>
      <w:r w:rsidR="00C816AF" w:rsidRPr="00C816AF">
        <w:rPr>
          <w:rFonts w:ascii="Tahoma" w:hAnsi="Tahoma" w:cs="Tahoma" w:hint="eastAsia"/>
          <w:sz w:val="18"/>
          <w:szCs w:val="18"/>
          <w:rtl/>
        </w:rPr>
        <w:t>לגבש</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טפסים</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רשמיים</w:t>
      </w:r>
      <w:r w:rsidR="00C816AF" w:rsidRPr="00C816AF">
        <w:rPr>
          <w:rFonts w:ascii="Tahoma" w:hAnsi="Tahoma" w:cs="Tahoma" w:hint="cs"/>
          <w:sz w:val="18"/>
          <w:szCs w:val="18"/>
          <w:rtl/>
        </w:rPr>
        <w:t xml:space="preserve"> שיתוו הליך בניית תיק ראיות המבוסס על תשתית ראייתית מספקת לקראת הכנת תביעה בהליך משפטי יזום.</w:t>
      </w:r>
      <w:r w:rsidR="00C816AF" w:rsidRPr="00C816AF">
        <w:rPr>
          <w:rFonts w:ascii="Tahoma" w:hAnsi="Tahoma" w:cs="Tahoma" w:hint="eastAsia"/>
          <w:sz w:val="18"/>
          <w:szCs w:val="18"/>
          <w:rtl/>
        </w:rPr>
        <w:t xml:space="preserve"> עוד</w:t>
      </w:r>
      <w:r w:rsidR="00C816AF" w:rsidRPr="00C816AF">
        <w:rPr>
          <w:rFonts w:ascii="Tahoma" w:hAnsi="Tahoma" w:cs="Tahoma"/>
          <w:sz w:val="18"/>
          <w:szCs w:val="18"/>
          <w:rtl/>
        </w:rPr>
        <w:t xml:space="preserve"> </w:t>
      </w:r>
      <w:r w:rsidR="00C816AF" w:rsidRPr="00C816AF">
        <w:rPr>
          <w:rFonts w:ascii="Tahoma" w:hAnsi="Tahoma" w:cs="Tahoma" w:hint="cs"/>
          <w:sz w:val="18"/>
          <w:szCs w:val="18"/>
          <w:rtl/>
        </w:rPr>
        <w:t>מומלץ</w:t>
      </w:r>
      <w:r w:rsidR="00C816AF" w:rsidRPr="00C816AF">
        <w:rPr>
          <w:rFonts w:ascii="Tahoma" w:hAnsi="Tahoma" w:cs="Tahoma"/>
          <w:sz w:val="18"/>
          <w:szCs w:val="18"/>
          <w:rtl/>
        </w:rPr>
        <w:t xml:space="preserve"> כי </w:t>
      </w:r>
      <w:r w:rsidR="00C816AF" w:rsidRPr="00C816AF">
        <w:rPr>
          <w:rFonts w:ascii="Tahoma" w:hAnsi="Tahoma" w:cs="Tahoma" w:hint="eastAsia"/>
          <w:sz w:val="18"/>
          <w:szCs w:val="18"/>
          <w:rtl/>
        </w:rPr>
        <w:t>הפרקליטות</w:t>
      </w:r>
      <w:r w:rsidR="00C816AF" w:rsidRPr="00C816AF">
        <w:rPr>
          <w:rFonts w:ascii="Tahoma" w:hAnsi="Tahoma" w:cs="Tahoma"/>
          <w:sz w:val="18"/>
          <w:szCs w:val="18"/>
          <w:rtl/>
        </w:rPr>
        <w:t xml:space="preserve"> ת</w:t>
      </w:r>
      <w:r w:rsidR="00C816AF" w:rsidRPr="00C816AF">
        <w:rPr>
          <w:rFonts w:ascii="Tahoma" w:hAnsi="Tahoma" w:cs="Tahoma" w:hint="cs"/>
          <w:sz w:val="18"/>
          <w:szCs w:val="18"/>
          <w:rtl/>
        </w:rPr>
        <w:t>ערוך</w:t>
      </w:r>
      <w:r w:rsidR="00C816AF" w:rsidRPr="00C816AF">
        <w:rPr>
          <w:rFonts w:ascii="Tahoma" w:hAnsi="Tahoma" w:cs="Tahoma"/>
          <w:sz w:val="18"/>
          <w:szCs w:val="18"/>
          <w:rtl/>
        </w:rPr>
        <w:t xml:space="preserve"> מיפוי של </w:t>
      </w:r>
      <w:r w:rsidR="00C816AF" w:rsidRPr="00C816AF">
        <w:rPr>
          <w:rFonts w:ascii="Tahoma" w:hAnsi="Tahoma" w:cs="Tahoma" w:hint="eastAsia"/>
          <w:sz w:val="18"/>
          <w:szCs w:val="18"/>
          <w:rtl/>
        </w:rPr>
        <w:t>משך</w:t>
      </w:r>
      <w:r w:rsidR="00C816AF" w:rsidRPr="00C816AF">
        <w:rPr>
          <w:rFonts w:ascii="Tahoma" w:hAnsi="Tahoma" w:cs="Tahoma"/>
          <w:sz w:val="18"/>
          <w:szCs w:val="18"/>
          <w:rtl/>
        </w:rPr>
        <w:t xml:space="preserve"> הטיפול בתיקים המועברים לטיפולה, תאתר את הגורמים להתמשכות הטיפול ותפעל לקיצור</w:t>
      </w:r>
      <w:r w:rsidR="00C816AF" w:rsidRPr="00C816AF">
        <w:rPr>
          <w:rFonts w:ascii="Tahoma" w:hAnsi="Tahoma" w:cs="Tahoma" w:hint="eastAsia"/>
          <w:sz w:val="18"/>
          <w:szCs w:val="18"/>
          <w:rtl/>
        </w:rPr>
        <w:t>ו</w:t>
      </w:r>
      <w:r w:rsidR="00C816AF" w:rsidRPr="00C816AF">
        <w:rPr>
          <w:rFonts w:ascii="Tahoma" w:hAnsi="Tahoma" w:cs="Tahoma" w:hint="cs"/>
          <w:sz w:val="18"/>
          <w:szCs w:val="18"/>
          <w:rtl/>
        </w:rPr>
        <w:t>.</w:t>
      </w:r>
    </w:p>
    <w:p w14:paraId="4C9323BA" w14:textId="77777777" w:rsidR="0011654F" w:rsidRPr="00C816AF" w:rsidRDefault="0011654F" w:rsidP="0097547E">
      <w:pPr>
        <w:spacing w:after="0" w:line="260" w:lineRule="exact"/>
        <w:ind w:left="397" w:hanging="397"/>
        <w:jc w:val="both"/>
        <w:rPr>
          <w:rFonts w:ascii="Tahoma" w:hAnsi="Tahoma" w:cs="Tahoma"/>
          <w:sz w:val="18"/>
          <w:szCs w:val="18"/>
        </w:rPr>
      </w:pPr>
    </w:p>
    <w:p w14:paraId="37BEC198" w14:textId="3112CD19" w:rsidR="00045345" w:rsidRDefault="0011654F" w:rsidP="00045345">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7728" behindDoc="1" locked="0" layoutInCell="1" allowOverlap="1" wp14:anchorId="23F04923" wp14:editId="3730638B">
            <wp:simplePos x="0" y="0"/>
            <wp:positionH relativeFrom="column">
              <wp:posOffset>-11430</wp:posOffset>
            </wp:positionH>
            <wp:positionV relativeFrom="paragraph">
              <wp:posOffset>59055</wp:posOffset>
            </wp:positionV>
            <wp:extent cx="4676621" cy="666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88" cy="667230"/>
                    </a:xfrm>
                    <a:prstGeom prst="rect">
                      <a:avLst/>
                    </a:prstGeom>
                  </pic:spPr>
                </pic:pic>
              </a:graphicData>
            </a:graphic>
            <wp14:sizeRelH relativeFrom="margin">
              <wp14:pctWidth>0</wp14:pctWidth>
            </wp14:sizeRelH>
            <wp14:sizeRelV relativeFrom="margin">
              <wp14:pctHeight>0</wp14:pctHeight>
            </wp14:sizeRelV>
          </wp:anchor>
        </w:drawing>
      </w:r>
    </w:p>
    <w:p w14:paraId="7650940F" w14:textId="0FF12485" w:rsidR="009A797B" w:rsidRPr="009A797B" w:rsidRDefault="00A02D0A" w:rsidP="00F80159">
      <w:pPr>
        <w:spacing w:before="120" w:after="0" w:line="240" w:lineRule="atLeast"/>
        <w:ind w:left="170" w:right="113"/>
        <w:jc w:val="both"/>
        <w:rPr>
          <w:rFonts w:ascii="Tahoma" w:hAnsi="Tahoma" w:cs="Tahoma"/>
          <w:b/>
          <w:bCs/>
          <w:color w:val="FFFFFF" w:themeColor="background1"/>
          <w:sz w:val="22"/>
          <w:szCs w:val="22"/>
          <w:rtl/>
        </w:rPr>
      </w:pPr>
      <w:r w:rsidRPr="00A02D0A">
        <w:rPr>
          <w:rFonts w:ascii="Tahoma" w:hAnsi="Tahoma" w:cs="Tahoma" w:hint="eastAsia"/>
          <w:b/>
          <w:bCs/>
          <w:color w:val="FFFFFF" w:themeColor="background1"/>
          <w:sz w:val="22"/>
          <w:szCs w:val="22"/>
          <w:rtl/>
        </w:rPr>
        <w:t>דוגמאות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לערכים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מוגנים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ולכלי</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אכיפה</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אזרחית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המשמשים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לשמירתם</w:t>
      </w:r>
      <w:r w:rsidRPr="00A02D0A">
        <w:rPr>
          <w:rFonts w:ascii="Tahoma" w:hAnsi="Tahoma" w:cs="Tahoma"/>
          <w:b/>
          <w:bCs/>
          <w:color w:val="FFFFFF" w:themeColor="background1"/>
          <w:sz w:val="22"/>
          <w:szCs w:val="22"/>
          <w:rtl/>
        </w:rPr>
        <w:t xml:space="preserve"> </w:t>
      </w:r>
    </w:p>
    <w:p w14:paraId="00AC64DD" w14:textId="16271AB1" w:rsidR="00312240" w:rsidRDefault="00312240" w:rsidP="00A02D0A">
      <w:pPr>
        <w:rPr>
          <w:sz w:val="18"/>
        </w:rPr>
      </w:pPr>
    </w:p>
    <w:p w14:paraId="7537B1EB" w14:textId="495A87E3" w:rsidR="00A02D0A" w:rsidRDefault="00837820" w:rsidP="00837820">
      <w:pPr>
        <w:spacing w:line="240" w:lineRule="atLeast"/>
        <w:jc w:val="center"/>
        <w:rPr>
          <w:sz w:val="18"/>
          <w:rtl/>
        </w:rPr>
      </w:pPr>
      <w:r>
        <w:rPr>
          <w:noProof/>
          <w:sz w:val="18"/>
        </w:rPr>
        <w:drawing>
          <wp:inline distT="0" distB="0" distL="0" distR="0" wp14:anchorId="27BD4B84" wp14:editId="5667A1BD">
            <wp:extent cx="4679950" cy="35464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546475"/>
                    </a:xfrm>
                    <a:prstGeom prst="rect">
                      <a:avLst/>
                    </a:prstGeom>
                  </pic:spPr>
                </pic:pic>
              </a:graphicData>
            </a:graphic>
          </wp:inline>
        </w:drawing>
      </w:r>
    </w:p>
    <w:p w14:paraId="311BE569" w14:textId="77777777" w:rsidR="00742110" w:rsidRDefault="00742110" w:rsidP="00837820">
      <w:pPr>
        <w:spacing w:line="240" w:lineRule="atLeast"/>
        <w:jc w:val="center"/>
        <w:rPr>
          <w:sz w:val="18"/>
        </w:rPr>
      </w:pPr>
    </w:p>
    <w:p w14:paraId="78442A13" w14:textId="47B8E4D3" w:rsidR="00496CBE" w:rsidRDefault="00045345" w:rsidP="00C616BF">
      <w:pPr>
        <w:pageBreakBefore/>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60B4AC1F">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E6FF9B0"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כבר לפני עשור החליטה הפרקליטות להוביל מגמה שלפיה על המדינה ליזום יותר פעולות לשם שמירה על זכויותיה ולצורך קידום הנושא</w:t>
      </w:r>
      <w:r w:rsidRPr="00837820">
        <w:rPr>
          <w:color w:val="0D0D0D" w:themeColor="text1" w:themeTint="F2"/>
          <w:sz w:val="18"/>
          <w:rtl/>
        </w:rPr>
        <w:t xml:space="preserve"> </w:t>
      </w:r>
      <w:r w:rsidRPr="00837820">
        <w:rPr>
          <w:rFonts w:hint="eastAsia"/>
          <w:color w:val="0D0D0D" w:themeColor="text1" w:themeTint="F2"/>
          <w:sz w:val="18"/>
          <w:rtl/>
        </w:rPr>
        <w:t>הקימה</w:t>
      </w:r>
      <w:r w:rsidRPr="00837820">
        <w:rPr>
          <w:color w:val="0D0D0D" w:themeColor="text1" w:themeTint="F2"/>
          <w:sz w:val="18"/>
          <w:rtl/>
        </w:rPr>
        <w:t xml:space="preserve"> </w:t>
      </w:r>
      <w:r w:rsidRPr="00837820">
        <w:rPr>
          <w:rFonts w:hint="eastAsia"/>
          <w:color w:val="0D0D0D" w:themeColor="text1" w:themeTint="F2"/>
          <w:sz w:val="18"/>
          <w:rtl/>
        </w:rPr>
        <w:t>הפרקליטות</w:t>
      </w:r>
      <w:r w:rsidRPr="00837820">
        <w:rPr>
          <w:color w:val="0D0D0D" w:themeColor="text1" w:themeTint="F2"/>
          <w:sz w:val="18"/>
          <w:rtl/>
        </w:rPr>
        <w:t xml:space="preserve"> </w:t>
      </w:r>
      <w:r w:rsidRPr="00837820">
        <w:rPr>
          <w:rFonts w:hint="eastAsia"/>
          <w:color w:val="0D0D0D" w:themeColor="text1" w:themeTint="F2"/>
          <w:sz w:val="18"/>
          <w:rtl/>
        </w:rPr>
        <w:t>את</w:t>
      </w:r>
      <w:r w:rsidRPr="00837820">
        <w:rPr>
          <w:color w:val="0D0D0D" w:themeColor="text1" w:themeTint="F2"/>
          <w:sz w:val="18"/>
          <w:rtl/>
        </w:rPr>
        <w:t xml:space="preserve"> </w:t>
      </w:r>
      <w:r w:rsidRPr="00837820">
        <w:rPr>
          <w:rFonts w:hint="eastAsia"/>
          <w:color w:val="0D0D0D" w:themeColor="text1" w:themeTint="F2"/>
          <w:sz w:val="18"/>
          <w:rtl/>
        </w:rPr>
        <w:t>היחידה</w:t>
      </w:r>
      <w:r w:rsidRPr="00837820">
        <w:rPr>
          <w:color w:val="0D0D0D" w:themeColor="text1" w:themeTint="F2"/>
          <w:sz w:val="18"/>
          <w:rtl/>
        </w:rPr>
        <w:t xml:space="preserve"> </w:t>
      </w:r>
      <w:r w:rsidRPr="00837820">
        <w:rPr>
          <w:rFonts w:hint="eastAsia"/>
          <w:color w:val="0D0D0D" w:themeColor="text1" w:themeTint="F2"/>
          <w:sz w:val="18"/>
          <w:rtl/>
        </w:rPr>
        <w:t>לאכיפה</w:t>
      </w:r>
      <w:r w:rsidRPr="00837820">
        <w:rPr>
          <w:color w:val="0D0D0D" w:themeColor="text1" w:themeTint="F2"/>
          <w:sz w:val="18"/>
          <w:rtl/>
        </w:rPr>
        <w:t xml:space="preserve"> </w:t>
      </w:r>
      <w:r w:rsidRPr="00837820">
        <w:rPr>
          <w:rFonts w:hint="eastAsia"/>
          <w:color w:val="0D0D0D" w:themeColor="text1" w:themeTint="F2"/>
          <w:sz w:val="18"/>
          <w:rtl/>
        </w:rPr>
        <w:t>אזרחית</w:t>
      </w:r>
      <w:r w:rsidRPr="00837820">
        <w:rPr>
          <w:rFonts w:hint="cs"/>
          <w:color w:val="0D0D0D" w:themeColor="text1" w:themeTint="F2"/>
          <w:sz w:val="18"/>
          <w:rtl/>
        </w:rPr>
        <w:t>. ואולם, תמונת המצב שעלתה בדוח מחייבת את המדינה, ובייחוד את הפרקליטות, לנתח את יכולותיה ולבחון כיצד להגשים מדיניות זו, שכן גם בחלוף עשור עיקר עיסוקה של המדינה הוא בהתגוננות בתיקים שבהם היא נתבעת.</w:t>
      </w:r>
    </w:p>
    <w:p w14:paraId="08CAB12E"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 xml:space="preserve">אכיפה אזרחית יעילה ומלאה דורשת הירתמות של כל הגורמים הרלוונטיים בגופים הממשלתיים, ובהם מנכ"לי הגופים והגורמים המשפטיים, החשבונאיים והמקצועיים. בשל מורכבות הפעלת כלי האכיפה האזרחית והכנת תביעות יזומות, נדרש שיתוף פעולה מלא של הגופים הממשלתיים עם משרד האוצר ומשרד המשפטים. </w:t>
      </w:r>
    </w:p>
    <w:p w14:paraId="62FBD5D3"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לאור המדיניות בדבר האכיפה היזומה וההגנה על זכויותיה של המדינה, ראוי כי הגופים הממשלתיים, גופי האכיפה והתביעה יבחנו כיצד להתגבר על החסמים, ולשכלל את יכולותיהם, לטיוב הגבייה והאכיפה.</w:t>
      </w:r>
    </w:p>
    <w:p w14:paraId="3F8CE56F" w14:textId="3E58B637" w:rsidR="00837820" w:rsidRDefault="00837820" w:rsidP="00837820">
      <w:pPr>
        <w:pStyle w:val="running-text"/>
        <w:bidi/>
        <w:spacing w:after="180"/>
        <w:ind w:right="0"/>
        <w:rPr>
          <w:color w:val="0D0D0D" w:themeColor="text1" w:themeTint="F2"/>
          <w:sz w:val="18"/>
          <w:rtl/>
        </w:rPr>
      </w:pPr>
    </w:p>
    <w:p w14:paraId="1625777D" w14:textId="77777777" w:rsidR="00D8688A" w:rsidRDefault="00D8688A" w:rsidP="00D8688A">
      <w:pPr>
        <w:pStyle w:val="running-text"/>
        <w:bidi/>
        <w:spacing w:after="180"/>
        <w:ind w:right="0"/>
        <w:rPr>
          <w:color w:val="0D0D0D" w:themeColor="text1" w:themeTint="F2"/>
          <w:sz w:val="18"/>
          <w:rtl/>
        </w:rPr>
        <w:sectPr w:rsidR="00D8688A" w:rsidSect="00196A7F">
          <w:headerReference w:type="even" r:id="rId29"/>
          <w:headerReference w:type="default" r:id="rId30"/>
          <w:footerReference w:type="even" r:id="rId31"/>
          <w:pgSz w:w="11906" w:h="16838" w:code="9"/>
          <w:pgMar w:top="2892" w:right="2268" w:bottom="2438" w:left="2268" w:header="1871" w:footer="1928" w:gutter="0"/>
          <w:cols w:space="708"/>
          <w:bidi/>
          <w:rtlGutter/>
          <w:docGrid w:linePitch="360"/>
        </w:sectPr>
      </w:pPr>
    </w:p>
    <w:p w14:paraId="6C53355E" w14:textId="7DED5D69" w:rsidR="00D8688A" w:rsidRDefault="00D8688A" w:rsidP="00D8688A">
      <w:pPr>
        <w:pStyle w:val="running-text"/>
        <w:bidi/>
        <w:spacing w:after="180"/>
        <w:ind w:right="0"/>
        <w:rPr>
          <w:color w:val="0D0D0D" w:themeColor="text1" w:themeTint="F2"/>
          <w:sz w:val="18"/>
          <w:rtl/>
        </w:rPr>
      </w:pPr>
    </w:p>
    <w:sectPr w:rsidR="00D8688A" w:rsidSect="00D8688A">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A0F6" w14:textId="77777777" w:rsidR="00B10F1A" w:rsidRDefault="00B10F1A" w:rsidP="00CB3322">
      <w:pPr>
        <w:spacing w:after="0" w:line="240" w:lineRule="auto"/>
      </w:pPr>
      <w:r>
        <w:separator/>
      </w:r>
    </w:p>
    <w:p w14:paraId="4CA5CB38" w14:textId="77777777" w:rsidR="00B10F1A" w:rsidRDefault="00B10F1A"/>
  </w:endnote>
  <w:endnote w:type="continuationSeparator" w:id="0">
    <w:p w14:paraId="217577FC" w14:textId="77777777" w:rsidR="00B10F1A" w:rsidRDefault="00B10F1A" w:rsidP="00CB3322">
      <w:pPr>
        <w:spacing w:after="0" w:line="240" w:lineRule="auto"/>
      </w:pPr>
      <w:r>
        <w:continuationSeparator/>
      </w:r>
    </w:p>
    <w:p w14:paraId="3288B732" w14:textId="77777777" w:rsidR="00B10F1A" w:rsidRDefault="00B10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920B" w14:textId="77777777" w:rsidR="00196A7F" w:rsidRPr="009507DB" w:rsidRDefault="00196A7F"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07C37" w14:textId="77777777" w:rsidR="00B10F1A" w:rsidRPr="0029750A" w:rsidRDefault="00B10F1A" w:rsidP="0029750A">
      <w:pPr>
        <w:pStyle w:val="Footer"/>
        <w:tabs>
          <w:tab w:val="clear" w:pos="4320"/>
          <w:tab w:val="clear" w:pos="8640"/>
          <w:tab w:val="right" w:pos="1701"/>
        </w:tabs>
        <w:rPr>
          <w:u w:val="single"/>
        </w:rPr>
      </w:pPr>
      <w:r w:rsidRPr="0029750A">
        <w:rPr>
          <w:u w:val="single"/>
        </w:rPr>
        <w:tab/>
      </w:r>
    </w:p>
  </w:footnote>
  <w:footnote w:type="continuationSeparator" w:id="0">
    <w:p w14:paraId="66B6128C" w14:textId="77777777" w:rsidR="00B10F1A" w:rsidRDefault="00B10F1A" w:rsidP="00CB3322">
      <w:pPr>
        <w:spacing w:after="0" w:line="240" w:lineRule="auto"/>
      </w:pPr>
      <w:r>
        <w:continuationSeparator/>
      </w:r>
    </w:p>
    <w:p w14:paraId="71F275A0" w14:textId="77777777" w:rsidR="00B10F1A" w:rsidRDefault="00B10F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05020213"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8752"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1A2896" w:rsidRPr="001A2896">
      <w:rPr>
        <w:rFonts w:ascii="Tahoma" w:eastAsiaTheme="majorEastAsia" w:hAnsi="Tahoma" w:cs="Tahoma" w:hint="eastAsia"/>
        <w:noProof/>
        <w:color w:val="0D0D0D" w:themeColor="text1" w:themeTint="F2"/>
        <w:sz w:val="16"/>
        <w:szCs w:val="16"/>
        <w:rtl/>
        <w:lang w:val="he-IL"/>
      </w:rPr>
      <w:t>פעולות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המדינה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להבטחת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זכויותיה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באמצעות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אכיפה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אזרחית</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697BBC11"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475F10" w:rsidRPr="006061A9">
      <w:rPr>
        <w:rFonts w:ascii="Tahoma" w:eastAsiaTheme="majorEastAsia" w:hAnsi="Tahoma" w:cs="Tahoma" w:hint="cs"/>
        <w:noProof/>
        <w:color w:val="0D0D0D" w:themeColor="text1" w:themeTint="F2"/>
        <w:sz w:val="16"/>
        <w:szCs w:val="16"/>
        <w:rtl/>
      </w:rPr>
      <w:t xml:space="preserve">דוח </w:t>
    </w:r>
    <w:r w:rsidR="00475F10">
      <w:rPr>
        <w:rFonts w:ascii="Tahoma" w:eastAsiaTheme="majorEastAsia" w:hAnsi="Tahoma" w:cs="Tahoma" w:hint="cs"/>
        <w:noProof/>
        <w:color w:val="0D0D0D" w:themeColor="text1" w:themeTint="F2"/>
        <w:sz w:val="16"/>
        <w:szCs w:val="16"/>
        <w:rtl/>
      </w:rPr>
      <w:t xml:space="preserve">ביקורת </w:t>
    </w:r>
    <w:r w:rsidR="00475F10" w:rsidRPr="006061A9">
      <w:rPr>
        <w:rFonts w:ascii="Tahoma" w:eastAsiaTheme="majorEastAsia" w:hAnsi="Tahoma" w:cs="Tahoma" w:hint="cs"/>
        <w:noProof/>
        <w:color w:val="0D0D0D" w:themeColor="text1" w:themeTint="F2"/>
        <w:sz w:val="16"/>
        <w:szCs w:val="16"/>
        <w:rtl/>
      </w:rPr>
      <w:t xml:space="preserve">שנתי </w:t>
    </w:r>
    <w:r w:rsidR="00475F10">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29" type="#_x0000_t202" style="position:absolute;margin-left:-60.1pt;margin-top:25.45pt;width:43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598" w14:textId="77777777" w:rsidR="00196A7F" w:rsidRDefault="00196A7F"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5408" behindDoc="1" locked="0" layoutInCell="1" allowOverlap="1" wp14:anchorId="61028623" wp14:editId="38E0D876">
          <wp:simplePos x="1110343" y="1338943"/>
          <wp:positionH relativeFrom="page">
            <wp:align>center</wp:align>
          </wp:positionH>
          <wp:positionV relativeFrom="page">
            <wp:align>center</wp:align>
          </wp:positionV>
          <wp:extent cx="7549200" cy="1067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A2896">
      <w:rPr>
        <w:rFonts w:ascii="Tahoma" w:eastAsiaTheme="majorEastAsia" w:hAnsi="Tahoma" w:cs="Tahoma" w:hint="eastAsia"/>
        <w:noProof/>
        <w:color w:val="0D0D0D" w:themeColor="text1" w:themeTint="F2"/>
        <w:sz w:val="16"/>
        <w:szCs w:val="16"/>
        <w:rtl/>
        <w:lang w:val="he-IL"/>
      </w:rPr>
      <w:t>פעולות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המדינה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להבטחת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זכויותיה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באמצעות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אכיפה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אזרחית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F174" w14:textId="77777777" w:rsidR="00196A7F" w:rsidRPr="007C237A" w:rsidRDefault="00196A7F"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4384" behindDoc="1" locked="0" layoutInCell="1" allowOverlap="1" wp14:anchorId="32EBC2D6" wp14:editId="199E6176">
          <wp:simplePos x="0" y="0"/>
          <wp:positionH relativeFrom="page">
            <wp:align>center</wp:align>
          </wp:positionH>
          <wp:positionV relativeFrom="page">
            <wp:align>center</wp:align>
          </wp:positionV>
          <wp:extent cx="7549200" cy="1067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61312" behindDoc="0" locked="0" layoutInCell="1" allowOverlap="1" wp14:anchorId="6C0DBDE9" wp14:editId="663B8FE0">
              <wp:simplePos x="0" y="0"/>
              <wp:positionH relativeFrom="column">
                <wp:posOffset>-763270</wp:posOffset>
              </wp:positionH>
              <wp:positionV relativeFrom="paragraph">
                <wp:posOffset>323215</wp:posOffset>
              </wp:positionV>
              <wp:extent cx="546100" cy="67246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5EABC334" w14:textId="77777777" w:rsidR="00196A7F" w:rsidRPr="00D8333F" w:rsidRDefault="00196A7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DBDE9" id="_x0000_t202" coordsize="21600,21600" o:spt="202" path="m,l,21600r21600,l21600,xe">
              <v:stroke joinstyle="miter"/>
              <v:path gradientshapeok="t" o:connecttype="rect"/>
            </v:shapetype>
            <v:shape id="_x0000_s1030" type="#_x0000_t202" style="position:absolute;margin-left:-60.1pt;margin-top:25.45pt;width:43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XmDQIAAP0DAAAOAAAAZHJzL2Uyb0RvYy54bWysU9tuGyEQfa/Uf0C812uvfElWXkdp0lSV&#10;0rRS0g8Ys6wXFRgK2Lv++w6s41jtW1UeEDDMYc6Zw/pmMJodpA8Kbc1nkyln0gpslN3V/MfLw4cr&#10;zkIE24BGK2t+lIHfbN6/W/eukiV2qBvpGYHYUPWu5l2MriqKIDppIEzQSUvBFr2BSFu/KxoPPaEb&#10;XZTT6bLo0TfOo5Ah0On9GOSbjN+2UsRvbRtkZLrmVFvMs8/zNs3FZg3VzoPrlDiVAf9QhQFl6dEz&#10;1D1EYHuv/oIySngM2MaJQFNg2yohMwdiM5v+wea5AyczFxInuLNM4f/BiqfDd89UU/NyyZkFQz16&#10;kUNkH3FgZZKnd6GiW8+O7sWBjqnNmWpwjyh+BmbxrgO7k7feY99JaKi8WcosLlJHnJBAtv1XbOgZ&#10;2EfMQEPrTdKO1GCETm06nluTShF0uJgvZ1OKCAotV+V8uci9K6B6zXY+xM8SDUuLmntqfUaHw2OI&#10;qRqoXq+kxyw+KK1z+7Vlfc2vF+UiJ1xEjIrkTq1Mza+maYx+SSQ/2SYnR1B6XNMD2p5YJ6Ij5Ths&#10;h6xvliQpssXmSDJ4HM1In4cWaS5XRLAnL9Y8/NqDl5zpL5bUvJ7N58m8eTNfrEra+MvI9jICVnRI&#10;Fo+cjcu7mA0/sr4l1VuVBXkr5lQ1eSzrdPoPycSX+3zr7ddufgMAAP//AwBQSwMEFAAGAAgAAAAh&#10;AM1SSeziAAAADAEAAA8AAABkcnMvZG93bnJldi54bWxMj01PhDAQhu8m/odmTLyxLawaQcrGaNzE&#10;i9lFPXgrdARiP5B2F/bfO570ODNP3nnecrNYw444hcE7CelKAEPXej24TsLb61NyCyxE5bQy3qGE&#10;EwbYVOdnpSq0n90ej3XsGIW4UCgJfYxjwXloe7QqrPyIjm6ffrIq0jh1XE9qpnBreCbEDbdqcPSh&#10;VyM+9Nh+1Qcr4b15OZn9uP4Qw/y8W7bfu/px20l5ebHc3wGLuMQ/GH71SR0qcmr8wenAjIQkzURG&#10;rIRrkQMjIllf0aIhNBV5Drwq+f8S1Q8AAAD//wMAUEsBAi0AFAAGAAgAAAAhALaDOJL+AAAA4QEA&#10;ABMAAAAAAAAAAAAAAAAAAAAAAFtDb250ZW50X1R5cGVzXS54bWxQSwECLQAUAAYACAAAACEAOP0h&#10;/9YAAACUAQAACwAAAAAAAAAAAAAAAAAvAQAAX3JlbHMvLnJlbHNQSwECLQAUAAYACAAAACEA8dSF&#10;5g0CAAD9AwAADgAAAAAAAAAAAAAAAAAuAgAAZHJzL2Uyb0RvYy54bWxQSwECLQAUAAYACAAAACEA&#10;zVJJ7OIAAAAMAQAADwAAAAAAAAAAAAAAAABnBAAAZHJzL2Rvd25yZXYueG1sUEsFBgAAAAAEAAQA&#10;8wAAAHYFAAAAAA==&#10;" filled="f" stroked="f">
              <v:textbox style="layout-flow:vertical;mso-layout-flow-alt:bottom-to-top">
                <w:txbxContent>
                  <w:p w14:paraId="5EABC334" w14:textId="77777777" w:rsidR="00196A7F" w:rsidRPr="00D8333F" w:rsidRDefault="00196A7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8" type="#_x0000_t75" style="width:9pt;height:11.25pt" o:bullet="t">
        <v:imagedata r:id="rId1" o:title="red-hand"/>
      </v:shape>
    </w:pict>
  </w:numPicBullet>
  <w:abstractNum w:abstractNumId="0" w15:restartNumberingAfterBreak="0">
    <w:nsid w:val="0354653B"/>
    <w:multiLevelType w:val="hybridMultilevel"/>
    <w:tmpl w:val="30E62C5A"/>
    <w:lvl w:ilvl="0" w:tplc="83281C14">
      <w:start w:val="1"/>
      <w:numFmt w:val="decimal"/>
      <w:lvlText w:val="%1."/>
      <w:lvlJc w:val="left"/>
      <w:pPr>
        <w:ind w:left="785" w:hanging="360"/>
      </w:pPr>
      <w:rPr>
        <w:rFonts w:hint="default"/>
        <w:b/>
        <w:bCs/>
        <w:color w:val="auto"/>
      </w:rPr>
    </w:lvl>
    <w:lvl w:ilvl="1" w:tplc="A7A024C4">
      <w:start w:val="1"/>
      <w:numFmt w:val="hebrew1"/>
      <w:lvlText w:val="%2."/>
      <w:lvlJc w:val="center"/>
      <w:pPr>
        <w:ind w:left="1440" w:hanging="360"/>
      </w:pPr>
      <w:rPr>
        <w:rFonts w:hint="default"/>
        <w:b w:val="0"/>
        <w:bCs w:val="0"/>
      </w:rPr>
    </w:lvl>
    <w:lvl w:ilvl="2" w:tplc="20000001">
      <w:start w:val="1"/>
      <w:numFmt w:val="bullet"/>
      <w:lvlText w:val=""/>
      <w:lvlJc w:val="left"/>
      <w:pPr>
        <w:ind w:left="2340" w:hanging="360"/>
      </w:pPr>
      <w:rPr>
        <w:rFonts w:ascii="Symbol" w:hAnsi="Symbol" w:hint="default"/>
      </w:rPr>
    </w:lvl>
    <w:lvl w:ilvl="3" w:tplc="D84EE038">
      <w:start w:val="1"/>
      <w:numFmt w:val="hebrew1"/>
      <w:lvlText w:val="%4."/>
      <w:lvlJc w:val="left"/>
      <w:pPr>
        <w:ind w:left="2880" w:hanging="360"/>
      </w:pPr>
      <w:rPr>
        <w:rFonts w:hint="default"/>
        <w:sz w:val="24"/>
      </w:rPr>
    </w:lvl>
    <w:lvl w:ilvl="4" w:tplc="66F2BCCE" w:tentative="1">
      <w:start w:val="1"/>
      <w:numFmt w:val="lowerLetter"/>
      <w:lvlText w:val="%5."/>
      <w:lvlJc w:val="left"/>
      <w:pPr>
        <w:ind w:left="3600" w:hanging="360"/>
      </w:pPr>
    </w:lvl>
    <w:lvl w:ilvl="5" w:tplc="B1B02F72" w:tentative="1">
      <w:start w:val="1"/>
      <w:numFmt w:val="lowerRoman"/>
      <w:lvlText w:val="%6."/>
      <w:lvlJc w:val="right"/>
      <w:pPr>
        <w:ind w:left="4320" w:hanging="180"/>
      </w:pPr>
    </w:lvl>
    <w:lvl w:ilvl="6" w:tplc="7BC6EEA6" w:tentative="1">
      <w:start w:val="1"/>
      <w:numFmt w:val="decimal"/>
      <w:lvlText w:val="%7."/>
      <w:lvlJc w:val="left"/>
      <w:pPr>
        <w:ind w:left="5040" w:hanging="360"/>
      </w:pPr>
    </w:lvl>
    <w:lvl w:ilvl="7" w:tplc="14EA99B2" w:tentative="1">
      <w:start w:val="1"/>
      <w:numFmt w:val="lowerLetter"/>
      <w:lvlText w:val="%8."/>
      <w:lvlJc w:val="left"/>
      <w:pPr>
        <w:ind w:left="5760" w:hanging="360"/>
      </w:pPr>
    </w:lvl>
    <w:lvl w:ilvl="8" w:tplc="B87A8DF4" w:tentative="1">
      <w:start w:val="1"/>
      <w:numFmt w:val="lowerRoman"/>
      <w:lvlText w:val="%9."/>
      <w:lvlJc w:val="right"/>
      <w:pPr>
        <w:ind w:left="6480" w:hanging="180"/>
      </w:p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7E4716C"/>
    <w:multiLevelType w:val="multilevel"/>
    <w:tmpl w:val="DB1EC3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8B3650B"/>
    <w:multiLevelType w:val="hybridMultilevel"/>
    <w:tmpl w:val="7A5823B0"/>
    <w:lvl w:ilvl="0" w:tplc="E64A2C3C">
      <w:start w:val="1"/>
      <w:numFmt w:val="decimal"/>
      <w:lvlText w:val="%1."/>
      <w:lvlJc w:val="left"/>
      <w:pPr>
        <w:ind w:left="720" w:hanging="360"/>
      </w:pPr>
      <w:rPr>
        <w:rFonts w:hint="default"/>
        <w:color w:val="auto"/>
      </w:rPr>
    </w:lvl>
    <w:lvl w:ilvl="1" w:tplc="40288968" w:tentative="1">
      <w:start w:val="1"/>
      <w:numFmt w:val="lowerLetter"/>
      <w:lvlText w:val="%2."/>
      <w:lvlJc w:val="left"/>
      <w:pPr>
        <w:ind w:left="1440" w:hanging="360"/>
      </w:pPr>
    </w:lvl>
    <w:lvl w:ilvl="2" w:tplc="D208F444" w:tentative="1">
      <w:start w:val="1"/>
      <w:numFmt w:val="lowerRoman"/>
      <w:lvlText w:val="%3."/>
      <w:lvlJc w:val="right"/>
      <w:pPr>
        <w:ind w:left="2160" w:hanging="180"/>
      </w:pPr>
    </w:lvl>
    <w:lvl w:ilvl="3" w:tplc="700E49B2" w:tentative="1">
      <w:start w:val="1"/>
      <w:numFmt w:val="decimal"/>
      <w:lvlText w:val="%4."/>
      <w:lvlJc w:val="left"/>
      <w:pPr>
        <w:ind w:left="2880" w:hanging="360"/>
      </w:pPr>
    </w:lvl>
    <w:lvl w:ilvl="4" w:tplc="B75E3AB0" w:tentative="1">
      <w:start w:val="1"/>
      <w:numFmt w:val="lowerLetter"/>
      <w:lvlText w:val="%5."/>
      <w:lvlJc w:val="left"/>
      <w:pPr>
        <w:ind w:left="3600" w:hanging="360"/>
      </w:pPr>
    </w:lvl>
    <w:lvl w:ilvl="5" w:tplc="F2CE8EB4" w:tentative="1">
      <w:start w:val="1"/>
      <w:numFmt w:val="lowerRoman"/>
      <w:lvlText w:val="%6."/>
      <w:lvlJc w:val="right"/>
      <w:pPr>
        <w:ind w:left="4320" w:hanging="180"/>
      </w:pPr>
    </w:lvl>
    <w:lvl w:ilvl="6" w:tplc="36EC4884" w:tentative="1">
      <w:start w:val="1"/>
      <w:numFmt w:val="decimal"/>
      <w:lvlText w:val="%7."/>
      <w:lvlJc w:val="left"/>
      <w:pPr>
        <w:ind w:left="5040" w:hanging="360"/>
      </w:pPr>
    </w:lvl>
    <w:lvl w:ilvl="7" w:tplc="694E3E1E" w:tentative="1">
      <w:start w:val="1"/>
      <w:numFmt w:val="lowerLetter"/>
      <w:lvlText w:val="%8."/>
      <w:lvlJc w:val="left"/>
      <w:pPr>
        <w:ind w:left="5760" w:hanging="360"/>
      </w:pPr>
    </w:lvl>
    <w:lvl w:ilvl="8" w:tplc="563ED8F6" w:tentative="1">
      <w:start w:val="1"/>
      <w:numFmt w:val="lowerRoman"/>
      <w:lvlText w:val="%9."/>
      <w:lvlJc w:val="right"/>
      <w:pPr>
        <w:ind w:left="6480" w:hanging="180"/>
      </w:pPr>
    </w:lvl>
  </w:abstractNum>
  <w:abstractNum w:abstractNumId="6" w15:restartNumberingAfterBreak="0">
    <w:nsid w:val="42EF7FB8"/>
    <w:multiLevelType w:val="hybridMultilevel"/>
    <w:tmpl w:val="455681EC"/>
    <w:lvl w:ilvl="0" w:tplc="D4787B36">
      <w:start w:val="1"/>
      <w:numFmt w:val="decimal"/>
      <w:lvlText w:val="%1."/>
      <w:lvlJc w:val="left"/>
      <w:pPr>
        <w:ind w:left="359" w:hanging="360"/>
      </w:pPr>
      <w:rPr>
        <w:rFonts w:hint="default"/>
        <w:b/>
        <w:bCs w:val="0"/>
      </w:rPr>
    </w:lvl>
    <w:lvl w:ilvl="1" w:tplc="2F36B2DA" w:tentative="1">
      <w:start w:val="1"/>
      <w:numFmt w:val="lowerLetter"/>
      <w:lvlText w:val="%2."/>
      <w:lvlJc w:val="left"/>
      <w:pPr>
        <w:ind w:left="1079" w:hanging="360"/>
      </w:pPr>
    </w:lvl>
    <w:lvl w:ilvl="2" w:tplc="C752211A" w:tentative="1">
      <w:start w:val="1"/>
      <w:numFmt w:val="lowerRoman"/>
      <w:lvlText w:val="%3."/>
      <w:lvlJc w:val="right"/>
      <w:pPr>
        <w:ind w:left="1799" w:hanging="180"/>
      </w:pPr>
    </w:lvl>
    <w:lvl w:ilvl="3" w:tplc="50461050" w:tentative="1">
      <w:start w:val="1"/>
      <w:numFmt w:val="decimal"/>
      <w:lvlText w:val="%4."/>
      <w:lvlJc w:val="left"/>
      <w:pPr>
        <w:ind w:left="2519" w:hanging="360"/>
      </w:pPr>
    </w:lvl>
    <w:lvl w:ilvl="4" w:tplc="4ECE9760" w:tentative="1">
      <w:start w:val="1"/>
      <w:numFmt w:val="lowerLetter"/>
      <w:lvlText w:val="%5."/>
      <w:lvlJc w:val="left"/>
      <w:pPr>
        <w:ind w:left="3239" w:hanging="360"/>
      </w:pPr>
    </w:lvl>
    <w:lvl w:ilvl="5" w:tplc="B922D782" w:tentative="1">
      <w:start w:val="1"/>
      <w:numFmt w:val="lowerRoman"/>
      <w:lvlText w:val="%6."/>
      <w:lvlJc w:val="right"/>
      <w:pPr>
        <w:ind w:left="3959" w:hanging="180"/>
      </w:pPr>
    </w:lvl>
    <w:lvl w:ilvl="6" w:tplc="32DA3740" w:tentative="1">
      <w:start w:val="1"/>
      <w:numFmt w:val="decimal"/>
      <w:lvlText w:val="%7."/>
      <w:lvlJc w:val="left"/>
      <w:pPr>
        <w:ind w:left="4679" w:hanging="360"/>
      </w:pPr>
    </w:lvl>
    <w:lvl w:ilvl="7" w:tplc="DC7C3A5A" w:tentative="1">
      <w:start w:val="1"/>
      <w:numFmt w:val="lowerLetter"/>
      <w:lvlText w:val="%8."/>
      <w:lvlJc w:val="left"/>
      <w:pPr>
        <w:ind w:left="5399" w:hanging="360"/>
      </w:pPr>
    </w:lvl>
    <w:lvl w:ilvl="8" w:tplc="E334DCC6" w:tentative="1">
      <w:start w:val="1"/>
      <w:numFmt w:val="lowerRoman"/>
      <w:lvlText w:val="%9."/>
      <w:lvlJc w:val="right"/>
      <w:pPr>
        <w:ind w:left="6119" w:hanging="180"/>
      </w:pPr>
    </w:lvl>
  </w:abstractNum>
  <w:abstractNum w:abstractNumId="7" w15:restartNumberingAfterBreak="0">
    <w:nsid w:val="5F661287"/>
    <w:multiLevelType w:val="multilevel"/>
    <w:tmpl w:val="FCE6B6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62CC7B31"/>
    <w:multiLevelType w:val="hybridMultilevel"/>
    <w:tmpl w:val="D8DCFC78"/>
    <w:lvl w:ilvl="0" w:tplc="D3DC1762">
      <w:start w:val="1"/>
      <w:numFmt w:val="decimal"/>
      <w:lvlText w:val="%1."/>
      <w:lvlJc w:val="left"/>
      <w:pPr>
        <w:ind w:left="785" w:hanging="360"/>
      </w:pPr>
      <w:rPr>
        <w:rFonts w:hint="default"/>
      </w:rPr>
    </w:lvl>
    <w:lvl w:ilvl="1" w:tplc="53926842" w:tentative="1">
      <w:start w:val="1"/>
      <w:numFmt w:val="lowerLetter"/>
      <w:lvlText w:val="%2."/>
      <w:lvlJc w:val="left"/>
      <w:pPr>
        <w:ind w:left="1440" w:hanging="360"/>
      </w:pPr>
    </w:lvl>
    <w:lvl w:ilvl="2" w:tplc="2FB0E494" w:tentative="1">
      <w:start w:val="1"/>
      <w:numFmt w:val="lowerRoman"/>
      <w:lvlText w:val="%3."/>
      <w:lvlJc w:val="right"/>
      <w:pPr>
        <w:ind w:left="2160" w:hanging="180"/>
      </w:pPr>
    </w:lvl>
    <w:lvl w:ilvl="3" w:tplc="B372C750" w:tentative="1">
      <w:start w:val="1"/>
      <w:numFmt w:val="decimal"/>
      <w:lvlText w:val="%4."/>
      <w:lvlJc w:val="left"/>
      <w:pPr>
        <w:ind w:left="2880" w:hanging="360"/>
      </w:pPr>
    </w:lvl>
    <w:lvl w:ilvl="4" w:tplc="E332AE74" w:tentative="1">
      <w:start w:val="1"/>
      <w:numFmt w:val="lowerLetter"/>
      <w:lvlText w:val="%5."/>
      <w:lvlJc w:val="left"/>
      <w:pPr>
        <w:ind w:left="3600" w:hanging="360"/>
      </w:pPr>
    </w:lvl>
    <w:lvl w:ilvl="5" w:tplc="051E9684" w:tentative="1">
      <w:start w:val="1"/>
      <w:numFmt w:val="lowerRoman"/>
      <w:lvlText w:val="%6."/>
      <w:lvlJc w:val="right"/>
      <w:pPr>
        <w:ind w:left="4320" w:hanging="180"/>
      </w:pPr>
    </w:lvl>
    <w:lvl w:ilvl="6" w:tplc="D074684E" w:tentative="1">
      <w:start w:val="1"/>
      <w:numFmt w:val="decimal"/>
      <w:lvlText w:val="%7."/>
      <w:lvlJc w:val="left"/>
      <w:pPr>
        <w:ind w:left="5040" w:hanging="360"/>
      </w:pPr>
    </w:lvl>
    <w:lvl w:ilvl="7" w:tplc="14CADE12" w:tentative="1">
      <w:start w:val="1"/>
      <w:numFmt w:val="lowerLetter"/>
      <w:lvlText w:val="%8."/>
      <w:lvlJc w:val="left"/>
      <w:pPr>
        <w:ind w:left="5760" w:hanging="360"/>
      </w:pPr>
    </w:lvl>
    <w:lvl w:ilvl="8" w:tplc="046874F6" w:tentative="1">
      <w:start w:val="1"/>
      <w:numFmt w:val="lowerRoman"/>
      <w:lvlText w:val="%9."/>
      <w:lvlJc w:val="right"/>
      <w:pPr>
        <w:ind w:left="6480"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BA43B79"/>
    <w:multiLevelType w:val="multilevel"/>
    <w:tmpl w:val="85C692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3"/>
  </w:num>
  <w:num w:numId="2">
    <w:abstractNumId w:val="10"/>
  </w:num>
  <w:num w:numId="3">
    <w:abstractNumId w:val="2"/>
  </w:num>
  <w:num w:numId="4">
    <w:abstractNumId w:val="1"/>
  </w:num>
  <w:num w:numId="5">
    <w:abstractNumId w:val="9"/>
  </w:num>
  <w:num w:numId="6">
    <w:abstractNumId w:val="5"/>
  </w:num>
  <w:num w:numId="7">
    <w:abstractNumId w:val="0"/>
  </w:num>
  <w:num w:numId="8">
    <w:abstractNumId w:val="6"/>
  </w:num>
  <w:num w:numId="9">
    <w:abstractNumId w:val="8"/>
  </w:num>
  <w:num w:numId="10">
    <w:abstractNumId w:val="7"/>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0E7B"/>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54F"/>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A7F"/>
    <w:rsid w:val="00196B27"/>
    <w:rsid w:val="00196D01"/>
    <w:rsid w:val="001A06FA"/>
    <w:rsid w:val="001A14B8"/>
    <w:rsid w:val="001A1832"/>
    <w:rsid w:val="001A1A35"/>
    <w:rsid w:val="001A1D8E"/>
    <w:rsid w:val="001A214C"/>
    <w:rsid w:val="001A2896"/>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804"/>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28"/>
    <w:rsid w:val="001F6433"/>
    <w:rsid w:val="001F683F"/>
    <w:rsid w:val="001F6D2B"/>
    <w:rsid w:val="001F7132"/>
    <w:rsid w:val="00201773"/>
    <w:rsid w:val="00201C60"/>
    <w:rsid w:val="002020AF"/>
    <w:rsid w:val="00202CDF"/>
    <w:rsid w:val="00203A69"/>
    <w:rsid w:val="002041F8"/>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230"/>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5B7"/>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298"/>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592F"/>
    <w:rsid w:val="00306333"/>
    <w:rsid w:val="00310CE8"/>
    <w:rsid w:val="00311D24"/>
    <w:rsid w:val="00312240"/>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2D95"/>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0BD"/>
    <w:rsid w:val="003E04AC"/>
    <w:rsid w:val="003E06C7"/>
    <w:rsid w:val="003E0A05"/>
    <w:rsid w:val="003E0C5E"/>
    <w:rsid w:val="003E1352"/>
    <w:rsid w:val="003E1383"/>
    <w:rsid w:val="003E323C"/>
    <w:rsid w:val="003E5430"/>
    <w:rsid w:val="003E709A"/>
    <w:rsid w:val="003F0A5C"/>
    <w:rsid w:val="003F0C3A"/>
    <w:rsid w:val="003F112F"/>
    <w:rsid w:val="003F120B"/>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5F1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0CE2"/>
    <w:rsid w:val="00521DEF"/>
    <w:rsid w:val="00521E20"/>
    <w:rsid w:val="00522AB2"/>
    <w:rsid w:val="00523A2E"/>
    <w:rsid w:val="0052427E"/>
    <w:rsid w:val="00524A5D"/>
    <w:rsid w:val="005256F3"/>
    <w:rsid w:val="00525E93"/>
    <w:rsid w:val="0052621D"/>
    <w:rsid w:val="00527462"/>
    <w:rsid w:val="005276C3"/>
    <w:rsid w:val="00527873"/>
    <w:rsid w:val="00527C22"/>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1C9D"/>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36E"/>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07D"/>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66D5"/>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B9B"/>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476C"/>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158"/>
    <w:rsid w:val="007359A3"/>
    <w:rsid w:val="00736A81"/>
    <w:rsid w:val="007373F6"/>
    <w:rsid w:val="00737811"/>
    <w:rsid w:val="0073787B"/>
    <w:rsid w:val="00737F3F"/>
    <w:rsid w:val="00737F8A"/>
    <w:rsid w:val="00740459"/>
    <w:rsid w:val="00740F3C"/>
    <w:rsid w:val="00741004"/>
    <w:rsid w:val="00741B41"/>
    <w:rsid w:val="00741B9F"/>
    <w:rsid w:val="00741CCD"/>
    <w:rsid w:val="00742110"/>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5C94"/>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C00"/>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095"/>
    <w:rsid w:val="008341F0"/>
    <w:rsid w:val="008345DE"/>
    <w:rsid w:val="00835A31"/>
    <w:rsid w:val="00837820"/>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CD3"/>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15A"/>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1EAC"/>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47E"/>
    <w:rsid w:val="00975710"/>
    <w:rsid w:val="00975A23"/>
    <w:rsid w:val="009761D3"/>
    <w:rsid w:val="009762F4"/>
    <w:rsid w:val="00976F28"/>
    <w:rsid w:val="0098132E"/>
    <w:rsid w:val="009822AB"/>
    <w:rsid w:val="00982A00"/>
    <w:rsid w:val="00983048"/>
    <w:rsid w:val="0098318A"/>
    <w:rsid w:val="0098335A"/>
    <w:rsid w:val="00983B82"/>
    <w:rsid w:val="00984303"/>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2D0A"/>
    <w:rsid w:val="00A0304E"/>
    <w:rsid w:val="00A0323A"/>
    <w:rsid w:val="00A05E5D"/>
    <w:rsid w:val="00A0661A"/>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406E"/>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1A"/>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19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1F8B"/>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86E"/>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16BF"/>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6A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2DA"/>
    <w:rsid w:val="00CE0511"/>
    <w:rsid w:val="00CE0A90"/>
    <w:rsid w:val="00CE1025"/>
    <w:rsid w:val="00CE13FC"/>
    <w:rsid w:val="00CE172B"/>
    <w:rsid w:val="00CE1CCD"/>
    <w:rsid w:val="00CE28D6"/>
    <w:rsid w:val="00CE3019"/>
    <w:rsid w:val="00CE30E3"/>
    <w:rsid w:val="00CE312E"/>
    <w:rsid w:val="00CE3440"/>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88A"/>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0E0"/>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858"/>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596"/>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91F"/>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07E7C"/>
    <w:rsid w:val="00F1059F"/>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3A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22A"/>
    <w:rsid w:val="00FE5CC4"/>
    <w:rsid w:val="00FE6451"/>
    <w:rsid w:val="00FE745F"/>
    <w:rsid w:val="00FE761A"/>
    <w:rsid w:val="00FE773D"/>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8.png"/><Relationship Id="rId29"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7.xml"/><Relationship Id="rId35" Type="http://schemas.openxmlformats.org/officeDocument/2006/relationships/customXml" Target="../customXml/item3.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9281B2D3-C91F-40B3-BDDB-1FD218430693}"/>
</file>

<file path=customXml/itemProps3.xml><?xml version="1.0" encoding="utf-8"?>
<ds:datastoreItem xmlns:ds="http://schemas.openxmlformats.org/officeDocument/2006/customXml" ds:itemID="{4A40620A-00BB-4ED7-807B-52971F32A171}"/>
</file>

<file path=customXml/itemProps4.xml><?xml version="1.0" encoding="utf-8"?>
<ds:datastoreItem xmlns:ds="http://schemas.openxmlformats.org/officeDocument/2006/customXml" ds:itemID="{B2E2418C-7D1F-4AB0-885E-55481932D39B}"/>
</file>

<file path=docProps/app.xml><?xml version="1.0" encoding="utf-8"?>
<Properties xmlns="http://schemas.openxmlformats.org/officeDocument/2006/extended-properties" xmlns:vt="http://schemas.openxmlformats.org/officeDocument/2006/docPropsVTypes">
  <Template>Normal.dotm</Template>
  <TotalTime>181</TotalTime>
  <Pages>10</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40</cp:revision>
  <cp:lastPrinted>2021-06-03T09:02:00Z</cp:lastPrinted>
  <dcterms:created xsi:type="dcterms:W3CDTF">2021-05-31T11:34:00Z</dcterms:created>
  <dcterms:modified xsi:type="dcterms:W3CDTF">2021-07-20T08:19:00Z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