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170230" w:rsidP="001933EC" w14:paraId="3C4CDB13"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07121"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A10996" w:rsidP="001933EC" w14:paraId="6B7D33E1"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1933EC" w:rsidP="001933EC" w14:paraId="3D3C1F9F" w14:textId="77777777">
      <w:pPr>
        <w:spacing w:before="1080" w:line="240" w:lineRule="auto"/>
        <w:jc w:val="center"/>
        <w:rPr>
          <w:rFonts w:ascii="Tahoma" w:hAnsi="Tahoma" w:cs="Tahoma"/>
          <w:color w:val="2A2AA6"/>
          <w:sz w:val="32"/>
          <w:szCs w:val="32"/>
        </w:rPr>
      </w:pPr>
    </w:p>
    <w:p w:rsidR="001933EC" w:rsidP="001933EC" w14:paraId="4695EB5B" w14:textId="77777777">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Pr>
          <w:rFonts w:ascii="Tahoma" w:hAnsi="Tahoma" w:cs="Tahoma" w:hint="cs"/>
          <w:color w:val="2A2AA6"/>
          <w:sz w:val="32"/>
          <w:szCs w:val="32"/>
          <w:rtl/>
        </w:rPr>
        <w:t>1ב</w:t>
      </w:r>
    </w:p>
    <w:p w:rsidR="001933EC" w:rsidRPr="00815809" w:rsidP="001933EC" w14:paraId="0072DEAD" w14:textId="6AFF84A8">
      <w:pPr>
        <w:pStyle w:val="tab-name"/>
        <w:keepNext w:val="0"/>
        <w:spacing w:before="600" w:after="120" w:line="240" w:lineRule="exact"/>
        <w:jc w:val="center"/>
        <w:rPr>
          <w:rFonts w:eastAsiaTheme="minorHAnsi"/>
          <w:color w:val="2A2AA6"/>
          <w:sz w:val="44"/>
          <w:szCs w:val="44"/>
          <w:rtl/>
        </w:rPr>
      </w:pPr>
    </w:p>
    <w:p w:rsidR="001933EC" w:rsidP="001933EC" w14:paraId="51D53371" w14:textId="771A6FD6">
      <w:pPr>
        <w:pStyle w:val="tab-name"/>
        <w:keepNext w:val="0"/>
        <w:spacing w:before="240" w:line="240" w:lineRule="atLeast"/>
        <w:jc w:val="center"/>
        <w:outlineLvl w:val="0"/>
        <w:rPr>
          <w:color w:val="2A2AA6"/>
          <w:sz w:val="52"/>
          <w:szCs w:val="52"/>
          <w:rtl/>
        </w:rPr>
      </w:pPr>
      <w:r w:rsidRPr="00D55084">
        <w:rPr>
          <w:color w:val="2A2AA6"/>
          <w:sz w:val="52"/>
          <w:szCs w:val="52"/>
          <w:rtl/>
        </w:rPr>
        <w:t>המשרד להגנת הסביבה</w:t>
      </w:r>
    </w:p>
    <w:p w:rsidR="001933EC" w:rsidP="001933EC" w14:paraId="7B23506A" w14:textId="77777777">
      <w:pPr>
        <w:spacing w:before="4320" w:line="720" w:lineRule="exact"/>
        <w:jc w:val="center"/>
        <w:rPr>
          <w:rFonts w:ascii="Tahoma" w:hAnsi="Tahoma" w:cs="Tahoma"/>
          <w:sz w:val="24"/>
          <w:rtl/>
        </w:rPr>
      </w:pPr>
    </w:p>
    <w:p w:rsidR="001933EC" w:rsidP="001933EC" w14:paraId="14D0DA10"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74229"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P="001933EC" w14:paraId="2B4A4C7D" w14:textId="66AE0456">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Pr>
          <w:rFonts w:ascii="Tahoma" w:hAnsi="Tahoma" w:cs="Tahoma" w:hint="cs"/>
          <w:sz w:val="22"/>
          <w:szCs w:val="22"/>
          <w:rtl/>
        </w:rPr>
        <w:t>פ"א</w:t>
      </w:r>
      <w:r>
        <w:rPr>
          <w:rFonts w:ascii="Tahoma" w:hAnsi="Tahoma" w:cs="Tahoma"/>
          <w:sz w:val="22"/>
          <w:szCs w:val="22"/>
          <w:rtl/>
        </w:rPr>
        <w:t>, מרץ 202</w:t>
      </w:r>
      <w:r>
        <w:rPr>
          <w:rFonts w:ascii="Tahoma" w:hAnsi="Tahoma" w:cs="Tahoma" w:hint="cs"/>
          <w:sz w:val="22"/>
          <w:szCs w:val="22"/>
          <w:rtl/>
        </w:rPr>
        <w:t>1</w:t>
      </w:r>
    </w:p>
    <w:p w:rsidR="001933EC" w:rsidP="001933EC"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P="001933EC" w14:paraId="3CE94EFA" w14:textId="5D87B0B3">
      <w:pPr>
        <w:spacing w:line="240" w:lineRule="auto"/>
        <w:jc w:val="center"/>
        <w:rPr>
          <w:rFonts w:ascii="Tahoma" w:hAnsi="Tahoma" w:cs="Tahoma"/>
          <w:sz w:val="22"/>
          <w:szCs w:val="22"/>
          <w:rtl/>
        </w:rPr>
      </w:pPr>
    </w:p>
    <w:p w:rsidR="001933EC" w:rsidP="001933EC"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0F76A8" w:rsidRPr="00170230" w:rsidP="00482559" w14:paraId="32B3C35B"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2030"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482559" w14:paraId="355A3D32"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8D2388" w14:paraId="61EA7769" w14:textId="77777777">
      <w:pPr>
        <w:spacing w:before="1080" w:line="240" w:lineRule="auto"/>
        <w:jc w:val="center"/>
        <w:rPr>
          <w:rFonts w:ascii="Tahoma" w:hAnsi="Tahoma" w:cs="Tahoma"/>
          <w:color w:val="2A2AA6"/>
          <w:sz w:val="32"/>
          <w:szCs w:val="32"/>
        </w:rPr>
      </w:pPr>
    </w:p>
    <w:p w:rsidR="00084E3A" w:rsidP="00084E3A" w14:paraId="7AF3E596" w14:textId="6EC9E21B">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sidR="008603E7">
        <w:rPr>
          <w:rFonts w:ascii="Tahoma" w:hAnsi="Tahoma" w:cs="Tahoma" w:hint="cs"/>
          <w:color w:val="2A2AA6"/>
          <w:sz w:val="32"/>
          <w:szCs w:val="32"/>
          <w:rtl/>
        </w:rPr>
        <w:t>1ב</w:t>
      </w:r>
    </w:p>
    <w:p w:rsidR="00084E3A" w:rsidRPr="00154682" w:rsidP="00154682" w14:paraId="79BBA1A7" w14:textId="6A3DD503">
      <w:pPr>
        <w:pStyle w:val="tab-name"/>
        <w:keepNext w:val="0"/>
        <w:spacing w:before="120" w:line="240" w:lineRule="exact"/>
        <w:jc w:val="center"/>
        <w:rPr>
          <w:rFonts w:eastAsiaTheme="minorHAnsi"/>
          <w:color w:val="2A2AA6"/>
          <w:sz w:val="24"/>
          <w:szCs w:val="24"/>
          <w:rtl/>
        </w:rPr>
      </w:pPr>
      <w:r w:rsidRPr="00D55084">
        <w:rPr>
          <w:rFonts w:eastAsiaTheme="minorHAnsi"/>
          <w:color w:val="2A2AA6"/>
          <w:sz w:val="24"/>
          <w:szCs w:val="24"/>
          <w:rtl/>
        </w:rPr>
        <w:t>המשרד להגנת הסביבה</w:t>
      </w:r>
    </w:p>
    <w:p w:rsidR="00084E3A" w:rsidP="008D2388" w14:paraId="2E356EBE" w14:textId="5FE7A55C">
      <w:pPr>
        <w:pStyle w:val="tab-name"/>
        <w:keepNext w:val="0"/>
        <w:spacing w:before="360" w:line="240" w:lineRule="atLeast"/>
        <w:jc w:val="center"/>
        <w:outlineLvl w:val="0"/>
        <w:rPr>
          <w:color w:val="2A2AA6"/>
          <w:sz w:val="52"/>
          <w:szCs w:val="52"/>
          <w:rtl/>
        </w:rPr>
      </w:pPr>
      <w:r w:rsidRPr="000930B3">
        <w:rPr>
          <w:color w:val="2A2AA6"/>
          <w:sz w:val="52"/>
          <w:szCs w:val="52"/>
          <w:rtl/>
        </w:rPr>
        <w:t xml:space="preserve">היבטים בהחלת חוק הפיקדון </w:t>
      </w:r>
      <w:r>
        <w:rPr>
          <w:color w:val="2A2AA6"/>
          <w:sz w:val="52"/>
          <w:szCs w:val="52"/>
        </w:rPr>
        <w:br/>
      </w:r>
      <w:r w:rsidRPr="000930B3">
        <w:rPr>
          <w:color w:val="2A2AA6"/>
          <w:sz w:val="52"/>
          <w:szCs w:val="52"/>
          <w:rtl/>
        </w:rPr>
        <w:t>על מכלי משקה</w:t>
      </w:r>
    </w:p>
    <w:p w:rsidR="00084E3A" w:rsidP="001B03C0" w14:paraId="52E6383A" w14:textId="77777777">
      <w:pPr>
        <w:spacing w:before="3720" w:line="720" w:lineRule="exact"/>
        <w:jc w:val="center"/>
        <w:rPr>
          <w:rFonts w:ascii="Tahoma" w:hAnsi="Tahoma" w:cs="Tahoma"/>
          <w:sz w:val="24"/>
          <w:rtl/>
        </w:rPr>
      </w:pPr>
    </w:p>
    <w:p w:rsidR="00084E3A" w:rsidP="008D2388" w14:paraId="6507F4AA"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7476"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P="00084E3A" w14:paraId="7D4217AA" w14:textId="77777777">
      <w:pPr>
        <w:spacing w:line="240" w:lineRule="auto"/>
        <w:jc w:val="center"/>
        <w:rPr>
          <w:rFonts w:ascii="Tahoma" w:hAnsi="Tahoma" w:cs="Tahoma"/>
          <w:sz w:val="22"/>
          <w:szCs w:val="22"/>
          <w:rtl/>
        </w:rPr>
      </w:pPr>
    </w:p>
    <w:p w:rsidR="00F62588" w:rsidP="00084E3A" w14:paraId="6B92C2E6" w14:textId="56B4649E">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sidR="00140F99">
        <w:rPr>
          <w:rFonts w:ascii="Tahoma" w:hAnsi="Tahoma" w:cs="Tahoma" w:hint="cs"/>
          <w:sz w:val="22"/>
          <w:szCs w:val="22"/>
          <w:rtl/>
        </w:rPr>
        <w:t>פ"א</w:t>
      </w:r>
      <w:r>
        <w:rPr>
          <w:rFonts w:ascii="Tahoma" w:hAnsi="Tahoma" w:cs="Tahoma"/>
          <w:sz w:val="22"/>
          <w:szCs w:val="22"/>
          <w:rtl/>
        </w:rPr>
        <w:t>, מרץ 202</w:t>
      </w:r>
      <w:r w:rsidR="00140F99">
        <w:rPr>
          <w:rFonts w:ascii="Tahoma" w:hAnsi="Tahoma" w:cs="Tahoma" w:hint="cs"/>
          <w:sz w:val="22"/>
          <w:szCs w:val="22"/>
          <w:rtl/>
        </w:rPr>
        <w:t>1</w:t>
      </w:r>
    </w:p>
    <w:p w:rsidR="00DE6C5F"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327593" w14:paraId="3D56EB2C" w14:textId="77777777">
      <w:pPr>
        <w:spacing w:after="200" w:line="276" w:lineRule="auto"/>
        <w:rPr>
          <w:rFonts w:ascii="Tahoma" w:hAnsi="Tahoma" w:cs="Tahoma"/>
          <w:sz w:val="22"/>
          <w:szCs w:val="22"/>
        </w:rPr>
      </w:pPr>
    </w:p>
    <w:p w:rsidR="00084E3A" w:rsidP="00084E3A"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0930B3" w:rsidRPr="00516BB4" w:rsidP="00060975" w14:paraId="71A256E6" w14:textId="643FDB57">
      <w:pPr>
        <w:pStyle w:val="10"/>
        <w:rPr>
          <w:rtl/>
        </w:rPr>
      </w:pPr>
      <w:r w:rsidRPr="00516BB4">
        <w:rPr>
          <w:rtl/>
        </w:rPr>
        <w:t xml:space="preserve">היבטים בהחלת חוק הפיקדון </w:t>
      </w:r>
      <w:r w:rsidR="00A82E5B">
        <w:rPr>
          <w:rtl/>
        </w:rPr>
        <w:br/>
      </w:r>
      <w:r w:rsidRPr="00516BB4">
        <w:rPr>
          <w:rtl/>
        </w:rPr>
        <w:t>על מכלי משקה</w:t>
      </w:r>
    </w:p>
    <w:p w:rsidR="000930B3" w:rsidRPr="00DA075D" w:rsidP="00060975" w14:paraId="7BECA7AB" w14:textId="50B9F78F">
      <w:pPr>
        <w:pStyle w:val="2"/>
        <w:rPr>
          <w:rtl/>
        </w:rPr>
      </w:pPr>
      <w:bookmarkStart w:id="0" w:name="_Hlk64749155"/>
      <w:r>
        <w:rPr>
          <w:rFonts w:hint="cs"/>
          <w:rtl/>
        </w:rPr>
        <w:t>תקציר</w:t>
      </w:r>
    </w:p>
    <w:p w:rsidR="00060975" w:rsidRPr="00111F32" w:rsidP="00060975" w14:paraId="095B14C6" w14:textId="77777777">
      <w:pPr>
        <w:pStyle w:val="3"/>
        <w:spacing w:before="120"/>
        <w:rPr>
          <w:rtl/>
        </w:rPr>
      </w:pPr>
      <w:r>
        <w:rPr>
          <w:rFonts w:hint="cs"/>
          <w:rtl/>
        </w:rPr>
        <w:t>רקע</w:t>
      </w:r>
    </w:p>
    <w:bookmarkEnd w:id="0"/>
    <w:p w:rsidR="000930B3" w:rsidRPr="00DB519D" w:rsidP="00AD02C3" w14:paraId="40E93D89" w14:textId="77777777">
      <w:pPr>
        <w:pStyle w:val="a12"/>
        <w:widowControl/>
        <w:spacing w:before="0" w:after="120" w:line="320" w:lineRule="atLeast"/>
        <w:rPr>
          <w:rFonts w:ascii="Tahoma" w:hAnsi="Tahoma" w:cs="Tahoma"/>
          <w:sz w:val="20"/>
          <w:szCs w:val="20"/>
        </w:rPr>
      </w:pPr>
      <w:r w:rsidRPr="00DB519D">
        <w:rPr>
          <w:rFonts w:ascii="Tahoma" w:hAnsi="Tahoma" w:cs="Tahoma"/>
          <w:sz w:val="20"/>
          <w:szCs w:val="20"/>
          <w:rtl/>
        </w:rPr>
        <w:t xml:space="preserve">חומר הפלסטיק שממנו מיוצרים מכלי המשקה, כשאינו ממוחזר, נותר בטבע במשך מאות שנים שבהן הוא מתכלה לאיטו, כך שהזיהום הסביבתי שיוצרים מכלי המשקה הוא בעיה עולמית ונזקיו נאמדים במיליארדי דולרים בשנה. בשנת 2008 נבעו כ-28.5% מנפח הפסולת הביתית בישראל מהטמנת מכלי משקה; 22% מהנפח נבעו ממכלי משקה גדולים וכ-6.5% ממכלי משקה קטנים. בשנת 2018 נמכרו בישראל יותר מ-1.8 מיליארד מכלי משקה, מהם כ-765 מיליון מכלים גדולים. על פי חוק הפיקדון על מכלי משקה, התשנ"ט-1999, פיקדון של 30 אג' מוטל על מכלי משקה שקיבולתם קטנה מליטר וחצי; יצרן או יבואן רשאי להחליט כי סכום הפיקדון על מכל משקה מלא יהיה גבוה מהסכום הנקוב בחוק. </w:t>
      </w:r>
    </w:p>
    <w:p w:rsidR="000930B3" w:rsidRPr="00DB519D" w:rsidP="00AD02C3" w14:paraId="4EEA98B2" w14:textId="77777777">
      <w:pPr>
        <w:pStyle w:val="a12"/>
        <w:widowControl/>
        <w:spacing w:before="0" w:after="120" w:line="320" w:lineRule="atLeast"/>
        <w:rPr>
          <w:rFonts w:ascii="Tahoma" w:hAnsi="Tahoma" w:cs="Tahoma"/>
          <w:sz w:val="20"/>
          <w:szCs w:val="20"/>
        </w:rPr>
      </w:pPr>
      <w:r w:rsidRPr="00DB519D">
        <w:rPr>
          <w:rFonts w:ascii="Tahoma" w:hAnsi="Tahoma" w:cs="Tahoma"/>
          <w:sz w:val="20"/>
          <w:szCs w:val="20"/>
          <w:rtl/>
        </w:rPr>
        <w:t xml:space="preserve">בתיקון לחוק משנת 2010 נקבע מנגנון המחייב יצרני משקאות ויבואני משקאות לאסוף 55% מהמכלים הגדולים ששווקו ולמחזר 90% מהמכלים שנאספו, בלי שיוטל פיקדון. עוד נקבע כי אם יהיה שיעור האיסוף נמוך מ-55% אך גדול מ-47%, רשאי השר להגנת הסביבה לדחות בצו את מועד התחולה של הוראות החוק על מכלים גדולים וכן לקבוע תנאים לתחולתן. </w:t>
      </w:r>
    </w:p>
    <w:p w:rsidR="000930B3" w:rsidRPr="00DB519D" w:rsidP="00AD02C3" w14:paraId="18F0BC08" w14:textId="77777777">
      <w:pPr>
        <w:pStyle w:val="a12"/>
        <w:widowControl/>
        <w:spacing w:before="0" w:after="120" w:line="320" w:lineRule="atLeast"/>
        <w:rPr>
          <w:rFonts w:ascii="Tahoma" w:hAnsi="Tahoma" w:cs="Tahoma"/>
          <w:sz w:val="20"/>
          <w:szCs w:val="20"/>
        </w:rPr>
      </w:pPr>
      <w:r w:rsidRPr="00DB519D">
        <w:rPr>
          <w:rFonts w:ascii="Tahoma" w:hAnsi="Tahoma" w:cs="Tahoma"/>
          <w:sz w:val="20"/>
          <w:szCs w:val="20"/>
          <w:rtl/>
        </w:rPr>
        <w:t>ב-19.10.20 הודיעה השרה להגנת הסביבה (השרה) על אי-עמידה ביעד האיסוף של מכלי משקה גדולים לשנת 2016</w:t>
      </w:r>
      <w:r w:rsidRPr="00DB519D">
        <w:rPr>
          <w:rFonts w:ascii="Tahoma" w:hAnsi="Tahoma" w:cs="Tahoma"/>
          <w:spacing w:val="-36"/>
          <w:sz w:val="20"/>
          <w:szCs w:val="20"/>
          <w:rtl/>
        </w:rPr>
        <w:t xml:space="preserve"> </w:t>
      </w:r>
      <w:r>
        <w:rPr>
          <w:rFonts w:ascii="Tahoma" w:hAnsi="Tahoma" w:cs="Tahoma"/>
          <w:sz w:val="20"/>
          <w:szCs w:val="20"/>
          <w:vertAlign w:val="superscript"/>
          <w:rtl/>
        </w:rPr>
        <w:footnoteReference w:id="2"/>
      </w:r>
      <w:r w:rsidRPr="00DB519D">
        <w:rPr>
          <w:rFonts w:ascii="Tahoma" w:hAnsi="Tahoma" w:cs="Tahoma"/>
          <w:sz w:val="20"/>
          <w:szCs w:val="20"/>
          <w:rtl/>
        </w:rPr>
        <w:t>. בד בבד פרסמה השרה להערות הציבור את תזכיר צו הפיקדון על מכלי משקה (דחיית מועד תחולת החוק על מכלי משקה גדולים), התשפ"א-2020, הדוחה את תחולת הוראות חוק הפיקדון על מכלי משקה גדולים. ב-1.12.20 אישרה ועדת הכלכלה של הכנסת (ועדת הכלכלה) החלת פיקדון על מכלי משקה גדולים החל מ-1.12.21.</w:t>
      </w:r>
    </w:p>
    <w:p w:rsidR="00060975" w:rsidRPr="00265F74" w:rsidP="00060975" w14:paraId="46A5F486" w14:textId="77777777">
      <w:pPr>
        <w:pStyle w:val="3"/>
        <w:rPr>
          <w:rtl/>
        </w:rPr>
      </w:pPr>
      <w:r w:rsidRPr="00265F74">
        <w:rPr>
          <w:rFonts w:hint="cs"/>
          <w:rtl/>
        </w:rPr>
        <w:t>נתוני מפתח</w:t>
      </w:r>
    </w:p>
    <w:tbl>
      <w:tblPr>
        <w:tblStyle w:val="TableGrid"/>
        <w:bidiVisu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112"/>
        <w:gridCol w:w="222"/>
        <w:gridCol w:w="1746"/>
        <w:gridCol w:w="222"/>
        <w:gridCol w:w="1768"/>
        <w:gridCol w:w="222"/>
        <w:gridCol w:w="1930"/>
      </w:tblGrid>
      <w:tr w14:paraId="2E9C0375" w14:textId="77777777" w:rsidTr="003156F6">
        <w:tblPrEx>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2112" w:type="dxa"/>
          </w:tcPr>
          <w:p w:rsidR="003156F6" w:rsidRPr="00273409" w:rsidP="003156F6" w14:paraId="6945F3D2" w14:textId="7CE9F225">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1.8</w:t>
            </w:r>
            <w:r w:rsidRPr="003156F6">
              <w:rPr>
                <w:rFonts w:ascii="Tahoma" w:hAnsi="Tahoma" w:cs="Tahoma"/>
                <w:b/>
                <w:bCs/>
                <w:color w:val="0D0D0D" w:themeColor="text1" w:themeTint="F2"/>
                <w:sz w:val="36"/>
                <w:szCs w:val="36"/>
                <w:rtl/>
              </w:rPr>
              <w:t xml:space="preserve"> </w:t>
            </w:r>
            <w:r>
              <w:rPr>
                <w:rFonts w:ascii="Tahoma" w:hAnsi="Tahoma" w:cs="Tahoma"/>
                <w:b/>
                <w:bCs/>
                <w:color w:val="0D0D0D" w:themeColor="text1" w:themeTint="F2"/>
                <w:sz w:val="36"/>
                <w:szCs w:val="36"/>
              </w:rPr>
              <w:br/>
            </w:r>
            <w:r w:rsidRPr="003156F6">
              <w:rPr>
                <w:rFonts w:ascii="Tahoma" w:hAnsi="Tahoma" w:cs="Tahoma"/>
                <w:color w:val="0D0D0D" w:themeColor="text1" w:themeTint="F2"/>
                <w:sz w:val="28"/>
                <w:szCs w:val="28"/>
                <w:rtl/>
              </w:rPr>
              <w:t>מיליארד</w:t>
            </w:r>
          </w:p>
        </w:tc>
        <w:tc>
          <w:tcPr>
            <w:tcW w:w="222" w:type="dxa"/>
          </w:tcPr>
          <w:p w:rsidR="003156F6" w:rsidRPr="000B1345" w:rsidP="003156F6" w14:paraId="3BA7B3CE" w14:textId="77777777">
            <w:pPr>
              <w:spacing w:before="120" w:line="240" w:lineRule="auto"/>
              <w:rPr>
                <w:rFonts w:ascii="Tahoma" w:hAnsi="Tahoma" w:cs="Tahoma"/>
                <w:b/>
                <w:bCs/>
                <w:color w:val="0D0D0D" w:themeColor="text1" w:themeTint="F2"/>
                <w:sz w:val="36"/>
                <w:szCs w:val="36"/>
              </w:rPr>
            </w:pPr>
          </w:p>
        </w:tc>
        <w:tc>
          <w:tcPr>
            <w:tcW w:w="1746" w:type="dxa"/>
          </w:tcPr>
          <w:p w:rsidR="003156F6" w:rsidRPr="00273409" w:rsidP="003156F6" w14:paraId="2BA9AA9F" w14:textId="73FB41F6">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300</w:t>
            </w:r>
            <w:r w:rsidRPr="003156F6">
              <w:rPr>
                <w:rFonts w:ascii="Tahoma" w:hAnsi="Tahoma" w:cs="Tahoma"/>
                <w:b/>
                <w:bCs/>
                <w:color w:val="0D0D0D" w:themeColor="text1" w:themeTint="F2"/>
                <w:sz w:val="36"/>
                <w:szCs w:val="36"/>
                <w:rtl/>
              </w:rPr>
              <w:t xml:space="preserve"> </w:t>
            </w:r>
            <w:r w:rsidRPr="003156F6">
              <w:rPr>
                <w:rFonts w:ascii="Tahoma" w:hAnsi="Tahoma" w:cs="Tahoma"/>
                <w:color w:val="0D0D0D" w:themeColor="text1" w:themeTint="F2"/>
                <w:sz w:val="28"/>
                <w:szCs w:val="28"/>
                <w:rtl/>
              </w:rPr>
              <w:t>מלש</w:t>
            </w:r>
            <w:r w:rsidRPr="003156F6">
              <w:rPr>
                <w:rFonts w:ascii="Tahoma" w:hAnsi="Tahoma" w:cs="Tahoma"/>
                <w:color w:val="0D0D0D" w:themeColor="text1" w:themeTint="F2"/>
                <w:sz w:val="28"/>
                <w:szCs w:val="28"/>
              </w:rPr>
              <w:t>"</w:t>
            </w:r>
            <w:r w:rsidRPr="003156F6">
              <w:rPr>
                <w:rFonts w:ascii="Tahoma" w:hAnsi="Tahoma" w:cs="Tahoma"/>
                <w:color w:val="0D0D0D" w:themeColor="text1" w:themeTint="F2"/>
                <w:sz w:val="28"/>
                <w:szCs w:val="28"/>
                <w:rtl/>
              </w:rPr>
              <w:t>ח</w:t>
            </w:r>
          </w:p>
        </w:tc>
        <w:tc>
          <w:tcPr>
            <w:tcW w:w="222" w:type="dxa"/>
          </w:tcPr>
          <w:p w:rsidR="003156F6" w:rsidRPr="000B1345" w:rsidP="003156F6" w14:paraId="270365DD" w14:textId="77777777">
            <w:pPr>
              <w:spacing w:before="120" w:line="240" w:lineRule="auto"/>
              <w:rPr>
                <w:rFonts w:ascii="Tahoma" w:hAnsi="Tahoma" w:cs="Tahoma"/>
                <w:b/>
                <w:bCs/>
                <w:color w:val="0D0D0D" w:themeColor="text1" w:themeTint="F2"/>
                <w:sz w:val="36"/>
                <w:szCs w:val="36"/>
              </w:rPr>
            </w:pPr>
          </w:p>
        </w:tc>
        <w:tc>
          <w:tcPr>
            <w:tcW w:w="1768" w:type="dxa"/>
          </w:tcPr>
          <w:p w:rsidR="003156F6" w:rsidRPr="00273409" w:rsidP="003156F6" w14:paraId="4867896E" w14:textId="71B88021">
            <w:pPr>
              <w:spacing w:before="120" w:line="240" w:lineRule="auto"/>
              <w:rPr>
                <w:rFonts w:ascii="Tahoma" w:hAnsi="Tahoma" w:cs="Tahoma"/>
                <w:b/>
                <w:bCs/>
                <w:color w:val="0D0D0D" w:themeColor="text1" w:themeTint="F2"/>
                <w:sz w:val="36"/>
                <w:szCs w:val="36"/>
              </w:rPr>
            </w:pPr>
            <w:r w:rsidRPr="003156F6">
              <w:rPr>
                <w:rFonts w:ascii="Tahoma" w:hAnsi="Tahoma" w:cs="Tahoma"/>
                <w:b/>
                <w:bCs/>
                <w:color w:val="0D0D0D" w:themeColor="text1" w:themeTint="F2"/>
                <w:sz w:val="36"/>
                <w:szCs w:val="36"/>
              </w:rPr>
              <w:t>30%</w:t>
            </w:r>
          </w:p>
        </w:tc>
        <w:tc>
          <w:tcPr>
            <w:tcW w:w="222" w:type="dxa"/>
          </w:tcPr>
          <w:p w:rsidR="003156F6" w:rsidRPr="000B1345" w:rsidP="003156F6" w14:paraId="47101900" w14:textId="77777777">
            <w:pPr>
              <w:spacing w:before="120" w:line="240" w:lineRule="auto"/>
              <w:rPr>
                <w:rFonts w:ascii="Tahoma" w:hAnsi="Tahoma" w:cs="Tahoma"/>
                <w:b/>
                <w:bCs/>
                <w:color w:val="0D0D0D" w:themeColor="text1" w:themeTint="F2"/>
                <w:sz w:val="36"/>
                <w:szCs w:val="36"/>
              </w:rPr>
            </w:pPr>
          </w:p>
        </w:tc>
        <w:tc>
          <w:tcPr>
            <w:tcW w:w="1930" w:type="dxa"/>
          </w:tcPr>
          <w:p w:rsidR="003156F6" w:rsidRPr="00273409" w:rsidP="003156F6" w14:paraId="4F9BFF3F" w14:textId="16DF61CB">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7%</w:t>
            </w:r>
          </w:p>
        </w:tc>
      </w:tr>
      <w:tr w14:paraId="126AF0C1" w14:textId="77777777" w:rsidTr="003156F6">
        <w:tblPrEx>
          <w:tblW w:w="8222" w:type="dxa"/>
          <w:tblCellMar>
            <w:left w:w="57" w:type="dxa"/>
            <w:right w:w="57" w:type="dxa"/>
          </w:tblCellMar>
          <w:tblLook w:val="04A0"/>
        </w:tblPrEx>
        <w:tc>
          <w:tcPr>
            <w:tcW w:w="2112" w:type="dxa"/>
          </w:tcPr>
          <w:p w:rsidR="003156F6" w:rsidRPr="00273409" w:rsidP="003156F6" w14:paraId="323D64BD" w14:textId="0D7B7FAD">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מספר מכלי המשקה שנמכרו בישראל בשנת 2018</w:t>
            </w:r>
          </w:p>
        </w:tc>
        <w:tc>
          <w:tcPr>
            <w:tcW w:w="222" w:type="dxa"/>
          </w:tcPr>
          <w:p w:rsidR="003156F6" w:rsidRPr="00273409" w:rsidP="003156F6" w14:paraId="784E7A34" w14:textId="77777777">
            <w:pPr>
              <w:spacing w:line="240" w:lineRule="auto"/>
              <w:jc w:val="left"/>
              <w:rPr>
                <w:rFonts w:ascii="Tahoma" w:hAnsi="Tahoma" w:cs="Tahoma"/>
                <w:color w:val="0D0D0D" w:themeColor="text1" w:themeTint="F2"/>
                <w:sz w:val="18"/>
                <w:szCs w:val="18"/>
                <w:rtl/>
              </w:rPr>
            </w:pPr>
          </w:p>
        </w:tc>
        <w:tc>
          <w:tcPr>
            <w:tcW w:w="1746" w:type="dxa"/>
          </w:tcPr>
          <w:p w:rsidR="003156F6" w:rsidRPr="00273409" w:rsidP="003156F6" w14:paraId="75B30B08" w14:textId="3952E50A">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יותר מ-300 מיליון ש"ח סכום דמי פיקדון ששולמו בשנת 2018 בגין מכלים קטנים</w:t>
            </w:r>
          </w:p>
        </w:tc>
        <w:tc>
          <w:tcPr>
            <w:tcW w:w="222" w:type="dxa"/>
          </w:tcPr>
          <w:p w:rsidR="003156F6" w:rsidRPr="00273409" w:rsidP="003156F6" w14:paraId="70BB32B5" w14:textId="77777777">
            <w:pPr>
              <w:spacing w:line="240" w:lineRule="auto"/>
              <w:jc w:val="left"/>
              <w:rPr>
                <w:rFonts w:ascii="Tahoma" w:hAnsi="Tahoma" w:cs="Tahoma"/>
                <w:color w:val="0D0D0D" w:themeColor="text1" w:themeTint="F2"/>
                <w:sz w:val="18"/>
                <w:szCs w:val="18"/>
                <w:rtl/>
              </w:rPr>
            </w:pPr>
          </w:p>
        </w:tc>
        <w:tc>
          <w:tcPr>
            <w:tcW w:w="1768" w:type="dxa"/>
          </w:tcPr>
          <w:p w:rsidR="003156F6" w:rsidRPr="00273409" w:rsidP="003156F6" w14:paraId="58952CE2" w14:textId="1E1FD33F">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מדמי הפיקדון בגין מכלי משקה ששולמו בשנת 2012 הושבו לציבור ישירות ובאמצעות ארגונים כגון מוסדות חינוך</w:t>
            </w:r>
          </w:p>
        </w:tc>
        <w:tc>
          <w:tcPr>
            <w:tcW w:w="222" w:type="dxa"/>
          </w:tcPr>
          <w:p w:rsidR="003156F6" w:rsidRPr="00273409" w:rsidP="003156F6" w14:paraId="6DE7BFED" w14:textId="77777777">
            <w:pPr>
              <w:spacing w:line="240" w:lineRule="auto"/>
              <w:jc w:val="left"/>
              <w:rPr>
                <w:rFonts w:ascii="Tahoma" w:hAnsi="Tahoma" w:cs="Tahoma"/>
                <w:color w:val="0D0D0D" w:themeColor="text1" w:themeTint="F2"/>
                <w:sz w:val="18"/>
                <w:szCs w:val="18"/>
                <w:rtl/>
              </w:rPr>
            </w:pPr>
          </w:p>
        </w:tc>
        <w:tc>
          <w:tcPr>
            <w:tcW w:w="1930" w:type="dxa"/>
          </w:tcPr>
          <w:p w:rsidR="003156F6" w:rsidRPr="00273409" w:rsidP="003156F6" w14:paraId="6EBAE187" w14:textId="51A2B987">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שיעור הפסולת הביתית שמוחזרה בישראל בשנת 2018, לעומת 26% בממוצע ב-</w:t>
            </w:r>
            <w:r w:rsidRPr="003156F6">
              <w:rPr>
                <w:rFonts w:ascii="Tahoma" w:hAnsi="Tahoma" w:cs="Tahoma"/>
                <w:color w:val="0D0D0D" w:themeColor="text1" w:themeTint="F2"/>
                <w:sz w:val="18"/>
                <w:szCs w:val="18"/>
              </w:rPr>
              <w:t>OECD</w:t>
            </w:r>
          </w:p>
        </w:tc>
      </w:tr>
      <w:tr w14:paraId="7EDDCE42" w14:textId="77777777" w:rsidTr="00A8502C">
        <w:tblPrEx>
          <w:tblW w:w="8222" w:type="dxa"/>
          <w:tblCellMar>
            <w:left w:w="108" w:type="dxa"/>
            <w:right w:w="108" w:type="dxa"/>
          </w:tblCellMar>
          <w:tblLook w:val="04A0"/>
        </w:tblPrEx>
        <w:tc>
          <w:tcPr>
            <w:tcW w:w="2112" w:type="dxa"/>
          </w:tcPr>
          <w:p w:rsidR="003156F6" w:rsidRPr="00273409" w:rsidP="003156F6" w14:paraId="75AD1697" w14:textId="5316B33D">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23,000</w:t>
            </w:r>
          </w:p>
        </w:tc>
        <w:tc>
          <w:tcPr>
            <w:tcW w:w="222" w:type="dxa"/>
          </w:tcPr>
          <w:p w:rsidR="003156F6" w:rsidRPr="000B1345" w:rsidP="003156F6" w14:paraId="0C48A385" w14:textId="77777777">
            <w:pPr>
              <w:spacing w:before="120" w:line="240" w:lineRule="auto"/>
              <w:rPr>
                <w:rFonts w:ascii="Tahoma" w:hAnsi="Tahoma" w:cs="Tahoma"/>
                <w:b/>
                <w:bCs/>
                <w:color w:val="0D0D0D" w:themeColor="text1" w:themeTint="F2"/>
                <w:sz w:val="36"/>
                <w:szCs w:val="36"/>
              </w:rPr>
            </w:pPr>
          </w:p>
        </w:tc>
        <w:tc>
          <w:tcPr>
            <w:tcW w:w="1746" w:type="dxa"/>
          </w:tcPr>
          <w:p w:rsidR="003156F6" w:rsidRPr="00273409" w:rsidP="003156F6" w14:paraId="59B5DC8A" w14:textId="428C591A">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57%</w:t>
            </w:r>
          </w:p>
        </w:tc>
        <w:tc>
          <w:tcPr>
            <w:tcW w:w="222" w:type="dxa"/>
          </w:tcPr>
          <w:p w:rsidR="003156F6" w:rsidRPr="000B1345" w:rsidP="003156F6" w14:paraId="30DA6EF4" w14:textId="77777777">
            <w:pPr>
              <w:spacing w:before="120" w:line="240" w:lineRule="auto"/>
              <w:rPr>
                <w:rFonts w:ascii="Tahoma" w:hAnsi="Tahoma" w:cs="Tahoma"/>
                <w:b/>
                <w:bCs/>
                <w:color w:val="0D0D0D" w:themeColor="text1" w:themeTint="F2"/>
                <w:sz w:val="36"/>
                <w:szCs w:val="36"/>
              </w:rPr>
            </w:pPr>
          </w:p>
        </w:tc>
        <w:tc>
          <w:tcPr>
            <w:tcW w:w="1768" w:type="dxa"/>
          </w:tcPr>
          <w:p w:rsidR="003156F6" w:rsidRPr="00273409" w:rsidP="003156F6" w14:paraId="46DF51CB" w14:textId="31A7839B">
            <w:pPr>
              <w:spacing w:before="120" w:line="240" w:lineRule="auto"/>
              <w:rPr>
                <w:rFonts w:ascii="Tahoma" w:hAnsi="Tahoma" w:cs="Tahoma"/>
                <w:b/>
                <w:bCs/>
                <w:color w:val="0D0D0D" w:themeColor="text1" w:themeTint="F2"/>
                <w:sz w:val="36"/>
                <w:szCs w:val="36"/>
              </w:rPr>
            </w:pPr>
            <w:r w:rsidRPr="003156F6">
              <w:rPr>
                <w:rFonts w:ascii="Tahoma" w:hAnsi="Tahoma" w:cs="Tahoma"/>
                <w:b/>
                <w:bCs/>
                <w:color w:val="0D0D0D" w:themeColor="text1" w:themeTint="F2"/>
                <w:sz w:val="36"/>
                <w:szCs w:val="36"/>
              </w:rPr>
              <w:t>78%</w:t>
            </w:r>
            <w:r w:rsidRPr="003156F6">
              <w:rPr>
                <w:rFonts w:ascii="Tahoma" w:hAnsi="Tahoma" w:cs="Tahoma"/>
                <w:b/>
                <w:bCs/>
                <w:color w:val="0D0D0D" w:themeColor="text1" w:themeTint="F2"/>
                <w:sz w:val="36"/>
                <w:szCs w:val="36"/>
                <w:rtl/>
              </w:rPr>
              <w:t xml:space="preserve"> </w:t>
            </w:r>
          </w:p>
        </w:tc>
        <w:tc>
          <w:tcPr>
            <w:tcW w:w="222" w:type="dxa"/>
          </w:tcPr>
          <w:p w:rsidR="003156F6" w:rsidRPr="000B1345" w:rsidP="003156F6" w14:paraId="0051B9B5" w14:textId="77777777">
            <w:pPr>
              <w:spacing w:before="120" w:line="240" w:lineRule="auto"/>
              <w:rPr>
                <w:rFonts w:ascii="Tahoma" w:hAnsi="Tahoma" w:cs="Tahoma"/>
                <w:b/>
                <w:bCs/>
                <w:color w:val="0D0D0D" w:themeColor="text1" w:themeTint="F2"/>
                <w:sz w:val="36"/>
                <w:szCs w:val="36"/>
              </w:rPr>
            </w:pPr>
          </w:p>
        </w:tc>
        <w:tc>
          <w:tcPr>
            <w:tcW w:w="1930" w:type="dxa"/>
          </w:tcPr>
          <w:p w:rsidR="003156F6" w:rsidRPr="00273409" w:rsidP="003156F6" w14:paraId="5A4E09E0" w14:textId="3676ED15">
            <w:pPr>
              <w:spacing w:before="120" w:line="240" w:lineRule="auto"/>
              <w:rPr>
                <w:rFonts w:ascii="Tahoma" w:hAnsi="Tahoma" w:cs="Tahoma"/>
                <w:b/>
                <w:bCs/>
                <w:color w:val="0D0D0D" w:themeColor="text1" w:themeTint="F2"/>
                <w:sz w:val="36"/>
                <w:szCs w:val="36"/>
                <w:rtl/>
              </w:rPr>
            </w:pPr>
            <w:r w:rsidRPr="003156F6">
              <w:rPr>
                <w:rFonts w:ascii="Tahoma" w:hAnsi="Tahoma" w:cs="Tahoma"/>
                <w:b/>
                <w:bCs/>
                <w:color w:val="0D0D0D" w:themeColor="text1" w:themeTint="F2"/>
                <w:sz w:val="36"/>
                <w:szCs w:val="36"/>
              </w:rPr>
              <w:t>54%</w:t>
            </w:r>
          </w:p>
        </w:tc>
      </w:tr>
      <w:tr w14:paraId="209E6556" w14:textId="77777777" w:rsidTr="00A8502C">
        <w:tblPrEx>
          <w:tblW w:w="8222" w:type="dxa"/>
          <w:tblCellMar>
            <w:left w:w="108" w:type="dxa"/>
            <w:right w:w="108" w:type="dxa"/>
          </w:tblCellMar>
          <w:tblLook w:val="04A0"/>
        </w:tblPrEx>
        <w:tc>
          <w:tcPr>
            <w:tcW w:w="2112" w:type="dxa"/>
          </w:tcPr>
          <w:p w:rsidR="003156F6" w:rsidRPr="00273409" w:rsidP="003156F6" w14:paraId="1E3EBA2E" w14:textId="26B53647">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מיחזוריות</w:t>
            </w:r>
            <w:r w:rsidRPr="003156F6">
              <w:rPr>
                <w:rFonts w:ascii="Tahoma" w:hAnsi="Tahoma" w:cs="Tahoma"/>
                <w:color w:val="0D0D0D" w:themeColor="text1" w:themeTint="F2"/>
                <w:sz w:val="18"/>
                <w:szCs w:val="18"/>
                <w:rtl/>
              </w:rPr>
              <w:t xml:space="preserve"> פרוסות ברחבי הארץ, ומהן נאספו בשנת 2017 כ-22% מהמכלים הגדולים ששווקו באותה שנה</w:t>
            </w:r>
          </w:p>
        </w:tc>
        <w:tc>
          <w:tcPr>
            <w:tcW w:w="222" w:type="dxa"/>
          </w:tcPr>
          <w:p w:rsidR="003156F6" w:rsidRPr="00273409" w:rsidP="003156F6" w14:paraId="67794875" w14:textId="77777777">
            <w:pPr>
              <w:spacing w:line="240" w:lineRule="auto"/>
              <w:jc w:val="left"/>
              <w:rPr>
                <w:rFonts w:ascii="Tahoma" w:hAnsi="Tahoma" w:cs="Tahoma"/>
                <w:color w:val="0D0D0D" w:themeColor="text1" w:themeTint="F2"/>
                <w:sz w:val="18"/>
                <w:szCs w:val="18"/>
                <w:rtl/>
              </w:rPr>
            </w:pPr>
          </w:p>
        </w:tc>
        <w:tc>
          <w:tcPr>
            <w:tcW w:w="1746" w:type="dxa"/>
          </w:tcPr>
          <w:p w:rsidR="003156F6" w:rsidRPr="00273409" w:rsidP="003156F6" w14:paraId="32DD90DD" w14:textId="61EE9ABC">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שיעור האיסוף המוכר של מכלי משקה גדולים בשנת 2017</w:t>
            </w:r>
          </w:p>
        </w:tc>
        <w:tc>
          <w:tcPr>
            <w:tcW w:w="222" w:type="dxa"/>
          </w:tcPr>
          <w:p w:rsidR="003156F6" w:rsidRPr="00273409" w:rsidP="003156F6" w14:paraId="790B3863" w14:textId="77777777">
            <w:pPr>
              <w:spacing w:line="240" w:lineRule="auto"/>
              <w:jc w:val="left"/>
              <w:rPr>
                <w:rFonts w:ascii="Tahoma" w:hAnsi="Tahoma" w:cs="Tahoma"/>
                <w:color w:val="0D0D0D" w:themeColor="text1" w:themeTint="F2"/>
                <w:sz w:val="18"/>
                <w:szCs w:val="18"/>
                <w:rtl/>
              </w:rPr>
            </w:pPr>
          </w:p>
        </w:tc>
        <w:tc>
          <w:tcPr>
            <w:tcW w:w="1768" w:type="dxa"/>
          </w:tcPr>
          <w:p w:rsidR="003156F6" w:rsidRPr="00273409" w:rsidP="003156F6" w14:paraId="3E7F2075" w14:textId="04EE4579">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שיעור האיסוף המוכר של מכלי משקה קטנים בשנת 2017</w:t>
            </w:r>
          </w:p>
        </w:tc>
        <w:tc>
          <w:tcPr>
            <w:tcW w:w="222" w:type="dxa"/>
          </w:tcPr>
          <w:p w:rsidR="003156F6" w:rsidRPr="00273409" w:rsidP="003156F6" w14:paraId="2E0CF0F6" w14:textId="77777777">
            <w:pPr>
              <w:spacing w:line="240" w:lineRule="auto"/>
              <w:jc w:val="left"/>
              <w:rPr>
                <w:rFonts w:ascii="Tahoma" w:hAnsi="Tahoma" w:cs="Tahoma"/>
                <w:color w:val="0D0D0D" w:themeColor="text1" w:themeTint="F2"/>
                <w:sz w:val="18"/>
                <w:szCs w:val="18"/>
                <w:rtl/>
              </w:rPr>
            </w:pPr>
          </w:p>
        </w:tc>
        <w:tc>
          <w:tcPr>
            <w:tcW w:w="1930" w:type="dxa"/>
          </w:tcPr>
          <w:p w:rsidR="003156F6" w:rsidRPr="00273409" w:rsidP="003156F6" w14:paraId="4184D9A5" w14:textId="78CA1DE6">
            <w:pPr>
              <w:spacing w:line="240" w:lineRule="auto"/>
              <w:ind w:right="23"/>
              <w:jc w:val="left"/>
              <w:rPr>
                <w:rFonts w:ascii="Tahoma" w:hAnsi="Tahoma" w:cs="Tahoma"/>
                <w:color w:val="0D0D0D" w:themeColor="text1" w:themeTint="F2"/>
                <w:sz w:val="18"/>
                <w:szCs w:val="18"/>
                <w:rtl/>
              </w:rPr>
            </w:pPr>
            <w:r w:rsidRPr="003156F6">
              <w:rPr>
                <w:rFonts w:ascii="Tahoma" w:hAnsi="Tahoma" w:cs="Tahoma"/>
                <w:color w:val="0D0D0D" w:themeColor="text1" w:themeTint="F2"/>
                <w:sz w:val="18"/>
                <w:szCs w:val="18"/>
                <w:rtl/>
              </w:rPr>
              <w:t>שיעור המכלים שמוחזרו מכלל המכלים הגדולים שנאספו בשנת 2017</w:t>
            </w:r>
          </w:p>
        </w:tc>
      </w:tr>
    </w:tbl>
    <w:p w:rsidR="000930B3" w:rsidRPr="00DA075D" w:rsidP="00060975" w14:paraId="2CE7D9C6" w14:textId="5852C2DE">
      <w:pPr>
        <w:pStyle w:val="3"/>
        <w:rPr>
          <w:rtl/>
        </w:rPr>
      </w:pPr>
      <w:r w:rsidRPr="00DA075D">
        <w:rPr>
          <w:rtl/>
        </w:rPr>
        <w:t>פעולות הביקורת</w:t>
      </w:r>
    </w:p>
    <w:p w:rsidR="000930B3" w:rsidRPr="00DB519D" w:rsidP="003156F6" w14:paraId="559A50E1" w14:textId="04AA2659">
      <w:pPr>
        <w:pStyle w:val="a12"/>
        <w:widowControl/>
        <w:spacing w:before="0" w:after="120" w:line="320" w:lineRule="atLeast"/>
        <w:ind w:left="397" w:hanging="397"/>
        <w:rPr>
          <w:rFonts w:ascii="Tahoma" w:hAnsi="Tahoma" w:cs="Tahoma"/>
          <w:sz w:val="20"/>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37964"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DB519D">
        <w:rPr>
          <w:rFonts w:ascii="Tahoma" w:hAnsi="Tahoma" w:cs="Tahoma"/>
          <w:sz w:val="20"/>
          <w:szCs w:val="20"/>
          <w:rtl/>
        </w:rPr>
        <w:t>בחודשים אוקטובר 2019 - ספטמבר 2020 בדק משרד מבקר המדינה היבטים בהחלת חוק הפיקדון על מכלי משקה. הביקורת נערכה במשרד להגנת הסביבה (</w:t>
      </w:r>
      <w:r w:rsidRPr="00DB519D">
        <w:rPr>
          <w:rFonts w:ascii="Tahoma" w:hAnsi="Tahoma" w:cs="Tahoma"/>
          <w:sz w:val="20"/>
          <w:szCs w:val="20"/>
          <w:rtl/>
        </w:rPr>
        <w:t>הגנ"ס</w:t>
      </w:r>
      <w:r w:rsidRPr="00DB519D">
        <w:rPr>
          <w:rFonts w:ascii="Tahoma" w:hAnsi="Tahoma" w:cs="Tahoma"/>
          <w:sz w:val="20"/>
          <w:szCs w:val="20"/>
          <w:rtl/>
        </w:rPr>
        <w:t xml:space="preserve">). בדיקות משלימות בוצעו ברשות התחרות, ברשות המיסים בישראל, במשרד הכלכלה והתעשייה ובמרכז השלטון המקומי. </w:t>
      </w:r>
    </w:p>
    <w:p w:rsidR="000930B3" w:rsidRPr="00DA075D" w:rsidP="00060975" w14:paraId="1C1D9A50" w14:textId="77777777">
      <w:pPr>
        <w:pStyle w:val="3"/>
        <w:rPr>
          <w:rtl/>
        </w:rPr>
      </w:pPr>
      <w:r w:rsidRPr="00DA075D">
        <w:rPr>
          <w:rtl/>
        </w:rPr>
        <w:t>תמונת המצב העולה מן הביקורת</w:t>
      </w:r>
    </w:p>
    <w:p w:rsidR="00492719" w:rsidRPr="006C4033" w:rsidP="00492719" w14:paraId="4DFA16E1" w14:textId="77777777">
      <w:pPr>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0930B3" w:rsidRPr="00DB519D" w:rsidP="00492719" w14:paraId="72208EAE" w14:textId="54FC95B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 xml:space="preserve">שיעור </w:t>
      </w:r>
      <w:r w:rsidRPr="00DB519D">
        <w:rPr>
          <w:rStyle w:val="a16"/>
          <w:rFonts w:ascii="Tahoma" w:hAnsi="Tahoma" w:cs="Tahoma"/>
          <w:bCs/>
          <w:szCs w:val="20"/>
          <w:rtl/>
        </w:rPr>
        <w:t>מיחזור</w:t>
      </w:r>
      <w:r w:rsidRPr="00DB519D">
        <w:rPr>
          <w:rStyle w:val="a16"/>
          <w:rFonts w:ascii="Tahoma" w:hAnsi="Tahoma" w:cs="Tahoma"/>
          <w:bCs/>
          <w:szCs w:val="20"/>
          <w:rtl/>
        </w:rPr>
        <w:t xml:space="preserve"> הפסולת בישראל</w:t>
      </w:r>
      <w:r w:rsidRPr="00DB519D">
        <w:rPr>
          <w:rFonts w:ascii="Tahoma" w:hAnsi="Tahoma" w:cs="Tahoma"/>
          <w:szCs w:val="20"/>
          <w:rtl/>
        </w:rPr>
        <w:t xml:space="preserve"> - נתוני ה-</w:t>
      </w:r>
      <w:r w:rsidRPr="00DB519D">
        <w:rPr>
          <w:rFonts w:ascii="Tahoma" w:hAnsi="Tahoma" w:cs="Tahoma"/>
          <w:szCs w:val="20"/>
        </w:rPr>
        <w:t>OECD</w:t>
      </w:r>
      <w:r w:rsidRPr="00DB519D">
        <w:rPr>
          <w:rFonts w:ascii="Tahoma" w:hAnsi="Tahoma" w:cs="Tahoma"/>
          <w:szCs w:val="20"/>
          <w:rtl/>
        </w:rPr>
        <w:t xml:space="preserve"> מצביעים על כך שנכון לשנת 2018 משקל הפסולת הממוצע לאדם בישראל (675 ק"ג) גבוה, שיעור </w:t>
      </w:r>
      <w:r w:rsidRPr="00DB519D">
        <w:rPr>
          <w:rFonts w:ascii="Tahoma" w:hAnsi="Tahoma" w:cs="Tahoma"/>
          <w:szCs w:val="20"/>
          <w:rtl/>
        </w:rPr>
        <w:t>המיחזור</w:t>
      </w:r>
      <w:r w:rsidRPr="00DB519D">
        <w:rPr>
          <w:rFonts w:ascii="Tahoma" w:hAnsi="Tahoma" w:cs="Tahoma"/>
          <w:szCs w:val="20"/>
          <w:rtl/>
        </w:rPr>
        <w:t xml:space="preserve"> (7%) נמוך ושיעור הטמנת הפסולת (76%) גבוה יחסית לממוצע במדינות ה-</w:t>
      </w:r>
      <w:r w:rsidRPr="00DB519D">
        <w:rPr>
          <w:rFonts w:ascii="Tahoma" w:hAnsi="Tahoma" w:cs="Tahoma"/>
          <w:szCs w:val="20"/>
        </w:rPr>
        <w:t>OECD</w:t>
      </w:r>
      <w:r w:rsidRPr="00DB519D">
        <w:rPr>
          <w:rFonts w:ascii="Tahoma" w:hAnsi="Tahoma" w:cs="Tahoma"/>
          <w:szCs w:val="20"/>
          <w:rtl/>
        </w:rPr>
        <w:t xml:space="preserve"> (העומד על </w:t>
      </w:r>
      <w:r w:rsidR="00492719">
        <w:rPr>
          <w:rFonts w:ascii="Tahoma" w:hAnsi="Tahoma" w:cs="Tahoma"/>
          <w:szCs w:val="20"/>
        </w:rPr>
        <w:br/>
      </w:r>
      <w:r w:rsidRPr="00DB519D">
        <w:rPr>
          <w:rFonts w:ascii="Tahoma" w:hAnsi="Tahoma" w:cs="Tahoma"/>
          <w:szCs w:val="20"/>
          <w:rtl/>
        </w:rPr>
        <w:t xml:space="preserve">כ-39%) ובייחוד יחסית למדינות בעלות צפיפות אוכלוסין גדולה. </w:t>
      </w:r>
    </w:p>
    <w:p w:rsidR="000930B3" w:rsidRPr="00DB519D" w:rsidP="00492719" w14:paraId="660E9FD2"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שיעור האיסוף של מכלי משקה גדולים בישראל</w:t>
      </w:r>
      <w:r w:rsidRPr="00DB519D">
        <w:rPr>
          <w:rFonts w:ascii="Tahoma" w:hAnsi="Tahoma" w:cs="Tahoma"/>
          <w:szCs w:val="20"/>
          <w:rtl/>
        </w:rPr>
        <w:t xml:space="preserve"> - שיעורי האיסוף של כל מכלי המשקה במדינות אירופה בהן מוטל פיקדון (80% - 97% בשנים אחרונות) עולים בשיעור ניכר על שיעור האיסוף של מכלי המשקה הגדולים בישראל בשנת 2017 (57% מהמכלים הגדולים) כמו כן, בישראל נעשה שימוש מזערי בטכנולוגיות מתקדמות המאפשרות לייעל את תהליך האיסוף ואת תשלום החזר דמי פיקדון. </w:t>
      </w:r>
    </w:p>
    <w:p w:rsidR="000930B3" w:rsidRPr="00DB519D" w:rsidP="00492719" w14:paraId="5A1629CF"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החלת חוק הפיקדון על מכלי משקה גדולים</w:t>
      </w:r>
      <w:r w:rsidRPr="00DB519D">
        <w:rPr>
          <w:rFonts w:ascii="Tahoma" w:hAnsi="Tahoma" w:cs="Tahoma"/>
          <w:szCs w:val="20"/>
          <w:rtl/>
        </w:rPr>
        <w:t xml:space="preserve"> - במשך שש השנים שעברו ממועד התיקון לחוק משנת 2010 עד המועד הקובע לתחולת התיקון על מכלי משקה גדולים לא נערך המשרד </w:t>
      </w:r>
      <w:r w:rsidRPr="00DB519D">
        <w:rPr>
          <w:rFonts w:ascii="Tahoma" w:hAnsi="Tahoma" w:cs="Tahoma"/>
          <w:szCs w:val="20"/>
          <w:rtl/>
        </w:rPr>
        <w:t>להגנ"ס</w:t>
      </w:r>
      <w:r w:rsidRPr="00DB519D">
        <w:rPr>
          <w:rFonts w:ascii="Tahoma" w:hAnsi="Tahoma" w:cs="Tahoma"/>
          <w:szCs w:val="20"/>
          <w:rtl/>
        </w:rPr>
        <w:t xml:space="preserve"> ליישום הוראות החוק בעניין איסופם. בספטמבר 2020 טרם סיכם המשרד את נתוני האיסוף המאושרים לשנת 2018.</w:t>
      </w:r>
    </w:p>
    <w:p w:rsidR="000930B3" w:rsidRPr="00DB519D" w:rsidP="00492719" w14:paraId="1F4EC0F8"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 xml:space="preserve">אומדנים לצורך קביעת מספר המכלים הגדולים שנאספו </w:t>
      </w:r>
      <w:r w:rsidRPr="00DB519D">
        <w:rPr>
          <w:rFonts w:ascii="Tahoma" w:hAnsi="Tahoma" w:cs="Tahoma"/>
          <w:szCs w:val="20"/>
          <w:rtl/>
        </w:rPr>
        <w:t xml:space="preserve">- לצורך הדיווח על מספר המכלים הגדולים שנאספו הם נשקלים, ומשקלם הכולל מומר למספר היחידות. המרה זו מחייבת שימוש בבדיקות סטטיסטיות ואומדנים. עד מועד סיום הביקורת לא הנחה המשרד </w:t>
      </w:r>
      <w:r w:rsidRPr="00DB519D">
        <w:rPr>
          <w:rFonts w:ascii="Tahoma" w:hAnsi="Tahoma" w:cs="Tahoma"/>
          <w:szCs w:val="20"/>
          <w:rtl/>
        </w:rPr>
        <w:t>להגנ"ס</w:t>
      </w:r>
      <w:r w:rsidRPr="00DB519D">
        <w:rPr>
          <w:rFonts w:ascii="Tahoma" w:hAnsi="Tahoma" w:cs="Tahoma"/>
          <w:szCs w:val="20"/>
          <w:rtl/>
        </w:rPr>
        <w:t xml:space="preserve"> את היצרנים והיבואנים בדבר אופן קביעת האומדנים, וכל חברת איסוף מדווחת על אומדנים משלה. </w:t>
      </w:r>
    </w:p>
    <w:p w:rsidR="000930B3" w:rsidRPr="00DB519D" w:rsidP="00492719" w14:paraId="2B4DAA9C"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 xml:space="preserve">השתתפות הציבור באיסוף מכלי משקה גדולים </w:t>
      </w:r>
      <w:r w:rsidRPr="00DB519D">
        <w:rPr>
          <w:rFonts w:ascii="Tahoma" w:hAnsi="Tahoma" w:cs="Tahoma"/>
          <w:szCs w:val="20"/>
          <w:rtl/>
        </w:rPr>
        <w:t xml:space="preserve">- השתתפות הציבור באיסוף מכלי משקה גדולים באמצעות </w:t>
      </w:r>
      <w:r w:rsidRPr="00DB519D">
        <w:rPr>
          <w:rFonts w:ascii="Tahoma" w:hAnsi="Tahoma" w:cs="Tahoma"/>
          <w:szCs w:val="20"/>
          <w:rtl/>
        </w:rPr>
        <w:t>המיחזוריות</w:t>
      </w:r>
      <w:r w:rsidRPr="00DB519D">
        <w:rPr>
          <w:rFonts w:ascii="Tahoma" w:hAnsi="Tahoma" w:cs="Tahoma"/>
          <w:szCs w:val="20"/>
          <w:rtl/>
        </w:rPr>
        <w:t xml:space="preserve"> ירדה מ- 41% בשנים 2016 ו-2017 ל-33% ב-2019. השתתפות הציבור באיסוף מכלים </w:t>
      </w:r>
      <w:r w:rsidRPr="00DB519D">
        <w:rPr>
          <w:rFonts w:ascii="Tahoma" w:hAnsi="Tahoma" w:cs="Tahoma"/>
          <w:szCs w:val="20"/>
          <w:rtl/>
        </w:rPr>
        <w:t>במיחזוריות</w:t>
      </w:r>
      <w:r w:rsidRPr="00DB519D">
        <w:rPr>
          <w:rFonts w:ascii="Tahoma" w:hAnsi="Tahoma" w:cs="Tahoma"/>
          <w:szCs w:val="20"/>
          <w:rtl/>
        </w:rPr>
        <w:t xml:space="preserve"> ובפח הכתום יחד ירדה מ- 45% בשנים 2016 - 2017 ל- 40% ב-2019. לעומת זאת, נרשמה עלייה בחילוץ מכלי המשקה מזרם האשפה הממוין בתחנות המעבר מ-55% בשנים 2016 ו-2017 ל-60% בשנת 2019. </w:t>
      </w:r>
    </w:p>
    <w:p w:rsidR="000930B3" w:rsidRPr="00DB519D" w:rsidP="00492719" w14:paraId="5D96E535"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בקרה על יבוא משקאות לישראל</w:t>
      </w:r>
      <w:r w:rsidRPr="00DB519D">
        <w:rPr>
          <w:rFonts w:ascii="Tahoma" w:hAnsi="Tahoma" w:cs="Tahoma"/>
          <w:szCs w:val="20"/>
          <w:rtl/>
        </w:rPr>
        <w:t xml:space="preserve"> - על פי נתוני </w:t>
      </w:r>
      <w:r w:rsidRPr="00DB519D">
        <w:rPr>
          <w:rFonts w:ascii="Tahoma" w:hAnsi="Tahoma" w:cs="Tahoma"/>
          <w:szCs w:val="20"/>
          <w:rtl/>
        </w:rPr>
        <w:t>הלמ"ס</w:t>
      </w:r>
      <w:r w:rsidRPr="00DB519D">
        <w:rPr>
          <w:rFonts w:ascii="Tahoma" w:hAnsi="Tahoma" w:cs="Tahoma"/>
          <w:szCs w:val="20"/>
          <w:rtl/>
        </w:rPr>
        <w:t xml:space="preserve">, כ-10.5% מהמשקאות הלא-אלכוהוליים שנמכרו בישראל בשנת 2018 וכ-40.4% מהמשקאות האלכוהוליים שנמכרו בה בשנת 2015 היו מיובאים. במועד סיום הביקורת לא היו במשרד </w:t>
      </w:r>
      <w:r w:rsidRPr="00DB519D">
        <w:rPr>
          <w:rFonts w:ascii="Tahoma" w:hAnsi="Tahoma" w:cs="Tahoma"/>
          <w:szCs w:val="20"/>
          <w:rtl/>
        </w:rPr>
        <w:t>להגנ"ס</w:t>
      </w:r>
      <w:r w:rsidRPr="00DB519D">
        <w:rPr>
          <w:rFonts w:ascii="Tahoma" w:hAnsi="Tahoma" w:cs="Tahoma"/>
          <w:szCs w:val="20"/>
          <w:rtl/>
        </w:rPr>
        <w:t xml:space="preserve"> או במשרד הכלכלה נתונים המכמתים את העלויות העודפות של הטלת אסדרה שתאפשר בקרה על יבוא מכלי משקה במסגרת תהליך שחרורם מהמכס, ואין כלים רגולטוריים המאפשרים בקרה בזמן אמת על הכנסת משקאות לישראל. </w:t>
      </w:r>
    </w:p>
    <w:p w:rsidR="000930B3" w:rsidRPr="00DB519D" w:rsidP="00492719" w14:paraId="00E4077C"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 xml:space="preserve">פעולות הסברה לעידוד </w:t>
      </w:r>
      <w:r w:rsidRPr="00DB519D">
        <w:rPr>
          <w:rStyle w:val="a16"/>
          <w:rFonts w:ascii="Tahoma" w:hAnsi="Tahoma" w:cs="Tahoma"/>
          <w:bCs/>
          <w:szCs w:val="20"/>
          <w:rtl/>
        </w:rPr>
        <w:t>המיחזור</w:t>
      </w:r>
      <w:r w:rsidRPr="00DB519D">
        <w:rPr>
          <w:rFonts w:ascii="Tahoma" w:hAnsi="Tahoma" w:cs="Tahoma"/>
          <w:szCs w:val="20"/>
          <w:rtl/>
        </w:rPr>
        <w:t xml:space="preserve"> - המשרד </w:t>
      </w:r>
      <w:r w:rsidRPr="00DB519D">
        <w:rPr>
          <w:rFonts w:ascii="Tahoma" w:hAnsi="Tahoma" w:cs="Tahoma"/>
          <w:szCs w:val="20"/>
          <w:rtl/>
        </w:rPr>
        <w:t>להגנ"ס</w:t>
      </w:r>
      <w:r w:rsidRPr="00DB519D">
        <w:rPr>
          <w:rFonts w:ascii="Tahoma" w:hAnsi="Tahoma" w:cs="Tahoma"/>
          <w:szCs w:val="20"/>
          <w:rtl/>
        </w:rPr>
        <w:t xml:space="preserve"> לא ערך בשנים 2015 - 2020 פעולות הסברה לציבור בנוגע לאיסוף </w:t>
      </w:r>
      <w:r w:rsidRPr="00DB519D">
        <w:rPr>
          <w:rFonts w:ascii="Tahoma" w:hAnsi="Tahoma" w:cs="Tahoma"/>
          <w:szCs w:val="20"/>
          <w:rtl/>
        </w:rPr>
        <w:t>ולמיחזור</w:t>
      </w:r>
      <w:r w:rsidRPr="00DB519D">
        <w:rPr>
          <w:rFonts w:ascii="Tahoma" w:hAnsi="Tahoma" w:cs="Tahoma"/>
          <w:szCs w:val="20"/>
          <w:rtl/>
        </w:rPr>
        <w:t xml:space="preserve"> של מכלי משקה בכלל ולעידוד מימוש הזכות לקבלת החזר הפיקדון בפרט. בערים שבהן 50,000 תושבים ומעלה נאספו בשנת 2017 </w:t>
      </w:r>
      <w:r w:rsidRPr="00DB519D">
        <w:rPr>
          <w:rFonts w:ascii="Tahoma" w:hAnsi="Tahoma" w:cs="Tahoma"/>
          <w:szCs w:val="20"/>
          <w:rtl/>
        </w:rPr>
        <w:t>מהמיחזוריות</w:t>
      </w:r>
      <w:r w:rsidRPr="00DB519D">
        <w:rPr>
          <w:rFonts w:ascii="Tahoma" w:hAnsi="Tahoma" w:cs="Tahoma"/>
          <w:szCs w:val="20"/>
          <w:rtl/>
        </w:rPr>
        <w:t xml:space="preserve"> כ-22 מכלים לנפש בממוצע. ברשויות מקומיות בעלות דירוג חברתי-כלכלי גבוה של 8 ומעלה נאספו בשנת 2017 </w:t>
      </w:r>
      <w:r w:rsidRPr="00DB519D">
        <w:rPr>
          <w:rFonts w:ascii="Tahoma" w:hAnsi="Tahoma" w:cs="Tahoma"/>
          <w:szCs w:val="20"/>
          <w:rtl/>
        </w:rPr>
        <w:t>מהמיחזוריות</w:t>
      </w:r>
      <w:r w:rsidRPr="00DB519D">
        <w:rPr>
          <w:rFonts w:ascii="Tahoma" w:hAnsi="Tahoma" w:cs="Tahoma"/>
          <w:szCs w:val="20"/>
          <w:rtl/>
        </w:rPr>
        <w:t xml:space="preserve"> כ-31 מכלי משקה לנפש (141% מהממוצע), ואילו ברשויות מקומיות בדירוג חברתי-כלכלי 3 ומטה נאספו כ-8 מכלים לנפש (36% מהממוצע).</w:t>
      </w:r>
    </w:p>
    <w:p w:rsidR="000930B3" w:rsidRPr="00DB519D" w:rsidP="00492719" w14:paraId="46FFE2BC" w14:textId="77777777">
      <w:pPr>
        <w:pStyle w:val="ListParagraph"/>
        <w:numPr>
          <w:ilvl w:val="0"/>
          <w:numId w:val="38"/>
        </w:numPr>
        <w:spacing w:after="180" w:line="320" w:lineRule="atLeast"/>
        <w:ind w:left="397" w:hanging="397"/>
        <w:contextualSpacing w:val="0"/>
        <w:rPr>
          <w:rFonts w:ascii="Tahoma" w:hAnsi="Tahoma" w:cs="Tahoma"/>
          <w:szCs w:val="20"/>
        </w:rPr>
      </w:pPr>
      <w:r w:rsidRPr="00DB519D">
        <w:rPr>
          <w:rStyle w:val="a16"/>
          <w:rFonts w:ascii="Tahoma" w:hAnsi="Tahoma" w:cs="Tahoma"/>
          <w:bCs/>
          <w:szCs w:val="20"/>
          <w:rtl/>
        </w:rPr>
        <w:t xml:space="preserve">שיעור </w:t>
      </w:r>
      <w:r w:rsidRPr="00DB519D">
        <w:rPr>
          <w:rStyle w:val="a16"/>
          <w:rFonts w:ascii="Tahoma" w:hAnsi="Tahoma" w:cs="Tahoma"/>
          <w:bCs/>
          <w:szCs w:val="20"/>
          <w:rtl/>
        </w:rPr>
        <w:t>המיחזור</w:t>
      </w:r>
      <w:r w:rsidRPr="00DB519D">
        <w:rPr>
          <w:rStyle w:val="a16"/>
          <w:rFonts w:ascii="Tahoma" w:hAnsi="Tahoma" w:cs="Tahoma"/>
          <w:bCs/>
          <w:szCs w:val="20"/>
          <w:rtl/>
        </w:rPr>
        <w:t xml:space="preserve"> של המכלים הגדולים</w:t>
      </w:r>
      <w:r w:rsidRPr="00DB519D">
        <w:rPr>
          <w:rFonts w:ascii="Tahoma" w:hAnsi="Tahoma" w:cs="Tahoma"/>
          <w:szCs w:val="20"/>
          <w:rtl/>
        </w:rPr>
        <w:t xml:space="preserve"> - יעד </w:t>
      </w:r>
      <w:r w:rsidRPr="00DB519D">
        <w:rPr>
          <w:rFonts w:ascii="Tahoma" w:hAnsi="Tahoma" w:cs="Tahoma"/>
          <w:szCs w:val="20"/>
          <w:rtl/>
        </w:rPr>
        <w:t>המיחזור</w:t>
      </w:r>
      <w:r w:rsidRPr="00DB519D">
        <w:rPr>
          <w:rFonts w:ascii="Tahoma" w:hAnsi="Tahoma" w:cs="Tahoma"/>
          <w:szCs w:val="20"/>
          <w:rtl/>
        </w:rPr>
        <w:t xml:space="preserve"> שנקבע בחוק הפיקדון למכלי המשקה הגדולים (90% מהאיסוף המוכר) לא הושג בשנים 2016 ו-2017 (43% ו-54%, בהתאמה). עולה חשש כי מכלים שנאספו ולא מוחזרו, הועברו להטמנה.</w:t>
      </w:r>
    </w:p>
    <w:p w:rsidR="00492719" w:rsidRPr="00E20DAF" w:rsidP="00492719" w14:paraId="00C5C701" w14:textId="77777777">
      <w:pPr>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492719" w:rsidP="00492719" w14:paraId="6838C68F" w14:textId="77777777">
      <w:pPr>
        <w:pStyle w:val="a12"/>
        <w:widowControl/>
        <w:spacing w:before="0" w:after="120" w:line="320" w:lineRule="atLeast"/>
        <w:rPr>
          <w:rStyle w:val="a16"/>
          <w:rFonts w:ascii="Tahoma" w:hAnsi="Tahoma" w:cs="Tahoma"/>
          <w:sz w:val="20"/>
          <w:szCs w:val="20"/>
        </w:rPr>
      </w:pPr>
    </w:p>
    <w:p w:rsidR="000930B3" w:rsidRPr="00DA075D" w:rsidP="00492719" w14:paraId="54AB925A" w14:textId="7D48AD99">
      <w:pPr>
        <w:pStyle w:val="a12"/>
        <w:widowControl/>
        <w:spacing w:before="0" w:after="120" w:line="320" w:lineRule="atLeast"/>
        <w:rPr>
          <w:rtl/>
        </w:rPr>
      </w:pPr>
      <w:r w:rsidRPr="00DA075D">
        <w:rPr>
          <w:rStyle w:val="a16"/>
          <w:bCs/>
          <w:rtl/>
        </w:rPr>
        <w:t>עמידה ביעדי איסוף של מכלי משקה קטנים</w:t>
      </w:r>
      <w:r w:rsidRPr="00DA075D">
        <w:rPr>
          <w:rtl/>
        </w:rPr>
        <w:t xml:space="preserve"> - בשנים 2016 - 2018 נע שיעור האיסוף של המכלים הקטנים בין 78% ל-79%, ועמד ביעדי האיסוף הקבועים בחוק (היעד השנתי - 73%; היעד הדו-שנתי- 77% בממוצע). </w:t>
      </w:r>
    </w:p>
    <w:p w:rsidR="000930B3" w:rsidRPr="00DA075D" w:rsidP="00492719" w14:paraId="551A7297" w14:textId="77777777">
      <w:pPr>
        <w:pStyle w:val="a12"/>
        <w:widowControl/>
        <w:spacing w:before="0" w:after="120" w:line="320" w:lineRule="atLeast"/>
        <w:rPr>
          <w:rtl/>
        </w:rPr>
      </w:pPr>
      <w:r w:rsidRPr="00DA075D">
        <w:rPr>
          <w:rStyle w:val="a16"/>
          <w:bCs/>
          <w:rtl/>
        </w:rPr>
        <w:t>מערך דיווח מקוון</w:t>
      </w:r>
      <w:r w:rsidRPr="00DA075D">
        <w:rPr>
          <w:rtl/>
        </w:rPr>
        <w:t xml:space="preserve"> - המשרד </w:t>
      </w:r>
      <w:r w:rsidRPr="00DA075D">
        <w:rPr>
          <w:rtl/>
        </w:rPr>
        <w:t>להגנ"ס</w:t>
      </w:r>
      <w:r w:rsidRPr="00DA075D">
        <w:rPr>
          <w:rtl/>
        </w:rPr>
        <w:t xml:space="preserve"> פועל להקמת מערך דיווח מקוון ליצרנים, ליבואנים ולחברות האיסוף. </w:t>
      </w:r>
    </w:p>
    <w:p w:rsidR="000930B3" w:rsidRPr="00DA075D" w:rsidP="00492719" w14:paraId="72AAFA45" w14:textId="77777777">
      <w:pPr>
        <w:pStyle w:val="a12"/>
        <w:widowControl/>
        <w:spacing w:before="0" w:after="120" w:line="320" w:lineRule="atLeast"/>
        <w:rPr>
          <w:rtl/>
        </w:rPr>
      </w:pPr>
      <w:r w:rsidRPr="00DA075D">
        <w:rPr>
          <w:rStyle w:val="a16"/>
          <w:bCs/>
          <w:rtl/>
        </w:rPr>
        <w:t>החלת חוק הפיקדון על מכלי משקה גדולים</w:t>
      </w:r>
      <w:r w:rsidRPr="00DA075D">
        <w:rPr>
          <w:rtl/>
        </w:rPr>
        <w:t xml:space="preserve"> - ב-19.10.20 הודיעה השרה על אי-עמידה ביעד האיסוף של מכלי משקה גדולים לשנת 2016. ב-1.12.20 אישרה ועדת הכלכלה החלת פיקדון על מכלי משקה גדולים החל מ-1.12.21.</w:t>
      </w:r>
    </w:p>
    <w:p w:rsidR="000930B3" w:rsidRPr="00DA075D" w:rsidP="00060975" w14:paraId="24502D18" w14:textId="77777777">
      <w:pPr>
        <w:pStyle w:val="3"/>
        <w:rPr>
          <w:rtl/>
        </w:rPr>
      </w:pPr>
      <w:r w:rsidRPr="00DA075D">
        <w:rPr>
          <w:rtl/>
        </w:rPr>
        <w:t>עיקרי המלצות הביקורת</w:t>
      </w:r>
    </w:p>
    <w:p w:rsidR="000930B3" w:rsidRPr="00DB519D" w:rsidP="00492719" w14:paraId="32DEA74B" w14:textId="424B3985">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24164"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DB519D">
        <w:rPr>
          <w:rFonts w:ascii="Tahoma" w:hAnsi="Tahoma" w:cs="Tahoma"/>
          <w:szCs w:val="20"/>
          <w:rtl/>
        </w:rPr>
        <w:t xml:space="preserve">משרד מבקר המדינה ממליץ למשרד </w:t>
      </w:r>
      <w:r w:rsidRPr="00DB519D">
        <w:rPr>
          <w:rFonts w:ascii="Tahoma" w:hAnsi="Tahoma" w:cs="Tahoma"/>
          <w:szCs w:val="20"/>
          <w:rtl/>
        </w:rPr>
        <w:t>להגנ"ס</w:t>
      </w:r>
      <w:r w:rsidRPr="00DB519D">
        <w:rPr>
          <w:rFonts w:ascii="Tahoma" w:hAnsi="Tahoma" w:cs="Tahoma"/>
          <w:szCs w:val="20"/>
          <w:rtl/>
        </w:rPr>
        <w:t xml:space="preserve"> לבחון בשיתוף תאגידי איסוף </w:t>
      </w:r>
      <w:r w:rsidRPr="00DB519D">
        <w:rPr>
          <w:rFonts w:ascii="Tahoma" w:hAnsi="Tahoma" w:cs="Tahoma"/>
          <w:szCs w:val="20"/>
          <w:rtl/>
        </w:rPr>
        <w:t>ומיחזור</w:t>
      </w:r>
      <w:r w:rsidRPr="00DB519D">
        <w:rPr>
          <w:rFonts w:ascii="Tahoma" w:hAnsi="Tahoma" w:cs="Tahoma"/>
          <w:szCs w:val="20"/>
          <w:rtl/>
        </w:rPr>
        <w:t>, יצרנים, יבואנים וקמעונאים התקנת מכונות אוטומטיות שיאפשרו לצרכן לקבל זיכוי ללא צורך בהמתנה לקופאי בפריסה ארצית רחבה. כמו כן מומלץ לבחון את אימוץ שיטת הסימון והזיהוי של מכלי משקה הנהוגה בגרמניה, שעשויה לייעל את תהליכי האיסוף.</w:t>
      </w:r>
    </w:p>
    <w:p w:rsidR="000930B3" w:rsidRPr="00DB519D" w:rsidP="00492719" w14:paraId="22C4BD38" w14:textId="62D7E13C">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7684"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DB519D">
        <w:rPr>
          <w:rFonts w:ascii="Tahoma" w:hAnsi="Tahoma" w:cs="Tahoma"/>
          <w:szCs w:val="20"/>
          <w:rtl/>
        </w:rPr>
        <w:t xml:space="preserve">משרד מבקר המדינה ממליץ שהמשרד </w:t>
      </w:r>
      <w:r w:rsidRPr="00DB519D">
        <w:rPr>
          <w:rFonts w:ascii="Tahoma" w:hAnsi="Tahoma" w:cs="Tahoma"/>
          <w:szCs w:val="20"/>
          <w:rtl/>
        </w:rPr>
        <w:t>להגנ"ס</w:t>
      </w:r>
      <w:r w:rsidRPr="00DB519D">
        <w:rPr>
          <w:rFonts w:ascii="Tahoma" w:hAnsi="Tahoma" w:cs="Tahoma"/>
          <w:szCs w:val="20"/>
          <w:rtl/>
        </w:rPr>
        <w:t xml:space="preserve"> יפעל, בשיתוף תאגידי איסוף </w:t>
      </w:r>
      <w:r w:rsidRPr="00DB519D">
        <w:rPr>
          <w:rFonts w:ascii="Tahoma" w:hAnsi="Tahoma" w:cs="Tahoma"/>
          <w:szCs w:val="20"/>
          <w:rtl/>
        </w:rPr>
        <w:t>ומיחזור</w:t>
      </w:r>
      <w:r w:rsidRPr="00DB519D">
        <w:rPr>
          <w:rFonts w:ascii="Tahoma" w:hAnsi="Tahoma" w:cs="Tahoma"/>
          <w:szCs w:val="20"/>
          <w:rtl/>
        </w:rPr>
        <w:t xml:space="preserve">, מרכז השלטון המקומי ומשרד החינוך לשיפור היענות הציבור לאיסוף </w:t>
      </w:r>
      <w:r w:rsidRPr="00DB519D">
        <w:rPr>
          <w:rFonts w:ascii="Tahoma" w:hAnsi="Tahoma" w:cs="Tahoma"/>
          <w:szCs w:val="20"/>
          <w:rtl/>
        </w:rPr>
        <w:t>ולמיחזור</w:t>
      </w:r>
      <w:r w:rsidRPr="00DB519D">
        <w:rPr>
          <w:rFonts w:ascii="Tahoma" w:hAnsi="Tahoma" w:cs="Tahoma"/>
          <w:szCs w:val="20"/>
          <w:rtl/>
        </w:rPr>
        <w:t>, באמצעות הגברת ההסברה ברשויות בדירוג חברתי</w:t>
      </w:r>
      <w:r w:rsidR="00A8502C">
        <w:rPr>
          <w:rFonts w:ascii="Tahoma" w:hAnsi="Tahoma" w:cs="Tahoma" w:hint="cs"/>
          <w:szCs w:val="20"/>
          <w:rtl/>
        </w:rPr>
        <w:t xml:space="preserve"> </w:t>
      </w:r>
      <w:r w:rsidRPr="00DB519D">
        <w:rPr>
          <w:rFonts w:ascii="Tahoma" w:hAnsi="Tahoma" w:cs="Tahoma"/>
          <w:szCs w:val="20"/>
          <w:rtl/>
        </w:rPr>
        <w:t xml:space="preserve">- כלכלי נמוך ובמוסדות החינוך, ביחוד במגזר הערבי ובמגזר החרדי, בערוצי תקשורת מותאמים. </w:t>
      </w:r>
    </w:p>
    <w:p w:rsidR="000930B3" w:rsidRPr="00DB519D" w:rsidP="00492719" w14:paraId="709BC011" w14:textId="3F346938">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45192"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DB519D">
        <w:rPr>
          <w:rFonts w:ascii="Tahoma" w:hAnsi="Tahoma" w:cs="Tahoma"/>
          <w:szCs w:val="20"/>
          <w:rtl/>
        </w:rPr>
        <w:t xml:space="preserve">משרד מבקר המדינה ממליץ שהמשרד </w:t>
      </w:r>
      <w:r w:rsidRPr="00DB519D">
        <w:rPr>
          <w:rFonts w:ascii="Tahoma" w:hAnsi="Tahoma" w:cs="Tahoma"/>
          <w:szCs w:val="20"/>
          <w:rtl/>
        </w:rPr>
        <w:t>להגנ"ס</w:t>
      </w:r>
      <w:r w:rsidRPr="00DB519D">
        <w:rPr>
          <w:rFonts w:ascii="Tahoma" w:hAnsi="Tahoma" w:cs="Tahoma"/>
          <w:szCs w:val="20"/>
          <w:rtl/>
        </w:rPr>
        <w:t xml:space="preserve"> יקבע באמצעות בדיקות סטטיסטיות בלתי תלויות את האומדנים הנדרשים להמרת סך משקלם של המכלים הנאספים ממקורות האיסוף השונים למספר יחידות לצורך קביעת שיעור האיסוף לשנים 2018 - 2021, שנים שבהן איסוף המכלים הגדולים נעשה וייעשה בעיקרו </w:t>
      </w:r>
      <w:r w:rsidRPr="00DB519D">
        <w:rPr>
          <w:rFonts w:ascii="Tahoma" w:hAnsi="Tahoma" w:cs="Tahoma"/>
          <w:szCs w:val="20"/>
          <w:rtl/>
        </w:rPr>
        <w:t>ממיחזוריות</w:t>
      </w:r>
      <w:r w:rsidRPr="00DB519D">
        <w:rPr>
          <w:rFonts w:ascii="Tahoma" w:hAnsi="Tahoma" w:cs="Tahoma"/>
          <w:szCs w:val="20"/>
          <w:rtl/>
        </w:rPr>
        <w:t xml:space="preserve"> ומתחנות מעבר. </w:t>
      </w:r>
    </w:p>
    <w:p w:rsidR="000930B3" w:rsidRPr="00DB519D" w:rsidP="00492719" w14:paraId="22244B42" w14:textId="2309C8C4">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18596"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DB519D">
        <w:rPr>
          <w:rFonts w:ascii="Tahoma" w:hAnsi="Tahoma" w:cs="Tahoma"/>
          <w:szCs w:val="20"/>
          <w:rtl/>
        </w:rPr>
        <w:t xml:space="preserve">משרד מבקר המדינה ממליץ כי המשרד </w:t>
      </w:r>
      <w:r w:rsidRPr="00DB519D">
        <w:rPr>
          <w:rFonts w:ascii="Tahoma" w:hAnsi="Tahoma" w:cs="Tahoma"/>
          <w:szCs w:val="20"/>
          <w:rtl/>
        </w:rPr>
        <w:t>להגנ"ס</w:t>
      </w:r>
      <w:r w:rsidRPr="00DB519D">
        <w:rPr>
          <w:rFonts w:ascii="Tahoma" w:hAnsi="Tahoma" w:cs="Tahoma"/>
          <w:szCs w:val="20"/>
          <w:rtl/>
        </w:rPr>
        <w:t xml:space="preserve"> יפעל עם משרד הכלכלה </w:t>
      </w:r>
      <w:r w:rsidRPr="00DB519D">
        <w:rPr>
          <w:rFonts w:ascii="Tahoma" w:hAnsi="Tahoma" w:cs="Tahoma"/>
          <w:szCs w:val="20"/>
          <w:rtl/>
        </w:rPr>
        <w:t>ומינהל</w:t>
      </w:r>
      <w:r w:rsidRPr="00DB519D">
        <w:rPr>
          <w:rFonts w:ascii="Tahoma" w:hAnsi="Tahoma" w:cs="Tahoma"/>
          <w:szCs w:val="20"/>
          <w:rtl/>
        </w:rPr>
        <w:t xml:space="preserve"> המכס כדי לבדוק את הרגולציה הנדרשת לאכיפת חוק הפיקדון על יבוא מכלי משקה ברוח נייר העמדה של ה-</w:t>
      </w:r>
      <w:r w:rsidRPr="00DB519D">
        <w:rPr>
          <w:rFonts w:ascii="Tahoma" w:hAnsi="Tahoma" w:cs="Tahoma"/>
          <w:szCs w:val="20"/>
        </w:rPr>
        <w:t>OECD</w:t>
      </w:r>
      <w:r w:rsidRPr="00DB519D">
        <w:rPr>
          <w:rFonts w:ascii="Tahoma" w:hAnsi="Tahoma" w:cs="Tahoma"/>
          <w:szCs w:val="20"/>
          <w:rtl/>
        </w:rPr>
        <w:t xml:space="preserve"> תוך הכבדה מזערית של הנטל </w:t>
      </w:r>
      <w:r w:rsidRPr="00DB519D">
        <w:rPr>
          <w:rFonts w:ascii="Tahoma" w:hAnsi="Tahoma" w:cs="Tahoma"/>
          <w:szCs w:val="20"/>
          <w:rtl/>
        </w:rPr>
        <w:t>האסדרתי</w:t>
      </w:r>
      <w:r w:rsidRPr="00DB519D">
        <w:rPr>
          <w:rFonts w:ascii="Tahoma" w:hAnsi="Tahoma" w:cs="Tahoma"/>
          <w:szCs w:val="20"/>
          <w:rtl/>
        </w:rPr>
        <w:t xml:space="preserve"> ובחינת שילוב מנגנוני דיווח ובקרה מקוונים ומשותפים לגורמים הרלוונטיים. זאת כדי להקטין את היקף העבירות הכלכליות המתבצעות בתחום זה. </w:t>
      </w:r>
    </w:p>
    <w:p w:rsidR="000930B3" w:rsidRPr="00DB519D" w:rsidP="00492719" w14:paraId="6567D8D9" w14:textId="15B0F6E2">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948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DB519D">
        <w:rPr>
          <w:rFonts w:ascii="Tahoma" w:hAnsi="Tahoma" w:cs="Tahoma"/>
          <w:szCs w:val="20"/>
          <w:rtl/>
        </w:rPr>
        <w:t xml:space="preserve">משרד מבקר המדינה ממליץ כי המשרד </w:t>
      </w:r>
      <w:r w:rsidRPr="00DB519D">
        <w:rPr>
          <w:rFonts w:ascii="Tahoma" w:hAnsi="Tahoma" w:cs="Tahoma"/>
          <w:szCs w:val="20"/>
          <w:rtl/>
        </w:rPr>
        <w:t>להגנ"ס</w:t>
      </w:r>
      <w:r w:rsidRPr="00DB519D">
        <w:rPr>
          <w:rFonts w:ascii="Tahoma" w:hAnsi="Tahoma" w:cs="Tahoma"/>
          <w:szCs w:val="20"/>
          <w:rtl/>
        </w:rPr>
        <w:t xml:space="preserve"> ימשיך לפעול עם משרד הכלכלה לשם עידוד </w:t>
      </w:r>
      <w:r w:rsidRPr="00DB519D">
        <w:rPr>
          <w:rFonts w:ascii="Tahoma" w:hAnsi="Tahoma" w:cs="Tahoma"/>
          <w:szCs w:val="20"/>
          <w:rtl/>
        </w:rPr>
        <w:t>המיחזור</w:t>
      </w:r>
      <w:r w:rsidRPr="00DB519D">
        <w:rPr>
          <w:rFonts w:ascii="Tahoma" w:hAnsi="Tahoma" w:cs="Tahoma"/>
          <w:szCs w:val="20"/>
          <w:rtl/>
        </w:rPr>
        <w:t xml:space="preserve"> במדרג הגבוה בישראל ולבקרה על יצוא המכלים </w:t>
      </w:r>
      <w:r w:rsidRPr="00DB519D">
        <w:rPr>
          <w:rFonts w:ascii="Tahoma" w:hAnsi="Tahoma" w:cs="Tahoma"/>
          <w:szCs w:val="20"/>
          <w:rtl/>
        </w:rPr>
        <w:t>למיחזור</w:t>
      </w:r>
      <w:r w:rsidRPr="00DB519D">
        <w:rPr>
          <w:rFonts w:ascii="Tahoma" w:hAnsi="Tahoma" w:cs="Tahoma"/>
          <w:szCs w:val="20"/>
          <w:rtl/>
        </w:rPr>
        <w:t xml:space="preserve"> במדינות אחרות, כך שהיצוא יעשה לאתרים בעולם הממחזרים במדרג הטיפול הגבוה, בהתאם לעקרונות השמירה על הסביבה וכדור הארץ. </w:t>
      </w:r>
    </w:p>
    <w:p w:rsidR="000930B3" w:rsidRPr="00DB519D" w:rsidP="00AD02C3" w14:paraId="5BF6EDAC" w14:textId="60CC4941">
      <w:pPr>
        <w:pStyle w:val="a1"/>
        <w:spacing w:line="320" w:lineRule="atLeast"/>
      </w:pPr>
      <w:r w:rsidRPr="001230FC">
        <w:rPr>
          <w:rFonts w:hint="cs"/>
          <w:rtl/>
        </w:rPr>
        <w:t>מכלי</w:t>
      </w:r>
      <w:r w:rsidRPr="001230FC">
        <w:rPr>
          <w:rtl/>
        </w:rPr>
        <w:t xml:space="preserve"> </w:t>
      </w:r>
      <w:r w:rsidRPr="001230FC">
        <w:rPr>
          <w:rFonts w:hint="cs"/>
          <w:rtl/>
        </w:rPr>
        <w:t>משקה</w:t>
      </w:r>
      <w:r w:rsidRPr="001230FC">
        <w:rPr>
          <w:rtl/>
        </w:rPr>
        <w:t xml:space="preserve"> </w:t>
      </w:r>
      <w:r w:rsidRPr="001230FC">
        <w:rPr>
          <w:rFonts w:hint="cs"/>
          <w:rtl/>
        </w:rPr>
        <w:t>גדולים</w:t>
      </w:r>
      <w:r w:rsidRPr="001230FC">
        <w:rPr>
          <w:rtl/>
        </w:rPr>
        <w:t xml:space="preserve"> </w:t>
      </w:r>
      <w:r w:rsidRPr="001230FC">
        <w:rPr>
          <w:rFonts w:hint="cs"/>
          <w:rtl/>
        </w:rPr>
        <w:t>בשטח</w:t>
      </w:r>
      <w:r w:rsidRPr="001230FC">
        <w:rPr>
          <w:rtl/>
        </w:rPr>
        <w:t xml:space="preserve"> </w:t>
      </w:r>
      <w:r w:rsidRPr="001230FC">
        <w:rPr>
          <w:rFonts w:hint="cs"/>
          <w:rtl/>
        </w:rPr>
        <w:t>פתוח</w:t>
      </w:r>
      <w:r w:rsidRPr="001230FC">
        <w:rPr>
          <w:rtl/>
        </w:rPr>
        <w:t xml:space="preserve"> </w:t>
      </w:r>
      <w:r w:rsidRPr="001230FC">
        <w:rPr>
          <w:rFonts w:hint="cs"/>
          <w:rtl/>
        </w:rPr>
        <w:t>בירדן</w:t>
      </w:r>
      <w:r w:rsidRPr="001230FC">
        <w:rPr>
          <w:rtl/>
        </w:rPr>
        <w:t xml:space="preserve"> </w:t>
      </w:r>
      <w:r w:rsidRPr="001230FC">
        <w:rPr>
          <w:rFonts w:hint="cs"/>
          <w:rtl/>
        </w:rPr>
        <w:t>ההררי</w:t>
      </w:r>
      <w:r w:rsidRPr="001230FC">
        <w:rPr>
          <w:rtl/>
        </w:rPr>
        <w:t xml:space="preserve"> - </w:t>
      </w:r>
      <w:r w:rsidRPr="001230FC">
        <w:rPr>
          <w:rFonts w:hint="cs"/>
          <w:rtl/>
        </w:rPr>
        <w:t>מצד</w:t>
      </w:r>
      <w:r w:rsidRPr="001230FC">
        <w:rPr>
          <w:rtl/>
        </w:rPr>
        <w:t xml:space="preserve"> </w:t>
      </w:r>
      <w:r w:rsidRPr="001230FC">
        <w:rPr>
          <w:rFonts w:hint="cs"/>
          <w:rtl/>
        </w:rPr>
        <w:t>עתרת</w:t>
      </w:r>
    </w:p>
    <w:p w:rsidR="001230FC" w:rsidP="001230FC" w14:paraId="1EF8DCAA" w14:textId="2F72536B">
      <w:pPr>
        <w:pStyle w:val="a12"/>
        <w:widowControl/>
        <w:spacing w:before="0" w:after="120" w:line="312" w:lineRule="auto"/>
        <w:jc w:val="center"/>
      </w:pPr>
      <w:r>
        <w:rPr>
          <w:noProof/>
        </w:rPr>
        <w:drawing>
          <wp:inline distT="0" distB="0" distL="0" distR="0">
            <wp:extent cx="4565904" cy="60807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5126" name="Picture 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5904" cy="6080760"/>
                    </a:xfrm>
                    <a:prstGeom prst="rect">
                      <a:avLst/>
                    </a:prstGeom>
                  </pic:spPr>
                </pic:pic>
              </a:graphicData>
            </a:graphic>
          </wp:inline>
        </w:drawing>
      </w:r>
    </w:p>
    <w:p w:rsidR="000930B3" w:rsidRPr="00DA075D" w:rsidP="006C5FF5" w14:paraId="6DFDFB35" w14:textId="10DD9063">
      <w:pPr>
        <w:pStyle w:val="text-source"/>
        <w:rPr>
          <w:rtl/>
        </w:rPr>
      </w:pPr>
      <w:r w:rsidRPr="00DA075D">
        <w:rPr>
          <w:rtl/>
        </w:rPr>
        <w:t>המקור: צולם על ידי בן ציון רבי, אוגוסט 2020.</w:t>
      </w:r>
    </w:p>
    <w:p w:rsidR="001230FC" w14:paraId="2BAA5298" w14:textId="77777777">
      <w:pPr>
        <w:bidi w:val="0"/>
        <w:spacing w:after="200" w:line="276" w:lineRule="auto"/>
        <w:rPr>
          <w:rFonts w:ascii="Tahoma" w:eastAsia="Times New Roman" w:hAnsi="Tahoma" w:cs="Tahoma"/>
          <w:color w:val="009692"/>
          <w:sz w:val="32"/>
          <w:szCs w:val="32"/>
          <w:rtl/>
        </w:rPr>
      </w:pPr>
      <w:r>
        <w:rPr>
          <w:rtl/>
        </w:rPr>
        <w:br w:type="page"/>
      </w:r>
    </w:p>
    <w:p w:rsidR="000930B3" w:rsidRPr="00DA075D" w:rsidP="00060975" w14:paraId="439B0B67" w14:textId="6245D286">
      <w:pPr>
        <w:pStyle w:val="3"/>
        <w:rPr>
          <w:rtl/>
        </w:rPr>
      </w:pPr>
      <w:r w:rsidRPr="00DA075D">
        <w:rPr>
          <w:rtl/>
        </w:rPr>
        <w:t>סיכום</w:t>
      </w:r>
    </w:p>
    <w:p w:rsidR="000930B3" w:rsidRPr="00DB519D" w:rsidP="00AD02C3" w14:paraId="2E113EAB" w14:textId="77777777">
      <w:pPr>
        <w:pStyle w:val="a12"/>
        <w:widowControl/>
        <w:spacing w:before="0" w:after="120" w:line="320" w:lineRule="atLeast"/>
        <w:rPr>
          <w:rFonts w:ascii="Tahoma" w:hAnsi="Tahoma" w:cs="Tahoma"/>
          <w:sz w:val="20"/>
          <w:szCs w:val="20"/>
        </w:rPr>
      </w:pPr>
      <w:r w:rsidRPr="00DB519D">
        <w:rPr>
          <w:rFonts w:ascii="Tahoma" w:hAnsi="Tahoma" w:cs="Tahoma"/>
          <w:sz w:val="20"/>
          <w:szCs w:val="20"/>
          <w:rtl/>
        </w:rPr>
        <w:t xml:space="preserve">הטמנת פלסטיק גורמת למפגעים סביבתיים שעלותם הגלובלית נאמדת בעשרות מיליארדי דולרים בשנה. משרד מבקר המדינה ממליץ כי המשרד </w:t>
      </w:r>
      <w:r w:rsidRPr="00DB519D">
        <w:rPr>
          <w:rFonts w:ascii="Tahoma" w:hAnsi="Tahoma" w:cs="Tahoma"/>
          <w:sz w:val="20"/>
          <w:szCs w:val="20"/>
          <w:rtl/>
        </w:rPr>
        <w:t>להגנ"ס</w:t>
      </w:r>
      <w:r w:rsidRPr="00DB519D">
        <w:rPr>
          <w:rFonts w:ascii="Tahoma" w:hAnsi="Tahoma" w:cs="Tahoma"/>
          <w:sz w:val="20"/>
          <w:szCs w:val="20"/>
          <w:rtl/>
        </w:rPr>
        <w:t xml:space="preserve"> ימשיך ויקדם פעולות שיביאו לשמירת המקרקעין והקטנת הזיהום הסביבתי כמקובל במדינות ה-</w:t>
      </w:r>
      <w:r w:rsidRPr="00DB519D">
        <w:rPr>
          <w:rFonts w:ascii="Tahoma" w:hAnsi="Tahoma" w:cs="Tahoma"/>
          <w:sz w:val="20"/>
          <w:szCs w:val="20"/>
        </w:rPr>
        <w:t>OECD</w:t>
      </w:r>
      <w:r w:rsidRPr="00DB519D">
        <w:rPr>
          <w:rFonts w:ascii="Tahoma" w:hAnsi="Tahoma" w:cs="Tahoma"/>
          <w:sz w:val="20"/>
          <w:szCs w:val="20"/>
          <w:rtl/>
        </w:rPr>
        <w:t xml:space="preserve"> ויבחן את תיקון היעדים כך שעד 2025 יעמוד יעד איסופם של מכלי המשקה מפלסטיק ששווקו בכל שנה על 77% ועד לשנת 2029 יעמוד על 90%. עוד מומלץ כי המשרד יפעל להסדרת הנושאים שבאחריותו לצורך ההתארגנות המשקית כדי לוודא את ביצוע ההתאמות הנדרשות לצורך יישום החוק במועד שנקבע להחלת הפיקדון על מכלי משקה גדולים, 1.12.21. </w:t>
      </w:r>
    </w:p>
    <w:p w:rsidR="00AD02C3" w:rsidP="001230FC" w14:paraId="5FF329B9" w14:textId="77777777">
      <w:pPr>
        <w:pStyle w:val="10"/>
        <w:rPr>
          <w:rtl/>
        </w:rPr>
        <w:sectPr w:rsidSect="006A2D1D">
          <w:headerReference w:type="first" r:id="rId18"/>
          <w:footerReference w:type="first" r:id="rId19"/>
          <w:pgSz w:w="11906" w:h="16838"/>
          <w:pgMar w:top="2268" w:right="1985" w:bottom="2155" w:left="1701" w:header="709" w:footer="709" w:gutter="0"/>
          <w:cols w:space="708"/>
          <w:bidi/>
          <w:rtlGutter/>
          <w:docGrid w:linePitch="360"/>
        </w:sectPr>
      </w:pPr>
    </w:p>
    <w:p w:rsidR="000930B3" w:rsidRPr="00DA075D" w:rsidP="001230FC" w14:paraId="669DEE33" w14:textId="366BC862">
      <w:pPr>
        <w:pStyle w:val="10"/>
        <w:rPr>
          <w:rtl/>
        </w:rPr>
      </w:pPr>
      <w:r w:rsidRPr="00DA075D">
        <w:rPr>
          <w:rtl/>
        </w:rPr>
        <w:t>היבטים בהחלת חוק הפיקדון על מכלי משקה</w:t>
      </w:r>
    </w:p>
    <w:p w:rsidR="000930B3" w:rsidRPr="00DA075D" w:rsidP="00DB519D" w14:paraId="53C810B0" w14:textId="77777777">
      <w:pPr>
        <w:pStyle w:val="3"/>
        <w:rPr>
          <w:rtl/>
        </w:rPr>
      </w:pPr>
      <w:r w:rsidRPr="00DA075D">
        <w:rPr>
          <w:rtl/>
        </w:rPr>
        <w:t>מבוא</w:t>
      </w:r>
    </w:p>
    <w:p w:rsidR="000930B3" w:rsidRPr="00D22A15" w:rsidP="005C4ABF" w14:paraId="3D351AF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בחוק הפיקדון על מכלי משקה, התשנ"ט-1999 (להלן - חוק הפיקדון), הוגדר "מכל משקה" ככלי קיבול שמשווקים בו משקה, למעט חלב ומוצריו, בין שהוא מלא ובין שהוא ריק, העשוי מכל חומר, וקיבולתו היא 0.1 ליטר או יותר ופחות מ-1.5 ליטר, למעט שקיות ומכלים העשויים מנייר או מקרטון (להלן - מכל משקה קטן). "מכל משקה גדול" הוא מכל משקה כאמור שקיבולתו היא 1.5 ליטר או יותר ועד 5 ליטר (להלן - מכל משקה גדול). </w:t>
      </w:r>
    </w:p>
    <w:p w:rsidR="000930B3" w:rsidRPr="00D22A15" w:rsidP="005C4ABF" w14:paraId="39572B5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נתוני המשרד להגנת הסביבה (להלן - המשרד </w:t>
      </w:r>
      <w:r w:rsidRPr="00D22A15">
        <w:rPr>
          <w:rFonts w:ascii="Tahoma" w:hAnsi="Tahoma" w:cs="Tahoma"/>
          <w:sz w:val="20"/>
          <w:szCs w:val="20"/>
          <w:rtl/>
        </w:rPr>
        <w:t>להגנ"ס</w:t>
      </w:r>
      <w:r w:rsidRPr="00D22A15">
        <w:rPr>
          <w:rFonts w:ascii="Tahoma" w:hAnsi="Tahoma" w:cs="Tahoma"/>
          <w:sz w:val="20"/>
          <w:szCs w:val="20"/>
          <w:rtl/>
        </w:rPr>
        <w:t>), בשנת 2018 נמכרו בישראל יותר מ-1.8 מיליארד מכלי משקה, מהם כ-765 מיליון מכלי משקה גדולים וכ-1,096 מיליון מכלי משקה קטנים. על פי אותם נתונים, קרוב ל-100% ממכלי המשקה הגדולים וכ-34% ממכלי המשקה הקטנים עשויים מפלסטיק. בקבוקי זכוכית ופחיות מתכת הם כ-34% ו-32% ממכלי המשקה הקטנים, בהתאמה.</w:t>
      </w:r>
    </w:p>
    <w:p w:rsidR="000930B3" w:rsidRPr="00D22A15" w:rsidP="005C4ABF" w14:paraId="6026DE15" w14:textId="35818134">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חומר הפלסטיק שממנו מיוצרים מכלי המשקה מכונה פוליאתילן </w:t>
      </w:r>
      <w:r w:rsidRPr="00D22A15">
        <w:rPr>
          <w:rFonts w:ascii="Tahoma" w:hAnsi="Tahoma" w:cs="Tahoma"/>
          <w:sz w:val="20"/>
          <w:szCs w:val="20"/>
          <w:rtl/>
        </w:rPr>
        <w:t>טרפתלט</w:t>
      </w:r>
      <w:r w:rsidRPr="00D22A15">
        <w:rPr>
          <w:rFonts w:ascii="Tahoma" w:hAnsi="Tahoma" w:cs="Tahoma"/>
          <w:sz w:val="20"/>
          <w:szCs w:val="20"/>
          <w:rtl/>
        </w:rPr>
        <w:t xml:space="preserve"> (להלן </w:t>
      </w:r>
      <w:r w:rsidR="00A8502C">
        <w:rPr>
          <w:rFonts w:ascii="Tahoma" w:hAnsi="Tahoma" w:cs="Tahoma"/>
          <w:sz w:val="20"/>
          <w:szCs w:val="20"/>
          <w:rtl/>
        </w:rPr>
        <w:t>–</w:t>
      </w:r>
      <w:r w:rsidRPr="00D22A15">
        <w:rPr>
          <w:rFonts w:ascii="Tahoma" w:hAnsi="Tahoma" w:cs="Tahoma"/>
          <w:sz w:val="20"/>
          <w:szCs w:val="20"/>
          <w:rtl/>
        </w:rPr>
        <w:t xml:space="preserve"> </w:t>
      </w:r>
      <w:r w:rsidRPr="00D22A15">
        <w:rPr>
          <w:rFonts w:ascii="Tahoma" w:hAnsi="Tahoma" w:cs="Tahoma"/>
          <w:sz w:val="20"/>
          <w:szCs w:val="20"/>
        </w:rPr>
        <w:t>PET</w:t>
      </w:r>
      <w:r w:rsidRPr="00A8502C" w:rsidR="00A8502C">
        <w:rPr>
          <w:rFonts w:ascii="Tahoma" w:hAnsi="Tahoma" w:cs="Tahoma" w:hint="cs"/>
          <w:sz w:val="4"/>
          <w:szCs w:val="4"/>
          <w:rtl/>
        </w:rPr>
        <w:t xml:space="preserve"> </w:t>
      </w:r>
      <w:r>
        <w:rPr>
          <w:rFonts w:ascii="Tahoma" w:hAnsi="Tahoma" w:cs="Tahoma"/>
          <w:sz w:val="20"/>
          <w:szCs w:val="20"/>
          <w:vertAlign w:val="superscript"/>
        </w:rPr>
        <w:footnoteReference w:id="3"/>
      </w:r>
      <w:r w:rsidRPr="00D22A15">
        <w:rPr>
          <w:rFonts w:ascii="Tahoma" w:hAnsi="Tahoma" w:cs="Tahoma"/>
          <w:sz w:val="20"/>
          <w:szCs w:val="20"/>
          <w:rtl/>
        </w:rPr>
        <w:t>). על פי הערכות</w:t>
      </w:r>
      <w:r>
        <w:rPr>
          <w:rFonts w:ascii="Tahoma" w:hAnsi="Tahoma" w:cs="Tahoma"/>
          <w:sz w:val="20"/>
          <w:szCs w:val="20"/>
          <w:vertAlign w:val="superscript"/>
          <w:rtl/>
        </w:rPr>
        <w:footnoteReference w:id="4"/>
      </w:r>
      <w:r w:rsidRPr="00D22A15">
        <w:rPr>
          <w:rFonts w:ascii="Tahoma" w:hAnsi="Tahoma" w:cs="Tahoma"/>
          <w:sz w:val="20"/>
          <w:szCs w:val="20"/>
          <w:rtl/>
        </w:rPr>
        <w:t>, אם חומר זה אינו ממוחזר, הוא נותר בטבע במשך מאות שנים שבהן הוא מתכלה לאיטו, כך שהזיהום הסביבתי שיוצרים מכלי המשקה הוא בעיה עולמית ונזקיו נאמדים במיליארדי דולרים בשנה. על פי נתונים של התוכנית הסביבתית של האו"ם (</w:t>
      </w:r>
      <w:r w:rsidRPr="00D22A15">
        <w:rPr>
          <w:rFonts w:ascii="Tahoma" w:hAnsi="Tahoma" w:cs="Tahoma"/>
          <w:sz w:val="20"/>
          <w:szCs w:val="20"/>
        </w:rPr>
        <w:t xml:space="preserve">United Nations Environment </w:t>
      </w:r>
      <w:r w:rsidRPr="00D22A15">
        <w:rPr>
          <w:rFonts w:ascii="Tahoma" w:hAnsi="Tahoma" w:cs="Tahoma"/>
          <w:sz w:val="20"/>
          <w:szCs w:val="20"/>
        </w:rPr>
        <w:t>Programme</w:t>
      </w:r>
      <w:r w:rsidRPr="00D22A15">
        <w:rPr>
          <w:rFonts w:ascii="Tahoma" w:hAnsi="Tahoma" w:cs="Tahoma"/>
          <w:sz w:val="20"/>
          <w:szCs w:val="20"/>
          <w:rtl/>
        </w:rPr>
        <w:t xml:space="preserve">) שפרסם הארגון לשיתוף פעולה ולפיתוח כלכלי (להלן - </w:t>
      </w:r>
      <w:r w:rsidRPr="00D22A15">
        <w:rPr>
          <w:rFonts w:ascii="Tahoma" w:hAnsi="Tahoma" w:cs="Tahoma"/>
          <w:sz w:val="20"/>
          <w:szCs w:val="20"/>
        </w:rPr>
        <w:t>OECD</w:t>
      </w:r>
      <w:r w:rsidRPr="00D22A15">
        <w:rPr>
          <w:rFonts w:ascii="Tahoma" w:hAnsi="Tahoma" w:cs="Tahoma"/>
          <w:sz w:val="20"/>
          <w:szCs w:val="20"/>
          <w:rtl/>
        </w:rPr>
        <w:t xml:space="preserve">) בשנת 2018, העלות הסביבתית העולמית של ניהול מחזור החיים של מכלי משקה (החל מייצורם ועד לטיפול בפסולת) </w:t>
      </w:r>
      <w:r w:rsidRPr="00D22A15">
        <w:rPr>
          <w:rFonts w:ascii="Tahoma" w:hAnsi="Tahoma" w:cs="Tahoma"/>
          <w:sz w:val="20"/>
          <w:szCs w:val="20"/>
          <w:rtl/>
        </w:rPr>
        <w:t>נאמדה</w:t>
      </w:r>
      <w:r w:rsidRPr="00D22A15">
        <w:rPr>
          <w:rFonts w:ascii="Tahoma" w:hAnsi="Tahoma" w:cs="Tahoma"/>
          <w:sz w:val="20"/>
          <w:szCs w:val="20"/>
          <w:rtl/>
        </w:rPr>
        <w:t xml:space="preserve"> בשנת 2014 בכ-9 מיליארד דולר. למכלי המשקה הגדולים נוכחות ניכרת באשפה המושלכת בשטחים פתוחים ובטבע. דוגמה לכך ניתן לראות בתמונה שלהלן. </w:t>
      </w:r>
    </w:p>
    <w:p w:rsidR="000930B3" w:rsidRPr="00DA075D" w:rsidP="00AD02C3" w14:paraId="21D102AA" w14:textId="3A637556">
      <w:pPr>
        <w:pStyle w:val="a1"/>
        <w:spacing w:line="320" w:lineRule="atLeast"/>
        <w:rPr>
          <w:rtl/>
        </w:rPr>
      </w:pPr>
      <w:r w:rsidRPr="00D22A15">
        <w:rPr>
          <w:b w:val="0"/>
          <w:bCs w:val="0"/>
          <w:rtl/>
        </w:rPr>
        <w:t xml:space="preserve">תמונה 1: </w:t>
      </w:r>
      <w:r w:rsidRPr="00DA075D">
        <w:rPr>
          <w:rtl/>
        </w:rPr>
        <w:t>מכלי משקה גדולים בשטח פתוח בירדן ההררי מצד עתרת</w:t>
      </w:r>
    </w:p>
    <w:p w:rsidR="000930B3" w:rsidRPr="001230FC" w:rsidP="005C4ABF" w14:paraId="6A5FFFCF" w14:textId="41F7B42D">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565904" cy="60807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3386" name="Picture 1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5904" cy="6080760"/>
                    </a:xfrm>
                    <a:prstGeom prst="rect">
                      <a:avLst/>
                    </a:prstGeom>
                  </pic:spPr>
                </pic:pic>
              </a:graphicData>
            </a:graphic>
          </wp:inline>
        </w:drawing>
      </w:r>
    </w:p>
    <w:p w:rsidR="000930B3" w:rsidRPr="00DA075D" w:rsidP="006C5FF5" w14:paraId="7FE5900C" w14:textId="77777777">
      <w:pPr>
        <w:pStyle w:val="text-source"/>
        <w:rPr>
          <w:rtl/>
        </w:rPr>
      </w:pPr>
      <w:r w:rsidRPr="00DA075D">
        <w:rPr>
          <w:rtl/>
        </w:rPr>
        <w:t xml:space="preserve">התמונה צולמה על ידי בן ציון רבי באוגוסט 2020. </w:t>
      </w:r>
    </w:p>
    <w:p w:rsidR="000930B3" w:rsidRPr="00D22A15" w:rsidP="005C4ABF" w14:paraId="24D4131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המשרד </w:t>
      </w:r>
      <w:r w:rsidRPr="00D22A15">
        <w:rPr>
          <w:rFonts w:ascii="Tahoma" w:hAnsi="Tahoma" w:cs="Tahoma"/>
          <w:sz w:val="20"/>
          <w:szCs w:val="20"/>
          <w:rtl/>
        </w:rPr>
        <w:t>להגנ"ס</w:t>
      </w:r>
      <w:r>
        <w:rPr>
          <w:rFonts w:ascii="Tahoma" w:hAnsi="Tahoma" w:cs="Tahoma"/>
          <w:sz w:val="20"/>
          <w:szCs w:val="20"/>
          <w:vertAlign w:val="superscript"/>
          <w:rtl/>
        </w:rPr>
        <w:footnoteReference w:id="5"/>
      </w:r>
      <w:r w:rsidRPr="00D22A15">
        <w:rPr>
          <w:rFonts w:ascii="Tahoma" w:hAnsi="Tahoma" w:cs="Tahoma"/>
          <w:sz w:val="20"/>
          <w:szCs w:val="20"/>
          <w:rtl/>
        </w:rPr>
        <w:t xml:space="preserve">, בשנת 2008 נבעו כ-28.5% מהנפח המוטמן של הפסולת הביתית בישראל מהטמנת מכלי משקה; 22% מהנפח נבעו ממכלי משקה גדולים וכ-6.5% ממכלי משקה קטנים. באותה שנה היוותה פסולת זו כאחוז אחד ממשקל הפסולת הביתית. בשנת </w:t>
      </w:r>
      <w:r w:rsidRPr="00D22A15">
        <w:rPr>
          <w:rFonts w:ascii="Tahoma" w:hAnsi="Tahoma" w:cs="Tahoma"/>
          <w:sz w:val="20"/>
          <w:szCs w:val="20"/>
          <w:rtl/>
        </w:rPr>
        <w:t xml:space="preserve">2014 פרסם המשרד </w:t>
      </w:r>
      <w:r w:rsidRPr="00D22A15">
        <w:rPr>
          <w:rFonts w:ascii="Tahoma" w:hAnsi="Tahoma" w:cs="Tahoma"/>
          <w:sz w:val="20"/>
          <w:szCs w:val="20"/>
          <w:rtl/>
        </w:rPr>
        <w:t>להגנ"ס</w:t>
      </w:r>
      <w:r w:rsidRPr="00D22A15">
        <w:rPr>
          <w:rFonts w:ascii="Tahoma" w:hAnsi="Tahoma" w:cs="Tahoma"/>
          <w:sz w:val="20"/>
          <w:szCs w:val="20"/>
          <w:rtl/>
        </w:rPr>
        <w:t xml:space="preserve"> את סקר הרכב הפסולת הארצי, 2012 - 2013 (להלן - סקר הפסולת). לפי סקר זה, היוותה הפסולת הפלסטית כ-18% ממשקלה של הפסולת הביתית בשנים המדוברות (עלייה של כ-5% ביחס לסקר משנת 2005) ויותר מ-41% מנפחה (ירידה של כ-5% ביחס לסקר משנת 2005). </w:t>
      </w:r>
    </w:p>
    <w:p w:rsidR="000930B3" w:rsidRPr="00DA075D" w:rsidP="00AD02C3" w14:paraId="76EE625A" w14:textId="4450FD63">
      <w:pPr>
        <w:pStyle w:val="a1"/>
        <w:spacing w:line="320" w:lineRule="atLeast"/>
        <w:rPr>
          <w:w w:val="97"/>
          <w:rtl/>
        </w:rPr>
      </w:pPr>
      <w:r w:rsidRPr="00D22A15">
        <w:rPr>
          <w:b w:val="0"/>
          <w:bCs w:val="0"/>
          <w:spacing w:val="-2"/>
          <w:w w:val="97"/>
          <w:rtl/>
        </w:rPr>
        <w:t xml:space="preserve">תרשים 1: </w:t>
      </w:r>
      <w:r w:rsidRPr="00DA075D">
        <w:rPr>
          <w:spacing w:val="-2"/>
          <w:w w:val="97"/>
          <w:rtl/>
        </w:rPr>
        <w:t>שיעור מכלי המשקה מתוך נפח הפסולת הביתית בישראל, 2008</w:t>
      </w:r>
    </w:p>
    <w:p w:rsidR="000930B3" w:rsidRPr="001230FC" w:rsidP="005C4ABF" w14:paraId="32400B96" w14:textId="374804ED">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18928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93130" name="Picture 12"/>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892812"/>
                    </a:xfrm>
                    <a:prstGeom prst="rect">
                      <a:avLst/>
                    </a:prstGeom>
                  </pic:spPr>
                </pic:pic>
              </a:graphicData>
            </a:graphic>
          </wp:inline>
        </w:drawing>
      </w:r>
    </w:p>
    <w:p w:rsidR="000930B3" w:rsidRPr="00DA075D" w:rsidP="006C5FF5" w14:paraId="5E093AC1" w14:textId="77777777">
      <w:pPr>
        <w:pStyle w:val="text-source"/>
        <w:rPr>
          <w:rtl/>
        </w:rPr>
      </w:pPr>
      <w:r w:rsidRPr="00DA075D">
        <w:rPr>
          <w:rtl/>
        </w:rPr>
        <w:t xml:space="preserve">על פי נתוני המשרד </w:t>
      </w:r>
      <w:r w:rsidRPr="00DA075D">
        <w:rPr>
          <w:rtl/>
        </w:rPr>
        <w:t>להגנ"ס</w:t>
      </w:r>
      <w:r w:rsidRPr="00DA075D">
        <w:rPr>
          <w:rtl/>
        </w:rPr>
        <w:t>, בעיבוד משרד מבקר המדינה.</w:t>
      </w:r>
    </w:p>
    <w:p w:rsidR="000930B3" w:rsidRPr="00D22A15" w:rsidP="005C4ABF" w14:paraId="231FDFF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כחלק מההתמודדות עם זיהום המרחב הציבורי ובניסיון להקטין את נפח הפסולת המוטמנת ולעודד </w:t>
      </w:r>
      <w:r w:rsidRPr="00D22A15">
        <w:rPr>
          <w:rFonts w:ascii="Tahoma" w:hAnsi="Tahoma" w:cs="Tahoma"/>
          <w:sz w:val="20"/>
          <w:szCs w:val="20"/>
          <w:rtl/>
        </w:rPr>
        <w:t>מיחזור</w:t>
      </w:r>
      <w:r w:rsidRPr="00D22A15">
        <w:rPr>
          <w:rFonts w:ascii="Tahoma" w:hAnsi="Tahoma" w:cs="Tahoma"/>
          <w:sz w:val="20"/>
          <w:szCs w:val="20"/>
          <w:rtl/>
        </w:rPr>
        <w:t xml:space="preserve">, במדינות רבות בעולם וישראל בתוכן המחוקק מטיל על היצרנים את האחריות לאיסוף </w:t>
      </w:r>
      <w:r w:rsidRPr="00D22A15">
        <w:rPr>
          <w:rFonts w:ascii="Tahoma" w:hAnsi="Tahoma" w:cs="Tahoma"/>
          <w:sz w:val="20"/>
          <w:szCs w:val="20"/>
          <w:rtl/>
        </w:rPr>
        <w:t>ולמיחזור</w:t>
      </w:r>
      <w:r w:rsidRPr="00D22A15">
        <w:rPr>
          <w:rFonts w:ascii="Tahoma" w:hAnsi="Tahoma" w:cs="Tahoma"/>
          <w:sz w:val="20"/>
          <w:szCs w:val="20"/>
          <w:rtl/>
        </w:rPr>
        <w:t xml:space="preserve"> מכלי המשקה ויוצר מנגנונים כלכליים למימון העלויות. </w:t>
      </w:r>
    </w:p>
    <w:p w:rsidR="000930B3" w:rsidRPr="00D22A15" w:rsidP="005C4ABF" w14:paraId="18E00F7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חוק</w:t>
      </w:r>
      <w:r w:rsidRPr="00D22A15">
        <w:rPr>
          <w:rStyle w:val="a4"/>
          <w:rFonts w:ascii="Tahoma" w:hAnsi="Tahoma" w:cs="Tahoma"/>
          <w:sz w:val="20"/>
          <w:szCs w:val="20"/>
          <w:rtl/>
        </w:rPr>
        <w:t xml:space="preserve"> </w:t>
      </w:r>
      <w:r w:rsidRPr="00D22A15">
        <w:rPr>
          <w:rFonts w:ascii="Tahoma" w:hAnsi="Tahoma" w:cs="Tahoma"/>
          <w:sz w:val="20"/>
          <w:szCs w:val="20"/>
          <w:rtl/>
        </w:rPr>
        <w:t xml:space="preserve">הפיקדון מסדיר את ההיבטים השונים הקשורים לאיסוף </w:t>
      </w:r>
      <w:r w:rsidRPr="00D22A15">
        <w:rPr>
          <w:rFonts w:ascii="Tahoma" w:hAnsi="Tahoma" w:cs="Tahoma"/>
          <w:sz w:val="20"/>
          <w:szCs w:val="20"/>
          <w:rtl/>
        </w:rPr>
        <w:t>ולמיחזור</w:t>
      </w:r>
      <w:r w:rsidRPr="00D22A15">
        <w:rPr>
          <w:rFonts w:ascii="Tahoma" w:hAnsi="Tahoma" w:cs="Tahoma"/>
          <w:sz w:val="20"/>
          <w:szCs w:val="20"/>
          <w:rtl/>
        </w:rPr>
        <w:t xml:space="preserve"> מכלי המשקה בישראל וקובע את שיעורי האיסוף </w:t>
      </w:r>
      <w:r w:rsidRPr="00D22A15">
        <w:rPr>
          <w:rFonts w:ascii="Tahoma" w:hAnsi="Tahoma" w:cs="Tahoma"/>
          <w:sz w:val="20"/>
          <w:szCs w:val="20"/>
          <w:rtl/>
        </w:rPr>
        <w:t>והמיחזור</w:t>
      </w:r>
      <w:r w:rsidRPr="00D22A15">
        <w:rPr>
          <w:rFonts w:ascii="Tahoma" w:hAnsi="Tahoma" w:cs="Tahoma"/>
          <w:sz w:val="20"/>
          <w:szCs w:val="20"/>
          <w:rtl/>
        </w:rPr>
        <w:t xml:space="preserve"> הנדרשים. על פי החוק, על כל קניית מכל משקה קטן מוטלים דמי פיקדון בסך 30 אגורות. עוד נקבע, כי יצרן או יבואן רשאי להחליט כי סכום הפיקדון על מכל משקה מלא שהוא מייצר או משווק יהיה גבוה מהסכום הנקוב בחוק או מהסכום שקבע השר להגנת הסביבה (להלן - השר </w:t>
      </w:r>
      <w:r w:rsidRPr="00D22A15">
        <w:rPr>
          <w:rFonts w:ascii="Tahoma" w:hAnsi="Tahoma" w:cs="Tahoma"/>
          <w:sz w:val="20"/>
          <w:szCs w:val="20"/>
          <w:rtl/>
        </w:rPr>
        <w:t>להגנ"ס</w:t>
      </w:r>
      <w:r w:rsidRPr="00D22A15">
        <w:rPr>
          <w:rFonts w:ascii="Tahoma" w:hAnsi="Tahoma" w:cs="Tahoma"/>
          <w:sz w:val="20"/>
          <w:szCs w:val="20"/>
          <w:rtl/>
        </w:rPr>
        <w:t>). עקב כך מכלי משקה מסוימים מסומנים כחייבים בפיקדון של 1.20 ש"ח, הגבוה מהמינימום הנקוב בחוק.</w:t>
      </w:r>
    </w:p>
    <w:p w:rsidR="000930B3" w:rsidRPr="00D22A15" w:rsidP="005C4ABF" w14:paraId="66BE81C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בתיקון לחוק הפיקדון משנת 2010 נקבע מנגנון המחייב יצרני משקאות ויבואני משקאות לאסוף ולמחזר מכלים גדולים. בהתאם לתיקון לחוק, החל מינואר 2016</w:t>
      </w:r>
      <w:r w:rsidRPr="00D22A15">
        <w:rPr>
          <w:rFonts w:ascii="Tahoma" w:hAnsi="Tahoma" w:cs="Tahoma"/>
          <w:spacing w:val="-57"/>
          <w:sz w:val="20"/>
          <w:szCs w:val="20"/>
          <w:rtl/>
        </w:rPr>
        <w:t xml:space="preserve"> </w:t>
      </w:r>
      <w:r>
        <w:rPr>
          <w:rFonts w:ascii="Tahoma" w:hAnsi="Tahoma" w:cs="Tahoma"/>
          <w:sz w:val="20"/>
          <w:szCs w:val="20"/>
          <w:vertAlign w:val="superscript"/>
          <w:rtl/>
        </w:rPr>
        <w:footnoteReference w:id="6"/>
      </w:r>
      <w:r w:rsidRPr="00D22A15">
        <w:rPr>
          <w:rFonts w:ascii="Tahoma" w:hAnsi="Tahoma" w:cs="Tahoma"/>
          <w:sz w:val="20"/>
          <w:szCs w:val="20"/>
          <w:rtl/>
        </w:rPr>
        <w:t xml:space="preserve">, אם ייאספו פחות מ-55% ממכלי המשקה הגדולים ששווקו בשנה מסוימת, יוטל פיקדון על מכלים אלה. עוד נקבע, שאם שיעור האיסוף קטן מ-55% אך גדול מ-47%, רשאי השר </w:t>
      </w:r>
      <w:r w:rsidRPr="00D22A15">
        <w:rPr>
          <w:rFonts w:ascii="Tahoma" w:hAnsi="Tahoma" w:cs="Tahoma"/>
          <w:sz w:val="20"/>
          <w:szCs w:val="20"/>
          <w:rtl/>
        </w:rPr>
        <w:t>להגנ"ס</w:t>
      </w:r>
      <w:r w:rsidRPr="00D22A15">
        <w:rPr>
          <w:rFonts w:ascii="Tahoma" w:hAnsi="Tahoma" w:cs="Tahoma"/>
          <w:sz w:val="20"/>
          <w:szCs w:val="20"/>
          <w:rtl/>
        </w:rPr>
        <w:t xml:space="preserve"> לדחות בצו את מועד התחולה של הוראות החוק וכן לקבוע תנאים לתחולתן. </w:t>
      </w:r>
    </w:p>
    <w:p w:rsidR="000930B3" w:rsidRPr="00D22A15" w:rsidP="005C4ABF" w14:paraId="3584991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החוק להסדרת הטיפול באריזות, התשע"א-2011 (להלן - חוק האריזות), קובע יעדי </w:t>
      </w:r>
      <w:r w:rsidRPr="00D22A15">
        <w:rPr>
          <w:rFonts w:ascii="Tahoma" w:hAnsi="Tahoma" w:cs="Tahoma"/>
          <w:sz w:val="20"/>
          <w:szCs w:val="20"/>
          <w:rtl/>
        </w:rPr>
        <w:t>מיחזור</w:t>
      </w:r>
      <w:r w:rsidRPr="00D22A15">
        <w:rPr>
          <w:rFonts w:ascii="Tahoma" w:hAnsi="Tahoma" w:cs="Tahoma"/>
          <w:sz w:val="20"/>
          <w:szCs w:val="20"/>
          <w:rtl/>
        </w:rPr>
        <w:t xml:space="preserve"> עבור כל יצרן או יבואן של אריזות או של מוצרים ארוזים לפי סוג חומר הגלם של האריזות: זכוכית, נייר או קרטון, מתכת, פלסטיק ועץ. חוק זה מטיל על הממונה לפי החוק הקמת "גוף </w:t>
      </w:r>
      <w:r w:rsidRPr="00D22A15">
        <w:rPr>
          <w:rFonts w:ascii="Tahoma" w:hAnsi="Tahoma" w:cs="Tahoma"/>
          <w:sz w:val="20"/>
          <w:szCs w:val="20"/>
          <w:rtl/>
        </w:rPr>
        <w:t xml:space="preserve">מוכר" אשר עליו יחולו חובות </w:t>
      </w:r>
      <w:r w:rsidRPr="00D22A15">
        <w:rPr>
          <w:rFonts w:ascii="Tahoma" w:hAnsi="Tahoma" w:cs="Tahoma"/>
          <w:sz w:val="20"/>
          <w:szCs w:val="20"/>
          <w:rtl/>
        </w:rPr>
        <w:t>המיחזור</w:t>
      </w:r>
      <w:r w:rsidRPr="00D22A15">
        <w:rPr>
          <w:rFonts w:ascii="Tahoma" w:hAnsi="Tahoma" w:cs="Tahoma"/>
          <w:sz w:val="20"/>
          <w:szCs w:val="20"/>
          <w:rtl/>
        </w:rPr>
        <w:t xml:space="preserve"> של יצרנים ויבואנים שהתקשרו עמו. </w:t>
      </w:r>
      <w:r w:rsidRPr="00D22A15">
        <w:rPr>
          <w:rFonts w:ascii="Tahoma" w:hAnsi="Tahoma" w:cs="Tahoma"/>
          <w:sz w:val="20"/>
          <w:szCs w:val="20"/>
          <w:rtl/>
        </w:rPr>
        <w:t>המיחזור</w:t>
      </w:r>
      <w:r w:rsidRPr="00D22A15">
        <w:rPr>
          <w:rFonts w:ascii="Tahoma" w:hAnsi="Tahoma" w:cs="Tahoma"/>
          <w:sz w:val="20"/>
          <w:szCs w:val="20"/>
          <w:rtl/>
        </w:rPr>
        <w:t xml:space="preserve"> שנעשה במפעל </w:t>
      </w:r>
      <w:r w:rsidRPr="00D22A15">
        <w:rPr>
          <w:rFonts w:ascii="Tahoma" w:hAnsi="Tahoma" w:cs="Tahoma"/>
          <w:sz w:val="20"/>
          <w:szCs w:val="20"/>
          <w:rtl/>
        </w:rPr>
        <w:t>מיחזור</w:t>
      </w:r>
      <w:r w:rsidRPr="00D22A15">
        <w:rPr>
          <w:rFonts w:ascii="Tahoma" w:hAnsi="Tahoma" w:cs="Tahoma"/>
          <w:sz w:val="20"/>
          <w:szCs w:val="20"/>
          <w:rtl/>
        </w:rPr>
        <w:t xml:space="preserve"> מורשה הוא "</w:t>
      </w:r>
      <w:r w:rsidRPr="00D22A15">
        <w:rPr>
          <w:rFonts w:ascii="Tahoma" w:hAnsi="Tahoma" w:cs="Tahoma"/>
          <w:sz w:val="20"/>
          <w:szCs w:val="20"/>
          <w:rtl/>
        </w:rPr>
        <w:t>מיחזור</w:t>
      </w:r>
      <w:r w:rsidRPr="00D22A15">
        <w:rPr>
          <w:rFonts w:ascii="Tahoma" w:hAnsi="Tahoma" w:cs="Tahoma"/>
          <w:sz w:val="20"/>
          <w:szCs w:val="20"/>
          <w:rtl/>
        </w:rPr>
        <w:t xml:space="preserve"> מוכר". שיעור </w:t>
      </w:r>
      <w:r w:rsidRPr="00D22A15">
        <w:rPr>
          <w:rFonts w:ascii="Tahoma" w:hAnsi="Tahoma" w:cs="Tahoma"/>
          <w:sz w:val="20"/>
          <w:szCs w:val="20"/>
          <w:rtl/>
        </w:rPr>
        <w:t>המיחזור</w:t>
      </w:r>
      <w:r w:rsidRPr="00D22A15">
        <w:rPr>
          <w:rFonts w:ascii="Tahoma" w:hAnsi="Tahoma" w:cs="Tahoma"/>
          <w:sz w:val="20"/>
          <w:szCs w:val="20"/>
          <w:rtl/>
        </w:rPr>
        <w:t xml:space="preserve"> נמדד על פי משקל האריזות שמוחזרות מתוך סך משקל האריזות החד-פעמיות מאותו סוג חומר שמכר היצרן או היבואן. בחוק זה הוגדרה אריזה גם כ"אריזה שנועדה לצורכי מכירה למשתמש סופי או לצרכן, בנקודת מכירה". מכלי המשקה הגדולים הם גם אריזות, בדרך כלל מפלסטיק. </w:t>
      </w:r>
    </w:p>
    <w:p w:rsidR="000930B3" w:rsidRPr="00D22A15" w:rsidP="005C4ABF" w14:paraId="3AF0CD6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כל אחד מהחוקים האמורים מטיל חובות על יצרנים ויבואנים של מכלי המשקה הגדולים. אגף חוקי אחריות יצרן מורחבת במשרד </w:t>
      </w:r>
      <w:r w:rsidRPr="00D22A15">
        <w:rPr>
          <w:rFonts w:ascii="Tahoma" w:hAnsi="Tahoma" w:cs="Tahoma"/>
          <w:sz w:val="20"/>
          <w:szCs w:val="20"/>
          <w:rtl/>
        </w:rPr>
        <w:t>להגנ"ס</w:t>
      </w:r>
      <w:r w:rsidRPr="00D22A15">
        <w:rPr>
          <w:rFonts w:ascii="Tahoma" w:hAnsi="Tahoma" w:cs="Tahoma"/>
          <w:sz w:val="20"/>
          <w:szCs w:val="20"/>
          <w:rtl/>
        </w:rPr>
        <w:t xml:space="preserve"> אחראי לאכיפת היישום של חוקים אלה. הממונה על אכיפת חוק הפיקדון (להלן - הממונה) הוא עובד המדינה שמינה השר </w:t>
      </w:r>
      <w:r w:rsidRPr="00D22A15">
        <w:rPr>
          <w:rFonts w:ascii="Tahoma" w:hAnsi="Tahoma" w:cs="Tahoma"/>
          <w:sz w:val="20"/>
          <w:szCs w:val="20"/>
          <w:rtl/>
        </w:rPr>
        <w:t>להגנ"ס</w:t>
      </w:r>
      <w:r w:rsidRPr="00D22A15">
        <w:rPr>
          <w:rFonts w:ascii="Tahoma" w:hAnsi="Tahoma" w:cs="Tahoma"/>
          <w:sz w:val="20"/>
          <w:szCs w:val="20"/>
          <w:rtl/>
        </w:rPr>
        <w:t>.</w:t>
      </w:r>
    </w:p>
    <w:p w:rsidR="000930B3" w:rsidRPr="00D22A15" w:rsidP="005C4ABF" w14:paraId="430408E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ב-19.10.20 הודיעה השרה </w:t>
      </w:r>
      <w:r w:rsidRPr="00D22A15">
        <w:rPr>
          <w:rFonts w:ascii="Tahoma" w:hAnsi="Tahoma" w:cs="Tahoma"/>
          <w:sz w:val="20"/>
          <w:szCs w:val="20"/>
          <w:rtl/>
        </w:rPr>
        <w:t>להגנ"ס</w:t>
      </w:r>
      <w:r w:rsidRPr="00D22A15">
        <w:rPr>
          <w:rFonts w:ascii="Tahoma" w:hAnsi="Tahoma" w:cs="Tahoma"/>
          <w:sz w:val="20"/>
          <w:szCs w:val="20"/>
          <w:rtl/>
        </w:rPr>
        <w:t xml:space="preserve"> על אי-עמידה ביעד האיסוף הקבוע בחוק הפיקדון של מכלי משקה גדולים לשנת 2016</w:t>
      </w:r>
      <w:r w:rsidRPr="00D22A15">
        <w:rPr>
          <w:rFonts w:ascii="Tahoma" w:hAnsi="Tahoma" w:cs="Tahoma"/>
          <w:spacing w:val="-38"/>
          <w:sz w:val="20"/>
          <w:szCs w:val="20"/>
          <w:rtl/>
        </w:rPr>
        <w:t xml:space="preserve"> </w:t>
      </w:r>
      <w:r>
        <w:rPr>
          <w:rFonts w:ascii="Tahoma" w:hAnsi="Tahoma" w:cs="Tahoma"/>
          <w:sz w:val="20"/>
          <w:szCs w:val="20"/>
          <w:vertAlign w:val="superscript"/>
          <w:rtl/>
        </w:rPr>
        <w:footnoteReference w:id="7"/>
      </w:r>
      <w:r w:rsidRPr="00D22A15">
        <w:rPr>
          <w:rFonts w:ascii="Tahoma" w:hAnsi="Tahoma" w:cs="Tahoma"/>
          <w:sz w:val="20"/>
          <w:szCs w:val="20"/>
          <w:rtl/>
        </w:rPr>
        <w:t>. בד בבד פרסמה השרה תזכיר צו להערות הציבור - צו הפיקדון על מכלי משקה (דחיית מועד תחולת החוק על מכלי משקה גדולים), התשפ"א-2020 (להלן - תזכיר הצו). תזכיר הצו דוחה את תחולת הוראות חוק הפיקדון על מכלי משקה גדולים עד תום שנה ממועד פרסומו. ביום 1.12.20 אישרה ועדת הכלכלה של הכנסת את תחולת הטלת הפיקדון על המכלים הגדולים החל מ-1.12.21. ב-2.11.20 הוגשה לבג"ץ</w:t>
      </w:r>
      <w:r>
        <w:rPr>
          <w:rFonts w:ascii="Tahoma" w:hAnsi="Tahoma" w:cs="Tahoma"/>
          <w:sz w:val="20"/>
          <w:szCs w:val="20"/>
          <w:vertAlign w:val="superscript"/>
          <w:rtl/>
        </w:rPr>
        <w:footnoteReference w:id="8"/>
      </w:r>
      <w:r w:rsidRPr="00D22A15">
        <w:rPr>
          <w:rFonts w:ascii="Tahoma" w:hAnsi="Tahoma" w:cs="Tahoma"/>
          <w:sz w:val="20"/>
          <w:szCs w:val="20"/>
          <w:rtl/>
        </w:rPr>
        <w:t xml:space="preserve"> עתירה למתן צו על תנאי המבקשת לבטל את הודעת השרה. ב-9.11.20 הוגשה לבג"ץ</w:t>
      </w:r>
      <w:r>
        <w:rPr>
          <w:rFonts w:ascii="Tahoma" w:hAnsi="Tahoma" w:cs="Tahoma"/>
          <w:sz w:val="20"/>
          <w:szCs w:val="20"/>
          <w:vertAlign w:val="superscript"/>
          <w:rtl/>
        </w:rPr>
        <w:footnoteReference w:id="9"/>
      </w:r>
      <w:r w:rsidRPr="00D22A15">
        <w:rPr>
          <w:rFonts w:ascii="Tahoma" w:hAnsi="Tahoma" w:cs="Tahoma"/>
          <w:sz w:val="20"/>
          <w:szCs w:val="20"/>
          <w:rtl/>
        </w:rPr>
        <w:t xml:space="preserve"> עתירה נוספת באותו נושא. הדיון בשתי העתירות אוחד וב-31.12.20 היו שתי העתירות תלויות ועומדות. </w:t>
      </w:r>
    </w:p>
    <w:p w:rsidR="000930B3" w:rsidRPr="00DA075D" w:rsidP="00DB519D" w14:paraId="0CD5AF9B" w14:textId="77777777">
      <w:pPr>
        <w:pStyle w:val="3"/>
        <w:rPr>
          <w:rtl/>
        </w:rPr>
      </w:pPr>
      <w:r w:rsidRPr="00DA075D">
        <w:rPr>
          <w:rtl/>
        </w:rPr>
        <w:t>פעולות הביקורת</w:t>
      </w:r>
    </w:p>
    <w:p w:rsidR="000930B3" w:rsidRPr="00D22A15" w:rsidP="005C4ABF" w14:paraId="7CBE773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בחודשים אוקטובר 2019 - ספטמבר 2020 בדק משרד מבקר המדינה היבטים בהחלת חוק הפיקדון על מכלי משקה. הביקורת נערכה במשרד </w:t>
      </w:r>
      <w:r w:rsidRPr="00D22A15">
        <w:rPr>
          <w:rFonts w:ascii="Tahoma" w:hAnsi="Tahoma" w:cs="Tahoma"/>
          <w:sz w:val="20"/>
          <w:szCs w:val="20"/>
          <w:rtl/>
        </w:rPr>
        <w:t>להגנ"ס</w:t>
      </w:r>
      <w:r w:rsidRPr="00D22A15">
        <w:rPr>
          <w:rFonts w:ascii="Tahoma" w:hAnsi="Tahoma" w:cs="Tahoma"/>
          <w:sz w:val="20"/>
          <w:szCs w:val="20"/>
          <w:rtl/>
        </w:rPr>
        <w:t>. בדיקות משלימות בוצעו ברשות התחרות</w:t>
      </w:r>
      <w:r>
        <w:rPr>
          <w:rFonts w:ascii="Tahoma" w:hAnsi="Tahoma" w:cs="Tahoma"/>
          <w:sz w:val="20"/>
          <w:szCs w:val="20"/>
          <w:vertAlign w:val="superscript"/>
          <w:rtl/>
        </w:rPr>
        <w:footnoteReference w:id="10"/>
      </w:r>
      <w:r w:rsidRPr="00D22A15">
        <w:rPr>
          <w:rFonts w:ascii="Tahoma" w:hAnsi="Tahoma" w:cs="Tahoma"/>
          <w:sz w:val="20"/>
          <w:szCs w:val="20"/>
          <w:rtl/>
        </w:rPr>
        <w:t>, ברשות המיסים בישראל (להלן - רשות המיסים), במשרד הכלכלה והתעשייה (להלן - משרד הכלכלה) ובמרכז השלטון המקומי</w:t>
      </w:r>
      <w:r>
        <w:rPr>
          <w:rFonts w:ascii="Tahoma" w:hAnsi="Tahoma" w:cs="Tahoma"/>
          <w:sz w:val="20"/>
          <w:szCs w:val="20"/>
          <w:vertAlign w:val="superscript"/>
          <w:rtl/>
        </w:rPr>
        <w:footnoteReference w:id="11"/>
      </w:r>
      <w:r w:rsidRPr="00D22A15">
        <w:rPr>
          <w:rFonts w:ascii="Tahoma" w:hAnsi="Tahoma" w:cs="Tahoma"/>
          <w:sz w:val="20"/>
          <w:szCs w:val="20"/>
          <w:rtl/>
        </w:rPr>
        <w:t>.</w:t>
      </w:r>
    </w:p>
    <w:p w:rsidR="000930B3" w:rsidRPr="00DA075D" w:rsidP="00DB519D" w14:paraId="31EF813F" w14:textId="77777777">
      <w:pPr>
        <w:pStyle w:val="3"/>
        <w:rPr>
          <w:rtl/>
        </w:rPr>
      </w:pPr>
      <w:r w:rsidRPr="00DA075D">
        <w:rPr>
          <w:rtl/>
        </w:rPr>
        <w:t xml:space="preserve">הטיפול בפסולת </w:t>
      </w:r>
      <w:r w:rsidRPr="00DA075D">
        <w:rPr>
          <w:rtl/>
        </w:rPr>
        <w:t>והמיחזור</w:t>
      </w:r>
      <w:r w:rsidRPr="00DA075D">
        <w:rPr>
          <w:rtl/>
        </w:rPr>
        <w:t xml:space="preserve"> בישראל ובעולם</w:t>
      </w:r>
    </w:p>
    <w:p w:rsidR="000930B3" w:rsidRPr="00D22A15" w:rsidP="005C4ABF" w14:paraId="4C3E1DD6" w14:textId="67318D73">
      <w:pPr>
        <w:pStyle w:val="a5"/>
        <w:spacing w:before="120" w:after="120" w:line="320" w:lineRule="atLeast"/>
        <w:rPr>
          <w:rFonts w:ascii="Tahoma" w:hAnsi="Tahoma" w:cs="Tahoma"/>
          <w:sz w:val="20"/>
          <w:szCs w:val="20"/>
        </w:rPr>
      </w:pPr>
      <w:r w:rsidRPr="009A293E">
        <w:rPr>
          <w:rStyle w:val="50"/>
          <w:rFonts w:ascii="Tahoma" w:hAnsi="Tahoma" w:cs="Tahoma"/>
          <w:b/>
          <w:bCs/>
          <w:rtl/>
        </w:rPr>
        <w:t>ייצור פסולת ביתית:</w:t>
      </w:r>
      <w:r w:rsidRPr="00D22A15">
        <w:rPr>
          <w:rFonts w:ascii="Tahoma" w:hAnsi="Tahoma" w:cs="Tahoma"/>
          <w:sz w:val="20"/>
          <w:szCs w:val="20"/>
          <w:rtl/>
        </w:rPr>
        <w:t xml:space="preserve"> על פי נתוני ה-</w:t>
      </w:r>
      <w:r w:rsidRPr="00D22A15">
        <w:rPr>
          <w:rFonts w:ascii="Tahoma" w:hAnsi="Tahoma" w:cs="Tahoma"/>
          <w:sz w:val="20"/>
          <w:szCs w:val="20"/>
        </w:rPr>
        <w:t>OECD</w:t>
      </w:r>
      <w:r w:rsidRPr="00D22A15">
        <w:rPr>
          <w:rFonts w:ascii="Tahoma" w:hAnsi="Tahoma" w:cs="Tahoma"/>
          <w:sz w:val="20"/>
          <w:szCs w:val="20"/>
          <w:rtl/>
        </w:rPr>
        <w:t>, בשנת 2018 עמד משקל הפסולת הממוצע לנפש במדינות ה-</w:t>
      </w:r>
      <w:r w:rsidRPr="00D22A15">
        <w:rPr>
          <w:rFonts w:ascii="Tahoma" w:hAnsi="Tahoma" w:cs="Tahoma"/>
          <w:sz w:val="20"/>
          <w:szCs w:val="20"/>
        </w:rPr>
        <w:t>OECD</w:t>
      </w:r>
      <w:r w:rsidRPr="00D22A15">
        <w:rPr>
          <w:rFonts w:ascii="Tahoma" w:hAnsi="Tahoma" w:cs="Tahoma"/>
          <w:sz w:val="20"/>
          <w:szCs w:val="20"/>
          <w:rtl/>
        </w:rPr>
        <w:t xml:space="preserve"> על כ-525 ק"ג לשנה ובמדינות ה-</w:t>
      </w:r>
      <w:r w:rsidRPr="00D22A15">
        <w:rPr>
          <w:rFonts w:ascii="Tahoma" w:hAnsi="Tahoma" w:cs="Tahoma"/>
          <w:sz w:val="20"/>
          <w:szCs w:val="20"/>
        </w:rPr>
        <w:t>OECD</w:t>
      </w:r>
      <w:r w:rsidRPr="00D22A15">
        <w:rPr>
          <w:rFonts w:ascii="Tahoma" w:hAnsi="Tahoma" w:cs="Tahoma"/>
          <w:sz w:val="20"/>
          <w:szCs w:val="20"/>
          <w:rtl/>
        </w:rPr>
        <w:t xml:space="preserve"> האירופיות</w:t>
      </w:r>
      <w:r>
        <w:rPr>
          <w:rFonts w:ascii="Tahoma" w:hAnsi="Tahoma" w:cs="Tahoma"/>
          <w:sz w:val="20"/>
          <w:szCs w:val="20"/>
          <w:vertAlign w:val="superscript"/>
          <w:rtl/>
        </w:rPr>
        <w:footnoteReference w:id="12"/>
      </w:r>
      <w:r w:rsidRPr="00D22A15">
        <w:rPr>
          <w:rFonts w:ascii="Tahoma" w:hAnsi="Tahoma" w:cs="Tahoma"/>
          <w:sz w:val="20"/>
          <w:szCs w:val="20"/>
          <w:rtl/>
        </w:rPr>
        <w:t xml:space="preserve"> על כ-494 ק"ג לשנה. על פי הנתונים, באותה השנה עמד משקל הפסולת לנפש בישראל על כ-675 ק"ג. </w:t>
      </w:r>
    </w:p>
    <w:p w:rsidR="000930B3" w:rsidRPr="00DA075D" w:rsidP="008E06C5" w14:paraId="060B6D51" w14:textId="77777777">
      <w:pPr>
        <w:pStyle w:val="RESHET"/>
        <w:rPr>
          <w:rtl/>
        </w:rPr>
      </w:pPr>
      <w:r w:rsidRPr="00DA075D">
        <w:rPr>
          <w:rtl/>
        </w:rPr>
        <w:t>מהאמור עולה כי משקל הפסולת לנפש בישראל בשנת 2018 היה גבוה בכ-29% מהממוצע במדינות ה-</w:t>
      </w:r>
      <w:r w:rsidRPr="001303CB">
        <w:rPr>
          <w:sz w:val="20"/>
        </w:rPr>
        <w:t>OECD</w:t>
      </w:r>
      <w:r w:rsidRPr="00DA075D">
        <w:rPr>
          <w:rtl/>
        </w:rPr>
        <w:t>, ובכ-37% מהממוצע במדינות ה-</w:t>
      </w:r>
      <w:r w:rsidRPr="001303CB">
        <w:rPr>
          <w:sz w:val="20"/>
        </w:rPr>
        <w:t>OECD</w:t>
      </w:r>
      <w:r w:rsidRPr="00DA075D">
        <w:rPr>
          <w:rtl/>
        </w:rPr>
        <w:t xml:space="preserve"> האירופיות. </w:t>
      </w:r>
    </w:p>
    <w:p w:rsidR="000930B3" w:rsidRPr="00D22A15" w:rsidP="005C4ABF" w14:paraId="7F6D765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ניתוח נתוני הפסולת ונתוני התוצר המקומי הגולמי (להלן - תמ"ג) לנפש במדינות ה-</w:t>
      </w:r>
      <w:r w:rsidRPr="00D22A15">
        <w:rPr>
          <w:rFonts w:ascii="Tahoma" w:hAnsi="Tahoma" w:cs="Tahoma"/>
          <w:sz w:val="20"/>
          <w:szCs w:val="20"/>
        </w:rPr>
        <w:t>OECD</w:t>
      </w:r>
      <w:r w:rsidRPr="00D22A15">
        <w:rPr>
          <w:rFonts w:ascii="Tahoma" w:hAnsi="Tahoma" w:cs="Tahoma"/>
          <w:sz w:val="20"/>
          <w:szCs w:val="20"/>
          <w:rtl/>
        </w:rPr>
        <w:t xml:space="preserve"> מעלה כי קיים מתאם חיובי בין </w:t>
      </w:r>
      <w:r w:rsidRPr="00D22A15">
        <w:rPr>
          <w:rFonts w:ascii="Tahoma" w:hAnsi="Tahoma" w:cs="Tahoma"/>
          <w:sz w:val="20"/>
          <w:szCs w:val="20"/>
          <w:rtl/>
        </w:rPr>
        <w:t>התמ"ג</w:t>
      </w:r>
      <w:r w:rsidRPr="00D22A15">
        <w:rPr>
          <w:rFonts w:ascii="Tahoma" w:hAnsi="Tahoma" w:cs="Tahoma"/>
          <w:sz w:val="20"/>
          <w:szCs w:val="20"/>
          <w:rtl/>
        </w:rPr>
        <w:t xml:space="preserve"> לנפש לבין משקל הפסולת הביתית לנפש, כפי שניתן לראות להלן בתרשים 2. אולם אף שבשנת 2017 היה </w:t>
      </w:r>
      <w:r w:rsidRPr="00D22A15">
        <w:rPr>
          <w:rFonts w:ascii="Tahoma" w:hAnsi="Tahoma" w:cs="Tahoma"/>
          <w:sz w:val="20"/>
          <w:szCs w:val="20"/>
          <w:rtl/>
        </w:rPr>
        <w:t>התמ"ג</w:t>
      </w:r>
      <w:r w:rsidRPr="00D22A15">
        <w:rPr>
          <w:rFonts w:ascii="Tahoma" w:hAnsi="Tahoma" w:cs="Tahoma"/>
          <w:sz w:val="20"/>
          <w:szCs w:val="20"/>
          <w:rtl/>
        </w:rPr>
        <w:t xml:space="preserve"> לנפש בישראל נמוך מהממוצע ב-</w:t>
      </w:r>
      <w:r w:rsidRPr="00D22A15">
        <w:rPr>
          <w:rFonts w:ascii="Tahoma" w:hAnsi="Tahoma" w:cs="Tahoma"/>
          <w:sz w:val="20"/>
          <w:szCs w:val="20"/>
        </w:rPr>
        <w:t>OECD</w:t>
      </w:r>
      <w:r w:rsidRPr="00D22A15">
        <w:rPr>
          <w:rFonts w:ascii="Tahoma" w:hAnsi="Tahoma" w:cs="Tahoma"/>
          <w:sz w:val="20"/>
          <w:szCs w:val="20"/>
          <w:rtl/>
        </w:rPr>
        <w:t xml:space="preserve"> בכ-12% ומהממוצע במדינות ה-</w:t>
      </w:r>
      <w:r w:rsidRPr="00D22A15">
        <w:rPr>
          <w:rFonts w:ascii="Tahoma" w:hAnsi="Tahoma" w:cs="Tahoma"/>
          <w:sz w:val="20"/>
          <w:szCs w:val="20"/>
        </w:rPr>
        <w:t>OECD</w:t>
      </w:r>
      <w:r w:rsidRPr="00D22A15">
        <w:rPr>
          <w:rFonts w:ascii="Tahoma" w:hAnsi="Tahoma" w:cs="Tahoma"/>
          <w:sz w:val="20"/>
          <w:szCs w:val="20"/>
          <w:rtl/>
        </w:rPr>
        <w:t xml:space="preserve"> האירופיות בכ-9%, משקל הפסולת לנפש היה גבוה בשיעורים ניכרים כאמור לעיל. </w:t>
      </w:r>
    </w:p>
    <w:p w:rsidR="000930B3" w:rsidRPr="008912CB" w:rsidP="00AD02C3" w14:paraId="3A5F86D8" w14:textId="45B5C9D6">
      <w:pPr>
        <w:pStyle w:val="a1"/>
        <w:spacing w:line="320" w:lineRule="atLeast"/>
        <w:rPr>
          <w:rFonts w:hint="cs"/>
          <w:rtl/>
        </w:rPr>
      </w:pPr>
      <w:r w:rsidRPr="008912CB">
        <w:rPr>
          <w:b w:val="0"/>
          <w:bCs w:val="0"/>
          <w:rtl/>
        </w:rPr>
        <w:t xml:space="preserve">תרשים 2: </w:t>
      </w:r>
      <w:r w:rsidRPr="008912CB">
        <w:rPr>
          <w:rtl/>
        </w:rPr>
        <w:t xml:space="preserve">תמ"ג לנפש ומשקל פסולת לנפש במדינות שונות </w:t>
      </w:r>
      <w:r w:rsidR="008912CB">
        <w:rPr>
          <w:rFonts w:hint="cs"/>
          <w:rtl/>
        </w:rPr>
        <w:t>ב-</w:t>
      </w:r>
      <w:r w:rsidR="008912CB">
        <w:t>OECD</w:t>
      </w:r>
      <w:r w:rsidR="008912CB">
        <w:rPr>
          <w:rFonts w:hint="cs"/>
          <w:rtl/>
        </w:rPr>
        <w:t>, 2017</w:t>
      </w:r>
    </w:p>
    <w:p w:rsidR="000930B3" w:rsidRPr="001230FC" w:rsidP="005C4ABF" w14:paraId="7DC4D48C" w14:textId="3F4D643B">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80416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26064" name="Picture 13"/>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04166"/>
                    </a:xfrm>
                    <a:prstGeom prst="rect">
                      <a:avLst/>
                    </a:prstGeom>
                  </pic:spPr>
                </pic:pic>
              </a:graphicData>
            </a:graphic>
          </wp:inline>
        </w:drawing>
      </w:r>
    </w:p>
    <w:p w:rsidR="000930B3" w:rsidRPr="00DA075D" w:rsidP="006C5FF5" w14:paraId="031AF506" w14:textId="77777777">
      <w:pPr>
        <w:pStyle w:val="text-source"/>
        <w:rPr>
          <w:rtl/>
        </w:rPr>
      </w:pPr>
      <w:r w:rsidRPr="00DA075D">
        <w:rPr>
          <w:rtl/>
        </w:rPr>
        <w:t xml:space="preserve">על פי נתוני </w:t>
      </w:r>
      <w:r w:rsidRPr="00DA075D">
        <w:t>OECD</w:t>
      </w:r>
      <w:r w:rsidRPr="00DA075D">
        <w:rPr>
          <w:rtl/>
        </w:rPr>
        <w:t>, בעיבוד משרד מבקר המדינה.</w:t>
      </w:r>
    </w:p>
    <w:p w:rsidR="000930B3" w:rsidRPr="00D22A15" w:rsidP="005C4ABF" w14:paraId="3C36ABE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בשנים 2000 עד 2018 היה משקל הפסולת הממוצע לנפש ב-</w:t>
      </w:r>
      <w:r w:rsidRPr="00D22A15">
        <w:rPr>
          <w:rFonts w:ascii="Tahoma" w:hAnsi="Tahoma" w:cs="Tahoma"/>
          <w:sz w:val="20"/>
          <w:szCs w:val="20"/>
        </w:rPr>
        <w:t>OECD</w:t>
      </w:r>
      <w:r w:rsidRPr="00D22A15">
        <w:rPr>
          <w:rFonts w:ascii="Tahoma" w:hAnsi="Tahoma" w:cs="Tahoma"/>
          <w:sz w:val="20"/>
          <w:szCs w:val="20"/>
          <w:rtl/>
        </w:rPr>
        <w:t xml:space="preserve"> במגמת ירידה, ואילו בישראל עלה משקלה בכ-1.2%. להלן בתרשים 3 ניתן לראות את משקל הפסולת לנפש בישראל, את משקל הפסולת לנפש בספרד ובצ'כיה שלהן תמ"ג לנפש הדומה לזה של ישראל ואת המשקל הממוצע ב-</w:t>
      </w:r>
      <w:r w:rsidRPr="00D22A15">
        <w:rPr>
          <w:rFonts w:ascii="Tahoma" w:hAnsi="Tahoma" w:cs="Tahoma"/>
          <w:sz w:val="20"/>
          <w:szCs w:val="20"/>
        </w:rPr>
        <w:t>OECD</w:t>
      </w:r>
      <w:r w:rsidRPr="00D22A15">
        <w:rPr>
          <w:rFonts w:ascii="Tahoma" w:hAnsi="Tahoma" w:cs="Tahoma"/>
          <w:sz w:val="20"/>
          <w:szCs w:val="20"/>
          <w:rtl/>
        </w:rPr>
        <w:t xml:space="preserve"> ובמדינות אירופיות החברות ב-</w:t>
      </w:r>
      <w:r w:rsidRPr="00D22A15">
        <w:rPr>
          <w:rFonts w:ascii="Tahoma" w:hAnsi="Tahoma" w:cs="Tahoma"/>
          <w:sz w:val="20"/>
          <w:szCs w:val="20"/>
        </w:rPr>
        <w:t>OECD</w:t>
      </w:r>
      <w:r w:rsidRPr="00D22A15">
        <w:rPr>
          <w:rFonts w:ascii="Tahoma" w:hAnsi="Tahoma" w:cs="Tahoma"/>
          <w:sz w:val="20"/>
          <w:szCs w:val="20"/>
          <w:rtl/>
        </w:rPr>
        <w:t>, בשנים 2000 - 2018.</w:t>
      </w:r>
    </w:p>
    <w:p w:rsidR="000930B3" w:rsidRPr="00DA075D" w:rsidP="00AD02C3" w14:paraId="2B7D3CA3" w14:textId="4F4BF30B">
      <w:pPr>
        <w:pStyle w:val="a1"/>
        <w:spacing w:line="320" w:lineRule="atLeast"/>
        <w:rPr>
          <w:rtl/>
        </w:rPr>
      </w:pPr>
      <w:r w:rsidRPr="00D22A15">
        <w:rPr>
          <w:b w:val="0"/>
          <w:bCs w:val="0"/>
          <w:rtl/>
        </w:rPr>
        <w:t xml:space="preserve">תרשים 3: </w:t>
      </w:r>
      <w:r w:rsidRPr="00DA075D">
        <w:rPr>
          <w:rtl/>
        </w:rPr>
        <w:t xml:space="preserve">משקל פסולת ביתית לנפש, לפי מדינות, 2000 - 2018 </w:t>
      </w:r>
    </w:p>
    <w:p w:rsidR="000930B3" w:rsidRPr="001230FC" w:rsidP="005C4ABF" w14:paraId="7E8C07D0" w14:textId="41F3FE98">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718822"/>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4876" name="Picture 14"/>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18822"/>
                    </a:xfrm>
                    <a:prstGeom prst="rect">
                      <a:avLst/>
                    </a:prstGeom>
                  </pic:spPr>
                </pic:pic>
              </a:graphicData>
            </a:graphic>
          </wp:inline>
        </w:drawing>
      </w:r>
    </w:p>
    <w:p w:rsidR="000930B3" w:rsidRPr="00DA075D" w:rsidP="006C5FF5" w14:paraId="5D14A528" w14:textId="77777777">
      <w:pPr>
        <w:pStyle w:val="text-source"/>
        <w:rPr>
          <w:rtl/>
        </w:rPr>
      </w:pPr>
      <w:r w:rsidRPr="00DA075D">
        <w:rPr>
          <w:rtl/>
        </w:rPr>
        <w:t xml:space="preserve">על פי נתוני </w:t>
      </w:r>
      <w:r w:rsidRPr="00DA075D">
        <w:rPr>
          <w:rStyle w:val="a8"/>
          <w:rFonts w:ascii="Tahoma" w:hAnsi="Tahoma" w:cs="Tahoma"/>
          <w:caps/>
        </w:rPr>
        <w:t>oecd</w:t>
      </w:r>
      <w:r w:rsidRPr="00DA075D">
        <w:rPr>
          <w:rStyle w:val="a8"/>
          <w:rFonts w:ascii="Tahoma" w:hAnsi="Tahoma" w:cs="Tahoma"/>
          <w:caps/>
          <w:spacing w:val="-51"/>
          <w:rtl/>
        </w:rPr>
        <w:t xml:space="preserve"> </w:t>
      </w:r>
      <w:r>
        <w:rPr>
          <w:vertAlign w:val="superscript"/>
          <w:rtl/>
        </w:rPr>
        <w:footnoteReference w:id="13"/>
      </w:r>
      <w:r w:rsidRPr="00DA075D">
        <w:rPr>
          <w:rtl/>
        </w:rPr>
        <w:t>, בעיבוד משרד מבקר המדינה.</w:t>
      </w:r>
    </w:p>
    <w:p w:rsidR="000930B3" w:rsidRPr="00D22A15" w:rsidP="005C4ABF" w14:paraId="7C10CD43" w14:textId="77777777">
      <w:pPr>
        <w:pStyle w:val="a5"/>
        <w:spacing w:before="120" w:after="120" w:line="320" w:lineRule="atLeast"/>
        <w:rPr>
          <w:rFonts w:ascii="Tahoma" w:hAnsi="Tahoma" w:cs="Tahoma"/>
          <w:sz w:val="20"/>
          <w:szCs w:val="20"/>
          <w:rtl/>
        </w:rPr>
      </w:pPr>
      <w:r w:rsidRPr="009A293E">
        <w:rPr>
          <w:rStyle w:val="50"/>
          <w:rFonts w:ascii="Tahoma" w:hAnsi="Tahoma" w:cs="Tahoma"/>
          <w:b/>
          <w:bCs/>
          <w:rtl/>
        </w:rPr>
        <w:t>מיחזור</w:t>
      </w:r>
      <w:r w:rsidRPr="009A293E">
        <w:rPr>
          <w:rStyle w:val="50"/>
          <w:rFonts w:ascii="Tahoma" w:hAnsi="Tahoma" w:cs="Tahoma"/>
          <w:b/>
          <w:bCs/>
          <w:rtl/>
        </w:rPr>
        <w:t xml:space="preserve"> פסולת ביתית:</w:t>
      </w:r>
      <w:r w:rsidRPr="00D22A15">
        <w:rPr>
          <w:rFonts w:ascii="Tahoma" w:hAnsi="Tahoma" w:cs="Tahoma"/>
          <w:sz w:val="20"/>
          <w:szCs w:val="20"/>
          <w:rtl/>
        </w:rPr>
        <w:t xml:space="preserve"> הטמנה אינה שיטה רצויה לטיפול בפסולת</w:t>
      </w:r>
      <w:r>
        <w:rPr>
          <w:rFonts w:ascii="Tahoma" w:hAnsi="Tahoma" w:cs="Tahoma"/>
          <w:sz w:val="20"/>
          <w:szCs w:val="20"/>
          <w:vertAlign w:val="superscript"/>
          <w:rtl/>
        </w:rPr>
        <w:footnoteReference w:id="14"/>
      </w:r>
      <w:r w:rsidRPr="00D22A15">
        <w:rPr>
          <w:rFonts w:ascii="Tahoma" w:hAnsi="Tahoma" w:cs="Tahoma"/>
          <w:sz w:val="20"/>
          <w:szCs w:val="20"/>
          <w:rtl/>
        </w:rPr>
        <w:t xml:space="preserve">. שיעור </w:t>
      </w:r>
      <w:r w:rsidRPr="00D22A15">
        <w:rPr>
          <w:rFonts w:ascii="Tahoma" w:hAnsi="Tahoma" w:cs="Tahoma"/>
          <w:sz w:val="20"/>
          <w:szCs w:val="20"/>
          <w:rtl/>
        </w:rPr>
        <w:t>המיחזור</w:t>
      </w:r>
      <w:r w:rsidRPr="00D22A15">
        <w:rPr>
          <w:rFonts w:ascii="Tahoma" w:hAnsi="Tahoma" w:cs="Tahoma"/>
          <w:sz w:val="20"/>
          <w:szCs w:val="20"/>
          <w:rtl/>
        </w:rPr>
        <w:t xml:space="preserve"> בישראל נמוך ביחס לשיעור </w:t>
      </w:r>
      <w:r w:rsidRPr="00D22A15">
        <w:rPr>
          <w:rFonts w:ascii="Tahoma" w:hAnsi="Tahoma" w:cs="Tahoma"/>
          <w:sz w:val="20"/>
          <w:szCs w:val="20"/>
          <w:rtl/>
        </w:rPr>
        <w:t>המיחזור</w:t>
      </w:r>
      <w:r w:rsidRPr="00D22A15">
        <w:rPr>
          <w:rFonts w:ascii="Tahoma" w:hAnsi="Tahoma" w:cs="Tahoma"/>
          <w:sz w:val="20"/>
          <w:szCs w:val="20"/>
          <w:rtl/>
        </w:rPr>
        <w:t xml:space="preserve"> במדינות ה-</w:t>
      </w:r>
      <w:r w:rsidRPr="00D22A15">
        <w:rPr>
          <w:rFonts w:ascii="Tahoma" w:hAnsi="Tahoma" w:cs="Tahoma"/>
          <w:sz w:val="20"/>
          <w:szCs w:val="20"/>
        </w:rPr>
        <w:t>OECD</w:t>
      </w:r>
      <w:r w:rsidRPr="00D22A15">
        <w:rPr>
          <w:rFonts w:ascii="Tahoma" w:hAnsi="Tahoma" w:cs="Tahoma"/>
          <w:sz w:val="20"/>
          <w:szCs w:val="20"/>
          <w:rtl/>
        </w:rPr>
        <w:t>. בשנת 2018 במדינות ה-</w:t>
      </w:r>
      <w:r w:rsidRPr="00D22A15">
        <w:rPr>
          <w:rFonts w:ascii="Tahoma" w:hAnsi="Tahoma" w:cs="Tahoma"/>
          <w:sz w:val="20"/>
          <w:szCs w:val="20"/>
        </w:rPr>
        <w:t>OECD</w:t>
      </w:r>
      <w:r w:rsidRPr="00D22A15">
        <w:rPr>
          <w:rFonts w:ascii="Tahoma" w:hAnsi="Tahoma" w:cs="Tahoma"/>
          <w:sz w:val="20"/>
          <w:szCs w:val="20"/>
          <w:rtl/>
        </w:rPr>
        <w:t xml:space="preserve"> ובמדינות האירופיות שב-</w:t>
      </w:r>
      <w:r w:rsidRPr="00D22A15">
        <w:rPr>
          <w:rFonts w:ascii="Tahoma" w:hAnsi="Tahoma" w:cs="Tahoma"/>
          <w:sz w:val="20"/>
          <w:szCs w:val="20"/>
        </w:rPr>
        <w:t>OECD</w:t>
      </w:r>
      <w:r w:rsidRPr="00D22A15">
        <w:rPr>
          <w:rFonts w:ascii="Tahoma" w:hAnsi="Tahoma" w:cs="Tahoma"/>
          <w:sz w:val="20"/>
          <w:szCs w:val="20"/>
          <w:rtl/>
        </w:rPr>
        <w:t xml:space="preserve"> מוחזרו 26% ו-29% מהפסולת הביתית, בהתאמה. על פי ה-</w:t>
      </w:r>
      <w:r w:rsidRPr="00D22A15">
        <w:rPr>
          <w:rFonts w:ascii="Tahoma" w:hAnsi="Tahoma" w:cs="Tahoma"/>
          <w:sz w:val="20"/>
          <w:szCs w:val="20"/>
        </w:rPr>
        <w:t>OECD</w:t>
      </w:r>
      <w:r w:rsidRPr="00D22A15">
        <w:rPr>
          <w:rFonts w:ascii="Tahoma" w:hAnsi="Tahoma" w:cs="Tahoma"/>
          <w:sz w:val="20"/>
          <w:szCs w:val="20"/>
          <w:rtl/>
        </w:rPr>
        <w:t xml:space="preserve">, בישראל מוחזרו באותה שנה 7% מהפסולת הביתית בלבד. </w:t>
      </w:r>
    </w:p>
    <w:p w:rsidR="000930B3" w:rsidRPr="00DA075D" w:rsidP="00AD02C3" w14:paraId="22DC4DEE" w14:textId="37F82544">
      <w:pPr>
        <w:pStyle w:val="a1"/>
        <w:spacing w:line="320" w:lineRule="atLeast"/>
        <w:rPr>
          <w:rtl/>
        </w:rPr>
      </w:pPr>
      <w:r w:rsidRPr="00D22A15">
        <w:rPr>
          <w:b w:val="0"/>
          <w:bCs w:val="0"/>
          <w:rtl/>
        </w:rPr>
        <w:t xml:space="preserve">תרשים 4: </w:t>
      </w:r>
      <w:r w:rsidRPr="00DA075D">
        <w:rPr>
          <w:rtl/>
        </w:rPr>
        <w:t xml:space="preserve">שיעור </w:t>
      </w:r>
      <w:r w:rsidRPr="00DA075D">
        <w:rPr>
          <w:rtl/>
        </w:rPr>
        <w:t>מיחזור</w:t>
      </w:r>
      <w:r w:rsidRPr="00DA075D">
        <w:rPr>
          <w:rtl/>
        </w:rPr>
        <w:t xml:space="preserve"> הפסולת הביתית, לפי מדינות, 2013 - 2018 </w:t>
      </w:r>
    </w:p>
    <w:p w:rsidR="000930B3" w:rsidRPr="001230FC" w:rsidP="005C4ABF" w14:paraId="78A66CBD" w14:textId="34751597">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676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320" name="Picture 1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676149"/>
                    </a:xfrm>
                    <a:prstGeom prst="rect">
                      <a:avLst/>
                    </a:prstGeom>
                  </pic:spPr>
                </pic:pic>
              </a:graphicData>
            </a:graphic>
          </wp:inline>
        </w:drawing>
      </w:r>
    </w:p>
    <w:p w:rsidR="000930B3" w:rsidRPr="00DA075D" w:rsidP="006C5FF5" w14:paraId="23A6813A" w14:textId="2BF040EA">
      <w:pPr>
        <w:pStyle w:val="text-source"/>
        <w:rPr>
          <w:rtl/>
        </w:rPr>
      </w:pPr>
      <w:r w:rsidRPr="00DA075D">
        <w:rPr>
          <w:rtl/>
        </w:rPr>
        <w:t>על פי נתוני ה-</w:t>
      </w:r>
      <w:r w:rsidRPr="00A8502C" w:rsidR="00A8502C">
        <w:rPr>
          <w:sz w:val="4"/>
          <w:szCs w:val="4"/>
        </w:rPr>
        <w:t xml:space="preserve"> </w:t>
      </w:r>
      <w:r w:rsidRPr="00DA075D" w:rsidR="00A8502C">
        <w:t>OECD</w:t>
      </w:r>
      <w:r w:rsidRPr="00DA075D" w:rsidR="00A8502C">
        <w:rPr>
          <w:vertAlign w:val="superscript"/>
          <w:rtl/>
        </w:rPr>
        <w:t xml:space="preserve"> </w:t>
      </w:r>
      <w:r>
        <w:rPr>
          <w:vertAlign w:val="superscript"/>
          <w:rtl/>
        </w:rPr>
        <w:footnoteReference w:id="15"/>
      </w:r>
      <w:r w:rsidRPr="00DA075D">
        <w:rPr>
          <w:rtl/>
        </w:rPr>
        <w:t>, בעיבוד משרד מבקר המדינה.</w:t>
      </w:r>
    </w:p>
    <w:p w:rsidR="000930B3" w:rsidRPr="00D22A15" w:rsidP="005C4ABF" w14:paraId="45B85D9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בתרשים לעיל ניתן לראות כי במדינות ה-</w:t>
      </w:r>
      <w:r w:rsidRPr="00D22A15">
        <w:rPr>
          <w:rFonts w:ascii="Tahoma" w:hAnsi="Tahoma" w:cs="Tahoma"/>
          <w:sz w:val="20"/>
          <w:szCs w:val="20"/>
        </w:rPr>
        <w:t>OECD</w:t>
      </w:r>
      <w:r w:rsidRPr="00D22A15">
        <w:rPr>
          <w:rFonts w:ascii="Tahoma" w:hAnsi="Tahoma" w:cs="Tahoma"/>
          <w:sz w:val="20"/>
          <w:szCs w:val="20"/>
          <w:rtl/>
        </w:rPr>
        <w:t xml:space="preserve"> ניכרת עלייה הדרגתית בשיעורי </w:t>
      </w:r>
      <w:r w:rsidRPr="00D22A15">
        <w:rPr>
          <w:rFonts w:ascii="Tahoma" w:hAnsi="Tahoma" w:cs="Tahoma"/>
          <w:sz w:val="20"/>
          <w:szCs w:val="20"/>
          <w:rtl/>
        </w:rPr>
        <w:t>המיחזור</w:t>
      </w:r>
      <w:r w:rsidRPr="00D22A15">
        <w:rPr>
          <w:rFonts w:ascii="Tahoma" w:hAnsi="Tahoma" w:cs="Tahoma"/>
          <w:sz w:val="20"/>
          <w:szCs w:val="20"/>
          <w:rtl/>
        </w:rPr>
        <w:t xml:space="preserve"> בין השנים 2013 - 2018, ואילו בישראל לא חלה עלייה בשיעור </w:t>
      </w:r>
      <w:r w:rsidRPr="00D22A15">
        <w:rPr>
          <w:rFonts w:ascii="Tahoma" w:hAnsi="Tahoma" w:cs="Tahoma"/>
          <w:sz w:val="20"/>
          <w:szCs w:val="20"/>
          <w:rtl/>
        </w:rPr>
        <w:t>המיחזור</w:t>
      </w:r>
      <w:r w:rsidRPr="00D22A15">
        <w:rPr>
          <w:rFonts w:ascii="Tahoma" w:hAnsi="Tahoma" w:cs="Tahoma"/>
          <w:sz w:val="20"/>
          <w:szCs w:val="20"/>
          <w:rtl/>
        </w:rPr>
        <w:t xml:space="preserve"> בשנים האמורות.</w:t>
      </w:r>
    </w:p>
    <w:p w:rsidR="000930B3" w:rsidRPr="00D22A15" w:rsidP="005C4ABF" w14:paraId="4CEA792A" w14:textId="77777777">
      <w:pPr>
        <w:pStyle w:val="a5"/>
        <w:spacing w:before="120" w:after="120" w:line="320" w:lineRule="atLeast"/>
        <w:rPr>
          <w:rFonts w:ascii="Tahoma" w:hAnsi="Tahoma" w:cs="Tahoma"/>
          <w:sz w:val="20"/>
          <w:szCs w:val="20"/>
          <w:rtl/>
        </w:rPr>
      </w:pPr>
      <w:r w:rsidRPr="009A293E">
        <w:rPr>
          <w:rStyle w:val="50"/>
          <w:rFonts w:ascii="Tahoma" w:hAnsi="Tahoma" w:cs="Tahoma"/>
          <w:b/>
          <w:bCs/>
          <w:sz w:val="22"/>
          <w:szCs w:val="20"/>
          <w:rtl/>
        </w:rPr>
        <w:t>הטמנת פסולת ביתית:</w:t>
      </w:r>
      <w:r w:rsidRPr="009A293E">
        <w:rPr>
          <w:rFonts w:ascii="Tahoma" w:hAnsi="Tahoma" w:cs="Tahoma"/>
          <w:sz w:val="22"/>
          <w:szCs w:val="22"/>
          <w:rtl/>
        </w:rPr>
        <w:t xml:space="preserve"> </w:t>
      </w:r>
      <w:r w:rsidRPr="00D22A15">
        <w:rPr>
          <w:rFonts w:ascii="Tahoma" w:hAnsi="Tahoma" w:cs="Tahoma"/>
          <w:sz w:val="20"/>
          <w:szCs w:val="20"/>
          <w:rtl/>
        </w:rPr>
        <w:t>מבקר מדינה העיר בעבר</w:t>
      </w:r>
      <w:r>
        <w:rPr>
          <w:rFonts w:ascii="Tahoma" w:hAnsi="Tahoma" w:cs="Tahoma"/>
          <w:sz w:val="20"/>
          <w:szCs w:val="20"/>
          <w:vertAlign w:val="superscript"/>
          <w:rtl/>
        </w:rPr>
        <w:footnoteReference w:id="16"/>
      </w:r>
      <w:r w:rsidRPr="00D22A15">
        <w:rPr>
          <w:rFonts w:ascii="Tahoma" w:hAnsi="Tahoma" w:cs="Tahoma"/>
          <w:sz w:val="20"/>
          <w:szCs w:val="20"/>
          <w:rtl/>
        </w:rPr>
        <w:t xml:space="preserve"> כי עקב הטמנת הפסולת נוצרים מפגעים סביבתיים שונים הפוגעים בבריאות הציבור: זיהום אוויר וריח, פליטת גזי חממה וזיהום קרקע ומי תהום. כמו כן מנוצלים לשם כך שטחי קרקע, שהם משאב במחסור וקצב שיקומם מזיהומים איטי ביותר ועשוי להתפרס על פני שנים רבות ואף כרוך בעלויות כספיות ניכרות</w:t>
      </w:r>
      <w:r>
        <w:rPr>
          <w:rFonts w:ascii="Tahoma" w:hAnsi="Tahoma" w:cs="Tahoma"/>
          <w:sz w:val="20"/>
          <w:szCs w:val="20"/>
          <w:vertAlign w:val="superscript"/>
          <w:rtl/>
        </w:rPr>
        <w:footnoteReference w:id="17"/>
      </w:r>
      <w:r w:rsidRPr="00D22A15">
        <w:rPr>
          <w:rFonts w:ascii="Tahoma" w:hAnsi="Tahoma" w:cs="Tahoma"/>
          <w:sz w:val="20"/>
          <w:szCs w:val="20"/>
          <w:rtl/>
        </w:rPr>
        <w:t>. בשנת 2018 הוטמנו בישראל כ-76% מהפסולת הביתית. להלן בתרשים 5 מוצגים שיעורי הטמנת הפסולת בישראל, בספרד ובצ'כיה, וכן שיעורי ההטמנה הממוצעים במדינות ה-</w:t>
      </w:r>
      <w:r w:rsidRPr="00D22A15">
        <w:rPr>
          <w:rFonts w:ascii="Tahoma" w:hAnsi="Tahoma" w:cs="Tahoma"/>
          <w:sz w:val="20"/>
          <w:szCs w:val="20"/>
        </w:rPr>
        <w:t>OECD</w:t>
      </w:r>
      <w:r w:rsidRPr="00D22A15">
        <w:rPr>
          <w:rFonts w:ascii="Tahoma" w:hAnsi="Tahoma" w:cs="Tahoma"/>
          <w:sz w:val="20"/>
          <w:szCs w:val="20"/>
          <w:rtl/>
        </w:rPr>
        <w:t xml:space="preserve"> ובמדינות אירופיות החברות ב-</w:t>
      </w:r>
      <w:r w:rsidRPr="00D22A15">
        <w:rPr>
          <w:rFonts w:ascii="Tahoma" w:hAnsi="Tahoma" w:cs="Tahoma"/>
          <w:sz w:val="20"/>
          <w:szCs w:val="20"/>
        </w:rPr>
        <w:t>OECD</w:t>
      </w:r>
      <w:r w:rsidRPr="00D22A15">
        <w:rPr>
          <w:rFonts w:ascii="Tahoma" w:hAnsi="Tahoma" w:cs="Tahoma"/>
          <w:sz w:val="20"/>
          <w:szCs w:val="20"/>
          <w:rtl/>
        </w:rPr>
        <w:t xml:space="preserve">. </w:t>
      </w:r>
    </w:p>
    <w:p w:rsidR="000930B3" w:rsidRPr="00DA075D" w:rsidP="00AD02C3" w14:paraId="0DDD0F2C" w14:textId="6165C898">
      <w:pPr>
        <w:pStyle w:val="a1"/>
        <w:spacing w:line="320" w:lineRule="atLeast"/>
        <w:rPr>
          <w:rtl/>
        </w:rPr>
      </w:pPr>
      <w:r w:rsidRPr="00D22A15">
        <w:rPr>
          <w:b w:val="0"/>
          <w:bCs w:val="0"/>
          <w:rtl/>
        </w:rPr>
        <w:t xml:space="preserve">תרשים 5: </w:t>
      </w:r>
      <w:r w:rsidRPr="00DA075D">
        <w:rPr>
          <w:rtl/>
        </w:rPr>
        <w:t xml:space="preserve">שיעור הטמנת הפסולת הביתית, לפי מדינות, 2008 - 2018 </w:t>
      </w:r>
    </w:p>
    <w:p w:rsidR="000930B3" w:rsidRPr="009A293E" w:rsidP="005C4ABF" w14:paraId="749BC9FF" w14:textId="79F7E5EF">
      <w:pPr>
        <w:pStyle w:val="a5"/>
        <w:spacing w:before="120" w:after="120" w:line="320" w:lineRule="atLeast"/>
        <w:jc w:val="center"/>
        <w:rPr>
          <w:rStyle w:val="50"/>
          <w:rFonts w:ascii="Tahoma" w:hAnsi="Tahoma" w:cs="Tahoma"/>
          <w:b/>
          <w:bCs/>
          <w:sz w:val="22"/>
          <w:szCs w:val="20"/>
          <w:rtl/>
        </w:rPr>
      </w:pPr>
      <w:r>
        <w:rPr>
          <w:rFonts w:ascii="Tahoma" w:hAnsi="Tahoma" w:cs="Tahoma"/>
          <w:b/>
          <w:bCs/>
          <w:noProof/>
          <w:sz w:val="22"/>
          <w:szCs w:val="20"/>
          <w:rtl/>
          <w:lang w:val="he-IL"/>
        </w:rPr>
        <w:drawing>
          <wp:inline distT="0" distB="0" distL="0" distR="0">
            <wp:extent cx="4322073" cy="2645669"/>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78958" name="Picture 18"/>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645669"/>
                    </a:xfrm>
                    <a:prstGeom prst="rect">
                      <a:avLst/>
                    </a:prstGeom>
                  </pic:spPr>
                </pic:pic>
              </a:graphicData>
            </a:graphic>
          </wp:inline>
        </w:drawing>
      </w:r>
    </w:p>
    <w:p w:rsidR="000930B3" w:rsidRPr="00DA075D" w:rsidP="006C5FF5" w14:paraId="17A132A0" w14:textId="6210696B">
      <w:pPr>
        <w:pStyle w:val="text-source"/>
        <w:rPr>
          <w:rtl/>
        </w:rPr>
      </w:pPr>
      <w:r w:rsidRPr="00DA075D">
        <w:rPr>
          <w:rtl/>
        </w:rPr>
        <w:t>על פי נתוני ה-</w:t>
      </w:r>
      <w:r w:rsidRPr="00DA075D">
        <w:t>OECD</w:t>
      </w:r>
      <w:r>
        <w:rPr>
          <w:vertAlign w:val="superscript"/>
          <w:rtl/>
        </w:rPr>
        <w:footnoteReference w:id="18"/>
      </w:r>
      <w:r w:rsidRPr="00DA075D">
        <w:rPr>
          <w:rtl/>
        </w:rPr>
        <w:t>, בעיבוד משרד מבקר המדינה.</w:t>
      </w:r>
    </w:p>
    <w:p w:rsidR="000930B3" w:rsidRPr="006062E1" w:rsidP="00A8502C" w14:paraId="1E1FE8B0" w14:textId="77777777">
      <w:pPr>
        <w:pStyle w:val="RESHET"/>
        <w:spacing w:line="300" w:lineRule="auto"/>
        <w:rPr>
          <w:sz w:val="20"/>
          <w:rtl/>
        </w:rPr>
      </w:pPr>
      <w:r w:rsidRPr="006062E1">
        <w:rPr>
          <w:sz w:val="20"/>
          <w:rtl/>
        </w:rPr>
        <w:t>מהתרשים עולה כי שיעור הטמנת הפסולת הביתית בישראל בשנת 2018 היה כ-76% - גבוה משמעותית מהשיעור במדינות המוצגות בתרשים לעיל (כ-50%) וכן מהממוצע במדינות ה-</w:t>
      </w:r>
      <w:r w:rsidRPr="006062E1">
        <w:rPr>
          <w:sz w:val="20"/>
        </w:rPr>
        <w:t>OECD</w:t>
      </w:r>
      <w:r w:rsidRPr="006062E1">
        <w:rPr>
          <w:sz w:val="20"/>
          <w:rtl/>
        </w:rPr>
        <w:t xml:space="preserve"> (39%). </w:t>
      </w:r>
    </w:p>
    <w:p w:rsidR="000930B3" w:rsidRPr="00D22A15" w:rsidP="00A8502C" w14:paraId="492E6321" w14:textId="77777777">
      <w:pPr>
        <w:pStyle w:val="a5"/>
        <w:spacing w:before="120" w:after="120"/>
        <w:rPr>
          <w:rFonts w:ascii="Tahoma" w:hAnsi="Tahoma" w:cs="Tahoma"/>
          <w:sz w:val="20"/>
          <w:szCs w:val="20"/>
          <w:rtl/>
        </w:rPr>
      </w:pPr>
      <w:r w:rsidRPr="00D22A15">
        <w:rPr>
          <w:rFonts w:ascii="Tahoma" w:hAnsi="Tahoma" w:cs="Tahoma"/>
          <w:sz w:val="20"/>
          <w:szCs w:val="20"/>
          <w:rtl/>
        </w:rPr>
        <w:t>בשנת 2018 הייתה צפיפות האוכלוסין בישראל השלישית מבין 37 מדינות ה-</w:t>
      </w:r>
      <w:r w:rsidRPr="00D22A15">
        <w:rPr>
          <w:rFonts w:ascii="Tahoma" w:hAnsi="Tahoma" w:cs="Tahoma"/>
          <w:sz w:val="20"/>
          <w:szCs w:val="20"/>
        </w:rPr>
        <w:t>OECD</w:t>
      </w:r>
      <w:r w:rsidRPr="00D22A15">
        <w:rPr>
          <w:rFonts w:ascii="Tahoma" w:hAnsi="Tahoma" w:cs="Tahoma"/>
          <w:sz w:val="20"/>
          <w:szCs w:val="20"/>
          <w:rtl/>
        </w:rPr>
        <w:t xml:space="preserve">, והיא עמדה על 410 תושבים לקמ"ר. להלן שיעור הפסולת הביתית שהוטמנה בשנים 2016 - 2018 במדינות בעלות צפיפות אוכלוסין גדולה. </w:t>
      </w:r>
    </w:p>
    <w:p w:rsidR="000930B3" w:rsidRPr="00DA075D" w:rsidP="00AD02C3" w14:paraId="29222FD7" w14:textId="269F1F2E">
      <w:pPr>
        <w:pStyle w:val="a1"/>
        <w:spacing w:line="320" w:lineRule="atLeast"/>
        <w:rPr>
          <w:rtl/>
        </w:rPr>
      </w:pPr>
      <w:r w:rsidRPr="00D22A15">
        <w:rPr>
          <w:b w:val="0"/>
          <w:bCs w:val="0"/>
          <w:rtl/>
        </w:rPr>
        <w:t xml:space="preserve">לוח 1: </w:t>
      </w:r>
      <w:r w:rsidRPr="00DA075D">
        <w:rPr>
          <w:rtl/>
        </w:rPr>
        <w:t xml:space="preserve">שיעור הפסולת הביתית המוטמנת במדינות </w:t>
      </w:r>
      <w:r w:rsidRPr="009A293E">
        <w:t>OECD</w:t>
      </w:r>
      <w:r w:rsidRPr="00DA075D">
        <w:rPr>
          <w:rtl/>
        </w:rPr>
        <w:t xml:space="preserve"> שבהן צפיפות אוכלוסין גדולה, 2016 - 2018 (באחוזים)</w:t>
      </w:r>
    </w:p>
    <w:tbl>
      <w:tblPr>
        <w:tblStyle w:val="TableGrid"/>
        <w:bidiVisual/>
        <w:tblW w:w="8222"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521"/>
        <w:gridCol w:w="1634"/>
        <w:gridCol w:w="1689"/>
        <w:gridCol w:w="1689"/>
        <w:gridCol w:w="1689"/>
      </w:tblGrid>
      <w:tr w14:paraId="4BEF4959" w14:textId="77777777" w:rsidTr="006062E1">
        <w:tblPrEx>
          <w:tblW w:w="8222"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tblHeader/>
        </w:trPr>
        <w:tc>
          <w:tcPr>
            <w:tcW w:w="1531" w:type="dxa"/>
            <w:tcBorders>
              <w:top w:val="single" w:sz="8" w:space="0" w:color="auto"/>
              <w:bottom w:val="single" w:sz="8" w:space="0" w:color="auto"/>
            </w:tcBorders>
            <w:shd w:val="clear" w:color="auto" w:fill="C6D9F1"/>
            <w:vAlign w:val="bottom"/>
          </w:tcPr>
          <w:p w:rsidR="009A293E" w:rsidRPr="006062E1" w:rsidP="00A8502C" w14:paraId="24B10CBE" w14:textId="77777777">
            <w:pPr>
              <w:pStyle w:val="a20"/>
              <w:tabs>
                <w:tab w:val="clear" w:pos="340"/>
              </w:tabs>
              <w:spacing w:before="20" w:after="40" w:line="240" w:lineRule="atLeast"/>
              <w:jc w:val="left"/>
              <w:rPr>
                <w:rFonts w:ascii="Tahoma" w:hAnsi="Tahoma" w:cs="Tahoma"/>
                <w:b/>
                <w:bCs/>
                <w:sz w:val="18"/>
                <w:szCs w:val="18"/>
                <w:rtl/>
              </w:rPr>
            </w:pPr>
            <w:r w:rsidRPr="006062E1">
              <w:rPr>
                <w:rFonts w:ascii="Tahoma" w:hAnsi="Tahoma" w:cs="Tahoma"/>
                <w:b/>
                <w:bCs/>
                <w:sz w:val="18"/>
                <w:szCs w:val="18"/>
                <w:rtl/>
              </w:rPr>
              <w:t>המדינה</w:t>
            </w:r>
          </w:p>
        </w:tc>
        <w:tc>
          <w:tcPr>
            <w:tcW w:w="1644" w:type="dxa"/>
            <w:tcBorders>
              <w:top w:val="single" w:sz="8" w:space="0" w:color="auto"/>
              <w:bottom w:val="single" w:sz="8" w:space="0" w:color="auto"/>
            </w:tcBorders>
            <w:shd w:val="clear" w:color="auto" w:fill="C6D9F1"/>
            <w:vAlign w:val="bottom"/>
          </w:tcPr>
          <w:p w:rsidR="009A293E" w:rsidRPr="006062E1" w:rsidP="00A8502C" w14:paraId="3742A05E" w14:textId="77777777">
            <w:pPr>
              <w:pStyle w:val="a20"/>
              <w:tabs>
                <w:tab w:val="clear" w:pos="340"/>
              </w:tabs>
              <w:spacing w:before="20" w:after="40" w:line="240" w:lineRule="atLeast"/>
              <w:jc w:val="left"/>
              <w:rPr>
                <w:rFonts w:ascii="Tahoma" w:hAnsi="Tahoma" w:cs="Tahoma"/>
                <w:b/>
                <w:bCs/>
                <w:sz w:val="18"/>
                <w:szCs w:val="18"/>
                <w:rtl/>
              </w:rPr>
            </w:pPr>
            <w:r w:rsidRPr="006062E1">
              <w:rPr>
                <w:rFonts w:ascii="Tahoma" w:hAnsi="Tahoma" w:cs="Tahoma"/>
                <w:b/>
                <w:bCs/>
                <w:sz w:val="18"/>
                <w:szCs w:val="18"/>
                <w:rtl/>
              </w:rPr>
              <w:t>מספר התושבים לקמ"ר בשנת 2018</w:t>
            </w:r>
          </w:p>
        </w:tc>
        <w:tc>
          <w:tcPr>
            <w:tcW w:w="1701" w:type="dxa"/>
            <w:tcBorders>
              <w:top w:val="single" w:sz="8" w:space="0" w:color="auto"/>
              <w:bottom w:val="single" w:sz="8" w:space="0" w:color="auto"/>
            </w:tcBorders>
            <w:shd w:val="clear" w:color="auto" w:fill="C6D9F1"/>
            <w:vAlign w:val="bottom"/>
          </w:tcPr>
          <w:p w:rsidR="009A293E" w:rsidRPr="006062E1" w:rsidP="00A8502C" w14:paraId="120EFA7C" w14:textId="77777777">
            <w:pPr>
              <w:pStyle w:val="a20"/>
              <w:tabs>
                <w:tab w:val="clear" w:pos="340"/>
              </w:tabs>
              <w:spacing w:before="20" w:after="40" w:line="240" w:lineRule="atLeast"/>
              <w:jc w:val="left"/>
              <w:rPr>
                <w:rFonts w:ascii="Tahoma" w:hAnsi="Tahoma" w:cs="Tahoma"/>
                <w:b/>
                <w:bCs/>
                <w:sz w:val="18"/>
                <w:szCs w:val="18"/>
                <w:rtl/>
              </w:rPr>
            </w:pPr>
            <w:r w:rsidRPr="006062E1">
              <w:rPr>
                <w:rFonts w:ascii="Tahoma" w:hAnsi="Tahoma" w:cs="Tahoma"/>
                <w:b/>
                <w:bCs/>
                <w:sz w:val="18"/>
                <w:szCs w:val="18"/>
                <w:rtl/>
              </w:rPr>
              <w:t>שיעור הטמנת הפסולת הביתית 2016</w:t>
            </w:r>
          </w:p>
        </w:tc>
        <w:tc>
          <w:tcPr>
            <w:tcW w:w="1701" w:type="dxa"/>
            <w:tcBorders>
              <w:top w:val="single" w:sz="8" w:space="0" w:color="auto"/>
              <w:bottom w:val="single" w:sz="8" w:space="0" w:color="auto"/>
            </w:tcBorders>
            <w:shd w:val="clear" w:color="auto" w:fill="C6D9F1"/>
            <w:vAlign w:val="bottom"/>
          </w:tcPr>
          <w:p w:rsidR="009A293E" w:rsidRPr="006062E1" w:rsidP="00A8502C" w14:paraId="63AC33B2" w14:textId="77777777">
            <w:pPr>
              <w:pStyle w:val="a20"/>
              <w:tabs>
                <w:tab w:val="clear" w:pos="340"/>
              </w:tabs>
              <w:spacing w:before="20" w:after="40" w:line="240" w:lineRule="atLeast"/>
              <w:jc w:val="left"/>
              <w:rPr>
                <w:rFonts w:ascii="Tahoma" w:hAnsi="Tahoma" w:cs="Tahoma"/>
                <w:b/>
                <w:bCs/>
                <w:sz w:val="18"/>
                <w:szCs w:val="18"/>
                <w:rtl/>
              </w:rPr>
            </w:pPr>
            <w:r w:rsidRPr="006062E1">
              <w:rPr>
                <w:rFonts w:ascii="Tahoma" w:hAnsi="Tahoma" w:cs="Tahoma"/>
                <w:b/>
                <w:bCs/>
                <w:sz w:val="18"/>
                <w:szCs w:val="18"/>
                <w:rtl/>
              </w:rPr>
              <w:t>שיעור הטמנת הפסולת הביתית 2017</w:t>
            </w:r>
          </w:p>
        </w:tc>
        <w:tc>
          <w:tcPr>
            <w:tcW w:w="1701" w:type="dxa"/>
            <w:tcBorders>
              <w:top w:val="single" w:sz="8" w:space="0" w:color="auto"/>
              <w:bottom w:val="single" w:sz="8" w:space="0" w:color="auto"/>
            </w:tcBorders>
            <w:shd w:val="clear" w:color="auto" w:fill="C6D9F1"/>
            <w:vAlign w:val="bottom"/>
          </w:tcPr>
          <w:p w:rsidR="009A293E" w:rsidRPr="006062E1" w:rsidP="00A8502C" w14:paraId="60482CE5" w14:textId="77777777">
            <w:pPr>
              <w:pStyle w:val="a20"/>
              <w:tabs>
                <w:tab w:val="clear" w:pos="340"/>
              </w:tabs>
              <w:spacing w:before="20" w:after="40" w:line="240" w:lineRule="atLeast"/>
              <w:jc w:val="left"/>
              <w:rPr>
                <w:rFonts w:ascii="Tahoma" w:hAnsi="Tahoma" w:cs="Tahoma"/>
                <w:b/>
                <w:bCs/>
                <w:sz w:val="18"/>
                <w:szCs w:val="18"/>
                <w:rtl/>
              </w:rPr>
            </w:pPr>
            <w:r w:rsidRPr="006062E1">
              <w:rPr>
                <w:rFonts w:ascii="Tahoma" w:hAnsi="Tahoma" w:cs="Tahoma"/>
                <w:b/>
                <w:bCs/>
                <w:sz w:val="18"/>
                <w:szCs w:val="18"/>
                <w:rtl/>
              </w:rPr>
              <w:t>שיעור הטמנת הפסולת הביתית 2018</w:t>
            </w:r>
          </w:p>
        </w:tc>
      </w:tr>
      <w:tr w14:paraId="402C1EC5" w14:textId="77777777" w:rsidTr="006062E1">
        <w:tblPrEx>
          <w:tblW w:w="8222" w:type="dxa"/>
          <w:tblCellMar>
            <w:left w:w="57" w:type="dxa"/>
            <w:right w:w="57" w:type="dxa"/>
          </w:tblCellMar>
          <w:tblLook w:val="04A0"/>
        </w:tblPrEx>
        <w:tc>
          <w:tcPr>
            <w:tcW w:w="1531" w:type="dxa"/>
            <w:tcBorders>
              <w:top w:val="single" w:sz="8" w:space="0" w:color="auto"/>
            </w:tcBorders>
          </w:tcPr>
          <w:p w:rsidR="009A293E" w:rsidRPr="009A293E" w:rsidP="00A8502C" w14:paraId="35DDB459"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קוריאה הדרומית</w:t>
            </w:r>
          </w:p>
        </w:tc>
        <w:tc>
          <w:tcPr>
            <w:tcW w:w="1644" w:type="dxa"/>
            <w:tcBorders>
              <w:top w:val="single" w:sz="8" w:space="0" w:color="auto"/>
            </w:tcBorders>
          </w:tcPr>
          <w:p w:rsidR="009A293E" w:rsidRPr="009A293E" w:rsidP="00A8502C" w14:paraId="155C8C15"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529</w:t>
            </w:r>
          </w:p>
        </w:tc>
        <w:tc>
          <w:tcPr>
            <w:tcW w:w="1701" w:type="dxa"/>
            <w:tcBorders>
              <w:top w:val="single" w:sz="8" w:space="0" w:color="auto"/>
            </w:tcBorders>
          </w:tcPr>
          <w:p w:rsidR="009A293E" w:rsidRPr="009A293E" w:rsidP="00A8502C" w14:paraId="1A76BBA0"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15</w:t>
            </w:r>
          </w:p>
        </w:tc>
        <w:tc>
          <w:tcPr>
            <w:tcW w:w="1701" w:type="dxa"/>
            <w:tcBorders>
              <w:top w:val="single" w:sz="8" w:space="0" w:color="auto"/>
            </w:tcBorders>
          </w:tcPr>
          <w:p w:rsidR="009A293E" w:rsidRPr="009A293E" w:rsidP="00A8502C" w14:paraId="5808B33A"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w:t>
            </w:r>
          </w:p>
        </w:tc>
        <w:tc>
          <w:tcPr>
            <w:tcW w:w="1701" w:type="dxa"/>
            <w:tcBorders>
              <w:top w:val="single" w:sz="8" w:space="0" w:color="auto"/>
            </w:tcBorders>
          </w:tcPr>
          <w:p w:rsidR="009A293E" w:rsidRPr="009A293E" w:rsidP="00A8502C" w14:paraId="60D0AA8F"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w:t>
            </w:r>
          </w:p>
        </w:tc>
      </w:tr>
      <w:tr w14:paraId="6804986C" w14:textId="77777777" w:rsidTr="006062E1">
        <w:tblPrEx>
          <w:tblW w:w="8222" w:type="dxa"/>
          <w:tblCellMar>
            <w:left w:w="57" w:type="dxa"/>
            <w:right w:w="57" w:type="dxa"/>
          </w:tblCellMar>
          <w:tblLook w:val="04A0"/>
        </w:tblPrEx>
        <w:tc>
          <w:tcPr>
            <w:tcW w:w="1531" w:type="dxa"/>
          </w:tcPr>
          <w:p w:rsidR="009A293E" w:rsidRPr="009A293E" w:rsidP="00A8502C" w14:paraId="77A537D7"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הולנד</w:t>
            </w:r>
          </w:p>
        </w:tc>
        <w:tc>
          <w:tcPr>
            <w:tcW w:w="1644" w:type="dxa"/>
          </w:tcPr>
          <w:p w:rsidR="009A293E" w:rsidRPr="009A293E" w:rsidP="00A8502C" w14:paraId="185C2FDD"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511</w:t>
            </w:r>
          </w:p>
        </w:tc>
        <w:tc>
          <w:tcPr>
            <w:tcW w:w="1701" w:type="dxa"/>
          </w:tcPr>
          <w:p w:rsidR="009A293E" w:rsidRPr="009A293E" w:rsidP="00A8502C" w14:paraId="23A4F566"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0A6701CE"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2CBCF4B5"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r>
      <w:tr w14:paraId="67B2216E" w14:textId="77777777" w:rsidTr="006062E1">
        <w:tblPrEx>
          <w:tblW w:w="8222" w:type="dxa"/>
          <w:tblCellMar>
            <w:left w:w="57" w:type="dxa"/>
            <w:right w:w="57" w:type="dxa"/>
          </w:tblCellMar>
          <w:tblLook w:val="04A0"/>
        </w:tblPrEx>
        <w:tc>
          <w:tcPr>
            <w:tcW w:w="1531" w:type="dxa"/>
          </w:tcPr>
          <w:p w:rsidR="009A293E" w:rsidRPr="009A293E" w:rsidP="00A8502C" w14:paraId="13584AD1"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ישראל</w:t>
            </w:r>
          </w:p>
        </w:tc>
        <w:tc>
          <w:tcPr>
            <w:tcW w:w="1644" w:type="dxa"/>
          </w:tcPr>
          <w:p w:rsidR="009A293E" w:rsidRPr="009A293E" w:rsidP="00A8502C" w14:paraId="3D3AF6C3"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410</w:t>
            </w:r>
          </w:p>
        </w:tc>
        <w:tc>
          <w:tcPr>
            <w:tcW w:w="1701" w:type="dxa"/>
          </w:tcPr>
          <w:p w:rsidR="009A293E" w:rsidRPr="009A293E" w:rsidP="00A8502C" w14:paraId="1A197195"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80</w:t>
            </w:r>
          </w:p>
        </w:tc>
        <w:tc>
          <w:tcPr>
            <w:tcW w:w="1701" w:type="dxa"/>
          </w:tcPr>
          <w:p w:rsidR="009A293E" w:rsidRPr="009A293E" w:rsidP="00A8502C" w14:paraId="5D271354"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78</w:t>
            </w:r>
          </w:p>
        </w:tc>
        <w:tc>
          <w:tcPr>
            <w:tcW w:w="1701" w:type="dxa"/>
          </w:tcPr>
          <w:p w:rsidR="009A293E" w:rsidRPr="009A293E" w:rsidP="00A8502C" w14:paraId="3F1D722E"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76</w:t>
            </w:r>
          </w:p>
        </w:tc>
      </w:tr>
      <w:tr w14:paraId="4DB93F57" w14:textId="77777777" w:rsidTr="006062E1">
        <w:tblPrEx>
          <w:tblW w:w="8222" w:type="dxa"/>
          <w:tblCellMar>
            <w:left w:w="57" w:type="dxa"/>
            <w:right w:w="57" w:type="dxa"/>
          </w:tblCellMar>
          <w:tblLook w:val="04A0"/>
        </w:tblPrEx>
        <w:tc>
          <w:tcPr>
            <w:tcW w:w="1531" w:type="dxa"/>
          </w:tcPr>
          <w:p w:rsidR="009A293E" w:rsidRPr="009A293E" w:rsidP="00A8502C" w14:paraId="37B9672E"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בלגייה</w:t>
            </w:r>
          </w:p>
        </w:tc>
        <w:tc>
          <w:tcPr>
            <w:tcW w:w="1644" w:type="dxa"/>
          </w:tcPr>
          <w:p w:rsidR="009A293E" w:rsidRPr="009A293E" w:rsidP="00A8502C" w14:paraId="5EB830F7"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377</w:t>
            </w:r>
          </w:p>
        </w:tc>
        <w:tc>
          <w:tcPr>
            <w:tcW w:w="1701" w:type="dxa"/>
          </w:tcPr>
          <w:p w:rsidR="009A293E" w:rsidRPr="009A293E" w:rsidP="00A8502C" w14:paraId="5B3B6B17"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118838C2"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31F6376E"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r>
      <w:tr w14:paraId="25309847" w14:textId="77777777" w:rsidTr="006062E1">
        <w:tblPrEx>
          <w:tblW w:w="8222" w:type="dxa"/>
          <w:tblCellMar>
            <w:left w:w="57" w:type="dxa"/>
            <w:right w:w="57" w:type="dxa"/>
          </w:tblCellMar>
          <w:tblLook w:val="04A0"/>
        </w:tblPrEx>
        <w:tc>
          <w:tcPr>
            <w:tcW w:w="1531" w:type="dxa"/>
          </w:tcPr>
          <w:p w:rsidR="009A293E" w:rsidRPr="009A293E" w:rsidP="00A8502C" w14:paraId="56BFD847"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יפן</w:t>
            </w:r>
          </w:p>
        </w:tc>
        <w:tc>
          <w:tcPr>
            <w:tcW w:w="1644" w:type="dxa"/>
          </w:tcPr>
          <w:p w:rsidR="009A293E" w:rsidRPr="009A293E" w:rsidP="00A8502C" w14:paraId="18D8F64F"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347</w:t>
            </w:r>
          </w:p>
        </w:tc>
        <w:tc>
          <w:tcPr>
            <w:tcW w:w="1701" w:type="dxa"/>
          </w:tcPr>
          <w:p w:rsidR="009A293E" w:rsidRPr="009A293E" w:rsidP="00A8502C" w14:paraId="566DF85C"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53DDBC16"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c>
          <w:tcPr>
            <w:tcW w:w="1701" w:type="dxa"/>
          </w:tcPr>
          <w:p w:rsidR="009A293E" w:rsidRPr="009A293E" w:rsidP="00A8502C" w14:paraId="7C856996" w14:textId="77777777">
            <w:pPr>
              <w:pStyle w:val="a21"/>
              <w:tabs>
                <w:tab w:val="clear" w:pos="340"/>
              </w:tabs>
              <w:spacing w:before="20" w:after="40" w:line="240" w:lineRule="atLeast"/>
              <w:rPr>
                <w:rFonts w:ascii="Tahoma" w:hAnsi="Tahoma" w:cs="Tahoma"/>
                <w:sz w:val="18"/>
                <w:szCs w:val="18"/>
                <w:rtl/>
              </w:rPr>
            </w:pPr>
            <w:r w:rsidRPr="009A293E">
              <w:rPr>
                <w:rFonts w:ascii="Tahoma" w:hAnsi="Tahoma" w:cs="Tahoma"/>
                <w:sz w:val="18"/>
                <w:szCs w:val="18"/>
                <w:rtl/>
              </w:rPr>
              <w:t>1</w:t>
            </w:r>
          </w:p>
        </w:tc>
      </w:tr>
    </w:tbl>
    <w:p w:rsidR="000930B3" w:rsidRPr="00DA075D" w:rsidP="006C5FF5" w14:paraId="7A82D946" w14:textId="77777777">
      <w:pPr>
        <w:pStyle w:val="text-source"/>
        <w:rPr>
          <w:rtl/>
        </w:rPr>
      </w:pPr>
      <w:r w:rsidRPr="00DA075D">
        <w:rPr>
          <w:rtl/>
        </w:rPr>
        <w:t>נתוני צפיפות האוכלוסין על פי הבנק העולמי (</w:t>
      </w:r>
      <w:r w:rsidRPr="00DA075D">
        <w:t>World Bank</w:t>
      </w:r>
      <w:r w:rsidRPr="00DA075D">
        <w:rPr>
          <w:rtl/>
        </w:rPr>
        <w:t>)</w:t>
      </w:r>
      <w:r>
        <w:rPr>
          <w:vertAlign w:val="superscript"/>
          <w:rtl/>
        </w:rPr>
        <w:footnoteReference w:id="19"/>
      </w:r>
      <w:r w:rsidRPr="00DA075D">
        <w:rPr>
          <w:rtl/>
        </w:rPr>
        <w:t xml:space="preserve"> ונתוני ההטמנה על פי ה-</w:t>
      </w:r>
      <w:r w:rsidRPr="00DA075D">
        <w:t>OECD</w:t>
      </w:r>
      <w:r w:rsidRPr="00DA075D">
        <w:rPr>
          <w:rtl/>
        </w:rPr>
        <w:t>, בעיבוד משרד מבקר המדינה.</w:t>
      </w:r>
    </w:p>
    <w:p w:rsidR="000930B3" w:rsidRPr="00DA075D" w:rsidP="008E06C5" w14:paraId="08D63E2E" w14:textId="77777777">
      <w:pPr>
        <w:pStyle w:val="RESHET"/>
        <w:rPr>
          <w:rStyle w:val="a4"/>
          <w:rtl/>
        </w:rPr>
      </w:pPr>
      <w:r w:rsidRPr="00DA075D">
        <w:rPr>
          <w:rStyle w:val="a4"/>
          <w:rtl/>
        </w:rPr>
        <w:t>מהלוח לעיל עולה כי שיעור הפסולת הביתית המוטמנת בישראל (76%) גבוה פי חמישה עד פי 80 מזה שבמדינות אחרות ב-</w:t>
      </w:r>
      <w:r w:rsidRPr="001303CB">
        <w:rPr>
          <w:rStyle w:val="a4"/>
          <w:sz w:val="20"/>
        </w:rPr>
        <w:t>OECD</w:t>
      </w:r>
      <w:r w:rsidRPr="00DA075D">
        <w:rPr>
          <w:rStyle w:val="a4"/>
          <w:rtl/>
        </w:rPr>
        <w:t xml:space="preserve"> שבהן צפיפות אוכלוסין גדולה. </w:t>
      </w:r>
    </w:p>
    <w:p w:rsidR="000930B3" w:rsidRPr="00D22A15" w:rsidP="005C4ABF" w14:paraId="1E1C25F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להלן בתרשים 6 מוצגים שיעורי הטמנת פסולת וצפיפות אוכלוסייה במדינות ה-</w:t>
      </w:r>
      <w:r w:rsidRPr="00D22A15">
        <w:rPr>
          <w:rFonts w:ascii="Tahoma" w:hAnsi="Tahoma" w:cs="Tahoma"/>
          <w:sz w:val="20"/>
          <w:szCs w:val="20"/>
        </w:rPr>
        <w:t>OECD</w:t>
      </w:r>
      <w:r w:rsidRPr="00D22A15">
        <w:rPr>
          <w:rFonts w:ascii="Tahoma" w:hAnsi="Tahoma" w:cs="Tahoma"/>
          <w:sz w:val="20"/>
          <w:szCs w:val="20"/>
          <w:rtl/>
        </w:rPr>
        <w:t>.</w:t>
      </w:r>
    </w:p>
    <w:p w:rsidR="000930B3" w:rsidRPr="00DA075D" w:rsidP="00AD02C3" w14:paraId="7E9CB530" w14:textId="37CFAAB7">
      <w:pPr>
        <w:pStyle w:val="a1"/>
        <w:spacing w:line="320" w:lineRule="atLeast"/>
        <w:rPr>
          <w:w w:val="92"/>
          <w:rtl/>
        </w:rPr>
      </w:pPr>
      <w:r w:rsidRPr="00D22A15">
        <w:rPr>
          <w:b w:val="0"/>
          <w:bCs w:val="0"/>
          <w:w w:val="92"/>
          <w:rtl/>
        </w:rPr>
        <w:t xml:space="preserve">תרשים 6: </w:t>
      </w:r>
      <w:r w:rsidRPr="00DA075D">
        <w:rPr>
          <w:w w:val="92"/>
          <w:rtl/>
        </w:rPr>
        <w:t>שיעור הטמנת הפסולת וצפיפות האוכלוסין במדינות ה-</w:t>
      </w:r>
      <w:r w:rsidRPr="00A8502C">
        <w:rPr>
          <w:w w:val="92"/>
        </w:rPr>
        <w:t>OECD</w:t>
      </w:r>
      <w:r w:rsidR="00A8502C">
        <w:rPr>
          <w:rFonts w:hint="cs"/>
          <w:w w:val="92"/>
          <w:rtl/>
        </w:rPr>
        <w:t xml:space="preserve">, </w:t>
      </w:r>
      <w:r w:rsidRPr="00DA075D">
        <w:rPr>
          <w:w w:val="92"/>
        </w:rPr>
        <w:t>2017</w:t>
      </w:r>
    </w:p>
    <w:p w:rsidR="000930B3" w:rsidRPr="00DA075D" w:rsidP="006C5FF5" w14:paraId="5CDFE7A0" w14:textId="5D72E93B">
      <w:pPr>
        <w:pStyle w:val="a5"/>
        <w:spacing w:before="120" w:after="120" w:line="320" w:lineRule="atLeast"/>
        <w:jc w:val="center"/>
        <w:rPr>
          <w:rtl/>
        </w:rPr>
      </w:pPr>
      <w:r>
        <w:rPr>
          <w:noProof/>
          <w:rtl/>
          <w:lang w:val="he-IL"/>
        </w:rPr>
        <w:drawing>
          <wp:inline distT="0" distB="0" distL="0" distR="0">
            <wp:extent cx="5219700" cy="58204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22680" name="Picture 1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5820410"/>
                    </a:xfrm>
                    <a:prstGeom prst="rect">
                      <a:avLst/>
                    </a:prstGeom>
                  </pic:spPr>
                </pic:pic>
              </a:graphicData>
            </a:graphic>
          </wp:inline>
        </w:drawing>
      </w:r>
    </w:p>
    <w:p w:rsidR="000930B3" w:rsidRPr="00D22A15" w:rsidP="005C4ABF" w14:paraId="64770AF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מעיון בתרשים עולה כי בקרב מדינות ה-</w:t>
      </w:r>
      <w:r w:rsidRPr="00D22A15">
        <w:rPr>
          <w:rFonts w:ascii="Tahoma" w:hAnsi="Tahoma" w:cs="Tahoma"/>
          <w:sz w:val="20"/>
          <w:szCs w:val="20"/>
        </w:rPr>
        <w:t>OECD</w:t>
      </w:r>
      <w:r w:rsidRPr="00D22A15">
        <w:rPr>
          <w:rFonts w:ascii="Tahoma" w:hAnsi="Tahoma" w:cs="Tahoma"/>
          <w:sz w:val="20"/>
          <w:szCs w:val="20"/>
          <w:rtl/>
        </w:rPr>
        <w:t xml:space="preserve"> קיים מתאם שלילי בין צפיפות האוכלוסין לבין שיעור הטמנת הפסולת בשנת 2017. שיעור הטמנת הפסולת בכל מדינות ה-</w:t>
      </w:r>
      <w:r w:rsidRPr="00D22A15">
        <w:rPr>
          <w:rFonts w:ascii="Tahoma" w:hAnsi="Tahoma" w:cs="Tahoma"/>
          <w:sz w:val="20"/>
          <w:szCs w:val="20"/>
        </w:rPr>
        <w:t>OECD</w:t>
      </w:r>
      <w:r w:rsidRPr="00D22A15">
        <w:rPr>
          <w:rFonts w:ascii="Tahoma" w:hAnsi="Tahoma" w:cs="Tahoma"/>
          <w:sz w:val="20"/>
          <w:szCs w:val="20"/>
          <w:rtl/>
        </w:rPr>
        <w:t xml:space="preserve"> שבהן צפיפות של 200 תושבים או יותר לקמ"ר, למעט ישראל, לא עלה על 30%. כמו כן, שיעור </w:t>
      </w:r>
      <w:r w:rsidRPr="00D22A15">
        <w:rPr>
          <w:rFonts w:ascii="Tahoma" w:hAnsi="Tahoma" w:cs="Tahoma"/>
          <w:sz w:val="20"/>
          <w:szCs w:val="20"/>
          <w:rtl/>
        </w:rPr>
        <w:t xml:space="preserve">הטמנה העולה על 60% נרשם רק במדינות </w:t>
      </w:r>
      <w:r w:rsidRPr="00D22A15">
        <w:rPr>
          <w:rFonts w:ascii="Tahoma" w:hAnsi="Tahoma" w:cs="Tahoma"/>
          <w:sz w:val="20"/>
          <w:szCs w:val="20"/>
        </w:rPr>
        <w:t>OECD</w:t>
      </w:r>
      <w:r w:rsidRPr="00D22A15">
        <w:rPr>
          <w:rFonts w:ascii="Tahoma" w:hAnsi="Tahoma" w:cs="Tahoma"/>
          <w:sz w:val="20"/>
          <w:szCs w:val="20"/>
          <w:rtl/>
        </w:rPr>
        <w:t xml:space="preserve"> שצפיפות אוכלוסין בהן נמוכה מ-100 תושבים לקמ"ר, וכן בישראל ובטורקייה, שצפיפות האוכלוסין בה אומנם גדולה במעט מ-100 תושבים לקמ"ר, אולם קטנה מזו שבישראל פי ארבע בקירוב (107 ו-410 תושבים לקמ"ר בטורקייה ובישראל, בהתאמה). </w:t>
      </w:r>
    </w:p>
    <w:p w:rsidR="000930B3" w:rsidRPr="00ED3B48" w:rsidP="008E06C5" w14:paraId="45EDB759" w14:textId="38056ACD">
      <w:pPr>
        <w:pStyle w:val="RESHET"/>
        <w:rPr>
          <w:sz w:val="20"/>
          <w:rtl/>
        </w:rPr>
      </w:pPr>
      <w:r w:rsidRPr="00ED3B48">
        <w:rPr>
          <w:sz w:val="20"/>
          <w:rtl/>
        </w:rPr>
        <w:t>צפיפות האוכלוסין בישראל גדולה ומשאבי הקרקע הפנויים בה מצומצמים; ועם השנים הם גם הולכים ומתכלים. משרד מבקר המדינה מציין כי נתוני ה-</w:t>
      </w:r>
      <w:r w:rsidRPr="00ED3B48">
        <w:rPr>
          <w:sz w:val="20"/>
        </w:rPr>
        <w:t>OECD</w:t>
      </w:r>
      <w:r w:rsidRPr="00ED3B48">
        <w:rPr>
          <w:sz w:val="20"/>
          <w:rtl/>
        </w:rPr>
        <w:t xml:space="preserve"> מצביעים על כך שנכון לשנת 2018 משקל הפסולת הממוצע לאדם בישראל (675 ק"ג) גבוה, שיעור </w:t>
      </w:r>
      <w:r w:rsidRPr="00ED3B48">
        <w:rPr>
          <w:sz w:val="20"/>
          <w:rtl/>
        </w:rPr>
        <w:t>המיחזור</w:t>
      </w:r>
      <w:r w:rsidRPr="00ED3B48">
        <w:rPr>
          <w:sz w:val="20"/>
          <w:rtl/>
        </w:rPr>
        <w:t xml:space="preserve"> (7%) נמוך ושיעור הטמנת הפסולת (76%) גבוה ביחס לממוצע במדינות </w:t>
      </w:r>
      <w:r w:rsidR="00ED3B48">
        <w:rPr>
          <w:sz w:val="20"/>
        </w:rPr>
        <w:br/>
      </w:r>
      <w:r w:rsidRPr="00ED3B48">
        <w:rPr>
          <w:sz w:val="20"/>
          <w:rtl/>
        </w:rPr>
        <w:t>ה-</w:t>
      </w:r>
      <w:r w:rsidRPr="00ED3B48">
        <w:rPr>
          <w:sz w:val="20"/>
        </w:rPr>
        <w:t>OECD</w:t>
      </w:r>
      <w:r w:rsidRPr="00ED3B48">
        <w:rPr>
          <w:sz w:val="20"/>
          <w:rtl/>
        </w:rPr>
        <w:t xml:space="preserve"> (כ-39%) ובייחוד ביחס למדינות בעלות צפיפות אוכלוסין גדולה. מומלץ כי המשרד </w:t>
      </w:r>
      <w:r w:rsidRPr="00ED3B48">
        <w:rPr>
          <w:sz w:val="20"/>
          <w:rtl/>
        </w:rPr>
        <w:t>להגנ"ס</w:t>
      </w:r>
      <w:r w:rsidRPr="00ED3B48">
        <w:rPr>
          <w:sz w:val="20"/>
          <w:rtl/>
        </w:rPr>
        <w:t xml:space="preserve"> ימשיך ויקדם פעולות שיביאו לשמירת המקרקעין ולהקטנת הזיהום הסביבתי כמקובל במדינות ה-</w:t>
      </w:r>
      <w:r w:rsidRPr="00ED3B48">
        <w:rPr>
          <w:sz w:val="20"/>
        </w:rPr>
        <w:t>OECD</w:t>
      </w:r>
      <w:r w:rsidRPr="00ED3B48">
        <w:rPr>
          <w:sz w:val="20"/>
          <w:rtl/>
        </w:rPr>
        <w:t xml:space="preserve">. </w:t>
      </w:r>
    </w:p>
    <w:p w:rsidR="000930B3" w:rsidRPr="00DA075D" w:rsidP="00DB519D" w14:paraId="4B9FB297" w14:textId="77777777">
      <w:pPr>
        <w:pStyle w:val="3"/>
        <w:rPr>
          <w:rtl/>
        </w:rPr>
      </w:pPr>
      <w:r w:rsidRPr="00DA075D">
        <w:rPr>
          <w:rtl/>
        </w:rPr>
        <w:t xml:space="preserve">שיטות לאיסוף </w:t>
      </w:r>
      <w:r w:rsidRPr="00DA075D">
        <w:rPr>
          <w:rtl/>
        </w:rPr>
        <w:t>ולמיחזור</w:t>
      </w:r>
      <w:r w:rsidRPr="00DA075D">
        <w:rPr>
          <w:rtl/>
        </w:rPr>
        <w:t xml:space="preserve"> של מכלי משקה - ניסיון עולמי</w:t>
      </w:r>
    </w:p>
    <w:p w:rsidR="000930B3" w:rsidRPr="00DA075D" w:rsidP="0037479D" w14:paraId="48931BDA" w14:textId="77777777">
      <w:pPr>
        <w:pStyle w:val="4"/>
        <w:spacing w:before="120"/>
        <w:rPr>
          <w:rtl/>
        </w:rPr>
      </w:pPr>
      <w:r w:rsidRPr="00DA075D">
        <w:rPr>
          <w:rtl/>
        </w:rPr>
        <w:t xml:space="preserve">יעדי האיסוף </w:t>
      </w:r>
    </w:p>
    <w:p w:rsidR="000930B3" w:rsidRPr="00D22A15" w:rsidP="005C4ABF" w14:paraId="4EA0619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נתוני המשרד </w:t>
      </w:r>
      <w:r w:rsidRPr="00D22A15">
        <w:rPr>
          <w:rFonts w:ascii="Tahoma" w:hAnsi="Tahoma" w:cs="Tahoma"/>
          <w:sz w:val="20"/>
          <w:szCs w:val="20"/>
          <w:rtl/>
        </w:rPr>
        <w:t>להגנ"ס</w:t>
      </w:r>
      <w:r w:rsidRPr="00D22A15">
        <w:rPr>
          <w:rFonts w:ascii="Tahoma" w:hAnsi="Tahoma" w:cs="Tahoma"/>
          <w:sz w:val="20"/>
          <w:szCs w:val="20"/>
          <w:rtl/>
        </w:rPr>
        <w:t xml:space="preserve">, בשנת 2018 נמכרו בישראל יותר מ-1.1 מיליארד משקאות במכלי פלסטיק ויותר מ-700 מיליון משקאות בפחיות ובבקבוקי זכוכית. לפיכך כ-61% ממכלי המשקה הנמכרים בישראל הם מכלי פלסטיק. </w:t>
      </w:r>
    </w:p>
    <w:p w:rsidR="000930B3" w:rsidRPr="00D22A15" w:rsidP="005C4ABF" w14:paraId="79CCF788" w14:textId="2F6A2F58">
      <w:pPr>
        <w:pStyle w:val="a5"/>
        <w:spacing w:before="120" w:after="120" w:line="320" w:lineRule="atLeast"/>
        <w:rPr>
          <w:rFonts w:ascii="Tahoma" w:hAnsi="Tahoma" w:cs="Tahoma"/>
          <w:sz w:val="20"/>
          <w:szCs w:val="20"/>
          <w:rtl/>
        </w:rPr>
      </w:pPr>
      <w:r w:rsidRPr="00D22A15">
        <w:rPr>
          <w:rFonts w:ascii="Tahoma" w:hAnsi="Tahoma" w:cs="Tahoma"/>
          <w:sz w:val="20"/>
          <w:szCs w:val="20"/>
          <w:rtl/>
        </w:rPr>
        <w:t>בשנת 2018 נמכרו בעולם כמיליון מכלי משקה מפלסטיק בכל דקה</w:t>
      </w:r>
      <w:r>
        <w:rPr>
          <w:rFonts w:ascii="Tahoma" w:hAnsi="Tahoma" w:cs="Tahoma"/>
          <w:sz w:val="20"/>
          <w:szCs w:val="20"/>
          <w:vertAlign w:val="superscript"/>
          <w:rtl/>
        </w:rPr>
        <w:footnoteReference w:id="20"/>
      </w:r>
      <w:r w:rsidRPr="00D22A15">
        <w:rPr>
          <w:rFonts w:ascii="Tahoma" w:hAnsi="Tahoma" w:cs="Tahoma"/>
          <w:sz w:val="20"/>
          <w:szCs w:val="20"/>
          <w:rtl/>
        </w:rPr>
        <w:t xml:space="preserve">. במדינות מפותחות נקבעות מכסות מחייבות לאיסוף המכלים על ידי יצרנים ויבואנים. קיימות שתי שיטות עיקריות לשיתוף הציבור באיסוף מכלי המשקה הריקים: האחת, באמצעות יצירת ערך כלכלי למכל על ידי הטלת פיקדון </w:t>
      </w:r>
      <w:r w:rsidR="00ED3B48">
        <w:rPr>
          <w:rFonts w:ascii="Tahoma" w:hAnsi="Tahoma" w:cs="Tahoma" w:hint="cs"/>
          <w:sz w:val="20"/>
          <w:szCs w:val="20"/>
          <w:rtl/>
        </w:rPr>
        <w:t>(</w:t>
      </w:r>
      <w:r w:rsidRPr="00ED3B48" w:rsidR="00ED3B48">
        <w:rPr>
          <w:rFonts w:ascii="Tahoma" w:hAnsi="Tahoma" w:cs="Tahoma"/>
          <w:sz w:val="20"/>
          <w:szCs w:val="20"/>
        </w:rPr>
        <w:t>DRS-deposit refund systems for one-way beverage containers</w:t>
      </w:r>
      <w:r w:rsidR="00ED3B48">
        <w:rPr>
          <w:rFonts w:ascii="Tahoma" w:hAnsi="Tahoma" w:cs="Tahoma" w:hint="cs"/>
          <w:sz w:val="20"/>
          <w:szCs w:val="20"/>
          <w:rtl/>
        </w:rPr>
        <w:t xml:space="preserve">) </w:t>
      </w:r>
      <w:r w:rsidRPr="00D22A15">
        <w:rPr>
          <w:rFonts w:ascii="Tahoma" w:hAnsi="Tahoma" w:cs="Tahoma"/>
          <w:sz w:val="20"/>
          <w:szCs w:val="20"/>
          <w:rtl/>
        </w:rPr>
        <w:t xml:space="preserve">והשבתו למשיב המכל; האחרת, באמצעות הסברה וחינוך לאיסוף המכלים במתקנים ייעודיים, כגון </w:t>
      </w:r>
      <w:r w:rsidRPr="00D22A15">
        <w:rPr>
          <w:rFonts w:ascii="Tahoma" w:hAnsi="Tahoma" w:cs="Tahoma"/>
          <w:sz w:val="20"/>
          <w:szCs w:val="20"/>
          <w:rtl/>
        </w:rPr>
        <w:t>מיחזוריות</w:t>
      </w:r>
      <w:r>
        <w:rPr>
          <w:rFonts w:ascii="Tahoma" w:hAnsi="Tahoma" w:cs="Tahoma"/>
          <w:sz w:val="20"/>
          <w:szCs w:val="20"/>
          <w:vertAlign w:val="superscript"/>
          <w:rtl/>
        </w:rPr>
        <w:footnoteReference w:id="21"/>
      </w:r>
      <w:r w:rsidRPr="00D22A15">
        <w:rPr>
          <w:rFonts w:ascii="Tahoma" w:hAnsi="Tahoma" w:cs="Tahoma"/>
          <w:sz w:val="20"/>
          <w:szCs w:val="20"/>
          <w:rtl/>
        </w:rPr>
        <w:t>. בישראל איסוף מכלי המשקה מתבצע בשתי השיטות במקביל.</w:t>
      </w:r>
    </w:p>
    <w:p w:rsidR="000930B3" w:rsidRPr="00D22A15" w:rsidP="005C4ABF" w14:paraId="47410B2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נכון ליולי 2020, מוטל פיקדון על מכלי משקה בכ-40 מדינות ופרובינציות, באירופה, בארה"ב, באוסטרליה ובקנדה. אפשרות הטלת פיקדון נשקלת במדינות נוספות, בין היתר באנגלייה</w:t>
      </w:r>
      <w:r>
        <w:rPr>
          <w:rFonts w:ascii="Tahoma" w:hAnsi="Tahoma" w:cs="Tahoma"/>
          <w:sz w:val="20"/>
          <w:szCs w:val="20"/>
          <w:vertAlign w:val="superscript"/>
          <w:rtl/>
        </w:rPr>
        <w:footnoteReference w:id="22"/>
      </w:r>
      <w:r w:rsidRPr="00D22A15">
        <w:rPr>
          <w:rFonts w:ascii="Tahoma" w:hAnsi="Tahoma" w:cs="Tahoma"/>
          <w:sz w:val="20"/>
          <w:szCs w:val="20"/>
          <w:rtl/>
        </w:rPr>
        <w:t xml:space="preserve"> ובסקוטלנד</w:t>
      </w:r>
      <w:r>
        <w:rPr>
          <w:rFonts w:ascii="Tahoma" w:hAnsi="Tahoma" w:cs="Tahoma"/>
          <w:sz w:val="20"/>
          <w:szCs w:val="20"/>
          <w:vertAlign w:val="superscript"/>
          <w:rtl/>
        </w:rPr>
        <w:footnoteReference w:id="23"/>
      </w:r>
      <w:r w:rsidRPr="00D22A15">
        <w:rPr>
          <w:rFonts w:ascii="Tahoma" w:hAnsi="Tahoma" w:cs="Tahoma"/>
          <w:sz w:val="20"/>
          <w:szCs w:val="20"/>
          <w:rtl/>
        </w:rPr>
        <w:t xml:space="preserve">. </w:t>
      </w:r>
    </w:p>
    <w:p w:rsidR="000930B3" w:rsidRPr="00D22A15" w:rsidP="005C4ABF" w14:paraId="25559CA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האיחוד האירופי מקדם חקיקה מדינתית בכלים שונים, ולצדה מכונן דירקטיבות. דירקטיבה של מועצת האיחוד מנחה את מדינות האיחוד להגיע ליעד שנקבע בה ולשלב את הכללים שבה בחוקיהן עד מועד מסוים, אולם מותירה להן חופש פעולה באשר לאופן שבו הן בוחרות לפעול למימוש היעדים שנקבעו. </w:t>
      </w:r>
    </w:p>
    <w:p w:rsidR="000930B3" w:rsidRPr="00D22A15" w:rsidP="005C4ABF" w14:paraId="60668E9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מדינת ישראל אינה חברה באיחוד האירופי, ולכן הדירקטיבות של האיחוד אינן חלות עליה. עם זאת, מהמשרד </w:t>
      </w:r>
      <w:r w:rsidRPr="00D22A15">
        <w:rPr>
          <w:rFonts w:ascii="Tahoma" w:hAnsi="Tahoma" w:cs="Tahoma"/>
          <w:sz w:val="20"/>
          <w:szCs w:val="20"/>
          <w:rtl/>
        </w:rPr>
        <w:t>להגנ"ס</w:t>
      </w:r>
      <w:r w:rsidRPr="00D22A15">
        <w:rPr>
          <w:rFonts w:ascii="Tahoma" w:hAnsi="Tahoma" w:cs="Tahoma"/>
          <w:sz w:val="20"/>
          <w:szCs w:val="20"/>
          <w:rtl/>
        </w:rPr>
        <w:t xml:space="preserve"> נמסר למשרד מבקר המדינה בינואר 2020 כי כמדיניות עקרונית, המשרד בחר לפעול ברוח החקיקה האירופית בנושא </w:t>
      </w:r>
      <w:r w:rsidRPr="00D22A15">
        <w:rPr>
          <w:rFonts w:ascii="Tahoma" w:hAnsi="Tahoma" w:cs="Tahoma"/>
          <w:sz w:val="20"/>
          <w:szCs w:val="20"/>
          <w:rtl/>
        </w:rPr>
        <w:t>מיחזור</w:t>
      </w:r>
      <w:r w:rsidRPr="00D22A15">
        <w:rPr>
          <w:rFonts w:ascii="Tahoma" w:hAnsi="Tahoma" w:cs="Tahoma"/>
          <w:sz w:val="20"/>
          <w:szCs w:val="20"/>
          <w:rtl/>
        </w:rPr>
        <w:t xml:space="preserve"> אריזות, בהן מכלי משקה. </w:t>
      </w:r>
    </w:p>
    <w:p w:rsidR="000930B3" w:rsidRPr="00D22A15" w:rsidP="005C4ABF" w14:paraId="59787F2F" w14:textId="34D4FB22">
      <w:pPr>
        <w:pStyle w:val="a5"/>
        <w:spacing w:before="120" w:after="120" w:line="320" w:lineRule="atLeast"/>
        <w:rPr>
          <w:rFonts w:ascii="Tahoma" w:hAnsi="Tahoma" w:cs="Tahoma"/>
          <w:sz w:val="20"/>
          <w:szCs w:val="20"/>
          <w:rtl/>
        </w:rPr>
      </w:pPr>
      <w:r w:rsidRPr="00D22A15">
        <w:rPr>
          <w:rFonts w:ascii="Tahoma" w:hAnsi="Tahoma" w:cs="Tahoma"/>
          <w:sz w:val="20"/>
          <w:szCs w:val="20"/>
          <w:rtl/>
        </w:rPr>
        <w:t>הטיפול באריזות עוגן בדירקטיבות האירופיות החל מ-1994</w:t>
      </w:r>
      <w:r>
        <w:rPr>
          <w:rFonts w:ascii="Tahoma" w:hAnsi="Tahoma" w:cs="Tahoma"/>
          <w:sz w:val="20"/>
          <w:szCs w:val="20"/>
          <w:vertAlign w:val="superscript"/>
          <w:rtl/>
        </w:rPr>
        <w:footnoteReference w:id="24"/>
      </w:r>
      <w:r w:rsidRPr="00D22A15">
        <w:rPr>
          <w:rFonts w:ascii="Tahoma" w:hAnsi="Tahoma" w:cs="Tahoma"/>
          <w:sz w:val="20"/>
          <w:szCs w:val="20"/>
          <w:rtl/>
        </w:rPr>
        <w:t xml:space="preserve">. לפי הדירקטיבה האירופית המעודכנת ל-2018, שיעור </w:t>
      </w:r>
      <w:r w:rsidRPr="00D22A15">
        <w:rPr>
          <w:rFonts w:ascii="Tahoma" w:hAnsi="Tahoma" w:cs="Tahoma"/>
          <w:sz w:val="20"/>
          <w:szCs w:val="20"/>
          <w:rtl/>
        </w:rPr>
        <w:t>המיחזור</w:t>
      </w:r>
      <w:r w:rsidRPr="00D22A15">
        <w:rPr>
          <w:rFonts w:ascii="Tahoma" w:hAnsi="Tahoma" w:cs="Tahoma"/>
          <w:sz w:val="20"/>
          <w:szCs w:val="20"/>
          <w:rtl/>
        </w:rPr>
        <w:t xml:space="preserve"> של אריזות הפלסטיק נדרש להגיע ל-50% עד 2025. באשר למכלי משקה, ביוני 2019</w:t>
      </w:r>
      <w:r w:rsidRPr="00D22A15">
        <w:rPr>
          <w:rFonts w:ascii="Tahoma" w:hAnsi="Tahoma" w:cs="Tahoma"/>
          <w:spacing w:val="-57"/>
          <w:sz w:val="20"/>
          <w:szCs w:val="20"/>
          <w:rtl/>
        </w:rPr>
        <w:t xml:space="preserve"> </w:t>
      </w:r>
      <w:r>
        <w:rPr>
          <w:rFonts w:ascii="Tahoma" w:hAnsi="Tahoma" w:cs="Tahoma"/>
          <w:sz w:val="20"/>
          <w:szCs w:val="20"/>
          <w:vertAlign w:val="superscript"/>
          <w:rtl/>
        </w:rPr>
        <w:footnoteReference w:id="25"/>
      </w:r>
      <w:r w:rsidRPr="00D22A15">
        <w:rPr>
          <w:rFonts w:ascii="Tahoma" w:hAnsi="Tahoma" w:cs="Tahoma"/>
          <w:sz w:val="20"/>
          <w:szCs w:val="20"/>
          <w:rtl/>
        </w:rPr>
        <w:t xml:space="preserve"> נחקקה דירקטיבה אירופית נוספת העוסקת בהפחתת ההשפעות של מוצרי פלסטיק מסוימים על הסביבה. לפי דירקטיבה זו, מדינות האיחוד מחויבות לפעול לאיסוף נפרד של מכלי משקה מפלסטיק שקיבולתם עד שלושה ליטרים לצורכי </w:t>
      </w:r>
      <w:r w:rsidRPr="00D22A15">
        <w:rPr>
          <w:rFonts w:ascii="Tahoma" w:hAnsi="Tahoma" w:cs="Tahoma"/>
          <w:sz w:val="20"/>
          <w:szCs w:val="20"/>
          <w:rtl/>
        </w:rPr>
        <w:t>מיחזור</w:t>
      </w:r>
      <w:r w:rsidRPr="00D22A15">
        <w:rPr>
          <w:rFonts w:ascii="Tahoma" w:hAnsi="Tahoma" w:cs="Tahoma"/>
          <w:sz w:val="20"/>
          <w:szCs w:val="20"/>
          <w:rtl/>
        </w:rPr>
        <w:t xml:space="preserve">. יעד האיסוף שנקבע עד 2025 הוא 77% </w:t>
      </w:r>
      <w:r w:rsidRPr="00515F3A">
        <w:rPr>
          <w:rStyle w:val="a4"/>
          <w:rFonts w:ascii="Tahoma" w:hAnsi="Tahoma" w:cs="Tahoma"/>
          <w:b/>
          <w:bCs/>
          <w:sz w:val="20"/>
          <w:szCs w:val="20"/>
          <w:rtl/>
        </w:rPr>
        <w:t>ממשקל</w:t>
      </w:r>
      <w:r w:rsidRPr="00D22A15">
        <w:rPr>
          <w:rFonts w:ascii="Tahoma" w:hAnsi="Tahoma" w:cs="Tahoma"/>
          <w:sz w:val="20"/>
          <w:szCs w:val="20"/>
          <w:rtl/>
        </w:rPr>
        <w:t xml:space="preserve"> המכלים ששווקו באותה שנה. היעד עד 2029 הוא 90% </w:t>
      </w:r>
      <w:r w:rsidRPr="00515F3A">
        <w:rPr>
          <w:rStyle w:val="a4"/>
          <w:rFonts w:ascii="Tahoma" w:hAnsi="Tahoma" w:cs="Tahoma"/>
          <w:b/>
          <w:bCs/>
          <w:sz w:val="20"/>
          <w:szCs w:val="20"/>
          <w:rtl/>
        </w:rPr>
        <w:t>ממשקל</w:t>
      </w:r>
      <w:r w:rsidRPr="00D22A15">
        <w:rPr>
          <w:rFonts w:ascii="Tahoma" w:hAnsi="Tahoma" w:cs="Tahoma"/>
          <w:sz w:val="20"/>
          <w:szCs w:val="20"/>
          <w:rtl/>
        </w:rPr>
        <w:t xml:space="preserve"> המכלים. על פי אותה דירקטיבה, מדינות האיחוד יכולות לבחור בין שתי שיטות להשגת היעד: איסוף באמצעות הטלת פיקדון (</w:t>
      </w:r>
      <w:r w:rsidRPr="00D22A15">
        <w:rPr>
          <w:rFonts w:ascii="Tahoma" w:hAnsi="Tahoma" w:cs="Tahoma"/>
          <w:sz w:val="20"/>
          <w:szCs w:val="20"/>
        </w:rPr>
        <w:t>DRS</w:t>
      </w:r>
      <w:r w:rsidRPr="00D22A15">
        <w:rPr>
          <w:rFonts w:ascii="Tahoma" w:hAnsi="Tahoma" w:cs="Tahoma"/>
          <w:sz w:val="20"/>
          <w:szCs w:val="20"/>
          <w:rtl/>
        </w:rPr>
        <w:t xml:space="preserve">) או קביעת יעד איסוף נפרד למכלי המשקה. </w:t>
      </w:r>
    </w:p>
    <w:p w:rsidR="000930B3" w:rsidRPr="00D22A15" w:rsidP="005C4ABF" w14:paraId="7EB4097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שיעור </w:t>
      </w:r>
      <w:r w:rsidRPr="00D22A15">
        <w:rPr>
          <w:rFonts w:ascii="Tahoma" w:hAnsi="Tahoma" w:cs="Tahoma"/>
          <w:sz w:val="20"/>
          <w:szCs w:val="20"/>
          <w:rtl/>
        </w:rPr>
        <w:t>המיחזור</w:t>
      </w:r>
      <w:r w:rsidRPr="00D22A15">
        <w:rPr>
          <w:rFonts w:ascii="Tahoma" w:hAnsi="Tahoma" w:cs="Tahoma"/>
          <w:sz w:val="20"/>
          <w:szCs w:val="20"/>
          <w:rtl/>
        </w:rPr>
        <w:t xml:space="preserve"> המוכר</w:t>
      </w:r>
      <w:r>
        <w:rPr>
          <w:rFonts w:ascii="Tahoma" w:hAnsi="Tahoma" w:cs="Tahoma"/>
          <w:sz w:val="20"/>
          <w:szCs w:val="20"/>
          <w:vertAlign w:val="superscript"/>
          <w:rtl/>
        </w:rPr>
        <w:footnoteReference w:id="26"/>
      </w:r>
      <w:r w:rsidRPr="00D22A15">
        <w:rPr>
          <w:rFonts w:ascii="Tahoma" w:hAnsi="Tahoma" w:cs="Tahoma"/>
          <w:sz w:val="20"/>
          <w:szCs w:val="20"/>
          <w:rtl/>
        </w:rPr>
        <w:t xml:space="preserve"> שנקבע בחוק האריזות (שחוקק כאמור בשנת 2011) עבור אריזות מפלסטיק עומד על 22.5% ממשקלן הכולל של האריזות שנמכרו והוא זהה ליעדי הדירקטיבה האירופית בעניין זה משנת 2004.</w:t>
      </w:r>
    </w:p>
    <w:p w:rsidR="000930B3" w:rsidRPr="00D22A15" w:rsidP="005C4ABF" w14:paraId="5BDCCAF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חוק הפיקדון על היצרנים והיבואנים לאסוף בכל שנה לפחות 73%, ובממוצע דו-שנתי - 77%, ממספר מכלי המשקה הקטנים ששווקו ו-55% ממספר מכלי המשקה הגדולים ששווקו, ועליהם למחזר 90% ממספר המכלים הקטנים והגדולים שנאספו. </w:t>
      </w:r>
    </w:p>
    <w:p w:rsidR="000930B3" w:rsidRPr="00DA075D" w:rsidP="008E06C5" w14:paraId="40633561" w14:textId="77777777">
      <w:pPr>
        <w:pStyle w:val="RESHET"/>
        <w:rPr>
          <w:rtl/>
        </w:rPr>
      </w:pPr>
      <w:r w:rsidRPr="00DA075D">
        <w:rPr>
          <w:rtl/>
        </w:rPr>
        <w:t xml:space="preserve">ככל שהמשרד </w:t>
      </w:r>
      <w:r w:rsidRPr="00DA075D">
        <w:rPr>
          <w:rtl/>
        </w:rPr>
        <w:t>להגנ"ס</w:t>
      </w:r>
      <w:r w:rsidRPr="00DA075D">
        <w:rPr>
          <w:rtl/>
        </w:rPr>
        <w:t xml:space="preserve"> פועל ברוח הדירקטיבות האירופיות, מומלץ כי יבחן את האפשרות לתקן את היעדים שנקבעו כך שעד 2025 יעמוד שיעור איסופם של מכלי משקה מפלסטיק על 77% ממשקל המכלים ששווקו בכל שנה, ועד לשנת 2029 יעמוד על 90% ממשקלם.</w:t>
      </w:r>
    </w:p>
    <w:p w:rsidR="000930B3" w:rsidRPr="00D22A15" w:rsidP="005C4ABF" w14:paraId="3903A74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בתגובות המשרד </w:t>
      </w:r>
      <w:r w:rsidRPr="00D22A15">
        <w:rPr>
          <w:rFonts w:ascii="Tahoma" w:hAnsi="Tahoma" w:cs="Tahoma"/>
          <w:sz w:val="20"/>
          <w:szCs w:val="20"/>
          <w:rtl/>
        </w:rPr>
        <w:t>להגנ"ס</w:t>
      </w:r>
      <w:r w:rsidRPr="00D22A15">
        <w:rPr>
          <w:rFonts w:ascii="Tahoma" w:hAnsi="Tahoma" w:cs="Tahoma"/>
          <w:sz w:val="20"/>
          <w:szCs w:val="20"/>
          <w:rtl/>
        </w:rPr>
        <w:t xml:space="preserve"> למשרד מבקר המדינה מדצמבר 2020 (להלן - תגובת המשרד </w:t>
      </w:r>
      <w:r w:rsidRPr="00D22A15">
        <w:rPr>
          <w:rFonts w:ascii="Tahoma" w:hAnsi="Tahoma" w:cs="Tahoma"/>
          <w:sz w:val="20"/>
          <w:szCs w:val="20"/>
          <w:rtl/>
        </w:rPr>
        <w:t>להגנ"ס</w:t>
      </w:r>
      <w:r w:rsidRPr="00D22A15">
        <w:rPr>
          <w:rFonts w:ascii="Tahoma" w:hAnsi="Tahoma" w:cs="Tahoma"/>
          <w:sz w:val="20"/>
          <w:szCs w:val="20"/>
          <w:rtl/>
        </w:rPr>
        <w:t xml:space="preserve">) נמסר כי הטלת פיקדון על מכלי משקה גדולים בהתאם להחלטת השרה תביא לשינוי אוטומטי ביעדי האיסוף של מספר המכלים הגדולים לפי הקבוע בחוק הפיקדון: בשנתיים </w:t>
      </w:r>
      <w:r w:rsidRPr="00D22A15">
        <w:rPr>
          <w:rFonts w:ascii="Tahoma" w:hAnsi="Tahoma" w:cs="Tahoma"/>
          <w:sz w:val="20"/>
          <w:szCs w:val="20"/>
          <w:rtl/>
        </w:rPr>
        <w:t>הראשונות שתחילתן במועד התחולה יהיה יעד האיסוף הממוצע 68% ויעד האיסוף השנתי 65%; בשנתיים השלישית והרביעית יהיה יעד האיסוף הממוצע 73% ויעד האיסוף השנתי 71%. המשרד הוסיף כי לקביעת יעדי איסוף גבוהים יותר נדרש תיקון חקיקה וכי הוא יכין הצעה לתיקון האמור.</w:t>
      </w:r>
    </w:p>
    <w:p w:rsidR="000930B3" w:rsidRPr="00DA075D" w:rsidP="00A07626" w14:paraId="5C35FF60" w14:textId="77777777">
      <w:pPr>
        <w:pStyle w:val="4"/>
        <w:rPr>
          <w:rtl/>
        </w:rPr>
      </w:pPr>
      <w:r w:rsidRPr="00DA075D">
        <w:rPr>
          <w:rtl/>
        </w:rPr>
        <w:t xml:space="preserve">גובה דמי הפיקדון, שיעור האיסוף </w:t>
      </w:r>
      <w:r w:rsidRPr="00DA075D">
        <w:rPr>
          <w:rtl/>
        </w:rPr>
        <w:t>והמיחזור</w:t>
      </w:r>
    </w:p>
    <w:p w:rsidR="000930B3" w:rsidRPr="00D22A15" w:rsidP="005C4ABF" w14:paraId="1E92EDE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משרד מבקר המדינה ערך השוואה בין תוצאות מערכות האיסוף בעשר מדינות אירופיות שבהן מוטל פיקדון על מכלי משקה: ליטא, הולנד, שוודיה, גרמניה, דנמרק, קרואטיה, אסטוניה, פינלנד, </w:t>
      </w:r>
      <w:r w:rsidRPr="00D22A15">
        <w:rPr>
          <w:rFonts w:ascii="Tahoma" w:hAnsi="Tahoma" w:cs="Tahoma"/>
          <w:sz w:val="20"/>
          <w:szCs w:val="20"/>
          <w:rtl/>
        </w:rPr>
        <w:t>נורווגיה</w:t>
      </w:r>
      <w:r w:rsidRPr="00D22A15">
        <w:rPr>
          <w:rFonts w:ascii="Tahoma" w:hAnsi="Tahoma" w:cs="Tahoma"/>
          <w:sz w:val="20"/>
          <w:szCs w:val="20"/>
          <w:rtl/>
        </w:rPr>
        <w:t xml:space="preserve"> ואיסלנד. בלוח שלהלן יוצג מידע על דמי הפיקדון המוטלים במדינות האמורות ושיעור האיסוף שהושג בהן:</w:t>
      </w:r>
    </w:p>
    <w:p w:rsidR="00ED3B48" w14:paraId="3BC1A4C5" w14:textId="77777777">
      <w:pPr>
        <w:bidi w:val="0"/>
        <w:spacing w:after="200" w:line="276" w:lineRule="auto"/>
        <w:rPr>
          <w:rFonts w:ascii="Tahoma" w:hAnsi="Tahoma" w:eastAsiaTheme="minorEastAsia" w:cs="Tahoma"/>
          <w:color w:val="365F91" w:themeColor="accent1" w:themeShade="BF"/>
          <w:szCs w:val="20"/>
          <w:rtl/>
        </w:rPr>
      </w:pPr>
      <w:r>
        <w:rPr>
          <w:b/>
          <w:bCs/>
          <w:rtl/>
        </w:rPr>
        <w:br w:type="page"/>
      </w:r>
    </w:p>
    <w:p w:rsidR="000930B3" w:rsidRPr="00DA075D" w:rsidP="00AD02C3" w14:paraId="05BC88B7" w14:textId="5E8552AD">
      <w:pPr>
        <w:pStyle w:val="a1"/>
        <w:spacing w:line="320" w:lineRule="atLeast"/>
        <w:rPr>
          <w:rtl/>
        </w:rPr>
      </w:pPr>
      <w:r w:rsidRPr="00D22A15">
        <w:rPr>
          <w:b w:val="0"/>
          <w:bCs w:val="0"/>
          <w:rtl/>
        </w:rPr>
        <w:t xml:space="preserve">לוח 2: </w:t>
      </w:r>
      <w:r w:rsidRPr="00DA075D">
        <w:rPr>
          <w:rtl/>
        </w:rPr>
        <w:t>דמי הפיקדון ושיעור האיסוף במדינות באירופה</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951"/>
        <w:gridCol w:w="1187"/>
        <w:gridCol w:w="1051"/>
        <w:gridCol w:w="1023"/>
        <w:gridCol w:w="864"/>
        <w:gridCol w:w="1175"/>
        <w:gridCol w:w="1177"/>
        <w:gridCol w:w="794"/>
      </w:tblGrid>
      <w:tr w14:paraId="5DEE5CFC" w14:textId="77777777" w:rsidTr="00515F3A">
        <w:tblPrEx>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cantSplit/>
          <w:tblHeader/>
          <w:jc w:val="center"/>
        </w:trPr>
        <w:tc>
          <w:tcPr>
            <w:tcW w:w="0" w:type="auto"/>
            <w:tcBorders>
              <w:top w:val="single" w:sz="8" w:space="0" w:color="auto"/>
              <w:bottom w:val="single" w:sz="8" w:space="0" w:color="auto"/>
            </w:tcBorders>
            <w:shd w:val="clear" w:color="auto" w:fill="C6D9F1"/>
            <w:vAlign w:val="bottom"/>
          </w:tcPr>
          <w:p w:rsidR="005C4ABF" w:rsidRPr="005C4ABF" w:rsidP="00515F3A" w14:paraId="697D16AF" w14:textId="77777777">
            <w:pPr>
              <w:pStyle w:val="a20"/>
              <w:tabs>
                <w:tab w:val="clear" w:pos="340"/>
              </w:tabs>
              <w:spacing w:before="40" w:after="40" w:line="240" w:lineRule="atLeast"/>
              <w:jc w:val="left"/>
              <w:rPr>
                <w:rFonts w:ascii="Tahoma" w:hAnsi="Tahoma" w:cs="Tahoma"/>
                <w:b/>
                <w:bCs/>
                <w:rtl/>
              </w:rPr>
            </w:pPr>
            <w:r w:rsidRPr="005C4ABF">
              <w:rPr>
                <w:rFonts w:ascii="Tahoma" w:hAnsi="Tahoma" w:cs="Tahoma"/>
                <w:b/>
                <w:bCs/>
                <w:rtl/>
              </w:rPr>
              <w:t>המדינה</w:t>
            </w:r>
          </w:p>
        </w:tc>
        <w:tc>
          <w:tcPr>
            <w:tcW w:w="0" w:type="auto"/>
            <w:tcBorders>
              <w:top w:val="single" w:sz="8" w:space="0" w:color="auto"/>
              <w:bottom w:val="single" w:sz="8" w:space="0" w:color="auto"/>
            </w:tcBorders>
            <w:shd w:val="clear" w:color="auto" w:fill="C6D9F1"/>
            <w:vAlign w:val="bottom"/>
          </w:tcPr>
          <w:p w:rsidR="005C4ABF" w:rsidRPr="005C4ABF" w:rsidP="00515F3A" w14:paraId="7EDC22B8" w14:textId="1E820F6B">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השכר </w:t>
            </w:r>
            <w:r w:rsidR="00515F3A">
              <w:rPr>
                <w:rFonts w:ascii="Tahoma" w:hAnsi="Tahoma" w:cs="Tahoma"/>
                <w:b/>
                <w:bCs/>
                <w:sz w:val="18"/>
                <w:szCs w:val="18"/>
              </w:rPr>
              <w:br/>
            </w:r>
            <w:r w:rsidRPr="005C4ABF">
              <w:rPr>
                <w:rFonts w:ascii="Tahoma" w:hAnsi="Tahoma" w:cs="Tahoma"/>
                <w:b/>
                <w:bCs/>
                <w:sz w:val="18"/>
                <w:szCs w:val="18"/>
                <w:rtl/>
              </w:rPr>
              <w:t xml:space="preserve">השנתי </w:t>
            </w:r>
            <w:r w:rsidR="00515F3A">
              <w:rPr>
                <w:rFonts w:ascii="Tahoma" w:hAnsi="Tahoma" w:cs="Tahoma"/>
                <w:b/>
                <w:bCs/>
                <w:sz w:val="18"/>
                <w:szCs w:val="18"/>
              </w:rPr>
              <w:br/>
            </w:r>
            <w:r w:rsidRPr="005C4ABF">
              <w:rPr>
                <w:rFonts w:ascii="Tahoma" w:hAnsi="Tahoma" w:cs="Tahoma"/>
                <w:b/>
                <w:bCs/>
                <w:sz w:val="18"/>
                <w:szCs w:val="18"/>
                <w:rtl/>
              </w:rPr>
              <w:t xml:space="preserve">הממוצע </w:t>
            </w:r>
            <w:r w:rsidR="00515F3A">
              <w:rPr>
                <w:rFonts w:ascii="Tahoma" w:hAnsi="Tahoma" w:cs="Tahoma"/>
                <w:b/>
                <w:bCs/>
                <w:sz w:val="18"/>
                <w:szCs w:val="18"/>
              </w:rPr>
              <w:br/>
            </w:r>
            <w:r w:rsidRPr="005C4ABF">
              <w:rPr>
                <w:rFonts w:ascii="Tahoma" w:hAnsi="Tahoma" w:cs="Tahoma"/>
                <w:b/>
                <w:bCs/>
                <w:sz w:val="18"/>
                <w:szCs w:val="18"/>
                <w:rtl/>
              </w:rPr>
              <w:t>(בדולרים)</w:t>
            </w:r>
            <w:r>
              <w:rPr>
                <w:rFonts w:ascii="Tahoma" w:hAnsi="Tahoma" w:cs="Tahoma"/>
                <w:b/>
                <w:bCs/>
                <w:sz w:val="18"/>
                <w:szCs w:val="18"/>
                <w:vertAlign w:val="superscript"/>
                <w:rtl/>
              </w:rPr>
              <w:footnoteReference w:id="27"/>
            </w:r>
          </w:p>
        </w:tc>
        <w:tc>
          <w:tcPr>
            <w:tcW w:w="0" w:type="auto"/>
            <w:tcBorders>
              <w:top w:val="single" w:sz="8" w:space="0" w:color="auto"/>
              <w:bottom w:val="single" w:sz="8" w:space="0" w:color="auto"/>
            </w:tcBorders>
            <w:shd w:val="clear" w:color="auto" w:fill="C6D9F1"/>
            <w:vAlign w:val="bottom"/>
          </w:tcPr>
          <w:p w:rsidR="005C4ABF" w:rsidRPr="005C4ABF" w:rsidP="00515F3A" w14:paraId="5E2CE34E" w14:textId="40073B9B">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צפיפות </w:t>
            </w:r>
            <w:r w:rsidR="00515F3A">
              <w:rPr>
                <w:rFonts w:ascii="Tahoma" w:hAnsi="Tahoma" w:cs="Tahoma"/>
                <w:b/>
                <w:bCs/>
                <w:sz w:val="18"/>
                <w:szCs w:val="18"/>
              </w:rPr>
              <w:br/>
            </w:r>
            <w:r w:rsidRPr="005C4ABF">
              <w:rPr>
                <w:rFonts w:ascii="Tahoma" w:hAnsi="Tahoma" w:cs="Tahoma"/>
                <w:b/>
                <w:bCs/>
                <w:sz w:val="18"/>
                <w:szCs w:val="18"/>
                <w:rtl/>
              </w:rPr>
              <w:t xml:space="preserve">האוכלוסין </w:t>
            </w:r>
            <w:r w:rsidR="00515F3A">
              <w:rPr>
                <w:rFonts w:ascii="Tahoma" w:hAnsi="Tahoma" w:cs="Tahoma"/>
                <w:b/>
                <w:bCs/>
                <w:sz w:val="18"/>
                <w:szCs w:val="18"/>
              </w:rPr>
              <w:br/>
            </w:r>
            <w:r w:rsidRPr="005C4ABF">
              <w:rPr>
                <w:rFonts w:ascii="Tahoma" w:hAnsi="Tahoma" w:cs="Tahoma"/>
                <w:b/>
                <w:bCs/>
                <w:sz w:val="18"/>
                <w:szCs w:val="18"/>
                <w:rtl/>
              </w:rPr>
              <w:t xml:space="preserve">(תושבים </w:t>
            </w:r>
            <w:r w:rsidR="00515F3A">
              <w:rPr>
                <w:rFonts w:ascii="Tahoma" w:hAnsi="Tahoma" w:cs="Tahoma"/>
                <w:b/>
                <w:bCs/>
                <w:sz w:val="18"/>
                <w:szCs w:val="18"/>
              </w:rPr>
              <w:br/>
            </w:r>
            <w:r w:rsidRPr="005C4ABF">
              <w:rPr>
                <w:rFonts w:ascii="Tahoma" w:hAnsi="Tahoma" w:cs="Tahoma"/>
                <w:b/>
                <w:bCs/>
                <w:sz w:val="18"/>
                <w:szCs w:val="18"/>
                <w:rtl/>
              </w:rPr>
              <w:t>לקמ"ר)</w:t>
            </w:r>
            <w:r>
              <w:rPr>
                <w:rFonts w:ascii="Tahoma" w:hAnsi="Tahoma" w:cs="Tahoma"/>
                <w:b/>
                <w:bCs/>
                <w:sz w:val="18"/>
                <w:szCs w:val="18"/>
                <w:vertAlign w:val="superscript"/>
                <w:rtl/>
              </w:rPr>
              <w:footnoteReference w:id="28"/>
            </w:r>
          </w:p>
        </w:tc>
        <w:tc>
          <w:tcPr>
            <w:tcW w:w="0" w:type="auto"/>
            <w:tcBorders>
              <w:top w:val="single" w:sz="8" w:space="0" w:color="auto"/>
              <w:bottom w:val="single" w:sz="8" w:space="0" w:color="auto"/>
            </w:tcBorders>
            <w:shd w:val="clear" w:color="auto" w:fill="C6D9F1"/>
            <w:vAlign w:val="bottom"/>
          </w:tcPr>
          <w:p w:rsidR="005C4ABF" w:rsidRPr="005C4ABF" w:rsidP="00515F3A" w14:paraId="7B1907EA" w14:textId="7086805F">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שנת </w:t>
            </w:r>
            <w:r w:rsidR="00515F3A">
              <w:rPr>
                <w:rFonts w:ascii="Tahoma" w:hAnsi="Tahoma" w:cs="Tahoma"/>
                <w:b/>
                <w:bCs/>
                <w:sz w:val="18"/>
                <w:szCs w:val="18"/>
              </w:rPr>
              <w:br/>
            </w:r>
            <w:r w:rsidRPr="005C4ABF">
              <w:rPr>
                <w:rFonts w:ascii="Tahoma" w:hAnsi="Tahoma" w:cs="Tahoma"/>
                <w:b/>
                <w:bCs/>
                <w:sz w:val="18"/>
                <w:szCs w:val="18"/>
                <w:rtl/>
              </w:rPr>
              <w:t>החקיקה</w:t>
            </w:r>
          </w:p>
        </w:tc>
        <w:tc>
          <w:tcPr>
            <w:tcW w:w="0" w:type="auto"/>
            <w:tcBorders>
              <w:top w:val="single" w:sz="8" w:space="0" w:color="auto"/>
              <w:bottom w:val="single" w:sz="8" w:space="0" w:color="auto"/>
            </w:tcBorders>
            <w:shd w:val="clear" w:color="auto" w:fill="C6D9F1"/>
            <w:vAlign w:val="bottom"/>
          </w:tcPr>
          <w:p w:rsidR="005C4ABF" w:rsidRPr="005C4ABF" w:rsidP="00515F3A" w14:paraId="0A51A162" w14:textId="743C1728">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חומר </w:t>
            </w:r>
            <w:r w:rsidR="00515F3A">
              <w:rPr>
                <w:rFonts w:ascii="Tahoma" w:hAnsi="Tahoma" w:cs="Tahoma"/>
                <w:b/>
                <w:bCs/>
                <w:sz w:val="18"/>
                <w:szCs w:val="18"/>
              </w:rPr>
              <w:br/>
            </w:r>
            <w:r w:rsidRPr="005C4ABF">
              <w:rPr>
                <w:rFonts w:ascii="Tahoma" w:hAnsi="Tahoma" w:cs="Tahoma"/>
                <w:b/>
                <w:bCs/>
                <w:sz w:val="18"/>
                <w:szCs w:val="18"/>
                <w:rtl/>
              </w:rPr>
              <w:t xml:space="preserve">הגלם </w:t>
            </w:r>
            <w:r w:rsidR="00515F3A">
              <w:rPr>
                <w:rFonts w:ascii="Tahoma" w:hAnsi="Tahoma" w:cs="Tahoma"/>
                <w:b/>
                <w:bCs/>
                <w:sz w:val="18"/>
                <w:szCs w:val="18"/>
              </w:rPr>
              <w:br/>
            </w:r>
            <w:r w:rsidRPr="005C4ABF">
              <w:rPr>
                <w:rFonts w:ascii="Tahoma" w:hAnsi="Tahoma" w:cs="Tahoma"/>
                <w:b/>
                <w:bCs/>
                <w:sz w:val="18"/>
                <w:szCs w:val="18"/>
                <w:rtl/>
              </w:rPr>
              <w:t xml:space="preserve">של </w:t>
            </w:r>
            <w:r w:rsidR="00515F3A">
              <w:rPr>
                <w:rFonts w:ascii="Tahoma" w:hAnsi="Tahoma" w:cs="Tahoma"/>
                <w:b/>
                <w:bCs/>
                <w:sz w:val="18"/>
                <w:szCs w:val="18"/>
              </w:rPr>
              <w:br/>
            </w:r>
            <w:r w:rsidRPr="005C4ABF">
              <w:rPr>
                <w:rFonts w:ascii="Tahoma" w:hAnsi="Tahoma" w:cs="Tahoma"/>
                <w:b/>
                <w:bCs/>
                <w:sz w:val="18"/>
                <w:szCs w:val="18"/>
                <w:rtl/>
              </w:rPr>
              <w:t xml:space="preserve">המכלים </w:t>
            </w:r>
            <w:r w:rsidR="00515F3A">
              <w:rPr>
                <w:rFonts w:ascii="Tahoma" w:hAnsi="Tahoma" w:cs="Tahoma"/>
                <w:b/>
                <w:bCs/>
                <w:sz w:val="18"/>
                <w:szCs w:val="18"/>
              </w:rPr>
              <w:br/>
            </w:r>
            <w:r w:rsidRPr="005C4ABF">
              <w:rPr>
                <w:rFonts w:ascii="Tahoma" w:hAnsi="Tahoma" w:cs="Tahoma"/>
                <w:b/>
                <w:bCs/>
                <w:sz w:val="18"/>
                <w:szCs w:val="18"/>
                <w:rtl/>
              </w:rPr>
              <w:t xml:space="preserve">שעליהם </w:t>
            </w:r>
            <w:r w:rsidR="00515F3A">
              <w:rPr>
                <w:rFonts w:ascii="Tahoma" w:hAnsi="Tahoma" w:cs="Tahoma"/>
                <w:b/>
                <w:bCs/>
                <w:sz w:val="18"/>
                <w:szCs w:val="18"/>
              </w:rPr>
              <w:br/>
            </w:r>
            <w:r w:rsidRPr="005C4ABF">
              <w:rPr>
                <w:rFonts w:ascii="Tahoma" w:hAnsi="Tahoma" w:cs="Tahoma"/>
                <w:b/>
                <w:bCs/>
                <w:sz w:val="18"/>
                <w:szCs w:val="18"/>
                <w:rtl/>
              </w:rPr>
              <w:t xml:space="preserve">הוטל </w:t>
            </w:r>
            <w:r w:rsidR="00515F3A">
              <w:rPr>
                <w:rFonts w:ascii="Tahoma" w:hAnsi="Tahoma" w:cs="Tahoma"/>
                <w:b/>
                <w:bCs/>
                <w:sz w:val="18"/>
                <w:szCs w:val="18"/>
              </w:rPr>
              <w:br/>
            </w:r>
            <w:r w:rsidRPr="005C4ABF">
              <w:rPr>
                <w:rFonts w:ascii="Tahoma" w:hAnsi="Tahoma" w:cs="Tahoma"/>
                <w:b/>
                <w:bCs/>
                <w:sz w:val="18"/>
                <w:szCs w:val="18"/>
                <w:rtl/>
              </w:rPr>
              <w:t>פיקדון</w:t>
            </w:r>
          </w:p>
        </w:tc>
        <w:tc>
          <w:tcPr>
            <w:tcW w:w="0" w:type="auto"/>
            <w:tcBorders>
              <w:top w:val="single" w:sz="8" w:space="0" w:color="auto"/>
              <w:bottom w:val="single" w:sz="8" w:space="0" w:color="auto"/>
            </w:tcBorders>
            <w:shd w:val="clear" w:color="auto" w:fill="C6D9F1"/>
            <w:vAlign w:val="bottom"/>
          </w:tcPr>
          <w:p w:rsidR="005C4ABF" w:rsidRPr="005C4ABF" w:rsidP="00515F3A" w14:paraId="78A8EC5D" w14:textId="254D9834">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דמי </w:t>
            </w:r>
            <w:r w:rsidR="00515F3A">
              <w:rPr>
                <w:rFonts w:ascii="Tahoma" w:hAnsi="Tahoma" w:cs="Tahoma"/>
                <w:b/>
                <w:bCs/>
                <w:sz w:val="18"/>
                <w:szCs w:val="18"/>
              </w:rPr>
              <w:br/>
            </w:r>
            <w:r w:rsidRPr="005C4ABF">
              <w:rPr>
                <w:rFonts w:ascii="Tahoma" w:hAnsi="Tahoma" w:cs="Tahoma"/>
                <w:b/>
                <w:bCs/>
                <w:sz w:val="18"/>
                <w:szCs w:val="18"/>
                <w:rtl/>
              </w:rPr>
              <w:t xml:space="preserve">הפיקדון </w:t>
            </w:r>
            <w:r w:rsidR="00515F3A">
              <w:rPr>
                <w:rFonts w:ascii="Tahoma" w:hAnsi="Tahoma" w:cs="Tahoma"/>
                <w:b/>
                <w:bCs/>
                <w:sz w:val="18"/>
                <w:szCs w:val="18"/>
              </w:rPr>
              <w:br/>
            </w:r>
            <w:r w:rsidRPr="005C4ABF">
              <w:rPr>
                <w:rFonts w:ascii="Tahoma" w:hAnsi="Tahoma" w:cs="Tahoma"/>
                <w:b/>
                <w:bCs/>
                <w:sz w:val="18"/>
                <w:szCs w:val="18"/>
                <w:rtl/>
              </w:rPr>
              <w:t>(בש"ח</w:t>
            </w:r>
            <w:r w:rsidR="00A8502C">
              <w:rPr>
                <w:rFonts w:ascii="Tahoma" w:hAnsi="Tahoma" w:cs="Tahoma" w:hint="cs"/>
                <w:b/>
                <w:bCs/>
                <w:sz w:val="18"/>
                <w:szCs w:val="18"/>
                <w:rtl/>
              </w:rPr>
              <w:t>)</w:t>
            </w:r>
            <w:r>
              <w:rPr>
                <w:rFonts w:ascii="Tahoma" w:hAnsi="Tahoma" w:cs="Tahoma"/>
                <w:b/>
                <w:bCs/>
                <w:sz w:val="18"/>
                <w:szCs w:val="18"/>
                <w:vertAlign w:val="superscript"/>
                <w:rtl/>
              </w:rPr>
              <w:footnoteReference w:id="29"/>
            </w:r>
            <w:r w:rsidRPr="005C4ABF">
              <w:rPr>
                <w:rFonts w:ascii="Tahoma" w:hAnsi="Tahoma" w:cs="Tahoma"/>
                <w:b/>
                <w:bCs/>
                <w:sz w:val="18"/>
                <w:szCs w:val="18"/>
                <w:vertAlign w:val="superscript"/>
                <w:rtl/>
              </w:rPr>
              <w:t xml:space="preserve">, </w:t>
            </w:r>
            <w:r>
              <w:rPr>
                <w:rFonts w:ascii="Tahoma" w:hAnsi="Tahoma" w:cs="Tahoma"/>
                <w:b/>
                <w:bCs/>
                <w:sz w:val="18"/>
                <w:szCs w:val="18"/>
                <w:vertAlign w:val="superscript"/>
                <w:rtl/>
              </w:rPr>
              <w:footnoteReference w:id="30"/>
            </w:r>
          </w:p>
        </w:tc>
        <w:tc>
          <w:tcPr>
            <w:tcW w:w="0" w:type="auto"/>
            <w:tcBorders>
              <w:top w:val="single" w:sz="8" w:space="0" w:color="auto"/>
              <w:bottom w:val="single" w:sz="8" w:space="0" w:color="auto"/>
            </w:tcBorders>
            <w:shd w:val="clear" w:color="auto" w:fill="C6D9F1"/>
            <w:vAlign w:val="bottom"/>
          </w:tcPr>
          <w:p w:rsidR="005C4ABF" w:rsidRPr="005C4ABF" w:rsidP="00515F3A" w14:paraId="03809BBB" w14:textId="1D359CA6">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שיעור </w:t>
            </w:r>
            <w:r w:rsidR="00515F3A">
              <w:rPr>
                <w:rFonts w:ascii="Tahoma" w:hAnsi="Tahoma" w:cs="Tahoma"/>
                <w:b/>
                <w:bCs/>
                <w:sz w:val="18"/>
                <w:szCs w:val="18"/>
              </w:rPr>
              <w:br/>
            </w:r>
            <w:r w:rsidRPr="005C4ABF">
              <w:rPr>
                <w:rFonts w:ascii="Tahoma" w:hAnsi="Tahoma" w:cs="Tahoma"/>
                <w:b/>
                <w:bCs/>
                <w:sz w:val="18"/>
                <w:szCs w:val="18"/>
                <w:rtl/>
              </w:rPr>
              <w:t xml:space="preserve">האיסוף </w:t>
            </w:r>
            <w:r w:rsidR="00515F3A">
              <w:rPr>
                <w:rFonts w:ascii="Tahoma" w:hAnsi="Tahoma" w:cs="Tahoma"/>
                <w:b/>
                <w:bCs/>
                <w:sz w:val="18"/>
                <w:szCs w:val="18"/>
              </w:rPr>
              <w:br/>
            </w:r>
            <w:r w:rsidRPr="005C4ABF">
              <w:rPr>
                <w:rFonts w:ascii="Tahoma" w:hAnsi="Tahoma" w:cs="Tahoma"/>
                <w:b/>
                <w:bCs/>
                <w:sz w:val="18"/>
                <w:szCs w:val="18"/>
                <w:rtl/>
              </w:rPr>
              <w:t xml:space="preserve">מתוך כלל </w:t>
            </w:r>
            <w:r w:rsidR="00515F3A">
              <w:rPr>
                <w:rFonts w:ascii="Tahoma" w:hAnsi="Tahoma" w:cs="Tahoma"/>
                <w:b/>
                <w:bCs/>
                <w:sz w:val="18"/>
                <w:szCs w:val="18"/>
              </w:rPr>
              <w:br/>
            </w:r>
            <w:r w:rsidRPr="005C4ABF">
              <w:rPr>
                <w:rFonts w:ascii="Tahoma" w:hAnsi="Tahoma" w:cs="Tahoma"/>
                <w:b/>
                <w:bCs/>
                <w:sz w:val="18"/>
                <w:szCs w:val="18"/>
                <w:rtl/>
              </w:rPr>
              <w:t xml:space="preserve">המכירות </w:t>
            </w:r>
            <w:r w:rsidR="00515F3A">
              <w:rPr>
                <w:rFonts w:ascii="Tahoma" w:hAnsi="Tahoma" w:cs="Tahoma"/>
                <w:b/>
                <w:bCs/>
                <w:sz w:val="18"/>
                <w:szCs w:val="18"/>
              </w:rPr>
              <w:br/>
            </w:r>
            <w:r w:rsidRPr="005C4ABF">
              <w:rPr>
                <w:rFonts w:ascii="Tahoma" w:hAnsi="Tahoma" w:cs="Tahoma"/>
                <w:b/>
                <w:bCs/>
                <w:sz w:val="18"/>
                <w:szCs w:val="18"/>
                <w:rtl/>
              </w:rPr>
              <w:t>(באחוזים)</w:t>
            </w:r>
            <w:r>
              <w:rPr>
                <w:rFonts w:ascii="Tahoma" w:hAnsi="Tahoma" w:cs="Tahoma"/>
                <w:b/>
                <w:bCs/>
                <w:sz w:val="18"/>
                <w:szCs w:val="18"/>
                <w:vertAlign w:val="superscript"/>
                <w:rtl/>
              </w:rPr>
              <w:footnoteReference w:id="31"/>
            </w:r>
          </w:p>
        </w:tc>
        <w:tc>
          <w:tcPr>
            <w:tcW w:w="0" w:type="auto"/>
            <w:tcBorders>
              <w:top w:val="single" w:sz="8" w:space="0" w:color="auto"/>
              <w:bottom w:val="single" w:sz="8" w:space="0" w:color="auto"/>
            </w:tcBorders>
            <w:shd w:val="clear" w:color="auto" w:fill="C6D9F1"/>
            <w:vAlign w:val="bottom"/>
          </w:tcPr>
          <w:p w:rsidR="005C4ABF" w:rsidRPr="005C4ABF" w:rsidP="00515F3A" w14:paraId="77E316CB" w14:textId="2D23E20A">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 xml:space="preserve">שנת </w:t>
            </w:r>
            <w:r w:rsidR="00515F3A">
              <w:rPr>
                <w:rFonts w:ascii="Tahoma" w:hAnsi="Tahoma" w:cs="Tahoma"/>
                <w:b/>
                <w:bCs/>
                <w:sz w:val="18"/>
                <w:szCs w:val="18"/>
              </w:rPr>
              <w:br/>
            </w:r>
            <w:r w:rsidRPr="005C4ABF">
              <w:rPr>
                <w:rFonts w:ascii="Tahoma" w:hAnsi="Tahoma" w:cs="Tahoma"/>
                <w:b/>
                <w:bCs/>
                <w:sz w:val="18"/>
                <w:szCs w:val="18"/>
                <w:rtl/>
              </w:rPr>
              <w:t xml:space="preserve">עדכון </w:t>
            </w:r>
            <w:r w:rsidR="00515F3A">
              <w:rPr>
                <w:rFonts w:ascii="Tahoma" w:hAnsi="Tahoma" w:cs="Tahoma"/>
                <w:b/>
                <w:bCs/>
                <w:sz w:val="18"/>
                <w:szCs w:val="18"/>
              </w:rPr>
              <w:br/>
            </w:r>
            <w:r w:rsidRPr="005C4ABF">
              <w:rPr>
                <w:rFonts w:ascii="Tahoma" w:hAnsi="Tahoma" w:cs="Tahoma"/>
                <w:b/>
                <w:bCs/>
                <w:sz w:val="18"/>
                <w:szCs w:val="18"/>
                <w:rtl/>
              </w:rPr>
              <w:t xml:space="preserve">נתוני </w:t>
            </w:r>
            <w:r w:rsidR="00515F3A">
              <w:rPr>
                <w:rFonts w:ascii="Tahoma" w:hAnsi="Tahoma" w:cs="Tahoma"/>
                <w:b/>
                <w:bCs/>
                <w:sz w:val="18"/>
                <w:szCs w:val="18"/>
              </w:rPr>
              <w:br/>
            </w:r>
            <w:r w:rsidRPr="005C4ABF">
              <w:rPr>
                <w:rFonts w:ascii="Tahoma" w:hAnsi="Tahoma" w:cs="Tahoma"/>
                <w:b/>
                <w:bCs/>
                <w:sz w:val="18"/>
                <w:szCs w:val="18"/>
                <w:rtl/>
              </w:rPr>
              <w:t xml:space="preserve">האיסוף </w:t>
            </w:r>
          </w:p>
        </w:tc>
      </w:tr>
      <w:tr w14:paraId="2E51F5AE" w14:textId="77777777" w:rsidTr="00515F3A">
        <w:tblPrEx>
          <w:tblW w:w="8222" w:type="dxa"/>
          <w:jc w:val="center"/>
          <w:tblCellMar>
            <w:left w:w="57" w:type="dxa"/>
            <w:right w:w="57" w:type="dxa"/>
          </w:tblCellMar>
          <w:tblLook w:val="04A0"/>
        </w:tblPrEx>
        <w:trPr>
          <w:cantSplit/>
          <w:jc w:val="center"/>
        </w:trPr>
        <w:tc>
          <w:tcPr>
            <w:tcW w:w="0" w:type="auto"/>
            <w:tcBorders>
              <w:top w:val="single" w:sz="8" w:space="0" w:color="auto"/>
            </w:tcBorders>
          </w:tcPr>
          <w:p w:rsidR="005C4ABF" w:rsidRPr="005C4ABF" w:rsidP="00515F3A" w14:paraId="1C72177A"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קרואטיה</w:t>
            </w:r>
            <w:r>
              <w:rPr>
                <w:rFonts w:ascii="Tahoma" w:hAnsi="Tahoma" w:cs="Tahoma"/>
                <w:sz w:val="18"/>
                <w:szCs w:val="18"/>
                <w:vertAlign w:val="superscript"/>
                <w:rtl/>
              </w:rPr>
              <w:footnoteReference w:id="32"/>
            </w:r>
          </w:p>
        </w:tc>
        <w:tc>
          <w:tcPr>
            <w:tcW w:w="0" w:type="auto"/>
            <w:tcBorders>
              <w:top w:val="single" w:sz="8" w:space="0" w:color="auto"/>
            </w:tcBorders>
          </w:tcPr>
          <w:p w:rsidR="005C4ABF" w:rsidRPr="005C4ABF" w:rsidP="00515F3A" w14:paraId="5FFB5452" w14:textId="77777777">
            <w:pPr>
              <w:pStyle w:val="a21"/>
              <w:tabs>
                <w:tab w:val="clear" w:pos="340"/>
              </w:tabs>
              <w:spacing w:before="40" w:after="40" w:line="240" w:lineRule="atLeast"/>
              <w:rPr>
                <w:rFonts w:ascii="Tahoma" w:hAnsi="Tahoma" w:eastAsiaTheme="minorHAnsi" w:cs="Tahoma"/>
                <w:color w:val="auto"/>
                <w:sz w:val="24"/>
                <w:szCs w:val="24"/>
              </w:rPr>
            </w:pPr>
          </w:p>
        </w:tc>
        <w:tc>
          <w:tcPr>
            <w:tcW w:w="0" w:type="auto"/>
            <w:tcBorders>
              <w:top w:val="single" w:sz="8" w:space="0" w:color="auto"/>
            </w:tcBorders>
          </w:tcPr>
          <w:p w:rsidR="005C4ABF" w:rsidRPr="005C4ABF" w:rsidP="00515F3A" w14:paraId="47DEC60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73</w:t>
            </w:r>
          </w:p>
        </w:tc>
        <w:tc>
          <w:tcPr>
            <w:tcW w:w="0" w:type="auto"/>
            <w:tcBorders>
              <w:top w:val="single" w:sz="8" w:space="0" w:color="auto"/>
            </w:tcBorders>
          </w:tcPr>
          <w:p w:rsidR="005C4ABF" w:rsidRPr="005C4ABF" w:rsidP="00515F3A" w14:paraId="4860A8A7"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2005</w:t>
            </w:r>
          </w:p>
        </w:tc>
        <w:tc>
          <w:tcPr>
            <w:tcW w:w="0" w:type="auto"/>
            <w:tcBorders>
              <w:top w:val="single" w:sz="8" w:space="0" w:color="auto"/>
            </w:tcBorders>
          </w:tcPr>
          <w:p w:rsidR="005C4ABF" w:rsidRPr="005C4ABF" w:rsidP="00515F3A" w14:paraId="3F32F6E5" w14:textId="4488E33F">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מתכת</w:t>
            </w:r>
          </w:p>
        </w:tc>
        <w:tc>
          <w:tcPr>
            <w:tcW w:w="0" w:type="auto"/>
            <w:tcBorders>
              <w:top w:val="single" w:sz="8" w:space="0" w:color="auto"/>
            </w:tcBorders>
          </w:tcPr>
          <w:p w:rsidR="005C4ABF" w:rsidRPr="005C4ABF" w:rsidP="00515F3A" w14:paraId="21367C12"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0.27</w:t>
            </w:r>
          </w:p>
        </w:tc>
        <w:tc>
          <w:tcPr>
            <w:tcW w:w="0" w:type="auto"/>
            <w:tcBorders>
              <w:top w:val="single" w:sz="8" w:space="0" w:color="auto"/>
            </w:tcBorders>
          </w:tcPr>
          <w:p w:rsidR="005C4ABF" w:rsidRPr="005C4ABF" w:rsidP="00515F3A" w14:paraId="42427FF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94%</w:t>
            </w:r>
          </w:p>
        </w:tc>
        <w:tc>
          <w:tcPr>
            <w:tcW w:w="0" w:type="auto"/>
            <w:tcBorders>
              <w:top w:val="single" w:sz="8" w:space="0" w:color="auto"/>
            </w:tcBorders>
          </w:tcPr>
          <w:p w:rsidR="005C4ABF" w:rsidRPr="005C4ABF" w:rsidP="00515F3A" w14:paraId="0C337D13"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2014</w:t>
            </w:r>
          </w:p>
        </w:tc>
      </w:tr>
      <w:tr w14:paraId="2710D91C"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194ADB6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דנמרק</w:t>
            </w:r>
            <w:r>
              <w:rPr>
                <w:rFonts w:ascii="Tahoma" w:hAnsi="Tahoma" w:cs="Tahoma"/>
                <w:sz w:val="18"/>
                <w:szCs w:val="18"/>
                <w:vertAlign w:val="superscript"/>
                <w:rtl/>
              </w:rPr>
              <w:footnoteReference w:id="33"/>
            </w:r>
          </w:p>
        </w:tc>
        <w:tc>
          <w:tcPr>
            <w:tcW w:w="0" w:type="auto"/>
          </w:tcPr>
          <w:p w:rsidR="005C4ABF" w:rsidRPr="005C4ABF" w:rsidP="00515F3A" w14:paraId="67CF7A98"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57,150</w:t>
            </w:r>
          </w:p>
        </w:tc>
        <w:tc>
          <w:tcPr>
            <w:tcW w:w="0" w:type="auto"/>
          </w:tcPr>
          <w:p w:rsidR="005C4ABF" w:rsidRPr="005C4ABF" w:rsidP="00515F3A" w14:paraId="1D9F0F4F"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138</w:t>
            </w:r>
          </w:p>
        </w:tc>
        <w:tc>
          <w:tcPr>
            <w:tcW w:w="0" w:type="auto"/>
          </w:tcPr>
          <w:p w:rsidR="005C4ABF" w:rsidRPr="005C4ABF" w:rsidP="00515F3A" w14:paraId="7A1B075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2000</w:t>
            </w:r>
          </w:p>
        </w:tc>
        <w:tc>
          <w:tcPr>
            <w:tcW w:w="0" w:type="auto"/>
          </w:tcPr>
          <w:p w:rsidR="005C4ABF" w:rsidRPr="005C4ABF" w:rsidP="00515F3A" w14:paraId="79F6676E" w14:textId="739BC225">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מתכת</w:t>
            </w:r>
          </w:p>
        </w:tc>
        <w:tc>
          <w:tcPr>
            <w:tcW w:w="0" w:type="auto"/>
          </w:tcPr>
          <w:p w:rsidR="005C4ABF" w:rsidRPr="005C4ABF" w:rsidP="00515F3A" w14:paraId="7CEACF7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0.54 - 1.63</w:t>
            </w:r>
          </w:p>
        </w:tc>
        <w:tc>
          <w:tcPr>
            <w:tcW w:w="0" w:type="auto"/>
          </w:tcPr>
          <w:p w:rsidR="005C4ABF" w:rsidRPr="005C4ABF" w:rsidP="00515F3A" w14:paraId="5726B0DF"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 xml:space="preserve">92% </w:t>
            </w:r>
          </w:p>
        </w:tc>
        <w:tc>
          <w:tcPr>
            <w:tcW w:w="0" w:type="auto"/>
          </w:tcPr>
          <w:p w:rsidR="005C4ABF" w:rsidRPr="005C4ABF" w:rsidP="00515F3A" w14:paraId="025C395A"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2019</w:t>
            </w:r>
          </w:p>
        </w:tc>
      </w:tr>
      <w:tr w14:paraId="56B1A7D3"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4C65CF7B"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אסטוניה</w:t>
            </w:r>
            <w:r>
              <w:rPr>
                <w:rFonts w:ascii="Tahoma" w:hAnsi="Tahoma" w:cs="Tahoma"/>
                <w:sz w:val="18"/>
                <w:szCs w:val="18"/>
                <w:vertAlign w:val="superscript"/>
                <w:rtl/>
              </w:rPr>
              <w:footnoteReference w:id="34"/>
            </w:r>
          </w:p>
        </w:tc>
        <w:tc>
          <w:tcPr>
            <w:tcW w:w="0" w:type="auto"/>
          </w:tcPr>
          <w:p w:rsidR="005C4ABF" w:rsidRPr="005C4ABF" w:rsidP="00515F3A" w14:paraId="78D5770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30,297</w:t>
            </w:r>
          </w:p>
        </w:tc>
        <w:tc>
          <w:tcPr>
            <w:tcW w:w="0" w:type="auto"/>
          </w:tcPr>
          <w:p w:rsidR="005C4ABF" w:rsidRPr="005C4ABF" w:rsidP="00515F3A" w14:paraId="30441D1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30</w:t>
            </w:r>
          </w:p>
        </w:tc>
        <w:tc>
          <w:tcPr>
            <w:tcW w:w="0" w:type="auto"/>
          </w:tcPr>
          <w:p w:rsidR="005C4ABF" w:rsidRPr="005C4ABF" w:rsidP="00515F3A" w14:paraId="401DA5C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2004</w:t>
            </w:r>
          </w:p>
        </w:tc>
        <w:tc>
          <w:tcPr>
            <w:tcW w:w="0" w:type="auto"/>
          </w:tcPr>
          <w:p w:rsidR="005C4ABF" w:rsidRPr="005C4ABF" w:rsidP="00515F3A" w14:paraId="4C6E48CB" w14:textId="4736605E">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מתכת</w:t>
            </w:r>
          </w:p>
        </w:tc>
        <w:tc>
          <w:tcPr>
            <w:tcW w:w="0" w:type="auto"/>
          </w:tcPr>
          <w:p w:rsidR="005C4ABF" w:rsidRPr="005C4ABF" w:rsidP="00515F3A" w14:paraId="3DEB6AB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0.40</w:t>
            </w:r>
          </w:p>
        </w:tc>
        <w:tc>
          <w:tcPr>
            <w:tcW w:w="0" w:type="auto"/>
          </w:tcPr>
          <w:p w:rsidR="005C4ABF" w:rsidRPr="005C4ABF" w:rsidP="00515F3A" w14:paraId="0B6AAA1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86% - 97%</w:t>
            </w:r>
          </w:p>
        </w:tc>
        <w:tc>
          <w:tcPr>
            <w:tcW w:w="0" w:type="auto"/>
          </w:tcPr>
          <w:p w:rsidR="005C4ABF" w:rsidRPr="005C4ABF" w:rsidP="00515F3A" w14:paraId="160B9DCE"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2018</w:t>
            </w:r>
          </w:p>
        </w:tc>
      </w:tr>
      <w:tr w14:paraId="53E10E22"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78802822"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פינלנד</w:t>
            </w:r>
            <w:r>
              <w:rPr>
                <w:rFonts w:ascii="Tahoma" w:hAnsi="Tahoma" w:cs="Tahoma"/>
                <w:sz w:val="18"/>
                <w:szCs w:val="18"/>
                <w:vertAlign w:val="superscript"/>
                <w:rtl/>
              </w:rPr>
              <w:footnoteReference w:id="35"/>
            </w:r>
          </w:p>
        </w:tc>
        <w:tc>
          <w:tcPr>
            <w:tcW w:w="0" w:type="auto"/>
          </w:tcPr>
          <w:p w:rsidR="005C4ABF" w:rsidRPr="005C4ABF" w:rsidP="00515F3A" w14:paraId="6790A26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45,698</w:t>
            </w:r>
          </w:p>
        </w:tc>
        <w:tc>
          <w:tcPr>
            <w:tcW w:w="0" w:type="auto"/>
          </w:tcPr>
          <w:p w:rsidR="005C4ABF" w:rsidRPr="005C4ABF" w:rsidP="00515F3A" w14:paraId="32B41607"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18</w:t>
            </w:r>
          </w:p>
        </w:tc>
        <w:tc>
          <w:tcPr>
            <w:tcW w:w="0" w:type="auto"/>
          </w:tcPr>
          <w:p w:rsidR="005C4ABF" w:rsidRPr="005C4ABF" w:rsidP="00515F3A" w14:paraId="41BDC9A2" w14:textId="1918A1A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1996</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2008</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2014</w:t>
            </w:r>
          </w:p>
        </w:tc>
        <w:tc>
          <w:tcPr>
            <w:tcW w:w="0" w:type="auto"/>
          </w:tcPr>
          <w:p w:rsidR="005C4ABF" w:rsidRPr="005C4ABF" w:rsidP="00515F3A" w14:paraId="28ED2372" w14:textId="6329738C">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מתכת</w:t>
            </w:r>
          </w:p>
        </w:tc>
        <w:tc>
          <w:tcPr>
            <w:tcW w:w="0" w:type="auto"/>
          </w:tcPr>
          <w:p w:rsidR="005C4ABF" w:rsidRPr="005C4ABF" w:rsidP="00515F3A" w14:paraId="2C758CDB"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0.40 - 1.62</w:t>
            </w:r>
          </w:p>
        </w:tc>
        <w:tc>
          <w:tcPr>
            <w:tcW w:w="0" w:type="auto"/>
          </w:tcPr>
          <w:p w:rsidR="005C4ABF" w:rsidRPr="005C4ABF" w:rsidP="00515F3A" w14:paraId="34A96921"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87% - 95%</w:t>
            </w:r>
          </w:p>
        </w:tc>
        <w:tc>
          <w:tcPr>
            <w:tcW w:w="0" w:type="auto"/>
          </w:tcPr>
          <w:p w:rsidR="005C4ABF" w:rsidRPr="005C4ABF" w:rsidP="00515F3A" w14:paraId="6232D9F9"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2019</w:t>
            </w:r>
          </w:p>
        </w:tc>
      </w:tr>
      <w:tr w14:paraId="407BBD2A"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7BE7FEAC" w14:textId="77777777">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גרמניה</w:t>
            </w:r>
            <w:r>
              <w:rPr>
                <w:rFonts w:ascii="Tahoma" w:hAnsi="Tahoma" w:cs="Tahoma"/>
                <w:sz w:val="18"/>
                <w:szCs w:val="18"/>
                <w:vertAlign w:val="superscript"/>
                <w:rtl/>
              </w:rPr>
              <w:footnoteReference w:id="36"/>
            </w:r>
          </w:p>
        </w:tc>
        <w:tc>
          <w:tcPr>
            <w:tcW w:w="0" w:type="auto"/>
          </w:tcPr>
          <w:p w:rsidR="005C4ABF" w:rsidRPr="005C4ABF" w:rsidP="00515F3A" w14:paraId="0E2201E6" w14:textId="77777777">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53,638</w:t>
            </w:r>
          </w:p>
        </w:tc>
        <w:tc>
          <w:tcPr>
            <w:tcW w:w="0" w:type="auto"/>
          </w:tcPr>
          <w:p w:rsidR="005C4ABF" w:rsidRPr="005C4ABF" w:rsidP="00515F3A" w14:paraId="49AFA04F" w14:textId="77777777">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237</w:t>
            </w:r>
          </w:p>
        </w:tc>
        <w:tc>
          <w:tcPr>
            <w:tcW w:w="0" w:type="auto"/>
          </w:tcPr>
          <w:p w:rsidR="005C4ABF" w:rsidRPr="005C4ABF" w:rsidP="00515F3A" w14:paraId="71A5C2AC" w14:textId="77777777">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2003</w:t>
            </w:r>
          </w:p>
        </w:tc>
        <w:tc>
          <w:tcPr>
            <w:tcW w:w="0" w:type="auto"/>
          </w:tcPr>
          <w:p w:rsidR="005C4ABF" w:rsidRPr="005C4ABF" w:rsidP="00515F3A" w14:paraId="7F2A47BA" w14:textId="136DC9A9">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 xml:space="preserve">מתכת </w:t>
            </w:r>
          </w:p>
        </w:tc>
        <w:tc>
          <w:tcPr>
            <w:tcW w:w="0" w:type="auto"/>
          </w:tcPr>
          <w:p w:rsidR="005C4ABF" w:rsidRPr="005C4ABF" w:rsidP="00515F3A" w14:paraId="140EA588" w14:textId="77777777">
            <w:pPr>
              <w:pStyle w:val="NoParagraphStyle"/>
              <w:spacing w:line="240" w:lineRule="auto"/>
              <w:textAlignment w:val="auto"/>
              <w:rPr>
                <w:rFonts w:ascii="Tahoma" w:hAnsi="Tahoma" w:eastAsiaTheme="minorEastAsia" w:cs="Tahoma"/>
                <w:sz w:val="17"/>
                <w:szCs w:val="17"/>
                <w:rtl/>
              </w:rPr>
            </w:pPr>
            <w:r w:rsidRPr="005C4ABF">
              <w:rPr>
                <w:rFonts w:ascii="Tahoma" w:hAnsi="Tahoma" w:cs="Tahoma"/>
                <w:sz w:val="18"/>
                <w:szCs w:val="18"/>
                <w:rtl/>
              </w:rPr>
              <w:t>1.01</w:t>
            </w:r>
          </w:p>
        </w:tc>
        <w:tc>
          <w:tcPr>
            <w:tcW w:w="0" w:type="auto"/>
          </w:tcPr>
          <w:p w:rsidR="005C4ABF" w:rsidRPr="005C4ABF" w:rsidP="00515F3A" w14:paraId="10F108BC" w14:textId="33821C98">
            <w:pPr>
              <w:pStyle w:val="NoParagraphStyle"/>
              <w:spacing w:line="240" w:lineRule="auto"/>
              <w:textAlignment w:val="auto"/>
              <w:rPr>
                <w:rFonts w:ascii="Tahoma" w:hAnsi="Tahoma" w:eastAsiaTheme="minorEastAsia" w:cs="Tahoma"/>
                <w:sz w:val="18"/>
                <w:szCs w:val="18"/>
                <w:rtl/>
              </w:rPr>
            </w:pPr>
            <w:r w:rsidRPr="005C4ABF">
              <w:rPr>
                <w:rFonts w:ascii="Tahoma" w:hAnsi="Tahoma" w:cs="Tahoma"/>
                <w:sz w:val="18"/>
                <w:szCs w:val="18"/>
                <w:rtl/>
              </w:rPr>
              <w:t xml:space="preserve">מוערך </w:t>
            </w:r>
            <w:r w:rsidR="00515F3A">
              <w:rPr>
                <w:rFonts w:ascii="Tahoma" w:hAnsi="Tahoma" w:cs="Tahoma"/>
                <w:sz w:val="18"/>
                <w:szCs w:val="18"/>
              </w:rPr>
              <w:br/>
            </w:r>
            <w:r w:rsidRPr="005C4ABF">
              <w:rPr>
                <w:rFonts w:ascii="Tahoma" w:hAnsi="Tahoma" w:cs="Tahoma"/>
                <w:sz w:val="18"/>
                <w:szCs w:val="18"/>
                <w:rtl/>
              </w:rPr>
              <w:t>בכ-95%</w:t>
            </w:r>
            <w:r w:rsidRPr="005C4ABF">
              <w:rPr>
                <w:rFonts w:ascii="Tahoma" w:hAnsi="Tahoma" w:cs="Tahoma"/>
                <w:spacing w:val="-51"/>
                <w:sz w:val="18"/>
                <w:szCs w:val="18"/>
                <w:rtl/>
              </w:rPr>
              <w:t xml:space="preserve"> </w:t>
            </w:r>
            <w:r>
              <w:rPr>
                <w:rFonts w:ascii="Tahoma" w:hAnsi="Tahoma" w:cs="Tahoma"/>
                <w:sz w:val="18"/>
                <w:szCs w:val="18"/>
                <w:vertAlign w:val="superscript"/>
                <w:rtl/>
              </w:rPr>
              <w:footnoteReference w:id="37"/>
            </w:r>
          </w:p>
        </w:tc>
        <w:tc>
          <w:tcPr>
            <w:tcW w:w="0" w:type="auto"/>
          </w:tcPr>
          <w:p w:rsidR="005C4ABF" w:rsidRPr="005C4ABF" w:rsidP="00515F3A" w14:paraId="09E8BBDD" w14:textId="77777777">
            <w:pPr>
              <w:pStyle w:val="NoParagraphStyle"/>
              <w:spacing w:line="240" w:lineRule="auto"/>
              <w:textAlignment w:val="auto"/>
              <w:rPr>
                <w:rFonts w:ascii="Tahoma" w:hAnsi="Tahoma" w:cs="Tahoma"/>
                <w:color w:val="auto"/>
              </w:rPr>
            </w:pPr>
          </w:p>
        </w:tc>
      </w:tr>
      <w:tr w14:paraId="3169E512"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6614D0B8"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איסלנד</w:t>
            </w:r>
            <w:r>
              <w:rPr>
                <w:rFonts w:ascii="Tahoma" w:hAnsi="Tahoma" w:cs="Tahoma"/>
                <w:sz w:val="18"/>
                <w:szCs w:val="18"/>
                <w:vertAlign w:val="superscript"/>
                <w:rtl/>
              </w:rPr>
              <w:footnoteReference w:id="38"/>
            </w:r>
          </w:p>
        </w:tc>
        <w:tc>
          <w:tcPr>
            <w:tcW w:w="0" w:type="auto"/>
          </w:tcPr>
          <w:p w:rsidR="005C4ABF" w:rsidRPr="005C4ABF" w:rsidP="00515F3A" w14:paraId="4798023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68,006</w:t>
            </w:r>
          </w:p>
        </w:tc>
        <w:tc>
          <w:tcPr>
            <w:tcW w:w="0" w:type="auto"/>
          </w:tcPr>
          <w:p w:rsidR="005C4ABF" w:rsidRPr="005C4ABF" w:rsidP="00515F3A" w14:paraId="2D9A4DA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w:t>
            </w:r>
          </w:p>
        </w:tc>
        <w:tc>
          <w:tcPr>
            <w:tcW w:w="0" w:type="auto"/>
          </w:tcPr>
          <w:p w:rsidR="005C4ABF" w:rsidRPr="005C4ABF" w:rsidP="00515F3A" w14:paraId="13A2C130"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1989</w:t>
            </w:r>
          </w:p>
        </w:tc>
        <w:tc>
          <w:tcPr>
            <w:tcW w:w="0" w:type="auto"/>
          </w:tcPr>
          <w:p w:rsidR="005C4ABF" w:rsidRPr="005C4ABF" w:rsidP="00515F3A" w14:paraId="65DA1205" w14:textId="74FD45CE">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מתכת</w:t>
            </w:r>
          </w:p>
        </w:tc>
        <w:tc>
          <w:tcPr>
            <w:tcW w:w="0" w:type="auto"/>
          </w:tcPr>
          <w:p w:rsidR="005C4ABF" w:rsidRPr="005C4ABF" w:rsidP="00515F3A" w14:paraId="79F243DF"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0.40</w:t>
            </w:r>
          </w:p>
        </w:tc>
        <w:tc>
          <w:tcPr>
            <w:tcW w:w="0" w:type="auto"/>
          </w:tcPr>
          <w:p w:rsidR="005C4ABF" w:rsidRPr="005C4ABF" w:rsidP="00515F3A" w14:paraId="5E22BE17"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80% - 85%</w:t>
            </w:r>
          </w:p>
        </w:tc>
        <w:tc>
          <w:tcPr>
            <w:tcW w:w="0" w:type="auto"/>
          </w:tcPr>
          <w:p w:rsidR="005C4ABF" w:rsidRPr="005C4ABF" w:rsidP="00515F3A" w14:paraId="75E370C3"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2018</w:t>
            </w:r>
          </w:p>
        </w:tc>
      </w:tr>
      <w:tr w14:paraId="3427FD51" w14:textId="77777777" w:rsidTr="00515F3A">
        <w:tblPrEx>
          <w:tblW w:w="8222" w:type="dxa"/>
          <w:jc w:val="center"/>
          <w:tblCellMar>
            <w:left w:w="57" w:type="dxa"/>
            <w:right w:w="57" w:type="dxa"/>
          </w:tblCellMar>
          <w:tblLook w:val="04A0"/>
        </w:tblPrEx>
        <w:trPr>
          <w:cantSplit/>
          <w:jc w:val="center"/>
        </w:trPr>
        <w:tc>
          <w:tcPr>
            <w:tcW w:w="0" w:type="auto"/>
          </w:tcPr>
          <w:p w:rsidR="005C4ABF" w:rsidRPr="005C4ABF" w:rsidP="00515F3A" w14:paraId="4685C3A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ליטא</w:t>
            </w:r>
            <w:r>
              <w:rPr>
                <w:rFonts w:ascii="Tahoma" w:hAnsi="Tahoma" w:cs="Tahoma"/>
                <w:sz w:val="18"/>
                <w:szCs w:val="18"/>
                <w:vertAlign w:val="superscript"/>
                <w:rtl/>
              </w:rPr>
              <w:footnoteReference w:id="39"/>
            </w:r>
          </w:p>
        </w:tc>
        <w:tc>
          <w:tcPr>
            <w:tcW w:w="0" w:type="auto"/>
          </w:tcPr>
          <w:p w:rsidR="005C4ABF" w:rsidRPr="005C4ABF" w:rsidP="00515F3A" w14:paraId="14B0790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28,914</w:t>
            </w:r>
          </w:p>
        </w:tc>
        <w:tc>
          <w:tcPr>
            <w:tcW w:w="0" w:type="auto"/>
          </w:tcPr>
          <w:p w:rsidR="005C4ABF" w:rsidRPr="005C4ABF" w:rsidP="00515F3A" w14:paraId="512099D9"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45</w:t>
            </w:r>
          </w:p>
        </w:tc>
        <w:tc>
          <w:tcPr>
            <w:tcW w:w="0" w:type="auto"/>
          </w:tcPr>
          <w:p w:rsidR="005C4ABF" w:rsidRPr="005C4ABF" w:rsidP="00515F3A" w14:paraId="6ABB078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2016</w:t>
            </w:r>
          </w:p>
        </w:tc>
        <w:tc>
          <w:tcPr>
            <w:tcW w:w="0" w:type="auto"/>
          </w:tcPr>
          <w:p w:rsidR="005C4ABF" w:rsidRPr="005C4ABF" w:rsidP="00515F3A" w14:paraId="241C9CE3" w14:textId="18CCD748">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זכוכית</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פלסטיק</w:t>
            </w:r>
            <w:r w:rsidRPr="005C4ABF" w:rsidR="00515F3A">
              <w:rPr>
                <w:rFonts w:ascii="Tahoma" w:hAnsi="Tahoma" w:cs="Tahoma"/>
                <w:sz w:val="18"/>
                <w:szCs w:val="18"/>
                <w:rtl/>
              </w:rPr>
              <w:t xml:space="preserve">, </w:t>
            </w:r>
            <w:r w:rsidR="00515F3A">
              <w:rPr>
                <w:rFonts w:ascii="Tahoma" w:hAnsi="Tahoma" w:cs="Tahoma"/>
                <w:sz w:val="18"/>
                <w:szCs w:val="18"/>
                <w:rtl/>
              </w:rPr>
              <w:br/>
            </w:r>
            <w:r w:rsidRPr="005C4ABF">
              <w:rPr>
                <w:rFonts w:ascii="Tahoma" w:hAnsi="Tahoma" w:cs="Tahoma"/>
                <w:sz w:val="18"/>
                <w:szCs w:val="18"/>
                <w:rtl/>
              </w:rPr>
              <w:t xml:space="preserve">מתכת </w:t>
            </w:r>
          </w:p>
        </w:tc>
        <w:tc>
          <w:tcPr>
            <w:tcW w:w="0" w:type="auto"/>
          </w:tcPr>
          <w:p w:rsidR="005C4ABF" w:rsidRPr="005C4ABF" w:rsidP="00515F3A" w14:paraId="78BB77F1"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0.40</w:t>
            </w:r>
          </w:p>
        </w:tc>
        <w:tc>
          <w:tcPr>
            <w:tcW w:w="0" w:type="auto"/>
          </w:tcPr>
          <w:p w:rsidR="005C4ABF" w:rsidRPr="005C4ABF" w:rsidP="00515F3A" w14:paraId="4AF563B1"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 xml:space="preserve">92% </w:t>
            </w:r>
          </w:p>
        </w:tc>
        <w:tc>
          <w:tcPr>
            <w:tcW w:w="0" w:type="auto"/>
          </w:tcPr>
          <w:p w:rsidR="005C4ABF" w:rsidRPr="005C4ABF" w:rsidP="00515F3A" w14:paraId="42FE62FB"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2019</w:t>
            </w:r>
          </w:p>
        </w:tc>
      </w:tr>
      <w:tr w14:paraId="64E6A3E1" w14:textId="77777777" w:rsidTr="00515F3A">
        <w:tblPrEx>
          <w:tblW w:w="8222" w:type="dxa"/>
          <w:jc w:val="center"/>
          <w:tblCellMar>
            <w:left w:w="57" w:type="dxa"/>
            <w:right w:w="57" w:type="dxa"/>
          </w:tblCellMar>
          <w:tblLook w:val="04A0"/>
        </w:tblPrEx>
        <w:trPr>
          <w:cantSplit/>
          <w:jc w:val="center"/>
        </w:trPr>
        <w:tc>
          <w:tcPr>
            <w:tcW w:w="0" w:type="auto"/>
          </w:tcPr>
          <w:p w:rsidR="00E1228A" w:rsidRPr="005C4ABF" w:rsidP="00E1228A" w14:paraId="7D2DE6D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הולנד</w:t>
            </w:r>
            <w:r>
              <w:rPr>
                <w:rFonts w:ascii="Tahoma" w:hAnsi="Tahoma" w:cs="Tahoma"/>
                <w:sz w:val="18"/>
                <w:szCs w:val="18"/>
                <w:vertAlign w:val="superscript"/>
                <w:rtl/>
              </w:rPr>
              <w:footnoteReference w:id="40"/>
            </w:r>
          </w:p>
        </w:tc>
        <w:tc>
          <w:tcPr>
            <w:tcW w:w="0" w:type="auto"/>
          </w:tcPr>
          <w:p w:rsidR="00E1228A" w:rsidRPr="005C4ABF" w:rsidP="00E1228A" w14:paraId="64FE8F57"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56,552</w:t>
            </w:r>
          </w:p>
        </w:tc>
        <w:tc>
          <w:tcPr>
            <w:tcW w:w="0" w:type="auto"/>
          </w:tcPr>
          <w:p w:rsidR="00E1228A" w:rsidRPr="005C4ABF" w:rsidP="00E1228A" w14:paraId="14CDDB8B"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511</w:t>
            </w:r>
          </w:p>
        </w:tc>
        <w:tc>
          <w:tcPr>
            <w:tcW w:w="0" w:type="auto"/>
          </w:tcPr>
          <w:p w:rsidR="00E1228A" w:rsidRPr="005C4ABF" w:rsidP="00E1228A" w14:paraId="386C1C4B"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2005</w:t>
            </w:r>
          </w:p>
        </w:tc>
        <w:tc>
          <w:tcPr>
            <w:tcW w:w="0" w:type="auto"/>
          </w:tcPr>
          <w:p w:rsidR="00E1228A" w:rsidRPr="005C4ABF" w:rsidP="00E1228A" w14:paraId="268636F3"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פלסטיק</w:t>
            </w:r>
          </w:p>
        </w:tc>
        <w:tc>
          <w:tcPr>
            <w:tcW w:w="0" w:type="auto"/>
          </w:tcPr>
          <w:p w:rsidR="00E1228A" w:rsidRPr="005C4ABF" w:rsidP="00E1228A" w14:paraId="05F6C99E" w14:textId="0FE72EBD">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1.01</w:t>
            </w:r>
          </w:p>
        </w:tc>
        <w:tc>
          <w:tcPr>
            <w:tcW w:w="0" w:type="auto"/>
          </w:tcPr>
          <w:p w:rsidR="00E1228A" w:rsidRPr="005C4ABF" w:rsidP="00E1228A" w14:paraId="67A174DC" w14:textId="3C6002B2">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 xml:space="preserve">מוערך </w:t>
            </w:r>
            <w:r>
              <w:rPr>
                <w:rFonts w:ascii="Tahoma" w:hAnsi="Tahoma" w:cs="Tahoma"/>
                <w:sz w:val="18"/>
                <w:szCs w:val="18"/>
              </w:rPr>
              <w:br/>
            </w:r>
            <w:r w:rsidRPr="005C4ABF">
              <w:rPr>
                <w:rFonts w:ascii="Tahoma" w:hAnsi="Tahoma" w:cs="Tahoma"/>
                <w:sz w:val="18"/>
                <w:szCs w:val="18"/>
                <w:rtl/>
              </w:rPr>
              <w:t>בכ-95%</w:t>
            </w:r>
            <w:r w:rsidRPr="005C4ABF">
              <w:rPr>
                <w:rFonts w:ascii="Tahoma" w:hAnsi="Tahoma" w:cs="Tahoma"/>
                <w:spacing w:val="-51"/>
                <w:sz w:val="18"/>
                <w:szCs w:val="18"/>
                <w:rtl/>
              </w:rPr>
              <w:t xml:space="preserve"> </w:t>
            </w:r>
            <w:r>
              <w:rPr>
                <w:rFonts w:ascii="Tahoma" w:hAnsi="Tahoma" w:cs="Tahoma"/>
                <w:sz w:val="18"/>
                <w:szCs w:val="18"/>
                <w:vertAlign w:val="superscript"/>
                <w:rtl/>
              </w:rPr>
              <w:footnoteReference w:id="41"/>
            </w:r>
          </w:p>
        </w:tc>
        <w:tc>
          <w:tcPr>
            <w:tcW w:w="0" w:type="auto"/>
          </w:tcPr>
          <w:p w:rsidR="00E1228A" w:rsidRPr="005C4ABF" w:rsidP="00E1228A" w14:paraId="380CFA2F" w14:textId="77777777">
            <w:pPr>
              <w:pStyle w:val="a21"/>
              <w:tabs>
                <w:tab w:val="clear" w:pos="340"/>
              </w:tabs>
              <w:spacing w:before="40" w:after="40" w:line="240" w:lineRule="atLeast"/>
              <w:rPr>
                <w:rFonts w:ascii="Tahoma" w:hAnsi="Tahoma" w:cs="Tahoma"/>
                <w:sz w:val="18"/>
                <w:szCs w:val="18"/>
                <w:rtl/>
              </w:rPr>
            </w:pPr>
          </w:p>
        </w:tc>
      </w:tr>
      <w:tr w14:paraId="2422B871" w14:textId="77777777" w:rsidTr="00515F3A">
        <w:tblPrEx>
          <w:tblW w:w="8222" w:type="dxa"/>
          <w:jc w:val="center"/>
          <w:tblCellMar>
            <w:left w:w="57" w:type="dxa"/>
            <w:right w:w="57" w:type="dxa"/>
          </w:tblCellMar>
          <w:tblLook w:val="04A0"/>
        </w:tblPrEx>
        <w:trPr>
          <w:cantSplit/>
          <w:jc w:val="center"/>
        </w:trPr>
        <w:tc>
          <w:tcPr>
            <w:tcW w:w="0" w:type="auto"/>
          </w:tcPr>
          <w:p w:rsidR="00E1228A" w:rsidRPr="005C4ABF" w:rsidP="00E1228A" w14:paraId="150D2F8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נורווגיה</w:t>
            </w:r>
            <w:r>
              <w:rPr>
                <w:rFonts w:ascii="Tahoma" w:hAnsi="Tahoma" w:cs="Tahoma"/>
                <w:sz w:val="18"/>
                <w:szCs w:val="18"/>
                <w:vertAlign w:val="superscript"/>
                <w:rtl/>
              </w:rPr>
              <w:footnoteReference w:id="42"/>
            </w:r>
          </w:p>
        </w:tc>
        <w:tc>
          <w:tcPr>
            <w:tcW w:w="0" w:type="auto"/>
          </w:tcPr>
          <w:p w:rsidR="00E1228A" w:rsidRPr="005C4ABF" w:rsidP="00E1228A" w14:paraId="35E589E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54,027</w:t>
            </w:r>
          </w:p>
        </w:tc>
        <w:tc>
          <w:tcPr>
            <w:tcW w:w="0" w:type="auto"/>
          </w:tcPr>
          <w:p w:rsidR="00E1228A" w:rsidRPr="005C4ABF" w:rsidP="00E1228A" w14:paraId="41E7B19E"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15</w:t>
            </w:r>
          </w:p>
        </w:tc>
        <w:tc>
          <w:tcPr>
            <w:tcW w:w="0" w:type="auto"/>
          </w:tcPr>
          <w:p w:rsidR="00E1228A" w:rsidRPr="005C4ABF" w:rsidP="00E1228A" w14:paraId="7095C04E"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1999</w:t>
            </w:r>
          </w:p>
        </w:tc>
        <w:tc>
          <w:tcPr>
            <w:tcW w:w="0" w:type="auto"/>
          </w:tcPr>
          <w:p w:rsidR="00E1228A" w:rsidRPr="005C4ABF" w:rsidP="00E1228A" w14:paraId="3BFF5C3C" w14:textId="66E67E24">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 xml:space="preserve">זכוכית, </w:t>
            </w:r>
            <w:r>
              <w:rPr>
                <w:rFonts w:ascii="Tahoma" w:hAnsi="Tahoma" w:cs="Tahoma"/>
                <w:sz w:val="18"/>
                <w:szCs w:val="18"/>
                <w:rtl/>
              </w:rPr>
              <w:br/>
            </w:r>
            <w:r w:rsidRPr="005C4ABF">
              <w:rPr>
                <w:rFonts w:ascii="Tahoma" w:hAnsi="Tahoma" w:cs="Tahoma"/>
                <w:sz w:val="18"/>
                <w:szCs w:val="18"/>
                <w:rtl/>
              </w:rPr>
              <w:t xml:space="preserve">פלסטיק, </w:t>
            </w:r>
            <w:r>
              <w:rPr>
                <w:rFonts w:ascii="Tahoma" w:hAnsi="Tahoma" w:cs="Tahoma"/>
                <w:sz w:val="18"/>
                <w:szCs w:val="18"/>
                <w:rtl/>
              </w:rPr>
              <w:br/>
            </w:r>
            <w:r w:rsidRPr="005C4ABF">
              <w:rPr>
                <w:rFonts w:ascii="Tahoma" w:hAnsi="Tahoma" w:cs="Tahoma"/>
                <w:sz w:val="18"/>
                <w:szCs w:val="18"/>
                <w:rtl/>
              </w:rPr>
              <w:t>מתכת</w:t>
            </w:r>
          </w:p>
        </w:tc>
        <w:tc>
          <w:tcPr>
            <w:tcW w:w="0" w:type="auto"/>
          </w:tcPr>
          <w:p w:rsidR="00E1228A" w:rsidRPr="005C4ABF" w:rsidP="00E1228A" w14:paraId="4E8232D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0.38 - 0.95</w:t>
            </w:r>
          </w:p>
        </w:tc>
        <w:tc>
          <w:tcPr>
            <w:tcW w:w="0" w:type="auto"/>
          </w:tcPr>
          <w:p w:rsidR="00E1228A" w:rsidRPr="005C4ABF" w:rsidP="00E1228A" w14:paraId="73E5B2D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 xml:space="preserve">89% - 90% </w:t>
            </w:r>
          </w:p>
        </w:tc>
        <w:tc>
          <w:tcPr>
            <w:tcW w:w="0" w:type="auto"/>
          </w:tcPr>
          <w:p w:rsidR="00E1228A" w:rsidRPr="005C4ABF" w:rsidP="00E1228A" w14:paraId="4E0B5758"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 xml:space="preserve">2019 </w:t>
            </w:r>
          </w:p>
        </w:tc>
      </w:tr>
      <w:tr w14:paraId="4D426433" w14:textId="77777777" w:rsidTr="00515F3A">
        <w:tblPrEx>
          <w:tblW w:w="8222" w:type="dxa"/>
          <w:jc w:val="center"/>
          <w:tblCellMar>
            <w:left w:w="57" w:type="dxa"/>
            <w:right w:w="57" w:type="dxa"/>
          </w:tblCellMar>
          <w:tblLook w:val="04A0"/>
        </w:tblPrEx>
        <w:trPr>
          <w:cantSplit/>
          <w:jc w:val="center"/>
        </w:trPr>
        <w:tc>
          <w:tcPr>
            <w:tcW w:w="0" w:type="auto"/>
          </w:tcPr>
          <w:p w:rsidR="00E1228A" w:rsidRPr="005C4ABF" w:rsidP="00E1228A" w14:paraId="630A88F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שוודיה</w:t>
            </w:r>
            <w:r>
              <w:rPr>
                <w:rFonts w:ascii="Tahoma" w:hAnsi="Tahoma" w:cs="Tahoma"/>
                <w:sz w:val="18"/>
                <w:szCs w:val="18"/>
                <w:vertAlign w:val="superscript"/>
                <w:rtl/>
              </w:rPr>
              <w:footnoteReference w:id="43"/>
            </w:r>
            <w:r w:rsidRPr="005C4ABF">
              <w:rPr>
                <w:rFonts w:ascii="Tahoma" w:hAnsi="Tahoma" w:cs="Tahoma"/>
                <w:sz w:val="18"/>
                <w:szCs w:val="18"/>
                <w:rtl/>
              </w:rPr>
              <w:t xml:space="preserve"> </w:t>
            </w:r>
          </w:p>
        </w:tc>
        <w:tc>
          <w:tcPr>
            <w:tcW w:w="0" w:type="auto"/>
          </w:tcPr>
          <w:p w:rsidR="00E1228A" w:rsidRPr="005C4ABF" w:rsidP="00E1228A" w14:paraId="263625C2"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46,695</w:t>
            </w:r>
          </w:p>
        </w:tc>
        <w:tc>
          <w:tcPr>
            <w:tcW w:w="0" w:type="auto"/>
          </w:tcPr>
          <w:p w:rsidR="00E1228A" w:rsidRPr="005C4ABF" w:rsidP="00E1228A" w14:paraId="065340C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25</w:t>
            </w:r>
          </w:p>
        </w:tc>
        <w:tc>
          <w:tcPr>
            <w:tcW w:w="0" w:type="auto"/>
          </w:tcPr>
          <w:p w:rsidR="00E1228A" w:rsidRPr="005C4ABF" w:rsidP="00E1228A" w14:paraId="42E88F5F" w14:textId="69D4A5E5">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1984,</w:t>
            </w:r>
            <w:r>
              <w:rPr>
                <w:rFonts w:ascii="Tahoma" w:hAnsi="Tahoma" w:cs="Tahoma" w:hint="cs"/>
                <w:sz w:val="18"/>
                <w:szCs w:val="18"/>
                <w:rtl/>
              </w:rPr>
              <w:t xml:space="preserve"> </w:t>
            </w:r>
            <w:r w:rsidRPr="005C4ABF">
              <w:rPr>
                <w:rFonts w:ascii="Tahoma" w:hAnsi="Tahoma" w:cs="Tahoma"/>
                <w:sz w:val="18"/>
                <w:szCs w:val="18"/>
                <w:rtl/>
              </w:rPr>
              <w:t>1994</w:t>
            </w:r>
          </w:p>
        </w:tc>
        <w:tc>
          <w:tcPr>
            <w:tcW w:w="0" w:type="auto"/>
          </w:tcPr>
          <w:p w:rsidR="00E1228A" w:rsidRPr="005C4ABF" w:rsidP="00E1228A" w14:paraId="6ED10620" w14:textId="75AD137E">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 xml:space="preserve">מתכת, </w:t>
            </w:r>
            <w:r>
              <w:rPr>
                <w:rFonts w:ascii="Tahoma" w:hAnsi="Tahoma" w:cs="Tahoma"/>
                <w:sz w:val="18"/>
                <w:szCs w:val="18"/>
              </w:rPr>
              <w:br/>
            </w:r>
            <w:r w:rsidRPr="005C4ABF">
              <w:rPr>
                <w:rFonts w:ascii="Tahoma" w:hAnsi="Tahoma" w:cs="Tahoma"/>
                <w:sz w:val="18"/>
                <w:szCs w:val="18"/>
                <w:rtl/>
              </w:rPr>
              <w:t>פלסטיק</w:t>
            </w:r>
          </w:p>
        </w:tc>
        <w:tc>
          <w:tcPr>
            <w:tcW w:w="0" w:type="auto"/>
          </w:tcPr>
          <w:p w:rsidR="00E1228A" w:rsidRPr="005C4ABF" w:rsidP="00E1228A" w14:paraId="63E4F8ED" w14:textId="2E770BF4">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 xml:space="preserve">0.39 - 0.78 </w:t>
            </w:r>
          </w:p>
        </w:tc>
        <w:tc>
          <w:tcPr>
            <w:tcW w:w="0" w:type="auto"/>
          </w:tcPr>
          <w:p w:rsidR="00E1228A" w:rsidRPr="005C4ABF" w:rsidP="00E1228A" w14:paraId="622E8D50" w14:textId="28125361">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 xml:space="preserve">כ-85% </w:t>
            </w:r>
          </w:p>
        </w:tc>
        <w:tc>
          <w:tcPr>
            <w:tcW w:w="0" w:type="auto"/>
          </w:tcPr>
          <w:p w:rsidR="00E1228A" w:rsidRPr="005C4ABF" w:rsidP="00E1228A" w14:paraId="2EF02183" w14:textId="62156B81">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2018</w:t>
            </w:r>
          </w:p>
        </w:tc>
      </w:tr>
    </w:tbl>
    <w:p w:rsidR="000930B3" w:rsidRPr="00DA075D" w:rsidP="006C5FF5" w14:paraId="5D8AE65E" w14:textId="77777777">
      <w:pPr>
        <w:pStyle w:val="text-source"/>
        <w:rPr>
          <w:rtl/>
        </w:rPr>
      </w:pPr>
      <w:r w:rsidRPr="00DA075D">
        <w:rPr>
          <w:rtl/>
        </w:rPr>
        <w:t xml:space="preserve">על פי מפעילי מערכי </w:t>
      </w:r>
      <w:r w:rsidRPr="00DA075D">
        <w:t>DRS</w:t>
      </w:r>
      <w:r w:rsidRPr="00DA075D">
        <w:rPr>
          <w:rtl/>
        </w:rPr>
        <w:t xml:space="preserve"> במדינות שונות, אלא אם צוין אחרת, בעיבוד משרד מבקר המדינה.</w:t>
      </w:r>
    </w:p>
    <w:p w:rsidR="000930B3" w:rsidRPr="00D22A15" w:rsidP="005C4ABF" w14:paraId="34B4802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בהולנד אין פיקדון על מכלי משקה שנפחם עד 0.5 ליטר ובשוודיה אין פיקדון על מכלי זכוכית. מהלוח עולה כי בחלק מהמדינות סכום הפיקדון משתנה בהתאם לנפח המכל. עוד עולה כי סכום הפיקדון נע בין 0.27 ש"ח (בקרואטיה) ל-1.63 ש"ח (בדנמרק, למכלים גדולים). כמו כן עולה כי גם במדינות שבהן השכר הממוצע נמוך מזה שבישראל (שעמד בשנת 2019 על 39,403 דולר לשנה), סכום הפיקדון היה גבוה מהסכום במדינת ישראל. </w:t>
      </w:r>
    </w:p>
    <w:p w:rsidR="000930B3" w:rsidRPr="00D22A15" w:rsidP="005C4ABF" w14:paraId="0BA580D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מההשוואה עולה כי שיעור האיסוף של כלל המכלים במדינות אלה עמד בשנים האחרונות על כ-80% - 97%. בהולנד, שבה הפיקדון חל על מכלי משקה שקיבולתם 0.5 ליטר ומעלה, שיעור האיסוף מוערך בכ-95%.</w:t>
      </w:r>
    </w:p>
    <w:p w:rsidR="000930B3" w:rsidRPr="00D22A15" w:rsidP="005C4ABF" w14:paraId="674C405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שיעורי </w:t>
      </w:r>
      <w:r w:rsidRPr="00D22A15">
        <w:rPr>
          <w:rFonts w:ascii="Tahoma" w:hAnsi="Tahoma" w:cs="Tahoma"/>
          <w:sz w:val="20"/>
          <w:szCs w:val="20"/>
          <w:rtl/>
        </w:rPr>
        <w:t>מיחזור</w:t>
      </w:r>
      <w:r w:rsidRPr="00D22A15">
        <w:rPr>
          <w:rFonts w:ascii="Tahoma" w:hAnsi="Tahoma" w:cs="Tahoma"/>
          <w:sz w:val="20"/>
          <w:szCs w:val="20"/>
          <w:rtl/>
        </w:rPr>
        <w:t xml:space="preserve"> האריזות במדינות האיחוד האירופי ובמדינות האזור הכלכלי האירופי (</w:t>
      </w:r>
      <w:r w:rsidRPr="00D22A15">
        <w:rPr>
          <w:rFonts w:ascii="Tahoma" w:hAnsi="Tahoma" w:cs="Tahoma"/>
          <w:sz w:val="20"/>
          <w:szCs w:val="20"/>
        </w:rPr>
        <w:t>European Economic Area - EEA</w:t>
      </w:r>
      <w:r w:rsidRPr="00D22A15">
        <w:rPr>
          <w:rFonts w:ascii="Tahoma" w:hAnsi="Tahoma" w:cs="Tahoma"/>
          <w:sz w:val="20"/>
          <w:szCs w:val="20"/>
          <w:rtl/>
        </w:rPr>
        <w:t>):</w:t>
      </w:r>
    </w:p>
    <w:p w:rsidR="000930B3" w:rsidRPr="00DA075D" w:rsidP="00AD02C3" w14:paraId="734D6F6B" w14:textId="28C622FE">
      <w:pPr>
        <w:pStyle w:val="a1"/>
        <w:spacing w:line="320" w:lineRule="atLeast"/>
        <w:rPr>
          <w:rtl/>
        </w:rPr>
      </w:pPr>
      <w:r w:rsidRPr="00D22A15">
        <w:rPr>
          <w:b w:val="0"/>
          <w:bCs w:val="0"/>
          <w:spacing w:val="-2"/>
          <w:rtl/>
        </w:rPr>
        <w:t xml:space="preserve">תרשים 7: </w:t>
      </w:r>
      <w:r w:rsidRPr="00DA075D">
        <w:rPr>
          <w:spacing w:val="-2"/>
          <w:rtl/>
        </w:rPr>
        <w:t xml:space="preserve">שיעור </w:t>
      </w:r>
      <w:r w:rsidRPr="00DA075D">
        <w:rPr>
          <w:spacing w:val="-2"/>
          <w:rtl/>
        </w:rPr>
        <w:t>המיחזור</w:t>
      </w:r>
      <w:r w:rsidRPr="00DA075D">
        <w:rPr>
          <w:spacing w:val="-2"/>
          <w:rtl/>
        </w:rPr>
        <w:t xml:space="preserve"> של אריזות הפלסטיק במדינות אירופה, 2017</w:t>
      </w:r>
    </w:p>
    <w:p w:rsidR="000930B3" w:rsidRPr="00E03C81" w:rsidP="00E03C81" w14:paraId="7CB85AF2" w14:textId="0BDD6376">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0429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5222" name="Picture 2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04293"/>
                    </a:xfrm>
                    <a:prstGeom prst="rect">
                      <a:avLst/>
                    </a:prstGeom>
                  </pic:spPr>
                </pic:pic>
              </a:graphicData>
            </a:graphic>
          </wp:inline>
        </w:drawing>
      </w:r>
    </w:p>
    <w:p w:rsidR="000930B3" w:rsidRPr="00DA075D" w:rsidP="006C5FF5" w14:paraId="4785F884" w14:textId="77777777">
      <w:pPr>
        <w:pStyle w:val="text-source"/>
        <w:rPr>
          <w:rtl/>
        </w:rPr>
      </w:pPr>
      <w:r w:rsidRPr="00DA075D">
        <w:rPr>
          <w:rtl/>
        </w:rPr>
        <w:t>המקור: לשכת הסטטיסטיקה האירופית (</w:t>
      </w:r>
      <w:r w:rsidRPr="00DA075D">
        <w:t>Eurostat</w:t>
      </w:r>
      <w:r w:rsidRPr="00DA075D">
        <w:rPr>
          <w:rtl/>
        </w:rPr>
        <w:t>)</w:t>
      </w:r>
      <w:r>
        <w:rPr>
          <w:vertAlign w:val="superscript"/>
          <w:rtl/>
        </w:rPr>
        <w:footnoteReference w:id="44"/>
      </w:r>
      <w:r w:rsidRPr="00DA075D">
        <w:rPr>
          <w:rtl/>
        </w:rPr>
        <w:t>.</w:t>
      </w:r>
    </w:p>
    <w:p w:rsidR="000930B3" w:rsidRPr="00D22A15" w:rsidP="005C4ABF" w14:paraId="799BAA8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מהתרשים עולה כי השיעור הממוצע של </w:t>
      </w:r>
      <w:r w:rsidRPr="00D22A15">
        <w:rPr>
          <w:rFonts w:ascii="Tahoma" w:hAnsi="Tahoma" w:cs="Tahoma"/>
          <w:sz w:val="20"/>
          <w:szCs w:val="20"/>
          <w:rtl/>
        </w:rPr>
        <w:t>מיחזור</w:t>
      </w:r>
      <w:r w:rsidRPr="00D22A15">
        <w:rPr>
          <w:rFonts w:ascii="Tahoma" w:hAnsi="Tahoma" w:cs="Tahoma"/>
          <w:sz w:val="20"/>
          <w:szCs w:val="20"/>
          <w:rtl/>
        </w:rPr>
        <w:t xml:space="preserve"> אריזות פלסטיק באירופה עמד בשנת 2017 על כ-40%. השוואת תרשים זה לרשימת המדינות שבהן מוטל פיקדון על מכלי משקה מעלה כי יש מדינות שבהן לא הוטל פיקדון אך שיעור </w:t>
      </w:r>
      <w:r w:rsidRPr="00D22A15">
        <w:rPr>
          <w:rFonts w:ascii="Tahoma" w:hAnsi="Tahoma" w:cs="Tahoma"/>
          <w:sz w:val="20"/>
          <w:szCs w:val="20"/>
          <w:rtl/>
        </w:rPr>
        <w:t>מיחזור</w:t>
      </w:r>
      <w:r w:rsidRPr="00D22A15">
        <w:rPr>
          <w:rFonts w:ascii="Tahoma" w:hAnsi="Tahoma" w:cs="Tahoma"/>
          <w:sz w:val="20"/>
          <w:szCs w:val="20"/>
          <w:rtl/>
        </w:rPr>
        <w:t xml:space="preserve"> אריזות הפלסטיק בהן עולה על זה של מדינות שבהן מוטל פיקדון. בישראל עמד שיעור </w:t>
      </w:r>
      <w:r w:rsidRPr="00D22A15">
        <w:rPr>
          <w:rFonts w:ascii="Tahoma" w:hAnsi="Tahoma" w:cs="Tahoma"/>
          <w:sz w:val="20"/>
          <w:szCs w:val="20"/>
          <w:rtl/>
        </w:rPr>
        <w:t>מיחזור</w:t>
      </w:r>
      <w:r w:rsidRPr="00D22A15">
        <w:rPr>
          <w:rFonts w:ascii="Tahoma" w:hAnsi="Tahoma" w:cs="Tahoma"/>
          <w:sz w:val="20"/>
          <w:szCs w:val="20"/>
          <w:rtl/>
        </w:rPr>
        <w:t xml:space="preserve"> של אריזות הפלסטיק ב-2017 על כ-24.2% וב-2018 על כ-22.6%</w:t>
      </w:r>
      <w:r w:rsidRPr="00D22A15">
        <w:rPr>
          <w:rFonts w:ascii="Tahoma" w:hAnsi="Tahoma" w:cs="Tahoma"/>
          <w:spacing w:val="-57"/>
          <w:sz w:val="20"/>
          <w:szCs w:val="20"/>
          <w:rtl/>
        </w:rPr>
        <w:t xml:space="preserve"> </w:t>
      </w:r>
      <w:r>
        <w:rPr>
          <w:rFonts w:ascii="Tahoma" w:hAnsi="Tahoma" w:cs="Tahoma"/>
          <w:sz w:val="20"/>
          <w:szCs w:val="20"/>
          <w:vertAlign w:val="superscript"/>
          <w:rtl/>
        </w:rPr>
        <w:footnoteReference w:id="45"/>
      </w:r>
      <w:r w:rsidRPr="00D22A15">
        <w:rPr>
          <w:rFonts w:ascii="Tahoma" w:hAnsi="Tahoma" w:cs="Tahoma"/>
          <w:sz w:val="20"/>
          <w:szCs w:val="20"/>
          <w:rtl/>
        </w:rPr>
        <w:t>.</w:t>
      </w:r>
    </w:p>
    <w:p w:rsidR="000930B3" w:rsidRPr="00D22A15" w:rsidP="005C4ABF" w14:paraId="63E90CC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עמדת המשרד </w:t>
      </w:r>
      <w:r w:rsidRPr="00D22A15">
        <w:rPr>
          <w:rFonts w:ascii="Tahoma" w:hAnsi="Tahoma" w:cs="Tahoma"/>
          <w:sz w:val="20"/>
          <w:szCs w:val="20"/>
          <w:rtl/>
        </w:rPr>
        <w:t>להגנ"ס</w:t>
      </w:r>
      <w:r w:rsidRPr="00D22A15">
        <w:rPr>
          <w:rFonts w:ascii="Tahoma" w:hAnsi="Tahoma" w:cs="Tahoma"/>
          <w:sz w:val="20"/>
          <w:szCs w:val="20"/>
          <w:rtl/>
        </w:rPr>
        <w:t xml:space="preserve">, כפי שבאה לידי ביטוי במסמכי המשרד בשנים 2015 - 2016, הייתה כי הטלת פיקדון על מכלי משקה גדולים תפגע בציבור, בין היתר לנוכח היענות נמוכה של הציבור להחזרת מכלי משקה קטנים לרשתות השיווק. ואולם, באוקטובר 2020, הודיעה כאמור השרה </w:t>
      </w:r>
      <w:r w:rsidRPr="00D22A15">
        <w:rPr>
          <w:rFonts w:ascii="Tahoma" w:hAnsi="Tahoma" w:cs="Tahoma"/>
          <w:sz w:val="20"/>
          <w:szCs w:val="20"/>
          <w:rtl/>
        </w:rPr>
        <w:t>להגנ"ס</w:t>
      </w:r>
      <w:r w:rsidRPr="00D22A15">
        <w:rPr>
          <w:rFonts w:ascii="Tahoma" w:hAnsi="Tahoma" w:cs="Tahoma"/>
          <w:sz w:val="20"/>
          <w:szCs w:val="20"/>
          <w:rtl/>
        </w:rPr>
        <w:t xml:space="preserve"> על אי-עמידה ביעד האיסוף של מכלי משקה גדולים לשנת 2016 ופרסמה להערות הציבור את תזכיר הצו. בדברי ההסבר לתזכיר הצו צוין כי ההחלטה על החלת הפיקדון גובשה לאחר הליך התייעצות מקיף, שבמסגרתו הוגשה למשרד חוות דעת כלכלית המצביעה על יתרון משקי משמעותי להחלת הפיקדון על המכלים הגדולים ולאחר שנערכה סקירה השוואתית של החלות הפיקדון במדינות מתקדמות אחרות. בדצמבר 2020 אישרה ועדת הכלכלה של הכנסת את הצו שפרסמה השרה. </w:t>
      </w:r>
    </w:p>
    <w:p w:rsidR="000930B3" w:rsidRPr="00D22A15" w:rsidP="005C4ABF" w14:paraId="7E9CEAB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שיעורי האיסוף של כל מכלי המשקה במדינות שהוצגו לעיל, לרבות שיעור איסוף המכלים הגדולים, עולים בשיעור ניכר על שיעור איסוף מכלי המשקה הגדולים בישראל (איסוף של 80% - 97% מכלל סוגי מכלי משקה במדינות אירופה, לעומת 57% ממכלי המשקה הגדולים בישראל בשנת 2017). </w:t>
      </w:r>
    </w:p>
    <w:p w:rsidR="000930B3" w:rsidRPr="00D22A15" w:rsidP="005C4ABF" w14:paraId="64E54AF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איגוד רשתות שיווק המזון בלשכת המסחר תל אביב והמרכז מסר למשרד מבקר המדינה בתגובתו בדצמבר 2020 (להלן - תגובת איגוד רשתות שיווק המזון) כי החלטת השרה מתבססת על נתוני האיסוף לשנת 2016. בשנת 2017, ועל פי דיווחי חברות האיסוף גם בשנים 2018 - 2019, בוצע איסוף בשיעור היעד הקבוע בחוק הפיקדון. כמו כן, לדעת האיגוד הרחבת תחולת חוק הפיקדון לא תגדיל את השתתפות הציבור באיסוף, בין היתר לאור תרבות רכישת המזון המקוונת ומכיוון שלא נראה שתמריץ כלכלי של 30 אגורות למכל הוא גורם מכריע בהחלטות הצרכן. נוסף על כך, לדעת האיגוד, הרחבת תחולת חוק הפיקדון תטיל נטל כלכלי נוסף על רשתות השיווק, אשר כבר מממנות מערכי איסוף למכלי משקה הקטנים. לאור האמור לעיל נטען בתגובה כי זמן היערכות של שנה אינו מספיק. לדעת האיגוד, אם המשרד </w:t>
      </w:r>
      <w:r w:rsidRPr="00D22A15">
        <w:rPr>
          <w:rFonts w:ascii="Tahoma" w:hAnsi="Tahoma" w:cs="Tahoma"/>
          <w:sz w:val="20"/>
          <w:szCs w:val="20"/>
          <w:rtl/>
        </w:rPr>
        <w:t>להגנ"ס</w:t>
      </w:r>
      <w:r w:rsidRPr="00D22A15">
        <w:rPr>
          <w:rFonts w:ascii="Tahoma" w:hAnsi="Tahoma" w:cs="Tahoma"/>
          <w:sz w:val="20"/>
          <w:szCs w:val="20"/>
          <w:rtl/>
        </w:rPr>
        <w:t xml:space="preserve"> מעוניין לבצע את המהלכים שנכתבו בדברי ההסבר לצו, יידרשו הליך משולב, התייעצות ותיאום עם רשתות השיווק, קמעונאים בכלל, יצרנים, רשויות מקומיות, גורמי הסברה, הקרן לשמירת הניקיון</w:t>
      </w:r>
      <w:r>
        <w:rPr>
          <w:rFonts w:ascii="Tahoma" w:hAnsi="Tahoma" w:cs="Tahoma"/>
          <w:sz w:val="20"/>
          <w:szCs w:val="20"/>
          <w:vertAlign w:val="superscript"/>
          <w:rtl/>
        </w:rPr>
        <w:footnoteReference w:id="46"/>
      </w:r>
      <w:r w:rsidRPr="00D22A15">
        <w:rPr>
          <w:rFonts w:ascii="Tahoma" w:hAnsi="Tahoma" w:cs="Tahoma"/>
          <w:sz w:val="20"/>
          <w:szCs w:val="20"/>
          <w:rtl/>
        </w:rPr>
        <w:t xml:space="preserve">, תאגידי האיסוף, תאגידי </w:t>
      </w:r>
      <w:r w:rsidRPr="00D22A15">
        <w:rPr>
          <w:rFonts w:ascii="Tahoma" w:hAnsi="Tahoma" w:cs="Tahoma"/>
          <w:sz w:val="20"/>
          <w:szCs w:val="20"/>
          <w:rtl/>
        </w:rPr>
        <w:t>המיחזור</w:t>
      </w:r>
      <w:r w:rsidRPr="00D22A15">
        <w:rPr>
          <w:rFonts w:ascii="Tahoma" w:hAnsi="Tahoma" w:cs="Tahoma"/>
          <w:sz w:val="20"/>
          <w:szCs w:val="20"/>
          <w:rtl/>
        </w:rPr>
        <w:t xml:space="preserve"> וגורמים הנוגעים לאספקה של מכונות. בנובמבר 2020 עתר איגוד רשתות המזון לבג"ץ כנגד החלטת השרה.</w:t>
      </w:r>
    </w:p>
    <w:p w:rsidR="000930B3" w:rsidRPr="00D22A15" w:rsidP="005C4ABF" w14:paraId="4B78DF1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איגוד תעשיות המזון בהתאחדות התעשיינים בישראל מסר בתגובתו למשרד מבקר המדינה בדצמבר 2020 (להלן - תגובת איגוד תעשיות המזון) כי האיגוד התריע לפני השרה ומנכ"ל המשרד </w:t>
      </w:r>
      <w:r w:rsidRPr="00D22A15">
        <w:rPr>
          <w:rFonts w:ascii="Tahoma" w:hAnsi="Tahoma" w:cs="Tahoma"/>
          <w:sz w:val="20"/>
          <w:szCs w:val="20"/>
          <w:rtl/>
        </w:rPr>
        <w:t>להגנ"ס</w:t>
      </w:r>
      <w:r w:rsidRPr="00D22A15">
        <w:rPr>
          <w:rFonts w:ascii="Tahoma" w:hAnsi="Tahoma" w:cs="Tahoma"/>
          <w:sz w:val="20"/>
          <w:szCs w:val="20"/>
          <w:rtl/>
        </w:rPr>
        <w:t xml:space="preserve"> כי החלת חוק הפיקדון על מכלי משקה גדולים תטיל נטל כלכלי כבד של מאות מיליוני שקלים בכל שנה על ציבור הצרכנים ועל המשק הישראלי, וכי בעיקר הנטל יישאו השכבות החלשות באוכלוסייה, משפחות מרובות ילדים. עוד מסר כי לנוכח פגיעה בנגישות של אמצעי </w:t>
      </w:r>
      <w:r w:rsidRPr="00D22A15">
        <w:rPr>
          <w:rFonts w:ascii="Tahoma" w:hAnsi="Tahoma" w:cs="Tahoma"/>
          <w:sz w:val="20"/>
          <w:szCs w:val="20"/>
          <w:rtl/>
        </w:rPr>
        <w:t>המיחזור</w:t>
      </w:r>
      <w:r w:rsidRPr="00D22A15">
        <w:rPr>
          <w:rFonts w:ascii="Tahoma" w:hAnsi="Tahoma" w:cs="Tahoma"/>
          <w:sz w:val="20"/>
          <w:szCs w:val="20"/>
          <w:rtl/>
        </w:rPr>
        <w:t xml:space="preserve">, תביא החלת חוק הפיקדון על מכלים משקה גדולים להפחתה ניכרת של כמות המכלים הנאספים והממוחזרים. הוא הוסיף כי המסקנות האמורות עולות ממחקרים כלכליים שונים שביצעו ארגונים שונים, לרבות מחקר שבעבר נערך מטעם המשרד </w:t>
      </w:r>
      <w:r w:rsidRPr="00D22A15">
        <w:rPr>
          <w:rFonts w:ascii="Tahoma" w:hAnsi="Tahoma" w:cs="Tahoma"/>
          <w:sz w:val="20"/>
          <w:szCs w:val="20"/>
          <w:rtl/>
        </w:rPr>
        <w:t>להגנ"ס</w:t>
      </w:r>
      <w:r w:rsidRPr="00D22A15">
        <w:rPr>
          <w:rFonts w:ascii="Tahoma" w:hAnsi="Tahoma" w:cs="Tahoma"/>
          <w:sz w:val="20"/>
          <w:szCs w:val="20"/>
          <w:rtl/>
        </w:rPr>
        <w:t>. בנובמבר 2020 עתר גם איגוד תעשיות המזון לבג"ץ כנגד החלטת השרה.</w:t>
      </w:r>
    </w:p>
    <w:p w:rsidR="000930B3" w:rsidRPr="00DA075D" w:rsidP="00A07626" w14:paraId="7713192B" w14:textId="77777777">
      <w:pPr>
        <w:pStyle w:val="4"/>
        <w:rPr>
          <w:rtl/>
        </w:rPr>
      </w:pPr>
      <w:r w:rsidRPr="00DA075D">
        <w:rPr>
          <w:rtl/>
        </w:rPr>
        <w:t xml:space="preserve">מיכון האיסוף </w:t>
      </w:r>
    </w:p>
    <w:p w:rsidR="000930B3" w:rsidRPr="00D22A15" w:rsidP="005C4ABF" w14:paraId="32B98015" w14:textId="77777777">
      <w:pPr>
        <w:pStyle w:val="a5"/>
        <w:spacing w:before="120" w:after="120" w:line="320" w:lineRule="atLeast"/>
        <w:rPr>
          <w:rFonts w:ascii="Tahoma" w:hAnsi="Tahoma" w:cs="Tahoma"/>
          <w:sz w:val="20"/>
          <w:szCs w:val="20"/>
        </w:rPr>
      </w:pPr>
      <w:r w:rsidRPr="00D22A15">
        <w:rPr>
          <w:rFonts w:ascii="Tahoma" w:hAnsi="Tahoma" w:cs="Tahoma"/>
          <w:sz w:val="20"/>
          <w:szCs w:val="20"/>
          <w:rtl/>
        </w:rPr>
        <w:t xml:space="preserve">על פי ממצאי סקר דעת קהל משנת 2015 שנערך לבקשת המשרד </w:t>
      </w:r>
      <w:r w:rsidRPr="00D22A15">
        <w:rPr>
          <w:rFonts w:ascii="Tahoma" w:hAnsi="Tahoma" w:cs="Tahoma"/>
          <w:sz w:val="20"/>
          <w:szCs w:val="20"/>
          <w:rtl/>
        </w:rPr>
        <w:t>להגנ"ס</w:t>
      </w:r>
      <w:r w:rsidRPr="00D22A15">
        <w:rPr>
          <w:rFonts w:ascii="Tahoma" w:hAnsi="Tahoma" w:cs="Tahoma"/>
          <w:sz w:val="20"/>
          <w:szCs w:val="20"/>
          <w:rtl/>
        </w:rPr>
        <w:t xml:space="preserve">, הנגשה של </w:t>
      </w:r>
      <w:r w:rsidRPr="00D22A15">
        <w:rPr>
          <w:rFonts w:ascii="Tahoma" w:hAnsi="Tahoma" w:cs="Tahoma"/>
          <w:sz w:val="20"/>
          <w:szCs w:val="20"/>
          <w:rtl/>
        </w:rPr>
        <w:t>מיחזוריות</w:t>
      </w:r>
      <w:r w:rsidRPr="00D22A15">
        <w:rPr>
          <w:rFonts w:ascii="Tahoma" w:hAnsi="Tahoma" w:cs="Tahoma"/>
          <w:sz w:val="20"/>
          <w:szCs w:val="20"/>
          <w:rtl/>
        </w:rPr>
        <w:t xml:space="preserve"> והגברת הפיקוח העירוני על הפרדת הפסולת במקור חשובות לציבור יותר מגובה הפיקדון עצמו. </w:t>
      </w:r>
    </w:p>
    <w:p w:rsidR="000930B3" w:rsidRPr="00D22A15" w:rsidP="005C4ABF" w14:paraId="11736A0B" w14:textId="1CAA6A0D">
      <w:pPr>
        <w:pStyle w:val="a5"/>
        <w:spacing w:before="120" w:after="120" w:line="320" w:lineRule="atLeast"/>
        <w:rPr>
          <w:rFonts w:ascii="Tahoma" w:hAnsi="Tahoma" w:cs="Tahoma"/>
          <w:sz w:val="20"/>
          <w:szCs w:val="20"/>
        </w:rPr>
      </w:pPr>
      <w:r w:rsidRPr="00390989">
        <w:rPr>
          <w:rStyle w:val="50"/>
          <w:rFonts w:ascii="Tahoma" w:hAnsi="Tahoma" w:cs="Tahoma"/>
          <w:b/>
          <w:bCs/>
          <w:rtl/>
        </w:rPr>
        <w:t>פריסת מכונות אוטומטיות:</w:t>
      </w:r>
      <w:r w:rsidRPr="00D22A15">
        <w:rPr>
          <w:rFonts w:ascii="Tahoma" w:hAnsi="Tahoma" w:cs="Tahoma"/>
          <w:sz w:val="20"/>
          <w:szCs w:val="20"/>
          <w:rtl/>
        </w:rPr>
        <w:t xml:space="preserve"> כדי לייעל את תהליך האיסוף מהציבור ולצמצם את הצורך בכוח אדם ברשתות השיווק ניתן לבצע איסוף באמצעות מכונות אוטומטיות המכונות </w:t>
      </w:r>
      <w:r w:rsidR="00E1228A">
        <w:rPr>
          <w:rFonts w:ascii="Tahoma" w:hAnsi="Tahoma" w:cs="Tahoma"/>
          <w:sz w:val="20"/>
          <w:szCs w:val="20"/>
        </w:rPr>
        <w:br/>
      </w:r>
      <w:r w:rsidRPr="00D22A15">
        <w:rPr>
          <w:rFonts w:ascii="Tahoma" w:hAnsi="Tahoma" w:cs="Tahoma"/>
          <w:sz w:val="20"/>
          <w:szCs w:val="20"/>
        </w:rPr>
        <w:t>Reverse</w:t>
      </w:r>
      <w:r w:rsidR="00E1228A">
        <w:rPr>
          <w:rFonts w:ascii="Tahoma" w:hAnsi="Tahoma" w:cs="Tahoma"/>
          <w:sz w:val="20"/>
          <w:szCs w:val="20"/>
        </w:rPr>
        <w:t xml:space="preserve"> </w:t>
      </w:r>
      <w:r w:rsidRPr="00D22A15">
        <w:rPr>
          <w:rFonts w:ascii="Tahoma" w:hAnsi="Tahoma" w:cs="Tahoma"/>
          <w:sz w:val="20"/>
          <w:szCs w:val="20"/>
        </w:rPr>
        <w:t>Vending</w:t>
      </w:r>
      <w:r w:rsidR="00E1228A">
        <w:rPr>
          <w:rFonts w:ascii="Tahoma" w:hAnsi="Tahoma" w:cs="Tahoma"/>
          <w:sz w:val="20"/>
          <w:szCs w:val="20"/>
        </w:rPr>
        <w:t xml:space="preserve"> </w:t>
      </w:r>
      <w:r w:rsidRPr="00D22A15">
        <w:rPr>
          <w:rFonts w:ascii="Tahoma" w:hAnsi="Tahoma" w:cs="Tahoma"/>
          <w:sz w:val="20"/>
          <w:szCs w:val="20"/>
        </w:rPr>
        <w:t>Machine</w:t>
      </w:r>
      <w:r w:rsidR="00E1228A">
        <w:rPr>
          <w:rFonts w:ascii="Tahoma" w:hAnsi="Tahoma" w:cs="Tahoma" w:hint="cs"/>
          <w:sz w:val="20"/>
          <w:szCs w:val="20"/>
          <w:rtl/>
        </w:rPr>
        <w:t xml:space="preserve"> </w:t>
      </w:r>
      <w:r w:rsidRPr="00D22A15">
        <w:rPr>
          <w:rFonts w:ascii="Tahoma" w:hAnsi="Tahoma" w:cs="Tahoma"/>
          <w:sz w:val="20"/>
          <w:szCs w:val="20"/>
        </w:rPr>
        <w:t>(RVM)</w:t>
      </w:r>
      <w:r w:rsidRPr="00D22A15">
        <w:rPr>
          <w:rFonts w:ascii="Tahoma" w:hAnsi="Tahoma" w:cs="Tahoma"/>
          <w:sz w:val="20"/>
          <w:szCs w:val="20"/>
          <w:rtl/>
        </w:rPr>
        <w:t>. מכונה כזו מאפשרת לצרכן להפקיד את מכלי המשקה דרך פתחים בה, מבצעת זיהוי וספירה של המכלים ומנפיקה זיכוי לצרכן בהתאם, דבר שמייתר המתנה של הצרכן לקופאי לצורך קבלת זיכוי. חלק מהמכונות אף ממיינות ודוחסות את המכלים לצורך הובלתם בהמשך. בחלק מהמדינות, השימוש ב-</w:t>
      </w:r>
      <w:r w:rsidRPr="00D22A15">
        <w:rPr>
          <w:rFonts w:ascii="Tahoma" w:hAnsi="Tahoma" w:cs="Tahoma"/>
          <w:sz w:val="20"/>
          <w:szCs w:val="20"/>
        </w:rPr>
        <w:t>RVM</w:t>
      </w:r>
      <w:r w:rsidRPr="00D22A15">
        <w:rPr>
          <w:rFonts w:ascii="Tahoma" w:hAnsi="Tahoma" w:cs="Tahoma"/>
          <w:sz w:val="20"/>
          <w:szCs w:val="20"/>
          <w:rtl/>
        </w:rPr>
        <w:t xml:space="preserve"> מאפשר ליצרנים </w:t>
      </w:r>
      <w:r w:rsidRPr="00D22A15">
        <w:rPr>
          <w:rFonts w:ascii="Tahoma" w:hAnsi="Tahoma" w:cs="Tahoma"/>
          <w:sz w:val="20"/>
          <w:szCs w:val="20"/>
          <w:rtl/>
        </w:rPr>
        <w:t xml:space="preserve">וליבואנים לשלם דמי טיפול מופחתים לתאגידי </w:t>
      </w:r>
      <w:r w:rsidRPr="00D22A15">
        <w:rPr>
          <w:rFonts w:ascii="Tahoma" w:hAnsi="Tahoma" w:cs="Tahoma"/>
          <w:sz w:val="20"/>
          <w:szCs w:val="20"/>
          <w:rtl/>
        </w:rPr>
        <w:t>המיחזור</w:t>
      </w:r>
      <w:r w:rsidRPr="00D22A15">
        <w:rPr>
          <w:rFonts w:ascii="Tahoma" w:hAnsi="Tahoma" w:cs="Tahoma"/>
          <w:sz w:val="20"/>
          <w:szCs w:val="20"/>
          <w:rtl/>
        </w:rPr>
        <w:t xml:space="preserve">. נוסף על כך, השימוש במכונות מאפשר זיכוי ללא שימוש במזומנים. </w:t>
      </w:r>
    </w:p>
    <w:p w:rsidR="000930B3" w:rsidRPr="00D22A15" w:rsidP="005C4ABF" w14:paraId="13B7D54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איגוד תעשיות המזון מסר בתגובתו כי מסגרת חוק הפיקדון מחייבת כל חנות קמעונאית ששטחה גדול מ-28 מ"ר, לקבל מהצרכנים את מכלי המשקה ולהשיב את דמי הפיקדון. לדעת האיגוד, בבדיקה הכלכלית שביצע המשרד </w:t>
      </w:r>
      <w:r w:rsidRPr="00D22A15">
        <w:rPr>
          <w:rFonts w:ascii="Tahoma" w:hAnsi="Tahoma" w:cs="Tahoma"/>
          <w:sz w:val="20"/>
          <w:szCs w:val="20"/>
          <w:rtl/>
        </w:rPr>
        <w:t>להגנ"ס</w:t>
      </w:r>
      <w:r w:rsidRPr="00D22A15">
        <w:rPr>
          <w:rFonts w:ascii="Tahoma" w:hAnsi="Tahoma" w:cs="Tahoma"/>
          <w:sz w:val="20"/>
          <w:szCs w:val="20"/>
          <w:rtl/>
        </w:rPr>
        <w:t xml:space="preserve"> לא ניתן ביטוי לקושי התפעולי למקם מכונת </w:t>
      </w:r>
      <w:r w:rsidRPr="00D22A15">
        <w:rPr>
          <w:rFonts w:ascii="Tahoma" w:hAnsi="Tahoma" w:cs="Tahoma"/>
          <w:sz w:val="20"/>
          <w:szCs w:val="20"/>
        </w:rPr>
        <w:t>RVM</w:t>
      </w:r>
      <w:r w:rsidRPr="00D22A15">
        <w:rPr>
          <w:rFonts w:ascii="Tahoma" w:hAnsi="Tahoma" w:cs="Tahoma"/>
          <w:sz w:val="20"/>
          <w:szCs w:val="20"/>
          <w:rtl/>
        </w:rPr>
        <w:t xml:space="preserve"> גדולה בחנות ששטחה כאמור, וכן לכך שבדרך כלל אין בחנויות כוח אדם לתפעול מכונה או כל מתקן אחר, משום שחנויות קטנות מתופעלות בידי עובד יחיד. עוד נטען כי בחנויות גדולות יותר תיתכן עלייה בהוצאות בשל הצורך להפנות כוח האדם נוסף לטיפול במכלי המשקה. </w:t>
      </w:r>
    </w:p>
    <w:p w:rsidR="000930B3" w:rsidRPr="00D22A15" w:rsidP="005C4ABF" w14:paraId="0E7CED5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למשרד מבקר המדינה בדצמבר 2020 (להלן - תגובת חברת איסוף א') כי מתן הטבות בדמי תפעול בגין שימוש במכונות </w:t>
      </w:r>
      <w:r w:rsidRPr="00D22A15">
        <w:rPr>
          <w:rFonts w:ascii="Tahoma" w:hAnsi="Tahoma" w:cs="Tahoma"/>
          <w:sz w:val="20"/>
          <w:szCs w:val="20"/>
        </w:rPr>
        <w:t>RVM</w:t>
      </w:r>
      <w:r w:rsidRPr="00D22A15">
        <w:rPr>
          <w:rFonts w:ascii="Tahoma" w:hAnsi="Tahoma" w:cs="Tahoma"/>
          <w:sz w:val="20"/>
          <w:szCs w:val="20"/>
          <w:rtl/>
        </w:rPr>
        <w:t xml:space="preserve"> יחייב, לדעתה, קיום מנגנון של גוף מוכר לאיסוף לפי חוק הפיקדון (בעניין זה ראה להלן) שאינו קיים בחוק הפיקדון. עוד טענה החברה כי מתן זיכוי על ידי מכונות יחייב תיקון חקיקה. </w:t>
      </w:r>
    </w:p>
    <w:p w:rsidR="000930B3" w:rsidRPr="00D22A15" w:rsidP="005C4ABF" w14:paraId="69AADEF3" w14:textId="02033F7F">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בחלק ממדינות אירופה שהוצגו לעיל מותקנות אלפי מכונות </w:t>
      </w:r>
      <w:r w:rsidRPr="00D22A15">
        <w:rPr>
          <w:rFonts w:ascii="Tahoma" w:hAnsi="Tahoma" w:cs="Tahoma"/>
          <w:sz w:val="20"/>
          <w:szCs w:val="20"/>
        </w:rPr>
        <w:t>RVM</w:t>
      </w:r>
      <w:r w:rsidRPr="00D22A15">
        <w:rPr>
          <w:rFonts w:ascii="Tahoma" w:hAnsi="Tahoma" w:cs="Tahoma"/>
          <w:sz w:val="20"/>
          <w:szCs w:val="20"/>
          <w:rtl/>
        </w:rPr>
        <w:t xml:space="preserve"> בפריסה רחבה. לדוגמה: בשנת 2019 </w:t>
      </w:r>
      <w:r w:rsidRPr="00D22A15">
        <w:rPr>
          <w:rFonts w:ascii="Tahoma" w:hAnsi="Tahoma" w:cs="Tahoma"/>
          <w:sz w:val="20"/>
          <w:szCs w:val="20"/>
          <w:rtl/>
        </w:rPr>
        <w:t>בנורווגיה</w:t>
      </w:r>
      <w:r w:rsidRPr="00D22A15">
        <w:rPr>
          <w:rFonts w:ascii="Tahoma" w:hAnsi="Tahoma" w:cs="Tahoma"/>
          <w:sz w:val="20"/>
          <w:szCs w:val="20"/>
          <w:rtl/>
        </w:rPr>
        <w:t xml:space="preserve"> היו מותקנות כ-3,700 מכונות ובדנמרק היו מותקנות מכונות </w:t>
      </w:r>
      <w:r w:rsidR="00390989">
        <w:rPr>
          <w:rFonts w:ascii="Tahoma" w:hAnsi="Tahoma" w:cs="Tahoma"/>
          <w:sz w:val="20"/>
          <w:szCs w:val="20"/>
        </w:rPr>
        <w:br/>
      </w:r>
      <w:r w:rsidRPr="00D22A15">
        <w:rPr>
          <w:rFonts w:ascii="Tahoma" w:hAnsi="Tahoma" w:cs="Tahoma"/>
          <w:sz w:val="20"/>
          <w:szCs w:val="20"/>
          <w:rtl/>
        </w:rPr>
        <w:t>בכ-3,000 מרכולים וב-12 תחנות עירוניות אוטומטיות</w:t>
      </w:r>
      <w:r>
        <w:rPr>
          <w:rFonts w:ascii="Tahoma" w:hAnsi="Tahoma" w:cs="Tahoma"/>
          <w:sz w:val="20"/>
          <w:szCs w:val="20"/>
          <w:vertAlign w:val="superscript"/>
          <w:rtl/>
        </w:rPr>
        <w:footnoteReference w:id="47"/>
      </w:r>
      <w:r w:rsidRPr="00D22A15">
        <w:rPr>
          <w:rFonts w:ascii="Tahoma" w:hAnsi="Tahoma" w:cs="Tahoma"/>
          <w:sz w:val="20"/>
          <w:szCs w:val="20"/>
          <w:rtl/>
        </w:rPr>
        <w:t xml:space="preserve">. בליטא, ששיעור האיסוף בה עמד בשנת 2019 על 92%, בוצעו 89% מהאיסוף באמצעות מכונות </w:t>
      </w:r>
      <w:r w:rsidRPr="00D22A15">
        <w:rPr>
          <w:rFonts w:ascii="Tahoma" w:hAnsi="Tahoma" w:cs="Tahoma"/>
          <w:sz w:val="20"/>
          <w:szCs w:val="20"/>
        </w:rPr>
        <w:t>RVM</w:t>
      </w:r>
      <w:r w:rsidRPr="00D22A15">
        <w:rPr>
          <w:rFonts w:ascii="Tahoma" w:hAnsi="Tahoma" w:cs="Tahoma"/>
          <w:sz w:val="20"/>
          <w:szCs w:val="20"/>
          <w:rtl/>
        </w:rPr>
        <w:t xml:space="preserve">. יצוין כי תאגיד </w:t>
      </w:r>
      <w:r w:rsidRPr="00D22A15">
        <w:rPr>
          <w:rFonts w:ascii="Tahoma" w:hAnsi="Tahoma" w:cs="Tahoma"/>
          <w:sz w:val="20"/>
          <w:szCs w:val="20"/>
          <w:rtl/>
        </w:rPr>
        <w:t>המיחזור</w:t>
      </w:r>
      <w:r w:rsidRPr="00D22A15">
        <w:rPr>
          <w:rFonts w:ascii="Tahoma" w:hAnsi="Tahoma" w:cs="Tahoma"/>
          <w:sz w:val="20"/>
          <w:szCs w:val="20"/>
          <w:rtl/>
        </w:rPr>
        <w:t xml:space="preserve"> בליטא מחויב על פי חוק לספק מכונות אוטומטיות לרשתות השיווק. יצוין גם כי בשנת 2018 הייתה אוכלוסיית ישראל גדולה מאוכלוסיית דנמרק </w:t>
      </w:r>
      <w:r w:rsidRPr="00D22A15">
        <w:rPr>
          <w:rFonts w:ascii="Tahoma" w:hAnsi="Tahoma" w:cs="Tahoma"/>
          <w:sz w:val="20"/>
          <w:szCs w:val="20"/>
          <w:rtl/>
        </w:rPr>
        <w:t>ונורווגיה</w:t>
      </w:r>
      <w:r w:rsidRPr="00D22A15">
        <w:rPr>
          <w:rFonts w:ascii="Tahoma" w:hAnsi="Tahoma" w:cs="Tahoma"/>
          <w:sz w:val="20"/>
          <w:szCs w:val="20"/>
          <w:rtl/>
        </w:rPr>
        <w:t xml:space="preserve"> בכ-54% ובכ-68%, בהתאמה. </w:t>
      </w:r>
    </w:p>
    <w:p w:rsidR="000930B3" w:rsidRPr="00D22A15" w:rsidP="005C4ABF" w14:paraId="5B380C2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למשרד </w:t>
      </w:r>
      <w:r w:rsidRPr="00D22A15">
        <w:rPr>
          <w:rFonts w:ascii="Tahoma" w:hAnsi="Tahoma" w:cs="Tahoma"/>
          <w:sz w:val="20"/>
          <w:szCs w:val="20"/>
          <w:rtl/>
        </w:rPr>
        <w:t>להגנ"ס</w:t>
      </w:r>
      <w:r w:rsidRPr="00D22A15">
        <w:rPr>
          <w:rFonts w:ascii="Tahoma" w:hAnsi="Tahoma" w:cs="Tahoma"/>
          <w:sz w:val="20"/>
          <w:szCs w:val="20"/>
          <w:rtl/>
        </w:rPr>
        <w:t xml:space="preserve"> אין נתון על מספר המכונות </w:t>
      </w:r>
      <w:r w:rsidRPr="00D22A15">
        <w:rPr>
          <w:rFonts w:ascii="Tahoma" w:hAnsi="Tahoma" w:cs="Tahoma"/>
          <w:sz w:val="20"/>
          <w:szCs w:val="20"/>
        </w:rPr>
        <w:t>RVM</w:t>
      </w:r>
      <w:r w:rsidRPr="00D22A15">
        <w:rPr>
          <w:rFonts w:ascii="Tahoma" w:hAnsi="Tahoma" w:cs="Tahoma"/>
          <w:sz w:val="20"/>
          <w:szCs w:val="20"/>
          <w:rtl/>
        </w:rPr>
        <w:t xml:space="preserve"> המותקנות ופעילות בישראל, אולם על פי סקירה של תעשיית </w:t>
      </w:r>
      <w:r w:rsidRPr="00D22A15">
        <w:rPr>
          <w:rFonts w:ascii="Tahoma" w:hAnsi="Tahoma" w:cs="Tahoma"/>
          <w:sz w:val="20"/>
          <w:szCs w:val="20"/>
          <w:rtl/>
        </w:rPr>
        <w:t>המיחזור</w:t>
      </w:r>
      <w:r w:rsidRPr="00D22A15">
        <w:rPr>
          <w:rFonts w:ascii="Tahoma" w:hAnsi="Tahoma" w:cs="Tahoma"/>
          <w:sz w:val="20"/>
          <w:szCs w:val="20"/>
          <w:rtl/>
        </w:rPr>
        <w:t xml:space="preserve"> שערך משרד הכלכלה בשנת 2014, באותה שנה היו ברחבי ישראל כ-100 מכונות בלבד. מכונות אלה מנפיקות זיכוי ומחייבות את הצרכנים לפנות לקופות במרכולים כדי לממשו. </w:t>
      </w:r>
    </w:p>
    <w:p w:rsidR="000930B3" w:rsidRPr="00D22A15" w:rsidP="005C4ABF" w14:paraId="103657DC" w14:textId="2CC74E3E">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הוא יחל בהליך לקבלת מידע על מכונות החזרה אוטומטיות לשם "כתיבת הליך לתמיכה ברכש מכונות מסוג זה" וב-10.12.20 פרסם המשרד </w:t>
      </w:r>
      <w:r w:rsidRPr="00D22A15">
        <w:rPr>
          <w:rFonts w:ascii="Tahoma" w:hAnsi="Tahoma" w:cs="Tahoma"/>
          <w:sz w:val="20"/>
          <w:szCs w:val="20"/>
          <w:rtl/>
        </w:rPr>
        <w:t>להגנ"ס</w:t>
      </w:r>
      <w:r w:rsidRPr="00D22A15">
        <w:rPr>
          <w:rFonts w:ascii="Tahoma" w:hAnsi="Tahoma" w:cs="Tahoma"/>
          <w:sz w:val="20"/>
          <w:szCs w:val="20"/>
          <w:rtl/>
        </w:rPr>
        <w:t xml:space="preserve"> פנייה לקבלת מידע </w:t>
      </w:r>
      <w:r w:rsidR="00390989">
        <w:rPr>
          <w:rFonts w:ascii="Tahoma" w:hAnsi="Tahoma" w:cs="Tahoma" w:hint="cs"/>
          <w:sz w:val="20"/>
          <w:szCs w:val="20"/>
          <w:rtl/>
        </w:rPr>
        <w:t>(</w:t>
      </w:r>
      <w:r w:rsidRPr="00D22A15" w:rsidR="00390989">
        <w:rPr>
          <w:rFonts w:ascii="Tahoma" w:hAnsi="Tahoma" w:cs="Tahoma"/>
          <w:sz w:val="20"/>
          <w:szCs w:val="20"/>
        </w:rPr>
        <w:t>RFI</w:t>
      </w:r>
      <w:r w:rsidR="00390989">
        <w:rPr>
          <w:rFonts w:ascii="Tahoma" w:hAnsi="Tahoma" w:cs="Tahoma" w:hint="cs"/>
          <w:sz w:val="20"/>
          <w:szCs w:val="20"/>
          <w:rtl/>
        </w:rPr>
        <w:t>)</w:t>
      </w:r>
      <w:r w:rsidR="008912CB">
        <w:rPr>
          <w:rFonts w:ascii="Tahoma" w:hAnsi="Tahoma" w:cs="Tahoma" w:hint="cs"/>
          <w:sz w:val="20"/>
          <w:szCs w:val="20"/>
          <w:rtl/>
        </w:rPr>
        <w:t xml:space="preserve"> </w:t>
      </w:r>
      <w:r w:rsidRPr="00D22A15">
        <w:rPr>
          <w:rFonts w:ascii="Tahoma" w:hAnsi="Tahoma" w:cs="Tahoma"/>
          <w:sz w:val="20"/>
          <w:szCs w:val="20"/>
          <w:rtl/>
        </w:rPr>
        <w:t xml:space="preserve">על מכונות איסוף אוטומטיות </w:t>
      </w:r>
      <w:r w:rsidRPr="00D22A15">
        <w:rPr>
          <w:rFonts w:ascii="Tahoma" w:hAnsi="Tahoma" w:cs="Tahoma"/>
          <w:sz w:val="20"/>
          <w:szCs w:val="20"/>
          <w:rtl/>
        </w:rPr>
        <w:t>ודחסניות</w:t>
      </w:r>
      <w:r w:rsidRPr="00D22A15">
        <w:rPr>
          <w:rFonts w:ascii="Tahoma" w:hAnsi="Tahoma" w:cs="Tahoma"/>
          <w:sz w:val="20"/>
          <w:szCs w:val="20"/>
          <w:rtl/>
        </w:rPr>
        <w:t xml:space="preserve"> של מכלי משקה אשר יוצבו באתרים שונים, כגון: מרכולים, תחנות דלק ומוסדות</w:t>
      </w:r>
      <w:r>
        <w:rPr>
          <w:rFonts w:ascii="Tahoma" w:hAnsi="Tahoma" w:cs="Tahoma"/>
          <w:sz w:val="20"/>
          <w:szCs w:val="20"/>
          <w:vertAlign w:val="superscript"/>
          <w:rtl/>
        </w:rPr>
        <w:footnoteReference w:id="48"/>
      </w:r>
      <w:r w:rsidRPr="00D22A15">
        <w:rPr>
          <w:rFonts w:ascii="Tahoma" w:hAnsi="Tahoma" w:cs="Tahoma"/>
          <w:sz w:val="20"/>
          <w:szCs w:val="20"/>
          <w:rtl/>
        </w:rPr>
        <w:t xml:space="preserve">. </w:t>
      </w:r>
    </w:p>
    <w:p w:rsidR="000930B3" w:rsidRPr="00390989" w:rsidP="005C4ABF" w14:paraId="0FD54ECB" w14:textId="77777777">
      <w:pPr>
        <w:pStyle w:val="a5"/>
        <w:spacing w:before="120" w:after="120" w:line="320" w:lineRule="atLeast"/>
        <w:rPr>
          <w:rFonts w:ascii="Tahoma" w:hAnsi="Tahoma" w:cs="Tahoma"/>
          <w:sz w:val="20"/>
          <w:szCs w:val="20"/>
          <w:rtl/>
        </w:rPr>
      </w:pPr>
      <w:r w:rsidRPr="00390989">
        <w:rPr>
          <w:rStyle w:val="50"/>
          <w:rFonts w:ascii="Tahoma" w:hAnsi="Tahoma" w:cs="Tahoma"/>
          <w:b/>
          <w:bCs/>
          <w:szCs w:val="20"/>
          <w:rtl/>
        </w:rPr>
        <w:t>זיהוי מכלי משקה:</w:t>
      </w:r>
      <w:r w:rsidRPr="00390989">
        <w:rPr>
          <w:rFonts w:ascii="Tahoma" w:hAnsi="Tahoma" w:cs="Tahoma"/>
          <w:sz w:val="20"/>
          <w:szCs w:val="20"/>
          <w:rtl/>
        </w:rPr>
        <w:t xml:space="preserve"> בגרמניה מכלי משקה מסומנים בקוד קווי ייחודי ובצבע מיוחד למניעת זיופים שמאפשרים לזהות את המכל עם היצרן או היבואן המשווק אותו. השבת מכל המשקה מתבצעת באמצעות מכונה הקוראת את הקוד הקווי, מזכה את הצרכן ובה בעת מחייבת את היצרן או היבואן בסכום הפיקדון. בדרך זו, הליך ההשבה מאפשר בדיקה אמינה, בזמן אמת, </w:t>
      </w:r>
      <w:r w:rsidRPr="00390989">
        <w:rPr>
          <w:rFonts w:ascii="Tahoma" w:hAnsi="Tahoma" w:cs="Tahoma"/>
          <w:sz w:val="20"/>
          <w:szCs w:val="20"/>
          <w:rtl/>
        </w:rPr>
        <w:t>של שיעור האיסוף של כל יצרן ויבואן, נוסף על מניעת זיופים של מכלי משקה</w:t>
      </w:r>
      <w:r>
        <w:rPr>
          <w:rFonts w:ascii="Tahoma" w:hAnsi="Tahoma" w:cs="Tahoma"/>
          <w:sz w:val="20"/>
          <w:szCs w:val="20"/>
          <w:vertAlign w:val="superscript"/>
          <w:rtl/>
        </w:rPr>
        <w:footnoteReference w:id="49"/>
      </w:r>
      <w:r w:rsidRPr="00390989">
        <w:rPr>
          <w:rFonts w:ascii="Tahoma" w:hAnsi="Tahoma" w:cs="Tahoma"/>
          <w:sz w:val="20"/>
          <w:szCs w:val="20"/>
          <w:rtl/>
        </w:rPr>
        <w:t>. להלן תמונה של סימון מכל משקה בגרמניה.</w:t>
      </w:r>
    </w:p>
    <w:p w:rsidR="000930B3" w:rsidRPr="00DA075D" w:rsidP="00AD02C3" w14:paraId="053C7A3F" w14:textId="22530A9A">
      <w:pPr>
        <w:pStyle w:val="a1"/>
        <w:spacing w:line="320" w:lineRule="atLeast"/>
        <w:rPr>
          <w:rtl/>
        </w:rPr>
      </w:pPr>
      <w:r w:rsidRPr="00D22A15">
        <w:rPr>
          <w:b w:val="0"/>
          <w:bCs w:val="0"/>
          <w:rtl/>
        </w:rPr>
        <w:t xml:space="preserve">תמונה 2: </w:t>
      </w:r>
      <w:r w:rsidRPr="00DA075D">
        <w:rPr>
          <w:rtl/>
        </w:rPr>
        <w:t>מכל משקה בגרמניה עם סימון הפיקדון והקוד הקווי</w:t>
      </w:r>
    </w:p>
    <w:p w:rsidR="000930B3" w:rsidRPr="00390989" w:rsidP="00390989" w14:paraId="7C2A74B6" w14:textId="4EC83329">
      <w:pPr>
        <w:pStyle w:val="a5"/>
        <w:spacing w:before="120" w:after="120" w:line="320" w:lineRule="atLeast"/>
        <w:jc w:val="center"/>
        <w:rPr>
          <w:rStyle w:val="50"/>
          <w:rFonts w:ascii="Tahoma" w:hAnsi="Tahoma" w:cs="Tahoma"/>
          <w:rtl/>
        </w:rPr>
      </w:pPr>
      <w:r>
        <w:rPr>
          <w:rFonts w:ascii="Tahoma" w:hAnsi="Tahoma" w:cs="Tahoma"/>
          <w:noProof/>
          <w:sz w:val="20"/>
          <w:rtl/>
          <w:lang w:val="he-IL"/>
        </w:rPr>
        <w:drawing>
          <wp:inline distT="0" distB="0" distL="0" distR="0">
            <wp:extent cx="3937198" cy="52514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55996" name="Picture 2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41016" cy="5256543"/>
                    </a:xfrm>
                    <a:prstGeom prst="rect">
                      <a:avLst/>
                    </a:prstGeom>
                  </pic:spPr>
                </pic:pic>
              </a:graphicData>
            </a:graphic>
          </wp:inline>
        </w:drawing>
      </w:r>
    </w:p>
    <w:p w:rsidR="000930B3" w:rsidRPr="00390989" w:rsidP="006C5FF5" w14:paraId="03CC624E" w14:textId="115BD709">
      <w:pPr>
        <w:pStyle w:val="text-source"/>
        <w:rPr>
          <w:color w:val="auto"/>
          <w:rtl/>
        </w:rPr>
      </w:pPr>
      <w:r w:rsidRPr="00390989">
        <w:rPr>
          <w:color w:val="auto"/>
          <w:rtl/>
        </w:rPr>
        <w:t xml:space="preserve">המקור: </w:t>
      </w:r>
      <w:hyperlink r:id="rId28" w:history="1">
        <w:r w:rsidRPr="00390989" w:rsidR="00390989">
          <w:rPr>
            <w:rStyle w:val="Hyperlink"/>
            <w:color w:val="auto"/>
            <w:u w:val="none"/>
          </w:rPr>
          <w:t>https://en.wikipedia.org/wiki/Container-deposit_legislation</w:t>
        </w:r>
      </w:hyperlink>
    </w:p>
    <w:p w:rsidR="000930B3" w:rsidRPr="00D22A15" w:rsidP="005C4ABF" w14:paraId="52E40B4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יש לעגן בסיס מידע על המכלים באמצעות קוד קווי (ברקוד) לזיהוי מכלי משקה. </w:t>
      </w:r>
    </w:p>
    <w:p w:rsidR="000930B3" w:rsidRPr="00DA075D" w:rsidP="008E06C5" w14:paraId="11924EF5" w14:textId="77777777">
      <w:pPr>
        <w:pStyle w:val="RESHET"/>
        <w:rPr>
          <w:rStyle w:val="a4"/>
          <w:rtl/>
        </w:rPr>
      </w:pPr>
      <w:r w:rsidRPr="00DA075D">
        <w:rPr>
          <w:rtl/>
        </w:rPr>
        <w:t>מהאמור לעיל עולה כי בהשוואה למדינות אירופה שבהן נהוגה שיטת הפיקדון, שיעור האיסוף של מכלי המשקה הגדולים בישראל נמוך בכ-23% - 40%</w:t>
      </w:r>
      <w:r w:rsidRPr="00DA075D">
        <w:rPr>
          <w:spacing w:val="-57"/>
          <w:rtl/>
        </w:rPr>
        <w:t xml:space="preserve"> </w:t>
      </w:r>
      <w:r>
        <w:rPr>
          <w:vertAlign w:val="superscript"/>
          <w:rtl/>
        </w:rPr>
        <w:footnoteReference w:id="50"/>
      </w:r>
      <w:r w:rsidRPr="00DA075D">
        <w:rPr>
          <w:rStyle w:val="a4"/>
          <w:rtl/>
        </w:rPr>
        <w:t xml:space="preserve">, וכי בישראל נעשה שימוש מזערי בטכנולוגיות מתקדמות המאפשרות לייעל את תהליך האיסוף והתשלום. </w:t>
      </w:r>
    </w:p>
    <w:p w:rsidR="000930B3" w:rsidRPr="00DA075D" w:rsidP="008E06C5" w14:paraId="34EBD982" w14:textId="77777777">
      <w:pPr>
        <w:pStyle w:val="RESHET"/>
        <w:rPr>
          <w:rtl/>
        </w:rPr>
      </w:pPr>
      <w:r w:rsidRPr="00DA075D">
        <w:rPr>
          <w:rtl/>
        </w:rPr>
        <w:t xml:space="preserve">משרד מבקר המדינה ממליץ למשרד </w:t>
      </w:r>
      <w:r w:rsidRPr="00DA075D">
        <w:rPr>
          <w:rtl/>
        </w:rPr>
        <w:t>להגנ"ס</w:t>
      </w:r>
      <w:r w:rsidRPr="00DA075D">
        <w:rPr>
          <w:rtl/>
        </w:rPr>
        <w:t xml:space="preserve"> לבחון בשיתוף עם תאגידי האיסוף </w:t>
      </w:r>
      <w:r w:rsidRPr="00DA075D">
        <w:rPr>
          <w:rtl/>
        </w:rPr>
        <w:t>ומיחזור</w:t>
      </w:r>
      <w:r w:rsidRPr="00DA075D">
        <w:rPr>
          <w:rtl/>
        </w:rPr>
        <w:t xml:space="preserve">, יצרנים, יבואנים וקמעונאים, התקנת מכונות </w:t>
      </w:r>
      <w:r w:rsidRPr="001303CB">
        <w:rPr>
          <w:sz w:val="20"/>
        </w:rPr>
        <w:t>RVM</w:t>
      </w:r>
      <w:r w:rsidRPr="00DA075D">
        <w:rPr>
          <w:rtl/>
        </w:rPr>
        <w:t xml:space="preserve"> שיאפשרו לצרכן לקבל זיכוי ללא צורך בהמתנה לקופאי, בפריסה ארצית רחבה. שיפור הנגישות של מכונות </w:t>
      </w:r>
      <w:r w:rsidRPr="001303CB">
        <w:rPr>
          <w:sz w:val="20"/>
        </w:rPr>
        <w:t>RVM</w:t>
      </w:r>
      <w:r w:rsidRPr="00DA075D">
        <w:rPr>
          <w:rtl/>
        </w:rPr>
        <w:t xml:space="preserve"> לציבור עשוי לשפר את היענות הציבור לנושא האיסוף </w:t>
      </w:r>
      <w:r w:rsidRPr="00DA075D">
        <w:rPr>
          <w:rtl/>
        </w:rPr>
        <w:t>והמיחזור</w:t>
      </w:r>
      <w:r w:rsidRPr="00DA075D">
        <w:rPr>
          <w:rtl/>
        </w:rPr>
        <w:t xml:space="preserve">. כמו כן מומלץ לבחון את אימוץ שיטת הסימון והזיהוי הנהוגה בגרמניה שעשויה לייעל את תהליכי האיסוף. </w:t>
      </w:r>
    </w:p>
    <w:p w:rsidR="000930B3" w:rsidRPr="00D22A15" w:rsidP="005C4ABF" w14:paraId="57041529" w14:textId="77777777">
      <w:pPr>
        <w:pStyle w:val="a5"/>
        <w:spacing w:before="120" w:after="120" w:line="320" w:lineRule="atLeast"/>
        <w:rPr>
          <w:rFonts w:ascii="Tahoma" w:hAnsi="Tahoma" w:cs="Tahoma"/>
          <w:sz w:val="20"/>
          <w:szCs w:val="20"/>
          <w:rtl/>
        </w:rPr>
      </w:pPr>
      <w:r w:rsidRPr="00390989">
        <w:rPr>
          <w:rStyle w:val="50"/>
          <w:rFonts w:ascii="Tahoma" w:hAnsi="Tahoma" w:cs="Tahoma"/>
          <w:b/>
          <w:bCs/>
          <w:rtl/>
        </w:rPr>
        <w:t>עלויות הרכישה, התחזוקה והפחת של המכונות:</w:t>
      </w:r>
      <w:r w:rsidRPr="00D22A15">
        <w:rPr>
          <w:rFonts w:ascii="Tahoma" w:hAnsi="Tahoma" w:cs="Tahoma"/>
          <w:sz w:val="20"/>
          <w:szCs w:val="20"/>
          <w:rtl/>
        </w:rPr>
        <w:t xml:space="preserve"> הצבת מכונות ותחזוקתן כרוכה בעלויות ניכרות. מסקירה בין-לאומית שביצע המשרד </w:t>
      </w:r>
      <w:r w:rsidRPr="00D22A15">
        <w:rPr>
          <w:rFonts w:ascii="Tahoma" w:hAnsi="Tahoma" w:cs="Tahoma"/>
          <w:sz w:val="20"/>
          <w:szCs w:val="20"/>
          <w:rtl/>
        </w:rPr>
        <w:t>להגנ"ס</w:t>
      </w:r>
      <w:r w:rsidRPr="00D22A15">
        <w:rPr>
          <w:rFonts w:ascii="Tahoma" w:hAnsi="Tahoma" w:cs="Tahoma"/>
          <w:sz w:val="20"/>
          <w:szCs w:val="20"/>
          <w:rtl/>
        </w:rPr>
        <w:t xml:space="preserve"> ביוני 2020 עולה כי עלות הרכישה של מכונת </w:t>
      </w:r>
      <w:r w:rsidRPr="00D22A15">
        <w:rPr>
          <w:rFonts w:ascii="Tahoma" w:hAnsi="Tahoma" w:cs="Tahoma"/>
          <w:sz w:val="20"/>
          <w:szCs w:val="20"/>
        </w:rPr>
        <w:t>RVM</w:t>
      </w:r>
      <w:r w:rsidRPr="00D22A15">
        <w:rPr>
          <w:rFonts w:ascii="Tahoma" w:hAnsi="Tahoma" w:cs="Tahoma"/>
          <w:sz w:val="20"/>
          <w:szCs w:val="20"/>
          <w:rtl/>
        </w:rPr>
        <w:t xml:space="preserve"> נעה בין 35,000 ל-350,000 ש"ח</w:t>
      </w:r>
      <w:r>
        <w:rPr>
          <w:rFonts w:ascii="Tahoma" w:hAnsi="Tahoma" w:cs="Tahoma"/>
          <w:sz w:val="20"/>
          <w:szCs w:val="20"/>
          <w:vertAlign w:val="superscript"/>
          <w:rtl/>
        </w:rPr>
        <w:footnoteReference w:id="51"/>
      </w:r>
      <w:r w:rsidRPr="00D22A15">
        <w:rPr>
          <w:rFonts w:ascii="Tahoma" w:hAnsi="Tahoma" w:cs="Tahoma"/>
          <w:sz w:val="20"/>
          <w:szCs w:val="20"/>
          <w:rtl/>
        </w:rPr>
        <w:t>. על פי חוות דעת כלכלית מטעם התאחדות התעשיינים בישראל ואיגוד לשכות המסחר שהוגשה לוועדת הכלכלה של הכנסת בספטמבר 2020</w:t>
      </w:r>
      <w:r w:rsidRPr="00D22A15">
        <w:rPr>
          <w:rFonts w:ascii="Tahoma" w:hAnsi="Tahoma" w:cs="Tahoma"/>
          <w:spacing w:val="-95"/>
          <w:sz w:val="20"/>
          <w:szCs w:val="20"/>
          <w:rtl/>
        </w:rPr>
        <w:t xml:space="preserve"> </w:t>
      </w:r>
      <w:r>
        <w:rPr>
          <w:rFonts w:ascii="Tahoma" w:hAnsi="Tahoma" w:cs="Tahoma"/>
          <w:sz w:val="20"/>
          <w:szCs w:val="20"/>
          <w:vertAlign w:val="superscript"/>
          <w:rtl/>
        </w:rPr>
        <w:footnoteReference w:id="52"/>
      </w:r>
      <w:r w:rsidRPr="00D22A15">
        <w:rPr>
          <w:rFonts w:ascii="Tahoma" w:hAnsi="Tahoma" w:cs="Tahoma"/>
          <w:sz w:val="20"/>
          <w:szCs w:val="20"/>
          <w:rtl/>
        </w:rPr>
        <w:t xml:space="preserve">, עלות תחזוקה שנתית של מכונה נאמדת בכ-14,000 ש"ח. </w:t>
      </w:r>
    </w:p>
    <w:p w:rsidR="000930B3" w:rsidRPr="00D22A15" w:rsidP="005C4ABF" w14:paraId="52ACA3E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בתגובת איגוד רשתות שיווק המזון נמסר כי לא נקבע אם יוצבו מכונות במרחב הציבורי, נוסף על סניפי רשתות המזון, ולא נקבע כיצד ייקבע מקומן. כמו כן, לא פורסמה לעת עתה החלטה אם המדינה תשתתף, באמצעות הקרן לשמירת הניקיון, בעלות התקנת המכונות, שמסתכמת בעשרות אלפי דולרים, ותחזוקתן השוטפת שמסתכמת בכ-14,000 ש"ח למכונה בשנה. לטענת האיגוד, אם יותקנו מכונות בסניפי רשתות השיווק תושת עליהן עלויות כוח אדם נוספות שיסתכמו בעשרות אלפי שקלים בשנה לכל סניף. </w:t>
      </w:r>
    </w:p>
    <w:p w:rsidR="000930B3" w:rsidRPr="00D22A15" w:rsidP="005C4ABF" w14:paraId="4419B9B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איגוד תעשיות המזון מסר בתגובתו כי פריסה של כ-1,000 מכונות </w:t>
      </w:r>
      <w:r w:rsidRPr="00D22A15">
        <w:rPr>
          <w:rFonts w:ascii="Tahoma" w:hAnsi="Tahoma" w:cs="Tahoma"/>
          <w:sz w:val="20"/>
          <w:szCs w:val="20"/>
        </w:rPr>
        <w:t>RVM</w:t>
      </w:r>
      <w:r w:rsidRPr="00D22A15">
        <w:rPr>
          <w:rFonts w:ascii="Tahoma" w:hAnsi="Tahoma" w:cs="Tahoma"/>
          <w:sz w:val="20"/>
          <w:szCs w:val="20"/>
          <w:rtl/>
        </w:rPr>
        <w:t>, בעלות של 80,000 - 150,000 ש"ח</w:t>
      </w:r>
      <w:r>
        <w:rPr>
          <w:rFonts w:ascii="Tahoma" w:hAnsi="Tahoma" w:cs="Tahoma"/>
          <w:sz w:val="20"/>
          <w:szCs w:val="20"/>
          <w:vertAlign w:val="superscript"/>
          <w:rtl/>
        </w:rPr>
        <w:footnoteReference w:id="53"/>
      </w:r>
      <w:r w:rsidRPr="00D22A15">
        <w:rPr>
          <w:rFonts w:ascii="Tahoma" w:hAnsi="Tahoma" w:cs="Tahoma"/>
          <w:sz w:val="20"/>
          <w:szCs w:val="20"/>
          <w:rtl/>
        </w:rPr>
        <w:t xml:space="preserve"> למכונה, תשית הוצאת פחת שנתית בסכום העולה על 20 מיליון שקלים. על פי הניתוח הכלכלי שבוצע לבקשת האיגוד, עלות האיסוף תגיע לכ-49 אגורות למכל ותחייב הטלת פיקדון של יותר מ-30 אגורות. עוד צוין כי במדינות במערב אירופה שבהן מוטל פיקדון על מכלי המשקה, סכום הפיקדון עומד על כ-1 ש"ח למכל. </w:t>
      </w:r>
    </w:p>
    <w:p w:rsidR="000930B3" w:rsidRPr="00D22A15" w:rsidP="005C4ABF" w14:paraId="29F6ED5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כאמור, 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בכוונתו לבצע הליך לקבלת מידע על המכונות האוטומטיות כדי לגבש מהלכים לתמיכה ברכש המכונות. </w:t>
      </w:r>
    </w:p>
    <w:p w:rsidR="000930B3" w:rsidRPr="00DA075D" w:rsidP="00A07626" w14:paraId="00FCC5A2" w14:textId="77777777">
      <w:pPr>
        <w:pStyle w:val="4"/>
        <w:rPr>
          <w:rtl/>
        </w:rPr>
      </w:pPr>
      <w:r w:rsidRPr="00DA075D">
        <w:rPr>
          <w:rtl/>
        </w:rPr>
        <w:t xml:space="preserve">תאגיד </w:t>
      </w:r>
      <w:r w:rsidRPr="00DA075D">
        <w:rPr>
          <w:rtl/>
        </w:rPr>
        <w:t>מיחזור</w:t>
      </w:r>
      <w:r w:rsidRPr="00DA075D">
        <w:rPr>
          <w:rtl/>
        </w:rPr>
        <w:t xml:space="preserve"> מוכר לפי חוק הפיקדון</w:t>
      </w:r>
    </w:p>
    <w:p w:rsidR="000930B3" w:rsidRPr="00D22A15" w:rsidP="005C4ABF" w14:paraId="7C3677D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באוגוסט 2000 נקבעו בחוק הפיקדון כללים להכרה ב"תאגיד </w:t>
      </w:r>
      <w:r w:rsidRPr="00D22A15">
        <w:rPr>
          <w:rFonts w:ascii="Tahoma" w:hAnsi="Tahoma" w:cs="Tahoma"/>
          <w:sz w:val="20"/>
          <w:szCs w:val="20"/>
          <w:rtl/>
        </w:rPr>
        <w:t>מיחזור</w:t>
      </w:r>
      <w:r w:rsidRPr="00D22A15">
        <w:rPr>
          <w:rFonts w:ascii="Tahoma" w:hAnsi="Tahoma" w:cs="Tahoma"/>
          <w:sz w:val="20"/>
          <w:szCs w:val="20"/>
          <w:rtl/>
        </w:rPr>
        <w:t xml:space="preserve">" (להלן - גוף מוכר לפי חוק הפיקדון) ולאופן פעולתו. בין היתר נקבע כי הגוף המוכר יהיה תאגיד ללא מטרות רווח, שמטרתו היחידה תהיה "הקמה והפעלה של מנגנון לשם ביצוע הוראות לפי חוק זה [חוק הפיקדון] לעניין החזר פיקדונות, איסוף מכלי משקה </w:t>
      </w:r>
      <w:r w:rsidRPr="00D22A15">
        <w:rPr>
          <w:rFonts w:ascii="Tahoma" w:hAnsi="Tahoma" w:cs="Tahoma"/>
          <w:sz w:val="20"/>
          <w:szCs w:val="20"/>
          <w:rtl/>
        </w:rPr>
        <w:t>ומיחזורם</w:t>
      </w:r>
      <w:r w:rsidRPr="00D22A15">
        <w:rPr>
          <w:rFonts w:ascii="Tahoma" w:hAnsi="Tahoma" w:cs="Tahoma"/>
          <w:sz w:val="20"/>
          <w:szCs w:val="20"/>
          <w:rtl/>
        </w:rPr>
        <w:t>". החוק הטיל על הגוף המוכר את האחריות לאיסוף מכלי המשקה הקטנים ששיווקו היצרנים והיבואנים שהתקשרו עימו. הוא לא הקנה בלעדיות לגוף מוכר אחד ולא מנע הקמת כמה תאגידים כאלה. עם זאת, עד לתיקון חוק הפיקדון בשנת 2010, שבו בוטלה ההכרה בגוף המוכר וחובותיו הועברו ליצרנים וליבואנים, פעל במשק גוף מוכר יחיד - חברת איסוף א'.</w:t>
      </w:r>
    </w:p>
    <w:p w:rsidR="000930B3" w:rsidRPr="00D22A15" w:rsidP="005C4ABF" w14:paraId="50A088D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לאחר תיקון חוק הפיקדון וביטול מעמד הגוף המוכר בחוק, חברות נוספות החלו לפעול כתאגידי איסוף </w:t>
      </w:r>
      <w:r w:rsidRPr="00D22A15">
        <w:rPr>
          <w:rFonts w:ascii="Tahoma" w:hAnsi="Tahoma" w:cs="Tahoma"/>
          <w:sz w:val="20"/>
          <w:szCs w:val="20"/>
          <w:rtl/>
        </w:rPr>
        <w:t>ומיחזור</w:t>
      </w:r>
      <w:r w:rsidRPr="00D22A15">
        <w:rPr>
          <w:rFonts w:ascii="Tahoma" w:hAnsi="Tahoma" w:cs="Tahoma"/>
          <w:sz w:val="20"/>
          <w:szCs w:val="20"/>
          <w:rtl/>
        </w:rPr>
        <w:t xml:space="preserve">, בהן חברת איסוף ב', שהוקמה בשנת 2010 והחלה בפעילותה כתאגיד איסוף </w:t>
      </w:r>
      <w:r w:rsidRPr="00D22A15">
        <w:rPr>
          <w:rFonts w:ascii="Tahoma" w:hAnsi="Tahoma" w:cs="Tahoma"/>
          <w:sz w:val="20"/>
          <w:szCs w:val="20"/>
          <w:rtl/>
        </w:rPr>
        <w:t>ומיחזור</w:t>
      </w:r>
      <w:r w:rsidRPr="00D22A15">
        <w:rPr>
          <w:rFonts w:ascii="Tahoma" w:hAnsi="Tahoma" w:cs="Tahoma"/>
          <w:sz w:val="20"/>
          <w:szCs w:val="20"/>
          <w:rtl/>
        </w:rPr>
        <w:t xml:space="preserve"> בשנת 2012. בשנת 2018 החזיקה חברת איסוף ב' בנתח שוק של כ-8.6% מאיסוף מכלי המשקה הקטנים וכ-1.3% מאיסוף מכלי המשקה הגדולים.</w:t>
      </w:r>
    </w:p>
    <w:p w:rsidR="000930B3" w:rsidRPr="00DA075D" w:rsidP="008E06C5" w14:paraId="39AD75CB" w14:textId="77777777">
      <w:pPr>
        <w:pStyle w:val="RESHET"/>
        <w:rPr>
          <w:rtl/>
        </w:rPr>
      </w:pPr>
      <w:r w:rsidRPr="00DA075D">
        <w:rPr>
          <w:rtl/>
        </w:rPr>
        <w:t xml:space="preserve">יצוין כי בכל מדינות אירופה שבהן מוטל פיקדון, למעט גרמניה, פועל תאגיד </w:t>
      </w:r>
      <w:r w:rsidRPr="00DA075D">
        <w:rPr>
          <w:rtl/>
        </w:rPr>
        <w:t>מיחזור</w:t>
      </w:r>
      <w:r w:rsidRPr="00DA075D">
        <w:rPr>
          <w:rtl/>
        </w:rPr>
        <w:t xml:space="preserve"> אחד שהוא בדרך כלל תאגיד ללא מטרות רווח שנמצא בבעלות איגודים מקצועיים של יצרנים או קמעונאים או שני הגורמים יחדיו או בבעלות המדינה. </w:t>
      </w:r>
    </w:p>
    <w:p w:rsidR="000930B3" w:rsidRPr="00D22A15" w:rsidP="005C4ABF" w14:paraId="4E8CCB9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לדעתה יש חשיבות לקיום "גוף מוכר", שאינו קיים כיום בחוק הפיקדון, אך קיים בחוקי אחריות יצרן אחרים, ולחיוב היצרן להתקשר עם גוף מוכר לפי חוק הפיקדון, וכן יש חשיבות לשיפור האסדרה בתחום האיסוף </w:t>
      </w:r>
      <w:r w:rsidRPr="00D22A15">
        <w:rPr>
          <w:rFonts w:ascii="Tahoma" w:hAnsi="Tahoma" w:cs="Tahoma"/>
          <w:sz w:val="20"/>
          <w:szCs w:val="20"/>
          <w:rtl/>
        </w:rPr>
        <w:t>והמיחזור</w:t>
      </w:r>
      <w:r w:rsidRPr="00D22A15">
        <w:rPr>
          <w:rFonts w:ascii="Tahoma" w:hAnsi="Tahoma" w:cs="Tahoma"/>
          <w:sz w:val="20"/>
          <w:szCs w:val="20"/>
          <w:rtl/>
        </w:rPr>
        <w:t>. מנגנון "הגוף המוכר" מאפשר לקבוע כיצד יושגו היעדים הכמותיים בחוק הפיקדון ולקבוע כללים לכך. החברה ציינה עוד כי המצב הקיים, שבו אין אסדרה, אינו בר-קיימה, בוודאי לא בהינתן הרחבת הפיקדון למכלי משקה גדולים.</w:t>
      </w:r>
    </w:p>
    <w:p w:rsidR="000930B3" w:rsidRPr="00D22A15" w:rsidP="005C4ABF" w14:paraId="0A6BD18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בדצמבר 2020 מסרה חברת איסוף ב' בתגובתה למשרד מבקר המדינה (להלן - תגובת חברת איסוף ב') כי ניתן לראות שלאחר תיקון החוק בשנת 2010 וביטול מעמד "גוף מוכר", עלו שיעורי האיסוף. </w:t>
      </w:r>
    </w:p>
    <w:p w:rsidR="000930B3" w:rsidRPr="00D22A15" w:rsidP="005C4ABF" w14:paraId="6550ED5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החלת הפיקדון על מכלי משקה גדולים תיצור מנגנון בעל מחזור של כ-600 מיליון ש"ח בשנה, המורכבים מדמי פיקדון על מכלים קטנים, דמי פיקדון על מכלים גדולים ותוספת לא ידועה של דמי תפעול, ללא כל אסדרה מתאימה באמצעות גוף מאסדר או מסלקה, המקבלים רישיון לפעילותם מאת המאסדר. המשמעות היא כי כספי הציבור ינוהלו על ידי חברות שאינן נתונות לפיקוח וסנקציות של המאסדר. עוד נמסר כי באירופה אין מתקיימים מנגנוני פיקדון על מכלי משקה ללא הכרה בגופים מוכרים לניהול המנגנון. לפיכך ממליץ המשרד על תיקון חקיקה מתאים להכרה בגופים מוכרים. </w:t>
      </w:r>
    </w:p>
    <w:p w:rsidR="000930B3" w:rsidRPr="00DA075D" w:rsidP="008E06C5" w14:paraId="6CAD4A1D" w14:textId="77777777">
      <w:pPr>
        <w:pStyle w:val="RESHET"/>
        <w:rPr>
          <w:rtl/>
        </w:rPr>
      </w:pPr>
      <w:r w:rsidRPr="00DA075D">
        <w:rPr>
          <w:rtl/>
        </w:rPr>
        <w:t xml:space="preserve">מבקר המדינה ממליץ כי אם המשרד </w:t>
      </w:r>
      <w:r w:rsidRPr="00DA075D">
        <w:rPr>
          <w:rtl/>
        </w:rPr>
        <w:t>להגנ"ס</w:t>
      </w:r>
      <w:r w:rsidRPr="00DA075D">
        <w:rPr>
          <w:rtl/>
        </w:rPr>
        <w:t xml:space="preserve"> סבור כי ההסדרה החוקית של חוק הפיקדון, שאת יישומו הוא מאסדר, אינה מיטבית וכי הנושא הוא מהותי לשם קידום הגנת הסביבה, עליו לקדם את השינויים בעניין זה.</w:t>
      </w:r>
    </w:p>
    <w:p w:rsidR="000930B3" w:rsidRPr="00DA075D" w:rsidP="00DB519D" w14:paraId="4F0126E2" w14:textId="77777777">
      <w:pPr>
        <w:pStyle w:val="3"/>
        <w:rPr>
          <w:rtl/>
        </w:rPr>
      </w:pPr>
      <w:r w:rsidRPr="00DA075D">
        <w:rPr>
          <w:rtl/>
        </w:rPr>
        <w:t xml:space="preserve">כפילות ברגולציה המוטלת על איסוף </w:t>
      </w:r>
      <w:r w:rsidRPr="00DA075D">
        <w:rPr>
          <w:rtl/>
        </w:rPr>
        <w:t>ומיחזור</w:t>
      </w:r>
      <w:r w:rsidRPr="00DA075D">
        <w:rPr>
          <w:rtl/>
        </w:rPr>
        <w:t xml:space="preserve"> המכלים הגדולים</w:t>
      </w:r>
    </w:p>
    <w:p w:rsidR="000930B3" w:rsidRPr="00D22A15" w:rsidP="005C4ABF" w14:paraId="7A3D78C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בשנת 2011 נחקק חוק האריזות, ולפיו נדרש גוף מוכר למחזר 22.5% ממשקל אריזות הפלסטיק שנמכר, כולל מכלי משקה גדולים. מכלי משקה קטנים מוחרגים מתחולת חוק האריזות</w:t>
      </w:r>
      <w:r>
        <w:rPr>
          <w:rFonts w:ascii="Tahoma" w:hAnsi="Tahoma" w:cs="Tahoma"/>
          <w:sz w:val="20"/>
          <w:szCs w:val="20"/>
          <w:vertAlign w:val="superscript"/>
          <w:rtl/>
        </w:rPr>
        <w:footnoteReference w:id="54"/>
      </w:r>
      <w:r w:rsidRPr="00D22A15">
        <w:rPr>
          <w:rFonts w:ascii="Tahoma" w:hAnsi="Tahoma" w:cs="Tahoma"/>
          <w:sz w:val="20"/>
          <w:szCs w:val="20"/>
          <w:rtl/>
        </w:rPr>
        <w:t xml:space="preserve">. מטרת חוק זה לקבוע הסדרים לעניין ייצור האריזות והטיפול בפסולת האריזות כדי לצמצם את כמות הפסולת, למנוע את הטמנתה ולעודד שימוש חוזר באריזות לשם הקטנת ההשפעה הסביבתית השלילית. החוק מטיל על האחראים לפינוי פסולת את האחריות לקביעת הסדרים להפרדתה של פסולת האריזות וכן לאיסופה ולפינויה. </w:t>
      </w:r>
    </w:p>
    <w:p w:rsidR="000930B3" w:rsidRPr="00D22A15" w:rsidP="005C4ABF" w14:paraId="234E56F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הכפילות ברגולציה שנובעת מהכללת מכלי המשקה הגדולים בשני החוקים האמורים טומנת בחובה מספר אתגרים:</w:t>
      </w:r>
    </w:p>
    <w:p w:rsidR="000930B3" w:rsidRPr="00D22A15" w:rsidP="005C4ABF" w14:paraId="0F6BD77E" w14:textId="77777777">
      <w:pPr>
        <w:pStyle w:val="a5"/>
        <w:spacing w:before="120" w:after="120" w:line="320" w:lineRule="atLeast"/>
        <w:rPr>
          <w:rFonts w:ascii="Tahoma" w:hAnsi="Tahoma" w:cs="Tahoma"/>
          <w:sz w:val="20"/>
          <w:szCs w:val="20"/>
          <w:rtl/>
        </w:rPr>
      </w:pPr>
      <w:r w:rsidRPr="00390989">
        <w:rPr>
          <w:rStyle w:val="50"/>
          <w:rFonts w:ascii="Tahoma" w:hAnsi="Tahoma" w:cs="Tahoma"/>
          <w:b/>
          <w:bCs/>
          <w:rtl/>
        </w:rPr>
        <w:t>חובת דיווח כפול:</w:t>
      </w:r>
      <w:r w:rsidRPr="00D22A15">
        <w:rPr>
          <w:rFonts w:ascii="Tahoma" w:hAnsi="Tahoma" w:cs="Tahoma"/>
          <w:sz w:val="20"/>
          <w:szCs w:val="20"/>
          <w:rtl/>
        </w:rPr>
        <w:t xml:space="preserve"> מכלי משקה גדולים מדווחים הן כמכלי משקה על פי חוק הפיקדון והן כחלק מאריזות המוצרים הנמכרים, בהתאם לחוק האריזות. חוק הפיקדון מחייב את היצרנים והיבואנים להגיש דוח שנתי ורבעוני על מספר מכלי המשקה הגדולים שנמכרו, מספר מכלי המשקה שנאספו ומספר המכלים שמוחזרו. חוק האריזות מטיל על היצרנים והיבואנים חובת דיווח שנתי וחצי שנתי על מספר אריזות שמכרו, חומרי הגלם שמהם עשויות האריזות ומשקלן, משקל פסולת האריזות שנאספה, משקל האריזות שמוחזרו ואופן </w:t>
      </w:r>
      <w:r w:rsidRPr="00D22A15">
        <w:rPr>
          <w:rFonts w:ascii="Tahoma" w:hAnsi="Tahoma" w:cs="Tahoma"/>
          <w:sz w:val="20"/>
          <w:szCs w:val="20"/>
          <w:rtl/>
        </w:rPr>
        <w:t>מיחזורן</w:t>
      </w:r>
      <w:r w:rsidRPr="00D22A15">
        <w:rPr>
          <w:rFonts w:ascii="Tahoma" w:hAnsi="Tahoma" w:cs="Tahoma"/>
          <w:sz w:val="20"/>
          <w:szCs w:val="20"/>
          <w:rtl/>
        </w:rPr>
        <w:t xml:space="preserve">. משמעות הדבר היא שאותם מכלי המשקה מדווחים פעמיים. הפקת דיווחים על ידי היצרנים והבקרה עליהם על ידי המשרד </w:t>
      </w:r>
      <w:r w:rsidRPr="00D22A15">
        <w:rPr>
          <w:rFonts w:ascii="Tahoma" w:hAnsi="Tahoma" w:cs="Tahoma"/>
          <w:sz w:val="20"/>
          <w:szCs w:val="20"/>
          <w:rtl/>
        </w:rPr>
        <w:t>להגנ"ס</w:t>
      </w:r>
      <w:r w:rsidRPr="00D22A15">
        <w:rPr>
          <w:rFonts w:ascii="Tahoma" w:hAnsi="Tahoma" w:cs="Tahoma"/>
          <w:sz w:val="20"/>
          <w:szCs w:val="20"/>
          <w:rtl/>
        </w:rPr>
        <w:t xml:space="preserve"> כרוכות בעלויות שונות. ב"סיכום הליך שימוע ציבורי - בחינת הצעה להכללת האיסוף, הטיפול </w:t>
      </w:r>
      <w:r w:rsidRPr="00D22A15">
        <w:rPr>
          <w:rFonts w:ascii="Tahoma" w:hAnsi="Tahoma" w:cs="Tahoma"/>
          <w:sz w:val="20"/>
          <w:szCs w:val="20"/>
          <w:rtl/>
        </w:rPr>
        <w:t>והמיחזור</w:t>
      </w:r>
      <w:r w:rsidRPr="00D22A15">
        <w:rPr>
          <w:rFonts w:ascii="Tahoma" w:hAnsi="Tahoma" w:cs="Tahoma"/>
          <w:sz w:val="20"/>
          <w:szCs w:val="20"/>
          <w:rtl/>
        </w:rPr>
        <w:t xml:space="preserve"> של מכלי המשקה הגדולים ללא פיקדון בחוק להסדרת הטיפול באריזות, </w:t>
      </w:r>
      <w:r w:rsidRPr="00D22A15">
        <w:rPr>
          <w:rFonts w:ascii="Tahoma" w:hAnsi="Tahoma" w:cs="Tahoma"/>
          <w:sz w:val="20"/>
          <w:szCs w:val="20"/>
          <w:rtl/>
        </w:rPr>
        <w:t>התשע"א</w:t>
      </w:r>
      <w:r w:rsidRPr="00D22A15">
        <w:rPr>
          <w:rFonts w:ascii="Tahoma" w:hAnsi="Tahoma" w:cs="Tahoma"/>
          <w:sz w:val="20"/>
          <w:szCs w:val="20"/>
          <w:rtl/>
        </w:rPr>
        <w:t xml:space="preserve"> - 2011" (להלן - השימוע הציבורי) שפורסם ביולי 2016 צוין בהקשר זה כך: "הביטוי המעשי למצב זה הנו כפל חובות על היצרנים והיבואנים לרבות כפל דיווח וכפל תשלומים למימון המנגנון מכוח חוק הפיקדון ומאידך חובת תשלום דמי טיפול מכוח חוק האריזות". </w:t>
      </w:r>
    </w:p>
    <w:p w:rsidR="000930B3" w:rsidRPr="00D22A15" w:rsidP="005C4ABF" w14:paraId="3736BD5D" w14:textId="77777777">
      <w:pPr>
        <w:pStyle w:val="a5"/>
        <w:spacing w:before="120" w:after="120" w:line="320" w:lineRule="atLeast"/>
        <w:rPr>
          <w:rFonts w:ascii="Tahoma" w:hAnsi="Tahoma" w:cs="Tahoma"/>
          <w:sz w:val="20"/>
          <w:szCs w:val="20"/>
          <w:rtl/>
        </w:rPr>
      </w:pPr>
      <w:r w:rsidRPr="00390989">
        <w:rPr>
          <w:rStyle w:val="50"/>
          <w:rFonts w:ascii="Tahoma" w:hAnsi="Tahoma" w:cs="Tahoma"/>
          <w:b/>
          <w:bCs/>
          <w:rtl/>
        </w:rPr>
        <w:t xml:space="preserve">דמי טיפול לתאגידי איסוף </w:t>
      </w:r>
      <w:r w:rsidRPr="00390989">
        <w:rPr>
          <w:rStyle w:val="50"/>
          <w:rFonts w:ascii="Tahoma" w:hAnsi="Tahoma" w:cs="Tahoma"/>
          <w:b/>
          <w:bCs/>
          <w:rtl/>
        </w:rPr>
        <w:t>ומיחזור</w:t>
      </w:r>
      <w:r w:rsidRPr="00390989">
        <w:rPr>
          <w:rStyle w:val="50"/>
          <w:rFonts w:ascii="Tahoma" w:hAnsi="Tahoma" w:cs="Tahoma"/>
          <w:b/>
          <w:bCs/>
          <w:rtl/>
        </w:rPr>
        <w:t>:</w:t>
      </w:r>
      <w:r w:rsidRPr="00390989">
        <w:rPr>
          <w:rFonts w:ascii="Tahoma" w:hAnsi="Tahoma" w:cs="Tahoma"/>
          <w:b/>
          <w:bCs/>
          <w:sz w:val="20"/>
          <w:szCs w:val="20"/>
          <w:rtl/>
        </w:rPr>
        <w:t xml:space="preserve"> </w:t>
      </w:r>
      <w:r w:rsidRPr="00D22A15">
        <w:rPr>
          <w:rFonts w:ascii="Tahoma" w:hAnsi="Tahoma" w:cs="Tahoma"/>
          <w:sz w:val="20"/>
          <w:szCs w:val="20"/>
          <w:rtl/>
        </w:rPr>
        <w:t xml:space="preserve">חברת איסוף א' והגוף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גובים מהיצרנים ומהיבואנים דמי טיפול. </w:t>
      </w:r>
      <w:r w:rsidRPr="00D22A15">
        <w:rPr>
          <w:rFonts w:ascii="Tahoma" w:hAnsi="Tahoma" w:cs="Tahoma"/>
          <w:sz w:val="20"/>
          <w:szCs w:val="20"/>
          <w:rtl/>
        </w:rPr>
        <w:t>הסוגיה</w:t>
      </w:r>
      <w:r w:rsidRPr="00D22A15">
        <w:rPr>
          <w:rFonts w:ascii="Tahoma" w:hAnsi="Tahoma" w:cs="Tahoma"/>
          <w:sz w:val="20"/>
          <w:szCs w:val="20"/>
          <w:rtl/>
        </w:rPr>
        <w:t xml:space="preserve"> הנוגעת לתשלום דמי הטיפול במכלי משקה הועלתה על ידי נציגי אחד היצרנים בפגישה במשרד </w:t>
      </w:r>
      <w:r w:rsidRPr="00D22A15">
        <w:rPr>
          <w:rFonts w:ascii="Tahoma" w:hAnsi="Tahoma" w:cs="Tahoma"/>
          <w:sz w:val="20"/>
          <w:szCs w:val="20"/>
          <w:rtl/>
        </w:rPr>
        <w:t>להגנ"ס</w:t>
      </w:r>
      <w:r w:rsidRPr="00D22A15">
        <w:rPr>
          <w:rFonts w:ascii="Tahoma" w:hAnsi="Tahoma" w:cs="Tahoma"/>
          <w:sz w:val="20"/>
          <w:szCs w:val="20"/>
          <w:rtl/>
        </w:rPr>
        <w:t xml:space="preserve"> במרץ 2015. בסיכום השימוע הציבורי נכתב כי הביטוי המעשי לכפל החובות על פי חוק האריזות וחוק הפיקדון הוא מצב שבו "יצרני </w:t>
      </w:r>
      <w:r w:rsidRPr="00D22A15">
        <w:rPr>
          <w:rFonts w:ascii="Tahoma" w:hAnsi="Tahoma" w:cs="Tahoma"/>
          <w:sz w:val="20"/>
          <w:szCs w:val="20"/>
          <w:rtl/>
        </w:rPr>
        <w:t xml:space="preserve">המשקאות לא שילמו דמי טיפול לגוף המוכר בחוק האריזות ובכך נפגע השוויון שבין יצרני אריזות הפלסטיק במנגנון חוק זה". </w:t>
      </w:r>
    </w:p>
    <w:p w:rsidR="000930B3" w:rsidRPr="00D22A15" w:rsidP="005C4ABF" w14:paraId="4A0B624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בדצמבר 2020 מסר 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בתגובתו למשרד מבקר המדינה (להלן - תגובת 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כי למרות כפל החובות על פי שני החוקים האמורים, אין בפועל פגיעה בשוויון, משום שיצרני המשקאות משלמים את דמי הטיפול ישירות לחברת איסוף א', שמממנת את פינוי </w:t>
      </w:r>
      <w:r w:rsidRPr="00D22A15">
        <w:rPr>
          <w:rFonts w:ascii="Tahoma" w:hAnsi="Tahoma" w:cs="Tahoma"/>
          <w:sz w:val="20"/>
          <w:szCs w:val="20"/>
          <w:rtl/>
        </w:rPr>
        <w:t>המיחזוריות</w:t>
      </w:r>
      <w:r w:rsidRPr="00D22A15">
        <w:rPr>
          <w:rFonts w:ascii="Tahoma" w:hAnsi="Tahoma" w:cs="Tahoma"/>
          <w:sz w:val="20"/>
          <w:szCs w:val="20"/>
          <w:rtl/>
        </w:rPr>
        <w:t xml:space="preserve">. המשרד </w:t>
      </w:r>
      <w:r w:rsidRPr="00D22A15">
        <w:rPr>
          <w:rFonts w:ascii="Tahoma" w:hAnsi="Tahoma" w:cs="Tahoma"/>
          <w:sz w:val="20"/>
          <w:szCs w:val="20"/>
          <w:rtl/>
        </w:rPr>
        <w:t>להגנ"ס</w:t>
      </w:r>
      <w:r w:rsidRPr="00D22A15">
        <w:rPr>
          <w:rFonts w:ascii="Tahoma" w:hAnsi="Tahoma" w:cs="Tahoma"/>
          <w:sz w:val="20"/>
          <w:szCs w:val="20"/>
          <w:rtl/>
        </w:rPr>
        <w:t xml:space="preserve"> </w:t>
      </w:r>
      <w:r w:rsidRPr="00D22A15">
        <w:rPr>
          <w:rFonts w:ascii="Tahoma" w:hAnsi="Tahoma" w:cs="Tahoma"/>
          <w:sz w:val="20"/>
          <w:szCs w:val="20"/>
          <w:rtl/>
        </w:rPr>
        <w:t>איפשר</w:t>
      </w:r>
      <w:r w:rsidRPr="00D22A15">
        <w:rPr>
          <w:rFonts w:ascii="Tahoma" w:hAnsi="Tahoma" w:cs="Tahoma"/>
          <w:sz w:val="20"/>
          <w:szCs w:val="20"/>
          <w:rtl/>
        </w:rPr>
        <w:t xml:space="preserve"> את ההסדר כדי למנוע תשלום כפול על ידי היצרנים והיבואנים. עוד נמסר, כי הייתה הבנה שחוק הפיקדון יתוקן ולא יחול על מכלי המשקה הגדולים, ורק חוק האריזות יחול עליהם, ולפיכך היצרנים והיבואנים שלהם יעבירו את דמי הטיפול רק לגוף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כן מסר כי היצרנים והיבואנים המיוצגים על ידי הגוף המוכר ואינם משווקים מכלי משקה מקבלים, ללא תשלום, ערך מוסף משמעותי כתוצאה מהסדר הקיים עם חברת איסוף א', אשר מממנת את פינוי </w:t>
      </w:r>
      <w:r w:rsidRPr="00D22A15">
        <w:rPr>
          <w:rFonts w:ascii="Tahoma" w:hAnsi="Tahoma" w:cs="Tahoma"/>
          <w:sz w:val="20"/>
          <w:szCs w:val="20"/>
          <w:rtl/>
        </w:rPr>
        <w:t>המיחזוריות</w:t>
      </w:r>
      <w:r w:rsidRPr="00D22A15">
        <w:rPr>
          <w:rFonts w:ascii="Tahoma" w:hAnsi="Tahoma" w:cs="Tahoma"/>
          <w:sz w:val="20"/>
          <w:szCs w:val="20"/>
          <w:rtl/>
        </w:rPr>
        <w:t xml:space="preserve"> מתכולתן לרבות פסולת שאינה מכלי משקה. </w:t>
      </w:r>
    </w:p>
    <w:p w:rsidR="000930B3" w:rsidRPr="00D22A15" w:rsidP="005C4ABF" w14:paraId="31C691F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בסיכום השימוע הציבורי נכתב כי עמדת 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היא כי אין כל אפשרות להשיג את יעדי </w:t>
      </w:r>
      <w:r w:rsidRPr="00D22A15">
        <w:rPr>
          <w:rFonts w:ascii="Tahoma" w:hAnsi="Tahoma" w:cs="Tahoma"/>
          <w:sz w:val="20"/>
          <w:szCs w:val="20"/>
          <w:rtl/>
        </w:rPr>
        <w:t>המיחזור</w:t>
      </w:r>
      <w:r w:rsidRPr="00D22A15">
        <w:rPr>
          <w:rFonts w:ascii="Tahoma" w:hAnsi="Tahoma" w:cs="Tahoma"/>
          <w:sz w:val="20"/>
          <w:szCs w:val="20"/>
          <w:rtl/>
        </w:rPr>
        <w:t xml:space="preserve"> שנקבעו בחוק האריזות ללא איסוף </w:t>
      </w:r>
      <w:r w:rsidRPr="00D22A15">
        <w:rPr>
          <w:rFonts w:ascii="Tahoma" w:hAnsi="Tahoma" w:cs="Tahoma"/>
          <w:sz w:val="20"/>
          <w:szCs w:val="20"/>
          <w:rtl/>
        </w:rPr>
        <w:t>ומיחזור</w:t>
      </w:r>
      <w:r w:rsidRPr="00D22A15">
        <w:rPr>
          <w:rFonts w:ascii="Tahoma" w:hAnsi="Tahoma" w:cs="Tahoma"/>
          <w:sz w:val="20"/>
          <w:szCs w:val="20"/>
          <w:rtl/>
        </w:rPr>
        <w:t xml:space="preserve"> מכלי המשקה הגדולים העשויים מפלסטיק. </w:t>
      </w:r>
    </w:p>
    <w:p w:rsidR="000930B3" w:rsidRPr="00D22A15" w:rsidP="005C4ABF" w14:paraId="29DB805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מסר בתגובתו כי האמור לעיל היה נכון לשעתו, אולם כיום יש לגוף המוכר יכולת להגיע ליעד </w:t>
      </w:r>
      <w:r w:rsidRPr="00D22A15">
        <w:rPr>
          <w:rFonts w:ascii="Tahoma" w:hAnsi="Tahoma" w:cs="Tahoma"/>
          <w:sz w:val="20"/>
          <w:szCs w:val="20"/>
          <w:rtl/>
        </w:rPr>
        <w:t>המיחזור</w:t>
      </w:r>
      <w:r w:rsidRPr="00D22A15">
        <w:rPr>
          <w:rFonts w:ascii="Tahoma" w:hAnsi="Tahoma" w:cs="Tahoma"/>
          <w:sz w:val="20"/>
          <w:szCs w:val="20"/>
          <w:rtl/>
        </w:rPr>
        <w:t xml:space="preserve"> של הפלסטיק גם ללא מכלי המשקה.</w:t>
      </w:r>
    </w:p>
    <w:p w:rsidR="000930B3" w:rsidRPr="00DA075D" w:rsidP="008E06C5" w14:paraId="64D72C85" w14:textId="77777777">
      <w:pPr>
        <w:pStyle w:val="RESHET"/>
        <w:rPr>
          <w:rtl/>
        </w:rPr>
      </w:pPr>
      <w:r w:rsidRPr="00DA075D">
        <w:rPr>
          <w:rtl/>
        </w:rPr>
        <w:t xml:space="preserve">מומלץ כי המשרד </w:t>
      </w:r>
      <w:r w:rsidRPr="00DA075D">
        <w:rPr>
          <w:rtl/>
        </w:rPr>
        <w:t>להגנ"ס</w:t>
      </w:r>
      <w:r w:rsidRPr="00DA075D">
        <w:rPr>
          <w:rtl/>
        </w:rPr>
        <w:t xml:space="preserve"> יבחן את איחוד הדיווחים על מכלי המשקה הגדולים ובכך יפעל להקלת הנטל על היצרנים והיבואנים ולפישוט הפיקוח והבקרה של המשרד. </w:t>
      </w:r>
    </w:p>
    <w:p w:rsidR="000930B3" w:rsidRPr="00D22A15" w:rsidP="005C4ABF" w14:paraId="2DD3DCE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לאור החלת הפיקדון על המכלים הגדולים ההמלצה על איחוד הדיווחים תתקיים ממילא. </w:t>
      </w:r>
    </w:p>
    <w:p w:rsidR="000930B3" w:rsidRPr="00D22A15" w:rsidP="005C4ABF" w14:paraId="33CD9987" w14:textId="77777777">
      <w:pPr>
        <w:pStyle w:val="a5"/>
        <w:spacing w:before="120" w:after="120" w:line="320" w:lineRule="atLeast"/>
        <w:rPr>
          <w:rFonts w:ascii="Tahoma" w:hAnsi="Tahoma" w:cs="Tahoma"/>
          <w:sz w:val="20"/>
          <w:szCs w:val="20"/>
          <w:rtl/>
        </w:rPr>
      </w:pPr>
      <w:r w:rsidRPr="00390989">
        <w:rPr>
          <w:rStyle w:val="50"/>
          <w:rFonts w:ascii="Tahoma" w:hAnsi="Tahoma" w:cs="Tahoma"/>
          <w:b/>
          <w:bCs/>
          <w:rtl/>
        </w:rPr>
        <w:t xml:space="preserve">פעולות המשרד </w:t>
      </w:r>
      <w:r w:rsidRPr="00390989">
        <w:rPr>
          <w:rStyle w:val="50"/>
          <w:rFonts w:ascii="Tahoma" w:hAnsi="Tahoma" w:cs="Tahoma"/>
          <w:b/>
          <w:bCs/>
          <w:rtl/>
        </w:rPr>
        <w:t>להגנ"ס</w:t>
      </w:r>
      <w:r w:rsidRPr="00390989">
        <w:rPr>
          <w:rStyle w:val="50"/>
          <w:rFonts w:ascii="Tahoma" w:hAnsi="Tahoma" w:cs="Tahoma"/>
          <w:b/>
          <w:bCs/>
          <w:rtl/>
        </w:rPr>
        <w:t xml:space="preserve"> לשינוי חקיקה</w:t>
      </w:r>
      <w:r w:rsidRPr="00390989">
        <w:rPr>
          <w:rStyle w:val="7"/>
          <w:rFonts w:ascii="Tahoma" w:hAnsi="Tahoma" w:cs="Tahoma"/>
          <w:b/>
          <w:bCs/>
          <w:spacing w:val="32"/>
          <w:sz w:val="20"/>
          <w:szCs w:val="20"/>
          <w:rtl/>
        </w:rPr>
        <w:t>:</w:t>
      </w:r>
      <w:r w:rsidRPr="00D22A15">
        <w:rPr>
          <w:rFonts w:ascii="Tahoma" w:hAnsi="Tahoma" w:cs="Tahoma"/>
          <w:sz w:val="20"/>
          <w:szCs w:val="20"/>
          <w:rtl/>
        </w:rPr>
        <w:t xml:space="preserve"> בשנים 2014 - 2016 פעל המשרד </w:t>
      </w:r>
      <w:r w:rsidRPr="00D22A15">
        <w:rPr>
          <w:rFonts w:ascii="Tahoma" w:hAnsi="Tahoma" w:cs="Tahoma"/>
          <w:sz w:val="20"/>
          <w:szCs w:val="20"/>
          <w:rtl/>
        </w:rPr>
        <w:t>להגנ"ס</w:t>
      </w:r>
      <w:r w:rsidRPr="00D22A15">
        <w:rPr>
          <w:rFonts w:ascii="Tahoma" w:hAnsi="Tahoma" w:cs="Tahoma"/>
          <w:sz w:val="20"/>
          <w:szCs w:val="20"/>
          <w:rtl/>
        </w:rPr>
        <w:t xml:space="preserve"> להוצאת מכלי המשקה הגדולים מחוק הפיקדון והותרתן בחוק האריזות בלבד. </w:t>
      </w:r>
    </w:p>
    <w:p w:rsidR="000930B3" w:rsidRPr="00D22A15" w:rsidP="005C4ABF" w14:paraId="7187983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ביולי 2014 נערכה במשרד </w:t>
      </w:r>
      <w:r w:rsidRPr="00D22A15">
        <w:rPr>
          <w:rFonts w:ascii="Tahoma" w:hAnsi="Tahoma" w:cs="Tahoma"/>
          <w:sz w:val="20"/>
          <w:szCs w:val="20"/>
          <w:rtl/>
        </w:rPr>
        <w:t>להגנ"ס</w:t>
      </w:r>
      <w:r w:rsidRPr="00D22A15">
        <w:rPr>
          <w:rFonts w:ascii="Tahoma" w:hAnsi="Tahoma" w:cs="Tahoma"/>
          <w:sz w:val="20"/>
          <w:szCs w:val="20"/>
          <w:rtl/>
        </w:rPr>
        <w:t xml:space="preserve"> בחינה של מנגנון מיטבי </w:t>
      </w:r>
      <w:r w:rsidRPr="00D22A15">
        <w:rPr>
          <w:rFonts w:ascii="Tahoma" w:hAnsi="Tahoma" w:cs="Tahoma"/>
          <w:sz w:val="20"/>
          <w:szCs w:val="20"/>
          <w:rtl/>
        </w:rPr>
        <w:t>למיחזור</w:t>
      </w:r>
      <w:r w:rsidRPr="00D22A15">
        <w:rPr>
          <w:rFonts w:ascii="Tahoma" w:hAnsi="Tahoma" w:cs="Tahoma"/>
          <w:sz w:val="20"/>
          <w:szCs w:val="20"/>
          <w:rtl/>
        </w:rPr>
        <w:t xml:space="preserve"> מכלי המשקה הקטנים ומכלי המשקה הגדולים תחת חוק הפיקדון וחוק האריזות (להלן - מסמכי הבחינה). במרץ 2015, בפגישה בין המשרד </w:t>
      </w:r>
      <w:r w:rsidRPr="00D22A15">
        <w:rPr>
          <w:rFonts w:ascii="Tahoma" w:hAnsi="Tahoma" w:cs="Tahoma"/>
          <w:sz w:val="20"/>
          <w:szCs w:val="20"/>
          <w:rtl/>
        </w:rPr>
        <w:t>להגנ"ס</w:t>
      </w:r>
      <w:r w:rsidRPr="00D22A15">
        <w:rPr>
          <w:rFonts w:ascii="Tahoma" w:hAnsi="Tahoma" w:cs="Tahoma"/>
          <w:sz w:val="20"/>
          <w:szCs w:val="20"/>
          <w:rtl/>
        </w:rPr>
        <w:t xml:space="preserve"> לבין נציגי חברת משקאות גדולה סוכם כי המשרד </w:t>
      </w:r>
      <w:r w:rsidRPr="00D22A15">
        <w:rPr>
          <w:rFonts w:ascii="Tahoma" w:hAnsi="Tahoma" w:cs="Tahoma"/>
          <w:sz w:val="20"/>
          <w:szCs w:val="20"/>
          <w:rtl/>
        </w:rPr>
        <w:t>להגנ"ס</w:t>
      </w:r>
      <w:r w:rsidRPr="00D22A15">
        <w:rPr>
          <w:rFonts w:ascii="Tahoma" w:hAnsi="Tahoma" w:cs="Tahoma"/>
          <w:sz w:val="20"/>
          <w:szCs w:val="20"/>
          <w:rtl/>
        </w:rPr>
        <w:t xml:space="preserve"> יפעל לקידום החקיקה לביטול החלת חוק הפיקדון על מכלי משקה גדולים. באפריל 2016 גובשה טיוטת תזכיר לתיקון חוק הפיקדון.</w:t>
      </w:r>
    </w:p>
    <w:p w:rsidR="000930B3" w:rsidRPr="00D22A15" w:rsidP="005C4ABF" w14:paraId="79E6B34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לאחר השימוע הציבורי במאי 2016, גובש בנובמבר 2016 נייר עמדה של הממונה, סמנכ"ל השלטון המקומי במשרד </w:t>
      </w:r>
      <w:r w:rsidRPr="00D22A15">
        <w:rPr>
          <w:rFonts w:ascii="Tahoma" w:hAnsi="Tahoma" w:cs="Tahoma"/>
          <w:sz w:val="20"/>
          <w:szCs w:val="20"/>
          <w:rtl/>
        </w:rPr>
        <w:t>להגנ"ס</w:t>
      </w:r>
      <w:r w:rsidRPr="00D22A15">
        <w:rPr>
          <w:rFonts w:ascii="Tahoma" w:hAnsi="Tahoma" w:cs="Tahoma"/>
          <w:sz w:val="20"/>
          <w:szCs w:val="20"/>
          <w:rtl/>
        </w:rPr>
        <w:t xml:space="preserve">, ובו הומלץ על הוצאת מכלי משקה גדולים מחוק הפיקדון ועדכון היעדים </w:t>
      </w:r>
      <w:r w:rsidRPr="00D22A15">
        <w:rPr>
          <w:rFonts w:ascii="Tahoma" w:hAnsi="Tahoma" w:cs="Tahoma"/>
          <w:sz w:val="20"/>
          <w:szCs w:val="20"/>
          <w:rtl/>
        </w:rPr>
        <w:t>למיחזור</w:t>
      </w:r>
      <w:r w:rsidRPr="00D22A15">
        <w:rPr>
          <w:rFonts w:ascii="Tahoma" w:hAnsi="Tahoma" w:cs="Tahoma"/>
          <w:sz w:val="20"/>
          <w:szCs w:val="20"/>
          <w:rtl/>
        </w:rPr>
        <w:t xml:space="preserve"> פלסטיק בחוק האריזות תוך הגברת הפיקוח והרגולציה. המלצה זו התבססה על מסמכי הבחינה ועל סיכום השימוע הציבורי. מהמשרד </w:t>
      </w:r>
      <w:r w:rsidRPr="00D22A15">
        <w:rPr>
          <w:rFonts w:ascii="Tahoma" w:hAnsi="Tahoma" w:cs="Tahoma"/>
          <w:sz w:val="20"/>
          <w:szCs w:val="20"/>
          <w:rtl/>
        </w:rPr>
        <w:t>להגנ"ס</w:t>
      </w:r>
      <w:r w:rsidRPr="00D22A15">
        <w:rPr>
          <w:rFonts w:ascii="Tahoma" w:hAnsi="Tahoma" w:cs="Tahoma"/>
          <w:sz w:val="20"/>
          <w:szCs w:val="20"/>
          <w:rtl/>
        </w:rPr>
        <w:t xml:space="preserve"> נמסר לצוות הביקורת כי באגף לטיפול בפסולת נערכו דיונים בהעלאת יעדי </w:t>
      </w:r>
      <w:r w:rsidRPr="00D22A15">
        <w:rPr>
          <w:rFonts w:ascii="Tahoma" w:hAnsi="Tahoma" w:cs="Tahoma"/>
          <w:sz w:val="20"/>
          <w:szCs w:val="20"/>
          <w:rtl/>
        </w:rPr>
        <w:t>המיחזור</w:t>
      </w:r>
      <w:r w:rsidRPr="00D22A15">
        <w:rPr>
          <w:rFonts w:ascii="Tahoma" w:hAnsi="Tahoma" w:cs="Tahoma"/>
          <w:sz w:val="20"/>
          <w:szCs w:val="20"/>
          <w:rtl/>
        </w:rPr>
        <w:t xml:space="preserve"> בחוק האריזות, בדגש על אריזות פלסטיק, וביעדים ספציפיים לפסולת מסוג </w:t>
      </w:r>
      <w:r w:rsidRPr="00D22A15">
        <w:rPr>
          <w:rFonts w:ascii="Tahoma" w:hAnsi="Tahoma" w:cs="Tahoma"/>
          <w:sz w:val="20"/>
          <w:szCs w:val="20"/>
        </w:rPr>
        <w:t>PET</w:t>
      </w:r>
      <w:r w:rsidRPr="00D22A15">
        <w:rPr>
          <w:rFonts w:ascii="Tahoma" w:hAnsi="Tahoma" w:cs="Tahoma"/>
          <w:sz w:val="20"/>
          <w:szCs w:val="20"/>
          <w:rtl/>
        </w:rPr>
        <w:t xml:space="preserve">. </w:t>
      </w:r>
    </w:p>
    <w:p w:rsidR="000930B3" w:rsidRPr="00D22A15" w:rsidP="005C4ABF" w14:paraId="22792B4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הביקורת העלתה כי במסגרת הדיונים וההליכים שבוצעו ניתן ביטוי לעלויות המשוערות שיושתו על הציבור עקב הטלת הפיקדון ולהשתתפות המוגבלת של הציבור בהחזרת מכלי משקה קטנים לצורך קבלת החזר דמי פיקדון ששולמו, אך לא ניתן ביטוי לעבודות כלכליות שהציגו את היתרונות בהותרת מכלי המשקה הגדולים בחוק הפיקדון ולא הייתה התייחסות לניקיון המרחב הציבורי. כמו כן, בנייר העמדה ובמצגות המשרד </w:t>
      </w:r>
      <w:r w:rsidRPr="00D22A15">
        <w:rPr>
          <w:rFonts w:ascii="Tahoma" w:hAnsi="Tahoma" w:cs="Tahoma"/>
          <w:sz w:val="20"/>
          <w:szCs w:val="20"/>
          <w:rtl/>
        </w:rPr>
        <w:t>להגנ"ס</w:t>
      </w:r>
      <w:r w:rsidRPr="00D22A15">
        <w:rPr>
          <w:rFonts w:ascii="Tahoma" w:hAnsi="Tahoma" w:cs="Tahoma"/>
          <w:sz w:val="20"/>
          <w:szCs w:val="20"/>
          <w:rtl/>
        </w:rPr>
        <w:t xml:space="preserve"> שהועברו לביקורת לא ניתן ביטוי לניסיון העולמי שמלמד על שיעורי איסוף גבוהים במדינות שבהן מוטל פיקדון. </w:t>
      </w:r>
    </w:p>
    <w:p w:rsidR="000930B3" w:rsidRPr="00DA075D" w:rsidP="008E06C5" w14:paraId="1D7DECFB" w14:textId="77777777">
      <w:pPr>
        <w:pStyle w:val="RESHET"/>
        <w:rPr>
          <w:rtl/>
        </w:rPr>
      </w:pPr>
      <w:r w:rsidRPr="00DA075D">
        <w:rPr>
          <w:rtl/>
        </w:rPr>
        <w:t xml:space="preserve">יצוין כי בחודשים יולי עד ספטמבר 2020 ערך המשרד </w:t>
      </w:r>
      <w:r w:rsidRPr="00DA075D">
        <w:rPr>
          <w:rtl/>
        </w:rPr>
        <w:t>להגנ"ס</w:t>
      </w:r>
      <w:r w:rsidRPr="00DA075D">
        <w:rPr>
          <w:rtl/>
        </w:rPr>
        <w:t xml:space="preserve"> עבודת מטה מחודשת בנושא הטיפול המיטבי במכלי משקה גדולים. בעקבות עבודת המטה, כאמור, נקבע כי הוראות חוק הפיקדון יחולו על מכלי המשקה הגדולים החל מיום 1.12.21. </w:t>
      </w:r>
    </w:p>
    <w:p w:rsidR="000930B3" w:rsidRPr="00DA075D" w:rsidP="00DB519D" w14:paraId="02F916C7" w14:textId="77777777">
      <w:pPr>
        <w:pStyle w:val="3"/>
        <w:rPr>
          <w:rtl/>
        </w:rPr>
      </w:pPr>
      <w:r w:rsidRPr="00DA075D">
        <w:rPr>
          <w:rtl/>
        </w:rPr>
        <w:t>תהליך איסוף מכלי המשקה בישראל</w:t>
      </w:r>
    </w:p>
    <w:p w:rsidR="000930B3" w:rsidRPr="00DA075D" w:rsidP="00A07626" w14:paraId="28EB8F9C" w14:textId="77777777">
      <w:pPr>
        <w:pStyle w:val="4"/>
        <w:rPr>
          <w:rStyle w:val="41"/>
          <w:rtl/>
        </w:rPr>
      </w:pPr>
      <w:r w:rsidRPr="00DA075D">
        <w:rPr>
          <w:rStyle w:val="41"/>
          <w:rtl/>
        </w:rPr>
        <w:t>תהליך האיסוף</w:t>
      </w:r>
    </w:p>
    <w:p w:rsidR="000930B3" w:rsidRPr="00D22A15" w:rsidP="005C4ABF" w14:paraId="6FF119C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המשרד </w:t>
      </w:r>
      <w:r w:rsidRPr="00D22A15">
        <w:rPr>
          <w:rFonts w:ascii="Tahoma" w:hAnsi="Tahoma" w:cs="Tahoma"/>
          <w:sz w:val="20"/>
          <w:szCs w:val="20"/>
          <w:rtl/>
        </w:rPr>
        <w:t>להגנ"ס</w:t>
      </w:r>
      <w:r w:rsidRPr="00D22A15">
        <w:rPr>
          <w:rFonts w:ascii="Tahoma" w:hAnsi="Tahoma" w:cs="Tahoma"/>
          <w:sz w:val="20"/>
          <w:szCs w:val="20"/>
          <w:rtl/>
        </w:rPr>
        <w:t>, מאפייני הצריכה של סוגי מכלי המשקה שונים. מכלי המשקה הגדולים נצרכים בעיקר בבתים בעוד מכלי המשקה הקטנים נצרכים בבתי עסק: מסעדות, בתי קפה וקיוסקים. בשל המאפיינים השונים, שיטות האיסוף שנוהגים היצרנים, היבואנים והאספנים שונות.</w:t>
      </w:r>
    </w:p>
    <w:p w:rsidR="000930B3" w:rsidRPr="00D22A15" w:rsidP="005C4ABF" w14:paraId="0F77E54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מכלי משקה קטנים נאספים מכמה גורמים: בתי עסק, רשתות שיווק, מוסדות חינוך, בסיסים צבאיים, אספנים פרטיים ותחנות עירוניות המקבלות מכלי משקה קטנים. איסוף מכלי משקה גדולים מתבצע באמצעות פינוי כ-23,000 </w:t>
      </w:r>
      <w:r w:rsidRPr="00D22A15">
        <w:rPr>
          <w:rFonts w:ascii="Tahoma" w:hAnsi="Tahoma" w:cs="Tahoma"/>
          <w:sz w:val="20"/>
          <w:szCs w:val="20"/>
          <w:rtl/>
        </w:rPr>
        <w:t>מיחזוריות</w:t>
      </w:r>
      <w:r w:rsidRPr="00D22A15">
        <w:rPr>
          <w:rFonts w:ascii="Tahoma" w:hAnsi="Tahoma" w:cs="Tahoma"/>
          <w:sz w:val="20"/>
          <w:szCs w:val="20"/>
          <w:rtl/>
        </w:rPr>
        <w:t xml:space="preserve"> המוצבות במרחבים העירוניים או באמצעות מיון לזרם פסולת נפרד בתחנות מעבר</w:t>
      </w:r>
      <w:r>
        <w:rPr>
          <w:rFonts w:ascii="Tahoma" w:hAnsi="Tahoma" w:cs="Tahoma"/>
          <w:sz w:val="20"/>
          <w:szCs w:val="20"/>
          <w:vertAlign w:val="superscript"/>
          <w:rtl/>
        </w:rPr>
        <w:footnoteReference w:id="55"/>
      </w:r>
      <w:r w:rsidRPr="00D22A15">
        <w:rPr>
          <w:rFonts w:ascii="Tahoma" w:hAnsi="Tahoma" w:cs="Tahoma"/>
          <w:sz w:val="20"/>
          <w:szCs w:val="20"/>
          <w:rtl/>
        </w:rPr>
        <w:t>. על פי נתוני חברת איסוף א', יותר מ-50% מהמכלים הגדולים נאספים מתחנות מעבר. להלן תרשים המציג את מחזור החיים של מכלי משקה קטנים וגדולים:</w:t>
      </w:r>
    </w:p>
    <w:p w:rsidR="000930B3" w:rsidRPr="00DA075D" w:rsidP="00AD02C3" w14:paraId="737ACE01" w14:textId="29574FA2">
      <w:pPr>
        <w:pStyle w:val="a1"/>
        <w:spacing w:line="320" w:lineRule="atLeast"/>
        <w:rPr>
          <w:rtl/>
        </w:rPr>
      </w:pPr>
      <w:r w:rsidRPr="00D22A15">
        <w:rPr>
          <w:b w:val="0"/>
          <w:bCs w:val="0"/>
          <w:rtl/>
        </w:rPr>
        <w:t xml:space="preserve">תרשים 8: </w:t>
      </w:r>
      <w:r w:rsidRPr="00DA075D">
        <w:rPr>
          <w:rtl/>
        </w:rPr>
        <w:t>מחזור חיי מכלי משקה</w:t>
      </w:r>
    </w:p>
    <w:p w:rsidR="000930B3" w:rsidRPr="00390989" w:rsidP="00390989" w14:paraId="493DEBA2" w14:textId="4A6A9644">
      <w:pPr>
        <w:pStyle w:val="a5"/>
        <w:spacing w:before="120" w:after="36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58917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91136" name="Picture 23"/>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891784"/>
                    </a:xfrm>
                    <a:prstGeom prst="rect">
                      <a:avLst/>
                    </a:prstGeom>
                  </pic:spPr>
                </pic:pic>
              </a:graphicData>
            </a:graphic>
          </wp:inline>
        </w:drawing>
      </w:r>
    </w:p>
    <w:p w:rsidR="000930B3" w:rsidRPr="00DA075D" w:rsidP="00A07626" w14:paraId="05FF4C4E" w14:textId="77777777">
      <w:pPr>
        <w:pStyle w:val="4"/>
        <w:rPr>
          <w:rtl/>
        </w:rPr>
      </w:pPr>
      <w:r w:rsidRPr="00DA075D">
        <w:rPr>
          <w:rtl/>
        </w:rPr>
        <w:t>דיווח היצרנים והיבואנים על פי חוק הפיקדון</w:t>
      </w:r>
    </w:p>
    <w:p w:rsidR="000930B3" w:rsidRPr="00D22A15" w:rsidP="005C4ABF" w14:paraId="2E1F0E8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לצורך קביעת עמידת היצרנים והיבואנים ביעדי חוק הפיקדון נקבעו בו חובות דיווח. כל יצרן ויבואן נדרש לדווח לממונה אחת לרבעון ובתום כל שנה על מספר מכלי המשקה המלאים שמכר, המכלים הריקים שאסף, המכלים שבגינם החזיר דמי פיקדון והמכלים שמוחזרו - כל זאת בפירוט הנדרש בחוק. הדוח השנתי שיוגש יהיה דוח מבוקר וחתום על ידי רואה חשבון. עוד נקבע כי הדוחות יוגשו במתכונת שיורה עליה הממונה. חוק הפיקדון מעניק לממונה סמכות </w:t>
      </w:r>
      <w:r w:rsidRPr="00D22A15">
        <w:rPr>
          <w:rFonts w:ascii="Tahoma" w:hAnsi="Tahoma" w:cs="Tahoma"/>
          <w:sz w:val="20"/>
          <w:szCs w:val="20"/>
          <w:rtl/>
        </w:rPr>
        <w:t>לדרוש להמציא לו "כל מידע ששימש לעריכת הדוח... נדרש יצרן או יבואן להמציא מידע כאמור, ימציאו במועד ובאופן שצוינו בדרישה".</w:t>
      </w:r>
    </w:p>
    <w:p w:rsidR="000930B3" w:rsidRPr="00D22A15" w:rsidP="005C4ABF" w14:paraId="787C06E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ביוני 2010 פרסם הממונה נוהל דיווח רבעוני ושנתי שלפיו נדרשים יצרנים ויבואנים לדווח על מכלי המשקה הקטנים (להלן - נוהל הדיווח)</w:t>
      </w:r>
      <w:r>
        <w:rPr>
          <w:rFonts w:ascii="Tahoma" w:hAnsi="Tahoma" w:cs="Tahoma"/>
          <w:sz w:val="20"/>
          <w:szCs w:val="20"/>
          <w:vertAlign w:val="superscript"/>
          <w:rtl/>
        </w:rPr>
        <w:footnoteReference w:id="56"/>
      </w:r>
      <w:r w:rsidRPr="00D22A15">
        <w:rPr>
          <w:rFonts w:ascii="Tahoma" w:hAnsi="Tahoma" w:cs="Tahoma"/>
          <w:sz w:val="20"/>
          <w:szCs w:val="20"/>
          <w:rtl/>
        </w:rPr>
        <w:t>. הנוהל קבע את לוחות הזמנים להגשת הדוחות ואת אופן הגשתם. בינואר 2016 עדכן הממונה את נוהל הדיווח</w:t>
      </w:r>
      <w:r>
        <w:rPr>
          <w:rFonts w:ascii="Tahoma" w:hAnsi="Tahoma" w:cs="Tahoma"/>
          <w:sz w:val="20"/>
          <w:szCs w:val="20"/>
          <w:vertAlign w:val="superscript"/>
          <w:rtl/>
        </w:rPr>
        <w:footnoteReference w:id="57"/>
      </w:r>
      <w:r w:rsidRPr="00D22A15">
        <w:rPr>
          <w:rFonts w:ascii="Tahoma" w:hAnsi="Tahoma" w:cs="Tahoma"/>
          <w:sz w:val="20"/>
          <w:szCs w:val="20"/>
          <w:rtl/>
        </w:rPr>
        <w:t xml:space="preserve"> וקבע כי על היצרן והיבואן לנהל רישום מלא ומפורט של העניינים הכלולים בדוחות המוגשים לממונה. עוד נקבע כי היצרן או היבואן יציין בדיווח את פרטי הגורמים האוספים והממחזרים בעבורו ואת מספר מכלי המשקה הריקים שאספו או </w:t>
      </w:r>
      <w:r w:rsidRPr="00D22A15">
        <w:rPr>
          <w:rFonts w:ascii="Tahoma" w:hAnsi="Tahoma" w:cs="Tahoma"/>
          <w:sz w:val="20"/>
          <w:szCs w:val="20"/>
          <w:rtl/>
        </w:rPr>
        <w:t>מיחזרו</w:t>
      </w:r>
      <w:r w:rsidRPr="00D22A15">
        <w:rPr>
          <w:rFonts w:ascii="Tahoma" w:hAnsi="Tahoma" w:cs="Tahoma"/>
          <w:sz w:val="20"/>
          <w:szCs w:val="20"/>
          <w:rtl/>
        </w:rPr>
        <w:t xml:space="preserve"> עבורו בתקופה הרלוונטית. </w:t>
      </w:r>
    </w:p>
    <w:p w:rsidR="000930B3" w:rsidRPr="00D22A15" w:rsidP="005C4ABF" w14:paraId="492109C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במאי 2016 פרסם הממונה נוהל דיווח המתייחס למכלים הגדולים</w:t>
      </w:r>
      <w:r>
        <w:rPr>
          <w:rFonts w:ascii="Tahoma" w:hAnsi="Tahoma" w:cs="Tahoma"/>
          <w:sz w:val="20"/>
          <w:szCs w:val="20"/>
          <w:vertAlign w:val="superscript"/>
          <w:rtl/>
        </w:rPr>
        <w:footnoteReference w:id="58"/>
      </w:r>
      <w:r w:rsidRPr="00D22A15">
        <w:rPr>
          <w:rFonts w:ascii="Tahoma" w:hAnsi="Tahoma" w:cs="Tahoma"/>
          <w:sz w:val="20"/>
          <w:szCs w:val="20"/>
          <w:rtl/>
        </w:rPr>
        <w:t>. הנוהל התבסס על נוהל הדיווח על מכלים קטנים מינואר של אותה שנה, בהתאמות הנדרשות. על פי שני הנהלים נדרשים היצרנים והיבואנים לצרף לדיווחים אסמכתאות מהימנות.</w:t>
      </w:r>
    </w:p>
    <w:p w:rsidR="000930B3" w:rsidRPr="00D22A15" w:rsidP="005C4ABF" w14:paraId="1380227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אף שעל פי החוק חובת הדיווח מוטלת על כל יבואן וכל יצרן, בפועל, הדיווח על המכירות מתבצע על ידי היצרנים והיבואנים ואילו הדיווח על האיסוף מתבצע על ידי חברות האיסוף, אשר מדווחות במרוכז על איסוף עבור היבואנים והיצרנים הנמנים עם לקוחותיהם. </w:t>
      </w:r>
    </w:p>
    <w:p w:rsidR="000930B3" w:rsidRPr="00D22A15" w:rsidP="005C4ABF" w14:paraId="35B79BB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בהתאם לנוהל הדיווח על מכלי משקה גדולים, "לצורך פיקוח על הדיווחים מכוח חוק הפיקדון יפעיל הממונה גוף בקרה אשר יערוך מטעם הממונה בקרה על נאותות הדיווחים אשר נמסרים על ידי היצרנים והיבואנים, ועליהם ולספק לו כל מידע הנדרש על ידו לצורך הביקורת מטעם הממונה".</w:t>
      </w:r>
    </w:p>
    <w:p w:rsidR="000930B3" w:rsidRPr="00D22A15" w:rsidP="005C4ABF" w14:paraId="42F2720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שכר את שירותיו של משרד רואי חשבון חיצוני (להלן - רואי החשבון מטעם המשרד) לשם ביצוע בקרה ובחינה של נאותות הנתונים הרבעוניים והשנתיים שעליהם דיווחו היצרנים, היבואנים ותאגידי האיסוף. </w:t>
      </w:r>
    </w:p>
    <w:p w:rsidR="000930B3" w:rsidRPr="00D22A15" w:rsidP="005C4ABF" w14:paraId="6A0D95C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רואי החשבון מטעם המשרד מבצעים בקרה על הדיווחים באמצעות איסוף הדיווחים ואימותם באמצעות בדיקת אסמכתאות שונות כגון תעודות משלוח, תעודות שקילה ורשימוני ייצוא. במהלך בקרה שקיימו רואי החשבון על דיווחי חברות האיסוף בגין יצרנים ויבואנים לשנת 2016, נדרשו אלה להציג אסמכתאות התומכות בדיווחים. חלק מהיצרנים והיבואנים האוספים מכלים גדולים טענו כי לא היו בידיהם האסמכתאות המבוקשות, מכיוון שלא התקבלה מהמשרד </w:t>
      </w:r>
      <w:r w:rsidRPr="00D22A15">
        <w:rPr>
          <w:rFonts w:ascii="Tahoma" w:hAnsi="Tahoma" w:cs="Tahoma"/>
          <w:sz w:val="20"/>
          <w:szCs w:val="20"/>
          <w:rtl/>
        </w:rPr>
        <w:t>להגנ"ס</w:t>
      </w:r>
      <w:r w:rsidRPr="00D22A15">
        <w:rPr>
          <w:rFonts w:ascii="Tahoma" w:hAnsi="Tahoma" w:cs="Tahoma"/>
          <w:sz w:val="20"/>
          <w:szCs w:val="20"/>
          <w:rtl/>
        </w:rPr>
        <w:t xml:space="preserve"> הנחייה לגבי התיעוד הנדרש לצורכי הבקרה. </w:t>
      </w:r>
    </w:p>
    <w:p w:rsidR="000930B3" w:rsidRPr="00D22A15" w:rsidP="005C4ABF" w14:paraId="2637598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בנוהל הדיווח של המשרד </w:t>
      </w:r>
      <w:r w:rsidRPr="00D22A15">
        <w:rPr>
          <w:rFonts w:ascii="Tahoma" w:hAnsi="Tahoma" w:cs="Tahoma"/>
          <w:sz w:val="20"/>
          <w:szCs w:val="20"/>
          <w:rtl/>
        </w:rPr>
        <w:t>להגנ"ס</w:t>
      </w:r>
      <w:r w:rsidRPr="00D22A15">
        <w:rPr>
          <w:rFonts w:ascii="Tahoma" w:hAnsi="Tahoma" w:cs="Tahoma"/>
          <w:sz w:val="20"/>
          <w:szCs w:val="20"/>
          <w:rtl/>
        </w:rPr>
        <w:t xml:space="preserve"> אין הנחיות ליצרנים וליבואנים שמחייבות שמירה של האסמכתאות האמורות.</w:t>
      </w:r>
    </w:p>
    <w:p w:rsidR="000930B3" w:rsidRPr="00DA075D" w:rsidP="008E06C5" w14:paraId="34720A93" w14:textId="77777777">
      <w:pPr>
        <w:pStyle w:val="RESHET"/>
        <w:rPr>
          <w:rtl/>
        </w:rPr>
      </w:pPr>
      <w:r w:rsidRPr="00DA075D">
        <w:rPr>
          <w:rtl/>
        </w:rPr>
        <w:t xml:space="preserve">מומלץ כי הממונה יבחן את הצורך בתיקון נוהל הדיווח באופן שיפרט את האסמכתאות המינימליות שעל היצרנים והיבואנים לתעד, כדי שיוכלו להמציאם לבקשתו או לבקשת מי מטעמו. </w:t>
      </w:r>
    </w:p>
    <w:p w:rsidR="000930B3" w:rsidRPr="00D22A15" w:rsidP="005C4ABF" w14:paraId="160C794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בינואר 2020 החל המשרד </w:t>
      </w:r>
      <w:r w:rsidRPr="00D22A15">
        <w:rPr>
          <w:rFonts w:ascii="Tahoma" w:hAnsi="Tahoma" w:cs="Tahoma"/>
          <w:sz w:val="20"/>
          <w:szCs w:val="20"/>
          <w:rtl/>
        </w:rPr>
        <w:t>להגנ"ס</w:t>
      </w:r>
      <w:r w:rsidRPr="00D22A15">
        <w:rPr>
          <w:rFonts w:ascii="Tahoma" w:hAnsi="Tahoma" w:cs="Tahoma"/>
          <w:sz w:val="20"/>
          <w:szCs w:val="20"/>
          <w:rtl/>
        </w:rPr>
        <w:t xml:space="preserve"> לקדם בשיתוף חברת איסוף א' הכנת נוהל דיווח מפורט על מכלים גדולים. באוגוסט אותה שנה טרם הסתיים גיבוש הנוהל. </w:t>
      </w:r>
    </w:p>
    <w:p w:rsidR="000930B3" w:rsidRPr="00D22A15" w:rsidP="005C4ABF" w14:paraId="7795646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בתגובת המשרד </w:t>
      </w:r>
      <w:r w:rsidRPr="00D22A15">
        <w:rPr>
          <w:rFonts w:ascii="Tahoma" w:hAnsi="Tahoma" w:cs="Tahoma"/>
          <w:sz w:val="20"/>
          <w:szCs w:val="20"/>
          <w:rtl/>
        </w:rPr>
        <w:t>להגנ"ס</w:t>
      </w:r>
      <w:r w:rsidRPr="00D22A15">
        <w:rPr>
          <w:rFonts w:ascii="Tahoma" w:hAnsi="Tahoma" w:cs="Tahoma"/>
          <w:sz w:val="20"/>
          <w:szCs w:val="20"/>
          <w:rtl/>
        </w:rPr>
        <w:t xml:space="preserve"> נמסר כי ההמלצה מקובלת.</w:t>
      </w:r>
    </w:p>
    <w:p w:rsidR="000930B3" w:rsidRPr="00D22A15" w:rsidP="005C4ABF" w14:paraId="39395B1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הדיווחים הרבעוניים של היצרנים והיבואנים מתבצעים באמצעות גיליונות אלקטרוניים שמוגשים לאגף אחריות יצרן באמצעות תיבת דואר אלקטרוני ייעודית, ועיבודם וריכוזם נעשים באופן ידני. גם לרואי החשבון מטעם המשרד יש גישה לתיבת הדואר. דיווחים שנתיים מוגשים בקובץ </w:t>
      </w:r>
      <w:r w:rsidRPr="00D22A15">
        <w:rPr>
          <w:rFonts w:ascii="Tahoma" w:hAnsi="Tahoma" w:cs="Tahoma"/>
          <w:sz w:val="20"/>
          <w:szCs w:val="20"/>
        </w:rPr>
        <w:t>PDF</w:t>
      </w:r>
      <w:r w:rsidRPr="00D22A15">
        <w:rPr>
          <w:rFonts w:ascii="Tahoma" w:hAnsi="Tahoma" w:cs="Tahoma"/>
          <w:sz w:val="20"/>
          <w:szCs w:val="20"/>
          <w:rtl/>
        </w:rPr>
        <w:t xml:space="preserve"> עם חתימת רואי חשבון מטעם המדווחים.</w:t>
      </w:r>
    </w:p>
    <w:p w:rsidR="000930B3" w:rsidRPr="00DA075D" w:rsidP="008E06C5" w14:paraId="686890D7" w14:textId="77777777">
      <w:pPr>
        <w:pStyle w:val="RESHET"/>
        <w:rPr>
          <w:rtl/>
        </w:rPr>
      </w:pPr>
      <w:r w:rsidRPr="00DA075D">
        <w:rPr>
          <w:rtl/>
        </w:rPr>
        <w:t xml:space="preserve">אופן הדיווח האמור אינו מאפשר למשרד </w:t>
      </w:r>
      <w:r w:rsidRPr="00DA075D">
        <w:rPr>
          <w:rtl/>
        </w:rPr>
        <w:t>להגנ"ס</w:t>
      </w:r>
      <w:r w:rsidRPr="00DA075D">
        <w:rPr>
          <w:rtl/>
        </w:rPr>
        <w:t xml:space="preserve"> לבצע בקרות קלט שונות על הקבצים המתקבלים במשרד. לדוגמה, אין באפשרותו לוודא את שלמות הדיווחים ואת נאותות הזנת פרטים (כגון שם החברה המדווחת, תיאור הפריט המדווח וכיוצא בזה). כמו כן, דיווח באמצעות גיליונות אלקטרוניים מאפשר עריכת שינויים בקבצים שאין למקבל או למוסר של הדוח אפשרות לעקוב אחריהם. מלבד זאת, עיבוד וריכוז נתונים שמבוצע באופן ידני על בסיס קבצים שונים חשוף לטעויות.</w:t>
      </w:r>
    </w:p>
    <w:p w:rsidR="000930B3" w:rsidRPr="00D22A15" w:rsidP="005C4ABF" w14:paraId="0E89823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רואי החשבון מטעם המשרד </w:t>
      </w:r>
      <w:r w:rsidRPr="00D22A15">
        <w:rPr>
          <w:rFonts w:ascii="Tahoma" w:hAnsi="Tahoma" w:cs="Tahoma"/>
          <w:sz w:val="20"/>
          <w:szCs w:val="20"/>
          <w:rtl/>
        </w:rPr>
        <w:t>להגנ"ס</w:t>
      </w:r>
      <w:r w:rsidRPr="00D22A15">
        <w:rPr>
          <w:rFonts w:ascii="Tahoma" w:hAnsi="Tahoma" w:cs="Tahoma"/>
          <w:sz w:val="20"/>
          <w:szCs w:val="20"/>
          <w:rtl/>
        </w:rPr>
        <w:t xml:space="preserve"> מסרו למשרד מבקר המדינה בנובמבר 2020 (להלן - תגובת רואי החשבון) כי הם מבצעים בקרות שונות וביניהן בדיקה אם כל השדות בדיווחים המוגשים מולאו כנדרש, מעקב אחר מועדי הגשת הדיווחים, ובדיקת סבירות הנתונים שדווחו. עוד נמסר כי בבדיקת דיווחים שנתיים מתבצעת השוואה לדוחות רבעוניים ובדיקות נוספות.</w:t>
      </w:r>
    </w:p>
    <w:p w:rsidR="000930B3" w:rsidRPr="00DA075D" w:rsidP="008E06C5" w14:paraId="4C563AD9" w14:textId="77777777">
      <w:pPr>
        <w:pStyle w:val="RESHET"/>
        <w:rPr>
          <w:rtl/>
        </w:rPr>
      </w:pPr>
      <w:r w:rsidRPr="00DA075D">
        <w:rPr>
          <w:rtl/>
        </w:rPr>
        <w:t xml:space="preserve">נוסף על כך, אופן הדיווח גורם להארכת תקופת בדיקת הנתונים והבקרה. כך, בספטמבר 2020 טרם סיכם המשרד </w:t>
      </w:r>
      <w:r w:rsidRPr="00DA075D">
        <w:rPr>
          <w:rtl/>
        </w:rPr>
        <w:t>להגנ"ס</w:t>
      </w:r>
      <w:r w:rsidRPr="00DA075D">
        <w:rPr>
          <w:rtl/>
        </w:rPr>
        <w:t xml:space="preserve"> את נתוני האיסוף המאושרים לשנת 2018.</w:t>
      </w:r>
    </w:p>
    <w:p w:rsidR="000930B3" w:rsidRPr="00D22A15" w:rsidP="005C4ABF" w14:paraId="231C64C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רואי החשבון מטעם המשרד מסרו בתגובתם כי ריכוז נתוני האיסוף </w:t>
      </w:r>
      <w:r w:rsidRPr="00D22A15">
        <w:rPr>
          <w:rFonts w:ascii="Tahoma" w:hAnsi="Tahoma" w:cs="Tahoma"/>
          <w:sz w:val="20"/>
          <w:szCs w:val="20"/>
          <w:rtl/>
        </w:rPr>
        <w:t>והמיחזור</w:t>
      </w:r>
      <w:r w:rsidRPr="00D22A15">
        <w:rPr>
          <w:rFonts w:ascii="Tahoma" w:hAnsi="Tahoma" w:cs="Tahoma"/>
          <w:sz w:val="20"/>
          <w:szCs w:val="20"/>
          <w:rtl/>
        </w:rPr>
        <w:t xml:space="preserve"> של מכלי המשקה הגדולים והקטנים בשנת 2018, הועבר למשרד </w:t>
      </w:r>
      <w:r w:rsidRPr="00D22A15">
        <w:rPr>
          <w:rFonts w:ascii="Tahoma" w:hAnsi="Tahoma" w:cs="Tahoma"/>
          <w:sz w:val="20"/>
          <w:szCs w:val="20"/>
          <w:rtl/>
        </w:rPr>
        <w:t>להגנ"ס</w:t>
      </w:r>
      <w:r w:rsidRPr="00D22A15">
        <w:rPr>
          <w:rFonts w:ascii="Tahoma" w:hAnsi="Tahoma" w:cs="Tahoma"/>
          <w:sz w:val="20"/>
          <w:szCs w:val="20"/>
          <w:rtl/>
        </w:rPr>
        <w:t xml:space="preserve"> כבר בנובמבר 2019. דוחות ביקורת עומק לבחינת דיווחי 2018 טרם הושלמו, מכיוון שלפי נוהלי ביקורת נדרשים תהליכים נוספים, כמו קבלת תגובות מהמבוקרים. </w:t>
      </w:r>
    </w:p>
    <w:p w:rsidR="000930B3" w:rsidRPr="00D22A15" w:rsidP="005C4ABF" w14:paraId="13523CB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באוגוסט 2020 כתב אגף מערכות המידע במשרד </w:t>
      </w:r>
      <w:r w:rsidRPr="00D22A15">
        <w:rPr>
          <w:rFonts w:ascii="Tahoma" w:hAnsi="Tahoma" w:cs="Tahoma"/>
          <w:sz w:val="20"/>
          <w:szCs w:val="20"/>
          <w:rtl/>
        </w:rPr>
        <w:t>להגנ"ס</w:t>
      </w:r>
      <w:r w:rsidRPr="00D22A15">
        <w:rPr>
          <w:rFonts w:ascii="Tahoma" w:hAnsi="Tahoma" w:cs="Tahoma"/>
          <w:sz w:val="20"/>
          <w:szCs w:val="20"/>
          <w:rtl/>
        </w:rPr>
        <w:t xml:space="preserve"> לאגף אחריות יצרן כי פרויקט לאפיון טופס מקוון ולהקמת מערך דיווח מקוון נמצא בשלב תכנון מתקדם. מבקר המדינה רואה בחיוב הקמת מערך דיווח מקוון.</w:t>
      </w:r>
    </w:p>
    <w:p w:rsidR="000930B3" w:rsidRPr="00DA075D" w:rsidP="008E06C5" w14:paraId="54F03B4E" w14:textId="77777777">
      <w:pPr>
        <w:pStyle w:val="RESHET"/>
        <w:rPr>
          <w:rtl/>
        </w:rPr>
      </w:pPr>
      <w:r w:rsidRPr="00DA075D">
        <w:rPr>
          <w:rtl/>
        </w:rPr>
        <w:t xml:space="preserve">לאור חשיבות דיווחי היצרנים והיבואנים וחברות האיסוף לקביעת העמידה ביעדים על פי החוק, לאור חשיבות האסמכתאות ולמען היעילות והחיסכון, משרד מבקר המדינה ממליץ למשרד </w:t>
      </w:r>
      <w:r w:rsidRPr="00DA075D">
        <w:rPr>
          <w:rtl/>
        </w:rPr>
        <w:t>להגנ"ס</w:t>
      </w:r>
      <w:r w:rsidRPr="00DA075D">
        <w:rPr>
          <w:rtl/>
        </w:rPr>
        <w:t xml:space="preserve"> להשלים את הקמת מערך הדיווח המקוון ולכלול במערכת לדיווח המקוון כלים לניהול משתמשים, בהם היצרנים והיבואנים שיאפשרו הזדהות חד-חד-ערכית ובקרות קלט מקוונות אחרות. כמו כן מומלץ לשקול אמצעים לחיוב תחנות המעבר ומפעלי </w:t>
      </w:r>
      <w:r w:rsidRPr="00DA075D">
        <w:rPr>
          <w:rtl/>
        </w:rPr>
        <w:t>המיחזור</w:t>
      </w:r>
      <w:r w:rsidRPr="00DA075D">
        <w:rPr>
          <w:rtl/>
        </w:rPr>
        <w:t xml:space="preserve"> לדווח במערך הדיווח המקוון על קבלת פסולת הפלסטיק.</w:t>
      </w:r>
    </w:p>
    <w:p w:rsidR="000930B3" w:rsidRPr="00D22A15" w:rsidP="005C4ABF" w14:paraId="1F1FFEB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מקובלת עליו ההמלצה בעניין דיווחי היצרנים והיבואנים. עם זאת, המשרד ציין כי בחוק לא נקבעו חובות דיווח כאמור החלות על תאגידי האיסוף, תחנות המעבר ומפעלי </w:t>
      </w:r>
      <w:r w:rsidRPr="00D22A15">
        <w:rPr>
          <w:rFonts w:ascii="Tahoma" w:hAnsi="Tahoma" w:cs="Tahoma"/>
          <w:sz w:val="20"/>
          <w:szCs w:val="20"/>
          <w:rtl/>
        </w:rPr>
        <w:t>המיחזור</w:t>
      </w:r>
      <w:r w:rsidRPr="00D22A15">
        <w:rPr>
          <w:rFonts w:ascii="Tahoma" w:hAnsi="Tahoma" w:cs="Tahoma"/>
          <w:sz w:val="20"/>
          <w:szCs w:val="20"/>
          <w:rtl/>
        </w:rPr>
        <w:t>.</w:t>
      </w:r>
    </w:p>
    <w:p w:rsidR="000930B3" w:rsidRPr="00DA075D" w:rsidP="008E06C5" w14:paraId="297BBB73" w14:textId="77777777">
      <w:pPr>
        <w:pStyle w:val="RESHET"/>
        <w:rPr>
          <w:rtl/>
        </w:rPr>
      </w:pPr>
      <w:r w:rsidRPr="00DA075D">
        <w:rPr>
          <w:rtl/>
        </w:rPr>
        <w:t xml:space="preserve">מומלץ שהמשרד </w:t>
      </w:r>
      <w:r w:rsidRPr="00DA075D">
        <w:rPr>
          <w:rtl/>
        </w:rPr>
        <w:t>להגנ"ס</w:t>
      </w:r>
      <w:r w:rsidRPr="00DA075D">
        <w:rPr>
          <w:rtl/>
        </w:rPr>
        <w:t xml:space="preserve"> יפעל באמצעים העומדים לרשותו לאפשר לכלל הגורמים הנוגעים בדבר לדווח באופן מקוון על ביצוע חלקם בהליך האיסוף </w:t>
      </w:r>
      <w:r w:rsidRPr="00DA075D">
        <w:rPr>
          <w:rtl/>
        </w:rPr>
        <w:t>והמיחזור</w:t>
      </w:r>
      <w:r w:rsidRPr="00DA075D">
        <w:rPr>
          <w:rtl/>
        </w:rPr>
        <w:t>. כך עשוי המשרד להגביר את האכיפה ולמזער את המחלוקות.</w:t>
      </w:r>
    </w:p>
    <w:p w:rsidR="000930B3" w:rsidRPr="00DA075D" w:rsidP="00A07626" w14:paraId="5C9E707B" w14:textId="77777777">
      <w:pPr>
        <w:pStyle w:val="4"/>
        <w:rPr>
          <w:rtl/>
        </w:rPr>
      </w:pPr>
      <w:r w:rsidRPr="00DA075D">
        <w:rPr>
          <w:rtl/>
        </w:rPr>
        <w:t>מספר המכלים ששווקו</w:t>
      </w:r>
    </w:p>
    <w:p w:rsidR="000930B3" w:rsidRPr="00D22A15" w:rsidP="005C4ABF" w14:paraId="454E18B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בחוק הפיקדון נקבעה חובת דיווח על מכלים שנמכרו: "יצרן ויבואן ידווחו לממונה, אחת לרבעון... ובתום כל שנה, על כל אלה: (1) מספר מכלי המשקה המלאים שמכרו ושבעדם היה עליהם לגבות פיקדון, בפירוט סוג החומר שמכלי המשקה עשויים ממנו וקיבולתם...". בחוק הפיקדון אף נקבעו סנקציות פליליות, בין היתר, כלפי יצרנים ויבואנים שאינם מסמנים את המכלים ולא מדווחים עליהם כנדרש בחוק</w:t>
      </w:r>
      <w:r>
        <w:rPr>
          <w:rFonts w:ascii="Tahoma" w:hAnsi="Tahoma" w:cs="Tahoma"/>
          <w:sz w:val="20"/>
          <w:szCs w:val="20"/>
          <w:vertAlign w:val="superscript"/>
          <w:rtl/>
        </w:rPr>
        <w:footnoteReference w:id="59"/>
      </w:r>
      <w:r w:rsidRPr="00D22A15">
        <w:rPr>
          <w:rFonts w:ascii="Tahoma" w:hAnsi="Tahoma" w:cs="Tahoma"/>
          <w:sz w:val="20"/>
          <w:szCs w:val="20"/>
          <w:rtl/>
        </w:rPr>
        <w:t xml:space="preserve">. </w:t>
      </w:r>
    </w:p>
    <w:p w:rsidR="000930B3" w:rsidRPr="00D22A15" w:rsidP="005C4ABF" w14:paraId="601806BD" w14:textId="4F90C126">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נתוני המשרד </w:t>
      </w:r>
      <w:r w:rsidRPr="00D22A15">
        <w:rPr>
          <w:rFonts w:ascii="Tahoma" w:hAnsi="Tahoma" w:cs="Tahoma"/>
          <w:sz w:val="20"/>
          <w:szCs w:val="20"/>
          <w:rtl/>
        </w:rPr>
        <w:t>להגנ"ס</w:t>
      </w:r>
      <w:r w:rsidRPr="00D22A15">
        <w:rPr>
          <w:rFonts w:ascii="Tahoma" w:hAnsi="Tahoma" w:cs="Tahoma"/>
          <w:sz w:val="20"/>
          <w:szCs w:val="20"/>
          <w:rtl/>
        </w:rPr>
        <w:t>, בשנת 2008 שווקו בישראל 640 מיליון מכלי משקה קטנים ו-740 מיליון מכלי משקה גדולים</w:t>
      </w:r>
      <w:r>
        <w:rPr>
          <w:rFonts w:ascii="Tahoma" w:hAnsi="Tahoma" w:cs="Tahoma"/>
          <w:sz w:val="20"/>
          <w:szCs w:val="20"/>
          <w:vertAlign w:val="superscript"/>
          <w:rtl/>
        </w:rPr>
        <w:footnoteReference w:id="60"/>
      </w:r>
      <w:r w:rsidRPr="00D22A15">
        <w:rPr>
          <w:rFonts w:ascii="Tahoma" w:hAnsi="Tahoma" w:cs="Tahoma"/>
          <w:sz w:val="20"/>
          <w:szCs w:val="20"/>
          <w:rtl/>
        </w:rPr>
        <w:t xml:space="preserve">. על פי דיווחי היצרנים והיבואנים למשרד </w:t>
      </w:r>
      <w:r w:rsidRPr="00D22A15">
        <w:rPr>
          <w:rFonts w:ascii="Tahoma" w:hAnsi="Tahoma" w:cs="Tahoma"/>
          <w:sz w:val="20"/>
          <w:szCs w:val="20"/>
          <w:rtl/>
        </w:rPr>
        <w:t>להגנ"ס</w:t>
      </w:r>
      <w:r w:rsidRPr="00D22A15">
        <w:rPr>
          <w:rFonts w:ascii="Tahoma" w:hAnsi="Tahoma" w:cs="Tahoma"/>
          <w:sz w:val="20"/>
          <w:szCs w:val="20"/>
          <w:rtl/>
        </w:rPr>
        <w:t xml:space="preserve">, בשנת 2018 שווקו כ-1,096 מיליון מכלי משקה קטנים וכ-765 מיליון מכלי משקה גדולים, גידול של </w:t>
      </w:r>
      <w:r w:rsidR="006B3F97">
        <w:rPr>
          <w:rFonts w:ascii="Tahoma" w:hAnsi="Tahoma" w:cs="Tahoma"/>
          <w:sz w:val="20"/>
          <w:szCs w:val="20"/>
          <w:rtl/>
        </w:rPr>
        <w:br/>
      </w:r>
      <w:r w:rsidRPr="00D22A15">
        <w:rPr>
          <w:rFonts w:ascii="Tahoma" w:hAnsi="Tahoma" w:cs="Tahoma"/>
          <w:sz w:val="20"/>
          <w:szCs w:val="20"/>
          <w:rtl/>
        </w:rPr>
        <w:t xml:space="preserve">כ-71.2% וכ-3.4%, בהתאמה, ביחס ל-2008. בסך הכול מספר מכלי משקה המדווחים, גדולים וקטנים יחדיו, עלה בכ-35%. </w:t>
      </w:r>
    </w:p>
    <w:p w:rsidR="000930B3" w:rsidRPr="00D22A15" w:rsidP="005C4ABF" w14:paraId="14C77913" w14:textId="7F4EB022">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הלשכה המרכזית לסטטיסטיקה (להלן - </w:t>
      </w:r>
      <w:r w:rsidRPr="00D22A15">
        <w:rPr>
          <w:rFonts w:ascii="Tahoma" w:hAnsi="Tahoma" w:cs="Tahoma"/>
          <w:sz w:val="20"/>
          <w:szCs w:val="20"/>
          <w:rtl/>
        </w:rPr>
        <w:t>הלמ"ס</w:t>
      </w:r>
      <w:r w:rsidRPr="00D22A15">
        <w:rPr>
          <w:rFonts w:ascii="Tahoma" w:hAnsi="Tahoma" w:cs="Tahoma"/>
          <w:sz w:val="20"/>
          <w:szCs w:val="20"/>
          <w:rtl/>
        </w:rPr>
        <w:t xml:space="preserve">), אוכלוסיית מדינת ישראל גדלה </w:t>
      </w:r>
      <w:r w:rsidR="006B3F97">
        <w:rPr>
          <w:rFonts w:ascii="Tahoma" w:hAnsi="Tahoma" w:cs="Tahoma"/>
          <w:sz w:val="20"/>
          <w:szCs w:val="20"/>
          <w:rtl/>
        </w:rPr>
        <w:br/>
      </w:r>
      <w:r w:rsidRPr="00D22A15">
        <w:rPr>
          <w:rFonts w:ascii="Tahoma" w:hAnsi="Tahoma" w:cs="Tahoma"/>
          <w:sz w:val="20"/>
          <w:szCs w:val="20"/>
          <w:rtl/>
        </w:rPr>
        <w:t>מ-7.41 מיליון בשנת 2008 לכ-8.97 מיליון בשנת 2018, גידול של כ-21%.</w:t>
      </w:r>
    </w:p>
    <w:p w:rsidR="000930B3" w:rsidRPr="00DA075D" w:rsidP="00AD02C3" w14:paraId="19E3DEC4" w14:textId="08C806AF">
      <w:pPr>
        <w:pStyle w:val="a1"/>
        <w:spacing w:line="320" w:lineRule="atLeast"/>
        <w:rPr>
          <w:rtl/>
        </w:rPr>
      </w:pPr>
      <w:r w:rsidRPr="00D22A15">
        <w:rPr>
          <w:b w:val="0"/>
          <w:bCs w:val="0"/>
          <w:rtl/>
        </w:rPr>
        <w:t xml:space="preserve">תרשים 9: </w:t>
      </w:r>
      <w:r w:rsidRPr="00DA075D">
        <w:rPr>
          <w:rtl/>
        </w:rPr>
        <w:t xml:space="preserve">הגידול באוכלוסייה ובמכירות מכלי המשקה הגדולים והקטנים, </w:t>
      </w:r>
      <w:r w:rsidR="006B3F97">
        <w:rPr>
          <w:rtl/>
        </w:rPr>
        <w:br/>
      </w:r>
      <w:r w:rsidRPr="00DA075D">
        <w:rPr>
          <w:rtl/>
        </w:rPr>
        <w:t>2008 - 2018</w:t>
      </w:r>
    </w:p>
    <w:p w:rsidR="000930B3" w:rsidRPr="006B3F97" w:rsidP="006B3F97" w14:paraId="55E5D2D4" w14:textId="02B5F1CE">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72491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48804" name="Picture 26"/>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24918"/>
                    </a:xfrm>
                    <a:prstGeom prst="rect">
                      <a:avLst/>
                    </a:prstGeom>
                  </pic:spPr>
                </pic:pic>
              </a:graphicData>
            </a:graphic>
          </wp:inline>
        </w:drawing>
      </w:r>
    </w:p>
    <w:p w:rsidR="000930B3" w:rsidRPr="00DA075D" w:rsidP="006C5FF5" w14:paraId="6CD5EFBF" w14:textId="77777777">
      <w:pPr>
        <w:pStyle w:val="text-source"/>
        <w:rPr>
          <w:rtl/>
        </w:rPr>
      </w:pPr>
      <w:r w:rsidRPr="00DA075D">
        <w:rPr>
          <w:rtl/>
        </w:rPr>
        <w:t xml:space="preserve">נתוני האוכלוסייה על פי </w:t>
      </w:r>
      <w:r w:rsidRPr="00DA075D">
        <w:rPr>
          <w:rtl/>
        </w:rPr>
        <w:t>הלמ"ס</w:t>
      </w:r>
      <w:r w:rsidRPr="00DA075D">
        <w:rPr>
          <w:rtl/>
        </w:rPr>
        <w:t xml:space="preserve"> ונתוני מכירות מכלי המשקה על פי המשרד </w:t>
      </w:r>
      <w:r w:rsidRPr="00DA075D">
        <w:rPr>
          <w:rtl/>
        </w:rPr>
        <w:t>להגנ"ס</w:t>
      </w:r>
      <w:r w:rsidRPr="00DA075D">
        <w:rPr>
          <w:rtl/>
        </w:rPr>
        <w:t xml:space="preserve">, בעיבוד משרד מבקר המדינה. </w:t>
      </w:r>
    </w:p>
    <w:p w:rsidR="000930B3" w:rsidRPr="00D22A15" w:rsidP="005C4ABF" w14:paraId="665B5F5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w:t>
      </w:r>
      <w:r w:rsidRPr="00D22A15">
        <w:rPr>
          <w:rFonts w:ascii="Tahoma" w:hAnsi="Tahoma" w:cs="Tahoma"/>
          <w:sz w:val="20"/>
          <w:szCs w:val="20"/>
          <w:rtl/>
        </w:rPr>
        <w:t>הלמ"ס</w:t>
      </w:r>
      <w:r>
        <w:rPr>
          <w:rFonts w:ascii="Tahoma" w:hAnsi="Tahoma" w:cs="Tahoma"/>
          <w:sz w:val="20"/>
          <w:szCs w:val="20"/>
          <w:vertAlign w:val="superscript"/>
          <w:rtl/>
        </w:rPr>
        <w:footnoteReference w:id="61"/>
      </w:r>
      <w:r w:rsidRPr="00D22A15">
        <w:rPr>
          <w:rFonts w:ascii="Tahoma" w:hAnsi="Tahoma" w:cs="Tahoma"/>
          <w:sz w:val="20"/>
          <w:szCs w:val="20"/>
          <w:rtl/>
        </w:rPr>
        <w:t>, צריכת המשקאות הלא-אלכוהוליים עלתה בשנים 2008 - 2018 בכ-41.6% וצריכת המשקאות הלא-אלכוהוליים והאלכוהוליים יחדיו עלתה בכ-53.9%, במחירים קבועים.</w:t>
      </w:r>
    </w:p>
    <w:p w:rsidR="000930B3" w:rsidRPr="00DA075D" w:rsidP="008E06C5" w14:paraId="5A651DEA" w14:textId="77777777">
      <w:pPr>
        <w:pStyle w:val="RESHET"/>
        <w:rPr>
          <w:rtl/>
        </w:rPr>
      </w:pPr>
      <w:r w:rsidRPr="00DA075D">
        <w:rPr>
          <w:rtl/>
        </w:rPr>
        <w:t xml:space="preserve">מהאמור עולה כי הגידול במכירות מכלי המשקה הגדולים המדווחים בשנים 2008 - 2018 (3.4%) נמוך משמעותית מהגידול באוכלוסיית המדינה (21.1%) ומהגידול בצריכת המשקאות באותן שנים (53.9%), בפרט משקאות לא-אלכוהוליים (41.6%). כן עולה כי קיים פער בין הגידול במכירות מכלי המשקאות הגדולים (3.4%) והגידול במכירת מכלי המשקאות הקטנים (71.3%) בשנים האמורות. </w:t>
      </w:r>
    </w:p>
    <w:p w:rsidR="000930B3" w:rsidRPr="00D22A15" w:rsidP="005C4ABF" w14:paraId="74397245" w14:textId="2FBA3B58">
      <w:pPr>
        <w:pStyle w:val="a5"/>
        <w:spacing w:before="120" w:after="120" w:line="320" w:lineRule="atLeast"/>
        <w:rPr>
          <w:rFonts w:ascii="Tahoma" w:hAnsi="Tahoma" w:cs="Tahoma"/>
          <w:spacing w:val="-2"/>
          <w:w w:val="95"/>
          <w:sz w:val="20"/>
          <w:szCs w:val="20"/>
          <w:rtl/>
        </w:rPr>
      </w:pPr>
      <w:r w:rsidRPr="00D22A15">
        <w:rPr>
          <w:rFonts w:ascii="Tahoma" w:hAnsi="Tahoma" w:cs="Tahoma"/>
          <w:spacing w:val="-2"/>
          <w:w w:val="95"/>
          <w:sz w:val="20"/>
          <w:szCs w:val="20"/>
          <w:rtl/>
        </w:rPr>
        <w:t>חברת איסוף א' מסרה בתגובתה כי הדיווחים המוגשים באישור רואי חשבון על ידי היצרנים והיבואנים או החברה עצמה, משקפים מגמות צרכניות, ביניהן מגמה של הקטנת צריכת משקאות ממותקים בבקבוקים גדולים בבתים מטעמי בריאות, התפתחות תרבות הפנאי שמתאפיינת בצריכת מכלי משקה קטנים ושימוש הולך וגובר במכשירי מים ביתיים.</w:t>
      </w:r>
    </w:p>
    <w:p w:rsidR="000930B3" w:rsidRPr="00DA075D" w:rsidP="008E06C5" w14:paraId="5AE1C038" w14:textId="77777777">
      <w:pPr>
        <w:pStyle w:val="RESHET"/>
        <w:rPr>
          <w:rtl/>
        </w:rPr>
      </w:pPr>
      <w:r w:rsidRPr="00DA075D">
        <w:rPr>
          <w:rtl/>
        </w:rPr>
        <w:t xml:space="preserve">משרד מבקר המדינה ממליץ למשרד </w:t>
      </w:r>
      <w:r w:rsidRPr="00DA075D">
        <w:rPr>
          <w:rtl/>
        </w:rPr>
        <w:t>להגנ"ס</w:t>
      </w:r>
      <w:r w:rsidRPr="00DA075D">
        <w:rPr>
          <w:rtl/>
        </w:rPr>
        <w:t xml:space="preserve"> לבחון את הדיווח של היצרנים והיבואנים על העלייה בשיעור המכלים הגדולים לאור הפערים הנ"ל. כמו כן, מומלץ לבחון את הדיווחים בדבר צריכת משקאות במכלים גדולים באופן עיתי למול נתוני </w:t>
      </w:r>
      <w:r w:rsidRPr="00DA075D">
        <w:rPr>
          <w:rtl/>
        </w:rPr>
        <w:t>הלמ"ס</w:t>
      </w:r>
      <w:r w:rsidRPr="00DA075D">
        <w:rPr>
          <w:rtl/>
        </w:rPr>
        <w:t xml:space="preserve"> על העלייה בצריכת משקאות במחירים קבועים ועל הגידול באוכלוסיית ישראל. </w:t>
      </w:r>
    </w:p>
    <w:p w:rsidR="000930B3" w:rsidRPr="00D22A15" w:rsidP="005C4ABF" w14:paraId="219807A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על פי מצגת מספטמבר 2017 של מחלקת חקירות מכס ומע"מ חיפה והצפון, מיובאים לישראל כ-300 מיליוני מכלי משקה בשנה שלא נגבה בגינם פיקדון. בשנת 2016 העבירה מחלקת חקירות לבדיקת המשטרה הירוקה</w:t>
      </w:r>
      <w:r>
        <w:rPr>
          <w:rFonts w:ascii="Tahoma" w:hAnsi="Tahoma" w:cs="Tahoma"/>
          <w:sz w:val="20"/>
          <w:szCs w:val="20"/>
          <w:vertAlign w:val="superscript"/>
          <w:rtl/>
        </w:rPr>
        <w:footnoteReference w:id="62"/>
      </w:r>
      <w:r w:rsidRPr="00D22A15">
        <w:rPr>
          <w:rFonts w:ascii="Tahoma" w:hAnsi="Tahoma" w:cs="Tahoma"/>
          <w:sz w:val="20"/>
          <w:szCs w:val="20"/>
          <w:rtl/>
        </w:rPr>
        <w:t xml:space="preserve"> רשימה של 28 חברות שייבאו לישראל מכלי משקה. בנובמבר 2016 מסרה המשטרה הירוקה למחלקת החקירות כי 11 מתוך 28 החברות האמורות אינן מוכרות למשרד </w:t>
      </w:r>
      <w:r w:rsidRPr="00D22A15">
        <w:rPr>
          <w:rFonts w:ascii="Tahoma" w:hAnsi="Tahoma" w:cs="Tahoma"/>
          <w:sz w:val="20"/>
          <w:szCs w:val="20"/>
          <w:rtl/>
        </w:rPr>
        <w:t>להגנ"ס</w:t>
      </w:r>
      <w:r w:rsidRPr="00D22A15">
        <w:rPr>
          <w:rFonts w:ascii="Tahoma" w:hAnsi="Tahoma" w:cs="Tahoma"/>
          <w:sz w:val="20"/>
          <w:szCs w:val="20"/>
          <w:rtl/>
        </w:rPr>
        <w:t xml:space="preserve"> וכי חמש חברות שמוכרות למשרד לא דיווחו על יבוא מכלי משקה בשנת 2016. שלוש מהן לא דיווחו גם על היבוא ב-2015. בעקבות הבדיקה האמורה, שלח באותו חודש הממונה לחברות שלא היו מוכרות למשרד </w:t>
      </w:r>
      <w:r w:rsidRPr="00D22A15">
        <w:rPr>
          <w:rFonts w:ascii="Tahoma" w:hAnsi="Tahoma" w:cs="Tahoma"/>
          <w:sz w:val="20"/>
          <w:szCs w:val="20"/>
          <w:rtl/>
        </w:rPr>
        <w:t>להגנ"ס</w:t>
      </w:r>
      <w:r w:rsidRPr="00D22A15">
        <w:rPr>
          <w:rFonts w:ascii="Tahoma" w:hAnsi="Tahoma" w:cs="Tahoma"/>
          <w:sz w:val="20"/>
          <w:szCs w:val="20"/>
          <w:rtl/>
        </w:rPr>
        <w:t xml:space="preserve"> מכתבי התראה. </w:t>
      </w:r>
    </w:p>
    <w:p w:rsidR="000930B3" w:rsidRPr="00D22A15" w:rsidP="005C4ABF" w14:paraId="6069527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בספטמבר 2020 נמסר מהמשרד </w:t>
      </w:r>
      <w:r w:rsidRPr="00D22A15">
        <w:rPr>
          <w:rFonts w:ascii="Tahoma" w:hAnsi="Tahoma" w:cs="Tahoma"/>
          <w:sz w:val="20"/>
          <w:szCs w:val="20"/>
          <w:rtl/>
        </w:rPr>
        <w:t>להגנ"ס</w:t>
      </w:r>
      <w:r w:rsidRPr="00D22A15">
        <w:rPr>
          <w:rFonts w:ascii="Tahoma" w:hAnsi="Tahoma" w:cs="Tahoma"/>
          <w:sz w:val="20"/>
          <w:szCs w:val="20"/>
          <w:rtl/>
        </w:rPr>
        <w:t xml:space="preserve"> למשרד מבקר המדינה כי לאחר שהמשרד שלח ליבואנים אלה התראות, התקבלו במשרד דוחות על שיעור האיסוף מהחברות האמורות. עוד נמסר כי מעבר להתראות שנשלחו יזם המשרד </w:t>
      </w:r>
      <w:r w:rsidRPr="00D22A15">
        <w:rPr>
          <w:rFonts w:ascii="Tahoma" w:hAnsi="Tahoma" w:cs="Tahoma"/>
          <w:sz w:val="20"/>
          <w:szCs w:val="20"/>
          <w:rtl/>
        </w:rPr>
        <w:t>להגנ"ס</w:t>
      </w:r>
      <w:r w:rsidRPr="00D22A15">
        <w:rPr>
          <w:rFonts w:ascii="Tahoma" w:hAnsi="Tahoma" w:cs="Tahoma"/>
          <w:sz w:val="20"/>
          <w:szCs w:val="20"/>
          <w:rtl/>
        </w:rPr>
        <w:t xml:space="preserve"> בדיקות של פעילותם של ארבעה יבואנים אחרים. בתום בדיקות אלה ערכו רואי החשבון מטעם המשרד ביקורת עומק בקרב אותם יבואנים. נוכח ממצאי ביקורת העומק שהוגשו למשרד </w:t>
      </w:r>
      <w:r w:rsidRPr="00D22A15">
        <w:rPr>
          <w:rFonts w:ascii="Tahoma" w:hAnsi="Tahoma" w:cs="Tahoma"/>
          <w:sz w:val="20"/>
          <w:szCs w:val="20"/>
          <w:rtl/>
        </w:rPr>
        <w:t>להגנ"ס</w:t>
      </w:r>
      <w:r w:rsidRPr="00D22A15">
        <w:rPr>
          <w:rFonts w:ascii="Tahoma" w:hAnsi="Tahoma" w:cs="Tahoma"/>
          <w:sz w:val="20"/>
          <w:szCs w:val="20"/>
          <w:rtl/>
        </w:rPr>
        <w:t xml:space="preserve"> ביולי 2020, הכין המשרד שמונה דרישות תשלום לאותם היבואנים בגין אי עמידה בשיעור האיסוף של המכלים הקטנים בין השנים 2016 - 2018 ובגין אי עמידה בשיעור האיסוף של המכלים הגדולים בשנים 2017 - 2018. </w:t>
      </w:r>
    </w:p>
    <w:p w:rsidR="000930B3" w:rsidRPr="00DA075D" w:rsidP="008E06C5" w14:paraId="438CF100" w14:textId="77777777">
      <w:pPr>
        <w:pStyle w:val="RESHET"/>
        <w:rPr>
          <w:rtl/>
        </w:rPr>
      </w:pPr>
      <w:r w:rsidRPr="00DA075D">
        <w:rPr>
          <w:spacing w:val="-2"/>
          <w:rtl/>
        </w:rPr>
        <w:t xml:space="preserve">במועד סיום הביקורת בספטמבר 2020, דרישות התשלום טרם נשלחו ליבואנים. </w:t>
      </w:r>
    </w:p>
    <w:p w:rsidR="000930B3" w:rsidRPr="00DA075D" w:rsidP="008E06C5" w14:paraId="11066412" w14:textId="77777777">
      <w:pPr>
        <w:pStyle w:val="RESHET"/>
        <w:rPr>
          <w:w w:val="97"/>
          <w:rtl/>
        </w:rPr>
      </w:pPr>
      <w:r w:rsidRPr="00DA075D">
        <w:rPr>
          <w:w w:val="97"/>
          <w:rtl/>
        </w:rPr>
        <w:t xml:space="preserve">המשרד </w:t>
      </w:r>
      <w:r w:rsidRPr="00DA075D">
        <w:rPr>
          <w:w w:val="97"/>
          <w:rtl/>
        </w:rPr>
        <w:t>להגנ"ס</w:t>
      </w:r>
      <w:r w:rsidRPr="00DA075D">
        <w:rPr>
          <w:w w:val="97"/>
          <w:rtl/>
        </w:rPr>
        <w:t xml:space="preserve"> יזם מול </w:t>
      </w:r>
      <w:r w:rsidRPr="00DA075D">
        <w:rPr>
          <w:w w:val="97"/>
          <w:rtl/>
        </w:rPr>
        <w:t>מינהל</w:t>
      </w:r>
      <w:r w:rsidRPr="00DA075D">
        <w:rPr>
          <w:w w:val="97"/>
          <w:rtl/>
        </w:rPr>
        <w:t xml:space="preserve"> המכס בדיקות יבואנים נקודתיות, אולם הביקורת העלתה כי ככלל המשרד נסמך על דיווחי היצרנים והיבואנים המדווחים לו ואינו מקיים בשגרה בדיקות מול </w:t>
      </w:r>
      <w:r w:rsidRPr="00DA075D">
        <w:rPr>
          <w:w w:val="97"/>
          <w:rtl/>
        </w:rPr>
        <w:t>מינהל</w:t>
      </w:r>
      <w:r w:rsidRPr="00DA075D">
        <w:rPr>
          <w:w w:val="97"/>
          <w:rtl/>
        </w:rPr>
        <w:t xml:space="preserve"> המכס בנוגע לחברות המייבאות מכלי משקה. </w:t>
      </w:r>
    </w:p>
    <w:p w:rsidR="000930B3" w:rsidRPr="00DA075D" w:rsidP="008E06C5" w14:paraId="3D39BC90" w14:textId="77777777">
      <w:pPr>
        <w:pStyle w:val="RESHET"/>
        <w:rPr>
          <w:rtl/>
        </w:rPr>
      </w:pPr>
      <w:r w:rsidRPr="00DA075D">
        <w:rPr>
          <w:rtl/>
        </w:rPr>
        <w:t xml:space="preserve">מהאמור לעיל עולה חשש כי חסרים למשרד </w:t>
      </w:r>
      <w:r w:rsidRPr="00DA075D">
        <w:rPr>
          <w:rtl/>
        </w:rPr>
        <w:t>להגנ"ס</w:t>
      </w:r>
      <w:r w:rsidRPr="00DA075D">
        <w:rPr>
          <w:rtl/>
        </w:rPr>
        <w:t xml:space="preserve"> נתונים על כלל המכלים שמשווקים בישראל בכל שנה.</w:t>
      </w:r>
    </w:p>
    <w:p w:rsidR="000930B3" w:rsidRPr="00DA075D" w:rsidP="008E06C5" w14:paraId="6B03B8BA" w14:textId="77777777">
      <w:pPr>
        <w:pStyle w:val="RESHET"/>
        <w:rPr>
          <w:rtl/>
        </w:rPr>
      </w:pPr>
      <w:r w:rsidRPr="00DA075D">
        <w:rPr>
          <w:rtl/>
        </w:rPr>
        <w:t xml:space="preserve">משרד מבקר המדינה ממליץ למשרד </w:t>
      </w:r>
      <w:r w:rsidRPr="00DA075D">
        <w:rPr>
          <w:rtl/>
        </w:rPr>
        <w:t>להגנ"ס</w:t>
      </w:r>
      <w:r w:rsidRPr="00DA075D">
        <w:rPr>
          <w:rtl/>
        </w:rPr>
        <w:t xml:space="preserve"> לנקוט בשגרה פיקוח ובקרה יזומים עיתיים מול </w:t>
      </w:r>
      <w:r w:rsidRPr="00DA075D">
        <w:rPr>
          <w:rtl/>
        </w:rPr>
        <w:t>מינהל</w:t>
      </w:r>
      <w:r w:rsidRPr="00DA075D">
        <w:rPr>
          <w:rtl/>
        </w:rPr>
        <w:t xml:space="preserve"> המכס ולקבל ממנו מידע על חברות המייבאות משקאות לשיווק בישראל. </w:t>
      </w:r>
    </w:p>
    <w:p w:rsidR="000930B3" w:rsidRPr="00DA075D" w:rsidP="00A07626" w14:paraId="08D29E4D" w14:textId="77777777">
      <w:pPr>
        <w:pStyle w:val="4"/>
        <w:rPr>
          <w:rtl/>
        </w:rPr>
      </w:pPr>
      <w:r w:rsidRPr="00DA075D">
        <w:rPr>
          <w:rtl/>
        </w:rPr>
        <w:t xml:space="preserve">שיעור איסוף מכלי המשקה מתוך המכלים ששווקו </w:t>
      </w:r>
    </w:p>
    <w:p w:rsidR="000930B3" w:rsidRPr="00D22A15" w:rsidP="005C4ABF" w14:paraId="130FA4A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דיווחים שהתקבלו במשרד </w:t>
      </w:r>
      <w:r w:rsidRPr="00D22A15">
        <w:rPr>
          <w:rFonts w:ascii="Tahoma" w:hAnsi="Tahoma" w:cs="Tahoma"/>
          <w:sz w:val="20"/>
          <w:szCs w:val="20"/>
          <w:rtl/>
        </w:rPr>
        <w:t>להגנ"ס</w:t>
      </w:r>
      <w:r w:rsidRPr="00D22A15">
        <w:rPr>
          <w:rFonts w:ascii="Tahoma" w:hAnsi="Tahoma" w:cs="Tahoma"/>
          <w:sz w:val="20"/>
          <w:szCs w:val="20"/>
          <w:rtl/>
        </w:rPr>
        <w:t xml:space="preserve"> בשנת 2018, נאספו 853 מתוך 1,096 מיליוני מכלי המשקה הקטנים ששווקו וכ-474 מתוך 767 מיליוני מכלי המשקה הגדולים ששווקו באותה שנה</w:t>
      </w:r>
      <w:r>
        <w:rPr>
          <w:rFonts w:ascii="Tahoma" w:hAnsi="Tahoma" w:cs="Tahoma"/>
          <w:sz w:val="20"/>
          <w:szCs w:val="20"/>
          <w:vertAlign w:val="superscript"/>
          <w:rtl/>
        </w:rPr>
        <w:footnoteReference w:id="63"/>
      </w:r>
      <w:r w:rsidRPr="00D22A15">
        <w:rPr>
          <w:rFonts w:ascii="Tahoma" w:hAnsi="Tahoma" w:cs="Tahoma"/>
          <w:sz w:val="20"/>
          <w:szCs w:val="20"/>
          <w:rtl/>
        </w:rPr>
        <w:t>. בתרשימים 10 ו-11 שלהלן יוצגו שיעורי האיסוף של המכלים הקטנים ששווקו בשנים 2002 - 2018 ושל המכלים הגדולים ששווקו בשנים 2010 - 2018.</w:t>
      </w:r>
    </w:p>
    <w:p w:rsidR="000930B3" w:rsidRPr="00DA075D" w:rsidP="00AD02C3" w14:paraId="5A2C4261" w14:textId="77777777">
      <w:pPr>
        <w:pStyle w:val="a1"/>
        <w:spacing w:line="320" w:lineRule="atLeast"/>
        <w:rPr>
          <w:rtl/>
        </w:rPr>
      </w:pPr>
      <w:r w:rsidRPr="00DF1406">
        <w:rPr>
          <w:b w:val="0"/>
          <w:bCs w:val="0"/>
          <w:rtl/>
        </w:rPr>
        <w:t xml:space="preserve">תרשים 10: </w:t>
      </w:r>
      <w:r w:rsidRPr="00DA075D">
        <w:rPr>
          <w:rtl/>
        </w:rPr>
        <w:t>שיעורי איסוף מכלי המשקה הקטנים, 2002 - 2018</w:t>
      </w:r>
    </w:p>
    <w:p w:rsidR="000930B3" w:rsidRPr="00DF1406" w:rsidP="00DF1406" w14:paraId="6EFB676A" w14:textId="7B8668F0">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318821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13532" name="Picture 2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3188214"/>
                    </a:xfrm>
                    <a:prstGeom prst="rect">
                      <a:avLst/>
                    </a:prstGeom>
                  </pic:spPr>
                </pic:pic>
              </a:graphicData>
            </a:graphic>
          </wp:inline>
        </w:drawing>
      </w:r>
    </w:p>
    <w:p w:rsidR="000930B3" w:rsidRPr="00DA075D" w:rsidP="006C5FF5" w14:paraId="3DBB4817" w14:textId="77777777">
      <w:pPr>
        <w:pStyle w:val="text-source"/>
        <w:rPr>
          <w:rtl/>
        </w:rPr>
      </w:pPr>
      <w:r w:rsidRPr="00DA075D">
        <w:rPr>
          <w:rtl/>
        </w:rPr>
        <w:t xml:space="preserve">על פי נתוני המשרד </w:t>
      </w:r>
      <w:r w:rsidRPr="00DA075D">
        <w:rPr>
          <w:rtl/>
        </w:rPr>
        <w:t>להגנ"ס</w:t>
      </w:r>
      <w:r w:rsidRPr="00DA075D">
        <w:rPr>
          <w:rtl/>
        </w:rPr>
        <w:t xml:space="preserve">, בעיבוד משרד מבקר המדינה. </w:t>
      </w:r>
    </w:p>
    <w:p w:rsidR="000930B3" w:rsidRPr="00D22A15" w:rsidP="005C4ABF" w14:paraId="54C97A7D" w14:textId="621AC086">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מהתרשים עולה כי משנת 2002 ועד לשנת 2011 גדל שיעור האיסוף של המכלים הקטנים </w:t>
      </w:r>
      <w:r w:rsidR="00DF1406">
        <w:rPr>
          <w:rFonts w:ascii="Tahoma" w:hAnsi="Tahoma" w:cs="Tahoma"/>
          <w:sz w:val="20"/>
          <w:szCs w:val="20"/>
        </w:rPr>
        <w:br/>
      </w:r>
      <w:r w:rsidRPr="00D22A15">
        <w:rPr>
          <w:rFonts w:ascii="Tahoma" w:hAnsi="Tahoma" w:cs="Tahoma"/>
          <w:sz w:val="20"/>
          <w:szCs w:val="20"/>
          <w:rtl/>
        </w:rPr>
        <w:t xml:space="preserve">מ-31% ל-77% שהוא היעד הממוצע הדו-שנתי הקבוע בחוק הפיקדון. בשנים 2016 - 2018 נע שיעור האיסוף של המכלים האמורים בין 78% ל-79%. </w:t>
      </w:r>
    </w:p>
    <w:p w:rsidR="000930B3" w:rsidRPr="00DA075D" w:rsidP="008E06C5" w14:paraId="506CE8F9" w14:textId="77777777">
      <w:pPr>
        <w:pStyle w:val="RESHET"/>
        <w:rPr>
          <w:rtl/>
        </w:rPr>
      </w:pPr>
      <w:r w:rsidRPr="00DA075D">
        <w:rPr>
          <w:rtl/>
        </w:rPr>
        <w:t>מבקר המדינה רואה בחיוב את העמידה ביעדי איסוף מכלי המשקה הקטנים בשנים 2016 - 2018.</w:t>
      </w:r>
    </w:p>
    <w:p w:rsidR="000930B3" w:rsidRPr="00D22A15" w:rsidP="005C4ABF" w14:paraId="7D3270F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להלן שיעורי האיסוף של מכלי המשקה הגדולים לשנים 2010 - 2018. הנתונים לשנים 2010 - 2015 על פי דיווח של חברת איסוף א', והנתונים לשנים 2016 - 2018 על פי הדיווחים המצרפיים של חברות האיסוף. מוצג גם שיעור האיסוף שהוכר על ידי הממונה בשנים 2016 - 2017.</w:t>
      </w:r>
    </w:p>
    <w:p w:rsidR="000930B3" w:rsidRPr="00DA075D" w:rsidP="00AD02C3" w14:paraId="1323E19D" w14:textId="77777777">
      <w:pPr>
        <w:pStyle w:val="a1"/>
        <w:spacing w:line="320" w:lineRule="atLeast"/>
        <w:rPr>
          <w:rtl/>
        </w:rPr>
      </w:pPr>
      <w:r w:rsidRPr="00DF1406">
        <w:rPr>
          <w:b w:val="0"/>
          <w:bCs w:val="0"/>
          <w:rtl/>
        </w:rPr>
        <w:t xml:space="preserve">תרשים 11: </w:t>
      </w:r>
      <w:r w:rsidRPr="00DA075D">
        <w:rPr>
          <w:rtl/>
        </w:rPr>
        <w:t>שיעורי איסוף מכלי המשקה הגדולים, 2010 - 2018</w:t>
      </w:r>
    </w:p>
    <w:p w:rsidR="000930B3" w:rsidRPr="00DF1406" w:rsidP="00DF1406" w14:paraId="6292F483" w14:textId="7F0DFE83">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31217" cy="28011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52655" name="Picture 30"/>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801118"/>
                    </a:xfrm>
                    <a:prstGeom prst="rect">
                      <a:avLst/>
                    </a:prstGeom>
                  </pic:spPr>
                </pic:pic>
              </a:graphicData>
            </a:graphic>
          </wp:inline>
        </w:drawing>
      </w:r>
    </w:p>
    <w:p w:rsidR="000930B3" w:rsidRPr="00DA075D" w:rsidP="006C5FF5" w14:paraId="3ABB336F" w14:textId="77777777">
      <w:pPr>
        <w:pStyle w:val="text-source"/>
        <w:rPr>
          <w:rtl/>
        </w:rPr>
      </w:pPr>
      <w:r w:rsidRPr="00DA075D">
        <w:rPr>
          <w:rtl/>
        </w:rPr>
        <w:t xml:space="preserve">על פי המשרד </w:t>
      </w:r>
      <w:r w:rsidRPr="00DA075D">
        <w:rPr>
          <w:rtl/>
        </w:rPr>
        <w:t>להגנ"ס</w:t>
      </w:r>
      <w:r w:rsidRPr="00DA075D">
        <w:rPr>
          <w:rtl/>
        </w:rPr>
        <w:t>,</w:t>
      </w:r>
      <w:r w:rsidRPr="00DA075D">
        <w:rPr>
          <w:rStyle w:val="a4"/>
          <w:rtl/>
        </w:rPr>
        <w:t xml:space="preserve"> </w:t>
      </w:r>
      <w:r w:rsidRPr="00DA075D">
        <w:rPr>
          <w:rtl/>
        </w:rPr>
        <w:t>סיכום דיווחים שנתיים על ידי רואי החשבון מטעם המשרד</w:t>
      </w:r>
      <w:r w:rsidRPr="00DA075D">
        <w:rPr>
          <w:rStyle w:val="a4"/>
          <w:rtl/>
        </w:rPr>
        <w:t xml:space="preserve">, </w:t>
      </w:r>
      <w:r w:rsidRPr="00DA075D">
        <w:rPr>
          <w:rtl/>
        </w:rPr>
        <w:t>בעיבוד משרד מבקר המדינה.</w:t>
      </w:r>
    </w:p>
    <w:p w:rsidR="000930B3" w:rsidRPr="00D22A15" w:rsidP="005C4ABF" w14:paraId="3AB10E1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הממונה הכיר בשיעור איסוף של כ-51.46% ב-2016 וכ-57.17% ב-2017, שיעור נמוך מהמדווח. במועד סיום הביקורת, בקרת הממונה לגבי נתוני האיסוף בשנת 2018 טרם הסתיימה ועל כן טרם נקבע שיעור האיסוף המוכר לשנה זו.</w:t>
      </w:r>
    </w:p>
    <w:p w:rsidR="000930B3" w:rsidRPr="00DA075D" w:rsidP="008E06C5" w14:paraId="3576E10D" w14:textId="77777777">
      <w:pPr>
        <w:pStyle w:val="RESHET"/>
        <w:rPr>
          <w:rtl/>
        </w:rPr>
      </w:pPr>
      <w:r w:rsidRPr="00DA075D">
        <w:rPr>
          <w:rtl/>
        </w:rPr>
        <w:t xml:space="preserve">מעיון בנתונים על שיעור האיסוף שהוכר כפי שהובאו בתרשימים לעיל, ניתן להיווכח כי קיים פער משמעותי בין שיעור האיסוף של מכלי המשקה הקטנים שהוכר (79% ב-2016 ו-78% ב-2017), לבין שיעור האיסוף של מכלי המשקה הגדולים שהוכר (51.46% ב-2016 ו-57.17% ב-2017). </w:t>
      </w:r>
    </w:p>
    <w:p w:rsidR="000930B3" w:rsidRPr="00D22A15" w:rsidP="005C4ABF" w14:paraId="2CA46EE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בשנים האחרונות לא ערך הממונה ביקורת עומק על הדיווחים בנוגע לאיסוף מכלי המשקה הקטנים כפי שנערך בנוגע לדיווחים על איסוף המכלים הגדולים, בשנת העבודה 2021 עתיד המשרד לערוך ביקורת עומק שבמסגרתה ייבחנו הדיווחים על המכלים הקטנים.</w:t>
      </w:r>
    </w:p>
    <w:p w:rsidR="000930B3" w:rsidRPr="00DA075D" w:rsidP="00A07626" w14:paraId="3B3ED906" w14:textId="77777777">
      <w:pPr>
        <w:pStyle w:val="4"/>
        <w:rPr>
          <w:rtl/>
        </w:rPr>
      </w:pPr>
      <w:r w:rsidRPr="00DA075D">
        <w:rPr>
          <w:rtl/>
        </w:rPr>
        <w:t>השתתפות צרכני המשקאות באיסוף</w:t>
      </w:r>
    </w:p>
    <w:p w:rsidR="000930B3" w:rsidRPr="00D22A15" w:rsidP="005C4ABF" w14:paraId="75189DDB" w14:textId="77777777">
      <w:pPr>
        <w:pStyle w:val="a5"/>
        <w:spacing w:before="120" w:after="120" w:line="320" w:lineRule="atLeast"/>
        <w:rPr>
          <w:rFonts w:ascii="Tahoma" w:hAnsi="Tahoma" w:cs="Tahoma"/>
          <w:sz w:val="20"/>
          <w:szCs w:val="20"/>
          <w:rtl/>
        </w:rPr>
      </w:pPr>
      <w:r w:rsidRPr="00152F9D">
        <w:rPr>
          <w:rStyle w:val="50"/>
          <w:rFonts w:ascii="Tahoma" w:hAnsi="Tahoma" w:cs="Tahoma"/>
          <w:b/>
          <w:bCs/>
          <w:rtl/>
        </w:rPr>
        <w:t>מכלי משקה קטנים:</w:t>
      </w:r>
      <w:r w:rsidRPr="00D22A15">
        <w:rPr>
          <w:rFonts w:ascii="Tahoma" w:hAnsi="Tahoma" w:cs="Tahoma"/>
          <w:sz w:val="20"/>
          <w:szCs w:val="20"/>
          <w:rtl/>
        </w:rPr>
        <w:t xml:space="preserve"> כאמור, מכלי המשקה הקטנים נצרכים בעיקר מחוץ לבית, בבתי עסק, מלונות ומוסדות, והשבתם מזכה את המשיב בדמי הפיקדון. מסמכי הבחינה שנערכה במשרד </w:t>
      </w:r>
      <w:r w:rsidRPr="00D22A15">
        <w:rPr>
          <w:rFonts w:ascii="Tahoma" w:hAnsi="Tahoma" w:cs="Tahoma"/>
          <w:sz w:val="20"/>
          <w:szCs w:val="20"/>
          <w:rtl/>
        </w:rPr>
        <w:t>להגנ"ס</w:t>
      </w:r>
      <w:r w:rsidRPr="00D22A15">
        <w:rPr>
          <w:rFonts w:ascii="Tahoma" w:hAnsi="Tahoma" w:cs="Tahoma"/>
          <w:sz w:val="20"/>
          <w:szCs w:val="20"/>
          <w:rtl/>
        </w:rPr>
        <w:t xml:space="preserve"> ביולי 2014 התבססו על נתוני האיסוף לשנת 2012. לפי ההערכות שבמסמכי הבחינה, ציבור צרכני המשקאות שילמו ב-2012 פיקדון בסך כ-234 מיליון ש"ח ורשתות השיווק השיבו לציבור כ-32 מיליון ש"ח. כך שדמי הפיקדון שלא הושבו לציבור הסתכמו באותה שנה ביותר מ-200 מיליון ש"ח.</w:t>
      </w:r>
    </w:p>
    <w:p w:rsidR="000930B3" w:rsidRPr="00D22A15" w:rsidP="005C4ABF" w14:paraId="4C6CE33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נתונים שעלו ממסמכי הבחינה באשר לשיעורי האיסוף של הגורמים המשיבים את המכלים מתוך כלל המכלים שנאספו. יצוין כי אין למשרד </w:t>
      </w:r>
      <w:r w:rsidRPr="00D22A15">
        <w:rPr>
          <w:rFonts w:ascii="Tahoma" w:hAnsi="Tahoma" w:cs="Tahoma"/>
          <w:sz w:val="20"/>
          <w:szCs w:val="20"/>
          <w:rtl/>
        </w:rPr>
        <w:t>להגנ"ס</w:t>
      </w:r>
      <w:r w:rsidRPr="00D22A15">
        <w:rPr>
          <w:rFonts w:ascii="Tahoma" w:hAnsi="Tahoma" w:cs="Tahoma"/>
          <w:sz w:val="20"/>
          <w:szCs w:val="20"/>
          <w:rtl/>
        </w:rPr>
        <w:t xml:space="preserve"> נתונים מעודכנים יותר בעניין זה.</w:t>
      </w:r>
    </w:p>
    <w:p w:rsidR="000930B3" w:rsidRPr="00DA075D" w:rsidP="00AD02C3" w14:paraId="08560DE7" w14:textId="31C31D04">
      <w:pPr>
        <w:pStyle w:val="a1"/>
        <w:spacing w:line="320" w:lineRule="atLeast"/>
        <w:rPr>
          <w:w w:val="98"/>
          <w:rtl/>
        </w:rPr>
      </w:pPr>
      <w:r w:rsidRPr="00D22A15">
        <w:rPr>
          <w:b w:val="0"/>
          <w:bCs w:val="0"/>
          <w:spacing w:val="-2"/>
          <w:w w:val="98"/>
          <w:rtl/>
        </w:rPr>
        <w:t xml:space="preserve">לוח 3: </w:t>
      </w:r>
      <w:r w:rsidRPr="00DA075D">
        <w:rPr>
          <w:spacing w:val="-2"/>
          <w:w w:val="98"/>
          <w:rtl/>
        </w:rPr>
        <w:t>התפלגות האיסוף של מכלי משקה קטנים, לפי גורם אוסף, 2012</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5159"/>
        <w:gridCol w:w="3277"/>
      </w:tblGrid>
      <w:tr w14:paraId="6E83EB2A" w14:textId="77777777" w:rsidTr="00DF1406">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5159" w:type="dxa"/>
            <w:tcBorders>
              <w:top w:val="single" w:sz="8" w:space="0" w:color="auto"/>
              <w:bottom w:val="single" w:sz="8" w:space="0" w:color="auto"/>
            </w:tcBorders>
            <w:shd w:val="clear" w:color="auto" w:fill="C6D9F1"/>
          </w:tcPr>
          <w:p w:rsidR="005C4ABF" w:rsidRPr="005C4ABF" w:rsidP="006C5FF5" w14:paraId="55B58518"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גורם אוסף</w:t>
            </w:r>
          </w:p>
        </w:tc>
        <w:tc>
          <w:tcPr>
            <w:tcW w:w="3277" w:type="dxa"/>
            <w:tcBorders>
              <w:top w:val="single" w:sz="8" w:space="0" w:color="auto"/>
              <w:bottom w:val="single" w:sz="8" w:space="0" w:color="auto"/>
            </w:tcBorders>
            <w:shd w:val="clear" w:color="auto" w:fill="C6D9F1"/>
          </w:tcPr>
          <w:p w:rsidR="005C4ABF" w:rsidRPr="005C4ABF" w:rsidP="006C5FF5" w14:paraId="2FBFDCBC" w14:textId="77777777">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שיעור האיסוף</w:t>
            </w:r>
          </w:p>
        </w:tc>
      </w:tr>
      <w:tr w14:paraId="180F0B4D" w14:textId="77777777" w:rsidTr="00DF1406">
        <w:tblPrEx>
          <w:tblW w:w="0" w:type="auto"/>
          <w:tblLook w:val="04A0"/>
        </w:tblPrEx>
        <w:tc>
          <w:tcPr>
            <w:tcW w:w="5159" w:type="dxa"/>
            <w:tcBorders>
              <w:top w:val="single" w:sz="8" w:space="0" w:color="auto"/>
            </w:tcBorders>
          </w:tcPr>
          <w:p w:rsidR="005C4ABF" w:rsidRPr="005C4ABF" w:rsidP="006C5FF5" w14:paraId="55E1A66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צרכני משקאות באמצעות רשתות קמעונאיות</w:t>
            </w:r>
          </w:p>
        </w:tc>
        <w:tc>
          <w:tcPr>
            <w:tcW w:w="3277" w:type="dxa"/>
            <w:tcBorders>
              <w:top w:val="single" w:sz="8" w:space="0" w:color="auto"/>
            </w:tcBorders>
          </w:tcPr>
          <w:p w:rsidR="005C4ABF" w:rsidRPr="005C4ABF" w:rsidP="006C5FF5" w14:paraId="4CBA0999"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18%</w:t>
            </w:r>
          </w:p>
        </w:tc>
      </w:tr>
      <w:tr w14:paraId="2BB826AB" w14:textId="77777777" w:rsidTr="00DF1406">
        <w:tblPrEx>
          <w:tblW w:w="0" w:type="auto"/>
          <w:tblLook w:val="04A0"/>
        </w:tblPrEx>
        <w:tc>
          <w:tcPr>
            <w:tcW w:w="5159" w:type="dxa"/>
          </w:tcPr>
          <w:p w:rsidR="005C4ABF" w:rsidRPr="005C4ABF" w:rsidP="006C5FF5" w14:paraId="14313ED9"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אספנים קטנים</w:t>
            </w:r>
          </w:p>
        </w:tc>
        <w:tc>
          <w:tcPr>
            <w:tcW w:w="3277" w:type="dxa"/>
          </w:tcPr>
          <w:p w:rsidR="005C4ABF" w:rsidRPr="005C4ABF" w:rsidP="006C5FF5" w14:paraId="4044D550"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14%</w:t>
            </w:r>
          </w:p>
        </w:tc>
      </w:tr>
      <w:tr w14:paraId="0D47BC7B" w14:textId="77777777" w:rsidTr="00DF1406">
        <w:tblPrEx>
          <w:tblW w:w="0" w:type="auto"/>
          <w:tblLook w:val="04A0"/>
        </w:tblPrEx>
        <w:tc>
          <w:tcPr>
            <w:tcW w:w="5159" w:type="dxa"/>
          </w:tcPr>
          <w:p w:rsidR="005C4ABF" w:rsidRPr="005C4ABF" w:rsidP="006C5FF5" w14:paraId="52B0485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בתי עסק, מוסדות ומלונות</w:t>
            </w:r>
          </w:p>
        </w:tc>
        <w:tc>
          <w:tcPr>
            <w:tcW w:w="3277" w:type="dxa"/>
          </w:tcPr>
          <w:p w:rsidR="005C4ABF" w:rsidRPr="005C4ABF" w:rsidP="006C5FF5" w14:paraId="4FD3D964"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56%</w:t>
            </w:r>
          </w:p>
        </w:tc>
      </w:tr>
      <w:tr w14:paraId="289A8A48" w14:textId="77777777" w:rsidTr="00DF1406">
        <w:tblPrEx>
          <w:tblW w:w="0" w:type="auto"/>
          <w:tblLook w:val="04A0"/>
        </w:tblPrEx>
        <w:tc>
          <w:tcPr>
            <w:tcW w:w="5159" w:type="dxa"/>
          </w:tcPr>
          <w:p w:rsidR="005C4ABF" w:rsidRPr="005C4ABF" w:rsidP="006C5FF5" w14:paraId="1416646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בתי ספר, ועדים ואחרים</w:t>
            </w:r>
          </w:p>
        </w:tc>
        <w:tc>
          <w:tcPr>
            <w:tcW w:w="3277" w:type="dxa"/>
          </w:tcPr>
          <w:p w:rsidR="005C4ABF" w:rsidRPr="005C4ABF" w:rsidP="006C5FF5" w14:paraId="3A173D61"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12%</w:t>
            </w:r>
          </w:p>
        </w:tc>
      </w:tr>
    </w:tbl>
    <w:p w:rsidR="000930B3" w:rsidRPr="00DF1406" w:rsidP="00DF1406" w14:paraId="7D305D04" w14:textId="77777777">
      <w:pPr>
        <w:pStyle w:val="text-source"/>
      </w:pPr>
      <w:r w:rsidRPr="00DF1406">
        <w:rPr>
          <w:rtl/>
        </w:rPr>
        <w:t xml:space="preserve">על פי נתוני המשרד </w:t>
      </w:r>
      <w:r w:rsidRPr="00DF1406">
        <w:rPr>
          <w:rtl/>
        </w:rPr>
        <w:t>להגנ"ס</w:t>
      </w:r>
      <w:r>
        <w:rPr>
          <w:vertAlign w:val="superscript"/>
          <w:rtl/>
        </w:rPr>
        <w:footnoteReference w:id="64"/>
      </w:r>
      <w:r w:rsidRPr="00DF1406">
        <w:rPr>
          <w:rtl/>
        </w:rPr>
        <w:t xml:space="preserve">, בעיבוד משרד מבקר המדינה. </w:t>
      </w:r>
    </w:p>
    <w:p w:rsidR="000930B3" w:rsidRPr="00D22A15" w:rsidP="005C4ABF" w14:paraId="436D6474" w14:textId="77777777">
      <w:pPr>
        <w:pStyle w:val="a5"/>
        <w:spacing w:before="120" w:after="120" w:line="320" w:lineRule="atLeast"/>
        <w:rPr>
          <w:rFonts w:ascii="Tahoma" w:hAnsi="Tahoma" w:cs="Tahoma"/>
          <w:sz w:val="20"/>
          <w:szCs w:val="20"/>
        </w:rPr>
      </w:pPr>
      <w:r w:rsidRPr="00D22A15">
        <w:rPr>
          <w:rFonts w:ascii="Tahoma" w:hAnsi="Tahoma" w:cs="Tahoma"/>
          <w:sz w:val="20"/>
          <w:szCs w:val="20"/>
          <w:rtl/>
        </w:rPr>
        <w:t>בספטמבר 2020 הגישה חברת איסוף א' לוועדת הכלכלה של הכנסת חוות דעת כלכלית</w:t>
      </w:r>
      <w:r>
        <w:rPr>
          <w:rFonts w:ascii="Tahoma" w:hAnsi="Tahoma" w:cs="Tahoma"/>
          <w:sz w:val="20"/>
          <w:szCs w:val="20"/>
          <w:vertAlign w:val="superscript"/>
          <w:rtl/>
        </w:rPr>
        <w:footnoteReference w:id="65"/>
      </w:r>
      <w:r w:rsidRPr="00D22A15">
        <w:rPr>
          <w:rFonts w:ascii="Tahoma" w:hAnsi="Tahoma" w:cs="Tahoma"/>
          <w:sz w:val="20"/>
          <w:szCs w:val="20"/>
          <w:rtl/>
        </w:rPr>
        <w:t xml:space="preserve"> (להלן - חוות הדעת). על פי חוות הדעת, איסוף מכלי משקה קטנים בשנת 2019 התפלג באופן הבא: </w:t>
      </w:r>
    </w:p>
    <w:p w:rsidR="000930B3" w:rsidRPr="00DA075D" w:rsidP="00AD02C3" w14:paraId="56B395AC" w14:textId="1BC2D94A">
      <w:pPr>
        <w:pStyle w:val="a1"/>
        <w:spacing w:line="320" w:lineRule="atLeast"/>
        <w:rPr>
          <w:w w:val="98"/>
          <w:rtl/>
        </w:rPr>
      </w:pPr>
      <w:r w:rsidRPr="00D22A15">
        <w:rPr>
          <w:b w:val="0"/>
          <w:bCs w:val="0"/>
          <w:spacing w:val="-2"/>
          <w:w w:val="98"/>
          <w:rtl/>
        </w:rPr>
        <w:t xml:space="preserve">לוח 4: </w:t>
      </w:r>
      <w:r w:rsidRPr="00DA075D">
        <w:rPr>
          <w:spacing w:val="-2"/>
          <w:w w:val="98"/>
          <w:rtl/>
        </w:rPr>
        <w:t>התפלגות האיסוף של מכלי משקה קטנים, לפי דרך האיסוף, 2019</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5159"/>
        <w:gridCol w:w="3277"/>
      </w:tblGrid>
      <w:tr w14:paraId="2AB20986" w14:textId="77777777" w:rsidTr="00DF1406">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5159" w:type="dxa"/>
            <w:tcBorders>
              <w:top w:val="single" w:sz="8" w:space="0" w:color="auto"/>
              <w:bottom w:val="single" w:sz="8" w:space="0" w:color="auto"/>
            </w:tcBorders>
            <w:shd w:val="clear" w:color="auto" w:fill="C6D9F1"/>
          </w:tcPr>
          <w:p w:rsidR="005C4ABF" w:rsidRPr="005C4ABF" w:rsidP="006C5FF5" w14:paraId="2374C967"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דרך האיסוף</w:t>
            </w:r>
          </w:p>
        </w:tc>
        <w:tc>
          <w:tcPr>
            <w:tcW w:w="3277" w:type="dxa"/>
            <w:tcBorders>
              <w:top w:val="single" w:sz="8" w:space="0" w:color="auto"/>
              <w:bottom w:val="single" w:sz="8" w:space="0" w:color="auto"/>
            </w:tcBorders>
            <w:shd w:val="clear" w:color="auto" w:fill="C6D9F1"/>
          </w:tcPr>
          <w:p w:rsidR="005C4ABF" w:rsidRPr="005C4ABF" w:rsidP="006C5FF5" w14:paraId="525F3CF3" w14:textId="77777777">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 xml:space="preserve">שיעור האיסוף </w:t>
            </w:r>
          </w:p>
        </w:tc>
      </w:tr>
      <w:tr w14:paraId="56BD6A57" w14:textId="77777777" w:rsidTr="00DF1406">
        <w:tblPrEx>
          <w:tblW w:w="0" w:type="auto"/>
          <w:tblLook w:val="04A0"/>
        </w:tblPrEx>
        <w:tc>
          <w:tcPr>
            <w:tcW w:w="5159" w:type="dxa"/>
            <w:tcBorders>
              <w:top w:val="single" w:sz="8" w:space="0" w:color="auto"/>
            </w:tcBorders>
          </w:tcPr>
          <w:p w:rsidR="005C4ABF" w:rsidRPr="005C4ABF" w:rsidP="006C5FF5" w14:paraId="0B242BF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רשתות קמעונאיות</w:t>
            </w:r>
          </w:p>
        </w:tc>
        <w:tc>
          <w:tcPr>
            <w:tcW w:w="3277" w:type="dxa"/>
            <w:tcBorders>
              <w:top w:val="single" w:sz="8" w:space="0" w:color="auto"/>
            </w:tcBorders>
          </w:tcPr>
          <w:p w:rsidR="005C4ABF" w:rsidRPr="005C4ABF" w:rsidP="006C5FF5" w14:paraId="05B6F40E"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24%</w:t>
            </w:r>
          </w:p>
        </w:tc>
      </w:tr>
      <w:tr w14:paraId="7CC2ED94" w14:textId="77777777" w:rsidTr="00DF1406">
        <w:tblPrEx>
          <w:tblW w:w="0" w:type="auto"/>
          <w:tblLook w:val="04A0"/>
        </w:tblPrEx>
        <w:tc>
          <w:tcPr>
            <w:tcW w:w="5159" w:type="dxa"/>
          </w:tcPr>
          <w:p w:rsidR="005C4ABF" w:rsidRPr="005C4ABF" w:rsidP="006C5FF5" w14:paraId="3BA580B8"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תחנות עירוניות, אספנים וקמעונאים</w:t>
            </w:r>
          </w:p>
        </w:tc>
        <w:tc>
          <w:tcPr>
            <w:tcW w:w="3277" w:type="dxa"/>
          </w:tcPr>
          <w:p w:rsidR="005C4ABF" w:rsidRPr="005C4ABF" w:rsidP="006C5FF5" w14:paraId="5747E903"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65%</w:t>
            </w:r>
          </w:p>
        </w:tc>
      </w:tr>
      <w:tr w14:paraId="62DDB97C" w14:textId="77777777" w:rsidTr="00DF1406">
        <w:tblPrEx>
          <w:tblW w:w="0" w:type="auto"/>
          <w:tblLook w:val="04A0"/>
        </w:tblPrEx>
        <w:tc>
          <w:tcPr>
            <w:tcW w:w="5159" w:type="dxa"/>
          </w:tcPr>
          <w:p w:rsidR="005C4ABF" w:rsidRPr="005C4ABF" w:rsidP="006C5FF5" w14:paraId="5D2150A2"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 xml:space="preserve">אתרי מעבר ותאגיד </w:t>
            </w:r>
            <w:r w:rsidRPr="005C4ABF">
              <w:rPr>
                <w:rFonts w:ascii="Tahoma" w:hAnsi="Tahoma" w:cs="Tahoma"/>
                <w:sz w:val="18"/>
                <w:szCs w:val="18"/>
                <w:rtl/>
              </w:rPr>
              <w:t>מיחזור</w:t>
            </w:r>
            <w:r w:rsidRPr="005C4ABF">
              <w:rPr>
                <w:rFonts w:ascii="Tahoma" w:hAnsi="Tahoma" w:cs="Tahoma"/>
                <w:sz w:val="18"/>
                <w:szCs w:val="18"/>
                <w:rtl/>
              </w:rPr>
              <w:t xml:space="preserve"> אריזות</w:t>
            </w:r>
          </w:p>
        </w:tc>
        <w:tc>
          <w:tcPr>
            <w:tcW w:w="3277" w:type="dxa"/>
          </w:tcPr>
          <w:p w:rsidR="005C4ABF" w:rsidRPr="005C4ABF" w:rsidP="006C5FF5" w14:paraId="621F3915"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11%</w:t>
            </w:r>
          </w:p>
        </w:tc>
      </w:tr>
    </w:tbl>
    <w:p w:rsidR="000930B3" w:rsidRPr="00DF1406" w:rsidP="00DF1406" w14:paraId="5E6F86F6" w14:textId="77777777">
      <w:pPr>
        <w:pStyle w:val="text-source"/>
      </w:pPr>
      <w:r w:rsidRPr="00DF1406">
        <w:rPr>
          <w:rtl/>
        </w:rPr>
        <w:t xml:space="preserve">על פי נתוני חברת איסוף א', בעיבוד משרד מבקר המדינה. </w:t>
      </w:r>
    </w:p>
    <w:p w:rsidR="000930B3" w:rsidRPr="00D22A15" w:rsidP="005C4ABF" w14:paraId="524839E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מהלוחות עולה כי בשנת 2012, כ-18% ממכלי המשקה הקטנים שנאספו הושבו על ידי הציבור ישירות לרשתות קמעונאיות. נוסף על כך, הציבור השיב, באמצעות בתי ספר, ועדים ואחרים עוד 12%, ובסך הכול 30%. על פי חוות הדעת, שיעור המכלים הקטנים שהושבו על ידי הציבור ישירות לרשתות הקמעונאיות בשנת 2019 עמד על 24%. אין בחוות הדעת האמורה התייחסות לשיעור האיסוף המתבצע על ידי הציבור באמצעות בתי ספר וארגונים ציבוריים. </w:t>
      </w:r>
    </w:p>
    <w:p w:rsidR="000930B3" w:rsidRPr="00D22A15" w:rsidP="005C4ABF" w14:paraId="37E11D8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בחוק הפיקדון נקבע כי "בית עסק המוכר לצרכן משקה אינו חייב לקבל מכל משקה ריק, אם... המכירה הייתה לצריכה בתחומי בית העסק, אלא אם כן בית העסק גבה בעדו פיקדון...". כלומר, בתי עסק כגון מסעדות, בתי קפה ומלונות אינם נדרשים לגבות כלל פיקדון מהצרכן משום שהצריכה נעשית בתחומי בית העסק. </w:t>
      </w:r>
    </w:p>
    <w:p w:rsidR="000930B3" w:rsidRPr="00D22A15" w:rsidP="005C4ABF" w14:paraId="5236344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מסמכי הבחינה, 56% מהמכלים הקטנים שנאספו בשנת 2012 נאספו בתחום בתי העסק, המוסדות והמלונות, וסכום דמי הפיקדון שהושב לגורמים האמורים הסתכם בכ-61 מיליון ש"ח. </w:t>
      </w:r>
    </w:p>
    <w:p w:rsidR="000930B3" w:rsidRPr="00DA075D" w:rsidP="008E06C5" w14:paraId="04818EFF" w14:textId="77777777">
      <w:pPr>
        <w:pStyle w:val="RESHET"/>
        <w:rPr>
          <w:rtl/>
        </w:rPr>
      </w:pPr>
      <w:r w:rsidRPr="00DA075D">
        <w:rPr>
          <w:rtl/>
        </w:rPr>
        <w:t xml:space="preserve">יצוין כי אין למשרד </w:t>
      </w:r>
      <w:r w:rsidRPr="00DA075D">
        <w:rPr>
          <w:rtl/>
        </w:rPr>
        <w:t>להגנ"ס</w:t>
      </w:r>
      <w:r w:rsidRPr="00DA075D">
        <w:rPr>
          <w:rtl/>
        </w:rPr>
        <w:t xml:space="preserve"> כל אפשרות לדעת אם בתי העסק, המוסדות והמלונות שהשיבו את המכלים גבו מהציבור פיקדון בעדם. </w:t>
      </w:r>
    </w:p>
    <w:p w:rsidR="000930B3" w:rsidRPr="00DA075D" w:rsidP="008E06C5" w14:paraId="79578D5F" w14:textId="77777777">
      <w:pPr>
        <w:pStyle w:val="RESHET"/>
        <w:rPr>
          <w:rtl/>
        </w:rPr>
      </w:pPr>
      <w:r w:rsidRPr="00DA075D">
        <w:rPr>
          <w:rtl/>
        </w:rPr>
        <w:t xml:space="preserve">מומלץ שהמשרד </w:t>
      </w:r>
      <w:r w:rsidRPr="00DA075D">
        <w:rPr>
          <w:rtl/>
        </w:rPr>
        <w:t>להגנ"ס</w:t>
      </w:r>
      <w:r w:rsidRPr="00DA075D">
        <w:rPr>
          <w:rtl/>
        </w:rPr>
        <w:t xml:space="preserve"> ינתח באופן עיתי את שיעורי האיסוף בחלוקה לדרך האיסוף ואת היקף דמי הפיקדון המושבים לציבור, לשם מימוש מטרות החוק. עוד מומלץ כי המשרד יקיים הסברה לציבור ולבתי העסק ויביא לידיעתם את הוראות החוק.</w:t>
      </w:r>
    </w:p>
    <w:p w:rsidR="000930B3" w:rsidRPr="00D22A15" w:rsidP="005C4ABF" w14:paraId="2ED77351" w14:textId="77777777">
      <w:pPr>
        <w:pStyle w:val="a5"/>
        <w:spacing w:before="120" w:after="120" w:line="320" w:lineRule="atLeast"/>
        <w:rPr>
          <w:rFonts w:ascii="Tahoma" w:hAnsi="Tahoma" w:cs="Tahoma"/>
          <w:sz w:val="20"/>
          <w:szCs w:val="20"/>
          <w:rtl/>
        </w:rPr>
      </w:pPr>
      <w:r w:rsidRPr="00DF1406">
        <w:rPr>
          <w:rStyle w:val="50"/>
          <w:rFonts w:ascii="Tahoma" w:hAnsi="Tahoma" w:cs="Tahoma"/>
          <w:b/>
          <w:bCs/>
          <w:sz w:val="22"/>
          <w:szCs w:val="20"/>
          <w:rtl/>
        </w:rPr>
        <w:t>מכלי משקה גדולים:</w:t>
      </w:r>
      <w:r w:rsidRPr="00DF1406">
        <w:rPr>
          <w:rFonts w:ascii="Tahoma" w:hAnsi="Tahoma" w:cs="Tahoma"/>
          <w:sz w:val="22"/>
          <w:szCs w:val="22"/>
          <w:rtl/>
        </w:rPr>
        <w:t xml:space="preserve"> </w:t>
      </w:r>
      <w:r w:rsidRPr="00D22A15">
        <w:rPr>
          <w:rFonts w:ascii="Tahoma" w:hAnsi="Tahoma" w:cs="Tahoma"/>
          <w:sz w:val="20"/>
          <w:szCs w:val="20"/>
          <w:rtl/>
        </w:rPr>
        <w:t xml:space="preserve">השתתפות הציבור באיסוף מכלי משקה גדולים נעשית באמצעות השלכתם לכ-23,000 </w:t>
      </w:r>
      <w:r w:rsidRPr="00D22A15">
        <w:rPr>
          <w:rFonts w:ascii="Tahoma" w:hAnsi="Tahoma" w:cs="Tahoma"/>
          <w:sz w:val="20"/>
          <w:szCs w:val="20"/>
          <w:rtl/>
        </w:rPr>
        <w:t>מיחזוריות</w:t>
      </w:r>
      <w:r w:rsidRPr="00D22A15">
        <w:rPr>
          <w:rFonts w:ascii="Tahoma" w:hAnsi="Tahoma" w:cs="Tahoma"/>
          <w:sz w:val="20"/>
          <w:szCs w:val="20"/>
          <w:rtl/>
        </w:rPr>
        <w:t xml:space="preserve"> שעל פי חברת איסוף א' מוצבות ברחבי ישראל או באמצעות השלכתם לכלי אצירה לאריזות המכונה "הפח הכתום"</w:t>
      </w:r>
      <w:r>
        <w:rPr>
          <w:rFonts w:ascii="Tahoma" w:hAnsi="Tahoma" w:cs="Tahoma"/>
          <w:sz w:val="20"/>
          <w:szCs w:val="20"/>
          <w:vertAlign w:val="superscript"/>
          <w:rtl/>
        </w:rPr>
        <w:footnoteReference w:id="66"/>
      </w:r>
      <w:r w:rsidRPr="00D22A15">
        <w:rPr>
          <w:rFonts w:ascii="Tahoma" w:hAnsi="Tahoma" w:cs="Tahoma"/>
          <w:sz w:val="20"/>
          <w:szCs w:val="20"/>
          <w:rtl/>
        </w:rPr>
        <w:t xml:space="preserve">. מכלי משקה המושלכים לאשפה ללא הפרדה במקור (באמצעות "פח ירוק") מגיעים לתחנות מעבר וחלקם נאספים משם על ידי חברות האיסוף. פינויים של מכלי משקה </w:t>
      </w:r>
      <w:r w:rsidRPr="00D22A15">
        <w:rPr>
          <w:rFonts w:ascii="Tahoma" w:hAnsi="Tahoma" w:cs="Tahoma"/>
          <w:sz w:val="20"/>
          <w:szCs w:val="20"/>
          <w:rtl/>
        </w:rPr>
        <w:t>מהמיחזוריות</w:t>
      </w:r>
      <w:r w:rsidRPr="00D22A15">
        <w:rPr>
          <w:rFonts w:ascii="Tahoma" w:hAnsi="Tahoma" w:cs="Tahoma"/>
          <w:sz w:val="20"/>
          <w:szCs w:val="20"/>
          <w:rtl/>
        </w:rPr>
        <w:t xml:space="preserve"> ומהפח הכתום ממומן על ידי יצרנים ויבואנים ואילו פינויים של מכלי משקה לתחנות ממומן על ידי הרשויות המקומיות. </w:t>
      </w:r>
    </w:p>
    <w:p w:rsidR="000930B3" w:rsidRPr="00DA075D" w:rsidP="00AD02C3" w14:paraId="4CA6B7ED" w14:textId="77777777">
      <w:pPr>
        <w:pStyle w:val="a1"/>
        <w:spacing w:line="320" w:lineRule="atLeast"/>
        <w:rPr>
          <w:rtl/>
        </w:rPr>
      </w:pPr>
      <w:r w:rsidRPr="00DF1406">
        <w:rPr>
          <w:b w:val="0"/>
          <w:bCs w:val="0"/>
          <w:rtl/>
        </w:rPr>
        <w:t xml:space="preserve">תמונות 3 ו-4: </w:t>
      </w:r>
      <w:r w:rsidRPr="00DA075D">
        <w:rPr>
          <w:rtl/>
        </w:rPr>
        <w:t>כלי אצירה לאריזות, "פח כתום"</w:t>
      </w:r>
    </w:p>
    <w:p w:rsidR="000930B3" w:rsidRPr="00DF1406" w:rsidP="00DF1406" w14:paraId="32EAE394" w14:textId="0793C03A">
      <w:pPr>
        <w:pStyle w:val="a5"/>
        <w:spacing w:before="120" w:after="120" w:line="320" w:lineRule="atLeast"/>
        <w:jc w:val="center"/>
        <w:rPr>
          <w:rStyle w:val="50"/>
          <w:rFonts w:ascii="Tahoma" w:hAnsi="Tahoma" w:cs="Tahoma"/>
          <w:rtl/>
        </w:rPr>
      </w:pPr>
      <w:r>
        <w:rPr>
          <w:rFonts w:ascii="Tahoma" w:hAnsi="Tahoma" w:cs="Tahoma"/>
          <w:noProof/>
          <w:sz w:val="20"/>
          <w:rtl/>
          <w:lang w:val="he-IL"/>
        </w:rPr>
        <w:drawing>
          <wp:inline distT="0" distB="0" distL="0" distR="0">
            <wp:extent cx="4319016" cy="19812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5242" name="Picture 3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1981200"/>
                    </a:xfrm>
                    <a:prstGeom prst="rect">
                      <a:avLst/>
                    </a:prstGeom>
                  </pic:spPr>
                </pic:pic>
              </a:graphicData>
            </a:graphic>
          </wp:inline>
        </w:drawing>
      </w:r>
    </w:p>
    <w:p w:rsidR="000930B3" w:rsidRPr="00DF1406" w:rsidP="00DF1406" w14:paraId="78296E7E" w14:textId="77777777">
      <w:pPr>
        <w:pStyle w:val="text-source"/>
      </w:pPr>
      <w:r w:rsidRPr="00DF1406">
        <w:rPr>
          <w:rtl/>
        </w:rPr>
        <w:t>התמונות צולמו על ידי צוות הביקורת באוקטובר 2020.</w:t>
      </w:r>
    </w:p>
    <w:p w:rsidR="000930B3" w:rsidRPr="00D22A15" w:rsidP="005C4ABF" w14:paraId="6880CDC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נתונים בדבר השתתפות הציבור באיסוף מכלי המשקה הגדולים בשנים 2016 - 2017 על פי המשרד </w:t>
      </w:r>
      <w:r w:rsidRPr="00D22A15">
        <w:rPr>
          <w:rFonts w:ascii="Tahoma" w:hAnsi="Tahoma" w:cs="Tahoma"/>
          <w:sz w:val="20"/>
          <w:szCs w:val="20"/>
          <w:rtl/>
        </w:rPr>
        <w:t>להגנ"ס</w:t>
      </w:r>
      <w:r w:rsidRPr="00D22A15">
        <w:rPr>
          <w:rFonts w:ascii="Tahoma" w:hAnsi="Tahoma" w:cs="Tahoma"/>
          <w:sz w:val="20"/>
          <w:szCs w:val="20"/>
          <w:rtl/>
        </w:rPr>
        <w:t xml:space="preserve"> וכן נתוני חברת איסוף א' לשנת 2019. יצוין כי במועד סיום הביקורת, בקרת נתוני האיסוף </w:t>
      </w:r>
      <w:r w:rsidRPr="00D22A15">
        <w:rPr>
          <w:rFonts w:ascii="Tahoma" w:hAnsi="Tahoma" w:cs="Tahoma"/>
          <w:sz w:val="20"/>
          <w:szCs w:val="20"/>
          <w:rtl/>
        </w:rPr>
        <w:t>והמיחזור</w:t>
      </w:r>
      <w:r w:rsidRPr="00D22A15">
        <w:rPr>
          <w:rFonts w:ascii="Tahoma" w:hAnsi="Tahoma" w:cs="Tahoma"/>
          <w:sz w:val="20"/>
          <w:szCs w:val="20"/>
          <w:rtl/>
        </w:rPr>
        <w:t xml:space="preserve"> של המכלים הגדולים לשנת 2018 על ידי המשרד </w:t>
      </w:r>
      <w:r w:rsidRPr="00D22A15">
        <w:rPr>
          <w:rFonts w:ascii="Tahoma" w:hAnsi="Tahoma" w:cs="Tahoma"/>
          <w:sz w:val="20"/>
          <w:szCs w:val="20"/>
          <w:rtl/>
        </w:rPr>
        <w:t>להגנ"ס</w:t>
      </w:r>
      <w:r w:rsidRPr="00D22A15">
        <w:rPr>
          <w:rFonts w:ascii="Tahoma" w:hAnsi="Tahoma" w:cs="Tahoma"/>
          <w:sz w:val="20"/>
          <w:szCs w:val="20"/>
          <w:rtl/>
        </w:rPr>
        <w:t xml:space="preserve"> טרם הסתיימה. </w:t>
      </w:r>
    </w:p>
    <w:p w:rsidR="000930B3" w:rsidRPr="00DA075D" w:rsidP="00AD02C3" w14:paraId="30637528" w14:textId="7070AAC0">
      <w:pPr>
        <w:pStyle w:val="a1"/>
        <w:spacing w:line="320" w:lineRule="atLeast"/>
        <w:rPr>
          <w:rtl/>
        </w:rPr>
      </w:pPr>
      <w:r w:rsidRPr="00D22A15">
        <w:rPr>
          <w:b w:val="0"/>
          <w:bCs w:val="0"/>
          <w:rtl/>
        </w:rPr>
        <w:t xml:space="preserve">לוח 5: </w:t>
      </w:r>
      <w:r w:rsidRPr="00DA075D">
        <w:rPr>
          <w:rtl/>
        </w:rPr>
        <w:t xml:space="preserve">התפלגות האיסוף של מכלי המשקה הגדולים, לפי אמצעי האיסוף, </w:t>
      </w:r>
      <w:r w:rsidR="00152F9D">
        <w:br/>
      </w:r>
      <w:r w:rsidRPr="00DA075D">
        <w:rPr>
          <w:rtl/>
        </w:rPr>
        <w:t>2016</w:t>
      </w:r>
      <w:r w:rsidR="00152F9D">
        <w:rPr>
          <w:rFonts w:hint="cs"/>
          <w:rtl/>
        </w:rPr>
        <w:t>, 2017 ו-</w:t>
      </w:r>
      <w:r w:rsidRPr="00DA075D">
        <w:rPr>
          <w:rtl/>
        </w:rPr>
        <w:t>2019</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1393"/>
        <w:gridCol w:w="1317"/>
        <w:gridCol w:w="1504"/>
        <w:gridCol w:w="1317"/>
        <w:gridCol w:w="1374"/>
        <w:gridCol w:w="1317"/>
      </w:tblGrid>
      <w:tr w14:paraId="1B745A26" w14:textId="77777777" w:rsidTr="00A8502C">
        <w:tblPrEx>
          <w:tblW w:w="8222" w:type="dxa"/>
          <w:jc w:val="center"/>
          <w:tblBorders>
            <w:top w:val="single" w:sz="8" w:space="0" w:color="auto"/>
            <w:left w:val="single" w:sz="8" w:space="0" w:color="auto"/>
            <w:bottom w:val="single" w:sz="8" w:space="0" w:color="auto"/>
            <w:right w:val="single" w:sz="8" w:space="0" w:color="auto"/>
          </w:tblBorders>
          <w:tblLook w:val="04A0"/>
        </w:tblPrEx>
        <w:trPr>
          <w:jc w:val="center"/>
        </w:trPr>
        <w:tc>
          <w:tcPr>
            <w:tcW w:w="0" w:type="auto"/>
            <w:vMerge w:val="restart"/>
            <w:tcBorders>
              <w:top w:val="single" w:sz="8" w:space="0" w:color="auto"/>
            </w:tcBorders>
            <w:shd w:val="clear" w:color="auto" w:fill="C6D9F1"/>
          </w:tcPr>
          <w:p w:rsidR="001F4C93" w:rsidRPr="005C4ABF" w:rsidP="006C5FF5" w14:paraId="1D7ED14D" w14:textId="77777777">
            <w:pPr>
              <w:pStyle w:val="a20"/>
              <w:tabs>
                <w:tab w:val="clear" w:pos="340"/>
              </w:tabs>
              <w:spacing w:before="40" w:after="40" w:line="240" w:lineRule="atLeast"/>
              <w:jc w:val="left"/>
              <w:rPr>
                <w:rFonts w:ascii="Tahoma" w:hAnsi="Tahoma" w:eastAsiaTheme="minorHAnsi" w:cs="Tahoma"/>
                <w:color w:val="auto"/>
                <w:sz w:val="24"/>
                <w:szCs w:val="24"/>
              </w:rPr>
            </w:pPr>
          </w:p>
        </w:tc>
        <w:tc>
          <w:tcPr>
            <w:tcW w:w="0" w:type="auto"/>
            <w:gridSpan w:val="2"/>
            <w:tcBorders>
              <w:top w:val="single" w:sz="8" w:space="0" w:color="auto"/>
              <w:bottom w:val="single" w:sz="4" w:space="0" w:color="auto"/>
            </w:tcBorders>
            <w:shd w:val="clear" w:color="auto" w:fill="C6D9F1"/>
          </w:tcPr>
          <w:p w:rsidR="001F4C93" w:rsidRPr="005C4ABF" w:rsidP="001F4C93" w14:paraId="48B037B6" w14:textId="2AA6017A">
            <w:pPr>
              <w:pStyle w:val="a20"/>
              <w:tabs>
                <w:tab w:val="clear" w:pos="340"/>
              </w:tabs>
              <w:spacing w:before="40" w:after="40" w:line="240" w:lineRule="atLeast"/>
              <w:rPr>
                <w:rFonts w:ascii="Tahoma" w:hAnsi="Tahoma" w:cs="Tahoma"/>
                <w:rtl/>
              </w:rPr>
            </w:pPr>
            <w:r w:rsidRPr="005C4ABF">
              <w:rPr>
                <w:rFonts w:ascii="Tahoma" w:hAnsi="Tahoma" w:cs="Tahoma"/>
                <w:b/>
                <w:bCs/>
                <w:sz w:val="18"/>
                <w:szCs w:val="18"/>
                <w:rtl/>
              </w:rPr>
              <w:t>2016</w:t>
            </w:r>
          </w:p>
        </w:tc>
        <w:tc>
          <w:tcPr>
            <w:tcW w:w="0" w:type="auto"/>
            <w:gridSpan w:val="2"/>
            <w:tcBorders>
              <w:top w:val="single" w:sz="8" w:space="0" w:color="auto"/>
              <w:bottom w:val="single" w:sz="4" w:space="0" w:color="auto"/>
            </w:tcBorders>
            <w:shd w:val="clear" w:color="auto" w:fill="C6D9F1"/>
          </w:tcPr>
          <w:p w:rsidR="001F4C93" w:rsidRPr="005C4ABF" w:rsidP="001F4C93" w14:paraId="1F8BEF3E" w14:textId="5E6FEA4C">
            <w:pPr>
              <w:pStyle w:val="a20"/>
              <w:tabs>
                <w:tab w:val="clear" w:pos="340"/>
              </w:tabs>
              <w:spacing w:before="40" w:after="40" w:line="240" w:lineRule="atLeast"/>
              <w:rPr>
                <w:rFonts w:ascii="Tahoma" w:hAnsi="Tahoma" w:cs="Tahoma"/>
                <w:b/>
                <w:bCs/>
                <w:sz w:val="18"/>
                <w:szCs w:val="18"/>
                <w:rtl/>
              </w:rPr>
            </w:pPr>
            <w:r w:rsidRPr="005C4ABF">
              <w:rPr>
                <w:rFonts w:ascii="Tahoma" w:hAnsi="Tahoma" w:cs="Tahoma"/>
                <w:b/>
                <w:bCs/>
                <w:sz w:val="18"/>
                <w:szCs w:val="18"/>
                <w:rtl/>
              </w:rPr>
              <w:t>2017</w:t>
            </w:r>
          </w:p>
        </w:tc>
        <w:tc>
          <w:tcPr>
            <w:tcW w:w="0" w:type="auto"/>
            <w:tcBorders>
              <w:top w:val="single" w:sz="8" w:space="0" w:color="auto"/>
              <w:bottom w:val="single" w:sz="4" w:space="0" w:color="auto"/>
            </w:tcBorders>
            <w:shd w:val="clear" w:color="auto" w:fill="C6D9F1"/>
          </w:tcPr>
          <w:p w:rsidR="001F4C93" w:rsidRPr="005C4ABF" w:rsidP="006C5FF5" w14:paraId="5665D39F" w14:textId="73AEF100">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2019</w:t>
            </w:r>
          </w:p>
        </w:tc>
      </w:tr>
      <w:tr w14:paraId="2A1EA05A" w14:textId="77777777" w:rsidTr="00A8502C">
        <w:tblPrEx>
          <w:tblW w:w="8222" w:type="dxa"/>
          <w:jc w:val="center"/>
          <w:tblLook w:val="04A0"/>
        </w:tblPrEx>
        <w:trPr>
          <w:jc w:val="center"/>
        </w:trPr>
        <w:tc>
          <w:tcPr>
            <w:tcW w:w="0" w:type="auto"/>
            <w:vMerge/>
            <w:tcBorders>
              <w:bottom w:val="single" w:sz="8" w:space="0" w:color="auto"/>
            </w:tcBorders>
            <w:shd w:val="clear" w:color="auto" w:fill="C6D9F1"/>
          </w:tcPr>
          <w:p w:rsidR="001F4C93" w:rsidRPr="005C4ABF" w:rsidP="006C5FF5" w14:paraId="59B3200C" w14:textId="77777777">
            <w:pPr>
              <w:pStyle w:val="a20"/>
              <w:tabs>
                <w:tab w:val="clear" w:pos="340"/>
              </w:tabs>
              <w:spacing w:before="40" w:after="40" w:line="240" w:lineRule="atLeast"/>
              <w:jc w:val="left"/>
              <w:rPr>
                <w:rFonts w:ascii="Tahoma" w:hAnsi="Tahoma" w:eastAsiaTheme="minorHAnsi" w:cs="Tahoma"/>
                <w:color w:val="auto"/>
                <w:sz w:val="24"/>
                <w:szCs w:val="24"/>
              </w:rPr>
            </w:pPr>
          </w:p>
        </w:tc>
        <w:tc>
          <w:tcPr>
            <w:tcW w:w="0" w:type="auto"/>
            <w:tcBorders>
              <w:top w:val="single" w:sz="4" w:space="0" w:color="auto"/>
              <w:bottom w:val="single" w:sz="8" w:space="0" w:color="auto"/>
            </w:tcBorders>
            <w:shd w:val="clear" w:color="auto" w:fill="C6D9F1"/>
          </w:tcPr>
          <w:p w:rsidR="001F4C93" w:rsidRPr="005C4ABF" w:rsidP="006C5FF5" w14:paraId="47E147B2"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נתון מדווח</w:t>
            </w:r>
          </w:p>
        </w:tc>
        <w:tc>
          <w:tcPr>
            <w:tcW w:w="0" w:type="auto"/>
            <w:tcBorders>
              <w:top w:val="single" w:sz="4" w:space="0" w:color="auto"/>
              <w:bottom w:val="single" w:sz="8" w:space="0" w:color="auto"/>
            </w:tcBorders>
            <w:shd w:val="clear" w:color="auto" w:fill="C6D9F1"/>
          </w:tcPr>
          <w:p w:rsidR="001F4C93" w:rsidRPr="005C4ABF" w:rsidP="006C5FF5" w14:paraId="2888619D"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נתון מבוקר*</w:t>
            </w:r>
          </w:p>
        </w:tc>
        <w:tc>
          <w:tcPr>
            <w:tcW w:w="0" w:type="auto"/>
            <w:tcBorders>
              <w:top w:val="single" w:sz="4" w:space="0" w:color="auto"/>
              <w:bottom w:val="single" w:sz="8" w:space="0" w:color="auto"/>
            </w:tcBorders>
            <w:shd w:val="clear" w:color="auto" w:fill="C6D9F1"/>
          </w:tcPr>
          <w:p w:rsidR="001F4C93" w:rsidRPr="005C4ABF" w:rsidP="006C5FF5" w14:paraId="131597BC"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נתון מדווח</w:t>
            </w:r>
          </w:p>
        </w:tc>
        <w:tc>
          <w:tcPr>
            <w:tcW w:w="0" w:type="auto"/>
            <w:tcBorders>
              <w:top w:val="single" w:sz="4" w:space="0" w:color="auto"/>
              <w:bottom w:val="single" w:sz="8" w:space="0" w:color="auto"/>
            </w:tcBorders>
            <w:shd w:val="clear" w:color="auto" w:fill="C6D9F1"/>
          </w:tcPr>
          <w:p w:rsidR="001F4C93" w:rsidRPr="005C4ABF" w:rsidP="006C5FF5" w14:paraId="3E6AB6A7"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נתון מבוקר</w:t>
            </w:r>
          </w:p>
        </w:tc>
        <w:tc>
          <w:tcPr>
            <w:tcW w:w="0" w:type="auto"/>
            <w:tcBorders>
              <w:top w:val="single" w:sz="4" w:space="0" w:color="auto"/>
              <w:bottom w:val="single" w:sz="8" w:space="0" w:color="auto"/>
            </w:tcBorders>
            <w:shd w:val="clear" w:color="auto" w:fill="C6D9F1"/>
          </w:tcPr>
          <w:p w:rsidR="001F4C93" w:rsidRPr="005C4ABF" w:rsidP="006C5FF5" w14:paraId="1EEDF6B7" w14:textId="77777777">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נתון מדווח</w:t>
            </w:r>
          </w:p>
        </w:tc>
      </w:tr>
      <w:tr w14:paraId="03EA2936" w14:textId="77777777" w:rsidTr="001F4C93">
        <w:tblPrEx>
          <w:tblW w:w="8222" w:type="dxa"/>
          <w:jc w:val="center"/>
          <w:tblLook w:val="04A0"/>
        </w:tblPrEx>
        <w:trPr>
          <w:jc w:val="center"/>
        </w:trPr>
        <w:tc>
          <w:tcPr>
            <w:tcW w:w="0" w:type="auto"/>
            <w:tcBorders>
              <w:top w:val="single" w:sz="8" w:space="0" w:color="auto"/>
            </w:tcBorders>
          </w:tcPr>
          <w:p w:rsidR="005C4ABF" w:rsidRPr="005C4ABF" w:rsidP="006C5FF5" w14:paraId="73FA5650"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מיחזוריות</w:t>
            </w:r>
          </w:p>
        </w:tc>
        <w:tc>
          <w:tcPr>
            <w:tcW w:w="0" w:type="auto"/>
            <w:tcBorders>
              <w:top w:val="single" w:sz="8" w:space="0" w:color="auto"/>
            </w:tcBorders>
          </w:tcPr>
          <w:p w:rsidR="005C4ABF" w:rsidRPr="005C4ABF" w:rsidP="006C5FF5" w14:paraId="65CE2F0D"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41%</w:t>
            </w:r>
          </w:p>
        </w:tc>
        <w:tc>
          <w:tcPr>
            <w:tcW w:w="0" w:type="auto"/>
            <w:tcBorders>
              <w:top w:val="single" w:sz="8" w:space="0" w:color="auto"/>
            </w:tcBorders>
          </w:tcPr>
          <w:p w:rsidR="005C4ABF" w:rsidRPr="005C4ABF" w:rsidP="006C5FF5" w14:paraId="31EFE67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60%</w:t>
            </w:r>
          </w:p>
        </w:tc>
        <w:tc>
          <w:tcPr>
            <w:tcW w:w="0" w:type="auto"/>
            <w:tcBorders>
              <w:top w:val="single" w:sz="8" w:space="0" w:color="auto"/>
            </w:tcBorders>
          </w:tcPr>
          <w:p w:rsidR="005C4ABF" w:rsidRPr="005C4ABF" w:rsidP="006C5FF5" w14:paraId="5B68DD1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41%</w:t>
            </w:r>
          </w:p>
        </w:tc>
        <w:tc>
          <w:tcPr>
            <w:tcW w:w="0" w:type="auto"/>
            <w:tcBorders>
              <w:top w:val="single" w:sz="8" w:space="0" w:color="auto"/>
            </w:tcBorders>
          </w:tcPr>
          <w:p w:rsidR="005C4ABF" w:rsidRPr="005C4ABF" w:rsidP="006C5FF5" w14:paraId="60F672E0"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42%</w:t>
            </w:r>
          </w:p>
        </w:tc>
        <w:tc>
          <w:tcPr>
            <w:tcW w:w="0" w:type="auto"/>
            <w:tcBorders>
              <w:top w:val="single" w:sz="8" w:space="0" w:color="auto"/>
            </w:tcBorders>
          </w:tcPr>
          <w:p w:rsidR="005C4ABF" w:rsidRPr="005C4ABF" w:rsidP="006C5FF5" w14:paraId="69A1EC11"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33%</w:t>
            </w:r>
          </w:p>
        </w:tc>
      </w:tr>
      <w:tr w14:paraId="38850C5A" w14:textId="77777777" w:rsidTr="001F4C93">
        <w:tblPrEx>
          <w:tblW w:w="8222" w:type="dxa"/>
          <w:jc w:val="center"/>
          <w:tblLook w:val="04A0"/>
        </w:tblPrEx>
        <w:trPr>
          <w:jc w:val="center"/>
        </w:trPr>
        <w:tc>
          <w:tcPr>
            <w:tcW w:w="0" w:type="auto"/>
          </w:tcPr>
          <w:p w:rsidR="005C4ABF" w:rsidRPr="005C4ABF" w:rsidP="006C5FF5" w14:paraId="493BB8B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פח כתום</w:t>
            </w:r>
          </w:p>
        </w:tc>
        <w:tc>
          <w:tcPr>
            <w:tcW w:w="0" w:type="auto"/>
          </w:tcPr>
          <w:p w:rsidR="005C4ABF" w:rsidRPr="005C4ABF" w:rsidP="006C5FF5" w14:paraId="1329EB8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w:t>
            </w:r>
          </w:p>
        </w:tc>
        <w:tc>
          <w:tcPr>
            <w:tcW w:w="0" w:type="auto"/>
          </w:tcPr>
          <w:p w:rsidR="005C4ABF" w:rsidRPr="005C4ABF" w:rsidP="006C5FF5" w14:paraId="4A3D1925"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6%</w:t>
            </w:r>
          </w:p>
        </w:tc>
        <w:tc>
          <w:tcPr>
            <w:tcW w:w="0" w:type="auto"/>
          </w:tcPr>
          <w:p w:rsidR="005C4ABF" w:rsidRPr="005C4ABF" w:rsidP="006C5FF5" w14:paraId="24FA736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w:t>
            </w:r>
          </w:p>
        </w:tc>
        <w:tc>
          <w:tcPr>
            <w:tcW w:w="0" w:type="auto"/>
          </w:tcPr>
          <w:p w:rsidR="005C4ABF" w:rsidRPr="005C4ABF" w:rsidP="006C5FF5" w14:paraId="372979BA"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4%</w:t>
            </w:r>
          </w:p>
        </w:tc>
        <w:tc>
          <w:tcPr>
            <w:tcW w:w="0" w:type="auto"/>
          </w:tcPr>
          <w:p w:rsidR="005C4ABF" w:rsidRPr="005C4ABF" w:rsidP="006C5FF5" w14:paraId="4D2FA977"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7%</w:t>
            </w:r>
          </w:p>
        </w:tc>
      </w:tr>
      <w:tr w14:paraId="375087E6" w14:textId="77777777" w:rsidTr="001F4C93">
        <w:tblPrEx>
          <w:tblW w:w="8222" w:type="dxa"/>
          <w:jc w:val="center"/>
          <w:tblLook w:val="04A0"/>
        </w:tblPrEx>
        <w:trPr>
          <w:jc w:val="center"/>
        </w:trPr>
        <w:tc>
          <w:tcPr>
            <w:tcW w:w="0" w:type="auto"/>
          </w:tcPr>
          <w:p w:rsidR="005C4ABF" w:rsidRPr="005C4ABF" w:rsidP="006C5FF5" w14:paraId="6337B588"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תחנות מעבר</w:t>
            </w:r>
          </w:p>
        </w:tc>
        <w:tc>
          <w:tcPr>
            <w:tcW w:w="0" w:type="auto"/>
          </w:tcPr>
          <w:p w:rsidR="005C4ABF" w:rsidRPr="005C4ABF" w:rsidP="006C5FF5" w14:paraId="6B3BFE4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55%</w:t>
            </w:r>
          </w:p>
        </w:tc>
        <w:tc>
          <w:tcPr>
            <w:tcW w:w="0" w:type="auto"/>
          </w:tcPr>
          <w:p w:rsidR="005C4ABF" w:rsidRPr="005C4ABF" w:rsidP="006C5FF5" w14:paraId="77966B10"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34%</w:t>
            </w:r>
          </w:p>
        </w:tc>
        <w:tc>
          <w:tcPr>
            <w:tcW w:w="0" w:type="auto"/>
          </w:tcPr>
          <w:p w:rsidR="005C4ABF" w:rsidRPr="005C4ABF" w:rsidP="006C5FF5" w14:paraId="6096487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55%</w:t>
            </w:r>
          </w:p>
        </w:tc>
        <w:tc>
          <w:tcPr>
            <w:tcW w:w="0" w:type="auto"/>
          </w:tcPr>
          <w:p w:rsidR="005C4ABF" w:rsidRPr="005C4ABF" w:rsidP="006C5FF5" w14:paraId="0066B641"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53%</w:t>
            </w:r>
          </w:p>
        </w:tc>
        <w:tc>
          <w:tcPr>
            <w:tcW w:w="0" w:type="auto"/>
          </w:tcPr>
          <w:p w:rsidR="005C4ABF" w:rsidRPr="005C4ABF" w:rsidP="006C5FF5" w14:paraId="7F6A97DA"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60%</w:t>
            </w:r>
          </w:p>
        </w:tc>
      </w:tr>
    </w:tbl>
    <w:p w:rsidR="000930B3" w:rsidRPr="00DA075D" w:rsidP="001F4C93" w14:paraId="7F3DC6F0" w14:textId="77777777">
      <w:pPr>
        <w:pStyle w:val="text-source"/>
        <w:spacing w:after="0"/>
        <w:rPr>
          <w:rtl/>
        </w:rPr>
      </w:pPr>
      <w:r w:rsidRPr="00DA075D">
        <w:rPr>
          <w:rtl/>
        </w:rPr>
        <w:t>נתוני 2016 - 2017 על פי דוחות הבקרה לשנים אלה ונתוני 2019 על פי חוות דעת מטעם חברת איסוף א', בעיבוד משרד מבקר המדינה.</w:t>
      </w:r>
    </w:p>
    <w:p w:rsidR="000930B3" w:rsidRPr="00DA075D" w:rsidP="001F4C93" w14:paraId="0005D7FB" w14:textId="77777777">
      <w:pPr>
        <w:pStyle w:val="text-source"/>
        <w:spacing w:before="0"/>
        <w:ind w:left="397" w:hanging="397"/>
        <w:rPr>
          <w:rtl/>
        </w:rPr>
      </w:pPr>
      <w:r w:rsidRPr="00DA075D">
        <w:rPr>
          <w:rtl/>
        </w:rPr>
        <w:t>*</w:t>
      </w:r>
      <w:r w:rsidRPr="00DA075D">
        <w:rPr>
          <w:rtl/>
        </w:rPr>
        <w:tab/>
        <w:t xml:space="preserve">העלייה החדה בשיעור האיסוף </w:t>
      </w:r>
      <w:r w:rsidRPr="00DA075D">
        <w:rPr>
          <w:rtl/>
        </w:rPr>
        <w:t>במיחזוריות</w:t>
      </w:r>
      <w:r w:rsidRPr="00DA075D">
        <w:rPr>
          <w:rtl/>
        </w:rPr>
        <w:t xml:space="preserve"> ובפח הכתום על פי הנתון המבוקר נובעת מכך שבקרת רואי החשבון מטעם המשרד לא הכירה באיסוף של יותר מ-100 מיליון מכלי משקה שדווח שנאספו מתחנות המעבר. </w:t>
      </w:r>
    </w:p>
    <w:p w:rsidR="000930B3" w:rsidRPr="00DA075D" w:rsidP="008E06C5" w14:paraId="7B3B7625" w14:textId="77777777">
      <w:pPr>
        <w:pStyle w:val="RESHET"/>
        <w:rPr>
          <w:rtl/>
        </w:rPr>
      </w:pPr>
      <w:r w:rsidRPr="00DA075D">
        <w:rPr>
          <w:rtl/>
        </w:rPr>
        <w:t xml:space="preserve">מהלוח לעיל עולה כי בהתאם לנתונים המדווחים, השתתפות הציבור באיסוף מכלי משקה גדולים באמצעות </w:t>
      </w:r>
      <w:r w:rsidRPr="00DA075D">
        <w:rPr>
          <w:rtl/>
        </w:rPr>
        <w:t>המיחזוריות</w:t>
      </w:r>
      <w:r w:rsidRPr="00DA075D">
        <w:rPr>
          <w:rtl/>
        </w:rPr>
        <w:t xml:space="preserve"> ירדה מ-41% בשנים 2016 ו-2017 ל-33% ב-2019. השתתפות הציבור באיסוף מכלים באמצעות </w:t>
      </w:r>
      <w:r w:rsidRPr="00DA075D">
        <w:rPr>
          <w:rtl/>
        </w:rPr>
        <w:t>המיחזוריות</w:t>
      </w:r>
      <w:r w:rsidRPr="00DA075D">
        <w:rPr>
          <w:rtl/>
        </w:rPr>
        <w:t xml:space="preserve"> והפח הכתום יחד ירדה מ-45% בשנים 2016 - 2017 ל-40% ב-2019. לעומת זאת, נרשמה עלייה בחילוץ מכלי המשקה מזרם האשפה הממוין בתחנות המעבר מ-55% בשנים 2016 - 2017 ל-60% בשנת 2019. יצוין כי תהליך המעבר מהפינוי </w:t>
      </w:r>
      <w:r w:rsidRPr="00DA075D">
        <w:rPr>
          <w:rtl/>
        </w:rPr>
        <w:t>מהמיחזוריות</w:t>
      </w:r>
      <w:r w:rsidRPr="00DA075D">
        <w:rPr>
          <w:rtl/>
        </w:rPr>
        <w:t xml:space="preserve"> לחילוץ המכלים מתחנות המעבר אינו עולה בקנה אחד עם מטרות חוק האריזות בדבר הפרדת פסולת אריזות מפסולת אחרת. </w:t>
      </w:r>
    </w:p>
    <w:p w:rsidR="000930B3" w:rsidRPr="00D22A15" w:rsidP="005C4ABF" w14:paraId="333071F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בחוק הפיקדון, לא הוטלו מגבלות על מקור האיסוף, ולכן הממונה נאלץ להכיר באיסוף מכלי משקה מכל מקור שהוא. עוד נמסר כי מדובר במצב מצוי ולא במצב רצוי, ולשם ההשוואה, לפי חוק האריזות וחוק פסולת אלקטרונית המנהל לא יכיר בפסולת שלא הופרדה במקור.</w:t>
      </w:r>
    </w:p>
    <w:p w:rsidR="000930B3" w:rsidRPr="00D22A15" w:rsidP="005C4ABF" w14:paraId="6490D03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w:t>
      </w:r>
      <w:r w:rsidRPr="00D22A15">
        <w:rPr>
          <w:rFonts w:ascii="Tahoma" w:hAnsi="Tahoma" w:cs="Tahoma"/>
          <w:sz w:val="20"/>
          <w:szCs w:val="20"/>
          <w:rtl/>
        </w:rPr>
        <w:t>המיחזוריות</w:t>
      </w:r>
      <w:r w:rsidRPr="00D22A15">
        <w:rPr>
          <w:rFonts w:ascii="Tahoma" w:hAnsi="Tahoma" w:cs="Tahoma"/>
          <w:sz w:val="20"/>
          <w:szCs w:val="20"/>
          <w:rtl/>
        </w:rPr>
        <w:t xml:space="preserve"> אינן מטרה אלא אמצעי בלבד. המטרה היא לשפר את איכות הסביבה, </w:t>
      </w:r>
      <w:r w:rsidRPr="00D22A15">
        <w:rPr>
          <w:rFonts w:ascii="Tahoma" w:hAnsi="Tahoma" w:cs="Tahoma"/>
          <w:sz w:val="20"/>
          <w:szCs w:val="20"/>
          <w:rtl/>
        </w:rPr>
        <w:t>והמיחזורית</w:t>
      </w:r>
      <w:r w:rsidRPr="00D22A15">
        <w:rPr>
          <w:rFonts w:ascii="Tahoma" w:hAnsi="Tahoma" w:cs="Tahoma"/>
          <w:sz w:val="20"/>
          <w:szCs w:val="20"/>
          <w:rtl/>
        </w:rPr>
        <w:t xml:space="preserve"> היא רק אמצעי אחד אפשרי. העלייה בחלק האיסוף בתחנות המעבר משקפת תהליך חיובי של השקעת משאבים וכספים, כתוצאה ממימון של חברת איסוף א', בחילוץ מכלי משקה שמושלכים בכל זאת לפחים הירוקים. </w:t>
      </w:r>
    </w:p>
    <w:p w:rsidR="000930B3" w:rsidRPr="00D22A15" w:rsidP="005C4ABF" w14:paraId="228FE23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הגוף המוכר </w:t>
      </w:r>
      <w:r w:rsidRPr="00D22A15">
        <w:rPr>
          <w:rFonts w:ascii="Tahoma" w:hAnsi="Tahoma" w:cs="Tahoma"/>
          <w:sz w:val="20"/>
          <w:szCs w:val="20"/>
          <w:rtl/>
        </w:rPr>
        <w:t>למיחזור</w:t>
      </w:r>
      <w:r w:rsidRPr="00D22A15">
        <w:rPr>
          <w:rFonts w:ascii="Tahoma" w:hAnsi="Tahoma" w:cs="Tahoma"/>
          <w:sz w:val="20"/>
          <w:szCs w:val="20"/>
          <w:rtl/>
        </w:rPr>
        <w:t xml:space="preserve"> האריזות מסר בתגובתו כי על פי נתונים שבידיו, אין ירידה משמעותית באיסוף </w:t>
      </w:r>
      <w:r w:rsidRPr="00D22A15">
        <w:rPr>
          <w:rFonts w:ascii="Tahoma" w:hAnsi="Tahoma" w:cs="Tahoma"/>
          <w:sz w:val="20"/>
          <w:szCs w:val="20"/>
          <w:rtl/>
        </w:rPr>
        <w:t>מהמיחזוריות</w:t>
      </w:r>
      <w:r w:rsidRPr="00D22A15">
        <w:rPr>
          <w:rFonts w:ascii="Tahoma" w:hAnsi="Tahoma" w:cs="Tahoma"/>
          <w:sz w:val="20"/>
          <w:szCs w:val="20"/>
          <w:rtl/>
        </w:rPr>
        <w:t xml:space="preserve"> ומהפח הכתום יחדיו.</w:t>
      </w:r>
    </w:p>
    <w:p w:rsidR="000930B3" w:rsidRPr="00DA075D" w:rsidP="008E06C5" w14:paraId="04E6E9FF" w14:textId="77777777">
      <w:pPr>
        <w:pStyle w:val="RESHET"/>
        <w:rPr>
          <w:rtl/>
        </w:rPr>
      </w:pPr>
      <w:r w:rsidRPr="00DA075D">
        <w:rPr>
          <w:rtl/>
        </w:rPr>
        <w:t xml:space="preserve">מבקר המדינה ממליץ שאם המשרד </w:t>
      </w:r>
      <w:r w:rsidRPr="00DA075D">
        <w:rPr>
          <w:rtl/>
        </w:rPr>
        <w:t>להגנ"ס</w:t>
      </w:r>
      <w:r w:rsidRPr="00DA075D">
        <w:rPr>
          <w:rtl/>
        </w:rPr>
        <w:t xml:space="preserve"> סבור כי נדרשת הסדרה של מגבלות על מקור האיסוף למען הגנת הסביבה, עליו לפעול לקידומן.</w:t>
      </w:r>
    </w:p>
    <w:p w:rsidR="000930B3" w:rsidRPr="00DA075D" w:rsidP="00DB519D" w14:paraId="29AB9914" w14:textId="77777777">
      <w:pPr>
        <w:pStyle w:val="3"/>
        <w:rPr>
          <w:rtl/>
        </w:rPr>
      </w:pPr>
      <w:r w:rsidRPr="00DA075D">
        <w:rPr>
          <w:rtl/>
        </w:rPr>
        <w:t xml:space="preserve">היערכות המשרד </w:t>
      </w:r>
      <w:r w:rsidRPr="00DA075D">
        <w:rPr>
          <w:rtl/>
        </w:rPr>
        <w:t>להגנ"ס</w:t>
      </w:r>
      <w:r w:rsidRPr="00DA075D">
        <w:rPr>
          <w:rtl/>
        </w:rPr>
        <w:t xml:space="preserve"> בשנים 2010 - 2015 ליישום חוק הפיקדון בעניין מכלי משקה גדולים</w:t>
      </w:r>
    </w:p>
    <w:p w:rsidR="000930B3" w:rsidRPr="00D22A15" w:rsidP="005C4ABF" w14:paraId="371C6C0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בדברי ההסבר לתיקון חוק הפיקדון</w:t>
      </w:r>
      <w:r>
        <w:rPr>
          <w:rFonts w:ascii="Tahoma" w:hAnsi="Tahoma" w:cs="Tahoma"/>
          <w:sz w:val="20"/>
          <w:szCs w:val="20"/>
          <w:vertAlign w:val="superscript"/>
          <w:rtl/>
        </w:rPr>
        <w:footnoteReference w:id="67"/>
      </w:r>
      <w:r w:rsidRPr="00D22A15">
        <w:rPr>
          <w:rFonts w:ascii="Tahoma" w:hAnsi="Tahoma" w:cs="Tahoma"/>
          <w:sz w:val="20"/>
          <w:szCs w:val="20"/>
          <w:rtl/>
        </w:rPr>
        <w:t xml:space="preserve"> צוין כי הרחבת תחולתן של הוראות החוק גם למכלי משקה גדולים, בנפח של 1.5 ליטר ועד 5 ליטרים, "תביא לתועלת כלכלית למשק, זאת מאחר שיותר מכלי משקה ימוחזרו (והחומר הממוחזר הוא בעל ערך כלכלי), וכן תיחסך עלות ההטמנה של פסולת נוספת ועלות הניקוי של שטחים פתוחים". </w:t>
      </w:r>
    </w:p>
    <w:p w:rsidR="000930B3" w:rsidRPr="00D22A15" w:rsidP="005C4ABF" w14:paraId="5868571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בינואר 2010, ימים מספר לפני אישור התיקון לחוק הפיקדון בקריאה השנייה והשלישית, נחתם הסכם ל"תוכנית פעולה לאיסוף מכלי משקה גדולים על ידי יצרני ויבואני משקאות" (להלן - תוכנית הפעולה) בין השר </w:t>
      </w:r>
      <w:r w:rsidRPr="00D22A15">
        <w:rPr>
          <w:rFonts w:ascii="Tahoma" w:hAnsi="Tahoma" w:cs="Tahoma"/>
          <w:sz w:val="20"/>
          <w:szCs w:val="20"/>
          <w:rtl/>
        </w:rPr>
        <w:t>להגנ"ס</w:t>
      </w:r>
      <w:r w:rsidRPr="00D22A15">
        <w:rPr>
          <w:rFonts w:ascii="Tahoma" w:hAnsi="Tahoma" w:cs="Tahoma"/>
          <w:sz w:val="20"/>
          <w:szCs w:val="20"/>
          <w:rtl/>
        </w:rPr>
        <w:t xml:space="preserve"> דאז לבין נציגי ארבע חברות גדולות לייצור משקאות ויבוא משקאות וחברת איסוף א'. בתוכנית הפעולה פורטו הפעולות העיקריות שנדרשו היצרנים והיבואנים לבצע עד סוף 2013 לשם קידום האיסוף </w:t>
      </w:r>
      <w:r w:rsidRPr="00D22A15">
        <w:rPr>
          <w:rFonts w:ascii="Tahoma" w:hAnsi="Tahoma" w:cs="Tahoma"/>
          <w:sz w:val="20"/>
          <w:szCs w:val="20"/>
          <w:rtl/>
        </w:rPr>
        <w:t>והמיחזור</w:t>
      </w:r>
      <w:r w:rsidRPr="00D22A15">
        <w:rPr>
          <w:rFonts w:ascii="Tahoma" w:hAnsi="Tahoma" w:cs="Tahoma"/>
          <w:sz w:val="20"/>
          <w:szCs w:val="20"/>
          <w:rtl/>
        </w:rPr>
        <w:t xml:space="preserve"> של מכלי המשקה הגדולים כדי שיעמדו ביעדי החוק עד ינואר 2014. הם התחייבו לעמוד ביעדי ביניים של איסוף בשיעורים שנקבעו לשנים 2010 - 2013, לממן את כל הפעילות הנדרשת לאיסוף </w:t>
      </w:r>
      <w:r w:rsidRPr="00D22A15">
        <w:rPr>
          <w:rFonts w:ascii="Tahoma" w:hAnsi="Tahoma" w:cs="Tahoma"/>
          <w:sz w:val="20"/>
          <w:szCs w:val="20"/>
          <w:rtl/>
        </w:rPr>
        <w:t>ולמיחזור</w:t>
      </w:r>
      <w:r w:rsidRPr="00D22A15">
        <w:rPr>
          <w:rFonts w:ascii="Tahoma" w:hAnsi="Tahoma" w:cs="Tahoma"/>
          <w:sz w:val="20"/>
          <w:szCs w:val="20"/>
          <w:rtl/>
        </w:rPr>
        <w:t xml:space="preserve">, להמשיך בהצבת </w:t>
      </w:r>
      <w:r w:rsidRPr="00D22A15">
        <w:rPr>
          <w:rFonts w:ascii="Tahoma" w:hAnsi="Tahoma" w:cs="Tahoma"/>
          <w:sz w:val="20"/>
          <w:szCs w:val="20"/>
          <w:rtl/>
        </w:rPr>
        <w:t>מיחזוריות</w:t>
      </w:r>
      <w:r w:rsidRPr="00D22A15">
        <w:rPr>
          <w:rFonts w:ascii="Tahoma" w:hAnsi="Tahoma" w:cs="Tahoma"/>
          <w:sz w:val="20"/>
          <w:szCs w:val="20"/>
          <w:rtl/>
        </w:rPr>
        <w:t xml:space="preserve"> ובתפעולן, להשקיע משאבים בהסברה ובהגברת מודעות הציבור ובניקיון רשות הרבים וכן לדווח לממונה על ביצוע כל הפעולות הנוספות במועדים ובדרכים שיקבע. </w:t>
      </w:r>
    </w:p>
    <w:p w:rsidR="000930B3" w:rsidRPr="00D22A15" w:rsidP="005C4ABF" w14:paraId="35E25A2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המשרד </w:t>
      </w:r>
      <w:r w:rsidRPr="00D22A15">
        <w:rPr>
          <w:rFonts w:ascii="Tahoma" w:hAnsi="Tahoma" w:cs="Tahoma"/>
          <w:sz w:val="20"/>
          <w:szCs w:val="20"/>
          <w:rtl/>
        </w:rPr>
        <w:t>להגנ"ס</w:t>
      </w:r>
      <w:r w:rsidRPr="00D22A15">
        <w:rPr>
          <w:rFonts w:ascii="Tahoma" w:hAnsi="Tahoma" w:cs="Tahoma"/>
          <w:sz w:val="20"/>
          <w:szCs w:val="20"/>
          <w:rtl/>
        </w:rPr>
        <w:t xml:space="preserve"> קיבל דיווחים שנתיים על התקדמות בפריסת </w:t>
      </w:r>
      <w:r w:rsidRPr="00D22A15">
        <w:rPr>
          <w:rFonts w:ascii="Tahoma" w:hAnsi="Tahoma" w:cs="Tahoma"/>
          <w:sz w:val="20"/>
          <w:szCs w:val="20"/>
          <w:rtl/>
        </w:rPr>
        <w:t>המיחזוריות</w:t>
      </w:r>
      <w:r w:rsidRPr="00D22A15">
        <w:rPr>
          <w:rFonts w:ascii="Tahoma" w:hAnsi="Tahoma" w:cs="Tahoma"/>
          <w:sz w:val="20"/>
          <w:szCs w:val="20"/>
          <w:rtl/>
        </w:rPr>
        <w:t xml:space="preserve">, קמפיינים פרסומיים ואיסוף שבוצע. </w:t>
      </w:r>
    </w:p>
    <w:p w:rsidR="000930B3" w:rsidRPr="00DA075D" w:rsidP="008E06C5" w14:paraId="47A8B473" w14:textId="77777777">
      <w:pPr>
        <w:pStyle w:val="RESHET"/>
        <w:rPr>
          <w:rtl/>
        </w:rPr>
      </w:pPr>
      <w:r w:rsidRPr="00DA075D">
        <w:rPr>
          <w:rtl/>
        </w:rPr>
        <w:t xml:space="preserve">הביקורת העלתה כי הממונה לא קבע מועדים ודרכים לדיווח היצרנים והיבואנים על פעולות לאיסוף מכלי משקה גדולים כפי שפורטו בתוכנית הפעולה. במשרד </w:t>
      </w:r>
      <w:r w:rsidRPr="00DA075D">
        <w:rPr>
          <w:rtl/>
        </w:rPr>
        <w:t>להגנ"ס</w:t>
      </w:r>
      <w:r w:rsidRPr="00DA075D">
        <w:rPr>
          <w:rtl/>
        </w:rPr>
        <w:t xml:space="preserve"> לא נמצאו אסמכתאות למעקב על יישום התחייבויות היצרנים והיבואנים בתוכנית הפעולה ועל בחינת דיווחים כאמור. </w:t>
      </w:r>
    </w:p>
    <w:p w:rsidR="000930B3" w:rsidRPr="00DA075D" w:rsidP="00A07626" w14:paraId="2E1F8169" w14:textId="77777777">
      <w:pPr>
        <w:pStyle w:val="4"/>
        <w:rPr>
          <w:rtl/>
        </w:rPr>
      </w:pPr>
      <w:r w:rsidRPr="00DA075D">
        <w:rPr>
          <w:rtl/>
        </w:rPr>
        <w:t xml:space="preserve">פריסת תשתית איסוף - </w:t>
      </w:r>
      <w:r w:rsidRPr="00DA075D">
        <w:rPr>
          <w:rtl/>
        </w:rPr>
        <w:t>מיחזוריות</w:t>
      </w:r>
    </w:p>
    <w:p w:rsidR="000930B3" w:rsidRPr="00D22A15" w:rsidP="005C4ABF" w14:paraId="09B466A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תוכנית הפעולה נדרשו היצרנים והיבואנים להגיע ליעד של 20,000 </w:t>
      </w:r>
      <w:r w:rsidRPr="00D22A15">
        <w:rPr>
          <w:rFonts w:ascii="Tahoma" w:hAnsi="Tahoma" w:cs="Tahoma"/>
          <w:sz w:val="20"/>
          <w:szCs w:val="20"/>
          <w:rtl/>
        </w:rPr>
        <w:t>מיחזוריות</w:t>
      </w:r>
      <w:r w:rsidRPr="00D22A15">
        <w:rPr>
          <w:rFonts w:ascii="Tahoma" w:hAnsi="Tahoma" w:cs="Tahoma"/>
          <w:sz w:val="20"/>
          <w:szCs w:val="20"/>
          <w:rtl/>
        </w:rPr>
        <w:t xml:space="preserve"> בכל רחבי הארץ. כאמור, על פי נתוני חברת איסוף א' מוצבות במועד סיום הביקורת כ-23,000 </w:t>
      </w:r>
      <w:r w:rsidRPr="00D22A15">
        <w:rPr>
          <w:rFonts w:ascii="Tahoma" w:hAnsi="Tahoma" w:cs="Tahoma"/>
          <w:sz w:val="20"/>
          <w:szCs w:val="20"/>
          <w:rtl/>
        </w:rPr>
        <w:t>מיחזוריות</w:t>
      </w:r>
      <w:r w:rsidRPr="00D22A15">
        <w:rPr>
          <w:rFonts w:ascii="Tahoma" w:hAnsi="Tahoma" w:cs="Tahoma"/>
          <w:sz w:val="20"/>
          <w:szCs w:val="20"/>
          <w:rtl/>
        </w:rPr>
        <w:t xml:space="preserve">. </w:t>
      </w:r>
    </w:p>
    <w:p w:rsidR="000930B3" w:rsidRPr="00D22A15" w:rsidP="005C4ABF" w14:paraId="68D1B48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בתוכנית הפעולה התחייבו היצרנים והיבואנים כי פריסת </w:t>
      </w:r>
      <w:r w:rsidRPr="00D22A15">
        <w:rPr>
          <w:rFonts w:ascii="Tahoma" w:hAnsi="Tahoma" w:cs="Tahoma"/>
          <w:sz w:val="20"/>
          <w:szCs w:val="20"/>
          <w:rtl/>
        </w:rPr>
        <w:t>המִיחזוריות</w:t>
      </w:r>
      <w:r w:rsidRPr="00D22A15">
        <w:rPr>
          <w:rFonts w:ascii="Tahoma" w:hAnsi="Tahoma" w:cs="Tahoma"/>
          <w:sz w:val="20"/>
          <w:szCs w:val="20"/>
          <w:rtl/>
        </w:rPr>
        <w:t xml:space="preserve"> תהיה ארצית ואחידה, כפי שייקבע על ידי הממונה.</w:t>
      </w:r>
    </w:p>
    <w:p w:rsidR="000930B3" w:rsidRPr="00DA075D" w:rsidP="008E06C5" w14:paraId="5008A0C6" w14:textId="77777777">
      <w:pPr>
        <w:pStyle w:val="RESHET"/>
        <w:rPr>
          <w:rtl/>
        </w:rPr>
      </w:pPr>
      <w:r w:rsidRPr="00DA075D">
        <w:rPr>
          <w:rtl/>
        </w:rPr>
        <w:t xml:space="preserve">ממסמכי המשרד </w:t>
      </w:r>
      <w:r w:rsidRPr="00DA075D">
        <w:rPr>
          <w:rtl/>
        </w:rPr>
        <w:t>להגנ"ס</w:t>
      </w:r>
      <w:r w:rsidRPr="00DA075D">
        <w:rPr>
          <w:rtl/>
        </w:rPr>
        <w:t xml:space="preserve"> עולה כי בשנת 2010 ערך המשרד סקירה של מיקומי </w:t>
      </w:r>
      <w:r w:rsidRPr="00DA075D">
        <w:rPr>
          <w:rtl/>
        </w:rPr>
        <w:t>המיחזוריות</w:t>
      </w:r>
      <w:r w:rsidRPr="00DA075D">
        <w:rPr>
          <w:rtl/>
        </w:rPr>
        <w:t xml:space="preserve"> שהיו מוצבות באותו מועד בחתך של רשויות מקומיות. עם זאת, נמסר מהמשרד במהלך הביקורת כי לא קבע כללי דיווח לגבי פריסת </w:t>
      </w:r>
      <w:r w:rsidRPr="00DA075D">
        <w:rPr>
          <w:rtl/>
        </w:rPr>
        <w:t>המיחזוריות</w:t>
      </w:r>
      <w:r w:rsidRPr="00DA075D">
        <w:rPr>
          <w:rtl/>
        </w:rPr>
        <w:t xml:space="preserve"> שנוספו מאותה שנה ואילך ואין לו מידע בעניין.</w:t>
      </w:r>
    </w:p>
    <w:p w:rsidR="000930B3" w:rsidRPr="00D22A15" w:rsidP="005C4ABF" w14:paraId="760CA91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לאחר תחילת הטלת הפיקדון על מכלי משקה גדולים לא יידרש המשך איסוף באמצעות </w:t>
      </w:r>
      <w:r w:rsidRPr="00D22A15">
        <w:rPr>
          <w:rFonts w:ascii="Tahoma" w:hAnsi="Tahoma" w:cs="Tahoma"/>
          <w:sz w:val="20"/>
          <w:szCs w:val="20"/>
          <w:rtl/>
        </w:rPr>
        <w:t>מיחזוריות</w:t>
      </w:r>
      <w:r w:rsidRPr="00D22A15">
        <w:rPr>
          <w:rFonts w:ascii="Tahoma" w:hAnsi="Tahoma" w:cs="Tahoma"/>
          <w:sz w:val="20"/>
          <w:szCs w:val="20"/>
          <w:rtl/>
        </w:rPr>
        <w:t xml:space="preserve">. </w:t>
      </w:r>
    </w:p>
    <w:p w:rsidR="000930B3" w:rsidRPr="00DA075D" w:rsidP="008E06C5" w14:paraId="5EBEC28C" w14:textId="77777777">
      <w:pPr>
        <w:pStyle w:val="RESHET"/>
        <w:rPr>
          <w:rtl/>
        </w:rPr>
      </w:pPr>
      <w:r w:rsidRPr="00DA075D">
        <w:rPr>
          <w:rtl/>
        </w:rPr>
        <w:t xml:space="preserve">משרד מבקר המדינה ממליץ למשרד </w:t>
      </w:r>
      <w:r w:rsidRPr="00DA075D">
        <w:rPr>
          <w:rtl/>
        </w:rPr>
        <w:t>להגנ"ס</w:t>
      </w:r>
      <w:r w:rsidRPr="00DA075D">
        <w:rPr>
          <w:rtl/>
        </w:rPr>
        <w:t xml:space="preserve">, כי עד למועד תחולת הפיקדון על מכלים גדולים ופריסתן המקיפה של מכונות אוטומטיות, הוא יוודא שפריסת </w:t>
      </w:r>
      <w:r w:rsidRPr="00DA075D">
        <w:rPr>
          <w:rtl/>
        </w:rPr>
        <w:t>המיחזוריות</w:t>
      </w:r>
      <w:r w:rsidRPr="00DA075D">
        <w:rPr>
          <w:rtl/>
        </w:rPr>
        <w:t xml:space="preserve"> נותנת מענה הולם לדרישה לתשתית ארצית ואחידה ויפעל לפרסמן לציבור.</w:t>
      </w:r>
    </w:p>
    <w:p w:rsidR="000930B3" w:rsidRPr="00DA075D" w:rsidP="00A07626" w14:paraId="573A58E3" w14:textId="77777777">
      <w:pPr>
        <w:pStyle w:val="4"/>
        <w:rPr>
          <w:rtl/>
        </w:rPr>
      </w:pPr>
      <w:r w:rsidRPr="00DA075D">
        <w:rPr>
          <w:rtl/>
        </w:rPr>
        <w:t>הסברה, הגברת מודעות הציבור וניקיון רשות הרבים</w:t>
      </w:r>
    </w:p>
    <w:p w:rsidR="000930B3" w:rsidRPr="00D22A15" w:rsidP="005C4ABF" w14:paraId="7470E91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בתוכנית הפעולה נקבע כי על היצרנים והיבואנים להשקיע בשנים 2010 - 2013 סכום של לפחות 16 מיליון ש"ח בפעילויות חינוך והסברה להעלאת המודעות הציבורית </w:t>
      </w:r>
      <w:r w:rsidRPr="00D22A15">
        <w:rPr>
          <w:rFonts w:ascii="Tahoma" w:hAnsi="Tahoma" w:cs="Tahoma"/>
          <w:sz w:val="20"/>
          <w:szCs w:val="20"/>
          <w:rtl/>
        </w:rPr>
        <w:t>למיחזור</w:t>
      </w:r>
      <w:r w:rsidRPr="00D22A15">
        <w:rPr>
          <w:rFonts w:ascii="Tahoma" w:hAnsi="Tahoma" w:cs="Tahoma"/>
          <w:sz w:val="20"/>
          <w:szCs w:val="20"/>
          <w:rtl/>
        </w:rPr>
        <w:t xml:space="preserve"> מכלי משקה ולניקיון רשות הרבים. הניקיון יתבצע על פי תוכנית עבודה שנתית שתתואם עם הממונה, תוך דגש על שטחים פתוחים בפריפריה. </w:t>
      </w:r>
    </w:p>
    <w:p w:rsidR="000930B3" w:rsidRPr="00D22A15" w:rsidP="005C4ABF" w14:paraId="2AABBF8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היא הגישה למשרד </w:t>
      </w:r>
      <w:r w:rsidRPr="00D22A15">
        <w:rPr>
          <w:rFonts w:ascii="Tahoma" w:hAnsi="Tahoma" w:cs="Tahoma"/>
          <w:sz w:val="20"/>
          <w:szCs w:val="20"/>
          <w:rtl/>
        </w:rPr>
        <w:t>להגנ"ס</w:t>
      </w:r>
      <w:r w:rsidRPr="00D22A15">
        <w:rPr>
          <w:rFonts w:ascii="Tahoma" w:hAnsi="Tahoma" w:cs="Tahoma"/>
          <w:sz w:val="20"/>
          <w:szCs w:val="20"/>
          <w:rtl/>
        </w:rPr>
        <w:t xml:space="preserve"> פרטים על תוכניות ההסברה השנתיות שלה.</w:t>
      </w:r>
    </w:p>
    <w:p w:rsidR="000930B3" w:rsidRPr="00DA075D" w:rsidP="008E06C5" w14:paraId="19E038C0" w14:textId="77777777">
      <w:pPr>
        <w:pStyle w:val="RESHET"/>
        <w:rPr>
          <w:rtl/>
        </w:rPr>
      </w:pPr>
      <w:r w:rsidRPr="00DA075D">
        <w:rPr>
          <w:rtl/>
        </w:rPr>
        <w:t xml:space="preserve">הביקורת העלתה כי המשרד </w:t>
      </w:r>
      <w:r w:rsidRPr="00DA075D">
        <w:rPr>
          <w:rtl/>
        </w:rPr>
        <w:t>להגנ"ס</w:t>
      </w:r>
      <w:r w:rsidRPr="00DA075D">
        <w:rPr>
          <w:rtl/>
        </w:rPr>
        <w:t xml:space="preserve"> לא קיים בקרה על תוכנית ההסברה, תקציבה, יעדיה, מטרותיה וביצועה בפועל. כמו כן לא הוכנה במשרד </w:t>
      </w:r>
      <w:r w:rsidRPr="00DA075D">
        <w:rPr>
          <w:rtl/>
        </w:rPr>
        <w:t>להגנ"ס</w:t>
      </w:r>
      <w:r w:rsidRPr="00DA075D">
        <w:rPr>
          <w:rtl/>
        </w:rPr>
        <w:t xml:space="preserve"> תוכנית עבודה שנתית לניקיון רשות הרבים שתמומן על ידי היצרנים והיבואנים. </w:t>
      </w:r>
    </w:p>
    <w:p w:rsidR="000930B3" w:rsidRPr="00D22A15" w:rsidP="005C4ABF" w14:paraId="49EDDDE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 הנהיג בקרה יזומה על מימוש מחויבויות היצרנים והיבואנים על פי תוכנית הפעולה בכל הקשור להסברה ולפעילויות לניקיון רשות הרבים. </w:t>
      </w:r>
    </w:p>
    <w:p w:rsidR="000930B3" w:rsidRPr="00D22A15" w:rsidP="005C4ABF" w14:paraId="456639E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ממועד החתימה על תוכנית הפעולה ב-2010 ועד 2019 השקיעה החברה כ-45 מיליון ש"ח בפרסום ובהסברה. </w:t>
      </w:r>
    </w:p>
    <w:p w:rsidR="000930B3" w:rsidRPr="00DA075D" w:rsidP="008E06C5" w14:paraId="7DC78CEE" w14:textId="77777777">
      <w:pPr>
        <w:pStyle w:val="RESHET"/>
        <w:rPr>
          <w:rtl/>
        </w:rPr>
      </w:pPr>
      <w:r w:rsidRPr="00DA075D">
        <w:rPr>
          <w:rtl/>
        </w:rPr>
        <w:t xml:space="preserve">מומלץ כי לצד קיום מבצעי הסברה יבחן המשרד </w:t>
      </w:r>
      <w:r w:rsidRPr="00DA075D">
        <w:rPr>
          <w:rtl/>
        </w:rPr>
        <w:t>להגנ"ס</w:t>
      </w:r>
      <w:r w:rsidRPr="00DA075D">
        <w:rPr>
          <w:rtl/>
        </w:rPr>
        <w:t xml:space="preserve"> קיום מבצעים לניקיון המרחב הציבורי והשטחים הפתוחים באופן עיתי וסדור.</w:t>
      </w:r>
    </w:p>
    <w:p w:rsidR="000930B3" w:rsidRPr="00D22A15" w:rsidP="005C4ABF" w14:paraId="6B76940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הוא מגבש אסטרטגיה לטיפול בניקיון המרחב הציבורי העירוני באמצעות תמיכה ברשויות המקומיות. נוסף על כך מקדם המשרד עם רשות הטבע והגנים, תוכנית לשמירה על הניקיון בשטחים הפתוחים. מטרת האסטרטגיה להביא לשינוי במצב הניקיון במרחב הציבורי באמצעות חינוך הציבור ויצירת שינוי התנהגותי, לדעת המשרד זהו המפתח לשיפור רמת הניקיון במרחב הציבורי, ולא נכון לטפל בבעיה אך ורק באמצעות מבצעי ניקיון שאינם מטפלים בשורש הבעיה אלא רק בתוצאות התנהגות הציבור בנושא. </w:t>
      </w:r>
    </w:p>
    <w:p w:rsidR="000930B3" w:rsidRPr="00DA075D" w:rsidP="00A07626" w14:paraId="3F18A27C" w14:textId="77777777">
      <w:pPr>
        <w:pStyle w:val="4"/>
        <w:rPr>
          <w:rtl/>
        </w:rPr>
      </w:pPr>
      <w:r w:rsidRPr="00DA075D">
        <w:rPr>
          <w:rtl/>
        </w:rPr>
        <w:t>קביעת אומדנים</w:t>
      </w:r>
    </w:p>
    <w:p w:rsidR="000930B3" w:rsidRPr="00D22A15" w:rsidP="005C4ABF" w14:paraId="2F1E4AD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חוק הפיקדון מטיל חובת דיווח על מספר המכלים המשווקים ושיעור המכלים הנאספים והממוחזרים.</w:t>
      </w:r>
    </w:p>
    <w:p w:rsidR="000930B3" w:rsidRPr="00D22A15" w:rsidP="005C4ABF" w14:paraId="3829BAC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לצורך הדיווח על מספר המכלים הגדולים שנאספו, הם נשקלים, ומשקלם הכולל מומר למספר היחידות. המרה זו מחייבת שימוש בבדיקות סטטיסטיות ואומדנים כפי שיפורט להלן.</w:t>
      </w:r>
    </w:p>
    <w:p w:rsidR="000930B3" w:rsidRPr="00D22A15" w:rsidP="005C4ABF" w14:paraId="33EF1F4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האומדנים המרכזיים שמשמשים את חברות האיסוף ואת היצרנים והיבואנים להמרה של משקל החומר הנאסף על ידיהם למספר יחידות מכלי משקה גדולים הם שיעור מכלי המשקה הגדולים </w:t>
      </w:r>
      <w:r w:rsidRPr="00D22A15">
        <w:rPr>
          <w:rFonts w:ascii="Tahoma" w:hAnsi="Tahoma" w:cs="Tahoma"/>
          <w:sz w:val="20"/>
          <w:szCs w:val="20"/>
          <w:rtl/>
        </w:rPr>
        <w:t>במיחזוריות</w:t>
      </w:r>
      <w:r w:rsidRPr="00D22A15">
        <w:rPr>
          <w:rFonts w:ascii="Tahoma" w:hAnsi="Tahoma" w:cs="Tahoma"/>
          <w:sz w:val="20"/>
          <w:szCs w:val="20"/>
          <w:rtl/>
        </w:rPr>
        <w:t xml:space="preserve"> והמשקל הממוצע של מכל משקה גדול ריק.</w:t>
      </w:r>
    </w:p>
    <w:p w:rsidR="000930B3" w:rsidRPr="00DA075D" w:rsidP="008E06C5" w14:paraId="778F254D" w14:textId="77777777">
      <w:pPr>
        <w:pStyle w:val="RESHET"/>
        <w:rPr>
          <w:rtl/>
        </w:rPr>
      </w:pPr>
      <w:r w:rsidRPr="00DA075D">
        <w:rPr>
          <w:rtl/>
        </w:rPr>
        <w:t xml:space="preserve">הביקורת העלתה כי המשרד </w:t>
      </w:r>
      <w:r w:rsidRPr="00DA075D">
        <w:rPr>
          <w:rtl/>
        </w:rPr>
        <w:t>להגנ"ס</w:t>
      </w:r>
      <w:r w:rsidRPr="00DA075D">
        <w:rPr>
          <w:rtl/>
        </w:rPr>
        <w:t xml:space="preserve"> לא הנחה את היצרנים והיבואנים בדבר אופן קביעת האומדנים, כך שכל חברת איסוף מדווחת על אומדנים משלה.</w:t>
      </w:r>
    </w:p>
    <w:p w:rsidR="000930B3" w:rsidRPr="00D22A15" w:rsidP="005C4ABF" w14:paraId="4997049E" w14:textId="77777777">
      <w:pPr>
        <w:pStyle w:val="a5"/>
        <w:spacing w:before="120" w:after="120" w:line="320" w:lineRule="atLeast"/>
        <w:rPr>
          <w:rFonts w:ascii="Tahoma" w:hAnsi="Tahoma" w:cs="Tahoma"/>
          <w:sz w:val="20"/>
          <w:szCs w:val="20"/>
          <w:rtl/>
        </w:rPr>
      </w:pPr>
      <w:r w:rsidRPr="00152F9D">
        <w:rPr>
          <w:rStyle w:val="50"/>
          <w:rFonts w:ascii="Tahoma" w:hAnsi="Tahoma" w:cs="Tahoma"/>
          <w:b/>
          <w:bCs/>
          <w:rtl/>
        </w:rPr>
        <w:t xml:space="preserve">שיעור מכלי משקה גדולים </w:t>
      </w:r>
      <w:r w:rsidRPr="00152F9D">
        <w:rPr>
          <w:rStyle w:val="50"/>
          <w:rFonts w:ascii="Tahoma" w:hAnsi="Tahoma" w:cs="Tahoma"/>
          <w:b/>
          <w:bCs/>
          <w:rtl/>
        </w:rPr>
        <w:t>במיחזוריות</w:t>
      </w:r>
      <w:r w:rsidRPr="00152F9D">
        <w:rPr>
          <w:rStyle w:val="50"/>
          <w:rFonts w:ascii="Tahoma" w:hAnsi="Tahoma" w:cs="Tahoma"/>
          <w:b/>
          <w:bCs/>
          <w:rtl/>
        </w:rPr>
        <w:t>:</w:t>
      </w:r>
      <w:r w:rsidRPr="00D22A15">
        <w:rPr>
          <w:rFonts w:ascii="Tahoma" w:hAnsi="Tahoma" w:cs="Tahoma"/>
          <w:sz w:val="20"/>
          <w:szCs w:val="20"/>
          <w:rtl/>
        </w:rPr>
        <w:t xml:space="preserve"> תקן ישראלי 2221 של מכון התקנים הישראלי (להלן - התקן הישראלי) עוסק בקביעת הרכב פסולת מוצקה באמצעות מיון ידני. מכלי משקה כלולים בתקן כאחת מקטגוריות הפסולת המוגדרות בו (</w:t>
      </w:r>
      <w:r w:rsidRPr="00D22A15">
        <w:rPr>
          <w:rFonts w:ascii="Tahoma" w:hAnsi="Tahoma" w:cs="Tahoma"/>
          <w:sz w:val="20"/>
          <w:szCs w:val="20"/>
        </w:rPr>
        <w:t>Waste Component Categories</w:t>
      </w:r>
      <w:r w:rsidRPr="00D22A15">
        <w:rPr>
          <w:rFonts w:ascii="Tahoma" w:hAnsi="Tahoma" w:cs="Tahoma"/>
          <w:sz w:val="20"/>
          <w:szCs w:val="20"/>
          <w:rtl/>
        </w:rPr>
        <w:t xml:space="preserve">). לפיכך, התקן עשוי לסייע בקביעת אומדן בדבר שיעור המכלים הגדולים </w:t>
      </w:r>
      <w:r w:rsidRPr="00D22A15">
        <w:rPr>
          <w:rFonts w:ascii="Tahoma" w:hAnsi="Tahoma" w:cs="Tahoma"/>
          <w:sz w:val="20"/>
          <w:szCs w:val="20"/>
          <w:rtl/>
        </w:rPr>
        <w:t>במיחזוריות</w:t>
      </w:r>
      <w:r w:rsidRPr="00D22A15">
        <w:rPr>
          <w:rFonts w:ascii="Tahoma" w:hAnsi="Tahoma" w:cs="Tahoma"/>
          <w:sz w:val="20"/>
          <w:szCs w:val="20"/>
          <w:rtl/>
        </w:rPr>
        <w:t xml:space="preserve">. </w:t>
      </w:r>
    </w:p>
    <w:p w:rsidR="000930B3" w:rsidRPr="00D22A15" w:rsidP="005C4ABF" w14:paraId="4198EEC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למיחזוריות</w:t>
      </w:r>
      <w:r w:rsidRPr="00D22A15">
        <w:rPr>
          <w:rFonts w:ascii="Tahoma" w:hAnsi="Tahoma" w:cs="Tahoma"/>
          <w:sz w:val="20"/>
          <w:szCs w:val="20"/>
          <w:rtl/>
        </w:rPr>
        <w:t xml:space="preserve"> הפזורות ברחבי הארץ מושלכים חפצים מפלסטיק שאינם מכלי משקה גדולים, כגון אריזות דטרגנטים - בקבוקי שמפו, סבון, חומרי ניקוי שונים, מכלי משקה קטנים, אריזות חלב ומוצריו, בקבוקי שמן ואף פסולת שקיות ואריזות חד פעמיות שונות. יצוין כי להנחיות המודפסות על גבי </w:t>
      </w:r>
      <w:r w:rsidRPr="00D22A15">
        <w:rPr>
          <w:rFonts w:ascii="Tahoma" w:hAnsi="Tahoma" w:cs="Tahoma"/>
          <w:sz w:val="20"/>
          <w:szCs w:val="20"/>
          <w:rtl/>
        </w:rPr>
        <w:t>מיחזוריות</w:t>
      </w:r>
      <w:r w:rsidRPr="00D22A15">
        <w:rPr>
          <w:rFonts w:ascii="Tahoma" w:hAnsi="Tahoma" w:cs="Tahoma"/>
          <w:sz w:val="20"/>
          <w:szCs w:val="20"/>
          <w:rtl/>
        </w:rPr>
        <w:t xml:space="preserve"> וכן ולהנחיות הגוף המוכר </w:t>
      </w:r>
      <w:r w:rsidRPr="00D22A15">
        <w:rPr>
          <w:rFonts w:ascii="Tahoma" w:hAnsi="Tahoma" w:cs="Tahoma"/>
          <w:sz w:val="20"/>
          <w:szCs w:val="20"/>
          <w:rtl/>
        </w:rPr>
        <w:t>למיחזור</w:t>
      </w:r>
      <w:r w:rsidRPr="00D22A15">
        <w:rPr>
          <w:rFonts w:ascii="Tahoma" w:hAnsi="Tahoma" w:cs="Tahoma"/>
          <w:sz w:val="20"/>
          <w:szCs w:val="20"/>
          <w:rtl/>
        </w:rPr>
        <w:t xml:space="preserve"> אריזות שלפיהן יש להשליך </w:t>
      </w:r>
      <w:r w:rsidRPr="00D22A15">
        <w:rPr>
          <w:rFonts w:ascii="Tahoma" w:hAnsi="Tahoma" w:cs="Tahoma"/>
          <w:sz w:val="20"/>
          <w:szCs w:val="20"/>
          <w:rtl/>
        </w:rPr>
        <w:t>למיחזוריות</w:t>
      </w:r>
      <w:r w:rsidRPr="00D22A15">
        <w:rPr>
          <w:rFonts w:ascii="Tahoma" w:hAnsi="Tahoma" w:cs="Tahoma"/>
          <w:sz w:val="20"/>
          <w:szCs w:val="20"/>
          <w:rtl/>
        </w:rPr>
        <w:t xml:space="preserve"> מכלי משקה גדולים ובקבוקי פלסטיק אחרים</w:t>
      </w:r>
      <w:r>
        <w:rPr>
          <w:rFonts w:ascii="Tahoma" w:hAnsi="Tahoma" w:cs="Tahoma"/>
          <w:sz w:val="20"/>
          <w:szCs w:val="20"/>
          <w:vertAlign w:val="superscript"/>
          <w:rtl/>
        </w:rPr>
        <w:footnoteReference w:id="68"/>
      </w:r>
      <w:r w:rsidRPr="00D22A15">
        <w:rPr>
          <w:rFonts w:ascii="Tahoma" w:hAnsi="Tahoma" w:cs="Tahoma"/>
          <w:sz w:val="20"/>
          <w:szCs w:val="20"/>
          <w:rtl/>
        </w:rPr>
        <w:t xml:space="preserve"> עשויה להיות השפעה מהותית על הרגלי הציבור בכל הקשור להשלכת אריזות שונות </w:t>
      </w:r>
      <w:r w:rsidRPr="00D22A15">
        <w:rPr>
          <w:rFonts w:ascii="Tahoma" w:hAnsi="Tahoma" w:cs="Tahoma"/>
          <w:sz w:val="20"/>
          <w:szCs w:val="20"/>
          <w:rtl/>
        </w:rPr>
        <w:t>למיחזוריות</w:t>
      </w:r>
      <w:r w:rsidRPr="00D22A15">
        <w:rPr>
          <w:rFonts w:ascii="Tahoma" w:hAnsi="Tahoma" w:cs="Tahoma"/>
          <w:sz w:val="20"/>
          <w:szCs w:val="20"/>
          <w:rtl/>
        </w:rPr>
        <w:t xml:space="preserve">. דוגמה להשלכת חפצים שונים </w:t>
      </w:r>
      <w:r w:rsidRPr="00D22A15">
        <w:rPr>
          <w:rFonts w:ascii="Tahoma" w:hAnsi="Tahoma" w:cs="Tahoma"/>
          <w:sz w:val="20"/>
          <w:szCs w:val="20"/>
          <w:rtl/>
        </w:rPr>
        <w:t>למיחזוריות</w:t>
      </w:r>
      <w:r w:rsidRPr="00D22A15">
        <w:rPr>
          <w:rFonts w:ascii="Tahoma" w:hAnsi="Tahoma" w:cs="Tahoma"/>
          <w:sz w:val="20"/>
          <w:szCs w:val="20"/>
          <w:rtl/>
        </w:rPr>
        <w:t xml:space="preserve"> ניתן לראות בתמונה להלן:</w:t>
      </w:r>
    </w:p>
    <w:p w:rsidR="000930B3" w:rsidRPr="00DA075D" w:rsidP="00AD02C3" w14:paraId="6A482EEB" w14:textId="738369F9">
      <w:pPr>
        <w:pStyle w:val="a1"/>
        <w:spacing w:line="320" w:lineRule="atLeast"/>
        <w:rPr>
          <w:rtl/>
        </w:rPr>
      </w:pPr>
      <w:r w:rsidRPr="00D22A15">
        <w:rPr>
          <w:b w:val="0"/>
          <w:bCs w:val="0"/>
          <w:rtl/>
        </w:rPr>
        <w:t xml:space="preserve">תמונה 5: </w:t>
      </w:r>
      <w:r w:rsidRPr="00DA075D">
        <w:rPr>
          <w:rtl/>
        </w:rPr>
        <w:t>מיחזורית</w:t>
      </w:r>
      <w:r w:rsidRPr="00DA075D">
        <w:rPr>
          <w:rtl/>
        </w:rPr>
        <w:t>. בעיגולים אדומים מסומנות אריזות שונות ופסולת שאינן מכלי משקה גדולים</w:t>
      </w:r>
    </w:p>
    <w:p w:rsidR="000930B3" w:rsidRPr="001F4C93" w:rsidP="001F4C93" w14:paraId="6E3CCA21" w14:textId="6B13184B">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391795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5479" name="Picture 288"/>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917950"/>
                    </a:xfrm>
                    <a:prstGeom prst="rect">
                      <a:avLst/>
                    </a:prstGeom>
                  </pic:spPr>
                </pic:pic>
              </a:graphicData>
            </a:graphic>
          </wp:inline>
        </w:drawing>
      </w:r>
    </w:p>
    <w:p w:rsidR="000930B3" w:rsidRPr="00DA075D" w:rsidP="006C5FF5" w14:paraId="2D234F3F" w14:textId="77777777">
      <w:pPr>
        <w:pStyle w:val="text-source"/>
        <w:rPr>
          <w:rtl/>
        </w:rPr>
      </w:pPr>
      <w:r w:rsidRPr="00DA075D">
        <w:rPr>
          <w:rtl/>
        </w:rPr>
        <w:t xml:space="preserve">התמונה צולמה על ידי צוות הביקורת בתל אביב-יפו באוגוסט 2020. </w:t>
      </w:r>
    </w:p>
    <w:p w:rsidR="000930B3" w:rsidRPr="00D22A15" w:rsidP="005C4ABF" w14:paraId="3EA3F61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על פי נתוני האיסוף המבוקרים לשנת 2017 שהוצגו בלוח 5 לעיל, כ-42% מאיסוף מכלי המשקה הגדולים בוצע באמצעות </w:t>
      </w:r>
      <w:r w:rsidRPr="00D22A15">
        <w:rPr>
          <w:rFonts w:ascii="Tahoma" w:hAnsi="Tahoma" w:cs="Tahoma"/>
          <w:sz w:val="20"/>
          <w:szCs w:val="20"/>
          <w:rtl/>
        </w:rPr>
        <w:t>מיחזוריות</w:t>
      </w:r>
      <w:r w:rsidRPr="00D22A15">
        <w:rPr>
          <w:rFonts w:ascii="Tahoma" w:hAnsi="Tahoma" w:cs="Tahoma"/>
          <w:sz w:val="20"/>
          <w:szCs w:val="20"/>
          <w:rtl/>
        </w:rPr>
        <w:t xml:space="preserve">. יצוין גם כי תוספת של 1% בשיעור מכלי משקה </w:t>
      </w:r>
      <w:r w:rsidRPr="00D22A15">
        <w:rPr>
          <w:rFonts w:ascii="Tahoma" w:hAnsi="Tahoma" w:cs="Tahoma"/>
          <w:sz w:val="20"/>
          <w:szCs w:val="20"/>
          <w:rtl/>
        </w:rPr>
        <w:t>במיחזוריות</w:t>
      </w:r>
      <w:r w:rsidRPr="00D22A15">
        <w:rPr>
          <w:rFonts w:ascii="Tahoma" w:hAnsi="Tahoma" w:cs="Tahoma"/>
          <w:sz w:val="20"/>
          <w:szCs w:val="20"/>
          <w:rtl/>
        </w:rPr>
        <w:t xml:space="preserve"> היא תוספת של כ-0.41% (כ-19 מיליון מכלים על פי נתוני 2017) לשיעור האיסוף הכולל באותה שנה. </w:t>
      </w:r>
    </w:p>
    <w:p w:rsidR="000930B3" w:rsidRPr="00D22A15" w:rsidP="005C4ABF" w14:paraId="3324676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אומדנים ששימשו את חברות האיסוף בשנים 2016 - 2017 </w:t>
      </w:r>
      <w:r w:rsidRPr="00D22A15">
        <w:rPr>
          <w:rFonts w:ascii="Tahoma" w:hAnsi="Tahoma" w:cs="Tahoma"/>
          <w:sz w:val="20"/>
          <w:szCs w:val="20"/>
          <w:rtl/>
        </w:rPr>
        <w:t>ואומדן</w:t>
      </w:r>
      <w:r w:rsidRPr="00D22A15">
        <w:rPr>
          <w:rFonts w:ascii="Tahoma" w:hAnsi="Tahoma" w:cs="Tahoma"/>
          <w:sz w:val="20"/>
          <w:szCs w:val="20"/>
          <w:rtl/>
        </w:rPr>
        <w:t xml:space="preserve"> נוסף שנערך בשנת 2018 על ידי עמותה הפועלת להגנת הסביבה (להלן - עמותה א'):</w:t>
      </w:r>
    </w:p>
    <w:p w:rsidR="000930B3" w:rsidRPr="00D22A15" w:rsidP="005C4ABF" w14:paraId="16A0E51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דיווחי חברת איסוף א' למשרד </w:t>
      </w:r>
      <w:r w:rsidRPr="00D22A15">
        <w:rPr>
          <w:rFonts w:ascii="Tahoma" w:hAnsi="Tahoma" w:cs="Tahoma"/>
          <w:sz w:val="20"/>
          <w:szCs w:val="20"/>
          <w:rtl/>
        </w:rPr>
        <w:t>להגנ"ס</w:t>
      </w:r>
      <w:r w:rsidRPr="00D22A15">
        <w:rPr>
          <w:rFonts w:ascii="Tahoma" w:hAnsi="Tahoma" w:cs="Tahoma"/>
          <w:sz w:val="20"/>
          <w:szCs w:val="20"/>
          <w:rtl/>
        </w:rPr>
        <w:t xml:space="preserve">, במחצית הראשונה של שנת 2016 היה שיעור משקלם של מכלי המשקה הגדולים כ-85% ממשקל תכולת </w:t>
      </w:r>
      <w:r w:rsidRPr="00D22A15">
        <w:rPr>
          <w:rFonts w:ascii="Tahoma" w:hAnsi="Tahoma" w:cs="Tahoma"/>
          <w:sz w:val="20"/>
          <w:szCs w:val="20"/>
          <w:rtl/>
        </w:rPr>
        <w:t>המיחזוריות</w:t>
      </w:r>
      <w:r w:rsidRPr="00D22A15">
        <w:rPr>
          <w:rFonts w:ascii="Tahoma" w:hAnsi="Tahoma" w:cs="Tahoma"/>
          <w:sz w:val="20"/>
          <w:szCs w:val="20"/>
          <w:rtl/>
        </w:rPr>
        <w:t xml:space="preserve">. במחצית השנייה של אותה שנה עמד שיעור זה על 74.8% ובשנת 2017 על 78.3%. חברת איסוף ב' דיווחה למשרד </w:t>
      </w:r>
      <w:r w:rsidRPr="00D22A15">
        <w:rPr>
          <w:rFonts w:ascii="Tahoma" w:hAnsi="Tahoma" w:cs="Tahoma"/>
          <w:sz w:val="20"/>
          <w:szCs w:val="20"/>
          <w:rtl/>
        </w:rPr>
        <w:t>להגנ"ס</w:t>
      </w:r>
      <w:r w:rsidRPr="00D22A15">
        <w:rPr>
          <w:rFonts w:ascii="Tahoma" w:hAnsi="Tahoma" w:cs="Tahoma"/>
          <w:sz w:val="20"/>
          <w:szCs w:val="20"/>
          <w:rtl/>
        </w:rPr>
        <w:t xml:space="preserve"> כי בשנת 2016 עמד שיעור משקלם של מכלי המשקה הגדולים </w:t>
      </w:r>
      <w:r w:rsidRPr="00D22A15">
        <w:rPr>
          <w:rFonts w:ascii="Tahoma" w:hAnsi="Tahoma" w:cs="Tahoma"/>
          <w:sz w:val="20"/>
          <w:szCs w:val="20"/>
          <w:rtl/>
        </w:rPr>
        <w:t>במיחזוריות</w:t>
      </w:r>
      <w:r w:rsidRPr="00D22A15">
        <w:rPr>
          <w:rFonts w:ascii="Tahoma" w:hAnsi="Tahoma" w:cs="Tahoma"/>
          <w:sz w:val="20"/>
          <w:szCs w:val="20"/>
          <w:rtl/>
        </w:rPr>
        <w:t xml:space="preserve"> על 67.6%.</w:t>
      </w:r>
    </w:p>
    <w:p w:rsidR="000930B3" w:rsidRPr="00D22A15" w:rsidP="005C4ABF" w14:paraId="35808B8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באוקטובר 2018 ערכה עמותה א' סקר לבדיקת הרכב תכולתן של 270 </w:t>
      </w:r>
      <w:r w:rsidRPr="00D22A15">
        <w:rPr>
          <w:rFonts w:ascii="Tahoma" w:hAnsi="Tahoma" w:cs="Tahoma"/>
          <w:sz w:val="20"/>
          <w:szCs w:val="20"/>
          <w:rtl/>
        </w:rPr>
        <w:t>מיחזוריות</w:t>
      </w:r>
      <w:r w:rsidRPr="00D22A15">
        <w:rPr>
          <w:rFonts w:ascii="Tahoma" w:hAnsi="Tahoma" w:cs="Tahoma"/>
          <w:sz w:val="20"/>
          <w:szCs w:val="20"/>
          <w:rtl/>
        </w:rPr>
        <w:t xml:space="preserve"> (להלן - סקר עמותה א'). בסיכום הסקר נכתב כי הוא נערך לפי התקן הישראלי, ונמצא בו ששיעור משקל </w:t>
      </w:r>
      <w:r w:rsidRPr="00D22A15">
        <w:rPr>
          <w:rFonts w:ascii="Tahoma" w:hAnsi="Tahoma" w:cs="Tahoma"/>
          <w:sz w:val="20"/>
          <w:szCs w:val="20"/>
          <w:rtl/>
        </w:rPr>
        <w:t xml:space="preserve">המכלים הגדולים </w:t>
      </w:r>
      <w:r w:rsidRPr="00D22A15">
        <w:rPr>
          <w:rFonts w:ascii="Tahoma" w:hAnsi="Tahoma" w:cs="Tahoma"/>
          <w:sz w:val="20"/>
          <w:szCs w:val="20"/>
          <w:rtl/>
        </w:rPr>
        <w:t>במיחזוריות</w:t>
      </w:r>
      <w:r w:rsidRPr="00D22A15">
        <w:rPr>
          <w:rFonts w:ascii="Tahoma" w:hAnsi="Tahoma" w:cs="Tahoma"/>
          <w:sz w:val="20"/>
          <w:szCs w:val="20"/>
          <w:rtl/>
        </w:rPr>
        <w:t xml:space="preserve"> שנבדקו עמד על כ-61% מהמשקל הכולל של התכולה ומספר המכלים הגדולים היה 67% ממספר המכלים </w:t>
      </w:r>
      <w:r w:rsidRPr="00D22A15">
        <w:rPr>
          <w:rFonts w:ascii="Tahoma" w:hAnsi="Tahoma" w:cs="Tahoma"/>
          <w:sz w:val="20"/>
          <w:szCs w:val="20"/>
          <w:rtl/>
        </w:rPr>
        <w:t>במיחזוריות</w:t>
      </w:r>
      <w:r w:rsidRPr="00D22A15">
        <w:rPr>
          <w:rFonts w:ascii="Tahoma" w:hAnsi="Tahoma" w:cs="Tahoma"/>
          <w:sz w:val="20"/>
          <w:szCs w:val="20"/>
          <w:rtl/>
        </w:rPr>
        <w:t>.</w:t>
      </w:r>
    </w:p>
    <w:p w:rsidR="000930B3" w:rsidRPr="00D22A15" w:rsidP="005C4ABF" w14:paraId="1F7679E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בדצמבר 2018 ציינו רואי החשבון מטעם המשרד בדוח הבקרה לשנת 2017 כי בשנים 2015 - 2017 בוצעו כל הבדיקות של הרכב </w:t>
      </w:r>
      <w:r w:rsidRPr="00D22A15">
        <w:rPr>
          <w:rFonts w:ascii="Tahoma" w:hAnsi="Tahoma" w:cs="Tahoma"/>
          <w:sz w:val="20"/>
          <w:szCs w:val="20"/>
          <w:rtl/>
        </w:rPr>
        <w:t>המיחזוריות</w:t>
      </w:r>
      <w:r w:rsidRPr="00D22A15">
        <w:rPr>
          <w:rFonts w:ascii="Tahoma" w:hAnsi="Tahoma" w:cs="Tahoma"/>
          <w:sz w:val="20"/>
          <w:szCs w:val="20"/>
          <w:rtl/>
        </w:rPr>
        <w:t xml:space="preserve"> מטעם חברת איסוף א' במהלך החודשים יולי-ספטמבר, שהם חודשי הקיץ והחגים שבהם יש צריכה מוגברת של מכלי משקה בכלל ומכלי משקה גדולים בפרט. רואי החשבון המליצו למשרד </w:t>
      </w:r>
      <w:r w:rsidRPr="00D22A15">
        <w:rPr>
          <w:rFonts w:ascii="Tahoma" w:hAnsi="Tahoma" w:cs="Tahoma"/>
          <w:sz w:val="20"/>
          <w:szCs w:val="20"/>
          <w:rtl/>
        </w:rPr>
        <w:t>להגנ"ס</w:t>
      </w:r>
      <w:r w:rsidRPr="00D22A15">
        <w:rPr>
          <w:rFonts w:ascii="Tahoma" w:hAnsi="Tahoma" w:cs="Tahoma"/>
          <w:sz w:val="20"/>
          <w:szCs w:val="20"/>
          <w:rtl/>
        </w:rPr>
        <w:t xml:space="preserve"> לקבל מידע מגורם בלתי תלוי שיכלול דגימות מכל חודשי השנה לצורך קביעת אחוז ההכרה במכלי משקה גדולים.</w:t>
      </w:r>
    </w:p>
    <w:p w:rsidR="000930B3" w:rsidRPr="00D22A15" w:rsidP="005C4ABF" w14:paraId="1F2FC9B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היא אינה נהנית מדיווח יתר על מכלי משקה שנאספים </w:t>
      </w:r>
      <w:r w:rsidRPr="00D22A15">
        <w:rPr>
          <w:rFonts w:ascii="Tahoma" w:hAnsi="Tahoma" w:cs="Tahoma"/>
          <w:sz w:val="20"/>
          <w:szCs w:val="20"/>
          <w:rtl/>
        </w:rPr>
        <w:t>מהמיחזוריות</w:t>
      </w:r>
      <w:r w:rsidRPr="00D22A15">
        <w:rPr>
          <w:rFonts w:ascii="Tahoma" w:hAnsi="Tahoma" w:cs="Tahoma"/>
          <w:sz w:val="20"/>
          <w:szCs w:val="20"/>
          <w:rtl/>
        </w:rPr>
        <w:t xml:space="preserve">, משום שסטטיסטיקאי מומחה בודק באופן שוטף הימצאות פסולת שאינה מכלי משקה </w:t>
      </w:r>
      <w:r w:rsidRPr="00D22A15">
        <w:rPr>
          <w:rFonts w:ascii="Tahoma" w:hAnsi="Tahoma" w:cs="Tahoma"/>
          <w:sz w:val="20"/>
          <w:szCs w:val="20"/>
          <w:rtl/>
        </w:rPr>
        <w:t>במיחזוריות</w:t>
      </w:r>
      <w:r w:rsidRPr="00D22A15">
        <w:rPr>
          <w:rFonts w:ascii="Tahoma" w:hAnsi="Tahoma" w:cs="Tahoma"/>
          <w:sz w:val="20"/>
          <w:szCs w:val="20"/>
          <w:rtl/>
        </w:rPr>
        <w:t xml:space="preserve"> ומחווה את דעתו בנושא שיעור מכלי המשקה הגדולים בחומר הנאסף על בסיס תוצאות דגימות סטטיסטיות.</w:t>
      </w:r>
    </w:p>
    <w:p w:rsidR="000930B3" w:rsidRPr="00DA075D" w:rsidP="008E06C5" w14:paraId="075B5FA9" w14:textId="77777777">
      <w:pPr>
        <w:pStyle w:val="RESHET"/>
        <w:rPr>
          <w:rtl/>
        </w:rPr>
      </w:pPr>
      <w:r w:rsidRPr="00DA075D">
        <w:rPr>
          <w:rtl/>
        </w:rPr>
        <w:t xml:space="preserve">לנוכח העובדה כי שיעור ניכר ממכלי המשקה הגדולים נאסף באמצעות </w:t>
      </w:r>
      <w:r w:rsidRPr="00DA075D">
        <w:rPr>
          <w:rtl/>
        </w:rPr>
        <w:t>המיחזוריות</w:t>
      </w:r>
      <w:r w:rsidRPr="00DA075D">
        <w:rPr>
          <w:rtl/>
        </w:rPr>
        <w:t xml:space="preserve">, מומלץ כי המשרד </w:t>
      </w:r>
      <w:r w:rsidRPr="00DA075D">
        <w:rPr>
          <w:rtl/>
        </w:rPr>
        <w:t>להגנ"ס</w:t>
      </w:r>
      <w:r w:rsidRPr="00DA075D">
        <w:rPr>
          <w:rtl/>
        </w:rPr>
        <w:t xml:space="preserve"> יבצע סקר עצמאי ובלתי תלוי לצורך קביעת </w:t>
      </w:r>
      <w:r w:rsidRPr="00DA075D">
        <w:rPr>
          <w:rtl/>
        </w:rPr>
        <w:t>האומדן</w:t>
      </w:r>
      <w:r w:rsidRPr="00DA075D">
        <w:rPr>
          <w:rtl/>
        </w:rPr>
        <w:t xml:space="preserve"> שלפיו יחושב שיעור מכלי המשקה הגדולים בהן, לשם טיוב הדיווחים. </w:t>
      </w:r>
    </w:p>
    <w:p w:rsidR="000930B3" w:rsidRPr="00D22A15" w:rsidP="005C4ABF" w14:paraId="57717D8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לאור החלת חוק הפיקדון על המכלים הגדולים תתייתר עריכת אומדן לקביעת שיעור מכלי המשקה </w:t>
      </w:r>
      <w:r w:rsidRPr="00D22A15">
        <w:rPr>
          <w:rFonts w:ascii="Tahoma" w:hAnsi="Tahoma" w:cs="Tahoma"/>
          <w:sz w:val="20"/>
          <w:szCs w:val="20"/>
          <w:rtl/>
        </w:rPr>
        <w:t>במיחזוריות</w:t>
      </w:r>
      <w:r w:rsidRPr="00D22A15">
        <w:rPr>
          <w:rFonts w:ascii="Tahoma" w:hAnsi="Tahoma" w:cs="Tahoma"/>
          <w:sz w:val="20"/>
          <w:szCs w:val="20"/>
          <w:rtl/>
        </w:rPr>
        <w:t xml:space="preserve">. </w:t>
      </w:r>
    </w:p>
    <w:p w:rsidR="000930B3" w:rsidRPr="00DA075D" w:rsidP="008E06C5" w14:paraId="37E8B706" w14:textId="77777777">
      <w:pPr>
        <w:pStyle w:val="RESHET"/>
        <w:rPr>
          <w:rtl/>
        </w:rPr>
      </w:pPr>
      <w:r w:rsidRPr="00DA075D">
        <w:rPr>
          <w:rtl/>
        </w:rPr>
        <w:t xml:space="preserve">משרד מבקר המדינה מציין כי ביצוע אומדן בלתי תלוי נחוץ לצורך קביעה מהימנה של שיעור מכלי המשקה הגדולים </w:t>
      </w:r>
      <w:r w:rsidRPr="00DA075D">
        <w:rPr>
          <w:rtl/>
        </w:rPr>
        <w:t>במיחזוריות</w:t>
      </w:r>
      <w:r w:rsidRPr="00DA075D">
        <w:rPr>
          <w:rtl/>
        </w:rPr>
        <w:t xml:space="preserve"> בשנים 2018 - 2020, שלגביהן בדצמבר 2020 טרם קבע הממונה אם הייתה העמידה בשיעור האיסוף שנקבע, וכן לשנת 2021, שבה יימשך האיסוף באמצעות </w:t>
      </w:r>
      <w:r w:rsidRPr="00DA075D">
        <w:rPr>
          <w:rtl/>
        </w:rPr>
        <w:t>המיחזוריות</w:t>
      </w:r>
      <w:r w:rsidRPr="00DA075D">
        <w:rPr>
          <w:rtl/>
        </w:rPr>
        <w:t xml:space="preserve">. </w:t>
      </w:r>
    </w:p>
    <w:p w:rsidR="000930B3" w:rsidRPr="00D22A15" w:rsidP="005C4ABF" w14:paraId="75C23000" w14:textId="77777777">
      <w:pPr>
        <w:pStyle w:val="a5"/>
        <w:spacing w:before="120" w:after="120" w:line="320" w:lineRule="atLeast"/>
        <w:rPr>
          <w:rFonts w:ascii="Tahoma" w:hAnsi="Tahoma" w:cs="Tahoma"/>
          <w:spacing w:val="-2"/>
          <w:w w:val="98"/>
          <w:sz w:val="20"/>
          <w:szCs w:val="20"/>
          <w:rtl/>
        </w:rPr>
      </w:pPr>
      <w:r w:rsidRPr="00152F9D">
        <w:rPr>
          <w:rStyle w:val="50"/>
          <w:rFonts w:ascii="Tahoma" w:hAnsi="Tahoma" w:cs="Tahoma"/>
          <w:b/>
          <w:bCs/>
          <w:spacing w:val="-2"/>
          <w:w w:val="98"/>
          <w:rtl/>
        </w:rPr>
        <w:t>המשקל הממוצע של מכל משקה גדול:</w:t>
      </w:r>
      <w:r w:rsidRPr="00D22A15">
        <w:rPr>
          <w:rFonts w:ascii="Tahoma" w:hAnsi="Tahoma" w:cs="Tahoma"/>
          <w:spacing w:val="-2"/>
          <w:w w:val="98"/>
          <w:sz w:val="20"/>
          <w:szCs w:val="20"/>
          <w:rtl/>
        </w:rPr>
        <w:t xml:space="preserve"> כדי להמיר את משקל מכלי המשקה הנאספים, הן </w:t>
      </w:r>
      <w:r w:rsidRPr="00D22A15">
        <w:rPr>
          <w:rFonts w:ascii="Tahoma" w:hAnsi="Tahoma" w:cs="Tahoma"/>
          <w:spacing w:val="-2"/>
          <w:w w:val="98"/>
          <w:sz w:val="20"/>
          <w:szCs w:val="20"/>
          <w:rtl/>
        </w:rPr>
        <w:t>במיחזוריות</w:t>
      </w:r>
      <w:r w:rsidRPr="00D22A15">
        <w:rPr>
          <w:rFonts w:ascii="Tahoma" w:hAnsi="Tahoma" w:cs="Tahoma"/>
          <w:spacing w:val="-2"/>
          <w:w w:val="98"/>
          <w:sz w:val="20"/>
          <w:szCs w:val="20"/>
          <w:rtl/>
        </w:rPr>
        <w:t xml:space="preserve"> והן בתחנות המעבר, למספר המכלים יש לחלק את משקל כלל המכלים שנאספו במשקל ממוצע של מכל משקה בודד. ככל שמשקל המכל הבודד קטן יותר, מספר המכלים המחושב יהיה גדול יותר. לשם המחשה, </w:t>
      </w:r>
      <w:r w:rsidRPr="00152F9D">
        <w:rPr>
          <w:rStyle w:val="a4"/>
          <w:rFonts w:ascii="Tahoma" w:hAnsi="Tahoma" w:cs="Tahoma"/>
          <w:b/>
          <w:bCs/>
          <w:spacing w:val="-2"/>
          <w:w w:val="98"/>
          <w:sz w:val="20"/>
          <w:szCs w:val="20"/>
          <w:rtl/>
        </w:rPr>
        <w:t>תוספת של גרם אחד בלבד למשקל הממוצע</w:t>
      </w:r>
      <w:r w:rsidRPr="00D22A15">
        <w:rPr>
          <w:rFonts w:ascii="Tahoma" w:hAnsi="Tahoma" w:cs="Tahoma"/>
          <w:spacing w:val="-2"/>
          <w:w w:val="98"/>
          <w:sz w:val="20"/>
          <w:szCs w:val="20"/>
          <w:rtl/>
        </w:rPr>
        <w:t xml:space="preserve"> של מכל המשקה ב-2017 הייתה מקטינה את המספר המחושב של המכלים שנאספו ביותר מ-10 מיליון מכלים, </w:t>
      </w:r>
      <w:r w:rsidRPr="00152F9D">
        <w:rPr>
          <w:rStyle w:val="a4"/>
          <w:rFonts w:ascii="Tahoma" w:hAnsi="Tahoma" w:cs="Tahoma"/>
          <w:b/>
          <w:bCs/>
          <w:spacing w:val="-2"/>
          <w:w w:val="98"/>
          <w:sz w:val="20"/>
          <w:szCs w:val="20"/>
          <w:rtl/>
        </w:rPr>
        <w:t>ירידה של 1.5% בשיעור האיסוף השנתי</w:t>
      </w:r>
      <w:r>
        <w:rPr>
          <w:rFonts w:ascii="Tahoma" w:hAnsi="Tahoma" w:cs="Tahoma"/>
          <w:spacing w:val="-2"/>
          <w:w w:val="98"/>
          <w:sz w:val="20"/>
          <w:szCs w:val="20"/>
          <w:vertAlign w:val="superscript"/>
          <w:rtl/>
        </w:rPr>
        <w:footnoteReference w:id="69"/>
      </w:r>
      <w:r w:rsidRPr="00D22A15">
        <w:rPr>
          <w:rFonts w:ascii="Tahoma" w:hAnsi="Tahoma" w:cs="Tahoma"/>
          <w:spacing w:val="-2"/>
          <w:w w:val="98"/>
          <w:sz w:val="20"/>
          <w:szCs w:val="20"/>
          <w:rtl/>
        </w:rPr>
        <w:t xml:space="preserve">. </w:t>
      </w:r>
    </w:p>
    <w:p w:rsidR="000930B3" w:rsidRPr="00D22A15" w:rsidP="005C4ABF" w14:paraId="35B8738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נתונים על המשקל הממוצע למכל משקה גדול כפי שדווח על ידי חברת איסוף א' למשרד </w:t>
      </w:r>
      <w:r w:rsidRPr="00D22A15">
        <w:rPr>
          <w:rFonts w:ascii="Tahoma" w:hAnsi="Tahoma" w:cs="Tahoma"/>
          <w:sz w:val="20"/>
          <w:szCs w:val="20"/>
          <w:rtl/>
        </w:rPr>
        <w:t>להגנ"ס</w:t>
      </w:r>
      <w:r w:rsidRPr="00D22A15">
        <w:rPr>
          <w:rFonts w:ascii="Tahoma" w:hAnsi="Tahoma" w:cs="Tahoma"/>
          <w:sz w:val="20"/>
          <w:szCs w:val="20"/>
          <w:rtl/>
        </w:rPr>
        <w:t xml:space="preserve"> במועדים שונים. </w:t>
      </w:r>
    </w:p>
    <w:p w:rsidR="000930B3" w:rsidRPr="00DA075D" w:rsidP="00AD02C3" w14:paraId="0033C6F4" w14:textId="7DA3637B">
      <w:pPr>
        <w:pStyle w:val="a1"/>
        <w:spacing w:line="320" w:lineRule="atLeast"/>
        <w:rPr>
          <w:rtl/>
        </w:rPr>
      </w:pPr>
      <w:r w:rsidRPr="00D22A15">
        <w:rPr>
          <w:b w:val="0"/>
          <w:bCs w:val="0"/>
          <w:rtl/>
        </w:rPr>
        <w:t xml:space="preserve">לוח 6: </w:t>
      </w:r>
      <w:r w:rsidRPr="00DA075D">
        <w:rPr>
          <w:rtl/>
        </w:rPr>
        <w:t>משקל ממוצע למכל משקה גדול, 2015 - 2018</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3458"/>
        <w:gridCol w:w="4978"/>
      </w:tblGrid>
      <w:tr w14:paraId="246914E4" w14:textId="77777777" w:rsidTr="001F4C93">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3458" w:type="dxa"/>
            <w:tcBorders>
              <w:top w:val="single" w:sz="8" w:space="0" w:color="auto"/>
              <w:bottom w:val="single" w:sz="8" w:space="0" w:color="auto"/>
            </w:tcBorders>
            <w:shd w:val="clear" w:color="auto" w:fill="C6D9F1"/>
          </w:tcPr>
          <w:p w:rsidR="005C4ABF" w:rsidRPr="005C4ABF" w:rsidP="006C5FF5" w14:paraId="723B368A" w14:textId="77777777">
            <w:pPr>
              <w:pStyle w:val="a20"/>
              <w:tabs>
                <w:tab w:val="clear" w:pos="340"/>
              </w:tabs>
              <w:spacing w:before="40" w:after="40" w:line="240" w:lineRule="atLeast"/>
              <w:jc w:val="left"/>
              <w:rPr>
                <w:rFonts w:ascii="Tahoma" w:hAnsi="Tahoma" w:cs="Tahoma"/>
                <w:rtl/>
              </w:rPr>
            </w:pPr>
            <w:r w:rsidRPr="005C4ABF">
              <w:rPr>
                <w:rFonts w:ascii="Tahoma" w:hAnsi="Tahoma" w:cs="Tahoma"/>
                <w:b/>
                <w:bCs/>
                <w:sz w:val="18"/>
                <w:szCs w:val="18"/>
                <w:rtl/>
              </w:rPr>
              <w:t xml:space="preserve">מועד הבדיקה </w:t>
            </w:r>
          </w:p>
        </w:tc>
        <w:tc>
          <w:tcPr>
            <w:tcW w:w="4978" w:type="dxa"/>
            <w:tcBorders>
              <w:top w:val="single" w:sz="8" w:space="0" w:color="auto"/>
              <w:bottom w:val="single" w:sz="8" w:space="0" w:color="auto"/>
            </w:tcBorders>
            <w:shd w:val="clear" w:color="auto" w:fill="C6D9F1"/>
          </w:tcPr>
          <w:p w:rsidR="005C4ABF" w:rsidRPr="005C4ABF" w:rsidP="006C5FF5" w14:paraId="64A83794" w14:textId="77777777">
            <w:pPr>
              <w:pStyle w:val="a20"/>
              <w:tabs>
                <w:tab w:val="clear" w:pos="340"/>
              </w:tabs>
              <w:spacing w:before="40" w:after="40" w:line="240" w:lineRule="atLeast"/>
              <w:jc w:val="left"/>
              <w:rPr>
                <w:rFonts w:ascii="Tahoma" w:hAnsi="Tahoma" w:cs="Tahoma"/>
                <w:b/>
                <w:bCs/>
                <w:sz w:val="18"/>
                <w:szCs w:val="18"/>
                <w:rtl/>
              </w:rPr>
            </w:pPr>
            <w:r w:rsidRPr="005C4ABF">
              <w:rPr>
                <w:rFonts w:ascii="Tahoma" w:hAnsi="Tahoma" w:cs="Tahoma"/>
                <w:b/>
                <w:bCs/>
                <w:sz w:val="18"/>
                <w:szCs w:val="18"/>
                <w:rtl/>
              </w:rPr>
              <w:t>משקל ממוצע למכל משקה בודד (בגרמים)</w:t>
            </w:r>
          </w:p>
        </w:tc>
      </w:tr>
      <w:tr w14:paraId="24C0D22E" w14:textId="77777777" w:rsidTr="001F4C93">
        <w:tblPrEx>
          <w:tblW w:w="0" w:type="auto"/>
          <w:tblLook w:val="04A0"/>
        </w:tblPrEx>
        <w:tc>
          <w:tcPr>
            <w:tcW w:w="3458" w:type="dxa"/>
            <w:tcBorders>
              <w:top w:val="single" w:sz="8" w:space="0" w:color="auto"/>
            </w:tcBorders>
          </w:tcPr>
          <w:p w:rsidR="005C4ABF" w:rsidRPr="005C4ABF" w:rsidP="006C5FF5" w14:paraId="6E53266C"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דצמבר 2015</w:t>
            </w:r>
          </w:p>
        </w:tc>
        <w:tc>
          <w:tcPr>
            <w:tcW w:w="4978" w:type="dxa"/>
            <w:tcBorders>
              <w:top w:val="single" w:sz="8" w:space="0" w:color="auto"/>
            </w:tcBorders>
          </w:tcPr>
          <w:p w:rsidR="005C4ABF" w:rsidRPr="005C4ABF" w:rsidP="006C5FF5" w14:paraId="06F5F4E6"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40.86</w:t>
            </w:r>
          </w:p>
        </w:tc>
      </w:tr>
      <w:tr w14:paraId="3DCCAF46" w14:textId="77777777" w:rsidTr="001F4C93">
        <w:tblPrEx>
          <w:tblW w:w="0" w:type="auto"/>
          <w:tblLook w:val="04A0"/>
        </w:tblPrEx>
        <w:tc>
          <w:tcPr>
            <w:tcW w:w="3458" w:type="dxa"/>
          </w:tcPr>
          <w:p w:rsidR="005C4ABF" w:rsidRPr="005C4ABF" w:rsidP="006C5FF5" w14:paraId="144BF226"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יולי 2016</w:t>
            </w:r>
          </w:p>
        </w:tc>
        <w:tc>
          <w:tcPr>
            <w:tcW w:w="4978" w:type="dxa"/>
          </w:tcPr>
          <w:p w:rsidR="005C4ABF" w:rsidRPr="005C4ABF" w:rsidP="006C5FF5" w14:paraId="40956190"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37.79</w:t>
            </w:r>
          </w:p>
        </w:tc>
      </w:tr>
      <w:tr w14:paraId="0B6D4684" w14:textId="77777777" w:rsidTr="001F4C93">
        <w:tblPrEx>
          <w:tblW w:w="0" w:type="auto"/>
          <w:tblLook w:val="04A0"/>
        </w:tblPrEx>
        <w:tc>
          <w:tcPr>
            <w:tcW w:w="3458" w:type="dxa"/>
          </w:tcPr>
          <w:p w:rsidR="005C4ABF" w:rsidRPr="005C4ABF" w:rsidP="006C5FF5" w14:paraId="706CE1B9"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ספטמבר 2017</w:t>
            </w:r>
          </w:p>
        </w:tc>
        <w:tc>
          <w:tcPr>
            <w:tcW w:w="4978" w:type="dxa"/>
          </w:tcPr>
          <w:p w:rsidR="005C4ABF" w:rsidRPr="005C4ABF" w:rsidP="006C5FF5" w14:paraId="1C1C797C"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37.17</w:t>
            </w:r>
          </w:p>
        </w:tc>
      </w:tr>
      <w:tr w14:paraId="7097B79F" w14:textId="77777777" w:rsidTr="001F4C93">
        <w:tblPrEx>
          <w:tblW w:w="0" w:type="auto"/>
          <w:tblLook w:val="04A0"/>
        </w:tblPrEx>
        <w:tc>
          <w:tcPr>
            <w:tcW w:w="3458" w:type="dxa"/>
          </w:tcPr>
          <w:p w:rsidR="005C4ABF" w:rsidRPr="005C4ABF" w:rsidP="006C5FF5" w14:paraId="7A36FFD4" w14:textId="77777777">
            <w:pPr>
              <w:pStyle w:val="a21"/>
              <w:tabs>
                <w:tab w:val="clear" w:pos="340"/>
              </w:tabs>
              <w:spacing w:before="40" w:after="40" w:line="240" w:lineRule="atLeast"/>
              <w:rPr>
                <w:rFonts w:ascii="Tahoma" w:hAnsi="Tahoma" w:cs="Tahoma"/>
                <w:rtl/>
              </w:rPr>
            </w:pPr>
            <w:r w:rsidRPr="005C4ABF">
              <w:rPr>
                <w:rFonts w:ascii="Tahoma" w:hAnsi="Tahoma" w:cs="Tahoma"/>
                <w:sz w:val="18"/>
                <w:szCs w:val="18"/>
                <w:rtl/>
              </w:rPr>
              <w:t>מאי 2018</w:t>
            </w:r>
          </w:p>
        </w:tc>
        <w:tc>
          <w:tcPr>
            <w:tcW w:w="4978" w:type="dxa"/>
          </w:tcPr>
          <w:p w:rsidR="005C4ABF" w:rsidRPr="005C4ABF" w:rsidP="006C5FF5" w14:paraId="2B016BF7" w14:textId="77777777">
            <w:pPr>
              <w:pStyle w:val="a21"/>
              <w:tabs>
                <w:tab w:val="clear" w:pos="340"/>
              </w:tabs>
              <w:spacing w:before="40" w:after="40" w:line="240" w:lineRule="atLeast"/>
              <w:rPr>
                <w:rFonts w:ascii="Tahoma" w:hAnsi="Tahoma" w:cs="Tahoma"/>
                <w:sz w:val="18"/>
                <w:szCs w:val="18"/>
                <w:rtl/>
              </w:rPr>
            </w:pPr>
            <w:r w:rsidRPr="005C4ABF">
              <w:rPr>
                <w:rFonts w:ascii="Tahoma" w:hAnsi="Tahoma" w:cs="Tahoma"/>
                <w:sz w:val="18"/>
                <w:szCs w:val="18"/>
                <w:rtl/>
              </w:rPr>
              <w:t>37.32</w:t>
            </w:r>
          </w:p>
        </w:tc>
      </w:tr>
    </w:tbl>
    <w:p w:rsidR="000930B3" w:rsidRPr="00DA075D" w:rsidP="006C5FF5" w14:paraId="1B7EE66C" w14:textId="77777777">
      <w:pPr>
        <w:pStyle w:val="text-source"/>
        <w:rPr>
          <w:rtl/>
        </w:rPr>
      </w:pPr>
      <w:r w:rsidRPr="00DA075D">
        <w:rPr>
          <w:rtl/>
        </w:rPr>
        <w:t xml:space="preserve">על פי נתוני המשרד </w:t>
      </w:r>
      <w:r w:rsidRPr="00DA075D">
        <w:rPr>
          <w:rtl/>
        </w:rPr>
        <w:t>להגנ"ס</w:t>
      </w:r>
      <w:r w:rsidRPr="00DA075D">
        <w:rPr>
          <w:rtl/>
        </w:rPr>
        <w:t>, בעיבוד משרד מבקר המדינה.</w:t>
      </w:r>
    </w:p>
    <w:p w:rsidR="000930B3" w:rsidRPr="00D22A15" w:rsidP="005C4ABF" w14:paraId="6E5A6B9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מספר מכלי המשקה בחומר שנשקל מחושב לפי מבדקים שמנהל סטטיסטיקאי מומחה ובהתאם לחוות דעתו. הבדיקות וחוות הדעת נדונו בין המשרד </w:t>
      </w:r>
      <w:r w:rsidRPr="00D22A15">
        <w:rPr>
          <w:rFonts w:ascii="Tahoma" w:hAnsi="Tahoma" w:cs="Tahoma"/>
          <w:sz w:val="20"/>
          <w:szCs w:val="20"/>
          <w:rtl/>
        </w:rPr>
        <w:t>להגנ"ס</w:t>
      </w:r>
      <w:r w:rsidRPr="00D22A15">
        <w:rPr>
          <w:rFonts w:ascii="Tahoma" w:hAnsi="Tahoma" w:cs="Tahoma"/>
          <w:sz w:val="20"/>
          <w:szCs w:val="20"/>
          <w:rtl/>
        </w:rPr>
        <w:t xml:space="preserve"> לחברה לא אחת.</w:t>
      </w:r>
    </w:p>
    <w:p w:rsidR="000930B3" w:rsidRPr="00D22A15" w:rsidP="005C4ABF" w14:paraId="1DDF509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דיווחי חברת איסוף ב', בשנים 2016 - 2017 היה משקלם הממוצע של המכלים הגדולים שאספה 40 גרם. </w:t>
      </w:r>
    </w:p>
    <w:p w:rsidR="000930B3" w:rsidRPr="00D22A15" w:rsidP="005C4ABF" w14:paraId="1B23495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ב' מסרה בתגובתה כי באוגוסט 2020 היא העבירה לרואי החשבון מטעם המשרד בקשה להכיר במשקל המכל כ-37.79 גרם, כפי שהוכר לחברת איסוף א'. </w:t>
      </w:r>
    </w:p>
    <w:p w:rsidR="000930B3" w:rsidRPr="00D22A15" w:rsidP="005C4ABF" w14:paraId="33C2111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לאחר מועד סיום הביקורת הודיע המשרד </w:t>
      </w:r>
      <w:r w:rsidRPr="00D22A15">
        <w:rPr>
          <w:rFonts w:ascii="Tahoma" w:hAnsi="Tahoma" w:cs="Tahoma"/>
          <w:sz w:val="20"/>
          <w:szCs w:val="20"/>
          <w:rtl/>
        </w:rPr>
        <w:t>להגנ"ס</w:t>
      </w:r>
      <w:r w:rsidRPr="00D22A15">
        <w:rPr>
          <w:rFonts w:ascii="Tahoma" w:hAnsi="Tahoma" w:cs="Tahoma"/>
          <w:sz w:val="20"/>
          <w:szCs w:val="20"/>
          <w:rtl/>
        </w:rPr>
        <w:t xml:space="preserve"> לחברת איסוף ב' בדצמבר 2020 כי הוא מכיר במשקל המכל של 37.79 גרם גם לגביה. משמעות הדבר היא ששיעור האיסוף שיוכר לחברת איסוף ב' בגין שנת 2016 יהיה גבוה מכפי שצוין בלוח 9 שלהלן. </w:t>
      </w:r>
    </w:p>
    <w:p w:rsidR="000930B3" w:rsidRPr="00D22A15" w:rsidP="005C4ABF" w14:paraId="37172BF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סקר עמותה א', המשקל הממוצע של 9,661 מכלי משקה גדולים שנדגמו </w:t>
      </w:r>
      <w:r w:rsidRPr="00D22A15">
        <w:rPr>
          <w:rFonts w:ascii="Tahoma" w:hAnsi="Tahoma" w:cs="Tahoma"/>
          <w:sz w:val="20"/>
          <w:szCs w:val="20"/>
          <w:rtl/>
        </w:rPr>
        <w:t>במיחזוריות</w:t>
      </w:r>
      <w:r w:rsidRPr="00D22A15">
        <w:rPr>
          <w:rFonts w:ascii="Tahoma" w:hAnsi="Tahoma" w:cs="Tahoma"/>
          <w:sz w:val="20"/>
          <w:szCs w:val="20"/>
          <w:rtl/>
        </w:rPr>
        <w:t xml:space="preserve"> עמד על 38.87 גרם. על פי סקר נוסף שערכה בספטמבר 2018 בתחנת מעבר, עמד משקלם הממוצע של 1,490 מכלי משקה שחולצו מזרם הפסולת בתחנה על 43.19 גרם. על פי עמותה א', הסיבות לפערים בין המשקל הממוצע של מכל משקה הנאסף </w:t>
      </w:r>
      <w:r w:rsidRPr="00D22A15">
        <w:rPr>
          <w:rFonts w:ascii="Tahoma" w:hAnsi="Tahoma" w:cs="Tahoma"/>
          <w:sz w:val="20"/>
          <w:szCs w:val="20"/>
          <w:rtl/>
        </w:rPr>
        <w:t>ממיחזורית</w:t>
      </w:r>
      <w:r w:rsidRPr="00D22A15">
        <w:rPr>
          <w:rFonts w:ascii="Tahoma" w:hAnsi="Tahoma" w:cs="Tahoma"/>
          <w:sz w:val="20"/>
          <w:szCs w:val="20"/>
          <w:rtl/>
        </w:rPr>
        <w:t xml:space="preserve"> לבין המשקל הממוצע של מכל המחולץ מתחנת מעבר הן לכלוך, רטיבות ונוזלים הנותרים במכל המשקה או הנדבקים אליו. </w:t>
      </w:r>
    </w:p>
    <w:p w:rsidR="000930B3" w:rsidRPr="00D22A15" w:rsidP="005C4ABF" w14:paraId="0EFED04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על פי נתוני חברת איסוף א' ב-2016, יותר מ-50% ממכלי המשקה הגדולים שנאספו על ידה חולצו בתחנות המעבר שבהן מטופלת פסולת ביתית מעורבת. בשנת 2019 עלה הנתון המדווח לכ-60%.</w:t>
      </w:r>
    </w:p>
    <w:p w:rsidR="000930B3" w:rsidRPr="00D22A15" w:rsidP="005C4ABF" w14:paraId="60888E4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בלוח להלן ניתן לראות כי חלקה של רטיבות במשקל </w:t>
      </w:r>
      <w:r w:rsidRPr="00D22A15">
        <w:rPr>
          <w:rFonts w:ascii="Tahoma" w:hAnsi="Tahoma" w:cs="Tahoma"/>
          <w:sz w:val="20"/>
          <w:szCs w:val="20"/>
        </w:rPr>
        <w:t>PET</w:t>
      </w:r>
      <w:r w:rsidRPr="00D22A15">
        <w:rPr>
          <w:rFonts w:ascii="Tahoma" w:hAnsi="Tahoma" w:cs="Tahoma"/>
          <w:sz w:val="20"/>
          <w:szCs w:val="20"/>
          <w:rtl/>
        </w:rPr>
        <w:t xml:space="preserve"> בפסולת מעורבת (שממנה מחלצים מכלי משקה בתחנות המעבר) נע בין 5% ל-7%. </w:t>
      </w:r>
    </w:p>
    <w:p w:rsidR="000930B3" w:rsidRPr="00DA075D" w:rsidP="00AD02C3" w14:paraId="71C62D60" w14:textId="08AE842F">
      <w:pPr>
        <w:pStyle w:val="a1"/>
        <w:spacing w:line="320" w:lineRule="atLeast"/>
        <w:rPr>
          <w:rtl/>
        </w:rPr>
      </w:pPr>
      <w:r w:rsidRPr="00D22A15">
        <w:rPr>
          <w:b w:val="0"/>
          <w:bCs w:val="0"/>
          <w:rtl/>
        </w:rPr>
        <w:t xml:space="preserve">לוח 7: </w:t>
      </w:r>
      <w:r w:rsidRPr="00DA075D">
        <w:rPr>
          <w:rtl/>
        </w:rPr>
        <w:t>שיעור רטיבות רכיבי הפלסטיק בפסולת במשאיות ובכלי אצירה, 2012 - 2013</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2690"/>
        <w:gridCol w:w="2766"/>
        <w:gridCol w:w="2766"/>
      </w:tblGrid>
      <w:tr w14:paraId="51E3679F" w14:textId="77777777" w:rsidTr="001F4C93">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vAlign w:val="bottom"/>
          </w:tcPr>
          <w:p w:rsidR="006C5FF5" w:rsidRPr="006C5FF5" w:rsidP="001F4C93" w14:paraId="1B6064B8" w14:textId="77777777">
            <w:pPr>
              <w:pStyle w:val="a20"/>
              <w:keepNext/>
              <w:keepLines/>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סוג רכיב</w:t>
            </w:r>
          </w:p>
        </w:tc>
        <w:tc>
          <w:tcPr>
            <w:tcW w:w="0" w:type="auto"/>
            <w:tcBorders>
              <w:top w:val="single" w:sz="8" w:space="0" w:color="auto"/>
              <w:bottom w:val="single" w:sz="8" w:space="0" w:color="auto"/>
            </w:tcBorders>
            <w:shd w:val="clear" w:color="auto" w:fill="C6D9F1"/>
            <w:vAlign w:val="bottom"/>
          </w:tcPr>
          <w:p w:rsidR="006C5FF5" w:rsidRPr="006C5FF5" w:rsidP="001F4C93" w14:paraId="5C04A508" w14:textId="2A964F3F">
            <w:pPr>
              <w:pStyle w:val="a20"/>
              <w:keepNext/>
              <w:keepLines/>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שיעור רטיבות על פי </w:t>
            </w:r>
            <w:r w:rsidR="001F4C93">
              <w:rPr>
                <w:rFonts w:ascii="Tahoma" w:hAnsi="Tahoma" w:cs="Tahoma"/>
                <w:b/>
                <w:bCs/>
                <w:sz w:val="18"/>
                <w:szCs w:val="18"/>
              </w:rPr>
              <w:br/>
            </w:r>
            <w:r w:rsidRPr="006C5FF5">
              <w:rPr>
                <w:rFonts w:ascii="Tahoma" w:hAnsi="Tahoma" w:cs="Tahoma"/>
                <w:b/>
                <w:bCs/>
                <w:sz w:val="18"/>
                <w:szCs w:val="18"/>
                <w:rtl/>
              </w:rPr>
              <w:t>סקר משאיות פינוי</w:t>
            </w:r>
          </w:p>
        </w:tc>
        <w:tc>
          <w:tcPr>
            <w:tcW w:w="0" w:type="auto"/>
            <w:tcBorders>
              <w:top w:val="single" w:sz="8" w:space="0" w:color="auto"/>
              <w:bottom w:val="single" w:sz="8" w:space="0" w:color="auto"/>
            </w:tcBorders>
            <w:shd w:val="clear" w:color="auto" w:fill="C6D9F1"/>
            <w:vAlign w:val="bottom"/>
          </w:tcPr>
          <w:p w:rsidR="006C5FF5" w:rsidRPr="006C5FF5" w:rsidP="001F4C93" w14:paraId="393C1AF8" w14:textId="5F0DAC42">
            <w:pPr>
              <w:pStyle w:val="a20"/>
              <w:keepNext/>
              <w:keepLines/>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 xml:space="preserve">שיעור רטיבות על פי </w:t>
            </w:r>
            <w:r w:rsidR="001F4C93">
              <w:rPr>
                <w:rFonts w:ascii="Tahoma" w:hAnsi="Tahoma" w:cs="Tahoma"/>
                <w:b/>
                <w:bCs/>
                <w:sz w:val="18"/>
                <w:szCs w:val="18"/>
              </w:rPr>
              <w:br/>
            </w:r>
            <w:r w:rsidRPr="006C5FF5">
              <w:rPr>
                <w:rFonts w:ascii="Tahoma" w:hAnsi="Tahoma" w:cs="Tahoma"/>
                <w:b/>
                <w:bCs/>
                <w:sz w:val="18"/>
                <w:szCs w:val="18"/>
                <w:rtl/>
              </w:rPr>
              <w:t>סקר כלי אצירה</w:t>
            </w:r>
          </w:p>
        </w:tc>
      </w:tr>
      <w:tr w14:paraId="2ADA106B" w14:textId="77777777" w:rsidTr="001F4C93">
        <w:tblPrEx>
          <w:tblW w:w="8222" w:type="dxa"/>
          <w:jc w:val="center"/>
          <w:tblLook w:val="04A0"/>
        </w:tblPrEx>
        <w:trPr>
          <w:jc w:val="center"/>
        </w:trPr>
        <w:tc>
          <w:tcPr>
            <w:tcW w:w="0" w:type="auto"/>
            <w:tcBorders>
              <w:top w:val="single" w:sz="8" w:space="0" w:color="auto"/>
            </w:tcBorders>
          </w:tcPr>
          <w:p w:rsidR="006C5FF5" w:rsidRPr="006C5FF5" w:rsidP="006C5FF5" w14:paraId="1C0B1C3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Pr>
              <w:t>PET</w:t>
            </w:r>
          </w:p>
        </w:tc>
        <w:tc>
          <w:tcPr>
            <w:tcW w:w="0" w:type="auto"/>
            <w:tcBorders>
              <w:top w:val="single" w:sz="8" w:space="0" w:color="auto"/>
            </w:tcBorders>
          </w:tcPr>
          <w:p w:rsidR="006C5FF5" w:rsidRPr="006C5FF5" w:rsidP="006C5FF5" w14:paraId="7145976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Borders>
              <w:top w:val="single" w:sz="8" w:space="0" w:color="auto"/>
            </w:tcBorders>
          </w:tcPr>
          <w:p w:rsidR="006C5FF5" w:rsidRPr="006C5FF5" w:rsidP="006C5FF5" w14:paraId="15CE6A8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5%</w:t>
            </w:r>
          </w:p>
        </w:tc>
      </w:tr>
      <w:tr w14:paraId="2401FBB8" w14:textId="77777777" w:rsidTr="001F4C93">
        <w:tblPrEx>
          <w:tblW w:w="8222" w:type="dxa"/>
          <w:jc w:val="center"/>
          <w:tblLook w:val="04A0"/>
        </w:tblPrEx>
        <w:trPr>
          <w:jc w:val="center"/>
        </w:trPr>
        <w:tc>
          <w:tcPr>
            <w:tcW w:w="0" w:type="auto"/>
          </w:tcPr>
          <w:p w:rsidR="006C5FF5" w:rsidRPr="006C5FF5" w:rsidP="006C5FF5" w14:paraId="0AB49C03" w14:textId="4289AABF">
            <w:pPr>
              <w:pStyle w:val="a21"/>
              <w:tabs>
                <w:tab w:val="clear" w:pos="340"/>
              </w:tabs>
              <w:spacing w:before="40" w:after="40" w:line="240" w:lineRule="atLeast"/>
              <w:rPr>
                <w:rFonts w:ascii="Tahoma" w:hAnsi="Tahoma" w:cs="Tahoma"/>
                <w:rtl/>
              </w:rPr>
            </w:pPr>
            <w:r w:rsidRPr="006C5FF5">
              <w:rPr>
                <w:rFonts w:ascii="Tahoma" w:hAnsi="Tahoma" w:cs="Tahoma"/>
                <w:sz w:val="18"/>
                <w:szCs w:val="18"/>
              </w:rPr>
              <w:t>HDPE</w:t>
            </w:r>
            <w:r>
              <w:rPr>
                <w:rFonts w:ascii="Tahoma" w:hAnsi="Tahoma" w:cs="Tahoma"/>
                <w:sz w:val="18"/>
                <w:szCs w:val="18"/>
                <w:vertAlign w:val="superscript"/>
                <w:rtl/>
              </w:rPr>
              <w:footnoteReference w:id="70"/>
            </w:r>
          </w:p>
        </w:tc>
        <w:tc>
          <w:tcPr>
            <w:tcW w:w="0" w:type="auto"/>
          </w:tcPr>
          <w:p w:rsidR="006C5FF5" w:rsidRPr="006C5FF5" w:rsidP="006C5FF5" w14:paraId="4DD1C8F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0417E6E8"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w:t>
            </w:r>
          </w:p>
        </w:tc>
      </w:tr>
      <w:tr w14:paraId="275E3495" w14:textId="77777777" w:rsidTr="001F4C93">
        <w:tblPrEx>
          <w:tblW w:w="8222" w:type="dxa"/>
          <w:jc w:val="center"/>
          <w:tblLook w:val="04A0"/>
        </w:tblPrEx>
        <w:trPr>
          <w:jc w:val="center"/>
        </w:trPr>
        <w:tc>
          <w:tcPr>
            <w:tcW w:w="0" w:type="auto"/>
          </w:tcPr>
          <w:p w:rsidR="006C5FF5" w:rsidRPr="006C5FF5" w:rsidP="006C5FF5" w14:paraId="7B22867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פלסטיק גמיש </w:t>
            </w:r>
          </w:p>
        </w:tc>
        <w:tc>
          <w:tcPr>
            <w:tcW w:w="0" w:type="auto"/>
          </w:tcPr>
          <w:p w:rsidR="006C5FF5" w:rsidRPr="006C5FF5" w:rsidP="006C5FF5" w14:paraId="768DDED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34%</w:t>
            </w:r>
          </w:p>
        </w:tc>
        <w:tc>
          <w:tcPr>
            <w:tcW w:w="0" w:type="auto"/>
          </w:tcPr>
          <w:p w:rsidR="006C5FF5" w:rsidRPr="006C5FF5" w:rsidP="006C5FF5" w14:paraId="3BAAED4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22%</w:t>
            </w:r>
          </w:p>
        </w:tc>
      </w:tr>
      <w:tr w14:paraId="5504E4CC" w14:textId="77777777" w:rsidTr="001F4C93">
        <w:tblPrEx>
          <w:tblW w:w="8222" w:type="dxa"/>
          <w:jc w:val="center"/>
          <w:tblLook w:val="04A0"/>
        </w:tblPrEx>
        <w:trPr>
          <w:jc w:val="center"/>
        </w:trPr>
        <w:tc>
          <w:tcPr>
            <w:tcW w:w="0" w:type="auto"/>
          </w:tcPr>
          <w:p w:rsidR="006C5FF5" w:rsidRPr="006C5FF5" w:rsidP="006C5FF5" w14:paraId="641405E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פלסטיק קשיח</w:t>
            </w:r>
          </w:p>
        </w:tc>
        <w:tc>
          <w:tcPr>
            <w:tcW w:w="0" w:type="auto"/>
          </w:tcPr>
          <w:p w:rsidR="006C5FF5" w:rsidRPr="006C5FF5" w:rsidP="006C5FF5" w14:paraId="6F335D9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17%</w:t>
            </w:r>
          </w:p>
        </w:tc>
        <w:tc>
          <w:tcPr>
            <w:tcW w:w="0" w:type="auto"/>
          </w:tcPr>
          <w:p w:rsidR="006C5FF5" w:rsidRPr="006C5FF5" w:rsidP="006C5FF5" w14:paraId="209A2833"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7%</w:t>
            </w:r>
          </w:p>
        </w:tc>
      </w:tr>
      <w:tr w14:paraId="40456E21" w14:textId="77777777" w:rsidTr="001F4C93">
        <w:tblPrEx>
          <w:tblW w:w="8222" w:type="dxa"/>
          <w:jc w:val="center"/>
          <w:tblLook w:val="04A0"/>
        </w:tblPrEx>
        <w:trPr>
          <w:jc w:val="center"/>
        </w:trPr>
        <w:tc>
          <w:tcPr>
            <w:tcW w:w="0" w:type="auto"/>
          </w:tcPr>
          <w:p w:rsidR="006C5FF5" w:rsidRPr="006C5FF5" w:rsidP="006C5FF5" w14:paraId="37CA4FC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קלקר</w:t>
            </w:r>
          </w:p>
        </w:tc>
        <w:tc>
          <w:tcPr>
            <w:tcW w:w="0" w:type="auto"/>
          </w:tcPr>
          <w:p w:rsidR="006C5FF5" w:rsidRPr="006C5FF5" w:rsidP="006C5FF5" w14:paraId="6762A3A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22%</w:t>
            </w:r>
          </w:p>
        </w:tc>
        <w:tc>
          <w:tcPr>
            <w:tcW w:w="0" w:type="auto"/>
          </w:tcPr>
          <w:p w:rsidR="006C5FF5" w:rsidRPr="006C5FF5" w:rsidP="006C5FF5" w14:paraId="4E2D7099"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28%</w:t>
            </w:r>
          </w:p>
        </w:tc>
      </w:tr>
      <w:tr w14:paraId="19AEF01E" w14:textId="77777777" w:rsidTr="001F4C93">
        <w:tblPrEx>
          <w:tblW w:w="8222" w:type="dxa"/>
          <w:jc w:val="center"/>
          <w:tblLook w:val="04A0"/>
        </w:tblPrEx>
        <w:trPr>
          <w:jc w:val="center"/>
        </w:trPr>
        <w:tc>
          <w:tcPr>
            <w:tcW w:w="0" w:type="auto"/>
          </w:tcPr>
          <w:p w:rsidR="006C5FF5" w:rsidRPr="006C5FF5" w:rsidP="006C5FF5" w14:paraId="429ECBF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ממוצע רכיבי פלסטיק</w:t>
            </w:r>
          </w:p>
        </w:tc>
        <w:tc>
          <w:tcPr>
            <w:tcW w:w="0" w:type="auto"/>
          </w:tcPr>
          <w:p w:rsidR="006C5FF5" w:rsidRPr="006C5FF5" w:rsidP="006C5FF5" w14:paraId="6102C23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17%</w:t>
            </w:r>
          </w:p>
        </w:tc>
        <w:tc>
          <w:tcPr>
            <w:tcW w:w="0" w:type="auto"/>
          </w:tcPr>
          <w:p w:rsidR="006C5FF5" w:rsidRPr="006C5FF5" w:rsidP="006C5FF5" w14:paraId="41E2179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13%</w:t>
            </w:r>
          </w:p>
        </w:tc>
      </w:tr>
    </w:tbl>
    <w:p w:rsidR="000930B3" w:rsidRPr="001F4C93" w:rsidP="001F4C93" w14:paraId="19145014" w14:textId="77777777">
      <w:pPr>
        <w:pStyle w:val="text-source"/>
      </w:pPr>
      <w:r w:rsidRPr="001F4C93">
        <w:rPr>
          <w:rtl/>
        </w:rPr>
        <w:t xml:space="preserve">על פי סקר הפסולת, בעיבוד משרד מבקר המדינה. </w:t>
      </w:r>
    </w:p>
    <w:p w:rsidR="000930B3" w:rsidRPr="00DA075D" w:rsidP="008E06C5" w14:paraId="3B50D566" w14:textId="77777777">
      <w:pPr>
        <w:pStyle w:val="RESHET"/>
        <w:rPr>
          <w:rtl/>
        </w:rPr>
      </w:pPr>
      <w:r w:rsidRPr="00DA075D">
        <w:rPr>
          <w:rtl/>
        </w:rPr>
        <w:t xml:space="preserve">שילוב של תכולת הרטיבות, ערבוב (מגע) עם שאריות מזון ולכלוך עלול לגרום להטיה משמעותית בהערכת הרכב הפסולת על פי משקלה. למרות זאת, לצורך חישוב מספר המכלים שנאספו נעשה שימוש במשקל ממוצע אחיד, הן למכלים שנאספו </w:t>
      </w:r>
      <w:r w:rsidRPr="00DA075D">
        <w:rPr>
          <w:rtl/>
        </w:rPr>
        <w:t>מהמיחזוריות</w:t>
      </w:r>
      <w:r w:rsidRPr="00DA075D">
        <w:rPr>
          <w:rtl/>
        </w:rPr>
        <w:t xml:space="preserve"> והן לאלו שחולצו מתחנות המעבר. </w:t>
      </w:r>
    </w:p>
    <w:p w:rsidR="000930B3" w:rsidRPr="00D22A15" w:rsidP="005C4ABF" w14:paraId="2717847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משקל החומר של מכלי המשקה בתחנות המעבר נבדק לאחר שהמכלים עברו חירור ונכבשו יחדיו, בשלב שבו נוזלים, שאם היו, אינם קיימים עוד בחומר שנשקל. עוד נמסר כי "החוק מתעלם מסוגיית משקל מכל המשקה כמו גם מהחומר של המכל, אשר משפיע באופן קיצוני על עלויות האיסוף ועל כדאיות </w:t>
      </w:r>
      <w:r w:rsidRPr="00D22A15">
        <w:rPr>
          <w:rFonts w:ascii="Tahoma" w:hAnsi="Tahoma" w:cs="Tahoma"/>
          <w:sz w:val="20"/>
          <w:szCs w:val="20"/>
          <w:rtl/>
        </w:rPr>
        <w:t>המיחזור</w:t>
      </w:r>
      <w:r w:rsidRPr="00D22A15">
        <w:rPr>
          <w:rFonts w:ascii="Tahoma" w:hAnsi="Tahoma" w:cs="Tahoma"/>
          <w:sz w:val="20"/>
          <w:szCs w:val="20"/>
          <w:rtl/>
        </w:rPr>
        <w:t>. הוא יוצר מצב אבסורדי בו יצרן יינות יכול לשווק מכלי זכוכית כבדים, לאסוף מנגד פחיות מתכת שמספרן 77% ממספר מכלי הזכוכית הכבדים ששיווק היצרן - ובכך עמד היצרן בחובותיו לפי החוק".</w:t>
      </w:r>
    </w:p>
    <w:p w:rsidR="000930B3" w:rsidRPr="00D22A15" w:rsidP="005C4ABF" w14:paraId="4C42B8D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יצוין כי על פי חוק הפיקדון רשאי יצרן או יבואן לאסוף גם מכלי משקה גדולים ריקים שלא יוצרו או שווקו על ידו.</w:t>
      </w:r>
    </w:p>
    <w:p w:rsidR="000930B3" w:rsidRPr="00DA075D" w:rsidP="008E06C5" w14:paraId="36B97BCD" w14:textId="77777777">
      <w:pPr>
        <w:pStyle w:val="RESHET"/>
        <w:rPr>
          <w:rStyle w:val="a4"/>
          <w:rtl/>
        </w:rPr>
      </w:pPr>
      <w:r w:rsidRPr="00DA075D">
        <w:rPr>
          <w:rtl/>
        </w:rPr>
        <w:t>בנסיבות אלה, כאשר כל מכלי המשקה נאספים על ידי כל חברות האיסוף, ביצוע המרת המשקל למספר מכלים לפי אומדנים שונים לכל חברה מביא לפערים. כך, לדוגמה, האומדנים לשנת 2017 הביאו לפער של כ-7.6%</w:t>
      </w:r>
      <w:r w:rsidRPr="00DA075D">
        <w:rPr>
          <w:spacing w:val="-57"/>
          <w:rtl/>
        </w:rPr>
        <w:t xml:space="preserve"> </w:t>
      </w:r>
      <w:r>
        <w:rPr>
          <w:vertAlign w:val="superscript"/>
          <w:rtl/>
        </w:rPr>
        <w:footnoteReference w:id="71"/>
      </w:r>
      <w:r w:rsidRPr="00DA075D">
        <w:rPr>
          <w:rStyle w:val="a4"/>
          <w:rtl/>
        </w:rPr>
        <w:t xml:space="preserve">. </w:t>
      </w:r>
    </w:p>
    <w:p w:rsidR="000930B3" w:rsidRPr="00DA075D" w:rsidP="008E06C5" w14:paraId="04CF38B3" w14:textId="77777777">
      <w:pPr>
        <w:pStyle w:val="RESHET"/>
        <w:rPr>
          <w:rtl/>
        </w:rPr>
      </w:pPr>
      <w:r w:rsidRPr="00DA075D">
        <w:rPr>
          <w:rtl/>
        </w:rPr>
        <w:t xml:space="preserve">נוכח חשיבות </w:t>
      </w:r>
      <w:r w:rsidRPr="00DA075D">
        <w:rPr>
          <w:rtl/>
        </w:rPr>
        <w:t>האומדן</w:t>
      </w:r>
      <w:r w:rsidRPr="00DA075D">
        <w:rPr>
          <w:rtl/>
        </w:rPr>
        <w:t xml:space="preserve"> בקביעת שיעור האיסוף לשנים 2018 - 2021, מומלץ כי המשרד </w:t>
      </w:r>
      <w:r w:rsidRPr="00DA075D">
        <w:rPr>
          <w:rtl/>
        </w:rPr>
        <w:t>להגנ"ס</w:t>
      </w:r>
      <w:r w:rsidRPr="00DA075D">
        <w:rPr>
          <w:rtl/>
        </w:rPr>
        <w:t xml:space="preserve"> יקבע באמצעות בדיקות סטטיסטיות בלתי תלויות את המשקל הממוצע של מכלי משקה גדולים הנאספים </w:t>
      </w:r>
      <w:r w:rsidRPr="00DA075D">
        <w:rPr>
          <w:rtl/>
        </w:rPr>
        <w:t>מהמיחזוריות</w:t>
      </w:r>
      <w:r w:rsidRPr="00DA075D">
        <w:rPr>
          <w:rtl/>
        </w:rPr>
        <w:t xml:space="preserve"> ואת אלה המחולצים מזרם הפסולת הביתית בתחנות המעבר ובהתאם לשלבים שבהם מתבצעת שקילה לצורכי הדיווח. </w:t>
      </w:r>
    </w:p>
    <w:p w:rsidR="000930B3" w:rsidRPr="00D22A15" w:rsidP="005C4ABF" w14:paraId="1CBEDA9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במרץ 2019 אישרה הנהלת הקרן לשמירת הניקיון במשרד </w:t>
      </w:r>
      <w:r w:rsidRPr="00D22A15">
        <w:rPr>
          <w:rFonts w:ascii="Tahoma" w:hAnsi="Tahoma" w:cs="Tahoma"/>
          <w:sz w:val="20"/>
          <w:szCs w:val="20"/>
          <w:rtl/>
        </w:rPr>
        <w:t>להגנ"ס</w:t>
      </w:r>
      <w:r w:rsidRPr="00D22A15">
        <w:rPr>
          <w:rFonts w:ascii="Tahoma" w:hAnsi="Tahoma" w:cs="Tahoma"/>
          <w:sz w:val="20"/>
          <w:szCs w:val="20"/>
          <w:rtl/>
        </w:rPr>
        <w:t xml:space="preserve">, לבקשת אגף אחריות יצרן, תקציב בסך 100,000 ש"ח לשנה למשך חמש שנים לביצוע סקר מכלי משקה גדולים - דיגומים למציאת אחוז מכלי משקה גדולים </w:t>
      </w:r>
      <w:r w:rsidRPr="00D22A15">
        <w:rPr>
          <w:rFonts w:ascii="Tahoma" w:hAnsi="Tahoma" w:cs="Tahoma"/>
          <w:sz w:val="20"/>
          <w:szCs w:val="20"/>
          <w:rtl/>
        </w:rPr>
        <w:t>במיחזוריות</w:t>
      </w:r>
      <w:r w:rsidRPr="00D22A15">
        <w:rPr>
          <w:rFonts w:ascii="Tahoma" w:hAnsi="Tahoma" w:cs="Tahoma"/>
          <w:sz w:val="20"/>
          <w:szCs w:val="20"/>
          <w:rtl/>
        </w:rPr>
        <w:t xml:space="preserve"> בשנים 2020 - 2024.</w:t>
      </w:r>
    </w:p>
    <w:p w:rsidR="000930B3" w:rsidRPr="00DA075D" w:rsidP="008E06C5" w14:paraId="60D55342" w14:textId="77777777">
      <w:pPr>
        <w:pStyle w:val="RESHET"/>
        <w:rPr>
          <w:rtl/>
        </w:rPr>
      </w:pPr>
      <w:r w:rsidRPr="00DA075D">
        <w:rPr>
          <w:rtl/>
        </w:rPr>
        <w:t xml:space="preserve">במועד סיום הביקורת טרם פרסם המשרד </w:t>
      </w:r>
      <w:r w:rsidRPr="00DA075D">
        <w:rPr>
          <w:rtl/>
        </w:rPr>
        <w:t>להגנ"ס</w:t>
      </w:r>
      <w:r w:rsidRPr="00DA075D">
        <w:rPr>
          <w:rtl/>
        </w:rPr>
        <w:t xml:space="preserve"> מכרז לביצוע הסקר. משרד מבקר המדינה ממליץ להשלים את הסקר לטובת קביעת אחוז מכלי המשקה הגדולים </w:t>
      </w:r>
      <w:r w:rsidRPr="00DA075D">
        <w:rPr>
          <w:rtl/>
        </w:rPr>
        <w:t>במיחזוריות</w:t>
      </w:r>
      <w:r w:rsidRPr="00DA075D">
        <w:rPr>
          <w:rtl/>
        </w:rPr>
        <w:t xml:space="preserve">. </w:t>
      </w:r>
    </w:p>
    <w:p w:rsidR="000930B3" w:rsidRPr="00D22A15" w:rsidP="005C4ABF" w14:paraId="72E7FAD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לאור החלת הפיקדון על מכלי המשקה הגדולים, יתייתר הצורך בקביעת אומדן למשקל מכל משקה ממוצע </w:t>
      </w:r>
      <w:r w:rsidRPr="00D22A15">
        <w:rPr>
          <w:rFonts w:ascii="Tahoma" w:hAnsi="Tahoma" w:cs="Tahoma"/>
          <w:sz w:val="20"/>
          <w:szCs w:val="20"/>
          <w:rtl/>
        </w:rPr>
        <w:t>והמיחזוריות</w:t>
      </w:r>
      <w:r w:rsidRPr="00D22A15">
        <w:rPr>
          <w:rFonts w:ascii="Tahoma" w:hAnsi="Tahoma" w:cs="Tahoma"/>
          <w:sz w:val="20"/>
          <w:szCs w:val="20"/>
          <w:rtl/>
        </w:rPr>
        <w:t xml:space="preserve"> יוסרו ולפיכך לא ייעשה שימוש </w:t>
      </w:r>
      <w:r w:rsidRPr="00D22A15">
        <w:rPr>
          <w:rFonts w:ascii="Tahoma" w:hAnsi="Tahoma" w:cs="Tahoma"/>
          <w:sz w:val="20"/>
          <w:szCs w:val="20"/>
          <w:rtl/>
        </w:rPr>
        <w:t>באומדן</w:t>
      </w:r>
      <w:r w:rsidRPr="00D22A15">
        <w:rPr>
          <w:rFonts w:ascii="Tahoma" w:hAnsi="Tahoma" w:cs="Tahoma"/>
          <w:sz w:val="20"/>
          <w:szCs w:val="20"/>
          <w:rtl/>
        </w:rPr>
        <w:t xml:space="preserve"> של שיעור מכלי משקה גדולים </w:t>
      </w:r>
      <w:r w:rsidRPr="00D22A15">
        <w:rPr>
          <w:rFonts w:ascii="Tahoma" w:hAnsi="Tahoma" w:cs="Tahoma"/>
          <w:sz w:val="20"/>
          <w:szCs w:val="20"/>
          <w:rtl/>
        </w:rPr>
        <w:t>במיחזוריות</w:t>
      </w:r>
      <w:r w:rsidRPr="00D22A15">
        <w:rPr>
          <w:rFonts w:ascii="Tahoma" w:hAnsi="Tahoma" w:cs="Tahoma"/>
          <w:sz w:val="20"/>
          <w:szCs w:val="20"/>
          <w:rtl/>
        </w:rPr>
        <w:t xml:space="preserve">. </w:t>
      </w:r>
    </w:p>
    <w:p w:rsidR="000930B3" w:rsidRPr="00DA075D" w:rsidP="008E06C5" w14:paraId="488F1193" w14:textId="77777777">
      <w:pPr>
        <w:pStyle w:val="RESHET"/>
        <w:rPr>
          <w:rtl/>
        </w:rPr>
      </w:pPr>
      <w:r w:rsidRPr="00DA075D">
        <w:rPr>
          <w:rtl/>
        </w:rPr>
        <w:t xml:space="preserve">משרד מבקר המדינה מציין כי </w:t>
      </w:r>
      <w:r w:rsidRPr="00DA075D">
        <w:rPr>
          <w:rtl/>
        </w:rPr>
        <w:t>האומדן</w:t>
      </w:r>
      <w:r w:rsidRPr="00DA075D">
        <w:rPr>
          <w:rtl/>
        </w:rPr>
        <w:t xml:space="preserve"> והסקר יכולים לשמש את הממונה בקביעת שיעור האיסוף לשנים 2018 - 2020, שטרם נקבע, וכן לגבי שיעור האיסוף </w:t>
      </w:r>
      <w:r w:rsidRPr="00DA075D">
        <w:rPr>
          <w:rtl/>
        </w:rPr>
        <w:t>במיחזוריות</w:t>
      </w:r>
      <w:r w:rsidRPr="00DA075D">
        <w:rPr>
          <w:rtl/>
        </w:rPr>
        <w:t xml:space="preserve"> גם בשנת 2021. אשר על כן מומלץ כי המשרד </w:t>
      </w:r>
      <w:r w:rsidRPr="00DA075D">
        <w:rPr>
          <w:rtl/>
        </w:rPr>
        <w:t>להגנ"ס</w:t>
      </w:r>
      <w:r w:rsidRPr="00DA075D">
        <w:rPr>
          <w:rtl/>
        </w:rPr>
        <w:t xml:space="preserve"> יבחן השלמת בדיקות סטטיסטיות בלתי תלויות לצד ביצוע סקר מצומצם כדי לבסס את קביעות הממונה לשנים אלו.</w:t>
      </w:r>
    </w:p>
    <w:p w:rsidR="001F4C93" w:rsidRPr="00D43E82" w:rsidP="001F4C93" w14:paraId="7F4372FB"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0930B3" w:rsidRPr="00DA075D" w:rsidP="008E06C5" w14:paraId="6D5F174B" w14:textId="77777777">
      <w:pPr>
        <w:pStyle w:val="RESHET"/>
        <w:rPr>
          <w:rtl/>
        </w:rPr>
      </w:pPr>
      <w:r w:rsidRPr="00DA075D">
        <w:rPr>
          <w:rtl/>
        </w:rPr>
        <w:t xml:space="preserve">בשנים 2014 - 2016 פעל המשרד </w:t>
      </w:r>
      <w:r w:rsidRPr="00DA075D">
        <w:rPr>
          <w:rtl/>
        </w:rPr>
        <w:t>להגנ"ס</w:t>
      </w:r>
      <w:r w:rsidRPr="00DA075D">
        <w:rPr>
          <w:rtl/>
        </w:rPr>
        <w:t xml:space="preserve"> להוצאת מכלי משקה גדולים מחוק הפיקדון והותרתם בחוק האריזות בלבד. במשך שש השנים שעברו ממועד התיקון לחוק הפיקדון עד המועד הקובע לתחולת התיקון על מכלי משקה גדולים לא נערך המשרד </w:t>
      </w:r>
      <w:r w:rsidRPr="00DA075D">
        <w:rPr>
          <w:rtl/>
        </w:rPr>
        <w:t>להגנ"ס</w:t>
      </w:r>
      <w:r w:rsidRPr="00DA075D">
        <w:rPr>
          <w:rtl/>
        </w:rPr>
        <w:t xml:space="preserve"> לקראת יישום הוראות החוק בעניין איסופם. בהיעדר מעקב על היערכות היצרנים והיבואנים בהתאם לתוכנית הפעולה, לא היה בידי המשרד המידע הדרוש כדי לוודא שהם ערוכים לקיום הוראות חוק הפיקדון בעניין. בהמשך לאמור, עם הודעת השרה </w:t>
      </w:r>
      <w:r w:rsidRPr="00DA075D">
        <w:rPr>
          <w:rtl/>
        </w:rPr>
        <w:t>להגנ"ס</w:t>
      </w:r>
      <w:r w:rsidRPr="00DA075D">
        <w:rPr>
          <w:rtl/>
        </w:rPr>
        <w:t xml:space="preserve"> באוקטובר 2020 על אי עמידה ביעדי 2016 ועל תחולתו על מכלי משקה גדולים, הופץ תזכיר צו שבו נכתב כי "החובה לגבות פיקדון עבור מכלי משקה גדולים מחייבת היערכות משקית משמעותית... היערכות זו... מחייבת את דחיית התחולה של הוראות החוק". כאמור, בדצמבר 2020 אישרה ועדת הכלכלה של הכנסת את החלת החוק על המכלים הגדולים מ-1.12.21. מומלץ כי המשרד </w:t>
      </w:r>
      <w:r w:rsidRPr="00DA075D">
        <w:rPr>
          <w:rtl/>
        </w:rPr>
        <w:t>להגנ"ס</w:t>
      </w:r>
      <w:r w:rsidRPr="00DA075D">
        <w:rPr>
          <w:rtl/>
        </w:rPr>
        <w:t xml:space="preserve"> יפעל להסדרת הנושאים שבאחריותו ויעקוב אחר ההתארגנות המשקית כדי לוודא את יישום החוק במועד האמור. </w:t>
      </w:r>
    </w:p>
    <w:p w:rsidR="000930B3" w:rsidRPr="00D22A15" w:rsidP="005C4ABF" w14:paraId="740D8AC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עם הודעת השרה הוקם במשרד צוות יישום שפועל בכל ההיבטים שיביאו ליישום יעיל של חוק הפיקדון ובהם: החלפת מערך האיסוף המתבסס על </w:t>
      </w:r>
      <w:r w:rsidRPr="00D22A15">
        <w:rPr>
          <w:rFonts w:ascii="Tahoma" w:hAnsi="Tahoma" w:cs="Tahoma"/>
          <w:sz w:val="20"/>
          <w:szCs w:val="20"/>
          <w:rtl/>
        </w:rPr>
        <w:t>מיחזוריות</w:t>
      </w:r>
      <w:r w:rsidRPr="00D22A15">
        <w:rPr>
          <w:rFonts w:ascii="Tahoma" w:hAnsi="Tahoma" w:cs="Tahoma"/>
          <w:sz w:val="20"/>
          <w:szCs w:val="20"/>
          <w:rtl/>
        </w:rPr>
        <w:t xml:space="preserve"> למערך איסוף המבוסס על מכונות אוטומטיות שיוצבו גם במרחב הציבורי ויונגשו לציבור; הקמת מערכות מידע מתקדמות לבקרה ודיווח; יצירת שיתופי פעולה עם רשויות נוספות; הגברת המודעות וההסברה לציבור; הפעלת מערך למענה מהיר לפניות ציבור והיערכות לתיקוני חקיקה משלימים לצורך יישום החוק.</w:t>
      </w:r>
    </w:p>
    <w:p w:rsidR="000930B3" w:rsidRPr="00DA075D" w:rsidP="00DB519D" w14:paraId="46931D10" w14:textId="77777777">
      <w:pPr>
        <w:pStyle w:val="3"/>
        <w:rPr>
          <w:rtl/>
        </w:rPr>
      </w:pPr>
      <w:r w:rsidRPr="00DA075D">
        <w:rPr>
          <w:rtl/>
        </w:rPr>
        <w:t>שיעור איסוף המכלים הגדולים בשנים 2016 - 2017</w:t>
      </w:r>
    </w:p>
    <w:p w:rsidR="000930B3" w:rsidRPr="00D22A15" w:rsidP="005C4ABF" w14:paraId="14CEBE0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בחוק הפיקדון נקבעו התנאים להטלת פיקדון על מכלי משקה גדולים באופן הזה:"(א) לא הגיע איסוף מכלי המשקה הגדולים הריקים בשנה כלשהי לשיעור של 55 אחוזים מכלל מכלי המשקה הגדולים המלאים ששיווקו יצרנים ויבואנים באותה שנה, יודיע על כך השר, בהודעה שתפורסם ברשומות בתוך חודש ממועד קבלת הדוח הרבעוני האחרון לאותה שנה... הודיע השר כאמור, יחולו הוראות חוק זה גם על מכלי משקה גדולים, החל ב-1 בחודש שלאחר תום 60 ימים ממועד ההודעה... (ה) על אף הוראות סעיף קטן (ד), הגיע איסוף מכלי המשקה הגדולים מכלל מכלי המשקה הגדולים המלאים, ששיווקו יצרנים ויבואנים בשנה כלשהי, לשיעור של 47 אחוזים אך לא הגיע לשיעור של 55 אחוזים, רשאי השר, בצו, לדחות את מועד התחולה, וכן לקבוע תנאים לתחולת הוראות החוק...". בהתאם לחוק הפיקדון</w:t>
      </w:r>
      <w:r>
        <w:rPr>
          <w:rFonts w:ascii="Tahoma" w:hAnsi="Tahoma" w:cs="Tahoma"/>
          <w:sz w:val="20"/>
          <w:szCs w:val="20"/>
          <w:vertAlign w:val="superscript"/>
          <w:rtl/>
        </w:rPr>
        <w:footnoteReference w:id="72"/>
      </w:r>
      <w:r w:rsidRPr="00D22A15">
        <w:rPr>
          <w:rFonts w:ascii="Tahoma" w:hAnsi="Tahoma" w:cs="Tahoma"/>
          <w:sz w:val="20"/>
          <w:szCs w:val="20"/>
          <w:rtl/>
        </w:rPr>
        <w:t>, "תקנות וצווים לפי חוק זה טעונים אישור ועדת הכלכלה של הכנסת". להלן ריכוז הוראות החוק:</w:t>
      </w:r>
    </w:p>
    <w:p w:rsidR="000930B3" w:rsidRPr="00DA075D" w:rsidP="00AD02C3" w14:paraId="5A5C52B4" w14:textId="1DB8340A">
      <w:pPr>
        <w:pStyle w:val="a1"/>
        <w:spacing w:line="320" w:lineRule="atLeast"/>
        <w:rPr>
          <w:rtl/>
        </w:rPr>
      </w:pPr>
      <w:r w:rsidRPr="00D22A15">
        <w:rPr>
          <w:b w:val="0"/>
          <w:bCs w:val="0"/>
          <w:rtl/>
        </w:rPr>
        <w:t xml:space="preserve">לוח 8: </w:t>
      </w:r>
      <w:r w:rsidRPr="00DA075D">
        <w:rPr>
          <w:rtl/>
        </w:rPr>
        <w:t xml:space="preserve">ריכוז הוראות חוק הפיקדון בנושא תחולת החוק על מכלי משקה גדולים, </w:t>
      </w:r>
      <w:r w:rsidR="001F4C93">
        <w:br/>
      </w:r>
      <w:r w:rsidRPr="00DA075D">
        <w:rPr>
          <w:rtl/>
        </w:rPr>
        <w:t>החל מינואר 2016</w:t>
      </w:r>
    </w:p>
    <w:tbl>
      <w:tblPr>
        <w:tblStyle w:val="TableGrid"/>
        <w:bidiVisual/>
        <w:tblW w:w="8221" w:type="dxa"/>
        <w:tblBorders>
          <w:top w:val="single" w:sz="8" w:space="0" w:color="auto"/>
          <w:left w:val="single" w:sz="8" w:space="0" w:color="auto"/>
          <w:bottom w:val="single" w:sz="8" w:space="0" w:color="auto"/>
          <w:right w:val="single" w:sz="8" w:space="0" w:color="auto"/>
        </w:tblBorders>
        <w:tblLook w:val="04A0"/>
      </w:tblPr>
      <w:tblGrid>
        <w:gridCol w:w="2835"/>
        <w:gridCol w:w="5386"/>
      </w:tblGrid>
      <w:tr w14:paraId="230B2C71" w14:textId="77777777" w:rsidTr="001F4C93">
        <w:tblPrEx>
          <w:tblW w:w="8221" w:type="dxa"/>
          <w:tblBorders>
            <w:top w:val="single" w:sz="8" w:space="0" w:color="auto"/>
            <w:left w:val="single" w:sz="8" w:space="0" w:color="auto"/>
            <w:bottom w:val="single" w:sz="8" w:space="0" w:color="auto"/>
            <w:right w:val="single" w:sz="8" w:space="0" w:color="auto"/>
          </w:tblBorders>
          <w:tblLook w:val="04A0"/>
        </w:tblPrEx>
        <w:trPr>
          <w:tblHeader/>
        </w:trPr>
        <w:tc>
          <w:tcPr>
            <w:tcW w:w="2835" w:type="dxa"/>
            <w:tcBorders>
              <w:top w:val="single" w:sz="8" w:space="0" w:color="auto"/>
              <w:bottom w:val="single" w:sz="8" w:space="0" w:color="auto"/>
            </w:tcBorders>
            <w:shd w:val="clear" w:color="auto" w:fill="C6D9F1"/>
          </w:tcPr>
          <w:p w:rsidR="006C5FF5" w:rsidRPr="006C5FF5" w:rsidP="006C5FF5" w14:paraId="1817F36B"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שיעור איסוף מוכר</w:t>
            </w:r>
          </w:p>
        </w:tc>
        <w:tc>
          <w:tcPr>
            <w:tcW w:w="5386" w:type="dxa"/>
            <w:tcBorders>
              <w:top w:val="single" w:sz="8" w:space="0" w:color="auto"/>
              <w:bottom w:val="single" w:sz="8" w:space="0" w:color="auto"/>
            </w:tcBorders>
            <w:shd w:val="clear" w:color="auto" w:fill="C6D9F1"/>
          </w:tcPr>
          <w:p w:rsidR="006C5FF5" w:rsidRPr="006C5FF5" w:rsidP="006C5FF5" w14:paraId="69E220A4" w14:textId="77777777">
            <w:pPr>
              <w:pStyle w:val="a20"/>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 xml:space="preserve">פעולה נדרשת </w:t>
            </w:r>
          </w:p>
        </w:tc>
      </w:tr>
      <w:tr w14:paraId="107ACAB7" w14:textId="77777777" w:rsidTr="001F4C93">
        <w:tblPrEx>
          <w:tblW w:w="8221" w:type="dxa"/>
          <w:tblLook w:val="04A0"/>
        </w:tblPrEx>
        <w:tc>
          <w:tcPr>
            <w:tcW w:w="2835" w:type="dxa"/>
            <w:tcBorders>
              <w:top w:val="single" w:sz="8" w:space="0" w:color="auto"/>
            </w:tcBorders>
          </w:tcPr>
          <w:p w:rsidR="006C5FF5" w:rsidRPr="006C5FF5" w:rsidP="006C5FF5" w14:paraId="7EB49E0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עד 47%</w:t>
            </w:r>
          </w:p>
        </w:tc>
        <w:tc>
          <w:tcPr>
            <w:tcW w:w="5386" w:type="dxa"/>
            <w:tcBorders>
              <w:top w:val="single" w:sz="8" w:space="0" w:color="auto"/>
            </w:tcBorders>
          </w:tcPr>
          <w:p w:rsidR="006C5FF5" w:rsidRPr="006C5FF5" w:rsidP="006C5FF5" w14:paraId="721E539E"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הטלת פיקדון.</w:t>
            </w:r>
          </w:p>
        </w:tc>
      </w:tr>
      <w:tr w14:paraId="4C86C1BC" w14:textId="77777777" w:rsidTr="001F4C93">
        <w:tblPrEx>
          <w:tblW w:w="8221" w:type="dxa"/>
          <w:tblLook w:val="04A0"/>
        </w:tblPrEx>
        <w:tc>
          <w:tcPr>
            <w:tcW w:w="2835" w:type="dxa"/>
          </w:tcPr>
          <w:p w:rsidR="006C5FF5" w:rsidRPr="006C5FF5" w:rsidP="006C5FF5" w14:paraId="51BF7AC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47% עד 55%</w:t>
            </w:r>
          </w:p>
        </w:tc>
        <w:tc>
          <w:tcPr>
            <w:tcW w:w="5386" w:type="dxa"/>
          </w:tcPr>
          <w:p w:rsidR="006C5FF5" w:rsidRPr="006C5FF5" w:rsidP="006C5FF5" w14:paraId="39D5721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 xml:space="preserve">הטלת פיקדון. לשר </w:t>
            </w:r>
            <w:r w:rsidRPr="006C5FF5">
              <w:rPr>
                <w:rFonts w:ascii="Tahoma" w:hAnsi="Tahoma" w:cs="Tahoma"/>
                <w:sz w:val="18"/>
                <w:szCs w:val="18"/>
                <w:rtl/>
              </w:rPr>
              <w:t>להגנ"ס</w:t>
            </w:r>
            <w:r w:rsidRPr="006C5FF5">
              <w:rPr>
                <w:rFonts w:ascii="Tahoma" w:hAnsi="Tahoma" w:cs="Tahoma"/>
                <w:sz w:val="18"/>
                <w:szCs w:val="18"/>
                <w:rtl/>
              </w:rPr>
              <w:t xml:space="preserve"> סמכות לדחיית מועד התחולה בצו.</w:t>
            </w:r>
          </w:p>
        </w:tc>
      </w:tr>
      <w:tr w14:paraId="124419CE" w14:textId="77777777" w:rsidTr="001F4C93">
        <w:tblPrEx>
          <w:tblW w:w="8221" w:type="dxa"/>
          <w:tblLook w:val="04A0"/>
        </w:tblPrEx>
        <w:tc>
          <w:tcPr>
            <w:tcW w:w="2835" w:type="dxa"/>
          </w:tcPr>
          <w:p w:rsidR="006C5FF5" w:rsidRPr="006C5FF5" w:rsidP="006C5FF5" w14:paraId="68C319E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55% ומעלה</w:t>
            </w:r>
          </w:p>
        </w:tc>
        <w:tc>
          <w:tcPr>
            <w:tcW w:w="5386" w:type="dxa"/>
          </w:tcPr>
          <w:p w:rsidR="006C5FF5" w:rsidRPr="006C5FF5" w:rsidP="006C5FF5" w14:paraId="1FC6374C"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לא יוטל פיקדון.</w:t>
            </w:r>
          </w:p>
        </w:tc>
      </w:tr>
    </w:tbl>
    <w:p w:rsidR="000930B3" w:rsidRPr="001F4C93" w:rsidP="001F4C93" w14:paraId="266F743B" w14:textId="77777777">
      <w:pPr>
        <w:pStyle w:val="text-source"/>
      </w:pPr>
      <w:r w:rsidRPr="001F4C93">
        <w:rPr>
          <w:rtl/>
        </w:rPr>
        <w:t xml:space="preserve">על פי חוק הפיקדון, בעיבוד משרד מבקר המדינה. </w:t>
      </w:r>
    </w:p>
    <w:p w:rsidR="000930B3" w:rsidRPr="00D22A15" w:rsidP="005C4ABF" w14:paraId="1CCACCE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כאמור לעיל, היצרנים והיבואנים נדרשים על פי חוק הפיקדון לדווח בתום כל רבעון לממונה על החוק על מכירות מכלי המשקה הגדולים ועל האיסוף </w:t>
      </w:r>
      <w:r w:rsidRPr="00D22A15">
        <w:rPr>
          <w:rFonts w:ascii="Tahoma" w:hAnsi="Tahoma" w:cs="Tahoma"/>
          <w:sz w:val="20"/>
          <w:szCs w:val="20"/>
          <w:rtl/>
        </w:rPr>
        <w:t>והמיחזור</w:t>
      </w:r>
      <w:r w:rsidRPr="00D22A15">
        <w:rPr>
          <w:rFonts w:ascii="Tahoma" w:hAnsi="Tahoma" w:cs="Tahoma"/>
          <w:sz w:val="20"/>
          <w:szCs w:val="20"/>
          <w:rtl/>
        </w:rPr>
        <w:t xml:space="preserve"> של מכלי המשקה הגדולים הריקים. כמו כן, עליהם להגיש דוח שנתי מבוקר וחתום על ידי רואה חשבון לממונה לא יאוחר משישה חודשים מתום כל שנת כספים. בהתאם לנוהל דיווח על מכלים גדולים, דיווחים אלה מועברים לבקרה של רואי החשבון מטעם המשרד. על פי חוק הפיקדון, אם לממונה יסוד סביר להניח כי יצרן או יבואן הפר הוראה מההוראות המנויות, בהן עמידה בשיעור האיסוף, עליו למסור למפר הודעה ולאפשר לו את זכות הטיעון. דוחות הבקרה מוגשים לקבלת התייחסויות חברות האיסוף. לאחר קבלת ההתייחסויות קובע הממונה את שיעור האיסוף המוכר. </w:t>
      </w:r>
    </w:p>
    <w:p w:rsidR="000930B3" w:rsidRPr="00D22A15" w:rsidP="005C4ABF" w14:paraId="2B22BE9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דוחות הבקרה על דיווחי חברות איסוף א' ו-ב' (האוספות יחד יותר מ-99.9% מהמכלים הגדולים) בגין האיסוף </w:t>
      </w:r>
      <w:r w:rsidRPr="00D22A15">
        <w:rPr>
          <w:rFonts w:ascii="Tahoma" w:hAnsi="Tahoma" w:cs="Tahoma"/>
          <w:sz w:val="20"/>
          <w:szCs w:val="20"/>
          <w:rtl/>
        </w:rPr>
        <w:t>והמיחזור</w:t>
      </w:r>
      <w:r w:rsidRPr="00D22A15">
        <w:rPr>
          <w:rFonts w:ascii="Tahoma" w:hAnsi="Tahoma" w:cs="Tahoma"/>
          <w:sz w:val="20"/>
          <w:szCs w:val="20"/>
          <w:rtl/>
        </w:rPr>
        <w:t xml:space="preserve"> בשנת 2016 הוגשו למשרד </w:t>
      </w:r>
      <w:r w:rsidRPr="00D22A15">
        <w:rPr>
          <w:rFonts w:ascii="Tahoma" w:hAnsi="Tahoma" w:cs="Tahoma"/>
          <w:sz w:val="20"/>
          <w:szCs w:val="20"/>
          <w:rtl/>
        </w:rPr>
        <w:t>להגנ"ס</w:t>
      </w:r>
      <w:r w:rsidRPr="00D22A15">
        <w:rPr>
          <w:rFonts w:ascii="Tahoma" w:hAnsi="Tahoma" w:cs="Tahoma"/>
          <w:sz w:val="20"/>
          <w:szCs w:val="20"/>
          <w:rtl/>
        </w:rPr>
        <w:t xml:space="preserve"> במרץ 2018 ובנובמבר 2018, בהתאמה. דוחות הבקרה בגין שנת 2017 הוגשו למשרד </w:t>
      </w:r>
      <w:r w:rsidRPr="00D22A15">
        <w:rPr>
          <w:rFonts w:ascii="Tahoma" w:hAnsi="Tahoma" w:cs="Tahoma"/>
          <w:sz w:val="20"/>
          <w:szCs w:val="20"/>
          <w:rtl/>
        </w:rPr>
        <w:t>להגנ"ס</w:t>
      </w:r>
      <w:r w:rsidRPr="00D22A15">
        <w:rPr>
          <w:rFonts w:ascii="Tahoma" w:hAnsi="Tahoma" w:cs="Tahoma"/>
          <w:sz w:val="20"/>
          <w:szCs w:val="20"/>
          <w:rtl/>
        </w:rPr>
        <w:t xml:space="preserve"> בדצמבר 2018 ובפברואר 2019. להלן שיעורי האיסוף שדווחו על ידי החברות האמורות, שיעורי האיסוף שעלו </w:t>
      </w:r>
      <w:r w:rsidRPr="00D22A15">
        <w:rPr>
          <w:rFonts w:ascii="Tahoma" w:hAnsi="Tahoma" w:cs="Tahoma"/>
          <w:sz w:val="20"/>
          <w:szCs w:val="20"/>
          <w:rtl/>
        </w:rPr>
        <w:t>מדוחות הבקרה, שיעורי האיסוף שבהם הכיר הממונה ואיסוף שהוכר לחברת איסוף א' בפסק דין שניתן בנובמבר 2020</w:t>
      </w:r>
      <w:r w:rsidRPr="00D22A15">
        <w:rPr>
          <w:rFonts w:ascii="Tahoma" w:hAnsi="Tahoma" w:cs="Tahoma"/>
          <w:spacing w:val="-76"/>
          <w:sz w:val="20"/>
          <w:szCs w:val="20"/>
          <w:rtl/>
        </w:rPr>
        <w:t xml:space="preserve"> </w:t>
      </w:r>
      <w:r>
        <w:rPr>
          <w:rFonts w:ascii="Tahoma" w:hAnsi="Tahoma" w:cs="Tahoma"/>
          <w:sz w:val="20"/>
          <w:szCs w:val="20"/>
          <w:vertAlign w:val="superscript"/>
          <w:rtl/>
        </w:rPr>
        <w:footnoteReference w:id="73"/>
      </w:r>
      <w:r w:rsidRPr="00D22A15">
        <w:rPr>
          <w:rFonts w:ascii="Tahoma" w:hAnsi="Tahoma" w:cs="Tahoma"/>
          <w:sz w:val="20"/>
          <w:szCs w:val="20"/>
          <w:rtl/>
        </w:rPr>
        <w:t xml:space="preserve">: </w:t>
      </w:r>
    </w:p>
    <w:p w:rsidR="000930B3" w:rsidRPr="00DA075D" w:rsidP="00AD02C3" w14:paraId="7C10FF41" w14:textId="59F9B3E2">
      <w:pPr>
        <w:pStyle w:val="a1"/>
        <w:spacing w:line="320" w:lineRule="atLeast"/>
        <w:rPr>
          <w:rtl/>
        </w:rPr>
      </w:pPr>
      <w:r w:rsidRPr="00D22A15">
        <w:rPr>
          <w:b w:val="0"/>
          <w:bCs w:val="0"/>
          <w:rtl/>
        </w:rPr>
        <w:t xml:space="preserve">לוח 9: </w:t>
      </w:r>
      <w:r w:rsidRPr="00DA075D">
        <w:rPr>
          <w:rtl/>
        </w:rPr>
        <w:t>שיעורי איסוף מכלי המשקה הגדולים, 2016 - 2017</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300"/>
        <w:gridCol w:w="1292"/>
        <w:gridCol w:w="1292"/>
        <w:gridCol w:w="872"/>
        <w:gridCol w:w="1410"/>
        <w:gridCol w:w="986"/>
        <w:gridCol w:w="1070"/>
      </w:tblGrid>
      <w:tr w14:paraId="059290E8" w14:textId="77777777" w:rsidTr="00BE6A7F">
        <w:tblPrEx>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tblHeader/>
          <w:jc w:val="center"/>
        </w:trPr>
        <w:tc>
          <w:tcPr>
            <w:tcW w:w="0" w:type="auto"/>
            <w:tcBorders>
              <w:top w:val="single" w:sz="8" w:space="0" w:color="auto"/>
              <w:bottom w:val="single" w:sz="8" w:space="0" w:color="auto"/>
            </w:tcBorders>
            <w:shd w:val="clear" w:color="auto" w:fill="C6D9F1"/>
            <w:vAlign w:val="bottom"/>
          </w:tcPr>
          <w:p w:rsidR="006C5FF5" w:rsidRPr="006C5FF5" w:rsidP="00BE6A7F" w14:paraId="3C407B6D"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חברת איסוף</w:t>
            </w:r>
          </w:p>
        </w:tc>
        <w:tc>
          <w:tcPr>
            <w:tcW w:w="0" w:type="auto"/>
            <w:tcBorders>
              <w:top w:val="single" w:sz="8" w:space="0" w:color="auto"/>
              <w:bottom w:val="single" w:sz="8" w:space="0" w:color="auto"/>
            </w:tcBorders>
            <w:shd w:val="clear" w:color="auto" w:fill="C6D9F1"/>
            <w:vAlign w:val="bottom"/>
          </w:tcPr>
          <w:p w:rsidR="006C5FF5" w:rsidRPr="006C5FF5" w:rsidP="00BE6A7F" w14:paraId="10CBE8EE" w14:textId="4D107B5C">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סך </w:t>
            </w:r>
            <w:r w:rsidR="00BE6A7F">
              <w:rPr>
                <w:rFonts w:ascii="Tahoma" w:hAnsi="Tahoma" w:cs="Tahoma"/>
                <w:b/>
                <w:bCs/>
                <w:sz w:val="18"/>
                <w:szCs w:val="18"/>
              </w:rPr>
              <w:br/>
            </w:r>
            <w:r w:rsidRPr="006C5FF5">
              <w:rPr>
                <w:rFonts w:ascii="Tahoma" w:hAnsi="Tahoma" w:cs="Tahoma"/>
                <w:b/>
                <w:bCs/>
                <w:sz w:val="18"/>
                <w:szCs w:val="18"/>
                <w:rtl/>
              </w:rPr>
              <w:t xml:space="preserve">מכירות </w:t>
            </w:r>
            <w:r w:rsidR="00BE6A7F">
              <w:rPr>
                <w:rFonts w:ascii="Tahoma" w:hAnsi="Tahoma" w:cs="Tahoma"/>
                <w:b/>
                <w:bCs/>
                <w:sz w:val="18"/>
                <w:szCs w:val="18"/>
              </w:rPr>
              <w:br/>
            </w:r>
            <w:r w:rsidRPr="006C5FF5">
              <w:rPr>
                <w:rFonts w:ascii="Tahoma" w:hAnsi="Tahoma" w:cs="Tahoma"/>
                <w:b/>
                <w:bCs/>
                <w:sz w:val="18"/>
                <w:szCs w:val="18"/>
                <w:rtl/>
              </w:rPr>
              <w:t xml:space="preserve">מדווח </w:t>
            </w:r>
            <w:r w:rsidR="00BE6A7F">
              <w:rPr>
                <w:rFonts w:ascii="Tahoma" w:hAnsi="Tahoma" w:cs="Tahoma"/>
                <w:b/>
                <w:bCs/>
                <w:sz w:val="18"/>
                <w:szCs w:val="18"/>
              </w:rPr>
              <w:br/>
            </w:r>
            <w:r w:rsidRPr="006C5FF5">
              <w:rPr>
                <w:rFonts w:ascii="Tahoma" w:hAnsi="Tahoma" w:cs="Tahoma"/>
                <w:b/>
                <w:bCs/>
                <w:sz w:val="18"/>
                <w:szCs w:val="18"/>
                <w:rtl/>
              </w:rPr>
              <w:t>(יחידות)</w:t>
            </w:r>
          </w:p>
        </w:tc>
        <w:tc>
          <w:tcPr>
            <w:tcW w:w="0" w:type="auto"/>
            <w:tcBorders>
              <w:top w:val="single" w:sz="8" w:space="0" w:color="auto"/>
              <w:bottom w:val="single" w:sz="8" w:space="0" w:color="auto"/>
            </w:tcBorders>
            <w:shd w:val="clear" w:color="auto" w:fill="C6D9F1"/>
            <w:vAlign w:val="bottom"/>
          </w:tcPr>
          <w:p w:rsidR="006C5FF5" w:rsidRPr="006C5FF5" w:rsidP="00BE6A7F" w14:paraId="79B3AE40" w14:textId="709CC142">
            <w:pPr>
              <w:pStyle w:val="a20"/>
              <w:tabs>
                <w:tab w:val="clear" w:pos="340"/>
              </w:tabs>
              <w:spacing w:before="40" w:after="40" w:line="240" w:lineRule="atLeast"/>
              <w:jc w:val="left"/>
              <w:rPr>
                <w:rFonts w:ascii="Tahoma" w:hAnsi="Tahoma" w:cs="Tahoma"/>
                <w:rtl/>
              </w:rPr>
            </w:pPr>
            <w:r w:rsidRPr="006C5FF5">
              <w:rPr>
                <w:rFonts w:ascii="Tahoma" w:hAnsi="Tahoma" w:cs="Tahoma"/>
                <w:b/>
                <w:bCs/>
                <w:spacing w:val="-3"/>
                <w:sz w:val="18"/>
                <w:szCs w:val="18"/>
                <w:rtl/>
              </w:rPr>
              <w:t xml:space="preserve">איסוף </w:t>
            </w:r>
            <w:r w:rsidR="00BE6A7F">
              <w:rPr>
                <w:rFonts w:ascii="Tahoma" w:hAnsi="Tahoma" w:cs="Tahoma"/>
                <w:b/>
                <w:bCs/>
                <w:spacing w:val="-3"/>
                <w:sz w:val="18"/>
                <w:szCs w:val="18"/>
              </w:rPr>
              <w:br/>
            </w:r>
            <w:r w:rsidRPr="006C5FF5">
              <w:rPr>
                <w:rFonts w:ascii="Tahoma" w:hAnsi="Tahoma" w:cs="Tahoma"/>
                <w:b/>
                <w:bCs/>
                <w:spacing w:val="-3"/>
                <w:sz w:val="18"/>
                <w:szCs w:val="18"/>
                <w:rtl/>
              </w:rPr>
              <w:t xml:space="preserve">מדווח </w:t>
            </w:r>
            <w:r w:rsidR="00BE6A7F">
              <w:rPr>
                <w:rFonts w:ascii="Tahoma" w:hAnsi="Tahoma" w:cs="Tahoma"/>
                <w:b/>
                <w:bCs/>
                <w:spacing w:val="-3"/>
                <w:sz w:val="18"/>
                <w:szCs w:val="18"/>
              </w:rPr>
              <w:br/>
            </w:r>
            <w:r w:rsidRPr="006C5FF5">
              <w:rPr>
                <w:rFonts w:ascii="Tahoma" w:hAnsi="Tahoma" w:cs="Tahoma"/>
                <w:b/>
                <w:bCs/>
                <w:spacing w:val="-3"/>
                <w:sz w:val="18"/>
                <w:szCs w:val="18"/>
                <w:rtl/>
              </w:rPr>
              <w:t xml:space="preserve">ואיסוף </w:t>
            </w:r>
            <w:r w:rsidR="00BE6A7F">
              <w:rPr>
                <w:rFonts w:ascii="Tahoma" w:hAnsi="Tahoma" w:cs="Tahoma"/>
                <w:b/>
                <w:bCs/>
                <w:spacing w:val="-3"/>
                <w:sz w:val="18"/>
                <w:szCs w:val="18"/>
              </w:rPr>
              <w:br/>
            </w:r>
            <w:r w:rsidRPr="006C5FF5">
              <w:rPr>
                <w:rFonts w:ascii="Tahoma" w:hAnsi="Tahoma" w:cs="Tahoma"/>
                <w:b/>
                <w:bCs/>
                <w:spacing w:val="-3"/>
                <w:sz w:val="18"/>
                <w:szCs w:val="18"/>
                <w:rtl/>
              </w:rPr>
              <w:t xml:space="preserve">על פי </w:t>
            </w:r>
            <w:r w:rsidR="00BE6A7F">
              <w:rPr>
                <w:rFonts w:ascii="Tahoma" w:hAnsi="Tahoma" w:cs="Tahoma"/>
                <w:b/>
                <w:bCs/>
                <w:spacing w:val="-3"/>
                <w:sz w:val="18"/>
                <w:szCs w:val="18"/>
              </w:rPr>
              <w:br/>
            </w:r>
            <w:r w:rsidRPr="006C5FF5">
              <w:rPr>
                <w:rFonts w:ascii="Tahoma" w:hAnsi="Tahoma" w:cs="Tahoma"/>
                <w:b/>
                <w:bCs/>
                <w:spacing w:val="-3"/>
                <w:sz w:val="18"/>
                <w:szCs w:val="18"/>
                <w:rtl/>
              </w:rPr>
              <w:t>פס"ד</w:t>
            </w:r>
            <w:r w:rsidR="00BE6A7F">
              <w:rPr>
                <w:rFonts w:ascii="Tahoma" w:hAnsi="Tahoma" w:cs="Tahoma"/>
                <w:b/>
                <w:bCs/>
                <w:spacing w:val="-3"/>
                <w:sz w:val="18"/>
                <w:szCs w:val="18"/>
              </w:rPr>
              <w:br/>
            </w:r>
            <w:r w:rsidRPr="006C5FF5">
              <w:rPr>
                <w:rFonts w:ascii="Tahoma" w:hAnsi="Tahoma" w:cs="Tahoma"/>
                <w:b/>
                <w:bCs/>
                <w:spacing w:val="-3"/>
                <w:sz w:val="18"/>
                <w:szCs w:val="18"/>
                <w:rtl/>
              </w:rPr>
              <w:t>(יחידות)</w:t>
            </w:r>
          </w:p>
        </w:tc>
        <w:tc>
          <w:tcPr>
            <w:tcW w:w="0" w:type="auto"/>
            <w:tcBorders>
              <w:top w:val="single" w:sz="8" w:space="0" w:color="auto"/>
              <w:bottom w:val="single" w:sz="8" w:space="0" w:color="auto"/>
            </w:tcBorders>
            <w:shd w:val="clear" w:color="auto" w:fill="C6D9F1"/>
            <w:vAlign w:val="bottom"/>
          </w:tcPr>
          <w:p w:rsidR="006C5FF5" w:rsidRPr="006C5FF5" w:rsidP="00BE6A7F" w14:paraId="7D30CB80" w14:textId="19D51FA9">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שיעור </w:t>
            </w:r>
            <w:r w:rsidR="00BE6A7F">
              <w:rPr>
                <w:rFonts w:ascii="Tahoma" w:hAnsi="Tahoma" w:cs="Tahoma"/>
                <w:b/>
                <w:bCs/>
                <w:sz w:val="18"/>
                <w:szCs w:val="18"/>
              </w:rPr>
              <w:br/>
            </w:r>
            <w:r w:rsidRPr="006C5FF5">
              <w:rPr>
                <w:rFonts w:ascii="Tahoma" w:hAnsi="Tahoma" w:cs="Tahoma"/>
                <w:b/>
                <w:bCs/>
                <w:sz w:val="18"/>
                <w:szCs w:val="18"/>
                <w:rtl/>
              </w:rPr>
              <w:t xml:space="preserve">האיסוף </w:t>
            </w:r>
            <w:r w:rsidR="00BE6A7F">
              <w:rPr>
                <w:rFonts w:ascii="Tahoma" w:hAnsi="Tahoma" w:cs="Tahoma"/>
                <w:b/>
                <w:bCs/>
                <w:sz w:val="18"/>
                <w:szCs w:val="18"/>
              </w:rPr>
              <w:br/>
            </w:r>
            <w:r w:rsidRPr="006C5FF5">
              <w:rPr>
                <w:rFonts w:ascii="Tahoma" w:hAnsi="Tahoma" w:cs="Tahoma"/>
                <w:b/>
                <w:bCs/>
                <w:sz w:val="18"/>
                <w:szCs w:val="18"/>
                <w:rtl/>
              </w:rPr>
              <w:t xml:space="preserve">שדווח </w:t>
            </w:r>
            <w:r w:rsidR="00BE6A7F">
              <w:rPr>
                <w:rFonts w:ascii="Tahoma" w:hAnsi="Tahoma" w:cs="Tahoma"/>
                <w:b/>
                <w:bCs/>
                <w:sz w:val="18"/>
                <w:szCs w:val="18"/>
              </w:rPr>
              <w:br/>
            </w:r>
            <w:r w:rsidRPr="006C5FF5">
              <w:rPr>
                <w:rFonts w:ascii="Tahoma" w:hAnsi="Tahoma" w:cs="Tahoma"/>
                <w:b/>
                <w:bCs/>
                <w:sz w:val="18"/>
                <w:szCs w:val="18"/>
                <w:rtl/>
              </w:rPr>
              <w:t xml:space="preserve">והאיסוף </w:t>
            </w:r>
            <w:r w:rsidR="00BE6A7F">
              <w:rPr>
                <w:rFonts w:ascii="Tahoma" w:hAnsi="Tahoma" w:cs="Tahoma"/>
                <w:b/>
                <w:bCs/>
                <w:sz w:val="18"/>
                <w:szCs w:val="18"/>
              </w:rPr>
              <w:br/>
            </w:r>
            <w:r w:rsidRPr="006C5FF5">
              <w:rPr>
                <w:rFonts w:ascii="Tahoma" w:hAnsi="Tahoma" w:cs="Tahoma"/>
                <w:b/>
                <w:bCs/>
                <w:sz w:val="18"/>
                <w:szCs w:val="18"/>
                <w:rtl/>
              </w:rPr>
              <w:t xml:space="preserve">על פי </w:t>
            </w:r>
            <w:r w:rsidR="00BE6A7F">
              <w:rPr>
                <w:rFonts w:ascii="Tahoma" w:hAnsi="Tahoma" w:cs="Tahoma"/>
                <w:b/>
                <w:bCs/>
                <w:sz w:val="18"/>
                <w:szCs w:val="18"/>
              </w:rPr>
              <w:br/>
            </w:r>
            <w:r w:rsidRPr="006C5FF5">
              <w:rPr>
                <w:rFonts w:ascii="Tahoma" w:hAnsi="Tahoma" w:cs="Tahoma"/>
                <w:b/>
                <w:bCs/>
                <w:sz w:val="18"/>
                <w:szCs w:val="18"/>
                <w:rtl/>
              </w:rPr>
              <w:t xml:space="preserve">פס"ד </w:t>
            </w:r>
          </w:p>
        </w:tc>
        <w:tc>
          <w:tcPr>
            <w:tcW w:w="0" w:type="auto"/>
            <w:tcBorders>
              <w:top w:val="single" w:sz="8" w:space="0" w:color="auto"/>
              <w:bottom w:val="single" w:sz="8" w:space="0" w:color="auto"/>
            </w:tcBorders>
            <w:shd w:val="clear" w:color="auto" w:fill="C6D9F1"/>
            <w:vAlign w:val="bottom"/>
          </w:tcPr>
          <w:p w:rsidR="006C5FF5" w:rsidRPr="006C5FF5" w:rsidP="00BE6A7F" w14:paraId="53FBF040" w14:textId="058092C2">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איסוף </w:t>
            </w:r>
            <w:r w:rsidR="00BE6A7F">
              <w:rPr>
                <w:rFonts w:ascii="Tahoma" w:hAnsi="Tahoma" w:cs="Tahoma"/>
                <w:b/>
                <w:bCs/>
                <w:sz w:val="18"/>
                <w:szCs w:val="18"/>
              </w:rPr>
              <w:br/>
            </w:r>
            <w:r w:rsidRPr="006C5FF5">
              <w:rPr>
                <w:rFonts w:ascii="Tahoma" w:hAnsi="Tahoma" w:cs="Tahoma"/>
                <w:b/>
                <w:bCs/>
                <w:sz w:val="18"/>
                <w:szCs w:val="18"/>
                <w:rtl/>
              </w:rPr>
              <w:t xml:space="preserve">על פי </w:t>
            </w:r>
            <w:r w:rsidR="00BE6A7F">
              <w:rPr>
                <w:rFonts w:ascii="Tahoma" w:hAnsi="Tahoma" w:cs="Tahoma"/>
                <w:b/>
                <w:bCs/>
                <w:sz w:val="18"/>
                <w:szCs w:val="18"/>
              </w:rPr>
              <w:br/>
            </w:r>
            <w:r w:rsidRPr="006C5FF5">
              <w:rPr>
                <w:rFonts w:ascii="Tahoma" w:hAnsi="Tahoma" w:cs="Tahoma"/>
                <w:b/>
                <w:bCs/>
                <w:sz w:val="18"/>
                <w:szCs w:val="18"/>
                <w:rtl/>
              </w:rPr>
              <w:t xml:space="preserve">דוח </w:t>
            </w:r>
            <w:r w:rsidR="00BE6A7F">
              <w:rPr>
                <w:rFonts w:ascii="Tahoma" w:hAnsi="Tahoma" w:cs="Tahoma"/>
                <w:b/>
                <w:bCs/>
                <w:sz w:val="18"/>
                <w:szCs w:val="18"/>
              </w:rPr>
              <w:br/>
            </w:r>
            <w:r w:rsidRPr="006C5FF5">
              <w:rPr>
                <w:rFonts w:ascii="Tahoma" w:hAnsi="Tahoma" w:cs="Tahoma"/>
                <w:b/>
                <w:bCs/>
                <w:sz w:val="18"/>
                <w:szCs w:val="18"/>
                <w:rtl/>
              </w:rPr>
              <w:t xml:space="preserve">הבקרה </w:t>
            </w:r>
            <w:r w:rsidR="00BE6A7F">
              <w:rPr>
                <w:rFonts w:ascii="Tahoma" w:hAnsi="Tahoma" w:cs="Tahoma"/>
                <w:b/>
                <w:bCs/>
                <w:sz w:val="18"/>
                <w:szCs w:val="18"/>
              </w:rPr>
              <w:br/>
            </w:r>
            <w:r w:rsidRPr="006C5FF5">
              <w:rPr>
                <w:rFonts w:ascii="Tahoma" w:hAnsi="Tahoma" w:cs="Tahoma"/>
                <w:b/>
                <w:bCs/>
                <w:sz w:val="18"/>
                <w:szCs w:val="18"/>
                <w:rtl/>
              </w:rPr>
              <w:t xml:space="preserve">ופס"ד </w:t>
            </w:r>
            <w:r w:rsidR="00BE6A7F">
              <w:rPr>
                <w:rFonts w:ascii="Tahoma" w:hAnsi="Tahoma" w:cs="Tahoma"/>
                <w:b/>
                <w:bCs/>
                <w:sz w:val="18"/>
                <w:szCs w:val="18"/>
              </w:rPr>
              <w:br/>
            </w:r>
            <w:r w:rsidRPr="006C5FF5">
              <w:rPr>
                <w:rFonts w:ascii="Tahoma" w:hAnsi="Tahoma" w:cs="Tahoma"/>
                <w:b/>
                <w:bCs/>
                <w:sz w:val="18"/>
                <w:szCs w:val="18"/>
                <w:rtl/>
              </w:rPr>
              <w:t xml:space="preserve">(יחידות) </w:t>
            </w:r>
          </w:p>
        </w:tc>
        <w:tc>
          <w:tcPr>
            <w:tcW w:w="0" w:type="auto"/>
            <w:tcBorders>
              <w:top w:val="single" w:sz="8" w:space="0" w:color="auto"/>
              <w:bottom w:val="single" w:sz="8" w:space="0" w:color="auto"/>
            </w:tcBorders>
            <w:shd w:val="clear" w:color="auto" w:fill="C6D9F1"/>
            <w:vAlign w:val="bottom"/>
          </w:tcPr>
          <w:p w:rsidR="006C5FF5" w:rsidRPr="006C5FF5" w:rsidP="00BE6A7F" w14:paraId="033C9FBF" w14:textId="5F9C2EFB">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שיעור </w:t>
            </w:r>
            <w:r w:rsidR="00BE6A7F">
              <w:rPr>
                <w:rFonts w:ascii="Tahoma" w:hAnsi="Tahoma" w:cs="Tahoma"/>
                <w:b/>
                <w:bCs/>
                <w:sz w:val="18"/>
                <w:szCs w:val="18"/>
              </w:rPr>
              <w:br/>
            </w:r>
            <w:r w:rsidRPr="006C5FF5">
              <w:rPr>
                <w:rFonts w:ascii="Tahoma" w:hAnsi="Tahoma" w:cs="Tahoma"/>
                <w:b/>
                <w:bCs/>
                <w:sz w:val="18"/>
                <w:szCs w:val="18"/>
                <w:rtl/>
              </w:rPr>
              <w:t xml:space="preserve">האיסוף </w:t>
            </w:r>
            <w:r w:rsidR="00BE6A7F">
              <w:rPr>
                <w:rFonts w:ascii="Tahoma" w:hAnsi="Tahoma" w:cs="Tahoma"/>
                <w:b/>
                <w:bCs/>
                <w:sz w:val="18"/>
                <w:szCs w:val="18"/>
              </w:rPr>
              <w:br/>
            </w:r>
            <w:r w:rsidRPr="006C5FF5">
              <w:rPr>
                <w:rFonts w:ascii="Tahoma" w:hAnsi="Tahoma" w:cs="Tahoma"/>
                <w:b/>
                <w:bCs/>
                <w:sz w:val="18"/>
                <w:szCs w:val="18"/>
                <w:rtl/>
              </w:rPr>
              <w:t xml:space="preserve">על פי </w:t>
            </w:r>
            <w:r w:rsidR="00BE6A7F">
              <w:rPr>
                <w:rFonts w:ascii="Tahoma" w:hAnsi="Tahoma" w:cs="Tahoma"/>
                <w:b/>
                <w:bCs/>
                <w:sz w:val="18"/>
                <w:szCs w:val="18"/>
              </w:rPr>
              <w:br/>
            </w:r>
            <w:r w:rsidRPr="006C5FF5">
              <w:rPr>
                <w:rFonts w:ascii="Tahoma" w:hAnsi="Tahoma" w:cs="Tahoma"/>
                <w:b/>
                <w:bCs/>
                <w:sz w:val="18"/>
                <w:szCs w:val="18"/>
                <w:rtl/>
              </w:rPr>
              <w:t xml:space="preserve">דוח </w:t>
            </w:r>
            <w:r w:rsidR="00BE6A7F">
              <w:rPr>
                <w:rFonts w:ascii="Tahoma" w:hAnsi="Tahoma" w:cs="Tahoma"/>
                <w:b/>
                <w:bCs/>
                <w:sz w:val="18"/>
                <w:szCs w:val="18"/>
              </w:rPr>
              <w:br/>
            </w:r>
            <w:r w:rsidRPr="006C5FF5">
              <w:rPr>
                <w:rFonts w:ascii="Tahoma" w:hAnsi="Tahoma" w:cs="Tahoma"/>
                <w:b/>
                <w:bCs/>
                <w:sz w:val="18"/>
                <w:szCs w:val="18"/>
                <w:rtl/>
              </w:rPr>
              <w:t>הבקרה</w:t>
            </w:r>
          </w:p>
        </w:tc>
        <w:tc>
          <w:tcPr>
            <w:tcW w:w="0" w:type="auto"/>
            <w:tcBorders>
              <w:top w:val="single" w:sz="8" w:space="0" w:color="auto"/>
              <w:bottom w:val="single" w:sz="8" w:space="0" w:color="auto"/>
            </w:tcBorders>
            <w:shd w:val="clear" w:color="auto" w:fill="C6D9F1"/>
            <w:vAlign w:val="bottom"/>
          </w:tcPr>
          <w:p w:rsidR="006C5FF5" w:rsidRPr="006C5FF5" w:rsidP="00BE6A7F" w14:paraId="47C9035B" w14:textId="587036C5">
            <w:pPr>
              <w:pStyle w:val="a20"/>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 xml:space="preserve">שיעור </w:t>
            </w:r>
            <w:r w:rsidR="00BE6A7F">
              <w:rPr>
                <w:rFonts w:ascii="Tahoma" w:hAnsi="Tahoma" w:cs="Tahoma"/>
                <w:b/>
                <w:bCs/>
                <w:sz w:val="18"/>
                <w:szCs w:val="18"/>
              </w:rPr>
              <w:br/>
            </w:r>
            <w:r w:rsidRPr="006C5FF5">
              <w:rPr>
                <w:rFonts w:ascii="Tahoma" w:hAnsi="Tahoma" w:cs="Tahoma"/>
                <w:b/>
                <w:bCs/>
                <w:sz w:val="18"/>
                <w:szCs w:val="18"/>
                <w:rtl/>
              </w:rPr>
              <w:t xml:space="preserve">האיסוף </w:t>
            </w:r>
            <w:r w:rsidR="00BE6A7F">
              <w:rPr>
                <w:rFonts w:ascii="Tahoma" w:hAnsi="Tahoma" w:cs="Tahoma"/>
                <w:b/>
                <w:bCs/>
                <w:sz w:val="18"/>
                <w:szCs w:val="18"/>
              </w:rPr>
              <w:br/>
            </w:r>
            <w:r w:rsidRPr="006C5FF5">
              <w:rPr>
                <w:rFonts w:ascii="Tahoma" w:hAnsi="Tahoma" w:cs="Tahoma"/>
                <w:b/>
                <w:bCs/>
                <w:sz w:val="18"/>
                <w:szCs w:val="18"/>
                <w:rtl/>
              </w:rPr>
              <w:t xml:space="preserve">שהוכר ע"י </w:t>
            </w:r>
            <w:r w:rsidR="00BE6A7F">
              <w:rPr>
                <w:rFonts w:ascii="Tahoma" w:hAnsi="Tahoma" w:cs="Tahoma"/>
                <w:b/>
                <w:bCs/>
                <w:sz w:val="18"/>
                <w:szCs w:val="18"/>
              </w:rPr>
              <w:br/>
            </w:r>
            <w:r w:rsidRPr="006C5FF5">
              <w:rPr>
                <w:rFonts w:ascii="Tahoma" w:hAnsi="Tahoma" w:cs="Tahoma"/>
                <w:b/>
                <w:bCs/>
                <w:sz w:val="18"/>
                <w:szCs w:val="18"/>
                <w:rtl/>
              </w:rPr>
              <w:t xml:space="preserve">הממונה </w:t>
            </w:r>
            <w:r w:rsidR="00BE6A7F">
              <w:rPr>
                <w:rFonts w:ascii="Tahoma" w:hAnsi="Tahoma" w:cs="Tahoma"/>
                <w:b/>
                <w:bCs/>
                <w:sz w:val="18"/>
                <w:szCs w:val="18"/>
              </w:rPr>
              <w:br/>
            </w:r>
            <w:r w:rsidRPr="006C5FF5">
              <w:rPr>
                <w:rFonts w:ascii="Tahoma" w:hAnsi="Tahoma" w:cs="Tahoma"/>
                <w:b/>
                <w:bCs/>
                <w:sz w:val="18"/>
                <w:szCs w:val="18"/>
                <w:rtl/>
              </w:rPr>
              <w:t>וע</w:t>
            </w:r>
            <w:r w:rsidR="00152F9D">
              <w:rPr>
                <w:rFonts w:ascii="Tahoma" w:hAnsi="Tahoma" w:cs="Tahoma" w:hint="cs"/>
                <w:b/>
                <w:bCs/>
                <w:sz w:val="18"/>
                <w:szCs w:val="18"/>
                <w:rtl/>
              </w:rPr>
              <w:t xml:space="preserve">ל </w:t>
            </w:r>
            <w:r w:rsidRPr="006C5FF5">
              <w:rPr>
                <w:rFonts w:ascii="Tahoma" w:hAnsi="Tahoma" w:cs="Tahoma"/>
                <w:b/>
                <w:bCs/>
                <w:sz w:val="18"/>
                <w:szCs w:val="18"/>
                <w:rtl/>
              </w:rPr>
              <w:t xml:space="preserve">פי </w:t>
            </w:r>
            <w:r w:rsidR="00152F9D">
              <w:rPr>
                <w:rFonts w:ascii="Tahoma" w:hAnsi="Tahoma" w:cs="Tahoma"/>
                <w:b/>
                <w:bCs/>
                <w:sz w:val="18"/>
                <w:szCs w:val="18"/>
                <w:rtl/>
              </w:rPr>
              <w:br/>
            </w:r>
            <w:r w:rsidRPr="006C5FF5">
              <w:rPr>
                <w:rFonts w:ascii="Tahoma" w:hAnsi="Tahoma" w:cs="Tahoma"/>
                <w:b/>
                <w:bCs/>
                <w:sz w:val="18"/>
                <w:szCs w:val="18"/>
                <w:rtl/>
              </w:rPr>
              <w:t>פס"ד</w:t>
            </w:r>
          </w:p>
        </w:tc>
      </w:tr>
      <w:tr w14:paraId="16424F8E" w14:textId="77777777" w:rsidTr="00BE6A7F">
        <w:tblPrEx>
          <w:tblW w:w="8222" w:type="dxa"/>
          <w:jc w:val="center"/>
          <w:tblCellMar>
            <w:left w:w="57" w:type="dxa"/>
            <w:right w:w="57" w:type="dxa"/>
          </w:tblCellMar>
          <w:tblLook w:val="04A0"/>
        </w:tblPrEx>
        <w:trPr>
          <w:jc w:val="center"/>
        </w:trPr>
        <w:tc>
          <w:tcPr>
            <w:tcW w:w="0" w:type="auto"/>
            <w:gridSpan w:val="7"/>
            <w:tcBorders>
              <w:top w:val="single" w:sz="8" w:space="0" w:color="auto"/>
            </w:tcBorders>
          </w:tcPr>
          <w:p w:rsidR="00BE6A7F" w:rsidRPr="006C5FF5" w:rsidP="00BE6A7F" w14:paraId="3309B3C5" w14:textId="5B5813F5">
            <w:pPr>
              <w:pStyle w:val="a20"/>
              <w:tabs>
                <w:tab w:val="clear" w:pos="340"/>
              </w:tabs>
              <w:spacing w:before="40" w:after="40" w:line="240" w:lineRule="atLeast"/>
              <w:rPr>
                <w:rFonts w:ascii="Tahoma" w:hAnsi="Tahoma" w:cs="Tahoma"/>
                <w:b/>
                <w:bCs/>
                <w:sz w:val="18"/>
                <w:szCs w:val="18"/>
                <w:rtl/>
              </w:rPr>
            </w:pPr>
            <w:r w:rsidRPr="006C5FF5">
              <w:rPr>
                <w:rFonts w:ascii="Tahoma" w:hAnsi="Tahoma" w:cs="Tahoma"/>
                <w:b/>
                <w:bCs/>
                <w:sz w:val="18"/>
                <w:szCs w:val="18"/>
                <w:rtl/>
              </w:rPr>
              <w:t>שנת 2016</w:t>
            </w:r>
          </w:p>
        </w:tc>
      </w:tr>
      <w:tr w14:paraId="264D83A4"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08F2BCE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א' </w:t>
            </w:r>
          </w:p>
        </w:tc>
        <w:tc>
          <w:tcPr>
            <w:tcW w:w="0" w:type="auto"/>
          </w:tcPr>
          <w:p w:rsidR="006C5FF5" w:rsidRPr="006C5FF5" w:rsidP="006C5FF5" w14:paraId="634593E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737,993,608</w:t>
            </w:r>
          </w:p>
        </w:tc>
        <w:tc>
          <w:tcPr>
            <w:tcW w:w="0" w:type="auto"/>
          </w:tcPr>
          <w:p w:rsidR="006C5FF5" w:rsidRPr="006C5FF5" w:rsidP="006C5FF5" w14:paraId="7F46EDC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445,706,173</w:t>
            </w:r>
          </w:p>
        </w:tc>
        <w:tc>
          <w:tcPr>
            <w:tcW w:w="0" w:type="auto"/>
          </w:tcPr>
          <w:p w:rsidR="006C5FF5" w:rsidRPr="006C5FF5" w:rsidP="006C5FF5" w14:paraId="5F1D2A0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60.4% </w:t>
            </w:r>
          </w:p>
        </w:tc>
        <w:tc>
          <w:tcPr>
            <w:tcW w:w="0" w:type="auto"/>
          </w:tcPr>
          <w:p w:rsidR="006C5FF5" w:rsidRPr="006C5FF5" w:rsidP="006C5FF5" w14:paraId="7CE36CF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325,665,279 </w:t>
            </w:r>
          </w:p>
        </w:tc>
        <w:tc>
          <w:tcPr>
            <w:tcW w:w="0" w:type="auto"/>
          </w:tcPr>
          <w:p w:rsidR="006C5FF5" w:rsidRPr="006C5FF5" w:rsidP="006C5FF5" w14:paraId="3BD8590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44.13%</w:t>
            </w:r>
          </w:p>
        </w:tc>
        <w:tc>
          <w:tcPr>
            <w:tcW w:w="0" w:type="auto"/>
          </w:tcPr>
          <w:p w:rsidR="006C5FF5" w:rsidRPr="006C5FF5" w:rsidP="006C5FF5" w14:paraId="75DC7A52"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44.13%</w:t>
            </w:r>
          </w:p>
        </w:tc>
      </w:tr>
      <w:tr w14:paraId="25FB8C76"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06BFFB2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 על פי פס"ד</w:t>
            </w:r>
          </w:p>
        </w:tc>
        <w:tc>
          <w:tcPr>
            <w:tcW w:w="0" w:type="auto"/>
          </w:tcPr>
          <w:p w:rsidR="006C5FF5" w:rsidRPr="006C5FF5" w:rsidP="006C5FF5" w14:paraId="0E11DE9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w:t>
            </w:r>
          </w:p>
        </w:tc>
        <w:tc>
          <w:tcPr>
            <w:tcW w:w="0" w:type="auto"/>
          </w:tcPr>
          <w:p w:rsidR="006C5FF5" w:rsidRPr="006C5FF5" w:rsidP="006C5FF5" w14:paraId="5E94B97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53,804,174* </w:t>
            </w:r>
          </w:p>
        </w:tc>
        <w:tc>
          <w:tcPr>
            <w:tcW w:w="0" w:type="auto"/>
          </w:tcPr>
          <w:p w:rsidR="006C5FF5" w:rsidRPr="006C5FF5" w:rsidP="006C5FF5" w14:paraId="0A9B108D"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7.14%</w:t>
            </w:r>
          </w:p>
        </w:tc>
        <w:tc>
          <w:tcPr>
            <w:tcW w:w="0" w:type="auto"/>
          </w:tcPr>
          <w:p w:rsidR="006C5FF5" w:rsidRPr="006C5FF5" w:rsidP="006C5FF5" w14:paraId="79D6A54B" w14:textId="48AEFEC8">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53,804,174*</w:t>
            </w:r>
          </w:p>
        </w:tc>
        <w:tc>
          <w:tcPr>
            <w:tcW w:w="0" w:type="auto"/>
          </w:tcPr>
          <w:p w:rsidR="006C5FF5" w:rsidRPr="006C5FF5" w:rsidP="006C5FF5" w14:paraId="3A9037A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w:t>
            </w:r>
          </w:p>
        </w:tc>
        <w:tc>
          <w:tcPr>
            <w:tcW w:w="0" w:type="auto"/>
          </w:tcPr>
          <w:p w:rsidR="006C5FF5" w:rsidRPr="006C5FF5" w:rsidP="006C5FF5" w14:paraId="49B453B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7.14%</w:t>
            </w:r>
          </w:p>
        </w:tc>
      </w:tr>
      <w:tr w14:paraId="2E9C2D61"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3E48589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סך הכול א'</w:t>
            </w:r>
          </w:p>
        </w:tc>
        <w:tc>
          <w:tcPr>
            <w:tcW w:w="0" w:type="auto"/>
          </w:tcPr>
          <w:p w:rsidR="006C5FF5" w:rsidRPr="006C5FF5" w:rsidP="006C5FF5" w14:paraId="787A9A60" w14:textId="77777777">
            <w:pPr>
              <w:pStyle w:val="a21"/>
              <w:tabs>
                <w:tab w:val="clear" w:pos="340"/>
              </w:tabs>
              <w:spacing w:before="40" w:after="40" w:line="240" w:lineRule="atLeast"/>
              <w:rPr>
                <w:rFonts w:ascii="Tahoma" w:hAnsi="Tahoma" w:eastAsiaTheme="minorHAnsi" w:cs="Tahoma"/>
                <w:color w:val="auto"/>
                <w:sz w:val="24"/>
                <w:szCs w:val="24"/>
              </w:rPr>
            </w:pPr>
          </w:p>
        </w:tc>
        <w:tc>
          <w:tcPr>
            <w:tcW w:w="0" w:type="auto"/>
          </w:tcPr>
          <w:p w:rsidR="006C5FF5" w:rsidRPr="006C5FF5" w:rsidP="006C5FF5" w14:paraId="12813DB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499,510,347*</w:t>
            </w:r>
          </w:p>
        </w:tc>
        <w:tc>
          <w:tcPr>
            <w:tcW w:w="0" w:type="auto"/>
          </w:tcPr>
          <w:p w:rsidR="006C5FF5" w:rsidRPr="006C5FF5" w:rsidP="006C5FF5" w14:paraId="0328DA5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67.18%*</w:t>
            </w:r>
          </w:p>
        </w:tc>
        <w:tc>
          <w:tcPr>
            <w:tcW w:w="0" w:type="auto"/>
          </w:tcPr>
          <w:p w:rsidR="006C5FF5" w:rsidRPr="006C5FF5" w:rsidP="006C5FF5" w14:paraId="514DEF8F"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379,469,453*</w:t>
            </w:r>
          </w:p>
        </w:tc>
        <w:tc>
          <w:tcPr>
            <w:tcW w:w="0" w:type="auto"/>
          </w:tcPr>
          <w:p w:rsidR="006C5FF5" w:rsidRPr="006C5FF5" w:rsidP="006C5FF5" w14:paraId="35EC2F9F" w14:textId="77777777">
            <w:pPr>
              <w:pStyle w:val="a21"/>
              <w:tabs>
                <w:tab w:val="clear" w:pos="340"/>
              </w:tabs>
              <w:spacing w:before="40" w:after="40" w:line="240" w:lineRule="atLeast"/>
              <w:rPr>
                <w:rFonts w:ascii="Tahoma" w:hAnsi="Tahoma" w:eastAsiaTheme="minorHAnsi" w:cs="Tahoma"/>
                <w:color w:val="auto"/>
                <w:sz w:val="24"/>
                <w:szCs w:val="24"/>
              </w:rPr>
            </w:pPr>
          </w:p>
        </w:tc>
        <w:tc>
          <w:tcPr>
            <w:tcW w:w="0" w:type="auto"/>
          </w:tcPr>
          <w:p w:rsidR="006C5FF5" w:rsidRPr="006C5FF5" w:rsidP="006C5FF5" w14:paraId="40EBBC1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51.27%</w:t>
            </w:r>
          </w:p>
        </w:tc>
      </w:tr>
      <w:tr w14:paraId="7ED49A95"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3885A65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w:t>
            </w:r>
          </w:p>
        </w:tc>
        <w:tc>
          <w:tcPr>
            <w:tcW w:w="0" w:type="auto"/>
          </w:tcPr>
          <w:p w:rsidR="006C5FF5" w:rsidRPr="006C5FF5" w:rsidP="006C5FF5" w14:paraId="7A4B827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15,429,832</w:t>
            </w:r>
          </w:p>
        </w:tc>
        <w:tc>
          <w:tcPr>
            <w:tcW w:w="0" w:type="auto"/>
          </w:tcPr>
          <w:p w:rsidR="006C5FF5" w:rsidRPr="006C5FF5" w:rsidP="006C5FF5" w14:paraId="3DD8084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8,487,750</w:t>
            </w:r>
          </w:p>
        </w:tc>
        <w:tc>
          <w:tcPr>
            <w:tcW w:w="0" w:type="auto"/>
          </w:tcPr>
          <w:p w:rsidR="006C5FF5" w:rsidRPr="006C5FF5" w:rsidP="006C5FF5" w14:paraId="23C2AD4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55.00%</w:t>
            </w:r>
          </w:p>
        </w:tc>
        <w:tc>
          <w:tcPr>
            <w:tcW w:w="0" w:type="auto"/>
          </w:tcPr>
          <w:p w:rsidR="006C5FF5" w:rsidRPr="006C5FF5" w:rsidP="006C5FF5" w14:paraId="7E7DCDE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8,251,875</w:t>
            </w:r>
          </w:p>
        </w:tc>
        <w:tc>
          <w:tcPr>
            <w:tcW w:w="0" w:type="auto"/>
          </w:tcPr>
          <w:p w:rsidR="006C5FF5" w:rsidRPr="006C5FF5" w:rsidP="006C5FF5" w14:paraId="3B50628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53%</w:t>
            </w:r>
          </w:p>
        </w:tc>
        <w:tc>
          <w:tcPr>
            <w:tcW w:w="0" w:type="auto"/>
          </w:tcPr>
          <w:p w:rsidR="006C5FF5" w:rsidRPr="006C5FF5" w:rsidP="006C5FF5" w14:paraId="15E149B0"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54.85%**</w:t>
            </w:r>
          </w:p>
        </w:tc>
      </w:tr>
      <w:tr w14:paraId="22CCD762"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3D3B486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שונות</w:t>
            </w:r>
          </w:p>
        </w:tc>
        <w:tc>
          <w:tcPr>
            <w:tcW w:w="0" w:type="auto"/>
          </w:tcPr>
          <w:p w:rsidR="006C5FF5" w:rsidRPr="006C5FF5" w:rsidP="006C5FF5" w14:paraId="2656790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136,418</w:t>
            </w:r>
          </w:p>
        </w:tc>
        <w:tc>
          <w:tcPr>
            <w:tcW w:w="0" w:type="auto"/>
          </w:tcPr>
          <w:p w:rsidR="006C5FF5" w:rsidRPr="006C5FF5" w:rsidP="006C5FF5" w14:paraId="5E6CFB6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3,663</w:t>
            </w:r>
          </w:p>
        </w:tc>
        <w:tc>
          <w:tcPr>
            <w:tcW w:w="0" w:type="auto"/>
          </w:tcPr>
          <w:p w:rsidR="006C5FF5" w:rsidRPr="006C5FF5" w:rsidP="006C5FF5" w14:paraId="15F632D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2.69%</w:t>
            </w:r>
          </w:p>
        </w:tc>
        <w:tc>
          <w:tcPr>
            <w:tcW w:w="0" w:type="auto"/>
          </w:tcPr>
          <w:p w:rsidR="006C5FF5" w:rsidRPr="006C5FF5" w:rsidP="006C5FF5" w14:paraId="2108CBA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w:t>
            </w:r>
          </w:p>
        </w:tc>
        <w:tc>
          <w:tcPr>
            <w:tcW w:w="0" w:type="auto"/>
          </w:tcPr>
          <w:p w:rsidR="006C5FF5" w:rsidRPr="006C5FF5" w:rsidP="006C5FF5" w14:paraId="6978A67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w:t>
            </w:r>
          </w:p>
        </w:tc>
        <w:tc>
          <w:tcPr>
            <w:tcW w:w="0" w:type="auto"/>
          </w:tcPr>
          <w:p w:rsidR="006C5FF5" w:rsidRPr="006C5FF5" w:rsidP="006C5FF5" w14:paraId="54963DC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2.69%</w:t>
            </w:r>
          </w:p>
        </w:tc>
      </w:tr>
      <w:tr w14:paraId="43AAFB5A"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276F8725" w14:textId="77777777">
            <w:pPr>
              <w:pStyle w:val="a20"/>
              <w:tabs>
                <w:tab w:val="clear" w:pos="340"/>
              </w:tabs>
              <w:spacing w:before="40" w:after="40" w:line="240" w:lineRule="atLeast"/>
              <w:jc w:val="left"/>
              <w:rPr>
                <w:rFonts w:ascii="Tahoma" w:hAnsi="Tahoma" w:cs="Tahoma"/>
                <w:sz w:val="18"/>
                <w:szCs w:val="18"/>
                <w:rtl/>
              </w:rPr>
            </w:pPr>
            <w:r w:rsidRPr="006C5FF5">
              <w:rPr>
                <w:rFonts w:ascii="Tahoma" w:hAnsi="Tahoma" w:cs="Tahoma"/>
                <w:sz w:val="18"/>
                <w:szCs w:val="18"/>
                <w:rtl/>
              </w:rPr>
              <w:t>סך הכול *</w:t>
            </w:r>
          </w:p>
        </w:tc>
        <w:tc>
          <w:tcPr>
            <w:tcW w:w="0" w:type="auto"/>
          </w:tcPr>
          <w:p w:rsidR="006C5FF5" w:rsidRPr="006C5FF5" w:rsidP="006C5FF5" w14:paraId="7CA06749"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753,559,858</w:t>
            </w:r>
          </w:p>
        </w:tc>
        <w:tc>
          <w:tcPr>
            <w:tcW w:w="0" w:type="auto"/>
          </w:tcPr>
          <w:p w:rsidR="006C5FF5" w:rsidRPr="006C5FF5" w:rsidP="006C5FF5" w14:paraId="30A75B59"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508,001,760</w:t>
            </w:r>
          </w:p>
        </w:tc>
        <w:tc>
          <w:tcPr>
            <w:tcW w:w="0" w:type="auto"/>
          </w:tcPr>
          <w:p w:rsidR="006C5FF5" w:rsidRPr="006C5FF5" w:rsidP="006C5FF5" w14:paraId="1F683AAD"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67.41%</w:t>
            </w:r>
          </w:p>
        </w:tc>
        <w:tc>
          <w:tcPr>
            <w:tcW w:w="0" w:type="auto"/>
          </w:tcPr>
          <w:p w:rsidR="006C5FF5" w:rsidRPr="006C5FF5" w:rsidP="006C5FF5" w14:paraId="7C9FD46A"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387,721,328*</w:t>
            </w:r>
          </w:p>
        </w:tc>
        <w:tc>
          <w:tcPr>
            <w:tcW w:w="0" w:type="auto"/>
          </w:tcPr>
          <w:p w:rsidR="006C5FF5" w:rsidRPr="006C5FF5" w:rsidP="006C5FF5" w14:paraId="1AA4D0FC"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51.45%*</w:t>
            </w:r>
          </w:p>
        </w:tc>
        <w:tc>
          <w:tcPr>
            <w:tcW w:w="0" w:type="auto"/>
          </w:tcPr>
          <w:p w:rsidR="006C5FF5" w:rsidRPr="006C5FF5" w:rsidP="006C5FF5" w14:paraId="3FF20B5E" w14:textId="77777777">
            <w:pPr>
              <w:pStyle w:val="a20"/>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51.46%</w:t>
            </w:r>
          </w:p>
        </w:tc>
      </w:tr>
      <w:tr w14:paraId="2B5E49C3" w14:textId="77777777" w:rsidTr="00BE6A7F">
        <w:tblPrEx>
          <w:tblW w:w="8222" w:type="dxa"/>
          <w:jc w:val="center"/>
          <w:tblCellMar>
            <w:left w:w="57" w:type="dxa"/>
            <w:right w:w="57" w:type="dxa"/>
          </w:tblCellMar>
          <w:tblLook w:val="04A0"/>
        </w:tblPrEx>
        <w:trPr>
          <w:jc w:val="center"/>
        </w:trPr>
        <w:tc>
          <w:tcPr>
            <w:tcW w:w="0" w:type="auto"/>
            <w:gridSpan w:val="7"/>
          </w:tcPr>
          <w:p w:rsidR="00BE6A7F" w:rsidRPr="006C5FF5" w:rsidP="00BE6A7F" w14:paraId="0E9CAB24" w14:textId="05DD5415">
            <w:pPr>
              <w:pStyle w:val="a20"/>
              <w:tabs>
                <w:tab w:val="clear" w:pos="340"/>
              </w:tabs>
              <w:spacing w:before="40" w:after="40" w:line="240" w:lineRule="atLeast"/>
              <w:rPr>
                <w:rFonts w:ascii="Tahoma" w:hAnsi="Tahoma" w:cs="Tahoma"/>
                <w:b/>
                <w:bCs/>
                <w:sz w:val="18"/>
                <w:szCs w:val="18"/>
                <w:rtl/>
              </w:rPr>
            </w:pPr>
            <w:r w:rsidRPr="006C5FF5">
              <w:rPr>
                <w:rFonts w:ascii="Tahoma" w:hAnsi="Tahoma" w:cs="Tahoma"/>
                <w:b/>
                <w:bCs/>
                <w:sz w:val="18"/>
                <w:szCs w:val="18"/>
                <w:rtl/>
              </w:rPr>
              <w:t>שנת 2017</w:t>
            </w:r>
          </w:p>
        </w:tc>
      </w:tr>
      <w:tr w14:paraId="55B7A59A"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5B4094D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א' </w:t>
            </w:r>
          </w:p>
        </w:tc>
        <w:tc>
          <w:tcPr>
            <w:tcW w:w="0" w:type="auto"/>
          </w:tcPr>
          <w:p w:rsidR="006C5FF5" w:rsidRPr="006C5FF5" w:rsidP="006C5FF5" w14:paraId="579A84C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734,200,931</w:t>
            </w:r>
          </w:p>
        </w:tc>
        <w:tc>
          <w:tcPr>
            <w:tcW w:w="0" w:type="auto"/>
          </w:tcPr>
          <w:p w:rsidR="006C5FF5" w:rsidRPr="006C5FF5" w:rsidP="006C5FF5" w14:paraId="5DE562A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432,454,725</w:t>
            </w:r>
          </w:p>
        </w:tc>
        <w:tc>
          <w:tcPr>
            <w:tcW w:w="0" w:type="auto"/>
          </w:tcPr>
          <w:p w:rsidR="006C5FF5" w:rsidRPr="006C5FF5" w:rsidP="006C5FF5" w14:paraId="44063A4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58.90%</w:t>
            </w:r>
          </w:p>
        </w:tc>
        <w:tc>
          <w:tcPr>
            <w:tcW w:w="0" w:type="auto"/>
          </w:tcPr>
          <w:p w:rsidR="006C5FF5" w:rsidRPr="006C5FF5" w:rsidP="006C5FF5" w14:paraId="3DF72DB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399,897,510</w:t>
            </w:r>
          </w:p>
        </w:tc>
        <w:tc>
          <w:tcPr>
            <w:tcW w:w="0" w:type="auto"/>
          </w:tcPr>
          <w:p w:rsidR="006C5FF5" w:rsidRPr="006C5FF5" w:rsidP="006C5FF5" w14:paraId="4EA23AA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54.50%</w:t>
            </w:r>
          </w:p>
        </w:tc>
        <w:tc>
          <w:tcPr>
            <w:tcW w:w="0" w:type="auto"/>
          </w:tcPr>
          <w:p w:rsidR="006C5FF5" w:rsidRPr="006C5FF5" w:rsidP="006C5FF5" w14:paraId="40B0B25E"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57.17%</w:t>
            </w:r>
          </w:p>
        </w:tc>
      </w:tr>
      <w:tr w14:paraId="7F51C26F"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0158DC8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w:t>
            </w:r>
          </w:p>
        </w:tc>
        <w:tc>
          <w:tcPr>
            <w:tcW w:w="0" w:type="auto"/>
          </w:tcPr>
          <w:p w:rsidR="006C5FF5" w:rsidRPr="006C5FF5" w:rsidP="006C5FF5" w14:paraId="49115A9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19,203,392</w:t>
            </w:r>
          </w:p>
        </w:tc>
        <w:tc>
          <w:tcPr>
            <w:tcW w:w="0" w:type="auto"/>
          </w:tcPr>
          <w:p w:rsidR="006C5FF5" w:rsidRPr="006C5FF5" w:rsidP="006C5FF5" w14:paraId="39CC74F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10,561,797</w:t>
            </w:r>
          </w:p>
        </w:tc>
        <w:tc>
          <w:tcPr>
            <w:tcW w:w="0" w:type="auto"/>
          </w:tcPr>
          <w:p w:rsidR="006C5FF5" w:rsidRPr="006C5FF5" w:rsidP="006C5FF5" w14:paraId="73B042E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55.00%</w:t>
            </w:r>
          </w:p>
        </w:tc>
        <w:tc>
          <w:tcPr>
            <w:tcW w:w="0" w:type="auto"/>
          </w:tcPr>
          <w:p w:rsidR="006C5FF5" w:rsidRPr="006C5FF5" w:rsidP="006C5FF5" w14:paraId="4C039EF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10,458,625</w:t>
            </w:r>
          </w:p>
        </w:tc>
        <w:tc>
          <w:tcPr>
            <w:tcW w:w="0" w:type="auto"/>
          </w:tcPr>
          <w:p w:rsidR="006C5FF5" w:rsidRPr="006C5FF5" w:rsidP="006C5FF5" w14:paraId="41F5435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 xml:space="preserve">54.5% </w:t>
            </w:r>
          </w:p>
        </w:tc>
        <w:tc>
          <w:tcPr>
            <w:tcW w:w="0" w:type="auto"/>
          </w:tcPr>
          <w:p w:rsidR="006C5FF5" w:rsidRPr="006C5FF5" w:rsidP="006C5FF5" w14:paraId="7924440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w:t>
            </w:r>
          </w:p>
        </w:tc>
      </w:tr>
      <w:tr w14:paraId="0FF75E46" w14:textId="77777777" w:rsidTr="00BE6A7F">
        <w:tblPrEx>
          <w:tblW w:w="8222" w:type="dxa"/>
          <w:jc w:val="center"/>
          <w:tblCellMar>
            <w:left w:w="57" w:type="dxa"/>
            <w:right w:w="57" w:type="dxa"/>
          </w:tblCellMar>
          <w:tblLook w:val="04A0"/>
        </w:tblPrEx>
        <w:trPr>
          <w:jc w:val="center"/>
        </w:trPr>
        <w:tc>
          <w:tcPr>
            <w:tcW w:w="0" w:type="auto"/>
          </w:tcPr>
          <w:p w:rsidR="006C5FF5" w:rsidRPr="006C5FF5" w:rsidP="006C5FF5" w14:paraId="7E9D281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סך הכול*</w:t>
            </w:r>
          </w:p>
        </w:tc>
        <w:tc>
          <w:tcPr>
            <w:tcW w:w="0" w:type="auto"/>
          </w:tcPr>
          <w:p w:rsidR="006C5FF5" w:rsidRPr="00152F9D" w:rsidP="006C5FF5" w14:paraId="6E16E4DF" w14:textId="77777777">
            <w:pPr>
              <w:pStyle w:val="a21"/>
              <w:tabs>
                <w:tab w:val="clear" w:pos="340"/>
              </w:tabs>
              <w:spacing w:before="40" w:after="40" w:line="240" w:lineRule="atLeast"/>
              <w:rPr>
                <w:rFonts w:ascii="Tahoma" w:hAnsi="Tahoma" w:cs="Tahoma"/>
                <w:b/>
                <w:bCs/>
                <w:rtl/>
              </w:rPr>
            </w:pPr>
            <w:r w:rsidRPr="00152F9D">
              <w:rPr>
                <w:rStyle w:val="a4"/>
                <w:rFonts w:ascii="Tahoma" w:hAnsi="Tahoma" w:cs="Tahoma"/>
                <w:b/>
                <w:bCs/>
                <w:sz w:val="18"/>
                <w:szCs w:val="18"/>
                <w:rtl/>
              </w:rPr>
              <w:t>753,404,323</w:t>
            </w:r>
          </w:p>
        </w:tc>
        <w:tc>
          <w:tcPr>
            <w:tcW w:w="0" w:type="auto"/>
          </w:tcPr>
          <w:p w:rsidR="006C5FF5" w:rsidRPr="00152F9D" w:rsidP="006C5FF5" w14:paraId="7F5730F9" w14:textId="77777777">
            <w:pPr>
              <w:pStyle w:val="a21"/>
              <w:tabs>
                <w:tab w:val="clear" w:pos="340"/>
              </w:tabs>
              <w:spacing w:before="40" w:after="40" w:line="240" w:lineRule="atLeast"/>
              <w:rPr>
                <w:rFonts w:ascii="Tahoma" w:hAnsi="Tahoma" w:cs="Tahoma"/>
                <w:b/>
                <w:bCs/>
                <w:rtl/>
              </w:rPr>
            </w:pPr>
            <w:r w:rsidRPr="00152F9D">
              <w:rPr>
                <w:rStyle w:val="a4"/>
                <w:rFonts w:ascii="Tahoma" w:hAnsi="Tahoma" w:cs="Tahoma"/>
                <w:b/>
                <w:bCs/>
                <w:sz w:val="18"/>
                <w:szCs w:val="18"/>
                <w:rtl/>
              </w:rPr>
              <w:t>443,016,522</w:t>
            </w:r>
          </w:p>
        </w:tc>
        <w:tc>
          <w:tcPr>
            <w:tcW w:w="0" w:type="auto"/>
          </w:tcPr>
          <w:p w:rsidR="006C5FF5" w:rsidRPr="00152F9D" w:rsidP="006C5FF5" w14:paraId="4EFECB4C" w14:textId="77777777">
            <w:pPr>
              <w:pStyle w:val="a21"/>
              <w:tabs>
                <w:tab w:val="clear" w:pos="340"/>
              </w:tabs>
              <w:spacing w:before="40" w:after="40" w:line="240" w:lineRule="atLeast"/>
              <w:rPr>
                <w:rFonts w:ascii="Tahoma" w:hAnsi="Tahoma" w:cs="Tahoma"/>
                <w:b/>
                <w:bCs/>
                <w:rtl/>
              </w:rPr>
            </w:pPr>
            <w:r w:rsidRPr="00152F9D">
              <w:rPr>
                <w:rStyle w:val="a4"/>
                <w:rFonts w:ascii="Tahoma" w:hAnsi="Tahoma" w:cs="Tahoma"/>
                <w:b/>
                <w:bCs/>
                <w:sz w:val="18"/>
                <w:szCs w:val="18"/>
                <w:rtl/>
              </w:rPr>
              <w:t>58.80%</w:t>
            </w:r>
          </w:p>
        </w:tc>
        <w:tc>
          <w:tcPr>
            <w:tcW w:w="0" w:type="auto"/>
          </w:tcPr>
          <w:p w:rsidR="006C5FF5" w:rsidRPr="00152F9D" w:rsidP="006C5FF5" w14:paraId="1FCA12C8" w14:textId="77777777">
            <w:pPr>
              <w:pStyle w:val="a21"/>
              <w:tabs>
                <w:tab w:val="clear" w:pos="340"/>
              </w:tabs>
              <w:spacing w:before="40" w:after="40" w:line="240" w:lineRule="atLeast"/>
              <w:rPr>
                <w:rFonts w:ascii="Tahoma" w:hAnsi="Tahoma" w:cs="Tahoma"/>
                <w:b/>
                <w:bCs/>
                <w:rtl/>
              </w:rPr>
            </w:pPr>
            <w:r w:rsidRPr="00152F9D">
              <w:rPr>
                <w:rStyle w:val="a4"/>
                <w:rFonts w:ascii="Tahoma" w:hAnsi="Tahoma" w:cs="Tahoma"/>
                <w:b/>
                <w:bCs/>
                <w:sz w:val="18"/>
                <w:szCs w:val="18"/>
                <w:rtl/>
              </w:rPr>
              <w:t>410,356,135</w:t>
            </w:r>
          </w:p>
        </w:tc>
        <w:tc>
          <w:tcPr>
            <w:tcW w:w="0" w:type="auto"/>
          </w:tcPr>
          <w:p w:rsidR="006C5FF5" w:rsidRPr="00152F9D" w:rsidP="006C5FF5" w14:paraId="263F32E9" w14:textId="77777777">
            <w:pPr>
              <w:pStyle w:val="a21"/>
              <w:tabs>
                <w:tab w:val="clear" w:pos="340"/>
              </w:tabs>
              <w:spacing w:before="40" w:after="40" w:line="240" w:lineRule="atLeast"/>
              <w:rPr>
                <w:rFonts w:ascii="Tahoma" w:hAnsi="Tahoma" w:cs="Tahoma"/>
                <w:b/>
                <w:bCs/>
                <w:rtl/>
              </w:rPr>
            </w:pPr>
            <w:r w:rsidRPr="00152F9D">
              <w:rPr>
                <w:rStyle w:val="a4"/>
                <w:rFonts w:ascii="Tahoma" w:hAnsi="Tahoma" w:cs="Tahoma"/>
                <w:b/>
                <w:bCs/>
                <w:sz w:val="18"/>
                <w:szCs w:val="18"/>
                <w:rtl/>
              </w:rPr>
              <w:t>54.47%</w:t>
            </w:r>
          </w:p>
        </w:tc>
        <w:tc>
          <w:tcPr>
            <w:tcW w:w="0" w:type="auto"/>
          </w:tcPr>
          <w:p w:rsidR="006C5FF5" w:rsidRPr="00152F9D" w:rsidP="006C5FF5" w14:paraId="6190ED95" w14:textId="77777777">
            <w:pPr>
              <w:pStyle w:val="a21"/>
              <w:tabs>
                <w:tab w:val="clear" w:pos="340"/>
              </w:tabs>
              <w:spacing w:before="40" w:after="40" w:line="240" w:lineRule="atLeast"/>
              <w:rPr>
                <w:rFonts w:ascii="Tahoma" w:hAnsi="Tahoma" w:cs="Tahoma"/>
                <w:b/>
                <w:bCs/>
                <w:sz w:val="18"/>
                <w:szCs w:val="18"/>
                <w:rtl/>
              </w:rPr>
            </w:pPr>
            <w:r w:rsidRPr="00152F9D">
              <w:rPr>
                <w:rFonts w:ascii="Tahoma" w:hAnsi="Tahoma" w:cs="Tahoma"/>
                <w:b/>
                <w:bCs/>
                <w:sz w:val="18"/>
                <w:szCs w:val="18"/>
                <w:rtl/>
              </w:rPr>
              <w:t>-</w:t>
            </w:r>
          </w:p>
        </w:tc>
      </w:tr>
    </w:tbl>
    <w:p w:rsidR="000930B3" w:rsidRPr="00DA075D" w:rsidP="00BE6A7F" w14:paraId="478FDC26" w14:textId="77777777">
      <w:pPr>
        <w:pStyle w:val="text-source"/>
        <w:spacing w:after="0"/>
        <w:rPr>
          <w:rtl/>
        </w:rPr>
      </w:pPr>
      <w:r w:rsidRPr="00DA075D">
        <w:rPr>
          <w:rtl/>
        </w:rPr>
        <w:t xml:space="preserve">על פי דיווחי חברות האיסוף למשרד </w:t>
      </w:r>
      <w:r w:rsidRPr="00DA075D">
        <w:rPr>
          <w:rtl/>
        </w:rPr>
        <w:t>להגנ"ס</w:t>
      </w:r>
      <w:r w:rsidRPr="00DA075D">
        <w:rPr>
          <w:rtl/>
        </w:rPr>
        <w:t>, דוחות הבקרה והחלטות הממונה, בעיבוד משרד מבקר המדינה.</w:t>
      </w:r>
    </w:p>
    <w:p w:rsidR="000930B3" w:rsidRPr="00DA075D" w:rsidP="00BE6A7F" w14:paraId="74FD747E" w14:textId="77777777">
      <w:pPr>
        <w:pStyle w:val="text-source"/>
        <w:spacing w:before="0" w:after="0"/>
        <w:ind w:left="397" w:hanging="397"/>
        <w:rPr>
          <w:rtl/>
        </w:rPr>
      </w:pPr>
      <w:r w:rsidRPr="00DA075D">
        <w:rPr>
          <w:rtl/>
        </w:rPr>
        <w:t>*</w:t>
      </w:r>
      <w:r w:rsidRPr="00DA075D">
        <w:rPr>
          <w:rtl/>
        </w:rPr>
        <w:tab/>
        <w:t xml:space="preserve">על פי חישוב משרד מבקר המדינה בהתבסס על פסק הדין. בנובמבר 2017, לאחר הגשת דוחות הבקרה, "רכשה" חברת איסוף א' איסוף מכלים גדולים שבוצע בשנת 2016 בידי חברת איסוף אחרת. לפי חישוב משרד מבקר מדינה היה מספרם כ-53.8 מיליון. </w:t>
      </w:r>
    </w:p>
    <w:p w:rsidR="000930B3" w:rsidRPr="00DA075D" w:rsidP="00BE6A7F" w14:paraId="3A6B0C0C" w14:textId="77777777">
      <w:pPr>
        <w:pStyle w:val="text-source"/>
        <w:spacing w:before="0" w:after="0"/>
        <w:ind w:left="397" w:hanging="397"/>
        <w:rPr>
          <w:rtl/>
        </w:rPr>
      </w:pPr>
      <w:r w:rsidRPr="00DA075D">
        <w:rPr>
          <w:rtl/>
        </w:rPr>
        <w:t>**</w:t>
      </w:r>
      <w:r w:rsidRPr="00DA075D">
        <w:rPr>
          <w:rtl/>
        </w:rPr>
        <w:tab/>
        <w:t xml:space="preserve">הנתון מתבסס על החלטת הממונה על יעד איסוף מצרפי ממרץ 2018. השיעור נקבע בהסתמך על אומדן משקל מכל של 40 גרם. כאמור לעיל, לאחר מועד סיום הביקורת החיל המשרד </w:t>
      </w:r>
      <w:r w:rsidRPr="00DA075D">
        <w:rPr>
          <w:rtl/>
        </w:rPr>
        <w:t>להגנ"ס</w:t>
      </w:r>
      <w:r w:rsidRPr="00DA075D">
        <w:rPr>
          <w:rtl/>
        </w:rPr>
        <w:t xml:space="preserve"> על חברת איסוף ב' את המשקל המשוקלל של 37.793 גרם. על כן שיעור האיסוף האמור צפוי לגדול.</w:t>
      </w:r>
    </w:p>
    <w:p w:rsidR="000930B3" w:rsidRPr="00DA075D" w:rsidP="00BE6A7F" w14:paraId="37B9EF05" w14:textId="77777777">
      <w:pPr>
        <w:pStyle w:val="text-source"/>
        <w:spacing w:before="0"/>
        <w:ind w:left="397" w:hanging="397"/>
        <w:rPr>
          <w:rtl/>
        </w:rPr>
      </w:pPr>
      <w:r w:rsidRPr="00DA075D">
        <w:rPr>
          <w:rtl/>
        </w:rPr>
        <w:t>***</w:t>
      </w:r>
      <w:r w:rsidRPr="00DA075D">
        <w:rPr>
          <w:rtl/>
        </w:rPr>
        <w:tab/>
        <w:t>במועד סיום הביקורת טרם נקבע לחברת איסוף ב' שיעור איסוף לשנת 2017.</w:t>
      </w:r>
    </w:p>
    <w:p w:rsidR="000930B3" w:rsidRPr="00D22A15" w:rsidP="005C4ABF" w14:paraId="7313514E" w14:textId="77777777">
      <w:pPr>
        <w:pStyle w:val="a5"/>
        <w:spacing w:before="120" w:after="120" w:line="320" w:lineRule="atLeast"/>
        <w:rPr>
          <w:rFonts w:ascii="Tahoma" w:hAnsi="Tahoma" w:cs="Tahoma"/>
          <w:sz w:val="20"/>
          <w:szCs w:val="20"/>
        </w:rPr>
      </w:pPr>
      <w:r w:rsidRPr="00D22A15">
        <w:rPr>
          <w:rFonts w:ascii="Tahoma" w:hAnsi="Tahoma" w:cs="Tahoma"/>
          <w:sz w:val="20"/>
          <w:szCs w:val="20"/>
          <w:rtl/>
        </w:rPr>
        <w:t xml:space="preserve">מהלוח עולה כי על פי דוחות הבקרה היה שיעור האיסוף נמוך מהשיעור המדווח. הסיבות העיקריות לשוני הן היעדר קיומן של אסמכתאות ודיווחים כפולים לכאורה על איסוף בידי חברות שונות. </w:t>
      </w:r>
    </w:p>
    <w:p w:rsidR="000930B3" w:rsidRPr="00D22A15" w:rsidP="005C4ABF" w14:paraId="472309E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חברת איסוף א' מסרה בתגובתה כי גם בכל שנה לאחר שנת 2017 אספה חברת איסוף אחרת את מכלי המשקה מתחנות המעבר והעבירה אותם כחומר בעירה ל-</w:t>
      </w:r>
      <w:r w:rsidRPr="00D22A15">
        <w:rPr>
          <w:rFonts w:ascii="Tahoma" w:hAnsi="Tahoma" w:cs="Tahoma"/>
          <w:sz w:val="20"/>
          <w:szCs w:val="20"/>
        </w:rPr>
        <w:t>RDF</w:t>
      </w:r>
      <w:r w:rsidRPr="00D22A15">
        <w:rPr>
          <w:rFonts w:ascii="Tahoma" w:hAnsi="Tahoma" w:cs="Tahoma"/>
          <w:sz w:val="20"/>
          <w:szCs w:val="20"/>
          <w:rtl/>
        </w:rPr>
        <w:t xml:space="preserve"> בעבור חברת איסוף א'. </w:t>
      </w:r>
    </w:p>
    <w:p w:rsidR="000930B3" w:rsidRPr="00D22A15" w:rsidP="005C4ABF" w14:paraId="7D1E20B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ב' מסרה בתגובתה כי טיוטת דוח בקרה על האיסוף </w:t>
      </w:r>
      <w:r w:rsidRPr="00D22A15">
        <w:rPr>
          <w:rFonts w:ascii="Tahoma" w:hAnsi="Tahoma" w:cs="Tahoma"/>
          <w:sz w:val="20"/>
          <w:szCs w:val="20"/>
          <w:rtl/>
        </w:rPr>
        <w:t>והמיחזור</w:t>
      </w:r>
      <w:r w:rsidRPr="00D22A15">
        <w:rPr>
          <w:rFonts w:ascii="Tahoma" w:hAnsi="Tahoma" w:cs="Tahoma"/>
          <w:sz w:val="20"/>
          <w:szCs w:val="20"/>
          <w:rtl/>
        </w:rPr>
        <w:t xml:space="preserve"> שביצעה בשנת 2016 הוגשה לה ביולי 2020 והחברה הגישה את תגובתה לטיוטה זו. עוד מסרה כי בנובמבר </w:t>
      </w:r>
      <w:r w:rsidRPr="00D22A15">
        <w:rPr>
          <w:rFonts w:ascii="Tahoma" w:hAnsi="Tahoma" w:cs="Tahoma"/>
          <w:sz w:val="20"/>
          <w:szCs w:val="20"/>
          <w:rtl/>
        </w:rPr>
        <w:t xml:space="preserve">פנו אליה רואי חשבון מטעם המשרד </w:t>
      </w:r>
      <w:r w:rsidRPr="00D22A15">
        <w:rPr>
          <w:rFonts w:ascii="Tahoma" w:hAnsi="Tahoma" w:cs="Tahoma"/>
          <w:sz w:val="20"/>
          <w:szCs w:val="20"/>
          <w:rtl/>
        </w:rPr>
        <w:t>להגנ"ס</w:t>
      </w:r>
      <w:r w:rsidRPr="00D22A15">
        <w:rPr>
          <w:rFonts w:ascii="Tahoma" w:hAnsi="Tahoma" w:cs="Tahoma"/>
          <w:sz w:val="20"/>
          <w:szCs w:val="20"/>
          <w:rtl/>
        </w:rPr>
        <w:t xml:space="preserve"> לקבלת אסמכתאות משלימות והן הועברו אליהם כשבוע לאחר מכן, אולם טרם התקבלה כל החלטה בעניין.</w:t>
      </w:r>
    </w:p>
    <w:p w:rsidR="000930B3" w:rsidRPr="00DA075D" w:rsidP="00A07626" w14:paraId="07DAF411" w14:textId="77777777">
      <w:pPr>
        <w:pStyle w:val="4"/>
        <w:rPr>
          <w:rtl/>
        </w:rPr>
      </w:pPr>
      <w:r w:rsidRPr="00DA075D">
        <w:rPr>
          <w:rtl/>
        </w:rPr>
        <w:t>קביעת שיעור האיסוף ב-2016</w:t>
      </w:r>
    </w:p>
    <w:p w:rsidR="000930B3" w:rsidRPr="00D22A15" w:rsidP="005C4ABF" w14:paraId="75D1D7F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בפברואר ובמרץ 2018 קיים הממונה דיונים בנושא דוח הבקרה על איסוף מכלי המשקה הגדולים בידי חברת איסוף א' בשנת 2016 והכיר בשיעור איסוף מצרפי</w:t>
      </w:r>
      <w:r>
        <w:rPr>
          <w:rFonts w:ascii="Tahoma" w:hAnsi="Tahoma" w:cs="Tahoma"/>
          <w:sz w:val="20"/>
          <w:szCs w:val="20"/>
          <w:vertAlign w:val="superscript"/>
          <w:rtl/>
        </w:rPr>
        <w:footnoteReference w:id="74"/>
      </w:r>
      <w:r w:rsidRPr="00D22A15">
        <w:rPr>
          <w:rFonts w:ascii="Tahoma" w:hAnsi="Tahoma" w:cs="Tahoma"/>
          <w:sz w:val="20"/>
          <w:szCs w:val="20"/>
          <w:rtl/>
        </w:rPr>
        <w:t xml:space="preserve"> של 51.46%. להחלטה זו השפעה על שני היבטים: מועד הטלת פיקדון על מכלי משקה גדולים ועיצומים כספיים שהוטלו על היצרנים והיבואנים.</w:t>
      </w:r>
    </w:p>
    <w:p w:rsidR="000930B3" w:rsidRPr="00D22A15" w:rsidP="005C4ABF" w14:paraId="0E56E385" w14:textId="77777777">
      <w:pPr>
        <w:pStyle w:val="a5"/>
        <w:spacing w:before="120" w:after="120" w:line="320" w:lineRule="atLeast"/>
        <w:rPr>
          <w:rFonts w:ascii="Tahoma" w:hAnsi="Tahoma" w:cs="Tahoma"/>
          <w:sz w:val="20"/>
          <w:szCs w:val="20"/>
          <w:rtl/>
        </w:rPr>
      </w:pPr>
      <w:r w:rsidRPr="00152F9D">
        <w:rPr>
          <w:rStyle w:val="50"/>
          <w:rFonts w:ascii="Tahoma" w:hAnsi="Tahoma" w:cs="Tahoma"/>
          <w:b/>
          <w:bCs/>
          <w:rtl/>
        </w:rPr>
        <w:t>הטלת פיקדון על מכלי משקה גדולים:</w:t>
      </w:r>
      <w:r w:rsidRPr="00D22A15">
        <w:rPr>
          <w:rFonts w:ascii="Tahoma" w:hAnsi="Tahoma" w:cs="Tahoma"/>
          <w:sz w:val="20"/>
          <w:szCs w:val="20"/>
          <w:rtl/>
        </w:rPr>
        <w:t xml:space="preserve"> בשל שיעור האיסוף שבו הכיר הממונה לשנת 2016, הנמוך מסף ה-55% הקבוע בחוק הפיקדון, נדרש השר </w:t>
      </w:r>
      <w:r w:rsidRPr="00D22A15">
        <w:rPr>
          <w:rFonts w:ascii="Tahoma" w:hAnsi="Tahoma" w:cs="Tahoma"/>
          <w:sz w:val="20"/>
          <w:szCs w:val="20"/>
          <w:rtl/>
        </w:rPr>
        <w:t>להגנ"ס</w:t>
      </w:r>
      <w:r w:rsidRPr="00D22A15">
        <w:rPr>
          <w:rFonts w:ascii="Tahoma" w:hAnsi="Tahoma" w:cs="Tahoma"/>
          <w:sz w:val="20"/>
          <w:szCs w:val="20"/>
          <w:rtl/>
        </w:rPr>
        <w:t xml:space="preserve"> להודיע בצו על מועד החלת הפיקדון על מכלי המשקה הגדולים. בספטמבר 2018 פרסם המשרד טיוטת צו להערות הציבור ובאפריל 2019 פורסם צו הפיקדון על מכלי משקה (דחיית מועד תחולת החוק על מכלי משקה גדולים), התשע"ט-2019. בצו נכתב כי "בשלב זה אין הצדקה להחלת הוראות החוק על מכלי משקה גדולים, ככל שהיא נגזרת מאי-העמידה ביעד איסוף לשנת 2016". בפברואר 2019 עתרה עמותת אדם טבע ודין לבג"ץ כנגד השר </w:t>
      </w:r>
      <w:r w:rsidRPr="00D22A15">
        <w:rPr>
          <w:rFonts w:ascii="Tahoma" w:hAnsi="Tahoma" w:cs="Tahoma"/>
          <w:sz w:val="20"/>
          <w:szCs w:val="20"/>
          <w:rtl/>
        </w:rPr>
        <w:t>להגנ"ס</w:t>
      </w:r>
      <w:r w:rsidRPr="00D22A15">
        <w:rPr>
          <w:rFonts w:ascii="Tahoma" w:hAnsi="Tahoma" w:cs="Tahoma"/>
          <w:sz w:val="20"/>
          <w:szCs w:val="20"/>
          <w:rtl/>
        </w:rPr>
        <w:t xml:space="preserve">, המשרד </w:t>
      </w:r>
      <w:r w:rsidRPr="00D22A15">
        <w:rPr>
          <w:rFonts w:ascii="Tahoma" w:hAnsi="Tahoma" w:cs="Tahoma"/>
          <w:sz w:val="20"/>
          <w:szCs w:val="20"/>
          <w:rtl/>
        </w:rPr>
        <w:t>להגנ"ס</w:t>
      </w:r>
      <w:r w:rsidRPr="00D22A15">
        <w:rPr>
          <w:rFonts w:ascii="Tahoma" w:hAnsi="Tahoma" w:cs="Tahoma"/>
          <w:sz w:val="20"/>
          <w:szCs w:val="20"/>
          <w:rtl/>
        </w:rPr>
        <w:t xml:space="preserve"> ואחרים</w:t>
      </w:r>
      <w:r>
        <w:rPr>
          <w:rFonts w:ascii="Tahoma" w:hAnsi="Tahoma" w:cs="Tahoma"/>
          <w:sz w:val="20"/>
          <w:szCs w:val="20"/>
          <w:vertAlign w:val="superscript"/>
          <w:rtl/>
        </w:rPr>
        <w:footnoteReference w:id="75"/>
      </w:r>
      <w:r w:rsidRPr="00D22A15">
        <w:rPr>
          <w:rFonts w:ascii="Tahoma" w:hAnsi="Tahoma" w:cs="Tahoma"/>
          <w:sz w:val="20"/>
          <w:szCs w:val="20"/>
          <w:rtl/>
        </w:rPr>
        <w:t xml:space="preserve"> למתן צו על תנאי בדבר היעדר החלטה של השר </w:t>
      </w:r>
      <w:r w:rsidRPr="00D22A15">
        <w:rPr>
          <w:rFonts w:ascii="Tahoma" w:hAnsi="Tahoma" w:cs="Tahoma"/>
          <w:sz w:val="20"/>
          <w:szCs w:val="20"/>
          <w:rtl/>
        </w:rPr>
        <w:t>להגנ"ס</w:t>
      </w:r>
      <w:r w:rsidRPr="00D22A15">
        <w:rPr>
          <w:rFonts w:ascii="Tahoma" w:hAnsi="Tahoma" w:cs="Tahoma"/>
          <w:sz w:val="20"/>
          <w:szCs w:val="20"/>
          <w:rtl/>
        </w:rPr>
        <w:t xml:space="preserve"> להחיל את הפיקדון על מכלי משקה גדולים בהתאם לחובה החלה עליו לפי החוק או לחלופין, הבאת הצו הדוחה את החלת מועד תחולת הוראות החוק וקובע מועד תחולה עתידי לאישורה של ועדת הכלכלה של הכנסת. באוקטובר 2020 נמחקה העתירה בהסכמה שקיבלה תוקף של פסק דין, לאחר שכאמור הודיעה השרה </w:t>
      </w:r>
      <w:r w:rsidRPr="00D22A15">
        <w:rPr>
          <w:rFonts w:ascii="Tahoma" w:hAnsi="Tahoma" w:cs="Tahoma"/>
          <w:sz w:val="20"/>
          <w:szCs w:val="20"/>
          <w:rtl/>
        </w:rPr>
        <w:t>להגנ"ס</w:t>
      </w:r>
      <w:r w:rsidRPr="00D22A15">
        <w:rPr>
          <w:rFonts w:ascii="Tahoma" w:hAnsi="Tahoma" w:cs="Tahoma"/>
          <w:sz w:val="20"/>
          <w:szCs w:val="20"/>
          <w:rtl/>
        </w:rPr>
        <w:t xml:space="preserve"> כי יעד איסוף המכלים הגדולים ל-2016 לא הושג ופרסמה את תזכיר הצו הדוחה בשנה את הטלת הפיקדון על מכלי משקה גדולים</w:t>
      </w:r>
      <w:r>
        <w:rPr>
          <w:rFonts w:ascii="Tahoma" w:hAnsi="Tahoma" w:cs="Tahoma"/>
          <w:sz w:val="20"/>
          <w:szCs w:val="20"/>
          <w:vertAlign w:val="superscript"/>
          <w:rtl/>
        </w:rPr>
        <w:footnoteReference w:id="76"/>
      </w:r>
      <w:r w:rsidRPr="00D22A15">
        <w:rPr>
          <w:rFonts w:ascii="Tahoma" w:hAnsi="Tahoma" w:cs="Tahoma"/>
          <w:sz w:val="20"/>
          <w:szCs w:val="20"/>
          <w:rtl/>
        </w:rPr>
        <w:t>. כאמור, ועדת הכלכלה של הכנסת אישרה את הצו בדצמבר 2020 והפיקדון יוטל על המכלים הגדולים החל מ-1.12.21.</w:t>
      </w:r>
    </w:p>
    <w:p w:rsidR="000930B3" w:rsidRPr="00D22A15" w:rsidP="005C4ABF" w14:paraId="36630F34" w14:textId="77777777">
      <w:pPr>
        <w:pStyle w:val="a5"/>
        <w:spacing w:before="120" w:after="120" w:line="320" w:lineRule="atLeast"/>
        <w:rPr>
          <w:rFonts w:ascii="Tahoma" w:hAnsi="Tahoma" w:cs="Tahoma"/>
          <w:sz w:val="20"/>
          <w:szCs w:val="20"/>
          <w:rtl/>
        </w:rPr>
      </w:pPr>
      <w:r w:rsidRPr="00152F9D">
        <w:rPr>
          <w:rStyle w:val="50"/>
          <w:rFonts w:ascii="Tahoma" w:hAnsi="Tahoma" w:cs="Tahoma"/>
          <w:b/>
          <w:bCs/>
          <w:rtl/>
        </w:rPr>
        <w:t>עיצומים כספיים:</w:t>
      </w:r>
      <w:r w:rsidRPr="00D22A15">
        <w:rPr>
          <w:rFonts w:ascii="Tahoma" w:hAnsi="Tahoma" w:cs="Tahoma"/>
          <w:sz w:val="20"/>
          <w:szCs w:val="20"/>
          <w:rtl/>
        </w:rPr>
        <w:t xml:space="preserve"> בהתאם לחוק הפיקדון, יצרן שלא אסף מכלים בשיעור הנדרש ישלם לקרן לשמירת הניקיון סכום הכפול מסכום הפיקדון על המכלים שלא נאספו, עד ל-55%. בשל הכרתו בשיעור איסוף הנמוך מ-55%, ביוני 2018 שלח הממונה ליצרנים וליבואנים דרישות תשלום בגין עיצומים כספיים בסך של כ-48 מיליון ש"ח. </w:t>
      </w:r>
    </w:p>
    <w:p w:rsidR="000930B3" w:rsidRPr="00D22A15" w:rsidP="005C4ABF" w14:paraId="114B05F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בנובמבר 2020 פסק בית המשפט השלום בירושלים בערעור שהגישו יצרנים ויבואנים על העיצומים הכספיים שהטיל עליהם הממונה</w:t>
      </w:r>
      <w:r>
        <w:rPr>
          <w:rFonts w:ascii="Tahoma" w:hAnsi="Tahoma" w:cs="Tahoma"/>
          <w:sz w:val="20"/>
          <w:szCs w:val="20"/>
          <w:vertAlign w:val="superscript"/>
          <w:rtl/>
        </w:rPr>
        <w:footnoteReference w:id="77"/>
      </w:r>
      <w:r w:rsidRPr="00D22A15">
        <w:rPr>
          <w:rFonts w:ascii="Tahoma" w:hAnsi="Tahoma" w:cs="Tahoma"/>
          <w:sz w:val="20"/>
          <w:szCs w:val="20"/>
          <w:rtl/>
        </w:rPr>
        <w:t xml:space="preserve">. בפסק הדין קיבל בית המשפט באופן חלקי את הערעור וקבע כי "דרישת התשלום תעוצב מחדש" בידי הממונה. </w:t>
      </w:r>
    </w:p>
    <w:p w:rsidR="000930B3" w:rsidRPr="00D22A15" w:rsidP="005C4ABF" w14:paraId="0630F14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חברת איסוף א' מסרה בתגובתה כי יצרני המשקאות מתעתדים להגיש ערעור על פסק הדין מנובמבר 2020 של הערכאה הראשונה, ולטעון כי היה מקום להכיר באיסוף נוסף במידה שמשמעותה היא כי הייתה עמידה מלאה ביעדים גם בשנת 2016.</w:t>
      </w:r>
    </w:p>
    <w:p w:rsidR="000930B3" w:rsidRPr="00DA075D" w:rsidP="00A07626" w14:paraId="1EA4359D" w14:textId="77777777">
      <w:pPr>
        <w:pStyle w:val="4"/>
        <w:rPr>
          <w:rtl/>
        </w:rPr>
      </w:pPr>
      <w:r w:rsidRPr="00DA075D">
        <w:rPr>
          <w:rtl/>
        </w:rPr>
        <w:t>קביעת שיעור האיסוף לשנת 2017</w:t>
      </w:r>
    </w:p>
    <w:p w:rsidR="000930B3" w:rsidRPr="00D22A15" w:rsidP="005C4ABF" w14:paraId="1CA98A33"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כפי שניתן לראות מלוח 9 שלעיל, חברת איסוף א' דיווחה על איסוף של כ-58.9% ממכלי המשקה הגדולים שמכרו היצרנים והיבואנים שייצגה ב-2017. על פי דוח הבקרה נאספו כ-54.5%, והממונה הכיר בשיעור איסוף של 57.17%. במרץ 2019 הודיע הממונה לשר </w:t>
      </w:r>
      <w:r w:rsidRPr="00D22A15">
        <w:rPr>
          <w:rFonts w:ascii="Tahoma" w:hAnsi="Tahoma" w:cs="Tahoma"/>
          <w:sz w:val="20"/>
          <w:szCs w:val="20"/>
          <w:rtl/>
        </w:rPr>
        <w:t>להגנ"ס</w:t>
      </w:r>
      <w:r w:rsidRPr="00D22A15">
        <w:rPr>
          <w:rFonts w:ascii="Tahoma" w:hAnsi="Tahoma" w:cs="Tahoma"/>
          <w:sz w:val="20"/>
          <w:szCs w:val="20"/>
          <w:rtl/>
        </w:rPr>
        <w:t xml:space="preserve"> "כי מתקיימת עמידה ביעד האיסוף הקבוע בחוק בסך 55% היות והחלק הארי של המכלים הגדולים המשווקים בישראל משווקים על ידי היצרנים והיבואנים המדווחים באמצעות" חברת איסוף א' ולפיכך לא יוחל מנגנון הפיקדון על מכלי המשקה הגדולים בהתבסס על נתוני שנת 2017</w:t>
      </w:r>
      <w:r w:rsidRPr="00D22A15">
        <w:rPr>
          <w:rFonts w:ascii="Tahoma" w:hAnsi="Tahoma" w:cs="Tahoma"/>
          <w:spacing w:val="-76"/>
          <w:sz w:val="20"/>
          <w:szCs w:val="20"/>
          <w:rtl/>
        </w:rPr>
        <w:t xml:space="preserve"> </w:t>
      </w:r>
      <w:r>
        <w:rPr>
          <w:rFonts w:ascii="Tahoma" w:hAnsi="Tahoma" w:cs="Tahoma"/>
          <w:sz w:val="20"/>
          <w:szCs w:val="20"/>
          <w:vertAlign w:val="superscript"/>
          <w:rtl/>
        </w:rPr>
        <w:footnoteReference w:id="78"/>
      </w:r>
      <w:r w:rsidRPr="00D22A15">
        <w:rPr>
          <w:rFonts w:ascii="Tahoma" w:hAnsi="Tahoma" w:cs="Tahoma"/>
          <w:sz w:val="20"/>
          <w:szCs w:val="20"/>
          <w:rtl/>
        </w:rPr>
        <w:t xml:space="preserve">. </w:t>
      </w:r>
    </w:p>
    <w:p w:rsidR="000930B3" w:rsidRPr="00D22A15" w:rsidP="005C4ABF" w14:paraId="2F2788E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בהחלטותיו על קביעת שיעורי האיסוף לשנים 2016 ו-2017 הכיר הממונה בשיעורי איסוף הגבוהים מהשיעורים שנקבעו בדוחות הבקרה. הממונה הסביר בהחלטותיו כי החליט להכיר באומדנים מסוימים של חברות האיסוף ולא באומדנים שלפיהם נערכו דוחות הבקרה. כמו כן, החלטה בנוגע לשנת 2017 התבססה על ידיעתו בנוגע לתהליך איסוף המכלים </w:t>
      </w:r>
      <w:r w:rsidRPr="00D22A15">
        <w:rPr>
          <w:rFonts w:ascii="Tahoma" w:hAnsi="Tahoma" w:cs="Tahoma"/>
          <w:sz w:val="20"/>
          <w:szCs w:val="20"/>
          <w:rtl/>
        </w:rPr>
        <w:t>מהמיחזוריות</w:t>
      </w:r>
      <w:r w:rsidRPr="00D22A15">
        <w:rPr>
          <w:rFonts w:ascii="Tahoma" w:hAnsi="Tahoma" w:cs="Tahoma"/>
          <w:sz w:val="20"/>
          <w:szCs w:val="20"/>
          <w:rtl/>
        </w:rPr>
        <w:t xml:space="preserve"> ובהתבסס על ביקורת פתע אחת שערך באחת מתחנות המעבר בספטמבר 2018. </w:t>
      </w:r>
    </w:p>
    <w:p w:rsidR="000930B3" w:rsidRPr="00D22A15" w:rsidP="005C4ABF" w14:paraId="1ABC504D" w14:textId="77777777">
      <w:pPr>
        <w:pStyle w:val="a5"/>
        <w:spacing w:before="120" w:after="120" w:line="320" w:lineRule="atLeast"/>
        <w:rPr>
          <w:rFonts w:ascii="Tahoma" w:hAnsi="Tahoma" w:cs="Tahoma"/>
          <w:sz w:val="20"/>
          <w:szCs w:val="20"/>
        </w:rPr>
      </w:pPr>
      <w:r w:rsidRPr="00D22A15">
        <w:rPr>
          <w:rFonts w:ascii="Tahoma" w:hAnsi="Tahoma" w:cs="Tahoma"/>
          <w:sz w:val="20"/>
          <w:szCs w:val="20"/>
          <w:rtl/>
        </w:rPr>
        <w:t xml:space="preserve">מפרוטוקול הביקור שערך הממונה בספטמבר 2018 בתחנת מעבר עולה כי באותה ביקורת השתתפו נציג אגף אריזות במשרד </w:t>
      </w:r>
      <w:r w:rsidRPr="00D22A15">
        <w:rPr>
          <w:rFonts w:ascii="Tahoma" w:hAnsi="Tahoma" w:cs="Tahoma"/>
          <w:sz w:val="20"/>
          <w:szCs w:val="20"/>
          <w:rtl/>
        </w:rPr>
        <w:t>להגנ"ס</w:t>
      </w:r>
      <w:r w:rsidRPr="00D22A15">
        <w:rPr>
          <w:rFonts w:ascii="Tahoma" w:hAnsi="Tahoma" w:cs="Tahoma"/>
          <w:sz w:val="20"/>
          <w:szCs w:val="20"/>
          <w:rtl/>
        </w:rPr>
        <w:t>, ארבעה נציגים מטעם חברת איסוף א' ושלושה עובדים מתחנת המעבר.</w:t>
      </w:r>
    </w:p>
    <w:p w:rsidR="000930B3" w:rsidRPr="00D22A15" w:rsidP="005C4ABF" w14:paraId="456164E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לאור החלת חוק הפיקדון על מכלי המשקה הגדולים, אין צפי לחילוץ מכלי משקה מתחנות המעבר ולכן לא תידרש בקרה כאמור. </w:t>
      </w:r>
    </w:p>
    <w:p w:rsidR="000930B3" w:rsidRPr="00DA075D" w:rsidP="008E06C5" w14:paraId="4468BDF8" w14:textId="77777777">
      <w:pPr>
        <w:pStyle w:val="RESHET"/>
        <w:rPr>
          <w:rtl/>
        </w:rPr>
      </w:pPr>
      <w:r w:rsidRPr="00DA075D">
        <w:rPr>
          <w:rtl/>
        </w:rPr>
        <w:t xml:space="preserve">נוכח החשיבות הרבה של האומדנים המשמשים לקביעת שיעור האיסוף המוכר, מן הראוי היה כי המשרד </w:t>
      </w:r>
      <w:r w:rsidRPr="00DA075D">
        <w:rPr>
          <w:rtl/>
        </w:rPr>
        <w:t>להגנ"ס</w:t>
      </w:r>
      <w:r w:rsidRPr="00DA075D">
        <w:rPr>
          <w:rtl/>
        </w:rPr>
        <w:t xml:space="preserve"> יערוך דגימות עיתיות לצד ניתוחי בקרה על ידי גורמים מקצועיים ובלתי תלויים, כדי לאפשר קבלת החלטות על בסיס אומדנים שהוכנו באופן שיטתי. </w:t>
      </w:r>
    </w:p>
    <w:p w:rsidR="000930B3" w:rsidRPr="00DA075D" w:rsidP="00DB519D" w14:paraId="014CBAF3" w14:textId="77777777">
      <w:pPr>
        <w:pStyle w:val="3"/>
        <w:rPr>
          <w:rtl/>
        </w:rPr>
      </w:pPr>
      <w:r w:rsidRPr="00DA075D">
        <w:rPr>
          <w:rtl/>
        </w:rPr>
        <w:t>היבטים כלכליים ביישום חוק הפיקדון</w:t>
      </w:r>
    </w:p>
    <w:p w:rsidR="000930B3" w:rsidRPr="00D22A15" w:rsidP="005C4ABF" w14:paraId="77ACA64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בצד התועלת הנובעת מהחיסכון בעלות ההטמנה ובעלות הניקיון של השטחים הפתוחים וכן מערכו של החומר הממוחזר, לאיסוף המכלים </w:t>
      </w:r>
      <w:r w:rsidRPr="00D22A15">
        <w:rPr>
          <w:rFonts w:ascii="Tahoma" w:hAnsi="Tahoma" w:cs="Tahoma"/>
          <w:sz w:val="20"/>
          <w:szCs w:val="20"/>
          <w:rtl/>
        </w:rPr>
        <w:t>ולמיחזורם</w:t>
      </w:r>
      <w:r w:rsidRPr="00D22A15">
        <w:rPr>
          <w:rFonts w:ascii="Tahoma" w:hAnsi="Tahoma" w:cs="Tahoma"/>
          <w:sz w:val="20"/>
          <w:szCs w:val="20"/>
          <w:rtl/>
        </w:rPr>
        <w:t xml:space="preserve"> עלות כלכלית. נושא הטלת הפיקדון בכלל והטלת הפיקדון על מכלי משקה גדולים בפרט מצוי במחלוקת בין מגזרים שונים במשק שמציגים מחקרים כלכליים שונים התומכים בעמדותיהם.</w:t>
      </w:r>
    </w:p>
    <w:p w:rsidR="000930B3" w:rsidRPr="00D22A15" w:rsidP="005C4ABF" w14:paraId="3575211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הרגולציה הקיימת בנושא איסוף מכלי המשקה מייצרת למעשה ענף כלכלי בעל השפעה ניכרת על כל הנוגעים בדבר - צרכנים, יצרנים ויבואנים, אספנים ומפעלי </w:t>
      </w:r>
      <w:r w:rsidRPr="00D22A15">
        <w:rPr>
          <w:rFonts w:ascii="Tahoma" w:hAnsi="Tahoma" w:cs="Tahoma"/>
          <w:sz w:val="20"/>
          <w:szCs w:val="20"/>
          <w:rtl/>
        </w:rPr>
        <w:t>מיחזור</w:t>
      </w:r>
      <w:r w:rsidRPr="00D22A15">
        <w:rPr>
          <w:rFonts w:ascii="Tahoma" w:hAnsi="Tahoma" w:cs="Tahoma"/>
          <w:sz w:val="20"/>
          <w:szCs w:val="20"/>
          <w:rtl/>
        </w:rPr>
        <w:t xml:space="preserve"> - בהיבטים כלכליים שונים: יוקר המחייה, תחרות הוגנת בשוק יבוא המשקאות מחו"ל ותחרות בשוק האיסוף של המכלים. נוסף על כך, דמי הפיקדון שאינם מושבים לציבור נחלקים בין תאגידי האיסוף, אספנים, בתי עסק, קמעונאים, תחנות איסוף וקבלני שינוע. </w:t>
      </w:r>
    </w:p>
    <w:p w:rsidR="000930B3" w:rsidRPr="00DA075D" w:rsidP="00A07626" w14:paraId="6982F5B9" w14:textId="77777777">
      <w:pPr>
        <w:pStyle w:val="4"/>
        <w:rPr>
          <w:rtl/>
        </w:rPr>
      </w:pPr>
      <w:r w:rsidRPr="00DA075D">
        <w:rPr>
          <w:rtl/>
        </w:rPr>
        <w:t>השפעת דמי הפיקדון על יוקר המחייה</w:t>
      </w:r>
    </w:p>
    <w:p w:rsidR="000930B3" w:rsidRPr="00D22A15" w:rsidP="005C4ABF" w14:paraId="6019A4E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בחוק הפיקדון נקבע כי סכום הפיקדון יהיה 30 אגורות לכל מכל משקה מלא, אלא אם כן קבע השר סכום אחר. עוד נקבע כי יצרן או יבואן רשאי להחליט לגבות על מכל משקה מלא שהוא מייצר או משווק סכום פיקדון הגבוה מהסכום הנקוב בחוק או מהסכום שקבע השר לפי הוראות חוק זה. </w:t>
      </w:r>
    </w:p>
    <w:p w:rsidR="000930B3" w:rsidRPr="00D22A15" w:rsidP="005C4ABF" w14:paraId="52D824E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בשנים 2010 - 2020 נערכו כמה עבודות</w:t>
      </w:r>
      <w:r>
        <w:rPr>
          <w:rFonts w:ascii="Tahoma" w:hAnsi="Tahoma" w:cs="Tahoma"/>
          <w:sz w:val="20"/>
          <w:szCs w:val="20"/>
          <w:vertAlign w:val="superscript"/>
          <w:rtl/>
        </w:rPr>
        <w:footnoteReference w:id="79"/>
      </w:r>
      <w:r w:rsidRPr="00D22A15">
        <w:rPr>
          <w:rFonts w:ascii="Tahoma" w:hAnsi="Tahoma" w:cs="Tahoma"/>
          <w:sz w:val="20"/>
          <w:szCs w:val="20"/>
          <w:rtl/>
        </w:rPr>
        <w:t xml:space="preserve"> בדבר השפעות הטלת פיקדון על מכלי משקה גדולים, אשר בכל אחת מהן הונחו הנחות בסיסיות שונות. עבודה אחת פורסמה בכתב עת מקצועי ועבודות אחרות נערכו עבור המשרד </w:t>
      </w:r>
      <w:r w:rsidRPr="00D22A15">
        <w:rPr>
          <w:rFonts w:ascii="Tahoma" w:hAnsi="Tahoma" w:cs="Tahoma"/>
          <w:sz w:val="20"/>
          <w:szCs w:val="20"/>
          <w:rtl/>
        </w:rPr>
        <w:t>להגנ"ס</w:t>
      </w:r>
      <w:r w:rsidRPr="00D22A15">
        <w:rPr>
          <w:rFonts w:ascii="Tahoma" w:hAnsi="Tahoma" w:cs="Tahoma"/>
          <w:sz w:val="20"/>
          <w:szCs w:val="20"/>
          <w:rtl/>
        </w:rPr>
        <w:t xml:space="preserve"> (מסמכי הבחינה), עבור חברות איסוף וכן עבור איגוד תעשיות המזון בהתאחדות התעשיינים בישראל ואיגוד רשתות המזון שבאיגוד לשכות המסחר. חלק מהן עסקו רק בעלויות הכרוכות בהטלת הפיקדון. </w:t>
      </w:r>
    </w:p>
    <w:p w:rsidR="000930B3" w:rsidRPr="00D22A15" w:rsidP="005C4ABF" w14:paraId="490DB7B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איגוד תעשיות המזון מסר בתגובתו כי נוכח השוני המהותי בין מסקנות העבודות הכלכליות שבוצעו עבור גורמים שונים, הציע האיגוד למשרד </w:t>
      </w:r>
      <w:r w:rsidRPr="00D22A15">
        <w:rPr>
          <w:rFonts w:ascii="Tahoma" w:hAnsi="Tahoma" w:cs="Tahoma"/>
          <w:sz w:val="20"/>
          <w:szCs w:val="20"/>
          <w:rtl/>
        </w:rPr>
        <w:t>להגנ"ס</w:t>
      </w:r>
      <w:r w:rsidRPr="00D22A15">
        <w:rPr>
          <w:rFonts w:ascii="Tahoma" w:hAnsi="Tahoma" w:cs="Tahoma"/>
          <w:sz w:val="20"/>
          <w:szCs w:val="20"/>
          <w:rtl/>
        </w:rPr>
        <w:t xml:space="preserve"> להעביר את העבודות מטעם המשרד ומטעם ההתאחדות לבחינה נוספת על ידי גורם בלתי תלוי שייקבע לעניין זה. </w:t>
      </w:r>
    </w:p>
    <w:p w:rsidR="000930B3" w:rsidRPr="00D22A15" w:rsidP="005C4ABF" w14:paraId="2E4CFD7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בשנים 2016 - 2018, דווח על מכירתם בישראל של יותר מ-1.8 מיליארד מכלי משקה בממוצע בשנה, מהם כ-1.1 מיליארד מכלים קטנים החייבים בפיקדון ויותר מ-750 מיליון מכלים גדולים. לפי חישוב משרד מבקר המדינה, סך דמי הפיקדון שנגבו בגין המכלים הקטנים עמד בשנים האמורות על סכום העולה על 300 מיליון ש"ח בשנה. </w:t>
      </w:r>
    </w:p>
    <w:p w:rsidR="000930B3" w:rsidRPr="00DA075D" w:rsidP="008E06C5" w14:paraId="5AA44A84" w14:textId="77777777">
      <w:pPr>
        <w:pStyle w:val="RESHET"/>
        <w:rPr>
          <w:rtl/>
        </w:rPr>
      </w:pPr>
      <w:r w:rsidRPr="00DA075D">
        <w:rPr>
          <w:rtl/>
        </w:rPr>
        <w:t>כאמור לעיל, על פי מסמכי הבחינה, מתוך דמי הפיקדון ששילם הציבור בשנת 2012, שהסתכמו כאמור בכ-234 מיליון ש"ח, כ-30% הושבו לציבור ישירות ובאמצעות ארגונים כגון מוסדות חינוך. חלק מהסכום הנותר שימש להחזרת פיקדון לאספנים ולבתי עסק כגון בתי מלון ומסעדות, והכספים שלא הושבו שימשו למימון מנגנון האיסוף ולתפעול חברות האיסוף. להלן הפירוט:</w:t>
      </w:r>
    </w:p>
    <w:p w:rsidR="000930B3" w:rsidRPr="00DA075D" w:rsidP="00AD02C3" w14:paraId="6BCBA210" w14:textId="77777777">
      <w:pPr>
        <w:pStyle w:val="a1"/>
        <w:spacing w:line="320" w:lineRule="atLeast"/>
        <w:rPr>
          <w:rtl/>
        </w:rPr>
      </w:pPr>
      <w:r w:rsidRPr="00BE6A7F">
        <w:rPr>
          <w:b w:val="0"/>
          <w:bCs w:val="0"/>
          <w:rtl/>
        </w:rPr>
        <w:t xml:space="preserve">לוח 10: </w:t>
      </w:r>
      <w:r w:rsidRPr="00DA075D">
        <w:rPr>
          <w:rtl/>
        </w:rPr>
        <w:t>דמי הפיקדון שהוחזרו בשנת 2012, לפי הגורמים המחזירים</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2530"/>
        <w:gridCol w:w="2717"/>
        <w:gridCol w:w="2975"/>
      </w:tblGrid>
      <w:tr w14:paraId="07A80D46" w14:textId="77777777" w:rsidTr="00BE6A7F">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tcPr>
          <w:p w:rsidR="006C5FF5" w:rsidRPr="006C5FF5" w:rsidP="00BE6A7F" w14:paraId="0CF06BAE" w14:textId="77777777">
            <w:pPr>
              <w:pStyle w:val="a20"/>
              <w:keepNext/>
              <w:keepLines/>
              <w:widowControl/>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הגורמים המחזירים</w:t>
            </w:r>
          </w:p>
        </w:tc>
        <w:tc>
          <w:tcPr>
            <w:tcW w:w="0" w:type="auto"/>
            <w:tcBorders>
              <w:top w:val="single" w:sz="8" w:space="0" w:color="auto"/>
              <w:bottom w:val="single" w:sz="8" w:space="0" w:color="auto"/>
            </w:tcBorders>
            <w:shd w:val="clear" w:color="auto" w:fill="C6D9F1"/>
          </w:tcPr>
          <w:p w:rsidR="006C5FF5" w:rsidRPr="006C5FF5" w:rsidP="00BE6A7F" w14:paraId="7E5F99FF" w14:textId="063F58F1">
            <w:pPr>
              <w:pStyle w:val="a20"/>
              <w:keepNext/>
              <w:keepLines/>
              <w:widowControl/>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סכום תקבולים בגין החזר </w:t>
            </w:r>
            <w:r w:rsidR="00BE6A7F">
              <w:rPr>
                <w:rFonts w:ascii="Tahoma" w:hAnsi="Tahoma" w:cs="Tahoma"/>
                <w:b/>
                <w:bCs/>
                <w:sz w:val="18"/>
                <w:szCs w:val="18"/>
              </w:rPr>
              <w:br/>
            </w:r>
            <w:r w:rsidRPr="006C5FF5">
              <w:rPr>
                <w:rFonts w:ascii="Tahoma" w:hAnsi="Tahoma" w:cs="Tahoma"/>
                <w:b/>
                <w:bCs/>
                <w:sz w:val="18"/>
                <w:szCs w:val="18"/>
                <w:rtl/>
              </w:rPr>
              <w:t>(אלפי ש"ח)</w:t>
            </w:r>
          </w:p>
        </w:tc>
        <w:tc>
          <w:tcPr>
            <w:tcW w:w="0" w:type="auto"/>
            <w:tcBorders>
              <w:top w:val="single" w:sz="8" w:space="0" w:color="auto"/>
              <w:bottom w:val="single" w:sz="8" w:space="0" w:color="auto"/>
            </w:tcBorders>
            <w:shd w:val="clear" w:color="auto" w:fill="C6D9F1"/>
          </w:tcPr>
          <w:p w:rsidR="006C5FF5" w:rsidRPr="006C5FF5" w:rsidP="00BE6A7F" w14:paraId="34A3B6C9" w14:textId="77777777">
            <w:pPr>
              <w:pStyle w:val="a20"/>
              <w:keepNext/>
              <w:keepLines/>
              <w:widowControl/>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שיעור דמי הפיקדון שהוחזרו</w:t>
            </w:r>
          </w:p>
        </w:tc>
      </w:tr>
      <w:tr w14:paraId="1AD5CD14" w14:textId="77777777" w:rsidTr="00BE6A7F">
        <w:tblPrEx>
          <w:tblW w:w="8222" w:type="dxa"/>
          <w:jc w:val="center"/>
          <w:tblLook w:val="04A0"/>
        </w:tblPrEx>
        <w:trPr>
          <w:jc w:val="center"/>
        </w:trPr>
        <w:tc>
          <w:tcPr>
            <w:tcW w:w="0" w:type="auto"/>
            <w:tcBorders>
              <w:top w:val="single" w:sz="8" w:space="0" w:color="auto"/>
            </w:tcBorders>
          </w:tcPr>
          <w:p w:rsidR="006C5FF5" w:rsidRPr="006C5FF5" w:rsidP="006C5FF5" w14:paraId="5511D82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צרכני המשקאות</w:t>
            </w:r>
          </w:p>
        </w:tc>
        <w:tc>
          <w:tcPr>
            <w:tcW w:w="0" w:type="auto"/>
            <w:tcBorders>
              <w:top w:val="single" w:sz="8" w:space="0" w:color="auto"/>
            </w:tcBorders>
          </w:tcPr>
          <w:p w:rsidR="006C5FF5" w:rsidRPr="006C5FF5" w:rsidP="006C5FF5" w14:paraId="289DF99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32,432</w:t>
            </w:r>
          </w:p>
        </w:tc>
        <w:tc>
          <w:tcPr>
            <w:tcW w:w="0" w:type="auto"/>
            <w:tcBorders>
              <w:top w:val="single" w:sz="8" w:space="0" w:color="auto"/>
            </w:tcBorders>
          </w:tcPr>
          <w:p w:rsidR="006C5FF5" w:rsidRPr="006C5FF5" w:rsidP="006C5FF5" w14:paraId="4F7D73F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18%</w:t>
            </w:r>
          </w:p>
        </w:tc>
      </w:tr>
      <w:tr w14:paraId="7A13DEA9" w14:textId="77777777" w:rsidTr="00BE6A7F">
        <w:tblPrEx>
          <w:tblW w:w="8222" w:type="dxa"/>
          <w:jc w:val="center"/>
          <w:tblLook w:val="04A0"/>
        </w:tblPrEx>
        <w:trPr>
          <w:jc w:val="center"/>
        </w:trPr>
        <w:tc>
          <w:tcPr>
            <w:tcW w:w="0" w:type="auto"/>
          </w:tcPr>
          <w:p w:rsidR="006C5FF5" w:rsidRPr="006C5FF5" w:rsidP="006C5FF5" w14:paraId="17293AA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אספנים קטנים</w:t>
            </w:r>
          </w:p>
        </w:tc>
        <w:tc>
          <w:tcPr>
            <w:tcW w:w="0" w:type="auto"/>
          </w:tcPr>
          <w:p w:rsidR="006C5FF5" w:rsidRPr="006C5FF5" w:rsidP="006C5FF5" w14:paraId="23BBEFF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21,377</w:t>
            </w:r>
          </w:p>
        </w:tc>
        <w:tc>
          <w:tcPr>
            <w:tcW w:w="0" w:type="auto"/>
          </w:tcPr>
          <w:p w:rsidR="006C5FF5" w:rsidRPr="006C5FF5" w:rsidP="006C5FF5" w14:paraId="7BF17B4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14%</w:t>
            </w:r>
          </w:p>
        </w:tc>
      </w:tr>
      <w:tr w14:paraId="0C928BC9" w14:textId="77777777" w:rsidTr="00BE6A7F">
        <w:tblPrEx>
          <w:tblW w:w="8222" w:type="dxa"/>
          <w:jc w:val="center"/>
          <w:tblLook w:val="04A0"/>
        </w:tblPrEx>
        <w:trPr>
          <w:jc w:val="center"/>
        </w:trPr>
        <w:tc>
          <w:tcPr>
            <w:tcW w:w="0" w:type="auto"/>
          </w:tcPr>
          <w:p w:rsidR="006C5FF5" w:rsidRPr="006C5FF5" w:rsidP="006C5FF5" w14:paraId="6751E15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בתי עסק, מוסדות ומלונות</w:t>
            </w:r>
          </w:p>
        </w:tc>
        <w:tc>
          <w:tcPr>
            <w:tcW w:w="0" w:type="auto"/>
          </w:tcPr>
          <w:p w:rsidR="006C5FF5" w:rsidRPr="006C5FF5" w:rsidP="006C5FF5" w14:paraId="4B3DDE3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60,540</w:t>
            </w:r>
          </w:p>
        </w:tc>
        <w:tc>
          <w:tcPr>
            <w:tcW w:w="0" w:type="auto"/>
          </w:tcPr>
          <w:p w:rsidR="006C5FF5" w:rsidRPr="006C5FF5" w:rsidP="006C5FF5" w14:paraId="1F83564D"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56%</w:t>
            </w:r>
          </w:p>
        </w:tc>
      </w:tr>
      <w:tr w14:paraId="6870A2E5" w14:textId="77777777" w:rsidTr="00BE6A7F">
        <w:tblPrEx>
          <w:tblW w:w="8222" w:type="dxa"/>
          <w:jc w:val="center"/>
          <w:tblLook w:val="04A0"/>
        </w:tblPrEx>
        <w:trPr>
          <w:jc w:val="center"/>
        </w:trPr>
        <w:tc>
          <w:tcPr>
            <w:tcW w:w="0" w:type="auto"/>
          </w:tcPr>
          <w:p w:rsidR="006C5FF5" w:rsidRPr="006C5FF5" w:rsidP="006C5FF5" w14:paraId="6D09604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בתי ספר, ועדים ואחרים</w:t>
            </w:r>
          </w:p>
        </w:tc>
        <w:tc>
          <w:tcPr>
            <w:tcW w:w="0" w:type="auto"/>
          </w:tcPr>
          <w:p w:rsidR="006C5FF5" w:rsidRPr="006C5FF5" w:rsidP="006C5FF5" w14:paraId="1BBE8D5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18,323</w:t>
            </w:r>
          </w:p>
        </w:tc>
        <w:tc>
          <w:tcPr>
            <w:tcW w:w="0" w:type="auto"/>
          </w:tcPr>
          <w:p w:rsidR="006C5FF5" w:rsidRPr="006C5FF5" w:rsidP="006C5FF5" w14:paraId="7840C91F"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12%</w:t>
            </w:r>
          </w:p>
        </w:tc>
      </w:tr>
    </w:tbl>
    <w:p w:rsidR="000930B3" w:rsidRPr="00BE6A7F" w:rsidP="00BE6A7F" w14:paraId="58ADEF5C" w14:textId="77777777">
      <w:pPr>
        <w:pStyle w:val="text-source"/>
      </w:pPr>
      <w:r w:rsidRPr="00BE6A7F">
        <w:rPr>
          <w:rtl/>
        </w:rPr>
        <w:t xml:space="preserve">על פי נתוני המשרד </w:t>
      </w:r>
      <w:r w:rsidRPr="00BE6A7F">
        <w:rPr>
          <w:rtl/>
        </w:rPr>
        <w:t>להגנ"ס</w:t>
      </w:r>
      <w:r w:rsidRPr="00BE6A7F">
        <w:rPr>
          <w:rtl/>
        </w:rPr>
        <w:t xml:space="preserve">, מסמכי בחינה - 2014, בעיבוד משרד מבקר המדינה. </w:t>
      </w:r>
    </w:p>
    <w:p w:rsidR="000930B3" w:rsidRPr="00D22A15" w:rsidP="005C4ABF" w14:paraId="23C4858C" w14:textId="77777777">
      <w:pPr>
        <w:pStyle w:val="a5"/>
        <w:spacing w:before="120" w:after="120" w:line="320" w:lineRule="atLeast"/>
        <w:rPr>
          <w:rFonts w:ascii="Tahoma" w:hAnsi="Tahoma" w:cs="Tahoma"/>
          <w:sz w:val="20"/>
          <w:szCs w:val="20"/>
        </w:rPr>
      </w:pPr>
      <w:r w:rsidRPr="00D22A15">
        <w:rPr>
          <w:rFonts w:ascii="Tahoma" w:hAnsi="Tahoma" w:cs="Tahoma"/>
          <w:sz w:val="20"/>
          <w:szCs w:val="20"/>
          <w:rtl/>
        </w:rPr>
        <w:t>יצוין כי חברות האיסוף הן חברות פרטיות, ודוחותיהן הכספיים אינם מתפרסמים לציבור. לפיכך, אין בנמצא נתונים גלויים לציבור שמהם ניתן ללמוד על עלויות האיסוף ועל שיעור העודפים הנותרים בחברות האיסוף מדמי הפיקדון.</w:t>
      </w:r>
    </w:p>
    <w:p w:rsidR="000930B3" w:rsidRPr="00D22A15" w:rsidP="005C4ABF" w14:paraId="45441FA1" w14:textId="77777777">
      <w:pPr>
        <w:pStyle w:val="a5"/>
        <w:spacing w:before="120" w:after="120" w:line="320" w:lineRule="atLeast"/>
        <w:rPr>
          <w:rFonts w:ascii="Tahoma" w:hAnsi="Tahoma" w:cs="Tahoma"/>
          <w:spacing w:val="-2"/>
          <w:sz w:val="20"/>
          <w:szCs w:val="20"/>
          <w:rtl/>
        </w:rPr>
      </w:pPr>
      <w:r w:rsidRPr="00D22A15">
        <w:rPr>
          <w:rFonts w:ascii="Tahoma" w:hAnsi="Tahoma" w:cs="Tahoma"/>
          <w:spacing w:val="-2"/>
          <w:sz w:val="20"/>
          <w:szCs w:val="20"/>
          <w:rtl/>
        </w:rPr>
        <w:t xml:space="preserve">חברת איסוף א' מסרה בתגובתה כי היא פועלת ללא מטרות רווח, וכי הכנסותיה מדמי הפיקדון ומדמי הטיפול משמשות אך ורק לאיסוף מכלי משקה ולפעילות ציבורית. </w:t>
      </w:r>
    </w:p>
    <w:p w:rsidR="000930B3" w:rsidRPr="00D22A15" w:rsidP="005C4ABF" w14:paraId="617E402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לדעת חברת איסוף א', שאספה בשנים 2016 - 2018 98.3% מהמכלים הגדולים שנאספו ומייצגת את היצרנים הגדולים והיבואנים הגדולים של המשקאות, אין מקום להחלת פיקדון על המכלים הגדולים. על פי עבודה שבוצעה לבקשת החברה בספטמבר 2020, עלות האיסוף הממוצעת למכל קטן היא 18 אגורות בעוד שעלות איסוף מכל משקה גדול בשיטה הנוכחית היא 3 אגורות בלבד. במסקנות העבודה צוין כי אם יוטל פיקדון בסך 30 אגורות על מכלי המשקה הגדולים, ייווצר לה גרעון של 41.7 מיליון ש"ח. ניתן יהיה לכסות גרעון זה בהעברת כספים מהיצרנים ומהיבואנים לחברה או בהעלאת דמי הפיקדון ל-58 אגורות. על פי החישובים שהוצגו, העלאת הפיקדון ל-58 אגורות תביא להגדלת הוצאות הצרכנים בסכום העולה על 400 מיליון ש"ח בשנה.</w:t>
      </w:r>
    </w:p>
    <w:p w:rsidR="000930B3" w:rsidRPr="00D22A15" w:rsidP="005C4ABF" w14:paraId="4370CC4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על פי מאמר שפורסם בשנת 2010</w:t>
      </w:r>
      <w:r w:rsidRPr="00D22A15">
        <w:rPr>
          <w:rFonts w:ascii="Tahoma" w:hAnsi="Tahoma" w:cs="Tahoma"/>
          <w:spacing w:val="-57"/>
          <w:sz w:val="20"/>
          <w:szCs w:val="20"/>
          <w:rtl/>
        </w:rPr>
        <w:t xml:space="preserve"> </w:t>
      </w:r>
      <w:r>
        <w:rPr>
          <w:rFonts w:ascii="Tahoma" w:hAnsi="Tahoma" w:cs="Tahoma"/>
          <w:sz w:val="20"/>
          <w:szCs w:val="20"/>
          <w:vertAlign w:val="superscript"/>
          <w:rtl/>
        </w:rPr>
        <w:footnoteReference w:id="80"/>
      </w:r>
      <w:r w:rsidRPr="00D22A15">
        <w:rPr>
          <w:rFonts w:ascii="Tahoma" w:hAnsi="Tahoma" w:cs="Tahoma"/>
          <w:sz w:val="20"/>
          <w:szCs w:val="20"/>
          <w:rtl/>
        </w:rPr>
        <w:t>, התועלת שתצמח מהטלת פיקדון, בהנחה שייאספו 450 מיליון מכלים גדולים בשנה, מסתכמת בכ-190 מיליון ש"ח. היא נובעת מחיסכון בעלות הטיפול החלופי במכלים, מניקיון המרחב ציבורי, מהקטנת נפחי ההטמנה, משימוש בחומרים ממוחזרים תוך חיסכון באנרגיה והקטנת הזיהום בהליך ייצור המכלים ומעידוד תעסוקה.</w:t>
      </w:r>
    </w:p>
    <w:p w:rsidR="000930B3" w:rsidRPr="00D22A15" w:rsidP="005C4ABF" w14:paraId="59596FA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בנובמבר 2019 קיימה הוועדה לאיכות הסביבה של מרכז השלטון המקומי דיון בנושא מכלי המשקה הגדולים. במצע לדיון צוין כי 26% ממכלי המשקה הגדולים ששווקו בישראל בשנת 2016 נאספו באמצעות </w:t>
      </w:r>
      <w:r w:rsidRPr="00D22A15">
        <w:rPr>
          <w:rFonts w:ascii="Tahoma" w:hAnsi="Tahoma" w:cs="Tahoma"/>
          <w:sz w:val="20"/>
          <w:szCs w:val="20"/>
          <w:rtl/>
        </w:rPr>
        <w:t>המיחזוריות</w:t>
      </w:r>
      <w:r w:rsidRPr="00D22A15">
        <w:rPr>
          <w:rFonts w:ascii="Tahoma" w:hAnsi="Tahoma" w:cs="Tahoma"/>
          <w:sz w:val="20"/>
          <w:szCs w:val="20"/>
          <w:rtl/>
        </w:rPr>
        <w:t xml:space="preserve">, 4% הושלכו בשטחים פתוחים והיתר נאספו במתקני אצירה לפסולת ביתית. עוד צוין כי הנפח הכולל של מכלי המשקה הגדולים בפסולת הביתית, המטופלת על ידי הרשויות המקומיות, "מגיע לכ-800,000 קוב מדי שנה... עלות הטיפול הכוללת אצירה, פינוי והטמנה (כולל היטל) עומדת על כ-700 ש"ח לטון. </w:t>
      </w:r>
      <w:r w:rsidRPr="008912CB">
        <w:rPr>
          <w:rStyle w:val="a4"/>
          <w:rFonts w:ascii="Tahoma" w:hAnsi="Tahoma" w:cs="Tahoma"/>
          <w:b/>
          <w:bCs/>
          <w:sz w:val="20"/>
          <w:szCs w:val="20"/>
          <w:rtl/>
        </w:rPr>
        <w:t xml:space="preserve">המשמעות עשרות מיליוני שקלים של עלויות טיפול במכלי משקה גדולים 'מגולגלים' על הרשויות </w:t>
      </w:r>
      <w:r w:rsidRPr="008912CB">
        <w:rPr>
          <w:rStyle w:val="a4"/>
          <w:rFonts w:ascii="Tahoma" w:hAnsi="Tahoma" w:cs="Tahoma"/>
          <w:b/>
          <w:bCs/>
          <w:sz w:val="20"/>
          <w:szCs w:val="20"/>
          <w:rtl/>
        </w:rPr>
        <w:t>המקומיות"</w:t>
      </w:r>
      <w:r w:rsidRPr="00D22A15">
        <w:rPr>
          <w:rFonts w:ascii="Tahoma" w:hAnsi="Tahoma" w:cs="Tahoma"/>
          <w:sz w:val="20"/>
          <w:szCs w:val="20"/>
          <w:rtl/>
        </w:rPr>
        <w:t xml:space="preserve"> (ההדגשה במקור). בסיכום המצע צוין כי מניתוח החלופות נראה כי קיימת העדפה לחלופה של הטלת פיקדון על מכלי משקה גדולים, שתתרום לאיסוף משמעותי יותר של מכלים, תקטין את העלויות לרשויות המקומיות ותשפר את רמת הניקיון של המרחב הציבורי והשטחים הפתוחים. </w:t>
      </w:r>
    </w:p>
    <w:p w:rsidR="000930B3" w:rsidRPr="00D22A15" w:rsidP="005C4ABF" w14:paraId="571DF5F2" w14:textId="25845E0A">
      <w:pPr>
        <w:pStyle w:val="a5"/>
        <w:spacing w:before="120" w:after="120" w:line="320" w:lineRule="atLeast"/>
        <w:rPr>
          <w:rFonts w:ascii="Tahoma" w:hAnsi="Tahoma" w:cs="Tahoma"/>
          <w:sz w:val="20"/>
          <w:szCs w:val="20"/>
          <w:rtl/>
        </w:rPr>
      </w:pPr>
      <w:r w:rsidRPr="00D22A15">
        <w:rPr>
          <w:rFonts w:ascii="Tahoma" w:hAnsi="Tahoma" w:cs="Tahoma"/>
          <w:sz w:val="20"/>
          <w:szCs w:val="20"/>
          <w:rtl/>
        </w:rPr>
        <w:t>בספטמבר 2020 כתבו ראשי הערים מפורום ה-15</w:t>
      </w:r>
      <w:r>
        <w:rPr>
          <w:rFonts w:ascii="Tahoma" w:hAnsi="Tahoma" w:cs="Tahoma"/>
          <w:sz w:val="20"/>
          <w:szCs w:val="20"/>
          <w:vertAlign w:val="superscript"/>
          <w:rtl/>
        </w:rPr>
        <w:footnoteReference w:id="81"/>
      </w:r>
      <w:r w:rsidRPr="00D22A15">
        <w:rPr>
          <w:rFonts w:ascii="Tahoma" w:hAnsi="Tahoma" w:cs="Tahoma"/>
          <w:sz w:val="20"/>
          <w:szCs w:val="20"/>
          <w:rtl/>
        </w:rPr>
        <w:t xml:space="preserve"> לשרה </w:t>
      </w:r>
      <w:r w:rsidRPr="00D22A15">
        <w:rPr>
          <w:rFonts w:ascii="Tahoma" w:hAnsi="Tahoma" w:cs="Tahoma"/>
          <w:sz w:val="20"/>
          <w:szCs w:val="20"/>
          <w:rtl/>
        </w:rPr>
        <w:t>להגנ"ס</w:t>
      </w:r>
      <w:r w:rsidRPr="00D22A15">
        <w:rPr>
          <w:rFonts w:ascii="Tahoma" w:hAnsi="Tahoma" w:cs="Tahoma"/>
          <w:sz w:val="20"/>
          <w:szCs w:val="20"/>
          <w:rtl/>
        </w:rPr>
        <w:t xml:space="preserve"> כי איסוף המכלים </w:t>
      </w:r>
      <w:r w:rsidRPr="00D22A15">
        <w:rPr>
          <w:rFonts w:ascii="Tahoma" w:hAnsi="Tahoma" w:cs="Tahoma"/>
          <w:sz w:val="20"/>
          <w:szCs w:val="20"/>
          <w:rtl/>
        </w:rPr>
        <w:t>במיחזוריות</w:t>
      </w:r>
      <w:r w:rsidRPr="00D22A15">
        <w:rPr>
          <w:rFonts w:ascii="Tahoma" w:hAnsi="Tahoma" w:cs="Tahoma"/>
          <w:sz w:val="20"/>
          <w:szCs w:val="20"/>
          <w:rtl/>
        </w:rPr>
        <w:t xml:space="preserve"> הפרוסות במרחב העירוני אינו נותן מענה הולם לזרם פסולת זה ואף יוצר נזקים נוספים לערים, החל בחסימת מדרכות, דרך יצירת מפגעי לכלוך ברחוב ועד ליצירת תשטיפים שחודרים למי התהום. עוד נכתב כי הפורום תומך בהחלת הפיקדון על מכלי משקה גדולים או בגיבוש פתרון חלופי עבור פסולת זו. להלן תמונה הממחישה את המפגע. </w:t>
      </w:r>
    </w:p>
    <w:p w:rsidR="000930B3" w:rsidRPr="00DA075D" w:rsidP="00AD02C3" w14:paraId="3371244D" w14:textId="0D3EE975">
      <w:pPr>
        <w:pStyle w:val="a1"/>
        <w:spacing w:line="320" w:lineRule="atLeast"/>
        <w:rPr>
          <w:rtl/>
        </w:rPr>
      </w:pPr>
      <w:r w:rsidRPr="00D22A15">
        <w:rPr>
          <w:b w:val="0"/>
          <w:bCs w:val="0"/>
          <w:rtl/>
        </w:rPr>
        <w:t xml:space="preserve">תמונה 6: </w:t>
      </w:r>
      <w:r w:rsidRPr="00DA075D">
        <w:rPr>
          <w:rtl/>
        </w:rPr>
        <w:t>מיחזורית</w:t>
      </w:r>
      <w:r w:rsidRPr="00DA075D">
        <w:rPr>
          <w:rtl/>
        </w:rPr>
        <w:t xml:space="preserve"> העולה על גדותיה</w:t>
      </w:r>
    </w:p>
    <w:p w:rsidR="000930B3" w:rsidRPr="00BE6A7F" w:rsidP="00BE6A7F" w14:paraId="168A5A38" w14:textId="5AB9765C">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876800" cy="3657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7730" name="Picture 289"/>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0930B3" w:rsidRPr="00DA075D" w:rsidP="006C5FF5" w14:paraId="54B3CB51" w14:textId="77777777">
      <w:pPr>
        <w:pStyle w:val="text-source"/>
        <w:rPr>
          <w:rtl/>
        </w:rPr>
      </w:pPr>
      <w:r w:rsidRPr="00DA075D">
        <w:rPr>
          <w:rtl/>
        </w:rPr>
        <w:t>התמונה צולמה על ידי צוות הביקורת בתל אביב-יפו באוגוסט 2020.</w:t>
      </w:r>
    </w:p>
    <w:p w:rsidR="000930B3" w:rsidRPr="00D22A15" w:rsidP="005C4ABF" w14:paraId="108BCC6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בדצמבר 2020 מסר מרכז השלטון המקומי בתגובתו למשרד מבקר המדינה כי לדעתו יש מקום להמשיך לפעול לאיסוף מכלי משקה גדולים בשיטה </w:t>
      </w:r>
      <w:r w:rsidRPr="00D22A15">
        <w:rPr>
          <w:rFonts w:ascii="Tahoma" w:hAnsi="Tahoma" w:cs="Tahoma"/>
          <w:sz w:val="20"/>
          <w:szCs w:val="20"/>
          <w:rtl/>
        </w:rPr>
        <w:t>הוולנטרית</w:t>
      </w:r>
      <w:r w:rsidRPr="00D22A15">
        <w:rPr>
          <w:rFonts w:ascii="Tahoma" w:hAnsi="Tahoma" w:cs="Tahoma"/>
          <w:sz w:val="20"/>
          <w:szCs w:val="20"/>
          <w:rtl/>
        </w:rPr>
        <w:t xml:space="preserve"> תוך חיזוק של פעולות ההסברה, בדגש על רשויות מקומיות שבהן רמת שיתוף הפעולה של הציבור נמוכה. זאת מכיוון שהטלת הפיקדון והסרת </w:t>
      </w:r>
      <w:r w:rsidRPr="00D22A15">
        <w:rPr>
          <w:rFonts w:ascii="Tahoma" w:hAnsi="Tahoma" w:cs="Tahoma"/>
          <w:sz w:val="20"/>
          <w:szCs w:val="20"/>
          <w:rtl/>
        </w:rPr>
        <w:t>המיחזוריות</w:t>
      </w:r>
      <w:r w:rsidRPr="00D22A15">
        <w:rPr>
          <w:rFonts w:ascii="Tahoma" w:hAnsi="Tahoma" w:cs="Tahoma"/>
          <w:sz w:val="20"/>
          <w:szCs w:val="20"/>
          <w:rtl/>
        </w:rPr>
        <w:t xml:space="preserve"> מעלות "חשש ממשי מהשלכת מכלי משקה גדולים לפח </w:t>
      </w:r>
      <w:r w:rsidRPr="00D22A15">
        <w:rPr>
          <w:rFonts w:ascii="Tahoma" w:hAnsi="Tahoma" w:cs="Tahoma"/>
          <w:sz w:val="20"/>
          <w:szCs w:val="20"/>
          <w:rtl/>
        </w:rPr>
        <w:t xml:space="preserve">הפסולת המעורבת הביתי (הפח הירוק)...ומשכך תחל פעילות של 'נברנים' אשר ישפכו את תכולת הפח במטרה לאסוף מכלים אלה. בנוסף לכך נפח האשפה המפונה יגדל, ועמו הוצאות הרשויות לפינוי האשפה". כמו כן צוין בתגובה כי שינוים תכופים בהנחיות לציבור בקשר לאיסוף מכלי משקה עלולים לבלבל את הציבור ולפגוע במאמצי הסברה, שעלולים להיפגע גם מהסרת </w:t>
      </w:r>
      <w:r w:rsidRPr="00D22A15">
        <w:rPr>
          <w:rFonts w:ascii="Tahoma" w:hAnsi="Tahoma" w:cs="Tahoma"/>
          <w:sz w:val="20"/>
          <w:szCs w:val="20"/>
          <w:rtl/>
        </w:rPr>
        <w:t>המיחזוריות</w:t>
      </w:r>
      <w:r w:rsidRPr="00D22A15">
        <w:rPr>
          <w:rFonts w:ascii="Tahoma" w:hAnsi="Tahoma" w:cs="Tahoma"/>
          <w:sz w:val="20"/>
          <w:szCs w:val="20"/>
          <w:rtl/>
        </w:rPr>
        <w:t xml:space="preserve"> שאליהן הורגל הציבור להשליך את המכלים הגדולים. </w:t>
      </w:r>
    </w:p>
    <w:p w:rsidR="000930B3" w:rsidRPr="00D22A15" w:rsidP="005C4ABF" w14:paraId="5E2C5292" w14:textId="77777777">
      <w:pPr>
        <w:pStyle w:val="a5"/>
        <w:spacing w:before="120" w:after="120" w:line="320" w:lineRule="atLeast"/>
        <w:rPr>
          <w:rFonts w:ascii="Tahoma" w:hAnsi="Tahoma" w:cs="Tahoma"/>
          <w:spacing w:val="-2"/>
          <w:w w:val="97"/>
          <w:sz w:val="20"/>
          <w:szCs w:val="20"/>
          <w:rtl/>
        </w:rPr>
      </w:pPr>
      <w:r w:rsidRPr="00D22A15">
        <w:rPr>
          <w:rFonts w:ascii="Tahoma" w:hAnsi="Tahoma" w:cs="Tahoma"/>
          <w:spacing w:val="-2"/>
          <w:w w:val="97"/>
          <w:sz w:val="20"/>
          <w:szCs w:val="20"/>
          <w:rtl/>
        </w:rPr>
        <w:t xml:space="preserve">בדצמבר 2020 מסר משרד הכלכלה בתגובתו למשרד מבקר המדינה (להלן - תגובת משרד הכלכלה) כי כיום קיים מנגנון איסוף המאפשר איסוף התנדבותי של מכלי המשקה הגדולים באמצעות </w:t>
      </w:r>
      <w:r w:rsidRPr="00D22A15">
        <w:rPr>
          <w:rFonts w:ascii="Tahoma" w:hAnsi="Tahoma" w:cs="Tahoma"/>
          <w:spacing w:val="-2"/>
          <w:w w:val="97"/>
          <w:sz w:val="20"/>
          <w:szCs w:val="20"/>
          <w:rtl/>
        </w:rPr>
        <w:t>מיחזוריות</w:t>
      </w:r>
      <w:r w:rsidRPr="00D22A15">
        <w:rPr>
          <w:rFonts w:ascii="Tahoma" w:hAnsi="Tahoma" w:cs="Tahoma"/>
          <w:spacing w:val="-2"/>
          <w:w w:val="97"/>
          <w:sz w:val="20"/>
          <w:szCs w:val="20"/>
          <w:rtl/>
        </w:rPr>
        <w:t xml:space="preserve"> ופחים כתומים, וכי לדעת המשרד החלת הפיקדון על מכלים אלה תגדיל עוד יותר את שיעורי האיסוף ותסייע לניקיון המרחב הציבורי.</w:t>
      </w:r>
    </w:p>
    <w:p w:rsidR="000930B3" w:rsidRPr="00D22A15" w:rsidP="005C4ABF" w14:paraId="656880C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במשרד </w:t>
      </w:r>
      <w:r w:rsidRPr="00D22A15">
        <w:rPr>
          <w:rFonts w:ascii="Tahoma" w:hAnsi="Tahoma" w:cs="Tahoma"/>
          <w:sz w:val="20"/>
          <w:szCs w:val="20"/>
          <w:rtl/>
        </w:rPr>
        <w:t>להגנ"ס</w:t>
      </w:r>
      <w:r w:rsidRPr="00D22A15">
        <w:rPr>
          <w:rFonts w:ascii="Tahoma" w:hAnsi="Tahoma" w:cs="Tahoma"/>
          <w:sz w:val="20"/>
          <w:szCs w:val="20"/>
          <w:rtl/>
        </w:rPr>
        <w:t xml:space="preserve"> נערכה ביולי-ספטמבר 2020 עבודת מטה בהובלת אגף מדיניות ואסטרטגיה. לצורך ביצוע העבודה שכר המשרד </w:t>
      </w:r>
      <w:r w:rsidRPr="00D22A15">
        <w:rPr>
          <w:rFonts w:ascii="Tahoma" w:hAnsi="Tahoma" w:cs="Tahoma"/>
          <w:sz w:val="20"/>
          <w:szCs w:val="20"/>
          <w:rtl/>
        </w:rPr>
        <w:t>להגנ"ס</w:t>
      </w:r>
      <w:r w:rsidRPr="00D22A15">
        <w:rPr>
          <w:rFonts w:ascii="Tahoma" w:hAnsi="Tahoma" w:cs="Tahoma"/>
          <w:sz w:val="20"/>
          <w:szCs w:val="20"/>
          <w:rtl/>
        </w:rPr>
        <w:t xml:space="preserve"> שירותי חברת ייעוץ. עבודת המטה כללה ניתוח של התועלות ממניעת פסולת במקור, מעליית אחוזי </w:t>
      </w:r>
      <w:r w:rsidRPr="00D22A15">
        <w:rPr>
          <w:rFonts w:ascii="Tahoma" w:hAnsi="Tahoma" w:cs="Tahoma"/>
          <w:sz w:val="20"/>
          <w:szCs w:val="20"/>
          <w:rtl/>
        </w:rPr>
        <w:t>המיחזור</w:t>
      </w:r>
      <w:r w:rsidRPr="00D22A15">
        <w:rPr>
          <w:rFonts w:ascii="Tahoma" w:hAnsi="Tahoma" w:cs="Tahoma"/>
          <w:sz w:val="20"/>
          <w:szCs w:val="20"/>
          <w:rtl/>
        </w:rPr>
        <w:t xml:space="preserve">, ממניעת ההטמנה, מניקיון שטחי הציבור ומחינוך הציבור לאחריות סביבתית וכן ניתוח של העלויות המשקיות, בהן עלויות האיסוף, עלויות עירוניות והשפעות סביבתיות. בעבודה נקבע כי ציבור צרכני המשקאות הממחזר יחסוך קרוב ל-60 מיליון ש"ח בשנה כתוצאה מהחלת חוק הפיקדון על המכלים הגדולים. </w:t>
      </w:r>
    </w:p>
    <w:p w:rsidR="000930B3" w:rsidRPr="00DA075D" w:rsidP="008E06C5" w14:paraId="75206485" w14:textId="77777777">
      <w:pPr>
        <w:pStyle w:val="RESHET"/>
        <w:rPr>
          <w:rtl/>
        </w:rPr>
      </w:pPr>
      <w:r w:rsidRPr="00DA075D">
        <w:rPr>
          <w:rtl/>
        </w:rPr>
        <w:t xml:space="preserve">אין חולק על כך ששיפור איכות הסביבה באמצעות הקמת מנגנוני איסוף מסוגים שונים כרוך בעלויות המושתות, בסופו של יום, על הצרכן. על פי חוות דעת כלכלית מטעם חברת איסוף א' שהוגשה בספטמבר 2020 לוועדת הכלכלה של הכנסת, עלות איסוף מכל קטן שמוטל עליו פיקדון היא כ-18 אגורות למכל, ואילו עלות האיסוף של מכל גדול שטרם הוטל עליו פיקדון היא כ-3 אגורות בלבד. לעומת זאת, על פי נתוני העבודה שנערכה עבור המשרד </w:t>
      </w:r>
      <w:r w:rsidRPr="00DA075D">
        <w:rPr>
          <w:rtl/>
        </w:rPr>
        <w:t>להגנ"ס</w:t>
      </w:r>
      <w:r w:rsidRPr="00DA075D">
        <w:rPr>
          <w:rtl/>
        </w:rPr>
        <w:t xml:space="preserve"> באוגוסט 2020, עלות איסוף נטו של מכל משקה שמוטל עליו פיקדון היא כ-15 אגורות למכל, ואילו עלות איסוף מכל ללא פיקדון, לרבות העלויות העקיפות, היא כ-17 - 22 אגורות למכל. </w:t>
      </w:r>
    </w:p>
    <w:p w:rsidR="000930B3" w:rsidRPr="00DA075D" w:rsidP="008E06C5" w14:paraId="76BD3E8B" w14:textId="77777777">
      <w:pPr>
        <w:pStyle w:val="RESHET"/>
        <w:rPr>
          <w:rtl/>
        </w:rPr>
      </w:pPr>
      <w:r w:rsidRPr="00DA075D">
        <w:rPr>
          <w:rtl/>
        </w:rPr>
        <w:t xml:space="preserve">עד שיוחל בפועל הפיקדון על מכלי משקה גדולים ובהיעדר מנגנונים לאיסוף, מצטברת פסולת מכלי המשקה בשטחים הציבוריים ובאשפה הביתית, שאף סילוקה כרוך בעלויות המושתות על הציבור באופן עקיף באמצעות מיסים ובנזק סביבתי למקרקעין שבהם היא מוטמנת. </w:t>
      </w:r>
    </w:p>
    <w:p w:rsidR="000930B3" w:rsidRPr="00DA075D" w:rsidP="008E06C5" w14:paraId="551560FE" w14:textId="77777777">
      <w:pPr>
        <w:pStyle w:val="RESHET"/>
        <w:rPr>
          <w:rtl/>
        </w:rPr>
      </w:pPr>
      <w:r w:rsidRPr="00DA075D">
        <w:rPr>
          <w:rtl/>
        </w:rPr>
        <w:t xml:space="preserve">מומלץ כי המשרד </w:t>
      </w:r>
      <w:r w:rsidRPr="00DA075D">
        <w:rPr>
          <w:rtl/>
        </w:rPr>
        <w:t>להגנ"ס</w:t>
      </w:r>
      <w:r w:rsidRPr="00DA075D">
        <w:rPr>
          <w:rtl/>
        </w:rPr>
        <w:t xml:space="preserve"> יבחן מנגנונים להגברת איסוף פסולת הפלסטיק בשטחים הציבוריים ובאשפה הביתית עד להחלת הפיקדון בפועל כאמור. כמו כן, מומלץ כי המשרד </w:t>
      </w:r>
      <w:r w:rsidRPr="00DA075D">
        <w:rPr>
          <w:rtl/>
        </w:rPr>
        <w:t>להגנ"ס</w:t>
      </w:r>
      <w:r w:rsidRPr="00DA075D">
        <w:rPr>
          <w:rtl/>
        </w:rPr>
        <w:t xml:space="preserve"> יבחן את שיעור ההחזר לציבור מתוך דמי הפיקדון הנגבים ויבחן דרכים להגדלתו בדרך שתעודד את הציבור להעלות את אחוזי </w:t>
      </w:r>
      <w:r w:rsidRPr="00DA075D">
        <w:rPr>
          <w:rtl/>
        </w:rPr>
        <w:t>המיחזור</w:t>
      </w:r>
      <w:r w:rsidRPr="00DA075D">
        <w:rPr>
          <w:rtl/>
        </w:rPr>
        <w:t>.</w:t>
      </w:r>
    </w:p>
    <w:p w:rsidR="000930B3" w:rsidRPr="00DA075D" w:rsidP="005C4ABF" w14:paraId="3036CBE9" w14:textId="77777777">
      <w:pPr>
        <w:pStyle w:val="a5"/>
        <w:spacing w:before="120" w:after="120" w:line="320" w:lineRule="atLeast"/>
        <w:rPr>
          <w:rFonts w:ascii="Tahoma" w:hAnsi="Tahoma" w:cs="Tahoma"/>
          <w:color w:val="002F5E"/>
          <w:spacing w:val="-2"/>
          <w:w w:val="95"/>
          <w:sz w:val="24"/>
          <w:szCs w:val="24"/>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הוא יבחן את שיעור ההחזר לציבור מתוך דמי הפיקדון הנגבים במסגרת ביקורת עומק בנושא הדיווח על המכלים הקטנים המתוכננת להתקיים בשנת 2021. </w:t>
      </w:r>
    </w:p>
    <w:p w:rsidR="000930B3" w:rsidRPr="00DA075D" w:rsidP="00A07626" w14:paraId="4139891A" w14:textId="77777777">
      <w:pPr>
        <w:pStyle w:val="4"/>
        <w:rPr>
          <w:w w:val="93"/>
          <w:rtl/>
        </w:rPr>
      </w:pPr>
      <w:r w:rsidRPr="00DA075D">
        <w:rPr>
          <w:w w:val="93"/>
          <w:rtl/>
        </w:rPr>
        <w:t>אכיפת חוק הפיקדון על יבוא מכלי משקה תוך שמירה על תחרות הוגנת</w:t>
      </w:r>
    </w:p>
    <w:p w:rsidR="000930B3" w:rsidRPr="00D22A15" w:rsidP="005C4ABF" w14:paraId="574D9405" w14:textId="77777777">
      <w:pPr>
        <w:pStyle w:val="a5"/>
        <w:spacing w:before="120" w:after="120" w:line="320" w:lineRule="atLeast"/>
        <w:rPr>
          <w:rFonts w:ascii="Tahoma" w:hAnsi="Tahoma" w:cs="Tahoma"/>
          <w:spacing w:val="-2"/>
          <w:sz w:val="20"/>
          <w:szCs w:val="20"/>
          <w:rtl/>
        </w:rPr>
      </w:pPr>
      <w:r w:rsidRPr="008912CB">
        <w:rPr>
          <w:rStyle w:val="50"/>
          <w:rFonts w:ascii="Tahoma" w:hAnsi="Tahoma" w:cs="Tahoma"/>
          <w:b/>
          <w:bCs/>
          <w:rtl/>
        </w:rPr>
        <w:t>ניסיון בין-לאומי:</w:t>
      </w:r>
      <w:r w:rsidRPr="00D22A15">
        <w:rPr>
          <w:rFonts w:ascii="Tahoma" w:hAnsi="Tahoma" w:cs="Tahoma"/>
          <w:spacing w:val="-2"/>
          <w:sz w:val="20"/>
          <w:szCs w:val="20"/>
          <w:rtl/>
        </w:rPr>
        <w:t xml:space="preserve"> חוק הפיקדון וחוק האריזות הם חוקים המטילים על היצרנים והיבואנים אחריות מורחבת לסילוק פסולת האריזות שהם יוצרים. על פי נייר עמדה של ה-</w:t>
      </w:r>
      <w:r w:rsidRPr="00D22A15">
        <w:rPr>
          <w:rFonts w:ascii="Tahoma" w:hAnsi="Tahoma" w:cs="Tahoma"/>
          <w:spacing w:val="-2"/>
          <w:sz w:val="20"/>
          <w:szCs w:val="20"/>
        </w:rPr>
        <w:t>OECD</w:t>
      </w:r>
      <w:r w:rsidRPr="00D22A15">
        <w:rPr>
          <w:rFonts w:ascii="Tahoma" w:hAnsi="Tahoma" w:cs="Tahoma"/>
          <w:spacing w:val="-2"/>
          <w:sz w:val="20"/>
          <w:szCs w:val="20"/>
          <w:rtl/>
        </w:rPr>
        <w:t xml:space="preserve"> משנת 2019 בנושא אכיפת חוקי אחריות יצרן</w:t>
      </w:r>
      <w:r>
        <w:rPr>
          <w:rFonts w:ascii="Tahoma" w:hAnsi="Tahoma" w:cs="Tahoma"/>
          <w:spacing w:val="-2"/>
          <w:sz w:val="20"/>
          <w:szCs w:val="20"/>
          <w:vertAlign w:val="superscript"/>
          <w:rtl/>
        </w:rPr>
        <w:footnoteReference w:id="82"/>
      </w:r>
      <w:r w:rsidRPr="00D22A15">
        <w:rPr>
          <w:rFonts w:ascii="Tahoma" w:hAnsi="Tahoma" w:cs="Tahoma"/>
          <w:spacing w:val="-2"/>
          <w:sz w:val="20"/>
          <w:szCs w:val="20"/>
          <w:rtl/>
        </w:rPr>
        <w:t xml:space="preserve">, קיימת תופעת "טרמפיסטים" שמייבאים למדינות הארגון מוצרים שונים ביבוא פרטי ואינם משלמים בגינם דמי תפעול או תשלומים אחרים מכוח חוקי אחריות יצרן. על פי נייר העמדה, לרגולטורים של חוקי אחריות יצרן משאבים מוגבלים וריבוי משימות, ולכן נדרשים סיוע של גורמים נוספים ושיטות עבודה מתקדמות למניעת תופעת הטרמפיסטים. </w:t>
      </w:r>
    </w:p>
    <w:p w:rsidR="000930B3" w:rsidRPr="00D22A15" w:rsidP="005C4ABF" w14:paraId="56345B0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ההמלצות העיקריות שהובאו בנייר העמדה נסובות סביב הגברת המודעות ופישוט המעקב אחר הסחורות; שיפור האכיפה באמצעות רישום מקוון מרוכז הכולל את כל חובות היבואן, לרבות חובות על פי חוקי אחריות יצרן; הקמת פלטפורמות מונגשות לדיווח על חשד לטרמפיסטים שאינם עומדים בדרישות חוקי אחריות יצרן; תיאום בין-לאומי בין ארגוני האכיפה; הקמת מנגנון המאפשר או אף מחייב שיתוף פעולה בין רשויות המכס לבין הרגולטורים בתחום הגנת הסביבה.</w:t>
      </w:r>
    </w:p>
    <w:p w:rsidR="000930B3" w:rsidRPr="00D22A15" w:rsidP="005C4ABF" w14:paraId="31952C3B" w14:textId="77777777">
      <w:pPr>
        <w:pStyle w:val="a5"/>
        <w:spacing w:before="120" w:after="120" w:line="320" w:lineRule="atLeast"/>
        <w:rPr>
          <w:rFonts w:ascii="Tahoma" w:hAnsi="Tahoma" w:cs="Tahoma"/>
          <w:sz w:val="20"/>
          <w:szCs w:val="20"/>
          <w:rtl/>
        </w:rPr>
      </w:pPr>
      <w:r w:rsidRPr="008912CB">
        <w:rPr>
          <w:rStyle w:val="50"/>
          <w:rFonts w:ascii="Tahoma" w:hAnsi="Tahoma" w:cs="Tahoma"/>
          <w:b/>
          <w:bCs/>
          <w:rtl/>
        </w:rPr>
        <w:t>הסדרת תנאי היבוא לישראל:</w:t>
      </w:r>
      <w:r w:rsidRPr="00D22A15">
        <w:rPr>
          <w:rFonts w:ascii="Tahoma" w:hAnsi="Tahoma" w:cs="Tahoma"/>
          <w:sz w:val="20"/>
          <w:szCs w:val="20"/>
          <w:rtl/>
        </w:rPr>
        <w:t xml:space="preserve"> בפקודת היבוא והיצוא [נוסח חדש], התשל"ט-1979, נקבע כי שר הכלכלה והתעשייה (להלן - שר הכלכלה) רשאי "לקבוע בצו הוראות שייראו לו מועילות לאיסור או להסדרה של ייבוא טובין בכלל או טובין שפורשו בצו, או שירותים או ידע בכלל או כאלה שפורשו בצו". </w:t>
      </w:r>
    </w:p>
    <w:p w:rsidR="000930B3" w:rsidRPr="00D22A15" w:rsidP="005C4ABF" w14:paraId="42CEA39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צו יבוא חופשי, התשע"ד-2014 (להלן - צו יבוא) קובע אילו אישורים נדרשים לצורך קבלת רישיון יבוא, מהם הפריטים שמותר לייבא גם ללא הצגת רישיון יבוא ותנאים נוספים ליבוא של מוצרים שונים המפורטים בתוספות לצו. על היבואן להציג את האישורים הנדרשים יחד עם </w:t>
      </w:r>
      <w:r w:rsidRPr="00D22A15">
        <w:rPr>
          <w:rFonts w:ascii="Tahoma" w:hAnsi="Tahoma" w:cs="Tahoma"/>
          <w:sz w:val="20"/>
          <w:szCs w:val="20"/>
          <w:rtl/>
        </w:rPr>
        <w:t>רשומון</w:t>
      </w:r>
      <w:r w:rsidRPr="00D22A15">
        <w:rPr>
          <w:rFonts w:ascii="Tahoma" w:hAnsi="Tahoma" w:cs="Tahoma"/>
          <w:sz w:val="20"/>
          <w:szCs w:val="20"/>
          <w:rtl/>
        </w:rPr>
        <w:t xml:space="preserve"> הייבוא </w:t>
      </w:r>
      <w:r w:rsidRPr="00D22A15">
        <w:rPr>
          <w:rFonts w:ascii="Tahoma" w:hAnsi="Tahoma" w:cs="Tahoma"/>
          <w:sz w:val="20"/>
          <w:szCs w:val="20"/>
          <w:rtl/>
        </w:rPr>
        <w:t>למינהל</w:t>
      </w:r>
      <w:r w:rsidRPr="00D22A15">
        <w:rPr>
          <w:rFonts w:ascii="Tahoma" w:hAnsi="Tahoma" w:cs="Tahoma"/>
          <w:sz w:val="20"/>
          <w:szCs w:val="20"/>
          <w:rtl/>
        </w:rPr>
        <w:t xml:space="preserve"> המכס. </w:t>
      </w:r>
    </w:p>
    <w:p w:rsidR="000930B3" w:rsidRPr="00D22A15" w:rsidP="005C4ABF" w14:paraId="0C6758CA" w14:textId="62187761">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נתוני </w:t>
      </w:r>
      <w:r w:rsidRPr="00D22A15">
        <w:rPr>
          <w:rFonts w:ascii="Tahoma" w:hAnsi="Tahoma" w:cs="Tahoma"/>
          <w:sz w:val="20"/>
          <w:szCs w:val="20"/>
          <w:rtl/>
        </w:rPr>
        <w:t>הלמ"ס</w:t>
      </w:r>
      <w:r w:rsidRPr="00D22A15">
        <w:rPr>
          <w:rFonts w:ascii="Tahoma" w:hAnsi="Tahoma" w:cs="Tahoma"/>
          <w:sz w:val="20"/>
          <w:szCs w:val="20"/>
          <w:rtl/>
        </w:rPr>
        <w:t xml:space="preserve">, השווי הכספי של המשקאות הלא-אלכוהוליים המיובאים לישראל עמד </w:t>
      </w:r>
      <w:r w:rsidR="00BE6A7F">
        <w:rPr>
          <w:rFonts w:ascii="Tahoma" w:hAnsi="Tahoma" w:cs="Tahoma"/>
          <w:sz w:val="20"/>
          <w:szCs w:val="20"/>
        </w:rPr>
        <w:br/>
      </w:r>
      <w:r w:rsidRPr="00D22A15">
        <w:rPr>
          <w:rFonts w:ascii="Tahoma" w:hAnsi="Tahoma" w:cs="Tahoma"/>
          <w:sz w:val="20"/>
          <w:szCs w:val="20"/>
          <w:rtl/>
        </w:rPr>
        <w:t>ב-2018 על 1,265 מיליון ש"ח</w:t>
      </w:r>
      <w:r>
        <w:rPr>
          <w:rFonts w:ascii="Tahoma" w:hAnsi="Tahoma" w:cs="Tahoma"/>
          <w:sz w:val="20"/>
          <w:szCs w:val="20"/>
          <w:vertAlign w:val="superscript"/>
          <w:rtl/>
        </w:rPr>
        <w:footnoteReference w:id="83"/>
      </w:r>
      <w:r w:rsidRPr="00D22A15">
        <w:rPr>
          <w:rFonts w:ascii="Tahoma" w:hAnsi="Tahoma" w:cs="Tahoma"/>
          <w:sz w:val="20"/>
          <w:szCs w:val="20"/>
          <w:rtl/>
        </w:rPr>
        <w:t>, וכ-10.5% מהמשקאות הלא-אלכוהוליים שנמכרו במדינה בשנה זו היו מיובאים. בשנת 2015</w:t>
      </w:r>
      <w:r w:rsidRPr="00D22A15">
        <w:rPr>
          <w:rFonts w:ascii="Tahoma" w:hAnsi="Tahoma" w:cs="Tahoma"/>
          <w:spacing w:val="-95"/>
          <w:sz w:val="20"/>
          <w:szCs w:val="20"/>
          <w:rtl/>
        </w:rPr>
        <w:t xml:space="preserve"> </w:t>
      </w:r>
      <w:r>
        <w:rPr>
          <w:rFonts w:ascii="Tahoma" w:hAnsi="Tahoma" w:cs="Tahoma"/>
          <w:sz w:val="20"/>
          <w:szCs w:val="20"/>
          <w:vertAlign w:val="superscript"/>
          <w:rtl/>
        </w:rPr>
        <w:footnoteReference w:id="84"/>
      </w:r>
      <w:r w:rsidRPr="00D22A15">
        <w:rPr>
          <w:rFonts w:ascii="Tahoma" w:hAnsi="Tahoma" w:cs="Tahoma"/>
          <w:sz w:val="20"/>
          <w:szCs w:val="20"/>
          <w:rtl/>
        </w:rPr>
        <w:t xml:space="preserve"> עמד השווי הכספי של המשקאות האלכוהוליים המיובאים על 2,120 מיליון ש"ח, וכ-40.4% מהמשקאות האלכוהוליים שנמכרו באותה שנה היו מיובאים. </w:t>
      </w:r>
    </w:p>
    <w:p w:rsidR="000930B3" w:rsidRPr="00DA075D" w:rsidP="00AD02C3" w14:paraId="0AD2E3D0" w14:textId="77777777">
      <w:pPr>
        <w:pStyle w:val="a1"/>
        <w:spacing w:line="320" w:lineRule="atLeast"/>
        <w:rPr>
          <w:rtl/>
        </w:rPr>
      </w:pPr>
      <w:r w:rsidRPr="008E59E1">
        <w:rPr>
          <w:b w:val="0"/>
          <w:bCs w:val="0"/>
          <w:rtl/>
        </w:rPr>
        <w:t xml:space="preserve">לוח 11: </w:t>
      </w:r>
      <w:r w:rsidRPr="00DA075D">
        <w:rPr>
          <w:rtl/>
        </w:rPr>
        <w:t>יבוא משקאות אלכוהוליים ומשקאות לא-אלכוהוליים לישראל בשנים נבחרות</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2755"/>
        <w:gridCol w:w="1487"/>
        <w:gridCol w:w="1487"/>
        <w:gridCol w:w="1824"/>
        <w:gridCol w:w="669"/>
      </w:tblGrid>
      <w:tr w14:paraId="26ADEBFC" w14:textId="77777777" w:rsidTr="003C3876">
        <w:tblPrEx>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tblHeader/>
          <w:jc w:val="center"/>
        </w:trPr>
        <w:tc>
          <w:tcPr>
            <w:tcW w:w="0" w:type="auto"/>
            <w:tcBorders>
              <w:top w:val="single" w:sz="8" w:space="0" w:color="auto"/>
              <w:bottom w:val="single" w:sz="8" w:space="0" w:color="auto"/>
            </w:tcBorders>
            <w:shd w:val="clear" w:color="auto" w:fill="C6D9F1"/>
            <w:vAlign w:val="bottom"/>
          </w:tcPr>
          <w:p w:rsidR="006C5FF5" w:rsidRPr="006C5FF5" w:rsidP="008E59E1" w14:paraId="24E55420" w14:textId="77777777">
            <w:pPr>
              <w:pStyle w:val="a20"/>
              <w:keepNext/>
              <w:keepLines/>
              <w:widowControl/>
              <w:tabs>
                <w:tab w:val="clear" w:pos="340"/>
              </w:tabs>
              <w:spacing w:before="40" w:after="40" w:line="240" w:lineRule="atLeast"/>
              <w:jc w:val="left"/>
              <w:rPr>
                <w:rFonts w:ascii="Tahoma" w:hAnsi="Tahoma" w:eastAsiaTheme="minorHAnsi" w:cs="Tahoma"/>
                <w:color w:val="auto"/>
                <w:sz w:val="24"/>
                <w:szCs w:val="24"/>
              </w:rPr>
            </w:pPr>
          </w:p>
        </w:tc>
        <w:tc>
          <w:tcPr>
            <w:tcW w:w="0" w:type="auto"/>
            <w:tcBorders>
              <w:top w:val="single" w:sz="8" w:space="0" w:color="auto"/>
              <w:bottom w:val="single" w:sz="8" w:space="0" w:color="auto"/>
            </w:tcBorders>
            <w:shd w:val="clear" w:color="auto" w:fill="C6D9F1"/>
            <w:vAlign w:val="bottom"/>
          </w:tcPr>
          <w:p w:rsidR="006C5FF5" w:rsidRPr="006C5FF5" w:rsidP="008E59E1" w14:paraId="0CD90700" w14:textId="4219BB28">
            <w:pPr>
              <w:pStyle w:val="a20"/>
              <w:keepNext/>
              <w:keepLines/>
              <w:widowControl/>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סך שווי היבוא </w:t>
            </w:r>
            <w:r w:rsidR="008E59E1">
              <w:rPr>
                <w:rFonts w:ascii="Tahoma" w:hAnsi="Tahoma" w:cs="Tahoma"/>
                <w:b/>
                <w:bCs/>
                <w:sz w:val="18"/>
                <w:szCs w:val="18"/>
              </w:rPr>
              <w:br/>
            </w:r>
            <w:r w:rsidRPr="006C5FF5">
              <w:rPr>
                <w:rFonts w:ascii="Tahoma" w:hAnsi="Tahoma" w:cs="Tahoma"/>
                <w:b/>
                <w:bCs/>
                <w:sz w:val="18"/>
                <w:szCs w:val="18"/>
                <w:rtl/>
              </w:rPr>
              <w:t>(במיליוני ש"ח)</w:t>
            </w:r>
          </w:p>
        </w:tc>
        <w:tc>
          <w:tcPr>
            <w:tcW w:w="0" w:type="auto"/>
            <w:tcBorders>
              <w:top w:val="single" w:sz="8" w:space="0" w:color="auto"/>
              <w:bottom w:val="single" w:sz="8" w:space="0" w:color="auto"/>
            </w:tcBorders>
            <w:shd w:val="clear" w:color="auto" w:fill="C6D9F1"/>
            <w:vAlign w:val="bottom"/>
          </w:tcPr>
          <w:p w:rsidR="006C5FF5" w:rsidRPr="006C5FF5" w:rsidP="008E59E1" w14:paraId="7CEE4764" w14:textId="29CA3C37">
            <w:pPr>
              <w:pStyle w:val="a20"/>
              <w:keepNext/>
              <w:keepLines/>
              <w:widowControl/>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סך שווי </w:t>
            </w:r>
            <w:r w:rsidR="008E59E1">
              <w:rPr>
                <w:rFonts w:ascii="Tahoma" w:hAnsi="Tahoma" w:cs="Tahoma"/>
                <w:b/>
                <w:bCs/>
                <w:sz w:val="18"/>
                <w:szCs w:val="18"/>
              </w:rPr>
              <w:br/>
            </w:r>
            <w:r w:rsidRPr="006C5FF5">
              <w:rPr>
                <w:rFonts w:ascii="Tahoma" w:hAnsi="Tahoma" w:cs="Tahoma"/>
                <w:b/>
                <w:bCs/>
                <w:sz w:val="18"/>
                <w:szCs w:val="18"/>
                <w:rtl/>
              </w:rPr>
              <w:t xml:space="preserve">הייצור המקומי </w:t>
            </w:r>
            <w:r w:rsidR="008E59E1">
              <w:rPr>
                <w:rFonts w:ascii="Tahoma" w:hAnsi="Tahoma" w:cs="Tahoma"/>
                <w:b/>
                <w:bCs/>
                <w:sz w:val="18"/>
                <w:szCs w:val="18"/>
              </w:rPr>
              <w:br/>
            </w:r>
            <w:r w:rsidRPr="006C5FF5">
              <w:rPr>
                <w:rFonts w:ascii="Tahoma" w:hAnsi="Tahoma" w:cs="Tahoma"/>
                <w:b/>
                <w:bCs/>
                <w:sz w:val="18"/>
                <w:szCs w:val="18"/>
                <w:rtl/>
              </w:rPr>
              <w:t>(במיליוני ש"ח)</w:t>
            </w:r>
          </w:p>
        </w:tc>
        <w:tc>
          <w:tcPr>
            <w:tcW w:w="0" w:type="auto"/>
            <w:tcBorders>
              <w:top w:val="single" w:sz="8" w:space="0" w:color="auto"/>
              <w:bottom w:val="single" w:sz="8" w:space="0" w:color="auto"/>
            </w:tcBorders>
            <w:shd w:val="clear" w:color="auto" w:fill="C6D9F1"/>
            <w:vAlign w:val="bottom"/>
          </w:tcPr>
          <w:p w:rsidR="006C5FF5" w:rsidRPr="006C5FF5" w:rsidP="008E59E1" w14:paraId="5C35B09A" w14:textId="702DD827">
            <w:pPr>
              <w:pStyle w:val="a20"/>
              <w:keepNext/>
              <w:keepLines/>
              <w:widowControl/>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סך שווי </w:t>
            </w:r>
            <w:r w:rsidR="008E59E1">
              <w:rPr>
                <w:rFonts w:ascii="Tahoma" w:hAnsi="Tahoma" w:cs="Tahoma"/>
                <w:b/>
                <w:bCs/>
                <w:sz w:val="18"/>
                <w:szCs w:val="18"/>
              </w:rPr>
              <w:br/>
            </w:r>
            <w:r w:rsidRPr="006C5FF5">
              <w:rPr>
                <w:rFonts w:ascii="Tahoma" w:hAnsi="Tahoma" w:cs="Tahoma"/>
                <w:b/>
                <w:bCs/>
                <w:sz w:val="18"/>
                <w:szCs w:val="18"/>
                <w:rtl/>
              </w:rPr>
              <w:t xml:space="preserve">המשקאות שנמכרו </w:t>
            </w:r>
            <w:r w:rsidR="008E59E1">
              <w:rPr>
                <w:rFonts w:ascii="Tahoma" w:hAnsi="Tahoma" w:cs="Tahoma"/>
                <w:b/>
                <w:bCs/>
                <w:sz w:val="18"/>
                <w:szCs w:val="18"/>
              </w:rPr>
              <w:br/>
            </w:r>
            <w:r w:rsidRPr="006C5FF5">
              <w:rPr>
                <w:rFonts w:ascii="Tahoma" w:hAnsi="Tahoma" w:cs="Tahoma"/>
                <w:b/>
                <w:bCs/>
                <w:sz w:val="18"/>
                <w:szCs w:val="18"/>
                <w:rtl/>
              </w:rPr>
              <w:t>(במיליוני ש"ח)</w:t>
            </w:r>
          </w:p>
        </w:tc>
        <w:tc>
          <w:tcPr>
            <w:tcW w:w="0" w:type="auto"/>
            <w:tcBorders>
              <w:top w:val="single" w:sz="8" w:space="0" w:color="auto"/>
              <w:bottom w:val="single" w:sz="8" w:space="0" w:color="auto"/>
            </w:tcBorders>
            <w:shd w:val="clear" w:color="auto" w:fill="C6D9F1"/>
            <w:vAlign w:val="bottom"/>
          </w:tcPr>
          <w:p w:rsidR="006C5FF5" w:rsidRPr="006C5FF5" w:rsidP="008E59E1" w14:paraId="12C4E5BB" w14:textId="33522B79">
            <w:pPr>
              <w:pStyle w:val="a20"/>
              <w:keepNext/>
              <w:keepLines/>
              <w:widowControl/>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 xml:space="preserve">שיעור </w:t>
            </w:r>
            <w:r w:rsidR="003C3876">
              <w:rPr>
                <w:rFonts w:ascii="Tahoma" w:hAnsi="Tahoma" w:cs="Tahoma"/>
                <w:b/>
                <w:bCs/>
                <w:sz w:val="18"/>
                <w:szCs w:val="18"/>
              </w:rPr>
              <w:br/>
            </w:r>
            <w:r w:rsidRPr="006C5FF5">
              <w:rPr>
                <w:rFonts w:ascii="Tahoma" w:hAnsi="Tahoma" w:cs="Tahoma"/>
                <w:b/>
                <w:bCs/>
                <w:sz w:val="18"/>
                <w:szCs w:val="18"/>
                <w:rtl/>
              </w:rPr>
              <w:t xml:space="preserve">היבוא </w:t>
            </w:r>
          </w:p>
        </w:tc>
      </w:tr>
      <w:tr w14:paraId="551DA026" w14:textId="77777777" w:rsidTr="003C3876">
        <w:tblPrEx>
          <w:tblW w:w="8222" w:type="dxa"/>
          <w:jc w:val="center"/>
          <w:tblCellMar>
            <w:left w:w="57" w:type="dxa"/>
            <w:right w:w="57" w:type="dxa"/>
          </w:tblCellMar>
          <w:tblLook w:val="04A0"/>
        </w:tblPrEx>
        <w:trPr>
          <w:jc w:val="center"/>
        </w:trPr>
        <w:tc>
          <w:tcPr>
            <w:tcW w:w="0" w:type="auto"/>
            <w:tcBorders>
              <w:top w:val="single" w:sz="8" w:space="0" w:color="auto"/>
            </w:tcBorders>
          </w:tcPr>
          <w:p w:rsidR="006C5FF5" w:rsidRPr="006C5FF5" w:rsidP="003C3876" w14:paraId="7942ED19"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משקאות לא-אלכוהוליים (2018)</w:t>
            </w:r>
          </w:p>
        </w:tc>
        <w:tc>
          <w:tcPr>
            <w:tcW w:w="0" w:type="auto"/>
            <w:tcBorders>
              <w:top w:val="single" w:sz="8" w:space="0" w:color="auto"/>
            </w:tcBorders>
          </w:tcPr>
          <w:p w:rsidR="006C5FF5" w:rsidRPr="006C5FF5" w:rsidP="003C3876" w14:paraId="178ECE06"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1,265</w:t>
            </w:r>
          </w:p>
        </w:tc>
        <w:tc>
          <w:tcPr>
            <w:tcW w:w="0" w:type="auto"/>
            <w:tcBorders>
              <w:top w:val="single" w:sz="8" w:space="0" w:color="auto"/>
            </w:tcBorders>
          </w:tcPr>
          <w:p w:rsidR="006C5FF5" w:rsidRPr="006C5FF5" w:rsidP="003C3876" w14:paraId="5C826C0F"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10,771</w:t>
            </w:r>
          </w:p>
        </w:tc>
        <w:tc>
          <w:tcPr>
            <w:tcW w:w="0" w:type="auto"/>
            <w:tcBorders>
              <w:top w:val="single" w:sz="8" w:space="0" w:color="auto"/>
            </w:tcBorders>
          </w:tcPr>
          <w:p w:rsidR="006C5FF5" w:rsidRPr="006C5FF5" w:rsidP="003C3876" w14:paraId="127857EA"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12,036</w:t>
            </w:r>
          </w:p>
        </w:tc>
        <w:tc>
          <w:tcPr>
            <w:tcW w:w="0" w:type="auto"/>
            <w:tcBorders>
              <w:top w:val="single" w:sz="8" w:space="0" w:color="auto"/>
            </w:tcBorders>
          </w:tcPr>
          <w:p w:rsidR="006C5FF5" w:rsidRPr="006C5FF5" w:rsidP="003C3876" w14:paraId="2DD16508" w14:textId="77777777">
            <w:pPr>
              <w:pStyle w:val="a21"/>
              <w:tabs>
                <w:tab w:val="clear" w:pos="340"/>
              </w:tabs>
              <w:spacing w:before="40" w:after="40" w:line="240" w:lineRule="atLeast"/>
              <w:jc w:val="both"/>
              <w:rPr>
                <w:rFonts w:ascii="Tahoma" w:hAnsi="Tahoma" w:cs="Tahoma"/>
                <w:sz w:val="18"/>
                <w:szCs w:val="18"/>
                <w:rtl/>
              </w:rPr>
            </w:pPr>
            <w:r w:rsidRPr="006C5FF5">
              <w:rPr>
                <w:rFonts w:ascii="Tahoma" w:hAnsi="Tahoma" w:cs="Tahoma"/>
                <w:sz w:val="18"/>
                <w:szCs w:val="18"/>
                <w:rtl/>
              </w:rPr>
              <w:t>10.5%</w:t>
            </w:r>
          </w:p>
        </w:tc>
      </w:tr>
      <w:tr w14:paraId="0BBAA30A" w14:textId="77777777" w:rsidTr="003C3876">
        <w:tblPrEx>
          <w:tblW w:w="8222" w:type="dxa"/>
          <w:jc w:val="center"/>
          <w:tblCellMar>
            <w:left w:w="57" w:type="dxa"/>
            <w:right w:w="57" w:type="dxa"/>
          </w:tblCellMar>
          <w:tblLook w:val="04A0"/>
        </w:tblPrEx>
        <w:trPr>
          <w:jc w:val="center"/>
        </w:trPr>
        <w:tc>
          <w:tcPr>
            <w:tcW w:w="0" w:type="auto"/>
          </w:tcPr>
          <w:p w:rsidR="006C5FF5" w:rsidRPr="006C5FF5" w:rsidP="003C3876" w14:paraId="6C95AD24"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משקאות אלכוהוליים (2015)</w:t>
            </w:r>
          </w:p>
        </w:tc>
        <w:tc>
          <w:tcPr>
            <w:tcW w:w="0" w:type="auto"/>
          </w:tcPr>
          <w:p w:rsidR="006C5FF5" w:rsidRPr="006C5FF5" w:rsidP="003C3876" w14:paraId="45202807"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2,120</w:t>
            </w:r>
          </w:p>
        </w:tc>
        <w:tc>
          <w:tcPr>
            <w:tcW w:w="0" w:type="auto"/>
          </w:tcPr>
          <w:p w:rsidR="006C5FF5" w:rsidRPr="006C5FF5" w:rsidP="003C3876" w14:paraId="7DAC6862"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3,123</w:t>
            </w:r>
          </w:p>
        </w:tc>
        <w:tc>
          <w:tcPr>
            <w:tcW w:w="0" w:type="auto"/>
          </w:tcPr>
          <w:p w:rsidR="006C5FF5" w:rsidRPr="006C5FF5" w:rsidP="003C3876" w14:paraId="5A2D819E" w14:textId="77777777">
            <w:pPr>
              <w:pStyle w:val="a21"/>
              <w:tabs>
                <w:tab w:val="clear" w:pos="340"/>
              </w:tabs>
              <w:spacing w:before="40" w:after="40" w:line="240" w:lineRule="atLeast"/>
              <w:jc w:val="both"/>
              <w:rPr>
                <w:rFonts w:ascii="Tahoma" w:hAnsi="Tahoma" w:cs="Tahoma"/>
                <w:rtl/>
              </w:rPr>
            </w:pPr>
            <w:r w:rsidRPr="006C5FF5">
              <w:rPr>
                <w:rFonts w:ascii="Tahoma" w:hAnsi="Tahoma" w:cs="Tahoma"/>
                <w:sz w:val="18"/>
                <w:szCs w:val="18"/>
                <w:rtl/>
              </w:rPr>
              <w:t>5,243</w:t>
            </w:r>
          </w:p>
        </w:tc>
        <w:tc>
          <w:tcPr>
            <w:tcW w:w="0" w:type="auto"/>
          </w:tcPr>
          <w:p w:rsidR="006C5FF5" w:rsidRPr="006C5FF5" w:rsidP="003C3876" w14:paraId="1ED27AB8" w14:textId="77777777">
            <w:pPr>
              <w:pStyle w:val="a21"/>
              <w:tabs>
                <w:tab w:val="clear" w:pos="340"/>
              </w:tabs>
              <w:spacing w:before="40" w:after="40" w:line="240" w:lineRule="atLeast"/>
              <w:jc w:val="both"/>
              <w:rPr>
                <w:rFonts w:ascii="Tahoma" w:hAnsi="Tahoma" w:cs="Tahoma"/>
                <w:sz w:val="18"/>
                <w:szCs w:val="18"/>
                <w:rtl/>
              </w:rPr>
            </w:pPr>
            <w:r w:rsidRPr="006C5FF5">
              <w:rPr>
                <w:rFonts w:ascii="Tahoma" w:hAnsi="Tahoma" w:cs="Tahoma"/>
                <w:sz w:val="18"/>
                <w:szCs w:val="18"/>
                <w:rtl/>
              </w:rPr>
              <w:t>40.4%</w:t>
            </w:r>
          </w:p>
        </w:tc>
      </w:tr>
    </w:tbl>
    <w:p w:rsidR="000930B3" w:rsidRPr="003C3876" w:rsidP="003C3876" w14:paraId="43A40391" w14:textId="77777777">
      <w:pPr>
        <w:pStyle w:val="text-source"/>
      </w:pPr>
      <w:r w:rsidRPr="003C3876">
        <w:rPr>
          <w:rtl/>
        </w:rPr>
        <w:t xml:space="preserve">על פי נתוני </w:t>
      </w:r>
      <w:r w:rsidRPr="003C3876">
        <w:rPr>
          <w:rtl/>
        </w:rPr>
        <w:t>הלמ"ס</w:t>
      </w:r>
      <w:r w:rsidRPr="003C3876">
        <w:rPr>
          <w:rtl/>
        </w:rPr>
        <w:t>, בעיבוד משרד מבקר המדינה.</w:t>
      </w:r>
    </w:p>
    <w:p w:rsidR="000930B3" w:rsidRPr="00D22A15" w:rsidP="005C4ABF" w14:paraId="0629A5A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מכלי משקה אינם נכללים בתוספות לצו יבוא, ולפיכך לא נדרש אישור כלשהו כתנאי להתרת יבואם. </w:t>
      </w:r>
    </w:p>
    <w:p w:rsidR="000930B3" w:rsidRPr="00D22A15" w:rsidP="005C4ABF" w14:paraId="06C582B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בשנת 2017 הוקם צוות חקירה מיוחד בהשתתפות </w:t>
      </w:r>
      <w:r w:rsidRPr="00D22A15">
        <w:rPr>
          <w:rFonts w:ascii="Tahoma" w:hAnsi="Tahoma" w:cs="Tahoma"/>
          <w:sz w:val="20"/>
          <w:szCs w:val="20"/>
          <w:rtl/>
        </w:rPr>
        <w:t>מינהל</w:t>
      </w:r>
      <w:r w:rsidRPr="00D22A15">
        <w:rPr>
          <w:rFonts w:ascii="Tahoma" w:hAnsi="Tahoma" w:cs="Tahoma"/>
          <w:sz w:val="20"/>
          <w:szCs w:val="20"/>
          <w:rtl/>
        </w:rPr>
        <w:t xml:space="preserve"> המכס, המשטרה והמשטרה הירוקה (להלן - הצוות המשותף) שבמסגרתו נחקרו חשדות לעבירות כלכליות, בין היתר בתחנת מעבר הקשורה גם לדיווח על יצוא של מכלי משקה </w:t>
      </w:r>
      <w:r w:rsidRPr="00D22A15">
        <w:rPr>
          <w:rFonts w:ascii="Tahoma" w:hAnsi="Tahoma" w:cs="Tahoma"/>
          <w:sz w:val="20"/>
          <w:szCs w:val="20"/>
          <w:rtl/>
        </w:rPr>
        <w:t>למיחזור</w:t>
      </w:r>
      <w:r w:rsidRPr="00D22A15">
        <w:rPr>
          <w:rFonts w:ascii="Tahoma" w:hAnsi="Tahoma" w:cs="Tahoma"/>
          <w:sz w:val="20"/>
          <w:szCs w:val="20"/>
          <w:rtl/>
        </w:rPr>
        <w:t xml:space="preserve"> בחו"ל. באותה שנה הוכנו במכס מסמכים המתארים שיטות לביצוע עבירות על חוק הפיקדון. ביוני 2017 כתב סגן ממונה מחלקת חקירות מכס מע"מ חיפה והצפון לממונה עליו כי: "קיימת תופעה נרחבת ומקיפה הקשורה לכניסת מכלי משקאות לישראל מבלי ששולמו עליהם דמי פיקדון כמתחייב עפ"י חוק הפיקדון...". עוד נכתב כי יש יבואנים המסמנים את מכלי המשקה כחייבים בפיקדון, אך אינם מתקשרים עם חברות האיסוף ואינם מעבירים אליהן את דמי הפיקדון בגין מכלים אלה. </w:t>
      </w:r>
    </w:p>
    <w:p w:rsidR="000930B3" w:rsidRPr="00D22A15" w:rsidP="005C4ABF" w14:paraId="6234680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ממצגת של הצוות המשותף מספטמבר 2017, עולה כי כ-300 מיליון מכלי משקה מיובאים לישראל מדי שנה בשיטות שונות בלי שנגבה בגינם פיקדון. למשל, מכלים המיועדים למכירה בשטח הרשות הפלסטינית ומיובאים באמצעות חברות בשליטת בעלי עסקים בישראל פטורים מתשלום הפיקדון, אולם חלקם מוחזרים דרך מעברי גבול חזרה לישראל ונמכרים בשטחה (להלן - שיטת "הדלת המסתובבת"). במעבר הגבול לא נבדק קיום סימון הטובין בדבר הפיקדון ולא נדרשת הוכחת תשלום הפיקדון. בדרך זו אובדים דמי פיקדון בסך 90 מיליון שקלים ועוד הכנסות ממס הכנסה </w:t>
      </w:r>
      <w:r w:rsidRPr="00D22A15">
        <w:rPr>
          <w:rFonts w:ascii="Tahoma" w:hAnsi="Tahoma" w:cs="Tahoma"/>
          <w:sz w:val="20"/>
          <w:szCs w:val="20"/>
          <w:rtl/>
        </w:rPr>
        <w:t>וממע"ם</w:t>
      </w:r>
      <w:r w:rsidRPr="00D22A15">
        <w:rPr>
          <w:rFonts w:ascii="Tahoma" w:hAnsi="Tahoma" w:cs="Tahoma"/>
          <w:sz w:val="20"/>
          <w:szCs w:val="20"/>
          <w:rtl/>
        </w:rPr>
        <w:t xml:space="preserve"> בסך 304 מיליון שקלים. בפועל מכלי משקה אלה נאספים על ידי אספנים ונמכרים לחברות האיסוף בישראל תמורת דמי פיקדון, בלי שהיבואן דיווח על מכירתם ושילם עבורם את דמי הפיקדון. </w:t>
      </w:r>
    </w:p>
    <w:p w:rsidR="000930B3" w:rsidRPr="00D22A15" w:rsidP="005C4ABF" w14:paraId="0F88455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במצגת נוספת ממאי 2017, נכתב כי בתחום המשקאות הקלים דמי הפיקדון הם 20% עד 30% מעלות המוצר, וכי יבואן שמתחמק מתשלום הפיקדון גורם לנזקים עצומים ואף פוגע בתעשייה המקומית. להלן מספר תמונות של מכלי משקה שנמצאו בישראל על ידי צוות הביקורת ואינם מסומנים כנדרש.</w:t>
      </w:r>
    </w:p>
    <w:p w:rsidR="000930B3" w:rsidRPr="00DA075D" w:rsidP="00AD02C3" w14:paraId="79D9D2AE" w14:textId="77777777">
      <w:pPr>
        <w:pStyle w:val="a1"/>
        <w:spacing w:line="320" w:lineRule="atLeast"/>
        <w:rPr>
          <w:rtl/>
        </w:rPr>
      </w:pPr>
      <w:r w:rsidRPr="003C3876">
        <w:rPr>
          <w:b w:val="0"/>
          <w:bCs w:val="0"/>
          <w:rtl/>
        </w:rPr>
        <w:t>תמונות 7, 8 ו-9:</w:t>
      </w:r>
      <w:r w:rsidRPr="00DA075D">
        <w:rPr>
          <w:rtl/>
        </w:rPr>
        <w:t xml:space="preserve"> מכלי משקה קטנים שיובאו לישראל ושווקו בה ללא סימון חובת הפיקדון</w:t>
      </w:r>
    </w:p>
    <w:p w:rsidR="000930B3" w:rsidRPr="003C3876" w:rsidP="003C3876" w14:paraId="34744B82" w14:textId="146BE848">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3133344"/>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09267" name="Picture 29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3133344"/>
                    </a:xfrm>
                    <a:prstGeom prst="rect">
                      <a:avLst/>
                    </a:prstGeom>
                  </pic:spPr>
                </pic:pic>
              </a:graphicData>
            </a:graphic>
          </wp:inline>
        </w:drawing>
      </w:r>
    </w:p>
    <w:p w:rsidR="000930B3" w:rsidRPr="00DA075D" w:rsidP="006C5FF5" w14:paraId="6C817C16" w14:textId="77777777">
      <w:pPr>
        <w:pStyle w:val="text-source"/>
        <w:rPr>
          <w:rtl/>
        </w:rPr>
      </w:pPr>
      <w:r w:rsidRPr="00DA075D">
        <w:rPr>
          <w:rtl/>
        </w:rPr>
        <w:t xml:space="preserve">נאסף וצולם על ידי צוות הביקורת </w:t>
      </w:r>
      <w:r w:rsidRPr="00DA075D">
        <w:rPr>
          <w:rtl/>
        </w:rPr>
        <w:t>בג'סר</w:t>
      </w:r>
      <w:r w:rsidRPr="00DA075D">
        <w:rPr>
          <w:rtl/>
        </w:rPr>
        <w:t xml:space="preserve"> א-זרקא, בתל אביב-יפו ובעכו באוגוסט-ספטמבר 2020.</w:t>
      </w:r>
    </w:p>
    <w:p w:rsidR="000930B3" w:rsidRPr="00DA075D" w:rsidP="00AD02C3" w14:paraId="3E824B3B" w14:textId="77777777">
      <w:pPr>
        <w:pStyle w:val="a1"/>
        <w:spacing w:line="320" w:lineRule="atLeast"/>
        <w:rPr>
          <w:w w:val="93"/>
          <w:rtl/>
        </w:rPr>
      </w:pPr>
      <w:r w:rsidRPr="003C3876">
        <w:rPr>
          <w:b w:val="0"/>
          <w:bCs w:val="0"/>
          <w:spacing w:val="-2"/>
          <w:w w:val="93"/>
          <w:rtl/>
        </w:rPr>
        <w:t xml:space="preserve">תמונה 10: </w:t>
      </w:r>
      <w:r w:rsidRPr="00DA075D">
        <w:rPr>
          <w:spacing w:val="-2"/>
          <w:w w:val="93"/>
          <w:rtl/>
        </w:rPr>
        <w:t>אריזה של 12 פחיות משקה קל מיובאות, ללא סימון חובת הפיקדון</w:t>
      </w:r>
    </w:p>
    <w:p w:rsidR="003C3876" w:rsidRPr="003C3876" w:rsidP="003C3876" w14:paraId="770490F9" w14:textId="77777777">
      <w:pPr>
        <w:pStyle w:val="a5"/>
        <w:spacing w:before="120" w:after="120" w:line="320" w:lineRule="atLeast"/>
        <w:rPr>
          <w:rFonts w:ascii="Tahoma" w:hAnsi="Tahoma" w:cs="Tahoma"/>
          <w:sz w:val="20"/>
          <w:szCs w:val="20"/>
          <w:rtl/>
        </w:rPr>
      </w:pPr>
      <w:r>
        <w:rPr>
          <w:rFonts w:ascii="Tahoma" w:hAnsi="Tahoma" w:cs="Tahoma"/>
          <w:noProof/>
          <w:sz w:val="20"/>
          <w:szCs w:val="20"/>
          <w:rtl/>
          <w:lang w:val="he-IL"/>
        </w:rPr>
        <w:drawing>
          <wp:inline distT="0" distB="0" distL="0" distR="0">
            <wp:extent cx="4319016" cy="1990344"/>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1990344"/>
                    </a:xfrm>
                    <a:prstGeom prst="rect">
                      <a:avLst/>
                    </a:prstGeom>
                  </pic:spPr>
                </pic:pic>
              </a:graphicData>
            </a:graphic>
          </wp:inline>
        </w:drawing>
      </w:r>
    </w:p>
    <w:p w:rsidR="000930B3" w:rsidRPr="00DA075D" w:rsidP="006C5FF5" w14:paraId="6706E6C9" w14:textId="77777777">
      <w:pPr>
        <w:pStyle w:val="text-source"/>
        <w:rPr>
          <w:rtl/>
        </w:rPr>
      </w:pPr>
      <w:r w:rsidRPr="00DA075D">
        <w:rPr>
          <w:rtl/>
        </w:rPr>
        <w:t>צולם על ידי צוות הביקורת בחדרה בספטמבר 2020.</w:t>
      </w:r>
    </w:p>
    <w:p w:rsidR="000930B3" w:rsidRPr="00D22A15" w:rsidP="005C4ABF" w14:paraId="7561831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ביולי 2017 נערכה פגישה משותפת למשרד </w:t>
      </w:r>
      <w:r w:rsidRPr="00D22A15">
        <w:rPr>
          <w:rFonts w:ascii="Tahoma" w:hAnsi="Tahoma" w:cs="Tahoma"/>
          <w:sz w:val="20"/>
          <w:szCs w:val="20"/>
          <w:rtl/>
        </w:rPr>
        <w:t>להגנ"ס</w:t>
      </w:r>
      <w:r w:rsidRPr="00D22A15">
        <w:rPr>
          <w:rFonts w:ascii="Tahoma" w:hAnsi="Tahoma" w:cs="Tahoma"/>
          <w:sz w:val="20"/>
          <w:szCs w:val="20"/>
          <w:rtl/>
        </w:rPr>
        <w:t xml:space="preserve">, </w:t>
      </w:r>
      <w:r w:rsidRPr="00D22A15">
        <w:rPr>
          <w:rFonts w:ascii="Tahoma" w:hAnsi="Tahoma" w:cs="Tahoma"/>
          <w:sz w:val="20"/>
          <w:szCs w:val="20"/>
          <w:rtl/>
        </w:rPr>
        <w:t>מינהל</w:t>
      </w:r>
      <w:r w:rsidRPr="00D22A15">
        <w:rPr>
          <w:rFonts w:ascii="Tahoma" w:hAnsi="Tahoma" w:cs="Tahoma"/>
          <w:sz w:val="20"/>
          <w:szCs w:val="20"/>
          <w:rtl/>
        </w:rPr>
        <w:t xml:space="preserve"> המכס ומשרד הכלכלה בנושא אכיפת חוק הפיקדון. לאחר הפגישה הוכנה הצעה של </w:t>
      </w:r>
      <w:r w:rsidRPr="00D22A15">
        <w:rPr>
          <w:rFonts w:ascii="Tahoma" w:hAnsi="Tahoma" w:cs="Tahoma"/>
          <w:sz w:val="20"/>
          <w:szCs w:val="20"/>
          <w:rtl/>
        </w:rPr>
        <w:t>מינהל</w:t>
      </w:r>
      <w:r w:rsidRPr="00D22A15">
        <w:rPr>
          <w:rFonts w:ascii="Tahoma" w:hAnsi="Tahoma" w:cs="Tahoma"/>
          <w:sz w:val="20"/>
          <w:szCs w:val="20"/>
          <w:rtl/>
        </w:rPr>
        <w:t xml:space="preserve"> המכס ליצירת מנגנון לאכיפת חוק הפיקדון על יבוא מכלי משקה, איסופם לאחר השימוש </w:t>
      </w:r>
      <w:r w:rsidRPr="00D22A15">
        <w:rPr>
          <w:rFonts w:ascii="Tahoma" w:hAnsi="Tahoma" w:cs="Tahoma"/>
          <w:sz w:val="20"/>
          <w:szCs w:val="20"/>
          <w:rtl/>
        </w:rPr>
        <w:t>ומיחזורם</w:t>
      </w:r>
      <w:r w:rsidRPr="00D22A15">
        <w:rPr>
          <w:rFonts w:ascii="Tahoma" w:hAnsi="Tahoma" w:cs="Tahoma"/>
          <w:sz w:val="20"/>
          <w:szCs w:val="20"/>
          <w:rtl/>
        </w:rPr>
        <w:t xml:space="preserve">. בין השאר כללה ההצעה חובת הוכחת תשלום דמי הפיקדון על יבוא והצגת הסכם התקשרות עם חברת איסוף כתנאי להתרת הכנסת מכלי משקה לישראל. </w:t>
      </w:r>
    </w:p>
    <w:p w:rsidR="000930B3" w:rsidRPr="00D22A15" w:rsidP="005C4ABF" w14:paraId="38EECB38" w14:textId="77777777">
      <w:pPr>
        <w:pStyle w:val="a5"/>
        <w:spacing w:before="120" w:after="120" w:line="320" w:lineRule="atLeast"/>
        <w:rPr>
          <w:rFonts w:ascii="Tahoma" w:hAnsi="Tahoma" w:cs="Tahoma"/>
          <w:spacing w:val="-2"/>
          <w:w w:val="95"/>
          <w:sz w:val="20"/>
          <w:szCs w:val="20"/>
          <w:rtl/>
        </w:rPr>
      </w:pPr>
      <w:r w:rsidRPr="00D22A15">
        <w:rPr>
          <w:rFonts w:ascii="Tahoma" w:hAnsi="Tahoma" w:cs="Tahoma"/>
          <w:spacing w:val="-2"/>
          <w:w w:val="95"/>
          <w:sz w:val="20"/>
          <w:szCs w:val="20"/>
          <w:rtl/>
        </w:rPr>
        <w:t xml:space="preserve">באפריל 2018 פנה סמנכ"ל בכיר שלטון מקומי במשרד </w:t>
      </w:r>
      <w:r w:rsidRPr="00D22A15">
        <w:rPr>
          <w:rFonts w:ascii="Tahoma" w:hAnsi="Tahoma" w:cs="Tahoma"/>
          <w:spacing w:val="-2"/>
          <w:w w:val="95"/>
          <w:sz w:val="20"/>
          <w:szCs w:val="20"/>
          <w:rtl/>
        </w:rPr>
        <w:t>להגנ"ס</w:t>
      </w:r>
      <w:r w:rsidRPr="00D22A15">
        <w:rPr>
          <w:rFonts w:ascii="Tahoma" w:hAnsi="Tahoma" w:cs="Tahoma"/>
          <w:spacing w:val="-2"/>
          <w:w w:val="95"/>
          <w:sz w:val="20"/>
          <w:szCs w:val="20"/>
          <w:rtl/>
        </w:rPr>
        <w:t xml:space="preserve"> למשנה למנכ"ל משרד הכלכלה בבקשה לשתף פעולה לשם הקטנת תופעת ההתחמקות של חברות מקיום חובותיהן על פי חוקי אחריות יצרן מורחבת, כדי לקדם את התחרות ההוגנת בין כלל היצרנים והיבואנים במשק הישראלי. הוא ציין כי בפגישות משותפות עם נציגי המכס ונציגי רשות המיסים הושגה אחדות דעה כי ראוי לקדם נושא זה בשיתוף פעולה כדי להקטין את תופעת הטרמפיסטים ותופעות אחרות, להביא תועלת לכלל המשק ולהפחית את יוקר המחייה. כל זאת ללא תוספת רגולטורית משמעותית. מהות השינוי המוצע היא כי בעת שחרור הסחורות מהמכס תיבדק עמידת יבואנים בחובותיהם. כך, למשל, יידרשו היבואנים להוכיח העברת דיווחים רבעוניים ושנתיים לממונה מכוח חוק הפיקדון. </w:t>
      </w:r>
    </w:p>
    <w:p w:rsidR="000930B3" w:rsidRPr="00D22A15" w:rsidP="005C4ABF" w14:paraId="3BF6F04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במאי 2018 ביקש מנהל תחום אנרגיה וניהול משאבים במשרד הכלכלה מהמשרד </w:t>
      </w:r>
      <w:r w:rsidRPr="00D22A15">
        <w:rPr>
          <w:rFonts w:ascii="Tahoma" w:hAnsi="Tahoma" w:cs="Tahoma"/>
          <w:sz w:val="20"/>
          <w:szCs w:val="20"/>
          <w:rtl/>
        </w:rPr>
        <w:t>להגנ"ס</w:t>
      </w:r>
      <w:r w:rsidRPr="00D22A15">
        <w:rPr>
          <w:rFonts w:ascii="Tahoma" w:hAnsi="Tahoma" w:cs="Tahoma"/>
          <w:sz w:val="20"/>
          <w:szCs w:val="20"/>
          <w:rtl/>
        </w:rPr>
        <w:t xml:space="preserve"> מידע על ההיקפים המדוברים של המכלים הלא מדווחים, מספר היבואנים וכימות העלויות העודפות לצרכנים וההשפעה על יוקר המחייה כתוצאה מתופעת הטרמפיסטים, ונערכו מספר פגישות בנושא.</w:t>
      </w:r>
    </w:p>
    <w:p w:rsidR="000930B3" w:rsidRPr="00D22A15" w:rsidP="005C4ABF" w14:paraId="0B6D5BF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המדיניות העקרונית של משרד הכלכלה בעניין מעורבות המשרד באכיפת חוקי אחריות יצרן מורחבת הובאה במסמך של שר הכלכלה דאז מנובמבר 2017 שלפיו "בהתאם לתורת הרגולציה המקובלת, הממשלה נמנעת מלקבוע רגולציה כפולה על אותה פעילות של גוף מפוקח, ולכן משרד הכלכלה והתעשייה לא יוכל להיות גורם מפקח נוסף. ההתמודדות עם קשיי יישום של חוק כזה או אחר צריכה להיות באמצעות טיוב הרגולציה הקיימת ואת זאת יש לבדוק מול המשרד להגנת הסביבה". </w:t>
      </w:r>
    </w:p>
    <w:p w:rsidR="000930B3" w:rsidRPr="00DA075D" w:rsidP="008E06C5" w14:paraId="7D6EE494" w14:textId="77777777">
      <w:pPr>
        <w:pStyle w:val="RESHET"/>
        <w:rPr>
          <w:rtl/>
        </w:rPr>
      </w:pPr>
      <w:r w:rsidRPr="00DA075D">
        <w:rPr>
          <w:rtl/>
        </w:rPr>
        <w:t xml:space="preserve">במועד סיום הביקורת אין במשרד </w:t>
      </w:r>
      <w:r w:rsidRPr="00DA075D">
        <w:rPr>
          <w:rtl/>
        </w:rPr>
        <w:t>להגנ"ס</w:t>
      </w:r>
      <w:r w:rsidRPr="00DA075D">
        <w:rPr>
          <w:rtl/>
        </w:rPr>
        <w:t xml:space="preserve"> או במשרד הכלכלה נתונים המכמתים את העלויות העודפות בהטלת רגולציה שתאפשר בקרה על יבוא מכלי משקה במסגרת תהליך שחרור המכלים מהמכס ואין כלים רגולטורים המאפשרים בקרה בזמן אמת על הכנסת משקאות לישראל. </w:t>
      </w:r>
    </w:p>
    <w:p w:rsidR="000930B3" w:rsidRPr="00DA075D" w:rsidP="008E06C5" w14:paraId="224402A5" w14:textId="77777777">
      <w:pPr>
        <w:pStyle w:val="RESHET"/>
        <w:rPr>
          <w:rtl/>
        </w:rPr>
      </w:pPr>
      <w:r w:rsidRPr="00DA075D">
        <w:rPr>
          <w:rtl/>
        </w:rPr>
        <w:t xml:space="preserve">משרד מבקר המדינה ממליץ שהמשרד </w:t>
      </w:r>
      <w:r w:rsidRPr="00DA075D">
        <w:rPr>
          <w:rtl/>
        </w:rPr>
        <w:t>להגנ"ס</w:t>
      </w:r>
      <w:r w:rsidRPr="00DA075D">
        <w:rPr>
          <w:rtl/>
        </w:rPr>
        <w:t xml:space="preserve">, משרד הכלכלה </w:t>
      </w:r>
      <w:r w:rsidRPr="00DA075D">
        <w:rPr>
          <w:rtl/>
        </w:rPr>
        <w:t>ומינהל</w:t>
      </w:r>
      <w:r w:rsidRPr="00DA075D">
        <w:rPr>
          <w:rtl/>
        </w:rPr>
        <w:t xml:space="preserve"> המכס יפעלו יחדיו למען בדיקה של הרגולציה הנדרשת לאכיפת חוק הפיקדון על יבוא מכלי משקה ברוח נייר העמדה של ה-</w:t>
      </w:r>
      <w:r w:rsidRPr="001303CB">
        <w:rPr>
          <w:sz w:val="20"/>
        </w:rPr>
        <w:t>OECD</w:t>
      </w:r>
      <w:r w:rsidRPr="00DA075D">
        <w:rPr>
          <w:rtl/>
        </w:rPr>
        <w:t xml:space="preserve">, תוך הכבדה מזערית של הנטל הרגולטורי ובחינת שילוב של מנגנוני דיווח ובקרה מקוונים המשותפים לגורמים הרלוונטיים. זאת כדי להקטין את היקף העבירות הכלכליות המתבצעות בתחום זה. </w:t>
      </w:r>
    </w:p>
    <w:p w:rsidR="000930B3" w:rsidRPr="00D22A15" w:rsidP="005C4ABF" w14:paraId="2626379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העביר את בחינת ממצאי הביקורת באשר למכלי המשקה האמורים שאינם מסומנים כנדרש לטיפול המשטרה הירוקה. עוד מסר כי פעל בנושא זה בחמש השנים האחרונות מול משרד הכלכלה, משרד האוצר והמכס, וכי ימשיך לקדם את הנושא. </w:t>
      </w:r>
    </w:p>
    <w:p w:rsidR="000930B3" w:rsidRPr="00D22A15" w:rsidP="005C4ABF" w14:paraId="232FE99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רשות המיסים מסרה בתגובתה בדצמבר 2020 למשרד מבקר המדינה כי כדי לפתור חלק מהבעיות שעלו בחקירה ניתן לבחון את האפשרות לקבוע בצו יבוא חופשי דרישה להמצאת אישור המשרד </w:t>
      </w:r>
      <w:r w:rsidRPr="00D22A15">
        <w:rPr>
          <w:rFonts w:ascii="Tahoma" w:hAnsi="Tahoma" w:cs="Tahoma"/>
          <w:sz w:val="20"/>
          <w:szCs w:val="20"/>
          <w:rtl/>
        </w:rPr>
        <w:t>להגנ"ס</w:t>
      </w:r>
      <w:r w:rsidRPr="00D22A15">
        <w:rPr>
          <w:rFonts w:ascii="Tahoma" w:hAnsi="Tahoma" w:cs="Tahoma"/>
          <w:sz w:val="20"/>
          <w:szCs w:val="20"/>
          <w:rtl/>
        </w:rPr>
        <w:t xml:space="preserve"> לצורך שחרור מכלי משקה מפיקוח המכס הן ביבוא לשוק הישראלי והן ביבוא לשטחי הרשות הפלסטינית, שכן אם תהיה הבחנה בין חובת הסימון ליבוא המגיע </w:t>
      </w:r>
      <w:r w:rsidRPr="00D22A15">
        <w:rPr>
          <w:rFonts w:ascii="Tahoma" w:hAnsi="Tahoma" w:cs="Tahoma"/>
          <w:sz w:val="20"/>
          <w:szCs w:val="20"/>
          <w:rtl/>
        </w:rPr>
        <w:t xml:space="preserve">לרשות הפלסטינית לבין זה המגיע לישראל, שיטת "הדלת המסתובבת" תימשך. כאשר יבואן יגיש למשרד </w:t>
      </w:r>
      <w:r w:rsidRPr="00D22A15">
        <w:rPr>
          <w:rFonts w:ascii="Tahoma" w:hAnsi="Tahoma" w:cs="Tahoma"/>
          <w:sz w:val="20"/>
          <w:szCs w:val="20"/>
          <w:rtl/>
        </w:rPr>
        <w:t>להגנ"ס</w:t>
      </w:r>
      <w:r w:rsidRPr="00D22A15">
        <w:rPr>
          <w:rFonts w:ascii="Tahoma" w:hAnsi="Tahoma" w:cs="Tahoma"/>
          <w:sz w:val="20"/>
          <w:szCs w:val="20"/>
          <w:rtl/>
        </w:rPr>
        <w:t xml:space="preserve"> בקשה לקבלת אישור כאמור, המשרד יבחן אם היבואן עמד בדרישות חוק הפיקדון. אם תיקבע חובה כאמור בצו יבוא חופשי, היבואן יידרש לצרף את האישור להצהרת היבוא. באופן זה תהיה אכיפה טובה יותר של קיום חלק מהדרישות הקבועות בדין על ידי היבואנים, וכן יהיה למשרד </w:t>
      </w:r>
      <w:r w:rsidRPr="00D22A15">
        <w:rPr>
          <w:rFonts w:ascii="Tahoma" w:hAnsi="Tahoma" w:cs="Tahoma"/>
          <w:sz w:val="20"/>
          <w:szCs w:val="20"/>
          <w:rtl/>
        </w:rPr>
        <w:t>להגנ"ס</w:t>
      </w:r>
      <w:r w:rsidRPr="00D22A15">
        <w:rPr>
          <w:rFonts w:ascii="Tahoma" w:hAnsi="Tahoma" w:cs="Tahoma"/>
          <w:sz w:val="20"/>
          <w:szCs w:val="20"/>
          <w:rtl/>
        </w:rPr>
        <w:t xml:space="preserve"> מידע בנוגע ליבואנים ולהיקף היבוא. עוד נמסר כי הרשות הייתה שותפה בחקירה שנערכה, אולם האחריות לביצוע אכיפה ולמציאת דרכים לשיפורה מוטלת לפתחו של המשרד </w:t>
      </w:r>
      <w:r w:rsidRPr="00D22A15">
        <w:rPr>
          <w:rFonts w:ascii="Tahoma" w:hAnsi="Tahoma" w:cs="Tahoma"/>
          <w:sz w:val="20"/>
          <w:szCs w:val="20"/>
          <w:rtl/>
        </w:rPr>
        <w:t>להגנ"ס</w:t>
      </w:r>
      <w:r w:rsidRPr="00D22A15">
        <w:rPr>
          <w:rFonts w:ascii="Tahoma" w:hAnsi="Tahoma" w:cs="Tahoma"/>
          <w:sz w:val="20"/>
          <w:szCs w:val="20"/>
          <w:rtl/>
        </w:rPr>
        <w:t xml:space="preserve">. רשות המיסים נכונה לסייע ככל הניתן בביצוע בחינה כאמור, וכדי לשפר את הבקרות על היבוא של מכלי המשקה, נדרש לקיים דיון מקיף עם המשרד </w:t>
      </w:r>
      <w:r w:rsidRPr="00D22A15">
        <w:rPr>
          <w:rFonts w:ascii="Tahoma" w:hAnsi="Tahoma" w:cs="Tahoma"/>
          <w:sz w:val="20"/>
          <w:szCs w:val="20"/>
          <w:rtl/>
        </w:rPr>
        <w:t>להגנ"ס</w:t>
      </w:r>
      <w:r w:rsidRPr="00D22A15">
        <w:rPr>
          <w:rFonts w:ascii="Tahoma" w:hAnsi="Tahoma" w:cs="Tahoma"/>
          <w:sz w:val="20"/>
          <w:szCs w:val="20"/>
          <w:rtl/>
        </w:rPr>
        <w:t xml:space="preserve"> ועם משרד הכלכלה.</w:t>
      </w:r>
    </w:p>
    <w:p w:rsidR="000930B3" w:rsidRPr="00DA075D" w:rsidP="00A07626" w14:paraId="0021D746" w14:textId="77777777">
      <w:pPr>
        <w:pStyle w:val="4"/>
        <w:rPr>
          <w:rtl/>
        </w:rPr>
      </w:pPr>
      <w:r w:rsidRPr="00DA075D">
        <w:rPr>
          <w:rtl/>
        </w:rPr>
        <w:t xml:space="preserve">תחרות בשוק האיסוף </w:t>
      </w:r>
    </w:p>
    <w:p w:rsidR="000930B3" w:rsidRPr="00D22A15" w:rsidP="005C4ABF" w14:paraId="2D4C447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בחוק התחרות הכלכלית, התשמ"ח-1988 (להלן - חוק התחרות), מוגדר הסדר כובל כ"הסדר הנעשה בין בני אדם המנהלים עסקים, לפיו אחד הצדדים לפחות מגביל עצמו באופן העלול למנוע או להפחית את התחרות בעסקים בינו לבין הצדדים האחרים להסדר, או חלק מהם, או בינו לבין אדם שאינו צד להסדר". הסדר כובל עלול לפגוע בתחרות, ולפיכך, על פי חוק התחרות, הוא אסור אלא אם כן התקבל בעניינו פטור או אישור ממערך הפיקוח על התחרות.</w:t>
      </w:r>
    </w:p>
    <w:p w:rsidR="000930B3" w:rsidRPr="00D22A15" w:rsidP="005C4ABF" w14:paraId="61EC41C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עד שנת 2010 הוטלה האחריות על האיסוף </w:t>
      </w:r>
      <w:r w:rsidRPr="00D22A15">
        <w:rPr>
          <w:rFonts w:ascii="Tahoma" w:hAnsi="Tahoma" w:cs="Tahoma"/>
          <w:sz w:val="20"/>
          <w:szCs w:val="20"/>
          <w:rtl/>
        </w:rPr>
        <w:t>והמיחזור</w:t>
      </w:r>
      <w:r w:rsidRPr="00D22A15">
        <w:rPr>
          <w:rFonts w:ascii="Tahoma" w:hAnsi="Tahoma" w:cs="Tahoma"/>
          <w:sz w:val="20"/>
          <w:szCs w:val="20"/>
          <w:rtl/>
        </w:rPr>
        <w:t xml:space="preserve"> על היצרנים והיבואנים, אולם יצרן או יבואן שמקבל שירות מתאגיד </w:t>
      </w:r>
      <w:r w:rsidRPr="00D22A15">
        <w:rPr>
          <w:rFonts w:ascii="Tahoma" w:hAnsi="Tahoma" w:cs="Tahoma"/>
          <w:sz w:val="20"/>
          <w:szCs w:val="20"/>
          <w:rtl/>
        </w:rPr>
        <w:t>מיחזור</w:t>
      </w:r>
      <w:r w:rsidRPr="00D22A15">
        <w:rPr>
          <w:rFonts w:ascii="Tahoma" w:hAnsi="Tahoma" w:cs="Tahoma"/>
          <w:sz w:val="20"/>
          <w:szCs w:val="20"/>
          <w:rtl/>
        </w:rPr>
        <w:t xml:space="preserve"> כהגדרתו בחוק הפיקדון היה פטור מעמידה בדרישות חוק הפיקדון בתקופה שבה קיבל שירות מתאגיד </w:t>
      </w:r>
      <w:r w:rsidRPr="00D22A15">
        <w:rPr>
          <w:rFonts w:ascii="Tahoma" w:hAnsi="Tahoma" w:cs="Tahoma"/>
          <w:sz w:val="20"/>
          <w:szCs w:val="20"/>
          <w:rtl/>
        </w:rPr>
        <w:t>המיחזור</w:t>
      </w:r>
      <w:r w:rsidRPr="00D22A15">
        <w:rPr>
          <w:rFonts w:ascii="Tahoma" w:hAnsi="Tahoma" w:cs="Tahoma"/>
          <w:sz w:val="20"/>
          <w:szCs w:val="20"/>
          <w:rtl/>
        </w:rPr>
        <w:t xml:space="preserve">. לתאגיד </w:t>
      </w:r>
      <w:r w:rsidRPr="00D22A15">
        <w:rPr>
          <w:rFonts w:ascii="Tahoma" w:hAnsi="Tahoma" w:cs="Tahoma"/>
          <w:sz w:val="20"/>
          <w:szCs w:val="20"/>
          <w:rtl/>
        </w:rPr>
        <w:t>מיחזור</w:t>
      </w:r>
      <w:r w:rsidRPr="00D22A15">
        <w:rPr>
          <w:rFonts w:ascii="Tahoma" w:hAnsi="Tahoma" w:cs="Tahoma"/>
          <w:sz w:val="20"/>
          <w:szCs w:val="20"/>
          <w:rtl/>
        </w:rPr>
        <w:t xml:space="preserve"> נקבעו חובות ותנאי הכרה שונים. בין היתר נקבע כי תאגיד </w:t>
      </w:r>
      <w:r w:rsidRPr="00D22A15">
        <w:rPr>
          <w:rFonts w:ascii="Tahoma" w:hAnsi="Tahoma" w:cs="Tahoma"/>
          <w:sz w:val="20"/>
          <w:szCs w:val="20"/>
          <w:rtl/>
        </w:rPr>
        <w:t>מיחזור</w:t>
      </w:r>
      <w:r w:rsidRPr="00D22A15">
        <w:rPr>
          <w:rFonts w:ascii="Tahoma" w:hAnsi="Tahoma" w:cs="Tahoma"/>
          <w:sz w:val="20"/>
          <w:szCs w:val="20"/>
          <w:rtl/>
        </w:rPr>
        <w:t xml:space="preserve"> יהיה תאגיד ללא מטרות רווח שמטרתו היחידה תהיה "הקמה והפעלה של מנגנון לשם ביצוע הוראות לפי חוק זה [חוק הפיקדון] לעניין החזר פיקדונות, איסוף מכלי משקה </w:t>
      </w:r>
      <w:r w:rsidRPr="00D22A15">
        <w:rPr>
          <w:rFonts w:ascii="Tahoma" w:hAnsi="Tahoma" w:cs="Tahoma"/>
          <w:sz w:val="20"/>
          <w:szCs w:val="20"/>
          <w:rtl/>
        </w:rPr>
        <w:t>ומיחזורם</w:t>
      </w:r>
      <w:r w:rsidRPr="00D22A15">
        <w:rPr>
          <w:rFonts w:ascii="Tahoma" w:hAnsi="Tahoma" w:cs="Tahoma"/>
          <w:sz w:val="20"/>
          <w:szCs w:val="20"/>
          <w:rtl/>
        </w:rPr>
        <w:t xml:space="preserve">". ב-2001 הקימו יצרנים ויבואנים של משקאות את חברת איסוף א', והמשרד </w:t>
      </w:r>
      <w:r w:rsidRPr="00D22A15">
        <w:rPr>
          <w:rFonts w:ascii="Tahoma" w:hAnsi="Tahoma" w:cs="Tahoma"/>
          <w:sz w:val="20"/>
          <w:szCs w:val="20"/>
          <w:rtl/>
        </w:rPr>
        <w:t>להגנ"ס</w:t>
      </w:r>
      <w:r w:rsidRPr="00D22A15">
        <w:rPr>
          <w:rFonts w:ascii="Tahoma" w:hAnsi="Tahoma" w:cs="Tahoma"/>
          <w:sz w:val="20"/>
          <w:szCs w:val="20"/>
          <w:rtl/>
        </w:rPr>
        <w:t xml:space="preserve"> הכיר בה כתאגיד מוכר לפי חוק הפיקדון. </w:t>
      </w:r>
    </w:p>
    <w:p w:rsidR="000930B3" w:rsidRPr="00D22A15" w:rsidP="005C4ABF" w14:paraId="3FA3893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בשנת 2010 הטיל המחוקק בחוק הפיקדון את האחריות לאיסוף </w:t>
      </w:r>
      <w:r w:rsidRPr="00D22A15">
        <w:rPr>
          <w:rFonts w:ascii="Tahoma" w:hAnsi="Tahoma" w:cs="Tahoma"/>
          <w:sz w:val="20"/>
          <w:szCs w:val="20"/>
          <w:rtl/>
        </w:rPr>
        <w:t>ולמיחזור</w:t>
      </w:r>
      <w:r w:rsidRPr="00D22A15">
        <w:rPr>
          <w:rFonts w:ascii="Tahoma" w:hAnsi="Tahoma" w:cs="Tahoma"/>
          <w:sz w:val="20"/>
          <w:szCs w:val="20"/>
          <w:rtl/>
        </w:rPr>
        <w:t xml:space="preserve"> ישירות על היצרנים והיבואנים, וביטל את המעמד "תאגיד מוכר". על פי דברי ההסבר לתיקון החוק, "הטלת אחריות ישירה כאמור תוביל להגברת התחרות... לשיפור מערך האיסוף ולייעול השירות הניתן לציבור המבקש להחזיר מכלי משקה ריקים, ותתרום לאיזון בחלוקת הנטל הכרוך ביישום הוראות החוק בין היצרנים והיבואנים... לבין בתי העסק והצרכנים". עוד צוין כי התחרות תוביל להוזלת עלויות האיסוף.</w:t>
      </w:r>
    </w:p>
    <w:p w:rsidR="000930B3" w:rsidRPr="00D22A15" w:rsidP="005C4ABF" w14:paraId="7FD4DA3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בית הדין לתחרות (אשר נקרא בעבר בית הדין להגבלים עסקיים) אישר פעמים מספר</w:t>
      </w:r>
      <w:r>
        <w:rPr>
          <w:rFonts w:ascii="Tahoma" w:hAnsi="Tahoma" w:cs="Tahoma"/>
          <w:sz w:val="20"/>
          <w:szCs w:val="20"/>
          <w:vertAlign w:val="superscript"/>
          <w:rtl/>
        </w:rPr>
        <w:footnoteReference w:id="85"/>
      </w:r>
      <w:r w:rsidRPr="00D22A15">
        <w:rPr>
          <w:rFonts w:ascii="Tahoma" w:hAnsi="Tahoma" w:cs="Tahoma"/>
          <w:sz w:val="20"/>
          <w:szCs w:val="20"/>
          <w:rtl/>
        </w:rPr>
        <w:t xml:space="preserve"> הסדר כובל המאפשר ליצרני המשקאות ויבואני המשקאות להמשיך בהחזקה משותפת של חברת איסוף א' תחת תנאים שנועדו למזער את הפגיעה בתחרות. </w:t>
      </w:r>
    </w:p>
    <w:p w:rsidR="000930B3" w:rsidRPr="00D22A15" w:rsidP="005C4ABF" w14:paraId="23C4C09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חברת איסוף ב' הוקמה בשנת 2010</w:t>
      </w:r>
      <w:r w:rsidRPr="00D22A15">
        <w:rPr>
          <w:rFonts w:ascii="Tahoma" w:hAnsi="Tahoma" w:cs="Tahoma"/>
          <w:spacing w:val="-76"/>
          <w:sz w:val="20"/>
          <w:szCs w:val="20"/>
          <w:rtl/>
        </w:rPr>
        <w:t xml:space="preserve"> </w:t>
      </w:r>
      <w:r>
        <w:rPr>
          <w:rFonts w:ascii="Tahoma" w:hAnsi="Tahoma" w:cs="Tahoma"/>
          <w:sz w:val="20"/>
          <w:szCs w:val="20"/>
          <w:vertAlign w:val="superscript"/>
          <w:rtl/>
        </w:rPr>
        <w:footnoteReference w:id="86"/>
      </w:r>
      <w:r w:rsidRPr="00D22A15">
        <w:rPr>
          <w:rFonts w:ascii="Tahoma" w:hAnsi="Tahoma" w:cs="Tahoma"/>
          <w:sz w:val="20"/>
          <w:szCs w:val="20"/>
          <w:rtl/>
        </w:rPr>
        <w:t xml:space="preserve">, ובשנת 2012 החלה לפעול כתאגיד איסוף </w:t>
      </w:r>
      <w:r w:rsidRPr="00D22A15">
        <w:rPr>
          <w:rFonts w:ascii="Tahoma" w:hAnsi="Tahoma" w:cs="Tahoma"/>
          <w:sz w:val="20"/>
          <w:szCs w:val="20"/>
          <w:rtl/>
        </w:rPr>
        <w:t>ומיחזור</w:t>
      </w:r>
      <w:r w:rsidRPr="00D22A15">
        <w:rPr>
          <w:rFonts w:ascii="Tahoma" w:hAnsi="Tahoma" w:cs="Tahoma"/>
          <w:sz w:val="20"/>
          <w:szCs w:val="20"/>
          <w:rtl/>
        </w:rPr>
        <w:t xml:space="preserve">. בשנת 2018 העניקה שירותים ליותר מ-50 יצרנים ויבואנים ששיווקו כ-11.5 מיליון מכלי משקה גדולים ולכ-125 יצרנים ויבואנים ששיווקו כ-100 מיליון מכלי משקה קטנים. </w:t>
      </w:r>
    </w:p>
    <w:p w:rsidR="000930B3" w:rsidRPr="00D22A15" w:rsidP="005C4ABF" w14:paraId="4E1CE1F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ביולי 2013 קבע הממונה על התחרות כי חברת איסוף א' ניצלה את מעמדה בשוק לרעה כדי להעמיד חסמים שיקשו על חברת איסוף ב' להיכנס לשוק האיסוף, ובכך ניסתה למנוע תחרות בו</w:t>
      </w:r>
      <w:r>
        <w:rPr>
          <w:rFonts w:ascii="Tahoma" w:hAnsi="Tahoma" w:cs="Tahoma"/>
          <w:sz w:val="20"/>
          <w:szCs w:val="20"/>
          <w:vertAlign w:val="superscript"/>
          <w:rtl/>
        </w:rPr>
        <w:footnoteReference w:id="87"/>
      </w:r>
      <w:r w:rsidRPr="00D22A15">
        <w:rPr>
          <w:rFonts w:ascii="Tahoma" w:hAnsi="Tahoma" w:cs="Tahoma"/>
          <w:sz w:val="20"/>
          <w:szCs w:val="20"/>
          <w:rtl/>
        </w:rPr>
        <w:t xml:space="preserve">. </w:t>
      </w:r>
    </w:p>
    <w:p w:rsidR="000930B3" w:rsidRPr="00D22A15" w:rsidP="005C4ABF" w14:paraId="4516297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החלטת הממונה על התחרות תקפה, וכי היא מהווה קביעה עקרונית בדבר הצעדים שתכננה ליישם, אך נוכח קביעת הממונה, הם לא נעשו בפועל. </w:t>
      </w:r>
    </w:p>
    <w:p w:rsidR="000930B3" w:rsidRPr="00D22A15" w:rsidP="005C4ABF" w14:paraId="7E414E1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ביולי 2017, לאחר שאחת החברות שהחזיקה בחברת איסוף א' ויתרה על החזקתה, אישר בית הדין לתחרות הסדר כובל נוסף המתיר ליצרנים וליבואנים הגדולים את המשך החזקתם בחברת איסוף א' לתקופה של שבע שנים. </w:t>
      </w:r>
    </w:p>
    <w:p w:rsidR="000930B3" w:rsidRPr="00D22A15" w:rsidP="005C4ABF" w14:paraId="2A5D810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יצוין כי בשוק האיסוף של מכלי המשקה הקטנים שמוטל עליהם פיקדון קיימת תחרות מסוימת. בשנת 2018 אספה חברת איסוף א' כ-91% ממכלי המשקה הקטנים שנאספו, וחברת איסוף ב' אספה כ-8.6% מהמכלים האמורים. באשר למכלי המשקה הגדולים, חברת איסוף א' אספה באותה שנה כ-99% מהמכלים שנאספו. </w:t>
      </w:r>
    </w:p>
    <w:p w:rsidR="000930B3" w:rsidRPr="00DA075D" w:rsidP="00DB519D" w14:paraId="638C9291" w14:textId="77777777">
      <w:pPr>
        <w:pStyle w:val="3"/>
        <w:rPr>
          <w:rtl/>
        </w:rPr>
      </w:pPr>
      <w:r w:rsidRPr="00DA075D">
        <w:rPr>
          <w:rtl/>
        </w:rPr>
        <w:t>הסברה לציבור</w:t>
      </w:r>
    </w:p>
    <w:p w:rsidR="000930B3" w:rsidRPr="00D22A15" w:rsidP="005C4ABF" w14:paraId="22DFACC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היענות הציבור היא מרכיב חשוב להצלחת האיסוף של מכלי המשקה הקטנים והגדולים. בהשבת מכלי המשקה הקטנים כרוך ערך כלכלי, וכאמור, על פי נתוני המשרד </w:t>
      </w:r>
      <w:r w:rsidRPr="00D22A15">
        <w:rPr>
          <w:rFonts w:ascii="Tahoma" w:hAnsi="Tahoma" w:cs="Tahoma"/>
          <w:sz w:val="20"/>
          <w:szCs w:val="20"/>
          <w:rtl/>
        </w:rPr>
        <w:t>להגנ"ס</w:t>
      </w:r>
      <w:r w:rsidRPr="00D22A15">
        <w:rPr>
          <w:rFonts w:ascii="Tahoma" w:hAnsi="Tahoma" w:cs="Tahoma"/>
          <w:sz w:val="20"/>
          <w:szCs w:val="20"/>
          <w:rtl/>
        </w:rPr>
        <w:t xml:space="preserve"> 30% מהם מושבים על ידי הצרכנים תמורת החזר דמי הפיקדון. למכלים הגדולים אין ערך כלכלי בעיני הציבור, ולכן היענותו להפקדתם </w:t>
      </w:r>
      <w:r w:rsidRPr="00D22A15">
        <w:rPr>
          <w:rFonts w:ascii="Tahoma" w:hAnsi="Tahoma" w:cs="Tahoma"/>
          <w:sz w:val="20"/>
          <w:szCs w:val="20"/>
          <w:rtl/>
        </w:rPr>
        <w:t>במיחזוריות</w:t>
      </w:r>
      <w:r w:rsidRPr="00D22A15">
        <w:rPr>
          <w:rFonts w:ascii="Tahoma" w:hAnsi="Tahoma" w:cs="Tahoma"/>
          <w:sz w:val="20"/>
          <w:szCs w:val="20"/>
          <w:rtl/>
        </w:rPr>
        <w:t xml:space="preserve"> תלויה בהצלחת ההסברה בנושא.</w:t>
      </w:r>
    </w:p>
    <w:p w:rsidR="000930B3" w:rsidRPr="00D22A15" w:rsidP="005C4ABF" w14:paraId="79F3270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חשיבות ההסברה בתחום האיסוף באה לידי ביטוי גם בתוכנית הפעולה משנת 2010 שבה כאמור, נקבע כי על היצרנים והיבואנים החתומים על התוכנית להשקיע בשנים 2010 - 2013 סכום של לפחות 16 מיליון ש"ח בפעילות חינוך והסברה ובניקיון רשות הרבים. </w:t>
      </w:r>
    </w:p>
    <w:p w:rsidR="000930B3" w:rsidRPr="00D22A15" w:rsidP="005C4ABF" w14:paraId="002E0DBF"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כאשר הכמות שנאספה מגיעה ליעד שנקבע בחוק הפיקדון, כל הסברה שתגרום לאיסוף נוסף תגרום ליצרנים וליבואנים הוצאה שעל פי ראייתם הכלכלית, אם הם פועלים למטרות רווח, אין בצידה תועלת. </w:t>
      </w:r>
    </w:p>
    <w:p w:rsidR="000930B3" w:rsidRPr="00DA075D" w:rsidP="008E06C5" w14:paraId="01D1FAC8" w14:textId="77777777">
      <w:pPr>
        <w:pStyle w:val="RESHET"/>
        <w:rPr>
          <w:rtl/>
        </w:rPr>
      </w:pPr>
      <w:r w:rsidRPr="00DA075D">
        <w:rPr>
          <w:rtl/>
        </w:rPr>
        <w:t xml:space="preserve">מהאמור עולה כי לצורך הגברת האיסוף באמצעות </w:t>
      </w:r>
      <w:r w:rsidRPr="00DA075D">
        <w:rPr>
          <w:rtl/>
        </w:rPr>
        <w:t>המיחזוריות</w:t>
      </w:r>
      <w:r w:rsidRPr="00DA075D">
        <w:rPr>
          <w:rtl/>
        </w:rPr>
        <w:t xml:space="preserve"> מעבר ליעד שנקבע נדרש המשרד </w:t>
      </w:r>
      <w:r w:rsidRPr="00DA075D">
        <w:rPr>
          <w:rtl/>
        </w:rPr>
        <w:t>להגנ"ס</w:t>
      </w:r>
      <w:r w:rsidRPr="00DA075D">
        <w:rPr>
          <w:rtl/>
        </w:rPr>
        <w:t xml:space="preserve"> המופקד על הנושא לפעול להמשך ההסברה לציבור גם אחרי שנת 2013. </w:t>
      </w:r>
    </w:p>
    <w:p w:rsidR="000930B3" w:rsidRPr="00DA075D" w:rsidP="008E06C5" w14:paraId="6F8E8C71" w14:textId="77777777">
      <w:pPr>
        <w:pStyle w:val="RESHET"/>
        <w:rPr>
          <w:rtl/>
        </w:rPr>
      </w:pPr>
      <w:r w:rsidRPr="00DA075D">
        <w:rPr>
          <w:rtl/>
        </w:rPr>
        <w:t xml:space="preserve">הביקורת העלתה כי המשרד </w:t>
      </w:r>
      <w:r w:rsidRPr="00DA075D">
        <w:rPr>
          <w:rtl/>
        </w:rPr>
        <w:t>להגנ"ס</w:t>
      </w:r>
      <w:r w:rsidRPr="00DA075D">
        <w:rPr>
          <w:rtl/>
        </w:rPr>
        <w:t xml:space="preserve"> לא ערך בשנים 2015 - 2020 פעולות הסברה לציבור בנוגע לאיסוף </w:t>
      </w:r>
      <w:r w:rsidRPr="00DA075D">
        <w:rPr>
          <w:rtl/>
        </w:rPr>
        <w:t>ולמיחזור</w:t>
      </w:r>
      <w:r w:rsidRPr="00DA075D">
        <w:rPr>
          <w:rtl/>
        </w:rPr>
        <w:t xml:space="preserve"> מכלי משקה בכלל ולעידוד מימוש הזכות לקבלת החזר הפיקדון בפרט. </w:t>
      </w:r>
    </w:p>
    <w:p w:rsidR="000930B3" w:rsidRPr="00D22A15" w:rsidP="005C4ABF" w14:paraId="4AAEC5B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ככלל, מנגנון חוקי אחריות יצרן מורחבת ובהם חוק הפיקדון נשען על ״הכדאיות״ של ההסברה עבור היצרנים והיבואנים כדי לעמוד ביעדים ולהימנע מקנסות כבדים הקבועים בחוק. </w:t>
      </w:r>
    </w:p>
    <w:p w:rsidR="000930B3" w:rsidRPr="00D22A15" w:rsidP="005C4ABF" w14:paraId="2DE324F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קיימת חשיבות להסברה מותאמת ומונגשת לקהל יעד. מניתוח נתונים של </w:t>
      </w:r>
      <w:r w:rsidRPr="00D22A15">
        <w:rPr>
          <w:rFonts w:ascii="Tahoma" w:hAnsi="Tahoma" w:cs="Tahoma"/>
          <w:sz w:val="20"/>
          <w:szCs w:val="20"/>
          <w:rtl/>
        </w:rPr>
        <w:t>הלמ"ס</w:t>
      </w:r>
      <w:r w:rsidRPr="00D22A15">
        <w:rPr>
          <w:rFonts w:ascii="Tahoma" w:hAnsi="Tahoma" w:cs="Tahoma"/>
          <w:sz w:val="20"/>
          <w:szCs w:val="20"/>
          <w:rtl/>
        </w:rPr>
        <w:t xml:space="preserve"> ושל המשרד </w:t>
      </w:r>
      <w:r w:rsidRPr="00D22A15">
        <w:rPr>
          <w:rFonts w:ascii="Tahoma" w:hAnsi="Tahoma" w:cs="Tahoma"/>
          <w:sz w:val="20"/>
          <w:szCs w:val="20"/>
          <w:rtl/>
        </w:rPr>
        <w:t>להגנ"ס</w:t>
      </w:r>
      <w:r w:rsidRPr="00D22A15">
        <w:rPr>
          <w:rFonts w:ascii="Tahoma" w:hAnsi="Tahoma" w:cs="Tahoma"/>
          <w:sz w:val="20"/>
          <w:szCs w:val="20"/>
          <w:rtl/>
        </w:rPr>
        <w:t xml:space="preserve"> שבוצע על ידי משרד מבקר המדינה עולה כי השתתפות הציבור באיסוף מכלי משקה גדולים באמצעות השלכתם </w:t>
      </w:r>
      <w:r w:rsidRPr="00D22A15">
        <w:rPr>
          <w:rFonts w:ascii="Tahoma" w:hAnsi="Tahoma" w:cs="Tahoma"/>
          <w:sz w:val="20"/>
          <w:szCs w:val="20"/>
          <w:rtl/>
        </w:rPr>
        <w:t>למיחזוריות</w:t>
      </w:r>
      <w:r w:rsidRPr="00D22A15">
        <w:rPr>
          <w:rFonts w:ascii="Tahoma" w:hAnsi="Tahoma" w:cs="Tahoma"/>
          <w:sz w:val="20"/>
          <w:szCs w:val="20"/>
          <w:rtl/>
        </w:rPr>
        <w:t xml:space="preserve"> משתנה מעיר לעיר ובין אוכלוסיות שונות. להלן נתוני איסוף של מכלים </w:t>
      </w:r>
      <w:r w:rsidRPr="00D22A15">
        <w:rPr>
          <w:rFonts w:ascii="Tahoma" w:hAnsi="Tahoma" w:cs="Tahoma"/>
          <w:sz w:val="20"/>
          <w:szCs w:val="20"/>
          <w:rtl/>
        </w:rPr>
        <w:t>מהמיחזוריות</w:t>
      </w:r>
      <w:r w:rsidRPr="00D22A15">
        <w:rPr>
          <w:rFonts w:ascii="Tahoma" w:hAnsi="Tahoma" w:cs="Tahoma"/>
          <w:sz w:val="20"/>
          <w:szCs w:val="20"/>
          <w:rtl/>
        </w:rPr>
        <w:t xml:space="preserve"> בשנת 2017 ב-36 ערים בעלות אוכלוסייה של 50,000 תושבים ומעלה.</w:t>
      </w:r>
    </w:p>
    <w:p w:rsidR="000930B3" w:rsidRPr="00DA075D" w:rsidP="00AD02C3" w14:paraId="1D3DB27B" w14:textId="77777777">
      <w:pPr>
        <w:pStyle w:val="a1"/>
        <w:spacing w:line="320" w:lineRule="atLeast"/>
        <w:rPr>
          <w:rtl/>
        </w:rPr>
      </w:pPr>
      <w:r w:rsidRPr="00DB1BDD">
        <w:rPr>
          <w:b w:val="0"/>
          <w:bCs w:val="0"/>
          <w:rtl/>
        </w:rPr>
        <w:t xml:space="preserve">לוח 12: </w:t>
      </w:r>
      <w:r w:rsidRPr="00DA075D">
        <w:rPr>
          <w:rtl/>
        </w:rPr>
        <w:t xml:space="preserve">איסוף מכלים </w:t>
      </w:r>
      <w:r w:rsidRPr="00DA075D">
        <w:rPr>
          <w:rtl/>
        </w:rPr>
        <w:t>מהמיחזוריות</w:t>
      </w:r>
      <w:r w:rsidRPr="00DA075D">
        <w:rPr>
          <w:rtl/>
        </w:rPr>
        <w:t>, לפי רשויות מקומיות</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1934"/>
        <w:gridCol w:w="1101"/>
        <w:gridCol w:w="1702"/>
        <w:gridCol w:w="1502"/>
        <w:gridCol w:w="1983"/>
      </w:tblGrid>
      <w:tr w14:paraId="7AC22F05" w14:textId="77777777" w:rsidTr="00DB1BDD">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vAlign w:val="bottom"/>
          </w:tcPr>
          <w:p w:rsidR="006C5FF5" w:rsidRPr="006C5FF5" w:rsidP="00DB1BDD" w14:paraId="3A7C5DEF"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העירייה</w:t>
            </w:r>
          </w:p>
        </w:tc>
        <w:tc>
          <w:tcPr>
            <w:tcW w:w="0" w:type="auto"/>
            <w:tcBorders>
              <w:top w:val="single" w:sz="8" w:space="0" w:color="auto"/>
              <w:bottom w:val="single" w:sz="8" w:space="0" w:color="auto"/>
            </w:tcBorders>
            <w:shd w:val="clear" w:color="auto" w:fill="C6D9F1"/>
            <w:vAlign w:val="bottom"/>
          </w:tcPr>
          <w:p w:rsidR="006C5FF5" w:rsidRPr="006C5FF5" w:rsidP="00DB1BDD" w14:paraId="502C78D5" w14:textId="6ED37DEC">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מספר </w:t>
            </w:r>
            <w:r w:rsidR="00DB1BDD">
              <w:rPr>
                <w:rFonts w:ascii="Tahoma" w:hAnsi="Tahoma" w:cs="Tahoma"/>
                <w:b/>
                <w:bCs/>
                <w:sz w:val="18"/>
                <w:szCs w:val="18"/>
              </w:rPr>
              <w:br/>
            </w:r>
            <w:r w:rsidRPr="006C5FF5">
              <w:rPr>
                <w:rFonts w:ascii="Tahoma" w:hAnsi="Tahoma" w:cs="Tahoma"/>
                <w:b/>
                <w:bCs/>
                <w:sz w:val="18"/>
                <w:szCs w:val="18"/>
                <w:rtl/>
              </w:rPr>
              <w:t>התושבים</w:t>
            </w:r>
          </w:p>
        </w:tc>
        <w:tc>
          <w:tcPr>
            <w:tcW w:w="0" w:type="auto"/>
            <w:tcBorders>
              <w:top w:val="single" w:sz="8" w:space="0" w:color="auto"/>
              <w:bottom w:val="single" w:sz="8" w:space="0" w:color="auto"/>
            </w:tcBorders>
            <w:shd w:val="clear" w:color="auto" w:fill="C6D9F1"/>
            <w:vAlign w:val="bottom"/>
          </w:tcPr>
          <w:p w:rsidR="006C5FF5" w:rsidRPr="006C5FF5" w:rsidP="00DB1BDD" w14:paraId="55246981" w14:textId="4292B328">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הדירוג </w:t>
            </w:r>
            <w:r w:rsidR="00DB1BDD">
              <w:rPr>
                <w:rFonts w:ascii="Tahoma" w:hAnsi="Tahoma" w:cs="Tahoma"/>
                <w:b/>
                <w:bCs/>
                <w:sz w:val="18"/>
                <w:szCs w:val="18"/>
              </w:rPr>
              <w:br/>
            </w:r>
            <w:r w:rsidRPr="006C5FF5">
              <w:rPr>
                <w:rFonts w:ascii="Tahoma" w:hAnsi="Tahoma" w:cs="Tahoma"/>
                <w:b/>
                <w:bCs/>
                <w:sz w:val="18"/>
                <w:szCs w:val="18"/>
                <w:rtl/>
              </w:rPr>
              <w:t>החברתי- כלכלי</w:t>
            </w:r>
          </w:p>
        </w:tc>
        <w:tc>
          <w:tcPr>
            <w:tcW w:w="0" w:type="auto"/>
            <w:tcBorders>
              <w:top w:val="single" w:sz="8" w:space="0" w:color="auto"/>
              <w:bottom w:val="single" w:sz="8" w:space="0" w:color="auto"/>
            </w:tcBorders>
            <w:shd w:val="clear" w:color="auto" w:fill="C6D9F1"/>
            <w:vAlign w:val="bottom"/>
          </w:tcPr>
          <w:p w:rsidR="006C5FF5" w:rsidRPr="006C5FF5" w:rsidP="00DB1BDD" w14:paraId="70F069CE" w14:textId="59DF94E0">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 xml:space="preserve">האיסוף לנפש </w:t>
            </w:r>
            <w:r w:rsidR="00DB1BDD">
              <w:rPr>
                <w:rFonts w:ascii="Tahoma" w:hAnsi="Tahoma" w:cs="Tahoma"/>
                <w:b/>
                <w:bCs/>
                <w:sz w:val="18"/>
                <w:szCs w:val="18"/>
              </w:rPr>
              <w:br/>
            </w:r>
            <w:r w:rsidRPr="006C5FF5">
              <w:rPr>
                <w:rFonts w:ascii="Tahoma" w:hAnsi="Tahoma" w:cs="Tahoma"/>
                <w:b/>
                <w:bCs/>
                <w:sz w:val="18"/>
                <w:szCs w:val="18"/>
                <w:rtl/>
              </w:rPr>
              <w:t xml:space="preserve">(ק"ג בשנה) </w:t>
            </w:r>
          </w:p>
        </w:tc>
        <w:tc>
          <w:tcPr>
            <w:tcW w:w="0" w:type="auto"/>
            <w:tcBorders>
              <w:top w:val="single" w:sz="8" w:space="0" w:color="auto"/>
              <w:bottom w:val="single" w:sz="8" w:space="0" w:color="auto"/>
            </w:tcBorders>
            <w:shd w:val="clear" w:color="auto" w:fill="C6D9F1"/>
            <w:vAlign w:val="bottom"/>
          </w:tcPr>
          <w:p w:rsidR="006C5FF5" w:rsidRPr="006C5FF5" w:rsidP="00DB1BDD" w14:paraId="5217EBE9" w14:textId="715F447E">
            <w:pPr>
              <w:pStyle w:val="a20"/>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 xml:space="preserve">מכלים לשנה לנפש </w:t>
            </w:r>
            <w:r w:rsidR="00DB1BDD">
              <w:rPr>
                <w:rFonts w:ascii="Tahoma" w:hAnsi="Tahoma" w:cs="Tahoma"/>
                <w:b/>
                <w:bCs/>
                <w:sz w:val="18"/>
                <w:szCs w:val="18"/>
              </w:rPr>
              <w:br/>
            </w:r>
            <w:r w:rsidRPr="006C5FF5">
              <w:rPr>
                <w:rFonts w:ascii="Tahoma" w:hAnsi="Tahoma" w:cs="Tahoma"/>
                <w:b/>
                <w:bCs/>
                <w:sz w:val="18"/>
                <w:szCs w:val="18"/>
                <w:rtl/>
              </w:rPr>
              <w:t>(יחידות)</w:t>
            </w:r>
          </w:p>
        </w:tc>
      </w:tr>
      <w:tr w14:paraId="2F87B703" w14:textId="77777777" w:rsidTr="00DB1BDD">
        <w:tblPrEx>
          <w:tblW w:w="8222" w:type="dxa"/>
          <w:jc w:val="center"/>
          <w:tblLook w:val="04A0"/>
        </w:tblPrEx>
        <w:trPr>
          <w:jc w:val="center"/>
        </w:trPr>
        <w:tc>
          <w:tcPr>
            <w:tcW w:w="0" w:type="auto"/>
            <w:tcBorders>
              <w:top w:val="single" w:sz="8" w:space="0" w:color="auto"/>
            </w:tcBorders>
          </w:tcPr>
          <w:p w:rsidR="006C5FF5" w:rsidRPr="006C5FF5" w:rsidP="006C5FF5" w14:paraId="0692C9C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הוד השרון</w:t>
            </w:r>
          </w:p>
        </w:tc>
        <w:tc>
          <w:tcPr>
            <w:tcW w:w="0" w:type="auto"/>
            <w:tcBorders>
              <w:top w:val="single" w:sz="8" w:space="0" w:color="auto"/>
            </w:tcBorders>
          </w:tcPr>
          <w:p w:rsidR="006C5FF5" w:rsidRPr="006C5FF5" w:rsidP="006C5FF5" w14:paraId="4854A86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61,102</w:t>
            </w:r>
          </w:p>
        </w:tc>
        <w:tc>
          <w:tcPr>
            <w:tcW w:w="0" w:type="auto"/>
            <w:tcBorders>
              <w:top w:val="single" w:sz="8" w:space="0" w:color="auto"/>
            </w:tcBorders>
          </w:tcPr>
          <w:p w:rsidR="006C5FF5" w:rsidRPr="006C5FF5" w:rsidP="006C5FF5" w14:paraId="72CD0C3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Borders>
              <w:top w:val="single" w:sz="8" w:space="0" w:color="auto"/>
            </w:tcBorders>
          </w:tcPr>
          <w:p w:rsidR="006C5FF5" w:rsidRPr="006C5FF5" w:rsidP="006C5FF5" w14:paraId="3F5BB9C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2.013</w:t>
            </w:r>
          </w:p>
        </w:tc>
        <w:tc>
          <w:tcPr>
            <w:tcW w:w="0" w:type="auto"/>
            <w:tcBorders>
              <w:top w:val="single" w:sz="8" w:space="0" w:color="auto"/>
            </w:tcBorders>
          </w:tcPr>
          <w:p w:rsidR="006C5FF5" w:rsidRPr="006C5FF5" w:rsidP="006C5FF5" w14:paraId="3CF21E78"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42.4</w:t>
            </w:r>
          </w:p>
        </w:tc>
      </w:tr>
      <w:tr w14:paraId="7D87A6DC" w14:textId="77777777" w:rsidTr="00DB1BDD">
        <w:tblPrEx>
          <w:tblW w:w="8222" w:type="dxa"/>
          <w:jc w:val="center"/>
          <w:tblLook w:val="04A0"/>
        </w:tblPrEx>
        <w:trPr>
          <w:jc w:val="center"/>
        </w:trPr>
        <w:tc>
          <w:tcPr>
            <w:tcW w:w="0" w:type="auto"/>
          </w:tcPr>
          <w:p w:rsidR="006C5FF5" w:rsidRPr="006C5FF5" w:rsidP="006C5FF5" w14:paraId="0484CAA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רעננה</w:t>
            </w:r>
          </w:p>
        </w:tc>
        <w:tc>
          <w:tcPr>
            <w:tcW w:w="0" w:type="auto"/>
          </w:tcPr>
          <w:p w:rsidR="006C5FF5" w:rsidRPr="006C5FF5" w:rsidP="006C5FF5" w14:paraId="755E427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72,810</w:t>
            </w:r>
          </w:p>
        </w:tc>
        <w:tc>
          <w:tcPr>
            <w:tcW w:w="0" w:type="auto"/>
          </w:tcPr>
          <w:p w:rsidR="006C5FF5" w:rsidRPr="006C5FF5" w:rsidP="006C5FF5" w14:paraId="3C2920C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10DC5AA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1.950</w:t>
            </w:r>
          </w:p>
        </w:tc>
        <w:tc>
          <w:tcPr>
            <w:tcW w:w="0" w:type="auto"/>
          </w:tcPr>
          <w:p w:rsidR="006C5FF5" w:rsidRPr="006C5FF5" w:rsidP="006C5FF5" w14:paraId="708D7328"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41.1</w:t>
            </w:r>
          </w:p>
        </w:tc>
      </w:tr>
      <w:tr w14:paraId="030BF240" w14:textId="77777777" w:rsidTr="00DB1BDD">
        <w:tblPrEx>
          <w:tblW w:w="8222" w:type="dxa"/>
          <w:jc w:val="center"/>
          <w:tblLook w:val="04A0"/>
        </w:tblPrEx>
        <w:trPr>
          <w:jc w:val="center"/>
        </w:trPr>
        <w:tc>
          <w:tcPr>
            <w:tcW w:w="0" w:type="auto"/>
          </w:tcPr>
          <w:p w:rsidR="006C5FF5" w:rsidRPr="006C5FF5" w:rsidP="006C5FF5" w14:paraId="5819445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תל אביב-יפו</w:t>
            </w:r>
          </w:p>
        </w:tc>
        <w:tc>
          <w:tcPr>
            <w:tcW w:w="0" w:type="auto"/>
          </w:tcPr>
          <w:p w:rsidR="006C5FF5" w:rsidRPr="006C5FF5" w:rsidP="006C5FF5" w14:paraId="5C5F0E7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443,939</w:t>
            </w:r>
          </w:p>
        </w:tc>
        <w:tc>
          <w:tcPr>
            <w:tcW w:w="0" w:type="auto"/>
          </w:tcPr>
          <w:p w:rsidR="006C5FF5" w:rsidRPr="006C5FF5" w:rsidP="006C5FF5" w14:paraId="45BB2E7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38F37F4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1.660</w:t>
            </w:r>
          </w:p>
        </w:tc>
        <w:tc>
          <w:tcPr>
            <w:tcW w:w="0" w:type="auto"/>
          </w:tcPr>
          <w:p w:rsidR="006C5FF5" w:rsidRPr="006C5FF5" w:rsidP="006C5FF5" w14:paraId="70658E2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35.0</w:t>
            </w:r>
          </w:p>
        </w:tc>
      </w:tr>
      <w:tr w14:paraId="3F4B4906" w14:textId="77777777" w:rsidTr="00DB1BDD">
        <w:tblPrEx>
          <w:tblW w:w="8222" w:type="dxa"/>
          <w:jc w:val="center"/>
          <w:tblLook w:val="04A0"/>
        </w:tblPrEx>
        <w:trPr>
          <w:jc w:val="center"/>
        </w:trPr>
        <w:tc>
          <w:tcPr>
            <w:tcW w:w="0" w:type="auto"/>
          </w:tcPr>
          <w:p w:rsidR="006C5FF5" w:rsidRPr="006C5FF5" w:rsidP="006C5FF5" w14:paraId="7C5920A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כפר סבא</w:t>
            </w:r>
          </w:p>
        </w:tc>
        <w:tc>
          <w:tcPr>
            <w:tcW w:w="0" w:type="auto"/>
          </w:tcPr>
          <w:p w:rsidR="006C5FF5" w:rsidRPr="006C5FF5" w:rsidP="006C5FF5" w14:paraId="024637E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100,039</w:t>
            </w:r>
          </w:p>
        </w:tc>
        <w:tc>
          <w:tcPr>
            <w:tcW w:w="0" w:type="auto"/>
          </w:tcPr>
          <w:p w:rsidR="006C5FF5" w:rsidRPr="006C5FF5" w:rsidP="006C5FF5" w14:paraId="5ADB814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31FBF51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1.634</w:t>
            </w:r>
          </w:p>
        </w:tc>
        <w:tc>
          <w:tcPr>
            <w:tcW w:w="0" w:type="auto"/>
          </w:tcPr>
          <w:p w:rsidR="006C5FF5" w:rsidRPr="006C5FF5" w:rsidP="006C5FF5" w14:paraId="29F536FD"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34.4</w:t>
            </w:r>
          </w:p>
        </w:tc>
      </w:tr>
      <w:tr w14:paraId="399BE107" w14:textId="77777777" w:rsidTr="00DB1BDD">
        <w:tblPrEx>
          <w:tblW w:w="8222" w:type="dxa"/>
          <w:jc w:val="center"/>
          <w:tblLook w:val="04A0"/>
        </w:tblPrEx>
        <w:trPr>
          <w:jc w:val="center"/>
        </w:trPr>
        <w:tc>
          <w:tcPr>
            <w:tcW w:w="0" w:type="auto"/>
          </w:tcPr>
          <w:p w:rsidR="006C5FF5" w:rsidRPr="006C5FF5" w:rsidP="006C5FF5" w14:paraId="463D3F1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חיפה</w:t>
            </w:r>
          </w:p>
        </w:tc>
        <w:tc>
          <w:tcPr>
            <w:tcW w:w="0" w:type="auto"/>
          </w:tcPr>
          <w:p w:rsidR="006C5FF5" w:rsidRPr="006C5FF5" w:rsidP="006C5FF5" w14:paraId="36AA8CB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281,087</w:t>
            </w:r>
          </w:p>
        </w:tc>
        <w:tc>
          <w:tcPr>
            <w:tcW w:w="0" w:type="auto"/>
          </w:tcPr>
          <w:p w:rsidR="006C5FF5" w:rsidRPr="006C5FF5" w:rsidP="006C5FF5" w14:paraId="47E4C17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Pr>
          <w:p w:rsidR="006C5FF5" w:rsidRPr="006C5FF5" w:rsidP="006C5FF5" w14:paraId="2DDDBCA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1.345</w:t>
            </w:r>
          </w:p>
        </w:tc>
        <w:tc>
          <w:tcPr>
            <w:tcW w:w="0" w:type="auto"/>
          </w:tcPr>
          <w:p w:rsidR="006C5FF5" w:rsidRPr="006C5FF5" w:rsidP="006C5FF5" w14:paraId="2E9C34A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28.3</w:t>
            </w:r>
          </w:p>
        </w:tc>
      </w:tr>
      <w:tr w14:paraId="313F0403" w14:textId="77777777" w:rsidTr="00DB1BDD">
        <w:tblPrEx>
          <w:tblW w:w="8222" w:type="dxa"/>
          <w:jc w:val="center"/>
          <w:tblLook w:val="04A0"/>
        </w:tblPrEx>
        <w:trPr>
          <w:jc w:val="center"/>
        </w:trPr>
        <w:tc>
          <w:tcPr>
            <w:tcW w:w="0" w:type="auto"/>
          </w:tcPr>
          <w:p w:rsidR="006C5FF5" w:rsidRPr="006C5FF5" w:rsidP="006C5FF5" w14:paraId="2C14898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הרצלייה</w:t>
            </w:r>
          </w:p>
        </w:tc>
        <w:tc>
          <w:tcPr>
            <w:tcW w:w="0" w:type="auto"/>
          </w:tcPr>
          <w:p w:rsidR="006C5FF5" w:rsidRPr="006C5FF5" w:rsidP="006C5FF5" w14:paraId="2AED04E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93,989</w:t>
            </w:r>
          </w:p>
        </w:tc>
        <w:tc>
          <w:tcPr>
            <w:tcW w:w="0" w:type="auto"/>
          </w:tcPr>
          <w:p w:rsidR="006C5FF5" w:rsidRPr="006C5FF5" w:rsidP="006C5FF5" w14:paraId="61E17A8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2226E69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1.336</w:t>
            </w:r>
          </w:p>
        </w:tc>
        <w:tc>
          <w:tcPr>
            <w:tcW w:w="0" w:type="auto"/>
          </w:tcPr>
          <w:p w:rsidR="006C5FF5" w:rsidRPr="006C5FF5" w:rsidP="006C5FF5" w14:paraId="4967E16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28.1</w:t>
            </w:r>
          </w:p>
        </w:tc>
      </w:tr>
      <w:tr w14:paraId="1BEBC010" w14:textId="77777777" w:rsidTr="00DB1BDD">
        <w:tblPrEx>
          <w:tblW w:w="8222" w:type="dxa"/>
          <w:jc w:val="center"/>
          <w:tblLook w:val="04A0"/>
        </w:tblPrEx>
        <w:trPr>
          <w:jc w:val="center"/>
        </w:trPr>
        <w:tc>
          <w:tcPr>
            <w:tcW w:w="0" w:type="auto"/>
          </w:tcPr>
          <w:p w:rsidR="006C5FF5" w:rsidRPr="006C5FF5" w:rsidP="006C5FF5" w14:paraId="5989A78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מודיעין-מכבים-רעות</w:t>
            </w:r>
          </w:p>
        </w:tc>
        <w:tc>
          <w:tcPr>
            <w:tcW w:w="0" w:type="auto"/>
          </w:tcPr>
          <w:p w:rsidR="006C5FF5" w:rsidRPr="006C5FF5" w:rsidP="006C5FF5" w14:paraId="10ECC7F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91,328</w:t>
            </w:r>
          </w:p>
        </w:tc>
        <w:tc>
          <w:tcPr>
            <w:tcW w:w="0" w:type="auto"/>
          </w:tcPr>
          <w:p w:rsidR="006C5FF5" w:rsidRPr="006C5FF5" w:rsidP="006C5FF5" w14:paraId="66C084C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02B3BB8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1.325</w:t>
            </w:r>
          </w:p>
        </w:tc>
        <w:tc>
          <w:tcPr>
            <w:tcW w:w="0" w:type="auto"/>
          </w:tcPr>
          <w:p w:rsidR="006C5FF5" w:rsidRPr="006C5FF5" w:rsidP="006C5FF5" w14:paraId="442D60EA"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27.9</w:t>
            </w:r>
          </w:p>
        </w:tc>
      </w:tr>
      <w:tr w14:paraId="605D4D79" w14:textId="77777777" w:rsidTr="00DB1BDD">
        <w:tblPrEx>
          <w:tblW w:w="8222" w:type="dxa"/>
          <w:jc w:val="center"/>
          <w:tblLook w:val="04A0"/>
        </w:tblPrEx>
        <w:trPr>
          <w:jc w:val="center"/>
        </w:trPr>
        <w:tc>
          <w:tcPr>
            <w:tcW w:w="0" w:type="auto"/>
          </w:tcPr>
          <w:p w:rsidR="006C5FF5" w:rsidRPr="006C5FF5" w:rsidP="006C5FF5" w14:paraId="3E33E22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חדרה</w:t>
            </w:r>
          </w:p>
        </w:tc>
        <w:tc>
          <w:tcPr>
            <w:tcW w:w="0" w:type="auto"/>
          </w:tcPr>
          <w:p w:rsidR="006C5FF5" w:rsidRPr="006C5FF5" w:rsidP="006C5FF5" w14:paraId="6776EE4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93,973</w:t>
            </w:r>
          </w:p>
        </w:tc>
        <w:tc>
          <w:tcPr>
            <w:tcW w:w="0" w:type="auto"/>
          </w:tcPr>
          <w:p w:rsidR="006C5FF5" w:rsidRPr="006C5FF5" w:rsidP="006C5FF5" w14:paraId="58A0991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241D41F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1.290</w:t>
            </w:r>
          </w:p>
        </w:tc>
        <w:tc>
          <w:tcPr>
            <w:tcW w:w="0" w:type="auto"/>
          </w:tcPr>
          <w:p w:rsidR="006C5FF5" w:rsidRPr="006C5FF5" w:rsidP="006C5FF5" w14:paraId="1178BFA8"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27.2</w:t>
            </w:r>
          </w:p>
        </w:tc>
      </w:tr>
      <w:tr w14:paraId="7EB2B4E3" w14:textId="77777777" w:rsidTr="00DB1BDD">
        <w:tblPrEx>
          <w:tblW w:w="8222" w:type="dxa"/>
          <w:jc w:val="center"/>
          <w:tblLook w:val="04A0"/>
        </w:tblPrEx>
        <w:trPr>
          <w:jc w:val="center"/>
        </w:trPr>
        <w:tc>
          <w:tcPr>
            <w:tcW w:w="0" w:type="auto"/>
          </w:tcPr>
          <w:p w:rsidR="006C5FF5" w:rsidRPr="006C5FF5" w:rsidP="006C5FF5" w14:paraId="7671F2B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ראש העין</w:t>
            </w:r>
          </w:p>
        </w:tc>
        <w:tc>
          <w:tcPr>
            <w:tcW w:w="0" w:type="auto"/>
          </w:tcPr>
          <w:p w:rsidR="006C5FF5" w:rsidRPr="006C5FF5" w:rsidP="006C5FF5" w14:paraId="0C788B6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50,453</w:t>
            </w:r>
          </w:p>
        </w:tc>
        <w:tc>
          <w:tcPr>
            <w:tcW w:w="0" w:type="auto"/>
          </w:tcPr>
          <w:p w:rsidR="006C5FF5" w:rsidRPr="006C5FF5" w:rsidP="006C5FF5" w14:paraId="0788C84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Pr>
          <w:p w:rsidR="006C5FF5" w:rsidRPr="006C5FF5" w:rsidP="006C5FF5" w14:paraId="25775DA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1.203</w:t>
            </w:r>
          </w:p>
        </w:tc>
        <w:tc>
          <w:tcPr>
            <w:tcW w:w="0" w:type="auto"/>
          </w:tcPr>
          <w:p w:rsidR="006C5FF5" w:rsidRPr="006C5FF5" w:rsidP="006C5FF5" w14:paraId="6F5082B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25.3</w:t>
            </w:r>
          </w:p>
        </w:tc>
      </w:tr>
      <w:tr w14:paraId="17C62446" w14:textId="77777777" w:rsidTr="00DB1BDD">
        <w:tblPrEx>
          <w:tblW w:w="8222" w:type="dxa"/>
          <w:jc w:val="center"/>
          <w:tblLook w:val="04A0"/>
        </w:tblPrEx>
        <w:trPr>
          <w:jc w:val="center"/>
        </w:trPr>
        <w:tc>
          <w:tcPr>
            <w:tcW w:w="0" w:type="auto"/>
          </w:tcPr>
          <w:p w:rsidR="006C5FF5" w:rsidRPr="006C5FF5" w:rsidP="006C5FF5" w14:paraId="28D25A9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רמת גן</w:t>
            </w:r>
          </w:p>
        </w:tc>
        <w:tc>
          <w:tcPr>
            <w:tcW w:w="0" w:type="auto"/>
          </w:tcPr>
          <w:p w:rsidR="006C5FF5" w:rsidRPr="006C5FF5" w:rsidP="006C5FF5" w14:paraId="28E9D22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156,277</w:t>
            </w:r>
          </w:p>
        </w:tc>
        <w:tc>
          <w:tcPr>
            <w:tcW w:w="0" w:type="auto"/>
          </w:tcPr>
          <w:p w:rsidR="006C5FF5" w:rsidRPr="006C5FF5" w:rsidP="006C5FF5" w14:paraId="2D31169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4F3B62B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1.164</w:t>
            </w:r>
          </w:p>
        </w:tc>
        <w:tc>
          <w:tcPr>
            <w:tcW w:w="0" w:type="auto"/>
          </w:tcPr>
          <w:p w:rsidR="006C5FF5" w:rsidRPr="006C5FF5" w:rsidP="006C5FF5" w14:paraId="3446B623"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24.5</w:t>
            </w:r>
          </w:p>
        </w:tc>
      </w:tr>
      <w:tr w14:paraId="3A80966D" w14:textId="77777777" w:rsidTr="00DB1BDD">
        <w:tblPrEx>
          <w:tblW w:w="8222" w:type="dxa"/>
          <w:jc w:val="center"/>
          <w:tblLook w:val="04A0"/>
        </w:tblPrEx>
        <w:trPr>
          <w:jc w:val="center"/>
        </w:trPr>
        <w:tc>
          <w:tcPr>
            <w:tcW w:w="0" w:type="auto"/>
          </w:tcPr>
          <w:p w:rsidR="006C5FF5" w:rsidRPr="006C5FF5" w:rsidP="006C5FF5" w14:paraId="276A56D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אשדוד</w:t>
            </w:r>
          </w:p>
        </w:tc>
        <w:tc>
          <w:tcPr>
            <w:tcW w:w="0" w:type="auto"/>
          </w:tcPr>
          <w:p w:rsidR="006C5FF5" w:rsidRPr="006C5FF5" w:rsidP="006C5FF5" w14:paraId="35914B0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222,883</w:t>
            </w:r>
          </w:p>
        </w:tc>
        <w:tc>
          <w:tcPr>
            <w:tcW w:w="0" w:type="auto"/>
          </w:tcPr>
          <w:p w:rsidR="006C5FF5" w:rsidRPr="006C5FF5" w:rsidP="006C5FF5" w14:paraId="21F8CAE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608CB49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1.159</w:t>
            </w:r>
          </w:p>
        </w:tc>
        <w:tc>
          <w:tcPr>
            <w:tcW w:w="0" w:type="auto"/>
          </w:tcPr>
          <w:p w:rsidR="006C5FF5" w:rsidRPr="006C5FF5" w:rsidP="006C5FF5" w14:paraId="10F8F94C"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24.4</w:t>
            </w:r>
          </w:p>
        </w:tc>
      </w:tr>
      <w:tr w14:paraId="001C7BEB" w14:textId="77777777" w:rsidTr="00DB1BDD">
        <w:tblPrEx>
          <w:tblW w:w="8222" w:type="dxa"/>
          <w:jc w:val="center"/>
          <w:tblLook w:val="04A0"/>
        </w:tblPrEx>
        <w:trPr>
          <w:jc w:val="center"/>
        </w:trPr>
        <w:tc>
          <w:tcPr>
            <w:tcW w:w="0" w:type="auto"/>
          </w:tcPr>
          <w:p w:rsidR="006C5FF5" w:rsidRPr="006C5FF5" w:rsidP="006C5FF5" w14:paraId="7217A7D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באר שבע</w:t>
            </w:r>
          </w:p>
        </w:tc>
        <w:tc>
          <w:tcPr>
            <w:tcW w:w="0" w:type="auto"/>
          </w:tcPr>
          <w:p w:rsidR="006C5FF5" w:rsidRPr="006C5FF5" w:rsidP="006C5FF5" w14:paraId="108DDD1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207,551</w:t>
            </w:r>
          </w:p>
        </w:tc>
        <w:tc>
          <w:tcPr>
            <w:tcW w:w="0" w:type="auto"/>
          </w:tcPr>
          <w:p w:rsidR="006C5FF5" w:rsidRPr="006C5FF5" w:rsidP="006C5FF5" w14:paraId="2D66641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4C1A7F7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1.141</w:t>
            </w:r>
          </w:p>
        </w:tc>
        <w:tc>
          <w:tcPr>
            <w:tcW w:w="0" w:type="auto"/>
          </w:tcPr>
          <w:p w:rsidR="006C5FF5" w:rsidRPr="006C5FF5" w:rsidP="006C5FF5" w14:paraId="2F98485A"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24.0</w:t>
            </w:r>
          </w:p>
        </w:tc>
      </w:tr>
      <w:tr w14:paraId="5243FF0A" w14:textId="77777777" w:rsidTr="00DB1BDD">
        <w:tblPrEx>
          <w:tblW w:w="8222" w:type="dxa"/>
          <w:jc w:val="center"/>
          <w:tblLook w:val="04A0"/>
        </w:tblPrEx>
        <w:trPr>
          <w:jc w:val="center"/>
        </w:trPr>
        <w:tc>
          <w:tcPr>
            <w:tcW w:w="0" w:type="auto"/>
          </w:tcPr>
          <w:p w:rsidR="006C5FF5" w:rsidRPr="006C5FF5" w:rsidP="006C5FF5" w14:paraId="5FCA83F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אשקלון</w:t>
            </w:r>
          </w:p>
        </w:tc>
        <w:tc>
          <w:tcPr>
            <w:tcW w:w="0" w:type="auto"/>
          </w:tcPr>
          <w:p w:rsidR="006C5FF5" w:rsidRPr="006C5FF5" w:rsidP="006C5FF5" w14:paraId="7735914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137,332</w:t>
            </w:r>
          </w:p>
        </w:tc>
        <w:tc>
          <w:tcPr>
            <w:tcW w:w="0" w:type="auto"/>
          </w:tcPr>
          <w:p w:rsidR="006C5FF5" w:rsidRPr="006C5FF5" w:rsidP="006C5FF5" w14:paraId="5D12D39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364B30E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1.107</w:t>
            </w:r>
          </w:p>
        </w:tc>
        <w:tc>
          <w:tcPr>
            <w:tcW w:w="0" w:type="auto"/>
          </w:tcPr>
          <w:p w:rsidR="006C5FF5" w:rsidRPr="006C5FF5" w:rsidP="006C5FF5" w14:paraId="7D9EDAFC"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23.3</w:t>
            </w:r>
          </w:p>
        </w:tc>
      </w:tr>
      <w:tr w14:paraId="7F555E20" w14:textId="77777777" w:rsidTr="00DB1BDD">
        <w:tblPrEx>
          <w:tblW w:w="8222" w:type="dxa"/>
          <w:jc w:val="center"/>
          <w:tblLook w:val="04A0"/>
        </w:tblPrEx>
        <w:trPr>
          <w:jc w:val="center"/>
        </w:trPr>
        <w:tc>
          <w:tcPr>
            <w:tcW w:w="0" w:type="auto"/>
          </w:tcPr>
          <w:p w:rsidR="006C5FF5" w:rsidRPr="006C5FF5" w:rsidP="006C5FF5" w14:paraId="159C087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קריית גת</w:t>
            </w:r>
          </w:p>
        </w:tc>
        <w:tc>
          <w:tcPr>
            <w:tcW w:w="0" w:type="auto"/>
          </w:tcPr>
          <w:p w:rsidR="006C5FF5" w:rsidRPr="006C5FF5" w:rsidP="006C5FF5" w14:paraId="1DFD6AF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53,487</w:t>
            </w:r>
          </w:p>
        </w:tc>
        <w:tc>
          <w:tcPr>
            <w:tcW w:w="0" w:type="auto"/>
          </w:tcPr>
          <w:p w:rsidR="006C5FF5" w:rsidRPr="006C5FF5" w:rsidP="006C5FF5" w14:paraId="1DFC4B6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w:t>
            </w:r>
          </w:p>
        </w:tc>
        <w:tc>
          <w:tcPr>
            <w:tcW w:w="0" w:type="auto"/>
          </w:tcPr>
          <w:p w:rsidR="006C5FF5" w:rsidRPr="006C5FF5" w:rsidP="006C5FF5" w14:paraId="72E4D26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1.102</w:t>
            </w:r>
          </w:p>
        </w:tc>
        <w:tc>
          <w:tcPr>
            <w:tcW w:w="0" w:type="auto"/>
          </w:tcPr>
          <w:p w:rsidR="006C5FF5" w:rsidRPr="006C5FF5" w:rsidP="006C5FF5" w14:paraId="4F68B786"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23.2</w:t>
            </w:r>
          </w:p>
        </w:tc>
      </w:tr>
      <w:tr w14:paraId="47EEFD7F" w14:textId="77777777" w:rsidTr="00DB1BDD">
        <w:tblPrEx>
          <w:tblW w:w="8222" w:type="dxa"/>
          <w:jc w:val="center"/>
          <w:tblLook w:val="04A0"/>
        </w:tblPrEx>
        <w:trPr>
          <w:jc w:val="center"/>
        </w:trPr>
        <w:tc>
          <w:tcPr>
            <w:tcW w:w="0" w:type="auto"/>
          </w:tcPr>
          <w:p w:rsidR="006C5FF5" w:rsidRPr="006C5FF5" w:rsidP="006C5FF5" w14:paraId="0908F8A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עפולה</w:t>
            </w:r>
          </w:p>
        </w:tc>
        <w:tc>
          <w:tcPr>
            <w:tcW w:w="0" w:type="auto"/>
          </w:tcPr>
          <w:p w:rsidR="006C5FF5" w:rsidRPr="006C5FF5" w:rsidP="006C5FF5" w14:paraId="3837B81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49,169</w:t>
            </w:r>
          </w:p>
        </w:tc>
        <w:tc>
          <w:tcPr>
            <w:tcW w:w="0" w:type="auto"/>
          </w:tcPr>
          <w:p w:rsidR="006C5FF5" w:rsidRPr="006C5FF5" w:rsidP="006C5FF5" w14:paraId="4C9D541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4AB0EAF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1.058</w:t>
            </w:r>
          </w:p>
        </w:tc>
        <w:tc>
          <w:tcPr>
            <w:tcW w:w="0" w:type="auto"/>
          </w:tcPr>
          <w:p w:rsidR="006C5FF5" w:rsidRPr="006C5FF5" w:rsidP="006C5FF5" w14:paraId="003337C4"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22.3</w:t>
            </w:r>
          </w:p>
        </w:tc>
      </w:tr>
      <w:tr w14:paraId="4FCE23B9" w14:textId="77777777" w:rsidTr="00DB1BDD">
        <w:tblPrEx>
          <w:tblW w:w="8222" w:type="dxa"/>
          <w:jc w:val="center"/>
          <w:tblLook w:val="04A0"/>
        </w:tblPrEx>
        <w:trPr>
          <w:jc w:val="center"/>
        </w:trPr>
        <w:tc>
          <w:tcPr>
            <w:tcW w:w="0" w:type="auto"/>
          </w:tcPr>
          <w:p w:rsidR="006C5FF5" w:rsidRPr="006C5FF5" w:rsidP="006C5FF5" w14:paraId="367FB9D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נס ציונה</w:t>
            </w:r>
          </w:p>
        </w:tc>
        <w:tc>
          <w:tcPr>
            <w:tcW w:w="0" w:type="auto"/>
          </w:tcPr>
          <w:p w:rsidR="006C5FF5" w:rsidRPr="006C5FF5" w:rsidP="006C5FF5" w14:paraId="5D08767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49,108</w:t>
            </w:r>
          </w:p>
        </w:tc>
        <w:tc>
          <w:tcPr>
            <w:tcW w:w="0" w:type="auto"/>
          </w:tcPr>
          <w:p w:rsidR="006C5FF5" w:rsidRPr="006C5FF5" w:rsidP="006C5FF5" w14:paraId="28B6AB5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02D92F1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1.040</w:t>
            </w:r>
          </w:p>
        </w:tc>
        <w:tc>
          <w:tcPr>
            <w:tcW w:w="0" w:type="auto"/>
          </w:tcPr>
          <w:p w:rsidR="006C5FF5" w:rsidRPr="006C5FF5" w:rsidP="006C5FF5" w14:paraId="60EF1A3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21.9</w:t>
            </w:r>
          </w:p>
        </w:tc>
      </w:tr>
      <w:tr w14:paraId="3260812D" w14:textId="77777777" w:rsidTr="00DB1BDD">
        <w:tblPrEx>
          <w:tblW w:w="8222" w:type="dxa"/>
          <w:jc w:val="center"/>
          <w:tblLook w:val="04A0"/>
        </w:tblPrEx>
        <w:trPr>
          <w:jc w:val="center"/>
        </w:trPr>
        <w:tc>
          <w:tcPr>
            <w:tcW w:w="0" w:type="auto"/>
          </w:tcPr>
          <w:p w:rsidR="006C5FF5" w:rsidRPr="006C5FF5" w:rsidP="006C5FF5" w14:paraId="323D5C5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בת ים</w:t>
            </w:r>
          </w:p>
        </w:tc>
        <w:tc>
          <w:tcPr>
            <w:tcW w:w="0" w:type="auto"/>
          </w:tcPr>
          <w:p w:rsidR="006C5FF5" w:rsidRPr="006C5FF5" w:rsidP="006C5FF5" w14:paraId="770BE07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128,655</w:t>
            </w:r>
          </w:p>
        </w:tc>
        <w:tc>
          <w:tcPr>
            <w:tcW w:w="0" w:type="auto"/>
          </w:tcPr>
          <w:p w:rsidR="006C5FF5" w:rsidRPr="006C5FF5" w:rsidP="006C5FF5" w14:paraId="1DAF799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w:t>
            </w:r>
          </w:p>
        </w:tc>
        <w:tc>
          <w:tcPr>
            <w:tcW w:w="0" w:type="auto"/>
          </w:tcPr>
          <w:p w:rsidR="006C5FF5" w:rsidRPr="006C5FF5" w:rsidP="006C5FF5" w14:paraId="6FD97F6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1.026</w:t>
            </w:r>
          </w:p>
        </w:tc>
        <w:tc>
          <w:tcPr>
            <w:tcW w:w="0" w:type="auto"/>
          </w:tcPr>
          <w:p w:rsidR="006C5FF5" w:rsidRPr="006C5FF5" w:rsidP="006C5FF5" w14:paraId="05F8BC6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21.6</w:t>
            </w:r>
          </w:p>
        </w:tc>
      </w:tr>
      <w:tr w14:paraId="5A1AF22A" w14:textId="77777777" w:rsidTr="00DB1BDD">
        <w:tblPrEx>
          <w:tblW w:w="8222" w:type="dxa"/>
          <w:jc w:val="center"/>
          <w:tblLook w:val="04A0"/>
        </w:tblPrEx>
        <w:trPr>
          <w:jc w:val="center"/>
        </w:trPr>
        <w:tc>
          <w:tcPr>
            <w:tcW w:w="0" w:type="auto"/>
          </w:tcPr>
          <w:p w:rsidR="006C5FF5" w:rsidRPr="006C5FF5" w:rsidP="006C5FF5" w14:paraId="3B48794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גבעתיים</w:t>
            </w:r>
          </w:p>
        </w:tc>
        <w:tc>
          <w:tcPr>
            <w:tcW w:w="0" w:type="auto"/>
          </w:tcPr>
          <w:p w:rsidR="006C5FF5" w:rsidRPr="006C5FF5" w:rsidP="006C5FF5" w14:paraId="66629CF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59,518</w:t>
            </w:r>
          </w:p>
        </w:tc>
        <w:tc>
          <w:tcPr>
            <w:tcW w:w="0" w:type="auto"/>
          </w:tcPr>
          <w:p w:rsidR="006C5FF5" w:rsidRPr="006C5FF5" w:rsidP="006C5FF5" w14:paraId="702DBF8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8</w:t>
            </w:r>
          </w:p>
        </w:tc>
        <w:tc>
          <w:tcPr>
            <w:tcW w:w="0" w:type="auto"/>
          </w:tcPr>
          <w:p w:rsidR="006C5FF5" w:rsidRPr="006C5FF5" w:rsidP="006C5FF5" w14:paraId="261A40B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1.009</w:t>
            </w:r>
          </w:p>
        </w:tc>
        <w:tc>
          <w:tcPr>
            <w:tcW w:w="0" w:type="auto"/>
          </w:tcPr>
          <w:p w:rsidR="006C5FF5" w:rsidRPr="006C5FF5" w:rsidP="006C5FF5" w14:paraId="5830904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21.3</w:t>
            </w:r>
          </w:p>
        </w:tc>
      </w:tr>
      <w:tr w14:paraId="32A3A28E" w14:textId="77777777" w:rsidTr="00DB1BDD">
        <w:tblPrEx>
          <w:tblW w:w="8222" w:type="dxa"/>
          <w:jc w:val="center"/>
          <w:tblLook w:val="04A0"/>
        </w:tblPrEx>
        <w:trPr>
          <w:jc w:val="center"/>
        </w:trPr>
        <w:tc>
          <w:tcPr>
            <w:tcW w:w="0" w:type="auto"/>
          </w:tcPr>
          <w:p w:rsidR="006C5FF5" w:rsidRPr="006C5FF5" w:rsidP="006C5FF5" w14:paraId="56C92C5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קריית אתא</w:t>
            </w:r>
          </w:p>
        </w:tc>
        <w:tc>
          <w:tcPr>
            <w:tcW w:w="0" w:type="auto"/>
          </w:tcPr>
          <w:p w:rsidR="006C5FF5" w:rsidRPr="006C5FF5" w:rsidP="006C5FF5" w14:paraId="7EB6115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57,518</w:t>
            </w:r>
          </w:p>
        </w:tc>
        <w:tc>
          <w:tcPr>
            <w:tcW w:w="0" w:type="auto"/>
          </w:tcPr>
          <w:p w:rsidR="006C5FF5" w:rsidRPr="006C5FF5" w:rsidP="006C5FF5" w14:paraId="29C32DDD"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3FC33E3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0.978</w:t>
            </w:r>
          </w:p>
        </w:tc>
        <w:tc>
          <w:tcPr>
            <w:tcW w:w="0" w:type="auto"/>
          </w:tcPr>
          <w:p w:rsidR="006C5FF5" w:rsidRPr="006C5FF5" w:rsidP="006C5FF5" w14:paraId="4037AAE3"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20.6</w:t>
            </w:r>
          </w:p>
        </w:tc>
      </w:tr>
      <w:tr w14:paraId="498E6847" w14:textId="77777777" w:rsidTr="00DB1BDD">
        <w:tblPrEx>
          <w:tblW w:w="8222" w:type="dxa"/>
          <w:jc w:val="center"/>
          <w:tblLook w:val="04A0"/>
        </w:tblPrEx>
        <w:trPr>
          <w:jc w:val="center"/>
        </w:trPr>
        <w:tc>
          <w:tcPr>
            <w:tcW w:w="0" w:type="auto"/>
          </w:tcPr>
          <w:p w:rsidR="006C5FF5" w:rsidRPr="006C5FF5" w:rsidP="006C5FF5" w14:paraId="4A9FDE2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ראשון לציון</w:t>
            </w:r>
          </w:p>
        </w:tc>
        <w:tc>
          <w:tcPr>
            <w:tcW w:w="0" w:type="auto"/>
          </w:tcPr>
          <w:p w:rsidR="006C5FF5" w:rsidRPr="006C5FF5" w:rsidP="006C5FF5" w14:paraId="721968D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249,860</w:t>
            </w:r>
          </w:p>
        </w:tc>
        <w:tc>
          <w:tcPr>
            <w:tcW w:w="0" w:type="auto"/>
          </w:tcPr>
          <w:p w:rsidR="006C5FF5" w:rsidRPr="006C5FF5" w:rsidP="006C5FF5" w14:paraId="53D7B33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Pr>
          <w:p w:rsidR="006C5FF5" w:rsidRPr="006C5FF5" w:rsidP="006C5FF5" w14:paraId="1502CD9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0.978</w:t>
            </w:r>
          </w:p>
        </w:tc>
        <w:tc>
          <w:tcPr>
            <w:tcW w:w="0" w:type="auto"/>
          </w:tcPr>
          <w:p w:rsidR="006C5FF5" w:rsidRPr="006C5FF5" w:rsidP="006C5FF5" w14:paraId="27963C2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20.6</w:t>
            </w:r>
          </w:p>
        </w:tc>
      </w:tr>
      <w:tr w14:paraId="343A03E5" w14:textId="77777777" w:rsidTr="00DB1BDD">
        <w:tblPrEx>
          <w:tblW w:w="8222" w:type="dxa"/>
          <w:jc w:val="center"/>
          <w:tblLook w:val="04A0"/>
        </w:tblPrEx>
        <w:trPr>
          <w:jc w:val="center"/>
        </w:trPr>
        <w:tc>
          <w:tcPr>
            <w:tcW w:w="0" w:type="auto"/>
          </w:tcPr>
          <w:p w:rsidR="006C5FF5" w:rsidRPr="006C5FF5" w:rsidP="006C5FF5" w14:paraId="774349E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נתניה</w:t>
            </w:r>
          </w:p>
        </w:tc>
        <w:tc>
          <w:tcPr>
            <w:tcW w:w="0" w:type="auto"/>
          </w:tcPr>
          <w:p w:rsidR="006C5FF5" w:rsidRPr="006C5FF5" w:rsidP="006C5FF5" w14:paraId="6B77022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214,101</w:t>
            </w:r>
          </w:p>
        </w:tc>
        <w:tc>
          <w:tcPr>
            <w:tcW w:w="0" w:type="auto"/>
          </w:tcPr>
          <w:p w:rsidR="006C5FF5" w:rsidRPr="006C5FF5" w:rsidP="006C5FF5" w14:paraId="4F9A66E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716AE34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0.962</w:t>
            </w:r>
          </w:p>
        </w:tc>
        <w:tc>
          <w:tcPr>
            <w:tcW w:w="0" w:type="auto"/>
          </w:tcPr>
          <w:p w:rsidR="006C5FF5" w:rsidRPr="006C5FF5" w:rsidP="006C5FF5" w14:paraId="2C9D93C0"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20.3</w:t>
            </w:r>
          </w:p>
        </w:tc>
      </w:tr>
      <w:tr w14:paraId="5C605794" w14:textId="77777777" w:rsidTr="00DB1BDD">
        <w:tblPrEx>
          <w:tblW w:w="8222" w:type="dxa"/>
          <w:jc w:val="center"/>
          <w:tblLook w:val="04A0"/>
        </w:tblPrEx>
        <w:trPr>
          <w:jc w:val="center"/>
        </w:trPr>
        <w:tc>
          <w:tcPr>
            <w:tcW w:w="0" w:type="auto"/>
          </w:tcPr>
          <w:p w:rsidR="006C5FF5" w:rsidRPr="006C5FF5" w:rsidP="006C5FF5" w14:paraId="30B4252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פתח תקווה</w:t>
            </w:r>
          </w:p>
        </w:tc>
        <w:tc>
          <w:tcPr>
            <w:tcW w:w="0" w:type="auto"/>
          </w:tcPr>
          <w:p w:rsidR="006C5FF5" w:rsidRPr="006C5FF5" w:rsidP="006C5FF5" w14:paraId="0A03505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240,357</w:t>
            </w:r>
          </w:p>
        </w:tc>
        <w:tc>
          <w:tcPr>
            <w:tcW w:w="0" w:type="auto"/>
          </w:tcPr>
          <w:p w:rsidR="006C5FF5" w:rsidRPr="006C5FF5" w:rsidP="006C5FF5" w14:paraId="3C2F0D4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Pr>
          <w:p w:rsidR="006C5FF5" w:rsidRPr="006C5FF5" w:rsidP="006C5FF5" w14:paraId="741C27B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0.948</w:t>
            </w:r>
          </w:p>
        </w:tc>
        <w:tc>
          <w:tcPr>
            <w:tcW w:w="0" w:type="auto"/>
          </w:tcPr>
          <w:p w:rsidR="006C5FF5" w:rsidRPr="006C5FF5" w:rsidP="006C5FF5" w14:paraId="772B8A2A"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20.0</w:t>
            </w:r>
          </w:p>
        </w:tc>
      </w:tr>
      <w:tr w14:paraId="5BCF4EFA" w14:textId="77777777" w:rsidTr="00DB1BDD">
        <w:tblPrEx>
          <w:tblW w:w="8222" w:type="dxa"/>
          <w:jc w:val="center"/>
          <w:tblLook w:val="04A0"/>
        </w:tblPrEx>
        <w:trPr>
          <w:jc w:val="center"/>
        </w:trPr>
        <w:tc>
          <w:tcPr>
            <w:tcW w:w="0" w:type="auto"/>
          </w:tcPr>
          <w:p w:rsidR="006C5FF5" w:rsidRPr="006C5FF5" w:rsidP="006C5FF5" w14:paraId="770CBF6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רחובות</w:t>
            </w:r>
          </w:p>
        </w:tc>
        <w:tc>
          <w:tcPr>
            <w:tcW w:w="0" w:type="auto"/>
          </w:tcPr>
          <w:p w:rsidR="006C5FF5" w:rsidRPr="006C5FF5" w:rsidP="006C5FF5" w14:paraId="3F16B45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138,379</w:t>
            </w:r>
          </w:p>
        </w:tc>
        <w:tc>
          <w:tcPr>
            <w:tcW w:w="0" w:type="auto"/>
          </w:tcPr>
          <w:p w:rsidR="006C5FF5" w:rsidRPr="006C5FF5" w:rsidP="006C5FF5" w14:paraId="65107DB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w:t>
            </w:r>
          </w:p>
        </w:tc>
        <w:tc>
          <w:tcPr>
            <w:tcW w:w="0" w:type="auto"/>
          </w:tcPr>
          <w:p w:rsidR="006C5FF5" w:rsidRPr="006C5FF5" w:rsidP="006C5FF5" w14:paraId="44B48E3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0.894</w:t>
            </w:r>
          </w:p>
        </w:tc>
        <w:tc>
          <w:tcPr>
            <w:tcW w:w="0" w:type="auto"/>
          </w:tcPr>
          <w:p w:rsidR="006C5FF5" w:rsidRPr="006C5FF5" w:rsidP="006C5FF5" w14:paraId="5DC14DB7"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18.8</w:t>
            </w:r>
          </w:p>
        </w:tc>
      </w:tr>
      <w:tr w14:paraId="400DB789" w14:textId="77777777" w:rsidTr="00DB1BDD">
        <w:tblPrEx>
          <w:tblW w:w="8222" w:type="dxa"/>
          <w:jc w:val="center"/>
          <w:tblLook w:val="04A0"/>
        </w:tblPrEx>
        <w:trPr>
          <w:jc w:val="center"/>
        </w:trPr>
        <w:tc>
          <w:tcPr>
            <w:tcW w:w="0" w:type="auto"/>
          </w:tcPr>
          <w:p w:rsidR="006C5FF5" w:rsidRPr="006C5FF5" w:rsidP="006C5FF5" w14:paraId="3B15C36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ירושלים</w:t>
            </w:r>
          </w:p>
        </w:tc>
        <w:tc>
          <w:tcPr>
            <w:tcW w:w="0" w:type="auto"/>
          </w:tcPr>
          <w:p w:rsidR="006C5FF5" w:rsidRPr="006C5FF5" w:rsidP="006C5FF5" w14:paraId="4CF7416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901,302</w:t>
            </w:r>
          </w:p>
        </w:tc>
        <w:tc>
          <w:tcPr>
            <w:tcW w:w="0" w:type="auto"/>
          </w:tcPr>
          <w:p w:rsidR="006C5FF5" w:rsidRPr="006C5FF5" w:rsidP="006C5FF5" w14:paraId="4495029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w:t>
            </w:r>
          </w:p>
        </w:tc>
        <w:tc>
          <w:tcPr>
            <w:tcW w:w="0" w:type="auto"/>
          </w:tcPr>
          <w:p w:rsidR="006C5FF5" w:rsidRPr="006C5FF5" w:rsidP="006C5FF5" w14:paraId="2390D2C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0.799</w:t>
            </w:r>
          </w:p>
        </w:tc>
        <w:tc>
          <w:tcPr>
            <w:tcW w:w="0" w:type="auto"/>
          </w:tcPr>
          <w:p w:rsidR="006C5FF5" w:rsidRPr="006C5FF5" w:rsidP="006C5FF5" w14:paraId="05F26B5E"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16.8</w:t>
            </w:r>
          </w:p>
        </w:tc>
      </w:tr>
      <w:tr w14:paraId="4E6BDEAF" w14:textId="77777777" w:rsidTr="00DB1BDD">
        <w:tblPrEx>
          <w:tblW w:w="8222" w:type="dxa"/>
          <w:jc w:val="center"/>
          <w:tblLook w:val="04A0"/>
        </w:tblPrEx>
        <w:trPr>
          <w:jc w:val="center"/>
        </w:trPr>
        <w:tc>
          <w:tcPr>
            <w:tcW w:w="0" w:type="auto"/>
          </w:tcPr>
          <w:p w:rsidR="006C5FF5" w:rsidRPr="006C5FF5" w:rsidP="006C5FF5" w14:paraId="6946DA0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אילת</w:t>
            </w:r>
          </w:p>
        </w:tc>
        <w:tc>
          <w:tcPr>
            <w:tcW w:w="0" w:type="auto"/>
          </w:tcPr>
          <w:p w:rsidR="006C5FF5" w:rsidRPr="006C5FF5" w:rsidP="006C5FF5" w14:paraId="5E2862BD"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50,724</w:t>
            </w:r>
          </w:p>
        </w:tc>
        <w:tc>
          <w:tcPr>
            <w:tcW w:w="0" w:type="auto"/>
          </w:tcPr>
          <w:p w:rsidR="006C5FF5" w:rsidRPr="006C5FF5" w:rsidP="006C5FF5" w14:paraId="4E60DF1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755AC3C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0.697</w:t>
            </w:r>
          </w:p>
        </w:tc>
        <w:tc>
          <w:tcPr>
            <w:tcW w:w="0" w:type="auto"/>
          </w:tcPr>
          <w:p w:rsidR="006C5FF5" w:rsidRPr="006C5FF5" w:rsidP="006C5FF5" w14:paraId="36149383"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14.7</w:t>
            </w:r>
          </w:p>
        </w:tc>
      </w:tr>
      <w:tr w14:paraId="3D6DFD44" w14:textId="77777777" w:rsidTr="00DB1BDD">
        <w:tblPrEx>
          <w:tblW w:w="8222" w:type="dxa"/>
          <w:jc w:val="center"/>
          <w:tblLook w:val="04A0"/>
        </w:tblPrEx>
        <w:trPr>
          <w:jc w:val="center"/>
        </w:trPr>
        <w:tc>
          <w:tcPr>
            <w:tcW w:w="0" w:type="auto"/>
          </w:tcPr>
          <w:p w:rsidR="006C5FF5" w:rsidRPr="006C5FF5" w:rsidP="006C5FF5" w14:paraId="1B4AAE1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חולון</w:t>
            </w:r>
          </w:p>
        </w:tc>
        <w:tc>
          <w:tcPr>
            <w:tcW w:w="0" w:type="auto"/>
          </w:tcPr>
          <w:p w:rsidR="006C5FF5" w:rsidRPr="006C5FF5" w:rsidP="006C5FF5" w14:paraId="1B05DCB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192,624</w:t>
            </w:r>
          </w:p>
        </w:tc>
        <w:tc>
          <w:tcPr>
            <w:tcW w:w="0" w:type="auto"/>
          </w:tcPr>
          <w:p w:rsidR="006C5FF5" w:rsidRPr="006C5FF5" w:rsidP="006C5FF5" w14:paraId="4AF0ED9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17D85C0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0.660</w:t>
            </w:r>
          </w:p>
        </w:tc>
        <w:tc>
          <w:tcPr>
            <w:tcW w:w="0" w:type="auto"/>
          </w:tcPr>
          <w:p w:rsidR="006C5FF5" w:rsidRPr="006C5FF5" w:rsidP="006C5FF5" w14:paraId="62504B84"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13.9</w:t>
            </w:r>
          </w:p>
        </w:tc>
      </w:tr>
      <w:tr w14:paraId="327726C4" w14:textId="77777777" w:rsidTr="00DB1BDD">
        <w:tblPrEx>
          <w:tblW w:w="8222" w:type="dxa"/>
          <w:jc w:val="center"/>
          <w:tblLook w:val="04A0"/>
        </w:tblPrEx>
        <w:trPr>
          <w:jc w:val="center"/>
        </w:trPr>
        <w:tc>
          <w:tcPr>
            <w:tcW w:w="0" w:type="auto"/>
          </w:tcPr>
          <w:p w:rsidR="006C5FF5" w:rsidRPr="006C5FF5" w:rsidP="006C5FF5" w14:paraId="3F99EC4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לוד</w:t>
            </w:r>
          </w:p>
        </w:tc>
        <w:tc>
          <w:tcPr>
            <w:tcW w:w="0" w:type="auto"/>
          </w:tcPr>
          <w:p w:rsidR="006C5FF5" w:rsidRPr="006C5FF5" w:rsidP="006C5FF5" w14:paraId="0F0A19B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74,604</w:t>
            </w:r>
          </w:p>
        </w:tc>
        <w:tc>
          <w:tcPr>
            <w:tcW w:w="0" w:type="auto"/>
          </w:tcPr>
          <w:p w:rsidR="006C5FF5" w:rsidRPr="006C5FF5" w:rsidP="006C5FF5" w14:paraId="1189449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w:t>
            </w:r>
          </w:p>
        </w:tc>
        <w:tc>
          <w:tcPr>
            <w:tcW w:w="0" w:type="auto"/>
          </w:tcPr>
          <w:p w:rsidR="006C5FF5" w:rsidRPr="006C5FF5" w:rsidP="006C5FF5" w14:paraId="5A1A31A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0.633</w:t>
            </w:r>
          </w:p>
        </w:tc>
        <w:tc>
          <w:tcPr>
            <w:tcW w:w="0" w:type="auto"/>
          </w:tcPr>
          <w:p w:rsidR="006C5FF5" w:rsidRPr="006C5FF5" w:rsidP="006C5FF5" w14:paraId="39EF7563"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13.3</w:t>
            </w:r>
          </w:p>
        </w:tc>
      </w:tr>
      <w:tr w14:paraId="074797AB" w14:textId="77777777" w:rsidTr="00DB1BDD">
        <w:tblPrEx>
          <w:tblW w:w="8222" w:type="dxa"/>
          <w:jc w:val="center"/>
          <w:tblLook w:val="04A0"/>
        </w:tblPrEx>
        <w:trPr>
          <w:jc w:val="center"/>
        </w:trPr>
        <w:tc>
          <w:tcPr>
            <w:tcW w:w="0" w:type="auto"/>
          </w:tcPr>
          <w:p w:rsidR="006C5FF5" w:rsidRPr="006C5FF5" w:rsidP="006C5FF5" w14:paraId="2016F1D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מודיעין עילית</w:t>
            </w:r>
          </w:p>
        </w:tc>
        <w:tc>
          <w:tcPr>
            <w:tcW w:w="0" w:type="auto"/>
          </w:tcPr>
          <w:p w:rsidR="006C5FF5" w:rsidRPr="006C5FF5" w:rsidP="006C5FF5" w14:paraId="2B48874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70,081</w:t>
            </w:r>
          </w:p>
        </w:tc>
        <w:tc>
          <w:tcPr>
            <w:tcW w:w="0" w:type="auto"/>
          </w:tcPr>
          <w:p w:rsidR="006C5FF5" w:rsidRPr="006C5FF5" w:rsidP="006C5FF5" w14:paraId="187A247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w:t>
            </w:r>
          </w:p>
        </w:tc>
        <w:tc>
          <w:tcPr>
            <w:tcW w:w="0" w:type="auto"/>
          </w:tcPr>
          <w:p w:rsidR="006C5FF5" w:rsidRPr="006C5FF5" w:rsidP="006C5FF5" w14:paraId="20D54D6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0.330</w:t>
            </w:r>
          </w:p>
        </w:tc>
        <w:tc>
          <w:tcPr>
            <w:tcW w:w="0" w:type="auto"/>
          </w:tcPr>
          <w:p w:rsidR="006C5FF5" w:rsidRPr="006C5FF5" w:rsidP="006C5FF5" w14:paraId="3208664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6.9</w:t>
            </w:r>
          </w:p>
        </w:tc>
      </w:tr>
      <w:tr w14:paraId="069A5428" w14:textId="77777777" w:rsidTr="00DB1BDD">
        <w:tblPrEx>
          <w:tblW w:w="8222" w:type="dxa"/>
          <w:jc w:val="center"/>
          <w:tblLook w:val="04A0"/>
        </w:tblPrEx>
        <w:trPr>
          <w:jc w:val="center"/>
        </w:trPr>
        <w:tc>
          <w:tcPr>
            <w:tcW w:w="0" w:type="auto"/>
          </w:tcPr>
          <w:p w:rsidR="006C5FF5" w:rsidRPr="006C5FF5" w:rsidP="006C5FF5" w14:paraId="60923C9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בית שמש</w:t>
            </w:r>
          </w:p>
        </w:tc>
        <w:tc>
          <w:tcPr>
            <w:tcW w:w="0" w:type="auto"/>
          </w:tcPr>
          <w:p w:rsidR="006C5FF5" w:rsidRPr="006C5FF5" w:rsidP="006C5FF5" w14:paraId="652BFD1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114,371</w:t>
            </w:r>
          </w:p>
        </w:tc>
        <w:tc>
          <w:tcPr>
            <w:tcW w:w="0" w:type="auto"/>
          </w:tcPr>
          <w:p w:rsidR="006C5FF5" w:rsidRPr="006C5FF5" w:rsidP="006C5FF5" w14:paraId="6398718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w:t>
            </w:r>
          </w:p>
        </w:tc>
        <w:tc>
          <w:tcPr>
            <w:tcW w:w="0" w:type="auto"/>
          </w:tcPr>
          <w:p w:rsidR="006C5FF5" w:rsidRPr="006C5FF5" w:rsidP="006C5FF5" w14:paraId="6A49428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0.325</w:t>
            </w:r>
          </w:p>
        </w:tc>
        <w:tc>
          <w:tcPr>
            <w:tcW w:w="0" w:type="auto"/>
          </w:tcPr>
          <w:p w:rsidR="006C5FF5" w:rsidRPr="006C5FF5" w:rsidP="006C5FF5" w14:paraId="17893A9D"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6.8</w:t>
            </w:r>
          </w:p>
        </w:tc>
      </w:tr>
      <w:tr w14:paraId="5D6280CB" w14:textId="77777777" w:rsidTr="00DB1BDD">
        <w:tblPrEx>
          <w:tblW w:w="8222" w:type="dxa"/>
          <w:jc w:val="center"/>
          <w:tblLook w:val="04A0"/>
        </w:tblPrEx>
        <w:trPr>
          <w:jc w:val="center"/>
        </w:trPr>
        <w:tc>
          <w:tcPr>
            <w:tcW w:w="0" w:type="auto"/>
          </w:tcPr>
          <w:p w:rsidR="006C5FF5" w:rsidRPr="006C5FF5" w:rsidP="006C5FF5" w14:paraId="699B421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רמלה</w:t>
            </w:r>
          </w:p>
        </w:tc>
        <w:tc>
          <w:tcPr>
            <w:tcW w:w="0" w:type="auto"/>
          </w:tcPr>
          <w:p w:rsidR="006C5FF5" w:rsidRPr="006C5FF5" w:rsidP="006C5FF5" w14:paraId="0442879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75,668</w:t>
            </w:r>
          </w:p>
        </w:tc>
        <w:tc>
          <w:tcPr>
            <w:tcW w:w="0" w:type="auto"/>
          </w:tcPr>
          <w:p w:rsidR="006C5FF5" w:rsidRPr="006C5FF5" w:rsidP="006C5FF5" w14:paraId="075806D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w:t>
            </w:r>
          </w:p>
        </w:tc>
        <w:tc>
          <w:tcPr>
            <w:tcW w:w="0" w:type="auto"/>
          </w:tcPr>
          <w:p w:rsidR="006C5FF5" w:rsidRPr="006C5FF5" w:rsidP="006C5FF5" w14:paraId="570B4A4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0.156</w:t>
            </w:r>
          </w:p>
        </w:tc>
        <w:tc>
          <w:tcPr>
            <w:tcW w:w="0" w:type="auto"/>
          </w:tcPr>
          <w:p w:rsidR="006C5FF5" w:rsidRPr="006C5FF5" w:rsidP="006C5FF5" w14:paraId="672DA6BD"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3.3</w:t>
            </w:r>
          </w:p>
        </w:tc>
      </w:tr>
      <w:tr w14:paraId="55480BB8" w14:textId="77777777" w:rsidTr="00DB1BDD">
        <w:tblPrEx>
          <w:tblW w:w="8222" w:type="dxa"/>
          <w:jc w:val="center"/>
          <w:tblLook w:val="04A0"/>
        </w:tblPrEx>
        <w:trPr>
          <w:jc w:val="center"/>
        </w:trPr>
        <w:tc>
          <w:tcPr>
            <w:tcW w:w="0" w:type="auto"/>
          </w:tcPr>
          <w:p w:rsidR="006C5FF5" w:rsidRPr="006C5FF5" w:rsidP="006C5FF5" w14:paraId="26F3C74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נצרת</w:t>
            </w:r>
          </w:p>
        </w:tc>
        <w:tc>
          <w:tcPr>
            <w:tcW w:w="0" w:type="auto"/>
          </w:tcPr>
          <w:p w:rsidR="006C5FF5" w:rsidRPr="006C5FF5" w:rsidP="006C5FF5" w14:paraId="7131FA3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76,551</w:t>
            </w:r>
          </w:p>
        </w:tc>
        <w:tc>
          <w:tcPr>
            <w:tcW w:w="0" w:type="auto"/>
          </w:tcPr>
          <w:p w:rsidR="006C5FF5" w:rsidRPr="006C5FF5" w:rsidP="006C5FF5" w14:paraId="2557F12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3</w:t>
            </w:r>
          </w:p>
        </w:tc>
        <w:tc>
          <w:tcPr>
            <w:tcW w:w="0" w:type="auto"/>
          </w:tcPr>
          <w:p w:rsidR="006C5FF5" w:rsidRPr="006C5FF5" w:rsidP="006C5FF5" w14:paraId="39CA7C3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0.107</w:t>
            </w:r>
          </w:p>
        </w:tc>
        <w:tc>
          <w:tcPr>
            <w:tcW w:w="0" w:type="auto"/>
          </w:tcPr>
          <w:p w:rsidR="006C5FF5" w:rsidRPr="006C5FF5" w:rsidP="006C5FF5" w14:paraId="280B51A6"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2.3</w:t>
            </w:r>
          </w:p>
        </w:tc>
      </w:tr>
      <w:tr w14:paraId="7A3B3253" w14:textId="77777777" w:rsidTr="00DB1BDD">
        <w:tblPrEx>
          <w:tblW w:w="8222" w:type="dxa"/>
          <w:jc w:val="center"/>
          <w:tblLook w:val="04A0"/>
        </w:tblPrEx>
        <w:trPr>
          <w:jc w:val="center"/>
        </w:trPr>
        <w:tc>
          <w:tcPr>
            <w:tcW w:w="0" w:type="auto"/>
          </w:tcPr>
          <w:p w:rsidR="006C5FF5" w:rsidRPr="006C5FF5" w:rsidP="006C5FF5" w14:paraId="47F6777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בני ברק</w:t>
            </w:r>
          </w:p>
        </w:tc>
        <w:tc>
          <w:tcPr>
            <w:tcW w:w="0" w:type="auto"/>
          </w:tcPr>
          <w:p w:rsidR="006C5FF5" w:rsidRPr="006C5FF5" w:rsidP="006C5FF5" w14:paraId="555135F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193,774</w:t>
            </w:r>
          </w:p>
        </w:tc>
        <w:tc>
          <w:tcPr>
            <w:tcW w:w="0" w:type="auto"/>
          </w:tcPr>
          <w:p w:rsidR="006C5FF5" w:rsidRPr="006C5FF5" w:rsidP="006C5FF5" w14:paraId="278F3D1D"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w:t>
            </w:r>
          </w:p>
        </w:tc>
        <w:tc>
          <w:tcPr>
            <w:tcW w:w="0" w:type="auto"/>
          </w:tcPr>
          <w:p w:rsidR="006C5FF5" w:rsidRPr="006C5FF5" w:rsidP="006C5FF5" w14:paraId="3D283DD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0.000</w:t>
            </w:r>
          </w:p>
        </w:tc>
        <w:tc>
          <w:tcPr>
            <w:tcW w:w="0" w:type="auto"/>
          </w:tcPr>
          <w:p w:rsidR="006C5FF5" w:rsidRPr="006C5FF5" w:rsidP="006C5FF5" w14:paraId="4BD9B680"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0.0</w:t>
            </w:r>
          </w:p>
        </w:tc>
      </w:tr>
      <w:tr w14:paraId="642D3E31" w14:textId="77777777" w:rsidTr="00DB1BDD">
        <w:tblPrEx>
          <w:tblW w:w="8222" w:type="dxa"/>
          <w:jc w:val="center"/>
          <w:tblLook w:val="04A0"/>
        </w:tblPrEx>
        <w:trPr>
          <w:jc w:val="center"/>
        </w:trPr>
        <w:tc>
          <w:tcPr>
            <w:tcW w:w="0" w:type="auto"/>
          </w:tcPr>
          <w:p w:rsidR="006C5FF5" w:rsidRPr="006C5FF5" w:rsidP="006C5FF5" w14:paraId="4C069496"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רהט</w:t>
            </w:r>
          </w:p>
        </w:tc>
        <w:tc>
          <w:tcPr>
            <w:tcW w:w="0" w:type="auto"/>
          </w:tcPr>
          <w:p w:rsidR="006C5FF5" w:rsidRPr="006C5FF5" w:rsidP="006C5FF5" w14:paraId="337F10D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66,791</w:t>
            </w:r>
          </w:p>
        </w:tc>
        <w:tc>
          <w:tcPr>
            <w:tcW w:w="0" w:type="auto"/>
          </w:tcPr>
          <w:p w:rsidR="006C5FF5" w:rsidRPr="006C5FF5" w:rsidP="006C5FF5" w14:paraId="2CB5D37C"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w:t>
            </w:r>
          </w:p>
        </w:tc>
        <w:tc>
          <w:tcPr>
            <w:tcW w:w="0" w:type="auto"/>
          </w:tcPr>
          <w:p w:rsidR="006C5FF5" w:rsidRPr="006C5FF5" w:rsidP="006C5FF5" w14:paraId="567F0B8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0.000</w:t>
            </w:r>
          </w:p>
        </w:tc>
        <w:tc>
          <w:tcPr>
            <w:tcW w:w="0" w:type="auto"/>
          </w:tcPr>
          <w:p w:rsidR="006C5FF5" w:rsidRPr="006C5FF5" w:rsidP="006C5FF5" w14:paraId="62EAC8F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0.0</w:t>
            </w:r>
          </w:p>
        </w:tc>
      </w:tr>
      <w:tr w14:paraId="05463017" w14:textId="77777777" w:rsidTr="00DB1BDD">
        <w:tblPrEx>
          <w:tblW w:w="8222" w:type="dxa"/>
          <w:jc w:val="center"/>
          <w:tblLook w:val="04A0"/>
        </w:tblPrEx>
        <w:trPr>
          <w:jc w:val="center"/>
        </w:trPr>
        <w:tc>
          <w:tcPr>
            <w:tcW w:w="0" w:type="auto"/>
          </w:tcPr>
          <w:p w:rsidR="006C5FF5" w:rsidRPr="006C5FF5" w:rsidP="006C5FF5" w14:paraId="36B7C50E"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נהרייה</w:t>
            </w:r>
          </w:p>
        </w:tc>
        <w:tc>
          <w:tcPr>
            <w:tcW w:w="0" w:type="auto"/>
          </w:tcPr>
          <w:p w:rsidR="006C5FF5" w:rsidRPr="006C5FF5" w:rsidP="006C5FF5" w14:paraId="430F691A"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56,071</w:t>
            </w:r>
          </w:p>
        </w:tc>
        <w:tc>
          <w:tcPr>
            <w:tcW w:w="0" w:type="auto"/>
          </w:tcPr>
          <w:p w:rsidR="006C5FF5" w:rsidRPr="006C5FF5" w:rsidP="006C5FF5" w14:paraId="413FDB12"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6</w:t>
            </w:r>
          </w:p>
        </w:tc>
        <w:tc>
          <w:tcPr>
            <w:tcW w:w="0" w:type="auto"/>
          </w:tcPr>
          <w:p w:rsidR="006C5FF5" w:rsidRPr="006C5FF5" w:rsidP="006C5FF5" w14:paraId="49C40619"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0.000</w:t>
            </w:r>
          </w:p>
        </w:tc>
        <w:tc>
          <w:tcPr>
            <w:tcW w:w="0" w:type="auto"/>
          </w:tcPr>
          <w:p w:rsidR="006C5FF5" w:rsidRPr="006C5FF5" w:rsidP="006C5FF5" w14:paraId="002ACEA5"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0.0</w:t>
            </w:r>
          </w:p>
        </w:tc>
      </w:tr>
      <w:tr w14:paraId="46F8A766" w14:textId="77777777" w:rsidTr="00DB1BDD">
        <w:tblPrEx>
          <w:tblW w:w="8222" w:type="dxa"/>
          <w:jc w:val="center"/>
          <w:tblLook w:val="04A0"/>
        </w:tblPrEx>
        <w:trPr>
          <w:jc w:val="center"/>
        </w:trPr>
        <w:tc>
          <w:tcPr>
            <w:tcW w:w="0" w:type="auto"/>
          </w:tcPr>
          <w:p w:rsidR="006C5FF5" w:rsidRPr="006C5FF5" w:rsidP="006C5FF5" w14:paraId="70AF92E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ביתר עילית</w:t>
            </w:r>
          </w:p>
        </w:tc>
        <w:tc>
          <w:tcPr>
            <w:tcW w:w="0" w:type="auto"/>
          </w:tcPr>
          <w:p w:rsidR="006C5FF5" w:rsidRPr="006C5FF5" w:rsidP="006C5FF5" w14:paraId="1AA3D17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54,557</w:t>
            </w:r>
          </w:p>
        </w:tc>
        <w:tc>
          <w:tcPr>
            <w:tcW w:w="0" w:type="auto"/>
          </w:tcPr>
          <w:p w:rsidR="006C5FF5" w:rsidRPr="006C5FF5" w:rsidP="006C5FF5" w14:paraId="19A7AD9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w:t>
            </w:r>
          </w:p>
        </w:tc>
        <w:tc>
          <w:tcPr>
            <w:tcW w:w="0" w:type="auto"/>
          </w:tcPr>
          <w:p w:rsidR="006C5FF5" w:rsidRPr="006C5FF5" w:rsidP="006C5FF5" w14:paraId="50BBD1F3"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0.000</w:t>
            </w:r>
          </w:p>
        </w:tc>
        <w:tc>
          <w:tcPr>
            <w:tcW w:w="0" w:type="auto"/>
          </w:tcPr>
          <w:p w:rsidR="006C5FF5" w:rsidRPr="006C5FF5" w:rsidP="006C5FF5" w14:paraId="50722B6C"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0.0</w:t>
            </w:r>
          </w:p>
        </w:tc>
      </w:tr>
      <w:tr w14:paraId="44CF20B6" w14:textId="77777777" w:rsidTr="00DB1BDD">
        <w:tblPrEx>
          <w:tblW w:w="8222" w:type="dxa"/>
          <w:jc w:val="center"/>
          <w:tblLook w:val="04A0"/>
        </w:tblPrEx>
        <w:trPr>
          <w:jc w:val="center"/>
        </w:trPr>
        <w:tc>
          <w:tcPr>
            <w:tcW w:w="0" w:type="auto"/>
          </w:tcPr>
          <w:p w:rsidR="006C5FF5" w:rsidRPr="006C5FF5" w:rsidP="006C5FF5" w14:paraId="4C3AD3BD"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אום אל-פחם</w:t>
            </w:r>
          </w:p>
        </w:tc>
        <w:tc>
          <w:tcPr>
            <w:tcW w:w="0" w:type="auto"/>
          </w:tcPr>
          <w:p w:rsidR="006C5FF5" w:rsidRPr="006C5FF5" w:rsidP="006C5FF5" w14:paraId="07D9D1C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54,240</w:t>
            </w:r>
          </w:p>
        </w:tc>
        <w:tc>
          <w:tcPr>
            <w:tcW w:w="0" w:type="auto"/>
          </w:tcPr>
          <w:p w:rsidR="006C5FF5" w:rsidRPr="006C5FF5" w:rsidP="006C5FF5" w14:paraId="4A518A25"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w:t>
            </w:r>
          </w:p>
        </w:tc>
        <w:tc>
          <w:tcPr>
            <w:tcW w:w="0" w:type="auto"/>
          </w:tcPr>
          <w:p w:rsidR="006C5FF5" w:rsidRPr="006C5FF5" w:rsidP="006C5FF5" w14:paraId="352D98E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0.000</w:t>
            </w:r>
          </w:p>
        </w:tc>
        <w:tc>
          <w:tcPr>
            <w:tcW w:w="0" w:type="auto"/>
          </w:tcPr>
          <w:p w:rsidR="006C5FF5" w:rsidRPr="006C5FF5" w:rsidP="006C5FF5" w14:paraId="314F2870"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0.0</w:t>
            </w:r>
          </w:p>
        </w:tc>
      </w:tr>
    </w:tbl>
    <w:p w:rsidR="000930B3" w:rsidRPr="00DA075D" w:rsidP="006C5FF5" w14:paraId="5A436656" w14:textId="77777777">
      <w:pPr>
        <w:pStyle w:val="text-source"/>
        <w:rPr>
          <w:rtl/>
        </w:rPr>
      </w:pPr>
      <w:r w:rsidRPr="00DA075D">
        <w:rPr>
          <w:rtl/>
        </w:rPr>
        <w:t xml:space="preserve">מספרי התושבים והדירוג החברתי-כלכלי על פי נתוני </w:t>
      </w:r>
      <w:r w:rsidRPr="00DA075D">
        <w:rPr>
          <w:rtl/>
        </w:rPr>
        <w:t>הלמ"ס</w:t>
      </w:r>
      <w:r w:rsidRPr="00DA075D">
        <w:rPr>
          <w:rtl/>
        </w:rPr>
        <w:t xml:space="preserve"> ונתוני איסוף המכלים על פי נתוני המשרד </w:t>
      </w:r>
      <w:r w:rsidRPr="00DA075D">
        <w:rPr>
          <w:rtl/>
        </w:rPr>
        <w:t>להגנ"ס</w:t>
      </w:r>
      <w:r w:rsidRPr="00DA075D">
        <w:rPr>
          <w:rtl/>
        </w:rPr>
        <w:t>, בעיבוד משרד מבקר המדינה.</w:t>
      </w:r>
    </w:p>
    <w:p w:rsidR="000930B3" w:rsidRPr="00DA075D" w:rsidP="008E06C5" w14:paraId="66B9E814" w14:textId="10EFD914">
      <w:pPr>
        <w:pStyle w:val="RESHET"/>
        <w:rPr>
          <w:rtl/>
        </w:rPr>
      </w:pPr>
      <w:r w:rsidRPr="00DA075D">
        <w:rPr>
          <w:rtl/>
        </w:rPr>
        <w:t xml:space="preserve">מהלוח עולה כי בחמש ערים שאוכלוסייתן עלתה בשנת 2017 על 50,000 איש לא היה כלל איסוף מכלים </w:t>
      </w:r>
      <w:r w:rsidRPr="00DA075D">
        <w:rPr>
          <w:rtl/>
        </w:rPr>
        <w:t>מהמיחזוריות</w:t>
      </w:r>
      <w:r w:rsidRPr="00DA075D">
        <w:rPr>
          <w:rtl/>
        </w:rPr>
        <w:t xml:space="preserve">. שתיים מהן מתאפיינות באוכלוסייה ערבית (אום אל-פחם ורהט), ושתיים אחרות מתאפיינות באוכלוסייה חרדית (בני ברק וביתר עילית). ארבע ערים נוספות שבהן היה האיסוף </w:t>
      </w:r>
      <w:r w:rsidRPr="00DA075D">
        <w:rPr>
          <w:rtl/>
        </w:rPr>
        <w:t>מהמיחזוריות</w:t>
      </w:r>
      <w:r w:rsidRPr="00DA075D">
        <w:rPr>
          <w:rtl/>
        </w:rPr>
        <w:t xml:space="preserve"> קטן באופן מובהק לעומת ערים אחרות הן שתי ערים בעלות אוכלוסייה חרדית (מודיעין עילית ובית שמש), עיר עם רוב ערבי (נצרת) וכן עיר עם אוכלוסייה מעורבת (רמלה). כמויות האיסוף בערים אלה נמוכות באופן משמעותי מהממוצע בכל הערים שבהן מתקיים איסוף </w:t>
      </w:r>
      <w:r w:rsidRPr="00DA075D">
        <w:rPr>
          <w:rtl/>
        </w:rPr>
        <w:t>ממיחזוריות</w:t>
      </w:r>
      <w:r w:rsidRPr="00DA075D">
        <w:rPr>
          <w:rtl/>
        </w:rPr>
        <w:t xml:space="preserve">, העומד על </w:t>
      </w:r>
      <w:r w:rsidRPr="001303CB" w:rsidR="00DB1BDD">
        <w:rPr>
          <w:sz w:val="20"/>
        </w:rPr>
        <w:br/>
      </w:r>
      <w:r w:rsidRPr="00DA075D">
        <w:rPr>
          <w:rtl/>
        </w:rPr>
        <w:t xml:space="preserve">כ-22 מכלים לנפש לשנת 2017. </w:t>
      </w:r>
    </w:p>
    <w:p w:rsidR="000930B3" w:rsidRPr="00D22A15" w:rsidP="005C4ABF" w14:paraId="0509244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ניתוח הנתונים מעלה כי קיים מתאם חיובי בין כמויות מכלי המשקה הגדולים שנאספות לבין הדירוג החברתי-כלכלי של הרשות המקומית, כפי שניתן לראות בתרשים להלן.</w:t>
      </w:r>
    </w:p>
    <w:p w:rsidR="000930B3" w:rsidRPr="00DA075D" w:rsidP="00AD02C3" w14:paraId="5922D97B" w14:textId="5C679C0C">
      <w:pPr>
        <w:pStyle w:val="a1"/>
        <w:spacing w:line="320" w:lineRule="atLeast"/>
        <w:rPr>
          <w:rtl/>
        </w:rPr>
      </w:pPr>
      <w:r w:rsidRPr="00DB1BDD">
        <w:rPr>
          <w:b w:val="0"/>
          <w:bCs w:val="0"/>
          <w:rtl/>
        </w:rPr>
        <w:t>תרשים 12:</w:t>
      </w:r>
      <w:r w:rsidRPr="00DA075D">
        <w:rPr>
          <w:rtl/>
        </w:rPr>
        <w:t xml:space="preserve"> מספר המכלים שנאספו </w:t>
      </w:r>
      <w:r w:rsidRPr="00DA075D">
        <w:rPr>
          <w:rtl/>
        </w:rPr>
        <w:t>ממיחזוריות</w:t>
      </w:r>
      <w:r w:rsidRPr="00DA075D">
        <w:rPr>
          <w:rtl/>
        </w:rPr>
        <w:t xml:space="preserve"> ואשכול הדירוג החברתי-כלכלי, </w:t>
      </w:r>
      <w:r w:rsidR="00DB1BDD">
        <w:br/>
      </w:r>
      <w:r w:rsidRPr="00DA075D">
        <w:rPr>
          <w:rtl/>
        </w:rPr>
        <w:t>לפי רשויות מקומיות, 2017</w:t>
      </w:r>
    </w:p>
    <w:p w:rsidR="000930B3" w:rsidRPr="00DB1BDD" w:rsidP="00DB1BDD" w14:paraId="28FE21A5" w14:textId="69969925">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743206"/>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86301" name="Picture 293"/>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43206"/>
                    </a:xfrm>
                    <a:prstGeom prst="rect">
                      <a:avLst/>
                    </a:prstGeom>
                  </pic:spPr>
                </pic:pic>
              </a:graphicData>
            </a:graphic>
          </wp:inline>
        </w:drawing>
      </w:r>
    </w:p>
    <w:p w:rsidR="000930B3" w:rsidRPr="00DA075D" w:rsidP="006C5FF5" w14:paraId="385D883D" w14:textId="77777777">
      <w:pPr>
        <w:pStyle w:val="text-source"/>
        <w:rPr>
          <w:rtl/>
        </w:rPr>
      </w:pPr>
      <w:r w:rsidRPr="00DA075D">
        <w:rPr>
          <w:rtl/>
        </w:rPr>
        <w:t xml:space="preserve">על פי נתוני </w:t>
      </w:r>
      <w:r w:rsidRPr="00DA075D">
        <w:rPr>
          <w:rtl/>
        </w:rPr>
        <w:t>הלמ"ס</w:t>
      </w:r>
      <w:r w:rsidRPr="00DA075D">
        <w:rPr>
          <w:rtl/>
        </w:rPr>
        <w:t xml:space="preserve"> והמשרד </w:t>
      </w:r>
      <w:r w:rsidRPr="00DA075D">
        <w:rPr>
          <w:rtl/>
        </w:rPr>
        <w:t>להגנ"ס</w:t>
      </w:r>
      <w:r w:rsidRPr="00DA075D">
        <w:rPr>
          <w:rtl/>
        </w:rPr>
        <w:t>, בעיבוד משרד מבקר המדינה.</w:t>
      </w:r>
    </w:p>
    <w:p w:rsidR="000930B3" w:rsidRPr="00DA075D" w:rsidP="008E06C5" w14:paraId="77406911" w14:textId="77777777">
      <w:pPr>
        <w:pStyle w:val="RESHET"/>
        <w:rPr>
          <w:rtl/>
        </w:rPr>
      </w:pPr>
      <w:r w:rsidRPr="00DA075D">
        <w:rPr>
          <w:rtl/>
        </w:rPr>
        <w:t xml:space="preserve">מהתרשים עולה כי בערים שבהן 50,000 תושבים ומעלה נאספו בשנת 2017 </w:t>
      </w:r>
      <w:r w:rsidRPr="00DA075D">
        <w:rPr>
          <w:rtl/>
        </w:rPr>
        <w:t>מהמיחזוריות</w:t>
      </w:r>
      <w:r w:rsidRPr="00DA075D">
        <w:rPr>
          <w:rtl/>
        </w:rPr>
        <w:t xml:space="preserve"> כ-22 מכלים לנפש בממוצע. ברשויות מקומיות בעלות דירוג חברתי-כלכלי גבוה של 8 ומעלה נאספו בשנת 2017 </w:t>
      </w:r>
      <w:r w:rsidRPr="00DA075D">
        <w:rPr>
          <w:rtl/>
        </w:rPr>
        <w:t>מהמיחזוריות</w:t>
      </w:r>
      <w:r w:rsidRPr="00DA075D">
        <w:rPr>
          <w:rtl/>
        </w:rPr>
        <w:t xml:space="preserve"> כ-31 מכלי משקה לנפש (141% מהממוצע), ואילו ברשויות מקומיות בדירוג חברתי-כלכלי 3 ומטה נאספו כשמונה מכלים לנפש (36% מהממוצע). </w:t>
      </w:r>
    </w:p>
    <w:p w:rsidR="000930B3" w:rsidRPr="00DA075D" w:rsidP="008E06C5" w14:paraId="7D0BBA5E" w14:textId="77777777">
      <w:pPr>
        <w:pStyle w:val="RESHET"/>
        <w:rPr>
          <w:rtl/>
        </w:rPr>
      </w:pPr>
      <w:r w:rsidRPr="00DA075D">
        <w:rPr>
          <w:rtl/>
        </w:rPr>
        <w:t xml:space="preserve">משרד מבקר המדינה ממליץ למשרד </w:t>
      </w:r>
      <w:r w:rsidRPr="00DA075D">
        <w:rPr>
          <w:rtl/>
        </w:rPr>
        <w:t>להגנ"ס</w:t>
      </w:r>
      <w:r w:rsidRPr="00DA075D">
        <w:rPr>
          <w:rtl/>
        </w:rPr>
        <w:t xml:space="preserve"> לפעול בשיתוף עם חברות האיסוף, מרכז השלטון המקומי ומשרד החינוך לשיפור ההסברה ברשויות עם דירוג חברתי-כלכלי נמוך ובמוסדות החינוך, בפרט במגזר הערבי ובמגזר החרדי, בערוצי תקשורת מותאמים. כן מומלץ כי המשרד יפרסם באתרו במרשתת מפה עם נתוני </w:t>
      </w:r>
      <w:r w:rsidRPr="00DA075D">
        <w:rPr>
          <w:rtl/>
        </w:rPr>
        <w:t>המיחזור</w:t>
      </w:r>
      <w:r w:rsidRPr="00DA075D">
        <w:rPr>
          <w:rtl/>
        </w:rPr>
        <w:t xml:space="preserve"> של הרשויות השונות כדי לעודד אותן לפעול לאיסוף מכלים </w:t>
      </w:r>
      <w:r w:rsidRPr="00DA075D">
        <w:rPr>
          <w:rtl/>
        </w:rPr>
        <w:t>למיחזור</w:t>
      </w:r>
      <w:r w:rsidRPr="00DA075D">
        <w:rPr>
          <w:rtl/>
        </w:rPr>
        <w:t xml:space="preserve"> בתחומן, יעקוב אחר השפעת ההסברה ברשויות השונות על בסיס שנתי ובהתאם יגבש תוכנית הסברה מותאמת לעידוד </w:t>
      </w:r>
      <w:r w:rsidRPr="00DA075D">
        <w:rPr>
          <w:rtl/>
        </w:rPr>
        <w:t>המיחזור</w:t>
      </w:r>
      <w:r w:rsidRPr="00DA075D">
        <w:rPr>
          <w:rtl/>
        </w:rPr>
        <w:t xml:space="preserve">. </w:t>
      </w:r>
    </w:p>
    <w:p w:rsidR="000930B3" w:rsidRPr="00D22A15" w:rsidP="005C4ABF" w14:paraId="45F9987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המנגנון החוקי נשען על ה"כדאיות" של ההסברה עבור היצרנים והיבואנים כדי לעמוד ביעדים שנקבעו. כמו כן המשרד פועל לביצוע מסע הסברה בנושא החלת הפיקדון על מכלי משקה גדולים. </w:t>
      </w:r>
    </w:p>
    <w:p w:rsidR="000930B3" w:rsidRPr="00D22A15" w:rsidP="005C4ABF" w14:paraId="135AF1D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כאמור, בשנת 2011 נחקק חוק האריזות, ולפיו נדרש גוף מוכר למחזר 22.5% ממשקל אריזות הפלסטיק שמכר, כולל מכלי משקה גדולים. הגוף המוכר </w:t>
      </w:r>
      <w:r w:rsidRPr="00D22A15">
        <w:rPr>
          <w:rFonts w:ascii="Tahoma" w:hAnsi="Tahoma" w:cs="Tahoma"/>
          <w:sz w:val="20"/>
          <w:szCs w:val="20"/>
          <w:rtl/>
        </w:rPr>
        <w:t>למיחזור</w:t>
      </w:r>
      <w:r w:rsidRPr="00D22A15">
        <w:rPr>
          <w:rFonts w:ascii="Tahoma" w:hAnsi="Tahoma" w:cs="Tahoma"/>
          <w:sz w:val="20"/>
          <w:szCs w:val="20"/>
          <w:rtl/>
        </w:rPr>
        <w:t xml:space="preserve"> האריזות השקיע בשנת 2019 כ-4.5 מיליון ש"ח בהסברה ברשויות המקומיות וכ-7.9 מיליון ש"ח בהסברה ברמה </w:t>
      </w:r>
      <w:r w:rsidRPr="00D22A15">
        <w:rPr>
          <w:rFonts w:ascii="Tahoma" w:hAnsi="Tahoma" w:cs="Tahoma"/>
          <w:sz w:val="20"/>
          <w:szCs w:val="20"/>
          <w:rtl/>
        </w:rPr>
        <w:t xml:space="preserve">הארצית. על פי תוכנית העבודה של הגוף המוכר לשנת 2020, תקציב ההסברה עמד על 12.5 מיליון ש"ח. ההסברה של הגוף המוכר באמצעי התקשורת הדיגיטליים מתמקדת בעידוד השלכת אריזות מסוגים שונים אל "הפח הכתום". </w:t>
      </w:r>
    </w:p>
    <w:p w:rsidR="000930B3" w:rsidRPr="00D22A15" w:rsidP="005C4ABF" w14:paraId="22FD5C97"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כאמור, על פי נתוני מרכז השלטון המקומי, מנובמבר 2019 כ-26% ממכלי המשקה הגדולים ששווקו בישראל בשנת 2016 נאספו באמצעות </w:t>
      </w:r>
      <w:r w:rsidRPr="00D22A15">
        <w:rPr>
          <w:rFonts w:ascii="Tahoma" w:hAnsi="Tahoma" w:cs="Tahoma"/>
          <w:sz w:val="20"/>
          <w:szCs w:val="20"/>
          <w:rtl/>
        </w:rPr>
        <w:t>המיחזוריות</w:t>
      </w:r>
      <w:r w:rsidRPr="00D22A15">
        <w:rPr>
          <w:rFonts w:ascii="Tahoma" w:hAnsi="Tahoma" w:cs="Tahoma"/>
          <w:sz w:val="20"/>
          <w:szCs w:val="20"/>
          <w:rtl/>
        </w:rPr>
        <w:t xml:space="preserve">, 4% הושלכו בשטחים פתוחים והיתר נאספו במתקני האצירה לפסולת ביתית. </w:t>
      </w:r>
    </w:p>
    <w:p w:rsidR="000930B3" w:rsidRPr="00DA075D" w:rsidP="008E06C5" w14:paraId="6CD5D442" w14:textId="77777777">
      <w:pPr>
        <w:pStyle w:val="RESHET"/>
        <w:rPr>
          <w:rtl/>
        </w:rPr>
      </w:pPr>
      <w:r w:rsidRPr="00DA075D">
        <w:rPr>
          <w:rtl/>
        </w:rPr>
        <w:t xml:space="preserve">המשרד </w:t>
      </w:r>
      <w:r w:rsidRPr="00DA075D">
        <w:rPr>
          <w:rtl/>
        </w:rPr>
        <w:t>להגנ"ס</w:t>
      </w:r>
      <w:r w:rsidRPr="00DA075D">
        <w:rPr>
          <w:rtl/>
        </w:rPr>
        <w:t xml:space="preserve"> אינו מקיים בקרה על סימון </w:t>
      </w:r>
      <w:r w:rsidRPr="00DA075D">
        <w:rPr>
          <w:rtl/>
        </w:rPr>
        <w:t>מִיחזוריות</w:t>
      </w:r>
      <w:r w:rsidRPr="00DA075D">
        <w:rPr>
          <w:rtl/>
        </w:rPr>
        <w:t xml:space="preserve"> באופן נאות וברור עבור הציבור. להלן דיווחים של חברת איסוף א' על מספר המכלים הגדולים שנאספו בשנים 2016, 2017 ו-2019</w:t>
      </w:r>
      <w:r w:rsidRPr="00DA075D">
        <w:rPr>
          <w:spacing w:val="-76"/>
          <w:rtl/>
        </w:rPr>
        <w:t xml:space="preserve"> </w:t>
      </w:r>
      <w:r>
        <w:rPr>
          <w:vertAlign w:val="superscript"/>
          <w:rtl/>
        </w:rPr>
        <w:footnoteReference w:id="88"/>
      </w:r>
      <w:r w:rsidRPr="00DA075D">
        <w:rPr>
          <w:rtl/>
        </w:rPr>
        <w:t xml:space="preserve">, בחלוקה לפי האמצעים שבעזרתם נערך האיסוף: </w:t>
      </w:r>
    </w:p>
    <w:p w:rsidR="000930B3" w:rsidRPr="00DA075D" w:rsidP="00AD02C3" w14:paraId="623CEC26" w14:textId="77777777">
      <w:pPr>
        <w:pStyle w:val="a1"/>
        <w:spacing w:line="320" w:lineRule="atLeast"/>
        <w:rPr>
          <w:rtl/>
        </w:rPr>
      </w:pPr>
      <w:r w:rsidRPr="00DB1BDD">
        <w:rPr>
          <w:b w:val="0"/>
          <w:bCs w:val="0"/>
          <w:rtl/>
        </w:rPr>
        <w:t xml:space="preserve">לוח 13: </w:t>
      </w:r>
      <w:r w:rsidRPr="00DA075D">
        <w:rPr>
          <w:rtl/>
        </w:rPr>
        <w:t>איסוף מכלי משקה גדולים, לפי אמצעי איסוף, 2016, 2017 ו-2019 (במיליונים)</w:t>
      </w:r>
    </w:p>
    <w:tbl>
      <w:tblPr>
        <w:tblStyle w:val="TableGrid"/>
        <w:bidiVisual/>
        <w:tblW w:w="5103" w:type="dxa"/>
        <w:jc w:val="center"/>
        <w:tblBorders>
          <w:top w:val="single" w:sz="8" w:space="0" w:color="auto"/>
          <w:left w:val="single" w:sz="8" w:space="0" w:color="auto"/>
          <w:bottom w:val="single" w:sz="8" w:space="0" w:color="auto"/>
          <w:right w:val="single" w:sz="8" w:space="0" w:color="auto"/>
        </w:tblBorders>
        <w:tblLook w:val="04A0"/>
      </w:tblPr>
      <w:tblGrid>
        <w:gridCol w:w="1911"/>
        <w:gridCol w:w="1106"/>
        <w:gridCol w:w="1106"/>
        <w:gridCol w:w="980"/>
      </w:tblGrid>
      <w:tr w14:paraId="03D3CF3C" w14:textId="77777777" w:rsidTr="00DB1BDD">
        <w:tblPrEx>
          <w:tblW w:w="5103"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tcPr>
          <w:p w:rsidR="006C5FF5" w:rsidRPr="006C5FF5" w:rsidP="006C5FF5" w14:paraId="5759BC47" w14:textId="77777777">
            <w:pPr>
              <w:pStyle w:val="a20"/>
              <w:tabs>
                <w:tab w:val="clear" w:pos="340"/>
              </w:tabs>
              <w:spacing w:before="40" w:after="40" w:line="240" w:lineRule="atLeast"/>
              <w:jc w:val="left"/>
              <w:rPr>
                <w:rFonts w:ascii="Tahoma" w:hAnsi="Tahoma" w:eastAsiaTheme="minorHAnsi" w:cs="Tahoma"/>
                <w:color w:val="auto"/>
                <w:sz w:val="24"/>
                <w:szCs w:val="24"/>
              </w:rPr>
            </w:pPr>
          </w:p>
        </w:tc>
        <w:tc>
          <w:tcPr>
            <w:tcW w:w="0" w:type="auto"/>
            <w:tcBorders>
              <w:top w:val="single" w:sz="8" w:space="0" w:color="auto"/>
              <w:bottom w:val="single" w:sz="8" w:space="0" w:color="auto"/>
            </w:tcBorders>
            <w:shd w:val="clear" w:color="auto" w:fill="C6D9F1"/>
          </w:tcPr>
          <w:p w:rsidR="006C5FF5" w:rsidRPr="006C5FF5" w:rsidP="006C5FF5" w14:paraId="2898D0D4"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2016</w:t>
            </w:r>
          </w:p>
        </w:tc>
        <w:tc>
          <w:tcPr>
            <w:tcW w:w="0" w:type="auto"/>
            <w:tcBorders>
              <w:top w:val="single" w:sz="8" w:space="0" w:color="auto"/>
              <w:bottom w:val="single" w:sz="8" w:space="0" w:color="auto"/>
            </w:tcBorders>
            <w:shd w:val="clear" w:color="auto" w:fill="C6D9F1"/>
          </w:tcPr>
          <w:p w:rsidR="006C5FF5" w:rsidRPr="006C5FF5" w:rsidP="006C5FF5" w14:paraId="0990111D" w14:textId="77777777">
            <w:pPr>
              <w:pStyle w:val="a20"/>
              <w:tabs>
                <w:tab w:val="clear" w:pos="340"/>
              </w:tabs>
              <w:spacing w:before="40" w:after="40" w:line="240" w:lineRule="atLeast"/>
              <w:jc w:val="left"/>
              <w:rPr>
                <w:rFonts w:ascii="Tahoma" w:hAnsi="Tahoma" w:cs="Tahoma"/>
                <w:rtl/>
              </w:rPr>
            </w:pPr>
            <w:r w:rsidRPr="006C5FF5">
              <w:rPr>
                <w:rFonts w:ascii="Tahoma" w:hAnsi="Tahoma" w:cs="Tahoma"/>
                <w:b/>
                <w:bCs/>
                <w:sz w:val="18"/>
                <w:szCs w:val="18"/>
                <w:rtl/>
              </w:rPr>
              <w:t>2017</w:t>
            </w:r>
          </w:p>
        </w:tc>
        <w:tc>
          <w:tcPr>
            <w:tcW w:w="0" w:type="auto"/>
            <w:tcBorders>
              <w:top w:val="single" w:sz="8" w:space="0" w:color="auto"/>
              <w:bottom w:val="single" w:sz="8" w:space="0" w:color="auto"/>
            </w:tcBorders>
            <w:shd w:val="clear" w:color="auto" w:fill="C6D9F1"/>
          </w:tcPr>
          <w:p w:rsidR="006C5FF5" w:rsidRPr="006C5FF5" w:rsidP="006C5FF5" w14:paraId="76ED2C92" w14:textId="77777777">
            <w:pPr>
              <w:pStyle w:val="a20"/>
              <w:tabs>
                <w:tab w:val="clear" w:pos="340"/>
              </w:tabs>
              <w:spacing w:before="40" w:after="40" w:line="240" w:lineRule="atLeast"/>
              <w:jc w:val="left"/>
              <w:rPr>
                <w:rFonts w:ascii="Tahoma" w:hAnsi="Tahoma" w:cs="Tahoma"/>
                <w:b/>
                <w:bCs/>
                <w:sz w:val="18"/>
                <w:szCs w:val="18"/>
                <w:rtl/>
              </w:rPr>
            </w:pPr>
            <w:r w:rsidRPr="006C5FF5">
              <w:rPr>
                <w:rFonts w:ascii="Tahoma" w:hAnsi="Tahoma" w:cs="Tahoma"/>
                <w:b/>
                <w:bCs/>
                <w:sz w:val="18"/>
                <w:szCs w:val="18"/>
                <w:rtl/>
              </w:rPr>
              <w:t>2019</w:t>
            </w:r>
          </w:p>
        </w:tc>
      </w:tr>
      <w:tr w14:paraId="16FA238E" w14:textId="77777777" w:rsidTr="00DB1BDD">
        <w:tblPrEx>
          <w:tblW w:w="5103" w:type="dxa"/>
          <w:jc w:val="center"/>
          <w:tblLook w:val="04A0"/>
        </w:tblPrEx>
        <w:trPr>
          <w:jc w:val="center"/>
        </w:trPr>
        <w:tc>
          <w:tcPr>
            <w:tcW w:w="0" w:type="auto"/>
            <w:tcBorders>
              <w:top w:val="single" w:sz="8" w:space="0" w:color="auto"/>
            </w:tcBorders>
          </w:tcPr>
          <w:p w:rsidR="006C5FF5" w:rsidRPr="006C5FF5" w:rsidP="006C5FF5" w14:paraId="6FC1DD6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מיחזוריות</w:t>
            </w:r>
          </w:p>
        </w:tc>
        <w:tc>
          <w:tcPr>
            <w:tcW w:w="0" w:type="auto"/>
            <w:tcBorders>
              <w:top w:val="single" w:sz="8" w:space="0" w:color="auto"/>
            </w:tcBorders>
          </w:tcPr>
          <w:p w:rsidR="006C5FF5" w:rsidRPr="006C5FF5" w:rsidP="006C5FF5" w14:paraId="7B56AEFF"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190.1</w:t>
            </w:r>
          </w:p>
        </w:tc>
        <w:tc>
          <w:tcPr>
            <w:tcW w:w="0" w:type="auto"/>
            <w:tcBorders>
              <w:top w:val="single" w:sz="8" w:space="0" w:color="auto"/>
            </w:tcBorders>
          </w:tcPr>
          <w:p w:rsidR="006C5FF5" w:rsidRPr="006C5FF5" w:rsidP="006C5FF5" w14:paraId="4784680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187.9</w:t>
            </w:r>
          </w:p>
        </w:tc>
        <w:tc>
          <w:tcPr>
            <w:tcW w:w="0" w:type="auto"/>
            <w:tcBorders>
              <w:top w:val="single" w:sz="8" w:space="0" w:color="auto"/>
            </w:tcBorders>
          </w:tcPr>
          <w:p w:rsidR="006C5FF5" w:rsidRPr="006C5FF5" w:rsidP="006C5FF5" w14:paraId="3D984E2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155.6</w:t>
            </w:r>
          </w:p>
        </w:tc>
      </w:tr>
      <w:tr w14:paraId="270CF91F" w14:textId="77777777" w:rsidTr="00DB1BDD">
        <w:tblPrEx>
          <w:tblW w:w="5103" w:type="dxa"/>
          <w:jc w:val="center"/>
          <w:tblLook w:val="04A0"/>
        </w:tblPrEx>
        <w:trPr>
          <w:jc w:val="center"/>
        </w:trPr>
        <w:tc>
          <w:tcPr>
            <w:tcW w:w="0" w:type="auto"/>
          </w:tcPr>
          <w:p w:rsidR="006C5FF5" w:rsidRPr="006C5FF5" w:rsidP="006C5FF5" w14:paraId="1532B0B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תחנות מעבר</w:t>
            </w:r>
          </w:p>
        </w:tc>
        <w:tc>
          <w:tcPr>
            <w:tcW w:w="0" w:type="auto"/>
          </w:tcPr>
          <w:p w:rsidR="006C5FF5" w:rsidRPr="006C5FF5" w:rsidP="006C5FF5" w14:paraId="54B223D0"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238.0</w:t>
            </w:r>
          </w:p>
        </w:tc>
        <w:tc>
          <w:tcPr>
            <w:tcW w:w="0" w:type="auto"/>
          </w:tcPr>
          <w:p w:rsidR="006C5FF5" w:rsidRPr="006C5FF5" w:rsidP="006C5FF5" w14:paraId="5114B96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238.5</w:t>
            </w:r>
          </w:p>
        </w:tc>
        <w:tc>
          <w:tcPr>
            <w:tcW w:w="0" w:type="auto"/>
          </w:tcPr>
          <w:p w:rsidR="006C5FF5" w:rsidRPr="006C5FF5" w:rsidP="006C5FF5" w14:paraId="23199244"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283.1</w:t>
            </w:r>
          </w:p>
        </w:tc>
      </w:tr>
      <w:tr w14:paraId="5ED465EE" w14:textId="77777777" w:rsidTr="00DB1BDD">
        <w:tblPrEx>
          <w:tblW w:w="5103" w:type="dxa"/>
          <w:jc w:val="center"/>
          <w:tblLook w:val="04A0"/>
        </w:tblPrEx>
        <w:trPr>
          <w:jc w:val="center"/>
        </w:trPr>
        <w:tc>
          <w:tcPr>
            <w:tcW w:w="0" w:type="auto"/>
          </w:tcPr>
          <w:p w:rsidR="006C5FF5" w:rsidRPr="006C5FF5" w:rsidP="006C5FF5" w14:paraId="37BDD981"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"הפח הכתום"</w:t>
            </w:r>
          </w:p>
        </w:tc>
        <w:tc>
          <w:tcPr>
            <w:tcW w:w="0" w:type="auto"/>
          </w:tcPr>
          <w:p w:rsidR="006C5FF5" w:rsidRPr="006C5FF5" w:rsidP="006C5FF5" w14:paraId="094DE908"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17.7</w:t>
            </w:r>
          </w:p>
        </w:tc>
        <w:tc>
          <w:tcPr>
            <w:tcW w:w="0" w:type="auto"/>
          </w:tcPr>
          <w:p w:rsidR="006C5FF5" w:rsidRPr="006C5FF5" w:rsidP="006C5FF5" w14:paraId="0CF1901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17.2</w:t>
            </w:r>
          </w:p>
        </w:tc>
        <w:tc>
          <w:tcPr>
            <w:tcW w:w="0" w:type="auto"/>
          </w:tcPr>
          <w:p w:rsidR="006C5FF5" w:rsidRPr="006C5FF5" w:rsidP="006C5FF5" w14:paraId="2A321821"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32.4</w:t>
            </w:r>
          </w:p>
        </w:tc>
      </w:tr>
      <w:tr w14:paraId="4F9F689A" w14:textId="77777777" w:rsidTr="00DB1BDD">
        <w:tblPrEx>
          <w:tblW w:w="5103" w:type="dxa"/>
          <w:jc w:val="center"/>
          <w:tblLook w:val="04A0"/>
        </w:tblPrEx>
        <w:trPr>
          <w:jc w:val="center"/>
        </w:trPr>
        <w:tc>
          <w:tcPr>
            <w:tcW w:w="0" w:type="auto"/>
          </w:tcPr>
          <w:p w:rsidR="006C5FF5" w:rsidRPr="006C5FF5" w:rsidP="006C5FF5" w14:paraId="1557414B"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סך הכול</w:t>
            </w:r>
          </w:p>
        </w:tc>
        <w:tc>
          <w:tcPr>
            <w:tcW w:w="0" w:type="auto"/>
          </w:tcPr>
          <w:p w:rsidR="006C5FF5" w:rsidRPr="006C5FF5" w:rsidP="006C5FF5" w14:paraId="4F7087F4"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*445.8</w:t>
            </w:r>
          </w:p>
        </w:tc>
        <w:tc>
          <w:tcPr>
            <w:tcW w:w="0" w:type="auto"/>
          </w:tcPr>
          <w:p w:rsidR="006C5FF5" w:rsidRPr="006C5FF5" w:rsidP="006C5FF5" w14:paraId="2B1C6DD7" w14:textId="77777777">
            <w:pPr>
              <w:pStyle w:val="a21"/>
              <w:tabs>
                <w:tab w:val="clear" w:pos="340"/>
              </w:tabs>
              <w:spacing w:before="40" w:after="40" w:line="240" w:lineRule="atLeast"/>
              <w:rPr>
                <w:rFonts w:ascii="Tahoma" w:hAnsi="Tahoma" w:cs="Tahoma"/>
                <w:rtl/>
              </w:rPr>
            </w:pPr>
            <w:r w:rsidRPr="006C5FF5">
              <w:rPr>
                <w:rFonts w:ascii="Tahoma" w:hAnsi="Tahoma" w:cs="Tahoma"/>
                <w:sz w:val="18"/>
                <w:szCs w:val="18"/>
                <w:rtl/>
              </w:rPr>
              <w:t>*443.6</w:t>
            </w:r>
          </w:p>
        </w:tc>
        <w:tc>
          <w:tcPr>
            <w:tcW w:w="0" w:type="auto"/>
          </w:tcPr>
          <w:p w:rsidR="006C5FF5" w:rsidRPr="006C5FF5" w:rsidP="006C5FF5" w14:paraId="7CAE8E8B" w14:textId="77777777">
            <w:pPr>
              <w:pStyle w:val="a21"/>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471.1</w:t>
            </w:r>
          </w:p>
        </w:tc>
      </w:tr>
    </w:tbl>
    <w:p w:rsidR="000930B3" w:rsidRPr="00DA075D" w:rsidP="00DB1BDD" w14:paraId="7468609C" w14:textId="77777777">
      <w:pPr>
        <w:pStyle w:val="text-source"/>
        <w:spacing w:after="0"/>
        <w:rPr>
          <w:rtl/>
        </w:rPr>
      </w:pPr>
      <w:r w:rsidRPr="00DA075D">
        <w:rPr>
          <w:rtl/>
        </w:rPr>
        <w:t>נתוני 2016 ו-2017 על פי חברת איסוף א' בדוחות הבקרה ונתוני 2019 על פי חוות דעת מטעם חברת איסוף א' מספטמבר 2020, בעיבוד משרד מבקר המדינה.</w:t>
      </w:r>
    </w:p>
    <w:p w:rsidR="000930B3" w:rsidRPr="00DA075D" w:rsidP="00DB1BDD" w14:paraId="634F2B71" w14:textId="5C42CA4C">
      <w:pPr>
        <w:pStyle w:val="text-source"/>
        <w:spacing w:before="0"/>
        <w:ind w:left="397" w:hanging="397"/>
        <w:rPr>
          <w:rtl/>
        </w:rPr>
      </w:pPr>
      <w:r w:rsidRPr="00DA075D">
        <w:rPr>
          <w:rtl/>
        </w:rPr>
        <w:t xml:space="preserve">* </w:t>
      </w:r>
      <w:r w:rsidR="00DB1BDD">
        <w:tab/>
      </w:r>
      <w:r w:rsidRPr="00DA075D">
        <w:rPr>
          <w:rtl/>
        </w:rPr>
        <w:t>על פי נתונים מבוקרים בשנים 2016 ו-2017 נאספו 325.6 ו-399.9, בהתאמה.</w:t>
      </w:r>
    </w:p>
    <w:p w:rsidR="000930B3" w:rsidRPr="00D22A15" w:rsidP="005C4ABF" w14:paraId="6F42881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היא מקפידה על סימון </w:t>
      </w:r>
      <w:r w:rsidRPr="00D22A15">
        <w:rPr>
          <w:rFonts w:ascii="Tahoma" w:hAnsi="Tahoma" w:cs="Tahoma"/>
          <w:sz w:val="20"/>
          <w:szCs w:val="20"/>
          <w:rtl/>
        </w:rPr>
        <w:t>המיחזוריות</w:t>
      </w:r>
      <w:r w:rsidRPr="00D22A15">
        <w:rPr>
          <w:rFonts w:ascii="Tahoma" w:hAnsi="Tahoma" w:cs="Tahoma"/>
          <w:sz w:val="20"/>
          <w:szCs w:val="20"/>
          <w:rtl/>
        </w:rPr>
        <w:t xml:space="preserve"> כנדרש ואולם חלק </w:t>
      </w:r>
      <w:r w:rsidRPr="00D22A15">
        <w:rPr>
          <w:rFonts w:ascii="Tahoma" w:hAnsi="Tahoma" w:cs="Tahoma"/>
          <w:sz w:val="20"/>
          <w:szCs w:val="20"/>
          <w:rtl/>
        </w:rPr>
        <w:t>מהמיחזרויות</w:t>
      </w:r>
      <w:r w:rsidRPr="00D22A15">
        <w:rPr>
          <w:rFonts w:ascii="Tahoma" w:hAnsi="Tahoma" w:cs="Tahoma"/>
          <w:sz w:val="20"/>
          <w:szCs w:val="20"/>
          <w:rtl/>
        </w:rPr>
        <w:t xml:space="preserve"> מוצבות על ידי קבלנים בתיאום עם רשויות מקומיות והחברה אינה שולטת במידע המופיע על גבי </w:t>
      </w:r>
      <w:r w:rsidRPr="00D22A15">
        <w:rPr>
          <w:rFonts w:ascii="Tahoma" w:hAnsi="Tahoma" w:cs="Tahoma"/>
          <w:sz w:val="20"/>
          <w:szCs w:val="20"/>
          <w:rtl/>
        </w:rPr>
        <w:t>מיחזוריות</w:t>
      </w:r>
      <w:r w:rsidRPr="00D22A15">
        <w:rPr>
          <w:rFonts w:ascii="Tahoma" w:hAnsi="Tahoma" w:cs="Tahoma"/>
          <w:sz w:val="20"/>
          <w:szCs w:val="20"/>
          <w:rtl/>
        </w:rPr>
        <w:t xml:space="preserve"> אלה.</w:t>
      </w:r>
    </w:p>
    <w:p w:rsidR="000930B3" w:rsidRPr="00DA075D" w:rsidP="008E06C5" w14:paraId="666C6FE3" w14:textId="77777777">
      <w:pPr>
        <w:pStyle w:val="RESHET"/>
        <w:rPr>
          <w:rtl/>
        </w:rPr>
      </w:pPr>
      <w:r w:rsidRPr="00DA075D">
        <w:rPr>
          <w:rtl/>
        </w:rPr>
        <w:t xml:space="preserve">מהלוח עולה כי כמות המכלים שנאספו </w:t>
      </w:r>
      <w:r w:rsidRPr="00DA075D">
        <w:rPr>
          <w:rtl/>
        </w:rPr>
        <w:t>במיחזורית</w:t>
      </w:r>
      <w:r w:rsidRPr="00DA075D">
        <w:rPr>
          <w:rtl/>
        </w:rPr>
        <w:t xml:space="preserve"> בשנת 2019 הייתה קטנה מזו שנאספה בשנת 2016 בכ-18%; כמויות המכלים שנאספו בתחנות המעבר </w:t>
      </w:r>
      <w:r w:rsidRPr="00DA075D">
        <w:rPr>
          <w:rtl/>
        </w:rPr>
        <w:t>וב"פח</w:t>
      </w:r>
      <w:r w:rsidRPr="00DA075D">
        <w:rPr>
          <w:rtl/>
        </w:rPr>
        <w:t xml:space="preserve"> הכתום" בשנת 2019 היו גדולות מאלה שנאספו בשנת 2016 בכ-19% וב-83%, בהתאמה.</w:t>
      </w:r>
    </w:p>
    <w:p w:rsidR="000930B3" w:rsidRPr="00D22A15" w:rsidP="005C4ABF" w14:paraId="690D4FDF" w14:textId="77777777">
      <w:pPr>
        <w:pStyle w:val="a5"/>
        <w:spacing w:before="120" w:after="120" w:line="320" w:lineRule="atLeast"/>
        <w:rPr>
          <w:rFonts w:ascii="Tahoma" w:hAnsi="Tahoma" w:cs="Tahoma"/>
          <w:spacing w:val="-2"/>
          <w:w w:val="98"/>
          <w:sz w:val="20"/>
          <w:szCs w:val="20"/>
          <w:rtl/>
        </w:rPr>
      </w:pPr>
      <w:r w:rsidRPr="00D22A15">
        <w:rPr>
          <w:rFonts w:ascii="Tahoma" w:hAnsi="Tahoma" w:cs="Tahoma"/>
          <w:spacing w:val="-2"/>
          <w:w w:val="98"/>
          <w:sz w:val="20"/>
          <w:szCs w:val="20"/>
          <w:rtl/>
        </w:rPr>
        <w:t>מתן חסות של משרד ממשלתי עשוי ליצור רושם כי המשרד הממשלתי תומך בגוף חיצוני או בפעילותו, או שפעילות זו נעשית מטעמו או באישורו של המשרד הממשלתי</w:t>
      </w:r>
      <w:r>
        <w:rPr>
          <w:rFonts w:ascii="Tahoma" w:hAnsi="Tahoma" w:cs="Tahoma"/>
          <w:spacing w:val="-2"/>
          <w:w w:val="98"/>
          <w:sz w:val="20"/>
          <w:szCs w:val="20"/>
          <w:vertAlign w:val="superscript"/>
          <w:rtl/>
        </w:rPr>
        <w:footnoteReference w:id="89"/>
      </w:r>
      <w:r w:rsidRPr="00D22A15">
        <w:rPr>
          <w:rFonts w:ascii="Tahoma" w:hAnsi="Tahoma" w:cs="Tahoma"/>
          <w:spacing w:val="-2"/>
          <w:w w:val="98"/>
          <w:sz w:val="20"/>
          <w:szCs w:val="20"/>
          <w:rtl/>
        </w:rPr>
        <w:t>.</w:t>
      </w:r>
    </w:p>
    <w:p w:rsidR="000930B3" w:rsidRPr="00D22A15" w:rsidP="005C4ABF" w14:paraId="3EBE1A3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בתוכנית הפעולה משנת 2010 דרש המשרד </w:t>
      </w:r>
      <w:r w:rsidRPr="00D22A15">
        <w:rPr>
          <w:rFonts w:ascii="Tahoma" w:hAnsi="Tahoma" w:cs="Tahoma"/>
          <w:sz w:val="20"/>
          <w:szCs w:val="20"/>
          <w:rtl/>
        </w:rPr>
        <w:t>להגנ"ס</w:t>
      </w:r>
      <w:r w:rsidRPr="00D22A15">
        <w:rPr>
          <w:rFonts w:ascii="Tahoma" w:hAnsi="Tahoma" w:cs="Tahoma"/>
          <w:sz w:val="20"/>
          <w:szCs w:val="20"/>
          <w:rtl/>
        </w:rPr>
        <w:t xml:space="preserve"> כי על כל </w:t>
      </w:r>
      <w:r w:rsidRPr="00D22A15">
        <w:rPr>
          <w:rFonts w:ascii="Tahoma" w:hAnsi="Tahoma" w:cs="Tahoma"/>
          <w:sz w:val="20"/>
          <w:szCs w:val="20"/>
          <w:rtl/>
        </w:rPr>
        <w:t>מיחזורית</w:t>
      </w:r>
      <w:r w:rsidRPr="00D22A15">
        <w:rPr>
          <w:rFonts w:ascii="Tahoma" w:hAnsi="Tahoma" w:cs="Tahoma"/>
          <w:sz w:val="20"/>
          <w:szCs w:val="20"/>
          <w:rtl/>
        </w:rPr>
        <w:t xml:space="preserve"> יופיע סמל המשרד, ואכן, </w:t>
      </w:r>
      <w:r w:rsidRPr="00D22A15">
        <w:rPr>
          <w:rFonts w:ascii="Tahoma" w:hAnsi="Tahoma" w:cs="Tahoma"/>
          <w:sz w:val="20"/>
          <w:szCs w:val="20"/>
          <w:rtl/>
        </w:rPr>
        <w:t>המיחזוריות</w:t>
      </w:r>
      <w:r w:rsidRPr="00D22A15">
        <w:rPr>
          <w:rFonts w:ascii="Tahoma" w:hAnsi="Tahoma" w:cs="Tahoma"/>
          <w:sz w:val="20"/>
          <w:szCs w:val="20"/>
          <w:rtl/>
        </w:rPr>
        <w:t xml:space="preserve"> מסומנות בסמל המשרד בצד סמל חברת איסוף א'. בתמונות שלהלן ניתן </w:t>
      </w:r>
      <w:r w:rsidRPr="00D22A15">
        <w:rPr>
          <w:rFonts w:ascii="Tahoma" w:hAnsi="Tahoma" w:cs="Tahoma"/>
          <w:sz w:val="20"/>
          <w:szCs w:val="20"/>
          <w:rtl/>
        </w:rPr>
        <w:t xml:space="preserve">לראות כי על פי ההנחיות המסומנות על </w:t>
      </w:r>
      <w:r w:rsidRPr="00D22A15">
        <w:rPr>
          <w:rFonts w:ascii="Tahoma" w:hAnsi="Tahoma" w:cs="Tahoma"/>
          <w:sz w:val="20"/>
          <w:szCs w:val="20"/>
          <w:rtl/>
        </w:rPr>
        <w:t>המיחזורית</w:t>
      </w:r>
      <w:r w:rsidRPr="00D22A15">
        <w:rPr>
          <w:rFonts w:ascii="Tahoma" w:hAnsi="Tahoma" w:cs="Tahoma"/>
          <w:sz w:val="20"/>
          <w:szCs w:val="20"/>
          <w:rtl/>
        </w:rPr>
        <w:t xml:space="preserve"> יש להשליך אליה מכלי פלסטיק שונים, לרבות מכלי משקה ומכלים של חומרי ניקוי. </w:t>
      </w:r>
    </w:p>
    <w:p w:rsidR="000930B3" w:rsidRPr="00DA075D" w:rsidP="00AD02C3" w14:paraId="1E019C82" w14:textId="77777777">
      <w:pPr>
        <w:pStyle w:val="a1"/>
        <w:spacing w:line="320" w:lineRule="atLeast"/>
        <w:rPr>
          <w:rtl/>
        </w:rPr>
      </w:pPr>
      <w:r w:rsidRPr="00A525F8">
        <w:rPr>
          <w:b w:val="0"/>
          <w:bCs w:val="0"/>
          <w:rtl/>
        </w:rPr>
        <w:t>תמונות 11 ו-12:</w:t>
      </w:r>
      <w:r w:rsidRPr="00DA075D">
        <w:rPr>
          <w:rtl/>
        </w:rPr>
        <w:t xml:space="preserve"> </w:t>
      </w:r>
      <w:r w:rsidRPr="00DA075D">
        <w:rPr>
          <w:rtl/>
        </w:rPr>
        <w:t>מיחזוריות</w:t>
      </w:r>
      <w:r w:rsidRPr="00DA075D">
        <w:rPr>
          <w:rtl/>
        </w:rPr>
        <w:t xml:space="preserve"> עם סימונים מטעים </w:t>
      </w:r>
    </w:p>
    <w:p w:rsidR="000930B3" w:rsidRPr="00A525F8" w:rsidP="00A525F8" w14:paraId="3EDDF4DA" w14:textId="5674BA45">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778250" cy="3499136"/>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88748" name="Picture 294"/>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510" cy="3510490"/>
                    </a:xfrm>
                    <a:prstGeom prst="rect">
                      <a:avLst/>
                    </a:prstGeom>
                  </pic:spPr>
                </pic:pic>
              </a:graphicData>
            </a:graphic>
          </wp:inline>
        </w:drawing>
      </w:r>
    </w:p>
    <w:tbl>
      <w:tblPr>
        <w:tblStyle w:val="TableGrid"/>
        <w:bidiVisual/>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4"/>
        <w:gridCol w:w="3400"/>
      </w:tblGrid>
      <w:tr w14:paraId="266CCDB1" w14:textId="77777777" w:rsidTr="00A525F8">
        <w:tblPrEx>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554" w:type="dxa"/>
          </w:tcPr>
          <w:p w:rsidR="00A525F8" w:rsidP="006C5FF5" w14:paraId="0654C0E1" w14:textId="74749FBC">
            <w:pPr>
              <w:pStyle w:val="text-source"/>
              <w:shd w:val="clear" w:color="auto" w:fill="auto"/>
              <w:rPr>
                <w:rtl/>
              </w:rPr>
            </w:pPr>
            <w:r w:rsidRPr="00DA075D">
              <w:rPr>
                <w:rtl/>
              </w:rPr>
              <w:t xml:space="preserve">התמונה צולמה על ידי צוות הביקורת </w:t>
            </w:r>
            <w:r>
              <w:br/>
            </w:r>
            <w:r w:rsidRPr="00DA075D">
              <w:rPr>
                <w:rtl/>
              </w:rPr>
              <w:t>בזיכרון יעקב ביוני 2020</w:t>
            </w:r>
          </w:p>
        </w:tc>
        <w:tc>
          <w:tcPr>
            <w:tcW w:w="3400" w:type="dxa"/>
          </w:tcPr>
          <w:p w:rsidR="00A525F8" w:rsidP="006C5FF5" w14:paraId="7C78193A" w14:textId="3920DB45">
            <w:pPr>
              <w:pStyle w:val="text-source"/>
              <w:shd w:val="clear" w:color="auto" w:fill="auto"/>
              <w:rPr>
                <w:rtl/>
              </w:rPr>
            </w:pPr>
            <w:r w:rsidRPr="00DA075D">
              <w:rPr>
                <w:rtl/>
              </w:rPr>
              <w:t xml:space="preserve">התמונה צולמה על ידי צוות הביקורת </w:t>
            </w:r>
            <w:r>
              <w:br/>
            </w:r>
            <w:r w:rsidRPr="00DA075D">
              <w:rPr>
                <w:rtl/>
              </w:rPr>
              <w:t>בחדרה ביולי 2020.</w:t>
            </w:r>
          </w:p>
        </w:tc>
      </w:tr>
    </w:tbl>
    <w:p w:rsidR="000930B3" w:rsidRPr="00DA075D" w:rsidP="008E06C5" w14:paraId="02C6840C" w14:textId="77777777">
      <w:pPr>
        <w:pStyle w:val="RESHET"/>
        <w:rPr>
          <w:rtl/>
        </w:rPr>
      </w:pPr>
      <w:r w:rsidRPr="00DA075D">
        <w:rPr>
          <w:rtl/>
        </w:rPr>
        <w:t xml:space="preserve">יש בשילוט האמור ובשימוש בסמל המשרד </w:t>
      </w:r>
      <w:r w:rsidRPr="00DA075D">
        <w:rPr>
          <w:rtl/>
        </w:rPr>
        <w:t>להגנ"ס</w:t>
      </w:r>
      <w:r w:rsidRPr="00DA075D">
        <w:rPr>
          <w:rtl/>
        </w:rPr>
        <w:t xml:space="preserve"> כדי לגרום לבלבול בקרב הציבור, אשר עלול להסיק כי מדובר בהנחיה רשמית של גורם מוסמך המורה להשליך </w:t>
      </w:r>
      <w:r w:rsidRPr="00DA075D">
        <w:rPr>
          <w:rtl/>
        </w:rPr>
        <w:t>למיחזוריות</w:t>
      </w:r>
      <w:r w:rsidRPr="00DA075D">
        <w:rPr>
          <w:rtl/>
        </w:rPr>
        <w:t xml:space="preserve"> את כל מכלי הפלסטיק ומוצרי הפלסטיק למיניהם. היה רצוי להבהיר כי </w:t>
      </w:r>
      <w:r w:rsidRPr="00DA075D">
        <w:rPr>
          <w:rtl/>
        </w:rPr>
        <w:t>המיחזוריות</w:t>
      </w:r>
      <w:r w:rsidRPr="00DA075D">
        <w:rPr>
          <w:rtl/>
        </w:rPr>
        <w:t xml:space="preserve"> מיועדות למכלי משקה גדולים בלבד כדי לטייב את הליך </w:t>
      </w:r>
      <w:r w:rsidRPr="00DA075D">
        <w:rPr>
          <w:rtl/>
        </w:rPr>
        <w:t>המיחזור</w:t>
      </w:r>
      <w:r w:rsidRPr="00DA075D">
        <w:rPr>
          <w:rtl/>
        </w:rPr>
        <w:t xml:space="preserve"> וליצור הפרדה מרבית במקור.</w:t>
      </w:r>
    </w:p>
    <w:p w:rsidR="000930B3" w:rsidRPr="00D22A15" w:rsidP="005C4ABF" w14:paraId="14C477E2"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להלן תמונה להמחשה: </w:t>
      </w:r>
    </w:p>
    <w:p w:rsidR="000930B3" w:rsidRPr="00DA075D" w:rsidP="00AD02C3" w14:paraId="5037E36F" w14:textId="77777777">
      <w:pPr>
        <w:pStyle w:val="a1"/>
        <w:spacing w:line="320" w:lineRule="atLeast"/>
        <w:rPr>
          <w:rtl/>
        </w:rPr>
      </w:pPr>
      <w:r w:rsidRPr="0077091A">
        <w:rPr>
          <w:b w:val="0"/>
          <w:bCs w:val="0"/>
          <w:rtl/>
        </w:rPr>
        <w:t xml:space="preserve">תמונה 13: </w:t>
      </w:r>
      <w:r w:rsidRPr="00DA075D">
        <w:rPr>
          <w:rtl/>
        </w:rPr>
        <w:t xml:space="preserve">מוצרי פלסטיק שאינם מכלי משקה </w:t>
      </w:r>
      <w:r w:rsidRPr="00DA075D">
        <w:rPr>
          <w:rtl/>
        </w:rPr>
        <w:t>במיחזורית</w:t>
      </w:r>
    </w:p>
    <w:p w:rsidR="000930B3" w:rsidRPr="0077091A" w:rsidP="0077091A" w14:paraId="0B1CEB00" w14:textId="061D77F1">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1990344"/>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84746" name="Picture 29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1990344"/>
                    </a:xfrm>
                    <a:prstGeom prst="rect">
                      <a:avLst/>
                    </a:prstGeom>
                  </pic:spPr>
                </pic:pic>
              </a:graphicData>
            </a:graphic>
          </wp:inline>
        </w:drawing>
      </w:r>
    </w:p>
    <w:p w:rsidR="000930B3" w:rsidRPr="00DA075D" w:rsidP="006C5FF5" w14:paraId="6F701206" w14:textId="77777777">
      <w:pPr>
        <w:pStyle w:val="text-source"/>
        <w:rPr>
          <w:rtl/>
        </w:rPr>
      </w:pPr>
      <w:r w:rsidRPr="00DA075D">
        <w:rPr>
          <w:rtl/>
        </w:rPr>
        <w:t>התמונה צולמה על ידי צוות הביקורת בקיבוץ שפיים באוגוסט 2020.</w:t>
      </w:r>
    </w:p>
    <w:p w:rsidR="000930B3" w:rsidRPr="00D22A15" w:rsidP="005C4ABF" w14:paraId="397064C5"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הוא עודד את הציבור להשליך אריזות פלסטיק </w:t>
      </w:r>
      <w:r w:rsidRPr="00D22A15">
        <w:rPr>
          <w:rFonts w:ascii="Tahoma" w:hAnsi="Tahoma" w:cs="Tahoma"/>
          <w:sz w:val="20"/>
          <w:szCs w:val="20"/>
          <w:rtl/>
        </w:rPr>
        <w:t>למיחזוריות</w:t>
      </w:r>
      <w:r w:rsidRPr="00D22A15">
        <w:rPr>
          <w:rFonts w:ascii="Tahoma" w:hAnsi="Tahoma" w:cs="Tahoma"/>
          <w:sz w:val="20"/>
          <w:szCs w:val="20"/>
          <w:rtl/>
        </w:rPr>
        <w:t xml:space="preserve"> הפרושות באופן נרחב יותר מפחים כתומים, אולם הדבר מתייתר עקב ההחלטה להחיל פיקדון על מכלים גדולים וסילוקן ההדרגתי של </w:t>
      </w:r>
      <w:r w:rsidRPr="00D22A15">
        <w:rPr>
          <w:rFonts w:ascii="Tahoma" w:hAnsi="Tahoma" w:cs="Tahoma"/>
          <w:sz w:val="20"/>
          <w:szCs w:val="20"/>
          <w:rtl/>
        </w:rPr>
        <w:t>המיחזוריות</w:t>
      </w:r>
      <w:r w:rsidRPr="00D22A15">
        <w:rPr>
          <w:rFonts w:ascii="Tahoma" w:hAnsi="Tahoma" w:cs="Tahoma"/>
          <w:sz w:val="20"/>
          <w:szCs w:val="20"/>
          <w:rtl/>
        </w:rPr>
        <w:t>.</w:t>
      </w:r>
    </w:p>
    <w:p w:rsidR="000930B3" w:rsidRPr="00DA075D" w:rsidP="008E06C5" w14:paraId="27D6A552" w14:textId="77777777">
      <w:pPr>
        <w:pStyle w:val="RESHET"/>
        <w:rPr>
          <w:rtl/>
        </w:rPr>
      </w:pPr>
      <w:r w:rsidRPr="00DA075D">
        <w:rPr>
          <w:rtl/>
        </w:rPr>
        <w:t xml:space="preserve">בפרק העוסק בקביעת אומדנים לעיל הוסבר כי חישוב מספר המכלים שנאספו מתבסס, בין היתר, על אומדן של מספר המכלים הגדולים </w:t>
      </w:r>
      <w:r w:rsidRPr="00DA075D">
        <w:rPr>
          <w:rtl/>
        </w:rPr>
        <w:t>במיחזוריות</w:t>
      </w:r>
      <w:r w:rsidRPr="00DA075D">
        <w:rPr>
          <w:rtl/>
        </w:rPr>
        <w:t xml:space="preserve"> לפי משקל החומר שנמצא בהן. </w:t>
      </w:r>
    </w:p>
    <w:p w:rsidR="000930B3" w:rsidRPr="00DA075D" w:rsidP="008E06C5" w14:paraId="709106C4" w14:textId="77777777">
      <w:pPr>
        <w:pStyle w:val="RESHET"/>
        <w:rPr>
          <w:color w:val="002F5E"/>
          <w:spacing w:val="-3"/>
          <w:w w:val="95"/>
          <w:sz w:val="26"/>
          <w:szCs w:val="26"/>
          <w:rtl/>
        </w:rPr>
      </w:pPr>
      <w:r w:rsidRPr="00DA075D">
        <w:rPr>
          <w:rtl/>
        </w:rPr>
        <w:t xml:space="preserve">עד הסרת </w:t>
      </w:r>
      <w:r w:rsidRPr="00DA075D">
        <w:rPr>
          <w:rtl/>
        </w:rPr>
        <w:t>המיחזוריות</w:t>
      </w:r>
      <w:r w:rsidRPr="00DA075D">
        <w:rPr>
          <w:rtl/>
        </w:rPr>
        <w:t xml:space="preserve"> מומלץ לגייס את שיתוף הפעולה של הציבור באמצעות חידוד ההנחיות באמצעי התקשורת השונים כי </w:t>
      </w:r>
      <w:r w:rsidRPr="00DA075D">
        <w:rPr>
          <w:rtl/>
        </w:rPr>
        <w:t>מיחזורית</w:t>
      </w:r>
      <w:r w:rsidRPr="00DA075D">
        <w:rPr>
          <w:rtl/>
        </w:rPr>
        <w:t xml:space="preserve"> היא מתקן ייעודי </w:t>
      </w:r>
      <w:r w:rsidRPr="00DA075D">
        <w:rPr>
          <w:rtl/>
        </w:rPr>
        <w:t>למיחזור</w:t>
      </w:r>
      <w:r w:rsidRPr="00DA075D">
        <w:rPr>
          <w:rtl/>
        </w:rPr>
        <w:t xml:space="preserve"> מכלי משקה גדולים בלבד. </w:t>
      </w:r>
    </w:p>
    <w:p w:rsidR="000930B3" w:rsidRPr="00DA075D" w:rsidP="00DB519D" w14:paraId="06BD6E17" w14:textId="77777777">
      <w:pPr>
        <w:pStyle w:val="3"/>
        <w:rPr>
          <w:rtl/>
        </w:rPr>
      </w:pPr>
      <w:r w:rsidRPr="00DA075D">
        <w:rPr>
          <w:rtl/>
        </w:rPr>
        <w:t>מיחזור</w:t>
      </w:r>
      <w:r w:rsidRPr="00DA075D">
        <w:rPr>
          <w:rtl/>
        </w:rPr>
        <w:t xml:space="preserve"> מכלים גדולים שנאספו</w:t>
      </w:r>
    </w:p>
    <w:p w:rsidR="000930B3" w:rsidRPr="00D22A15" w:rsidP="005C4ABF" w14:paraId="2C35169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בדירקטיבה של האיחוד האירופי</w:t>
      </w:r>
      <w:r>
        <w:rPr>
          <w:rFonts w:ascii="Tahoma" w:hAnsi="Tahoma" w:cs="Tahoma"/>
          <w:sz w:val="20"/>
          <w:szCs w:val="20"/>
          <w:vertAlign w:val="superscript"/>
          <w:rtl/>
        </w:rPr>
        <w:footnoteReference w:id="90"/>
      </w:r>
      <w:r w:rsidRPr="00D22A15">
        <w:rPr>
          <w:rFonts w:ascii="Tahoma" w:hAnsi="Tahoma" w:cs="Tahoma"/>
          <w:sz w:val="20"/>
          <w:szCs w:val="20"/>
          <w:rtl/>
        </w:rPr>
        <w:t xml:space="preserve"> הוגדר מדרג של חמש רמות עדיפות לטיפול בפסולת, והעליונה שבהן היא מניעת היווצרות הפסולת. הטיפול המועדף לפסולת שנוצרה הוא לפי המדרג הזה: הכנת הפסולת לשימוש חוזר, </w:t>
      </w:r>
      <w:r w:rsidRPr="00D22A15">
        <w:rPr>
          <w:rFonts w:ascii="Tahoma" w:hAnsi="Tahoma" w:cs="Tahoma"/>
          <w:sz w:val="20"/>
          <w:szCs w:val="20"/>
          <w:rtl/>
        </w:rPr>
        <w:t>מיחזורה</w:t>
      </w:r>
      <w:r w:rsidRPr="00D22A15">
        <w:rPr>
          <w:rFonts w:ascii="Tahoma" w:hAnsi="Tahoma" w:cs="Tahoma"/>
          <w:sz w:val="20"/>
          <w:szCs w:val="20"/>
          <w:rtl/>
        </w:rPr>
        <w:t xml:space="preserve"> כחומרי גלם והשבת אנרגיה, לרבות באמצעות שריפה. העדיפות החמישית והאחרונה היא הטמנה. מדרג זה צוין בתוכנית האסטרטגית לטיפול בפסולת עד שנת 2030 של המשרד </w:t>
      </w:r>
      <w:r w:rsidRPr="00D22A15">
        <w:rPr>
          <w:rFonts w:ascii="Tahoma" w:hAnsi="Tahoma" w:cs="Tahoma"/>
          <w:sz w:val="20"/>
          <w:szCs w:val="20"/>
          <w:rtl/>
        </w:rPr>
        <w:t>להגנ"ס</w:t>
      </w:r>
      <w:r w:rsidRPr="00D22A15">
        <w:rPr>
          <w:rFonts w:ascii="Tahoma" w:hAnsi="Tahoma" w:cs="Tahoma"/>
          <w:sz w:val="20"/>
          <w:szCs w:val="20"/>
          <w:rtl/>
        </w:rPr>
        <w:t>. להלן תרשים המתאר את המדרג:</w:t>
      </w:r>
    </w:p>
    <w:p w:rsidR="000930B3" w:rsidRPr="00DA075D" w:rsidP="00AD02C3" w14:paraId="0BB0551B" w14:textId="77777777">
      <w:pPr>
        <w:pStyle w:val="a1"/>
        <w:spacing w:line="320" w:lineRule="atLeast"/>
        <w:rPr>
          <w:w w:val="98"/>
          <w:rtl/>
        </w:rPr>
      </w:pPr>
      <w:r w:rsidRPr="0077091A">
        <w:rPr>
          <w:b w:val="0"/>
          <w:bCs w:val="0"/>
          <w:spacing w:val="-2"/>
          <w:w w:val="98"/>
          <w:rtl/>
        </w:rPr>
        <w:t xml:space="preserve">תרשים 13: </w:t>
      </w:r>
      <w:r w:rsidRPr="00DA075D">
        <w:rPr>
          <w:spacing w:val="-2"/>
          <w:w w:val="98"/>
          <w:rtl/>
        </w:rPr>
        <w:t>מדרג הטיפול בפסולת על פי הדירקטיבה של האיחוד האירופי</w:t>
      </w:r>
    </w:p>
    <w:p w:rsidR="000930B3" w:rsidRPr="0077091A" w:rsidP="0077091A" w14:paraId="06BDB3C5" w14:textId="36738514">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1981" cy="3066991"/>
            <wp:effectExtent l="0" t="0" r="254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5439" name="Picture 296"/>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1981" cy="3066991"/>
                    </a:xfrm>
                    <a:prstGeom prst="rect">
                      <a:avLst/>
                    </a:prstGeom>
                  </pic:spPr>
                </pic:pic>
              </a:graphicData>
            </a:graphic>
          </wp:inline>
        </w:drawing>
      </w:r>
    </w:p>
    <w:p w:rsidR="000930B3" w:rsidRPr="00DA075D" w:rsidP="006C5FF5" w14:paraId="36A64091" w14:textId="77777777">
      <w:pPr>
        <w:pStyle w:val="text-source"/>
        <w:rPr>
          <w:rtl/>
        </w:rPr>
      </w:pPr>
      <w:r w:rsidRPr="00DA075D">
        <w:rPr>
          <w:rtl/>
        </w:rPr>
        <w:t xml:space="preserve">על פי הדירקטיבה של האיחוד האירופי, בעיבוד משרד מבקר המדינה. </w:t>
      </w:r>
    </w:p>
    <w:p w:rsidR="000930B3" w:rsidRPr="00D22A15" w:rsidP="005C4ABF" w14:paraId="2307D6C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לפי חוק הפיקדון, "יצרן ויבואן ימחזרו 90 אחוזים לפחות מכלל מכלי המשקה הריקים שאספו בכל שנה, עד 1 ביוני של השנה שלאחריה; מכלי המשקה ימוחזרו במפעל </w:t>
      </w:r>
      <w:r w:rsidRPr="00D22A15">
        <w:rPr>
          <w:rFonts w:ascii="Tahoma" w:hAnsi="Tahoma" w:cs="Tahoma"/>
          <w:sz w:val="20"/>
          <w:szCs w:val="20"/>
          <w:rtl/>
        </w:rPr>
        <w:t>מיחזור</w:t>
      </w:r>
      <w:r w:rsidRPr="00D22A15">
        <w:rPr>
          <w:rFonts w:ascii="Tahoma" w:hAnsi="Tahoma" w:cs="Tahoma"/>
          <w:sz w:val="20"/>
          <w:szCs w:val="20"/>
          <w:rtl/>
        </w:rPr>
        <w:t xml:space="preserve"> המורשה לפי כל דין". החוק קובע כי </w:t>
      </w:r>
      <w:r w:rsidRPr="00D22A15">
        <w:rPr>
          <w:rFonts w:ascii="Tahoma" w:hAnsi="Tahoma" w:cs="Tahoma"/>
          <w:sz w:val="20"/>
          <w:szCs w:val="20"/>
          <w:rtl/>
        </w:rPr>
        <w:t>המיחזור</w:t>
      </w:r>
      <w:r w:rsidRPr="00D22A15">
        <w:rPr>
          <w:rFonts w:ascii="Tahoma" w:hAnsi="Tahoma" w:cs="Tahoma"/>
          <w:sz w:val="20"/>
          <w:szCs w:val="20"/>
          <w:rtl/>
        </w:rPr>
        <w:t xml:space="preserve"> הוא כמשמעותו בחוק איסוף ופינוי פסולת </w:t>
      </w:r>
      <w:r w:rsidRPr="00D22A15">
        <w:rPr>
          <w:rFonts w:ascii="Tahoma" w:hAnsi="Tahoma" w:cs="Tahoma"/>
          <w:sz w:val="20"/>
          <w:szCs w:val="20"/>
          <w:rtl/>
        </w:rPr>
        <w:t>למיחזור</w:t>
      </w:r>
      <w:r w:rsidRPr="00D22A15">
        <w:rPr>
          <w:rFonts w:ascii="Tahoma" w:hAnsi="Tahoma" w:cs="Tahoma"/>
          <w:sz w:val="20"/>
          <w:szCs w:val="20"/>
          <w:rtl/>
        </w:rPr>
        <w:t xml:space="preserve">, התשנ"ג-1993 (כלומר תהליך עיבוד או השבה של חומרים או מוצרים לשימוש חוזר לאותה מטרה שיועדו לה קודם לכן או כחומרי גלם), או טיפול במכלי משקה או מכלי משקה גדולים בדרך שקבע השר </w:t>
      </w:r>
      <w:r w:rsidRPr="00D22A15">
        <w:rPr>
          <w:rFonts w:ascii="Tahoma" w:hAnsi="Tahoma" w:cs="Tahoma"/>
          <w:sz w:val="20"/>
          <w:szCs w:val="20"/>
          <w:rtl/>
        </w:rPr>
        <w:t>להגנ"ס</w:t>
      </w:r>
      <w:r w:rsidRPr="00D22A15">
        <w:rPr>
          <w:rFonts w:ascii="Tahoma" w:hAnsi="Tahoma" w:cs="Tahoma"/>
          <w:sz w:val="20"/>
          <w:szCs w:val="20"/>
          <w:rtl/>
        </w:rPr>
        <w:t xml:space="preserve">. הממונה רשאי להטיל על יצרן או יבואן שלא </w:t>
      </w:r>
      <w:r w:rsidRPr="00D22A15">
        <w:rPr>
          <w:rFonts w:ascii="Tahoma" w:hAnsi="Tahoma" w:cs="Tahoma"/>
          <w:sz w:val="20"/>
          <w:szCs w:val="20"/>
          <w:rtl/>
        </w:rPr>
        <w:t>מיחזר</w:t>
      </w:r>
      <w:r w:rsidRPr="00D22A15">
        <w:rPr>
          <w:rFonts w:ascii="Tahoma" w:hAnsi="Tahoma" w:cs="Tahoma"/>
          <w:sz w:val="20"/>
          <w:szCs w:val="20"/>
          <w:rtl/>
        </w:rPr>
        <w:t xml:space="preserve"> 90% מהמכלים שאסף עיצום כספי בסכום הקנס הקבוע בסעיף 61(א)(2) לחוק העונשין, התשל"ז-1977.</w:t>
      </w:r>
    </w:p>
    <w:p w:rsidR="000930B3" w:rsidRPr="00D22A15" w:rsidP="005C4ABF" w14:paraId="7EC6D9B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בחוק הפיקדון נקבע כי יצרן ויבואן ידווחו לממונה אחת לרבעון ובתום כל שנה על מספר מכלי המשקה הריקים </w:t>
      </w:r>
      <w:r w:rsidRPr="00D22A15">
        <w:rPr>
          <w:rFonts w:ascii="Tahoma" w:hAnsi="Tahoma" w:cs="Tahoma"/>
          <w:sz w:val="20"/>
          <w:szCs w:val="20"/>
          <w:rtl/>
        </w:rPr>
        <w:t>שמיחזרו</w:t>
      </w:r>
      <w:r w:rsidRPr="00D22A15">
        <w:rPr>
          <w:rFonts w:ascii="Tahoma" w:hAnsi="Tahoma" w:cs="Tahoma"/>
          <w:sz w:val="20"/>
          <w:szCs w:val="20"/>
          <w:rtl/>
        </w:rPr>
        <w:t xml:space="preserve">, אופן </w:t>
      </w:r>
      <w:r w:rsidRPr="00D22A15">
        <w:rPr>
          <w:rFonts w:ascii="Tahoma" w:hAnsi="Tahoma" w:cs="Tahoma"/>
          <w:sz w:val="20"/>
          <w:szCs w:val="20"/>
          <w:rtl/>
        </w:rPr>
        <w:t>מיחזורם</w:t>
      </w:r>
      <w:r w:rsidRPr="00D22A15">
        <w:rPr>
          <w:rFonts w:ascii="Tahoma" w:hAnsi="Tahoma" w:cs="Tahoma"/>
          <w:sz w:val="20"/>
          <w:szCs w:val="20"/>
          <w:rtl/>
        </w:rPr>
        <w:t xml:space="preserve">, פרטי מפעל </w:t>
      </w:r>
      <w:r w:rsidRPr="00D22A15">
        <w:rPr>
          <w:rFonts w:ascii="Tahoma" w:hAnsi="Tahoma" w:cs="Tahoma"/>
          <w:sz w:val="20"/>
          <w:szCs w:val="20"/>
          <w:rtl/>
        </w:rPr>
        <w:t>המיחזור</w:t>
      </w:r>
      <w:r w:rsidRPr="00D22A15">
        <w:rPr>
          <w:rFonts w:ascii="Tahoma" w:hAnsi="Tahoma" w:cs="Tahoma"/>
          <w:sz w:val="20"/>
          <w:szCs w:val="20"/>
          <w:rtl/>
        </w:rPr>
        <w:t xml:space="preserve"> וסוג החומר שהם עשויים ממנו.</w:t>
      </w:r>
    </w:p>
    <w:p w:rsidR="000930B3" w:rsidRPr="00D22A15" w:rsidP="005C4ABF" w14:paraId="2D9C453C"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בלוח שלהלן יוצגו דיווחי חברת איסוף א' וחברת איסוף ב' על </w:t>
      </w:r>
      <w:r w:rsidRPr="00D22A15">
        <w:rPr>
          <w:rFonts w:ascii="Tahoma" w:hAnsi="Tahoma" w:cs="Tahoma"/>
          <w:sz w:val="20"/>
          <w:szCs w:val="20"/>
          <w:rtl/>
        </w:rPr>
        <w:t>מיחזור</w:t>
      </w:r>
      <w:r w:rsidRPr="00D22A15">
        <w:rPr>
          <w:rFonts w:ascii="Tahoma" w:hAnsi="Tahoma" w:cs="Tahoma"/>
          <w:sz w:val="20"/>
          <w:szCs w:val="20"/>
          <w:rtl/>
        </w:rPr>
        <w:t xml:space="preserve"> מכלי משקה גדולים לשנים 2016 - 2017 ושיעורי </w:t>
      </w:r>
      <w:r w:rsidRPr="00D22A15">
        <w:rPr>
          <w:rFonts w:ascii="Tahoma" w:hAnsi="Tahoma" w:cs="Tahoma"/>
          <w:sz w:val="20"/>
          <w:szCs w:val="20"/>
          <w:rtl/>
        </w:rPr>
        <w:t>המיחזור</w:t>
      </w:r>
      <w:r w:rsidRPr="00D22A15">
        <w:rPr>
          <w:rFonts w:ascii="Tahoma" w:hAnsi="Tahoma" w:cs="Tahoma"/>
          <w:sz w:val="20"/>
          <w:szCs w:val="20"/>
          <w:rtl/>
        </w:rPr>
        <w:t xml:space="preserve"> שהוכרו בדוחות הבקרה. </w:t>
      </w:r>
    </w:p>
    <w:p w:rsidR="000930B3" w:rsidRPr="00DA075D" w:rsidP="00AD02C3" w14:paraId="5F18E856" w14:textId="77777777">
      <w:pPr>
        <w:pStyle w:val="a1"/>
        <w:spacing w:line="320" w:lineRule="atLeast"/>
        <w:rPr>
          <w:w w:val="93"/>
          <w:rtl/>
        </w:rPr>
      </w:pPr>
      <w:r w:rsidRPr="0077091A">
        <w:rPr>
          <w:b w:val="0"/>
          <w:bCs w:val="0"/>
          <w:spacing w:val="-2"/>
          <w:w w:val="93"/>
          <w:rtl/>
        </w:rPr>
        <w:t xml:space="preserve">לוח 14: </w:t>
      </w:r>
      <w:r w:rsidRPr="00DA075D">
        <w:rPr>
          <w:spacing w:val="-2"/>
          <w:w w:val="93"/>
          <w:rtl/>
        </w:rPr>
        <w:t>מיחזור</w:t>
      </w:r>
      <w:r w:rsidRPr="00DA075D">
        <w:rPr>
          <w:spacing w:val="-2"/>
          <w:w w:val="93"/>
          <w:rtl/>
        </w:rPr>
        <w:t xml:space="preserve"> מכלי משקה גדולים שנאספו, 2016 - 2017 (במיליוני יחידות)</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2359"/>
        <w:gridCol w:w="1478"/>
        <w:gridCol w:w="1469"/>
        <w:gridCol w:w="1461"/>
        <w:gridCol w:w="1455"/>
      </w:tblGrid>
      <w:tr w14:paraId="7D477D2E" w14:textId="77777777" w:rsidTr="00A8502C">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2359" w:type="dxa"/>
            <w:vMerge w:val="restart"/>
            <w:tcBorders>
              <w:top w:val="single" w:sz="8" w:space="0" w:color="auto"/>
            </w:tcBorders>
            <w:shd w:val="clear" w:color="auto" w:fill="C6D9F1"/>
          </w:tcPr>
          <w:p w:rsidR="004E012C" w:rsidRPr="006C5FF5" w:rsidP="001224EF" w14:paraId="31E1FD81" w14:textId="77777777">
            <w:pPr>
              <w:pStyle w:val="a20"/>
              <w:keepNext/>
              <w:keepLines/>
              <w:widowControl/>
              <w:tabs>
                <w:tab w:val="clear" w:pos="340"/>
              </w:tabs>
              <w:spacing w:before="40" w:after="40" w:line="240" w:lineRule="atLeast"/>
              <w:jc w:val="left"/>
              <w:rPr>
                <w:rFonts w:ascii="Tahoma" w:hAnsi="Tahoma" w:eastAsiaTheme="minorHAnsi" w:cs="Tahoma"/>
                <w:color w:val="auto"/>
                <w:sz w:val="24"/>
                <w:szCs w:val="24"/>
              </w:rPr>
            </w:pPr>
          </w:p>
        </w:tc>
        <w:tc>
          <w:tcPr>
            <w:tcW w:w="2947" w:type="dxa"/>
            <w:gridSpan w:val="2"/>
            <w:tcBorders>
              <w:top w:val="single" w:sz="8" w:space="0" w:color="auto"/>
              <w:bottom w:val="single" w:sz="4" w:space="0" w:color="auto"/>
            </w:tcBorders>
            <w:shd w:val="clear" w:color="auto" w:fill="C6D9F1"/>
          </w:tcPr>
          <w:p w:rsidR="004E012C" w:rsidRPr="006C5FF5" w:rsidP="001224EF" w14:paraId="7E786D81" w14:textId="56ACC3C6">
            <w:pPr>
              <w:pStyle w:val="a20"/>
              <w:keepNext/>
              <w:keepLines/>
              <w:widowControl/>
              <w:tabs>
                <w:tab w:val="clear" w:pos="340"/>
              </w:tabs>
              <w:spacing w:before="40" w:after="40" w:line="240" w:lineRule="atLeast"/>
              <w:rPr>
                <w:rFonts w:ascii="Tahoma" w:hAnsi="Tahoma" w:cs="Tahoma"/>
                <w:b/>
                <w:bCs/>
                <w:sz w:val="18"/>
                <w:szCs w:val="18"/>
                <w:rtl/>
              </w:rPr>
            </w:pPr>
            <w:r w:rsidRPr="006C5FF5">
              <w:rPr>
                <w:rStyle w:val="a4"/>
                <w:rFonts w:ascii="Tahoma" w:hAnsi="Tahoma" w:cs="Tahoma"/>
                <w:b/>
                <w:bCs/>
                <w:sz w:val="18"/>
                <w:szCs w:val="18"/>
                <w:rtl/>
              </w:rPr>
              <w:t>חברת איסוף א'</w:t>
            </w:r>
          </w:p>
        </w:tc>
        <w:tc>
          <w:tcPr>
            <w:tcW w:w="2916" w:type="dxa"/>
            <w:gridSpan w:val="2"/>
            <w:tcBorders>
              <w:top w:val="single" w:sz="8" w:space="0" w:color="auto"/>
              <w:bottom w:val="single" w:sz="4" w:space="0" w:color="auto"/>
            </w:tcBorders>
            <w:shd w:val="clear" w:color="auto" w:fill="C6D9F1"/>
          </w:tcPr>
          <w:p w:rsidR="004E012C" w:rsidRPr="006C5FF5" w:rsidP="001224EF" w14:paraId="4905C446" w14:textId="6724FAFE">
            <w:pPr>
              <w:pStyle w:val="a20"/>
              <w:keepNext/>
              <w:keepLines/>
              <w:widowControl/>
              <w:tabs>
                <w:tab w:val="clear" w:pos="340"/>
              </w:tabs>
              <w:spacing w:before="40" w:after="40" w:line="240" w:lineRule="atLeast"/>
              <w:rPr>
                <w:rFonts w:ascii="Tahoma" w:hAnsi="Tahoma" w:cs="Tahoma"/>
                <w:b/>
                <w:bCs/>
                <w:sz w:val="18"/>
                <w:szCs w:val="18"/>
                <w:rtl/>
              </w:rPr>
            </w:pPr>
            <w:r w:rsidRPr="006C5FF5">
              <w:rPr>
                <w:rStyle w:val="a4"/>
                <w:rFonts w:ascii="Tahoma" w:hAnsi="Tahoma" w:cs="Tahoma"/>
                <w:b/>
                <w:bCs/>
                <w:sz w:val="18"/>
                <w:szCs w:val="18"/>
                <w:rtl/>
              </w:rPr>
              <w:t>חברת איסוף ב'</w:t>
            </w:r>
          </w:p>
        </w:tc>
      </w:tr>
      <w:tr w14:paraId="09D543B0" w14:textId="77777777" w:rsidTr="00A8502C">
        <w:tblPrEx>
          <w:tblW w:w="8222" w:type="dxa"/>
          <w:jc w:val="center"/>
          <w:tblLook w:val="04A0"/>
        </w:tblPrEx>
        <w:trPr>
          <w:tblHeader/>
          <w:jc w:val="center"/>
        </w:trPr>
        <w:tc>
          <w:tcPr>
            <w:tcW w:w="2359" w:type="dxa"/>
            <w:vMerge/>
            <w:tcBorders>
              <w:bottom w:val="single" w:sz="8" w:space="0" w:color="auto"/>
            </w:tcBorders>
            <w:shd w:val="clear" w:color="auto" w:fill="C6D9F1"/>
          </w:tcPr>
          <w:p w:rsidR="004E012C" w:rsidRPr="006C5FF5" w:rsidP="001224EF" w14:paraId="3A9A400D" w14:textId="77777777">
            <w:pPr>
              <w:pStyle w:val="a20"/>
              <w:keepNext/>
              <w:keepLines/>
              <w:widowControl/>
              <w:tabs>
                <w:tab w:val="clear" w:pos="340"/>
              </w:tabs>
              <w:spacing w:before="40" w:after="40" w:line="240" w:lineRule="atLeast"/>
              <w:jc w:val="left"/>
              <w:rPr>
                <w:rFonts w:ascii="Tahoma" w:hAnsi="Tahoma" w:eastAsiaTheme="minorHAnsi" w:cs="Tahoma"/>
                <w:color w:val="auto"/>
                <w:sz w:val="24"/>
                <w:szCs w:val="24"/>
              </w:rPr>
            </w:pPr>
          </w:p>
        </w:tc>
        <w:tc>
          <w:tcPr>
            <w:tcW w:w="1478" w:type="dxa"/>
            <w:tcBorders>
              <w:top w:val="single" w:sz="4" w:space="0" w:color="auto"/>
              <w:bottom w:val="single" w:sz="8" w:space="0" w:color="auto"/>
            </w:tcBorders>
            <w:shd w:val="clear" w:color="auto" w:fill="C6D9F1"/>
          </w:tcPr>
          <w:p w:rsidR="004E012C" w:rsidRPr="006C5FF5" w:rsidP="001224EF" w14:paraId="4A9813C1" w14:textId="77777777">
            <w:pPr>
              <w:pStyle w:val="a20"/>
              <w:keepNext/>
              <w:keepLines/>
              <w:widowControl/>
              <w:tabs>
                <w:tab w:val="clear" w:pos="340"/>
              </w:tabs>
              <w:spacing w:before="40" w:after="40" w:line="240" w:lineRule="atLeast"/>
              <w:jc w:val="left"/>
              <w:rPr>
                <w:rFonts w:ascii="Tahoma" w:hAnsi="Tahoma" w:cs="Tahoma"/>
                <w:rtl/>
              </w:rPr>
            </w:pPr>
            <w:r w:rsidRPr="006C5FF5">
              <w:rPr>
                <w:rStyle w:val="a4"/>
                <w:rFonts w:ascii="Tahoma" w:hAnsi="Tahoma" w:cs="Tahoma"/>
                <w:b/>
                <w:bCs/>
                <w:sz w:val="18"/>
                <w:szCs w:val="18"/>
                <w:rtl/>
              </w:rPr>
              <w:t>2016</w:t>
            </w:r>
          </w:p>
        </w:tc>
        <w:tc>
          <w:tcPr>
            <w:tcW w:w="1469" w:type="dxa"/>
            <w:tcBorders>
              <w:top w:val="single" w:sz="4" w:space="0" w:color="auto"/>
              <w:bottom w:val="single" w:sz="8" w:space="0" w:color="auto"/>
            </w:tcBorders>
            <w:shd w:val="clear" w:color="auto" w:fill="C6D9F1"/>
          </w:tcPr>
          <w:p w:rsidR="004E012C" w:rsidRPr="006C5FF5" w:rsidP="001224EF" w14:paraId="473AB592" w14:textId="77777777">
            <w:pPr>
              <w:pStyle w:val="a20"/>
              <w:keepNext/>
              <w:keepLines/>
              <w:widowControl/>
              <w:tabs>
                <w:tab w:val="clear" w:pos="340"/>
              </w:tabs>
              <w:spacing w:before="40" w:after="40" w:line="240" w:lineRule="atLeast"/>
              <w:jc w:val="left"/>
              <w:rPr>
                <w:rFonts w:ascii="Tahoma" w:hAnsi="Tahoma" w:cs="Tahoma"/>
                <w:rtl/>
              </w:rPr>
            </w:pPr>
            <w:r w:rsidRPr="006C5FF5">
              <w:rPr>
                <w:rStyle w:val="a4"/>
                <w:rFonts w:ascii="Tahoma" w:hAnsi="Tahoma" w:cs="Tahoma"/>
                <w:b/>
                <w:bCs/>
                <w:sz w:val="18"/>
                <w:szCs w:val="18"/>
                <w:rtl/>
              </w:rPr>
              <w:t>2017</w:t>
            </w:r>
          </w:p>
        </w:tc>
        <w:tc>
          <w:tcPr>
            <w:tcW w:w="1461" w:type="dxa"/>
            <w:tcBorders>
              <w:top w:val="single" w:sz="4" w:space="0" w:color="auto"/>
              <w:bottom w:val="single" w:sz="8" w:space="0" w:color="auto"/>
            </w:tcBorders>
            <w:shd w:val="clear" w:color="auto" w:fill="C6D9F1"/>
          </w:tcPr>
          <w:p w:rsidR="004E012C" w:rsidRPr="006C5FF5" w:rsidP="001224EF" w14:paraId="32546F71" w14:textId="77777777">
            <w:pPr>
              <w:pStyle w:val="a20"/>
              <w:keepNext/>
              <w:keepLines/>
              <w:widowControl/>
              <w:tabs>
                <w:tab w:val="clear" w:pos="340"/>
              </w:tabs>
              <w:spacing w:before="40" w:after="40" w:line="240" w:lineRule="atLeast"/>
              <w:jc w:val="left"/>
              <w:rPr>
                <w:rFonts w:ascii="Tahoma" w:hAnsi="Tahoma" w:cs="Tahoma"/>
                <w:rtl/>
              </w:rPr>
            </w:pPr>
            <w:r w:rsidRPr="006C5FF5">
              <w:rPr>
                <w:rStyle w:val="a4"/>
                <w:rFonts w:ascii="Tahoma" w:hAnsi="Tahoma" w:cs="Tahoma"/>
                <w:b/>
                <w:bCs/>
                <w:sz w:val="18"/>
                <w:szCs w:val="18"/>
                <w:rtl/>
              </w:rPr>
              <w:t>2016 **</w:t>
            </w:r>
          </w:p>
        </w:tc>
        <w:tc>
          <w:tcPr>
            <w:tcW w:w="1455" w:type="dxa"/>
            <w:tcBorders>
              <w:top w:val="single" w:sz="4" w:space="0" w:color="auto"/>
              <w:bottom w:val="single" w:sz="8" w:space="0" w:color="auto"/>
            </w:tcBorders>
            <w:shd w:val="clear" w:color="auto" w:fill="C6D9F1"/>
          </w:tcPr>
          <w:p w:rsidR="004E012C" w:rsidRPr="006C5FF5" w:rsidP="001224EF" w14:paraId="6C440DE0" w14:textId="77777777">
            <w:pPr>
              <w:pStyle w:val="a20"/>
              <w:keepNext/>
              <w:keepLines/>
              <w:widowControl/>
              <w:tabs>
                <w:tab w:val="clear" w:pos="340"/>
              </w:tabs>
              <w:spacing w:before="40" w:after="40" w:line="240" w:lineRule="atLeast"/>
              <w:jc w:val="left"/>
              <w:rPr>
                <w:rFonts w:ascii="Tahoma" w:hAnsi="Tahoma" w:cs="Tahoma"/>
                <w:b/>
                <w:bCs/>
                <w:sz w:val="18"/>
                <w:szCs w:val="18"/>
                <w:rtl/>
              </w:rPr>
            </w:pPr>
            <w:r w:rsidRPr="006C5FF5">
              <w:rPr>
                <w:rStyle w:val="a4"/>
                <w:rFonts w:ascii="Tahoma" w:hAnsi="Tahoma" w:cs="Tahoma"/>
                <w:b/>
                <w:bCs/>
                <w:sz w:val="18"/>
                <w:szCs w:val="18"/>
                <w:rtl/>
              </w:rPr>
              <w:t>2017</w:t>
            </w:r>
          </w:p>
        </w:tc>
      </w:tr>
      <w:tr w14:paraId="185B2F4A" w14:textId="77777777" w:rsidTr="004E012C">
        <w:tblPrEx>
          <w:tblW w:w="8222" w:type="dxa"/>
          <w:jc w:val="center"/>
          <w:tblLook w:val="04A0"/>
        </w:tblPrEx>
        <w:trPr>
          <w:jc w:val="center"/>
        </w:trPr>
        <w:tc>
          <w:tcPr>
            <w:tcW w:w="2359" w:type="dxa"/>
            <w:tcBorders>
              <w:top w:val="single" w:sz="8" w:space="0" w:color="auto"/>
            </w:tcBorders>
          </w:tcPr>
          <w:p w:rsidR="0077091A" w:rsidRPr="006C5FF5" w:rsidP="001224EF" w14:paraId="55926D69"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מכלים שדווח על איסופם</w:t>
            </w:r>
          </w:p>
        </w:tc>
        <w:tc>
          <w:tcPr>
            <w:tcW w:w="1478" w:type="dxa"/>
            <w:tcBorders>
              <w:top w:val="single" w:sz="8" w:space="0" w:color="auto"/>
            </w:tcBorders>
          </w:tcPr>
          <w:p w:rsidR="0077091A" w:rsidRPr="006C5FF5" w:rsidP="001224EF" w14:paraId="6D7C3101"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445.71</w:t>
            </w:r>
          </w:p>
        </w:tc>
        <w:tc>
          <w:tcPr>
            <w:tcW w:w="1469" w:type="dxa"/>
            <w:tcBorders>
              <w:top w:val="single" w:sz="8" w:space="0" w:color="auto"/>
            </w:tcBorders>
          </w:tcPr>
          <w:p w:rsidR="0077091A" w:rsidRPr="006C5FF5" w:rsidP="001224EF" w14:paraId="5070E7BA"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432.45</w:t>
            </w:r>
          </w:p>
        </w:tc>
        <w:tc>
          <w:tcPr>
            <w:tcW w:w="1461" w:type="dxa"/>
            <w:tcBorders>
              <w:top w:val="single" w:sz="8" w:space="0" w:color="auto"/>
            </w:tcBorders>
          </w:tcPr>
          <w:p w:rsidR="0077091A" w:rsidRPr="006C5FF5" w:rsidP="001224EF" w14:paraId="1676A7DC"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8.47</w:t>
            </w:r>
          </w:p>
        </w:tc>
        <w:tc>
          <w:tcPr>
            <w:tcW w:w="1455" w:type="dxa"/>
            <w:tcBorders>
              <w:top w:val="single" w:sz="8" w:space="0" w:color="auto"/>
            </w:tcBorders>
          </w:tcPr>
          <w:p w:rsidR="0077091A" w:rsidRPr="006C5FF5" w:rsidP="001224EF" w14:paraId="61125BDE" w14:textId="77777777">
            <w:pPr>
              <w:pStyle w:val="a21"/>
              <w:keepNext/>
              <w:keepLines/>
              <w:widowControl/>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10.56</w:t>
            </w:r>
          </w:p>
        </w:tc>
      </w:tr>
      <w:tr w14:paraId="5B25C740" w14:textId="77777777" w:rsidTr="004E012C">
        <w:tblPrEx>
          <w:tblW w:w="8222" w:type="dxa"/>
          <w:jc w:val="center"/>
          <w:tblLook w:val="04A0"/>
        </w:tblPrEx>
        <w:trPr>
          <w:jc w:val="center"/>
        </w:trPr>
        <w:tc>
          <w:tcPr>
            <w:tcW w:w="2359" w:type="dxa"/>
          </w:tcPr>
          <w:p w:rsidR="0077091A" w:rsidRPr="006C5FF5" w:rsidP="001224EF" w14:paraId="7D31E2FA"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 xml:space="preserve">מכלים שאיסופם הוכר </w:t>
            </w:r>
          </w:p>
        </w:tc>
        <w:tc>
          <w:tcPr>
            <w:tcW w:w="1478" w:type="dxa"/>
          </w:tcPr>
          <w:p w:rsidR="0077091A" w:rsidRPr="006C5FF5" w:rsidP="001224EF" w14:paraId="7DDD7A64"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379.47*</w:t>
            </w:r>
          </w:p>
        </w:tc>
        <w:tc>
          <w:tcPr>
            <w:tcW w:w="1469" w:type="dxa"/>
          </w:tcPr>
          <w:p w:rsidR="0077091A" w:rsidRPr="006C5FF5" w:rsidP="001224EF" w14:paraId="34AD4BFC"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399.90</w:t>
            </w:r>
          </w:p>
        </w:tc>
        <w:tc>
          <w:tcPr>
            <w:tcW w:w="1461" w:type="dxa"/>
          </w:tcPr>
          <w:p w:rsidR="0077091A" w:rsidRPr="006C5FF5" w:rsidP="001224EF" w14:paraId="7748CD8C"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8.25</w:t>
            </w:r>
          </w:p>
        </w:tc>
        <w:tc>
          <w:tcPr>
            <w:tcW w:w="1455" w:type="dxa"/>
          </w:tcPr>
          <w:p w:rsidR="0077091A" w:rsidRPr="006C5FF5" w:rsidP="001224EF" w14:paraId="3F026D3E" w14:textId="77777777">
            <w:pPr>
              <w:pStyle w:val="a21"/>
              <w:keepNext/>
              <w:keepLines/>
              <w:widowControl/>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10.46</w:t>
            </w:r>
          </w:p>
        </w:tc>
      </w:tr>
      <w:tr w14:paraId="30622AB8" w14:textId="77777777" w:rsidTr="004E012C">
        <w:tblPrEx>
          <w:tblW w:w="8222" w:type="dxa"/>
          <w:jc w:val="center"/>
          <w:tblLook w:val="04A0"/>
        </w:tblPrEx>
        <w:trPr>
          <w:jc w:val="center"/>
        </w:trPr>
        <w:tc>
          <w:tcPr>
            <w:tcW w:w="2359" w:type="dxa"/>
          </w:tcPr>
          <w:p w:rsidR="0077091A" w:rsidRPr="006C5FF5" w:rsidP="001224EF" w14:paraId="5359D963"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 xml:space="preserve">מכלים </w:t>
            </w:r>
            <w:r w:rsidRPr="006C5FF5">
              <w:rPr>
                <w:rFonts w:ascii="Tahoma" w:hAnsi="Tahoma" w:cs="Tahoma"/>
                <w:sz w:val="18"/>
                <w:szCs w:val="18"/>
                <w:rtl/>
              </w:rPr>
              <w:t>שמיחזורם</w:t>
            </w:r>
            <w:r w:rsidRPr="006C5FF5">
              <w:rPr>
                <w:rFonts w:ascii="Tahoma" w:hAnsi="Tahoma" w:cs="Tahoma"/>
                <w:sz w:val="18"/>
                <w:szCs w:val="18"/>
                <w:rtl/>
              </w:rPr>
              <w:t xml:space="preserve"> הוכר </w:t>
            </w:r>
          </w:p>
        </w:tc>
        <w:tc>
          <w:tcPr>
            <w:tcW w:w="1478" w:type="dxa"/>
          </w:tcPr>
          <w:p w:rsidR="0077091A" w:rsidRPr="006C5FF5" w:rsidP="001224EF" w14:paraId="38F57D76"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157.50*</w:t>
            </w:r>
          </w:p>
        </w:tc>
        <w:tc>
          <w:tcPr>
            <w:tcW w:w="1469" w:type="dxa"/>
          </w:tcPr>
          <w:p w:rsidR="0077091A" w:rsidRPr="006C5FF5" w:rsidP="001224EF" w14:paraId="3CDAF12F"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210.21</w:t>
            </w:r>
          </w:p>
        </w:tc>
        <w:tc>
          <w:tcPr>
            <w:tcW w:w="1461" w:type="dxa"/>
          </w:tcPr>
          <w:p w:rsidR="0077091A" w:rsidRPr="006C5FF5" w:rsidP="001224EF" w14:paraId="36635F55"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7.73</w:t>
            </w:r>
          </w:p>
        </w:tc>
        <w:tc>
          <w:tcPr>
            <w:tcW w:w="1455" w:type="dxa"/>
          </w:tcPr>
          <w:p w:rsidR="0077091A" w:rsidRPr="006C5FF5" w:rsidP="001224EF" w14:paraId="1D4D0FC1" w14:textId="77777777">
            <w:pPr>
              <w:pStyle w:val="a21"/>
              <w:keepNext/>
              <w:keepLines/>
              <w:widowControl/>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10.46</w:t>
            </w:r>
          </w:p>
        </w:tc>
      </w:tr>
      <w:tr w14:paraId="61111A99" w14:textId="77777777" w:rsidTr="004E012C">
        <w:tblPrEx>
          <w:tblW w:w="8222" w:type="dxa"/>
          <w:jc w:val="center"/>
          <w:tblLook w:val="04A0"/>
        </w:tblPrEx>
        <w:trPr>
          <w:jc w:val="center"/>
        </w:trPr>
        <w:tc>
          <w:tcPr>
            <w:tcW w:w="2359" w:type="dxa"/>
          </w:tcPr>
          <w:p w:rsidR="0077091A" w:rsidRPr="006C5FF5" w:rsidP="001224EF" w14:paraId="410D92E2"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 xml:space="preserve">מכלים </w:t>
            </w:r>
            <w:r w:rsidRPr="006C5FF5">
              <w:rPr>
                <w:rFonts w:ascii="Tahoma" w:hAnsi="Tahoma" w:cs="Tahoma"/>
                <w:sz w:val="18"/>
                <w:szCs w:val="18"/>
                <w:rtl/>
              </w:rPr>
              <w:t>שמיחזורם</w:t>
            </w:r>
            <w:r w:rsidRPr="006C5FF5">
              <w:rPr>
                <w:rFonts w:ascii="Tahoma" w:hAnsi="Tahoma" w:cs="Tahoma"/>
                <w:sz w:val="18"/>
                <w:szCs w:val="18"/>
                <w:rtl/>
              </w:rPr>
              <w:t xml:space="preserve"> לא הוכר</w:t>
            </w:r>
          </w:p>
        </w:tc>
        <w:tc>
          <w:tcPr>
            <w:tcW w:w="1478" w:type="dxa"/>
          </w:tcPr>
          <w:p w:rsidR="0077091A" w:rsidRPr="006C5FF5" w:rsidP="001224EF" w14:paraId="40C8D13A"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221.95</w:t>
            </w:r>
          </w:p>
        </w:tc>
        <w:tc>
          <w:tcPr>
            <w:tcW w:w="1469" w:type="dxa"/>
          </w:tcPr>
          <w:p w:rsidR="0077091A" w:rsidRPr="006C5FF5" w:rsidP="001224EF" w14:paraId="730F71D6"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189.69</w:t>
            </w:r>
          </w:p>
        </w:tc>
        <w:tc>
          <w:tcPr>
            <w:tcW w:w="1461" w:type="dxa"/>
          </w:tcPr>
          <w:p w:rsidR="0077091A" w:rsidRPr="006C5FF5" w:rsidP="001224EF" w14:paraId="328F21CB"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0.52</w:t>
            </w:r>
          </w:p>
        </w:tc>
        <w:tc>
          <w:tcPr>
            <w:tcW w:w="1455" w:type="dxa"/>
          </w:tcPr>
          <w:p w:rsidR="0077091A" w:rsidRPr="006C5FF5" w:rsidP="001224EF" w14:paraId="381036BF" w14:textId="77777777">
            <w:pPr>
              <w:pStyle w:val="a21"/>
              <w:keepNext/>
              <w:keepLines/>
              <w:widowControl/>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w:t>
            </w:r>
          </w:p>
        </w:tc>
      </w:tr>
      <w:tr w14:paraId="78975024" w14:textId="77777777" w:rsidTr="004E012C">
        <w:tblPrEx>
          <w:tblW w:w="8222" w:type="dxa"/>
          <w:jc w:val="center"/>
          <w:tblLook w:val="04A0"/>
        </w:tblPrEx>
        <w:trPr>
          <w:jc w:val="center"/>
        </w:trPr>
        <w:tc>
          <w:tcPr>
            <w:tcW w:w="2359" w:type="dxa"/>
          </w:tcPr>
          <w:p w:rsidR="0077091A" w:rsidRPr="006C5FF5" w:rsidP="001224EF" w14:paraId="683637EC"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 xml:space="preserve">שיעור </w:t>
            </w:r>
            <w:r w:rsidRPr="006C5FF5">
              <w:rPr>
                <w:rFonts w:ascii="Tahoma" w:hAnsi="Tahoma" w:cs="Tahoma"/>
                <w:sz w:val="18"/>
                <w:szCs w:val="18"/>
                <w:rtl/>
              </w:rPr>
              <w:t>המיחזור</w:t>
            </w:r>
            <w:r w:rsidRPr="006C5FF5">
              <w:rPr>
                <w:rFonts w:ascii="Tahoma" w:hAnsi="Tahoma" w:cs="Tahoma"/>
                <w:sz w:val="18"/>
                <w:szCs w:val="18"/>
                <w:rtl/>
              </w:rPr>
              <w:t xml:space="preserve"> שהוכר</w:t>
            </w:r>
          </w:p>
        </w:tc>
        <w:tc>
          <w:tcPr>
            <w:tcW w:w="1478" w:type="dxa"/>
          </w:tcPr>
          <w:p w:rsidR="0077091A" w:rsidRPr="006C5FF5" w:rsidP="001224EF" w14:paraId="030C387F"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41.51%*</w:t>
            </w:r>
          </w:p>
        </w:tc>
        <w:tc>
          <w:tcPr>
            <w:tcW w:w="1469" w:type="dxa"/>
          </w:tcPr>
          <w:p w:rsidR="0077091A" w:rsidRPr="006C5FF5" w:rsidP="001224EF" w14:paraId="06E018DC"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52.57%</w:t>
            </w:r>
          </w:p>
        </w:tc>
        <w:tc>
          <w:tcPr>
            <w:tcW w:w="1461" w:type="dxa"/>
          </w:tcPr>
          <w:p w:rsidR="0077091A" w:rsidRPr="006C5FF5" w:rsidP="001224EF" w14:paraId="5E2676A8" w14:textId="77777777">
            <w:pPr>
              <w:pStyle w:val="a21"/>
              <w:keepNext/>
              <w:keepLines/>
              <w:widowControl/>
              <w:tabs>
                <w:tab w:val="clear" w:pos="340"/>
              </w:tabs>
              <w:spacing w:before="40" w:after="40" w:line="240" w:lineRule="atLeast"/>
              <w:rPr>
                <w:rFonts w:ascii="Tahoma" w:hAnsi="Tahoma" w:cs="Tahoma"/>
                <w:rtl/>
              </w:rPr>
            </w:pPr>
            <w:r w:rsidRPr="006C5FF5">
              <w:rPr>
                <w:rFonts w:ascii="Tahoma" w:hAnsi="Tahoma" w:cs="Tahoma"/>
                <w:sz w:val="18"/>
                <w:szCs w:val="18"/>
                <w:rtl/>
              </w:rPr>
              <w:t>93.7%</w:t>
            </w:r>
          </w:p>
        </w:tc>
        <w:tc>
          <w:tcPr>
            <w:tcW w:w="1455" w:type="dxa"/>
          </w:tcPr>
          <w:p w:rsidR="0077091A" w:rsidRPr="006C5FF5" w:rsidP="001224EF" w14:paraId="04A2E77D" w14:textId="77777777">
            <w:pPr>
              <w:pStyle w:val="a21"/>
              <w:keepNext/>
              <w:keepLines/>
              <w:widowControl/>
              <w:tabs>
                <w:tab w:val="clear" w:pos="340"/>
              </w:tabs>
              <w:spacing w:before="40" w:after="40" w:line="240" w:lineRule="atLeast"/>
              <w:rPr>
                <w:rFonts w:ascii="Tahoma" w:hAnsi="Tahoma" w:cs="Tahoma"/>
                <w:sz w:val="18"/>
                <w:szCs w:val="18"/>
                <w:rtl/>
              </w:rPr>
            </w:pPr>
            <w:r w:rsidRPr="006C5FF5">
              <w:rPr>
                <w:rFonts w:ascii="Tahoma" w:hAnsi="Tahoma" w:cs="Tahoma"/>
                <w:sz w:val="18"/>
                <w:szCs w:val="18"/>
                <w:rtl/>
              </w:rPr>
              <w:t>100%</w:t>
            </w:r>
          </w:p>
        </w:tc>
      </w:tr>
    </w:tbl>
    <w:p w:rsidR="000930B3" w:rsidRPr="00DA075D" w:rsidP="001224EF" w14:paraId="5B6C10A4" w14:textId="77777777">
      <w:pPr>
        <w:pStyle w:val="text-source"/>
        <w:spacing w:after="0"/>
        <w:rPr>
          <w:rtl/>
        </w:rPr>
      </w:pPr>
      <w:r w:rsidRPr="00DA075D">
        <w:rPr>
          <w:rtl/>
        </w:rPr>
        <w:t xml:space="preserve">על פי דוחות הבקרה, בעיבוד משרד מבקר המדינה. מספר המכלים שאיסופם </w:t>
      </w:r>
      <w:r w:rsidRPr="00DA075D">
        <w:rPr>
          <w:rtl/>
        </w:rPr>
        <w:t>ומיחזורם</w:t>
      </w:r>
      <w:r w:rsidRPr="00DA075D">
        <w:rPr>
          <w:rtl/>
        </w:rPr>
        <w:t xml:space="preserve"> הוכר הוא על פי חישוב משרד מבקר המדינה. </w:t>
      </w:r>
    </w:p>
    <w:p w:rsidR="000930B3" w:rsidRPr="00DA075D" w:rsidP="001224EF" w14:paraId="5BC7400A" w14:textId="77777777">
      <w:pPr>
        <w:pStyle w:val="text-source"/>
        <w:spacing w:before="0" w:after="0"/>
        <w:ind w:left="340" w:hanging="340"/>
        <w:rPr>
          <w:rtl/>
        </w:rPr>
      </w:pPr>
      <w:r w:rsidRPr="00DA075D">
        <w:rPr>
          <w:rtl/>
        </w:rPr>
        <w:t>*</w:t>
      </w:r>
      <w:r w:rsidRPr="00DA075D">
        <w:rPr>
          <w:rtl/>
        </w:rPr>
        <w:tab/>
        <w:t xml:space="preserve">בנובמבר 2017, לאחר הגשת דוחות הבקרה, "רכשה" חברת איסוף א' איסוף מכלים גדולים שבוצע בשנת 2016 בידי חברת איסוף אחרת. לפי חישוב משרד מבקר המדינה היה מספרם כ-53.8 מיליון, והוא נכלל במספר המכלים שאיסופם </w:t>
      </w:r>
      <w:r w:rsidRPr="00DA075D">
        <w:rPr>
          <w:rtl/>
        </w:rPr>
        <w:t>ומיחזורם</w:t>
      </w:r>
      <w:r w:rsidRPr="00DA075D">
        <w:rPr>
          <w:rtl/>
        </w:rPr>
        <w:t xml:space="preserve"> הוכר על פי החלטת בית המשפט מנובמבר 2020</w:t>
      </w:r>
      <w:r w:rsidRPr="00DA075D">
        <w:rPr>
          <w:spacing w:val="-51"/>
          <w:rtl/>
        </w:rPr>
        <w:t xml:space="preserve"> </w:t>
      </w:r>
      <w:r>
        <w:rPr>
          <w:vertAlign w:val="superscript"/>
          <w:rtl/>
        </w:rPr>
        <w:footnoteReference w:id="91"/>
      </w:r>
      <w:r w:rsidRPr="00DA075D">
        <w:rPr>
          <w:rtl/>
        </w:rPr>
        <w:t>, ככל שהממונה יקבע כי האיסוף האמור מוחזר בשלמותו.</w:t>
      </w:r>
    </w:p>
    <w:p w:rsidR="000930B3" w:rsidRPr="00DA075D" w:rsidP="001224EF" w14:paraId="05F09F05" w14:textId="77777777">
      <w:pPr>
        <w:pStyle w:val="text-source"/>
        <w:spacing w:before="0"/>
        <w:ind w:left="340" w:hanging="340"/>
        <w:rPr>
          <w:rtl/>
        </w:rPr>
      </w:pPr>
      <w:r w:rsidRPr="00DA075D">
        <w:rPr>
          <w:rtl/>
        </w:rPr>
        <w:t>**</w:t>
      </w:r>
      <w:r w:rsidRPr="00DA075D">
        <w:rPr>
          <w:rtl/>
        </w:rPr>
        <w:tab/>
        <w:t xml:space="preserve">כאמור לעיל, לאחר מועד סיום הביקורת הודיע המשרד </w:t>
      </w:r>
      <w:r w:rsidRPr="00DA075D">
        <w:rPr>
          <w:rtl/>
        </w:rPr>
        <w:t>להגנ"ס</w:t>
      </w:r>
      <w:r w:rsidRPr="00DA075D">
        <w:rPr>
          <w:rtl/>
        </w:rPr>
        <w:t xml:space="preserve"> כי יסכים להחיל את המשקל המשוקלל של 37.793 גרם. על כן מספר המכלים שדווח על איסופם ואיסופם הוכר צפוי לגדול.</w:t>
      </w:r>
    </w:p>
    <w:p w:rsidR="000930B3" w:rsidRPr="00D22A15" w:rsidP="005C4ABF" w14:paraId="7B113F0E"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ב' מסרה בתגובתה כי בנתוני </w:t>
      </w:r>
      <w:r w:rsidRPr="00D22A15">
        <w:rPr>
          <w:rFonts w:ascii="Tahoma" w:hAnsi="Tahoma" w:cs="Tahoma"/>
          <w:sz w:val="20"/>
          <w:szCs w:val="20"/>
          <w:rtl/>
        </w:rPr>
        <w:t>המיחזור</w:t>
      </w:r>
      <w:r w:rsidRPr="00D22A15">
        <w:rPr>
          <w:rFonts w:ascii="Tahoma" w:hAnsi="Tahoma" w:cs="Tahoma"/>
          <w:sz w:val="20"/>
          <w:szCs w:val="20"/>
          <w:rtl/>
        </w:rPr>
        <w:t xml:space="preserve"> העולים מדוחות הבקרה טרם נכללו נתונים המשקפים את תגובת החברה שהועברה לרואי החשבון מטעם המשרד </w:t>
      </w:r>
      <w:r w:rsidRPr="00D22A15">
        <w:rPr>
          <w:rFonts w:ascii="Tahoma" w:hAnsi="Tahoma" w:cs="Tahoma"/>
          <w:sz w:val="20"/>
          <w:szCs w:val="20"/>
          <w:rtl/>
        </w:rPr>
        <w:t>להגנ"ס</w:t>
      </w:r>
      <w:r w:rsidRPr="00D22A15">
        <w:rPr>
          <w:rFonts w:ascii="Tahoma" w:hAnsi="Tahoma" w:cs="Tahoma"/>
          <w:sz w:val="20"/>
          <w:szCs w:val="20"/>
          <w:rtl/>
        </w:rPr>
        <w:t xml:space="preserve"> בנובמבר 2020 (לאחר מועד סיום הביקורת). </w:t>
      </w:r>
    </w:p>
    <w:p w:rsidR="000930B3" w:rsidRPr="00D22A15" w:rsidP="005C4ABF" w14:paraId="5FACFDC9"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בדוחות הבקרה צוין כי הוכר </w:t>
      </w:r>
      <w:r w:rsidRPr="00D22A15">
        <w:rPr>
          <w:rFonts w:ascii="Tahoma" w:hAnsi="Tahoma" w:cs="Tahoma"/>
          <w:sz w:val="20"/>
          <w:szCs w:val="20"/>
          <w:rtl/>
        </w:rPr>
        <w:t>מיחזור</w:t>
      </w:r>
      <w:r w:rsidRPr="00D22A15">
        <w:rPr>
          <w:rFonts w:ascii="Tahoma" w:hAnsi="Tahoma" w:cs="Tahoma"/>
          <w:sz w:val="20"/>
          <w:szCs w:val="20"/>
          <w:rtl/>
        </w:rPr>
        <w:t xml:space="preserve"> בהיקף הנתמך באסמכתאות כגון תעודות שקילה בכניסה למפעלי </w:t>
      </w:r>
      <w:r w:rsidRPr="00D22A15">
        <w:rPr>
          <w:rFonts w:ascii="Tahoma" w:hAnsi="Tahoma" w:cs="Tahoma"/>
          <w:sz w:val="20"/>
          <w:szCs w:val="20"/>
          <w:rtl/>
        </w:rPr>
        <w:t>מיחזור</w:t>
      </w:r>
      <w:r w:rsidRPr="00D22A15">
        <w:rPr>
          <w:rFonts w:ascii="Tahoma" w:hAnsi="Tahoma" w:cs="Tahoma"/>
          <w:sz w:val="20"/>
          <w:szCs w:val="20"/>
          <w:rtl/>
        </w:rPr>
        <w:t xml:space="preserve"> או רשימוני יצוא למפעלי </w:t>
      </w:r>
      <w:r w:rsidRPr="00D22A15">
        <w:rPr>
          <w:rFonts w:ascii="Tahoma" w:hAnsi="Tahoma" w:cs="Tahoma"/>
          <w:sz w:val="20"/>
          <w:szCs w:val="20"/>
          <w:rtl/>
        </w:rPr>
        <w:t>מיחזור</w:t>
      </w:r>
      <w:r w:rsidRPr="00D22A15">
        <w:rPr>
          <w:rFonts w:ascii="Tahoma" w:hAnsi="Tahoma" w:cs="Tahoma"/>
          <w:sz w:val="20"/>
          <w:szCs w:val="20"/>
          <w:rtl/>
        </w:rPr>
        <w:t xml:space="preserve"> מחוץ לישראל. </w:t>
      </w:r>
    </w:p>
    <w:p w:rsidR="000930B3" w:rsidRPr="00DA075D" w:rsidP="008E06C5" w14:paraId="0A90F20C" w14:textId="77777777">
      <w:pPr>
        <w:pStyle w:val="RESHET"/>
        <w:rPr>
          <w:rtl/>
        </w:rPr>
      </w:pPr>
      <w:r w:rsidRPr="00DA075D">
        <w:rPr>
          <w:rtl/>
        </w:rPr>
        <w:t xml:space="preserve">מהלוח עולה כי חברת איסוף א' לא עמדה בשנים 2016 ו-2017 ביעד </w:t>
      </w:r>
      <w:r w:rsidRPr="00DA075D">
        <w:rPr>
          <w:rtl/>
        </w:rPr>
        <w:t>המיחזור</w:t>
      </w:r>
      <w:r w:rsidRPr="00DA075D">
        <w:rPr>
          <w:rtl/>
        </w:rPr>
        <w:t xml:space="preserve"> שנקבע בחוק הפיקדון (90% מהאיסוף המוכר). שיעור </w:t>
      </w:r>
      <w:r w:rsidRPr="00DA075D">
        <w:rPr>
          <w:rtl/>
        </w:rPr>
        <w:t>המיחזור</w:t>
      </w:r>
      <w:r w:rsidRPr="00DA075D">
        <w:rPr>
          <w:rtl/>
        </w:rPr>
        <w:t xml:space="preserve"> המוכר של שתי חברות האיסוף יחד היה בשנים 2016 ו-2017 43% ו-54% מהמכלים שנאספו, בהתאמה. בנסיבות אלה, עולה חשש כי מכלים שנאספו ולא מוחזרו הועברו להטמנה. </w:t>
      </w:r>
    </w:p>
    <w:p w:rsidR="000930B3" w:rsidRPr="00D22A15" w:rsidP="005C4ABF" w14:paraId="75A26AA8"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חברת איסוף א' מסרה בתגובתה כי אין חשש ממשי שהחומר שנאסף הוטמן, משום שהטמנה כרוכה בעלות, ואילו לחומר שכבר נאסף יש ערך כלכלי חיובי. לטענת חברת האיסוף, אי-ההכרה </w:t>
      </w:r>
      <w:r w:rsidRPr="00D22A15">
        <w:rPr>
          <w:rFonts w:ascii="Tahoma" w:hAnsi="Tahoma" w:cs="Tahoma"/>
          <w:sz w:val="20"/>
          <w:szCs w:val="20"/>
          <w:rtl/>
        </w:rPr>
        <w:t>במיחזור</w:t>
      </w:r>
      <w:r w:rsidRPr="00D22A15">
        <w:rPr>
          <w:rFonts w:ascii="Tahoma" w:hAnsi="Tahoma" w:cs="Tahoma"/>
          <w:sz w:val="20"/>
          <w:szCs w:val="20"/>
          <w:rtl/>
        </w:rPr>
        <w:t xml:space="preserve"> כאמור נובעת רק מקשיים ביורוקרטיים שלפניהם ניצבה החברה, ובכלל זה: דרישה לקבלת אסמכתאות מסוימות לגבי </w:t>
      </w:r>
      <w:r w:rsidRPr="00D22A15">
        <w:rPr>
          <w:rFonts w:ascii="Tahoma" w:hAnsi="Tahoma" w:cs="Tahoma"/>
          <w:sz w:val="20"/>
          <w:szCs w:val="20"/>
          <w:rtl/>
        </w:rPr>
        <w:t>המיחזור</w:t>
      </w:r>
      <w:r w:rsidRPr="00D22A15">
        <w:rPr>
          <w:rFonts w:ascii="Tahoma" w:hAnsi="Tahoma" w:cs="Tahoma"/>
          <w:sz w:val="20"/>
          <w:szCs w:val="20"/>
          <w:rtl/>
        </w:rPr>
        <w:t xml:space="preserve"> שבפועל בוצע על ידי תאגידי </w:t>
      </w:r>
      <w:r w:rsidRPr="00D22A15">
        <w:rPr>
          <w:rFonts w:ascii="Tahoma" w:hAnsi="Tahoma" w:cs="Tahoma"/>
          <w:sz w:val="20"/>
          <w:szCs w:val="20"/>
          <w:rtl/>
        </w:rPr>
        <w:t>המיחזור</w:t>
      </w:r>
      <w:r w:rsidRPr="00D22A15">
        <w:rPr>
          <w:rFonts w:ascii="Tahoma" w:hAnsi="Tahoma" w:cs="Tahoma"/>
          <w:sz w:val="20"/>
          <w:szCs w:val="20"/>
          <w:rtl/>
        </w:rPr>
        <w:t xml:space="preserve"> ולא על ידי חברת איסוף א'; והיעדר אסדרה מיטבית בכל הקשור למפעלי </w:t>
      </w:r>
      <w:r w:rsidRPr="00D22A15">
        <w:rPr>
          <w:rFonts w:ascii="Tahoma" w:hAnsi="Tahoma" w:cs="Tahoma"/>
          <w:sz w:val="20"/>
          <w:szCs w:val="20"/>
          <w:rtl/>
        </w:rPr>
        <w:t>מיחזור</w:t>
      </w:r>
      <w:r w:rsidRPr="00D22A15">
        <w:rPr>
          <w:rFonts w:ascii="Tahoma" w:hAnsi="Tahoma" w:cs="Tahoma"/>
          <w:sz w:val="20"/>
          <w:szCs w:val="20"/>
          <w:rtl/>
        </w:rPr>
        <w:t xml:space="preserve">, שלפיה הבאת החומרים אליהם תיחשב </w:t>
      </w:r>
      <w:r w:rsidRPr="00D22A15">
        <w:rPr>
          <w:rFonts w:ascii="Tahoma" w:hAnsi="Tahoma" w:cs="Tahoma"/>
          <w:sz w:val="20"/>
          <w:szCs w:val="20"/>
          <w:rtl/>
        </w:rPr>
        <w:t>מיחזור</w:t>
      </w:r>
      <w:r w:rsidRPr="00D22A15">
        <w:rPr>
          <w:rFonts w:ascii="Tahoma" w:hAnsi="Tahoma" w:cs="Tahoma"/>
          <w:sz w:val="20"/>
          <w:szCs w:val="20"/>
          <w:rtl/>
        </w:rPr>
        <w:t xml:space="preserve"> על פי החוק. </w:t>
      </w:r>
    </w:p>
    <w:p w:rsidR="000930B3" w:rsidRPr="00DA075D" w:rsidP="008E06C5" w14:paraId="72E2A6FD" w14:textId="77777777">
      <w:pPr>
        <w:pStyle w:val="RESHET"/>
        <w:rPr>
          <w:rtl/>
        </w:rPr>
      </w:pPr>
      <w:r w:rsidRPr="00DA075D">
        <w:rPr>
          <w:rtl/>
        </w:rPr>
        <w:t xml:space="preserve">משרד מבקר המדינה ממליץ כי המשרד </w:t>
      </w:r>
      <w:r w:rsidRPr="00DA075D">
        <w:rPr>
          <w:rtl/>
        </w:rPr>
        <w:t>להגנ"ס</w:t>
      </w:r>
      <w:r w:rsidRPr="00DA075D">
        <w:rPr>
          <w:rtl/>
        </w:rPr>
        <w:t xml:space="preserve"> יבחן את אופן הטיפול במכלים שנאספו </w:t>
      </w:r>
      <w:r w:rsidRPr="00DA075D">
        <w:rPr>
          <w:rtl/>
        </w:rPr>
        <w:t>ומיחזורם</w:t>
      </w:r>
      <w:r w:rsidRPr="00DA075D">
        <w:rPr>
          <w:rtl/>
        </w:rPr>
        <w:t xml:space="preserve"> לא הוכר. </w:t>
      </w:r>
    </w:p>
    <w:p w:rsidR="000930B3" w:rsidRPr="00DA075D" w:rsidP="00874535" w14:paraId="7C2D30C4" w14:textId="77777777">
      <w:pPr>
        <w:pStyle w:val="RESHET"/>
        <w:spacing w:line="320" w:lineRule="atLeast"/>
        <w:rPr>
          <w:rtl/>
        </w:rPr>
      </w:pPr>
      <w:r w:rsidRPr="00DA075D">
        <w:rPr>
          <w:rtl/>
        </w:rPr>
        <w:t xml:space="preserve">יצוין כי כ-133 מתוך כ-210 מיליון מכלי משקה גדולים מוחזרו בשנת 2017 (64% </w:t>
      </w:r>
      <w:r w:rsidRPr="00DA075D">
        <w:rPr>
          <w:rtl/>
        </w:rPr>
        <w:t>מהמיחזור</w:t>
      </w:r>
      <w:r w:rsidRPr="00DA075D">
        <w:rPr>
          <w:rtl/>
        </w:rPr>
        <w:t xml:space="preserve"> שהוכר) באמצעות בעירה להשבת אנרגיה (</w:t>
      </w:r>
      <w:r w:rsidRPr="001303CB">
        <w:rPr>
          <w:sz w:val="20"/>
        </w:rPr>
        <w:t>RDF</w:t>
      </w:r>
      <w:r w:rsidRPr="00DA075D">
        <w:rPr>
          <w:rtl/>
        </w:rPr>
        <w:t xml:space="preserve">), אשר נמצאת במדרג הטיפול הנמוך ביותר, למעט הטמנת הפסולת. </w:t>
      </w:r>
    </w:p>
    <w:p w:rsidR="000930B3" w:rsidRPr="00D22A15" w:rsidP="005C4ABF" w14:paraId="6CB4CEF4"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בחוק הפיקדון אין מגבלה על אופי </w:t>
      </w:r>
      <w:r w:rsidRPr="00D22A15">
        <w:rPr>
          <w:rFonts w:ascii="Tahoma" w:hAnsi="Tahoma" w:cs="Tahoma"/>
          <w:sz w:val="20"/>
          <w:szCs w:val="20"/>
          <w:rtl/>
        </w:rPr>
        <w:t>המיחזור</w:t>
      </w:r>
      <w:r w:rsidRPr="00D22A15">
        <w:rPr>
          <w:rFonts w:ascii="Tahoma" w:hAnsi="Tahoma" w:cs="Tahoma"/>
          <w:sz w:val="20"/>
          <w:szCs w:val="20"/>
          <w:rtl/>
        </w:rPr>
        <w:t xml:space="preserve">, סוג </w:t>
      </w:r>
      <w:r w:rsidRPr="00D22A15">
        <w:rPr>
          <w:rFonts w:ascii="Tahoma" w:hAnsi="Tahoma" w:cs="Tahoma"/>
          <w:sz w:val="20"/>
          <w:szCs w:val="20"/>
          <w:rtl/>
        </w:rPr>
        <w:t>המיחזור</w:t>
      </w:r>
      <w:r w:rsidRPr="00D22A15">
        <w:rPr>
          <w:rFonts w:ascii="Tahoma" w:hAnsi="Tahoma" w:cs="Tahoma"/>
          <w:sz w:val="20"/>
          <w:szCs w:val="20"/>
          <w:rtl/>
        </w:rPr>
        <w:t xml:space="preserve"> וכמות מכלי המשקה המופנים </w:t>
      </w:r>
      <w:r w:rsidRPr="00D22A15">
        <w:rPr>
          <w:rFonts w:ascii="Tahoma" w:hAnsi="Tahoma" w:cs="Tahoma"/>
          <w:sz w:val="20"/>
          <w:szCs w:val="20"/>
          <w:rtl/>
        </w:rPr>
        <w:t>למיחזור</w:t>
      </w:r>
      <w:r w:rsidRPr="00D22A15">
        <w:rPr>
          <w:rFonts w:ascii="Tahoma" w:hAnsi="Tahoma" w:cs="Tahoma"/>
          <w:sz w:val="20"/>
          <w:szCs w:val="20"/>
          <w:rtl/>
        </w:rPr>
        <w:t xml:space="preserve"> לסוגיו. זאת ועוד, בהגדרת ״</w:t>
      </w:r>
      <w:r w:rsidRPr="00D22A15">
        <w:rPr>
          <w:rFonts w:ascii="Tahoma" w:hAnsi="Tahoma" w:cs="Tahoma"/>
          <w:sz w:val="20"/>
          <w:szCs w:val="20"/>
          <w:rtl/>
        </w:rPr>
        <w:t>מיחזור</w:t>
      </w:r>
      <w:r w:rsidRPr="00D22A15">
        <w:rPr>
          <w:rFonts w:ascii="Tahoma" w:hAnsi="Tahoma" w:cs="Tahoma"/>
          <w:sz w:val="20"/>
          <w:szCs w:val="20"/>
          <w:rtl/>
        </w:rPr>
        <w:t xml:space="preserve">״ בחוק הפיקדון אין הבחנה בין </w:t>
      </w:r>
      <w:r w:rsidRPr="00D22A15">
        <w:rPr>
          <w:rFonts w:ascii="Tahoma" w:hAnsi="Tahoma" w:cs="Tahoma"/>
          <w:sz w:val="20"/>
          <w:szCs w:val="20"/>
          <w:rtl/>
        </w:rPr>
        <w:t>מיחזור</w:t>
      </w:r>
      <w:r w:rsidRPr="00D22A15">
        <w:rPr>
          <w:rFonts w:ascii="Tahoma" w:hAnsi="Tahoma" w:cs="Tahoma"/>
          <w:sz w:val="20"/>
          <w:szCs w:val="20"/>
          <w:rtl/>
        </w:rPr>
        <w:t xml:space="preserve"> לבין השבה </w:t>
      </w:r>
      <w:r w:rsidRPr="00D22A15">
        <w:rPr>
          <w:rFonts w:ascii="Tahoma" w:hAnsi="Tahoma" w:cs="Tahoma"/>
          <w:sz w:val="20"/>
          <w:szCs w:val="20"/>
          <w:rtl/>
        </w:rPr>
        <w:t>לאנרגייה</w:t>
      </w:r>
      <w:r w:rsidRPr="00D22A15">
        <w:rPr>
          <w:rFonts w:ascii="Tahoma" w:hAnsi="Tahoma" w:cs="Tahoma"/>
          <w:sz w:val="20"/>
          <w:szCs w:val="20"/>
          <w:rtl/>
        </w:rPr>
        <w:t>, כפי שיש בחוק האריזות, וההגדרה אף אינה תואמת את ההגדרה של ״</w:t>
      </w:r>
      <w:r w:rsidRPr="00D22A15">
        <w:rPr>
          <w:rFonts w:ascii="Tahoma" w:hAnsi="Tahoma" w:cs="Tahoma"/>
          <w:sz w:val="20"/>
          <w:szCs w:val="20"/>
          <w:rtl/>
        </w:rPr>
        <w:t>מיחזור</w:t>
      </w:r>
      <w:r w:rsidRPr="00D22A15">
        <w:rPr>
          <w:rFonts w:ascii="Tahoma" w:hAnsi="Tahoma" w:cs="Tahoma"/>
          <w:sz w:val="20"/>
          <w:szCs w:val="20"/>
          <w:rtl/>
        </w:rPr>
        <w:t>״ בדירקטיבה האירופית לפסולת (</w:t>
      </w:r>
      <w:r w:rsidRPr="00D22A15">
        <w:rPr>
          <w:rFonts w:ascii="Tahoma" w:hAnsi="Tahoma" w:cs="Tahoma"/>
          <w:sz w:val="20"/>
          <w:szCs w:val="20"/>
          <w:rtl/>
        </w:rPr>
        <w:t>המחריגה</w:t>
      </w:r>
      <w:r w:rsidRPr="00D22A15">
        <w:rPr>
          <w:rFonts w:ascii="Tahoma" w:hAnsi="Tahoma" w:cs="Tahoma"/>
          <w:sz w:val="20"/>
          <w:szCs w:val="20"/>
          <w:rtl/>
        </w:rPr>
        <w:t xml:space="preserve"> בפירוש השבה). עוד צוין בתגובה כי המשרד ער לשוני בין ההגדרות בחוקי הפסולת השונים, וכי מדובר באחת מנקודות הקושי העיקריות בהיעדר חקיקה עקבית לטיפול בפסולת ואחת הסיבות לצורך באסדרה של התחום. במסגרת זו הממונה מוגבל למסגרת החוקית הקיימת בחוק הפיקדון, ועל כן הוא נאלץ להכיר בפעולות השבה </w:t>
      </w:r>
      <w:r w:rsidRPr="00D22A15">
        <w:rPr>
          <w:rFonts w:ascii="Tahoma" w:hAnsi="Tahoma" w:cs="Tahoma"/>
          <w:sz w:val="20"/>
          <w:szCs w:val="20"/>
          <w:rtl/>
        </w:rPr>
        <w:t>כמיחזור</w:t>
      </w:r>
      <w:r w:rsidRPr="00D22A15">
        <w:rPr>
          <w:rFonts w:ascii="Tahoma" w:hAnsi="Tahoma" w:cs="Tahoma"/>
          <w:sz w:val="20"/>
          <w:szCs w:val="20"/>
          <w:rtl/>
        </w:rPr>
        <w:t>, ללא הגבלה.</w:t>
      </w:r>
    </w:p>
    <w:p w:rsidR="000930B3" w:rsidRPr="00DA075D" w:rsidP="008E06C5" w14:paraId="6F745B4D" w14:textId="77777777">
      <w:pPr>
        <w:pStyle w:val="RESHET"/>
        <w:rPr>
          <w:rtl/>
        </w:rPr>
      </w:pPr>
      <w:r w:rsidRPr="00DA075D">
        <w:rPr>
          <w:rtl/>
        </w:rPr>
        <w:t xml:space="preserve">משרד מבקר המדינה ממליץ כי המשרד יפעל לעדכן ההסדרה בישראל באופן שיעודד </w:t>
      </w:r>
      <w:r w:rsidRPr="00DA075D">
        <w:rPr>
          <w:rtl/>
        </w:rPr>
        <w:t>מיחזור</w:t>
      </w:r>
      <w:r w:rsidRPr="00DA075D">
        <w:rPr>
          <w:rtl/>
        </w:rPr>
        <w:t xml:space="preserve"> במדרגים גבוהים בהתאם לדירקטיבה האירופית.</w:t>
      </w:r>
    </w:p>
    <w:p w:rsidR="000930B3" w:rsidRPr="00D22A15" w:rsidP="005C4ABF" w14:paraId="5DDF9221"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ביוני 2018 שלח הממונה ליצרנים וליבואנים המקבלים שירותי איסוף מחברת איסוף א' הודעות על כוונת חיוב בגין אי עמידה ביעד </w:t>
      </w:r>
      <w:r w:rsidRPr="00D22A15">
        <w:rPr>
          <w:rFonts w:ascii="Tahoma" w:hAnsi="Tahoma" w:cs="Tahoma"/>
          <w:sz w:val="20"/>
          <w:szCs w:val="20"/>
          <w:rtl/>
        </w:rPr>
        <w:t>המיחזור</w:t>
      </w:r>
      <w:r w:rsidRPr="00D22A15">
        <w:rPr>
          <w:rFonts w:ascii="Tahoma" w:hAnsi="Tahoma" w:cs="Tahoma"/>
          <w:sz w:val="20"/>
          <w:szCs w:val="20"/>
          <w:rtl/>
        </w:rPr>
        <w:t xml:space="preserve"> לשנת 2016. לאחר שמיעת טענות היצרנים והיבואנים הודיע הממונה באפריל 2019 על הפחתת גובה החיוב</w:t>
      </w:r>
      <w:r>
        <w:rPr>
          <w:rFonts w:ascii="Tahoma" w:hAnsi="Tahoma" w:cs="Tahoma"/>
          <w:sz w:val="20"/>
          <w:szCs w:val="20"/>
          <w:vertAlign w:val="superscript"/>
          <w:rtl/>
        </w:rPr>
        <w:footnoteReference w:id="92"/>
      </w:r>
      <w:r w:rsidRPr="00D22A15">
        <w:rPr>
          <w:rFonts w:ascii="Tahoma" w:hAnsi="Tahoma" w:cs="Tahoma"/>
          <w:sz w:val="20"/>
          <w:szCs w:val="20"/>
          <w:rtl/>
        </w:rPr>
        <w:t xml:space="preserve">. </w:t>
      </w:r>
    </w:p>
    <w:p w:rsidR="000930B3" w:rsidRPr="00D22A15" w:rsidP="005C4ABF" w14:paraId="64F5F140"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נוהל פסולת ירוקה מדצמבר 2013 של משרד הכלכלה (להלן - נוהל פסולת ירוקה) מסדיר את ייצוא הפסולת למדינות שאינן חברות ב-</w:t>
      </w:r>
      <w:r w:rsidRPr="00D22A15">
        <w:rPr>
          <w:rFonts w:ascii="Tahoma" w:hAnsi="Tahoma" w:cs="Tahoma"/>
          <w:sz w:val="20"/>
          <w:szCs w:val="20"/>
        </w:rPr>
        <w:t>OECD</w:t>
      </w:r>
      <w:r w:rsidRPr="00D22A15">
        <w:rPr>
          <w:rFonts w:ascii="Tahoma" w:hAnsi="Tahoma" w:cs="Tahoma"/>
          <w:sz w:val="20"/>
          <w:szCs w:val="20"/>
          <w:rtl/>
        </w:rPr>
        <w:t xml:space="preserve">. הנוהל מחייב, בין היתר, את קבלת אישורו של הגוף הרוכש במדינת היעד על כך שהזמין פסולת, אישור כי הפסולת מיועדת </w:t>
      </w:r>
      <w:r w:rsidRPr="00D22A15">
        <w:rPr>
          <w:rFonts w:ascii="Tahoma" w:hAnsi="Tahoma" w:cs="Tahoma"/>
          <w:sz w:val="20"/>
          <w:szCs w:val="20"/>
          <w:rtl/>
        </w:rPr>
        <w:t>למיחזור</w:t>
      </w:r>
      <w:r w:rsidRPr="00D22A15">
        <w:rPr>
          <w:rFonts w:ascii="Tahoma" w:hAnsi="Tahoma" w:cs="Tahoma"/>
          <w:sz w:val="20"/>
          <w:szCs w:val="20"/>
          <w:rtl/>
        </w:rPr>
        <w:t xml:space="preserve"> ואישור מטעם הרגולטור במדינת היעד שהגוף הרוכש הוא מפעל מאושר </w:t>
      </w:r>
      <w:r w:rsidRPr="00D22A15">
        <w:rPr>
          <w:rFonts w:ascii="Tahoma" w:hAnsi="Tahoma" w:cs="Tahoma"/>
          <w:sz w:val="20"/>
          <w:szCs w:val="20"/>
          <w:rtl/>
        </w:rPr>
        <w:t>למיחזור</w:t>
      </w:r>
      <w:r w:rsidRPr="00D22A15">
        <w:rPr>
          <w:rFonts w:ascii="Tahoma" w:hAnsi="Tahoma" w:cs="Tahoma"/>
          <w:sz w:val="20"/>
          <w:szCs w:val="20"/>
          <w:rtl/>
        </w:rPr>
        <w:t xml:space="preserve"> במדינתו. על היצואן להמציא למשרד הכלכלה את </w:t>
      </w:r>
      <w:r w:rsidRPr="00D22A15">
        <w:rPr>
          <w:rFonts w:ascii="Tahoma" w:hAnsi="Tahoma" w:cs="Tahoma"/>
          <w:sz w:val="20"/>
          <w:szCs w:val="20"/>
          <w:rtl/>
        </w:rPr>
        <w:t>רשומון</w:t>
      </w:r>
      <w:r w:rsidRPr="00D22A15">
        <w:rPr>
          <w:rFonts w:ascii="Tahoma" w:hAnsi="Tahoma" w:cs="Tahoma"/>
          <w:sz w:val="20"/>
          <w:szCs w:val="20"/>
          <w:rtl/>
        </w:rPr>
        <w:t xml:space="preserve"> היצוא, שבו רשומים בין השאר מדינת היעד וכן סוג הפסולת המיוצאת ומשקלה. עם הפריטים שעליהם חל הנוהל נמנה פריט מכס 35.19 שעימו נמנה פלסטיק </w:t>
      </w:r>
      <w:r w:rsidRPr="00D22A15">
        <w:rPr>
          <w:rFonts w:ascii="Tahoma" w:hAnsi="Tahoma" w:cs="Tahoma"/>
          <w:sz w:val="20"/>
          <w:szCs w:val="20"/>
        </w:rPr>
        <w:t>PET</w:t>
      </w:r>
      <w:r w:rsidRPr="00D22A15">
        <w:rPr>
          <w:rFonts w:ascii="Tahoma" w:hAnsi="Tahoma" w:cs="Tahoma"/>
          <w:sz w:val="20"/>
          <w:szCs w:val="20"/>
          <w:rtl/>
        </w:rPr>
        <w:t xml:space="preserve"> שמקורו בפסולת מכלי משקה. </w:t>
      </w:r>
    </w:p>
    <w:p w:rsidR="000930B3" w:rsidRPr="00D22A15" w:rsidP="005C4ABF" w14:paraId="4A35085B"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דוחות הבקרה, חלק ניכר מהמכלים </w:t>
      </w:r>
      <w:r w:rsidRPr="00D22A15">
        <w:rPr>
          <w:rFonts w:ascii="Tahoma" w:hAnsi="Tahoma" w:cs="Tahoma"/>
          <w:sz w:val="20"/>
          <w:szCs w:val="20"/>
          <w:rtl/>
        </w:rPr>
        <w:t>שמיחזורם</w:t>
      </w:r>
      <w:r w:rsidRPr="00D22A15">
        <w:rPr>
          <w:rFonts w:ascii="Tahoma" w:hAnsi="Tahoma" w:cs="Tahoma"/>
          <w:sz w:val="20"/>
          <w:szCs w:val="20"/>
          <w:rtl/>
        </w:rPr>
        <w:t xml:space="preserve"> הוכר יוצאו לחו"ל. בשנים 2016 ו-2017 עמד שיעור היצוא מהחומר </w:t>
      </w:r>
      <w:r w:rsidRPr="00D22A15">
        <w:rPr>
          <w:rFonts w:ascii="Tahoma" w:hAnsi="Tahoma" w:cs="Tahoma"/>
          <w:sz w:val="20"/>
          <w:szCs w:val="20"/>
          <w:rtl/>
        </w:rPr>
        <w:t>שמיחזרה</w:t>
      </w:r>
      <w:r w:rsidRPr="00D22A15">
        <w:rPr>
          <w:rFonts w:ascii="Tahoma" w:hAnsi="Tahoma" w:cs="Tahoma"/>
          <w:sz w:val="20"/>
          <w:szCs w:val="20"/>
          <w:rtl/>
        </w:rPr>
        <w:t xml:space="preserve"> חברת איסוף א' על 92.5% ו-24%, בהתאמה. הירידה בשיעור הייצוא נובעת בעיקר מהכרה על ידי המשרד </w:t>
      </w:r>
      <w:r w:rsidRPr="00D22A15">
        <w:rPr>
          <w:rFonts w:ascii="Tahoma" w:hAnsi="Tahoma" w:cs="Tahoma"/>
          <w:sz w:val="20"/>
          <w:szCs w:val="20"/>
          <w:rtl/>
        </w:rPr>
        <w:t>להגנ"ס</w:t>
      </w:r>
      <w:r w:rsidRPr="00D22A15">
        <w:rPr>
          <w:rFonts w:ascii="Tahoma" w:hAnsi="Tahoma" w:cs="Tahoma"/>
          <w:sz w:val="20"/>
          <w:szCs w:val="20"/>
          <w:rtl/>
        </w:rPr>
        <w:t xml:space="preserve"> </w:t>
      </w:r>
      <w:r w:rsidRPr="00D22A15">
        <w:rPr>
          <w:rFonts w:ascii="Tahoma" w:hAnsi="Tahoma" w:cs="Tahoma"/>
          <w:sz w:val="20"/>
          <w:szCs w:val="20"/>
          <w:rtl/>
        </w:rPr>
        <w:t>במיחזור</w:t>
      </w:r>
      <w:r w:rsidRPr="00D22A15">
        <w:rPr>
          <w:rFonts w:ascii="Tahoma" w:hAnsi="Tahoma" w:cs="Tahoma"/>
          <w:sz w:val="20"/>
          <w:szCs w:val="20"/>
          <w:rtl/>
        </w:rPr>
        <w:t xml:space="preserve"> באמצעות השבת אנרגיה בישראל. להלן תרשים המפרט את </w:t>
      </w:r>
      <w:r w:rsidRPr="00D22A15">
        <w:rPr>
          <w:rFonts w:ascii="Tahoma" w:hAnsi="Tahoma" w:cs="Tahoma"/>
          <w:sz w:val="20"/>
          <w:szCs w:val="20"/>
          <w:rtl/>
        </w:rPr>
        <w:t>המיחזור</w:t>
      </w:r>
      <w:r w:rsidRPr="00D22A15">
        <w:rPr>
          <w:rFonts w:ascii="Tahoma" w:hAnsi="Tahoma" w:cs="Tahoma"/>
          <w:sz w:val="20"/>
          <w:szCs w:val="20"/>
          <w:rtl/>
        </w:rPr>
        <w:t xml:space="preserve"> שהוכר בשנים 2016 - 2017, בחלוקה לשיטות הטיפול. </w:t>
      </w:r>
    </w:p>
    <w:p w:rsidR="000930B3" w:rsidRPr="00DA075D" w:rsidP="00AD02C3" w14:paraId="6F8E584F" w14:textId="7C49997C">
      <w:pPr>
        <w:pStyle w:val="a1"/>
        <w:spacing w:line="320" w:lineRule="atLeast"/>
        <w:rPr>
          <w:rtl/>
        </w:rPr>
      </w:pPr>
      <w:r w:rsidRPr="005E4F2A">
        <w:rPr>
          <w:b w:val="0"/>
          <w:bCs w:val="0"/>
          <w:rtl/>
        </w:rPr>
        <w:t xml:space="preserve">תרשים 14: </w:t>
      </w:r>
      <w:r w:rsidRPr="00DA075D">
        <w:rPr>
          <w:rtl/>
        </w:rPr>
        <w:t>מיחזור</w:t>
      </w:r>
      <w:r w:rsidRPr="00DA075D">
        <w:rPr>
          <w:rtl/>
        </w:rPr>
        <w:t xml:space="preserve"> מוכר של מכלי משקה גדולים שנאספו, לפי שיטת טיפול, </w:t>
      </w:r>
      <w:r w:rsidR="005E4F2A">
        <w:br/>
      </w:r>
      <w:r w:rsidRPr="00DA075D">
        <w:rPr>
          <w:rtl/>
        </w:rPr>
        <w:t>2016 - 2017</w:t>
      </w:r>
    </w:p>
    <w:p w:rsidR="000930B3" w:rsidRPr="005E4F2A" w:rsidP="005E4F2A" w14:paraId="42DEB2F4" w14:textId="573892B2">
      <w:pPr>
        <w:pStyle w:val="a5"/>
        <w:spacing w:before="120"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29540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13197" name="Picture 297"/>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2954020"/>
                    </a:xfrm>
                    <a:prstGeom prst="rect">
                      <a:avLst/>
                    </a:prstGeom>
                  </pic:spPr>
                </pic:pic>
              </a:graphicData>
            </a:graphic>
          </wp:inline>
        </w:drawing>
      </w:r>
    </w:p>
    <w:p w:rsidR="000930B3" w:rsidRPr="00DA075D" w:rsidP="006C5FF5" w14:paraId="748415FA" w14:textId="77777777">
      <w:pPr>
        <w:pStyle w:val="text-source"/>
        <w:rPr>
          <w:rtl/>
        </w:rPr>
      </w:pPr>
      <w:r w:rsidRPr="00DA075D">
        <w:rPr>
          <w:rtl/>
        </w:rPr>
        <w:t xml:space="preserve">על פי נתוני המשרד </w:t>
      </w:r>
      <w:r w:rsidRPr="00DA075D">
        <w:rPr>
          <w:rtl/>
        </w:rPr>
        <w:t>להגנ"ס</w:t>
      </w:r>
      <w:r w:rsidRPr="00DA075D">
        <w:rPr>
          <w:rtl/>
        </w:rPr>
        <w:t>, בעיבוד משרד מבקר המדינה.</w:t>
      </w:r>
    </w:p>
    <w:p w:rsidR="000930B3" w:rsidRPr="00D22A15" w:rsidP="005C4ABF" w14:paraId="0A4C01C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על פי דוחות הבקרה בשנים 2016 - 2017 </w:t>
      </w:r>
      <w:r w:rsidRPr="00D22A15">
        <w:rPr>
          <w:rFonts w:ascii="Tahoma" w:hAnsi="Tahoma" w:cs="Tahoma"/>
          <w:sz w:val="20"/>
          <w:szCs w:val="20"/>
          <w:rtl/>
        </w:rPr>
        <w:t>מיחזור</w:t>
      </w:r>
      <w:r w:rsidRPr="00D22A15">
        <w:rPr>
          <w:rFonts w:ascii="Tahoma" w:hAnsi="Tahoma" w:cs="Tahoma"/>
          <w:sz w:val="20"/>
          <w:szCs w:val="20"/>
          <w:rtl/>
        </w:rPr>
        <w:t xml:space="preserve"> המכלים שאספה חברת איסוף ב' בוצע כולו באמצעות יצוא (באמצעות מפעל </w:t>
      </w:r>
      <w:r w:rsidRPr="00D22A15">
        <w:rPr>
          <w:rFonts w:ascii="Tahoma" w:hAnsi="Tahoma" w:cs="Tahoma"/>
          <w:sz w:val="20"/>
          <w:szCs w:val="20"/>
          <w:rtl/>
        </w:rPr>
        <w:t>מיחזור</w:t>
      </w:r>
      <w:r w:rsidRPr="00D22A15">
        <w:rPr>
          <w:rFonts w:ascii="Tahoma" w:hAnsi="Tahoma" w:cs="Tahoma"/>
          <w:sz w:val="20"/>
          <w:szCs w:val="20"/>
          <w:rtl/>
        </w:rPr>
        <w:t>), כ-95% ממנו למדינות שאינן חברות ב-</w:t>
      </w:r>
      <w:r w:rsidRPr="00D22A15">
        <w:rPr>
          <w:rFonts w:ascii="Tahoma" w:hAnsi="Tahoma" w:cs="Tahoma"/>
          <w:sz w:val="20"/>
          <w:szCs w:val="20"/>
        </w:rPr>
        <w:t>OECD</w:t>
      </w:r>
      <w:r w:rsidRPr="00D22A15">
        <w:rPr>
          <w:rFonts w:ascii="Tahoma" w:hAnsi="Tahoma" w:cs="Tahoma"/>
          <w:sz w:val="20"/>
          <w:szCs w:val="20"/>
          <w:rtl/>
        </w:rPr>
        <w:t>. אין בדוחות הבקרה מידע על יעד היצוא של מכלי המשקה שאספה חברת איסוף א'.</w:t>
      </w:r>
    </w:p>
    <w:p w:rsidR="000930B3" w:rsidRPr="00D22A15" w:rsidP="005C4ABF" w14:paraId="20ECB66A"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בתגובת רואי החשבון מטעם המשרד נמסר כי היעדר המידע על יעדי היצוא של חברת איסוף א' נובע ממחיקת נתונים אלו </w:t>
      </w:r>
      <w:r w:rsidRPr="00D22A15">
        <w:rPr>
          <w:rFonts w:ascii="Tahoma" w:hAnsi="Tahoma" w:cs="Tahoma"/>
          <w:sz w:val="20"/>
          <w:szCs w:val="20"/>
          <w:rtl/>
        </w:rPr>
        <w:t>מרשומוני</w:t>
      </w:r>
      <w:r w:rsidRPr="00D22A15">
        <w:rPr>
          <w:rFonts w:ascii="Tahoma" w:hAnsi="Tahoma" w:cs="Tahoma"/>
          <w:sz w:val="20"/>
          <w:szCs w:val="20"/>
          <w:rtl/>
        </w:rPr>
        <w:t xml:space="preserve"> הייצוא שהועברו לצורך הבקרה של רואי החשבון.</w:t>
      </w:r>
    </w:p>
    <w:p w:rsidR="000930B3" w:rsidRPr="00D22A15" w:rsidP="005C4ABF" w14:paraId="341EBDCD"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ממשרד הכלכלה נמסר למשרד מבקר המדינה באוגוסט 2020 ובתגובתו כי אין בידיו נתונים מרוכזים על יצוא חומר </w:t>
      </w:r>
      <w:r w:rsidRPr="00D22A15">
        <w:rPr>
          <w:rFonts w:ascii="Tahoma" w:hAnsi="Tahoma" w:cs="Tahoma"/>
          <w:sz w:val="20"/>
          <w:szCs w:val="20"/>
        </w:rPr>
        <w:t>PET</w:t>
      </w:r>
      <w:r w:rsidRPr="00D22A15">
        <w:rPr>
          <w:rFonts w:ascii="Tahoma" w:hAnsi="Tahoma" w:cs="Tahoma"/>
          <w:sz w:val="20"/>
          <w:szCs w:val="20"/>
          <w:rtl/>
        </w:rPr>
        <w:t xml:space="preserve"> מפני שלחומר אין פריט מכס נפרד. </w:t>
      </w:r>
    </w:p>
    <w:p w:rsidR="000930B3" w:rsidRPr="00DA075D" w:rsidP="008E06C5" w14:paraId="1A642B48" w14:textId="77777777">
      <w:pPr>
        <w:pStyle w:val="RESHET"/>
        <w:rPr>
          <w:rtl/>
        </w:rPr>
      </w:pPr>
      <w:r w:rsidRPr="00DA075D">
        <w:rPr>
          <w:rtl/>
        </w:rPr>
        <w:t xml:space="preserve">נמצא כי 57% ו-46% מכלל המכלים הגדולים שנאספו בשנים 2016 ו-2017 על ידי חברות איסוף א' ו-ב', בהתאמה, לא הוכרו לעניין </w:t>
      </w:r>
      <w:r w:rsidRPr="00DA075D">
        <w:rPr>
          <w:rtl/>
        </w:rPr>
        <w:t>המיחזור</w:t>
      </w:r>
      <w:r w:rsidRPr="00DA075D">
        <w:rPr>
          <w:rtl/>
        </w:rPr>
        <w:t xml:space="preserve"> על פי חוק הפיקדון. </w:t>
      </w:r>
    </w:p>
    <w:p w:rsidR="000930B3" w:rsidRPr="00DA075D" w:rsidP="00874535" w14:paraId="0FDD196A" w14:textId="77777777">
      <w:pPr>
        <w:pStyle w:val="RESHET"/>
        <w:spacing w:line="320" w:lineRule="atLeast"/>
        <w:rPr>
          <w:rtl/>
        </w:rPr>
      </w:pPr>
      <w:r w:rsidRPr="00DA075D">
        <w:rPr>
          <w:rtl/>
        </w:rPr>
        <w:t xml:space="preserve">משרד מבקר המדינה ממליץ למשרד </w:t>
      </w:r>
      <w:r w:rsidRPr="00DA075D">
        <w:rPr>
          <w:rtl/>
        </w:rPr>
        <w:t>להגנ"ס</w:t>
      </w:r>
      <w:r w:rsidRPr="00DA075D">
        <w:rPr>
          <w:rtl/>
        </w:rPr>
        <w:t xml:space="preserve"> לוודא כי חברות האיסוף מדווחות על היצוא </w:t>
      </w:r>
      <w:r w:rsidRPr="00DA075D">
        <w:rPr>
          <w:rtl/>
        </w:rPr>
        <w:t>למינהל</w:t>
      </w:r>
      <w:r w:rsidRPr="00DA075D">
        <w:rPr>
          <w:rtl/>
        </w:rPr>
        <w:t xml:space="preserve"> התעשיות במשרד הכלכלה. בדרך זו תוודא מדינת ישראל כי כלל חומרי ה-</w:t>
      </w:r>
      <w:r w:rsidRPr="001303CB">
        <w:rPr>
          <w:sz w:val="20"/>
        </w:rPr>
        <w:t>PET</w:t>
      </w:r>
      <w:r w:rsidRPr="00DA075D">
        <w:rPr>
          <w:rtl/>
        </w:rPr>
        <w:t xml:space="preserve"> ממכלי המשקה הנאספים בה אכן מועברים למפעל מאושר </w:t>
      </w:r>
      <w:r w:rsidRPr="00DA075D">
        <w:rPr>
          <w:rtl/>
        </w:rPr>
        <w:t>למיחזור</w:t>
      </w:r>
      <w:r w:rsidRPr="00DA075D">
        <w:rPr>
          <w:rtl/>
        </w:rPr>
        <w:t xml:space="preserve"> במדינת היעד וכי עקרונות השמירה על הסביבה ועל כדור הארץ, ומניעת מפגעים סביבתיים נשמרים בכלל פעילות האיסוף המבוצעת בה. עוד מומלץ כי המשרד </w:t>
      </w:r>
      <w:r w:rsidRPr="00DA075D">
        <w:rPr>
          <w:rtl/>
        </w:rPr>
        <w:t>להגנ"ס</w:t>
      </w:r>
      <w:r w:rsidRPr="00DA075D">
        <w:rPr>
          <w:rtl/>
        </w:rPr>
        <w:t xml:space="preserve"> יבחן דרכים לעידוד חברות האיסוף לבצע </w:t>
      </w:r>
      <w:r w:rsidRPr="00DA075D">
        <w:rPr>
          <w:rtl/>
        </w:rPr>
        <w:t>מיחזור</w:t>
      </w:r>
      <w:r w:rsidRPr="00DA075D">
        <w:rPr>
          <w:rtl/>
        </w:rPr>
        <w:t xml:space="preserve"> במדרג הגבוה, דהיינו הכנה לשימוש מחדש של חומרים שלגביהם ניתן לעשות זאת, ולהפחתת </w:t>
      </w:r>
      <w:r w:rsidRPr="00DA075D">
        <w:rPr>
          <w:rtl/>
        </w:rPr>
        <w:t>המיחזור</w:t>
      </w:r>
      <w:r w:rsidRPr="00DA075D">
        <w:rPr>
          <w:rtl/>
        </w:rPr>
        <w:t xml:space="preserve"> באמצעות בעירה להשבת </w:t>
      </w:r>
      <w:r w:rsidRPr="00DA075D">
        <w:rPr>
          <w:rtl/>
        </w:rPr>
        <w:t>אנרגייה</w:t>
      </w:r>
      <w:r w:rsidRPr="00DA075D">
        <w:rPr>
          <w:rtl/>
        </w:rPr>
        <w:t xml:space="preserve"> </w:t>
      </w:r>
      <w:r w:rsidRPr="001303CB">
        <w:rPr>
          <w:sz w:val="20"/>
          <w:rtl/>
        </w:rPr>
        <w:t>(</w:t>
      </w:r>
      <w:r w:rsidRPr="001303CB">
        <w:rPr>
          <w:sz w:val="20"/>
        </w:rPr>
        <w:t>RDF</w:t>
      </w:r>
      <w:r w:rsidRPr="001303CB">
        <w:rPr>
          <w:sz w:val="20"/>
          <w:rtl/>
        </w:rPr>
        <w:t>)</w:t>
      </w:r>
      <w:r w:rsidRPr="00DA075D">
        <w:rPr>
          <w:rtl/>
        </w:rPr>
        <w:t xml:space="preserve"> (64% </w:t>
      </w:r>
      <w:r w:rsidRPr="00DA075D">
        <w:rPr>
          <w:rtl/>
        </w:rPr>
        <w:t>מהמיחזור</w:t>
      </w:r>
      <w:r w:rsidRPr="00DA075D">
        <w:rPr>
          <w:rtl/>
        </w:rPr>
        <w:t xml:space="preserve"> המוכר ב-2017), אשר נמצאת במדרג הטיפול הנמוך ביותר למעט הטמנת הפסולת. </w:t>
      </w:r>
    </w:p>
    <w:p w:rsidR="000930B3" w:rsidRPr="00D22A15" w:rsidP="005C4ABF" w14:paraId="3024AA16" w14:textId="77777777">
      <w:pPr>
        <w:pStyle w:val="a5"/>
        <w:spacing w:before="120" w:after="120" w:line="320" w:lineRule="atLeast"/>
        <w:rPr>
          <w:rFonts w:ascii="Tahoma" w:hAnsi="Tahoma" w:cs="Tahoma"/>
          <w:sz w:val="20"/>
          <w:szCs w:val="20"/>
          <w:rtl/>
        </w:rPr>
      </w:pPr>
      <w:r w:rsidRPr="00D22A15">
        <w:rPr>
          <w:rFonts w:ascii="Tahoma" w:hAnsi="Tahoma" w:cs="Tahoma"/>
          <w:sz w:val="20"/>
          <w:szCs w:val="20"/>
          <w:rtl/>
        </w:rPr>
        <w:t xml:space="preserve">המשרד </w:t>
      </w:r>
      <w:r w:rsidRPr="00D22A15">
        <w:rPr>
          <w:rFonts w:ascii="Tahoma" w:hAnsi="Tahoma" w:cs="Tahoma"/>
          <w:sz w:val="20"/>
          <w:szCs w:val="20"/>
          <w:rtl/>
        </w:rPr>
        <w:t>להגנ"ס</w:t>
      </w:r>
      <w:r w:rsidRPr="00D22A15">
        <w:rPr>
          <w:rFonts w:ascii="Tahoma" w:hAnsi="Tahoma" w:cs="Tahoma"/>
          <w:sz w:val="20"/>
          <w:szCs w:val="20"/>
          <w:rtl/>
        </w:rPr>
        <w:t xml:space="preserve"> מסר בתגובתו כי בשנים האחרונות הוא דורש אישורים לפעילות היצוא בהתאם לנוהל פסולת ירוקה, ועקב כך אישור היצוא מותנה בהצגת רשימוני יצוא והרישוי הנדרש. עוד מסר כי הוא פועל להטמיע את הדרישה להצגת אישור כאמור בנוהל הדיווח שהוא מגבש עם חברת איסוף א' בנושא המכלים הגדולים. המשרד פועל לעידוד הקמתם של מפעלי </w:t>
      </w:r>
      <w:r w:rsidRPr="00D22A15">
        <w:rPr>
          <w:rFonts w:ascii="Tahoma" w:hAnsi="Tahoma" w:cs="Tahoma"/>
          <w:sz w:val="20"/>
          <w:szCs w:val="20"/>
          <w:rtl/>
        </w:rPr>
        <w:t>מיחזור</w:t>
      </w:r>
      <w:r w:rsidRPr="00D22A15">
        <w:rPr>
          <w:rFonts w:ascii="Tahoma" w:hAnsi="Tahoma" w:cs="Tahoma"/>
          <w:sz w:val="20"/>
          <w:szCs w:val="20"/>
          <w:rtl/>
        </w:rPr>
        <w:t xml:space="preserve"> למכלים בישראל. </w:t>
      </w:r>
    </w:p>
    <w:p w:rsidR="000930B3" w:rsidRPr="00DA075D" w:rsidP="008E06C5" w14:paraId="099DD8C6" w14:textId="77777777">
      <w:pPr>
        <w:pStyle w:val="RESHET"/>
        <w:rPr>
          <w:rtl/>
        </w:rPr>
      </w:pPr>
      <w:r w:rsidRPr="00DA075D">
        <w:rPr>
          <w:rtl/>
        </w:rPr>
        <w:t xml:space="preserve">מבקר המדינה ממליץ למשרד </w:t>
      </w:r>
      <w:r w:rsidRPr="00DA075D">
        <w:rPr>
          <w:rtl/>
        </w:rPr>
        <w:t>להגנ"ס</w:t>
      </w:r>
      <w:r w:rsidRPr="00DA075D">
        <w:rPr>
          <w:rtl/>
        </w:rPr>
        <w:t xml:space="preserve"> ולמשרד הכלכלה להמשיך בפעולותיהם לעידוד </w:t>
      </w:r>
      <w:r w:rsidRPr="00DA075D">
        <w:rPr>
          <w:rtl/>
        </w:rPr>
        <w:t>המיחזור</w:t>
      </w:r>
      <w:r w:rsidRPr="00DA075D">
        <w:rPr>
          <w:rtl/>
        </w:rPr>
        <w:t xml:space="preserve"> במדרג הגבוה בישראל ולבקרה על יצוא המכלים </w:t>
      </w:r>
      <w:r w:rsidRPr="00DA075D">
        <w:rPr>
          <w:rtl/>
        </w:rPr>
        <w:t>למיחזור</w:t>
      </w:r>
      <w:r w:rsidRPr="00DA075D">
        <w:rPr>
          <w:rtl/>
        </w:rPr>
        <w:t xml:space="preserve"> במדינות אחרות, כדי להבטיח שהיצוא ייעשה לאתרים בעולם הממחזרים במדרג הטיפול הגבוה, בהתאם לעקרונות השמירה על הסביבה. </w:t>
      </w:r>
    </w:p>
    <w:p w:rsidR="005E4F2A" w14:paraId="08F9D637" w14:textId="77777777">
      <w:pPr>
        <w:bidi w:val="0"/>
        <w:spacing w:after="200" w:line="276" w:lineRule="auto"/>
        <w:rPr>
          <w:rFonts w:ascii="Arial Bold" w:hAnsi="Arial Bold" w:eastAsiaTheme="majorEastAsia" w:cs="Tahoma"/>
          <w:color w:val="365F91" w:themeColor="accent1" w:themeShade="BF"/>
          <w:sz w:val="36"/>
          <w:szCs w:val="36"/>
          <w:rtl/>
        </w:rPr>
      </w:pPr>
      <w:r>
        <w:rPr>
          <w:rtl/>
        </w:rPr>
        <w:br w:type="page"/>
      </w:r>
    </w:p>
    <w:p w:rsidR="000930B3" w:rsidRPr="00DA075D" w:rsidP="005E4F2A" w14:paraId="0299B018" w14:textId="0925C4C1">
      <w:pPr>
        <w:pStyle w:val="2"/>
        <w:rPr>
          <w:rtl/>
        </w:rPr>
      </w:pPr>
      <w:r w:rsidRPr="00DA075D">
        <w:rPr>
          <w:rtl/>
        </w:rPr>
        <w:t>סיכום</w:t>
      </w:r>
    </w:p>
    <w:p w:rsidR="000930B3" w:rsidRPr="00DA075D" w:rsidP="008E06C5" w14:paraId="5D053201" w14:textId="77777777">
      <w:pPr>
        <w:pStyle w:val="RESHET"/>
        <w:rPr>
          <w:rStyle w:val="a4"/>
          <w:rtl/>
        </w:rPr>
      </w:pPr>
      <w:r w:rsidRPr="00DA075D">
        <w:rPr>
          <w:rtl/>
        </w:rPr>
        <w:t>הטמנת פלסטיק גורמת למפגעים סביבתיים שעלותם הגלובלית נאמדת בעשרות מיליארדי דולרים בשנה. צפיפות האוכלוסין בישראל גדולה ומשאבי הקרקע בה מצומצמים. בשנת 2018, היו משקל הפסולת הממוצע לאדם (675 ק"ג לנפש) ושיעור הטמנתה (76%) בישראל גבוהים מהמשקל הממוצע (525 ק"ג לנפש) ומהשיעור הממוצע במדינות ה-</w:t>
      </w:r>
      <w:r w:rsidRPr="001303CB">
        <w:rPr>
          <w:sz w:val="20"/>
        </w:rPr>
        <w:t>OECD</w:t>
      </w:r>
      <w:r w:rsidRPr="00DA075D">
        <w:rPr>
          <w:rtl/>
        </w:rPr>
        <w:t xml:space="preserve"> (39%). בשנת 2017 שיעורי האיסוף של מכלי המשקה הקטנים ושל מכלי המשקה הגדולים בישראל (78% ו-57%, בהתאמה) עמדו ביעדים שנקבעו בחוק הפיקדון. שיעור האיסוף של מכלי המשקה הגדולים היה נמוך משמעותית מזה שבמדינות אירופה שבהן מוטל פיקדון על מכלי משקה (80% - 97% בשנים האחרונות). </w:t>
      </w:r>
      <w:r w:rsidRPr="00DA075D">
        <w:rPr>
          <w:rStyle w:val="a4"/>
          <w:rtl/>
        </w:rPr>
        <w:t xml:space="preserve">יעד </w:t>
      </w:r>
      <w:r w:rsidRPr="00DA075D">
        <w:rPr>
          <w:rStyle w:val="a4"/>
          <w:rtl/>
        </w:rPr>
        <w:t>המיחזור</w:t>
      </w:r>
      <w:r w:rsidRPr="00DA075D">
        <w:rPr>
          <w:rStyle w:val="a4"/>
          <w:rtl/>
        </w:rPr>
        <w:t xml:space="preserve"> שנקבע בחוק הפיקדון למכלי המשקה הגדולים (90% מהאיסוף המוכר) לא הושג בשנים 2016 ו-2017 (43% ו-54%, בהתאמה). מומלץ כי המשרד </w:t>
      </w:r>
      <w:r w:rsidRPr="00DA075D">
        <w:rPr>
          <w:rStyle w:val="a4"/>
          <w:rtl/>
        </w:rPr>
        <w:t>להגנ"ס</w:t>
      </w:r>
      <w:r w:rsidRPr="00DA075D">
        <w:rPr>
          <w:rStyle w:val="a4"/>
          <w:rtl/>
        </w:rPr>
        <w:t xml:space="preserve"> יפעל כאמור להלן:</w:t>
      </w:r>
    </w:p>
    <w:p w:rsidR="000930B3" w:rsidRPr="001303CB" w:rsidP="008E06C5" w14:paraId="2B5C2D6E" w14:textId="77777777">
      <w:pPr>
        <w:pStyle w:val="RESHET"/>
        <w:rPr>
          <w:sz w:val="20"/>
        </w:rPr>
      </w:pPr>
      <w:r w:rsidRPr="00DA075D">
        <w:rPr>
          <w:rtl/>
        </w:rPr>
        <w:t>ימשיך ויקדם פעולות שיביאו לשמירת המקרקעין ולהקטנת הזיהום הסביבתי כמקובל במדינות ה-</w:t>
      </w:r>
      <w:r w:rsidRPr="001303CB">
        <w:rPr>
          <w:sz w:val="20"/>
        </w:rPr>
        <w:t>OECD</w:t>
      </w:r>
      <w:r w:rsidRPr="00DA075D">
        <w:rPr>
          <w:rtl/>
        </w:rPr>
        <w:t xml:space="preserve">. כן מומלץ כי המשרד יבחן את תיקון היעדים שנקבעו כך שעד 2025 יעמוד יעד איסופם של מכלי המשקה מהפלסטיק ששווקו בכל שנה על 77% ועד לשנת 2029 יעמוד על 90%. </w:t>
      </w:r>
    </w:p>
    <w:p w:rsidR="000930B3" w:rsidRPr="001303CB" w:rsidP="008E06C5" w14:paraId="0A479002" w14:textId="77777777">
      <w:pPr>
        <w:pStyle w:val="RESHET"/>
        <w:rPr>
          <w:sz w:val="20"/>
        </w:rPr>
      </w:pPr>
      <w:r w:rsidRPr="00DA075D">
        <w:rPr>
          <w:rtl/>
        </w:rPr>
        <w:t xml:space="preserve">יקבע באמצעות בדיקות סטטיסטיות בלתי תלויות את האומדנים הנדרשים להמרת סך משקלם של המכלים הנאספים ממקורות האיסוף השונים למספר יחידות למען קביעת שיעור האיסוף לשנים 2018 - 2021, שנים שבהן איסוף המכלים הגדולים נעשה ויעשה בעיקרו </w:t>
      </w:r>
      <w:r w:rsidRPr="00DA075D">
        <w:rPr>
          <w:rtl/>
        </w:rPr>
        <w:t>ממיחזוריות</w:t>
      </w:r>
      <w:r w:rsidRPr="00DA075D">
        <w:rPr>
          <w:rtl/>
        </w:rPr>
        <w:t xml:space="preserve"> ומתחנות מעבר. </w:t>
      </w:r>
    </w:p>
    <w:p w:rsidR="000930B3" w:rsidRPr="001303CB" w:rsidP="008E06C5" w14:paraId="766C554B" w14:textId="77777777">
      <w:pPr>
        <w:pStyle w:val="RESHET"/>
        <w:rPr>
          <w:sz w:val="20"/>
        </w:rPr>
      </w:pPr>
      <w:r w:rsidRPr="00DA075D">
        <w:rPr>
          <w:rtl/>
        </w:rPr>
        <w:t xml:space="preserve">יפעל בשיתוף עם תאגידי האיסוף </w:t>
      </w:r>
      <w:r w:rsidRPr="00DA075D">
        <w:rPr>
          <w:rtl/>
        </w:rPr>
        <w:t>והמיחזור</w:t>
      </w:r>
      <w:r w:rsidRPr="00DA075D">
        <w:rPr>
          <w:rtl/>
        </w:rPr>
        <w:t xml:space="preserve">, מרכז השלטון המקומי ומשרד החינוך לשיפור היענות הציבור לאיסוף </w:t>
      </w:r>
      <w:r w:rsidRPr="00DA075D">
        <w:rPr>
          <w:rtl/>
        </w:rPr>
        <w:t>ולמיחזור</w:t>
      </w:r>
      <w:r w:rsidRPr="00DA075D">
        <w:rPr>
          <w:rtl/>
        </w:rPr>
        <w:t xml:space="preserve"> באמצעות תגבור ההסברה ברשויות בדירוג חברתי-כלכלי נמוך ובמוסדות החינוך, בפרט במגזר הערבי ובמגזר החרדי, בערוצי תקשורת מותאמים. </w:t>
      </w:r>
    </w:p>
    <w:p w:rsidR="000930B3" w:rsidRPr="001303CB" w:rsidP="008E06C5" w14:paraId="351123C5" w14:textId="77777777">
      <w:pPr>
        <w:pStyle w:val="RESHET"/>
        <w:rPr>
          <w:sz w:val="20"/>
        </w:rPr>
      </w:pPr>
      <w:r w:rsidRPr="00DA075D">
        <w:rPr>
          <w:rtl/>
        </w:rPr>
        <w:t xml:space="preserve">יפעל יחד עם משרד הכלכלה </w:t>
      </w:r>
      <w:r w:rsidRPr="00DA075D">
        <w:rPr>
          <w:rtl/>
        </w:rPr>
        <w:t>ומינהל</w:t>
      </w:r>
      <w:r w:rsidRPr="00DA075D">
        <w:rPr>
          <w:rtl/>
        </w:rPr>
        <w:t xml:space="preserve"> המכס כדי לבדוק את הרגולציה הנדרשת לאכיפת חוק הפיקדון על יבוא מכלי משקה ברוח נייר העמדה של ה-</w:t>
      </w:r>
      <w:r w:rsidRPr="001303CB">
        <w:rPr>
          <w:sz w:val="20"/>
        </w:rPr>
        <w:t>OECD</w:t>
      </w:r>
      <w:r w:rsidRPr="00DA075D">
        <w:rPr>
          <w:rtl/>
        </w:rPr>
        <w:t xml:space="preserve"> תוך הכבדה מזערית של הנטל הרגולטורי ובחינת שילוב מנגנוני דיווח ובקרה מקוונים ומשותפים לגורמים הרלוונטיים. זאת כדי להקטין את היקף העבירות הכלכליות המתבצעות בתחום זה. </w:t>
      </w:r>
    </w:p>
    <w:p w:rsidR="000930B3" w:rsidRPr="001303CB" w:rsidP="008E06C5" w14:paraId="301A7A26" w14:textId="77777777">
      <w:pPr>
        <w:pStyle w:val="RESHET"/>
        <w:rPr>
          <w:sz w:val="20"/>
        </w:rPr>
      </w:pPr>
      <w:r w:rsidRPr="00DA075D">
        <w:rPr>
          <w:rtl/>
        </w:rPr>
        <w:t xml:space="preserve">ימשיך לפעול עם משרד הכלכלה לעידוד </w:t>
      </w:r>
      <w:r w:rsidRPr="00DA075D">
        <w:rPr>
          <w:rtl/>
        </w:rPr>
        <w:t>המיחזור</w:t>
      </w:r>
      <w:r w:rsidRPr="00DA075D">
        <w:rPr>
          <w:rtl/>
        </w:rPr>
        <w:t xml:space="preserve"> במדרג הגבוה בישראל ולבקרה על יצוא המכלים </w:t>
      </w:r>
      <w:r w:rsidRPr="00DA075D">
        <w:rPr>
          <w:rtl/>
        </w:rPr>
        <w:t>למיחזור</w:t>
      </w:r>
      <w:r w:rsidRPr="00DA075D">
        <w:rPr>
          <w:rtl/>
        </w:rPr>
        <w:t xml:space="preserve"> במדינות אחרות, כדי להבטיח שהיצוא ייעשה לאתרים בעולם הממחזרים במדרג הטיפול הגבוה, בהתאם לעקרונות השמירה על הסביבה וכדור הארץ. </w:t>
      </w:r>
    </w:p>
    <w:p w:rsidR="0088634F" w:rsidRPr="000930B3" w:rsidP="001303CB" w14:paraId="46025FA9" w14:textId="3A86D467">
      <w:pPr>
        <w:pStyle w:val="RESHET"/>
        <w:rPr>
          <w:rtl/>
        </w:rPr>
      </w:pPr>
      <w:r w:rsidRPr="00DA075D">
        <w:rPr>
          <w:rtl/>
        </w:rPr>
        <w:t xml:space="preserve">יפעל להסדרת הנושאים שבאחריותו לצורך ההתארגנות המשקית כדי לוודא התאמות ככל שנדרש לצורך יישום החוק במועד שנקבע להחלת הפיקדון על מכלי משקה גדולים, 1.12.21. </w:t>
      </w:r>
    </w:p>
    <w:sectPr w:rsidSect="00874535">
      <w:footnotePr>
        <w:numRestart w:val="eachSect"/>
      </w:footnotePr>
      <w:pgSz w:w="11906" w:h="16838" w:code="9"/>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RPr="00D15500" w:rsidP="00D15500" w14:paraId="44A66967"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D433F" w:rsidP="00C23CC9" w14:paraId="130D0D95" w14:textId="77777777">
      <w:pPr>
        <w:spacing w:line="240" w:lineRule="auto"/>
      </w:pPr>
      <w:r>
        <w:separator/>
      </w:r>
    </w:p>
  </w:footnote>
  <w:footnote w:type="continuationSeparator" w:id="1">
    <w:p w:rsidR="003D433F" w:rsidP="00C23CC9" w14:paraId="770A3198" w14:textId="77777777">
      <w:pPr>
        <w:spacing w:line="240" w:lineRule="auto"/>
      </w:pPr>
      <w:r>
        <w:continuationSeparator/>
      </w:r>
    </w:p>
  </w:footnote>
  <w:footnote w:id="2">
    <w:p w:rsidR="00A8502C" w:rsidRPr="005E4F2A" w:rsidP="00BE30FD" w14:paraId="73E6AA58" w14:textId="4ECFB52E">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פורסם בילקוט הפרסומים 9153, 19.10.20.</w:t>
      </w:r>
    </w:p>
  </w:footnote>
  <w:footnote w:id="3">
    <w:p w:rsidR="00A8502C" w:rsidRPr="005E4F2A" w:rsidP="00BE30FD" w14:paraId="1A9D1D71"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Pr>
        <w:t>PET</w:t>
      </w:r>
      <w:r w:rsidRPr="005E4F2A">
        <w:rPr>
          <w:rFonts w:ascii="Tahoma" w:hAnsi="Tahoma" w:cs="Tahoma"/>
          <w:color w:val="auto"/>
          <w:sz w:val="16"/>
          <w:szCs w:val="16"/>
          <w:rtl/>
        </w:rPr>
        <w:t xml:space="preserve"> הוא החומר הפלסטי המשמש, בדרך כלל, לייצור מכלי משקה. הוא שייך למשפחת </w:t>
      </w:r>
      <w:r w:rsidRPr="005E4F2A">
        <w:rPr>
          <w:rFonts w:ascii="Tahoma" w:hAnsi="Tahoma" w:cs="Tahoma"/>
          <w:color w:val="auto"/>
          <w:sz w:val="16"/>
          <w:szCs w:val="16"/>
          <w:rtl/>
        </w:rPr>
        <w:t>הפוליאסטרים</w:t>
      </w:r>
      <w:r w:rsidRPr="005E4F2A">
        <w:rPr>
          <w:rFonts w:ascii="Tahoma" w:hAnsi="Tahoma" w:cs="Tahoma"/>
          <w:color w:val="auto"/>
          <w:sz w:val="16"/>
          <w:szCs w:val="16"/>
          <w:rtl/>
        </w:rPr>
        <w:t>, משמש בעיקר ליצירת סיבים סינתטיים ובקבוקי מים ושתייה קלה וקל יחסית למחזר אותו.</w:t>
      </w:r>
    </w:p>
  </w:footnote>
  <w:footnote w:id="4">
    <w:p w:rsidR="00A8502C" w:rsidRPr="005E4F2A" w:rsidP="00BE30FD" w14:paraId="79736AC9" w14:textId="355A1511">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 w:history="1">
        <w:r w:rsidRPr="005E4F2A">
          <w:rPr>
            <w:rStyle w:val="Hyperlink"/>
            <w:rFonts w:ascii="Tahoma" w:hAnsi="Tahoma" w:cs="Tahoma"/>
            <w:color w:val="auto"/>
            <w:sz w:val="16"/>
            <w:szCs w:val="16"/>
            <w:u w:val="none"/>
          </w:rPr>
          <w:t>http://www.tmir.org.il/template/default.aspx?PageId=112</w:t>
        </w:r>
      </w:hyperlink>
    </w:p>
  </w:footnote>
  <w:footnote w:id="5">
    <w:p w:rsidR="00A8502C" w:rsidRPr="005E4F2A" w:rsidP="00BE30FD" w14:paraId="5BD4893E" w14:textId="7921BF9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עד למועד סיום הביקורת היה זה הסקר האחרון שפרסם המשרד </w:t>
      </w:r>
      <w:r w:rsidRPr="005E4F2A">
        <w:rPr>
          <w:rFonts w:ascii="Tahoma" w:hAnsi="Tahoma" w:cs="Tahoma"/>
          <w:color w:val="auto"/>
          <w:sz w:val="16"/>
          <w:szCs w:val="16"/>
          <w:rtl/>
        </w:rPr>
        <w:t>להגנ"ס</w:t>
      </w:r>
      <w:r w:rsidRPr="005E4F2A">
        <w:rPr>
          <w:rFonts w:ascii="Tahoma" w:hAnsi="Tahoma" w:cs="Tahoma"/>
          <w:color w:val="auto"/>
          <w:sz w:val="16"/>
          <w:szCs w:val="16"/>
          <w:rtl/>
        </w:rPr>
        <w:t>.</w:t>
      </w:r>
    </w:p>
  </w:footnote>
  <w:footnote w:id="6">
    <w:p w:rsidR="00A8502C" w:rsidRPr="005E4F2A" w:rsidP="00BE30FD" w14:paraId="03A202D8" w14:textId="231C748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בעת תיקון חוק הפיקדון נקבע כי החיוב לאסוף ולמחזר מכלי משקה גדולים יחול מ-1.1.14, ואולם בחוק להסדרת הטיפול באריזות, התשע"א-2011 תוקן המועד הקובע ל-1.1.16.</w:t>
      </w:r>
    </w:p>
  </w:footnote>
  <w:footnote w:id="7">
    <w:p w:rsidR="00A8502C" w:rsidRPr="005E4F2A" w:rsidP="00BE30FD" w14:paraId="7953BA7C" w14:textId="280E88A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פורסם בילקוט הפרסומים 9153, 19.10.20.</w:t>
      </w:r>
    </w:p>
  </w:footnote>
  <w:footnote w:id="8">
    <w:p w:rsidR="00A8502C" w:rsidRPr="005E4F2A" w:rsidP="00BE30FD" w14:paraId="1C2612B9" w14:textId="084662CF">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בג"ץ 7546/20 </w:t>
      </w:r>
      <w:r w:rsidRPr="005E4F2A">
        <w:rPr>
          <w:rStyle w:val="a4"/>
          <w:rFonts w:ascii="Tahoma" w:hAnsi="Tahoma" w:cs="Tahoma"/>
          <w:b/>
          <w:bCs/>
          <w:color w:val="auto"/>
          <w:sz w:val="16"/>
          <w:szCs w:val="16"/>
          <w:rtl/>
        </w:rPr>
        <w:t>התאחדות התעשיינים - איגוד תעשיות המזון נ' השרה להגנת הסביבה ואחרים</w:t>
      </w:r>
      <w:r w:rsidRPr="005E4F2A">
        <w:rPr>
          <w:rFonts w:ascii="Tahoma" w:hAnsi="Tahoma" w:cs="Tahoma"/>
          <w:color w:val="auto"/>
          <w:sz w:val="16"/>
          <w:szCs w:val="16"/>
          <w:rtl/>
        </w:rPr>
        <w:t>, 2.11.20.</w:t>
      </w:r>
    </w:p>
  </w:footnote>
  <w:footnote w:id="9">
    <w:p w:rsidR="00A8502C" w:rsidRPr="005E4F2A" w:rsidP="00BE30FD" w14:paraId="7BA8F76E" w14:textId="1232EFEE">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בג"ץ 7744/20 </w:t>
      </w:r>
      <w:r w:rsidRPr="005E4F2A">
        <w:rPr>
          <w:rStyle w:val="a4"/>
          <w:rFonts w:ascii="Tahoma" w:hAnsi="Tahoma" w:cs="Tahoma"/>
          <w:b/>
          <w:bCs/>
          <w:color w:val="auto"/>
          <w:sz w:val="16"/>
          <w:szCs w:val="16"/>
          <w:rtl/>
        </w:rPr>
        <w:t>איגוד רשתות שיווק המזון בלשכת המסחר תל אביב ואחרים נ' השרה להגנת הסביבה, המשרד להגנת הסביבה וועדת הכלכלה בכנסת ישראל</w:t>
      </w:r>
      <w:r w:rsidRPr="005E4F2A">
        <w:rPr>
          <w:rFonts w:ascii="Tahoma" w:hAnsi="Tahoma" w:cs="Tahoma"/>
          <w:color w:val="auto"/>
          <w:sz w:val="16"/>
          <w:szCs w:val="16"/>
          <w:rtl/>
        </w:rPr>
        <w:t>, 9.11.20.</w:t>
      </w:r>
    </w:p>
  </w:footnote>
  <w:footnote w:id="10">
    <w:p w:rsidR="00A8502C" w:rsidRPr="005E4F2A" w:rsidP="00BE30FD" w14:paraId="1C2927F5" w14:textId="7BFC3E21">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עד ינואר 2019 הייתה רשות התחרות מכונה "רשות ההגבלים העסקיים".</w:t>
      </w:r>
    </w:p>
  </w:footnote>
  <w:footnote w:id="11">
    <w:p w:rsidR="00A8502C" w:rsidRPr="005E4F2A" w:rsidP="00BE30FD" w14:paraId="71EE922E" w14:textId="5A4246C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לצורך איסוף המידע נפגש צוות הביקורת עם נציגים מתאגידי איסוף </w:t>
      </w:r>
      <w:r w:rsidRPr="005E4F2A">
        <w:rPr>
          <w:rFonts w:ascii="Tahoma" w:hAnsi="Tahoma" w:cs="Tahoma"/>
          <w:color w:val="auto"/>
          <w:sz w:val="16"/>
          <w:szCs w:val="16"/>
          <w:rtl/>
        </w:rPr>
        <w:t>ומיחזור</w:t>
      </w:r>
      <w:r w:rsidRPr="005E4F2A">
        <w:rPr>
          <w:rFonts w:ascii="Tahoma" w:hAnsi="Tahoma" w:cs="Tahoma"/>
          <w:color w:val="auto"/>
          <w:sz w:val="16"/>
          <w:szCs w:val="16"/>
          <w:rtl/>
        </w:rPr>
        <w:t xml:space="preserve"> ומעמותות הפעילות בתחום.</w:t>
      </w:r>
    </w:p>
  </w:footnote>
  <w:footnote w:id="12">
    <w:p w:rsidR="00A8502C" w:rsidRPr="005E4F2A" w:rsidP="00BE30FD" w14:paraId="682E8668" w14:textId="5A6631AD">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על פי אתר ה-</w:t>
      </w:r>
      <w:r w:rsidRPr="005E4F2A">
        <w:rPr>
          <w:rFonts w:ascii="Tahoma" w:hAnsi="Tahoma" w:cs="Tahoma"/>
          <w:color w:val="auto"/>
          <w:sz w:val="16"/>
          <w:szCs w:val="16"/>
        </w:rPr>
        <w:t>OECD</w:t>
      </w:r>
      <w:r w:rsidRPr="005E4F2A">
        <w:rPr>
          <w:rFonts w:ascii="Tahoma" w:hAnsi="Tahoma" w:cs="Tahoma"/>
          <w:color w:val="auto"/>
          <w:sz w:val="16"/>
          <w:szCs w:val="16"/>
          <w:rtl/>
        </w:rPr>
        <w:t xml:space="preserve"> במרשתת, מדינות ה-</w:t>
      </w:r>
      <w:r w:rsidRPr="005E4F2A">
        <w:rPr>
          <w:rFonts w:ascii="Tahoma" w:hAnsi="Tahoma" w:cs="Tahoma"/>
          <w:color w:val="auto"/>
          <w:sz w:val="16"/>
          <w:szCs w:val="16"/>
        </w:rPr>
        <w:t>OECD</w:t>
      </w:r>
      <w:r w:rsidRPr="005E4F2A">
        <w:rPr>
          <w:rFonts w:ascii="Tahoma" w:hAnsi="Tahoma" w:cs="Tahoma"/>
          <w:color w:val="auto"/>
          <w:sz w:val="16"/>
          <w:szCs w:val="16"/>
          <w:rtl/>
        </w:rPr>
        <w:t xml:space="preserve"> האירופיות הן מדינות חברות </w:t>
      </w:r>
      <w:r w:rsidRPr="005E4F2A">
        <w:rPr>
          <w:rFonts w:ascii="Tahoma" w:hAnsi="Tahoma" w:cs="Tahoma"/>
          <w:color w:val="auto"/>
          <w:sz w:val="16"/>
          <w:szCs w:val="16"/>
        </w:rPr>
        <w:t>OECD</w:t>
      </w:r>
      <w:r w:rsidRPr="005E4F2A">
        <w:rPr>
          <w:rFonts w:ascii="Tahoma" w:hAnsi="Tahoma" w:cs="Tahoma"/>
          <w:color w:val="auto"/>
          <w:sz w:val="16"/>
          <w:szCs w:val="16"/>
          <w:rtl/>
        </w:rPr>
        <w:t xml:space="preserve"> הממוקמות באירופה (בין אם הן חברות האיחוד האירופי ובין אם לאו). </w:t>
      </w:r>
      <w:hyperlink r:id="rId2" w:history="1">
        <w:r w:rsidRPr="005E4F2A">
          <w:rPr>
            <w:rStyle w:val="Hyperlink"/>
            <w:rFonts w:ascii="Tahoma" w:hAnsi="Tahoma" w:cs="Tahoma"/>
            <w:color w:val="auto"/>
            <w:sz w:val="16"/>
            <w:szCs w:val="16"/>
            <w:u w:val="none"/>
          </w:rPr>
          <w:t>https://stats.oecd.org/glossary/detail.asp?ID=1884</w:t>
        </w:r>
      </w:hyperlink>
    </w:p>
  </w:footnote>
  <w:footnote w:id="13">
    <w:p w:rsidR="00A8502C" w:rsidRPr="005E4F2A" w:rsidP="00BE30FD" w14:paraId="5008A4A9" w14:textId="47C3CC1B">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3" w:history="1">
        <w:r w:rsidRPr="005E4F2A">
          <w:rPr>
            <w:rStyle w:val="Hyperlink"/>
            <w:rFonts w:ascii="Tahoma" w:hAnsi="Tahoma" w:cs="Tahoma"/>
            <w:color w:val="auto"/>
            <w:sz w:val="16"/>
            <w:szCs w:val="16"/>
            <w:u w:val="none"/>
          </w:rPr>
          <w:t>https://data.oecd.org/waste/municipal-waste.htm</w:t>
        </w:r>
      </w:hyperlink>
    </w:p>
  </w:footnote>
  <w:footnote w:id="14">
    <w:p w:rsidR="00A8502C" w:rsidRPr="005E4F2A" w:rsidP="00BE30FD" w14:paraId="382B3933" w14:textId="567A8B5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4" w:history="1">
        <w:r w:rsidRPr="005E4F2A">
          <w:rPr>
            <w:rStyle w:val="Hyperlink"/>
            <w:rFonts w:ascii="Tahoma" w:hAnsi="Tahoma" w:cs="Tahoma"/>
            <w:color w:val="auto"/>
            <w:sz w:val="16"/>
            <w:szCs w:val="16"/>
            <w:u w:val="none"/>
          </w:rPr>
          <w:t>https://www.gov.il/he/departments/guides/waste_treatment_hierarchy</w:t>
        </w:r>
      </w:hyperlink>
    </w:p>
  </w:footnote>
  <w:footnote w:id="15">
    <w:p w:rsidR="00A8502C" w:rsidRPr="005E4F2A" w:rsidP="00BE30FD" w14:paraId="062E6FDC" w14:textId="22E51854">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5" w:history="1">
        <w:r w:rsidRPr="005E4F2A">
          <w:rPr>
            <w:rStyle w:val="Hyperlink"/>
            <w:rFonts w:ascii="Tahoma" w:hAnsi="Tahoma" w:cs="Tahoma"/>
            <w:color w:val="auto"/>
            <w:sz w:val="16"/>
            <w:szCs w:val="16"/>
            <w:u w:val="none"/>
          </w:rPr>
          <w:t>https://stats.oecd.org/Index.aspx?DataSetCode=MUNW</w:t>
        </w:r>
      </w:hyperlink>
    </w:p>
  </w:footnote>
  <w:footnote w:id="16">
    <w:p w:rsidR="00A8502C" w:rsidRPr="005E4F2A" w:rsidP="00BE30FD" w14:paraId="3E85F8B4" w14:textId="2B07638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מבקר המדינה, </w:t>
      </w:r>
      <w:r w:rsidRPr="005E4F2A">
        <w:rPr>
          <w:rStyle w:val="a4"/>
          <w:rFonts w:ascii="Tahoma" w:hAnsi="Tahoma" w:cs="Tahoma"/>
          <w:b/>
          <w:bCs/>
          <w:color w:val="auto"/>
          <w:sz w:val="16"/>
          <w:szCs w:val="16"/>
          <w:rtl/>
        </w:rPr>
        <w:t>דוחות על הביקורת בשלטון המקומי לשנת 2016</w:t>
      </w:r>
      <w:r w:rsidRPr="005E4F2A">
        <w:rPr>
          <w:rStyle w:val="a4"/>
          <w:rFonts w:ascii="Tahoma" w:hAnsi="Tahoma" w:cs="Tahoma"/>
          <w:color w:val="auto"/>
          <w:sz w:val="16"/>
          <w:szCs w:val="16"/>
          <w:rtl/>
        </w:rPr>
        <w:t>,</w:t>
      </w:r>
      <w:r w:rsidRPr="005E4F2A">
        <w:rPr>
          <w:rFonts w:ascii="Tahoma" w:hAnsi="Tahoma" w:cs="Tahoma"/>
          <w:color w:val="auto"/>
          <w:sz w:val="16"/>
          <w:szCs w:val="16"/>
          <w:rtl/>
        </w:rPr>
        <w:t xml:space="preserve"> "פרויקט הפרדה במקור של פסולת ביתית ברשויות המקומיות", עמ' 465.</w:t>
      </w:r>
    </w:p>
  </w:footnote>
  <w:footnote w:id="17">
    <w:p w:rsidR="00A8502C" w:rsidRPr="005E4F2A" w:rsidP="00BE30FD" w14:paraId="34A2EA8E" w14:textId="7DFBDE6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מרכז המחקר והמידע של הכנסת, </w:t>
      </w:r>
      <w:r w:rsidRPr="005E4F2A">
        <w:rPr>
          <w:rStyle w:val="a4"/>
          <w:rFonts w:ascii="Tahoma" w:hAnsi="Tahoma" w:cs="Tahoma"/>
          <w:b/>
          <w:bCs/>
          <w:color w:val="auto"/>
          <w:sz w:val="16"/>
          <w:szCs w:val="16"/>
          <w:rtl/>
        </w:rPr>
        <w:t>זיהום קרקע בישראל - התופעה ודרכי הטיפול בה</w:t>
      </w:r>
      <w:r w:rsidRPr="005E4F2A">
        <w:rPr>
          <w:rFonts w:ascii="Tahoma" w:hAnsi="Tahoma" w:cs="Tahoma"/>
          <w:color w:val="auto"/>
          <w:sz w:val="16"/>
          <w:szCs w:val="16"/>
        </w:rPr>
        <w:t xml:space="preserve"> </w:t>
      </w:r>
      <w:r w:rsidRPr="005E4F2A">
        <w:rPr>
          <w:rFonts w:ascii="Tahoma" w:hAnsi="Tahoma" w:cs="Tahoma"/>
          <w:color w:val="auto"/>
          <w:sz w:val="16"/>
          <w:szCs w:val="16"/>
          <w:rtl/>
        </w:rPr>
        <w:t>(11.8.09).</w:t>
      </w:r>
    </w:p>
  </w:footnote>
  <w:footnote w:id="18">
    <w:p w:rsidR="00A8502C" w:rsidRPr="005E4F2A" w:rsidP="00BE30FD" w14:paraId="2AA915F3" w14:textId="438DAC65">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6" w:history="1">
        <w:r w:rsidRPr="005E4F2A">
          <w:rPr>
            <w:rStyle w:val="Hyperlink"/>
            <w:rFonts w:ascii="Tahoma" w:hAnsi="Tahoma" w:cs="Tahoma"/>
            <w:color w:val="auto"/>
            <w:sz w:val="16"/>
            <w:szCs w:val="16"/>
            <w:u w:val="none"/>
          </w:rPr>
          <w:t>https://stats.oecd.org/BrandedView.aspx?oecd_bv_id=env-data-en&amp;doi=data-00601-en#</w:t>
        </w:r>
      </w:hyperlink>
    </w:p>
  </w:footnote>
  <w:footnote w:id="19">
    <w:p w:rsidR="00A8502C" w:rsidRPr="005E4F2A" w:rsidP="00BE30FD" w14:paraId="7733848B" w14:textId="3FFE008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7" w:history="1">
        <w:r w:rsidRPr="005E4F2A">
          <w:rPr>
            <w:rStyle w:val="Hyperlink"/>
            <w:rFonts w:ascii="Tahoma" w:hAnsi="Tahoma" w:cs="Tahoma"/>
            <w:color w:val="auto"/>
            <w:sz w:val="16"/>
            <w:szCs w:val="16"/>
            <w:u w:val="none"/>
          </w:rPr>
          <w:t>https://data.worldbank.org/indicator/EN.POP.DNST</w:t>
        </w:r>
      </w:hyperlink>
    </w:p>
  </w:footnote>
  <w:footnote w:id="20">
    <w:p w:rsidR="00A8502C" w:rsidRPr="005E4F2A" w:rsidP="00BE30FD" w14:paraId="14C82FB2" w14:textId="5BD33FAE">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8" w:history="1">
        <w:r w:rsidRPr="005E4F2A">
          <w:rPr>
            <w:rStyle w:val="Hyperlink"/>
            <w:rFonts w:ascii="Tahoma" w:hAnsi="Tahoma" w:cs="Tahoma"/>
            <w:color w:val="auto"/>
            <w:sz w:val="16"/>
            <w:szCs w:val="16"/>
            <w:u w:val="none"/>
          </w:rPr>
          <w:t>http://www.sviva.gov.il/InfoServices/NewsAndEvents/MessageDoverAndNews/Pages/2018/june-2018/world-environment-day-2018.aspx</w:t>
        </w:r>
      </w:hyperlink>
    </w:p>
  </w:footnote>
  <w:footnote w:id="21">
    <w:p w:rsidR="00A8502C" w:rsidRPr="005E4F2A" w:rsidP="00BE30FD" w14:paraId="5EDA79CF" w14:textId="770A29A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tl/>
        </w:rPr>
        <w:t>מיחזוריות</w:t>
      </w:r>
      <w:r w:rsidRPr="005E4F2A">
        <w:rPr>
          <w:rFonts w:ascii="Tahoma" w:hAnsi="Tahoma" w:cs="Tahoma"/>
          <w:color w:val="auto"/>
          <w:sz w:val="16"/>
          <w:szCs w:val="16"/>
          <w:rtl/>
        </w:rPr>
        <w:t xml:space="preserve"> הן מתקנים לאיסוף מכלי משקה גדולים הנראים ככלובים ומוצבים ברחבי הרשויות המקומיות. על פי נתוני חברת איסוף א' באוגוסט 2020 היו בישראל כ-23,000 </w:t>
      </w:r>
      <w:r w:rsidRPr="005E4F2A">
        <w:rPr>
          <w:rFonts w:ascii="Tahoma" w:hAnsi="Tahoma" w:cs="Tahoma"/>
          <w:color w:val="auto"/>
          <w:sz w:val="16"/>
          <w:szCs w:val="16"/>
          <w:rtl/>
        </w:rPr>
        <w:t>מיחזוריות</w:t>
      </w:r>
      <w:r w:rsidRPr="005E4F2A">
        <w:rPr>
          <w:rFonts w:ascii="Tahoma" w:hAnsi="Tahoma" w:cs="Tahoma"/>
          <w:color w:val="auto"/>
          <w:sz w:val="16"/>
          <w:szCs w:val="16"/>
          <w:rtl/>
        </w:rPr>
        <w:t xml:space="preserve">. </w:t>
      </w:r>
    </w:p>
  </w:footnote>
  <w:footnote w:id="22">
    <w:p w:rsidR="00A8502C" w:rsidRPr="005E4F2A" w:rsidP="00BE30FD" w14:paraId="08B1586A" w14:textId="65A65CA1">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9" w:history="1">
        <w:r w:rsidRPr="005E4F2A">
          <w:rPr>
            <w:rStyle w:val="Hyperlink"/>
            <w:rFonts w:ascii="Tahoma" w:hAnsi="Tahoma" w:cs="Tahoma"/>
            <w:color w:val="auto"/>
            <w:sz w:val="16"/>
            <w:szCs w:val="16"/>
            <w:u w:val="none"/>
          </w:rPr>
          <w:t>https://www.gov.uk/government/consultations/introducing-a-deposit-return-scheme-drs-for-drinks-containers-bottles-and-cans/outcome/introducing-a-deposit-return-scheme-drs-in-england-wales-and-northern-ireland-executive-summary-and-next-steps</w:t>
        </w:r>
      </w:hyperlink>
    </w:p>
  </w:footnote>
  <w:footnote w:id="23">
    <w:p w:rsidR="00A8502C" w:rsidRPr="005E4F2A" w:rsidP="00BE30FD" w14:paraId="16997D81" w14:textId="5352771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0" w:history="1">
        <w:r w:rsidRPr="005E4F2A">
          <w:rPr>
            <w:rStyle w:val="Hyperlink"/>
            <w:rFonts w:ascii="Tahoma" w:hAnsi="Tahoma" w:cs="Tahoma"/>
            <w:color w:val="auto"/>
            <w:sz w:val="16"/>
            <w:szCs w:val="16"/>
            <w:u w:val="none"/>
          </w:rPr>
          <w:t>https://www.legislation.gov.uk/ssi/2020/154/regulation/2/made</w:t>
        </w:r>
      </w:hyperlink>
    </w:p>
  </w:footnote>
  <w:footnote w:id="24">
    <w:p w:rsidR="00A8502C" w:rsidRPr="005E4F2A" w:rsidP="00BE30FD" w14:paraId="19706AAC" w14:textId="69B31A3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דירקטיבת הפרלמנט האירופי </w:t>
      </w:r>
      <w:r w:rsidRPr="005E4F2A">
        <w:rPr>
          <w:rFonts w:ascii="Tahoma" w:hAnsi="Tahoma" w:cs="Tahoma"/>
          <w:color w:val="auto"/>
          <w:sz w:val="16"/>
          <w:szCs w:val="16"/>
        </w:rPr>
        <w:t>EC</w:t>
      </w:r>
      <w:r w:rsidRPr="005E4F2A">
        <w:rPr>
          <w:rFonts w:ascii="Tahoma" w:hAnsi="Tahoma" w:cs="Tahoma"/>
          <w:color w:val="auto"/>
          <w:sz w:val="16"/>
          <w:szCs w:val="16"/>
          <w:rtl/>
        </w:rPr>
        <w:t xml:space="preserve">/94/62, תיקון על ידי דירקטיבה </w:t>
      </w:r>
      <w:r w:rsidRPr="005E4F2A">
        <w:rPr>
          <w:rFonts w:ascii="Tahoma" w:hAnsi="Tahoma" w:cs="Tahoma"/>
          <w:color w:val="auto"/>
          <w:sz w:val="16"/>
          <w:szCs w:val="16"/>
        </w:rPr>
        <w:t>EC</w:t>
      </w:r>
      <w:r w:rsidRPr="005E4F2A">
        <w:rPr>
          <w:rFonts w:ascii="Tahoma" w:hAnsi="Tahoma" w:cs="Tahoma"/>
          <w:color w:val="auto"/>
          <w:sz w:val="16"/>
          <w:szCs w:val="16"/>
          <w:rtl/>
        </w:rPr>
        <w:t xml:space="preserve">/2004/12, 11.2.2004. הדירקטיבה הוחלפה </w:t>
      </w:r>
      <w:r w:rsidRPr="005E4F2A">
        <w:rPr>
          <w:rFonts w:ascii="Tahoma" w:hAnsi="Tahoma" w:cs="Tahoma"/>
          <w:color w:val="auto"/>
          <w:sz w:val="16"/>
          <w:szCs w:val="16"/>
        </w:rPr>
        <w:br/>
      </w:r>
      <w:r w:rsidRPr="005E4F2A">
        <w:rPr>
          <w:rFonts w:ascii="Tahoma" w:hAnsi="Tahoma" w:cs="Tahoma"/>
          <w:color w:val="auto"/>
          <w:sz w:val="16"/>
          <w:szCs w:val="16"/>
          <w:rtl/>
        </w:rPr>
        <w:t>ב-2018 בדירקטיבה שמספרה 2018/852, 30.5.2018.</w:t>
      </w:r>
    </w:p>
  </w:footnote>
  <w:footnote w:id="25">
    <w:p w:rsidR="00A8502C" w:rsidRPr="005E4F2A" w:rsidP="00BE30FD" w14:paraId="08B913CA" w14:textId="3A3D3AEF">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דירקטיבת הפרלמנט האירופי שמספרה 2019/904, 5.6.2019.</w:t>
      </w:r>
    </w:p>
  </w:footnote>
  <w:footnote w:id="26">
    <w:p w:rsidR="00A8502C" w:rsidRPr="005E4F2A" w:rsidP="00BE30FD" w14:paraId="3F38F4EA" w14:textId="7D55AC4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w:t>
      </w:r>
      <w:r w:rsidRPr="005E4F2A">
        <w:rPr>
          <w:rFonts w:ascii="Tahoma" w:hAnsi="Tahoma" w:cs="Tahoma"/>
          <w:color w:val="auto"/>
          <w:sz w:val="16"/>
          <w:szCs w:val="16"/>
          <w:rtl/>
        </w:rPr>
        <w:t>מיחזור</w:t>
      </w:r>
      <w:r w:rsidRPr="005E4F2A">
        <w:rPr>
          <w:rFonts w:ascii="Tahoma" w:hAnsi="Tahoma" w:cs="Tahoma"/>
          <w:color w:val="auto"/>
          <w:sz w:val="16"/>
          <w:szCs w:val="16"/>
          <w:rtl/>
        </w:rPr>
        <w:t xml:space="preserve"> מוכר" - </w:t>
      </w:r>
      <w:r w:rsidRPr="005E4F2A">
        <w:rPr>
          <w:rFonts w:ascii="Tahoma" w:hAnsi="Tahoma" w:cs="Tahoma"/>
          <w:color w:val="auto"/>
          <w:sz w:val="16"/>
          <w:szCs w:val="16"/>
          <w:rtl/>
        </w:rPr>
        <w:t>מיחזור</w:t>
      </w:r>
      <w:r w:rsidRPr="005E4F2A">
        <w:rPr>
          <w:rFonts w:ascii="Tahoma" w:hAnsi="Tahoma" w:cs="Tahoma"/>
          <w:color w:val="auto"/>
          <w:sz w:val="16"/>
          <w:szCs w:val="16"/>
          <w:rtl/>
        </w:rPr>
        <w:t xml:space="preserve"> במפעל </w:t>
      </w:r>
      <w:r w:rsidRPr="005E4F2A">
        <w:rPr>
          <w:rFonts w:ascii="Tahoma" w:hAnsi="Tahoma" w:cs="Tahoma"/>
          <w:color w:val="auto"/>
          <w:sz w:val="16"/>
          <w:szCs w:val="16"/>
          <w:rtl/>
        </w:rPr>
        <w:t>מיחזור</w:t>
      </w:r>
      <w:r w:rsidRPr="005E4F2A">
        <w:rPr>
          <w:rFonts w:ascii="Tahoma" w:hAnsi="Tahoma" w:cs="Tahoma"/>
          <w:color w:val="auto"/>
          <w:sz w:val="16"/>
          <w:szCs w:val="16"/>
          <w:rtl/>
        </w:rPr>
        <w:t xml:space="preserve"> המורשה על פי כל דין.</w:t>
      </w:r>
    </w:p>
  </w:footnote>
  <w:footnote w:id="27">
    <w:p w:rsidR="00A8502C" w:rsidRPr="005E4F2A" w:rsidP="00BE30FD" w14:paraId="705F3A4B"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על פי נתוני </w:t>
      </w:r>
      <w:r w:rsidRPr="005E4F2A">
        <w:rPr>
          <w:rFonts w:ascii="Tahoma" w:hAnsi="Tahoma" w:cs="Tahoma"/>
          <w:color w:val="auto"/>
          <w:sz w:val="16"/>
          <w:szCs w:val="16"/>
        </w:rPr>
        <w:t>OECD</w:t>
      </w:r>
      <w:r w:rsidRPr="005E4F2A">
        <w:rPr>
          <w:rFonts w:ascii="Tahoma" w:hAnsi="Tahoma" w:cs="Tahoma"/>
          <w:color w:val="auto"/>
          <w:sz w:val="16"/>
          <w:szCs w:val="16"/>
          <w:rtl/>
        </w:rPr>
        <w:t>, למעט קרואטיה שאינה חברה בארגון. השכר השנתי הממוצע לשנת 2019 בישראל הוא 39,403 דולר.</w:t>
      </w:r>
    </w:p>
  </w:footnote>
  <w:footnote w:id="28">
    <w:p w:rsidR="00A8502C" w:rsidRPr="005E4F2A" w:rsidP="00BE30FD" w14:paraId="104C4197"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על פי נתוני הבנק העולמי (</w:t>
      </w:r>
      <w:r w:rsidRPr="005E4F2A">
        <w:rPr>
          <w:rFonts w:ascii="Tahoma" w:hAnsi="Tahoma" w:cs="Tahoma"/>
          <w:color w:val="auto"/>
          <w:sz w:val="16"/>
          <w:szCs w:val="16"/>
        </w:rPr>
        <w:t>World Bank</w:t>
      </w:r>
      <w:r w:rsidRPr="005E4F2A">
        <w:rPr>
          <w:rFonts w:ascii="Tahoma" w:hAnsi="Tahoma" w:cs="Tahoma"/>
          <w:color w:val="auto"/>
          <w:sz w:val="16"/>
          <w:szCs w:val="16"/>
          <w:rtl/>
        </w:rPr>
        <w:t>) לשנת 2018.</w:t>
      </w:r>
    </w:p>
  </w:footnote>
  <w:footnote w:id="29">
    <w:p w:rsidR="00A8502C" w:rsidRPr="005E4F2A" w:rsidP="00BE30FD" w14:paraId="587CF886"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לפי חישוב משרד מבקר המדינה ביום 5.8.20: שערי ההמרה הם 4.038 ש"ח לאירו, 0.542 ש"ח לכתר דני, 0.541 ש"ח לקונה קרואטית, 0.378 ש"ח לכתר נורווגי, 0.392 ש"ח לכתר שוודי ו-0.025 ש"ח לכתר איסלנדי. חושב לפי השער היציג של בנק ישראל, למעט הכתר האיסלנדי והקונה הקרואטית שחושבו לפי שערי הבנק המרכזי של אירופה. </w:t>
      </w:r>
    </w:p>
  </w:footnote>
  <w:footnote w:id="30">
    <w:p w:rsidR="00A8502C" w:rsidRPr="005E4F2A" w:rsidP="00BE30FD" w14:paraId="4D570F23"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בחלק מהמדינות סכום הפיקדון תלוי בסוג החומר ובקיבולת המכל.</w:t>
      </w:r>
    </w:p>
  </w:footnote>
  <w:footnote w:id="31">
    <w:p w:rsidR="008912CB" w:rsidRPr="005E4F2A" w:rsidP="008912CB" w14:paraId="02FC4B79"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tl/>
        </w:rPr>
        <w:t>בחלק מהמדינות שיעור האיסוף משתנה לפי סוג החומר שממנו מיוצרים מכלי המשקה.</w:t>
      </w:r>
    </w:p>
  </w:footnote>
  <w:footnote w:id="32">
    <w:p w:rsidR="00A8502C" w:rsidRPr="005E4F2A" w:rsidP="00BE30FD" w14:paraId="4ED56DBA" w14:textId="2546DC06">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1" w:history="1">
        <w:r w:rsidRPr="005E4F2A">
          <w:rPr>
            <w:rStyle w:val="Hyperlink"/>
            <w:rFonts w:ascii="Tahoma" w:hAnsi="Tahoma" w:cs="Tahoma"/>
            <w:color w:val="auto"/>
            <w:sz w:val="16"/>
            <w:szCs w:val="16"/>
            <w:u w:val="none"/>
          </w:rPr>
          <w:t>https://www.fzoeu.hr</w:t>
        </w:r>
      </w:hyperlink>
    </w:p>
  </w:footnote>
  <w:footnote w:id="33">
    <w:p w:rsidR="00A8502C" w:rsidRPr="005E4F2A" w:rsidP="00BE30FD" w14:paraId="6CDF4B83" w14:textId="11BA59AD">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2" w:history="1">
        <w:r w:rsidRPr="005E4F2A">
          <w:rPr>
            <w:rStyle w:val="Hyperlink"/>
            <w:rFonts w:ascii="Tahoma" w:hAnsi="Tahoma" w:cs="Tahoma"/>
            <w:color w:val="auto"/>
            <w:sz w:val="16"/>
            <w:szCs w:val="16"/>
            <w:u w:val="none"/>
          </w:rPr>
          <w:t>https://danskretursystem.dk</w:t>
        </w:r>
      </w:hyperlink>
    </w:p>
  </w:footnote>
  <w:footnote w:id="34">
    <w:p w:rsidR="00A8502C" w:rsidRPr="005E4F2A" w:rsidP="00BE30FD" w14:paraId="4D60E3B7" w14:textId="79A10D3F">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3" w:history="1">
        <w:r w:rsidRPr="005E4F2A">
          <w:rPr>
            <w:rStyle w:val="Hyperlink"/>
            <w:rFonts w:ascii="Tahoma" w:hAnsi="Tahoma" w:cs="Tahoma"/>
            <w:color w:val="auto"/>
            <w:sz w:val="16"/>
            <w:szCs w:val="16"/>
            <w:u w:val="none"/>
          </w:rPr>
          <w:t>https://eestipandipakend.ee/en/reports/</w:t>
        </w:r>
      </w:hyperlink>
    </w:p>
  </w:footnote>
  <w:footnote w:id="35">
    <w:p w:rsidR="00A8502C" w:rsidRPr="005E4F2A" w:rsidP="00BE30FD" w14:paraId="190CB887" w14:textId="2B6D901E">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4" w:history="1">
        <w:r w:rsidRPr="005E4F2A">
          <w:rPr>
            <w:rStyle w:val="Hyperlink"/>
            <w:rFonts w:ascii="Tahoma" w:hAnsi="Tahoma" w:cs="Tahoma"/>
            <w:color w:val="auto"/>
            <w:sz w:val="16"/>
            <w:szCs w:val="16"/>
            <w:u w:val="none"/>
          </w:rPr>
          <w:t>https://www.palpa.fi/english</w:t>
        </w:r>
      </w:hyperlink>
    </w:p>
  </w:footnote>
  <w:footnote w:id="36">
    <w:p w:rsidR="00A8502C" w:rsidRPr="005E4F2A" w:rsidP="00BE30FD" w14:paraId="180FCCBE" w14:textId="5EC489D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5" w:history="1">
        <w:r w:rsidRPr="005E4F2A">
          <w:rPr>
            <w:rStyle w:val="Hyperlink"/>
            <w:rFonts w:ascii="Tahoma" w:hAnsi="Tahoma" w:cs="Tahoma"/>
            <w:color w:val="auto"/>
            <w:sz w:val="16"/>
            <w:szCs w:val="16"/>
            <w:u w:val="none"/>
          </w:rPr>
          <w:t>https://dpg-pfandsystem.de/index.php/en/</w:t>
        </w:r>
      </w:hyperlink>
    </w:p>
  </w:footnote>
  <w:footnote w:id="37">
    <w:p w:rsidR="00A8502C" w:rsidRPr="005E4F2A" w:rsidP="00BE30FD" w14:paraId="312E4341"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על פי המשרד </w:t>
      </w:r>
      <w:r w:rsidRPr="005E4F2A">
        <w:rPr>
          <w:rFonts w:ascii="Tahoma" w:hAnsi="Tahoma" w:cs="Tahoma"/>
          <w:color w:val="auto"/>
          <w:sz w:val="16"/>
          <w:szCs w:val="16"/>
          <w:rtl/>
        </w:rPr>
        <w:t>להגנ"ס</w:t>
      </w:r>
      <w:r w:rsidRPr="005E4F2A">
        <w:rPr>
          <w:rFonts w:ascii="Tahoma" w:hAnsi="Tahoma" w:cs="Tahoma"/>
          <w:color w:val="auto"/>
          <w:sz w:val="16"/>
          <w:szCs w:val="16"/>
          <w:rtl/>
        </w:rPr>
        <w:t>.</w:t>
      </w:r>
    </w:p>
  </w:footnote>
  <w:footnote w:id="38">
    <w:p w:rsidR="00A8502C" w:rsidRPr="005E4F2A" w:rsidP="00BE30FD" w14:paraId="56D6F139" w14:textId="4F071815">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6" w:history="1">
        <w:r w:rsidRPr="005E4F2A">
          <w:rPr>
            <w:rStyle w:val="Hyperlink"/>
            <w:rFonts w:ascii="Tahoma" w:hAnsi="Tahoma" w:cs="Tahoma"/>
            <w:color w:val="auto"/>
            <w:sz w:val="16"/>
            <w:szCs w:val="16"/>
            <w:u w:val="none"/>
          </w:rPr>
          <w:t>http://www.endurvinnslan.is/english/</w:t>
        </w:r>
      </w:hyperlink>
    </w:p>
  </w:footnote>
  <w:footnote w:id="39">
    <w:p w:rsidR="00A8502C" w:rsidRPr="005E4F2A" w:rsidP="00BE30FD" w14:paraId="0EF10508" w14:textId="2BDA651C">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7" w:anchor="slide-duk" w:history="1">
        <w:r w:rsidRPr="005E4F2A">
          <w:rPr>
            <w:rStyle w:val="Hyperlink"/>
            <w:rFonts w:ascii="Tahoma" w:hAnsi="Tahoma" w:cs="Tahoma"/>
            <w:color w:val="auto"/>
            <w:sz w:val="16"/>
            <w:szCs w:val="16"/>
            <w:u w:val="none"/>
          </w:rPr>
          <w:t>https://grazintiverta.lt/en/#slide-duk</w:t>
        </w:r>
      </w:hyperlink>
    </w:p>
  </w:footnote>
  <w:footnote w:id="40">
    <w:p w:rsidR="00E1228A" w:rsidRPr="005E4F2A" w:rsidP="00BE30FD" w14:paraId="4F5AB7E8" w14:textId="406825B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8" w:history="1">
        <w:r w:rsidRPr="005E4F2A">
          <w:rPr>
            <w:rStyle w:val="Hyperlink"/>
            <w:rFonts w:ascii="Tahoma" w:hAnsi="Tahoma" w:cs="Tahoma"/>
            <w:color w:val="auto"/>
            <w:sz w:val="16"/>
            <w:szCs w:val="16"/>
            <w:u w:val="none"/>
          </w:rPr>
          <w:t>https://www.retourverpakking.nl/nl/sorteren.html</w:t>
        </w:r>
      </w:hyperlink>
    </w:p>
  </w:footnote>
  <w:footnote w:id="41">
    <w:p w:rsidR="00E1228A" w:rsidRPr="005E4F2A" w:rsidP="00BE30FD" w14:paraId="4A542AA0" w14:textId="4D282660">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על פי המשרד </w:t>
      </w:r>
      <w:r w:rsidRPr="005E4F2A">
        <w:rPr>
          <w:rFonts w:ascii="Tahoma" w:hAnsi="Tahoma" w:cs="Tahoma"/>
          <w:color w:val="auto"/>
          <w:sz w:val="16"/>
          <w:szCs w:val="16"/>
          <w:rtl/>
        </w:rPr>
        <w:t>להגנ"ס</w:t>
      </w:r>
      <w:r w:rsidRPr="005E4F2A">
        <w:rPr>
          <w:rFonts w:ascii="Tahoma" w:hAnsi="Tahoma" w:cs="Tahoma"/>
          <w:color w:val="auto"/>
          <w:sz w:val="16"/>
          <w:szCs w:val="16"/>
          <w:rtl/>
        </w:rPr>
        <w:t xml:space="preserve">, </w:t>
      </w:r>
      <w:r w:rsidRPr="005E4F2A">
        <w:rPr>
          <w:rFonts w:ascii="Tahoma" w:hAnsi="Tahoma" w:cs="Tahoma"/>
          <w:color w:val="auto"/>
          <w:sz w:val="16"/>
          <w:szCs w:val="16"/>
        </w:rPr>
        <w:t>Deposit Systems for One-Way Beverage Containers Global Overview</w:t>
      </w:r>
    </w:p>
  </w:footnote>
  <w:footnote w:id="42">
    <w:p w:rsidR="00E1228A" w:rsidRPr="005E4F2A" w:rsidP="00BE30FD" w14:paraId="5D7CC80D" w14:textId="65E51D79">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19" w:history="1">
        <w:r w:rsidRPr="005E4F2A">
          <w:rPr>
            <w:rStyle w:val="Hyperlink"/>
            <w:rFonts w:ascii="Tahoma" w:hAnsi="Tahoma" w:cs="Tahoma"/>
            <w:color w:val="auto"/>
            <w:sz w:val="16"/>
            <w:szCs w:val="16"/>
            <w:u w:val="none"/>
          </w:rPr>
          <w:t>https://infinitum.no/english/about-us</w:t>
        </w:r>
      </w:hyperlink>
    </w:p>
  </w:footnote>
  <w:footnote w:id="43">
    <w:p w:rsidR="00E1228A" w:rsidRPr="005E4F2A" w:rsidP="00BE30FD" w14:paraId="171391F0" w14:textId="3B6B0905">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20" w:history="1">
        <w:r w:rsidRPr="005E4F2A">
          <w:rPr>
            <w:rStyle w:val="Hyperlink"/>
            <w:rFonts w:ascii="Tahoma" w:hAnsi="Tahoma" w:cs="Tahoma"/>
            <w:color w:val="auto"/>
            <w:sz w:val="16"/>
            <w:szCs w:val="16"/>
            <w:u w:val="none"/>
          </w:rPr>
          <w:t>https://pantamera.nu/om-oss/returpack-in-english/</w:t>
        </w:r>
      </w:hyperlink>
    </w:p>
  </w:footnote>
  <w:footnote w:id="44">
    <w:p w:rsidR="00A8502C" w:rsidRPr="005E4F2A" w:rsidP="00BE30FD" w14:paraId="390D4D73" w14:textId="5EB5BE4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21" w:anchor="Recycling_and_recovery_targets" w:history="1">
        <w:r w:rsidRPr="005E4F2A">
          <w:rPr>
            <w:rStyle w:val="Hyperlink"/>
            <w:rFonts w:ascii="Tahoma" w:hAnsi="Tahoma" w:cs="Tahoma"/>
            <w:color w:val="auto"/>
            <w:sz w:val="16"/>
            <w:szCs w:val="16"/>
            <w:u w:val="none"/>
          </w:rPr>
          <w:t>https://ec.europa.eu/eurostat/statistics-explained/index.php/Packaging_waste_statistics#Recycling_and_recovery_targets</w:t>
        </w:r>
      </w:hyperlink>
    </w:p>
  </w:footnote>
  <w:footnote w:id="45">
    <w:p w:rsidR="00A8502C" w:rsidRPr="005E4F2A" w:rsidP="00BE30FD" w14:paraId="4E610B18" w14:textId="493715F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הנתון לשנת 2018 מבוסס על טיוטת החלטה על יעדי </w:t>
      </w:r>
      <w:r w:rsidRPr="005E4F2A">
        <w:rPr>
          <w:rFonts w:ascii="Tahoma" w:hAnsi="Tahoma" w:cs="Tahoma"/>
          <w:color w:val="auto"/>
          <w:sz w:val="16"/>
          <w:szCs w:val="16"/>
          <w:rtl/>
        </w:rPr>
        <w:t>מיחזור</w:t>
      </w:r>
      <w:r w:rsidRPr="005E4F2A">
        <w:rPr>
          <w:rFonts w:ascii="Tahoma" w:hAnsi="Tahoma" w:cs="Tahoma"/>
          <w:color w:val="auto"/>
          <w:sz w:val="16"/>
          <w:szCs w:val="16"/>
          <w:rtl/>
        </w:rPr>
        <w:t xml:space="preserve"> ל-2018 שהכין הממונה על חוק האריזות בספטמבר 2020 והיא טרם אושרה סופית.</w:t>
      </w:r>
    </w:p>
  </w:footnote>
  <w:footnote w:id="46">
    <w:p w:rsidR="00A8502C" w:rsidRPr="005E4F2A" w:rsidP="00BE30FD" w14:paraId="7BF37B25" w14:textId="180647F9">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הקרן לשמירת הניקיון הוקמה בחוק שמירת הניקיון, התשמ"ד-1984. על פי החוק, מטרת הקרן, בין היתר, לרכז אמצעים כספיים לשמירה על איכות נאותה של הסביבה ובכלל זה לשמירה על הניקיון, למניעת השלכת פסולת ולטיפול בפסולת </w:t>
      </w:r>
      <w:r w:rsidRPr="005E4F2A">
        <w:rPr>
          <w:rFonts w:ascii="Tahoma" w:hAnsi="Tahoma" w:cs="Tahoma"/>
          <w:color w:val="auto"/>
          <w:sz w:val="16"/>
          <w:szCs w:val="16"/>
          <w:rtl/>
        </w:rPr>
        <w:t>ומיחזור</w:t>
      </w:r>
      <w:r w:rsidRPr="005E4F2A">
        <w:rPr>
          <w:rFonts w:ascii="Tahoma" w:hAnsi="Tahoma" w:cs="Tahoma"/>
          <w:color w:val="auto"/>
          <w:sz w:val="16"/>
          <w:szCs w:val="16"/>
          <w:rtl/>
        </w:rPr>
        <w:t xml:space="preserve">. </w:t>
      </w:r>
    </w:p>
  </w:footnote>
  <w:footnote w:id="47">
    <w:p w:rsidR="00A8502C" w:rsidRPr="005E4F2A" w:rsidP="00BE30FD" w14:paraId="4C60AF51"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להמחשה, להלן סרטון מאתר תאגיד האיסוף הדני במרשתת: </w:t>
      </w:r>
    </w:p>
    <w:p w:rsidR="00A8502C" w:rsidRPr="005E4F2A" w:rsidP="00E1228A" w14:paraId="0AB53B4F" w14:textId="178F274F">
      <w:pPr>
        <w:pStyle w:val="a7"/>
        <w:spacing w:after="60" w:line="312" w:lineRule="auto"/>
        <w:ind w:left="340" w:hanging="340"/>
        <w:rPr>
          <w:rFonts w:ascii="Tahoma" w:hAnsi="Tahoma" w:cs="Tahoma"/>
          <w:color w:val="auto"/>
          <w:sz w:val="16"/>
          <w:szCs w:val="16"/>
        </w:rPr>
      </w:pPr>
      <w:r>
        <w:tab/>
      </w:r>
      <w:hyperlink r:id="rId22" w:history="1">
        <w:r w:rsidRPr="008A6171">
          <w:rPr>
            <w:rStyle w:val="Hyperlink"/>
            <w:rFonts w:ascii="Tahoma" w:hAnsi="Tahoma" w:cs="Tahoma"/>
            <w:sz w:val="16"/>
            <w:szCs w:val="16"/>
          </w:rPr>
          <w:t>https://danskretursystem.dk/en/about-deposits/where-return/</w:t>
        </w:r>
      </w:hyperlink>
    </w:p>
  </w:footnote>
  <w:footnote w:id="48">
    <w:p w:rsidR="00A8502C" w:rsidRPr="005E4F2A" w:rsidP="00BE30FD" w14:paraId="531D1075" w14:textId="08406C3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23" w:history="1">
        <w:r w:rsidRPr="005E4F2A">
          <w:rPr>
            <w:rStyle w:val="Hyperlink"/>
            <w:rFonts w:ascii="Tahoma" w:hAnsi="Tahoma" w:cs="Tahoma"/>
            <w:color w:val="auto"/>
            <w:sz w:val="16"/>
            <w:szCs w:val="16"/>
            <w:u w:val="none"/>
          </w:rPr>
          <w:t>https://mr.gov.il/ilgstorefront/he/p/4000525518</w:t>
        </w:r>
      </w:hyperlink>
    </w:p>
  </w:footnote>
  <w:footnote w:id="49">
    <w:p w:rsidR="00A8502C" w:rsidRPr="005E4F2A" w:rsidP="00BE30FD" w14:paraId="1DCA11B9" w14:textId="00C4BED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להמחשה, להלן סרטון: </w:t>
      </w:r>
      <w:hyperlink r:id="rId24" w:history="1">
        <w:r w:rsidRPr="005E4F2A">
          <w:rPr>
            <w:rStyle w:val="Hyperlink"/>
            <w:rFonts w:ascii="Tahoma" w:hAnsi="Tahoma" w:cs="Tahoma"/>
            <w:color w:val="auto"/>
            <w:sz w:val="16"/>
            <w:szCs w:val="16"/>
            <w:u w:val="none"/>
          </w:rPr>
          <w:t>https://dpg-pfandsystem.de/index.php/en/faq.html</w:t>
        </w:r>
        <w:r w:rsidRPr="005E4F2A">
          <w:rPr>
            <w:rStyle w:val="Hyperlink"/>
            <w:rFonts w:ascii="Tahoma" w:hAnsi="Tahoma" w:cs="Tahoma"/>
            <w:color w:val="auto"/>
            <w:sz w:val="16"/>
            <w:szCs w:val="16"/>
            <w:u w:val="none"/>
            <w:rtl/>
          </w:rPr>
          <w:t>#</w:t>
        </w:r>
      </w:hyperlink>
    </w:p>
  </w:footnote>
  <w:footnote w:id="50">
    <w:p w:rsidR="00A8502C" w:rsidRPr="005E4F2A" w:rsidP="00BE30FD" w14:paraId="6C169B1B" w14:textId="16B1D18E">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לפי חישובי משרד מבקר המדינה, שיעור איסוף מכלי המשקה הקטנים בישראל בשנת 2017 נמוך ב-2% - 19% משיעור האיסוף במדינות אירופה שבהן מוטל פיקדון. שיעור איסוף מכלי המשקה הגדולים בישראל נמוך בכ-23% - 40% מזה שבמדינות אלה. </w:t>
      </w:r>
    </w:p>
  </w:footnote>
  <w:footnote w:id="51">
    <w:p w:rsidR="00A8502C" w:rsidRPr="005E4F2A" w:rsidP="00BE30FD" w14:paraId="3A493DCA" w14:textId="1F8E314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לפי שער היציג של דולר ארה"ב ליום 15.6.20.</w:t>
      </w:r>
    </w:p>
  </w:footnote>
  <w:footnote w:id="52">
    <w:p w:rsidR="00A8502C" w:rsidRPr="005E4F2A" w:rsidP="00BE30FD" w14:paraId="26D44647" w14:textId="4F945EB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חוות דעת כלכלית בנושא עלות הטלת פיקדון על מכלי משקה גדולים, ספטמבר 2020 - פרלמן ושות'.</w:t>
      </w:r>
    </w:p>
  </w:footnote>
  <w:footnote w:id="53">
    <w:p w:rsidR="00A8502C" w:rsidRPr="005E4F2A" w:rsidP="00BE30FD" w14:paraId="3898C7BE" w14:textId="57F42C8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תורגם מדולר לש"ח לפי שער יציג ליום תגובת איגוד תעשיות המזון. </w:t>
      </w:r>
    </w:p>
  </w:footnote>
  <w:footnote w:id="54">
    <w:p w:rsidR="00A8502C" w:rsidRPr="005E4F2A" w:rsidP="00BE30FD" w14:paraId="58339578" w14:textId="3C074DBB">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סעיף 50(1) לחוק האריזות.</w:t>
      </w:r>
    </w:p>
  </w:footnote>
  <w:footnote w:id="55">
    <w:p w:rsidR="00A8502C" w:rsidRPr="005E4F2A" w:rsidP="00BE30FD" w14:paraId="4DFA0771" w14:textId="58EB2B44">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על פי תקנות רישוי עסקים (תחנת מעבר לפסולת), תשנ"ח-1998, תחנת מעבר מוגדרת באופן הבא: "תחנת מעבר לפסולת ותחנת מעבר לפסולת בנין, שהיא מיתקן נייח וקבוע שבו נעשה אחד מאלה:... (2) מיון של פסולת או של פסולת בנין לרכיביה לצורכי </w:t>
      </w:r>
      <w:r w:rsidRPr="005E4F2A">
        <w:rPr>
          <w:rFonts w:ascii="Tahoma" w:hAnsi="Tahoma" w:cs="Tahoma"/>
          <w:color w:val="auto"/>
          <w:sz w:val="16"/>
          <w:szCs w:val="16"/>
          <w:rtl/>
        </w:rPr>
        <w:t>מיחזור</w:t>
      </w:r>
      <w:r w:rsidRPr="005E4F2A">
        <w:rPr>
          <w:rFonts w:ascii="Tahoma" w:hAnsi="Tahoma" w:cs="Tahoma"/>
          <w:color w:val="auto"/>
          <w:sz w:val="16"/>
          <w:szCs w:val="16"/>
          <w:rtl/>
        </w:rPr>
        <w:t xml:space="preserve"> או שימוש חוזר".</w:t>
      </w:r>
    </w:p>
  </w:footnote>
  <w:footnote w:id="56">
    <w:p w:rsidR="00A8502C" w:rsidRPr="005E4F2A" w:rsidP="00BE30FD" w14:paraId="0BFC54A5" w14:textId="5B72462C">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המשרד </w:t>
      </w:r>
      <w:r w:rsidRPr="005E4F2A">
        <w:rPr>
          <w:rFonts w:ascii="Tahoma" w:hAnsi="Tahoma" w:cs="Tahoma"/>
          <w:color w:val="auto"/>
          <w:sz w:val="16"/>
          <w:szCs w:val="16"/>
          <w:rtl/>
        </w:rPr>
        <w:t>להגנ"ס</w:t>
      </w:r>
      <w:r w:rsidRPr="005E4F2A">
        <w:rPr>
          <w:rFonts w:ascii="Tahoma" w:hAnsi="Tahoma" w:cs="Tahoma"/>
          <w:color w:val="auto"/>
          <w:sz w:val="16"/>
          <w:szCs w:val="16"/>
          <w:rtl/>
        </w:rPr>
        <w:t>, הממונה על חוק הפיקדון - "נוהל דיווח רבעוני ושנתי של יצרני ויבואני מכלי משקה לעניין חוק הפיקדון על מכלי משקה", 20.6.10.</w:t>
      </w:r>
    </w:p>
  </w:footnote>
  <w:footnote w:id="57">
    <w:p w:rsidR="00A8502C" w:rsidRPr="005E4F2A" w:rsidP="00BE30FD" w14:paraId="6A47E234" w14:textId="4774CCA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המשרד </w:t>
      </w:r>
      <w:r w:rsidRPr="005E4F2A">
        <w:rPr>
          <w:rFonts w:ascii="Tahoma" w:hAnsi="Tahoma" w:cs="Tahoma"/>
          <w:color w:val="auto"/>
          <w:sz w:val="16"/>
          <w:szCs w:val="16"/>
          <w:rtl/>
        </w:rPr>
        <w:t>להגנ"ס</w:t>
      </w:r>
      <w:r w:rsidRPr="005E4F2A">
        <w:rPr>
          <w:rFonts w:ascii="Tahoma" w:hAnsi="Tahoma" w:cs="Tahoma"/>
          <w:color w:val="auto"/>
          <w:sz w:val="16"/>
          <w:szCs w:val="16"/>
          <w:rtl/>
        </w:rPr>
        <w:t>, הממונה על חוק הפיקדון - "נוהל דיווח רבעוני ושנתי של יצרני ויבואני מכלי משקה לעניין חוק הפיקדון על מכלי משקה", 14.1.16.</w:t>
      </w:r>
    </w:p>
  </w:footnote>
  <w:footnote w:id="58">
    <w:p w:rsidR="00A8502C" w:rsidRPr="005E4F2A" w:rsidP="00BE30FD" w14:paraId="62BDE1CB" w14:textId="6916BFF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המשרד </w:t>
      </w:r>
      <w:r w:rsidRPr="005E4F2A">
        <w:rPr>
          <w:rFonts w:ascii="Tahoma" w:hAnsi="Tahoma" w:cs="Tahoma"/>
          <w:color w:val="auto"/>
          <w:sz w:val="16"/>
          <w:szCs w:val="16"/>
          <w:rtl/>
        </w:rPr>
        <w:t>להגנ"ס</w:t>
      </w:r>
      <w:r w:rsidRPr="005E4F2A">
        <w:rPr>
          <w:rFonts w:ascii="Tahoma" w:hAnsi="Tahoma" w:cs="Tahoma"/>
          <w:color w:val="auto"/>
          <w:sz w:val="16"/>
          <w:szCs w:val="16"/>
          <w:rtl/>
        </w:rPr>
        <w:t>, הממונה על חוק הפיקדון - "חוק הפיקדון על מכלי משקה - נוהל דיווח רבעוני ושנתי של יצרני ויבואני מכלי משקה גדולים", 10.5.16.</w:t>
      </w:r>
    </w:p>
  </w:footnote>
  <w:footnote w:id="59">
    <w:p w:rsidR="00A8502C" w:rsidRPr="005E4F2A" w:rsidP="00BE30FD" w14:paraId="298C2115" w14:textId="1A7B7665">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"העושה אחד מאלה, דינו - קנס כאמור בסעיף 61 (א)( 3) לחוק העונשין [תשל"ז - 1977], ואם העבירה נעברה על ידי תאגיד - כפל הקנס האמור: (1) לא סימן מכלי משקה החייבים בפיקדון לפי הוראות סעיפים 3 או 3א;(א) מכר מכל משקה שאינו מסומן, בניגוד להוראות סעיף 3ב; (2) לא גבה פיקדון בשל מכל משקה מלא לפי הוראות סעיף 4". כמו כן נקבע כי "המוסר דיווח כוזב בניגוד להוראות סעיף 10, דינו - מאסר שלוש שנים או קנס כאמור בסעיף 61 (א)( 4) לחוק העונשין, ואם נעברה העבירה על ידי תאגיד - כפל הקנס האמור. (ג) לא דיווח אדם לממונה לפי הוראות סעיף 10 או לא העביר לקרן סכומים כפי שקבע הממונה לפי הוראות אותו סעיף, דינו - מאסר שנה או קנס כאמור בסעיף 61 (א)( 4) לחוק העונשין, ואם נעברה העבירה על ידי תאגיד - כפל הקנס האמור".</w:t>
      </w:r>
    </w:p>
  </w:footnote>
  <w:footnote w:id="60">
    <w:p w:rsidR="00A8502C" w:rsidRPr="005E4F2A" w:rsidP="00BE30FD" w14:paraId="7FDDF186" w14:textId="127AA57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יובהר כי מדובר בנתונים שלא נבדקו ולא בוקרו על ידי המשרד </w:t>
      </w:r>
      <w:r w:rsidRPr="005E4F2A">
        <w:rPr>
          <w:rFonts w:ascii="Tahoma" w:hAnsi="Tahoma" w:cs="Tahoma"/>
          <w:color w:val="auto"/>
          <w:sz w:val="16"/>
          <w:szCs w:val="16"/>
          <w:rtl/>
        </w:rPr>
        <w:t>להגנ"ס</w:t>
      </w:r>
      <w:r w:rsidRPr="005E4F2A">
        <w:rPr>
          <w:rFonts w:ascii="Tahoma" w:hAnsi="Tahoma" w:cs="Tahoma"/>
          <w:color w:val="auto"/>
          <w:sz w:val="16"/>
          <w:szCs w:val="16"/>
          <w:rtl/>
        </w:rPr>
        <w:t>.</w:t>
      </w:r>
    </w:p>
  </w:footnote>
  <w:footnote w:id="61">
    <w:p w:rsidR="00A8502C" w:rsidRPr="005E4F2A" w:rsidP="00BE30FD" w14:paraId="76C38B8E" w14:textId="77777777">
      <w:pPr>
        <w:pStyle w:val="a7"/>
        <w:spacing w:after="60" w:line="312" w:lineRule="auto"/>
        <w:ind w:left="340" w:hanging="340"/>
        <w:rPr>
          <w:rFonts w:ascii="Tahoma" w:hAnsi="Tahoma" w:cs="Tahoma"/>
          <w:color w:val="auto"/>
          <w:sz w:val="16"/>
          <w:szCs w:val="16"/>
          <w:rtl/>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לוח 4: הוצאה לצריכה פרטית על מזון, משקאות וטבק, לפי סוג. </w:t>
      </w:r>
    </w:p>
    <w:p w:rsidR="00A8502C" w:rsidRPr="005E4F2A" w:rsidP="00E1228A" w14:paraId="6FE3FB0E" w14:textId="326BF56E">
      <w:pPr>
        <w:pStyle w:val="a7"/>
        <w:spacing w:after="60" w:line="312" w:lineRule="auto"/>
        <w:ind w:left="340" w:hanging="340"/>
        <w:rPr>
          <w:rFonts w:ascii="Tahoma" w:hAnsi="Tahoma" w:cs="Tahoma"/>
          <w:color w:val="auto"/>
          <w:sz w:val="16"/>
          <w:szCs w:val="16"/>
        </w:rPr>
      </w:pPr>
      <w:r>
        <w:tab/>
      </w:r>
      <w:hyperlink r:id="rId25" w:history="1">
        <w:r w:rsidRPr="008A6171" w:rsidR="00152F9D">
          <w:rPr>
            <w:rStyle w:val="Hyperlink"/>
            <w:rFonts w:ascii="Tahoma" w:hAnsi="Tahoma" w:cs="Tahoma"/>
            <w:sz w:val="16"/>
            <w:szCs w:val="16"/>
          </w:rPr>
          <w:t>https://www.cbs.gov.il/he/publications/Pages/2020</w:t>
        </w:r>
      </w:hyperlink>
    </w:p>
  </w:footnote>
  <w:footnote w:id="62">
    <w:p w:rsidR="00A8502C" w:rsidRPr="005E4F2A" w:rsidP="00BE30FD" w14:paraId="18232C58" w14:textId="7AE48B4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המשטרה הירוקה היא הזרוע העיקרית העומדת לרשות המשרד </w:t>
      </w:r>
      <w:r w:rsidRPr="005E4F2A">
        <w:rPr>
          <w:rFonts w:ascii="Tahoma" w:hAnsi="Tahoma" w:cs="Tahoma"/>
          <w:color w:val="auto"/>
          <w:sz w:val="16"/>
          <w:szCs w:val="16"/>
          <w:rtl/>
        </w:rPr>
        <w:t>להגנ"ס</w:t>
      </w:r>
      <w:r w:rsidRPr="005E4F2A">
        <w:rPr>
          <w:rFonts w:ascii="Tahoma" w:hAnsi="Tahoma" w:cs="Tahoma"/>
          <w:color w:val="auto"/>
          <w:sz w:val="16"/>
          <w:szCs w:val="16"/>
          <w:rtl/>
        </w:rPr>
        <w:t xml:space="preserve"> בתחום האכיפה וההרתעה. תפקידה המרכזי הוא לאכוף את החוקים, התקנות והצווים בנושא איכות הסביבה בישראל. </w:t>
      </w:r>
    </w:p>
  </w:footnote>
  <w:footnote w:id="63">
    <w:p w:rsidR="00A8502C" w:rsidRPr="005E4F2A" w:rsidP="00BE30FD" w14:paraId="1868EC56" w14:textId="688118F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נכון ליולי 2020 תהליך הבקרה על נתוני המכירות והאיסוף לשנת 2018 טרם הסתיים. הנתונים המובאים כאן עשויים להשתנות בתום תהליך הבקרה.</w:t>
      </w:r>
    </w:p>
  </w:footnote>
  <w:footnote w:id="64">
    <w:p w:rsidR="00A8502C" w:rsidRPr="005E4F2A" w:rsidP="00BE30FD" w14:paraId="0C3F53D8" w14:textId="263A4881">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חוק הפיקדון וחוק האריזות: בחינת מנגנון מיטבי </w:t>
      </w:r>
      <w:r w:rsidRPr="005E4F2A">
        <w:rPr>
          <w:rFonts w:ascii="Tahoma" w:hAnsi="Tahoma" w:cs="Tahoma"/>
          <w:color w:val="auto"/>
          <w:sz w:val="16"/>
          <w:szCs w:val="16"/>
          <w:rtl/>
        </w:rPr>
        <w:t>למיחזור</w:t>
      </w:r>
      <w:r w:rsidRPr="005E4F2A">
        <w:rPr>
          <w:rFonts w:ascii="Tahoma" w:hAnsi="Tahoma" w:cs="Tahoma"/>
          <w:color w:val="auto"/>
          <w:sz w:val="16"/>
          <w:szCs w:val="16"/>
          <w:rtl/>
        </w:rPr>
        <w:t xml:space="preserve"> מכלי המשקה הקטנים, יולי 2014.</w:t>
      </w:r>
    </w:p>
  </w:footnote>
  <w:footnote w:id="65">
    <w:p w:rsidR="00A8502C" w:rsidRPr="005E4F2A" w:rsidP="00BE30FD" w14:paraId="74804C93" w14:textId="6BD29AD9">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על פי </w:t>
      </w:r>
      <w:r w:rsidRPr="005E4F2A">
        <w:rPr>
          <w:rFonts w:ascii="Tahoma" w:hAnsi="Tahoma" w:cs="Tahoma"/>
          <w:color w:val="auto"/>
          <w:sz w:val="16"/>
          <w:szCs w:val="16"/>
          <w:rtl/>
        </w:rPr>
        <w:t>מירבלין</w:t>
      </w:r>
      <w:r w:rsidRPr="005E4F2A">
        <w:rPr>
          <w:rFonts w:ascii="Tahoma" w:hAnsi="Tahoma" w:cs="Tahoma"/>
          <w:color w:val="auto"/>
          <w:sz w:val="16"/>
          <w:szCs w:val="16"/>
          <w:rtl/>
        </w:rPr>
        <w:t xml:space="preserve"> יעוץ והשקעות (2007) בע"מ, קביעת פיקדון על מכלי משקה מעל 1.5 ליטר - ניתוח כלכלי, ספטמבר 2020.</w:t>
      </w:r>
    </w:p>
  </w:footnote>
  <w:footnote w:id="66">
    <w:p w:rsidR="00A8502C" w:rsidRPr="005E4F2A" w:rsidP="00BE30FD" w14:paraId="79068BB3" w14:textId="3E9881F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בתקנות התכנון והבנייה (תכן הבנייה) (אצירת אשפה), התש"ף-2019 "כלי אצירה" מוגדרים כמתקן נייד המיועד לאצירת פסולת ופינויה, ובכלל זה </w:t>
      </w:r>
      <w:r w:rsidRPr="005E4F2A">
        <w:rPr>
          <w:rFonts w:ascii="Tahoma" w:hAnsi="Tahoma" w:cs="Tahoma"/>
          <w:color w:val="auto"/>
          <w:sz w:val="16"/>
          <w:szCs w:val="16"/>
          <w:rtl/>
        </w:rPr>
        <w:t>מכלון</w:t>
      </w:r>
      <w:r w:rsidRPr="005E4F2A">
        <w:rPr>
          <w:rFonts w:ascii="Tahoma" w:hAnsi="Tahoma" w:cs="Tahoma"/>
          <w:color w:val="auto"/>
          <w:sz w:val="16"/>
          <w:szCs w:val="16"/>
          <w:rtl/>
        </w:rPr>
        <w:t xml:space="preserve">, מכל ומכולה. </w:t>
      </w:r>
    </w:p>
  </w:footnote>
  <w:footnote w:id="67">
    <w:p w:rsidR="00A8502C" w:rsidRPr="005E4F2A" w:rsidP="00BE30FD" w14:paraId="0B2A4C3D" w14:textId="7606E8ED">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ממרץ 2007.</w:t>
      </w:r>
    </w:p>
  </w:footnote>
  <w:footnote w:id="68">
    <w:p w:rsidR="00A8502C" w:rsidRPr="005E4F2A" w:rsidP="00BE30FD" w14:paraId="63CB74D0" w14:textId="47F4A43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26" w:history="1">
        <w:r w:rsidRPr="005E4F2A">
          <w:rPr>
            <w:rFonts w:ascii="Tahoma" w:hAnsi="Tahoma" w:cs="Tahoma"/>
            <w:color w:val="auto"/>
            <w:sz w:val="16"/>
            <w:szCs w:val="16"/>
          </w:rPr>
          <w:t>http://www</w:t>
        </w:r>
        <w:r w:rsidRPr="005E4F2A">
          <w:rPr>
            <w:rFonts w:ascii="Tahoma" w:hAnsi="Tahoma" w:cs="Tahoma"/>
            <w:color w:val="auto"/>
            <w:sz w:val="16"/>
            <w:szCs w:val="16"/>
            <w:rtl/>
          </w:rPr>
          <w:t>.</w:t>
        </w:r>
        <w:r w:rsidRPr="005E4F2A">
          <w:rPr>
            <w:rFonts w:ascii="Tahoma" w:hAnsi="Tahoma" w:cs="Tahoma"/>
            <w:color w:val="auto"/>
            <w:sz w:val="16"/>
            <w:szCs w:val="16"/>
          </w:rPr>
          <w:t>tmir.org.il</w:t>
        </w:r>
      </w:hyperlink>
    </w:p>
  </w:footnote>
  <w:footnote w:id="69">
    <w:p w:rsidR="00A8502C" w:rsidRPr="005E4F2A" w:rsidP="00BE30FD" w14:paraId="0F4D4893" w14:textId="367B827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בשנת 2017 הוכר איסוף של 14,864 טון מכלי משקה גדולים. משקל ממוצע של מכל היה 37.17. בהמרת המשקל הנאסף לכמות המכלים הייתה התוצאה כ-399.9 מיליון מכלים. המרת המשקל שנאסף לפי משקל ממוצע של 38.17 גרם למכל הייתה מביאה לתוצאה של 389.4 מיליון מכלי משקה.</w:t>
      </w:r>
    </w:p>
  </w:footnote>
  <w:footnote w:id="70">
    <w:p w:rsidR="00A8502C" w:rsidRPr="005E4F2A" w:rsidP="00BE30FD" w14:paraId="36682FC3" w14:textId="7777777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Pr>
        <w:t>HDPE - High-density polyethylene</w:t>
      </w:r>
      <w:r w:rsidRPr="005E4F2A">
        <w:rPr>
          <w:rFonts w:ascii="Tahoma" w:hAnsi="Tahoma" w:cs="Tahoma"/>
          <w:color w:val="auto"/>
          <w:sz w:val="16"/>
          <w:szCs w:val="16"/>
          <w:rtl/>
        </w:rPr>
        <w:t>. פוליאתילן בצפיפות גבוהה. חומר המאופיין בכוחות בין-</w:t>
      </w:r>
      <w:r w:rsidRPr="005E4F2A">
        <w:rPr>
          <w:rFonts w:ascii="Tahoma" w:hAnsi="Tahoma" w:cs="Tahoma"/>
          <w:color w:val="auto"/>
          <w:sz w:val="16"/>
          <w:szCs w:val="16"/>
          <w:rtl/>
        </w:rPr>
        <w:t>שרשרתיים</w:t>
      </w:r>
      <w:r w:rsidRPr="005E4F2A">
        <w:rPr>
          <w:rFonts w:ascii="Tahoma" w:hAnsi="Tahoma" w:cs="Tahoma"/>
          <w:color w:val="auto"/>
          <w:sz w:val="16"/>
          <w:szCs w:val="16"/>
          <w:rtl/>
        </w:rPr>
        <w:t xml:space="preserve"> חזקים הגורמים לקשיות גבוהה. החומר משמש לייצור צנרת מים, פחי אשפה ומכלים לחומרי ניקוי ולמוצרי מזון.</w:t>
      </w:r>
    </w:p>
  </w:footnote>
  <w:footnote w:id="71">
    <w:p w:rsidR="00A8502C" w:rsidRPr="005E4F2A" w:rsidP="00BE30FD" w14:paraId="6A402C42" w14:textId="3C72B0A0">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בספטמבר 2017 היה משקל מכל גדול לפי חברת איסוף א' 37.17 גרם. המשקל לפי חברת איסוף ב' היה 40 גרם. </w:t>
      </w:r>
    </w:p>
  </w:footnote>
  <w:footnote w:id="72">
    <w:p w:rsidR="00A8502C" w:rsidRPr="005E4F2A" w:rsidP="00BE30FD" w14:paraId="3AEED6F7" w14:textId="2542732B">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סעיף 23 (ב) לחוק הפיקדון.</w:t>
      </w:r>
    </w:p>
  </w:footnote>
  <w:footnote w:id="73">
    <w:p w:rsidR="00A8502C" w:rsidRPr="005E4F2A" w:rsidP="00BE30FD" w14:paraId="77B98649" w14:textId="4C3655BF">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tl/>
        </w:rPr>
        <w:t>עש"א</w:t>
      </w:r>
      <w:r w:rsidRPr="005E4F2A">
        <w:rPr>
          <w:rFonts w:ascii="Tahoma" w:hAnsi="Tahoma" w:cs="Tahoma"/>
          <w:color w:val="auto"/>
          <w:sz w:val="16"/>
          <w:szCs w:val="16"/>
          <w:rtl/>
        </w:rPr>
        <w:t xml:space="preserve"> 24188-08-19 </w:t>
      </w:r>
      <w:r w:rsidRPr="00152F9D">
        <w:rPr>
          <w:rStyle w:val="a4"/>
          <w:rFonts w:ascii="Tahoma" w:hAnsi="Tahoma" w:cs="Tahoma"/>
          <w:b/>
          <w:bCs/>
          <w:color w:val="auto"/>
          <w:sz w:val="16"/>
          <w:szCs w:val="16"/>
          <w:rtl/>
        </w:rPr>
        <w:t>החברה המרכזית להפצת משקאות בע"מ ואח' נ' מדינת ישראל</w:t>
      </w:r>
      <w:r w:rsidRPr="005E4F2A">
        <w:rPr>
          <w:rFonts w:ascii="Tahoma" w:hAnsi="Tahoma" w:cs="Tahoma"/>
          <w:color w:val="auto"/>
          <w:sz w:val="16"/>
          <w:szCs w:val="16"/>
          <w:rtl/>
        </w:rPr>
        <w:t>, שניתן ביום 9.11.2020.</w:t>
      </w:r>
    </w:p>
  </w:footnote>
  <w:footnote w:id="74">
    <w:p w:rsidR="00A8502C" w:rsidRPr="005E4F2A" w:rsidP="00BE30FD" w14:paraId="2361A671" w14:textId="1FFAD6EC">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שיעור איסוף מצרפי מתקבל באמצעות חלוקה של מספר מכלי המשקה הגדולים שנאספו על ידי כל היצרנים, היבואנים וחברות האיסוף במהלך השנה במספר המכלים שנמכרו באותה שנה על ידי כל היצרנים והיבואנים.</w:t>
      </w:r>
    </w:p>
  </w:footnote>
  <w:footnote w:id="75">
    <w:p w:rsidR="00A8502C" w:rsidRPr="005E4F2A" w:rsidP="00BE30FD" w14:paraId="743B03B5" w14:textId="5BBA365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בג"ץ 1441/19 </w:t>
      </w:r>
      <w:r w:rsidRPr="00152F9D">
        <w:rPr>
          <w:rStyle w:val="a4"/>
          <w:rFonts w:ascii="Tahoma" w:hAnsi="Tahoma" w:cs="Tahoma"/>
          <w:b/>
          <w:bCs/>
          <w:color w:val="auto"/>
          <w:sz w:val="16"/>
          <w:szCs w:val="16"/>
          <w:rtl/>
        </w:rPr>
        <w:t>עמותת אדם טבע ודין נ' השר להגנת הסביבה ואחרים</w:t>
      </w:r>
      <w:r w:rsidRPr="005E4F2A">
        <w:rPr>
          <w:rFonts w:ascii="Tahoma" w:hAnsi="Tahoma" w:cs="Tahoma"/>
          <w:color w:val="auto"/>
          <w:sz w:val="16"/>
          <w:szCs w:val="16"/>
          <w:rtl/>
        </w:rPr>
        <w:t>, 25.2.2019.</w:t>
      </w:r>
    </w:p>
  </w:footnote>
  <w:footnote w:id="76">
    <w:p w:rsidR="00A8502C" w:rsidRPr="005E4F2A" w:rsidP="00BE30FD" w14:paraId="170A1B9C" w14:textId="08F9098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בית המשפט ציין כי "בשלב זה נסתפק בהבעת צער על כך שקיומו של הליך אשר נדרש לביצוע על-פי הסדר קבוע וברור בחוק התעכב זמן רב והושלם רק כאשר ההליך המשפטי היה תלוי ועומד. הדברים אמורים ביתר שאת כאשר מדובר בהסדרים הנוגעים לקיומו של חוק בעל תכלית סביבתית חשובה, כבענייננו."</w:t>
      </w:r>
    </w:p>
  </w:footnote>
  <w:footnote w:id="77">
    <w:p w:rsidR="00A8502C" w:rsidRPr="005E4F2A" w:rsidP="00BE30FD" w14:paraId="79D1F607" w14:textId="67FF2CE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פסק דין </w:t>
      </w:r>
      <w:r w:rsidRPr="005E4F2A">
        <w:rPr>
          <w:rFonts w:ascii="Tahoma" w:hAnsi="Tahoma" w:cs="Tahoma"/>
          <w:color w:val="auto"/>
          <w:sz w:val="16"/>
          <w:szCs w:val="16"/>
          <w:rtl/>
        </w:rPr>
        <w:t>בעש"א</w:t>
      </w:r>
      <w:r w:rsidRPr="005E4F2A">
        <w:rPr>
          <w:rFonts w:ascii="Tahoma" w:hAnsi="Tahoma" w:cs="Tahoma"/>
          <w:color w:val="auto"/>
          <w:sz w:val="16"/>
          <w:szCs w:val="16"/>
          <w:rtl/>
        </w:rPr>
        <w:t xml:space="preserve"> 24188-08-19 </w:t>
      </w:r>
      <w:r w:rsidRPr="00152F9D">
        <w:rPr>
          <w:rStyle w:val="a4"/>
          <w:rFonts w:ascii="Tahoma" w:hAnsi="Tahoma" w:cs="Tahoma"/>
          <w:b/>
          <w:bCs/>
          <w:color w:val="auto"/>
          <w:sz w:val="16"/>
          <w:szCs w:val="16"/>
          <w:rtl/>
        </w:rPr>
        <w:t>החברה המרכזית להפצת משקאות בע"מ ואח' נ' מדינת ישראל</w:t>
      </w:r>
      <w:r w:rsidRPr="005E4F2A">
        <w:rPr>
          <w:rFonts w:ascii="Tahoma" w:hAnsi="Tahoma" w:cs="Tahoma"/>
          <w:color w:val="auto"/>
          <w:sz w:val="16"/>
          <w:szCs w:val="16"/>
          <w:rtl/>
        </w:rPr>
        <w:t xml:space="preserve">, 9.11.2020. </w:t>
      </w:r>
    </w:p>
  </w:footnote>
  <w:footnote w:id="78">
    <w:p w:rsidR="00A8502C" w:rsidRPr="005E4F2A" w:rsidP="00BE30FD" w14:paraId="06D859E4" w14:textId="2EBF62F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היצרנים והיבואנים המקבלים שירות מחברת איסוף א' מכרו בשנת 2017 כ-98% ממכלי המשקה הגדולים המדווחים במשק. על כן איסוף של 57.2% מהם הוא כ-56% בראיית המשק. </w:t>
      </w:r>
    </w:p>
  </w:footnote>
  <w:footnote w:id="79">
    <w:p w:rsidR="00A8502C" w:rsidRPr="005E4F2A" w:rsidP="00BE30FD" w14:paraId="34FD304F" w14:textId="46790D4A">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דורון לביא, "ניתוח כדאיות כלכלית ליישום חוק הפיקדון המורחב על מכלי משקה בישראל", </w:t>
      </w:r>
      <w:r w:rsidRPr="005E4F2A">
        <w:rPr>
          <w:rStyle w:val="a4"/>
          <w:rFonts w:ascii="Tahoma" w:hAnsi="Tahoma" w:cs="Tahoma"/>
          <w:color w:val="auto"/>
          <w:sz w:val="16"/>
          <w:szCs w:val="16"/>
          <w:rtl/>
        </w:rPr>
        <w:t>אקולוגיה וסביבה</w:t>
      </w:r>
      <w:r w:rsidRPr="005E4F2A">
        <w:rPr>
          <w:rFonts w:ascii="Tahoma" w:hAnsi="Tahoma" w:cs="Tahoma"/>
          <w:color w:val="auto"/>
          <w:sz w:val="16"/>
          <w:szCs w:val="16"/>
          <w:rtl/>
        </w:rPr>
        <w:t xml:space="preserve">, 2 (2010); שאול צבן ועידן שוחט, </w:t>
      </w:r>
      <w:r w:rsidRPr="005E4F2A">
        <w:rPr>
          <w:rStyle w:val="a4"/>
          <w:rFonts w:ascii="Tahoma" w:hAnsi="Tahoma" w:cs="Tahoma"/>
          <w:color w:val="auto"/>
          <w:sz w:val="16"/>
          <w:szCs w:val="16"/>
          <w:rtl/>
        </w:rPr>
        <w:t xml:space="preserve">חוק הפיקדון וחוק האריזות: בחירת מנגנון מיטבי </w:t>
      </w:r>
      <w:r w:rsidRPr="005E4F2A">
        <w:rPr>
          <w:rStyle w:val="a4"/>
          <w:rFonts w:ascii="Tahoma" w:hAnsi="Tahoma" w:cs="Tahoma"/>
          <w:color w:val="auto"/>
          <w:sz w:val="16"/>
          <w:szCs w:val="16"/>
          <w:rtl/>
        </w:rPr>
        <w:t>למיחזור</w:t>
      </w:r>
      <w:r w:rsidRPr="005E4F2A">
        <w:rPr>
          <w:rStyle w:val="a4"/>
          <w:rFonts w:ascii="Tahoma" w:hAnsi="Tahoma" w:cs="Tahoma"/>
          <w:color w:val="auto"/>
          <w:sz w:val="16"/>
          <w:szCs w:val="16"/>
          <w:rtl/>
        </w:rPr>
        <w:t xml:space="preserve"> מכלי המשקה הגדולים </w:t>
      </w:r>
      <w:r w:rsidRPr="005E4F2A">
        <w:rPr>
          <w:rFonts w:ascii="Tahoma" w:hAnsi="Tahoma" w:cs="Tahoma"/>
          <w:color w:val="auto"/>
          <w:sz w:val="16"/>
          <w:szCs w:val="16"/>
          <w:rtl/>
        </w:rPr>
        <w:t>(2014);</w:t>
      </w:r>
      <w:r w:rsidRPr="005E4F2A">
        <w:rPr>
          <w:rStyle w:val="a4"/>
          <w:rFonts w:ascii="Tahoma" w:hAnsi="Tahoma" w:cs="Tahoma"/>
          <w:color w:val="auto"/>
          <w:sz w:val="16"/>
          <w:szCs w:val="16"/>
          <w:rtl/>
        </w:rPr>
        <w:t xml:space="preserve"> </w:t>
      </w:r>
      <w:r w:rsidRPr="005E4F2A">
        <w:rPr>
          <w:rFonts w:ascii="Tahoma" w:hAnsi="Tahoma" w:cs="Tahoma"/>
          <w:color w:val="auto"/>
          <w:sz w:val="16"/>
          <w:szCs w:val="16"/>
          <w:rtl/>
        </w:rPr>
        <w:t xml:space="preserve">פרופ' דני </w:t>
      </w:r>
      <w:r w:rsidRPr="005E4F2A">
        <w:rPr>
          <w:rFonts w:ascii="Tahoma" w:hAnsi="Tahoma" w:cs="Tahoma"/>
          <w:color w:val="auto"/>
          <w:sz w:val="16"/>
          <w:szCs w:val="16"/>
          <w:rtl/>
        </w:rPr>
        <w:t>רבינוביץ</w:t>
      </w:r>
      <w:r w:rsidRPr="005E4F2A">
        <w:rPr>
          <w:rFonts w:ascii="Tahoma" w:hAnsi="Tahoma" w:cs="Tahoma"/>
          <w:color w:val="auto"/>
          <w:sz w:val="16"/>
          <w:szCs w:val="16"/>
          <w:rtl/>
        </w:rPr>
        <w:t xml:space="preserve">, </w:t>
      </w:r>
      <w:r w:rsidRPr="005E4F2A">
        <w:rPr>
          <w:rStyle w:val="a4"/>
          <w:rFonts w:ascii="Tahoma" w:hAnsi="Tahoma" w:cs="Tahoma"/>
          <w:color w:val="auto"/>
          <w:sz w:val="16"/>
          <w:szCs w:val="16"/>
          <w:rtl/>
        </w:rPr>
        <w:t>חוק הפיקדון וחוק האריזות: מבט לעתיד</w:t>
      </w:r>
      <w:r w:rsidRPr="005E4F2A">
        <w:rPr>
          <w:rFonts w:ascii="Tahoma" w:hAnsi="Tahoma" w:cs="Tahoma"/>
          <w:color w:val="auto"/>
          <w:sz w:val="16"/>
          <w:szCs w:val="16"/>
          <w:rtl/>
        </w:rPr>
        <w:t xml:space="preserve"> (2016); רם </w:t>
      </w:r>
      <w:r w:rsidRPr="005E4F2A">
        <w:rPr>
          <w:rFonts w:ascii="Tahoma" w:hAnsi="Tahoma" w:cs="Tahoma"/>
          <w:color w:val="auto"/>
          <w:sz w:val="16"/>
          <w:szCs w:val="16"/>
          <w:rtl/>
        </w:rPr>
        <w:t>בלניקוב</w:t>
      </w:r>
      <w:r w:rsidRPr="005E4F2A">
        <w:rPr>
          <w:rFonts w:ascii="Tahoma" w:hAnsi="Tahoma" w:cs="Tahoma"/>
          <w:color w:val="auto"/>
          <w:sz w:val="16"/>
          <w:szCs w:val="16"/>
          <w:rtl/>
        </w:rPr>
        <w:t xml:space="preserve">, </w:t>
      </w:r>
      <w:r w:rsidRPr="005E4F2A">
        <w:rPr>
          <w:rStyle w:val="a4"/>
          <w:rFonts w:ascii="Tahoma" w:hAnsi="Tahoma" w:cs="Tahoma"/>
          <w:color w:val="auto"/>
          <w:sz w:val="16"/>
          <w:szCs w:val="16"/>
          <w:rtl/>
        </w:rPr>
        <w:t xml:space="preserve">קביעת פיקדון על מכלי משקה מעל 1.5 ליטר - ניתוח כלכלי </w:t>
      </w:r>
      <w:r w:rsidRPr="005E4F2A">
        <w:rPr>
          <w:rFonts w:ascii="Tahoma" w:hAnsi="Tahoma" w:cs="Tahoma"/>
          <w:color w:val="auto"/>
          <w:sz w:val="16"/>
          <w:szCs w:val="16"/>
          <w:rtl/>
        </w:rPr>
        <w:t xml:space="preserve">(2020). </w:t>
      </w:r>
    </w:p>
  </w:footnote>
  <w:footnote w:id="80">
    <w:p w:rsidR="00A8502C" w:rsidRPr="005E4F2A" w:rsidP="00BE30FD" w14:paraId="70330E2E" w14:textId="19E04664">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דורון לביא, "ניתוח כדאיות כלכלית ליישום חוק הפיקדון המורחב על מכלי משקה בישראל", אקולוגיה וסביבה, 2 (2010).</w:t>
      </w:r>
    </w:p>
  </w:footnote>
  <w:footnote w:id="81">
    <w:p w:rsidR="00A8502C" w:rsidRPr="005E4F2A" w:rsidP="00BE30FD" w14:paraId="71B3DF7D" w14:textId="29F287F6">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פורום הערים העצמאיות - פורום ראשי הערים תל אביב יפו, באר שבע, חיפה, ראשון לציון, אשדוד, פתח תקווה, חולון, רמת גן, רחובות, כפר סבא, הרצליה, חדרה, רעננה, גבעתיים, אשקלון ורמת השרון. </w:t>
      </w:r>
    </w:p>
  </w:footnote>
  <w:footnote w:id="82">
    <w:p w:rsidR="00A8502C" w:rsidRPr="005E4F2A" w:rsidP="00BE30FD" w14:paraId="1C91A417" w14:textId="07195FB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r w:rsidRPr="005E4F2A">
        <w:rPr>
          <w:rFonts w:ascii="Tahoma" w:hAnsi="Tahoma" w:cs="Tahoma"/>
          <w:color w:val="auto"/>
          <w:sz w:val="16"/>
          <w:szCs w:val="16"/>
        </w:rPr>
        <w:t>Extended Producer Responsibility (EPR) and the Impact of Online Sales</w:t>
      </w:r>
    </w:p>
  </w:footnote>
  <w:footnote w:id="83">
    <w:p w:rsidR="00A8502C" w:rsidRPr="005E4F2A" w:rsidP="00BE30FD" w14:paraId="1A50CC91" w14:textId="12F9ABAD">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מחירי 2015, המקור: </w:t>
      </w:r>
      <w:r w:rsidRPr="005E4F2A">
        <w:rPr>
          <w:rFonts w:ascii="Tahoma" w:hAnsi="Tahoma" w:cs="Tahoma"/>
          <w:color w:val="auto"/>
          <w:sz w:val="16"/>
          <w:szCs w:val="16"/>
          <w:rtl/>
        </w:rPr>
        <w:t>למ"ס</w:t>
      </w:r>
      <w:r w:rsidRPr="005E4F2A">
        <w:rPr>
          <w:rFonts w:ascii="Tahoma" w:hAnsi="Tahoma" w:cs="Tahoma"/>
          <w:color w:val="auto"/>
          <w:sz w:val="16"/>
          <w:szCs w:val="16"/>
          <w:rtl/>
        </w:rPr>
        <w:t xml:space="preserve"> - לוח 6, ההוצאה לצריכה פרטית לפי ענף כלכלי 1995 - 2018.</w:t>
      </w:r>
    </w:p>
  </w:footnote>
  <w:footnote w:id="84">
    <w:p w:rsidR="00A8502C" w:rsidRPr="005E4F2A" w:rsidP="00BE30FD" w14:paraId="28C491B9" w14:textId="49406D75">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מחירי 2015, המקור: </w:t>
      </w:r>
      <w:r w:rsidRPr="005E4F2A">
        <w:rPr>
          <w:rFonts w:ascii="Tahoma" w:hAnsi="Tahoma" w:cs="Tahoma"/>
          <w:color w:val="auto"/>
          <w:sz w:val="16"/>
          <w:szCs w:val="16"/>
          <w:rtl/>
        </w:rPr>
        <w:t>למ"ס</w:t>
      </w:r>
      <w:r w:rsidRPr="005E4F2A">
        <w:rPr>
          <w:rFonts w:ascii="Tahoma" w:hAnsi="Tahoma" w:cs="Tahoma"/>
          <w:color w:val="auto"/>
          <w:sz w:val="16"/>
          <w:szCs w:val="16"/>
          <w:rtl/>
        </w:rPr>
        <w:t xml:space="preserve"> - לוח 5, הוצאה לצריכה פרטית על מזון, משקאות וטבק, לפי סוג ומקור אספקה 1995 - 2015. בנתוני 2018 אין הפרדה בין עלות המשקאות האלכוהוליים והטבק, מטעמי סודיות סטטיסטית. בשנים 2015 - 2018 עלתה הצריכה הכוללת של המשקאות האלכוהוליים והטבק בכ-6.5%. </w:t>
      </w:r>
    </w:p>
  </w:footnote>
  <w:footnote w:id="85">
    <w:p w:rsidR="00A8502C" w:rsidRPr="005E4F2A" w:rsidP="00BE30FD" w14:paraId="18171EC8" w14:textId="0ADF7AFF">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הסדר כובל אושר בנובמבר 2001, ספטמבר 2005, מרץ 2011 ויולי 2017.</w:t>
      </w:r>
    </w:p>
  </w:footnote>
  <w:footnote w:id="86">
    <w:p w:rsidR="00A8502C" w:rsidRPr="005E4F2A" w:rsidP="00BE30FD" w14:paraId="4A049774" w14:textId="140B8192">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עד אותו מועד פעל מנהלה של החברה כאספן מקצועי עבור חברת איסוף א'.</w:t>
      </w:r>
    </w:p>
  </w:footnote>
  <w:footnote w:id="87">
    <w:p w:rsidR="00A8502C" w:rsidRPr="005E4F2A" w:rsidP="00BE30FD" w14:paraId="1A33C1CF" w14:textId="03FDB67C">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r>
      <w:hyperlink r:id="rId27" w:history="1">
        <w:r w:rsidRPr="005E4F2A">
          <w:rPr>
            <w:rStyle w:val="Hyperlink"/>
            <w:rFonts w:ascii="Tahoma" w:hAnsi="Tahoma" w:cs="Tahoma"/>
            <w:color w:val="auto"/>
            <w:sz w:val="16"/>
            <w:szCs w:val="16"/>
            <w:u w:val="none"/>
          </w:rPr>
          <w:t>https://www.gov.il/he/departments/legalInfo/abuse-ela</w:t>
        </w:r>
      </w:hyperlink>
    </w:p>
  </w:footnote>
  <w:footnote w:id="88">
    <w:p w:rsidR="00A8502C" w:rsidRPr="005E4F2A" w:rsidP="00BE30FD" w14:paraId="4E9EE4A9" w14:textId="2A46FBB3">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נתונים לשנת 2018 טרם פורסמו. </w:t>
      </w:r>
    </w:p>
  </w:footnote>
  <w:footnote w:id="89">
    <w:p w:rsidR="00A8502C" w:rsidRPr="005E4F2A" w:rsidP="00BE30FD" w14:paraId="40B705A8" w14:textId="6D08392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הוראת </w:t>
      </w:r>
      <w:r w:rsidRPr="005E4F2A">
        <w:rPr>
          <w:rFonts w:ascii="Tahoma" w:hAnsi="Tahoma" w:cs="Tahoma"/>
          <w:color w:val="auto"/>
          <w:sz w:val="16"/>
          <w:szCs w:val="16"/>
          <w:rtl/>
        </w:rPr>
        <w:t>תכ"ם</w:t>
      </w:r>
      <w:r w:rsidRPr="005E4F2A">
        <w:rPr>
          <w:rFonts w:ascii="Tahoma" w:hAnsi="Tahoma" w:cs="Tahoma"/>
          <w:color w:val="auto"/>
          <w:sz w:val="16"/>
          <w:szCs w:val="16"/>
          <w:rtl/>
        </w:rPr>
        <w:t>, 15.3.0.1 "מתן חסות על ידי משרדי ממשלה".</w:t>
      </w:r>
    </w:p>
  </w:footnote>
  <w:footnote w:id="90">
    <w:p w:rsidR="00A8502C" w:rsidRPr="005E4F2A" w:rsidP="00BE30FD" w14:paraId="4860C4D7" w14:textId="56056358">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דירקטיבה </w:t>
      </w:r>
      <w:r w:rsidRPr="005E4F2A">
        <w:rPr>
          <w:rFonts w:ascii="Tahoma" w:hAnsi="Tahoma" w:cs="Tahoma"/>
          <w:color w:val="auto"/>
          <w:sz w:val="16"/>
          <w:szCs w:val="16"/>
        </w:rPr>
        <w:t>EC/2008/98</w:t>
      </w:r>
      <w:r w:rsidRPr="005E4F2A">
        <w:rPr>
          <w:rFonts w:ascii="Tahoma" w:hAnsi="Tahoma" w:cs="Tahoma"/>
          <w:color w:val="auto"/>
          <w:sz w:val="16"/>
          <w:szCs w:val="16"/>
          <w:rtl/>
        </w:rPr>
        <w:t xml:space="preserve"> מ-19.11.2008.</w:t>
      </w:r>
    </w:p>
  </w:footnote>
  <w:footnote w:id="91">
    <w:p w:rsidR="00A8502C" w:rsidRPr="005E4F2A" w:rsidP="00BE30FD" w14:paraId="436C3888" w14:textId="3F9E5904">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 xml:space="preserve">פסה"ד בהליך ערעור שמספרו: </w:t>
      </w:r>
      <w:r w:rsidRPr="005E4F2A">
        <w:rPr>
          <w:rFonts w:ascii="Tahoma" w:hAnsi="Tahoma" w:cs="Tahoma"/>
          <w:color w:val="auto"/>
          <w:sz w:val="16"/>
          <w:szCs w:val="16"/>
          <w:rtl/>
        </w:rPr>
        <w:t>עש"א</w:t>
      </w:r>
      <w:r w:rsidRPr="005E4F2A">
        <w:rPr>
          <w:rFonts w:ascii="Tahoma" w:hAnsi="Tahoma" w:cs="Tahoma"/>
          <w:color w:val="auto"/>
          <w:sz w:val="16"/>
          <w:szCs w:val="16"/>
          <w:rtl/>
        </w:rPr>
        <w:t xml:space="preserve"> 24188-08-19 </w:t>
      </w:r>
      <w:r w:rsidRPr="00152F9D">
        <w:rPr>
          <w:rStyle w:val="a4"/>
          <w:rFonts w:ascii="Tahoma" w:hAnsi="Tahoma" w:cs="Tahoma"/>
          <w:b/>
          <w:bCs/>
          <w:color w:val="auto"/>
          <w:sz w:val="16"/>
          <w:szCs w:val="16"/>
          <w:rtl/>
        </w:rPr>
        <w:t>החברה המרכזית להפצת משקאות בע"מ ואח' נ' מדינת ישראל</w:t>
      </w:r>
      <w:r w:rsidRPr="005E4F2A">
        <w:rPr>
          <w:rFonts w:ascii="Tahoma" w:hAnsi="Tahoma" w:cs="Tahoma"/>
          <w:color w:val="auto"/>
          <w:sz w:val="16"/>
          <w:szCs w:val="16"/>
          <w:rtl/>
        </w:rPr>
        <w:t xml:space="preserve"> (9.11.2020).</w:t>
      </w:r>
    </w:p>
  </w:footnote>
  <w:footnote w:id="92">
    <w:p w:rsidR="00A8502C" w:rsidRPr="005E4F2A" w:rsidP="00BE30FD" w14:paraId="29C19DBD" w14:textId="1ED6F4E7">
      <w:pPr>
        <w:pStyle w:val="a7"/>
        <w:spacing w:after="60" w:line="312" w:lineRule="auto"/>
        <w:ind w:left="340" w:hanging="340"/>
        <w:rPr>
          <w:rFonts w:ascii="Tahoma" w:hAnsi="Tahoma" w:cs="Tahoma"/>
          <w:color w:val="auto"/>
          <w:sz w:val="16"/>
          <w:szCs w:val="16"/>
        </w:rPr>
      </w:pPr>
      <w:r w:rsidRPr="005E4F2A">
        <w:rPr>
          <w:rFonts w:ascii="Tahoma" w:hAnsi="Tahoma" w:cs="Tahoma"/>
          <w:color w:val="auto"/>
          <w:sz w:val="16"/>
          <w:szCs w:val="16"/>
          <w:rtl/>
        </w:rPr>
        <w:footnoteRef/>
      </w:r>
      <w:r w:rsidRPr="005E4F2A">
        <w:rPr>
          <w:rFonts w:ascii="Tahoma" w:hAnsi="Tahoma" w:cs="Tahoma"/>
          <w:color w:val="auto"/>
          <w:sz w:val="16"/>
          <w:szCs w:val="16"/>
          <w:rtl/>
        </w:rPr>
        <w:tab/>
        <w:t>ראה הערה 89 לעיל.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P="00FA6941" w14:paraId="09547B3E" w14:textId="7CFC02AC">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58240"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0930B3">
      <w:rPr>
        <w:rFonts w:ascii="Tahoma" w:hAnsi="Tahoma" w:cs="Tahoma"/>
        <w:color w:val="002060"/>
        <w:sz w:val="18"/>
        <w:szCs w:val="18"/>
        <w:rtl/>
      </w:rPr>
      <w:t>היבטים בהחלת חוק הפיקדון על מכלי משקה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59264"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35619"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02C"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A8502C"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A8502C"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A8502C"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A8502C"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7">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7">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6"/>
  </w:num>
  <w:num w:numId="4">
    <w:abstractNumId w:val="7"/>
  </w:num>
  <w:num w:numId="5">
    <w:abstractNumId w:val="15"/>
  </w:num>
  <w:num w:numId="6">
    <w:abstractNumId w:val="23"/>
  </w:num>
  <w:num w:numId="7">
    <w:abstractNumId w:val="8"/>
  </w:num>
  <w:num w:numId="8">
    <w:abstractNumId w:val="24"/>
  </w:num>
  <w:num w:numId="9">
    <w:abstractNumId w:val="20"/>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4"/>
  </w:num>
  <w:num w:numId="19">
    <w:abstractNumId w:val="21"/>
  </w:num>
  <w:num w:numId="20">
    <w:abstractNumId w:val="31"/>
  </w:num>
  <w:num w:numId="21">
    <w:abstractNumId w:val="1"/>
  </w:num>
  <w:num w:numId="22">
    <w:abstractNumId w:val="3"/>
  </w:num>
  <w:num w:numId="23">
    <w:abstractNumId w:val="2"/>
  </w:num>
  <w:num w:numId="24">
    <w:abstractNumId w:val="10"/>
  </w:num>
  <w:num w:numId="25">
    <w:abstractNumId w:val="0"/>
  </w:num>
  <w:num w:numId="26">
    <w:abstractNumId w:val="30"/>
  </w:num>
  <w:num w:numId="27">
    <w:abstractNumId w:val="25"/>
  </w:num>
  <w:num w:numId="28">
    <w:abstractNumId w:val="11"/>
  </w:num>
  <w:num w:numId="29">
    <w:abstractNumId w:val="17"/>
  </w:num>
  <w:num w:numId="30">
    <w:abstractNumId w:val="19"/>
  </w:num>
  <w:num w:numId="31">
    <w:abstractNumId w:val="32"/>
  </w:num>
  <w:num w:numId="32">
    <w:abstractNumId w:val="13"/>
  </w:num>
  <w:num w:numId="33">
    <w:abstractNumId w:val="27"/>
  </w:num>
  <w:num w:numId="34">
    <w:abstractNumId w:val="16"/>
  </w:num>
  <w:num w:numId="35">
    <w:abstractNumId w:val="5"/>
  </w:num>
  <w:num w:numId="36">
    <w:abstractNumId w:val="18"/>
  </w:num>
  <w:num w:numId="37">
    <w:abstractNumId w:val="6"/>
  </w:num>
  <w:num w:numId="3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0975"/>
    <w:rsid w:val="00061760"/>
    <w:rsid w:val="000618D0"/>
    <w:rsid w:val="00063297"/>
    <w:rsid w:val="00064637"/>
    <w:rsid w:val="000675B0"/>
    <w:rsid w:val="00067F12"/>
    <w:rsid w:val="000710A8"/>
    <w:rsid w:val="00072B83"/>
    <w:rsid w:val="00072FE8"/>
    <w:rsid w:val="000736B3"/>
    <w:rsid w:val="0007429C"/>
    <w:rsid w:val="0007508C"/>
    <w:rsid w:val="00076758"/>
    <w:rsid w:val="0007717F"/>
    <w:rsid w:val="0007762A"/>
    <w:rsid w:val="00080072"/>
    <w:rsid w:val="00081D0E"/>
    <w:rsid w:val="0008345D"/>
    <w:rsid w:val="00084E3A"/>
    <w:rsid w:val="00086BCD"/>
    <w:rsid w:val="00091A72"/>
    <w:rsid w:val="00092852"/>
    <w:rsid w:val="000930B3"/>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1345"/>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BB6"/>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32"/>
    <w:rsid w:val="00111F8A"/>
    <w:rsid w:val="00112E28"/>
    <w:rsid w:val="00113C2F"/>
    <w:rsid w:val="00113E28"/>
    <w:rsid w:val="00114325"/>
    <w:rsid w:val="00115432"/>
    <w:rsid w:val="001157CE"/>
    <w:rsid w:val="00115E66"/>
    <w:rsid w:val="001172DF"/>
    <w:rsid w:val="001224EF"/>
    <w:rsid w:val="0012279D"/>
    <w:rsid w:val="001230FC"/>
    <w:rsid w:val="001239A8"/>
    <w:rsid w:val="00124DC1"/>
    <w:rsid w:val="001303CB"/>
    <w:rsid w:val="00134F83"/>
    <w:rsid w:val="001354CB"/>
    <w:rsid w:val="00135695"/>
    <w:rsid w:val="00135742"/>
    <w:rsid w:val="00135A23"/>
    <w:rsid w:val="00136496"/>
    <w:rsid w:val="0013664A"/>
    <w:rsid w:val="00136A10"/>
    <w:rsid w:val="00137337"/>
    <w:rsid w:val="00137FF0"/>
    <w:rsid w:val="00140CC4"/>
    <w:rsid w:val="00140F99"/>
    <w:rsid w:val="00141BD6"/>
    <w:rsid w:val="00142206"/>
    <w:rsid w:val="00143176"/>
    <w:rsid w:val="001451A4"/>
    <w:rsid w:val="0014715B"/>
    <w:rsid w:val="00150A48"/>
    <w:rsid w:val="00150BE4"/>
    <w:rsid w:val="00150BEB"/>
    <w:rsid w:val="00150CC9"/>
    <w:rsid w:val="00150F89"/>
    <w:rsid w:val="00152C2F"/>
    <w:rsid w:val="00152F9D"/>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769"/>
    <w:rsid w:val="00192F16"/>
    <w:rsid w:val="00193071"/>
    <w:rsid w:val="001933EC"/>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03C0"/>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A6C"/>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1F4C93"/>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0BB"/>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5F74"/>
    <w:rsid w:val="002674A0"/>
    <w:rsid w:val="0027121E"/>
    <w:rsid w:val="0027188F"/>
    <w:rsid w:val="00273409"/>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6F6"/>
    <w:rsid w:val="00315BD6"/>
    <w:rsid w:val="00315FF2"/>
    <w:rsid w:val="00316C57"/>
    <w:rsid w:val="003177E2"/>
    <w:rsid w:val="00321C9C"/>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0D83"/>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479D"/>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0989"/>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3876"/>
    <w:rsid w:val="003C4F30"/>
    <w:rsid w:val="003C5BB1"/>
    <w:rsid w:val="003C6C20"/>
    <w:rsid w:val="003C7AD3"/>
    <w:rsid w:val="003C7B2D"/>
    <w:rsid w:val="003D0F91"/>
    <w:rsid w:val="003D16F2"/>
    <w:rsid w:val="003D1D5C"/>
    <w:rsid w:val="003D2AE6"/>
    <w:rsid w:val="003D3AEA"/>
    <w:rsid w:val="003D4194"/>
    <w:rsid w:val="003D433F"/>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032B"/>
    <w:rsid w:val="00491199"/>
    <w:rsid w:val="004919A3"/>
    <w:rsid w:val="00492719"/>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12C"/>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5F3A"/>
    <w:rsid w:val="00516835"/>
    <w:rsid w:val="00516BB4"/>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1ED"/>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0998"/>
    <w:rsid w:val="005C14A0"/>
    <w:rsid w:val="005C198B"/>
    <w:rsid w:val="005C438E"/>
    <w:rsid w:val="005C43F3"/>
    <w:rsid w:val="005C4ABF"/>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E4F2A"/>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62E1"/>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3F97"/>
    <w:rsid w:val="006B5363"/>
    <w:rsid w:val="006B56D9"/>
    <w:rsid w:val="006B709C"/>
    <w:rsid w:val="006C01B3"/>
    <w:rsid w:val="006C0671"/>
    <w:rsid w:val="006C1ABF"/>
    <w:rsid w:val="006C1BD3"/>
    <w:rsid w:val="006C1C44"/>
    <w:rsid w:val="006C1C92"/>
    <w:rsid w:val="006C34ED"/>
    <w:rsid w:val="006C3B12"/>
    <w:rsid w:val="006C3D2D"/>
    <w:rsid w:val="006C4033"/>
    <w:rsid w:val="006C4D54"/>
    <w:rsid w:val="006C5FF5"/>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215"/>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091A"/>
    <w:rsid w:val="00771F85"/>
    <w:rsid w:val="00772487"/>
    <w:rsid w:val="00772730"/>
    <w:rsid w:val="00773308"/>
    <w:rsid w:val="0077389E"/>
    <w:rsid w:val="00773F61"/>
    <w:rsid w:val="0077505C"/>
    <w:rsid w:val="0077594D"/>
    <w:rsid w:val="007761EE"/>
    <w:rsid w:val="00777DAD"/>
    <w:rsid w:val="00780D40"/>
    <w:rsid w:val="00781493"/>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5809"/>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1FC5"/>
    <w:rsid w:val="00842138"/>
    <w:rsid w:val="00842F70"/>
    <w:rsid w:val="00844F8B"/>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0319"/>
    <w:rsid w:val="008603E7"/>
    <w:rsid w:val="00861731"/>
    <w:rsid w:val="0086190F"/>
    <w:rsid w:val="00864147"/>
    <w:rsid w:val="0086437F"/>
    <w:rsid w:val="00867FC5"/>
    <w:rsid w:val="008711F1"/>
    <w:rsid w:val="00871B57"/>
    <w:rsid w:val="00871E21"/>
    <w:rsid w:val="00874535"/>
    <w:rsid w:val="008747C9"/>
    <w:rsid w:val="00875402"/>
    <w:rsid w:val="00875858"/>
    <w:rsid w:val="00877E88"/>
    <w:rsid w:val="0088002F"/>
    <w:rsid w:val="008802A2"/>
    <w:rsid w:val="00881072"/>
    <w:rsid w:val="008816A3"/>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12CB"/>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A6171"/>
    <w:rsid w:val="008B0887"/>
    <w:rsid w:val="008B17A0"/>
    <w:rsid w:val="008B1B7B"/>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6C5"/>
    <w:rsid w:val="008E0F0B"/>
    <w:rsid w:val="008E1159"/>
    <w:rsid w:val="008E1580"/>
    <w:rsid w:val="008E1A9C"/>
    <w:rsid w:val="008E20F1"/>
    <w:rsid w:val="008E32CE"/>
    <w:rsid w:val="008E3CC4"/>
    <w:rsid w:val="008E40C9"/>
    <w:rsid w:val="008E4F24"/>
    <w:rsid w:val="008E59E1"/>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666F"/>
    <w:rsid w:val="009974A8"/>
    <w:rsid w:val="009A0A09"/>
    <w:rsid w:val="009A245B"/>
    <w:rsid w:val="009A2516"/>
    <w:rsid w:val="009A293E"/>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07626"/>
    <w:rsid w:val="00A1016F"/>
    <w:rsid w:val="00A10996"/>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0705"/>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25F8"/>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2E5B"/>
    <w:rsid w:val="00A84CD0"/>
    <w:rsid w:val="00A8502C"/>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359A"/>
    <w:rsid w:val="00AB5377"/>
    <w:rsid w:val="00AB5B77"/>
    <w:rsid w:val="00AB7D08"/>
    <w:rsid w:val="00AC0B81"/>
    <w:rsid w:val="00AC3506"/>
    <w:rsid w:val="00AC387E"/>
    <w:rsid w:val="00AC4DD2"/>
    <w:rsid w:val="00AC5BDF"/>
    <w:rsid w:val="00AC6903"/>
    <w:rsid w:val="00AC6B95"/>
    <w:rsid w:val="00AD02C3"/>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4D75"/>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29A1"/>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30FD"/>
    <w:rsid w:val="00BE400A"/>
    <w:rsid w:val="00BE458A"/>
    <w:rsid w:val="00BE4E51"/>
    <w:rsid w:val="00BE6A7F"/>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329C"/>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5A4E"/>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A15"/>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E82"/>
    <w:rsid w:val="00D457ED"/>
    <w:rsid w:val="00D46D32"/>
    <w:rsid w:val="00D51C50"/>
    <w:rsid w:val="00D5266D"/>
    <w:rsid w:val="00D52BBA"/>
    <w:rsid w:val="00D53E35"/>
    <w:rsid w:val="00D54AEA"/>
    <w:rsid w:val="00D55084"/>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2E2"/>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75D"/>
    <w:rsid w:val="00DA08A5"/>
    <w:rsid w:val="00DA23AB"/>
    <w:rsid w:val="00DA2B4B"/>
    <w:rsid w:val="00DA4D03"/>
    <w:rsid w:val="00DA5A16"/>
    <w:rsid w:val="00DA7D0B"/>
    <w:rsid w:val="00DB07CA"/>
    <w:rsid w:val="00DB0823"/>
    <w:rsid w:val="00DB0E2A"/>
    <w:rsid w:val="00DB111E"/>
    <w:rsid w:val="00DB1BDD"/>
    <w:rsid w:val="00DB2718"/>
    <w:rsid w:val="00DB2A06"/>
    <w:rsid w:val="00DB383F"/>
    <w:rsid w:val="00DB519D"/>
    <w:rsid w:val="00DB53D6"/>
    <w:rsid w:val="00DB5FF0"/>
    <w:rsid w:val="00DB63F1"/>
    <w:rsid w:val="00DB65D7"/>
    <w:rsid w:val="00DB6791"/>
    <w:rsid w:val="00DB6C38"/>
    <w:rsid w:val="00DB7445"/>
    <w:rsid w:val="00DB7D53"/>
    <w:rsid w:val="00DC0464"/>
    <w:rsid w:val="00DC0787"/>
    <w:rsid w:val="00DC0F18"/>
    <w:rsid w:val="00DC1303"/>
    <w:rsid w:val="00DC223D"/>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406"/>
    <w:rsid w:val="00DF164A"/>
    <w:rsid w:val="00DF353C"/>
    <w:rsid w:val="00DF3DF8"/>
    <w:rsid w:val="00DF46B7"/>
    <w:rsid w:val="00DF73B6"/>
    <w:rsid w:val="00DF781C"/>
    <w:rsid w:val="00E00C6B"/>
    <w:rsid w:val="00E02A3C"/>
    <w:rsid w:val="00E03C81"/>
    <w:rsid w:val="00E03F4C"/>
    <w:rsid w:val="00E03F4E"/>
    <w:rsid w:val="00E056B0"/>
    <w:rsid w:val="00E05C27"/>
    <w:rsid w:val="00E063DE"/>
    <w:rsid w:val="00E0671B"/>
    <w:rsid w:val="00E118AB"/>
    <w:rsid w:val="00E11E0F"/>
    <w:rsid w:val="00E11E5E"/>
    <w:rsid w:val="00E12077"/>
    <w:rsid w:val="00E1228A"/>
    <w:rsid w:val="00E12F2F"/>
    <w:rsid w:val="00E1319F"/>
    <w:rsid w:val="00E13A48"/>
    <w:rsid w:val="00E13FB6"/>
    <w:rsid w:val="00E14ACF"/>
    <w:rsid w:val="00E14BAD"/>
    <w:rsid w:val="00E14D14"/>
    <w:rsid w:val="00E173EF"/>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1A3"/>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90229"/>
    <w:rsid w:val="00E91899"/>
    <w:rsid w:val="00E92268"/>
    <w:rsid w:val="00E92604"/>
    <w:rsid w:val="00E942AE"/>
    <w:rsid w:val="00E94EFF"/>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3B48"/>
    <w:rsid w:val="00ED41B5"/>
    <w:rsid w:val="00ED5433"/>
    <w:rsid w:val="00ED7DE0"/>
    <w:rsid w:val="00EE123E"/>
    <w:rsid w:val="00EE1AE7"/>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2F35"/>
    <w:rsid w:val="00F93A3D"/>
    <w:rsid w:val="00F94C16"/>
    <w:rsid w:val="00F94D3F"/>
    <w:rsid w:val="00F9689E"/>
    <w:rsid w:val="00FA066D"/>
    <w:rsid w:val="00FA1126"/>
    <w:rsid w:val="00FA242E"/>
    <w:rsid w:val="00FA24F3"/>
    <w:rsid w:val="00FA42BC"/>
    <w:rsid w:val="00FA4635"/>
    <w:rsid w:val="00FA509C"/>
    <w:rsid w:val="00FA5FCE"/>
    <w:rsid w:val="00FA6941"/>
    <w:rsid w:val="00FA761A"/>
    <w:rsid w:val="00FA786A"/>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AA09E33-1E7D-4E61-A5FC-652F32E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text"/>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8E06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6C5FF5"/>
    <w:pPr>
      <w:shd w:val="clear" w:color="auto" w:fill="FFFFFF"/>
      <w:spacing w:before="120" w:after="240" w:line="200" w:lineRule="exact"/>
      <w:jc w:val="left"/>
    </w:pPr>
    <w:rPr>
      <w:rFonts w:ascii="Tahoma" w:eastAsia="Times New Roman" w:hAnsi="Tahoma" w:cs="Tahoma"/>
      <w:color w:val="222222"/>
      <w:sz w:val="14"/>
      <w:szCs w:val="14"/>
    </w:rPr>
  </w:style>
  <w:style w:type="paragraph" w:customStyle="1" w:styleId="5">
    <w:name w:val="כותרת 5"/>
    <w:basedOn w:val="Heading5"/>
    <w:qFormat/>
    <w:rsid w:val="008711F1"/>
    <w:pPr>
      <w:keepLines w:val="0"/>
      <w:spacing w:before="240" w:after="12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a10">
    <w:name w:val="כותרת ראשית תקציר (סטיילים לתקציר)"/>
    <w:basedOn w:val="NoParagraphStyle"/>
    <w:uiPriority w:val="99"/>
    <w:rsid w:val="000930B3"/>
    <w:pPr>
      <w:widowControl w:val="0"/>
      <w:suppressAutoHyphens/>
      <w:spacing w:before="340" w:line="420" w:lineRule="atLeast"/>
    </w:pPr>
    <w:rPr>
      <w:rFonts w:ascii="Fb Formalist Black" w:eastAsiaTheme="minorEastAsia" w:hAnsiTheme="minorHAnsi" w:cs="Fb Formalist Black"/>
      <w:color w:val="002F5E"/>
      <w:spacing w:val="-4"/>
      <w:w w:val="95"/>
      <w:sz w:val="40"/>
      <w:szCs w:val="40"/>
    </w:rPr>
  </w:style>
  <w:style w:type="paragraph" w:customStyle="1" w:styleId="a11">
    <w:name w:val="ביניים (סטיילים לתקציר)"/>
    <w:basedOn w:val="NoParagraphStyle"/>
    <w:uiPriority w:val="99"/>
    <w:rsid w:val="000930B3"/>
    <w:pPr>
      <w:widowControl w:val="0"/>
      <w:suppressAutoHyphens/>
      <w:spacing w:before="794" w:after="227" w:line="320" w:lineRule="atLeast"/>
    </w:pPr>
    <w:rPr>
      <w:rFonts w:ascii="Fb Formalist Bold" w:eastAsiaTheme="minorEastAsia" w:hAnsiTheme="minorHAnsi" w:cs="Fb Formalist Bold"/>
      <w:b/>
      <w:bCs/>
      <w:color w:val="FFFFFF"/>
      <w:spacing w:val="-2"/>
      <w:w w:val="95"/>
      <w:position w:val="10"/>
    </w:rPr>
  </w:style>
  <w:style w:type="paragraph" w:customStyle="1" w:styleId="a12">
    <w:name w:val="רץ תקציר (סטיילים לתקציר)"/>
    <w:basedOn w:val="NoParagraphStyle"/>
    <w:uiPriority w:val="99"/>
    <w:rsid w:val="000930B3"/>
    <w:pPr>
      <w:widowControl w:val="0"/>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paragraph" w:customStyle="1" w:styleId="-3">
    <w:name w:val="פעולות הביקורת-סיכום (סטיילים לתקציר)"/>
    <w:basedOn w:val="NoParagraphStyle"/>
    <w:uiPriority w:val="99"/>
    <w:rsid w:val="000930B3"/>
    <w:pPr>
      <w:widowControl w:val="0"/>
      <w:pBdr>
        <w:top w:val="doub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paragraph" w:customStyle="1" w:styleId="a13">
    <w:name w:val="תמות מצב עיקרי ההמלצות (סטיילים לתקציר)"/>
    <w:basedOn w:val="NoParagraphStyle"/>
    <w:uiPriority w:val="99"/>
    <w:rsid w:val="000930B3"/>
    <w:pPr>
      <w:widowControl w:val="0"/>
      <w:pBdr>
        <w:top w:val="sing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paragraph" w:customStyle="1" w:styleId="a14">
    <w:name w:val="כותרת נתוני מפתח (סטיילים לתקציר)"/>
    <w:basedOn w:val="NoParagraphStyle"/>
    <w:uiPriority w:val="99"/>
    <w:rsid w:val="000930B3"/>
    <w:pPr>
      <w:widowControl w:val="0"/>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15">
    <w:name w:val="טקסט נתוני מפתח (סטיילים לתקציר)"/>
    <w:basedOn w:val="NoParagraphStyle"/>
    <w:uiPriority w:val="99"/>
    <w:rsid w:val="000930B3"/>
    <w:pPr>
      <w:widowControl w:val="0"/>
      <w:suppressAutoHyphens/>
      <w:spacing w:line="220" w:lineRule="atLeast"/>
    </w:pPr>
    <w:rPr>
      <w:rFonts w:ascii="Atlas DL 3.1 AAA" w:hAnsi="Atlas DL 3.1 AAA" w:eastAsiaTheme="minorEastAsia" w:cs="Atlas DL 3.1 AAA"/>
      <w:sz w:val="18"/>
      <w:szCs w:val="18"/>
      <w:lang w:val="en-GB"/>
    </w:rPr>
  </w:style>
  <w:style w:type="character" w:customStyle="1" w:styleId="a16">
    <w:name w:val="טקסט תקציר שמן"/>
    <w:uiPriority w:val="99"/>
    <w:rsid w:val="000930B3"/>
    <w:rPr>
      <w:b/>
    </w:rPr>
  </w:style>
  <w:style w:type="character" w:customStyle="1" w:styleId="a17">
    <w:name w:val="מספר נתוני מפתח"/>
    <w:uiPriority w:val="99"/>
    <w:rsid w:val="000930B3"/>
    <w:rPr>
      <w:sz w:val="48"/>
    </w:rPr>
  </w:style>
  <w:style w:type="paragraph" w:customStyle="1" w:styleId="-30">
    <w:name w:val="כותרת - רמה 3"/>
    <w:basedOn w:val="NoParagraphStyle"/>
    <w:uiPriority w:val="99"/>
    <w:rsid w:val="000930B3"/>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0930B3"/>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paragraph" w:customStyle="1" w:styleId="a18">
    <w:name w:val="כוכב"/>
    <w:basedOn w:val="NoParagraphStyle"/>
    <w:uiPriority w:val="99"/>
    <w:rsid w:val="000930B3"/>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19">
    <w:name w:val="סיכום"/>
    <w:basedOn w:val="NoParagraphStyle"/>
    <w:uiPriority w:val="99"/>
    <w:rsid w:val="000930B3"/>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 w:type="paragraph" w:customStyle="1" w:styleId="a20">
    <w:name w:val="טקסט רץ לראש טבלה"/>
    <w:basedOn w:val="NoParagraphStyle"/>
    <w:uiPriority w:val="99"/>
    <w:rsid w:val="000930B3"/>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21">
    <w:name w:val="טקסט רץ טבלה"/>
    <w:basedOn w:val="NoParagraphStyle"/>
    <w:uiPriority w:val="99"/>
    <w:rsid w:val="000930B3"/>
    <w:pPr>
      <w:widowControl w:val="0"/>
      <w:tabs>
        <w:tab w:val="left" w:pos="340"/>
      </w:tabs>
      <w:suppressAutoHyphens/>
      <w:spacing w:after="170" w:line="180" w:lineRule="atLeast"/>
    </w:pPr>
    <w:rPr>
      <w:rFonts w:ascii="Fb Formalist Light" w:eastAsiaTheme="minorEastAsia" w:hAnsiTheme="minorHAnsi" w:cs="Fb Formalist Light"/>
      <w:sz w:val="17"/>
      <w:szCs w:val="17"/>
    </w:rPr>
  </w:style>
  <w:style w:type="character" w:customStyle="1" w:styleId="50">
    <w:name w:val="כותרת תו 5"/>
    <w:uiPriority w:val="99"/>
    <w:rsid w:val="000930B3"/>
    <w:rPr>
      <w:sz w:val="20"/>
    </w:rPr>
  </w:style>
  <w:style w:type="character" w:customStyle="1" w:styleId="7">
    <w:name w:val="כותרת 7 תו"/>
    <w:uiPriority w:val="99"/>
    <w:rsid w:val="000930B3"/>
    <w:rPr>
      <w:w w:val="100"/>
    </w:rPr>
  </w:style>
  <w:style w:type="character" w:customStyle="1" w:styleId="41">
    <w:name w:val="כותרת 4 תו"/>
    <w:uiPriority w:val="99"/>
    <w:rsid w:val="000930B3"/>
    <w:rPr>
      <w:w w:val="100"/>
    </w:rPr>
  </w:style>
  <w:style w:type="character" w:customStyle="1" w:styleId="UnresolvedMention">
    <w:name w:val="Unresolved Mention"/>
    <w:basedOn w:val="DefaultParagraphFont"/>
    <w:uiPriority w:val="99"/>
    <w:semiHidden/>
    <w:unhideWhenUsed/>
    <w:rsid w:val="00D22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4.xml"/><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ustomXml" Target="../customXml/item3.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2.jpeg"/><Relationship Id="rId1"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n.wikipedia.org/wiki/Container-deposit_legislation" TargetMode="External"/><Relationship Id="rId36" Type="http://schemas.openxmlformats.org/officeDocument/2006/relationships/image" Target="media/image29.jpeg"/><Relationship Id="rId5"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24.jpeg"/><Relationship Id="rId44" Type="http://schemas.openxmlformats.org/officeDocument/2006/relationships/numbering" Target="numbering.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 Type="http://schemas.openxmlformats.org/officeDocument/2006/relationships/fontTable" Target="fontTable.xml"/><Relationship Id="rId43" Type="http://schemas.openxmlformats.org/officeDocument/2006/relationships/theme" Target="theme/theme1.xml"/><Relationship Id="rId9" Type="http://schemas.openxmlformats.org/officeDocument/2006/relationships/header" Target="header2.xml"/><Relationship Id="rId48"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ustomXml" Target="../customXml/item2.xml"/><Relationship Id="rId20" Type="http://schemas.openxmlformats.org/officeDocument/2006/relationships/image" Target="media/image14.jpeg"/><Relationship Id="rId41" Type="http://schemas.openxmlformats.org/officeDocument/2006/relationships/image" Target="media/image34.jpeg"/></Relationships>
</file>

<file path=word/_rels/footnotes.xml.rels>&#65279;<?xml version="1.0" encoding="utf-8" standalone="yes"?><Relationships xmlns="http://schemas.openxmlformats.org/package/2006/relationships"><Relationship Id="rId1" Type="http://schemas.openxmlformats.org/officeDocument/2006/relationships/hyperlink" Target="http://www.tmir.org.il/template/default.aspx?PageId=112" TargetMode="External" /><Relationship Id="rId10" Type="http://schemas.openxmlformats.org/officeDocument/2006/relationships/hyperlink" Target="https://www.legislation.gov.uk/ssi/2020/154/regulation/2/made" TargetMode="External" /><Relationship Id="rId11" Type="http://schemas.openxmlformats.org/officeDocument/2006/relationships/hyperlink" Target="https://www.fzoeu.hr" TargetMode="External" /><Relationship Id="rId12" Type="http://schemas.openxmlformats.org/officeDocument/2006/relationships/hyperlink" Target="https://danskretursystem.dk" TargetMode="External" /><Relationship Id="rId13" Type="http://schemas.openxmlformats.org/officeDocument/2006/relationships/hyperlink" Target="https://eestipandipakend.ee/en/reports/" TargetMode="External" /><Relationship Id="rId14" Type="http://schemas.openxmlformats.org/officeDocument/2006/relationships/hyperlink" Target="https://www.palpa.fi/english" TargetMode="External" /><Relationship Id="rId15" Type="http://schemas.openxmlformats.org/officeDocument/2006/relationships/hyperlink" Target="https://dpg-pfandsystem.de/index.php/en/" TargetMode="External" /><Relationship Id="rId16" Type="http://schemas.openxmlformats.org/officeDocument/2006/relationships/hyperlink" Target="http://www.endurvinnslan.is/english/" TargetMode="External" /><Relationship Id="rId17" Type="http://schemas.openxmlformats.org/officeDocument/2006/relationships/hyperlink" Target="https://grazintiverta.lt/en/" TargetMode="External" /><Relationship Id="rId18" Type="http://schemas.openxmlformats.org/officeDocument/2006/relationships/hyperlink" Target="https://www.retourverpakking.nl/nl/sorteren.html" TargetMode="External" /><Relationship Id="rId19" Type="http://schemas.openxmlformats.org/officeDocument/2006/relationships/hyperlink" Target="https://infinitum.no/english/about-us" TargetMode="External" /><Relationship Id="rId2" Type="http://schemas.openxmlformats.org/officeDocument/2006/relationships/hyperlink" Target="https://stats.oecd.org/glossary/detail.asp?ID=1884" TargetMode="External" /><Relationship Id="rId20" Type="http://schemas.openxmlformats.org/officeDocument/2006/relationships/hyperlink" Target="https://pantamera.nu/om-oss/returpack-in-english/" TargetMode="External" /><Relationship Id="rId21" Type="http://schemas.openxmlformats.org/officeDocument/2006/relationships/hyperlink" Target="https://ec.europa.eu/eurostat/statistics-explained/index.php/Packaging_waste_statistics" TargetMode="External" /><Relationship Id="rId22" Type="http://schemas.openxmlformats.org/officeDocument/2006/relationships/hyperlink" Target="https://danskretursystem.dk/en/about-deposits/where-return/" TargetMode="External" /><Relationship Id="rId23" Type="http://schemas.openxmlformats.org/officeDocument/2006/relationships/hyperlink" Target="https://mr.gov.il/ilgstorefront/he/p/4000525518" TargetMode="External" /><Relationship Id="rId24" Type="http://schemas.openxmlformats.org/officeDocument/2006/relationships/hyperlink" Target="https://dpg-pfandsystem.de/index.php/en/faq.html" TargetMode="External" /><Relationship Id="rId25" Type="http://schemas.openxmlformats.org/officeDocument/2006/relationships/hyperlink" Target="https://www.cbs.gov.il/he/publications/Pages/2020" TargetMode="External" /><Relationship Id="rId26" Type="http://schemas.openxmlformats.org/officeDocument/2006/relationships/hyperlink" Target="http://www.tmir.org.il" TargetMode="External" /><Relationship Id="rId27" Type="http://schemas.openxmlformats.org/officeDocument/2006/relationships/hyperlink" Target="https://www.gov.il/he/departments/legalInfo/abuse-ela" TargetMode="External" /><Relationship Id="rId3" Type="http://schemas.openxmlformats.org/officeDocument/2006/relationships/hyperlink" Target="https://data.oecd.org/waste/municipal-waste.htm" TargetMode="External" /><Relationship Id="rId4" Type="http://schemas.openxmlformats.org/officeDocument/2006/relationships/hyperlink" Target="https://www.gov.il/he/departments/guides/waste_treatment_hierarchy" TargetMode="External" /><Relationship Id="rId5" Type="http://schemas.openxmlformats.org/officeDocument/2006/relationships/hyperlink" Target="https://stats.oecd.org/Index.aspx?DataSetCode=MUNW" TargetMode="External" /><Relationship Id="rId6" Type="http://schemas.openxmlformats.org/officeDocument/2006/relationships/hyperlink" Target="https://stats.oecd.org/BrandedView.aspx?oecd_bv_id=env-data-en&amp;doi=data-00601-en" TargetMode="External" /><Relationship Id="rId7" Type="http://schemas.openxmlformats.org/officeDocument/2006/relationships/hyperlink" Target="https://data.worldbank.org/indicator/EN.POP.DNST" TargetMode="External" /><Relationship Id="rId8" Type="http://schemas.openxmlformats.org/officeDocument/2006/relationships/hyperlink" Target="http://www.sviva.gov.il/InfoServices/NewsAndEvents/MessageDoverAndNews/Pages/2018/june-2018/world-environment-day-2018.aspx" TargetMode="External" /><Relationship Id="rId9" Type="http://schemas.openxmlformats.org/officeDocument/2006/relationships/hyperlink" Target="https://www.gov.uk/government/consultations/introducing-a-deposit-return-scheme-drs-for-drinks-containers-bottles-and-cans/outcome/introducing-a-deposit-return-scheme-drs-in-england-wales-and-northern-ireland-executive-summary-and-next-steps"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83B399BC-5801-46BC-94F3-7182D9CAC5C4}"/>
</file>

<file path=customXml/itemProps3.xml><?xml version="1.0" encoding="utf-8"?>
<ds:datastoreItem xmlns:ds="http://schemas.openxmlformats.org/officeDocument/2006/customXml" ds:itemID="{B6A7DA1A-02E3-419B-BB3D-02CAD0AB6479}"/>
</file>

<file path=customXml/itemProps4.xml><?xml version="1.0" encoding="utf-8"?>
<ds:datastoreItem xmlns:ds="http://schemas.openxmlformats.org/officeDocument/2006/customXml" ds:itemID="{4B5E76D5-2FB0-4E87-B393-A7E665AD4AC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