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E077B7" w:rsidRPr="00590929" w:rsidP="003323CD" w14:paraId="0D5D978A" w14:textId="6C93DD90">
      <w:pPr>
        <w:spacing w:line="240" w:lineRule="exact"/>
        <w:jc w:val="both"/>
        <w:rPr>
          <w:rFonts w:ascii="Tahoma" w:hAnsi="Tahoma" w:cs="Tahoma"/>
          <w:sz w:val="17"/>
          <w:szCs w:val="18"/>
          <w:rtl/>
        </w:rPr>
      </w:pPr>
      <w:bookmarkStart w:id="0" w:name="_Hlk67468503"/>
      <w:bookmarkStart w:id="1" w:name="_Toc349122061"/>
      <w:bookmarkStart w:id="2" w:name="_Toc349136480"/>
      <w:bookmarkStart w:id="3" w:name="_Toc352831083"/>
      <w:bookmarkStart w:id="4" w:name="_Toc354324568"/>
      <w:bookmarkStart w:id="5" w:name="_Toc354661923"/>
      <w:r>
        <w:rPr>
          <w:rFonts w:ascii="Tahoma" w:hAnsi="Tahoma" w:cs="Tahoma"/>
          <w:noProof/>
          <w:sz w:val="17"/>
          <w:szCs w:val="18"/>
          <w:rtl/>
          <w:lang w:val="he-IL"/>
        </w:rPr>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501600" cy="90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82592" name="Picture 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01600" cy="9028800"/>
                    </a:xfrm>
                    <a:prstGeom prst="rect">
                      <a:avLst/>
                    </a:prstGeom>
                  </pic:spPr>
                </pic:pic>
              </a:graphicData>
            </a:graphic>
            <wp14:sizeRelH relativeFrom="margin">
              <wp14:pctWidth>0</wp14:pctWidth>
            </wp14:sizeRelH>
            <wp14:sizeRelV relativeFrom="margin">
              <wp14:pctHeight>0</wp14:pctHeight>
            </wp14:sizeRelV>
          </wp:anchor>
        </w:drawing>
      </w:r>
    </w:p>
    <w:bookmarkEnd w:id="0"/>
    <w:p w:rsidR="006C5F46" w:rsidRPr="00E077B7" w:rsidP="00E077B7" w14:paraId="5A8B3171" w14:textId="77777777">
      <w:pPr>
        <w:pStyle w:val="NAME"/>
        <w:rPr>
          <w:rtl/>
        </w:rPr>
        <w:sectPr w:rsidSect="00946475">
          <w:footerReference w:type="even" r:id="rId6"/>
          <w:footerReference w:type="default" r:id="rId7"/>
          <w:pgSz w:w="11906" w:h="16838" w:code="9"/>
          <w:pgMar w:top="3119" w:right="2268" w:bottom="2268" w:left="2268" w:header="1985" w:footer="709" w:gutter="0"/>
          <w:cols w:space="708"/>
          <w:titlePg/>
          <w:bidi/>
          <w:rtlGutter/>
          <w:docGrid w:linePitch="360"/>
        </w:sectPr>
      </w:pPr>
    </w:p>
    <w:p w:rsidR="00D92D36" w:rsidRPr="00352D72" w:rsidP="00D92D36" w14:paraId="69E11447" w14:textId="3BB650CD">
      <w:pPr>
        <w:spacing w:before="8000" w:after="0" w:line="240" w:lineRule="auto"/>
        <w:jc w:val="center"/>
        <w:rPr>
          <w:rFonts w:ascii="Tahoma" w:hAnsi="Tahoma" w:cs="Tahoma"/>
          <w:sz w:val="16"/>
          <w:szCs w:val="20"/>
          <w:rtl/>
        </w:rPr>
      </w:pPr>
      <w:r w:rsidRPr="00352D72">
        <w:rPr>
          <w:rFonts w:ascii="Tahoma" w:hAnsi="Tahoma" w:cs="Tahoma"/>
          <w:sz w:val="16"/>
          <w:szCs w:val="20"/>
          <w:rtl/>
        </w:rPr>
        <w:t xml:space="preserve">מס' קטלוגי </w:t>
      </w:r>
      <w:r w:rsidRPr="00352D72">
        <w:rPr>
          <w:rFonts w:ascii="Tahoma" w:hAnsi="Tahoma" w:cs="Tahoma"/>
          <w:sz w:val="16"/>
          <w:szCs w:val="20"/>
        </w:rPr>
        <w:t>9</w:t>
      </w:r>
      <w:r w:rsidR="00AB2E6F">
        <w:rPr>
          <w:rFonts w:ascii="Tahoma" w:hAnsi="Tahoma" w:cs="Tahoma"/>
          <w:sz w:val="16"/>
          <w:szCs w:val="20"/>
        </w:rPr>
        <w:t>71B</w:t>
      </w:r>
      <w:r w:rsidRPr="00352D72">
        <w:rPr>
          <w:rFonts w:ascii="Tahoma" w:hAnsi="Tahoma" w:cs="Tahoma"/>
          <w:sz w:val="16"/>
          <w:szCs w:val="20"/>
          <w:rtl/>
        </w:rPr>
        <w:t>-</w:t>
      </w:r>
      <w:r w:rsidRPr="00352D72">
        <w:rPr>
          <w:rFonts w:ascii="Tahoma" w:hAnsi="Tahoma" w:cs="Tahoma"/>
          <w:sz w:val="16"/>
          <w:szCs w:val="20"/>
        </w:rPr>
        <w:t>20</w:t>
      </w:r>
      <w:r w:rsidR="00AB2E6F">
        <w:rPr>
          <w:rFonts w:ascii="Tahoma" w:hAnsi="Tahoma" w:cs="Tahoma"/>
          <w:sz w:val="16"/>
          <w:szCs w:val="20"/>
        </w:rPr>
        <w:t>21</w:t>
      </w:r>
    </w:p>
    <w:p w:rsidR="00D92D36" w:rsidRPr="00352D72" w:rsidP="00D92D36" w14:paraId="7AD3C467" w14:textId="77777777">
      <w:pPr>
        <w:spacing w:after="0" w:line="240" w:lineRule="auto"/>
        <w:jc w:val="center"/>
        <w:rPr>
          <w:rFonts w:ascii="Tahoma" w:hAnsi="Tahoma" w:cs="Tahoma"/>
          <w:sz w:val="16"/>
          <w:szCs w:val="18"/>
          <w:rtl/>
        </w:rPr>
      </w:pPr>
      <w:r w:rsidRPr="00352D72">
        <w:rPr>
          <w:rFonts w:ascii="Tahoma" w:hAnsi="Tahoma" w:cs="Tahoma"/>
          <w:sz w:val="16"/>
          <w:szCs w:val="16"/>
        </w:rPr>
        <w:t>ISSN</w:t>
      </w:r>
      <w:r w:rsidRPr="00352D72">
        <w:rPr>
          <w:rFonts w:ascii="Tahoma" w:hAnsi="Tahoma" w:cs="Tahoma"/>
          <w:sz w:val="16"/>
          <w:szCs w:val="18"/>
        </w:rPr>
        <w:t xml:space="preserve"> </w:t>
      </w:r>
      <w:r w:rsidRPr="00352D72">
        <w:rPr>
          <w:rFonts w:ascii="Tahoma" w:hAnsi="Tahoma" w:cs="Tahoma"/>
          <w:sz w:val="16"/>
          <w:szCs w:val="16"/>
        </w:rPr>
        <w:t>0334-9713</w:t>
      </w:r>
    </w:p>
    <w:p w:rsidR="00AB2E6F" w:rsidP="00D92D36" w14:paraId="1AE21EDA" w14:textId="77777777">
      <w:pPr>
        <w:spacing w:after="0" w:line="240" w:lineRule="auto"/>
        <w:jc w:val="center"/>
        <w:rPr>
          <w:rFonts w:ascii="Tahoma" w:hAnsi="Tahoma" w:cs="Tahoma"/>
          <w:sz w:val="18"/>
          <w:szCs w:val="18"/>
        </w:rPr>
      </w:pPr>
    </w:p>
    <w:p w:rsidR="00D92D36" w:rsidRPr="00352D72" w:rsidP="00D92D36" w14:paraId="2E177D1A" w14:textId="5C46957F">
      <w:pPr>
        <w:spacing w:after="0" w:line="240" w:lineRule="auto"/>
        <w:jc w:val="center"/>
        <w:rPr>
          <w:rFonts w:ascii="Tahoma" w:hAnsi="Tahoma" w:cs="Tahoma"/>
          <w:sz w:val="18"/>
          <w:szCs w:val="18"/>
          <w:rtl/>
        </w:rPr>
      </w:pPr>
      <w:r w:rsidRPr="00352D72">
        <w:rPr>
          <w:rFonts w:ascii="Tahoma" w:hAnsi="Tahoma" w:cs="Tahoma"/>
          <w:sz w:val="18"/>
          <w:szCs w:val="18"/>
          <w:rtl/>
        </w:rPr>
        <w:t xml:space="preserve">דוח זה מובא גם באתר האינטרנט של </w:t>
      </w:r>
      <w:r w:rsidRPr="00352D72">
        <w:rPr>
          <w:rFonts w:ascii="Tahoma" w:hAnsi="Tahoma" w:cs="Tahoma"/>
          <w:sz w:val="18"/>
          <w:szCs w:val="18"/>
        </w:rPr>
        <w:br/>
      </w:r>
      <w:r w:rsidRPr="00352D72">
        <w:rPr>
          <w:rFonts w:ascii="Tahoma" w:hAnsi="Tahoma" w:cs="Tahoma"/>
          <w:sz w:val="18"/>
          <w:szCs w:val="18"/>
          <w:rtl/>
        </w:rPr>
        <w:t>משרד מבקר המדינה</w:t>
      </w:r>
    </w:p>
    <w:p w:rsidR="00D92D36" w:rsidRPr="00352D72" w:rsidP="00D92D36" w14:paraId="56270B23" w14:textId="77777777">
      <w:pPr>
        <w:spacing w:after="0" w:line="240" w:lineRule="auto"/>
        <w:jc w:val="center"/>
        <w:rPr>
          <w:rFonts w:ascii="Tahoma" w:hAnsi="Tahoma" w:cs="Tahoma"/>
          <w:sz w:val="20"/>
          <w:szCs w:val="20"/>
          <w:rtl/>
        </w:rPr>
      </w:pPr>
      <w:r w:rsidRPr="00352D72">
        <w:rPr>
          <w:rFonts w:ascii="Tahoma" w:hAnsi="Tahoma" w:cs="Tahoma"/>
          <w:sz w:val="20"/>
          <w:szCs w:val="20"/>
        </w:rPr>
        <w:t>www.mevaker.gov.il</w:t>
      </w:r>
    </w:p>
    <w:p w:rsidR="00D92D36" w:rsidRPr="00352D72" w:rsidP="00D92D36" w14:paraId="32E31C80" w14:textId="77777777">
      <w:pPr>
        <w:spacing w:after="0" w:line="240" w:lineRule="auto"/>
        <w:jc w:val="center"/>
        <w:rPr>
          <w:rFonts w:ascii="Tahoma" w:hAnsi="Tahoma" w:cs="Tahoma"/>
          <w:sz w:val="20"/>
          <w:szCs w:val="20"/>
          <w:rtl/>
        </w:rPr>
      </w:pPr>
    </w:p>
    <w:p w:rsidR="00D92D36" w:rsidRPr="00352D72" w:rsidP="00D92D36" w14:paraId="4DC92BB9" w14:textId="77777777">
      <w:pPr>
        <w:spacing w:after="0" w:line="240" w:lineRule="auto"/>
        <w:jc w:val="center"/>
        <w:rPr>
          <w:rFonts w:ascii="Tahoma" w:hAnsi="Tahoma" w:cs="Tahoma"/>
          <w:sz w:val="18"/>
          <w:szCs w:val="18"/>
          <w:rtl/>
        </w:rPr>
      </w:pPr>
      <w:r w:rsidRPr="00352D72">
        <w:rPr>
          <w:rFonts w:ascii="Tahoma" w:hAnsi="Tahoma" w:cs="Tahoma"/>
          <w:sz w:val="18"/>
          <w:szCs w:val="18"/>
          <w:rtl/>
        </w:rPr>
        <w:t xml:space="preserve">סדר: </w:t>
      </w:r>
      <w:r w:rsidRPr="00352D72">
        <w:rPr>
          <w:rFonts w:ascii="Tahoma" w:hAnsi="Tahoma" w:cs="Tahoma"/>
          <w:sz w:val="18"/>
          <w:szCs w:val="18"/>
          <w:rtl/>
        </w:rPr>
        <w:t>אונית</w:t>
      </w:r>
      <w:r w:rsidRPr="00352D72">
        <w:rPr>
          <w:rFonts w:ascii="Tahoma" w:hAnsi="Tahoma" w:cs="Tahoma"/>
          <w:sz w:val="18"/>
          <w:szCs w:val="18"/>
          <w:rtl/>
        </w:rPr>
        <w:t xml:space="preserve"> שירותי מחשב בע"מ</w:t>
      </w:r>
    </w:p>
    <w:p w:rsidR="00F1368B" w:rsidRPr="00590929" w:rsidP="003323CD" w14:paraId="28F4B19D" w14:textId="77777777">
      <w:pPr>
        <w:spacing w:line="240" w:lineRule="exact"/>
        <w:jc w:val="both"/>
        <w:rPr>
          <w:rFonts w:ascii="Tahoma" w:hAnsi="Tahoma" w:cs="Tahoma"/>
          <w:sz w:val="17"/>
          <w:szCs w:val="18"/>
          <w:rtl/>
        </w:rPr>
      </w:pPr>
    </w:p>
    <w:p w:rsidR="00327FBF" w:rsidRPr="0010599F" w:rsidP="003323CD" w14:paraId="4E4EADA6" w14:textId="77777777">
      <w:pPr>
        <w:spacing w:line="240" w:lineRule="exact"/>
        <w:jc w:val="both"/>
        <w:rPr>
          <w:rFonts w:ascii="Tahoma" w:hAnsi="Tahoma" w:cs="Tahoma"/>
          <w:sz w:val="17"/>
          <w:szCs w:val="17"/>
          <w:rtl/>
        </w:rPr>
        <w:sectPr w:rsidSect="00946475">
          <w:headerReference w:type="even" r:id="rId8"/>
          <w:headerReference w:type="default" r:id="rId9"/>
          <w:headerReference w:type="first" r:id="rId10"/>
          <w:pgSz w:w="11906" w:h="16838" w:code="9"/>
          <w:pgMar w:top="3119" w:right="2268" w:bottom="2268" w:left="2268" w:header="1871" w:footer="709" w:gutter="0"/>
          <w:cols w:space="708"/>
          <w:titlePg/>
          <w:bidi/>
          <w:rtlGutter/>
          <w:docGrid w:linePitch="360"/>
        </w:sectPr>
      </w:pPr>
    </w:p>
    <w:bookmarkEnd w:id="1"/>
    <w:bookmarkEnd w:id="2"/>
    <w:bookmarkEnd w:id="3"/>
    <w:bookmarkEnd w:id="4"/>
    <w:bookmarkEnd w:id="5"/>
    <w:p w:rsidR="00A17423" w:rsidP="00D92D36" w14:paraId="55EB2265" w14:textId="38FC0278">
      <w:pPr>
        <w:pStyle w:val="14"/>
        <w:rPr>
          <w:rtl/>
        </w:rPr>
      </w:pPr>
      <w:r w:rsidRPr="00D92D36">
        <w:rPr>
          <w:rFonts w:hint="eastAsia"/>
          <w:rtl/>
        </w:rPr>
        <w:t>תוכן</w:t>
      </w:r>
      <w:r w:rsidRPr="00D92D36">
        <w:rPr>
          <w:rtl/>
        </w:rPr>
        <w:t xml:space="preserve"> </w:t>
      </w:r>
      <w:r w:rsidRPr="00D92D36">
        <w:rPr>
          <w:rFonts w:hint="eastAsia"/>
          <w:rtl/>
        </w:rPr>
        <w:t>העניינים</w:t>
      </w:r>
    </w:p>
    <w:p w:rsidR="00D92D36" w:rsidP="00D92D36" w14:paraId="4D9E7DC2" w14:textId="5D6FDC11">
      <w:pPr>
        <w:pStyle w:val="21"/>
        <w:spacing w:before="0"/>
        <w:rPr>
          <w:rtl/>
        </w:rPr>
      </w:pPr>
      <w:r>
        <w:rPr>
          <w:rFonts w:hint="cs"/>
          <w:rtl/>
        </w:rPr>
        <w:t>כרך שלישי</w:t>
      </w:r>
    </w:p>
    <w:p w:rsidR="00903950" w:rsidRPr="00D92D36" w:rsidP="00D92D36" w14:paraId="3C76F08B" w14:textId="691E61E5">
      <w:pPr>
        <w:pStyle w:val="KOT4"/>
        <w:rPr>
          <w:rtl/>
        </w:rPr>
      </w:pPr>
      <w:r w:rsidRPr="00D92D36">
        <w:rPr>
          <w:rFonts w:hint="cs"/>
          <w:rtl/>
        </w:rPr>
        <w:t xml:space="preserve">פרק רביעי - מערכת </w:t>
      </w:r>
      <w:r w:rsidRPr="00E11A5E">
        <w:rPr>
          <w:rFonts w:hint="cs"/>
          <w:rtl/>
        </w:rPr>
        <w:t>הביטחון</w:t>
      </w:r>
    </w:p>
    <w:p w:rsidR="00524CA6" w:rsidRPr="00726EB4" w:rsidP="00524CA6" w14:paraId="7C8AE2C3" w14:textId="3F8115A1">
      <w:pPr>
        <w:tabs>
          <w:tab w:val="right" w:leader="dot" w:pos="6804"/>
          <w:tab w:val="left" w:pos="6974"/>
        </w:tabs>
        <w:spacing w:line="360" w:lineRule="exact"/>
        <w:rPr>
          <w:rFonts w:ascii="Tahoma" w:hAnsi="Tahoma" w:cs="Tahoma"/>
          <w:b/>
          <w:bCs/>
          <w:color w:val="009692"/>
          <w:sz w:val="22"/>
          <w:szCs w:val="22"/>
          <w:rtl/>
          <w:lang w:eastAsia="he-IL"/>
        </w:rPr>
      </w:pPr>
      <w:r w:rsidRPr="00726EB4">
        <w:rPr>
          <w:rFonts w:ascii="Tahoma" w:hAnsi="Tahoma" w:cs="Tahoma" w:hint="cs"/>
          <w:b/>
          <w:bCs/>
          <w:color w:val="009692"/>
          <w:sz w:val="22"/>
          <w:szCs w:val="22"/>
          <w:rtl/>
          <w:lang w:eastAsia="he-IL"/>
        </w:rPr>
        <w:t>פתח דבר</w:t>
      </w:r>
      <w:r w:rsidRPr="00524CA6">
        <w:rPr>
          <w:rFonts w:ascii="Tahoma" w:hAnsi="Tahoma" w:cs="Tahoma"/>
          <w:sz w:val="18"/>
          <w:szCs w:val="18"/>
          <w:rtl/>
        </w:rPr>
        <w:tab/>
      </w:r>
      <w:r w:rsidRPr="00524CA6">
        <w:rPr>
          <w:rFonts w:ascii="Tahoma" w:hAnsi="Tahoma" w:cs="Tahoma"/>
          <w:sz w:val="18"/>
          <w:szCs w:val="18"/>
          <w:rtl/>
        </w:rPr>
        <w:tab/>
      </w:r>
      <w:r w:rsidR="006C5FE4">
        <w:rPr>
          <w:rFonts w:ascii="Tahoma" w:hAnsi="Tahoma" w:cs="Tahoma" w:hint="cs"/>
          <w:sz w:val="18"/>
          <w:szCs w:val="18"/>
          <w:rtl/>
        </w:rPr>
        <w:t>7</w:t>
      </w:r>
    </w:p>
    <w:p w:rsidR="00524CA6" w:rsidRPr="00726EB4" w:rsidP="00524CA6" w14:paraId="772A4F84" w14:textId="3CFC7542">
      <w:pPr>
        <w:tabs>
          <w:tab w:val="right" w:leader="dot" w:pos="6804"/>
          <w:tab w:val="left" w:pos="6974"/>
        </w:tabs>
        <w:spacing w:line="360" w:lineRule="exact"/>
        <w:rPr>
          <w:rFonts w:ascii="Tahoma" w:hAnsi="Tahoma" w:cs="Tahoma"/>
          <w:b/>
          <w:bCs/>
          <w:color w:val="009692"/>
          <w:sz w:val="22"/>
          <w:szCs w:val="22"/>
          <w:rtl/>
          <w:lang w:eastAsia="he-IL"/>
        </w:rPr>
      </w:pPr>
      <w:r w:rsidRPr="00726EB4">
        <w:rPr>
          <w:rFonts w:ascii="Tahoma" w:hAnsi="Tahoma" w:cs="Tahoma"/>
          <w:b/>
          <w:bCs/>
          <w:color w:val="009692"/>
          <w:sz w:val="22"/>
          <w:szCs w:val="22"/>
          <w:rtl/>
          <w:lang w:eastAsia="he-IL" w:bidi="ar-SA"/>
        </w:rPr>
        <w:t>المقدمة</w:t>
      </w:r>
      <w:r w:rsidR="00A31725">
        <w:rPr>
          <w:rFonts w:ascii="Tahoma" w:hAnsi="Tahoma" w:cs="Tahoma" w:hint="cs"/>
          <w:sz w:val="16"/>
          <w:szCs w:val="16"/>
          <w:rtl/>
          <w:lang w:eastAsia="he-IL"/>
        </w:rPr>
        <w:tab/>
      </w:r>
      <w:r w:rsidRPr="00524CA6">
        <w:rPr>
          <w:rFonts w:ascii="Tahoma" w:hAnsi="Tahoma" w:cs="Tahoma"/>
          <w:sz w:val="18"/>
          <w:szCs w:val="18"/>
          <w:rtl/>
        </w:rPr>
        <w:tab/>
      </w:r>
      <w:r w:rsidR="00B93C9C">
        <w:rPr>
          <w:rFonts w:ascii="Tahoma" w:hAnsi="Tahoma" w:cs="Tahoma" w:hint="cs"/>
          <w:sz w:val="18"/>
          <w:szCs w:val="18"/>
          <w:rtl/>
        </w:rPr>
        <w:t>9</w:t>
      </w:r>
    </w:p>
    <w:p w:rsidR="00524CA6" w:rsidRPr="00726EB4" w:rsidP="00524CA6" w14:paraId="2D3984BF" w14:textId="5165BF20">
      <w:pPr>
        <w:tabs>
          <w:tab w:val="right" w:leader="dot" w:pos="6804"/>
          <w:tab w:val="left" w:pos="6974"/>
        </w:tabs>
        <w:spacing w:line="360" w:lineRule="exact"/>
        <w:rPr>
          <w:rFonts w:ascii="Tahoma" w:hAnsi="Tahoma" w:cs="Tahoma"/>
          <w:b/>
          <w:bCs/>
          <w:color w:val="009692"/>
          <w:sz w:val="22"/>
          <w:szCs w:val="22"/>
          <w:rtl/>
          <w:lang w:eastAsia="he-IL"/>
        </w:rPr>
      </w:pPr>
      <w:r w:rsidRPr="00726EB4">
        <w:rPr>
          <w:rFonts w:ascii="Tahoma" w:hAnsi="Tahoma" w:cs="Tahoma"/>
          <w:b/>
          <w:bCs/>
          <w:color w:val="009692"/>
          <w:sz w:val="22"/>
          <w:szCs w:val="22"/>
          <w:lang w:eastAsia="he-IL" w:bidi="ar-SA"/>
        </w:rPr>
        <w:t>Forew</w:t>
      </w:r>
      <w:r>
        <w:rPr>
          <w:rFonts w:ascii="Tahoma" w:hAnsi="Tahoma" w:cs="Tahoma"/>
          <w:b/>
          <w:bCs/>
          <w:color w:val="009692"/>
          <w:sz w:val="22"/>
          <w:szCs w:val="22"/>
          <w:lang w:eastAsia="he-IL" w:bidi="ar-SA"/>
        </w:rPr>
        <w:t>o</w:t>
      </w:r>
      <w:r w:rsidRPr="00726EB4">
        <w:rPr>
          <w:rFonts w:ascii="Tahoma" w:hAnsi="Tahoma" w:cs="Tahoma"/>
          <w:b/>
          <w:bCs/>
          <w:color w:val="009692"/>
          <w:sz w:val="22"/>
          <w:szCs w:val="22"/>
          <w:lang w:eastAsia="he-IL" w:bidi="ar-SA"/>
        </w:rPr>
        <w:t>rd</w:t>
      </w:r>
      <w:r w:rsidRPr="00524CA6">
        <w:rPr>
          <w:rFonts w:ascii="Tahoma" w:hAnsi="Tahoma" w:cs="Tahoma"/>
          <w:sz w:val="18"/>
          <w:szCs w:val="18"/>
          <w:rtl/>
        </w:rPr>
        <w:tab/>
      </w:r>
      <w:r w:rsidRPr="00524CA6">
        <w:rPr>
          <w:rFonts w:ascii="Tahoma" w:hAnsi="Tahoma" w:cs="Tahoma"/>
          <w:sz w:val="18"/>
          <w:szCs w:val="18"/>
          <w:rtl/>
        </w:rPr>
        <w:tab/>
      </w:r>
      <w:r w:rsidR="00B93C9C">
        <w:rPr>
          <w:rFonts w:ascii="Tahoma" w:hAnsi="Tahoma" w:cs="Tahoma" w:hint="cs"/>
          <w:sz w:val="18"/>
          <w:szCs w:val="18"/>
          <w:rtl/>
        </w:rPr>
        <w:t>24</w:t>
      </w:r>
      <w:r w:rsidR="003E2DB2">
        <w:rPr>
          <w:rFonts w:ascii="Tahoma" w:hAnsi="Tahoma" w:cs="Tahoma" w:hint="cs"/>
          <w:sz w:val="18"/>
          <w:szCs w:val="18"/>
          <w:rtl/>
        </w:rPr>
        <w:t>3</w:t>
      </w:r>
    </w:p>
    <w:p w:rsidR="00903950" w:rsidRPr="00D92D36" w:rsidP="00D92D36" w14:paraId="39F6E3A8" w14:textId="52C3AF95">
      <w:pPr>
        <w:pStyle w:val="43"/>
        <w:rPr>
          <w:rtl/>
        </w:rPr>
      </w:pPr>
      <w:r w:rsidRPr="00D92D36">
        <w:rPr>
          <w:rFonts w:hint="cs"/>
          <w:rtl/>
        </w:rPr>
        <w:t>תחומי פעילות לאומיים-אסטרטגיים</w:t>
      </w:r>
    </w:p>
    <w:p w:rsidR="00903950" w:rsidRPr="00D92D36" w:rsidP="00AB2E6F" w14:paraId="4F8871BB" w14:textId="0A686B7C">
      <w:pPr>
        <w:tabs>
          <w:tab w:val="right" w:leader="dot" w:pos="6804"/>
          <w:tab w:val="left" w:pos="6974"/>
        </w:tabs>
        <w:ind w:left="397"/>
        <w:rPr>
          <w:rFonts w:ascii="Tahoma" w:hAnsi="Tahoma" w:cs="Tahoma"/>
          <w:sz w:val="18"/>
          <w:szCs w:val="18"/>
        </w:rPr>
      </w:pPr>
      <w:r w:rsidRPr="00D92D36">
        <w:rPr>
          <w:rFonts w:ascii="Tahoma" w:hAnsi="Tahoma" w:cs="Tahoma" w:hint="cs"/>
          <w:sz w:val="18"/>
          <w:szCs w:val="18"/>
          <w:rtl/>
        </w:rPr>
        <w:t xml:space="preserve">ההיערכות הלאומית להגנה מפני איום </w:t>
      </w:r>
      <w:r w:rsidRPr="00D92D36">
        <w:rPr>
          <w:rFonts w:ascii="Tahoma" w:hAnsi="Tahoma" w:cs="Tahoma" w:hint="cs"/>
          <w:sz w:val="18"/>
          <w:szCs w:val="18"/>
          <w:rtl/>
        </w:rPr>
        <w:t>הרחפנים</w:t>
      </w:r>
      <w:r w:rsidRPr="00D92D36">
        <w:rPr>
          <w:rFonts w:ascii="Tahoma" w:hAnsi="Tahoma" w:cs="Tahoma" w:hint="cs"/>
          <w:sz w:val="18"/>
          <w:szCs w:val="18"/>
          <w:rtl/>
        </w:rPr>
        <w:t xml:space="preserve"> - מעקב מורחב</w:t>
      </w:r>
      <w:r w:rsidR="00D92D36">
        <w:rPr>
          <w:rFonts w:ascii="Tahoma" w:hAnsi="Tahoma" w:cs="Tahoma"/>
          <w:sz w:val="18"/>
          <w:szCs w:val="18"/>
          <w:rtl/>
        </w:rPr>
        <w:tab/>
      </w:r>
      <w:r w:rsidR="00AB2E6F">
        <w:rPr>
          <w:rFonts w:ascii="Tahoma" w:hAnsi="Tahoma" w:cs="Tahoma"/>
          <w:sz w:val="18"/>
          <w:szCs w:val="18"/>
          <w:rtl/>
        </w:rPr>
        <w:tab/>
      </w:r>
      <w:r w:rsidR="00B93C9C">
        <w:rPr>
          <w:rFonts w:ascii="Tahoma" w:hAnsi="Tahoma" w:cs="Tahoma" w:hint="cs"/>
          <w:sz w:val="18"/>
          <w:szCs w:val="18"/>
          <w:rtl/>
        </w:rPr>
        <w:t>11</w:t>
      </w:r>
    </w:p>
    <w:p w:rsidR="00903950" w:rsidRPr="00D92D36" w:rsidP="00AB2E6F" w14:paraId="407FFAA2" w14:textId="32F8080B">
      <w:pPr>
        <w:tabs>
          <w:tab w:val="right" w:leader="dot" w:pos="6804"/>
          <w:tab w:val="left" w:pos="6974"/>
        </w:tabs>
        <w:ind w:left="397"/>
        <w:rPr>
          <w:rFonts w:ascii="Tahoma" w:hAnsi="Tahoma" w:cs="Tahoma"/>
          <w:sz w:val="18"/>
          <w:szCs w:val="18"/>
        </w:rPr>
      </w:pPr>
      <w:r w:rsidRPr="00D92D36">
        <w:rPr>
          <w:rFonts w:ascii="Tahoma" w:hAnsi="Tahoma" w:cs="Tahoma" w:hint="cs"/>
          <w:sz w:val="18"/>
          <w:szCs w:val="18"/>
          <w:rtl/>
        </w:rPr>
        <w:t>מעבר יחידות אגף המודיעין ואגף התקשוב לנגב</w:t>
      </w:r>
      <w:r w:rsidR="00AB2E6F">
        <w:rPr>
          <w:rFonts w:ascii="Tahoma" w:hAnsi="Tahoma" w:cs="Tahoma"/>
          <w:sz w:val="18"/>
          <w:szCs w:val="18"/>
          <w:rtl/>
        </w:rPr>
        <w:tab/>
      </w:r>
      <w:r w:rsidR="00AB2E6F">
        <w:rPr>
          <w:rFonts w:ascii="Tahoma" w:hAnsi="Tahoma" w:cs="Tahoma"/>
          <w:sz w:val="18"/>
          <w:szCs w:val="18"/>
          <w:rtl/>
        </w:rPr>
        <w:tab/>
      </w:r>
      <w:r w:rsidR="00B93C9C">
        <w:rPr>
          <w:rFonts w:ascii="Tahoma" w:hAnsi="Tahoma" w:cs="Tahoma" w:hint="cs"/>
          <w:sz w:val="18"/>
          <w:szCs w:val="18"/>
          <w:rtl/>
        </w:rPr>
        <w:t>79</w:t>
      </w:r>
    </w:p>
    <w:p w:rsidR="00903950" w:rsidRPr="00D92D36" w:rsidP="00AB2E6F" w14:paraId="08BF01AE" w14:textId="27480FAA">
      <w:pPr>
        <w:tabs>
          <w:tab w:val="right" w:leader="dot" w:pos="6804"/>
          <w:tab w:val="left" w:pos="6974"/>
        </w:tabs>
        <w:ind w:left="397"/>
        <w:rPr>
          <w:rFonts w:ascii="Tahoma" w:hAnsi="Tahoma" w:cs="Tahoma"/>
          <w:sz w:val="18"/>
          <w:szCs w:val="18"/>
        </w:rPr>
      </w:pPr>
      <w:r w:rsidRPr="00D92D36">
        <w:rPr>
          <w:rFonts w:ascii="Tahoma" w:hAnsi="Tahoma" w:cs="Tahoma" w:hint="cs"/>
          <w:sz w:val="18"/>
          <w:szCs w:val="18"/>
          <w:rtl/>
        </w:rPr>
        <w:t>שטחי האימונים של צה"ל ביבשה</w:t>
      </w:r>
      <w:r w:rsidR="00AB2E6F">
        <w:rPr>
          <w:rFonts w:ascii="Tahoma" w:hAnsi="Tahoma" w:cs="Tahoma"/>
          <w:sz w:val="18"/>
          <w:szCs w:val="18"/>
          <w:rtl/>
        </w:rPr>
        <w:tab/>
      </w:r>
      <w:r w:rsidR="00AB2E6F">
        <w:rPr>
          <w:rFonts w:ascii="Tahoma" w:hAnsi="Tahoma" w:cs="Tahoma"/>
          <w:sz w:val="18"/>
          <w:szCs w:val="18"/>
          <w:rtl/>
        </w:rPr>
        <w:tab/>
      </w:r>
      <w:r w:rsidR="00B93C9C">
        <w:rPr>
          <w:rFonts w:ascii="Tahoma" w:hAnsi="Tahoma" w:cs="Tahoma" w:hint="cs"/>
          <w:sz w:val="18"/>
          <w:szCs w:val="18"/>
          <w:rtl/>
        </w:rPr>
        <w:t>115</w:t>
      </w:r>
    </w:p>
    <w:p w:rsidR="00903950" w:rsidRPr="00D92D36" w:rsidP="00D92D36" w14:paraId="22B0281C" w14:textId="77777777">
      <w:pPr>
        <w:pStyle w:val="43"/>
      </w:pPr>
      <w:r w:rsidRPr="00D92D36">
        <w:rPr>
          <w:rFonts w:hint="cs"/>
          <w:rtl/>
        </w:rPr>
        <w:t xml:space="preserve">צבא ההגנה לישראל </w:t>
      </w:r>
    </w:p>
    <w:p w:rsidR="00903950" w:rsidRPr="00D92D36" w:rsidP="00AB2E6F" w14:paraId="5AFF80FA" w14:textId="693E67DC">
      <w:pPr>
        <w:tabs>
          <w:tab w:val="right" w:leader="dot" w:pos="6804"/>
          <w:tab w:val="left" w:pos="6974"/>
        </w:tabs>
        <w:ind w:left="397"/>
        <w:rPr>
          <w:rFonts w:ascii="Tahoma" w:hAnsi="Tahoma" w:cs="Tahoma"/>
          <w:sz w:val="18"/>
          <w:szCs w:val="18"/>
        </w:rPr>
      </w:pPr>
      <w:r w:rsidRPr="00D92D36">
        <w:rPr>
          <w:rFonts w:ascii="Tahoma" w:hAnsi="Tahoma" w:cs="Tahoma" w:hint="cs"/>
          <w:sz w:val="18"/>
          <w:szCs w:val="18"/>
          <w:rtl/>
        </w:rPr>
        <w:t>מערך בריאות הנפש בצה"ל - ביקורת מעקב</w:t>
      </w:r>
      <w:r w:rsidR="00AB2E6F">
        <w:rPr>
          <w:rFonts w:ascii="Tahoma" w:hAnsi="Tahoma" w:cs="Tahoma"/>
          <w:sz w:val="18"/>
          <w:szCs w:val="18"/>
          <w:rtl/>
        </w:rPr>
        <w:tab/>
      </w:r>
      <w:r w:rsidR="00AB2E6F">
        <w:rPr>
          <w:rFonts w:ascii="Tahoma" w:hAnsi="Tahoma" w:cs="Tahoma"/>
          <w:sz w:val="18"/>
          <w:szCs w:val="18"/>
          <w:rtl/>
        </w:rPr>
        <w:tab/>
      </w:r>
      <w:r w:rsidR="00B93C9C">
        <w:rPr>
          <w:rFonts w:ascii="Tahoma" w:hAnsi="Tahoma" w:cs="Tahoma" w:hint="cs"/>
          <w:sz w:val="18"/>
          <w:szCs w:val="18"/>
          <w:rtl/>
        </w:rPr>
        <w:t>161</w:t>
      </w:r>
    </w:p>
    <w:p w:rsidR="00903950" w:rsidRPr="00D92D36" w:rsidP="00D92D36" w14:paraId="1703E99D" w14:textId="77777777">
      <w:pPr>
        <w:pStyle w:val="43"/>
      </w:pPr>
      <w:r w:rsidRPr="00D92D36">
        <w:rPr>
          <w:rFonts w:hint="cs"/>
          <w:rtl/>
        </w:rPr>
        <w:t>התעשייה האווירית לישראל בע"מ</w:t>
      </w:r>
    </w:p>
    <w:p w:rsidR="00903950" w:rsidP="00AB2E6F" w14:paraId="0C25EA01" w14:textId="2EA8BB3E">
      <w:pPr>
        <w:tabs>
          <w:tab w:val="right" w:leader="dot" w:pos="6804"/>
          <w:tab w:val="left" w:pos="6974"/>
        </w:tabs>
        <w:ind w:left="397"/>
        <w:rPr>
          <w:rFonts w:ascii="Tahoma" w:hAnsi="Tahoma" w:cs="Tahoma"/>
          <w:sz w:val="18"/>
          <w:szCs w:val="18"/>
          <w:rtl/>
        </w:rPr>
      </w:pPr>
      <w:r w:rsidRPr="00D92D36">
        <w:rPr>
          <w:rFonts w:ascii="Tahoma" w:hAnsi="Tahoma" w:cs="Tahoma" w:hint="cs"/>
          <w:sz w:val="18"/>
          <w:szCs w:val="18"/>
          <w:rtl/>
        </w:rPr>
        <w:t>מינוי בכירים בתעשייה האווירית לישראל בע"מ</w:t>
      </w:r>
      <w:r w:rsidR="00AB2E6F">
        <w:rPr>
          <w:rFonts w:ascii="Tahoma" w:hAnsi="Tahoma" w:cs="Tahoma"/>
          <w:sz w:val="18"/>
          <w:szCs w:val="18"/>
          <w:rtl/>
        </w:rPr>
        <w:tab/>
      </w:r>
      <w:r w:rsidR="00AB2E6F">
        <w:rPr>
          <w:rFonts w:ascii="Tahoma" w:hAnsi="Tahoma" w:cs="Tahoma"/>
          <w:sz w:val="18"/>
          <w:szCs w:val="18"/>
          <w:rtl/>
        </w:rPr>
        <w:tab/>
      </w:r>
      <w:r w:rsidR="00B93C9C">
        <w:rPr>
          <w:rFonts w:ascii="Tahoma" w:hAnsi="Tahoma" w:cs="Tahoma" w:hint="cs"/>
          <w:sz w:val="18"/>
          <w:szCs w:val="18"/>
          <w:rtl/>
        </w:rPr>
        <w:t>199</w:t>
      </w:r>
    </w:p>
    <w:p w:rsidR="004F75B5" w:rsidP="00AB2E6F" w14:paraId="2F2BC804" w14:textId="77777777">
      <w:pPr>
        <w:tabs>
          <w:tab w:val="right" w:leader="dot" w:pos="6804"/>
          <w:tab w:val="left" w:pos="6974"/>
        </w:tabs>
        <w:ind w:left="397"/>
        <w:rPr>
          <w:rFonts w:ascii="Tahoma" w:hAnsi="Tahoma" w:cs="Tahoma"/>
          <w:sz w:val="18"/>
          <w:szCs w:val="18"/>
          <w:rtl/>
        </w:rPr>
        <w:sectPr w:rsidSect="007C438D">
          <w:headerReference w:type="default" r:id="rId11"/>
          <w:pgSz w:w="11906" w:h="16838" w:code="9"/>
          <w:pgMar w:top="2892" w:right="2268" w:bottom="2438" w:left="2268" w:header="1871" w:footer="1928" w:gutter="0"/>
          <w:cols w:space="708"/>
          <w:bidi/>
          <w:rtlGutter/>
          <w:docGrid w:linePitch="360"/>
        </w:sectPr>
      </w:pPr>
    </w:p>
    <w:p w:rsidR="004F75B5" w:rsidP="00AB2E6F" w14:paraId="606004B4" w14:textId="5FE13E20">
      <w:pPr>
        <w:tabs>
          <w:tab w:val="right" w:leader="dot" w:pos="6804"/>
          <w:tab w:val="left" w:pos="6974"/>
        </w:tabs>
        <w:ind w:left="397"/>
        <w:rPr>
          <w:rFonts w:ascii="Tahoma" w:hAnsi="Tahoma" w:cs="Tahoma"/>
          <w:sz w:val="18"/>
          <w:szCs w:val="18"/>
          <w:rtl/>
        </w:rPr>
      </w:pPr>
    </w:p>
    <w:p w:rsidR="0098364E" w:rsidP="00AB2E6F" w14:paraId="11DC91CB" w14:textId="77777777">
      <w:pPr>
        <w:tabs>
          <w:tab w:val="right" w:leader="dot" w:pos="6804"/>
          <w:tab w:val="left" w:pos="6974"/>
        </w:tabs>
        <w:ind w:left="397"/>
        <w:rPr>
          <w:rFonts w:ascii="Tahoma" w:hAnsi="Tahoma" w:cs="Tahoma"/>
          <w:sz w:val="18"/>
          <w:szCs w:val="18"/>
          <w:rtl/>
        </w:rPr>
        <w:sectPr w:rsidSect="004F75B5">
          <w:pgSz w:w="11906" w:h="16838" w:code="9"/>
          <w:pgMar w:top="2892" w:right="2268" w:bottom="2438" w:left="2268" w:header="1871" w:footer="1928" w:gutter="0"/>
          <w:cols w:space="708"/>
          <w:titlePg/>
          <w:bidi/>
          <w:rtlGutter/>
          <w:docGrid w:linePitch="360"/>
        </w:sectPr>
      </w:pPr>
    </w:p>
    <w:p w:rsidR="0098364E" w:rsidRPr="00590929" w:rsidP="0098364E" w14:paraId="49FF32A5" w14:textId="77777777">
      <w:pPr>
        <w:spacing w:line="240" w:lineRule="exact"/>
        <w:jc w:val="both"/>
        <w:rPr>
          <w:rFonts w:ascii="Tahoma" w:hAnsi="Tahoma" w:cs="Tahoma"/>
          <w:sz w:val="17"/>
          <w:szCs w:val="18"/>
          <w:rtl/>
        </w:rPr>
      </w:pPr>
      <w:r w:rsidRPr="00E539EA">
        <w:rPr>
          <w:rFonts w:ascii="Tahoma" w:hAnsi="Tahoma" w:cs="Tahoma"/>
          <w:noProof/>
          <w:sz w:val="17"/>
          <w:szCs w:val="18"/>
        </w:rPr>
        <mc:AlternateContent>
          <mc:Choice Requires="wps">
            <w:drawing>
              <wp:anchor distT="0" distB="0" distL="114300" distR="114300" simplePos="0" relativeHeight="251660288" behindDoc="0" locked="0" layoutInCell="1" allowOverlap="1">
                <wp:simplePos x="0" y="0"/>
                <wp:positionH relativeFrom="column">
                  <wp:posOffset>-640080</wp:posOffset>
                </wp:positionH>
                <wp:positionV relativeFrom="paragraph">
                  <wp:posOffset>2010410</wp:posOffset>
                </wp:positionV>
                <wp:extent cx="3550920" cy="933450"/>
                <wp:effectExtent l="0" t="0" r="0" b="0"/>
                <wp:wrapNone/>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0920" cy="933450"/>
                        </a:xfrm>
                        <a:prstGeom prst="rect">
                          <a:avLst/>
                        </a:prstGeom>
                        <a:noFill/>
                        <a:ln w="9525">
                          <a:noFill/>
                          <a:miter lim="800000"/>
                          <a:headEnd/>
                          <a:tailEnd/>
                        </a:ln>
                      </wps:spPr>
                      <wps:txbx>
                        <w:txbxContent>
                          <w:p w:rsidR="0098364E" w:rsidP="0098364E" w14:textId="77777777">
                            <w:pPr>
                              <w:spacing w:after="0" w:line="600" w:lineRule="exact"/>
                              <w:rPr>
                                <w:rFonts w:ascii="Tahoma" w:hAnsi="Tahoma" w:cs="Tahoma"/>
                                <w:color w:val="FFFFFF" w:themeColor="background1"/>
                                <w:spacing w:val="6"/>
                                <w:sz w:val="48"/>
                                <w:szCs w:val="48"/>
                                <w:rtl/>
                              </w:rPr>
                            </w:pPr>
                            <w:r w:rsidRPr="008F6112">
                              <w:rPr>
                                <w:rFonts w:ascii="Tahoma" w:hAnsi="Tahoma" w:cs="Tahoma" w:hint="cs"/>
                                <w:color w:val="FFFFFF" w:themeColor="background1"/>
                                <w:spacing w:val="6"/>
                                <w:sz w:val="48"/>
                                <w:szCs w:val="48"/>
                                <w:rtl/>
                              </w:rPr>
                              <w:t>פרק רביעי</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width:279.6pt;height:73.5pt;margin-top:158.3pt;margin-left:-50.4pt;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98364E" w:rsidP="0098364E" w14:paraId="4ABAD07E" w14:textId="77777777">
                      <w:pPr>
                        <w:spacing w:after="0" w:line="600" w:lineRule="exact"/>
                        <w:rPr>
                          <w:rFonts w:ascii="Tahoma" w:hAnsi="Tahoma" w:cs="Tahoma"/>
                          <w:color w:val="FFFFFF" w:themeColor="background1"/>
                          <w:spacing w:val="6"/>
                          <w:sz w:val="48"/>
                          <w:szCs w:val="48"/>
                          <w:rtl/>
                        </w:rPr>
                      </w:pPr>
                      <w:r w:rsidRPr="008F6112">
                        <w:rPr>
                          <w:rFonts w:ascii="Tahoma" w:hAnsi="Tahoma" w:cs="Tahoma" w:hint="cs"/>
                          <w:color w:val="FFFFFF" w:themeColor="background1"/>
                          <w:spacing w:val="6"/>
                          <w:sz w:val="48"/>
                          <w:szCs w:val="48"/>
                          <w:rtl/>
                        </w:rPr>
                        <w:t>פרק רביעי</w:t>
                      </w:r>
                    </w:p>
                  </w:txbxContent>
                </v:textbox>
              </v:shape>
            </w:pict>
          </mc:Fallback>
        </mc:AlternateContent>
      </w:r>
      <w:r w:rsidRPr="00E539EA">
        <w:rPr>
          <w:rFonts w:ascii="Tahoma" w:hAnsi="Tahoma" w:cs="Tahoma"/>
          <w:noProof/>
          <w:sz w:val="17"/>
          <w:szCs w:val="18"/>
        </w:rPr>
        <mc:AlternateContent>
          <mc:Choice Requires="wps">
            <w:drawing>
              <wp:anchor distT="0" distB="0" distL="114300" distR="114300" simplePos="0" relativeHeight="251666432" behindDoc="0" locked="0" layoutInCell="1" allowOverlap="1">
                <wp:simplePos x="0" y="0"/>
                <wp:positionH relativeFrom="column">
                  <wp:posOffset>-640080</wp:posOffset>
                </wp:positionH>
                <wp:positionV relativeFrom="paragraph">
                  <wp:posOffset>2648585</wp:posOffset>
                </wp:positionV>
                <wp:extent cx="3550920" cy="161925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0920" cy="1619250"/>
                        </a:xfrm>
                        <a:prstGeom prst="rect">
                          <a:avLst/>
                        </a:prstGeom>
                        <a:noFill/>
                        <a:ln w="9525">
                          <a:noFill/>
                          <a:miter lim="800000"/>
                          <a:headEnd/>
                          <a:tailEnd/>
                        </a:ln>
                      </wps:spPr>
                      <wps:txbx>
                        <w:txbxContent>
                          <w:p w:rsidR="0098364E" w:rsidRPr="008F6112" w:rsidP="0098364E" w14:textId="77777777">
                            <w:pPr>
                              <w:spacing w:after="0" w:line="600" w:lineRule="exact"/>
                              <w:rPr>
                                <w:rFonts w:ascii="Tahoma" w:hAnsi="Tahoma" w:cs="Tahoma"/>
                                <w:b/>
                                <w:bCs/>
                                <w:color w:val="FFFFFF" w:themeColor="background1"/>
                                <w:spacing w:val="6"/>
                                <w:sz w:val="56"/>
                                <w:szCs w:val="56"/>
                                <w:rtl/>
                              </w:rPr>
                            </w:pPr>
                            <w:r w:rsidRPr="008F6112">
                              <w:rPr>
                                <w:rFonts w:ascii="Tahoma" w:hAnsi="Tahoma" w:cs="Tahoma" w:hint="cs"/>
                                <w:b/>
                                <w:bCs/>
                                <w:color w:val="FFFFFF" w:themeColor="background1"/>
                                <w:spacing w:val="6"/>
                                <w:sz w:val="56"/>
                                <w:szCs w:val="56"/>
                                <w:rtl/>
                              </w:rPr>
                              <w:t>מערכת הביטחון</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279.6pt;height:127.5pt;margin-top:208.55pt;margin-left:-50.4pt;mso-height-percent:0;mso-height-relative:margin;mso-width-percent:0;mso-width-relative:margin;mso-wrap-distance-bottom:0;mso-wrap-distance-left:9pt;mso-wrap-distance-right:9pt;mso-wrap-distance-top:0;mso-wrap-style:square;position:absolute;visibility:visible;v-text-anchor:top;z-index:251667456" filled="f" stroked="f">
                <v:textbox>
                  <w:txbxContent>
                    <w:p w:rsidR="0098364E" w:rsidRPr="008F6112" w:rsidP="0098364E" w14:paraId="749EECB6" w14:textId="77777777">
                      <w:pPr>
                        <w:spacing w:after="0" w:line="600" w:lineRule="exact"/>
                        <w:rPr>
                          <w:rFonts w:ascii="Tahoma" w:hAnsi="Tahoma" w:cs="Tahoma"/>
                          <w:b/>
                          <w:bCs/>
                          <w:color w:val="FFFFFF" w:themeColor="background1"/>
                          <w:spacing w:val="6"/>
                          <w:sz w:val="56"/>
                          <w:szCs w:val="56"/>
                          <w:rtl/>
                        </w:rPr>
                      </w:pPr>
                      <w:r w:rsidRPr="008F6112">
                        <w:rPr>
                          <w:rFonts w:ascii="Tahoma" w:hAnsi="Tahoma" w:cs="Tahoma" w:hint="cs"/>
                          <w:b/>
                          <w:bCs/>
                          <w:color w:val="FFFFFF" w:themeColor="background1"/>
                          <w:spacing w:val="6"/>
                          <w:sz w:val="56"/>
                          <w:szCs w:val="56"/>
                          <w:rtl/>
                        </w:rPr>
                        <w:t>מערכת הביטחון</w:t>
                      </w:r>
                    </w:p>
                  </w:txbxContent>
                </v:textbox>
              </v:shape>
            </w:pict>
          </mc:Fallback>
        </mc:AlternateContent>
      </w:r>
      <w:r>
        <w:rPr>
          <w:rFonts w:ascii="Tahoma" w:hAnsi="Tahoma" w:cs="Tahoma"/>
          <w:noProof/>
          <w:sz w:val="17"/>
          <w:szCs w:val="18"/>
        </w:rPr>
        <mc:AlternateContent>
          <mc:Choice Requires="wps">
            <w:drawing>
              <wp:anchor distT="0" distB="0" distL="114300" distR="114300" simplePos="0" relativeHeight="251662336" behindDoc="0" locked="0" layoutInCell="1" allowOverlap="1">
                <wp:simplePos x="0" y="0"/>
                <wp:positionH relativeFrom="column">
                  <wp:posOffset>3148203</wp:posOffset>
                </wp:positionH>
                <wp:positionV relativeFrom="paragraph">
                  <wp:posOffset>1306322</wp:posOffset>
                </wp:positionV>
                <wp:extent cx="53975" cy="3347720"/>
                <wp:effectExtent l="0" t="0" r="3175" b="508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53975" cy="334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41" style="width:4.25pt;height:263.6pt;margin-top:102.85pt;margin-left:247.9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1.5pt">
                <v:stroke endcap="round"/>
              </v:rect>
            </w:pict>
          </mc:Fallback>
        </mc:AlternateContent>
      </w:r>
      <w:r w:rsidRPr="00E539EA">
        <w:rPr>
          <w:rFonts w:ascii="Tahoma" w:hAnsi="Tahoma" w:cs="Tahoma"/>
          <w:noProof/>
          <w:sz w:val="17"/>
          <w:szCs w:val="18"/>
        </w:rPr>
        <mc:AlternateContent>
          <mc:Choice Requires="wps">
            <w:drawing>
              <wp:anchor distT="0" distB="0" distL="114300" distR="114300" simplePos="0" relativeHeight="251658240" behindDoc="0" locked="0" layoutInCell="1" allowOverlap="1">
                <wp:simplePos x="0" y="0"/>
                <wp:positionH relativeFrom="column">
                  <wp:posOffset>-576192</wp:posOffset>
                </wp:positionH>
                <wp:positionV relativeFrom="paragraph">
                  <wp:posOffset>1406691</wp:posOffset>
                </wp:positionV>
                <wp:extent cx="3478778" cy="337820"/>
                <wp:effectExtent l="0" t="0" r="0" b="508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8778" cy="337820"/>
                        </a:xfrm>
                        <a:prstGeom prst="rect">
                          <a:avLst/>
                        </a:prstGeom>
                        <a:noFill/>
                        <a:ln w="9525">
                          <a:noFill/>
                          <a:miter lim="800000"/>
                          <a:headEnd/>
                          <a:tailEnd/>
                        </a:ln>
                      </wps:spPr>
                      <wps:txbx>
                        <w:txbxContent>
                          <w:p w:rsidR="0098364E" w:rsidRPr="00A75949" w:rsidP="0098364E" w14:textId="77777777">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273.9pt;height:26.6pt;margin-top:110.75pt;margin-left:-45.35pt;mso-height-percent:0;mso-height-relative:margin;mso-width-percent:0;mso-width-relative:margin;mso-wrap-distance-bottom:0;mso-wrap-distance-left:9pt;mso-wrap-distance-right:9pt;mso-wrap-distance-top:0;mso-wrap-style:square;position:absolute;visibility:visible;v-text-anchor:top;z-index:251659264" filled="f" stroked="f">
                <v:textbox>
                  <w:txbxContent>
                    <w:p w:rsidR="0098364E" w:rsidRPr="00A75949" w:rsidP="0098364E" w14:paraId="6B52DED8" w14:textId="77777777">
                      <w:pPr>
                        <w:rPr>
                          <w:rFonts w:ascii="Tahoma" w:hAnsi="Tahoma" w:cs="Tahoma"/>
                          <w:color w:val="FFFFFF" w:themeColor="background1"/>
                          <w:spacing w:val="6"/>
                          <w:sz w:val="18"/>
                          <w:szCs w:val="18"/>
                        </w:rPr>
                      </w:pPr>
                      <w:r w:rsidRPr="00A75949">
                        <w:rPr>
                          <w:rFonts w:ascii="Tahoma" w:hAnsi="Tahoma" w:cs="Tahoma"/>
                          <w:color w:val="FFFFFF" w:themeColor="background1"/>
                          <w:spacing w:val="6"/>
                          <w:sz w:val="18"/>
                          <w:szCs w:val="18"/>
                          <w:rtl/>
                        </w:rPr>
                        <w:t xml:space="preserve">מבקר המדינה </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 xml:space="preserve"> דוח</w:t>
                      </w:r>
                      <w:r>
                        <w:rPr>
                          <w:rFonts w:ascii="Tahoma" w:hAnsi="Tahoma" w:cs="Tahoma" w:hint="cs"/>
                          <w:color w:val="FFFFFF" w:themeColor="background1"/>
                          <w:spacing w:val="6"/>
                          <w:sz w:val="18"/>
                          <w:szCs w:val="18"/>
                          <w:rtl/>
                        </w:rPr>
                        <w:t xml:space="preserve"> </w:t>
                      </w:r>
                      <w:r w:rsidRPr="00A75949">
                        <w:rPr>
                          <w:rFonts w:ascii="Tahoma" w:hAnsi="Tahoma" w:cs="Tahoma"/>
                          <w:color w:val="FFFFFF" w:themeColor="background1"/>
                          <w:spacing w:val="6"/>
                          <w:sz w:val="18"/>
                          <w:szCs w:val="18"/>
                          <w:rtl/>
                        </w:rPr>
                        <w:t>שנתי 71ב</w:t>
                      </w:r>
                      <w:r>
                        <w:rPr>
                          <w:rFonts w:ascii="Tahoma" w:hAnsi="Tahoma" w:cs="Tahoma" w:hint="cs"/>
                          <w:color w:val="FFFFFF" w:themeColor="background1"/>
                          <w:spacing w:val="6"/>
                          <w:sz w:val="18"/>
                          <w:szCs w:val="18"/>
                          <w:rtl/>
                        </w:rPr>
                        <w:t xml:space="preserve">  |  התשפ"א-2021</w:t>
                      </w:r>
                    </w:p>
                  </w:txbxContent>
                </v:textbox>
              </v:shape>
            </w:pict>
          </mc:Fallback>
        </mc:AlternateContent>
      </w:r>
      <w:r>
        <w:rPr>
          <w:rFonts w:ascii="Tahoma" w:hAnsi="Tahoma" w:cs="Tahoma"/>
          <w:noProof/>
          <w:sz w:val="17"/>
          <w:szCs w:val="18"/>
          <w:rtl/>
          <w:lang w:val="he-IL"/>
        </w:rPr>
        <w:drawing>
          <wp:anchor distT="0" distB="0" distL="114300" distR="114300" simplePos="0" relativeHeight="251664384" behindDoc="1" locked="0" layoutInCell="1" allowOverlap="1">
            <wp:simplePos x="0" y="0"/>
            <wp:positionH relativeFrom="page">
              <wp:align>center</wp:align>
            </wp:positionH>
            <wp:positionV relativeFrom="page">
              <wp:align>center</wp:align>
            </wp:positionV>
            <wp:extent cx="6883200" cy="941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064987" name="Picture 3"/>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83200" cy="9414000"/>
                    </a:xfrm>
                    <a:prstGeom prst="rect">
                      <a:avLst/>
                    </a:prstGeom>
                  </pic:spPr>
                </pic:pic>
              </a:graphicData>
            </a:graphic>
            <wp14:sizeRelH relativeFrom="margin">
              <wp14:pctWidth>0</wp14:pctWidth>
            </wp14:sizeRelH>
            <wp14:sizeRelV relativeFrom="margin">
              <wp14:pctHeight>0</wp14:pctHeight>
            </wp14:sizeRelV>
          </wp:anchor>
        </w:drawing>
      </w:r>
    </w:p>
    <w:p w:rsidR="0098364E" w:rsidRPr="00E077B7" w:rsidP="0098364E" w14:paraId="5E46AF05" w14:textId="77777777">
      <w:pPr>
        <w:pStyle w:val="NAME"/>
        <w:rPr>
          <w:rtl/>
        </w:rPr>
        <w:sectPr w:rsidSect="005C13F8">
          <w:footerReference w:type="even" r:id="rId13"/>
          <w:footerReference w:type="default" r:id="rId14"/>
          <w:pgSz w:w="11906" w:h="16838" w:code="9"/>
          <w:pgMar w:top="3119" w:right="2268" w:bottom="2268" w:left="2268" w:header="1985" w:footer="709" w:gutter="0"/>
          <w:pgNumType w:start="5"/>
          <w:cols w:space="708"/>
          <w:titlePg/>
          <w:bidi/>
          <w:rtlGutter/>
          <w:docGrid w:linePitch="360"/>
        </w:sectPr>
      </w:pPr>
    </w:p>
    <w:p w:rsidR="0098364E" w:rsidRPr="00590929" w:rsidP="0098364E" w14:paraId="58B52CCE" w14:textId="77777777">
      <w:pPr>
        <w:spacing w:line="240" w:lineRule="exact"/>
        <w:jc w:val="both"/>
        <w:rPr>
          <w:rFonts w:ascii="Tahoma" w:hAnsi="Tahoma" w:cs="Tahoma"/>
          <w:sz w:val="17"/>
          <w:szCs w:val="18"/>
          <w:rtl/>
        </w:rPr>
      </w:pPr>
    </w:p>
    <w:p w:rsidR="0098364E" w:rsidRPr="0010599F" w:rsidP="0098364E" w14:paraId="3984BA72" w14:textId="77777777">
      <w:pPr>
        <w:spacing w:line="240" w:lineRule="exact"/>
        <w:jc w:val="both"/>
        <w:rPr>
          <w:rFonts w:ascii="Tahoma" w:hAnsi="Tahoma" w:cs="Tahoma"/>
          <w:sz w:val="17"/>
          <w:szCs w:val="17"/>
          <w:rtl/>
        </w:rPr>
        <w:sectPr w:rsidSect="00946475">
          <w:headerReference w:type="even" r:id="rId15"/>
          <w:headerReference w:type="default" r:id="rId16"/>
          <w:headerReference w:type="first" r:id="rId17"/>
          <w:pgSz w:w="11906" w:h="16838" w:code="9"/>
          <w:pgMar w:top="3119" w:right="2268" w:bottom="2268" w:left="2268" w:header="1871" w:footer="709" w:gutter="0"/>
          <w:cols w:space="708"/>
          <w:titlePg/>
          <w:bidi/>
          <w:rtlGutter/>
          <w:docGrid w:linePitch="360"/>
        </w:sectPr>
      </w:pPr>
    </w:p>
    <w:p w:rsidR="0098364E" w:rsidRPr="00A17423" w:rsidP="0098364E" w14:paraId="33F17890" w14:textId="77777777">
      <w:pPr>
        <w:pStyle w:val="KOT1N"/>
        <w:bidi/>
        <w:spacing w:after="360"/>
        <w:jc w:val="left"/>
        <w:rPr>
          <w:rtl/>
        </w:rPr>
      </w:pPr>
      <w:r>
        <w:rPr>
          <w:rFonts w:hint="cs"/>
          <w:rtl/>
        </w:rPr>
        <w:t>פתח דבר</w:t>
      </w:r>
    </w:p>
    <w:p w:rsidR="0098364E" w:rsidRPr="00A17423" w:rsidP="0098364E" w14:paraId="51AAFB49" w14:textId="77777777">
      <w:pPr>
        <w:spacing w:after="180" w:line="260" w:lineRule="exact"/>
        <w:jc w:val="both"/>
        <w:rPr>
          <w:rFonts w:ascii="Tahoma" w:hAnsi="Tahoma" w:cs="Tahoma"/>
          <w:sz w:val="18"/>
          <w:szCs w:val="18"/>
          <w:rtl/>
        </w:rPr>
      </w:pPr>
      <w:r w:rsidRPr="00A17423">
        <w:rPr>
          <w:rFonts w:ascii="Tahoma" w:hAnsi="Tahoma" w:cs="Tahoma"/>
          <w:sz w:val="18"/>
          <w:szCs w:val="18"/>
          <w:rtl/>
        </w:rPr>
        <w:t xml:space="preserve">דוח הביקורת השנתי 71ב הוא החלק השני בדין וחשבון השנתי של מבקר המדינה על תוצאות הביקורת על הגופים המבוקרים לשנת 2020. כרך זה יוחד לנושאים בתחום מערכת הביטחון, הפועלת לחיזוק ביטחונה של מדינת ישראל. להלן סקירת הנושאים הכלולים בו: </w:t>
      </w:r>
    </w:p>
    <w:p w:rsidR="0098364E" w:rsidRPr="00A17423" w:rsidP="0098364E" w14:paraId="27770A98" w14:textId="77777777">
      <w:pPr>
        <w:spacing w:after="180" w:line="260" w:lineRule="exact"/>
        <w:jc w:val="both"/>
        <w:rPr>
          <w:rFonts w:ascii="Tahoma" w:hAnsi="Tahoma" w:cs="Tahoma"/>
          <w:sz w:val="18"/>
          <w:szCs w:val="18"/>
          <w:rtl/>
        </w:rPr>
      </w:pPr>
      <w:r w:rsidRPr="00A17423">
        <w:rPr>
          <w:rFonts w:ascii="Tahoma" w:hAnsi="Tahoma" w:cs="Tahoma"/>
          <w:sz w:val="18"/>
          <w:szCs w:val="18"/>
          <w:rtl/>
        </w:rPr>
        <w:t>הביקורת בנושא</w:t>
      </w:r>
      <w:r w:rsidRPr="00A17423">
        <w:rPr>
          <w:rFonts w:ascii="Tahoma" w:hAnsi="Tahoma" w:cs="Tahoma"/>
          <w:b/>
          <w:bCs/>
          <w:sz w:val="18"/>
          <w:szCs w:val="18"/>
          <w:rtl/>
        </w:rPr>
        <w:t xml:space="preserve"> מעבר יחידות אגף המודיעין ואגף התקשוב לנגב </w:t>
      </w:r>
      <w:r w:rsidRPr="00A17423">
        <w:rPr>
          <w:rFonts w:ascii="Tahoma" w:hAnsi="Tahoma" w:cs="Tahoma"/>
          <w:sz w:val="18"/>
          <w:szCs w:val="18"/>
          <w:rtl/>
        </w:rPr>
        <w:t xml:space="preserve">העלתה כי המחלוקות וחוסר ההסכמה בין מערכת הביטחון למשרד האוצר ולמשרד התחבורה מהווים חסם להעברת יחידות אמ"ן ואגף התקשוב לנגב. נוכח העובדה שמעבר יחידות אלה לנגב הוא חלק ממהלך לאומי רחב היקף, המגלם בתוכו מפגש אינטרסים מדיני, ביטחוני וכלכלי, חשוב שהצדדים ישלימו גיבוש הסכמות, בסיוע </w:t>
      </w:r>
      <w:r w:rsidRPr="00A17423">
        <w:rPr>
          <w:rFonts w:ascii="Tahoma" w:hAnsi="Tahoma" w:cs="Tahoma"/>
          <w:sz w:val="18"/>
          <w:szCs w:val="18"/>
          <w:rtl/>
        </w:rPr>
        <w:t>המל"ל</w:t>
      </w:r>
      <w:r w:rsidRPr="00A17423">
        <w:rPr>
          <w:rFonts w:ascii="Tahoma" w:hAnsi="Tahoma" w:cs="Tahoma"/>
          <w:sz w:val="18"/>
          <w:szCs w:val="18"/>
          <w:rtl/>
        </w:rPr>
        <w:t>, וכן יקבלו החלטות על מימושן. כך תיסלל הדרך למעבר מוצלח של היחידות לנגב.</w:t>
      </w:r>
    </w:p>
    <w:p w:rsidR="0098364E" w:rsidRPr="00A17423" w:rsidP="0098364E" w14:paraId="1CDE325A" w14:textId="77777777">
      <w:pPr>
        <w:spacing w:after="180" w:line="260" w:lineRule="exact"/>
        <w:jc w:val="both"/>
        <w:rPr>
          <w:rFonts w:ascii="Tahoma" w:hAnsi="Tahoma" w:cs="Tahoma"/>
          <w:sz w:val="18"/>
          <w:szCs w:val="18"/>
          <w:rtl/>
        </w:rPr>
      </w:pPr>
      <w:r w:rsidRPr="00A17423">
        <w:rPr>
          <w:rFonts w:ascii="Tahoma" w:hAnsi="Tahoma" w:cs="Tahoma"/>
          <w:sz w:val="18"/>
          <w:szCs w:val="18"/>
          <w:rtl/>
        </w:rPr>
        <w:t>לצורך שמירת המוכנות והכשירות למלחמה או לפעילות מבצעית צה"ל סוגר שטחים ומשתמש בהם לאימון כוחותיו. בפרק העוסק ב</w:t>
      </w:r>
      <w:r w:rsidRPr="00A17423">
        <w:rPr>
          <w:rFonts w:ascii="Tahoma" w:hAnsi="Tahoma" w:cs="Tahoma"/>
          <w:b/>
          <w:bCs/>
          <w:sz w:val="18"/>
          <w:szCs w:val="18"/>
          <w:rtl/>
        </w:rPr>
        <w:t xml:space="preserve">שטחי האימונים של צה"ל ביבשה </w:t>
      </w:r>
      <w:r w:rsidRPr="00A17423">
        <w:rPr>
          <w:rFonts w:ascii="Tahoma" w:hAnsi="Tahoma" w:cs="Tahoma"/>
          <w:sz w:val="18"/>
          <w:szCs w:val="18"/>
          <w:rtl/>
        </w:rPr>
        <w:t xml:space="preserve">צוין כי שטחי האימונים הם שטחים סגורים הפרוסים על פני כשליש מקרקעות המדינה, וחלקם כוללים שמורות טבע, אתרי עתיקות ושטחים לחקלאות. נוכח מצוקת הקרקעות במדינה, קיים מתח מובנה בין הצרכים הלאומיים השונים, ובהם גם הצרכים הביטחוניים. עלה כי כ-73% משטחי האימונים שיועדו לגריעה עבור צרכים אזרחיים בשנת 2015 טרם נגרעו במועד סיום הביקורת. מומלץ כי המועצה הארצית לתכנון ולבנייה וצה"ל יבחנו במשותף את תהליכי סגירת שטחי האימונים על ידי צה"ל למול תהליכי תכנון ייעודי הקרקע על ידי </w:t>
      </w:r>
      <w:r w:rsidRPr="00A17423">
        <w:rPr>
          <w:rFonts w:ascii="Tahoma" w:hAnsi="Tahoma" w:cs="Tahoma"/>
          <w:sz w:val="18"/>
          <w:szCs w:val="18"/>
          <w:rtl/>
        </w:rPr>
        <w:t>מינהל</w:t>
      </w:r>
      <w:r w:rsidRPr="00A17423">
        <w:rPr>
          <w:rFonts w:ascii="Tahoma" w:hAnsi="Tahoma" w:cs="Tahoma"/>
          <w:sz w:val="18"/>
          <w:szCs w:val="18"/>
          <w:rtl/>
        </w:rPr>
        <w:t xml:space="preserve"> התכנון, יתאמו בין שני תהליכים אלה, המתקיימים היום במסגרת מערכות דינים נפרדות, וימליצו לממשלה בהתאם למסקנות הבחינה. זאת מתוך ראייה מערכתית וצופה פני עתיד הבוחנת את כלל צורכי הפיתוח הלאומיים, ובכללם הצרכים הביטחוניים. </w:t>
      </w:r>
    </w:p>
    <w:p w:rsidR="0098364E" w:rsidRPr="00A17423" w:rsidP="0098364E" w14:paraId="133E64F7" w14:textId="77777777">
      <w:pPr>
        <w:spacing w:after="180" w:line="260" w:lineRule="exact"/>
        <w:jc w:val="both"/>
        <w:rPr>
          <w:rFonts w:ascii="Tahoma" w:hAnsi="Tahoma" w:cs="Tahoma"/>
          <w:sz w:val="18"/>
          <w:szCs w:val="18"/>
          <w:rtl/>
        </w:rPr>
      </w:pPr>
      <w:r w:rsidRPr="00A17423">
        <w:rPr>
          <w:rFonts w:ascii="Tahoma" w:hAnsi="Tahoma" w:cs="Tahoma"/>
          <w:sz w:val="18"/>
          <w:szCs w:val="18"/>
          <w:rtl/>
        </w:rPr>
        <w:t>התעשייה האווירית לישראל בע"מ (</w:t>
      </w:r>
      <w:r w:rsidRPr="00A17423">
        <w:rPr>
          <w:rFonts w:ascii="Tahoma" w:hAnsi="Tahoma" w:cs="Tahoma"/>
          <w:sz w:val="18"/>
          <w:szCs w:val="18"/>
          <w:rtl/>
        </w:rPr>
        <w:t>התע"א</w:t>
      </w:r>
      <w:r w:rsidRPr="00A17423">
        <w:rPr>
          <w:rFonts w:ascii="Tahoma" w:hAnsi="Tahoma" w:cs="Tahoma"/>
          <w:sz w:val="18"/>
          <w:szCs w:val="18"/>
          <w:rtl/>
        </w:rPr>
        <w:t xml:space="preserve">) היא חברה ממשלתית, והיא אחת החברות הגדולות במשק הישראלי. בשנת 2019 הסתכמו מכירות </w:t>
      </w:r>
      <w:r w:rsidRPr="00A17423">
        <w:rPr>
          <w:rFonts w:ascii="Tahoma" w:hAnsi="Tahoma" w:cs="Tahoma"/>
          <w:sz w:val="18"/>
          <w:szCs w:val="18"/>
          <w:rtl/>
        </w:rPr>
        <w:t>התע"א</w:t>
      </w:r>
      <w:r w:rsidRPr="00A17423">
        <w:rPr>
          <w:rFonts w:ascii="Tahoma" w:hAnsi="Tahoma" w:cs="Tahoma"/>
          <w:sz w:val="18"/>
          <w:szCs w:val="18"/>
          <w:rtl/>
        </w:rPr>
        <w:t xml:space="preserve"> בכ-1.4 מיליארד דולר, ומספר עובדיה היה כ-15,000. מינואר 2017 עד ינואר 2019 מונו </w:t>
      </w:r>
      <w:r w:rsidRPr="00A17423">
        <w:rPr>
          <w:rFonts w:ascii="Tahoma" w:hAnsi="Tahoma" w:cs="Tahoma"/>
          <w:sz w:val="18"/>
          <w:szCs w:val="18"/>
          <w:rtl/>
        </w:rPr>
        <w:t>בתע"א</w:t>
      </w:r>
      <w:r w:rsidRPr="00A17423">
        <w:rPr>
          <w:rFonts w:ascii="Tahoma" w:hAnsi="Tahoma" w:cs="Tahoma"/>
          <w:sz w:val="18"/>
          <w:szCs w:val="18"/>
          <w:rtl/>
        </w:rPr>
        <w:t xml:space="preserve"> 29 מנהלים בכירים, ששיעורם כ-46% מהמנהלים הבכירים בחברה.</w:t>
      </w:r>
    </w:p>
    <w:p w:rsidR="0098364E" w:rsidRPr="00A17423" w:rsidP="0098364E" w14:paraId="5BB40908" w14:textId="77777777">
      <w:pPr>
        <w:spacing w:after="180" w:line="260" w:lineRule="exact"/>
        <w:jc w:val="both"/>
        <w:rPr>
          <w:rFonts w:ascii="Tahoma" w:hAnsi="Tahoma" w:cs="Tahoma"/>
          <w:sz w:val="18"/>
          <w:szCs w:val="18"/>
          <w:rtl/>
        </w:rPr>
      </w:pPr>
      <w:r w:rsidRPr="00A17423">
        <w:rPr>
          <w:rFonts w:ascii="Tahoma" w:hAnsi="Tahoma" w:cs="Tahoma"/>
          <w:sz w:val="18"/>
          <w:szCs w:val="18"/>
          <w:rtl/>
        </w:rPr>
        <w:t xml:space="preserve">ביקורת בנושא </w:t>
      </w:r>
      <w:r w:rsidRPr="00A17423">
        <w:rPr>
          <w:rFonts w:ascii="Tahoma" w:hAnsi="Tahoma" w:cs="Tahoma"/>
          <w:b/>
          <w:bCs/>
          <w:sz w:val="18"/>
          <w:szCs w:val="18"/>
          <w:rtl/>
        </w:rPr>
        <w:t>מינוי בכירים בתעשייה האווירית לישראל בע"מ</w:t>
      </w:r>
      <w:r w:rsidRPr="00A17423">
        <w:rPr>
          <w:rFonts w:ascii="Tahoma" w:hAnsi="Tahoma" w:cs="Tahoma"/>
          <w:sz w:val="18"/>
          <w:szCs w:val="18"/>
          <w:rtl/>
        </w:rPr>
        <w:t xml:space="preserve"> העלתה ליקויים הנוגעים להליכי האיתור והמינוי של מנהלים בכירים מסוימים, למינוי ממלאי מקום ומנהלים בפועל בחברה ולניוד רוחבי של מנהלים, כך שלא נשמרו עקרונות השוויון והתחרות בתחומים אלה באופן מלא. </w:t>
      </w:r>
      <w:r w:rsidRPr="00A17423">
        <w:rPr>
          <w:rFonts w:ascii="Tahoma" w:hAnsi="Tahoma" w:cs="Tahoma"/>
          <w:sz w:val="18"/>
          <w:szCs w:val="18"/>
          <w:rtl/>
        </w:rPr>
        <w:t>התע"א</w:t>
      </w:r>
      <w:r w:rsidRPr="00A17423">
        <w:rPr>
          <w:rFonts w:ascii="Tahoma" w:hAnsi="Tahoma" w:cs="Tahoma"/>
          <w:sz w:val="18"/>
          <w:szCs w:val="18"/>
          <w:rtl/>
        </w:rPr>
        <w:t xml:space="preserve"> היא חברה ממשלתית המחויבת להקפיד על נורמות של </w:t>
      </w:r>
      <w:r w:rsidRPr="00A17423">
        <w:rPr>
          <w:rFonts w:ascii="Tahoma" w:hAnsi="Tahoma" w:cs="Tahoma"/>
          <w:sz w:val="18"/>
          <w:szCs w:val="18"/>
          <w:rtl/>
        </w:rPr>
        <w:t>מינהל</w:t>
      </w:r>
      <w:r w:rsidRPr="00A17423">
        <w:rPr>
          <w:rFonts w:ascii="Tahoma" w:hAnsi="Tahoma" w:cs="Tahoma"/>
          <w:sz w:val="18"/>
          <w:szCs w:val="18"/>
          <w:rtl/>
        </w:rPr>
        <w:t xml:space="preserve"> תקין, שוויונית ותחרותיות, לרבות בכל הנוגע למינוי מנהליה הבכירים, כנדרש בדין. מן הראוי שההנהלה והדירקטוריון יפיקו את הלקחים הנדרשים ויפעלו למניעת ליקויים דומים בעתיד.</w:t>
      </w:r>
    </w:p>
    <w:p w:rsidR="0098364E" w:rsidRPr="00A17423" w:rsidP="0098364E" w14:paraId="24CB65AE" w14:textId="77777777">
      <w:pPr>
        <w:spacing w:after="180" w:line="260" w:lineRule="exact"/>
        <w:jc w:val="both"/>
        <w:rPr>
          <w:rFonts w:ascii="Tahoma" w:hAnsi="Tahoma" w:cs="Tahoma"/>
          <w:sz w:val="18"/>
          <w:szCs w:val="18"/>
          <w:rtl/>
        </w:rPr>
      </w:pPr>
      <w:r w:rsidRPr="00A17423">
        <w:rPr>
          <w:rFonts w:ascii="Tahoma" w:hAnsi="Tahoma" w:cs="Tahoma"/>
          <w:sz w:val="18"/>
          <w:szCs w:val="18"/>
          <w:rtl/>
        </w:rPr>
        <w:t>על פי מדיניות משרד מבקר המדינה, מושם דגש מיוחד על מעקב אחר תיקון ליקויים שהועלו בדוחות קודמים. כרך זה כולל שתי ביקורת מעקב כדלהלן:</w:t>
      </w:r>
    </w:p>
    <w:p w:rsidR="0098364E" w:rsidRPr="00A17423" w:rsidP="0098364E" w14:paraId="2A087BA9" w14:textId="77777777">
      <w:pPr>
        <w:spacing w:after="180" w:line="260" w:lineRule="exact"/>
        <w:jc w:val="both"/>
        <w:rPr>
          <w:rFonts w:ascii="Tahoma" w:hAnsi="Tahoma" w:cs="Tahoma"/>
          <w:sz w:val="18"/>
          <w:szCs w:val="18"/>
          <w:rtl/>
        </w:rPr>
      </w:pPr>
      <w:r w:rsidRPr="00A17423">
        <w:rPr>
          <w:rFonts w:ascii="Tahoma" w:hAnsi="Tahoma" w:cs="Tahoma"/>
          <w:sz w:val="18"/>
          <w:szCs w:val="18"/>
          <w:rtl/>
        </w:rPr>
        <w:t xml:space="preserve">בנובמבר 2017 פרסם משרד מבקר המדינה דוח מיוחד בנושא </w:t>
      </w:r>
      <w:r w:rsidRPr="00A17423">
        <w:rPr>
          <w:rFonts w:ascii="Tahoma" w:hAnsi="Tahoma" w:cs="Tahoma"/>
          <w:b/>
          <w:bCs/>
          <w:sz w:val="18"/>
          <w:szCs w:val="18"/>
          <w:rtl/>
        </w:rPr>
        <w:t xml:space="preserve">ההיערכות הלאומית להגנה מפני איום </w:t>
      </w:r>
      <w:r w:rsidRPr="00A17423">
        <w:rPr>
          <w:rFonts w:ascii="Tahoma" w:hAnsi="Tahoma" w:cs="Tahoma"/>
          <w:b/>
          <w:bCs/>
          <w:sz w:val="18"/>
          <w:szCs w:val="18"/>
          <w:rtl/>
        </w:rPr>
        <w:t>הרחפנים</w:t>
      </w:r>
      <w:r w:rsidRPr="00A17423">
        <w:rPr>
          <w:rFonts w:ascii="Tahoma" w:hAnsi="Tahoma" w:cs="Tahoma"/>
          <w:sz w:val="18"/>
          <w:szCs w:val="18"/>
          <w:rtl/>
        </w:rPr>
        <w:t xml:space="preserve"> ומאוקטובר 2019 עד יוני 2020 בוצעה ביקורת מעקב מורחבת בנושא. ההערכה היא שביולי 2020 היו בישראל 30,000 </w:t>
      </w:r>
      <w:r w:rsidRPr="00A17423">
        <w:rPr>
          <w:rFonts w:ascii="Tahoma" w:hAnsi="Tahoma" w:cs="Tahoma"/>
          <w:sz w:val="18"/>
          <w:szCs w:val="18"/>
          <w:rtl/>
        </w:rPr>
        <w:t>רחפנים</w:t>
      </w:r>
      <w:r w:rsidRPr="00A17423">
        <w:rPr>
          <w:rFonts w:ascii="Tahoma" w:hAnsi="Tahoma" w:cs="Tahoma"/>
          <w:sz w:val="18"/>
          <w:szCs w:val="18"/>
          <w:rtl/>
        </w:rPr>
        <w:t xml:space="preserve">. בביקורת נמצא כי הגופים שנבדקו טרם השלימו את היערכותם המבצעית להתמודדות עם איום זה ואת הסדרת גבולות הגזרה </w:t>
      </w:r>
      <w:r w:rsidRPr="00A17423">
        <w:rPr>
          <w:rFonts w:ascii="Tahoma" w:hAnsi="Tahoma" w:cs="Tahoma"/>
          <w:sz w:val="18"/>
          <w:szCs w:val="18"/>
          <w:rtl/>
        </w:rPr>
        <w:t xml:space="preserve">ביניהם. על הגופים לפעול להשלמת היערכותם להתמודדות עם איום </w:t>
      </w:r>
      <w:r w:rsidRPr="00A17423">
        <w:rPr>
          <w:rFonts w:ascii="Tahoma" w:hAnsi="Tahoma" w:cs="Tahoma"/>
          <w:sz w:val="18"/>
          <w:szCs w:val="18"/>
          <w:rtl/>
        </w:rPr>
        <w:t>הרחפנים</w:t>
      </w:r>
      <w:r w:rsidRPr="00A17423">
        <w:rPr>
          <w:rFonts w:ascii="Tahoma" w:hAnsi="Tahoma" w:cs="Tahoma"/>
          <w:sz w:val="18"/>
          <w:szCs w:val="18"/>
          <w:rtl/>
        </w:rPr>
        <w:t xml:space="preserve"> בכלל ההיבטים בתוך פרק זמן קצר ובאופן המיטבי. </w:t>
      </w:r>
    </w:p>
    <w:p w:rsidR="0098364E" w:rsidRPr="00A17423" w:rsidP="0098364E" w14:paraId="227CC5C2" w14:textId="77777777">
      <w:pPr>
        <w:spacing w:after="180" w:line="260" w:lineRule="exact"/>
        <w:jc w:val="both"/>
        <w:rPr>
          <w:rFonts w:ascii="Tahoma" w:hAnsi="Tahoma" w:cs="Tahoma"/>
          <w:sz w:val="18"/>
          <w:szCs w:val="18"/>
          <w:rtl/>
        </w:rPr>
      </w:pPr>
      <w:r w:rsidRPr="00A17423">
        <w:rPr>
          <w:rFonts w:ascii="Tahoma" w:hAnsi="Tahoma" w:cs="Tahoma"/>
          <w:sz w:val="18"/>
          <w:szCs w:val="18"/>
          <w:rtl/>
        </w:rPr>
        <w:t xml:space="preserve">יצוין כי לצד האיומים הנובעים מהשימוש </w:t>
      </w:r>
      <w:r w:rsidRPr="00A17423">
        <w:rPr>
          <w:rFonts w:ascii="Tahoma" w:hAnsi="Tahoma" w:cs="Tahoma"/>
          <w:sz w:val="18"/>
          <w:szCs w:val="18"/>
          <w:rtl/>
        </w:rPr>
        <w:t>ברחפנים</w:t>
      </w:r>
      <w:r w:rsidRPr="00A17423">
        <w:rPr>
          <w:rFonts w:ascii="Tahoma" w:hAnsi="Tahoma" w:cs="Tahoma"/>
          <w:sz w:val="18"/>
          <w:szCs w:val="18"/>
          <w:rtl/>
        </w:rPr>
        <w:t xml:space="preserve">, יש בשימוש בהם כדי לתרום לפיתוח התחבורה וכלכלת המדינה בתחומים רבים. הסדרת פעילותם של </w:t>
      </w:r>
      <w:r w:rsidRPr="00A17423">
        <w:rPr>
          <w:rFonts w:ascii="Tahoma" w:hAnsi="Tahoma" w:cs="Tahoma"/>
          <w:sz w:val="18"/>
          <w:szCs w:val="18"/>
          <w:rtl/>
        </w:rPr>
        <w:t>רחפנים</w:t>
      </w:r>
      <w:r w:rsidRPr="00A17423">
        <w:rPr>
          <w:rFonts w:ascii="Tahoma" w:hAnsi="Tahoma" w:cs="Tahoma"/>
          <w:sz w:val="18"/>
          <w:szCs w:val="18"/>
          <w:rtl/>
        </w:rPr>
        <w:t xml:space="preserve"> במרחב האווירי של מדינת ישראל חיונית למיצוי התועלות שאפשר להפיק מהם.</w:t>
      </w:r>
    </w:p>
    <w:p w:rsidR="0098364E" w:rsidRPr="00A17423" w:rsidP="0098364E" w14:paraId="27BB6245" w14:textId="77777777">
      <w:pPr>
        <w:spacing w:after="180" w:line="260" w:lineRule="exact"/>
        <w:jc w:val="both"/>
        <w:rPr>
          <w:rFonts w:ascii="Tahoma" w:hAnsi="Tahoma" w:cs="Tahoma"/>
          <w:sz w:val="18"/>
          <w:szCs w:val="18"/>
          <w:rtl/>
        </w:rPr>
      </w:pPr>
      <w:r w:rsidRPr="00A17423">
        <w:rPr>
          <w:rFonts w:ascii="Tahoma" w:hAnsi="Tahoma" w:cs="Tahoma"/>
          <w:sz w:val="18"/>
          <w:szCs w:val="18"/>
          <w:rtl/>
        </w:rPr>
        <w:t xml:space="preserve">במאי 2017 פורסם דוח בנושא </w:t>
      </w:r>
      <w:r w:rsidRPr="00A17423">
        <w:rPr>
          <w:rFonts w:ascii="Tahoma" w:hAnsi="Tahoma" w:cs="Tahoma"/>
          <w:b/>
          <w:bCs/>
          <w:sz w:val="18"/>
          <w:szCs w:val="18"/>
          <w:rtl/>
        </w:rPr>
        <w:t>מערך בריאות הנפש בצה"ל</w:t>
      </w:r>
      <w:r w:rsidRPr="00A17423">
        <w:rPr>
          <w:rFonts w:ascii="Tahoma" w:hAnsi="Tahoma" w:cs="Tahoma"/>
          <w:sz w:val="18"/>
          <w:szCs w:val="18"/>
          <w:rtl/>
        </w:rPr>
        <w:t xml:space="preserve">. בחודשים נובמבר 2019 עד מאי 2020 בוצעה ביקורת מעקב על אופן תיקון הליקויים שעלו בביקורת הקודמת. </w:t>
      </w:r>
    </w:p>
    <w:p w:rsidR="0098364E" w:rsidRPr="00A17423" w:rsidP="0098364E" w14:paraId="5AB5ACC8" w14:textId="77777777">
      <w:pPr>
        <w:spacing w:after="180" w:line="260" w:lineRule="exact"/>
        <w:jc w:val="both"/>
        <w:rPr>
          <w:rFonts w:ascii="Tahoma" w:hAnsi="Tahoma" w:cs="Tahoma"/>
          <w:sz w:val="18"/>
          <w:szCs w:val="18"/>
          <w:rtl/>
        </w:rPr>
      </w:pPr>
      <w:r w:rsidRPr="00A17423">
        <w:rPr>
          <w:rFonts w:ascii="Tahoma" w:hAnsi="Tahoma" w:cs="Tahoma"/>
          <w:sz w:val="18"/>
          <w:szCs w:val="18"/>
          <w:rtl/>
        </w:rPr>
        <w:t>שירותי בריאות הנפש הם נדבך בסיסי וחשוב בכלל שירותי הרפואה בצה"ל. לאיכותם ולזמינותם משמעות ערכית ממדרגה ראשונה, כיוון שהם נועדו להבטיח את בריאותם הנפשית ואת חוסנם הנפשי של חיילי צה"ל. לכן על צה"ל להתמקד בתחומים הטעונים שיפור כפי שעלו בפרק זה, וכן לתת תשומת לב מיוחדת לתופעה של עלייה בשיעורי הפטור משירות צבאי על רקע נפשי של המיועדים לשירות ביטחון, תופעה בעלת השפעות לאומיות ואסטרטגיות משום השפעתה על בניין הכוח של צה"ל.</w:t>
      </w:r>
    </w:p>
    <w:p w:rsidR="0098364E" w:rsidRPr="00A17423" w:rsidP="0098364E" w14:paraId="06B26BF2" w14:textId="77777777">
      <w:pPr>
        <w:widowControl w:val="0"/>
        <w:spacing w:after="180" w:line="260" w:lineRule="exact"/>
        <w:jc w:val="both"/>
        <w:rPr>
          <w:rFonts w:ascii="Tahoma" w:eastAsia="Times New Roman" w:hAnsi="Tahoma" w:cs="Tahoma"/>
          <w:b/>
          <w:bCs/>
          <w:sz w:val="18"/>
          <w:szCs w:val="18"/>
          <w:rtl/>
          <w:lang w:eastAsia="he-IL"/>
        </w:rPr>
      </w:pPr>
      <w:r w:rsidRPr="00A17423">
        <w:rPr>
          <w:rFonts w:ascii="Tahoma" w:eastAsia="Calibri" w:hAnsi="Tahoma" w:cs="Tahoma"/>
          <w:b/>
          <w:bCs/>
          <w:sz w:val="18"/>
          <w:szCs w:val="18"/>
          <w:rtl/>
        </w:rPr>
        <w:t xml:space="preserve">דוח זה הוכן על ידי החטיבה לביקורת מערכת הביטחון במשרד מבקר המדינה, </w:t>
      </w:r>
      <w:r w:rsidRPr="00A17423">
        <w:rPr>
          <w:rFonts w:ascii="Tahoma" w:eastAsia="Times New Roman" w:hAnsi="Tahoma" w:cs="Tahoma"/>
          <w:b/>
          <w:bCs/>
          <w:sz w:val="18"/>
          <w:szCs w:val="18"/>
          <w:rtl/>
          <w:lang w:eastAsia="he-IL"/>
        </w:rPr>
        <w:t xml:space="preserve">ותודתי נתונה לעובדי החטיבה וכן לשאר עובדי המשרד שהיו מעורבים בהכנתו. מלאכת הביקורת, בימים אלה של מגפת הקורונה, הייתה מורכבת ומאתגרת ונעשתה, כרגיל, באופן מקצועי וענייני, יסודי ואובייקטיבי. </w:t>
      </w:r>
    </w:p>
    <w:p w:rsidR="0098364E" w:rsidRPr="00A17423" w:rsidP="0098364E" w14:paraId="05E3DCFD" w14:textId="77777777">
      <w:pPr>
        <w:spacing w:after="180" w:line="260" w:lineRule="exact"/>
        <w:jc w:val="both"/>
        <w:rPr>
          <w:rFonts w:ascii="Tahoma" w:hAnsi="Tahoma" w:cs="Tahoma"/>
          <w:sz w:val="18"/>
          <w:szCs w:val="18"/>
        </w:rPr>
      </w:pPr>
      <w:r w:rsidRPr="00A17423">
        <w:rPr>
          <w:rFonts w:ascii="Tahoma" w:hAnsi="Tahoma" w:cs="Tahoma"/>
          <w:sz w:val="18"/>
          <w:szCs w:val="18"/>
          <w:rtl/>
        </w:rPr>
        <w:t>על הגופים המבוקרים לפעול לתיקון הליקויים שטרם תוקנו, כפי חובתם בחוק. משרד מבקר המדינה ימשיך לעקוב אחר תיקון הליקויים ולוודא שהתיקונים נעשים.</w:t>
      </w:r>
    </w:p>
    <w:p w:rsidR="0098364E" w:rsidRPr="00A17423" w:rsidP="0098364E" w14:paraId="11A1809F" w14:textId="77777777">
      <w:pPr>
        <w:spacing w:after="180" w:line="260" w:lineRule="exact"/>
        <w:jc w:val="both"/>
        <w:rPr>
          <w:rFonts w:ascii="Tahoma" w:hAnsi="Tahoma" w:cs="Tahoma"/>
          <w:sz w:val="18"/>
          <w:szCs w:val="18"/>
          <w:rtl/>
        </w:rPr>
      </w:pPr>
      <w:r w:rsidRPr="00A17423">
        <w:rPr>
          <w:rFonts w:ascii="Tahoma" w:hAnsi="Tahoma" w:cs="Tahoma"/>
          <w:sz w:val="18"/>
          <w:szCs w:val="18"/>
          <w:rtl/>
        </w:rPr>
        <w:t>אני מאחל לכולנו חזרה לשגרת החיים במהרה.</w:t>
      </w:r>
    </w:p>
    <w:p w:rsidR="0098364E" w:rsidP="0098364E" w14:paraId="7BD01BC4" w14:textId="77777777">
      <w:pPr>
        <w:tabs>
          <w:tab w:val="left" w:pos="424"/>
        </w:tabs>
        <w:spacing w:after="180" w:line="260" w:lineRule="exact"/>
        <w:jc w:val="both"/>
        <w:rPr>
          <w:rFonts w:ascii="Tahoma" w:hAnsi="Tahoma" w:cs="Tahoma"/>
          <w:color w:val="0D0D0D" w:themeColor="text1" w:themeTint="F2"/>
          <w:sz w:val="18"/>
          <w:szCs w:val="18"/>
          <w:rtl/>
        </w:rPr>
      </w:pPr>
    </w:p>
    <w:p w:rsidR="0098364E" w:rsidP="0098364E" w14:paraId="79C61D65" w14:textId="77777777">
      <w:pPr>
        <w:pStyle w:val="CommentText"/>
        <w:spacing w:after="180" w:line="312" w:lineRule="auto"/>
        <w:rPr>
          <w:rFonts w:ascii="Tahoma" w:hAnsi="Tahoma" w:cs="Tahoma"/>
          <w:rtl/>
        </w:rPr>
      </w:pPr>
    </w:p>
    <w:p w:rsidR="0098364E" w:rsidRPr="00D70CA7" w:rsidP="0098364E" w14:paraId="40629ACF" w14:textId="77777777">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16992"/>
            <wp:effectExtent l="0" t="0" r="2540" b="6985"/>
            <wp:docPr id="4"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30391" name="חתימת מבקר עברית כחול.jp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rsidR="0098364E" w:rsidRPr="00D70CA7" w:rsidP="0098364E" w14:paraId="21D9DF6D" w14:textId="77777777">
      <w:pPr>
        <w:widowControl w:val="0"/>
        <w:spacing w:line="280" w:lineRule="exact"/>
        <w:ind w:left="3402"/>
        <w:jc w:val="center"/>
        <w:rPr>
          <w:rFonts w:ascii="Tahoma" w:hAnsi="Tahoma" w:cs="Tahoma"/>
          <w:b/>
          <w:bCs/>
          <w:sz w:val="18"/>
          <w:szCs w:val="18"/>
          <w:rtl/>
          <w:lang w:eastAsia="he-IL"/>
        </w:rPr>
      </w:pPr>
      <w:r>
        <w:rPr>
          <w:rFonts w:ascii="Tahoma" w:hAnsi="Tahoma" w:cs="Tahoma" w:hint="cs"/>
          <w:b/>
          <w:bCs/>
          <w:sz w:val="18"/>
          <w:szCs w:val="18"/>
          <w:rtl/>
          <w:lang w:eastAsia="he-IL"/>
        </w:rPr>
        <w:t>מתניהו אנגלמן</w:t>
      </w:r>
    </w:p>
    <w:p w:rsidR="0098364E" w:rsidRPr="00D70CA7" w:rsidP="0098364E" w14:paraId="3E5D2579" w14:textId="77777777">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מבקר המדינה</w:t>
      </w:r>
    </w:p>
    <w:p w:rsidR="0098364E" w:rsidRPr="00D70CA7" w:rsidP="0098364E" w14:paraId="16737ABC" w14:textId="77777777">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ונציב תלונות הציבור</w:t>
      </w:r>
    </w:p>
    <w:p w:rsidR="0098364E" w:rsidRPr="005D13B4" w:rsidP="0098364E" w14:paraId="673847B9" w14:textId="77777777">
      <w:pPr>
        <w:tabs>
          <w:tab w:val="left" w:pos="898"/>
        </w:tabs>
        <w:spacing w:line="280" w:lineRule="exact"/>
        <w:rPr>
          <w:rFonts w:ascii="Tahoma" w:hAnsi="Tahoma" w:cs="Tahoma"/>
          <w:sz w:val="18"/>
          <w:szCs w:val="18"/>
          <w:rtl/>
        </w:rPr>
      </w:pPr>
      <w:r w:rsidRPr="005D13B4">
        <w:rPr>
          <w:rFonts w:ascii="Tahoma" w:hAnsi="Tahoma" w:cs="Tahoma" w:hint="cs"/>
          <w:sz w:val="18"/>
          <w:szCs w:val="18"/>
          <w:rtl/>
        </w:rPr>
        <w:t xml:space="preserve">ירושלים, </w:t>
      </w:r>
      <w:r>
        <w:rPr>
          <w:rFonts w:ascii="Tahoma" w:hAnsi="Tahoma" w:cs="Tahoma" w:hint="cs"/>
          <w:sz w:val="18"/>
          <w:szCs w:val="18"/>
          <w:rtl/>
        </w:rPr>
        <w:t>ניסן</w:t>
      </w:r>
      <w:r w:rsidRPr="005D13B4">
        <w:rPr>
          <w:rFonts w:ascii="Tahoma" w:hAnsi="Tahoma" w:cs="Tahoma" w:hint="cs"/>
          <w:sz w:val="18"/>
          <w:szCs w:val="18"/>
          <w:rtl/>
        </w:rPr>
        <w:t xml:space="preserve"> </w:t>
      </w:r>
      <w:r w:rsidRPr="005D13B4">
        <w:rPr>
          <w:rFonts w:ascii="Tahoma" w:hAnsi="Tahoma" w:cs="Tahoma" w:hint="cs"/>
          <w:sz w:val="18"/>
          <w:szCs w:val="18"/>
          <w:rtl/>
        </w:rPr>
        <w:t>התש</w:t>
      </w:r>
      <w:r>
        <w:rPr>
          <w:rFonts w:ascii="Tahoma" w:hAnsi="Tahoma" w:cs="Tahoma" w:hint="cs"/>
          <w:sz w:val="18"/>
          <w:szCs w:val="18"/>
          <w:rtl/>
        </w:rPr>
        <w:t>פ"א</w:t>
      </w:r>
    </w:p>
    <w:p w:rsidR="0098364E" w:rsidRPr="005D13B4" w:rsidP="0098364E" w14:paraId="752484B5" w14:textId="77777777">
      <w:pPr>
        <w:tabs>
          <w:tab w:val="left" w:pos="898"/>
        </w:tabs>
        <w:spacing w:line="280" w:lineRule="exact"/>
        <w:rPr>
          <w:rFonts w:ascii="Tahoma" w:hAnsi="Tahoma" w:cs="Tahoma"/>
          <w:sz w:val="18"/>
          <w:szCs w:val="18"/>
        </w:rPr>
      </w:pPr>
      <w:r w:rsidRPr="005D13B4">
        <w:rPr>
          <w:rFonts w:ascii="Tahoma" w:hAnsi="Tahoma" w:cs="Tahoma" w:hint="cs"/>
          <w:sz w:val="18"/>
          <w:szCs w:val="18"/>
          <w:rtl/>
        </w:rPr>
        <w:tab/>
      </w:r>
      <w:r>
        <w:rPr>
          <w:rFonts w:ascii="Tahoma" w:hAnsi="Tahoma" w:cs="Tahoma" w:hint="cs"/>
          <w:sz w:val="18"/>
          <w:szCs w:val="18"/>
          <w:rtl/>
        </w:rPr>
        <w:t>אפריל</w:t>
      </w:r>
      <w:r w:rsidRPr="005D13B4">
        <w:rPr>
          <w:rFonts w:ascii="Tahoma" w:hAnsi="Tahoma" w:cs="Tahoma" w:hint="cs"/>
          <w:sz w:val="18"/>
          <w:szCs w:val="18"/>
          <w:rtl/>
        </w:rPr>
        <w:t xml:space="preserve"> 202</w:t>
      </w:r>
      <w:r>
        <w:rPr>
          <w:rFonts w:ascii="Tahoma" w:hAnsi="Tahoma" w:cs="Tahoma" w:hint="cs"/>
          <w:sz w:val="18"/>
          <w:szCs w:val="18"/>
          <w:rtl/>
        </w:rPr>
        <w:t>1</w:t>
      </w:r>
    </w:p>
    <w:sectPr w:rsidSect="00DA784E">
      <w:headerReference w:type="even" r:id="rId19"/>
      <w:headerReference w:type="default" r:id="rId20"/>
      <w:pgSz w:w="11906" w:h="16838" w:code="9"/>
      <w:pgMar w:top="2892" w:right="2268" w:bottom="2438" w:left="2268" w:header="1871" w:footer="192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50A" w:rsidRPr="009507DB" w:rsidP="0023014C" w14:paraId="6406DC59" w14:textId="4BF36E61">
    <w:pPr>
      <w:pStyle w:val="Footer"/>
      <w:tabs>
        <w:tab w:val="center" w:pos="-284"/>
        <w:tab w:val="right" w:pos="0"/>
        <w:tab w:val="clear" w:pos="4320"/>
        <w:tab w:val="clear" w:pos="8640"/>
      </w:tabs>
      <w:ind w:left="-1191" w:right="7314"/>
      <w:jc w:val="right"/>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sidR="00E306E0">
      <w:rPr>
        <w:rFonts w:ascii="Tahoma" w:hAnsi="Tahoma" w:cs="Tahoma"/>
        <w:noProof/>
        <w:color w:val="231F20"/>
        <w:sz w:val="18"/>
        <w:szCs w:val="18"/>
        <w:rtl/>
      </w:rPr>
      <w:t>16</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8F2" w:rsidRPr="009507DB" w:rsidP="007C2833" w14:paraId="18B2E58D" w14:textId="09067125">
    <w:pPr>
      <w:pStyle w:val="Footer"/>
      <w:tabs>
        <w:tab w:val="clear" w:pos="4320"/>
        <w:tab w:val="center" w:pos="7654"/>
        <w:tab w:val="right" w:pos="7937"/>
        <w:tab w:val="clear" w:pos="8640"/>
      </w:tabs>
      <w:ind w:left="7343" w:right="-1247"/>
      <w:rPr>
        <w:rFonts w:ascii="Tahoma" w:hAnsi="Tahoma" w:cs="Tahoma"/>
        <w:sz w:val="18"/>
        <w:szCs w:val="18"/>
      </w:rPr>
    </w:pPr>
    <w:r w:rsidRPr="009507DB">
      <w:rPr>
        <w:rFonts w:ascii="Tahoma" w:hAnsi="Tahoma" w:cs="Tahoma"/>
        <w:sz w:val="18"/>
        <w:szCs w:val="18"/>
        <w:rtl/>
      </w:rPr>
      <w:t xml:space="preserve">| </w:t>
    </w:r>
    <w:r w:rsidR="008E1EBA">
      <w:rPr>
        <w:rFonts w:ascii="Tahoma" w:hAnsi="Tahoma" w:cs="Tahoma" w:hint="cs"/>
        <w:sz w:val="18"/>
        <w:szCs w:val="18"/>
        <w:rtl/>
      </w:rPr>
      <w:t xml:space="preserve"> </w:t>
    </w:r>
    <w:r w:rsidR="00975710">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sidR="00E306E0">
      <w:rPr>
        <w:rFonts w:ascii="Tahoma" w:hAnsi="Tahoma" w:cs="Tahoma"/>
        <w:noProof/>
        <w:color w:val="231F20"/>
        <w:sz w:val="18"/>
        <w:szCs w:val="18"/>
        <w:rtl/>
      </w:rPr>
      <w:t>17</w:t>
    </w:r>
    <w:r w:rsidRPr="009507DB">
      <w:rPr>
        <w:rFonts w:ascii="Tahoma" w:hAnsi="Tahoma" w:cs="Tahoma"/>
        <w:noProof/>
        <w:color w:val="231F20"/>
        <w:sz w:val="18"/>
        <w:szCs w:val="18"/>
      </w:rPr>
      <w:fldChar w:fldCharType="end"/>
    </w:r>
    <w:r w:rsidR="00975710">
      <w:rPr>
        <w:rFonts w:ascii="Tahoma" w:hAnsi="Tahoma" w:cs="Tahoma" w:hint="cs"/>
        <w:noProof/>
        <w:color w:val="231F20"/>
        <w:sz w:val="18"/>
        <w:szCs w:val="18"/>
        <w:rtl/>
      </w:rPr>
      <w:t xml:space="preserve"> </w:t>
    </w:r>
    <w:r w:rsidR="008E1EBA">
      <w:rPr>
        <w:rFonts w:ascii="Tahoma" w:hAnsi="Tahoma" w:cs="Tahoma" w:hint="cs"/>
        <w:noProof/>
        <w:color w:val="231F20"/>
        <w:sz w:val="18"/>
        <w:szCs w:val="18"/>
        <w:rtl/>
      </w:rPr>
      <w:t xml:space="preserve"> </w:t>
    </w:r>
    <w:r w:rsidR="00975710">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64E" w:rsidRPr="009507DB" w:rsidP="0023014C" w14:paraId="4A868C21" w14:textId="77777777">
    <w:pPr>
      <w:pStyle w:val="Footer"/>
      <w:tabs>
        <w:tab w:val="center" w:pos="-284"/>
        <w:tab w:val="right" w:pos="0"/>
        <w:tab w:val="clear" w:pos="4320"/>
        <w:tab w:val="clear" w:pos="8640"/>
      </w:tabs>
      <w:ind w:left="-1191" w:right="7314"/>
      <w:jc w:val="right"/>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16</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64E" w:rsidRPr="009507DB" w:rsidP="007C2833" w14:paraId="623B1C62" w14:textId="77777777">
    <w:pPr>
      <w:pStyle w:val="Footer"/>
      <w:tabs>
        <w:tab w:val="clear" w:pos="4320"/>
        <w:tab w:val="center" w:pos="7654"/>
        <w:tab w:val="right" w:pos="7937"/>
        <w:tab w:val="clear" w:pos="8640"/>
      </w:tabs>
      <w:ind w:left="7343" w:right="-1247"/>
      <w:rPr>
        <w:rFonts w:ascii="Tahoma" w:hAnsi="Tahoma" w:cs="Tahoma"/>
        <w:sz w:val="18"/>
        <w:szCs w:val="18"/>
      </w:rPr>
    </w:pPr>
    <w:r w:rsidRPr="009507DB">
      <w:rPr>
        <w:rFonts w:ascii="Tahoma" w:hAnsi="Tahoma" w:cs="Tahoma"/>
        <w:sz w:val="18"/>
        <w:szCs w:val="18"/>
        <w:rtl/>
      </w:rPr>
      <w:t xml:space="preserve">| </w:t>
    </w:r>
    <w:r>
      <w:rPr>
        <w:rFonts w:ascii="Tahoma" w:hAnsi="Tahoma" w:cs="Tahoma" w:hint="cs"/>
        <w:sz w:val="18"/>
        <w:szCs w:val="18"/>
        <w:rtl/>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Pr="009507DB">
      <w:rPr>
        <w:rFonts w:ascii="Tahoma" w:hAnsi="Tahoma" w:cs="Tahoma"/>
        <w:noProof/>
        <w:color w:val="231F20"/>
        <w:sz w:val="18"/>
        <w:szCs w:val="18"/>
        <w:rtl/>
      </w:rPr>
      <w:t>17</w:t>
    </w:r>
    <w:r w:rsidRPr="009507DB">
      <w:rPr>
        <w:rFonts w:ascii="Tahoma" w:hAnsi="Tahoma" w:cs="Tahoma"/>
        <w:noProof/>
        <w:color w:val="231F20"/>
        <w:sz w:val="18"/>
        <w:szCs w:val="18"/>
      </w:rPr>
      <w:fldChar w:fldCharType="end"/>
    </w:r>
    <w:r>
      <w:rPr>
        <w:rFonts w:ascii="Tahoma" w:hAnsi="Tahoma" w:cs="Tahoma" w:hint="cs"/>
        <w:noProof/>
        <w:color w:val="231F20"/>
        <w:sz w:val="18"/>
        <w:szCs w:val="18"/>
        <w:rtl/>
      </w:rPr>
      <w:t xml:space="preserve">   </w:t>
    </w:r>
    <w:r w:rsidRPr="009507DB">
      <w:rPr>
        <w:rFonts w:ascii="Tahoma" w:hAnsi="Tahoma" w:cs="Tahoma"/>
        <w:sz w:val="18"/>
        <w:szCs w:val="18"/>
        <w:rtl/>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10C" w:rsidP="00D5710C" w14:paraId="33687F4F" w14:textId="4A0C13BD">
    <w:pPr>
      <w:pStyle w:val="Header"/>
      <w:tabs>
        <w:tab w:val="left" w:pos="510"/>
        <w:tab w:val="clear" w:pos="4320"/>
        <w:tab w:val="clear" w:pos="8640"/>
      </w:tabs>
      <w:spacing w:before="120" w:line="240" w:lineRule="atLeast"/>
    </w:pPr>
    <w:r>
      <w:rPr>
        <w:noProof/>
      </w:rPr>
      <w:drawing>
        <wp:anchor distT="0" distB="0" distL="114300" distR="114300" simplePos="0" relativeHeight="251659264" behindDoc="1" locked="0" layoutInCell="1" allowOverlap="1">
          <wp:simplePos x="0" y="0"/>
          <wp:positionH relativeFrom="column">
            <wp:posOffset>4424680</wp:posOffset>
          </wp:positionH>
          <wp:positionV relativeFrom="paragraph">
            <wp:posOffset>0</wp:posOffset>
          </wp:positionV>
          <wp:extent cx="255600" cy="313200"/>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60203" name="Picture 659"/>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55600" cy="3132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002060"/>
        <w:sz w:val="18"/>
        <w:szCs w:val="18"/>
        <w:rtl/>
      </w:rPr>
      <w:tab/>
    </w:r>
    <w:r>
      <w:rPr>
        <w:rFonts w:ascii="Tahoma" w:hAnsi="Tahoma" w:cs="Tahoma" w:hint="cs"/>
        <w:color w:val="002060"/>
        <w:sz w:val="18"/>
        <w:szCs w:val="18"/>
        <w:rtl/>
      </w:rPr>
      <w:t>דבר המבקר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7F1A39" w14:paraId="78803356" w14:textId="7777777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שם הגוף המבוקר</w:t>
    </w:r>
    <w:r w:rsidR="00767790">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hint="cs"/>
        <w:noProof/>
        <w:color w:val="0B5294" w:themeColor="accent1" w:themeShade="BF"/>
        <w:sz w:val="16"/>
        <w:szCs w:val="16"/>
        <w:rtl/>
      </w:rPr>
      <w:t>|</w:t>
    </w:r>
    <w:r w:rsidR="00767790">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3323CD">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890ED9" w:rsidP="00890ED9" w14:paraId="1B77DE4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179F" w:rsidRPr="007C237A" w:rsidP="00F1179F" w14:paraId="09FF0B4E" w14:textId="77777777">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49200" cy="10670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683604" name="Picture 1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דוח 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64E" w:rsidP="008F6112" w14:paraId="35E4FB0E" w14:textId="77777777">
    <w:pPr>
      <w:pStyle w:val="Header"/>
      <w:spacing w:before="240" w:after="180"/>
      <w:ind w:left="510"/>
      <w:rPr>
        <w:rFonts w:ascii="Tahoma" w:hAnsi="Tahoma" w:eastAsiaTheme="majorEastAsia" w:cs="Tahoma"/>
        <w:noProof/>
        <w:color w:val="0D0D0D" w:themeColor="text1" w:themeTint="F2"/>
        <w:sz w:val="16"/>
        <w:szCs w:val="16"/>
        <w:rtl/>
      </w:rPr>
    </w:pPr>
    <w:r>
      <w:rPr>
        <w:rFonts w:ascii="Tahoma" w:hAnsi="Tahoma" w:eastAsiaTheme="majorEastAsia" w:cs="Tahoma" w:hint="eastAsia"/>
        <w:noProof/>
        <w:color w:val="0D0D0D" w:themeColor="text1" w:themeTint="F2"/>
        <w:sz w:val="16"/>
        <w:szCs w:val="16"/>
        <w:rtl/>
        <w:lang w:val="he-IL"/>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49200" cy="1067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869756" name="Picture 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eastAsiaTheme="majorEastAsia" w:cs="Tahoma" w:hint="cs"/>
        <w:noProof/>
        <w:color w:val="0D0D0D" w:themeColor="text1" w:themeTint="F2"/>
        <w:sz w:val="16"/>
        <w:szCs w:val="16"/>
        <w:rtl/>
        <w:lang w:val="he-IL"/>
      </w:rPr>
      <w:t>פתח דבר</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64E" w:rsidRPr="007F1A39" w:rsidP="007F1A39" w14:paraId="49E1BB6F" w14:textId="7777777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cs"/>
        <w:noProof/>
        <w:color w:val="0B5294" w:themeColor="accent1" w:themeShade="BF"/>
        <w:sz w:val="16"/>
        <w:szCs w:val="16"/>
        <w:rtl/>
      </w:rPr>
      <w:t>שם הגוף המבוקר</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hint="cs"/>
        <w:noProof/>
        <w:color w:val="0B5294" w:themeColor="accent1" w:themeShade="BF"/>
        <w:sz w:val="16"/>
        <w:szCs w:val="16"/>
        <w:rtl/>
      </w:rPr>
      <w:t>|</w:t>
    </w:r>
    <w:r>
      <w:rPr>
        <w:rFonts w:ascii="Tahoma" w:hAnsi="Tahoma" w:eastAsiaTheme="majorEastAsia" w:cs="Tahoma" w:hint="cs"/>
        <w:noProof/>
        <w:color w:val="0B5294" w:themeColor="accent1" w:themeShade="BF"/>
        <w:sz w:val="16"/>
        <w:szCs w:val="16"/>
        <w:rtl/>
      </w:rPr>
      <w:t xml:space="preserve">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64E" w:rsidRPr="00890ED9" w:rsidP="00890ED9" w14:paraId="048D0FA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005" w:rsidP="002E1005" w14:paraId="0EABE6D4" w14:textId="77777777">
    <w:pPr>
      <w:pStyle w:val="Header"/>
      <w:spacing w:before="240" w:after="180"/>
      <w:ind w:left="510"/>
      <w:rPr>
        <w:rFonts w:ascii="Tahoma" w:hAnsi="Tahoma" w:eastAsiaTheme="majorEastAsia" w:cs="Tahoma"/>
        <w:noProof/>
        <w:color w:val="0D0D0D" w:themeColor="text1" w:themeTint="F2"/>
        <w:sz w:val="16"/>
        <w:szCs w:val="16"/>
        <w:rtl/>
      </w:rPr>
    </w:pPr>
    <w:r>
      <w:rPr>
        <w:rFonts w:ascii="Tahoma" w:hAnsi="Tahoma" w:eastAsiaTheme="majorEastAsia" w:cs="Tahoma" w:hint="eastAsia"/>
        <w:noProof/>
        <w:color w:val="0D0D0D" w:themeColor="text1" w:themeTint="F2"/>
        <w:sz w:val="16"/>
        <w:szCs w:val="16"/>
        <w:rtl/>
        <w:lang w:val="he-IL"/>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7549200" cy="10670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89211" name="Picture 5"/>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eastAsiaTheme="majorEastAsia" w:cs="Tahoma" w:hint="cs"/>
        <w:noProof/>
        <w:color w:val="0D0D0D" w:themeColor="text1" w:themeTint="F2"/>
        <w:sz w:val="16"/>
        <w:szCs w:val="16"/>
        <w:rtl/>
        <w:lang w:val="he-IL"/>
      </w:rPr>
      <w:t>פתח דבר</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005" w:rsidRPr="007C237A" w:rsidP="002E1005" w14:paraId="1DC86B55" w14:textId="77777777">
    <w:pPr>
      <w:pStyle w:val="Header"/>
      <w:spacing w:before="240" w:after="180"/>
      <w:ind w:right="624"/>
      <w:jc w:val="right"/>
      <w:rPr>
        <w:rFonts w:ascii="Tahoma" w:hAnsi="Tahoma" w:eastAsiaTheme="majorEastAsia" w:cs="Tahoma"/>
        <w:noProof/>
        <w:color w:val="231F20"/>
        <w:sz w:val="16"/>
        <w:szCs w:val="16"/>
      </w:rPr>
    </w:pPr>
    <w:r>
      <w:rPr>
        <w:rFonts w:ascii="Tahoma" w:hAnsi="Tahoma" w:eastAsiaTheme="majorEastAsia" w:cs="Tahoma" w:hint="cs"/>
        <w:noProof/>
        <w:color w:val="0D0D0D" w:themeColor="text1" w:themeTint="F2"/>
        <w:sz w:val="16"/>
        <w:szCs w:val="16"/>
        <w:rtl/>
        <w:lang w:val="he-IL"/>
      </w:rPr>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549200" cy="10670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42674" name="Picture 1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6061A9">
      <w:rPr>
        <w:rFonts w:ascii="Tahoma" w:hAnsi="Tahoma" w:eastAsiaTheme="majorEastAsia" w:cs="Tahoma" w:hint="cs"/>
        <w:noProof/>
        <w:color w:val="0D0D0D" w:themeColor="text1" w:themeTint="F2"/>
        <w:sz w:val="16"/>
        <w:szCs w:val="16"/>
        <w:rtl/>
      </w:rPr>
      <w:t xml:space="preserve">מבקר המדינה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דוח שנתי 7</w:t>
    </w:r>
    <w:r>
      <w:rPr>
        <w:rFonts w:ascii="Tahoma" w:hAnsi="Tahoma" w:eastAsiaTheme="majorEastAsia" w:cs="Tahoma" w:hint="cs"/>
        <w:noProof/>
        <w:color w:val="0D0D0D" w:themeColor="text1" w:themeTint="F2"/>
        <w:sz w:val="16"/>
        <w:szCs w:val="16"/>
        <w:rtl/>
      </w:rPr>
      <w:t>1</w:t>
    </w:r>
    <w:r w:rsidRPr="006061A9">
      <w:rPr>
        <w:rFonts w:ascii="Tahoma" w:hAnsi="Tahoma" w:eastAsiaTheme="majorEastAsia" w:cs="Tahoma" w:hint="cs"/>
        <w:noProof/>
        <w:color w:val="0D0D0D" w:themeColor="text1" w:themeTint="F2"/>
        <w:sz w:val="16"/>
        <w:szCs w:val="16"/>
        <w:rtl/>
      </w:rPr>
      <w:t xml:space="preserve">ב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 xml:space="preserve">| </w:t>
    </w:r>
    <w:r>
      <w:rPr>
        <w:rFonts w:ascii="Tahoma" w:hAnsi="Tahoma" w:eastAsiaTheme="majorEastAsia" w:cs="Tahoma" w:hint="cs"/>
        <w:noProof/>
        <w:color w:val="0D0D0D" w:themeColor="text1" w:themeTint="F2"/>
        <w:sz w:val="16"/>
        <w:szCs w:val="16"/>
        <w:rtl/>
      </w:rPr>
      <w:t xml:space="preserve"> </w:t>
    </w:r>
    <w:r w:rsidRPr="006061A9">
      <w:rPr>
        <w:rFonts w:ascii="Tahoma" w:hAnsi="Tahoma" w:eastAsiaTheme="majorEastAsia" w:cs="Tahoma" w:hint="cs"/>
        <w:noProof/>
        <w:color w:val="0D0D0D" w:themeColor="text1" w:themeTint="F2"/>
        <w:sz w:val="16"/>
        <w:szCs w:val="16"/>
        <w:rtl/>
      </w:rPr>
      <w:t>התשפ"א-2021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numPicBullet w:numPicBulletId="1">
    <w:pict>
      <v:shape id="_x0000_i1026" type="#_x0000_t75" style="width:12pt;height:12pt" o:bullet="t">
        <v:imagedata r:id="rId2" o:title="lamp"/>
      </v:shape>
    </w:pict>
  </w:numPicBullet>
  <w:numPicBullet w:numPicBulletId="2">
    <w:pict>
      <v:shape id="_x0000_i1027" type="#_x0000_t75" style="width:12pt;height:12pt" o:bullet="t">
        <v:imagedata r:id="rId3" o:title="red-hand"/>
      </v:shape>
    </w:pict>
  </w:numPicBullet>
  <w:numPicBullet w:numPicBulletId="3">
    <w:pict>
      <v:shape id="_x0000_i1028" type="#_x0000_t75" style="width:6pt;height:6pt" o:bullet="t">
        <v:imagedata r:id="rId4" o:title="red-hand"/>
      </v:shape>
    </w:pict>
  </w:numPicBullet>
  <w:numPicBullet w:numPicBulletId="4">
    <w:pict>
      <v:shape id="_x0000_i1029" type="#_x0000_t75" style="width:6pt;height:6pt" o:bullet="t">
        <v:imagedata r:id="rId5" o:title="red-hand"/>
      </v:shape>
    </w:pict>
  </w:numPicBullet>
  <w:numPicBullet w:numPicBulletId="5">
    <w:pict>
      <v:shape id="_x0000_i1030" type="#_x0000_t75" style="width:6pt;height:6pt" o:bullet="t">
        <v:imagedata r:id="rId6" o:title="red-hand"/>
      </v:shape>
    </w:pict>
  </w:numPicBullet>
  <w:numPicBullet w:numPicBulletId="6">
    <w:pict>
      <v:shape id="_x0000_i1031" type="#_x0000_t75" style="width:6pt;height:6pt" o:bullet="t">
        <v:imagedata r:id="rId7" o:title="red-hand"/>
      </v:shape>
    </w:pict>
  </w:numPicBullet>
  <w:numPicBullet w:numPicBulletId="7">
    <w:pict>
      <v:shape id="_x0000_i1032" type="#_x0000_t75" style="width:6pt;height:6pt" o:bullet="t">
        <v:imagedata r:id="rId8" o:title="red-hand"/>
      </v:shape>
    </w:pict>
  </w:numPicBullet>
  <w:numPicBullet w:numPicBulletId="8">
    <w:pict>
      <v:shape id="_x0000_i1033" type="#_x0000_t75" style="width:6pt;height:6pt" o:bullet="t">
        <v:imagedata r:id="rId9" o:title="red-hand"/>
      </v:shape>
    </w:pict>
  </w:numPicBullet>
  <w:numPicBullet w:numPicBulletId="9">
    <w:pict>
      <v:shape id="_x0000_i1034" type="#_x0000_t75" style="width:6pt;height:6pt" o:bullet="t">
        <v:imagedata r:id="rId10" o:title="red-hand"/>
      </v:shape>
    </w:pict>
  </w:numPicBullet>
  <w:numPicBullet w:numPicBulletId="10">
    <w:pict>
      <v:shape id="_x0000_i1035" type="#_x0000_t75" style="width:12pt;height:12pt" o:bullet="t">
        <v:imagedata r:id="rId11" o:title="red-hand"/>
      </v:shape>
    </w:pict>
  </w:numPicBullet>
  <w:numPicBullet w:numPicBulletId="11">
    <w:pict>
      <v:shape id="_x0000_i1036" type="#_x0000_t75" style="width:6pt;height:12pt" o:bullet="t">
        <v:imagedata r:id="rId12" o:title="red-hand"/>
      </v:shape>
    </w:pict>
  </w:numPicBullet>
  <w:numPicBullet w:numPicBulletId="12">
    <w:pict>
      <v:shape id="_x0000_i1037" type="#_x0000_t75" style="width:6pt;height:12pt" o:bullet="t">
        <v:imagedata r:id="rId13" o:title="red-hand"/>
      </v:shape>
    </w:pict>
  </w:numPicBullet>
  <w:numPicBullet w:numPicBulletId="13">
    <w:pict>
      <v:shape id="_x0000_i1038" type="#_x0000_t75" style="width:12pt;height:12pt" o:bullet="t">
        <v:imagedata r:id="rId14" o:title="red-hand"/>
      </v:shape>
    </w:pict>
  </w:numPicBullet>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DF79A4"/>
    <w:multiLevelType w:val="hybridMultilevel"/>
    <w:tmpl w:val="AE00A3D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28672EC"/>
    <w:multiLevelType w:val="hybridMultilevel"/>
    <w:tmpl w:val="E284834E"/>
    <w:lvl w:ilvl="0">
      <w:start w:val="1"/>
      <w:numFmt w:val="decimal"/>
      <w:lvlText w:val="%1."/>
      <w:lvlJc w:val="left"/>
      <w:pPr>
        <w:ind w:left="720" w:hanging="360"/>
      </w:pPr>
      <w:rPr>
        <w:rFonts w:ascii="Times New Roman" w:eastAsia="Times New Roman" w:hAnsi="Times New Roman" w:cs="David"/>
        <w:b w:val="0"/>
        <w:bCs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8">
    <w:nsid w:val="36A05A39"/>
    <w:multiLevelType w:val="hybridMultilevel"/>
    <w:tmpl w:val="296690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D95EC4"/>
    <w:multiLevelType w:val="hybridMultilevel"/>
    <w:tmpl w:val="CFF2154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D6457B"/>
    <w:multiLevelType w:val="hybridMultilevel"/>
    <w:tmpl w:val="6616B270"/>
    <w:lvl w:ilvl="0">
      <w:start w:val="1"/>
      <w:numFmt w:val="bullet"/>
      <w:lvlText w:val=""/>
      <w:lvlPicBulletId w:val="1"/>
      <w:lvlJc w:val="left"/>
      <w:pPr>
        <w:ind w:left="501" w:hanging="360"/>
      </w:pPr>
      <w:rPr>
        <w:rFonts w:ascii="Symbol" w:hAnsi="Symbol" w:hint="default"/>
        <w:b/>
        <w:bCs/>
        <w:i w:val="0"/>
        <w:iCs w:val="0"/>
        <w:color w:val="auto"/>
        <w:position w:val="-6"/>
        <w:sz w:val="40"/>
        <w:szCs w:val="32"/>
      </w:rPr>
    </w:lvl>
    <w:lvl w:ilvl="1" w:tentative="1">
      <w:start w:val="1"/>
      <w:numFmt w:val="bullet"/>
      <w:lvlText w:val="o"/>
      <w:lvlJc w:val="left"/>
      <w:pPr>
        <w:ind w:left="1221" w:hanging="360"/>
      </w:pPr>
      <w:rPr>
        <w:rFonts w:ascii="Courier New" w:hAnsi="Courier New" w:cs="Courier New" w:hint="default"/>
      </w:rPr>
    </w:lvl>
    <w:lvl w:ilvl="2" w:tentative="1">
      <w:start w:val="1"/>
      <w:numFmt w:val="bullet"/>
      <w:lvlText w:val=""/>
      <w:lvlJc w:val="left"/>
      <w:pPr>
        <w:ind w:left="1941" w:hanging="360"/>
      </w:pPr>
      <w:rPr>
        <w:rFonts w:ascii="Wingdings" w:hAnsi="Wingdings" w:hint="default"/>
      </w:rPr>
    </w:lvl>
    <w:lvl w:ilvl="3" w:tentative="1">
      <w:start w:val="1"/>
      <w:numFmt w:val="bullet"/>
      <w:lvlText w:val=""/>
      <w:lvlJc w:val="left"/>
      <w:pPr>
        <w:ind w:left="2661" w:hanging="360"/>
      </w:pPr>
      <w:rPr>
        <w:rFonts w:ascii="Symbol" w:hAnsi="Symbol" w:hint="default"/>
      </w:rPr>
    </w:lvl>
    <w:lvl w:ilvl="4" w:tentative="1">
      <w:start w:val="1"/>
      <w:numFmt w:val="bullet"/>
      <w:lvlText w:val="o"/>
      <w:lvlJc w:val="left"/>
      <w:pPr>
        <w:ind w:left="3381" w:hanging="360"/>
      </w:pPr>
      <w:rPr>
        <w:rFonts w:ascii="Courier New" w:hAnsi="Courier New" w:cs="Courier New" w:hint="default"/>
      </w:rPr>
    </w:lvl>
    <w:lvl w:ilvl="5" w:tentative="1">
      <w:start w:val="1"/>
      <w:numFmt w:val="bullet"/>
      <w:lvlText w:val=""/>
      <w:lvlJc w:val="left"/>
      <w:pPr>
        <w:ind w:left="4101" w:hanging="360"/>
      </w:pPr>
      <w:rPr>
        <w:rFonts w:ascii="Wingdings" w:hAnsi="Wingdings" w:hint="default"/>
      </w:rPr>
    </w:lvl>
    <w:lvl w:ilvl="6" w:tentative="1">
      <w:start w:val="1"/>
      <w:numFmt w:val="bullet"/>
      <w:lvlText w:val=""/>
      <w:lvlJc w:val="left"/>
      <w:pPr>
        <w:ind w:left="4821" w:hanging="360"/>
      </w:pPr>
      <w:rPr>
        <w:rFonts w:ascii="Symbol" w:hAnsi="Symbol" w:hint="default"/>
      </w:rPr>
    </w:lvl>
    <w:lvl w:ilvl="7" w:tentative="1">
      <w:start w:val="1"/>
      <w:numFmt w:val="bullet"/>
      <w:lvlText w:val="o"/>
      <w:lvlJc w:val="left"/>
      <w:pPr>
        <w:ind w:left="5541" w:hanging="360"/>
      </w:pPr>
      <w:rPr>
        <w:rFonts w:ascii="Courier New" w:hAnsi="Courier New" w:cs="Courier New" w:hint="default"/>
      </w:rPr>
    </w:lvl>
    <w:lvl w:ilvl="8" w:tentative="1">
      <w:start w:val="1"/>
      <w:numFmt w:val="bullet"/>
      <w:lvlText w:val=""/>
      <w:lvlJc w:val="left"/>
      <w:pPr>
        <w:ind w:left="6261" w:hanging="360"/>
      </w:pPr>
      <w:rPr>
        <w:rFonts w:ascii="Wingdings" w:hAnsi="Wingdings" w:hint="default"/>
      </w:rPr>
    </w:lvl>
  </w:abstractNum>
  <w:abstractNum w:abstractNumId="11">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2">
    <w:nsid w:val="5C9D4561"/>
    <w:multiLevelType w:val="multilevel"/>
    <w:tmpl w:val="440ACA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5E50745E"/>
    <w:multiLevelType w:val="hybridMultilevel"/>
    <w:tmpl w:val="2B70F3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3113D87"/>
    <w:multiLevelType w:val="hybridMultilevel"/>
    <w:tmpl w:val="F620D9CA"/>
    <w:lvl w:ilvl="0">
      <w:start w:val="1"/>
      <w:numFmt w:val="hebrew1"/>
      <w:lvlText w:val="%1."/>
      <w:lvlJc w:val="left"/>
      <w:pPr>
        <w:ind w:left="672" w:hanging="360"/>
      </w:pPr>
      <w:rPr>
        <w:rFonts w:hint="default"/>
        <w:b/>
        <w:bCs w:val="0"/>
        <w:color w:val="073763" w:themeColor="accent1" w:themeShade="80"/>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5">
    <w:nsid w:val="64EA27DD"/>
    <w:multiLevelType w:val="hybridMultilevel"/>
    <w:tmpl w:val="49BC3EAC"/>
    <w:lvl w:ilvl="0">
      <w:start w:val="0"/>
      <w:numFmt w:val="bullet"/>
      <w:lvlText w:val=""/>
      <w:lvlJc w:val="left"/>
      <w:pPr>
        <w:ind w:left="720" w:hanging="360"/>
      </w:pPr>
      <w:rPr>
        <w:rFonts w:ascii="Symbol" w:hAnsi="Symbol" w:eastAsiaTheme="minorHAnsi" w:cs="David"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699458C"/>
    <w:multiLevelType w:val="hybridMultilevel"/>
    <w:tmpl w:val="FE801472"/>
    <w:lvl w:ilvl="0">
      <w:start w:val="1"/>
      <w:numFmt w:val="bullet"/>
      <w:lvlText w:val=""/>
      <w:lvlPicBulletId w:val="13"/>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7"/>
  </w:num>
  <w:num w:numId="3">
    <w:abstractNumId w:val="3"/>
  </w:num>
  <w:num w:numId="4">
    <w:abstractNumId w:val="11"/>
  </w:num>
  <w:num w:numId="5">
    <w:abstractNumId w:val="7"/>
  </w:num>
  <w:num w:numId="6">
    <w:abstractNumId w:val="20"/>
  </w:num>
  <w:num w:numId="7">
    <w:abstractNumId w:val="19"/>
  </w:num>
  <w:num w:numId="8">
    <w:abstractNumId w:val="0"/>
  </w:num>
  <w:num w:numId="9">
    <w:abstractNumId w:val="18"/>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9"/>
  </w:num>
  <w:num w:numId="23">
    <w:abstractNumId w:val="13"/>
  </w:num>
  <w:num w:numId="24">
    <w:abstractNumId w:val="4"/>
  </w:num>
  <w:num w:numId="25">
    <w:abstractNumId w:val="3"/>
  </w:num>
  <w:num w:numId="26">
    <w:abstractNumId w:val="10"/>
  </w:num>
  <w:num w:numId="27">
    <w:abstractNumId w:val="16"/>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2"/>
  </w:num>
  <w:num w:numId="36">
    <w:abstractNumId w:val="6"/>
  </w:num>
  <w:num w:numId="37">
    <w:abstractNumId w:val="6"/>
  </w:num>
  <w:num w:numId="38">
    <w:abstractNumId w:val="6"/>
  </w:num>
  <w:num w:numId="39">
    <w:abstractNumId w:val="6"/>
  </w:num>
  <w:num w:numId="40">
    <w:abstractNumId w:val="15"/>
  </w:num>
  <w:num w:numId="41">
    <w:abstractNumId w:val="6"/>
  </w:num>
  <w:num w:numId="42">
    <w:abstractNumId w:val="6"/>
  </w:num>
  <w:num w:numId="43">
    <w:abstractNumId w:val="8"/>
  </w:num>
  <w:num w:numId="44">
    <w:abstractNumId w:val="14"/>
  </w:num>
  <w:num w:numId="4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40CFC"/>
    <w:rsid w:val="00044478"/>
    <w:rsid w:val="00044647"/>
    <w:rsid w:val="00044A44"/>
    <w:rsid w:val="00045345"/>
    <w:rsid w:val="000461F4"/>
    <w:rsid w:val="0004650A"/>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518"/>
    <w:rsid w:val="000C2E22"/>
    <w:rsid w:val="000C4D54"/>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FC4"/>
    <w:rsid w:val="000F0117"/>
    <w:rsid w:val="000F0D79"/>
    <w:rsid w:val="000F3B27"/>
    <w:rsid w:val="000F41D0"/>
    <w:rsid w:val="000F441A"/>
    <w:rsid w:val="000F4951"/>
    <w:rsid w:val="000F4997"/>
    <w:rsid w:val="000F49B9"/>
    <w:rsid w:val="000F4C6C"/>
    <w:rsid w:val="000F4E31"/>
    <w:rsid w:val="000F4F2E"/>
    <w:rsid w:val="000F51B7"/>
    <w:rsid w:val="000F5901"/>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996"/>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35CD"/>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1D3F"/>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400"/>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92E"/>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77B"/>
    <w:rsid w:val="002529D6"/>
    <w:rsid w:val="002530C2"/>
    <w:rsid w:val="00253904"/>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005"/>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43AF"/>
    <w:rsid w:val="00325332"/>
    <w:rsid w:val="00325469"/>
    <w:rsid w:val="00327C2A"/>
    <w:rsid w:val="00327FBF"/>
    <w:rsid w:val="0033032D"/>
    <w:rsid w:val="00330465"/>
    <w:rsid w:val="00330697"/>
    <w:rsid w:val="0033100C"/>
    <w:rsid w:val="00331522"/>
    <w:rsid w:val="00331A56"/>
    <w:rsid w:val="00331DAB"/>
    <w:rsid w:val="003323CD"/>
    <w:rsid w:val="00333316"/>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6C7"/>
    <w:rsid w:val="00346DF9"/>
    <w:rsid w:val="003504AD"/>
    <w:rsid w:val="003507D5"/>
    <w:rsid w:val="00351463"/>
    <w:rsid w:val="00352D72"/>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2DB2"/>
    <w:rsid w:val="003E323C"/>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6B3D"/>
    <w:rsid w:val="00436DAE"/>
    <w:rsid w:val="00437A8F"/>
    <w:rsid w:val="00437CA8"/>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4F75B5"/>
    <w:rsid w:val="005000F1"/>
    <w:rsid w:val="0050038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15F"/>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4CA6"/>
    <w:rsid w:val="005256F3"/>
    <w:rsid w:val="00525E93"/>
    <w:rsid w:val="0052621D"/>
    <w:rsid w:val="00527462"/>
    <w:rsid w:val="005276C3"/>
    <w:rsid w:val="00527873"/>
    <w:rsid w:val="00530040"/>
    <w:rsid w:val="005302AB"/>
    <w:rsid w:val="00530A7F"/>
    <w:rsid w:val="00530F88"/>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0C4"/>
    <w:rsid w:val="00580C39"/>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08AC"/>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9FC"/>
    <w:rsid w:val="005B5C8A"/>
    <w:rsid w:val="005B622B"/>
    <w:rsid w:val="005B7EBA"/>
    <w:rsid w:val="005C0F41"/>
    <w:rsid w:val="005C33A1"/>
    <w:rsid w:val="005C593E"/>
    <w:rsid w:val="005C7407"/>
    <w:rsid w:val="005D0510"/>
    <w:rsid w:val="005D13B4"/>
    <w:rsid w:val="005D142B"/>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3684"/>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5FE4"/>
    <w:rsid w:val="006C6EFC"/>
    <w:rsid w:val="006C7D34"/>
    <w:rsid w:val="006D0320"/>
    <w:rsid w:val="006D07E5"/>
    <w:rsid w:val="006D0882"/>
    <w:rsid w:val="006D093A"/>
    <w:rsid w:val="006D33F6"/>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E7A65"/>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26EB4"/>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092C"/>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6999"/>
    <w:rsid w:val="00757121"/>
    <w:rsid w:val="007579EE"/>
    <w:rsid w:val="0076145B"/>
    <w:rsid w:val="007621B6"/>
    <w:rsid w:val="00762B63"/>
    <w:rsid w:val="00763840"/>
    <w:rsid w:val="00763FE4"/>
    <w:rsid w:val="0076417E"/>
    <w:rsid w:val="00764C43"/>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112"/>
    <w:rsid w:val="008F6EB4"/>
    <w:rsid w:val="008F6EFC"/>
    <w:rsid w:val="008F7A3A"/>
    <w:rsid w:val="00901329"/>
    <w:rsid w:val="009016E3"/>
    <w:rsid w:val="00902085"/>
    <w:rsid w:val="00902426"/>
    <w:rsid w:val="00902625"/>
    <w:rsid w:val="00903071"/>
    <w:rsid w:val="00903450"/>
    <w:rsid w:val="009039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64E"/>
    <w:rsid w:val="00983B82"/>
    <w:rsid w:val="00986127"/>
    <w:rsid w:val="009864F0"/>
    <w:rsid w:val="00986603"/>
    <w:rsid w:val="00986D7B"/>
    <w:rsid w:val="00987481"/>
    <w:rsid w:val="009877D6"/>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423"/>
    <w:rsid w:val="00A178DD"/>
    <w:rsid w:val="00A20610"/>
    <w:rsid w:val="00A21BFE"/>
    <w:rsid w:val="00A21ED8"/>
    <w:rsid w:val="00A22EA6"/>
    <w:rsid w:val="00A239BC"/>
    <w:rsid w:val="00A25379"/>
    <w:rsid w:val="00A25895"/>
    <w:rsid w:val="00A26B14"/>
    <w:rsid w:val="00A27187"/>
    <w:rsid w:val="00A27B7B"/>
    <w:rsid w:val="00A3003D"/>
    <w:rsid w:val="00A30122"/>
    <w:rsid w:val="00A30FE4"/>
    <w:rsid w:val="00A31725"/>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2E6F"/>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0E79"/>
    <w:rsid w:val="00B914C7"/>
    <w:rsid w:val="00B9160E"/>
    <w:rsid w:val="00B9248D"/>
    <w:rsid w:val="00B92AC7"/>
    <w:rsid w:val="00B93C9C"/>
    <w:rsid w:val="00B95615"/>
    <w:rsid w:val="00B96064"/>
    <w:rsid w:val="00B96F64"/>
    <w:rsid w:val="00B972EE"/>
    <w:rsid w:val="00B9778A"/>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37E0"/>
    <w:rsid w:val="00BE475F"/>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E91"/>
    <w:rsid w:val="00C95789"/>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A79E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47D7"/>
    <w:rsid w:val="00D15224"/>
    <w:rsid w:val="00D17D22"/>
    <w:rsid w:val="00D20DDF"/>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52E5"/>
    <w:rsid w:val="00D45FC0"/>
    <w:rsid w:val="00D46617"/>
    <w:rsid w:val="00D4689F"/>
    <w:rsid w:val="00D46996"/>
    <w:rsid w:val="00D46ECB"/>
    <w:rsid w:val="00D47438"/>
    <w:rsid w:val="00D47B16"/>
    <w:rsid w:val="00D47D8C"/>
    <w:rsid w:val="00D50466"/>
    <w:rsid w:val="00D527BD"/>
    <w:rsid w:val="00D5367E"/>
    <w:rsid w:val="00D5428E"/>
    <w:rsid w:val="00D54395"/>
    <w:rsid w:val="00D54DF6"/>
    <w:rsid w:val="00D5644A"/>
    <w:rsid w:val="00D56955"/>
    <w:rsid w:val="00D56993"/>
    <w:rsid w:val="00D5710C"/>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0CA7"/>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331"/>
    <w:rsid w:val="00D92695"/>
    <w:rsid w:val="00D92CD5"/>
    <w:rsid w:val="00D92D36"/>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3862"/>
    <w:rsid w:val="00DA4F09"/>
    <w:rsid w:val="00DA52E3"/>
    <w:rsid w:val="00DA5A48"/>
    <w:rsid w:val="00DA5AB2"/>
    <w:rsid w:val="00DA607F"/>
    <w:rsid w:val="00DA6850"/>
    <w:rsid w:val="00DA6C5B"/>
    <w:rsid w:val="00DA784E"/>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A5E"/>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0F44"/>
    <w:rsid w:val="00E41D67"/>
    <w:rsid w:val="00E43F01"/>
    <w:rsid w:val="00E46189"/>
    <w:rsid w:val="00E46878"/>
    <w:rsid w:val="00E46C28"/>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4F58"/>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79F"/>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229D"/>
    <w:rsid w:val="00F22B38"/>
    <w:rsid w:val="00F22C95"/>
    <w:rsid w:val="00F234C3"/>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767"/>
    <w:rsid w:val="00F77CE9"/>
    <w:rsid w:val="00F80159"/>
    <w:rsid w:val="00F8029A"/>
    <w:rsid w:val="00F80A42"/>
    <w:rsid w:val="00F82933"/>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C86"/>
    <w:rsid w:val="00F93FE7"/>
    <w:rsid w:val="00F94E21"/>
    <w:rsid w:val="00F94F2E"/>
    <w:rsid w:val="00F951FA"/>
    <w:rsid w:val="00F95FB8"/>
    <w:rsid w:val="00F96DDE"/>
    <w:rsid w:val="00F96EE0"/>
    <w:rsid w:val="00F9763C"/>
    <w:rsid w:val="00F978E1"/>
    <w:rsid w:val="00F97E99"/>
    <w:rsid w:val="00FA0323"/>
    <w:rsid w:val="00FA0B20"/>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479C3BBB-F8F5-4A83-8CC9-F12CB0F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Reference_0,Footnote Reference_0_0,Footnote Reference_0_0_0,Footnote Reference_0_0_0_0,Footnote Reference_1,Footnote Reference_1_0,Footnote Reference_2,Footnote Reference_3,Footnote Reference_4,Footnote Reference_4_0,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hAnsi="Arial Bold" w:eastAsiaTheme="majorEastAsia"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paragraph" w:customStyle="1" w:styleId="14">
    <w:name w:val="כותרת 1"/>
    <w:basedOn w:val="NAME"/>
    <w:qFormat/>
    <w:rsid w:val="00D92D36"/>
    <w:pPr>
      <w:spacing w:before="1440" w:after="0"/>
    </w:pPr>
  </w:style>
  <w:style w:type="paragraph" w:customStyle="1" w:styleId="21">
    <w:name w:val="כותרת 2"/>
    <w:basedOn w:val="Heading2"/>
    <w:link w:val="2Char"/>
    <w:qFormat/>
    <w:rsid w:val="00D92D36"/>
    <w:pPr>
      <w:keepLines w:val="0"/>
      <w:spacing w:before="600" w:after="120" w:line="312" w:lineRule="auto"/>
      <w:ind w:left="0" w:firstLine="0"/>
      <w:jc w:val="left"/>
    </w:pPr>
    <w:rPr>
      <w:rFonts w:cs="Tahoma"/>
      <w:b w:val="0"/>
      <w:bCs w:val="0"/>
      <w:color w:val="0B5294" w:themeColor="accent1" w:themeShade="BF"/>
      <w:sz w:val="36"/>
      <w:szCs w:val="36"/>
    </w:rPr>
  </w:style>
  <w:style w:type="character" w:customStyle="1" w:styleId="2Char">
    <w:name w:val="כותרת 2 Char"/>
    <w:basedOn w:val="Heading2Char"/>
    <w:link w:val="21"/>
    <w:rsid w:val="00D92D36"/>
    <w:rPr>
      <w:rFonts w:ascii="Arial Bold" w:hAnsi="Arial Bold" w:eastAsiaTheme="majorEastAsia" w:cs="Tahoma"/>
      <w:b w:val="0"/>
      <w:bCs w:val="0"/>
      <w:color w:val="0B5294" w:themeColor="accent1" w:themeShade="BF"/>
      <w:sz w:val="36"/>
      <w:szCs w:val="36"/>
    </w:rPr>
  </w:style>
  <w:style w:type="paragraph" w:customStyle="1" w:styleId="43">
    <w:name w:val="כותרת 4"/>
    <w:basedOn w:val="Heading4"/>
    <w:link w:val="4Char"/>
    <w:qFormat/>
    <w:rsid w:val="00D92D36"/>
    <w:pPr>
      <w:keepLines w:val="0"/>
      <w:numPr>
        <w:ilvl w:val="0"/>
        <w:numId w:val="0"/>
      </w:numPr>
      <w:spacing w:before="360" w:after="120" w:line="269" w:lineRule="auto"/>
    </w:pPr>
    <w:rPr>
      <w:rFonts w:ascii="Tahoma" w:hAnsi="Tahoma" w:cs="Tahoma"/>
      <w:i w:val="0"/>
      <w:iCs w:val="0"/>
      <w:color w:val="387026"/>
    </w:rPr>
  </w:style>
  <w:style w:type="character" w:customStyle="1" w:styleId="4Char">
    <w:name w:val="כותרת 4 Char"/>
    <w:basedOn w:val="Heading4Char"/>
    <w:link w:val="43"/>
    <w:rsid w:val="00D92D36"/>
    <w:rPr>
      <w:rFonts w:ascii="Tahoma" w:hAnsi="Tahoma" w:eastAsiaTheme="majorEastAsia" w:cs="Tahoma"/>
      <w:i w:val="0"/>
      <w:iCs w:val="0"/>
      <w:color w:val="3870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eg"/><Relationship Id="rId8" Type="http://schemas.openxmlformats.org/officeDocument/2006/relationships/header" Target="header1.xml"/><Relationship Id="rId26" Type="http://schemas.openxmlformats.org/officeDocument/2006/relationships/customXml" Target="../customXml/item4.xml"/><Relationship Id="rId21" Type="http://schemas.openxmlformats.org/officeDocument/2006/relationships/theme" Target="theme/theme1.xml"/><Relationship Id="rId3" Type="http://schemas.openxmlformats.org/officeDocument/2006/relationships/fontTable" Target="fontTable.xml"/><Relationship Id="rId12" Type="http://schemas.openxmlformats.org/officeDocument/2006/relationships/image" Target="media/image4.jpeg"/><Relationship Id="rId17" Type="http://schemas.openxmlformats.org/officeDocument/2006/relationships/header" Target="header7.xml"/><Relationship Id="rId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header" Target="header6.xml"/><Relationship Id="rId2" Type="http://schemas.openxmlformats.org/officeDocument/2006/relationships/webSettings" Target="webSettings.xml"/><Relationship Id="rId20" Type="http://schemas.openxmlformats.org/officeDocument/2006/relationships/header" Target="header9.xml"/><Relationship Id="rId1" Type="http://schemas.openxmlformats.org/officeDocument/2006/relationships/settings" Target="settings.xml"/><Relationship Id="rId11" Type="http://schemas.openxmlformats.org/officeDocument/2006/relationships/header" Target="header4.xml"/><Relationship Id="rId6" Type="http://schemas.openxmlformats.org/officeDocument/2006/relationships/footer" Target="footer1.xml"/><Relationship Id="rId24" Type="http://schemas.openxmlformats.org/officeDocument/2006/relationships/customXml" Target="../customXml/item2.xml"/><Relationship Id="rId15" Type="http://schemas.openxmlformats.org/officeDocument/2006/relationships/header" Target="header5.xml"/><Relationship Id="rId23" Type="http://schemas.openxmlformats.org/officeDocument/2006/relationships/styles" Target="styles.xml"/><Relationship Id="rId5" Type="http://schemas.openxmlformats.org/officeDocument/2006/relationships/image" Target="media/image1.jpeg"/><Relationship Id="rId10" Type="http://schemas.openxmlformats.org/officeDocument/2006/relationships/header" Target="header3.xml"/><Relationship Id="rId19" Type="http://schemas.openxmlformats.org/officeDocument/2006/relationships/header" Target="header8.xml"/><Relationship Id="rId14" Type="http://schemas.openxmlformats.org/officeDocument/2006/relationships/footer" Target="footer4.xml"/><Relationship Id="rId22"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header" Target="header2.xml"/></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4.xml.rels>&#65279;<?xml version="1.0" encoding="utf-8" standalone="yes"?><Relationships xmlns="http://schemas.openxmlformats.org/package/2006/relationships"><Relationship Id="rId1" Type="http://schemas.openxmlformats.org/officeDocument/2006/relationships/image" Target="media/image3.jpeg" /></Relationships>
</file>

<file path=word/_rels/header5.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_rels/header9.xml.rels>&#65279;<?xml version="1.0" encoding="utf-8" standalone="yes"?><Relationships xmlns="http://schemas.openxmlformats.org/package/2006/relationships"><Relationship Id="rId1" Type="http://schemas.openxmlformats.org/officeDocument/2006/relationships/image" Target="media/image3.jpeg" /></Relationships>
</file>

<file path=word/_rels/numbering.xml.rels>&#65279;<?xml version="1.0" encoding="utf-8" standalone="yes"?><Relationships xmlns="http://schemas.openxmlformats.org/package/2006/relationships"><Relationship Id="rId1" Type="http://schemas.openxmlformats.org/officeDocument/2006/relationships/image" Target="media/image7.png" /><Relationship Id="rId10" Type="http://schemas.openxmlformats.org/officeDocument/2006/relationships/image" Target="media/image16.png" /><Relationship Id="rId11" Type="http://schemas.openxmlformats.org/officeDocument/2006/relationships/image" Target="media/image17.png" /><Relationship Id="rId12" Type="http://schemas.openxmlformats.org/officeDocument/2006/relationships/image" Target="media/image18.png" /><Relationship Id="rId13" Type="http://schemas.openxmlformats.org/officeDocument/2006/relationships/image" Target="media/image19.png" /><Relationship Id="rId14" Type="http://schemas.openxmlformats.org/officeDocument/2006/relationships/image" Target="media/image20.png" /><Relationship Id="rId2" Type="http://schemas.openxmlformats.org/officeDocument/2006/relationships/image" Target="media/image8.png" /><Relationship Id="rId3" Type="http://schemas.openxmlformats.org/officeDocument/2006/relationships/image" Target="media/image9.png" /><Relationship Id="rId4" Type="http://schemas.openxmlformats.org/officeDocument/2006/relationships/image" Target="media/image10.png" /><Relationship Id="rId5" Type="http://schemas.openxmlformats.org/officeDocument/2006/relationships/image" Target="media/image11.png" /><Relationship Id="rId6" Type="http://schemas.openxmlformats.org/officeDocument/2006/relationships/image" Target="media/image12.png" /><Relationship Id="rId7" Type="http://schemas.openxmlformats.org/officeDocument/2006/relationships/image" Target="media/image13.png" /><Relationship Id="rId8" Type="http://schemas.openxmlformats.org/officeDocument/2006/relationships/image" Target="media/image14.png" /><Relationship Id="rId9" Type="http://schemas.openxmlformats.org/officeDocument/2006/relationships/image" Target="media/image15.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21.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0D678A-03AC-4761-A076-6C9AB8A77301}">
  <ds:schemaRefs>
    <ds:schemaRef ds:uri="http://schemas.openxmlformats.org/officeDocument/2006/bibliography"/>
  </ds:schemaRefs>
</ds:datastoreItem>
</file>

<file path=customXml/itemProps2.xml><?xml version="1.0" encoding="utf-8"?>
<ds:datastoreItem xmlns:ds="http://schemas.openxmlformats.org/officeDocument/2006/customXml" ds:itemID="{57C8EA30-52B5-4487-97DC-C03F6338BD72}"/>
</file>

<file path=customXml/itemProps3.xml><?xml version="1.0" encoding="utf-8"?>
<ds:datastoreItem xmlns:ds="http://schemas.openxmlformats.org/officeDocument/2006/customXml" ds:itemID="{5D64E3C7-789B-4849-AFA3-B69AD5683E1E}"/>
</file>

<file path=customXml/itemProps4.xml><?xml version="1.0" encoding="utf-8"?>
<ds:datastoreItem xmlns:ds="http://schemas.openxmlformats.org/officeDocument/2006/customXml" ds:itemID="{0AE34D1C-6E21-4720-8A0B-E98541C46AD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